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Possible connections — not checked</w:t>
      </w:r>
    </w:p>
    <w:p>
      <w:pPr>
        <w:pStyle w:val="SourceNote"/>
      </w:pPr>
      <w:r>
        <w:t>Automatically collected research leads for “Let’s see”. These are NOT verified outcomes or final findings.</w:t>
      </w:r>
    </w:p>
    <w:p/>
    <w:p>
      <w:pPr>
        <w:pStyle w:val="Heading2"/>
      </w:pPr>
      <w:r>
        <w:t>1. Group suggestions — screened combinations</w:t>
      </w:r>
    </w:p>
    <w:p>
      <w:pPr/>
      <w:r>
        <w:t>Exact groups marked rejected by an LLM review are excluded here. Individual source leads further below are NOT proposed two-paper groups and remain available for other combinations.</w:t>
      </w:r>
    </w:p>
    <w:p>
      <w:pPr>
        <w:pStyle w:val="Heading2"/>
      </w:pPr>
      <w:r>
        <w:t>2. Claim + two later sources: Retirement timing in a future welfare state: a Finnish Delphi study</w:t>
      </w:r>
    </w:p>
    <w:p>
      <w:pPr>
        <w:pStyle w:val="SourceNote"/>
      </w:pPr>
      <w:r>
        <w:rPr>
          <w:b/>
        </w:rPr>
        <w:t>Group ID:</w:t>
      </w:r>
      <w:r>
        <w:t xml:space="preserve"> group-f227050e06d5254a2bd0</w:t>
      </w:r>
    </w:p>
    <w:p>
      <w:pPr>
        <w:pStyle w:val="SourceNote"/>
      </w:pPr>
      <w:r>
        <w:rPr>
          <w:b/>
        </w:rPr>
        <w:t>Original source:</w:t>
      </w:r>
      <w:r>
        <w:t xml:space="preserve"> https://doi.org/10.1108/ijssp-04-2018-0067</w:t>
      </w:r>
    </w:p>
    <w:p>
      <w:pPr/>
      <w:r>
        <w:rPr>
          <w:b/>
        </w:rPr>
        <w:t>Original future claim:</w:t>
      </w:r>
      <w:r>
        <w:t xml:space="preserve"> Design/methodology/approach The study employs the Delphi method by interviewing anonymous experts from a variety of relevant organisations and fields in Finland, then sending them a scaled on-line questionnaire from the initial findings to elicit views on the likelihood of different scenarios influencing retirement timing over the next 20 years. Findings While the experts perceived that a raised state pension age and a removal of early retirement options will inevitably delay retirement on average, multiple scenarios were believe to hinder this trend.</w:t>
      </w:r>
    </w:p>
    <w:p>
      <w:pPr/>
      <w:r>
        <w:rPr>
          <w:b/>
        </w:rPr>
        <w:t>Later source:</w:t>
      </w:r>
      <w:r>
        <w:t xml:space="preserve"> Sources of (Dis-)Identification with Europe: A Q-Methodological Approach — https://doi.org/10.1080/15283488.2026.2664567</w:t>
      </w:r>
    </w:p>
    <w:p>
      <w:pPr/>
      <w:r>
        <w:rPr>
          <w:b/>
        </w:rPr>
        <w:t>Later source:</w:t>
      </w:r>
      <w:r>
        <w:t xml:space="preserve"> Urban cooperation for sustainable development in Europe: a co-designed methodology to foster multi-level governance — https://doi.org/10.1108/ijpsm-12-2025-0662</w:t>
      </w:r>
    </w:p>
    <w:p>
      <w:pPr>
        <w:pStyle w:val="SourceNote"/>
      </w:pPr>
      <w:r>
        <w:rPr>
          <w:b/>
        </w:rPr>
        <w:t>Review status:</w:t>
      </w:r>
      <w:r>
        <w:t xml:space="preserve"> unchecked — possible relationship only</w:t>
      </w:r>
    </w:p>
    <w:p>
      <w:pPr>
        <w:pStyle w:val="Heading2"/>
      </w:pPr>
      <w:r>
        <w:t>3. Claim + two later sources: Population Projection Revisions and Their Impact on Economic Growth – The Case of Malta</w:t>
      </w:r>
    </w:p>
    <w:p>
      <w:pPr>
        <w:pStyle w:val="SourceNote"/>
      </w:pPr>
      <w:r>
        <w:rPr>
          <w:b/>
        </w:rPr>
        <w:t>Group ID:</w:t>
      </w:r>
      <w:r>
        <w:t xml:space="preserve"> group-0764f14beaa3c4ffdc4b</w:t>
      </w:r>
    </w:p>
    <w:p>
      <w:pPr>
        <w:pStyle w:val="SourceNote"/>
      </w:pPr>
      <w:r>
        <w:rPr>
          <w:b/>
        </w:rPr>
        <w:t>Original source:</w:t>
      </w:r>
      <w:r>
        <w:t xml:space="preserve"> https://doi.org/10.5296/rae.v11i3.15285</w:t>
      </w:r>
    </w:p>
    <w:p>
      <w:pPr/>
      <w:r>
        <w:rPr>
          <w:b/>
        </w:rPr>
        <w:t>Original future claim:</w:t>
      </w:r>
      <w:r>
        <w:t xml:space="preserve"> Typically, in short-term economic forecasts, population projections, and their related impact on the availability of labour, tend to be the most stable component. Using the standard production function approach to estimate potential output growth, these revisions change very substantially expectations of economic expansion.</w:t>
      </w:r>
    </w:p>
    <w:p>
      <w:pPr/>
      <w:r>
        <w:rPr>
          <w:b/>
        </w:rPr>
        <w:t>Later source:</w:t>
      </w:r>
      <w:r>
        <w:t xml:space="preserve"> Government Policy, Financial Deepening and Economic Growth in Central and Eastern Europe — https://openalex.org/W7162059004</w:t>
      </w:r>
    </w:p>
    <w:p>
      <w:pPr/>
      <w:r>
        <w:rPr>
          <w:b/>
        </w:rPr>
        <w:t>Later source:</w:t>
      </w:r>
      <w:r>
        <w:t xml:space="preserve"> Classical biological control of invasive aquatic weeds in Great Britain and Europe — https://doi.org/10.3897/aca.9.e204108</w:t>
      </w:r>
    </w:p>
    <w:p>
      <w:pPr>
        <w:pStyle w:val="SourceNote"/>
      </w:pPr>
      <w:r>
        <w:rPr>
          <w:b/>
        </w:rPr>
        <w:t>Review status:</w:t>
      </w:r>
      <w:r>
        <w:t xml:space="preserve"> unchecked — possible relationship only</w:t>
      </w:r>
    </w:p>
    <w:p>
      <w:pPr>
        <w:pStyle w:val="Heading2"/>
      </w:pPr>
      <w:r>
        <w:t>4. Claim + two later sources: Pathways to Decarbonise the European Car Fleet: A Scenario Analysis Using the Backcasting Approach</w:t>
      </w:r>
    </w:p>
    <w:p>
      <w:pPr>
        <w:pStyle w:val="SourceNote"/>
      </w:pPr>
      <w:r>
        <w:rPr>
          <w:b/>
        </w:rPr>
        <w:t>Group ID:</w:t>
      </w:r>
      <w:r>
        <w:t xml:space="preserve"> group-a575210e599282b08e48</w:t>
      </w:r>
    </w:p>
    <w:p>
      <w:pPr>
        <w:pStyle w:val="SourceNote"/>
      </w:pPr>
      <w:r>
        <w:rPr>
          <w:b/>
        </w:rPr>
        <w:t>Original source:</w:t>
      </w:r>
      <w:r>
        <w:t xml:space="preserve"> https://doi.org/10.3390/en11010020</w:t>
      </w:r>
    </w:p>
    <w:p>
      <w:pPr/>
      <w:r>
        <w:rPr>
          <w:b/>
        </w:rPr>
        <w:t>Original future claim:</w:t>
      </w:r>
      <w:r>
        <w:t xml:space="preserve"> This paper analyses decarbonisation scenarios for the European passenger car fleet in 2050. The analysis showed that if car mobility and ownership continue to increase as expected in a ‘business as usual’ case, a share of 97% plug-in hybrid or battery electric vehicles might be required by 2050, together with a substantial decrease in greenhouse gas emission from electricity production.</w:t>
      </w:r>
    </w:p>
    <w:p>
      <w:pPr/>
      <w:r>
        <w:rPr>
          <w:b/>
        </w:rPr>
        <w:t>Later source:</w:t>
      </w:r>
      <w:r>
        <w:t xml:space="preserve"> The military green transition: Decarbonisation as warfighting opportunity — https://doi.org/10.1016/j.polgeo.2026.103573</w:t>
      </w:r>
    </w:p>
    <w:p>
      <w:pPr/>
      <w:r>
        <w:rPr>
          <w:b/>
        </w:rPr>
        <w:t>Later source:</w:t>
      </w:r>
      <w:r>
        <w:t xml:space="preserve"> Electrification pathways for passenger cars: A comparative analysis of China and Europe — https://doi.org/10.1016/j.esr.2026.102369</w:t>
      </w:r>
    </w:p>
    <w:p>
      <w:pPr>
        <w:pStyle w:val="SourceNote"/>
      </w:pPr>
      <w:r>
        <w:rPr>
          <w:b/>
        </w:rPr>
        <w:t>Review status:</w:t>
      </w:r>
      <w:r>
        <w:t xml:space="preserve"> unchecked — possible relationship only</w:t>
      </w:r>
    </w:p>
    <w:p>
      <w:pPr>
        <w:pStyle w:val="Heading2"/>
      </w:pPr>
      <w:r>
        <w:t>5. Claim + two later sources: THE CRITICAL ANALYSIS OF SCENARIO CONSTRUCTION IN THE POLISH FORESIGHT INITIATIVES</w:t>
      </w:r>
    </w:p>
    <w:p>
      <w:pPr>
        <w:pStyle w:val="SourceNote"/>
      </w:pPr>
      <w:r>
        <w:rPr>
          <w:b/>
        </w:rPr>
        <w:t>Group ID:</w:t>
      </w:r>
      <w:r>
        <w:t xml:space="preserve"> group-39996fa62cb29087104d</w:t>
      </w:r>
    </w:p>
    <w:p>
      <w:pPr>
        <w:pStyle w:val="SourceNote"/>
      </w:pPr>
      <w:r>
        <w:rPr>
          <w:b/>
        </w:rPr>
        <w:t>Original source:</w:t>
      </w:r>
      <w:r>
        <w:t xml:space="preserve"> https://doi.org/10.3846/20294913.2013.809030</w:t>
      </w:r>
    </w:p>
    <w:p>
      <w:pPr/>
      <w:r>
        <w:rPr>
          <w:b/>
        </w:rPr>
        <w:t>Original future claim:</w:t>
      </w:r>
      <w:r>
        <w:t xml:space="preserve"> The research has been funded by the National Science Centre in Poland within a research project entitled Scenarios in future shaping and anticipation for foresight studies, project number: 4194/B/H03/2011/40. The aim of the article is to present the diagnosis of scenario method application in the Polish foresight initiatives.</w:t>
      </w:r>
    </w:p>
    <w:p>
      <w:pPr/>
      <w:r>
        <w:rPr>
          <w:b/>
        </w:rPr>
        <w:t>Later source:</w:t>
      </w:r>
      <w:r>
        <w:t xml:space="preserve"> Research Infrastructures and the Open Science Roadmap: European and Italian Strategies and Policies — https://doi.org/10.1007/978-3-032-29575-0_2</w:t>
      </w:r>
    </w:p>
    <w:p>
      <w:pPr/>
      <w:r>
        <w:rPr>
          <w:b/>
        </w:rPr>
        <w:t>Later source:</w:t>
      </w:r>
      <w:r>
        <w:t xml:space="preserve"> Diamond OA Policy Forum Europe: Strategies for Funding Diamond OA in Europe — https://doi.org/10.5281/zenodo.23301450</w:t>
      </w:r>
    </w:p>
    <w:p>
      <w:pPr>
        <w:pStyle w:val="SourceNote"/>
      </w:pPr>
      <w:r>
        <w:rPr>
          <w:b/>
        </w:rPr>
        <w:t>Review status:</w:t>
      </w:r>
      <w:r>
        <w:t xml:space="preserve"> unchecked — possible relationship only</w:t>
      </w:r>
    </w:p>
    <w:p>
      <w:pPr>
        <w:pStyle w:val="Heading2"/>
      </w:pPr>
      <w:r>
        <w:t>6. Claim + two later sources: Record dry summer in 2015 challenges precipitation projections in Central Europe</w:t>
      </w:r>
    </w:p>
    <w:p>
      <w:pPr>
        <w:pStyle w:val="SourceNote"/>
      </w:pPr>
      <w:r>
        <w:rPr>
          <w:b/>
        </w:rPr>
        <w:t>Group ID:</w:t>
      </w:r>
      <w:r>
        <w:t xml:space="preserve"> group-0216eb3b4b4ff8c6893a</w:t>
      </w:r>
    </w:p>
    <w:p>
      <w:pPr>
        <w:pStyle w:val="SourceNote"/>
      </w:pPr>
      <w:r>
        <w:rPr>
          <w:b/>
        </w:rPr>
        <w:t>Original source:</w:t>
      </w:r>
      <w:r>
        <w:t xml:space="preserve"> https://doi.org/10.1038/srep28334</w:t>
      </w:r>
    </w:p>
    <w:p>
      <w:pPr/>
      <w:r>
        <w:rPr>
          <w:b/>
        </w:rPr>
        <w:t>Original future claim:</w:t>
      </w:r>
      <w:r>
        <w:t xml:space="preserve"> Climate change projections suggest that climate in this area will shift towards warmer temperatures by the end of the 21 st century, while projected precipitation changes are highly uncertain. Even though the models best capturing past droughts are not necessarily generally more reliable in the future, the 2015 drought event illustrates that potential future drying trends have severe implications and could be stronger than commonly assumed from the entire IPCC AR5 model ensemble.</w:t>
      </w:r>
    </w:p>
    <w:p>
      <w:pPr/>
      <w:r>
        <w:rPr>
          <w:b/>
        </w:rPr>
        <w:t>Later source:</w:t>
      </w:r>
      <w:r>
        <w:t xml:space="preserve"> Agrometeorological risk of Epitrix papa in Europe under climate change using ERA5-land and EURO-CORDEX projections — https://doi.org/10.1016/j.scitotenv.2026.181366</w:t>
      </w:r>
    </w:p>
    <w:p>
      <w:pPr/>
      <w:r>
        <w:rPr>
          <w:b/>
        </w:rPr>
        <w:t>Later source:</w:t>
      </w:r>
      <w:r>
        <w:t xml:space="preserve"> Projections of streamflow intermittence under climate change in European drying river networks — https://doi.org/10.5194/hess-29-1615-2025</w:t>
      </w:r>
    </w:p>
    <w:p>
      <w:pPr>
        <w:pStyle w:val="SourceNote"/>
      </w:pPr>
      <w:r>
        <w:rPr>
          <w:b/>
        </w:rPr>
        <w:t>Review status:</w:t>
      </w:r>
      <w:r>
        <w:t xml:space="preserve"> unchecked — possible relationship only</w:t>
      </w:r>
    </w:p>
    <w:p>
      <w:pPr>
        <w:pStyle w:val="Heading2"/>
      </w:pPr>
      <w:r>
        <w:t>7. Claim + two later sources: Policy-based Population Projections for the European Union: A Complementary Approach</w:t>
      </w:r>
    </w:p>
    <w:p>
      <w:pPr>
        <w:pStyle w:val="SourceNote"/>
      </w:pPr>
      <w:r>
        <w:rPr>
          <w:b/>
        </w:rPr>
        <w:t>Group ID:</w:t>
      </w:r>
      <w:r>
        <w:t xml:space="preserve"> group-815840852148aeec8701</w:t>
      </w:r>
    </w:p>
    <w:p>
      <w:pPr>
        <w:pStyle w:val="SourceNote"/>
      </w:pPr>
      <w:r>
        <w:rPr>
          <w:b/>
        </w:rPr>
        <w:t>Original source:</w:t>
      </w:r>
      <w:r>
        <w:t xml:space="preserve"> https://doi.org/10.12765/cpos-2019-14</w:t>
      </w:r>
    </w:p>
    <w:p>
      <w:pPr/>
      <w:r>
        <w:rPr>
          <w:b/>
        </w:rPr>
        <w:t>Original future claim:</w:t>
      </w:r>
      <w:r>
        <w:t xml:space="preserve"> We present new population projections out to 2100 for the countries of the European Union and for the EU as a whole under a wide range of fertility and migration scenarios. We show that demographic policies have the potential to markedly increase or decrease future populations across the EU.</w:t>
      </w:r>
    </w:p>
    <w:p>
      <w:pPr/>
      <w:r>
        <w:rPr>
          <w:b/>
        </w:rPr>
        <w:t>Later source:</w:t>
      </w:r>
      <w:r>
        <w:t xml:space="preserve"> Engagement in early childhood education: A systematic review of Gypsy, Roma and Traveller populations in Europe — https://doi.org/10.1002/rev3.70180</w:t>
      </w:r>
    </w:p>
    <w:p>
      <w:pPr/>
      <w:r>
        <w:rPr>
          <w:b/>
        </w:rPr>
        <w:t>Later source:</w:t>
      </w:r>
      <w:r>
        <w:t xml:space="preserve"> Old wine in new bottles: A pan-European regional dataset of population and GDP since 1960 — https://doi.org/10.7163/gpol.0330</w:t>
      </w:r>
    </w:p>
    <w:p>
      <w:pPr>
        <w:pStyle w:val="SourceNote"/>
      </w:pPr>
      <w:r>
        <w:rPr>
          <w:b/>
        </w:rPr>
        <w:t>Review status:</w:t>
      </w:r>
      <w:r>
        <w:t xml:space="preserve"> unchecked — possible relationship only</w:t>
      </w:r>
    </w:p>
    <w:p>
      <w:pPr>
        <w:pStyle w:val="Heading2"/>
      </w:pPr>
      <w:r>
        <w:t>8. Claim + two later sources: Life cycle assessment integration into energy system models: An application for Power-to-Methane in the EU</w:t>
      </w:r>
    </w:p>
    <w:p>
      <w:pPr>
        <w:pStyle w:val="SourceNote"/>
      </w:pPr>
      <w:r>
        <w:rPr>
          <w:b/>
        </w:rPr>
        <w:t>Group ID:</w:t>
      </w:r>
      <w:r>
        <w:t xml:space="preserve"> group-3014d2e60e0f02a1c62b</w:t>
      </w:r>
    </w:p>
    <w:p>
      <w:pPr>
        <w:pStyle w:val="SourceNote"/>
      </w:pPr>
      <w:r>
        <w:rPr>
          <w:b/>
        </w:rPr>
        <w:t>Original source:</w:t>
      </w:r>
      <w:r>
        <w:t xml:space="preserve"> https://doi.org/10.1016/j.apenergy.2019.114160</w:t>
      </w:r>
    </w:p>
    <w:p>
      <w:pPr/>
      <w:r>
        <w:rPr>
          <w:b/>
        </w:rPr>
        <w:t>Original future claim:</w:t>
      </w:r>
      <w:r>
        <w:t xml:space="preserve"> This study does an ex-post LCA analysis of results from JRC-EU-TIMES and estimates the environmental impact indicators across 18 categories in scenarios that achieve 80–95% CO2 emission reduction by 2050.</w:t>
      </w:r>
    </w:p>
    <w:p>
      <w:pPr/>
      <w:r>
        <w:rPr>
          <w:b/>
        </w:rPr>
        <w:t>Later source:</w:t>
      </w:r>
      <w:r>
        <w:t xml:space="preserve"> Ex-post impact of first- and second-pillar CAP payments on farm structural change — https://doi.org/10.5281/zenodo.19633685</w:t>
      </w:r>
    </w:p>
    <w:p>
      <w:pPr/>
      <w:r>
        <w:rPr>
          <w:b/>
        </w:rPr>
        <w:t>Later source:</w:t>
      </w:r>
      <w:r>
        <w:t xml:space="preserve"> Material Stories: Assessing Sustainability of Digital Fabrication with Bio-Based Materials Through LCA — https://doi.org/10.1007/978-3-031-69626-8_3</w:t>
      </w:r>
    </w:p>
    <w:p>
      <w:pPr>
        <w:pStyle w:val="SourceNote"/>
      </w:pPr>
      <w:r>
        <w:rPr>
          <w:b/>
        </w:rPr>
        <w:t>Review status:</w:t>
      </w:r>
      <w:r>
        <w:t xml:space="preserve"> unchecked — possible relationship only</w:t>
      </w:r>
    </w:p>
    <w:p>
      <w:pPr>
        <w:pStyle w:val="Heading2"/>
      </w:pPr>
      <w:r>
        <w:t>9. Claim + two later sources: A vibrant European labor market with full employment</w:t>
      </w:r>
    </w:p>
    <w:p>
      <w:pPr>
        <w:pStyle w:val="SourceNote"/>
      </w:pPr>
      <w:r>
        <w:rPr>
          <w:b/>
        </w:rPr>
        <w:t>Group ID:</w:t>
      </w:r>
      <w:r>
        <w:t xml:space="preserve"> group-dedbcb54deb67ebe9d52</w:t>
      </w:r>
    </w:p>
    <w:p>
      <w:pPr>
        <w:pStyle w:val="SourceNote"/>
      </w:pPr>
      <w:r>
        <w:rPr>
          <w:b/>
        </w:rPr>
        <w:t>Original source:</w:t>
      </w:r>
      <w:r>
        <w:t xml:space="preserve"> https://doi.org/10.1186/2193-9012-3-10</w:t>
      </w:r>
    </w:p>
    <w:p>
      <w:pPr/>
      <w:r>
        <w:rPr>
          <w:b/>
        </w:rPr>
        <w:t>Original future claim:</w:t>
      </w:r>
      <w:r>
        <w:t xml:space="preserve"> We hope these proposals will affect the debate about the future of the European Union, also with regard to the pivotal role and responsibility of the European Parliament and European Commission.</w:t>
      </w:r>
    </w:p>
    <w:p>
      <w:pPr/>
      <w:r>
        <w:rPr>
          <w:b/>
        </w:rPr>
        <w:t>Later source:</w:t>
      </w:r>
      <w:r>
        <w:t xml:space="preserve"> A Critical Assessment of the EU’s Digital Omnibus Regulation Proposal and its Impact on the GDPR — https://doi.org/10.1163/15718093-bja10181</w:t>
      </w:r>
    </w:p>
    <w:p>
      <w:pPr/>
      <w:r>
        <w:rPr>
          <w:b/>
        </w:rPr>
        <w:t>Later source:</w:t>
      </w:r>
      <w:r>
        <w:t xml:space="preserve"> Format of emergency department electronic health records in Europe. The European initiative and the eCREAM proposal — https://doi.org/10.3389/femer.2025.1558208</w:t>
      </w:r>
    </w:p>
    <w:p>
      <w:pPr>
        <w:pStyle w:val="SourceNote"/>
      </w:pPr>
      <w:r>
        <w:rPr>
          <w:b/>
        </w:rPr>
        <w:t>Review status:</w:t>
      </w:r>
      <w:r>
        <w:t xml:space="preserve"> unchecked — possible relationship only</w:t>
      </w:r>
    </w:p>
    <w:p>
      <w:pPr>
        <w:pStyle w:val="Heading2"/>
      </w:pPr>
      <w:r>
        <w:t>10. Claim + two later sources: Warming increases plant biomass and reduces diversity across continents, latitudes, and species migration scenarios in experimental wetland communities</w:t>
      </w:r>
    </w:p>
    <w:p>
      <w:pPr>
        <w:pStyle w:val="SourceNote"/>
      </w:pPr>
      <w:r>
        <w:rPr>
          <w:b/>
        </w:rPr>
        <w:t>Group ID:</w:t>
      </w:r>
      <w:r>
        <w:t xml:space="preserve"> group-f0146daddc4015afd8a9</w:t>
      </w:r>
    </w:p>
    <w:p>
      <w:pPr>
        <w:pStyle w:val="SourceNote"/>
      </w:pPr>
      <w:r>
        <w:rPr>
          <w:b/>
        </w:rPr>
        <w:t>Original source:</w:t>
      </w:r>
      <w:r>
        <w:t xml:space="preserve"> https://doi.org/10.1111/gcb.12378</w:t>
      </w:r>
    </w:p>
    <w:p>
      <w:pPr/>
      <w:r>
        <w:rPr>
          <w:b/>
        </w:rPr>
        <w:t>Original future claim:</w:t>
      </w:r>
      <w:r>
        <w:t xml:space="preserve"> These results reveal for the first time consistent impacts of warming on biomass and species richness for temperate wetland plant communities across continents, latitudes, and migration scenarios. Atmospheric warming may influence plant productivity and diversity and induce poleward migration of species, altering communities across latitudes.</w:t>
      </w:r>
    </w:p>
    <w:p>
      <w:pPr/>
      <w:r>
        <w:rPr>
          <w:b/>
        </w:rPr>
        <w:t>Later source:</w:t>
      </w:r>
      <w:r>
        <w:t xml:space="preserve"> Attainment of Steady State Algebraically: How Constant Coefficients in First and Second Order Differential Equations Reveal the Time Constant — https://doi.org/10.18260/1-2-510-57870</w:t>
      </w:r>
    </w:p>
    <w:p>
      <w:pPr/>
      <w:r>
        <w:rPr>
          <w:b/>
        </w:rPr>
        <w:t>Later source:</w:t>
      </w:r>
      <w:r>
        <w:t xml:space="preserve"> Collaborative effort between fishers and scientists reveals first-time evidence of the smalltooth sandtiger shark (Odontaspis ferox) in Puerto Rico — https://doi.org/10.1017/s0025315425100246</w:t>
      </w:r>
    </w:p>
    <w:p>
      <w:pPr>
        <w:pStyle w:val="SourceNote"/>
      </w:pPr>
      <w:r>
        <w:rPr>
          <w:b/>
        </w:rPr>
        <w:t>Review status:</w:t>
      </w:r>
      <w:r>
        <w:t xml:space="preserve"> unchecked — possible relationship only</w:t>
      </w:r>
    </w:p>
    <w:p>
      <w:pPr>
        <w:pStyle w:val="Heading2"/>
      </w:pPr>
      <w:r>
        <w:t>11. Claim + two later sources: Surveillance and Foresight Process of the Sustainable City Context: Innovation Potential Niches and Trends at the European Level</w:t>
      </w:r>
    </w:p>
    <w:p>
      <w:pPr>
        <w:pStyle w:val="SourceNote"/>
      </w:pPr>
      <w:r>
        <w:rPr>
          <w:b/>
        </w:rPr>
        <w:t>Group ID:</w:t>
      </w:r>
      <w:r>
        <w:t xml:space="preserve"> group-aaf9d33ed27074479fb6</w:t>
      </w:r>
    </w:p>
    <w:p>
      <w:pPr>
        <w:pStyle w:val="SourceNote"/>
      </w:pPr>
      <w:r>
        <w:rPr>
          <w:b/>
        </w:rPr>
        <w:t>Original source:</w:t>
      </w:r>
      <w:r>
        <w:t xml:space="preserve"> https://doi.org/10.3390/su14148795</w:t>
      </w:r>
    </w:p>
    <w:p>
      <w:pPr/>
      <w:r>
        <w:rPr>
          <w:b/>
        </w:rPr>
        <w:t>Original future claim:</w:t>
      </w:r>
      <w:r>
        <w:t xml:space="preserve"> Much of the pollution and energy consumption is attributed to cities, which are expected to increase in size and population in the coming years. In this regard, different agendas, strategies, and regulations have been published, such as the 2030 Agenda.</w:t>
      </w:r>
    </w:p>
    <w:p>
      <w:pPr/>
      <w:r>
        <w:rPr>
          <w:b/>
        </w:rPr>
        <w:t>Later source:</w:t>
      </w:r>
      <w:r>
        <w:t xml:space="preserve"> Air pollution and greenspace exposure disparities revealed by hyperlocal exposure metrics across European cities — https://doi.org/10.1038/s44458-026-00046-6</w:t>
      </w:r>
    </w:p>
    <w:p>
      <w:pPr/>
      <w:r>
        <w:rPr>
          <w:b/>
        </w:rPr>
        <w:t>Later source:</w:t>
      </w:r>
      <w:r>
        <w:t xml:space="preserve"> Air pollution hotspots in the European Union: A city-level risk assessment — https://doi.org/10.18686/cest622</w:t>
      </w:r>
    </w:p>
    <w:p>
      <w:pPr>
        <w:pStyle w:val="SourceNote"/>
      </w:pPr>
      <w:r>
        <w:rPr>
          <w:b/>
        </w:rPr>
        <w:t>Review status:</w:t>
      </w:r>
      <w:r>
        <w:t xml:space="preserve"> unchecked — possible relationship only</w:t>
      </w:r>
    </w:p>
    <w:p>
      <w:pPr>
        <w:pStyle w:val="Heading2"/>
      </w:pPr>
      <w:r>
        <w:t>12. Claim + two later sources: ENERGY: DEVELOPMENT FORECASTS, BIFURCATION POINTS (OVERVIEW)</w:t>
      </w:r>
    </w:p>
    <w:p>
      <w:pPr>
        <w:pStyle w:val="SourceNote"/>
      </w:pPr>
      <w:r>
        <w:rPr>
          <w:b/>
        </w:rPr>
        <w:t>Group ID:</w:t>
      </w:r>
      <w:r>
        <w:t xml:space="preserve"> group-68205caadbc251cf3cb4</w:t>
      </w:r>
    </w:p>
    <w:p>
      <w:pPr>
        <w:pStyle w:val="SourceNote"/>
      </w:pPr>
      <w:r>
        <w:rPr>
          <w:b/>
        </w:rPr>
        <w:t>Original source:</w:t>
      </w:r>
      <w:r>
        <w:t xml:space="preserve"> https://doi.org/10.31472/ttpe.4.2020.7</w:t>
      </w:r>
    </w:p>
    <w:p>
      <w:pPr/>
      <w:r>
        <w:rPr>
          <w:b/>
        </w:rPr>
        <w:t>Original future claim:</w:t>
      </w:r>
      <w:r>
        <w:t xml:space="preserve"> Global political changes in the USSR and in the world (the era of "perestroika", the collapse of the USSR and the entire socialist camp) made it impossible to fulfill the main provisions of the USSR Energy Program for the long term and the republican target complex scientific and technical program "Energocomplex", as well as the creation of a new production technology electric power (thermal power plant with combined cycle - MHD generator as a superstructure above the steam power unit). 2020 may also be a bifurcation point in the development of energy in the world and in the regions. Suggestions are made for the need to support the energy strategy, including the energy strategy adopted in Ukraine in 2017 for the period up to 2035, by working documents - operational sliding forecast plans (roadmaps) to manage and monitor its implementation at intermediate time intervals, creating perhaps a specialized structure for these purposes.</w:t>
      </w:r>
    </w:p>
    <w:p>
      <w:pPr/>
      <w:r>
        <w:rPr>
          <w:b/>
        </w:rPr>
        <w:t>Later source:</w:t>
      </w:r>
      <w:r>
        <w:t xml:space="preserve"> Women's Political Engagement and Empowerment in a Globalized World: The Indian Experience — https://doi.org/10.5281/zenodo.18943598</w:t>
      </w:r>
    </w:p>
    <w:p>
      <w:pPr/>
      <w:r>
        <w:rPr>
          <w:b/>
        </w:rPr>
        <w:t>Later source:</w:t>
      </w:r>
      <w:r>
        <w:t xml:space="preserve"> Ideological Foundations of the Militarization of World Politics in a Multipolar Era — https://doi.org/10.53658/rw2026-4-2(20)-24-34</w:t>
      </w:r>
    </w:p>
    <w:p>
      <w:pPr>
        <w:pStyle w:val="SourceNote"/>
      </w:pPr>
      <w:r>
        <w:rPr>
          <w:b/>
        </w:rPr>
        <w:t>Review status:</w:t>
      </w:r>
      <w:r>
        <w:t xml:space="preserve"> unchecked — possible relationship only</w:t>
      </w:r>
    </w:p>
    <w:p>
      <w:pPr>
        <w:pStyle w:val="Heading2"/>
      </w:pPr>
      <w:r>
        <w:t>13. Claim + two later sources: Foresight Research as а Strategic Planning Component</w:t>
      </w:r>
    </w:p>
    <w:p>
      <w:pPr>
        <w:pStyle w:val="SourceNote"/>
      </w:pPr>
      <w:r>
        <w:rPr>
          <w:b/>
        </w:rPr>
        <w:t>Group ID:</w:t>
      </w:r>
      <w:r>
        <w:t xml:space="preserve"> group-014cca9ac4a56e361a0c</w:t>
      </w:r>
    </w:p>
    <w:p>
      <w:pPr>
        <w:pStyle w:val="SourceNote"/>
      </w:pPr>
      <w:r>
        <w:rPr>
          <w:b/>
        </w:rPr>
        <w:t>Original source:</w:t>
      </w:r>
      <w:r>
        <w:t xml:space="preserve"> https://doi.org/10.37491/unz.85-86.15</w:t>
      </w:r>
    </w:p>
    <w:p>
      <w:pPr/>
      <w:r>
        <w:rPr>
          <w:b/>
        </w:rPr>
        <w:t>Original future claim:</w:t>
      </w:r>
      <w:r>
        <w:t xml:space="preserve"> While forecasting tries to predict a single «correct» version of the future, Forsythe uses several alternative plausible futures based on their usefulness to develop sound, forward-looking policies.</w:t>
      </w:r>
    </w:p>
    <w:p>
      <w:pPr/>
      <w:r>
        <w:rPr>
          <w:b/>
        </w:rPr>
        <w:t>Later source:</w:t>
      </w:r>
      <w:r>
        <w:t xml:space="preserve"> Challenges and Opportunities in Single-Sample Network Modeling — https://doi.org/10.64898/2026.02.27.708608</w:t>
      </w:r>
    </w:p>
    <w:p>
      <w:pPr/>
      <w:r>
        <w:rPr>
          <w:b/>
        </w:rPr>
        <w:t>Later source:</w:t>
      </w:r>
      <w:r>
        <w:t xml:space="preserve"> The impacts of virtual try-on for online shopping on consumer purchase intention: the moderating role of technology experience — https://doi.org/10.1080/23311975.2025.2500774</w:t>
      </w:r>
    </w:p>
    <w:p>
      <w:pPr>
        <w:pStyle w:val="SourceNote"/>
      </w:pPr>
      <w:r>
        <w:rPr>
          <w:b/>
        </w:rPr>
        <w:t>Review status:</w:t>
      </w:r>
      <w:r>
        <w:t xml:space="preserve"> unchecked — possible relationship only</w:t>
      </w:r>
    </w:p>
    <w:p>
      <w:pPr>
        <w:pStyle w:val="Heading2"/>
      </w:pPr>
      <w:r>
        <w:t>14. Claim + two later sources: Scenarios for Chemistry Teacher Training and Practice in Romania in 2030: Views of Chemistry Students</w:t>
      </w:r>
    </w:p>
    <w:p>
      <w:pPr>
        <w:pStyle w:val="SourceNote"/>
      </w:pPr>
      <w:r>
        <w:rPr>
          <w:b/>
        </w:rPr>
        <w:t>Group ID:</w:t>
      </w:r>
      <w:r>
        <w:t xml:space="preserve"> group-bf6da37232a3a5459754</w:t>
      </w:r>
    </w:p>
    <w:p>
      <w:pPr>
        <w:pStyle w:val="SourceNote"/>
      </w:pPr>
      <w:r>
        <w:rPr>
          <w:b/>
        </w:rPr>
        <w:t>Original source:</w:t>
      </w:r>
      <w:r>
        <w:t xml:space="preserve"> https://doi.org/10.13187/ejced.2017.4.797</w:t>
      </w:r>
    </w:p>
    <w:p>
      <w:pPr/>
      <w:r>
        <w:rPr>
          <w:b/>
        </w:rPr>
        <w:t>Original future claim:</w:t>
      </w:r>
      <w:r>
        <w:t xml:space="preserve"> Four scenarios regarding Chemistry teacher training and practice in Romania in 2030 were developed by using the 2x2 matrix design for scenario writing.The two driving forces taken in account for the design of scenarios were migration and consumerism.In two of the proposed scenarios teachers are trained to teach socioscientific courses at class.One aim of this study was to collect Chemistry students' views on the developed scenarios for Chemistry teacher training and practice in Romania in 2030.From the N=111 students tested, 51.35 % of students selected the most auspicious scenario as the scenario for teacher training and practice in 2030, a scenario which did not include teaching socioscientific courses at class.This result was confirmed to be statistically significant by the Kruskal-Wallis test (p&lt;0.01)and the Mann-Whitney U test (p &lt; 0.01).This made us wonder if the students are aware of the consequences in time of migration and consumerism and if a more comprehensive study was necessary, to identify the predictors for their selection of scenarios.</w:t>
      </w:r>
    </w:p>
    <w:p>
      <w:pPr/>
      <w:r>
        <w:rPr>
          <w:b/>
        </w:rPr>
        <w:t>Later source:</w:t>
      </w:r>
      <w:r>
        <w:t xml:space="preserve"> The Current Landscape of Ophthalmology Training in Europe — https://doi.org/10.7759/cureus.103487</w:t>
      </w:r>
    </w:p>
    <w:p>
      <w:pPr/>
      <w:r>
        <w:rPr>
          <w:b/>
        </w:rPr>
        <w:t>Later source:</w:t>
      </w:r>
      <w:r>
        <w:t xml:space="preserve"> The 11th European variety in university chemistry education (EuroVariety) 2025 conference in Kraków, Poland — https://doi.org/10.1515/cti-2026-0058</w:t>
      </w:r>
    </w:p>
    <w:p>
      <w:pPr>
        <w:pStyle w:val="SourceNote"/>
      </w:pPr>
      <w:r>
        <w:rPr>
          <w:b/>
        </w:rPr>
        <w:t>Review status:</w:t>
      </w:r>
      <w:r>
        <w:t xml:space="preserve"> unchecked — possible relationship only</w:t>
      </w:r>
    </w:p>
    <w:p>
      <w:pPr>
        <w:pStyle w:val="Heading2"/>
      </w:pPr>
      <w:r>
        <w:t>15. Claim + two later sources: Global food security: assessing trends in view of guiding future EU policies</w:t>
      </w:r>
    </w:p>
    <w:p>
      <w:pPr>
        <w:pStyle w:val="SourceNote"/>
      </w:pPr>
      <w:r>
        <w:rPr>
          <w:b/>
        </w:rPr>
        <w:t>Group ID:</w:t>
      </w:r>
      <w:r>
        <w:t xml:space="preserve"> group-0a1aa59e6b7b378e99ee</w:t>
      </w:r>
    </w:p>
    <w:p>
      <w:pPr>
        <w:pStyle w:val="SourceNote"/>
      </w:pPr>
      <w:r>
        <w:rPr>
          <w:b/>
        </w:rPr>
        <w:t>Original source:</w:t>
      </w:r>
      <w:r>
        <w:t xml:space="preserve"> https://doi.org/10.1108/fs-07-2015-0040</w:t>
      </w:r>
    </w:p>
    <w:p>
      <w:pPr/>
      <w:r>
        <w:rPr>
          <w:b/>
        </w:rPr>
        <w:t>Original future claim:</w:t>
      </w:r>
      <w:r>
        <w:t xml:space="preserve"> The structure of the foresight was designed based on the following five objectives: envision the future of food systems, agree on the most crucial drivers of change affecting food security, reach a consensus on a likely vision for 2030, challenge this vision and analyse current policies and policy needs in terms of responsiveness and resilience to food security future challenges. A new paradigm shift is proposed: securing “regular” access to adequate food for the majority of the 8-9 billion people who will live on earth in the period 2030-2050, while addressing the food insecurity of a fraction of that total, is how a future European food security policy should be approached.</w:t>
      </w:r>
    </w:p>
    <w:p>
      <w:pPr/>
      <w:r>
        <w:rPr>
          <w:b/>
        </w:rPr>
        <w:t>Later source:</w:t>
      </w:r>
      <w:r>
        <w:t xml:space="preserve"> The Need for Synergy in Foresight Research for Healthcare and Medical Sciences — https://doi.org/10.36401/iddb-25-1</w:t>
      </w:r>
    </w:p>
    <w:p>
      <w:pPr/>
      <w:r>
        <w:rPr>
          <w:b/>
        </w:rPr>
        <w:t>Later source:</w:t>
      </w:r>
      <w:r>
        <w:t xml:space="preserve"> From Reaction to Foresight: EUPHA’s vision for health security in Europe — https://doi.org/10.1093/eurpub/ckaf071</w:t>
      </w:r>
    </w:p>
    <w:p>
      <w:pPr>
        <w:pStyle w:val="SourceNote"/>
      </w:pPr>
      <w:r>
        <w:rPr>
          <w:b/>
        </w:rPr>
        <w:t>Review status:</w:t>
      </w:r>
      <w:r>
        <w:t xml:space="preserve"> unchecked — possible relationship only</w:t>
      </w:r>
    </w:p>
    <w:p>
      <w:pPr>
        <w:pStyle w:val="Heading2"/>
      </w:pPr>
      <w:r>
        <w:t>16. Claim + two later sources: Transition pathways for a UK low-carbon electricity system: Comparing scenarios and technology implications</w:t>
      </w:r>
    </w:p>
    <w:p>
      <w:pPr>
        <w:pStyle w:val="SourceNote"/>
      </w:pPr>
      <w:r>
        <w:rPr>
          <w:b/>
        </w:rPr>
        <w:t>Group ID:</w:t>
      </w:r>
      <w:r>
        <w:t xml:space="preserve"> group-5a26d4dd122e3c222ce2</w:t>
      </w:r>
    </w:p>
    <w:p>
      <w:pPr>
        <w:pStyle w:val="SourceNote"/>
      </w:pPr>
      <w:r>
        <w:rPr>
          <w:b/>
        </w:rPr>
        <w:t>Original source:</w:t>
      </w:r>
      <w:r>
        <w:t xml:space="preserve"> https://doi.org/10.1016/j.rser.2017.10.007</w:t>
      </w:r>
    </w:p>
    <w:p>
      <w:pPr/>
      <w:r>
        <w:rPr>
          <w:b/>
        </w:rPr>
        <w:t>Original future claim:</w:t>
      </w:r>
      <w:r>
        <w:t xml:space="preserve"> This can aid an informed debate on the technical feasibility and social acceptability of realising transition pathways for decarbonising the UK energy sector by 2050. The United Kingdom (UK) has placed itself on a transition towards a low-carbon economy and society, through the imposition of a goal of reducing its ‘greenhouse’ gas emissions by 80% by 2050.</w:t>
      </w:r>
    </w:p>
    <w:p>
      <w:pPr/>
      <w:r>
        <w:rPr>
          <w:b/>
        </w:rPr>
        <w:t>Later source:</w:t>
      </w:r>
      <w:r>
        <w:t xml:space="preserve"> Forms of autonomy and dependence in food aid: unravelling how they are related and perceived by recipients — https://doi.org/10.1007/s10460-025-10715-2</w:t>
      </w:r>
    </w:p>
    <w:p>
      <w:pPr/>
      <w:r>
        <w:rPr>
          <w:b/>
        </w:rPr>
        <w:t>Later source:</w:t>
      </w:r>
      <w:r>
        <w:t xml:space="preserve"> On race, equity and aid — https://doi.org/10.4337/9781800886810.00032</w:t>
      </w:r>
    </w:p>
    <w:p>
      <w:pPr>
        <w:pStyle w:val="SourceNote"/>
      </w:pPr>
      <w:r>
        <w:rPr>
          <w:b/>
        </w:rPr>
        <w:t>Review status:</w:t>
      </w:r>
      <w:r>
        <w:t xml:space="preserve"> unchecked — possible relationship only</w:t>
      </w:r>
    </w:p>
    <w:p>
      <w:pPr>
        <w:pStyle w:val="Heading2"/>
      </w:pPr>
      <w:r>
        <w:t>17. Claim + two later sources: Alternative scenarios investigation of 1990..2016 CO 2 emission from Public Electricity and Heat Production sectors in Europe</w:t>
      </w:r>
    </w:p>
    <w:p>
      <w:pPr>
        <w:pStyle w:val="SourceNote"/>
      </w:pPr>
      <w:r>
        <w:rPr>
          <w:b/>
        </w:rPr>
        <w:t>Group ID:</w:t>
      </w:r>
      <w:r>
        <w:t xml:space="preserve"> group-65a05aa2cf5f090740c9</w:t>
      </w:r>
    </w:p>
    <w:p>
      <w:pPr>
        <w:pStyle w:val="SourceNote"/>
      </w:pPr>
      <w:r>
        <w:rPr>
          <w:b/>
        </w:rPr>
        <w:t>Original source:</w:t>
      </w:r>
      <w:r>
        <w:t xml:space="preserve"> https://doi.org/10.1051/e3sconf/201911600053</w:t>
      </w:r>
    </w:p>
    <w:p>
      <w:pPr/>
      <w:r>
        <w:rPr>
          <w:b/>
        </w:rPr>
        <w:t>Original future claim:</w:t>
      </w:r>
      <w:r>
        <w:t xml:space="preserve"> Graphical overview of 108 prepared (real and alternatives) emission pathways allow assessing CO 2 emission factors impact, pathways grouping and indicating the dominant pathway of 1990..2016 decarbonisation in EU national PEHP sectors.</w:t>
      </w:r>
    </w:p>
    <w:p>
      <w:pPr/>
      <w:r>
        <w:rPr>
          <w:b/>
        </w:rPr>
        <w:t>Later source:</w:t>
      </w:r>
      <w:r>
        <w:t xml:space="preserve"> Emission Scenarios for Europe under the CATALYSE Project: Beyond the Green Deal — https://openalex.org/W7125621332</w:t>
      </w:r>
    </w:p>
    <w:p>
      <w:pPr/>
      <w:r>
        <w:rPr>
          <w:b/>
        </w:rPr>
        <w:t>Later source:</w:t>
      </w:r>
      <w:r>
        <w:t xml:space="preserve"> Emissions from Light-Duty Vehicles—From Statistics to Emission Regulations and Vehicle Testing in the European Union — https://doi.org/10.3390/en17010209</w:t>
      </w:r>
    </w:p>
    <w:p>
      <w:pPr>
        <w:pStyle w:val="SourceNote"/>
      </w:pPr>
      <w:r>
        <w:rPr>
          <w:b/>
        </w:rPr>
        <w:t>Review status:</w:t>
      </w:r>
      <w:r>
        <w:t xml:space="preserve"> unchecked — possible relationship only</w:t>
      </w:r>
    </w:p>
    <w:p>
      <w:pPr>
        <w:pStyle w:val="Heading2"/>
      </w:pPr>
      <w:r>
        <w:t>18. Claim + two later sources: Pathways for Low-Carbon Transition of the Steel Industry—A Swedish Case Study</w:t>
      </w:r>
    </w:p>
    <w:p>
      <w:pPr>
        <w:pStyle w:val="SourceNote"/>
      </w:pPr>
      <w:r>
        <w:rPr>
          <w:b/>
        </w:rPr>
        <w:t>Group ID:</w:t>
      </w:r>
      <w:r>
        <w:t xml:space="preserve"> group-9449a740dd4931166e0e</w:t>
      </w:r>
    </w:p>
    <w:p>
      <w:pPr>
        <w:pStyle w:val="SourceNote"/>
      </w:pPr>
      <w:r>
        <w:rPr>
          <w:b/>
        </w:rPr>
        <w:t>Original source:</w:t>
      </w:r>
      <w:r>
        <w:t xml:space="preserve"> https://doi.org/10.3390/en13153840</w:t>
      </w:r>
    </w:p>
    <w:p>
      <w:pPr/>
      <w:r>
        <w:rPr>
          <w:b/>
        </w:rPr>
        <w:t>Original future claim:</w:t>
      </w:r>
      <w:r>
        <w:t xml:space="preserve"> The results show that CCS in combination with biomass substitution in the blast furnace and a replacement primary steel production plant with EAF with biomass (Pathway 1) yield CO2 emission reductions of 83% in 2045 compared to CO2 emissions with current steel process configurations. Finally, (Pathway 3) we show that increased production of hot briquetted iron pellets (HBI), could lead to decarbonization of the steel industry outside Sweden, assuming that the exported HBI will be converted via EAF and the receiving country has a decarbonized power sector.</w:t>
      </w:r>
    </w:p>
    <w:p>
      <w:pPr/>
      <w:r>
        <w:rPr>
          <w:b/>
        </w:rPr>
        <w:t>Later source:</w:t>
      </w:r>
      <w:r>
        <w:t xml:space="preserve"> Carbon Capture and Storage (CCS) as a Pillar for Balancing Energy Transition and Climate Goals — https://doi.org/10.47191/etj/v10i08.12</w:t>
      </w:r>
    </w:p>
    <w:p>
      <w:pPr/>
      <w:r>
        <w:rPr>
          <w:b/>
        </w:rPr>
        <w:t>Later source:</w:t>
      </w:r>
      <w:r>
        <w:t xml:space="preserve"> Assessing the economic viability and scalability of carbon capture (CCS) in Louisiana : a comparative analysis of the 45Q tax credit and the EU emissions trading system — https://doi.org/10.26153/tsw/63320</w:t>
      </w:r>
    </w:p>
    <w:p>
      <w:pPr>
        <w:pStyle w:val="SourceNote"/>
      </w:pPr>
      <w:r>
        <w:rPr>
          <w:b/>
        </w:rPr>
        <w:t>Review status:</w:t>
      </w:r>
      <w:r>
        <w:t xml:space="preserve"> unchecked — possible relationship only</w:t>
      </w:r>
    </w:p>
    <w:p>
      <w:pPr>
        <w:pStyle w:val="Heading2"/>
      </w:pPr>
      <w:r>
        <w:t>19. Claim + two later sources: Alternative future energy pathways: Assessment of the potential of innovative decentralised energy systems in the UK</w:t>
      </w:r>
    </w:p>
    <w:p>
      <w:pPr>
        <w:pStyle w:val="SourceNote"/>
      </w:pPr>
      <w:r>
        <w:rPr>
          <w:b/>
        </w:rPr>
        <w:t>Group ID:</w:t>
      </w:r>
      <w:r>
        <w:t xml:space="preserve"> group-feb9fea8714f5ae7162e</w:t>
      </w:r>
    </w:p>
    <w:p>
      <w:pPr>
        <w:pStyle w:val="SourceNote"/>
      </w:pPr>
      <w:r>
        <w:rPr>
          <w:b/>
        </w:rPr>
        <w:t>Original source:</w:t>
      </w:r>
      <w:r>
        <w:t xml:space="preserve"> https://doi.org/10.1016/j.enpol.2013.10.080</w:t>
      </w:r>
    </w:p>
    <w:p>
      <w:pPr/>
      <w:r>
        <w:rPr>
          <w:b/>
        </w:rPr>
        <w:t>Original future claim:</w:t>
      </w:r>
      <w:r>
        <w:t xml:space="preserve"> In order to meet its 2050 target of 80% carbon emissions reduction, the UK is facing a challenge of restructuring its energy system, possibly by introducing more decentralised energy (DE) systems. The case studies present a high potential for replication and scaling up in the UK context and demonstrate that the increased implementation of DE systems could also enhance social and governance benefits.</w:t>
      </w:r>
    </w:p>
    <w:p>
      <w:pPr/>
      <w:r>
        <w:rPr>
          <w:b/>
        </w:rPr>
        <w:t>Later source:</w:t>
      </w:r>
      <w:r>
        <w:t xml:space="preserve"> Fleet renewal and retrofit for emission reductions in offshore logistics — https://doi.org/10.1016/j.martra.2026.100150</w:t>
      </w:r>
    </w:p>
    <w:p>
      <w:pPr/>
      <w:r>
        <w:rPr>
          <w:b/>
        </w:rPr>
        <w:t>Later source:</w:t>
      </w:r>
      <w:r>
        <w:t xml:space="preserve"> When order execution meets informed trading — https://doi.org/10.1080/14697688.2025.2479049</w:t>
      </w:r>
    </w:p>
    <w:p>
      <w:pPr>
        <w:pStyle w:val="SourceNote"/>
      </w:pPr>
      <w:r>
        <w:rPr>
          <w:b/>
        </w:rPr>
        <w:t>Review status:</w:t>
      </w:r>
      <w:r>
        <w:t xml:space="preserve"> unchecked — possible relationship only</w:t>
      </w:r>
    </w:p>
    <w:p>
      <w:pPr>
        <w:pStyle w:val="Heading2"/>
      </w:pPr>
      <w:r>
        <w:t>20. Claim + two later sources: Scenario Forecasting of Agriculture Institutional Transformation on Sustainable Development Base</w:t>
      </w:r>
    </w:p>
    <w:p>
      <w:pPr>
        <w:pStyle w:val="SourceNote"/>
      </w:pPr>
      <w:r>
        <w:rPr>
          <w:b/>
        </w:rPr>
        <w:t>Group ID:</w:t>
      </w:r>
      <w:r>
        <w:t xml:space="preserve"> group-13c25b67ed41d8512348</w:t>
      </w:r>
    </w:p>
    <w:p>
      <w:pPr>
        <w:pStyle w:val="SourceNote"/>
      </w:pPr>
      <w:r>
        <w:rPr>
          <w:b/>
        </w:rPr>
        <w:t>Original source:</w:t>
      </w:r>
      <w:r>
        <w:t xml:space="preserve"> https://doi.org/10.37394/232015.2021.17.55</w:t>
      </w:r>
    </w:p>
    <w:p>
      <w:pPr/>
      <w:r>
        <w:rPr>
          <w:b/>
        </w:rPr>
        <w:t>Original future claim:</w:t>
      </w:r>
      <w:r>
        <w:t xml:space="preserve"> Three scenarios of the forecast development of agricultural sector of Ukraine economy (pessimistic, realistic, and optimistic) are outlined in the article.</w:t>
      </w:r>
    </w:p>
    <w:p>
      <w:pPr/>
      <w:r>
        <w:rPr>
          <w:b/>
        </w:rPr>
        <w:t>Later source:</w:t>
      </w:r>
      <w:r>
        <w:t xml:space="preserve"> Agricultural Development and Industrialisation in South Korea: A Three-level Analysis of Productivity, Inter-sectoral Linkages, and GHGs Emissions — https://doi.org/10.25501/soas.01025535</w:t>
      </w:r>
    </w:p>
    <w:p>
      <w:pPr/>
      <w:r>
        <w:rPr>
          <w:b/>
        </w:rPr>
        <w:t>Later source:</w:t>
      </w:r>
      <w:r>
        <w:t xml:space="preserve"> Nexus between stock market and agricultural sector development in Nigeria and South Africa: Accounting for three-regime marginal-threshold effects — https://doi.org/10.1016/j.sciaf.2025.e02575</w:t>
      </w:r>
    </w:p>
    <w:p>
      <w:pPr>
        <w:pStyle w:val="SourceNote"/>
      </w:pPr>
      <w:r>
        <w:rPr>
          <w:b/>
        </w:rPr>
        <w:t>Review status:</w:t>
      </w:r>
      <w:r>
        <w:t xml:space="preserve"> unchecked — possible relationship only</w:t>
      </w:r>
    </w:p>
    <w:p>
      <w:pPr>
        <w:pStyle w:val="Heading2"/>
      </w:pPr>
      <w:r>
        <w:t>21. Claim + two later sources: Reform of experimental structures in animal science in France: From exploratory foresight to operational set-up</w:t>
      </w:r>
    </w:p>
    <w:p>
      <w:pPr>
        <w:pStyle w:val="SourceNote"/>
      </w:pPr>
      <w:r>
        <w:rPr>
          <w:b/>
        </w:rPr>
        <w:t>Group ID:</w:t>
      </w:r>
      <w:r>
        <w:t xml:space="preserve"> group-c79db56034b7d9c4220d</w:t>
      </w:r>
    </w:p>
    <w:p>
      <w:pPr>
        <w:pStyle w:val="SourceNote"/>
      </w:pPr>
      <w:r>
        <w:rPr>
          <w:b/>
        </w:rPr>
        <w:t>Original source:</w:t>
      </w:r>
      <w:r>
        <w:t xml:space="preserve"> https://doi.org/10.1684/agr.2014.0698</w:t>
      </w:r>
    </w:p>
    <w:p>
      <w:pPr/>
      <w:r>
        <w:rPr>
          <w:b/>
        </w:rPr>
        <w:t>Original future claim:</w:t>
      </w:r>
      <w:r>
        <w:t xml:space="preserve"> Based on a more general foresight exercise carried out at the national level (INRA 2020), different scenarios were built and then analysed for the 2025 horizon by a working group under the responsibility of an external chairman. Finally, four scenarios were submitted to the INRA General Direction who chose the European infrastructure.</w:t>
      </w:r>
    </w:p>
    <w:p>
      <w:pPr/>
      <w:r>
        <w:rPr>
          <w:b/>
        </w:rPr>
        <w:t>Later source:</w:t>
      </w:r>
      <w:r>
        <w:t xml:space="preserve"> Eye of Europe Foresight Training Manual — https://openalex.org/W7220785974</w:t>
      </w:r>
    </w:p>
    <w:p>
      <w:pPr/>
      <w:r>
        <w:rPr>
          <w:b/>
        </w:rPr>
        <w:t>Later source:</w:t>
      </w:r>
      <w:r>
        <w:t xml:space="preserve"> From Reaction to Foresight: EUPHA’s vision for health security in Europe — https://doi.org/10.1093/eurpub/ckaf071</w:t>
      </w:r>
    </w:p>
    <w:p>
      <w:pPr>
        <w:pStyle w:val="SourceNote"/>
      </w:pPr>
      <w:r>
        <w:rPr>
          <w:b/>
        </w:rPr>
        <w:t>Review status:</w:t>
      </w:r>
      <w:r>
        <w:t xml:space="preserve"> unchecked — possible relationship only</w:t>
      </w:r>
    </w:p>
    <w:p>
      <w:pPr>
        <w:pStyle w:val="Heading2"/>
      </w:pPr>
      <w:r>
        <w:t>22. Claim + two later sources: First-mover advantages of the European Union's climate change mitigation strategy</w:t>
      </w:r>
    </w:p>
    <w:p>
      <w:pPr>
        <w:pStyle w:val="SourceNote"/>
      </w:pPr>
      <w:r>
        <w:rPr>
          <w:b/>
        </w:rPr>
        <w:t>Group ID:</w:t>
      </w:r>
      <w:r>
        <w:t xml:space="preserve"> group-841469986b17791652a6</w:t>
      </w:r>
    </w:p>
    <w:p>
      <w:pPr>
        <w:pStyle w:val="SourceNote"/>
      </w:pPr>
      <w:r>
        <w:rPr>
          <w:b/>
        </w:rPr>
        <w:t>Original source:</w:t>
      </w:r>
      <w:r>
        <w:t xml:space="preserve"> https://doi.org/10.1002/er.3487</w:t>
      </w:r>
    </w:p>
    <w:p>
      <w:pPr/>
      <w:r>
        <w:rPr>
          <w:b/>
        </w:rPr>
        <w:t>Original future claim:</w:t>
      </w:r>
      <w:r>
        <w:t xml:space="preserve"> Assuming that strong climate mitigation action will be undertaken only after 2030, the scenarios compare two main strategies for the EU: pursuing strong emission reduction unilaterally until 2030 versus deferring action for the period after 2030. The model-based projections show clear advantages for the EU as a first mover in climate change mitigation compared with a delaying of climate action until 2030.</w:t>
      </w:r>
    </w:p>
    <w:p>
      <w:pPr/>
      <w:r>
        <w:rPr>
          <w:b/>
        </w:rPr>
        <w:t>Later source:</w:t>
      </w:r>
      <w:r>
        <w:t xml:space="preserve"> Climate change will increase forest disturbances in Europe throughout the 21st century — https://doi.org/10.1126/science.adx6329</w:t>
      </w:r>
    </w:p>
    <w:p>
      <w:pPr/>
      <w:r>
        <w:rPr>
          <w:b/>
        </w:rPr>
        <w:t>Later source:</w:t>
      </w:r>
      <w:r>
        <w:t xml:space="preserve"> Outpacing climate change: adaptation to heatwaves in Europe — https://doi.org/10.1007/s00484-025-02872-0</w:t>
      </w:r>
    </w:p>
    <w:p>
      <w:pPr>
        <w:pStyle w:val="SourceNote"/>
      </w:pPr>
      <w:r>
        <w:rPr>
          <w:b/>
        </w:rPr>
        <w:t>Review status:</w:t>
      </w:r>
      <w:r>
        <w:t xml:space="preserve"> unchecked — possible relationship only</w:t>
      </w:r>
    </w:p>
    <w:p>
      <w:pPr>
        <w:pStyle w:val="Heading2"/>
      </w:pPr>
      <w:r>
        <w:t>23. Claim + two later sources: Decarbonizing Sweden’s energy and transportation system by 2050</w:t>
      </w:r>
    </w:p>
    <w:p>
      <w:pPr>
        <w:pStyle w:val="SourceNote"/>
      </w:pPr>
      <w:r>
        <w:rPr>
          <w:b/>
        </w:rPr>
        <w:t>Group ID:</w:t>
      </w:r>
      <w:r>
        <w:t xml:space="preserve"> group-a9c8fa559a4918c408d0</w:t>
      </w:r>
    </w:p>
    <w:p>
      <w:pPr>
        <w:pStyle w:val="SourceNote"/>
      </w:pPr>
      <w:r>
        <w:rPr>
          <w:b/>
        </w:rPr>
        <w:t>Original source:</w:t>
      </w:r>
      <w:r>
        <w:t xml:space="preserve"> https://doi.org/10.5278/ijsepm.2017.14.2</w:t>
      </w:r>
    </w:p>
    <w:p>
      <w:pPr/>
      <w:r>
        <w:rPr>
          <w:b/>
        </w:rPr>
        <w:t>Original future claim:</w:t>
      </w:r>
      <w:r>
        <w:t xml:space="preserve"> Decarbonizing Sweden’s transportation sector is necessary to realize its long-term vision of eliminating net greenhouse gas (GHG) emissions from the energy system by 2050. Within this context, this study develops two scenarios for the transportation sector: one with high electrification (EVS) and the other with high biofuel and biomethane utilization (BIOS).</w:t>
      </w:r>
    </w:p>
    <w:p>
      <w:pPr/>
      <w:r>
        <w:rPr>
          <w:b/>
        </w:rPr>
        <w:t>Later source:</w:t>
      </w:r>
      <w:r>
        <w:t xml:space="preserve"> Decarbonization Pathways in the European Union: Sectoral Contributions to CO2 Emissions Reductions (2000–2022) — https://doi.org/10.3390/environments13030163</w:t>
      </w:r>
    </w:p>
    <w:p>
      <w:pPr/>
      <w:r>
        <w:rPr>
          <w:b/>
        </w:rPr>
        <w:t>Later source:</w:t>
      </w:r>
      <w:r>
        <w:t xml:space="preserve"> Decarbonization of European Industry: Modelling and Open Science (DEIMOS) — https://doi.org/10.5445/ir/1000196316</w:t>
      </w:r>
    </w:p>
    <w:p>
      <w:pPr>
        <w:pStyle w:val="SourceNote"/>
      </w:pPr>
      <w:r>
        <w:rPr>
          <w:b/>
        </w:rPr>
        <w:t>Review status:</w:t>
      </w:r>
      <w:r>
        <w:t xml:space="preserve"> unchecked — possible relationship only</w:t>
      </w:r>
    </w:p>
    <w:p>
      <w:pPr>
        <w:pStyle w:val="Heading2"/>
      </w:pPr>
      <w:r>
        <w:t>24. Claim + two later sources: Boosting the EU forest-based bioeconomy: Market, climate, and employment impacts</w:t>
      </w:r>
    </w:p>
    <w:p>
      <w:pPr>
        <w:pStyle w:val="SourceNote"/>
      </w:pPr>
      <w:r>
        <w:rPr>
          <w:b/>
        </w:rPr>
        <w:t>Group ID:</w:t>
      </w:r>
      <w:r>
        <w:t xml:space="preserve"> group-90403a95049e086a1a85</w:t>
      </w:r>
    </w:p>
    <w:p>
      <w:pPr>
        <w:pStyle w:val="SourceNote"/>
      </w:pPr>
      <w:r>
        <w:rPr>
          <w:b/>
        </w:rPr>
        <w:t>Original source:</w:t>
      </w:r>
      <w:r>
        <w:t xml:space="preserve"> https://doi.org/10.1016/j.techfore.2020.120478</w:t>
      </w:r>
    </w:p>
    <w:p>
      <w:pPr/>
      <w:r>
        <w:rPr>
          <w:b/>
        </w:rPr>
        <w:t>Original future claim:</w:t>
      </w:r>
      <w:r>
        <w:t xml:space="preserve"> Further, increased EU imports, resulting in lower consumption of sawnwood outside the EU, would reduce extra-EU long-life HWP carbon storage and substitution of GHG-intensive materials, highlighting the need for concerted international climate change mitigation. The positive EU climate-change mitigation effects of increased carbon storage in harvested wood products (HWP) and material substitution from increased wood\nconstruction are more than offset by reduced net forests carbon sinks by 2030, due to increased EU harvests.</w:t>
      </w:r>
    </w:p>
    <w:p>
      <w:pPr/>
      <w:r>
        <w:rPr>
          <w:b/>
        </w:rPr>
        <w:t>Later source:</w:t>
      </w:r>
      <w:r>
        <w:t xml:space="preserve"> Antidepressant drug use in Europe: past consumption, prescribing patterns and forecast until 2030 — https://doi.org/10.1007/s11096-025-02078-9</w:t>
      </w:r>
    </w:p>
    <w:p>
      <w:pPr/>
      <w:r>
        <w:rPr>
          <w:b/>
        </w:rPr>
        <w:t>Later source:</w:t>
      </w:r>
      <w:r>
        <w:t xml:space="preserve"> CHANGES IN FRUIT PRODUCTION AND IMPORTS FROM TURKEY TO EUROPEAN UNION COUNTRIES — https://doi.org/10.5604/01.3001.0055.6187</w:t>
      </w:r>
    </w:p>
    <w:p>
      <w:pPr>
        <w:pStyle w:val="SourceNote"/>
      </w:pPr>
      <w:r>
        <w:rPr>
          <w:b/>
        </w:rPr>
        <w:t>Review status:</w:t>
      </w:r>
      <w:r>
        <w:t xml:space="preserve"> unchecked — possible relationship only</w:t>
      </w:r>
    </w:p>
    <w:p>
      <w:pPr>
        <w:pStyle w:val="Heading2"/>
      </w:pPr>
      <w:r>
        <w:t>25. Claim + two later sources: The Great Future Debate and the Struggle for the World</w:t>
      </w:r>
    </w:p>
    <w:p>
      <w:pPr>
        <w:pStyle w:val="SourceNote"/>
      </w:pPr>
      <w:r>
        <w:rPr>
          <w:b/>
        </w:rPr>
        <w:t>Group ID:</w:t>
      </w:r>
      <w:r>
        <w:t xml:space="preserve"> group-82f987ed33147b1cc019</w:t>
      </w:r>
    </w:p>
    <w:p>
      <w:pPr>
        <w:pStyle w:val="SourceNote"/>
      </w:pPr>
      <w:r>
        <w:rPr>
          <w:b/>
        </w:rPr>
        <w:t>Original source:</w:t>
      </w:r>
      <w:r>
        <w:t xml:space="preserve"> https://doi.org/10.1093/ahr/117.5.1411</w:t>
      </w:r>
    </w:p>
    <w:p>
      <w:pPr/>
      <w:r>
        <w:rPr>
          <w:b/>
        </w:rPr>
        <w:t>Original future claim:</w:t>
      </w:r>
      <w:r>
        <w:t xml:space="preserve"> Futurists had radically different understandings not only of what the future was and the way it could be studied, but also of the ways in which prediction could be used to control or protest certain futures. She is the holder of an ERC Starting Investigator Grant for the project Futurepol: A Political History of the Future—Knowledge Production and Future Governance, 1945–2010, and is currently working on a book on the global history of the future.</w:t>
      </w:r>
    </w:p>
    <w:p>
      <w:pPr/>
      <w:r>
        <w:rPr>
          <w:b/>
        </w:rPr>
        <w:t>Later source:</w:t>
      </w:r>
      <w:r>
        <w:t xml:space="preserve"> A MASS EFFECT CASE STUDY OF MORPHED HUMANITY, FROM INDIVIDUALS TO POPULATIONS IN A BIOTECHNOLOGICAL FUTURIST SOCIETY — https://openalex.org/W7112949524</w:t>
      </w:r>
    </w:p>
    <w:p>
      <w:pPr/>
      <w:r>
        <w:rPr>
          <w:b/>
        </w:rPr>
        <w:t>Later source:</w:t>
      </w:r>
      <w:r>
        <w:t xml:space="preserve"> THE ANTI-THEATER OF FUTURISTS AND DADAISTS AS A REFUTATION OF ARISTOTLE’S CONCEPT OF MIMETIC THEATER — https://doi.org/10.30970/vas.26.2025.206-216</w:t>
      </w:r>
    </w:p>
    <w:p>
      <w:pPr>
        <w:pStyle w:val="SourceNote"/>
      </w:pPr>
      <w:r>
        <w:rPr>
          <w:b/>
        </w:rPr>
        <w:t>Review status:</w:t>
      </w:r>
      <w:r>
        <w:t xml:space="preserve"> unchecked — possible relationship only</w:t>
      </w:r>
    </w:p>
    <w:p>
      <w:pPr>
        <w:pStyle w:val="Heading2"/>
      </w:pPr>
      <w:r>
        <w:t>26. Claim + two later sources: Clean Disruption for Abundant Futures - Neo-Carbon Energy Futures Clinique III</w:t>
      </w:r>
    </w:p>
    <w:p>
      <w:pPr>
        <w:pStyle w:val="SourceNote"/>
      </w:pPr>
      <w:r>
        <w:rPr>
          <w:b/>
        </w:rPr>
        <w:t>Group ID:</w:t>
      </w:r>
      <w:r>
        <w:t xml:space="preserve"> group-138edc5df74d24d28bbc</w:t>
      </w:r>
    </w:p>
    <w:p>
      <w:pPr>
        <w:pStyle w:val="SourceNote"/>
      </w:pPr>
      <w:r>
        <w:rPr>
          <w:b/>
        </w:rPr>
        <w:t>Original source:</w:t>
      </w:r>
      <w:r>
        <w:t xml:space="preserve"> https://doi.org/10.13140/rg.2.2.25471.87200</w:t>
      </w:r>
    </w:p>
    <w:p>
      <w:pPr/>
      <w:r>
        <w:rPr>
          <w:b/>
        </w:rPr>
        <w:t>Original future claim:</w:t>
      </w:r>
      <w:r>
        <w:t xml:space="preserve"> The four transformational scenarios of the Neo-Carbon Energy project were used as material for the groups’ foresight work.</w:t>
      </w:r>
    </w:p>
    <w:p>
      <w:pPr/>
      <w:r>
        <w:rPr>
          <w:b/>
        </w:rPr>
        <w:t>Later source:</w:t>
      </w:r>
      <w:r>
        <w:t xml:space="preserve"> Globalization and digital transformation: are impacts on skills and inequality in four future scenarios converging? — https://doi.org/10.1080/13511610.2026.2656886</w:t>
      </w:r>
    </w:p>
    <w:p>
      <w:pPr/>
      <w:r>
        <w:rPr>
          <w:b/>
        </w:rPr>
        <w:t>Later source:</w:t>
      </w:r>
      <w:r>
        <w:t xml:space="preserve"> DRIVERS OF AGILE TRANSFORMATION IN PREDICTIVE PROJECT MANAGEMENT ENVIRONMENTS — https://doi.org/10.32782/bses.100-20</w:t>
      </w:r>
    </w:p>
    <w:p>
      <w:pPr>
        <w:pStyle w:val="SourceNote"/>
      </w:pPr>
      <w:r>
        <w:rPr>
          <w:b/>
        </w:rPr>
        <w:t>Review status:</w:t>
      </w:r>
      <w:r>
        <w:t xml:space="preserve"> unchecked — possible relationship only</w:t>
      </w:r>
    </w:p>
    <w:p>
      <w:pPr>
        <w:pStyle w:val="Heading2"/>
      </w:pPr>
      <w:r>
        <w:t>27. Claim + two later sources: Pressures on soil functions from soil management in Germany. A foresight review</w:t>
      </w:r>
    </w:p>
    <w:p>
      <w:pPr>
        <w:pStyle w:val="SourceNote"/>
      </w:pPr>
      <w:r>
        <w:rPr>
          <w:b/>
        </w:rPr>
        <w:t>Group ID:</w:t>
      </w:r>
      <w:r>
        <w:t xml:space="preserve"> group-c283ced019c0606ebd63</w:t>
      </w:r>
    </w:p>
    <w:p>
      <w:pPr>
        <w:pStyle w:val="SourceNote"/>
      </w:pPr>
      <w:r>
        <w:rPr>
          <w:b/>
        </w:rPr>
        <w:t>Original source:</w:t>
      </w:r>
      <w:r>
        <w:t xml:space="preserve"> https://doi.org/10.1007/s13593-017-0473-3</w:t>
      </w:r>
    </w:p>
    <w:p>
      <w:pPr/>
      <w:r>
        <w:rPr>
          <w:b/>
        </w:rPr>
        <w:t>Original future claim:</w:t>
      </w:r>
      <w:r>
        <w:t xml:space="preserve"> We analyzed socio-economic, biophysical and technological drivers and identified two types of future management changes: (1) Quantitative changes, i.e., more or less of the same input factors, such as fertilizers, as part of a moderate intensification. Positive practices may be reinforced by a behavioral trend towards sustainable soil management, driven by increasing awareness, knowledge, and consumer demand.</w:t>
      </w:r>
    </w:p>
    <w:p>
      <w:pPr/>
      <w:r>
        <w:rPr>
          <w:b/>
        </w:rPr>
        <w:t>Later source:</w:t>
      </w:r>
      <w:r>
        <w:t xml:space="preserve"> Public Acceptance and Socio-Economic Drivers of Renewable District Heating: Evidence from Italy — https://doi.org/10.3390/en19010096</w:t>
      </w:r>
    </w:p>
    <w:p>
      <w:pPr/>
      <w:r>
        <w:rPr>
          <w:b/>
        </w:rPr>
        <w:t>Later source:</w:t>
      </w:r>
      <w:r>
        <w:t xml:space="preserve"> Detecting the socio-economic drivers of confidence in government with eXplainable Artificial Intelligence — https://doi.org/10.1038/s41598-023-28020-5</w:t>
      </w:r>
    </w:p>
    <w:p>
      <w:pPr>
        <w:pStyle w:val="SourceNote"/>
      </w:pPr>
      <w:r>
        <w:rPr>
          <w:b/>
        </w:rPr>
        <w:t>Review status:</w:t>
      </w:r>
      <w:r>
        <w:t xml:space="preserve"> unchecked — possible relationship only</w:t>
      </w:r>
    </w:p>
    <w:p>
      <w:pPr>
        <w:pStyle w:val="Heading2"/>
      </w:pPr>
      <w:r>
        <w:t>28. Claim + two later sources: Energy Vision Strategies for the EU Green New Deal: A Case Study of European Cities</w:t>
      </w:r>
    </w:p>
    <w:p>
      <w:pPr>
        <w:pStyle w:val="SourceNote"/>
      </w:pPr>
      <w:r>
        <w:rPr>
          <w:b/>
        </w:rPr>
        <w:t>Group ID:</w:t>
      </w:r>
      <w:r>
        <w:t xml:space="preserve"> group-2cf48b358865fda211a8</w:t>
      </w:r>
    </w:p>
    <w:p>
      <w:pPr>
        <w:pStyle w:val="SourceNote"/>
      </w:pPr>
      <w:r>
        <w:rPr>
          <w:b/>
        </w:rPr>
        <w:t>Original source:</w:t>
      </w:r>
      <w:r>
        <w:t xml:space="preserve"> https://doi.org/10.3390/en13092194</w:t>
      </w:r>
    </w:p>
    <w:p>
      <w:pPr/>
      <w:r>
        <w:rPr>
          <w:b/>
        </w:rPr>
        <w:t>Original future claim:</w:t>
      </w:r>
      <w:r>
        <w:t xml:space="preserve"> There are three strategic levels for successful energy planning in cities: 1) Integration strategy for integrating energy planning into urban planning institutions; 2) Practice strategy for developing suitable energy planning practices in urban planning institutions, and 3) Vision strategy for the creation and integration of energy visions and scenarios required for long-term decarbonisation. The article concludes with several recommendations, particularly that cities need to see scenarios as retainable long-term servants providing information desired by the planner, rather than serving as a guide to the planner.</w:t>
      </w:r>
    </w:p>
    <w:p>
      <w:pPr/>
      <w:r>
        <w:rPr>
          <w:b/>
        </w:rPr>
        <w:t>Later source:</w:t>
      </w:r>
      <w:r>
        <w:t xml:space="preserve"> Strategic autonomy: A ‘quantum leap forward on’ European total defence? — https://doi.org/10.1017/eis.2025.10034</w:t>
      </w:r>
    </w:p>
    <w:p>
      <w:pPr/>
      <w:r>
        <w:rPr>
          <w:b/>
        </w:rPr>
        <w:t>Later source:</w:t>
      </w:r>
      <w:r>
        <w:t xml:space="preserve"> Reassessing the benefits of European integration and the European Union's ability to achieve strategic autonomy — https://openalex.org/W7130901115</w:t>
      </w:r>
    </w:p>
    <w:p>
      <w:pPr>
        <w:pStyle w:val="SourceNote"/>
      </w:pPr>
      <w:r>
        <w:rPr>
          <w:b/>
        </w:rPr>
        <w:t>Review status:</w:t>
      </w:r>
      <w:r>
        <w:t xml:space="preserve"> unchecked — possible relationship only</w:t>
      </w:r>
    </w:p>
    <w:p>
      <w:pPr>
        <w:pStyle w:val="Heading2"/>
      </w:pPr>
      <w:r>
        <w:t>29. Claim + two later sources: Developed Foresight for Borders Model Predicts the Amount of Borders Traffic in Finland</w:t>
      </w:r>
    </w:p>
    <w:p>
      <w:pPr>
        <w:pStyle w:val="SourceNote"/>
      </w:pPr>
      <w:r>
        <w:rPr>
          <w:b/>
        </w:rPr>
        <w:t>Group ID:</w:t>
      </w:r>
      <w:r>
        <w:t xml:space="preserve"> group-056783c38b4135480674</w:t>
      </w:r>
    </w:p>
    <w:p>
      <w:pPr>
        <w:pStyle w:val="SourceNote"/>
      </w:pPr>
      <w:r>
        <w:rPr>
          <w:b/>
        </w:rPr>
        <w:t>Original source:</w:t>
      </w:r>
      <w:r>
        <w:t xml:space="preserve"> https://doi.org/10.30958/ajt.3-2-3</w:t>
      </w:r>
    </w:p>
    <w:p>
      <w:pPr/>
      <w:r>
        <w:rPr>
          <w:b/>
        </w:rPr>
        <w:t>Original future claim:</w:t>
      </w:r>
      <w:r>
        <w:t xml:space="preserve"> This paper describes the factors which have an influence on travelling and presents the forecast model to Finnish-Russian land border.The number of border traffic between Finland and the Russian Federation's border stations has been an upward trend through the 2000s.A significant part of growth is due to increased travelling of the Russian Federation's citizens to the European Union.Forecasting of cross-border traffic and tourism in Finnish-Russian land border has been based on the official statistics.Laurea University of Applied Sciences carried out a study which generates information on the factors that influence on border traffic.The research study is based on qualitative methods and co-creation tools.As a finding, the key structural factors are tourist's motivations, service and infrastructure in border station, and travelling documents.Foresight for Borders model predicts the amount of border traffic which are based on the key structural factors.Foresight for Borders model will improve service at the border stations by providing information of the traffic amounts that are anticipated to cross the border during specified time periods.As a conclusion, the study can be stated to be necessary in terms of creating new approaches to border service, security and tourism studies.</w:t>
      </w:r>
    </w:p>
    <w:p>
      <w:pPr/>
      <w:r>
        <w:rPr>
          <w:b/>
        </w:rPr>
        <w:t>Later source:</w:t>
      </w:r>
      <w:r>
        <w:t xml:space="preserve"> Factors influencing internationalization of micro-enterprises and SMEs in Central Europe — https://doi.org/10.14254/2071-8330.2025/18-1/11</w:t>
      </w:r>
    </w:p>
    <w:p>
      <w:pPr/>
      <w:r>
        <w:rPr>
          <w:b/>
        </w:rPr>
        <w:t>Later source:</w:t>
      </w:r>
      <w:r>
        <w:t xml:space="preserve"> Factors Influencing the Perception of Corruption in the Countries of the European Union — https://doi.org/10.28991/esj-2025-09-03-03</w:t>
      </w:r>
    </w:p>
    <w:p>
      <w:pPr>
        <w:pStyle w:val="SourceNote"/>
      </w:pPr>
      <w:r>
        <w:rPr>
          <w:b/>
        </w:rPr>
        <w:t>Review status:</w:t>
      </w:r>
      <w:r>
        <w:t xml:space="preserve"> unchecked — possible relationship only</w:t>
      </w:r>
    </w:p>
    <w:p>
      <w:pPr>
        <w:pStyle w:val="Heading2"/>
      </w:pPr>
      <w:r>
        <w:t>30. Claim + two later sources: Integrated energy planning to meet 2050 European targets: A Southern Italian region case study</w:t>
      </w:r>
    </w:p>
    <w:p>
      <w:pPr>
        <w:pStyle w:val="SourceNote"/>
      </w:pPr>
      <w:r>
        <w:rPr>
          <w:b/>
        </w:rPr>
        <w:t>Group ID:</w:t>
      </w:r>
      <w:r>
        <w:t xml:space="preserve"> group-b8156ce1af1ba94cc5f9</w:t>
      </w:r>
    </w:p>
    <w:p>
      <w:pPr>
        <w:pStyle w:val="SourceNote"/>
      </w:pPr>
      <w:r>
        <w:rPr>
          <w:b/>
        </w:rPr>
        <w:t>Original source:</w:t>
      </w:r>
      <w:r>
        <w:t xml:space="preserve"> https://doi.org/10.1016/j.esr.2022.100844</w:t>
      </w:r>
    </w:p>
    <w:p>
      <w:pPr/>
      <w:r>
        <w:rPr>
          <w:b/>
        </w:rPr>
        <w:t>Original future claim:</w:t>
      </w:r>
      <w:r>
        <w:t xml:space="preserve"> The 2030 ‘transition scenario’ is characterized by a reduction in GHG emissions. The results obtained show that the 2030 ‘transition’ scenario is characterized by a reduction in the “1990 CO2 emissions” of approximately 45%.</w:t>
      </w:r>
    </w:p>
    <w:p>
      <w:pPr/>
      <w:r>
        <w:rPr>
          <w:b/>
        </w:rPr>
        <w:t>Later source:</w:t>
      </w:r>
      <w:r>
        <w:t xml:space="preserve"> Regional Energy Transition: Decoupling CO2 Emissions and Policy Perspectives — https://doi.org/10.3390/su18020652</w:t>
      </w:r>
    </w:p>
    <w:p>
      <w:pPr/>
      <w:r>
        <w:rPr>
          <w:b/>
        </w:rPr>
        <w:t>Later source:</w:t>
      </w:r>
      <w:r>
        <w:t xml:space="preserve"> Spatial Analysis of the Progress of Energy Transition in Europe — https://doi.org/10.3390/en19020353</w:t>
      </w:r>
    </w:p>
    <w:p>
      <w:pPr>
        <w:pStyle w:val="SourceNote"/>
      </w:pPr>
      <w:r>
        <w:rPr>
          <w:b/>
        </w:rPr>
        <w:t>Review status:</w:t>
      </w:r>
      <w:r>
        <w:t xml:space="preserve"> unchecked — possible relationship only</w:t>
      </w:r>
    </w:p>
    <w:p>
      <w:pPr>
        <w:pStyle w:val="Heading2"/>
      </w:pPr>
      <w:r>
        <w:t>31. Claim + two later sources: Implementing exogenous scenarios in a global MRIO model for the estimation of future environmental footprints</w:t>
      </w:r>
    </w:p>
    <w:p>
      <w:pPr>
        <w:pStyle w:val="SourceNote"/>
      </w:pPr>
      <w:r>
        <w:rPr>
          <w:b/>
        </w:rPr>
        <w:t>Group ID:</w:t>
      </w:r>
      <w:r>
        <w:t xml:space="preserve"> group-b9f56664751457d2483a</w:t>
      </w:r>
    </w:p>
    <w:p>
      <w:pPr>
        <w:pStyle w:val="SourceNote"/>
      </w:pPr>
      <w:r>
        <w:rPr>
          <w:b/>
        </w:rPr>
        <w:t>Original source:</w:t>
      </w:r>
      <w:r>
        <w:t xml:space="preserve"> https://doi.org/10.1186/s40008-018-0118-y</w:t>
      </w:r>
    </w:p>
    <w:p>
      <w:pPr/>
      <w:r>
        <w:rPr>
          <w:b/>
        </w:rPr>
        <w:t>Original future claim:</w:t>
      </w:r>
      <w:r>
        <w:t xml:space="preserve"> As an additional example, we show that the energy dependency of Europe is reduced in the 2-degree scenario compared to the 6-degree scenario, while the material dependency is higher. This paper introduces a simple approach to implementing existing climate change scenarios, such as the IEA energy technology perspective scenarios, in MRIO models.</w:t>
      </w:r>
    </w:p>
    <w:p>
      <w:pPr/>
      <w:r>
        <w:rPr>
          <w:b/>
        </w:rPr>
        <w:t>Later source:</w:t>
      </w:r>
      <w:r>
        <w:t xml:space="preserve"> Challenges in digitalization in outdoor recreation: The example of the European pond turtle — https://doi.org/10.1016/j.jort.2026.101095</w:t>
      </w:r>
    </w:p>
    <w:p>
      <w:pPr/>
      <w:r>
        <w:rPr>
          <w:b/>
        </w:rPr>
        <w:t>Later source:</w:t>
      </w:r>
      <w:r>
        <w:t xml:space="preserve"> Future evolution of large floods in Europe — https://doi.org/10.5194/egusphere-egu25-9464</w:t>
      </w:r>
    </w:p>
    <w:p>
      <w:pPr>
        <w:pStyle w:val="SourceNote"/>
      </w:pPr>
      <w:r>
        <w:rPr>
          <w:b/>
        </w:rPr>
        <w:t>Review status:</w:t>
      </w:r>
      <w:r>
        <w:t xml:space="preserve"> unchecked — possible relationship only</w:t>
      </w:r>
    </w:p>
    <w:p>
      <w:pPr>
        <w:pStyle w:val="Heading2"/>
      </w:pPr>
      <w:r>
        <w:t>32. Claim + two later sources: Assessing the impact of the 2011 EU Transport White Paper - a rail freight demand forecast up to 2050 for the EU27</w:t>
      </w:r>
    </w:p>
    <w:p>
      <w:pPr>
        <w:pStyle w:val="SourceNote"/>
      </w:pPr>
      <w:r>
        <w:rPr>
          <w:b/>
        </w:rPr>
        <w:t>Group ID:</w:t>
      </w:r>
      <w:r>
        <w:t xml:space="preserve"> group-6527a6a69297a0a80dec</w:t>
      </w:r>
    </w:p>
    <w:p>
      <w:pPr>
        <w:pStyle w:val="SourceNote"/>
      </w:pPr>
      <w:r>
        <w:rPr>
          <w:b/>
        </w:rPr>
        <w:t>Original source:</w:t>
      </w:r>
      <w:r>
        <w:t xml:space="preserve"> https://doi.org/10.1007/s12544-015-0171-7</w:t>
      </w:r>
    </w:p>
    <w:p>
      <w:pPr/>
      <w:r>
        <w:rPr>
          <w:b/>
        </w:rPr>
        <w:t>Original future claim:</w:t>
      </w:r>
      <w:r>
        <w:t xml:space="preserve"> In stark contrast, the White paper High scenario results show that demand for rail freight services almost doubles compared to the Reference values. Specifically: a modal shift, from road to rail, and waterway transport, of 30 % by 2030 and 50 % by 2050 - for distances greater than 300 km.</w:t>
      </w:r>
    </w:p>
    <w:p>
      <w:pPr/>
      <w:r>
        <w:rPr>
          <w:b/>
        </w:rPr>
        <w:t>Later source:</w:t>
      </w:r>
      <w:r>
        <w:t xml:space="preserve"> Molecular Epidemiology and Evolution of European Bat Lyssavirus 2 — https://doi.org/10.3390/ijms19010156</w:t>
      </w:r>
    </w:p>
    <w:p>
      <w:pPr/>
      <w:r>
        <w:rPr>
          <w:b/>
        </w:rPr>
        <w:t>Later source:</w:t>
      </w:r>
      <w:r>
        <w:t xml:space="preserve"> Mar de plástico: Masculinity, Whiteness, and Eastern European Migrants in Spanish Prime Time Television — https://doi.org/10.5070/t482041118</w:t>
      </w:r>
    </w:p>
    <w:p>
      <w:pPr>
        <w:pStyle w:val="SourceNote"/>
      </w:pPr>
      <w:r>
        <w:rPr>
          <w:b/>
        </w:rPr>
        <w:t>Review status:</w:t>
      </w:r>
      <w:r>
        <w:t xml:space="preserve"> unchecked — possible relationship only</w:t>
      </w:r>
    </w:p>
    <w:p>
      <w:pPr>
        <w:pStyle w:val="Heading2"/>
      </w:pPr>
      <w:r>
        <w:t>33. Claim + two later sources: Investigating syndromes of agricultural land degradation through past trajectories and future scenarios</w:t>
      </w:r>
    </w:p>
    <w:p>
      <w:pPr>
        <w:pStyle w:val="SourceNote"/>
      </w:pPr>
      <w:r>
        <w:rPr>
          <w:b/>
        </w:rPr>
        <w:t>Group ID:</w:t>
      </w:r>
      <w:r>
        <w:t xml:space="preserve"> group-a2858903c83f364ce70a</w:t>
      </w:r>
    </w:p>
    <w:p>
      <w:pPr>
        <w:pStyle w:val="SourceNote"/>
      </w:pPr>
      <w:r>
        <w:rPr>
          <w:b/>
        </w:rPr>
        <w:t>Original source:</w:t>
      </w:r>
      <w:r>
        <w:t xml:space="preserve"> https://doi.org/10.1080/00380768.2013.843438</w:t>
      </w:r>
    </w:p>
    <w:p>
      <w:pPr/>
      <w:r>
        <w:rPr>
          <w:b/>
        </w:rPr>
        <w:t>Original future claim:</w:t>
      </w:r>
      <w:r>
        <w:t xml:space="preserve"> In concrete terms, LD determines a reduction in the productivity of a territory and in its capacity of providing ecosystem goods and services. “Syndromes” of LD can be assessed in the past, and scenarios, conversely, can be developed for the future, as information baselines for sustainable land management strategies and interventions. The identification of such spatially explicit LD syndromes, which can also be projected on the basis of future scenarios, allows proposing and evaluating focussed measures of sustainable land management.</w:t>
      </w:r>
    </w:p>
    <w:p>
      <w:pPr/>
      <w:r>
        <w:rPr>
          <w:b/>
        </w:rPr>
        <w:t>Later source:</w:t>
      </w:r>
      <w:r>
        <w:t xml:space="preserve"> Performance Evaluation of Concrete with Recycled Waste Polypropylene — https://doi.org/10.6084/m9.figshare.31871653</w:t>
      </w:r>
    </w:p>
    <w:p>
      <w:pPr/>
      <w:r>
        <w:rPr>
          <w:b/>
        </w:rPr>
        <w:t>Later source:</w:t>
      </w:r>
      <w:r>
        <w:t xml:space="preserve"> Integrating equity and productivity in health evaluation — https://openalex.org/W7160458284</w:t>
      </w:r>
    </w:p>
    <w:p>
      <w:pPr>
        <w:pStyle w:val="SourceNote"/>
      </w:pPr>
      <w:r>
        <w:rPr>
          <w:b/>
        </w:rPr>
        <w:t>Review status:</w:t>
      </w:r>
      <w:r>
        <w:t xml:space="preserve"> unchecked — possible relationship only</w:t>
      </w:r>
    </w:p>
    <w:p>
      <w:pPr>
        <w:pStyle w:val="Heading2"/>
      </w:pPr>
      <w:r>
        <w:t>34. Claim + two later sources: Making the EU Carbon Border Adjustment Mechanism acceptable and climate friendly for least developed countries</w:t>
      </w:r>
    </w:p>
    <w:p>
      <w:pPr>
        <w:pStyle w:val="SourceNote"/>
      </w:pPr>
      <w:r>
        <w:rPr>
          <w:b/>
        </w:rPr>
        <w:t>Group ID:</w:t>
      </w:r>
      <w:r>
        <w:t xml:space="preserve"> group-8804cde7ba3df6b200e8</w:t>
      </w:r>
    </w:p>
    <w:p>
      <w:pPr>
        <w:pStyle w:val="SourceNote"/>
      </w:pPr>
      <w:r>
        <w:rPr>
          <w:b/>
        </w:rPr>
        <w:t>Original source:</w:t>
      </w:r>
      <w:r>
        <w:t xml:space="preserve"> https://doi.org/10.1016/j.enpol.2022.113245</w:t>
      </w:r>
    </w:p>
    <w:p>
      <w:pPr/>
      <w:r>
        <w:rPr>
          <w:b/>
        </w:rPr>
        <w:t>Original future claim:</w:t>
      </w:r>
      <w:r>
        <w:t xml:space="preserve"> A more stringent climate target results in carbon leakage, and implementing CBAM will reduce the rate by one-third by 2040. Implementation of CBAM to support EU climate neutrality by 2050 has raised several concerns.</w:t>
      </w:r>
    </w:p>
    <w:p>
      <w:pPr/>
      <w:r>
        <w:rPr>
          <w:b/>
        </w:rPr>
        <w:t>Later source:</w:t>
      </w:r>
      <w:r>
        <w:t xml:space="preserve"> The Carbon Border Adjustment Mechanism: a new european tax to address carbon leakage — https://doi.org/10.4013/rechtd.2025.173.03</w:t>
      </w:r>
    </w:p>
    <w:p>
      <w:pPr/>
      <w:r>
        <w:rPr>
          <w:b/>
        </w:rPr>
        <w:t>Later source:</w:t>
      </w:r>
      <w:r>
        <w:t xml:space="preserve"> Understanding Carbon Leakage — https://doi.org/10.65864/t2cdr13ckm</w:t>
      </w:r>
    </w:p>
    <w:p>
      <w:pPr>
        <w:pStyle w:val="SourceNote"/>
      </w:pPr>
      <w:r>
        <w:rPr>
          <w:b/>
        </w:rPr>
        <w:t>Review status:</w:t>
      </w:r>
      <w:r>
        <w:t xml:space="preserve"> unchecked — possible relationship only</w:t>
      </w:r>
    </w:p>
    <w:p>
      <w:pPr>
        <w:pStyle w:val="Heading2"/>
      </w:pPr>
      <w:r>
        <w:t>35. Claim + two later sources: After crisis scenarios for Europe: alternative evolutions of structural adjustments</w:t>
      </w:r>
    </w:p>
    <w:p>
      <w:pPr>
        <w:pStyle w:val="SourceNote"/>
      </w:pPr>
      <w:r>
        <w:rPr>
          <w:b/>
        </w:rPr>
        <w:t>Group ID:</w:t>
      </w:r>
      <w:r>
        <w:t xml:space="preserve"> group-bb2bf052b8e57473c1d6</w:t>
      </w:r>
    </w:p>
    <w:p>
      <w:pPr>
        <w:pStyle w:val="SourceNote"/>
      </w:pPr>
      <w:r>
        <w:rPr>
          <w:b/>
        </w:rPr>
        <w:t>Original source:</w:t>
      </w:r>
      <w:r>
        <w:t xml:space="preserve"> https://doi.org/10.1093/cjres/rsv023</w:t>
      </w:r>
    </w:p>
    <w:p>
      <w:pPr/>
      <w:r>
        <w:rPr>
          <w:b/>
        </w:rPr>
        <w:t>Original future claim:</w:t>
      </w:r>
      <w:r>
        <w:t xml:space="preserve"> The effects that these structural changes will generate are difficult to be foreseen. This article builds after-crisis scenarios for Europe on the basis of alternative evolutions of these structural changes.</w:t>
      </w:r>
    </w:p>
    <w:p>
      <w:pPr/>
      <w:r>
        <w:rPr>
          <w:b/>
        </w:rPr>
        <w:t>Later source:</w:t>
      </w:r>
      <w:r>
        <w:t xml:space="preserve"> Structural Changes in Agricultural Cooperatives Following Bulgaria’s European Union Integration — https://doi.org/10.37075/isa.2020.4.05</w:t>
      </w:r>
    </w:p>
    <w:p>
      <w:pPr/>
      <w:r>
        <w:rPr>
          <w:b/>
        </w:rPr>
        <w:t>Later source:</w:t>
      </w:r>
      <w:r>
        <w:t xml:space="preserve"> The new ambitions for 2014-2020 European structural and investment funds evaluation: pouring water in a leaking container? — https://openalex.org/W2552820326</w:t>
      </w:r>
    </w:p>
    <w:p>
      <w:pPr>
        <w:pStyle w:val="SourceNote"/>
      </w:pPr>
      <w:r>
        <w:rPr>
          <w:b/>
        </w:rPr>
        <w:t>Review status:</w:t>
      </w:r>
      <w:r>
        <w:t xml:space="preserve"> unchecked — possible relationship only</w:t>
      </w:r>
    </w:p>
    <w:p>
      <w:pPr>
        <w:pStyle w:val="Heading2"/>
      </w:pPr>
      <w:r>
        <w:t>36. Claim + two later sources: Two futures: EU-Russia relations in the context of Ukraine.</w:t>
      </w:r>
    </w:p>
    <w:p>
      <w:pPr>
        <w:pStyle w:val="SourceNote"/>
      </w:pPr>
      <w:r>
        <w:rPr>
          <w:b/>
        </w:rPr>
        <w:t>Group ID:</w:t>
      </w:r>
      <w:r>
        <w:t xml:space="preserve"> group-a94255afcfec383b616a</w:t>
      </w:r>
    </w:p>
    <w:p>
      <w:pPr>
        <w:pStyle w:val="SourceNote"/>
      </w:pPr>
      <w:r>
        <w:rPr>
          <w:b/>
        </w:rPr>
        <w:t>Original source:</w:t>
      </w:r>
      <w:r>
        <w:t xml:space="preserve"> https://doi.org/10.1007/s40309-014-0052-7</w:t>
      </w:r>
    </w:p>
    <w:p>
      <w:pPr/>
      <w:r>
        <w:rPr>
          <w:b/>
        </w:rPr>
        <w:t>Original future claim:</w:t>
      </w:r>
      <w:r>
        <w:t xml:space="preserve"> Or should it rather continue to tighten the screws on the Putin regime, in the hope that doing so will concurrently compel the Russian Federation to moderate its behaviour?</w:t>
      </w:r>
    </w:p>
    <w:p>
      <w:pPr/>
      <w:r>
        <w:rPr>
          <w:b/>
        </w:rPr>
        <w:t>Later source:</w:t>
      </w:r>
      <w:r>
        <w:t xml:space="preserve"> THE APPROACH OF FINLAND TO RUSSIAN OCCUPATION OF UKRAINE: SECURITISATION OF THE PUTIN REGIME / Rusya’nın Ukrayna’yı İşgaline Finlandiya’nın Yaklaşımı: Putin Rejiminin Güvenlikleştirilmesi — https://doi.org/10.29216/ueip.1144817</w:t>
      </w:r>
    </w:p>
    <w:p>
      <w:pPr/>
      <w:r>
        <w:rPr>
          <w:b/>
        </w:rPr>
        <w:t>Later source:</w:t>
      </w:r>
      <w:r>
        <w:t xml:space="preserve"> Vladimir Putin — https://doi.org/10.4324/9781003100508-13</w:t>
      </w:r>
    </w:p>
    <w:p>
      <w:pPr>
        <w:pStyle w:val="SourceNote"/>
      </w:pPr>
      <w:r>
        <w:rPr>
          <w:b/>
        </w:rPr>
        <w:t>Review status:</w:t>
      </w:r>
      <w:r>
        <w:t xml:space="preserve"> unchecked — possible relationship only</w:t>
      </w:r>
    </w:p>
    <w:p>
      <w:pPr>
        <w:pStyle w:val="Heading2"/>
      </w:pPr>
      <w:r>
        <w:t>37. Claim + two later sources: Post-normal times: re-thinking the futures of the EU-Africa relationship</w:t>
      </w:r>
    </w:p>
    <w:p>
      <w:pPr>
        <w:pStyle w:val="SourceNote"/>
      </w:pPr>
      <w:r>
        <w:rPr>
          <w:b/>
        </w:rPr>
        <w:t>Group ID:</w:t>
      </w:r>
      <w:r>
        <w:t xml:space="preserve"> group-d6caaaecd96637e4521e</w:t>
      </w:r>
    </w:p>
    <w:p>
      <w:pPr>
        <w:pStyle w:val="SourceNote"/>
      </w:pPr>
      <w:r>
        <w:rPr>
          <w:b/>
        </w:rPr>
        <w:t>Original source:</w:t>
      </w:r>
      <w:r>
        <w:t xml:space="preserve"> https://doi.org/10.1186/s40309-020-00167-8</w:t>
      </w:r>
    </w:p>
    <w:p>
      <w:pPr/>
      <w:r>
        <w:rPr>
          <w:b/>
        </w:rPr>
        <w:t>Original future claim:</w:t>
      </w:r>
      <w:r>
        <w:t xml:space="preserve"> With the establishment of new powers as well as efforts to decolonise the thought and practise of North-South interactions, it is crucial to understand what the future of the relationship could be. The process consisted of identifying major influential factors in the relationship and assessing what role they played in the past and what role they could play in the future.</w:t>
      </w:r>
    </w:p>
    <w:p>
      <w:pPr/>
      <w:r>
        <w:rPr>
          <w:b/>
        </w:rPr>
        <w:t>Later source:</w:t>
      </w:r>
      <w:r>
        <w:t xml:space="preserve"> The Place of the European Union in the Global System of Powers and its Practical Challenges — https://doi.org/10.46340/eppd.2026.13.2.5</w:t>
      </w:r>
    </w:p>
    <w:p>
      <w:pPr/>
      <w:r>
        <w:rPr>
          <w:b/>
        </w:rPr>
        <w:t>Later source:</w:t>
      </w:r>
      <w:r>
        <w:t xml:space="preserve"> European middle powers: Germany, France and Italy as international actors — https://openalex.org/W7215008340</w:t>
      </w:r>
    </w:p>
    <w:p>
      <w:pPr>
        <w:pStyle w:val="SourceNote"/>
      </w:pPr>
      <w:r>
        <w:rPr>
          <w:b/>
        </w:rPr>
        <w:t>Review status:</w:t>
      </w:r>
      <w:r>
        <w:t xml:space="preserve"> unchecked — possible relationship only</w:t>
      </w:r>
    </w:p>
    <w:p>
      <w:pPr>
        <w:pStyle w:val="Heading2"/>
      </w:pPr>
      <w:r>
        <w:t>38. Claim + two later sources: Problem of “Dinosauring” of European Union and Mapping of Its Future</w:t>
      </w:r>
    </w:p>
    <w:p>
      <w:pPr>
        <w:pStyle w:val="SourceNote"/>
      </w:pPr>
      <w:r>
        <w:rPr>
          <w:b/>
        </w:rPr>
        <w:t>Group ID:</w:t>
      </w:r>
      <w:r>
        <w:t xml:space="preserve"> group-b4a0d11b3039e4e2e98b</w:t>
      </w:r>
    </w:p>
    <w:p>
      <w:pPr>
        <w:pStyle w:val="SourceNote"/>
      </w:pPr>
      <w:r>
        <w:rPr>
          <w:b/>
        </w:rPr>
        <w:t>Original source:</w:t>
      </w:r>
      <w:r>
        <w:t xml:space="preserve"> https://doi.org/10.11114/smc.v4i1.1617</w:t>
      </w:r>
    </w:p>
    <w:p>
      <w:pPr/>
      <w:r>
        <w:rPr>
          <w:b/>
        </w:rPr>
        <w:t>Original future claim:</w:t>
      </w:r>
      <w:r>
        <w:t xml:space="preserve"> The popular European vision of its future can be called The Davos World - simple scenario based of the economic benefits, predicting that the driving force for ruling the world will be the endless economic interest.</w:t>
      </w:r>
    </w:p>
    <w:p>
      <w:pPr/>
      <w:r>
        <w:rPr>
          <w:b/>
        </w:rPr>
        <w:t>Later source:</w:t>
      </w:r>
      <w:r>
        <w:t xml:space="preserve"> Filbert’s Vision | La visión de Filiberto — https://doi.org/10.25740/rn519df7423</w:t>
      </w:r>
    </w:p>
    <w:p>
      <w:pPr/>
      <w:r>
        <w:rPr>
          <w:b/>
        </w:rPr>
        <w:t>Later source:</w:t>
      </w:r>
      <w:r>
        <w:t xml:space="preserve"> European Strategic Autonomy - chances and challenges for Europe — https://openalex.org/W3129001693</w:t>
      </w:r>
    </w:p>
    <w:p>
      <w:pPr>
        <w:pStyle w:val="SourceNote"/>
      </w:pPr>
      <w:r>
        <w:rPr>
          <w:b/>
        </w:rPr>
        <w:t>Review status:</w:t>
      </w:r>
      <w:r>
        <w:t xml:space="preserve"> unchecked — possible relationship only</w:t>
      </w:r>
    </w:p>
    <w:p>
      <w:pPr>
        <w:pStyle w:val="Heading2"/>
      </w:pPr>
      <w:r>
        <w:t>39. Claim + two later sources: Comparison of temperature indices for three IPCC SRES scenarios based on RegCM simulations for Poland in 2011–2030 period</w:t>
      </w:r>
    </w:p>
    <w:p>
      <w:pPr>
        <w:pStyle w:val="SourceNote"/>
      </w:pPr>
      <w:r>
        <w:rPr>
          <w:b/>
        </w:rPr>
        <w:t>Group ID:</w:t>
      </w:r>
      <w:r>
        <w:t xml:space="preserve"> group-de160e6a1c66e9ed92bc</w:t>
      </w:r>
    </w:p>
    <w:p>
      <w:pPr>
        <w:pStyle w:val="SourceNote"/>
      </w:pPr>
      <w:r>
        <w:rPr>
          <w:b/>
        </w:rPr>
        <w:t>Original source:</w:t>
      </w:r>
      <w:r>
        <w:t xml:space="preserve"> https://doi.org/10.1127/metz/2014/0457</w:t>
      </w:r>
    </w:p>
    <w:p>
      <w:pPr/>
      <w:r>
        <w:rPr>
          <w:b/>
        </w:rPr>
        <w:t>Original future claim:</w:t>
      </w:r>
      <w:r>
        <w:t xml:space="preserve"> The regional climate model RegCM3 is used to investigate potential future changes of temperature indices in Poland for the period 2011–2030.</w:t>
      </w:r>
    </w:p>
    <w:p>
      <w:pPr/>
      <w:r>
        <w:rPr>
          <w:b/>
        </w:rPr>
        <w:t>Later source:</w:t>
      </w:r>
      <w:r>
        <w:t xml:space="preserve"> Intercomparison of a Regional Climate Model Ensemble for Selected European Catchments — https://doi.org/10.1002/joc.70554</w:t>
      </w:r>
    </w:p>
    <w:p>
      <w:pPr/>
      <w:r>
        <w:rPr>
          <w:b/>
        </w:rPr>
        <w:t>Later source:</w:t>
      </w:r>
      <w:r>
        <w:t xml:space="preserve"> Investigating the future urban climates of European cities using an ensemble of convection permitting regional climate models — https://doi.org/10.5194/egusphere-egu25-1307</w:t>
      </w:r>
    </w:p>
    <w:p>
      <w:pPr>
        <w:pStyle w:val="SourceNote"/>
      </w:pPr>
      <w:r>
        <w:rPr>
          <w:b/>
        </w:rPr>
        <w:t>Review status:</w:t>
      </w:r>
      <w:r>
        <w:t xml:space="preserve"> unchecked — possible relationship only</w:t>
      </w:r>
    </w:p>
    <w:p>
      <w:pPr>
        <w:pStyle w:val="Heading2"/>
      </w:pPr>
      <w:r>
        <w:t>40. Claim + two later sources: Use and perception of weather forecast information across Europe</w:t>
      </w:r>
    </w:p>
    <w:p>
      <w:pPr>
        <w:pStyle w:val="SourceNote"/>
      </w:pPr>
      <w:r>
        <w:rPr>
          <w:b/>
        </w:rPr>
        <w:t>Group ID:</w:t>
      </w:r>
      <w:r>
        <w:t xml:space="preserve"> group-a6bebefbdcff910ef11b</w:t>
      </w:r>
    </w:p>
    <w:p>
      <w:pPr>
        <w:pStyle w:val="SourceNote"/>
      </w:pPr>
      <w:r>
        <w:rPr>
          <w:b/>
        </w:rPr>
        <w:t>Original source:</w:t>
      </w:r>
      <w:r>
        <w:t xml:space="preserve"> https://doi.org/10.1002/met.2053</w:t>
      </w:r>
    </w:p>
    <w:p>
      <w:pPr/>
      <w:r>
        <w:rPr>
          <w:b/>
        </w:rPr>
        <w:t>Original future claim:</w:t>
      </w:r>
      <w:r>
        <w:t xml:space="preserve"> The two surveys indicate that there might be benefits of increased collaboration and sharing of data between European NMHSs to be able to offer their users more training, and to learn from each other in areas where insight already exists.</w:t>
      </w:r>
    </w:p>
    <w:p>
      <w:pPr/>
      <w:r>
        <w:rPr>
          <w:b/>
        </w:rPr>
        <w:t>Later source:</w:t>
      </w:r>
      <w:r>
        <w:t xml:space="preserve"> Estimating the hospitalisation burden of obesity in Europe: evidence from the European health interview survey (EHIS) wave 3 — https://doi.org/10.1186/s12889-026-26705-w</w:t>
      </w:r>
    </w:p>
    <w:p>
      <w:pPr/>
      <w:r>
        <w:rPr>
          <w:b/>
        </w:rPr>
        <w:t>Later source:</w:t>
      </w:r>
      <w:r>
        <w:t xml:space="preserve"> Revisiting the digital divide in Europe — The profile of those on the wrong side of the divide — https://doi.org/10.1016/j.telpol.2026.103206</w:t>
      </w:r>
    </w:p>
    <w:p>
      <w:pPr>
        <w:pStyle w:val="SourceNote"/>
      </w:pPr>
      <w:r>
        <w:rPr>
          <w:b/>
        </w:rPr>
        <w:t>Review status:</w:t>
      </w:r>
      <w:r>
        <w:t xml:space="preserve"> unchecked — possible relationship only</w:t>
      </w:r>
    </w:p>
    <w:p>
      <w:pPr>
        <w:pStyle w:val="Heading2"/>
      </w:pPr>
      <w:r>
        <w:t>41. Claim + two later sources: EU climate and energy governance in times of crisis: towards a new agenda</w:t>
      </w:r>
    </w:p>
    <w:p>
      <w:pPr>
        <w:pStyle w:val="SourceNote"/>
      </w:pPr>
      <w:r>
        <w:rPr>
          <w:b/>
        </w:rPr>
        <w:t>Group ID:</w:t>
      </w:r>
      <w:r>
        <w:t xml:space="preserve"> group-546a56fe8e9433431711</w:t>
      </w:r>
    </w:p>
    <w:p>
      <w:pPr>
        <w:pStyle w:val="SourceNote"/>
      </w:pPr>
      <w:r>
        <w:rPr>
          <w:b/>
        </w:rPr>
        <w:t>Original source:</w:t>
      </w:r>
      <w:r>
        <w:t xml:space="preserve"> https://doi.org/10.1080/13501763.2021.1918221</w:t>
      </w:r>
    </w:p>
    <w:p>
      <w:pPr/>
      <w:r>
        <w:rPr>
          <w:b/>
        </w:rPr>
        <w:t>Original future claim:</w:t>
      </w:r>
      <w:r>
        <w:t xml:space="preserve"> As the EU seeks to fully decarbonise itself by 2050, interactions with the crisis trends are likely to intensify in ways which future research could fruitfully investigate.</w:t>
      </w:r>
    </w:p>
    <w:p>
      <w:pPr/>
      <w:r>
        <w:rPr>
          <w:b/>
        </w:rPr>
        <w:t>Later source:</w:t>
      </w:r>
      <w:r>
        <w:t xml:space="preserve"> Reframing the Refugee Rentier State: Turkey in the European Refugee ‘Crisis’ — https://doi.org/10.3390/socsci15070457</w:t>
      </w:r>
    </w:p>
    <w:p>
      <w:pPr/>
      <w:r>
        <w:rPr>
          <w:b/>
        </w:rPr>
        <w:t>Later source:</w:t>
      </w:r>
      <w:r>
        <w:t xml:space="preserve"> Scope for EU–Japan cooperation in decarbonising the global LNG market — https://doi.org/10.26485/spe/2022/124/7</w:t>
      </w:r>
    </w:p>
    <w:p>
      <w:pPr>
        <w:pStyle w:val="SourceNote"/>
      </w:pPr>
      <w:r>
        <w:rPr>
          <w:b/>
        </w:rPr>
        <w:t>Review status:</w:t>
      </w:r>
      <w:r>
        <w:t xml:space="preserve"> unchecked — possible relationship only</w:t>
      </w:r>
    </w:p>
    <w:p>
      <w:pPr>
        <w:pStyle w:val="Heading2"/>
      </w:pPr>
      <w:r>
        <w:t>42. Claim + two later sources: Douglas‐fir plantations in Europe: a retrospective test of assisted migration to address climate change</w:t>
      </w:r>
    </w:p>
    <w:p>
      <w:pPr>
        <w:pStyle w:val="SourceNote"/>
      </w:pPr>
      <w:r>
        <w:rPr>
          <w:b/>
        </w:rPr>
        <w:t>Group ID:</w:t>
      </w:r>
      <w:r>
        <w:t xml:space="preserve"> group-0b9f1b781929f13ceb3a</w:t>
      </w:r>
    </w:p>
    <w:p>
      <w:pPr>
        <w:pStyle w:val="SourceNote"/>
      </w:pPr>
      <w:r>
        <w:rPr>
          <w:b/>
        </w:rPr>
        <w:t>Original source:</w:t>
      </w:r>
      <w:r>
        <w:t xml:space="preserve"> https://doi.org/10.1111/gcb.12604</w:t>
      </w:r>
    </w:p>
    <w:p>
      <w:pPr/>
      <w:r>
        <w:rPr>
          <w:b/>
        </w:rPr>
        <w:t>Original future claim:</w:t>
      </w:r>
      <w:r>
        <w:t xml:space="preserve"> We conclude by applying the partially validated model to climate change scenarios for Europe, demonstrating that climate trends observed over the last three decades warrant changes to current use of Douglas-fir provenances in plantation forestry throughout Western and Central Europe.</w:t>
      </w:r>
    </w:p>
    <w:p>
      <w:pPr/>
      <w:r>
        <w:rPr>
          <w:b/>
        </w:rPr>
        <w:t>Later source:</w:t>
      </w:r>
      <w:r>
        <w:t xml:space="preserve"> Combining different views on internal climate variability of temperature over Europe — https://doi.org/10.5194/egusphere-2026-1341</w:t>
      </w:r>
    </w:p>
    <w:p>
      <w:pPr/>
      <w:r>
        <w:rPr>
          <w:b/>
        </w:rPr>
        <w:t>Later source:</w:t>
      </w:r>
      <w:r>
        <w:t xml:space="preserve"> Plural Values of Culture in Europe — https://openalex.org/W7137507789</w:t>
      </w:r>
    </w:p>
    <w:p>
      <w:pPr>
        <w:pStyle w:val="SourceNote"/>
      </w:pPr>
      <w:r>
        <w:rPr>
          <w:b/>
        </w:rPr>
        <w:t>Review status:</w:t>
      </w:r>
      <w:r>
        <w:t xml:space="preserve"> unchecked — possible relationship only</w:t>
      </w:r>
    </w:p>
    <w:p>
      <w:pPr>
        <w:pStyle w:val="Heading2"/>
      </w:pPr>
      <w:r>
        <w:t>43. Claim + two later sources: Alternative futures for shared mobility systems: impacts on transport planning tools and techniques</w:t>
      </w:r>
    </w:p>
    <w:p>
      <w:pPr>
        <w:pStyle w:val="SourceNote"/>
      </w:pPr>
      <w:r>
        <w:rPr>
          <w:b/>
        </w:rPr>
        <w:t>Group ID:</w:t>
      </w:r>
      <w:r>
        <w:t xml:space="preserve"> group-91a407856f5c2a2e8e80</w:t>
      </w:r>
    </w:p>
    <w:p>
      <w:pPr>
        <w:pStyle w:val="SourceNote"/>
      </w:pPr>
      <w:r>
        <w:rPr>
          <w:b/>
        </w:rPr>
        <w:t>Original source:</w:t>
      </w:r>
      <w:r>
        <w:t xml:space="preserve"> https://doi.org/10.1016/j.trpro.2021.11.032</w:t>
      </w:r>
    </w:p>
    <w:p>
      <w:pPr/>
      <w:r>
        <w:rPr>
          <w:b/>
        </w:rPr>
        <w:t>Original future claim:</w:t>
      </w:r>
      <w:r>
        <w:t xml:space="preserve"> This paper presents a series of explorative scenarios that provide different contexts for the evolution of urban mobility in Europe, in order to grasp the plausible pathways that shared mobility services will follow in the upcoming decades. The scenarios are adapted from those developed by the climate change research community and are used in a Delphi poll to gather expert visions on how shared mobility services will evolve.</w:t>
      </w:r>
    </w:p>
    <w:p>
      <w:pPr/>
      <w:r>
        <w:rPr>
          <w:b/>
        </w:rPr>
        <w:t>Later source:</w:t>
      </w:r>
      <w:r>
        <w:t xml:space="preserve"> Non-stationary time series attribution for heatwaves over Europe — https://doi.org/10.5194/ascmo-12-243-2026</w:t>
      </w:r>
    </w:p>
    <w:p>
      <w:pPr/>
      <w:r>
        <w:rPr>
          <w:b/>
        </w:rPr>
        <w:t>Later source:</w:t>
      </w:r>
      <w:r>
        <w:t xml:space="preserve"> Mobility Models for a Future in Flux: Exploring Alternatives in European Teacher Education — https://doi.org/10.31244/9783818851583.10</w:t>
      </w:r>
    </w:p>
    <w:p>
      <w:pPr>
        <w:pStyle w:val="SourceNote"/>
      </w:pPr>
      <w:r>
        <w:rPr>
          <w:b/>
        </w:rPr>
        <w:t>Review status:</w:t>
      </w:r>
      <w:r>
        <w:t xml:space="preserve"> unchecked — possible relationship only</w:t>
      </w:r>
    </w:p>
    <w:p>
      <w:pPr>
        <w:pStyle w:val="Heading2"/>
      </w:pPr>
      <w:r>
        <w:t>44. Claim + two later sources: Integrated assessment of the role of bioenergy within the EU energy transition targets to 2050</w:t>
      </w:r>
    </w:p>
    <w:p>
      <w:pPr>
        <w:pStyle w:val="SourceNote"/>
      </w:pPr>
      <w:r>
        <w:rPr>
          <w:b/>
        </w:rPr>
        <w:t>Group ID:</w:t>
      </w:r>
      <w:r>
        <w:t xml:space="preserve"> group-c37c9354973b945ca1d8</w:t>
      </w:r>
    </w:p>
    <w:p>
      <w:pPr>
        <w:pStyle w:val="SourceNote"/>
      </w:pPr>
      <w:r>
        <w:rPr>
          <w:b/>
        </w:rPr>
        <w:t>Original source:</w:t>
      </w:r>
      <w:r>
        <w:t xml:space="preserve"> https://doi.org/10.1111/gcbb.12908</w:t>
      </w:r>
    </w:p>
    <w:p>
      <w:pPr/>
      <w:r>
        <w:rPr>
          <w:b/>
        </w:rPr>
        <w:t>Original future claim:</w:t>
      </w:r>
      <w:r>
        <w:t xml:space="preserve"> Bioenergy could provide up to 1GtCO2 or 40% of the overall mitigation needed by the EU in 2050. We use the global integrated assessment model IMAGE 3.2 to project bioenergy demand, sectoral deployment, feedstock, and inter‐regional import for Europe to 2050.</w:t>
      </w:r>
    </w:p>
    <w:p>
      <w:pPr/>
      <w:r>
        <w:rPr>
          <w:b/>
        </w:rPr>
        <w:t>Later source:</w:t>
      </w:r>
      <w:r>
        <w:t xml:space="preserve"> "Biomass crops for sustainable energy in Europe: contributions to bioenergy, environment, and energy security" — https://doi.org/10.1080/17429145.2025.2564839</w:t>
      </w:r>
    </w:p>
    <w:p>
      <w:pPr/>
      <w:r>
        <w:rPr>
          <w:b/>
        </w:rPr>
        <w:t>Later source:</w:t>
      </w:r>
      <w:r>
        <w:t xml:space="preserve"> Efficacy of individual and combined terrestrial and marine carbon dioxide removal — https://doi.org/10.1088/1748-9326/ae2af5</w:t>
      </w:r>
    </w:p>
    <w:p>
      <w:pPr>
        <w:pStyle w:val="SourceNote"/>
      </w:pPr>
      <w:r>
        <w:rPr>
          <w:b/>
        </w:rPr>
        <w:t>Review status:</w:t>
      </w:r>
      <w:r>
        <w:t xml:space="preserve"> unchecked — possible relationship only</w:t>
      </w:r>
    </w:p>
    <w:p>
      <w:pPr>
        <w:pStyle w:val="Heading2"/>
      </w:pPr>
      <w:r>
        <w:t>45. Claim + two later sources: GHG emissions, trade balance, and carbon leakage: Insights from modeling thirty-one European decarbonization pathways towards 2050</w:t>
      </w:r>
    </w:p>
    <w:p>
      <w:pPr>
        <w:pStyle w:val="SourceNote"/>
      </w:pPr>
      <w:r>
        <w:rPr>
          <w:b/>
        </w:rPr>
        <w:t>Group ID:</w:t>
      </w:r>
      <w:r>
        <w:t xml:space="preserve"> group-4500af309de2d781dec8</w:t>
      </w:r>
    </w:p>
    <w:p>
      <w:pPr>
        <w:pStyle w:val="SourceNote"/>
      </w:pPr>
      <w:r>
        <w:rPr>
          <w:b/>
        </w:rPr>
        <w:t>Original source:</w:t>
      </w:r>
      <w:r>
        <w:t xml:space="preserve"> https://doi.org/10.1016/j.eneco.2022.106240</w:t>
      </w:r>
    </w:p>
    <w:p>
      <w:pPr/>
      <w:r>
        <w:rPr>
          <w:b/>
        </w:rPr>
        <w:t>Original future claim:</w:t>
      </w:r>
      <w:r>
        <w:t xml:space="preserve"> Recognizing the urgent need for concrete sectoral information in designing European climate change mitigation pathways of policy relevance, this study formulates, simulates and compares 31 European decarbonization pathways, focusing on changes in trade flows and GHG emissions.</w:t>
      </w:r>
    </w:p>
    <w:p>
      <w:pPr/>
      <w:r>
        <w:rPr>
          <w:b/>
        </w:rPr>
        <w:t>Later source:</w:t>
      </w:r>
      <w:r>
        <w:t xml:space="preserve"> CO2 Emissions Scenarios in the European Union—The Urgency of Carbon Capture and Controlled Economic Growth — https://doi.org/10.3390/su18021043</w:t>
      </w:r>
    </w:p>
    <w:p>
      <w:pPr/>
      <w:r>
        <w:rPr>
          <w:b/>
        </w:rPr>
        <w:t>Later source:</w:t>
      </w:r>
      <w:r>
        <w:t xml:space="preserve"> Information and misinformation on assisted human reproduction techniques in Europe: a normative analysis of the information provided on the websites of medically assisted reproduction clinics — https://doi.org/10.1186/s12910-026-01388-5</w:t>
      </w:r>
    </w:p>
    <w:p>
      <w:pPr>
        <w:pStyle w:val="SourceNote"/>
      </w:pPr>
      <w:r>
        <w:rPr>
          <w:b/>
        </w:rPr>
        <w:t>Review status:</w:t>
      </w:r>
      <w:r>
        <w:t xml:space="preserve"> unchecked — possible relationship only</w:t>
      </w:r>
    </w:p>
    <w:p>
      <w:pPr>
        <w:pStyle w:val="Heading2"/>
      </w:pPr>
      <w:r>
        <w:t>46. Claim + two later sources: Low-carbon energy scenarios 2050 in north-west European countries: Towards a more harmonised approach to achieve the EU targets</w:t>
      </w:r>
    </w:p>
    <w:p>
      <w:pPr>
        <w:pStyle w:val="SourceNote"/>
      </w:pPr>
      <w:r>
        <w:rPr>
          <w:b/>
        </w:rPr>
        <w:t>Group ID:</w:t>
      </w:r>
      <w:r>
        <w:t xml:space="preserve"> group-e5a04b5c0bbea75ccf53</w:t>
      </w:r>
    </w:p>
    <w:p>
      <w:pPr>
        <w:pStyle w:val="SourceNote"/>
      </w:pPr>
      <w:r>
        <w:rPr>
          <w:b/>
        </w:rPr>
        <w:t>Original source:</w:t>
      </w:r>
      <w:r>
        <w:t xml:space="preserve"> https://doi.org/10.1016/j.enpol.2019.03.047</w:t>
      </w:r>
    </w:p>
    <w:p>
      <w:pPr/>
      <w:r>
        <w:rPr>
          <w:b/>
        </w:rPr>
        <w:t>Original future claim:</w:t>
      </w:r>
      <w:r>
        <w:t xml:space="preserve"> The analysis has shown that all selected countries have potential for modifying their energy scenarios, which being implemented may help to achieve the joint European targets 2050. The results can be of interest to economists, business and academic representatives, and especially policy makers involved in the long-term energy scenario development on the international, regional and national level.</w:t>
      </w:r>
    </w:p>
    <w:p>
      <w:pPr/>
      <w:r>
        <w:rPr>
          <w:b/>
        </w:rPr>
        <w:t>Later source:</w:t>
      </w:r>
      <w:r>
        <w:t xml:space="preserve"> Regional cooling potential from expansion of perennial grasses in Europe — https://doi.org/10.1038/s43247-024-01923-5</w:t>
      </w:r>
    </w:p>
    <w:p>
      <w:pPr/>
      <w:r>
        <w:rPr>
          <w:b/>
        </w:rPr>
        <w:t>Later source:</w:t>
      </w:r>
      <w:r>
        <w:t xml:space="preserve"> Impact of COVID-19 pandemic on flu vaccine uptake in healthcare workers in Europe: a systematic review and meta-analysis — https://doi.org/10.1080/14760584.2023.2250437</w:t>
      </w:r>
    </w:p>
    <w:p>
      <w:pPr>
        <w:pStyle w:val="SourceNote"/>
      </w:pPr>
      <w:r>
        <w:rPr>
          <w:b/>
        </w:rPr>
        <w:t>Review status:</w:t>
      </w:r>
      <w:r>
        <w:t xml:space="preserve"> unchecked — possible relationship only</w:t>
      </w:r>
    </w:p>
    <w:p>
      <w:pPr>
        <w:pStyle w:val="Heading2"/>
      </w:pPr>
      <w:r>
        <w:t>47. Claim + two later sources: Drivers, trends and scenarios for the future of health in Europe. Impressions from the FRESHER project</w:t>
      </w:r>
    </w:p>
    <w:p>
      <w:pPr>
        <w:pStyle w:val="SourceNote"/>
      </w:pPr>
      <w:r>
        <w:rPr>
          <w:b/>
        </w:rPr>
        <w:t>Group ID:</w:t>
      </w:r>
      <w:r>
        <w:t xml:space="preserve"> group-76b86c4400e30f05c581</w:t>
      </w:r>
    </w:p>
    <w:p>
      <w:pPr>
        <w:pStyle w:val="SourceNote"/>
      </w:pPr>
      <w:r>
        <w:rPr>
          <w:b/>
        </w:rPr>
        <w:t>Original source:</w:t>
      </w:r>
      <w:r>
        <w:t xml:space="preserve"> https://doi.org/10.1007/s40309-017-0118-4</w:t>
      </w:r>
    </w:p>
    <w:p>
      <w:pPr/>
      <w:r>
        <w:rPr>
          <w:b/>
        </w:rPr>
        <w:t>Original future claim:</w:t>
      </w:r>
      <w:r>
        <w:t xml:space="preserve"> In our foresight project FRESHER (FORESIGHT AND MODELLING FOR EUROPEAN HEALTH POLICY AND REGULATION) we discuss policy options with stakeholders from health, research, care, patient organisations, insurances and policy-making that go beyond the usual activities and pose alternatives that promise to be more successful. From an analysis of trends that affect NCD development far beyond the usual determinants of tobacco and alcohol consumption, salt, sugar and fat intake or sedentary behaviour the most relevant and significant trends are combined to four scenarios depicting possible futures.</w:t>
      </w:r>
    </w:p>
    <w:p>
      <w:pPr/>
      <w:r>
        <w:rPr>
          <w:b/>
        </w:rPr>
        <w:t>Later source:</w:t>
      </w:r>
      <w:r>
        <w:t xml:space="preserve"> Foresight For Digital Health 2030: Scenarios, Barriers, And Enablers for A Sustainable Future — https://doi.org/10.47191/ijsshr/v8-i2-11</w:t>
      </w:r>
    </w:p>
    <w:p>
      <w:pPr/>
      <w:r>
        <w:rPr>
          <w:b/>
        </w:rPr>
        <w:t>Later source:</w:t>
      </w:r>
      <w:r>
        <w:t xml:space="preserve"> From Reaction to Foresight: EUPHA’s vision for health security in Europe — https://doi.org/10.1093/eurpub/ckaf071</w:t>
      </w:r>
    </w:p>
    <w:p>
      <w:pPr>
        <w:pStyle w:val="SourceNote"/>
      </w:pPr>
      <w:r>
        <w:rPr>
          <w:b/>
        </w:rPr>
        <w:t>Review status:</w:t>
      </w:r>
      <w:r>
        <w:t xml:space="preserve"> unchecked — possible relationship only</w:t>
      </w:r>
    </w:p>
    <w:p>
      <w:pPr>
        <w:pStyle w:val="Heading2"/>
      </w:pPr>
      <w:r>
        <w:t>48. Claim + two later sources: Health impact assessment of waste management facilities in three European countries</w:t>
      </w:r>
    </w:p>
    <w:p>
      <w:pPr>
        <w:pStyle w:val="SourceNote"/>
      </w:pPr>
      <w:r>
        <w:rPr>
          <w:b/>
        </w:rPr>
        <w:t>Group ID:</w:t>
      </w:r>
      <w:r>
        <w:t xml:space="preserve"> group-08526e44f94f9117cb24</w:t>
      </w:r>
    </w:p>
    <w:p>
      <w:pPr>
        <w:pStyle w:val="SourceNote"/>
      </w:pPr>
      <w:r>
        <w:rPr>
          <w:b/>
        </w:rPr>
        <w:t>Original source:</w:t>
      </w:r>
      <w:r>
        <w:t xml:space="preserve"> https://doi.org/10.1186/1476-069x-10-53</w:t>
      </w:r>
    </w:p>
    <w:p>
      <w:pPr/>
      <w:r>
        <w:rPr>
          <w:b/>
        </w:rPr>
        <w:t>Original future claim:</w:t>
      </w:r>
      <w:r>
        <w:t xml:space="preserve"> Assuming that the incinerators continue to operate until 2020, we are moderately confident that the annual number of cancer cases due to exposure in 2001-2020 will reach 11, 0, and 7 in 2020 and then decline to 0 in the three countries in 2050. We are moderately confident that by 2050, the attributable impact on the 2001 cohort of residents will be 3,621 (Italy), 37 (Slovakia) and 3,966 (England) YoLL.</w:t>
      </w:r>
    </w:p>
    <w:p>
      <w:pPr/>
      <w:r>
        <w:rPr>
          <w:b/>
        </w:rPr>
        <w:t>Later source:</w:t>
      </w:r>
      <w:r>
        <w:t xml:space="preserve"> The End of Life of PV Systems: Is Europe Ready for It? — https://doi.org/10.3390/su152316466</w:t>
      </w:r>
    </w:p>
    <w:p>
      <w:pPr/>
      <w:r>
        <w:rPr>
          <w:b/>
        </w:rPr>
        <w:t>Later source:</w:t>
      </w:r>
      <w:r>
        <w:t xml:space="preserve"> Lead contamination in raptors in Europe: A systematic review and meta-analysis — https://doi.org/10.1016/j.scitotenv.2020.141437</w:t>
      </w:r>
    </w:p>
    <w:p>
      <w:pPr>
        <w:pStyle w:val="SourceNote"/>
      </w:pPr>
      <w:r>
        <w:rPr>
          <w:b/>
        </w:rPr>
        <w:t>Review status:</w:t>
      </w:r>
      <w:r>
        <w:t xml:space="preserve"> unchecked — possible relationship only</w:t>
      </w:r>
    </w:p>
    <w:p>
      <w:pPr>
        <w:pStyle w:val="Heading2"/>
      </w:pPr>
      <w:r>
        <w:t>49. Claim + two later sources: Linking Local Food Systems and the Social Economy? Future Roles for Farmers' Markets in Alberta and British Columbia*</w:t>
      </w:r>
    </w:p>
    <w:p>
      <w:pPr>
        <w:pStyle w:val="SourceNote"/>
      </w:pPr>
      <w:r>
        <w:rPr>
          <w:b/>
        </w:rPr>
        <w:t>Group ID:</w:t>
      </w:r>
      <w:r>
        <w:t xml:space="preserve"> group-e9895190491017fa7317</w:t>
      </w:r>
    </w:p>
    <w:p>
      <w:pPr>
        <w:pStyle w:val="SourceNote"/>
      </w:pPr>
      <w:r>
        <w:rPr>
          <w:b/>
        </w:rPr>
        <w:t>Original source:</w:t>
      </w:r>
      <w:r>
        <w:t xml:space="preserve"> https://doi.org/10.1111/j.1549-0831.2011.00068.x</w:t>
      </w:r>
    </w:p>
    <w:p>
      <w:pPr/>
      <w:r>
        <w:rPr>
          <w:b/>
        </w:rPr>
        <w:t>Original future claim:</w:t>
      </w:r>
      <w:r>
        <w:t xml:space="preserve"> We used the Delphi method of inquiry to solicit and synthesize perspectives on the future role of farmers' markets within local food systems and the social economy from farmers' market vendors, market managers, and policy and government representatives in each province. Results confirm the need for further investigation of the relationship between the social economy, infrastructure, and authenticity in the development of local food systems.</w:t>
      </w:r>
    </w:p>
    <w:p>
      <w:pPr/>
      <w:r>
        <w:rPr>
          <w:b/>
        </w:rPr>
        <w:t>Later source:</w:t>
      </w:r>
      <w:r>
        <w:t xml:space="preserve"> Content Validation of the Prenatal Evaluation and Referral for Lactation (PEARL) Tool Using a Delphi Method — https://doi.org/10.3390/healthcare14172831</w:t>
      </w:r>
    </w:p>
    <w:p>
      <w:pPr/>
      <w:r>
        <w:rPr>
          <w:b/>
        </w:rPr>
        <w:t>Later source:</w:t>
      </w:r>
      <w:r>
        <w:t xml:space="preserve"> AI literacy for K–12 education: an international Delphi study — https://doi.org/10.1080/10494820.2026.2649553</w:t>
      </w:r>
    </w:p>
    <w:p>
      <w:pPr>
        <w:pStyle w:val="SourceNote"/>
      </w:pPr>
      <w:r>
        <w:rPr>
          <w:b/>
        </w:rPr>
        <w:t>Review status:</w:t>
      </w:r>
      <w:r>
        <w:t xml:space="preserve"> unchecked — possible relationship only</w:t>
      </w:r>
    </w:p>
    <w:p>
      <w:pPr>
        <w:pStyle w:val="Heading2"/>
      </w:pPr>
      <w:r>
        <w:t>50. Claim + two later sources: Legume dreams: The contested futures of sustainable plant-based food systems in Europe</w:t>
      </w:r>
    </w:p>
    <w:p>
      <w:pPr>
        <w:pStyle w:val="SourceNote"/>
      </w:pPr>
      <w:r>
        <w:rPr>
          <w:b/>
        </w:rPr>
        <w:t>Group ID:</w:t>
      </w:r>
      <w:r>
        <w:t xml:space="preserve"> group-0b101c598f77e3154a4a</w:t>
      </w:r>
    </w:p>
    <w:p>
      <w:pPr>
        <w:pStyle w:val="SourceNote"/>
      </w:pPr>
      <w:r>
        <w:rPr>
          <w:b/>
        </w:rPr>
        <w:t>Original source:</w:t>
      </w:r>
      <w:r>
        <w:t xml:space="preserve"> https://doi.org/10.1016/j.gloenvcha.2021.102321</w:t>
      </w:r>
    </w:p>
    <w:p>
      <w:pPr/>
      <w:r>
        <w:rPr>
          <w:b/>
        </w:rPr>
        <w:t>Original future claim:</w:t>
      </w:r>
      <w:r>
        <w:t xml:space="preserve"> It identifies six food futures, each of which is made possible through the greater use of legumes in various production, processing, marketing and consumption contexts. But as the environmental consequences of agriculture (biodiversity loss, high greenhouse gas emissions, water pollution) and the health outcomes of modern diets (heart disease, cancer, diabetes, obesity) become better known, so great and varied hopes are being expressed about the future role of legumes in the food system.</w:t>
      </w:r>
    </w:p>
    <w:p>
      <w:pPr/>
      <w:r>
        <w:rPr>
          <w:b/>
        </w:rPr>
        <w:t>Later source:</w:t>
      </w:r>
      <w:r>
        <w:t xml:space="preserve"> Rethinking food logistics outsourcing: exploring the impact of structural changes in the European supply chain environment — https://doi.org/10.1080/13675567.2026.2654011</w:t>
      </w:r>
    </w:p>
    <w:p>
      <w:pPr/>
      <w:r>
        <w:rPr>
          <w:b/>
        </w:rPr>
        <w:t>Later source:</w:t>
      </w:r>
      <w:r>
        <w:t xml:space="preserve"> The European Food Supplement Project ‐Identification of emerging risks associated with food supplements, other than vitamins and minerals — https://doi.org/10.2903/sp.efsa.2026.en-10226</w:t>
      </w:r>
    </w:p>
    <w:p>
      <w:pPr>
        <w:pStyle w:val="SourceNote"/>
      </w:pPr>
      <w:r>
        <w:rPr>
          <w:b/>
        </w:rPr>
        <w:t>Review status:</w:t>
      </w:r>
      <w:r>
        <w:t xml:space="preserve"> unchecked — possible relationship only</w:t>
      </w:r>
    </w:p>
    <w:p>
      <w:pPr>
        <w:pStyle w:val="Heading2"/>
      </w:pPr>
      <w:r>
        <w:t>51. Claim + two later sources: Energy and Climate Change Scenarios in the Mediterranean: An opportunity for cooperation</w:t>
      </w:r>
    </w:p>
    <w:p>
      <w:pPr>
        <w:pStyle w:val="SourceNote"/>
      </w:pPr>
      <w:r>
        <w:rPr>
          <w:b/>
        </w:rPr>
        <w:t>Group ID:</w:t>
      </w:r>
      <w:r>
        <w:t xml:space="preserve"> group-5c6db31a0daf38c98dd3</w:t>
      </w:r>
    </w:p>
    <w:p>
      <w:pPr>
        <w:pStyle w:val="SourceNote"/>
      </w:pPr>
      <w:r>
        <w:rPr>
          <w:b/>
        </w:rPr>
        <w:t>Original source:</w:t>
      </w:r>
      <w:r>
        <w:t xml:space="preserve"> https://doi.org/10.1093/eurpub/ckaa165.298</w:t>
      </w:r>
    </w:p>
    <w:p>
      <w:pPr/>
      <w:r>
        <w:rPr>
          <w:b/>
        </w:rPr>
        <w:t>Original future claim:</w:t>
      </w:r>
      <w:r>
        <w:t xml:space="preserve"> The degradation of the environment will foreseeably create security and health crisis scenarios, arising from energy shortages, air quality, water stress and food supply problems. Europe, and the Mediterranean will not escape the effects of climate change, which will aggravate risks and threats to human security (mainly public health) and regional stability.</w:t>
      </w:r>
    </w:p>
    <w:p>
      <w:pPr/>
      <w:r>
        <w:rPr>
          <w:b/>
        </w:rPr>
        <w:t>Later source:</w:t>
      </w:r>
      <w:r>
        <w:t xml:space="preserve"> Tailoring the future for the environment, health and security through means of criminal law — https://doi.org/10.56398/ajacieda.00468</w:t>
      </w:r>
    </w:p>
    <w:p>
      <w:pPr/>
      <w:r>
        <w:rPr>
          <w:b/>
        </w:rPr>
        <w:t>Later source:</w:t>
      </w:r>
      <w:r>
        <w:t xml:space="preserve"> Soil Health in Europe: Policy perspectives — https://doi.org/10.5194/egusphere-egu26-12384</w:t>
      </w:r>
    </w:p>
    <w:p>
      <w:pPr>
        <w:pStyle w:val="SourceNote"/>
      </w:pPr>
      <w:r>
        <w:rPr>
          <w:b/>
        </w:rPr>
        <w:t>Review status:</w:t>
      </w:r>
      <w:r>
        <w:t xml:space="preserve"> unchecked — possible relationship only</w:t>
      </w:r>
    </w:p>
    <w:p>
      <w:pPr>
        <w:pStyle w:val="Heading2"/>
      </w:pPr>
      <w:r>
        <w:t>52. Claim + two later sources: Abandonment landscapes: user attitudes, alternative futures and land management in Castro Laboreiro, Portugal</w:t>
      </w:r>
    </w:p>
    <w:p>
      <w:pPr>
        <w:pStyle w:val="SourceNote"/>
      </w:pPr>
      <w:r>
        <w:rPr>
          <w:b/>
        </w:rPr>
        <w:t>Group ID:</w:t>
      </w:r>
      <w:r>
        <w:t xml:space="preserve"> group-384e84b834a5cced44a9</w:t>
      </w:r>
    </w:p>
    <w:p>
      <w:pPr>
        <w:pStyle w:val="SourceNote"/>
      </w:pPr>
      <w:r>
        <w:rPr>
          <w:b/>
        </w:rPr>
        <w:t>Original source:</w:t>
      </w:r>
      <w:r>
        <w:t xml:space="preserve"> https://doi.org/10.1007/s10113-018-1294-x</w:t>
      </w:r>
    </w:p>
    <w:p>
      <w:pPr/>
      <w:r>
        <w:rPr>
          <w:b/>
        </w:rPr>
        <w:t>Original future claim:</w:t>
      </w:r>
      <w:r>
        <w:t xml:space="preserve"> In a case study in Northern Portugal, we used a combination of statements, photograph rating exercises and open questions to assess the perceptions of local inhabitants, visitors and experts regarding land abandonment and their preferences of different possible trajectories after abandonment. The results show that all user groups have a negative response towards abandonment and associate it mainly with negative emotions and the loss of heritage and traditions.</w:t>
      </w:r>
    </w:p>
    <w:p>
      <w:pPr/>
      <w:r>
        <w:rPr>
          <w:b/>
        </w:rPr>
        <w:t>Later source:</w:t>
      </w:r>
      <w:r>
        <w:t xml:space="preserve"> Is there space for regional identities in a centralized unitary state? Northern Portugal as case study — https://doi.org/10.1080/1070289x.2026.2614229</w:t>
      </w:r>
    </w:p>
    <w:p>
      <w:pPr/>
      <w:r>
        <w:rPr>
          <w:b/>
        </w:rPr>
        <w:t>Later source:</w:t>
      </w:r>
      <w:r>
        <w:t xml:space="preserve"> Quantifying the role of saltmarsh as a vulnerable carbon sink: A case study from Northern Portugal — https://doi.org/10.1016/j.scitotenv.2024.171443</w:t>
      </w:r>
    </w:p>
    <w:p>
      <w:pPr>
        <w:pStyle w:val="SourceNote"/>
      </w:pPr>
      <w:r>
        <w:rPr>
          <w:b/>
        </w:rPr>
        <w:t>Review status:</w:t>
      </w:r>
      <w:r>
        <w:t xml:space="preserve"> unchecked — possible relationship only</w:t>
      </w:r>
    </w:p>
    <w:p>
      <w:pPr>
        <w:pStyle w:val="Heading2"/>
      </w:pPr>
      <w:r>
        <w:t>53. Claim + two later sources: Is clean energy contested? Exploring which issues matter to stakeholders in the European Green Deal</w:t>
      </w:r>
    </w:p>
    <w:p>
      <w:pPr>
        <w:pStyle w:val="SourceNote"/>
      </w:pPr>
      <w:r>
        <w:rPr>
          <w:b/>
        </w:rPr>
        <w:t>Group ID:</w:t>
      </w:r>
      <w:r>
        <w:t xml:space="preserve"> group-13a837a261c6dc764d43</w:t>
      </w:r>
    </w:p>
    <w:p>
      <w:pPr>
        <w:pStyle w:val="SourceNote"/>
      </w:pPr>
      <w:r>
        <w:rPr>
          <w:b/>
        </w:rPr>
        <w:t>Original source:</w:t>
      </w:r>
      <w:r>
        <w:t xml:space="preserve"> https://doi.org/10.1016/j.erss.2021.102083</w:t>
      </w:r>
    </w:p>
    <w:p>
      <w:pPr/>
      <w:r>
        <w:rPr>
          <w:b/>
        </w:rPr>
        <w:t>Original future claim:</w:t>
      </w:r>
      <w:r>
        <w:t xml:space="preserve"> The European Green Deal aims at decarbonizing the European Union’s economies by 2050.</w:t>
      </w:r>
    </w:p>
    <w:p>
      <w:pPr/>
      <w:r>
        <w:rPr>
          <w:b/>
        </w:rPr>
        <w:t>Later source:</w:t>
      </w:r>
      <w:r>
        <w:t xml:space="preserve"> The European Green Deal within the Scope of European Union Project Funds: The Role of Green Marketing and Green Advertising — https://doi.org/10.58830/ozgur.pub1165.c4874</w:t>
      </w:r>
    </w:p>
    <w:p>
      <w:pPr/>
      <w:r>
        <w:rPr>
          <w:b/>
        </w:rPr>
        <w:t>Later source:</w:t>
      </w:r>
      <w:r>
        <w:t xml:space="preserve"> THE EUROPEAN GREEN DEAL AND ITS IMPLICATIONS TO THE EUROPEAN UNION COOPERATION WITH VIETNAM Case Study: The climate-responsive digital circular economy as a first priority area of action — https://doi.org/10.2139/ssrn.6689058</w:t>
      </w:r>
    </w:p>
    <w:p>
      <w:pPr>
        <w:pStyle w:val="SourceNote"/>
      </w:pPr>
      <w:r>
        <w:rPr>
          <w:b/>
        </w:rPr>
        <w:t>Review status:</w:t>
      </w:r>
      <w:r>
        <w:t xml:space="preserve"> unchecked — possible relationship only</w:t>
      </w:r>
    </w:p>
    <w:p>
      <w:pPr>
        <w:pStyle w:val="Heading2"/>
      </w:pPr>
      <w:r>
        <w:t>54. Claim + two later sources: Scenarios of the organic food market in Europe</w:t>
      </w:r>
    </w:p>
    <w:p>
      <w:pPr>
        <w:pStyle w:val="SourceNote"/>
      </w:pPr>
      <w:r>
        <w:rPr>
          <w:b/>
        </w:rPr>
        <w:t>Group ID:</w:t>
      </w:r>
      <w:r>
        <w:t xml:space="preserve"> group-d1ac2a6b82002a428d3c</w:t>
      </w:r>
    </w:p>
    <w:p>
      <w:pPr>
        <w:pStyle w:val="SourceNote"/>
      </w:pPr>
      <w:r>
        <w:rPr>
          <w:b/>
        </w:rPr>
        <w:t>Original source:</w:t>
      </w:r>
      <w:r>
        <w:t xml:space="preserve"> https://doi.org/10.1016/j.foodpol.2011.10.003</w:t>
      </w:r>
    </w:p>
    <w:p>
      <w:pPr/>
      <w:r>
        <w:rPr>
          <w:b/>
        </w:rPr>
        <w:t>Original future claim:</w:t>
      </w:r>
      <w:r>
        <w:t xml:space="preserve"> Scenario analysis is a qualitative tool for strategic policy analysis that enables researchers and policymakers to support decision making, and a systemic analysis of the main determinants of a business or sector. Network analysis is used to identify the roles of driving forces in the different scenarios, and the results are discussed in comparison with the main findings from existing scenarios on the future development of the organic sector.</w:t>
      </w:r>
    </w:p>
    <w:p>
      <w:pPr/>
      <w:r>
        <w:rPr>
          <w:b/>
        </w:rPr>
        <w:t>Later source:</w:t>
      </w:r>
      <w:r>
        <w:t xml:space="preserve"> Strategic Development of Wheelchair Basketball in Europe and Türkiye: A Systematic Review and Comparative Framework for Sustainable Growth — https://doi.org/10.33438/ijdshs.1800363</w:t>
      </w:r>
    </w:p>
    <w:p>
      <w:pPr/>
      <w:r>
        <w:rPr>
          <w:b/>
        </w:rPr>
        <w:t>Later source:</w:t>
      </w:r>
      <w:r>
        <w:t xml:space="preserve"> The European Union's policy toward Latin America in the context of renewed strategic competition — https://doi.org/10.5281/zenodo.19131164</w:t>
      </w:r>
    </w:p>
    <w:p>
      <w:pPr>
        <w:pStyle w:val="SourceNote"/>
      </w:pPr>
      <w:r>
        <w:rPr>
          <w:b/>
        </w:rPr>
        <w:t>Review status:</w:t>
      </w:r>
      <w:r>
        <w:t xml:space="preserve"> unchecked — possible relationship only</w:t>
      </w:r>
    </w:p>
    <w:p>
      <w:pPr>
        <w:pStyle w:val="Heading2"/>
      </w:pPr>
      <w:r>
        <w:t>55. Claim + two later sources: The Conference on the Future of Europe: possible scenarios of the forthcoming European Perestroika</w:t>
      </w:r>
    </w:p>
    <w:p>
      <w:pPr>
        <w:pStyle w:val="SourceNote"/>
      </w:pPr>
      <w:r>
        <w:rPr>
          <w:b/>
        </w:rPr>
        <w:t>Group ID:</w:t>
      </w:r>
      <w:r>
        <w:t xml:space="preserve"> group-5c026fa977342d0b26dc</w:t>
      </w:r>
    </w:p>
    <w:p>
      <w:pPr>
        <w:pStyle w:val="SourceNote"/>
      </w:pPr>
      <w:r>
        <w:rPr>
          <w:b/>
        </w:rPr>
        <w:t>Original source:</w:t>
      </w:r>
      <w:r>
        <w:t xml:space="preserve"> https://doi.org/10.21128/1812-7126-2022-1-14-42</w:t>
      </w:r>
    </w:p>
    <w:p>
      <w:pPr/>
      <w:r>
        <w:rPr>
          <w:b/>
        </w:rPr>
        <w:t>Original future claim:</w:t>
      </w:r>
      <w:r>
        <w:t xml:space="preserve"> These varying directions within the EU establishment demonstrated by this discussion create a pressing need to find some common, compromise solutions between European elites on such questions as the renovation of the European project, the scope of amendments to the foundational treaties, delineation of alternative strategies of reforms, and a choice between different future options and potential outcomes.</w:t>
      </w:r>
    </w:p>
    <w:p>
      <w:pPr/>
      <w:r>
        <w:rPr>
          <w:b/>
        </w:rPr>
        <w:t>Later source:</w:t>
      </w:r>
      <w:r>
        <w:t xml:space="preserve"> Preventing Child Sexual Abuse and Exploitation: Current Efforts and Future Directions in the European Union — https://doi.org/10.1080/15564886.2025.2603478</w:t>
      </w:r>
    </w:p>
    <w:p>
      <w:pPr/>
      <w:r>
        <w:rPr>
          <w:b/>
        </w:rPr>
        <w:t>Later source:</w:t>
      </w:r>
      <w:r>
        <w:t xml:space="preserve"> Development policy directions on climate challenges in selected central and Eastern European countries — https://doi.org/10.29119/1641-3466.2026.247.26</w:t>
      </w:r>
    </w:p>
    <w:p>
      <w:pPr>
        <w:pStyle w:val="SourceNote"/>
      </w:pPr>
      <w:r>
        <w:rPr>
          <w:b/>
        </w:rPr>
        <w:t>Review status:</w:t>
      </w:r>
      <w:r>
        <w:t xml:space="preserve"> unchecked — possible relationship only</w:t>
      </w:r>
    </w:p>
    <w:p>
      <w:pPr>
        <w:pStyle w:val="Heading2"/>
      </w:pPr>
      <w:r>
        <w:t>56. Claim + two later sources: The convergence or divergence of labour resources in Poland?</w:t>
      </w:r>
    </w:p>
    <w:p>
      <w:pPr>
        <w:pStyle w:val="SourceNote"/>
      </w:pPr>
      <w:r>
        <w:rPr>
          <w:b/>
        </w:rPr>
        <w:t>Group ID:</w:t>
      </w:r>
      <w:r>
        <w:t xml:space="preserve"> group-36df1b7f4203922cf258</w:t>
      </w:r>
    </w:p>
    <w:p>
      <w:pPr>
        <w:pStyle w:val="SourceNote"/>
      </w:pPr>
      <w:r>
        <w:rPr>
          <w:b/>
        </w:rPr>
        <w:t>Original source:</w:t>
      </w:r>
      <w:r>
        <w:t xml:space="preserve"> https://doi.org/10.15611/pn.2020.4.07</w:t>
      </w:r>
    </w:p>
    <w:p>
      <w:pPr/>
      <w:r>
        <w:rPr>
          <w:b/>
        </w:rPr>
        <w:t>Original future claim:</w:t>
      </w:r>
      <w:r>
        <w:t xml:space="preserve"> Eurostat’s projections indicate that by 2050 Poland will see a significant reduction in and ageing of its labour resources.</w:t>
      </w:r>
    </w:p>
    <w:p>
      <w:pPr/>
      <w:r>
        <w:rPr>
          <w:b/>
        </w:rPr>
        <w:t>Later source:</w:t>
      </w:r>
      <w:r>
        <w:t xml:space="preserve"> Demographic Dependency and the Future of the European Workforce: A Spatial–Temporal Forecasting Approach — https://doi.org/10.3390/su18094468</w:t>
      </w:r>
    </w:p>
    <w:p>
      <w:pPr/>
      <w:r>
        <w:rPr>
          <w:b/>
        </w:rPr>
        <w:t>Later source:</w:t>
      </w:r>
      <w:r>
        <w:t xml:space="preserve"> Energy Supply Shocks and Inflation in Central and Eastern Europe: Evidence from Bayesian SVARs and Local Projections — https://doi.org/10.3390/commodities5030017</w:t>
      </w:r>
    </w:p>
    <w:p>
      <w:pPr>
        <w:pStyle w:val="SourceNote"/>
      </w:pPr>
      <w:r>
        <w:rPr>
          <w:b/>
        </w:rPr>
        <w:t>Review status:</w:t>
      </w:r>
      <w:r>
        <w:t xml:space="preserve"> unchecked — possible relationship only</w:t>
      </w:r>
    </w:p>
    <w:p>
      <w:pPr>
        <w:pStyle w:val="Heading2"/>
      </w:pPr>
      <w:r>
        <w:t>57. Claim + two later sources: Current situation and future prospects for beef production in Europe — A review</w:t>
      </w:r>
    </w:p>
    <w:p>
      <w:pPr>
        <w:pStyle w:val="SourceNote"/>
      </w:pPr>
      <w:r>
        <w:rPr>
          <w:b/>
        </w:rPr>
        <w:t>Group ID:</w:t>
      </w:r>
      <w:r>
        <w:t xml:space="preserve"> group-e3f012e4b28a171cd569</w:t>
      </w:r>
    </w:p>
    <w:p>
      <w:pPr>
        <w:pStyle w:val="SourceNote"/>
      </w:pPr>
      <w:r>
        <w:rPr>
          <w:b/>
        </w:rPr>
        <w:t>Original source:</w:t>
      </w:r>
      <w:r>
        <w:t xml:space="preserve"> https://doi.org/10.5713/ajas.18.0196</w:t>
      </w:r>
    </w:p>
    <w:p>
      <w:pPr/>
      <w:r>
        <w:rPr>
          <w:b/>
        </w:rPr>
        <w:t>Original future claim:</w:t>
      </w:r>
      <w:r>
        <w:t xml:space="preserve"> These may affect the whole industry, especially its farmers. Different future scenarios can be written depending on the major driving forces, notably meat consumption, climate change, environmental policies and future organization of the supply chain.</w:t>
      </w:r>
    </w:p>
    <w:p>
      <w:pPr/>
      <w:r>
        <w:rPr>
          <w:b/>
        </w:rPr>
        <w:t>Later source:</w:t>
      </w:r>
      <w:r>
        <w:t xml:space="preserve"> Industry 5.0 in the European Union — https://doi.org/10.1201/9781003785590</w:t>
      </w:r>
    </w:p>
    <w:p>
      <w:pPr/>
      <w:r>
        <w:rPr>
          <w:b/>
        </w:rPr>
        <w:t>Later source:</w:t>
      </w:r>
      <w:r>
        <w:t xml:space="preserve"> The Whole Economy: Work and Gender in Early Modern Europe — https://doi.org/10.1215/15476715-11609909</w:t>
      </w:r>
    </w:p>
    <w:p>
      <w:pPr>
        <w:pStyle w:val="SourceNote"/>
      </w:pPr>
      <w:r>
        <w:rPr>
          <w:b/>
        </w:rPr>
        <w:t>Review status:</w:t>
      </w:r>
      <w:r>
        <w:t xml:space="preserve"> unchecked — possible relationship only</w:t>
      </w:r>
    </w:p>
    <w:p>
      <w:pPr>
        <w:pStyle w:val="Heading2"/>
      </w:pPr>
      <w:r>
        <w:t>58. Claim + two later sources: EU land use futures: modelling food, bioenergy and carbon dynamics</w:t>
      </w:r>
    </w:p>
    <w:p>
      <w:pPr>
        <w:pStyle w:val="SourceNote"/>
      </w:pPr>
      <w:r>
        <w:rPr>
          <w:b/>
        </w:rPr>
        <w:t>Group ID:</w:t>
      </w:r>
      <w:r>
        <w:t xml:space="preserve"> group-6c0326502c0df59ffee1</w:t>
      </w:r>
    </w:p>
    <w:p>
      <w:pPr>
        <w:pStyle w:val="SourceNote"/>
      </w:pPr>
      <w:r>
        <w:rPr>
          <w:b/>
        </w:rPr>
        <w:t>Original source:</w:t>
      </w:r>
      <w:r>
        <w:t xml:space="preserve"> https://doi.org/10.1016/j.esr.2020.100545</w:t>
      </w:r>
    </w:p>
    <w:p>
      <w:pPr/>
      <w:r>
        <w:rPr>
          <w:b/>
        </w:rPr>
        <w:t>Original future claim:</w:t>
      </w:r>
      <w:r>
        <w:t xml:space="preserve"> We demonstrate that changes in types and quantities of food consumed and reductions in food wastes along with sustainable bioenergy and forestry dynamics would materially assist the EU in meeting its 2050 climate mitigation obligations. This paper presents an original system dynamics model, which aims to assess how changes in diet, agricultural practices, bioenergy and forestry could help reduce greenhouse gas emissions.</w:t>
      </w:r>
    </w:p>
    <w:p>
      <w:pPr/>
      <w:r>
        <w:rPr>
          <w:b/>
        </w:rPr>
        <w:t>Later source:</w:t>
      </w:r>
      <w:r>
        <w:t xml:space="preserve"> Understanding biases and changes in European heavy precipitation using dynamical flow precursors — https://doi.org/10.5194/wcd-7-633-2026</w:t>
      </w:r>
    </w:p>
    <w:p>
      <w:pPr/>
      <w:r>
        <w:rPr>
          <w:b/>
        </w:rPr>
        <w:t>Later source:</w:t>
      </w:r>
      <w:r>
        <w:t xml:space="preserve"> Sowing the seeds of change: unveiling farmer types to promote climate-smart agriculture adoption in Europe — https://doi.org/10.1016/j.jrurstud.2026.104043</w:t>
      </w:r>
    </w:p>
    <w:p>
      <w:pPr>
        <w:pStyle w:val="SourceNote"/>
      </w:pPr>
      <w:r>
        <w:rPr>
          <w:b/>
        </w:rPr>
        <w:t>Review status:</w:t>
      </w:r>
      <w:r>
        <w:t xml:space="preserve"> unchecked — possible relationship only</w:t>
      </w:r>
    </w:p>
    <w:p>
      <w:pPr>
        <w:pStyle w:val="Heading2"/>
      </w:pPr>
      <w:r>
        <w:t>59. Claim + two later sources: Forecasting the Diffusion of Gigabit Home Networking In Europe</w:t>
      </w:r>
    </w:p>
    <w:p>
      <w:pPr>
        <w:pStyle w:val="SourceNote"/>
      </w:pPr>
      <w:r>
        <w:rPr>
          <w:b/>
        </w:rPr>
        <w:t>Group ID:</w:t>
      </w:r>
      <w:r>
        <w:t xml:space="preserve"> group-dc6b7d87e2cad1c5ef9f</w:t>
      </w:r>
    </w:p>
    <w:p>
      <w:pPr>
        <w:pStyle w:val="SourceNote"/>
      </w:pPr>
      <w:r>
        <w:rPr>
          <w:b/>
        </w:rPr>
        <w:t>Original source:</w:t>
      </w:r>
      <w:r>
        <w:t xml:space="preserve"> https://doi.org/10.4018/ijtd.2014070103</w:t>
      </w:r>
    </w:p>
    <w:p>
      <w:pPr/>
      <w:r>
        <w:rPr>
          <w:b/>
        </w:rPr>
        <w:t>Original future claim:</w:t>
      </w:r>
      <w:r>
        <w:t xml:space="preserve"> Market stakeholders have cooperated to evolve home networking towards an integrated, converged Gigabit technology, which will completely change the Home Area Networks (HANs) landscape and will enable a wave of possibilities. However, the lack of historical data on which such a forecast could be based presents a barrier that existing literature has not successfully addressed.</w:t>
      </w:r>
    </w:p>
    <w:p>
      <w:pPr/>
      <w:r>
        <w:rPr>
          <w:b/>
        </w:rPr>
        <w:t>Later source:</w:t>
      </w:r>
      <w:r>
        <w:t xml:space="preserve"> Stakeholder engagement in hubs for circularity in Europe — https://doi.org/10.1051/mattech/2026012</w:t>
      </w:r>
    </w:p>
    <w:p>
      <w:pPr/>
      <w:r>
        <w:rPr>
          <w:b/>
        </w:rPr>
        <w:t>Later source:</w:t>
      </w:r>
      <w:r>
        <w:t xml:space="preserve"> Local flexibility markets in Europe: A critical review of market designs, operational maturity and stakeholder perspectives — https://doi.org/10.1016/j.rser.2025.116434</w:t>
      </w:r>
    </w:p>
    <w:p>
      <w:pPr>
        <w:pStyle w:val="SourceNote"/>
      </w:pPr>
      <w:r>
        <w:rPr>
          <w:b/>
        </w:rPr>
        <w:t>Review status:</w:t>
      </w:r>
      <w:r>
        <w:t xml:space="preserve"> unchecked — possible relationship only</w:t>
      </w:r>
    </w:p>
    <w:p>
      <w:pPr>
        <w:pStyle w:val="Heading2"/>
      </w:pPr>
      <w:r>
        <w:t>60. Claim + two later sources: Using scenarios to assess the future supply of NHS nursing staff in England</w:t>
      </w:r>
    </w:p>
    <w:p>
      <w:pPr>
        <w:pStyle w:val="SourceNote"/>
      </w:pPr>
      <w:r>
        <w:rPr>
          <w:b/>
        </w:rPr>
        <w:t>Group ID:</w:t>
      </w:r>
      <w:r>
        <w:t xml:space="preserve"> group-bbb5de2394ceae1322ce</w:t>
      </w:r>
    </w:p>
    <w:p>
      <w:pPr>
        <w:pStyle w:val="SourceNote"/>
      </w:pPr>
      <w:r>
        <w:rPr>
          <w:b/>
        </w:rPr>
        <w:t>Original source:</w:t>
      </w:r>
      <w:r>
        <w:t xml:space="preserve"> https://doi.org/10.1186/1478-4491-10-16</w:t>
      </w:r>
    </w:p>
    <w:p>
      <w:pPr/>
      <w:r>
        <w:rPr>
          <w:b/>
        </w:rPr>
        <w:t>Original future claim:</w:t>
      </w:r>
      <w:r>
        <w:t xml:space="preserve"> It is important that different scenarios are considered that may be regarded as possible futures, based on a realistic assessment of the available workforce data, policies and broader labour market and funding outlook. Based on available workforce data, the paper reviews different possible scenarios for the supply of NHS nurses over a ten year period, assessing the impact of different numbers of new staff being trained and of varying retirement patterns from the ageing profession.The government in England has more policy levers available than is the case in many other countries.</w:t>
      </w:r>
    </w:p>
    <w:p>
      <w:pPr/>
      <w:r>
        <w:rPr>
          <w:b/>
        </w:rPr>
        <w:t>Later source:</w:t>
      </w:r>
      <w:r>
        <w:t xml:space="preserve"> Of Important — https://doi.org/10.67224/ioasdjbms.2024.v01i02.001</w:t>
      </w:r>
    </w:p>
    <w:p>
      <w:pPr/>
      <w:r>
        <w:rPr>
          <w:b/>
        </w:rPr>
        <w:t>Later source:</w:t>
      </w:r>
      <w:r>
        <w:t xml:space="preserve"> Ground Based-cloud Classification Based on Comparing Different Classification Models — https://doi.org/10.54254/2755-2721/2/20220541</w:t>
      </w:r>
    </w:p>
    <w:p>
      <w:pPr>
        <w:pStyle w:val="SourceNote"/>
      </w:pPr>
      <w:r>
        <w:rPr>
          <w:b/>
        </w:rPr>
        <w:t>Review status:</w:t>
      </w:r>
      <w:r>
        <w:t xml:space="preserve"> unchecked — possible relationship only</w:t>
      </w:r>
    </w:p>
    <w:p>
      <w:pPr>
        <w:pStyle w:val="Heading2"/>
      </w:pPr>
      <w:r>
        <w:t>61. Claim + two later sources: New system of employment forecasting in Poland</w:t>
      </w:r>
    </w:p>
    <w:p>
      <w:pPr>
        <w:pStyle w:val="SourceNote"/>
      </w:pPr>
      <w:r>
        <w:rPr>
          <w:b/>
        </w:rPr>
        <w:t>Group ID:</w:t>
      </w:r>
      <w:r>
        <w:t xml:space="preserve"> group-9718b882e3ab8727fb8b</w:t>
      </w:r>
    </w:p>
    <w:p>
      <w:pPr>
        <w:pStyle w:val="SourceNote"/>
      </w:pPr>
      <w:r>
        <w:rPr>
          <w:b/>
        </w:rPr>
        <w:t>Original source:</w:t>
      </w:r>
      <w:r>
        <w:t xml:space="preserve"> https://doi.org/10.2478/eam-2014-0018</w:t>
      </w:r>
    </w:p>
    <w:p>
      <w:pPr/>
      <w:r>
        <w:rPr>
          <w:b/>
        </w:rPr>
        <w:t>Original future claim:</w:t>
      </w:r>
      <w:r>
        <w:t xml:space="preserve"> The analysis of forecasts enabled drawing some conclusions, important from the point of view of the perspectives of the Polish labour market and the labour market policy. Abstract The goal of the paper was to describe the system of employment forecasting in Poland and to present forecasts results.</w:t>
      </w:r>
    </w:p>
    <w:p>
      <w:pPr/>
      <w:r>
        <w:rPr>
          <w:b/>
        </w:rPr>
        <w:t>Later source:</w:t>
      </w:r>
      <w:r>
        <w:t xml:space="preserve"> A collaborative analytics framework for artificial intelligence-based demand forecasting in supply chains — https://doi.org/10.1016/j.sca.2026.100235</w:t>
      </w:r>
    </w:p>
    <w:p>
      <w:pPr/>
      <w:r>
        <w:rPr>
          <w:b/>
        </w:rPr>
        <w:t>Later source:</w:t>
      </w:r>
      <w:r>
        <w:t xml:space="preserve"> D5.5 Short-term ecological forecasts in support of the Bioeconomy Strategy and EU citizens — https://doi.org/10.3897/arphapreprints.e119131</w:t>
      </w:r>
    </w:p>
    <w:p>
      <w:pPr>
        <w:pStyle w:val="SourceNote"/>
      </w:pPr>
      <w:r>
        <w:rPr>
          <w:b/>
        </w:rPr>
        <w:t>Review status:</w:t>
      </w:r>
      <w:r>
        <w:t xml:space="preserve"> unchecked — possible relationship only</w:t>
      </w:r>
    </w:p>
    <w:p>
      <w:pPr>
        <w:pStyle w:val="Heading2"/>
      </w:pPr>
      <w:r>
        <w:t>62. Claim + two later sources: On European Green Deal and Sustainable Development Policy (the Case of Romania)</w:t>
      </w:r>
    </w:p>
    <w:p>
      <w:pPr>
        <w:pStyle w:val="SourceNote"/>
      </w:pPr>
      <w:r>
        <w:rPr>
          <w:b/>
        </w:rPr>
        <w:t>Group ID:</w:t>
      </w:r>
      <w:r>
        <w:t xml:space="preserve"> group-c858aeeb5429ae58fe87</w:t>
      </w:r>
    </w:p>
    <w:p>
      <w:pPr>
        <w:pStyle w:val="SourceNote"/>
      </w:pPr>
      <w:r>
        <w:rPr>
          <w:b/>
        </w:rPr>
        <w:t>Original source:</w:t>
      </w:r>
      <w:r>
        <w:t xml:space="preserve"> https://doi.org/10.3390/su132112233</w:t>
      </w:r>
    </w:p>
    <w:p>
      <w:pPr/>
      <w:r>
        <w:rPr>
          <w:b/>
        </w:rPr>
        <w:t>Original future claim:</w:t>
      </w:r>
      <w:r>
        <w:t xml:space="preserve"> Reaching the EU climate-neutrality objective in 2050 is very ambitious, especially for the Member States from Central-Eastern Europe.</w:t>
      </w:r>
    </w:p>
    <w:p>
      <w:pPr/>
      <w:r>
        <w:rPr>
          <w:b/>
        </w:rPr>
        <w:t>Later source:</w:t>
      </w:r>
      <w:r>
        <w:t xml:space="preserve"> Cluster Analysis of the Transition to Climate Neutrality in the European Union — https://doi.org/10.1002/sd.70064</w:t>
      </w:r>
    </w:p>
    <w:p>
      <w:pPr/>
      <w:r>
        <w:rPr>
          <w:b/>
        </w:rPr>
        <w:t>Later source:</w:t>
      </w:r>
      <w:r>
        <w:t xml:space="preserve"> Assessment of the Potential of European Union Member States to Achieve Climate Neutrality — https://doi.org/10.3390/su16031311</w:t>
      </w:r>
    </w:p>
    <w:p>
      <w:pPr>
        <w:pStyle w:val="SourceNote"/>
      </w:pPr>
      <w:r>
        <w:rPr>
          <w:b/>
        </w:rPr>
        <w:t>Review status:</w:t>
      </w:r>
      <w:r>
        <w:t xml:space="preserve"> unchecked — possible relationship only</w:t>
      </w:r>
    </w:p>
    <w:p>
      <w:pPr>
        <w:pStyle w:val="Heading2"/>
      </w:pPr>
      <w:r>
        <w:t>63. Claim + two later sources: Modeling the climatic suitability of leishmaniasis vector species in Europe</w:t>
      </w:r>
    </w:p>
    <w:p>
      <w:pPr>
        <w:pStyle w:val="SourceNote"/>
      </w:pPr>
      <w:r>
        <w:rPr>
          <w:b/>
        </w:rPr>
        <w:t>Group ID:</w:t>
      </w:r>
      <w:r>
        <w:t xml:space="preserve"> group-d5f4f7bade4d679fd76d</w:t>
      </w:r>
    </w:p>
    <w:p>
      <w:pPr>
        <w:pStyle w:val="SourceNote"/>
      </w:pPr>
      <w:r>
        <w:rPr>
          <w:b/>
        </w:rPr>
        <w:t>Original source:</w:t>
      </w:r>
      <w:r>
        <w:t xml:space="preserve"> https://doi.org/10.1038/s41598-017-13822-1</w:t>
      </w:r>
    </w:p>
    <w:p>
      <w:pPr/>
      <w:r>
        <w:rPr>
          <w:b/>
        </w:rPr>
        <w:t>Original future claim:</w:t>
      </w:r>
      <w:r>
        <w:t xml:space="preserve"> Climate change will affect the geographical distribution of many species in the future. An increased number of vector species, or a higher abundance of a single species, might result in a higher transmission risk of leishmaniasis, provided that the pathogens follow the projected range shifts.</w:t>
      </w:r>
    </w:p>
    <w:p>
      <w:pPr/>
      <w:r>
        <w:rPr>
          <w:b/>
        </w:rPr>
        <w:t>Later source:</w:t>
      </w:r>
      <w:r>
        <w:t xml:space="preserve"> Ash dieback and hydrology affect tree growth patterns under climate change in European floodplain forests — https://doi.org/10.1038/s41598-025-92079-5</w:t>
      </w:r>
    </w:p>
    <w:p>
      <w:pPr/>
      <w:r>
        <w:rPr>
          <w:b/>
        </w:rPr>
        <w:t>Later source:</w:t>
      </w:r>
      <w:r>
        <w:t xml:space="preserve"> Implications for the distributional range of the European bark beetles under future climate change — https://doi.org/10.1038/s41598-025-15546-z</w:t>
      </w:r>
    </w:p>
    <w:p>
      <w:pPr>
        <w:pStyle w:val="SourceNote"/>
      </w:pPr>
      <w:r>
        <w:rPr>
          <w:b/>
        </w:rPr>
        <w:t>Review status:</w:t>
      </w:r>
      <w:r>
        <w:t xml:space="preserve"> unchecked — possible relationship only</w:t>
      </w:r>
    </w:p>
    <w:p>
      <w:pPr>
        <w:pStyle w:val="Heading2"/>
      </w:pPr>
      <w:r>
        <w:t>64. Claim + two later sources: Beyond Futures: Designing Futures by Educating Future Designers</w:t>
      </w:r>
    </w:p>
    <w:p>
      <w:pPr>
        <w:pStyle w:val="SourceNote"/>
      </w:pPr>
      <w:r>
        <w:rPr>
          <w:b/>
        </w:rPr>
        <w:t>Group ID:</w:t>
      </w:r>
      <w:r>
        <w:t xml:space="preserve"> group-04671b7a7476ba65992a</w:t>
      </w:r>
    </w:p>
    <w:p>
      <w:pPr>
        <w:pStyle w:val="SourceNote"/>
      </w:pPr>
      <w:r>
        <w:rPr>
          <w:b/>
        </w:rPr>
        <w:t>Original source:</w:t>
      </w:r>
      <w:r>
        <w:t xml:space="preserve"> https://doi.org/10.1177/1946756718790758</w:t>
      </w:r>
    </w:p>
    <w:p>
      <w:pPr/>
      <w:r>
        <w:rPr>
          <w:b/>
        </w:rPr>
        <w:t>Original future claim:</w:t>
      </w:r>
      <w:r>
        <w:t xml:space="preserve"> It may increase designers’ sensitivity of the impact their work may have in the future and push their creativity by broadening their view looking at different future scenarios.</w:t>
      </w:r>
    </w:p>
    <w:p>
      <w:pPr/>
      <w:r>
        <w:rPr>
          <w:b/>
        </w:rPr>
        <w:t>Later source:</w:t>
      </w:r>
      <w:r>
        <w:t xml:space="preserve"> Recent findings and advancements in the detection of designer benzodiazepines: a brief review — https://doi.org/10.2478/aiht-2023-74-3771</w:t>
      </w:r>
    </w:p>
    <w:p>
      <w:pPr/>
      <w:r>
        <w:rPr>
          <w:b/>
        </w:rPr>
        <w:t>Later source:</w:t>
      </w:r>
      <w:r>
        <w:t xml:space="preserve"> Increasing gender sensitivity with codesign — https://doi.org/10.34190/icgr.5.1.177</w:t>
      </w:r>
    </w:p>
    <w:p>
      <w:pPr>
        <w:pStyle w:val="SourceNote"/>
      </w:pPr>
      <w:r>
        <w:rPr>
          <w:b/>
        </w:rPr>
        <w:t>Review status:</w:t>
      </w:r>
      <w:r>
        <w:t xml:space="preserve"> unchecked — possible relationship only</w:t>
      </w:r>
    </w:p>
    <w:p>
      <w:pPr>
        <w:pStyle w:val="Heading2"/>
      </w:pPr>
      <w:r>
        <w:t>65. Claim + two later sources: Baltic herring for food: Shades of grey in how backcasting recommendations work across exploratory scenarios</w:t>
      </w:r>
    </w:p>
    <w:p>
      <w:pPr>
        <w:pStyle w:val="SourceNote"/>
      </w:pPr>
      <w:r>
        <w:rPr>
          <w:b/>
        </w:rPr>
        <w:t>Group ID:</w:t>
      </w:r>
      <w:r>
        <w:t xml:space="preserve"> group-56f3719fe9d36bb837b1</w:t>
      </w:r>
    </w:p>
    <w:p>
      <w:pPr>
        <w:pStyle w:val="SourceNote"/>
      </w:pPr>
      <w:r>
        <w:rPr>
          <w:b/>
        </w:rPr>
        <w:t>Original source:</w:t>
      </w:r>
      <w:r>
        <w:t xml:space="preserve"> https://doi.org/10.1016/j.techfore.2018.11.001</w:t>
      </w:r>
    </w:p>
    <w:p>
      <w:pPr/>
      <w:r>
        <w:rPr>
          <w:b/>
        </w:rPr>
        <w:t>Original future claim:</w:t>
      </w:r>
      <w:r>
        <w:t xml:space="preserve"> The case study: 1) develops recommendations on how the use of Baltic herring as food can be increased based on a participatory backcasting workshop with fisheries experts; 2) identifies four exploratory scenarios on the future of Baltic fisheries governance based on a literature review; 3) assesses how the recommendations work under four alternative plausible futures. Together, these stress the need to analyse simultaneously multiple drivers, stakeholders, exploratory scenarios, normative recommendations, and synergies and frictions between recommendations.</w:t>
      </w:r>
    </w:p>
    <w:p>
      <w:pPr/>
      <w:r>
        <w:rPr>
          <w:b/>
        </w:rPr>
        <w:t>Later source:</w:t>
      </w:r>
      <w:r>
        <w:t xml:space="preserve"> Adherence to dietary recommendations and the risk of developing giant cell arteritis: A nested Case-Control study — https://doi.org/10.1016/j.semarthrit.2026.153003</w:t>
      </w:r>
    </w:p>
    <w:p>
      <w:pPr/>
      <w:r>
        <w:rPr>
          <w:b/>
        </w:rPr>
        <w:t>Later source:</w:t>
      </w:r>
      <w:r>
        <w:t xml:space="preserve"> Developing Recommendations to Improve Performance of Employees — https://openalex.org/W7162971626</w:t>
      </w:r>
    </w:p>
    <w:p>
      <w:pPr>
        <w:pStyle w:val="SourceNote"/>
      </w:pPr>
      <w:r>
        <w:rPr>
          <w:b/>
        </w:rPr>
        <w:t>Review status:</w:t>
      </w:r>
      <w:r>
        <w:t xml:space="preserve"> unchecked — possible relationship only</w:t>
      </w:r>
    </w:p>
    <w:p>
      <w:pPr>
        <w:pStyle w:val="Heading2"/>
      </w:pPr>
      <w:r>
        <w:t>66. Claim + two later sources: The EU climate and energy policy: what about the new targets for 2030?</w:t>
      </w:r>
    </w:p>
    <w:p>
      <w:pPr>
        <w:pStyle w:val="SourceNote"/>
      </w:pPr>
      <w:r>
        <w:rPr>
          <w:b/>
        </w:rPr>
        <w:t>Group ID:</w:t>
      </w:r>
      <w:r>
        <w:t xml:space="preserve"> group-3187e004eccbeafe8104</w:t>
      </w:r>
    </w:p>
    <w:p>
      <w:pPr>
        <w:pStyle w:val="SourceNote"/>
      </w:pPr>
      <w:r>
        <w:rPr>
          <w:b/>
        </w:rPr>
        <w:t>Original source:</w:t>
      </w:r>
      <w:r>
        <w:t xml:space="preserve"> https://doi.org/10.3280/efe2014-001002</w:t>
      </w:r>
    </w:p>
    <w:p>
      <w:pPr/>
      <w:r>
        <w:rPr>
          <w:b/>
        </w:rPr>
        <w:t>Original future claim:</w:t>
      </w:r>
      <w:r>
        <w:t xml:space="preserve"> Finally, the increase in energy efficiency should also continue to be promoted, but without any quantitative target that would be very difficult to establish and monitor. In 2013 the EU Commission issued a Green paper to launch a debate on what should be the objectives for 2030 and early 2014 has published its proposals.</w:t>
      </w:r>
    </w:p>
    <w:p>
      <w:pPr/>
      <w:r>
        <w:rPr>
          <w:b/>
        </w:rPr>
        <w:t>Later source:</w:t>
      </w:r>
      <w:r>
        <w:t xml:space="preserve"> Short-term renewable energy forecast errors in Europe: Spatial dependence and smoothing potential — https://doi.org/10.1016/j.renene.2026.126047</w:t>
      </w:r>
    </w:p>
    <w:p>
      <w:pPr/>
      <w:r>
        <w:rPr>
          <w:b/>
        </w:rPr>
        <w:t>Later source:</w:t>
      </w:r>
      <w:r>
        <w:t xml:space="preserve"> European Energy Vision 2060: Charting Diverse Pathways for Europe's Energy Transition — https://doi.org/10.48550/arxiv.2501.12993</w:t>
      </w:r>
    </w:p>
    <w:p>
      <w:pPr>
        <w:pStyle w:val="SourceNote"/>
      </w:pPr>
      <w:r>
        <w:rPr>
          <w:b/>
        </w:rPr>
        <w:t>Review status:</w:t>
      </w:r>
      <w:r>
        <w:t xml:space="preserve"> unchecked — possible relationship only</w:t>
      </w:r>
    </w:p>
    <w:p>
      <w:pPr>
        <w:pStyle w:val="Heading2"/>
      </w:pPr>
      <w:r>
        <w:t>67. Claim + two later sources: Facing the future: Scanning, synthesizing and sense-making in horizon scanning</w:t>
      </w:r>
    </w:p>
    <w:p>
      <w:pPr>
        <w:pStyle w:val="SourceNote"/>
      </w:pPr>
      <w:r>
        <w:rPr>
          <w:b/>
        </w:rPr>
        <w:t>Group ID:</w:t>
      </w:r>
      <w:r>
        <w:t xml:space="preserve"> group-c6e9e9cbcb1237be181c</w:t>
      </w:r>
    </w:p>
    <w:p>
      <w:pPr>
        <w:pStyle w:val="SourceNote"/>
      </w:pPr>
      <w:r>
        <w:rPr>
          <w:b/>
        </w:rPr>
        <w:t>Original source:</w:t>
      </w:r>
      <w:r>
        <w:t xml:space="preserve"> https://doi.org/10.1093/scipol/scs021</w:t>
      </w:r>
    </w:p>
    <w:p>
      <w:pPr/>
      <w:r>
        <w:rPr>
          <w:b/>
        </w:rPr>
        <w:t>Original future claim:</w:t>
      </w:r>
      <w:r>
        <w:t xml:space="preserve"> In this paper, we discuss key issues in harnessing horizon scanning to shape systemic policies, particularly in the light of the foresight exercise ‘Facing the future: Time for the EU to meet global challenges' which was carried out for the Bureau of European Policy Advisors. This exercise illustrates how horizon scanning can enable collective sense-making processes which assist in the identification of emerging signals and policy issues; the synthesis of such issues into encompassing clusters; and the interpretation of resulting clusters as an important step towards the coordinated development of joint policy measures.</w:t>
      </w:r>
    </w:p>
    <w:p>
      <w:pPr/>
      <w:r>
        <w:rPr>
          <w:b/>
        </w:rPr>
        <w:t>Later source:</w:t>
      </w:r>
      <w:r>
        <w:t xml:space="preserve"> Assessing the success of a horizon scanning approach in predicting invasive non-native species — https://openalex.org/W7114593291</w:t>
      </w:r>
    </w:p>
    <w:p>
      <w:pPr/>
      <w:r>
        <w:rPr>
          <w:b/>
        </w:rPr>
        <w:t>Later source:</w:t>
      </w:r>
      <w:r>
        <w:t xml:space="preserve"> Evaluating international collaboration on horizon scanning for pharmaceuticals: developing key performance indicators for the international horizon scanning initiative — https://doi.org/10.1017/s0266462325103358</w:t>
      </w:r>
    </w:p>
    <w:p>
      <w:pPr>
        <w:pStyle w:val="SourceNote"/>
      </w:pPr>
      <w:r>
        <w:rPr>
          <w:b/>
        </w:rPr>
        <w:t>Review status:</w:t>
      </w:r>
      <w:r>
        <w:t xml:space="preserve"> unchecked — possible relationship only</w:t>
      </w:r>
    </w:p>
    <w:p>
      <w:pPr>
        <w:pStyle w:val="Heading2"/>
      </w:pPr>
      <w:r>
        <w:t>68. Claim + two later sources: A strategic policy scenario analysis framework for the sustainable tourist development of peripheral small island areas – the case of Lefkada-Greece Island</w:t>
      </w:r>
    </w:p>
    <w:p>
      <w:pPr>
        <w:pStyle w:val="SourceNote"/>
      </w:pPr>
      <w:r>
        <w:rPr>
          <w:b/>
        </w:rPr>
        <w:t>Group ID:</w:t>
      </w:r>
      <w:r>
        <w:t xml:space="preserve"> group-1f61b5d6f4f7012d3240</w:t>
      </w:r>
    </w:p>
    <w:p>
      <w:pPr>
        <w:pStyle w:val="SourceNote"/>
      </w:pPr>
      <w:r>
        <w:rPr>
          <w:b/>
        </w:rPr>
        <w:t>Original source:</w:t>
      </w:r>
      <w:r>
        <w:t xml:space="preserve"> https://doi.org/10.1007/s40309-015-0063-z</w:t>
      </w:r>
    </w:p>
    <w:p>
      <w:pPr/>
      <w:r>
        <w:rPr>
          <w:b/>
        </w:rPr>
        <w:t>Original future claim:</w:t>
      </w:r>
      <w:r>
        <w:t xml:space="preserve"> This will be implemented to a specific peripheral small island region, the island of Lefkada-Greece, seeking the integrated development of the island with emphasis on the sustainable exploitation of local tourist assets. Information gathered on potential developments of the external environment are used to inform the structuring and evaluation of sustainable tourist development scenarios in order to conclude with the most prevalent future perspective for the specific region, taking into consideration the local preferences and values in a participatory evaluation context.</w:t>
      </w:r>
    </w:p>
    <w:p>
      <w:pPr/>
      <w:r>
        <w:rPr>
          <w:b/>
        </w:rPr>
        <w:t>Later source:</w:t>
      </w:r>
      <w:r>
        <w:t xml:space="preserve"> Expert perspectives on the requirements for implementing prehospital peripheral nerve blocks: a survey among members of the European Society of Regional Anaesthesia (ESRA) — https://doi.org/10.1186/s12871-026-04093-3</w:t>
      </w:r>
    </w:p>
    <w:p>
      <w:pPr/>
      <w:r>
        <w:rPr>
          <w:b/>
        </w:rPr>
        <w:t>Later source:</w:t>
      </w:r>
      <w:r>
        <w:t xml:space="preserve"> Servitising rural heritage: Social innovation and the social economy in peripheral Europe — https://doi.org/10.24136/eq.4292</w:t>
      </w:r>
    </w:p>
    <w:p>
      <w:pPr>
        <w:pStyle w:val="SourceNote"/>
      </w:pPr>
      <w:r>
        <w:rPr>
          <w:b/>
        </w:rPr>
        <w:t>Review status:</w:t>
      </w:r>
      <w:r>
        <w:t xml:space="preserve"> unchecked — possible relationship only</w:t>
      </w:r>
    </w:p>
    <w:p>
      <w:pPr>
        <w:pStyle w:val="Heading2"/>
      </w:pPr>
      <w:r>
        <w:t>69. Claim + two later sources: Ensemble flood risk assessment in Europe under high end climate scenarios</w:t>
      </w:r>
    </w:p>
    <w:p>
      <w:pPr>
        <w:pStyle w:val="SourceNote"/>
      </w:pPr>
      <w:r>
        <w:rPr>
          <w:b/>
        </w:rPr>
        <w:t>Group ID:</w:t>
      </w:r>
      <w:r>
        <w:t xml:space="preserve"> group-50109adbc07d9ac134dd</w:t>
      </w:r>
    </w:p>
    <w:p>
      <w:pPr>
        <w:pStyle w:val="SourceNote"/>
      </w:pPr>
      <w:r>
        <w:rPr>
          <w:b/>
        </w:rPr>
        <w:t>Original source:</w:t>
      </w:r>
      <w:r>
        <w:t xml:space="preserve"> https://doi.org/10.1016/j.gloenvcha.2015.09.004</w:t>
      </w:r>
    </w:p>
    <w:p>
      <w:pPr/>
      <w:r>
        <w:rPr>
          <w:b/>
        </w:rPr>
        <w:t>Original future claim:</w:t>
      </w:r>
      <w:r>
        <w:t xml:space="preserve"> When coherent socio-economic development pathways are included in the assessment, central estimates of population annually affected by floods range between 500,000 and 640,000 in 2050, and between 540,000 and 950,000 in 2080, as compared to 216,000 in the current climate. A larger range is foreseen in the annual flood damage, currently of 5.3 B€, which is projected to rise at 20–40 B€ in 2050 and 30–100 B€ in 2080, depending on the future economic growth.</w:t>
      </w:r>
    </w:p>
    <w:p>
      <w:pPr/>
      <w:r>
        <w:rPr>
          <w:b/>
        </w:rPr>
        <w:t>Later source:</w:t>
      </w:r>
      <w:r>
        <w:t xml:space="preserve"> Uncertainty-aware forecasting of economic and socio-economic inputs for environmental and sustainability indicator assessment — https://doi.org/10.1016/j.indic.2026.101471</w:t>
      </w:r>
    </w:p>
    <w:p>
      <w:pPr/>
      <w:r>
        <w:rPr>
          <w:b/>
        </w:rPr>
        <w:t>Later source:</w:t>
      </w:r>
      <w:r>
        <w:t xml:space="preserve"> Assessment of Socio-Economic Impacts of Hyperloop Technology on European Trade Routes — https://doi.org/10.3390/economies13030065</w:t>
      </w:r>
    </w:p>
    <w:p>
      <w:pPr>
        <w:pStyle w:val="SourceNote"/>
      </w:pPr>
      <w:r>
        <w:rPr>
          <w:b/>
        </w:rPr>
        <w:t>Review status:</w:t>
      </w:r>
      <w:r>
        <w:t xml:space="preserve"> unchecked — possible relationship only</w:t>
      </w:r>
    </w:p>
    <w:p>
      <w:pPr>
        <w:pStyle w:val="Heading2"/>
      </w:pPr>
      <w:r>
        <w:t>70. Claim + two later sources: Environmental impacts of household appliances in Europe and scenarios for their impact reduction</w:t>
      </w:r>
    </w:p>
    <w:p>
      <w:pPr>
        <w:pStyle w:val="SourceNote"/>
      </w:pPr>
      <w:r>
        <w:rPr>
          <w:b/>
        </w:rPr>
        <w:t>Group ID:</w:t>
      </w:r>
      <w:r>
        <w:t xml:space="preserve"> group-26cbf420b18d523c82b4</w:t>
      </w:r>
    </w:p>
    <w:p>
      <w:pPr>
        <w:pStyle w:val="SourceNote"/>
      </w:pPr>
      <w:r>
        <w:rPr>
          <w:b/>
        </w:rPr>
        <w:t>Original source:</w:t>
      </w:r>
      <w:r>
        <w:t xml:space="preserve"> https://doi.org/10.1016/j.jclepro.2020.121952</w:t>
      </w:r>
    </w:p>
    <w:p>
      <w:pPr/>
      <w:r>
        <w:rPr>
          <w:b/>
        </w:rPr>
        <w:t>Original future claim:</w:t>
      </w:r>
      <w:r>
        <w:t xml:space="preserve"> A number of scenarios encompassing eco-solutions on a technical level, changes in consumption pattern, behavioral changes, as well as the combination of all these aspects are run to estimate the Consumer Footprint related to household appliances for the year 2030, compared against this baseline scenario. Testing different scenarios concludes that there is a reduction of the impact for most of the categories (with up to 67% for the ozone depletion potential, and still around 35% for the global warming potential), while two of the here examined impact categories (i.e. land-use and mineral resource depletion) show an overall potential that is even negative - i.e. the results of all scenarios are higher than the ones of the 2010 baseline scenario.</w:t>
      </w:r>
    </w:p>
    <w:p>
      <w:pPr/>
      <w:r>
        <w:rPr>
          <w:b/>
        </w:rPr>
        <w:t>Later source:</w:t>
      </w:r>
      <w:r>
        <w:t xml:space="preserve"> European Lepidoptera–Plant Associations: A Species‐Level Interaction Matrix — https://doi.org/10.1002/ece3.73004</w:t>
      </w:r>
    </w:p>
    <w:p>
      <w:pPr/>
      <w:r>
        <w:rPr>
          <w:b/>
        </w:rPr>
        <w:t>Later source:</w:t>
      </w:r>
      <w:r>
        <w:t xml:space="preserve"> Eco-Efficiency in the Agricultural Sector: A Cross-Country Comparison Between the European Union and Türkiye — https://doi.org/10.3390/su17135713</w:t>
      </w:r>
    </w:p>
    <w:p>
      <w:pPr>
        <w:pStyle w:val="SourceNote"/>
      </w:pPr>
      <w:r>
        <w:rPr>
          <w:b/>
        </w:rPr>
        <w:t>Review status:</w:t>
      </w:r>
      <w:r>
        <w:t xml:space="preserve"> unchecked — possible relationship only</w:t>
      </w:r>
    </w:p>
    <w:p>
      <w:pPr>
        <w:pStyle w:val="Heading2"/>
      </w:pPr>
      <w:r>
        <w:t>71. Claim + two later sources: Future export markets of industrial wood construction – A qualitative backcasting study</w:t>
      </w:r>
    </w:p>
    <w:p>
      <w:pPr>
        <w:pStyle w:val="SourceNote"/>
      </w:pPr>
      <w:r>
        <w:rPr>
          <w:b/>
        </w:rPr>
        <w:t>Group ID:</w:t>
      </w:r>
      <w:r>
        <w:t xml:space="preserve"> group-45e5a63576d3a0e98eed</w:t>
      </w:r>
    </w:p>
    <w:p>
      <w:pPr>
        <w:pStyle w:val="SourceNote"/>
      </w:pPr>
      <w:r>
        <w:rPr>
          <w:b/>
        </w:rPr>
        <w:t>Original source:</w:t>
      </w:r>
      <w:r>
        <w:t xml:space="preserve"> https://doi.org/10.1016/j.forpol.2021.102480</w:t>
      </w:r>
    </w:p>
    <w:p>
      <w:pPr/>
      <w:r>
        <w:rPr>
          <w:b/>
        </w:rPr>
        <w:t>Original future claim:</w:t>
      </w:r>
      <w:r>
        <w:t xml:space="preserve"> The aim is to identify promising export markets for Finland, and to identify required pathways by 2030. A qualitative participatory backcasting method was applied to explore the future visions of the industrial wood construction (IWC) sector and its export markets, as well as the pathways from the current towards the envisioned future.</w:t>
      </w:r>
    </w:p>
    <w:p>
      <w:pPr/>
      <w:r>
        <w:rPr>
          <w:b/>
        </w:rPr>
        <w:t>Later source:</w:t>
      </w:r>
      <w:r>
        <w:t xml:space="preserve"> Selecting Promising Soil Quality Indicators for Monitoring Soil Management Effects Based on 10 European Long‐Term Field Experiments — https://doi.org/10.1002/jpln.70068</w:t>
      </w:r>
    </w:p>
    <w:p>
      <w:pPr/>
      <w:r>
        <w:rPr>
          <w:b/>
        </w:rPr>
        <w:t>Later source:</w:t>
      </w:r>
      <w:r>
        <w:t xml:space="preserve"> Regulatory Barriers to Market Entry: The Impact of EU and Finnish Cosmetic Regulations on Importing Japanese Cosmetics into Finland — https://openalex.org/W7162165616</w:t>
      </w:r>
    </w:p>
    <w:p>
      <w:pPr>
        <w:pStyle w:val="SourceNote"/>
      </w:pPr>
      <w:r>
        <w:rPr>
          <w:b/>
        </w:rPr>
        <w:t>Review status:</w:t>
      </w:r>
      <w:r>
        <w:t xml:space="preserve"> unchecked — possible relationship only</w:t>
      </w:r>
    </w:p>
    <w:p>
      <w:pPr>
        <w:pStyle w:val="Heading2"/>
      </w:pPr>
      <w:r>
        <w:t>72. Claim + two later sources: The implications of demographic and economic projections on public pension spending in the European Union</w:t>
      </w:r>
    </w:p>
    <w:p>
      <w:pPr>
        <w:pStyle w:val="SourceNote"/>
      </w:pPr>
      <w:r>
        <w:rPr>
          <w:b/>
        </w:rPr>
        <w:t>Group ID:</w:t>
      </w:r>
      <w:r>
        <w:t xml:space="preserve"> group-59d2813407bcf76b5f92</w:t>
      </w:r>
    </w:p>
    <w:p>
      <w:pPr>
        <w:pStyle w:val="SourceNote"/>
      </w:pPr>
      <w:r>
        <w:rPr>
          <w:b/>
        </w:rPr>
        <w:t>Original source:</w:t>
      </w:r>
      <w:r>
        <w:t xml:space="preserve"> https://doi.org/10.1080/21699763.2017.1411288</w:t>
      </w:r>
    </w:p>
    <w:p>
      <w:pPr/>
      <w:r>
        <w:rPr>
          <w:b/>
        </w:rPr>
        <w:t>Original future claim:</w:t>
      </w:r>
      <w:r>
        <w:t xml:space="preserve"> This paper analyses the implications that demographic and economic projections have on public pension spending in the European Union (EU). Using some stylised facts, we study the aging trends of the population, as well as labour force and employment projections.</w:t>
      </w:r>
    </w:p>
    <w:p>
      <w:pPr/>
      <w:r>
        <w:rPr>
          <w:b/>
        </w:rPr>
        <w:t>Later source:</w:t>
      </w:r>
      <w:r>
        <w:t xml:space="preserve"> Ageing Europe: Demographic Change, Active Ageing, and EU Legislative Strategies — https://doi.org/10.5281/zenodo.20000812</w:t>
      </w:r>
    </w:p>
    <w:p>
      <w:pPr/>
      <w:r>
        <w:rPr>
          <w:b/>
        </w:rPr>
        <w:t>Later source:</w:t>
      </w:r>
      <w:r>
        <w:t xml:space="preserve"> Australia-European Union Free Trade Agreement negotiations conclude: implications for Australian and EU geographical indications — https://doi.org/10.1093/jiplp/jpag079</w:t>
      </w:r>
    </w:p>
    <w:p>
      <w:pPr>
        <w:pStyle w:val="SourceNote"/>
      </w:pPr>
      <w:r>
        <w:rPr>
          <w:b/>
        </w:rPr>
        <w:t>Review status:</w:t>
      </w:r>
      <w:r>
        <w:t xml:space="preserve"> unchecked — possible relationship only</w:t>
      </w:r>
    </w:p>
    <w:p>
      <w:pPr>
        <w:pStyle w:val="Heading2"/>
      </w:pPr>
      <w:r>
        <w:t>73. Claim + two later sources: Actual and potential development of consumer demand on the organic food market in Europe</w:t>
      </w:r>
    </w:p>
    <w:p>
      <w:pPr>
        <w:pStyle w:val="SourceNote"/>
      </w:pPr>
      <w:r>
        <w:rPr>
          <w:b/>
        </w:rPr>
        <w:t>Group ID:</w:t>
      </w:r>
      <w:r>
        <w:t xml:space="preserve"> group-e6a0ac42c54104490048</w:t>
      </w:r>
    </w:p>
    <w:p>
      <w:pPr>
        <w:pStyle w:val="SourceNote"/>
      </w:pPr>
      <w:r>
        <w:rPr>
          <w:b/>
        </w:rPr>
        <w:t>Original source:</w:t>
      </w:r>
      <w:r>
        <w:t xml:space="preserve"> https://doi.org/10.1016/j.njas.2011.01.005</w:t>
      </w:r>
    </w:p>
    <w:p>
      <w:pPr/>
      <w:r>
        <w:rPr>
          <w:b/>
        </w:rPr>
        <w:t>Original future claim:</w:t>
      </w:r>
      <w:r>
        <w:t xml:space="preserve"> A likely scenario for future demand is that of continued stable expansion, dependent upon whether increasing input costs will favour organic production, whether the relative gap between organic and conventional food prices becomes smaller, whether organic products will be distributed more widely on national markets, and whether support for research and conversion of organic production systems on the part of public authorities is enhanced.</w:t>
      </w:r>
    </w:p>
    <w:p>
      <w:pPr/>
      <w:r>
        <w:rPr>
          <w:b/>
        </w:rPr>
        <w:t>Later source:</w:t>
      </w:r>
      <w:r>
        <w:t xml:space="preserve"> Range expansion of the golden jackal (Canis aureus) in Europe — https://doi.org/10.53452/tu3112</w:t>
      </w:r>
    </w:p>
    <w:p>
      <w:pPr/>
      <w:r>
        <w:rPr>
          <w:b/>
        </w:rPr>
        <w:t>Later source:</w:t>
      </w:r>
      <w:r>
        <w:t xml:space="preserve"> Optimizing opportunities for oak woodland expansion into upland pastures — https://doi.org/10.1002/2688-8319.12126</w:t>
      </w:r>
    </w:p>
    <w:p>
      <w:pPr>
        <w:pStyle w:val="SourceNote"/>
      </w:pPr>
      <w:r>
        <w:rPr>
          <w:b/>
        </w:rPr>
        <w:t>Review status:</w:t>
      </w:r>
      <w:r>
        <w:t xml:space="preserve"> unchecked — possible relationship only</w:t>
      </w:r>
    </w:p>
    <w:p>
      <w:pPr>
        <w:pStyle w:val="Heading2"/>
      </w:pPr>
      <w:r>
        <w:t>74. Claim + two later sources: Advancing tools to promote health equity across European Union regions: the EURO-HEALTHY project</w:t>
      </w:r>
    </w:p>
    <w:p>
      <w:pPr>
        <w:pStyle w:val="SourceNote"/>
      </w:pPr>
      <w:r>
        <w:rPr>
          <w:b/>
        </w:rPr>
        <w:t>Group ID:</w:t>
      </w:r>
      <w:r>
        <w:t xml:space="preserve"> group-33e0c46886d064c0bea3</w:t>
      </w:r>
    </w:p>
    <w:p>
      <w:pPr>
        <w:pStyle w:val="SourceNote"/>
      </w:pPr>
      <w:r>
        <w:rPr>
          <w:b/>
        </w:rPr>
        <w:t>Original source:</w:t>
      </w:r>
      <w:r>
        <w:t xml:space="preserve"> https://doi.org/10.1186/s12961-020-0526-y</w:t>
      </w:r>
    </w:p>
    <w:p>
      <w:pPr/>
      <w:r>
        <w:rPr>
          <w:b/>
        </w:rPr>
        <w:t>Original future claim:</w:t>
      </w:r>
      <w:r>
        <w:t xml:space="preserve"> Three scenarios for 2030 were produced - (1) the 'Failing Europe' scenario (worst case/increasing inequalities), (2) the 'Sustainable Prosperity' scenario (best case/decreasing inequalities) and (3) the 'Being Stuck' scenario (the EU and Member States maintain the status quo). Finally, the policy appraisal exercise conducted in Lisbon illustrates which policies have higher potential to improve health and how their feasibility can change according to different scenarios.</w:t>
      </w:r>
    </w:p>
    <w:p>
      <w:pPr/>
      <w:r>
        <w:rPr>
          <w:b/>
        </w:rPr>
        <w:t>Later source:</w:t>
      </w:r>
      <w:r>
        <w:t xml:space="preserve"> POLISH POPULISM AND THE COUNCIL OF EUROPE: HOW POLAND IS FAILING TO ADHERE TO ITS CORE OBLIGATIONS AND WHAT IT MEANS — https://doi.org/10.52340/gjes.2022.01.06</w:t>
      </w:r>
    </w:p>
    <w:p>
      <w:pPr/>
      <w:r>
        <w:rPr>
          <w:b/>
        </w:rPr>
        <w:t>Later source:</w:t>
      </w:r>
      <w:r>
        <w:t xml:space="preserve"> ESAIC focused guidelines for the management of the failing epidural during labour epidural analgesia — https://doi.org/10.1097/eja.0000000000002108</w:t>
      </w:r>
    </w:p>
    <w:p>
      <w:pPr>
        <w:pStyle w:val="SourceNote"/>
      </w:pPr>
      <w:r>
        <w:rPr>
          <w:b/>
        </w:rPr>
        <w:t>Review status:</w:t>
      </w:r>
      <w:r>
        <w:t xml:space="preserve"> unchecked — possible relationship only</w:t>
      </w:r>
    </w:p>
    <w:p>
      <w:pPr>
        <w:pStyle w:val="Heading2"/>
      </w:pPr>
      <w:r>
        <w:t>75. Claim + two later sources: The Current Picture of the Transition to a Green Economy in the EU—Trends in Climate and Energy Policy versus State Security</w:t>
      </w:r>
    </w:p>
    <w:p>
      <w:pPr>
        <w:pStyle w:val="SourceNote"/>
      </w:pPr>
      <w:r>
        <w:rPr>
          <w:b/>
        </w:rPr>
        <w:t>Group ID:</w:t>
      </w:r>
      <w:r>
        <w:t xml:space="preserve"> group-5b832032053860c3c606</w:t>
      </w:r>
    </w:p>
    <w:p>
      <w:pPr>
        <w:pStyle w:val="SourceNote"/>
      </w:pPr>
      <w:r>
        <w:rPr>
          <w:b/>
        </w:rPr>
        <w:t>Original source:</w:t>
      </w:r>
      <w:r>
        <w:t xml:space="preserve"> https://doi.org/10.3390/en14238181</w:t>
      </w:r>
    </w:p>
    <w:p>
      <w:pPr/>
      <w:r>
        <w:rPr>
          <w:b/>
        </w:rPr>
        <w:t>Original future claim:</w:t>
      </w:r>
      <w:r>
        <w:t xml:space="preserve"> The aim of the article is to present the main quantitative challenges for the development of the green economy in the EU, which are analyzed from the perspective of the year 2030.</w:t>
      </w:r>
    </w:p>
    <w:p>
      <w:pPr/>
      <w:r>
        <w:rPr>
          <w:b/>
        </w:rPr>
        <w:t>Later source:</w:t>
      </w:r>
      <w:r>
        <w:t xml:space="preserve"> Cartography of the Use of Artificial Intelligence Against Disinformation in Europe: Trends, Stakeholders, and Emerging Challenges — https://doi.org/10.3390/socsci15020071</w:t>
      </w:r>
    </w:p>
    <w:p>
      <w:pPr/>
      <w:r>
        <w:rPr>
          <w:b/>
        </w:rPr>
        <w:t>Later source:</w:t>
      </w:r>
      <w:r>
        <w:t xml:space="preserve"> Default recognition under Article 178 CRR: challenges and implications for standardised approach banks — https://doi.org/10.1108/jfrc-07-2025-0194</w:t>
      </w:r>
    </w:p>
    <w:p>
      <w:pPr>
        <w:pStyle w:val="SourceNote"/>
      </w:pPr>
      <w:r>
        <w:rPr>
          <w:b/>
        </w:rPr>
        <w:t>Review status:</w:t>
      </w:r>
      <w:r>
        <w:t xml:space="preserve"> unchecked — possible relationship only</w:t>
      </w:r>
    </w:p>
    <w:p>
      <w:pPr>
        <w:pStyle w:val="Heading2"/>
      </w:pPr>
      <w:r>
        <w:t>76. Claim + two later sources: The European Union and Africa towards 2030: perspectives from transnational civil society organisations</w:t>
      </w:r>
    </w:p>
    <w:p>
      <w:pPr>
        <w:pStyle w:val="SourceNote"/>
      </w:pPr>
      <w:r>
        <w:rPr>
          <w:b/>
        </w:rPr>
        <w:t>Group ID:</w:t>
      </w:r>
      <w:r>
        <w:t xml:space="preserve"> group-f102c1a5d4607c2675f7</w:t>
      </w:r>
    </w:p>
    <w:p>
      <w:pPr>
        <w:pStyle w:val="SourceNote"/>
      </w:pPr>
      <w:r>
        <w:rPr>
          <w:b/>
        </w:rPr>
        <w:t>Original source:</w:t>
      </w:r>
      <w:r>
        <w:t xml:space="preserve"> https://doi.org/10.4000/151gv</w:t>
      </w:r>
    </w:p>
    <w:p>
      <w:pPr/>
      <w:r>
        <w:rPr>
          <w:b/>
        </w:rPr>
        <w:t>Original future claim:</w:t>
      </w:r>
      <w:r>
        <w:t xml:space="preserve"> SDG17 sets the legal (morally binding) framework under which supranational actors, among others, are warmly invited to contribute to reach Sustainable Development by 2030. The rhetoric of aid as redeeming for the poor and redemptive for the rich, in line with an updated ‘white man’s burden’, might be transubstantiated in the narrative of a new EU-AU ‘equal partnership’.</w:t>
      </w:r>
    </w:p>
    <w:p>
      <w:pPr/>
      <w:r>
        <w:rPr>
          <w:b/>
        </w:rPr>
        <w:t>Later source:</w:t>
      </w:r>
      <w:r>
        <w:t xml:space="preserve"> The Role of Corporate Responsibility and Quality Legislation in Achieving the Sustainable Development Goals: Legal and Practical Interconnections and Hungarian Legislation — https://doi.org/10.71100/studia.2025.2.3</w:t>
      </w:r>
    </w:p>
    <w:p>
      <w:pPr/>
      <w:r>
        <w:rPr>
          <w:b/>
        </w:rPr>
        <w:t>Later source:</w:t>
      </w:r>
      <w:r>
        <w:t xml:space="preserve"> WORLD EXPERIENCE OF UNIVERSITY SUSTAINABLE DEVELOPMENT — https://doi.org/10.30525/2500-946x/2023-1-12</w:t>
      </w:r>
    </w:p>
    <w:p>
      <w:pPr>
        <w:pStyle w:val="SourceNote"/>
      </w:pPr>
      <w:r>
        <w:rPr>
          <w:b/>
        </w:rPr>
        <w:t>Review status:</w:t>
      </w:r>
      <w:r>
        <w:t xml:space="preserve"> unchecked — possible relationship only</w:t>
      </w:r>
    </w:p>
    <w:p>
      <w:pPr>
        <w:pStyle w:val="Heading2"/>
      </w:pPr>
      <w:r>
        <w:t>77. Claim + two later sources: European cephalopods distribution under climate-change scenarios</w:t>
      </w:r>
    </w:p>
    <w:p>
      <w:pPr>
        <w:pStyle w:val="SourceNote"/>
      </w:pPr>
      <w:r>
        <w:rPr>
          <w:b/>
        </w:rPr>
        <w:t>Group ID:</w:t>
      </w:r>
      <w:r>
        <w:t xml:space="preserve"> group-5adac8f239013635bff4</w:t>
      </w:r>
    </w:p>
    <w:p>
      <w:pPr>
        <w:pStyle w:val="SourceNote"/>
      </w:pPr>
      <w:r>
        <w:rPr>
          <w:b/>
        </w:rPr>
        <w:t>Original source:</w:t>
      </w:r>
      <w:r>
        <w:t xml:space="preserve"> https://doi.org/10.1038/s41598-021-83457-w</w:t>
      </w:r>
    </w:p>
    <w:p>
      <w:pPr/>
      <w:r>
        <w:rPr>
          <w:b/>
        </w:rPr>
        <w:t>Original future claim:</w:t>
      </w:r>
      <w:r>
        <w:t xml:space="preserve"> Conversely, we projected a rapidly increasing environmental suitability in the North, Norwegian and Baltic Seas for all species. Despite their major economical (i.e. important fisheries) and ecological (i.e. central position in food-webs) importance, cephalopods literature rarely addresses an explicit understanding of their current distribution and the potential effect that climate change may induce in the following decades.</w:t>
      </w:r>
    </w:p>
    <w:p>
      <w:pPr/>
      <w:r>
        <w:rPr>
          <w:b/>
        </w:rPr>
        <w:t>Later source:</w:t>
      </w:r>
      <w:r>
        <w:t xml:space="preserve"> Developments in the European parasitoid community of Dryocosmus kuriphilus — https://doi.org/10.64898/2026.09.01.748543</w:t>
      </w:r>
    </w:p>
    <w:p>
      <w:pPr/>
      <w:r>
        <w:rPr>
          <w:b/>
        </w:rPr>
        <w:t>Later source:</w:t>
      </w:r>
      <w:r>
        <w:t xml:space="preserve"> Climate-induced habitat suitability modelling for pelagic fish in European seas — https://doi.org/10.3389/fmars.2025.1501751</w:t>
      </w:r>
    </w:p>
    <w:p>
      <w:pPr>
        <w:pStyle w:val="SourceNote"/>
      </w:pPr>
      <w:r>
        <w:rPr>
          <w:b/>
        </w:rPr>
        <w:t>Review status:</w:t>
      </w:r>
      <w:r>
        <w:t xml:space="preserve"> unchecked — possible relationship only</w:t>
      </w:r>
    </w:p>
    <w:p>
      <w:pPr>
        <w:pStyle w:val="Heading2"/>
      </w:pPr>
      <w:r>
        <w:t>78. Claim + two later sources: A forecast of international migration flows into EU countries until 2050</w:t>
      </w:r>
    </w:p>
    <w:p>
      <w:pPr>
        <w:pStyle w:val="SourceNote"/>
      </w:pPr>
      <w:r>
        <w:rPr>
          <w:b/>
        </w:rPr>
        <w:t>Group ID:</w:t>
      </w:r>
      <w:r>
        <w:t xml:space="preserve"> group-0f16b9589a6995b869af</w:t>
      </w:r>
    </w:p>
    <w:p>
      <w:pPr>
        <w:pStyle w:val="SourceNote"/>
      </w:pPr>
      <w:r>
        <w:rPr>
          <w:b/>
        </w:rPr>
        <w:t>Original source:</w:t>
      </w:r>
      <w:r>
        <w:t xml:space="preserve"> https://doi.org/10.14746/pp.2018.23.4.6</w:t>
      </w:r>
    </w:p>
    <w:p>
      <w:pPr/>
      <w:r>
        <w:rPr>
          <w:b/>
        </w:rPr>
        <w:t>Original future claim:</w:t>
      </w:r>
      <w:r>
        <w:t xml:space="preserve"> The data used for the forecast is UN data on migration flows in 1990-2015, and the UN’s predictions regarding changes in population between now and 2050. The research objective is a quantitative estimation of the volume of international migration flows into European countries and their close neighbors until 2050.</w:t>
      </w:r>
    </w:p>
    <w:p>
      <w:pPr/>
      <w:r>
        <w:rPr>
          <w:b/>
        </w:rPr>
        <w:t>Later source:</w:t>
      </w:r>
      <w:r>
        <w:t xml:space="preserve"> Spatiotemporal variability and uncertainty in wood decay estimates across Europe and Scandinavia using a data-driven moisture content model with multi-scale weather datasets — https://doi.org/10.1016/j.rineng.2026.108983</w:t>
      </w:r>
    </w:p>
    <w:p>
      <w:pPr/>
      <w:r>
        <w:rPr>
          <w:b/>
        </w:rPr>
        <w:t>Later source:</w:t>
      </w:r>
      <w:r>
        <w:t xml:space="preserve"> Data Sources for International Migration in Europe: Categories, Definitions and Policy Uses — https://openalex.org/W7123388283</w:t>
      </w:r>
    </w:p>
    <w:p>
      <w:pPr>
        <w:pStyle w:val="SourceNote"/>
      </w:pPr>
      <w:r>
        <w:rPr>
          <w:b/>
        </w:rPr>
        <w:t>Review status:</w:t>
      </w:r>
      <w:r>
        <w:t xml:space="preserve"> unchecked — possible relationship only</w:t>
      </w:r>
    </w:p>
    <w:p>
      <w:pPr>
        <w:pStyle w:val="Heading2"/>
      </w:pPr>
      <w:r>
        <w:t>79. Claim + two later sources: How much can societal turning points affect forecasts’ accuracy in Europe? Case of post-communistic transformation in Slovakia and the Czech Republic</w:t>
      </w:r>
    </w:p>
    <w:p>
      <w:pPr>
        <w:pStyle w:val="SourceNote"/>
      </w:pPr>
      <w:r>
        <w:rPr>
          <w:b/>
        </w:rPr>
        <w:t>Group ID:</w:t>
      </w:r>
      <w:r>
        <w:t xml:space="preserve"> group-b45604d9ebab7e023d7d</w:t>
      </w:r>
    </w:p>
    <w:p>
      <w:pPr>
        <w:pStyle w:val="SourceNote"/>
      </w:pPr>
      <w:r>
        <w:rPr>
          <w:b/>
        </w:rPr>
        <w:t>Original source:</w:t>
      </w:r>
      <w:r>
        <w:t xml:space="preserve"> https://doi.org/10.1186/s40309-019-0158-z</w:t>
      </w:r>
    </w:p>
    <w:p>
      <w:pPr/>
      <w:r>
        <w:rPr>
          <w:b/>
        </w:rPr>
        <w:t>Original future claim:</w:t>
      </w:r>
      <w:r>
        <w:t xml:space="preserve"> Here, the alternative future is built and simulated in terms of what the populations would have looked like if the socialist system had not collapsed.</w:t>
      </w:r>
    </w:p>
    <w:p>
      <w:pPr/>
      <w:r>
        <w:rPr>
          <w:b/>
        </w:rPr>
        <w:t>Later source:</w:t>
      </w:r>
      <w:r>
        <w:t xml:space="preserve"> From Moral Crusade to European Reality: The Rights of Nature “Solution” in Search of a Problem — https://doi.org/10.1017/aju.2026.10088</w:t>
      </w:r>
    </w:p>
    <w:p>
      <w:pPr/>
      <w:r>
        <w:rPr>
          <w:b/>
        </w:rPr>
        <w:t>Later source:</w:t>
      </w:r>
      <w:r>
        <w:t xml:space="preserve"> Population genomics and molecular epidemiology of wheat powdery mildew in Europe — https://doi.org/10.1371/journal.pbio.3003097</w:t>
      </w:r>
    </w:p>
    <w:p>
      <w:pPr>
        <w:pStyle w:val="SourceNote"/>
      </w:pPr>
      <w:r>
        <w:rPr>
          <w:b/>
        </w:rPr>
        <w:t>Review status:</w:t>
      </w:r>
      <w:r>
        <w:t xml:space="preserve"> unchecked — possible relationship only</w:t>
      </w:r>
    </w:p>
    <w:p>
      <w:pPr>
        <w:pStyle w:val="Heading2"/>
      </w:pPr>
      <w:r>
        <w:t>80. Claim + two later sources: Macro Study of Global Electric Vehicle Expansion</w:t>
      </w:r>
    </w:p>
    <w:p>
      <w:pPr>
        <w:pStyle w:val="SourceNote"/>
      </w:pPr>
      <w:r>
        <w:rPr>
          <w:b/>
        </w:rPr>
        <w:t>Group ID:</w:t>
      </w:r>
      <w:r>
        <w:t xml:space="preserve"> group-a1f7a08080f4c507d7df</w:t>
      </w:r>
    </w:p>
    <w:p>
      <w:pPr>
        <w:pStyle w:val="SourceNote"/>
      </w:pPr>
      <w:r>
        <w:rPr>
          <w:b/>
        </w:rPr>
        <w:t>Original source:</w:t>
      </w:r>
      <w:r>
        <w:t xml:space="preserve"> https://doi.org/10.17323/2500-2597.2021.1.67.73</w:t>
      </w:r>
    </w:p>
    <w:p>
      <w:pPr/>
      <w:r>
        <w:rPr>
          <w:b/>
        </w:rPr>
        <w:t>Original future claim:</w:t>
      </w:r>
      <w:r>
        <w:t xml:space="preserve"> Results suggest that the adoption of BEVs demonstrates a better fit on the Bass model where the global BEV market is estimated to grow from 5,3 millions in 2019 to near 40 millions units by 2030, and with the reference of the EU countries’ adoption scenario, the global charging stations will be increased from near 2 millions in 2019 to near 10 millions units by 2030.</w:t>
      </w:r>
    </w:p>
    <w:p>
      <w:pPr/>
      <w:r>
        <w:rPr>
          <w:b/>
        </w:rPr>
        <w:t>Later source:</w:t>
      </w:r>
      <w:r>
        <w:t xml:space="preserve"> Global trends in electric vehicle adoption and the impact of environmental awareness, user attributes, and barriers — https://doi.org/10.1016/j.egyr.2024.12.054</w:t>
      </w:r>
    </w:p>
    <w:p>
      <w:pPr/>
      <w:r>
        <w:rPr>
          <w:b/>
        </w:rPr>
        <w:t>Later source:</w:t>
      </w:r>
      <w:r>
        <w:t xml:space="preserve"> What has driven the adoption of BEV and PHEV in the EU? — https://doi.org/10.1016/j.rtbm.2025.101331</w:t>
      </w:r>
    </w:p>
    <w:p>
      <w:pPr>
        <w:pStyle w:val="SourceNote"/>
      </w:pPr>
      <w:r>
        <w:rPr>
          <w:b/>
        </w:rPr>
        <w:t>Review status:</w:t>
      </w:r>
      <w:r>
        <w:t xml:space="preserve"> unchecked — possible relationship only</w:t>
      </w:r>
    </w:p>
    <w:p>
      <w:pPr>
        <w:pStyle w:val="Heading2"/>
      </w:pPr>
      <w:r>
        <w:t>81. Claim + two later sources: The future of direct payments system in the EU agriculture; European Commission scenarios</w:t>
      </w:r>
    </w:p>
    <w:p>
      <w:pPr>
        <w:pStyle w:val="SourceNote"/>
      </w:pPr>
      <w:r>
        <w:rPr>
          <w:b/>
        </w:rPr>
        <w:t>Group ID:</w:t>
      </w:r>
      <w:r>
        <w:t xml:space="preserve"> group-90aaaa47d44ef8473292</w:t>
      </w:r>
    </w:p>
    <w:p>
      <w:pPr>
        <w:pStyle w:val="SourceNote"/>
      </w:pPr>
      <w:r>
        <w:rPr>
          <w:b/>
        </w:rPr>
        <w:t>Original source:</w:t>
      </w:r>
      <w:r>
        <w:t xml:space="preserve"> https://doi.org/10.22630/prs.2012.12.3.38</w:t>
      </w:r>
    </w:p>
    <w:p>
      <w:pPr/>
      <w:r>
        <w:rPr>
          <w:b/>
        </w:rPr>
        <w:t>Original future claim:</w:t>
      </w:r>
      <w:r>
        <w:t xml:space="preserve"> Different scenarios of the current system adjustments, as proposed by the European Commission, are presented.</w:t>
      </w:r>
    </w:p>
    <w:p>
      <w:pPr/>
      <w:r>
        <w:rPr>
          <w:b/>
        </w:rPr>
        <w:t>Later source:</w:t>
      </w:r>
      <w:r>
        <w:t xml:space="preserve"> Recommendations of the European Commission on the efficiency of justice and their impact on improving enforcement proceedings in Ukraine — https://doi.org/10.24144/2788-6018.2025.04.3.65</w:t>
      </w:r>
    </w:p>
    <w:p>
      <w:pPr/>
      <w:r>
        <w:rPr>
          <w:b/>
        </w:rPr>
        <w:t>Later source:</w:t>
      </w:r>
      <w:r>
        <w:t xml:space="preserve"> Novelties Proposed by the European Commission on Victims’ Rights Protection and its Relevance for Serbian Authorities — https://doi.org/10.47152/palic2024.2</w:t>
      </w:r>
    </w:p>
    <w:p>
      <w:pPr>
        <w:pStyle w:val="SourceNote"/>
      </w:pPr>
      <w:r>
        <w:rPr>
          <w:b/>
        </w:rPr>
        <w:t>Review status:</w:t>
      </w:r>
      <w:r>
        <w:t xml:space="preserve"> unchecked — possible relationship only</w:t>
      </w:r>
    </w:p>
    <w:p>
      <w:pPr>
        <w:pStyle w:val="Heading2"/>
      </w:pPr>
      <w:r>
        <w:t>82. Claim + two later sources: Impacts of Scaling up Agroecology on the Sustainability of European Agriculture in 2050</w:t>
      </w:r>
    </w:p>
    <w:p>
      <w:pPr>
        <w:pStyle w:val="SourceNote"/>
      </w:pPr>
      <w:r>
        <w:rPr>
          <w:b/>
        </w:rPr>
        <w:t>Group ID:</w:t>
      </w:r>
      <w:r>
        <w:t xml:space="preserve"> group-3f68a680521e29b6af21</w:t>
      </w:r>
    </w:p>
    <w:p>
      <w:pPr>
        <w:pStyle w:val="SourceNote"/>
      </w:pPr>
      <w:r>
        <w:rPr>
          <w:b/>
        </w:rPr>
        <w:t>Original source:</w:t>
      </w:r>
      <w:r>
        <w:t xml:space="preserve"> https://doi.org/10.1111/1746-692x.12373</w:t>
      </w:r>
    </w:p>
    <w:p>
      <w:pPr/>
      <w:r>
        <w:rPr>
          <w:b/>
        </w:rPr>
        <w:t>Original future claim:</w:t>
      </w:r>
      <w:r>
        <w:t xml:space="preserve"> We here assess socio‐economic and environmental implications of multiple agroecological futures in the European Union in 2050, based on a novel diagnostic scenario approach, i.e. the biomass balancing model BioBaM‐GHG 2.0.</w:t>
      </w:r>
    </w:p>
    <w:p>
      <w:pPr/>
      <w:r>
        <w:rPr>
          <w:b/>
        </w:rPr>
        <w:t>Later source:</w:t>
      </w:r>
      <w:r>
        <w:t xml:space="preserve"> Assessing urban green roofs for CO2 removal via enhanced rock weathering in Europe — https://doi.org/10.1016/j.envadv.2026.100708</w:t>
      </w:r>
    </w:p>
    <w:p>
      <w:pPr/>
      <w:r>
        <w:rPr>
          <w:b/>
        </w:rPr>
        <w:t>Later source:</w:t>
      </w:r>
      <w:r>
        <w:t xml:space="preserve"> Climate Change and Vector-Borne Diseases in Europe: Implications for Public Health and Environmental Sanitation Strategies — https://doi.org/10.3390/ijem1030010</w:t>
      </w:r>
    </w:p>
    <w:p>
      <w:pPr>
        <w:pStyle w:val="SourceNote"/>
      </w:pPr>
      <w:r>
        <w:rPr>
          <w:b/>
        </w:rPr>
        <w:t>Review status:</w:t>
      </w:r>
      <w:r>
        <w:t xml:space="preserve"> unchecked — possible relationship only</w:t>
      </w:r>
    </w:p>
    <w:p>
      <w:pPr>
        <w:pStyle w:val="Heading2"/>
      </w:pPr>
      <w:r>
        <w:t>83. Claim + two later sources: How to Achieve a Healthier and More Sustainable Europe by 2040 According to the Public? Results of a Five-Country Questionnaire Survey</w:t>
      </w:r>
    </w:p>
    <w:p>
      <w:pPr>
        <w:pStyle w:val="SourceNote"/>
      </w:pPr>
      <w:r>
        <w:rPr>
          <w:b/>
        </w:rPr>
        <w:t>Group ID:</w:t>
      </w:r>
      <w:r>
        <w:t xml:space="preserve"> group-5c594eb35cad40d64462</w:t>
      </w:r>
    </w:p>
    <w:p>
      <w:pPr>
        <w:pStyle w:val="SourceNote"/>
      </w:pPr>
      <w:r>
        <w:rPr>
          <w:b/>
        </w:rPr>
        <w:t>Original source:</w:t>
      </w:r>
      <w:r>
        <w:t xml:space="preserve"> https://doi.org/10.3390/ijerph17176071</w:t>
      </w:r>
    </w:p>
    <w:p>
      <w:pPr/>
      <w:r>
        <w:rPr>
          <w:b/>
        </w:rPr>
        <w:t>Original future claim:</w:t>
      </w:r>
      <w:r>
        <w:t xml:space="preserve"> The aim of this paper is to understand public preferences for several future scenarios of achieving a healthier, more equitable and sustainable Europe, which differ in the way the society is organized (individualistically vs. collectively) and in the driving sector (public vs. private). About three thousand respondents chose among the four scenarios presented within four different contexts (green spaces, active mobility, energy-efficient housing, food consumption) or none of them.</w:t>
      </w:r>
    </w:p>
    <w:p>
      <w:pPr/>
      <w:r>
        <w:rPr>
          <w:b/>
        </w:rPr>
        <w:t>Later source:</w:t>
      </w:r>
      <w:r>
        <w:t xml:space="preserve"> A critical realism approach to public health interventions that aim to prevent obesity in selected European countries — https://doi.org/10.82444/warw.33704749</w:t>
      </w:r>
    </w:p>
    <w:p>
      <w:pPr/>
      <w:r>
        <w:rPr>
          <w:b/>
        </w:rPr>
        <w:t>Later source:</w:t>
      </w:r>
      <w:r>
        <w:t xml:space="preserve"> Power, inclusion and the role of SMEs in European public procurement — https://doi.org/10.1108/jpbafm-06-2025-0169</w:t>
      </w:r>
    </w:p>
    <w:p>
      <w:pPr>
        <w:pStyle w:val="SourceNote"/>
      </w:pPr>
      <w:r>
        <w:rPr>
          <w:b/>
        </w:rPr>
        <w:t>Review status:</w:t>
      </w:r>
      <w:r>
        <w:t xml:space="preserve"> unchecked — possible relationship only</w:t>
      </w:r>
    </w:p>
    <w:p>
      <w:pPr>
        <w:pStyle w:val="Heading2"/>
      </w:pPr>
      <w:r>
        <w:t>84. Claim + two later sources: Environmental water quantity projections under market-driven and sustainability-driven future scenarios in the Narew basin, Poland</w:t>
      </w:r>
    </w:p>
    <w:p>
      <w:pPr>
        <w:pStyle w:val="SourceNote"/>
      </w:pPr>
      <w:r>
        <w:rPr>
          <w:b/>
        </w:rPr>
        <w:t>Group ID:</w:t>
      </w:r>
      <w:r>
        <w:t xml:space="preserve"> group-301ca16b19ca64fefcfb</w:t>
      </w:r>
    </w:p>
    <w:p>
      <w:pPr>
        <w:pStyle w:val="SourceNote"/>
      </w:pPr>
      <w:r>
        <w:rPr>
          <w:b/>
        </w:rPr>
        <w:t>Original source:</w:t>
      </w:r>
      <w:r>
        <w:t xml:space="preserve"> https://doi.org/10.1080/02626667.2014.888068</w:t>
      </w:r>
    </w:p>
    <w:p>
      <w:pPr/>
      <w:r>
        <w:rPr>
          <w:b/>
        </w:rPr>
        <w:t>Original future claim:</w:t>
      </w:r>
      <w:r>
        <w:t xml:space="preserve"> The aim of this article is to assess the impact of four scenarios combining possible changes in climate, atmospheric carbon dioxide, land use and water use by 2050, on the specific set of ecologically relevant flow regime indicators that define environmental flow requirements in a semi-natural river basin in Poland.</w:t>
      </w:r>
    </w:p>
    <w:p>
      <w:pPr/>
      <w:r>
        <w:rPr>
          <w:b/>
        </w:rPr>
        <w:t>Later source:</w:t>
      </w:r>
      <w:r>
        <w:t xml:space="preserve"> Assessing the quality of life in Central and Eastern Europe: a comparative analysis — https://doi.org/10.34659/eis.2026.96.1.1083</w:t>
      </w:r>
    </w:p>
    <w:p>
      <w:pPr/>
      <w:r>
        <w:rPr>
          <w:b/>
        </w:rPr>
        <w:t>Later source:</w:t>
      </w:r>
      <w:r>
        <w:t xml:space="preserve"> Repertoires of resistance: The right to feel in European radical climate movements — https://doi.org/10.1177/00113921261480606</w:t>
      </w:r>
    </w:p>
    <w:p>
      <w:pPr>
        <w:pStyle w:val="SourceNote"/>
      </w:pPr>
      <w:r>
        <w:rPr>
          <w:b/>
        </w:rPr>
        <w:t>Review status:</w:t>
      </w:r>
      <w:r>
        <w:t xml:space="preserve"> unchecked — possible relationship only</w:t>
      </w:r>
    </w:p>
    <w:p>
      <w:pPr>
        <w:pStyle w:val="Heading2"/>
      </w:pPr>
      <w:r>
        <w:t>85. Claim + two later sources: The geography of megatrends affecting European agriculture</w:t>
      </w:r>
    </w:p>
    <w:p>
      <w:pPr>
        <w:pStyle w:val="SourceNote"/>
      </w:pPr>
      <w:r>
        <w:rPr>
          <w:b/>
        </w:rPr>
        <w:t>Group ID:</w:t>
      </w:r>
      <w:r>
        <w:t xml:space="preserve"> group-26a0c03802b82a916526</w:t>
      </w:r>
    </w:p>
    <w:p>
      <w:pPr>
        <w:pStyle w:val="SourceNote"/>
      </w:pPr>
      <w:r>
        <w:rPr>
          <w:b/>
        </w:rPr>
        <w:t>Original source:</w:t>
      </w:r>
      <w:r>
        <w:t xml:space="preserve"> https://doi.org/10.1016/j.gloenvcha.2022.102551</w:t>
      </w:r>
    </w:p>
    <w:p>
      <w:pPr/>
      <w:r>
        <w:rPr>
          <w:b/>
        </w:rPr>
        <w:t>Original future claim:</w:t>
      </w:r>
      <w:r>
        <w:t xml:space="preserve"> Megatrends are long-term driving forces which are observable today and will likely have transformational potential in the future. In a minority of regions megatrends may drive marginalization as the current system becomes increasingly unviable.</w:t>
      </w:r>
    </w:p>
    <w:p>
      <w:pPr/>
      <w:r>
        <w:rPr>
          <w:b/>
        </w:rPr>
        <w:t>Later source:</w:t>
      </w:r>
      <w:r>
        <w:t xml:space="preserve"> Blockchain and Megatrends in Agri-Food Systems: A Multi-Source Evidence Approach — https://doi.org/10.3390/foods15030447</w:t>
      </w:r>
    </w:p>
    <w:p>
      <w:pPr/>
      <w:r>
        <w:rPr>
          <w:b/>
        </w:rPr>
        <w:t>Later source:</w:t>
      </w:r>
      <w:r>
        <w:t xml:space="preserve"> Foresight study for addressing megatrends in information and communication technology (ICT) — https://doi.org/10.1186/s13731-025-00466-z</w:t>
      </w:r>
    </w:p>
    <w:p>
      <w:pPr>
        <w:pStyle w:val="SourceNote"/>
      </w:pPr>
      <w:r>
        <w:rPr>
          <w:b/>
        </w:rPr>
        <w:t>Review status:</w:t>
      </w:r>
      <w:r>
        <w:t xml:space="preserve"> unchecked — possible relationship only</w:t>
      </w:r>
    </w:p>
    <w:p>
      <w:pPr>
        <w:pStyle w:val="Heading2"/>
      </w:pPr>
      <w:r>
        <w:t>86. Claim + two later sources: Towards a sustainable European energy system: Linking optimization models with multi-regional input-output analysis</w:t>
      </w:r>
    </w:p>
    <w:p>
      <w:pPr>
        <w:pStyle w:val="SourceNote"/>
      </w:pPr>
      <w:r>
        <w:rPr>
          <w:b/>
        </w:rPr>
        <w:t>Group ID:</w:t>
      </w:r>
      <w:r>
        <w:t xml:space="preserve"> group-28bc95982442d95b7c0d</w:t>
      </w:r>
    </w:p>
    <w:p>
      <w:pPr>
        <w:pStyle w:val="SourceNote"/>
      </w:pPr>
      <w:r>
        <w:rPr>
          <w:b/>
        </w:rPr>
        <w:t>Original source:</w:t>
      </w:r>
      <w:r>
        <w:t xml:space="preserve"> https://doi.org/10.1016/j.esr.2019.100391</w:t>
      </w:r>
    </w:p>
    <w:p>
      <w:pPr/>
      <w:r>
        <w:rPr>
          <w:b/>
        </w:rPr>
        <w:t>Original future claim:</w:t>
      </w:r>
      <w:r>
        <w:t xml:space="preserve"> This study uses two models to analyze the implications of these goals on the European energy system and on the rest of the world, based on several scenarios for the mid and long term. First, using a linear programming optimization model for capacity expansion and unit commitment, we obtain the optimal design of the European power system in 2030 and 2050.</w:t>
      </w:r>
    </w:p>
    <w:p>
      <w:pPr/>
      <w:r>
        <w:rPr>
          <w:b/>
        </w:rPr>
        <w:t>Later source:</w:t>
      </w:r>
      <w:r>
        <w:t xml:space="preserve"> Mapping where biodiversity goals meet local values in European land use futures — https://doi.org/10.5194/wbf2026-660</w:t>
      </w:r>
    </w:p>
    <w:p>
      <w:pPr/>
      <w:r>
        <w:rPr>
          <w:b/>
        </w:rPr>
        <w:t>Later source:</w:t>
      </w:r>
      <w:r>
        <w:t xml:space="preserve"> Evaluation of European Air Quality Simulations in 2019 Using the CMAQ–WRF Modeling System — https://doi.org/10.5194/egusphere-egu26-4162</w:t>
      </w:r>
    </w:p>
    <w:p>
      <w:pPr>
        <w:pStyle w:val="SourceNote"/>
      </w:pPr>
      <w:r>
        <w:rPr>
          <w:b/>
        </w:rPr>
        <w:t>Review status:</w:t>
      </w:r>
      <w:r>
        <w:t xml:space="preserve"> unchecked — possible relationship only</w:t>
      </w:r>
    </w:p>
    <w:p>
      <w:pPr>
        <w:pStyle w:val="Heading2"/>
      </w:pPr>
      <w:r>
        <w:t>87. Claim + two later sources: Regulating the Use of Bisphenol A in Baby and Children's Products in the European Union: Current Developments and Scenarios for the Regulatory Future</w:t>
      </w:r>
    </w:p>
    <w:p>
      <w:pPr>
        <w:pStyle w:val="SourceNote"/>
      </w:pPr>
      <w:r>
        <w:rPr>
          <w:b/>
        </w:rPr>
        <w:t>Group ID:</w:t>
      </w:r>
      <w:r>
        <w:t xml:space="preserve"> group-01a94a0360819a8a865a</w:t>
      </w:r>
    </w:p>
    <w:p>
      <w:pPr>
        <w:pStyle w:val="SourceNote"/>
      </w:pPr>
      <w:r>
        <w:rPr>
          <w:b/>
        </w:rPr>
        <w:t>Original source:</w:t>
      </w:r>
      <w:r>
        <w:t xml:space="preserve"> https://doi.org/10.1017/s1867299x00000593</w:t>
      </w:r>
    </w:p>
    <w:p>
      <w:pPr/>
      <w:r>
        <w:rPr>
          <w:b/>
        </w:rPr>
        <w:t>Original future claim:</w:t>
      </w:r>
      <w:r>
        <w:t xml:space="preserve"> Apart from regulatory exposure limits (Tolerable Daily Intake levels (TDI), Bisphenol A is currently not subject to any restrictions in use yet (although BPA will be subject to a ban on the EU level from spring 2011 onwards). However, with the REACH framework (Registration, Evaluation, Authorisation of Chemicals), a new regulatory framework for EU's chemical policy in place since June 2007, these exposure limits may be reviewed and BPA may face regulatory action.</w:t>
      </w:r>
    </w:p>
    <w:p>
      <w:pPr/>
      <w:r>
        <w:rPr>
          <w:b/>
        </w:rPr>
        <w:t>Later source:</w:t>
      </w:r>
      <w:r>
        <w:t xml:space="preserve"> Legal regulatory frameworks of radon spas in central Europe — https://doi.org/10.1007/s00411-026-01203-0</w:t>
      </w:r>
    </w:p>
    <w:p>
      <w:pPr/>
      <w:r>
        <w:rPr>
          <w:b/>
        </w:rPr>
        <w:t>Later source:</w:t>
      </w:r>
      <w:r>
        <w:t xml:space="preserve"> Regional Varieties of Regulatory Capitalism and Predatory Lending — https://doi.org/10.1017/s0003975626100393</w:t>
      </w:r>
    </w:p>
    <w:p>
      <w:pPr>
        <w:pStyle w:val="SourceNote"/>
      </w:pPr>
      <w:r>
        <w:rPr>
          <w:b/>
        </w:rPr>
        <w:t>Review status:</w:t>
      </w:r>
      <w:r>
        <w:t xml:space="preserve"> unchecked — possible relationship only</w:t>
      </w:r>
    </w:p>
    <w:p>
      <w:pPr>
        <w:pStyle w:val="Heading2"/>
      </w:pPr>
      <w:r>
        <w:t>88. Claim + two later sources: The feasibility of a European‐wide integrated CO 2 transport network</w:t>
      </w:r>
    </w:p>
    <w:p>
      <w:pPr>
        <w:pStyle w:val="SourceNote"/>
      </w:pPr>
      <w:r>
        <w:rPr>
          <w:b/>
        </w:rPr>
        <w:t>Group ID:</w:t>
      </w:r>
      <w:r>
        <w:t xml:space="preserve"> group-cd1b013ccb3310f5f559</w:t>
      </w:r>
    </w:p>
    <w:p>
      <w:pPr>
        <w:pStyle w:val="SourceNote"/>
      </w:pPr>
      <w:r>
        <w:rPr>
          <w:b/>
        </w:rPr>
        <w:t>Original source:</w:t>
      </w:r>
      <w:r>
        <w:t xml:space="preserve"> https://doi.org/10.1002/ghg.1410</w:t>
      </w:r>
    </w:p>
    <w:p>
      <w:pPr/>
      <w:r>
        <w:rPr>
          <w:b/>
        </w:rPr>
        <w:t>Original future claim:</w:t>
      </w:r>
      <w:r>
        <w:t xml:space="preserve"> The European Union's ambition to achieve near‐total decarbonization by 2050 suggests a large role for carbon capture and storage (CCS), requiring the transport (mostly by pipeline) of CO 2 from source facilities to appropriate sites for geological storage.</w:t>
      </w:r>
    </w:p>
    <w:p>
      <w:pPr/>
      <w:r>
        <w:rPr>
          <w:b/>
        </w:rPr>
        <w:t>Later source:</w:t>
      </w:r>
      <w:r>
        <w:t xml:space="preserve"> COMMON OR DIVERGENT? A COMPARATIVE ANALYSIS OF SUSTAINABLE DEVELOPMENT POLICIES IN THE EUROPEAN UNION AND THE UNITED KINGDOM — https://doi.org/10.62140/cr530933322</w:t>
      </w:r>
    </w:p>
    <w:p>
      <w:pPr/>
      <w:r>
        <w:rPr>
          <w:b/>
        </w:rPr>
        <w:t>Later source:</w:t>
      </w:r>
      <w:r>
        <w:t xml:space="preserve"> Climate at what cost? A survey experiment on trade-offs between decarbonization ambitions and socioeconomic costs — https://doi.org/10.1016/j.erss.2026.104877</w:t>
      </w:r>
    </w:p>
    <w:p>
      <w:pPr>
        <w:pStyle w:val="SourceNote"/>
      </w:pPr>
      <w:r>
        <w:rPr>
          <w:b/>
        </w:rPr>
        <w:t>Review status:</w:t>
      </w:r>
      <w:r>
        <w:t xml:space="preserve"> unchecked — possible relationship only</w:t>
      </w:r>
    </w:p>
    <w:p>
      <w:pPr>
        <w:pStyle w:val="Heading2"/>
      </w:pPr>
      <w:r>
        <w:t>89. Claim + two later sources: The future of financial markets and regulation: what strategy for Europe?</w:t>
      </w:r>
    </w:p>
    <w:p>
      <w:pPr>
        <w:pStyle w:val="SourceNote"/>
      </w:pPr>
      <w:r>
        <w:rPr>
          <w:b/>
        </w:rPr>
        <w:t>Group ID:</w:t>
      </w:r>
      <w:r>
        <w:t xml:space="preserve"> group-0d20b41634b760b49d67</w:t>
      </w:r>
    </w:p>
    <w:p>
      <w:pPr>
        <w:pStyle w:val="SourceNote"/>
      </w:pPr>
      <w:r>
        <w:rPr>
          <w:b/>
        </w:rPr>
        <w:t>Original source:</w:t>
      </w:r>
      <w:r>
        <w:t xml:space="preserve"> https://doi.org/10.1108/fs-05-2012-0039</w:t>
      </w:r>
    </w:p>
    <w:p>
      <w:pPr/>
      <w:r>
        <w:rPr>
          <w:b/>
        </w:rPr>
        <w:t>Original future claim:</w:t>
      </w:r>
      <w:r>
        <w:t xml:space="preserve"> Finally, they build five scenarios according to the main evolutions observed on the financial markets and on the tools used by the regulator to modify these trends. Findings – Among the five scenarios defined, two present highly unstable features since the regulator refuses to choose between financial opening and independently determining how to regulate finance in order to preserve financial stability.</w:t>
      </w:r>
    </w:p>
    <w:p>
      <w:pPr/>
      <w:r>
        <w:rPr>
          <w:b/>
        </w:rPr>
        <w:t>Later source:</w:t>
      </w:r>
      <w:r>
        <w:t xml:space="preserve"> Adapting MAIN to European Portuguese — https://doi.org/10.21248/zaspil.66.2025.887</w:t>
      </w:r>
    </w:p>
    <w:p>
      <w:pPr/>
      <w:r>
        <w:rPr>
          <w:b/>
        </w:rPr>
        <w:t>Later source:</w:t>
      </w:r>
      <w:r>
        <w:t xml:space="preserve"> GLAM metadata in museums and university collections: a state-of-the-art (Spain and other European countries) — https://doi.org/10.1108/gkmc-06-2022-0133</w:t>
      </w:r>
    </w:p>
    <w:p>
      <w:pPr>
        <w:pStyle w:val="SourceNote"/>
      </w:pPr>
      <w:r>
        <w:rPr>
          <w:b/>
        </w:rPr>
        <w:t>Review status:</w:t>
      </w:r>
      <w:r>
        <w:t xml:space="preserve"> unchecked — possible relationship only</w:t>
      </w:r>
    </w:p>
    <w:p>
      <w:pPr>
        <w:pStyle w:val="Heading2"/>
      </w:pPr>
      <w:r>
        <w:t>90. Claim + two later sources: Will the real security foresight expert please stand up?</w:t>
      </w:r>
    </w:p>
    <w:p>
      <w:pPr>
        <w:pStyle w:val="SourceNote"/>
      </w:pPr>
      <w:r>
        <w:rPr>
          <w:b/>
        </w:rPr>
        <w:t>Group ID:</w:t>
      </w:r>
      <w:r>
        <w:t xml:space="preserve"> group-682d8cb78d526789bc1d</w:t>
      </w:r>
    </w:p>
    <w:p>
      <w:pPr>
        <w:pStyle w:val="SourceNote"/>
      </w:pPr>
      <w:r>
        <w:rPr>
          <w:b/>
        </w:rPr>
        <w:t>Original source:</w:t>
      </w:r>
      <w:r>
        <w:t xml:space="preserve"> https://doi.org/10.1007/s40309-014-0037-6</w:t>
      </w:r>
    </w:p>
    <w:p>
      <w:pPr/>
      <w:r>
        <w:rPr>
          <w:b/>
        </w:rPr>
        <w:t>Original future claim:</w:t>
      </w:r>
      <w:r>
        <w:t xml:space="preserve"> In its critical comparative overview of foresight methods and how they are used by different futures institutes in Europe, North America, and their partners, the text argues that while many futures institutes claim to provide foresight expertise, few actually provide the tools needed by policy makers to help prepare for security risks. It identifies two trademarks of genuine security foresight experts: 1.) They will differentiate between trends and futures research 2.) Their methods will have met with success in providing early warning signals.</w:t>
      </w:r>
    </w:p>
    <w:p>
      <w:pPr/>
      <w:r>
        <w:rPr>
          <w:b/>
        </w:rPr>
        <w:t>Later source:</w:t>
      </w:r>
      <w:r>
        <w:t xml:space="preserve"> A Comparative Review of Healthcare Systems in India, the Middle East, and Europe: Strengths, Weaknesses, and Lessons for Improvement — https://doi.org/10.25258/ijddt.16.38s.65</w:t>
      </w:r>
    </w:p>
    <w:p>
      <w:pPr/>
      <w:r>
        <w:rPr>
          <w:b/>
        </w:rPr>
        <w:t>Later source:</w:t>
      </w:r>
      <w:r>
        <w:t xml:space="preserve"> Language teaching in Europe: A comparative overview of pedagogical, theoretical and decolonial approaches from the region — https://openalex.org/W7208794743</w:t>
      </w:r>
    </w:p>
    <w:p>
      <w:pPr>
        <w:pStyle w:val="SourceNote"/>
      </w:pPr>
      <w:r>
        <w:rPr>
          <w:b/>
        </w:rPr>
        <w:t>Review status:</w:t>
      </w:r>
      <w:r>
        <w:t xml:space="preserve"> unchecked — possible relationship only</w:t>
      </w:r>
    </w:p>
    <w:p>
      <w:pPr>
        <w:pStyle w:val="Heading2"/>
      </w:pPr>
      <w:r>
        <w:t>91. Claim + two later sources: The state of democracy in the European Union in scenarios: federation, empire and Europe à la carte</w:t>
      </w:r>
    </w:p>
    <w:p>
      <w:pPr>
        <w:pStyle w:val="SourceNote"/>
      </w:pPr>
      <w:r>
        <w:rPr>
          <w:b/>
        </w:rPr>
        <w:t>Group ID:</w:t>
      </w:r>
      <w:r>
        <w:t xml:space="preserve"> group-c040f8b733696589f890</w:t>
      </w:r>
    </w:p>
    <w:p>
      <w:pPr>
        <w:pStyle w:val="SourceNote"/>
      </w:pPr>
      <w:r>
        <w:rPr>
          <w:b/>
        </w:rPr>
        <w:t>Original source:</w:t>
      </w:r>
      <w:r>
        <w:t xml:space="preserve"> https://doi.org/10.31338/1641-2478pe.4.15.5</w:t>
      </w:r>
    </w:p>
    <w:p>
      <w:pPr/>
      <w:r>
        <w:rPr>
          <w:b/>
        </w:rPr>
        <w:t>Original future claim:</w:t>
      </w:r>
      <w:r>
        <w:t xml:space="preserve"> The aim of the article is to present possible scenarios on maintaining democracy in the EU, while assuming different hypothetical directions in which it could develop as a federation, empire and Europe à la carte. The abovementioned objective of scenario development is achieved through distinguishing the notions of policy, politics and polity in the research.</w:t>
      </w:r>
    </w:p>
    <w:p>
      <w:pPr/>
      <w:r>
        <w:rPr>
          <w:b/>
        </w:rPr>
        <w:t>Later source:</w:t>
      </w:r>
      <w:r>
        <w:t xml:space="preserve"> The Communion of Protestant Churches in Europe and European integration — https://doi.org/10.31261/ssht.2025.58.1.05</w:t>
      </w:r>
    </w:p>
    <w:p>
      <w:pPr/>
      <w:r>
        <w:rPr>
          <w:b/>
        </w:rPr>
        <w:t>Later source:</w:t>
      </w:r>
      <w:r>
        <w:t xml:space="preserve"> Beyond dualism: the hybridization of technocracy and democracy in Europe — https://doi.org/10.1017/s1755773926100514</w:t>
      </w:r>
    </w:p>
    <w:p>
      <w:pPr>
        <w:pStyle w:val="SourceNote"/>
      </w:pPr>
      <w:r>
        <w:rPr>
          <w:b/>
        </w:rPr>
        <w:t>Review status:</w:t>
      </w:r>
      <w:r>
        <w:t xml:space="preserve"> unchecked — possible relationship only</w:t>
      </w:r>
    </w:p>
    <w:p>
      <w:pPr>
        <w:pStyle w:val="Heading2"/>
      </w:pPr>
      <w:r>
        <w:t>92. Claim + two later sources: Diverging hydrological drought traits over Europe with global warming</w:t>
      </w:r>
    </w:p>
    <w:p>
      <w:pPr>
        <w:pStyle w:val="SourceNote"/>
      </w:pPr>
      <w:r>
        <w:rPr>
          <w:b/>
        </w:rPr>
        <w:t>Group ID:</w:t>
      </w:r>
      <w:r>
        <w:t xml:space="preserve"> group-eae630dae4be0ac1b23b</w:t>
      </w:r>
    </w:p>
    <w:p>
      <w:pPr>
        <w:pStyle w:val="SourceNote"/>
      </w:pPr>
      <w:r>
        <w:rPr>
          <w:b/>
        </w:rPr>
        <w:t>Original source:</w:t>
      </w:r>
      <w:r>
        <w:t xml:space="preserve"> https://doi.org/10.5194/hess-24-5919-2020</w:t>
      </w:r>
    </w:p>
    <w:p>
      <w:pPr/>
      <w:r>
        <w:rPr>
          <w:b/>
        </w:rPr>
        <w:t>Original future claim:</w:t>
      </w:r>
      <w:r>
        <w:t xml:space="preserve"> This study shows how hydrological droughts will change across Europe with increasing global warming levels (GWL of 1.5, 2 and 3 K above preindustrial temperature). We employ a low-flow index derived from river discharge simulations of a spatially-distributed physically-based hydrological and water use model, which was forced with a large ensemble of regional climate model projections under a high emissions (RCP8.5) and moderate mitigation (RCP4.5) pathway.</w:t>
      </w:r>
    </w:p>
    <w:p>
      <w:pPr/>
      <w:r>
        <w:rPr>
          <w:b/>
        </w:rPr>
        <w:t>Later source:</w:t>
      </w:r>
      <w:r>
        <w:t xml:space="preserve"> Compounding hazards increase flood economic losses across Europe — https://doi.org/10.1038/s41467-026-73248-0</w:t>
      </w:r>
    </w:p>
    <w:p>
      <w:pPr/>
      <w:r>
        <w:rPr>
          <w:b/>
        </w:rPr>
        <w:t>Later source:</w:t>
      </w:r>
      <w:r>
        <w:t xml:space="preserve"> Continental-scale assessment of hydrological cycle across Europe under anthropogenic warming — https://doi.org/10.5194/egusphere-egu26-862</w:t>
      </w:r>
    </w:p>
    <w:p>
      <w:pPr>
        <w:pStyle w:val="SourceNote"/>
      </w:pPr>
      <w:r>
        <w:rPr>
          <w:b/>
        </w:rPr>
        <w:t>Review status:</w:t>
      </w:r>
      <w:r>
        <w:t xml:space="preserve"> unchecked — possible relationship only</w:t>
      </w:r>
    </w:p>
    <w:p>
      <w:pPr>
        <w:pStyle w:val="Heading2"/>
      </w:pPr>
      <w:r>
        <w:t>93. Claim + two later sources: Climate, Energy – and Environment? Reconciliation of EU Environmental Law with the Implementation Realities of EU Climate Law</w:t>
      </w:r>
    </w:p>
    <w:p>
      <w:pPr>
        <w:pStyle w:val="SourceNote"/>
      </w:pPr>
      <w:r>
        <w:rPr>
          <w:b/>
        </w:rPr>
        <w:t>Group ID:</w:t>
      </w:r>
      <w:r>
        <w:t xml:space="preserve"> group-044efb8abdb0c8b7d38f</w:t>
      </w:r>
    </w:p>
    <w:p>
      <w:pPr>
        <w:pStyle w:val="SourceNote"/>
      </w:pPr>
      <w:r>
        <w:rPr>
          <w:b/>
        </w:rPr>
        <w:t>Original source:</w:t>
      </w:r>
      <w:r>
        <w:t xml:space="preserve"> https://doi.org/10.1163/18786561-12030003</w:t>
      </w:r>
    </w:p>
    <w:p>
      <w:pPr/>
      <w:r>
        <w:rPr>
          <w:b/>
        </w:rPr>
        <w:t>Original future claim:</w:t>
      </w:r>
      <w:r>
        <w:t xml:space="preserve"> The objective of environmental protection, ‘to preserve, protect and improve the quality of the environment’, does not fully align with the objectives of climate mitigation, which are designed to safeguard the needs of future generations and the long-term environment.</w:t>
      </w:r>
    </w:p>
    <w:p>
      <w:pPr/>
      <w:r>
        <w:rPr>
          <w:b/>
        </w:rPr>
        <w:t>Later source:</w:t>
      </w:r>
      <w:r>
        <w:t xml:space="preserve"> Understanding the (In)Governability of Environmental Protected Areas: The Case of Greece — https://doi.org/10.3390/land15010100</w:t>
      </w:r>
    </w:p>
    <w:p>
      <w:pPr/>
      <w:r>
        <w:rPr>
          <w:b/>
        </w:rPr>
        <w:t>Later source:</w:t>
      </w:r>
      <w:r>
        <w:t xml:space="preserve"> The Effects of the Energy Liberalization Process in the European Union: An Evaluation of the EU Energy Policy and Legislation towards Environmental Protection and Consumer Welfare. Literature review — https://doi.org/10.52340/gjes.2024.01.07</w:t>
      </w:r>
    </w:p>
    <w:p>
      <w:pPr>
        <w:pStyle w:val="SourceNote"/>
      </w:pPr>
      <w:r>
        <w:rPr>
          <w:b/>
        </w:rPr>
        <w:t>Review status:</w:t>
      </w:r>
      <w:r>
        <w:t xml:space="preserve"> unchecked — possible relationship only</w:t>
      </w:r>
    </w:p>
    <w:p>
      <w:pPr>
        <w:pStyle w:val="Heading2"/>
      </w:pPr>
      <w:r>
        <w:t>94. Claim + two later sources: Population aging, migration, and productivity in Europe</w:t>
      </w:r>
    </w:p>
    <w:p>
      <w:pPr>
        <w:pStyle w:val="SourceNote"/>
      </w:pPr>
      <w:r>
        <w:rPr>
          <w:b/>
        </w:rPr>
        <w:t>Group ID:</w:t>
      </w:r>
      <w:r>
        <w:t xml:space="preserve"> group-416157a95d1668344525</w:t>
      </w:r>
    </w:p>
    <w:p>
      <w:pPr>
        <w:pStyle w:val="SourceNote"/>
      </w:pPr>
      <w:r>
        <w:rPr>
          <w:b/>
        </w:rPr>
        <w:t>Original source:</w:t>
      </w:r>
      <w:r>
        <w:t xml:space="preserve"> https://doi.org/10.1073/pnas.1918988117</w:t>
      </w:r>
    </w:p>
    <w:p>
      <w:pPr/>
      <w:r>
        <w:rPr>
          <w:b/>
        </w:rPr>
        <w:t>Original future claim:</w:t>
      </w:r>
      <w:r>
        <w:t xml:space="preserve"> In terms of policy options, lifting labor-force participation among the general population as in Sweden, and education-selective migration if accompanied by high integration, could even improve economic dependency.</w:t>
      </w:r>
    </w:p>
    <w:p>
      <w:pPr/>
      <w:r>
        <w:rPr>
          <w:b/>
        </w:rPr>
        <w:t>Later source:</w:t>
      </w:r>
      <w:r>
        <w:t xml:space="preserve"> A social network analysis of the European science–policy–society interface on biodiversity — https://doi.org/10.1111/cobi.70023</w:t>
      </w:r>
    </w:p>
    <w:p>
      <w:pPr/>
      <w:r>
        <w:rPr>
          <w:b/>
        </w:rPr>
        <w:t>Later source:</w:t>
      </w:r>
      <w:r>
        <w:t xml:space="preserve"> Policies of Plastic Use in European Countries — https://doi.org/10.1201/9781003387862-3</w:t>
      </w:r>
    </w:p>
    <w:p>
      <w:pPr>
        <w:pStyle w:val="SourceNote"/>
      </w:pPr>
      <w:r>
        <w:rPr>
          <w:b/>
        </w:rPr>
        <w:t>Review status:</w:t>
      </w:r>
      <w:r>
        <w:t xml:space="preserve"> unchecked — possible relationship only</w:t>
      </w:r>
    </w:p>
    <w:p>
      <w:pPr>
        <w:pStyle w:val="Heading2"/>
      </w:pPr>
      <w:r>
        <w:t>95. Claim + two later sources: Future Scenarios of European Forests</w:t>
      </w:r>
    </w:p>
    <w:p>
      <w:pPr>
        <w:pStyle w:val="SourceNote"/>
      </w:pPr>
      <w:r>
        <w:rPr>
          <w:b/>
        </w:rPr>
        <w:t>Group ID:</w:t>
      </w:r>
      <w:r>
        <w:t xml:space="preserve"> group-687215898076537869c0</w:t>
      </w:r>
    </w:p>
    <w:p>
      <w:pPr>
        <w:pStyle w:val="SourceNote"/>
      </w:pPr>
      <w:r>
        <w:rPr>
          <w:b/>
        </w:rPr>
        <w:t>Original source:</w:t>
      </w:r>
      <w:r>
        <w:t xml:space="preserve"> https://doi.org/10.2478/jlecol-2018-0020</w:t>
      </w:r>
    </w:p>
    <w:p>
      <w:pPr/>
      <w:r>
        <w:rPr>
          <w:b/>
        </w:rPr>
        <w:t>Original future claim:</w:t>
      </w:r>
      <w:r>
        <w:t xml:space="preserve"> Scenarios based on contrasting storylines can be used as a tool to explore the different ways in which the future may develop and their impacts on the sustainability of European forestry. Here we discuss characteristics of scenario studies forest large scale forest resources in general and focus on a few recent trends and their long term impact on European forests, as e.g. nature oriented management, carbon credits, and extra demand for bioenergy.</w:t>
      </w:r>
    </w:p>
    <w:p>
      <w:pPr/>
      <w:r>
        <w:rPr>
          <w:b/>
        </w:rPr>
        <w:t>Later source:</w:t>
      </w:r>
      <w:r>
        <w:t xml:space="preserve"> Worst-case European heat storylines generated using ensemble boosting — https://doi.org/10.1038/s43247-026-03699-2</w:t>
      </w:r>
    </w:p>
    <w:p>
      <w:pPr/>
      <w:r>
        <w:rPr>
          <w:b/>
        </w:rPr>
        <w:t>Later source:</w:t>
      </w:r>
      <w:r>
        <w:t xml:space="preserve"> Determinants of vaccine hesitancy and interventions aimed at contrasting this issue in Europe: an overview of systematic reviews. — https://doi.org/10.4415/ann_26_01_10</w:t>
      </w:r>
    </w:p>
    <w:p>
      <w:pPr>
        <w:pStyle w:val="SourceNote"/>
      </w:pPr>
      <w:r>
        <w:rPr>
          <w:b/>
        </w:rPr>
        <w:t>Review status:</w:t>
      </w:r>
      <w:r>
        <w:t xml:space="preserve"> unchecked — possible relationship only</w:t>
      </w:r>
    </w:p>
    <w:p>
      <w:pPr>
        <w:pStyle w:val="Heading2"/>
      </w:pPr>
      <w:r>
        <w:t>96. Claim + two later sources: Understanding and enhancing future infrastructure resiliency: a socio‐ecological approach</w:t>
      </w:r>
    </w:p>
    <w:p>
      <w:pPr>
        <w:pStyle w:val="SourceNote"/>
      </w:pPr>
      <w:r>
        <w:rPr>
          <w:b/>
        </w:rPr>
        <w:t>Group ID:</w:t>
      </w:r>
      <w:r>
        <w:t xml:space="preserve"> group-947297109e1cf5b94c95</w:t>
      </w:r>
    </w:p>
    <w:p>
      <w:pPr>
        <w:pStyle w:val="SourceNote"/>
      </w:pPr>
      <w:r>
        <w:rPr>
          <w:b/>
        </w:rPr>
        <w:t>Original source:</w:t>
      </w:r>
      <w:r>
        <w:t xml:space="preserve"> https://doi.org/10.1111/disa.12114</w:t>
      </w:r>
    </w:p>
    <w:p>
      <w:pPr/>
      <w:r>
        <w:rPr>
          <w:b/>
        </w:rPr>
        <w:t>Original future claim:</w:t>
      </w:r>
      <w:r>
        <w:t xml:space="preserve"> This paper seeks to identify and problematise this perspective, presenting research based on the development of a heuristic 'scenario-episode' tool to address, and challenge, it in the context of United Kingdom infrastructure resilience.</w:t>
      </w:r>
    </w:p>
    <w:p>
      <w:pPr/>
      <w:r>
        <w:rPr>
          <w:b/>
        </w:rPr>
        <w:t>Later source:</w:t>
      </w:r>
      <w:r>
        <w:t xml:space="preserve"> Problematising current coaching strategies from a worldview perspective — https://doi.org/10.4102/sajip.v49i0.2034</w:t>
      </w:r>
    </w:p>
    <w:p>
      <w:pPr/>
      <w:r>
        <w:rPr>
          <w:b/>
        </w:rPr>
        <w:t>Later source:</w:t>
      </w:r>
      <w:r>
        <w:t xml:space="preserve"> Problematising philosophical assumptions in EE's Invisible College — https://doi.org/10.1108/ijebr-07-2021-0553</w:t>
      </w:r>
    </w:p>
    <w:p>
      <w:pPr>
        <w:pStyle w:val="SourceNote"/>
      </w:pPr>
      <w:r>
        <w:rPr>
          <w:b/>
        </w:rPr>
        <w:t>Review status:</w:t>
      </w:r>
      <w:r>
        <w:t xml:space="preserve"> unchecked — possible relationship only</w:t>
      </w:r>
    </w:p>
    <w:p>
      <w:pPr>
        <w:pStyle w:val="Heading2"/>
      </w:pPr>
      <w:r>
        <w:t>97. Claim + two later sources: The development of a system of «green» skills in the strategizing of labor resources of industrial enterprises</w:t>
      </w:r>
    </w:p>
    <w:p>
      <w:pPr>
        <w:pStyle w:val="SourceNote"/>
      </w:pPr>
      <w:r>
        <w:rPr>
          <w:b/>
        </w:rPr>
        <w:t>Group ID:</w:t>
      </w:r>
      <w:r>
        <w:t xml:space="preserve"> group-29dca7baea260ae32550</w:t>
      </w:r>
    </w:p>
    <w:p>
      <w:pPr>
        <w:pStyle w:val="SourceNote"/>
      </w:pPr>
      <w:r>
        <w:rPr>
          <w:b/>
        </w:rPr>
        <w:t>Original source:</w:t>
      </w:r>
      <w:r>
        <w:t xml:space="preserve"> https://doi.org/10.17073/2072-1633-2019-4-484-493</w:t>
      </w:r>
    </w:p>
    <w:p>
      <w:pPr/>
      <w:r>
        <w:rPr>
          <w:b/>
        </w:rPr>
        <w:t>Original future claim:</w:t>
      </w:r>
      <w:r>
        <w:t xml:space="preserve"> The article presents the forecasts of the International Labor Organization until 2030 of a change in the need for professions, professional fields and related skills of subordinates and managers.</w:t>
      </w:r>
    </w:p>
    <w:p>
      <w:pPr/>
      <w:r>
        <w:rPr>
          <w:b/>
        </w:rPr>
        <w:t>Later source:</w:t>
      </w:r>
      <w:r>
        <w:t xml:space="preserve"> Theory and Practice of Gas Consumption Forecasting in Planning the Development of Regional Gas Supply Systems — https://doi.org/10.1134/s1075700725700935</w:t>
      </w:r>
    </w:p>
    <w:p>
      <w:pPr/>
      <w:r>
        <w:rPr>
          <w:b/>
        </w:rPr>
        <w:t>Later source:</w:t>
      </w:r>
      <w:r>
        <w:t xml:space="preserve"> FORECAST OF AGRICULTURAL AND RURAL TERRITORY DEVELOPMENT, TAKING INTO ACCOUNT DIVERSIFICATION OF ACTIVITIES BASED ON AGRICULTURAL TOURISM — https://doi.org/10.33305/263-124</w:t>
      </w:r>
    </w:p>
    <w:p>
      <w:pPr>
        <w:pStyle w:val="SourceNote"/>
      </w:pPr>
      <w:r>
        <w:rPr>
          <w:b/>
        </w:rPr>
        <w:t>Review status:</w:t>
      </w:r>
      <w:r>
        <w:t xml:space="preserve"> unchecked — possible relationship only</w:t>
      </w:r>
    </w:p>
    <w:p>
      <w:pPr>
        <w:pStyle w:val="Heading2"/>
      </w:pPr>
      <w:r>
        <w:t>98. Claim + two later sources: Carbon intensity of the Ukrainian industry: current state and foresight</w:t>
      </w:r>
    </w:p>
    <w:p>
      <w:pPr>
        <w:pStyle w:val="SourceNote"/>
      </w:pPr>
      <w:r>
        <w:rPr>
          <w:b/>
        </w:rPr>
        <w:t>Group ID:</w:t>
      </w:r>
      <w:r>
        <w:t xml:space="preserve"> group-a8b2291e904d1e64a7de</w:t>
      </w:r>
    </w:p>
    <w:p>
      <w:pPr>
        <w:pStyle w:val="SourceNote"/>
      </w:pPr>
      <w:r>
        <w:rPr>
          <w:b/>
        </w:rPr>
        <w:t>Original source:</w:t>
      </w:r>
      <w:r>
        <w:t xml:space="preserve"> https://doi.org/10.15407/econindustry2022.01.061</w:t>
      </w:r>
    </w:p>
    <w:p>
      <w:pPr/>
      <w:r>
        <w:rPr>
          <w:b/>
        </w:rPr>
        <w:t>Original future claim:</w:t>
      </w:r>
      <w:r>
        <w:t xml:space="preserve"> According to the basic scenario of the decarbonization of the Ukrainian industry (preservation of current trends and phenomena), an exhaustion of the national quota for greenhouse gas emissions by 2040, further deindustrialization of the economy, an increase in technological gaps with the developed countries of the world and an aggravate in the competitive vulnerability of national exporters are expected. The optimistic scenario assumes successful decarbonization and digitalization of the technological structure of the industrial complex.</w:t>
      </w:r>
    </w:p>
    <w:p>
      <w:pPr/>
      <w:r>
        <w:rPr>
          <w:b/>
        </w:rPr>
        <w:t>Later source:</w:t>
      </w:r>
      <w:r>
        <w:t xml:space="preserve"> DIGITIZATION AS A TOOL FOR ENSURING THE PRESERVATION OF ARCHIVAL COLLECTIONS: CURRENT STATE AND PROSPECTS — https://doi.org/10.31073/istnauka202602-22</w:t>
      </w:r>
    </w:p>
    <w:p>
      <w:pPr/>
      <w:r>
        <w:rPr>
          <w:b/>
        </w:rPr>
        <w:t>Later source:</w:t>
      </w:r>
      <w:r>
        <w:t xml:space="preserve"> Preservation and Educational Preservation of Traditional Ceramic Craft Villages in the Era of Industrialization — https://doi.org/10.59324/ejahss.2026.3(3).24</w:t>
      </w:r>
    </w:p>
    <w:p>
      <w:pPr>
        <w:pStyle w:val="SourceNote"/>
      </w:pPr>
      <w:r>
        <w:rPr>
          <w:b/>
        </w:rPr>
        <w:t>Review status:</w:t>
      </w:r>
      <w:r>
        <w:t xml:space="preserve"> unchecked — possible relationship only</w:t>
      </w:r>
    </w:p>
    <w:p>
      <w:pPr>
        <w:pStyle w:val="Heading2"/>
      </w:pPr>
      <w:r>
        <w:t>99. Claim + two later sources: Future Trajectories of Renewable Energy Consumption in the European Union</w:t>
      </w:r>
    </w:p>
    <w:p>
      <w:pPr>
        <w:pStyle w:val="SourceNote"/>
      </w:pPr>
      <w:r>
        <w:rPr>
          <w:b/>
        </w:rPr>
        <w:t>Group ID:</w:t>
      </w:r>
      <w:r>
        <w:t xml:space="preserve"> group-ccf083122f7dd822bdb8</w:t>
      </w:r>
    </w:p>
    <w:p>
      <w:pPr>
        <w:pStyle w:val="SourceNote"/>
      </w:pPr>
      <w:r>
        <w:rPr>
          <w:b/>
        </w:rPr>
        <w:t>Original source:</w:t>
      </w:r>
      <w:r>
        <w:t xml:space="preserve"> https://doi.org/10.3390/resources7010010</w:t>
      </w:r>
    </w:p>
    <w:p>
      <w:pPr/>
      <w:r>
        <w:rPr>
          <w:b/>
        </w:rPr>
        <w:t>Original future claim:</w:t>
      </w:r>
      <w:r>
        <w:t xml:space="preserve"> Starting from historical data reported in the Eurostat database and through a mathematical model, this work proposes future trajectories towards 2020 of the share of energy from renewables (REs) in terms of gross final energy consumption (GFEC). The share of REs in GFEC in EU 28 varies from 19.4% to 21.8% in future trajectories towards 2020.</w:t>
      </w:r>
    </w:p>
    <w:p>
      <w:pPr/>
      <w:r>
        <w:rPr>
          <w:b/>
        </w:rPr>
        <w:t>Later source:</w:t>
      </w:r>
      <w:r>
        <w:t xml:space="preserve"> Bayesian Indirect Estimation of Historical Fertility in Europe and US Using Online Genealogical Data — https://doi.org/10.1177/00491241261463559</w:t>
      </w:r>
    </w:p>
    <w:p>
      <w:pPr/>
      <w:r>
        <w:rPr>
          <w:b/>
        </w:rPr>
        <w:t>Later source:</w:t>
      </w:r>
      <w:r>
        <w:t xml:space="preserve"> Claims inflation estimation: a practical guide for historical data — https://doi.org/10.1017/s1357321725100275</w:t>
      </w:r>
    </w:p>
    <w:p>
      <w:pPr>
        <w:pStyle w:val="SourceNote"/>
      </w:pPr>
      <w:r>
        <w:rPr>
          <w:b/>
        </w:rPr>
        <w:t>Review status:</w:t>
      </w:r>
      <w:r>
        <w:t xml:space="preserve"> unchecked — possible relationship only</w:t>
      </w:r>
    </w:p>
    <w:p>
      <w:pPr>
        <w:pStyle w:val="Heading2"/>
      </w:pPr>
      <w:r>
        <w:t>100. Claim + two later sources: Polish and Ukrainian foresight into the directions for the innovation of power plants</w:t>
      </w:r>
    </w:p>
    <w:p>
      <w:pPr>
        <w:pStyle w:val="SourceNote"/>
      </w:pPr>
      <w:r>
        <w:rPr>
          <w:b/>
        </w:rPr>
        <w:t>Group ID:</w:t>
      </w:r>
      <w:r>
        <w:t xml:space="preserve"> group-7b891dfc8b52313825c5</w:t>
      </w:r>
    </w:p>
    <w:p>
      <w:pPr>
        <w:pStyle w:val="SourceNote"/>
      </w:pPr>
      <w:r>
        <w:rPr>
          <w:b/>
        </w:rPr>
        <w:t>Original source:</w:t>
      </w:r>
      <w:r>
        <w:t xml:space="preserve"> https://doi.org/10.5277/ord180404</w:t>
      </w:r>
    </w:p>
    <w:p>
      <w:pPr/>
      <w:r>
        <w:rPr>
          <w:b/>
        </w:rPr>
        <w:t>Original future claim:</w:t>
      </w:r>
      <w:r>
        <w:t xml:space="preserve"> Such an approach could be used to establish a set of measures aimed at the continuous improvement of technical, technological, socioeconomic and environmental processes in power plants (e.g., the operation of Ukrainian hydroelectric power plants).</w:t>
      </w:r>
    </w:p>
    <w:p>
      <w:pPr/>
      <w:r>
        <w:rPr>
          <w:b/>
        </w:rPr>
        <w:t>Later source:</w:t>
      </w:r>
      <w:r>
        <w:t xml:space="preserve"> Establish An Advanced River Flow Prediction Model Using An Artificial Intelligence Approach — https://doi.org/10.51483/ijaiml.6.6s.2026.1293-1301</w:t>
      </w:r>
    </w:p>
    <w:p>
      <w:pPr/>
      <w:r>
        <w:rPr>
          <w:b/>
        </w:rPr>
        <w:t>Later source:</w:t>
      </w:r>
      <w:r>
        <w:t xml:space="preserve"> Feasibility Model for Establishing and Implementing Smart Insurance Using a Hybrid Approach — https://openalex.org/W7217145713</w:t>
      </w:r>
    </w:p>
    <w:p>
      <w:pPr>
        <w:pStyle w:val="SourceNote"/>
      </w:pPr>
      <w:r>
        <w:rPr>
          <w:b/>
        </w:rPr>
        <w:t>Review status:</w:t>
      </w:r>
      <w:r>
        <w:t xml:space="preserve"> unchecked — possible relationship only</w:t>
      </w:r>
    </w:p>
    <w:p>
      <w:pPr>
        <w:pStyle w:val="Heading2"/>
      </w:pPr>
      <w:r>
        <w:t>101. Claim + two later sources: European Water Footprint Scenarios for 2050</w:t>
      </w:r>
    </w:p>
    <w:p>
      <w:pPr>
        <w:pStyle w:val="SourceNote"/>
      </w:pPr>
      <w:r>
        <w:rPr>
          <w:b/>
        </w:rPr>
        <w:t>Group ID:</w:t>
      </w:r>
      <w:r>
        <w:t xml:space="preserve"> group-80b2f854bde16e217291</w:t>
      </w:r>
    </w:p>
    <w:p>
      <w:pPr>
        <w:pStyle w:val="SourceNote"/>
      </w:pPr>
      <w:r>
        <w:rPr>
          <w:b/>
        </w:rPr>
        <w:t>Original source:</w:t>
      </w:r>
      <w:r>
        <w:t xml:space="preserve"> https://doi.org/10.3390/w8060226</w:t>
      </w:r>
    </w:p>
    <w:p>
      <w:pPr/>
      <w:r>
        <w:rPr>
          <w:b/>
        </w:rPr>
        <w:t>Original future claim:</w:t>
      </w:r>
      <w:r>
        <w:t xml:space="preserve"> This study develops water footprint scenarios for Europe for 2050, at the country level, based on projections regarding population and economic growth, production and trade patterns, consumption patterns (diets and bioenergy use) and technological development. We develop four scenarios, considering globalization versus regional self-sufficiency, and development driven by economic objectives versus development driven by social and environmental objectives.</w:t>
      </w:r>
    </w:p>
    <w:p>
      <w:pPr/>
      <w:r>
        <w:rPr>
          <w:b/>
        </w:rPr>
        <w:t>Later source:</w:t>
      </w:r>
      <w:r>
        <w:t xml:space="preserve"> The water–agriculture–food nexus in Europe: a governance perspective — https://openalex.org/W7205710043</w:t>
      </w:r>
    </w:p>
    <w:p>
      <w:pPr/>
      <w:r>
        <w:rPr>
          <w:b/>
        </w:rPr>
        <w:t>Later source:</w:t>
      </w:r>
      <w:r>
        <w:t xml:space="preserve"> Blue and Green Water Footprint disparities of European households: A spatial structural decomposition analysis approach — https://doi.org/10.5194/egusphere-egu25-18436</w:t>
      </w:r>
    </w:p>
    <w:p>
      <w:pPr>
        <w:pStyle w:val="SourceNote"/>
      </w:pPr>
      <w:r>
        <w:rPr>
          <w:b/>
        </w:rPr>
        <w:t>Review status:</w:t>
      </w:r>
      <w:r>
        <w:t xml:space="preserve"> unchecked — possible relationship only</w:t>
      </w:r>
    </w:p>
    <w:p>
      <w:pPr>
        <w:pStyle w:val="Heading2"/>
      </w:pPr>
      <w:r>
        <w:t>102. Claim + two later sources: Nutrient criteria for surface waters under the European Water Framework Directive: Current state-of-the-art, challenges and future outlook</w:t>
      </w:r>
    </w:p>
    <w:p>
      <w:pPr>
        <w:pStyle w:val="SourceNote"/>
      </w:pPr>
      <w:r>
        <w:rPr>
          <w:b/>
        </w:rPr>
        <w:t>Group ID:</w:t>
      </w:r>
      <w:r>
        <w:t xml:space="preserve"> group-fd767bd9b06094f02624</w:t>
      </w:r>
    </w:p>
    <w:p>
      <w:pPr>
        <w:pStyle w:val="SourceNote"/>
      </w:pPr>
      <w:r>
        <w:rPr>
          <w:b/>
        </w:rPr>
        <w:t>Original source:</w:t>
      </w:r>
      <w:r>
        <w:t xml:space="preserve"> https://doi.org/10.1016/j.scitotenv.2019.133888</w:t>
      </w:r>
    </w:p>
    <w:p>
      <w:pPr/>
      <w:r>
        <w:rPr>
          <w:b/>
        </w:rPr>
        <w:t>Original future claim:</w:t>
      </w:r>
      <w:r>
        <w:t xml:space="preserve"> The aim of European water policy is to achieve good ecological status in all rivers, lakes, coastal and transitional waters by 2027.</w:t>
      </w:r>
    </w:p>
    <w:p>
      <w:pPr/>
      <w:r>
        <w:rPr>
          <w:b/>
        </w:rPr>
        <w:t>Later source:</w:t>
      </w:r>
      <w:r>
        <w:t xml:space="preserve"> Agriculture Contributions to Water Pollution and Sustainable Policy Solutions in Europe — https://doi.org/10.3390/earth7040115</w:t>
      </w:r>
    </w:p>
    <w:p>
      <w:pPr/>
      <w:r>
        <w:rPr>
          <w:b/>
        </w:rPr>
        <w:t>Later source:</w:t>
      </w:r>
      <w:r>
        <w:t xml:space="preserve"> Water governance for good ecological status and water quality in south-western Czechia – an interdisciplinary study — https://doi.org/10.1080/00207233.2025.2568342</w:t>
      </w:r>
    </w:p>
    <w:p>
      <w:pPr>
        <w:pStyle w:val="SourceNote"/>
      </w:pPr>
      <w:r>
        <w:rPr>
          <w:b/>
        </w:rPr>
        <w:t>Review status:</w:t>
      </w:r>
      <w:r>
        <w:t xml:space="preserve"> unchecked — possible relationship only</w:t>
      </w:r>
    </w:p>
    <w:p>
      <w:pPr>
        <w:pStyle w:val="Heading2"/>
      </w:pPr>
      <w:r>
        <w:t>103. Claim + two later sources: Burden of Stroke in Europe</w:t>
      </w:r>
    </w:p>
    <w:p>
      <w:pPr>
        <w:pStyle w:val="SourceNote"/>
      </w:pPr>
      <w:r>
        <w:rPr>
          <w:b/>
        </w:rPr>
        <w:t>Group ID:</w:t>
      </w:r>
      <w:r>
        <w:t xml:space="preserve"> group-f3232a3d97dba49bc84f</w:t>
      </w:r>
    </w:p>
    <w:p>
      <w:pPr>
        <w:pStyle w:val="SourceNote"/>
      </w:pPr>
      <w:r>
        <w:rPr>
          <w:b/>
        </w:rPr>
        <w:t>Original source:</w:t>
      </w:r>
      <w:r>
        <w:t xml:space="preserve"> https://doi.org/10.1161/strokeaha.120.029606</w:t>
      </w:r>
    </w:p>
    <w:p>
      <w:pPr/>
      <w:r>
        <w:rPr>
          <w:b/>
        </w:rPr>
        <w:t>Original future claim:</w:t>
      </w:r>
      <w:r>
        <w:t xml:space="preserve"> By 2047, we estimated an additional 40 000 incident strokes (+3%) and 2.58 million prevalent cases (+27%).</w:t>
      </w:r>
    </w:p>
    <w:p>
      <w:pPr/>
      <w:r>
        <w:rPr>
          <w:b/>
        </w:rPr>
        <w:t>Later source:</w:t>
      </w:r>
      <w:r>
        <w:t xml:space="preserve"> The updated global burden of chronic kidney disease: one death every 20 seconds — https://doi.org/10.1093/ndt/gfag040</w:t>
      </w:r>
    </w:p>
    <w:p>
      <w:pPr/>
      <w:r>
        <w:rPr>
          <w:b/>
        </w:rPr>
        <w:t>Later source:</w:t>
      </w:r>
      <w:r>
        <w:t xml:space="preserve"> Estimating the burden of vitiligo: a systematic review and modelling study — https://doi.org/10.1016/s2468-2667(24)00026-4</w:t>
      </w:r>
    </w:p>
    <w:p>
      <w:pPr>
        <w:pStyle w:val="SourceNote"/>
      </w:pPr>
      <w:r>
        <w:rPr>
          <w:b/>
        </w:rPr>
        <w:t>Review status:</w:t>
      </w:r>
      <w:r>
        <w:t xml:space="preserve"> unchecked — possible relationship only</w:t>
      </w:r>
    </w:p>
    <w:p>
      <w:pPr>
        <w:pStyle w:val="Heading2"/>
      </w:pPr>
      <w:r>
        <w:t>104. Claim + two later sources: Ukrainian Migration Aspirations towards Germany: Analysis and Development Scenarios</w:t>
      </w:r>
    </w:p>
    <w:p>
      <w:pPr>
        <w:pStyle w:val="SourceNote"/>
      </w:pPr>
      <w:r>
        <w:rPr>
          <w:b/>
        </w:rPr>
        <w:t>Group ID:</w:t>
      </w:r>
      <w:r>
        <w:t xml:space="preserve"> group-ddaf8ce813e3adf2dd0b</w:t>
      </w:r>
    </w:p>
    <w:p>
      <w:pPr>
        <w:pStyle w:val="SourceNote"/>
      </w:pPr>
      <w:r>
        <w:rPr>
          <w:b/>
        </w:rPr>
        <w:t>Original source:</w:t>
      </w:r>
      <w:r>
        <w:t xml:space="preserve"> https://doi.org/10.18778/1508-2008.24.04</w:t>
      </w:r>
    </w:p>
    <w:p>
      <w:pPr/>
      <w:r>
        <w:rPr>
          <w:b/>
        </w:rPr>
        <w:t>Original future claim:</w:t>
      </w:r>
      <w:r>
        <w:t xml:space="preserve"> Based on the multiple regression model and scenario approach to forecasting, the article estimates the Ukrainian migration aspirations towards Germany (the scale of migration, the economic activity of migrants, and their economic benefits). It is argued that major transformations in the gender-age structure of the German population may cause a demographic crisis and labour market imbalances.</w:t>
      </w:r>
    </w:p>
    <w:p>
      <w:pPr/>
      <w:r>
        <w:rPr>
          <w:b/>
        </w:rPr>
        <w:t>Later source:</w:t>
      </w:r>
      <w:r>
        <w:t xml:space="preserve"> Signal-Based Trading Strategy for SPY ETF: A Multiple Linear Regression Approach — https://doi.org/10.70693/rwsk.v1i2.552</w:t>
      </w:r>
    </w:p>
    <w:p>
      <w:pPr/>
      <w:r>
        <w:rPr>
          <w:b/>
        </w:rPr>
        <w:t>Later source:</w:t>
      </w:r>
      <w:r>
        <w:t xml:space="preserve"> The European Approach to the Use of Artificial Intelligence for Sustainable Development — https://doi.org/10.1093/9780198945215.003.0161</w:t>
      </w:r>
    </w:p>
    <w:p>
      <w:pPr>
        <w:pStyle w:val="SourceNote"/>
      </w:pPr>
      <w:r>
        <w:rPr>
          <w:b/>
        </w:rPr>
        <w:t>Review status:</w:t>
      </w:r>
      <w:r>
        <w:t xml:space="preserve"> unchecked — possible relationship only</w:t>
      </w:r>
    </w:p>
    <w:p>
      <w:pPr>
        <w:pStyle w:val="Heading2"/>
      </w:pPr>
      <w:r>
        <w:t>105. Claim + two later sources: Forecasting the Volatility of European Union Allowance Futures with Climate Policy Uncertainty Using the EGARCH-MIDAS Model</w:t>
      </w:r>
    </w:p>
    <w:p>
      <w:pPr>
        <w:pStyle w:val="SourceNote"/>
      </w:pPr>
      <w:r>
        <w:rPr>
          <w:b/>
        </w:rPr>
        <w:t>Group ID:</w:t>
      </w:r>
      <w:r>
        <w:t xml:space="preserve"> group-6140ebbc661acaf7ffa0</w:t>
      </w:r>
    </w:p>
    <w:p>
      <w:pPr>
        <w:pStyle w:val="SourceNote"/>
      </w:pPr>
      <w:r>
        <w:rPr>
          <w:b/>
        </w:rPr>
        <w:t>Original source:</w:t>
      </w:r>
      <w:r>
        <w:t xml:space="preserve"> https://doi.org/10.3390/su14074306</w:t>
      </w:r>
    </w:p>
    <w:p>
      <w:pPr/>
      <w:r>
        <w:rPr>
          <w:b/>
        </w:rPr>
        <w:t>Original future claim:</w:t>
      </w:r>
      <w:r>
        <w:t xml:space="preserve"> There is room for further application of the model, such as this model could be applied to price carbon futures, so as to improve the liquidity of the carbon market and achieve carbon peak and carbon neutrality as soon as possible.</w:t>
      </w:r>
    </w:p>
    <w:p>
      <w:pPr/>
      <w:r>
        <w:rPr>
          <w:b/>
        </w:rPr>
        <w:t>Later source:</w:t>
      </w:r>
      <w:r>
        <w:t xml:space="preserve"> Why Grey Room — https://doi.org/10.1162/grey.e.11</w:t>
      </w:r>
    </w:p>
    <w:p>
      <w:pPr/>
      <w:r>
        <w:rPr>
          <w:b/>
        </w:rPr>
        <w:t>Later source:</w:t>
      </w:r>
      <w:r>
        <w:t xml:space="preserve"> European coastal flood hazards — https://doi.org/10.5194/egusphere-egu25-17323</w:t>
      </w:r>
    </w:p>
    <w:p>
      <w:pPr>
        <w:pStyle w:val="SourceNote"/>
      </w:pPr>
      <w:r>
        <w:rPr>
          <w:b/>
        </w:rPr>
        <w:t>Review status:</w:t>
      </w:r>
      <w:r>
        <w:t xml:space="preserve"> unchecked — possible relationship only</w:t>
      </w:r>
    </w:p>
    <w:p>
      <w:pPr>
        <w:pStyle w:val="Heading2"/>
      </w:pPr>
      <w:r>
        <w:t>106. Claim + two later sources: From flood science to flood policy: the Foresight Future Flooding project seven years on</w:t>
      </w:r>
    </w:p>
    <w:p>
      <w:pPr>
        <w:pStyle w:val="SourceNote"/>
      </w:pPr>
      <w:r>
        <w:rPr>
          <w:b/>
        </w:rPr>
        <w:t>Group ID:</w:t>
      </w:r>
      <w:r>
        <w:t xml:space="preserve"> group-320c2890527e74cdde88</w:t>
      </w:r>
    </w:p>
    <w:p>
      <w:pPr>
        <w:pStyle w:val="SourceNote"/>
      </w:pPr>
      <w:r>
        <w:rPr>
          <w:b/>
        </w:rPr>
        <w:t>Original source:</w:t>
      </w:r>
      <w:r>
        <w:t xml:space="preserve"> https://doi.org/10.1108/fs-06-2012-0046</w:t>
      </w:r>
    </w:p>
    <w:p>
      <w:pPr/>
      <w:r>
        <w:rPr>
          <w:b/>
        </w:rPr>
        <w:t>Original future claim:</w:t>
      </w:r>
      <w:r>
        <w:t xml:space="preserve"> Purpose The Foresight Future Flooding (FFF) project researched flood risk in the UK to the year 2100 for central government, using scenarios and a national risk assessment model backed by qualitative analysis from panels of some 45 senior scientists.</w:t>
      </w:r>
    </w:p>
    <w:p>
      <w:pPr/>
      <w:r>
        <w:rPr>
          <w:b/>
        </w:rPr>
        <w:t>Later source:</w:t>
      </w:r>
      <w:r>
        <w:t xml:space="preserve"> Eye of Europe Foresight Training Manual — https://openalex.org/W7220785974</w:t>
      </w:r>
    </w:p>
    <w:p>
      <w:pPr/>
      <w:r>
        <w:rPr>
          <w:b/>
        </w:rPr>
        <w:t>Later source:</w:t>
      </w:r>
      <w:r>
        <w:t xml:space="preserve"> Mission-oriented scenarios: a new method for urban foresight — https://doi.org/10.1108/fs-06-2023-0119</w:t>
      </w:r>
    </w:p>
    <w:p>
      <w:pPr>
        <w:pStyle w:val="SourceNote"/>
      </w:pPr>
      <w:r>
        <w:rPr>
          <w:b/>
        </w:rPr>
        <w:t>Review status:</w:t>
      </w:r>
      <w:r>
        <w:t xml:space="preserve"> unchecked — possible relationship only</w:t>
      </w:r>
    </w:p>
    <w:p>
      <w:pPr>
        <w:pStyle w:val="Heading2"/>
      </w:pPr>
      <w:r>
        <w:t>107. Claim + two later sources: Immigration and integration scenarios in global Europe: Forward-looking up to 2050</w:t>
      </w:r>
    </w:p>
    <w:p>
      <w:pPr>
        <w:pStyle w:val="SourceNote"/>
      </w:pPr>
      <w:r>
        <w:rPr>
          <w:b/>
        </w:rPr>
        <w:t>Group ID:</w:t>
      </w:r>
      <w:r>
        <w:t xml:space="preserve"> group-bb66fd488b049262bfba</w:t>
      </w:r>
    </w:p>
    <w:p>
      <w:pPr>
        <w:pStyle w:val="SourceNote"/>
      </w:pPr>
      <w:r>
        <w:rPr>
          <w:b/>
        </w:rPr>
        <w:t>Original source:</w:t>
      </w:r>
      <w:r>
        <w:t xml:space="preserve"> https://doi.org/10.2298/soc1302169a</w:t>
      </w:r>
    </w:p>
    <w:p>
      <w:pPr/>
      <w:r>
        <w:rPr>
          <w:b/>
        </w:rPr>
        <w:t>Original future claim:</w:t>
      </w:r>
      <w:r>
        <w:t xml:space="preserve"> She proposes addressing integration of immigrants scenarios alongside demographic projections and labour market needs for future assessments of needs for immigrants and for responsible governance.</w:t>
      </w:r>
    </w:p>
    <w:p>
      <w:pPr/>
      <w:r>
        <w:rPr>
          <w:b/>
        </w:rPr>
        <w:t>Later source:</w:t>
      </w:r>
      <w:r>
        <w:t xml:space="preserve"> The Labor Market Challenges and Coping Strategies of Highly Skilled Second-Generation Immigrants in Europe: A Scoping Review — https://doi.org/10.3390/soc15040093</w:t>
      </w:r>
    </w:p>
    <w:p>
      <w:pPr/>
      <w:r>
        <w:rPr>
          <w:b/>
        </w:rPr>
        <w:t>Later source:</w:t>
      </w:r>
      <w:r>
        <w:t xml:space="preserve"> A.M. Pankratova on Pan-European tendencies in historical scholarship in Western Europe in the Mid-20th century — https://doi.org/10.55959/msu0130-0083-8-2025-66-5-107-123</w:t>
      </w:r>
    </w:p>
    <w:p>
      <w:pPr>
        <w:pStyle w:val="SourceNote"/>
      </w:pPr>
      <w:r>
        <w:rPr>
          <w:b/>
        </w:rPr>
        <w:t>Review status:</w:t>
      </w:r>
      <w:r>
        <w:t xml:space="preserve"> unchecked — possible relationship only</w:t>
      </w:r>
    </w:p>
    <w:p>
      <w:pPr>
        <w:pStyle w:val="Heading2"/>
      </w:pPr>
      <w:r>
        <w:t>108. Claim + two later sources: Materials for Sustainable Nuclear Energy: A European Strategic Research and Innovation Agenda for All Reactor Generations</w:t>
      </w:r>
    </w:p>
    <w:p>
      <w:pPr>
        <w:pStyle w:val="SourceNote"/>
      </w:pPr>
      <w:r>
        <w:rPr>
          <w:b/>
        </w:rPr>
        <w:t>Group ID:</w:t>
      </w:r>
      <w:r>
        <w:t xml:space="preserve"> group-902177850305d9bad9cb</w:t>
      </w:r>
    </w:p>
    <w:p>
      <w:pPr>
        <w:pStyle w:val="SourceNote"/>
      </w:pPr>
      <w:r>
        <w:rPr>
          <w:b/>
        </w:rPr>
        <w:t>Original source:</w:t>
      </w:r>
      <w:r>
        <w:t xml:space="preserve"> https://doi.org/10.3390/en15051845</w:t>
      </w:r>
    </w:p>
    <w:p>
      <w:pPr/>
      <w:r>
        <w:rPr>
          <w:b/>
        </w:rPr>
        <w:t>Original future claim:</w:t>
      </w:r>
      <w:r>
        <w:t xml:space="preserve"> Nuclear energy is presently the single major low-carbon electricity source in Europe and is overall expected to maintain (perhaps eventually even increase) its current installed power from now to 2045.</w:t>
      </w:r>
    </w:p>
    <w:p>
      <w:pPr/>
      <w:r>
        <w:rPr>
          <w:b/>
        </w:rPr>
        <w:t>Later source:</w:t>
      </w:r>
      <w:r>
        <w:t xml:space="preserve"> MANAGEMENT OF ENERGY TECHNOLOGY SELECTION FOR STRENGTHENING POLAND’S ENERGY SECURITY — https://doi.org/10.29119/1641-3466.2026.244.19</w:t>
      </w:r>
    </w:p>
    <w:p>
      <w:pPr/>
      <w:r>
        <w:rPr>
          <w:b/>
        </w:rPr>
        <w:t>Later source:</w:t>
      </w:r>
      <w:r>
        <w:t xml:space="preserve"> Thorium as an Advanced Nuclear Fuel: Enhancing Supply-Chain Resilience for the Energy Transition — https://doi.org/10.2118/233268-ms</w:t>
      </w:r>
    </w:p>
    <w:p>
      <w:pPr>
        <w:pStyle w:val="SourceNote"/>
      </w:pPr>
      <w:r>
        <w:rPr>
          <w:b/>
        </w:rPr>
        <w:t>Review status:</w:t>
      </w:r>
      <w:r>
        <w:t xml:space="preserve"> unchecked — possible relationship only</w:t>
      </w:r>
    </w:p>
    <w:p>
      <w:pPr>
        <w:pStyle w:val="Heading2"/>
      </w:pPr>
      <w:r>
        <w:t>109. Claim + two later sources: Microgrids: Enhancing the Resilience of the European Megagrid</w:t>
      </w:r>
    </w:p>
    <w:p>
      <w:pPr>
        <w:pStyle w:val="SourceNote"/>
      </w:pPr>
      <w:r>
        <w:rPr>
          <w:b/>
        </w:rPr>
        <w:t>Group ID:</w:t>
      </w:r>
      <w:r>
        <w:t xml:space="preserve"> group-2539ee44188950dd5cf7</w:t>
      </w:r>
    </w:p>
    <w:p>
      <w:pPr>
        <w:pStyle w:val="SourceNote"/>
      </w:pPr>
      <w:r>
        <w:rPr>
          <w:b/>
        </w:rPr>
        <w:t>Original source:</w:t>
      </w:r>
      <w:r>
        <w:t xml:space="preserve"> https://doi.org/10.1109/mpe.2015.2397336</w:t>
      </w:r>
    </w:p>
    <w:p>
      <w:pPr/>
      <w:r>
        <w:rPr>
          <w:b/>
        </w:rPr>
        <w:t>Original future claim:</w:t>
      </w:r>
      <w:r>
        <w:t xml:space="preserve"> By 2020, 20% of the European electricity demand will be met by renewable generation while, by 2030, a substantial proportion of the electricity generation would become largely decarbonized. Furthermore, beyond 2030, it is expected that significant segments of the heat and transport sectors will be electrified to meet the targets proposed by the EU governments for greenhouse gas emission reductions of at least 80% in 2050.</w:t>
      </w:r>
    </w:p>
    <w:p>
      <w:pPr/>
      <w:r>
        <w:rPr>
          <w:b/>
        </w:rPr>
        <w:t>Later source:</w:t>
      </w:r>
      <w:r>
        <w:t xml:space="preserve"> Climate change impacts on European electricity demand and supply until 2100 — https://doi.org/10.1016/j.isci.2026.116818</w:t>
      </w:r>
    </w:p>
    <w:p>
      <w:pPr/>
      <w:r>
        <w:rPr>
          <w:b/>
        </w:rPr>
        <w:t>Later source:</w:t>
      </w:r>
      <w:r>
        <w:t xml:space="preserve"> Future electricity demand for Europe: Unraveling the dynamics of the Temperature Response Function — https://doi.org/10.1016/j.apenergy.2024.123387</w:t>
      </w:r>
    </w:p>
    <w:p>
      <w:pPr>
        <w:pStyle w:val="SourceNote"/>
      </w:pPr>
      <w:r>
        <w:rPr>
          <w:b/>
        </w:rPr>
        <w:t>Review status:</w:t>
      </w:r>
      <w:r>
        <w:t xml:space="preserve"> unchecked — possible relationship only</w:t>
      </w:r>
    </w:p>
    <w:p>
      <w:pPr>
        <w:pStyle w:val="Heading2"/>
      </w:pPr>
      <w:r>
        <w:t>110. Claim + two later sources: Argentinian Energy Landscapes - Case Study of the Neo-Carbon Energy Project</w:t>
      </w:r>
    </w:p>
    <w:p>
      <w:pPr>
        <w:pStyle w:val="SourceNote"/>
      </w:pPr>
      <w:r>
        <w:rPr>
          <w:b/>
        </w:rPr>
        <w:t>Group ID:</w:t>
      </w:r>
      <w:r>
        <w:t xml:space="preserve"> group-048d27e2f9490e5d5988</w:t>
      </w:r>
    </w:p>
    <w:p>
      <w:pPr>
        <w:pStyle w:val="SourceNote"/>
      </w:pPr>
      <w:r>
        <w:rPr>
          <w:b/>
        </w:rPr>
        <w:t>Original source:</w:t>
      </w:r>
      <w:r>
        <w:t xml:space="preserve"> https://doi.org/10.13140/rg.2.2.13727.82088</w:t>
      </w:r>
    </w:p>
    <w:p>
      <w:pPr/>
      <w:r>
        <w:rPr>
          <w:b/>
        </w:rPr>
        <w:t>Original future claim:</w:t>
      </w:r>
      <w:r>
        <w:t xml:space="preserve"> Therefore, it is important to explore different scenarios of how neo-carbon energy system can affect a society, businesses, individual’s lives and relationships.</w:t>
      </w:r>
    </w:p>
    <w:p>
      <w:pPr/>
      <w:r>
        <w:rPr>
          <w:b/>
        </w:rPr>
        <w:t>Later source:</w:t>
      </w:r>
      <w:r>
        <w:t xml:space="preserve"> Exploring learners — https://doi.org/10.4324/9781003588924-6</w:t>
      </w:r>
    </w:p>
    <w:p>
      <w:pPr/>
      <w:r>
        <w:rPr>
          <w:b/>
        </w:rPr>
        <w:t>Later source:</w:t>
      </w:r>
      <w:r>
        <w:t xml:space="preserve"> Did We Miss Something Important? Studying and Exploring Variable-Aware Log Abstraction — https://doi.org/10.1109/icse48619.2023.00078</w:t>
      </w:r>
    </w:p>
    <w:p>
      <w:pPr>
        <w:pStyle w:val="SourceNote"/>
      </w:pPr>
      <w:r>
        <w:rPr>
          <w:b/>
        </w:rPr>
        <w:t>Review status:</w:t>
      </w:r>
      <w:r>
        <w:t xml:space="preserve"> unchecked — possible relationship only</w:t>
      </w:r>
    </w:p>
    <w:p>
      <w:pPr>
        <w:pStyle w:val="Heading2"/>
      </w:pPr>
      <w:r>
        <w:t>111. Claim + two later sources: Scenario analysis for nutrient emission reduction in the European inland waters</w:t>
      </w:r>
    </w:p>
    <w:p>
      <w:pPr>
        <w:pStyle w:val="SourceNote"/>
      </w:pPr>
      <w:r>
        <w:rPr>
          <w:b/>
        </w:rPr>
        <w:t>Group ID:</w:t>
      </w:r>
      <w:r>
        <w:t xml:space="preserve"> group-7bd53eedeaca0a59e9b0</w:t>
      </w:r>
    </w:p>
    <w:p>
      <w:pPr>
        <w:pStyle w:val="SourceNote"/>
      </w:pPr>
      <w:r>
        <w:rPr>
          <w:b/>
        </w:rPr>
        <w:t>Original source:</w:t>
      </w:r>
      <w:r>
        <w:t xml:space="preserve"> https://doi.org/10.1088/1748-9326/9/12/125007</w:t>
      </w:r>
    </w:p>
    <w:p>
      <w:pPr/>
      <w:r>
        <w:rPr>
          <w:b/>
        </w:rPr>
        <w:t>Original future claim:</w:t>
      </w:r>
      <w:r>
        <w:t xml:space="preserve"> In the present study we evaluate a set of alternative scenarios aiming at reducing nitrogen and phosphorus emissions from anthropogenic activities to all European Seas. Then we tested two human diet scenarios and their impacts on nutrient emissions.</w:t>
      </w:r>
    </w:p>
    <w:p>
      <w:pPr/>
      <w:r>
        <w:rPr>
          <w:b/>
        </w:rPr>
        <w:t>Later source:</w:t>
      </w:r>
      <w:r>
        <w:t xml:space="preserve"> Chemical Profile and Bioactivity Evaluation of Salvia Species from Eastern Europe — https://doi.org/10.3390/antiox12081514</w:t>
      </w:r>
    </w:p>
    <w:p>
      <w:pPr/>
      <w:r>
        <w:rPr>
          <w:b/>
        </w:rPr>
        <w:t>Later source:</w:t>
      </w:r>
      <w:r>
        <w:t xml:space="preserve"> Towards an “Evaluation Dilemmas Model” – designing an evaluation scheme for a European capital of culture — https://doi.org/10.1108/aam-09-2021-0046</w:t>
      </w:r>
    </w:p>
    <w:p>
      <w:pPr>
        <w:pStyle w:val="SourceNote"/>
      </w:pPr>
      <w:r>
        <w:rPr>
          <w:b/>
        </w:rPr>
        <w:t>Review status:</w:t>
      </w:r>
      <w:r>
        <w:t xml:space="preserve"> unchecked — possible relationship only</w:t>
      </w:r>
    </w:p>
    <w:p>
      <w:pPr>
        <w:pStyle w:val="Heading2"/>
      </w:pPr>
      <w:r>
        <w:t>112. Claim + two later sources: Eliciting knowledge from stakeholders to identify critical issues of the transition to climate neutrality in Greece, the Nordic Region, and the European Union</w:t>
      </w:r>
    </w:p>
    <w:p>
      <w:pPr>
        <w:pStyle w:val="SourceNote"/>
      </w:pPr>
      <w:r>
        <w:rPr>
          <w:b/>
        </w:rPr>
        <w:t>Group ID:</w:t>
      </w:r>
      <w:r>
        <w:t xml:space="preserve"> group-ccf513cae442fb8eb599</w:t>
      </w:r>
    </w:p>
    <w:p>
      <w:pPr>
        <w:pStyle w:val="SourceNote"/>
      </w:pPr>
      <w:r>
        <w:rPr>
          <w:b/>
        </w:rPr>
        <w:t>Original source:</w:t>
      </w:r>
      <w:r>
        <w:t xml:space="preserve"> https://doi.org/10.1016/j.erss.2022.102836</w:t>
      </w:r>
    </w:p>
    <w:p>
      <w:pPr/>
      <w:r>
        <w:rPr>
          <w:b/>
        </w:rPr>
        <w:t>Original future claim:</w:t>
      </w:r>
      <w:r>
        <w:t xml:space="preserve"> They also reveal cross-cutting issues and challenges among the three case studies, which could lead to further improvement of the cross-country collaboration to foster the European energy transition. The European Union's commitment to climate neutrality by 2050 requires a better understanding of the energy transition in different contexts and scales to improve cooperation of involved actors.</w:t>
      </w:r>
    </w:p>
    <w:p>
      <w:pPr/>
      <w:r>
        <w:rPr>
          <w:b/>
        </w:rPr>
        <w:t>Later source:</w:t>
      </w:r>
      <w:r>
        <w:t xml:space="preserve"> Cultural Production Reveals Transitions to Sustained Human Development in both European and Non-European Societies — https://openalex.org/W7124669595</w:t>
      </w:r>
    </w:p>
    <w:p>
      <w:pPr/>
      <w:r>
        <w:rPr>
          <w:b/>
        </w:rPr>
        <w:t>Later source:</w:t>
      </w:r>
      <w:r>
        <w:t xml:space="preserve"> Unveiling the environmental impact of earthquakes in Europe — https://doi.org/10.1038/s41467-025-68120-6</w:t>
      </w:r>
    </w:p>
    <w:p>
      <w:pPr>
        <w:pStyle w:val="SourceNote"/>
      </w:pPr>
      <w:r>
        <w:rPr>
          <w:b/>
        </w:rPr>
        <w:t>Review status:</w:t>
      </w:r>
      <w:r>
        <w:t xml:space="preserve"> unchecked — possible relationship only</w:t>
      </w:r>
    </w:p>
    <w:p>
      <w:pPr>
        <w:pStyle w:val="Heading2"/>
      </w:pPr>
      <w:r>
        <w:t>113. Claim + two later sources: A Foresight Study of European East-West Agrifood Trade Options</w:t>
      </w:r>
    </w:p>
    <w:p>
      <w:pPr>
        <w:pStyle w:val="SourceNote"/>
      </w:pPr>
      <w:r>
        <w:rPr>
          <w:b/>
        </w:rPr>
        <w:t>Group ID:</w:t>
      </w:r>
      <w:r>
        <w:t xml:space="preserve"> group-5a2b4660295f04b44181</w:t>
      </w:r>
    </w:p>
    <w:p>
      <w:pPr>
        <w:pStyle w:val="SourceNote"/>
      </w:pPr>
      <w:r>
        <w:rPr>
          <w:b/>
        </w:rPr>
        <w:t>Original source:</w:t>
      </w:r>
      <w:r>
        <w:t xml:space="preserve"> https://doi.org/10.52825/gjae.v67i3.2099</w:t>
      </w:r>
    </w:p>
    <w:p>
      <w:pPr/>
      <w:r>
        <w:rPr>
          <w:b/>
        </w:rPr>
        <w:t>Original future claim:</w:t>
      </w:r>
      <w:r>
        <w:t xml:space="preserve"> Taking a trade perspective with a focus on agrifood markets, the current foresight study employs a computable general equilibrium simulation model to quantify the implications of different future pathways of European East-West trade relations for the Commonwealth of Independent States (CIS), thereby providing insight on how best to orientate their political and trade strategies. Comparing with a baseline, two optimistic pathways explore greater market access, both within Europe (‘Deep integration’) and globally (‘trade liberalisation’).</w:t>
      </w:r>
    </w:p>
    <w:p>
      <w:pPr/>
      <w:r>
        <w:rPr>
          <w:b/>
        </w:rPr>
        <w:t>Later source:</w:t>
      </w:r>
      <w:r>
        <w:t xml:space="preserve"> The European Union Green Deal and Global Trade: A Constructivist Perspective on Sustainability Norms — https://doi.org/10.22146/jwts.v10i1.18729</w:t>
      </w:r>
    </w:p>
    <w:p>
      <w:pPr/>
      <w:r>
        <w:rPr>
          <w:b/>
        </w:rPr>
        <w:t>Later source:</w:t>
      </w:r>
      <w:r>
        <w:t xml:space="preserve"> Bilateral Trade: A Regret Minimization Perspective — https://doi.org/10.1287/moor.2023.1351</w:t>
      </w:r>
    </w:p>
    <w:p>
      <w:pPr>
        <w:pStyle w:val="SourceNote"/>
      </w:pPr>
      <w:r>
        <w:rPr>
          <w:b/>
        </w:rPr>
        <w:t>Review status:</w:t>
      </w:r>
      <w:r>
        <w:t xml:space="preserve"> unchecked — possible relationship only</w:t>
      </w:r>
    </w:p>
    <w:p>
      <w:pPr>
        <w:pStyle w:val="Heading2"/>
      </w:pPr>
      <w:r>
        <w:t>114. Claim + two later sources: Alpine Tundra Contraction under Future Warming Scenarios in Europe</w:t>
      </w:r>
    </w:p>
    <w:p>
      <w:pPr>
        <w:pStyle w:val="SourceNote"/>
      </w:pPr>
      <w:r>
        <w:rPr>
          <w:b/>
        </w:rPr>
        <w:t>Group ID:</w:t>
      </w:r>
      <w:r>
        <w:t xml:space="preserve"> group-d39d94456de52cb4298a</w:t>
      </w:r>
    </w:p>
    <w:p>
      <w:pPr>
        <w:pStyle w:val="SourceNote"/>
      </w:pPr>
      <w:r>
        <w:rPr>
          <w:b/>
        </w:rPr>
        <w:t>Original source:</w:t>
      </w:r>
      <w:r>
        <w:t xml:space="preserve"> https://doi.org/10.3390/atmos11070698</w:t>
      </w:r>
    </w:p>
    <w:p>
      <w:pPr/>
      <w:r>
        <w:rPr>
          <w:b/>
        </w:rPr>
        <w:t>Original future claim:</w:t>
      </w:r>
      <w:r>
        <w:t xml:space="preserve"> We used 11 regional climate model simulations from EURO-CORDEX disaggregated at a one-kilometre grid size representing the RCP4.5 and RCP8.5 scenarios in the 1.5, 2 and 3 °C warming levels. In this case, the contraction in the Alps, Scandes and Pyrenees together is projected at between 44% and 48% of the present extent.</w:t>
      </w:r>
    </w:p>
    <w:p>
      <w:pPr/>
      <w:r>
        <w:rPr>
          <w:b/>
        </w:rPr>
        <w:t>Later source:</w:t>
      </w:r>
      <w:r>
        <w:t xml:space="preserve"> New ensemble of regional climate projections for Europe — https://doi.org/10.5281/zenodo.20340839</w:t>
      </w:r>
    </w:p>
    <w:p>
      <w:pPr/>
      <w:r>
        <w:rPr>
          <w:b/>
        </w:rPr>
        <w:t>Later source:</w:t>
      </w:r>
      <w:r>
        <w:t xml:space="preserve"> Evaluating Climate Regimes and Their Temporal Evolution in ERA5-Driven EURO-CORDEX CMIP6 Simulations — https://doi.org/10.5194/ems2026-512</w:t>
      </w:r>
    </w:p>
    <w:p>
      <w:pPr>
        <w:pStyle w:val="SourceNote"/>
      </w:pPr>
      <w:r>
        <w:rPr>
          <w:b/>
        </w:rPr>
        <w:t>Review status:</w:t>
      </w:r>
      <w:r>
        <w:t xml:space="preserve"> unchecked — possible relationship only</w:t>
      </w:r>
    </w:p>
    <w:p>
      <w:pPr>
        <w:pStyle w:val="Heading2"/>
      </w:pPr>
      <w:r>
        <w:t>115. Claim + two later sources: Ocean energy development in Europe: Current status and future perspectives</w:t>
      </w:r>
    </w:p>
    <w:p>
      <w:pPr>
        <w:pStyle w:val="SourceNote"/>
      </w:pPr>
      <w:r>
        <w:rPr>
          <w:b/>
        </w:rPr>
        <w:t>Group ID:</w:t>
      </w:r>
      <w:r>
        <w:t xml:space="preserve"> group-f6e39f6e88315190e031</w:t>
      </w:r>
    </w:p>
    <w:p>
      <w:pPr>
        <w:pStyle w:val="SourceNote"/>
      </w:pPr>
      <w:r>
        <w:rPr>
          <w:b/>
        </w:rPr>
        <w:t>Original source:</w:t>
      </w:r>
      <w:r>
        <w:t xml:space="preserve"> https://doi.org/10.1016/j.ijome.2015.05.001</w:t>
      </w:r>
    </w:p>
    <w:p>
      <w:pPr/>
      <w:r>
        <w:rPr>
          <w:b/>
        </w:rPr>
        <w:t>Original future claim:</w:t>
      </w:r>
      <w:r>
        <w:t xml:space="preserve"> In the EU, the aim is to reach 100 GW of combined wave and tidal capacity installed by 2050. Ocean energy has the potential to play a significant role in the future energy system, whilst contributing to the reduction of carbon emissions and stimulating economic growth in coastal and remote areas.</w:t>
      </w:r>
    </w:p>
    <w:p>
      <w:pPr/>
      <w:r>
        <w:rPr>
          <w:b/>
        </w:rPr>
        <w:t>Later source:</w:t>
      </w:r>
      <w:r>
        <w:t xml:space="preserve"> Merging modelled and reported flood impacts in Europe in a combined flood event catalogue for 1950–2020 — https://doi.org/10.5194/hess-28-3983-2024</w:t>
      </w:r>
    </w:p>
    <w:p>
      <w:pPr/>
      <w:r>
        <w:rPr>
          <w:b/>
        </w:rPr>
        <w:t>Later source:</w:t>
      </w:r>
      <w:r>
        <w:t xml:space="preserve"> Observations from structural testing of full-scale tidal turbine blades — https://doi.org/10.36688/ewtec-2023-277</w:t>
      </w:r>
    </w:p>
    <w:p>
      <w:pPr>
        <w:pStyle w:val="SourceNote"/>
      </w:pPr>
      <w:r>
        <w:rPr>
          <w:b/>
        </w:rPr>
        <w:t>Review status:</w:t>
      </w:r>
      <w:r>
        <w:t xml:space="preserve"> unchecked — possible relationship only</w:t>
      </w:r>
    </w:p>
    <w:p>
      <w:pPr>
        <w:pStyle w:val="Heading2"/>
      </w:pPr>
      <w:r>
        <w:t>116. Claim + two later sources: Connected and Automated Transport: Research and Innovation Capacity in Europe</w:t>
      </w:r>
    </w:p>
    <w:p>
      <w:pPr>
        <w:pStyle w:val="SourceNote"/>
      </w:pPr>
      <w:r>
        <w:rPr>
          <w:b/>
        </w:rPr>
        <w:t>Group ID:</w:t>
      </w:r>
      <w:r>
        <w:t xml:space="preserve"> group-e35bdc1e8db6e630415a</w:t>
      </w:r>
    </w:p>
    <w:p>
      <w:pPr>
        <w:pStyle w:val="SourceNote"/>
      </w:pPr>
      <w:r>
        <w:rPr>
          <w:b/>
        </w:rPr>
        <w:t>Original source:</w:t>
      </w:r>
      <w:r>
        <w:t xml:space="preserve"> https://doi.org/10.1016/j.trpro.2020.08.213</w:t>
      </w:r>
    </w:p>
    <w:p>
      <w:pPr/>
      <w:r>
        <w:rPr>
          <w:b/>
        </w:rPr>
        <w:t>Original future claim:</w:t>
      </w:r>
      <w:r>
        <w:t xml:space="preserve"> We argue that this approach can aid policy makers to support the future development of CAT technologies and help researchers to forge collaborations and identify research gaps.</w:t>
      </w:r>
    </w:p>
    <w:p>
      <w:pPr/>
      <w:r>
        <w:rPr>
          <w:b/>
        </w:rPr>
        <w:t>Later source:</w:t>
      </w:r>
      <w:r>
        <w:t xml:space="preserve"> The Limits of European State Aid Law — https://doi.org/10.4324/9781003736141</w:t>
      </w:r>
    </w:p>
    <w:p>
      <w:pPr/>
      <w:r>
        <w:rPr>
          <w:b/>
        </w:rPr>
        <w:t>Later source:</w:t>
      </w:r>
      <w:r>
        <w:t xml:space="preserve"> The financialisation of European Union development aid to Africa : promises, practices, and colonial continuities — https://openalex.org/W7111914425</w:t>
      </w:r>
    </w:p>
    <w:p>
      <w:pPr>
        <w:pStyle w:val="SourceNote"/>
      </w:pPr>
      <w:r>
        <w:rPr>
          <w:b/>
        </w:rPr>
        <w:t>Review status:</w:t>
      </w:r>
      <w:r>
        <w:t xml:space="preserve"> unchecked — possible relationship only</w:t>
      </w:r>
    </w:p>
    <w:p>
      <w:pPr>
        <w:pStyle w:val="Heading2"/>
      </w:pPr>
      <w:r>
        <w:t>117. Claim + two later sources: Implications of sustainability constraints on UK bioenergy development: Assessing optimistic and precautionary approaches with UK MARKAL</w:t>
      </w:r>
    </w:p>
    <w:p>
      <w:pPr>
        <w:pStyle w:val="SourceNote"/>
      </w:pPr>
      <w:r>
        <w:rPr>
          <w:b/>
        </w:rPr>
        <w:t>Group ID:</w:t>
      </w:r>
      <w:r>
        <w:t xml:space="preserve"> group-16134ecc92eff33d6705</w:t>
      </w:r>
    </w:p>
    <w:p>
      <w:pPr>
        <w:pStyle w:val="SourceNote"/>
      </w:pPr>
      <w:r>
        <w:rPr>
          <w:b/>
        </w:rPr>
        <w:t>Original source:</w:t>
      </w:r>
      <w:r>
        <w:t xml:space="preserve"> https://doi.org/10.1016/j.enpol.2012.05.015</w:t>
      </w:r>
    </w:p>
    <w:p>
      <w:pPr/>
      <w:r>
        <w:rPr>
          <w:b/>
        </w:rPr>
        <w:t>Original future claim:</w:t>
      </w:r>
      <w:r>
        <w:t xml:space="preserve"> The paper then examines the implications of these scenarios using the energy systems model MARKAL, finding that a precautionary approach adds to the cost of decarbonisation, but does not significantly alter the optimal technology mix.</w:t>
      </w:r>
    </w:p>
    <w:p>
      <w:pPr/>
      <w:r>
        <w:rPr>
          <w:b/>
        </w:rPr>
        <w:t>Later source:</w:t>
      </w:r>
      <w:r>
        <w:t xml:space="preserve"> CRANIAL STRUCTURE OF †CHONDROSTEUS ACIPENSEROIDES RE-EXAMINED: IMPLICATIONS FOR UPPER JAW HOMOLOGIES IN ACIPENSERIFORM FISHES — https://doi.org/10.7302/28802</w:t>
      </w:r>
    </w:p>
    <w:p>
      <w:pPr/>
      <w:r>
        <w:rPr>
          <w:b/>
        </w:rPr>
        <w:t>Later source:</w:t>
      </w:r>
      <w:r>
        <w:t xml:space="preserve"> Tourism Dynamics at Meenakshi Amman Temple: Examining Implications for Micro-Enterprise Economic Performance — https://doi.org/10.34293/management.v13is1-i2-feb.10387</w:t>
      </w:r>
    </w:p>
    <w:p>
      <w:pPr>
        <w:pStyle w:val="SourceNote"/>
      </w:pPr>
      <w:r>
        <w:rPr>
          <w:b/>
        </w:rPr>
        <w:t>Review status:</w:t>
      </w:r>
      <w:r>
        <w:t xml:space="preserve"> unchecked — possible relationship only</w:t>
      </w:r>
    </w:p>
    <w:p>
      <w:pPr>
        <w:pStyle w:val="Heading2"/>
      </w:pPr>
      <w:r>
        <w:t>118. Claim + two later sources: Testing Scenarios to Achieve Workplace Sustainability Goals Using Backcasting and Agent-Based Modeling</w:t>
      </w:r>
    </w:p>
    <w:p>
      <w:pPr>
        <w:pStyle w:val="SourceNote"/>
      </w:pPr>
      <w:r>
        <w:rPr>
          <w:b/>
        </w:rPr>
        <w:t>Group ID:</w:t>
      </w:r>
      <w:r>
        <w:t xml:space="preserve"> group-5fc63cadd80622b63d25</w:t>
      </w:r>
    </w:p>
    <w:p>
      <w:pPr>
        <w:pStyle w:val="SourceNote"/>
      </w:pPr>
      <w:r>
        <w:rPr>
          <w:b/>
        </w:rPr>
        <w:t>Original source:</w:t>
      </w:r>
      <w:r>
        <w:t xml:space="preserve"> https://doi.org/10.1177/0013916516673869</w:t>
      </w:r>
    </w:p>
    <w:p>
      <w:pPr/>
      <w:r>
        <w:rPr>
          <w:b/>
        </w:rPr>
        <w:t>Original future claim:</w:t>
      </w:r>
      <w:r>
        <w:t xml:space="preserve"> Future scenarios were developed using a participatory backcasting scenario development methodology, and policy tracks were derived.</w:t>
      </w:r>
    </w:p>
    <w:p>
      <w:pPr/>
      <w:r>
        <w:rPr>
          <w:b/>
        </w:rPr>
        <w:t>Later source:</w:t>
      </w:r>
      <w:r>
        <w:t xml:space="preserve"> Backcasting Future Human Autonomy and Ethics Protection in Smart Health Environments: A Case Study — https://doi.org/10.1109/ethics65148.2025.11098357</w:t>
      </w:r>
    </w:p>
    <w:p>
      <w:pPr/>
      <w:r>
        <w:rPr>
          <w:b/>
        </w:rPr>
        <w:t>Later source:</w:t>
      </w:r>
      <w:r>
        <w:t xml:space="preserve"> Exploring Backcasting as a Tool to Co-create a Vision for a Circular Economy: A Case Study of the Polyurethane Foam Industry — https://doi.org/10.55845/uzxq5070</w:t>
      </w:r>
    </w:p>
    <w:p>
      <w:pPr>
        <w:pStyle w:val="SourceNote"/>
      </w:pPr>
      <w:r>
        <w:rPr>
          <w:b/>
        </w:rPr>
        <w:t>Review status:</w:t>
      </w:r>
      <w:r>
        <w:t xml:space="preserve"> unchecked — possible relationship only</w:t>
      </w:r>
    </w:p>
    <w:p>
      <w:pPr>
        <w:pStyle w:val="Heading2"/>
      </w:pPr>
      <w:r>
        <w:t>119. Claim + two later sources: Changing knowledge, changing technology: implications for teacher education futures</w:t>
      </w:r>
    </w:p>
    <w:p>
      <w:pPr>
        <w:pStyle w:val="SourceNote"/>
      </w:pPr>
      <w:r>
        <w:rPr>
          <w:b/>
        </w:rPr>
        <w:t>Group ID:</w:t>
      </w:r>
      <w:r>
        <w:t xml:space="preserve"> group-67cb365fc9f3128c5fd5</w:t>
      </w:r>
    </w:p>
    <w:p>
      <w:pPr>
        <w:pStyle w:val="SourceNote"/>
      </w:pPr>
      <w:r>
        <w:rPr>
          <w:b/>
        </w:rPr>
        <w:t>Original source:</w:t>
      </w:r>
      <w:r>
        <w:t xml:space="preserve"> https://doi.org/10.1080/02607476.2015.1125432</w:t>
      </w:r>
    </w:p>
    <w:p>
      <w:pPr/>
      <w:r>
        <w:rPr>
          <w:b/>
        </w:rPr>
        <w:t>Original future claim:</w:t>
      </w:r>
      <w:r>
        <w:t xml:space="preserve"> Data from these interviews were analysed to stimulate the construction of four future teacher education scenarios.</w:t>
      </w:r>
    </w:p>
    <w:p>
      <w:pPr/>
      <w:r>
        <w:rPr>
          <w:b/>
        </w:rPr>
        <w:t>Later source:</w:t>
      </w:r>
      <w:r>
        <w:t xml:space="preserve"> Digital Story 2. Visual timeline creation as a reflexive practice - an experiential approach to designing interview guides and analysing multimedia data — https://doi.org/10.6084/m9.figshare.31353376</w:t>
      </w:r>
    </w:p>
    <w:p>
      <w:pPr/>
      <w:r>
        <w:rPr>
          <w:b/>
        </w:rPr>
        <w:t>Later source:</w:t>
      </w:r>
      <w:r>
        <w:t xml:space="preserve"> Towards a harmonised data framework for design for disassembly in construction — https://doi.org/10.5281/zenodo.22679835</w:t>
      </w:r>
    </w:p>
    <w:p>
      <w:pPr>
        <w:pStyle w:val="SourceNote"/>
      </w:pPr>
      <w:r>
        <w:rPr>
          <w:b/>
        </w:rPr>
        <w:t>Review status:</w:t>
      </w:r>
      <w:r>
        <w:t xml:space="preserve"> unchecked — possible relationship only</w:t>
      </w:r>
    </w:p>
    <w:p>
      <w:pPr>
        <w:pStyle w:val="Heading2"/>
      </w:pPr>
      <w:r>
        <w:t>120. Claim + two later sources: Technopolis, shared resources or controlled mobility? A net-based Delphi-study to explore visions of future urban daily mobility in Norway</w:t>
      </w:r>
    </w:p>
    <w:p>
      <w:pPr>
        <w:pStyle w:val="SourceNote"/>
      </w:pPr>
      <w:r>
        <w:rPr>
          <w:b/>
        </w:rPr>
        <w:t>Group ID:</w:t>
      </w:r>
      <w:r>
        <w:t xml:space="preserve"> group-330e7305fafc3834ab71</w:t>
      </w:r>
    </w:p>
    <w:p>
      <w:pPr>
        <w:pStyle w:val="SourceNote"/>
      </w:pPr>
      <w:r>
        <w:rPr>
          <w:b/>
        </w:rPr>
        <w:t>Original source:</w:t>
      </w:r>
      <w:r>
        <w:t xml:space="preserve"> https://doi.org/10.1007/s40309-015-0069-6</w:t>
      </w:r>
    </w:p>
    <w:p>
      <w:pPr/>
      <w:r>
        <w:rPr>
          <w:b/>
        </w:rPr>
        <w:t>Original future claim:</w:t>
      </w:r>
      <w:r>
        <w:t xml:space="preserve"> An explorative factor analysis (principal component analysis) is applied to reveal three slightly different understandings of how the urban future may look like in 2050. Although there are general agreements on the need for change, different ideas and visions for the future dominate across different groups of stakeholders and academics.</w:t>
      </w:r>
    </w:p>
    <w:p>
      <w:pPr/>
      <w:r>
        <w:rPr>
          <w:b/>
        </w:rPr>
        <w:t>Later source:</w:t>
      </w:r>
      <w:r>
        <w:t xml:space="preserve"> Exploring asylum patterns in Europe: a focus on Italy — https://doi.org/10.71014/sieds.v80i1.522</w:t>
      </w:r>
    </w:p>
    <w:p>
      <w:pPr/>
      <w:r>
        <w:rPr>
          <w:b/>
        </w:rPr>
        <w:t>Later source:</w:t>
      </w:r>
      <w:r>
        <w:t xml:space="preserve"> Principal Component Analysis of Economic Factors Affecting Food Consumption and Labor Market Performance in the European Union — https://doi.org/10.35219/eai15840409587</w:t>
      </w:r>
    </w:p>
    <w:p>
      <w:pPr>
        <w:pStyle w:val="SourceNote"/>
      </w:pPr>
      <w:r>
        <w:rPr>
          <w:b/>
        </w:rPr>
        <w:t>Review status:</w:t>
      </w:r>
      <w:r>
        <w:t xml:space="preserve"> unchecked — possible relationship only</w:t>
      </w:r>
    </w:p>
    <w:p>
      <w:pPr>
        <w:pStyle w:val="Heading2"/>
      </w:pPr>
      <w:r>
        <w:t>121. Claim + two later sources: Hydrogen in the Strategies of the European Union Member States</w:t>
      </w:r>
    </w:p>
    <w:p>
      <w:pPr>
        <w:pStyle w:val="SourceNote"/>
      </w:pPr>
      <w:r>
        <w:rPr>
          <w:b/>
        </w:rPr>
        <w:t>Group ID:</w:t>
      </w:r>
      <w:r>
        <w:t xml:space="preserve"> group-d20cd1f09ddfb6f14cac</w:t>
      </w:r>
    </w:p>
    <w:p>
      <w:pPr>
        <w:pStyle w:val="SourceNote"/>
      </w:pPr>
      <w:r>
        <w:rPr>
          <w:b/>
        </w:rPr>
        <w:t>Original source:</w:t>
      </w:r>
      <w:r>
        <w:t xml:space="preserve"> https://doi.org/10.24425/gsm.2021.138660</w:t>
      </w:r>
    </w:p>
    <w:p>
      <w:pPr/>
      <w:r>
        <w:rPr>
          <w:b/>
        </w:rPr>
        <w:t>Original future claim:</w:t>
      </w:r>
      <w:r>
        <w:t xml:space="preserve"> By 2030, some of the countries plan to become a leader not only in the field of hydrogen production or RES development aimed at this process but also in the areas of research and development (R&amp;D), sales of new technologies, and international cooperation. The analysis of the future of hydrogen energy, which is an essential component of transforming the economy into an environmentally neutral one, is an integral part of the strategies of the European Union (EU) Member States.</w:t>
      </w:r>
    </w:p>
    <w:p>
      <w:pPr/>
      <w:r>
        <w:rPr>
          <w:b/>
        </w:rPr>
        <w:t>Later source:</w:t>
      </w:r>
      <w:r>
        <w:t xml:space="preserve"> A critical analysis of national dementia plans: comparison of preventive strategies in five European countries. — https://doi.org/10.7416/ai.2025.2702</w:t>
      </w:r>
    </w:p>
    <w:p>
      <w:pPr/>
      <w:r>
        <w:rPr>
          <w:b/>
        </w:rPr>
        <w:t>Later source:</w:t>
      </w:r>
      <w:r>
        <w:t xml:space="preserve"> VAT IN POLAND AND SELECTED EUROPEAN UNION COUNTRIES — https://doi.org/10.29119/1641-3466.2025.220.10</w:t>
      </w:r>
    </w:p>
    <w:p>
      <w:pPr>
        <w:pStyle w:val="SourceNote"/>
      </w:pPr>
      <w:r>
        <w:rPr>
          <w:b/>
        </w:rPr>
        <w:t>Review status:</w:t>
      </w:r>
      <w:r>
        <w:t xml:space="preserve"> unchecked — possible relationship only</w:t>
      </w:r>
    </w:p>
    <w:p>
      <w:pPr>
        <w:pStyle w:val="Heading2"/>
      </w:pPr>
      <w:r>
        <w:t>122. Claim + two later sources: Demographic projections of future pharmaceutical consumption in the Netherlands</w:t>
      </w:r>
    </w:p>
    <w:p>
      <w:pPr>
        <w:pStyle w:val="SourceNote"/>
      </w:pPr>
      <w:r>
        <w:rPr>
          <w:b/>
        </w:rPr>
        <w:t>Group ID:</w:t>
      </w:r>
      <w:r>
        <w:t xml:space="preserve"> group-8aa6fdca7a1b10a3025e</w:t>
      </w:r>
    </w:p>
    <w:p>
      <w:pPr>
        <w:pStyle w:val="SourceNote"/>
      </w:pPr>
      <w:r>
        <w:rPr>
          <w:b/>
        </w:rPr>
        <w:t>Original source:</w:t>
      </w:r>
      <w:r>
        <w:t xml:space="preserve"> https://doi.org/10.2166/wst.2011.120</w:t>
      </w:r>
    </w:p>
    <w:p>
      <w:pPr/>
      <w:r>
        <w:rPr>
          <w:b/>
        </w:rPr>
        <w:t>Original future claim:</w:t>
      </w:r>
      <w:r>
        <w:t xml:space="preserve"> Over the next few decades, many Western European countries will undergo a large demographic transformation introduced by the retirement of the “baby boomers” and the possibility of striking increases in longevity.</w:t>
      </w:r>
    </w:p>
    <w:p>
      <w:pPr/>
      <w:r>
        <w:rPr>
          <w:b/>
        </w:rPr>
        <w:t>Later source:</w:t>
      </w:r>
      <w:r>
        <w:t xml:space="preserve"> Modelling Eurasian lynx populations in Western Europe: What prospects for the next 50 years? — https://doi.org/10.24072/pcjournal.543</w:t>
      </w:r>
    </w:p>
    <w:p>
      <w:pPr/>
      <w:r>
        <w:rPr>
          <w:b/>
        </w:rPr>
        <w:t>Later source:</w:t>
      </w:r>
      <w:r>
        <w:t xml:space="preserve"> The Struggle over Law in Europe — https://doi.org/10.4324/9781003302094</w:t>
      </w:r>
    </w:p>
    <w:p>
      <w:pPr>
        <w:pStyle w:val="SourceNote"/>
      </w:pPr>
      <w:r>
        <w:rPr>
          <w:b/>
        </w:rPr>
        <w:t>Review status:</w:t>
      </w:r>
      <w:r>
        <w:t xml:space="preserve"> unchecked — possible relationship only</w:t>
      </w:r>
    </w:p>
    <w:p>
      <w:pPr>
        <w:pStyle w:val="Heading2"/>
      </w:pPr>
      <w:r>
        <w:t>123. Claim + two later sources: Assessing the Future of Renewable Energy Consumption for United Kingdom, Turkey and Nigeria</w:t>
      </w:r>
    </w:p>
    <w:p>
      <w:pPr>
        <w:pStyle w:val="SourceNote"/>
      </w:pPr>
      <w:r>
        <w:rPr>
          <w:b/>
        </w:rPr>
        <w:t>Group ID:</w:t>
      </w:r>
      <w:r>
        <w:t xml:space="preserve"> group-272981572fed563e3933</w:t>
      </w:r>
    </w:p>
    <w:p>
      <w:pPr>
        <w:pStyle w:val="SourceNote"/>
      </w:pPr>
      <w:r>
        <w:rPr>
          <w:b/>
        </w:rPr>
        <w:t>Original source:</w:t>
      </w:r>
      <w:r>
        <w:t xml:space="preserve"> https://doi.org/10.17323/2500-2597.2018.4.62.77</w:t>
      </w:r>
    </w:p>
    <w:p>
      <w:pPr/>
      <w:r>
        <w:rPr>
          <w:b/>
        </w:rPr>
        <w:t>Original future claim:</w:t>
      </w:r>
      <w:r>
        <w:t xml:space="preserve"> Then, a prediction model is developed for the year 2030. These findings support the advantages of government policies encouraging the use of RE by implementing RE markets and RE portfolio standards to not only enhance the security and environmental concerns, but also from a macroeconomic point of view (stable economic growth).</w:t>
      </w:r>
    </w:p>
    <w:p>
      <w:pPr/>
      <w:r>
        <w:rPr>
          <w:b/>
        </w:rPr>
        <w:t>Later source:</w:t>
      </w:r>
      <w:r>
        <w:t xml:space="preserve"> Explainable AI-Based Clinical Decision Support System for Early Prediction of Pathological Findings in Forensic Practice — https://doi.org/10.48175/ijarsct-37846</w:t>
      </w:r>
    </w:p>
    <w:p>
      <w:pPr/>
      <w:r>
        <w:rPr>
          <w:b/>
        </w:rPr>
        <w:t>Later source:</w:t>
      </w:r>
      <w:r>
        <w:t xml:space="preserve"> Support Vector Machines in Stock Price Prediction — https://doi.org/10.1002/9781394311682.ch22</w:t>
      </w:r>
    </w:p>
    <w:p>
      <w:pPr>
        <w:pStyle w:val="SourceNote"/>
      </w:pPr>
      <w:r>
        <w:rPr>
          <w:b/>
        </w:rPr>
        <w:t>Review status:</w:t>
      </w:r>
      <w:r>
        <w:t xml:space="preserve"> unchecked — possible relationship only</w:t>
      </w:r>
    </w:p>
    <w:p>
      <w:pPr>
        <w:pStyle w:val="Heading2"/>
      </w:pPr>
      <w:r>
        <w:t>124. Claim + two later sources: Projections of Future Precipitation Extremes Over Europe: A Multimodel Assessment of Climate Simulations</w:t>
      </w:r>
    </w:p>
    <w:p>
      <w:pPr>
        <w:pStyle w:val="SourceNote"/>
      </w:pPr>
      <w:r>
        <w:rPr>
          <w:b/>
        </w:rPr>
        <w:t>Group ID:</w:t>
      </w:r>
      <w:r>
        <w:t xml:space="preserve"> group-f0e64c89c78b20dc2dee</w:t>
      </w:r>
    </w:p>
    <w:p>
      <w:pPr>
        <w:pStyle w:val="SourceNote"/>
      </w:pPr>
      <w:r>
        <w:rPr>
          <w:b/>
        </w:rPr>
        <w:t>Original source:</w:t>
      </w:r>
      <w:r>
        <w:t xml:space="preserve"> https://doi.org/10.1002/2017jd027176</w:t>
      </w:r>
    </w:p>
    <w:p>
      <w:pPr/>
      <w:r>
        <w:rPr>
          <w:b/>
        </w:rPr>
        <w:t>Original future claim:</w:t>
      </w:r>
      <w:r>
        <w:t xml:space="preserve"> Projections of precipitation and its extremes over the European continent are analyzed in an extensive multimodel ensemble of 12 and 50 km resolution EURO‐CORDEX Regional Climate Models (RCMs) forced by RCP2.6, RCP4.5, and RCP8.5 (Representative Concentration Pathway) aerosol and greenhouse gas emission scenarios. The projected changes of the European hydrological cycle may have substantial impact on environmental and anthropogenic systems.</w:t>
      </w:r>
    </w:p>
    <w:p>
      <w:pPr/>
      <w:r>
        <w:rPr>
          <w:b/>
        </w:rPr>
        <w:t>Later source:</w:t>
      </w:r>
      <w:r>
        <w:t xml:space="preserve"> Persisting Modulation of Interdecadal Pacific Oscillation on Near‐Future Winter Precipitation Projections in Northern Europe — https://doi.org/10.1029/2025gl119484</w:t>
      </w:r>
    </w:p>
    <w:p>
      <w:pPr/>
      <w:r>
        <w:rPr>
          <w:b/>
        </w:rPr>
        <w:t>Later source:</w:t>
      </w:r>
      <w:r>
        <w:t xml:space="preserve"> European summer precipitation — https://doi.org/10.5194/acp-26-2041-2026</w:t>
      </w:r>
    </w:p>
    <w:p>
      <w:pPr>
        <w:pStyle w:val="SourceNote"/>
      </w:pPr>
      <w:r>
        <w:rPr>
          <w:b/>
        </w:rPr>
        <w:t>Review status:</w:t>
      </w:r>
      <w:r>
        <w:t xml:space="preserve"> unchecked — possible relationship only</w:t>
      </w:r>
    </w:p>
    <w:p>
      <w:pPr>
        <w:pStyle w:val="Heading2"/>
      </w:pPr>
      <w:r>
        <w:t>125. Claim + two later sources: A strategic energy technology policy towards 2050: no-regret strategies for European technology push</w:t>
      </w:r>
    </w:p>
    <w:p>
      <w:pPr>
        <w:pStyle w:val="SourceNote"/>
      </w:pPr>
      <w:r>
        <w:rPr>
          <w:b/>
        </w:rPr>
        <w:t>Group ID:</w:t>
      </w:r>
      <w:r>
        <w:t xml:space="preserve"> group-d35de62f3a2f239c0680</w:t>
      </w:r>
    </w:p>
    <w:p>
      <w:pPr>
        <w:pStyle w:val="SourceNote"/>
      </w:pPr>
      <w:r>
        <w:rPr>
          <w:b/>
        </w:rPr>
        <w:t>Original source:</w:t>
      </w:r>
      <w:r>
        <w:t xml:space="preserve"> https://doi.org/10.1504/ijetp.2013.058143</w:t>
      </w:r>
    </w:p>
    <w:p>
      <w:pPr/>
      <w:r>
        <w:rPr>
          <w:b/>
        </w:rPr>
        <w:t>Original future claim:</w:t>
      </w:r>
      <w:r>
        <w:t xml:space="preserve"> We discuss how European energy technology policy towards 2050 can be effective despite: 1) uncertain carbon prices; 2) uncertain technological change; and 3) uncertain or alternating policy paradigms shifting the focus from decarbonisation towards competitiveness or energy supply security.</w:t>
      </w:r>
    </w:p>
    <w:p>
      <w:pPr/>
      <w:r>
        <w:rPr>
          <w:b/>
        </w:rPr>
        <w:t>Later source:</w:t>
      </w:r>
      <w:r>
        <w:t xml:space="preserve"> Renewable energy transition in Europe in the context of renewable energy transition processes in the world. A review — https://doi.org/10.1016/j.heliyon.2024.e40997</w:t>
      </w:r>
    </w:p>
    <w:p>
      <w:pPr/>
      <w:r>
        <w:rPr>
          <w:b/>
        </w:rPr>
        <w:t>Later source:</w:t>
      </w:r>
      <w:r>
        <w:t xml:space="preserve"> Power-to-hydrogen and hydrogen-to-X energy systems for the industry of the future in Europe — https://doi.org/10.1016/j.ijhydene.2023.01.194</w:t>
      </w:r>
    </w:p>
    <w:p>
      <w:pPr>
        <w:pStyle w:val="SourceNote"/>
      </w:pPr>
      <w:r>
        <w:rPr>
          <w:b/>
        </w:rPr>
        <w:t>Review status:</w:t>
      </w:r>
      <w:r>
        <w:t xml:space="preserve"> unchecked — possible relationship only</w:t>
      </w:r>
    </w:p>
    <w:p>
      <w:pPr>
        <w:pStyle w:val="Heading2"/>
      </w:pPr>
      <w:r>
        <w:t>126. Claim + two later sources: A Technological Scenario for a Healthier, More Equitable and Sustainable Europe in 2040: Citizen Perceptions and Policy Implications</w:t>
      </w:r>
    </w:p>
    <w:p>
      <w:pPr>
        <w:pStyle w:val="SourceNote"/>
      </w:pPr>
      <w:r>
        <w:rPr>
          <w:b/>
        </w:rPr>
        <w:t>Group ID:</w:t>
      </w:r>
      <w:r>
        <w:t xml:space="preserve"> group-1de6efdd43377bea50cc</w:t>
      </w:r>
    </w:p>
    <w:p>
      <w:pPr>
        <w:pStyle w:val="SourceNote"/>
      </w:pPr>
      <w:r>
        <w:rPr>
          <w:b/>
        </w:rPr>
        <w:t>Original source:</w:t>
      </w:r>
      <w:r>
        <w:t xml:space="preserve"> https://doi.org/10.3390/ijerph17010231</w:t>
      </w:r>
    </w:p>
    <w:p>
      <w:pPr/>
      <w:r>
        <w:rPr>
          <w:b/>
        </w:rPr>
        <w:t>Original future claim:</w:t>
      </w:r>
      <w:r>
        <w:t xml:space="preserve"> This article aims at exploring, understanding and comparing European citizens' insights and perceptions towards "My life between realities", a positive future scenario which depicts a narrative of reaching healthier, more equitable and sustainable societies by 2040 with the support of technology and technological solutions.</w:t>
      </w:r>
    </w:p>
    <w:p>
      <w:pPr/>
      <w:r>
        <w:rPr>
          <w:b/>
        </w:rPr>
        <w:t>Later source:</w:t>
      </w:r>
      <w:r>
        <w:t xml:space="preserve"> The communication of science within the framework of European Union-funded research projects: Exploring practitioners’ experiences and perceptions — https://doi.org/10.1177/09636625261433895</w:t>
      </w:r>
    </w:p>
    <w:p>
      <w:pPr/>
      <w:r>
        <w:rPr>
          <w:b/>
        </w:rPr>
        <w:t>Later source:</w:t>
      </w:r>
      <w:r>
        <w:t xml:space="preserve"> STRATEGIC AIMS OF UNIVERSITY-BASED MANAGERIAL EDUCATION IN EUROPEAN AND ASIAN COUNTRIES — https://doi.org/10.52058/3041-1572-2026-3(23)-909-923</w:t>
      </w:r>
    </w:p>
    <w:p>
      <w:pPr>
        <w:pStyle w:val="SourceNote"/>
      </w:pPr>
      <w:r>
        <w:rPr>
          <w:b/>
        </w:rPr>
        <w:t>Review status:</w:t>
      </w:r>
      <w:r>
        <w:t xml:space="preserve"> unchecked — possible relationship only</w:t>
      </w:r>
    </w:p>
    <w:p>
      <w:pPr>
        <w:pStyle w:val="Heading2"/>
      </w:pPr>
      <w:r>
        <w:t>127. Claim + two later sources: Current and Future Issues in BPM Research: A European Perspective from the ERCIS Meeting 2010</w:t>
      </w:r>
    </w:p>
    <w:p>
      <w:pPr>
        <w:pStyle w:val="SourceNote"/>
      </w:pPr>
      <w:r>
        <w:rPr>
          <w:b/>
        </w:rPr>
        <w:t>Group ID:</w:t>
      </w:r>
      <w:r>
        <w:t xml:space="preserve"> group-177c804d87606c585b96</w:t>
      </w:r>
    </w:p>
    <w:p>
      <w:pPr>
        <w:pStyle w:val="SourceNote"/>
      </w:pPr>
      <w:r>
        <w:rPr>
          <w:b/>
        </w:rPr>
        <w:t>Original source:</w:t>
      </w:r>
      <w:r>
        <w:t xml:space="preserve"> https://doi.org/10.17705/1cais.02825</w:t>
      </w:r>
    </w:p>
    <w:p>
      <w:pPr/>
      <w:r>
        <w:rPr>
          <w:b/>
        </w:rPr>
        <w:t>Original future claim:</w:t>
      </w:r>
      <w:r>
        <w:t xml:space="preserve"> This article reflects on a workshop on current and future issues in BPM research that was conducted by seventeen IS researchers from eight European countries as part of the 2010 annual meeting of the European Research Center for Information Systems (ERCIS). The results of this workshop suggest that BPM research can meaningfully contribute to investigating a broad variety of phenomena that are of interest to IS scholars, ranging from rather technical (e.g., the implementation of software architectures) to managerial (e.g., the impact of organizational culture on process performance).</w:t>
      </w:r>
    </w:p>
    <w:p>
      <w:pPr/>
      <w:r>
        <w:rPr>
          <w:b/>
        </w:rPr>
        <w:t>Later source:</w:t>
      </w:r>
      <w:r>
        <w:t xml:space="preserve"> Digital integration for sustainable competitiveness: the role of BPM, process mining and ERP in accounting automation — https://doi.org/10.52326/csd2025.38</w:t>
      </w:r>
    </w:p>
    <w:p>
      <w:pPr/>
      <w:r>
        <w:rPr>
          <w:b/>
        </w:rPr>
        <w:t>Later source:</w:t>
      </w:r>
      <w:r>
        <w:t xml:space="preserve"> AI implementation and organizational ambidexterity in the context of BPM: Polish service sector experience — https://doi.org/10.33119/jmfs.2024.52.4</w:t>
      </w:r>
    </w:p>
    <w:p>
      <w:pPr>
        <w:pStyle w:val="SourceNote"/>
      </w:pPr>
      <w:r>
        <w:rPr>
          <w:b/>
        </w:rPr>
        <w:t>Review status:</w:t>
      </w:r>
      <w:r>
        <w:t xml:space="preserve"> unchecked — possible relationship only</w:t>
      </w:r>
    </w:p>
    <w:p>
      <w:pPr>
        <w:pStyle w:val="Heading2"/>
      </w:pPr>
      <w:r>
        <w:t>128. Claim + two later sources: Comparison of Water Flows in Four European Lagoon Catchments under a Set of Future Climate Scenarios</w:t>
      </w:r>
    </w:p>
    <w:p>
      <w:pPr>
        <w:pStyle w:val="SourceNote"/>
      </w:pPr>
      <w:r>
        <w:rPr>
          <w:b/>
        </w:rPr>
        <w:t>Group ID:</w:t>
      </w:r>
      <w:r>
        <w:t xml:space="preserve"> group-8c87bd467498b3a2bb28</w:t>
      </w:r>
    </w:p>
    <w:p>
      <w:pPr>
        <w:pStyle w:val="SourceNote"/>
      </w:pPr>
      <w:r>
        <w:rPr>
          <w:b/>
        </w:rPr>
        <w:t>Original source:</w:t>
      </w:r>
      <w:r>
        <w:t xml:space="preserve"> https://doi.org/10.3390/w7020716</w:t>
      </w:r>
    </w:p>
    <w:p>
      <w:pPr/>
      <w:r>
        <w:rPr>
          <w:b/>
        </w:rPr>
        <w:t>Original future claim:</w:t>
      </w:r>
      <w:r>
        <w:t xml:space="preserve"> Probable impacts of projected climate changes on catchment hydrology and freshwater input were assessed using the eco-hydrological model SWIM (Soil and Water Integrated Model) for the drainage areas of four European lagoons: Ria de Aveiro (Portugal), Mar Menor (Spain), Tyligulskyi Liman (Ukraine) and Vistula Lagoon (Poland/Russia) under a set of 15 climate scenarios covering the time period until the year 2100. Precipitation is projected to decrease in two catchments on the Iberian Peninsula and increase in the Baltic region catchment, and does not show a clear trend in the catchment located near the Black Sea.</w:t>
      </w:r>
    </w:p>
    <w:p>
      <w:pPr/>
      <w:r>
        <w:rPr>
          <w:b/>
        </w:rPr>
        <w:t>Later source:</w:t>
      </w:r>
      <w:r>
        <w:t xml:space="preserve"> Energy storage and climate impacts on the future renewable European energy system — https://openalex.org/W4412222428</w:t>
      </w:r>
    </w:p>
    <w:p>
      <w:pPr/>
      <w:r>
        <w:rPr>
          <w:b/>
        </w:rPr>
        <w:t>Later source:</w:t>
      </w:r>
      <w:r>
        <w:t xml:space="preserve"> The impact of extensive agricultural water drainage on the hydrology of the Kleine Nete watershed, Belgium — https://doi.org/10.1016/j.scitotenv.2023.163903</w:t>
      </w:r>
    </w:p>
    <w:p>
      <w:pPr>
        <w:pStyle w:val="SourceNote"/>
      </w:pPr>
      <w:r>
        <w:rPr>
          <w:b/>
        </w:rPr>
        <w:t>Review status:</w:t>
      </w:r>
      <w:r>
        <w:t xml:space="preserve"> unchecked — possible relationship only</w:t>
      </w:r>
    </w:p>
    <w:p>
      <w:pPr>
        <w:pStyle w:val="Heading2"/>
      </w:pPr>
      <w:r>
        <w:t>129. Claim + two later sources: The European pulp and paper industry in transition to a bio-economy: A Delphi study</w:t>
      </w:r>
    </w:p>
    <w:p>
      <w:pPr>
        <w:pStyle w:val="SourceNote"/>
      </w:pPr>
      <w:r>
        <w:rPr>
          <w:b/>
        </w:rPr>
        <w:t>Group ID:</w:t>
      </w:r>
      <w:r>
        <w:t xml:space="preserve"> group-0084f7ae81d85e8f8e14</w:t>
      </w:r>
    </w:p>
    <w:p>
      <w:pPr>
        <w:pStyle w:val="SourceNote"/>
      </w:pPr>
      <w:r>
        <w:rPr>
          <w:b/>
        </w:rPr>
        <w:t>Original source:</w:t>
      </w:r>
      <w:r>
        <w:t xml:space="preserve"> https://doi.org/10.1016/j.futures.2017.02.002</w:t>
      </w:r>
    </w:p>
    <w:p>
      <w:pPr/>
      <w:r>
        <w:rPr>
          <w:b/>
        </w:rPr>
        <w:t>Original future claim:</w:t>
      </w:r>
      <w:r>
        <w:t xml:space="preserve"> This study adopts a three-round dissensus-based Delphi approach in order to explore our key research question of how the pulp and paper industry may change strategically, and what is the potential for value creation in the year 2030. According to our expert panel, the main drivers of competitiveness in 2030 will include energy and material efficiency, sustainability, as well as new innovations in products to serve customer needs better.</w:t>
      </w:r>
    </w:p>
    <w:p>
      <w:pPr/>
      <w:r>
        <w:rPr>
          <w:b/>
        </w:rPr>
        <w:t>Later source:</w:t>
      </w:r>
      <w:r>
        <w:t xml:space="preserve"> Game Changers: National Referendums and the Politicization of Europe — https://doi.org/10.17645/pag.9261</w:t>
      </w:r>
    </w:p>
    <w:p>
      <w:pPr/>
      <w:r>
        <w:rPr>
          <w:b/>
        </w:rPr>
        <w:t>Later source:</w:t>
      </w:r>
      <w:r>
        <w:t xml:space="preserve"> Arming Europe — https://doi.org/10.33540/2454</w:t>
      </w:r>
    </w:p>
    <w:p>
      <w:pPr>
        <w:pStyle w:val="SourceNote"/>
      </w:pPr>
      <w:r>
        <w:rPr>
          <w:b/>
        </w:rPr>
        <w:t>Review status:</w:t>
      </w:r>
      <w:r>
        <w:t xml:space="preserve"> unchecked — possible relationship only</w:t>
      </w:r>
    </w:p>
    <w:p>
      <w:pPr>
        <w:pStyle w:val="Heading2"/>
      </w:pPr>
      <w:r>
        <w:t>130. Claim + two later sources: Technology roadmapping in security and defence foresight</w:t>
      </w:r>
    </w:p>
    <w:p>
      <w:pPr>
        <w:pStyle w:val="SourceNote"/>
      </w:pPr>
      <w:r>
        <w:rPr>
          <w:b/>
        </w:rPr>
        <w:t>Group ID:</w:t>
      </w:r>
      <w:r>
        <w:t xml:space="preserve"> group-26ee09409d9176f80c38</w:t>
      </w:r>
    </w:p>
    <w:p>
      <w:pPr>
        <w:pStyle w:val="SourceNote"/>
      </w:pPr>
      <w:r>
        <w:rPr>
          <w:b/>
        </w:rPr>
        <w:t>Original source:</w:t>
      </w:r>
      <w:r>
        <w:t xml:space="preserve"> https://doi.org/10.1108/fs-12-2017-0074</w:t>
      </w:r>
    </w:p>
    <w:p>
      <w:pPr/>
      <w:r>
        <w:rPr>
          <w:b/>
        </w:rPr>
        <w:t>Original future claim:</w:t>
      </w:r>
      <w:r>
        <w:t xml:space="preserve"> Design/methodology/approach The analysis is based on a content analysis of public domain Spanish Defence National Foresight Exercise, and a study directed to analyse the impact on defence technological and industrial base. Findings Foresight studies on the defence and security environment uses hybrid methodologies, but rarely involve all the stakeholders, and specially the citizens.</w:t>
      </w:r>
    </w:p>
    <w:p>
      <w:pPr/>
      <w:r>
        <w:rPr>
          <w:b/>
        </w:rPr>
        <w:t>Later source:</w:t>
      </w:r>
      <w:r>
        <w:t xml:space="preserve"> Methodology of architectural brand integration in public space design — https://doi.org/10.30857/2617-0272.2026.3.3</w:t>
      </w:r>
    </w:p>
    <w:p>
      <w:pPr/>
      <w:r>
        <w:rPr>
          <w:b/>
        </w:rPr>
        <w:t>Later source:</w:t>
      </w:r>
      <w:r>
        <w:t xml:space="preserve"> Research Design, Philosophy, and Quantitative Approaches in Scientific Research Methodology — https://doi.org/10.36347/sjet.2025.v13i02.004</w:t>
      </w:r>
    </w:p>
    <w:p>
      <w:pPr>
        <w:pStyle w:val="SourceNote"/>
      </w:pPr>
      <w:r>
        <w:rPr>
          <w:b/>
        </w:rPr>
        <w:t>Review status:</w:t>
      </w:r>
      <w:r>
        <w:t xml:space="preserve"> unchecked — possible relationship only</w:t>
      </w:r>
    </w:p>
    <w:p>
      <w:pPr>
        <w:pStyle w:val="Heading2"/>
      </w:pPr>
      <w:r>
        <w:t>131. Claim + two later sources: Projecting Drivers of Human Vulnerability under the Shared Socioeconomic Pathways</w:t>
      </w:r>
    </w:p>
    <w:p>
      <w:pPr>
        <w:pStyle w:val="SourceNote"/>
      </w:pPr>
      <w:r>
        <w:rPr>
          <w:b/>
        </w:rPr>
        <w:t>Group ID:</w:t>
      </w:r>
      <w:r>
        <w:t xml:space="preserve"> group-4da1140879d7ffdb03e4</w:t>
      </w:r>
    </w:p>
    <w:p>
      <w:pPr>
        <w:pStyle w:val="SourceNote"/>
      </w:pPr>
      <w:r>
        <w:rPr>
          <w:b/>
        </w:rPr>
        <w:t>Original source:</w:t>
      </w:r>
      <w:r>
        <w:t xml:space="preserve"> https://doi.org/10.3390/ijerph15030554</w:t>
      </w:r>
    </w:p>
    <w:p>
      <w:pPr/>
      <w:r>
        <w:rPr>
          <w:b/>
        </w:rPr>
        <w:t>Original future claim:</w:t>
      </w:r>
      <w:r>
        <w:t xml:space="preserve"> The Shared Socioeconomic Pathways (SSPs) are the new set of alternative futures of societal development that inform global and regional climate change research. They have the potential to foster the integration of socioeconomic scenarios within assessments of future climate-related health impacts.</w:t>
      </w:r>
    </w:p>
    <w:p>
      <w:pPr/>
      <w:r>
        <w:rPr>
          <w:b/>
        </w:rPr>
        <w:t>Later source:</w:t>
      </w:r>
      <w:r>
        <w:t xml:space="preserve"> A new scenario architecture to capture granularity of governance within and across Shared Socioeconomic Pathways — https://doi.org/10.1016/j.landusepol.2026.107926</w:t>
      </w:r>
    </w:p>
    <w:p>
      <w:pPr/>
      <w:r>
        <w:rPr>
          <w:b/>
        </w:rPr>
        <w:t>Later source:</w:t>
      </w:r>
      <w:r>
        <w:t xml:space="preserve"> Community Scenarios beyond the Shared Socioeconomic Pathways: The Scenario Evolution Process — https://doi.org/10.5194/egusphere-egu26-13481</w:t>
      </w:r>
    </w:p>
    <w:p>
      <w:pPr>
        <w:pStyle w:val="SourceNote"/>
      </w:pPr>
      <w:r>
        <w:rPr>
          <w:b/>
        </w:rPr>
        <w:t>Review status:</w:t>
      </w:r>
      <w:r>
        <w:t xml:space="preserve"> unchecked — possible relationship only</w:t>
      </w:r>
    </w:p>
    <w:p>
      <w:pPr>
        <w:pStyle w:val="Heading2"/>
      </w:pPr>
      <w:r>
        <w:t>132. Claim + two later sources: Modelling Soil Organic Carbon Changes Under Different Maize Cropping Scenarios for Cellulosic Ethanol in Europe</w:t>
      </w:r>
    </w:p>
    <w:p>
      <w:pPr>
        <w:pStyle w:val="SourceNote"/>
      </w:pPr>
      <w:r>
        <w:rPr>
          <w:b/>
        </w:rPr>
        <w:t>Group ID:</w:t>
      </w:r>
      <w:r>
        <w:t xml:space="preserve"> group-0e4a2559f0a7f1c17c57</w:t>
      </w:r>
    </w:p>
    <w:p>
      <w:pPr>
        <w:pStyle w:val="SourceNote"/>
      </w:pPr>
      <w:r>
        <w:rPr>
          <w:b/>
        </w:rPr>
        <w:t>Original source:</w:t>
      </w:r>
      <w:r>
        <w:t xml:space="preserve"> https://doi.org/10.1007/s12155-014-9529-2</w:t>
      </w:r>
    </w:p>
    <w:p>
      <w:pPr/>
      <w:r>
        <w:rPr>
          <w:b/>
        </w:rPr>
        <w:t>Original future claim:</w:t>
      </w:r>
      <w:r>
        <w:t xml:space="preserve"> In particular, every tonne of C residue converted to bioethanol was predicted to have an additional impact on SOC loss almost ranging from 0.2 to 0.5 CO 2 eq. ha −1 year −1 , considering a continuous biofuel scenario by 2050. Using a recently developed simulation platform, SOC changes were estimated at European level (EU + candidate and potential candidate countries) under two scenarios of low (R30) and high (R90) maize stover removal for cellulosic ethanol production (i.e. 30 and 90 % of stover removal, respectively).</w:t>
      </w:r>
    </w:p>
    <w:p>
      <w:pPr/>
      <w:r>
        <w:rPr>
          <w:b/>
        </w:rPr>
        <w:t>Later source:</w:t>
      </w:r>
      <w:r>
        <w:t xml:space="preserve"> Opportunity cost estimates for spatial conservation prioritisation across terrestrial Europe — https://doi.org/10.1038/s41597-025-05837-5</w:t>
      </w:r>
    </w:p>
    <w:p>
      <w:pPr/>
      <w:r>
        <w:rPr>
          <w:b/>
        </w:rPr>
        <w:t>Later source:</w:t>
      </w:r>
      <w:r>
        <w:t xml:space="preserve"> A Global Overview of Aquaculture Food Production with a Focus on the Activity’s Development in Transitional Systems—The Case Study of a South European Country (Portugal) — https://doi.org/10.3390/jmse10030417</w:t>
      </w:r>
    </w:p>
    <w:p>
      <w:pPr>
        <w:pStyle w:val="SourceNote"/>
      </w:pPr>
      <w:r>
        <w:rPr>
          <w:b/>
        </w:rPr>
        <w:t>Review status:</w:t>
      </w:r>
      <w:r>
        <w:t xml:space="preserve"> unchecked — possible relationship only</w:t>
      </w:r>
    </w:p>
    <w:p>
      <w:pPr>
        <w:pStyle w:val="Heading2"/>
      </w:pPr>
      <w:r>
        <w:t>133. Claim + two later sources: PROGNOSTIC MODEL OF THE UKRAINE SYSTEM OF GENERAL SECONDARY EDUCATION DEVELOPMENT: FORECASTING SCENARIOS OF THE DEVELOPMENT</w:t>
      </w:r>
    </w:p>
    <w:p>
      <w:pPr>
        <w:pStyle w:val="SourceNote"/>
      </w:pPr>
      <w:r>
        <w:rPr>
          <w:b/>
        </w:rPr>
        <w:t>Group ID:</w:t>
      </w:r>
      <w:r>
        <w:t xml:space="preserve"> group-32257c3def53a39b9fd2</w:t>
      </w:r>
    </w:p>
    <w:p>
      <w:pPr>
        <w:pStyle w:val="SourceNote"/>
      </w:pPr>
      <w:r>
        <w:rPr>
          <w:b/>
        </w:rPr>
        <w:t>Original source:</w:t>
      </w:r>
      <w:r>
        <w:t xml:space="preserve"> https://doi.org/10.32405/2411-1317-2018-4-45-53</w:t>
      </w:r>
    </w:p>
    <w:p>
      <w:pPr/>
      <w:r>
        <w:rPr>
          <w:b/>
        </w:rPr>
        <w:t>Original future claim:</w:t>
      </w:r>
      <w:r>
        <w:t xml:space="preserve"> The article is presented four forecasting scenarios Ukraine system of general secondary education development (optimistic, first realistic with positive profile characteristics, second realistic with positive background characteristics and pessimistic), described the content of each forecasting scenario, and indicated the main external and internal factors, which will contribute to its implementation.</w:t>
      </w:r>
    </w:p>
    <w:p>
      <w:pPr/>
      <w:r>
        <w:rPr>
          <w:b/>
        </w:rPr>
        <w:t>Later source:</w:t>
      </w:r>
      <w:r>
        <w:t xml:space="preserve"> Comment on the Previously Published Article “Rare Masqueraders of Pure Neuritic Leprosy: A Report of Four Cases” — https://doi.org/10.4103/idoj.idoj_534_25</w:t>
      </w:r>
    </w:p>
    <w:p>
      <w:pPr/>
      <w:r>
        <w:rPr>
          <w:b/>
        </w:rPr>
        <w:t>Later source:</w:t>
      </w:r>
      <w:r>
        <w:t xml:space="preserve"> Précis to Revisionism in Four Views on Free Will, 2e — https://doi.org/10.1007/s11406-026-01043-8</w:t>
      </w:r>
    </w:p>
    <w:p>
      <w:pPr>
        <w:pStyle w:val="SourceNote"/>
      </w:pPr>
      <w:r>
        <w:rPr>
          <w:b/>
        </w:rPr>
        <w:t>Review status:</w:t>
      </w:r>
      <w:r>
        <w:t xml:space="preserve"> unchecked — possible relationship only</w:t>
      </w:r>
    </w:p>
    <w:p>
      <w:pPr>
        <w:pStyle w:val="Heading2"/>
      </w:pPr>
      <w:r>
        <w:t>134. Claim + two later sources: Using urban foresight techniques in city visioning: Lessons from the Reading 2050 vision</w:t>
      </w:r>
    </w:p>
    <w:p>
      <w:pPr>
        <w:pStyle w:val="SourceNote"/>
      </w:pPr>
      <w:r>
        <w:rPr>
          <w:b/>
        </w:rPr>
        <w:t>Group ID:</w:t>
      </w:r>
      <w:r>
        <w:t xml:space="preserve"> group-33f9b1f7a55ac3493257</w:t>
      </w:r>
    </w:p>
    <w:p>
      <w:pPr>
        <w:pStyle w:val="SourceNote"/>
      </w:pPr>
      <w:r>
        <w:rPr>
          <w:b/>
        </w:rPr>
        <w:t>Original source:</w:t>
      </w:r>
      <w:r>
        <w:t xml:space="preserve"> https://doi.org/10.1177/0269094218800677</w:t>
      </w:r>
    </w:p>
    <w:p>
      <w:pPr/>
      <w:r>
        <w:rPr>
          <w:b/>
        </w:rPr>
        <w:t>Original future claim:</w:t>
      </w:r>
      <w:r>
        <w:t xml:space="preserve"> The emergence of urban (or city) foresight techniques focuses on the need to create coherent city visions to plan and manage for future long-term change and create opportunities for new investment into the local urban economy. The paper critically reviews the development of the vision for a small city (the ‘Reading 2050’ project, linked to the UK Future of Cities Foresight Programme), and the lessons it holds for visioning, foresight and planning, using the ‘quadruple helix’ framework as a conceptual lens for analysis.</w:t>
      </w:r>
    </w:p>
    <w:p>
      <w:pPr/>
      <w:r>
        <w:rPr>
          <w:b/>
        </w:rPr>
        <w:t>Later source:</w:t>
      </w:r>
      <w:r>
        <w:t xml:space="preserve"> Urban historical analysis of the emergence and development of Bishkek — https://doi.org/10.63621/as./1.2025.22</w:t>
      </w:r>
    </w:p>
    <w:p>
      <w:pPr/>
      <w:r>
        <w:rPr>
          <w:b/>
        </w:rPr>
        <w:t>Later source:</w:t>
      </w:r>
      <w:r>
        <w:t xml:space="preserve"> Exploring the emergence of innovation districts as volumetric urban projects in Taipei City — https://doi.org/10.1080/12265934.2026.2637658</w:t>
      </w:r>
    </w:p>
    <w:p>
      <w:pPr>
        <w:pStyle w:val="SourceNote"/>
      </w:pPr>
      <w:r>
        <w:rPr>
          <w:b/>
        </w:rPr>
        <w:t>Review status:</w:t>
      </w:r>
      <w:r>
        <w:t xml:space="preserve"> unchecked — possible relationship only</w:t>
      </w:r>
    </w:p>
    <w:p>
      <w:pPr>
        <w:pStyle w:val="Heading2"/>
      </w:pPr>
      <w:r>
        <w:t>135. Claim + two later sources: Climate change signal of future climate projections for Aachen, Germany, in terms of temperature and precipitation</w:t>
      </w:r>
    </w:p>
    <w:p>
      <w:pPr>
        <w:pStyle w:val="SourceNote"/>
      </w:pPr>
      <w:r>
        <w:rPr>
          <w:b/>
        </w:rPr>
        <w:t>Group ID:</w:t>
      </w:r>
      <w:r>
        <w:t xml:space="preserve"> group-5b94158a4b120b280928</w:t>
      </w:r>
    </w:p>
    <w:p>
      <w:pPr>
        <w:pStyle w:val="SourceNote"/>
      </w:pPr>
      <w:r>
        <w:rPr>
          <w:b/>
        </w:rPr>
        <w:t>Original source:</w:t>
      </w:r>
      <w:r>
        <w:t xml:space="preserve"> https://doi.org/10.1127/0941-2948/2014/0549</w:t>
      </w:r>
    </w:p>
    <w:p>
      <w:pPr/>
      <w:r>
        <w:rPr>
          <w:b/>
        </w:rPr>
        <w:t>Original future claim:</w:t>
      </w:r>
      <w:r>
        <w:t xml:space="preserve"> A multi-model ensemble of regional climate projections is used to estimate the climate change signal in terms of temperature and precipitation for the city of Aachen, Germany, until the end of the current century.Since the combination of heat and high moisture content in the ambient air is assumed to adversely affect human health, the equivalent temperature is employed as an indicator for heat stress and applied to identify heat waves.As prolonged periods of high temperatures may also cause summer drought, summer precipitation and dry periods are analyzed as well.The study refers to regional climate projections (A1B emission scenario) of the statistical climate models STARII and WETTREG and the dynamical climate models REMO and COSMO-CLM.The model outputs are compared a) with each other in order to assess discrepancies between them and b) with the 30-year baseline period of 1971-2000 in order to estimate future changes in heat load and precipitation patterns for the summer months of June, July and August.Based on median realizations of the model runs, further warming of approximately 1-2 K is expected by the middle of the 21 st century and 3-4 K by 2100.These changes will probably be accompanied by an increase in variance.Maximum temperature shows the greatest enhancement (+1.9 K 2031-2060 and 4.3 K 2071-2100, ensemble mean) causing almost a doubling of (extreme) hot days and a trebling of tropical nights as soon as the middle of the century.According to this temperature development heat waves are likely to last longer and occur more often in future whereas their intensity is not expected to change significantly.An increasing number of heat waves is concurrent with a decreasing amount of rainfall in the summer months until 2100.All four climate projections indicate a decrease in precipitation in summer until 2100 with -17 % on average.The highest decrease is shown by COSMO-CLM with -30 % rainfall in June for the period of 2071-2100.Dry periods are expected to occur 3 times more often at the end of the current century and to last longer by 1 day (COSMO-CLM) to 3 days (WETTREG) compared to the period of 1971-2000.</w:t>
      </w:r>
    </w:p>
    <w:p>
      <w:pPr/>
      <w:r>
        <w:rPr>
          <w:b/>
        </w:rPr>
        <w:t>Later source:</w:t>
      </w:r>
      <w:r>
        <w:t xml:space="preserve"> The PROMES Regional Climate Model: Three Decades of Development and Contributions to Regional Climate Ensemble Research — https://doi.org/10.3390/geosciences16100423</w:t>
      </w:r>
    </w:p>
    <w:p>
      <w:pPr/>
      <w:r>
        <w:rPr>
          <w:b/>
        </w:rPr>
        <w:t>Later source:</w:t>
      </w:r>
      <w:r>
        <w:t xml:space="preserve"> New gridded large multi-model ensembles of empirical-statistical downscaling results — https://doi.org/10.5194/ems2026-443</w:t>
      </w:r>
    </w:p>
    <w:p>
      <w:pPr>
        <w:pStyle w:val="SourceNote"/>
      </w:pPr>
      <w:r>
        <w:rPr>
          <w:b/>
        </w:rPr>
        <w:t>Review status:</w:t>
      </w:r>
      <w:r>
        <w:t xml:space="preserve"> unchecked — possible relationship only</w:t>
      </w:r>
    </w:p>
    <w:p>
      <w:pPr>
        <w:pStyle w:val="Heading2"/>
      </w:pPr>
      <w:r>
        <w:t>136. Claim + two later sources: Environmental Implications of Dynamic Policies on Food Consumption and Waste Handling in the European Union</w:t>
      </w:r>
    </w:p>
    <w:p>
      <w:pPr>
        <w:pStyle w:val="SourceNote"/>
      </w:pPr>
      <w:r>
        <w:rPr>
          <w:b/>
        </w:rPr>
        <w:t>Group ID:</w:t>
      </w:r>
      <w:r>
        <w:t xml:space="preserve"> group-7b88666c3927293b2975</w:t>
      </w:r>
    </w:p>
    <w:p>
      <w:pPr>
        <w:pStyle w:val="SourceNote"/>
      </w:pPr>
      <w:r>
        <w:rPr>
          <w:b/>
        </w:rPr>
        <w:t>Original source:</w:t>
      </w:r>
      <w:r>
        <w:t xml:space="preserve"> https://doi.org/10.3390/su8030282</w:t>
      </w:r>
    </w:p>
    <w:p>
      <w:pPr/>
      <w:r>
        <w:rPr>
          <w:b/>
        </w:rPr>
        <w:t>Original future claim:</w:t>
      </w:r>
      <w:r>
        <w:t xml:space="preserve"> The implications are reviewed using a number of scenarios for the years 2030 and 2050 assuming policy instruments are fully effective.</w:t>
      </w:r>
    </w:p>
    <w:p>
      <w:pPr/>
      <w:r>
        <w:rPr>
          <w:b/>
        </w:rPr>
        <w:t>Later source:</w:t>
      </w:r>
      <w:r>
        <w:t xml:space="preserve"> Double materiality and the shift from non-financial to European sustainability reporting: review, outlook and implications — https://doi.org/10.1108/jaar-04-2021-0114</w:t>
      </w:r>
    </w:p>
    <w:p>
      <w:pPr/>
      <w:r>
        <w:rPr>
          <w:b/>
        </w:rPr>
        <w:t>Later source:</w:t>
      </w:r>
      <w:r>
        <w:t xml:space="preserve"> Review: Beef-eating quality: a European journey — https://doi.org/10.1017/s1751731118001672</w:t>
      </w:r>
    </w:p>
    <w:p>
      <w:pPr>
        <w:pStyle w:val="SourceNote"/>
      </w:pPr>
      <w:r>
        <w:rPr>
          <w:b/>
        </w:rPr>
        <w:t>Review status:</w:t>
      </w:r>
      <w:r>
        <w:t xml:space="preserve"> unchecked — possible relationship only</w:t>
      </w:r>
    </w:p>
    <w:p>
      <w:pPr>
        <w:pStyle w:val="Heading2"/>
      </w:pPr>
      <w:r>
        <w:t>137. Claim + two later sources: The European Union as a long-term political actor: an overview</w:t>
      </w:r>
    </w:p>
    <w:p>
      <w:pPr>
        <w:pStyle w:val="SourceNote"/>
      </w:pPr>
      <w:r>
        <w:rPr>
          <w:b/>
        </w:rPr>
        <w:t>Group ID:</w:t>
      </w:r>
      <w:r>
        <w:t xml:space="preserve"> group-3924db5866ec454f3768</w:t>
      </w:r>
    </w:p>
    <w:p>
      <w:pPr>
        <w:pStyle w:val="SourceNote"/>
      </w:pPr>
      <w:r>
        <w:rPr>
          <w:b/>
        </w:rPr>
        <w:t>Original source:</w:t>
      </w:r>
      <w:r>
        <w:t xml:space="preserve"> https://doi.org/10.1080/2474736x.2022.2043725</w:t>
      </w:r>
    </w:p>
    <w:p>
      <w:pPr/>
      <w:r>
        <w:rPr>
          <w:b/>
        </w:rPr>
        <w:t>Original future claim:</w:t>
      </w:r>
      <w:r>
        <w:t xml:space="preserve"> We ask in which ways and to what extent is the Union able to employ long-term policy targets and considers the possible interests of future generations.</w:t>
      </w:r>
    </w:p>
    <w:p>
      <w:pPr/>
      <w:r>
        <w:rPr>
          <w:b/>
        </w:rPr>
        <w:t>Later source:</w:t>
      </w:r>
      <w:r>
        <w:t xml:space="preserve"> Democratic legitimacy and the European Citizens' Initiative: a recipe for disappointment and disaffection? — https://doi.org/10.82444/warw.33734965</w:t>
      </w:r>
    </w:p>
    <w:p>
      <w:pPr/>
      <w:r>
        <w:rPr>
          <w:b/>
        </w:rPr>
        <w:t>Later source:</w:t>
      </w:r>
      <w:r>
        <w:t xml:space="preserve"> The ‘European sovereignty’ narrative: More EU capacity, but less democracy? Citizens' perceptions in France and Belgium — https://doi.org/10.54195/plc.24877</w:t>
      </w:r>
    </w:p>
    <w:p>
      <w:pPr>
        <w:pStyle w:val="SourceNote"/>
      </w:pPr>
      <w:r>
        <w:rPr>
          <w:b/>
        </w:rPr>
        <w:t>Review status:</w:t>
      </w:r>
      <w:r>
        <w:t xml:space="preserve"> unchecked — possible relationship only</w:t>
      </w:r>
    </w:p>
    <w:p>
      <w:pPr>
        <w:pStyle w:val="Heading2"/>
      </w:pPr>
      <w:r>
        <w:t>138. Claim + two later sources: Scenarios of water resources development in Poland up to 2030</w:t>
      </w:r>
    </w:p>
    <w:p>
      <w:pPr>
        <w:pStyle w:val="SourceNote"/>
      </w:pPr>
      <w:r>
        <w:rPr>
          <w:b/>
        </w:rPr>
        <w:t>Group ID:</w:t>
      </w:r>
      <w:r>
        <w:t xml:space="preserve"> group-78a50c9557c2d483d261</w:t>
      </w:r>
    </w:p>
    <w:p>
      <w:pPr>
        <w:pStyle w:val="SourceNote"/>
      </w:pPr>
      <w:r>
        <w:rPr>
          <w:b/>
        </w:rPr>
        <w:t>Original source:</w:t>
      </w:r>
      <w:r>
        <w:t xml:space="preserve"> https://doi.org/10.1134/s0097807814060219</w:t>
      </w:r>
    </w:p>
    <w:p>
      <w:pPr/>
      <w:r>
        <w:rPr>
          <w:b/>
        </w:rPr>
        <w:t>Original future claim:</w:t>
      </w:r>
      <w:r>
        <w:t xml:space="preserve"> Sensitivity of the results of the applied techniques of development scenarios shows a need for further research.</w:t>
      </w:r>
    </w:p>
    <w:p>
      <w:pPr/>
      <w:r>
        <w:rPr>
          <w:b/>
        </w:rPr>
        <w:t>Later source:</w:t>
      </w:r>
      <w:r>
        <w:t xml:space="preserve"> Modern Stochastic Techniques for Multifaceted Sensitivity Analysis — https://doi.org/10.3390/engproc2026150036</w:t>
      </w:r>
    </w:p>
    <w:p>
      <w:pPr/>
      <w:r>
        <w:rPr>
          <w:b/>
        </w:rPr>
        <w:t>Later source:</w:t>
      </w:r>
      <w:r>
        <w:t xml:space="preserve"> Use of data mining techniques to explain the primary factors influencing water sensitivity of asphalt mixtures — https://doi.org/10.1016/j.conbuildmat.2022.128039</w:t>
      </w:r>
    </w:p>
    <w:p>
      <w:pPr>
        <w:pStyle w:val="SourceNote"/>
      </w:pPr>
      <w:r>
        <w:rPr>
          <w:b/>
        </w:rPr>
        <w:t>Review status:</w:t>
      </w:r>
      <w:r>
        <w:t xml:space="preserve"> unchecked — possible relationship only</w:t>
      </w:r>
    </w:p>
    <w:p>
      <w:pPr>
        <w:pStyle w:val="Heading2"/>
      </w:pPr>
      <w:r>
        <w:t>139. Claim + two later sources: EFFECTS OF HYDROGEN PRODUCTION ON ECONOMIC GROWTH IN THE EUROPEAN UNION</w:t>
      </w:r>
    </w:p>
    <w:p>
      <w:pPr>
        <w:pStyle w:val="SourceNote"/>
      </w:pPr>
      <w:r>
        <w:rPr>
          <w:b/>
        </w:rPr>
        <w:t>Group ID:</w:t>
      </w:r>
      <w:r>
        <w:t xml:space="preserve"> group-0bb448880ada6f1e200b</w:t>
      </w:r>
    </w:p>
    <w:p>
      <w:pPr>
        <w:pStyle w:val="SourceNote"/>
      </w:pPr>
      <w:r>
        <w:rPr>
          <w:b/>
        </w:rPr>
        <w:t>Original source:</w:t>
      </w:r>
      <w:r>
        <w:t xml:space="preserve"> https://doi.org/10.47535/1991auoes30(2)003</w:t>
      </w:r>
    </w:p>
    <w:p>
      <w:pPr/>
      <w:r>
        <w:rPr>
          <w:b/>
        </w:rPr>
        <w:t>Original future claim:</w:t>
      </w:r>
      <w:r>
        <w:t xml:space="preserve"> In this article the author presents some aspects of the hydrogen market, this fuel is essential to support the European Union’s commitment to achieving climate neutrality by 2050. Decarbonisation leads to a significant increase in the role of electricity, which can cover the demand of over 50% of final energy by 2050, compared to about 20% today.</w:t>
      </w:r>
    </w:p>
    <w:p>
      <w:pPr/>
      <w:r>
        <w:rPr>
          <w:b/>
        </w:rPr>
        <w:t>Later source:</w:t>
      </w:r>
      <w:r>
        <w:t xml:space="preserve"> Resource requirements and consequences of large-scale hydrogen use in Europe — https://doi.org/10.1038/s41893-026-01771-5</w:t>
      </w:r>
    </w:p>
    <w:p>
      <w:pPr/>
      <w:r>
        <w:rPr>
          <w:b/>
        </w:rPr>
        <w:t>Later source:</w:t>
      </w:r>
      <w:r>
        <w:t xml:space="preserve"> Sources of European Union competition law — https://doi.org/10.24144/2307-3322.2026.93.2.3</w:t>
      </w:r>
    </w:p>
    <w:p>
      <w:pPr>
        <w:pStyle w:val="SourceNote"/>
      </w:pPr>
      <w:r>
        <w:rPr>
          <w:b/>
        </w:rPr>
        <w:t>Review status:</w:t>
      </w:r>
      <w:r>
        <w:t xml:space="preserve"> unchecked — possible relationship only</w:t>
      </w:r>
    </w:p>
    <w:p>
      <w:pPr>
        <w:pStyle w:val="Heading2"/>
      </w:pPr>
      <w:r>
        <w:t>140. Claim + two later sources: Shaping science policy in Europe</w:t>
      </w:r>
    </w:p>
    <w:p>
      <w:pPr>
        <w:pStyle w:val="SourceNote"/>
      </w:pPr>
      <w:r>
        <w:rPr>
          <w:b/>
        </w:rPr>
        <w:t>Group ID:</w:t>
      </w:r>
      <w:r>
        <w:t xml:space="preserve"> group-e734b6aab00152dddc89</w:t>
      </w:r>
    </w:p>
    <w:p>
      <w:pPr>
        <w:pStyle w:val="SourceNote"/>
      </w:pPr>
      <w:r>
        <w:rPr>
          <w:b/>
        </w:rPr>
        <w:t>Original source:</w:t>
      </w:r>
      <w:r>
        <w:t xml:space="preserve"> https://doi.org/10.1016/j.molonc.2014.03.013</w:t>
      </w:r>
    </w:p>
    <w:p>
      <w:pPr/>
      <w:r>
        <w:rPr>
          <w:b/>
        </w:rPr>
        <w:t>Original future claim:</w:t>
      </w:r>
      <w:r>
        <w:t xml:space="preserve"> The creation of such Scientific Panel should be viewed as an important contribution by the biomedical community as a major political agreement has been reached on the need for a comprehensive and long-term scientific strategy to accelerate research and facilitate innovation at EU level.</w:t>
      </w:r>
    </w:p>
    <w:p>
      <w:pPr/>
      <w:r>
        <w:rPr>
          <w:b/>
        </w:rPr>
        <w:t>Later source:</w:t>
      </w:r>
      <w:r>
        <w:t xml:space="preserve"> Economic, technological and environmental drivers of the circular economy in the European Union: a panel data analysis — https://doi.org/10.1186/s12302-025-01119-4</w:t>
      </w:r>
    </w:p>
    <w:p>
      <w:pPr/>
      <w:r>
        <w:rPr>
          <w:b/>
        </w:rPr>
        <w:t>Later source:</w:t>
      </w:r>
      <w:r>
        <w:t xml:space="preserve"> European Federation of Neurological Societies: parent to the European Academy of Neurology — https://doi.org/10.1111/ene.15680</w:t>
      </w:r>
    </w:p>
    <w:p>
      <w:pPr>
        <w:pStyle w:val="SourceNote"/>
      </w:pPr>
      <w:r>
        <w:rPr>
          <w:b/>
        </w:rPr>
        <w:t>Review status:</w:t>
      </w:r>
      <w:r>
        <w:t xml:space="preserve"> unchecked — possible relationship only</w:t>
      </w:r>
    </w:p>
    <w:p>
      <w:pPr>
        <w:pStyle w:val="Heading2"/>
      </w:pPr>
      <w:r>
        <w:t>141. Claim + two later sources: Predicting Future European Breeding Distributions of British Seabird Species under Climate Change and Unlimited/No Dispersal Scenarios</w:t>
      </w:r>
    </w:p>
    <w:p>
      <w:pPr>
        <w:pStyle w:val="SourceNote"/>
      </w:pPr>
      <w:r>
        <w:rPr>
          <w:b/>
        </w:rPr>
        <w:t>Group ID:</w:t>
      </w:r>
      <w:r>
        <w:t xml:space="preserve"> group-5f5572bdc7b121d11561</w:t>
      </w:r>
    </w:p>
    <w:p>
      <w:pPr>
        <w:pStyle w:val="SourceNote"/>
      </w:pPr>
      <w:r>
        <w:rPr>
          <w:b/>
        </w:rPr>
        <w:t>Original source:</w:t>
      </w:r>
      <w:r>
        <w:t xml:space="preserve"> https://doi.org/10.3390/d7040342</w:t>
      </w:r>
    </w:p>
    <w:p>
      <w:pPr/>
      <w:r>
        <w:rPr>
          <w:b/>
        </w:rPr>
        <w:t>Original future claim:</w:t>
      </w:r>
      <w:r>
        <w:t xml:space="preserve"> Here, we combine climate envelope models with predicted bioclimatic data from two emission scenarios leading up to 2100, to predict European breeding distributions of 23 seabird species that currently breed in the British Isles. More globally, the results indicate, based on foraging ecology, which seabird species are likely to be most affected by climatic change.</w:t>
      </w:r>
    </w:p>
    <w:p>
      <w:pPr/>
      <w:r>
        <w:rPr>
          <w:b/>
        </w:rPr>
        <w:t>Later source:</w:t>
      </w:r>
      <w:r>
        <w:t xml:space="preserve"> Combining different views on internal climate variability of temperature over Europe — https://doi.org/10.5194/egusphere-egu26-5489</w:t>
      </w:r>
    </w:p>
    <w:p>
      <w:pPr/>
      <w:r>
        <w:rPr>
          <w:b/>
        </w:rPr>
        <w:t>Later source:</w:t>
      </w:r>
      <w:r>
        <w:t xml:space="preserve"> Combining different views on internal climate variability of temperature over Europe — https://doi.org/10.5194/egusphere-2026-1341</w:t>
      </w:r>
    </w:p>
    <w:p>
      <w:pPr>
        <w:pStyle w:val="SourceNote"/>
      </w:pPr>
      <w:r>
        <w:rPr>
          <w:b/>
        </w:rPr>
        <w:t>Review status:</w:t>
      </w:r>
      <w:r>
        <w:t xml:space="preserve"> unchecked — possible relationship only</w:t>
      </w:r>
    </w:p>
    <w:p>
      <w:pPr>
        <w:pStyle w:val="Heading2"/>
      </w:pPr>
      <w:r>
        <w:t>142. Claim + two later sources: PROBLEM OF PROFESSIONAL TRAINING OF FUTURE ECONOMISTS FOR DEVELOPMENT OF NATIONAL ECONOMY UNDER CONDITIONS OF EUROPEAN INTEGRATION</w:t>
      </w:r>
    </w:p>
    <w:p>
      <w:pPr>
        <w:pStyle w:val="SourceNote"/>
      </w:pPr>
      <w:r>
        <w:rPr>
          <w:b/>
        </w:rPr>
        <w:t>Group ID:</w:t>
      </w:r>
      <w:r>
        <w:t xml:space="preserve"> group-ae7ab87b98ccd3f77977</w:t>
      </w:r>
    </w:p>
    <w:p>
      <w:pPr>
        <w:pStyle w:val="SourceNote"/>
      </w:pPr>
      <w:r>
        <w:rPr>
          <w:b/>
        </w:rPr>
        <w:t>Original source:</w:t>
      </w:r>
      <w:r>
        <w:t xml:space="preserve"> https://doi.org/10.30525/2256-0742/2020-6-5-148-154</w:t>
      </w:r>
    </w:p>
    <w:p>
      <w:pPr/>
      <w:r>
        <w:rPr>
          <w:b/>
        </w:rPr>
        <w:t>Original future claim:</w:t>
      </w:r>
      <w:r>
        <w:t xml:space="preserve"> Core competencies for future economists, which they must acquire at the universities in the process of professional training and which they will promote participating in the development of national economy of Ukraine, are outlined. In particular, the introduction of individual educational trajectory of economists with a projection on elective courses and extrapolation into future economic practice is recommended.</w:t>
      </w:r>
    </w:p>
    <w:p>
      <w:pPr/>
      <w:r>
        <w:rPr>
          <w:b/>
        </w:rPr>
        <w:t>Later source:</w:t>
      </w:r>
      <w:r>
        <w:t xml:space="preserve"> Competency-based European training requirements for the specialty of ophthalmology. Recommendations from the UEMS section of ophthalmology and the European Board of Ophthalmology — https://openalex.org/W7149229150</w:t>
      </w:r>
    </w:p>
    <w:p>
      <w:pPr/>
      <w:r>
        <w:rPr>
          <w:b/>
        </w:rPr>
        <w:t>Later source:</w:t>
      </w:r>
      <w:r>
        <w:t xml:space="preserve"> Competency-based European training requirements for the specialty of ophthalmology — https://openalex.org/W7155593103</w:t>
      </w:r>
    </w:p>
    <w:p>
      <w:pPr>
        <w:pStyle w:val="SourceNote"/>
      </w:pPr>
      <w:r>
        <w:rPr>
          <w:b/>
        </w:rPr>
        <w:t>Review status:</w:t>
      </w:r>
      <w:r>
        <w:t xml:space="preserve"> unchecked — possible relationship only</w:t>
      </w:r>
    </w:p>
    <w:p>
      <w:pPr>
        <w:pStyle w:val="Heading2"/>
      </w:pPr>
      <w:r>
        <w:t>143. Claim + two later sources: The CIRCE Simulations: Regional Climate Change Projections with Realistic Representation of the Mediterranean Sea</w:t>
      </w:r>
    </w:p>
    <w:p>
      <w:pPr>
        <w:pStyle w:val="SourceNote"/>
      </w:pPr>
      <w:r>
        <w:rPr>
          <w:b/>
        </w:rPr>
        <w:t>Group ID:</w:t>
      </w:r>
      <w:r>
        <w:t xml:space="preserve"> group-9f55fbcca3741afe2df7</w:t>
      </w:r>
    </w:p>
    <w:p>
      <w:pPr>
        <w:pStyle w:val="SourceNote"/>
      </w:pPr>
      <w:r>
        <w:rPr>
          <w:b/>
        </w:rPr>
        <w:t>Original source:</w:t>
      </w:r>
      <w:r>
        <w:t xml:space="preserve"> https://doi.org/10.1175/bams-d-11-00136.1</w:t>
      </w:r>
    </w:p>
    <w:p>
      <w:pPr/>
      <w:r>
        <w:rPr>
          <w:b/>
        </w:rPr>
        <w:t>Original future claim:</w:t>
      </w:r>
      <w:r>
        <w:t xml:space="preserve"> The models have been integrated from 1951 to 2050, using observed radiative forcings during the first half of the simulation period and the Intergovernmental Panel on Climate Change (IPCC) Special Report on Emissions Scenarios (SRES) A1B scenario during the second half. The projections show a substantial warming (about 1.5°–2°C) and a significant decrease of precipitation (about 5%) in the region for the scenario period.</w:t>
      </w:r>
    </w:p>
    <w:p>
      <w:pPr/>
      <w:r>
        <w:rPr>
          <w:b/>
        </w:rPr>
        <w:t>Later source:</w:t>
      </w:r>
      <w:r>
        <w:t xml:space="preserve"> Development and Validation of a Novel Contact Force‐Integrated Pulsed Field Quantization Index for Pulmonary Vein Isolation in a Porcine Model — https://doi.org/10.1111/jce.70527</w:t>
      </w:r>
    </w:p>
    <w:p>
      <w:pPr/>
      <w:r>
        <w:rPr>
          <w:b/>
        </w:rPr>
        <w:t>Later source:</w:t>
      </w:r>
      <w:r>
        <w:t xml:space="preserve"> Rolling force modeling based on neural network and mechanism model — https://doi.org/10.1007/s12206-025-0118-4</w:t>
      </w:r>
    </w:p>
    <w:p>
      <w:pPr>
        <w:pStyle w:val="SourceNote"/>
      </w:pPr>
      <w:r>
        <w:rPr>
          <w:b/>
        </w:rPr>
        <w:t>Review status:</w:t>
      </w:r>
      <w:r>
        <w:t xml:space="preserve"> unchecked — possible relationship only</w:t>
      </w:r>
    </w:p>
    <w:p>
      <w:pPr>
        <w:pStyle w:val="Heading2"/>
      </w:pPr>
      <w:r>
        <w:t>144. Claim + two later sources: Scenarios for the future of the European process industry - the case of the chemical industry</w:t>
      </w:r>
    </w:p>
    <w:p>
      <w:pPr>
        <w:pStyle w:val="SourceNote"/>
      </w:pPr>
      <w:r>
        <w:rPr>
          <w:b/>
        </w:rPr>
        <w:t>Group ID:</w:t>
      </w:r>
      <w:r>
        <w:t xml:space="preserve"> group-e97594de914c7a26dccb</w:t>
      </w:r>
    </w:p>
    <w:p>
      <w:pPr>
        <w:pStyle w:val="SourceNote"/>
      </w:pPr>
      <w:r>
        <w:rPr>
          <w:b/>
        </w:rPr>
        <w:t>Original source:</w:t>
      </w:r>
      <w:r>
        <w:t xml:space="preserve"> https://doi.org/10.1007/s40309-013-0010-9</w:t>
      </w:r>
    </w:p>
    <w:p>
      <w:pPr/>
      <w:r>
        <w:rPr>
          <w:b/>
        </w:rPr>
        <w:t>Original future claim:</w:t>
      </w:r>
      <w:r>
        <w:t xml:space="preserve"> We studied future challenges for the European chemical industry until the year 2030. Based on the 249 qualitative statements made by the participating experts, we derived four future scenarios.</w:t>
      </w:r>
    </w:p>
    <w:p>
      <w:pPr/>
      <w:r>
        <w:rPr>
          <w:b/>
        </w:rPr>
        <w:t>Later source:</w:t>
      </w:r>
      <w:r>
        <w:t xml:space="preserve"> The impacts of the European chemical industry on the planetary boundaries — https://doi.org/10.1016/j.spc.2023.12.006</w:t>
      </w:r>
    </w:p>
    <w:p>
      <w:pPr/>
      <w:r>
        <w:rPr>
          <w:b/>
        </w:rPr>
        <w:t>Later source:</w:t>
      </w:r>
      <w:r>
        <w:t xml:space="preserve"> Novel foods in the European Union: Scientific requirements and challenges of the risk assessment process by the European Food Safety Authority — https://doi.org/10.1016/j.foodres.2020.109515</w:t>
      </w:r>
    </w:p>
    <w:p>
      <w:pPr>
        <w:pStyle w:val="SourceNote"/>
      </w:pPr>
      <w:r>
        <w:rPr>
          <w:b/>
        </w:rPr>
        <w:t>Review status:</w:t>
      </w:r>
      <w:r>
        <w:t xml:space="preserve"> unchecked — possible relationship only</w:t>
      </w:r>
    </w:p>
    <w:p>
      <w:pPr>
        <w:pStyle w:val="Heading2"/>
      </w:pPr>
      <w:r>
        <w:t>145. Claim + two later sources: The future of global trade and the WTO</w:t>
      </w:r>
    </w:p>
    <w:p>
      <w:pPr>
        <w:pStyle w:val="SourceNote"/>
      </w:pPr>
      <w:r>
        <w:rPr>
          <w:b/>
        </w:rPr>
        <w:t>Group ID:</w:t>
      </w:r>
      <w:r>
        <w:t xml:space="preserve"> group-09afc1d1d1b3baa0251e</w:t>
      </w:r>
    </w:p>
    <w:p>
      <w:pPr>
        <w:pStyle w:val="SourceNote"/>
      </w:pPr>
      <w:r>
        <w:rPr>
          <w:b/>
        </w:rPr>
        <w:t>Original source:</w:t>
      </w:r>
      <w:r>
        <w:t xml:space="preserve"> https://doi.org/10.1108/fs-06-2012-0044</w:t>
      </w:r>
    </w:p>
    <w:p>
      <w:pPr/>
      <w:r>
        <w:rPr>
          <w:b/>
        </w:rPr>
        <w:t>Original future claim:</w:t>
      </w:r>
      <w:r>
        <w:t xml:space="preserve"> Four scenarios of the world economy are presented, which are derived from the international AUGUR research project “Challenges for Europe in the world in 2030” coordinated by Paris Nord University. This paper aims to analyse the main issues which might influence the governance of world trade from now until 2030 and present quantitative projections of international trade.</w:t>
      </w:r>
    </w:p>
    <w:p>
      <w:pPr/>
      <w:r>
        <w:rPr>
          <w:b/>
        </w:rPr>
        <w:t>Later source:</w:t>
      </w:r>
      <w:r>
        <w:t xml:space="preserve"> IMPACT OF SHORT-TERM EXTERNAL SHOCKS ON THE WORLD AND EUROPEAN ECONOMIES — https://doi.org/10.35774/jee2025.04.553</w:t>
      </w:r>
    </w:p>
    <w:p>
      <w:pPr/>
      <w:r>
        <w:rPr>
          <w:b/>
        </w:rPr>
        <w:t>Later source:</w:t>
      </w:r>
      <w:r>
        <w:t xml:space="preserve"> The Contested World Economy — https://doi.org/10.1017/9781009337489</w:t>
      </w:r>
    </w:p>
    <w:p>
      <w:pPr>
        <w:pStyle w:val="SourceNote"/>
      </w:pPr>
      <w:r>
        <w:rPr>
          <w:b/>
        </w:rPr>
        <w:t>Review status:</w:t>
      </w:r>
      <w:r>
        <w:t xml:space="preserve"> unchecked — possible relationship only</w:t>
      </w:r>
    </w:p>
    <w:p>
      <w:pPr>
        <w:pStyle w:val="Heading2"/>
      </w:pPr>
      <w:r>
        <w:t>146. Claim + two later sources: EU road vehicle energy consumption and CO2 emissions by 2050 – Expert-based scenarios</w:t>
      </w:r>
    </w:p>
    <w:p>
      <w:pPr>
        <w:pStyle w:val="SourceNote"/>
      </w:pPr>
      <w:r>
        <w:rPr>
          <w:b/>
        </w:rPr>
        <w:t>Group ID:</w:t>
      </w:r>
      <w:r>
        <w:t xml:space="preserve"> group-73b9a81a7b8ae039a8c3</w:t>
      </w:r>
    </w:p>
    <w:p>
      <w:pPr>
        <w:pStyle w:val="SourceNote"/>
      </w:pPr>
      <w:r>
        <w:rPr>
          <w:b/>
        </w:rPr>
        <w:t>Original source:</w:t>
      </w:r>
      <w:r>
        <w:t xml:space="preserve"> https://doi.org/10.1016/j.enpol.2019.111224</w:t>
      </w:r>
    </w:p>
    <w:p>
      <w:pPr/>
      <w:r>
        <w:rPr>
          <w:b/>
        </w:rPr>
        <w:t>Original future claim:</w:t>
      </w:r>
      <w:r>
        <w:t xml:space="preserve"> Outcomes show that tank to wheel road transport CO2 emission reductions up to 90% versus 1990 could be reached by 2050 through strong fleet electrification and if all measures achieve their best potential. To inform long-term policies on transport decarbonisation, the present paper analyses European road transport CO2 emission reduction options by 2050.</w:t>
      </w:r>
    </w:p>
    <w:p>
      <w:pPr/>
      <w:r>
        <w:rPr>
          <w:b/>
        </w:rPr>
        <w:t>Later source:</w:t>
      </w:r>
      <w:r>
        <w:t xml:space="preserve"> The economics of Decarbonizing Road Freight Transport – comparing Europe, USA and China — https://doi.org/10.34726/hss.2026.134201</w:t>
      </w:r>
    </w:p>
    <w:p>
      <w:pPr/>
      <w:r>
        <w:rPr>
          <w:b/>
        </w:rPr>
        <w:t>Later source:</w:t>
      </w:r>
      <w:r>
        <w:t xml:space="preserve"> Estimation of Costs and Environmental Impacts of a Cryogenic H2 Tank — https://doi.org/10.3390/engproc2026133137</w:t>
      </w:r>
    </w:p>
    <w:p>
      <w:pPr>
        <w:pStyle w:val="SourceNote"/>
      </w:pPr>
      <w:r>
        <w:rPr>
          <w:b/>
        </w:rPr>
        <w:t>Review status:</w:t>
      </w:r>
      <w:r>
        <w:t xml:space="preserve"> unchecked — possible relationship only</w:t>
      </w:r>
    </w:p>
    <w:p>
      <w:pPr>
        <w:pStyle w:val="Heading2"/>
      </w:pPr>
      <w:r>
        <w:t>147. Claim + two later sources: Foresight as a tool of public administration in the field of science, technology and innovation</w:t>
      </w:r>
    </w:p>
    <w:p>
      <w:pPr>
        <w:pStyle w:val="SourceNote"/>
      </w:pPr>
      <w:r>
        <w:rPr>
          <w:b/>
        </w:rPr>
        <w:t>Group ID:</w:t>
      </w:r>
      <w:r>
        <w:t xml:space="preserve"> group-81356f4d918389fde693</w:t>
      </w:r>
    </w:p>
    <w:p>
      <w:pPr>
        <w:pStyle w:val="SourceNote"/>
      </w:pPr>
      <w:r>
        <w:rPr>
          <w:b/>
        </w:rPr>
        <w:t>Original source:</w:t>
      </w:r>
      <w:r>
        <w:t xml:space="preserve"> https://doi.org/10.23939/eem2021.01.090</w:t>
      </w:r>
    </w:p>
    <w:p>
      <w:pPr/>
      <w:r>
        <w:rPr>
          <w:b/>
        </w:rPr>
        <w:t>Original future claim:</w:t>
      </w:r>
      <w:r>
        <w:t xml:space="preserve"> Given the growing role of technological foresight as a tool for reconciling visions, goals and ways of STI development in an era of rapid technological change and global challenges, the approach to foresight research to select priorities for science and innovation in Ukraine for 2022–2026 has been improved.</w:t>
      </w:r>
    </w:p>
    <w:p>
      <w:pPr/>
      <w:r>
        <w:rPr>
          <w:b/>
        </w:rPr>
        <w:t>Later source:</w:t>
      </w:r>
      <w:r>
        <w:t xml:space="preserve"> Growing futures: The Role of Agri-Entrepreneurship in rural transformation — https://doi.org/10.55248/gengpi.07.0126.0122</w:t>
      </w:r>
    </w:p>
    <w:p>
      <w:pPr/>
      <w:r>
        <w:rPr>
          <w:b/>
        </w:rPr>
        <w:t>Later source:</w:t>
      </w:r>
      <w:r>
        <w:t xml:space="preserve"> Strategic Technology Foresight Certification Assessment — https://doi.org/10.17605/osf.io/tc796</w:t>
      </w:r>
    </w:p>
    <w:p>
      <w:pPr>
        <w:pStyle w:val="SourceNote"/>
      </w:pPr>
      <w:r>
        <w:rPr>
          <w:b/>
        </w:rPr>
        <w:t>Review status:</w:t>
      </w:r>
      <w:r>
        <w:t xml:space="preserve"> unchecked — possible relationship only</w:t>
      </w:r>
    </w:p>
    <w:p>
      <w:pPr>
        <w:pStyle w:val="Heading2"/>
      </w:pPr>
      <w:r>
        <w:t>148. Claim + two later sources: Foresight of teachers’ professional challenges</w:t>
      </w:r>
    </w:p>
    <w:p>
      <w:pPr>
        <w:pStyle w:val="SourceNote"/>
      </w:pPr>
      <w:r>
        <w:rPr>
          <w:b/>
        </w:rPr>
        <w:t>Group ID:</w:t>
      </w:r>
      <w:r>
        <w:t xml:space="preserve"> group-815c9b2703d58673149d</w:t>
      </w:r>
    </w:p>
    <w:p>
      <w:pPr>
        <w:pStyle w:val="SourceNote"/>
      </w:pPr>
      <w:r>
        <w:rPr>
          <w:b/>
        </w:rPr>
        <w:t>Original source:</w:t>
      </w:r>
      <w:r>
        <w:t xml:space="preserve"> https://doi.org/10.17853/1994-5639-2022-6-60-83</w:t>
      </w:r>
    </w:p>
    <w:p>
      <w:pPr/>
      <w:r>
        <w:rPr>
          <w:b/>
        </w:rPr>
        <w:t>Original future claim:</w:t>
      </w:r>
      <w:r>
        <w:t xml:space="preserve"> As a result of the study, it was found that the main challenge in the future will be the lack of competencies and skills of teachers to apply the necessary techniques and technologies. From the teachers’ point of view, the main challenge in the future will be the lack of time for the necessary changes.</w:t>
      </w:r>
    </w:p>
    <w:p>
      <w:pPr/>
      <w:r>
        <w:rPr>
          <w:b/>
        </w:rPr>
        <w:t>Later source:</w:t>
      </w:r>
      <w:r>
        <w:t xml:space="preserve"> IMPLEMENTATION OF 12 CORE COMPETENCY TRAINING, PRECEPTORSHIP METHOD FOR NEW NURSES IN IMPROVING THE 12 CORE COMPETENCIES OF NEW NURSES AT PRIMAYA PGI CIKINI HOSPITAL, CENTRAL JAKARTA — https://doi.org/10.58439/hnp.v4i1.474</w:t>
      </w:r>
    </w:p>
    <w:p>
      <w:pPr/>
      <w:r>
        <w:rPr>
          <w:b/>
        </w:rPr>
        <w:t>Later source:</w:t>
      </w:r>
      <w:r>
        <w:t xml:space="preserve"> ANALYSIS OF COMPETENCY DEVELOPMENT POLICY IN IMPROVING EMPLOYEE PERFORMANCE AT THE SIROMBU DISTRICT OFFICE — https://doi.org/10.47652/metadata.v8i1.980</w:t>
      </w:r>
    </w:p>
    <w:p>
      <w:pPr>
        <w:pStyle w:val="SourceNote"/>
      </w:pPr>
      <w:r>
        <w:rPr>
          <w:b/>
        </w:rPr>
        <w:t>Review status:</w:t>
      </w:r>
      <w:r>
        <w:t xml:space="preserve"> unchecked — possible relationship only</w:t>
      </w:r>
    </w:p>
    <w:p>
      <w:pPr>
        <w:pStyle w:val="Heading2"/>
      </w:pPr>
      <w:r>
        <w:t>149. Claim + two later sources: Scenarios for population health inequalities in 2030 in Europe</w:t>
      </w:r>
    </w:p>
    <w:p>
      <w:pPr>
        <w:pStyle w:val="SourceNote"/>
      </w:pPr>
      <w:r>
        <w:rPr>
          <w:b/>
        </w:rPr>
        <w:t>Group ID:</w:t>
      </w:r>
      <w:r>
        <w:t xml:space="preserve"> group-2c2f7b72d9fc9ec8344b</w:t>
      </w:r>
    </w:p>
    <w:p>
      <w:pPr>
        <w:pStyle w:val="SourceNote"/>
      </w:pPr>
      <w:r>
        <w:rPr>
          <w:b/>
        </w:rPr>
        <w:t>Original source:</w:t>
      </w:r>
      <w:r>
        <w:t xml:space="preserve"> https://doi.org/10.1093/eurpub/ckaa165.1288</w:t>
      </w:r>
    </w:p>
    <w:p>
      <w:pPr/>
      <w:r>
        <w:rPr>
          <w:b/>
        </w:rPr>
        <w:t>Original future claim:</w:t>
      </w:r>
      <w:r>
        <w:t xml:space="preserve"> In the EURO-HEALTHY project, funded by Horizon 2020, three 2030 time-horizon scenarios were developed, depicting the key factors that may affect the evolution of PH inequalities across European regions.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organised into coherent scenarios using the Extreme-World Method; and iii) validation of scenario structures and generation of scenario narratives.</w:t>
      </w:r>
    </w:p>
    <w:p>
      <w:pPr/>
      <w:r>
        <w:rPr>
          <w:b/>
        </w:rPr>
        <w:t>Later source:</w:t>
      </w:r>
      <w:r>
        <w:t xml:space="preserve"> THE DIVERSITY OF EUROPEAN FUNDING MECHANISMS: INSIGHTS INTO THEIR TYPOLOGIES — https://doi.org/10.24818/imc/2025/05.09</w:t>
      </w:r>
    </w:p>
    <w:p>
      <w:pPr/>
      <w:r>
        <w:rPr>
          <w:b/>
        </w:rPr>
        <w:t>Later source:</w:t>
      </w:r>
      <w:r>
        <w:t xml:space="preserve"> Soil degradation in Europe is projected to accelerate under changing land use and climate — https://doi.org/10.1038/s44458-026-00064-4</w:t>
      </w:r>
    </w:p>
    <w:p>
      <w:pPr>
        <w:pStyle w:val="SourceNote"/>
      </w:pPr>
      <w:r>
        <w:rPr>
          <w:b/>
        </w:rPr>
        <w:t>Review status:</w:t>
      </w:r>
      <w:r>
        <w:t xml:space="preserve"> unchecked — possible relationship only</w:t>
      </w:r>
    </w:p>
    <w:p>
      <w:pPr>
        <w:pStyle w:val="Heading2"/>
      </w:pPr>
      <w:r>
        <w:t>150. Claim + two later sources: REMIND-D: A Hybrid Energy-Economy Model of Germany</w:t>
      </w:r>
    </w:p>
    <w:p>
      <w:pPr>
        <w:pStyle w:val="SourceNote"/>
      </w:pPr>
      <w:r>
        <w:rPr>
          <w:b/>
        </w:rPr>
        <w:t>Group ID:</w:t>
      </w:r>
      <w:r>
        <w:t xml:space="preserve"> group-d33e893f6c57e36f6c44</w:t>
      </w:r>
    </w:p>
    <w:p>
      <w:pPr>
        <w:pStyle w:val="SourceNote"/>
      </w:pPr>
      <w:r>
        <w:rPr>
          <w:b/>
        </w:rPr>
        <w:t>Original source:</w:t>
      </w:r>
      <w:r>
        <w:t xml:space="preserve"> https://doi.org/10.22004/ag.econ.121911</w:t>
      </w:r>
    </w:p>
    <w:p>
      <w:pPr/>
      <w:r>
        <w:rPr>
          <w:b/>
        </w:rPr>
        <w:t>Original future claim:</w:t>
      </w:r>
      <w:r>
        <w:t xml:space="preserve"> The model provides a quantitative framework for analyzing long-term domestic CO2 emission reduction scenarios.</w:t>
      </w:r>
    </w:p>
    <w:p>
      <w:pPr/>
      <w:r>
        <w:rPr>
          <w:b/>
        </w:rPr>
        <w:t>Later source:</w:t>
      </w:r>
      <w:r>
        <w:t xml:space="preserve"> Forecasting human tick-borne encephalitis risk across Europe through quantitative models integrating environmental and exposure drivers — https://openalex.org/W7154437128</w:t>
      </w:r>
    </w:p>
    <w:p>
      <w:pPr/>
      <w:r>
        <w:rPr>
          <w:b/>
        </w:rPr>
        <w:t>Later source:</w:t>
      </w:r>
      <w:r>
        <w:t xml:space="preserve"> Spillover and dynamic effects of energy transition and economic growth on carbon dioxide emissions for the European Union: A dynamic spatial panel model — https://doi.org/10.1002/sd.2144</w:t>
      </w:r>
    </w:p>
    <w:p>
      <w:pPr>
        <w:pStyle w:val="SourceNote"/>
      </w:pPr>
      <w:r>
        <w:rPr>
          <w:b/>
        </w:rPr>
        <w:t>Review status:</w:t>
      </w:r>
      <w:r>
        <w:t xml:space="preserve"> unchecked — possible relationship only</w:t>
      </w:r>
    </w:p>
    <w:p>
      <w:pPr>
        <w:pStyle w:val="Heading2"/>
      </w:pPr>
      <w:r>
        <w:t>151. Claim + two later sources: Pathway Analysis of a Zero-Emission Transition in the Nordic-Baltic Region</w:t>
      </w:r>
    </w:p>
    <w:p>
      <w:pPr>
        <w:pStyle w:val="SourceNote"/>
      </w:pPr>
      <w:r>
        <w:rPr>
          <w:b/>
        </w:rPr>
        <w:t>Group ID:</w:t>
      </w:r>
      <w:r>
        <w:t xml:space="preserve"> group-6502455b5b4eb01c6b70</w:t>
      </w:r>
    </w:p>
    <w:p>
      <w:pPr>
        <w:pStyle w:val="SourceNote"/>
      </w:pPr>
      <w:r>
        <w:rPr>
          <w:b/>
        </w:rPr>
        <w:t>Original source:</w:t>
      </w:r>
      <w:r>
        <w:t xml:space="preserve"> https://doi.org/10.3390/en12173337</w:t>
      </w:r>
    </w:p>
    <w:p>
      <w:pPr/>
      <w:r>
        <w:rPr>
          <w:b/>
        </w:rPr>
        <w:t>Original future claim:</w:t>
      </w:r>
      <w:r>
        <w:t xml:space="preserve"> The energy system optimizations indicate that most of the investments needed for the zero-emission pathway until 2050 would take place already by 2030. A zero-emission pathway for the Nordic and Baltic region in Europe is described based on the comprehensive policy and scenario analyses, accompanied by energy system modelling.</w:t>
      </w:r>
    </w:p>
    <w:p>
      <w:pPr/>
      <w:r>
        <w:rPr>
          <w:b/>
        </w:rPr>
        <w:t>Later source:</w:t>
      </w:r>
      <w:r>
        <w:t xml:space="preserve"> Holistic design &amp; optimization of renewable energy systems - an african-european case study — https://doi.org/10.18154/rwth-2026-03350</w:t>
      </w:r>
    </w:p>
    <w:p>
      <w:pPr/>
      <w:r>
        <w:rPr>
          <w:b/>
        </w:rPr>
        <w:t>Later source:</w:t>
      </w:r>
      <w:r>
        <w:t xml:space="preserve"> Accounting for economic disparity in designing net-zero European energy systems — https://doi.org/10.1088/2753-3751/ae6b8f</w:t>
      </w:r>
    </w:p>
    <w:p>
      <w:pPr>
        <w:pStyle w:val="SourceNote"/>
      </w:pPr>
      <w:r>
        <w:rPr>
          <w:b/>
        </w:rPr>
        <w:t>Review status:</w:t>
      </w:r>
      <w:r>
        <w:t xml:space="preserve"> unchecked — possible relationship only</w:t>
      </w:r>
    </w:p>
    <w:p>
      <w:pPr>
        <w:pStyle w:val="Heading2"/>
      </w:pPr>
      <w:r>
        <w:t>152. Claim + two later sources: Bioenergy futures in Sweden – Modeling integration scenarios for biofuel production</w:t>
      </w:r>
    </w:p>
    <w:p>
      <w:pPr>
        <w:pStyle w:val="SourceNote"/>
      </w:pPr>
      <w:r>
        <w:rPr>
          <w:b/>
        </w:rPr>
        <w:t>Group ID:</w:t>
      </w:r>
      <w:r>
        <w:t xml:space="preserve"> group-09f07f40744cc65e050a</w:t>
      </w:r>
    </w:p>
    <w:p>
      <w:pPr>
        <w:pStyle w:val="SourceNote"/>
      </w:pPr>
      <w:r>
        <w:rPr>
          <w:b/>
        </w:rPr>
        <w:t>Original source:</w:t>
      </w:r>
      <w:r>
        <w:t xml:space="preserve"> https://doi.org/10.1016/j.energy.2016.04.044</w:t>
      </w:r>
    </w:p>
    <w:p>
      <w:pPr/>
      <w:r>
        <w:rPr>
          <w:b/>
        </w:rPr>
        <w:t>Original future claim:</w:t>
      </w:r>
      <w:r>
        <w:t xml:space="preserve"> However, even though biomass is a renewable resource, the potential is limited, and efficient use of available biomass resources will become increasingly important.</w:t>
      </w:r>
    </w:p>
    <w:p>
      <w:pPr/>
      <w:r>
        <w:rPr>
          <w:b/>
        </w:rPr>
        <w:t>Later source:</w:t>
      </w:r>
      <w:r>
        <w:t xml:space="preserve"> Increased Holocene Diversity in Europe Linked to Human‐Associated Vegetation Change — https://doi.org/10.1111/geb.70166</w:t>
      </w:r>
    </w:p>
    <w:p>
      <w:pPr/>
      <w:r>
        <w:rPr>
          <w:b/>
        </w:rPr>
        <w:t>Later source:</w:t>
      </w:r>
      <w:r>
        <w:t xml:space="preserve"> Evolution of the European offshore renewable energy resource under multiple climate change scenarios and forecasting horizons via CMIP6 — https://doi.org/10.1016/j.enconman.2023.118058</w:t>
      </w:r>
    </w:p>
    <w:p>
      <w:pPr>
        <w:pStyle w:val="SourceNote"/>
      </w:pPr>
      <w:r>
        <w:rPr>
          <w:b/>
        </w:rPr>
        <w:t>Review status:</w:t>
      </w:r>
      <w:r>
        <w:t xml:space="preserve"> unchecked — possible relationship only</w:t>
      </w:r>
    </w:p>
    <w:p>
      <w:pPr>
        <w:pStyle w:val="Heading2"/>
      </w:pPr>
      <w:r>
        <w:t>153. Claim + two later sources: Horizon scanning exercise on preparedness for future risk assessment requirements and possible challenges in regulatory science</w:t>
      </w:r>
    </w:p>
    <w:p>
      <w:pPr>
        <w:pStyle w:val="SourceNote"/>
      </w:pPr>
      <w:r>
        <w:rPr>
          <w:b/>
        </w:rPr>
        <w:t>Group ID:</w:t>
      </w:r>
      <w:r>
        <w:t xml:space="preserve"> group-1284e7f859060a8f49ba</w:t>
      </w:r>
    </w:p>
    <w:p>
      <w:pPr>
        <w:pStyle w:val="SourceNote"/>
      </w:pPr>
      <w:r>
        <w:rPr>
          <w:b/>
        </w:rPr>
        <w:t>Original source:</w:t>
      </w:r>
      <w:r>
        <w:t xml:space="preserve"> https://doi.org/10.2903/sp.efsa.2022.en-7297</w:t>
      </w:r>
    </w:p>
    <w:p>
      <w:pPr/>
      <w:r>
        <w:rPr>
          <w:b/>
        </w:rPr>
        <w:t>Original future claim:</w:t>
      </w:r>
      <w:r>
        <w:t xml:space="preserve"> The horizon scan resulted in a set of recommended actions for the six thematic areas that could contribute in EFSA’s preparedness and in preventing challenges and potential divergences from materialising. The findings of this horizon scanning exercise should not be considered as an indication of the direction that ongoing EU policy initiatives in the food system may take.</w:t>
      </w:r>
    </w:p>
    <w:p>
      <w:pPr/>
      <w:r>
        <w:rPr>
          <w:b/>
        </w:rPr>
        <w:t>Later source:</w:t>
      </w:r>
      <w:r>
        <w:t xml:space="preserve"> Assessing the success of a horizon scanning approach in predicting invasive non-native species — https://openalex.org/W7114593291</w:t>
      </w:r>
    </w:p>
    <w:p>
      <w:pPr/>
      <w:r>
        <w:rPr>
          <w:b/>
        </w:rPr>
        <w:t>Later source:</w:t>
      </w:r>
      <w:r>
        <w:t xml:space="preserve"> Evaluating international collaboration on horizon scanning for pharmaceuticals: developing key performance indicators for the international horizon scanning initiative — https://doi.org/10.1017/s0266462325103358</w:t>
      </w:r>
    </w:p>
    <w:p>
      <w:pPr>
        <w:pStyle w:val="SourceNote"/>
      </w:pPr>
      <w:r>
        <w:rPr>
          <w:b/>
        </w:rPr>
        <w:t>Review status:</w:t>
      </w:r>
      <w:r>
        <w:t xml:space="preserve"> unchecked — possible relationship only</w:t>
      </w:r>
    </w:p>
    <w:p>
      <w:pPr>
        <w:pStyle w:val="Heading2"/>
      </w:pPr>
      <w:r>
        <w:t>154. Claim + two later sources: Fiscal foresighting: analysis of researches</w:t>
      </w:r>
    </w:p>
    <w:p>
      <w:pPr>
        <w:pStyle w:val="SourceNote"/>
      </w:pPr>
      <w:r>
        <w:rPr>
          <w:b/>
        </w:rPr>
        <w:t>Group ID:</w:t>
      </w:r>
      <w:r>
        <w:t xml:space="preserve"> group-5538827055949821448f</w:t>
      </w:r>
    </w:p>
    <w:p>
      <w:pPr>
        <w:pStyle w:val="SourceNote"/>
      </w:pPr>
      <w:r>
        <w:rPr>
          <w:b/>
        </w:rPr>
        <w:t>Original source:</w:t>
      </w:r>
      <w:r>
        <w:t xml:space="preserve"> https://doi.org/10.15407/econindustry2021.02.071</w:t>
      </w:r>
    </w:p>
    <w:p>
      <w:pPr/>
      <w:r>
        <w:rPr>
          <w:b/>
        </w:rPr>
        <w:t>Original future claim:</w:t>
      </w:r>
      <w:r>
        <w:t xml:space="preserve"> The objective of the paper is to analyse theoretical aspects of fiscal foresight, as well as foreign and national experience in fiscal foresights’ preparation to identify long-term factors and indicators that will have a significant impact (both positive and negative) on a fiscal system in a distant future. Based on the results of the analysis of the "National Economic Strategy for the Period up to 2030", it was established that the actions indicated in the Strategy can become the initial data for the development of the first national fiscal foresight as a basis for assessing the long-term sustainability of the current fiscal system , identifying opportunities and risks of transformations of the fiscal policy of Ukraine under the influence of megatrends and intrastate changes associated with the peculiarities of the country's socio-economic development.</w:t>
      </w:r>
    </w:p>
    <w:p>
      <w:pPr/>
      <w:r>
        <w:rPr>
          <w:b/>
        </w:rPr>
        <w:t>Later source:</w:t>
      </w:r>
      <w:r>
        <w:t xml:space="preserve"> Navigating the winds of change: strategic foresight and the power of weak signals — https://doi.org/10.1007/s11625-025-01786-5</w:t>
      </w:r>
    </w:p>
    <w:p>
      <w:pPr/>
      <w:r>
        <w:rPr>
          <w:b/>
        </w:rPr>
        <w:t>Later source:</w:t>
      </w:r>
      <w:r>
        <w:t xml:space="preserve"> Unveiling the Theoretical Framework — https://doi.org/10.4324/9781003727927-2</w:t>
      </w:r>
    </w:p>
    <w:p>
      <w:pPr>
        <w:pStyle w:val="SourceNote"/>
      </w:pPr>
      <w:r>
        <w:rPr>
          <w:b/>
        </w:rPr>
        <w:t>Review status:</w:t>
      </w:r>
      <w:r>
        <w:t xml:space="preserve"> unchecked — possible relationship only</w:t>
      </w:r>
    </w:p>
    <w:p>
      <w:pPr>
        <w:pStyle w:val="Heading2"/>
      </w:pPr>
      <w:r>
        <w:t>155. Claim + two later sources: Plan Ceibal 2020: future scenarios for technology and education—the case of the Uruguayan public education system</w:t>
      </w:r>
    </w:p>
    <w:p>
      <w:pPr>
        <w:pStyle w:val="SourceNote"/>
      </w:pPr>
      <w:r>
        <w:rPr>
          <w:b/>
        </w:rPr>
        <w:t>Group ID:</w:t>
      </w:r>
      <w:r>
        <w:t xml:space="preserve"> group-0fc67d2f5169ad27d0c8</w:t>
      </w:r>
    </w:p>
    <w:p>
      <w:pPr>
        <w:pStyle w:val="SourceNote"/>
      </w:pPr>
      <w:r>
        <w:rPr>
          <w:b/>
        </w:rPr>
        <w:t>Original source:</w:t>
      </w:r>
      <w:r>
        <w:t xml:space="preserve"> https://doi.org/10.1186/s40309-018-0134-z</w:t>
      </w:r>
    </w:p>
    <w:p>
      <w:pPr/>
      <w:r>
        <w:rPr>
          <w:b/>
        </w:rPr>
        <w:t>Original future claim:</w:t>
      </w:r>
      <w:r>
        <w:t xml:space="preserve"> In the present work, a set of future studies were implemented in order to answer the following question: What will the future scenarios be within the next 5 years regarding new technologies in the public education sector in Uruguay? This approach allowed us to define the possible technological future for the national education and technology policy.</w:t>
      </w:r>
    </w:p>
    <w:p>
      <w:pPr/>
      <w:r>
        <w:rPr>
          <w:b/>
        </w:rPr>
        <w:t>Later source:</w:t>
      </w:r>
      <w:r>
        <w:t xml:space="preserve"> On sets of periodic orbit lengths in finitely presented dynamical systems — https://doi.org/10.1017/etds.2026.10313</w:t>
      </w:r>
    </w:p>
    <w:p>
      <w:pPr/>
      <w:r>
        <w:rPr>
          <w:b/>
        </w:rPr>
        <w:t>Later source:</w:t>
      </w:r>
      <w:r>
        <w:t xml:space="preserve"> Live-coding performances: a body of work (2008–present) — https://doi.org/10.5281/zenodo.20743614</w:t>
      </w:r>
    </w:p>
    <w:p>
      <w:pPr>
        <w:pStyle w:val="SourceNote"/>
      </w:pPr>
      <w:r>
        <w:rPr>
          <w:b/>
        </w:rPr>
        <w:t>Review status:</w:t>
      </w:r>
      <w:r>
        <w:t xml:space="preserve"> unchecked — possible relationship only</w:t>
      </w:r>
    </w:p>
    <w:p>
      <w:pPr>
        <w:pStyle w:val="Heading2"/>
      </w:pPr>
      <w:r>
        <w:t>156. Claim + two later sources: Are Carbon Prices Redundant in the 2030 EU Climate and Energy Policy Package?</w:t>
      </w:r>
    </w:p>
    <w:p>
      <w:pPr>
        <w:pStyle w:val="SourceNote"/>
      </w:pPr>
      <w:r>
        <w:rPr>
          <w:b/>
        </w:rPr>
        <w:t>Group ID:</w:t>
      </w:r>
      <w:r>
        <w:t xml:space="preserve"> group-3e41c66ca5ce6d3b1996</w:t>
      </w:r>
    </w:p>
    <w:p>
      <w:pPr>
        <w:pStyle w:val="SourceNote"/>
      </w:pPr>
      <w:r>
        <w:rPr>
          <w:b/>
        </w:rPr>
        <w:t>Original source:</w:t>
      </w:r>
      <w:r>
        <w:t xml:space="preserve"> https://doi.org/10.5547/01956574.42.3.faun</w:t>
      </w:r>
    </w:p>
    <w:p>
      <w:pPr/>
      <w:r>
        <w:rPr>
          <w:b/>
        </w:rPr>
        <w:t>Original future claim:</w:t>
      </w:r>
      <w:r>
        <w:t xml:space="preserve"> We demonstrate that a cost-efficient policy that obtains a 50 percent GHG emissions reduction would increase annual welfare (relative to the Reference scenario) by an amount corresponding to 0.6 percent of GDP in Europe. In 2018, an agreement between the key EU institutions—the Commission, the European Parliament, and the European Council—was reached after a long-lasting discourse over the 2030 EU climate and energy policy package.</w:t>
      </w:r>
    </w:p>
    <w:p>
      <w:pPr/>
      <w:r>
        <w:rPr>
          <w:b/>
        </w:rPr>
        <w:t>Later source:</w:t>
      </w:r>
      <w:r>
        <w:t xml:space="preserve"> From Policy to Practice: European Funding and the Development of Energy-Efficient Buildings in Romania’s Mountain Regions — https://doi.org/10.3390/buildings16061161</w:t>
      </w:r>
    </w:p>
    <w:p>
      <w:pPr/>
      <w:r>
        <w:rPr>
          <w:b/>
        </w:rPr>
        <w:t>Later source:</w:t>
      </w:r>
      <w:r>
        <w:t xml:space="preserve"> The future of EU tax policy harmonisation: Cost of non-Europe report — https://doi.org/10.2861/8675836</w:t>
      </w:r>
    </w:p>
    <w:p>
      <w:pPr>
        <w:pStyle w:val="SourceNote"/>
      </w:pPr>
      <w:r>
        <w:rPr>
          <w:b/>
        </w:rPr>
        <w:t>Review status:</w:t>
      </w:r>
      <w:r>
        <w:t xml:space="preserve"> unchecked — possible relationship only</w:t>
      </w:r>
    </w:p>
    <w:p>
      <w:pPr>
        <w:pStyle w:val="Heading2"/>
      </w:pPr>
      <w:r>
        <w:t>157. Claim + two later sources: Institutional issues in planning for more uncertain futures</w:t>
      </w:r>
    </w:p>
    <w:p>
      <w:pPr>
        <w:pStyle w:val="SourceNote"/>
      </w:pPr>
      <w:r>
        <w:rPr>
          <w:b/>
        </w:rPr>
        <w:t>Group ID:</w:t>
      </w:r>
      <w:r>
        <w:t xml:space="preserve"> group-8d1bcfd079f255f28b05</w:t>
      </w:r>
    </w:p>
    <w:p>
      <w:pPr>
        <w:pStyle w:val="SourceNote"/>
      </w:pPr>
      <w:r>
        <w:rPr>
          <w:b/>
        </w:rPr>
        <w:t>Original source:</w:t>
      </w:r>
      <w:r>
        <w:t xml:space="preserve"> https://doi.org/10.1007/s11116-017-9805-z</w:t>
      </w:r>
    </w:p>
    <w:p>
      <w:pPr/>
      <w:r>
        <w:rPr>
          <w:b/>
        </w:rPr>
        <w:t>Original future claim:</w:t>
      </w:r>
      <w:r>
        <w:t xml:space="preserve"> In contrast to the changing ideas around what mobility in the future will look like and the types of demand it may need to service, the practice of forecasting future travel demand remains largely unchanged as do the decision-making processes which flow from this. Alternative approaches to thinking about futures such as scenario planning exist but have had more limited deployment in the transport sector.</w:t>
      </w:r>
    </w:p>
    <w:p>
      <w:pPr/>
      <w:r>
        <w:rPr>
          <w:b/>
        </w:rPr>
        <w:t>Later source:</w:t>
      </w:r>
      <w:r>
        <w:t xml:space="preserve"> Shaping institutional change in skill formation: the role of background ideas in growth strategies — https://doi.org/10.1080/13501763.2025.2490188</w:t>
      </w:r>
    </w:p>
    <w:p>
      <w:pPr/>
      <w:r>
        <w:rPr>
          <w:b/>
        </w:rPr>
        <w:t>Later source:</w:t>
      </w:r>
      <w:r>
        <w:t xml:space="preserve"> On Changing the Subject: ‘Secularity’, ‘Religion’, and the Idea of the Human — https://doi.org/10.3390/rel14040466</w:t>
      </w:r>
    </w:p>
    <w:p>
      <w:pPr>
        <w:pStyle w:val="SourceNote"/>
      </w:pPr>
      <w:r>
        <w:rPr>
          <w:b/>
        </w:rPr>
        <w:t>Review status:</w:t>
      </w:r>
      <w:r>
        <w:t xml:space="preserve"> unchecked — possible relationship only</w:t>
      </w:r>
    </w:p>
    <w:p>
      <w:pPr>
        <w:pStyle w:val="Heading2"/>
      </w:pPr>
      <w:r>
        <w:t>158. Claim + two later sources: La aplicación estratégica por escenarios en el medio natural. El caso del Nature Outlook 2050 del PBL.</w:t>
      </w:r>
    </w:p>
    <w:p>
      <w:pPr>
        <w:pStyle w:val="SourceNote"/>
      </w:pPr>
      <w:r>
        <w:rPr>
          <w:b/>
        </w:rPr>
        <w:t>Group ID:</w:t>
      </w:r>
      <w:r>
        <w:t xml:space="preserve"> group-4f969f75e0f770afa6a0</w:t>
      </w:r>
    </w:p>
    <w:p>
      <w:pPr>
        <w:pStyle w:val="SourceNote"/>
      </w:pPr>
      <w:r>
        <w:rPr>
          <w:b/>
        </w:rPr>
        <w:t>Original source:</w:t>
      </w:r>
      <w:r>
        <w:t xml:space="preserve"> https://doi.org/10.5209/rev_obmd.2015.v18.51291</w:t>
      </w:r>
    </w:p>
    <w:p>
      <w:pPr/>
      <w:r>
        <w:rPr>
          <w:b/>
        </w:rPr>
        <w:t>Original future claim:</w:t>
      </w:r>
      <w:r>
        <w:t xml:space="preserve"> This paper shows how to implement the tool, mixing theoretical explanation and the practical performance done in project called: Nature Outlook 2050.</w:t>
      </w:r>
    </w:p>
    <w:p>
      <w:pPr/>
      <w:r>
        <w:rPr>
          <w:b/>
        </w:rPr>
        <w:t>Later source:</w:t>
      </w:r>
      <w:r>
        <w:t xml:space="preserve"> Theoretical Explanation of Triguna and Emotional Intelligence — https://doi.org/10.1922/pjs.16.4s.2026.954</w:t>
      </w:r>
    </w:p>
    <w:p>
      <w:pPr/>
      <w:r>
        <w:rPr>
          <w:b/>
        </w:rPr>
        <w:t>Later source:</w:t>
      </w:r>
      <w:r>
        <w:t xml:space="preserve"> GAD-7 Screening Tool Implementation — https://openalex.org/W7112211183</w:t>
      </w:r>
    </w:p>
    <w:p>
      <w:pPr>
        <w:pStyle w:val="SourceNote"/>
      </w:pPr>
      <w:r>
        <w:rPr>
          <w:b/>
        </w:rPr>
        <w:t>Review status:</w:t>
      </w:r>
      <w:r>
        <w:t xml:space="preserve"> unchecked — possible relationship only</w:t>
      </w:r>
    </w:p>
    <w:p>
      <w:pPr>
        <w:pStyle w:val="Heading2"/>
      </w:pPr>
      <w:r>
        <w:t>159. Claim + two later sources: Backcasting for desirable futures in Finnish forest-based firms</w:t>
      </w:r>
    </w:p>
    <w:p>
      <w:pPr>
        <w:pStyle w:val="SourceNote"/>
      </w:pPr>
      <w:r>
        <w:rPr>
          <w:b/>
        </w:rPr>
        <w:t>Group ID:</w:t>
      </w:r>
      <w:r>
        <w:t xml:space="preserve"> group-862712170d0969a36354</w:t>
      </w:r>
    </w:p>
    <w:p>
      <w:pPr>
        <w:pStyle w:val="SourceNote"/>
      </w:pPr>
      <w:r>
        <w:rPr>
          <w:b/>
        </w:rPr>
        <w:t>Original source:</w:t>
      </w:r>
      <w:r>
        <w:t xml:space="preserve"> https://doi.org/10.1108/fs-01-2020-0005</w:t>
      </w:r>
    </w:p>
    <w:p>
      <w:pPr/>
      <w:r>
        <w:rPr>
          <w:b/>
        </w:rPr>
        <w:t>Original future claim:</w:t>
      </w:r>
      <w:r>
        <w:t xml:space="preserve"> In these desirable futures, expanded businesses will be based on strong knowledge.</w:t>
      </w:r>
    </w:p>
    <w:p>
      <w:pPr/>
      <w:r>
        <w:rPr>
          <w:b/>
        </w:rPr>
        <w:t>Later source:</w:t>
      </w:r>
      <w:r>
        <w:t xml:space="preserve"> Knowledge and Prizes — https://doi.org/10.1093/9780191976766.003.0012</w:t>
      </w:r>
    </w:p>
    <w:p>
      <w:pPr/>
      <w:r>
        <w:rPr>
          <w:b/>
        </w:rPr>
        <w:t>Later source:</w:t>
      </w:r>
      <w:r>
        <w:t xml:space="preserve"> Technology‐Driven Business Ethics — https://doi.org/10.1002/9781394234028.ch20</w:t>
      </w:r>
    </w:p>
    <w:p>
      <w:pPr>
        <w:pStyle w:val="SourceNote"/>
      </w:pPr>
      <w:r>
        <w:rPr>
          <w:b/>
        </w:rPr>
        <w:t>Review status:</w:t>
      </w:r>
      <w:r>
        <w:t xml:space="preserve"> unchecked — possible relationship only</w:t>
      </w:r>
    </w:p>
    <w:p>
      <w:pPr>
        <w:pStyle w:val="Heading2"/>
      </w:pPr>
      <w:r>
        <w:t>160. Claim + two later sources: Climate, competition and connectivity affect future migration and ranges of European trees</w:t>
      </w:r>
    </w:p>
    <w:p>
      <w:pPr>
        <w:pStyle w:val="SourceNote"/>
      </w:pPr>
      <w:r>
        <w:rPr>
          <w:b/>
        </w:rPr>
        <w:t>Group ID:</w:t>
      </w:r>
      <w:r>
        <w:t xml:space="preserve"> group-7a26092f92932b34dab0</w:t>
      </w:r>
    </w:p>
    <w:p>
      <w:pPr>
        <w:pStyle w:val="SourceNote"/>
      </w:pPr>
      <w:r>
        <w:rPr>
          <w:b/>
        </w:rPr>
        <w:t>Original source:</w:t>
      </w:r>
      <w:r>
        <w:t xml:space="preserve"> https://doi.org/10.1111/j.1466-8238.2011.00669.x</w:t>
      </w:r>
    </w:p>
    <w:p>
      <w:pPr/>
      <w:r>
        <w:rPr>
          <w:b/>
        </w:rPr>
        <w:t>Original future claim:</w:t>
      </w:r>
      <w:r>
        <w:t xml:space="preserve"> ABSTRACT Aim Species ranges have adapted during the Holocene to altering climate conditions, but it remains unclear if species will be able to keep pace with recent and future climate change. To predict future species ranges from these models, we applied three migration scenarios: no migration, unlimited migration and realistic migration.</w:t>
      </w:r>
    </w:p>
    <w:p>
      <w:pPr/>
      <w:r>
        <w:rPr>
          <w:b/>
        </w:rPr>
        <w:t>Later source:</w:t>
      </w:r>
      <w:r>
        <w:t xml:space="preserve"> Lessons learned in institutional preparedness and response during the 2022 European drought — https://doi.org/10.5194/nhess-26-955-2026</w:t>
      </w:r>
    </w:p>
    <w:p>
      <w:pPr/>
      <w:r>
        <w:rPr>
          <w:b/>
        </w:rPr>
        <w:t>Later source:</w:t>
      </w:r>
      <w:r>
        <w:t xml:space="preserve"> Abstracts of the 19th European Congress of Psychology — https://doi.org/10.1024/2673-8627/a000085</w:t>
      </w:r>
    </w:p>
    <w:p>
      <w:pPr>
        <w:pStyle w:val="SourceNote"/>
      </w:pPr>
      <w:r>
        <w:rPr>
          <w:b/>
        </w:rPr>
        <w:t>Review status:</w:t>
      </w:r>
      <w:r>
        <w:t xml:space="preserve"> unchecked — possible relationship only</w:t>
      </w:r>
    </w:p>
    <w:p>
      <w:pPr>
        <w:pStyle w:val="Heading2"/>
      </w:pPr>
      <w:r>
        <w:t>161. Claim + two later sources: The July 2019 European Heat Wave in a Warmer Climate: Storyline Scenarios with a Coupled Model Using Spectral Nudging</w:t>
      </w:r>
    </w:p>
    <w:p>
      <w:pPr>
        <w:pStyle w:val="SourceNote"/>
      </w:pPr>
      <w:r>
        <w:rPr>
          <w:b/>
        </w:rPr>
        <w:t>Group ID:</w:t>
      </w:r>
      <w:r>
        <w:t xml:space="preserve"> group-47182beb163055fc5dbf</w:t>
      </w:r>
    </w:p>
    <w:p>
      <w:pPr>
        <w:pStyle w:val="SourceNote"/>
      </w:pPr>
      <w:r>
        <w:rPr>
          <w:b/>
        </w:rPr>
        <w:t>Original source:</w:t>
      </w:r>
      <w:r>
        <w:t xml:space="preserve"> https://doi.org/10.1175/jcli-d-21-0573.1</w:t>
      </w:r>
    </w:p>
    <w:p>
      <w:pPr/>
      <w:r>
        <w:rPr>
          <w:b/>
        </w:rPr>
        <w:t>Original future claim:</w:t>
      </w:r>
      <w:r>
        <w:t xml:space="preserve"> By varying the background climate, including CO 2 concentrations, it is demonstrated how the July 2019 European heat wave could have evolved in preindustrial times and in warmer climates.</w:t>
      </w:r>
    </w:p>
    <w:p>
      <w:pPr/>
      <w:r>
        <w:rPr>
          <w:b/>
        </w:rPr>
        <w:t>Later source:</w:t>
      </w:r>
      <w:r>
        <w:t xml:space="preserve"> Linking vulnerability and resilience for climate change adaptation: a GeoAI-integrated assessment across Europe — https://doi.org/10.1186/s13717-026-00680-x</w:t>
      </w:r>
    </w:p>
    <w:p>
      <w:pPr/>
      <w:r>
        <w:rPr>
          <w:b/>
        </w:rPr>
        <w:t>Later source:</w:t>
      </w:r>
      <w:r>
        <w:t xml:space="preserve"> Biodiversity Integration in the European Banking: Theoretical Background &amp; Empirical Evidence — https://openalex.org/W7197300685</w:t>
      </w:r>
    </w:p>
    <w:p>
      <w:pPr>
        <w:pStyle w:val="SourceNote"/>
      </w:pPr>
      <w:r>
        <w:rPr>
          <w:b/>
        </w:rPr>
        <w:t>Review status:</w:t>
      </w:r>
      <w:r>
        <w:t xml:space="preserve"> unchecked — possible relationship only</w:t>
      </w:r>
    </w:p>
    <w:p>
      <w:pPr>
        <w:pStyle w:val="Heading2"/>
      </w:pPr>
      <w:r>
        <w:t>162. Claim + two later sources: Futures of science with and for society: towards transformative policy orientations</w:t>
      </w:r>
    </w:p>
    <w:p>
      <w:pPr>
        <w:pStyle w:val="SourceNote"/>
      </w:pPr>
      <w:r>
        <w:rPr>
          <w:b/>
        </w:rPr>
        <w:t>Group ID:</w:t>
      </w:r>
      <w:r>
        <w:t xml:space="preserve"> group-5340fe4fccd71aeb4c78</w:t>
      </w:r>
    </w:p>
    <w:p>
      <w:pPr>
        <w:pStyle w:val="SourceNote"/>
      </w:pPr>
      <w:r>
        <w:rPr>
          <w:b/>
        </w:rPr>
        <w:t>Original source:</w:t>
      </w:r>
      <w:r>
        <w:t xml:space="preserve"> https://doi.org/10.1108/fs-10-2014-0063</w:t>
      </w:r>
    </w:p>
    <w:p>
      <w:pPr/>
      <w:r>
        <w:rPr>
          <w:b/>
        </w:rPr>
        <w:t>Original future claim:</w:t>
      </w:r>
      <w:r>
        <w:t xml:space="preserve"> This paper analyzes methodological and content issues of five future scenarios of transformed R&amp;I systems. Design/methodology/approach The paper elaborates a four-step methodology to assess the scenario’s policy implications: first, by articulating the scenario implications for six core dimensions of R&amp;I systems; second, an RRI assessment framework is developed to assess in each scenario opportunities and limitations for transforming R&amp;I systems towards responsibility goals; the third involves a cross-scenario analysis of similarities and differences between the scenarios, allowing the identification of robust policy options that make sense in more than one scenario.</w:t>
      </w:r>
    </w:p>
    <w:p>
      <w:pPr/>
      <w:r>
        <w:rPr>
          <w:b/>
        </w:rPr>
        <w:t>Later source:</w:t>
      </w:r>
      <w:r>
        <w:t xml:space="preserve"> Innovations in Methodology for Analyzing Automotive Engine Vibration Signals Based on Wavelet Transform Techniques to Determine Maintenance Needs — https://doi.org/10.70917/ijcisim-2026-0063</w:t>
      </w:r>
    </w:p>
    <w:p>
      <w:pPr/>
      <w:r>
        <w:rPr>
          <w:b/>
        </w:rPr>
        <w:t>Later source:</w:t>
      </w:r>
      <w:r>
        <w:t xml:space="preserve"> Beyond the "black box": Neil Postman's concept as a methodological basis for analyzing the ethical issues of artificial intelligence — https://doi.org/10.18287/2782-2966-2026-6-1-8-15</w:t>
      </w:r>
    </w:p>
    <w:p>
      <w:pPr>
        <w:pStyle w:val="SourceNote"/>
      </w:pPr>
      <w:r>
        <w:rPr>
          <w:b/>
        </w:rPr>
        <w:t>Review status:</w:t>
      </w:r>
      <w:r>
        <w:t xml:space="preserve"> unchecked — possible relationship only</w:t>
      </w:r>
    </w:p>
    <w:p>
      <w:pPr>
        <w:pStyle w:val="Heading2"/>
      </w:pPr>
      <w:r>
        <w:t>163. Claim + two later sources: Population Projections and Demographic Knowledge in France and Great Britain in the Postwar Period</w:t>
      </w:r>
    </w:p>
    <w:p>
      <w:pPr>
        <w:pStyle w:val="SourceNote"/>
      </w:pPr>
      <w:r>
        <w:rPr>
          <w:b/>
        </w:rPr>
        <w:t>Group ID:</w:t>
      </w:r>
      <w:r>
        <w:t xml:space="preserve"> group-bb6868ecc79d9bc018ee</w:t>
      </w:r>
    </w:p>
    <w:p>
      <w:pPr>
        <w:pStyle w:val="SourceNote"/>
      </w:pPr>
      <w:r>
        <w:rPr>
          <w:b/>
        </w:rPr>
        <w:t>Original source:</w:t>
      </w:r>
      <w:r>
        <w:t xml:space="preserve"> https://doi.org/10.1111/j.1728-4457.2015.00047.x</w:t>
      </w:r>
    </w:p>
    <w:p>
      <w:pPr/>
      <w:r>
        <w:rPr>
          <w:b/>
        </w:rPr>
        <w:t>Original future claim:</w:t>
      </w:r>
      <w:r>
        <w:t xml:space="preserve"> In France, publication of multiple variants emphasized future contingency, with low variants illustrating future population decline due to prolonged below‐replacement fertility. National population projections thus created divergent representations of the two countries' demographic futures: an ever‐present threat of population decline in France, and a reassuring image of stability in Britain.</w:t>
      </w:r>
    </w:p>
    <w:p>
      <w:pPr/>
      <w:r>
        <w:rPr>
          <w:b/>
        </w:rPr>
        <w:t>Later source:</w:t>
      </w:r>
      <w:r>
        <w:t xml:space="preserve"> Control and Contingency — https://doi.org/10.13135/2280-8574/13657</w:t>
      </w:r>
    </w:p>
    <w:p>
      <w:pPr/>
      <w:r>
        <w:rPr>
          <w:b/>
        </w:rPr>
        <w:t>Later source:</w:t>
      </w:r>
      <w:r>
        <w:t xml:space="preserve"> Labour unrest in the context of multiple crises: a comparative perspective of Europe — https://doi.org/10.1080/14742837.2025.2562879</w:t>
      </w:r>
    </w:p>
    <w:p>
      <w:pPr>
        <w:pStyle w:val="SourceNote"/>
      </w:pPr>
      <w:r>
        <w:rPr>
          <w:b/>
        </w:rPr>
        <w:t>Review status:</w:t>
      </w:r>
      <w:r>
        <w:t xml:space="preserve"> unchecked — possible relationship only</w:t>
      </w:r>
    </w:p>
    <w:p>
      <w:pPr>
        <w:pStyle w:val="Heading2"/>
      </w:pPr>
      <w:r>
        <w:t>164. Claim + two later sources: Conducting pre-foresight research: organizational aspect</w:t>
      </w:r>
    </w:p>
    <w:p>
      <w:pPr>
        <w:pStyle w:val="SourceNote"/>
      </w:pPr>
      <w:r>
        <w:rPr>
          <w:b/>
        </w:rPr>
        <w:t>Group ID:</w:t>
      </w:r>
      <w:r>
        <w:t xml:space="preserve"> group-bffc80b4c82adaf17ef8</w:t>
      </w:r>
    </w:p>
    <w:p>
      <w:pPr>
        <w:pStyle w:val="SourceNote"/>
      </w:pPr>
      <w:r>
        <w:rPr>
          <w:b/>
        </w:rPr>
        <w:t>Original source:</w:t>
      </w:r>
      <w:r>
        <w:t xml:space="preserve"> https://doi.org/10.15407/socium2021.02.026</w:t>
      </w:r>
    </w:p>
    <w:p>
      <w:pPr/>
      <w:r>
        <w:rPr>
          <w:b/>
        </w:rPr>
        <w:t>Original future claim:</w:t>
      </w:r>
      <w:r>
        <w:t xml:space="preserve"> The purpose of this publication is a detailed study and analysis of the organisation of pre-foresight research in terms of the formation of informational, communicative, and methodological components of the pre-foresight stage, as well as recommendations for measures to improve the effectiveness of national foresight as a tool for long-term development in the country.</w:t>
      </w:r>
    </w:p>
    <w:p>
      <w:pPr/>
      <w:r>
        <w:rPr>
          <w:b/>
        </w:rPr>
        <w:t>Later source:</w:t>
      </w:r>
      <w:r>
        <w:t xml:space="preserve"> CGT TECHNICAL DISCLOSURE BULLETIN V1 - Prior Art Publication for Inventions Derived from Conscious Geometry Theory — https://doi.org/10.5281/zenodo.18772630</w:t>
      </w:r>
    </w:p>
    <w:p>
      <w:pPr/>
      <w:r>
        <w:rPr>
          <w:b/>
        </w:rPr>
        <w:t>Later source:</w:t>
      </w:r>
      <w:r>
        <w:t xml:space="preserve"> FAIRsharing record for: FAIR Metric - R1.2 - Metadata - Linked Publications — https://doi.org/10.25504/fairsharing.653df6</w:t>
      </w:r>
    </w:p>
    <w:p>
      <w:pPr>
        <w:pStyle w:val="SourceNote"/>
      </w:pPr>
      <w:r>
        <w:rPr>
          <w:b/>
        </w:rPr>
        <w:t>Review status:</w:t>
      </w:r>
      <w:r>
        <w:t xml:space="preserve"> unchecked — possible relationship only</w:t>
      </w:r>
    </w:p>
    <w:p>
      <w:pPr>
        <w:pStyle w:val="Heading2"/>
      </w:pPr>
      <w:r>
        <w:t>165. Claim + two later sources: Where is the EU headed given its current climate policy? A stakeholder-driven model inter-comparison</w:t>
      </w:r>
    </w:p>
    <w:p>
      <w:pPr>
        <w:pStyle w:val="SourceNote"/>
      </w:pPr>
      <w:r>
        <w:rPr>
          <w:b/>
        </w:rPr>
        <w:t>Group ID:</w:t>
      </w:r>
      <w:r>
        <w:t xml:space="preserve"> group-e1f088c602166ace8d78</w:t>
      </w:r>
    </w:p>
    <w:p>
      <w:pPr>
        <w:pStyle w:val="SourceNote"/>
      </w:pPr>
      <w:r>
        <w:rPr>
          <w:b/>
        </w:rPr>
        <w:t>Original source:</w:t>
      </w:r>
      <w:r>
        <w:t xml:space="preserve"> https://doi.org/10.1016/j.scitotenv.2021.148549</w:t>
      </w:r>
    </w:p>
    <w:p>
      <w:pPr/>
      <w:r>
        <w:rPr>
          <w:b/>
        </w:rPr>
        <w:t>Original future claim:</w:t>
      </w:r>
      <w:r>
        <w:t xml:space="preserve"> We find that Europe is currently on track to overperforming its pre-2020 40% target yet far from its newest ambition of 55% emissions cuts by 2030, as well as looking at a 1.0–2.35 GtCO2 emissions range in 2050. The output of this process is a scenario framework exploring where the region is headed rather than how to achieve its goals, extrapolating its current policy efforts into the future.</w:t>
      </w:r>
    </w:p>
    <w:p>
      <w:pPr/>
      <w:r>
        <w:rPr>
          <w:b/>
        </w:rPr>
        <w:t>Later source:</w:t>
      </w:r>
      <w:r>
        <w:t xml:space="preserve"> The Rise of Social Science Infrastructures in Europe and Italy — https://doi.org/10.1007/978-3-032-07005-0_5</w:t>
      </w:r>
    </w:p>
    <w:p>
      <w:pPr/>
      <w:r>
        <w:rPr>
          <w:b/>
        </w:rPr>
        <w:t>Later source:</w:t>
      </w:r>
      <w:r>
        <w:t xml:space="preserve"> A unifying modelling of multiple land degradation pathways in Europe — https://doi.org/10.1038/s41467-024-48252-x</w:t>
      </w:r>
    </w:p>
    <w:p>
      <w:pPr>
        <w:pStyle w:val="SourceNote"/>
      </w:pPr>
      <w:r>
        <w:rPr>
          <w:b/>
        </w:rPr>
        <w:t>Review status:</w:t>
      </w:r>
      <w:r>
        <w:t xml:space="preserve"> unchecked — possible relationship only</w:t>
      </w:r>
    </w:p>
    <w:p>
      <w:pPr>
        <w:pStyle w:val="Heading2"/>
      </w:pPr>
      <w:r>
        <w:t>166. Claim + two later sources: A threat to climate-secure European futures? Exploring racial logics and climate-induced migration in US and EU climate security discourses</w:t>
      </w:r>
    </w:p>
    <w:p>
      <w:pPr>
        <w:pStyle w:val="SourceNote"/>
      </w:pPr>
      <w:r>
        <w:rPr>
          <w:b/>
        </w:rPr>
        <w:t>Group ID:</w:t>
      </w:r>
      <w:r>
        <w:t xml:space="preserve"> group-6ed3dad5df118e85d57f</w:t>
      </w:r>
    </w:p>
    <w:p>
      <w:pPr>
        <w:pStyle w:val="SourceNote"/>
      </w:pPr>
      <w:r>
        <w:rPr>
          <w:b/>
        </w:rPr>
        <w:t>Original source:</w:t>
      </w:r>
      <w:r>
        <w:t xml:space="preserve"> https://doi.org/10.1016/j.geoforum.2018.08.021</w:t>
      </w:r>
    </w:p>
    <w:p>
      <w:pPr/>
      <w:r>
        <w:rPr>
          <w:b/>
        </w:rPr>
        <w:t>Original future claim:</w:t>
      </w:r>
      <w:r>
        <w:t xml:space="preserve"> The paper proposes a reconceptualization of ‘racial logics’: a form of discursive construction that connects naturalized assumptions about racialized Others with possible outcomes in conditions of future climate insecurity. Constructed as racialized Others, ‘Muslim’ and ‘African’ migrant populations could face exclusionary containment policies in climate-insecure futures.</w:t>
      </w:r>
    </w:p>
    <w:p>
      <w:pPr/>
      <w:r>
        <w:rPr>
          <w:b/>
        </w:rPr>
        <w:t>Later source:</w:t>
      </w:r>
      <w:r>
        <w:t xml:space="preserve"> Discursive borders in EUrope — https://doi.org/10.82444/warw.33764785</w:t>
      </w:r>
    </w:p>
    <w:p>
      <w:pPr/>
      <w:r>
        <w:rPr>
          <w:b/>
        </w:rPr>
        <w:t>Later source:</w:t>
      </w:r>
      <w:r>
        <w:t xml:space="preserve"> Reconceptualizing Interregionalism through Asia-Europe Meeting (ASEM): A Corpus-Assisted Critical Discourse Analysis — https://openalex.org/W4414920263</w:t>
      </w:r>
    </w:p>
    <w:p>
      <w:pPr>
        <w:pStyle w:val="SourceNote"/>
      </w:pPr>
      <w:r>
        <w:rPr>
          <w:b/>
        </w:rPr>
        <w:t>Review status:</w:t>
      </w:r>
      <w:r>
        <w:t xml:space="preserve"> unchecked — possible relationship only</w:t>
      </w:r>
    </w:p>
    <w:p>
      <w:pPr>
        <w:pStyle w:val="Heading2"/>
      </w:pPr>
      <w:r>
        <w:t>167. Claim + two later sources: Animal health aspects of adaptation to climate change: beating the heat and parasites in a warming Europe</w:t>
      </w:r>
    </w:p>
    <w:p>
      <w:pPr>
        <w:pStyle w:val="SourceNote"/>
      </w:pPr>
      <w:r>
        <w:rPr>
          <w:b/>
        </w:rPr>
        <w:t>Group ID:</w:t>
      </w:r>
      <w:r>
        <w:t xml:space="preserve"> group-e953a0591ad9c440e9c0</w:t>
      </w:r>
    </w:p>
    <w:p>
      <w:pPr>
        <w:pStyle w:val="SourceNote"/>
      </w:pPr>
      <w:r>
        <w:rPr>
          <w:b/>
        </w:rPr>
        <w:t>Original source:</w:t>
      </w:r>
      <w:r>
        <w:t xml:space="preserve"> https://doi.org/10.1017/s175173111300075x</w:t>
      </w:r>
    </w:p>
    <w:p>
      <w:pPr/>
      <w:r>
        <w:rPr>
          <w:b/>
        </w:rPr>
        <w:t>Original future claim:</w:t>
      </w:r>
      <w:r>
        <w:t xml:space="preserve"> We investigate the direct and indirect effects of climate change on the epidemiology of important livestock pathogens, with a particular focus on parasitic infections, and the likely animal health consequences associated with selected adaptation options. Adaptation options aimed at taking advantage of new opportunities and/or minimising the risks of negative impacts will, in themselves, have implications for animal health and welfare.</w:t>
      </w:r>
    </w:p>
    <w:p>
      <w:pPr/>
      <w:r>
        <w:rPr>
          <w:b/>
        </w:rPr>
        <w:t>Later source:</w:t>
      </w:r>
      <w:r>
        <w:t xml:space="preserve"> Epidemiology and Economic Burden of Sleep Disorders in Europe — https://doi.org/10.1111/ene.70463</w:t>
      </w:r>
    </w:p>
    <w:p>
      <w:pPr/>
      <w:r>
        <w:rPr>
          <w:b/>
        </w:rPr>
        <w:t>Later source:</w:t>
      </w:r>
      <w:r>
        <w:t xml:space="preserve"> Direct and Indirect Regulations for Medical Devices in Europe and Germany — https://doi.org/10.1007/978-3-032-03577-6_14</w:t>
      </w:r>
    </w:p>
    <w:p>
      <w:pPr>
        <w:pStyle w:val="SourceNote"/>
      </w:pPr>
      <w:r>
        <w:rPr>
          <w:b/>
        </w:rPr>
        <w:t>Review status:</w:t>
      </w:r>
      <w:r>
        <w:t xml:space="preserve"> unchecked — possible relationship only</w:t>
      </w:r>
    </w:p>
    <w:p>
      <w:pPr>
        <w:pStyle w:val="Heading2"/>
      </w:pPr>
      <w:r>
        <w:t>168. Claim + two later sources: The pitfalls of ecological forecasting</w:t>
      </w:r>
    </w:p>
    <w:p>
      <w:pPr>
        <w:pStyle w:val="SourceNote"/>
      </w:pPr>
      <w:r>
        <w:rPr>
          <w:b/>
        </w:rPr>
        <w:t>Group ID:</w:t>
      </w:r>
      <w:r>
        <w:t xml:space="preserve"> group-af81a6e887609bc61a6e</w:t>
      </w:r>
    </w:p>
    <w:p>
      <w:pPr>
        <w:pStyle w:val="SourceNote"/>
      </w:pPr>
      <w:r>
        <w:rPr>
          <w:b/>
        </w:rPr>
        <w:t>Original source:</w:t>
      </w:r>
      <w:r>
        <w:t xml:space="preserve"> https://doi.org/10.1111/bij.12579</w:t>
      </w:r>
    </w:p>
    <w:p>
      <w:pPr/>
      <w:r>
        <w:rPr>
          <w:b/>
        </w:rPr>
        <w:t>Original future claim:</w:t>
      </w:r>
      <w:r>
        <w:t xml:space="preserve"> Long-term biological recording schemes rather than experiments will often provide data for ecological forecasting and validation because these schemes allow capture of landscape-scale land-use effects and their interactions with other drivers. However, statistical models, incorporating relationships with drivers, simply offset the prediction problem, requiring us to forecast how the drivers will themselves change over time.</w:t>
      </w:r>
    </w:p>
    <w:p>
      <w:pPr/>
      <w:r>
        <w:rPr>
          <w:b/>
        </w:rPr>
        <w:t>Later source:</w:t>
      </w:r>
      <w:r>
        <w:t xml:space="preserve"> Increasing Inclusivity in Biological Recording in the United Kingdom: Progress to Date and Future Priorities — https://doi.org/10.5334/cstp.894</w:t>
      </w:r>
    </w:p>
    <w:p>
      <w:pPr/>
      <w:r>
        <w:rPr>
          <w:b/>
        </w:rPr>
        <w:t>Later source:</w:t>
      </w:r>
      <w:r>
        <w:t xml:space="preserve"> Biocompatible Lubricant-Coated Flexible Neural Probes with Enhanced Long-Term Recording Stability — https://doi.org/10.1021/acsabm.5c02232</w:t>
      </w:r>
    </w:p>
    <w:p>
      <w:pPr>
        <w:pStyle w:val="SourceNote"/>
      </w:pPr>
      <w:r>
        <w:rPr>
          <w:b/>
        </w:rPr>
        <w:t>Review status:</w:t>
      </w:r>
      <w:r>
        <w:t xml:space="preserve"> unchecked — possible relationship only</w:t>
      </w:r>
    </w:p>
    <w:p>
      <w:pPr>
        <w:pStyle w:val="Heading2"/>
      </w:pPr>
      <w:r>
        <w:t>169. Claim + two later sources: Climate Change Effects on Heat- and Cold-Related Mortality in the Netherlands: A Scenario-Based Integrated Environmental Health Impact Assessment</w:t>
      </w:r>
    </w:p>
    <w:p>
      <w:pPr>
        <w:pStyle w:val="SourceNote"/>
      </w:pPr>
      <w:r>
        <w:rPr>
          <w:b/>
        </w:rPr>
        <w:t>Group ID:</w:t>
      </w:r>
      <w:r>
        <w:t xml:space="preserve"> group-83b585d52255fc9b4455</w:t>
      </w:r>
    </w:p>
    <w:p>
      <w:pPr>
        <w:pStyle w:val="SourceNote"/>
      </w:pPr>
      <w:r>
        <w:rPr>
          <w:b/>
        </w:rPr>
        <w:t>Original source:</w:t>
      </w:r>
      <w:r>
        <w:t xml:space="preserve"> https://doi.org/10.3390/ijerph121013295</w:t>
      </w:r>
    </w:p>
    <w:p>
      <w:pPr/>
      <w:r>
        <w:rPr>
          <w:b/>
        </w:rPr>
        <w:t>Original future claim:</w:t>
      </w:r>
      <w:r>
        <w:t xml:space="preserve"> This scenario-based integrated health impacts assessment explores baseline (1981-2010) and future (2050) population attributable fractions (PAF) of mortality due to heat (PAFheat) and cold (PAFcold), by combining observed temperature-mortality relationships with the Dutch KNMI'14 climate scenarios and three adaptation scenarios. When the 2050 model runs applying the different adaptation scenarios are considered as well, however, the PAFheat ranges between 0.94% and 2.52% and the PAFcold between 6.56% and 9.85%.</w:t>
      </w:r>
    </w:p>
    <w:p>
      <w:pPr/>
      <w:r>
        <w:rPr>
          <w:b/>
        </w:rPr>
        <w:t>Later source:</w:t>
      </w:r>
      <w:r>
        <w:t xml:space="preserve"> Exploring decarbonisation strategies in the Southern-European region of Catalonia through a multi-scenario assessment — https://doi.org/10.1016/j.esr.2026.102184</w:t>
      </w:r>
    </w:p>
    <w:p>
      <w:pPr/>
      <w:r>
        <w:rPr>
          <w:b/>
        </w:rPr>
        <w:t>Later source:</w:t>
      </w:r>
      <w:r>
        <w:t xml:space="preserve"> Heat-related health impacts across national mitigation and urban adaptation scenarios in European cities - Data — https://doi.org/10.5281/zenodo.20666093</w:t>
      </w:r>
    </w:p>
    <w:p>
      <w:pPr>
        <w:pStyle w:val="SourceNote"/>
      </w:pPr>
      <w:r>
        <w:rPr>
          <w:b/>
        </w:rPr>
        <w:t>Review status:</w:t>
      </w:r>
      <w:r>
        <w:t xml:space="preserve"> unchecked — possible relationship only</w:t>
      </w:r>
    </w:p>
    <w:p>
      <w:pPr>
        <w:pStyle w:val="Heading2"/>
      </w:pPr>
      <w:r>
        <w:t>170. Claim + two later sources: Scenario planning: An alternative approach to European Commission for combating antimicrobial resistance by 2050</w:t>
      </w:r>
    </w:p>
    <w:p>
      <w:pPr>
        <w:pStyle w:val="SourceNote"/>
      </w:pPr>
      <w:r>
        <w:rPr>
          <w:b/>
        </w:rPr>
        <w:t>Group ID:</w:t>
      </w:r>
      <w:r>
        <w:t xml:space="preserve"> group-891bc6c63eb44b232f4f</w:t>
      </w:r>
    </w:p>
    <w:p>
      <w:pPr>
        <w:pStyle w:val="SourceNote"/>
      </w:pPr>
      <w:r>
        <w:rPr>
          <w:b/>
        </w:rPr>
        <w:t>Original source:</w:t>
      </w:r>
      <w:r>
        <w:t xml:space="preserve"> https://doi.org/10.11576/seejph-4312</w:t>
      </w:r>
    </w:p>
    <w:p>
      <w:pPr/>
      <w:r>
        <w:rPr>
          <w:b/>
        </w:rPr>
        <w:t>Original future claim:</w:t>
      </w:r>
      <w:r>
        <w:t xml:space="preserve"> Conclusion: All the strategies developed on the basis of the four scenarios probe for an increase in European Union's dedication to achieve positive outcomes. To study possible outcomes within the European Union, a scenario analysis for the year 2050 was performed on the possible influence of the European Commission (EC).</w:t>
      </w:r>
    </w:p>
    <w:p>
      <w:pPr/>
      <w:r>
        <w:rPr>
          <w:b/>
        </w:rPr>
        <w:t>Later source:</w:t>
      </w:r>
      <w:r>
        <w:t xml:space="preserve"> Mapping Slovenia’s global health engagement: alignment with European Union and national global health strategies — https://doi.org/10.1186/s41043-025-01125-5</w:t>
      </w:r>
    </w:p>
    <w:p>
      <w:pPr/>
      <w:r>
        <w:rPr>
          <w:b/>
        </w:rPr>
        <w:t>Later source:</w:t>
      </w:r>
      <w:r>
        <w:t xml:space="preserve"> Four leaders, four decades: leadership and European parliament's secretaries-general — https://doi.org/10.4324/9781003753483-10</w:t>
      </w:r>
    </w:p>
    <w:p>
      <w:pPr>
        <w:pStyle w:val="SourceNote"/>
      </w:pPr>
      <w:r>
        <w:rPr>
          <w:b/>
        </w:rPr>
        <w:t>Review status:</w:t>
      </w:r>
      <w:r>
        <w:t xml:space="preserve"> unchecked — possible relationship only</w:t>
      </w:r>
    </w:p>
    <w:p>
      <w:pPr>
        <w:pStyle w:val="Heading2"/>
      </w:pPr>
      <w:r>
        <w:t>171. Claim + two later sources: From bioethanol containing fuels towards a fuel economy that includes methanol derived from renewable sources and the impact on European Union decision-making on transition pathways</w:t>
      </w:r>
    </w:p>
    <w:p>
      <w:pPr>
        <w:pStyle w:val="SourceNote"/>
      </w:pPr>
      <w:r>
        <w:rPr>
          <w:b/>
        </w:rPr>
        <w:t>Group ID:</w:t>
      </w:r>
      <w:r>
        <w:t xml:space="preserve"> group-54b708e097a1f57caf72</w:t>
      </w:r>
    </w:p>
    <w:p>
      <w:pPr>
        <w:pStyle w:val="SourceNote"/>
      </w:pPr>
      <w:r>
        <w:rPr>
          <w:b/>
        </w:rPr>
        <w:t>Original source:</w:t>
      </w:r>
      <w:r>
        <w:t xml:space="preserve"> https://doi.org/10.1016/j.rser.2019.109667</w:t>
      </w:r>
    </w:p>
    <w:p>
      <w:pPr/>
      <w:r>
        <w:rPr>
          <w:b/>
        </w:rPr>
        <w:t>Original future claim:</w:t>
      </w:r>
      <w:r>
        <w:t xml:space="preserve"> Decision-making on the optimum transition pathway to an energy economy that meets agreed carbon reduction goals in the European Union (EU) by 2050 is challenging, because of the size of the infrastructural legacy, technological uncertainties, affordability and assumptions on future energy demand. Rebalancing three different aspects of the social dimension of sustainability is used to demonstrate that a succession of infrastructures based on liquid fuels, with biofuels as an interlock towards an economy that includes methanol-based eFuel, has the potential to bring continuity, reduce dependence on anticipated technological advances and improve cost management.</w:t>
      </w:r>
    </w:p>
    <w:p>
      <w:pPr/>
      <w:r>
        <w:rPr>
          <w:b/>
        </w:rPr>
        <w:t>Later source:</w:t>
      </w:r>
      <w:r>
        <w:t xml:space="preserve"> Towards a decision-making framework for optimal vehicle lightweighting in the European towed caravan sector — https://doi.org/10.82444/warw.33913783</w:t>
      </w:r>
    </w:p>
    <w:p>
      <w:pPr/>
      <w:r>
        <w:rPr>
          <w:b/>
        </w:rPr>
        <w:t>Later source:</w:t>
      </w:r>
      <w:r>
        <w:t xml:space="preserve"> Sea Level Rise in Europe: Adaptation measures and decision-making principles — https://doi.org/10.5194/sp-3-slre1-6-2024</w:t>
      </w:r>
    </w:p>
    <w:p>
      <w:pPr>
        <w:pStyle w:val="SourceNote"/>
      </w:pPr>
      <w:r>
        <w:rPr>
          <w:b/>
        </w:rPr>
        <w:t>Review status:</w:t>
      </w:r>
      <w:r>
        <w:t xml:space="preserve"> unchecked — possible relationship only</w:t>
      </w:r>
    </w:p>
    <w:p>
      <w:pPr>
        <w:pStyle w:val="Heading2"/>
      </w:pPr>
      <w:r>
        <w:t>172. Claim + two later sources: Are the EU climate ambitions reflected on member-state level for greenhouse gas reductions and renewable energy consumption shares?</w:t>
      </w:r>
    </w:p>
    <w:p>
      <w:pPr>
        <w:pStyle w:val="SourceNote"/>
      </w:pPr>
      <w:r>
        <w:rPr>
          <w:b/>
        </w:rPr>
        <w:t>Group ID:</w:t>
      </w:r>
      <w:r>
        <w:t xml:space="preserve"> group-62bf9a3d274fcf3acc9b</w:t>
      </w:r>
    </w:p>
    <w:p>
      <w:pPr>
        <w:pStyle w:val="SourceNote"/>
      </w:pPr>
      <w:r>
        <w:rPr>
          <w:b/>
        </w:rPr>
        <w:t>Original source:</w:t>
      </w:r>
      <w:r>
        <w:t xml:space="preserve"> https://doi.org/10.1016/j.esr.2022.100936</w:t>
      </w:r>
    </w:p>
    <w:p>
      <w:pPr/>
      <w:r>
        <w:rPr>
          <w:b/>
        </w:rPr>
        <w:t>Original future claim:</w:t>
      </w:r>
      <w:r>
        <w:t xml:space="preserve"> Though some countries have consistent targets, the annual GHG reduction rate of the EU has to be tripled up to −3% per year until 2030. The required objective for RES is achievable but the growth rate has to be increased to 2% to fulfill the announced ambitions by 2030.</w:t>
      </w:r>
    </w:p>
    <w:p>
      <w:pPr/>
      <w:r>
        <w:rPr>
          <w:b/>
        </w:rPr>
        <w:t>Later source:</w:t>
      </w:r>
      <w:r>
        <w:t xml:space="preserve"> Spatial contexts and educational inequalities in European countries — https://doi.org/10.5281/zenodo.18377623</w:t>
      </w:r>
    </w:p>
    <w:p>
      <w:pPr/>
      <w:r>
        <w:rPr>
          <w:b/>
        </w:rPr>
        <w:t>Later source:</w:t>
      </w:r>
      <w:r>
        <w:t xml:space="preserve"> Pro-environmental behaviour in Europe: A comparison across individuals, countries and time — https://openalex.org/W7160008135</w:t>
      </w:r>
    </w:p>
    <w:p>
      <w:pPr>
        <w:pStyle w:val="SourceNote"/>
      </w:pPr>
      <w:r>
        <w:rPr>
          <w:b/>
        </w:rPr>
        <w:t>Review status:</w:t>
      </w:r>
      <w:r>
        <w:t xml:space="preserve"> unchecked — possible relationship only</w:t>
      </w:r>
    </w:p>
    <w:p>
      <w:pPr>
        <w:pStyle w:val="Heading2"/>
      </w:pPr>
      <w:r>
        <w:t>173. Claim + two later sources: How climate, migration ability and habitat fragmentation affect the projected future distribution of European beech</w:t>
      </w:r>
    </w:p>
    <w:p>
      <w:pPr>
        <w:pStyle w:val="SourceNote"/>
      </w:pPr>
      <w:r>
        <w:rPr>
          <w:b/>
        </w:rPr>
        <w:t>Group ID:</w:t>
      </w:r>
      <w:r>
        <w:t xml:space="preserve"> group-6909c21c5f5e4d85722b</w:t>
      </w:r>
    </w:p>
    <w:p>
      <w:pPr>
        <w:pStyle w:val="SourceNote"/>
      </w:pPr>
      <w:r>
        <w:rPr>
          <w:b/>
        </w:rPr>
        <w:t>Original source:</w:t>
      </w:r>
      <w:r>
        <w:t xml:space="preserve"> https://doi.org/10.1111/gcb.12771</w:t>
      </w:r>
    </w:p>
    <w:p>
      <w:pPr/>
      <w:r>
        <w:rPr>
          <w:b/>
        </w:rPr>
        <w:t>Original future claim:</w:t>
      </w:r>
      <w:r>
        <w:t xml:space="preserve"> Here, we projected the range shift of European beech over the 21st century using a process-based SDM coupled to a phenomenological migration model accounting for population dynamics, according to two climate change scenarios and one land use change scenario. As a result, the realized distribution of beech is projected to strongly contract by 2100 (by 36-61%) mainly due to a substantial increase in climate variability after 2050, which generates local extinctions, even at the core of the distribution, the frequency of which prevents beech recolonization during more favourable years.</w:t>
      </w:r>
    </w:p>
    <w:p>
      <w:pPr/>
      <w:r>
        <w:rPr>
          <w:b/>
        </w:rPr>
        <w:t>Later source:</w:t>
      </w:r>
      <w:r>
        <w:t xml:space="preserve"> Marine fish ranges are expanding and shifting deeper across the European continental shelf — https://doi.org/10.1038/s41467-026-74371-8</w:t>
      </w:r>
    </w:p>
    <w:p>
      <w:pPr/>
      <w:r>
        <w:rPr>
          <w:b/>
        </w:rPr>
        <w:t>Later source:</w:t>
      </w:r>
      <w:r>
        <w:t xml:space="preserve"> Taxus tree-ring chronologies from southern England reveal western European hydroclimate changes over the past three centuries — https://doi.org/10.1007/s00382-025-07601-2</w:t>
      </w:r>
    </w:p>
    <w:p>
      <w:pPr>
        <w:pStyle w:val="SourceNote"/>
      </w:pPr>
      <w:r>
        <w:rPr>
          <w:b/>
        </w:rPr>
        <w:t>Review status:</w:t>
      </w:r>
      <w:r>
        <w:t xml:space="preserve"> unchecked — possible relationship only</w:t>
      </w:r>
    </w:p>
    <w:p>
      <w:pPr>
        <w:pStyle w:val="Heading2"/>
      </w:pPr>
      <w:r>
        <w:t>174. Claim + two later sources: Least cost energy system pathways towards 100% renewable energy in Ireland by 2050</w:t>
      </w:r>
    </w:p>
    <w:p>
      <w:pPr>
        <w:pStyle w:val="SourceNote"/>
      </w:pPr>
      <w:r>
        <w:rPr>
          <w:b/>
        </w:rPr>
        <w:t>Group ID:</w:t>
      </w:r>
      <w:r>
        <w:t xml:space="preserve"> group-59c744adbd474ba854ae</w:t>
      </w:r>
    </w:p>
    <w:p>
      <w:pPr>
        <w:pStyle w:val="SourceNote"/>
      </w:pPr>
      <w:r>
        <w:rPr>
          <w:b/>
        </w:rPr>
        <w:t>Original source:</w:t>
      </w:r>
      <w:r>
        <w:t xml:space="preserve"> https://doi.org/10.1016/j.energy.2020.118264</w:t>
      </w:r>
    </w:p>
    <w:p>
      <w:pPr/>
      <w:r>
        <w:rPr>
          <w:b/>
        </w:rPr>
        <w:t>Original future claim:</w:t>
      </w:r>
      <w:r>
        <w:t xml:space="preserve"> This paper therefore undertakes a whole-system approach and explores optimal pathways towards 100% renewable energy by 2050. However, given the large future uncertainties, it is recommended that further policy considerations be given to pathways with high electrification levels as they are more robust towards uncertainties.</w:t>
      </w:r>
    </w:p>
    <w:p>
      <w:pPr/>
      <w:r>
        <w:rPr>
          <w:b/>
        </w:rPr>
        <w:t>Later source:</w:t>
      </w:r>
      <w:r>
        <w:t xml:space="preserve"> Towards a decision-making framework for optimal vehicle lightweighting in the European towed caravan sector — https://doi.org/10.82444/warw.33913783</w:t>
      </w:r>
    </w:p>
    <w:p>
      <w:pPr/>
      <w:r>
        <w:rPr>
          <w:b/>
        </w:rPr>
        <w:t>Later source:</w:t>
      </w:r>
      <w:r>
        <w:t xml:space="preserve"> Oncoplastic breast surgery in Europe — https://doi.org/10.21037/gs-23-380</w:t>
      </w:r>
    </w:p>
    <w:p>
      <w:pPr>
        <w:pStyle w:val="SourceNote"/>
      </w:pPr>
      <w:r>
        <w:rPr>
          <w:b/>
        </w:rPr>
        <w:t>Review status:</w:t>
      </w:r>
      <w:r>
        <w:t xml:space="preserve"> unchecked — possible relationship only</w:t>
      </w:r>
    </w:p>
    <w:p>
      <w:pPr>
        <w:pStyle w:val="Heading2"/>
      </w:pPr>
      <w:r>
        <w:t>175. Claim + two later sources: The Deliberative Practice of Vision Mobility 2050: Vision-making for Sustainable Mobility in the Region of Munich?</w:t>
      </w:r>
    </w:p>
    <w:p>
      <w:pPr>
        <w:pStyle w:val="SourceNote"/>
      </w:pPr>
      <w:r>
        <w:rPr>
          <w:b/>
        </w:rPr>
        <w:t>Group ID:</w:t>
      </w:r>
      <w:r>
        <w:t xml:space="preserve"> group-f89859003642ab279bf2</w:t>
      </w:r>
    </w:p>
    <w:p>
      <w:pPr>
        <w:pStyle w:val="SourceNote"/>
      </w:pPr>
      <w:r>
        <w:rPr>
          <w:b/>
        </w:rPr>
        <w:t>Original source:</w:t>
      </w:r>
      <w:r>
        <w:t xml:space="preserve"> https://doi.org/10.1016/j.trpro.2016.12.096</w:t>
      </w:r>
    </w:p>
    <w:p>
      <w:pPr/>
      <w:r>
        <w:rPr>
          <w:b/>
        </w:rPr>
        <w:t>Original future claim:</w:t>
      </w:r>
      <w:r>
        <w:t xml:space="preserve"> It specifically looks at a recent visioning process where this network of actors developed ideas on the future of mobility, particularly in the context of growth and development in one of the most powerful, economic Metropolitan Regions in Europe. The network propels the mobilities of ideas, concepts and perspectives on the future of mobility and transport in Munich.</w:t>
      </w:r>
    </w:p>
    <w:p>
      <w:pPr/>
      <w:r>
        <w:rPr>
          <w:b/>
        </w:rPr>
        <w:t>Later source:</w:t>
      </w:r>
      <w:r>
        <w:t xml:space="preserve"> Monitoring the Screens: Current Challenges of Minority Language Media in the Context of the Council of Europe — https://doi.org/10.1163/15718115-bja10260</w:t>
      </w:r>
    </w:p>
    <w:p>
      <w:pPr/>
      <w:r>
        <w:rPr>
          <w:b/>
        </w:rPr>
        <w:t>Later source:</w:t>
      </w:r>
      <w:r>
        <w:t xml:space="preserve"> Learning in European Administrative Networks: a process to all or only to a few? — https://doi.org/10.1017/s0143814x24000011</w:t>
      </w:r>
    </w:p>
    <w:p>
      <w:pPr>
        <w:pStyle w:val="SourceNote"/>
      </w:pPr>
      <w:r>
        <w:rPr>
          <w:b/>
        </w:rPr>
        <w:t>Review status:</w:t>
      </w:r>
      <w:r>
        <w:t xml:space="preserve"> unchecked — possible relationship only</w:t>
      </w:r>
    </w:p>
    <w:p>
      <w:pPr>
        <w:pStyle w:val="Heading2"/>
      </w:pPr>
      <w:r>
        <w:t>176. Claim + two later sources: The role of district heating systems to provide balancing services in the European Union</w:t>
      </w:r>
    </w:p>
    <w:p>
      <w:pPr>
        <w:pStyle w:val="SourceNote"/>
      </w:pPr>
      <w:r>
        <w:rPr>
          <w:b/>
        </w:rPr>
        <w:t>Group ID:</w:t>
      </w:r>
      <w:r>
        <w:t xml:space="preserve"> group-504cb671ad565400bd02</w:t>
      </w:r>
    </w:p>
    <w:p>
      <w:pPr>
        <w:pStyle w:val="SourceNote"/>
      </w:pPr>
      <w:r>
        <w:rPr>
          <w:b/>
        </w:rPr>
        <w:t>Original source:</w:t>
      </w:r>
      <w:r>
        <w:t xml:space="preserve"> https://doi.org/10.1016/j.rser.2021.111853</w:t>
      </w:r>
    </w:p>
    <w:p>
      <w:pPr/>
      <w:r>
        <w:rPr>
          <w:b/>
        </w:rPr>
        <w:t>Original future claim:</w:t>
      </w:r>
      <w:r>
        <w:t xml:space="preserve"> Based on the POTEnCIA Central scenario up to 2050 — a description of the evolution of the EU energy system with the assumption of no further policies introduced beyond 2017 —, we find that the potential is highest for the provision of aFRR, followed by mFRR and FCR. Specifically, the aFRR technical potential is currently 32 GW — 4 times the aFRR contracted in 2019 in the EU — and it only slightly decreases by 2050.</w:t>
      </w:r>
    </w:p>
    <w:p>
      <w:pPr/>
      <w:r>
        <w:rPr>
          <w:b/>
        </w:rPr>
        <w:t>Later source:</w:t>
      </w:r>
      <w:r>
        <w:t xml:space="preserve"> Toward a Sustainable Energy Production System Based on Concentrated Solar Power Plants: Social and Water Availability Issues — https://doi.org/10.1021/acssuschemeng.5c11213</w:t>
      </w:r>
    </w:p>
    <w:p>
      <w:pPr/>
      <w:r>
        <w:rPr>
          <w:b/>
        </w:rPr>
        <w:t>Later source:</w:t>
      </w:r>
      <w:r>
        <w:t xml:space="preserve"> Smart Energy and Energy Communities: A Review of Innovation Proposals for Global and Local Sustainability — https://doi.org/10.15446/sicel.v12.121196</w:t>
      </w:r>
    </w:p>
    <w:p>
      <w:pPr>
        <w:pStyle w:val="SourceNote"/>
      </w:pPr>
      <w:r>
        <w:rPr>
          <w:b/>
        </w:rPr>
        <w:t>Review status:</w:t>
      </w:r>
      <w:r>
        <w:t xml:space="preserve"> unchecked — possible relationship only</w:t>
      </w:r>
    </w:p>
    <w:p>
      <w:pPr>
        <w:pStyle w:val="Heading2"/>
      </w:pPr>
      <w:r>
        <w:t>177. Claim + two later sources: Scenario‐based fertility projections incorporating impacts of COVID‐19</w:t>
      </w:r>
    </w:p>
    <w:p>
      <w:pPr>
        <w:pStyle w:val="SourceNote"/>
      </w:pPr>
      <w:r>
        <w:rPr>
          <w:b/>
        </w:rPr>
        <w:t>Group ID:</w:t>
      </w:r>
      <w:r>
        <w:t xml:space="preserve"> group-19b9ed186cd6d03d66ec</w:t>
      </w:r>
    </w:p>
    <w:p>
      <w:pPr>
        <w:pStyle w:val="SourceNote"/>
      </w:pPr>
      <w:r>
        <w:rPr>
          <w:b/>
        </w:rPr>
        <w:t>Original source:</w:t>
      </w:r>
      <w:r>
        <w:t xml:space="preserve"> https://doi.org/10.1002/psp.2546</w:t>
      </w:r>
    </w:p>
    <w:p>
      <w:pPr/>
      <w:r>
        <w:rPr>
          <w:b/>
        </w:rPr>
        <w:t>Original future claim:</w:t>
      </w:r>
      <w:r>
        <w:t xml:space="preserve"> Our projections show that for three scenarios out of four, fertility is expected to decline over the next 3 years, leading to significantly fewer births annually compared with the pre‐pandemic period. Abstract This paper examines the recent declines in period fertility in the constituent countries of the UK during the past decade and speculates mechanisms through which the COVID‐19 pandemic could influence childbearing in the UK.</w:t>
      </w:r>
    </w:p>
    <w:p>
      <w:pPr/>
      <w:r>
        <w:rPr>
          <w:b/>
        </w:rPr>
        <w:t>Later source:</w:t>
      </w:r>
      <w:r>
        <w:t xml:space="preserve"> The Inevitability of Projection: The Three-Term Equation as the Mother Equation of the Quantum Blueprint Formalism — https://doi.org/10.5281/zenodo.18527042</w:t>
      </w:r>
    </w:p>
    <w:p>
      <w:pPr/>
      <w:r>
        <w:rPr>
          <w:b/>
        </w:rPr>
        <w:t>Later source:</w:t>
      </w:r>
      <w:r>
        <w:t xml:space="preserve"> Geometry, Sound, and Time as Three Projections of One Contact Band — https://doi.org/10.5281/zenodo.19593317</w:t>
      </w:r>
    </w:p>
    <w:p>
      <w:pPr>
        <w:pStyle w:val="SourceNote"/>
      </w:pPr>
      <w:r>
        <w:rPr>
          <w:b/>
        </w:rPr>
        <w:t>Review status:</w:t>
      </w:r>
      <w:r>
        <w:t xml:space="preserve"> unchecked — possible relationship only</w:t>
      </w:r>
    </w:p>
    <w:p>
      <w:pPr>
        <w:pStyle w:val="Heading2"/>
      </w:pPr>
      <w:r>
        <w:t>178. Claim + two later sources: Scenarios for selected maritime economic functions</w:t>
      </w:r>
    </w:p>
    <w:p>
      <w:pPr>
        <w:pStyle w:val="SourceNote"/>
      </w:pPr>
      <w:r>
        <w:rPr>
          <w:b/>
        </w:rPr>
        <w:t>Group ID:</w:t>
      </w:r>
      <w:r>
        <w:t xml:space="preserve"> group-26d4eaeaeec17f2475e7</w:t>
      </w:r>
    </w:p>
    <w:p>
      <w:pPr>
        <w:pStyle w:val="SourceNote"/>
      </w:pPr>
      <w:r>
        <w:rPr>
          <w:b/>
        </w:rPr>
        <w:t>Original source:</w:t>
      </w:r>
      <w:r>
        <w:t xml:space="preserve"> https://doi.org/10.1007/s40309-013-0011-8</w:t>
      </w:r>
    </w:p>
    <w:p>
      <w:pPr/>
      <w:r>
        <w:rPr>
          <w:b/>
        </w:rPr>
        <w:t>Original future claim:</w:t>
      </w:r>
      <w:r>
        <w:t xml:space="preserve"> This paper discusses the use of scenarios in the ‘Blue Growth’ project, which was aimed at elaborating the maritime dimension of the Europe 2020 strategy, with a 15-year time horizon (2025/2030). The direct impact of the general scenarios on policy development cannot yet be evaluated.</w:t>
      </w:r>
    </w:p>
    <w:p>
      <w:pPr/>
      <w:r>
        <w:rPr>
          <w:b/>
        </w:rPr>
        <w:t>Later source:</w:t>
      </w:r>
      <w:r>
        <w:t xml:space="preserve"> Soil degradation in Europe is projected to accelerate under changing land use and climate — https://doi.org/10.1038/s44458-026-00064-4</w:t>
      </w:r>
    </w:p>
    <w:p>
      <w:pPr/>
      <w:r>
        <w:rPr>
          <w:b/>
        </w:rPr>
        <w:t>Later source:</w:t>
      </w:r>
      <w:r>
        <w:t xml:space="preserve"> The Blue Beret — https://doi.org/10.5204/mcj.2969</w:t>
      </w:r>
    </w:p>
    <w:p>
      <w:pPr>
        <w:pStyle w:val="SourceNote"/>
      </w:pPr>
      <w:r>
        <w:rPr>
          <w:b/>
        </w:rPr>
        <w:t>Review status:</w:t>
      </w:r>
      <w:r>
        <w:t xml:space="preserve"> unchecked — possible relationship only</w:t>
      </w:r>
    </w:p>
    <w:p>
      <w:pPr>
        <w:pStyle w:val="Heading2"/>
      </w:pPr>
      <w:r>
        <w:t>179. Claim + two later sources: Towards Europe 2035 - In Search of the Archimedean Screw: FOCUS in Perspective</w:t>
      </w:r>
    </w:p>
    <w:p>
      <w:pPr>
        <w:pStyle w:val="SourceNote"/>
      </w:pPr>
      <w:r>
        <w:rPr>
          <w:b/>
        </w:rPr>
        <w:t>Group ID:</w:t>
      </w:r>
      <w:r>
        <w:t xml:space="preserve"> group-77a7721aa449a175fd30</w:t>
      </w:r>
    </w:p>
    <w:p>
      <w:pPr>
        <w:pStyle w:val="SourceNote"/>
      </w:pPr>
      <w:r>
        <w:rPr>
          <w:b/>
        </w:rPr>
        <w:t>Original source:</w:t>
      </w:r>
      <w:r>
        <w:t xml:space="preserve"> https://doi.org/10.11610/isij.2912</w:t>
      </w:r>
    </w:p>
    <w:p>
      <w:pPr/>
      <w:r>
        <w:rPr>
          <w:b/>
        </w:rPr>
        <w:t>Original future claim:</w:t>
      </w:r>
      <w:r>
        <w:t xml:space="preserve"> Approaches and results from the FOCUS project centred on the planning of security research in the 2035 time frame to support foresighted EU security missions.In a follow-up, they could be carried further to help provide a framework for analyzing long-term trends and dynamic interactions in a global environment undergoing tectonic changes, reaching beyond the FOCUS mission to explore new contexts of civil security research in support of possible future EU mission scenarios.European developments are in large part driven by challenging global developments, reaching beyond external risks and threats to which the EU needs to respond.This article thus explores the complementarity of the FOCUS framework and the concurrent fifth NIC Report "Global Trends 2030: Alternative Worlds" of the US National Intelligence Council (NIC) in search of a framework for assessing the impact of global dynamics on the inner dynamics of global players, with the EU as a special case.</w:t>
      </w:r>
    </w:p>
    <w:p>
      <w:pPr/>
      <w:r>
        <w:rPr>
          <w:b/>
        </w:rPr>
        <w:t>Later source:</w:t>
      </w:r>
      <w:r>
        <w:t xml:space="preserve"> EUROPEAN STRATEGIES FOR CROSS-SECTORAL COOPERATION THROUGH A PROJECT-BASED APPROACH IN PUBLIC ADMINISTRATION — https://doi.org/10.30838/ep.197.187-192</w:t>
      </w:r>
    </w:p>
    <w:p>
      <w:pPr/>
      <w:r>
        <w:rPr>
          <w:b/>
        </w:rPr>
        <w:t>Later source:</w:t>
      </w:r>
      <w:r>
        <w:t xml:space="preserve"> Safe and Sound: Governance for Planning Public Space in a Security-by-Design Paradigm — https://doi.org/10.3390/urbansci9070241</w:t>
      </w:r>
    </w:p>
    <w:p>
      <w:pPr>
        <w:pStyle w:val="SourceNote"/>
      </w:pPr>
      <w:r>
        <w:rPr>
          <w:b/>
        </w:rPr>
        <w:t>Review status:</w:t>
      </w:r>
      <w:r>
        <w:t xml:space="preserve"> unchecked — possible relationship only</w:t>
      </w:r>
    </w:p>
    <w:p>
      <w:pPr>
        <w:pStyle w:val="Heading2"/>
      </w:pPr>
      <w:r>
        <w:t>180. Claim + two later sources: Towards an assessment of adaptive capacity of the European agricultural sector to droughts</w:t>
      </w:r>
    </w:p>
    <w:p>
      <w:pPr>
        <w:pStyle w:val="SourceNote"/>
      </w:pPr>
      <w:r>
        <w:rPr>
          <w:b/>
        </w:rPr>
        <w:t>Group ID:</w:t>
      </w:r>
      <w:r>
        <w:t xml:space="preserve"> group-26503cf10387e0eaa652</w:t>
      </w:r>
    </w:p>
    <w:p>
      <w:pPr>
        <w:pStyle w:val="SourceNote"/>
      </w:pPr>
      <w:r>
        <w:rPr>
          <w:b/>
        </w:rPr>
        <w:t>Original source:</w:t>
      </w:r>
      <w:r>
        <w:t xml:space="preserve"> https://doi.org/10.1016/j.cliser.2016.10.003</w:t>
      </w:r>
    </w:p>
    <w:p>
      <w:pPr/>
      <w:r>
        <w:rPr>
          <w:b/>
        </w:rPr>
        <w:t>Original future claim:</w:t>
      </w:r>
      <w:r>
        <w:t xml:space="preserve"> We create a set of indicators which highlight areas of high or low AC, forecast to estimated times the world will reach 2° of warming using Shared Socioeconomic Pathway (SSP) and Representative Concentration Pathway (RCP) scenarios to drive AC indicator projections based on a fixed effects model.</w:t>
      </w:r>
    </w:p>
    <w:p>
      <w:pPr/>
      <w:r>
        <w:rPr>
          <w:b/>
        </w:rPr>
        <w:t>Later source:</w:t>
      </w:r>
      <w:r>
        <w:t xml:space="preserve"> EMULATION OF A NUMERICAL URBAN MODEL TO CREATE HIGH-RESOLUTION NEAR SURFACE AIR TEMPERATURE OVER EUROPEAN CITIES — https://doi.org/10.22541/essoar.173671231.11835703/v1</w:t>
      </w:r>
    </w:p>
    <w:p>
      <w:pPr/>
      <w:r>
        <w:rPr>
          <w:b/>
        </w:rPr>
        <w:t>Later source:</w:t>
      </w:r>
      <w:r>
        <w:t xml:space="preserve"> High resolution maps of European agricultural indicators — https://doi.org/10.5194/egusphere-egu25-16510</w:t>
      </w:r>
    </w:p>
    <w:p>
      <w:pPr>
        <w:pStyle w:val="SourceNote"/>
      </w:pPr>
      <w:r>
        <w:rPr>
          <w:b/>
        </w:rPr>
        <w:t>Review status:</w:t>
      </w:r>
      <w:r>
        <w:t xml:space="preserve"> unchecked — possible relationship only</w:t>
      </w:r>
    </w:p>
    <w:p>
      <w:pPr>
        <w:pStyle w:val="Heading2"/>
      </w:pPr>
      <w:r>
        <w:t>181. Claim + two later sources: Disaggregation of official demographic projections in sub-groups by education level: the neglected “composition effect” in the future path of life expectancy</w:t>
      </w:r>
    </w:p>
    <w:p>
      <w:pPr>
        <w:pStyle w:val="SourceNote"/>
      </w:pPr>
      <w:r>
        <w:rPr>
          <w:b/>
        </w:rPr>
        <w:t>Group ID:</w:t>
      </w:r>
      <w:r>
        <w:t xml:space="preserve"> group-911b95d9d7cb41b170f6</w:t>
      </w:r>
    </w:p>
    <w:p>
      <w:pPr>
        <w:pStyle w:val="SourceNote"/>
      </w:pPr>
      <w:r>
        <w:rPr>
          <w:b/>
        </w:rPr>
        <w:t>Original source:</w:t>
      </w:r>
      <w:r>
        <w:t xml:space="preserve"> https://doi.org/10.1186/s41118-020-00113-3</w:t>
      </w:r>
    </w:p>
    <w:p>
      <w:pPr/>
      <w:r>
        <w:rPr>
          <w:b/>
        </w:rPr>
        <w:t>Original future claim:</w:t>
      </w:r>
      <w:r>
        <w:t xml:space="preserve"> We provide a set of different scenarios on the convergence/divergence of the mortality differential between the high and low education groups. For instance, assuming stability in the mortality differential, we estimated a life expectancy increase at age 65 of 2.9 and 2.6 years for men, and 3.2 and 3.1 for women, in the low and high education groups, respectively, over the whole projection period.</w:t>
      </w:r>
    </w:p>
    <w:p>
      <w:pPr/>
      <w:r>
        <w:rPr>
          <w:b/>
        </w:rPr>
        <w:t>Later source:</w:t>
      </w:r>
      <w:r>
        <w:t xml:space="preserve"> Predictive divergence in machine learning models for clinical mortality risk: A multicohort study of covid-19 patients — https://doi.org/10.1371/journal.pone.0344354</w:t>
      </w:r>
    </w:p>
    <w:p>
      <w:pPr/>
      <w:r>
        <w:rPr>
          <w:b/>
        </w:rPr>
        <w:t>Later source:</w:t>
      </w:r>
      <w:r>
        <w:t xml:space="preserve"> Precise Editing of Indolines at Different Positions via SET and CMD Pathways — https://doi.org/10.1021/jacsau.6c00050</w:t>
      </w:r>
    </w:p>
    <w:p>
      <w:pPr>
        <w:pStyle w:val="SourceNote"/>
      </w:pPr>
      <w:r>
        <w:rPr>
          <w:b/>
        </w:rPr>
        <w:t>Review status:</w:t>
      </w:r>
      <w:r>
        <w:t xml:space="preserve"> unchecked — possible relationship only</w:t>
      </w:r>
    </w:p>
    <w:p>
      <w:pPr>
        <w:pStyle w:val="Heading2"/>
      </w:pPr>
      <w:r>
        <w:t>182. Claim + two later sources: One step ahead? The use of foresight by Czech and Slovak non-governmental organizations</w:t>
      </w:r>
    </w:p>
    <w:p>
      <w:pPr>
        <w:pStyle w:val="SourceNote"/>
      </w:pPr>
      <w:r>
        <w:rPr>
          <w:b/>
        </w:rPr>
        <w:t>Group ID:</w:t>
      </w:r>
      <w:r>
        <w:t xml:space="preserve"> group-8ca4931de1f206ceb505</w:t>
      </w:r>
    </w:p>
    <w:p>
      <w:pPr>
        <w:pStyle w:val="SourceNote"/>
      </w:pPr>
      <w:r>
        <w:rPr>
          <w:b/>
        </w:rPr>
        <w:t>Original source:</w:t>
      </w:r>
      <w:r>
        <w:t xml:space="preserve"> https://doi.org/10.1186/s40309-020-00163-y</w:t>
      </w:r>
    </w:p>
    <w:p>
      <w:pPr/>
      <w:r>
        <w:rPr>
          <w:b/>
        </w:rPr>
        <w:t>Original future claim:</w:t>
      </w:r>
      <w:r>
        <w:t xml:space="preserve"> Given the nature of their work and the complexity of the fast-changing contexts in which they operate, foresight techniques can potentially be useful in helping them prepare for future disruptions and maximize the positive influence of their work over future developments. The possibilities for and benefits of the application of foresight approaches and techniques are increasingly being discussed in various private and public organizations, especially with the aim to innovate and grow.</w:t>
      </w:r>
    </w:p>
    <w:p>
      <w:pPr/>
      <w:r>
        <w:rPr>
          <w:b/>
        </w:rPr>
        <w:t>Later source:</w:t>
      </w:r>
      <w:r>
        <w:t xml:space="preserve"> Exploring the Nature of Programming Work — https://doi.org/10.4018/ijkss.407408</w:t>
      </w:r>
    </w:p>
    <w:p>
      <w:pPr/>
      <w:r>
        <w:rPr>
          <w:b/>
        </w:rPr>
        <w:t>Later source:</w:t>
      </w:r>
      <w:r>
        <w:t xml:space="preserve"> The End of Bourgeois Humanism and the Mindfulness of Nature in Adorno’s Writings of the 1950s and 1960s — https://doi.org/10.65272/978-88-6977-570-3_5</w:t>
      </w:r>
    </w:p>
    <w:p>
      <w:pPr>
        <w:pStyle w:val="SourceNote"/>
      </w:pPr>
      <w:r>
        <w:rPr>
          <w:b/>
        </w:rPr>
        <w:t>Review status:</w:t>
      </w:r>
      <w:r>
        <w:t xml:space="preserve"> unchecked — possible relationship only</w:t>
      </w:r>
    </w:p>
    <w:p>
      <w:pPr>
        <w:pStyle w:val="Heading2"/>
      </w:pPr>
      <w:r>
        <w:t>183. Claim + two later sources: How photovoltaics can contribute to GHG emission reductions of 55% in the EU by 2030</w:t>
      </w:r>
    </w:p>
    <w:p>
      <w:pPr>
        <w:pStyle w:val="SourceNote"/>
      </w:pPr>
      <w:r>
        <w:rPr>
          <w:b/>
        </w:rPr>
        <w:t>Group ID:</w:t>
      </w:r>
      <w:r>
        <w:t xml:space="preserve"> group-758ba8bdbe8a672ef423</w:t>
      </w:r>
    </w:p>
    <w:p>
      <w:pPr>
        <w:pStyle w:val="SourceNote"/>
      </w:pPr>
      <w:r>
        <w:rPr>
          <w:b/>
        </w:rPr>
        <w:t>Original source:</w:t>
      </w:r>
      <w:r>
        <w:t xml:space="preserve"> https://doi.org/10.1016/j.rser.2020.109836</w:t>
      </w:r>
    </w:p>
    <w:p>
      <w:pPr/>
      <w:r>
        <w:rPr>
          <w:b/>
        </w:rPr>
        <w:t>Original future claim:</w:t>
      </w:r>
      <w:r>
        <w:t xml:space="preserve"> To reach a 55% GHG emissions reduction, the cumulative PV capacity in the EU and the UK would need to surge to 455–605 GW, depending on the strategic policy scenario. This opinion article looks specifically at the role of photovoltaics (PV), based on scenarios from the Commission's 2018 long-term strategy (LTS) for energy and climate.</w:t>
      </w:r>
    </w:p>
    <w:p>
      <w:pPr/>
      <w:r>
        <w:rPr>
          <w:b/>
        </w:rPr>
        <w:t>Later source:</w:t>
      </w:r>
      <w:r>
        <w:t xml:space="preserve"> Spatiotemporal clustering of GHGs emissions in Europe: Exploring the role of spatial component — https://doi.org/10.1016/j.spasta.2026.100960</w:t>
      </w:r>
    </w:p>
    <w:p>
      <w:pPr/>
      <w:r>
        <w:rPr>
          <w:b/>
        </w:rPr>
        <w:t>Later source:</w:t>
      </w:r>
      <w:r>
        <w:t xml:space="preserve"> Forecast reconciliation of agricultural GHG emissions in Europe with fuzzy clustering — https://doi.org/10.1007/s10479-026-07363-y</w:t>
      </w:r>
    </w:p>
    <w:p>
      <w:pPr>
        <w:pStyle w:val="SourceNote"/>
      </w:pPr>
      <w:r>
        <w:rPr>
          <w:b/>
        </w:rPr>
        <w:t>Review status:</w:t>
      </w:r>
      <w:r>
        <w:t xml:space="preserve"> unchecked — possible relationship only</w:t>
      </w:r>
    </w:p>
    <w:p>
      <w:pPr>
        <w:pStyle w:val="Heading2"/>
      </w:pPr>
      <w:r>
        <w:t>184. Claim + two later sources: New Emerging Issues and Wild Cards as Future Shakers and Shapers</w:t>
      </w:r>
    </w:p>
    <w:p>
      <w:pPr>
        <w:pStyle w:val="SourceNote"/>
      </w:pPr>
      <w:r>
        <w:rPr>
          <w:b/>
        </w:rPr>
        <w:t>Group ID:</w:t>
      </w:r>
      <w:r>
        <w:t xml:space="preserve"> group-fe91d1b93b24f7c5ba1b</w:t>
      </w:r>
    </w:p>
    <w:p>
      <w:pPr>
        <w:pStyle w:val="SourceNote"/>
      </w:pPr>
      <w:r>
        <w:rPr>
          <w:b/>
        </w:rPr>
        <w:t>Original source:</w:t>
      </w:r>
      <w:r>
        <w:t xml:space="preserve"> https://doi.org/10.17323/1995-459x.2012.1.60.73</w:t>
      </w:r>
    </w:p>
    <w:p>
      <w:pPr/>
      <w:r>
        <w:rPr>
          <w:b/>
        </w:rPr>
        <w:t>Original future claim:</w:t>
      </w:r>
      <w:r>
        <w:t xml:space="preserve"> The projects resulted in the evaluation of current methods for obtaining and processing scanning data and new conceptual thinking that may bridge the gap between scanning activities and policy-making.</w:t>
      </w:r>
    </w:p>
    <w:p>
      <w:pPr/>
      <w:r>
        <w:rPr>
          <w:b/>
        </w:rPr>
        <w:t>Later source:</w:t>
      </w:r>
      <w:r>
        <w:t xml:space="preserve"> Results Interpretation, Reporting, and Dissemination in Project Monitoring and Evaluation — https://doi.org/10.5281/zenodo.18299543</w:t>
      </w:r>
    </w:p>
    <w:p>
      <w:pPr/>
      <w:r>
        <w:rPr>
          <w:b/>
        </w:rPr>
        <w:t>Later source:</w:t>
      </w:r>
      <w:r>
        <w:t xml:space="preserve"> Green E.Th.I.Cs: Project Evaluation Methodology and Results — https://openalex.org/W7136099548</w:t>
      </w:r>
    </w:p>
    <w:p>
      <w:pPr>
        <w:pStyle w:val="SourceNote"/>
      </w:pPr>
      <w:r>
        <w:rPr>
          <w:b/>
        </w:rPr>
        <w:t>Review status:</w:t>
      </w:r>
      <w:r>
        <w:t xml:space="preserve"> unchecked — possible relationship only</w:t>
      </w:r>
    </w:p>
    <w:p>
      <w:pPr>
        <w:pStyle w:val="Heading2"/>
      </w:pPr>
      <w:r>
        <w:t>185. Claim + two later sources: A comparison of three transformation pathways towards a sustainable European society - An integrated analysis from an energy system perspective</w:t>
      </w:r>
    </w:p>
    <w:p>
      <w:pPr>
        <w:pStyle w:val="SourceNote"/>
      </w:pPr>
      <w:r>
        <w:rPr>
          <w:b/>
        </w:rPr>
        <w:t>Group ID:</w:t>
      </w:r>
      <w:r>
        <w:t xml:space="preserve"> group-fc2cef96811a3c2da4fb</w:t>
      </w:r>
    </w:p>
    <w:p>
      <w:pPr>
        <w:pStyle w:val="SourceNote"/>
      </w:pPr>
      <w:r>
        <w:rPr>
          <w:b/>
        </w:rPr>
        <w:t>Original source:</w:t>
      </w:r>
      <w:r>
        <w:t xml:space="preserve"> https://doi.org/10.1016/j.esr.2020.100461</w:t>
      </w:r>
    </w:p>
    <w:p>
      <w:pPr/>
      <w:r>
        <w:rPr>
          <w:b/>
        </w:rPr>
        <w:t>Original future claim:</w:t>
      </w:r>
      <w:r>
        <w:t xml:space="preserve"> The application looks at three clearly distinguished but likely paths: one where the decarbonisation effort is mostly undertaken by decarbonisation of the energy supply; one where consumers take on a more active role in the decarbonisation, instead; one where ambitions are raised and all sectors of the economy must act together to achieve the targets. To realise this transition, a reduction in greenhouse gas emissions of at least 80% from 1990 levels by 2050 is required.</w:t>
      </w:r>
    </w:p>
    <w:p>
      <w:pPr/>
      <w:r>
        <w:rPr>
          <w:b/>
        </w:rPr>
        <w:t>Later source:</w:t>
      </w:r>
      <w:r>
        <w:t xml:space="preserve"> The impacts of the covidfencing phenomenon in three European cross border regions — https://doi.org/10.1080/09654313.2026.2655883</w:t>
      </w:r>
    </w:p>
    <w:p>
      <w:pPr/>
      <w:r>
        <w:rPr>
          <w:b/>
        </w:rPr>
        <w:t>Later source:</w:t>
      </w:r>
      <w:r>
        <w:t xml:space="preserve"> A Comprehensive Review of Solar Photovoltaic Systems: Scope, Technologies, Applications, Progress, Challenges, and Recommendations — https://doi.org/10.1109/access.2025.3558539</w:t>
      </w:r>
    </w:p>
    <w:p>
      <w:pPr>
        <w:pStyle w:val="SourceNote"/>
      </w:pPr>
      <w:r>
        <w:rPr>
          <w:b/>
        </w:rPr>
        <w:t>Review status:</w:t>
      </w:r>
      <w:r>
        <w:t xml:space="preserve"> unchecked — possible relationship only</w:t>
      </w:r>
    </w:p>
    <w:p>
      <w:pPr>
        <w:pStyle w:val="Heading2"/>
      </w:pPr>
      <w:r>
        <w:t>186. Claim + two later sources: How much does climate change threaten European forest tree species distributions?</w:t>
      </w:r>
    </w:p>
    <w:p>
      <w:pPr>
        <w:pStyle w:val="SourceNote"/>
      </w:pPr>
      <w:r>
        <w:rPr>
          <w:b/>
        </w:rPr>
        <w:t>Group ID:</w:t>
      </w:r>
      <w:r>
        <w:t xml:space="preserve"> group-81e30945e0ebde441bcd</w:t>
      </w:r>
    </w:p>
    <w:p>
      <w:pPr>
        <w:pStyle w:val="SourceNote"/>
      </w:pPr>
      <w:r>
        <w:rPr>
          <w:b/>
        </w:rPr>
        <w:t>Original source:</w:t>
      </w:r>
      <w:r>
        <w:t xml:space="preserve"> https://doi.org/10.1111/gcb.13925</w:t>
      </w:r>
    </w:p>
    <w:p>
      <w:pPr/>
      <w:r>
        <w:rPr>
          <w:b/>
        </w:rPr>
        <w:t>Original future claim:</w:t>
      </w:r>
      <w:r>
        <w:t xml:space="preserve"> We aimed to quantify changes in projected ranges and threat level by the years 2061-2080, for 12 European forest tree species under three climate change scenarios. Models were developed for three climate change scenarios-optimistic (RCP2.6), moderate (RCP4.5), and pessimistic (RPC8.5)-using three General Circulation Models, for the period 2061-2080.</w:t>
      </w:r>
    </w:p>
    <w:p>
      <w:pPr/>
      <w:r>
        <w:rPr>
          <w:b/>
        </w:rPr>
        <w:t>Later source:</w:t>
      </w:r>
      <w:r>
        <w:t xml:space="preserve"> How do land-use changes shape future extreme temperatures across Europe? — https://doi.org/10.5194/egusphere-egu26-15125</w:t>
      </w:r>
    </w:p>
    <w:p>
      <w:pPr/>
      <w:r>
        <w:rPr>
          <w:b/>
        </w:rPr>
        <w:t>Later source:</w:t>
      </w:r>
      <w:r>
        <w:t xml:space="preserve"> Shamonda virus in Europe: an emerging threat, the potential role of Culicoides and the need for preparedness. — https://doi.org/10.12834/vetit.4095.42263.1</w:t>
      </w:r>
    </w:p>
    <w:p>
      <w:pPr>
        <w:pStyle w:val="SourceNote"/>
      </w:pPr>
      <w:r>
        <w:rPr>
          <w:b/>
        </w:rPr>
        <w:t>Review status:</w:t>
      </w:r>
      <w:r>
        <w:t xml:space="preserve"> unchecked — possible relationship only</w:t>
      </w:r>
    </w:p>
    <w:p>
      <w:pPr>
        <w:pStyle w:val="Heading2"/>
      </w:pPr>
      <w:r>
        <w:t>187. Claim + two later sources: European Road Safety Policy 2016-2020: A Forecast on Topics and Activities</w:t>
      </w:r>
    </w:p>
    <w:p>
      <w:pPr>
        <w:pStyle w:val="SourceNote"/>
      </w:pPr>
      <w:r>
        <w:rPr>
          <w:b/>
        </w:rPr>
        <w:t>Group ID:</w:t>
      </w:r>
      <w:r>
        <w:t xml:space="preserve"> group-713123bb39a7918977dc</w:t>
      </w:r>
    </w:p>
    <w:p>
      <w:pPr>
        <w:pStyle w:val="SourceNote"/>
      </w:pPr>
      <w:r>
        <w:rPr>
          <w:b/>
        </w:rPr>
        <w:t>Original source:</w:t>
      </w:r>
      <w:r>
        <w:t xml:space="preserve"> https://doi.org/10.21625/archive.v2i1.237</w:t>
      </w:r>
    </w:p>
    <w:p>
      <w:pPr/>
      <w:r>
        <w:rPr>
          <w:b/>
        </w:rPr>
        <w:t>Original future claim:</w:t>
      </w:r>
      <w:r>
        <w:t xml:space="preserve"> However, no legislative proposals are expected. - Reducing the number of seriously injured will be a core objective in the future: A reduction goal of 50% has been set by the Council of the European Union for the period 2020-2030.The results show that the developments of the last years point towards a full and active agenda till 2020 and beyond. However, the topics and activities of road safety policy that will determine the next few years are less apparent.</w:t>
      </w:r>
    </w:p>
    <w:p>
      <w:pPr/>
      <w:r>
        <w:rPr>
          <w:b/>
        </w:rPr>
        <w:t>Later source:</w:t>
      </w:r>
      <w:r>
        <w:t xml:space="preserve"> Draghi Plan and Implications for the European Legislative Framework — https://doi.org/10.24818/eblj/2025/4/1.06</w:t>
      </w:r>
    </w:p>
    <w:p>
      <w:pPr/>
      <w:r>
        <w:rPr>
          <w:b/>
        </w:rPr>
        <w:t>Later source:</w:t>
      </w:r>
      <w:r>
        <w:t xml:space="preserve"> Germany's Path to a National Kidney Exchange Program: An Assessment of the 2024 Legislative Proposal — https://doi.org/10.1016/j.healthpol.2026.105578</w:t>
      </w:r>
    </w:p>
    <w:p>
      <w:pPr>
        <w:pStyle w:val="SourceNote"/>
      </w:pPr>
      <w:r>
        <w:rPr>
          <w:b/>
        </w:rPr>
        <w:t>Review status:</w:t>
      </w:r>
      <w:r>
        <w:t xml:space="preserve"> unchecked — possible relationship only</w:t>
      </w:r>
    </w:p>
    <w:p>
      <w:pPr>
        <w:pStyle w:val="Heading2"/>
      </w:pPr>
      <w:r>
        <w:t>188. Claim + two later sources: ECONOMIC GROWTH PROJECTION FOR EUROPEAN UNION BY 2030</w:t>
      </w:r>
    </w:p>
    <w:p>
      <w:pPr>
        <w:pStyle w:val="SourceNote"/>
      </w:pPr>
      <w:r>
        <w:rPr>
          <w:b/>
        </w:rPr>
        <w:t>Group ID:</w:t>
      </w:r>
      <w:r>
        <w:t xml:space="preserve"> group-1ab59b5fc2ec53420851</w:t>
      </w:r>
    </w:p>
    <w:p>
      <w:pPr>
        <w:pStyle w:val="SourceNote"/>
      </w:pPr>
      <w:r>
        <w:rPr>
          <w:b/>
        </w:rPr>
        <w:t>Original source:</w:t>
      </w:r>
      <w:r>
        <w:t xml:space="preserve"> https://doi.org/10.5755/j01.eis.0.13.23709</w:t>
      </w:r>
    </w:p>
    <w:p>
      <w:pPr/>
      <w:r>
        <w:rPr>
          <w:b/>
        </w:rPr>
        <w:t>Original future claim:</w:t>
      </w:r>
      <w:r>
        <w:t xml:space="preserve"> The paper contributes to a discussion on developments in output for the EU-27 group over the next 11 years, up to year 2030. A brief study of population-decreasing events in the European historical perspective may represent an inspiring part.</w:t>
      </w:r>
    </w:p>
    <w:p>
      <w:pPr/>
      <w:r>
        <w:rPr>
          <w:b/>
        </w:rPr>
        <w:t>Later source:</w:t>
      </w:r>
      <w:r>
        <w:t xml:space="preserve"> The Development of Energy Policy in the European Union — https://doi.org/10.4324/9781003298403</w:t>
      </w:r>
    </w:p>
    <w:p>
      <w:pPr/>
      <w:r>
        <w:rPr>
          <w:b/>
        </w:rPr>
        <w:t>Later source:</w:t>
      </w:r>
      <w:r>
        <w:t xml:space="preserve"> Exploring how Europeans understand solidarity in the EU — https://doi.org/10.4324/9781032690902-3</w:t>
      </w:r>
    </w:p>
    <w:p>
      <w:pPr>
        <w:pStyle w:val="SourceNote"/>
      </w:pPr>
      <w:r>
        <w:rPr>
          <w:b/>
        </w:rPr>
        <w:t>Review status:</w:t>
      </w:r>
      <w:r>
        <w:t xml:space="preserve"> unchecked — possible relationship only</w:t>
      </w:r>
    </w:p>
    <w:p>
      <w:pPr>
        <w:pStyle w:val="Heading2"/>
      </w:pPr>
      <w:r>
        <w:t>189. Claim + two later sources: Which way to net zero? a comparative analysis of seven UK 2050 decarbonisation pathways</w:t>
      </w:r>
    </w:p>
    <w:p>
      <w:pPr>
        <w:pStyle w:val="SourceNote"/>
      </w:pPr>
      <w:r>
        <w:rPr>
          <w:b/>
        </w:rPr>
        <w:t>Group ID:</w:t>
      </w:r>
      <w:r>
        <w:t xml:space="preserve"> group-56b28cc4e01bf4fdf5da</w:t>
      </w:r>
    </w:p>
    <w:p>
      <w:pPr>
        <w:pStyle w:val="SourceNote"/>
      </w:pPr>
      <w:r>
        <w:rPr>
          <w:b/>
        </w:rPr>
        <w:t>Original source:</w:t>
      </w:r>
      <w:r>
        <w:t xml:space="preserve"> https://doi.org/10.1016/j.rset.2021.100016</w:t>
      </w:r>
    </w:p>
    <w:p>
      <w:pPr/>
      <w:r>
        <w:rPr>
          <w:b/>
        </w:rPr>
        <w:t>Original future claim:</w:t>
      </w:r>
      <w:r>
        <w:t xml:space="preserve"> The key findings reported are that (i) pathways that rely on less stringent behavioural changes require more ambitious technology development (and vice versa); (ii) electricity generation will increase by 51–160% to facilitate large-scale fuel-switching in heating and transport, the vast majority of which is likely to be generated from variable renewable sources; (iii) hydrogen is an important energy vector in meeting Net Zero for all pathways, providing 100–591 TWh annually by 2050, though the growth in demand is heavily dependent on the extent to which it is used in supplying heating and transport demand. Since the UK’s Net Zero greenhouse gas emissions target was set in 2019, organisations across the energy systems community have released pathways on how we might get there – which end-use technologies are deployed across each sector of demand, how our fossil fuel-based energy supply would be transferred to low carbon vectors and to what extent society must change the way it demands energy services.</w:t>
      </w:r>
    </w:p>
    <w:p>
      <w:pPr/>
      <w:r>
        <w:rPr>
          <w:b/>
        </w:rPr>
        <w:t>Later source:</w:t>
      </w:r>
      <w:r>
        <w:t xml:space="preserve"> Persistent Identifiers in Germany: Key Findings of a Nationwide Survey — https://doi.org/10.5334/dsj-2026-028</w:t>
      </w:r>
    </w:p>
    <w:p>
      <w:pPr/>
      <w:r>
        <w:rPr>
          <w:b/>
        </w:rPr>
        <w:t>Later source:</w:t>
      </w:r>
      <w:r>
        <w:t xml:space="preserve"> A Literature Review on The Technical Efficiency of Islamic Banks: Classification and Key Findings — https://doi.org/10.56734/ijbms.v6n4a5</w:t>
      </w:r>
    </w:p>
    <w:p>
      <w:pPr>
        <w:pStyle w:val="SourceNote"/>
      </w:pPr>
      <w:r>
        <w:rPr>
          <w:b/>
        </w:rPr>
        <w:t>Review status:</w:t>
      </w:r>
      <w:r>
        <w:t xml:space="preserve"> unchecked — possible relationship only</w:t>
      </w:r>
    </w:p>
    <w:p>
      <w:pPr>
        <w:pStyle w:val="Heading2"/>
      </w:pPr>
      <w:r>
        <w:t>190. Claim + two later sources: Interpreting long-term energy scenarios and the role of bioenergy in Germany</w:t>
      </w:r>
    </w:p>
    <w:p>
      <w:pPr>
        <w:pStyle w:val="SourceNote"/>
      </w:pPr>
      <w:r>
        <w:rPr>
          <w:b/>
        </w:rPr>
        <w:t>Group ID:</w:t>
      </w:r>
      <w:r>
        <w:t xml:space="preserve"> group-1a99be8c776324e898ce</w:t>
      </w:r>
    </w:p>
    <w:p>
      <w:pPr>
        <w:pStyle w:val="SourceNote"/>
      </w:pPr>
      <w:r>
        <w:rPr>
          <w:b/>
        </w:rPr>
        <w:t>Original source:</w:t>
      </w:r>
      <w:r>
        <w:t xml:space="preserve"> https://doi.org/10.1016/j.rser.2016.02.016</w:t>
      </w:r>
    </w:p>
    <w:p>
      <w:pPr/>
      <w:r>
        <w:rPr>
          <w:b/>
        </w:rPr>
        <w:t>Original future claim:</w:t>
      </w:r>
      <w:r>
        <w:t xml:space="preserve"> This article aims to provide with information for better understanding energy scenarios and to interpret the expectations of the role that bioenergy can play in 2050. The results for the four indicators show a high uncertainty and a wide range of potential bioenergy development futures in Germany by 2050 – e.g. the sustainable domestic biomass potential ranges from 350 to 1700 PJ, the share of biomass in final energy consumption lies between 5 and 28% – principally due to the different key questions and methods and heterogeneous driving forces.</w:t>
      </w:r>
    </w:p>
    <w:p>
      <w:pPr/>
      <w:r>
        <w:rPr>
          <w:b/>
        </w:rPr>
        <w:t>Later source:</w:t>
      </w:r>
      <w:r>
        <w:t xml:space="preserve"> The Securitization of Islam in the Context of European Identityand the Attitudes of Europeans Towards Muslim Immigrants and Refugees — https://doi.org/10.34739/dsd.2024.02.02</w:t>
      </w:r>
    </w:p>
    <w:p>
      <w:pPr/>
      <w:r>
        <w:rPr>
          <w:b/>
        </w:rPr>
        <w:t>Later source:</w:t>
      </w:r>
      <w:r>
        <w:t xml:space="preserve"> A systematic literature review focusing on luxury hotels in Europe and Asia — https://doi.org/10.15170/tvt.2025.10.01.05</w:t>
      </w:r>
    </w:p>
    <w:p>
      <w:pPr>
        <w:pStyle w:val="SourceNote"/>
      </w:pPr>
      <w:r>
        <w:rPr>
          <w:b/>
        </w:rPr>
        <w:t>Review status:</w:t>
      </w:r>
      <w:r>
        <w:t xml:space="preserve"> unchecked — possible relationship only</w:t>
      </w:r>
    </w:p>
    <w:p>
      <w:pPr>
        <w:pStyle w:val="Heading2"/>
      </w:pPr>
      <w:r>
        <w:t>191. Claim + two later sources: Czech Republic as A Deferring Factor for European Union to Achieve Climate Change Measures</w:t>
      </w:r>
    </w:p>
    <w:p>
      <w:pPr>
        <w:pStyle w:val="SourceNote"/>
      </w:pPr>
      <w:r>
        <w:rPr>
          <w:b/>
        </w:rPr>
        <w:t>Group ID:</w:t>
      </w:r>
      <w:r>
        <w:t xml:space="preserve"> group-f858b0b5aba565cf8d21</w:t>
      </w:r>
    </w:p>
    <w:p>
      <w:pPr>
        <w:pStyle w:val="SourceNote"/>
      </w:pPr>
      <w:r>
        <w:rPr>
          <w:b/>
        </w:rPr>
        <w:t>Original source:</w:t>
      </w:r>
      <w:r>
        <w:t xml:space="preserve"> https://doi.org/10.7454/jsgs.v5i2.1099</w:t>
      </w:r>
    </w:p>
    <w:p>
      <w:pPr/>
      <w:r>
        <w:rPr>
          <w:b/>
        </w:rPr>
        <w:t>Original future claim:</w:t>
      </w:r>
      <w:r>
        <w:t xml:space="preserve"> The researcher conducts an analysis based on two research questions: what are causal factors for Czech Republic yet to decide on phasing out coal-fired power plant and what impact will it have on the EU's efforts to reduce greenhouse gas emissions by 2030 and become fully carbon neutral by 2050.</w:t>
      </w:r>
    </w:p>
    <w:p>
      <w:pPr/>
      <w:r>
        <w:rPr>
          <w:b/>
        </w:rPr>
        <w:t>Later source:</w:t>
      </w:r>
      <w:r>
        <w:t xml:space="preserve"> European Researcher — https://doi.org/10.13187/issn.2219-8229</w:t>
      </w:r>
    </w:p>
    <w:p>
      <w:pPr/>
      <w:r>
        <w:rPr>
          <w:b/>
        </w:rPr>
        <w:t>Later source:</w:t>
      </w:r>
      <w:r>
        <w:t xml:space="preserve"> Evidence Based Education in Europe: A Comparative Study — https://doi.org/10.5281/zenodo.23238746</w:t>
      </w:r>
    </w:p>
    <w:p>
      <w:pPr>
        <w:pStyle w:val="SourceNote"/>
      </w:pPr>
      <w:r>
        <w:rPr>
          <w:b/>
        </w:rPr>
        <w:t>Review status:</w:t>
      </w:r>
      <w:r>
        <w:t xml:space="preserve"> unchecked — possible relationship only</w:t>
      </w:r>
    </w:p>
    <w:p>
      <w:pPr>
        <w:pStyle w:val="Heading2"/>
      </w:pPr>
      <w:r>
        <w:t>192. Claim + two later sources: Potential stocks and increments of woody biomass in the European Union under different management and climate scenarios</w:t>
      </w:r>
    </w:p>
    <w:p>
      <w:pPr>
        <w:pStyle w:val="SourceNote"/>
      </w:pPr>
      <w:r>
        <w:rPr>
          <w:b/>
        </w:rPr>
        <w:t>Group ID:</w:t>
      </w:r>
      <w:r>
        <w:t xml:space="preserve"> group-cc6d86980148089b5962</w:t>
      </w:r>
    </w:p>
    <w:p>
      <w:pPr>
        <w:pStyle w:val="SourceNote"/>
      </w:pPr>
      <w:r>
        <w:rPr>
          <w:b/>
        </w:rPr>
        <w:t>Original source:</w:t>
      </w:r>
      <w:r>
        <w:t xml:space="preserve"> https://doi.org/10.1186/1750-0680-8-2</w:t>
      </w:r>
    </w:p>
    <w:p>
      <w:pPr/>
      <w:r>
        <w:rPr>
          <w:b/>
        </w:rPr>
        <w:t>Original future claim:</w:t>
      </w:r>
      <w:r>
        <w:t xml:space="preserve"> It should be investigated how biomass stock, harvests and increments will develop under different climate scenarios and two management scenarios where one is forcing to store high biomass amounts in forests and the other tries to have high increment rates and much harvested wood. Incentives which will increase the standing biomass beyond the increment optimal biomass should therefore be avoided.</w:t>
      </w:r>
    </w:p>
    <w:p>
      <w:pPr/>
      <w:r>
        <w:rPr>
          <w:b/>
        </w:rPr>
        <w:t>Later source:</w:t>
      </w:r>
      <w:r>
        <w:t xml:space="preserve"> Effect of forest stand thinning on tree biomass carbon stock — https://doi.org/10.22616/erdev.2024.23.tf009</w:t>
      </w:r>
    </w:p>
    <w:p>
      <w:pPr/>
      <w:r>
        <w:rPr>
          <w:b/>
        </w:rPr>
        <w:t>Later source:</w:t>
      </w:r>
      <w:r>
        <w:t xml:space="preserve"> Changes in Organic Carbon Stock in Soil and Whole Tree Biomass in Afforested Areas in Latvia — https://doi.org/10.3390/plants12122264</w:t>
      </w:r>
    </w:p>
    <w:p>
      <w:pPr>
        <w:pStyle w:val="SourceNote"/>
      </w:pPr>
      <w:r>
        <w:rPr>
          <w:b/>
        </w:rPr>
        <w:t>Review status:</w:t>
      </w:r>
      <w:r>
        <w:t xml:space="preserve"> unchecked — possible relationship only</w:t>
      </w:r>
    </w:p>
    <w:p>
      <w:pPr>
        <w:pStyle w:val="Heading2"/>
      </w:pPr>
      <w:r>
        <w:t>193. Claim + two later sources: Foresight on the future of public research metrology in Europe</w:t>
      </w:r>
    </w:p>
    <w:p>
      <w:pPr>
        <w:pStyle w:val="SourceNote"/>
      </w:pPr>
      <w:r>
        <w:rPr>
          <w:b/>
        </w:rPr>
        <w:t>Group ID:</w:t>
      </w:r>
      <w:r>
        <w:t xml:space="preserve"> group-699c368d4ad311a4ea54</w:t>
      </w:r>
    </w:p>
    <w:p>
      <w:pPr>
        <w:pStyle w:val="SourceNote"/>
      </w:pPr>
      <w:r>
        <w:rPr>
          <w:b/>
        </w:rPr>
        <w:t>Original source:</w:t>
      </w:r>
      <w:r>
        <w:t xml:space="preserve"> https://doi.org/10.1108/14636681111109660</w:t>
      </w:r>
    </w:p>
    <w:p>
      <w:pPr/>
      <w:r>
        <w:rPr>
          <w:b/>
        </w:rPr>
        <w:t>Original future claim:</w:t>
      </w:r>
      <w:r>
        <w:t xml:space="preserve"> Purpose The aim of this paper is to describe and evaluate the use of a five‐step foresight process and the application of scenario methods to grasp the range of future alternatives that might confront researchers and research managers in European metrology research institutes. Design/methodology/approach The paper illustrates how scenario methods were used to, first, serve as a basis for policy recommendations for the field of European metrology research institutes and, second, help experts and stakeholders to network and actively discuss a shared vision of the future of the field.</w:t>
      </w:r>
    </w:p>
    <w:p>
      <w:pPr/>
      <w:r>
        <w:rPr>
          <w:b/>
        </w:rPr>
        <w:t>Later source:</w:t>
      </w:r>
      <w:r>
        <w:t xml:space="preserve"> The prevalence of cannabidiol (CBD) use in North America and Europe: A meta‐analysis — https://doi.org/10.1111/add.70360</w:t>
      </w:r>
    </w:p>
    <w:p>
      <w:pPr/>
      <w:r>
        <w:rPr>
          <w:b/>
        </w:rPr>
        <w:t>Later source:</w:t>
      </w:r>
      <w:r>
        <w:t xml:space="preserve"> Appropriateness of antibiotic use in nursing homes for suspected urinary tract infections: comparison across five European countries — https://doi.org/10.1007/s41999-025-01185-0</w:t>
      </w:r>
    </w:p>
    <w:p>
      <w:pPr>
        <w:pStyle w:val="SourceNote"/>
      </w:pPr>
      <w:r>
        <w:rPr>
          <w:b/>
        </w:rPr>
        <w:t>Review status:</w:t>
      </w:r>
      <w:r>
        <w:t xml:space="preserve"> unchecked — possible relationship only</w:t>
      </w:r>
    </w:p>
    <w:p>
      <w:pPr>
        <w:pStyle w:val="Heading2"/>
      </w:pPr>
      <w:r>
        <w:t>194. Claim + two later sources: Crisis futures: The affects and temporalities of economic collapse in Iceland</w:t>
      </w:r>
    </w:p>
    <w:p>
      <w:pPr>
        <w:pStyle w:val="SourceNote"/>
      </w:pPr>
      <w:r>
        <w:rPr>
          <w:b/>
        </w:rPr>
        <w:t>Group ID:</w:t>
      </w:r>
      <w:r>
        <w:t xml:space="preserve"> group-71e72457727705a24c85</w:t>
      </w:r>
    </w:p>
    <w:p>
      <w:pPr>
        <w:pStyle w:val="SourceNote"/>
      </w:pPr>
      <w:r>
        <w:rPr>
          <w:b/>
        </w:rPr>
        <w:t>Original source:</w:t>
      </w:r>
      <w:r>
        <w:t xml:space="preserve"> https://doi.org/10.1080/02757206.2020.1762589</w:t>
      </w:r>
    </w:p>
    <w:p>
      <w:pPr/>
      <w:r>
        <w:rPr>
          <w:b/>
        </w:rPr>
        <w:t>Original future claim:</w:t>
      </w:r>
      <w:r>
        <w:t xml:space="preserve"> We conclude by discussing the unfinished nature of crisis and role of public forecasting as a means for contending with ongoing economic insecurity.</w:t>
      </w:r>
    </w:p>
    <w:p>
      <w:pPr/>
      <w:r>
        <w:rPr>
          <w:b/>
        </w:rPr>
        <w:t>Later source:</w:t>
      </w:r>
      <w:r>
        <w:t xml:space="preserve"> Biography of Mahfuj Alam: Revolutionary Mind, State Power and The Unfinished Republic — https://doi.org/10.5281/zenodo.19572195</w:t>
      </w:r>
    </w:p>
    <w:p>
      <w:pPr/>
      <w:r>
        <w:rPr>
          <w:b/>
        </w:rPr>
        <w:t>Later source:</w:t>
      </w:r>
      <w:r>
        <w:t xml:space="preserve"> "Happy those for whom the fold of ...": Intention and interpretation in the unfinished Romantic poetic text — https://openalex.org/W7135642000</w:t>
      </w:r>
    </w:p>
    <w:p>
      <w:pPr>
        <w:pStyle w:val="SourceNote"/>
      </w:pPr>
      <w:r>
        <w:rPr>
          <w:b/>
        </w:rPr>
        <w:t>Review status:</w:t>
      </w:r>
      <w:r>
        <w:t xml:space="preserve"> unchecked — possible relationship only</w:t>
      </w:r>
    </w:p>
    <w:p>
      <w:pPr>
        <w:pStyle w:val="Heading2"/>
      </w:pPr>
      <w:r>
        <w:t>195. Claim + two later sources: The perspectives of development of high-speed rail network in the European Union till</w:t>
        <w:br/>
        <w:t>the year 2050</w:t>
      </w:r>
    </w:p>
    <w:p>
      <w:pPr>
        <w:pStyle w:val="SourceNote"/>
      </w:pPr>
      <w:r>
        <w:rPr>
          <w:b/>
        </w:rPr>
        <w:t>Group ID:</w:t>
      </w:r>
      <w:r>
        <w:t xml:space="preserve"> group-167d6d6f83de68cffcab</w:t>
      </w:r>
    </w:p>
    <w:p>
      <w:pPr>
        <w:pStyle w:val="SourceNote"/>
      </w:pPr>
      <w:r>
        <w:rPr>
          <w:b/>
        </w:rPr>
        <w:t>Original source:</w:t>
      </w:r>
      <w:r>
        <w:t xml:space="preserve"> https://doi.org/10.35117/a_eng_19_07_01</w:t>
      </w:r>
    </w:p>
    <w:p>
      <w:pPr/>
      <w:r>
        <w:rPr>
          <w:b/>
        </w:rPr>
        <w:t>Original future claim:</w:t>
      </w:r>
      <w:r>
        <w:t xml:space="preserve"> As an outcome of the analyses presented in the article there emerged a complete vision of planned development of high-speed rail network in the European Union, which length in 2030 could be estimated for approximetaly 16,5 thousand kilometers.</w:t>
      </w:r>
    </w:p>
    <w:p>
      <w:pPr/>
      <w:r>
        <w:rPr>
          <w:b/>
        </w:rPr>
        <w:t>Later source:</w:t>
      </w:r>
      <w:r>
        <w:t xml:space="preserve"> Clinical heterogeneity and outcome of acquired PRCA: a multicenter European study — https://doi.org/10.1182/bloodadvances.2025019525</w:t>
      </w:r>
    </w:p>
    <w:p>
      <w:pPr/>
      <w:r>
        <w:rPr>
          <w:b/>
        </w:rPr>
        <w:t>Later source:</w:t>
      </w:r>
      <w:r>
        <w:t xml:space="preserve"> Demographics and treatment outcomes in patients with EBV+ PTLD treated with off-the-shelf EBV-specific CTL under an ongoing expanded access program in Europe: First analyses. — https://doi.org/10.1200/jco.2022.40.16_suppl.7530</w:t>
      </w:r>
    </w:p>
    <w:p>
      <w:pPr>
        <w:pStyle w:val="SourceNote"/>
      </w:pPr>
      <w:r>
        <w:rPr>
          <w:b/>
        </w:rPr>
        <w:t>Review status:</w:t>
      </w:r>
      <w:r>
        <w:t xml:space="preserve"> unchecked — possible relationship only</w:t>
      </w:r>
    </w:p>
    <w:p>
      <w:pPr>
        <w:pStyle w:val="Heading2"/>
      </w:pPr>
      <w:r>
        <w:t>196. Claim + two later sources: Long-term vision of rural areas in Hungary, focusing on foresights</w:t>
      </w:r>
    </w:p>
    <w:p>
      <w:pPr>
        <w:pStyle w:val="SourceNote"/>
      </w:pPr>
      <w:r>
        <w:rPr>
          <w:b/>
        </w:rPr>
        <w:t>Group ID:</w:t>
      </w:r>
      <w:r>
        <w:t xml:space="preserve"> group-a9263254fe676d98c8a9</w:t>
      </w:r>
    </w:p>
    <w:p>
      <w:pPr>
        <w:pStyle w:val="SourceNote"/>
      </w:pPr>
      <w:r>
        <w:rPr>
          <w:b/>
        </w:rPr>
        <w:t>Original source:</w:t>
      </w:r>
      <w:r>
        <w:t xml:space="preserve"> https://doi.org/10.22004/ag.econ.314094</w:t>
      </w:r>
    </w:p>
    <w:p>
      <w:pPr/>
      <w:r>
        <w:rPr>
          <w:b/>
        </w:rPr>
        <w:t>Original future claim:</w:t>
      </w:r>
      <w:r>
        <w:t xml:space="preserve"> The aim of the Hungarian research team was to identify the current and likely trends for the Hungarian rural areas and to point out key challenges, opportunities, enablers and barriers in rural development in terms of digitalisation up to 2040. Among the results, it is worth mentioning that digitisation and digitalisation will fundamentally change how rural areas operate including economic, environmental and social dimensions.</w:t>
      </w:r>
    </w:p>
    <w:p>
      <w:pPr/>
      <w:r>
        <w:rPr>
          <w:b/>
        </w:rPr>
        <w:t>Later source:</w:t>
      </w:r>
      <w:r>
        <w:t xml:space="preserve"> Central And Eastern European Companies in Africa. The Case of Hungarian Businesses — https://doi.org/10.18267/pr.2026.vol.2587.3</w:t>
      </w:r>
    </w:p>
    <w:p>
      <w:pPr/>
      <w:r>
        <w:rPr>
          <w:b/>
        </w:rPr>
        <w:t>Later source:</w:t>
      </w:r>
      <w:r>
        <w:t xml:space="preserve"> Banking Union membership and the quality of democracy in Central and Eastern Europe – the case of Hungary — https://doi.org/10.1080/23745118.2026.2706762</w:t>
      </w:r>
    </w:p>
    <w:p>
      <w:pPr>
        <w:pStyle w:val="SourceNote"/>
      </w:pPr>
      <w:r>
        <w:rPr>
          <w:b/>
        </w:rPr>
        <w:t>Review status:</w:t>
      </w:r>
      <w:r>
        <w:t xml:space="preserve"> unchecked — possible relationship only</w:t>
      </w:r>
    </w:p>
    <w:p>
      <w:pPr>
        <w:pStyle w:val="Heading2"/>
      </w:pPr>
      <w:r>
        <w:t>197. Claim + two later sources: European human‐dominated landscapes provide ample space for the recolonization of large carnivore populations under future land change scenarios</w:t>
      </w:r>
    </w:p>
    <w:p>
      <w:pPr>
        <w:pStyle w:val="SourceNote"/>
      </w:pPr>
      <w:r>
        <w:rPr>
          <w:b/>
        </w:rPr>
        <w:t>Group ID:</w:t>
      </w:r>
      <w:r>
        <w:t xml:space="preserve"> group-9885146e144b7e4d6775</w:t>
      </w:r>
    </w:p>
    <w:p>
      <w:pPr>
        <w:pStyle w:val="SourceNote"/>
      </w:pPr>
      <w:r>
        <w:rPr>
          <w:b/>
        </w:rPr>
        <w:t>Original source:</w:t>
      </w:r>
      <w:r>
        <w:t xml:space="preserve"> https://doi.org/10.1111/ecog.02223</w:t>
      </w:r>
    </w:p>
    <w:p>
      <w:pPr/>
      <w:r>
        <w:rPr>
          <w:b/>
        </w:rPr>
        <w:t>Original future claim:</w:t>
      </w:r>
      <w:r>
        <w:t xml:space="preserve"> Third, we projected permanent occurrences into the future across a range of land‐use change scenarios.</w:t>
      </w:r>
    </w:p>
    <w:p>
      <w:pPr/>
      <w:r>
        <w:rPr>
          <w:b/>
        </w:rPr>
        <w:t>Later source:</w:t>
      </w:r>
      <w:r>
        <w:t xml:space="preserve"> Continuing recovery of wolves in Europe — https://doi.org/10.1371/journal.pstr.0000158</w:t>
      </w:r>
    </w:p>
    <w:p>
      <w:pPr/>
      <w:r>
        <w:rPr>
          <w:b/>
        </w:rPr>
        <w:t>Later source:</w:t>
      </w:r>
      <w:r>
        <w:t xml:space="preserve"> Tipping points and farmer decision-making in European permanent grassland (PG) agricultural systems — https://doi.org/10.1016/j.jrurstud.2024.103364</w:t>
      </w:r>
    </w:p>
    <w:p>
      <w:pPr>
        <w:pStyle w:val="SourceNote"/>
      </w:pPr>
      <w:r>
        <w:rPr>
          <w:b/>
        </w:rPr>
        <w:t>Review status:</w:t>
      </w:r>
      <w:r>
        <w:t xml:space="preserve"> unchecked — possible relationship only</w:t>
      </w:r>
    </w:p>
    <w:p>
      <w:pPr>
        <w:pStyle w:val="Heading2"/>
      </w:pPr>
      <w:r>
        <w:t>198. Claim + two later sources: Quantifying the sensitivity of european power systems to energy scenarios and climate change projections</w:t>
      </w:r>
    </w:p>
    <w:p>
      <w:pPr>
        <w:pStyle w:val="SourceNote"/>
      </w:pPr>
      <w:r>
        <w:rPr>
          <w:b/>
        </w:rPr>
        <w:t>Group ID:</w:t>
      </w:r>
      <w:r>
        <w:t xml:space="preserve"> group-dd3a07990fc19c68c16c</w:t>
      </w:r>
    </w:p>
    <w:p>
      <w:pPr>
        <w:pStyle w:val="SourceNote"/>
      </w:pPr>
      <w:r>
        <w:rPr>
          <w:b/>
        </w:rPr>
        <w:t>Original source:</w:t>
      </w:r>
      <w:r>
        <w:t xml:space="preserve"> https://doi.org/10.1016/j.renene.2020.09.125</w:t>
      </w:r>
    </w:p>
    <w:p>
      <w:pPr/>
      <w:r>
        <w:rPr>
          <w:b/>
        </w:rPr>
        <w:t>Original future claim:</w:t>
      </w:r>
      <w:r>
        <w:t xml:space="preserve"> We show for the first time how a set of divergent future power system scenarios lead to marked differences in Europe’s total energy balance (demand-net-renewable supply) by 2050, which dominate over the uncertainty associated with climate change (∼50% and ∼5% respectively). However, within any given power system scenario, national power systems may be subject to considerable impacts from climate change, particularly for seasonal differences between renewable resources (e.g., wind power may be impacted by ∼20% or more).</w:t>
      </w:r>
    </w:p>
    <w:p>
      <w:pPr/>
      <w:r>
        <w:rPr>
          <w:b/>
        </w:rPr>
        <w:t>Later source:</w:t>
      </w:r>
      <w:r>
        <w:t xml:space="preserve"> Stability Rules: Succession Institutions, Conflict, and Divergent Paths of State Development — https://openalex.org/W7164271797</w:t>
      </w:r>
    </w:p>
    <w:p>
      <w:pPr/>
      <w:r>
        <w:rPr>
          <w:b/>
        </w:rPr>
        <w:t>Later source:</w:t>
      </w:r>
      <w:r>
        <w:t xml:space="preserve"> Spatial shifts of seasonal vegetation cycles in Europe over time — https://doi.org/10.5194/egusphere-egu25-11953</w:t>
      </w:r>
    </w:p>
    <w:p>
      <w:pPr>
        <w:pStyle w:val="SourceNote"/>
      </w:pPr>
      <w:r>
        <w:rPr>
          <w:b/>
        </w:rPr>
        <w:t>Review status:</w:t>
      </w:r>
      <w:r>
        <w:t xml:space="preserve"> unchecked — possible relationship only</w:t>
      </w:r>
    </w:p>
    <w:p>
      <w:pPr>
        <w:pStyle w:val="Heading2"/>
      </w:pPr>
      <w:r>
        <w:t>199. Claim + two later sources: After-crisis Scenarios for the European Regions</w:t>
      </w:r>
    </w:p>
    <w:p>
      <w:pPr>
        <w:pStyle w:val="SourceNote"/>
      </w:pPr>
      <w:r>
        <w:rPr>
          <w:b/>
        </w:rPr>
        <w:t>Group ID:</w:t>
      </w:r>
      <w:r>
        <w:t xml:space="preserve"> group-61b0e6bf761f9752e8cb</w:t>
      </w:r>
    </w:p>
    <w:p>
      <w:pPr>
        <w:pStyle w:val="SourceNote"/>
      </w:pPr>
      <w:r>
        <w:rPr>
          <w:b/>
        </w:rPr>
        <w:t>Original source:</w:t>
      </w:r>
      <w:r>
        <w:t xml:space="preserve"> https://doi.org/10.2457/srs.42.3</w:t>
      </w:r>
    </w:p>
    <w:p>
      <w:pPr/>
      <w:r>
        <w:rPr>
          <w:b/>
        </w:rPr>
        <w:t>Original future claim:</w:t>
      </w:r>
      <w:r>
        <w:t xml:space="preserve"> What is called a “reference scenario” is built under the assumption that there will be a perception that structural changes will happen, that an extrapolation of past trends has no meaning at all, but that policies will not act in an effective way. This scenario will be compared to a second one, called the pro-active scenario, in which changes will be perceived and even anticipated; and to the re-active or defensive one, based on the assumptions that changes are not fully perceived by economic actors.</w:t>
      </w:r>
    </w:p>
    <w:p>
      <w:pPr/>
      <w:r>
        <w:rPr>
          <w:b/>
        </w:rPr>
        <w:t>Later source:</w:t>
      </w:r>
      <w:r>
        <w:t xml:space="preserve"> Built environment and childhood obesity: A systematic review of the European literature — https://doi.org/10.29333/jconseph/17944</w:t>
      </w:r>
    </w:p>
    <w:p>
      <w:pPr/>
      <w:r>
        <w:rPr>
          <w:b/>
        </w:rPr>
        <w:t>Later source:</w:t>
      </w:r>
      <w:r>
        <w:t xml:space="preserve"> The New European Bauhaus Academy: a novel skills, knowledge and innovation platform to boost sustainable construction within the built environment — https://doi.org/10.5281/zenodo.20586709</w:t>
      </w:r>
    </w:p>
    <w:p>
      <w:pPr>
        <w:pStyle w:val="SourceNote"/>
      </w:pPr>
      <w:r>
        <w:rPr>
          <w:b/>
        </w:rPr>
        <w:t>Review status:</w:t>
      </w:r>
      <w:r>
        <w:t xml:space="preserve"> unchecked — possible relationship only</w:t>
      </w:r>
    </w:p>
    <w:p>
      <w:pPr>
        <w:pStyle w:val="Heading2"/>
      </w:pPr>
      <w:r>
        <w:t>200. Claim + two later sources: Proposals of European Citizens for Reviving the Future of Shrinking Areas</w:t>
      </w:r>
    </w:p>
    <w:p>
      <w:pPr>
        <w:pStyle w:val="SourceNote"/>
      </w:pPr>
      <w:r>
        <w:rPr>
          <w:b/>
        </w:rPr>
        <w:t>Group ID:</w:t>
      </w:r>
      <w:r>
        <w:t xml:space="preserve"> group-c1a5108ff84447ffa0f5</w:t>
      </w:r>
    </w:p>
    <w:p>
      <w:pPr>
        <w:pStyle w:val="SourceNote"/>
      </w:pPr>
      <w:r>
        <w:rPr>
          <w:b/>
        </w:rPr>
        <w:t>Original source:</w:t>
      </w:r>
      <w:r>
        <w:t xml:space="preserve"> https://doi.org/10.2478/quageo-2021-0039</w:t>
      </w:r>
    </w:p>
    <w:p>
      <w:pPr/>
      <w:r>
        <w:rPr>
          <w:b/>
        </w:rPr>
        <w:t>Original future claim:</w:t>
      </w:r>
      <w:r>
        <w:t xml:space="preserve"> Shrinkage, depopulation and the related structural decline threaten development trajectories of more than a quarter of European territories from the present until 2050. The article also discusses the content of citizens’ ideas for the future of shrinking areas, thus offering concrete proposals that may fuel the definition of future policy agendas.</w:t>
      </w:r>
    </w:p>
    <w:p>
      <w:pPr/>
      <w:r>
        <w:rPr>
          <w:b/>
        </w:rPr>
        <w:t>Later source:</w:t>
      </w:r>
      <w:r>
        <w:t xml:space="preserve"> Tourism in Depopulation Contexts: A Hybrid Bibliometric and Narrative Systematic Review — https://doi.org/10.3390/world7030040</w:t>
      </w:r>
    </w:p>
    <w:p>
      <w:pPr/>
      <w:r>
        <w:rPr>
          <w:b/>
        </w:rPr>
        <w:t>Later source:</w:t>
      </w:r>
      <w:r>
        <w:t xml:space="preserve"> Analysis of housing in depopulated rural areas: a transnational comparison — https://doi.org/10.4995/vlc.2026.25269</w:t>
      </w:r>
    </w:p>
    <w:p>
      <w:pPr>
        <w:pStyle w:val="SourceNote"/>
      </w:pPr>
      <w:r>
        <w:rPr>
          <w:b/>
        </w:rPr>
        <w:t>Review status:</w:t>
      </w:r>
      <w:r>
        <w:t xml:space="preserve"> unchecked — possible relationship only</w:t>
      </w:r>
    </w:p>
    <w:p>
      <w:pPr>
        <w:pStyle w:val="Heading2"/>
      </w:pPr>
      <w:r>
        <w:t>201. Claim + two later sources: Analytical support to foresighting EU roles as a Global Security Actor</w:t>
      </w:r>
    </w:p>
    <w:p>
      <w:pPr>
        <w:pStyle w:val="SourceNote"/>
      </w:pPr>
      <w:r>
        <w:rPr>
          <w:b/>
        </w:rPr>
        <w:t>Group ID:</w:t>
      </w:r>
      <w:r>
        <w:t xml:space="preserve"> group-0b336c41a06ad6fe26cb</w:t>
      </w:r>
    </w:p>
    <w:p>
      <w:pPr>
        <w:pStyle w:val="SourceNote"/>
      </w:pPr>
      <w:r>
        <w:rPr>
          <w:b/>
        </w:rPr>
        <w:t>Original source:</w:t>
      </w:r>
      <w:r>
        <w:t xml:space="preserve"> https://doi.org/10.11610/isij.2902</w:t>
      </w:r>
    </w:p>
    <w:p>
      <w:pPr/>
      <w:r>
        <w:rPr>
          <w:b/>
        </w:rPr>
        <w:t>Original future claim:</w:t>
      </w:r>
      <w:r>
        <w:t xml:space="preserve"> Making decisions on major investments, including investments in security research, requires good grasp of the future, which by definition is uncertain.This paper presents the analytical process, methods, and tools, including the DSTO Scenario Analysis Tool Suite, used in the elaboration and selection of a set of context scenarios and possible new roles for EU as a global actor based on the wider Petersberg tasks.Results of this exploratory process within the FP7 FOCUS project are intended to derive suggestions for the EU's security research planning.The conclusion emphasises the critical importance of providing rigorous analytical support, in particular when security foresight involves subject matter experts that are not part of a dedicated research team.</w:t>
      </w:r>
    </w:p>
    <w:p>
      <w:pPr/>
      <w:r>
        <w:rPr>
          <w:b/>
        </w:rPr>
        <w:t>Later source:</w:t>
      </w:r>
      <w:r>
        <w:t xml:space="preserve"> Evaluation of the Structural Competitiveness of Major Container Ports in Europe Using a Hybrid Multi-Criteria Decision-Making Approach (CRITIC-TOPSIS-SAW) — https://doi.org/10.25295/fsecon.1850229</w:t>
      </w:r>
    </w:p>
    <w:p>
      <w:pPr/>
      <w:r>
        <w:rPr>
          <w:b/>
        </w:rPr>
        <w:t>Later source:</w:t>
      </w:r>
      <w:r>
        <w:t xml:space="preserve"> Biomarkers for neurodegenerative diseases in regulatory decision‐making by the European Medicines Agency — https://doi.org/10.1002/trc2.70072</w:t>
      </w:r>
    </w:p>
    <w:p>
      <w:pPr>
        <w:pStyle w:val="SourceNote"/>
      </w:pPr>
      <w:r>
        <w:rPr>
          <w:b/>
        </w:rPr>
        <w:t>Review status:</w:t>
      </w:r>
      <w:r>
        <w:t xml:space="preserve"> unchecked — possible relationship only</w:t>
      </w:r>
    </w:p>
    <w:p>
      <w:pPr>
        <w:pStyle w:val="Heading2"/>
      </w:pPr>
      <w:r>
        <w:t>202. Claim + two later sources: Scenarios for European agricultural policymaking in the era of digitalisation</w:t>
      </w:r>
    </w:p>
    <w:p>
      <w:pPr>
        <w:pStyle w:val="SourceNote"/>
      </w:pPr>
      <w:r>
        <w:rPr>
          <w:b/>
        </w:rPr>
        <w:t>Group ID:</w:t>
      </w:r>
      <w:r>
        <w:t xml:space="preserve"> group-07ec5ec97c351affaf84</w:t>
      </w:r>
    </w:p>
    <w:p>
      <w:pPr>
        <w:pStyle w:val="SourceNote"/>
      </w:pPr>
      <w:r>
        <w:rPr>
          <w:b/>
        </w:rPr>
        <w:t>Original source:</w:t>
      </w:r>
      <w:r>
        <w:t xml:space="preserve"> https://doi.org/10.1016/j.agsy.2021.103318</w:t>
      </w:r>
    </w:p>
    <w:p>
      <w:pPr/>
      <w:r>
        <w:rPr>
          <w:b/>
        </w:rPr>
        <w:t>Original future claim:</w:t>
      </w:r>
      <w:r>
        <w:t xml:space="preserve"> Our findings suggest that the baseline scenario needs strategies to ramp up technological and institutional infrastructure for digitalisation. RESULTS AND CONCLUSIONS Four scenarios of digitalisation of the agri-food sector were developed for Europe in 2030.</w:t>
      </w:r>
    </w:p>
    <w:p>
      <w:pPr/>
      <w:r>
        <w:rPr>
          <w:b/>
        </w:rPr>
        <w:t>Later source:</w:t>
      </w:r>
      <w:r>
        <w:t xml:space="preserve"> The Interplay of Climate Change, Urbanisation, and Species Traits Shapes European Butterfly Population Trends — https://doi.org/10.1111/geb.70204</w:t>
      </w:r>
    </w:p>
    <w:p>
      <w:pPr/>
      <w:r>
        <w:rPr>
          <w:b/>
        </w:rPr>
        <w:t>Later source:</w:t>
      </w:r>
      <w:r>
        <w:t xml:space="preserve"> The Lifecycle of Inequality : Childhood Neighborhoods, Redistribution, and Lifetime Pensions in Finland and Europe — https://openalex.org/W7197944645</w:t>
      </w:r>
    </w:p>
    <w:p>
      <w:pPr>
        <w:pStyle w:val="SourceNote"/>
      </w:pPr>
      <w:r>
        <w:rPr>
          <w:b/>
        </w:rPr>
        <w:t>Review status:</w:t>
      </w:r>
      <w:r>
        <w:t xml:space="preserve"> unchecked — possible relationship only</w:t>
      </w:r>
    </w:p>
    <w:p>
      <w:pPr>
        <w:pStyle w:val="Heading2"/>
      </w:pPr>
      <w:r>
        <w:t>203. Claim + two later sources: STRATEGIC DIRECTIONS OF DEVELOPMENT OF THE POLISH POWER SECTOR IN THE LIGHT OF CLIMATE AND ENERGY POLICY OF THE EUROPEAN UNION</w:t>
      </w:r>
    </w:p>
    <w:p>
      <w:pPr>
        <w:pStyle w:val="SourceNote"/>
      </w:pPr>
      <w:r>
        <w:rPr>
          <w:b/>
        </w:rPr>
        <w:t>Group ID:</w:t>
      </w:r>
      <w:r>
        <w:t xml:space="preserve"> group-bdd335acd105b496ce33</w:t>
      </w:r>
    </w:p>
    <w:p>
      <w:pPr>
        <w:pStyle w:val="SourceNote"/>
      </w:pPr>
      <w:r>
        <w:rPr>
          <w:b/>
        </w:rPr>
        <w:t>Original source:</w:t>
      </w:r>
      <w:r>
        <w:t xml:space="preserve"> https://doi.org/10.7862/rz.2016.hss.18</w:t>
      </w:r>
    </w:p>
    <w:p>
      <w:pPr/>
      <w:r>
        <w:rPr>
          <w:b/>
        </w:rPr>
        <w:t>Original future claim:</w:t>
      </w:r>
      <w:r>
        <w:t xml:space="preserve"> The paper analyzes the possible directions of development of the Polish electricity sector by 2050 in terms of its adaptation to the EU requirements.The analysis was performed for different scenarios of development of CCS technology, nuclear energy development conditions and forecasted fuel prices on the domestic market, assuming the EU's targets for energy and climate policy.Strategic directions of sector development, taking into account investments in gas-fired and nuclear power plants were considered.Position of coal in the future fuel structure of Polish electricity generation and its conditions were discussed.The costs of electricity production in the analyzed scenarios are set out.The areas of government activityessential for strategic decisions determining the direction of development of the energy sector in Poland are presented.The presented studies assumed equal preferences for all types of fuels and technologies while assuming the market prices of fuels.The Government, determining the desired directions of development of the sector, can stimulate their development by creating preferences, such as preferential tax treatment.Essential is active participation of the Polish government in setting the specific targets valid for European countries in future.Without denying the need to reduce emissions, Poland should have an impact on the choice of quantity and quality of indicative targets, which will have to be met.A target to reduce emissions should not be accompanied by further objectives.For example, a target to increase share of renewable energy sources limits the development of energy mix.</w:t>
      </w:r>
    </w:p>
    <w:p>
      <w:pPr/>
      <w:r>
        <w:rPr>
          <w:b/>
        </w:rPr>
        <w:t>Later source:</w:t>
      </w:r>
      <w:r>
        <w:t xml:space="preserve"> On Possibility of Converting Electricity Generation System Based on Fossil Fuels to Fully Renewable—Polish Case — https://doi.org/10.3390/en19020483</w:t>
      </w:r>
    </w:p>
    <w:p>
      <w:pPr/>
      <w:r>
        <w:rPr>
          <w:b/>
        </w:rPr>
        <w:t>Later source:</w:t>
      </w:r>
      <w:r>
        <w:t xml:space="preserve"> Analysis of Demand-Driven Operation in an Existing Biogas Plant Under Polish Electricity Market Conditions — https://doi.org/10.3390/en19133119</w:t>
      </w:r>
    </w:p>
    <w:p>
      <w:pPr>
        <w:pStyle w:val="SourceNote"/>
      </w:pPr>
      <w:r>
        <w:rPr>
          <w:b/>
        </w:rPr>
        <w:t>Review status:</w:t>
      </w:r>
      <w:r>
        <w:t xml:space="preserve"> unchecked — possible relationship only</w:t>
      </w:r>
    </w:p>
    <w:p>
      <w:pPr>
        <w:pStyle w:val="Heading2"/>
      </w:pPr>
      <w:r>
        <w:t>204. Claim + two later sources: MARKET DRIVEN POWER PLANT INVESTMENT PERSPECTIVES IN EUROPE: CLIMATE POLICY AND TECHNOLOGY SCENARIOS UNTIL 2050 IN THE MODEL EMELIE-ESY</w:t>
      </w:r>
    </w:p>
    <w:p>
      <w:pPr>
        <w:pStyle w:val="SourceNote"/>
      </w:pPr>
      <w:r>
        <w:rPr>
          <w:b/>
        </w:rPr>
        <w:t>Group ID:</w:t>
      </w:r>
      <w:r>
        <w:t xml:space="preserve"> group-93d9c2b3190b2dacf5f7</w:t>
      </w:r>
    </w:p>
    <w:p>
      <w:pPr>
        <w:pStyle w:val="SourceNote"/>
      </w:pPr>
      <w:r>
        <w:rPr>
          <w:b/>
        </w:rPr>
        <w:t>Original source:</w:t>
      </w:r>
      <w:r>
        <w:t xml:space="preserve"> https://doi.org/10.1142/s2010007813400071</w:t>
      </w:r>
    </w:p>
    <w:p>
      <w:pPr/>
      <w:r>
        <w:rPr>
          <w:b/>
        </w:rPr>
        <w:t>Original future claim:</w:t>
      </w:r>
      <w:r>
        <w:t xml:space="preserve"> For the year 2050, the model projects a minor increase of power consumption of 10% under current climate policy, and a balanced pathway for consumption under ambitious climate policy compared to 2010 levels. We use the partial equilibrium model EMELIE-ESY with focus on electricity markets in order to determine how private investors optimize their generation capacity investment and operation over the horizon 2010 to 2050.</w:t>
      </w:r>
    </w:p>
    <w:p>
      <w:pPr/>
      <w:r>
        <w:rPr>
          <w:b/>
        </w:rPr>
        <w:t>Later source:</w:t>
      </w:r>
      <w:r>
        <w:t xml:space="preserve"> 6G and NTN Power Consumption Modeling — https://doi.org/10.1201/9781003674801-13</w:t>
      </w:r>
    </w:p>
    <w:p>
      <w:pPr/>
      <w:r>
        <w:rPr>
          <w:b/>
        </w:rPr>
        <w:t>Later source:</w:t>
      </w:r>
      <w:r>
        <w:t xml:space="preserve"> Stochastic Models of Electricity Consumption — https://doi.org/10.17150/2713-1734.2024.6(1).31-46</w:t>
      </w:r>
    </w:p>
    <w:p>
      <w:pPr>
        <w:pStyle w:val="SourceNote"/>
      </w:pPr>
      <w:r>
        <w:rPr>
          <w:b/>
        </w:rPr>
        <w:t>Review status:</w:t>
      </w:r>
      <w:r>
        <w:t xml:space="preserve"> unchecked — possible relationship only</w:t>
      </w:r>
    </w:p>
    <w:p>
      <w:pPr>
        <w:pStyle w:val="Heading2"/>
      </w:pPr>
      <w:r>
        <w:t>205. Claim + two later sources: Environmental and resource burdens associated with low carbon, more electric transition pathways to 2050: Footprint components from carbon emissions and land use to waste arisings and water consumption</w:t>
      </w:r>
    </w:p>
    <w:p>
      <w:pPr>
        <w:pStyle w:val="SourceNote"/>
      </w:pPr>
      <w:r>
        <w:rPr>
          <w:b/>
        </w:rPr>
        <w:t>Group ID:</w:t>
      </w:r>
      <w:r>
        <w:t xml:space="preserve"> group-8271259b72fce10a6694</w:t>
      </w:r>
    </w:p>
    <w:p>
      <w:pPr>
        <w:pStyle w:val="SourceNote"/>
      </w:pPr>
      <w:r>
        <w:rPr>
          <w:b/>
        </w:rPr>
        <w:t>Original source:</w:t>
      </w:r>
      <w:r>
        <w:t xml:space="preserve"> https://doi.org/10.1016/j.glt.2019.01.001</w:t>
      </w:r>
    </w:p>
    <w:p>
      <w:pPr/>
      <w:r>
        <w:rPr>
          <w:b/>
        </w:rPr>
        <w:t>Original future claim:</w:t>
      </w:r>
      <w:r>
        <w:t xml:space="preserve"> Electricity demand was projected to decrease significantly under the TF pathway by 2050, but its total environmental footprint (EF) was greater than either that under the MR or CC pathways. It has been employed here to estimate the footprints associated with three low carbon, more electric transition pathways for the United Kingdom (UK): described as ‘ Market Rules ’ (MR), ‘ Central Co-ordination ’ (CC) and ‘ Thousand Flowers ’ (TF) respectively.</w:t>
      </w:r>
    </w:p>
    <w:p>
      <w:pPr/>
      <w:r>
        <w:rPr>
          <w:b/>
        </w:rPr>
        <w:t>Later source:</w:t>
      </w:r>
      <w:r>
        <w:t xml:space="preserve"> Empowering energy consumers in the EU : legal pathways for promoting renewable electricity through demand-side management — https://openalex.org/W7125460656</w:t>
      </w:r>
    </w:p>
    <w:p>
      <w:pPr/>
      <w:r>
        <w:rPr>
          <w:b/>
        </w:rPr>
        <w:t>Later source:</w:t>
      </w:r>
      <w:r>
        <w:t xml:space="preserve"> Pathways to meeting growing electricity demand through expanding customer choice: a review of emerging hybrid power choice policies and practices — https://doi.org/10.3389/fsuep.2026.1766514</w:t>
      </w:r>
    </w:p>
    <w:p>
      <w:pPr>
        <w:pStyle w:val="SourceNote"/>
      </w:pPr>
      <w:r>
        <w:rPr>
          <w:b/>
        </w:rPr>
        <w:t>Review status:</w:t>
      </w:r>
      <w:r>
        <w:t xml:space="preserve"> unchecked — possible relationship only</w:t>
      </w:r>
    </w:p>
    <w:p>
      <w:pPr>
        <w:pStyle w:val="Heading2"/>
      </w:pPr>
      <w:r>
        <w:t>206. Claim + two later sources: Policy Modelling for Ambitious Energy Efficiency Investment in the EU Residential Buildings</w:t>
      </w:r>
    </w:p>
    <w:p>
      <w:pPr>
        <w:pStyle w:val="SourceNote"/>
      </w:pPr>
      <w:r>
        <w:rPr>
          <w:b/>
        </w:rPr>
        <w:t>Group ID:</w:t>
      </w:r>
      <w:r>
        <w:t xml:space="preserve"> group-dae865c6550900b77f2f</w:t>
      </w:r>
    </w:p>
    <w:p>
      <w:pPr>
        <w:pStyle w:val="SourceNote"/>
      </w:pPr>
      <w:r>
        <w:rPr>
          <w:b/>
        </w:rPr>
        <w:t>Original source:</w:t>
      </w:r>
      <w:r>
        <w:t xml:space="preserve"> https://doi.org/10.3390/en15062233</w:t>
      </w:r>
    </w:p>
    <w:p>
      <w:pPr/>
      <w:r>
        <w:rPr>
          <w:b/>
        </w:rPr>
        <w:t>Original future claim:</w:t>
      </w:r>
      <w:r>
        <w:t xml:space="preserve"> This paper presents the challenges of increasing the energy efficiency investments in European Union (EU) residential buildings in the context of achieving climate neutrality by 2050.</w:t>
      </w:r>
    </w:p>
    <w:p>
      <w:pPr/>
      <w:r>
        <w:rPr>
          <w:b/>
        </w:rPr>
        <w:t>Later source:</w:t>
      </w:r>
      <w:r>
        <w:t xml:space="preserve"> The Geopolitical Shift and the Challenge to European Integration — https://doi.org/10.1007/978-3-032-18648-5_1</w:t>
      </w:r>
    </w:p>
    <w:p>
      <w:pPr/>
      <w:r>
        <w:rPr>
          <w:b/>
        </w:rPr>
        <w:t>Later source:</w:t>
      </w:r>
      <w:r>
        <w:t xml:space="preserve"> The Future of European Integration : Challenges and Opportunities — https://openalex.org/W7221381007</w:t>
      </w:r>
    </w:p>
    <w:p>
      <w:pPr>
        <w:pStyle w:val="SourceNote"/>
      </w:pPr>
      <w:r>
        <w:rPr>
          <w:b/>
        </w:rPr>
        <w:t>Review status:</w:t>
      </w:r>
      <w:r>
        <w:t xml:space="preserve"> unchecked — possible relationship only</w:t>
      </w:r>
    </w:p>
    <w:p>
      <w:pPr>
        <w:pStyle w:val="Heading2"/>
      </w:pPr>
      <w:r>
        <w:t>207. Claim + two later sources: A New Climate for Europe: 2030 Climate Targets Must Be More Ambitious</w:t>
      </w:r>
    </w:p>
    <w:p>
      <w:pPr>
        <w:pStyle w:val="SourceNote"/>
      </w:pPr>
      <w:r>
        <w:rPr>
          <w:b/>
        </w:rPr>
        <w:t>Group ID:</w:t>
      </w:r>
      <w:r>
        <w:t xml:space="preserve"> group-c1261bcdc234a2b3cd6d</w:t>
      </w:r>
    </w:p>
    <w:p>
      <w:pPr>
        <w:pStyle w:val="SourceNote"/>
      </w:pPr>
      <w:r>
        <w:rPr>
          <w:b/>
        </w:rPr>
        <w:t>Original source:</w:t>
      </w:r>
      <w:r>
        <w:t xml:space="preserve"> https://doi.org/10.18723/diw_dwr:2019-40-1</w:t>
      </w:r>
    </w:p>
    <w:p>
      <w:pPr/>
      <w:r>
        <w:rPr>
          <w:b/>
        </w:rPr>
        <w:t>Original future claim:</w:t>
      </w:r>
      <w:r>
        <w:t xml:space="preserve"> Specifically, action must be taken to raise the 2030 climate targets and the 2050 long-term strategy must be revised in adherence with the Paris Agreement. Model calculations by DIW Berlin economists show that it is possible and economically feasible to increase the 2030 emission reduction target from 40 to 60 percent compared to 1990.</w:t>
      </w:r>
    </w:p>
    <w:p>
      <w:pPr/>
      <w:r>
        <w:rPr>
          <w:b/>
        </w:rPr>
        <w:t>Later source:</w:t>
      </w:r>
      <w:r>
        <w:t xml:space="preserve"> Early warning early action systems for invasive alien species affecting forests in Europe and Central Asia: an overview — https://doi.org/10.3389/ffgc.2026.1795394</w:t>
      </w:r>
    </w:p>
    <w:p>
      <w:pPr/>
      <w:r>
        <w:rPr>
          <w:b/>
        </w:rPr>
        <w:t>Later source:</w:t>
      </w:r>
      <w:r>
        <w:t xml:space="preserve"> The 2026 Europe report of the Lancet Countdown on health and climate change: narrowing window for decisive health action — https://doi.org/10.1016/s2468-2667(26)00025-3</w:t>
      </w:r>
    </w:p>
    <w:p>
      <w:pPr>
        <w:pStyle w:val="SourceNote"/>
      </w:pPr>
      <w:r>
        <w:rPr>
          <w:b/>
        </w:rPr>
        <w:t>Review status:</w:t>
      </w:r>
      <w:r>
        <w:t xml:space="preserve"> unchecked — possible relationship only</w:t>
      </w:r>
    </w:p>
    <w:p>
      <w:pPr>
        <w:pStyle w:val="Heading2"/>
      </w:pPr>
      <w:r>
        <w:t>208. Claim + two later sources: Dutch Public health Foresight study 2018/20</w:t>
      </w:r>
    </w:p>
    <w:p>
      <w:pPr>
        <w:pStyle w:val="SourceNote"/>
      </w:pPr>
      <w:r>
        <w:rPr>
          <w:b/>
        </w:rPr>
        <w:t>Group ID:</w:t>
      </w:r>
      <w:r>
        <w:t xml:space="preserve"> group-9fdc4a8c5981653a93ab</w:t>
      </w:r>
    </w:p>
    <w:p>
      <w:pPr>
        <w:pStyle w:val="SourceNote"/>
      </w:pPr>
      <w:r>
        <w:rPr>
          <w:b/>
        </w:rPr>
        <w:t>Original source:</w:t>
      </w:r>
      <w:r>
        <w:t xml:space="preserve"> https://doi.org/10.1093/eurpub/ckaa165.1290</w:t>
      </w:r>
    </w:p>
    <w:p>
      <w:pPr/>
      <w:r>
        <w:rPr>
          <w:b/>
        </w:rPr>
        <w:t>Original future claim:</w:t>
      </w:r>
      <w:r>
        <w:t xml:space="preserve"> Dementia will be the leading cause of mortality and disease burden in 2040 by far. Health care expenditures will double by 2040, with cancers showing the most rapid growth of all disease groups.</w:t>
      </w:r>
    </w:p>
    <w:p>
      <w:pPr/>
      <w:r>
        <w:rPr>
          <w:b/>
        </w:rPr>
        <w:t>Later source:</w:t>
      </w:r>
      <w:r>
        <w:t xml:space="preserve"> New data showing dementia is Australia’s leading cause of death means we need to make brain health a national priority — https://doi.org/10.1016/j.anzjph.2026.100318</w:t>
      </w:r>
    </w:p>
    <w:p>
      <w:pPr/>
      <w:r>
        <w:rPr>
          <w:b/>
        </w:rPr>
        <w:t>Later source:</w:t>
      </w:r>
      <w:r>
        <w:t xml:space="preserve"> Global burden of disease due to young-onset dementia and the forecast for 2050: update from global burden of disease study 2021 — https://doi.org/10.1080/13696998.2026.2646088</w:t>
      </w:r>
    </w:p>
    <w:p>
      <w:pPr>
        <w:pStyle w:val="SourceNote"/>
      </w:pPr>
      <w:r>
        <w:rPr>
          <w:b/>
        </w:rPr>
        <w:t>Review status:</w:t>
      </w:r>
      <w:r>
        <w:t xml:space="preserve"> unchecked — possible relationship only</w:t>
      </w:r>
    </w:p>
    <w:p>
      <w:pPr>
        <w:pStyle w:val="Heading2"/>
      </w:pPr>
      <w:r>
        <w:t>209. Claim + two later sources: Constructing Resilient Futures: Integrating UK multi-stakeholder transport and energy resilience for 2050</w:t>
      </w:r>
    </w:p>
    <w:p>
      <w:pPr>
        <w:pStyle w:val="SourceNote"/>
      </w:pPr>
      <w:r>
        <w:rPr>
          <w:b/>
        </w:rPr>
        <w:t>Group ID:</w:t>
      </w:r>
      <w:r>
        <w:t xml:space="preserve"> group-f8eb019d0aa5c3ab4503</w:t>
      </w:r>
    </w:p>
    <w:p>
      <w:pPr>
        <w:pStyle w:val="SourceNote"/>
      </w:pPr>
      <w:r>
        <w:rPr>
          <w:b/>
        </w:rPr>
        <w:t>Original source:</w:t>
      </w:r>
      <w:r>
        <w:t xml:space="preserve"> https://doi.org/10.1016/j.futures.2013.04.003</w:t>
      </w:r>
    </w:p>
    <w:p>
      <w:pPr/>
      <w:r>
        <w:rPr>
          <w:b/>
        </w:rPr>
        <w:t>Original future claim:</w:t>
      </w:r>
      <w:r>
        <w:t xml:space="preserve"> The 2005 terrorist attacks in London and 2007 flooding throughout the UK revealed the shortcomings of the UK Government approach of ‘governing through resilience’ in practice: low levels of stakeholder co-ordination, lack of understanding about critical infrastructure interdependencies, and little attention to long-term adaptation. Starting with a detailed analysis of extant futures studies, scenarios were combined with episodes in order to both draw stakeholders out of their institutional contexts by setting the exercise in the future and to elicit participant responses during future crisis events.</w:t>
      </w:r>
    </w:p>
    <w:p>
      <w:pPr/>
      <w:r>
        <w:rPr>
          <w:b/>
        </w:rPr>
        <w:t>Later source:</w:t>
      </w:r>
      <w:r>
        <w:t xml:space="preserve"> Online Interest in Radical Islam and Terrorist Attacks — https://doi.org/10.1515/peps-2024-0054</w:t>
      </w:r>
    </w:p>
    <w:p>
      <w:pPr/>
      <w:r>
        <w:rPr>
          <w:b/>
        </w:rPr>
        <w:t>Later source:</w:t>
      </w:r>
      <w:r>
        <w:t xml:space="preserve"> PREVENTION OF TERRORIST ATTACKS ON CRITICAL INFRASTRUCTURE ON THE EXAMPLE OF AN AIRPORT — https://doi.org/10.29119/1641-3466.2025.216.13</w:t>
      </w:r>
    </w:p>
    <w:p>
      <w:pPr>
        <w:pStyle w:val="SourceNote"/>
      </w:pPr>
      <w:r>
        <w:rPr>
          <w:b/>
        </w:rPr>
        <w:t>Review status:</w:t>
      </w:r>
      <w:r>
        <w:t xml:space="preserve"> unchecked — possible relationship only</w:t>
      </w:r>
    </w:p>
    <w:p>
      <w:pPr>
        <w:pStyle w:val="Heading2"/>
      </w:pPr>
      <w:r>
        <w:t>210. Claim + two later sources: An Agent-Based Assessment of Land Use and Ecosystem Changes in Traditional Agricultural Landscape of Portugal</w:t>
      </w:r>
    </w:p>
    <w:p>
      <w:pPr>
        <w:pStyle w:val="SourceNote"/>
      </w:pPr>
      <w:r>
        <w:rPr>
          <w:b/>
        </w:rPr>
        <w:t>Group ID:</w:t>
      </w:r>
      <w:r>
        <w:t xml:space="preserve"> group-d03c5a9787b14893d8ce</w:t>
      </w:r>
    </w:p>
    <w:p>
      <w:pPr>
        <w:pStyle w:val="SourceNote"/>
      </w:pPr>
      <w:r>
        <w:rPr>
          <w:b/>
        </w:rPr>
        <w:t>Original source:</w:t>
      </w:r>
      <w:r>
        <w:t xml:space="preserve"> https://doi.org/10.4236/iim.2014.62008</w:t>
      </w:r>
    </w:p>
    <w:p>
      <w:pPr/>
      <w:r>
        <w:rPr>
          <w:b/>
        </w:rPr>
        <w:t>Original future claim:</w:t>
      </w:r>
      <w:r>
        <w:t xml:space="preserve"> The results of the scenario analysis show that the area of Montado declines significantly by 2050, but it remains the dominant land use in the case study area, indicating some resilience to change.</w:t>
      </w:r>
    </w:p>
    <w:p>
      <w:pPr/>
      <w:r>
        <w:rPr>
          <w:b/>
        </w:rPr>
        <w:t>Later source:</w:t>
      </w:r>
      <w:r>
        <w:t xml:space="preserve"> Spatiotemporal analysis of montado land cover dynamics in southern Portugal: the influence of anthropogenic and natural disturbances — https://doi.org/10.1007/s10457-026-01564-x</w:t>
      </w:r>
    </w:p>
    <w:p>
      <w:pPr/>
      <w:r>
        <w:rPr>
          <w:b/>
        </w:rPr>
        <w:t>Later source:</w:t>
      </w:r>
      <w:r>
        <w:t xml:space="preserve"> MAPPING SOIL MOISTURE AND CARBON HOTSPOTS IN A MONTADO ECOSYSTEM: A CASE STUDY IN COMPANHIA DAS LEZÍRIAS, PORTUGAL — https://doi.org/10.26471/cjees/2026/021/382</w:t>
      </w:r>
    </w:p>
    <w:p>
      <w:pPr>
        <w:pStyle w:val="SourceNote"/>
      </w:pPr>
      <w:r>
        <w:rPr>
          <w:b/>
        </w:rPr>
        <w:t>Review status:</w:t>
      </w:r>
      <w:r>
        <w:t xml:space="preserve"> unchecked — possible relationship only</w:t>
      </w:r>
    </w:p>
    <w:p>
      <w:pPr>
        <w:pStyle w:val="Heading2"/>
      </w:pPr>
      <w:r>
        <w:t>211. Claim + two later sources: A history of futures: A review of scenario use in water policy studies in the Netherlands</w:t>
      </w:r>
    </w:p>
    <w:p>
      <w:pPr>
        <w:pStyle w:val="SourceNote"/>
      </w:pPr>
      <w:r>
        <w:rPr>
          <w:b/>
        </w:rPr>
        <w:t>Group ID:</w:t>
      </w:r>
      <w:r>
        <w:t xml:space="preserve"> group-8889d41ca620b5c8970b</w:t>
      </w:r>
    </w:p>
    <w:p>
      <w:pPr>
        <w:pStyle w:val="SourceNote"/>
      </w:pPr>
      <w:r>
        <w:rPr>
          <w:b/>
        </w:rPr>
        <w:t>Original source:</w:t>
      </w:r>
      <w:r>
        <w:t xml:space="preserve"> https://doi.org/10.1016/j.envsci.2012.03.002</w:t>
      </w:r>
    </w:p>
    <w:p>
      <w:pPr/>
      <w:r>
        <w:rPr>
          <w:b/>
        </w:rPr>
        <w:t>Original future claim:</w:t>
      </w:r>
      <w:r>
        <w:t xml:space="preserve"> Based on two criteria, 'Decision robustness' and 'Learning success', we conclude that (1) the possibilities for robust decisionmaking increased through a paradigm shift from predicting to exploring futures, but the scenario method is not yet fully exploited for decisionmaking under uncertainty; and (2) the scenarios enabled learning about possible impacts of developments and effectiveness of policy options.</w:t>
      </w:r>
    </w:p>
    <w:p>
      <w:pPr/>
      <w:r>
        <w:rPr>
          <w:b/>
        </w:rPr>
        <w:t>Later source:</w:t>
      </w:r>
      <w:r>
        <w:t xml:space="preserve"> Proposal for revised criteria for daylight provision in the European daylight standard based on calculations for Swedish multifamily residential buildings — https://doi.org/10.1177/14771535241306970</w:t>
      </w:r>
    </w:p>
    <w:p>
      <w:pPr/>
      <w:r>
        <w:rPr>
          <w:b/>
        </w:rPr>
        <w:t>Later source:</w:t>
      </w:r>
      <w:r>
        <w:t xml:space="preserve"> Lyme Borreliosis Incidence Across Europe, 2015–2023: A Surveillance-Based Review and Analysis — https://doi.org/10.1177/15303667251363125</w:t>
      </w:r>
    </w:p>
    <w:p>
      <w:pPr>
        <w:pStyle w:val="SourceNote"/>
      </w:pPr>
      <w:r>
        <w:rPr>
          <w:b/>
        </w:rPr>
        <w:t>Review status:</w:t>
      </w:r>
      <w:r>
        <w:t xml:space="preserve"> unchecked — possible relationship only</w:t>
      </w:r>
    </w:p>
    <w:p>
      <w:pPr>
        <w:pStyle w:val="Heading2"/>
      </w:pPr>
      <w:r>
        <w:t>212. Claim + two later sources: Anticipatory governance for newcomers: lessons learned from the UK, the Netherlands, Finland, and Korea</w:t>
      </w:r>
    </w:p>
    <w:p>
      <w:pPr>
        <w:pStyle w:val="SourceNote"/>
      </w:pPr>
      <w:r>
        <w:rPr>
          <w:b/>
        </w:rPr>
        <w:t>Group ID:</w:t>
      </w:r>
      <w:r>
        <w:t xml:space="preserve"> group-5228ef36a75bacd38125</w:t>
      </w:r>
    </w:p>
    <w:p>
      <w:pPr>
        <w:pStyle w:val="SourceNote"/>
      </w:pPr>
      <w:r>
        <w:rPr>
          <w:b/>
        </w:rPr>
        <w:t>Original source:</w:t>
      </w:r>
      <w:r>
        <w:t xml:space="preserve"> https://doi.org/10.1186/s40309-021-00179-y</w:t>
      </w:r>
    </w:p>
    <w:p>
      <w:pPr/>
      <w:r>
        <w:rPr>
          <w:b/>
        </w:rPr>
        <w:t>Original future claim:</w:t>
      </w:r>
      <w:r>
        <w:t xml:space="preserve"> First, the government should educate and train the public and government officials to promote future literacy and future proficiency .</w:t>
      </w:r>
    </w:p>
    <w:p>
      <w:pPr/>
      <w:r>
        <w:rPr>
          <w:b/>
        </w:rPr>
        <w:t>Later source:</w:t>
      </w:r>
      <w:r>
        <w:t xml:space="preserve"> Educating and raising public awareness about floods with uniformed high-water marks — https://doi.org/10.5194/ems2025-48</w:t>
      </w:r>
    </w:p>
    <w:p>
      <w:pPr/>
      <w:r>
        <w:rPr>
          <w:b/>
        </w:rPr>
        <w:t>Later source:</w:t>
      </w:r>
      <w:r>
        <w:t xml:space="preserve"> Right to be Forgotten vs. Public Information Disclosure to Public Officials in Indonesia — https://doi.org/10.30996/mk.v19i1.132922</w:t>
      </w:r>
    </w:p>
    <w:p>
      <w:pPr>
        <w:pStyle w:val="SourceNote"/>
      </w:pPr>
      <w:r>
        <w:rPr>
          <w:b/>
        </w:rPr>
        <w:t>Review status:</w:t>
      </w:r>
      <w:r>
        <w:t xml:space="preserve"> unchecked — possible relationship only</w:t>
      </w:r>
    </w:p>
    <w:p>
      <w:pPr>
        <w:pStyle w:val="Heading2"/>
      </w:pPr>
      <w:r>
        <w:t>213. Claim + two later sources: Foresight and “grand challenges” within research and innovation policies</w:t>
      </w:r>
    </w:p>
    <w:p>
      <w:pPr>
        <w:pStyle w:val="SourceNote"/>
      </w:pPr>
      <w:r>
        <w:rPr>
          <w:b/>
        </w:rPr>
        <w:t>Group ID:</w:t>
      </w:r>
      <w:r>
        <w:t xml:space="preserve"> group-b79aa7e1225ef33b95d5</w:t>
      </w:r>
    </w:p>
    <w:p>
      <w:pPr>
        <w:pStyle w:val="SourceNote"/>
      </w:pPr>
      <w:r>
        <w:rPr>
          <w:b/>
        </w:rPr>
        <w:t>Original source:</w:t>
      </w:r>
      <w:r>
        <w:t xml:space="preserve"> https://doi.org/10.1108/14636681311310123</w:t>
      </w:r>
    </w:p>
    <w:p>
      <w:pPr/>
      <w:r>
        <w:rPr>
          <w:b/>
        </w:rPr>
        <w:t>Original future claim:</w:t>
      </w:r>
      <w:r>
        <w:t xml:space="preserve"> Purpose The paper seeks to discuss how foresight is used to understand the implications of global changes for research and innovation policies. It aims to present a recent Irish case study that identified grand challenges in the national context, with their implications for research and innovation.</w:t>
      </w:r>
    </w:p>
    <w:p>
      <w:pPr/>
      <w:r>
        <w:rPr>
          <w:b/>
        </w:rPr>
        <w:t>Later source:</w:t>
      </w:r>
      <w:r>
        <w:t xml:space="preserve"> Meaning, Purpose, and Leadership Thriving — https://doi.org/10.1002/jls.70045</w:t>
      </w:r>
    </w:p>
    <w:p>
      <w:pPr/>
      <w:r>
        <w:rPr>
          <w:b/>
        </w:rPr>
        <w:t>Later source:</w:t>
      </w:r>
      <w:r>
        <w:t xml:space="preserve"> The Authenticity of Purpose Claims: Firm Capacity and Job Seeker Responses to Recruitment Efforts — https://doi.org/10.1287/mnsc.2023.03931</w:t>
      </w:r>
    </w:p>
    <w:p>
      <w:pPr>
        <w:pStyle w:val="SourceNote"/>
      </w:pPr>
      <w:r>
        <w:rPr>
          <w:b/>
        </w:rPr>
        <w:t>Review status:</w:t>
      </w:r>
      <w:r>
        <w:t xml:space="preserve"> unchecked — possible relationship only</w:t>
      </w:r>
    </w:p>
    <w:p>
      <w:pPr>
        <w:pStyle w:val="Heading2"/>
      </w:pPr>
      <w:r>
        <w:t>214. Claim + two later sources: Governance barriers to sustainable energy transitions – Assessing Ireland's capacity towards marine energy futures</w:t>
      </w:r>
    </w:p>
    <w:p>
      <w:pPr>
        <w:pStyle w:val="SourceNote"/>
      </w:pPr>
      <w:r>
        <w:rPr>
          <w:b/>
        </w:rPr>
        <w:t>Group ID:</w:t>
      </w:r>
      <w:r>
        <w:t xml:space="preserve"> group-12191bdaa0f92f35362e</w:t>
      </w:r>
    </w:p>
    <w:p>
      <w:pPr>
        <w:pStyle w:val="SourceNote"/>
      </w:pPr>
      <w:r>
        <w:rPr>
          <w:b/>
        </w:rPr>
        <w:t>Original source:</w:t>
      </w:r>
      <w:r>
        <w:t xml:space="preserve"> https://doi.org/10.1016/j.enpol.2017.11.020</w:t>
      </w:r>
    </w:p>
    <w:p>
      <w:pPr/>
      <w:r>
        <w:rPr>
          <w:b/>
        </w:rPr>
        <w:t>Original future claim:</w:t>
      </w:r>
      <w:r>
        <w:t xml:space="preserve"> We observe that ME governance is complex, as development offshore involves engagement and may often result in conflict.</w:t>
      </w:r>
    </w:p>
    <w:p>
      <w:pPr/>
      <w:r>
        <w:rPr>
          <w:b/>
        </w:rPr>
        <w:t>Later source:</w:t>
      </w:r>
      <w:r>
        <w:t xml:space="preserve"> Practices within the European Union’s Governance — https://doi.org/10.38158/apjeus.22.1.1</w:t>
      </w:r>
    </w:p>
    <w:p>
      <w:pPr/>
      <w:r>
        <w:rPr>
          <w:b/>
        </w:rPr>
        <w:t>Later source:</w:t>
      </w:r>
      <w:r>
        <w:t xml:space="preserve"> Transformative or piecemeal? Changes in green space planning and governance in eleven European cities — https://doi.org/10.1080/09654313.2022.2139594</w:t>
      </w:r>
    </w:p>
    <w:p>
      <w:pPr>
        <w:pStyle w:val="SourceNote"/>
      </w:pPr>
      <w:r>
        <w:rPr>
          <w:b/>
        </w:rPr>
        <w:t>Review status:</w:t>
      </w:r>
      <w:r>
        <w:t xml:space="preserve"> unchecked — possible relationship only</w:t>
      </w:r>
    </w:p>
    <w:p>
      <w:pPr>
        <w:pStyle w:val="Heading2"/>
      </w:pPr>
      <w:r>
        <w:t>215. Claim + two later sources: Developments in Energy use for Transport in 27 European Union Countries through 2030</w:t>
      </w:r>
    </w:p>
    <w:p>
      <w:pPr>
        <w:pStyle w:val="SourceNote"/>
      </w:pPr>
      <w:r>
        <w:rPr>
          <w:b/>
        </w:rPr>
        <w:t>Group ID:</w:t>
      </w:r>
      <w:r>
        <w:t xml:space="preserve"> group-cbb1f22acf7fcc8804af</w:t>
      </w:r>
    </w:p>
    <w:p>
      <w:pPr>
        <w:pStyle w:val="SourceNote"/>
      </w:pPr>
      <w:r>
        <w:rPr>
          <w:b/>
        </w:rPr>
        <w:t>Original source:</w:t>
      </w:r>
      <w:r>
        <w:t xml:space="preserve"> https://doi.org/10.3141/2252-05</w:t>
      </w:r>
    </w:p>
    <w:p>
      <w:pPr/>
      <w:r>
        <w:rPr>
          <w:b/>
        </w:rPr>
        <w:t>Original future claim:</w:t>
      </w:r>
      <w:r>
        <w:t xml:space="preserve"> As a consequence, GHG emissions by transport will decline 12% by 2030 compared with 2005; in the reference scenario in the same period, emissions are expected to grow 17%. The model suite applied in iTREN-2030 comprises POLES (prospective outlook on long-term energy systems), a simulation model for development of long-term (2050) energy supply-and-demand scenarios; TREMOVE; ASTRA (assesment of transport strategies); and TRANS-TOOLS.</w:t>
      </w:r>
    </w:p>
    <w:p>
      <w:pPr/>
      <w:r>
        <w:rPr>
          <w:b/>
        </w:rPr>
        <w:t>Later source:</w:t>
      </w:r>
      <w:r>
        <w:t xml:space="preserve"> Global value chains and the redistribution of GHG emissions: The case of Czechia — https://doi.org/10.1016/j.rspp.2026.100338</w:t>
      </w:r>
    </w:p>
    <w:p>
      <w:pPr/>
      <w:r>
        <w:rPr>
          <w:b/>
        </w:rPr>
        <w:t>Later source:</w:t>
      </w:r>
      <w:r>
        <w:t xml:space="preserve"> Forecast reconciliation of agricultural GHG emissions in Europe with fuzzy clustering — https://doi.org/10.1007/s10479-026-07363-y</w:t>
      </w:r>
    </w:p>
    <w:p>
      <w:pPr>
        <w:pStyle w:val="SourceNote"/>
      </w:pPr>
      <w:r>
        <w:rPr>
          <w:b/>
        </w:rPr>
        <w:t>Review status:</w:t>
      </w:r>
      <w:r>
        <w:t xml:space="preserve"> unchecked — possible relationship only</w:t>
      </w:r>
    </w:p>
    <w:p>
      <w:pPr>
        <w:pStyle w:val="Heading2"/>
      </w:pPr>
      <w:r>
        <w:t>216. Claim + two later sources: Impact of Quasi‐Idealized Future Land Cover Scenarios at High Latitudes in Complex Terrain</w:t>
      </w:r>
    </w:p>
    <w:p>
      <w:pPr>
        <w:pStyle w:val="SourceNote"/>
      </w:pPr>
      <w:r>
        <w:rPr>
          <w:b/>
        </w:rPr>
        <w:t>Group ID:</w:t>
      </w:r>
      <w:r>
        <w:t xml:space="preserve"> group-10139bfdaf76bce2273a</w:t>
      </w:r>
    </w:p>
    <w:p>
      <w:pPr>
        <w:pStyle w:val="SourceNote"/>
      </w:pPr>
      <w:r>
        <w:rPr>
          <w:b/>
        </w:rPr>
        <w:t>Original source:</w:t>
      </w:r>
      <w:r>
        <w:t xml:space="preserve"> https://doi.org/10.1029/2020ef001838</w:t>
      </w:r>
    </w:p>
    <w:p>
      <w:pPr/>
      <w:r>
        <w:rPr>
          <w:b/>
        </w:rPr>
        <w:t>Original future claim:</w:t>
      </w:r>
      <w:r>
        <w:t xml:space="preserve"> This study uses the Weather Research and Forecasting model to investigate the biogeophysical impacts of different forestry scenarios on the local‐to‐regional climate of Norway. This suggests that implementing current afforestation policies for climate mitigation in Norway may adversely exacerbate some effects of global warming locally while mitigating others.</w:t>
      </w:r>
    </w:p>
    <w:p>
      <w:pPr/>
      <w:r>
        <w:rPr>
          <w:b/>
        </w:rPr>
        <w:t>Later source:</w:t>
      </w:r>
      <w:r>
        <w:t xml:space="preserve"> Spatiotemporal variability and uncertainty in wood decay estimates across Europe and Scandinavia using a data-driven moisture content model with multi-scale weather datasets — https://doi.org/10.1016/j.rineng.2026.108983</w:t>
      </w:r>
    </w:p>
    <w:p>
      <w:pPr/>
      <w:r>
        <w:rPr>
          <w:b/>
        </w:rPr>
        <w:t>Later source:</w:t>
      </w:r>
      <w:r>
        <w:t xml:space="preserve"> Linking European droughts to year-round weather regimes — https://doi.org/10.5194/wcd-7-223-2026</w:t>
      </w:r>
    </w:p>
    <w:p>
      <w:pPr>
        <w:pStyle w:val="SourceNote"/>
      </w:pPr>
      <w:r>
        <w:rPr>
          <w:b/>
        </w:rPr>
        <w:t>Review status:</w:t>
      </w:r>
      <w:r>
        <w:t xml:space="preserve"> unchecked — possible relationship only</w:t>
      </w:r>
    </w:p>
    <w:p>
      <w:pPr>
        <w:pStyle w:val="Heading2"/>
      </w:pPr>
      <w:r>
        <w:t>217. Claim + two later sources: International migration by 2030: impact of immigration policies scenarios on growth and employment</w:t>
      </w:r>
    </w:p>
    <w:p>
      <w:pPr>
        <w:pStyle w:val="SourceNote"/>
      </w:pPr>
      <w:r>
        <w:rPr>
          <w:b/>
        </w:rPr>
        <w:t>Group ID:</w:t>
      </w:r>
      <w:r>
        <w:t xml:space="preserve"> group-bb8f3ee8f49ffe0d8b14</w:t>
      </w:r>
    </w:p>
    <w:p>
      <w:pPr>
        <w:pStyle w:val="SourceNote"/>
      </w:pPr>
      <w:r>
        <w:rPr>
          <w:b/>
        </w:rPr>
        <w:t>Original source:</w:t>
      </w:r>
      <w:r>
        <w:t xml:space="preserve"> https://doi.org/10.1108/fs-06-2012-0045</w:t>
      </w:r>
    </w:p>
    <w:p>
      <w:pPr/>
      <w:r>
        <w:rPr>
          <w:b/>
        </w:rPr>
        <w:t>Original future claim:</w:t>
      </w:r>
      <w:r>
        <w:t xml:space="preserve"> The third scenario, the mass migration scenario, allows letting go of the growth related constraints and getting out of the deflationist spiral. Purpose – The aim of this paper is to estimate the dynamic of international migration between the different regions of the world for 2030 and to measure the impact of different kind of migration policies on the economic and social evolution.</w:t>
      </w:r>
    </w:p>
    <w:p>
      <w:pPr/>
      <w:r>
        <w:rPr>
          <w:b/>
        </w:rPr>
        <w:t>Later source:</w:t>
      </w:r>
      <w:r>
        <w:t xml:space="preserve"> Economic Assimilation of Women and Families in the Age of Mass Migration — https://doi.org/10.3386/w35332</w:t>
      </w:r>
    </w:p>
    <w:p>
      <w:pPr/>
      <w:r>
        <w:rPr>
          <w:b/>
        </w:rPr>
        <w:t>Later source:</w:t>
      </w:r>
      <w:r>
        <w:t xml:space="preserve"> Listening, Learning, and Letting Go: History and Impact of Fund for Shared Insight, 2014-2026 — https://openalex.org/W7220885628</w:t>
      </w:r>
    </w:p>
    <w:p>
      <w:pPr>
        <w:pStyle w:val="SourceNote"/>
      </w:pPr>
      <w:r>
        <w:rPr>
          <w:b/>
        </w:rPr>
        <w:t>Review status:</w:t>
      </w:r>
      <w:r>
        <w:t xml:space="preserve"> unchecked — possible relationship only</w:t>
      </w:r>
    </w:p>
    <w:p>
      <w:pPr>
        <w:pStyle w:val="Heading2"/>
      </w:pPr>
      <w:r>
        <w:t>218. Claim + two later sources: Will climate change affect the electricity production sector? A European study</w:t>
      </w:r>
    </w:p>
    <w:p>
      <w:pPr>
        <w:pStyle w:val="SourceNote"/>
      </w:pPr>
      <w:r>
        <w:rPr>
          <w:b/>
        </w:rPr>
        <w:t>Group ID:</w:t>
      </w:r>
      <w:r>
        <w:t xml:space="preserve"> group-749b9b53ddf220f697e3</w:t>
      </w:r>
    </w:p>
    <w:p>
      <w:pPr>
        <w:pStyle w:val="SourceNote"/>
      </w:pPr>
      <w:r>
        <w:rPr>
          <w:b/>
        </w:rPr>
        <w:t>Original source:</w:t>
      </w:r>
      <w:r>
        <w:t xml:space="preserve"> https://doi.org/10.2166/wcc.2012.066</w:t>
      </w:r>
    </w:p>
    <w:p>
      <w:pPr/>
      <w:r>
        <w:rPr>
          <w:b/>
        </w:rPr>
        <w:t>Original future claim:</w:t>
      </w:r>
      <w:r>
        <w:t xml:space="preserve"> Depending on the scenario, water withdrawals in thermal electricity production would increase by 64% or decrease by 92% between 2005 and 2050. Hot spots identified in the Economy First scenario indicate increasing competition for freshwater resources for the thermal electricity production sector.</w:t>
      </w:r>
    </w:p>
    <w:p>
      <w:pPr/>
      <w:r>
        <w:rPr>
          <w:b/>
        </w:rPr>
        <w:t>Later source:</w:t>
      </w:r>
      <w:r>
        <w:t xml:space="preserve"> Hydrogen production from grid electricity in Europe: A temporal analysis combining economic and climate dimensions — https://doi.org/10.1016/j.ecmx.2026.101922</w:t>
      </w:r>
    </w:p>
    <w:p>
      <w:pPr/>
      <w:r>
        <w:rPr>
          <w:b/>
        </w:rPr>
        <w:t>Later source:</w:t>
      </w:r>
      <w:r>
        <w:t xml:space="preserve"> Analysis of electricity production and prosumers in Romania — https://doi.org/10.1051/epjconf/202637207005</w:t>
      </w:r>
    </w:p>
    <w:p>
      <w:pPr>
        <w:pStyle w:val="SourceNote"/>
      </w:pPr>
      <w:r>
        <w:rPr>
          <w:b/>
        </w:rPr>
        <w:t>Review status:</w:t>
      </w:r>
      <w:r>
        <w:t xml:space="preserve"> unchecked — possible relationship only</w:t>
      </w:r>
    </w:p>
    <w:p>
      <w:pPr>
        <w:pStyle w:val="Heading2"/>
      </w:pPr>
      <w:r>
        <w:t>219. Claim + two later sources: Animal Health Surveillance in Scotland in 2030: Using Scenario Planning to Develop Strategies in the Context of “Brexit”</w:t>
      </w:r>
    </w:p>
    <w:p>
      <w:pPr>
        <w:pStyle w:val="SourceNote"/>
      </w:pPr>
      <w:r>
        <w:rPr>
          <w:b/>
        </w:rPr>
        <w:t>Group ID:</w:t>
      </w:r>
      <w:r>
        <w:t xml:space="preserve"> group-b2e5fc76aac7d3931f36</w:t>
      </w:r>
    </w:p>
    <w:p>
      <w:pPr>
        <w:pStyle w:val="SourceNote"/>
      </w:pPr>
      <w:r>
        <w:rPr>
          <w:b/>
        </w:rPr>
        <w:t>Original source:</w:t>
      </w:r>
      <w:r>
        <w:t xml:space="preserve"> https://doi.org/10.3389/fvets.2017.00201</w:t>
      </w:r>
    </w:p>
    <w:p>
      <w:pPr/>
      <w:r>
        <w:rPr>
          <w:b/>
        </w:rPr>
        <w:t>Original future claim:</w:t>
      </w:r>
      <w:r>
        <w:t xml:space="preserve"> In this paper, we describe the use of scenario planning as an effective tool for the creation and exploration of five plausible long-term futures; we describe prioritization of critical drivers of change (i.e., international trade policy, data-sharing philosophies, and public versus private resourcing of surveillance capacity) that will unpredictably influence the future implementation of animal health surveillance activities. We present 10 participant-developed strategies to support 3 long-term visions to improve future resilience of animal health surveillance and contingency planning for animal and zoonotic disease outbreaks in Scotland.</w:t>
      </w:r>
    </w:p>
    <w:p>
      <w:pPr/>
      <w:r>
        <w:rPr>
          <w:b/>
        </w:rPr>
        <w:t>Later source:</w:t>
      </w:r>
      <w:r>
        <w:t xml:space="preserve"> What we do in the shadows: Methodologists use a range of synthesis methods when meta-analysis of all results is not possible but describe challenges in planning and selecting methods — https://doi.org/10.64898/2026.07.15.26358140</w:t>
      </w:r>
    </w:p>
    <w:p>
      <w:pPr/>
      <w:r>
        <w:rPr>
          <w:b/>
        </w:rPr>
        <w:t>Later source:</w:t>
      </w:r>
      <w:r>
        <w:t xml:space="preserve"> Overview of the Use of Co-creation Tools for the Design of Sustainable Buildings — https://doi.org/10.1007/978-3-032-09040-9_12</w:t>
      </w:r>
    </w:p>
    <w:p>
      <w:pPr>
        <w:pStyle w:val="SourceNote"/>
      </w:pPr>
      <w:r>
        <w:rPr>
          <w:b/>
        </w:rPr>
        <w:t>Review status:</w:t>
      </w:r>
      <w:r>
        <w:t xml:space="preserve"> unchecked — possible relationship only</w:t>
      </w:r>
    </w:p>
    <w:p>
      <w:pPr>
        <w:pStyle w:val="Heading2"/>
      </w:pPr>
      <w:r>
        <w:t>220. Claim + two later sources: Superconductivity and the environment: a Roadmap</w:t>
      </w:r>
    </w:p>
    <w:p>
      <w:pPr>
        <w:pStyle w:val="SourceNote"/>
      </w:pPr>
      <w:r>
        <w:rPr>
          <w:b/>
        </w:rPr>
        <w:t>Group ID:</w:t>
      </w:r>
      <w:r>
        <w:t xml:space="preserve"> group-f805ac064e4b865abea3</w:t>
      </w:r>
    </w:p>
    <w:p>
      <w:pPr>
        <w:pStyle w:val="SourceNote"/>
      </w:pPr>
      <w:r>
        <w:rPr>
          <w:b/>
        </w:rPr>
        <w:t>Original source:</w:t>
      </w:r>
      <w:r>
        <w:t xml:space="preserve"> https://doi.org/10.1088/0953-2048/26/11/113001</w:t>
      </w:r>
    </w:p>
    <w:p>
      <w:pPr/>
      <w:r>
        <w:rPr>
          <w:b/>
        </w:rPr>
        <w:t>Original future claim:</w:t>
      </w:r>
      <w:r>
        <w:t xml:space="preserve"> If we want to stabilize CO 2 levels in our atmosphere at 550 parts per million, all of that growth needs to be met by non-carbon forms of energy' (2011 Equinox Summit: Energy 2030 http://wgsi.org/publications-resources ).</w:t>
      </w:r>
    </w:p>
    <w:p>
      <w:pPr/>
      <w:r>
        <w:rPr>
          <w:b/>
        </w:rPr>
        <w:t>Later source:</w:t>
      </w:r>
      <w:r>
        <w:t xml:space="preserve"> Dynamic MIPS Rate Stabilization for Complex Processors — https://doi.org/10.1145/2714575</w:t>
      </w:r>
    </w:p>
    <w:p>
      <w:pPr/>
      <w:r>
        <w:rPr>
          <w:b/>
        </w:rPr>
        <w:t>Later source:</w:t>
      </w:r>
      <w:r>
        <w:t xml:space="preserve"> Diabetic retinopathy stabilization after renal transplantation — https://doi.org/10.4103/0301-4738.136303</w:t>
      </w:r>
    </w:p>
    <w:p>
      <w:pPr>
        <w:pStyle w:val="SourceNote"/>
      </w:pPr>
      <w:r>
        <w:rPr>
          <w:b/>
        </w:rPr>
        <w:t>Review status:</w:t>
      </w:r>
      <w:r>
        <w:t xml:space="preserve"> unchecked — possible relationship only</w:t>
      </w:r>
    </w:p>
    <w:p>
      <w:pPr>
        <w:pStyle w:val="Heading2"/>
      </w:pPr>
      <w:r>
        <w:t>221. Claim + two later sources: Foresight in Public Administration: Methods and Perspectives of Implementation in Ukraine</w:t>
      </w:r>
    </w:p>
    <w:p>
      <w:pPr>
        <w:pStyle w:val="SourceNote"/>
      </w:pPr>
      <w:r>
        <w:rPr>
          <w:b/>
        </w:rPr>
        <w:t>Group ID:</w:t>
      </w:r>
      <w:r>
        <w:t xml:space="preserve"> group-b7aa2778cea047eaf4da</w:t>
      </w:r>
    </w:p>
    <w:p>
      <w:pPr>
        <w:pStyle w:val="SourceNote"/>
      </w:pPr>
      <w:r>
        <w:rPr>
          <w:b/>
        </w:rPr>
        <w:t>Original source:</w:t>
      </w:r>
      <w:r>
        <w:t xml:space="preserve"> https://doi.org/10.15421/151847</w:t>
      </w:r>
    </w:p>
    <w:p>
      <w:pPr/>
      <w:r>
        <w:rPr>
          <w:b/>
        </w:rPr>
        <w:t>Original future claim:</w:t>
      </w:r>
      <w:r>
        <w:t xml:space="preserve"> Examples of practical application of foresight methodology and individual technologies of social prediction are given.The author draws attention to the fact that in the field of public administration decisions must be made on the basis of knowledge of long-term trends and opportunities of technology and society. If they are not included in the timetable in time, then all long-term projects may be doomed to failure.Particular attention is needed to new factors and innovations, in conditions when the state is working on changing the ways of development of the country.</w:t>
      </w:r>
    </w:p>
    <w:p>
      <w:pPr/>
      <w:r>
        <w:rPr>
          <w:b/>
        </w:rPr>
        <w:t>Later source:</w:t>
      </w:r>
      <w:r>
        <w:t xml:space="preserve"> Methodology for the formation and practical tools of educational and methodological complexes for training personnel for enterprises of the petrochemical complex — https://doi.org/10.47813/2782-5280-2026-5-1-5039-5046</w:t>
      </w:r>
    </w:p>
    <w:p>
      <w:pPr/>
      <w:r>
        <w:rPr>
          <w:b/>
        </w:rPr>
        <w:t>Later source:</w:t>
      </w:r>
      <w:r>
        <w:t xml:space="preserve"> Methodological guidelines for practical works in the "System software" academic discipline — https://openalex.org/W7199565614</w:t>
      </w:r>
    </w:p>
    <w:p>
      <w:pPr>
        <w:pStyle w:val="SourceNote"/>
      </w:pPr>
      <w:r>
        <w:rPr>
          <w:b/>
        </w:rPr>
        <w:t>Review status:</w:t>
      </w:r>
      <w:r>
        <w:t xml:space="preserve"> unchecked — possible relationship only</w:t>
      </w:r>
    </w:p>
    <w:p>
      <w:pPr>
        <w:pStyle w:val="Heading2"/>
      </w:pPr>
      <w:r>
        <w:t>222. Claim + two later sources: Energy Efficiency Vision 2050: How will new societal trends influence future energy demand in the European countries?</w:t>
      </w:r>
    </w:p>
    <w:p>
      <w:pPr>
        <w:pStyle w:val="SourceNote"/>
      </w:pPr>
      <w:r>
        <w:rPr>
          <w:b/>
        </w:rPr>
        <w:t>Group ID:</w:t>
      </w:r>
      <w:r>
        <w:t xml:space="preserve"> group-d47a35578b28d6e723f2</w:t>
      </w:r>
    </w:p>
    <w:p>
      <w:pPr>
        <w:pStyle w:val="SourceNote"/>
      </w:pPr>
      <w:r>
        <w:rPr>
          <w:b/>
        </w:rPr>
        <w:t>Original source:</w:t>
      </w:r>
      <w:r>
        <w:t xml:space="preserve"> https://doi.org/10.1016/j.enpol.2021.112216</w:t>
      </w:r>
    </w:p>
    <w:p>
      <w:pPr/>
      <w:r>
        <w:rPr>
          <w:b/>
        </w:rPr>
        <w:t>Original future claim:</w:t>
      </w:r>
      <w:r>
        <w:t xml:space="preserve"> While in the “Worst Case” scenario, they could increase final energy demand by 40%. Based on these, four energy demand scenarios were developed for 2050.</w:t>
      </w:r>
    </w:p>
    <w:p>
      <w:pPr/>
      <w:r>
        <w:rPr>
          <w:b/>
        </w:rPr>
        <w:t>Later source:</w:t>
      </w:r>
      <w:r>
        <w:t xml:space="preserve"> The (worst) laws of the land: the concept of legislative basket cases, legislative backsliding and public administration in Central-Eastern Europe — https://doi.org/10.1080/01442872.2025.2501741</w:t>
      </w:r>
    </w:p>
    <w:p>
      <w:pPr/>
      <w:r>
        <w:rPr>
          <w:b/>
        </w:rPr>
        <w:t>Later source:</w:t>
      </w:r>
      <w:r>
        <w:t xml:space="preserve"> A new approach for national-scale Building Energy Models based on Energy Performance Certificates in European countries: The case of Spain — https://doi.org/10.1016/j.heliyon.2024.e25473</w:t>
      </w:r>
    </w:p>
    <w:p>
      <w:pPr>
        <w:pStyle w:val="SourceNote"/>
      </w:pPr>
      <w:r>
        <w:rPr>
          <w:b/>
        </w:rPr>
        <w:t>Review status:</w:t>
      </w:r>
      <w:r>
        <w:t xml:space="preserve"> unchecked — possible relationship only</w:t>
      </w:r>
    </w:p>
    <w:p>
      <w:pPr>
        <w:pStyle w:val="Heading2"/>
      </w:pPr>
      <w:r>
        <w:t>223. Claim + two later sources: Energy system transition and macroeconomic impacts of a European decarbonization action towards a below 2 °C climate stabilization</w:t>
      </w:r>
    </w:p>
    <w:p>
      <w:pPr>
        <w:pStyle w:val="SourceNote"/>
      </w:pPr>
      <w:r>
        <w:rPr>
          <w:b/>
        </w:rPr>
        <w:t>Group ID:</w:t>
      </w:r>
      <w:r>
        <w:t xml:space="preserve"> group-5bf8475b92b76e1df209</w:t>
      </w:r>
    </w:p>
    <w:p>
      <w:pPr>
        <w:pStyle w:val="SourceNote"/>
      </w:pPr>
      <w:r>
        <w:rPr>
          <w:b/>
        </w:rPr>
        <w:t>Original source:</w:t>
      </w:r>
      <w:r>
        <w:t xml:space="preserve"> https://doi.org/10.1007/s10584-019-02440-7</w:t>
      </w:r>
    </w:p>
    <w:p>
      <w:pPr/>
      <w:r>
        <w:rPr>
          <w:b/>
        </w:rPr>
        <w:t>Original future claim:</w:t>
      </w:r>
      <w:r>
        <w:t xml:space="preserve"> We find that emission reductions in the energy supply sector are dominant up to 2030 while transport takes the lead in 2050. The EU28 NDC includes a commitment for emission reductions in 2030 but also refers to an economy-wide effort towards 2050 so as to contribute effectively to the long-term mitigation of climate change.</w:t>
      </w:r>
    </w:p>
    <w:p>
      <w:pPr/>
      <w:r>
        <w:rPr>
          <w:b/>
        </w:rPr>
        <w:t>Later source:</w:t>
      </w:r>
      <w:r>
        <w:t xml:space="preserve"> Can a wealth tax reduce CO2 emissions in Europe? — https://doi.org/10.1016/j.ecolecon.2026.109231</w:t>
      </w:r>
    </w:p>
    <w:p>
      <w:pPr/>
      <w:r>
        <w:rPr>
          <w:b/>
        </w:rPr>
        <w:t>Later source:</w:t>
      </w:r>
      <w:r>
        <w:t xml:space="preserve"> Research and innovation towards zero-emission road transport and European automotive sector competitiveness — https://doi.org/10.2760/4220161</w:t>
      </w:r>
    </w:p>
    <w:p>
      <w:pPr>
        <w:pStyle w:val="SourceNote"/>
      </w:pPr>
      <w:r>
        <w:rPr>
          <w:b/>
        </w:rPr>
        <w:t>Review status:</w:t>
      </w:r>
      <w:r>
        <w:t xml:space="preserve"> unchecked — possible relationship only</w:t>
      </w:r>
    </w:p>
    <w:p>
      <w:pPr>
        <w:pStyle w:val="Heading2"/>
      </w:pPr>
      <w:r>
        <w:t>224. Claim + two later sources: Burden of pancreatic cancer along with attributable risk factors in Europe between 1990 and 2019, and projections until 2039</w:t>
      </w:r>
    </w:p>
    <w:p>
      <w:pPr>
        <w:pStyle w:val="SourceNote"/>
      </w:pPr>
      <w:r>
        <w:rPr>
          <w:b/>
        </w:rPr>
        <w:t>Group ID:</w:t>
      </w:r>
      <w:r>
        <w:t xml:space="preserve"> group-400db2014c449fee03e6</w:t>
      </w:r>
    </w:p>
    <w:p>
      <w:pPr>
        <w:pStyle w:val="SourceNote"/>
      </w:pPr>
      <w:r>
        <w:rPr>
          <w:b/>
        </w:rPr>
        <w:t>Original source:</w:t>
      </w:r>
      <w:r>
        <w:t xml:space="preserve"> https://doi.org/10.1002/ijc.33617</w:t>
      </w:r>
    </w:p>
    <w:p>
      <w:pPr/>
      <w:r>
        <w:rPr>
          <w:b/>
        </w:rPr>
        <w:t>Original future claim:</w:t>
      </w:r>
      <w:r>
        <w:t xml:space="preserve"> Here, we obtained data from the Global Burden of Disease (GBD) Study between 1990 and 2019, to model how pancreatic cancer will affect the 27 countries of the European Union (EU) plus the United Kingdom (the pre-Brexit EU-28) until 2039 by conducting the Bayesian age-period-cohort analysis. In conclusion, a substantial increase in counts of incidence, mortality and DALYs lost of pancreatic cancer in the EU-28 is projected over the next two decades, which indicates the need for future health policies and interventions.</w:t>
      </w:r>
    </w:p>
    <w:p>
      <w:pPr/>
      <w:r>
        <w:rPr>
          <w:b/>
        </w:rPr>
        <w:t>Later source:</w:t>
      </w:r>
      <w:r>
        <w:t xml:space="preserve"> Data on the uptake of Integrated Pest Management (IPM) practices in European agriculture — https://doi.org/10.1016/j.dib.2026.113075</w:t>
      </w:r>
    </w:p>
    <w:p>
      <w:pPr/>
      <w:r>
        <w:rPr>
          <w:b/>
        </w:rPr>
        <w:t>Later source:</w:t>
      </w:r>
      <w:r>
        <w:t xml:space="preserve"> Biological data derived from European weather radars — https://doi.org/10.1038/s41597-025-04641-5</w:t>
      </w:r>
    </w:p>
    <w:p>
      <w:pPr>
        <w:pStyle w:val="SourceNote"/>
      </w:pPr>
      <w:r>
        <w:rPr>
          <w:b/>
        </w:rPr>
        <w:t>Review status:</w:t>
      </w:r>
      <w:r>
        <w:t xml:space="preserve"> unchecked — possible relationship only</w:t>
      </w:r>
    </w:p>
    <w:p>
      <w:pPr>
        <w:pStyle w:val="Heading2"/>
      </w:pPr>
      <w:r>
        <w:t>225. Claim + two later sources: Securing a bioenergy future without imports</w:t>
      </w:r>
    </w:p>
    <w:p>
      <w:pPr>
        <w:pStyle w:val="SourceNote"/>
      </w:pPr>
      <w:r>
        <w:rPr>
          <w:b/>
        </w:rPr>
        <w:t>Group ID:</w:t>
      </w:r>
      <w:r>
        <w:t xml:space="preserve"> group-122ac9d522098a981556</w:t>
      </w:r>
    </w:p>
    <w:p>
      <w:pPr>
        <w:pStyle w:val="SourceNote"/>
      </w:pPr>
      <w:r>
        <w:rPr>
          <w:b/>
        </w:rPr>
        <w:t>Original source:</w:t>
      </w:r>
      <w:r>
        <w:t xml:space="preserve"> https://doi.org/10.1016/j.enpol.2013.11.079</w:t>
      </w:r>
    </w:p>
    <w:p>
      <w:pPr/>
      <w:r>
        <w:rPr>
          <w:b/>
        </w:rPr>
        <w:t>Original future claim:</w:t>
      </w:r>
      <w:r>
        <w:t xml:space="preserve"> The model shows that indigenous biomass resources and energy crops could service up to 44% of UK energy demand by 2050 without impacting food systems. The scenarios show, residues from agriculture, forestry and industry provide the most robust resource, potentially providing up to 6.5% of primary energy demand by 2050.</w:t>
      </w:r>
    </w:p>
    <w:p>
      <w:pPr/>
      <w:r>
        <w:rPr>
          <w:b/>
        </w:rPr>
        <w:t>Later source:</w:t>
      </w:r>
      <w:r>
        <w:t xml:space="preserve"> TRANSFORMATIVE EMBODIMENT IN INDIGENOUS DANCES: TOWARDS A PERFORMATIVE SUSTAINABILITY MODEL — https://doi.org/10.52152/7cnmbj06</w:t>
      </w:r>
    </w:p>
    <w:p>
      <w:pPr/>
      <w:r>
        <w:rPr>
          <w:b/>
        </w:rPr>
        <w:t>Later source:</w:t>
      </w:r>
      <w:r>
        <w:t xml:space="preserve"> Environmental Conservation Policy Model Based on the Protection of Indigenous Peoples in Indonesia — https://doi.org/10.47268/sasi.v29i1.1274</w:t>
      </w:r>
    </w:p>
    <w:p>
      <w:pPr>
        <w:pStyle w:val="SourceNote"/>
      </w:pPr>
      <w:r>
        <w:rPr>
          <w:b/>
        </w:rPr>
        <w:t>Review status:</w:t>
      </w:r>
      <w:r>
        <w:t xml:space="preserve"> unchecked — possible relationship only</w:t>
      </w:r>
    </w:p>
    <w:p>
      <w:pPr>
        <w:pStyle w:val="Heading2"/>
      </w:pPr>
      <w:r>
        <w:t>226. Claim + two later sources: Shifts, turning points and inertia exploring long-term industry trends in European transport</w:t>
      </w:r>
    </w:p>
    <w:p>
      <w:pPr>
        <w:pStyle w:val="SourceNote"/>
      </w:pPr>
      <w:r>
        <w:rPr>
          <w:b/>
        </w:rPr>
        <w:t>Group ID:</w:t>
      </w:r>
      <w:r>
        <w:t xml:space="preserve"> group-14d340874eef4e6c231c</w:t>
      </w:r>
    </w:p>
    <w:p>
      <w:pPr>
        <w:pStyle w:val="SourceNote"/>
      </w:pPr>
      <w:r>
        <w:rPr>
          <w:b/>
        </w:rPr>
        <w:t>Original source:</w:t>
      </w:r>
      <w:r>
        <w:t xml:space="preserve"> https://doi.org/10.1007/s40309-015-0070-0</w:t>
      </w:r>
    </w:p>
    <w:p>
      <w:pPr/>
      <w:r>
        <w:rPr>
          <w:b/>
        </w:rPr>
        <w:t>Original future claim:</w:t>
      </w:r>
      <w:r>
        <w:t xml:space="preserve"> Such an analysis steps further into the technological realm, and targets social, industrial and political issues, which could affect the future of transport up until 2050, with a special focus on the post-ownership economy.</w:t>
      </w:r>
    </w:p>
    <w:p>
      <w:pPr/>
      <w:r>
        <w:rPr>
          <w:b/>
        </w:rPr>
        <w:t>Later source:</w:t>
      </w:r>
      <w:r>
        <w:t xml:space="preserve"> The European Union and Strategic Autonomy: Political, Economic and Technological Challenges — https://doi.org/10.47459/cndcgs.2026.42</w:t>
      </w:r>
    </w:p>
    <w:p>
      <w:pPr/>
      <w:r>
        <w:rPr>
          <w:b/>
        </w:rPr>
        <w:t>Later source:</w:t>
      </w:r>
      <w:r>
        <w:t xml:space="preserve"> Economic, technological and environmental drivers of the circular economy in the European Union: a panel data analysis — https://doi.org/10.1186/s12302-025-01119-4</w:t>
      </w:r>
    </w:p>
    <w:p>
      <w:pPr>
        <w:pStyle w:val="SourceNote"/>
      </w:pPr>
      <w:r>
        <w:rPr>
          <w:b/>
        </w:rPr>
        <w:t>Review status:</w:t>
      </w:r>
      <w:r>
        <w:t xml:space="preserve"> unchecked — possible relationship only</w:t>
      </w:r>
    </w:p>
    <w:p>
      <w:pPr>
        <w:pStyle w:val="Heading2"/>
      </w:pPr>
      <w:r>
        <w:t>227. Claim + two later sources: Electricity Spot Market Design 2030-2050</w:t>
      </w:r>
    </w:p>
    <w:p>
      <w:pPr>
        <w:pStyle w:val="SourceNote"/>
      </w:pPr>
      <w:r>
        <w:rPr>
          <w:b/>
        </w:rPr>
        <w:t>Group ID:</w:t>
      </w:r>
      <w:r>
        <w:t xml:space="preserve"> group-43acc6a36010bd78e095</w:t>
      </w:r>
    </w:p>
    <w:p>
      <w:pPr>
        <w:pStyle w:val="SourceNote"/>
      </w:pPr>
      <w:r>
        <w:rPr>
          <w:b/>
        </w:rPr>
        <w:t>Original source:</w:t>
      </w:r>
      <w:r>
        <w:t xml:space="preserve"> https://doi.org/10.24406/fit-n-621457</w:t>
      </w:r>
    </w:p>
    <w:p>
      <w:pPr/>
      <w:r>
        <w:rPr>
          <w:b/>
        </w:rPr>
        <w:t>Original future claim:</w:t>
      </w:r>
      <w:r>
        <w:t xml:space="preserve"> The German government plans that even before the year 2050, all electricity generated and consumed in Germany should be greenhouse gas neutral [1].</w:t>
      </w:r>
    </w:p>
    <w:p>
      <w:pPr/>
      <w:r>
        <w:rPr>
          <w:b/>
        </w:rPr>
        <w:t>Later source:</w:t>
      </w:r>
      <w:r>
        <w:t xml:space="preserve"> German response to the pandemic crisis — https://doi.org/10.4324/9781003634003-23</w:t>
      </w:r>
    </w:p>
    <w:p>
      <w:pPr/>
      <w:r>
        <w:rPr>
          <w:b/>
        </w:rPr>
        <w:t>Later source:</w:t>
      </w:r>
      <w:r>
        <w:t xml:space="preserve"> Political knowledge and perceptions of minority governments in Europe — https://doi.org/10.1017/s147567652510025x</w:t>
      </w:r>
    </w:p>
    <w:p>
      <w:pPr>
        <w:pStyle w:val="SourceNote"/>
      </w:pPr>
      <w:r>
        <w:rPr>
          <w:b/>
        </w:rPr>
        <w:t>Review status:</w:t>
      </w:r>
      <w:r>
        <w:t xml:space="preserve"> unchecked — possible relationship only</w:t>
      </w:r>
    </w:p>
    <w:p>
      <w:pPr>
        <w:pStyle w:val="Heading2"/>
      </w:pPr>
      <w:r>
        <w:t>228. Claim + two later sources: Centre-Periphery Relations in Europe: Demographic Aspect</w:t>
      </w:r>
    </w:p>
    <w:p>
      <w:pPr>
        <w:pStyle w:val="SourceNote"/>
      </w:pPr>
      <w:r>
        <w:rPr>
          <w:b/>
        </w:rPr>
        <w:t>Group ID:</w:t>
      </w:r>
      <w:r>
        <w:t xml:space="preserve"> group-653aa1c1e0687c47693b</w:t>
      </w:r>
    </w:p>
    <w:p>
      <w:pPr>
        <w:pStyle w:val="SourceNote"/>
      </w:pPr>
      <w:r>
        <w:rPr>
          <w:b/>
        </w:rPr>
        <w:t>Original source:</w:t>
      </w:r>
      <w:r>
        <w:t xml:space="preserve"> https://doi.org/10.20542/0131-2227-2015-2-58-67</w:t>
      </w:r>
    </w:p>
    <w:p>
      <w:pPr/>
      <w:r>
        <w:rPr>
          <w:b/>
        </w:rPr>
        <w:t>Original future claim:</w:t>
      </w:r>
      <w:r>
        <w:t xml:space="preserve"> So, the recent number of unemployed in Spain (5.7 millions) is four times more than the expected decrease in the number of people aged 20 to 64 between 2010 and 2030 (1.4 millions).</w:t>
      </w:r>
    </w:p>
    <w:p>
      <w:pPr/>
      <w:r>
        <w:rPr>
          <w:b/>
        </w:rPr>
        <w:t>Later source:</w:t>
      </w:r>
      <w:r>
        <w:t xml:space="preserve"> Osteoporosis in Europe: a compendium of country-specific reports — https://doi.org/10.1007/s11657-021-00969-8</w:t>
      </w:r>
    </w:p>
    <w:p>
      <w:pPr/>
      <w:r>
        <w:rPr>
          <w:b/>
        </w:rPr>
        <w:t>Later source:</w:t>
      </w:r>
      <w:r>
        <w:t xml:space="preserve"> COVID-19 in Europe: from outbreak to vaccination — https://doi.org/10.1186/s12889-022-14454-5</w:t>
      </w:r>
    </w:p>
    <w:p>
      <w:pPr>
        <w:pStyle w:val="SourceNote"/>
      </w:pPr>
      <w:r>
        <w:rPr>
          <w:b/>
        </w:rPr>
        <w:t>Review status:</w:t>
      </w:r>
      <w:r>
        <w:t xml:space="preserve"> unchecked — possible relationship only</w:t>
      </w:r>
    </w:p>
    <w:p>
      <w:pPr>
        <w:pStyle w:val="Heading2"/>
      </w:pPr>
      <w:r>
        <w:t>229. Claim + two later sources: Designing health system scenarios at the national level</w:t>
      </w:r>
    </w:p>
    <w:p>
      <w:pPr>
        <w:pStyle w:val="SourceNote"/>
      </w:pPr>
      <w:r>
        <w:rPr>
          <w:b/>
        </w:rPr>
        <w:t>Group ID:</w:t>
      </w:r>
      <w:r>
        <w:t xml:space="preserve"> group-82b9b6940eb295fa3c07</w:t>
      </w:r>
    </w:p>
    <w:p>
      <w:pPr>
        <w:pStyle w:val="SourceNote"/>
      </w:pPr>
      <w:r>
        <w:rPr>
          <w:b/>
        </w:rPr>
        <w:t>Original source:</w:t>
      </w:r>
      <w:r>
        <w:t xml:space="preserve"> https://doi.org/10.52547/ijhehp.9.3.296</w:t>
      </w:r>
    </w:p>
    <w:p>
      <w:pPr/>
      <w:r>
        <w:rPr>
          <w:b/>
        </w:rPr>
        <w:t>Original future claim:</w:t>
      </w:r>
      <w:r>
        <w:t xml:space="preserve"> Materials and Methods:In this study, using in-depth interview tools and a questionnaire governing the Maktor software with 25 health system experts in the 2019 and relying on the process of scriptwriting at the University of Norway in four steps of analyzing trends and actors in the field of health as The first step is to determine the drivers as the second step, the development of scenarios as the third step, and finally the evaluation and strategic recommendation as the fourth step to design the scenarios of the health system at the national level.Results: The findings include four scenarios.The goal of the first scenario as a desirable scenario, Equity in the collective dimension and wellbeing in the individual dimension, in the second scenario as a possible scenario, the goal of that Equity in the collective dimension and ignoring wellbeing in the individual dimension, in the third scenario as a possible scenario goal of wellbeing in the dimension Individual and neglect of Equity in the collective dimension, and finally the fourth scenario as a scenario of disaster in which there is neither wellbeing in the individual dimension nor Equity in the collective dimension.Conclusion: In order to move away from the disaster scenario and approach the desired scenario, the country's health system needs to change the paradigm from therapist to caregiver in such a way that multiple care promotes health, disease prevention, and treatment.Diseases and rehabilitation are integrated and, in this integration, the most important policy will be health promotion.</w:t>
      </w:r>
    </w:p>
    <w:p>
      <w:pPr/>
      <w:r>
        <w:rPr>
          <w:b/>
        </w:rPr>
        <w:t>Later source:</w:t>
      </w:r>
      <w:r>
        <w:t xml:space="preserve"> Optimizing coating materials and processes for controlled release coated urea fertilizer: review of bio-based coating materials and encapsulation methods — https://doi.org/10.15480/882.17571</w:t>
      </w:r>
    </w:p>
    <w:p>
      <w:pPr/>
      <w:r>
        <w:rPr>
          <w:b/>
        </w:rPr>
        <w:t>Later source:</w:t>
      </w:r>
      <w:r>
        <w:t xml:space="preserve"> Measuring the Confidence Architecture of Indo-European Claims: findings, code and reproduction materials. — https://doi.org/10.5281/zenodo.22880450</w:t>
      </w:r>
    </w:p>
    <w:p>
      <w:pPr>
        <w:pStyle w:val="SourceNote"/>
      </w:pPr>
      <w:r>
        <w:rPr>
          <w:b/>
        </w:rPr>
        <w:t>Review status:</w:t>
      </w:r>
      <w:r>
        <w:t xml:space="preserve"> unchecked — possible relationship only</w:t>
      </w:r>
    </w:p>
    <w:p>
      <w:pPr>
        <w:pStyle w:val="Heading2"/>
      </w:pPr>
      <w:r>
        <w:t>230. Claim + two later sources: Assessing the future medical cost burden for the European health systems under alternative exposure-to-risks scenarios</w:t>
      </w:r>
    </w:p>
    <w:p>
      <w:pPr>
        <w:pStyle w:val="SourceNote"/>
      </w:pPr>
      <w:r>
        <w:rPr>
          <w:b/>
        </w:rPr>
        <w:t>Group ID:</w:t>
      </w:r>
      <w:r>
        <w:t xml:space="preserve"> group-8c7943762af45369d841</w:t>
      </w:r>
    </w:p>
    <w:p>
      <w:pPr>
        <w:pStyle w:val="SourceNote"/>
      </w:pPr>
      <w:r>
        <w:rPr>
          <w:b/>
        </w:rPr>
        <w:t>Original source:</w:t>
      </w:r>
      <w:r>
        <w:t xml:space="preserve"> https://doi.org/10.1371/journal.pone.0238565</w:t>
      </w:r>
    </w:p>
    <w:p>
      <w:pPr/>
      <w:r>
        <w:rPr>
          <w:b/>
        </w:rPr>
        <w:t>Original future claim:</w:t>
      </w:r>
      <w:r>
        <w:t xml:space="preserve"> Between 2014 and 2050, the overall healthcare spending is expected to increase by 0.8% annually under BAU. Economic burden of NCDs is modelled under three scenarios based on assumed future risk factors trends: business as usual (BAU); best case and worst case predictions (BCP and WCP).</w:t>
      </w:r>
    </w:p>
    <w:p>
      <w:pPr/>
      <w:r>
        <w:rPr>
          <w:b/>
        </w:rPr>
        <w:t>Later source:</w:t>
      </w:r>
      <w:r>
        <w:t xml:space="preserve"> Change in healthcare costs in Europe 2018–2023 (data report) — https://doi.org/10.3389/fpubh.2026.1774180</w:t>
      </w:r>
    </w:p>
    <w:p>
      <w:pPr/>
      <w:r>
        <w:rPr>
          <w:b/>
        </w:rPr>
        <w:t>Later source:</w:t>
      </w:r>
      <w:r>
        <w:t xml:space="preserve"> Mapping Healthcare System Complexity in the European Union: A Perspective on Resources, Determinants, and Outcomes — https://doi.org/10.3390/systems14050578</w:t>
      </w:r>
    </w:p>
    <w:p>
      <w:pPr>
        <w:pStyle w:val="SourceNote"/>
      </w:pPr>
      <w:r>
        <w:rPr>
          <w:b/>
        </w:rPr>
        <w:t>Review status:</w:t>
      </w:r>
      <w:r>
        <w:t xml:space="preserve"> unchecked — possible relationship only</w:t>
      </w:r>
    </w:p>
    <w:p>
      <w:pPr>
        <w:pStyle w:val="Heading2"/>
      </w:pPr>
      <w:r>
        <w:t>231. Claim + two later sources: FRESHER: Challenges and opportunities for building Health/Healthy futures</w:t>
      </w:r>
    </w:p>
    <w:p>
      <w:pPr>
        <w:pStyle w:val="SourceNote"/>
      </w:pPr>
      <w:r>
        <w:rPr>
          <w:b/>
        </w:rPr>
        <w:t>Group ID:</w:t>
      </w:r>
      <w:r>
        <w:t xml:space="preserve"> group-6c5a7315ecd769c44e17</w:t>
      </w:r>
    </w:p>
    <w:p>
      <w:pPr>
        <w:pStyle w:val="SourceNote"/>
      </w:pPr>
      <w:r>
        <w:rPr>
          <w:b/>
        </w:rPr>
        <w:t>Original source:</w:t>
      </w:r>
      <w:r>
        <w:t xml:space="preserve"> https://doi.org/10.1093/eurpub/ckac129.121</w:t>
      </w:r>
    </w:p>
    <w:p>
      <w:pPr/>
      <w:r>
        <w:rPr>
          <w:b/>
        </w:rPr>
        <w:t>Original future claim:</w:t>
      </w:r>
      <w:r>
        <w:t xml:space="preserve"> Results In the Scenario Building phase, the combination of different evolutions of the selected trends resulted in four alternative futures: a Business as Usual Scenario, “The rich get healthier”, two response Scenarios, “We will Health you” and “Healthy together”, and a worst case Scenario “Desolation Health”. The scenarios imagine different futures and depict how health would subsequently change in such worlds.</w:t>
      </w:r>
    </w:p>
    <w:p>
      <w:pPr/>
      <w:r>
        <w:rPr>
          <w:b/>
        </w:rPr>
        <w:t>Later source:</w:t>
      </w:r>
      <w:r>
        <w:t xml:space="preserve"> Evolution of the School Building Network in Portugal in the First Decade of the New Millennium — https://doi.org/10.31637/epsir-2026-2713</w:t>
      </w:r>
    </w:p>
    <w:p>
      <w:pPr/>
      <w:r>
        <w:rPr>
          <w:b/>
        </w:rPr>
        <w:t>Later source:</w:t>
      </w:r>
      <w:r>
        <w:t xml:space="preserve"> Techno-economic evaluation of an elastic composite phase change material for building envelopes — https://doi.org/10.1016/j.tsep.2026.104727</w:t>
      </w:r>
    </w:p>
    <w:p>
      <w:pPr>
        <w:pStyle w:val="SourceNote"/>
      </w:pPr>
      <w:r>
        <w:rPr>
          <w:b/>
        </w:rPr>
        <w:t>Review status:</w:t>
      </w:r>
      <w:r>
        <w:t xml:space="preserve"> unchecked — possible relationship only</w:t>
      </w:r>
    </w:p>
    <w:p>
      <w:pPr>
        <w:pStyle w:val="Heading2"/>
      </w:pPr>
      <w:r>
        <w:t>232. Claim + two later sources: The implications of regional and national demographic projections for future GMS costs in Ireland through to 2026</w:t>
      </w:r>
    </w:p>
    <w:p>
      <w:pPr>
        <w:pStyle w:val="SourceNote"/>
      </w:pPr>
      <w:r>
        <w:rPr>
          <w:b/>
        </w:rPr>
        <w:t>Group ID:</w:t>
      </w:r>
      <w:r>
        <w:t xml:space="preserve"> group-02f6d63b0bd980e02677</w:t>
      </w:r>
    </w:p>
    <w:p>
      <w:pPr>
        <w:pStyle w:val="SourceNote"/>
      </w:pPr>
      <w:r>
        <w:rPr>
          <w:b/>
        </w:rPr>
        <w:t>Original source:</w:t>
      </w:r>
      <w:r>
        <w:t xml:space="preserve"> https://doi.org/10.1186/1472-6963-14-477</w:t>
      </w:r>
    </w:p>
    <w:p>
      <w:pPr/>
      <w:r>
        <w:rPr>
          <w:b/>
        </w:rPr>
        <w:t>Original future claim:</w:t>
      </w:r>
      <w:r>
        <w:t xml:space="preserve"> A Monte Carlo Model is used to simulate the effects of demographic change (by region, age, gender, coverage, claims rates and average claims cost) will have on GMS prescribing costs in 2016, 2021 and 2026 under different scenarios. RESULTS: The Population of Ireland is projected to grow by 32% between 2007 and 2026 and by 96% for the over 70s.</w:t>
      </w:r>
    </w:p>
    <w:p>
      <w:pPr/>
      <w:r>
        <w:rPr>
          <w:b/>
        </w:rPr>
        <w:t>Later source:</w:t>
      </w:r>
      <w:r>
        <w:t xml:space="preserve"> A scalable probabilistic meta-model framework for accelerating Monte Carlo-based thermal performance analysis of small-to-medium-sized commercial buildings in six European regions under climate uncertainty — https://doi.org/10.1016/j.jobe.2026.115881</w:t>
      </w:r>
    </w:p>
    <w:p>
      <w:pPr/>
      <w:r>
        <w:rPr>
          <w:b/>
        </w:rPr>
        <w:t>Later source:</w:t>
      </w:r>
      <w:r>
        <w:t xml:space="preserve"> Monte Carlo Greeks for European Pandemic Options under Stochastic SIS Model — https://openalex.org/W7167764542</w:t>
      </w:r>
    </w:p>
    <w:p>
      <w:pPr>
        <w:pStyle w:val="SourceNote"/>
      </w:pPr>
      <w:r>
        <w:rPr>
          <w:b/>
        </w:rPr>
        <w:t>Review status:</w:t>
      </w:r>
      <w:r>
        <w:t xml:space="preserve"> unchecked — possible relationship only</w:t>
      </w:r>
    </w:p>
    <w:p>
      <w:pPr>
        <w:pStyle w:val="Heading2"/>
      </w:pPr>
      <w:r>
        <w:t>233. Claim + two later sources: A scenario-planning approach to human resources for health: the case of community pharmacists in Portugal</w:t>
      </w:r>
    </w:p>
    <w:p>
      <w:pPr>
        <w:pStyle w:val="SourceNote"/>
      </w:pPr>
      <w:r>
        <w:rPr>
          <w:b/>
        </w:rPr>
        <w:t>Group ID:</w:t>
      </w:r>
      <w:r>
        <w:t xml:space="preserve"> group-4f2e8f0d2068a9ab6b9c</w:t>
      </w:r>
    </w:p>
    <w:p>
      <w:pPr>
        <w:pStyle w:val="SourceNote"/>
      </w:pPr>
      <w:r>
        <w:rPr>
          <w:b/>
        </w:rPr>
        <w:t>Original source:</w:t>
      </w:r>
      <w:r>
        <w:t xml:space="preserve"> https://doi.org/10.1186/1478-4491-12-58</w:t>
      </w:r>
    </w:p>
    <w:p>
      <w:pPr/>
      <w:r>
        <w:rPr>
          <w:b/>
        </w:rPr>
        <w:t>Original future claim:</w:t>
      </w:r>
      <w:r>
        <w:t xml:space="preserve"> This study aims to design three future scenarios for Portuguese community pharmacists, recognizing the changing environment as an opportunity to develop the role that community pharmacists may play in the Portuguese health system. CONCLUSIONS: In all scenarios it is clear that the future advance of Portuguese community pharmacists will depend on pharmaceutical services provision beyond medicine dispensing.</w:t>
      </w:r>
    </w:p>
    <w:p>
      <w:pPr/>
      <w:r>
        <w:rPr>
          <w:b/>
        </w:rPr>
        <w:t>Later source:</w:t>
      </w:r>
      <w:r>
        <w:t xml:space="preserve"> Adverse drug reaction reporting by New Zealand pharmacists: a cross-sectional investigation of community and hospital pharmacists — https://doi.org/10.1093/ijpp/riaf017</w:t>
      </w:r>
    </w:p>
    <w:p>
      <w:pPr/>
      <w:r>
        <w:rPr>
          <w:b/>
        </w:rPr>
        <w:t>Later source:</w:t>
      </w:r>
      <w:r>
        <w:t xml:space="preserve"> Humility, autonomy, and simplicity: three principles for humanitarian design — https://doi.org/10.1080/01436597.2025.2491094</w:t>
      </w:r>
    </w:p>
    <w:p>
      <w:pPr>
        <w:pStyle w:val="SourceNote"/>
      </w:pPr>
      <w:r>
        <w:rPr>
          <w:b/>
        </w:rPr>
        <w:t>Review status:</w:t>
      </w:r>
      <w:r>
        <w:t xml:space="preserve"> unchecked — possible relationship only</w:t>
      </w:r>
    </w:p>
    <w:p>
      <w:pPr>
        <w:pStyle w:val="Heading2"/>
      </w:pPr>
      <w:r>
        <w:t>234. Claim + two later sources: The northern hemisphere circumglobal teleconnection in a seasonal forecast model and its relationship to European summer forecast skill</w:t>
      </w:r>
    </w:p>
    <w:p>
      <w:pPr>
        <w:pStyle w:val="SourceNote"/>
      </w:pPr>
      <w:r>
        <w:rPr>
          <w:b/>
        </w:rPr>
        <w:t>Group ID:</w:t>
      </w:r>
      <w:r>
        <w:t xml:space="preserve"> group-e805c40646ce91ed2def</w:t>
      </w:r>
    </w:p>
    <w:p>
      <w:pPr>
        <w:pStyle w:val="SourceNote"/>
      </w:pPr>
      <w:r>
        <w:rPr>
          <w:b/>
        </w:rPr>
        <w:t>Original source:</w:t>
      </w:r>
      <w:r>
        <w:t xml:space="preserve"> https://doi.org/10.1007/s00382-018-4371-4</w:t>
      </w:r>
    </w:p>
    <w:p>
      <w:pPr/>
      <w:r>
        <w:rPr>
          <w:b/>
        </w:rPr>
        <w:t>Original future claim:</w:t>
      </w:r>
      <w:r>
        <w:t xml:space="preserve"> Third, the model jet is systematically shifted northwards by several degrees latitude over large parts of the northern hemisphere, which may affect the propagation characteristics of Rossby waves in the model.</w:t>
      </w:r>
    </w:p>
    <w:p>
      <w:pPr/>
      <w:r>
        <w:rPr>
          <w:b/>
        </w:rPr>
        <w:t>Later source:</w:t>
      </w:r>
      <w:r>
        <w:t xml:space="preserve"> Predicting current and future distribution of the common waxbill using a mechanistic modelling approach — https://doi.org/10.1101/2025.11.16.688699</w:t>
      </w:r>
    </w:p>
    <w:p>
      <w:pPr/>
      <w:r>
        <w:rPr>
          <w:b/>
        </w:rPr>
        <w:t>Later source:</w:t>
      </w:r>
      <w:r>
        <w:t xml:space="preserve"> The evolving story of Borrelia burgdorferi sensu lato transmission in Europe — https://doi.org/10.1007/s00436-022-07445-3</w:t>
      </w:r>
    </w:p>
    <w:p>
      <w:pPr>
        <w:pStyle w:val="SourceNote"/>
      </w:pPr>
      <w:r>
        <w:rPr>
          <w:b/>
        </w:rPr>
        <w:t>Review status:</w:t>
      </w:r>
      <w:r>
        <w:t xml:space="preserve"> unchecked — possible relationship only</w:t>
      </w:r>
    </w:p>
    <w:p>
      <w:pPr>
        <w:pStyle w:val="Heading2"/>
      </w:pPr>
      <w:r>
        <w:t>235. Claim + two later sources: Forecast for the zone of viticulture in European Russia under climate change</w:t>
      </w:r>
    </w:p>
    <w:p>
      <w:pPr>
        <w:pStyle w:val="SourceNote"/>
      </w:pPr>
      <w:r>
        <w:rPr>
          <w:b/>
        </w:rPr>
        <w:t>Group ID:</w:t>
      </w:r>
      <w:r>
        <w:t xml:space="preserve"> group-fb7262fd2ba2ca0bed3b</w:t>
      </w:r>
    </w:p>
    <w:p>
      <w:pPr>
        <w:pStyle w:val="SourceNote"/>
      </w:pPr>
      <w:r>
        <w:rPr>
          <w:b/>
        </w:rPr>
        <w:t>Original source:</w:t>
      </w:r>
      <w:r>
        <w:t xml:space="preserve"> https://doi.org/10.18699/vjgb-22-33</w:t>
      </w:r>
    </w:p>
    <w:p>
      <w:pPr/>
      <w:r>
        <w:rPr>
          <w:b/>
        </w:rPr>
        <w:t>Original future claim:</w:t>
      </w:r>
      <w:r>
        <w:t xml:space="preserve"> At the same time, a possible decrease in the minimum winter temperature at the south of European Russia will require additional protective measures in winter, while an increase in the aridity of the climate on the northwest coast of the Caspian Sea will reduce the area under non-irrigated vineyards. The increase in heat supply during the growing season in European Russia implies a possibility of expanding the ZCV northward, beyond the present-day terminal latitude of 46.6° N, to 51.8° N under the existing conditions, and up to 60.7° N by 2050.</w:t>
      </w:r>
    </w:p>
    <w:p>
      <w:pPr/>
      <w:r>
        <w:rPr>
          <w:b/>
        </w:rPr>
        <w:t>Later source:</w:t>
      </w:r>
      <w:r>
        <w:t xml:space="preserve"> WINTER SOLSTICE DAY IN DIFFERENT CULTURES — https://doi.org/10.5281/zenodo.18169905</w:t>
      </w:r>
    </w:p>
    <w:p>
      <w:pPr/>
      <w:r>
        <w:rPr>
          <w:b/>
        </w:rPr>
        <w:t>Later source:</w:t>
      </w:r>
      <w:r>
        <w:t xml:space="preserve"> Non-stationary time series attribution for heatwaves over Europe — https://doi.org/10.5194/ascmo-12-243-2026</w:t>
      </w:r>
    </w:p>
    <w:p>
      <w:pPr>
        <w:pStyle w:val="SourceNote"/>
      </w:pPr>
      <w:r>
        <w:rPr>
          <w:b/>
        </w:rPr>
        <w:t>Review status:</w:t>
      </w:r>
      <w:r>
        <w:t xml:space="preserve"> unchecked — possible relationship only</w:t>
      </w:r>
    </w:p>
    <w:p>
      <w:pPr>
        <w:pStyle w:val="Heading2"/>
      </w:pPr>
      <w:r>
        <w:t>236. Claim + two later sources: Integrating foresight into government. Is it possible? Is it likely?</w:t>
      </w:r>
    </w:p>
    <w:p>
      <w:pPr>
        <w:pStyle w:val="SourceNote"/>
      </w:pPr>
      <w:r>
        <w:rPr>
          <w:b/>
        </w:rPr>
        <w:t>Group ID:</w:t>
      </w:r>
      <w:r>
        <w:t xml:space="preserve"> group-f38cb540b141b5164658</w:t>
      </w:r>
    </w:p>
    <w:p>
      <w:pPr>
        <w:pStyle w:val="SourceNote"/>
      </w:pPr>
      <w:r>
        <w:rPr>
          <w:b/>
        </w:rPr>
        <w:t>Original source:</w:t>
      </w:r>
      <w:r>
        <w:t xml:space="preserve"> https://doi.org/10.1108/14636681111126229</w:t>
      </w:r>
    </w:p>
    <w:p>
      <w:pPr/>
      <w:r>
        <w:rPr>
          <w:b/>
        </w:rPr>
        <w:t>Original future claim:</w:t>
      </w:r>
      <w:r>
        <w:t xml:space="preserve"> Findings Several methodologies and techniques that are identified here may allow people to help perceive, evaluate and control the effects of their actions, present as well as future.</w:t>
      </w:r>
    </w:p>
    <w:p>
      <w:pPr/>
      <w:r>
        <w:rPr>
          <w:b/>
        </w:rPr>
        <w:t>Later source:</w:t>
      </w:r>
      <w:r>
        <w:t xml:space="preserve"> An Informative Review of Radiomics Studies on Cancer Imaging: The Main Findings, Challenges and Limitations of the Methodologies — https://doi.org/10.3390/curroncol31010027</w:t>
      </w:r>
    </w:p>
    <w:p>
      <w:pPr/>
      <w:r>
        <w:rPr>
          <w:b/>
        </w:rPr>
        <w:t>Later source:</w:t>
      </w:r>
      <w:r>
        <w:t xml:space="preserve"> Genome-wide analyses of ADHD identify 27 risk loci, refine the genetic architecture and implicate several cognitive domains — https://doi.org/10.1038/s41588-022-01285-8</w:t>
      </w:r>
    </w:p>
    <w:p>
      <w:pPr>
        <w:pStyle w:val="SourceNote"/>
      </w:pPr>
      <w:r>
        <w:rPr>
          <w:b/>
        </w:rPr>
        <w:t>Review status:</w:t>
      </w:r>
      <w:r>
        <w:t xml:space="preserve"> unchecked — possible relationship only</w:t>
      </w:r>
    </w:p>
    <w:p>
      <w:pPr>
        <w:pStyle w:val="Heading2"/>
      </w:pPr>
      <w:r>
        <w:t>237. Claim + two later sources: An exploratory policy analysis of electric vehicle sales competition and sensitivity to infrastructure in Europe</w:t>
      </w:r>
    </w:p>
    <w:p>
      <w:pPr>
        <w:pStyle w:val="SourceNote"/>
      </w:pPr>
      <w:r>
        <w:rPr>
          <w:b/>
        </w:rPr>
        <w:t>Group ID:</w:t>
      </w:r>
      <w:r>
        <w:t xml:space="preserve"> group-8cddd97b41ce2f175630</w:t>
      </w:r>
    </w:p>
    <w:p>
      <w:pPr>
        <w:pStyle w:val="SourceNote"/>
      </w:pPr>
      <w:r>
        <w:rPr>
          <w:b/>
        </w:rPr>
        <w:t>Original source:</w:t>
      </w:r>
      <w:r>
        <w:t xml:space="preserve"> https://doi.org/10.1016/j.techfore.2016.08.007</w:t>
      </w:r>
    </w:p>
    <w:p>
      <w:pPr/>
      <w:r>
        <w:rPr>
          <w:b/>
        </w:rPr>
        <w:t>Original future claim:</w:t>
      </w:r>
      <w:r>
        <w:t xml:space="preserve"> Infrastructure provision is important for improving the utility of a PiEV, but we find that in the early market it may have a weaker correlation with uptake than other policy options, until the PiEV stock share is over around 5%. Furthermore, an attempt to install a ratio of much more than one charge point per 10 PiEV may lead to little gains and high costs.</w:t>
      </w:r>
    </w:p>
    <w:p>
      <w:pPr/>
      <w:r>
        <w:rPr>
          <w:b/>
        </w:rPr>
        <w:t>Later source:</w:t>
      </w:r>
      <w:r>
        <w:t xml:space="preserve"> Public Charging Infrastructure and Electrification Dynamics in Europe: A Descriptive Assessment of Infrastructure Strain — https://doi.org/10.3390/en19092063</w:t>
      </w:r>
    </w:p>
    <w:p>
      <w:pPr/>
      <w:r>
        <w:rPr>
          <w:b/>
        </w:rPr>
        <w:t>Later source:</w:t>
      </w:r>
      <w:r>
        <w:t xml:space="preserve"> Aerosol, Clouds and Trace Gases Research Infrastructure (ACTRIS): The European Research Infrastructure Supporting Atmospheric Science — https://doi.org/10.1175/bams-d-23-0064.1</w:t>
      </w:r>
    </w:p>
    <w:p>
      <w:pPr>
        <w:pStyle w:val="SourceNote"/>
      </w:pPr>
      <w:r>
        <w:rPr>
          <w:b/>
        </w:rPr>
        <w:t>Review status:</w:t>
      </w:r>
      <w:r>
        <w:t xml:space="preserve"> unchecked — possible relationship only</w:t>
      </w:r>
    </w:p>
    <w:p>
      <w:pPr>
        <w:pStyle w:val="Heading2"/>
      </w:pPr>
      <w:r>
        <w:t>238. Claim + two later sources: CORPORATE FORESIGHT AND ASSESSMENT OF INNOVATIVE ACTIVITY OF INDUSTRIAL ENTERPRISES</w:t>
      </w:r>
    </w:p>
    <w:p>
      <w:pPr>
        <w:pStyle w:val="SourceNote"/>
      </w:pPr>
      <w:r>
        <w:rPr>
          <w:b/>
        </w:rPr>
        <w:t>Group ID:</w:t>
      </w:r>
      <w:r>
        <w:t xml:space="preserve"> group-13b45bad2d930701bc80</w:t>
      </w:r>
    </w:p>
    <w:p>
      <w:pPr>
        <w:pStyle w:val="SourceNote"/>
      </w:pPr>
      <w:r>
        <w:rPr>
          <w:b/>
        </w:rPr>
        <w:t>Original source:</w:t>
      </w:r>
      <w:r>
        <w:t xml:space="preserve"> https://doi.org/10.14529/em090308</w:t>
      </w:r>
    </w:p>
    <w:p>
      <w:pPr/>
      <w:r>
        <w:rPr>
          <w:b/>
        </w:rPr>
        <w:t>Original future claim:</w:t>
      </w:r>
      <w:r>
        <w:t xml:space="preserve"> Foresight is a system of expert evaluation of strategic directions of social and economic and innovative development, identification of technological breakthroughs that could have an impact on the economy and the society in the mid- and long-term perspective.</w:t>
      </w:r>
    </w:p>
    <w:p>
      <w:pPr/>
      <w:r>
        <w:rPr>
          <w:b/>
        </w:rPr>
        <w:t>Later source:</w:t>
      </w:r>
      <w:r>
        <w:t xml:space="preserve"> FORESIGHT METHODS TOOLS FOR INNOVATIVE MARKETING AND DIGITAL MARKET FORESIGHT — https://doi.org/10.20998/2313-8890.2025.12.08</w:t>
      </w:r>
    </w:p>
    <w:p>
      <w:pPr/>
      <w:r>
        <w:rPr>
          <w:b/>
        </w:rPr>
        <w:t>Later source:</w:t>
      </w:r>
      <w:r>
        <w:t xml:space="preserve"> Strategic foresight and management of energy security in Jordan : The mediating role of strategic agility — https://openalex.org/W7166258236</w:t>
      </w:r>
    </w:p>
    <w:p>
      <w:pPr>
        <w:pStyle w:val="SourceNote"/>
      </w:pPr>
      <w:r>
        <w:rPr>
          <w:b/>
        </w:rPr>
        <w:t>Review status:</w:t>
      </w:r>
      <w:r>
        <w:t xml:space="preserve"> unchecked — possible relationship only</w:t>
      </w:r>
    </w:p>
    <w:p>
      <w:pPr>
        <w:pStyle w:val="Heading2"/>
      </w:pPr>
      <w:r>
        <w:t>239. Claim + two later sources: Varying soil moisture–atmosphere feedbacks explain divergent temperature extremes and precipitation projections in central Europe</w:t>
      </w:r>
    </w:p>
    <w:p>
      <w:pPr>
        <w:pStyle w:val="SourceNote"/>
      </w:pPr>
      <w:r>
        <w:rPr>
          <w:b/>
        </w:rPr>
        <w:t>Group ID:</w:t>
      </w:r>
      <w:r>
        <w:t xml:space="preserve"> group-5023b2ed8fd6642bb2c7</w:t>
      </w:r>
    </w:p>
    <w:p>
      <w:pPr>
        <w:pStyle w:val="SourceNote"/>
      </w:pPr>
      <w:r>
        <w:rPr>
          <w:b/>
        </w:rPr>
        <w:t>Original source:</w:t>
      </w:r>
      <w:r>
        <w:t xml:space="preserve"> https://doi.org/10.5194/esd-9-1107-2018</w:t>
      </w:r>
    </w:p>
    <w:p>
      <w:pPr/>
      <w:r>
        <w:rPr>
          <w:b/>
        </w:rPr>
        <w:t>Original future claim:</w:t>
      </w:r>
      <w:r>
        <w:t xml:space="preserve"> Our results suggest that long-term temperature changes in TXx in central Europe are about 20 % lower than those projected by the multi-model median of the full ensemble. We find a divergent behavior in long-term projections of summer precipitation until the end of the 21st century, resulting in a trimodal distribution of precipitation (wet, dry and very dry).</w:t>
      </w:r>
    </w:p>
    <w:p>
      <w:pPr/>
      <w:r>
        <w:rPr>
          <w:b/>
        </w:rPr>
        <w:t>Later source:</w:t>
      </w:r>
      <w:r>
        <w:t xml:space="preserve"> Civilizational Temperature: A CRTI-Based Heuristic Exploration of Long-Term System Dynamics (1000 BCE–2025 CE) — https://doi.org/10.5281/zenodo.19058865</w:t>
      </w:r>
    </w:p>
    <w:p>
      <w:pPr/>
      <w:r>
        <w:rPr>
          <w:b/>
        </w:rPr>
        <w:t>Later source:</w:t>
      </w:r>
      <w:r>
        <w:t xml:space="preserve"> Examining the Eastern European extreme summer temperatures of 2023 from a long-term perspective: the role of natural variability vs. anthropogenic factors — https://doi.org/10.5194/egusphere-egu25-15014</w:t>
      </w:r>
    </w:p>
    <w:p>
      <w:pPr>
        <w:pStyle w:val="SourceNote"/>
      </w:pPr>
      <w:r>
        <w:rPr>
          <w:b/>
        </w:rPr>
        <w:t>Review status:</w:t>
      </w:r>
      <w:r>
        <w:t xml:space="preserve"> unchecked — possible relationship only</w:t>
      </w:r>
    </w:p>
    <w:p>
      <w:pPr>
        <w:pStyle w:val="Heading2"/>
      </w:pPr>
      <w:r>
        <w:t>240. Claim + two later sources: Public health air pollution impacts of pathway options to meet the 2050 UK Climate Change Act target: a modelling study</w:t>
      </w:r>
    </w:p>
    <w:p>
      <w:pPr>
        <w:pStyle w:val="SourceNote"/>
      </w:pPr>
      <w:r>
        <w:rPr>
          <w:b/>
        </w:rPr>
        <w:t>Group ID:</w:t>
      </w:r>
      <w:r>
        <w:t xml:space="preserve"> group-22e25de0fb848964800c</w:t>
      </w:r>
    </w:p>
    <w:p>
      <w:pPr>
        <w:pStyle w:val="SourceNote"/>
      </w:pPr>
      <w:r>
        <w:rPr>
          <w:b/>
        </w:rPr>
        <w:t>Original source:</w:t>
      </w:r>
      <w:r>
        <w:t xml:space="preserve"> https://doi.org/10.3310/phr06070</w:t>
      </w:r>
    </w:p>
    <w:p>
      <w:pPr/>
      <w:r>
        <w:rPr>
          <w:b/>
        </w:rPr>
        <w:t>Original future claim:</w:t>
      </w:r>
      <w:r>
        <w:t xml:space="preserve"> Concentrations of PM2.5show a modest decrease by 2050, which would have been larger if it had not been for a significant increase in biomass (wood burning) use in the two CCA scenarios peaking in 2035. Conclusions We have established a system which can be used to explore a wider range of climate policy scenarios, including more European and global scenarios as well as local measures.</w:t>
      </w:r>
    </w:p>
    <w:p>
      <w:pPr/>
      <w:r>
        <w:rPr>
          <w:b/>
        </w:rPr>
        <w:t>Later source:</w:t>
      </w:r>
      <w:r>
        <w:t xml:space="preserve"> Development of an OEE Availability Framework for Maintenance Decision Making on PM1 and PM2 : A case study of Smurfit Westrock Piteå AB — https://openalex.org/W7204503844</w:t>
      </w:r>
    </w:p>
    <w:p>
      <w:pPr/>
      <w:r>
        <w:rPr>
          <w:b/>
        </w:rPr>
        <w:t>Later source:</w:t>
      </w:r>
      <w:r>
        <w:t xml:space="preserve"> Air Quality Based on the Spatial-Temporal Variations of Particulate Matter (PM2.5 and PM10)Concentrations Using R — https://doi.org/10.22401/anjs.29.2.06</w:t>
      </w:r>
    </w:p>
    <w:p>
      <w:pPr>
        <w:pStyle w:val="SourceNote"/>
      </w:pPr>
      <w:r>
        <w:rPr>
          <w:b/>
        </w:rPr>
        <w:t>Review status:</w:t>
      </w:r>
      <w:r>
        <w:t xml:space="preserve"> unchecked — possible relationship only</w:t>
      </w:r>
    </w:p>
    <w:p>
      <w:pPr>
        <w:pStyle w:val="Heading2"/>
      </w:pPr>
      <w:r>
        <w:t>241. Claim + two later sources: Long-term outlook for wood construction in Europe</w:t>
      </w:r>
    </w:p>
    <w:p>
      <w:pPr>
        <w:pStyle w:val="SourceNote"/>
      </w:pPr>
      <w:r>
        <w:rPr>
          <w:b/>
        </w:rPr>
        <w:t>Group ID:</w:t>
      </w:r>
      <w:r>
        <w:t xml:space="preserve"> group-b1b50dc31e024bfcb877</w:t>
      </w:r>
    </w:p>
    <w:p>
      <w:pPr>
        <w:pStyle w:val="SourceNote"/>
      </w:pPr>
      <w:r>
        <w:rPr>
          <w:b/>
        </w:rPr>
        <w:t>Original source:</w:t>
      </w:r>
      <w:r>
        <w:t xml:space="preserve"> https://doi.org/10.14214/df.211</w:t>
      </w:r>
    </w:p>
    <w:p>
      <w:pPr/>
      <w:r>
        <w:rPr>
          <w:b/>
        </w:rPr>
        <w:t>Original future claim:</w:t>
      </w:r>
      <w:r>
        <w:t xml:space="preserve"> The aim of the study is to examine the factors affecting the market potential of wood construction in Europe towards 2030.The study takes three complementary perspectives: Past trends and current structures, future trends and uncertainties and measures required to meet the long-term targets of the industries.The methodological framework builds on combining quantitative, descriptive and participative research approaches.By adopting methods and approaches from the field of foresight, the study aims to contribute also to the methodology development for long-term forest sector outlook studies.The trends and pressures in the operating environment of construction were found to primarily relate to the need for reducing the environmental impact of construction and improving the quality and productivity of construction.However, few of the trends would appear to have decisive impact on the diffusion of wood construction.That is, the positive drivers might not translate into improved competitive advantage for wood construction to the extent often expected, due to the lack of willingness or ability to pay for the attributes exceeding the requirements posed by the building regulations.Instead, the cultural and structural hindrances culminating to the fragmented structure and risk-averse characteristics of the construction and wood products industries seem to create significant inertia for the diffusion of wood construction.Based on scenario analysis, the outlook would appear to be dependent on the possible regulatory push for green building and on the possible changes in the strategic orientations of the industries.However, the empirical part indicated that the short-term strategy and policy measures suggested by experts are regarded either as unlikely or as unattractive by the industry stakeholders.The results therefore suggest that the diffusion of wood construction in Europe is likely to be a gradual process, subject to significant inertia, and restricted to a few niche sub-sectors and regions towards 2030.</w:t>
      </w:r>
    </w:p>
    <w:p>
      <w:pPr/>
      <w:r>
        <w:rPr>
          <w:b/>
        </w:rPr>
        <w:t>Later source:</w:t>
      </w:r>
      <w:r>
        <w:t xml:space="preserve"> Value creation and competitiveness in small European markets — https://doi.org/10.5281/zenodo.19133639</w:t>
      </w:r>
    </w:p>
    <w:p>
      <w:pPr/>
      <w:r>
        <w:rPr>
          <w:b/>
        </w:rPr>
        <w:t>Later source:</w:t>
      </w:r>
      <w:r>
        <w:t xml:space="preserve"> Market analysis for Superhood Oy's European expansion — https://openalex.org/W7162354352</w:t>
      </w:r>
    </w:p>
    <w:p>
      <w:pPr>
        <w:pStyle w:val="SourceNote"/>
      </w:pPr>
      <w:r>
        <w:rPr>
          <w:b/>
        </w:rPr>
        <w:t>Review status:</w:t>
      </w:r>
      <w:r>
        <w:t xml:space="preserve"> unchecked — possible relationship only</w:t>
      </w:r>
    </w:p>
    <w:p>
      <w:pPr>
        <w:pStyle w:val="Heading2"/>
      </w:pPr>
      <w:r>
        <w:t>242. Claim + two later sources: Innovation policy and international relations: directions for EU diplomacy</w:t>
      </w:r>
    </w:p>
    <w:p>
      <w:pPr>
        <w:pStyle w:val="SourceNote"/>
      </w:pPr>
      <w:r>
        <w:rPr>
          <w:b/>
        </w:rPr>
        <w:t>Group ID:</w:t>
      </w:r>
      <w:r>
        <w:t xml:space="preserve"> group-9949c3d12bbaaf668afc</w:t>
      </w:r>
    </w:p>
    <w:p>
      <w:pPr>
        <w:pStyle w:val="SourceNote"/>
      </w:pPr>
      <w:r>
        <w:rPr>
          <w:b/>
        </w:rPr>
        <w:t>Original source:</w:t>
      </w:r>
      <w:r>
        <w:t xml:space="preserve"> https://doi.org/10.1186/s40309-019-0156-1</w:t>
      </w:r>
    </w:p>
    <w:p>
      <w:pPr/>
      <w:r>
        <w:rPr>
          <w:b/>
        </w:rPr>
        <w:t>Original future claim:</w:t>
      </w:r>
      <w:r>
        <w:t xml:space="preserve"> The final paragraph discusses what Europe can and should do in its external relations to provide adequate answers to the forces outlined in the three scenarios.</w:t>
      </w:r>
    </w:p>
    <w:p>
      <w:pPr/>
      <w:r>
        <w:rPr>
          <w:b/>
        </w:rPr>
        <w:t>Later source:</w:t>
      </w:r>
      <w:r>
        <w:t xml:space="preserve"> THE ROLE OF EUROPEAN CULTURAL CSOS IN FOSTERING THE EU’S EXTERNAL CULTURAL RELATIONS — https://doi.org/10.25234/eclic/38137</w:t>
      </w:r>
    </w:p>
    <w:p>
      <w:pPr/>
      <w:r>
        <w:rPr>
          <w:b/>
        </w:rPr>
        <w:t>Later source:</w:t>
      </w:r>
      <w:r>
        <w:t xml:space="preserve"> An Exploration of Bachelor Level Learners' Experiences in Writing Paragraphs — https://doi.org/10.36948/ijfmr.2024.v06i02.15034</w:t>
      </w:r>
    </w:p>
    <w:p>
      <w:pPr>
        <w:pStyle w:val="SourceNote"/>
      </w:pPr>
      <w:r>
        <w:rPr>
          <w:b/>
        </w:rPr>
        <w:t>Review status:</w:t>
      </w:r>
      <w:r>
        <w:t xml:space="preserve"> unchecked — possible relationship only</w:t>
      </w:r>
    </w:p>
    <w:p>
      <w:pPr>
        <w:pStyle w:val="Heading2"/>
      </w:pPr>
      <w:r>
        <w:t>243. Claim + two later sources: A ‘futures’ approach towards the wellbeing of future generations in Wales and beyond</w:t>
      </w:r>
    </w:p>
    <w:p>
      <w:pPr>
        <w:pStyle w:val="SourceNote"/>
      </w:pPr>
      <w:r>
        <w:rPr>
          <w:b/>
        </w:rPr>
        <w:t>Group ID:</w:t>
      </w:r>
      <w:r>
        <w:t xml:space="preserve"> group-3baed121b1e2ad5057ea</w:t>
      </w:r>
    </w:p>
    <w:p>
      <w:pPr>
        <w:pStyle w:val="SourceNote"/>
      </w:pPr>
      <w:r>
        <w:rPr>
          <w:b/>
        </w:rPr>
        <w:t>Original source:</w:t>
      </w:r>
      <w:r>
        <w:t xml:space="preserve"> https://doi.org/10.1093/eurpub/ckaa165.1289</w:t>
      </w:r>
    </w:p>
    <w:p>
      <w:pPr/>
      <w:r>
        <w:rPr>
          <w:b/>
        </w:rPr>
        <w:t>Original future claim:</w:t>
      </w:r>
      <w:r>
        <w:t xml:space="preserve"> It is not about predicting the future but is about developing alternative futures or scenarios and using them to inform how best to move towards the preferred future. This Act has been globally recognised as a unique sustainable development legislation, putting Wales at the forefront of creating a different future for generations to come.</w:t>
      </w:r>
    </w:p>
    <w:p>
      <w:pPr/>
      <w:r>
        <w:rPr>
          <w:b/>
        </w:rPr>
        <w:t>Later source:</w:t>
      </w:r>
      <w:r>
        <w:t xml:space="preserve"> Why We Care About Understanding: Competence through Predictive Compression — https://doi.org/10.48550/arxiv.2609.04962</w:t>
      </w:r>
    </w:p>
    <w:p>
      <w:pPr/>
      <w:r>
        <w:rPr>
          <w:b/>
        </w:rPr>
        <w:t>Later source:</w:t>
      </w:r>
      <w:r>
        <w:t xml:space="preserve"> Developing an alternative medium for in-space biomanufacturing — https://doi.org/10.1038/s41467-025-56088-2</w:t>
      </w:r>
    </w:p>
    <w:p>
      <w:pPr>
        <w:pStyle w:val="SourceNote"/>
      </w:pPr>
      <w:r>
        <w:rPr>
          <w:b/>
        </w:rPr>
        <w:t>Review status:</w:t>
      </w:r>
      <w:r>
        <w:t xml:space="preserve"> unchecked — possible relationship only</w:t>
      </w:r>
    </w:p>
    <w:p>
      <w:pPr>
        <w:pStyle w:val="Heading2"/>
      </w:pPr>
      <w:r>
        <w:t>244. Claim + two later sources: Electromobility Scenarios: Research Findings to Inform Policy</w:t>
      </w:r>
    </w:p>
    <w:p>
      <w:pPr>
        <w:pStyle w:val="SourceNote"/>
      </w:pPr>
      <w:r>
        <w:rPr>
          <w:b/>
        </w:rPr>
        <w:t>Group ID:</w:t>
      </w:r>
      <w:r>
        <w:t xml:space="preserve"> group-26ece6abb06088bbcea5</w:t>
      </w:r>
    </w:p>
    <w:p>
      <w:pPr>
        <w:pStyle w:val="SourceNote"/>
      </w:pPr>
      <w:r>
        <w:rPr>
          <w:b/>
        </w:rPr>
        <w:t>Original source:</w:t>
      </w:r>
      <w:r>
        <w:t xml:space="preserve"> https://doi.org/10.1016/j.trpro.2016.05.346</w:t>
      </w:r>
    </w:p>
    <w:p>
      <w:pPr/>
      <w:r>
        <w:rPr>
          <w:b/>
        </w:rPr>
        <w:t>Original future claim:</w:t>
      </w:r>
      <w:r>
        <w:t xml:space="preserve"> We also present the cost-benefit-analysis of the modelling results to assess the different scenarios and to show variation between regions regarding profitability of alternative technological or political support and interventions. The model allows calculating the market diffusion of alternative powertrain technologies to the European market until 2030, taking into account different taxation schemes, incentives and other country-specific characteristics.</w:t>
      </w:r>
    </w:p>
    <w:p>
      <w:pPr/>
      <w:r>
        <w:rPr>
          <w:b/>
        </w:rPr>
        <w:t>Later source:</w:t>
      </w:r>
      <w:r>
        <w:t xml:space="preserve"> Geodiversity data for Europe — https://doi.org/10.1098/rsta.2023.0173</w:t>
      </w:r>
    </w:p>
    <w:p>
      <w:pPr/>
      <w:r>
        <w:rPr>
          <w:b/>
        </w:rPr>
        <w:t>Later source:</w:t>
      </w:r>
      <w:r>
        <w:t xml:space="preserve"> Assessing pesticide residues occurrence and risks in water systems: A Pan-European and Argentina perspective — https://doi.org/10.1016/j.watres.2024.121419</w:t>
      </w:r>
    </w:p>
    <w:p>
      <w:pPr>
        <w:pStyle w:val="SourceNote"/>
      </w:pPr>
      <w:r>
        <w:rPr>
          <w:b/>
        </w:rPr>
        <w:t>Review status:</w:t>
      </w:r>
      <w:r>
        <w:t xml:space="preserve"> unchecked — possible relationship only</w:t>
      </w:r>
    </w:p>
    <w:p>
      <w:pPr>
        <w:pStyle w:val="Heading2"/>
      </w:pPr>
      <w:r>
        <w:t>245. Claim + two later sources: The Future of Visitor Attractions in The Netherlands</w:t>
      </w:r>
    </w:p>
    <w:p>
      <w:pPr>
        <w:pStyle w:val="SourceNote"/>
      </w:pPr>
      <w:r>
        <w:rPr>
          <w:b/>
        </w:rPr>
        <w:t>Group ID:</w:t>
      </w:r>
      <w:r>
        <w:t xml:space="preserve"> group-bfc9c18f0bf45439a289</w:t>
      </w:r>
    </w:p>
    <w:p>
      <w:pPr>
        <w:pStyle w:val="SourceNote"/>
      </w:pPr>
      <w:r>
        <w:rPr>
          <w:b/>
        </w:rPr>
        <w:t>Original source:</w:t>
      </w:r>
      <w:r>
        <w:t xml:space="preserve"> https://doi.org/10.1080/02508281.2014.11087010</w:t>
      </w:r>
    </w:p>
    <w:p>
      <w:pPr/>
      <w:r>
        <w:rPr>
          <w:b/>
        </w:rPr>
        <w:t>Original future claim:</w:t>
      </w:r>
      <w:r>
        <w:t xml:space="preserve"> The results were used to create four different scenarios that could be used by the visitor-attraction business to develop innovative strategies, concepts, products, services or business models that would make the attraction more future-proof. The aim of the study was to acquire a reliable and plausible picture of the interests of visitors in the future and the development opportunities for visitor attractions in the Netherlands.</w:t>
      </w:r>
    </w:p>
    <w:p>
      <w:pPr/>
      <w:r>
        <w:rPr>
          <w:b/>
        </w:rPr>
        <w:t>Later source:</w:t>
      </w:r>
      <w:r>
        <w:t xml:space="preserve"> Amusement Ride Collection: Creating a Complete Attraction Portfolio with GT Amusement — https://doi.org/10.5281/zenodo.18162222</w:t>
      </w:r>
    </w:p>
    <w:p>
      <w:pPr/>
      <w:r>
        <w:rPr>
          <w:b/>
        </w:rPr>
        <w:t>Later source:</w:t>
      </w:r>
      <w:r>
        <w:t xml:space="preserve"> Four Risks for Europe — https://doi.org/10.1007/978-3-032-29056-4_6</w:t>
      </w:r>
    </w:p>
    <w:p>
      <w:pPr>
        <w:pStyle w:val="SourceNote"/>
      </w:pPr>
      <w:r>
        <w:rPr>
          <w:b/>
        </w:rPr>
        <w:t>Review status:</w:t>
      </w:r>
      <w:r>
        <w:t xml:space="preserve"> unchecked — possible relationship only</w:t>
      </w:r>
    </w:p>
    <w:p>
      <w:pPr>
        <w:pStyle w:val="Heading2"/>
      </w:pPr>
      <w:r>
        <w:t>246. Claim + two later sources: Using Scenarios to Assess Policy Mixes for Resource Efficiency and Eco-Innovation in Different Fiscal Policy Frameworks</w:t>
      </w:r>
    </w:p>
    <w:p>
      <w:pPr>
        <w:pStyle w:val="SourceNote"/>
      </w:pPr>
      <w:r>
        <w:rPr>
          <w:b/>
        </w:rPr>
        <w:t>Group ID:</w:t>
      </w:r>
      <w:r>
        <w:t xml:space="preserve"> group-7cdcc60aa7d496847b14</w:t>
      </w:r>
    </w:p>
    <w:p>
      <w:pPr>
        <w:pStyle w:val="SourceNote"/>
      </w:pPr>
      <w:r>
        <w:rPr>
          <w:b/>
        </w:rPr>
        <w:t>Original source:</w:t>
      </w:r>
      <w:r>
        <w:t xml:space="preserve"> https://doi.org/10.3390/su8040309</w:t>
      </w:r>
    </w:p>
    <w:p>
      <w:pPr/>
      <w:r>
        <w:rPr>
          <w:b/>
        </w:rPr>
        <w:t>Original future claim:</w:t>
      </w:r>
      <w:r>
        <w:t xml:space="preserve"> The purpose of the JRC foresight study “2035: Paths towards a sustainable EU economy” was to explore how this could be possible. The scenarios were used in an original way to help experts identify which policy mixes would be best adapted to push each scenario towards a more sustainable future, while respecting its own logic and constraints.</w:t>
      </w:r>
    </w:p>
    <w:p>
      <w:pPr/>
      <w:r>
        <w:rPr>
          <w:b/>
        </w:rPr>
        <w:t>Later source:</w:t>
      </w:r>
      <w:r>
        <w:t xml:space="preserve"> The enrichment of post-growth future alternatives for Europe using an online integral foresight methodology — https://doi.org/10.1186/s40309-026-00282-y</w:t>
      </w:r>
    </w:p>
    <w:p>
      <w:pPr/>
      <w:r>
        <w:rPr>
          <w:b/>
        </w:rPr>
        <w:t>Later source:</w:t>
      </w:r>
      <w:r>
        <w:t xml:space="preserve"> Circular futures of the cement and concrete industry in the European Union: enriching prospective life cycle assessment with participatory foresight — https://doi.org/10.1007/s11367-026-02699-w</w:t>
      </w:r>
    </w:p>
    <w:p>
      <w:pPr>
        <w:pStyle w:val="SourceNote"/>
      </w:pPr>
      <w:r>
        <w:rPr>
          <w:b/>
        </w:rPr>
        <w:t>Review status:</w:t>
      </w:r>
      <w:r>
        <w:t xml:space="preserve"> unchecked — possible relationship only</w:t>
      </w:r>
    </w:p>
    <w:p>
      <w:pPr>
        <w:pStyle w:val="Heading2"/>
      </w:pPr>
      <w:r>
        <w:t>247. Claim + two later sources: Spatial Simulation of Codesigned Land Cover Change Scenarios in New England: Alternative Futures and Their Consequences for Conservation Priorities</w:t>
      </w:r>
    </w:p>
    <w:p>
      <w:pPr>
        <w:pStyle w:val="SourceNote"/>
      </w:pPr>
      <w:r>
        <w:rPr>
          <w:b/>
        </w:rPr>
        <w:t>Group ID:</w:t>
      </w:r>
      <w:r>
        <w:t xml:space="preserve"> group-9f923f5ecc0bfa63905d</w:t>
      </w:r>
    </w:p>
    <w:p>
      <w:pPr>
        <w:pStyle w:val="SourceNote"/>
      </w:pPr>
      <w:r>
        <w:rPr>
          <w:b/>
        </w:rPr>
        <w:t>Original source:</w:t>
      </w:r>
      <w:r>
        <w:t xml:space="preserve"> https://doi.org/10.1029/2019ef001348</w:t>
      </w:r>
    </w:p>
    <w:p>
      <w:pPr/>
      <w:r>
        <w:rPr>
          <w:b/>
        </w:rPr>
        <w:t>Original future claim:</w:t>
      </w:r>
      <w:r>
        <w:t xml:space="preserve"> ABSTRACT To help prepare for an uncertain future, planners and scientists often engage with stakeholders to co-design alternative scenarios of land-use change. The four alternative scenarios populate a quadrant of future conditions that crosses high to low natural resource planning and innovation with local to global socio-economic connectedness.</w:t>
      </w:r>
    </w:p>
    <w:p>
      <w:pPr/>
      <w:r>
        <w:rPr>
          <w:b/>
        </w:rPr>
        <w:t>Later source:</w:t>
      </w:r>
      <w:r>
        <w:t xml:space="preserve"> Preparing to Prepare a Manuscript — https://doi.org/10.1097/nur.0000000000000973</w:t>
      </w:r>
    </w:p>
    <w:p>
      <w:pPr/>
      <w:r>
        <w:rPr>
          <w:b/>
        </w:rPr>
        <w:t>Later source:</w:t>
      </w:r>
      <w:r>
        <w:t xml:space="preserve"> Blue Justice: diverging perceptions between coastal planners and fishers in the blue economy — https://doi.org/10.1007/s11625-026-01868-y</w:t>
      </w:r>
    </w:p>
    <w:p>
      <w:pPr>
        <w:pStyle w:val="SourceNote"/>
      </w:pPr>
      <w:r>
        <w:rPr>
          <w:b/>
        </w:rPr>
        <w:t>Review status:</w:t>
      </w:r>
      <w:r>
        <w:t xml:space="preserve"> unchecked — possible relationship only</w:t>
      </w:r>
    </w:p>
    <w:p>
      <w:pPr>
        <w:pStyle w:val="Heading2"/>
      </w:pPr>
      <w:r>
        <w:t>248. Claim + two later sources: Futuring European industry: assessing the ManuFuture road towards EU re-industrialization</w:t>
      </w:r>
    </w:p>
    <w:p>
      <w:pPr>
        <w:pStyle w:val="SourceNote"/>
      </w:pPr>
      <w:r>
        <w:rPr>
          <w:b/>
        </w:rPr>
        <w:t>Group ID:</w:t>
      </w:r>
      <w:r>
        <w:t xml:space="preserve"> group-90f9015787930b387e2e</w:t>
      </w:r>
    </w:p>
    <w:p>
      <w:pPr>
        <w:pStyle w:val="SourceNote"/>
      </w:pPr>
      <w:r>
        <w:rPr>
          <w:b/>
        </w:rPr>
        <w:t>Original source:</w:t>
      </w:r>
      <w:r>
        <w:t xml:space="preserve"> https://doi.org/10.1007/s40309-016-0100-6</w:t>
      </w:r>
    </w:p>
    <w:p>
      <w:pPr/>
      <w:r>
        <w:rPr>
          <w:b/>
        </w:rPr>
        <w:t>Original future claim:</w:t>
      </w:r>
      <w:r>
        <w:t xml:space="preserve"> Based on a systemic assessment of the multi-actor, multi-governance-level and multi-sector policy approach, success factors are elaborated as guiding principles and framework for the upcoming Vision 2030 process.</w:t>
      </w:r>
    </w:p>
    <w:p>
      <w:pPr/>
      <w:r>
        <w:rPr>
          <w:b/>
        </w:rPr>
        <w:t>Later source:</w:t>
      </w:r>
      <w:r>
        <w:t xml:space="preserve"> Industrial energy transformation and multi-level governance: evidence from Germany — https://doi.org/10.32846/2306-9716/2026.eco.3-66.30</w:t>
      </w:r>
    </w:p>
    <w:p>
      <w:pPr/>
      <w:r>
        <w:rPr>
          <w:b/>
        </w:rPr>
        <w:t>Later source:</w:t>
      </w:r>
      <w:r>
        <w:t xml:space="preserve"> Systemic Failure of Judicial Protection in Latvian Enforcement Proceedings: A Legal Assessment — https://doi.org/10.5281/zenodo.21709610</w:t>
      </w:r>
    </w:p>
    <w:p>
      <w:pPr>
        <w:pStyle w:val="SourceNote"/>
      </w:pPr>
      <w:r>
        <w:rPr>
          <w:b/>
        </w:rPr>
        <w:t>Review status:</w:t>
      </w:r>
      <w:r>
        <w:t xml:space="preserve"> unchecked — possible relationship only</w:t>
      </w:r>
    </w:p>
    <w:p>
      <w:pPr>
        <w:pStyle w:val="Heading2"/>
      </w:pPr>
      <w:r>
        <w:t>249. Claim + two later sources: THREE INVESTMENT SCENARIOS FOR  FUTURE NUCLEAR REACTORS IN EUROPE</w:t>
      </w:r>
    </w:p>
    <w:p>
      <w:pPr>
        <w:pStyle w:val="SourceNote"/>
      </w:pPr>
      <w:r>
        <w:rPr>
          <w:b/>
        </w:rPr>
        <w:t>Group ID:</w:t>
      </w:r>
      <w:r>
        <w:t xml:space="preserve"> group-b2fe5adcacc176537121</w:t>
      </w:r>
    </w:p>
    <w:p>
      <w:pPr>
        <w:pStyle w:val="SourceNote"/>
      </w:pPr>
      <w:r>
        <w:rPr>
          <w:b/>
        </w:rPr>
        <w:t>Original source:</w:t>
      </w:r>
      <w:r>
        <w:t xml:space="preserve"> https://doi.org/10.15173/esr.v23i1.3312</w:t>
      </w:r>
    </w:p>
    <w:p>
      <w:pPr/>
      <w:r>
        <w:rPr>
          <w:b/>
        </w:rPr>
        <w:t>Original future claim:</w:t>
      </w:r>
      <w:r>
        <w:t xml:space="preserve"> While nuclear power may experience a technological breakthrough in Europe with Generation IV nuclear reactors within a few decades (2040), several events and drivers could question this possibility, e.g. the Fukushima accident, climate issues and liberalization of the electricity market.This article analyzes how the conditions necessary for their industrial development from now up to 2040 can be either favorable or detrimental to future nuclear reactors compared with other technologies and according to four main investment drivers: 1) technical change, 2) policy, 3) market, and 4) power company drivers.Twenty-four scenarios have been identified through structural analysis, with only three proving to be favorable to the development of future nuclear reactors.</w:t>
      </w:r>
    </w:p>
    <w:p>
      <w:pPr/>
      <w:r>
        <w:rPr>
          <w:b/>
        </w:rPr>
        <w:t>Later source:</w:t>
      </w:r>
      <w:r>
        <w:t xml:space="preserve"> Nuclear Technology Transition Towards SMR and Generation-IV — https://doi.org/10.1007/978-3-032-15512-2_15</w:t>
      </w:r>
    </w:p>
    <w:p>
      <w:pPr/>
      <w:r>
        <w:rPr>
          <w:b/>
        </w:rPr>
        <w:t>Later source:</w:t>
      </w:r>
      <w:r>
        <w:t xml:space="preserve"> Atomic rivers. The (Un)sustainability of nuclear power in an age of climate change — https://doi.org/10.1016/j.enpol.2025.114631</w:t>
      </w:r>
    </w:p>
    <w:p>
      <w:pPr>
        <w:pStyle w:val="SourceNote"/>
      </w:pPr>
      <w:r>
        <w:rPr>
          <w:b/>
        </w:rPr>
        <w:t>Review status:</w:t>
      </w:r>
      <w:r>
        <w:t xml:space="preserve"> unchecked — possible relationship only</w:t>
      </w:r>
    </w:p>
    <w:p>
      <w:pPr>
        <w:pStyle w:val="Heading2"/>
      </w:pPr>
      <w:r>
        <w:t>250. Claim + two later sources: A road map for explorative scenario creation on Belgian rail freight transport development</w:t>
      </w:r>
    </w:p>
    <w:p>
      <w:pPr>
        <w:pStyle w:val="SourceNote"/>
      </w:pPr>
      <w:r>
        <w:rPr>
          <w:b/>
        </w:rPr>
        <w:t>Group ID:</w:t>
      </w:r>
      <w:r>
        <w:t xml:space="preserve"> group-f6beecf061651fad4597</w:t>
      </w:r>
    </w:p>
    <w:p>
      <w:pPr>
        <w:pStyle w:val="SourceNote"/>
      </w:pPr>
      <w:r>
        <w:rPr>
          <w:b/>
        </w:rPr>
        <w:t>Original source:</w:t>
      </w:r>
      <w:r>
        <w:t xml:space="preserve"> https://doi.org/10.1177/1783591717734792</w:t>
      </w:r>
    </w:p>
    <w:p>
      <w:pPr/>
      <w:r>
        <w:rPr>
          <w:b/>
        </w:rPr>
        <w:t>Original future claim:</w:t>
      </w:r>
      <w:r>
        <w:t xml:space="preserve"> This interdisciplinary research develops a road map for the creation of three integrated scenarios: a best case, medium case and worst case scenario for rail freight development, based on a detailed SWOT (strength, weakness, opportunities, threats) analysis. The obtained scenarios allow future research to quantify and measure the impact of future developments and decisions towards the Belgian rail freight market.</w:t>
      </w:r>
    </w:p>
    <w:p>
      <w:pPr/>
      <w:r>
        <w:rPr>
          <w:b/>
        </w:rPr>
        <w:t>Later source:</w:t>
      </w:r>
      <w:r>
        <w:t xml:space="preserve"> The Long Road Back: An Integrative and Interdisciplinary Approach to Care After Traumatic Brain Injury — https://doi.org/10.1097/hrp.0000000000000457</w:t>
      </w:r>
    </w:p>
    <w:p>
      <w:pPr/>
      <w:r>
        <w:rPr>
          <w:b/>
        </w:rPr>
        <w:t>Later source:</w:t>
      </w:r>
      <w:r>
        <w:t xml:space="preserve"> An Analysis of Interdisciplinary Thematic Clusters and Evolutionary Paths in Research on AI Music Creation — https://doi.org/10.17548/ksaf.2026.06.30.285</w:t>
      </w:r>
    </w:p>
    <w:p>
      <w:pPr>
        <w:pStyle w:val="SourceNote"/>
      </w:pPr>
      <w:r>
        <w:rPr>
          <w:b/>
        </w:rPr>
        <w:t>Review status:</w:t>
      </w:r>
      <w:r>
        <w:t xml:space="preserve"> unchecked — possible relationship only</w:t>
      </w:r>
    </w:p>
    <w:p>
      <w:pPr>
        <w:pStyle w:val="Heading2"/>
      </w:pPr>
      <w:r>
        <w:t>251. Claim + two later sources: Three scenarios for industrial relations in Europe</w:t>
      </w:r>
    </w:p>
    <w:p>
      <w:pPr>
        <w:pStyle w:val="SourceNote"/>
      </w:pPr>
      <w:r>
        <w:rPr>
          <w:b/>
        </w:rPr>
        <w:t>Group ID:</w:t>
      </w:r>
      <w:r>
        <w:t xml:space="preserve"> group-7706f521e72e8d9b6e67</w:t>
      </w:r>
    </w:p>
    <w:p>
      <w:pPr>
        <w:pStyle w:val="SourceNote"/>
      </w:pPr>
      <w:r>
        <w:rPr>
          <w:b/>
        </w:rPr>
        <w:t>Original source:</w:t>
      </w:r>
      <w:r>
        <w:t xml:space="preserve"> https://doi.org/10.1111/j.1564-913x.2015.00221.x</w:t>
      </w:r>
    </w:p>
    <w:p>
      <w:pPr/>
      <w:r>
        <w:rPr>
          <w:b/>
        </w:rPr>
        <w:t>Original future claim:</w:t>
      </w:r>
      <w:r>
        <w:t xml:space="preserve"> The author outlines three scenarios for the future of industrial relations in Europe. The second envisages that “elite reform” from above will succeed in re‐engineering industrial relations and workers' protection according to an ideal social policy agenda – an unlikely prospect given the overriding importance of financial considerations and globalized competition.</w:t>
      </w:r>
    </w:p>
    <w:p>
      <w:pPr/>
      <w:r>
        <w:rPr>
          <w:b/>
        </w:rPr>
        <w:t>Later source:</w:t>
      </w:r>
      <w:r>
        <w:t xml:space="preserve"> The future of the colonial system as assessed by experts of the Council on Foreign Relations during the Second World War — https://doi.org/10.48015/2076-7404-2025-17-1-141-161</w:t>
      </w:r>
    </w:p>
    <w:p>
      <w:pPr/>
      <w:r>
        <w:rPr>
          <w:b/>
        </w:rPr>
        <w:t>Later source:</w:t>
      </w:r>
      <w:r>
        <w:t xml:space="preserve"> Digital Currencies in Context: A Cross-Regional Study of Blockchain Adoption in the U.S. and Europe — https://doi.org/10.33423/jabe.v27i6.7943</w:t>
      </w:r>
    </w:p>
    <w:p>
      <w:pPr>
        <w:pStyle w:val="SourceNote"/>
      </w:pPr>
      <w:r>
        <w:rPr>
          <w:b/>
        </w:rPr>
        <w:t>Review status:</w:t>
      </w:r>
      <w:r>
        <w:t xml:space="preserve"> unchecked — possible relationship only</w:t>
      </w:r>
    </w:p>
    <w:p>
      <w:pPr>
        <w:pStyle w:val="Heading2"/>
      </w:pPr>
      <w:r>
        <w:t>252. Claim + two later sources: Education in an uncertain future: Two scenarios</w:t>
      </w:r>
    </w:p>
    <w:p>
      <w:pPr>
        <w:pStyle w:val="SourceNote"/>
      </w:pPr>
      <w:r>
        <w:rPr>
          <w:b/>
        </w:rPr>
        <w:t>Group ID:</w:t>
      </w:r>
      <w:r>
        <w:t xml:space="preserve"> group-809e1c939339c2923a04</w:t>
      </w:r>
    </w:p>
    <w:p>
      <w:pPr>
        <w:pStyle w:val="SourceNote"/>
      </w:pPr>
      <w:r>
        <w:rPr>
          <w:b/>
        </w:rPr>
        <w:t>Original source:</w:t>
      </w:r>
      <w:r>
        <w:t xml:space="preserve"> https://doi.org/10.14324/lre.18.2.11</w:t>
      </w:r>
    </w:p>
    <w:p>
      <w:pPr/>
      <w:r>
        <w:rPr>
          <w:b/>
        </w:rPr>
        <w:t>Original future claim:</w:t>
      </w:r>
      <w:r>
        <w:t xml:space="preserve"> This article examines two scenarios for the future of education over the coming decades, mainly in England but also in comparable countries.</w:t>
      </w:r>
    </w:p>
    <w:p>
      <w:pPr/>
      <w:r>
        <w:rPr>
          <w:b/>
        </w:rPr>
        <w:t>Later source:</w:t>
      </w:r>
      <w:r>
        <w:t xml:space="preserve"> The erstwhile state of Jammu and Kashmir: a constitutional lens to examine In Re: Article 370 of the Constitution — https://doi.org/10.1080/24730580.2026.2644745</w:t>
      </w:r>
    </w:p>
    <w:p>
      <w:pPr/>
      <w:r>
        <w:rPr>
          <w:b/>
        </w:rPr>
        <w:t>Later source:</w:t>
      </w:r>
      <w:r>
        <w:t xml:space="preserve"> MORPHOLOGICAL MEANS AND STYLISTICS: NOUN, ARTICLE, PRONOUN, ADJECTIVE, VERB — https://doi.org/10.5281/zenodo.19602675</w:t>
      </w:r>
    </w:p>
    <w:p>
      <w:pPr>
        <w:pStyle w:val="SourceNote"/>
      </w:pPr>
      <w:r>
        <w:rPr>
          <w:b/>
        </w:rPr>
        <w:t>Review status:</w:t>
      </w:r>
      <w:r>
        <w:t xml:space="preserve"> unchecked — possible relationship only</w:t>
      </w:r>
    </w:p>
    <w:p>
      <w:pPr>
        <w:pStyle w:val="Heading2"/>
      </w:pPr>
      <w:r>
        <w:t>253. Claim + two later sources: Fiscal sustainability and the accuracy of macroeconomic forecasts: Do supranational forecasts rather than government forecasts make a difference?</w:t>
      </w:r>
    </w:p>
    <w:p>
      <w:pPr>
        <w:pStyle w:val="SourceNote"/>
      </w:pPr>
      <w:r>
        <w:rPr>
          <w:b/>
        </w:rPr>
        <w:t>Group ID:</w:t>
      </w:r>
      <w:r>
        <w:t xml:space="preserve"> group-2c4617fd2f6d727d9a33</w:t>
      </w:r>
    </w:p>
    <w:p>
      <w:pPr>
        <w:pStyle w:val="SourceNote"/>
      </w:pPr>
      <w:r>
        <w:rPr>
          <w:b/>
        </w:rPr>
        <w:t>Original source:</w:t>
      </w:r>
      <w:r>
        <w:t xml:space="preserve"> https://doi.org/10.1504/ijse.2011.039440</w:t>
      </w:r>
    </w:p>
    <w:p>
      <w:pPr/>
      <w:r>
        <w:rPr>
          <w:b/>
        </w:rPr>
        <w:t>Original future claim:</w:t>
      </w:r>
      <w:r>
        <w:t xml:space="preserve"> All in all, since the EC forecast appears to be a good benchmark, in order to reduce the (optimistic) forecast bias, national governments could be forced to justify any large (optimistic) deviation from this benchmark when presenting their respective national Stability and Growth Programmes. Credible fiscal plans that aim at restoring fiscal sustainability will be essential to counter the present increase in debt levels all across Europe.</w:t>
      </w:r>
    </w:p>
    <w:p>
      <w:pPr/>
      <w:r>
        <w:rPr>
          <w:b/>
        </w:rPr>
        <w:t>Later source:</w:t>
      </w:r>
      <w:r>
        <w:t xml:space="preserve"> The Court of Justice of the European Union: Do all roads lead to Luxembourg? — https://doi.org/10.14746/rpeis.2025.87.1.01</w:t>
      </w:r>
    </w:p>
    <w:p>
      <w:pPr/>
      <w:r>
        <w:rPr>
          <w:b/>
        </w:rPr>
        <w:t>Later source:</w:t>
      </w:r>
      <w:r>
        <w:t xml:space="preserve"> Estimation of an efficient benchmark portfolio for the Eastern European market — https://doi.org/10.51680/ev.37.1.1</w:t>
      </w:r>
    </w:p>
    <w:p>
      <w:pPr>
        <w:pStyle w:val="SourceNote"/>
      </w:pPr>
      <w:r>
        <w:rPr>
          <w:b/>
        </w:rPr>
        <w:t>Review status:</w:t>
      </w:r>
      <w:r>
        <w:t xml:space="preserve"> unchecked — possible relationship only</w:t>
      </w:r>
    </w:p>
    <w:p>
      <w:pPr>
        <w:pStyle w:val="Heading2"/>
      </w:pPr>
      <w:r>
        <w:t>254. Claim + two later sources: Shared Socio-economic Pathways for European agriculture and food systems: The Eur-Agri-SSPs</w:t>
      </w:r>
    </w:p>
    <w:p>
      <w:pPr>
        <w:pStyle w:val="SourceNote"/>
      </w:pPr>
      <w:r>
        <w:rPr>
          <w:b/>
        </w:rPr>
        <w:t>Group ID:</w:t>
      </w:r>
      <w:r>
        <w:t xml:space="preserve"> group-41f4b0edb1754baa4639</w:t>
      </w:r>
    </w:p>
    <w:p>
      <w:pPr>
        <w:pStyle w:val="SourceNote"/>
      </w:pPr>
      <w:r>
        <w:rPr>
          <w:b/>
        </w:rPr>
        <w:t>Original source:</w:t>
      </w:r>
      <w:r>
        <w:t xml:space="preserve"> https://doi.org/10.1016/j.gloenvcha.2020.102159</w:t>
      </w:r>
    </w:p>
    <w:p>
      <w:pPr/>
      <w:r>
        <w:rPr>
          <w:b/>
        </w:rPr>
        <w:t>Original future claim:</w:t>
      </w:r>
      <w:r>
        <w:t xml:space="preserve"> We followed a nine-step protocol to extend and enrich a set of global scenarios - the Shared Socio-economic Pathways (SSPs) - providing regional and sectoral detail for European agriculture and food systems using a one-to-one nesting participatory approach.</w:t>
      </w:r>
    </w:p>
    <w:p>
      <w:pPr/>
      <w:r>
        <w:rPr>
          <w:b/>
        </w:rPr>
        <w:t>Later source:</w:t>
      </w:r>
      <w:r>
        <w:t xml:space="preserve"> Population health differences in cross-border regions within the European Union and Schengen area: a protocol for a scoping review — https://doi.org/10.1136/bmjopen-2022-068571</w:t>
      </w:r>
    </w:p>
    <w:p>
      <w:pPr/>
      <w:r>
        <w:rPr>
          <w:b/>
        </w:rPr>
        <w:t>Later source:</w:t>
      </w:r>
      <w:r>
        <w:t xml:space="preserve"> Multicentre evaluation of a selective isolation protocol for detection of mcr-positive E. coli and Salmonella spp. in food-producing animals and meat — https://doi.org/10.1111/lam.13717</w:t>
      </w:r>
    </w:p>
    <w:p>
      <w:pPr>
        <w:pStyle w:val="SourceNote"/>
      </w:pPr>
      <w:r>
        <w:rPr>
          <w:b/>
        </w:rPr>
        <w:t>Review status:</w:t>
      </w:r>
      <w:r>
        <w:t xml:space="preserve"> unchecked — possible relationship only</w:t>
      </w:r>
    </w:p>
    <w:p>
      <w:pPr>
        <w:pStyle w:val="Heading2"/>
      </w:pPr>
      <w:r>
        <w:t>255. Claim + two later sources: Flexible electricity generation, grid exchange and storage for the transition to a 100% renewable energy system in Europe</w:t>
      </w:r>
    </w:p>
    <w:p>
      <w:pPr>
        <w:pStyle w:val="SourceNote"/>
      </w:pPr>
      <w:r>
        <w:rPr>
          <w:b/>
        </w:rPr>
        <w:t>Group ID:</w:t>
      </w:r>
      <w:r>
        <w:t xml:space="preserve"> group-61cf837199c1497c688a</w:t>
      </w:r>
    </w:p>
    <w:p>
      <w:pPr>
        <w:pStyle w:val="SourceNote"/>
      </w:pPr>
      <w:r>
        <w:rPr>
          <w:b/>
        </w:rPr>
        <w:t>Original source:</w:t>
      </w:r>
      <w:r>
        <w:t xml:space="preserve"> https://doi.org/10.1016/j.renene.2019.02.077</w:t>
      </w:r>
    </w:p>
    <w:p>
      <w:pPr/>
      <w:r>
        <w:rPr>
          <w:b/>
        </w:rPr>
        <w:t>Original future claim:</w:t>
      </w:r>
      <w:r>
        <w:t xml:space="preserve"> Two transition pathways towards a 100% renewable energy (RE) power sector by 2050 are simulated for Europe using the LUT Energy System Transition model. Results of the optimisation suggest that the levelised cost of electricity could fall from the current 69 €/MWh to 56 €/MWh in the Regions scenario and 51 €/MWh in the Area scenario through the adoption of low cost, flexible RE generation and energy storage.</w:t>
      </w:r>
    </w:p>
    <w:p>
      <w:pPr/>
      <w:r>
        <w:rPr>
          <w:b/>
        </w:rPr>
        <w:t>Later source:</w:t>
      </w:r>
      <w:r>
        <w:t xml:space="preserve"> Narrating power: the European Commission and the geopolitics of the energy transition — https://doi.org/10.1080/09662839.2025.2599239</w:t>
      </w:r>
    </w:p>
    <w:p>
      <w:pPr/>
      <w:r>
        <w:rPr>
          <w:b/>
        </w:rPr>
        <w:t>Later source:</w:t>
      </w:r>
      <w:r>
        <w:t xml:space="preserve"> Editorial: Just energy transitions for Europe and beyond — https://doi.org/10.3389/fpos.2026.1815295</w:t>
      </w:r>
    </w:p>
    <w:p>
      <w:pPr>
        <w:pStyle w:val="SourceNote"/>
      </w:pPr>
      <w:r>
        <w:rPr>
          <w:b/>
        </w:rPr>
        <w:t>Review status:</w:t>
      </w:r>
      <w:r>
        <w:t xml:space="preserve"> unchecked — possible relationship only</w:t>
      </w:r>
    </w:p>
    <w:p>
      <w:pPr>
        <w:pStyle w:val="Heading2"/>
      </w:pPr>
      <w:r>
        <w:t>256. Claim + two later sources: Consequences of Enduring Low Fertility – A German Case Study. Demographic Projections and Implications for Different Policy Fields</w:t>
      </w:r>
    </w:p>
    <w:p>
      <w:pPr>
        <w:pStyle w:val="SourceNote"/>
      </w:pPr>
      <w:r>
        <w:rPr>
          <w:b/>
        </w:rPr>
        <w:t>Group ID:</w:t>
      </w:r>
      <w:r>
        <w:t xml:space="preserve"> group-9d3fd92b6755a102f5cf</w:t>
      </w:r>
    </w:p>
    <w:p>
      <w:pPr>
        <w:pStyle w:val="SourceNote"/>
      </w:pPr>
      <w:r>
        <w:rPr>
          <w:b/>
        </w:rPr>
        <w:t>Original source:</w:t>
      </w:r>
      <w:r>
        <w:t xml:space="preserve"> https://doi.org/10.12765/cpos-2015-06</w:t>
      </w:r>
    </w:p>
    <w:p>
      <w:pPr/>
      <w:r>
        <w:rPr>
          <w:b/>
        </w:rPr>
        <w:t>Original future claim:</w:t>
      </w:r>
      <w:r>
        <w:t xml:space="preserve"> Ageing is a more severe problem than shrinking, because the severe changes in the age structure in the social security system that will take place until 2040 apply to most Germans and are inevitable.</w:t>
      </w:r>
    </w:p>
    <w:p>
      <w:pPr/>
      <w:r>
        <w:rPr>
          <w:b/>
        </w:rPr>
        <w:t>Later source:</w:t>
      </w:r>
      <w:r>
        <w:t xml:space="preserve"> Books: The Golden Rule: Lessons in Living from a Doctor of Ageing — https://doi.org/10.3399/bjgp26x746265</w:t>
      </w:r>
    </w:p>
    <w:p>
      <w:pPr/>
      <w:r>
        <w:rPr>
          <w:b/>
        </w:rPr>
        <w:t>Later source:</w:t>
      </w:r>
      <w:r>
        <w:t xml:space="preserve"> Democracy, Ageing, Disability — https://doi.org/10.17454/pam-2811</w:t>
      </w:r>
    </w:p>
    <w:p>
      <w:pPr>
        <w:pStyle w:val="SourceNote"/>
      </w:pPr>
      <w:r>
        <w:rPr>
          <w:b/>
        </w:rPr>
        <w:t>Review status:</w:t>
      </w:r>
      <w:r>
        <w:t xml:space="preserve"> unchecked — possible relationship only</w:t>
      </w:r>
    </w:p>
    <w:p>
      <w:pPr>
        <w:pStyle w:val="Heading2"/>
      </w:pPr>
      <w:r>
        <w:t>257. Claim + two later sources: A look into the future of the COVID-19 pandemic in Europe: an expert consultation</w:t>
      </w:r>
    </w:p>
    <w:p>
      <w:pPr>
        <w:pStyle w:val="SourceNote"/>
      </w:pPr>
      <w:r>
        <w:rPr>
          <w:b/>
        </w:rPr>
        <w:t>Group ID:</w:t>
      </w:r>
      <w:r>
        <w:t xml:space="preserve"> group-f0fc1a04818b46d9318f</w:t>
      </w:r>
    </w:p>
    <w:p>
      <w:pPr>
        <w:pStyle w:val="SourceNote"/>
      </w:pPr>
      <w:r>
        <w:rPr>
          <w:b/>
        </w:rPr>
        <w:t>Original source:</w:t>
      </w:r>
      <w:r>
        <w:t xml:space="preserve"> https://doi.org/10.1016/j.lanepe.2021.100185</w:t>
      </w:r>
    </w:p>
    <w:p>
      <w:pPr/>
      <w:r>
        <w:rPr>
          <w:b/>
        </w:rPr>
        <w:t>Original future claim:</w:t>
      </w:r>
      <w:r>
        <w:t xml:space="preserve"> The challenges and developments will strongly depend on the progress of national and global vaccination programs, the emergence and spread of variants of concern (VOCs), and public responses to non-pharmaceutical interventions (NPIs). In autumn 2021, increased indoor activity might accelerate the spread again, whilst a necessary reintroduction of NPIs might be too slow.</w:t>
      </w:r>
    </w:p>
    <w:p>
      <w:pPr/>
      <w:r>
        <w:rPr>
          <w:b/>
        </w:rPr>
        <w:t>Later source:</w:t>
      </w:r>
      <w:r>
        <w:t xml:space="preserve"> Modern challenges, risks and threats to the European Union — https://doi.org/10.5937/bezbednost2601147i</w:t>
      </w:r>
    </w:p>
    <w:p>
      <w:pPr/>
      <w:r>
        <w:rPr>
          <w:b/>
        </w:rPr>
        <w:t>Later source:</w:t>
      </w:r>
      <w:r>
        <w:t xml:space="preserve"> Environmental leadership as a strategic foundation of public policy and community governance in the context of Ukraine’s european integration progress, implementation of sustainable development principles, and national security challenges — https://doi.org/10.32782/2310-9653-2026-1.16</w:t>
      </w:r>
    </w:p>
    <w:p>
      <w:pPr>
        <w:pStyle w:val="SourceNote"/>
      </w:pPr>
      <w:r>
        <w:rPr>
          <w:b/>
        </w:rPr>
        <w:t>Review status:</w:t>
      </w:r>
      <w:r>
        <w:t xml:space="preserve"> unchecked — possible relationship only</w:t>
      </w:r>
    </w:p>
    <w:p>
      <w:pPr>
        <w:pStyle w:val="Heading2"/>
      </w:pPr>
      <w:r>
        <w:t>258. Claim + two later sources: Assessing the desirability and feasibility of scenarios on eco-efficient transport: a heuristic for efficient stakeholder involvement during foresight processes</w:t>
      </w:r>
    </w:p>
    <w:p>
      <w:pPr>
        <w:pStyle w:val="SourceNote"/>
      </w:pPr>
      <w:r>
        <w:rPr>
          <w:b/>
        </w:rPr>
        <w:t>Group ID:</w:t>
      </w:r>
      <w:r>
        <w:t xml:space="preserve"> group-44264db1b939cc121336</w:t>
      </w:r>
    </w:p>
    <w:p>
      <w:pPr>
        <w:pStyle w:val="SourceNote"/>
      </w:pPr>
      <w:r>
        <w:rPr>
          <w:b/>
        </w:rPr>
        <w:t>Original source:</w:t>
      </w:r>
      <w:r>
        <w:t xml:space="preserve"> https://doi.org/10.1108/fs-05-2014-0034</w:t>
      </w:r>
    </w:p>
    <w:p>
      <w:pPr/>
      <w:r>
        <w:rPr>
          <w:b/>
        </w:rPr>
        <w:t>Original future claim:</w:t>
      </w:r>
      <w:r>
        <w:t xml:space="preserve"> Purpose – The purpose of this paper is to illustrate and discuss how stakeholder assessment of scenarios can be used to trigger a structured and, therefore, more efficient debate amongst stakeholders about future options for achieving a more eco-efficient transport system in Europe.</w:t>
      </w:r>
    </w:p>
    <w:p>
      <w:pPr/>
      <w:r>
        <w:rPr>
          <w:b/>
        </w:rPr>
        <w:t>Later source:</w:t>
      </w:r>
      <w:r>
        <w:t xml:space="preserve"> EDUCATION AND EUROPEAN INTEGRATION — https://doi.org/10.82444/warw.33551740</w:t>
      </w:r>
    </w:p>
    <w:p>
      <w:pPr/>
      <w:r>
        <w:rPr>
          <w:b/>
        </w:rPr>
        <w:t>Later source:</w:t>
      </w:r>
      <w:r>
        <w:t xml:space="preserve"> Assessment of Trends and Uncertainties in the Atmospheric Boundary Layer Height Estimated Using Radiosounding Observations over Europe — https://doi.org/10.3390/atmos12030301</w:t>
      </w:r>
    </w:p>
    <w:p>
      <w:pPr>
        <w:pStyle w:val="SourceNote"/>
      </w:pPr>
      <w:r>
        <w:rPr>
          <w:b/>
        </w:rPr>
        <w:t>Review status:</w:t>
      </w:r>
      <w:r>
        <w:t xml:space="preserve"> unchecked — possible relationship only</w:t>
      </w:r>
    </w:p>
    <w:p>
      <w:pPr>
        <w:pStyle w:val="Heading2"/>
      </w:pPr>
      <w:r>
        <w:t>259. Claim + two later sources: Ten years of health workforce planning in the Netherlands: a tentative evaluation of GP planning as an example</w:t>
      </w:r>
    </w:p>
    <w:p>
      <w:pPr>
        <w:pStyle w:val="SourceNote"/>
      </w:pPr>
      <w:r>
        <w:rPr>
          <w:b/>
        </w:rPr>
        <w:t>Group ID:</w:t>
      </w:r>
      <w:r>
        <w:t xml:space="preserve"> group-685e9272c467a732a46a</w:t>
      </w:r>
    </w:p>
    <w:p>
      <w:pPr>
        <w:pStyle w:val="SourceNote"/>
      </w:pPr>
      <w:r>
        <w:rPr>
          <w:b/>
        </w:rPr>
        <w:t>Original source:</w:t>
      </w:r>
      <w:r>
        <w:t xml:space="preserve"> https://doi.org/10.1186/1478-4491-10-21</w:t>
      </w:r>
    </w:p>
    <w:p>
      <w:pPr/>
      <w:r>
        <w:rPr>
          <w:b/>
        </w:rPr>
        <w:t>Original future claim:</w:t>
      </w:r>
      <w:r>
        <w:t xml:space="preserve"> A comparison is made of the results of different scenarios for different years.</w:t>
      </w:r>
    </w:p>
    <w:p>
      <w:pPr/>
      <w:r>
        <w:rPr>
          <w:b/>
        </w:rPr>
        <w:t>Later source:</w:t>
      </w:r>
      <w:r>
        <w:t xml:space="preserve"> A comparison of methods for thermodynamic calculation of explosives used in Europe — https://doi.org/10.1201/9781003762010-4</w:t>
      </w:r>
    </w:p>
    <w:p>
      <w:pPr/>
      <w:r>
        <w:rPr>
          <w:b/>
        </w:rPr>
        <w:t>Later source:</w:t>
      </w:r>
      <w:r>
        <w:t xml:space="preserve"> Science with the Einstein Telescope: a comparison of different designs — https://doi.org/10.1088/1475-7516/2023/07/068</w:t>
      </w:r>
    </w:p>
    <w:p>
      <w:pPr>
        <w:pStyle w:val="SourceNote"/>
      </w:pPr>
      <w:r>
        <w:rPr>
          <w:b/>
        </w:rPr>
        <w:t>Review status:</w:t>
      </w:r>
      <w:r>
        <w:t xml:space="preserve"> unchecked — possible relationship only</w:t>
      </w:r>
    </w:p>
    <w:p>
      <w:pPr>
        <w:pStyle w:val="Heading2"/>
      </w:pPr>
      <w:r>
        <w:t>260. Claim + two later sources: Shaping the ‘Energy Union': between national positions and governance innovation in EU energy and climate policy</w:t>
      </w:r>
    </w:p>
    <w:p>
      <w:pPr>
        <w:pStyle w:val="SourceNote"/>
      </w:pPr>
      <w:r>
        <w:rPr>
          <w:b/>
        </w:rPr>
        <w:t>Group ID:</w:t>
      </w:r>
      <w:r>
        <w:t xml:space="preserve"> group-ad070f5a194968e242eb</w:t>
      </w:r>
    </w:p>
    <w:p>
      <w:pPr>
        <w:pStyle w:val="SourceNote"/>
      </w:pPr>
      <w:r>
        <w:rPr>
          <w:b/>
        </w:rPr>
        <w:t>Original source:</w:t>
      </w:r>
      <w:r>
        <w:t xml:space="preserve"> https://doi.org/10.1080/14693062.2015.1135100</w:t>
      </w:r>
    </w:p>
    <w:p>
      <w:pPr/>
      <w:r>
        <w:rPr>
          <w:b/>
        </w:rPr>
        <w:t>Original future claim:</w:t>
      </w:r>
      <w:r>
        <w:t xml:space="preserve"> We sketch two possible scenarios for the future of EU energy policy, as suggested by the intergovernmentalist and supranationalist approaches and emphasize the potential impact of the governance mechanism of the Energy Union, which could reach far beyond what is expected and provide welcome coherence in Europe's energy and climate policy.Policy relevanceThe article structures the policy debate on the Energy Union, discussing the different elements and instruments proposed by key EU actors and provides a useful overview of national interests of some important players, set in the context of their wider systemic conditions and policy goals.</w:t>
      </w:r>
    </w:p>
    <w:p>
      <w:pPr/>
      <w:r>
        <w:rPr>
          <w:b/>
        </w:rPr>
        <w:t>Later source:</w:t>
      </w:r>
      <w:r>
        <w:t xml:space="preserve"> European Media Policy Grounded in Fundamental Rights — https://doi.org/10.1017/9781009568159.005</w:t>
      </w:r>
    </w:p>
    <w:p>
      <w:pPr/>
      <w:r>
        <w:rPr>
          <w:b/>
        </w:rPr>
        <w:t>Later source:</w:t>
      </w:r>
      <w:r>
        <w:t xml:space="preserve"> The Grand Tour of Europe — https://doi.org/10.7146/nts.v32i2.124349</w:t>
      </w:r>
    </w:p>
    <w:p>
      <w:pPr>
        <w:pStyle w:val="SourceNote"/>
      </w:pPr>
      <w:r>
        <w:rPr>
          <w:b/>
        </w:rPr>
        <w:t>Review status:</w:t>
      </w:r>
      <w:r>
        <w:t xml:space="preserve"> unchecked — possible relationship only</w:t>
      </w:r>
    </w:p>
    <w:p>
      <w:pPr>
        <w:pStyle w:val="Heading2"/>
      </w:pPr>
      <w:r>
        <w:t>261. Claim + two later sources: Trends and Possible Future Developments in Global Forest-Product Markets—Implications for the Swedish Forest Sector</w:t>
      </w:r>
    </w:p>
    <w:p>
      <w:pPr>
        <w:pStyle w:val="SourceNote"/>
      </w:pPr>
      <w:r>
        <w:rPr>
          <w:b/>
        </w:rPr>
        <w:t>Group ID:</w:t>
      </w:r>
      <w:r>
        <w:t xml:space="preserve"> group-dbaea23fcf4cd0c1eddc</w:t>
      </w:r>
    </w:p>
    <w:p>
      <w:pPr>
        <w:pStyle w:val="SourceNote"/>
      </w:pPr>
      <w:r>
        <w:rPr>
          <w:b/>
        </w:rPr>
        <w:t>Original source:</w:t>
      </w:r>
      <w:r>
        <w:t xml:space="preserve"> https://doi.org/10.3390/f2010147</w:t>
      </w:r>
    </w:p>
    <w:p>
      <w:pPr/>
      <w:r>
        <w:rPr>
          <w:b/>
        </w:rPr>
        <w:t>Original future claim:</w:t>
      </w:r>
      <w:r>
        <w:t xml:space="preserve"> These so-called critical uncertainties were found to be degrees to which: (i) current patterns of globalization will continue, or be replaced by regionalism, and (ii) concern about the environment, particularly climate change, related policy initiatives and customer preferences, will materialize. The overall future of the Swedish solid wood-product industry looks bright, irrespective of which of the four possible futures occurs, provided it accommodates the expected growth in demand for factory-made, energy-efficient construction components.</w:t>
      </w:r>
    </w:p>
    <w:p>
      <w:pPr/>
      <w:r>
        <w:rPr>
          <w:b/>
        </w:rPr>
        <w:t>Later source:</w:t>
      </w:r>
      <w:r>
        <w:t xml:space="preserve"> Artificial Intelligence-Empowered Radiology—Current Status and Critical Review — https://doi.org/10.3390/diagnostics15030282</w:t>
      </w:r>
    </w:p>
    <w:p>
      <w:pPr/>
      <w:r>
        <w:rPr>
          <w:b/>
        </w:rPr>
        <w:t>Later source:</w:t>
      </w:r>
      <w:r>
        <w:t xml:space="preserve"> Uncertainty quantification for overshoots of tipping thresholds — https://doi.org/10.5194/esd-16-1153-2025</w:t>
      </w:r>
    </w:p>
    <w:p>
      <w:pPr>
        <w:pStyle w:val="SourceNote"/>
      </w:pPr>
      <w:r>
        <w:rPr>
          <w:b/>
        </w:rPr>
        <w:t>Review status:</w:t>
      </w:r>
      <w:r>
        <w:t xml:space="preserve"> unchecked — possible relationship only</w:t>
      </w:r>
    </w:p>
    <w:p>
      <w:pPr>
        <w:pStyle w:val="Heading2"/>
      </w:pPr>
      <w:r>
        <w:t>262. Claim + two later sources: Energy Portfolio of the Eastern Poland Macroregion in the European Union</w:t>
      </w:r>
    </w:p>
    <w:p>
      <w:pPr>
        <w:pStyle w:val="SourceNote"/>
      </w:pPr>
      <w:r>
        <w:rPr>
          <w:b/>
        </w:rPr>
        <w:t>Group ID:</w:t>
      </w:r>
      <w:r>
        <w:t xml:space="preserve"> group-b7a55179c5752908eeb0</w:t>
      </w:r>
    </w:p>
    <w:p>
      <w:pPr>
        <w:pStyle w:val="SourceNote"/>
      </w:pPr>
      <w:r>
        <w:rPr>
          <w:b/>
        </w:rPr>
        <w:t>Original source:</w:t>
      </w:r>
      <w:r>
        <w:t xml:space="preserve"> https://doi.org/10.3390/en14248426</w:t>
      </w:r>
    </w:p>
    <w:p>
      <w:pPr/>
      <w:r>
        <w:rPr>
          <w:b/>
        </w:rPr>
        <w:t>Original future claim:</w:t>
      </w:r>
      <w:r>
        <w:t xml:space="preserve"> It is predicted that by 2030, the following sources will change their positions within the portfolio for the Eastern Poland macroregion: solar energy, wind energy and bioenergy. The aim of this article is to identify the conditions and reasons for the transformation of the energy portfolio of the Eastern Poland macroregion, and to define the directions of the energy portfolio evolution caused by the need to implement the goals of the European Green Deal by 2030, in order to consequently develop the forecast energy portfolio for the Eastern Poland macroregion.</w:t>
      </w:r>
    </w:p>
    <w:p>
      <w:pPr/>
      <w:r>
        <w:rPr>
          <w:b/>
        </w:rPr>
        <w:t>Later source:</w:t>
      </w:r>
      <w:r>
        <w:t xml:space="preserve"> Source code for "How Much EEG Is Needed for Deep Learning with Convolutional Neural Networks? Predicting the Benefit from Additional Data" — https://doi.org/10.5281/zenodo.18403059</w:t>
      </w:r>
    </w:p>
    <w:p>
      <w:pPr/>
      <w:r>
        <w:rPr>
          <w:b/>
        </w:rPr>
        <w:t>Later source:</w:t>
      </w:r>
      <w:r>
        <w:t xml:space="preserve"> The predictors of party group bargaining success in the European Parliament — https://doi.org/10.1177/14651165261423104</w:t>
      </w:r>
    </w:p>
    <w:p>
      <w:pPr>
        <w:pStyle w:val="SourceNote"/>
      </w:pPr>
      <w:r>
        <w:rPr>
          <w:b/>
        </w:rPr>
        <w:t>Review status:</w:t>
      </w:r>
      <w:r>
        <w:t xml:space="preserve"> unchecked — possible relationship only</w:t>
      </w:r>
    </w:p>
    <w:p>
      <w:pPr>
        <w:pStyle w:val="Heading2"/>
      </w:pPr>
      <w:r>
        <w:t>263. Claim + two later sources: Future air quality in Europe: a multi-model assessment of projected exposure to ozone</w:t>
      </w:r>
    </w:p>
    <w:p>
      <w:pPr>
        <w:pStyle w:val="SourceNote"/>
      </w:pPr>
      <w:r>
        <w:rPr>
          <w:b/>
        </w:rPr>
        <w:t>Group ID:</w:t>
      </w:r>
      <w:r>
        <w:t xml:space="preserve"> group-f4529bc25db4fc4431ec</w:t>
      </w:r>
    </w:p>
    <w:p>
      <w:pPr>
        <w:pStyle w:val="SourceNote"/>
      </w:pPr>
      <w:r>
        <w:rPr>
          <w:b/>
        </w:rPr>
        <w:t>Original source:</w:t>
      </w:r>
      <w:r>
        <w:t xml:space="preserve"> https://doi.org/10.5194/acp-12-10613-2012</w:t>
      </w:r>
    </w:p>
    <w:p>
      <w:pPr/>
      <w:r>
        <w:rPr>
          <w:b/>
        </w:rPr>
        <w:t>Original future claim:</w:t>
      </w:r>
      <w:r>
        <w:t xml:space="preserve"> We conclude that air pollution mitigation measures (present in both scenarios) are the main factors leading to the improvement, but an additional cobenefit of at least 40% (depending on the indicator) is brought about by the climate policy. In order to explore future air quality in Europe at the 2030 horizon, two emission scenarios developed in the framework of the Global Energy Assessment including varying assumptions on climate and energy access policies are investigated with an ensemble of six regional and global atmospheric chemistry transport models.</w:t>
      </w:r>
    </w:p>
    <w:p>
      <w:pPr/>
      <w:r>
        <w:rPr>
          <w:b/>
        </w:rPr>
        <w:t>Later source:</w:t>
      </w:r>
      <w:r>
        <w:t xml:space="preserve"> Clean air in Europe for all — https://doi.org/10.1097/ee9.0000000000000245</w:t>
      </w:r>
    </w:p>
    <w:p>
      <w:pPr/>
      <w:r>
        <w:rPr>
          <w:b/>
        </w:rPr>
        <w:t>Later source:</w:t>
      </w:r>
      <w:r>
        <w:t xml:space="preserve"> Spatial heterogeneity of air pollution statistics in Europe — https://doi.org/10.1038/s41598-022-16109-2</w:t>
      </w:r>
    </w:p>
    <w:p>
      <w:pPr>
        <w:pStyle w:val="SourceNote"/>
      </w:pPr>
      <w:r>
        <w:rPr>
          <w:b/>
        </w:rPr>
        <w:t>Review status:</w:t>
      </w:r>
      <w:r>
        <w:t xml:space="preserve"> unchecked — possible relationship only</w:t>
      </w:r>
    </w:p>
    <w:p>
      <w:pPr>
        <w:pStyle w:val="Heading2"/>
      </w:pPr>
      <w:r>
        <w:t>264. Claim + two later sources: The future of trade unions in Croatia – various stakeholders’ perspectives</w:t>
      </w:r>
    </w:p>
    <w:p>
      <w:pPr>
        <w:pStyle w:val="SourceNote"/>
      </w:pPr>
      <w:r>
        <w:rPr>
          <w:b/>
        </w:rPr>
        <w:t>Group ID:</w:t>
      </w:r>
      <w:r>
        <w:t xml:space="preserve"> group-50986e7a10f1c0c024a7</w:t>
      </w:r>
    </w:p>
    <w:p>
      <w:pPr>
        <w:pStyle w:val="SourceNote"/>
      </w:pPr>
      <w:r>
        <w:rPr>
          <w:b/>
        </w:rPr>
        <w:t>Original source:</w:t>
      </w:r>
      <w:r>
        <w:t xml:space="preserve"> https://doi.org/10.1177/1024258914546277</w:t>
      </w:r>
    </w:p>
    <w:p>
      <w:pPr/>
      <w:r>
        <w:rPr>
          <w:b/>
        </w:rPr>
        <w:t>Original future claim:</w:t>
      </w:r>
      <w:r>
        <w:t xml:space="preserve"> This article explores different stakeholders’ perceptions of the future of trade unions in Croatia. Findings reveal that respondents (managers, HR experts, trade union officials, government representatives and employees) are not optimistic about the future of trade unions in Croatia, agreeing that they will face many obstacles in the near future, such as a lack of consensus between the five trade union federations, a lack of agreement among the unions within a federation, and further union disintegration.</w:t>
      </w:r>
    </w:p>
    <w:p>
      <w:pPr/>
      <w:r>
        <w:rPr>
          <w:b/>
        </w:rPr>
        <w:t>Later source:</w:t>
      </w:r>
      <w:r>
        <w:t xml:space="preserve"> Trump's Trade Gambit: Chaos as a Calculated Strategy — https://doi.org/10.1177/00207020261439150</w:t>
      </w:r>
    </w:p>
    <w:p>
      <w:pPr/>
      <w:r>
        <w:rPr>
          <w:b/>
        </w:rPr>
        <w:t>Later source:</w:t>
      </w:r>
      <w:r>
        <w:t xml:space="preserve"> Exploring the European Road Freight Transport Survey: Potentials, Challenges, and Limitations — https://doi.org/10.1016/j.trpro.2026.04.188</w:t>
      </w:r>
    </w:p>
    <w:p>
      <w:pPr>
        <w:pStyle w:val="SourceNote"/>
      </w:pPr>
      <w:r>
        <w:rPr>
          <w:b/>
        </w:rPr>
        <w:t>Review status:</w:t>
      </w:r>
      <w:r>
        <w:t xml:space="preserve"> unchecked — possible relationship only</w:t>
      </w:r>
    </w:p>
    <w:p>
      <w:pPr>
        <w:pStyle w:val="Heading2"/>
      </w:pPr>
      <w:r>
        <w:t>265. Claim + two later sources: Agent‐Based Modeling of Alternative Futures in the British Land Use System</w:t>
      </w:r>
    </w:p>
    <w:p>
      <w:pPr>
        <w:pStyle w:val="SourceNote"/>
      </w:pPr>
      <w:r>
        <w:rPr>
          <w:b/>
        </w:rPr>
        <w:t>Group ID:</w:t>
      </w:r>
      <w:r>
        <w:t xml:space="preserve"> group-5f18135988305cf0aaab</w:t>
      </w:r>
    </w:p>
    <w:p>
      <w:pPr>
        <w:pStyle w:val="SourceNote"/>
      </w:pPr>
      <w:r>
        <w:rPr>
          <w:b/>
        </w:rPr>
        <w:t>Original source:</w:t>
      </w:r>
      <w:r>
        <w:t xml:space="preserve"> https://doi.org/10.1029/2022ef002905</w:t>
      </w:r>
    </w:p>
    <w:p>
      <w:pPr/>
      <w:r>
        <w:rPr>
          <w:b/>
        </w:rPr>
        <w:t>Original future claim:</w:t>
      </w:r>
      <w:r>
        <w:t xml:space="preserve"> Socio‐economic scenarios such as the Shared Socioeconomic Pathways (SSPs) have been widely used to analyze global change impacts, but representing their diversity is a challenge for the analytical tools applied to them. Taking Great Britain as an example, we represent a set of stakeholder‐elaborated UK‐SSP scenarios, linked to climate change scenarios (Representative Concentration Pathways), in a globally‐embedded agent‐based modeling framework.</w:t>
      </w:r>
    </w:p>
    <w:p>
      <w:pPr/>
      <w:r>
        <w:rPr>
          <w:b/>
        </w:rPr>
        <w:t>Later source:</w:t>
      </w:r>
      <w:r>
        <w:t xml:space="preserve"> Abstract DP015: Integrating Systemic and Socio-economic Factors Into Stroke Prognostic Models: Findings From the ELAN International Survey — https://doi.org/10.1161/str.57.suppl_1.dp015</w:t>
      </w:r>
    </w:p>
    <w:p>
      <w:pPr/>
      <w:r>
        <w:rPr>
          <w:b/>
        </w:rPr>
        <w:t>Later source:</w:t>
      </w:r>
      <w:r>
        <w:t xml:space="preserve"> High-resolution modelling of biodiversity under the shared socio-economic scenarios — https://doi.org/10.32942/x2h958</w:t>
      </w:r>
    </w:p>
    <w:p>
      <w:pPr>
        <w:pStyle w:val="SourceNote"/>
      </w:pPr>
      <w:r>
        <w:rPr>
          <w:b/>
        </w:rPr>
        <w:t>Review status:</w:t>
      </w:r>
      <w:r>
        <w:t xml:space="preserve"> unchecked — possible relationship only</w:t>
      </w:r>
    </w:p>
    <w:p>
      <w:pPr>
        <w:pStyle w:val="Heading2"/>
      </w:pPr>
      <w:r>
        <w:t>266. Claim + two later sources: Toward a Diagnostic Tool for Organizational Ethical Culture With Futures Thinking and Scenario Planning</w:t>
      </w:r>
    </w:p>
    <w:p>
      <w:pPr>
        <w:pStyle w:val="SourceNote"/>
      </w:pPr>
      <w:r>
        <w:rPr>
          <w:b/>
        </w:rPr>
        <w:t>Group ID:</w:t>
      </w:r>
      <w:r>
        <w:t xml:space="preserve"> group-640f70f7cb2884765d7e</w:t>
      </w:r>
    </w:p>
    <w:p>
      <w:pPr>
        <w:pStyle w:val="SourceNote"/>
      </w:pPr>
      <w:r>
        <w:rPr>
          <w:b/>
        </w:rPr>
        <w:t>Original source:</w:t>
      </w:r>
      <w:r>
        <w:t xml:space="preserve"> https://doi.org/10.1109/tem.2020.3018309</w:t>
      </w:r>
    </w:p>
    <w:p>
      <w:pPr/>
      <w:r>
        <w:rPr>
          <w:b/>
        </w:rPr>
        <w:t>Original future claim:</w:t>
      </w:r>
      <w:r>
        <w:t xml:space="preserve"> By gathering and analyzing diverse macro (contextual) and micro (transactional) points of view, here called “partial truths,” this article investigates how scenario planning could be used as a complementary tool to diagnose disruptions that may impact an organization's ethical culture. The combined study led to a framework of pragmatic ethics and systems thinking that broadens our understanding of the main themes that lead to disruptions that managers believed would impact ethical culture.</w:t>
      </w:r>
    </w:p>
    <w:p>
      <w:pPr/>
      <w:r>
        <w:rPr>
          <w:b/>
        </w:rPr>
        <w:t>Later source:</w:t>
      </w:r>
      <w:r>
        <w:t xml:space="preserve"> Mapping the Evidence on Antimicrobial Resistance Transmission in Mass Gatherings: A Scoping Review — https://doi.org/10.17605/osf.io/9hq5t</w:t>
      </w:r>
    </w:p>
    <w:p>
      <w:pPr/>
      <w:r>
        <w:rPr>
          <w:b/>
        </w:rPr>
        <w:t>Later source:</w:t>
      </w:r>
      <w:r>
        <w:t xml:space="preserve"> Adoption of Digital Micro Wakaf Bank by Ultra-Micro and Micro Businesses in Indonesia — https://doi.org/10.62159/sembj.v7i2.2237</w:t>
      </w:r>
    </w:p>
    <w:p>
      <w:pPr>
        <w:pStyle w:val="SourceNote"/>
      </w:pPr>
      <w:r>
        <w:rPr>
          <w:b/>
        </w:rPr>
        <w:t>Review status:</w:t>
      </w:r>
      <w:r>
        <w:t xml:space="preserve"> unchecked — possible relationship only</w:t>
      </w:r>
    </w:p>
    <w:p>
      <w:pPr>
        <w:pStyle w:val="Heading2"/>
      </w:pPr>
      <w:r>
        <w:t>267. Claim + two later sources: Scenarios for the Development of Multimodal Transport in the TRITIA Cross-Border Area</w:t>
      </w:r>
    </w:p>
    <w:p>
      <w:pPr>
        <w:pStyle w:val="SourceNote"/>
      </w:pPr>
      <w:r>
        <w:rPr>
          <w:b/>
        </w:rPr>
        <w:t>Group ID:</w:t>
      </w:r>
      <w:r>
        <w:t xml:space="preserve"> group-748dd2e1c96a607aef92</w:t>
      </w:r>
    </w:p>
    <w:p>
      <w:pPr>
        <w:pStyle w:val="SourceNote"/>
      </w:pPr>
      <w:r>
        <w:rPr>
          <w:b/>
        </w:rPr>
        <w:t>Original source:</w:t>
      </w:r>
      <w:r>
        <w:t xml:space="preserve"> https://doi.org/10.3390/su12177021</w:t>
      </w:r>
    </w:p>
    <w:p>
      <w:pPr/>
      <w:r>
        <w:rPr>
          <w:b/>
        </w:rPr>
        <w:t>Original future claim:</w:t>
      </w:r>
      <w:r>
        <w:t xml:space="preserve"> Therefore, the purpose of the paper is to identify a set of factors determining the development of multimodal transport within the cross-border area of TRITIA (The European Grouping of Territorial Cooperation of the four regional governments of Moravian-Silesian Region (CZ), Opole Voivodeship (PL), Silesian Voivodeship (PL) and Žilina Self-governing Region (SK)) and to develop four scenarios, the execution of which in the 2030 perspective depends on the implementation of cross-border infrastructure and organisational projects and the increasing level of cooperation in the field of multimodal transport. The future development of multimodal transport as provided for in the scenarios is not linearly correlated with the increase in cooperation and the number of implemented infrastructure and organisational projects.</w:t>
      </w:r>
    </w:p>
    <w:p>
      <w:pPr/>
      <w:r>
        <w:rPr>
          <w:b/>
        </w:rPr>
        <w:t>Later source:</w:t>
      </w:r>
      <w:r>
        <w:t xml:space="preserve"> Factors determining digitalization in Polish companies in the context of the European industrial strategy — https://doi.org/10.29119/1641-3466.2026.246.5</w:t>
      </w:r>
    </w:p>
    <w:p>
      <w:pPr/>
      <w:r>
        <w:rPr>
          <w:b/>
        </w:rPr>
        <w:t>Later source:</w:t>
      </w:r>
      <w:r>
        <w:t xml:space="preserve"> Pedoclimatic, knowledge and management factors drive European soybean and faba bean yields — https://doi.org/10.1007/s13593-025-01056-9</w:t>
      </w:r>
    </w:p>
    <w:p>
      <w:pPr>
        <w:pStyle w:val="SourceNote"/>
      </w:pPr>
      <w:r>
        <w:rPr>
          <w:b/>
        </w:rPr>
        <w:t>Review status:</w:t>
      </w:r>
      <w:r>
        <w:t xml:space="preserve"> unchecked — possible relationship only</w:t>
      </w:r>
    </w:p>
    <w:p>
      <w:pPr>
        <w:pStyle w:val="Heading2"/>
      </w:pPr>
      <w:r>
        <w:t>268. Claim + two later sources: Central Europe: Possible Scenarios</w:t>
      </w:r>
    </w:p>
    <w:p>
      <w:pPr>
        <w:pStyle w:val="SourceNote"/>
      </w:pPr>
      <w:r>
        <w:rPr>
          <w:b/>
        </w:rPr>
        <w:t>Group ID:</w:t>
      </w:r>
      <w:r>
        <w:t xml:space="preserve"> group-511a87e7f8675fe00c14</w:t>
      </w:r>
    </w:p>
    <w:p>
      <w:pPr>
        <w:pStyle w:val="SourceNote"/>
      </w:pPr>
      <w:r>
        <w:rPr>
          <w:b/>
        </w:rPr>
        <w:t>Original source:</w:t>
      </w:r>
      <w:r>
        <w:t xml:space="preserve"> https://doi.org/10.20542/0131-2227-2022-66-11-14-20</w:t>
      </w:r>
    </w:p>
    <w:p>
      <w:pPr/>
      <w:r>
        <w:rPr>
          <w:b/>
        </w:rPr>
        <w:t>Original future claim:</w:t>
      </w:r>
      <w:r>
        <w:t xml:space="preserve"> One of the most pressing issues of future development is meeting the needs for energy resources, which is still difficult to assess and will have a significant impact on the prospects of the region. The innovation sector is one of the weaknesses of the Central European countries, development dynamics of which indicates that the region is lagging behind and that the situation will continue in the future, which also determines its future development.</w:t>
      </w:r>
    </w:p>
    <w:p>
      <w:pPr/>
      <w:r>
        <w:rPr>
          <w:b/>
        </w:rPr>
        <w:t>Later source:</w:t>
      </w:r>
      <w:r>
        <w:t xml:space="preserve"> SPES Explorer European Pressing Issues Dashboard — https://doi.org/10.5281/zenodo.18479791</w:t>
      </w:r>
    </w:p>
    <w:p>
      <w:pPr/>
      <w:r>
        <w:rPr>
          <w:b/>
        </w:rPr>
        <w:t>Later source:</w:t>
      </w:r>
      <w:r>
        <w:t xml:space="preserve"> Feeling responsible, feeling better? The climate-happiness link across European Union — https://doi.org/10.71014/sieds.v80i2.563</w:t>
      </w:r>
    </w:p>
    <w:p>
      <w:pPr>
        <w:pStyle w:val="SourceNote"/>
      </w:pPr>
      <w:r>
        <w:rPr>
          <w:b/>
        </w:rPr>
        <w:t>Review status:</w:t>
      </w:r>
      <w:r>
        <w:t xml:space="preserve"> unchecked — possible relationship only</w:t>
      </w:r>
    </w:p>
    <w:p>
      <w:pPr>
        <w:pStyle w:val="Heading2"/>
      </w:pPr>
      <w:r>
        <w:t>269. Claim + two later sources: Cross-border climate vulnerabilities of the European Union to drought</w:t>
      </w:r>
    </w:p>
    <w:p>
      <w:pPr>
        <w:pStyle w:val="SourceNote"/>
      </w:pPr>
      <w:r>
        <w:rPr>
          <w:b/>
        </w:rPr>
        <w:t>Group ID:</w:t>
      </w:r>
      <w:r>
        <w:t xml:space="preserve"> group-fa727bf3cd2d5a1f9128</w:t>
      </w:r>
    </w:p>
    <w:p>
      <w:pPr>
        <w:pStyle w:val="SourceNote"/>
      </w:pPr>
      <w:r>
        <w:rPr>
          <w:b/>
        </w:rPr>
        <w:t>Original source:</w:t>
      </w:r>
      <w:r>
        <w:t xml:space="preserve"> https://doi.org/10.1038/s41467-021-23584-0</w:t>
      </w:r>
    </w:p>
    <w:p>
      <w:pPr/>
      <w:r>
        <w:rPr>
          <w:b/>
        </w:rPr>
        <w:t>Original future claim:</w:t>
      </w:r>
      <w:r>
        <w:t xml:space="preserve"> The drought severity in production locations of the agricultural imports in 2050 will increase by 35% compared to current levels of drought severity. We quantify these climate vulnerabilities with a focus on drought risk and assessed them for 2030, 2050, 2085 and for RCP 2.6 and 6.0 climate scenarios.</w:t>
      </w:r>
    </w:p>
    <w:p>
      <w:pPr/>
      <w:r>
        <w:rPr>
          <w:b/>
        </w:rPr>
        <w:t>Later source:</w:t>
      </w:r>
      <w:r>
        <w:t xml:space="preserve"> Drivers of propagation and impacts of meteorological and agricultural droughts across Europe — https://doi.org/10.5194/egusphere-egu26-12460</w:t>
      </w:r>
    </w:p>
    <w:p>
      <w:pPr/>
      <w:r>
        <w:rPr>
          <w:b/>
        </w:rPr>
        <w:t>Later source:</w:t>
      </w:r>
      <w:r>
        <w:t xml:space="preserve"> Multi-year droughts and their compounding economic impacts in Europe — https://doi.org/10.5194/egusphere-egu26-15194</w:t>
      </w:r>
    </w:p>
    <w:p>
      <w:pPr>
        <w:pStyle w:val="SourceNote"/>
      </w:pPr>
      <w:r>
        <w:rPr>
          <w:b/>
        </w:rPr>
        <w:t>Review status:</w:t>
      </w:r>
      <w:r>
        <w:t xml:space="preserve"> unchecked — possible relationship only</w:t>
      </w:r>
    </w:p>
    <w:p>
      <w:pPr>
        <w:pStyle w:val="Heading2"/>
      </w:pPr>
      <w:r>
        <w:t>270. Claim + two later sources: Development and transport implications of automated vehicles in the Netherlands: scenarios for 2030 and 2050</w:t>
      </w:r>
    </w:p>
    <w:p>
      <w:pPr>
        <w:pStyle w:val="SourceNote"/>
      </w:pPr>
      <w:r>
        <w:rPr>
          <w:b/>
        </w:rPr>
        <w:t>Group ID:</w:t>
      </w:r>
      <w:r>
        <w:t xml:space="preserve"> group-18641847586739c14ee7</w:t>
      </w:r>
    </w:p>
    <w:p>
      <w:pPr>
        <w:pStyle w:val="SourceNote"/>
      </w:pPr>
      <w:r>
        <w:rPr>
          <w:b/>
        </w:rPr>
        <w:t>Original source:</w:t>
      </w:r>
      <w:r>
        <w:t xml:space="preserve"> https://doi.org/10.18757/ejtir.2017.17.1.3180</w:t>
      </w:r>
    </w:p>
    <w:p>
      <w:pPr/>
      <w:r>
        <w:rPr>
          <w:b/>
        </w:rPr>
        <w:t>Original future claim:</w:t>
      </w:r>
      <w:r>
        <w:t xml:space="preserve"> Penetration rates are expected to vary among different scenarios between 1% and 11% (mainly conditionally automated vehicles) in 2030 and between 7% and 61% (mainly fully automated vehicles) in 2050. This study uses scenario analysis to identify plausible future development paths of automated vehicles in the Netherlands and to estimate potential implications for traffic, travel behaviour and transport planning on a time horizon up to 2030 and 2050.</w:t>
      </w:r>
    </w:p>
    <w:p>
      <w:pPr/>
      <w:r>
        <w:rPr>
          <w:b/>
        </w:rPr>
        <w:t>Later source:</w:t>
      </w:r>
      <w:r>
        <w:t xml:space="preserve"> Electric Vehicle Fleet Penetration and Air Pollution Mortality in Europe — https://doi.org/10.32388/vkflrm</w:t>
      </w:r>
    </w:p>
    <w:p>
      <w:pPr/>
      <w:r>
        <w:rPr>
          <w:b/>
        </w:rPr>
        <w:t>Later source:</w:t>
      </w:r>
      <w:r>
        <w:t xml:space="preserve"> Electric Vehicle Fleet Penetration and Air Pollution Mortality in Europe — https://doi.org/10.32388/vkflrm.2</w:t>
      </w:r>
    </w:p>
    <w:p>
      <w:pPr>
        <w:pStyle w:val="SourceNote"/>
      </w:pPr>
      <w:r>
        <w:rPr>
          <w:b/>
        </w:rPr>
        <w:t>Review status:</w:t>
      </w:r>
      <w:r>
        <w:t xml:space="preserve"> unchecked — possible relationship only</w:t>
      </w:r>
    </w:p>
    <w:p>
      <w:pPr>
        <w:pStyle w:val="Heading2"/>
      </w:pPr>
      <w:r>
        <w:t>271. Claim + two later sources: Energy transition scenarios: What policies, societal attitudes, and technology developments will realize the EU Green Deal?</w:t>
      </w:r>
    </w:p>
    <w:p>
      <w:pPr>
        <w:pStyle w:val="SourceNote"/>
      </w:pPr>
      <w:r>
        <w:rPr>
          <w:b/>
        </w:rPr>
        <w:t>Group ID:</w:t>
      </w:r>
      <w:r>
        <w:t xml:space="preserve"> group-a3cc214257e5788bbeed</w:t>
      </w:r>
    </w:p>
    <w:p>
      <w:pPr>
        <w:pStyle w:val="SourceNote"/>
      </w:pPr>
      <w:r>
        <w:rPr>
          <w:b/>
        </w:rPr>
        <w:t>Original source:</w:t>
      </w:r>
      <w:r>
        <w:t xml:space="preserve"> https://doi.org/10.1016/j.energy.2021.122067</w:t>
      </w:r>
    </w:p>
    <w:p>
      <w:pPr/>
      <w:r>
        <w:rPr>
          <w:b/>
        </w:rPr>
        <w:t>Original future claim:</w:t>
      </w:r>
      <w:r>
        <w:t xml:space="preserve"> Through analyzing four pathways (shaped by the crossroads of policy-technology-society developments), results indicate that high electrification rates are imminent to achieve a rapid decarbonization. In this paper, we present an original set of future storylines until the year 2050 to inspire modelers, policy makers, industry actors, and the public to understand: Without technological developments in the next decades, to what extent can we rely on societal commitment or stronger cooperation within the EU to achieve climate targets?</w:t>
      </w:r>
    </w:p>
    <w:p>
      <w:pPr/>
      <w:r>
        <w:rPr>
          <w:b/>
        </w:rPr>
        <w:t>Later source:</w:t>
      </w:r>
      <w:r>
        <w:t xml:space="preserve"> ANALYZING THE FEASIBILITY OF ADOPTING THE HUMAN MEDICINES REGULATORY PATHWAYS OF THE EUROPEAN MEDICINES AGENCY FOR THE AFRICAN MEDICINES AGENCY — https://doi.org/10.5281/zenodo.18206130</w:t>
      </w:r>
    </w:p>
    <w:p>
      <w:pPr/>
      <w:r>
        <w:rPr>
          <w:b/>
        </w:rPr>
        <w:t>Later source:</w:t>
      </w:r>
      <w:r>
        <w:t xml:space="preserve"> European Energy Vision 2060: Charting Diverse Pathways for Europe's Energy Transition — https://doi.org/10.48550/arxiv.2501.12993</w:t>
      </w:r>
    </w:p>
    <w:p>
      <w:pPr>
        <w:pStyle w:val="SourceNote"/>
      </w:pPr>
      <w:r>
        <w:rPr>
          <w:b/>
        </w:rPr>
        <w:t>Review status:</w:t>
      </w:r>
      <w:r>
        <w:t xml:space="preserve"> unchecked — possible relationship only</w:t>
      </w:r>
    </w:p>
    <w:p>
      <w:pPr>
        <w:pStyle w:val="Heading2"/>
      </w:pPr>
      <w:r>
        <w:t>272. Claim + two later sources: Five transition pathways to renewable energy futures—scenarios from a Delphi study on key drivers and policy options</w:t>
      </w:r>
    </w:p>
    <w:p>
      <w:pPr>
        <w:pStyle w:val="SourceNote"/>
      </w:pPr>
      <w:r>
        <w:rPr>
          <w:b/>
        </w:rPr>
        <w:t>Group ID:</w:t>
      </w:r>
      <w:r>
        <w:t xml:space="preserve"> group-25f98c219b79659dbcc2</w:t>
      </w:r>
    </w:p>
    <w:p>
      <w:pPr>
        <w:pStyle w:val="SourceNote"/>
      </w:pPr>
      <w:r>
        <w:rPr>
          <w:b/>
        </w:rPr>
        <w:t>Original source:</w:t>
      </w:r>
      <w:r>
        <w:t xml:space="preserve"> https://doi.org/10.1186/s40309-021-00185-0</w:t>
      </w:r>
    </w:p>
    <w:p>
      <w:pPr/>
      <w:r>
        <w:rPr>
          <w:b/>
        </w:rPr>
        <w:t>Original future claim:</w:t>
      </w:r>
      <w:r>
        <w:t xml:space="preserve"> In this article, five energy scenarios are presented for Finland until 2030. It is therefore important to anticipate probable, preferable, or avoidable future paths that will contribute to the discussion of the direction and conditions of such futures.</w:t>
      </w:r>
    </w:p>
    <w:p>
      <w:pPr/>
      <w:r>
        <w:rPr>
          <w:b/>
        </w:rPr>
        <w:t>Later source:</w:t>
      </w:r>
      <w:r>
        <w:t xml:space="preserve"> Framing the Climate Crisis in European Media: A Comparative Study of Five Major News Outlets — https://doi.org/10.5281/zenodo.22795894</w:t>
      </w:r>
    </w:p>
    <w:p>
      <w:pPr/>
      <w:r>
        <w:rPr>
          <w:b/>
        </w:rPr>
        <w:t>Later source:</w:t>
      </w:r>
      <w:r>
        <w:t xml:space="preserve"> A computational analysis of the media coverage of the European Parliament's ‘green' Designation on sustainable energy and climate change — https://doi.org/10.1016/j.enpol.2025.114592</w:t>
      </w:r>
    </w:p>
    <w:p>
      <w:pPr>
        <w:pStyle w:val="SourceNote"/>
      </w:pPr>
      <w:r>
        <w:rPr>
          <w:b/>
        </w:rPr>
        <w:t>Review status:</w:t>
      </w:r>
      <w:r>
        <w:t xml:space="preserve"> unchecked — possible relationship only</w:t>
      </w:r>
    </w:p>
    <w:p>
      <w:pPr>
        <w:pStyle w:val="Heading2"/>
      </w:pPr>
      <w:r>
        <w:t>273. Claim + two later sources: European Union, transnational terrorism and the strategic choice of counterterrorism policies in democratic countries</w:t>
      </w:r>
    </w:p>
    <w:p>
      <w:pPr>
        <w:pStyle w:val="SourceNote"/>
      </w:pPr>
      <w:r>
        <w:rPr>
          <w:b/>
        </w:rPr>
        <w:t>Group ID:</w:t>
      </w:r>
      <w:r>
        <w:t xml:space="preserve"> group-d4de4893c500d527a2cf</w:t>
      </w:r>
    </w:p>
    <w:p>
      <w:pPr>
        <w:pStyle w:val="SourceNote"/>
      </w:pPr>
      <w:r>
        <w:rPr>
          <w:b/>
        </w:rPr>
        <w:t>Original source:</w:t>
      </w:r>
      <w:r>
        <w:t xml:space="preserve"> https://doi.org/10.1177/14651165221120370</w:t>
      </w:r>
    </w:p>
    <w:p>
      <w:pPr/>
      <w:r>
        <w:rPr>
          <w:b/>
        </w:rPr>
        <w:t>Original future claim:</w:t>
      </w:r>
      <w:r>
        <w:t xml:space="preserve"> This article highlights the combined effect of voter propensity towards defensive policies, certain intelligence policies and different institutional scenarios on the (in)efficient strategic choice of counterterrorism defensive policies in democratic countries, where efficiency means maximising the joint welfare of countries.</w:t>
      </w:r>
    </w:p>
    <w:p>
      <w:pPr/>
      <w:r>
        <w:rPr>
          <w:b/>
        </w:rPr>
        <w:t>Later source:</w:t>
      </w:r>
      <w:r>
        <w:t xml:space="preserve"> Resilience in Post-Truth and Post-Digital European Union: Youth-Led Civil Society Organisations in the 2024 European Elections — https://doi.org/10.1285/i20356609v19i1p94</w:t>
      </w:r>
    </w:p>
    <w:p>
      <w:pPr/>
      <w:r>
        <w:rPr>
          <w:b/>
        </w:rPr>
        <w:t>Later source:</w:t>
      </w:r>
      <w:r>
        <w:t xml:space="preserve"> The Role of the European Union and the Council of Europe in Promoting Democracy: The Case of the South Caucasus States — https://doi.org/10.54503/2579-2903-2026.1-183</w:t>
      </w:r>
    </w:p>
    <w:p>
      <w:pPr>
        <w:pStyle w:val="SourceNote"/>
      </w:pPr>
      <w:r>
        <w:rPr>
          <w:b/>
        </w:rPr>
        <w:t>Review status:</w:t>
      </w:r>
      <w:r>
        <w:t xml:space="preserve"> unchecked — possible relationship only</w:t>
      </w:r>
    </w:p>
    <w:p>
      <w:pPr>
        <w:pStyle w:val="Heading2"/>
      </w:pPr>
      <w:r>
        <w:t>274. Claim + two later sources: Biotechnology versus agroecology: Entrenchments and surprise at a 2030 forecast scenario workshop</w:t>
      </w:r>
    </w:p>
    <w:p>
      <w:pPr>
        <w:pStyle w:val="SourceNote"/>
      </w:pPr>
      <w:r>
        <w:rPr>
          <w:b/>
        </w:rPr>
        <w:t>Group ID:</w:t>
      </w:r>
      <w:r>
        <w:t xml:space="preserve"> group-d2b3466245cf95b2f024</w:t>
      </w:r>
    </w:p>
    <w:p>
      <w:pPr>
        <w:pStyle w:val="SourceNote"/>
      </w:pPr>
      <w:r>
        <w:rPr>
          <w:b/>
        </w:rPr>
        <w:t>Original source:</w:t>
      </w:r>
      <w:r>
        <w:t xml:space="preserve"> https://doi.org/10.1093/scipol/scv021</w:t>
      </w:r>
    </w:p>
    <w:p>
      <w:pPr/>
      <w:r>
        <w:rPr>
          <w:b/>
        </w:rPr>
        <w:t>Original future claim:</w:t>
      </w:r>
      <w:r>
        <w:t xml:space="preserve"> A scenario workshop methodology was used to obtain various assessments of the prospects of multi-stress resistant plants. In our results, the scenario method showed itself to be highly suited to easing the grip of cognitive entrenchments and hierarchical communication structures.</w:t>
      </w:r>
    </w:p>
    <w:p>
      <w:pPr/>
      <w:r>
        <w:rPr>
          <w:b/>
        </w:rPr>
        <w:t>Later source:</w:t>
      </w:r>
      <w:r>
        <w:t xml:space="preserve"> Improving the methodology for the comprehensive assessment of the working conditions of workers in the foundry — https://doi.org/10.21122/1683-6065-2026-2-143-150</w:t>
      </w:r>
    </w:p>
    <w:p>
      <w:pPr/>
      <w:r>
        <w:rPr>
          <w:b/>
        </w:rPr>
        <w:t>Later source:</w:t>
      </w:r>
      <w:r>
        <w:t xml:space="preserve"> Experience on Training among the Participants of Teaching Methodology and Assessment — https://doi.org/10.3329/cmoshmcj.v23i1.78514</w:t>
      </w:r>
    </w:p>
    <w:p>
      <w:pPr>
        <w:pStyle w:val="SourceNote"/>
      </w:pPr>
      <w:r>
        <w:rPr>
          <w:b/>
        </w:rPr>
        <w:t>Review status:</w:t>
      </w:r>
      <w:r>
        <w:t xml:space="preserve"> unchecked — possible relationship only</w:t>
      </w:r>
    </w:p>
    <w:p>
      <w:pPr>
        <w:pStyle w:val="Heading2"/>
      </w:pPr>
      <w:r>
        <w:t>275. Claim + two later sources: Occupational Structure in European Countries: What do Forecasts Predict?</w:t>
      </w:r>
    </w:p>
    <w:p>
      <w:pPr>
        <w:pStyle w:val="SourceNote"/>
      </w:pPr>
      <w:r>
        <w:rPr>
          <w:b/>
        </w:rPr>
        <w:t>Group ID:</w:t>
      </w:r>
      <w:r>
        <w:t xml:space="preserve"> group-35d8d812fbe3c670ad8a</w:t>
      </w:r>
    </w:p>
    <w:p>
      <w:pPr>
        <w:pStyle w:val="SourceNote"/>
      </w:pPr>
      <w:r>
        <w:rPr>
          <w:b/>
        </w:rPr>
        <w:t>Original source:</w:t>
      </w:r>
      <w:r>
        <w:t xml:space="preserve"> https://doi.org/10.17323/1996-7845-2017-04-109</w:t>
      </w:r>
    </w:p>
    <w:p>
      <w:pPr/>
      <w:r>
        <w:rPr>
          <w:b/>
        </w:rPr>
        <w:t>Original future claim:</w:t>
      </w:r>
      <w:r>
        <w:t xml:space="preserve"> The paper demonstrates that the main occupational trend over the next decade will consist in the increasing importance of professionals, as well as technicians and associate professionals. The increase in demand for health professionals and representatives of occupations providing scientific and technological innovation will be most significant.</w:t>
      </w:r>
    </w:p>
    <w:p>
      <w:pPr/>
      <w:r>
        <w:rPr>
          <w:b/>
        </w:rPr>
        <w:t>Later source:</w:t>
      </w:r>
      <w:r>
        <w:t xml:space="preserve"> European Code Against Cancer, 5th edition – occupational exposures and cancer — https://doi.org/10.1002/1878-0261.70174</w:t>
      </w:r>
    </w:p>
    <w:p>
      <w:pPr/>
      <w:r>
        <w:rPr>
          <w:b/>
        </w:rPr>
        <w:t>Later source:</w:t>
      </w:r>
      <w:r>
        <w:t xml:space="preserve"> A survey on occupational medicine residency programs across european countries — https://doi.org/10.1186/s12909-026-09587-9</w:t>
      </w:r>
    </w:p>
    <w:p>
      <w:pPr>
        <w:pStyle w:val="SourceNote"/>
      </w:pPr>
      <w:r>
        <w:rPr>
          <w:b/>
        </w:rPr>
        <w:t>Review status:</w:t>
      </w:r>
      <w:r>
        <w:t xml:space="preserve"> unchecked — possible relationship only</w:t>
      </w:r>
    </w:p>
    <w:p>
      <w:pPr>
        <w:pStyle w:val="Heading2"/>
      </w:pPr>
      <w:r>
        <w:t>276. Claim + two later sources: What energy infrastructure will be needed by 2050 in the EU to support 1.5°C scenarios?</w:t>
      </w:r>
    </w:p>
    <w:p>
      <w:pPr>
        <w:pStyle w:val="SourceNote"/>
      </w:pPr>
      <w:r>
        <w:rPr>
          <w:b/>
        </w:rPr>
        <w:t>Group ID:</w:t>
      </w:r>
      <w:r>
        <w:t xml:space="preserve"> group-1676b2f607cf01f8de0c</w:t>
      </w:r>
    </w:p>
    <w:p>
      <w:pPr>
        <w:pStyle w:val="SourceNote"/>
      </w:pPr>
      <w:r>
        <w:rPr>
          <w:b/>
        </w:rPr>
        <w:t>Original source:</w:t>
      </w:r>
      <w:r>
        <w:t xml:space="preserve"> https://doi.org/10.12688/f1000research.109399.1</w:t>
      </w:r>
    </w:p>
    <w:p>
      <w:pPr/>
      <w:r>
        <w:rPr>
          <w:b/>
        </w:rPr>
        <w:t>Original future claim:</w:t>
      </w:r>
      <w:r>
        <w:t xml:space="preserve"> The objective of the study is to quantify energy infrastructure needs required in various climate neutral scenarios at the 2050 time horizon. Background: The European Commission has settled ambitious objectives in order to reach climate neutrality by 2050.</w:t>
      </w:r>
    </w:p>
    <w:p>
      <w:pPr/>
      <w:r>
        <w:rPr>
          <w:b/>
        </w:rPr>
        <w:t>Later source:</w:t>
      </w:r>
      <w:r>
        <w:t xml:space="preserve"> A combinatorial multi-objective optimisation model to support the design of urban renewable energy communities — https://doi.org/10.1016/j.apenergy.2026.127635</w:t>
      </w:r>
    </w:p>
    <w:p>
      <w:pPr/>
      <w:r>
        <w:rPr>
          <w:b/>
        </w:rPr>
        <w:t>Later source:</w:t>
      </w:r>
      <w:r>
        <w:t xml:space="preserve"> Energy and Emission Disutilities of Transport Modes Under Transport Innovation in the European Union — https://doi.org/10.3390/en19051346</w:t>
      </w:r>
    </w:p>
    <w:p>
      <w:pPr>
        <w:pStyle w:val="SourceNote"/>
      </w:pPr>
      <w:r>
        <w:rPr>
          <w:b/>
        </w:rPr>
        <w:t>Review status:</w:t>
      </w:r>
      <w:r>
        <w:t xml:space="preserve"> unchecked — possible relationship only</w:t>
      </w:r>
    </w:p>
    <w:p>
      <w:pPr>
        <w:pStyle w:val="Heading2"/>
      </w:pPr>
      <w:r>
        <w:t>277. Claim + two later sources: About global forecast of European Parliament TO 2035</w:t>
      </w:r>
    </w:p>
    <w:p>
      <w:pPr>
        <w:pStyle w:val="SourceNote"/>
      </w:pPr>
      <w:r>
        <w:rPr>
          <w:b/>
        </w:rPr>
        <w:t>Group ID:</w:t>
      </w:r>
      <w:r>
        <w:t xml:space="preserve"> group-47bc9abc9c43fab419a1</w:t>
      </w:r>
    </w:p>
    <w:p>
      <w:pPr>
        <w:pStyle w:val="SourceNote"/>
      </w:pPr>
      <w:r>
        <w:rPr>
          <w:b/>
        </w:rPr>
        <w:t>Original source:</w:t>
      </w:r>
      <w:r>
        <w:t xml:space="preserve"> https://doi.org/10.25634/mirbis.2019.1.3</w:t>
      </w:r>
    </w:p>
    <w:p>
      <w:pPr/>
      <w:r>
        <w:rPr>
          <w:b/>
        </w:rPr>
        <w:t>Original future claim:</w:t>
      </w:r>
      <w:r>
        <w:t xml:space="preserve"> These forecasts show trends and breakthroughs in development of science and technology, determine possible changes in eco- nomics, social and political life of the world and in its diferent regions, help to determine crisis points.</w:t>
      </w:r>
    </w:p>
    <w:p>
      <w:pPr/>
      <w:r>
        <w:rPr>
          <w:b/>
        </w:rPr>
        <w:t>Later source:</w:t>
      </w:r>
      <w:r>
        <w:t xml:space="preserve"> STUDYING THE APPROACHES OF EUROPEAN COUNTRIES IN FORESIGHT STUDIES OF THE DEVELOPMENT OF SCIENCE AND GREEN TECHNOLOGIES FOR ADOPTING THEIR EXPERIENCE IN THE CONTEXT OF KAZAKHSTAN — https://doi.org/10.52676/1729-7885-2024-1-4-12</w:t>
      </w:r>
    </w:p>
    <w:p>
      <w:pPr/>
      <w:r>
        <w:rPr>
          <w:b/>
        </w:rPr>
        <w:t>Later source:</w:t>
      </w:r>
      <w:r>
        <w:t xml:space="preserve"> Parabolic Modeling Forecasts of Space and Time European Hydropower Production — https://doi.org/10.3390/pr12061098</w:t>
      </w:r>
    </w:p>
    <w:p>
      <w:pPr>
        <w:pStyle w:val="SourceNote"/>
      </w:pPr>
      <w:r>
        <w:rPr>
          <w:b/>
        </w:rPr>
        <w:t>Review status:</w:t>
      </w:r>
      <w:r>
        <w:t xml:space="preserve"> unchecked — possible relationship only</w:t>
      </w:r>
    </w:p>
    <w:p>
      <w:pPr>
        <w:pStyle w:val="Heading2"/>
      </w:pPr>
      <w:r>
        <w:t>278. Claim + two later sources: Above the Fog and the Fury: EU Strategic Policy Planning and the EU’s Future in Times of Global Uncertainty</w:t>
      </w:r>
    </w:p>
    <w:p>
      <w:pPr>
        <w:pStyle w:val="SourceNote"/>
      </w:pPr>
      <w:r>
        <w:rPr>
          <w:b/>
        </w:rPr>
        <w:t>Group ID:</w:t>
      </w:r>
      <w:r>
        <w:t xml:space="preserve"> group-a5ca639fa2da678072ec</w:t>
      </w:r>
    </w:p>
    <w:p>
      <w:pPr>
        <w:pStyle w:val="SourceNote"/>
      </w:pPr>
      <w:r>
        <w:rPr>
          <w:b/>
        </w:rPr>
        <w:t>Original source:</w:t>
      </w:r>
      <w:r>
        <w:t xml:space="preserve"> https://doi.org/10.54648/eerr2021005</w:t>
      </w:r>
    </w:p>
    <w:p>
      <w:pPr/>
      <w:r>
        <w:rPr>
          <w:b/>
        </w:rPr>
        <w:t>Original future claim:</w:t>
      </w:r>
      <w:r>
        <w:t xml:space="preserve"> Put simply, strategic planning and strategic foresight are disciplines that aim at identifying possible futures, mapping options and charting possible responses and strategic goals and as such support informed and sound policy-making.</w:t>
      </w:r>
    </w:p>
    <w:p>
      <w:pPr/>
      <w:r>
        <w:rPr>
          <w:b/>
        </w:rPr>
        <w:t>Later source:</w:t>
      </w:r>
      <w:r>
        <w:t xml:space="preserve"> The New Anticipatory Governance Culture for Innovation: Regulatory Foresight, Regulatory Experimentation and Regulatory Learning — https://doi.org/10.1007/s40804-025-00348-7</w:t>
      </w:r>
    </w:p>
    <w:p>
      <w:pPr/>
      <w:r>
        <w:rPr>
          <w:b/>
        </w:rPr>
        <w:t>Later source:</w:t>
      </w:r>
      <w:r>
        <w:t xml:space="preserve"> Foresight in heritage: fostering future consciousness to proactively face change — https://doi.org/10.1108/jchmsd-12-2024-0298</w:t>
      </w:r>
    </w:p>
    <w:p>
      <w:pPr>
        <w:pStyle w:val="SourceNote"/>
      </w:pPr>
      <w:r>
        <w:rPr>
          <w:b/>
        </w:rPr>
        <w:t>Review status:</w:t>
      </w:r>
      <w:r>
        <w:t xml:space="preserve"> unchecked — possible relationship only</w:t>
      </w:r>
    </w:p>
    <w:p>
      <w:pPr>
        <w:pStyle w:val="Heading2"/>
      </w:pPr>
      <w:r>
        <w:t>279. Claim + two later sources: Assessing the impacts of technology improvements on the deployment of marine energy in Europe with an energy system perspective</w:t>
      </w:r>
    </w:p>
    <w:p>
      <w:pPr>
        <w:pStyle w:val="SourceNote"/>
      </w:pPr>
      <w:r>
        <w:rPr>
          <w:b/>
        </w:rPr>
        <w:t>Group ID:</w:t>
      </w:r>
      <w:r>
        <w:t xml:space="preserve"> group-372fe66ef850384047d3</w:t>
      </w:r>
    </w:p>
    <w:p>
      <w:pPr>
        <w:pStyle w:val="SourceNote"/>
      </w:pPr>
      <w:r>
        <w:rPr>
          <w:b/>
        </w:rPr>
        <w:t>Original source:</w:t>
      </w:r>
      <w:r>
        <w:t xml:space="preserve"> https://doi.org/10.1016/j.renene.2015.11.076</w:t>
      </w:r>
    </w:p>
    <w:p>
      <w:pPr/>
      <w:r>
        <w:rPr>
          <w:b/>
        </w:rPr>
        <w:t>Original future claim:</w:t>
      </w:r>
      <w:r>
        <w:t xml:space="preserve"> Marine energy could play a significant role in the long-term energy system in Europe, and substantial resources have been allocated to research and development in this field. A sensitivity analysis is performed, varying technology costs and conversion efficiency under two different carbon-emissions paths for Europe: a current policy initiative scenario and a scenario with long-term overall CO 2 emission reductions.</w:t>
      </w:r>
    </w:p>
    <w:p>
      <w:pPr/>
      <w:r>
        <w:rPr>
          <w:b/>
        </w:rPr>
        <w:t>Later source:</w:t>
      </w:r>
      <w:r>
        <w:t xml:space="preserve"> Long‐term changes in taxonomic and functional composition of European marine fish communities — https://doi.org/10.1111/ecog.07234</w:t>
      </w:r>
    </w:p>
    <w:p>
      <w:pPr/>
      <w:r>
        <w:rPr>
          <w:b/>
        </w:rPr>
        <w:t>Later source:</w:t>
      </w:r>
      <w:r>
        <w:t xml:space="preserve"> Characteristics and trends of marine heatwaves in the northwest European Shelf and the impacts on density stratification — https://doi.org/10.5194/sp-4-osr8-7-2024</w:t>
      </w:r>
    </w:p>
    <w:p>
      <w:pPr>
        <w:pStyle w:val="SourceNote"/>
      </w:pPr>
      <w:r>
        <w:rPr>
          <w:b/>
        </w:rPr>
        <w:t>Review status:</w:t>
      </w:r>
      <w:r>
        <w:t xml:space="preserve"> unchecked — possible relationship only</w:t>
      </w:r>
    </w:p>
    <w:p>
      <w:pPr>
        <w:pStyle w:val="Heading2"/>
      </w:pPr>
      <w:r>
        <w:t>280. Claim + two later sources: Implementing Systemic Innovation Strategies for a More Sustainable Future: The Case of Three Overseas Countries and Territories</w:t>
      </w:r>
    </w:p>
    <w:p>
      <w:pPr>
        <w:pStyle w:val="SourceNote"/>
      </w:pPr>
      <w:r>
        <w:rPr>
          <w:b/>
        </w:rPr>
        <w:t>Group ID:</w:t>
      </w:r>
      <w:r>
        <w:t xml:space="preserve"> group-5acfa21cdaf600422e82</w:t>
      </w:r>
    </w:p>
    <w:p>
      <w:pPr>
        <w:pStyle w:val="SourceNote"/>
      </w:pPr>
      <w:r>
        <w:rPr>
          <w:b/>
        </w:rPr>
        <w:t>Original source:</w:t>
      </w:r>
      <w:r>
        <w:t xml:space="preserve"> https://doi.org/10.3389/frma.2021.801789</w:t>
      </w:r>
    </w:p>
    <w:p>
      <w:pPr/>
      <w:r>
        <w:rPr>
          <w:b/>
        </w:rPr>
        <w:t>Original future claim:</w:t>
      </w:r>
      <w:r>
        <w:t xml:space="preserve"> We conclude by discussing the potential implications of this foresight approach for the sustainable development and transformation of other less-favoured regions and territories.</w:t>
      </w:r>
    </w:p>
    <w:p>
      <w:pPr/>
      <w:r>
        <w:rPr>
          <w:b/>
        </w:rPr>
        <w:t>Later source:</w:t>
      </w:r>
      <w:r>
        <w:t xml:space="preserve"> Strategic Foresight for FinTech Governance: A Scenario-Based MCDA Approach for Kuwait — https://doi.org/10.3390/fintech5010008</w:t>
      </w:r>
    </w:p>
    <w:p>
      <w:pPr/>
      <w:r>
        <w:rPr>
          <w:b/>
        </w:rPr>
        <w:t>Later source:</w:t>
      </w:r>
      <w:r>
        <w:t xml:space="preserve"> The Three Fashion Times: A multitemporal framework towards a fashion foresight approach — https://doi.org/10.1016/j.futures.2026.103772</w:t>
      </w:r>
    </w:p>
    <w:p>
      <w:pPr>
        <w:pStyle w:val="SourceNote"/>
      </w:pPr>
      <w:r>
        <w:rPr>
          <w:b/>
        </w:rPr>
        <w:t>Review status:</w:t>
      </w:r>
      <w:r>
        <w:t xml:space="preserve"> unchecked — possible relationship only</w:t>
      </w:r>
    </w:p>
    <w:p>
      <w:pPr>
        <w:pStyle w:val="Heading2"/>
      </w:pPr>
      <w:r>
        <w:t>281. Claim + two later sources: Dynamics of the land use, land use change, and forestry sink in the European Union: the impacts of energy and climate targets for 2030</w:t>
      </w:r>
    </w:p>
    <w:p>
      <w:pPr>
        <w:pStyle w:val="SourceNote"/>
      </w:pPr>
      <w:r>
        <w:rPr>
          <w:b/>
        </w:rPr>
        <w:t>Group ID:</w:t>
      </w:r>
      <w:r>
        <w:t xml:space="preserve"> group-12263a9c8fdb221a6594</w:t>
      </w:r>
    </w:p>
    <w:p>
      <w:pPr>
        <w:pStyle w:val="SourceNote"/>
      </w:pPr>
      <w:r>
        <w:rPr>
          <w:b/>
        </w:rPr>
        <w:t>Original source:</w:t>
      </w:r>
      <w:r>
        <w:t xml:space="preserve"> https://doi.org/10.1007/s10584-016-1729-7</w:t>
      </w:r>
    </w:p>
    <w:p>
      <w:pPr/>
      <w:r>
        <w:rPr>
          <w:b/>
        </w:rPr>
        <w:t>Original future claim:</w:t>
      </w:r>
      <w:r>
        <w:t xml:space="preserve"> We show that implementing a 40 % GHG emission reduction target by 2030 may only have a small negative impact on the domestic LULUCF sink if the additional biomass demand for energy is mostly met through ligno-cellulosic energy crops rather than forest removals. However, if the increased biomass demand were met through higher rates of forest harvest removals, a more negative impact on the LULUCF sink could be expected.</w:t>
      </w:r>
    </w:p>
    <w:p>
      <w:pPr/>
      <w:r>
        <w:rPr>
          <w:b/>
        </w:rPr>
        <w:t>Later source:</w:t>
      </w:r>
      <w:r>
        <w:t xml:space="preserve"> European environmental sustainability through unraveling the nexus of total energy consumption, value addition, and GHG emissions in agriculture — https://doi.org/10.1177/0958305x261438604</w:t>
      </w:r>
    </w:p>
    <w:p>
      <w:pPr/>
      <w:r>
        <w:rPr>
          <w:b/>
        </w:rPr>
        <w:t>Later source:</w:t>
      </w:r>
      <w:r>
        <w:t xml:space="preserve"> Decarbonizing European refineries: GHG accounting framework and potential assessment for co-processed biofuels — https://doi.org/10.1016/j.enconman.2026.122090</w:t>
      </w:r>
    </w:p>
    <w:p>
      <w:pPr>
        <w:pStyle w:val="SourceNote"/>
      </w:pPr>
      <w:r>
        <w:rPr>
          <w:b/>
        </w:rPr>
        <w:t>Review status:</w:t>
      </w:r>
      <w:r>
        <w:t xml:space="preserve"> unchecked — possible relationship only</w:t>
      </w:r>
    </w:p>
    <w:p>
      <w:pPr>
        <w:pStyle w:val="Heading2"/>
      </w:pPr>
      <w:r>
        <w:t>282. Claim + two later sources: The future of the drug phenomenon and drug monitoring in Europe until 2030</w:t>
      </w:r>
    </w:p>
    <w:p>
      <w:pPr>
        <w:pStyle w:val="SourceNote"/>
      </w:pPr>
      <w:r>
        <w:rPr>
          <w:b/>
        </w:rPr>
        <w:t>Group ID:</w:t>
      </w:r>
      <w:r>
        <w:t xml:space="preserve"> group-a61374f139e582a267a5</w:t>
      </w:r>
    </w:p>
    <w:p>
      <w:pPr>
        <w:pStyle w:val="SourceNote"/>
      </w:pPr>
      <w:r>
        <w:rPr>
          <w:b/>
        </w:rPr>
        <w:t>Original source:</w:t>
      </w:r>
      <w:r>
        <w:t xml:space="preserve"> https://doi.org/10.1093/eurpub/ckab165.648</w:t>
      </w:r>
    </w:p>
    <w:p>
      <w:pPr/>
      <w:r>
        <w:rPr>
          <w:b/>
        </w:rPr>
        <w:t>Original future claim:</w:t>
      </w:r>
      <w:r>
        <w:t xml:space="preserve"> The EMCDDA piloted the usefulness of the foresight approach for transforming the agency and its monitoring activities into a more sensitive and agile system, which could, in turn, help increase Europe's preparedness for future challenges in health and security areas. It analysed global drivers of change that may have in the future implications for the drugs situation, drug monitoring and related responses.</w:t>
      </w:r>
    </w:p>
    <w:p>
      <w:pPr/>
      <w:r>
        <w:rPr>
          <w:b/>
        </w:rPr>
        <w:t>Later source:</w:t>
      </w:r>
      <w:r>
        <w:t xml:space="preserve"> Artigos de pesquisa original — https://doi.org/10.22533/at.ed.15953226210110</w:t>
      </w:r>
    </w:p>
    <w:p>
      <w:pPr/>
      <w:r>
        <w:rPr>
          <w:b/>
        </w:rPr>
        <w:t>Later source:</w:t>
      </w:r>
      <w:r>
        <w:t xml:space="preserve"> Suicidal behaviour and resilience-related factors among adolescents in Poland and war-affected Western Ukraine — https://doi.org/10.1186/s13034-026-01126-0</w:t>
      </w:r>
    </w:p>
    <w:p>
      <w:pPr>
        <w:pStyle w:val="SourceNote"/>
      </w:pPr>
      <w:r>
        <w:rPr>
          <w:b/>
        </w:rPr>
        <w:t>Review status:</w:t>
      </w:r>
      <w:r>
        <w:t xml:space="preserve"> unchecked — possible relationship only</w:t>
      </w:r>
    </w:p>
    <w:p>
      <w:pPr>
        <w:pStyle w:val="Heading2"/>
      </w:pPr>
      <w:r>
        <w:t>283. Claim + two later sources: Macrofinancial linkages in Europe: Evidence from quantile local projections</w:t>
      </w:r>
    </w:p>
    <w:p>
      <w:pPr>
        <w:pStyle w:val="SourceNote"/>
      </w:pPr>
      <w:r>
        <w:rPr>
          <w:b/>
        </w:rPr>
        <w:t>Group ID:</w:t>
      </w:r>
      <w:r>
        <w:t xml:space="preserve"> group-9e3347c4ae08b7f78188</w:t>
      </w:r>
    </w:p>
    <w:p>
      <w:pPr>
        <w:pStyle w:val="SourceNote"/>
      </w:pPr>
      <w:r>
        <w:rPr>
          <w:b/>
        </w:rPr>
        <w:t>Original source:</w:t>
      </w:r>
      <w:r>
        <w:t xml:space="preserve"> https://doi.org/10.1002/ijfe.2080</w:t>
      </w:r>
    </w:p>
    <w:p>
      <w:pPr/>
      <w:r>
        <w:rPr>
          <w:b/>
        </w:rPr>
        <w:t>Original future claim:</w:t>
      </w:r>
      <w:r>
        <w:t xml:space="preserve"> We find that global economic policy uncertainty index dampens the growth rates of industrial production in Austria, France, Italy, Luxembourg and Slovakia, which calls for specific measures to mitigate this adverse effect at the national level, for example, by curtailing yellow journalism, populist ideas and disbeliefs. Second, we pursue a hybrid econometric approach to capture a presumably nonlinear nature of these linkages by building on different quantiles of the data series and estimating impulse responses from smooth local projections (Barnichon and Brownlees, Review of Economics and Statistics , 101(3), 522–530, 2019).</w:t>
      </w:r>
    </w:p>
    <w:p>
      <w:pPr/>
      <w:r>
        <w:rPr>
          <w:b/>
        </w:rPr>
        <w:t>Later source:</w:t>
      </w:r>
      <w:r>
        <w:t xml:space="preserve"> The Economic Impact of Russia's Invasion of Ukraine on European Countries – a SVAR Approach — https://doi.org/10.1111/roie.70064</w:t>
      </w:r>
    </w:p>
    <w:p>
      <w:pPr/>
      <w:r>
        <w:rPr>
          <w:b/>
        </w:rPr>
        <w:t>Later source:</w:t>
      </w:r>
      <w:r>
        <w:t xml:space="preserve"> Extreme weather in Europe: Determinants and economic impact — https://doi.org/10.1016/j.euroecorev.2026.105327</w:t>
      </w:r>
    </w:p>
    <w:p>
      <w:pPr>
        <w:pStyle w:val="SourceNote"/>
      </w:pPr>
      <w:r>
        <w:rPr>
          <w:b/>
        </w:rPr>
        <w:t>Review status:</w:t>
      </w:r>
      <w:r>
        <w:t xml:space="preserve"> unchecked — possible relationship only</w:t>
      </w:r>
    </w:p>
    <w:p>
      <w:pPr>
        <w:pStyle w:val="Heading2"/>
      </w:pPr>
      <w:r>
        <w:t>284. Claim + two later sources: Future Precipitation Scenarios over Italy</w:t>
      </w:r>
    </w:p>
    <w:p>
      <w:pPr>
        <w:pStyle w:val="SourceNote"/>
      </w:pPr>
      <w:r>
        <w:rPr>
          <w:b/>
        </w:rPr>
        <w:t>Group ID:</w:t>
      </w:r>
      <w:r>
        <w:t xml:space="preserve"> group-18426a979fd93d12d963</w:t>
      </w:r>
    </w:p>
    <w:p>
      <w:pPr>
        <w:pStyle w:val="SourceNote"/>
      </w:pPr>
      <w:r>
        <w:rPr>
          <w:b/>
        </w:rPr>
        <w:t>Original source:</w:t>
      </w:r>
      <w:r>
        <w:t xml:space="preserve"> https://doi.org/10.3390/w13101335</w:t>
      </w:r>
    </w:p>
    <w:p>
      <w:pPr/>
      <w:r>
        <w:rPr>
          <w:b/>
        </w:rPr>
        <w:t>Original future claim:</w:t>
      </w:r>
      <w:r>
        <w:t xml:space="preserve"> After filtering the models with limited performances in reconstructing the current climate, the multi-model climate change scenarios were characterized by comparing the ensemble mean values computed for the base-line period (1971–2000) with those elaborated for the short- (2021–2050), medium- (2041–2070) and long-term (2071–2100). The investigations are made on the basis of a set of high-resolution Euro-CORDEX models (horizontal resolution 0.11°, about 12 km) to infer quantitative assessments about the danger of climate changes under three different Representative Concentration Pathways (RCPs): business as usual scenario, i.e., without a reduction in green-house gas emissions (RCP 8.5), medium stabilization scenario (RCP 4.5) and mitigation scenario (RCP 2.6).</w:t>
      </w:r>
    </w:p>
    <w:p>
      <w:pPr/>
      <w:r>
        <w:rPr>
          <w:b/>
        </w:rPr>
        <w:t>Later source:</w:t>
      </w:r>
      <w:r>
        <w:t xml:space="preserve"> High-resolution modelling of organic aerosol over Europe: exploring spatial and temporal variability and drivers — https://doi.org/10.1016/j.envint.2026.110143</w:t>
      </w:r>
    </w:p>
    <w:p>
      <w:pPr/>
      <w:r>
        <w:rPr>
          <w:b/>
        </w:rPr>
        <w:t>Later source:</w:t>
      </w:r>
      <w:r>
        <w:t xml:space="preserve"> European Ground Motion Service: GNSS model 2015-2025 (vector), Europe, 2-yearly, Oct. 2026 — https://doi.org/10.2909/836a384f-bcd1-4da3-9ed8-ac2f1f292c55</w:t>
      </w:r>
    </w:p>
    <w:p>
      <w:pPr>
        <w:pStyle w:val="SourceNote"/>
      </w:pPr>
      <w:r>
        <w:rPr>
          <w:b/>
        </w:rPr>
        <w:t>Review status:</w:t>
      </w:r>
      <w:r>
        <w:t xml:space="preserve"> unchecked — possible relationship only</w:t>
      </w:r>
    </w:p>
    <w:p>
      <w:pPr>
        <w:pStyle w:val="Heading2"/>
      </w:pPr>
      <w:r>
        <w:t>285. Claim + two later sources: Foresighting organizational learning equilibrium in European universities</w:t>
      </w:r>
    </w:p>
    <w:p>
      <w:pPr>
        <w:pStyle w:val="SourceNote"/>
      </w:pPr>
      <w:r>
        <w:rPr>
          <w:b/>
        </w:rPr>
        <w:t>Group ID:</w:t>
      </w:r>
      <w:r>
        <w:t xml:space="preserve"> group-0819d25413cb749bd81f</w:t>
      </w:r>
    </w:p>
    <w:p>
      <w:pPr>
        <w:pStyle w:val="SourceNote"/>
      </w:pPr>
      <w:r>
        <w:rPr>
          <w:b/>
        </w:rPr>
        <w:t>Original source:</w:t>
      </w:r>
      <w:r>
        <w:t xml:space="preserve"> https://doi.org/10.1007/s40309-016-0108-y</w:t>
      </w:r>
    </w:p>
    <w:p>
      <w:pPr/>
      <w:r>
        <w:rPr>
          <w:b/>
        </w:rPr>
        <w:t>Original future claim:</w:t>
      </w:r>
      <w:r>
        <w:t xml:space="preserve"> Presently, the rate of change (and especially exogenous change) have reached a level that has given researchers and managers alike reason to reflect upon and be concerned about whether this balance could or should be maintained in the future. In this article, we use a classical organizational learning model to envision and simulate how a primary driver (mutual learning) in the balance between exploration and exploitation of knowledge in universities may evolve over time.</w:t>
      </w:r>
    </w:p>
    <w:p>
      <w:pPr/>
      <w:r>
        <w:rPr>
          <w:b/>
        </w:rPr>
        <w:t>Later source:</w:t>
      </w:r>
      <w:r>
        <w:t xml:space="preserve"> Tools for pathogen genetic surveillance: Lessons from the ash dieback invasion of Europe — https://doi.org/10.1371/journal.ppat.1012182</w:t>
      </w:r>
    </w:p>
    <w:p>
      <w:pPr/>
      <w:r>
        <w:rPr>
          <w:b/>
        </w:rPr>
        <w:t>Later source:</w:t>
      </w:r>
      <w:r>
        <w:t xml:space="preserve"> Effects of Climate Change on Areas Suitable for Maize Cultivation and Aflatoxin Contamination in Europe — https://doi.org/10.3390/toxins15100599</w:t>
      </w:r>
    </w:p>
    <w:p>
      <w:pPr>
        <w:pStyle w:val="SourceNote"/>
      </w:pPr>
      <w:r>
        <w:rPr>
          <w:b/>
        </w:rPr>
        <w:t>Review status:</w:t>
      </w:r>
      <w:r>
        <w:t xml:space="preserve"> unchecked — possible relationship only</w:t>
      </w:r>
    </w:p>
    <w:p>
      <w:pPr>
        <w:pStyle w:val="Heading2"/>
      </w:pPr>
      <w:r>
        <w:t>286. Claim + two later sources: Backcasting scenarios for Finland 2050 of low emissions</w:t>
      </w:r>
    </w:p>
    <w:p>
      <w:pPr>
        <w:pStyle w:val="SourceNote"/>
      </w:pPr>
      <w:r>
        <w:rPr>
          <w:b/>
        </w:rPr>
        <w:t>Group ID:</w:t>
      </w:r>
      <w:r>
        <w:t xml:space="preserve"> group-6bf7580dd849c69efef5</w:t>
      </w:r>
    </w:p>
    <w:p>
      <w:pPr>
        <w:pStyle w:val="SourceNote"/>
      </w:pPr>
      <w:r>
        <w:rPr>
          <w:b/>
        </w:rPr>
        <w:t>Original source:</w:t>
      </w:r>
      <w:r>
        <w:t xml:space="preserve"> https://doi.org/10.1108/14636681211256099</w:t>
      </w:r>
    </w:p>
    <w:p>
      <w:pPr/>
      <w:r>
        <w:rPr>
          <w:b/>
        </w:rPr>
        <w:t>Original future claim:</w:t>
      </w:r>
      <w:r>
        <w:t xml:space="preserve"> It is important to note, however, that in the way the exercise was carried out in this case, it is only possible to view future development through qualitative arguments. Purpose The objective of this paper is to present an example on how futures studies methodologies, especially backcasting, can be used to assist public policy formulation.</w:t>
      </w:r>
    </w:p>
    <w:p>
      <w:pPr/>
      <w:r>
        <w:rPr>
          <w:b/>
        </w:rPr>
        <w:t>Later source:</w:t>
      </w:r>
      <w:r>
        <w:t xml:space="preserve"> Regulatory scoping exercise for the future adoption of autonomous inland ships in Europe — https://doi.org/10.1186/s41072-023-00160-x</w:t>
      </w:r>
    </w:p>
    <w:p>
      <w:pPr/>
      <w:r>
        <w:rPr>
          <w:b/>
        </w:rPr>
        <w:t>Later source:</w:t>
      </w:r>
      <w:r>
        <w:t xml:space="preserve"> Bronchiectasis in Europe: data on disease characteristics from the European Bronchiectasis registry (EMBARC) — https://doi.org/10.1016/s2213-2600(23)00093-0</w:t>
      </w:r>
    </w:p>
    <w:p>
      <w:pPr>
        <w:pStyle w:val="SourceNote"/>
      </w:pPr>
      <w:r>
        <w:rPr>
          <w:b/>
        </w:rPr>
        <w:t>Review status:</w:t>
      </w:r>
      <w:r>
        <w:t xml:space="preserve"> unchecked — possible relationship only</w:t>
      </w:r>
    </w:p>
    <w:p>
      <w:pPr>
        <w:pStyle w:val="Heading2"/>
      </w:pPr>
      <w:r>
        <w:t>287. Claim + two later sources: Futures of robotics. Human work in digital transformation</w:t>
      </w:r>
    </w:p>
    <w:p>
      <w:pPr>
        <w:pStyle w:val="SourceNote"/>
      </w:pPr>
      <w:r>
        <w:rPr>
          <w:b/>
        </w:rPr>
        <w:t>Group ID:</w:t>
      </w:r>
      <w:r>
        <w:t xml:space="preserve"> group-5c74750805e98fbe1093</w:t>
      </w:r>
    </w:p>
    <w:p>
      <w:pPr>
        <w:pStyle w:val="SourceNote"/>
      </w:pPr>
      <w:r>
        <w:rPr>
          <w:b/>
        </w:rPr>
        <w:t>Original source:</w:t>
      </w:r>
      <w:r>
        <w:t xml:space="preserve"> https://doi.org/10.1504/ijtm.2017.083074</w:t>
      </w:r>
    </w:p>
    <w:p>
      <w:pPr/>
      <w:r>
        <w:rPr>
          <w:b/>
        </w:rPr>
        <w:t>Original future claim:</w:t>
      </w:r>
      <w:r>
        <w:t xml:space="preserve"> We evaluate key future trends in the field of robotics and analyse different scenarios regarding the futures of human beings and work life.</w:t>
      </w:r>
    </w:p>
    <w:p>
      <w:pPr/>
      <w:r>
        <w:rPr>
          <w:b/>
        </w:rPr>
        <w:t>Later source:</w:t>
      </w:r>
      <w:r>
        <w:t xml:space="preserve"> Evaluating rainfall trend in four key stations of the Northwestern Himalayan region, Uttarakhand: utilizing innovative graphical approaches for trend assessment — https://doi.org/10.54302/mausam.v77i2.6492</w:t>
      </w:r>
    </w:p>
    <w:p>
      <w:pPr/>
      <w:r>
        <w:rPr>
          <w:b/>
        </w:rPr>
        <w:t>Later source:</w:t>
      </w:r>
      <w:r>
        <w:t xml:space="preserve"> Closed-Loop Electrical Control Systems for Agricultural Machinery: State of the Art and Future Trends in Key Technologies, Typical Applications, and Performance Evaluation — https://doi.org/10.3390/pr14203366</w:t>
      </w:r>
    </w:p>
    <w:p>
      <w:pPr>
        <w:pStyle w:val="SourceNote"/>
      </w:pPr>
      <w:r>
        <w:rPr>
          <w:b/>
        </w:rPr>
        <w:t>Review status:</w:t>
      </w:r>
      <w:r>
        <w:t xml:space="preserve"> unchecked — possible relationship only</w:t>
      </w:r>
    </w:p>
    <w:p>
      <w:pPr>
        <w:pStyle w:val="Heading2"/>
      </w:pPr>
      <w:r>
        <w:t>288. Claim + two later sources: Towards net zero CO2 in 2050: An emission reduction pathway for organic soils in Germany</w:t>
      </w:r>
    </w:p>
    <w:p>
      <w:pPr>
        <w:pStyle w:val="SourceNote"/>
      </w:pPr>
      <w:r>
        <w:rPr>
          <w:b/>
        </w:rPr>
        <w:t>Group ID:</w:t>
      </w:r>
      <w:r>
        <w:t xml:space="preserve"> group-adb31e0d02c8f6c8fc01</w:t>
      </w:r>
    </w:p>
    <w:p>
      <w:pPr>
        <w:pStyle w:val="SourceNote"/>
      </w:pPr>
      <w:r>
        <w:rPr>
          <w:b/>
        </w:rPr>
        <w:t>Original source:</w:t>
      </w:r>
      <w:r>
        <w:t xml:space="preserve"> https://doi.org/10.19189/map.2020.snpg.sta.1951</w:t>
      </w:r>
    </w:p>
    <w:p>
      <w:pPr/>
      <w:r>
        <w:rPr>
          <w:b/>
        </w:rPr>
        <w:t>Original future claim:</w:t>
      </w:r>
      <w:r>
        <w:t xml:space="preserve"> The more gradual pathway 1 requires the following interim (2030, 2040) and ultimate (2050) milestones: Cropland use stopped and all Cropland converted to Grassland by 2030; Water tables raised to the soil surface on 15 % / 60 % / 100 % of all Grassland, on 50 % / 75 % / 100 % of all Forest land, and ultimately on 2/3 of all Settlements and on 100 % of all Wetlands. Also a more direct pathway 2 without interim ‘moist’ water tables and the climate effect (radiative forcing) of different scenarios is presented.</w:t>
      </w:r>
    </w:p>
    <w:p>
      <w:pPr/>
      <w:r>
        <w:rPr>
          <w:b/>
        </w:rPr>
        <w:t>Later source:</w:t>
      </w:r>
      <w:r>
        <w:t xml:space="preserve"> Energy pathway variety and the progress of the energy transition in European countries — https://doi.org/10.48550/arxiv.2609.09607</w:t>
      </w:r>
    </w:p>
    <w:p>
      <w:pPr/>
      <w:r>
        <w:rPr>
          <w:b/>
        </w:rPr>
        <w:t>Later source:</w:t>
      </w:r>
      <w:r>
        <w:t xml:space="preserve"> Examining innovative designs of agri-environmental schemes in Europe: A case comparison of impact pathways — https://doi.org/10.1016/j.ecoser.2025.101728</w:t>
      </w:r>
    </w:p>
    <w:p>
      <w:pPr>
        <w:pStyle w:val="SourceNote"/>
      </w:pPr>
      <w:r>
        <w:rPr>
          <w:b/>
        </w:rPr>
        <w:t>Review status:</w:t>
      </w:r>
      <w:r>
        <w:t xml:space="preserve"> unchecked — possible relationship only</w:t>
      </w:r>
    </w:p>
    <w:p>
      <w:pPr>
        <w:pStyle w:val="Heading2"/>
      </w:pPr>
      <w:r>
        <w:t>289. Claim + two later sources: Conservation biology research priorities for 2050: A Central-Eastern European perspective</w:t>
      </w:r>
    </w:p>
    <w:p>
      <w:pPr>
        <w:pStyle w:val="SourceNote"/>
      </w:pPr>
      <w:r>
        <w:rPr>
          <w:b/>
        </w:rPr>
        <w:t>Group ID:</w:t>
      </w:r>
      <w:r>
        <w:t xml:space="preserve"> group-ef117100028fa2943c65</w:t>
      </w:r>
    </w:p>
    <w:p>
      <w:pPr>
        <w:pStyle w:val="SourceNote"/>
      </w:pPr>
      <w:r>
        <w:rPr>
          <w:b/>
        </w:rPr>
        <w:t>Original source:</w:t>
      </w:r>
      <w:r>
        <w:t xml:space="preserve"> https://doi.org/10.1016/j.biocon.2021.109396</w:t>
      </w:r>
    </w:p>
    <w:p>
      <w:pPr/>
      <w:r>
        <w:rPr>
          <w:b/>
        </w:rPr>
        <w:t>Original future claim:</w:t>
      </w:r>
      <w:r>
        <w:t xml:space="preserve"> We used the possible future statements from the Hungarian Environmental Foresight Report for 2050 which identified region-specific problems. To highlight likely future environmental and conservation questions, in this study we asked researchers from the fields of ecology and conservation to define research questions addressing these future statements in line with international research trends and challenges.</w:t>
      </w:r>
    </w:p>
    <w:p>
      <w:pPr/>
      <w:r>
        <w:rPr>
          <w:b/>
        </w:rPr>
        <w:t>Later source:</w:t>
      </w:r>
      <w:r>
        <w:t xml:space="preserve"> Envisioning the future of European mountain value chains: a participatory foresight approach — https://doi.org/10.1007/s10113-025-02454-1</w:t>
      </w:r>
    </w:p>
    <w:p>
      <w:pPr/>
      <w:r>
        <w:rPr>
          <w:b/>
        </w:rPr>
        <w:t>Later source:</w:t>
      </w:r>
      <w:r>
        <w:t xml:space="preserve"> The enrichment of post-growth future alternatives for Europe using an online integral foresight methodology — https://doi.org/10.1186/s40309-026-00282-y</w:t>
      </w:r>
    </w:p>
    <w:p>
      <w:pPr>
        <w:pStyle w:val="SourceNote"/>
      </w:pPr>
      <w:r>
        <w:rPr>
          <w:b/>
        </w:rPr>
        <w:t>Review status:</w:t>
      </w:r>
      <w:r>
        <w:t xml:space="preserve"> unchecked — possible relationship only</w:t>
      </w:r>
    </w:p>
    <w:p>
      <w:pPr>
        <w:pStyle w:val="Heading2"/>
      </w:pPr>
      <w:r>
        <w:t>290. Claim + two later sources: Financing Innovations for the Renewable Energy Transition in Europe</w:t>
      </w:r>
    </w:p>
    <w:p>
      <w:pPr>
        <w:pStyle w:val="SourceNote"/>
      </w:pPr>
      <w:r>
        <w:rPr>
          <w:b/>
        </w:rPr>
        <w:t>Group ID:</w:t>
      </w:r>
      <w:r>
        <w:t xml:space="preserve"> group-1d3ac342fd1ae41a02a7</w:t>
      </w:r>
    </w:p>
    <w:p>
      <w:pPr>
        <w:pStyle w:val="SourceNote"/>
      </w:pPr>
      <w:r>
        <w:rPr>
          <w:b/>
        </w:rPr>
        <w:t>Original source:</w:t>
      </w:r>
      <w:r>
        <w:t xml:space="preserve"> https://doi.org/10.3390/en9120990</w:t>
      </w:r>
    </w:p>
    <w:p>
      <w:pPr/>
      <w:r>
        <w:rPr>
          <w:b/>
        </w:rPr>
        <w:t>Original future claim:</w:t>
      </w:r>
      <w:r>
        <w:t xml:space="preserve"> Results indicate that Member States in Europe currently tend to fund renewables more than the European Commission, but funding from both sources is expected to increase in the future. Both scenarios are compared to the European 2030 climate and energy framework target sets.</w:t>
      </w:r>
    </w:p>
    <w:p>
      <w:pPr/>
      <w:r>
        <w:rPr>
          <w:b/>
        </w:rPr>
        <w:t>Later source:</w:t>
      </w:r>
      <w:r>
        <w:t xml:space="preserve"> The Budgetary and Economic Impact of Taxation in the Member States of the European Union — https://openalex.org/W7169690466</w:t>
      </w:r>
    </w:p>
    <w:p>
      <w:pPr/>
      <w:r>
        <w:rPr>
          <w:b/>
        </w:rPr>
        <w:t>Later source:</w:t>
      </w:r>
      <w:r>
        <w:t xml:space="preserve"> Maritime Passenger Mobility in the European Union: Trends, Recovery and a Typology of Member States — https://doi.org/10.35808/ersj/4439</w:t>
      </w:r>
    </w:p>
    <w:p>
      <w:pPr>
        <w:pStyle w:val="SourceNote"/>
      </w:pPr>
      <w:r>
        <w:rPr>
          <w:b/>
        </w:rPr>
        <w:t>Review status:</w:t>
      </w:r>
      <w:r>
        <w:t xml:space="preserve"> unchecked — possible relationship only</w:t>
      </w:r>
    </w:p>
    <w:p>
      <w:pPr>
        <w:pStyle w:val="Heading2"/>
      </w:pPr>
      <w:r>
        <w:t>291. Claim + two later sources: The Selection of Intermodal Transport System Scenarios in the Function of Southeastern Europe Regional Development</w:t>
      </w:r>
    </w:p>
    <w:p>
      <w:pPr>
        <w:pStyle w:val="SourceNote"/>
      </w:pPr>
      <w:r>
        <w:rPr>
          <w:b/>
        </w:rPr>
        <w:t>Group ID:</w:t>
      </w:r>
      <w:r>
        <w:t xml:space="preserve"> group-8e8831112d89c0baf201</w:t>
      </w:r>
    </w:p>
    <w:p>
      <w:pPr>
        <w:pStyle w:val="SourceNote"/>
      </w:pPr>
      <w:r>
        <w:rPr>
          <w:b/>
        </w:rPr>
        <w:t>Original source:</w:t>
      </w:r>
      <w:r>
        <w:t xml:space="preserve"> https://doi.org/10.3390/su13105590</w:t>
      </w:r>
    </w:p>
    <w:p>
      <w:pPr/>
      <w:r>
        <w:rPr>
          <w:b/>
        </w:rPr>
        <w:t>Original future claim:</w:t>
      </w:r>
      <w:r>
        <w:t xml:space="preserve"> Six different potential scenarios that differ in the network configuration, the required level of logistics infrastructure development, the role of different IT terminal categories, the involvement of different transportation modes, and goods flows’ transformation degree, are defined.</w:t>
      </w:r>
    </w:p>
    <w:p>
      <w:pPr/>
      <w:r>
        <w:rPr>
          <w:b/>
        </w:rPr>
        <w:t>Later source:</w:t>
      </w:r>
      <w:r>
        <w:t xml:space="preserve"> European forest carbon and biodiversity policies have a limited win-win potential — https://doi.org/10.1038/s41467-026-68668-x</w:t>
      </w:r>
    </w:p>
    <w:p>
      <w:pPr/>
      <w:r>
        <w:rPr>
          <w:b/>
        </w:rPr>
        <w:t>Later source:</w:t>
      </w:r>
      <w:r>
        <w:t xml:space="preserve"> Assessing the effects of restoration and conservation on gaseous carbon fluxes and climate mitigation potential across six European coastal wetlands — https://doi.org/10.1016/j.ecoleng.2026.108080</w:t>
      </w:r>
    </w:p>
    <w:p>
      <w:pPr>
        <w:pStyle w:val="SourceNote"/>
      </w:pPr>
      <w:r>
        <w:rPr>
          <w:b/>
        </w:rPr>
        <w:t>Review status:</w:t>
      </w:r>
      <w:r>
        <w:t xml:space="preserve"> unchecked — possible relationship only</w:t>
      </w:r>
    </w:p>
    <w:p>
      <w:pPr>
        <w:pStyle w:val="Heading2"/>
      </w:pPr>
      <w:r>
        <w:t>292. Claim + two later sources: Medium-term forecast of European economic sustainable growth using Markov chains</w:t>
      </w:r>
    </w:p>
    <w:p>
      <w:pPr>
        <w:pStyle w:val="SourceNote"/>
      </w:pPr>
      <w:r>
        <w:rPr>
          <w:b/>
        </w:rPr>
        <w:t>Group ID:</w:t>
      </w:r>
      <w:r>
        <w:t xml:space="preserve"> group-b6b8ff28243d3b0f5825</w:t>
      </w:r>
    </w:p>
    <w:p>
      <w:pPr>
        <w:pStyle w:val="SourceNote"/>
      </w:pPr>
      <w:r>
        <w:rPr>
          <w:b/>
        </w:rPr>
        <w:t>Original source:</w:t>
      </w:r>
      <w:r>
        <w:t xml:space="preserve"> https://doi.org/10.18045/zbefri.2020.2.585</w:t>
      </w:r>
    </w:p>
    <w:p>
      <w:pPr/>
      <w:r>
        <w:rPr>
          <w:b/>
        </w:rPr>
        <w:t>Original future claim:</w:t>
      </w:r>
      <w:r>
        <w:t xml:space="preserve"> Economic growth is a frequently analyzed aspect, both from theoretical and empirical standpoint, under the impact of the influence factors, while the issue of economic growth was studied by applying different methods and obtaining different results.In the case of EU28, the problem of economic convergence has to take into consideration the fact that the Member States are heterogeneous in terms of development and rate of growth.In the present paper, by using Markov chains we have made, a forecast of the GDP per capita evolution for the economies of the EU28 members, starting from the known time horizon -1997-2016 as to approach a forecast horizon -2017-2028.The results obtained show that the convergence process will be a slow one in the case of some Member States, especially in the Central and Eastern Europe.The future economic dynamics will intensify growth</w:t>
      </w:r>
    </w:p>
    <w:p>
      <w:pPr/>
      <w:r>
        <w:rPr>
          <w:b/>
        </w:rPr>
        <w:t>Later source:</w:t>
      </w:r>
      <w:r>
        <w:t xml:space="preserve"> The impact of digitalization on the economic growth of the European Union: an empirical study — https://doi.org/10.15587/1729-4061.2024.304256</w:t>
      </w:r>
    </w:p>
    <w:p>
      <w:pPr/>
      <w:r>
        <w:rPr>
          <w:b/>
        </w:rPr>
        <w:t>Later source:</w:t>
      </w:r>
      <w:r>
        <w:t xml:space="preserve"> Digitalisation and Economic Growth in the European Union — https://doi.org/10.3390/electronics12071718</w:t>
      </w:r>
    </w:p>
    <w:p>
      <w:pPr>
        <w:pStyle w:val="SourceNote"/>
      </w:pPr>
      <w:r>
        <w:rPr>
          <w:b/>
        </w:rPr>
        <w:t>Review status:</w:t>
      </w:r>
      <w:r>
        <w:t xml:space="preserve"> unchecked — possible relationship only</w:t>
      </w:r>
    </w:p>
    <w:p>
      <w:pPr>
        <w:pStyle w:val="Heading2"/>
      </w:pPr>
      <w:r>
        <w:t>293. Claim + two later sources: What We Hope, What We Fear, What We Expect: Possible Scenarios for the Future of the Eurozone</w:t>
      </w:r>
    </w:p>
    <w:p>
      <w:pPr>
        <w:pStyle w:val="SourceNote"/>
      </w:pPr>
      <w:r>
        <w:rPr>
          <w:b/>
        </w:rPr>
        <w:t>Group ID:</w:t>
      </w:r>
      <w:r>
        <w:t xml:space="preserve"> group-5bfe953d29b97db1ae61</w:t>
      </w:r>
    </w:p>
    <w:p>
      <w:pPr>
        <w:pStyle w:val="SourceNote"/>
      </w:pPr>
      <w:r>
        <w:rPr>
          <w:b/>
        </w:rPr>
        <w:t>Original source:</w:t>
      </w:r>
      <w:r>
        <w:t xml:space="preserve"> https://doi.org/10.1007/s12290-012-0210-x</w:t>
      </w:r>
    </w:p>
    <w:p>
      <w:pPr/>
      <w:r>
        <w:rPr>
          <w:b/>
        </w:rPr>
        <w:t>Original future claim:</w:t>
      </w:r>
      <w:r>
        <w:t xml:space="preserve"> Starting with the reforms of European economic governance hitherto agreed, this article develops three scenarios for the eurozone and explores their possible impact on the EU in general.</w:t>
      </w:r>
    </w:p>
    <w:p>
      <w:pPr/>
      <w:r>
        <w:rPr>
          <w:b/>
        </w:rPr>
        <w:t>Later source:</w:t>
      </w:r>
      <w:r>
        <w:t xml:space="preserve"> The reform of the European Stability Mechanism — https://doi.org/10.1093/cmlj/kmaa001</w:t>
      </w:r>
    </w:p>
    <w:p>
      <w:pPr/>
      <w:r>
        <w:rPr>
          <w:b/>
        </w:rPr>
        <w:t>Later source:</w:t>
      </w:r>
      <w:r>
        <w:t xml:space="preserve"> European Reform Movements and the Making of the International Congress, 1840–1860 — https://doi.org/10.1080/07075332.2020.1808506</w:t>
      </w:r>
    </w:p>
    <w:p>
      <w:pPr>
        <w:pStyle w:val="SourceNote"/>
      </w:pPr>
      <w:r>
        <w:rPr>
          <w:b/>
        </w:rPr>
        <w:t>Review status:</w:t>
      </w:r>
      <w:r>
        <w:t xml:space="preserve"> unchecked — possible relationship only</w:t>
      </w:r>
    </w:p>
    <w:p>
      <w:pPr>
        <w:pStyle w:val="Heading2"/>
      </w:pPr>
      <w:r>
        <w:t>294. Claim + two later sources: Mismatch, empowerment, fatigue or balance? Four scenarios of physical activity up to 2030 in Finland</w:t>
      </w:r>
    </w:p>
    <w:p>
      <w:pPr>
        <w:pStyle w:val="SourceNote"/>
      </w:pPr>
      <w:r>
        <w:rPr>
          <w:b/>
        </w:rPr>
        <w:t>Group ID:</w:t>
      </w:r>
      <w:r>
        <w:t xml:space="preserve"> group-832f133535e6dff3220b</w:t>
      </w:r>
    </w:p>
    <w:p>
      <w:pPr>
        <w:pStyle w:val="SourceNote"/>
      </w:pPr>
      <w:r>
        <w:rPr>
          <w:b/>
        </w:rPr>
        <w:t>Original source:</w:t>
      </w:r>
      <w:r>
        <w:t xml:space="preserve"> https://doi.org/10.1016/j.futures.2022.103036</w:t>
      </w:r>
    </w:p>
    <w:p>
      <w:pPr/>
      <w:r>
        <w:rPr>
          <w:b/>
        </w:rPr>
        <w:t>Original future claim:</w:t>
      </w:r>
      <w:r>
        <w:t xml:space="preserve"> Building on the experts’ perceptions on alternative futures, we formulated four scenarios for PA up to 2030, which we named Mismatch, Empowerment, Fatigue and Balance. In this study, we explore future scenarios in the intersections of PA and active lifestyles as well as related environmental and health benefits in Finland.</w:t>
      </w:r>
    </w:p>
    <w:p>
      <w:pPr/>
      <w:r>
        <w:rPr>
          <w:b/>
        </w:rPr>
        <w:t>Later source:</w:t>
      </w:r>
      <w:r>
        <w:t xml:space="preserve"> Building consensus for Molecular Tumor Board implementation in Europe: a Delphi procedure — https://doi.org/10.1016/j.hlpt.2026.101287</w:t>
      </w:r>
    </w:p>
    <w:p>
      <w:pPr/>
      <w:r>
        <w:rPr>
          <w:b/>
        </w:rPr>
        <w:t>Later source:</w:t>
      </w:r>
      <w:r>
        <w:t xml:space="preserve"> Adoption drivers and barriers of Building Information Modelling (BIM) in Europe — https://doi.org/10.1016/j.enbuild.2026.116953</w:t>
      </w:r>
    </w:p>
    <w:p>
      <w:pPr>
        <w:pStyle w:val="SourceNote"/>
      </w:pPr>
      <w:r>
        <w:rPr>
          <w:b/>
        </w:rPr>
        <w:t>Review status:</w:t>
      </w:r>
      <w:r>
        <w:t xml:space="preserve"> unchecked — possible relationship only</w:t>
      </w:r>
    </w:p>
    <w:p>
      <w:pPr>
        <w:pStyle w:val="Heading2"/>
      </w:pPr>
      <w:r>
        <w:t>295. Claim + two later sources: Transport demand evolution in Europe – factors of change, scenarios and challenges</w:t>
      </w:r>
    </w:p>
    <w:p>
      <w:pPr>
        <w:pStyle w:val="SourceNote"/>
      </w:pPr>
      <w:r>
        <w:rPr>
          <w:b/>
        </w:rPr>
        <w:t>Group ID:</w:t>
      </w:r>
      <w:r>
        <w:t xml:space="preserve"> group-4e30184c594219f4f38e</w:t>
      </w:r>
    </w:p>
    <w:p>
      <w:pPr>
        <w:pStyle w:val="SourceNote"/>
      </w:pPr>
      <w:r>
        <w:rPr>
          <w:b/>
        </w:rPr>
        <w:t>Original source:</w:t>
      </w:r>
      <w:r>
        <w:t xml:space="preserve"> https://doi.org/10.1007/s40309-015-0072-y</w:t>
      </w:r>
    </w:p>
    <w:p>
      <w:pPr/>
      <w:r>
        <w:rPr>
          <w:b/>
        </w:rPr>
        <w:t>Original future claim:</w:t>
      </w:r>
      <w:r>
        <w:t xml:space="preserve"> In the transport sector, where change comes with inertia and investments are made with a long term perspective, decision makers need to consider how the future may look like in the very long term. The work presented in this paper is a scenario analysis focusing on the evolution of transport demand towards 2050, aiming to identify related challenges for European industrial and policy players.</w:t>
      </w:r>
    </w:p>
    <w:p>
      <w:pPr/>
      <w:r>
        <w:rPr>
          <w:b/>
        </w:rPr>
        <w:t>Later source:</w:t>
      </w:r>
      <w:r>
        <w:t xml:space="preserve"> Barriers to women’s employment in the transport sector in Europe — https://doi.org/10.12688/openreseurope.16123.1</w:t>
      </w:r>
    </w:p>
    <w:p>
      <w:pPr/>
      <w:r>
        <w:rPr>
          <w:b/>
        </w:rPr>
        <w:t>Later source:</w:t>
      </w:r>
      <w:r>
        <w:t xml:space="preserve"> Evaluating the European transportation sector via energy and climate change mitigation perspectives — https://doi.org/10.1016/j.sftr.2025.100652</w:t>
      </w:r>
    </w:p>
    <w:p>
      <w:pPr>
        <w:pStyle w:val="SourceNote"/>
      </w:pPr>
      <w:r>
        <w:rPr>
          <w:b/>
        </w:rPr>
        <w:t>Review status:</w:t>
      </w:r>
      <w:r>
        <w:t xml:space="preserve"> unchecked — possible relationship only</w:t>
      </w:r>
    </w:p>
    <w:p>
      <w:pPr>
        <w:pStyle w:val="Heading2"/>
      </w:pPr>
      <w:r>
        <w:t>296. Claim + two later sources: Integrated scenarios of sustainable food production and consumption in Germany</w:t>
      </w:r>
    </w:p>
    <w:p>
      <w:pPr>
        <w:pStyle w:val="SourceNote"/>
      </w:pPr>
      <w:r>
        <w:rPr>
          <w:b/>
        </w:rPr>
        <w:t>Group ID:</w:t>
      </w:r>
      <w:r>
        <w:t xml:space="preserve"> group-2c275425a6c347fe4cb7</w:t>
      </w:r>
    </w:p>
    <w:p>
      <w:pPr>
        <w:pStyle w:val="SourceNote"/>
      </w:pPr>
      <w:r>
        <w:rPr>
          <w:b/>
        </w:rPr>
        <w:t>Original source:</w:t>
      </w:r>
      <w:r>
        <w:t xml:space="preserve"> https://doi.org/10.1080/15487733.2013.11908118</w:t>
      </w:r>
    </w:p>
    <w:p>
      <w:pPr/>
      <w:r>
        <w:rPr>
          <w:b/>
        </w:rPr>
        <w:t>Original future claim:</w:t>
      </w:r>
      <w:r>
        <w:t xml:space="preserve"> First, so-called context scenarios were formulated to describe different developments beyond the control of the relevant players, but that might have a significant impact on food production and consumption. Finally, the context and strategic food scenarios were merged and assessed to provide policy makers with a helpful ‟reality check" on different strategy options and guidance in prioritization.</w:t>
      </w:r>
    </w:p>
    <w:p>
      <w:pPr/>
      <w:r>
        <w:rPr>
          <w:b/>
        </w:rPr>
        <w:t>Later source:</w:t>
      </w:r>
      <w:r>
        <w:t xml:space="preserve"> The Moroccan and Muslim Diaspora in Europe: Shifting from the Context of Migration to the Context of Citizenship — https://openalex.org/W7113523033</w:t>
      </w:r>
    </w:p>
    <w:p>
      <w:pPr/>
      <w:r>
        <w:rPr>
          <w:b/>
        </w:rPr>
        <w:t>Later source:</w:t>
      </w:r>
      <w:r>
        <w:t xml:space="preserve"> Changing the Context of Business Management Theory. The So and So Management between Eclecticism and Wishful Thinking — https://doi.org/10.30958/ajl.11-3-2</w:t>
      </w:r>
    </w:p>
    <w:p>
      <w:pPr>
        <w:pStyle w:val="SourceNote"/>
      </w:pPr>
      <w:r>
        <w:rPr>
          <w:b/>
        </w:rPr>
        <w:t>Review status:</w:t>
      </w:r>
      <w:r>
        <w:t xml:space="preserve"> unchecked — possible relationship only</w:t>
      </w:r>
    </w:p>
    <w:p>
      <w:pPr>
        <w:pStyle w:val="Heading2"/>
      </w:pPr>
      <w:r>
        <w:t>297. Claim + two later sources: Long-Term Hydrocarbon Trade Options for the Maghreb Region and Europe—Renewable Energy Based Synthetic Fuels for a Net Zero Emissions World</w:t>
      </w:r>
    </w:p>
    <w:p>
      <w:pPr>
        <w:pStyle w:val="SourceNote"/>
      </w:pPr>
      <w:r>
        <w:rPr>
          <w:b/>
        </w:rPr>
        <w:t>Group ID:</w:t>
      </w:r>
      <w:r>
        <w:t xml:space="preserve"> group-139e43c3971b2cd2bf3c</w:t>
      </w:r>
    </w:p>
    <w:p>
      <w:pPr>
        <w:pStyle w:val="SourceNote"/>
      </w:pPr>
      <w:r>
        <w:rPr>
          <w:b/>
        </w:rPr>
        <w:t>Original source:</w:t>
      </w:r>
      <w:r>
        <w:t xml:space="preserve"> https://doi.org/10.3390/su9020306</w:t>
      </w:r>
    </w:p>
    <w:p>
      <w:pPr/>
      <w:r>
        <w:rPr>
          <w:b/>
        </w:rPr>
        <w:t>Original future claim:</w:t>
      </w:r>
      <w:r>
        <w:t xml:space="preserve"> Results show that, for 7% weighted average cost of capital (WACC), renewable energy based synthetic natural gas (RE-SNG) and RE-diesel can be produced in 2030 for a minimum cost of 76 €/MWhHHV (0.78 €/m3SNG) and 88 €/MWhHHV (0.85 €/L), respectively. While in 2040, these production costs can drop to 66 €/MWhHHV (0.68 €/m3SNG) and 83 €/MWhHHV (0.80 €/L), respectively.</w:t>
      </w:r>
    </w:p>
    <w:p>
      <w:pPr/>
      <w:r>
        <w:rPr>
          <w:b/>
        </w:rPr>
        <w:t>Later source:</w:t>
      </w:r>
      <w:r>
        <w:t xml:space="preserve"> Implementation of the WACC Notice and challenges in determining the VHCN risk premium — https://openalex.org/W7124128098</w:t>
      </w:r>
    </w:p>
    <w:p>
      <w:pPr/>
      <w:r>
        <w:rPr>
          <w:b/>
        </w:rPr>
        <w:t>Later source:</w:t>
      </w:r>
      <w:r>
        <w:t xml:space="preserve"> Levelized cost of hydrogen production in Northern Africa and Europe in 2050: A Monte Carlo simulation for Germany, Norway, Spain, Algeria, Morocco, and Egypt — https://doi.org/10.1016/j.ijhydene.2024.04.319</w:t>
      </w:r>
    </w:p>
    <w:p>
      <w:pPr>
        <w:pStyle w:val="SourceNote"/>
      </w:pPr>
      <w:r>
        <w:rPr>
          <w:b/>
        </w:rPr>
        <w:t>Review status:</w:t>
      </w:r>
      <w:r>
        <w:t xml:space="preserve"> unchecked — possible relationship only</w:t>
      </w:r>
    </w:p>
    <w:p>
      <w:pPr>
        <w:pStyle w:val="Heading2"/>
      </w:pPr>
      <w:r>
        <w:t>298. Claim + two later sources: Exploring the Future of Universities Through Experimental Foresight</w:t>
      </w:r>
    </w:p>
    <w:p>
      <w:pPr>
        <w:pStyle w:val="SourceNote"/>
      </w:pPr>
      <w:r>
        <w:rPr>
          <w:b/>
        </w:rPr>
        <w:t>Group ID:</w:t>
      </w:r>
      <w:r>
        <w:t xml:space="preserve"> group-37a33cd2a7f9f699fd62</w:t>
      </w:r>
    </w:p>
    <w:p>
      <w:pPr>
        <w:pStyle w:val="SourceNote"/>
      </w:pPr>
      <w:r>
        <w:rPr>
          <w:b/>
        </w:rPr>
        <w:t>Original source:</w:t>
      </w:r>
      <w:r>
        <w:t xml:space="preserve"> https://doi.org/10.1177/1946756720976714</w:t>
      </w:r>
    </w:p>
    <w:p>
      <w:pPr/>
      <w:r>
        <w:rPr>
          <w:b/>
        </w:rPr>
        <w:t>Original future claim:</w:t>
      </w:r>
      <w:r>
        <w:t xml:space="preserve"> The foresight project covered two future time horizons, namely 2025 to 2030 and 2031 to 2040.</w:t>
      </w:r>
    </w:p>
    <w:p>
      <w:pPr/>
      <w:r>
        <w:rPr>
          <w:b/>
        </w:rPr>
        <w:t>Later source:</w:t>
      </w:r>
      <w:r>
        <w:t xml:space="preserve"> DEVELOPMENT SCENARIOS OF COLLABORATION IN THE FIELD OF INCLUSIVE HIGHER EDUCATION BETWEEN RUSSIA AND CIS COUNTRIES: PROJECT-FORESIGHT — https://doi.org/10.36315/2026v2end012</w:t>
      </w:r>
    </w:p>
    <w:p>
      <w:pPr/>
      <w:r>
        <w:rPr>
          <w:b/>
        </w:rPr>
        <w:t>Later source:</w:t>
      </w:r>
      <w:r>
        <w:t xml:space="preserve"> Developing the Futures Map Framework – an integrative hybrid foresight approach — https://doi.org/10.1186/s40309-025-00252-w</w:t>
      </w:r>
    </w:p>
    <w:p>
      <w:pPr>
        <w:pStyle w:val="SourceNote"/>
      </w:pPr>
      <w:r>
        <w:rPr>
          <w:b/>
        </w:rPr>
        <w:t>Review status:</w:t>
      </w:r>
      <w:r>
        <w:t xml:space="preserve"> unchecked — possible relationship only</w:t>
      </w:r>
    </w:p>
    <w:p>
      <w:pPr>
        <w:pStyle w:val="Heading2"/>
      </w:pPr>
      <w:r>
        <w:t>299. Claim + two later sources: Modelling the European Union Sustainability Transition: A Soft-Linking Approach</w:t>
      </w:r>
    </w:p>
    <w:p>
      <w:pPr>
        <w:pStyle w:val="SourceNote"/>
      </w:pPr>
      <w:r>
        <w:rPr>
          <w:b/>
        </w:rPr>
        <w:t>Group ID:</w:t>
      </w:r>
      <w:r>
        <w:t xml:space="preserve"> group-46265428f5a2f2897f4e</w:t>
      </w:r>
    </w:p>
    <w:p>
      <w:pPr>
        <w:pStyle w:val="SourceNote"/>
      </w:pPr>
      <w:r>
        <w:rPr>
          <w:b/>
        </w:rPr>
        <w:t>Original source:</w:t>
      </w:r>
      <w:r>
        <w:t xml:space="preserve"> https://doi.org/10.3390/su13116303</w:t>
      </w:r>
    </w:p>
    <w:p>
      <w:pPr/>
      <w:r>
        <w:rPr>
          <w:b/>
        </w:rPr>
        <w:t>Original future claim:</w:t>
      </w:r>
      <w:r>
        <w:t xml:space="preserve"> The European Green Deal (EGD) is the most ambitious decarbonisation strategy currently envisaged, with a complex mix of different instruments aiming at improving the sustainability of the development patterns of the European Union in the next 30 years. Our main finding is that such a soft-linking approach allows discovery of multiple channels and spillover effects across policy instruments that might help improve the policy mix design.</w:t>
      </w:r>
    </w:p>
    <w:p>
      <w:pPr/>
      <w:r>
        <w:rPr>
          <w:b/>
        </w:rPr>
        <w:t>Later source:</w:t>
      </w:r>
      <w:r>
        <w:t xml:space="preserve"> IMPLEMENTASI EUROPEAN GREEN DEAL (EGD) TERKAIT KEBIJAKAN GREEN ECONOMY DI UNI EROPA TAHUN 2020-2024 — https://openalex.org/W7153397118</w:t>
      </w:r>
    </w:p>
    <w:p>
      <w:pPr/>
      <w:r>
        <w:rPr>
          <w:b/>
        </w:rPr>
        <w:t>Later source:</w:t>
      </w:r>
      <w:r>
        <w:t xml:space="preserve"> The European Green Deal (EGD) in the public opinion – assessment of awareness of environmental pollution and threats to health and life — https://doi.org/10.34659/eis.2026.97.2.1157</w:t>
      </w:r>
    </w:p>
    <w:p>
      <w:pPr>
        <w:pStyle w:val="SourceNote"/>
      </w:pPr>
      <w:r>
        <w:rPr>
          <w:b/>
        </w:rPr>
        <w:t>Review status:</w:t>
      </w:r>
      <w:r>
        <w:t xml:space="preserve"> unchecked — possible relationship only</w:t>
      </w:r>
    </w:p>
    <w:p>
      <w:pPr>
        <w:pStyle w:val="Heading2"/>
      </w:pPr>
      <w:r>
        <w:t>300. Claim + two later sources: Time banks, co-production and foresight: intertwined towards an alternative future</w:t>
      </w:r>
    </w:p>
    <w:p>
      <w:pPr>
        <w:pStyle w:val="SourceNote"/>
      </w:pPr>
      <w:r>
        <w:rPr>
          <w:b/>
        </w:rPr>
        <w:t>Group ID:</w:t>
      </w:r>
      <w:r>
        <w:t xml:space="preserve"> group-5fd5c51c66ede13d5a05</w:t>
      </w:r>
    </w:p>
    <w:p>
      <w:pPr>
        <w:pStyle w:val="SourceNote"/>
      </w:pPr>
      <w:r>
        <w:rPr>
          <w:b/>
        </w:rPr>
        <w:t>Original source:</w:t>
      </w:r>
      <w:r>
        <w:t xml:space="preserve"> https://doi.org/10.1108/fs-05-2014-0035</w:t>
      </w:r>
    </w:p>
    <w:p>
      <w:pPr/>
      <w:r>
        <w:rPr>
          <w:b/>
        </w:rPr>
        <w:t>Original future claim:</w:t>
      </w:r>
      <w:r>
        <w:t xml:space="preserve"> Time banks are particularly interesting for the future of services: they address all sorts of services while the time-bank “value” of these different types of services does not necessarily reflect their actual value in the free market; impacts may spread from the mere coverage of people’s needs, to increased social capital and community empowerment; and some scholars consider them as flexible forms of co-production, or even as enablers of wider social change.</w:t>
      </w:r>
    </w:p>
    <w:p>
      <w:pPr/>
      <w:r>
        <w:rPr>
          <w:b/>
        </w:rPr>
        <w:t>Later source:</w:t>
      </w:r>
      <w:r>
        <w:t xml:space="preserve"> Implementation and Impacts of Taiwan’s Time Bank Multi-Empowerment Program Across Six Townships — https://doi.org/10.33790/jswwp1100180</w:t>
      </w:r>
    </w:p>
    <w:p>
      <w:pPr/>
      <w:r>
        <w:rPr>
          <w:b/>
        </w:rPr>
        <w:t>Later source:</w:t>
      </w:r>
      <w:r>
        <w:t xml:space="preserve"> Reaction of European bank and non-bank financial equities to physical climate risk: Evidence from quantile dependence and time-varying predictability — https://doi.org/10.55214/2576-8484.v10i2.12260</w:t>
      </w:r>
    </w:p>
    <w:p>
      <w:pPr>
        <w:pStyle w:val="SourceNote"/>
      </w:pPr>
      <w:r>
        <w:rPr>
          <w:b/>
        </w:rPr>
        <w:t>Review status:</w:t>
      </w:r>
      <w:r>
        <w:t xml:space="preserve"> unchecked — possible relationship only</w:t>
      </w:r>
    </w:p>
    <w:p>
      <w:pPr>
        <w:pStyle w:val="Heading2"/>
      </w:pPr>
      <w:r>
        <w:t>301. Claim + two later sources: Decarbonizing the EU energy system by 2050: an important role for BECCS</w:t>
      </w:r>
    </w:p>
    <w:p>
      <w:pPr>
        <w:pStyle w:val="SourceNote"/>
      </w:pPr>
      <w:r>
        <w:rPr>
          <w:b/>
        </w:rPr>
        <w:t>Group ID:</w:t>
      </w:r>
      <w:r>
        <w:t xml:space="preserve"> group-13ba9623bcaa9c526b18</w:t>
      </w:r>
    </w:p>
    <w:p>
      <w:pPr>
        <w:pStyle w:val="SourceNote"/>
      </w:pPr>
      <w:r>
        <w:rPr>
          <w:b/>
        </w:rPr>
        <w:t>Original source:</w:t>
      </w:r>
      <w:r>
        <w:t xml:space="preserve"> https://doi.org/10.1080/14693062.2016.1242058</w:t>
      </w:r>
    </w:p>
    <w:p>
      <w:pPr/>
      <w:r>
        <w:rPr>
          <w:b/>
        </w:rPr>
        <w:t>Original future claim:</w:t>
      </w:r>
      <w:r>
        <w:t xml:space="preserve"> The key conclusions are as follows: (a) the achievement of negative emissions in the power sector via the use of biomass with carbon capture and storage (BECCS) allows for much more limited decarbonization in the buildings and transport sectors; (b) CCS is also extensively used for decarbonization of the industrial sector; (c) because of the absence in the model of options for transport mode-switching and building fabric efficiency improvements, the transport and buildings sectors achieve relatively little abatement by 2050 – the inclusion of these options could considerably reduce the need for BECCS and the cost of abatement; (d) decarbonization of the EU’s energy system by 2050 would increase energy system costs by 14% compared to a Reference scenario with no CO2 constraints; and (e) average EU-wide marginal CO2 abatement costs in Policy Success reach $300/tCO2 in 2050.</w:t>
      </w:r>
    </w:p>
    <w:p>
      <w:pPr/>
      <w:r>
        <w:rPr>
          <w:b/>
        </w:rPr>
        <w:t>Later source:</w:t>
      </w:r>
      <w:r>
        <w:t xml:space="preserve"> Conclusions on Land Policies in Europe — https://doi.org/10.1007/978-3-031-83725-8_17</w:t>
      </w:r>
    </w:p>
    <w:p>
      <w:pPr/>
      <w:r>
        <w:rPr>
          <w:b/>
        </w:rPr>
        <w:t>Later source:</w:t>
      </w:r>
      <w:r>
        <w:t xml:space="preserve"> Cancer burden in Europe: a systematic analysis of the GLOBOCAN database (2022) — https://doi.org/10.1186/s12885-025-13862-1</w:t>
      </w:r>
    </w:p>
    <w:p>
      <w:pPr>
        <w:pStyle w:val="SourceNote"/>
      </w:pPr>
      <w:r>
        <w:rPr>
          <w:b/>
        </w:rPr>
        <w:t>Review status:</w:t>
      </w:r>
      <w:r>
        <w:t xml:space="preserve"> unchecked — possible relationship only</w:t>
      </w:r>
    </w:p>
    <w:p>
      <w:pPr>
        <w:pStyle w:val="Heading2"/>
      </w:pPr>
      <w:r>
        <w:t>302. Claim + two later sources: Charging the future: Roadmaps and value tensions for mainstreaming prosumerism to 2030 and 2050</w:t>
      </w:r>
    </w:p>
    <w:p>
      <w:pPr>
        <w:pStyle w:val="SourceNote"/>
      </w:pPr>
      <w:r>
        <w:rPr>
          <w:b/>
        </w:rPr>
        <w:t>Group ID:</w:t>
      </w:r>
      <w:r>
        <w:t xml:space="preserve"> group-2eb426f009a3f296b719</w:t>
      </w:r>
    </w:p>
    <w:p>
      <w:pPr>
        <w:pStyle w:val="SourceNote"/>
      </w:pPr>
      <w:r>
        <w:rPr>
          <w:b/>
        </w:rPr>
        <w:t>Original source:</w:t>
      </w:r>
      <w:r>
        <w:t xml:space="preserve"> https://doi.org/10.5281/zenodo.4568679</w:t>
      </w:r>
    </w:p>
    <w:p>
      <w:pPr/>
      <w:r>
        <w:rPr>
          <w:b/>
        </w:rPr>
        <w:t>Original future claim:</w:t>
      </w:r>
      <w:r>
        <w:t xml:space="preserve"> Third, we highlight three key value tensions which underlie these leverage points, and for which value prioritisations will need to be made.</w:t>
      </w:r>
    </w:p>
    <w:p>
      <w:pPr/>
      <w:r>
        <w:rPr>
          <w:b/>
        </w:rPr>
        <w:t>Later source:</w:t>
      </w:r>
      <w:r>
        <w:t xml:space="preserve"> Shared experiences of three professionals navigating careers in the Third Space — https://doi.org/10.1080/13603108.2026.2631071</w:t>
      </w:r>
    </w:p>
    <w:p>
      <w:pPr/>
      <w:r>
        <w:rPr>
          <w:b/>
        </w:rPr>
        <w:t>Later source:</w:t>
      </w:r>
      <w:r>
        <w:t xml:space="preserve"> Tensions and transformation : investigating the dynamic value of digital platforms — https://doi.org/10.82444/warw.33911656</w:t>
      </w:r>
    </w:p>
    <w:p>
      <w:pPr>
        <w:pStyle w:val="SourceNote"/>
      </w:pPr>
      <w:r>
        <w:rPr>
          <w:b/>
        </w:rPr>
        <w:t>Review status:</w:t>
      </w:r>
      <w:r>
        <w:t xml:space="preserve"> unchecked — possible relationship only</w:t>
      </w:r>
    </w:p>
    <w:p>
      <w:pPr>
        <w:pStyle w:val="Heading2"/>
      </w:pPr>
      <w:r>
        <w:t>303. Claim + two later sources: Organic farming in the European Union – perspectives for 2030</w:t>
      </w:r>
    </w:p>
    <w:p>
      <w:pPr>
        <w:pStyle w:val="SourceNote"/>
      </w:pPr>
      <w:r>
        <w:rPr>
          <w:b/>
        </w:rPr>
        <w:t>Group ID:</w:t>
      </w:r>
      <w:r>
        <w:t xml:space="preserve"> group-a848b75a76c7bcb5744d</w:t>
      </w:r>
    </w:p>
    <w:p>
      <w:pPr>
        <w:pStyle w:val="SourceNote"/>
      </w:pPr>
      <w:r>
        <w:rPr>
          <w:b/>
        </w:rPr>
        <w:t>Original source:</w:t>
      </w:r>
      <w:r>
        <w:t xml:space="preserve"> https://doi.org/10.2478/picbe-2022-0042</w:t>
      </w:r>
    </w:p>
    <w:p>
      <w:pPr/>
      <w:r>
        <w:rPr>
          <w:b/>
        </w:rPr>
        <w:t>Original future claim:</w:t>
      </w:r>
      <w:r>
        <w:t xml:space="preserve"> At the same time, the objectives set by the European Community to be achieved by 2030 are presented. This type of agriculture involves the use of a set of techniques and practices that result in yield that provides the food needed by the population considering the sustainable use of resources.</w:t>
      </w:r>
    </w:p>
    <w:p>
      <w:pPr/>
      <w:r>
        <w:rPr>
          <w:b/>
        </w:rPr>
        <w:t>Later source:</w:t>
      </w:r>
      <w:r>
        <w:t xml:space="preserve"> Strengthening European development policy: the case for Team Europe 2.0 — https://doi.org/10.23661/ipb11.2026</w:t>
      </w:r>
    </w:p>
    <w:p>
      <w:pPr/>
      <w:r>
        <w:rPr>
          <w:b/>
        </w:rPr>
        <w:t>Later source:</w:t>
      </w:r>
      <w:r>
        <w:t xml:space="preserve"> Experiences from national biodiversity data infrastructures in Europe: advancing data integration and community engagement — https://doi.org/10.1093/biosci/biag032</w:t>
      </w:r>
    </w:p>
    <w:p>
      <w:pPr>
        <w:pStyle w:val="SourceNote"/>
      </w:pPr>
      <w:r>
        <w:rPr>
          <w:b/>
        </w:rPr>
        <w:t>Review status:</w:t>
      </w:r>
      <w:r>
        <w:t xml:space="preserve"> unchecked — possible relationship only</w:t>
      </w:r>
    </w:p>
    <w:p>
      <w:pPr>
        <w:pStyle w:val="Heading2"/>
      </w:pPr>
      <w:r>
        <w:t>304. Claim + two later sources: Climate Change and Renewable Energy Generation in Europe—Long-Term Impact Assessment on Solar and Wind Energy Using High-Resolution Future Climate Data and Considering Climate Uncertainties</w:t>
      </w:r>
    </w:p>
    <w:p>
      <w:pPr>
        <w:pStyle w:val="SourceNote"/>
      </w:pPr>
      <w:r>
        <w:rPr>
          <w:b/>
        </w:rPr>
        <w:t>Group ID:</w:t>
      </w:r>
      <w:r>
        <w:t xml:space="preserve"> group-b7dcd3692c27c86ebaf5</w:t>
      </w:r>
    </w:p>
    <w:p>
      <w:pPr>
        <w:pStyle w:val="SourceNote"/>
      </w:pPr>
      <w:r>
        <w:rPr>
          <w:b/>
        </w:rPr>
        <w:t>Original source:</w:t>
      </w:r>
      <w:r>
        <w:t xml:space="preserve"> https://doi.org/10.3390/en15010302</w:t>
      </w:r>
    </w:p>
    <w:p>
      <w:pPr/>
      <w:r>
        <w:rPr>
          <w:b/>
        </w:rPr>
        <w:t>Original future claim:</w:t>
      </w:r>
      <w:r>
        <w:t xml:space="preserve"> Thirteen future climate scenarios, including five global climate models (GCMs) and three representative concentration pathways (RCPs), are downscaled by the RCA4 regional climate model (RCM) over 90 years (2010–2099), divided into three 30-year periods. The results showed that the uncertainty caused by GCMs has the most substantial impact on projecting renewable energy generation.</w:t>
      </w:r>
    </w:p>
    <w:p>
      <w:pPr/>
      <w:r>
        <w:rPr>
          <w:b/>
        </w:rPr>
        <w:t>Later source:</w:t>
      </w:r>
      <w:r>
        <w:t xml:space="preserve"> Cultivar-by-environment interactions shape strawberry fruit quality: A multi-omics approach across European climates — https://doi.org/10.1016/j.foodchem.2026.148161</w:t>
      </w:r>
    </w:p>
    <w:p>
      <w:pPr/>
      <w:r>
        <w:rPr>
          <w:b/>
        </w:rPr>
        <w:t>Later source:</w:t>
      </w:r>
      <w:r>
        <w:t xml:space="preserve"> Unraveling European electricity price volatility: The impact of renewables — https://doi.org/10.1016/j.esr.2026.102144</w:t>
      </w:r>
    </w:p>
    <w:p>
      <w:pPr>
        <w:pStyle w:val="SourceNote"/>
      </w:pPr>
      <w:r>
        <w:rPr>
          <w:b/>
        </w:rPr>
        <w:t>Review status:</w:t>
      </w:r>
      <w:r>
        <w:t xml:space="preserve"> unchecked — possible relationship only</w:t>
      </w:r>
    </w:p>
    <w:p>
      <w:pPr>
        <w:pStyle w:val="Heading2"/>
      </w:pPr>
      <w:r>
        <w:t>305. Claim + two later sources: Estimation and Forecasts for the Share of Renewable Energy Consumption in Final Energy Consumption by 2020 in the European Union</w:t>
      </w:r>
    </w:p>
    <w:p>
      <w:pPr>
        <w:pStyle w:val="SourceNote"/>
      </w:pPr>
      <w:r>
        <w:rPr>
          <w:b/>
        </w:rPr>
        <w:t>Group ID:</w:t>
      </w:r>
      <w:r>
        <w:t xml:space="preserve"> group-ef1cf18face1a66294f7</w:t>
      </w:r>
    </w:p>
    <w:p>
      <w:pPr>
        <w:pStyle w:val="SourceNote"/>
      </w:pPr>
      <w:r>
        <w:rPr>
          <w:b/>
        </w:rPr>
        <w:t>Original source:</w:t>
      </w:r>
      <w:r>
        <w:t xml:space="preserve"> https://doi.org/10.3390/su10051515</w:t>
      </w:r>
    </w:p>
    <w:p>
      <w:pPr/>
      <w:r>
        <w:rPr>
          <w:b/>
        </w:rPr>
        <w:t>Original future claim:</w:t>
      </w:r>
      <w:r>
        <w:t xml:space="preserve"> Forecasts of this share for the 2020 horizon were obtained, all showing that the EU target is yet to be reached. Empirical estimations of renewable energy share into the final energy consumption showed increasing trend for all groups, while providing forecasts quite different from the EU ones.</w:t>
      </w:r>
    </w:p>
    <w:p>
      <w:pPr/>
      <w:r>
        <w:rPr>
          <w:b/>
        </w:rPr>
        <w:t>Later source:</w:t>
      </w:r>
      <w:r>
        <w:t xml:space="preserve"> Antidepressant drug use in Europe: past consumption, prescribing patterns and forecast until 2030 — https://doi.org/10.1007/s11096-025-02078-9</w:t>
      </w:r>
    </w:p>
    <w:p>
      <w:pPr/>
      <w:r>
        <w:rPr>
          <w:b/>
        </w:rPr>
        <w:t>Later source:</w:t>
      </w:r>
      <w:r>
        <w:t xml:space="preserve"> Multi-Day Forecasting of Day-Ahead Electricity Prices under Input Forecast Uncertainty — https://doi.org/10.1109/eem68581.2026.11589786</w:t>
      </w:r>
    </w:p>
    <w:p>
      <w:pPr>
        <w:pStyle w:val="SourceNote"/>
      </w:pPr>
      <w:r>
        <w:rPr>
          <w:b/>
        </w:rPr>
        <w:t>Review status:</w:t>
      </w:r>
      <w:r>
        <w:t xml:space="preserve"> unchecked — possible relationship only</w:t>
      </w:r>
    </w:p>
    <w:p>
      <w:pPr>
        <w:pStyle w:val="Heading2"/>
      </w:pPr>
      <w:r>
        <w:t>306. Claim + two later sources: Multi-Model Projections of River Flood Risk in Europe under Global Warming</w:t>
      </w:r>
    </w:p>
    <w:p>
      <w:pPr>
        <w:pStyle w:val="SourceNote"/>
      </w:pPr>
      <w:r>
        <w:rPr>
          <w:b/>
        </w:rPr>
        <w:t>Group ID:</w:t>
      </w:r>
      <w:r>
        <w:t xml:space="preserve"> group-dd3bbea5a9ed51df0319</w:t>
      </w:r>
    </w:p>
    <w:p>
      <w:pPr>
        <w:pStyle w:val="SourceNote"/>
      </w:pPr>
      <w:r>
        <w:rPr>
          <w:b/>
        </w:rPr>
        <w:t>Original source:</w:t>
      </w:r>
      <w:r>
        <w:t xml:space="preserve"> https://doi.org/10.3390/cli6010006</w:t>
      </w:r>
    </w:p>
    <w:p>
      <w:pPr/>
      <w:r>
        <w:rPr>
          <w:b/>
        </w:rPr>
        <w:t>Original future claim:</w:t>
      </w:r>
      <w:r>
        <w:t xml:space="preserve"> Knowledge on the costs of natural disasters under climate change is key information for planning adaptation and mitigation strategies of future climate policies. This work compares estimates of river flood risk in Europe from three recent case studies, assuming global warming scenarios of 1.5, 2, and 3 degrees Celsius from pre-industrial levels.</w:t>
      </w:r>
    </w:p>
    <w:p>
      <w:pPr/>
      <w:r>
        <w:rPr>
          <w:b/>
        </w:rPr>
        <w:t>Later source:</w:t>
      </w:r>
      <w:r>
        <w:t xml:space="preserve"> Systemic barriers and untapped potentials: a SWOT study on the implementation of natural/small water retention measures in Europe — https://doi.org/10.1016/j.jrurstud.2026.104099</w:t>
      </w:r>
    </w:p>
    <w:p>
      <w:pPr/>
      <w:r>
        <w:rPr>
          <w:b/>
        </w:rPr>
        <w:t>Later source:</w:t>
      </w:r>
      <w:r>
        <w:t xml:space="preserve"> A Soil Monitoring Law for Europe — https://doi.org/10.1002/gch2.202400336</w:t>
      </w:r>
    </w:p>
    <w:p>
      <w:pPr>
        <w:pStyle w:val="SourceNote"/>
      </w:pPr>
      <w:r>
        <w:rPr>
          <w:b/>
        </w:rPr>
        <w:t>Review status:</w:t>
      </w:r>
      <w:r>
        <w:t xml:space="preserve"> unchecked — possible relationship only</w:t>
      </w:r>
    </w:p>
    <w:p>
      <w:pPr>
        <w:pStyle w:val="Heading2"/>
      </w:pPr>
      <w:r>
        <w:t>307. Claim + two later sources: EUROPEAN UNION STRATEGIC AUTONOMY IN THE CONTEXT OF THE CONFERENCE ON THE FUTURE OF EUROPE</w:t>
      </w:r>
    </w:p>
    <w:p>
      <w:pPr>
        <w:pStyle w:val="SourceNote"/>
      </w:pPr>
      <w:r>
        <w:rPr>
          <w:b/>
        </w:rPr>
        <w:t>Group ID:</w:t>
      </w:r>
      <w:r>
        <w:t xml:space="preserve"> group-fa3d46ad56ab2e882950</w:t>
      </w:r>
    </w:p>
    <w:p>
      <w:pPr>
        <w:pStyle w:val="SourceNote"/>
      </w:pPr>
      <w:r>
        <w:rPr>
          <w:b/>
        </w:rPr>
        <w:t>Original source:</w:t>
      </w:r>
      <w:r>
        <w:t xml:space="preserve"> https://doi.org/10.61801/auoc-sp.2021.04</w:t>
      </w:r>
    </w:p>
    <w:p>
      <w:pPr/>
      <w:r>
        <w:rPr>
          <w:b/>
        </w:rPr>
        <w:t>Original future claim:</w:t>
      </w:r>
      <w:r>
        <w:t xml:space="preserve"> The main goal of this paper is to discuss the need for EU to achieve strategic autonomy in the upcoming years and shed light on how this concept is shaping EU's future.The question underpinning this research is focused on the reasons why strengthening EU's strategic autonomy matters so much in shaping said future.Strategic autonomy cannot be limited only to security and defense, as many more fields need to embed this concept in 2021.In this sense, the paper does not address directly the complementarity with NATO and the defense and security dimension of strategic autonomy, but rather focuses on the political and economic implications of EU's strategic autonomy.Also, as more global actors begin to review their dependencies and try to identify alternatives, especially after the Covid-19 crisis, a more in-depth and a multi-pronged approach is required in relation to the geopolitical interests of external actors and their impact on creating a stronger European strategic autonomy.The paper also addresses the idea that the strategic autonomy is rather a question of survival of the European project, otherwise EU is running the risk of becoming irrelevant in the event that its "weight" and economic power in the world would diminish to worrying levels.Thirty years ago, EU represented 25% of the global wealth.It is foreseen that in 20 years, EU will not represent more than 11% of the world's GNP, far behind China and the US.Ultimately, the paper focuses on the compelling role the EU needs to take as a global leading leader in order to protect and promote its values and interests worldwide and to address the current geopolitical challenges.There is no better starting point for this than to engage in an extensive and inclusive dialogue with the citizens about the way ahead, and the Conference on the Future of the EU seems to be the appropriate platform.The topics of the Conference included amongst other, climate change, jobs and economy, EU's role in the world, or digitalization issues.In other words, every priority that needs to adapted to the logic of strategic autonomy and help EU build a stronger profile in the global landscape.</w:t>
      </w:r>
    </w:p>
    <w:p>
      <w:pPr/>
      <w:r>
        <w:rPr>
          <w:b/>
        </w:rPr>
        <w:t>Later source:</w:t>
      </w:r>
      <w:r>
        <w:t xml:space="preserve"> Customs strategy of Ukraine as a tool for achieving sustainable development goals — https://doi.org/10.26565/2786-4995-2026-1-15</w:t>
      </w:r>
    </w:p>
    <w:p>
      <w:pPr/>
      <w:r>
        <w:rPr>
          <w:b/>
        </w:rPr>
        <w:t>Later source:</w:t>
      </w:r>
      <w:r>
        <w:t xml:space="preserve"> The European Commission’s Commitment to Increasing the Social Legitimacy of the European Green Deal Strategy — https://doi.org/10.33067/se.1.2026.17</w:t>
      </w:r>
    </w:p>
    <w:p>
      <w:pPr>
        <w:pStyle w:val="SourceNote"/>
      </w:pPr>
      <w:r>
        <w:rPr>
          <w:b/>
        </w:rPr>
        <w:t>Review status:</w:t>
      </w:r>
      <w:r>
        <w:t xml:space="preserve"> unchecked — possible relationship only</w:t>
      </w:r>
    </w:p>
    <w:p>
      <w:pPr>
        <w:pStyle w:val="Heading2"/>
      </w:pPr>
      <w:r>
        <w:t>308. Claim + two later sources: Assessing Energy Descent Scenarios for the Ecological Transition in Spain 2020–2030</w:t>
      </w:r>
    </w:p>
    <w:p>
      <w:pPr>
        <w:pStyle w:val="SourceNote"/>
      </w:pPr>
      <w:r>
        <w:rPr>
          <w:b/>
        </w:rPr>
        <w:t>Group ID:</w:t>
      </w:r>
      <w:r>
        <w:t xml:space="preserve"> group-586f5567139dc999bc87</w:t>
      </w:r>
    </w:p>
    <w:p>
      <w:pPr>
        <w:pStyle w:val="SourceNote"/>
      </w:pPr>
      <w:r>
        <w:rPr>
          <w:b/>
        </w:rPr>
        <w:t>Original source:</w:t>
      </w:r>
      <w:r>
        <w:t xml:space="preserve"> https://doi.org/10.3390/su132111867</w:t>
      </w:r>
    </w:p>
    <w:p>
      <w:pPr/>
      <w:r>
        <w:rPr>
          <w:b/>
        </w:rPr>
        <w:t>Original future claim:</w:t>
      </w:r>
      <w:r>
        <w:t xml:space="preserve"> We continue with an analysis of two ecological transition scenarios for Spain between 2020 and 2030, Green New Deal and Degrowth. Based on a schematic calculation model defined in “Labor Scenarios in the Ecosocial Transition 2020–2030” report, we evaluate the variations in energy consumption for 86 sectors of economic activity.</w:t>
      </w:r>
    </w:p>
    <w:p>
      <w:pPr/>
      <w:r>
        <w:rPr>
          <w:b/>
        </w:rPr>
        <w:t>Later source:</w:t>
      </w:r>
      <w:r>
        <w:t xml:space="preserve"> Economy, Geology and Sustainability: on the Security of Potash Supply in Spain and Europe and the Importance of Fertilizers for European Agriculture — https://doi.org/10.21701/bolgeomin/137.2/004</w:t>
      </w:r>
    </w:p>
    <w:p>
      <w:pPr/>
      <w:r>
        <w:rPr>
          <w:b/>
        </w:rPr>
        <w:t>Later source:</w:t>
      </w:r>
      <w:r>
        <w:t xml:space="preserve"> European Center-Left Parties and Immigration Issues (Examples of Britain, Germany and Spain — https://doi.org/10.20542/0131-2227-2026-70-9-57-65</w:t>
      </w:r>
    </w:p>
    <w:p>
      <w:pPr>
        <w:pStyle w:val="SourceNote"/>
      </w:pPr>
      <w:r>
        <w:rPr>
          <w:b/>
        </w:rPr>
        <w:t>Review status:</w:t>
      </w:r>
      <w:r>
        <w:t xml:space="preserve"> unchecked — possible relationship only</w:t>
      </w:r>
    </w:p>
    <w:p>
      <w:pPr>
        <w:pStyle w:val="Heading2"/>
      </w:pPr>
      <w:r>
        <w:t>309. Claim + two later sources: Future prospects for personal security in travel by public transport</w:t>
      </w:r>
    </w:p>
    <w:p>
      <w:pPr>
        <w:pStyle w:val="SourceNote"/>
      </w:pPr>
      <w:r>
        <w:rPr>
          <w:b/>
        </w:rPr>
        <w:t>Group ID:</w:t>
      </w:r>
      <w:r>
        <w:t xml:space="preserve"> group-62c5f6b7b43277958536</w:t>
      </w:r>
    </w:p>
    <w:p>
      <w:pPr>
        <w:pStyle w:val="SourceNote"/>
      </w:pPr>
      <w:r>
        <w:rPr>
          <w:b/>
        </w:rPr>
        <w:t>Original source:</w:t>
      </w:r>
      <w:r>
        <w:t xml:space="preserve"> https://doi.org/10.1080/03081060.2014.976980</w:t>
      </w:r>
    </w:p>
    <w:p>
      <w:pPr/>
      <w:r>
        <w:rPr>
          <w:b/>
        </w:rPr>
        <w:t>Original future claim:</w:t>
      </w:r>
      <w:r>
        <w:t xml:space="preserve"> Four future scenario narratives (to a 2040 time horizon) were developed for each application area. A final workshop consolidated and reviewed the narrative scenarios and pulled out key themes and priority issues for policy, practice and research for the near term.</w:t>
      </w:r>
    </w:p>
    <w:p>
      <w:pPr/>
      <w:r>
        <w:rPr>
          <w:b/>
        </w:rPr>
        <w:t>Later source:</w:t>
      </w:r>
      <w:r>
        <w:t xml:space="preserve"> Developing a patient narrative interview guide using the Delphi method — https://doi.org/10.1186/s12909-026-08795-7</w:t>
      </w:r>
    </w:p>
    <w:p>
      <w:pPr/>
      <w:r>
        <w:rPr>
          <w:b/>
        </w:rPr>
        <w:t>Later source:</w:t>
      </w:r>
      <w:r>
        <w:t xml:space="preserve"> PRACTICAL APPROACHES TO DEVELOPING CREATIVE THINKING IN PRESCHOOL CHILDREN: A NARRATIVE REVIEW — https://doi.org/10.5281/zenodo.23090972</w:t>
      </w:r>
    </w:p>
    <w:p>
      <w:pPr>
        <w:pStyle w:val="SourceNote"/>
      </w:pPr>
      <w:r>
        <w:rPr>
          <w:b/>
        </w:rPr>
        <w:t>Review status:</w:t>
      </w:r>
      <w:r>
        <w:t xml:space="preserve"> unchecked — possible relationship only</w:t>
      </w:r>
    </w:p>
    <w:p>
      <w:pPr>
        <w:pStyle w:val="Heading2"/>
      </w:pPr>
      <w:r>
        <w:t>310. Claim + two later sources: A Mismatch in Future Narratives? A Comparative Analysis Between Energy Futures in Policy and of Citizens</w:t>
      </w:r>
    </w:p>
    <w:p>
      <w:pPr>
        <w:pStyle w:val="SourceNote"/>
      </w:pPr>
      <w:r>
        <w:rPr>
          <w:b/>
        </w:rPr>
        <w:t>Group ID:</w:t>
      </w:r>
      <w:r>
        <w:t xml:space="preserve"> group-087d38f6ce0220906854</w:t>
      </w:r>
    </w:p>
    <w:p>
      <w:pPr>
        <w:pStyle w:val="SourceNote"/>
      </w:pPr>
      <w:r>
        <w:rPr>
          <w:b/>
        </w:rPr>
        <w:t>Original source:</w:t>
      </w:r>
      <w:r>
        <w:t xml:space="preserve"> https://doi.org/10.3389/frsc.2021.654162</w:t>
      </w:r>
    </w:p>
    <w:p>
      <w:pPr/>
      <w:r>
        <w:rPr>
          <w:b/>
        </w:rPr>
        <w:t>Original future claim:</w:t>
      </w:r>
      <w:r>
        <w:t xml:space="preserve"> As (policy) narratives of the future are performative, excluding certain stakeholders' perceptions might lead to energy injustice and could jeopardize the implementation of the energy transition. We identified several future narrative mismatches, which can be distinguished in two main types: (1) opposing mismatches, where policy narratives and narratives of citizens anticipate antagonistic futures, and (2) disconnected mismatches, where the mismatch emerges because narratives do not engage with each other and focus on different issues.</w:t>
      </w:r>
    </w:p>
    <w:p>
      <w:pPr/>
      <w:r>
        <w:rPr>
          <w:b/>
        </w:rPr>
        <w:t>Later source:</w:t>
      </w:r>
      <w:r>
        <w:t xml:space="preserve"> Bridging Stakeholder Narratives for Sustainable Peatland Conservation — https://doi.org/10.1007/s41748-026-01141-3</w:t>
      </w:r>
    </w:p>
    <w:p>
      <w:pPr/>
      <w:r>
        <w:rPr>
          <w:b/>
        </w:rPr>
        <w:t>Later source:</w:t>
      </w:r>
      <w:r>
        <w:t xml:space="preserve"> Game of Mirrors for Complex Policies: The Narratives on Differentiated Autonomy in Italy — https://doi.org/10.1111/polp.70172</w:t>
      </w:r>
    </w:p>
    <w:p>
      <w:pPr>
        <w:pStyle w:val="SourceNote"/>
      </w:pPr>
      <w:r>
        <w:rPr>
          <w:b/>
        </w:rPr>
        <w:t>Review status:</w:t>
      </w:r>
      <w:r>
        <w:t xml:space="preserve"> unchecked — possible relationship only</w:t>
      </w:r>
    </w:p>
    <w:p>
      <w:pPr>
        <w:pStyle w:val="Heading2"/>
      </w:pPr>
      <w:r>
        <w:t>311. Claim + two later sources: Past and Future Trends in Refugee Migration on the Regional Level in Germany – An Analysis and Projection of Labor Market Effects</w:t>
      </w:r>
    </w:p>
    <w:p>
      <w:pPr>
        <w:pStyle w:val="SourceNote"/>
      </w:pPr>
      <w:r>
        <w:rPr>
          <w:b/>
        </w:rPr>
        <w:t>Group ID:</w:t>
      </w:r>
      <w:r>
        <w:t xml:space="preserve"> group-49092ef91bc5beb467a3</w:t>
      </w:r>
    </w:p>
    <w:p>
      <w:pPr>
        <w:pStyle w:val="SourceNote"/>
      </w:pPr>
      <w:r>
        <w:rPr>
          <w:b/>
        </w:rPr>
        <w:t>Original source:</w:t>
      </w:r>
      <w:r>
        <w:t xml:space="preserve"> https://doi.org/10.12765/cpos-2022-17</w:t>
      </w:r>
    </w:p>
    <w:p>
      <w:pPr/>
      <w:r>
        <w:rPr>
          <w:b/>
        </w:rPr>
        <w:t>Original future claim:</w:t>
      </w:r>
      <w:r>
        <w:t xml:space="preserve"> Next, we calculate corresponding future employment effects conditional on our projected refugee figures, our estimation results, and official regional demographic forecasts until 2030. Our findings suggest that refugee migration does not affect German labor market regions equally, but instead has and will continue to lead to distinct regional employment effects.</w:t>
      </w:r>
    </w:p>
    <w:p>
      <w:pPr/>
      <w:r>
        <w:rPr>
          <w:b/>
        </w:rPr>
        <w:t>Later source:</w:t>
      </w:r>
      <w:r>
        <w:t xml:space="preserve"> Regional economic impact of the Next Generation European Union recovery plan — https://doi.org/10.1016/j.pirs.2025.100105</w:t>
      </w:r>
    </w:p>
    <w:p>
      <w:pPr/>
      <w:r>
        <w:rPr>
          <w:b/>
        </w:rPr>
        <w:t>Later source:</w:t>
      </w:r>
      <w:r>
        <w:t xml:space="preserve"> Dissecting the Decline in Average Hours Worked in Europe — https://doi.org/10.5089/9798400261183.001</w:t>
      </w:r>
    </w:p>
    <w:p>
      <w:pPr>
        <w:pStyle w:val="SourceNote"/>
      </w:pPr>
      <w:r>
        <w:rPr>
          <w:b/>
        </w:rPr>
        <w:t>Review status:</w:t>
      </w:r>
      <w:r>
        <w:t xml:space="preserve"> unchecked — possible relationship only</w:t>
      </w:r>
    </w:p>
    <w:p>
      <w:pPr>
        <w:pStyle w:val="Heading2"/>
      </w:pPr>
      <w:r>
        <w:t>312. Claim + two later sources: The EU Decarbonisation Roadmap 2050—What way to walk?</w:t>
      </w:r>
    </w:p>
    <w:p>
      <w:pPr>
        <w:pStyle w:val="SourceNote"/>
      </w:pPr>
      <w:r>
        <w:rPr>
          <w:b/>
        </w:rPr>
        <w:t>Group ID:</w:t>
      </w:r>
      <w:r>
        <w:t xml:space="preserve"> group-408ce1fcecc47a3efaa1</w:t>
      </w:r>
    </w:p>
    <w:p>
      <w:pPr>
        <w:pStyle w:val="SourceNote"/>
      </w:pPr>
      <w:r>
        <w:rPr>
          <w:b/>
        </w:rPr>
        <w:t>Original source:</w:t>
      </w:r>
      <w:r>
        <w:t xml:space="preserve"> https://doi.org/10.1016/j.enpol.2012.11.054</w:t>
      </w:r>
    </w:p>
    <w:p>
      <w:pPr/>
      <w:r>
        <w:rPr>
          <w:b/>
        </w:rPr>
        <w:t>Original future claim:</w:t>
      </w:r>
      <w:r>
        <w:t xml:space="preserve"> This policy option may include CDM (Clean Development Mechanism in the sense of ‘where’-flexibility) in an extended form if there are countries without emissions caps. We carry out a detailed CGE (Computable General Equilibrium) analysis of the EU Decarbonisation Roadmap 2050 on a macroeconomic and on a sectoral level.</w:t>
      </w:r>
    </w:p>
    <w:p>
      <w:pPr/>
      <w:r>
        <w:rPr>
          <w:b/>
        </w:rPr>
        <w:t>Later source:</w:t>
      </w:r>
      <w:r>
        <w:t xml:space="preserve"> 4.N. Round table: Policy options for fixing the global and European health and care workforce-crisis — https://doi.org/10.1093/eurpub/ckad160.260</w:t>
      </w:r>
    </w:p>
    <w:p>
      <w:pPr/>
      <w:r>
        <w:rPr>
          <w:b/>
        </w:rPr>
        <w:t>Later source:</w:t>
      </w:r>
      <w:r>
        <w:t xml:space="preserve"> The clean development mechanism in Eastern Europe: an in-depth exploration — https://doi.org/10.1007/s11356-022-20988-3</w:t>
      </w:r>
    </w:p>
    <w:p>
      <w:pPr>
        <w:pStyle w:val="SourceNote"/>
      </w:pPr>
      <w:r>
        <w:rPr>
          <w:b/>
        </w:rPr>
        <w:t>Review status:</w:t>
      </w:r>
      <w:r>
        <w:t xml:space="preserve"> unchecked — possible relationship only</w:t>
      </w:r>
    </w:p>
    <w:p>
      <w:pPr>
        <w:pStyle w:val="Heading2"/>
      </w:pPr>
      <w:r>
        <w:t>313. Claim + two later sources: Food futures: system transitions towards UK food security</w:t>
      </w:r>
    </w:p>
    <w:p>
      <w:pPr>
        <w:pStyle w:val="SourceNote"/>
      </w:pPr>
      <w:r>
        <w:rPr>
          <w:b/>
        </w:rPr>
        <w:t>Group ID:</w:t>
      </w:r>
      <w:r>
        <w:t xml:space="preserve"> group-659b6e0e2ea90e8d9160</w:t>
      </w:r>
    </w:p>
    <w:p>
      <w:pPr>
        <w:pStyle w:val="SourceNote"/>
      </w:pPr>
      <w:r>
        <w:rPr>
          <w:b/>
        </w:rPr>
        <w:t>Original source:</w:t>
      </w:r>
      <w:r>
        <w:t xml:space="preserve"> https://doi.org/10.4337/jhre.2011.02.04</w:t>
      </w:r>
    </w:p>
    <w:p>
      <w:pPr/>
      <w:r>
        <w:rPr>
          <w:b/>
        </w:rPr>
        <w:t>Original future claim:</w:t>
      </w:r>
      <w:r>
        <w:t xml:space="preserve"> This article explains how scenarios of this kind can try and capture landscape pressures which might threaten the dominant paradigm and leave room for niche activity to challenge the mainstream.</w:t>
      </w:r>
    </w:p>
    <w:p>
      <w:pPr/>
      <w:r>
        <w:rPr>
          <w:b/>
        </w:rPr>
        <w:t>Later source:</w:t>
      </w:r>
      <w:r>
        <w:t xml:space="preserve"> Clause Encounters of the Third Kind — https://doi.org/10.1093/9780198945215.003.0252</w:t>
      </w:r>
    </w:p>
    <w:p>
      <w:pPr/>
      <w:r>
        <w:rPr>
          <w:b/>
        </w:rPr>
        <w:t>Later source:</w:t>
      </w:r>
      <w:r>
        <w:t xml:space="preserve"> Carbon capture and utilization under EU law: impermanent storage of CO2 in products and pre-combustion carbon capture — https://doi.org/10.1093/jwelb/jwae009</w:t>
      </w:r>
    </w:p>
    <w:p>
      <w:pPr>
        <w:pStyle w:val="SourceNote"/>
      </w:pPr>
      <w:r>
        <w:rPr>
          <w:b/>
        </w:rPr>
        <w:t>Review status:</w:t>
      </w:r>
      <w:r>
        <w:t xml:space="preserve"> unchecked — possible relationship only</w:t>
      </w:r>
    </w:p>
    <w:p>
      <w:pPr>
        <w:pStyle w:val="Heading2"/>
      </w:pPr>
      <w:r>
        <w:t>314. Claim + two later sources: Scenario forecasting of consumption of main organic livestock products in Ukraine</w:t>
      </w:r>
    </w:p>
    <w:p>
      <w:pPr>
        <w:pStyle w:val="SourceNote"/>
      </w:pPr>
      <w:r>
        <w:rPr>
          <w:b/>
        </w:rPr>
        <w:t>Group ID:</w:t>
      </w:r>
      <w:r>
        <w:t xml:space="preserve"> group-1a89872cd6fe5d5fb8eb</w:t>
      </w:r>
    </w:p>
    <w:p>
      <w:pPr>
        <w:pStyle w:val="SourceNote"/>
      </w:pPr>
      <w:r>
        <w:rPr>
          <w:b/>
        </w:rPr>
        <w:t>Original source:</w:t>
      </w:r>
      <w:r>
        <w:t xml:space="preserve"> https://doi.org/10.51599/are.2021.07.03.02</w:t>
      </w:r>
    </w:p>
    <w:p>
      <w:pPr/>
      <w:r>
        <w:rPr>
          <w:b/>
        </w:rPr>
        <w:t>Original future claim:</w:t>
      </w:r>
      <w:r>
        <w:t xml:space="preserve"> According to the systemic variant in Ukraine for the period up to 2025 the forecasted capacity of the internal market for organic meat and meat products (in terms of meat) will amount to 3.26 bln UAH; organic milk, dairy products and butter (in terms of milk) will amount to 2.65 bln UAH; organic eggs will amount to 0.47 bln UAH. In general, the market potential capacity of the main types of organic livestock products (at prices in 2019) will be 6.38 bln UAH (0.2 bln Euro) or 151.9 UAH (4.9 Euro) per one person.</w:t>
      </w:r>
    </w:p>
    <w:p>
      <w:pPr/>
      <w:r>
        <w:rPr>
          <w:b/>
        </w:rPr>
        <w:t>Later source:</w:t>
      </w:r>
      <w:r>
        <w:t xml:space="preserve"> Forecasting the dynamics of food security indicators in Ukraine during the wartime period of 2025-2026 — https://doi.org/10.32317/ekon.apk/1.2026.20</w:t>
      </w:r>
    </w:p>
    <w:p>
      <w:pPr/>
      <w:r>
        <w:rPr>
          <w:b/>
        </w:rPr>
        <w:t>Later source:</w:t>
      </w:r>
      <w:r>
        <w:t xml:space="preserve"> MODELS AND METHODS FOR HEALTHCARE RESOURCE FORECASTING IN URBAN AGGLOMERATIONS: A LITERARY REVIEW — https://doi.org/10.64854/2790-1289-2026-52-2-09</w:t>
      </w:r>
    </w:p>
    <w:p>
      <w:pPr>
        <w:pStyle w:val="SourceNote"/>
      </w:pPr>
      <w:r>
        <w:rPr>
          <w:b/>
        </w:rPr>
        <w:t>Review status:</w:t>
      </w:r>
      <w:r>
        <w:t xml:space="preserve"> unchecked — possible relationship only</w:t>
      </w:r>
    </w:p>
    <w:p>
      <w:pPr>
        <w:pStyle w:val="Heading2"/>
      </w:pPr>
      <w:r>
        <w:t>315. Claim + two later sources: European electricity sector decarbonization under different levels of foresight</w:t>
      </w:r>
    </w:p>
    <w:p>
      <w:pPr>
        <w:pStyle w:val="SourceNote"/>
      </w:pPr>
      <w:r>
        <w:rPr>
          <w:b/>
        </w:rPr>
        <w:t>Group ID:</w:t>
      </w:r>
      <w:r>
        <w:t xml:space="preserve"> group-63c1ebe987f44a8df4bb</w:t>
      </w:r>
    </w:p>
    <w:p>
      <w:pPr>
        <w:pStyle w:val="SourceNote"/>
      </w:pPr>
      <w:r>
        <w:rPr>
          <w:b/>
        </w:rPr>
        <w:t>Original source:</w:t>
      </w:r>
      <w:r>
        <w:t xml:space="preserve"> https://doi.org/10.1016/j.renene.2019.02.099</w:t>
      </w:r>
    </w:p>
    <w:p>
      <w:pPr/>
      <w:r>
        <w:rPr>
          <w:b/>
        </w:rPr>
        <w:t>Original future claim:</w:t>
      </w:r>
      <w:r>
        <w:t xml:space="preserve"> The European Union has set out to reduce the carbon intensity of its electricity generation substantially, as defined in the European Roadmap 2050. Using a CO2 budgetary approach, on the other hand, leads to an even sharper emission reduction in the early periods before 2030, reducing overall costs.</w:t>
      </w:r>
    </w:p>
    <w:p>
      <w:pPr/>
      <w:r>
        <w:rPr>
          <w:b/>
        </w:rPr>
        <w:t>Later source:</w:t>
      </w:r>
      <w:r>
        <w:t xml:space="preserve"> CO2 Emissions Scenarios in the European Union—The Urgency of Carbon Capture and Controlled Economic Growth — https://doi.org/10.3390/su18021043</w:t>
      </w:r>
    </w:p>
    <w:p>
      <w:pPr/>
      <w:r>
        <w:rPr>
          <w:b/>
        </w:rPr>
        <w:t>Later source:</w:t>
      </w:r>
      <w:r>
        <w:t xml:space="preserve"> Carbon reduction commitment, carbon emission intensity, and financial default risk: An empirical analysis of European firms — https://doi.org/10.1177/0958305x261481733</w:t>
      </w:r>
    </w:p>
    <w:p>
      <w:pPr>
        <w:pStyle w:val="SourceNote"/>
      </w:pPr>
      <w:r>
        <w:rPr>
          <w:b/>
        </w:rPr>
        <w:t>Review status:</w:t>
      </w:r>
      <w:r>
        <w:t xml:space="preserve"> unchecked — possible relationship only</w:t>
      </w:r>
    </w:p>
    <w:p>
      <w:pPr>
        <w:pStyle w:val="Heading2"/>
      </w:pPr>
      <w:r>
        <w:t>316. Claim + two later sources: New opportunities for future tourism after 25 years of political and socioeconomic transformation – foresight in Poland’s tourism planning</w:t>
      </w:r>
    </w:p>
    <w:p>
      <w:pPr>
        <w:pStyle w:val="SourceNote"/>
      </w:pPr>
      <w:r>
        <w:rPr>
          <w:b/>
        </w:rPr>
        <w:t>Group ID:</w:t>
      </w:r>
      <w:r>
        <w:t xml:space="preserve"> group-66dbff0d31dc3d6582dd</w:t>
      </w:r>
    </w:p>
    <w:p>
      <w:pPr>
        <w:pStyle w:val="SourceNote"/>
      </w:pPr>
      <w:r>
        <w:rPr>
          <w:b/>
        </w:rPr>
        <w:t>Original source:</w:t>
      </w:r>
      <w:r>
        <w:t xml:space="preserve"> https://doi.org/10.1108/jtf-05-2015-0031</w:t>
      </w:r>
    </w:p>
    <w:p>
      <w:pPr/>
      <w:r>
        <w:rPr>
          <w:b/>
        </w:rPr>
        <w:t>Original future claim:</w:t>
      </w:r>
      <w:r>
        <w:t xml:space="preserve"> Since one of the main foresight goals is to identify trends, the paper takes attempt to verify trends that occurred in Poland after 1989 and if they have now and will have in the near future influence on Polish tourism. Findings The analysis of the political and economic changes that have taken place in Poland over the last 25 years shows that they were positive for the development of tourism base.</w:t>
      </w:r>
    </w:p>
    <w:p>
      <w:pPr/>
      <w:r>
        <w:rPr>
          <w:b/>
        </w:rPr>
        <w:t>Later source:</w:t>
      </w:r>
      <w:r>
        <w:t xml:space="preserve"> Scrutinising European land-use planning: Identifying the priorities and goals of building regulations — https://doi.org/10.1016/j.landusepol.2025.107916</w:t>
      </w:r>
    </w:p>
    <w:p>
      <w:pPr/>
      <w:r>
        <w:rPr>
          <w:b/>
        </w:rPr>
        <w:t>Later source:</w:t>
      </w:r>
      <w:r>
        <w:t xml:space="preserve"> From the Single European Act to the One Europe, One Market Agenda. — https://doi.org/10.22370/pe.2026.20.5851</w:t>
      </w:r>
    </w:p>
    <w:p>
      <w:pPr>
        <w:pStyle w:val="SourceNote"/>
      </w:pPr>
      <w:r>
        <w:rPr>
          <w:b/>
        </w:rPr>
        <w:t>Review status:</w:t>
      </w:r>
      <w:r>
        <w:t xml:space="preserve"> unchecked — possible relationship only</w:t>
      </w:r>
    </w:p>
    <w:p>
      <w:pPr>
        <w:pStyle w:val="Heading2"/>
      </w:pPr>
      <w:r>
        <w:t>317. Claim + two later sources: Central-East European employees on the labour market of London</w:t>
      </w:r>
    </w:p>
    <w:p>
      <w:pPr>
        <w:pStyle w:val="SourceNote"/>
      </w:pPr>
      <w:r>
        <w:rPr>
          <w:b/>
        </w:rPr>
        <w:t>Group ID:</w:t>
      </w:r>
      <w:r>
        <w:t xml:space="preserve"> group-388964dc67841b40b97e</w:t>
      </w:r>
    </w:p>
    <w:p>
      <w:pPr>
        <w:pStyle w:val="SourceNote"/>
      </w:pPr>
      <w:r>
        <w:rPr>
          <w:b/>
        </w:rPr>
        <w:t>Original source:</w:t>
      </w:r>
      <w:r>
        <w:t xml:space="preserve"> https://doi.org/10.33605/croma-012018-004</w:t>
      </w:r>
    </w:p>
    <w:p>
      <w:pPr/>
      <w:r>
        <w:rPr>
          <w:b/>
        </w:rPr>
        <w:t>Original future claim:</w:t>
      </w:r>
      <w:r>
        <w:t xml:space="preserve"> Practical implications – The conclusions of the study provide an adequate framework for the development of a rational economic policy program, which is the basis for future development, for the conscious development of the future of our region.</w:t>
      </w:r>
    </w:p>
    <w:p>
      <w:pPr/>
      <w:r>
        <w:rPr>
          <w:b/>
        </w:rPr>
        <w:t>Later source:</w:t>
      </w:r>
      <w:r>
        <w:t xml:space="preserve"> THE HUMAN RIGHTS CRISIS IN AI DEVELOPMENT AND USE: DOES THE EUROPEAN FRAMEWORK PROVIDE AN ADEQUATE PROTECTION? — https://doi.org/10.70382/caijlphr.v9i6.038</w:t>
      </w:r>
    </w:p>
    <w:p>
      <w:pPr/>
      <w:r>
        <w:rPr>
          <w:b/>
        </w:rPr>
        <w:t>Later source:</w:t>
      </w:r>
      <w:r>
        <w:t xml:space="preserve"> Cross‐border dimensions of Arctic climate change impacts and implications for Europe — https://doi.org/10.1002/wcc.905</w:t>
      </w:r>
    </w:p>
    <w:p>
      <w:pPr>
        <w:pStyle w:val="SourceNote"/>
      </w:pPr>
      <w:r>
        <w:rPr>
          <w:b/>
        </w:rPr>
        <w:t>Review status:</w:t>
      </w:r>
      <w:r>
        <w:t xml:space="preserve"> unchecked — possible relationship only</w:t>
      </w:r>
    </w:p>
    <w:p>
      <w:pPr>
        <w:pStyle w:val="Heading2"/>
      </w:pPr>
      <w:r>
        <w:t>318. Claim + two later sources: Scenarios of Automated Mobility in Austria: Implications for Future Transport Policy</w:t>
      </w:r>
    </w:p>
    <w:p>
      <w:pPr>
        <w:pStyle w:val="SourceNote"/>
      </w:pPr>
      <w:r>
        <w:rPr>
          <w:b/>
        </w:rPr>
        <w:t>Group ID:</w:t>
      </w:r>
      <w:r>
        <w:t xml:space="preserve"> group-24b0aa5eec65cc3c6b0d</w:t>
      </w:r>
    </w:p>
    <w:p>
      <w:pPr>
        <w:pStyle w:val="SourceNote"/>
      </w:pPr>
      <w:r>
        <w:rPr>
          <w:b/>
        </w:rPr>
        <w:t>Original source:</w:t>
      </w:r>
      <w:r>
        <w:t xml:space="preserve"> https://doi.org/10.3390/futuretransp1030041</w:t>
      </w:r>
    </w:p>
    <w:p>
      <w:pPr/>
      <w:r>
        <w:rPr>
          <w:b/>
        </w:rPr>
        <w:t>Original future claim:</w:t>
      </w:r>
      <w:r>
        <w:t xml:space="preserve"> The simulations show that, without suitable transport policy measures, automated mobility will lead to a significant increase in the volume of individual traffic and to modal shift effects with lower traffic volumes for public transport, walking and cycling. Hence, transport policy measures accompanying the introduction and development of automated vehicles will be needed in the future to reach a sustainable development.</w:t>
      </w:r>
    </w:p>
    <w:p>
      <w:pPr/>
      <w:r>
        <w:rPr>
          <w:b/>
        </w:rPr>
        <w:t>Later source:</w:t>
      </w:r>
      <w:r>
        <w:t xml:space="preserve"> Future Changes of European Windstorm Losses in EURO-CORDEX Simulations — https://doi.org/10.16993/tellusa.4094</w:t>
      </w:r>
    </w:p>
    <w:p>
      <w:pPr/>
      <w:r>
        <w:rPr>
          <w:b/>
        </w:rPr>
        <w:t>Later source:</w:t>
      </w:r>
      <w:r>
        <w:t xml:space="preserve"> Assessing innovative transport technologies and policies — https://doi.org/10.5463/thesis.1257</w:t>
      </w:r>
    </w:p>
    <w:p>
      <w:pPr>
        <w:pStyle w:val="SourceNote"/>
      </w:pPr>
      <w:r>
        <w:rPr>
          <w:b/>
        </w:rPr>
        <w:t>Review status:</w:t>
      </w:r>
      <w:r>
        <w:t xml:space="preserve"> unchecked — possible relationship only</w:t>
      </w:r>
    </w:p>
    <w:p>
      <w:pPr>
        <w:pStyle w:val="Heading2"/>
      </w:pPr>
      <w:r>
        <w:t>319. Claim + two later sources: Long term impact of residue management on soil organic carbon stocks and nitrous oxide emissions from European croplands</w:t>
      </w:r>
    </w:p>
    <w:p>
      <w:pPr>
        <w:pStyle w:val="SourceNote"/>
      </w:pPr>
      <w:r>
        <w:rPr>
          <w:b/>
        </w:rPr>
        <w:t>Group ID:</w:t>
      </w:r>
      <w:r>
        <w:t xml:space="preserve"> group-6a22ca030b6dd41ae036</w:t>
      </w:r>
    </w:p>
    <w:p>
      <w:pPr>
        <w:pStyle w:val="SourceNote"/>
      </w:pPr>
      <w:r>
        <w:rPr>
          <w:b/>
        </w:rPr>
        <w:t>Original source:</w:t>
      </w:r>
      <w:r>
        <w:t xml:space="preserve"> https://doi.org/10.1016/j.scitotenv.2022.154932</w:t>
      </w:r>
    </w:p>
    <w:p>
      <w:pPr/>
      <w:r>
        <w:rPr>
          <w:b/>
        </w:rPr>
        <w:t>Original future claim:</w:t>
      </w:r>
      <w:r>
        <w:t xml:space="preserve"> For a scenario with 100% residues retention and reduced tillage we calculated that in average SOC stocks may increase over 50–100 years by 19–23% under RCP8.5 and RCP4.5. CERES-EGC, LandscapeDNDC and LandscapeDNDC-MeTrx, were used in an ensemble approach on a grid of 0.25° × 0.25° spatial resolution for calculating EU-27 wide inventories of changes in SOC stocks and N2O emissions due to residue management for the years 2000–2100 using different climate change projections (RCP4.5 and RCP8.5).</w:t>
      </w:r>
    </w:p>
    <w:p>
      <w:pPr/>
      <w:r>
        <w:rPr>
          <w:b/>
        </w:rPr>
        <w:t>Later source:</w:t>
      </w:r>
      <w:r>
        <w:t xml:space="preserve"> Impacts on Soil Health of Soil Improvers Derived from Agri-Food Processing Residues: a Systematic Review with a Focus on European Field Studies — https://doi.org/10.1007/s42729-026-03037-7</w:t>
      </w:r>
    </w:p>
    <w:p>
      <w:pPr/>
      <w:r>
        <w:rPr>
          <w:b/>
        </w:rPr>
        <w:t>Later source:</w:t>
      </w:r>
      <w:r>
        <w:t xml:space="preserve"> Biophysical climate responses to albedo management for wheat residue retention, cover crops, and pale wheat across European croplands — https://doi.org/10.5194/egusphere-egu26-9895</w:t>
      </w:r>
    </w:p>
    <w:p>
      <w:pPr>
        <w:pStyle w:val="SourceNote"/>
      </w:pPr>
      <w:r>
        <w:rPr>
          <w:b/>
        </w:rPr>
        <w:t>Review status:</w:t>
      </w:r>
      <w:r>
        <w:t xml:space="preserve"> unchecked — possible relationship only</w:t>
      </w:r>
    </w:p>
    <w:p>
      <w:pPr>
        <w:pStyle w:val="Heading2"/>
      </w:pPr>
      <w:r>
        <w:t>320. Claim + two later sources: Renewables in the European power system and the impact on system rotational inertia</w:t>
      </w:r>
    </w:p>
    <w:p>
      <w:pPr>
        <w:pStyle w:val="SourceNote"/>
      </w:pPr>
      <w:r>
        <w:rPr>
          <w:b/>
        </w:rPr>
        <w:t>Group ID:</w:t>
      </w:r>
      <w:r>
        <w:t xml:space="preserve"> group-f7ea02c6ec7fac0bf46c</w:t>
      </w:r>
    </w:p>
    <w:p>
      <w:pPr>
        <w:pStyle w:val="SourceNote"/>
      </w:pPr>
      <w:r>
        <w:rPr>
          <w:b/>
        </w:rPr>
        <w:t>Original source:</w:t>
      </w:r>
      <w:r>
        <w:t xml:space="preserve"> https://doi.org/10.1016/j.energy.2020.117776</w:t>
      </w:r>
    </w:p>
    <w:p>
      <w:pPr/>
      <w:r>
        <w:rPr>
          <w:b/>
        </w:rPr>
        <w:t>Original future claim:</w:t>
      </w:r>
      <w:r>
        <w:t xml:space="preserve"> Two scenarios with divergent decarbonisation ambitions were simulated for the year 2030 using a unit commitment and economic dispatch model. The key findings show that an increasing inertia constraint elevates total generation costs, variable renewable energy curtailment and carbon dioxide emissions across Europe for an ambitious decarbonisation scenario.</w:t>
      </w:r>
    </w:p>
    <w:p>
      <w:pPr/>
      <w:r>
        <w:rPr>
          <w:b/>
        </w:rPr>
        <w:t>Later source:</w:t>
      </w:r>
      <w:r>
        <w:t xml:space="preserve"> Policy Plateau and Structural Regime Shift: Hybrid Forecasting of the EU Decarbonisation Gap Toward 2030 Targets — https://doi.org/10.3390/su18021114</w:t>
      </w:r>
    </w:p>
    <w:p>
      <w:pPr/>
      <w:r>
        <w:rPr>
          <w:b/>
        </w:rPr>
        <w:t>Later source:</w:t>
      </w:r>
      <w:r>
        <w:t xml:space="preserve"> How can trade unions act strategically in response to decarbonisation? Union strategic capacity and automotive transition policies in Germany, Spain and the UK — https://doi.org/10.1177/10242589261444001</w:t>
      </w:r>
    </w:p>
    <w:p>
      <w:pPr>
        <w:pStyle w:val="SourceNote"/>
      </w:pPr>
      <w:r>
        <w:rPr>
          <w:b/>
        </w:rPr>
        <w:t>Review status:</w:t>
      </w:r>
      <w:r>
        <w:t xml:space="preserve"> unchecked — possible relationship only</w:t>
      </w:r>
    </w:p>
    <w:p>
      <w:pPr>
        <w:pStyle w:val="Heading2"/>
      </w:pPr>
      <w:r>
        <w:t>321. Claim + two later sources: Assessing the prospective resource base for enhanced geothermal systems in Europe</w:t>
      </w:r>
    </w:p>
    <w:p>
      <w:pPr>
        <w:pStyle w:val="SourceNote"/>
      </w:pPr>
      <w:r>
        <w:rPr>
          <w:b/>
        </w:rPr>
        <w:t>Group ID:</w:t>
      </w:r>
      <w:r>
        <w:t xml:space="preserve"> group-35e6990f8e1501a03267</w:t>
      </w:r>
    </w:p>
    <w:p>
      <w:pPr>
        <w:pStyle w:val="SourceNote"/>
      </w:pPr>
      <w:r>
        <w:rPr>
          <w:b/>
        </w:rPr>
        <w:t>Original source:</w:t>
      </w:r>
      <w:r>
        <w:t xml:space="preserve"> https://doi.org/10.5194/gtes-2-55-2014</w:t>
      </w:r>
    </w:p>
    <w:p>
      <w:pPr/>
      <w:r>
        <w:rPr>
          <w:b/>
        </w:rPr>
        <w:t>Original future claim:</w:t>
      </w:r>
      <w:r>
        <w:t xml:space="preserve"> In this study the resource base for EGS (enhanced geothermal systems) in Europe was quantified and economically constrained, applying a discounted cash-flow model to different techno-economic scenarios for future EGS in 2020, 2030, and 2050. Calculations for a typical EGS scenario yield costs of EUR 215 MWh−1 in 2020, EUR 127 MWh−1 in 2030, and EUR 70 MWh−1 in 2050.</w:t>
      </w:r>
    </w:p>
    <w:p>
      <w:pPr/>
      <w:r>
        <w:rPr>
          <w:b/>
        </w:rPr>
        <w:t>Later source:</w:t>
      </w:r>
      <w:r>
        <w:t xml:space="preserve"> Seismic interplay during the GRT-1 stimulation series of the Rittershoffen EGS reservoir — https://doi.org/10.3389/feart.2026.1738377</w:t>
      </w:r>
    </w:p>
    <w:p>
      <w:pPr/>
      <w:r>
        <w:rPr>
          <w:b/>
        </w:rPr>
        <w:t>Later source:</w:t>
      </w:r>
      <w:r>
        <w:t xml:space="preserve"> Policy levers and technological opportunities to achieve decarbonisation in Europe at minimal cost — https://doi.org/10.7488/era/7048</w:t>
      </w:r>
    </w:p>
    <w:p>
      <w:pPr>
        <w:pStyle w:val="SourceNote"/>
      </w:pPr>
      <w:r>
        <w:rPr>
          <w:b/>
        </w:rPr>
        <w:t>Review status:</w:t>
      </w:r>
      <w:r>
        <w:t xml:space="preserve"> unchecked — possible relationship only</w:t>
      </w:r>
    </w:p>
    <w:p>
      <w:pPr>
        <w:pStyle w:val="Heading2"/>
      </w:pPr>
      <w:r>
        <w:t>322. Claim + two later sources: Outlook of the European forest-based sector: forest growth, harvest demand, wood-product markets, and forest carbon dynamics implications</w:t>
      </w:r>
    </w:p>
    <w:p>
      <w:pPr>
        <w:pStyle w:val="SourceNote"/>
      </w:pPr>
      <w:r>
        <w:rPr>
          <w:b/>
        </w:rPr>
        <w:t>Group ID:</w:t>
      </w:r>
      <w:r>
        <w:t xml:space="preserve"> group-2a350b2f169980d258c9</w:t>
      </w:r>
    </w:p>
    <w:p>
      <w:pPr>
        <w:pStyle w:val="SourceNote"/>
      </w:pPr>
      <w:r>
        <w:rPr>
          <w:b/>
        </w:rPr>
        <w:t>Original source:</w:t>
      </w:r>
      <w:r>
        <w:t xml:space="preserve"> https://doi.org/10.3832/ifor2636-011</w:t>
      </w:r>
    </w:p>
    <w:p>
      <w:pPr/>
      <w:r>
        <w:rPr>
          <w:b/>
        </w:rPr>
        <w:t>Original future claim:</w:t>
      </w:r>
      <w:r>
        <w:t xml:space="preserve"> In a business-as-usual (BaU) scenario, European Union harvests increase seven percent by 2030 compared to past levels (485 million m3 on 2000-2012 average and 517 million m3 in 2030). In the HM scenario, harvest increases by 55% (754 million m3 in 2030) compared to the BaU scenario.</w:t>
      </w:r>
    </w:p>
    <w:p>
      <w:pPr/>
      <w:r>
        <w:rPr>
          <w:b/>
        </w:rPr>
        <w:t>Later source:</w:t>
      </w:r>
      <w:r>
        <w:t xml:space="preserve"> Assessing the Air Quality Impacts of Net-Zero GHG Emissions in Europe and Switzerland with ICON-ART — https://doi.org/10.5194/egusphere-egu25-2578</w:t>
      </w:r>
    </w:p>
    <w:p>
      <w:pPr/>
      <w:r>
        <w:rPr>
          <w:b/>
        </w:rPr>
        <w:t>Later source:</w:t>
      </w:r>
      <w:r>
        <w:t xml:space="preserve"> Gallium: Assessing the Long-Term Future Extraction, Supply, Recycling, and Price of Using WORLD7, in Relation to Future Technology Visions in the European Union — https://doi.org/10.1007/s41247-025-00125-7</w:t>
      </w:r>
    </w:p>
    <w:p>
      <w:pPr>
        <w:pStyle w:val="SourceNote"/>
      </w:pPr>
      <w:r>
        <w:rPr>
          <w:b/>
        </w:rPr>
        <w:t>Review status:</w:t>
      </w:r>
      <w:r>
        <w:t xml:space="preserve"> unchecked — possible relationship only</w:t>
      </w:r>
    </w:p>
    <w:p>
      <w:pPr>
        <w:pStyle w:val="Heading2"/>
      </w:pPr>
      <w:r>
        <w:t>323. Claim + two later sources: Scenario planning as communicative action: Lessons from participatory exercises conducted for the Scottish livestock industry</w:t>
      </w:r>
    </w:p>
    <w:p>
      <w:pPr>
        <w:pStyle w:val="SourceNote"/>
      </w:pPr>
      <w:r>
        <w:rPr>
          <w:b/>
        </w:rPr>
        <w:t>Group ID:</w:t>
      </w:r>
      <w:r>
        <w:t xml:space="preserve"> group-ed7e8d4a2c878bf64246</w:t>
      </w:r>
    </w:p>
    <w:p>
      <w:pPr>
        <w:pStyle w:val="SourceNote"/>
      </w:pPr>
      <w:r>
        <w:rPr>
          <w:b/>
        </w:rPr>
        <w:t>Original source:</w:t>
      </w:r>
      <w:r>
        <w:t xml:space="preserve"> https://doi.org/10.1016/j.techfore.2016.07.034</w:t>
      </w:r>
    </w:p>
    <w:p>
      <w:pPr/>
      <w:r>
        <w:rPr>
          <w:b/>
        </w:rPr>
        <w:t>Original future claim:</w:t>
      </w:r>
      <w:r>
        <w:t xml:space="preserve"> The paper considers the extent to which the case study approximates the conditions for ‘ideal speech situations’ and how these conditions could be applied more widely in participatory scenario planning. The authors explore the rationale for participatory scenario planning within the science–policy interface with critical reference to the corporate context in which scenario planning has evolved.</w:t>
      </w:r>
    </w:p>
    <w:p>
      <w:pPr/>
      <w:r>
        <w:rPr>
          <w:b/>
        </w:rPr>
        <w:t>Later source:</w:t>
      </w:r>
      <w:r>
        <w:t xml:space="preserve"> Modelling the frequency and extent of waterlogging: a case study — https://doi.org/10.36334/modsim2025.j10.beverly</w:t>
      </w:r>
    </w:p>
    <w:p>
      <w:pPr/>
      <w:r>
        <w:rPr>
          <w:b/>
        </w:rPr>
        <w:t>Later source:</w:t>
      </w:r>
      <w:r>
        <w:t xml:space="preserve"> Extent of Underemployment among Government Service Employees in Kerala — https://openalex.org/W7218043265</w:t>
      </w:r>
    </w:p>
    <w:p>
      <w:pPr>
        <w:pStyle w:val="SourceNote"/>
      </w:pPr>
      <w:r>
        <w:rPr>
          <w:b/>
        </w:rPr>
        <w:t>Review status:</w:t>
      </w:r>
      <w:r>
        <w:t xml:space="preserve"> unchecked — possible relationship only</w:t>
      </w:r>
    </w:p>
    <w:p>
      <w:pPr>
        <w:pStyle w:val="Heading2"/>
      </w:pPr>
      <w:r>
        <w:t>324. Claim + two later sources: Toward Identification of the Priority Lines of Research in Nanotechnology on the Basis of the Technology Foresight NT for Podlaskie 2020</w:t>
      </w:r>
    </w:p>
    <w:p>
      <w:pPr>
        <w:pStyle w:val="SourceNote"/>
      </w:pPr>
      <w:r>
        <w:rPr>
          <w:b/>
        </w:rPr>
        <w:t>Group ID:</w:t>
      </w:r>
      <w:r>
        <w:t xml:space="preserve"> group-ffb5c12eaa3ae4542b49</w:t>
      </w:r>
    </w:p>
    <w:p>
      <w:pPr>
        <w:pStyle w:val="SourceNote"/>
      </w:pPr>
      <w:r>
        <w:rPr>
          <w:b/>
        </w:rPr>
        <w:t>Original source:</w:t>
      </w:r>
      <w:r>
        <w:t xml:space="preserve"> https://doi.org/10.7763/ijiet.2013.v3.293</w:t>
      </w:r>
    </w:p>
    <w:p>
      <w:pPr/>
      <w:r>
        <w:rPr>
          <w:b/>
        </w:rPr>
        <w:t>Original future claim:</w:t>
      </w:r>
      <w:r>
        <w:t xml:space="preserve"> Foresight projects have been used across the world in the process of anticipating the future by governments, regional authorities, companies and S&amp;R institutes.Foresight, together with its specific research tools and terminology, is becoming increasingly important also in Poland.From nearly 50 foresight projects implemented in Poland most of them is related with the technology and research development.The key issue of foresight methodology is to identify the key technologies/priority line of research.The paper presents a methodology of selection of priority lines of research in nanotechnology at regional scale.</w:t>
      </w:r>
    </w:p>
    <w:p>
      <w:pPr/>
      <w:r>
        <w:rPr>
          <w:b/>
        </w:rPr>
        <w:t>Later source:</w:t>
      </w:r>
      <w:r>
        <w:t xml:space="preserve"> From Reaction to Foresight: EUPHA’s vision for health security in Europe — https://doi.org/10.1093/eurpub/ckaf071</w:t>
      </w:r>
    </w:p>
    <w:p>
      <w:pPr/>
      <w:r>
        <w:rPr>
          <w:b/>
        </w:rPr>
        <w:t>Later source:</w:t>
      </w:r>
      <w:r>
        <w:t xml:space="preserve"> Article: Project FORESIGHT and Return on Investment — https://doi.org/10.4324/9780429318528-14</w:t>
      </w:r>
    </w:p>
    <w:p>
      <w:pPr>
        <w:pStyle w:val="SourceNote"/>
      </w:pPr>
      <w:r>
        <w:rPr>
          <w:b/>
        </w:rPr>
        <w:t>Review status:</w:t>
      </w:r>
      <w:r>
        <w:t xml:space="preserve"> unchecked — possible relationship only</w:t>
      </w:r>
    </w:p>
    <w:p>
      <w:pPr>
        <w:pStyle w:val="Heading2"/>
      </w:pPr>
      <w:r>
        <w:t>325. Claim + two later sources: Foresight technologies of economic systems: evidence from the tourism sector of Ukraine</w:t>
      </w:r>
    </w:p>
    <w:p>
      <w:pPr>
        <w:pStyle w:val="SourceNote"/>
      </w:pPr>
      <w:r>
        <w:rPr>
          <w:b/>
        </w:rPr>
        <w:t>Group ID:</w:t>
      </w:r>
      <w:r>
        <w:t xml:space="preserve"> group-9656dff343fc15e7eb8d</w:t>
      </w:r>
    </w:p>
    <w:p>
      <w:pPr>
        <w:pStyle w:val="SourceNote"/>
      </w:pPr>
      <w:r>
        <w:rPr>
          <w:b/>
        </w:rPr>
        <w:t>Original source:</w:t>
      </w:r>
      <w:r>
        <w:t xml:space="preserve"> https://doi.org/10.21511/ppm.18(4).2020.25</w:t>
      </w:r>
    </w:p>
    <w:p>
      <w:pPr/>
      <w:r>
        <w:rPr>
          <w:b/>
        </w:rPr>
        <w:t>Original future claim:</w:t>
      </w:r>
      <w:r>
        <w:t xml:space="preserve"> Accordingly, questions arise about the Ukrainian tourism sector’s ability to use the crisis as a prerequisite for recovery and growth.Based on the results of a two-round survey using the Delphi method among experts (56 at the first stage and 42 at the second) representing various tourism directions for Ukraine’s tourism sector up to 2030, six strategic development priorities were formed.</w:t>
      </w:r>
    </w:p>
    <w:p>
      <w:pPr/>
      <w:r>
        <w:rPr>
          <w:b/>
        </w:rPr>
        <w:t>Later source:</w:t>
      </w:r>
      <w:r>
        <w:t xml:space="preserve"> Criminal Liability Arising from the Use of Artificial Intelligence Applications — https://doi.org/10.5281/zenodo.19810638</w:t>
      </w:r>
    </w:p>
    <w:p>
      <w:pPr/>
      <w:r>
        <w:rPr>
          <w:b/>
        </w:rPr>
        <w:t>Later source:</w:t>
      </w:r>
      <w:r>
        <w:t xml:space="preserve"> THE CHARACTERISTICS OF LOSSES ARISING FROM THE MISUSE OF DEBTORS' PERSONAL DATA IN ONLINE LENDING AGREEMENTS — https://doi.org/10.28946/lexl.v8i1.3827</w:t>
      </w:r>
    </w:p>
    <w:p>
      <w:pPr>
        <w:pStyle w:val="SourceNote"/>
      </w:pPr>
      <w:r>
        <w:rPr>
          <w:b/>
        </w:rPr>
        <w:t>Review status:</w:t>
      </w:r>
      <w:r>
        <w:t xml:space="preserve"> unchecked — possible relationship only</w:t>
      </w:r>
    </w:p>
    <w:p>
      <w:pPr>
        <w:pStyle w:val="Heading2"/>
      </w:pPr>
      <w:r>
        <w:t>326. Claim + two later sources: The Dutch Public Health Foresight Study 2018: an example of a comprehensive foresight exercise</w:t>
      </w:r>
    </w:p>
    <w:p>
      <w:pPr>
        <w:pStyle w:val="SourceNote"/>
      </w:pPr>
      <w:r>
        <w:rPr>
          <w:b/>
        </w:rPr>
        <w:t>Group ID:</w:t>
      </w:r>
      <w:r>
        <w:t xml:space="preserve"> group-ca1fcdd5c8b130ebc0eb</w:t>
      </w:r>
    </w:p>
    <w:p>
      <w:pPr>
        <w:pStyle w:val="SourceNote"/>
      </w:pPr>
      <w:r>
        <w:rPr>
          <w:b/>
        </w:rPr>
        <w:t>Original source:</w:t>
      </w:r>
      <w:r>
        <w:t xml:space="preserve"> https://doi.org/10.1093/eurpub/ckz200</w:t>
      </w:r>
    </w:p>
    <w:p>
      <w:pPr/>
      <w:r>
        <w:rPr>
          <w:b/>
        </w:rPr>
        <w:t>Original future claim:</w:t>
      </w:r>
      <w:r>
        <w:t xml:space="preserve"> Conclusions Long-term thinking could be stimulated by using back casting techniques and stronger involvement of policy-makers in the elaboration of options for action. Lessons learned from developing intersectoral policy at the local level could be applied at the national level.</w:t>
      </w:r>
    </w:p>
    <w:p>
      <w:pPr/>
      <w:r>
        <w:rPr>
          <w:b/>
        </w:rPr>
        <w:t>Later source:</w:t>
      </w:r>
      <w:r>
        <w:t xml:space="preserve"> Redesigning Long-Term Care Policy Using Systems Thinking in the Post-Pandemic Era — https://doi.org/10.3390/systems14010079</w:t>
      </w:r>
    </w:p>
    <w:p>
      <w:pPr/>
      <w:r>
        <w:rPr>
          <w:b/>
        </w:rPr>
        <w:t>Later source:</w:t>
      </w:r>
      <w:r>
        <w:t xml:space="preserve"> Short-term thinking, long-term costs: How managerial myopia undermines green innovation — https://doi.org/10.4102/sajbm.v57i1.5337</w:t>
      </w:r>
    </w:p>
    <w:p>
      <w:pPr>
        <w:pStyle w:val="SourceNote"/>
      </w:pPr>
      <w:r>
        <w:rPr>
          <w:b/>
        </w:rPr>
        <w:t>Review status:</w:t>
      </w:r>
      <w:r>
        <w:t xml:space="preserve"> unchecked — possible relationship only</w:t>
      </w:r>
    </w:p>
    <w:p>
      <w:pPr>
        <w:pStyle w:val="Heading2"/>
      </w:pPr>
      <w:r>
        <w:t>327. Claim + two later sources: The future of the Mediterranean agri-food systems: Trends and perspectives from a Delphi survey</w:t>
      </w:r>
    </w:p>
    <w:p>
      <w:pPr>
        <w:pStyle w:val="SourceNote"/>
      </w:pPr>
      <w:r>
        <w:rPr>
          <w:b/>
        </w:rPr>
        <w:t>Group ID:</w:t>
      </w:r>
      <w:r>
        <w:t xml:space="preserve"> group-31363d9e37f13bb9a3a4</w:t>
      </w:r>
    </w:p>
    <w:p>
      <w:pPr>
        <w:pStyle w:val="SourceNote"/>
      </w:pPr>
      <w:r>
        <w:rPr>
          <w:b/>
        </w:rPr>
        <w:t>Original source:</w:t>
      </w:r>
      <w:r>
        <w:t xml:space="preserve"> https://doi.org/10.1016/j.landusepol.2022.106263</w:t>
      </w:r>
    </w:p>
    <w:p>
      <w:pPr/>
      <w:r>
        <w:rPr>
          <w:b/>
        </w:rPr>
        <w:t>Original future claim:</w:t>
      </w:r>
      <w:r>
        <w:t xml:space="preserve"> First, to identify the main challenges, trends and driving forces that influence the agri-food systems in the Mediterranean over a short (2020) and medium (2030) term. Second, to discuss the alternative policy responses to the challenges that the region will face in terms of water resource management, farming systems and agri-food value chains in terms of desirability and feasibility.</w:t>
      </w:r>
    </w:p>
    <w:p>
      <w:pPr/>
      <w:r>
        <w:rPr>
          <w:b/>
        </w:rPr>
        <w:t>Later source:</w:t>
      </w:r>
      <w:r>
        <w:t xml:space="preserve"> First-order homogenization — https://doi.org/10.1017/prm.2026.10125</w:t>
      </w:r>
    </w:p>
    <w:p>
      <w:pPr/>
      <w:r>
        <w:rPr>
          <w:b/>
        </w:rPr>
        <w:t>Later source:</w:t>
      </w:r>
      <w:r>
        <w:t xml:space="preserve"> NENUPHAR D5.3. Lessons learnt and recommendations to the main regional clusters (first version) — https://doi.org/10.5281/zenodo.19000171</w:t>
      </w:r>
    </w:p>
    <w:p>
      <w:pPr>
        <w:pStyle w:val="SourceNote"/>
      </w:pPr>
      <w:r>
        <w:rPr>
          <w:b/>
        </w:rPr>
        <w:t>Review status:</w:t>
      </w:r>
      <w:r>
        <w:t xml:space="preserve"> unchecked — possible relationship only</w:t>
      </w:r>
    </w:p>
    <w:p>
      <w:pPr>
        <w:pStyle w:val="Heading2"/>
      </w:pPr>
      <w:r>
        <w:t>328. Claim + two later sources: Implementing Dynamics of Immigration Integration in Labor Force Participation Projection in EU28</w:t>
      </w:r>
    </w:p>
    <w:p>
      <w:pPr>
        <w:pStyle w:val="SourceNote"/>
      </w:pPr>
      <w:r>
        <w:rPr>
          <w:b/>
        </w:rPr>
        <w:t>Group ID:</w:t>
      </w:r>
      <w:r>
        <w:t xml:space="preserve"> group-7601745ba45202c7cb2b</w:t>
      </w:r>
    </w:p>
    <w:p>
      <w:pPr>
        <w:pStyle w:val="SourceNote"/>
      </w:pPr>
      <w:r>
        <w:rPr>
          <w:b/>
        </w:rPr>
        <w:t>Original source:</w:t>
      </w:r>
      <w:r>
        <w:t xml:space="preserve"> https://doi.org/10.1007/s11113-019-09537-y</w:t>
      </w:r>
    </w:p>
    <w:p>
      <w:pPr/>
      <w:r>
        <w:rPr>
          <w:b/>
        </w:rPr>
        <w:t>Original future claim:</w:t>
      </w:r>
      <w:r>
        <w:t xml:space="preserve"> Then, the microsimulation model is used to project EU labor force population for the period 2015–2060 under different scenarios illustrating how implementing sex- and country-specific dynamics of immigrants’ integration may affect the future labor force in terms of size, rates, and gender composition. An increase in immigration levels leads obviously to an increase in the total labor force size, but may also widen gender inequalities in labor force participation and has limited impact on the total labor force participation rate.</w:t>
      </w:r>
    </w:p>
    <w:p>
      <w:pPr/>
      <w:r>
        <w:rPr>
          <w:b/>
        </w:rPr>
        <w:t>Later source:</w:t>
      </w:r>
      <w:r>
        <w:t xml:space="preserve"> A Microsimulation Model for Sustainability and Detailed Adequacy Analysis of the Retirement Pension System — https://doi.org/10.3390/math13030443</w:t>
      </w:r>
    </w:p>
    <w:p>
      <w:pPr/>
      <w:r>
        <w:rPr>
          <w:b/>
        </w:rPr>
        <w:t>Later source:</w:t>
      </w:r>
      <w:r>
        <w:t xml:space="preserve"> The burden of informal family caregiving in Europe, 2000–2050: a microsimulation modelling study — https://doi.org/10.1016/j.lanepe.2025.101295</w:t>
      </w:r>
    </w:p>
    <w:p>
      <w:pPr>
        <w:pStyle w:val="SourceNote"/>
      </w:pPr>
      <w:r>
        <w:rPr>
          <w:b/>
        </w:rPr>
        <w:t>Review status:</w:t>
      </w:r>
      <w:r>
        <w:t xml:space="preserve"> unchecked — possible relationship only</w:t>
      </w:r>
    </w:p>
    <w:p>
      <w:pPr>
        <w:pStyle w:val="Heading2"/>
      </w:pPr>
      <w:r>
        <w:t>329. Claim + two later sources: Towards the European Union's Foreign Policy 2025 – Taking Stock of the Dahrendorf Foresight Project</w:t>
      </w:r>
    </w:p>
    <w:p>
      <w:pPr>
        <w:pStyle w:val="SourceNote"/>
      </w:pPr>
      <w:r>
        <w:rPr>
          <w:b/>
        </w:rPr>
        <w:t>Group ID:</w:t>
      </w:r>
      <w:r>
        <w:t xml:space="preserve"> group-c6329de73ca28981ed13</w:t>
      </w:r>
    </w:p>
    <w:p>
      <w:pPr>
        <w:pStyle w:val="SourceNote"/>
      </w:pPr>
      <w:r>
        <w:rPr>
          <w:b/>
        </w:rPr>
        <w:t>Original source:</w:t>
      </w:r>
      <w:r>
        <w:t xml:space="preserve"> https://doi.org/10.1111/1758-5899.12438</w:t>
      </w:r>
    </w:p>
    <w:p>
      <w:pPr/>
      <w:r>
        <w:rPr>
          <w:b/>
        </w:rPr>
        <w:t>Original future claim:</w:t>
      </w:r>
      <w:r>
        <w:t xml:space="preserve"> Based on an analysis of the current state of the Union, this paper takes stock of the outcomes of the Dahrendorf Foresight Project and looks ahead at the EU 's role in the world of 2025.</w:t>
      </w:r>
    </w:p>
    <w:p>
      <w:pPr/>
      <w:r>
        <w:rPr>
          <w:b/>
        </w:rPr>
        <w:t>Later source:</w:t>
      </w:r>
      <w:r>
        <w:t xml:space="preserve"> Current state and potential of hospitals for automated healthcare-associated infection surveillance: data from 24 European countries, 2022 to 2023 — https://doi.org/10.2807/1560-7917.es.2026.31.19.2500736</w:t>
      </w:r>
    </w:p>
    <w:p>
      <w:pPr/>
      <w:r>
        <w:rPr>
          <w:b/>
        </w:rPr>
        <w:t>Later source:</w:t>
      </w:r>
      <w:r>
        <w:t xml:space="preserve"> Analysis of the current state of sewage sludge treatment from the perspective of current European directives — https://doi.org/10.1186/s12302-025-01097-7</w:t>
      </w:r>
    </w:p>
    <w:p>
      <w:pPr>
        <w:pStyle w:val="SourceNote"/>
      </w:pPr>
      <w:r>
        <w:rPr>
          <w:b/>
        </w:rPr>
        <w:t>Review status:</w:t>
      </w:r>
      <w:r>
        <w:t xml:space="preserve"> unchecked — possible relationship only</w:t>
      </w:r>
    </w:p>
    <w:p>
      <w:pPr>
        <w:pStyle w:val="Heading2"/>
      </w:pPr>
      <w:r>
        <w:t>330. Claim + two later sources: Prospects of labour migration pressure in Algeria, Morocco, Tunisia and Turkey</w:t>
      </w:r>
    </w:p>
    <w:p>
      <w:pPr>
        <w:pStyle w:val="SourceNote"/>
      </w:pPr>
      <w:r>
        <w:rPr>
          <w:b/>
        </w:rPr>
        <w:t>Group ID:</w:t>
      </w:r>
      <w:r>
        <w:t xml:space="preserve"> group-6d38ef6a946f724489ed</w:t>
      </w:r>
    </w:p>
    <w:p>
      <w:pPr>
        <w:pStyle w:val="SourceNote"/>
      </w:pPr>
      <w:r>
        <w:rPr>
          <w:b/>
        </w:rPr>
        <w:t>Original source:</w:t>
      </w:r>
      <w:r>
        <w:t xml:space="preserve"> https://doi.org/10.1186/s41118-016-0015-x</w:t>
      </w:r>
    </w:p>
    <w:p>
      <w:pPr/>
      <w:r>
        <w:rPr>
          <w:b/>
        </w:rPr>
        <w:t>Original future claim:</w:t>
      </w:r>
      <w:r>
        <w:t xml:space="preserve"> This model is then used as framework for deriving storylines for three different scenarios of economic and demographic change up to 2035. Subsequently, storylines are operationalized, leading to scenario estimates of migration pressure up to 2035.</w:t>
      </w:r>
    </w:p>
    <w:p>
      <w:pPr/>
      <w:r>
        <w:rPr>
          <w:b/>
        </w:rPr>
        <w:t>Later source:</w:t>
      </w:r>
      <w:r>
        <w:t xml:space="preserve"> Probabilistic storyline attribution using machine learning — https://doi.org/10.1088/3049-4753/aea4b7</w:t>
      </w:r>
    </w:p>
    <w:p>
      <w:pPr/>
      <w:r>
        <w:rPr>
          <w:b/>
        </w:rPr>
        <w:t>Later source:</w:t>
      </w:r>
      <w:r>
        <w:t xml:space="preserve"> Storyline Trees: Hierarchical Representations for Long-Form Narratives — https://doi.org/10.48550/arxiv.2606.20900</w:t>
      </w:r>
    </w:p>
    <w:p>
      <w:pPr>
        <w:pStyle w:val="SourceNote"/>
      </w:pPr>
      <w:r>
        <w:rPr>
          <w:b/>
        </w:rPr>
        <w:t>Review status:</w:t>
      </w:r>
      <w:r>
        <w:t xml:space="preserve"> unchecked — possible relationship only</w:t>
      </w:r>
    </w:p>
    <w:p>
      <w:pPr>
        <w:pStyle w:val="Heading2"/>
      </w:pPr>
      <w:r>
        <w:t>331. Claim + two later sources: Living within the safe operating space: a vision for a resource efficient Europe</w:t>
      </w:r>
    </w:p>
    <w:p>
      <w:pPr>
        <w:pStyle w:val="SourceNote"/>
      </w:pPr>
      <w:r>
        <w:rPr>
          <w:b/>
        </w:rPr>
        <w:t>Group ID:</w:t>
      </w:r>
      <w:r>
        <w:t xml:space="preserve"> group-0fe4c2687f25cb9d0599</w:t>
      </w:r>
    </w:p>
    <w:p>
      <w:pPr>
        <w:pStyle w:val="SourceNote"/>
      </w:pPr>
      <w:r>
        <w:rPr>
          <w:b/>
        </w:rPr>
        <w:t>Original source:</w:t>
      </w:r>
      <w:r>
        <w:t xml:space="preserve"> https://doi.org/10.1007/s40309-014-0048-3</w:t>
      </w:r>
    </w:p>
    <w:p>
      <w:pPr/>
      <w:r>
        <w:rPr>
          <w:b/>
        </w:rPr>
        <w:t>Original future claim:</w:t>
      </w:r>
      <w:r>
        <w:t xml:space="preserve"> We review and build on recent sustainability visions to develop a holistic reflection on what life in 2050 could look like, and explore the key changes in the economy needed to get there.</w:t>
      </w:r>
    </w:p>
    <w:p>
      <w:pPr/>
      <w:r>
        <w:rPr>
          <w:b/>
        </w:rPr>
        <w:t>Later source:</w:t>
      </w:r>
      <w:r>
        <w:t xml:space="preserve"> Barriers to healthcare for racialised populations in Europe: a scoping review of reviews — https://doi.org/10.1186/s12939-025-02577-1</w:t>
      </w:r>
    </w:p>
    <w:p>
      <w:pPr/>
      <w:r>
        <w:rPr>
          <w:b/>
        </w:rPr>
        <w:t>Later source:</w:t>
      </w:r>
      <w:r>
        <w:t xml:space="preserve"> A scoping review of seismic risk communication in Europe — https://doi.org/10.3389/feart.2023.1155576</w:t>
      </w:r>
    </w:p>
    <w:p>
      <w:pPr>
        <w:pStyle w:val="SourceNote"/>
      </w:pPr>
      <w:r>
        <w:rPr>
          <w:b/>
        </w:rPr>
        <w:t>Review status:</w:t>
      </w:r>
      <w:r>
        <w:t xml:space="preserve"> unchecked — possible relationship only</w:t>
      </w:r>
    </w:p>
    <w:p>
      <w:pPr>
        <w:pStyle w:val="Heading2"/>
      </w:pPr>
      <w:r>
        <w:t>332. Claim + two later sources: Health horizons: Future trends and technologies from the European Medicines Agency’s horizon scanning collaborations</w:t>
      </w:r>
    </w:p>
    <w:p>
      <w:pPr>
        <w:pStyle w:val="SourceNote"/>
      </w:pPr>
      <w:r>
        <w:rPr>
          <w:b/>
        </w:rPr>
        <w:t>Group ID:</w:t>
      </w:r>
      <w:r>
        <w:t xml:space="preserve"> group-bcffdf30b134abad9627</w:t>
      </w:r>
    </w:p>
    <w:p>
      <w:pPr>
        <w:pStyle w:val="SourceNote"/>
      </w:pPr>
      <w:r>
        <w:rPr>
          <w:b/>
        </w:rPr>
        <w:t>Original source:</w:t>
      </w:r>
      <w:r>
        <w:t xml:space="preserve"> https://doi.org/10.3389/fmed.2022.1064003</w:t>
      </w:r>
    </w:p>
    <w:p>
      <w:pPr/>
      <w:r>
        <w:rPr>
          <w:b/>
        </w:rPr>
        <w:t>Original future claim:</w:t>
      </w:r>
      <w:r>
        <w:t xml:space="preserve"> In this context, the European Medicines Agency uses horizon scanning to shine a light on early signals of relevant innovation and technological trends with impact on medicinal products. For each of these trends, the expected impact and challenges for their adoption are discussed, along with recommendations for developers, regulators and policy makers.</w:t>
      </w:r>
    </w:p>
    <w:p>
      <w:pPr/>
      <w:r>
        <w:rPr>
          <w:b/>
        </w:rPr>
        <w:t>Later source:</w:t>
      </w:r>
      <w:r>
        <w:t xml:space="preserve"> ANALYZING THE FEASIBILITY OF ADOPTING THE HUMAN MEDICINES REGULATORY PATHWAYS OF THE EUROPEAN MEDICINES AGENCY FOR THE AFRICAN MEDICINES AGENCY — https://doi.org/10.5281/zenodo.18206130</w:t>
      </w:r>
    </w:p>
    <w:p>
      <w:pPr/>
      <w:r>
        <w:rPr>
          <w:b/>
        </w:rPr>
        <w:t>Later source:</w:t>
      </w:r>
      <w:r>
        <w:t xml:space="preserve"> Horizon scan of the clinical development landscape of biosimilar products in the UK and EU — https://doi.org/10.1017/s0266462326103468</w:t>
      </w:r>
    </w:p>
    <w:p>
      <w:pPr>
        <w:pStyle w:val="SourceNote"/>
      </w:pPr>
      <w:r>
        <w:rPr>
          <w:b/>
        </w:rPr>
        <w:t>Review status:</w:t>
      </w:r>
      <w:r>
        <w:t xml:space="preserve"> unchecked — possible relationship only</w:t>
      </w:r>
    </w:p>
    <w:p>
      <w:pPr>
        <w:pStyle w:val="Heading2"/>
      </w:pPr>
      <w:r>
        <w:t>333. Claim + two later sources: The Public Health Status and Foresight report 2014: Four normative perspectives on a healthier Netherlands in 2040</w:t>
      </w:r>
    </w:p>
    <w:p>
      <w:pPr>
        <w:pStyle w:val="SourceNote"/>
      </w:pPr>
      <w:r>
        <w:rPr>
          <w:b/>
        </w:rPr>
        <w:t>Group ID:</w:t>
      </w:r>
      <w:r>
        <w:t xml:space="preserve"> group-85aa8ea28a4725332155</w:t>
      </w:r>
    </w:p>
    <w:p>
      <w:pPr>
        <w:pStyle w:val="SourceNote"/>
      </w:pPr>
      <w:r>
        <w:rPr>
          <w:b/>
        </w:rPr>
        <w:t>Original source:</w:t>
      </w:r>
      <w:r>
        <w:t xml:space="preserve"> https://doi.org/10.1016/j.healthpol.2018.10.014</w:t>
      </w:r>
    </w:p>
    <w:p>
      <w:pPr/>
      <w:r>
        <w:rPr>
          <w:b/>
        </w:rPr>
        <w:t>Original future claim:</w:t>
      </w:r>
      <w:r>
        <w:t xml:space="preserve"> We organized meetings with experts to explore how engagement and policy strategies in each scenario would affect the other three societal challenges. Possible synergies and trade-offs between the four scenarios were identified.</w:t>
      </w:r>
    </w:p>
    <w:p>
      <w:pPr/>
      <w:r>
        <w:rPr>
          <w:b/>
        </w:rPr>
        <w:t>Later source:</w:t>
      </w:r>
      <w:r>
        <w:t xml:space="preserve"> European Cancer Prevention Organization on cancer screening: an expert panel position paper — https://doi.org/10.1097/cej.0000000000001025</w:t>
      </w:r>
    </w:p>
    <w:p>
      <w:pPr/>
      <w:r>
        <w:rPr>
          <w:b/>
        </w:rPr>
        <w:t>Later source:</w:t>
      </w:r>
      <w:r>
        <w:t xml:space="preserve"> Polytraps in European rural mountainous regions: an expert view — https://doi.org/10.1080/09654313.2025.2473380</w:t>
      </w:r>
    </w:p>
    <w:p>
      <w:pPr>
        <w:pStyle w:val="SourceNote"/>
      </w:pPr>
      <w:r>
        <w:rPr>
          <w:b/>
        </w:rPr>
        <w:t>Review status:</w:t>
      </w:r>
      <w:r>
        <w:t xml:space="preserve"> unchecked — possible relationship only</w:t>
      </w:r>
    </w:p>
    <w:p>
      <w:pPr>
        <w:pStyle w:val="Heading2"/>
      </w:pPr>
      <w:r>
        <w:t>334. Claim + two later sources: Secular stagnation – are we stuck in Summers' long winter?</w:t>
      </w:r>
    </w:p>
    <w:p>
      <w:pPr>
        <w:pStyle w:val="SourceNote"/>
      </w:pPr>
      <w:r>
        <w:rPr>
          <w:b/>
        </w:rPr>
        <w:t>Group ID:</w:t>
      </w:r>
      <w:r>
        <w:t xml:space="preserve"> group-5304f4cf73c44b61a849</w:t>
      </w:r>
    </w:p>
    <w:p>
      <w:pPr>
        <w:pStyle w:val="SourceNote"/>
      </w:pPr>
      <w:r>
        <w:rPr>
          <w:b/>
        </w:rPr>
        <w:t>Original source:</w:t>
      </w:r>
      <w:r>
        <w:t xml:space="preserve"> https://doi.org/10.1111/1468-0319.12197</w:t>
      </w:r>
    </w:p>
    <w:p>
      <w:pPr/>
      <w:r>
        <w:rPr>
          <w:b/>
        </w:rPr>
        <w:t>Original future claim:</w:t>
      </w:r>
      <w:r>
        <w:t xml:space="preserve"> Growth could be stronger were it not for the sizeable drag from fiscal consolidation over the next four years and the dampening effect that this will have on activity. Usually this would drive a period of strong economic growth, but we expect GDP growth to average a relatively underwhelming 2.4% a year over this period, largely due to the drag from aggressive fiscal consolidation.</w:t>
      </w:r>
    </w:p>
    <w:p>
      <w:pPr/>
      <w:r>
        <w:rPr>
          <w:b/>
        </w:rPr>
        <w:t>Later source:</w:t>
      </w:r>
      <w:r>
        <w:t xml:space="preserve"> Impact of fiscal sustainability on economic growth in Kenya — https://doi.org/10.65748/fiqf-2026-0001</w:t>
      </w:r>
    </w:p>
    <w:p>
      <w:pPr/>
      <w:r>
        <w:rPr>
          <w:b/>
        </w:rPr>
        <w:t>Later source:</w:t>
      </w:r>
      <w:r>
        <w:t xml:space="preserve"> Fiscal Policy, Debt Management and Economic Growth in Nigeria — https://doi.org/10.47772/ijriss.2026.100500380</w:t>
      </w:r>
    </w:p>
    <w:p>
      <w:pPr>
        <w:pStyle w:val="SourceNote"/>
      </w:pPr>
      <w:r>
        <w:rPr>
          <w:b/>
        </w:rPr>
        <w:t>Review status:</w:t>
      </w:r>
      <w:r>
        <w:t xml:space="preserve"> unchecked — possible relationship only</w:t>
      </w:r>
    </w:p>
    <w:p>
      <w:pPr>
        <w:pStyle w:val="Heading2"/>
      </w:pPr>
      <w:r>
        <w:t>335. Claim + two later sources: The biological transformation of industrial manufacturing – Technologies, status and scenarios for a sustainable future of the German manufacturing industry</w:t>
      </w:r>
    </w:p>
    <w:p>
      <w:pPr>
        <w:pStyle w:val="SourceNote"/>
      </w:pPr>
      <w:r>
        <w:rPr>
          <w:b/>
        </w:rPr>
        <w:t>Group ID:</w:t>
      </w:r>
      <w:r>
        <w:t xml:space="preserve"> group-0d56d7dfb9f5d482d756</w:t>
      </w:r>
    </w:p>
    <w:p>
      <w:pPr>
        <w:pStyle w:val="SourceNote"/>
      </w:pPr>
      <w:r>
        <w:rPr>
          <w:b/>
        </w:rPr>
        <w:t>Original source:</w:t>
      </w:r>
      <w:r>
        <w:t xml:space="preserve"> https://doi.org/10.1016/j.jmsy.2019.11.006</w:t>
      </w:r>
    </w:p>
    <w:p>
      <w:pPr/>
      <w:r>
        <w:rPr>
          <w:b/>
        </w:rPr>
        <w:t>Original future claim:</w:t>
      </w:r>
      <w:r>
        <w:t xml:space="preserve"> We conclude with a summary and recommendations for decision makers in politics, industries and research. In this context, the soaring possibilities of bio- and information technology have recently let few authors develop the vision of a biological transformation of manufacturing, a concept that to date has been barely concrete to politicians, scientists, and managers.</w:t>
      </w:r>
    </w:p>
    <w:p>
      <w:pPr/>
      <w:r>
        <w:rPr>
          <w:b/>
        </w:rPr>
        <w:t>Later source:</w:t>
      </w:r>
      <w:r>
        <w:t xml:space="preserve"> Summary, Conclusions and Recommendations — https://doi.org/10.1201/9781003759744-14</w:t>
      </w:r>
    </w:p>
    <w:p>
      <w:pPr/>
      <w:r>
        <w:rPr>
          <w:b/>
        </w:rPr>
        <w:t>Later source:</w:t>
      </w:r>
      <w:r>
        <w:t xml:space="preserve"> Guidance on negative emissions for cities - Summary for Decision Makers — https://doi.org/10.2760/4262978</w:t>
      </w:r>
    </w:p>
    <w:p>
      <w:pPr>
        <w:pStyle w:val="SourceNote"/>
      </w:pPr>
      <w:r>
        <w:rPr>
          <w:b/>
        </w:rPr>
        <w:t>Review status:</w:t>
      </w:r>
      <w:r>
        <w:t xml:space="preserve"> unchecked — possible relationship only</w:t>
      </w:r>
    </w:p>
    <w:p>
      <w:pPr>
        <w:pStyle w:val="Heading2"/>
      </w:pPr>
      <w:r>
        <w:t>336. Claim + two later sources: (Re)politicization of climate change mitigating projects: environmental forms and motives of the Seine Nord Europe canal</w:t>
      </w:r>
    </w:p>
    <w:p>
      <w:pPr>
        <w:pStyle w:val="SourceNote"/>
      </w:pPr>
      <w:r>
        <w:rPr>
          <w:b/>
        </w:rPr>
        <w:t>Group ID:</w:t>
      </w:r>
      <w:r>
        <w:t xml:space="preserve"> group-f331c836f6e4b7519981</w:t>
      </w:r>
    </w:p>
    <w:p>
      <w:pPr>
        <w:pStyle w:val="SourceNote"/>
      </w:pPr>
      <w:r>
        <w:rPr>
          <w:b/>
        </w:rPr>
        <w:t>Original source:</w:t>
      </w:r>
      <w:r>
        <w:t xml:space="preserve"> https://doi.org/10.1186/s40309-022-00195-6</w:t>
      </w:r>
    </w:p>
    <w:p>
      <w:pPr/>
      <w:r>
        <w:rPr>
          <w:b/>
        </w:rPr>
        <w:t>Original future claim:</w:t>
      </w:r>
      <w:r>
        <w:t xml:space="preserve"> Based on the concepts of environmental forms and motives, we reconstructed the environmental ontologies ignored by the dominant discourse and assembled them into three alternative scenarios. Using the example of the Seine Nord Europe Canal project, we show a politicization of the territorial future and a depoliticization of the environmental future.</w:t>
      </w:r>
    </w:p>
    <w:p>
      <w:pPr/>
      <w:r>
        <w:rPr>
          <w:b/>
        </w:rPr>
        <w:t>Later source:</w:t>
      </w:r>
      <w:r>
        <w:t xml:space="preserve"> Environmental risks and ecological integrity: the new european rules on nature restoration — https://doi.org/10.5194/egusphere-egu26-17987</w:t>
      </w:r>
    </w:p>
    <w:p>
      <w:pPr/>
      <w:r>
        <w:rPr>
          <w:b/>
        </w:rPr>
        <w:t>Later source:</w:t>
      </w:r>
      <w:r>
        <w:t xml:space="preserve"> Place-based leadership and environmental conflicts in the European Union — https://doi.org/10.1080/00343404.2025.2486644</w:t>
      </w:r>
    </w:p>
    <w:p>
      <w:pPr>
        <w:pStyle w:val="SourceNote"/>
      </w:pPr>
      <w:r>
        <w:rPr>
          <w:b/>
        </w:rPr>
        <w:t>Review status:</w:t>
      </w:r>
      <w:r>
        <w:t xml:space="preserve"> unchecked — possible relationship only</w:t>
      </w:r>
    </w:p>
    <w:p>
      <w:pPr>
        <w:pStyle w:val="Heading2"/>
      </w:pPr>
      <w:r>
        <w:t>337. Claim + two later sources: PROGNOZY WYDAJNOŚCI MLECZNEJ KRÓW W POLSCE I W UNII EUROPEJSKIEJ NA LATA 2030 I 2050</w:t>
      </w:r>
    </w:p>
    <w:p>
      <w:pPr>
        <w:pStyle w:val="SourceNote"/>
      </w:pPr>
      <w:r>
        <w:rPr>
          <w:b/>
        </w:rPr>
        <w:t>Group ID:</w:t>
      </w:r>
      <w:r>
        <w:t xml:space="preserve"> group-36ab9688d58d22d97c4e</w:t>
      </w:r>
    </w:p>
    <w:p>
      <w:pPr>
        <w:pStyle w:val="SourceNote"/>
      </w:pPr>
      <w:r>
        <w:rPr>
          <w:b/>
        </w:rPr>
        <w:t>Original source:</w:t>
      </w:r>
      <w:r>
        <w:t xml:space="preserve"> https://doi.org/10.22004/ag.econ.233003</w:t>
      </w:r>
    </w:p>
    <w:p>
      <w:pPr/>
      <w:r>
        <w:rPr>
          <w:b/>
        </w:rPr>
        <w:t>Original future claim:</w:t>
      </w:r>
      <w:r>
        <w:t xml:space="preserve"> According to the CAPRI model in 2030 and 2050, the average milk yield in Poland will increase by 22 and 28% compared to 2010. On the basis of trend analysis, in 2030 for the average data from the CSO index of growth is 41%, and 46 and 60%, respectively for PFHBiPM and FADN.</w:t>
      </w:r>
    </w:p>
    <w:p>
      <w:pPr/>
      <w:r>
        <w:rPr>
          <w:b/>
        </w:rPr>
        <w:t>Later source:</w:t>
      </w:r>
      <w:r>
        <w:t xml:space="preserve"> EU Wide Disaggregated CAPRI Model Data: Crops, Livestock, Nitrogen In- and Outputs (Timeseries 2000-2018) — https://doi.org/10.1038/s41597-026-06919-8</w:t>
      </w:r>
    </w:p>
    <w:p>
      <w:pPr/>
      <w:r>
        <w:rPr>
          <w:b/>
        </w:rPr>
        <w:t>Later source:</w:t>
      </w:r>
      <w:r>
        <w:t xml:space="preserve"> Modeling the Profitability of Milk Production—A Simulation Approach — https://doi.org/10.3390/agriculture15131409</w:t>
      </w:r>
    </w:p>
    <w:p>
      <w:pPr>
        <w:pStyle w:val="SourceNote"/>
      </w:pPr>
      <w:r>
        <w:rPr>
          <w:b/>
        </w:rPr>
        <w:t>Review status:</w:t>
      </w:r>
      <w:r>
        <w:t xml:space="preserve"> unchecked — possible relationship only</w:t>
      </w:r>
    </w:p>
    <w:p>
      <w:pPr>
        <w:pStyle w:val="Heading2"/>
      </w:pPr>
      <w:r>
        <w:t>338. Claim + two later sources: Future Low-Carbon Transport Scenarios: Practice Theory-Based Visioning for Backcasting Studies</w:t>
      </w:r>
    </w:p>
    <w:p>
      <w:pPr>
        <w:pStyle w:val="SourceNote"/>
      </w:pPr>
      <w:r>
        <w:rPr>
          <w:b/>
        </w:rPr>
        <w:t>Group ID:</w:t>
      </w:r>
      <w:r>
        <w:t xml:space="preserve"> group-468e4984cd3749643be7</w:t>
      </w:r>
    </w:p>
    <w:p>
      <w:pPr>
        <w:pStyle w:val="SourceNote"/>
      </w:pPr>
      <w:r>
        <w:rPr>
          <w:b/>
        </w:rPr>
        <w:t>Original source:</w:t>
      </w:r>
      <w:r>
        <w:t xml:space="preserve"> https://doi.org/10.3390/su14010074</w:t>
      </w:r>
    </w:p>
    <w:p>
      <w:pPr/>
      <w:r>
        <w:rPr>
          <w:b/>
        </w:rPr>
        <w:t>Original future claim:</w:t>
      </w:r>
      <w:r>
        <w:t xml:space="preserve"> The visioning exercise resulted in the development of four different scenarios: the business-as-usual scenario and three alternative scenarios for transport in 2050 in Malta; High-Tech Mobility (with a focus on clean technology); Local Mobility (with more local travel and reducing the need to travel over longer distances); and Green and Active Mobility (where active forms of travel are prioritised over motorised forms of transport). The visioning phase, which involves the construction of a set of scenarios describing alternative futures, is the first phase in backcasting, and engaging different stakeholders during the visioning phase is considered an important aspect in transport studies.</w:t>
      </w:r>
    </w:p>
    <w:p>
      <w:pPr/>
      <w:r>
        <w:rPr>
          <w:b/>
        </w:rPr>
        <w:t>Later source:</w:t>
      </w:r>
      <w:r>
        <w:t xml:space="preserve"> Imaginaries of European Technology Frontrunners : Towards the Silicon Valley Vision or the European Dream? — https://openalex.org/W7204372713</w:t>
      </w:r>
    </w:p>
    <w:p>
      <w:pPr/>
      <w:r>
        <w:rPr>
          <w:b/>
        </w:rPr>
        <w:t>Later source:</w:t>
      </w:r>
      <w:r>
        <w:t xml:space="preserve"> From Reaction to Foresight: EUPHA’s vision for health security in Europe — https://doi.org/10.1093/eurpub/ckaf071</w:t>
      </w:r>
    </w:p>
    <w:p>
      <w:pPr>
        <w:pStyle w:val="SourceNote"/>
      </w:pPr>
      <w:r>
        <w:rPr>
          <w:b/>
        </w:rPr>
        <w:t>Review status:</w:t>
      </w:r>
      <w:r>
        <w:t xml:space="preserve"> unchecked — possible relationship only</w:t>
      </w:r>
    </w:p>
    <w:p>
      <w:pPr>
        <w:pStyle w:val="Heading2"/>
      </w:pPr>
      <w:r>
        <w:t>339. Claim + two later sources: An assessment of the impact of climate adaptation measures to reduce flood risk on ecosystem services</w:t>
      </w:r>
    </w:p>
    <w:p>
      <w:pPr>
        <w:pStyle w:val="SourceNote"/>
      </w:pPr>
      <w:r>
        <w:rPr>
          <w:b/>
        </w:rPr>
        <w:t>Group ID:</w:t>
      </w:r>
      <w:r>
        <w:t xml:space="preserve"> group-f277b02b0df5f9502cca</w:t>
      </w:r>
    </w:p>
    <w:p>
      <w:pPr>
        <w:pStyle w:val="SourceNote"/>
      </w:pPr>
      <w:r>
        <w:rPr>
          <w:b/>
        </w:rPr>
        <w:t>Original source:</w:t>
      </w:r>
      <w:r>
        <w:t xml:space="preserve"> https://doi.org/10.1007/s10980-012-9715-6</w:t>
      </w:r>
    </w:p>
    <w:p>
      <w:pPr/>
      <w:r>
        <w:rPr>
          <w:b/>
        </w:rPr>
        <w:t>Original future claim:</w:t>
      </w:r>
      <w:r>
        <w:t xml:space="preserve"> Therefore, it is likely that adaptation measures may result in synergies and trade-offs between a range of ecosystems goods and services. The reference scenario is compared to a policy scenario in which a range of measures is implemented to regulate flood risk and protect soils under conditions of climate change.</w:t>
      </w:r>
    </w:p>
    <w:p>
      <w:pPr/>
      <w:r>
        <w:rPr>
          <w:b/>
        </w:rPr>
        <w:t>Later source:</w:t>
      </w:r>
      <w:r>
        <w:t xml:space="preserve"> Aneuploidy Can Be an Evolutionary Diversion on the Path to Adaptation — https://doi.org/10.1093/molbev/msae052</w:t>
      </w:r>
    </w:p>
    <w:p>
      <w:pPr/>
      <w:r>
        <w:rPr>
          <w:b/>
        </w:rPr>
        <w:t>Later source:</w:t>
      </w:r>
      <w:r>
        <w:t xml:space="preserve"> Environmental effects on genetic variance are likely to constrain adaptation in novel environments — https://doi.org/10.1093/evlett/qrad065</w:t>
      </w:r>
    </w:p>
    <w:p>
      <w:pPr>
        <w:pStyle w:val="SourceNote"/>
      </w:pPr>
      <w:r>
        <w:rPr>
          <w:b/>
        </w:rPr>
        <w:t>Review status:</w:t>
      </w:r>
      <w:r>
        <w:t xml:space="preserve"> unchecked — possible relationship only</w:t>
      </w:r>
    </w:p>
    <w:p>
      <w:pPr>
        <w:pStyle w:val="Heading2"/>
      </w:pPr>
      <w:r>
        <w:t>340. Claim + two later sources: Conditional forecasts of tourism exports and tourism export prices of the EU-15 within a global vector autoregression framework</w:t>
      </w:r>
    </w:p>
    <w:p>
      <w:pPr>
        <w:pStyle w:val="SourceNote"/>
      </w:pPr>
      <w:r>
        <w:rPr>
          <w:b/>
        </w:rPr>
        <w:t>Group ID:</w:t>
      </w:r>
      <w:r>
        <w:t xml:space="preserve"> group-ec3a451e063153cfc94c</w:t>
      </w:r>
    </w:p>
    <w:p>
      <w:pPr>
        <w:pStyle w:val="SourceNote"/>
      </w:pPr>
      <w:r>
        <w:rPr>
          <w:b/>
        </w:rPr>
        <w:t>Original source:</w:t>
      </w:r>
      <w:r>
        <w:t xml:space="preserve"> https://doi.org/10.1108/jtf-01-2017-0001</w:t>
      </w:r>
    </w:p>
    <w:p>
      <w:pPr/>
      <w:r>
        <w:rPr>
          <w:b/>
        </w:rPr>
        <w:t>Original future claim:</w:t>
      </w:r>
      <w:r>
        <w:t xml:space="preserve"> Purpose The purpose of this paper is to analyze the ex ante projected future trajectories of real tourism exports and relative tourism export prices of the EU-15, conditional on expert real gross domestic product growth forecasts for the global economy provided by the Organisation for Economic Co-operation and Development for the years 2013-2017.</w:t>
      </w:r>
    </w:p>
    <w:p>
      <w:pPr/>
      <w:r>
        <w:rPr>
          <w:b/>
        </w:rPr>
        <w:t>Later source:</w:t>
      </w:r>
      <w:r>
        <w:t xml:space="preserve"> Lagged effect of tourism on environmental pollution: a comparative analysis among sub-Saharan African, European and Asian countries — https://doi.org/10.1007/s43621-025-02058-z</w:t>
      </w:r>
    </w:p>
    <w:p>
      <w:pPr/>
      <w:r>
        <w:rPr>
          <w:b/>
        </w:rPr>
        <w:t>Later source:</w:t>
      </w:r>
      <w:r>
        <w:t xml:space="preserve"> Google and Apple mobility data as predictors for European tourism during the COVID-19 pandemic: A neural network approach — https://doi.org/10.24136/eq.2023.013</w:t>
      </w:r>
    </w:p>
    <w:p>
      <w:pPr>
        <w:pStyle w:val="SourceNote"/>
      </w:pPr>
      <w:r>
        <w:rPr>
          <w:b/>
        </w:rPr>
        <w:t>Review status:</w:t>
      </w:r>
      <w:r>
        <w:t xml:space="preserve"> unchecked — possible relationship only</w:t>
      </w:r>
    </w:p>
    <w:p>
      <w:pPr>
        <w:pStyle w:val="Heading2"/>
      </w:pPr>
      <w:r>
        <w:t>341. Claim + two later sources: Balancing GHG mitigation and land-use conflicts: Alternative Northern European energy system scenarios</w:t>
      </w:r>
    </w:p>
    <w:p>
      <w:pPr>
        <w:pStyle w:val="SourceNote"/>
      </w:pPr>
      <w:r>
        <w:rPr>
          <w:b/>
        </w:rPr>
        <w:t>Group ID:</w:t>
      </w:r>
      <w:r>
        <w:t xml:space="preserve"> group-aec6c29d993bfe5f72c4</w:t>
      </w:r>
    </w:p>
    <w:p>
      <w:pPr>
        <w:pStyle w:val="SourceNote"/>
      </w:pPr>
      <w:r>
        <w:rPr>
          <w:b/>
        </w:rPr>
        <w:t>Original source:</w:t>
      </w:r>
      <w:r>
        <w:t xml:space="preserve"> https://doi.org/10.1016/j.apenergy.2022.118557</w:t>
      </w:r>
    </w:p>
    <w:p>
      <w:pPr/>
      <w:r>
        <w:rPr>
          <w:b/>
        </w:rPr>
        <w:t>Original future claim:</w:t>
      </w:r>
      <w:r>
        <w:t xml:space="preserve"> The results show that the least-cost solution requires 1.2%–3.6% of the land in the modeled countries in 2040 for onshore wind and solar PV installations. Nuclear energy may also be an option if both onshore and offshore areas are to be reduced, or in a less flexible system.</w:t>
      </w:r>
    </w:p>
    <w:p>
      <w:pPr/>
      <w:r>
        <w:rPr>
          <w:b/>
        </w:rPr>
        <w:t>Later source:</w:t>
      </w:r>
      <w:r>
        <w:t xml:space="preserve"> Assimilating ESA CCI land surface temperature into the ORCHIDEE land surface model: insights from a multi-site study across Europe — https://doi.org/10.5194/hess-29-261-2025</w:t>
      </w:r>
    </w:p>
    <w:p>
      <w:pPr/>
      <w:r>
        <w:rPr>
          <w:b/>
        </w:rPr>
        <w:t>Later source:</w:t>
      </w:r>
      <w:r>
        <w:t xml:space="preserve"> The Cost-Effectiveness of Renewable Energy Sources in the European Union’s Ecological Economic Framework — https://doi.org/10.3390/su17104715</w:t>
      </w:r>
    </w:p>
    <w:p>
      <w:pPr>
        <w:pStyle w:val="SourceNote"/>
      </w:pPr>
      <w:r>
        <w:rPr>
          <w:b/>
        </w:rPr>
        <w:t>Review status:</w:t>
      </w:r>
      <w:r>
        <w:t xml:space="preserve"> unchecked — possible relationship only</w:t>
      </w:r>
    </w:p>
    <w:p>
      <w:pPr>
        <w:pStyle w:val="Heading2"/>
      </w:pPr>
      <w:r>
        <w:t>342. Claim + two later sources: A Transport Policy Tool for Reduction of Co2 Emissions in Finland – Visions, Scenarios and Pathways using Pluralistic Backcasting Method</w:t>
      </w:r>
    </w:p>
    <w:p>
      <w:pPr>
        <w:pStyle w:val="SourceNote"/>
      </w:pPr>
      <w:r>
        <w:rPr>
          <w:b/>
        </w:rPr>
        <w:t>Group ID:</w:t>
      </w:r>
      <w:r>
        <w:t xml:space="preserve"> group-0dc19b92264c3d53f2ca</w:t>
      </w:r>
    </w:p>
    <w:p>
      <w:pPr>
        <w:pStyle w:val="SourceNote"/>
      </w:pPr>
      <w:r>
        <w:rPr>
          <w:b/>
        </w:rPr>
        <w:t>Original source:</w:t>
      </w:r>
      <w:r>
        <w:t xml:space="preserve"> https://doi.org/10.1016/j.trpro.2015.12.016</w:t>
      </w:r>
    </w:p>
    <w:p>
      <w:pPr/>
      <w:r>
        <w:rPr>
          <w:b/>
        </w:rPr>
        <w:t>Original future claim:</w:t>
      </w:r>
      <w:r>
        <w:t xml:space="preserve"> The reduction of greenhouse gas emission was the basis of a Delphi study where expert opinions about future development were asked and used to form visions of the future, and further elaborated to scenarios using a pluralistic backcasting method. A new innovative approach on how to use and combine methods and data from various disciplines in scenario modelling, on transport policy packaging and determining pathways to reach the desired futures, is presented for two of the visions analysed in detail.</w:t>
      </w:r>
    </w:p>
    <w:p>
      <w:pPr/>
      <w:r>
        <w:rPr>
          <w:b/>
        </w:rPr>
        <w:t>Later source:</w:t>
      </w:r>
      <w:r>
        <w:t xml:space="preserve"> Association patterns of renewables and greenhouse gas emission reduction in the European Union — https://doi.org/10.2139/ssrn.6144181</w:t>
      </w:r>
    </w:p>
    <w:p>
      <w:pPr/>
      <w:r>
        <w:rPr>
          <w:b/>
        </w:rPr>
        <w:t>Later source:</w:t>
      </w:r>
      <w:r>
        <w:t xml:space="preserve"> The greenhouse gas reduction gap in manufacturing companies: An action-research framework for European reporting requirements — https://doi.org/10.1016/j.cesys.2026.100406</w:t>
      </w:r>
    </w:p>
    <w:p>
      <w:pPr>
        <w:pStyle w:val="SourceNote"/>
      </w:pPr>
      <w:r>
        <w:rPr>
          <w:b/>
        </w:rPr>
        <w:t>Review status:</w:t>
      </w:r>
      <w:r>
        <w:t xml:space="preserve"> unchecked — possible relationship only</w:t>
      </w:r>
    </w:p>
    <w:p>
      <w:pPr>
        <w:pStyle w:val="Heading2"/>
      </w:pPr>
      <w:r>
        <w:t>343. Claim + two later sources: Scenarios for population health inequalities in 2030 in Europe: the EURO-HEALTHY project experience</w:t>
      </w:r>
    </w:p>
    <w:p>
      <w:pPr>
        <w:pStyle w:val="SourceNote"/>
      </w:pPr>
      <w:r>
        <w:rPr>
          <w:b/>
        </w:rPr>
        <w:t>Group ID:</w:t>
      </w:r>
      <w:r>
        <w:t xml:space="preserve"> group-b94b3fcb1dfdd11a8619</w:t>
      </w:r>
    </w:p>
    <w:p>
      <w:pPr>
        <w:pStyle w:val="SourceNote"/>
      </w:pPr>
      <w:r>
        <w:rPr>
          <w:b/>
        </w:rPr>
        <w:t>Original source:</w:t>
      </w:r>
      <w:r>
        <w:t xml:space="preserve"> https://doi.org/10.1186/s12939-019-1000-8</w:t>
      </w:r>
    </w:p>
    <w:p>
      <w:pPr/>
      <w:r>
        <w:rPr>
          <w:b/>
        </w:rPr>
        <w:t>Original future claim:</w:t>
      </w:r>
      <w:r>
        <w:t xml:space="preserve"> OBJECTIVE: This paper describes the three 2030 time-horizon scenarios developed under the EURO-HEALTHY project, depicting the key factors that may affect the evolution of PH inequalities across European regions. METHODS: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organized into coherent scenario structures using the Extreme-World Method; and iii) validation of scenario structures and generation of scenario narratives.</w:t>
      </w:r>
    </w:p>
    <w:p>
      <w:pPr/>
      <w:r>
        <w:rPr>
          <w:b/>
        </w:rPr>
        <w:t>Later source:</w:t>
      </w:r>
      <w:r>
        <w:t xml:space="preserve"> Landscape Report on Diamond OA Publishing: Europe — https://doi.org/10.5281/zenodo.19236088</w:t>
      </w:r>
    </w:p>
    <w:p>
      <w:pPr/>
      <w:r>
        <w:rPr>
          <w:b/>
        </w:rPr>
        <w:t>Later source:</w:t>
      </w:r>
      <w:r>
        <w:t xml:space="preserve"> Europe as a subject and object of epistemic reflection — https://doi.org/10.30574/wjarr.2025.27.1.2547</w:t>
      </w:r>
    </w:p>
    <w:p>
      <w:pPr>
        <w:pStyle w:val="SourceNote"/>
      </w:pPr>
      <w:r>
        <w:rPr>
          <w:b/>
        </w:rPr>
        <w:t>Review status:</w:t>
      </w:r>
      <w:r>
        <w:t xml:space="preserve"> unchecked — possible relationship only</w:t>
      </w:r>
    </w:p>
    <w:p>
      <w:pPr>
        <w:pStyle w:val="Heading2"/>
      </w:pPr>
      <w:r>
        <w:t>344. Claim + two later sources: Long-term scenarios for reaching climate targets and energy security in UK</w:t>
      </w:r>
    </w:p>
    <w:p>
      <w:pPr>
        <w:pStyle w:val="SourceNote"/>
      </w:pPr>
      <w:r>
        <w:rPr>
          <w:b/>
        </w:rPr>
        <w:t>Group ID:</w:t>
      </w:r>
      <w:r>
        <w:t xml:space="preserve"> group-7c0c5a8302e92af13e5c</w:t>
      </w:r>
    </w:p>
    <w:p>
      <w:pPr>
        <w:pStyle w:val="SourceNote"/>
      </w:pPr>
      <w:r>
        <w:rPr>
          <w:b/>
        </w:rPr>
        <w:t>Original source:</w:t>
      </w:r>
      <w:r>
        <w:t xml:space="preserve"> https://doi.org/10.1016/j.scs.2015.03.010</w:t>
      </w:r>
    </w:p>
    <w:p>
      <w:pPr/>
      <w:r>
        <w:rPr>
          <w:b/>
        </w:rPr>
        <w:t>Original future claim:</w:t>
      </w:r>
      <w:r>
        <w:t xml:space="preserve"> The two scenarios, K_Scenario and Z_Scenario, were modelled with the use of the Department of Energy and Climate Change (DECC) 2050 Pathways Calculator. Both scenarios seek to achieve the UK's legally binding target of an 80% reduction in GHG emissions from 1990 levels by 2050.</w:t>
      </w:r>
    </w:p>
    <w:p>
      <w:pPr/>
      <w:r>
        <w:rPr>
          <w:b/>
        </w:rPr>
        <w:t>Later source:</w:t>
      </w:r>
      <w:r>
        <w:t xml:space="preserve"> A seasonal two-factor model for solar energy production: A climate extreme events analysis — https://doi.org/10.1016/j.eneco.2025.108611</w:t>
      </w:r>
    </w:p>
    <w:p>
      <w:pPr/>
      <w:r>
        <w:rPr>
          <w:b/>
        </w:rPr>
        <w:t>Later source:</w:t>
      </w:r>
      <w:r>
        <w:t xml:space="preserve"> Energy and Clean Air Policies Will Overcome the Adverse Effect of Climate Change and Reduce China's Ozone Pollution in the Future: The Insight From a New Two‐Stage Model — https://doi.org/10.1029/2024jd043182</w:t>
      </w:r>
    </w:p>
    <w:p>
      <w:pPr>
        <w:pStyle w:val="SourceNote"/>
      </w:pPr>
      <w:r>
        <w:rPr>
          <w:b/>
        </w:rPr>
        <w:t>Review status:</w:t>
      </w:r>
      <w:r>
        <w:t xml:space="preserve"> unchecked — possible relationship only</w:t>
      </w:r>
    </w:p>
    <w:p>
      <w:pPr>
        <w:pStyle w:val="Heading2"/>
      </w:pPr>
      <w:r>
        <w:t>345. Claim + two later sources: How far away is hydrogen? Its role in the medium and long-term decarbonisation of the European energy system</w:t>
      </w:r>
    </w:p>
    <w:p>
      <w:pPr>
        <w:pStyle w:val="SourceNote"/>
      </w:pPr>
      <w:r>
        <w:rPr>
          <w:b/>
        </w:rPr>
        <w:t>Group ID:</w:t>
      </w:r>
      <w:r>
        <w:t xml:space="preserve"> group-08061f5a9acd92c9f67c</w:t>
      </w:r>
    </w:p>
    <w:p>
      <w:pPr>
        <w:pStyle w:val="SourceNote"/>
      </w:pPr>
      <w:r>
        <w:rPr>
          <w:b/>
        </w:rPr>
        <w:t>Original source:</w:t>
      </w:r>
      <w:r>
        <w:t xml:space="preserve"> https://doi.org/10.1016/j.ijhydene.2015.09.004</w:t>
      </w:r>
    </w:p>
    <w:p>
      <w:pPr/>
      <w:r>
        <w:rPr>
          <w:b/>
        </w:rPr>
        <w:t>Original future claim:</w:t>
      </w:r>
      <w:r>
        <w:t xml:space="preserve"> In this paper, the JRC-EU-TIMES model – a bottom-up, technology-rich model of the EU28 energy system – is used to assess the role of hydrogen in a future decarbonised Europe under two climate scenarios, current policy initiative (CPI) and long-term decarbonisation (CAP). Our results indicate that hydrogen could become a viable option already in 2030 – however, a long-term CO 2 cap is needed to sustain the transition.</w:t>
      </w:r>
    </w:p>
    <w:p>
      <w:pPr/>
      <w:r>
        <w:rPr>
          <w:b/>
        </w:rPr>
        <w:t>Later source:</w:t>
      </w:r>
      <w:r>
        <w:t xml:space="preserve"> Determinants of Beef Trade Between the EU and South America and the Implications of the EU–Mercosur Agreement for the European Beef Sector — https://doi.org/10.3390/su18052172</w:t>
      </w:r>
    </w:p>
    <w:p>
      <w:pPr/>
      <w:r>
        <w:rPr>
          <w:b/>
        </w:rPr>
        <w:t>Later source:</w:t>
      </w:r>
      <w:r>
        <w:t xml:space="preserve"> Monitoring the impact of EU F-gas regulation on HFC-134a emissions through a comparison of top-down and bottom-up estimates — https://doi.org/10.1186/s12302-025-01081-1</w:t>
      </w:r>
    </w:p>
    <w:p>
      <w:pPr>
        <w:pStyle w:val="SourceNote"/>
      </w:pPr>
      <w:r>
        <w:rPr>
          <w:b/>
        </w:rPr>
        <w:t>Review status:</w:t>
      </w:r>
      <w:r>
        <w:t xml:space="preserve"> unchecked — possible relationship only</w:t>
      </w:r>
    </w:p>
    <w:p>
      <w:pPr>
        <w:pStyle w:val="Heading2"/>
      </w:pPr>
      <w:r>
        <w:t>346. Claim + two later sources: Renewable and Sustainable Energy Transitions for Countries with Different Climates and Renewable Energy Sources Potentials</w:t>
      </w:r>
    </w:p>
    <w:p>
      <w:pPr>
        <w:pStyle w:val="SourceNote"/>
      </w:pPr>
      <w:r>
        <w:rPr>
          <w:b/>
        </w:rPr>
        <w:t>Group ID:</w:t>
      </w:r>
      <w:r>
        <w:t xml:space="preserve"> group-43d39fadea14b1a25390</w:t>
      </w:r>
    </w:p>
    <w:p>
      <w:pPr>
        <w:pStyle w:val="SourceNote"/>
      </w:pPr>
      <w:r>
        <w:rPr>
          <w:b/>
        </w:rPr>
        <w:t>Original source:</w:t>
      </w:r>
      <w:r>
        <w:t xml:space="preserve"> https://doi.org/10.3390/en11123523</w:t>
      </w:r>
    </w:p>
    <w:p>
      <w:pPr/>
      <w:r>
        <w:rPr>
          <w:b/>
        </w:rPr>
        <w:t>Original future claim:</w:t>
      </w:r>
      <w:r>
        <w:t xml:space="preserve"> The outcomes of the new scenarios support the future national plans, showing how decarburization in an energy system can occur in relation to the European Roadmap 2030 and 2050.</w:t>
      </w:r>
    </w:p>
    <w:p>
      <w:pPr/>
      <w:r>
        <w:rPr>
          <w:b/>
        </w:rPr>
        <w:t>Later source:</w:t>
      </w:r>
      <w:r>
        <w:t xml:space="preserve"> Roadmap Towards A New European Culture Of Mobility — https://openalex.org/W4400666844</w:t>
      </w:r>
    </w:p>
    <w:p>
      <w:pPr/>
      <w:r>
        <w:rPr>
          <w:b/>
        </w:rPr>
        <w:t>Later source:</w:t>
      </w:r>
      <w:r>
        <w:t xml:space="preserve"> Developing a European Psychotherapy Consortium (EPoC): Towards adopting a single-item self-report outcome measure across European countries — https://doi.org/10.32872/cpe.13827</w:t>
      </w:r>
    </w:p>
    <w:p>
      <w:pPr>
        <w:pStyle w:val="SourceNote"/>
      </w:pPr>
      <w:r>
        <w:rPr>
          <w:b/>
        </w:rPr>
        <w:t>Review status:</w:t>
      </w:r>
      <w:r>
        <w:t xml:space="preserve"> unchecked — possible relationship only</w:t>
      </w:r>
    </w:p>
    <w:p>
      <w:pPr>
        <w:pStyle w:val="Heading2"/>
      </w:pPr>
      <w:r>
        <w:t>347. Claim + two later sources: Socio-technical transitions in UK electricity: part 1 – history, actors and pathways</w:t>
      </w:r>
    </w:p>
    <w:p>
      <w:pPr>
        <w:pStyle w:val="SourceNote"/>
      </w:pPr>
      <w:r>
        <w:rPr>
          <w:b/>
        </w:rPr>
        <w:t>Group ID:</w:t>
      </w:r>
      <w:r>
        <w:t xml:space="preserve"> group-e860be173664f9ad2f21</w:t>
      </w:r>
    </w:p>
    <w:p>
      <w:pPr>
        <w:pStyle w:val="SourceNote"/>
      </w:pPr>
      <w:r>
        <w:rPr>
          <w:b/>
        </w:rPr>
        <w:t>Original source:</w:t>
      </w:r>
      <w:r>
        <w:t xml:space="preserve"> https://doi.org/10.1680/jener.19.00051</w:t>
      </w:r>
    </w:p>
    <w:p>
      <w:pPr/>
      <w:r>
        <w:rPr>
          <w:b/>
        </w:rPr>
        <w:t>Original future claim:</w:t>
      </w:r>
      <w:r>
        <w:t xml:space="preserve"> The pathways to 2050 focus on the power sector, including the potential for increasing the use of low-emissions electricity for heating and transport. All three pathways are appraised in terms of their environmental performance using complementary life-cycle assessment and footprinting methods.</w:t>
      </w:r>
    </w:p>
    <w:p>
      <w:pPr/>
      <w:r>
        <w:rPr>
          <w:b/>
        </w:rPr>
        <w:t>Later source:</w:t>
      </w:r>
      <w:r>
        <w:t xml:space="preserve"> The G20 in Focus: An Anthology of African Analyses, Priorities, and Pathways — https://doi.org/10.36615/9781997468950</w:t>
      </w:r>
    </w:p>
    <w:p>
      <w:pPr/>
      <w:r>
        <w:rPr>
          <w:b/>
        </w:rPr>
        <w:t>Later source:</w:t>
      </w:r>
      <w:r>
        <w:t xml:space="preserve"> Decarbonization Pathways for Offshore Oil Power Systems: The Case of Saudi Arabia — https://doi.org/10.30573/ks--2026-dp24</w:t>
      </w:r>
    </w:p>
    <w:p>
      <w:pPr>
        <w:pStyle w:val="SourceNote"/>
      </w:pPr>
      <w:r>
        <w:rPr>
          <w:b/>
        </w:rPr>
        <w:t>Review status:</w:t>
      </w:r>
      <w:r>
        <w:t xml:space="preserve"> unchecked — possible relationship only</w:t>
      </w:r>
    </w:p>
    <w:p>
      <w:pPr>
        <w:pStyle w:val="Heading2"/>
      </w:pPr>
      <w:r>
        <w:t>348. Claim + two later sources: THE EUROPEAN MIGRATION CRISIS – ECONOMIC AND POLITICAL FACTORS AND CHALLENGES FOR THE FUTURE</w:t>
      </w:r>
    </w:p>
    <w:p>
      <w:pPr>
        <w:pStyle w:val="SourceNote"/>
      </w:pPr>
      <w:r>
        <w:rPr>
          <w:b/>
        </w:rPr>
        <w:t>Group ID:</w:t>
      </w:r>
      <w:r>
        <w:t xml:space="preserve"> group-6240bb8bf2c651cf6438</w:t>
      </w:r>
    </w:p>
    <w:p>
      <w:pPr>
        <w:pStyle w:val="SourceNote"/>
      </w:pPr>
      <w:r>
        <w:rPr>
          <w:b/>
        </w:rPr>
        <w:t>Original source:</w:t>
      </w:r>
      <w:r>
        <w:t xml:space="preserve"> https://doi.org/10.5755/j01.eis.0.11.18958</w:t>
      </w:r>
    </w:p>
    <w:p>
      <w:pPr/>
      <w:r>
        <w:rPr>
          <w:b/>
        </w:rPr>
        <w:t>Original future claim:</w:t>
      </w:r>
      <w:r>
        <w:t xml:space="preserve"> The need for tight cooperation and support for the countries affected must lead to the development of a long-term strategy for the future. In 2015 alone, over a million migrants arrived in the EU, creating an urgent need to develop adequate solutions and mechanisms that would help to manage this influx and prevent its negative effects.</w:t>
      </w:r>
    </w:p>
    <w:p>
      <w:pPr/>
      <w:r>
        <w:rPr>
          <w:b/>
        </w:rPr>
        <w:t>Later source:</w:t>
      </w:r>
      <w:r>
        <w:t xml:space="preserve"> Between North and Europe : A case study of Nordic cooperation during the pandemic — https://openalex.org/W7154931280</w:t>
      </w:r>
    </w:p>
    <w:p>
      <w:pPr/>
      <w:r>
        <w:rPr>
          <w:b/>
        </w:rPr>
        <w:t>Later source:</w:t>
      </w:r>
      <w:r>
        <w:t xml:space="preserve"> Bibliographic Review on Transnational Cooperation in Environmental Issues in European Countries (2010–2025) — https://doi.org/10.3390/earth7010002</w:t>
      </w:r>
    </w:p>
    <w:p>
      <w:pPr>
        <w:pStyle w:val="SourceNote"/>
      </w:pPr>
      <w:r>
        <w:rPr>
          <w:b/>
        </w:rPr>
        <w:t>Review status:</w:t>
      </w:r>
      <w:r>
        <w:t xml:space="preserve"> unchecked — possible relationship only</w:t>
      </w:r>
    </w:p>
    <w:p>
      <w:pPr>
        <w:pStyle w:val="Heading2"/>
      </w:pPr>
      <w:r>
        <w:t>349. Claim + two later sources: Future population ageing and productivity in Finland under different education and fertility scenarios</w:t>
      </w:r>
    </w:p>
    <w:p>
      <w:pPr>
        <w:pStyle w:val="SourceNote"/>
      </w:pPr>
      <w:r>
        <w:rPr>
          <w:b/>
        </w:rPr>
        <w:t>Group ID:</w:t>
      </w:r>
      <w:r>
        <w:t xml:space="preserve"> group-d67b0bd08f7999e8e61c</w:t>
      </w:r>
    </w:p>
    <w:p>
      <w:pPr>
        <w:pStyle w:val="SourceNote"/>
      </w:pPr>
      <w:r>
        <w:rPr>
          <w:b/>
        </w:rPr>
        <w:t>Original source:</w:t>
      </w:r>
      <w:r>
        <w:t xml:space="preserve"> https://doi.org/10.23979/fypr.119666</w:t>
      </w:r>
    </w:p>
    <w:p>
      <w:pPr/>
      <w:r>
        <w:rPr>
          <w:b/>
        </w:rPr>
        <w:t>Original future claim:</w:t>
      </w:r>
      <w:r>
        <w:t xml:space="preserve"> Applying a multidimensional demographic approach through a discrete-time microsimulation model, we project the newly introduced productivity-weighted labour force dependency ratio for Finnish scenarios until 2060 and compared it with the labour force dependency ratio and the traditional age dependency ratio. Provided a more rapid increase in educational attainment, the last indicator is expected to increase less, with 21 per cent until 2060.</w:t>
      </w:r>
    </w:p>
    <w:p>
      <w:pPr/>
      <w:r>
        <w:rPr>
          <w:b/>
        </w:rPr>
        <w:t>Later source:</w:t>
      </w:r>
      <w:r>
        <w:t xml:space="preserve"> The Right to a Fair Remuneration and Fair Income Replacement in the European Social Charter: A Multidimensional Approach — https://doi.org/10.3935/zpfz.75.6.2</w:t>
      </w:r>
    </w:p>
    <w:p>
      <w:pPr/>
      <w:r>
        <w:rPr>
          <w:b/>
        </w:rPr>
        <w:t>Later source:</w:t>
      </w:r>
      <w:r>
        <w:t xml:space="preserve"> MULTIDIMENSIONAL LOCAL RESILIENCE – ANALYSIS OF ENVIRONMENTAL, DEMOGRAPHIC AND INFRASTRUCTURAL FACTORS — https://doi.org/10.29119/1641-3466.2026.244.3</w:t>
      </w:r>
    </w:p>
    <w:p>
      <w:pPr>
        <w:pStyle w:val="SourceNote"/>
      </w:pPr>
      <w:r>
        <w:rPr>
          <w:b/>
        </w:rPr>
        <w:t>Review status:</w:t>
      </w:r>
      <w:r>
        <w:t xml:space="preserve"> unchecked — possible relationship only</w:t>
      </w:r>
    </w:p>
    <w:p>
      <w:pPr>
        <w:pStyle w:val="Heading2"/>
      </w:pPr>
      <w:r>
        <w:t>350. Claim + two later sources: Are the European manufacturing and energy sectors on track for achieving net-zero emissions in 2050? An empirical analysis</w:t>
      </w:r>
    </w:p>
    <w:p>
      <w:pPr>
        <w:pStyle w:val="SourceNote"/>
      </w:pPr>
      <w:r>
        <w:rPr>
          <w:b/>
        </w:rPr>
        <w:t>Group ID:</w:t>
      </w:r>
      <w:r>
        <w:t xml:space="preserve"> group-a12cddb68a9f3cd8d4ae</w:t>
      </w:r>
    </w:p>
    <w:p>
      <w:pPr>
        <w:pStyle w:val="SourceNote"/>
      </w:pPr>
      <w:r>
        <w:rPr>
          <w:b/>
        </w:rPr>
        <w:t>Original source:</w:t>
      </w:r>
      <w:r>
        <w:t xml:space="preserve"> https://doi.org/10.1016/j.enpol.2021.112464</w:t>
      </w:r>
    </w:p>
    <w:p>
      <w:pPr/>
      <w:r>
        <w:rPr>
          <w:b/>
        </w:rPr>
        <w:t>Original future claim:</w:t>
      </w:r>
      <w:r>
        <w:t xml:space="preserve"> The findings highlight that achieving net-zero emissions by 2050 will require additional policies that are tailored to super-polluters and also support installations that have not started their decarbonisation pathway. The European Green Deal has established a 2050 net-zero emissions target to tackle climate change.</w:t>
      </w:r>
    </w:p>
    <w:p>
      <w:pPr/>
      <w:r>
        <w:rPr>
          <w:b/>
        </w:rPr>
        <w:t>Later source:</w:t>
      </w:r>
      <w:r>
        <w:t xml:space="preserve"> Spatiotemporal clustering of GHGs emissions in Europe: Exploring the role of spatial component — https://doi.org/10.1016/j.spasta.2026.100960</w:t>
      </w:r>
    </w:p>
    <w:p>
      <w:pPr/>
      <w:r>
        <w:rPr>
          <w:b/>
        </w:rPr>
        <w:t>Later source:</w:t>
      </w:r>
      <w:r>
        <w:t xml:space="preserve"> Achieving SDG 7 in the European Union: The Impact of Institutions and Macroeconomic Factors on Energy Conservation — https://doi.org/10.1002/sd.71042</w:t>
      </w:r>
    </w:p>
    <w:p>
      <w:pPr>
        <w:pStyle w:val="SourceNote"/>
      </w:pPr>
      <w:r>
        <w:rPr>
          <w:b/>
        </w:rPr>
        <w:t>Review status:</w:t>
      </w:r>
      <w:r>
        <w:t xml:space="preserve"> unchecked — possible relationship only</w:t>
      </w:r>
    </w:p>
    <w:p>
      <w:pPr>
        <w:pStyle w:val="Heading2"/>
      </w:pPr>
      <w:r>
        <w:t>351. Claim + two later sources: Scenarios for renewable energy deployment in North African countries and electricity exchange with Europe – A modelbased analysis for 2050</w:t>
      </w:r>
    </w:p>
    <w:p>
      <w:pPr>
        <w:pStyle w:val="SourceNote"/>
      </w:pPr>
      <w:r>
        <w:rPr>
          <w:b/>
        </w:rPr>
        <w:t>Group ID:</w:t>
      </w:r>
      <w:r>
        <w:t xml:space="preserve"> group-4b6c16193f313fe2ce16</w:t>
      </w:r>
    </w:p>
    <w:p>
      <w:pPr>
        <w:pStyle w:val="SourceNote"/>
      </w:pPr>
      <w:r>
        <w:rPr>
          <w:b/>
        </w:rPr>
        <w:t>Original source:</w:t>
      </w:r>
      <w:r>
        <w:t xml:space="preserve"> https://doi.org/10.12720/sgce.3.3.299-306</w:t>
      </w:r>
    </w:p>
    <w:p>
      <w:pPr/>
      <w:r>
        <w:rPr>
          <w:b/>
        </w:rPr>
        <w:t>Original future claim:</w:t>
      </w:r>
      <w:r>
        <w:t xml:space="preserve"> Deployment of renewable energy technologies in North Africa has large potentials for both, the coverage of the growing local electricity demand and for export of electricity to neighboring regions such as Europe.The presented research analyzes four scenarios with high shares of renewable energies in electricity generation (regional average 83-98%) in five North African countries and evaluates the opportunities and technical challenges for exchange of electricity within the region and with Europe.It was found that extensive grid reinforcements would be required to realize the presented scenarios.With respect to inner-regional transmission capacities in North Africa, results show that, depending on the scenario, about 90 % of the present grid would have to be expanded substantially in order to handle the expected transmission volumes in 2050.</w:t>
      </w:r>
    </w:p>
    <w:p>
      <w:pPr/>
      <w:r>
        <w:rPr>
          <w:b/>
        </w:rPr>
        <w:t>Later source:</w:t>
      </w:r>
      <w:r>
        <w:t xml:space="preserve"> North Africa as an emerging green hydrogen hub: Algeria in focus — https://doi.org/10.1016/j.gerr.2026.100171</w:t>
      </w:r>
    </w:p>
    <w:p>
      <w:pPr/>
      <w:r>
        <w:rPr>
          <w:b/>
        </w:rPr>
        <w:t>Later source:</w:t>
      </w:r>
      <w:r>
        <w:t xml:space="preserve"> The European Union’s energy security based on renewables — https://doi.org/10.18559/978-83-8211-309-9/13</w:t>
      </w:r>
    </w:p>
    <w:p>
      <w:pPr>
        <w:pStyle w:val="SourceNote"/>
      </w:pPr>
      <w:r>
        <w:rPr>
          <w:b/>
        </w:rPr>
        <w:t>Review status:</w:t>
      </w:r>
      <w:r>
        <w:t xml:space="preserve"> unchecked — possible relationship only</w:t>
      </w:r>
    </w:p>
    <w:p>
      <w:pPr>
        <w:pStyle w:val="Heading2"/>
      </w:pPr>
      <w:r>
        <w:t>352. Claim + two later sources: ClimateEU, scale-free climate normals, historical time series, and future projections for Europe</w:t>
      </w:r>
    </w:p>
    <w:p>
      <w:pPr>
        <w:pStyle w:val="SourceNote"/>
      </w:pPr>
      <w:r>
        <w:rPr>
          <w:b/>
        </w:rPr>
        <w:t>Group ID:</w:t>
      </w:r>
      <w:r>
        <w:t xml:space="preserve"> group-72b806d4aa9a589f4322</w:t>
      </w:r>
    </w:p>
    <w:p>
      <w:pPr>
        <w:pStyle w:val="SourceNote"/>
      </w:pPr>
      <w:r>
        <w:rPr>
          <w:b/>
        </w:rPr>
        <w:t>Original source:</w:t>
      </w:r>
      <w:r>
        <w:t xml:space="preserve"> https://doi.org/10.1038/s41597-020-00763-0</w:t>
      </w:r>
    </w:p>
    <w:p>
      <w:pPr/>
      <w:r>
        <w:rPr>
          <w:b/>
        </w:rPr>
        <w:t>Original future claim:</w:t>
      </w:r>
      <w:r>
        <w:t xml:space="preserve"> Here, we contribute an accessible, comprehensive database of interpolated climate data for Europe that includes monthly, annual, decadal, and 30-year normal climate data for the last 119 years (1901 to 2019) as well as multi-model CMIP5 climate change projections for the 21 st century.</w:t>
      </w:r>
    </w:p>
    <w:p>
      <w:pPr/>
      <w:r>
        <w:rPr>
          <w:b/>
        </w:rPr>
        <w:t>Later source:</w:t>
      </w:r>
      <w:r>
        <w:t xml:space="preserve"> Synthesised database of wild bee and hoverfly records in Europe — https://doi.org/10.1038/s41597-026-06644-2</w:t>
      </w:r>
    </w:p>
    <w:p>
      <w:pPr/>
      <w:r>
        <w:rPr>
          <w:b/>
        </w:rPr>
        <w:t>Later source:</w:t>
      </w:r>
      <w:r>
        <w:t xml:space="preserve"> EuPPollNet : A European Database of Plant‐Pollinator Networks — https://doi.org/10.1111/geb.70000</w:t>
      </w:r>
    </w:p>
    <w:p>
      <w:pPr>
        <w:pStyle w:val="SourceNote"/>
      </w:pPr>
      <w:r>
        <w:rPr>
          <w:b/>
        </w:rPr>
        <w:t>Review status:</w:t>
      </w:r>
      <w:r>
        <w:t xml:space="preserve"> unchecked — possible relationship only</w:t>
      </w:r>
    </w:p>
    <w:p>
      <w:pPr>
        <w:pStyle w:val="Heading2"/>
      </w:pPr>
      <w:r>
        <w:t>353. Claim + two later sources: Brexit and Its Impact on Poland’s Policy Towards Europe – An Attempt to Forecast</w:t>
      </w:r>
    </w:p>
    <w:p>
      <w:pPr>
        <w:pStyle w:val="SourceNote"/>
      </w:pPr>
      <w:r>
        <w:rPr>
          <w:b/>
        </w:rPr>
        <w:t>Group ID:</w:t>
      </w:r>
      <w:r>
        <w:t xml:space="preserve"> group-24e7020c525afed2250e</w:t>
      </w:r>
    </w:p>
    <w:p>
      <w:pPr>
        <w:pStyle w:val="SourceNote"/>
      </w:pPr>
      <w:r>
        <w:rPr>
          <w:b/>
        </w:rPr>
        <w:t>Original source:</w:t>
      </w:r>
      <w:r>
        <w:t xml:space="preserve"> https://doi.org/10.33067/se.2.2020.5</w:t>
      </w:r>
    </w:p>
    <w:p>
      <w:pPr/>
      <w:r>
        <w:rPr>
          <w:b/>
        </w:rPr>
        <w:t>Original future claim:</w:t>
      </w:r>
      <w:r>
        <w:t xml:space="preserve"> This article presents three scenarios for the development of Poland's European policy, i.e. the British scenario, a conservative scenario and a pro-European scenario. A study shows the political consequences of the UK’s exit from the European Union alog with the potential scenarios of Poland’s European policy in the next 2–3 years.</w:t>
      </w:r>
    </w:p>
    <w:p>
      <w:pPr/>
      <w:r>
        <w:rPr>
          <w:b/>
        </w:rPr>
        <w:t>Later source:</w:t>
      </w:r>
      <w:r>
        <w:t xml:space="preserve"> A feminist decolonial challenge to European Union’s gender governance: knowledge hierarchies and exclusion in the European Parliament — https://doi.org/10.1080/09589236.2026.2648725</w:t>
      </w:r>
    </w:p>
    <w:p>
      <w:pPr/>
      <w:r>
        <w:rPr>
          <w:b/>
        </w:rPr>
        <w:t>Later source:</w:t>
      </w:r>
      <w:r>
        <w:t xml:space="preserve"> The carbon footprint of the hard coal sector in Poland in the context of the evolution of the European Union’s climate neutrality policy — https://doi.org/10.46873/2300-3960.1506</w:t>
      </w:r>
    </w:p>
    <w:p>
      <w:pPr>
        <w:pStyle w:val="SourceNote"/>
      </w:pPr>
      <w:r>
        <w:rPr>
          <w:b/>
        </w:rPr>
        <w:t>Review status:</w:t>
      </w:r>
      <w:r>
        <w:t xml:space="preserve"> unchecked — possible relationship only</w:t>
      </w:r>
    </w:p>
    <w:p>
      <w:pPr>
        <w:pStyle w:val="Heading2"/>
      </w:pPr>
      <w:r>
        <w:t>354. Claim + two later sources: The use of probabilistic weather generator information for climate change adaptation in the UK water sector</w:t>
      </w:r>
    </w:p>
    <w:p>
      <w:pPr>
        <w:pStyle w:val="SourceNote"/>
      </w:pPr>
      <w:r>
        <w:rPr>
          <w:b/>
        </w:rPr>
        <w:t>Group ID:</w:t>
      </w:r>
      <w:r>
        <w:t xml:space="preserve"> group-3e43cb37609329f521a3</w:t>
      </w:r>
    </w:p>
    <w:p>
      <w:pPr>
        <w:pStyle w:val="SourceNote"/>
      </w:pPr>
      <w:r>
        <w:rPr>
          <w:b/>
        </w:rPr>
        <w:t>Original source:</w:t>
      </w:r>
      <w:r>
        <w:t xml:space="preserve"> https://doi.org/10.1002/met.1335</w:t>
      </w:r>
    </w:p>
    <w:p>
      <w:pPr/>
      <w:r>
        <w:rPr>
          <w:b/>
        </w:rPr>
        <w:t>Original future claim:</w:t>
      </w:r>
      <w:r>
        <w:t xml:space="preserve"> With regards to the second assumption, it is suggested that modelling activity should identify the range of plausible futures to develop probabilities of risk, using those robust decision-making techniques which can gauge the performance of potential adaptation strategies.</w:t>
      </w:r>
    </w:p>
    <w:p>
      <w:pPr/>
      <w:r>
        <w:rPr>
          <w:b/>
        </w:rPr>
        <w:t>Later source:</w:t>
      </w:r>
      <w:r>
        <w:t xml:space="preserve"> Synthesizing activity locations in the context of integrated activity-based models — https://doi.org/10.5198/jtlu.2025.2291</w:t>
      </w:r>
    </w:p>
    <w:p>
      <w:pPr/>
      <w:r>
        <w:rPr>
          <w:b/>
        </w:rPr>
        <w:t>Later source:</w:t>
      </w:r>
      <w:r>
        <w:t xml:space="preserve"> Response to Comment on “Soluble Receptor for Advanced Glycation End Products and Incident Hypertension in REGARDS” — https://doi.org/10.1093/ajh/hpaf229</w:t>
      </w:r>
    </w:p>
    <w:p>
      <w:pPr>
        <w:pStyle w:val="SourceNote"/>
      </w:pPr>
      <w:r>
        <w:rPr>
          <w:b/>
        </w:rPr>
        <w:t>Review status:</w:t>
      </w:r>
      <w:r>
        <w:t xml:space="preserve"> unchecked — possible relationship only</w:t>
      </w:r>
    </w:p>
    <w:p>
      <w:pPr>
        <w:pStyle w:val="Heading2"/>
      </w:pPr>
      <w:r>
        <w:t>355. Claim + two later sources: Renewable jet fuel supply scenarios in the European Union in 2021–2030 in the context of proposed biofuel policy and competing biomass demand</w:t>
      </w:r>
    </w:p>
    <w:p>
      <w:pPr>
        <w:pStyle w:val="SourceNote"/>
      </w:pPr>
      <w:r>
        <w:rPr>
          <w:b/>
        </w:rPr>
        <w:t>Group ID:</w:t>
      </w:r>
      <w:r>
        <w:t xml:space="preserve"> group-17822ef0461868890b84</w:t>
      </w:r>
    </w:p>
    <w:p>
      <w:pPr>
        <w:pStyle w:val="SourceNote"/>
      </w:pPr>
      <w:r>
        <w:rPr>
          <w:b/>
        </w:rPr>
        <w:t>Original source:</w:t>
      </w:r>
      <w:r>
        <w:t xml:space="preserve"> https://doi.org/10.1111/gcbb.12525</w:t>
      </w:r>
    </w:p>
    <w:p>
      <w:pPr/>
      <w:r>
        <w:rPr>
          <w:b/>
        </w:rPr>
        <w:t>Original future claim:</w:t>
      </w:r>
      <w:r>
        <w:t xml:space="preserve"> Model scenarios show nonfood RJF supply could increase from 1 PJ in 2021 to 165–261 PJ /year (3.8–6.1 million tonne (Mt)/year) by 2030, provided advanced biofuel technologies are developed and adequate (policy) incentives are present. Abstract This study presents supply scenarios of nonfood renewable jet fuel ( RJF ) in the European Union ( EU ) toward 2030, based on the anticipated regulatory context, availability of biomass and conversion technologies, and competing biomass demand from other sectors (i.e., transport, heat, power, and chemicals).</w:t>
      </w:r>
    </w:p>
    <w:p>
      <w:pPr/>
      <w:r>
        <w:rPr>
          <w:b/>
        </w:rPr>
        <w:t>Later source:</w:t>
      </w:r>
      <w:r>
        <w:t xml:space="preserve"> Bioenergy in Europe is unlikely to make a timely contribution to climate change targets — https://doi.org/10.1088/1748-9326/ad2d11</w:t>
      </w:r>
    </w:p>
    <w:p>
      <w:pPr/>
      <w:r>
        <w:rPr>
          <w:b/>
        </w:rPr>
        <w:t>Later source:</w:t>
      </w:r>
      <w:r>
        <w:t xml:space="preserve"> Effects of different renewable electricity diffusion paths and restricted european cooperation on Europe's hydrogen supply — https://doi.org/10.1016/j.esr.2024.101589</w:t>
      </w:r>
    </w:p>
    <w:p>
      <w:pPr>
        <w:pStyle w:val="SourceNote"/>
      </w:pPr>
      <w:r>
        <w:rPr>
          <w:b/>
        </w:rPr>
        <w:t>Review status:</w:t>
      </w:r>
      <w:r>
        <w:t xml:space="preserve"> unchecked — possible relationship only</w:t>
      </w:r>
    </w:p>
    <w:p>
      <w:pPr>
        <w:pStyle w:val="Heading2"/>
      </w:pPr>
      <w:r>
        <w:t>356. Claim + two later sources: Making sense of the future: visions and transition pathways of laypeople and professionals from six EU countries</w:t>
      </w:r>
    </w:p>
    <w:p>
      <w:pPr>
        <w:pStyle w:val="SourceNote"/>
      </w:pPr>
      <w:r>
        <w:rPr>
          <w:b/>
        </w:rPr>
        <w:t>Group ID:</w:t>
      </w:r>
      <w:r>
        <w:t xml:space="preserve"> group-cbbb6698fbb2a885c8e5</w:t>
      </w:r>
    </w:p>
    <w:p>
      <w:pPr>
        <w:pStyle w:val="SourceNote"/>
      </w:pPr>
      <w:r>
        <w:rPr>
          <w:b/>
        </w:rPr>
        <w:t>Original source:</w:t>
      </w:r>
      <w:r>
        <w:t xml:space="preserve"> https://doi.org/10.1080/11287462.2014.957010</w:t>
      </w:r>
    </w:p>
    <w:p>
      <w:pPr/>
      <w:r>
        <w:rPr>
          <w:b/>
        </w:rPr>
        <w:t>Original future claim:</w:t>
      </w:r>
      <w:r>
        <w:t xml:space="preserve"> The paper concludes with an evaluation of the pathways developed by comparing them to the UK 2050 pathways. For the transition pathway development of these futures, backcasting workshops were held with the participation of young people and experts to develop suitable pathways towards each of the three visions with regard to three specific sectors, namely, household energy, individual mobility and food.</w:t>
      </w:r>
    </w:p>
    <w:p>
      <w:pPr/>
      <w:r>
        <w:rPr>
          <w:b/>
        </w:rPr>
        <w:t>Later source:</w:t>
      </w:r>
      <w:r>
        <w:t xml:space="preserve"> Friedreich's ataxia patient pathway in Europe — https://doi.org/10.3389/frhs.2026.1817584</w:t>
      </w:r>
    </w:p>
    <w:p>
      <w:pPr/>
      <w:r>
        <w:rPr>
          <w:b/>
        </w:rPr>
        <w:t>Later source:</w:t>
      </w:r>
      <w:r>
        <w:t xml:space="preserve"> Pathways to Circularity: Engagement Patterns of European SMEs in the Circular Economy — https://doi.org/10.1002/bse.4192</w:t>
      </w:r>
    </w:p>
    <w:p>
      <w:pPr>
        <w:pStyle w:val="SourceNote"/>
      </w:pPr>
      <w:r>
        <w:rPr>
          <w:b/>
        </w:rPr>
        <w:t>Review status:</w:t>
      </w:r>
      <w:r>
        <w:t xml:space="preserve"> unchecked — possible relationship only</w:t>
      </w:r>
    </w:p>
    <w:p>
      <w:pPr>
        <w:pStyle w:val="Heading2"/>
      </w:pPr>
      <w:r>
        <w:t>357. Claim + two later sources: Energy Community in Action—Energy Citizenship Contract as Tool for Climate Neutrality</w:t>
      </w:r>
    </w:p>
    <w:p>
      <w:pPr>
        <w:pStyle w:val="SourceNote"/>
      </w:pPr>
      <w:r>
        <w:rPr>
          <w:b/>
        </w:rPr>
        <w:t>Group ID:</w:t>
      </w:r>
      <w:r>
        <w:t xml:space="preserve"> group-a5a24a033f5762b27303</w:t>
      </w:r>
    </w:p>
    <w:p>
      <w:pPr>
        <w:pStyle w:val="SourceNote"/>
      </w:pPr>
      <w:r>
        <w:rPr>
          <w:b/>
        </w:rPr>
        <w:t>Original source:</w:t>
      </w:r>
      <w:r>
        <w:t xml:space="preserve"> https://doi.org/10.3390/smartcities5010018</w:t>
      </w:r>
    </w:p>
    <w:p>
      <w:pPr/>
      <w:r>
        <w:rPr>
          <w:b/>
        </w:rPr>
        <w:t>Original future claim:</w:t>
      </w:r>
      <w:r>
        <w:t xml:space="preserve"> Incisive actions are fundamental to bring cities towards climate neutrality by 2050 working by and for the citizens. For this reason, the “100 climate-neutral cities Mission” anticipates the target of climate neutrality by 2030.</w:t>
      </w:r>
    </w:p>
    <w:p>
      <w:pPr/>
      <w:r>
        <w:rPr>
          <w:b/>
        </w:rPr>
        <w:t>Later source:</w:t>
      </w:r>
      <w:r>
        <w:t xml:space="preserve"> Types of Threatening Actions in Critical Realist Literature (1930-1945) and Their Evolution in Contemporary Vietnamese Literature — https://doi.org/10.62225/2583049x.2026.6.1.5518</w:t>
      </w:r>
    </w:p>
    <w:p>
      <w:pPr/>
      <w:r>
        <w:rPr>
          <w:b/>
        </w:rPr>
        <w:t>Later source:</w:t>
      </w:r>
      <w:r>
        <w:t xml:space="preserve"> Review: Replumbing the City: Water Management as Climate Adaptation in Los Angeles , by Sayd Randle — https://doi.org/10.1525/ch.2026.103.1.117</w:t>
      </w:r>
    </w:p>
    <w:p>
      <w:pPr>
        <w:pStyle w:val="SourceNote"/>
      </w:pPr>
      <w:r>
        <w:rPr>
          <w:b/>
        </w:rPr>
        <w:t>Review status:</w:t>
      </w:r>
      <w:r>
        <w:t xml:space="preserve"> unchecked — possible relationship only</w:t>
      </w:r>
    </w:p>
    <w:p>
      <w:pPr>
        <w:pStyle w:val="Heading2"/>
      </w:pPr>
      <w:r>
        <w:t>358. Claim + two later sources: Futurescapes: expectations in Europe for relative effectiveness evidence for drugs in 2020</w:t>
      </w:r>
    </w:p>
    <w:p>
      <w:pPr>
        <w:pStyle w:val="SourceNote"/>
      </w:pPr>
      <w:r>
        <w:rPr>
          <w:b/>
        </w:rPr>
        <w:t>Group ID:</w:t>
      </w:r>
      <w:r>
        <w:t xml:space="preserve"> group-76b0be7333c039703bcd</w:t>
      </w:r>
    </w:p>
    <w:p>
      <w:pPr>
        <w:pStyle w:val="SourceNote"/>
      </w:pPr>
      <w:r>
        <w:rPr>
          <w:b/>
        </w:rPr>
        <w:t>Original source:</w:t>
      </w:r>
      <w:r>
        <w:t xml:space="preserve"> https://doi.org/10.2217/cer.15.7</w:t>
      </w:r>
    </w:p>
    <w:p>
      <w:pPr/>
      <w:r>
        <w:rPr>
          <w:b/>
        </w:rPr>
        <w:t>Original future claim:</w:t>
      </w:r>
      <w:r>
        <w:t xml:space="preserve"> The most likely scenario entailed some change with postlaunch regulatory studies driving the likely nature of RE evidence generated.</w:t>
      </w:r>
    </w:p>
    <w:p>
      <w:pPr/>
      <w:r>
        <w:rPr>
          <w:b/>
        </w:rPr>
        <w:t>Later source:</w:t>
      </w:r>
      <w:r>
        <w:t xml:space="preserve"> Seasonal Climate Change in Europe Over the Last Thousand Years as a Social Challenge — https://doi.org/10.1093/acrefore/9780190228620.013.980</w:t>
      </w:r>
    </w:p>
    <w:p>
      <w:pPr/>
      <w:r>
        <w:rPr>
          <w:b/>
        </w:rPr>
        <w:t>Later source:</w:t>
      </w:r>
      <w:r>
        <w:t xml:space="preserve"> A Governance Analysis of BEFIT: How the Member States’ Wish to Obtain more Regulatory Authority is Driving a Revolution — https://doi.org/10.54648/ecta2023025</w:t>
      </w:r>
    </w:p>
    <w:p>
      <w:pPr>
        <w:pStyle w:val="SourceNote"/>
      </w:pPr>
      <w:r>
        <w:rPr>
          <w:b/>
        </w:rPr>
        <w:t>Review status:</w:t>
      </w:r>
      <w:r>
        <w:t xml:space="preserve"> unchecked — possible relationship only</w:t>
      </w:r>
    </w:p>
    <w:p>
      <w:pPr>
        <w:pStyle w:val="Heading2"/>
      </w:pPr>
      <w:r>
        <w:t>359. Claim + two later sources: The impact of EU Climate/Energy policies on Belgium’s energy dependence up to 2050</w:t>
      </w:r>
    </w:p>
    <w:p>
      <w:pPr>
        <w:pStyle w:val="SourceNote"/>
      </w:pPr>
      <w:r>
        <w:rPr>
          <w:b/>
        </w:rPr>
        <w:t>Group ID:</w:t>
      </w:r>
      <w:r>
        <w:t xml:space="preserve"> group-024463b5e1242a2c8495</w:t>
      </w:r>
    </w:p>
    <w:p>
      <w:pPr>
        <w:pStyle w:val="SourceNote"/>
      </w:pPr>
      <w:r>
        <w:rPr>
          <w:b/>
        </w:rPr>
        <w:t>Original source:</w:t>
      </w:r>
      <w:r>
        <w:t xml:space="preserve"> https://doi.org/10.3917/rpve.541.0021</w:t>
      </w:r>
    </w:p>
    <w:p>
      <w:pPr/>
      <w:r>
        <w:rPr>
          <w:b/>
        </w:rPr>
        <w:t>Original future claim:</w:t>
      </w:r>
      <w:r>
        <w:t xml:space="preserve"> Le second scénario étudie, quant à lui, les effets du Cadre européen Climat/Énergie 2030 et de la feuille de route pour une transition vers une économie bas carbone d’ici 2050. Cet article compare et mesure l’évolution future de certains indicateurs de la dépendance énergétique dans deux scénarios de politique énergétique et climatique.</w:t>
      </w:r>
    </w:p>
    <w:p>
      <w:pPr/>
      <w:r>
        <w:rPr>
          <w:b/>
        </w:rPr>
        <w:t>Later source:</w:t>
      </w:r>
      <w:r>
        <w:t xml:space="preserve"> Les « groupes Medvedkine » (1967-1974), transfert tardif de la culture d’agit-prop soviétique ? — https://openalex.org/W4364379400</w:t>
      </w:r>
    </w:p>
    <w:p>
      <w:pPr/>
      <w:r>
        <w:rPr>
          <w:b/>
        </w:rPr>
        <w:t>Later source:</w:t>
      </w:r>
      <w:r>
        <w:t xml:space="preserve"> Le rôle du commerce pour une adaptation résiliente au changement climatique dans l’agriculture africaine — https://doi.org/10.3917/edd.363.0041</w:t>
      </w:r>
    </w:p>
    <w:p>
      <w:pPr>
        <w:pStyle w:val="SourceNote"/>
      </w:pPr>
      <w:r>
        <w:rPr>
          <w:b/>
        </w:rPr>
        <w:t>Review status:</w:t>
      </w:r>
      <w:r>
        <w:t xml:space="preserve"> unchecked — possible relationship only</w:t>
      </w:r>
    </w:p>
    <w:p>
      <w:pPr>
        <w:pStyle w:val="Heading2"/>
      </w:pPr>
      <w:r>
        <w:t>360. Claim + two later sources: The Future of European Labour Law and the Right to Employability</w:t>
      </w:r>
    </w:p>
    <w:p>
      <w:pPr>
        <w:pStyle w:val="SourceNote"/>
      </w:pPr>
      <w:r>
        <w:rPr>
          <w:b/>
        </w:rPr>
        <w:t>Group ID:</w:t>
      </w:r>
      <w:r>
        <w:t xml:space="preserve"> group-07ea1b239a7da48c5487</w:t>
      </w:r>
    </w:p>
    <w:p>
      <w:pPr>
        <w:pStyle w:val="SourceNote"/>
      </w:pPr>
      <w:r>
        <w:rPr>
          <w:b/>
        </w:rPr>
        <w:t>Original source:</w:t>
      </w:r>
      <w:r>
        <w:t xml:space="preserve"> https://doi.org/10.1177/201395251600700311</w:t>
      </w:r>
    </w:p>
    <w:p>
      <w:pPr/>
      <w:r>
        <w:rPr>
          <w:b/>
        </w:rPr>
        <w:t>Original future claim:</w:t>
      </w:r>
      <w:r>
        <w:t xml:space="preserve"> In view of an evaluation of the impact of the Council's Recommendation of December 2012 on the validation of informal and non-formal learning (as well as its possible review expected for 2019), the paper offers some preliminary elements for evaluating the relevance, the efficacy, and the consistency of European action in this field and speculates about the likely direction of future developments.</w:t>
      </w:r>
    </w:p>
    <w:p>
      <w:pPr/>
      <w:r>
        <w:rPr>
          <w:b/>
        </w:rPr>
        <w:t>Later source:</w:t>
      </w:r>
      <w:r>
        <w:t xml:space="preserve"> Guiding AI in radiology: ESR’s recommendations for effective implementation of the European AI Act — https://doi.org/10.1186/s13244-025-01905-x</w:t>
      </w:r>
    </w:p>
    <w:p>
      <w:pPr/>
      <w:r>
        <w:rPr>
          <w:b/>
        </w:rPr>
        <w:t>Later source:</w:t>
      </w:r>
      <w:r>
        <w:t xml:space="preserve"> More (of) Democracy: European Citizens’ Views and Evaluations of Democracy — https://doi.org/10.46630/gsoc.32.2024.01</w:t>
      </w:r>
    </w:p>
    <w:p>
      <w:pPr>
        <w:pStyle w:val="SourceNote"/>
      </w:pPr>
      <w:r>
        <w:rPr>
          <w:b/>
        </w:rPr>
        <w:t>Review status:</w:t>
      </w:r>
      <w:r>
        <w:t xml:space="preserve"> unchecked — possible relationship only</w:t>
      </w:r>
    </w:p>
    <w:p>
      <w:pPr>
        <w:pStyle w:val="Heading2"/>
      </w:pPr>
      <w:r>
        <w:t>361. Claim + two later sources: UK-EU RELATIONSHIP AFTER BREXIT: AN EXERCISE IN SCENARIO-BUILDING</w:t>
      </w:r>
    </w:p>
    <w:p>
      <w:pPr>
        <w:pStyle w:val="SourceNote"/>
      </w:pPr>
      <w:r>
        <w:rPr>
          <w:b/>
        </w:rPr>
        <w:t>Group ID:</w:t>
      </w:r>
      <w:r>
        <w:t xml:space="preserve"> group-cce570a6759ce5f2ec6d</w:t>
      </w:r>
    </w:p>
    <w:p>
      <w:pPr>
        <w:pStyle w:val="SourceNote"/>
      </w:pPr>
      <w:r>
        <w:rPr>
          <w:b/>
        </w:rPr>
        <w:t>Original source:</w:t>
      </w:r>
      <w:r>
        <w:t xml:space="preserve"> https://doi.org/10.9770/jssi.2018.8.1(3)</w:t>
      </w:r>
    </w:p>
    <w:p>
      <w:pPr/>
      <w:r>
        <w:rPr>
          <w:b/>
        </w:rPr>
        <w:t>Original future claim:</w:t>
      </w:r>
      <w:r>
        <w:t xml:space="preserve"> In 2010s, the mainstream academic debate slowly but surely shifted towards European Union's internal crisis and the possibility of its disintegration.United Kingdom applying to exit the Union in 2017 is the most recent and arguably the strongest indicator of such possibility."Brexit" (as this process was dubbed) provides an interesting testing ground for latent European disintegration theories proposed by some political scientists.As the withdrawal negotiations have just started, one can only raise causal arguments for the future (if..., then); therefore this article employs scenario-building methodology recently established in political science with an aim to develop a set of scenarios of possible UK-EU relationship after Brexit.Four driving forces are cross-combined: (1) U.S. involvement in European security matters and bilateral relations with UK, (2) German leadership of the integrationist projects within the EU, (3) activism of the European Commission and the European Court of Justice, and (4) the stability of current minority cabinet in UK under Prime Minister May.The three scenarios that logically follow are: (1) UK as member of a nascent European security and defence union, (2) UK's return to the EU, and (3) UK as an independent power in an "anglobal" world.Rarely, however, do any scenarios composed by political scientists ever materialize in full and a mix of all three scenarios is most likely to come to pass over the course of the next five years or so.</w:t>
      </w:r>
    </w:p>
    <w:p>
      <w:pPr/>
      <w:r>
        <w:rPr>
          <w:b/>
        </w:rPr>
        <w:t>Later source:</w:t>
      </w:r>
      <w:r>
        <w:t xml:space="preserve"> Re-imagining a multicultural Europe: the experience of the R.E.D. (Reframing the European Dream) Carpet — https://doi.org/10.4337/9781035310036.00032</w:t>
      </w:r>
    </w:p>
    <w:p>
      <w:pPr/>
      <w:r>
        <w:rPr>
          <w:b/>
        </w:rPr>
        <w:t>Later source:</w:t>
      </w:r>
      <w:r>
        <w:t xml:space="preserve"> Unsettling mainstream academic debates on community-based energy governance: Exploring the Japanese experience — https://doi.org/10.1016/j.rser.2024.114994</w:t>
      </w:r>
    </w:p>
    <w:p>
      <w:pPr>
        <w:pStyle w:val="SourceNote"/>
      </w:pPr>
      <w:r>
        <w:rPr>
          <w:b/>
        </w:rPr>
        <w:t>Review status:</w:t>
      </w:r>
      <w:r>
        <w:t xml:space="preserve"> unchecked — possible relationship only</w:t>
      </w:r>
    </w:p>
    <w:p>
      <w:pPr>
        <w:pStyle w:val="Heading2"/>
      </w:pPr>
      <w:r>
        <w:t>362. Claim + two later sources: Potential of extensification of European agriculture for a more sustainable food system, focusing on nitrogen</w:t>
      </w:r>
    </w:p>
    <w:p>
      <w:pPr>
        <w:pStyle w:val="SourceNote"/>
      </w:pPr>
      <w:r>
        <w:rPr>
          <w:b/>
        </w:rPr>
        <w:t>Group ID:</w:t>
      </w:r>
      <w:r>
        <w:t xml:space="preserve"> group-dae6fdb16963d350c54d</w:t>
      </w:r>
    </w:p>
    <w:p>
      <w:pPr>
        <w:pStyle w:val="SourceNote"/>
      </w:pPr>
      <w:r>
        <w:rPr>
          <w:b/>
        </w:rPr>
        <w:t>Original source:</w:t>
      </w:r>
      <w:r>
        <w:t xml:space="preserve"> https://doi.org/10.1088/1748-9326/10/2/025002</w:t>
      </w:r>
    </w:p>
    <w:p>
      <w:pPr/>
      <w:r>
        <w:rPr>
          <w:b/>
        </w:rPr>
        <w:t>Original future claim:</w:t>
      </w:r>
      <w:r>
        <w:t xml:space="preserve"> A 2030 scenario for the EU27 reducing consumption and production of animal products by 50% (demitarean diet) reduces N pollution by 10% and benefits human health. This diet allows the EU27 to become a food exporter, while reducing land demand outside Europe in 2030 by more than 100 million hectares (2%), which more than compensates increased land demand when changing to organic farming.</w:t>
      </w:r>
    </w:p>
    <w:p>
      <w:pPr/>
      <w:r>
        <w:rPr>
          <w:b/>
        </w:rPr>
        <w:t>Later source:</w:t>
      </w:r>
      <w:r>
        <w:t xml:space="preserve"> Stranded assets in European agriculture during food system transformations — https://doi.org/10.1038/s43016-025-01283-z</w:t>
      </w:r>
    </w:p>
    <w:p>
      <w:pPr/>
      <w:r>
        <w:rPr>
          <w:b/>
        </w:rPr>
        <w:t>Later source:</w:t>
      </w:r>
      <w:r>
        <w:t xml:space="preserve"> Environmental impacts from European food consumption can be reduced with carbon pricing or a value-added tax reform — https://doi.org/10.1038/s43016-025-01284-y</w:t>
      </w:r>
    </w:p>
    <w:p>
      <w:pPr>
        <w:pStyle w:val="SourceNote"/>
      </w:pPr>
      <w:r>
        <w:rPr>
          <w:b/>
        </w:rPr>
        <w:t>Review status:</w:t>
      </w:r>
      <w:r>
        <w:t xml:space="preserve"> unchecked — possible relationship only</w:t>
      </w:r>
    </w:p>
    <w:p>
      <w:pPr>
        <w:pStyle w:val="Heading2"/>
      </w:pPr>
      <w:r>
        <w:t>363. Claim + two later sources: Efficiency of the European Union farm types: Scenarios with and without the 2013 CAP measures</w:t>
      </w:r>
    </w:p>
    <w:p>
      <w:pPr>
        <w:pStyle w:val="SourceNote"/>
      </w:pPr>
      <w:r>
        <w:rPr>
          <w:b/>
        </w:rPr>
        <w:t>Group ID:</w:t>
      </w:r>
      <w:r>
        <w:t xml:space="preserve"> group-8672d0a44ec9106eee4c</w:t>
      </w:r>
    </w:p>
    <w:p>
      <w:pPr>
        <w:pStyle w:val="SourceNote"/>
      </w:pPr>
      <w:r>
        <w:rPr>
          <w:b/>
        </w:rPr>
        <w:t>Original source:</w:t>
      </w:r>
      <w:r>
        <w:t xml:space="preserve"> https://doi.org/10.1515/opag-2022-0071</w:t>
      </w:r>
    </w:p>
    <w:p>
      <w:pPr/>
      <w:r>
        <w:rPr>
          <w:b/>
        </w:rPr>
        <w:t>Original future claim:</w:t>
      </w:r>
      <w:r>
        <w:t xml:space="preserve"> We analyse the evolution of the EU farm types in the last two decades with significant scenario changes like two large common agricultural policy (CAP) reforms (2003 and 2013) and suggest new approaches to the design for future measures. The analysis of these impacts may bring relevant insights, especially, for adjustments in the design of future strategies and plans.</w:t>
      </w:r>
    </w:p>
    <w:p>
      <w:pPr/>
      <w:r>
        <w:rPr>
          <w:b/>
        </w:rPr>
        <w:t>Later source:</w:t>
      </w:r>
      <w:r>
        <w:t xml:space="preserve"> Contract Design for "Enterprise+Farmer" Sharecropping Family Farms — A Comparison of Institutional Evolution in American and French Family Farms — https://doi.org/10.62177/apemr.v3i1.1034</w:t>
      </w:r>
    </w:p>
    <w:p>
      <w:pPr/>
      <w:r>
        <w:rPr>
          <w:b/>
        </w:rPr>
        <w:t>Later source:</w:t>
      </w:r>
      <w:r>
        <w:t xml:space="preserve"> An analysis of the response behaviour of farms in the Farm Structure Survey — https://doi.org/10.71014/sieds.v80i2.507</w:t>
      </w:r>
    </w:p>
    <w:p>
      <w:pPr>
        <w:pStyle w:val="SourceNote"/>
      </w:pPr>
      <w:r>
        <w:rPr>
          <w:b/>
        </w:rPr>
        <w:t>Review status:</w:t>
      </w:r>
      <w:r>
        <w:t xml:space="preserve"> unchecked — possible relationship only</w:t>
      </w:r>
    </w:p>
    <w:p>
      <w:pPr>
        <w:pStyle w:val="Heading2"/>
      </w:pPr>
      <w:r>
        <w:t>364. Claim + two later sources: Towards a decarbonised building stock by 2050: The meaning and the role of zero emission buildings (ZEBs) in Europe</w:t>
      </w:r>
    </w:p>
    <w:p>
      <w:pPr>
        <w:pStyle w:val="SourceNote"/>
      </w:pPr>
      <w:r>
        <w:rPr>
          <w:b/>
        </w:rPr>
        <w:t>Group ID:</w:t>
      </w:r>
      <w:r>
        <w:t xml:space="preserve"> group-2da713d83f2607caeff2</w:t>
      </w:r>
    </w:p>
    <w:p>
      <w:pPr>
        <w:pStyle w:val="SourceNote"/>
      </w:pPr>
      <w:r>
        <w:rPr>
          <w:b/>
        </w:rPr>
        <w:t>Original source:</w:t>
      </w:r>
      <w:r>
        <w:t xml:space="preserve"> https://doi.org/10.1016/j.esr.2022.101009</w:t>
      </w:r>
    </w:p>
    <w:p>
      <w:pPr/>
      <w:r>
        <w:rPr>
          <w:b/>
        </w:rPr>
        <w:t>Original future claim:</w:t>
      </w:r>
      <w:r>
        <w:t xml:space="preserve"> The revision of the Energy Performance of Building Directive (EPBD) sets out how Europe can achieve a decarbonised building stock by 2050.</w:t>
      </w:r>
    </w:p>
    <w:p>
      <w:pPr/>
      <w:r>
        <w:rPr>
          <w:b/>
        </w:rPr>
        <w:t>Later source:</w:t>
      </w:r>
      <w:r>
        <w:t xml:space="preserve"> European Energy Performance of Buildings Directive and Cultural Heritage — https://openalex.org/W7126308985</w:t>
      </w:r>
    </w:p>
    <w:p>
      <w:pPr/>
      <w:r>
        <w:rPr>
          <w:b/>
        </w:rPr>
        <w:t>Later source:</w:t>
      </w:r>
      <w:r>
        <w:t xml:space="preserve"> A BIM–LCA Framework for Whole-Life Carbon Assessment Under EPBD: Scope Alignment, Functional Unit Robustness, and Cross-Tool Validation — https://doi.org/10.3390/app16062637</w:t>
      </w:r>
    </w:p>
    <w:p>
      <w:pPr>
        <w:pStyle w:val="SourceNote"/>
      </w:pPr>
      <w:r>
        <w:rPr>
          <w:b/>
        </w:rPr>
        <w:t>Review status:</w:t>
      </w:r>
      <w:r>
        <w:t xml:space="preserve"> unchecked — possible relationship only</w:t>
      </w:r>
    </w:p>
    <w:p>
      <w:pPr>
        <w:pStyle w:val="Heading2"/>
      </w:pPr>
      <w:r>
        <w:t>365. Claim + two later sources: New European socio-economic scenarios for climate change research: operationalising concepts to extend the shared socio-economic pathways</w:t>
      </w:r>
    </w:p>
    <w:p>
      <w:pPr>
        <w:pStyle w:val="SourceNote"/>
      </w:pPr>
      <w:r>
        <w:rPr>
          <w:b/>
        </w:rPr>
        <w:t>Group ID:</w:t>
      </w:r>
      <w:r>
        <w:t xml:space="preserve"> group-26c08531f862661f651f</w:t>
      </w:r>
    </w:p>
    <w:p>
      <w:pPr>
        <w:pStyle w:val="SourceNote"/>
      </w:pPr>
      <w:r>
        <w:rPr>
          <w:b/>
        </w:rPr>
        <w:t>Original source:</w:t>
      </w:r>
      <w:r>
        <w:t xml:space="preserve"> https://doi.org/10.1007/s10113-018-1400-0</w:t>
      </w:r>
    </w:p>
    <w:p>
      <w:pPr/>
      <w:r>
        <w:rPr>
          <w:b/>
        </w:rPr>
        <w:t>Original future claim:</w:t>
      </w:r>
      <w:r>
        <w:t xml:space="preserve"> Scenarios have been recognised as a useful tool for planning, which have resulted in a strong increase in the number of (multi-scale) scenarios in climate change research. We present a set of four European SSPs until 2100 and a novel method to develop qualitative stories for Europe equivalent to the global SSPs starting from an existing set of European scenarios.</w:t>
      </w:r>
    </w:p>
    <w:p>
      <w:pPr/>
      <w:r>
        <w:rPr>
          <w:b/>
        </w:rPr>
        <w:t>Later source:</w:t>
      </w:r>
      <w:r>
        <w:t xml:space="preserve"> Scaling Decision‐Support Tools to Promote Soil Health: Insights From Stakeholders in Europe and Turkey — https://doi.org/10.1111/ejss.70113</w:t>
      </w:r>
    </w:p>
    <w:p>
      <w:pPr/>
      <w:r>
        <w:rPr>
          <w:b/>
        </w:rPr>
        <w:t>Later source:</w:t>
      </w:r>
      <w:r>
        <w:t xml:space="preserve"> Evolution of Energy Audits and Energy Management Systems: Legislation, Tools and Professionals at the Service of Energy Efficiency — https://doi.org/10.1051/e3sconf/202452304008</w:t>
      </w:r>
    </w:p>
    <w:p>
      <w:pPr>
        <w:pStyle w:val="SourceNote"/>
      </w:pPr>
      <w:r>
        <w:rPr>
          <w:b/>
        </w:rPr>
        <w:t>Review status:</w:t>
      </w:r>
      <w:r>
        <w:t xml:space="preserve"> unchecked — possible relationship only</w:t>
      </w:r>
    </w:p>
    <w:p>
      <w:pPr>
        <w:pStyle w:val="Heading2"/>
      </w:pPr>
      <w:r>
        <w:t>366. Claim + two later sources: On European metropolisation scenarios and the future course of metropolitan development in Poland</w:t>
      </w:r>
    </w:p>
    <w:p>
      <w:pPr>
        <w:pStyle w:val="SourceNote"/>
      </w:pPr>
      <w:r>
        <w:rPr>
          <w:b/>
        </w:rPr>
        <w:t>Group ID:</w:t>
      </w:r>
      <w:r>
        <w:t xml:space="preserve"> group-20f2343f59e97488d66b</w:t>
      </w:r>
    </w:p>
    <w:p>
      <w:pPr>
        <w:pStyle w:val="SourceNote"/>
      </w:pPr>
      <w:r>
        <w:rPr>
          <w:b/>
        </w:rPr>
        <w:t>Original source:</w:t>
      </w:r>
      <w:r>
        <w:t xml:space="preserve"> https://doi.org/10.7163/gpol.0008</w:t>
      </w:r>
    </w:p>
    <w:p>
      <w:pPr/>
      <w:r>
        <w:rPr>
          <w:b/>
        </w:rPr>
        <w:t>Original future claim:</w:t>
      </w:r>
      <w:r>
        <w:t xml:space="preserve"> For this purpose two alternative reference scenarios are outlined and examined in the light of some specific characteristics of Poland’s metropolitan development. The questions posed in this context involve the sustainability of policy assumptions concerning the role of cities of various size categories, as well as factors that could lead to a discontinuity in the trends observed in metropolisation.</w:t>
      </w:r>
    </w:p>
    <w:p>
      <w:pPr/>
      <w:r>
        <w:rPr>
          <w:b/>
        </w:rPr>
        <w:t>Later source:</w:t>
      </w:r>
      <w:r>
        <w:t xml:space="preserve"> Was there no alternative? Socialist debates and reform projects in late Cold War Europe and beyond — https://doi.org/10.1080/13507486.2025.2605543</w:t>
      </w:r>
    </w:p>
    <w:p>
      <w:pPr/>
      <w:r>
        <w:rPr>
          <w:b/>
        </w:rPr>
        <w:t>Later source:</w:t>
      </w:r>
      <w:r>
        <w:t xml:space="preserve"> Regulatory barriers and incentives for alternative proteins in the European Union and Australia–New Zealand — https://doi.org/10.1108/bfj-06-2024-0650</w:t>
      </w:r>
    </w:p>
    <w:p>
      <w:pPr>
        <w:pStyle w:val="SourceNote"/>
      </w:pPr>
      <w:r>
        <w:rPr>
          <w:b/>
        </w:rPr>
        <w:t>Review status:</w:t>
      </w:r>
      <w:r>
        <w:t xml:space="preserve"> unchecked — possible relationship only</w:t>
      </w:r>
    </w:p>
    <w:p>
      <w:pPr>
        <w:pStyle w:val="Heading2"/>
      </w:pPr>
      <w:r>
        <w:t>367. Claim + two later sources: Convergence of Population Structures of the European Union Member States—The Past and the Future</w:t>
      </w:r>
    </w:p>
    <w:p>
      <w:pPr>
        <w:pStyle w:val="SourceNote"/>
      </w:pPr>
      <w:r>
        <w:rPr>
          <w:b/>
        </w:rPr>
        <w:t>Group ID:</w:t>
      </w:r>
      <w:r>
        <w:t xml:space="preserve"> group-90379218dc4e17329a23</w:t>
      </w:r>
    </w:p>
    <w:p>
      <w:pPr>
        <w:pStyle w:val="SourceNote"/>
      </w:pPr>
      <w:r>
        <w:rPr>
          <w:b/>
        </w:rPr>
        <w:t>Original source:</w:t>
      </w:r>
      <w:r>
        <w:t xml:space="preserve"> https://doi.org/10.3390/su14021024</w:t>
      </w:r>
    </w:p>
    <w:p>
      <w:pPr/>
      <w:r>
        <w:rPr>
          <w:b/>
        </w:rPr>
        <w:t>Original future claim:</w:t>
      </w:r>
      <w:r>
        <w:t xml:space="preserve"> The Eurostat projections indicate that, by 2050, most of the European Union member states will see a fall in their population size, a drop in the share of young people, and a simultaneous rise in the share of elderly persons. The goal of the study was to assess the stage of advancement and diversity of the ageing of population in the past and in the year 2050.</w:t>
      </w:r>
    </w:p>
    <w:p>
      <w:pPr/>
      <w:r>
        <w:rPr>
          <w:b/>
        </w:rPr>
        <w:t>Later source:</w:t>
      </w:r>
      <w:r>
        <w:t xml:space="preserve"> Integrating Multifactorial Regression Models, Artificial Neural Networks, and Eco-Dynamic Simulations for Assessing Energy Sustainability in the European Union and Emerging Member States — https://doi.org/10.3390/app16042011</w:t>
      </w:r>
    </w:p>
    <w:p>
      <w:pPr/>
      <w:r>
        <w:rPr>
          <w:b/>
        </w:rPr>
        <w:t>Later source:</w:t>
      </w:r>
      <w:r>
        <w:t xml:space="preserve"> Different shades of demographic change : the uneven nature of population loss in Europe — https://openalex.org/W7134715160</w:t>
      </w:r>
    </w:p>
    <w:p>
      <w:pPr>
        <w:pStyle w:val="SourceNote"/>
      </w:pPr>
      <w:r>
        <w:rPr>
          <w:b/>
        </w:rPr>
        <w:t>Review status:</w:t>
      </w:r>
      <w:r>
        <w:t xml:space="preserve"> unchecked — possible relationship only</w:t>
      </w:r>
    </w:p>
    <w:p>
      <w:pPr>
        <w:pStyle w:val="Heading2"/>
      </w:pPr>
      <w:r>
        <w:t>368. Claim + two later sources: More green infrastructure is required to maintain ecosystem services under current trends in land-use change in Europe</w:t>
      </w:r>
    </w:p>
    <w:p>
      <w:pPr>
        <w:pStyle w:val="SourceNote"/>
      </w:pPr>
      <w:r>
        <w:rPr>
          <w:b/>
        </w:rPr>
        <w:t>Group ID:</w:t>
      </w:r>
      <w:r>
        <w:t xml:space="preserve"> group-d1e359d72ce0b675772d</w:t>
      </w:r>
    </w:p>
    <w:p>
      <w:pPr>
        <w:pStyle w:val="SourceNote"/>
      </w:pPr>
      <w:r>
        <w:rPr>
          <w:b/>
        </w:rPr>
        <w:t>Original source:</w:t>
      </w:r>
      <w:r>
        <w:t xml:space="preserve"> https://doi.org/10.1007/s10980-014-0083-2</w:t>
      </w:r>
    </w:p>
    <w:p>
      <w:pPr/>
      <w:r>
        <w:rPr>
          <w:b/>
        </w:rPr>
        <w:t>Original future claim:</w:t>
      </w:r>
      <w:r>
        <w:t xml:space="preserve"> This scenario is established by the European Commission to assess the impact of energy and climate policy up to 2050. TESI8 is expected to decrease across Europe between 0 and 5 % by 2020 and between 10 and 15 % by 2050 relative to the base year 2010.</w:t>
      </w:r>
    </w:p>
    <w:p>
      <w:pPr/>
      <w:r>
        <w:rPr>
          <w:b/>
        </w:rPr>
        <w:t>Later source:</w:t>
      </w:r>
      <w:r>
        <w:t xml:space="preserve"> European Citizens Panels: Assessing their Legitimacy and Meaning for the European Commission — https://openalex.org/W7222989255</w:t>
      </w:r>
    </w:p>
    <w:p>
      <w:pPr/>
      <w:r>
        <w:rPr>
          <w:b/>
        </w:rPr>
        <w:t>Later source:</w:t>
      </w:r>
      <w:r>
        <w:t xml:space="preserve"> Assessment of New Climate And Energy Targets for the Baltic States — https://doi.org/10.5709/ce.1897-9254.563</w:t>
      </w:r>
    </w:p>
    <w:p>
      <w:pPr>
        <w:pStyle w:val="SourceNote"/>
      </w:pPr>
      <w:r>
        <w:rPr>
          <w:b/>
        </w:rPr>
        <w:t>Review status:</w:t>
      </w:r>
      <w:r>
        <w:t xml:space="preserve"> unchecked — possible relationship only</w:t>
      </w:r>
    </w:p>
    <w:p>
      <w:pPr>
        <w:pStyle w:val="Heading2"/>
      </w:pPr>
      <w:r>
        <w:t>369. Claim + two later sources: Finland-Russia rail transport deregulation: future scenarios of market development</w:t>
      </w:r>
    </w:p>
    <w:p>
      <w:pPr>
        <w:pStyle w:val="SourceNote"/>
      </w:pPr>
      <w:r>
        <w:rPr>
          <w:b/>
        </w:rPr>
        <w:t>Group ID:</w:t>
      </w:r>
      <w:r>
        <w:t xml:space="preserve"> group-d407d0677ad295c3abb3</w:t>
      </w:r>
    </w:p>
    <w:p>
      <w:pPr>
        <w:pStyle w:val="SourceNote"/>
      </w:pPr>
      <w:r>
        <w:rPr>
          <w:b/>
        </w:rPr>
        <w:t>Original source:</w:t>
      </w:r>
      <w:r>
        <w:t xml:space="preserve"> https://doi.org/10.1504/ijstl.2011.039377</w:t>
      </w:r>
    </w:p>
    <w:p>
      <w:pPr/>
      <w:r>
        <w:rPr>
          <w:b/>
        </w:rPr>
        <w:t>Original future claim:</w:t>
      </w:r>
      <w:r>
        <w:t xml:space="preserve"> Three different kinds of scenarios are constructed, and based on this research, it may be concluded that deregulating third country transport would be advisable. This would promote border transports, decrease prices, and attract and boost competition in Finland’s rail transport market.</w:t>
      </w:r>
    </w:p>
    <w:p>
      <w:pPr/>
      <w:r>
        <w:rPr>
          <w:b/>
        </w:rPr>
        <w:t>Later source:</w:t>
      </w:r>
      <w:r>
        <w:t xml:space="preserve"> What kind of Europe do Europeans want? — https://doi.org/10.1080/01402382.2026.2662871</w:t>
      </w:r>
    </w:p>
    <w:p>
      <w:pPr/>
      <w:r>
        <w:rPr>
          <w:b/>
        </w:rPr>
        <w:t>Later source:</w:t>
      </w:r>
      <w:r>
        <w:t xml:space="preserve"> Three years of COVID-19 and life satisfaction in Europe: A macro view — https://doi.org/10.1073/pnas.2300717120</w:t>
      </w:r>
    </w:p>
    <w:p>
      <w:pPr>
        <w:pStyle w:val="SourceNote"/>
      </w:pPr>
      <w:r>
        <w:rPr>
          <w:b/>
        </w:rPr>
        <w:t>Review status:</w:t>
      </w:r>
      <w:r>
        <w:t xml:space="preserve"> unchecked — possible relationship only</w:t>
      </w:r>
    </w:p>
    <w:p>
      <w:pPr>
        <w:pStyle w:val="Heading2"/>
      </w:pPr>
      <w:r>
        <w:t>370. Claim + two later sources: Futuribles of learning 2030 - Delphi supports the reform of the core curricula in Finland</w:t>
      </w:r>
    </w:p>
    <w:p>
      <w:pPr>
        <w:pStyle w:val="SourceNote"/>
      </w:pPr>
      <w:r>
        <w:rPr>
          <w:b/>
        </w:rPr>
        <w:t>Group ID:</w:t>
      </w:r>
      <w:r>
        <w:t xml:space="preserve"> group-fe03aae0b34e8ad1b632</w:t>
      </w:r>
    </w:p>
    <w:p>
      <w:pPr>
        <w:pStyle w:val="SourceNote"/>
      </w:pPr>
      <w:r>
        <w:rPr>
          <w:b/>
        </w:rPr>
        <w:t>Original source:</w:t>
      </w:r>
      <w:r>
        <w:t xml:space="preserve"> https://doi.org/10.1007/s40309-016-0096-y</w:t>
      </w:r>
    </w:p>
    <w:p>
      <w:pPr/>
      <w:r>
        <w:rPr>
          <w:b/>
        </w:rPr>
        <w:t>Original future claim:</w:t>
      </w:r>
      <w:r>
        <w:t xml:space="preserve"> The aim of the Barometer is to acknowledge the futuribles of learning and take into consideration the possibilities and challenges that may affect the development of school, teaching and learning.</w:t>
      </w:r>
    </w:p>
    <w:p>
      <w:pPr/>
      <w:r>
        <w:rPr>
          <w:b/>
        </w:rPr>
        <w:t>Later source:</w:t>
      </w:r>
      <w:r>
        <w:t xml:space="preserve"> A Review of the AGE Barometer 2023: EU Good Practices and Barriers in the Empowerment of Elderly in the Labour Market - The Case of Hungary — https://doi.org/10.47225/mg/15/42/14315</w:t>
      </w:r>
    </w:p>
    <w:p>
      <w:pPr/>
      <w:r>
        <w:rPr>
          <w:b/>
        </w:rPr>
        <w:t>Later source:</w:t>
      </w:r>
      <w:r>
        <w:t xml:space="preserve"> COVID-19 and schooling: evaluation, assessment and accountability in times of crises—reacting quickly to explore key issues for policy, practice and research with the school barometer — https://doi.org/10.1007/s11092-020-09322-y</w:t>
      </w:r>
    </w:p>
    <w:p>
      <w:pPr>
        <w:pStyle w:val="SourceNote"/>
      </w:pPr>
      <w:r>
        <w:rPr>
          <w:b/>
        </w:rPr>
        <w:t>Review status:</w:t>
      </w:r>
      <w:r>
        <w:t xml:space="preserve"> unchecked — possible relationship only</w:t>
      </w:r>
    </w:p>
    <w:p>
      <w:pPr>
        <w:pStyle w:val="Heading2"/>
      </w:pPr>
      <w:r>
        <w:t>371. Claim + two later sources: Making or breaking climate targets: The AMPERE study on staged accession scenarios for climate policy</w:t>
      </w:r>
    </w:p>
    <w:p>
      <w:pPr>
        <w:pStyle w:val="SourceNote"/>
      </w:pPr>
      <w:r>
        <w:rPr>
          <w:b/>
        </w:rPr>
        <w:t>Group ID:</w:t>
      </w:r>
      <w:r>
        <w:t xml:space="preserve"> group-e285b2374683306ce3f5</w:t>
      </w:r>
    </w:p>
    <w:p>
      <w:pPr>
        <w:pStyle w:val="SourceNote"/>
      </w:pPr>
      <w:r>
        <w:rPr>
          <w:b/>
        </w:rPr>
        <w:t>Original source:</w:t>
      </w:r>
      <w:r>
        <w:t xml:space="preserve"> https://doi.org/10.1016/j.techfore.2013.09.021</w:t>
      </w:r>
    </w:p>
    <w:p>
      <w:pPr/>
      <w:r>
        <w:rPr>
          <w:b/>
        </w:rPr>
        <w:t>Original future claim:</w:t>
      </w:r>
      <w:r>
        <w:t xml:space="preserve"> The addition of China to the front runner coalition can reduce pre-2050 excess emissions by 20–30%, increasing the likelihood of staying below 2 degrees.</w:t>
      </w:r>
    </w:p>
    <w:p>
      <w:pPr/>
      <w:r>
        <w:rPr>
          <w:b/>
        </w:rPr>
        <w:t>Later source:</w:t>
      </w:r>
      <w:r>
        <w:t xml:space="preserve"> The United States, China, and Strategic Technologies: Domestic Coalitions, Foreign Policy, and Multilateral Cooperation in the Biden Era — https://doi.org/10.1080/14650045.2026.2626266</w:t>
      </w:r>
    </w:p>
    <w:p>
      <w:pPr/>
      <w:r>
        <w:rPr>
          <w:b/>
        </w:rPr>
        <w:t>Later source:</w:t>
      </w:r>
      <w:r>
        <w:t xml:space="preserve"> Observation of near-inertial oscillations trapped over inclined front on continental shelf of the northwestern South China Sea — https://doi.org/10.1016/j.jmarsys.2026.104305</w:t>
      </w:r>
    </w:p>
    <w:p>
      <w:pPr>
        <w:pStyle w:val="SourceNote"/>
      </w:pPr>
      <w:r>
        <w:rPr>
          <w:b/>
        </w:rPr>
        <w:t>Review status:</w:t>
      </w:r>
      <w:r>
        <w:t xml:space="preserve"> unchecked — possible relationship only</w:t>
      </w:r>
    </w:p>
    <w:p>
      <w:pPr>
        <w:pStyle w:val="Heading2"/>
      </w:pPr>
      <w:r>
        <w:t>372. Claim + two later sources: Impact of demographic changes and screening colonoscopy on long-term projection of incident colorectal cancer cases in Germany: A modelling study</w:t>
      </w:r>
    </w:p>
    <w:p>
      <w:pPr>
        <w:pStyle w:val="SourceNote"/>
      </w:pPr>
      <w:r>
        <w:rPr>
          <w:b/>
        </w:rPr>
        <w:t>Group ID:</w:t>
      </w:r>
      <w:r>
        <w:t xml:space="preserve"> group-93b693429e62c5a373b7</w:t>
      </w:r>
    </w:p>
    <w:p>
      <w:pPr>
        <w:pStyle w:val="SourceNote"/>
      </w:pPr>
      <w:r>
        <w:rPr>
          <w:b/>
        </w:rPr>
        <w:t>Original source:</w:t>
      </w:r>
      <w:r>
        <w:t xml:space="preserve"> https://doi.org/10.1016/j.lanepe.2022.100451</w:t>
      </w:r>
    </w:p>
    <w:p>
      <w:pPr/>
      <w:r>
        <w:rPr>
          <w:b/>
        </w:rPr>
        <w:t>Original future claim:</w:t>
      </w:r>
      <w:r>
        <w:t xml:space="preserve"> We estimated the number of new CRC cases until 2060, assuming screening colonoscopy use to be constant or to increase to between 1·5 and 3 times the current levels. Assuming no change in screening colonoscopy use, the overall annual caseload was predicted to increase from approximately 62,000 cases in 2020 to more than 70,000 cases by the year 2040 and more than 75,000 cases by 2050.</w:t>
      </w:r>
    </w:p>
    <w:p>
      <w:pPr/>
      <w:r>
        <w:rPr>
          <w:b/>
        </w:rPr>
        <w:t>Later source:</w:t>
      </w:r>
      <w:r>
        <w:t xml:space="preserve"> Estimating European Pilchard ( Sardina pilchardus ) Total Length: New Equations for the Ichthyoarchaeological Record — https://doi.org/10.1002/oa.70087</w:t>
      </w:r>
    </w:p>
    <w:p>
      <w:pPr/>
      <w:r>
        <w:rPr>
          <w:b/>
        </w:rPr>
        <w:t>Later source:</w:t>
      </w:r>
      <w:r>
        <w:t xml:space="preserve"> Antidepressant drug use in Europe: past consumption, prescribing patterns and forecast until 2030 — https://doi.org/10.1007/s11096-025-02078-9</w:t>
      </w:r>
    </w:p>
    <w:p>
      <w:pPr>
        <w:pStyle w:val="SourceNote"/>
      </w:pPr>
      <w:r>
        <w:rPr>
          <w:b/>
        </w:rPr>
        <w:t>Review status:</w:t>
      </w:r>
      <w:r>
        <w:t xml:space="preserve"> unchecked — possible relationship only</w:t>
      </w:r>
    </w:p>
    <w:p>
      <w:pPr>
        <w:pStyle w:val="Heading2"/>
      </w:pPr>
      <w:r>
        <w:t>373. Claim + two later sources: Potential for hydrogen and Power-to-Liquid in a low-carbon EU energy system using cost optimization</w:t>
      </w:r>
    </w:p>
    <w:p>
      <w:pPr>
        <w:pStyle w:val="SourceNote"/>
      </w:pPr>
      <w:r>
        <w:rPr>
          <w:b/>
        </w:rPr>
        <w:t>Group ID:</w:t>
      </w:r>
      <w:r>
        <w:t xml:space="preserve"> group-ab6d8c5114719b4177ae</w:t>
      </w:r>
    </w:p>
    <w:p>
      <w:pPr>
        <w:pStyle w:val="SourceNote"/>
      </w:pPr>
      <w:r>
        <w:rPr>
          <w:b/>
        </w:rPr>
        <w:t>Original source:</w:t>
      </w:r>
      <w:r>
        <w:t xml:space="preserve"> https://doi.org/10.1016/j.apenergy.2018.09.216</w:t>
      </w:r>
    </w:p>
    <w:p>
      <w:pPr/>
      <w:r>
        <w:rPr>
          <w:b/>
        </w:rPr>
        <w:t>Original future claim:</w:t>
      </w:r>
      <w:r>
        <w:t xml:space="preserve"> This study assesses the role of these pathways across scenarios that achieve 80–95% CO2 reduction by 2050 (vs. 1990) using the JRC-EU-TIMES model.</w:t>
      </w:r>
    </w:p>
    <w:p>
      <w:pPr/>
      <w:r>
        <w:rPr>
          <w:b/>
        </w:rPr>
        <w:t>Later source:</w:t>
      </w:r>
      <w:r>
        <w:t xml:space="preserve"> Can a wealth tax reduce CO2 emissions in Europe? — https://doi.org/10.1016/j.ecolecon.2026.109231</w:t>
      </w:r>
    </w:p>
    <w:p>
      <w:pPr/>
      <w:r>
        <w:rPr>
          <w:b/>
        </w:rPr>
        <w:t>Later source:</w:t>
      </w:r>
      <w:r>
        <w:t xml:space="preserve"> Regional Pathways to Internationalization: The Role of Erasmus+ in European HEIs — https://doi.org/10.3390/urbansci9050144</w:t>
      </w:r>
    </w:p>
    <w:p>
      <w:pPr>
        <w:pStyle w:val="SourceNote"/>
      </w:pPr>
      <w:r>
        <w:rPr>
          <w:b/>
        </w:rPr>
        <w:t>Review status:</w:t>
      </w:r>
      <w:r>
        <w:t xml:space="preserve"> unchecked — possible relationship only</w:t>
      </w:r>
    </w:p>
    <w:p>
      <w:pPr>
        <w:pStyle w:val="Heading2"/>
      </w:pPr>
      <w:r>
        <w:t>374. Claim + two later sources: Multi-model ensemble simulations of olive pollen distribution in Europe in 2014: current status and outlook</w:t>
      </w:r>
    </w:p>
    <w:p>
      <w:pPr>
        <w:pStyle w:val="SourceNote"/>
      </w:pPr>
      <w:r>
        <w:rPr>
          <w:b/>
        </w:rPr>
        <w:t>Group ID:</w:t>
      </w:r>
      <w:r>
        <w:t xml:space="preserve"> group-58389907e4388c48f06a</w:t>
      </w:r>
    </w:p>
    <w:p>
      <w:pPr>
        <w:pStyle w:val="SourceNote"/>
      </w:pPr>
      <w:r>
        <w:rPr>
          <w:b/>
        </w:rPr>
        <w:t>Original source:</w:t>
      </w:r>
      <w:r>
        <w:t xml:space="preserve"> https://doi.org/10.5194/acp-17-12341-2017</w:t>
      </w:r>
    </w:p>
    <w:p>
      <w:pPr/>
      <w:r>
        <w:rPr>
          <w:b/>
        </w:rPr>
        <w:t>Original future claim:</w:t>
      </w:r>
      <w:r>
        <w:t xml:space="preserve"> The best skill scores were obtained with data fusion, which used the previous-days observations to identify the optimal weighting coefficients of the individual model forecasts. Such combinations were tested for the forecasting period up to 4 days and shown to remain nearly optimal throughout the whole period.</w:t>
      </w:r>
    </w:p>
    <w:p>
      <w:pPr/>
      <w:r>
        <w:rPr>
          <w:b/>
        </w:rPr>
        <w:t>Later source:</w:t>
      </w:r>
      <w:r>
        <w:t xml:space="preserve"> HOSPITALITY SECTOR SKILLS – COMPARING CROATIA TO SOUTH EUROPEAN COUNTRIES — https://doi.org/10.20867/thi.28.06</w:t>
      </w:r>
    </w:p>
    <w:p>
      <w:pPr/>
      <w:r>
        <w:rPr>
          <w:b/>
        </w:rPr>
        <w:t>Later source:</w:t>
      </w:r>
      <w:r>
        <w:t xml:space="preserve"> Factors explaining adolescents’ digital skills in Europe — https://doi.org/10.1057/s41599-025-05241-9</w:t>
      </w:r>
    </w:p>
    <w:p>
      <w:pPr>
        <w:pStyle w:val="SourceNote"/>
      </w:pPr>
      <w:r>
        <w:rPr>
          <w:b/>
        </w:rPr>
        <w:t>Review status:</w:t>
      </w:r>
      <w:r>
        <w:t xml:space="preserve"> unchecked — possible relationship only</w:t>
      </w:r>
    </w:p>
    <w:p>
      <w:pPr>
        <w:pStyle w:val="Heading2"/>
      </w:pPr>
      <w:r>
        <w:t>375. Claim + two later sources: Policy insights and modelling challenges: The case of passenger car powertrain technology transition in the European Union</w:t>
      </w:r>
    </w:p>
    <w:p>
      <w:pPr>
        <w:pStyle w:val="SourceNote"/>
      </w:pPr>
      <w:r>
        <w:rPr>
          <w:b/>
        </w:rPr>
        <w:t>Group ID:</w:t>
      </w:r>
      <w:r>
        <w:t xml:space="preserve"> group-12409823a863944cd7de</w:t>
      </w:r>
    </w:p>
    <w:p>
      <w:pPr>
        <w:pStyle w:val="SourceNote"/>
      </w:pPr>
      <w:r>
        <w:rPr>
          <w:b/>
        </w:rPr>
        <w:t>Original source:</w:t>
      </w:r>
      <w:r>
        <w:t xml:space="preserve"> https://doi.org/10.1007/s12544-017-0252-x</w:t>
      </w:r>
    </w:p>
    <w:p>
      <w:pPr/>
      <w:r>
        <w:rPr>
          <w:b/>
        </w:rPr>
        <w:t>Original future claim:</w:t>
      </w:r>
      <w:r>
        <w:t xml:space="preserve"> We then transfer the policy scenarios to other EU member states and assess the transferability of the policies.</w:t>
      </w:r>
    </w:p>
    <w:p>
      <w:pPr/>
      <w:r>
        <w:rPr>
          <w:b/>
        </w:rPr>
        <w:t>Later source:</w:t>
      </w:r>
      <w:r>
        <w:t xml:space="preserve"> The Europeanization of constitutions: experience of European Union Member States in the context of Ukraine’s candidate status — https://doi.org/10.33663/0869-2491-2026-37-660-676</w:t>
      </w:r>
    </w:p>
    <w:p>
      <w:pPr/>
      <w:r>
        <w:rPr>
          <w:b/>
        </w:rPr>
        <w:t>Later source:</w:t>
      </w:r>
      <w:r>
        <w:t xml:space="preserve"> Media Policy Transfer in Europe — https://doi.org/10.1017/9781009568159.013</w:t>
      </w:r>
    </w:p>
    <w:p>
      <w:pPr>
        <w:pStyle w:val="SourceNote"/>
      </w:pPr>
      <w:r>
        <w:rPr>
          <w:b/>
        </w:rPr>
        <w:t>Review status:</w:t>
      </w:r>
      <w:r>
        <w:t xml:space="preserve"> unchecked — possible relationship only</w:t>
      </w:r>
    </w:p>
    <w:p>
      <w:pPr>
        <w:pStyle w:val="Heading2"/>
      </w:pPr>
      <w:r>
        <w:t>376. Claim + two later sources: Soil Governance in current European Union Law and in the European Green Deal</w:t>
      </w:r>
    </w:p>
    <w:p>
      <w:pPr>
        <w:pStyle w:val="SourceNote"/>
      </w:pPr>
      <w:r>
        <w:rPr>
          <w:b/>
        </w:rPr>
        <w:t>Group ID:</w:t>
      </w:r>
      <w:r>
        <w:t xml:space="preserve"> group-8c6828e1203cceb71115</w:t>
      </w:r>
    </w:p>
    <w:p>
      <w:pPr>
        <w:pStyle w:val="SourceNote"/>
      </w:pPr>
      <w:r>
        <w:rPr>
          <w:b/>
        </w:rPr>
        <w:t>Original source:</w:t>
      </w:r>
      <w:r>
        <w:t xml:space="preserve"> https://doi.org/10.1016/j.soisec.2022.100053</w:t>
      </w:r>
    </w:p>
    <w:p>
      <w:pPr/>
      <w:r>
        <w:rPr>
          <w:b/>
        </w:rPr>
        <w:t>Original future claim:</w:t>
      </w:r>
      <w:r>
        <w:t xml:space="preserve"> This is all the more true as the United Nations' 2030 Agenda has set in motion a process that will have far-reaching implications for connected thinking: Sustainable Development Goal 15 and its target 15.3 stipulate that land degradation neutrality should be achieved by 2030, although this is not binding.</w:t>
      </w:r>
    </w:p>
    <w:p>
      <w:pPr/>
      <w:r>
        <w:rPr>
          <w:b/>
        </w:rPr>
        <w:t>Later source:</w:t>
      </w:r>
      <w:r>
        <w:t xml:space="preserve"> Daylight illuminance modelling for the United Kingdom and Europe — https://doi.org/10.17869/enu.288937</w:t>
      </w:r>
    </w:p>
    <w:p>
      <w:pPr/>
      <w:r>
        <w:rPr>
          <w:b/>
        </w:rPr>
        <w:t>Later source:</w:t>
      </w:r>
      <w:r>
        <w:t xml:space="preserve"> Critical materials and manufacturing: Comparing China, the European Union, Japan, and the United States — https://doi.org/10.1016/j.rcradv.2025.200250</w:t>
      </w:r>
    </w:p>
    <w:p>
      <w:pPr>
        <w:pStyle w:val="SourceNote"/>
      </w:pPr>
      <w:r>
        <w:rPr>
          <w:b/>
        </w:rPr>
        <w:t>Review status:</w:t>
      </w:r>
      <w:r>
        <w:t xml:space="preserve"> unchecked — possible relationship only</w:t>
      </w:r>
    </w:p>
    <w:p>
      <w:pPr>
        <w:pStyle w:val="Heading2"/>
      </w:pPr>
      <w:r>
        <w:t>377. Claim + two later sources: PREDICTION OF CUMULONIMBUS (CB) CLOUD BASED ON INTEGRATED FORECAST SYSTEM (IFS) OF EUROPEAN MEDIUM-RANGE WEATHER FORECAST (ECMWF)  IN THE FLIGHT INFORMATION REGION (FIR) OF JAKARTA AND UJUNG PANDANG</w:t>
      </w:r>
    </w:p>
    <w:p>
      <w:pPr>
        <w:pStyle w:val="SourceNote"/>
      </w:pPr>
      <w:r>
        <w:rPr>
          <w:b/>
        </w:rPr>
        <w:t>Group ID:</w:t>
      </w:r>
      <w:r>
        <w:t xml:space="preserve"> group-a9b8753f9bfa08f705d9</w:t>
      </w:r>
    </w:p>
    <w:p>
      <w:pPr>
        <w:pStyle w:val="SourceNote"/>
      </w:pPr>
      <w:r>
        <w:rPr>
          <w:b/>
        </w:rPr>
        <w:t>Original source:</w:t>
      </w:r>
      <w:r>
        <w:t xml:space="preserve"> https://doi.org/10.29122/jstmc.v21i2.4100</w:t>
      </w:r>
    </w:p>
    <w:p>
      <w:pPr/>
      <w:r>
        <w:rPr>
          <w:b/>
        </w:rPr>
        <w:t>Original future claim:</w:t>
      </w:r>
      <w:r>
        <w:t xml:space="preserve"> The study in the period other than 2019 is suggested for the next research because Indian Ocean Dipole (IOD) is extreme that may affect the Cb cloud growth in the study area.</w:t>
      </w:r>
    </w:p>
    <w:p>
      <w:pPr/>
      <w:r>
        <w:rPr>
          <w:b/>
        </w:rPr>
        <w:t>Later source:</w:t>
      </w:r>
      <w:r>
        <w:t xml:space="preserve"> Indian Anthropology Against the Backdrop of World Anthropology — https://doi.org/10.1177/0972558x251320485</w:t>
      </w:r>
    </w:p>
    <w:p>
      <w:pPr/>
      <w:r>
        <w:rPr>
          <w:b/>
        </w:rPr>
        <w:t>Later source:</w:t>
      </w:r>
      <w:r>
        <w:t xml:space="preserve"> Impact of climate and Aedes albopictus establishment on dengue and chikungunya outbreaks in Europe: a time-to-event analysis — https://doi.org/10.1016/s2542-5196(25)00059-2</w:t>
      </w:r>
    </w:p>
    <w:p>
      <w:pPr>
        <w:pStyle w:val="SourceNote"/>
      </w:pPr>
      <w:r>
        <w:rPr>
          <w:b/>
        </w:rPr>
        <w:t>Review status:</w:t>
      </w:r>
      <w:r>
        <w:t xml:space="preserve"> unchecked — possible relationship only</w:t>
      </w:r>
    </w:p>
    <w:p>
      <w:pPr>
        <w:pStyle w:val="Heading2"/>
      </w:pPr>
      <w:r>
        <w:t>378. Claim + two later sources: Red squirrel (Sciurus vulgaris) habitats change modelling in Eastern Europe in the scope of climate change according to new generation scenarios (SSPs) by 2100</w:t>
      </w:r>
    </w:p>
    <w:p>
      <w:pPr>
        <w:pStyle w:val="SourceNote"/>
      </w:pPr>
      <w:r>
        <w:rPr>
          <w:b/>
        </w:rPr>
        <w:t>Group ID:</w:t>
      </w:r>
      <w:r>
        <w:t xml:space="preserve"> group-b05a0201e3f085e148a9</w:t>
      </w:r>
    </w:p>
    <w:p>
      <w:pPr>
        <w:pStyle w:val="SourceNote"/>
      </w:pPr>
      <w:r>
        <w:rPr>
          <w:b/>
        </w:rPr>
        <w:t>Original source:</w:t>
      </w:r>
      <w:r>
        <w:t xml:space="preserve"> https://doi.org/10.15407/tu2013</w:t>
      </w:r>
    </w:p>
    <w:p>
      <w:pPr/>
      <w:r>
        <w:rPr>
          <w:b/>
        </w:rPr>
        <w:t>Original future claim:</w:t>
      </w:r>
      <w:r>
        <w:t xml:space="preserve"> We took into account materials on S. vulgaris (and S. anomalus) distribution, as well as selected associated species, and the WorldClim with respective maps and current bioclimatic variables, and its projections for four relevant scenarios which combined SSPs &amp; RCPs by 2100. Consequently, the new projections demonstrated that all habitats of the red squirrel and associated species are expected to shift mostly ‘to the north’ by 2100, and their localities in the Caucasus Mountain areas might be fragmented.</w:t>
      </w:r>
    </w:p>
    <w:p>
      <w:pPr/>
      <w:r>
        <w:rPr>
          <w:b/>
        </w:rPr>
        <w:t>Later source:</w:t>
      </w:r>
      <w:r>
        <w:t xml:space="preserve"> Varieties of Psychologization in Communist Europe — https://doi.org/10.1093/9780197773529.001.0001</w:t>
      </w:r>
    </w:p>
    <w:p>
      <w:pPr/>
      <w:r>
        <w:rPr>
          <w:b/>
        </w:rPr>
        <w:t>Later source:</w:t>
      </w:r>
      <w:r>
        <w:t xml:space="preserve"> New Additions to the Mammal List Documented in the Portuguese Red Data Book — https://doi.org/10.3390/ani14172514</w:t>
      </w:r>
    </w:p>
    <w:p>
      <w:pPr>
        <w:pStyle w:val="SourceNote"/>
      </w:pPr>
      <w:r>
        <w:rPr>
          <w:b/>
        </w:rPr>
        <w:t>Review status:</w:t>
      </w:r>
      <w:r>
        <w:t xml:space="preserve"> unchecked — possible relationship only</w:t>
      </w:r>
    </w:p>
    <w:p>
      <w:pPr>
        <w:pStyle w:val="Heading2"/>
      </w:pPr>
      <w:r>
        <w:t>379. Claim + two later sources: Achieving agricultural greenhouse gas emission reductions in the EU post‐2030: What options do we have?</w:t>
      </w:r>
    </w:p>
    <w:p>
      <w:pPr>
        <w:pStyle w:val="SourceNote"/>
      </w:pPr>
      <w:r>
        <w:rPr>
          <w:b/>
        </w:rPr>
        <w:t>Group ID:</w:t>
      </w:r>
      <w:r>
        <w:t xml:space="preserve"> group-12de1b58107d218cfaa0</w:t>
      </w:r>
    </w:p>
    <w:p>
      <w:pPr>
        <w:pStyle w:val="SourceNote"/>
      </w:pPr>
      <w:r>
        <w:rPr>
          <w:b/>
        </w:rPr>
        <w:t>Original source:</w:t>
      </w:r>
      <w:r>
        <w:t xml:space="preserve"> https://doi.org/10.1111/reel.12448</w:t>
      </w:r>
    </w:p>
    <w:p>
      <w:pPr/>
      <w:r>
        <w:rPr>
          <w:b/>
        </w:rPr>
        <w:t>Original future claim:</w:t>
      </w:r>
      <w:r>
        <w:t xml:space="preserve"> By 2030, the European Union (EU) must have regulatory instruments in place that not only reduce greenhouse gas emissions from agriculture, but that also increase carbon sequestration, increase resilience of agricultural production, improve biodiversity in rural areas and contribute to providing nutritious and healthy food to a growing world population.</w:t>
      </w:r>
    </w:p>
    <w:p>
      <w:pPr/>
      <w:r>
        <w:rPr>
          <w:b/>
        </w:rPr>
        <w:t>Later source:</w:t>
      </w:r>
      <w:r>
        <w:t xml:space="preserve"> European Union: In Varietate Concordia - United in Diversity. Differentiated Integration as the Key to the Future of the European Union? — https://doi.org/10.30958/ajpia.2-1-2</w:t>
      </w:r>
    </w:p>
    <w:p>
      <w:pPr/>
      <w:r>
        <w:rPr>
          <w:b/>
        </w:rPr>
        <w:t>Later source:</w:t>
      </w:r>
      <w:r>
        <w:t xml:space="preserve"> Decentralized Energy Systems in the European Union — https://doi.org/10.4324/9781003781127-4</w:t>
      </w:r>
    </w:p>
    <w:p>
      <w:pPr>
        <w:pStyle w:val="SourceNote"/>
      </w:pPr>
      <w:r>
        <w:rPr>
          <w:b/>
        </w:rPr>
        <w:t>Review status:</w:t>
      </w:r>
      <w:r>
        <w:t xml:space="preserve"> unchecked — possible relationship only</w:t>
      </w:r>
    </w:p>
    <w:p>
      <w:pPr>
        <w:pStyle w:val="Heading2"/>
      </w:pPr>
      <w:r>
        <w:t>380. Claim + two later sources: Carrying out a multi-model integrated assessment of European energy transition pathways: Challenges and benefits</w:t>
      </w:r>
    </w:p>
    <w:p>
      <w:pPr>
        <w:pStyle w:val="SourceNote"/>
      </w:pPr>
      <w:r>
        <w:rPr>
          <w:b/>
        </w:rPr>
        <w:t>Group ID:</w:t>
      </w:r>
      <w:r>
        <w:t xml:space="preserve"> group-fb78946277a6442a3b48</w:t>
      </w:r>
    </w:p>
    <w:p>
      <w:pPr>
        <w:pStyle w:val="SourceNote"/>
      </w:pPr>
      <w:r>
        <w:rPr>
          <w:b/>
        </w:rPr>
        <w:t>Original source:</w:t>
      </w:r>
      <w:r>
        <w:t xml:space="preserve"> https://doi.org/10.1016/j.energy.2022.124329</w:t>
      </w:r>
    </w:p>
    <w:p>
      <w:pPr/>
      <w:r>
        <w:rPr>
          <w:b/>
        </w:rPr>
        <w:t>Original future claim:</w:t>
      </w:r>
      <w:r>
        <w:t xml:space="preserve"> Without the insights gained from an impact assessment framework reaching beyond the techno-economic perspective, the pursuit of direct emission reductions may lead to counterproductive outcomes in the long run. We find the highest added value of the framework in additional insights it provides on the technical feasibility of decarbonisation pathways, on vulnerability aspects and on unintended environmental and health impacts on national and sub-national scale.</w:t>
      </w:r>
    </w:p>
    <w:p>
      <w:pPr/>
      <w:r>
        <w:rPr>
          <w:b/>
        </w:rPr>
        <w:t>Later source:</w:t>
      </w:r>
      <w:r>
        <w:t xml:space="preserve"> A scenario-based risk assessment framework for tyre wear particles in European seas — https://doi.org/10.1016/j.jhazmat.2026.141335</w:t>
      </w:r>
    </w:p>
    <w:p>
      <w:pPr/>
      <w:r>
        <w:rPr>
          <w:b/>
        </w:rPr>
        <w:t>Later source:</w:t>
      </w:r>
      <w:r>
        <w:t xml:space="preserve"> Frailty assessment in kidney transplantation: insights from a European survey — https://doi.org/10.1093/ckj/sfag065</w:t>
      </w:r>
    </w:p>
    <w:p>
      <w:pPr>
        <w:pStyle w:val="SourceNote"/>
      </w:pPr>
      <w:r>
        <w:rPr>
          <w:b/>
        </w:rPr>
        <w:t>Review status:</w:t>
      </w:r>
      <w:r>
        <w:t xml:space="preserve"> unchecked — possible relationship only</w:t>
      </w:r>
    </w:p>
    <w:p>
      <w:pPr>
        <w:pStyle w:val="Heading2"/>
      </w:pPr>
      <w:r>
        <w:t>381. Claim + two later sources: The Purpose and Pitfalls of Constructivist Forecasting: Insights from Strategic Culture Research for the European Union’s Evolution as a Military Power1</w:t>
      </w:r>
    </w:p>
    <w:p>
      <w:pPr>
        <w:pStyle w:val="SourceNote"/>
      </w:pPr>
      <w:r>
        <w:rPr>
          <w:b/>
        </w:rPr>
        <w:t>Group ID:</w:t>
      </w:r>
      <w:r>
        <w:t xml:space="preserve"> group-5a78532887833015da1e</w:t>
      </w:r>
    </w:p>
    <w:p>
      <w:pPr>
        <w:pStyle w:val="SourceNote"/>
      </w:pPr>
      <w:r>
        <w:rPr>
          <w:b/>
        </w:rPr>
        <w:t>Original source:</w:t>
      </w:r>
      <w:r>
        <w:t xml:space="preserve"> https://doi.org/10.1111/j.1468-2478.2011.00648.x</w:t>
      </w:r>
    </w:p>
    <w:p>
      <w:pPr/>
      <w:r>
        <w:rPr>
          <w:b/>
        </w:rPr>
        <w:t>Original future claim:</w:t>
      </w:r>
      <w:r>
        <w:t xml:space="preserve"> It argues that insights from strategic culture research are particularly suited to outline trajectories of the likely when combined with the assessment of internal and external drivers of ideational and material change, the examination of discontinuities, and key uncertainties.</w:t>
      </w:r>
    </w:p>
    <w:p>
      <w:pPr/>
      <w:r>
        <w:rPr>
          <w:b/>
        </w:rPr>
        <w:t>Later source:</w:t>
      </w:r>
      <w:r>
        <w:t xml:space="preserve"> European manual on strategic culture — https://openalex.org/W7163482322</w:t>
      </w:r>
    </w:p>
    <w:p>
      <w:pPr/>
      <w:r>
        <w:rPr>
          <w:b/>
        </w:rPr>
        <w:t>Later source:</w:t>
      </w:r>
      <w:r>
        <w:t xml:space="preserve"> Barriers to Research: Insights into the Patchwork of Research Exceptions in European Copyright Laws and Practical Perspectives from European Researchers — https://doi.org/10.5281/zenodo.20492251</w:t>
      </w:r>
    </w:p>
    <w:p>
      <w:pPr>
        <w:pStyle w:val="SourceNote"/>
      </w:pPr>
      <w:r>
        <w:rPr>
          <w:b/>
        </w:rPr>
        <w:t>Review status:</w:t>
      </w:r>
      <w:r>
        <w:t xml:space="preserve"> unchecked — possible relationship only</w:t>
      </w:r>
    </w:p>
    <w:p>
      <w:pPr>
        <w:pStyle w:val="Heading2"/>
      </w:pPr>
      <w:r>
        <w:t>382. Claim + two later sources: Systemic Design for Policy-Making: Towards the Next Circular Regions</w:t>
      </w:r>
    </w:p>
    <w:p>
      <w:pPr>
        <w:pStyle w:val="SourceNote"/>
      </w:pPr>
      <w:r>
        <w:rPr>
          <w:b/>
        </w:rPr>
        <w:t>Group ID:</w:t>
      </w:r>
      <w:r>
        <w:t xml:space="preserve"> group-269a779eca2d32178b29</w:t>
      </w:r>
    </w:p>
    <w:p>
      <w:pPr>
        <w:pStyle w:val="SourceNote"/>
      </w:pPr>
      <w:r>
        <w:rPr>
          <w:b/>
        </w:rPr>
        <w:t>Original source:</w:t>
      </w:r>
      <w:r>
        <w:t xml:space="preserve"> https://doi.org/10.3390/su12114494</w:t>
      </w:r>
    </w:p>
    <w:p>
      <w:pPr/>
      <w:r>
        <w:rPr>
          <w:b/>
        </w:rPr>
        <w:t>Original future claim:</w:t>
      </w:r>
      <w:r>
        <w:t xml:space="preserve"> The vast transformation the circular economy that will occur in the upcoming years inevitably will change the EU panorama, designing new scenarios from an economical-social-environmental perspective. This paper explores the impacts of circular economy policy design processes driven by a systemic design and how this expertise could ease innovative and effective paths for policy-planning on a circular transition in EU regions.</w:t>
      </w:r>
    </w:p>
    <w:p>
      <w:pPr/>
      <w:r>
        <w:rPr>
          <w:b/>
        </w:rPr>
        <w:t>Later source:</w:t>
      </w:r>
      <w:r>
        <w:t xml:space="preserve"> The Circular Economy in European Union Supply Chains: A Literature Review — https://doi.org/10.1002/sd.70855</w:t>
      </w:r>
    </w:p>
    <w:p>
      <w:pPr/>
      <w:r>
        <w:rPr>
          <w:b/>
        </w:rPr>
        <w:t>Later source:</w:t>
      </w:r>
      <w:r>
        <w:t xml:space="preserve"> Business Model Innovation for Circular Transformation in the Built Environment — https://doi.org/10.1007/978-3-032-35104-3_109</w:t>
      </w:r>
    </w:p>
    <w:p>
      <w:pPr>
        <w:pStyle w:val="SourceNote"/>
      </w:pPr>
      <w:r>
        <w:rPr>
          <w:b/>
        </w:rPr>
        <w:t>Review status:</w:t>
      </w:r>
      <w:r>
        <w:t xml:space="preserve"> unchecked — possible relationship only</w:t>
      </w:r>
    </w:p>
    <w:p>
      <w:pPr>
        <w:pStyle w:val="Heading2"/>
      </w:pPr>
      <w:r>
        <w:t>383. Claim + two later sources: O4-2.1 Foresight tackling obesities: future choices</w:t>
      </w:r>
    </w:p>
    <w:p>
      <w:pPr>
        <w:pStyle w:val="SourceNote"/>
      </w:pPr>
      <w:r>
        <w:rPr>
          <w:b/>
        </w:rPr>
        <w:t>Group ID:</w:t>
      </w:r>
      <w:r>
        <w:t xml:space="preserve"> group-8e6bc20df9e5af601c89</w:t>
      </w:r>
    </w:p>
    <w:p>
      <w:pPr>
        <w:pStyle w:val="SourceNote"/>
      </w:pPr>
      <w:r>
        <w:rPr>
          <w:b/>
        </w:rPr>
        <w:t>Original source:</w:t>
      </w:r>
      <w:r>
        <w:t xml:space="preserve"> https://doi.org/10.1136/jech.2011.142976b.14</w:t>
      </w:r>
    </w:p>
    <w:p>
      <w:pPr/>
      <w:r>
        <w:rPr>
          <w:b/>
        </w:rPr>
        <w:t>Original future claim:</w:t>
      </w:r>
      <w:r>
        <w:t xml:space="preserve"> These predictions could be subject to a range of policy options which affected BMI or business as usual. Given these predictions up to 2050, we built a micro simulation of the UK population with same demographics and the BMI growth predicted.</w:t>
      </w:r>
    </w:p>
    <w:p>
      <w:pPr/>
      <w:r>
        <w:rPr>
          <w:b/>
        </w:rPr>
        <w:t>Later source:</w:t>
      </w:r>
      <w:r>
        <w:t xml:space="preserve"> Accuracy of subject-specific prediction of end-systolic time in MRI across a range of RR intervals — https://doi.org/10.1371/journal.pone.0179011</w:t>
      </w:r>
    </w:p>
    <w:p>
      <w:pPr/>
      <w:r>
        <w:rPr>
          <w:b/>
        </w:rPr>
        <w:t>Later source:</w:t>
      </w:r>
      <w:r>
        <w:t xml:space="preserve"> Muscle Synergies Facilitate Computational Prediction of Subject-Specific Walking Motions — https://doi.org/10.3389/fbioe.2016.00077</w:t>
      </w:r>
    </w:p>
    <w:p>
      <w:pPr>
        <w:pStyle w:val="SourceNote"/>
      </w:pPr>
      <w:r>
        <w:rPr>
          <w:b/>
        </w:rPr>
        <w:t>Review status:</w:t>
      </w:r>
      <w:r>
        <w:t xml:space="preserve"> unchecked — possible relationship only</w:t>
      </w:r>
    </w:p>
    <w:p>
      <w:pPr>
        <w:pStyle w:val="Heading2"/>
      </w:pPr>
      <w:r>
        <w:t>384. Claim + two later sources: A 2050 perspective on the role for carbon capture and storage in the European power system and industry sector</w:t>
      </w:r>
    </w:p>
    <w:p>
      <w:pPr>
        <w:pStyle w:val="SourceNote"/>
      </w:pPr>
      <w:r>
        <w:rPr>
          <w:b/>
        </w:rPr>
        <w:t>Group ID:</w:t>
      </w:r>
      <w:r>
        <w:t xml:space="preserve"> group-3e17517c630ccce0041b</w:t>
      </w:r>
    </w:p>
    <w:p>
      <w:pPr>
        <w:pStyle w:val="SourceNote"/>
      </w:pPr>
      <w:r>
        <w:rPr>
          <w:b/>
        </w:rPr>
        <w:t>Original source:</w:t>
      </w:r>
      <w:r>
        <w:t xml:space="preserve"> https://doi.org/10.1016/j.eneco.2021.105631</w:t>
      </w:r>
    </w:p>
    <w:p>
      <w:pPr/>
      <w:r>
        <w:rPr>
          <w:b/>
        </w:rPr>
        <w:t>Original future claim:</w:t>
      </w:r>
      <w:r>
        <w:t xml:space="preserve"> This unique modelling framework analyses the feasibility and costs of CCS deployment in the European Union towards 2050 in three scenarios with the same ambitious climate policy target (~85% CO2 emissions reduction). Once CO2 transport infrastructure is available, CCS will be a preferred mitigation option for the industry sector emissions.</w:t>
      </w:r>
    </w:p>
    <w:p>
      <w:pPr/>
      <w:r>
        <w:rPr>
          <w:b/>
        </w:rPr>
        <w:t>Later source:</w:t>
      </w:r>
      <w:r>
        <w:t xml:space="preserve"> Feasible Carbon Sequestration Potential in European Agricultural Mineral Soils Through Improved Management — https://doi.org/10.1111/ejss.70357</w:t>
      </w:r>
    </w:p>
    <w:p>
      <w:pPr/>
      <w:r>
        <w:rPr>
          <w:b/>
        </w:rPr>
        <w:t>Later source:</w:t>
      </w:r>
      <w:r>
        <w:t xml:space="preserve"> Evaluating the Operations Feasibility and Business Model Development of a Sri Lankan Beauty Salon — https://openalex.org/W7163484922</w:t>
      </w:r>
    </w:p>
    <w:p>
      <w:pPr>
        <w:pStyle w:val="SourceNote"/>
      </w:pPr>
      <w:r>
        <w:rPr>
          <w:b/>
        </w:rPr>
        <w:t>Review status:</w:t>
      </w:r>
      <w:r>
        <w:t xml:space="preserve"> unchecked — possible relationship only</w:t>
      </w:r>
    </w:p>
    <w:p>
      <w:pPr>
        <w:pStyle w:val="Heading2"/>
      </w:pPr>
      <w:r>
        <w:t>385. Claim + two later sources: Impact of climate change on ozone-related mortality and morbidity in Europe</w:t>
      </w:r>
    </w:p>
    <w:p>
      <w:pPr>
        <w:pStyle w:val="SourceNote"/>
      </w:pPr>
      <w:r>
        <w:rPr>
          <w:b/>
        </w:rPr>
        <w:t>Group ID:</w:t>
      </w:r>
      <w:r>
        <w:t xml:space="preserve"> group-f03a621d7d211f3c88e9</w:t>
      </w:r>
    </w:p>
    <w:p>
      <w:pPr>
        <w:pStyle w:val="SourceNote"/>
      </w:pPr>
      <w:r>
        <w:rPr>
          <w:b/>
        </w:rPr>
        <w:t>Original source:</w:t>
      </w:r>
      <w:r>
        <w:t xml:space="preserve"> https://doi.org/10.1183/09031936.00210411</w:t>
      </w:r>
    </w:p>
    <w:p>
      <w:pPr/>
      <w:r>
        <w:rPr>
          <w:b/>
        </w:rPr>
        <w:t>Original future claim:</w:t>
      </w:r>
      <w:r>
        <w:t xml:space="preserve"> Comparing the baseline period and the future periods (2021-2050 and 2041-2060), much larger increases in ozone-related mortality and morbidity are projected for Belgium, France, Spain and Portugal, with the impact being stronger using the climate projection from ECHAM4 (A2).</w:t>
      </w:r>
    </w:p>
    <w:p>
      <w:pPr/>
      <w:r>
        <w:rPr>
          <w:b/>
        </w:rPr>
        <w:t>Later source:</w:t>
      </w:r>
      <w:r>
        <w:t xml:space="preserve"> Contact allergy to corticosteroids: Is the European baseline series sufficient? — https://doi.org/10.1111/cod.14358</w:t>
      </w:r>
    </w:p>
    <w:p>
      <w:pPr/>
      <w:r>
        <w:rPr>
          <w:b/>
        </w:rPr>
        <w:t>Later source:</w:t>
      </w:r>
      <w:r>
        <w:t xml:space="preserve"> Emerging new climate extremes over Europe — https://doi.org/10.1007/s00382-021-05917-3</w:t>
      </w:r>
    </w:p>
    <w:p>
      <w:pPr>
        <w:pStyle w:val="SourceNote"/>
      </w:pPr>
      <w:r>
        <w:rPr>
          <w:b/>
        </w:rPr>
        <w:t>Review status:</w:t>
      </w:r>
      <w:r>
        <w:t xml:space="preserve"> unchecked — possible relationship only</w:t>
      </w:r>
    </w:p>
    <w:p>
      <w:pPr>
        <w:pStyle w:val="Heading2"/>
      </w:pPr>
      <w:r>
        <w:t>386. Claim + two later sources: Perspectives from 2037—Can Environmental Impact Assessment be the Solution for an Early Consideration of Climate Change-related Impacts?</w:t>
      </w:r>
    </w:p>
    <w:p>
      <w:pPr>
        <w:pStyle w:val="SourceNote"/>
      </w:pPr>
      <w:r>
        <w:rPr>
          <w:b/>
        </w:rPr>
        <w:t>Group ID:</w:t>
      </w:r>
      <w:r>
        <w:t xml:space="preserve"> group-a0d91949f122c8cdb054</w:t>
      </w:r>
    </w:p>
    <w:p>
      <w:pPr>
        <w:pStyle w:val="SourceNote"/>
      </w:pPr>
      <w:r>
        <w:rPr>
          <w:b/>
        </w:rPr>
        <w:t>Original source:</w:t>
      </w:r>
      <w:r>
        <w:t xml:space="preserve"> https://doi.org/10.3390/su11154002</w:t>
      </w:r>
    </w:p>
    <w:p>
      <w:pPr/>
      <w:r>
        <w:rPr>
          <w:b/>
        </w:rPr>
        <w:t>Original future claim:</w:t>
      </w:r>
      <w:r>
        <w:t xml:space="preserve"> Three scenario narratives were elaborated based on nine key impact factors based on literature review, content analysis of EIA documents and interviews with EIA actors.</w:t>
      </w:r>
    </w:p>
    <w:p>
      <w:pPr/>
      <w:r>
        <w:rPr>
          <w:b/>
        </w:rPr>
        <w:t>Later source:</w:t>
      </w:r>
      <w:r>
        <w:t xml:space="preserve"> Narrative Reflexivity as Leaderful Practice — https://doi.org/10.1080/14697017.2025.2453132</w:t>
      </w:r>
    </w:p>
    <w:p>
      <w:pPr/>
      <w:r>
        <w:rPr>
          <w:b/>
        </w:rPr>
        <w:t>Later source:</w:t>
      </w:r>
      <w:r>
        <w:t xml:space="preserve"> What good is agroecology? Predominant narratives about agroecology in Africa — https://doi.org/10.1016/j.jrurstud.2025.103706</w:t>
      </w:r>
    </w:p>
    <w:p>
      <w:pPr>
        <w:pStyle w:val="SourceNote"/>
      </w:pPr>
      <w:r>
        <w:rPr>
          <w:b/>
        </w:rPr>
        <w:t>Review status:</w:t>
      </w:r>
      <w:r>
        <w:t xml:space="preserve"> unchecked — possible relationship only</w:t>
      </w:r>
    </w:p>
    <w:p>
      <w:pPr>
        <w:pStyle w:val="Heading2"/>
      </w:pPr>
      <w:r>
        <w:t>387. Claim + two later sources: Overview of Existing Heat-Health Warning Systems in Europe</w:t>
      </w:r>
    </w:p>
    <w:p>
      <w:pPr>
        <w:pStyle w:val="SourceNote"/>
      </w:pPr>
      <w:r>
        <w:rPr>
          <w:b/>
        </w:rPr>
        <w:t>Group ID:</w:t>
      </w:r>
      <w:r>
        <w:t xml:space="preserve"> group-ac1e3f4e6bd9f918a68f</w:t>
      </w:r>
    </w:p>
    <w:p>
      <w:pPr>
        <w:pStyle w:val="SourceNote"/>
      </w:pPr>
      <w:r>
        <w:rPr>
          <w:b/>
        </w:rPr>
        <w:t>Original source:</w:t>
      </w:r>
      <w:r>
        <w:t xml:space="preserve"> https://doi.org/10.3390/ijerph16152657</w:t>
      </w:r>
    </w:p>
    <w:p>
      <w:pPr/>
      <w:r>
        <w:rPr>
          <w:b/>
        </w:rPr>
        <w:t>Original future claim:</w:t>
      </w:r>
      <w:r>
        <w:t xml:space="preserve"> Setting long-term planning actions as well as pre-alert levels might prevent and reduce damages due to heat.</w:t>
      </w:r>
    </w:p>
    <w:p>
      <w:pPr/>
      <w:r>
        <w:rPr>
          <w:b/>
        </w:rPr>
        <w:t>Later source:</w:t>
      </w:r>
      <w:r>
        <w:t xml:space="preserve"> EMTReK Model for Advance Care Planning in Long-Term Care: Qualitative Findings from mySupport Study — https://doi.org/10.3390/geriatrics10060171</w:t>
      </w:r>
    </w:p>
    <w:p>
      <w:pPr/>
      <w:r>
        <w:rPr>
          <w:b/>
        </w:rPr>
        <w:t>Later source:</w:t>
      </w:r>
      <w:r>
        <w:t xml:space="preserve"> Financial &amp; Legal Planning: Securing Your Child's Future in the US and Europe — https://doi.org/10.5281/zenodo.19032835</w:t>
      </w:r>
    </w:p>
    <w:p>
      <w:pPr>
        <w:pStyle w:val="SourceNote"/>
      </w:pPr>
      <w:r>
        <w:rPr>
          <w:b/>
        </w:rPr>
        <w:t>Review status:</w:t>
      </w:r>
      <w:r>
        <w:t xml:space="preserve"> unchecked — possible relationship only</w:t>
      </w:r>
    </w:p>
    <w:p>
      <w:pPr>
        <w:pStyle w:val="Heading2"/>
      </w:pPr>
      <w:r>
        <w:t>388. Claim + two later sources: Forecasting turbulence in the Asian and European stock market using regime-switching models</w:t>
      </w:r>
    </w:p>
    <w:p>
      <w:pPr>
        <w:pStyle w:val="SourceNote"/>
      </w:pPr>
      <w:r>
        <w:rPr>
          <w:b/>
        </w:rPr>
        <w:t>Group ID:</w:t>
      </w:r>
      <w:r>
        <w:t xml:space="preserve"> group-f2861a2cd9e5e80686dd</w:t>
      </w:r>
    </w:p>
    <w:p>
      <w:pPr>
        <w:pStyle w:val="SourceNote"/>
      </w:pPr>
      <w:r>
        <w:rPr>
          <w:b/>
        </w:rPr>
        <w:t>Original source:</w:t>
      </w:r>
      <w:r>
        <w:t xml:space="preserve"> https://doi.org/10.3934/qfe.2018.2.388</w:t>
      </w:r>
    </w:p>
    <w:p>
      <w:pPr/>
      <w:r>
        <w:rPr>
          <w:b/>
        </w:rPr>
        <w:t>Original future claim:</w:t>
      </w:r>
      <w:r>
        <w:t xml:space="preserve"> An early warning system to timely forecast turbulences in the Asian and European stock market is proposed. Subsequently, a forecasting model using logistic regression and economic input factors is selected.</w:t>
      </w:r>
    </w:p>
    <w:p>
      <w:pPr/>
      <w:r>
        <w:rPr>
          <w:b/>
        </w:rPr>
        <w:t>Later source:</w:t>
      </w:r>
      <w:r>
        <w:t xml:space="preserve"> Early warning early action systems for invasive alien species affecting forests in Europe and Central Asia: an overview — https://doi.org/10.3389/ffgc.2026.1795394</w:t>
      </w:r>
    </w:p>
    <w:p>
      <w:pPr/>
      <w:r>
        <w:rPr>
          <w:b/>
        </w:rPr>
        <w:t>Later source:</w:t>
      </w:r>
      <w:r>
        <w:t xml:space="preserve"> Early warning systems for chemical risks in Europe: methodological components for signal detection, prioritization, uncertainty management and follow-up — https://doi.org/10.1186/s12302-026-01427-3</w:t>
      </w:r>
    </w:p>
    <w:p>
      <w:pPr>
        <w:pStyle w:val="SourceNote"/>
      </w:pPr>
      <w:r>
        <w:rPr>
          <w:b/>
        </w:rPr>
        <w:t>Review status:</w:t>
      </w:r>
      <w:r>
        <w:t xml:space="preserve"> unchecked — possible relationship only</w:t>
      </w:r>
    </w:p>
    <w:p>
      <w:pPr>
        <w:pStyle w:val="Heading2"/>
      </w:pPr>
      <w:r>
        <w:t>389. Claim + two later sources: Modelling sustainable energy futures for the UK</w:t>
      </w:r>
    </w:p>
    <w:p>
      <w:pPr>
        <w:pStyle w:val="SourceNote"/>
      </w:pPr>
      <w:r>
        <w:rPr>
          <w:b/>
        </w:rPr>
        <w:t>Group ID:</w:t>
      </w:r>
      <w:r>
        <w:t xml:space="preserve"> group-2bd99c719c880fcaac1b</w:t>
      </w:r>
    </w:p>
    <w:p>
      <w:pPr>
        <w:pStyle w:val="SourceNote"/>
      </w:pPr>
      <w:r>
        <w:rPr>
          <w:b/>
        </w:rPr>
        <w:t>Original source:</w:t>
      </w:r>
      <w:r>
        <w:t xml:space="preserve"> https://doi.org/10.1016/j.futures.2014.01.005</w:t>
      </w:r>
    </w:p>
    <w:p>
      <w:pPr/>
      <w:r>
        <w:rPr>
          <w:b/>
        </w:rPr>
        <w:t>Original future claim:</w:t>
      </w:r>
      <w:r>
        <w:t xml:space="preserve"> As a result of signing the Kyoto Agreement the UK will need to reduce carbon emissions to 20% of their 1990 value by 2050. The model allows us to explore different possible pathways to 2050 and the difficulty of the overall endeavour.</w:t>
      </w:r>
    </w:p>
    <w:p>
      <w:pPr/>
      <w:r>
        <w:rPr>
          <w:b/>
        </w:rPr>
        <w:t>Later source:</w:t>
      </w:r>
      <w:r>
        <w:t xml:space="preserve"> Reducing the sign problem with line integrals — https://doi.org/10.1007/jhep02(2025)041</w:t>
      </w:r>
    </w:p>
    <w:p>
      <w:pPr/>
      <w:r>
        <w:rPr>
          <w:b/>
        </w:rPr>
        <w:t>Later source:</w:t>
      </w:r>
      <w:r>
        <w:t xml:space="preserve"> A Call to Action to Reduce the Need for a Medical Evaluation Prior to Exercise — https://doi.org/10.1249/jsr.0000000000001245</w:t>
      </w:r>
    </w:p>
    <w:p>
      <w:pPr>
        <w:pStyle w:val="SourceNote"/>
      </w:pPr>
      <w:r>
        <w:rPr>
          <w:b/>
        </w:rPr>
        <w:t>Review status:</w:t>
      </w:r>
      <w:r>
        <w:t xml:space="preserve"> unchecked — possible relationship only</w:t>
      </w:r>
    </w:p>
    <w:p>
      <w:pPr>
        <w:pStyle w:val="Heading2"/>
      </w:pPr>
      <w:r>
        <w:t>390. Claim + two later sources: Futures and foresight of Croatian cultural heritage</w:t>
      </w:r>
    </w:p>
    <w:p>
      <w:pPr>
        <w:pStyle w:val="SourceNote"/>
      </w:pPr>
      <w:r>
        <w:rPr>
          <w:b/>
        </w:rPr>
        <w:t>Group ID:</w:t>
      </w:r>
      <w:r>
        <w:t xml:space="preserve"> group-2fb03d927403a37f51ae</w:t>
      </w:r>
    </w:p>
    <w:p>
      <w:pPr>
        <w:pStyle w:val="SourceNote"/>
      </w:pPr>
      <w:r>
        <w:rPr>
          <w:b/>
        </w:rPr>
        <w:t>Original source:</w:t>
      </w:r>
      <w:r>
        <w:t xml:space="preserve"> https://doi.org/10.17018/portal.2022.10</w:t>
      </w:r>
    </w:p>
    <w:p>
      <w:pPr/>
      <w:r>
        <w:rPr>
          <w:b/>
        </w:rPr>
        <w:t>Original future claim:</w:t>
      </w:r>
      <w:r>
        <w:t xml:space="preserve"> This paper is primarily about anticipating the future, and not predicting it, by showing the methods and techniques that identify processes that could affect the future of heritage protection and management in the Republic of Croatia. Based on established trends, several scenarios are developed with certainties and uncertainties.</w:t>
      </w:r>
    </w:p>
    <w:p>
      <w:pPr/>
      <w:r>
        <w:rPr>
          <w:b/>
        </w:rPr>
        <w:t>Later source:</w:t>
      </w:r>
      <w:r>
        <w:t xml:space="preserve"> Cultural Production Reveals Transitions to Sustained Human Development in both European and Non-European Societies — https://openalex.org/W7124669595</w:t>
      </w:r>
    </w:p>
    <w:p>
      <w:pPr/>
      <w:r>
        <w:rPr>
          <w:b/>
        </w:rPr>
        <w:t>Later source:</w:t>
      </w:r>
      <w:r>
        <w:t xml:space="preserve"> Predicting Youth Academy Player Usage in European Football: A Multidimensional Econometric Approach — https://openalex.org/W7171481490</w:t>
      </w:r>
    </w:p>
    <w:p>
      <w:pPr>
        <w:pStyle w:val="SourceNote"/>
      </w:pPr>
      <w:r>
        <w:rPr>
          <w:b/>
        </w:rPr>
        <w:t>Review status:</w:t>
      </w:r>
      <w:r>
        <w:t xml:space="preserve"> unchecked — possible relationship only</w:t>
      </w:r>
    </w:p>
    <w:p>
      <w:pPr>
        <w:pStyle w:val="Heading2"/>
      </w:pPr>
      <w:r>
        <w:t>391. Claim + two later sources: Soft-linking of a behavioral model for transport with energy system cost optimization applied to hydrogen in EU</w:t>
      </w:r>
    </w:p>
    <w:p>
      <w:pPr>
        <w:pStyle w:val="SourceNote"/>
      </w:pPr>
      <w:r>
        <w:rPr>
          <w:b/>
        </w:rPr>
        <w:t>Group ID:</w:t>
      </w:r>
      <w:r>
        <w:t xml:space="preserve"> group-488c6b64d9527df9d38b</w:t>
      </w:r>
    </w:p>
    <w:p>
      <w:pPr>
        <w:pStyle w:val="SourceNote"/>
      </w:pPr>
      <w:r>
        <w:rPr>
          <w:b/>
        </w:rPr>
        <w:t>Original source:</w:t>
      </w:r>
      <w:r>
        <w:t xml:space="preserve"> https://doi.org/10.1016/j.rser.2019.109349</w:t>
      </w:r>
    </w:p>
    <w:p>
      <w:pPr/>
      <w:r>
        <w:rPr>
          <w:b/>
        </w:rPr>
        <w:t>Original future claim:</w:t>
      </w:r>
      <w:r>
        <w:t xml:space="preserve"> The focus is on an energy system with 95% CO2 reduction by 2050. The policy with the largest impact on FCEV was a purchase subsidy of 5 k€ per vehicle in the 2030–2034 period resulting in 24.3 million FCEV (on top of 67 million without policy) sold up to 2050 with total subsidies of 84 bln€. 5 bln€ of R&amp;D incentives in the 2020–2024 period increased the cumulative sales up to 2050 by 10.5 million FCEV.</w:t>
      </w:r>
    </w:p>
    <w:p>
      <w:pPr/>
      <w:r>
        <w:rPr>
          <w:b/>
        </w:rPr>
        <w:t>Later source:</w:t>
      </w:r>
      <w:r>
        <w:t xml:space="preserve"> PERSEUS-PtX: European Energy System Model and Dataset — https://doi.org/10.5281/zenodo.19480834</w:t>
      </w:r>
    </w:p>
    <w:p>
      <w:pPr/>
      <w:r>
        <w:rPr>
          <w:b/>
        </w:rPr>
        <w:t>Later source:</w:t>
      </w:r>
      <w:r>
        <w:t xml:space="preserve"> Exploring configurations of a European energy system within the planetary boundaries — https://doi.org/10.1088/1748-9326/ade26b</w:t>
      </w:r>
    </w:p>
    <w:p>
      <w:pPr>
        <w:pStyle w:val="SourceNote"/>
      </w:pPr>
      <w:r>
        <w:rPr>
          <w:b/>
        </w:rPr>
        <w:t>Review status:</w:t>
      </w:r>
      <w:r>
        <w:t xml:space="preserve"> unchecked — possible relationship only</w:t>
      </w:r>
    </w:p>
    <w:p>
      <w:pPr>
        <w:pStyle w:val="Heading2"/>
      </w:pPr>
      <w:r>
        <w:t>392. Claim + two later sources: Facilitating transformative science education through futures thinking</w:t>
      </w:r>
    </w:p>
    <w:p>
      <w:pPr>
        <w:pStyle w:val="SourceNote"/>
      </w:pPr>
      <w:r>
        <w:rPr>
          <w:b/>
        </w:rPr>
        <w:t>Group ID:</w:t>
      </w:r>
      <w:r>
        <w:t xml:space="preserve"> group-d1edfde7f04ff1dc00c1</w:t>
      </w:r>
    </w:p>
    <w:p>
      <w:pPr>
        <w:pStyle w:val="SourceNote"/>
      </w:pPr>
      <w:r>
        <w:rPr>
          <w:b/>
        </w:rPr>
        <w:t>Original source:</w:t>
      </w:r>
      <w:r>
        <w:t xml:space="preserve"> https://doi.org/10.1108/oth-09-2021-0114</w:t>
      </w:r>
    </w:p>
    <w:p>
      <w:pPr/>
      <w:r>
        <w:rPr>
          <w:b/>
        </w:rPr>
        <w:t>Original future claim:</w:t>
      </w:r>
      <w:r>
        <w:t xml:space="preserve"> Findings Recent research has shown that future-oriented science learning activities, involving systems thinking, scenario development and backcasting, can let students broaden their futures perceptions, imagine alternatives and navigate uncertainty.</w:t>
      </w:r>
    </w:p>
    <w:p>
      <w:pPr/>
      <w:r>
        <w:rPr>
          <w:b/>
        </w:rPr>
        <w:t>Later source:</w:t>
      </w:r>
      <w:r>
        <w:t xml:space="preserve"> Using Learning Progressions to Guide AI Feedback for Science Learning — https://openalex.org/W7133571101</w:t>
      </w:r>
    </w:p>
    <w:p>
      <w:pPr/>
      <w:r>
        <w:rPr>
          <w:b/>
        </w:rPr>
        <w:t>Later source:</w:t>
      </w:r>
      <w:r>
        <w:t xml:space="preserve"> Mesenchymal stromal cells in Rheumathology: Recent findings — https://doi.org/10.30574/wjarr.2026.29.3.0619</w:t>
      </w:r>
    </w:p>
    <w:p>
      <w:pPr>
        <w:pStyle w:val="SourceNote"/>
      </w:pPr>
      <w:r>
        <w:rPr>
          <w:b/>
        </w:rPr>
        <w:t>Review status:</w:t>
      </w:r>
      <w:r>
        <w:t xml:space="preserve"> unchecked — possible relationship only</w:t>
      </w:r>
    </w:p>
    <w:p>
      <w:pPr>
        <w:pStyle w:val="Heading2"/>
      </w:pPr>
      <w:r>
        <w:t>393. Claim + two later sources: TRANSPORT PROJECT EVALUATION: FEASIBILITY RISK ASSESSMENT AND SCENARIO FORECASTING</w:t>
      </w:r>
    </w:p>
    <w:p>
      <w:pPr>
        <w:pStyle w:val="SourceNote"/>
      </w:pPr>
      <w:r>
        <w:rPr>
          <w:b/>
        </w:rPr>
        <w:t>Group ID:</w:t>
      </w:r>
      <w:r>
        <w:t xml:space="preserve"> group-5be4ce5c6f7b86bfa724</w:t>
      </w:r>
    </w:p>
    <w:p>
      <w:pPr>
        <w:pStyle w:val="SourceNote"/>
      </w:pPr>
      <w:r>
        <w:rPr>
          <w:b/>
        </w:rPr>
        <w:t>Original source:</w:t>
      </w:r>
      <w:r>
        <w:t xml:space="preserve"> https://doi.org/10.3846/16484142.2015.1063003</w:t>
      </w:r>
    </w:p>
    <w:p>
      <w:pPr/>
      <w:r>
        <w:rPr>
          <w:b/>
        </w:rPr>
        <w:t>Original future claim:</w:t>
      </w:r>
      <w:r>
        <w:t xml:space="preserve"> Finally, RSF makes use of scenario forecasting where trend scenarios such as economic growth and level of cross-border integration are investigated.</w:t>
      </w:r>
    </w:p>
    <w:p>
      <w:pPr/>
      <w:r>
        <w:rPr>
          <w:b/>
        </w:rPr>
        <w:t>Later source:</w:t>
      </w:r>
      <w:r>
        <w:t xml:space="preserve"> Radiative strength functions from the energy-localized Brink-Axel hypothesis — https://doi.org/10.1103/kg6r-t5d1</w:t>
      </w:r>
    </w:p>
    <w:p>
      <w:pPr/>
      <w:r>
        <w:rPr>
          <w:b/>
        </w:rPr>
        <w:t>Later source:</w:t>
      </w:r>
      <w:r>
        <w:t xml:space="preserve"> India and the World Press Freedom Index: A Critical Examination of Media Freedom in the World's Largest Democracy — https://doi.org/10.5281/zenodo.21851588</w:t>
      </w:r>
    </w:p>
    <w:p>
      <w:pPr>
        <w:pStyle w:val="SourceNote"/>
      </w:pPr>
      <w:r>
        <w:rPr>
          <w:b/>
        </w:rPr>
        <w:t>Review status:</w:t>
      </w:r>
      <w:r>
        <w:t xml:space="preserve"> unchecked — possible relationship only</w:t>
      </w:r>
    </w:p>
    <w:p>
      <w:pPr>
        <w:pStyle w:val="Heading2"/>
      </w:pPr>
      <w:r>
        <w:t>394. Claim + two later sources: Investigating European Union Decarbonization Strategies: Evaluating the Pathway to Carbon Neutrality by 2050</w:t>
      </w:r>
    </w:p>
    <w:p>
      <w:pPr>
        <w:pStyle w:val="SourceNote"/>
      </w:pPr>
      <w:r>
        <w:rPr>
          <w:b/>
        </w:rPr>
        <w:t>Group ID:</w:t>
      </w:r>
      <w:r>
        <w:t xml:space="preserve"> group-767c9e52b7a6f5dc2da7</w:t>
      </w:r>
    </w:p>
    <w:p>
      <w:pPr>
        <w:pStyle w:val="SourceNote"/>
      </w:pPr>
      <w:r>
        <w:rPr>
          <w:b/>
        </w:rPr>
        <w:t>Original source:</w:t>
      </w:r>
      <w:r>
        <w:t xml:space="preserve"> https://doi.org/10.3390/su14084728</w:t>
      </w:r>
    </w:p>
    <w:p>
      <w:pPr/>
      <w:r>
        <w:rPr>
          <w:b/>
        </w:rPr>
        <w:t>Original future claim:</w:t>
      </w:r>
      <w:r>
        <w:t xml:space="preserve"> Despite the rich and extensive documentation provided by European Member States and the European Commission in describing National Energy and Climates Plans and Long-Term Strategy plans, it is still very difficult to evaluate where and how the European Union as a whole has positioned itself on the path to achieving the Green Deal objectives, named the Fit 55% package in 2030 and the achievement of carbon neutrality by 2050.</w:t>
      </w:r>
    </w:p>
    <w:p>
      <w:pPr/>
      <w:r>
        <w:rPr>
          <w:b/>
        </w:rPr>
        <w:t>Later source:</w:t>
      </w:r>
      <w:r>
        <w:t xml:space="preserve"> The implementation of 'new phase' European social dialogue agreements and texts in European member states — https://doi.org/10.82444/warw.33491788</w:t>
      </w:r>
    </w:p>
    <w:p>
      <w:pPr/>
      <w:r>
        <w:rPr>
          <w:b/>
        </w:rPr>
        <w:t>Later source:</w:t>
      </w:r>
      <w:r>
        <w:t xml:space="preserve"> Functionally rich crop rotations increase calorie and macronutrient outputs across Europe — https://doi.org/10.1038/s43016-026-01293-5</w:t>
      </w:r>
    </w:p>
    <w:p>
      <w:pPr>
        <w:pStyle w:val="SourceNote"/>
      </w:pPr>
      <w:r>
        <w:rPr>
          <w:b/>
        </w:rPr>
        <w:t>Review status:</w:t>
      </w:r>
      <w:r>
        <w:t xml:space="preserve"> unchecked — possible relationship only</w:t>
      </w:r>
    </w:p>
    <w:p>
      <w:pPr>
        <w:pStyle w:val="Heading2"/>
      </w:pPr>
      <w:r>
        <w:t>395. Claim + two later sources: The European Unions Strategic Gas Supply Options and the Prevalence of the Southern Corridor</w:t>
      </w:r>
    </w:p>
    <w:p>
      <w:pPr>
        <w:pStyle w:val="SourceNote"/>
      </w:pPr>
      <w:r>
        <w:rPr>
          <w:b/>
        </w:rPr>
        <w:t>Group ID:</w:t>
      </w:r>
      <w:r>
        <w:t xml:space="preserve"> group-1dbc995cea1726dea132</w:t>
      </w:r>
    </w:p>
    <w:p>
      <w:pPr>
        <w:pStyle w:val="SourceNote"/>
      </w:pPr>
      <w:r>
        <w:rPr>
          <w:b/>
        </w:rPr>
        <w:t>Original source:</w:t>
      </w:r>
      <w:r>
        <w:t xml:space="preserve"> https://doi.org/10.54648/eerr2013040</w:t>
      </w:r>
    </w:p>
    <w:p>
      <w:pPr/>
      <w:r>
        <w:rPr>
          <w:b/>
        </w:rPr>
        <w:t>Original future claim:</w:t>
      </w:r>
      <w:r>
        <w:t xml:space="preserve"> Current estimates predict the EU will need to import up to 80% of the gas it will consume in 2030.Already there is a strong concern about its reliance on Russian gas, especially in Eastern European countries.</w:t>
      </w:r>
    </w:p>
    <w:p>
      <w:pPr/>
      <w:r>
        <w:rPr>
          <w:b/>
        </w:rPr>
        <w:t>Later source:</w:t>
      </w:r>
      <w:r>
        <w:t xml:space="preserve"> Prevalence of Glaucoma in Europe and Projections to 2050 — https://doi.org/10.1016/j.ophtha.2025.06.002</w:t>
      </w:r>
    </w:p>
    <w:p>
      <w:pPr/>
      <w:r>
        <w:rPr>
          <w:b/>
        </w:rPr>
        <w:t>Later source:</w:t>
      </w:r>
      <w:r>
        <w:t xml:space="preserve"> Predicting and preventing preterm birth in Europe: current challenges and gaps — https://doi.org/10.1080/14767058.2025.2547687</w:t>
      </w:r>
    </w:p>
    <w:p>
      <w:pPr>
        <w:pStyle w:val="SourceNote"/>
      </w:pPr>
      <w:r>
        <w:rPr>
          <w:b/>
        </w:rPr>
        <w:t>Review status:</w:t>
      </w:r>
      <w:r>
        <w:t xml:space="preserve"> unchecked — possible relationship only</w:t>
      </w:r>
    </w:p>
    <w:p>
      <w:pPr>
        <w:pStyle w:val="Heading2"/>
      </w:pPr>
      <w:r>
        <w:t>396. Claim + two later sources: Comments: The Long-Term Outlook</w:t>
      </w:r>
    </w:p>
    <w:p>
      <w:pPr>
        <w:pStyle w:val="SourceNote"/>
      </w:pPr>
      <w:r>
        <w:rPr>
          <w:b/>
        </w:rPr>
        <w:t>Group ID:</w:t>
      </w:r>
      <w:r>
        <w:t xml:space="preserve"> group-903da0099fd3bd5e3f9f</w:t>
      </w:r>
    </w:p>
    <w:p>
      <w:pPr>
        <w:pStyle w:val="SourceNote"/>
      </w:pPr>
      <w:r>
        <w:rPr>
          <w:b/>
        </w:rPr>
        <w:t>Original source:</w:t>
      </w:r>
      <w:r>
        <w:t xml:space="preserve"> https://doi.org/10.2118/0113-0018-jpt</w:t>
      </w:r>
    </w:p>
    <w:p>
      <w:pPr/>
      <w:r>
        <w:rPr>
          <w:b/>
        </w:rPr>
        <w:t>Original future claim:</w:t>
      </w:r>
      <w:r>
        <w:t xml:space="preserve"> Here are some of the significant findings from the report: Energy demand in developing nations will rise 65% by 2040, reflecting growing prosperity and expanding economies. ExxonMobil forecasts that global energy consumption will rise 35% by 2040, primarily in China and India.</w:t>
      </w:r>
    </w:p>
    <w:p>
      <w:pPr/>
      <w:r>
        <w:rPr>
          <w:b/>
        </w:rPr>
        <w:t>Later source:</w:t>
      </w:r>
      <w:r>
        <w:t xml:space="preserve"> Synonymous but Significant: New Findings of Pathological Variants in Hermansky–Pudlak Syndrome — https://doi.org/10.1111/pcmr.13221</w:t>
      </w:r>
    </w:p>
    <w:p>
      <w:pPr/>
      <w:r>
        <w:rPr>
          <w:b/>
        </w:rPr>
        <w:t>Later source:</w:t>
      </w:r>
      <w:r>
        <w:t xml:space="preserve"> Still Here — https://doi.org/10.7146/ageculturehumanities.v8i.141931</w:t>
      </w:r>
    </w:p>
    <w:p>
      <w:pPr>
        <w:pStyle w:val="SourceNote"/>
      </w:pPr>
      <w:r>
        <w:rPr>
          <w:b/>
        </w:rPr>
        <w:t>Review status:</w:t>
      </w:r>
      <w:r>
        <w:t xml:space="preserve"> unchecked — possible relationship only</w:t>
      </w:r>
    </w:p>
    <w:p>
      <w:pPr>
        <w:pStyle w:val="Heading2"/>
      </w:pPr>
      <w:r>
        <w:t>397. Claim + two later sources: Climate change, extreme weather events, air pollution and respiratory health in Europe</w:t>
      </w:r>
    </w:p>
    <w:p>
      <w:pPr>
        <w:pStyle w:val="SourceNote"/>
      </w:pPr>
      <w:r>
        <w:rPr>
          <w:b/>
        </w:rPr>
        <w:t>Group ID:</w:t>
      </w:r>
      <w:r>
        <w:t xml:space="preserve"> group-d39860cc0cc2fac0b941</w:t>
      </w:r>
    </w:p>
    <w:p>
      <w:pPr>
        <w:pStyle w:val="SourceNote"/>
      </w:pPr>
      <w:r>
        <w:rPr>
          <w:b/>
        </w:rPr>
        <w:t>Original source:</w:t>
      </w:r>
      <w:r>
        <w:t xml:space="preserve"> https://doi.org/10.1183/09031936.00074712</w:t>
      </w:r>
    </w:p>
    <w:p>
      <w:pPr/>
      <w:r>
        <w:rPr>
          <w:b/>
        </w:rPr>
        <w:t>Original future claim:</w:t>
      </w:r>
      <w:r>
        <w:t xml:space="preserve"> Due to climate change and other factors, air pollution patterns are changing in several urbanised areas of the world, with a significant effect on respiratory health both independently and synergistically with weather conditions; climate scenarios show Europe as one of the most vulnerable regions.</w:t>
      </w:r>
    </w:p>
    <w:p>
      <w:pPr/>
      <w:r>
        <w:rPr>
          <w:b/>
        </w:rPr>
        <w:t>Later source:</w:t>
      </w:r>
      <w:r>
        <w:t xml:space="preserve"> The temperature increase due to climate change will not favour Cydalima perspectalis in southern Europe — https://doi.org/10.1017/s0007485326100911</w:t>
      </w:r>
    </w:p>
    <w:p>
      <w:pPr/>
      <w:r>
        <w:rPr>
          <w:b/>
        </w:rPr>
        <w:t>Later source:</w:t>
      </w:r>
      <w:r>
        <w:t xml:space="preserve"> The obstacles and changes in Sino-European trade routes in the twenty-first century due to climate change and geopolitical risks — https://doi.org/10.1057/s41599-026-08607-9</w:t>
      </w:r>
    </w:p>
    <w:p>
      <w:pPr>
        <w:pStyle w:val="SourceNote"/>
      </w:pPr>
      <w:r>
        <w:rPr>
          <w:b/>
        </w:rPr>
        <w:t>Review status:</w:t>
      </w:r>
      <w:r>
        <w:t xml:space="preserve"> unchecked — possible relationship only</w:t>
      </w:r>
    </w:p>
    <w:p>
      <w:pPr>
        <w:pStyle w:val="Heading2"/>
      </w:pPr>
      <w:r>
        <w:t>398. Claim + two later sources: Implementation of the 2030 sustainable development goals - affordable and clean energy in the European Union</w:t>
      </w:r>
    </w:p>
    <w:p>
      <w:pPr>
        <w:pStyle w:val="SourceNote"/>
      </w:pPr>
      <w:r>
        <w:rPr>
          <w:b/>
        </w:rPr>
        <w:t>Group ID:</w:t>
      </w:r>
      <w:r>
        <w:t xml:space="preserve"> group-928349f901f4ce41d5f5</w:t>
      </w:r>
    </w:p>
    <w:p>
      <w:pPr>
        <w:pStyle w:val="SourceNote"/>
      </w:pPr>
      <w:r>
        <w:rPr>
          <w:b/>
        </w:rPr>
        <w:t>Original source:</w:t>
      </w:r>
      <w:r>
        <w:t xml:space="preserve"> https://doi.org/10.1088/1755-1315/906/1/012017</w:t>
      </w:r>
    </w:p>
    <w:p>
      <w:pPr/>
      <w:r>
        <w:rPr>
          <w:b/>
        </w:rPr>
        <w:t>Original future claim:</w:t>
      </w:r>
      <w:r>
        <w:t xml:space="preserve"> In order to be able to predict how the analysed phenomena will develop until 2030, the authors built forecasts. They also allowed the designation of scenarios for the potential development of the analysed indicators.</w:t>
      </w:r>
    </w:p>
    <w:p>
      <w:pPr/>
      <w:r>
        <w:rPr>
          <w:b/>
        </w:rPr>
        <w:t>Later source:</w:t>
      </w:r>
      <w:r>
        <w:t xml:space="preserve"> The Republic of Moldova financial system adjustment to the european monetary order — https://doi.org/10.53486/mfsne2024.02</w:t>
      </w:r>
    </w:p>
    <w:p>
      <w:pPr/>
      <w:r>
        <w:rPr>
          <w:b/>
        </w:rPr>
        <w:t>Later source:</w:t>
      </w:r>
      <w:r>
        <w:t xml:space="preserve"> The European protection order: the question of a predictive toolkit for the protection of victims of criminal offences — https://doi.org/10.24144/2788-6018.2024.02.109</w:t>
      </w:r>
    </w:p>
    <w:p>
      <w:pPr>
        <w:pStyle w:val="SourceNote"/>
      </w:pPr>
      <w:r>
        <w:rPr>
          <w:b/>
        </w:rPr>
        <w:t>Review status:</w:t>
      </w:r>
      <w:r>
        <w:t xml:space="preserve"> unchecked — possible relationship only</w:t>
      </w:r>
    </w:p>
    <w:p>
      <w:pPr>
        <w:pStyle w:val="Heading2"/>
      </w:pPr>
      <w:r>
        <w:t>399. Claim + two later sources: Focused Futures from Finland</w:t>
      </w:r>
    </w:p>
    <w:p>
      <w:pPr>
        <w:pStyle w:val="SourceNote"/>
      </w:pPr>
      <w:r>
        <w:rPr>
          <w:b/>
        </w:rPr>
        <w:t>Group ID:</w:t>
      </w:r>
      <w:r>
        <w:t xml:space="preserve"> group-63798fc50f16fc4d3793</w:t>
      </w:r>
    </w:p>
    <w:p>
      <w:pPr>
        <w:pStyle w:val="SourceNote"/>
      </w:pPr>
      <w:r>
        <w:rPr>
          <w:b/>
        </w:rPr>
        <w:t>Original source:</w:t>
      </w:r>
      <w:r>
        <w:t xml:space="preserve"> https://doi.org/10.1177/1946756718754847</w:t>
      </w:r>
    </w:p>
    <w:p>
      <w:pPr/>
      <w:r>
        <w:rPr>
          <w:b/>
        </w:rPr>
        <w:t>Original future claim:</w:t>
      </w:r>
      <w:r>
        <w:t xml:space="preserve"> At the end of the article, we present four scenarios of the future of the FFRC jointly made by the staff.</w:t>
      </w:r>
    </w:p>
    <w:p>
      <w:pPr/>
      <w:r>
        <w:rPr>
          <w:b/>
        </w:rPr>
        <w:t>Later source:</w:t>
      </w:r>
      <w:r>
        <w:t xml:space="preserve"> European Union Litigation — https://doi.org/10.1515/ercl-2022-2038</w:t>
      </w:r>
    </w:p>
    <w:p>
      <w:pPr/>
      <w:r>
        <w:rPr>
          <w:b/>
        </w:rPr>
        <w:t>Later source:</w:t>
      </w:r>
      <w:r>
        <w:t xml:space="preserve"> Slavonic and East European Review, 1922–2022 — https://doi.org/10.1353/see.2022.0000</w:t>
      </w:r>
    </w:p>
    <w:p>
      <w:pPr>
        <w:pStyle w:val="SourceNote"/>
      </w:pPr>
      <w:r>
        <w:rPr>
          <w:b/>
        </w:rPr>
        <w:t>Review status:</w:t>
      </w:r>
      <w:r>
        <w:t xml:space="preserve"> unchecked — possible relationship only</w:t>
      </w:r>
    </w:p>
    <w:p>
      <w:pPr>
        <w:pStyle w:val="Heading2"/>
      </w:pPr>
      <w:r>
        <w:t>400. Claim + two later sources: On the Future(s) of Energy Communities in the German Energy Transition: A Derivation of Transformation Pathways</w:t>
      </w:r>
    </w:p>
    <w:p>
      <w:pPr>
        <w:pStyle w:val="SourceNote"/>
      </w:pPr>
      <w:r>
        <w:rPr>
          <w:b/>
        </w:rPr>
        <w:t>Group ID:</w:t>
      </w:r>
      <w:r>
        <w:t xml:space="preserve"> group-cf55f87a8e83f2b1b53e</w:t>
      </w:r>
    </w:p>
    <w:p>
      <w:pPr>
        <w:pStyle w:val="SourceNote"/>
      </w:pPr>
      <w:r>
        <w:rPr>
          <w:b/>
        </w:rPr>
        <w:t>Original source:</w:t>
      </w:r>
      <w:r>
        <w:t xml:space="preserve"> https://doi.org/10.3390/su14063169</w:t>
      </w:r>
    </w:p>
    <w:p>
      <w:pPr/>
      <w:r>
        <w:rPr>
          <w:b/>
        </w:rPr>
        <w:t>Original future claim:</w:t>
      </w:r>
      <w:r>
        <w:t xml:space="preserve"> In order to understand how such a development could come about, and if desired, how it could be ensured, we developed and applied a quasi-dynamic model using the Cross-Impact Balance (CIB) approach and with it analyzed and assessed such a transition in detail. Main results obtained from the application of the model are possible transformation pathways of citizen participation in the energy transition of Germany.</w:t>
      </w:r>
    </w:p>
    <w:p>
      <w:pPr/>
      <w:r>
        <w:rPr>
          <w:b/>
        </w:rPr>
        <w:t>Later source:</w:t>
      </w:r>
      <w:r>
        <w:t xml:space="preserve"> “I haven't thought about it before”: STEM researchers' views on decolonization with examples from Canada, Europe and New Zealand — https://doi.org/10.1108/edi-12-2024-0592</w:t>
      </w:r>
    </w:p>
    <w:p>
      <w:pPr/>
      <w:r>
        <w:rPr>
          <w:b/>
        </w:rPr>
        <w:t>Later source:</w:t>
      </w:r>
      <w:r>
        <w:t xml:space="preserve"> The Changing Liberal World Order : Transatlantic Relations, Europe and Central Europe — https://openalex.org/W7213382557</w:t>
      </w:r>
    </w:p>
    <w:p>
      <w:pPr>
        <w:pStyle w:val="SourceNote"/>
      </w:pPr>
      <w:r>
        <w:rPr>
          <w:b/>
        </w:rPr>
        <w:t>Review status:</w:t>
      </w:r>
      <w:r>
        <w:t xml:space="preserve"> unchecked — possible relationship only</w:t>
      </w:r>
    </w:p>
    <w:p>
      <w:pPr>
        <w:pStyle w:val="Heading2"/>
      </w:pPr>
      <w:r>
        <w:t>401. Claim + two later sources: Strategic European Integration Scenarios of Ukrainian and Polish Research, Education and Innovation Spaces</w:t>
      </w:r>
    </w:p>
    <w:p>
      <w:pPr>
        <w:pStyle w:val="SourceNote"/>
      </w:pPr>
      <w:r>
        <w:rPr>
          <w:b/>
        </w:rPr>
        <w:t>Group ID:</w:t>
      </w:r>
      <w:r>
        <w:t xml:space="preserve"> group-884808562de8db5bb33f</w:t>
      </w:r>
    </w:p>
    <w:p>
      <w:pPr>
        <w:pStyle w:val="SourceNote"/>
      </w:pPr>
      <w:r>
        <w:rPr>
          <w:b/>
        </w:rPr>
        <w:t>Original source:</w:t>
      </w:r>
      <w:r>
        <w:t xml:space="preserve"> https://doi.org/10.34021/ve.2021.04.02(1)</w:t>
      </w:r>
    </w:p>
    <w:p>
      <w:pPr/>
      <w:r>
        <w:rPr>
          <w:b/>
        </w:rPr>
        <w:t>Original future claim:</w:t>
      </w:r>
      <w:r>
        <w:t xml:space="preserve"> Analysis of the use of foresight technology to determine the possible future, create the desired image of the future and determine strategies to achieve it using methods developed in various research areas revealed that its application makes sense in determining long-term factors, trends and directions of national economies. That is, in foresighting, in contrast to forecasting, the emphasis is made on qualitative rather than quantitative results, which does not provide the expected targeted policy of the state, because it does not give clear, concrete results of actions - quantitative strategic benchmarks, monitoring which would control the process of these areas' development.</w:t>
      </w:r>
    </w:p>
    <w:p>
      <w:pPr/>
      <w:r>
        <w:rPr>
          <w:b/>
        </w:rPr>
        <w:t>Later source:</w:t>
      </w:r>
      <w:r>
        <w:t xml:space="preserve"> The enrichment of post-growth future alternatives for Europe using an online integral foresight methodology — https://doi.org/10.1186/s40309-026-00282-y</w:t>
      </w:r>
    </w:p>
    <w:p>
      <w:pPr/>
      <w:r>
        <w:rPr>
          <w:b/>
        </w:rPr>
        <w:t>Later source:</w:t>
      </w:r>
      <w:r>
        <w:t xml:space="preserve"> Foresight study for addressing megatrends in information and communication technology (ICT) — https://doi.org/10.1186/s13731-025-00466-z</w:t>
      </w:r>
    </w:p>
    <w:p>
      <w:pPr>
        <w:pStyle w:val="SourceNote"/>
      </w:pPr>
      <w:r>
        <w:rPr>
          <w:b/>
        </w:rPr>
        <w:t>Review status:</w:t>
      </w:r>
      <w:r>
        <w:t xml:space="preserve"> unchecked — possible relationship only</w:t>
      </w:r>
    </w:p>
    <w:p>
      <w:pPr>
        <w:pStyle w:val="Heading2"/>
      </w:pPr>
      <w:r>
        <w:t>402. Claim + two later sources: A new approach on renewable energy as a support for regional economic development among the European Union</w:t>
      </w:r>
    </w:p>
    <w:p>
      <w:pPr>
        <w:pStyle w:val="SourceNote"/>
      </w:pPr>
      <w:r>
        <w:rPr>
          <w:b/>
        </w:rPr>
        <w:t>Group ID:</w:t>
      </w:r>
      <w:r>
        <w:t xml:space="preserve"> group-032779807a1a03249143</w:t>
      </w:r>
    </w:p>
    <w:p>
      <w:pPr>
        <w:pStyle w:val="SourceNote"/>
      </w:pPr>
      <w:r>
        <w:rPr>
          <w:b/>
        </w:rPr>
        <w:t>Original source:</w:t>
      </w:r>
      <w:r>
        <w:t xml:space="preserve"> https://doi.org/10.1016/j.techfore.2022.121998</w:t>
      </w:r>
    </w:p>
    <w:p>
      <w:pPr/>
      <w:r>
        <w:rPr>
          <w:b/>
        </w:rPr>
        <w:t>Original future claim:</w:t>
      </w:r>
      <w:r>
        <w:t xml:space="preserve"> The modelling results will enable the creation of an EU-wide sustainability profile useful to supranational decision-makers for adjusting energy policies to ensure the energy transition towards 2050. The methods and procedures used will be represented by a critical literature review in order to verify the working hypotheses and to design, test and validate a new statistical model of energy sustainability seasonality.</w:t>
      </w:r>
    </w:p>
    <w:p>
      <w:pPr/>
      <w:r>
        <w:rPr>
          <w:b/>
        </w:rPr>
        <w:t>Later source:</w:t>
      </w:r>
      <w:r>
        <w:t xml:space="preserve"> Environmental performance and institutions quality in Europe: A Bayesian model averaging approach — https://doi.org/10.1016/j.najef.2026.102591</w:t>
      </w:r>
    </w:p>
    <w:p>
      <w:pPr/>
      <w:r>
        <w:rPr>
          <w:b/>
        </w:rPr>
        <w:t>Later source:</w:t>
      </w:r>
      <w:r>
        <w:t xml:space="preserve"> Measuring Governance-Enabled Sustainability in Central and Eastern Europe: Development of a Corporate Governance–Sustainability Index (CGSI–CEE) — https://doi.org/10.3390/su18073350</w:t>
      </w:r>
    </w:p>
    <w:p>
      <w:pPr>
        <w:pStyle w:val="SourceNote"/>
      </w:pPr>
      <w:r>
        <w:rPr>
          <w:b/>
        </w:rPr>
        <w:t>Review status:</w:t>
      </w:r>
      <w:r>
        <w:t xml:space="preserve"> unchecked — possible relationship only</w:t>
      </w:r>
    </w:p>
    <w:p>
      <w:pPr>
        <w:pStyle w:val="Heading2"/>
      </w:pPr>
      <w:r>
        <w:t>403. Claim + two later sources: Foresighting addiction and lifestyles in Europe 2030+</w:t>
      </w:r>
    </w:p>
    <w:p>
      <w:pPr>
        <w:pStyle w:val="SourceNote"/>
      </w:pPr>
      <w:r>
        <w:rPr>
          <w:b/>
        </w:rPr>
        <w:t>Group ID:</w:t>
      </w:r>
      <w:r>
        <w:t xml:space="preserve"> group-4e7fb4a2f52c8f599c88</w:t>
      </w:r>
    </w:p>
    <w:p>
      <w:pPr>
        <w:pStyle w:val="SourceNote"/>
      </w:pPr>
      <w:r>
        <w:rPr>
          <w:b/>
        </w:rPr>
        <w:t>Original source:</w:t>
      </w:r>
      <w:r>
        <w:t xml:space="preserve"> https://doi.org/10.1007/s40309-013-0019-0</w:t>
      </w:r>
    </w:p>
    <w:p>
      <w:pPr/>
      <w:r>
        <w:rPr>
          <w:b/>
        </w:rPr>
        <w:t>Original future claim:</w:t>
      </w:r>
      <w:r>
        <w:t xml:space="preserve"> The project invited 17 European and three international drug disorder experts to provide an initial vision and a reframing as to how scientific, technological and social advancement may impact on our understanding of addictions and lifestyles over the next 20 years («Vision 2030+»). Four mini-scenarios were designed to raise awareness that the future could go in different (possible, plausible, preferable) directions implying quite diverse individual and societal impacts.</w:t>
      </w:r>
    </w:p>
    <w:p>
      <w:pPr/>
      <w:r>
        <w:rPr>
          <w:b/>
        </w:rPr>
        <w:t>Later source:</w:t>
      </w:r>
      <w:r>
        <w:t xml:space="preserve"> The Horizon Europe CRM-geothermal project: Deliverable 6.7 – Clustering Network Map. — https://doi.org/10.5281/zenodo.19929926</w:t>
      </w:r>
    </w:p>
    <w:p>
      <w:pPr/>
      <w:r>
        <w:rPr>
          <w:b/>
        </w:rPr>
        <w:t>Later source:</w:t>
      </w:r>
      <w:r>
        <w:t xml:space="preserve"> Animal board invited review: A biocultural perspective of animal farming systems in Europe — https://doi.org/10.1016/j.animal.2025.101515</w:t>
      </w:r>
    </w:p>
    <w:p>
      <w:pPr>
        <w:pStyle w:val="SourceNote"/>
      </w:pPr>
      <w:r>
        <w:rPr>
          <w:b/>
        </w:rPr>
        <w:t>Review status:</w:t>
      </w:r>
      <w:r>
        <w:t xml:space="preserve"> unchecked — possible relationship only</w:t>
      </w:r>
    </w:p>
    <w:p>
      <w:pPr>
        <w:pStyle w:val="Heading2"/>
      </w:pPr>
      <w:r>
        <w:t>404. Claim + two later sources: The Future of Internationalization of Higher Education in Europe</w:t>
      </w:r>
    </w:p>
    <w:p>
      <w:pPr>
        <w:pStyle w:val="SourceNote"/>
      </w:pPr>
      <w:r>
        <w:rPr>
          <w:b/>
        </w:rPr>
        <w:t>Group ID:</w:t>
      </w:r>
      <w:r>
        <w:t xml:space="preserve"> group-a729b5540d78bf7eca7a</w:t>
      </w:r>
    </w:p>
    <w:p>
      <w:pPr>
        <w:pStyle w:val="SourceNote"/>
      </w:pPr>
      <w:r>
        <w:rPr>
          <w:b/>
        </w:rPr>
        <w:t>Original source:</w:t>
      </w:r>
      <w:r>
        <w:t xml:space="preserve"> https://doi.org/10.6017/ihe.2015.83.9073</w:t>
      </w:r>
    </w:p>
    <w:p>
      <w:pPr/>
      <w:r>
        <w:rPr>
          <w:b/>
        </w:rPr>
        <w:t>Original future claim:</w:t>
      </w:r>
      <w:r>
        <w:t xml:space="preserve"> The study results in conclusions and recommendations on the future of internationalization of higher education in Europe, based on the national reports and a Delphi process among experts in international higher education. This is a summary of the key findings of the study, including a redefinition of the meaning of internationalization.</w:t>
      </w:r>
    </w:p>
    <w:p>
      <w:pPr/>
      <w:r>
        <w:rPr>
          <w:b/>
        </w:rPr>
        <w:t>Later source:</w:t>
      </w:r>
      <w:r>
        <w:t xml:space="preserve"> Conceptualizing ‘quality of education’: an analysis of European political documents on education — https://doi.org/10.3389/feduc.2025.1463412</w:t>
      </w:r>
    </w:p>
    <w:p>
      <w:pPr/>
      <w:r>
        <w:rPr>
          <w:b/>
        </w:rPr>
        <w:t>Later source:</w:t>
      </w:r>
      <w:r>
        <w:t xml:space="preserve"> Regional Pathways to Internationalization: The Role of Erasmus+ in European HEIs — https://doi.org/10.3390/urbansci9050144</w:t>
      </w:r>
    </w:p>
    <w:p>
      <w:pPr>
        <w:pStyle w:val="SourceNote"/>
      </w:pPr>
      <w:r>
        <w:rPr>
          <w:b/>
        </w:rPr>
        <w:t>Review status:</w:t>
      </w:r>
      <w:r>
        <w:t xml:space="preserve"> unchecked — possible relationship only</w:t>
      </w:r>
    </w:p>
    <w:p>
      <w:pPr>
        <w:pStyle w:val="Heading2"/>
      </w:pPr>
      <w:r>
        <w:t>405. Claim + two later sources: Situational analysis of EU renewable energy legislation</w:t>
      </w:r>
    </w:p>
    <w:p>
      <w:pPr>
        <w:pStyle w:val="SourceNote"/>
      </w:pPr>
      <w:r>
        <w:rPr>
          <w:b/>
        </w:rPr>
        <w:t>Group ID:</w:t>
      </w:r>
      <w:r>
        <w:t xml:space="preserve"> group-876d63a10b1cfe7b8e45</w:t>
      </w:r>
    </w:p>
    <w:p>
      <w:pPr>
        <w:pStyle w:val="SourceNote"/>
      </w:pPr>
      <w:r>
        <w:rPr>
          <w:b/>
        </w:rPr>
        <w:t>Original source:</w:t>
      </w:r>
      <w:r>
        <w:t xml:space="preserve"> https://doi.org/10.1080/14693062.2015.1135412</w:t>
      </w:r>
    </w:p>
    <w:p>
      <w:pPr/>
      <w:r>
        <w:rPr>
          <w:b/>
        </w:rPr>
        <w:t>Original future claim:</w:t>
      </w:r>
      <w:r>
        <w:t xml:space="preserve"> It next seeks to identify relationships between internal weaknesses and strengths and external threats and opportunities, resulting in four sets of policy options.Policy relevanceIn October 2014, the EU Heads of State and Government agreed to increase the EU's greenhouse gas reduction target to -40% by 2030. This article applies a situational analysis tool to help answer the question of how EU renewable energy policy could be reshaped after 2020 to further enhance renewable energy deployment in the EU.</w:t>
      </w:r>
    </w:p>
    <w:p>
      <w:pPr/>
      <w:r>
        <w:rPr>
          <w:b/>
        </w:rPr>
        <w:t>Later source:</w:t>
      </w:r>
      <w:r>
        <w:t xml:space="preserve"> Scenario-Building Papers for Europe 2030 - INTERNAL AND EXTERNAL DYNAMICS OF EUROPEAN INTEGRATION (DEBUE). — https://doi.org/10.5281/zenodo.17566447</w:t>
      </w:r>
    </w:p>
    <w:p>
      <w:pPr/>
      <w:r>
        <w:rPr>
          <w:b/>
        </w:rPr>
        <w:t>Later source:</w:t>
      </w:r>
      <w:r>
        <w:t xml:space="preserve"> Climate Policy Priorities for the Next European Commission — https://openalex.org/W4392885355</w:t>
      </w:r>
    </w:p>
    <w:p>
      <w:pPr>
        <w:pStyle w:val="SourceNote"/>
      </w:pPr>
      <w:r>
        <w:rPr>
          <w:b/>
        </w:rPr>
        <w:t>Review status:</w:t>
      </w:r>
      <w:r>
        <w:t xml:space="preserve"> unchecked — possible relationship only</w:t>
      </w:r>
    </w:p>
    <w:p>
      <w:pPr>
        <w:pStyle w:val="Heading2"/>
      </w:pPr>
      <w:r>
        <w:t>406. Claim + two later sources: Future transitions for the Bioeconomy towards Sustainable Development and a Climate-Neutral Economy - Knowledge Synthesis Final Report: WP1 - Knowledge synthesis and foresight</w:t>
      </w:r>
    </w:p>
    <w:p>
      <w:pPr>
        <w:pStyle w:val="SourceNote"/>
      </w:pPr>
      <w:r>
        <w:rPr>
          <w:b/>
        </w:rPr>
        <w:t>Group ID:</w:t>
      </w:r>
      <w:r>
        <w:t xml:space="preserve"> group-5517519dbb02d5c94d50</w:t>
      </w:r>
    </w:p>
    <w:p>
      <w:pPr>
        <w:pStyle w:val="SourceNote"/>
      </w:pPr>
      <w:r>
        <w:rPr>
          <w:b/>
        </w:rPr>
        <w:t>Original source:</w:t>
      </w:r>
      <w:r>
        <w:t xml:space="preserve"> https://doi.org/10.2760/667966</w:t>
      </w:r>
    </w:p>
    <w:p>
      <w:pPr/>
      <w:r>
        <w:rPr>
          <w:b/>
        </w:rPr>
        <w:t>Original future claim:</w:t>
      </w:r>
      <w:r>
        <w:t xml:space="preserve"> There is enough sustainable EU biomass to contribute to all sectors by 2030, and probably beyond, as well as to bring organic carbon back to soil. \nTo ensure sustainable supply, not only residues and wastes are relevant, but sustainably sourced agricultural and forestry feedstocks, and feedstocks from recovering and restoring marginal and degraded land.</w:t>
      </w:r>
    </w:p>
    <w:p>
      <w:pPr/>
      <w:r>
        <w:rPr>
          <w:b/>
        </w:rPr>
        <w:t>Later source:</w:t>
      </w:r>
      <w:r>
        <w:t xml:space="preserve"> Left, right, or buy green? Political ideology and sustainable consumption in Europe — https://doi.org/10.9770/w3992782679</w:t>
      </w:r>
    </w:p>
    <w:p>
      <w:pPr/>
      <w:r>
        <w:rPr>
          <w:b/>
        </w:rPr>
        <w:t>Later source:</w:t>
      </w:r>
      <w:r>
        <w:t xml:space="preserve"> D6.4 European Citizen Science sustainability and exploitation plan — https://doi.org/10.5281/zenodo.20490032</w:t>
      </w:r>
    </w:p>
    <w:p>
      <w:pPr>
        <w:pStyle w:val="SourceNote"/>
      </w:pPr>
      <w:r>
        <w:rPr>
          <w:b/>
        </w:rPr>
        <w:t>Review status:</w:t>
      </w:r>
      <w:r>
        <w:t xml:space="preserve"> unchecked — possible relationship only</w:t>
      </w:r>
    </w:p>
    <w:p>
      <w:pPr>
        <w:pStyle w:val="Heading2"/>
      </w:pPr>
      <w:r>
        <w:t>407. Claim + two later sources: Grassland futures in Great Britain – Productivity assessment and scenarios for land use change opportunities</w:t>
      </w:r>
    </w:p>
    <w:p>
      <w:pPr>
        <w:pStyle w:val="SourceNote"/>
      </w:pPr>
      <w:r>
        <w:rPr>
          <w:b/>
        </w:rPr>
        <w:t>Group ID:</w:t>
      </w:r>
      <w:r>
        <w:t xml:space="preserve"> group-6c3a7e893d5b49cbbe62</w:t>
      </w:r>
    </w:p>
    <w:p>
      <w:pPr>
        <w:pStyle w:val="SourceNote"/>
      </w:pPr>
      <w:r>
        <w:rPr>
          <w:b/>
        </w:rPr>
        <w:t>Original source:</w:t>
      </w:r>
      <w:r>
        <w:t xml:space="preserve"> https://doi.org/10.1016/j.scitotenv.2018.03.395</w:t>
      </w:r>
    </w:p>
    <w:p>
      <w:pPr/>
      <w:r>
        <w:rPr>
          <w:b/>
        </w:rPr>
        <w:t>Original future claim:</w:t>
      </w:r>
      <w:r>
        <w:t xml:space="preserve"> The effects of climate change, rising atmospheric [CO 2 ] and technological progress on baseline DMYs were used to estimate future grassland productivities (up to 2050) for low and medium CO 2 emission scenarios of UKCP09. By 2050, productivities under medium emission scenario are predicted to increase to 15.5 and 9.8 t/ha on temporary and permanent grassland, respectively, but not on rough grassland.</w:t>
      </w:r>
    </w:p>
    <w:p>
      <w:pPr/>
      <w:r>
        <w:rPr>
          <w:b/>
        </w:rPr>
        <w:t>Later source:</w:t>
      </w:r>
      <w:r>
        <w:t xml:space="preserve"> Atmospheric methane removal as a third climate intervention: termination risks and air pollutant effects — https://doi.org/10.1038/s44168-026-00398-8</w:t>
      </w:r>
    </w:p>
    <w:p>
      <w:pPr/>
      <w:r>
        <w:rPr>
          <w:b/>
        </w:rPr>
        <w:t>Later source:</w:t>
      </w:r>
      <w:r>
        <w:t xml:space="preserve"> Climate Change Effects and Mechanisms on Nutritional Quality and Technological Performance of Major Agri-Food Products: A Critical Review — https://doi.org/10.1080/87559129.2026.2713621</w:t>
      </w:r>
    </w:p>
    <w:p>
      <w:pPr>
        <w:pStyle w:val="SourceNote"/>
      </w:pPr>
      <w:r>
        <w:rPr>
          <w:b/>
        </w:rPr>
        <w:t>Review status:</w:t>
      </w:r>
      <w:r>
        <w:t xml:space="preserve"> unchecked — possible relationship only</w:t>
      </w:r>
    </w:p>
    <w:p>
      <w:pPr>
        <w:pStyle w:val="Heading2"/>
      </w:pPr>
      <w:r>
        <w:t>408. Claim + two later sources: Demographic change and the European income distribution</w:t>
      </w:r>
    </w:p>
    <w:p>
      <w:pPr>
        <w:pStyle w:val="SourceNote"/>
      </w:pPr>
      <w:r>
        <w:rPr>
          <w:b/>
        </w:rPr>
        <w:t>Group ID:</w:t>
      </w:r>
      <w:r>
        <w:t xml:space="preserve"> group-319fe364a450ceb2f516</w:t>
      </w:r>
    </w:p>
    <w:p>
      <w:pPr>
        <w:pStyle w:val="SourceNote"/>
      </w:pPr>
      <w:r>
        <w:rPr>
          <w:b/>
        </w:rPr>
        <w:t>Original source:</w:t>
      </w:r>
      <w:r>
        <w:t xml:space="preserve"> https://doi.org/10.1007/s10888-019-09411-z</w:t>
      </w:r>
    </w:p>
    <w:p>
      <w:pPr/>
      <w:r>
        <w:rPr>
          <w:b/>
        </w:rPr>
        <w:t>Original future claim:</w:t>
      </w:r>
      <w:r>
        <w:t xml:space="preserve"> This paper assesses the effect of key demographic changes (population ageing and increasing educational attainment) that are expected by 2030 on the income distribution in the EU-27 and examines the potential of tax-benefit systems to counterbalance negative developments. Our results show that demographic change is likely to lead to increasing inequality while related wage adjustments work mainly in the opposite direction.</w:t>
      </w:r>
    </w:p>
    <w:p>
      <w:pPr/>
      <w:r>
        <w:rPr>
          <w:b/>
        </w:rPr>
        <w:t>Later source:</w:t>
      </w:r>
      <w:r>
        <w:t xml:space="preserve"> The interplay of climate change, urbanization, and species traits shapes European butterfly population trends — https://doi.org/10.1101/2025.02.13.638066</w:t>
      </w:r>
    </w:p>
    <w:p>
      <w:pPr/>
      <w:r>
        <w:rPr>
          <w:b/>
        </w:rPr>
        <w:t>Later source:</w:t>
      </w:r>
      <w:r>
        <w:t xml:space="preserve"> Assessing the impact of factors on Vietnam's key seafood product exports: A case study of the European Union market — https://doi.org/10.71374/jfar.v25.i1.27</w:t>
      </w:r>
    </w:p>
    <w:p>
      <w:pPr>
        <w:pStyle w:val="SourceNote"/>
      </w:pPr>
      <w:r>
        <w:rPr>
          <w:b/>
        </w:rPr>
        <w:t>Review status:</w:t>
      </w:r>
      <w:r>
        <w:t xml:space="preserve"> unchecked — possible relationship only</w:t>
      </w:r>
    </w:p>
    <w:p>
      <w:pPr>
        <w:pStyle w:val="Heading2"/>
      </w:pPr>
      <w:r>
        <w:t>409. Claim + two later sources: A decision support system to find the best water allocation strategies in a Mediterranean river basin in future scenarios of global change</w:t>
      </w:r>
    </w:p>
    <w:p>
      <w:pPr>
        <w:pStyle w:val="SourceNote"/>
      </w:pPr>
      <w:r>
        <w:rPr>
          <w:b/>
        </w:rPr>
        <w:t>Group ID:</w:t>
      </w:r>
      <w:r>
        <w:t xml:space="preserve"> group-7be4f631ad6d1a4cfc99</w:t>
      </w:r>
    </w:p>
    <w:p>
      <w:pPr>
        <w:pStyle w:val="SourceNote"/>
      </w:pPr>
      <w:r>
        <w:rPr>
          <w:b/>
        </w:rPr>
        <w:t>Original source:</w:t>
      </w:r>
      <w:r>
        <w:t xml:space="preserve"> https://doi.org/10.1080/0952813x.2015.1024493</w:t>
      </w:r>
    </w:p>
    <w:p>
      <w:pPr/>
      <w:r>
        <w:rPr>
          <w:b/>
        </w:rPr>
        <w:t>Original future claim:</w:t>
      </w:r>
      <w:r>
        <w:t xml:space="preserve"> Several scenarios have been constructed to evaluate different sectorial water allocation policies to mitigate the water scarcity induced by global change.</w:t>
      </w:r>
    </w:p>
    <w:p>
      <w:pPr/>
      <w:r>
        <w:rPr>
          <w:b/>
        </w:rPr>
        <w:t>Later source:</w:t>
      </w:r>
      <w:r>
        <w:t xml:space="preserve"> Make Any Collection Navigable: Methods for Constructing and Evaluating Hypergraph of Text — https://doi.org/10.48550/arxiv.2604.25906</w:t>
      </w:r>
    </w:p>
    <w:p>
      <w:pPr/>
      <w:r>
        <w:rPr>
          <w:b/>
        </w:rPr>
        <w:t>Later source:</w:t>
      </w:r>
      <w:r>
        <w:t xml:space="preserve"> Understanding and addressing the water footprint in the textile sector: A review — https://doi.org/10.1515/aut-2024-0004</w:t>
      </w:r>
    </w:p>
    <w:p>
      <w:pPr>
        <w:pStyle w:val="SourceNote"/>
      </w:pPr>
      <w:r>
        <w:rPr>
          <w:b/>
        </w:rPr>
        <w:t>Review status:</w:t>
      </w:r>
      <w:r>
        <w:t xml:space="preserve"> unchecked — possible relationship only</w:t>
      </w:r>
    </w:p>
    <w:p>
      <w:pPr>
        <w:pStyle w:val="Heading2"/>
      </w:pPr>
      <w:r>
        <w:t>410. Claim + two later sources: GLOBAL FORECAST OF US NATIONAL INTELLIGENCE COUNCIL</w:t>
      </w:r>
    </w:p>
    <w:p>
      <w:pPr>
        <w:pStyle w:val="SourceNote"/>
      </w:pPr>
      <w:r>
        <w:rPr>
          <w:b/>
        </w:rPr>
        <w:t>Group ID:</w:t>
      </w:r>
      <w:r>
        <w:t xml:space="preserve"> group-015127fb86d395a31d95</w:t>
      </w:r>
    </w:p>
    <w:p>
      <w:pPr>
        <w:pStyle w:val="SourceNote"/>
      </w:pPr>
      <w:r>
        <w:rPr>
          <w:b/>
        </w:rPr>
        <w:t>Original source:</w:t>
      </w:r>
      <w:r>
        <w:t xml:space="preserve"> https://doi.org/10.20542/0131-2227-2016-60-11-5-13</w:t>
      </w:r>
    </w:p>
    <w:p>
      <w:pPr/>
      <w:r>
        <w:rPr>
          <w:b/>
        </w:rPr>
        <w:t>Original future claim:</w:t>
      </w:r>
      <w:r>
        <w:t xml:space="preserve"> The paper gives an analysis of the background, main trends, scenarios and factors of the long-term development of the world till 2030 which are exposed in forecasts of the National Intelligence Council (NIC) in its report of 2012.</w:t>
      </w:r>
    </w:p>
    <w:p>
      <w:pPr/>
      <w:r>
        <w:rPr>
          <w:b/>
        </w:rPr>
        <w:t>Later source:</w:t>
      </w:r>
      <w:r>
        <w:t xml:space="preserve"> Factors Influencing Long-term Home Care for Patients with Tracheostomy from the Perspectives of their Family Members — https://doi.org/10.4103/ijnmr.ijnmr_379_24</w:t>
      </w:r>
    </w:p>
    <w:p>
      <w:pPr/>
      <w:r>
        <w:rPr>
          <w:b/>
        </w:rPr>
        <w:t>Later source:</w:t>
      </w:r>
      <w:r>
        <w:t xml:space="preserve"> Factors Affecting Long-Term Outcomes for Patients with Inflammatory Bowel Disease—A Cross-Sectional Design — https://doi.org/10.3390/nursrep15070231</w:t>
      </w:r>
    </w:p>
    <w:p>
      <w:pPr>
        <w:pStyle w:val="SourceNote"/>
      </w:pPr>
      <w:r>
        <w:rPr>
          <w:b/>
        </w:rPr>
        <w:t>Review status:</w:t>
      </w:r>
      <w:r>
        <w:t xml:space="preserve"> unchecked — possible relationship only</w:t>
      </w:r>
    </w:p>
    <w:p>
      <w:pPr>
        <w:pStyle w:val="Heading2"/>
      </w:pPr>
      <w:r>
        <w:t>411. Claim + two later sources: Prediction of population with Alzheimer's disease in the European Union using a system dynamics model</w:t>
      </w:r>
    </w:p>
    <w:p>
      <w:pPr>
        <w:pStyle w:val="SourceNote"/>
      </w:pPr>
      <w:r>
        <w:rPr>
          <w:b/>
        </w:rPr>
        <w:t>Group ID:</w:t>
      </w:r>
      <w:r>
        <w:t xml:space="preserve"> group-ea216bbf5d396a75c1db</w:t>
      </w:r>
    </w:p>
    <w:p>
      <w:pPr>
        <w:pStyle w:val="SourceNote"/>
      </w:pPr>
      <w:r>
        <w:rPr>
          <w:b/>
        </w:rPr>
        <w:t>Original source:</w:t>
      </w:r>
      <w:r>
        <w:t xml:space="preserve"> https://doi.org/10.2147/ndt.s107969</w:t>
      </w:r>
    </w:p>
    <w:p>
      <w:pPr/>
      <w:r>
        <w:rPr>
          <w:b/>
        </w:rPr>
        <w:t>Original future claim:</w:t>
      </w:r>
      <w:r>
        <w:t xml:space="preserve"> In this research, population growth of the European Union (EU) until the year 2080 and the number of patients with AD are modeled.</w:t>
      </w:r>
    </w:p>
    <w:p>
      <w:pPr/>
      <w:r>
        <w:rPr>
          <w:b/>
        </w:rPr>
        <w:t>Later source:</w:t>
      </w:r>
      <w:r>
        <w:t xml:space="preserve"> Projected number of osteoarthritis patients in Austria for the next decades – quantifying the necessity of treatment and prevention strategies in Europe — https://doi.org/10.1186/s12891-022-05091-5</w:t>
      </w:r>
    </w:p>
    <w:p>
      <w:pPr/>
      <w:r>
        <w:rPr>
          <w:b/>
        </w:rPr>
        <w:t>Later source:</w:t>
      </w:r>
      <w:r>
        <w:t xml:space="preserve"> The finance-growth nexus in the age of financialisation: An empirical reassessment for the European Union countries — https://doi.org/10.2298/pan180927014b</w:t>
      </w:r>
    </w:p>
    <w:p>
      <w:pPr>
        <w:pStyle w:val="SourceNote"/>
      </w:pPr>
      <w:r>
        <w:rPr>
          <w:b/>
        </w:rPr>
        <w:t>Review status:</w:t>
      </w:r>
      <w:r>
        <w:t xml:space="preserve"> unchecked — possible relationship only</w:t>
      </w:r>
    </w:p>
    <w:p>
      <w:pPr>
        <w:pStyle w:val="Heading2"/>
      </w:pPr>
      <w:r>
        <w:t>412. Claim + two later sources: European atmosphere in 2050, a regional air quality and climate perspective under CMIP5 scenarios</w:t>
      </w:r>
    </w:p>
    <w:p>
      <w:pPr>
        <w:pStyle w:val="SourceNote"/>
      </w:pPr>
      <w:r>
        <w:rPr>
          <w:b/>
        </w:rPr>
        <w:t>Group ID:</w:t>
      </w:r>
      <w:r>
        <w:t xml:space="preserve"> group-1a9f66512272b271dc18</w:t>
      </w:r>
    </w:p>
    <w:p>
      <w:pPr>
        <w:pStyle w:val="SourceNote"/>
      </w:pPr>
      <w:r>
        <w:rPr>
          <w:b/>
        </w:rPr>
        <w:t>Original source:</w:t>
      </w:r>
      <w:r>
        <w:t xml:space="preserve"> https://doi.org/10.5194/acp-13-7451-2013</w:t>
      </w:r>
    </w:p>
    <w:p>
      <w:pPr/>
      <w:r>
        <w:rPr>
          <w:b/>
        </w:rPr>
        <w:t>Original future claim:</w:t>
      </w:r>
      <w:r>
        <w:t xml:space="preserve"> To quantify changes in air pollution in Europe at the 2050 horizon, we designed a comprehensive modelling system that captures the external factors considered to be most relevant and relies on up-to-date and consistent sets of air pollution and climate policy scenarios. We explored two diverse scenarios: a reference scenario where climate policies are absent and a mitigation scenario which limits global temperature rise to within 2 °C by the end of this century.</w:t>
      </w:r>
    </w:p>
    <w:p>
      <w:pPr/>
      <w:r>
        <w:rPr>
          <w:b/>
        </w:rPr>
        <w:t>Later source:</w:t>
      </w:r>
      <w:r>
        <w:t xml:space="preserve"> Climate &amp; Air Quality projections over Europe for 2030 and 2050 — https://openalex.org/W7213705154</w:t>
      </w:r>
    </w:p>
    <w:p>
      <w:pPr/>
      <w:r>
        <w:rPr>
          <w:b/>
        </w:rPr>
        <w:t>Later source:</w:t>
      </w:r>
      <w:r>
        <w:t xml:space="preserve"> Quantifying the Climate Penalty on Air Quality in Europe – Insights from INSPEnCaT Project — https://doi.org/10.5194/egusphere-egu25-17230</w:t>
      </w:r>
    </w:p>
    <w:p>
      <w:pPr>
        <w:pStyle w:val="SourceNote"/>
      </w:pPr>
      <w:r>
        <w:rPr>
          <w:b/>
        </w:rPr>
        <w:t>Review status:</w:t>
      </w:r>
      <w:r>
        <w:t xml:space="preserve"> accepted — possible relationship only</w:t>
      </w:r>
    </w:p>
    <w:p>
      <w:pPr>
        <w:pStyle w:val="Heading2"/>
      </w:pPr>
      <w:r>
        <w:t>413. Claim + two later sources: Improved Consistency of Climate Projections over Europe after Accounting for Atmospheric Circulation Variability</w:t>
      </w:r>
    </w:p>
    <w:p>
      <w:pPr>
        <w:pStyle w:val="SourceNote"/>
      </w:pPr>
      <w:r>
        <w:rPr>
          <w:b/>
        </w:rPr>
        <w:t>Group ID:</w:t>
      </w:r>
      <w:r>
        <w:t xml:space="preserve"> group-417b0cc41f81981a1cf1</w:t>
      </w:r>
    </w:p>
    <w:p>
      <w:pPr>
        <w:pStyle w:val="SourceNote"/>
      </w:pPr>
      <w:r>
        <w:rPr>
          <w:b/>
        </w:rPr>
        <w:t>Original source:</w:t>
      </w:r>
      <w:r>
        <w:t xml:space="preserve"> https://doi.org/10.1175/jcli-d-16-0695.1</w:t>
      </w:r>
    </w:p>
    <w:p>
      <w:pPr/>
      <w:r>
        <w:rPr>
          <w:b/>
        </w:rPr>
        <w:t>Original future claim:</w:t>
      </w:r>
      <w:r>
        <w:t xml:space="preserve"> The differences in atmospheric circulation as simulated by different models in their control runs and under the historical and representative concentration pathway 8.5 (RCP8.5) forcing scenarios are investigated. A statistically significant response of sea level pressure to anthropogenic forcing is identified in the multimodel ensemble under the RCP8.5 scenario.</w:t>
      </w:r>
    </w:p>
    <w:p>
      <w:pPr/>
      <w:r>
        <w:rPr>
          <w:b/>
        </w:rPr>
        <w:t>Later source:</w:t>
      </w:r>
      <w:r>
        <w:t xml:space="preserve"> Evaluating effects of the terrain on modelled winds in multiple atmospheric model datasets — https://doi.org/10.5194/wes-2026-24</w:t>
      </w:r>
    </w:p>
    <w:p>
      <w:pPr/>
      <w:r>
        <w:rPr>
          <w:b/>
        </w:rPr>
        <w:t>Later source:</w:t>
      </w:r>
      <w:r>
        <w:t xml:space="preserve"> Trends in short-term precipitation variability and their connection to atmospheric circulation — https://doi.org/10.5194/ems2026-287</w:t>
      </w:r>
    </w:p>
    <w:p>
      <w:pPr>
        <w:pStyle w:val="SourceNote"/>
      </w:pPr>
      <w:r>
        <w:rPr>
          <w:b/>
        </w:rPr>
        <w:t>Review status:</w:t>
      </w:r>
      <w:r>
        <w:t xml:space="preserve"> unchecked — possible relationship only</w:t>
      </w:r>
    </w:p>
    <w:p>
      <w:pPr>
        <w:pStyle w:val="Heading2"/>
      </w:pPr>
      <w:r>
        <w:t>414. Claim + two later sources: ‘Energy landscapes’: Meeting energy demands and human aspirations</w:t>
      </w:r>
    </w:p>
    <w:p>
      <w:pPr>
        <w:pStyle w:val="SourceNote"/>
      </w:pPr>
      <w:r>
        <w:rPr>
          <w:b/>
        </w:rPr>
        <w:t>Group ID:</w:t>
      </w:r>
      <w:r>
        <w:t xml:space="preserve"> group-1973f1ca1f715d4527dc</w:t>
      </w:r>
    </w:p>
    <w:p>
      <w:pPr>
        <w:pStyle w:val="SourceNote"/>
      </w:pPr>
      <w:r>
        <w:rPr>
          <w:b/>
        </w:rPr>
        <w:t>Original source:</w:t>
      </w:r>
      <w:r>
        <w:t xml:space="preserve"> https://doi.org/10.1016/j.biombioe.2012.11.022</w:t>
      </w:r>
    </w:p>
    <w:p>
      <w:pPr/>
      <w:r>
        <w:rPr>
          <w:b/>
        </w:rPr>
        <w:t>Original future claim:</w:t>
      </w:r>
      <w:r>
        <w:t xml:space="preserve"> A critical question considered in this article is whether a massive expansion in the use of biomass will allow us to construct future scenarios while repositioning the 'energy landscape' as an object of study.</w:t>
      </w:r>
    </w:p>
    <w:p>
      <w:pPr/>
      <w:r>
        <w:rPr>
          <w:b/>
        </w:rPr>
        <w:t>Later source:</w:t>
      </w:r>
      <w:r>
        <w:t xml:space="preserve"> The effects of critical questions on undergraduate students' argumentative writing — https://doi.org/10.58088/bfrb-jk48</w:t>
      </w:r>
    </w:p>
    <w:p>
      <w:pPr/>
      <w:r>
        <w:rPr>
          <w:b/>
        </w:rPr>
        <w:t>Later source:</w:t>
      </w:r>
      <w:r>
        <w:t xml:space="preserve"> Moduli space of logarithmic states in critical massive gravities — https://doi.org/10.1140/epjc/s10052-024-12614-y</w:t>
      </w:r>
    </w:p>
    <w:p>
      <w:pPr>
        <w:pStyle w:val="SourceNote"/>
      </w:pPr>
      <w:r>
        <w:rPr>
          <w:b/>
        </w:rPr>
        <w:t>Review status:</w:t>
      </w:r>
      <w:r>
        <w:t xml:space="preserve"> unchecked — possible relationship only</w:t>
      </w:r>
    </w:p>
    <w:p>
      <w:pPr>
        <w:pStyle w:val="Heading2"/>
      </w:pPr>
      <w:r>
        <w:t>415. Claim + two later sources: Energy futures as societal futures: Co-evolutionary scenarios linking futures of society and decarbonized energy systems in Switzerland 2050</w:t>
      </w:r>
    </w:p>
    <w:p>
      <w:pPr>
        <w:pStyle w:val="SourceNote"/>
      </w:pPr>
      <w:r>
        <w:rPr>
          <w:b/>
        </w:rPr>
        <w:t>Group ID:</w:t>
      </w:r>
      <w:r>
        <w:t xml:space="preserve"> group-130a7efbce1a7f028bf0</w:t>
      </w:r>
    </w:p>
    <w:p>
      <w:pPr>
        <w:pStyle w:val="SourceNote"/>
      </w:pPr>
      <w:r>
        <w:rPr>
          <w:b/>
        </w:rPr>
        <w:t>Original source:</w:t>
      </w:r>
      <w:r>
        <w:t xml:space="preserve"> https://doi.org/10.1016/j.futures.2022.102955</w:t>
      </w:r>
    </w:p>
    <w:p>
      <w:pPr/>
      <w:r>
        <w:rPr>
          <w:b/>
        </w:rPr>
        <w:t>Original future claim:</w:t>
      </w:r>
      <w:r>
        <w:t xml:space="preserve"> There is consensus that the global energy system will have to change substantially in the next decades to reach carbon neutrality. However, there are many visions of future energy systems and possible pathways leading to the corresponding futures.</w:t>
      </w:r>
    </w:p>
    <w:p>
      <w:pPr/>
      <w:r>
        <w:rPr>
          <w:b/>
        </w:rPr>
        <w:t>Later source:</w:t>
      </w:r>
      <w:r>
        <w:t xml:space="preserve"> How Global Peacebuilders Think: Policy Dialogue and System Change — https://openalex.org/W7139576235</w:t>
      </w:r>
    </w:p>
    <w:p>
      <w:pPr/>
      <w:r>
        <w:rPr>
          <w:b/>
        </w:rPr>
        <w:t>Later source:</w:t>
      </w:r>
      <w:r>
        <w:t xml:space="preserve"> Polyendocrine metabolic ovarian syndrome, the new name for polycystic ovary syndrome: a multistep global consensus process — https://doi.org/10.1016/s0140-6736(26)00717-8</w:t>
      </w:r>
    </w:p>
    <w:p>
      <w:pPr>
        <w:pStyle w:val="SourceNote"/>
      </w:pPr>
      <w:r>
        <w:rPr>
          <w:b/>
        </w:rPr>
        <w:t>Review status:</w:t>
      </w:r>
      <w:r>
        <w:t xml:space="preserve"> unchecked — possible relationship only</w:t>
      </w:r>
    </w:p>
    <w:p>
      <w:pPr>
        <w:pStyle w:val="Heading2"/>
      </w:pPr>
      <w:r>
        <w:t>416. Claim + two later sources: Imaginary scenarios: Literature and Democracy in Europe</w:t>
      </w:r>
    </w:p>
    <w:p>
      <w:pPr>
        <w:pStyle w:val="SourceNote"/>
      </w:pPr>
      <w:r>
        <w:rPr>
          <w:b/>
        </w:rPr>
        <w:t>Group ID:</w:t>
      </w:r>
      <w:r>
        <w:t xml:space="preserve"> group-5d48382378517574f6e8</w:t>
      </w:r>
    </w:p>
    <w:p>
      <w:pPr>
        <w:pStyle w:val="SourceNote"/>
      </w:pPr>
      <w:r>
        <w:rPr>
          <w:b/>
        </w:rPr>
        <w:t>Original source:</w:t>
      </w:r>
      <w:r>
        <w:t xml:space="preserve"> https://doi.org/10.25071/2369-7326.40256</w:t>
      </w:r>
    </w:p>
    <w:p>
      <w:pPr/>
      <w:r>
        <w:rPr>
          <w:b/>
        </w:rPr>
        <w:t>Original future claim:</w:t>
      </w:r>
      <w:r>
        <w:t xml:space="preserve"> The concept ‘imaginary scenario’ will be implemented to investigate imaginative scripts and settings constructed by authors to visualize democratic structures, as such commenting on political and social events and ideas. Tavares (Learning to pray in the age of technique) build their novels around a Vorstellung of how (future) individuals and people in power could act and speak.</w:t>
      </w:r>
    </w:p>
    <w:p>
      <w:pPr/>
      <w:r>
        <w:rPr>
          <w:b/>
        </w:rPr>
        <w:t>Later source:</w:t>
      </w:r>
      <w:r>
        <w:t xml:space="preserve"> European Constitutional Imaginaries — https://doi.org/10.1093/oso/9780192855480.003.0001</w:t>
      </w:r>
    </w:p>
    <w:p>
      <w:pPr/>
      <w:r>
        <w:rPr>
          <w:b/>
        </w:rPr>
        <w:t>Later source:</w:t>
      </w:r>
      <w:r>
        <w:t xml:space="preserve"> Towards the imaginary of collective prosperity in the European Union (EU): reorienting the corporation — https://doi.org/10.1017/elo.2023.5</w:t>
      </w:r>
    </w:p>
    <w:p>
      <w:pPr>
        <w:pStyle w:val="SourceNote"/>
      </w:pPr>
      <w:r>
        <w:rPr>
          <w:b/>
        </w:rPr>
        <w:t>Review status:</w:t>
      </w:r>
      <w:r>
        <w:t xml:space="preserve"> unchecked — possible relationship only</w:t>
      </w:r>
    </w:p>
    <w:p>
      <w:pPr>
        <w:pStyle w:val="Heading2"/>
      </w:pPr>
      <w:r>
        <w:t>417. Claim + two later sources: Possible Futures towards a Wood-Based Bioeconomy: A Scenario Analysis for Germany</w:t>
      </w:r>
    </w:p>
    <w:p>
      <w:pPr>
        <w:pStyle w:val="SourceNote"/>
      </w:pPr>
      <w:r>
        <w:rPr>
          <w:b/>
        </w:rPr>
        <w:t>Group ID:</w:t>
      </w:r>
      <w:r>
        <w:t xml:space="preserve"> group-2619dca9c337a527bd65</w:t>
      </w:r>
    </w:p>
    <w:p>
      <w:pPr>
        <w:pStyle w:val="SourceNote"/>
      </w:pPr>
      <w:r>
        <w:rPr>
          <w:b/>
        </w:rPr>
        <w:t>Original source:</w:t>
      </w:r>
      <w:r>
        <w:t xml:space="preserve"> https://doi.org/10.3390/su8010098</w:t>
      </w:r>
    </w:p>
    <w:p>
      <w:pPr/>
      <w:r>
        <w:rPr>
          <w:b/>
        </w:rPr>
        <w:t>Original future claim:</w:t>
      </w:r>
      <w:r>
        <w:t xml:space="preserve"> Driven by the growing awareness of the finite nature of fossil raw materials and the need for sustainable pathways of industrial production, the bio-based economy is expected to expand worldwide. We conclude that the wood-based bioeconomy has a certain potential to develop further, if adequate political framework conditions are implemented and meet voter support, if consumers exhibit an enhanced willingness to pay for bio-based products, and if among companies, a chance-oriented advocacy coalition of bioeconomy supporters dominates over proponents of fossil pathways.</w:t>
      </w:r>
    </w:p>
    <w:p>
      <w:pPr/>
      <w:r>
        <w:rPr>
          <w:b/>
        </w:rPr>
        <w:t>Later source:</w:t>
      </w:r>
      <w:r>
        <w:t xml:space="preserve"> Economic Analysis of Fossil CO2 Emissions: A European Perspective on Sustainable Development — https://doi.org/10.3390/en18082106</w:t>
      </w:r>
    </w:p>
    <w:p>
      <w:pPr/>
      <w:r>
        <w:rPr>
          <w:b/>
        </w:rPr>
        <w:t>Later source:</w:t>
      </w:r>
      <w:r>
        <w:t xml:space="preserve"> What Factors Drive a Sustainable Energy Transition in Europe? A Data-Driven Exploration of Economic and Policy Influences — https://doi.org/10.22541/au.175883292.27456920/v1</w:t>
      </w:r>
    </w:p>
    <w:p>
      <w:pPr>
        <w:pStyle w:val="SourceNote"/>
      </w:pPr>
      <w:r>
        <w:rPr>
          <w:b/>
        </w:rPr>
        <w:t>Review status:</w:t>
      </w:r>
      <w:r>
        <w:t xml:space="preserve"> unchecked — possible relationship only</w:t>
      </w:r>
    </w:p>
    <w:p>
      <w:pPr>
        <w:pStyle w:val="Heading2"/>
      </w:pPr>
      <w:r>
        <w:t>418. Claim + two later sources: The Boundaries of Scientific Innovation in the EU Green Deal Context</w:t>
      </w:r>
    </w:p>
    <w:p>
      <w:pPr>
        <w:pStyle w:val="SourceNote"/>
      </w:pPr>
      <w:r>
        <w:rPr>
          <w:b/>
        </w:rPr>
        <w:t>Group ID:</w:t>
      </w:r>
      <w:r>
        <w:t xml:space="preserve"> group-cf147d869d2b5a3fe0f7</w:t>
      </w:r>
    </w:p>
    <w:p>
      <w:pPr>
        <w:pStyle w:val="SourceNote"/>
      </w:pPr>
      <w:r>
        <w:rPr>
          <w:b/>
        </w:rPr>
        <w:t>Original source:</w:t>
      </w:r>
      <w:r>
        <w:t xml:space="preserve"> https://doi.org/10.2478/rtuect-2022-0010</w:t>
      </w:r>
    </w:p>
    <w:p>
      <w:pPr/>
      <w:r>
        <w:rPr>
          <w:b/>
        </w:rPr>
        <w:t>Original future claim:</w:t>
      </w:r>
      <w:r>
        <w:t xml:space="preserve"> The European Union has frequently taken an active role in international climate policy by developing relevant strategies in as early as the nineties the last century, and today promoting an ambitious EU Green Deal to become climate neutral by 2050.</w:t>
      </w:r>
    </w:p>
    <w:p>
      <w:pPr/>
      <w:r>
        <w:rPr>
          <w:b/>
        </w:rPr>
        <w:t>Later source:</w:t>
      </w:r>
      <w:r>
        <w:t xml:space="preserve"> The European Union as a Political Hybrid — https://doi.org/10.1017/9781009682633.004</w:t>
      </w:r>
    </w:p>
    <w:p>
      <w:pPr/>
      <w:r>
        <w:rPr>
          <w:b/>
        </w:rPr>
        <w:t>Later source:</w:t>
      </w:r>
      <w:r>
        <w:t xml:space="preserve"> The Role of the Czech Republic in Redefining Central European Identity within the European Union — https://doi.org/10.36690/2674-5216-2026-1-54-66</w:t>
      </w:r>
    </w:p>
    <w:p>
      <w:pPr>
        <w:pStyle w:val="SourceNote"/>
      </w:pPr>
      <w:r>
        <w:rPr>
          <w:b/>
        </w:rPr>
        <w:t>Review status:</w:t>
      </w:r>
      <w:r>
        <w:t xml:space="preserve"> unchecked — possible relationship only</w:t>
      </w:r>
    </w:p>
    <w:p>
      <w:pPr>
        <w:pStyle w:val="Heading2"/>
      </w:pPr>
      <w:r>
        <w:t>419. Claim + two later sources: Neglected futures. Considering overlooked poverty in Europe</w:t>
      </w:r>
    </w:p>
    <w:p>
      <w:pPr>
        <w:pStyle w:val="SourceNote"/>
      </w:pPr>
      <w:r>
        <w:rPr>
          <w:b/>
        </w:rPr>
        <w:t>Group ID:</w:t>
      </w:r>
      <w:r>
        <w:t xml:space="preserve"> group-c64ae483b81caab1b31a</w:t>
      </w:r>
    </w:p>
    <w:p>
      <w:pPr>
        <w:pStyle w:val="SourceNote"/>
      </w:pPr>
      <w:r>
        <w:rPr>
          <w:b/>
        </w:rPr>
        <w:t>Original source:</w:t>
      </w:r>
      <w:r>
        <w:t xml:space="preserve"> https://doi.org/10.1007/s40309-014-0057-2</w:t>
      </w:r>
    </w:p>
    <w:p>
      <w:pPr/>
      <w:r>
        <w:rPr>
          <w:b/>
        </w:rPr>
        <w:t>Original future claim:</w:t>
      </w:r>
      <w:r>
        <w:t xml:space="preserve"> This fact poses a major challenge for future planning and the future of social policies.</w:t>
      </w:r>
    </w:p>
    <w:p>
      <w:pPr/>
      <w:r>
        <w:rPr>
          <w:b/>
        </w:rPr>
        <w:t>Later source:</w:t>
      </w:r>
      <w:r>
        <w:t xml:space="preserve"> An Analysis of the Municipal Waste Management of Romania and Bulgaria in the European Context — https://doi.org/10.61801/ouaess.2022.1.21</w:t>
      </w:r>
    </w:p>
    <w:p>
      <w:pPr/>
      <w:r>
        <w:rPr>
          <w:b/>
        </w:rPr>
        <w:t>Later source:</w:t>
      </w:r>
      <w:r>
        <w:t xml:space="preserve"> Dedicated versus mainstreaming approaches in local climate plans in Europe — https://doi.org/10.1016/j.rser.2019.05.014</w:t>
      </w:r>
    </w:p>
    <w:p>
      <w:pPr>
        <w:pStyle w:val="SourceNote"/>
      </w:pPr>
      <w:r>
        <w:rPr>
          <w:b/>
        </w:rPr>
        <w:t>Review status:</w:t>
      </w:r>
      <w:r>
        <w:t xml:space="preserve"> unchecked — possible relationship only</w:t>
      </w:r>
    </w:p>
    <w:p>
      <w:pPr>
        <w:pStyle w:val="Heading2"/>
      </w:pPr>
      <w:r>
        <w:t>420. Claim + two later sources: EUHFORIA: European heliospheric forecasting information asset</w:t>
      </w:r>
    </w:p>
    <w:p>
      <w:pPr>
        <w:pStyle w:val="SourceNote"/>
      </w:pPr>
      <w:r>
        <w:rPr>
          <w:b/>
        </w:rPr>
        <w:t>Group ID:</w:t>
      </w:r>
      <w:r>
        <w:t xml:space="preserve"> group-1824e83fc6937554345e</w:t>
      </w:r>
    </w:p>
    <w:p>
      <w:pPr>
        <w:pStyle w:val="SourceNote"/>
      </w:pPr>
      <w:r>
        <w:rPr>
          <w:b/>
        </w:rPr>
        <w:t>Original source:</w:t>
      </w:r>
      <w:r>
        <w:t xml:space="preserve"> https://doi.org/10.1051/swsc/2018020</w:t>
      </w:r>
    </w:p>
    <w:p>
      <w:pPr/>
      <w:r>
        <w:rPr>
          <w:b/>
        </w:rPr>
        <w:t>Original future claim:</w:t>
      </w:r>
      <w:r>
        <w:t xml:space="preserve"> The implementation and first results of the new space weather forecasting-targeted inner heliosphere model “European heliospheric forecasting information asset” (EUHFORIA) are presented. The results feature a highly dynamic heliosphere that the model is able to capture in good agreement with in situ observations.</w:t>
      </w:r>
    </w:p>
    <w:p>
      <w:pPr/>
      <w:r>
        <w:rPr>
          <w:b/>
        </w:rPr>
        <w:t>Later source:</w:t>
      </w:r>
      <w:r>
        <w:t xml:space="preserve"> THE ROLE OF MODERN TECHNOLOGIES IN IMPLEMENTING THE EUROPEAN GREEN DEAL STRATEGY — https://doi.org/10.51895/vss3/dahl/strzala/marton-gados</w:t>
      </w:r>
    </w:p>
    <w:p>
      <w:pPr/>
      <w:r>
        <w:rPr>
          <w:b/>
        </w:rPr>
        <w:t>Later source:</w:t>
      </w:r>
      <w:r>
        <w:t xml:space="preserve"> 7.L. Workshop: New roles and innovative skill-mix in nursing across Europe: trends and lessons for implementation — https://doi.org/10.1093/eurpub/ckac129.446</w:t>
      </w:r>
    </w:p>
    <w:p>
      <w:pPr>
        <w:pStyle w:val="SourceNote"/>
      </w:pPr>
      <w:r>
        <w:rPr>
          <w:b/>
        </w:rPr>
        <w:t>Review status:</w:t>
      </w:r>
      <w:r>
        <w:t xml:space="preserve"> unchecked — possible relationship only</w:t>
      </w:r>
    </w:p>
    <w:p>
      <w:pPr>
        <w:pStyle w:val="Heading2"/>
      </w:pPr>
      <w:r>
        <w:t>421. Claim + two later sources: Sociotechnical imaginaries of a secure future</w:t>
      </w:r>
    </w:p>
    <w:p>
      <w:pPr>
        <w:pStyle w:val="SourceNote"/>
      </w:pPr>
      <w:r>
        <w:rPr>
          <w:b/>
        </w:rPr>
        <w:t>Group ID:</w:t>
      </w:r>
      <w:r>
        <w:t xml:space="preserve"> group-6f31736cdb0e1186a7cb</w:t>
      </w:r>
    </w:p>
    <w:p>
      <w:pPr>
        <w:pStyle w:val="SourceNote"/>
      </w:pPr>
      <w:r>
        <w:rPr>
          <w:b/>
        </w:rPr>
        <w:t>Original source:</w:t>
      </w:r>
      <w:r>
        <w:t xml:space="preserve"> https://doi.org/10.1186/s40309-021-00176-1</w:t>
      </w:r>
    </w:p>
    <w:p>
      <w:pPr/>
      <w:r>
        <w:rPr>
          <w:b/>
        </w:rPr>
        <w:t>Original future claim:</w:t>
      </w:r>
      <w:r>
        <w:t xml:space="preserve"> In order to illuminate developments that govern the adoption of security technologies and render them in their dependencies comprehensible, we present two plausible and consistent future scenarios for Germany 2035. On the basis of current literature in tandem with a structured scenario development process, we condensed the present sociotechnical imaginaries into two tangible future scenarios for the field of public security, illustrating its effects on how we live as a society.</w:t>
      </w:r>
    </w:p>
    <w:p>
      <w:pPr/>
      <w:r>
        <w:rPr>
          <w:b/>
        </w:rPr>
        <w:t>Later source:</w:t>
      </w:r>
      <w:r>
        <w:t xml:space="preserve"> Analyses of the Development and Challenges of Parkour Coaches’ Education in Europe — https://doi.org/10.35469/ak.2025.527</w:t>
      </w:r>
    </w:p>
    <w:p>
      <w:pPr/>
      <w:r>
        <w:rPr>
          <w:b/>
        </w:rPr>
        <w:t>Later source:</w:t>
      </w:r>
      <w:r>
        <w:t xml:space="preserve"> Governing knowledge, shaping Europe: research security in the EU’s geopolitical turn — https://doi.org/10.1080/09662839.2026.2680646</w:t>
      </w:r>
    </w:p>
    <w:p>
      <w:pPr>
        <w:pStyle w:val="SourceNote"/>
      </w:pPr>
      <w:r>
        <w:rPr>
          <w:b/>
        </w:rPr>
        <w:t>Review status:</w:t>
      </w:r>
      <w:r>
        <w:t xml:space="preserve"> unchecked — possible relationship only</w:t>
      </w:r>
    </w:p>
    <w:p>
      <w:pPr>
        <w:pStyle w:val="Heading2"/>
      </w:pPr>
      <w:r>
        <w:t>422. Claim + two later sources: Potential implications of future climate and land‐cover changes for the fate and distribution of persistent organic pollutants in Europe</w:t>
      </w:r>
    </w:p>
    <w:p>
      <w:pPr>
        <w:pStyle w:val="SourceNote"/>
      </w:pPr>
      <w:r>
        <w:rPr>
          <w:b/>
        </w:rPr>
        <w:t>Group ID:</w:t>
      </w:r>
      <w:r>
        <w:t xml:space="preserve"> group-4fbe733ac1d39373c566</w:t>
      </w:r>
    </w:p>
    <w:p>
      <w:pPr>
        <w:pStyle w:val="SourceNote"/>
      </w:pPr>
      <w:r>
        <w:rPr>
          <w:b/>
        </w:rPr>
        <w:t>Original source:</w:t>
      </w:r>
      <w:r>
        <w:t xml:space="preserve"> https://doi.org/10.1111/j.1466-8238.2010.00547.x</w:t>
      </w:r>
    </w:p>
    <w:p>
      <w:pPr/>
      <w:r>
        <w:rPr>
          <w:b/>
        </w:rPr>
        <w:t>Original future claim:</w:t>
      </w:r>
      <w:r>
        <w:t xml:space="preserve"> Scenarios detailing climate and land‐cover changes, such as precipitation, temperature and vegetation cover, were used as input in a European multi‐media chemical fate model to help understand their impact on the environmental fate and behaviour of POPs over the period 1990–2100 in Europe. Main conclusions Overall, the model simulations suggest that the dominant driver behind differences seen between the present and climate‐changed future scenarios is temperature, resulting in a slight shift in chemical distribution from surface compartments to the air.</w:t>
      </w:r>
    </w:p>
    <w:p>
      <w:pPr/>
      <w:r>
        <w:rPr>
          <w:b/>
        </w:rPr>
        <w:t>Later source:</w:t>
      </w:r>
      <w:r>
        <w:t xml:space="preserve"> European land use and land cover futures: a global computable general equilibrium assessment with sub-national detail and a climate application — https://doi.org/10.48565/bonndoc-923</w:t>
      </w:r>
    </w:p>
    <w:p>
      <w:pPr/>
      <w:r>
        <w:rPr>
          <w:b/>
        </w:rPr>
        <w:t>Later source:</w:t>
      </w:r>
      <w:r>
        <w:t xml:space="preserve"> Climate Change Threatens Micronutrient Density of European Winter Wheat (Adv. Sci. 42/2026) — https://doi.org/10.1002/advs.76543</w:t>
      </w:r>
    </w:p>
    <w:p>
      <w:pPr>
        <w:pStyle w:val="SourceNote"/>
      </w:pPr>
      <w:r>
        <w:rPr>
          <w:b/>
        </w:rPr>
        <w:t>Review status:</w:t>
      </w:r>
      <w:r>
        <w:t xml:space="preserve"> unchecked — possible relationship only</w:t>
      </w:r>
    </w:p>
    <w:p>
      <w:pPr>
        <w:pStyle w:val="Heading2"/>
      </w:pPr>
      <w:r>
        <w:t>423. Claim + two later sources: New EU-scale environmental scenarios until 2050 – Scenario process and initial scenario applications</w:t>
      </w:r>
    </w:p>
    <w:p>
      <w:pPr>
        <w:pStyle w:val="SourceNote"/>
      </w:pPr>
      <w:r>
        <w:rPr>
          <w:b/>
        </w:rPr>
        <w:t>Group ID:</w:t>
      </w:r>
      <w:r>
        <w:t xml:space="preserve"> group-65b0cbc7f084e6ecd4bc</w:t>
      </w:r>
    </w:p>
    <w:p>
      <w:pPr>
        <w:pStyle w:val="SourceNote"/>
      </w:pPr>
      <w:r>
        <w:rPr>
          <w:b/>
        </w:rPr>
        <w:t>Original source:</w:t>
      </w:r>
      <w:r>
        <w:t xml:space="preserve"> https://doi.org/10.1016/j.ecoser.2017.08.006</w:t>
      </w:r>
    </w:p>
    <w:p>
      <w:pPr/>
      <w:r>
        <w:rPr>
          <w:b/>
        </w:rPr>
        <w:t>Original future claim:</w:t>
      </w:r>
      <w:r>
        <w:t xml:space="preserve"> In a participatory iterative approach four scenarios were developed for the period to 2050, involving regional and EU-level users and stakeholders. Understanding uncertainties and risks can be considered to be the main motivation behind environmental scenario studies to assess potential economic, environmental, social or technical developments and their expected consequences for society and environment.</w:t>
      </w:r>
    </w:p>
    <w:p>
      <w:pPr/>
      <w:r>
        <w:rPr>
          <w:b/>
        </w:rPr>
        <w:t>Later source:</w:t>
      </w:r>
      <w:r>
        <w:t xml:space="preserve"> Envisioning the future of European mountain value chains: a participatory foresight approach — https://doi.org/10.1007/s10113-025-02454-1</w:t>
      </w:r>
    </w:p>
    <w:p>
      <w:pPr/>
      <w:r>
        <w:rPr>
          <w:b/>
        </w:rPr>
        <w:t>Later source:</w:t>
      </w:r>
      <w:r>
        <w:t xml:space="preserve"> Mapping Participatory Approaches in Health Care Provision for Older Immigrants in Europe: A Scoping Review — https://doi.org/10.1007/s10903-026-01923-x</w:t>
      </w:r>
    </w:p>
    <w:p>
      <w:pPr>
        <w:pStyle w:val="SourceNote"/>
      </w:pPr>
      <w:r>
        <w:rPr>
          <w:b/>
        </w:rPr>
        <w:t>Review status:</w:t>
      </w:r>
      <w:r>
        <w:t xml:space="preserve"> unchecked — possible relationship only</w:t>
      </w:r>
    </w:p>
    <w:p>
      <w:pPr>
        <w:pStyle w:val="Heading2"/>
      </w:pPr>
      <w:r>
        <w:t>424. Claim + two later sources: EUropean Heliospheric FORecasting Information Asset 2.0</w:t>
      </w:r>
    </w:p>
    <w:p>
      <w:pPr>
        <w:pStyle w:val="SourceNote"/>
      </w:pPr>
      <w:r>
        <w:rPr>
          <w:b/>
        </w:rPr>
        <w:t>Group ID:</w:t>
      </w:r>
      <w:r>
        <w:t xml:space="preserve"> group-3ac6e39aa29e1c2206ca</w:t>
      </w:r>
    </w:p>
    <w:p>
      <w:pPr>
        <w:pStyle w:val="SourceNote"/>
      </w:pPr>
      <w:r>
        <w:rPr>
          <w:b/>
        </w:rPr>
        <w:t>Original source:</w:t>
      </w:r>
      <w:r>
        <w:t xml:space="preserve"> https://doi.org/10.1051/swsc/2020055</w:t>
      </w:r>
    </w:p>
    <w:p>
      <w:pPr/>
      <w:r>
        <w:rPr>
          <w:b/>
        </w:rPr>
        <w:t>Original future claim:</w:t>
      </w:r>
      <w:r>
        <w:t xml:space="preserve"> This will result in a reliable prediction tool for radiation hazards from SEP events, affecting astronauts, passengers and crew in high-flying aircraft, and the impact of space weather events on power grid infrastructure, telecommunication, and navigation satellites.</w:t>
      </w:r>
    </w:p>
    <w:p>
      <w:pPr/>
      <w:r>
        <w:rPr>
          <w:b/>
        </w:rPr>
        <w:t>Later source:</w:t>
      </w:r>
      <w:r>
        <w:t xml:space="preserve"> The PIANOFORTE partnership: Elevating European research for enhanced radiation protection — https://doi.org/10.1051/epjn/2025009</w:t>
      </w:r>
    </w:p>
    <w:p>
      <w:pPr/>
      <w:r>
        <w:rPr>
          <w:b/>
        </w:rPr>
        <w:t>Later source:</w:t>
      </w:r>
      <w:r>
        <w:t xml:space="preserve"> Exploring Hybrid Forecasting Frameworks for Subseasonal Low Flow Predictions in the European Alps — https://doi.org/10.5194/egusphere-2025-3411</w:t>
      </w:r>
    </w:p>
    <w:p>
      <w:pPr>
        <w:pStyle w:val="SourceNote"/>
      </w:pPr>
      <w:r>
        <w:rPr>
          <w:b/>
        </w:rPr>
        <w:t>Review status:</w:t>
      </w:r>
      <w:r>
        <w:t xml:space="preserve"> unchecked — possible relationship only</w:t>
      </w:r>
    </w:p>
    <w:p>
      <w:pPr>
        <w:pStyle w:val="Heading2"/>
      </w:pPr>
      <w:r>
        <w:t>425. Claim + two later sources: Application of the UK Foresight Obesity Model in Ireland: The Health and Economic Consequences of Projected Obesity Trends in Ireland</w:t>
      </w:r>
    </w:p>
    <w:p>
      <w:pPr>
        <w:pStyle w:val="SourceNote"/>
      </w:pPr>
      <w:r>
        <w:rPr>
          <w:b/>
        </w:rPr>
        <w:t>Group ID:</w:t>
      </w:r>
      <w:r>
        <w:t xml:space="preserve"> group-e9688d7200232d17476a</w:t>
      </w:r>
    </w:p>
    <w:p>
      <w:pPr>
        <w:pStyle w:val="SourceNote"/>
      </w:pPr>
      <w:r>
        <w:rPr>
          <w:b/>
        </w:rPr>
        <w:t>Original source:</w:t>
      </w:r>
      <w:r>
        <w:t xml:space="preserve"> https://doi.org/10.1371/journal.pone.0079827</w:t>
      </w:r>
    </w:p>
    <w:p>
      <w:pPr/>
      <w:r>
        <w:rPr>
          <w:b/>
        </w:rPr>
        <w:t>Original future claim:</w:t>
      </w:r>
      <w:r>
        <w:t xml:space="preserve"> The direct healthcare costs associated with these increases will amount to €5.4 billion by 2030. A 5% reduction in population BMI levels by 2030 is projected to result in €495 million less being spent in obesity-related direct healthcare costs over twenty years.</w:t>
      </w:r>
    </w:p>
    <w:p>
      <w:pPr/>
      <w:r>
        <w:rPr>
          <w:b/>
        </w:rPr>
        <w:t>Later source:</w:t>
      </w:r>
      <w:r>
        <w:t xml:space="preserve"> Change in healthcare costs in Europe 2018–2023 (data report) — https://doi.org/10.3389/fpubh.2026.1774180</w:t>
      </w:r>
    </w:p>
    <w:p>
      <w:pPr/>
      <w:r>
        <w:rPr>
          <w:b/>
        </w:rPr>
        <w:t>Later source:</w:t>
      </w:r>
      <w:r>
        <w:t xml:space="preserve"> Artificial Intelligence in European Healthcare — https://doi.org/10.1553/easac-feam_report_ai-in-healthcare_2026</w:t>
      </w:r>
    </w:p>
    <w:p>
      <w:pPr>
        <w:pStyle w:val="SourceNote"/>
      </w:pPr>
      <w:r>
        <w:rPr>
          <w:b/>
        </w:rPr>
        <w:t>Review status:</w:t>
      </w:r>
      <w:r>
        <w:t xml:space="preserve"> unchecked — possible relationship only</w:t>
      </w:r>
    </w:p>
    <w:p>
      <w:pPr>
        <w:pStyle w:val="Heading2"/>
      </w:pPr>
      <w:r>
        <w:t>426. Claim + two later sources: Solar Photovoltaic Electricity Generation: A Lifeline for the European Coal Regions in Transition</w:t>
      </w:r>
    </w:p>
    <w:p>
      <w:pPr>
        <w:pStyle w:val="SourceNote"/>
      </w:pPr>
      <w:r>
        <w:rPr>
          <w:b/>
        </w:rPr>
        <w:t>Group ID:</w:t>
      </w:r>
      <w:r>
        <w:t xml:space="preserve"> group-fae1742acc9b0688a3b0</w:t>
      </w:r>
    </w:p>
    <w:p>
      <w:pPr>
        <w:pStyle w:val="SourceNote"/>
      </w:pPr>
      <w:r>
        <w:rPr>
          <w:b/>
        </w:rPr>
        <w:t>Original source:</w:t>
      </w:r>
      <w:r>
        <w:t xml:space="preserve"> https://doi.org/10.3390/su11133703</w:t>
      </w:r>
    </w:p>
    <w:p>
      <w:pPr/>
      <w:r>
        <w:rPr>
          <w:b/>
        </w:rPr>
        <w:t>Original future claim:</w:t>
      </w:r>
      <w:r>
        <w:t xml:space="preserve"> According to the International Energy Agency, these emissions have to be reduced by more than 70% by 2040 to stay on track for the 1.5–2 °C scenario suggested by the Paris Agreement.</w:t>
      </w:r>
    </w:p>
    <w:p>
      <w:pPr/>
      <w:r>
        <w:rPr>
          <w:b/>
        </w:rPr>
        <w:t>Later source:</w:t>
      </w:r>
      <w:r>
        <w:t xml:space="preserve"> Energy security, energy consumption, and stringent climate policy in European Union countries: Is environmental tax effective? — https://doi.org/10.1016/j.esr.2026.102045</w:t>
      </w:r>
    </w:p>
    <w:p>
      <w:pPr/>
      <w:r>
        <w:rPr>
          <w:b/>
        </w:rPr>
        <w:t>Later source:</w:t>
      </w:r>
      <w:r>
        <w:t xml:space="preserve"> Assessment of Energy Efficiency of the European Union Countries and Their Grouping by Qualimetric Methods — https://doi.org/10.1109/ess70338.2026.11536735</w:t>
      </w:r>
    </w:p>
    <w:p>
      <w:pPr>
        <w:pStyle w:val="SourceNote"/>
      </w:pPr>
      <w:r>
        <w:rPr>
          <w:b/>
        </w:rPr>
        <w:t>Review status:</w:t>
      </w:r>
      <w:r>
        <w:t xml:space="preserve"> unchecked — possible relationship only</w:t>
      </w:r>
    </w:p>
    <w:p>
      <w:pPr>
        <w:pStyle w:val="Heading2"/>
      </w:pPr>
      <w:r>
        <w:t>427. Claim + two later sources: When will European Muslim population be majority and in which country?</w:t>
      </w:r>
    </w:p>
    <w:p>
      <w:pPr>
        <w:pStyle w:val="SourceNote"/>
      </w:pPr>
      <w:r>
        <w:rPr>
          <w:b/>
        </w:rPr>
        <w:t>Group ID:</w:t>
      </w:r>
      <w:r>
        <w:t xml:space="preserve"> group-3bd01591f3f0438983d9</w:t>
      </w:r>
    </w:p>
    <w:p>
      <w:pPr>
        <w:pStyle w:val="SourceNote"/>
      </w:pPr>
      <w:r>
        <w:rPr>
          <w:b/>
        </w:rPr>
        <w:t>Original source:</w:t>
      </w:r>
      <w:r>
        <w:t xml:space="preserve"> https://doi.org/10.1108/prr-12-2018-0034</w:t>
      </w:r>
    </w:p>
    <w:p>
      <w:pPr/>
      <w:r>
        <w:rPr>
          <w:b/>
        </w:rPr>
        <w:t>Original future claim:</w:t>
      </w:r>
      <w:r>
        <w:t xml:space="preserve"> Findings Among three scenarios, the most likely mid-point migration scenario identifies 13 countries where the Muslim population will be majority between years 2085 and 2215: Cyprus (in year 2085), Sweden (2125), France (2135), Greece (2135), Belgium (2140), Bulgaria (2140), Italy (2175), Luxembourg (2175), the UK (2180), Slovenia (2190), Switzerland (2195), Ireland (2200) and Lithuania (2215). Three scenarios are considered: the zero-migration scenario where the authors assume that the Muslim population has a higher fertility (one child more per woman, on average) than other Europeans, mirroring a global pattern; a 2017 migration scenario: to the Muslim population obtained in the zero-migration scenario, the authors add a continuous flow of migrants every year based on year 2017; the mid-point migration scenario is obtained by averaging the data of the two previous scenarios.</w:t>
      </w:r>
    </w:p>
    <w:p>
      <w:pPr/>
      <w:r>
        <w:rPr>
          <w:b/>
        </w:rPr>
        <w:t>Later source:</w:t>
      </w:r>
      <w:r>
        <w:t xml:space="preserve"> Exploring the genetic diversity of recent Ralstonia pseudosolanacearum phylotype I findings in Europe — https://doi.org/10.1007/s10658-026-03191-9</w:t>
      </w:r>
    </w:p>
    <w:p>
      <w:pPr/>
      <w:r>
        <w:rPr>
          <w:b/>
        </w:rPr>
        <w:t>Later source:</w:t>
      </w:r>
      <w:r>
        <w:t xml:space="preserve"> Barriers and facilitators to healthcare access among Sub-Saharan African migrants in Europe: A scoping review — https://doi.org/10.1371/journal.pone.0351011</w:t>
      </w:r>
    </w:p>
    <w:p>
      <w:pPr>
        <w:pStyle w:val="SourceNote"/>
      </w:pPr>
      <w:r>
        <w:rPr>
          <w:b/>
        </w:rPr>
        <w:t>Review status:</w:t>
      </w:r>
      <w:r>
        <w:t xml:space="preserve"> unchecked — possible relationship only</w:t>
      </w:r>
    </w:p>
    <w:p>
      <w:pPr>
        <w:pStyle w:val="Heading2"/>
      </w:pPr>
      <w:r>
        <w:t>428. Claim + two later sources: Future life expectancy in 35 industrialised countries: projections with a Bayesian model ensemble</w:t>
      </w:r>
    </w:p>
    <w:p>
      <w:pPr>
        <w:pStyle w:val="SourceNote"/>
      </w:pPr>
      <w:r>
        <w:rPr>
          <w:b/>
        </w:rPr>
        <w:t>Group ID:</w:t>
      </w:r>
      <w:r>
        <w:t xml:space="preserve"> group-f0253accf66daf363684</w:t>
      </w:r>
    </w:p>
    <w:p>
      <w:pPr>
        <w:pStyle w:val="SourceNote"/>
      </w:pPr>
      <w:r>
        <w:rPr>
          <w:b/>
        </w:rPr>
        <w:t>Original source:</w:t>
      </w:r>
      <w:r>
        <w:t xml:space="preserve"> https://doi.org/10.1016/s0140-6736(16)32381-9</w:t>
      </w:r>
    </w:p>
    <w:p>
      <w:pPr/>
      <w:r>
        <w:rPr>
          <w:b/>
        </w:rPr>
        <w:t>Original future claim:</w:t>
      </w:r>
      <w:r>
        <w:t xml:space="preserve"> The female life expectancy advantage over men is likely to shrink by 2030 in every country except Mexico, where female life expectancy is predicted to increase more than male life expectancy, and in Chile, France, and Greece where the two sexes will see similar gains. We applied this approach to project age-specific mortality to 2030 in 35 industrialised countries with high-quality vital statistics data.</w:t>
      </w:r>
    </w:p>
    <w:p>
      <w:pPr/>
      <w:r>
        <w:rPr>
          <w:b/>
        </w:rPr>
        <w:t>Later source:</w:t>
      </w:r>
      <w:r>
        <w:t xml:space="preserve"> Inequalities in regional excess mortality and life expectancy during the COVID-19 pandemic in Europe — https://doi.org/10.1038/s41598-024-54366-5</w:t>
      </w:r>
    </w:p>
    <w:p>
      <w:pPr/>
      <w:r>
        <w:rPr>
          <w:b/>
        </w:rPr>
        <w:t>Later source:</w:t>
      </w:r>
      <w:r>
        <w:t xml:space="preserve"> Influence of social determinants of health in the evolution of the quality of life of older adults in Europe: A comparative analysis between men and women — https://doi.org/10.1057/s41599-024-02899-5</w:t>
      </w:r>
    </w:p>
    <w:p>
      <w:pPr>
        <w:pStyle w:val="SourceNote"/>
      </w:pPr>
      <w:r>
        <w:rPr>
          <w:b/>
        </w:rPr>
        <w:t>Review status:</w:t>
      </w:r>
      <w:r>
        <w:t xml:space="preserve"> unchecked — possible relationship only</w:t>
      </w:r>
    </w:p>
    <w:p>
      <w:pPr>
        <w:pStyle w:val="Heading2"/>
      </w:pPr>
      <w:r>
        <w:t>429. Claim + two later sources: The Role of BECCS in Achieving Climate Neutrality in the European Union</w:t>
      </w:r>
    </w:p>
    <w:p>
      <w:pPr>
        <w:pStyle w:val="SourceNote"/>
      </w:pPr>
      <w:r>
        <w:rPr>
          <w:b/>
        </w:rPr>
        <w:t>Group ID:</w:t>
      </w:r>
      <w:r>
        <w:t xml:space="preserve"> group-dd2646817019a4e0e07b</w:t>
      </w:r>
    </w:p>
    <w:p>
      <w:pPr>
        <w:pStyle w:val="SourceNote"/>
      </w:pPr>
      <w:r>
        <w:rPr>
          <w:b/>
        </w:rPr>
        <w:t>Original source:</w:t>
      </w:r>
      <w:r>
        <w:t xml:space="preserve"> https://doi.org/10.3390/en14237842</w:t>
      </w:r>
    </w:p>
    <w:p>
      <w:pPr/>
      <w:r>
        <w:rPr>
          <w:b/>
        </w:rPr>
        <w:t>Original future claim:</w:t>
      </w:r>
      <w:r>
        <w:t xml:space="preserve"> The achievement of climate neutrality in the European Union by 2050 will not be possible solely through a reduction in fossil fuels and the development of energy generation from renewable sources. The modelling results confirm the key role of BECCS technology in achieving EU climate goals by 2050.</w:t>
      </w:r>
    </w:p>
    <w:p>
      <w:pPr/>
      <w:r>
        <w:rPr>
          <w:b/>
        </w:rPr>
        <w:t>Later source:</w:t>
      </w:r>
      <w:r>
        <w:t xml:space="preserve"> Strategizing for Climate Neutrality. How to Make Social Innovation Relevant in the City’s Journey to Climate Neutrality — https://doi.org/10.1007/978-3-031-87726-1_3</w:t>
      </w:r>
    </w:p>
    <w:p>
      <w:pPr/>
      <w:r>
        <w:rPr>
          <w:b/>
        </w:rPr>
        <w:t>Later source:</w:t>
      </w:r>
      <w:r>
        <w:t xml:space="preserve"> Female Directors, Family Firms, Climate Talk and Climate Walk: European Evidence — https://doi.org/10.1002/bse.4348</w:t>
      </w:r>
    </w:p>
    <w:p>
      <w:pPr>
        <w:pStyle w:val="SourceNote"/>
      </w:pPr>
      <w:r>
        <w:rPr>
          <w:b/>
        </w:rPr>
        <w:t>Review status:</w:t>
      </w:r>
      <w:r>
        <w:t xml:space="preserve"> unchecked — possible relationship only</w:t>
      </w:r>
    </w:p>
    <w:p>
      <w:pPr>
        <w:pStyle w:val="Heading2"/>
      </w:pPr>
      <w:r>
        <w:t>430. Claim + two later sources: Ecosystem service provision in a changing Europe: adapting to the impacts of combined climate and socio-economic change</w:t>
      </w:r>
    </w:p>
    <w:p>
      <w:pPr>
        <w:pStyle w:val="SourceNote"/>
      </w:pPr>
      <w:r>
        <w:rPr>
          <w:b/>
        </w:rPr>
        <w:t>Group ID:</w:t>
      </w:r>
      <w:r>
        <w:t xml:space="preserve"> group-98493d400b57fde4d7dd</w:t>
      </w:r>
    </w:p>
    <w:p>
      <w:pPr>
        <w:pStyle w:val="SourceNote"/>
      </w:pPr>
      <w:r>
        <w:rPr>
          <w:b/>
        </w:rPr>
        <w:t>Original source:</w:t>
      </w:r>
      <w:r>
        <w:t xml:space="preserve"> https://doi.org/10.1007/s10980-014-0148-2</w:t>
      </w:r>
    </w:p>
    <w:p>
      <w:pPr/>
      <w:r>
        <w:rPr>
          <w:b/>
        </w:rPr>
        <w:t>Original future claim:</w:t>
      </w:r>
      <w:r>
        <w:t xml:space="preserve"> Adaptation options offer significant opportunities, but may necessitate trade-offs between services, particularly between agriculture- and forestry-related services. Integrated assessment enables exploration of interactions and trade-offs between ecosystem services, highlighting the importance of taking account of complex cross-sectoral interactions under different future scenarios of planning adaptation responses.</w:t>
      </w:r>
    </w:p>
    <w:p>
      <w:pPr/>
      <w:r>
        <w:rPr>
          <w:b/>
        </w:rPr>
        <w:t>Later source:</w:t>
      </w:r>
      <w:r>
        <w:t xml:space="preserve"> The economically optimal mix and timing of coastal adaptation in Europe to 2150 — https://doi.org/10.1038/s41467-026-74042-8</w:t>
      </w:r>
    </w:p>
    <w:p>
      <w:pPr/>
      <w:r>
        <w:rPr>
          <w:b/>
        </w:rPr>
        <w:t>Later source:</w:t>
      </w:r>
      <w:r>
        <w:t xml:space="preserve"> Di Fant et al., Opportunity windows accelerate action and expand options for climate adaptation in Europe_Online datasets — https://doi.org/10.6084/m9.figshare.31249858</w:t>
      </w:r>
    </w:p>
    <w:p>
      <w:pPr>
        <w:pStyle w:val="SourceNote"/>
      </w:pPr>
      <w:r>
        <w:rPr>
          <w:b/>
        </w:rPr>
        <w:t>Review status:</w:t>
      </w:r>
      <w:r>
        <w:t xml:space="preserve"> unchecked — possible relationship only</w:t>
      </w:r>
    </w:p>
    <w:p>
      <w:pPr>
        <w:pStyle w:val="Heading2"/>
      </w:pPr>
      <w:r>
        <w:t>431. Claim + two later sources: Future scenarios for a depressed region of England: the role of education in creating alternative futures</w:t>
      </w:r>
    </w:p>
    <w:p>
      <w:pPr>
        <w:pStyle w:val="SourceNote"/>
      </w:pPr>
      <w:r>
        <w:rPr>
          <w:b/>
        </w:rPr>
        <w:t>Group ID:</w:t>
      </w:r>
      <w:r>
        <w:t xml:space="preserve"> group-37ad6a253dd43dd96132</w:t>
      </w:r>
    </w:p>
    <w:p>
      <w:pPr>
        <w:pStyle w:val="SourceNote"/>
      </w:pPr>
      <w:r>
        <w:rPr>
          <w:b/>
        </w:rPr>
        <w:t>Original source:</w:t>
      </w:r>
      <w:r>
        <w:t xml:space="preserve"> https://doi.org/10.1108/14636681111179564</w:t>
      </w:r>
    </w:p>
    <w:p>
      <w:pPr/>
      <w:r>
        <w:rPr>
          <w:b/>
        </w:rPr>
        <w:t>Original future claim:</w:t>
      </w:r>
      <w:r>
        <w:t xml:space="preserve"> Findings Four scenarios were developed as possible futures for the region to help inform policy making, in particular educational policy to encourage more young people to remain in education for longer and gain higher qualifications. Purpose This paper seeks to outline four scenarios developed for the future of the South West Midlands region of England.</w:t>
      </w:r>
    </w:p>
    <w:p>
      <w:pPr/>
      <w:r>
        <w:rPr>
          <w:b/>
        </w:rPr>
        <w:t>Later source:</w:t>
      </w:r>
      <w:r>
        <w:t xml:space="preserve"> The Effect of Government Health Expenditure on Infant Mortality Rates in the SADC Region: A Case of Four Countries — https://doi.org/10.47772/ijriss.2025.91200312</w:t>
      </w:r>
    </w:p>
    <w:p>
      <w:pPr/>
      <w:r>
        <w:rPr>
          <w:b/>
        </w:rPr>
        <w:t>Later source:</w:t>
      </w:r>
      <w:r>
        <w:t xml:space="preserve"> Developing a Four-Tier Concept Test on the Topic of Matter for Middle School Students — https://doi.org/10.55549/jeseh.885</w:t>
      </w:r>
    </w:p>
    <w:p>
      <w:pPr>
        <w:pStyle w:val="SourceNote"/>
      </w:pPr>
      <w:r>
        <w:rPr>
          <w:b/>
        </w:rPr>
        <w:t>Review status:</w:t>
      </w:r>
      <w:r>
        <w:t xml:space="preserve"> unchecked — possible relationship only</w:t>
      </w:r>
    </w:p>
    <w:p>
      <w:pPr>
        <w:pStyle w:val="Heading2"/>
      </w:pPr>
      <w:r>
        <w:t>432. Claim + two later sources: Future mobility in an ageing society – Where are we heading?</w:t>
      </w:r>
    </w:p>
    <w:p>
      <w:pPr>
        <w:pStyle w:val="SourceNote"/>
      </w:pPr>
      <w:r>
        <w:rPr>
          <w:b/>
        </w:rPr>
        <w:t>Group ID:</w:t>
      </w:r>
      <w:r>
        <w:t xml:space="preserve"> group-4ea7c3e323f162133e44</w:t>
      </w:r>
    </w:p>
    <w:p>
      <w:pPr>
        <w:pStyle w:val="SourceNote"/>
      </w:pPr>
      <w:r>
        <w:rPr>
          <w:b/>
        </w:rPr>
        <w:t>Original source:</w:t>
      </w:r>
      <w:r>
        <w:t xml:space="preserve"> https://doi.org/10.1016/j.jth.2014.10.005</w:t>
      </w:r>
    </w:p>
    <w:p>
      <w:pPr/>
      <w:r>
        <w:rPr>
          <w:b/>
        </w:rPr>
        <w:t>Original future claim:</w:t>
      </w:r>
      <w:r>
        <w:t xml:space="preserve"> This paper reports on a scenario planning exercise which has examined four different futures for living in later life, defined by considering two critical uncertainties: the extent to which older people in society engage with new healthcare technologies; and the extent to which the state provides care for people living in later life. Beyond these questions is one which is more explicitly pertinent to transport policy: how and where will older people live and how will this affect patterns of mobility and levels of travel demand?</w:t>
      </w:r>
    </w:p>
    <w:p>
      <w:pPr/>
      <w:r>
        <w:rPr>
          <w:b/>
        </w:rPr>
        <w:t>Later source:</w:t>
      </w:r>
      <w:r>
        <w:t xml:space="preserve"> If exercise is medicine, where is the dose? A call to improve reporting and monitoring of exercise interventions in fibromyalgia research — https://doi.org/10.3389/fspor.2026.1777261</w:t>
      </w:r>
    </w:p>
    <w:p>
      <w:pPr/>
      <w:r>
        <w:rPr>
          <w:b/>
        </w:rPr>
        <w:t>Later source:</w:t>
      </w:r>
      <w:r>
        <w:t xml:space="preserve"> Dissemination planning in exercise oncology trials—a systematic review of trial protocols — https://doi.org/10.1007/s00520-025-09532-4</w:t>
      </w:r>
    </w:p>
    <w:p>
      <w:pPr>
        <w:pStyle w:val="SourceNote"/>
      </w:pPr>
      <w:r>
        <w:rPr>
          <w:b/>
        </w:rPr>
        <w:t>Review status:</w:t>
      </w:r>
      <w:r>
        <w:t xml:space="preserve"> unchecked — possible relationship only</w:t>
      </w:r>
    </w:p>
    <w:p>
      <w:pPr>
        <w:pStyle w:val="Heading2"/>
      </w:pPr>
      <w:r>
        <w:t>433. Claim + two later sources: Long‐term trends of Nordic power market: A review</w:t>
      </w:r>
    </w:p>
    <w:p>
      <w:pPr>
        <w:pStyle w:val="SourceNote"/>
      </w:pPr>
      <w:r>
        <w:rPr>
          <w:b/>
        </w:rPr>
        <w:t>Group ID:</w:t>
      </w:r>
      <w:r>
        <w:t xml:space="preserve"> group-41223c55728dbf2ce4d0</w:t>
      </w:r>
    </w:p>
    <w:p>
      <w:pPr>
        <w:pStyle w:val="SourceNote"/>
      </w:pPr>
      <w:r>
        <w:rPr>
          <w:b/>
        </w:rPr>
        <w:t>Original source:</w:t>
      </w:r>
      <w:r>
        <w:t xml:space="preserve"> https://doi.org/10.1002/wene.413</w:t>
      </w:r>
    </w:p>
    <w:p>
      <w:pPr/>
      <w:r>
        <w:rPr>
          <w:b/>
        </w:rPr>
        <w:t>Original future claim:</w:t>
      </w:r>
      <w:r>
        <w:t xml:space="preserve"> Explicit assessments on impacts of emerging topics, such as social oppositions to particular technologies and increased awareness of sustainability indicators besides clean energy, will add values for long‐term decision making in the power markets.</w:t>
      </w:r>
    </w:p>
    <w:p>
      <w:pPr/>
      <w:r>
        <w:rPr>
          <w:b/>
        </w:rPr>
        <w:t>Later source:</w:t>
      </w:r>
      <w:r>
        <w:t xml:space="preserve"> Matrix Approaches for Cumulative Impact Assessments in Decision-Making — https://doi.org/10.1177/19394071251413002</w:t>
      </w:r>
    </w:p>
    <w:p>
      <w:pPr/>
      <w:r>
        <w:rPr>
          <w:b/>
        </w:rPr>
        <w:t>Later source:</w:t>
      </w:r>
      <w:r>
        <w:t xml:space="preserve"> HTA and Ethical Impact Assessment―Preliminary Perspectives — https://doi.org/10.1007/978-3-032-28812-7_14</w:t>
      </w:r>
    </w:p>
    <w:p>
      <w:pPr>
        <w:pStyle w:val="SourceNote"/>
      </w:pPr>
      <w:r>
        <w:rPr>
          <w:b/>
        </w:rPr>
        <w:t>Review status:</w:t>
      </w:r>
      <w:r>
        <w:t xml:space="preserve"> unchecked — possible relationship only</w:t>
      </w:r>
    </w:p>
    <w:p>
      <w:pPr>
        <w:pStyle w:val="Heading2"/>
      </w:pPr>
      <w:r>
        <w:t>434. Claim + two later sources: The Economic Impact of Investment in Renewables in Croatia by 2030</w:t>
      </w:r>
    </w:p>
    <w:p>
      <w:pPr>
        <w:pStyle w:val="SourceNote"/>
      </w:pPr>
      <w:r>
        <w:rPr>
          <w:b/>
        </w:rPr>
        <w:t>Group ID:</w:t>
      </w:r>
      <w:r>
        <w:t xml:space="preserve"> group-01799b22a54a0fef6440</w:t>
      </w:r>
    </w:p>
    <w:p>
      <w:pPr>
        <w:pStyle w:val="SourceNote"/>
      </w:pPr>
      <w:r>
        <w:rPr>
          <w:b/>
        </w:rPr>
        <w:t>Original source:</w:t>
      </w:r>
      <w:r>
        <w:t xml:space="preserve"> https://doi.org/10.3390/en14248215</w:t>
      </w:r>
    </w:p>
    <w:p>
      <w:pPr/>
      <w:r>
        <w:rPr>
          <w:b/>
        </w:rPr>
        <w:t>Original future claim:</w:t>
      </w:r>
      <w:r>
        <w:t xml:space="preserve"> At the beginning of 2020, the Strategy of the Republic of Croatia until 2030 with an outlook to 2050 was adopted. The Strategy analyzes two energy transition scenarios, the accelerated energy transition and the moderate energy transition.</w:t>
      </w:r>
    </w:p>
    <w:p>
      <w:pPr/>
      <w:r>
        <w:rPr>
          <w:b/>
        </w:rPr>
        <w:t>Later source:</w:t>
      </w:r>
      <w:r>
        <w:t xml:space="preserve"> Balancing strategies of small states: The case of the Republic of Serbia and the issue of Kosovo and Metohija — https://doi.org/10.5937/bastina36-66586</w:t>
      </w:r>
    </w:p>
    <w:p>
      <w:pPr/>
      <w:r>
        <w:rPr>
          <w:b/>
        </w:rPr>
        <w:t>Later source:</w:t>
      </w:r>
      <w:r>
        <w:t xml:space="preserve"> THE HUSSITE MOVEMENT IN THE CZECH REPUBLIC — https://doi.org/10.31470/2786-8583-2024-4-105-110</w:t>
      </w:r>
    </w:p>
    <w:p>
      <w:pPr>
        <w:pStyle w:val="SourceNote"/>
      </w:pPr>
      <w:r>
        <w:rPr>
          <w:b/>
        </w:rPr>
        <w:t>Review status:</w:t>
      </w:r>
      <w:r>
        <w:t xml:space="preserve"> unchecked — possible relationship only</w:t>
      </w:r>
    </w:p>
    <w:p>
      <w:pPr>
        <w:pStyle w:val="Heading2"/>
      </w:pPr>
      <w:r>
        <w:t>435. Claim + two later sources: Use of Counterfactual Population Projections for Assessing the Demographic Determinants of Population Ageing</w:t>
      </w:r>
    </w:p>
    <w:p>
      <w:pPr>
        <w:pStyle w:val="SourceNote"/>
      </w:pPr>
      <w:r>
        <w:rPr>
          <w:b/>
        </w:rPr>
        <w:t>Group ID:</w:t>
      </w:r>
      <w:r>
        <w:t xml:space="preserve"> group-19f20a3835db895338ef</w:t>
      </w:r>
    </w:p>
    <w:p>
      <w:pPr>
        <w:pStyle w:val="SourceNote"/>
      </w:pPr>
      <w:r>
        <w:rPr>
          <w:b/>
        </w:rPr>
        <w:t>Original source:</w:t>
      </w:r>
      <w:r>
        <w:t xml:space="preserve"> https://doi.org/10.1007/s10680-020-09567-9</w:t>
      </w:r>
    </w:p>
    <w:p>
      <w:pPr/>
      <w:r>
        <w:rPr>
          <w:b/>
        </w:rPr>
        <w:t>Original future claim:</w:t>
      </w:r>
      <w:r>
        <w:t xml:space="preserve"> (3) Different ageing indices tend to produce similar qualitative conclusions, but quantitative results may differ markedly. Abstract Counterfactual population projections have been used to estimate the contributions of fertility and mortality to population ageing, a method recently designated as the gold standard for this purpose.</w:t>
      </w:r>
    </w:p>
    <w:p>
      <w:pPr/>
      <w:r>
        <w:rPr>
          <w:b/>
        </w:rPr>
        <w:t>Later source:</w:t>
      </w:r>
      <w:r>
        <w:t xml:space="preserve"> Rheological Properties of Bitumen and Asphalt Mixtures Realised in Varying Laboratory and in Situ Ageing Protocols — https://doi.org/10.3390/coatings16020257</w:t>
      </w:r>
    </w:p>
    <w:p>
      <w:pPr/>
      <w:r>
        <w:rPr>
          <w:b/>
        </w:rPr>
        <w:t>Later source:</w:t>
      </w:r>
      <w:r>
        <w:t xml:space="preserve"> RBP4 in Ageing — https://doi.org/10.3390/biomedicines14020463</w:t>
      </w:r>
    </w:p>
    <w:p>
      <w:pPr>
        <w:pStyle w:val="SourceNote"/>
      </w:pPr>
      <w:r>
        <w:rPr>
          <w:b/>
        </w:rPr>
        <w:t>Review status:</w:t>
      </w:r>
      <w:r>
        <w:t xml:space="preserve"> unchecked — possible relationship only</w:t>
      </w:r>
    </w:p>
    <w:p>
      <w:pPr>
        <w:pStyle w:val="Heading2"/>
      </w:pPr>
      <w:r>
        <w:t>436. Claim + two later sources: Business ecosystems and the view from the future: The use of corporate foresight by stakeholders of the Ro-Ro shipping ecosystem in the Baltic Sea Region</w:t>
      </w:r>
    </w:p>
    <w:p>
      <w:pPr>
        <w:pStyle w:val="SourceNote"/>
      </w:pPr>
      <w:r>
        <w:rPr>
          <w:b/>
        </w:rPr>
        <w:t>Group ID:</w:t>
      </w:r>
      <w:r>
        <w:t xml:space="preserve"> group-af3ce8430a6c60939e51</w:t>
      </w:r>
    </w:p>
    <w:p>
      <w:pPr>
        <w:pStyle w:val="SourceNote"/>
      </w:pPr>
      <w:r>
        <w:rPr>
          <w:b/>
        </w:rPr>
        <w:t>Original source:</w:t>
      </w:r>
      <w:r>
        <w:t xml:space="preserve"> https://doi.org/10.1016/j.techfore.2022.121966</w:t>
      </w:r>
    </w:p>
    <w:p>
      <w:pPr/>
      <w:r>
        <w:rPr>
          <w:b/>
        </w:rPr>
        <w:t>Original future claim:</w:t>
      </w:r>
      <w:r>
        <w:t xml:space="preserve"> Corporate foresight tools, as applied to an ecosystem: 1) Target a diverse set of ecosystem actors beyond the segment's focal firm, including complementary firms, investors, and non-market actors; 2) Engage ecosystem actors, rather than only the focal firm, in shared strategy development based on a diverse mix of foresight tools; and 3) serve to orient and reify the ecosystem by charting the collective anticipation of innovations, policies, etc., in a shared set of future options.</w:t>
      </w:r>
    </w:p>
    <w:p>
      <w:pPr/>
      <w:r>
        <w:rPr>
          <w:b/>
        </w:rPr>
        <w:t>Later source:</w:t>
      </w:r>
      <w:r>
        <w:t xml:space="preserve"> A Roadmap for Evaluating Foresight Initiatives — https://doi.org/10.5281/zenodo.18092300</w:t>
      </w:r>
    </w:p>
    <w:p>
      <w:pPr/>
      <w:r>
        <w:rPr>
          <w:b/>
        </w:rPr>
        <w:t>Later source:</w:t>
      </w:r>
      <w:r>
        <w:t xml:space="preserve"> Strategic Foresight for FinTech Governance: A Scenario-Based MCDA Approach for Kuwait — https://doi.org/10.3390/fintech5010008</w:t>
      </w:r>
    </w:p>
    <w:p>
      <w:pPr>
        <w:pStyle w:val="SourceNote"/>
      </w:pPr>
      <w:r>
        <w:rPr>
          <w:b/>
        </w:rPr>
        <w:t>Review status:</w:t>
      </w:r>
      <w:r>
        <w:t xml:space="preserve"> unchecked — possible relationship only</w:t>
      </w:r>
    </w:p>
    <w:p>
      <w:pPr>
        <w:pStyle w:val="Heading2"/>
      </w:pPr>
      <w:r>
        <w:t>437. Claim + two later sources: FORECASTED TRENDS IN CHANGES OF VEGETATION IN THE EUROPEAN PART OF RUSSIA IN CONNECTION WITH GLOBAL WARMING</w:t>
      </w:r>
    </w:p>
    <w:p>
      <w:pPr>
        <w:pStyle w:val="SourceNote"/>
      </w:pPr>
      <w:r>
        <w:rPr>
          <w:b/>
        </w:rPr>
        <w:t>Group ID:</w:t>
      </w:r>
      <w:r>
        <w:t xml:space="preserve"> group-84c7f41ee5c77fa80524</w:t>
      </w:r>
    </w:p>
    <w:p>
      <w:pPr>
        <w:pStyle w:val="SourceNote"/>
      </w:pPr>
      <w:r>
        <w:rPr>
          <w:b/>
        </w:rPr>
        <w:t>Original source:</w:t>
      </w:r>
      <w:r>
        <w:t xml:space="preserve"> https://doi.org/10.24057/2071-9388-2012-5-4-4-16</w:t>
      </w:r>
    </w:p>
    <w:p>
      <w:pPr/>
      <w:r>
        <w:rPr>
          <w:b/>
        </w:rPr>
        <w:t>Original future claim:</w:t>
      </w:r>
      <w:r>
        <w:t xml:space="preserve"> The models are used to forecast changes in the boundaries of the vegetation sub-zones and of forest stands productivity in the European Part of Russia and on the adjacent areas for 2046–2065 under one of the scenarios of global warming.</w:t>
      </w:r>
    </w:p>
    <w:p>
      <w:pPr/>
      <w:r>
        <w:rPr>
          <w:b/>
        </w:rPr>
        <w:t>Later source:</w:t>
      </w:r>
      <w:r>
        <w:t xml:space="preserve"> Diversity and distribution of Raunkiær's life forms in European vegetation — https://doi.org/10.1111/jvs.13229</w:t>
      </w:r>
    </w:p>
    <w:p>
      <w:pPr/>
      <w:r>
        <w:rPr>
          <w:b/>
        </w:rPr>
        <w:t>Later source:</w:t>
      </w:r>
      <w:r>
        <w:t xml:space="preserve"> Climate-Adapted Potential Vegetation—A European Multiclass Model Estimating the Future Potential of Natural Vegetation — https://doi.org/10.3390/f14020239</w:t>
      </w:r>
    </w:p>
    <w:p>
      <w:pPr>
        <w:pStyle w:val="SourceNote"/>
      </w:pPr>
      <w:r>
        <w:rPr>
          <w:b/>
        </w:rPr>
        <w:t>Review status:</w:t>
      </w:r>
      <w:r>
        <w:t xml:space="preserve"> unchecked — possible relationship only</w:t>
      </w:r>
    </w:p>
    <w:p>
      <w:pPr>
        <w:pStyle w:val="Heading2"/>
      </w:pPr>
      <w:r>
        <w:t>438. Claim + two later sources: The role of transmission and energy storage in European decarbonization towards 2050</w:t>
      </w:r>
    </w:p>
    <w:p>
      <w:pPr>
        <w:pStyle w:val="SourceNote"/>
      </w:pPr>
      <w:r>
        <w:rPr>
          <w:b/>
        </w:rPr>
        <w:t>Group ID:</w:t>
      </w:r>
      <w:r>
        <w:t xml:space="preserve"> group-a2e2c7c7a4355169c3e9</w:t>
      </w:r>
    </w:p>
    <w:p>
      <w:pPr>
        <w:pStyle w:val="SourceNote"/>
      </w:pPr>
      <w:r>
        <w:rPr>
          <w:b/>
        </w:rPr>
        <w:t>Original source:</w:t>
      </w:r>
      <w:r>
        <w:t xml:space="preserve"> https://doi.org/10.1016/j.energy.2021.122159</w:t>
      </w:r>
    </w:p>
    <w:p>
      <w:pPr/>
      <w:r>
        <w:rPr>
          <w:b/>
        </w:rPr>
        <w:t>Original future claim:</w:t>
      </w:r>
      <w:r>
        <w:t xml:space="preserve"> It is demonstrated that the European power sector can be decarbonised with a 65%–70% share of the electricity supply from wind power and PV in 2050. This paper presents analyses of the development of the European electricity sector that is in line with the climate and energy targets of the European Union for 2030 and 2050.</w:t>
      </w:r>
    </w:p>
    <w:p>
      <w:pPr/>
      <w:r>
        <w:rPr>
          <w:b/>
        </w:rPr>
        <w:t>Later source:</w:t>
      </w:r>
      <w:r>
        <w:t xml:space="preserve"> Bidding Aggregated Flexibility in European Electricity Auctions — https://doi.org/10.1109/tempr.2026.3714683</w:t>
      </w:r>
    </w:p>
    <w:p>
      <w:pPr/>
      <w:r>
        <w:rPr>
          <w:b/>
        </w:rPr>
        <w:t>Later source:</w:t>
      </w:r>
      <w:r>
        <w:t xml:space="preserve"> The electricity system value of the local acceptance of onshore wind in Europe — https://openalex.org/W7148177161</w:t>
      </w:r>
    </w:p>
    <w:p>
      <w:pPr>
        <w:pStyle w:val="SourceNote"/>
      </w:pPr>
      <w:r>
        <w:rPr>
          <w:b/>
        </w:rPr>
        <w:t>Review status:</w:t>
      </w:r>
      <w:r>
        <w:t xml:space="preserve"> unchecked — possible relationship only</w:t>
      </w:r>
    </w:p>
    <w:p>
      <w:pPr>
        <w:pStyle w:val="Heading2"/>
      </w:pPr>
      <w:r>
        <w:t>439. Claim + two later sources: Strategies for emerging research and innovation futures</w:t>
      </w:r>
    </w:p>
    <w:p>
      <w:pPr>
        <w:pStyle w:val="SourceNote"/>
      </w:pPr>
      <w:r>
        <w:rPr>
          <w:b/>
        </w:rPr>
        <w:t>Group ID:</w:t>
      </w:r>
      <w:r>
        <w:t xml:space="preserve"> group-4ce7b86e5b0c991f5917</w:t>
      </w:r>
    </w:p>
    <w:p>
      <w:pPr>
        <w:pStyle w:val="SourceNote"/>
      </w:pPr>
      <w:r>
        <w:rPr>
          <w:b/>
        </w:rPr>
        <w:t>Original source:</w:t>
      </w:r>
      <w:r>
        <w:t xml:space="preserve"> https://doi.org/10.1108/fs-07-2014-0048</w:t>
      </w:r>
    </w:p>
    <w:p>
      <w:pPr/>
      <w:r>
        <w:rPr>
          <w:b/>
        </w:rPr>
        <w:t>Original future claim:</w:t>
      </w:r>
      <w:r>
        <w:t xml:space="preserve"> In the light of the scenarios developed for the year 2030, a set of strategic options are identified and assessed for each stakeholder group. The analysis of scenarios indicated that their feasibility and desirability differ across different sectors of industry, and research areas within the research landscape.</w:t>
      </w:r>
    </w:p>
    <w:p>
      <w:pPr/>
      <w:r>
        <w:rPr>
          <w:b/>
        </w:rPr>
        <w:t>Later source:</w:t>
      </w:r>
      <w:r>
        <w:t xml:space="preserve"> Summary report - Multisite-light dosimetry data set — https://doi.org/10.5281/zenodo.21238932</w:t>
      </w:r>
    </w:p>
    <w:p>
      <w:pPr/>
      <w:r>
        <w:rPr>
          <w:b/>
        </w:rPr>
        <w:t>Later source:</w:t>
      </w:r>
      <w:r>
        <w:t xml:space="preserve"> Quantum state engineering of light using intensity measurements and postselection — https://doi.org/10.1103/11vz-9gcz</w:t>
      </w:r>
    </w:p>
    <w:p>
      <w:pPr>
        <w:pStyle w:val="SourceNote"/>
      </w:pPr>
      <w:r>
        <w:rPr>
          <w:b/>
        </w:rPr>
        <w:t>Review status:</w:t>
      </w:r>
      <w:r>
        <w:t xml:space="preserve"> unchecked — possible relationship only</w:t>
      </w:r>
    </w:p>
    <w:p>
      <w:pPr>
        <w:pStyle w:val="Heading2"/>
      </w:pPr>
      <w:r>
        <w:t>440. Claim + two later sources: Consistent economic cross-sectoral climate change impact scenario analysis: Method and application to Austria</w:t>
      </w:r>
    </w:p>
    <w:p>
      <w:pPr>
        <w:pStyle w:val="SourceNote"/>
      </w:pPr>
      <w:r>
        <w:rPr>
          <w:b/>
        </w:rPr>
        <w:t>Group ID:</w:t>
      </w:r>
      <w:r>
        <w:t xml:space="preserve"> group-1761c18a8a833fc8ca92</w:t>
      </w:r>
    </w:p>
    <w:p>
      <w:pPr>
        <w:pStyle w:val="SourceNote"/>
      </w:pPr>
      <w:r>
        <w:rPr>
          <w:b/>
        </w:rPr>
        <w:t>Original source:</w:t>
      </w:r>
      <w:r>
        <w:t xml:space="preserve"> https://doi.org/10.1016/j.cliser.2016.02.003</w:t>
      </w:r>
    </w:p>
    <w:p>
      <w:pPr/>
      <w:r>
        <w:rPr>
          <w:b/>
        </w:rPr>
        <w:t>Original future claim:</w:t>
      </w:r>
      <w:r>
        <w:t xml:space="preserve"> Thus, we develop here an approach which applies climate and socioeconomic scenario analysis, harmonized economic costing, and sector explicit bandwidth analysis in a coupled framework of eleven (bio)physical impact assessment models and a uniform multi-sectoral computable general equilibrium model.</w:t>
      </w:r>
    </w:p>
    <w:p>
      <w:pPr/>
      <w:r>
        <w:rPr>
          <w:b/>
        </w:rPr>
        <w:t>Later source:</w:t>
      </w:r>
      <w:r>
        <w:t xml:space="preserve"> In temperate Europe, fire is already here: The case of The Netherlands — https://doi.org/10.1007/s13280-023-01960-y</w:t>
      </w:r>
    </w:p>
    <w:p>
      <w:pPr/>
      <w:r>
        <w:rPr>
          <w:b/>
        </w:rPr>
        <w:t>Later source:</w:t>
      </w:r>
      <w:r>
        <w:t xml:space="preserve"> Climate resilience of European wine regions — https://doi.org/10.1038/s41467-024-50549-w</w:t>
      </w:r>
    </w:p>
    <w:p>
      <w:pPr>
        <w:pStyle w:val="SourceNote"/>
      </w:pPr>
      <w:r>
        <w:rPr>
          <w:b/>
        </w:rPr>
        <w:t>Review status:</w:t>
      </w:r>
      <w:r>
        <w:t xml:space="preserve"> unchecked — possible relationship only</w:t>
      </w:r>
    </w:p>
    <w:p>
      <w:pPr>
        <w:pStyle w:val="Heading2"/>
      </w:pPr>
      <w:r>
        <w:t>441. Claim + two later sources: POPULATION FORECAST WITH THE DATA PROCESSING GROUP METHOD (GMDH) type NEURAL NETWORK FOR EUROPEAN UNION COUNTRIES</w:t>
      </w:r>
    </w:p>
    <w:p>
      <w:pPr>
        <w:pStyle w:val="SourceNote"/>
      </w:pPr>
      <w:r>
        <w:rPr>
          <w:b/>
        </w:rPr>
        <w:t>Group ID:</w:t>
      </w:r>
      <w:r>
        <w:t xml:space="preserve"> group-ebcf2a393e2565719d73</w:t>
      </w:r>
    </w:p>
    <w:p>
      <w:pPr>
        <w:pStyle w:val="SourceNote"/>
      </w:pPr>
      <w:r>
        <w:rPr>
          <w:b/>
        </w:rPr>
        <w:t>Original source:</w:t>
      </w:r>
      <w:r>
        <w:t xml:space="preserve"> https://doi.org/10.46872/pj.323</w:t>
      </w:r>
    </w:p>
    <w:p>
      <w:pPr/>
      <w:r>
        <w:rPr>
          <w:b/>
        </w:rPr>
        <w:t>Original future claim:</w:t>
      </w:r>
      <w:r>
        <w:t xml:space="preserve"> In addition, the analysis was compared with the 2021 - 2032 forecast values in the World Bank Database. According to the findings and comparison results, it has been concluded that the GMDH type Neural Network is a very good approach for the annual population estimation of 27 EU countries, it has almost exactly the same results with the real values in the past years, therefore it is consistent and successful in its predictions for the future years.</w:t>
      </w:r>
    </w:p>
    <w:p>
      <w:pPr/>
      <w:r>
        <w:rPr>
          <w:b/>
        </w:rPr>
        <w:t>Later source:</w:t>
      </w:r>
      <w:r>
        <w:t xml:space="preserve"> A database of eels and their freshwater habitats in southwestern Europe — https://doi.org/10.1038/s41597-026-07213-3</w:t>
      </w:r>
    </w:p>
    <w:p>
      <w:pPr/>
      <w:r>
        <w:rPr>
          <w:b/>
        </w:rPr>
        <w:t>Later source:</w:t>
      </w:r>
      <w:r>
        <w:t xml:space="preserve"> State-owned Banks and Profitability in Central and Eastern Europe: Testing the State-owned Banks Advantage Hypothesis — https://doi.org/10.18778/1508-2008.29.14</w:t>
      </w:r>
    </w:p>
    <w:p>
      <w:pPr>
        <w:pStyle w:val="SourceNote"/>
      </w:pPr>
      <w:r>
        <w:rPr>
          <w:b/>
        </w:rPr>
        <w:t>Review status:</w:t>
      </w:r>
      <w:r>
        <w:t xml:space="preserve"> unchecked — possible relationship only</w:t>
      </w:r>
    </w:p>
    <w:p>
      <w:pPr>
        <w:pStyle w:val="Heading2"/>
      </w:pPr>
      <w:r>
        <w:t>442. Claim + two later sources: Econometric Studies on the Development of Renewable Energy Sources to Support the European Union 2020–2030 Climate and Energy Framework: A Critical Appraisal</w:t>
      </w:r>
    </w:p>
    <w:p>
      <w:pPr>
        <w:pStyle w:val="SourceNote"/>
      </w:pPr>
      <w:r>
        <w:rPr>
          <w:b/>
        </w:rPr>
        <w:t>Group ID:</w:t>
      </w:r>
      <w:r>
        <w:t xml:space="preserve"> group-0884b37696957a391561</w:t>
      </w:r>
    </w:p>
    <w:p>
      <w:pPr>
        <w:pStyle w:val="SourceNote"/>
      </w:pPr>
      <w:r>
        <w:rPr>
          <w:b/>
        </w:rPr>
        <w:t>Original source:</w:t>
      </w:r>
      <w:r>
        <w:t xml:space="preserve"> https://doi.org/10.3390/su12124828</w:t>
      </w:r>
    </w:p>
    <w:p>
      <w:pPr/>
      <w:r>
        <w:rPr>
          <w:b/>
        </w:rPr>
        <w:t>Original future claim:</w:t>
      </w:r>
      <w:r>
        <w:t xml:space="preserve"> One of the key objectives of the European Union is the transition to a total decarbonization of the economy by 2050.</w:t>
      </w:r>
    </w:p>
    <w:p>
      <w:pPr/>
      <w:r>
        <w:rPr>
          <w:b/>
        </w:rPr>
        <w:t>Later source:</w:t>
      </w:r>
      <w:r>
        <w:t xml:space="preserve"> The European Council turns 50: Studying and analyzing a key institution of the European Union — https://doi.org/10.1017/s1682098325100106</w:t>
      </w:r>
    </w:p>
    <w:p>
      <w:pPr/>
      <w:r>
        <w:rPr>
          <w:b/>
        </w:rPr>
        <w:t>Later source:</w:t>
      </w:r>
      <w:r>
        <w:t xml:space="preserve"> Key сhallenges of EU environmental law arising from the European Green Deal — https://doi.org/10.24144/2307-3322.2026.94.2.29</w:t>
      </w:r>
    </w:p>
    <w:p>
      <w:pPr>
        <w:pStyle w:val="SourceNote"/>
      </w:pPr>
      <w:r>
        <w:rPr>
          <w:b/>
        </w:rPr>
        <w:t>Review status:</w:t>
      </w:r>
      <w:r>
        <w:t xml:space="preserve"> unchecked — possible relationship only</w:t>
      </w:r>
    </w:p>
    <w:p>
      <w:pPr>
        <w:pStyle w:val="Heading2"/>
      </w:pPr>
      <w:r>
        <w:t>443. Claim + two later sources: The future of polarisation in Europe: relative cosmopolitanism and democracy</w:t>
      </w:r>
    </w:p>
    <w:p>
      <w:pPr>
        <w:pStyle w:val="SourceNote"/>
      </w:pPr>
      <w:r>
        <w:rPr>
          <w:b/>
        </w:rPr>
        <w:t>Group ID:</w:t>
      </w:r>
      <w:r>
        <w:t xml:space="preserve"> group-876be0e44f4a9d4bf4a1</w:t>
      </w:r>
    </w:p>
    <w:p>
      <w:pPr>
        <w:pStyle w:val="SourceNote"/>
      </w:pPr>
      <w:r>
        <w:rPr>
          <w:b/>
        </w:rPr>
        <w:t>Original source:</w:t>
      </w:r>
      <w:r>
        <w:t xml:space="preserve"> https://doi.org/10.1186/s40309-021-00183-2</w:t>
      </w:r>
    </w:p>
    <w:p>
      <w:pPr/>
      <w:r>
        <w:rPr>
          <w:b/>
        </w:rPr>
        <w:t>Original future claim:</w:t>
      </w:r>
      <w:r>
        <w:t xml:space="preserve"> In this article, after an introductory definition of polarisation, two future scenarios are developed. In the scenario “Polarised Europe”, polarisation is extrapolated into the future and discussed with its serious consequences for the democratic and European consensus.</w:t>
      </w:r>
    </w:p>
    <w:p>
      <w:pPr/>
      <w:r>
        <w:rPr>
          <w:b/>
        </w:rPr>
        <w:t>Later source:</w:t>
      </w:r>
      <w:r>
        <w:t xml:space="preserve"> Martyrdom and Patience of Saint Eustathius of Mtskheta / Translation from Old Georgian, Introductory Article and Commentaries by N. Nazarov — https://doi.org/10.15407/orientw2026.03.109</w:t>
      </w:r>
    </w:p>
    <w:p>
      <w:pPr/>
      <w:r>
        <w:rPr>
          <w:b/>
        </w:rPr>
        <w:t>Later source:</w:t>
      </w:r>
      <w:r>
        <w:t xml:space="preserve"> Polarisation beyond the Pandemic? — https://doi.org/10.17570/stj.2024.v10n1.18</w:t>
      </w:r>
    </w:p>
    <w:p>
      <w:pPr>
        <w:pStyle w:val="SourceNote"/>
      </w:pPr>
      <w:r>
        <w:rPr>
          <w:b/>
        </w:rPr>
        <w:t>Review status:</w:t>
      </w:r>
      <w:r>
        <w:t xml:space="preserve"> unchecked — possible relationship only</w:t>
      </w:r>
    </w:p>
    <w:p>
      <w:pPr>
        <w:pStyle w:val="Heading2"/>
      </w:pPr>
      <w:r>
        <w:t>444. Claim + two later sources: Energy Scenario Analysis for the Nordic Transport Sector: A Critical Review</w:t>
      </w:r>
    </w:p>
    <w:p>
      <w:pPr>
        <w:pStyle w:val="SourceNote"/>
      </w:pPr>
      <w:r>
        <w:rPr>
          <w:b/>
        </w:rPr>
        <w:t>Group ID:</w:t>
      </w:r>
      <w:r>
        <w:t xml:space="preserve"> group-6b237cd4d8b71ad58433</w:t>
      </w:r>
    </w:p>
    <w:p>
      <w:pPr>
        <w:pStyle w:val="SourceNote"/>
      </w:pPr>
      <w:r>
        <w:rPr>
          <w:b/>
        </w:rPr>
        <w:t>Original source:</w:t>
      </w:r>
      <w:r>
        <w:t xml:space="preserve"> https://doi.org/10.3390/en12122232</w:t>
      </w:r>
    </w:p>
    <w:p>
      <w:pPr/>
      <w:r>
        <w:rPr>
          <w:b/>
        </w:rPr>
        <w:t>Original future claim:</w:t>
      </w:r>
      <w:r>
        <w:t xml:space="preserve"> Relying on a rich and diversified portfolio of renewable sources and expertise, the Nordic countries could benefit from a common mitigation strategy by encompassing a larger variety of solutions and potential synergies.</w:t>
      </w:r>
    </w:p>
    <w:p>
      <w:pPr/>
      <w:r>
        <w:rPr>
          <w:b/>
        </w:rPr>
        <w:t>Later source:</w:t>
      </w:r>
      <w:r>
        <w:t xml:space="preserve"> Transition from Fossil Fuels to Renewables: A Comparative Analysis Between Energy-Rich and Energy-Poor Economies — https://doi.org/10.3390/commodities5020009</w:t>
      </w:r>
    </w:p>
    <w:p>
      <w:pPr/>
      <w:r>
        <w:rPr>
          <w:b/>
        </w:rPr>
        <w:t>Later source:</w:t>
      </w:r>
      <w:r>
        <w:t xml:space="preserve"> Downstream Diversification of Critical Mineral-Rich Countries — https://doi.org/10.1007/978-3-032-06139-3_1</w:t>
      </w:r>
    </w:p>
    <w:p>
      <w:pPr>
        <w:pStyle w:val="SourceNote"/>
      </w:pPr>
      <w:r>
        <w:rPr>
          <w:b/>
        </w:rPr>
        <w:t>Review status:</w:t>
      </w:r>
      <w:r>
        <w:t xml:space="preserve"> unchecked — possible relationship only</w:t>
      </w:r>
    </w:p>
    <w:p>
      <w:pPr>
        <w:pStyle w:val="Heading2"/>
      </w:pPr>
      <w:r>
        <w:t>445. Claim + two later sources: Delphi Prospection on Additive Manufacturing in 2030: Implications for Education and Employment in Spain</w:t>
      </w:r>
    </w:p>
    <w:p>
      <w:pPr>
        <w:pStyle w:val="SourceNote"/>
      </w:pPr>
      <w:r>
        <w:rPr>
          <w:b/>
        </w:rPr>
        <w:t>Group ID:</w:t>
      </w:r>
      <w:r>
        <w:t xml:space="preserve"> group-199d430037c3a4011789</w:t>
      </w:r>
    </w:p>
    <w:p>
      <w:pPr>
        <w:pStyle w:val="SourceNote"/>
      </w:pPr>
      <w:r>
        <w:rPr>
          <w:b/>
        </w:rPr>
        <w:t>Original source:</w:t>
      </w:r>
      <w:r>
        <w:t xml:space="preserve"> https://doi.org/10.3390/ma11091500</w:t>
      </w:r>
    </w:p>
    <w:p>
      <w:pPr/>
      <w:r>
        <w:rPr>
          <w:b/>
        </w:rPr>
        <w:t>Original future claim:</w:t>
      </w:r>
      <w:r>
        <w:t xml:space="preserve"> The purpose of this paper is to anticipate the main changes that will occur in AM by 2030 as forecast by more than 100 Spanish experts through Delphi prospection performed in 2018. Such changes will enable students to have the profiles foreseen in these job trends.</w:t>
      </w:r>
    </w:p>
    <w:p>
      <w:pPr/>
      <w:r>
        <w:rPr>
          <w:b/>
        </w:rPr>
        <w:t>Later source:</w:t>
      </w:r>
      <w:r>
        <w:t xml:space="preserve"> Spain — https://doi.org/10.4324/9780429263736-8</w:t>
      </w:r>
    </w:p>
    <w:p>
      <w:pPr/>
      <w:r>
        <w:rPr>
          <w:b/>
        </w:rPr>
        <w:t>Later source:</w:t>
      </w:r>
      <w:r>
        <w:t xml:space="preserve"> EUROPEAN LONGITUDE PRIZES. I: LONGITUDE DETERMINATION IN THE SPANISH EMPIRE — https://doi.org/10.3724/sp.j.1440-2807.2020.03.03</w:t>
      </w:r>
    </w:p>
    <w:p>
      <w:pPr>
        <w:pStyle w:val="SourceNote"/>
      </w:pPr>
      <w:r>
        <w:rPr>
          <w:b/>
        </w:rPr>
        <w:t>Review status:</w:t>
      </w:r>
      <w:r>
        <w:t xml:space="preserve"> unchecked — possible relationship only</w:t>
      </w:r>
    </w:p>
    <w:p>
      <w:pPr>
        <w:pStyle w:val="Heading2"/>
      </w:pPr>
      <w:r>
        <w:t>446. Claim + two later sources: Suitability of European climate for the Asian tiger mosquito Aedes albopictus : recent trends and future scenarios</w:t>
      </w:r>
    </w:p>
    <w:p>
      <w:pPr>
        <w:pStyle w:val="SourceNote"/>
      </w:pPr>
      <w:r>
        <w:rPr>
          <w:b/>
        </w:rPr>
        <w:t>Group ID:</w:t>
      </w:r>
      <w:r>
        <w:t xml:space="preserve"> group-a7a0652c0d25bf8bee29</w:t>
      </w:r>
    </w:p>
    <w:p>
      <w:pPr>
        <w:pStyle w:val="SourceNote"/>
      </w:pPr>
      <w:r>
        <w:rPr>
          <w:b/>
        </w:rPr>
        <w:t>Original source:</w:t>
      </w:r>
      <w:r>
        <w:t xml:space="preserve"> https://doi.org/10.1098/rsif.2012.0138</w:t>
      </w:r>
    </w:p>
    <w:p>
      <w:pPr/>
      <w:r>
        <w:rPr>
          <w:b/>
        </w:rPr>
        <w:t>Original future claim:</w:t>
      </w:r>
      <w:r>
        <w:t xml:space="preserve"> Similar trends are likely in the future, with an increased risk simulated over northern Europe and slightly decreased risk over southern Europe. These distribution shifts are related to wetter and warmer conditions favouring the overwintering of A. albopictus in the north, and drier and warmer summers that might limit its southward expansion.</w:t>
      </w:r>
    </w:p>
    <w:p>
      <w:pPr/>
      <w:r>
        <w:rPr>
          <w:b/>
        </w:rPr>
        <w:t>Later source:</w:t>
      </w:r>
      <w:r>
        <w:t xml:space="preserve"> Trends in relative and absolute mobility of homeownership in Europe — https://doi.org/10.31219/osf.io/zdu2n_v1</w:t>
      </w:r>
    </w:p>
    <w:p>
      <w:pPr/>
      <w:r>
        <w:rPr>
          <w:b/>
        </w:rPr>
        <w:t>Later source:</w:t>
      </w:r>
      <w:r>
        <w:t xml:space="preserve"> #148 Impact of targeted screening in high-risk individuals and guideline-directed medical therapy on CKD burden in Europe: projections from IMPACT CKD — https://doi.org/10.1093/ndt/gfaf116.047</w:t>
      </w:r>
    </w:p>
    <w:p>
      <w:pPr>
        <w:pStyle w:val="SourceNote"/>
      </w:pPr>
      <w:r>
        <w:rPr>
          <w:b/>
        </w:rPr>
        <w:t>Review status:</w:t>
      </w:r>
      <w:r>
        <w:t xml:space="preserve"> unchecked — possible relationship only</w:t>
      </w:r>
    </w:p>
    <w:p>
      <w:pPr>
        <w:pStyle w:val="Heading2"/>
      </w:pPr>
      <w:r>
        <w:t>447. Claim + two later sources: OPERATIONAL EARTHQUAKE FORECASTING. State of Knowledge and Guidelines for Utilization</w:t>
      </w:r>
    </w:p>
    <w:p>
      <w:pPr>
        <w:pStyle w:val="SourceNote"/>
      </w:pPr>
      <w:r>
        <w:rPr>
          <w:b/>
        </w:rPr>
        <w:t>Group ID:</w:t>
      </w:r>
      <w:r>
        <w:t xml:space="preserve"> group-6e0d7c0b920061692ed3</w:t>
      </w:r>
    </w:p>
    <w:p>
      <w:pPr>
        <w:pStyle w:val="SourceNote"/>
      </w:pPr>
      <w:r>
        <w:rPr>
          <w:b/>
        </w:rPr>
        <w:t>Original source:</w:t>
      </w:r>
      <w:r>
        <w:t xml:space="preserve"> https://doi.org/10.4401/ag-5350</w:t>
      </w:r>
    </w:p>
    <w:p>
      <w:pPr/>
      <w:r>
        <w:rPr>
          <w:b/>
        </w:rPr>
        <w:t>Original future claim:</w:t>
      </w:r>
      <w:r>
        <w:t xml:space="preserve"> Long-term models are currently the most important forecasting tools for civil protection against earthquake damage, because they guide earthquake safety provisions of building codes, performance-based seismic design, and other risk-reducing engineering practices, such as retrofitting to correct design flaws in older buildings. Based on the experience accumulated in seismically active regions, the ICEF has provided to DPC a set of recommendations on the utilization of operational forecasting in Italy, which may also be useful in other countries.</w:t>
      </w:r>
    </w:p>
    <w:p>
      <w:pPr/>
      <w:r>
        <w:rPr>
          <w:b/>
        </w:rPr>
        <w:t>Later source:</w:t>
      </w:r>
      <w:r>
        <w:t xml:space="preserve"> Long-term scenario for a decarbonised European energy system — https://openalex.org/W7141777866</w:t>
      </w:r>
    </w:p>
    <w:p>
      <w:pPr/>
      <w:r>
        <w:rPr>
          <w:b/>
        </w:rPr>
        <w:t>Later source:</w:t>
      </w:r>
      <w:r>
        <w:t xml:space="preserve"> Albanian Civil Code 1929 as Part of the European Family of Civil Law — https://doi.org/10.33327/ajee-18-6.3-a000307</w:t>
      </w:r>
    </w:p>
    <w:p>
      <w:pPr>
        <w:pStyle w:val="SourceNote"/>
      </w:pPr>
      <w:r>
        <w:rPr>
          <w:b/>
        </w:rPr>
        <w:t>Review status:</w:t>
      </w:r>
      <w:r>
        <w:t xml:space="preserve"> unchecked — possible relationship only</w:t>
      </w:r>
    </w:p>
    <w:p>
      <w:pPr>
        <w:pStyle w:val="Heading2"/>
      </w:pPr>
      <w:r>
        <w:t>448. Claim + two later sources: The European Health Union: European Union’s Concern about Health for All. Concepts, Definition, and Scenarios</w:t>
      </w:r>
    </w:p>
    <w:p>
      <w:pPr>
        <w:pStyle w:val="SourceNote"/>
      </w:pPr>
      <w:r>
        <w:rPr>
          <w:b/>
        </w:rPr>
        <w:t>Group ID:</w:t>
      </w:r>
      <w:r>
        <w:t xml:space="preserve"> group-ef4668774baef94366bf</w:t>
      </w:r>
    </w:p>
    <w:p>
      <w:pPr>
        <w:pStyle w:val="SourceNote"/>
      </w:pPr>
      <w:r>
        <w:rPr>
          <w:b/>
        </w:rPr>
        <w:t>Original source:</w:t>
      </w:r>
      <w:r>
        <w:t xml:space="preserve"> https://doi.org/10.3390/healthcare9121741</w:t>
      </w:r>
    </w:p>
    <w:p>
      <w:pPr/>
      <w:r>
        <w:rPr>
          <w:b/>
        </w:rPr>
        <w:t>Original future claim:</w:t>
      </w:r>
      <w:r>
        <w:t xml:space="preserve"> Based on these findings, five scenarios were developed: making a full move towards supranational action; improving efficiency in the actual framework; more coordination but no real change; in a full intergovernmentalism direction; and fragmentation of the EU. However, it will rely on increased coordination and has a focus on cross-border health threats.</w:t>
      </w:r>
    </w:p>
    <w:p>
      <w:pPr/>
      <w:r>
        <w:rPr>
          <w:b/>
        </w:rPr>
        <w:t>Later source:</w:t>
      </w:r>
      <w:r>
        <w:t xml:space="preserve"> Natural Gas Transit from West Africa to Europe (Africa Atlantic Gas Pipeline) to Maximize Energy Security and Transit Revenues by 2050 — https://doi.org/10.62762/jgee.2025.372522</w:t>
      </w:r>
    </w:p>
    <w:p>
      <w:pPr/>
      <w:r>
        <w:rPr>
          <w:b/>
        </w:rPr>
        <w:t>Later source:</w:t>
      </w:r>
      <w:r>
        <w:t xml:space="preserve"> The Process and Effectiveness of Strategic Planning in Higher Education: Evidence From Five European Countries — https://doi.org/10.1111/ejed.70585</w:t>
      </w:r>
    </w:p>
    <w:p>
      <w:pPr>
        <w:pStyle w:val="SourceNote"/>
      </w:pPr>
      <w:r>
        <w:rPr>
          <w:b/>
        </w:rPr>
        <w:t>Review status:</w:t>
      </w:r>
      <w:r>
        <w:t xml:space="preserve"> unchecked — possible relationship only</w:t>
      </w:r>
    </w:p>
    <w:p>
      <w:pPr>
        <w:pStyle w:val="Heading2"/>
      </w:pPr>
      <w:r>
        <w:t>449. Claim + two later sources: Ageing population and labour productivity in Bulgaria</w:t>
      </w:r>
    </w:p>
    <w:p>
      <w:pPr>
        <w:pStyle w:val="SourceNote"/>
      </w:pPr>
      <w:r>
        <w:rPr>
          <w:b/>
        </w:rPr>
        <w:t>Group ID:</w:t>
      </w:r>
      <w:r>
        <w:t xml:space="preserve"> group-5fc5773ec90876c54807</w:t>
      </w:r>
    </w:p>
    <w:p>
      <w:pPr>
        <w:pStyle w:val="SourceNote"/>
      </w:pPr>
      <w:r>
        <w:rPr>
          <w:b/>
        </w:rPr>
        <w:t>Original source:</w:t>
      </w:r>
      <w:r>
        <w:t xml:space="preserve"> https://doi.org/10.5771/1435-2869-2011-4-521</w:t>
      </w:r>
    </w:p>
    <w:p>
      <w:pPr/>
      <w:r>
        <w:rPr>
          <w:b/>
        </w:rPr>
        <w:t>Original future claim:</w:t>
      </w:r>
      <w:r>
        <w:t xml:space="preserve"> Recent literature has shown that it is difficult to ascertain the impact of an ageing population on labour productivity.According to the majority of studies, workforce ageing leads to lower employment and a decline in the professional skills of the employed, so we should expect that it has a negative impact on technological changes and productivity.In this article, we present a review of studies on this issue.After that, an empirical study for Bulgaria is provided using sensitivity tests of long-term projections of labour productivity (to 2050), based on population number and age distribution.A model of the International Labour Organisation (ILO) is applied which allows us to calculate three variants of changing age, number and structure of population, assuming three different rates of improvement in life expectancy -fast, medium and slow.The study confirms that an ageing population has a negative effect on labour productivity.The timeframe is long but, with that limitation in mind, the overall direction of the trend is clear.The article concludes with some policy considerations to help ameliorate the effects of Bulgaria's demographic challenge.</w:t>
      </w:r>
    </w:p>
    <w:p>
      <w:pPr/>
      <w:r>
        <w:rPr>
          <w:b/>
        </w:rPr>
        <w:t>Later source:</w:t>
      </w:r>
      <w:r>
        <w:t xml:space="preserve"> Measuring the third mission of European Universities: A systematic literature review — https://doi.org/10.1556/204.2023.00030</w:t>
      </w:r>
    </w:p>
    <w:p>
      <w:pPr/>
      <w:r>
        <w:rPr>
          <w:b/>
        </w:rPr>
        <w:t>Later source:</w:t>
      </w:r>
      <w:r>
        <w:t xml:space="preserve"> Bronchiectasis in Europe: data on disease characteristics from the European Bronchiectasis registry (EMBARC) — https://doi.org/10.1016/s2213-2600(23)00093-0</w:t>
      </w:r>
    </w:p>
    <w:p>
      <w:pPr>
        <w:pStyle w:val="SourceNote"/>
      </w:pPr>
      <w:r>
        <w:rPr>
          <w:b/>
        </w:rPr>
        <w:t>Review status:</w:t>
      </w:r>
      <w:r>
        <w:t xml:space="preserve"> unchecked — possible relationship only</w:t>
      </w:r>
    </w:p>
    <w:p>
      <w:pPr>
        <w:pStyle w:val="Heading2"/>
      </w:pPr>
      <w:r>
        <w:t>450. Claim + two later sources: Analysing the potential of integrating wind and solar power in Europe using spatial optimisation under various scenarios</w:t>
      </w:r>
    </w:p>
    <w:p>
      <w:pPr>
        <w:pStyle w:val="SourceNote"/>
      </w:pPr>
      <w:r>
        <w:rPr>
          <w:b/>
        </w:rPr>
        <w:t>Group ID:</w:t>
      </w:r>
      <w:r>
        <w:t xml:space="preserve"> group-37f053c96a832184b4f6</w:t>
      </w:r>
    </w:p>
    <w:p>
      <w:pPr>
        <w:pStyle w:val="SourceNote"/>
      </w:pPr>
      <w:r>
        <w:rPr>
          <w:b/>
        </w:rPr>
        <w:t>Original source:</w:t>
      </w:r>
      <w:r>
        <w:t xml:space="preserve"> https://doi.org/10.1016/j.rser.2018.05.071</w:t>
      </w:r>
    </w:p>
    <w:p>
      <w:pPr/>
      <w:r>
        <w:rPr>
          <w:b/>
        </w:rPr>
        <w:t>Original future claim:</w:t>
      </w:r>
      <w:r>
        <w:t xml:space="preserve"> We test the potential of this method by modelling several scenarios exploring the effects of vRES penetration, alternative demand profiles, access to wind sites located far offshore, and alternative PV configurations. We find that expanding offshore wind capacity in the North Sea is a ‘no regret’ option, though correlated generation patterns with onshore wind farms in neighbouring countries at high vRES penetration rates may lead to significant surplus generation.</w:t>
      </w:r>
    </w:p>
    <w:p>
      <w:pPr/>
      <w:r>
        <w:rPr>
          <w:b/>
        </w:rPr>
        <w:t>Later source:</w:t>
      </w:r>
      <w:r>
        <w:t xml:space="preserve"> The opportunities and potential of camelina in marginal land in Europe — https://doi.org/10.1016/j.indcrop.2024.118224</w:t>
      </w:r>
    </w:p>
    <w:p>
      <w:pPr/>
      <w:r>
        <w:rPr>
          <w:b/>
        </w:rPr>
        <w:t>Later source:</w:t>
      </w:r>
      <w:r>
        <w:t xml:space="preserve"> Disparities of Central and Eastern European Countries of European Union in innovation potential: A multi-criteria assessment — https://doi.org/10.1016/j.joitmc.2024.100282</w:t>
      </w:r>
    </w:p>
    <w:p>
      <w:pPr>
        <w:pStyle w:val="SourceNote"/>
      </w:pPr>
      <w:r>
        <w:rPr>
          <w:b/>
        </w:rPr>
        <w:t>Review status:</w:t>
      </w:r>
      <w:r>
        <w:t xml:space="preserve"> unchecked — possible relationship only</w:t>
      </w:r>
    </w:p>
    <w:p>
      <w:pPr>
        <w:pStyle w:val="Heading2"/>
      </w:pPr>
      <w:r>
        <w:t>451. Claim + two later sources: How Sustainable Development Goals interlinkages influence European Union countries’ progress towards the 2030 Agenda</w:t>
      </w:r>
    </w:p>
    <w:p>
      <w:pPr>
        <w:pStyle w:val="SourceNote"/>
      </w:pPr>
      <w:r>
        <w:rPr>
          <w:b/>
        </w:rPr>
        <w:t>Group ID:</w:t>
      </w:r>
      <w:r>
        <w:t xml:space="preserve"> group-4c4707f1e3699a9145a3</w:t>
      </w:r>
    </w:p>
    <w:p>
      <w:pPr>
        <w:pStyle w:val="SourceNote"/>
      </w:pPr>
      <w:r>
        <w:rPr>
          <w:b/>
        </w:rPr>
        <w:t>Original source:</w:t>
      </w:r>
      <w:r>
        <w:t xml:space="preserve"> https://doi.org/10.1002/sd.2290</w:t>
      </w:r>
    </w:p>
    <w:p>
      <w:pPr/>
      <w:r>
        <w:rPr>
          <w:b/>
        </w:rPr>
        <w:t>Original future claim:</w:t>
      </w:r>
      <w:r>
        <w:t xml:space="preserve"> While it is evident that trade‐offs between the 2030 Agenda's objectives might prevent countries from achieving all 17 SDGs simultaneously, the extent to which interactions (synergies and trade‐offs) between the goals facilitate or hinder countries' progress towards achieving the 2030 Agenda has so far received little attention. In order to achieve the SDGs by 2030, it is thus crucial to not only exploit synergies between the goals but also to overcome trade‐offs.</w:t>
      </w:r>
    </w:p>
    <w:p>
      <w:pPr/>
      <w:r>
        <w:rPr>
          <w:b/>
        </w:rPr>
        <w:t>Later source:</w:t>
      </w:r>
      <w:r>
        <w:t xml:space="preserve"> Trade induced extinction risk footprints by European financial institutions — https://doi.org/10.1038/s41598-026-58778-3</w:t>
      </w:r>
    </w:p>
    <w:p>
      <w:pPr/>
      <w:r>
        <w:rPr>
          <w:b/>
        </w:rPr>
        <w:t>Later source:</w:t>
      </w:r>
      <w:r>
        <w:t xml:space="preserve"> The Safe Guardian of Europe : A Critical Discourse Analysis of the European Commission's Geopolitical Actorness and Enlargement Agenda — https://openalex.org/W7212332556</w:t>
      </w:r>
    </w:p>
    <w:p>
      <w:pPr>
        <w:pStyle w:val="SourceNote"/>
      </w:pPr>
      <w:r>
        <w:rPr>
          <w:b/>
        </w:rPr>
        <w:t>Review status:</w:t>
      </w:r>
      <w:r>
        <w:t xml:space="preserve"> unchecked — possible relationship only</w:t>
      </w:r>
    </w:p>
    <w:p>
      <w:pPr>
        <w:pStyle w:val="Heading2"/>
      </w:pPr>
      <w:r>
        <w:t>452. Claim + two later sources: Decoupling transport-related greenhouse gas emissions and economic growth in the European Union countries</w:t>
      </w:r>
    </w:p>
    <w:p>
      <w:pPr>
        <w:pStyle w:val="SourceNote"/>
      </w:pPr>
      <w:r>
        <w:rPr>
          <w:b/>
        </w:rPr>
        <w:t>Group ID:</w:t>
      </w:r>
      <w:r>
        <w:t xml:space="preserve"> group-41bfdb19426101bcdfb8</w:t>
      </w:r>
    </w:p>
    <w:p>
      <w:pPr>
        <w:pStyle w:val="SourceNote"/>
      </w:pPr>
      <w:r>
        <w:rPr>
          <w:b/>
        </w:rPr>
        <w:t>Original source:</w:t>
      </w:r>
      <w:r>
        <w:t xml:space="preserve"> https://doi.org/10.13044/j.sdewes.d9.0411</w:t>
      </w:r>
    </w:p>
    <w:p>
      <w:pPr/>
      <w:r>
        <w:rPr>
          <w:b/>
        </w:rPr>
        <w:t>Original future claim:</w:t>
      </w:r>
      <w:r>
        <w:t xml:space="preserve"> As the European Union declares its ambition to become the first climate-neutral continent by 2050, it is more than important to monitor and analyse developments in greenhouse gas emissions in individual sectors, including transport.The paper aims to assess using the decoupling method, the relationship between transport-related greenhouse gas emissions and the economic growth of the EU countries.The results indicate that the countries achieved different stages of decoupling within the individual monitored periods, with relative decoupling (55%) and absolute decoupling (34%) being the most common.However, in the long run (20 year study period 1997-2017), only 8 countries achieved absolute (strong) decoupling, which does not seem to be sufficient in the pursuit of the EU´s ambitious climate mitigation targets.</w:t>
      </w:r>
    </w:p>
    <w:p>
      <w:pPr/>
      <w:r>
        <w:rPr>
          <w:b/>
        </w:rPr>
        <w:t>Later source:</w:t>
      </w:r>
      <w:r>
        <w:t xml:space="preserve"> A multi-model analysis of hydrogen uptake in a climate-neutral Europe — https://doi.org/10.1038/s41467-026-78681-9</w:t>
      </w:r>
    </w:p>
    <w:p>
      <w:pPr/>
      <w:r>
        <w:rPr>
          <w:b/>
        </w:rPr>
        <w:t>Later source:</w:t>
      </w:r>
      <w:r>
        <w:t xml:space="preserve"> The European Union — https://doi.org/10.1017/9781009293723.009</w:t>
      </w:r>
    </w:p>
    <w:p>
      <w:pPr>
        <w:pStyle w:val="SourceNote"/>
      </w:pPr>
      <w:r>
        <w:rPr>
          <w:b/>
        </w:rPr>
        <w:t>Review status:</w:t>
      </w:r>
      <w:r>
        <w:t xml:space="preserve"> unchecked — possible relationship only</w:t>
      </w:r>
    </w:p>
    <w:p>
      <w:pPr>
        <w:pStyle w:val="Heading2"/>
      </w:pPr>
      <w:r>
        <w:t>453. Claim + two later sources: CROATIAN RURAL FUTURES IN 2030: FOUR ALTERNATIVE SCENARIOS FOR POSTSOCIALIST COUNTRYSIDE IN THE NEWEST E.U. MEMBER STATE</w:t>
      </w:r>
    </w:p>
    <w:p>
      <w:pPr>
        <w:pStyle w:val="SourceNote"/>
      </w:pPr>
      <w:r>
        <w:rPr>
          <w:b/>
        </w:rPr>
        <w:t>Group ID:</w:t>
      </w:r>
      <w:r>
        <w:t xml:space="preserve"> group-f91ad8f879ed17afabc7</w:t>
      </w:r>
    </w:p>
    <w:p>
      <w:pPr>
        <w:pStyle w:val="SourceNote"/>
      </w:pPr>
      <w:r>
        <w:rPr>
          <w:b/>
        </w:rPr>
        <w:t>Original source:</w:t>
      </w:r>
      <w:r>
        <w:t xml:space="preserve"> https://doi.org/10.1080/00167428.2020.1871298</w:t>
      </w:r>
    </w:p>
    <w:p>
      <w:pPr/>
      <w:r>
        <w:rPr>
          <w:b/>
        </w:rPr>
        <w:t>Original future claim:</w:t>
      </w:r>
      <w:r>
        <w:t xml:space="preserve"> The aim of this research is to construct alternative scenarios for rural Croatia in 2030, acknowledging its postsocialist transition as an important framework. Four scenarios were developed: Rural Renaissance, Shift, Road to Nowhere, and Growth without Development.</w:t>
      </w:r>
    </w:p>
    <w:p>
      <w:pPr/>
      <w:r>
        <w:rPr>
          <w:b/>
        </w:rPr>
        <w:t>Later source:</w:t>
      </w:r>
      <w:r>
        <w:t xml:space="preserve"> Reliability and Construct Validity of the Short Physical Performance Battery in Croatian Older Adults — https://doi.org/10.3390/geriatrics11020033</w:t>
      </w:r>
    </w:p>
    <w:p>
      <w:pPr/>
      <w:r>
        <w:rPr>
          <w:b/>
        </w:rPr>
        <w:t>Later source:</w:t>
      </w:r>
      <w:r>
        <w:t xml:space="preserve"> Alternative Investment Funds: Regulation in European Union Law and Prospects for Implementation in Ukraine — https://doi.org/10.31359/1993-0909.2026.33.3.386</w:t>
      </w:r>
    </w:p>
    <w:p>
      <w:pPr>
        <w:pStyle w:val="SourceNote"/>
      </w:pPr>
      <w:r>
        <w:rPr>
          <w:b/>
        </w:rPr>
        <w:t>Review status:</w:t>
      </w:r>
      <w:r>
        <w:t xml:space="preserve"> unchecked — possible relationship only</w:t>
      </w:r>
    </w:p>
    <w:p>
      <w:pPr>
        <w:pStyle w:val="Heading2"/>
      </w:pPr>
      <w:r>
        <w:t>454. Claim + two later sources: Modelling street level PM 10 concentrations across Europe: source apportionment and possible futures</w:t>
      </w:r>
    </w:p>
    <w:p>
      <w:pPr>
        <w:pStyle w:val="SourceNote"/>
      </w:pPr>
      <w:r>
        <w:rPr>
          <w:b/>
        </w:rPr>
        <w:t>Group ID:</w:t>
      </w:r>
      <w:r>
        <w:t xml:space="preserve"> group-1b8b5953d2181f4f99bc</w:t>
      </w:r>
    </w:p>
    <w:p>
      <w:pPr>
        <w:pStyle w:val="SourceNote"/>
      </w:pPr>
      <w:r>
        <w:rPr>
          <w:b/>
        </w:rPr>
        <w:t>Original source:</w:t>
      </w:r>
      <w:r>
        <w:t xml:space="preserve"> https://doi.org/10.5194/acp-15-1539-2015</w:t>
      </w:r>
    </w:p>
    <w:p>
      <w:pPr/>
      <w:r>
        <w:rPr>
          <w:b/>
        </w:rPr>
        <w:t>Original future claim:</w:t>
      </w:r>
      <w:r>
        <w:t xml:space="preserve"> Furthermore, we analyse the predicted evolution of PM10 concentrations in the European Union until 2030 under different policy scenarios. Remaining issues are largely eliminated in a scenario applying the best available emission control technologies to the maximal technically feasible extent.</w:t>
      </w:r>
    </w:p>
    <w:p>
      <w:pPr/>
      <w:r>
        <w:rPr>
          <w:b/>
        </w:rPr>
        <w:t>Later source:</w:t>
      </w:r>
      <w:r>
        <w:t xml:space="preserve"> A transformer approach to forecasting PM10 concentration in the Arctic and Northern Europe — https://doi.org/10.1038/s44407-026-00071-8</w:t>
      </w:r>
    </w:p>
    <w:p>
      <w:pPr/>
      <w:r>
        <w:rPr>
          <w:b/>
        </w:rPr>
        <w:t>Later source:</w:t>
      </w:r>
      <w:r>
        <w:t xml:space="preserve"> Understanding and predicting the geographic distributions of phlebotomine sand flies in and around Europe — https://doi.org/10.1007/s10584-025-04009-z</w:t>
      </w:r>
    </w:p>
    <w:p>
      <w:pPr>
        <w:pStyle w:val="SourceNote"/>
      </w:pPr>
      <w:r>
        <w:rPr>
          <w:b/>
        </w:rPr>
        <w:t>Review status:</w:t>
      </w:r>
      <w:r>
        <w:t xml:space="preserve"> unchecked — possible relationship only</w:t>
      </w:r>
    </w:p>
    <w:p>
      <w:pPr>
        <w:pStyle w:val="Heading2"/>
      </w:pPr>
      <w:r>
        <w:t>455. Claim + two later sources: Futures of robotics. Human work in digital transformation</w:t>
      </w:r>
    </w:p>
    <w:p>
      <w:pPr>
        <w:pStyle w:val="SourceNote"/>
      </w:pPr>
      <w:r>
        <w:rPr>
          <w:b/>
        </w:rPr>
        <w:t>Group ID:</w:t>
      </w:r>
      <w:r>
        <w:t xml:space="preserve"> group-e63dccce30cf0f0b3acb</w:t>
      </w:r>
    </w:p>
    <w:p>
      <w:pPr>
        <w:pStyle w:val="SourceNote"/>
      </w:pPr>
      <w:r>
        <w:rPr>
          <w:b/>
        </w:rPr>
        <w:t>Original source:</w:t>
      </w:r>
      <w:r>
        <w:t xml:space="preserve"> https://doi.org/10.1504/ijtm.2017.10004003</w:t>
      </w:r>
    </w:p>
    <w:p>
      <w:pPr/>
      <w:r>
        <w:rPr>
          <w:b/>
        </w:rPr>
        <w:t>Original future claim:</w:t>
      </w:r>
      <w:r>
        <w:t xml:space="preserve"> We evaluate key future trends in the field of robotics and analyse different scenarios regarding the futures of human beings and work life.</w:t>
      </w:r>
    </w:p>
    <w:p>
      <w:pPr/>
      <w:r>
        <w:rPr>
          <w:b/>
        </w:rPr>
        <w:t>Later source:</w:t>
      </w:r>
      <w:r>
        <w:t xml:space="preserve"> Evaluating rainfall trend in four key stations of the Northwestern Himalayan region, Uttarakhand: utilizing innovative graphical approaches for trend assessment — https://doi.org/10.54302/mausam.v77i2.6492</w:t>
      </w:r>
    </w:p>
    <w:p>
      <w:pPr/>
      <w:r>
        <w:rPr>
          <w:b/>
        </w:rPr>
        <w:t>Later source:</w:t>
      </w:r>
      <w:r>
        <w:t xml:space="preserve"> Closed-Loop Electrical Control Systems for Agricultural Machinery: State of the Art and Future Trends in Key Technologies, Typical Applications, and Performance Evaluation — https://doi.org/10.3390/pr14203366</w:t>
      </w:r>
    </w:p>
    <w:p>
      <w:pPr>
        <w:pStyle w:val="SourceNote"/>
      </w:pPr>
      <w:r>
        <w:rPr>
          <w:b/>
        </w:rPr>
        <w:t>Review status:</w:t>
      </w:r>
      <w:r>
        <w:t xml:space="preserve"> unchecked — possible relationship only</w:t>
      </w:r>
    </w:p>
    <w:p>
      <w:pPr>
        <w:pStyle w:val="Heading2"/>
      </w:pPr>
      <w:r>
        <w:t>456. Claim + two later sources: Ensemble projections of future streamflow droughts in Europe</w:t>
      </w:r>
    </w:p>
    <w:p>
      <w:pPr>
        <w:pStyle w:val="SourceNote"/>
      </w:pPr>
      <w:r>
        <w:rPr>
          <w:b/>
        </w:rPr>
        <w:t>Group ID:</w:t>
      </w:r>
      <w:r>
        <w:t xml:space="preserve"> group-0bb3329a03b8d946709c</w:t>
      </w:r>
    </w:p>
    <w:p>
      <w:pPr>
        <w:pStyle w:val="SourceNote"/>
      </w:pPr>
      <w:r>
        <w:rPr>
          <w:b/>
        </w:rPr>
        <w:t>Original source:</w:t>
      </w:r>
      <w:r>
        <w:t xml:space="preserve"> https://doi.org/10.5194/hess-18-85-2014</w:t>
      </w:r>
    </w:p>
    <w:p>
      <w:pPr/>
      <w:r>
        <w:rPr>
          <w:b/>
        </w:rPr>
        <w:t>Original future claim:</w:t>
      </w:r>
      <w:r>
        <w:t xml:space="preserve"> Through off-line coupling of a hydrological model with an ensemble of bias-corrected climate simulations (IPCC SRES A1B) and a water use scenario (Economy First), long term (1961–2100) ensemble streamflow simulations are generated that account for changes in climate, and the uncertainty therein, and in water consumption. In order to plan suitable adaptation strategies it is important for decision makers to know how drought conditions will develop at regional scales.</w:t>
      </w:r>
    </w:p>
    <w:p>
      <w:pPr/>
      <w:r>
        <w:rPr>
          <w:b/>
        </w:rPr>
        <w:t>Later source:</w:t>
      </w:r>
      <w:r>
        <w:t xml:space="preserve"> Ecosystem service trade-offs of upstream afforestation: an integrated hydrological-economic assessment in the Sorraia basin, Portugal — https://doi.org/10.3389/fenvs.2026.1838037</w:t>
      </w:r>
    </w:p>
    <w:p>
      <w:pPr/>
      <w:r>
        <w:rPr>
          <w:b/>
        </w:rPr>
        <w:t>Later source:</w:t>
      </w:r>
      <w:r>
        <w:t xml:space="preserve"> Coupling a power system model with a hydrological model improves the representation of sub-monthly hydropower flexibility — https://doi.org/10.1016/j.apenergy.2025.126694</w:t>
      </w:r>
    </w:p>
    <w:p>
      <w:pPr>
        <w:pStyle w:val="SourceNote"/>
      </w:pPr>
      <w:r>
        <w:rPr>
          <w:b/>
        </w:rPr>
        <w:t>Review status:</w:t>
      </w:r>
      <w:r>
        <w:t xml:space="preserve"> unchecked — possible relationship only</w:t>
      </w:r>
    </w:p>
    <w:p>
      <w:pPr>
        <w:pStyle w:val="Heading2"/>
      </w:pPr>
      <w:r>
        <w:t>457. Claim + two later sources: Brexit deal and demographics drag on long‐term outlook</w:t>
      </w:r>
    </w:p>
    <w:p>
      <w:pPr>
        <w:pStyle w:val="SourceNote"/>
      </w:pPr>
      <w:r>
        <w:rPr>
          <w:b/>
        </w:rPr>
        <w:t>Group ID:</w:t>
      </w:r>
      <w:r>
        <w:t xml:space="preserve"> group-5c68ca39283731572518</w:t>
      </w:r>
    </w:p>
    <w:p>
      <w:pPr>
        <w:pStyle w:val="SourceNote"/>
      </w:pPr>
      <w:r>
        <w:rPr>
          <w:b/>
        </w:rPr>
        <w:t>Original source:</w:t>
      </w:r>
      <w:r>
        <w:t xml:space="preserve"> https://doi.org/10.1111/1468-0319.12461</w:t>
      </w:r>
    </w:p>
    <w:p>
      <w:pPr/>
      <w:r>
        <w:rPr>
          <w:b/>
        </w:rPr>
        <w:t>Original future claim:</w:t>
      </w:r>
      <w:r>
        <w:t xml:space="preserve"> This will result in damage to trade and lower FDI inflows. ▀ We now expect potential output growth to slow to 1.4% a year from 2020–2030 down from 1.6% a year from 2010–2020. In the two decades after 2030 we expect the drag from Brexit‐related effects to fade, but weaker contributions in labour supply and human capital will cut output growth to 1.2% a year. ▀ Demographics have been a key contributor to potential output growth over the past 30 years.</w:t>
      </w:r>
    </w:p>
    <w:p>
      <w:pPr/>
      <w:r>
        <w:rPr>
          <w:b/>
        </w:rPr>
        <w:t>Later source:</w:t>
      </w:r>
      <w:r>
        <w:t xml:space="preserve"> Geopolitical and climate change risks affect FDI inflows: a bayesian panel data analysis — https://doi.org/10.1080/15140326.2026.2691367</w:t>
      </w:r>
    </w:p>
    <w:p>
      <w:pPr/>
      <w:r>
        <w:rPr>
          <w:b/>
        </w:rPr>
        <w:t>Later source:</w:t>
      </w:r>
      <w:r>
        <w:t xml:space="preserve"> Damage — https://doi.org/10.1093/he/9780198949695.003.0035</w:t>
      </w:r>
    </w:p>
    <w:p>
      <w:pPr>
        <w:pStyle w:val="SourceNote"/>
      </w:pPr>
      <w:r>
        <w:rPr>
          <w:b/>
        </w:rPr>
        <w:t>Review status:</w:t>
      </w:r>
      <w:r>
        <w:t xml:space="preserve"> unchecked — possible relationship only</w:t>
      </w:r>
    </w:p>
    <w:p>
      <w:pPr>
        <w:pStyle w:val="Heading2"/>
      </w:pPr>
      <w:r>
        <w:t>458. Claim + two later sources: Analyst earnings forecast revision activity around profit warnings across four European countries</w:t>
      </w:r>
    </w:p>
    <w:p>
      <w:pPr>
        <w:pStyle w:val="SourceNote"/>
      </w:pPr>
      <w:r>
        <w:rPr>
          <w:b/>
        </w:rPr>
        <w:t>Group ID:</w:t>
      </w:r>
      <w:r>
        <w:t xml:space="preserve"> group-cf43ae99c513a0dcf1ca</w:t>
      </w:r>
    </w:p>
    <w:p>
      <w:pPr>
        <w:pStyle w:val="SourceNote"/>
      </w:pPr>
      <w:r>
        <w:rPr>
          <w:b/>
        </w:rPr>
        <w:t>Original source:</w:t>
      </w:r>
      <w:r>
        <w:t xml:space="preserve"> https://doi.org/10.1108/jaar-01-2013-0005</w:t>
      </w:r>
    </w:p>
    <w:p>
      <w:pPr/>
      <w:r>
        <w:rPr>
          <w:b/>
        </w:rPr>
        <w:t>Original future claim:</w:t>
      </w:r>
      <w:r>
        <w:t xml:space="preserve"> Research limitations/implications – The sample is only composed on firms from four European countries owing to a lack of firms from other European countries that disclosed PW during the period 2000-2010. It would be pertinent to conduct future research dealing with an international sample from different continents.</w:t>
      </w:r>
    </w:p>
    <w:p>
      <w:pPr/>
      <w:r>
        <w:rPr>
          <w:b/>
        </w:rPr>
        <w:t>Later source:</w:t>
      </w:r>
      <w:r>
        <w:t xml:space="preserve"> The effect of ESG disclosure on firm value in the European context — https://doi.org/10.1108/md-10-2024-2480</w:t>
      </w:r>
    </w:p>
    <w:p>
      <w:pPr/>
      <w:r>
        <w:rPr>
          <w:b/>
        </w:rPr>
        <w:t>Later source:</w:t>
      </w:r>
      <w:r>
        <w:t xml:space="preserve"> Artificial Intelligence (AI): Educational Implications, Limitations and Future of Learning in Higher Education in Oyo State — https://doi.org/10.52589/bjeldp-vjwdllek</w:t>
      </w:r>
    </w:p>
    <w:p>
      <w:pPr>
        <w:pStyle w:val="SourceNote"/>
      </w:pPr>
      <w:r>
        <w:rPr>
          <w:b/>
        </w:rPr>
        <w:t>Review status:</w:t>
      </w:r>
      <w:r>
        <w:t xml:space="preserve"> unchecked — possible relationship only</w:t>
      </w:r>
    </w:p>
    <w:p>
      <w:pPr>
        <w:pStyle w:val="Heading2"/>
      </w:pPr>
      <w:r>
        <w:t>459. Claim + two later sources: A multi-model, multi-scenario, and multi-domain analysis of regional climate projections for the Mediterranean</w:t>
      </w:r>
    </w:p>
    <w:p>
      <w:pPr>
        <w:pStyle w:val="SourceNote"/>
      </w:pPr>
      <w:r>
        <w:rPr>
          <w:b/>
        </w:rPr>
        <w:t>Group ID:</w:t>
      </w:r>
      <w:r>
        <w:t xml:space="preserve"> group-60c6246a0b291c15fa3f</w:t>
      </w:r>
    </w:p>
    <w:p>
      <w:pPr>
        <w:pStyle w:val="SourceNote"/>
      </w:pPr>
      <w:r>
        <w:rPr>
          <w:b/>
        </w:rPr>
        <w:t>Original source:</w:t>
      </w:r>
      <w:r>
        <w:t xml:space="preserve"> https://doi.org/10.1007/s10113-019-01565-w</w:t>
      </w:r>
    </w:p>
    <w:p>
      <w:pPr/>
      <w:r>
        <w:rPr>
          <w:b/>
        </w:rPr>
        <w:t>Original future claim:</w:t>
      </w:r>
      <w:r>
        <w:t xml:space="preserve"> This unique multi-model, multi-scenario, and multi-domain “super-ensemble” is used to update projected changes for the Mediterranean region. The southern part of the Mediterranean is expected to be impacted most strongly since the CORDEX ensemble suggests substantial combined warming and drying, particularly for pathways RCP4.5 and RCP8.5.</w:t>
      </w:r>
    </w:p>
    <w:p>
      <w:pPr/>
      <w:r>
        <w:rPr>
          <w:b/>
        </w:rPr>
        <w:t>Later source:</w:t>
      </w:r>
      <w:r>
        <w:t xml:space="preserve"> Designing integrated and resilient multi-energy systems via multi-objective optimization and scenario analysis — https://doi.org/10.1016/j.apenergy.2025.125281</w:t>
      </w:r>
    </w:p>
    <w:p>
      <w:pPr/>
      <w:r>
        <w:rPr>
          <w:b/>
        </w:rPr>
        <w:t>Later source:</w:t>
      </w:r>
      <w:r>
        <w:t xml:space="preserve"> Temporal clusters of extreme events across Europe in a regional multi-scenario/multi-member ensemble — https://doi.org/10.5194/ems2025-464</w:t>
      </w:r>
    </w:p>
    <w:p>
      <w:pPr>
        <w:pStyle w:val="SourceNote"/>
      </w:pPr>
      <w:r>
        <w:rPr>
          <w:b/>
        </w:rPr>
        <w:t>Review status:</w:t>
      </w:r>
      <w:r>
        <w:t xml:space="preserve"> unchecked — possible relationship only</w:t>
      </w:r>
    </w:p>
    <w:p>
      <w:pPr>
        <w:pStyle w:val="Heading2"/>
      </w:pPr>
      <w:r>
        <w:t>460. Claim + two later sources: A comparison of low carbon investment needs between China and Europe in stringent climate policy scenarios</w:t>
      </w:r>
    </w:p>
    <w:p>
      <w:pPr>
        <w:pStyle w:val="SourceNote"/>
      </w:pPr>
      <w:r>
        <w:rPr>
          <w:b/>
        </w:rPr>
        <w:t>Group ID:</w:t>
      </w:r>
      <w:r>
        <w:t xml:space="preserve"> group-e20c7f363a694045e6c9</w:t>
      </w:r>
    </w:p>
    <w:p>
      <w:pPr>
        <w:pStyle w:val="SourceNote"/>
      </w:pPr>
      <w:r>
        <w:rPr>
          <w:b/>
        </w:rPr>
        <w:t>Original source:</w:t>
      </w:r>
      <w:r>
        <w:t xml:space="preserve"> https://doi.org/10.1088/1748-9326/ab0dd8</w:t>
      </w:r>
    </w:p>
    <w:p>
      <w:pPr/>
      <w:r>
        <w:rPr>
          <w:b/>
        </w:rPr>
        <w:t>Original future claim:</w:t>
      </w:r>
      <w:r>
        <w:t xml:space="preserve"> China and Europe need to increase their low carbon investments by 65% and 38% in a scenario reaching the 2° target relative to their respective reference scenarios which assume no such target from 2016–2050. The results indicate that a rapid upscaling and structural change of these investments towards decarbonization are necessitated by the climate stringent scenarios.</w:t>
      </w:r>
    </w:p>
    <w:p>
      <w:pPr/>
      <w:r>
        <w:rPr>
          <w:b/>
        </w:rPr>
        <w:t>Later source:</w:t>
      </w:r>
      <w:r>
        <w:t xml:space="preserve"> Trade and Investment Connectivity in Europe and the Chinese Influence — https://doi.org/10.25353/ubtr-90f2-6aed-a60d</w:t>
      </w:r>
    </w:p>
    <w:p>
      <w:pPr/>
      <w:r>
        <w:rPr>
          <w:b/>
        </w:rPr>
        <w:t>Later source:</w:t>
      </w:r>
      <w:r>
        <w:t xml:space="preserve"> Examining the Philippines’ infrastructure and connectivity cooperation with China and the European Union — https://doi.org/10.1007/s44282-024-00076-2</w:t>
      </w:r>
    </w:p>
    <w:p>
      <w:pPr>
        <w:pStyle w:val="SourceNote"/>
      </w:pPr>
      <w:r>
        <w:rPr>
          <w:b/>
        </w:rPr>
        <w:t>Review status:</w:t>
      </w:r>
      <w:r>
        <w:t xml:space="preserve"> unchecked — possible relationship only</w:t>
      </w:r>
    </w:p>
    <w:p>
      <w:pPr>
        <w:pStyle w:val="Heading2"/>
      </w:pPr>
      <w:r>
        <w:t>461. Claim + two later sources: Will we reach the Sustainable Development Goals target for tuberculosis in the European Union/European Economic Area by 2030?</w:t>
      </w:r>
    </w:p>
    <w:p>
      <w:pPr>
        <w:pStyle w:val="SourceNote"/>
      </w:pPr>
      <w:r>
        <w:rPr>
          <w:b/>
        </w:rPr>
        <w:t>Group ID:</w:t>
      </w:r>
      <w:r>
        <w:t xml:space="preserve"> group-6e573a75b5c7d2718ea5</w:t>
      </w:r>
    </w:p>
    <w:p>
      <w:pPr>
        <w:pStyle w:val="SourceNote"/>
      </w:pPr>
      <w:r>
        <w:rPr>
          <w:b/>
        </w:rPr>
        <w:t>Original source:</w:t>
      </w:r>
      <w:r>
        <w:t xml:space="preserve"> https://doi.org/10.2807/1560-7917.es.2019.24.12.1900153</w:t>
      </w:r>
    </w:p>
    <w:p>
      <w:pPr/>
      <w:r>
        <w:rPr>
          <w:b/>
        </w:rPr>
        <w:t>Original future claim:</w:t>
      </w:r>
      <w:r>
        <w:t xml:space="preserve"> With the current average decline in notification rate and number of TB deaths however, the EU/EEA will not reach the targets by 2030.</w:t>
      </w:r>
    </w:p>
    <w:p>
      <w:pPr/>
      <w:r>
        <w:rPr>
          <w:b/>
        </w:rPr>
        <w:t>Later source:</w:t>
      </w:r>
      <w:r>
        <w:t xml:space="preserve"> Predicted decline in common bird and butterfly species even under conservation policy scenarios in Europe — https://doi.org/10.1038/s41559-026-03139-6</w:t>
      </w:r>
    </w:p>
    <w:p>
      <w:pPr/>
      <w:r>
        <w:rPr>
          <w:b/>
        </w:rPr>
        <w:t>Later source:</w:t>
      </w:r>
      <w:r>
        <w:t xml:space="preserve"> Growth decline in European beech associated with temperature-driven increase in reproductive allocation — https://doi.org/10.1073/pnas.2423181122</w:t>
      </w:r>
    </w:p>
    <w:p>
      <w:pPr>
        <w:pStyle w:val="SourceNote"/>
      </w:pPr>
      <w:r>
        <w:rPr>
          <w:b/>
        </w:rPr>
        <w:t>Review status:</w:t>
      </w:r>
      <w:r>
        <w:t xml:space="preserve"> unchecked — possible relationship only</w:t>
      </w:r>
    </w:p>
    <w:p>
      <w:pPr>
        <w:pStyle w:val="Heading2"/>
      </w:pPr>
      <w:r>
        <w:t>462. Claim + two later sources: Wood utilization scenarios and their sustainability impacts in Finland</w:t>
      </w:r>
    </w:p>
    <w:p>
      <w:pPr>
        <w:pStyle w:val="SourceNote"/>
      </w:pPr>
      <w:r>
        <w:rPr>
          <w:b/>
        </w:rPr>
        <w:t>Group ID:</w:t>
      </w:r>
      <w:r>
        <w:t xml:space="preserve"> group-e825d7d0c80972d38b16</w:t>
      </w:r>
    </w:p>
    <w:p>
      <w:pPr>
        <w:pStyle w:val="SourceNote"/>
      </w:pPr>
      <w:r>
        <w:rPr>
          <w:b/>
        </w:rPr>
        <w:t>Original source:</w:t>
      </w:r>
      <w:r>
        <w:t xml:space="preserve"> https://doi.org/10.14214/df.292</w:t>
      </w:r>
    </w:p>
    <w:p>
      <w:pPr/>
      <w:r>
        <w:rPr>
          <w:b/>
        </w:rPr>
        <w:t>Original future claim:</w:t>
      </w:r>
      <w:r>
        <w:t xml:space="preserve"> Social, economic and environmental impacts vary in different wood utilization patterns, and national level strategies should consider possible trade-offs and regional needs.This thesis explored a variety of wood utilization scenarios in Finland and assessed their possible future benefits and trade-offs in environmental, economic and social sustainability, forming plausible pathways to actualize preferred outcomes reflecting different priorities in the goal setting.The research was conducted by using model-based sustainability assessment tools, material flow based Tool for Sustainability Impact Assessment (ToSIA) and Lifecycle Assessment (LCA), and explorative participatory scenario methods visualizing the targets quantitatively.The participatory methods utilized actor and researcher stakeholders from industry, policy, and multiple R&amp;D fields.The results showed that cascading and shifting secondary wood flows e.g.industrial side streams and end-of-life wood-based products from energy uses to material uses, results in increased climate benefits and economic competitiveness.Energy use of wood had lower employment, value added, and substitution benefits as well as shorter carbon storing time compared with material uses of wood.Thus, modern wood-based construction, chemicals, textiles and composites need to increase their share in the product portfolios.National policy tools can support this development only to a limited extent, because the global markets set the market framework for wood uses.To change the global market environment, internationally renewed policies aiming at restricting fossil uses are needed to make wood-based material applications more competitive.European Union (EU) policies should also apply incentives to support factor integrates supporting renewable resource savings.Public financial support to develop new processing technologies and product design of wood-based modern applications are needed to boost cost-competitiveness.</w:t>
      </w:r>
    </w:p>
    <w:p>
      <w:pPr/>
      <w:r>
        <w:rPr>
          <w:b/>
        </w:rPr>
        <w:t>Later source:</w:t>
      </w:r>
      <w:r>
        <w:t xml:space="preserve"> European green bonds, carbon tax and crowding-out: The economic, social and environmental impacts of the EU's green investments under different financing scenarios — https://doi.org/10.1016/j.rser.2025.115330</w:t>
      </w:r>
    </w:p>
    <w:p>
      <w:pPr/>
      <w:r>
        <w:rPr>
          <w:b/>
        </w:rPr>
        <w:t>Later source:</w:t>
      </w:r>
      <w:r>
        <w:t xml:space="preserve"> Promoting the European Sustainable Firm: How Economic, Social, and Green Innovation and the AI‐Based Technologies Create Pathways of Social and Environmental Sustainability — https://doi.org/10.1002/bse.70068</w:t>
      </w:r>
    </w:p>
    <w:p>
      <w:pPr>
        <w:pStyle w:val="SourceNote"/>
      </w:pPr>
      <w:r>
        <w:rPr>
          <w:b/>
        </w:rPr>
        <w:t>Review status:</w:t>
      </w:r>
      <w:r>
        <w:t xml:space="preserve"> unchecked — possible relationship only</w:t>
      </w:r>
    </w:p>
    <w:p>
      <w:pPr>
        <w:pStyle w:val="Heading2"/>
      </w:pPr>
      <w:r>
        <w:t>463. Claim + two later sources: South East Europe electricity roadmap – modelling energy transition in the electricity sectors</w:t>
      </w:r>
    </w:p>
    <w:p>
      <w:pPr>
        <w:pStyle w:val="SourceNote"/>
      </w:pPr>
      <w:r>
        <w:rPr>
          <w:b/>
        </w:rPr>
        <w:t>Group ID:</w:t>
      </w:r>
      <w:r>
        <w:t xml:space="preserve"> group-3304c3dc3370385bfc98</w:t>
      </w:r>
    </w:p>
    <w:p>
      <w:pPr>
        <w:pStyle w:val="SourceNote"/>
      </w:pPr>
      <w:r>
        <w:rPr>
          <w:b/>
        </w:rPr>
        <w:t>Original source:</w:t>
      </w:r>
      <w:r>
        <w:t xml:space="preserve"> https://doi.org/10.1080/14693062.2018.1532390</w:t>
      </w:r>
    </w:p>
    <w:p>
      <w:pPr/>
      <w:r>
        <w:rPr>
          <w:b/>
        </w:rPr>
        <w:t>Original future claim:</w:t>
      </w:r>
      <w:r>
        <w:t xml:space="preserve"> It also explores what are the most important system wide impacts of the high deployment of renewable energy concerning generation adequacy and security of supply.Key policy insights Energy policies in the South East Europe (SEE) region, both at the national and regional level, should focus on enabling renewable energy integration, as this will be a key component of the future energy mix.EU and Energy Community policies should be incorporated into national energy planning to ensure that SEE countries embark on the energy transition process at an early stage.Stranded costs should be carefully considered in decision-making on new fossil-fuel generation and gas network investment in order to avoid lock-in to carbon intensive technologies.If consistent decarbonization policy prevails, with a significant and persistent CO2 price signal, the role of natural gas remains transitory in the region.The SEE region offers relatively cheap decarbonization options: the power sector can reduce GHG emissions above 94% by 2050 in the modelled scenarios.</w:t>
      </w:r>
    </w:p>
    <w:p>
      <w:pPr/>
      <w:r>
        <w:rPr>
          <w:b/>
        </w:rPr>
        <w:t>Later source:</w:t>
      </w:r>
      <w:r>
        <w:t xml:space="preserve"> Unveiling the environmental impact of earthquakes in Europe — https://doi.org/10.1038/s41467-025-68120-6</w:t>
      </w:r>
    </w:p>
    <w:p>
      <w:pPr/>
      <w:r>
        <w:rPr>
          <w:b/>
        </w:rPr>
        <w:t>Later source:</w:t>
      </w:r>
      <w:r>
        <w:t xml:space="preserve"> Exploring adherence to the International Confederation of Midwives’ Essential Competencies in Europe — https://doi.org/10.18332/ejm/224435</w:t>
      </w:r>
    </w:p>
    <w:p>
      <w:pPr>
        <w:pStyle w:val="SourceNote"/>
      </w:pPr>
      <w:r>
        <w:rPr>
          <w:b/>
        </w:rPr>
        <w:t>Review status:</w:t>
      </w:r>
      <w:r>
        <w:t xml:space="preserve"> unchecked — possible relationship only</w:t>
      </w:r>
    </w:p>
    <w:p>
      <w:pPr>
        <w:pStyle w:val="Heading2"/>
      </w:pPr>
      <w:r>
        <w:t>464. Claim + two later sources: European Scenario Studies on Future In-Stream Nutrient Concentrations</w:t>
      </w:r>
    </w:p>
    <w:p>
      <w:pPr>
        <w:pStyle w:val="SourceNote"/>
      </w:pPr>
      <w:r>
        <w:rPr>
          <w:b/>
        </w:rPr>
        <w:t>Group ID:</w:t>
      </w:r>
      <w:r>
        <w:t xml:space="preserve"> group-551c1a8ad862c974dccc</w:t>
      </w:r>
    </w:p>
    <w:p>
      <w:pPr>
        <w:pStyle w:val="SourceNote"/>
      </w:pPr>
      <w:r>
        <w:rPr>
          <w:b/>
        </w:rPr>
        <w:t>Original source:</w:t>
      </w:r>
      <w:r>
        <w:t xml:space="preserve"> https://doi.org/10.13031/trans.56.9961</w:t>
      </w:r>
    </w:p>
    <w:p>
      <w:pPr/>
      <w:r>
        <w:rPr>
          <w:b/>
        </w:rPr>
        <w:t>Original future claim:</w:t>
      </w:r>
      <w:r>
        <w:t xml:space="preserve"> Results indicate that future total nitrogen (TN) loadings are likely to decrease in most parts of central Europe by 5 to 25 kg ha-1 year-1 due to land-use change in the form of reduced cropland area as a result of technological changes, as well as improvements in land-use management based on higher efficiencies of application rates.</w:t>
      </w:r>
    </w:p>
    <w:p>
      <w:pPr/>
      <w:r>
        <w:rPr>
          <w:b/>
        </w:rPr>
        <w:t>Later source:</w:t>
      </w:r>
      <w:r>
        <w:t xml:space="preserve"> Industrial pollutant releases to water in Europe (2010-2024) — https://doi.org/10.2909/898d92dd-b70d-42c1-956f-8e90f78c7952</w:t>
      </w:r>
    </w:p>
    <w:p>
      <w:pPr/>
      <w:r>
        <w:rPr>
          <w:b/>
        </w:rPr>
        <w:t>Later source:</w:t>
      </w:r>
      <w:r>
        <w:t xml:space="preserve"> Industrial pollutant releases to water in Europe (2010-2024) — https://doi.org/10.2909/9f8d7f6c-5c6b-42ee-a684-2d208c088f4a</w:t>
      </w:r>
    </w:p>
    <w:p>
      <w:pPr>
        <w:pStyle w:val="SourceNote"/>
      </w:pPr>
      <w:r>
        <w:rPr>
          <w:b/>
        </w:rPr>
        <w:t>Review status:</w:t>
      </w:r>
      <w:r>
        <w:t xml:space="preserve"> unchecked — possible relationship only</w:t>
      </w:r>
    </w:p>
    <w:p>
      <w:pPr>
        <w:pStyle w:val="Heading2"/>
      </w:pPr>
      <w:r>
        <w:t>465. Claim + two later sources: Imagining the future with citizens: participatory foresight and democratic policy design in Marcoussis, France</w:t>
      </w:r>
    </w:p>
    <w:p>
      <w:pPr>
        <w:pStyle w:val="SourceNote"/>
      </w:pPr>
      <w:r>
        <w:rPr>
          <w:b/>
        </w:rPr>
        <w:t>Group ID:</w:t>
      </w:r>
      <w:r>
        <w:t xml:space="preserve"> group-937d44f549354ec4ffbe</w:t>
      </w:r>
    </w:p>
    <w:p>
      <w:pPr>
        <w:pStyle w:val="SourceNote"/>
      </w:pPr>
      <w:r>
        <w:rPr>
          <w:b/>
        </w:rPr>
        <w:t>Original source:</w:t>
      </w:r>
      <w:r>
        <w:t xml:space="preserve"> https://doi.org/10.1080/25741292.2021.1930687</w:t>
      </w:r>
    </w:p>
    <w:p>
      <w:pPr/>
      <w:r>
        <w:rPr>
          <w:b/>
        </w:rPr>
        <w:t>Original future claim:</w:t>
      </w:r>
      <w:r>
        <w:t xml:space="preserve"> We will see in the preliminary part of this paper, the many challenges that undermine not only the functioning of democratic processes but also the citizens’ role and sense of agency in the governance of the society they live in, as well as the role of elected officials and experts regarding agenda-setting, then we will look into the lack of future thinking not only in the political sphere but also the educational and social practices, analyze the values of participatory processes and its potential limits and risks and finally review an experimental case of participatory foresight and policy design from the small town of Marcoussis (France) which successfully conducted a participatory agenda-setting experiment—and voted—after a 2 years-long process, their local agenda for the future together with its inhabitants, civil servants and elected officials.</w:t>
      </w:r>
    </w:p>
    <w:p>
      <w:pPr/>
      <w:r>
        <w:rPr>
          <w:b/>
        </w:rPr>
        <w:t>Later source:</w:t>
      </w:r>
      <w:r>
        <w:t xml:space="preserve"> Droughts in South East Europe (SEE): current picture, tendencies and impact — https://doi.org/10.5194/nhess-26-1305-2026</w:t>
      </w:r>
    </w:p>
    <w:p>
      <w:pPr/>
      <w:r>
        <w:rPr>
          <w:b/>
        </w:rPr>
        <w:t>Later source:</w:t>
      </w:r>
      <w:r>
        <w:t xml:space="preserve"> Comment of the European Copyright Society on the Request for Preliminary Ruling in Case C-250/25 (Like Company) — https://doi.org/10.1007/s40319-026-01717-6</w:t>
      </w:r>
    </w:p>
    <w:p>
      <w:pPr>
        <w:pStyle w:val="SourceNote"/>
      </w:pPr>
      <w:r>
        <w:rPr>
          <w:b/>
        </w:rPr>
        <w:t>Review status:</w:t>
      </w:r>
      <w:r>
        <w:t xml:space="preserve"> unchecked — possible relationship only</w:t>
      </w:r>
    </w:p>
    <w:p>
      <w:pPr>
        <w:pStyle w:val="Heading2"/>
      </w:pPr>
      <w:r>
        <w:t>466. Claim + two later sources: Brexit adds to gloom over long‐term growth prospects</w:t>
      </w:r>
    </w:p>
    <w:p>
      <w:pPr>
        <w:pStyle w:val="SourceNote"/>
      </w:pPr>
      <w:r>
        <w:rPr>
          <w:b/>
        </w:rPr>
        <w:t>Group ID:</w:t>
      </w:r>
      <w:r>
        <w:t xml:space="preserve"> group-6c34cbb66664a4f23fb9</w:t>
      </w:r>
    </w:p>
    <w:p>
      <w:pPr>
        <w:pStyle w:val="SourceNote"/>
      </w:pPr>
      <w:r>
        <w:rPr>
          <w:b/>
        </w:rPr>
        <w:t>Original source:</w:t>
      </w:r>
      <w:r>
        <w:t xml:space="preserve"> https://doi.org/10.1111/1468-0319.12257</w:t>
      </w:r>
    </w:p>
    <w:p>
      <w:pPr/>
      <w:r>
        <w:rPr>
          <w:b/>
        </w:rPr>
        <w:t>Original future claim:</w:t>
      </w:r>
      <w:r>
        <w:t xml:space="preserve"> Our forecasts show potential output growth of just 1.6% a year from 2017–2030.</w:t>
      </w:r>
    </w:p>
    <w:p>
      <w:pPr/>
      <w:r>
        <w:rPr>
          <w:b/>
        </w:rPr>
        <w:t>Later source:</w:t>
      </w:r>
      <w:r>
        <w:t xml:space="preserve"> Forecasting Quasi-Linear Convective System Tornado Potential Using the Warn-on-Forecast System (WoFS) — https://doi.org/10.1175/waf-d-25-0092.1</w:t>
      </w:r>
    </w:p>
    <w:p>
      <w:pPr/>
      <w:r>
        <w:rPr>
          <w:b/>
        </w:rPr>
        <w:t>Later source:</w:t>
      </w:r>
      <w:r>
        <w:t xml:space="preserve"> Accurate medium-range global weather forecasting with 3D neural networks — https://doi.org/10.1038/s41586-023-06185-3</w:t>
      </w:r>
    </w:p>
    <w:p>
      <w:pPr>
        <w:pStyle w:val="SourceNote"/>
      </w:pPr>
      <w:r>
        <w:rPr>
          <w:b/>
        </w:rPr>
        <w:t>Review status:</w:t>
      </w:r>
      <w:r>
        <w:t xml:space="preserve"> unchecked — possible relationship only</w:t>
      </w:r>
    </w:p>
    <w:p>
      <w:pPr>
        <w:pStyle w:val="Heading2"/>
      </w:pPr>
      <w:r>
        <w:t>467. Claim + two later sources: The European forest sector: past and future carbon budget and fluxes under different management scenarios</w:t>
      </w:r>
    </w:p>
    <w:p>
      <w:pPr>
        <w:pStyle w:val="SourceNote"/>
      </w:pPr>
      <w:r>
        <w:rPr>
          <w:b/>
        </w:rPr>
        <w:t>Group ID:</w:t>
      </w:r>
      <w:r>
        <w:t xml:space="preserve"> group-8b6a88bea956d7933e33</w:t>
      </w:r>
    </w:p>
    <w:p>
      <w:pPr>
        <w:pStyle w:val="SourceNote"/>
      </w:pPr>
      <w:r>
        <w:rPr>
          <w:b/>
        </w:rPr>
        <w:t>Original source:</w:t>
      </w:r>
      <w:r>
        <w:t xml:space="preserve"> https://doi.org/10.5194/bg-14-2387-2017</w:t>
      </w:r>
    </w:p>
    <w:p>
      <w:pPr/>
      <w:r>
        <w:rPr>
          <w:b/>
        </w:rPr>
        <w:t>Original future claim:</w:t>
      </w:r>
      <w:r>
        <w:t xml:space="preserve"> Under the constant harvest rate scenario, our findings show an incipient aging process of the forests existing in 1990: although NPP increases (+7 %), heterotrophic respiration increases at a greater rate (+13 %) and this leads to a decrease in the sink in the forest pools (−6 %) in 2030 compared to the historical period.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w:t>
      </w:r>
    </w:p>
    <w:p>
      <w:pPr/>
      <w:r>
        <w:rPr>
          <w:b/>
        </w:rPr>
        <w:t>Later source:</w:t>
      </w:r>
      <w:r>
        <w:t xml:space="preserve"> Understanding Europe's Forest Harvesting Regimes — https://doi.org/10.1029/2024ef005225</w:t>
      </w:r>
    </w:p>
    <w:p>
      <w:pPr/>
      <w:r>
        <w:rPr>
          <w:b/>
        </w:rPr>
        <w:t>Later source:</w:t>
      </w:r>
      <w:r>
        <w:t xml:space="preserve"> Preliminary results of dandelion cultivation under different seeding rates and harvest regimes — https://doi.org/10.1002/agg2.20521</w:t>
      </w:r>
    </w:p>
    <w:p>
      <w:pPr>
        <w:pStyle w:val="SourceNote"/>
      </w:pPr>
      <w:r>
        <w:rPr>
          <w:b/>
        </w:rPr>
        <w:t>Review status:</w:t>
      </w:r>
      <w:r>
        <w:t xml:space="preserve"> unchecked — possible relationship only</w:t>
      </w:r>
    </w:p>
    <w:p>
      <w:pPr>
        <w:pStyle w:val="Heading2"/>
      </w:pPr>
      <w:r>
        <w:t>468. Claim + two later sources: Foresight in Higher Education Institutions: Evidence from Poland</w:t>
      </w:r>
    </w:p>
    <w:p>
      <w:pPr>
        <w:pStyle w:val="SourceNote"/>
      </w:pPr>
      <w:r>
        <w:rPr>
          <w:b/>
        </w:rPr>
        <w:t>Group ID:</w:t>
      </w:r>
      <w:r>
        <w:t xml:space="preserve"> group-98aff3a523d9a0897a3d</w:t>
      </w:r>
    </w:p>
    <w:p>
      <w:pPr>
        <w:pStyle w:val="SourceNote"/>
      </w:pPr>
      <w:r>
        <w:rPr>
          <w:b/>
        </w:rPr>
        <w:t>Original source:</w:t>
      </w:r>
      <w:r>
        <w:t xml:space="preserve"> https://doi.org/10.17323/2500-2597.2019.1.77.89</w:t>
      </w:r>
    </w:p>
    <w:p>
      <w:pPr/>
      <w:r>
        <w:rPr>
          <w:b/>
        </w:rPr>
        <w:t>Original future claim:</w:t>
      </w:r>
      <w:r>
        <w:t xml:space="preserve"> By analyzing them one can gain valuable knowledge on both preferable and less-favored alternatives, which on the one hand suggest which actions may lead to their realization, but on the other,indicate specific actions that may lead to the abandonment of undesirable paths in favor of the most conducive vision. The paper substantiates the effectiveness of using foresight for these purposes, which is confirmed by the experience of the project on the development of scenarios for the Faculty of Engineering Management (FEM) of Bialystok Technical University (Poland) for the period up to 2035.</w:t>
      </w:r>
    </w:p>
    <w:p>
      <w:pPr/>
      <w:r>
        <w:rPr>
          <w:b/>
        </w:rPr>
        <w:t>Later source:</w:t>
      </w:r>
      <w:r>
        <w:t xml:space="preserve"> The European Council turns 50: Studying and analyzing a key institution of the European Union — https://doi.org/10.1017/s1682098325100106</w:t>
      </w:r>
    </w:p>
    <w:p>
      <w:pPr/>
      <w:r>
        <w:rPr>
          <w:b/>
        </w:rPr>
        <w:t>Later source:</w:t>
      </w:r>
      <w:r>
        <w:t xml:space="preserve"> Membership in the Council of Europe Development Bank as a factor of Ukraine’s European integration — https://doi.org/10.24144/2788-6018.2026.03.3.64</w:t>
      </w:r>
    </w:p>
    <w:p>
      <w:pPr>
        <w:pStyle w:val="SourceNote"/>
      </w:pPr>
      <w:r>
        <w:rPr>
          <w:b/>
        </w:rPr>
        <w:t>Review status:</w:t>
      </w:r>
      <w:r>
        <w:t xml:space="preserve"> unchecked — possible relationship only</w:t>
      </w:r>
    </w:p>
    <w:p>
      <w:pPr>
        <w:pStyle w:val="Heading2"/>
      </w:pPr>
      <w:r>
        <w:t>469. Claim + two later sources: The Future of Rural Poland: the Main Trends and Possible Scenarios.</w:t>
      </w:r>
    </w:p>
    <w:p>
      <w:pPr>
        <w:pStyle w:val="SourceNote"/>
      </w:pPr>
      <w:r>
        <w:rPr>
          <w:b/>
        </w:rPr>
        <w:t>Group ID:</w:t>
      </w:r>
      <w:r>
        <w:t xml:space="preserve"> group-6c90a98777dc06b4f56d</w:t>
      </w:r>
    </w:p>
    <w:p>
      <w:pPr>
        <w:pStyle w:val="SourceNote"/>
      </w:pPr>
      <w:r>
        <w:rPr>
          <w:b/>
        </w:rPr>
        <w:t>Original source:</w:t>
      </w:r>
      <w:r>
        <w:t xml:space="preserve"> https://doi.org/10.1515/eec-2017-0004</w:t>
      </w:r>
    </w:p>
    <w:p>
      <w:pPr/>
      <w:r>
        <w:rPr>
          <w:b/>
        </w:rPr>
        <w:t>Original future claim:</w:t>
      </w:r>
      <w:r>
        <w:t xml:space="preserve"> The objective of the report is to attempt the identification of the most significant factors that will shape Polish countryside until the year 2050 and to outline the feasible scenarios of changes in rural areas. The image of the Polish countryside in the perspective of the decades to come will most probably not undergo radical shifts.</w:t>
      </w:r>
    </w:p>
    <w:p>
      <w:pPr/>
      <w:r>
        <w:rPr>
          <w:b/>
        </w:rPr>
        <w:t>Later source:</w:t>
      </w:r>
      <w:r>
        <w:t xml:space="preserve"> Abstracts of the 19th European Congress of Psychology — https://doi.org/10.1024/2673-8627/a000085</w:t>
      </w:r>
    </w:p>
    <w:p>
      <w:pPr/>
      <w:r>
        <w:rPr>
          <w:b/>
        </w:rPr>
        <w:t>Later source:</w:t>
      </w:r>
      <w:r>
        <w:t xml:space="preserve"> A DIGITAL MATURITY OF INSTITUTIONS IN POLAND – AN ATTEMPT AT IDENTIFICATION — https://doi.org/10.29119/1641-3466.2025.228.13</w:t>
      </w:r>
    </w:p>
    <w:p>
      <w:pPr>
        <w:pStyle w:val="SourceNote"/>
      </w:pPr>
      <w:r>
        <w:rPr>
          <w:b/>
        </w:rPr>
        <w:t>Review status:</w:t>
      </w:r>
      <w:r>
        <w:t xml:space="preserve"> unchecked — possible relationship only</w:t>
      </w:r>
    </w:p>
    <w:p>
      <w:pPr>
        <w:pStyle w:val="Heading2"/>
      </w:pPr>
      <w:r>
        <w:t>470. Claim + two later sources: Future Projections of Heat Mortality Risk for Major European Cities</w:t>
      </w:r>
    </w:p>
    <w:p>
      <w:pPr>
        <w:pStyle w:val="SourceNote"/>
      </w:pPr>
      <w:r>
        <w:rPr>
          <w:b/>
        </w:rPr>
        <w:t>Group ID:</w:t>
      </w:r>
      <w:r>
        <w:t xml:space="preserve"> group-ba9b6a98dcd8224b1be8</w:t>
      </w:r>
    </w:p>
    <w:p>
      <w:pPr>
        <w:pStyle w:val="SourceNote"/>
      </w:pPr>
      <w:r>
        <w:rPr>
          <w:b/>
        </w:rPr>
        <w:t>Original source:</w:t>
      </w:r>
      <w:r>
        <w:t xml:space="preserve"> https://doi.org/10.1175/wcas-d-20-0142.1</w:t>
      </w:r>
    </w:p>
    <w:p>
      <w:pPr/>
      <w:r>
        <w:rPr>
          <w:b/>
        </w:rPr>
        <w:t>Original future claim:</w:t>
      </w:r>
      <w:r>
        <w:t xml:space="preserve"> On average, our results indicate that the mortality risk trend is almost twice as high in all three countries for the RCP8.5 scenario compared to RCP2.6. Our results suggest a significant increase of heat mortality in the future, especially in Spain.</w:t>
      </w:r>
    </w:p>
    <w:p>
      <w:pPr/>
      <w:r>
        <w:rPr>
          <w:b/>
        </w:rPr>
        <w:t>Later source:</w:t>
      </w:r>
      <w:r>
        <w:t xml:space="preserve"> Electric Vehicle Fleet Penetration and Air Pollution Mortality in Europe — https://doi.org/10.32388/vkflrm</w:t>
      </w:r>
    </w:p>
    <w:p>
      <w:pPr/>
      <w:r>
        <w:rPr>
          <w:b/>
        </w:rPr>
        <w:t>Later source:</w:t>
      </w:r>
      <w:r>
        <w:t xml:space="preserve"> The impact of heat and cold on mortality and life expectancy in Europe, 2015–2024 — https://doi.org/10.1016/j.ehb.2026.101607</w:t>
      </w:r>
    </w:p>
    <w:p>
      <w:pPr>
        <w:pStyle w:val="SourceNote"/>
      </w:pPr>
      <w:r>
        <w:rPr>
          <w:b/>
        </w:rPr>
        <w:t>Review status:</w:t>
      </w:r>
      <w:r>
        <w:t xml:space="preserve"> unchecked — possible relationship only</w:t>
      </w:r>
    </w:p>
    <w:p>
      <w:pPr>
        <w:pStyle w:val="Heading2"/>
      </w:pPr>
      <w:r>
        <w:t>471. Claim + two later sources: Pathways to Deep Decarbonization in Italy</w:t>
      </w:r>
    </w:p>
    <w:p>
      <w:pPr>
        <w:pStyle w:val="SourceNote"/>
      </w:pPr>
      <w:r>
        <w:rPr>
          <w:b/>
        </w:rPr>
        <w:t>Group ID:</w:t>
      </w:r>
      <w:r>
        <w:t xml:space="preserve"> group-6a84fc8116f82a33013e</w:t>
      </w:r>
    </w:p>
    <w:p>
      <w:pPr>
        <w:pStyle w:val="SourceNote"/>
      </w:pPr>
      <w:r>
        <w:rPr>
          <w:b/>
        </w:rPr>
        <w:t>Original source:</w:t>
      </w:r>
      <w:r>
        <w:t xml:space="preserve"> https://doi.org/10.22004/ag.econ.230582</w:t>
      </w:r>
    </w:p>
    <w:p>
      <w:pPr/>
      <w:r>
        <w:rPr>
          <w:b/>
        </w:rPr>
        <w:t>Original future claim:</w:t>
      </w:r>
      <w:r>
        <w:t xml:space="preserve"> These 16 countries are: Australia, Brazil, Canada, China, France, Germany, India, Indonesia, Italy, Japan, Mexico, Russia, South Africa, South Korea, the United Kingdom, and the United States. “Pathways to Deep Carbonization in Italy” contributes to the national debate on climate-change mitigation, and the importance of deep decarbonization, by examining three alternative pathways that could reduce Italian CO2 emissions by at least 40% in 2030 and 80% in 2050, compared to 1990. It analyzes the challenges the Italian energy system faces, and possible future technological developments that will need to be pursued.</w:t>
      </w:r>
    </w:p>
    <w:p>
      <w:pPr/>
      <w:r>
        <w:rPr>
          <w:b/>
        </w:rPr>
        <w:t>Later source:</w:t>
      </w:r>
      <w:r>
        <w:t xml:space="preserve"> Cellular agriculture in the media: newspaper coverage in Australia, Brazil, Germany, and India — https://doi.org/10.5194/gh-81-255-2026</w:t>
      </w:r>
    </w:p>
    <w:p>
      <w:pPr/>
      <w:r>
        <w:rPr>
          <w:b/>
        </w:rPr>
        <w:t>Later source:</w:t>
      </w:r>
      <w:r>
        <w:t xml:space="preserve"> BOOK REVIEW: OPEN AND DISTANCE EDUCATION IN AUSTRALIA, EUROPE AND THE AMERICAS: NATIONAL PERSPECTIVES IN A DIGITAL AGE — https://openalex.org/W7167292450</w:t>
      </w:r>
    </w:p>
    <w:p>
      <w:pPr>
        <w:pStyle w:val="SourceNote"/>
      </w:pPr>
      <w:r>
        <w:rPr>
          <w:b/>
        </w:rPr>
        <w:t>Review status:</w:t>
      </w:r>
      <w:r>
        <w:t xml:space="preserve"> unchecked — possible relationship only</w:t>
      </w:r>
    </w:p>
    <w:p>
      <w:pPr>
        <w:pStyle w:val="Heading2"/>
      </w:pPr>
      <w:r>
        <w:t>472. Claim + two later sources: COVID-19 and European maritime futures: different pathways to deal with the pandemic</w:t>
      </w:r>
    </w:p>
    <w:p>
      <w:pPr>
        <w:pStyle w:val="SourceNote"/>
      </w:pPr>
      <w:r>
        <w:rPr>
          <w:b/>
        </w:rPr>
        <w:t>Group ID:</w:t>
      </w:r>
      <w:r>
        <w:t xml:space="preserve"> group-e823fe09fbf972cd2350</w:t>
      </w:r>
    </w:p>
    <w:p>
      <w:pPr>
        <w:pStyle w:val="SourceNote"/>
      </w:pPr>
      <w:r>
        <w:rPr>
          <w:b/>
        </w:rPr>
        <w:t>Original source:</w:t>
      </w:r>
      <w:r>
        <w:t xml:space="preserve"> https://doi.org/10.1007/s40152-021-00216-3</w:t>
      </w:r>
    </w:p>
    <w:p>
      <w:pPr/>
      <w:r>
        <w:rPr>
          <w:b/>
        </w:rPr>
        <w:t>Original future claim:</w:t>
      </w:r>
      <w:r>
        <w:t xml:space="preserve"> The maritime futures give insight into the enabling and constraining conditions to deal with the aftermath of the COVID-19 pandemic in specific, and how the maritime futures will affect the sustainable development of maritime sectors in general.</w:t>
      </w:r>
    </w:p>
    <w:p>
      <w:pPr/>
      <w:r>
        <w:rPr>
          <w:b/>
        </w:rPr>
        <w:t>Later source:</w:t>
      </w:r>
      <w:r>
        <w:t xml:space="preserve"> Governing Critical Maritime Infrastructure in the European Union; Path-Dependent Transformation and Institutional Change — https://doi.org/10.1007/s41125-026-00113-y</w:t>
      </w:r>
    </w:p>
    <w:p>
      <w:pPr/>
      <w:r>
        <w:rPr>
          <w:b/>
        </w:rPr>
        <w:t>Later source:</w:t>
      </w:r>
      <w:r>
        <w:t xml:space="preserve"> FACTORS CONSTRAINING OPERATIONAL EFFICIENCY IN MARITIME TRANSPORTATION: A COMPARATIVE ANALYSIS OF QUANTITATIVE DECISION SUPPORT MODELS AND FIELD REALITIES — https://doi.org/10.17753/sosekev.1889137</w:t>
      </w:r>
    </w:p>
    <w:p>
      <w:pPr>
        <w:pStyle w:val="SourceNote"/>
      </w:pPr>
      <w:r>
        <w:rPr>
          <w:b/>
        </w:rPr>
        <w:t>Review status:</w:t>
      </w:r>
      <w:r>
        <w:t xml:space="preserve"> unchecked — possible relationship only</w:t>
      </w:r>
    </w:p>
    <w:p>
      <w:pPr>
        <w:pStyle w:val="Heading2"/>
      </w:pPr>
      <w:r>
        <w:t>473. Claim + two later sources: The Impact of Decarbonization Scenarios on Air Quality and Human Health in Poland—Analysis of Scenarios up to 2050</w:t>
      </w:r>
    </w:p>
    <w:p>
      <w:pPr>
        <w:pStyle w:val="SourceNote"/>
      </w:pPr>
      <w:r>
        <w:rPr>
          <w:b/>
        </w:rPr>
        <w:t>Group ID:</w:t>
      </w:r>
      <w:r>
        <w:t xml:space="preserve"> group-f0de2d50e80eda1f2592</w:t>
      </w:r>
    </w:p>
    <w:p>
      <w:pPr>
        <w:pStyle w:val="SourceNote"/>
      </w:pPr>
      <w:r>
        <w:rPr>
          <w:b/>
        </w:rPr>
        <w:t>Original source:</w:t>
      </w:r>
      <w:r>
        <w:t xml:space="preserve"> https://doi.org/10.3390/atmos11111222</w:t>
      </w:r>
    </w:p>
    <w:p>
      <w:pPr/>
      <w:r>
        <w:rPr>
          <w:b/>
        </w:rPr>
        <w:t>Original future claim:</w:t>
      </w:r>
      <w:r>
        <w:t xml:space="preserve"> The results also showed that the decrease in PM2.5 emissions envisaged in the analyzed scenarios in 2050 will lead to a reduction in the number of lost years of life by about 35 thousand and an avoidance of external costs by EUR 2.4 billion. The three scenarios of the REFLEX Project focused on the reduction of CO2 emissions up to 2050 from various sectors, mainly by the means of fuel and technological switches.</w:t>
      </w:r>
    </w:p>
    <w:p>
      <w:pPr/>
      <w:r>
        <w:rPr>
          <w:b/>
        </w:rPr>
        <w:t>Later source:</w:t>
      </w:r>
      <w:r>
        <w:t xml:space="preserve"> Emission Scenarios for Europe under the CATALYSE Project: Beyond the Green Deal — https://openalex.org/W7125621332</w:t>
      </w:r>
    </w:p>
    <w:p>
      <w:pPr/>
      <w:r>
        <w:rPr>
          <w:b/>
        </w:rPr>
        <w:t>Later source:</w:t>
      </w:r>
      <w:r>
        <w:t xml:space="preserve"> Laboratory Experiments on Savannah and European Boreal Forest Fire Emissions — https://doi.org/10.1029/2025jd044543</w:t>
      </w:r>
    </w:p>
    <w:p>
      <w:pPr>
        <w:pStyle w:val="SourceNote"/>
      </w:pPr>
      <w:r>
        <w:rPr>
          <w:b/>
        </w:rPr>
        <w:t>Review status:</w:t>
      </w:r>
      <w:r>
        <w:t xml:space="preserve"> unchecked — possible relationship only</w:t>
      </w:r>
    </w:p>
    <w:p>
      <w:pPr>
        <w:pStyle w:val="Heading2"/>
      </w:pPr>
      <w:r>
        <w:t>474. Claim + two later sources: Regional growth and disparities in a post‐COVID Europe: A new normality scenario</w:t>
      </w:r>
    </w:p>
    <w:p>
      <w:pPr>
        <w:pStyle w:val="SourceNote"/>
      </w:pPr>
      <w:r>
        <w:rPr>
          <w:b/>
        </w:rPr>
        <w:t>Group ID:</w:t>
      </w:r>
      <w:r>
        <w:t xml:space="preserve"> group-a6b0ee31a52f2b56e867</w:t>
      </w:r>
    </w:p>
    <w:p>
      <w:pPr>
        <w:pStyle w:val="SourceNote"/>
      </w:pPr>
      <w:r>
        <w:rPr>
          <w:b/>
        </w:rPr>
        <w:t>Original source:</w:t>
      </w:r>
      <w:r>
        <w:t xml:space="preserve"> https://doi.org/10.1111/jors.12542</w:t>
      </w:r>
    </w:p>
    <w:p>
      <w:pPr/>
      <w:r>
        <w:rPr>
          <w:b/>
        </w:rPr>
        <w:t>Original future claim:</w:t>
      </w:r>
      <w:r>
        <w:t xml:space="preserve"> This paper addresses the important question "Which European areas will be able to better react to the crisis induced by COVID-19 and how regional disparities will look like?" To provide an answer, a "new normality" scenario is built, comprising the structural changes likely to take place in the aftermath of the COVID pandemic. First, short-run costs of the COVID-induced lockdowns, in terms of missed GDP, are calculated for all European NUTS2 regions, needed because of the lack of short-run statistics about the extent of the regional costs caused by the lockdowns that will only appear in 2 years.</w:t>
      </w:r>
    </w:p>
    <w:p>
      <w:pPr/>
      <w:r>
        <w:rPr>
          <w:b/>
        </w:rPr>
        <w:t>Later source:</w:t>
      </w:r>
      <w:r>
        <w:t xml:space="preserve"> Filling the Gap to Address Vaccine Hesitancy in Europe — https://doi.org/10.3389/phrs.2025.1608208</w:t>
      </w:r>
    </w:p>
    <w:p>
      <w:pPr/>
      <w:r>
        <w:rPr>
          <w:b/>
        </w:rPr>
        <w:t>Later source:</w:t>
      </w:r>
      <w:r>
        <w:t xml:space="preserve"> Challenges in the micropropagation of economically important fruit species in Europe — https://doi.org/10.1007/s11240-025-03165-5</w:t>
      </w:r>
    </w:p>
    <w:p>
      <w:pPr>
        <w:pStyle w:val="SourceNote"/>
      </w:pPr>
      <w:r>
        <w:rPr>
          <w:b/>
        </w:rPr>
        <w:t>Review status:</w:t>
      </w:r>
      <w:r>
        <w:t xml:space="preserve"> unchecked — possible relationship only</w:t>
      </w:r>
    </w:p>
    <w:p>
      <w:pPr>
        <w:pStyle w:val="Heading2"/>
      </w:pPr>
      <w:r>
        <w:t>475. Claim + two later sources: Developing scenarios for the Norwegian travel industry 2025</w:t>
      </w:r>
    </w:p>
    <w:p>
      <w:pPr>
        <w:pStyle w:val="SourceNote"/>
      </w:pPr>
      <w:r>
        <w:rPr>
          <w:b/>
        </w:rPr>
        <w:t>Group ID:</w:t>
      </w:r>
      <w:r>
        <w:t xml:space="preserve"> group-771ec15b0d1fa227ce7e</w:t>
      </w:r>
    </w:p>
    <w:p>
      <w:pPr>
        <w:pStyle w:val="SourceNote"/>
      </w:pPr>
      <w:r>
        <w:rPr>
          <w:b/>
        </w:rPr>
        <w:t>Original source:</w:t>
      </w:r>
      <w:r>
        <w:t xml:space="preserve"> https://doi.org/10.1108/jtf-12-2014-0018</w:t>
      </w:r>
    </w:p>
    <w:p>
      <w:pPr/>
      <w:r>
        <w:rPr>
          <w:b/>
        </w:rPr>
        <w:t>Original future claim:</w:t>
      </w:r>
      <w:r>
        <w:t xml:space="preserve"> Accordingly, a common understanding of future drivers and different scenarios for the industry is needed. This resulted in four scenarios: Money Rules, The Urban Diamond, Opportunities for All, and Master Plan.</w:t>
      </w:r>
    </w:p>
    <w:p>
      <w:pPr/>
      <w:r>
        <w:rPr>
          <w:b/>
        </w:rPr>
        <w:t>Later source:</w:t>
      </w:r>
      <w:r>
        <w:t xml:space="preserve"> The Traditional Understanding of Lawmaking by Appellate Courts — https://doi.org/10.1017/9781009589307.003</w:t>
      </w:r>
    </w:p>
    <w:p>
      <w:pPr/>
      <w:r>
        <w:rPr>
          <w:b/>
        </w:rPr>
        <w:t>Later source:</w:t>
      </w:r>
      <w:r>
        <w:t xml:space="preserve"> Education–work transition: skill gaps in the construction industry — https://doi.org/10.3389/fbuil.2025.1623609</w:t>
      </w:r>
    </w:p>
    <w:p>
      <w:pPr>
        <w:pStyle w:val="SourceNote"/>
      </w:pPr>
      <w:r>
        <w:rPr>
          <w:b/>
        </w:rPr>
        <w:t>Review status:</w:t>
      </w:r>
      <w:r>
        <w:t xml:space="preserve"> unchecked — possible relationship only</w:t>
      </w:r>
    </w:p>
    <w:p>
      <w:pPr>
        <w:pStyle w:val="Heading2"/>
      </w:pPr>
      <w:r>
        <w:t>476. Claim + two later sources: Investigating scenario planning – a European tourism perspective</w:t>
      </w:r>
    </w:p>
    <w:p>
      <w:pPr>
        <w:pStyle w:val="SourceNote"/>
      </w:pPr>
      <w:r>
        <w:rPr>
          <w:b/>
        </w:rPr>
        <w:t>Group ID:</w:t>
      </w:r>
      <w:r>
        <w:t xml:space="preserve"> group-05f0c48bd974307ef165</w:t>
      </w:r>
    </w:p>
    <w:p>
      <w:pPr>
        <w:pStyle w:val="SourceNote"/>
      </w:pPr>
      <w:r>
        <w:rPr>
          <w:b/>
        </w:rPr>
        <w:t>Original source:</w:t>
      </w:r>
      <w:r>
        <w:t xml:space="preserve"> https://doi.org/10.1108/jtf-12-2014-0020</w:t>
      </w:r>
    </w:p>
    <w:p>
      <w:pPr/>
      <w:r>
        <w:rPr>
          <w:b/>
        </w:rPr>
        <w:t>Original future claim:</w:t>
      </w:r>
      <w:r>
        <w:t xml:space="preserve"> Purpose The purpose of this paper is to discuss the scenario planning approach developed and used by the European Tourism Futures Institute (ETFI). Design/methodology/approach This paper contains the following sections: mission and aims of the research group; epistemological and methodological positioning, conceptual framework and research lines for an applied scenario planning approach.</w:t>
      </w:r>
    </w:p>
    <w:p>
      <w:pPr/>
      <w:r>
        <w:rPr>
          <w:b/>
        </w:rPr>
        <w:t>Later source:</w:t>
      </w:r>
      <w:r>
        <w:t xml:space="preserve"> European Wild Bees: moving from assessment to conservation planning — https://doi.org/10.2779/5662020kh-01-25-230</w:t>
      </w:r>
    </w:p>
    <w:p>
      <w:pPr/>
      <w:r>
        <w:rPr>
          <w:b/>
        </w:rPr>
        <w:t>Later source:</w:t>
      </w:r>
      <w:r>
        <w:t xml:space="preserve"> An assessment of the state of conservation planning in Europe — https://doi.org/10.1098/rstb.2023.0015</w:t>
      </w:r>
    </w:p>
    <w:p>
      <w:pPr>
        <w:pStyle w:val="SourceNote"/>
      </w:pPr>
      <w:r>
        <w:rPr>
          <w:b/>
        </w:rPr>
        <w:t>Review status:</w:t>
      </w:r>
      <w:r>
        <w:t xml:space="preserve"> unchecked — possible relationship only</w:t>
      </w:r>
    </w:p>
    <w:p>
      <w:pPr>
        <w:pStyle w:val="Heading2"/>
      </w:pPr>
      <w:r>
        <w:t>477. Claim + two later sources: Integrating field data into individual-based models of the migration of European eel larvae</w:t>
      </w:r>
    </w:p>
    <w:p>
      <w:pPr>
        <w:pStyle w:val="SourceNote"/>
      </w:pPr>
      <w:r>
        <w:rPr>
          <w:b/>
        </w:rPr>
        <w:t>Group ID:</w:t>
      </w:r>
      <w:r>
        <w:t xml:space="preserve"> group-422b14dc5317bb803468</w:t>
      </w:r>
    </w:p>
    <w:p>
      <w:pPr>
        <w:pStyle w:val="SourceNote"/>
      </w:pPr>
      <w:r>
        <w:rPr>
          <w:b/>
        </w:rPr>
        <w:t>Original source:</w:t>
      </w:r>
      <w:r>
        <w:t xml:space="preserve"> https://doi.org/10.3354/meps10368</w:t>
      </w:r>
    </w:p>
    <w:p>
      <w:pPr/>
      <w:r>
        <w:rPr>
          <w:b/>
        </w:rPr>
        <w:t>Original future claim:</w:t>
      </w:r>
      <w:r>
        <w:t xml:space="preserve"> We contrasted different model settings and identified the most plausible migration scenario by comparing simulation results against experimental data.</w:t>
      </w:r>
    </w:p>
    <w:p>
      <w:pPr/>
      <w:r>
        <w:rPr>
          <w:b/>
        </w:rPr>
        <w:t>Later source:</w:t>
      </w:r>
      <w:r>
        <w:t xml:space="preserve"> Impact of the model representation of PBL and convection on the PM concentrations over Europe — https://doi.org/10.5194/egusphere-egu21-2417</w:t>
      </w:r>
    </w:p>
    <w:p>
      <w:pPr/>
      <w:r>
        <w:rPr>
          <w:b/>
        </w:rPr>
        <w:t>Later source:</w:t>
      </w:r>
      <w:r>
        <w:t xml:space="preserve"> A climate-sensitive forest model for assessing impacts of forest management in Europe — https://doi.org/10.1016/j.envsoft.2019.02.009</w:t>
      </w:r>
    </w:p>
    <w:p>
      <w:pPr>
        <w:pStyle w:val="SourceNote"/>
      </w:pPr>
      <w:r>
        <w:rPr>
          <w:b/>
        </w:rPr>
        <w:t>Review status:</w:t>
      </w:r>
      <w:r>
        <w:t xml:space="preserve"> unchecked — possible relationship only</w:t>
      </w:r>
    </w:p>
    <w:p>
      <w:pPr>
        <w:pStyle w:val="Heading2"/>
      </w:pPr>
      <w:r>
        <w:t>478. Claim + two later sources: Wild cards in transport</w:t>
      </w:r>
    </w:p>
    <w:p>
      <w:pPr>
        <w:pStyle w:val="SourceNote"/>
      </w:pPr>
      <w:r>
        <w:rPr>
          <w:b/>
        </w:rPr>
        <w:t>Group ID:</w:t>
      </w:r>
      <w:r>
        <w:t xml:space="preserve"> group-e52c676f62e802afe755</w:t>
      </w:r>
    </w:p>
    <w:p>
      <w:pPr>
        <w:pStyle w:val="SourceNote"/>
      </w:pPr>
      <w:r>
        <w:rPr>
          <w:b/>
        </w:rPr>
        <w:t>Original source:</w:t>
      </w:r>
      <w:r>
        <w:t xml:space="preserve"> https://doi.org/10.1007/s40309-015-0066-9</w:t>
      </w:r>
    </w:p>
    <w:p>
      <w:pPr/>
      <w:r>
        <w:rPr>
          <w:b/>
        </w:rPr>
        <w:t>Original future claim:</w:t>
      </w:r>
      <w:r>
        <w:t xml:space="preserve"> Several Wild Cards reach high likelihood in 2040 or beyond, while the time by which full impact is reached varies.</w:t>
      </w:r>
    </w:p>
    <w:p>
      <w:pPr/>
      <w:r>
        <w:rPr>
          <w:b/>
        </w:rPr>
        <w:t>Later source:</w:t>
      </w:r>
      <w:r>
        <w:t xml:space="preserve"> Mapping Wild Boar Capture Likelihood Using Public Surveillance Records: A Maxent-Based Case Study in Northern Nara, Japan — https://doi.org/10.48084/etasr.18889</w:t>
      </w:r>
    </w:p>
    <w:p>
      <w:pPr/>
      <w:r>
        <w:rPr>
          <w:b/>
        </w:rPr>
        <w:t>Later source:</w:t>
      </w:r>
      <w:r>
        <w:t xml:space="preserve"> Virome landscape of wild rodents and shrews in Central China — https://doi.org/10.1186/s40168-025-02059-0</w:t>
      </w:r>
    </w:p>
    <w:p>
      <w:pPr>
        <w:pStyle w:val="SourceNote"/>
      </w:pPr>
      <w:r>
        <w:rPr>
          <w:b/>
        </w:rPr>
        <w:t>Review status:</w:t>
      </w:r>
      <w:r>
        <w:t xml:space="preserve"> unchecked — possible relationship only</w:t>
      </w:r>
    </w:p>
    <w:p>
      <w:pPr>
        <w:pStyle w:val="Heading2"/>
      </w:pPr>
      <w:r>
        <w:t>479. Claim + two later sources: Perspective of comprehensive and comprehensible multi-model energy and climate science in Europe</w:t>
      </w:r>
    </w:p>
    <w:p>
      <w:pPr>
        <w:pStyle w:val="SourceNote"/>
      </w:pPr>
      <w:r>
        <w:rPr>
          <w:b/>
        </w:rPr>
        <w:t>Group ID:</w:t>
      </w:r>
      <w:r>
        <w:t xml:space="preserve"> group-0f2dd5c624db2300e84f</w:t>
      </w:r>
    </w:p>
    <w:p>
      <w:pPr>
        <w:pStyle w:val="SourceNote"/>
      </w:pPr>
      <w:r>
        <w:rPr>
          <w:b/>
        </w:rPr>
        <w:t>Original source:</w:t>
      </w:r>
      <w:r>
        <w:t xml:space="preserve"> https://doi.org/10.1016/j.energy.2020.119153</w:t>
      </w:r>
    </w:p>
    <w:p>
      <w:pPr/>
      <w:r>
        <w:rPr>
          <w:b/>
        </w:rPr>
        <w:t>Original future claim:</w:t>
      </w:r>
      <w:r>
        <w:t xml:space="preserve"> Finally, drawing from the COVID-19 pandemic, we discuss the need to expand the modelling comfort zone, by exploring extreme scenarios, disruptive innovations, and questions that transcend the energy and climate goals across the sustainability spectrum. Europe’s capacity to explore the envisaged pathways that achieve its near- and long-term energy and climate objectives needs to be significantly enhanced.</w:t>
      </w:r>
    </w:p>
    <w:p>
      <w:pPr/>
      <w:r>
        <w:rPr>
          <w:b/>
        </w:rPr>
        <w:t>Later source:</w:t>
      </w:r>
      <w:r>
        <w:t xml:space="preserve"> Europe and the Geopolitics of AGI: The Need for a Preparedness Plan — https://doi.org/10.48550/arxiv.2605.13634</w:t>
      </w:r>
    </w:p>
    <w:p>
      <w:pPr/>
      <w:r>
        <w:rPr>
          <w:b/>
        </w:rPr>
        <w:t>Later source:</w:t>
      </w:r>
      <w:r>
        <w:t xml:space="preserve"> Emerging risk of Xylella fastidiosa in Europe under global change — https://doi.org/10.1007/s10530-026-03869-5</w:t>
      </w:r>
    </w:p>
    <w:p>
      <w:pPr>
        <w:pStyle w:val="SourceNote"/>
      </w:pPr>
      <w:r>
        <w:rPr>
          <w:b/>
        </w:rPr>
        <w:t>Review status:</w:t>
      </w:r>
      <w:r>
        <w:t xml:space="preserve"> unchecked — possible relationship only</w:t>
      </w:r>
    </w:p>
    <w:p>
      <w:pPr>
        <w:pStyle w:val="Heading2"/>
      </w:pPr>
      <w:r>
        <w:t>480. Claim + two later sources: Realising transition pathways for a more electric, low-carbon energy system in the United Kingdom: Challenges, insights and opportunities</w:t>
      </w:r>
    </w:p>
    <w:p>
      <w:pPr>
        <w:pStyle w:val="SourceNote"/>
      </w:pPr>
      <w:r>
        <w:rPr>
          <w:b/>
        </w:rPr>
        <w:t>Group ID:</w:t>
      </w:r>
      <w:r>
        <w:t xml:space="preserve"> group-fcdfa554f20788530e24</w:t>
      </w:r>
    </w:p>
    <w:p>
      <w:pPr>
        <w:pStyle w:val="SourceNote"/>
      </w:pPr>
      <w:r>
        <w:rPr>
          <w:b/>
        </w:rPr>
        <w:t>Original source:</w:t>
      </w:r>
      <w:r>
        <w:t xml:space="preserve"> https://doi.org/10.1177/0957650917695448</w:t>
      </w:r>
    </w:p>
    <w:p>
      <w:pPr/>
      <w:r>
        <w:rPr>
          <w:b/>
        </w:rPr>
        <w:t>Original future claim:</w:t>
      </w:r>
      <w:r>
        <w:t xml:space="preserve"> The United Kingdom has placed itself on a transition towards a low-carbon economy and society, through the imposition of a legally-binding goal aimed at reducing its ‘greenhouse gas’ emissions by 80% by 2050 against a 1990 baseline. This provided a basis for integrating the analysis within a whole systems framework of electricity system development, together with the evaluation of future economic benefits, costs and uncertainties.</w:t>
      </w:r>
    </w:p>
    <w:p>
      <w:pPr/>
      <w:r>
        <w:rPr>
          <w:b/>
        </w:rPr>
        <w:t>Later source:</w:t>
      </w:r>
      <w:r>
        <w:t xml:space="preserve"> The Law of Treaty Withdrawal in the United Kingdom — https://doi.org/10.4324/9781003712633-7</w:t>
      </w:r>
    </w:p>
    <w:p>
      <w:pPr/>
      <w:r>
        <w:rPr>
          <w:b/>
        </w:rPr>
        <w:t>Later source:</w:t>
      </w:r>
      <w:r>
        <w:t xml:space="preserve"> Open-Source AI and Market Competition: Why the United Kingdom Is Well Placed to Promote Openness as Competition Policy — https://doi.org/10.2139/ssrn.7431620</w:t>
      </w:r>
    </w:p>
    <w:p>
      <w:pPr>
        <w:pStyle w:val="SourceNote"/>
      </w:pPr>
      <w:r>
        <w:rPr>
          <w:b/>
        </w:rPr>
        <w:t>Review status:</w:t>
      </w:r>
      <w:r>
        <w:t xml:space="preserve"> unchecked — possible relationship only</w:t>
      </w:r>
    </w:p>
    <w:p>
      <w:pPr>
        <w:pStyle w:val="Heading2"/>
      </w:pPr>
      <w:r>
        <w:t>481. Claim + two later sources: By 2050 the Mitigation Effects of EU Forests Could Nearly Double through Climate Smart Forestry</w:t>
      </w:r>
    </w:p>
    <w:p>
      <w:pPr>
        <w:pStyle w:val="SourceNote"/>
      </w:pPr>
      <w:r>
        <w:rPr>
          <w:b/>
        </w:rPr>
        <w:t>Group ID:</w:t>
      </w:r>
      <w:r>
        <w:t xml:space="preserve"> group-1485a39ff89749745b4a</w:t>
      </w:r>
    </w:p>
    <w:p>
      <w:pPr>
        <w:pStyle w:val="SourceNote"/>
      </w:pPr>
      <w:r>
        <w:rPr>
          <w:b/>
        </w:rPr>
        <w:t>Original source:</w:t>
      </w:r>
      <w:r>
        <w:t xml:space="preserve"> https://doi.org/10.3390/f8120484</w:t>
      </w:r>
    </w:p>
    <w:p>
      <w:pPr/>
      <w:r>
        <w:rPr>
          <w:b/>
        </w:rPr>
        <w:t>Original future claim:</w:t>
      </w:r>
      <w:r>
        <w:t xml:space="preserve"> With the right set of incentives in place at EU and Member States levels, we find the current literature supports the view that the EU has the potential to achieve an additional combined mitigation impact through CSF of 441 Mt CO2/year by 2050. In July 2016, the European Commission (EC) published a legislative proposal for incorporating greenhouse gas emissions and removals due to Land Use, Land Use Change and Forestry (LULUCF) into its 2030 Climate and Energy Framework.</w:t>
      </w:r>
    </w:p>
    <w:p>
      <w:pPr/>
      <w:r>
        <w:rPr>
          <w:b/>
        </w:rPr>
        <w:t>Later source:</w:t>
      </w:r>
      <w:r>
        <w:t xml:space="preserve"> The Right to Abortion – Between the Need for Protection at the European Level and Respect for the Constitutional Traditions of the Member States — https://doi.org/10.54148/eltelj.2025.2.9</w:t>
      </w:r>
    </w:p>
    <w:p>
      <w:pPr/>
      <w:r>
        <w:rPr>
          <w:b/>
        </w:rPr>
        <w:t>Later source:</w:t>
      </w:r>
      <w:r>
        <w:t xml:space="preserve"> Harmonisation of Corporate Income Tax Incentives in SADC: Addressing the Challenges Posed by the Sovereign Right of SADC Member States to Set Their Own Economic and Tax Policies — https://doi.org/10.25159/2522-3062/15912</w:t>
      </w:r>
    </w:p>
    <w:p>
      <w:pPr>
        <w:pStyle w:val="SourceNote"/>
      </w:pPr>
      <w:r>
        <w:rPr>
          <w:b/>
        </w:rPr>
        <w:t>Review status:</w:t>
      </w:r>
      <w:r>
        <w:t xml:space="preserve"> unchecked — possible relationship only</w:t>
      </w:r>
    </w:p>
    <w:p>
      <w:pPr>
        <w:pStyle w:val="Heading2"/>
      </w:pPr>
      <w:r>
        <w:t>482. Claim + two later sources: Long-term transport decarbonization pathways in the European Union: a strategic energy-economy analysis</w:t>
      </w:r>
    </w:p>
    <w:p>
      <w:pPr>
        <w:pStyle w:val="SourceNote"/>
      </w:pPr>
      <w:r>
        <w:rPr>
          <w:b/>
        </w:rPr>
        <w:t>Group ID:</w:t>
      </w:r>
      <w:r>
        <w:t xml:space="preserve"> group-6a6c151c2499f865f39d</w:t>
      </w:r>
    </w:p>
    <w:p>
      <w:pPr>
        <w:pStyle w:val="SourceNote"/>
      </w:pPr>
      <w:r>
        <w:rPr>
          <w:b/>
        </w:rPr>
        <w:t>Original source:</w:t>
      </w:r>
      <w:r>
        <w:t xml:space="preserve"> https://doi.org/10.1080/15567249.2022.2101712</w:t>
      </w:r>
    </w:p>
    <w:p>
      <w:pPr/>
      <w:r>
        <w:rPr>
          <w:b/>
        </w:rPr>
        <w:t>Original future claim:</w:t>
      </w:r>
      <w:r>
        <w:t xml:space="preserve"> Owing to their uncertain and disruptive role, we assess the potential contribution of e-fuels deployment to the EU transport decarbonization in line with the region’s climate neutrality ambition in 2050. However, the two scenarios differ in the other technology and fuel choices, with implications on road freight transport, infrastructure, R&amp;D spending, and maturity requirements for alternative vehicles.</w:t>
      </w:r>
    </w:p>
    <w:p>
      <w:pPr/>
      <w:r>
        <w:rPr>
          <w:b/>
        </w:rPr>
        <w:t>Later source:</w:t>
      </w:r>
      <w:r>
        <w:t xml:space="preserve"> Assessing the importance of the European armament sector: a multiregional approach — https://doi.org/10.1080/10242694.2026.2673058</w:t>
      </w:r>
    </w:p>
    <w:p>
      <w:pPr/>
      <w:r>
        <w:rPr>
          <w:b/>
        </w:rPr>
        <w:t>Later source:</w:t>
      </w:r>
      <w:r>
        <w:t xml:space="preserve"> Budget Impact Analysis of Vacuum-Assisted Excision Versus Surgical Excision for the Assessment of Breast Lesions of Uncertain Malignant Potential in Italy — https://doi.org/10.1007/s41669-026-00663-w</w:t>
      </w:r>
    </w:p>
    <w:p>
      <w:pPr>
        <w:pStyle w:val="SourceNote"/>
      </w:pPr>
      <w:r>
        <w:rPr>
          <w:b/>
        </w:rPr>
        <w:t>Review status:</w:t>
      </w:r>
      <w:r>
        <w:t xml:space="preserve"> unchecked — possible relationship only</w:t>
      </w:r>
    </w:p>
    <w:p>
      <w:pPr>
        <w:pStyle w:val="Heading2"/>
      </w:pPr>
      <w:r>
        <w:t>483. Claim + two later sources: Towards the 2030 Agenda: Measuring the Progress of the European Union Countries through the SDGs Achievement Index</w:t>
      </w:r>
    </w:p>
    <w:p>
      <w:pPr>
        <w:pStyle w:val="SourceNote"/>
      </w:pPr>
      <w:r>
        <w:rPr>
          <w:b/>
        </w:rPr>
        <w:t>Group ID:</w:t>
      </w:r>
      <w:r>
        <w:t xml:space="preserve"> group-5a6d628cf33369cf0b20</w:t>
      </w:r>
    </w:p>
    <w:p>
      <w:pPr>
        <w:pStyle w:val="SourceNote"/>
      </w:pPr>
      <w:r>
        <w:rPr>
          <w:b/>
        </w:rPr>
        <w:t>Original source:</w:t>
      </w:r>
      <w:r>
        <w:t xml:space="preserve"> https://doi.org/10.3390/su14063563</w:t>
      </w:r>
    </w:p>
    <w:p>
      <w:pPr/>
      <w:r>
        <w:rPr>
          <w:b/>
        </w:rPr>
        <w:t>Original future claim:</w:t>
      </w:r>
      <w:r>
        <w:t xml:space="preserve"> The use of such an index will also be useful to understand the effect of the pandemic on the development.</w:t>
      </w:r>
    </w:p>
    <w:p>
      <w:pPr/>
      <w:r>
        <w:rPr>
          <w:b/>
        </w:rPr>
        <w:t>Later source:</w:t>
      </w:r>
      <w:r>
        <w:t xml:space="preserve"> Quantifying the Performance of European Agriculture Through the New European Sustainability Model — https://doi.org/10.3390/agriculture15020210</w:t>
      </w:r>
    </w:p>
    <w:p>
      <w:pPr/>
      <w:r>
        <w:rPr>
          <w:b/>
        </w:rPr>
        <w:t>Later source:</w:t>
      </w:r>
      <w:r>
        <w:t xml:space="preserve"> Construction Cost Index: Political, Economic, and Financial Risk Indices Within the European Continent — https://doi.org/10.3390/su17030917</w:t>
      </w:r>
    </w:p>
    <w:p>
      <w:pPr>
        <w:pStyle w:val="SourceNote"/>
      </w:pPr>
      <w:r>
        <w:rPr>
          <w:b/>
        </w:rPr>
        <w:t>Review status:</w:t>
      </w:r>
      <w:r>
        <w:t xml:space="preserve"> unchecked — possible relationship only</w:t>
      </w:r>
    </w:p>
    <w:p>
      <w:pPr>
        <w:pStyle w:val="Heading2"/>
      </w:pPr>
      <w:r>
        <w:t>484. Claim + two later sources: Enabling forecasts of environmental exposure to chemicals in European agriculture under global change</w:t>
      </w:r>
    </w:p>
    <w:p>
      <w:pPr>
        <w:pStyle w:val="SourceNote"/>
      </w:pPr>
      <w:r>
        <w:rPr>
          <w:b/>
        </w:rPr>
        <w:t>Group ID:</w:t>
      </w:r>
      <w:r>
        <w:t xml:space="preserve"> group-e669ab8bfa13128d28af</w:t>
      </w:r>
    </w:p>
    <w:p>
      <w:pPr>
        <w:pStyle w:val="SourceNote"/>
      </w:pPr>
      <w:r>
        <w:rPr>
          <w:b/>
        </w:rPr>
        <w:t>Original source:</w:t>
      </w:r>
      <w:r>
        <w:t xml:space="preserve"> https://doi.org/10.1016/j.scitotenv.2022.156478</w:t>
      </w:r>
    </w:p>
    <w:p>
      <w:pPr/>
      <w:r>
        <w:rPr>
          <w:b/>
        </w:rPr>
        <w:t>Original future claim:</w:t>
      </w:r>
      <w:r>
        <w:t xml:space="preserve"> We discuss current knowledge in these three areas, the impact global change drivers may have on them, and we identify knowledge and data gaps that must be overcome to enable predictive scenario-based forecasts of environmental exposure under global change. The type and quantity of chemicals used, emitted, and cycled through agricultural systems in Europe will change, driven by shifts in the use patterns of pesticides, veterinary pharmaceuticals, reclaimed wastewater used for irrigation, and biosolids.</w:t>
      </w:r>
    </w:p>
    <w:p>
      <w:pPr/>
      <w:r>
        <w:rPr>
          <w:b/>
        </w:rPr>
        <w:t>Later source:</w:t>
      </w:r>
      <w:r>
        <w:t xml:space="preserve"> Mapping the landscape of mycological organizations in europe: where citizen science meets professional mycology — https://doi.org/10.1007/s10531-025-03219-2</w:t>
      </w:r>
    </w:p>
    <w:p>
      <w:pPr/>
      <w:r>
        <w:rPr>
          <w:b/>
        </w:rPr>
        <w:t>Later source:</w:t>
      </w:r>
      <w:r>
        <w:t xml:space="preserve"> Evolution of Equality as a Constitutional Principle in Romania: European Union Membership Impacts and Current Challenges — https://doi.org/10.62733/2026.1.9-31</w:t>
      </w:r>
    </w:p>
    <w:p>
      <w:pPr>
        <w:pStyle w:val="SourceNote"/>
      </w:pPr>
      <w:r>
        <w:rPr>
          <w:b/>
        </w:rPr>
        <w:t>Review status:</w:t>
      </w:r>
      <w:r>
        <w:t xml:space="preserve"> unchecked — possible relationship only</w:t>
      </w:r>
    </w:p>
    <w:p>
      <w:pPr>
        <w:pStyle w:val="Heading2"/>
      </w:pPr>
      <w:r>
        <w:t>485. Claim + two later sources: Climate change mitigation: evidences from the European scenario</w:t>
      </w:r>
    </w:p>
    <w:p>
      <w:pPr>
        <w:pStyle w:val="SourceNote"/>
      </w:pPr>
      <w:r>
        <w:rPr>
          <w:b/>
        </w:rPr>
        <w:t>Group ID:</w:t>
      </w:r>
      <w:r>
        <w:t xml:space="preserve"> group-7e18cbb976d707db1233</w:t>
      </w:r>
    </w:p>
    <w:p>
      <w:pPr>
        <w:pStyle w:val="SourceNote"/>
      </w:pPr>
      <w:r>
        <w:rPr>
          <w:b/>
        </w:rPr>
        <w:t>Original source:</w:t>
      </w:r>
      <w:r>
        <w:t xml:space="preserve"> https://doi.org/10.1504/ijmne.2018.10016474</w:t>
      </w:r>
    </w:p>
    <w:p>
      <w:pPr/>
      <w:r>
        <w:rPr>
          <w:b/>
        </w:rPr>
        <w:t>Original future claim:</w:t>
      </w:r>
      <w:r>
        <w:t xml:space="preserve"> By 2050, the EU aims to reduce its greenhouse gas emissions by 80%-95% compared with 1990 levels. New objectives up to 2030 provide for a 40% reduction of GHG emissions and an increase of 27% for renewables and energy efficiency.</w:t>
      </w:r>
    </w:p>
    <w:p>
      <w:pPr/>
      <w:r>
        <w:rPr>
          <w:b/>
        </w:rPr>
        <w:t>Later source:</w:t>
      </w:r>
      <w:r>
        <w:t xml:space="preserve"> Association patterns of renewables and greenhouse gas emission reduction in the European Union — https://doi.org/10.2139/ssrn.6144181</w:t>
      </w:r>
    </w:p>
    <w:p>
      <w:pPr/>
      <w:r>
        <w:rPr>
          <w:b/>
        </w:rPr>
        <w:t>Later source:</w:t>
      </w:r>
      <w:r>
        <w:t xml:space="preserve"> Changes in greenhouse gas emissions from agriculture in selected European Union countries — https://doi.org/10.14254/2071-8330.2026/19-1/10</w:t>
      </w:r>
    </w:p>
    <w:p>
      <w:pPr>
        <w:pStyle w:val="SourceNote"/>
      </w:pPr>
      <w:r>
        <w:rPr>
          <w:b/>
        </w:rPr>
        <w:t>Review status:</w:t>
      </w:r>
      <w:r>
        <w:t xml:space="preserve"> unchecked — possible relationship only</w:t>
      </w:r>
    </w:p>
    <w:p>
      <w:pPr>
        <w:pStyle w:val="Heading2"/>
      </w:pPr>
      <w:r>
        <w:t>486. Claim + two later sources: Seeds of good anthropocenes: developing sustainability scenarios for Northern Europe</w:t>
      </w:r>
    </w:p>
    <w:p>
      <w:pPr>
        <w:pStyle w:val="SourceNote"/>
      </w:pPr>
      <w:r>
        <w:rPr>
          <w:b/>
        </w:rPr>
        <w:t>Group ID:</w:t>
      </w:r>
      <w:r>
        <w:t xml:space="preserve"> group-3bb932fa2e396be5df42</w:t>
      </w:r>
    </w:p>
    <w:p>
      <w:pPr>
        <w:pStyle w:val="SourceNote"/>
      </w:pPr>
      <w:r>
        <w:rPr>
          <w:b/>
        </w:rPr>
        <w:t>Original source:</w:t>
      </w:r>
      <w:r>
        <w:t xml:space="preserve"> https://doi.org/10.1007/s11625-019-00714-8</w:t>
      </w:r>
    </w:p>
    <w:p>
      <w:pPr/>
      <w:r>
        <w:rPr>
          <w:b/>
        </w:rPr>
        <w:t>Original future claim:</w:t>
      </w:r>
      <w:r>
        <w:t xml:space="preserve"> Those that have been developed tend to focus on the role of a few common, large-scale external drivers, such as technology or environmental policy, even though pathways of positive change are often driven by surprising or bottom-up initiatives that most scenarios assume are unchanging. We describe an approach, pioneered in Southern Africa and tested here in a new context in Northern Europe, to developing scenarios using existing bottom-up transformative initiatives to examine plausible transitions towards positive, sustainable futures.</w:t>
      </w:r>
    </w:p>
    <w:p>
      <w:pPr/>
      <w:r>
        <w:rPr>
          <w:b/>
        </w:rPr>
        <w:t>Later source:</w:t>
      </w:r>
      <w:r>
        <w:t xml:space="preserve"> Hydrological drought but not flood synchronicity increases over Europe — https://doi.org/10.5194/egusphere-egu26-4770</w:t>
      </w:r>
    </w:p>
    <w:p>
      <w:pPr/>
      <w:r>
        <w:rPr>
          <w:b/>
        </w:rPr>
        <w:t>Later source:</w:t>
      </w:r>
      <w:r>
        <w:t xml:space="preserve"> The European Union’s role in European defence industry policy — https://doi.org/10.1080/14702436.2025.2472694</w:t>
      </w:r>
    </w:p>
    <w:p>
      <w:pPr>
        <w:pStyle w:val="SourceNote"/>
      </w:pPr>
      <w:r>
        <w:rPr>
          <w:b/>
        </w:rPr>
        <w:t>Review status:</w:t>
      </w:r>
      <w:r>
        <w:t xml:space="preserve"> unchecked — possible relationship only</w:t>
      </w:r>
    </w:p>
    <w:p>
      <w:pPr>
        <w:pStyle w:val="Heading2"/>
      </w:pPr>
      <w:r>
        <w:t>487. Claim + two later sources: PROJEKCJA ZMIAN WIELKOŚCI PLONÓW PSZENICY W POLSCE I UNII EUROPEJSKIEJ W LATACH 2030 I 2050 NA PODSTAWIE MODELU CAPRI</w:t>
      </w:r>
    </w:p>
    <w:p>
      <w:pPr>
        <w:pStyle w:val="SourceNote"/>
      </w:pPr>
      <w:r>
        <w:rPr>
          <w:b/>
        </w:rPr>
        <w:t>Group ID:</w:t>
      </w:r>
      <w:r>
        <w:t xml:space="preserve"> group-80240569d711e6b81a08</w:t>
      </w:r>
    </w:p>
    <w:p>
      <w:pPr>
        <w:pStyle w:val="SourceNote"/>
      </w:pPr>
      <w:r>
        <w:rPr>
          <w:b/>
        </w:rPr>
        <w:t>Original source:</w:t>
      </w:r>
      <w:r>
        <w:t xml:space="preserve"> https://doi.org/10.22004/ag.econ.233132</w:t>
      </w:r>
    </w:p>
    <w:p>
      <w:pPr/>
      <w:r>
        <w:rPr>
          <w:b/>
        </w:rPr>
        <w:t>Original future claim:</w:t>
      </w:r>
      <w:r>
        <w:t xml:space="preserve"> Based on the CAPRI model in 2030 , an average increase of 24% in wheat yield is projected in the 27 European Union countries compared to 2010. The aim of the study was to determine the dynamics of changes in wheat yield in Poland and the European Union in 2030 and 2050.</w:t>
      </w:r>
    </w:p>
    <w:p>
      <w:pPr/>
      <w:r>
        <w:rPr>
          <w:b/>
        </w:rPr>
        <w:t>Later source:</w:t>
      </w:r>
      <w:r>
        <w:t xml:space="preserve"> Effect of different treatments on the dissipation and persistence of iodosulfuron-methyl applied in soils with wheat crop under greenhouse conditions — https://doi.org/10.1016/j.ecoenv.2025.118454</w:t>
      </w:r>
    </w:p>
    <w:p>
      <w:pPr/>
      <w:r>
        <w:rPr>
          <w:b/>
        </w:rPr>
        <w:t>Later source:</w:t>
      </w:r>
      <w:r>
        <w:t xml:space="preserve"> Improved modelling framework for assessing the interactions between the energy, agriculture, forestry and land use change sectors: Integrating the CAPRI, LUISA-BEES, CBM and POTEnCIA models — https://doi.org/10.2760/900305</w:t>
      </w:r>
    </w:p>
    <w:p>
      <w:pPr>
        <w:pStyle w:val="SourceNote"/>
      </w:pPr>
      <w:r>
        <w:rPr>
          <w:b/>
        </w:rPr>
        <w:t>Review status:</w:t>
      </w:r>
      <w:r>
        <w:t xml:space="preserve"> unchecked — possible relationship only</w:t>
      </w:r>
    </w:p>
    <w:p>
      <w:pPr>
        <w:pStyle w:val="Heading2"/>
      </w:pPr>
      <w:r>
        <w:t>488. Claim + two later sources: Recycling of European plastic is a pathway for plastic debris in the ocean</w:t>
      </w:r>
    </w:p>
    <w:p>
      <w:pPr>
        <w:pStyle w:val="SourceNote"/>
      </w:pPr>
      <w:r>
        <w:rPr>
          <w:b/>
        </w:rPr>
        <w:t>Group ID:</w:t>
      </w:r>
      <w:r>
        <w:t xml:space="preserve"> group-6d3f32c15d6b4b247cde</w:t>
      </w:r>
    </w:p>
    <w:p>
      <w:pPr>
        <w:pStyle w:val="SourceNote"/>
      </w:pPr>
      <w:r>
        <w:rPr>
          <w:b/>
        </w:rPr>
        <w:t>Original source:</w:t>
      </w:r>
      <w:r>
        <w:t xml:space="preserve"> https://doi.org/10.1016/j.envint.2020.105893</w:t>
      </w:r>
    </w:p>
    <w:p>
      <w:pPr/>
      <w:r>
        <w:rPr>
          <w:b/>
        </w:rPr>
        <w:t>Original future claim:</w:t>
      </w:r>
      <w:r>
        <w:t xml:space="preserve"> Data uncertainty was reflected in three scenarios representing high, low and average recovery efficiency factors in material recovery facilities and reprocessing facilities, and different ocean debris fate factors.</w:t>
      </w:r>
    </w:p>
    <w:p>
      <w:pPr/>
      <w:r>
        <w:rPr>
          <w:b/>
        </w:rPr>
        <w:t>Later source:</w:t>
      </w:r>
      <w:r>
        <w:t xml:space="preserve"> Dealing with and communicating data uncertainties in agricultural remote sensing: a comprehensive approach — https://doi.org/10.1016/j.rsase.2026.102202</w:t>
      </w:r>
    </w:p>
    <w:p>
      <w:pPr/>
      <w:r>
        <w:rPr>
          <w:b/>
        </w:rPr>
        <w:t>Later source:</w:t>
      </w:r>
      <w:r>
        <w:t xml:space="preserve"> Does Economic Policy Uncertainty Influence ESG Performance? Evidence from European Banking Sector — https://doi.org/10.5539/ijbm.v21n5p163</w:t>
      </w:r>
    </w:p>
    <w:p>
      <w:pPr>
        <w:pStyle w:val="SourceNote"/>
      </w:pPr>
      <w:r>
        <w:rPr>
          <w:b/>
        </w:rPr>
        <w:t>Review status:</w:t>
      </w:r>
      <w:r>
        <w:t xml:space="preserve"> unchecked — possible relationship only</w:t>
      </w:r>
    </w:p>
    <w:p>
      <w:pPr>
        <w:pStyle w:val="Heading2"/>
      </w:pPr>
      <w:r>
        <w:t>489. Claim + two later sources: The Futures of Europe: Society 5.0 and Industry 5.0 as Driving Forces of Future Universities</w:t>
      </w:r>
    </w:p>
    <w:p>
      <w:pPr>
        <w:pStyle w:val="SourceNote"/>
      </w:pPr>
      <w:r>
        <w:rPr>
          <w:b/>
        </w:rPr>
        <w:t>Group ID:</w:t>
      </w:r>
      <w:r>
        <w:t xml:space="preserve"> group-940e0dbd97b53547e2a0</w:t>
      </w:r>
    </w:p>
    <w:p>
      <w:pPr>
        <w:pStyle w:val="SourceNote"/>
      </w:pPr>
      <w:r>
        <w:rPr>
          <w:b/>
        </w:rPr>
        <w:t>Original source:</w:t>
      </w:r>
      <w:r>
        <w:t xml:space="preserve"> https://doi.org/10.1007/s13132-021-00854-2</w:t>
      </w:r>
    </w:p>
    <w:p>
      <w:pPr/>
      <w:r>
        <w:rPr>
          <w:b/>
        </w:rPr>
        <w:t>Original future claim:</w:t>
      </w:r>
      <w:r>
        <w:t xml:space="preserve"> Incorporating the assumptions of Society 5.0 and Industry 5.0 into the universities practices and policies will allow both universities and societies to fully benefit from digital transformation. The use of the Quintuple Helix Model (QHM) might foster the process of necessary transformations capacities as it integrates different perspectives and sets the stage for sustainability priorities and considerations.</w:t>
      </w:r>
    </w:p>
    <w:p>
      <w:pPr/>
      <w:r>
        <w:rPr>
          <w:b/>
        </w:rPr>
        <w:t>Later source:</w:t>
      </w:r>
      <w:r>
        <w:t xml:space="preserve"> Updated PM2.5 Mortality Estimates for Europe in Coming Decades via the CATALYSE Project — https://doi.org/10.5194/egusphere-egu26-18901</w:t>
      </w:r>
    </w:p>
    <w:p>
      <w:pPr/>
      <w:r>
        <w:rPr>
          <w:b/>
        </w:rPr>
        <w:t>Later source:</w:t>
      </w:r>
      <w:r>
        <w:t xml:space="preserve"> Inclusion and Gender Empowerment in European Civil Society Organisations — https://openalex.org/W7137625942</w:t>
      </w:r>
    </w:p>
    <w:p>
      <w:pPr>
        <w:pStyle w:val="SourceNote"/>
      </w:pPr>
      <w:r>
        <w:rPr>
          <w:b/>
        </w:rPr>
        <w:t>Review status:</w:t>
      </w:r>
      <w:r>
        <w:t xml:space="preserve"> unchecked — possible relationship only</w:t>
      </w:r>
    </w:p>
    <w:p>
      <w:pPr>
        <w:pStyle w:val="Heading2"/>
      </w:pPr>
      <w:r>
        <w:t>490. Claim + two later sources: Land use implications of future energy system trajectories—The case of the UK 2050 Carbon Plan</w:t>
      </w:r>
    </w:p>
    <w:p>
      <w:pPr>
        <w:pStyle w:val="SourceNote"/>
      </w:pPr>
      <w:r>
        <w:rPr>
          <w:b/>
        </w:rPr>
        <w:t>Group ID:</w:t>
      </w:r>
      <w:r>
        <w:t xml:space="preserve"> group-7e6c70f851b6f8db2a54</w:t>
      </w:r>
    </w:p>
    <w:p>
      <w:pPr>
        <w:pStyle w:val="SourceNote"/>
      </w:pPr>
      <w:r>
        <w:rPr>
          <w:b/>
        </w:rPr>
        <w:t>Original source:</w:t>
      </w:r>
      <w:r>
        <w:t xml:space="preserve"> https://doi.org/10.1016/j.enpol.2015.07.008</w:t>
      </w:r>
    </w:p>
    <w:p>
      <w:pPr/>
      <w:r>
        <w:rPr>
          <w:b/>
        </w:rPr>
        <w:t>Original future claim:</w:t>
      </w:r>
      <w:r>
        <w:t xml:space="preserve"> Four pathways to achieve this target have been developed by the Department of Energy and Climate Change, with all pathways requiring increased us of bioenergy. A significant amount of this could be indigenously sourced from crops, but will increased domestic production of energy crops conflict with other agricultural priorities?</w:t>
      </w:r>
    </w:p>
    <w:p>
      <w:pPr/>
      <w:r>
        <w:rPr>
          <w:b/>
        </w:rPr>
        <w:t>Later source:</w:t>
      </w:r>
      <w:r>
        <w:t xml:space="preserve"> Four pathways for energy citizenship initiatives to contribute to a more democratic European energy system — https://doi.org/10.1080/07036337.2025.2458592</w:t>
      </w:r>
    </w:p>
    <w:p>
      <w:pPr/>
      <w:r>
        <w:rPr>
          <w:b/>
        </w:rPr>
        <w:t>Later source:</w:t>
      </w:r>
      <w:r>
        <w:t xml:space="preserve"> Developing multi-risk DRM pathways — Lessons from four European case studies — https://doi.org/10.1016/j.crm.2025.100753</w:t>
      </w:r>
    </w:p>
    <w:p>
      <w:pPr>
        <w:pStyle w:val="SourceNote"/>
      </w:pPr>
      <w:r>
        <w:rPr>
          <w:b/>
        </w:rPr>
        <w:t>Review status:</w:t>
      </w:r>
      <w:r>
        <w:t xml:space="preserve"> unchecked — possible relationship only</w:t>
      </w:r>
    </w:p>
    <w:p>
      <w:pPr>
        <w:pStyle w:val="Heading2"/>
      </w:pPr>
      <w:r>
        <w:t>491. Claim + two later sources: Future projections of temperature and mixing regime of  European temperate lakes</w:t>
      </w:r>
    </w:p>
    <w:p>
      <w:pPr>
        <w:pStyle w:val="SourceNote"/>
      </w:pPr>
      <w:r>
        <w:rPr>
          <w:b/>
        </w:rPr>
        <w:t>Group ID:</w:t>
      </w:r>
      <w:r>
        <w:t xml:space="preserve"> group-9e814531bcd393424cd3</w:t>
      </w:r>
    </w:p>
    <w:p>
      <w:pPr>
        <w:pStyle w:val="SourceNote"/>
      </w:pPr>
      <w:r>
        <w:rPr>
          <w:b/>
        </w:rPr>
        <w:t>Original source:</w:t>
      </w:r>
      <w:r>
        <w:t xml:space="preserve"> https://doi.org/10.5194/hess-23-1533-2019</w:t>
      </w:r>
    </w:p>
    <w:p>
      <w:pPr/>
      <w:r>
        <w:rPr>
          <w:b/>
        </w:rPr>
        <w:t>Original future claim:</w:t>
      </w:r>
      <w:r>
        <w:t xml:space="preserve"> By mid-century, the frequency of ice and stratification-free winters was projected to increase by about 20 %, making ice cover rare and shifting the two deeper dimictic lakes to a predominantly monomictic regime. We forced the model with an ensemble of 12 climate projections (RCP4.5) up to 2100.</w:t>
      </w:r>
    </w:p>
    <w:p>
      <w:pPr/>
      <w:r>
        <w:rPr>
          <w:b/>
        </w:rPr>
        <w:t>Later source:</w:t>
      </w:r>
      <w:r>
        <w:t xml:space="preserve"> Emergent constraint indicates forced decline in European winter windstorm frequency — https://doi.org/10.1088/1748-9326/ae845f</w:t>
      </w:r>
    </w:p>
    <w:p>
      <w:pPr/>
      <w:r>
        <w:rPr>
          <w:b/>
        </w:rPr>
        <w:t>Later source:</w:t>
      </w:r>
      <w:r>
        <w:t xml:space="preserve"> Winter thunderstorms in Poland (1951–2020) — https://doi.org/10.2478/environ-2024-0021</w:t>
      </w:r>
    </w:p>
    <w:p>
      <w:pPr>
        <w:pStyle w:val="SourceNote"/>
      </w:pPr>
      <w:r>
        <w:rPr>
          <w:b/>
        </w:rPr>
        <w:t>Review status:</w:t>
      </w:r>
      <w:r>
        <w:t xml:space="preserve"> unchecked — possible relationship only</w:t>
      </w:r>
    </w:p>
    <w:p>
      <w:pPr>
        <w:pStyle w:val="Heading2"/>
      </w:pPr>
      <w:r>
        <w:t>492. Claim + two later sources: Lyme Disease Risks in Europe under Multiple Uncertain Drivers of Change</w:t>
      </w:r>
    </w:p>
    <w:p>
      <w:pPr>
        <w:pStyle w:val="SourceNote"/>
      </w:pPr>
      <w:r>
        <w:rPr>
          <w:b/>
        </w:rPr>
        <w:t>Group ID:</w:t>
      </w:r>
      <w:r>
        <w:t xml:space="preserve"> group-b8b1ba54d8754052874b</w:t>
      </w:r>
    </w:p>
    <w:p>
      <w:pPr>
        <w:pStyle w:val="SourceNote"/>
      </w:pPr>
      <w:r>
        <w:rPr>
          <w:b/>
        </w:rPr>
        <w:t>Original source:</w:t>
      </w:r>
      <w:r>
        <w:t xml:space="preserve"> https://doi.org/10.1289/ehp4615</w:t>
      </w:r>
    </w:p>
    <w:p>
      <w:pPr/>
      <w:r>
        <w:rPr>
          <w:b/>
        </w:rPr>
        <w:t>Original future claim:</w:t>
      </w:r>
      <w:r>
        <w:t xml:space="preserve"> RESULTS: The model projections suggest that future temperature increases may not always amplify LD risk: Low emissions scenarios (RCP2.6) combined with a sustainability socioeconomic scenario (SSP1) resulted in reduced LD risk. BACKGROUND: Debates over whether climate change could lead to the amplification of Lyme disease (LD) risk in the future have received much attention.</w:t>
      </w:r>
    </w:p>
    <w:p>
      <w:pPr/>
      <w:r>
        <w:rPr>
          <w:b/>
        </w:rPr>
        <w:t>Later source:</w:t>
      </w:r>
      <w:r>
        <w:t xml:space="preserve"> Model Code and Data for "Future projections of burned area in Europe highlight the importance of human action" — https://doi.org/10.5281/zenodo.18740007</w:t>
      </w:r>
    </w:p>
    <w:p>
      <w:pPr/>
      <w:r>
        <w:rPr>
          <w:b/>
        </w:rPr>
        <w:t>Later source:</w:t>
      </w:r>
      <w:r>
        <w:t xml:space="preserve"> Extreme precipitation projections over Europe from the Euro-CORDEX regional climate models — https://doi.org/10.2139/ssrn.7352664</w:t>
      </w:r>
    </w:p>
    <w:p>
      <w:pPr>
        <w:pStyle w:val="SourceNote"/>
      </w:pPr>
      <w:r>
        <w:rPr>
          <w:b/>
        </w:rPr>
        <w:t>Review status:</w:t>
      </w:r>
      <w:r>
        <w:t xml:space="preserve"> unchecked — possible relationship only</w:t>
      </w:r>
    </w:p>
    <w:p>
      <w:pPr>
        <w:pStyle w:val="Heading2"/>
      </w:pPr>
      <w:r>
        <w:t>493. Claim + two later sources: Imagining energy futures: Sociotechnical imaginaries of the future Smart Grid in Norway</w:t>
      </w:r>
    </w:p>
    <w:p>
      <w:pPr>
        <w:pStyle w:val="SourceNote"/>
      </w:pPr>
      <w:r>
        <w:rPr>
          <w:b/>
        </w:rPr>
        <w:t>Group ID:</w:t>
      </w:r>
      <w:r>
        <w:t xml:space="preserve"> group-33fd62738a36b6ca13af</w:t>
      </w:r>
    </w:p>
    <w:p>
      <w:pPr>
        <w:pStyle w:val="SourceNote"/>
      </w:pPr>
      <w:r>
        <w:rPr>
          <w:b/>
        </w:rPr>
        <w:t>Original source:</w:t>
      </w:r>
      <w:r>
        <w:t xml:space="preserve"> https://doi.org/10.1016/j.erss.2015.08.015</w:t>
      </w:r>
    </w:p>
    <w:p>
      <w:pPr/>
      <w:r>
        <w:rPr>
          <w:b/>
        </w:rPr>
        <w:t>Original future claim:</w:t>
      </w:r>
      <w:r>
        <w:t xml:space="preserve"> A future “Smart Grid” is increasingly being embraced in energy policies as a promising energy scenario for the future, with the introduction of “smart” electricity meters being seen as the first step. The paper suggests that increased openness and the inclusion of multiple perspectives and ways of knowing, inspired by post-normal science, could facilitate more careful consideration of potential social implications.</w:t>
      </w:r>
    </w:p>
    <w:p>
      <w:pPr/>
      <w:r>
        <w:rPr>
          <w:b/>
        </w:rPr>
        <w:t>Later source:</w:t>
      </w:r>
      <w:r>
        <w:t xml:space="preserve"> Towards consumer-oriented smart grids : investigating consumer perspectives on the adoption of smart technologies and services — https://openalex.org/W7222853900</w:t>
      </w:r>
    </w:p>
    <w:p>
      <w:pPr/>
      <w:r>
        <w:rPr>
          <w:b/>
        </w:rPr>
        <w:t>Later source:</w:t>
      </w:r>
      <w:r>
        <w:t xml:space="preserve"> Smart Grids and Sustainability: The Impact of Digital Technologies on the Energy Transition — https://doi.org/10.3390/en18092149</w:t>
      </w:r>
    </w:p>
    <w:p>
      <w:pPr>
        <w:pStyle w:val="SourceNote"/>
      </w:pPr>
      <w:r>
        <w:rPr>
          <w:b/>
        </w:rPr>
        <w:t>Review status:</w:t>
      </w:r>
      <w:r>
        <w:t xml:space="preserve"> unchecked — possible relationship only</w:t>
      </w:r>
    </w:p>
    <w:p>
      <w:pPr>
        <w:pStyle w:val="Heading2"/>
      </w:pPr>
      <w:r>
        <w:t>494. Claim + two later sources: Long-Term Projection of Renewable Energy Technology Diffusion</w:t>
      </w:r>
    </w:p>
    <w:p>
      <w:pPr>
        <w:pStyle w:val="SourceNote"/>
      </w:pPr>
      <w:r>
        <w:rPr>
          <w:b/>
        </w:rPr>
        <w:t>Group ID:</w:t>
      </w:r>
      <w:r>
        <w:t xml:space="preserve"> group-93aa6c2a55580459bcfa</w:t>
      </w:r>
    </w:p>
    <w:p>
      <w:pPr>
        <w:pStyle w:val="SourceNote"/>
      </w:pPr>
      <w:r>
        <w:rPr>
          <w:b/>
        </w:rPr>
        <w:t>Original source:</w:t>
      </w:r>
      <w:r>
        <w:t xml:space="preserve"> https://doi.org/10.3390/en12224261</w:t>
      </w:r>
    </w:p>
    <w:p>
      <w:pPr/>
      <w:r>
        <w:rPr>
          <w:b/>
        </w:rPr>
        <w:t>Original future claim:</w:t>
      </w:r>
      <w:r>
        <w:t xml:space="preserve"> Projecting the future, in this respect, requires a long-term energy modeling which includes a rate of diffusion of novel technologies into the market and the prediction of their costs. A critical analysis of effects of the commonly applied models for a long-term energy projection (REMIND, WITCH) use has been conducted.</w:t>
      </w:r>
    </w:p>
    <w:p>
      <w:pPr/>
      <w:r>
        <w:rPr>
          <w:b/>
        </w:rPr>
        <w:t>Later source:</w:t>
      </w:r>
      <w:r>
        <w:t xml:space="preserve"> Cultivating Respect Empathy and Cooperation through Harmonious Living in Elementary Education — https://doi.org/10.21070/acopen.11.2026.14725</w:t>
      </w:r>
    </w:p>
    <w:p>
      <w:pPr/>
      <w:r>
        <w:rPr>
          <w:b/>
        </w:rPr>
        <w:t>Later source:</w:t>
      </w:r>
      <w:r>
        <w:t xml:space="preserve"> A Novel Fuzzy Model for Knowledge-Driven Process Optimization in Renewable Energy Projects — https://doi.org/10.1007/s13132-024-02074-w</w:t>
      </w:r>
    </w:p>
    <w:p>
      <w:pPr>
        <w:pStyle w:val="SourceNote"/>
      </w:pPr>
      <w:r>
        <w:rPr>
          <w:b/>
        </w:rPr>
        <w:t>Review status:</w:t>
      </w:r>
      <w:r>
        <w:t xml:space="preserve"> unchecked — possible relationship only</w:t>
      </w:r>
    </w:p>
    <w:p>
      <w:pPr>
        <w:pStyle w:val="Heading2"/>
      </w:pPr>
      <w:r>
        <w:t>495. Claim + two later sources: Climate change mitigation: evidences from the European scenario</w:t>
      </w:r>
    </w:p>
    <w:p>
      <w:pPr>
        <w:pStyle w:val="SourceNote"/>
      </w:pPr>
      <w:r>
        <w:rPr>
          <w:b/>
        </w:rPr>
        <w:t>Group ID:</w:t>
      </w:r>
      <w:r>
        <w:t xml:space="preserve"> group-4739b039a3d523116184</w:t>
      </w:r>
    </w:p>
    <w:p>
      <w:pPr>
        <w:pStyle w:val="SourceNote"/>
      </w:pPr>
      <w:r>
        <w:rPr>
          <w:b/>
        </w:rPr>
        <w:t>Original source:</w:t>
      </w:r>
      <w:r>
        <w:t xml:space="preserve"> https://doi.org/10.1504/ijmne.2018.095079</w:t>
      </w:r>
    </w:p>
    <w:p>
      <w:pPr/>
      <w:r>
        <w:rPr>
          <w:b/>
        </w:rPr>
        <w:t>Original future claim:</w:t>
      </w:r>
      <w:r>
        <w:t xml:space="preserve"> By 2050, the EU aims to reduce its greenhouse gas emissions by 80%-95% compared with 1990 levels. New objectives up to 2030 provide for a 40% reduction of GHG emissions and an increase of 27% for renewables and energy efficiency.</w:t>
      </w:r>
    </w:p>
    <w:p>
      <w:pPr/>
      <w:r>
        <w:rPr>
          <w:b/>
        </w:rPr>
        <w:t>Later source:</w:t>
      </w:r>
      <w:r>
        <w:t xml:space="preserve"> Association patterns of renewables and greenhouse gas emission reduction in the European Union — https://doi.org/10.2139/ssrn.6144181</w:t>
      </w:r>
    </w:p>
    <w:p>
      <w:pPr/>
      <w:r>
        <w:rPr>
          <w:b/>
        </w:rPr>
        <w:t>Later source:</w:t>
      </w:r>
      <w:r>
        <w:t xml:space="preserve"> Changes in greenhouse gas emissions from agriculture in selected European Union countries — https://doi.org/10.14254/2071-8330.2026/19-1/10</w:t>
      </w:r>
    </w:p>
    <w:p>
      <w:pPr>
        <w:pStyle w:val="SourceNote"/>
      </w:pPr>
      <w:r>
        <w:rPr>
          <w:b/>
        </w:rPr>
        <w:t>Review status:</w:t>
      </w:r>
      <w:r>
        <w:t xml:space="preserve"> unchecked — possible relationship only</w:t>
      </w:r>
    </w:p>
    <w:p>
      <w:pPr>
        <w:pStyle w:val="Heading2"/>
      </w:pPr>
      <w:r>
        <w:t>496. Claim + two later sources: Losses of Ammonia and Nitrate from Agriculture and Their Effect on Nitrogen Recovery in the European Union and the United States between 1900 and 2050</w:t>
      </w:r>
    </w:p>
    <w:p>
      <w:pPr>
        <w:pStyle w:val="SourceNote"/>
      </w:pPr>
      <w:r>
        <w:rPr>
          <w:b/>
        </w:rPr>
        <w:t>Group ID:</w:t>
      </w:r>
      <w:r>
        <w:t xml:space="preserve"> group-e78438cb924c3ffbf207</w:t>
      </w:r>
    </w:p>
    <w:p>
      <w:pPr>
        <w:pStyle w:val="SourceNote"/>
      </w:pPr>
      <w:r>
        <w:rPr>
          <w:b/>
        </w:rPr>
        <w:t>Original source:</w:t>
      </w:r>
      <w:r>
        <w:t xml:space="preserve"> https://doi.org/10.2134/jeq2014.03.0102</w:t>
      </w:r>
    </w:p>
    <w:p>
      <w:pPr/>
      <w:r>
        <w:rPr>
          <w:b/>
        </w:rPr>
        <w:t>Original future claim:</w:t>
      </w:r>
      <w:r>
        <w:t xml:space="preserve"> In the United States, environmental N loads will remain substantially smaller than in the European Union, whereas agricultural production in 2050 in the United States will increase by 30% relative to 2005, as compared with an increase of 8% in the European Union. IMAGE projections for the IAASTD-baseline scenario indicate that N loading to the environment in 2050 will be similar to current levels.</w:t>
      </w:r>
    </w:p>
    <w:p>
      <w:pPr/>
      <w:r>
        <w:rPr>
          <w:b/>
        </w:rPr>
        <w:t>Later source:</w:t>
      </w:r>
      <w:r>
        <w:t xml:space="preserve"> United States and European Union aid cuts risk exacerbating links between aid, trade, and human and environmental crises — https://doi.org/10.1038/s44458-025-00011-9</w:t>
      </w:r>
    </w:p>
    <w:p>
      <w:pPr/>
      <w:r>
        <w:rPr>
          <w:b/>
        </w:rPr>
        <w:t>Later source:</w:t>
      </w:r>
      <w:r>
        <w:t xml:space="preserve"> Governing the Environmental Externalities of Generative AI Compute in the Gulf: Data-Centre Expansion in Saudi Arabia, the UAE, and QatarA Comparative Policy Analysis of the European Union, United States, and China as Lesson-Generating Models — https://doi.org/10.2139/ssrn.6866873</w:t>
      </w:r>
    </w:p>
    <w:p>
      <w:pPr>
        <w:pStyle w:val="SourceNote"/>
      </w:pPr>
      <w:r>
        <w:rPr>
          <w:b/>
        </w:rPr>
        <w:t>Review status:</w:t>
      </w:r>
      <w:r>
        <w:t xml:space="preserve"> unchecked — possible relationship only</w:t>
      </w:r>
    </w:p>
    <w:p>
      <w:pPr>
        <w:pStyle w:val="Heading2"/>
      </w:pPr>
      <w:r>
        <w:t>497. Claim + two later sources: Assessing the EU’s 2030 Climate and Energy Policy Framework: Incremental change toward radical transformation?</w:t>
      </w:r>
    </w:p>
    <w:p>
      <w:pPr>
        <w:pStyle w:val="SourceNote"/>
      </w:pPr>
      <w:r>
        <w:rPr>
          <w:b/>
        </w:rPr>
        <w:t>Group ID:</w:t>
      </w:r>
      <w:r>
        <w:t xml:space="preserve"> group-77d0524ff9c3f74ca6f7</w:t>
      </w:r>
    </w:p>
    <w:p>
      <w:pPr>
        <w:pStyle w:val="SourceNote"/>
      </w:pPr>
      <w:r>
        <w:rPr>
          <w:b/>
        </w:rPr>
        <w:t>Original source:</w:t>
      </w:r>
      <w:r>
        <w:t xml:space="preserve"> https://doi.org/10.1111/reel.12358</w:t>
      </w:r>
    </w:p>
    <w:p>
      <w:pPr/>
      <w:r>
        <w:rPr>
          <w:b/>
        </w:rPr>
        <w:t>Original future claim:</w:t>
      </w:r>
      <w:r>
        <w:t xml:space="preserve"> This article provides a comprehensive overview of the changes to European Union (EU) climate and energy law brought about by the 2030 Climate and Energy Policy Framework. The article also explores the prospects for future change of the 2030 Framework towards more radical transformation in light of the European Green Deal and the ongoing COVID‐19 pandemic.</w:t>
      </w:r>
    </w:p>
    <w:p>
      <w:pPr/>
      <w:r>
        <w:rPr>
          <w:b/>
        </w:rPr>
        <w:t>Later source:</w:t>
      </w:r>
      <w:r>
        <w:t xml:space="preserve"> Change of Sporting Nationality in Athletics in the Context of European Union Law — https://openalex.org/W7164874266</w:t>
      </w:r>
    </w:p>
    <w:p>
      <w:pPr/>
      <w:r>
        <w:rPr>
          <w:b/>
        </w:rPr>
        <w:t>Later source:</w:t>
      </w:r>
      <w:r>
        <w:t xml:space="preserve"> Protecting Wildlife in Europe: A Comprehensive Analysis of Legislative Frameworks and Their Shortcomings — https://doi.org/10.1080/13880292.2025.2619363</w:t>
      </w:r>
    </w:p>
    <w:p>
      <w:pPr>
        <w:pStyle w:val="SourceNote"/>
      </w:pPr>
      <w:r>
        <w:rPr>
          <w:b/>
        </w:rPr>
        <w:t>Review status:</w:t>
      </w:r>
      <w:r>
        <w:t xml:space="preserve"> unchecked — possible relationship only</w:t>
      </w:r>
    </w:p>
    <w:p>
      <w:pPr>
        <w:pStyle w:val="Heading2"/>
      </w:pPr>
      <w:r>
        <w:t>498. Claim + two later sources: Society in need of transformation. Citizen-Foresight as a method to co-create urban future</w:t>
      </w:r>
    </w:p>
    <w:p>
      <w:pPr>
        <w:pStyle w:val="SourceNote"/>
      </w:pPr>
      <w:r>
        <w:rPr>
          <w:b/>
        </w:rPr>
        <w:t>Group ID:</w:t>
      </w:r>
      <w:r>
        <w:t xml:space="preserve"> group-16afa9985c4c8db06d5a</w:t>
      </w:r>
    </w:p>
    <w:p>
      <w:pPr>
        <w:pStyle w:val="SourceNote"/>
      </w:pPr>
      <w:r>
        <w:rPr>
          <w:b/>
        </w:rPr>
        <w:t>Original source:</w:t>
      </w:r>
      <w:r>
        <w:t xml:space="preserve"> https://doi.org/10.14746/fped.2016.5.2.21</w:t>
      </w:r>
    </w:p>
    <w:p>
      <w:pPr/>
      <w:r>
        <w:rPr>
          <w:b/>
        </w:rPr>
        <w:t>Original future claim:</w:t>
      </w:r>
      <w:r>
        <w:t xml:space="preserve"> Third, we show how this can work in reality by shortly outlining two Citizen-Foresight cases with elderlies and, fourth, we derive selection-criteria for methods aiming at transforming mental images, maps and behaviour.</w:t>
      </w:r>
    </w:p>
    <w:p>
      <w:pPr/>
      <w:r>
        <w:rPr>
          <w:b/>
        </w:rPr>
        <w:t>Later source:</w:t>
      </w:r>
      <w:r>
        <w:t xml:space="preserve"> Unmasking the spatial-temporal characteristics of knowledge workers’ third-place remote work — https://doi.org/10.1177/27541231261444208</w:t>
      </w:r>
    </w:p>
    <w:p>
      <w:pPr/>
      <w:r>
        <w:rPr>
          <w:b/>
        </w:rPr>
        <w:t>Later source:</w:t>
      </w:r>
      <w:r>
        <w:t xml:space="preserve"> Work as a Third Pathway to New Longevity — https://doi.org/10.12660/gvexec.v25n1.2026.98714</w:t>
      </w:r>
    </w:p>
    <w:p>
      <w:pPr>
        <w:pStyle w:val="SourceNote"/>
      </w:pPr>
      <w:r>
        <w:rPr>
          <w:b/>
        </w:rPr>
        <w:t>Review status:</w:t>
      </w:r>
      <w:r>
        <w:t xml:space="preserve"> unchecked — possible relationship only</w:t>
      </w:r>
    </w:p>
    <w:p>
      <w:pPr>
        <w:pStyle w:val="Heading2"/>
      </w:pPr>
      <w:r>
        <w:t>499. Claim + two later sources: Emerging smart city, transport and energy trends in urban settings: Results of a pan-European foresight exercise with 120 experts</w:t>
      </w:r>
    </w:p>
    <w:p>
      <w:pPr>
        <w:pStyle w:val="SourceNote"/>
      </w:pPr>
      <w:r>
        <w:rPr>
          <w:b/>
        </w:rPr>
        <w:t>Group ID:</w:t>
      </w:r>
      <w:r>
        <w:t xml:space="preserve"> group-a506033db80f35ecd12d</w:t>
      </w:r>
    </w:p>
    <w:p>
      <w:pPr>
        <w:pStyle w:val="SourceNote"/>
      </w:pPr>
      <w:r>
        <w:rPr>
          <w:b/>
        </w:rPr>
        <w:t>Original source:</w:t>
      </w:r>
      <w:r>
        <w:t xml:space="preserve"> https://doi.org/10.1016/j.techfore.2022.121915</w:t>
      </w:r>
    </w:p>
    <w:p>
      <w:pPr/>
      <w:r>
        <w:rPr>
          <w:b/>
        </w:rPr>
        <w:t>Original future claim:</w:t>
      </w:r>
      <w:r>
        <w:t xml:space="preserve"> In this work, we explore how the domains of smart cities, smart transport, and smart energy will evolve until 2030 from a scientific and technological perspective, as a means to inform future policies for urban development in Europe. According to our empirical findings, there will be several speedy and structural changes in the three domains: we were able to identify a set of 18 statements that are highly probable to become reality in the next decade, whereas 17 statements were classified as plausible but not highly probable, and three statements raised controversiality.</w:t>
      </w:r>
    </w:p>
    <w:p>
      <w:pPr/>
      <w:r>
        <w:rPr>
          <w:b/>
        </w:rPr>
        <w:t>Later source:</w:t>
      </w:r>
      <w:r>
        <w:t xml:space="preserve"> Link-based European road transport emissions for CAMS-REG v8.1 and a comparison to city inventories — https://doi.org/10.5194/essd-18-3959-2026</w:t>
      </w:r>
    </w:p>
    <w:p>
      <w:pPr/>
      <w:r>
        <w:rPr>
          <w:b/>
        </w:rPr>
        <w:t>Later source:</w:t>
      </w:r>
      <w:r>
        <w:t xml:space="preserve"> Fostering energy transition and transport fluidity in European port cities — https://doi.org/10.4324/9781003639589-3</w:t>
      </w:r>
    </w:p>
    <w:p>
      <w:pPr>
        <w:pStyle w:val="SourceNote"/>
      </w:pPr>
      <w:r>
        <w:rPr>
          <w:b/>
        </w:rPr>
        <w:t>Review status:</w:t>
      </w:r>
      <w:r>
        <w:t xml:space="preserve"> unchecked — possible relationship only</w:t>
      </w:r>
    </w:p>
    <w:p>
      <w:pPr>
        <w:pStyle w:val="Heading2"/>
      </w:pPr>
      <w:r>
        <w:t>500. Claim + two later sources: European carbon storage resource requirements of climate change mitigation targets</w:t>
      </w:r>
    </w:p>
    <w:p>
      <w:pPr>
        <w:pStyle w:val="SourceNote"/>
      </w:pPr>
      <w:r>
        <w:rPr>
          <w:b/>
        </w:rPr>
        <w:t>Group ID:</w:t>
      </w:r>
      <w:r>
        <w:t xml:space="preserve"> group-12623b112a560febcda8</w:t>
      </w:r>
    </w:p>
    <w:p>
      <w:pPr>
        <w:pStyle w:val="SourceNote"/>
      </w:pPr>
      <w:r>
        <w:rPr>
          <w:b/>
        </w:rPr>
        <w:t>Original source:</w:t>
      </w:r>
      <w:r>
        <w:t xml:space="preserve"> https://doi.org/10.1016/j.ijggc.2021.103568</w:t>
      </w:r>
    </w:p>
    <w:p>
      <w:pPr/>
      <w:r>
        <w:rPr>
          <w:b/>
        </w:rPr>
        <w:t>Original future claim:</w:t>
      </w:r>
      <w:r>
        <w:t xml:space="preserve"> As a part of climate change mitigation plans in Europe, CO2 storage scenarios have been reported for the United Kingdom and the European Union with injection rates reaching 75 – 330 MtCO2 yr-1 by 2050. We further demonstrate the use of the models to define 2050 rate targets within conservative bounds of both growth rate and storage resource needs.</w:t>
      </w:r>
    </w:p>
    <w:p>
      <w:pPr/>
      <w:r>
        <w:rPr>
          <w:b/>
        </w:rPr>
        <w:t>Later source:</w:t>
      </w:r>
      <w:r>
        <w:t xml:space="preserve"> Climate plan for municipality of Utsjoki — https://openalex.org/W7152954980</w:t>
      </w:r>
    </w:p>
    <w:p>
      <w:pPr/>
      <w:r>
        <w:rPr>
          <w:b/>
        </w:rPr>
        <w:t>Later source:</w:t>
      </w:r>
      <w:r>
        <w:t xml:space="preserve"> Can a wealth tax reduce CO2 emissions in Europe? — https://doi.org/10.1016/j.ecolecon.2026.109231</w:t>
      </w:r>
    </w:p>
    <w:p>
      <w:pPr>
        <w:pStyle w:val="SourceNote"/>
      </w:pPr>
      <w:r>
        <w:rPr>
          <w:b/>
        </w:rPr>
        <w:t>Review status:</w:t>
      </w:r>
      <w:r>
        <w:t xml:space="preserve"> unchecked — possible relationship only</w:t>
      </w:r>
    </w:p>
    <w:p>
      <w:pPr>
        <w:pStyle w:val="Heading2"/>
      </w:pPr>
      <w:r>
        <w:t>501. Claim + two later sources: Transition pathways to sustainability in greater than 2 °C climate futures of Europe</w:t>
      </w:r>
    </w:p>
    <w:p>
      <w:pPr>
        <w:pStyle w:val="SourceNote"/>
      </w:pPr>
      <w:r>
        <w:rPr>
          <w:b/>
        </w:rPr>
        <w:t>Group ID:</w:t>
      </w:r>
      <w:r>
        <w:t xml:space="preserve"> group-a7a96f46c359732d63f3</w:t>
      </w:r>
    </w:p>
    <w:p>
      <w:pPr>
        <w:pStyle w:val="SourceNote"/>
      </w:pPr>
      <w:r>
        <w:rPr>
          <w:b/>
        </w:rPr>
        <w:t>Original source:</w:t>
      </w:r>
      <w:r>
        <w:t xml:space="preserve"> https://doi.org/10.1007/s10113-019-01475-x</w:t>
      </w:r>
    </w:p>
    <w:p>
      <w:pPr/>
      <w:r>
        <w:rPr>
          <w:b/>
        </w:rPr>
        <w:t>Original future claim:</w:t>
      </w:r>
      <w:r>
        <w:t xml:space="preserve"> The pathways support Europe in moving towards a desirable future vision, through top-down and bottom-up actions that lower greenhouse gas emissions, reduce impacts of and vulnerabilities to climate and socioeconomic changes and enhance well-being. Analysis shows that the pathways that are robust to future scenario uncertainty are those that shift Europe towards sustainable lifestyles, support and strengthen good governance for sustainability and promote adaptive resource management for water, agriculture and energy.</w:t>
      </w:r>
    </w:p>
    <w:p>
      <w:pPr/>
      <w:r>
        <w:rPr>
          <w:b/>
        </w:rPr>
        <w:t>Later source:</w:t>
      </w:r>
      <w:r>
        <w:t xml:space="preserve"> Moving forward AKIS research and practice for agroecological transitions in Europe — https://doi.org/10.1080/1389224x.2026.2640918</w:t>
      </w:r>
    </w:p>
    <w:p>
      <w:pPr/>
      <w:r>
        <w:rPr>
          <w:b/>
        </w:rPr>
        <w:t>Later source:</w:t>
      </w:r>
      <w:r>
        <w:t xml:space="preserve"> Competing corporate visions, ambiguous policy proposals: Complexities surrounding the emerging EU hydrogen market — https://doi.org/10.1016/j.enpol.2026.115463</w:t>
      </w:r>
    </w:p>
    <w:p>
      <w:pPr>
        <w:pStyle w:val="SourceNote"/>
      </w:pPr>
      <w:r>
        <w:rPr>
          <w:b/>
        </w:rPr>
        <w:t>Review status:</w:t>
      </w:r>
      <w:r>
        <w:t xml:space="preserve"> unchecked — possible relationship only</w:t>
      </w:r>
    </w:p>
    <w:p>
      <w:pPr>
        <w:pStyle w:val="Heading2"/>
      </w:pPr>
      <w:r>
        <w:t>502. Claim + two later sources: European packaging industry foresight study—identifying global drivers and driven packaging industry implications of the global megatrends</w:t>
      </w:r>
    </w:p>
    <w:p>
      <w:pPr>
        <w:pStyle w:val="SourceNote"/>
      </w:pPr>
      <w:r>
        <w:rPr>
          <w:b/>
        </w:rPr>
        <w:t>Group ID:</w:t>
      </w:r>
      <w:r>
        <w:t xml:space="preserve"> group-4808549bd27b0644ffb4</w:t>
      </w:r>
    </w:p>
    <w:p>
      <w:pPr>
        <w:pStyle w:val="SourceNote"/>
      </w:pPr>
      <w:r>
        <w:rPr>
          <w:b/>
        </w:rPr>
        <w:t>Original source:</w:t>
      </w:r>
      <w:r>
        <w:t xml:space="preserve"> https://doi.org/10.1007/s40309-014-0039-4</w:t>
      </w:r>
    </w:p>
    <w:p>
      <w:pPr/>
      <w:r>
        <w:rPr>
          <w:b/>
        </w:rPr>
        <w:t>Original future claim:</w:t>
      </w:r>
      <w:r>
        <w:t xml:space="preserve"> The potential packaging implications of those trends and drivers are then evaluated to highlight potential future demands, opportunities and threats for packaging. The purpose of the research is to provide a common multi-client platform as a base for further applied foresight work in the packaging sector.</w:t>
      </w:r>
    </w:p>
    <w:p>
      <w:pPr/>
      <w:r>
        <w:rPr>
          <w:b/>
        </w:rPr>
        <w:t>Later source:</w:t>
      </w:r>
      <w:r>
        <w:t xml:space="preserve"> Environmental consequences of replacing polyethylene packaging in the United States and Europe — https://doi.org/10.1016/j.resenv.2026.100390</w:t>
      </w:r>
    </w:p>
    <w:p>
      <w:pPr/>
      <w:r>
        <w:rPr>
          <w:b/>
        </w:rPr>
        <w:t>Later source:</w:t>
      </w:r>
      <w:r>
        <w:t xml:space="preserve"> Assessing Ochratoxin A Contamination in Pre-Packaged Grated Cheese: Implications for Food Safety — https://doi.org/10.3390/foods14091504</w:t>
      </w:r>
    </w:p>
    <w:p>
      <w:pPr>
        <w:pStyle w:val="SourceNote"/>
      </w:pPr>
      <w:r>
        <w:rPr>
          <w:b/>
        </w:rPr>
        <w:t>Review status:</w:t>
      </w:r>
      <w:r>
        <w:t xml:space="preserve"> unchecked — possible relationship only</w:t>
      </w:r>
    </w:p>
    <w:p>
      <w:pPr>
        <w:pStyle w:val="Heading2"/>
      </w:pPr>
      <w:r>
        <w:t>503. Claim + two later sources: Trends and forecast of obesity in Finland</w:t>
      </w:r>
    </w:p>
    <w:p>
      <w:pPr>
        <w:pStyle w:val="SourceNote"/>
      </w:pPr>
      <w:r>
        <w:rPr>
          <w:b/>
        </w:rPr>
        <w:t>Group ID:</w:t>
      </w:r>
      <w:r>
        <w:t xml:space="preserve"> group-0fa1c2f942650e1a3f98</w:t>
      </w:r>
    </w:p>
    <w:p>
      <w:pPr>
        <w:pStyle w:val="SourceNote"/>
      </w:pPr>
      <w:r>
        <w:rPr>
          <w:b/>
        </w:rPr>
        <w:t>Original source:</w:t>
      </w:r>
      <w:r>
        <w:t xml:space="preserve"> https://doi.org/10.1093/eurpub/cky214.146</w:t>
      </w:r>
    </w:p>
    <w:p>
      <w:pPr/>
      <w:r>
        <w:rPr>
          <w:b/>
        </w:rPr>
        <w:t>Original future claim:</w:t>
      </w:r>
      <w:r>
        <w:t xml:space="preserve"> The increase in the prevalence of obesity is projected to continue: every third adult is expected to be obese in 2028.</w:t>
      </w:r>
    </w:p>
    <w:p>
      <w:pPr/>
      <w:r>
        <w:rPr>
          <w:b/>
        </w:rPr>
        <w:t>Later source:</w:t>
      </w:r>
      <w:r>
        <w:t xml:space="preserve"> Estimating the hospitalisation burden of obesity in Europe: evidence from the European health interview survey (EHIS) wave 3 — https://doi.org/10.1186/s12889-026-26705-w</w:t>
      </w:r>
    </w:p>
    <w:p>
      <w:pPr/>
      <w:r>
        <w:rPr>
          <w:b/>
        </w:rPr>
        <w:t>Later source:</w:t>
      </w:r>
      <w:r>
        <w:t xml:space="preserve"> Global prevalence of obesity in the older adults: A meta-analysis — https://doi.org/10.1016/j.puhip.2025.100585</w:t>
      </w:r>
    </w:p>
    <w:p>
      <w:pPr>
        <w:pStyle w:val="SourceNote"/>
      </w:pPr>
      <w:r>
        <w:rPr>
          <w:b/>
        </w:rPr>
        <w:t>Review status:</w:t>
      </w:r>
      <w:r>
        <w:t xml:space="preserve"> unchecked — possible relationship only</w:t>
      </w:r>
    </w:p>
    <w:p>
      <w:pPr>
        <w:pStyle w:val="Heading2"/>
      </w:pPr>
      <w:r>
        <w:t>504. Claim + two later sources: The role of gases in the European energy transition</w:t>
      </w:r>
    </w:p>
    <w:p>
      <w:pPr>
        <w:pStyle w:val="SourceNote"/>
      </w:pPr>
      <w:r>
        <w:rPr>
          <w:b/>
        </w:rPr>
        <w:t>Group ID:</w:t>
      </w:r>
      <w:r>
        <w:t xml:space="preserve"> group-b9b39a121b46575e3fa0</w:t>
      </w:r>
    </w:p>
    <w:p>
      <w:pPr>
        <w:pStyle w:val="SourceNote"/>
      </w:pPr>
      <w:r>
        <w:rPr>
          <w:b/>
        </w:rPr>
        <w:t>Original source:</w:t>
      </w:r>
      <w:r>
        <w:t xml:space="preserve"> https://doi.org/10.32609/j.ruje.6.55105</w:t>
      </w:r>
    </w:p>
    <w:p>
      <w:pPr/>
      <w:r>
        <w:rPr>
          <w:b/>
        </w:rPr>
        <w:t>Original future claim:</w:t>
      </w:r>
      <w:r>
        <w:t xml:space="preserve"> Net zero targets for 2050 mean that in order to retain the gas market and the extensive network infrastructure which has been developed, zero carbon gases will need to be developed, and natural gas (methane) will need to be decarbonized. Maximum availability of biomethane and hydrogen from power to gas is estimated at 100–150 billion cubic meters by 2050 (or around 25–30% of gas demand in the late 2010s.</w:t>
      </w:r>
    </w:p>
    <w:p>
      <w:pPr/>
      <w:r>
        <w:rPr>
          <w:b/>
        </w:rPr>
        <w:t>Later source:</w:t>
      </w:r>
      <w:r>
        <w:t xml:space="preserve"> Global Pathways to Net Zero — https://doi.org/10.4018/979-8-3373-5238-1.ch014</w:t>
      </w:r>
    </w:p>
    <w:p>
      <w:pPr/>
      <w:r>
        <w:rPr>
          <w:b/>
        </w:rPr>
        <w:t>Later source:</w:t>
      </w:r>
      <w:r>
        <w:t xml:space="preserve"> Net Zero Emissions and Positive Energy Districts: A Potential Solution to Achieve the European Climate Targets — https://doi.org/10.1109/tia.2026.3661957</w:t>
      </w:r>
    </w:p>
    <w:p>
      <w:pPr>
        <w:pStyle w:val="SourceNote"/>
      </w:pPr>
      <w:r>
        <w:rPr>
          <w:b/>
        </w:rPr>
        <w:t>Review status:</w:t>
      </w:r>
      <w:r>
        <w:t xml:space="preserve"> unchecked — possible relationship only</w:t>
      </w:r>
    </w:p>
    <w:p>
      <w:pPr>
        <w:pStyle w:val="Heading2"/>
      </w:pPr>
      <w:r>
        <w:t>505. Individual research leads — not grouped</w:t>
      </w:r>
    </w:p>
    <w:p>
      <w:pPr/>
      <w:r>
        <w:t>These are single claim–paper research leads, not claim + paper A + paper B proposals. A paper in a rejected group may still be useful in a different combination.</w:t>
      </w:r>
    </w:p>
    <w:p>
      <w:pPr>
        <w:pStyle w:val="Heading2"/>
      </w:pPr>
      <w:r>
        <w:t>506. (Re)politicization of climate change mitigating projects: environmental forms and motives of the Seine Nord Europe canal</w:t>
      </w:r>
    </w:p>
    <w:p>
      <w:pPr>
        <w:pStyle w:val="SourceNote"/>
      </w:pPr>
      <w:r>
        <w:rPr>
          <w:b/>
        </w:rPr>
        <w:t>Original source (2022):</w:t>
      </w:r>
      <w:r>
        <w:t xml:space="preserve"> https://doi.org/10.1186/s40309-022-00195-6</w:t>
      </w:r>
    </w:p>
    <w:p>
      <w:pPr/>
      <w:r>
        <w:t>Original wording (abstract; indexed_source_text_not_full_document_verified): Based on the concepts of environmental forms and motives, we reconstructed the environmental ontologies ignored by the dominant discourse and assembled them into three alternative scenarios. Using the example of the Seine Nord Europe Canal project, we show a politicization of the territorial future and a depoliticization of the environmental future.</w:t>
      </w:r>
    </w:p>
    <w:p>
      <w:pPr/>
      <w:r>
        <w:rPr>
          <w:b/>
        </w:rPr>
        <w:t>POSSIBLE 2026:</w:t>
      </w:r>
      <w:r>
        <w:t xml:space="preserve"> Economic Agents and Economic Motives — https://doi.org/10.4324/9781003381099</w:t>
      </w:r>
    </w:p>
    <w:p>
      <w:pPr/>
      <w:r>
        <w:rPr>
          <w:b/>
        </w:rPr>
        <w:t>Shared claim-specific concepts:</w:t>
      </w:r>
      <w:r>
        <w:t xml:space="preserve"> concepts, forms, motives, alternative; EU scope not established. This is a provisional connection, not an outcome finding.</w:t>
      </w:r>
    </w:p>
    <w:p>
      <w:pPr>
        <w:pStyle w:val="SourceNote"/>
      </w:pPr>
      <w:r>
        <w:rPr>
          <w:b/>
        </w:rPr>
        <w:t>Available abstract (not full text):</w:t>
      </w:r>
      <w:r>
        <w:t xml:space="preserve"> Economics has long been shaped by the figure of the self-interested individual. Yet many forms of economic action cannot be adequately understood through the lens of self-interest alone. This book reconstructs Amartya Sen’s understanding of economic agents and economic motives, showing how concepts such as commitment, self-sacrifice, agency, responsibility, and capabilities contribute to an alternative view of economic behavior grounded in social relationships. Drawing on the history of economic thought, economic methodology, and social economics, the book situates Sen’s reflections within a broader intellectual tradition that includes Aristotle, Adam Smith, and the civil economy tradition. It argues that Sen developed an implicit but coherent conception of economic agents as socially embedded individuals whose decisions are shaped not only by personal advantage but also by ethical commitments, concern for others, and participation in collective life. The book further explores the strengths and limitations of this perspective through a dialogue with contemporary interpretations of Sen’s work and examines its relevance for understanding hybrid organizations, particularly social enterprises. By connecting Sen’s ideas to questions of reciprocity, cooperation, and social responsibility, it offers a novel framework for analysing economic action beyond the conventional model of homo </w:t>
      </w:r>
    </w:p>
    <w:p>
      <w:pPr/>
      <w:r>
        <w:rPr>
          <w:b/>
        </w:rPr>
        <w:t>POSSIBLE 2026:</w:t>
      </w:r>
      <w:r>
        <w:t xml:space="preserve"> Environmental risks and ecological integrity: the new european rules on nature restoration — https://doi.org/10.5194/egusphere-egu26-17987</w:t>
      </w:r>
    </w:p>
    <w:p>
      <w:pPr/>
      <w:r>
        <w:rPr>
          <w:b/>
        </w:rPr>
        <w:t>Shared claim-specific concepts:</w:t>
      </w:r>
      <w:r>
        <w:t xml:space="preserve"> based, environmental, them; EU scope visible. This is a provisional connection, not an outcome finding.</w:t>
      </w:r>
    </w:p>
    <w:p>
      <w:pPr>
        <w:pStyle w:val="SourceNote"/>
      </w:pPr>
      <w:r>
        <w:rPr>
          <w:b/>
        </w:rPr>
        <w:t>Available abstract (not full text):</w:t>
      </w:r>
      <w:r>
        <w:t xml:space="preserve"> In May 1998, the area of the Sarno district in Campania was hit by an exceptional rainfall event, which caused rivers of mud, 161 deaths and numerous injuries.The tragedy was caused by various factors: the morphology of this territory, rainfall, reduced vegetation cover and the lack of an efficient network of stormwater drainage channels. The vegetation cover of the ground is essential on these slopes, because trees play a decisive role in the stability of the slopes. In those areas, in previous years, large fires had reduced the forest area and therefore stability. Furthermore, the lack of a valid warning system and risk communication contributed to the collective tragedy.The event marked a regulatory turning point in Italy, leading to the approval of the so-called "Sarno Decree," which introduced the requirement for municipalities to map areas at hydrogeological risk.The response of the law, in an attempt to stem these catastrophic events, was immediate. However, in relation to vegetation protection, in 2024 must be cited the approval of the Nature Restoration Law, an expression of the new path taken by European environmental law. Its prerequisites appear to be based on urgency, immediacy, and the need to pursue environmental objectives within a certain timeframe and monitor them over time, thus ensuring the survival of living beings in an intact environment.Indeed, it seems </w:t>
      </w:r>
    </w:p>
    <w:p>
      <w:pPr/>
      <w:r>
        <w:rPr>
          <w:b/>
        </w:rPr>
        <w:t>POSSIBLE 2026:</w:t>
      </w:r>
      <w:r>
        <w:t xml:space="preserve"> War and the Good Life: Reconstructing Conflict through Plato and Hegel — https://doi.org/10.11575/prism/52029</w:t>
      </w:r>
    </w:p>
    <w:p>
      <w:pPr/>
      <w:r>
        <w:rPr>
          <w:b/>
        </w:rPr>
        <w:t>Shared claim-specific concepts:</w:t>
      </w:r>
      <w:r>
        <w:t xml:space="preserve"> concepts, them, three; EU scope not established. This is a provisional connection, not an outcome finding.</w:t>
      </w:r>
    </w:p>
    <w:p>
      <w:pPr>
        <w:pStyle w:val="SourceNote"/>
      </w:pPr>
      <w:r>
        <w:rPr>
          <w:b/>
        </w:rPr>
        <w:t>Available abstract (not full text):</w:t>
      </w:r>
      <w:r>
        <w:t xml:space="preserve"> In this thesis, I examine the broad question of war’s place in the good life. To answer this question, I first analyze the existing literature on war, including scholarship in International Relations (IR) and conflict studies, psychological studies and personal memoirs, the strategic classics of Sun Tzu, Thucydides, and Carl von Clausewitz, and existing philosophical works on war. I argue that each of these traditions implicitly raises the question of war’s relationship to the good life but ultimately fall short of developing a systematic account of their intrinsic relationship. I therefore turn to the political philosophies of Plato and Hegel, both of whom theorize the concepts of war, the individual, the state, and the good life, as well as the systematic relationship among them. This thesis makes three principal contributions. First, in contrast to the conflict studies tradition, it offers a new ethical framework for conceptualizing war beyond the state. Second, it demonstrates the importance of individual ethics within the broader field of international affairs. By emphasizing virtue and freedom, it provides a philosophical foundation for rejecting the rational reduction of human lives to cost-benefit calculations. Third, it rehabilitates the political philosophies of Plato and Hegel by demonstrating their continued relevance for understanding the ethical and political chal</w:t>
      </w:r>
    </w:p>
    <w:p>
      <w:pPr/>
      <w:r>
        <w:rPr>
          <w:b/>
        </w:rPr>
        <w:t>POSSIBLE 2025:</w:t>
      </w:r>
      <w:r>
        <w:t xml:space="preserve"> The History of Environmental Resource Management in Europe: Sustainable Practices Through Time — https://openalex.org/W7222858373</w:t>
      </w:r>
    </w:p>
    <w:p>
      <w:pPr/>
      <w:r>
        <w:rPr>
          <w:b/>
        </w:rPr>
        <w:t>Shared claim-specific concepts:</w:t>
      </w:r>
      <w:r>
        <w:t xml:space="preserve"> based, concepts, environmental; EU scope visible. This is a provisional connection, not an outcome finding.</w:t>
      </w:r>
    </w:p>
    <w:p>
      <w:pPr>
        <w:pStyle w:val="SourceNote"/>
      </w:pPr>
      <w:r>
        <w:rPr>
          <w:b/>
        </w:rPr>
        <w:t>Available abstract (not full text):</w:t>
      </w:r>
      <w:r>
        <w:t xml:space="preserve"> Bringing together a broad range of case studies from across Europe, this book explores practices implemented to promote the sustainable use of environmental resources from the 16th century until the turn of the 21st century. How and with what results environmental resources were managed in the past is one of the main topics of debate in rural and environmental history and archaeology. This book explores the dialogue between these fields, drawing upon new studies and comparisons between ‘grammars’, concepts, and research practices from both fields to promote an interdisciplinary approach to the study of the environment. The book provides a comprehensive overview and comparison of the different practices of environmental resources management in Europe from the early modern period to contemporaneity, shedding light on a range of sustainability issues including land management, water supply, farming systems, and forestry. The interdisciplinary contributions in this volume provide original insight based on an analysis of written and material sources examining a range of different regions, including northern Italy, Slovenia, northern Spain, southern Spain, south-western France, and northern Romania. This book will be of interest to students and scholars of history and archaeology, as well as to those in research fields related to anthropology, sociology, environmental and agricultura</w:t>
      </w:r>
    </w:p>
    <w:p>
      <w:pPr/>
      <w:r>
        <w:rPr>
          <w:b/>
        </w:rPr>
        <w:t>POSSIBLE 2025:</w:t>
      </w:r>
      <w:r>
        <w:t xml:space="preserve"> Environmental education on the European Green Deal. Implications and promotion of the concept through different channels in Romania — https://doi.org/10.33727/jriss.2025.1.20:193-203</w:t>
      </w:r>
    </w:p>
    <w:p>
      <w:pPr/>
      <w:r>
        <w:rPr>
          <w:b/>
        </w:rPr>
        <w:t>Shared claim-specific concepts:</w:t>
      </w:r>
      <w:r>
        <w:t xml:space="preserve"> based, environmental, show; EU scope visible. This is a provisional connection, not an outcome finding.</w:t>
      </w:r>
    </w:p>
    <w:p>
      <w:pPr>
        <w:pStyle w:val="SourceNote"/>
      </w:pPr>
      <w:r>
        <w:rPr>
          <w:b/>
        </w:rPr>
        <w:t>Available abstract (not full text):</w:t>
      </w:r>
      <w:r>
        <w:t xml:space="preserve"> There is a visible urgent need to move from a linear economy to a circular economy in order to meet the requirements of the European Green Deal agenda. Recently, Romania implemented the DSR, getting in line with other countries that have had this system for many years. Therefore, the implementation of the Green Deal should also be focused on the promotion of the concept, how the information arrives at the citizens, how people are educated in schools and high schools regarding sustainability, etc. Focusing on the topic, this article aims to investigate the level of environmental education held by Romanians regarding the European Green Deal. This study was exploratory market survey research based on a questionnaire, focusing only on Romanian citizens who are living in Romania. Therefore, a quantitative research design was used on a sample of 111 Romanians and the results show that the respondents are satisfied with the DSR in Romania. In addition, it was found a strong positive correlation between the respondents’ environmental education gained through different channels or methods from the private and public sectors and their behavior regarding sustainability. In the end, it was found that there was a statistically significant difference between the people who already knew what the Green Deal meant and the people who didn’t when it came to their sustainability behavior. So, in c</w:t>
      </w:r>
    </w:p>
    <w:p>
      <w:pPr/>
      <w:r>
        <w:rPr>
          <w:b/>
        </w:rPr>
        <w:t>POSSIBLE 2025:</w:t>
      </w:r>
      <w:r>
        <w:t xml:space="preserve"> Place-based leadership and environmental conflicts in the European Union — https://doi.org/10.1080/00343404.2025.2486644</w:t>
      </w:r>
    </w:p>
    <w:p>
      <w:pPr/>
      <w:r>
        <w:rPr>
          <w:b/>
        </w:rPr>
        <w:t>Shared claim-specific concepts:</w:t>
      </w:r>
      <w:r>
        <w:t xml:space="preserve"> environmental, them, three; EU scope visible. This is a provisional connection, not an outcome finding.</w:t>
      </w:r>
    </w:p>
    <w:p>
      <w:pPr>
        <w:pStyle w:val="SourceNote"/>
      </w:pPr>
      <w:r>
        <w:rPr>
          <w:b/>
        </w:rPr>
        <w:t>Available abstract (not full text):</w:t>
      </w:r>
      <w:r>
        <w:t xml:space="preserve"> This paper investigates the relationship between place-based leadership and environmental conflicts. Focusing on France, we examine the development and distribution of environmental conflicts, and compare them with what happens in the European Union. We then select three case studies to analyse the behaviour of different actors or groups involved, examining actions and initiatives that can ignite or help defuse environmental conflicts across local communities. Findings unveil the key role of local scientists in environmental conflicts, and the emergence of non-assigned leaders who utilise interpretive power to influence decision-making processes related to large infrastructural projects approved at local and national levels.</w:t>
      </w:r>
    </w:p>
    <w:p>
      <w:pPr/>
      <w:r>
        <w:rPr>
          <w:b/>
        </w:rPr>
        <w:t>POSSIBLE 2025:</w:t>
      </w:r>
      <w:r>
        <w:t xml:space="preserve"> Extreme environmental events – a proposed classification (based on the example of Central Europe) — https://doi.org/10.14746/quageo-2025-0033</w:t>
      </w:r>
    </w:p>
    <w:p>
      <w:pPr/>
      <w:r>
        <w:rPr>
          <w:b/>
        </w:rPr>
        <w:t>Shared claim-specific concepts:</w:t>
      </w:r>
      <w:r>
        <w:t xml:space="preserve"> based, environmental, example, project; EU scope visible. This is a provisional connection, not an outcome finding.</w:t>
      </w:r>
    </w:p>
    <w:p>
      <w:pPr>
        <w:pStyle w:val="SourceNote"/>
      </w:pPr>
      <w:r>
        <w:rPr>
          <w:b/>
        </w:rPr>
        <w:t>Available abstract (not full text):</w:t>
      </w:r>
      <w:r>
        <w:t xml:space="preserve"> This paper presents a classification concept for extreme environmental events, particularly emphasising meteorological, hydrological and geomorphological phenomena. The scheme was originally developed during the Polish national research project Extreme Meteorological and Hydrological Events in Poland – Assessment and Forecasting of Their Impacts on the Human Environment (2004–2009). Over the past decade and a half, it has been verified against observed extreme events and the international literature. Although devised primarily for Poland, the typology applies to the wider Central-European region. Events are grouped according to their genetic origin. Capital letters denote the five principal categories identifying the immediate physical cause: M – meteorological, H – hydrological, G – geomorphological, O – oceanographical and X – other (including complex or poorly defined) environmental events. Within each category, types and subtypes are distinguished. The framework also allows the combination of two or more categories or types and can be further expanded or modified in the future.</w:t>
      </w:r>
    </w:p>
    <w:p>
      <w:pPr/>
      <w:r>
        <w:rPr>
          <w:b/>
        </w:rPr>
        <w:t>POSSIBLE 2025:</w:t>
      </w:r>
      <w:r>
        <w:t xml:space="preserve"> Ecological activity of European SMEs: resources, green capabilities and environmental support — https://doi.org/10.29119/1641-3466.2025.234.20</w:t>
      </w:r>
    </w:p>
    <w:p>
      <w:pPr/>
      <w:r>
        <w:rPr>
          <w:b/>
        </w:rPr>
        <w:t>Shared claim-specific concepts:</w:t>
      </w:r>
      <w:r>
        <w:t xml:space="preserve"> concepts, environmental, three; EU scope visible. This is a provisional connection, not an outcome finding.</w:t>
      </w:r>
    </w:p>
    <w:p>
      <w:pPr>
        <w:pStyle w:val="SourceNote"/>
      </w:pPr>
      <w:r>
        <w:rPr>
          <w:b/>
        </w:rPr>
        <w:t>Available abstract (not full text):</w:t>
      </w:r>
      <w:r>
        <w:t xml:space="preserve"> Purpose: Despite the existence of many valuable scientific studies on the sustainable initiatives of modern enterprises, there is a lack of empirical analyses that could offer specific insights into the predictors of such activities, especially in the context of consolidating various theoretical concepts. Therefore, this study aimed to answer the question: What factors contribute to European SMEs offering an increasingly wider range of green products or services, and how can these companies simultaneously develop internal resources, green capabilities and leverage external support to successfully undertake such activities? Design/methodology/approach: The analysis is quantitative and covers 573 SMEs operating in all 27 EU countries. The data source is the Flash Eurobarometer FL549 survey entitled ‘SMEs, resource efficiency and green markets’, conducted by Ipsos European Public Affairs in 2024 on behalf of the European Commission. Findings: The study’s results indicate that environmental support for SMEs is relatively insignificant compared to the role of their internal resources and green capabilities, which, according to statistical modeling, significantly strengthen these companies’ potential to offer green products or services. Originality/value: The paper’s critical scientific contribution lies in the conceptual consideration of three complementary theoretical perspectives:</w:t>
      </w:r>
    </w:p>
    <w:p>
      <w:pPr/>
      <w:r>
        <w:rPr>
          <w:b/>
        </w:rPr>
        <w:t>POSSIBLE 2025:</w:t>
      </w:r>
      <w:r>
        <w:t xml:space="preserve"> Agricultural sustainability in the European Union: a review of concepts, policies and economic perspectives — https://doi.org/10.3389/fagro.2025.1714297</w:t>
      </w:r>
    </w:p>
    <w:p>
      <w:pPr/>
      <w:r>
        <w:rPr>
          <w:b/>
        </w:rPr>
        <w:t>Shared claim-specific concepts:</w:t>
      </w:r>
      <w:r>
        <w:t xml:space="preserve"> based, concepts, environmental, show; EU scope visible. This is a provisional connection, not an outcome finding.</w:t>
      </w:r>
    </w:p>
    <w:p>
      <w:pPr>
        <w:pStyle w:val="SourceNote"/>
      </w:pPr>
      <w:r>
        <w:rPr>
          <w:b/>
        </w:rPr>
        <w:t>Available abstract (not full text):</w:t>
      </w:r>
      <w:r>
        <w:t xml:space="preserve"> Introduction Sustainability in European Union (EU) agriculture has become a priority in both academic research and public policy, reflecting its central role in shaping resilient and balanced development models. The European agricultural landscape is characterized by significant agronomic diversity, including cereals, oilseeds, protein crops, industrial crops, vegetables, fruits, and fodder crops that support the livestock sector. These are integrated into multiple production systems: conservation agriculture, organic farming, integrated crop management, permanent pastures, and agroforestry, each contributing differently to environmental protection, economic efficiency, and social equity. Land use structures reveal a mosaic of arable land, permanent pastures, permanent crops, and mixed systems, reflecting the climatic and socio-economic diversity of Europe. In this context, the study examines how the economic, social, and environmental dimensions of sustainability are conceptualized and integrated into EU agricultural strategies. Methods The study uses a multi-level methodological approach, integrating conceptual, legislative, empirical, and bibliometric analyses. First, key concepts of agricultural sustainability were examined through a systematic review of academic literature and EU policy documents. Second, a legislative analysis assessed the regulatory framework shaping sus</w:t>
      </w:r>
    </w:p>
    <w:p>
      <w:pPr/>
      <w:r>
        <w:rPr>
          <w:b/>
        </w:rPr>
        <w:t>POSSIBLE 2025:</w:t>
      </w:r>
      <w:r>
        <w:t xml:space="preserve"> BioINSouth: Enhancing Regional Policies and Environmental Sustainability for Bio-based Sectors to Boost Innovation and Inclusivity in Southern Europe — https://doi.org/10.5281/zenodo.17772487</w:t>
      </w:r>
    </w:p>
    <w:p>
      <w:pPr/>
      <w:r>
        <w:rPr>
          <w:b/>
        </w:rPr>
        <w:t>Shared claim-specific concepts:</w:t>
      </w:r>
      <w:r>
        <w:t xml:space="preserve"> based, environmental, them, project; EU scope visible. This is a provisional connection, not an outcome finding.</w:t>
      </w:r>
    </w:p>
    <w:p>
      <w:pPr>
        <w:pStyle w:val="SourceNote"/>
      </w:pPr>
      <w:r>
        <w:rPr>
          <w:b/>
        </w:rPr>
        <w:t>Available abstract (not full text):</w:t>
      </w:r>
      <w:r>
        <w:t xml:space="preserve"> BioINSouth project aims to support regional policymakers in integrating ecological limits into bioeconomy strategies and roadmaps for circular bio-based activities. By developing guidelines and digital tools within the safe and sustainable by design (SSbD) assessment framework, the project fosters innovative methodologies for assessing environmental impacts across various industrial bio-based systems. Targeting Southern Mediterranean European regions, particularly those lagging behind such as Cyprus, Slovenia, Greece, and Portugal, BioINSouth will also involve broader participation from Spain, France, Italy, and international cooperation with Türkiye. Leveraging the BIOEAST initiative that focuses on central Europe, BioINSouth will establish QH-based regional Multi-Actor Regional Groups (MARGs) to lead co-creation activities in the establishment of eight bioeconomy-oriented regional HUBs in Campania (Italy), Peloponnese (Greece), Andalusia and Asturias (Spain), Centro (Portugal), Slovenia, Nouvelle-Aquitaine (France), and Cyprus. These HUBs will promote the exchange of best practices, and foster innovative methodologies for assessing environmental impacts and circularity in bio-based sectors. BioINSouth aims to enhance regional competitiveness, innovation capacity, and contribute to the EU's fair and green transition. A key component of BioINSouth is the analysis of regional st</w:t>
      </w:r>
    </w:p>
    <w:p>
      <w:pPr/>
      <w:r>
        <w:rPr>
          <w:b/>
        </w:rPr>
        <w:t>POSSIBLE 2025:</w:t>
      </w:r>
      <w:r>
        <w:t xml:space="preserve"> Defining habitat scenarios to integrate non-target arthropod relevance into landscape-based environmental risk assessment: A proof of concept — https://doi.org/10.1016/j.ecolind.2025.114548</w:t>
      </w:r>
    </w:p>
    <w:p>
      <w:pPr/>
      <w:r>
        <w:rPr>
          <w:b/>
        </w:rPr>
        <w:t>Shared claim-specific concepts:</w:t>
      </w:r>
      <w:r>
        <w:t xml:space="preserve"> based, environmental, them; EU scope visible. This is a provisional connection, not an outcome finding.</w:t>
      </w:r>
    </w:p>
    <w:p>
      <w:pPr>
        <w:pStyle w:val="SourceNote"/>
      </w:pPr>
      <w:r>
        <w:rPr>
          <w:b/>
        </w:rPr>
        <w:t>Available abstract (not full text):</w:t>
      </w:r>
      <w:r>
        <w:t xml:space="preserve"> Environmental risk assessment of plant protection products increasingly requires methods that incorporate the complexity of agricultural landscapes and the roles of non-target arthropods in ecosystem service provision. However, existing approaches often lack spatial specificity and fail to support the development of targeted and ecologically meaningful protection goals. This study presents a proof-of-concept method designed to assess the relevance of non-target arthropods families across agricultural habitat scenarios, serving as a step toward more spatially explicit and biodiversity-sensitive environmental risk assessment frameworks. Using high-resolution landscape data from seven European countries, we randomly generated 29,500 agricultural landscapes across nine major crops and grouped them into four habitat scenarios categories based on crop diversity and the proportion of natural habitat. We used a bibliographic dataset covering 30 representative non-target arthropods families as a proxy to estimate family-level relevance scores for each habitat scenario, based on the proportion of land use types and literature-derived occurrence data. The results from this first application are exploratory and serve to evaluate the method's operational structure and scalability. They are not intended as definitive ecological patterns but rather illustrate how the proposed habitat scenario</w:t>
      </w:r>
    </w:p>
    <w:p>
      <w:pPr/>
      <w:r>
        <w:rPr>
          <w:b/>
        </w:rPr>
        <w:t>POSSIBLE 2025:</w:t>
      </w:r>
      <w:r>
        <w:t xml:space="preserve"> UNCOVERING INTENT: REASSESSING THE ROLE OF MOTIVE IN THE PUNISHMENT OF PREMEDITATED MURDER IN INDONESIA — https://doi.org/10.56107/penalaw.v3i1.223</w:t>
      </w:r>
    </w:p>
    <w:p>
      <w:pPr/>
      <w:r>
        <w:rPr>
          <w:b/>
        </w:rPr>
        <w:t>Shared claim-specific concepts:</w:t>
      </w:r>
      <w:r>
        <w:t xml:space="preserve"> based, motives, three; EU scope visible. This is a provisional connection, not an outcome finding.</w:t>
      </w:r>
    </w:p>
    <w:p>
      <w:pPr>
        <w:pStyle w:val="SourceNote"/>
      </w:pPr>
      <w:r>
        <w:rPr>
          <w:b/>
        </w:rPr>
        <w:t>Available abstract (not full text):</w:t>
      </w:r>
      <w:r>
        <w:t xml:space="preserve"> The sentencing of premeditated murder cases in Indonesia has so far emphasized the elements of planning and the consequences of the act, but has paid little attention to the perpetrator's motive as a reflection of the degree of culpability. In many progressive legal systems, however, motive is considered important in assessing the extent to which criminal intent (mens rea) contributes to the quality of a criminal act. This study aims to reassess the role of motive in the sentencing of premeditated murder under Article 340 of the Criminal Code, and to propose an evaluative model that can be used to enhance substantive justice in Indonesia's criminal justice practice. Using a legal-normative method and a qualitative approach to twenty court decisions selected purposively (period 2018–2024), it was found that in 70% of cases, motive was not considered as a legal factor in the court’s decision. Motives were merely mentioned in the chronology without legal weight. However, in criminal law practice in Germany and the Netherlands, motives serve as the basis for classifying murder and determining criminal sanctions. This study developed a conceptual model that categorizes motives into three categories: rational-emotional, manipulative-opportunistic, and pathological, each with its own evaluative implications for sentencing. This study recommends that motives be integrated into national</w:t>
      </w:r>
    </w:p>
    <w:p>
      <w:pPr>
        <w:pStyle w:val="Heading2"/>
      </w:pPr>
      <w:r>
        <w:t>507. A new approach on renewable energy as a support for regional economic development among the European Union</w:t>
      </w:r>
    </w:p>
    <w:p>
      <w:pPr>
        <w:pStyle w:val="SourceNote"/>
      </w:pPr>
      <w:r>
        <w:rPr>
          <w:b/>
        </w:rPr>
        <w:t>Original source (2022):</w:t>
      </w:r>
      <w:r>
        <w:t xml:space="preserve"> https://doi.org/10.1016/j.techfore.2022.121998</w:t>
      </w:r>
    </w:p>
    <w:p>
      <w:pPr/>
      <w:r>
        <w:t>Original wording (abstract; indexed_source_text_not_full_document_verified): The modelling results will enable the creation of an EU-wide sustainability profile useful to supranational decision-makers for adjusting energy policies to ensure the energy transition towards 2050. The methods and procedures used will be represented by a critical literature review in order to verify the working hypotheses and to design, test and validate a new statistical model of energy sustainability seasonality.</w:t>
      </w:r>
    </w:p>
    <w:p>
      <w:pPr/>
      <w:r>
        <w:rPr>
          <w:b/>
        </w:rPr>
        <w:t>POSSIBLE 2026:</w:t>
      </w:r>
      <w:r>
        <w:t xml:space="preserve"> Architecting IT governance: A value-alignment model for IT-enabled public innovation — https://doi.org/10.59490/6a91ad516096c5874dfb3702</w:t>
      </w:r>
    </w:p>
    <w:p>
      <w:pPr/>
      <w:r>
        <w:rPr>
          <w:b/>
        </w:rPr>
        <w:t>Shared claim-specific concepts:</w:t>
      </w:r>
      <w:r>
        <w:t xml:space="preserve"> creation, sustainability, literature, review; EU scope visible. This is a provisional connection, not an outcome finding.</w:t>
      </w:r>
    </w:p>
    <w:p>
      <w:pPr>
        <w:pStyle w:val="SourceNote"/>
      </w:pPr>
      <w:r>
        <w:rPr>
          <w:b/>
        </w:rPr>
        <w:t>Available abstract (not full text):</w:t>
      </w:r>
      <w:r>
        <w:t xml:space="preserve"> While digital transformation is a primary catalyst for change in the public sector, achieving positive outcomes requires continuous governance innovation and strategic alignment between public managers and their authorizing environments. However, current models of IT-enabled value creation generally fail to account for the deeply political mandates, inter-organizational coordination challenges, and legitimacy requirements inherent to digital government, and do not sufficiently theorize the strategic proactivity of managers navigating complex authorizing environments. To address this theoretical gap, this paper proposes a novel value-alignment model for IT-enabled public innovation, drawing upon Moore’s public value framework and integrating Venkatraman’s strategic orientation construct. The model is developed through an abductive theory-building design combining a literature review, exploratory interviews with e-government professionals, and secondary survey data on digital readiness across public sector organizations. The resulting framework posits three core relationships: public value alignment drives operational capacity, political legitimacy ensures resource sustainability, and strategic proactivity directly generates public value creation. By providing a robust theoretical architecture grounded in rigorous construct development, this paper contributes a new conceptual len</w:t>
      </w:r>
    </w:p>
    <w:p>
      <w:pPr/>
      <w:r>
        <w:rPr>
          <w:b/>
        </w:rPr>
        <w:t>POSSIBLE 2026:</w:t>
      </w:r>
      <w:r>
        <w:t xml:space="preserve"> Environmental performance and institutions quality in Europe: A Bayesian model averaging approach — https://doi.org/10.1016/j.najef.2026.102591</w:t>
      </w:r>
    </w:p>
    <w:p>
      <w:pPr/>
      <w:r>
        <w:rPr>
          <w:b/>
        </w:rPr>
        <w:t>Shared claim-specific concepts:</w:t>
      </w:r>
      <w:r>
        <w:t xml:space="preserve"> creation, energy, used; EU scope visible. This is a provisional connection, not an outcome finding.</w:t>
      </w:r>
    </w:p>
    <w:p>
      <w:pPr>
        <w:pStyle w:val="SourceNote"/>
      </w:pPr>
      <w:r>
        <w:rPr>
          <w:b/>
        </w:rPr>
        <w:t>Available abstract (not full text):</w:t>
      </w:r>
      <w:r>
        <w:t xml:space="preserve"> In this paper, we examine the relationship between institutional quality and environmental performance using a Bayesian Model Averaging framework. This approach allows us to define model weights as posterior probabilities, which are consistent across a large number of specified models. Consequently, the methodology enables us to explore the impact of various cofactors that also contribute to the environmental performance of EU countries. Our findings indicate that different aspects of democracy, access to information, the creation and dissemination of knowledge, renewable energy consumption, health expenditures, and financial stability are among the most significant explanatory variables for environmental protection performance in European Union countries. Additionally, we identify at least three groups of countries within the European Union when the most relevant environmental protection variables are used to characterize member countries' profiles. Our results appear robust to the selection of different prior distributions for regression coefficients.</w:t>
      </w:r>
    </w:p>
    <w:p>
      <w:pPr/>
      <w:r>
        <w:rPr>
          <w:b/>
        </w:rPr>
        <w:t>POSSIBLE 2026:</w:t>
      </w:r>
      <w:r>
        <w:t xml:space="preserve"> The Human Agency Deficit in AI ‐Enabled Knowledge Creation — https://doi.org/10.1002/kpm.70165</w:t>
      </w:r>
    </w:p>
    <w:p>
      <w:pPr/>
      <w:r>
        <w:rPr>
          <w:b/>
        </w:rPr>
        <w:t>Shared claim-specific concepts:</w:t>
      </w:r>
      <w:r>
        <w:t xml:space="preserve"> creation, literature, review; EU scope not established. This is a provisional connection, not an outcome finding.</w:t>
      </w:r>
    </w:p>
    <w:p>
      <w:pPr>
        <w:pStyle w:val="SourceNote"/>
      </w:pPr>
      <w:r>
        <w:rPr>
          <w:b/>
        </w:rPr>
        <w:t>Available abstract (not full text):</w:t>
      </w:r>
      <w:r>
        <w:t xml:space="preserve"> ABSTRACT Generative artificial intelligence (AI) now performs many explicit tasks in organizational knowledge creation, such as drafting, summarizing, and combining documents. This paper asks what this change means for the human agency on which knowledge creation depends. The paper starts from the position that AI does not possess tacit knowledge. Its concern is that AI can automate explicit tasks through which people have traditionally developed tacit knowing. The study uses a conceptual theory‐building design supported by a structured literature review. A Scopus search returned 192 records, and two inclusion criteria were applied. Together with three contributions found through citation tracking, a final set of 15 models of organizational knowledge creation with a defined role for AI was analyzed. The review shows that, despite assigning AI different functional roles, these models continue to depend on human actors for embodied tacit knowing. However, they rarely examine how AI use may change the way people form tacit knowing over time. Building on this gap and on empirical studies of automation and learning, the paper introduces the Human Agency Deficit. It is defined as the gap between the human agency an organization needs to evaluate, own, and extend its knowledge and the human agency that its AI‐supported work practices actually develop and use. The deficit is treated as</w:t>
      </w:r>
    </w:p>
    <w:p>
      <w:pPr/>
      <w:r>
        <w:rPr>
          <w:b/>
        </w:rPr>
        <w:t>POSSIBLE 2026:</w:t>
      </w:r>
      <w:r>
        <w:t xml:space="preserve"> The fiscal sustainability forecasting model in the member states of the European Union — https://doi.org/10.3846/tede.2026.27917</w:t>
      </w:r>
    </w:p>
    <w:p>
      <w:pPr/>
      <w:r>
        <w:rPr>
          <w:b/>
        </w:rPr>
        <w:t>Shared claim-specific concepts:</w:t>
      </w:r>
      <w:r>
        <w:t xml:space="preserve"> sustainability, profile, literature; EU scope visible. This is a provisional connection, not an outcome finding.</w:t>
      </w:r>
    </w:p>
    <w:p>
      <w:pPr>
        <w:pStyle w:val="SourceNote"/>
      </w:pPr>
      <w:r>
        <w:rPr>
          <w:b/>
        </w:rPr>
        <w:t>Available abstract (not full text):</w:t>
      </w:r>
      <w:r>
        <w:t xml:space="preserve"> This paper develops an integrated methodological framework for classifying and forecasting fiscal sustainability among the 27 Member States of the European Union, starting from a fundamental economic question: how can EU Member States’ fiscal sustainability be reliably assessed and predicted in a context marked by repeated macroeconomic shocks and institutional heterogeneity? An integrated model for forecasting fiscal sustainability in the European Union is proposed, built upon a well-defined economic hypothesis: fiscal sustainability can be captured by a composite index derived from statistically validated fiscal and macroeconomic indicators. Our approach addresses a major gap in the economic literature, where forecasting models often fail to integrate institutional constraints and policy relevance. By combining advanced statistical techniques and macroeconomic scenario simulation – a Composite Fiscal Sustainability Index (CFSI) is constructed and its predictive performance evaluated under three alternative economic scenarios. The model achieves an overall accuracy of 85.19%, demonstrating strong discriminatory power and the ability to provide early warning signals of fiscal profile transitions. Positioned at the intersection of research on fiscal rules, public debt dynamics, and fiscal stress indicators, this study contributes both a methodological innovation – through an int</w:t>
      </w:r>
    </w:p>
    <w:p>
      <w:pPr/>
      <w:r>
        <w:rPr>
          <w:b/>
        </w:rPr>
        <w:t>POSSIBLE 2026:</w:t>
      </w:r>
      <w:r>
        <w:t xml:space="preserve"> Maturity Model for Cognitive Twin-Enabled Sustainable Supply Chains — https://doi.org/10.3390/su18073635</w:t>
      </w:r>
    </w:p>
    <w:p>
      <w:pPr/>
      <w:r>
        <w:rPr>
          <w:b/>
        </w:rPr>
        <w:t>Shared claim-specific concepts:</w:t>
      </w:r>
      <w:r>
        <w:t xml:space="preserve"> sustainability, literature, review; EU scope not established. This is a provisional connection, not an outcome finding.</w:t>
      </w:r>
    </w:p>
    <w:p>
      <w:pPr>
        <w:pStyle w:val="SourceNote"/>
      </w:pPr>
      <w:r>
        <w:rPr>
          <w:b/>
        </w:rPr>
        <w:t>Available abstract (not full text):</w:t>
      </w:r>
      <w:r>
        <w:t xml:space="preserve"> The growing digitalization of supply chains and increasing sustainability requirements create the need for structured tools that assess organizational readiness for Cognitive Twin (CT) adoption. However, existing digital twin and sustainability maturity models rarely integrate technological architecture, governance, and circularity within a unified framework. To address this gap, the study proposes the Supply Chain Twin Sustainability–Cognitive Maturity Model (SCT-SCMM), a novel framework that explicitly integrates governance structures, sustainability objectives, and a hierarchical system architecture into the assessment of Cognitive Twin readiness. Unlike existing models, the proposed framework captures the interdependencies between technological capabilities, decision intelligence, and governance mechanisms across multiple system layers, providing a systemic perspective on sustainable digital transformation. The framework structures organizational readiness through five interdependent layers: Physical, Control, Communication, Decision-making, and Governance, and defines staged maturity levels reflecting progression toward sustainable cognitive autonomy. This layered architecture enables the simultaneous evaluation of operational automation, digital intelligence, and institutional governance as co-evolving dimensions of Cognitive Twin adoption. The model was developed through</w:t>
      </w:r>
    </w:p>
    <w:p>
      <w:pPr/>
      <w:r>
        <w:rPr>
          <w:b/>
        </w:rPr>
        <w:t>POSSIBLE 2026:</w:t>
      </w:r>
      <w:r>
        <w:t xml:space="preserve"> Measuring Governance-Enabled Sustainability in Central and Eastern Europe: Development of a Corporate Governance–Sustainability Index (CGSI–CEE) — https://doi.org/10.3390/su18073350</w:t>
      </w:r>
    </w:p>
    <w:p>
      <w:pPr/>
      <w:r>
        <w:rPr>
          <w:b/>
        </w:rPr>
        <w:t>Shared claim-specific concepts:</w:t>
      </w:r>
      <w:r>
        <w:t xml:space="preserve"> enable, creation, sustainability; EU scope visible. This is a provisional connection, not an outcome finding.</w:t>
      </w:r>
    </w:p>
    <w:p>
      <w:pPr>
        <w:pStyle w:val="SourceNote"/>
      </w:pPr>
      <w:r>
        <w:rPr>
          <w:b/>
        </w:rPr>
        <w:t>Available abstract (not full text):</w:t>
      </w:r>
      <w:r>
        <w:t xml:space="preserve"> Corporate governance is increasingly recognised as a key mechanism supporting sustainability transparency, accountability, and long-term value creation. While prior research has examined governance–performance relationships and sustainability outcomes using proprietary ESG ratings, evidence on how governance structures enable sustainability disclosure remains limited, particularly in Central and Eastern Europe (CEE). This gap reflects heterogeneous institutional environments and uneven ESG data availability in emerging European markets. To address this limitation, this study develops and applies a Corporate Governance–Sustainability Index for Central and Eastern Europe (CGSI–CEE). The index integrates core governance mechanisms (such as board effectiveness, leadership structure and ownership discipline) with sustainability transparency indicators, namely ESG report publication and CO2 emissions disclosure. The CGSI–CEE is constructed using publicly available firm-level data from CEE blue-chip companies over the 2018–2024 period and follows a transparent, theory-driven weighting scheme. The results reveal substantial heterogeneity in governance-enabled sustainability capacity across firms, sectors, and countries. Bivariate results indicate a negative association with short-term accounting profitability and a positive association with market valuation; however, these relationship</w:t>
      </w:r>
    </w:p>
    <w:p>
      <w:pPr/>
      <w:r>
        <w:rPr>
          <w:b/>
        </w:rPr>
        <w:t>POSSIBLE 2026:</w:t>
      </w:r>
      <w:r>
        <w:t xml:space="preserve"> Sustainable cultural digitization enabled by eco efficient deep learning models — https://doi.org/10.1038/s41598-026-66861-y</w:t>
      </w:r>
    </w:p>
    <w:p>
      <w:pPr/>
      <w:r>
        <w:rPr>
          <w:b/>
        </w:rPr>
        <w:t>Shared claim-specific concepts:</w:t>
      </w:r>
      <w:r>
        <w:t xml:space="preserve"> energy, methods, used; EU scope not established. This is a provisional connection, not an outcome finding.</w:t>
      </w:r>
    </w:p>
    <w:p>
      <w:pPr>
        <w:pStyle w:val="SourceNote"/>
      </w:pPr>
      <w:r>
        <w:rPr>
          <w:b/>
        </w:rPr>
        <w:t>Available abstract (not full text):</w:t>
      </w:r>
      <w:r>
        <w:t xml:space="preserve"> This study presents an Eco-Efficient Deep Learning (EEDL) framework for cultural digitization that integrates visual data and contextual cultural metadata within a lightweight multimodal architecture. The framework is designed to balance classification performance and computational efficiency in resource-constrained cultural heritage environments. A multimodal dataset comprising 3,000 cultural heritage records was used to evaluate the proposed approach across six artifact classes. Experimental results demonstrated that the EEDL framework achieved the highest classification performance among all evaluated models, obtaining an accuracy of 0.918 and an F1-score of 0.912 while reducing parameter count, computational complexity, inference latency, and energy consumption relative to the uncompressed baseline. Comparative experiments with MobileNetV3, EfficientNet-Lite, MobileViT, TinyViT, and reproduced state-of-the-art methods confirmed the effectiveness of the proposed framework. Ablation and multimodal fusion analyses further demonstrated that contextual metadata contributes substantially to classification performance and reduces ambiguity among visually similar artifact categories. Statistical validation across repeated runs confirmed the robustness and reproducibility of the reported results. The findings suggest that combining multimodal metadata integration with eco-efficient </w:t>
      </w:r>
    </w:p>
    <w:p>
      <w:pPr/>
      <w:r>
        <w:rPr>
          <w:b/>
        </w:rPr>
        <w:t>POSSIBLE 2026:</w:t>
      </w:r>
      <w:r>
        <w:t xml:space="preserve"> Sustained Effectiveness of Lanadelumab in Preventing Hereditary Angioedema Attacks: The ENABLE Study — https://doi.org/10.1002/clt2.70190</w:t>
      </w:r>
    </w:p>
    <w:p>
      <w:pPr/>
      <w:r>
        <w:rPr>
          <w:b/>
        </w:rPr>
        <w:t>Shared claim-specific concepts:</w:t>
      </w:r>
      <w:r>
        <w:t xml:space="preserve"> enable, profile, methods; EU scope visible. This is a provisional connection, not an outcome finding.</w:t>
      </w:r>
    </w:p>
    <w:p>
      <w:pPr>
        <w:pStyle w:val="SourceNote"/>
      </w:pPr>
      <w:r>
        <w:rPr>
          <w:b/>
        </w:rPr>
        <w:t>Available abstract (not full text):</w:t>
      </w:r>
      <w:r>
        <w:t xml:space="preserve"> BACKGROUND: Lanadelumab has been approved for hereditary angioedema (HAE) long-term prophylaxis since 2018. The Phase 4, prospective ENABLE Study (NCT04130191) evaluated the long-term effectiveness and safety of lanadelumab in clinical practice across Europe and the Middle East. METHODS: Patients with HAE aged ≥ 12 years initiating lanadelumab treatment (300 mg every 2 weeks) per approved product labeling were recruited from Austria, Germany, Israel, Italy, Kuwait, Spain, and Switzerland and followed for up to 36 months (± 30 days). The primary objective was to evaluate lanadelumab effectiveness for HAE attack prevention. Safety and patient-reported health-related quality of life (HRQoL) were also evaluated. RESULTS: Outcomes were analyzed in 138 patients (mean [range] age: 41.0 [14-79] years; 62.3% female; 92.0% HAE-C1INH-Type1), of whom &gt; 60% extended dosing intervals by Month 12. Over a mean ± SD treatment duration of 28.6 ± 9.8 months, mean ± SD patient-reported HAE attack rate decreased from 3.88 ± 3.43 attacks/month pre-lanadelumab to 0.30 ± 0.53 attacks/month (mean decrease, 84% [median 96%]). The incidence-rate ratio was 0.07 (95% CI: 0.06-0.10), reflecting a 93% reduction from modeled pre-lanadelumab rates. Overall, 95/138 patients reported treatment-emergent adverse events (TEAEs); most were unrelated to lanadelumab (82.3%). Of the 17.7% of TEAEs considered treatment-</w:t>
      </w:r>
    </w:p>
    <w:p>
      <w:pPr/>
      <w:r>
        <w:rPr>
          <w:b/>
        </w:rPr>
        <w:t>POSSIBLE 2026:</w:t>
      </w:r>
      <w:r>
        <w:t xml:space="preserve"> Urban sustainability through multiple pathways: insights from the European Green Leaf Award winning cities — https://doi.org/10.1007/s43762-026-00282-5</w:t>
      </w:r>
    </w:p>
    <w:p>
      <w:pPr/>
      <w:r>
        <w:rPr>
          <w:b/>
        </w:rPr>
        <w:t>Shared claim-specific concepts:</w:t>
      </w:r>
      <w:r>
        <w:t xml:space="preserve"> enable, sustainability, transition, represented; EU scope visible. This is a provisional connection, not an outcome finding.</w:t>
      </w:r>
    </w:p>
    <w:p>
      <w:pPr>
        <w:pStyle w:val="SourceNote"/>
      </w:pPr>
      <w:r>
        <w:rPr>
          <w:b/>
        </w:rPr>
        <w:t>Available abstract (not full text):</w:t>
      </w:r>
      <w:r>
        <w:t xml:space="preserve"> Abstract Urban sustainability has become a central challenge for cities, requiring rigorous frameworks to measure environmental performance and support evidence-based policy. Indicator-based benchmarking systems enable comparison and learning. At the European Union level, and specifically at the municipal level, these are most commonly represented by the European Green Leaf Award (EGLA) and the European Green Capital Award (EGCA), which play an increasing role in shaping urban sustainability agendas. The paper examines environmental characteristics of the 18 EGLA-winning cities between 2015 and 2026 and is guided by two research questions: (1) What patterns of environmental characteristics can be identified among EGLA-winning cities? (2) Do these cities converge toward a common environmental model, or do they exhibit multiple sustainability pathways? The study addresses these questions by using a multivariate, data-driven approach: environmental indicators across key domains are examined through Multiple Factor Analysis (MFA) and k-means clustering to identify patterns of similarity. The results indicate substantial differences in sustainability performance and heterogeneity: EGLA-winning cities do not converge toward a single model but exhibit distinct environmental profiles reflecting different policy priorities and local conditions. The results may provide information for mu</w:t>
      </w:r>
    </w:p>
    <w:p>
      <w:pPr/>
      <w:r>
        <w:rPr>
          <w:b/>
        </w:rPr>
        <w:t>POSSIBLE 2025:</w:t>
      </w:r>
      <w:r>
        <w:t xml:space="preserve"> The European Social Model in the age of AI — https://doi.org/10.60054/peu.2025.12.290-300</w:t>
      </w:r>
    </w:p>
    <w:p>
      <w:pPr/>
      <w:r>
        <w:rPr>
          <w:b/>
        </w:rPr>
        <w:t>Shared claim-specific concepts:</w:t>
      </w:r>
      <w:r>
        <w:t xml:space="preserve"> enable, creation, sustainability, policies; EU scope visible. This is a provisional connection, not an outcome finding.</w:t>
      </w:r>
    </w:p>
    <w:p>
      <w:pPr>
        <w:pStyle w:val="SourceNote"/>
      </w:pPr>
      <w:r>
        <w:rPr>
          <w:b/>
        </w:rPr>
        <w:t>Available abstract (not full text):</w:t>
      </w:r>
      <w:r>
        <w:t xml:space="preserve"> The European social model (ESM) has been a pillar of the European Union, balancing economic growth with social justice. Yet, the emergence of digitalization and artificial intelligence (AI) is fundamentally transforming labour markets, welfare policies and social protection. This paper explores the impact of AI on the ESM, with particular attention to job creation and displacement, digital skill gaps, and changing welfare architecture. The methodology is based on a qualitative policy analysis and labour market data from the Eurostat and European Commission sources. The study analyses the ways in which AI-led changes will influence job losses, skills mismatches and the sustainability of the systems of social security. The results emphasize the importance of proactive regulation, investments in digital literacy, and regulatory measures to enable AI to drive inclusive economic growth rather than increasing inequality. The recommendations include lifelong learning, adapting welfare systems to new forms of work and responsible governance of AI.</w:t>
      </w:r>
    </w:p>
    <w:p>
      <w:pPr/>
      <w:r>
        <w:rPr>
          <w:b/>
        </w:rPr>
        <w:t>POSSIBLE 2025:</w:t>
      </w:r>
      <w:r>
        <w:t xml:space="preserve"> Scaling sustainable start-ups: barriers and enablers in talent attraction in Europe — https://openalex.org/W7171609687</w:t>
      </w:r>
    </w:p>
    <w:p>
      <w:pPr/>
      <w:r>
        <w:rPr>
          <w:b/>
        </w:rPr>
        <w:t>Shared claim-specific concepts:</w:t>
      </w:r>
      <w:r>
        <w:t xml:space="preserve"> enable, policies, literature, review; EU scope visible. This is a provisional connection, not an outcome finding.</w:t>
      </w:r>
    </w:p>
    <w:p>
      <w:pPr>
        <w:pStyle w:val="SourceNote"/>
      </w:pPr>
      <w:r>
        <w:rPr>
          <w:b/>
        </w:rPr>
        <w:t>Available abstract (not full text):</w:t>
      </w:r>
      <w:r>
        <w:t xml:space="preserve"> This thesis examines barriers and enablers of scaling sustainable start-ups in Europe across regulation, financing, and talent. Building on a structured literature review and 15 semi-structured interviews with founders, venture capitalists, and sustainable industry experts, it shows how regulation in form of administrative burdens and policy volatility slow market adoption, while well-designed policies can create demand niches. Findings also reveal a persistent funding gap and the need for blended finance mechanisms. Finally, purpose attracts talent, but retention depends on mission execution and clear people structures. It derivesactionable implications for founders to enable resilient growth during the scaling phase.</w:t>
      </w:r>
    </w:p>
    <w:p>
      <w:pPr/>
      <w:r>
        <w:rPr>
          <w:b/>
        </w:rPr>
        <w:t>POSSIBLE 2025:</w:t>
      </w:r>
      <w:r>
        <w:t xml:space="preserve"> Scaling sustainable start-ups: barriers and enablers in financing in Europe — https://openalex.org/W7162970613</w:t>
      </w:r>
    </w:p>
    <w:p>
      <w:pPr/>
      <w:r>
        <w:rPr>
          <w:b/>
        </w:rPr>
        <w:t>Shared claim-specific concepts:</w:t>
      </w:r>
      <w:r>
        <w:t xml:space="preserve"> enable, policies, literature, review; EU scope visible. This is a provisional connection, not an outcome finding.</w:t>
      </w:r>
    </w:p>
    <w:p>
      <w:pPr>
        <w:pStyle w:val="SourceNote"/>
      </w:pPr>
      <w:r>
        <w:rPr>
          <w:b/>
        </w:rPr>
        <w:t>Available abstract (not full text):</w:t>
      </w:r>
      <w:r>
        <w:t xml:space="preserve"> This thesis examines barriers and enablers of scaling sustainable start-ups in Europe across regulation, financing, and talent. Building on a structured literature review and 15 semi structured interviews with founders, venture capitalists, and sustainable industry experts, it shows how regulation in form of administrative burdens and policy volatility slow market adoption, while well-designed policies can create demand niches. Findings also reveal a persistent funding gap and the need for blended finance mechanisms. Finally, purpose attracts talent, but retention depends on mission execution and clear people structures. It derives actionable implications for founders to enable resilient growth during the scaling phase.</w:t>
      </w:r>
    </w:p>
    <w:p>
      <w:pPr>
        <w:pStyle w:val="Heading2"/>
      </w:pPr>
      <w:r>
        <w:t>508. Achieving agricultural greenhouse gas emission reductions in the EU post‐2030: What options do we have?</w:t>
      </w:r>
    </w:p>
    <w:p>
      <w:pPr>
        <w:pStyle w:val="SourceNote"/>
      </w:pPr>
      <w:r>
        <w:rPr>
          <w:b/>
        </w:rPr>
        <w:t>Original source (2022):</w:t>
      </w:r>
      <w:r>
        <w:t xml:space="preserve"> https://doi.org/10.1111/reel.12448</w:t>
      </w:r>
    </w:p>
    <w:p>
      <w:pPr/>
      <w:r>
        <w:t>Original wording (abstract; indexed_source_text_not_full_document_verified): By 2030, the European Union (EU) must have regulatory instruments in place that not only reduce greenhouse gas emissions from agriculture, but that also increase carbon sequestration, increase resilience of agricultural production, improve biodiversity in rural areas and contribute to providing nutritious and healthy food to a growing world population.</w:t>
      </w:r>
    </w:p>
    <w:p>
      <w:pPr/>
      <w:r>
        <w:rPr>
          <w:b/>
        </w:rPr>
        <w:t>POSSIBLE 2026:</w:t>
      </w:r>
      <w:r>
        <w:t xml:space="preserve"> Sustainable pharmaceutical packaging under the European Union regulatory framework — https://doi.org/10.1007/s43621-026-04534-6</w:t>
      </w:r>
    </w:p>
    <w:p>
      <w:pPr/>
      <w:r>
        <w:rPr>
          <w:b/>
        </w:rPr>
        <w:t>Shared claim-specific concepts:</w:t>
      </w:r>
      <w:r>
        <w:t xml:space="preserve"> union, must, regulatory, not, only, reduce; EU scope visible. This is a provisional connection, not an outcome finding.</w:t>
      </w:r>
    </w:p>
    <w:p>
      <w:pPr>
        <w:pStyle w:val="SourceNote"/>
      </w:pPr>
      <w:r>
        <w:rPr>
          <w:b/>
        </w:rPr>
        <w:t>Available abstract (not full text):</w:t>
      </w:r>
      <w:r>
        <w:t xml:space="preserve"> Pharmaceutical packaging must protect medicinal product quality and patient safety while responding to increasing pressure to reduce material use, greenhouse-gas emissions, and packaging waste. This structured integrative review examines how the European Union Packaging and Packaging Waste Regulation, life-cycle evidence, material innovation and digital information systems affect pharmaceutical packaging decisions. Peer-reviewed studies, official legislation, standards and regulatory guidance were critically synthesised, while company data were used only when independently verifiable evidence was unavailable and were explicitly labelled as industry evidence. Published life-cycle assessments show that environmental rankings depend strongly on the functional unit, system boundary, dosage format, secondary packaging, energy mix and end-of-life assumptions; therefore, broad claims that a single material consistently delivers fixed carbon reductions are not scientifically transferable. High-density polyethylene, polypropylene, paper-based structures, polylactic acid and cyclic olefin polymers offer specific opportunities, but each presents trade-offs involving barrier variability, pharmaceutical-grade purity, extractables and leachables, sterilisation, forming performance, recycling infrastructure and regulatory requalification. The PPWR introduces important circularity requirements</w:t>
      </w:r>
    </w:p>
    <w:p>
      <w:pPr/>
      <w:r>
        <w:rPr>
          <w:b/>
        </w:rPr>
        <w:t>POSSIBLE 2026:</w:t>
      </w:r>
      <w:r>
        <w:t xml:space="preserve"> The Regulatory Framework for Crypto-Assets in the European Union — https://doi.org/10.18616/rdhs.v9i2.10712</w:t>
      </w:r>
    </w:p>
    <w:p>
      <w:pPr/>
      <w:r>
        <w:rPr>
          <w:b/>
        </w:rPr>
        <w:t>Shared claim-specific concepts:</w:t>
      </w:r>
      <w:r>
        <w:t xml:space="preserve"> union, regulatory, instruments, resilience; EU scope visible. This is a provisional connection, not an outcome finding.</w:t>
      </w:r>
    </w:p>
    <w:p>
      <w:pPr>
        <w:pStyle w:val="SourceNote"/>
      </w:pPr>
      <w:r>
        <w:rPr>
          <w:b/>
        </w:rPr>
        <w:t>Available abstract (not full text):</w:t>
      </w:r>
      <w:r>
        <w:t xml:space="preserve"> This article offers a comprehensive analysis of the legal regulation of crypto-assets in the European Union (EU). It examines the principal EU legislative instruments in this field, including Regulation (EU) 2023/1114 on Markets in Crypto-Assets (MiCA); Regulation (EU) 2023/1113 on information accompanying transfers of funds and certain crypto-assets (the Transfer of Funds Regulation, or TFR), which introduces the EU Travel Rule; Regulation (EU) 2024/1624 on the prevention of the use of the financial system for the purposes of money laundering or terrorist financing (AMLR); Regulation (EU) 2024/1620 establishing the European Authority for Anti-Money Laundering and Countering the Financing of Terrorism (AMLA); Regulation (EU) 2022/2554 on the digital operational resilience of the financial sector (DORA); and Regulation (EU) 2022/858 on a pilot regime for market infrastructures based on distributed ledger technology (the DLT Pilot Regime). The article concludes that the European Union’s legal framework for crypto-assets represents a systematic, comprehensive, and balanced approach to regulation.</w:t>
      </w:r>
    </w:p>
    <w:p>
      <w:pPr/>
      <w:r>
        <w:rPr>
          <w:b/>
        </w:rPr>
        <w:t>POSSIBLE 2026:</w:t>
      </w:r>
      <w:r>
        <w:t xml:space="preserve"> Perspective Chapter: AI Regulatory Landscape in the European Union — https://doi.org/10.5772/intechopen.1014965</w:t>
      </w:r>
    </w:p>
    <w:p>
      <w:pPr/>
      <w:r>
        <w:rPr>
          <w:b/>
        </w:rPr>
        <w:t>Shared claim-specific concepts:</w:t>
      </w:r>
      <w:r>
        <w:t xml:space="preserve"> union, regulatory, but, also, resilience, areas; EU scope visible. This is a provisional connection, not an outcome finding.</w:t>
      </w:r>
    </w:p>
    <w:p>
      <w:pPr>
        <w:pStyle w:val="SourceNote"/>
      </w:pPr>
      <w:r>
        <w:rPr>
          <w:b/>
        </w:rPr>
        <w:t>Available abstract (not full text):</w:t>
      </w:r>
      <w:r>
        <w:t xml:space="preserve"> This book chapter analyses the evolving regulatory landscape for artificial intelligence (AI) in the European Union (EU), focusing on the AI Act as the world’s first comprehensive horizontal, risk-based framework for AI governance. It examines how the Act translates the principles of proportionality, accountability and transparency into a differentiated regulatory architecture, ranging from prohibited practices to extensive obligations for high-risk AI systems, while allocating responsibilities across providers, deployers and other actors in increasingly complex AI value chains. The chapter situates the AI Act within the EU’s broader, multi-layered digital regulatory ecosystem, particularly its interaction with the General Data Protection Regulation (GDPR), the Digital Operational Resilience Act (DORA), sector-specific regulation and product-liability rules. It identifies areas of regulatory complementarity, but also tensions concerning risk management, data governance, automated decision-making, third-party dependencies, operational continuity and responsibility allocation. Particular attention is devoted to the withdrawal of the proposed AI Liability Directive, which was intended to address evidentiary and causation difficulties faced by victims of AI-related harm. The chapter argues that its withdrawal leaves a significant gap between the AI Act’s ex ante compliance framewor</w:t>
      </w:r>
    </w:p>
    <w:p>
      <w:pPr/>
      <w:r>
        <w:rPr>
          <w:b/>
        </w:rPr>
        <w:t>POSSIBLE 2026:</w:t>
      </w:r>
      <w:r>
        <w:t xml:space="preserve"> European Union: In Varietate Concordia - United in Diversity. Differentiated Integration as the Key to the Future of the European Union? — https://doi.org/10.30958/ajpia.2-1-2</w:t>
      </w:r>
    </w:p>
    <w:p>
      <w:pPr/>
      <w:r>
        <w:rPr>
          <w:b/>
        </w:rPr>
        <w:t>Shared claim-specific concepts:</w:t>
      </w:r>
      <w:r>
        <w:t xml:space="preserve"> union, must, place, not, but, agricultural; EU scope visible. This is a provisional connection, not an outcome finding.</w:t>
      </w:r>
    </w:p>
    <w:p>
      <w:pPr>
        <w:pStyle w:val="SourceNote"/>
      </w:pPr>
      <w:r>
        <w:rPr>
          <w:b/>
        </w:rPr>
        <w:t>Available abstract (not full text):</w:t>
      </w:r>
      <w:r>
        <w:t xml:space="preserve"> The project of European integration was born on the post-war ruins of Europe, where two world wars broke out in the course of thirty years. The idea of unifying European states arose from the practical consideration that societies that cooperate in the economic sphere, which even link some sectors, will not go to war with each other. It was clear that the memories of the war were too fresh, so political unification was not on the agenda. Robert Schuman, the French foreign minister, coming from the historically disputed region of Alsace-Lorraine, which the French and Germans repeatedly argued over, therefore knew the nature of mutual disputes. So he came up with the idea of an economic level of integration, which seems logical because it is effective. And it was needed precisely in the time of post-war reconstruction. Above all, however, the technical and economic interconnection of states that had been at war with each other for centuries should have made any consideration of war impracticable. (Schuman, 1950). That is why today's European Union began with integration in the energy and metallurgy sector (ECSC). Its success then had a spill-over effect on other areas (Haas, 1958). The Member States of the European Union are independent sovereign actors under international law. There is no single economic base characteristic of all the states of the Union. Even in the six foundin</w:t>
      </w:r>
    </w:p>
    <w:p>
      <w:pPr/>
      <w:r>
        <w:rPr>
          <w:b/>
        </w:rPr>
        <w:t>POSSIBLE 2026:</w:t>
      </w:r>
      <w:r>
        <w:t xml:space="preserve"> European Union — https://openalex.org/W7204068056</w:t>
      </w:r>
    </w:p>
    <w:p>
      <w:pPr/>
      <w:r>
        <w:rPr>
          <w:b/>
        </w:rPr>
        <w:t>Shared claim-specific concepts:</w:t>
      </w:r>
      <w:r>
        <w:t xml:space="preserve"> union, regulatory, not, also; EU scope visible. This is a provisional connection, not an outcome finding.</w:t>
      </w:r>
    </w:p>
    <w:p>
      <w:pPr>
        <w:pStyle w:val="SourceNote"/>
      </w:pPr>
      <w:r>
        <w:rPr>
          <w:b/>
        </w:rPr>
        <w:t>Available abstract (not full text):</w:t>
      </w:r>
      <w:r>
        <w:t xml:space="preserve"> The post–Cold War beliefs that once sustained the European project have unraveled. Economic integration no longer guarantees political harmony. Also, soft power by itself does not secure a continent. In an era of hard-edged rivalry, the European Union faces a stark paradox: it is a global regulatory superpower, yet increasingly strained by internal fragmentation. How can the EU endure when its founding certainties fade? European Union: Ideas for the Future moves beyond the stale binary of “more or less Europe” to confront the defining dialectic of the mid-2020s: the tension between strategic unity abroad and democratic legitimacy at home. The book presents nine scholarly perspectives spanning governance, democracy, and geopolitics. It explores the EU as a geopolitical actor, its democratic capacity to defend cohesion against illiberal drift, and how science and innovation can be harnessed in a multipolar world with pressing climate and digital challenges. Written for scholars, policymakers, and citizens who refuse to accept the fraying of the European project, this book offers a bold vision of a Europe capable of wielding power without sacrificing legitimacy, combining the protection of a superpower with the intimacy of local democracy.</w:t>
      </w:r>
    </w:p>
    <w:p>
      <w:pPr/>
      <w:r>
        <w:rPr>
          <w:b/>
        </w:rPr>
        <w:t>POSSIBLE 2026:</w:t>
      </w:r>
      <w:r>
        <w:t xml:space="preserve"> Decentralized Energy Systems in the European Union — https://doi.org/10.4324/9781003781127-4</w:t>
      </w:r>
    </w:p>
    <w:p>
      <w:pPr/>
      <w:r>
        <w:rPr>
          <w:b/>
        </w:rPr>
        <w:t>Shared claim-specific concepts:</w:t>
      </w:r>
      <w:r>
        <w:t xml:space="preserve"> union, must, regulatory; EU scope visible. This is a provisional connection, not an outcome finding.</w:t>
      </w:r>
    </w:p>
    <w:p>
      <w:pPr>
        <w:pStyle w:val="SourceNote"/>
      </w:pPr>
      <w:r>
        <w:rPr>
          <w:b/>
        </w:rPr>
        <w:t>Available abstract (not full text):</w:t>
      </w:r>
      <w:r>
        <w:t xml:space="preserve"> This chapter examines the development of decentralized energy systems in the European Union (EU), focusing on electricity markets and the legal, regulatory, and institutional conditions that enable decentralization. It begins by situating EU energy policy within broader concerns relating to energy security, climate change, market liberalization, and geopolitical risk, highlighting the shift from centralized fossil-fuel-based systems toward decentralized, renewable-based models. The chapter explains the emergence of prosumers, energy communities, smart grids, and demand-response mechanisms, and analyzes how these developments challenge traditional roles of transmission and distribution system operators. It then assesses the EU legal framework supporting decentralization, including internal electricity market reforms, consumer rights, and regulatory oversight. Drawing on selected detailed country studies, the chapter evaluates national approaches to decentralization, smart meter deployment, and self-consumption regimes, identifying both progress and persistent barriers. Finally, it explores the role of smart grids, data governance, and cross-border market integration, highlighting the regulatory, technical, and social challenges that must be addressed for decentralized energy systems to function effectively across the EU.</w:t>
      </w:r>
    </w:p>
    <w:p>
      <w:pPr/>
      <w:r>
        <w:rPr>
          <w:b/>
        </w:rPr>
        <w:t>POSSIBLE 2026:</w:t>
      </w:r>
      <w:r>
        <w:t xml:space="preserve"> Algorithmic management in the European Union: regulatory gaps and future pathways — https://openalex.org/W7221413296</w:t>
      </w:r>
    </w:p>
    <w:p>
      <w:pPr/>
      <w:r>
        <w:rPr>
          <w:b/>
        </w:rPr>
        <w:t>Shared claim-specific concepts:</w:t>
      </w:r>
      <w:r>
        <w:t xml:space="preserve"> union, regulatory, instruments; EU scope visible. This is a provisional connection, not an outcome finding.</w:t>
      </w:r>
    </w:p>
    <w:p>
      <w:pPr>
        <w:pStyle w:val="SourceNote"/>
      </w:pPr>
      <w:r>
        <w:rPr>
          <w:b/>
        </w:rPr>
        <w:t>Available abstract (not full text):</w:t>
      </w:r>
      <w:r>
        <w:t xml:space="preserve"> The widespread implementation of algorithmic technologies in the workplace is profoundly changing work organisation and working conditions, posing new regulatory and practical challenges. This contribution evaluates the extent to which the European Union existing law is capable of addressing these challenges and identifies the main regulatory gaps that emerge in the governance of algorithmic management. Chapter 1 lays the conceptual foundations and explores how algorithmic practices transform the exercise of managerial authority and therefore reshape the employment relationship. Chapter 2 critically assesses the principal EU instruments applicable to algorithmic management, focusing on the General Data Protection Regulation (GDPR) and the Artificial Intelligence Act (AIA), exploring both their relevance and their structural deficits. Finally, chapter 3, drawing on the promises contained in the recent Platform Work Directive (PWD), explores possible pathways towards a broader and more effective regulatory framework capable of properly addressing algorithmic management in the workplace.</w:t>
      </w:r>
    </w:p>
    <w:p>
      <w:pPr/>
      <w:r>
        <w:rPr>
          <w:b/>
        </w:rPr>
        <w:t>POSSIBLE 2026:</w:t>
      </w:r>
      <w:r>
        <w:t xml:space="preserve"> Regulatory Models for Artificial Intelligence in Education in European Union Countries — https://doi.org/10.62768/adjuris/2026/7/14</w:t>
      </w:r>
    </w:p>
    <w:p>
      <w:pPr/>
      <w:r>
        <w:rPr>
          <w:b/>
        </w:rPr>
        <w:t>Shared claim-specific concepts:</w:t>
      </w:r>
      <w:r>
        <w:t xml:space="preserve"> union, regulatory, but, also, contribute; EU scope visible. This is a provisional connection, not an outcome finding.</w:t>
      </w:r>
    </w:p>
    <w:p>
      <w:pPr>
        <w:pStyle w:val="SourceNote"/>
      </w:pPr>
      <w:r>
        <w:rPr>
          <w:b/>
        </w:rPr>
        <w:t>Available abstract (not full text):</w:t>
      </w:r>
      <w:r>
        <w:t xml:space="preserve"> In the context in which artificial intelligence (AI) is permeating education services, it becomes necessary to establish regulatory frameworks for the ethical use of AI, limiting negative effects and maximizing benefits of using AI for students and teachers.The purpose of this comparative study is to investigate how the EU countries regulate the use of AI in education.The objectives of the study are: evaluating the normative and methodological framework applicable to the use of AI in education, identifying and analyzing the rights and obligations of students and teachers related to the use of AI, identifying and analyzing elements of convergence and divergence of regulatory frameworks of EU states.The study sample consist of five EU countries (Greece, Estonia, Czech, Denmark and Romania).The research methodology includes a qualitative content analysis of the laws, strategies, methodological guides developed by member states and the European regulatory framework.This is complemented by a comparative evaluation grid.The results highlight different concerns of the member states regarding the regulation of AI in education, but also convergence elements relating to the importance of GDPR.The conclusions contribute to substantiating the regulatory framework in Romania based on good practices taken from the member states.</w:t>
      </w:r>
    </w:p>
    <w:p>
      <w:pPr/>
      <w:r>
        <w:rPr>
          <w:b/>
        </w:rPr>
        <w:t>POSSIBLE 2025:</w:t>
      </w:r>
      <w:r>
        <w:t xml:space="preserve"> Regulatory Landscape of Nutraceuticals in the European Union — https://doi.org/10.1201/9781003465041-9</w:t>
      </w:r>
    </w:p>
    <w:p>
      <w:pPr/>
      <w:r>
        <w:rPr>
          <w:b/>
        </w:rPr>
        <w:t>Shared claim-specific concepts:</w:t>
      </w:r>
      <w:r>
        <w:t xml:space="preserve"> abstract, union, must, regulatory; EU scope visible. This is a provisional connection, not an outcome finding.</w:t>
      </w:r>
    </w:p>
    <w:p>
      <w:pPr>
        <w:pStyle w:val="SourceNote"/>
      </w:pPr>
      <w:r>
        <w:rPr>
          <w:b/>
        </w:rPr>
        <w:t>Available abstract (not full text):</w:t>
      </w:r>
      <w:r>
        <w:t xml:space="preserve"> The regulatory landscape for nutraceuticals in the European Union (EU) is a complex framework designed to ensure the safety and quality of these products while promoting innovation in the industry. This abstract provides a concise overview of the key regulatory requirements governing nutraceuticals in the EU. The regulatory framework primarily revolves around the principle of placing safe and appropriately labeled products on the market. Nutraceuticals, positioned at the intersection of food and pharmaceuticals, are subject to stringent standards set forth in EU regulations. These regulations encompass aspects such as ingredient safety, permissible health claims, and labeling requirements. The European Food Safety Authority (EFSA) plays a pivotal role in evaluating and approving health claims associated with nutraceuticals. Additionally, manufacturers must adhere to Good Manufacturing Practices (GMP) to ensure the consistent quality of their products. Novel foods, including certain nutraceutical ingredients, undergo a separate approval process to assess their safety and potential impact on public health. Harmonizing regulations across EU member states, this framework facilitates the free movement of nutraceuticals within the single market while safeguarding consumer health. Navigating this regulatory landscape demands a comprehensive understanding of the evolving requirements, </w:t>
      </w:r>
    </w:p>
    <w:p>
      <w:pPr/>
      <w:r>
        <w:rPr>
          <w:b/>
        </w:rPr>
        <w:t>POSSIBLE 2025:</w:t>
      </w:r>
      <w:r>
        <w:t xml:space="preserve"> Capitalism, imperialism and European Union Law: towards a Marxist approach — https://doi.org/10.1017/elo.2025.10018</w:t>
      </w:r>
    </w:p>
    <w:p>
      <w:pPr/>
      <w:r>
        <w:rPr>
          <w:b/>
        </w:rPr>
        <w:t>Shared claim-specific concepts:</w:t>
      </w:r>
      <w:r>
        <w:t xml:space="preserve"> abstract, union, must, not, but; EU scope visible. This is a provisional connection, not an outcome finding.</w:t>
      </w:r>
    </w:p>
    <w:p>
      <w:pPr>
        <w:pStyle w:val="SourceNote"/>
      </w:pPr>
      <w:r>
        <w:rPr>
          <w:b/>
        </w:rPr>
        <w:t>Available abstract (not full text):</w:t>
      </w:r>
      <w:r>
        <w:t xml:space="preserve"> Abstract This article establishes a foundation for the development of Marxist approaches to European Union (EU) law. While Marxist scholarship has engaged with European integration throughout its history, it has largely overlooked the legal architecture of the EU. Conversely, EU legal studies have remained largely insulated from Marxist thought, even as critical approaches have begun to gain traction. Bridging this mutual neglect, the article argues that EU law must be understood not as a neutral or technocratic system, but as a central element of capitalist social relations both in Europe, and in terms of Europe’s wider integration in the global market. In this way, EU law is bound up with processes of accumulation, imperialism, and racialised social reproduction. Drawing on key currents within Marxist theory, the article situates EU law within the historical dynamics of capitalist development, demonstrating how a materialist legal analysis can deepen and enrich existing critiques of European integration.</w:t>
      </w:r>
    </w:p>
    <w:p>
      <w:pPr/>
      <w:r>
        <w:rPr>
          <w:b/>
        </w:rPr>
        <w:t>POSSIBLE 2025:</w:t>
      </w:r>
      <w:r>
        <w:t xml:space="preserve"> Accounting regulation in the European Union — https://doi.org/10.1007/s11142-025-09909-0</w:t>
      </w:r>
    </w:p>
    <w:p>
      <w:pPr/>
      <w:r>
        <w:rPr>
          <w:b/>
        </w:rPr>
        <w:t>Shared claim-specific concepts:</w:t>
      </w:r>
      <w:r>
        <w:t xml:space="preserve"> abstract, union, regulatory, improve; EU scope visible. This is a provisional connection, not an outcome finding.</w:t>
      </w:r>
    </w:p>
    <w:p>
      <w:pPr>
        <w:pStyle w:val="SourceNote"/>
      </w:pPr>
      <w:r>
        <w:rPr>
          <w:b/>
        </w:rPr>
        <w:t>Available abstract (not full text):</w:t>
      </w:r>
      <w:r>
        <w:t xml:space="preserve"> Abstract We provide a comprehensive overview of accounting-related regulatory changes (financial accounting, auditing, tax, and other disclosures) in the 27 European Union countries and the United Kingdom since 1993 based on an extensive literature review, survey, and topic and country expert input. Across all countries and years, we find that more than 16 regulatory events occur in a typical difference-in-differences research design that includes pre- and post-periods of four years. On average 3.4 out of four accounting disciplines are affected, emphasizing the need for interdisciplinary awareness. Our accompanying website ( http://www.eu-regulations.com ) offers visual representations of these events, regulation summaries, literature links, and source documents, all by country. This work aims to (1) lower the cost for researchers, reviewers, and editors to understand the EU’s evolving regulatory landscape; (2) improve research designs by identifying concurrent regulatory events; and (3) highlight research opportunities for those studying the EU or specific member states.</w:t>
      </w:r>
    </w:p>
    <w:p>
      <w:pPr/>
      <w:r>
        <w:rPr>
          <w:b/>
        </w:rPr>
        <w:t>POSSIBLE 2025:</w:t>
      </w:r>
      <w:r>
        <w:t xml:space="preserve"> Water reuse in the European Union: fostering and constraining public acceptance — https://doi.org/10.1093/jel/eqaf026</w:t>
      </w:r>
    </w:p>
    <w:p>
      <w:pPr/>
      <w:r>
        <w:rPr>
          <w:b/>
        </w:rPr>
        <w:t>Shared claim-specific concepts:</w:t>
      </w:r>
      <w:r>
        <w:t xml:space="preserve"> abstract, union, must; EU scope visible. This is a provisional connection, not an outcome finding.</w:t>
      </w:r>
    </w:p>
    <w:p>
      <w:pPr>
        <w:pStyle w:val="SourceNote"/>
      </w:pPr>
      <w:r>
        <w:rPr>
          <w:b/>
        </w:rPr>
        <w:t>Available abstract (not full text):</w:t>
      </w:r>
      <w:r>
        <w:t xml:space="preserve"> ABSTRACT Water reuse is indicated by the European institutions as a key tool in promoting a circular economy and addressing the current dramatic overuse and pollution of freshwater. Nevertheless, this practice is encountering a certain degree of resistance from the public, understood as the main stakeholders and social actors involved in the water cycle. This article poses a series of questions concerning the ways in which the public's apparent reluctance to embrace reuse practices might be addressed, exploring the capacity of the Union to implement environmental and climate strategies. By analysing the legal nature of water reuse and risk management plans, the idea is put forward that water reuse is a measure that must be considered and that, under certain conditions, should be mandatory. This argument is substantiated by an examination of the cross-cutting nature of water reuse practices and the associated obligations, encompassing environmental protection, energy efficiency, and intergenerational justice.</w:t>
      </w:r>
    </w:p>
    <w:p>
      <w:pPr>
        <w:pStyle w:val="Heading2"/>
      </w:pPr>
      <w:r>
        <w:t>509. Agent‐Based Modeling of Alternative Futures in the British Land Use System</w:t>
      </w:r>
    </w:p>
    <w:p>
      <w:pPr>
        <w:pStyle w:val="SourceNote"/>
      </w:pPr>
      <w:r>
        <w:rPr>
          <w:b/>
        </w:rPr>
        <w:t>Original source (2022):</w:t>
      </w:r>
      <w:r>
        <w:t xml:space="preserve"> https://doi.org/10.1029/2022ef002905</w:t>
      </w:r>
    </w:p>
    <w:p>
      <w:pPr/>
      <w:r>
        <w:t>Original wording (abstract; indexed_source_text_not_full_document_verified): Socio‐economic scenarios such as the Shared Socioeconomic Pathways (SSPs) have been widely used to analyze global change impacts, but representing their diversity is a challenge for the analytical tools applied to them. Taking Great Britain as an example, we represent a set of stakeholder‐elaborated UK‐SSP scenarios, linked to climate change scenarios (Representative Concentration Pathways), in a globally‐embedded agent‐based modeling framework.</w:t>
      </w:r>
    </w:p>
    <w:p>
      <w:pPr/>
      <w:r>
        <w:rPr>
          <w:b/>
        </w:rPr>
        <w:t>POSSIBLE 2026:</w:t>
      </w:r>
      <w:r>
        <w:t xml:space="preserve"> Abstract DP015: Integrating Systemic and Socio-economic Factors Into Stroke Prognostic Models: Findings From the ELAN International Survey — https://doi.org/10.1161/str.57.suppl_1.dp015</w:t>
      </w:r>
    </w:p>
    <w:p>
      <w:pPr/>
      <w:r>
        <w:rPr>
          <w:b/>
        </w:rPr>
        <w:t>Shared claim-specific concepts:</w:t>
      </w:r>
      <w:r>
        <w:t xml:space="preserve"> abstract, widely, but; EU scope not established. This is a provisional connection, not an outcome finding.</w:t>
      </w:r>
    </w:p>
    <w:p>
      <w:pPr>
        <w:pStyle w:val="SourceNote"/>
      </w:pPr>
      <w:r>
        <w:rPr>
          <w:b/>
        </w:rPr>
        <w:t>Available abstract (not full text):</w:t>
      </w:r>
      <w:r>
        <w:t xml:space="preserve"> Prognosis after acute stroke varies widely and is usually guided by imaging and clinical markers. Factors such as frailty, cognition, comorbidities, mental health, social support, and financial status strongly influence recovery but are rarely considered. To address this gap, we developed the ELAN Score, a structured 10-point tool across six domains: cognition, pre-existing disability/frailty, comorbidities, mental health, social support and financial factors. Using a global survey, we aimed to evaluate associations between individual ELAN domains and clinicians’ prediction of recovery and coping potential after a stroke. In an international online survey, stroke neurologists, neurointerventionalists, and allied specialists were randomly assigned 30 of 324 case vignettes. Each vignette described a patient with large vessel occlusion, good ASPECTS who achieved TICI 3 reperfusion, and systematically varied the severity of ELAN-specific domains. Participants were blinded to the ELAN score; scores were calculated in the background using pre-specified domain weights. Respondents were asked to estimate: the probability of return to pre-stroke functional status, and the probability of coping with an unfavorable outcome. Associations between ELAN score, individual domains, and perceived outcomes were examined using mixed-effects Poisson regression adjusted for clinician demographics, s</w:t>
      </w:r>
    </w:p>
    <w:p>
      <w:pPr/>
      <w:r>
        <w:rPr>
          <w:b/>
        </w:rPr>
        <w:t>POSSIBLE 2026:</w:t>
      </w:r>
      <w:r>
        <w:t xml:space="preserve"> Global gridded data for the Shared Socio-economic Pathways — https://doi.org/10.18174/sesmo.18850</w:t>
      </w:r>
    </w:p>
    <w:p>
      <w:pPr/>
      <w:r>
        <w:rPr>
          <w:b/>
        </w:rPr>
        <w:t>Shared claim-specific concepts:</w:t>
      </w:r>
      <w:r>
        <w:t xml:space="preserve"> shared, pathways, ssps, used, representing, them; EU scope not established. This is a provisional connection, not an outcome finding.</w:t>
      </w:r>
    </w:p>
    <w:p>
      <w:pPr>
        <w:pStyle w:val="SourceNote"/>
      </w:pPr>
      <w:r>
        <w:rPr>
          <w:b/>
        </w:rPr>
        <w:t>Available abstract (not full text):</w:t>
      </w:r>
      <w:r>
        <w:t xml:space="preserve"> The shared socio-economic pathways (SSPs) provide storylines for plausible future global developments under a consistent set of assumptions. Primarily, the SSPs have been used to derive quantitative scenarios of greenhouse gas emissions for use in general circulation models and other large-scale, physically based models of environmental change. Their use in large-scale socio-environmental simulation modelling has been less forthcoming. Behavioural models of land systems, typically operating within agent-based frameworks, attempt to explicitly represent the varied socio-environmental factors that characterise the SSP storylines. Such simulation models are often geospatial and grid-based, capable of representing dynamics at resolutions of up to 10s km2 over large extents (continental to global). However, such approaches demand geospatial (usually gridded) input data for multiple social and human variables - often together known as capitals - such as education levels and infrastructure. The lack of such input data for the future SSP storylines has been a substantial limitation in the application of large-scale behavioural models of land systems specifically and of socio-environmental modelling more generally. Here, we present global gridded data for socio-economic capitals useful for simulation models and consistent with the SSP storylines, disaggregated spatially to a 0.25o grid.</w:t>
      </w:r>
    </w:p>
    <w:p>
      <w:pPr/>
      <w:r>
        <w:rPr>
          <w:b/>
        </w:rPr>
        <w:t>POSSIBLE 2026:</w:t>
      </w:r>
      <w:r>
        <w:t xml:space="preserve"> Modelling human values within the shared socio-economic pathways — https://doi.org/10.5287/ora-prm67xp8k</w:t>
      </w:r>
    </w:p>
    <w:p>
      <w:pPr/>
      <w:r>
        <w:rPr>
          <w:b/>
        </w:rPr>
        <w:t>Shared claim-specific concepts:</w:t>
      </w:r>
      <w:r>
        <w:t xml:space="preserve"> shared, socioeconomic, pathways, ssps, but, representing; EU scope not established. This is a provisional connection, not an outcome finding.</w:t>
      </w:r>
    </w:p>
    <w:p>
      <w:pPr>
        <w:pStyle w:val="SourceNote"/>
      </w:pPr>
      <w:r>
        <w:rPr>
          <w:b/>
        </w:rPr>
        <w:t>Available abstract (not full text):</w:t>
      </w:r>
      <w:r>
        <w:t xml:space="preserve"> Human values are increasingly recognised as important drivers of sustainability transitions. The Shared Socioeconomic Pathways (SSPs) provide a framework of alternative development trajectories that vary in their challenges to climate change mitigation and adaptation. While SSP narratives implicitly reflect differing societal priorities, values are not explicitly formalised or quantified. Here we develop an approach for making value dynamics explicit in scenario analysis. We frame 8 value categories using substantive value frameworks. Using World Values Survey data (2000–2023) we confirm four distinct value types: an Eco-centric type characterised by environmental concern; a Security–order type characterised by governance and social stability; a Conformity type characterised by adherence to prevailing norms, and hierarchical social structures; and an Achievement type characterised by wealth and personal success. We demonstrate our approach through futures modelling under SSP1 alongside trajectories of improving human development as measured by the Human Development Index (HDI). We use our modelling to show how the four value types co-evolve. With rising human development we find a slow shift towards sustainability-oriented value types. Eco-centric values strengthen over time but do not become the largest global type until the mid-21st century (around 2055), with earlier transit</w:t>
      </w:r>
    </w:p>
    <w:p>
      <w:pPr/>
      <w:r>
        <w:rPr>
          <w:b/>
        </w:rPr>
        <w:t>POSSIBLE 2026:</w:t>
      </w:r>
      <w:r>
        <w:t xml:space="preserve"> High-resolution modelling of biodiversity under the shared socio-economic scenarios — https://doi.org/10.32942/x2h958</w:t>
      </w:r>
    </w:p>
    <w:p>
      <w:pPr/>
      <w:r>
        <w:rPr>
          <w:b/>
        </w:rPr>
        <w:t>Shared claim-specific concepts:</w:t>
      </w:r>
      <w:r>
        <w:t xml:space="preserve"> shared, socioeconomic, pathways, impacts; EU scope not established. This is a provisional connection, not an outcome finding.</w:t>
      </w:r>
    </w:p>
    <w:p>
      <w:pPr>
        <w:pStyle w:val="SourceNote"/>
      </w:pPr>
      <w:r>
        <w:rPr>
          <w:b/>
        </w:rPr>
        <w:t>Available abstract (not full text):</w:t>
      </w:r>
      <w:r>
        <w:t xml:space="preserve"> Impacts on biodiversity from global climate and land use change manifest through changes in habitat availability and suitability for species. We currently lack fine grain predictions about how species and their habitats respond at the local level to global drivers of change, particularly under future scenarios of coupled climate and land use change. Policies for biodiversity management often place an emphasis on management and protection of threatened and socially important species and their habitat. This requires modelling many species individually to inform national policy design and decisions. However, most multi-species modelling systems focus on the role of bioclimatic drivers of species distribution and abundance to the exclusion of the land use variables needed to understand and predict outcomes of socio-economic drivers of biodiversity change. We provide high-quality predictive species distribution models that capture the impacts of change in land use and other environmental drivers, and a comprehensive biodiversity dataset for Australia for thousands of species at high spatial resolution. We model the response of 1,488 species, including 592 birds, 254 mammals and 642 reptiles under coupled land-use (Shared Socioeconomic Pathways) and climate (Representative Concentration Pathways) scenarios. Our analyses present new possibilities for developing bespoke species-specifi</w:t>
      </w:r>
    </w:p>
    <w:p>
      <w:pPr/>
      <w:r>
        <w:rPr>
          <w:b/>
        </w:rPr>
        <w:t>POSSIBLE 2026:</w:t>
      </w:r>
      <w:r>
        <w:t xml:space="preserve"> Environmental and Socio-Economic Impacts of Shared Mobility Services in the City of Kigali, Rwanda — https://doi.org/10.9734/ajgr/2026/v9i4458</w:t>
      </w:r>
    </w:p>
    <w:p>
      <w:pPr/>
      <w:r>
        <w:rPr>
          <w:b/>
        </w:rPr>
        <w:t>Shared claim-specific concepts:</w:t>
      </w:r>
      <w:r>
        <w:t xml:space="preserve"> shared, impacts, representing; EU scope not established. This is a provisional connection, not an outcome finding.</w:t>
      </w:r>
    </w:p>
    <w:p>
      <w:pPr>
        <w:pStyle w:val="SourceNote"/>
      </w:pPr>
      <w:r>
        <w:rPr>
          <w:b/>
        </w:rPr>
        <w:t>Available abstract (not full text):</w:t>
      </w:r>
      <w:r>
        <w:t xml:space="preserve"> Aims: This study assessed the environmental and socio-economic impacts of shared mobility services in the City of Kigali, Rwanda, with particular emphasis on their contribution to sustainable urban transport, environmental improvement, and livelihood enhancement. Study Design: A convergent parallel mixed-methods research design was employed. Place and Duration of Study: The study was conducted in the City of Kigali, Rwanda, among users of various shared mobility services, including bus commuters, motorbike-taxi users, ride-hailing users, and private car owners. Data collection was carried out in 2026. Methodology: Quantitative data were collected from 400 respondents using structured questionnaires, while qualitative information was obtained through semi-structured interviews with nine key informants representing urban planning institutions, transport regulatory agencies, and mobility service providers. Quantitative data were analysed using descriptive statistics, Pearson correlation, and multiple regression analysis, whereas qualitative data were analysed thematically. Results: The findings revealed that all shared mobility components examined, namely car and bus sharing, motorbike-taxi sharing, digital mobility platforms, and ride-hailing services, were positively and significantly associated with respondents' perceived socio-economic and environmental outcomes (p &lt; 0.05); be</w:t>
      </w:r>
    </w:p>
    <w:p>
      <w:pPr/>
      <w:r>
        <w:rPr>
          <w:b/>
        </w:rPr>
        <w:t>POSSIBLE 2026:</w:t>
      </w:r>
      <w:r>
        <w:t xml:space="preserve"> Impact of climate change on the proposed Pwalugu hydropower plant based on shared socio-economic pathway (SSP) scenarios — https://doi.org/10.1007/s43621-025-01056-5</w:t>
      </w:r>
    </w:p>
    <w:p>
      <w:pPr/>
      <w:r>
        <w:rPr>
          <w:b/>
        </w:rPr>
        <w:t>Shared claim-specific concepts:</w:t>
      </w:r>
      <w:r>
        <w:t xml:space="preserve"> shared, ssps; EU scope not established. This is a provisional connection, not an outcome finding.</w:t>
      </w:r>
    </w:p>
    <w:p>
      <w:pPr>
        <w:pStyle w:val="SourceNote"/>
      </w:pPr>
      <w:r>
        <w:rPr>
          <w:b/>
        </w:rPr>
        <w:t>Available abstract (not full text):</w:t>
      </w:r>
      <w:r>
        <w:t xml:space="preserve"> In this study, we examined the two main factors of climate change (precipitation and temperature) based on SSP1-2.6, SSP2-4.5, and SSP5-8.5, under three future periods: near future (2015–2043), mid-far future (2044–2072), and far future (2073–2100). Three machine learning models: Artificial Neural Network (ANN), Long Short-Term Memory (LSTM), and Support Vector Machine (SVM) were compared using statistical metrics: Nash–Sutcliffe Efficiency (NSE), Percent Bias (PBias), and R-squared (R 2 ). The ANN outperforms LSTM and SVM in terms of training and testing metrics, particularly NSE and R 2 . The findings showed that temperature and precipitation patterns would increase especially by the end of the century. In the Near Future, SSP5-8.5 estimates a maximum temperature of 43.32 °C, SSP1-2.6’s 41.74 °C, and SSP2-4.5’s 41.66 °C. Minimum temperatures in the Near Future estimate SSP5-8.5 of 47 °C, SSP1-2.6 of 37.97 °C, and SSP2-4.5 is 36.30 °C. Precipitation patterns exhibit notable variations across the different SSPs and future periods. In the Near Future, SSP5-8.5 estimates the highest maximum precipitation at 340.91 mm, compared to SSP1-2.6 at 308.34 mm and SSP2-4.5 at 329.53 mm. This trend of increasing maximum precipitation continues into the mid- and far-future, with SSP5-8.5 maintaining the highest values. Precipitation and temperature projections suggest significant climate ch</w:t>
      </w:r>
    </w:p>
    <w:p>
      <w:pPr/>
      <w:r>
        <w:rPr>
          <w:b/>
        </w:rPr>
        <w:t>POSSIBLE 2026:</w:t>
      </w:r>
      <w:r>
        <w:t xml:space="preserve"> Future Timber Cities: Global Scenarios for GHG Mitigation aligned with Shared Socio-economic Pathways (SSPs) - Data repository — https://doi.org/10.5281/zenodo.23158550</w:t>
      </w:r>
    </w:p>
    <w:p>
      <w:pPr/>
      <w:r>
        <w:rPr>
          <w:b/>
        </w:rPr>
        <w:t>Shared claim-specific concepts:</w:t>
      </w:r>
      <w:r>
        <w:t xml:space="preserve"> shared, pathways, ssps;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Mudarabah (A Profit Sharing Partnership) as a Shari'ah Compliant Financial Institution: Wisdom and Socio-Economic Implications — https://doi.org/10.5281/zenodo.21738158</w:t>
      </w:r>
    </w:p>
    <w:p>
      <w:pPr/>
      <w:r>
        <w:rPr>
          <w:b/>
        </w:rPr>
        <w:t>Shared claim-specific concepts:</w:t>
      </w:r>
      <w:r>
        <w:t xml:space="preserve"> shared, widely, analytical; EU scope not established. This is a provisional connection, not an outcome finding.</w:t>
      </w:r>
    </w:p>
    <w:p>
      <w:pPr>
        <w:pStyle w:val="SourceNote"/>
      </w:pPr>
      <w:r>
        <w:rPr>
          <w:b/>
        </w:rPr>
        <w:t>Available abstract (not full text):</w:t>
      </w:r>
      <w:r>
        <w:t xml:space="preserve"> Abstract In Islamic Financial institutions Mudarabah is one of the fundamental profit-and-loss sharing instruments recognized under Islamic commercial law and widely regarded as a Shari’ah-compliant alternative to conventional interest-based financing system. This paper examines Mudarabah as a Shari’ah-compliant financial institution, with particular emphasis on its underlying wisdom and socio-economic implications. The study explores the concept, historical evolution, legal foundations, essential elements, and operational structure of Mudarabah within the framework of Islamic jurisprudence. It further highlights the objectives and rationale behind the institution of Mudarabah, especially its role in promoting justice, risk-sharing, mutual cooperation, and equitable distribution of wealth. The paper also analyses the socio-economic significance of Mudarabah in fostering entrepreneurship, reducing poverty, encouraging productive investment, and enhancing economic development within society. In addition, the study discusses the responsibilities of the contracting parties, the need for transparency and accountability, and the importance of ensuring Shari’ah compliance in all Mudarabah transactions. The research adopts quantitative, doctrinal, and analytical methods through the examination of relevant Qur’anic verses, ahadith, classical juristic opinions, and contemporary scholarly</w:t>
      </w:r>
    </w:p>
    <w:p>
      <w:pPr/>
      <w:r>
        <w:rPr>
          <w:b/>
        </w:rPr>
        <w:t>POSSIBLE 2026:</w:t>
      </w:r>
      <w:r>
        <w:t xml:space="preserve"> Climate Change Projections for Mediterranean Arid Regions: Shared Socio-economic Pathways for Algerian Sahara — https://doi.org/10.56093/aaz.v65i1.173393</w:t>
      </w:r>
    </w:p>
    <w:p>
      <w:pPr/>
      <w:r>
        <w:rPr>
          <w:b/>
        </w:rPr>
        <w:t>Shared claim-specific concepts:</w:t>
      </w:r>
      <w:r>
        <w:t xml:space="preserve"> shared, pathways, impacts; EU scope not established. This is a provisional connection, not an outcome finding.</w:t>
      </w:r>
    </w:p>
    <w:p>
      <w:pPr>
        <w:pStyle w:val="SourceNote"/>
      </w:pPr>
      <w:r>
        <w:rPr>
          <w:b/>
        </w:rPr>
        <w:t>Available abstract (not full text):</w:t>
      </w:r>
      <w:r>
        <w:t xml:space="preserve"> Arid regions in northern part of Algerian Sahara are highly vulnerable to climate change, facing rising temperatures and declining precipitation that intensify droughts and strain ecosystems and water resources. These shifts jeopardize agriculture and livelihoods, making future climate predictions vital for developing effective adaptation strategies. This study aims to explore the scenarios of climate change in Biskra region under various Shared Socio-economic Pathways (SSP) scenarios for 2035, 2055 and 2075; and highlights key trends in precipitation and temperature. Main findings show a general decline in average precipitation, dropping from 138.3 mm in 2035 to 122.4 mm in 2075, with variations across scenarios. In the optimistic SSP1-1.9 scenario (low emissions), precipitation remains relatively stable, while high-emission scenarios like SSP3-7 and SSP5-8.5 project sharper declines to 102.5 mm and 110.2 mm by 2075, respectively. Temperature forecasts indicate a steady rise in maximum, minimum and average temperature values. In SSP1-1.9, maximum temperatures slightly decrease from 27.9°C in 2035 to 27.8°C in 2075 and minimum temperatures dip from 16.8°C to 16.7°C. Conversely, in the severe (SSP5-8.5) scenario, maximum temperatures climb from 28.2°C to 31°C and minimum temperatures reach 19.8°C by 2075. Optimistic scenarios (SSP1-1.9, SSP1-2.6) show modest temperature increase</w:t>
      </w:r>
    </w:p>
    <w:p>
      <w:pPr/>
      <w:r>
        <w:rPr>
          <w:b/>
        </w:rPr>
        <w:t>POSSIBLE 2026:</w:t>
      </w:r>
      <w:r>
        <w:t xml:space="preserve"> Climatic Variation Impacts on Water Resources Systems with and without Shared Socio-Economic Pathways Consideration – A Review — https://doi.org/10.1007/s11269-026-04876-w</w:t>
      </w:r>
    </w:p>
    <w:p>
      <w:pPr/>
      <w:r>
        <w:rPr>
          <w:b/>
        </w:rPr>
        <w:t>Shared claim-specific concepts:</w:t>
      </w:r>
      <w:r>
        <w:t xml:space="preserve"> shared, pathways, impacts;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Exploring historical discontinuities in global climate scenarios: A model-based reappraisal of the shared socio-economic pathways — https://doi.org/10.1016/j.ecolmodel.2026.111758</w:t>
      </w:r>
    </w:p>
    <w:p>
      <w:pPr/>
      <w:r>
        <w:rPr>
          <w:b/>
        </w:rPr>
        <w:t>Shared claim-specific concepts:</w:t>
      </w:r>
      <w:r>
        <w:t xml:space="preserve"> shared, pathways;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Global pesticide use scenarios up to 2050 along the shared socio-economic pathways — https://doi.org/10.1016/j.crsust.2026.100358</w:t>
      </w:r>
    </w:p>
    <w:p>
      <w:pPr/>
      <w:r>
        <w:rPr>
          <w:b/>
        </w:rPr>
        <w:t>Shared claim-specific concepts:</w:t>
      </w:r>
      <w:r>
        <w:t xml:space="preserve"> shared, socioeconomic, pathways, ssps; EU scope not established. This is a provisional connection, not an outcome finding.</w:t>
      </w:r>
    </w:p>
    <w:p>
      <w:pPr>
        <w:pStyle w:val="SourceNote"/>
      </w:pPr>
      <w:r>
        <w:rPr>
          <w:b/>
        </w:rPr>
        <w:t>Available abstract (not full text):</w:t>
      </w:r>
      <w:r>
        <w:t xml:space="preserve"> Pesticide use has significant advantages in modern agricultural production. However, it can negatively impact human health and ecosystems. Yet, no scenarios exist for possible future pesticide use. We fill this knowledge gap by developing global pesticide use scenarios following the storylines of four Shared Socioeconomic Pathways (SSPs) for six crop types and two pesticides, glyphosate and chlorpyrifos. The global pesticide use scenarios are developed by combining map-based pesticide application rates from the PEST-CHEMGRIDS database with crop harvested area projections from the IMAGE 3.3 integrated assessment model. Crop-specific pesticide use maps identify China, South America, Africa, the USA, and South Asia as future hotspots of pesticide use. Pesticide use increases in SSP2 and SSP3, ranging from 5.2 to 6.5 million tonnes for vegetables and fruits in 2050. Glyphosate use shows an upsurge in SSP2 and SSP3 across global regions, while overall chlorpyrifos use decreases in SSP3, except in some regions. SSP1 shows a reduction in pesticide use by 2050 for certain crops, ranging from −40% for rice to −8% for vegetables and fruits, due to higher environmental regulation, awareness, and technology acceptance, thereby leading to lower pesticide application. Combining SSP1 with the implementation of the low-meat Eat-Lancet diet leads to a reduction in global pesticide use in feed c</w:t>
      </w:r>
    </w:p>
    <w:p>
      <w:pPr>
        <w:pStyle w:val="Heading2"/>
      </w:pPr>
      <w:r>
        <w:t>510. Are the EU climate ambitions reflected on member-state level for greenhouse gas reductions and renewable energy consumption shares?</w:t>
      </w:r>
    </w:p>
    <w:p>
      <w:pPr>
        <w:pStyle w:val="SourceNote"/>
      </w:pPr>
      <w:r>
        <w:rPr>
          <w:b/>
        </w:rPr>
        <w:t>Original source (2022):</w:t>
      </w:r>
      <w:r>
        <w:t xml:space="preserve"> https://doi.org/10.1016/j.esr.2022.100936</w:t>
      </w:r>
    </w:p>
    <w:p>
      <w:pPr/>
      <w:r>
        <w:t>Original wording (abstract; indexed_source_text_not_full_document_verified): Though some countries have consistent targets, the annual GHG reduction rate of the EU has to be tripled up to −3% per year until 2030. The required objective for RES is achievable but the growth rate has to be increased to 2% to fulfill the announced ambitions by 2030.</w:t>
      </w:r>
    </w:p>
    <w:p>
      <w:pPr/>
      <w:r>
        <w:rPr>
          <w:b/>
        </w:rPr>
        <w:t>POSSIBLE 2026:</w:t>
      </w:r>
      <w:r>
        <w:t xml:space="preserve"> Spatial contexts and educational inequalities in European countries — https://doi.org/10.5281/zenodo.18377623</w:t>
      </w:r>
    </w:p>
    <w:p>
      <w:pPr/>
      <w:r>
        <w:rPr>
          <w:b/>
        </w:rPr>
        <w:t>Shared claim-specific concepts:</w:t>
      </w:r>
      <w:r>
        <w:t xml:space="preserve"> though, countries, consistent; EU scope visible. This is a provisional connection, not an outcome finding.</w:t>
      </w:r>
    </w:p>
    <w:p>
      <w:pPr>
        <w:pStyle w:val="SourceNote"/>
      </w:pPr>
      <w:r>
        <w:rPr>
          <w:b/>
        </w:rPr>
        <w:t>Available abstract (not full text):</w:t>
      </w:r>
      <w:r>
        <w:t xml:space="preserve"> Despite high overall levels of educational attainment, European countries continue to face persistent inequalities in educational opportunity rooted in social origin. This article synthesizes findings from nine case-study countries in the LEARN project to examine how individual social background, educational systems, and spatial contexts jointly shape educational trajectories. Drawing on high-quality longitudinal survey and register data, the contributions analyse key educational transitions and assess the role of school, classroom, and neighbourhood composition across diverse welfare regimes and tracking structures. Across all countries, individual socioeconomic background emerges as a strong and consistent predictor of educational outcomes. Contextual effects at the school, classroom, and neighbourhood level are also evident, though generally more modest and highly contingent on institutional settings, particularly the timing and rigidity of tracking. Early selection systems substantially limit the potential for later compensatory effects. Overall, the findings highlight the importance of early interventions, institutional design, and policies addressing social and spatial segregation to reduce educational inequalities across Europe.</w:t>
      </w:r>
    </w:p>
    <w:p>
      <w:pPr/>
      <w:r>
        <w:rPr>
          <w:b/>
        </w:rPr>
        <w:t>POSSIBLE 2026:</w:t>
      </w:r>
      <w:r>
        <w:t xml:space="preserve"> Accessible Tourism After the European Accessibility Act: Signalling in Hotels and Private Accommodation Across Four European Union Countries — https://doi.org/10.3390/tourhosp7100343</w:t>
      </w:r>
    </w:p>
    <w:p>
      <w:pPr/>
      <w:r>
        <w:rPr>
          <w:b/>
        </w:rPr>
        <w:t>Shared claim-specific concepts:</w:t>
      </w:r>
      <w:r>
        <w:t xml:space="preserve"> though, countries, consistent; EU scope visible. This is a provisional connection, not an outcome finding.</w:t>
      </w:r>
    </w:p>
    <w:p>
      <w:pPr>
        <w:pStyle w:val="SourceNote"/>
      </w:pPr>
      <w:r>
        <w:rPr>
          <w:b/>
        </w:rPr>
        <w:t>Available abstract (not full text):</w:t>
      </w:r>
      <w:r>
        <w:t xml:space="preserve"> The European Accessibility Act (Directive (EU) 2019/882) has applied, since June 2025, extending binding accessibility requirements to the e-commerce infrastructure through which tourism is sold. Whether that obligation is visible in tourism markets remains largely untested, and existing evidence covers hotels alone. Accessibility is examined across three layers in four member states differing in the operational maturity of their accessible tourism policies: Croatia, France, Greece and Portugal. The study documents national programmes and transposition, audits thirty-two tourist board websites and records the features advertised by 400 providers, half hotels and half private accommodation, across twenty cities matched by destination type. Providers in countries with operationally mature programmes advertise more (mean index 1.25 against 0.70 on a 0–10 scale), though with four countries, this compares cases rather than testing a policy effect. The gap between accommodation segments is larger and is measured within cities: private accommodation advertises 0.38 against 1.58 for hotels, in every country and in eighteen of the twenty cities (p &lt; 0.001). Sensory features are advertised by 3.0% of properties against 37.0% for mobility, and one of the twenty-seven audited websites with an assessable listing interface displays accessibility on provider listing cards. The pattern is cons</w:t>
      </w:r>
    </w:p>
    <w:p>
      <w:pPr/>
      <w:r>
        <w:rPr>
          <w:b/>
        </w:rPr>
        <w:t>POSSIBLE 2026:</w:t>
      </w:r>
      <w:r>
        <w:t xml:space="preserve"> GHG emissions of all world countries — https://doi.org/10.2760/7717504</w:t>
      </w:r>
    </w:p>
    <w:p>
      <w:pPr/>
      <w:r>
        <w:rPr>
          <w:b/>
        </w:rPr>
        <w:t>Shared claim-specific concepts:</w:t>
      </w:r>
      <w:r>
        <w:t xml:space="preserve"> countries, ghg, until; EU scope not established. This is a provisional connection, not an outcome finding.</w:t>
      </w:r>
    </w:p>
    <w:p>
      <w:pPr>
        <w:pStyle w:val="SourceNote"/>
      </w:pPr>
      <w:r>
        <w:rPr>
          <w:b/>
        </w:rPr>
        <w:t>Available abstract (not full text):</w:t>
      </w:r>
      <w:r>
        <w:t xml:space="preserve"> The Emissions Database for Global Atmospheric Research (EDGAR) provides greenhouse gas (GHG) emissions time series for all countries and for all anthropogenic sectors from 1970 until 2025, including emissions and removals from land use and forestry – LULUCF (from 1990 to 2025). The edition of this year shows that global GHG emissions reached 54.1 Gt CO2eq in 2025, increasing by 0.7% compared to 2024 (or 55.0 Gt CO2eq including LULUCF, +0.9%). The report contributes to the Paris Agreement process with an independent quantitative overview of global GHG emissions, based on the IEA-EDGAR CO2, EDGAR CH4, EDGAR N2O and EDGAR F-gases version EDGAR_2026_GHG (2026).</w:t>
      </w:r>
    </w:p>
    <w:p>
      <w:pPr/>
      <w:r>
        <w:rPr>
          <w:b/>
        </w:rPr>
        <w:t>POSSIBLE 2026:</w:t>
      </w:r>
      <w:r>
        <w:t xml:space="preserve"> Mitigating farm-gate GHG emissions in low- and middle-income countries: The role of agricultural productivity — https://doi.org/10.1007/s11027-026-10316-2</w:t>
      </w:r>
    </w:p>
    <w:p>
      <w:pPr/>
      <w:r>
        <w:rPr>
          <w:b/>
        </w:rPr>
        <w:t>Shared claim-specific concepts:</w:t>
      </w:r>
      <w:r>
        <w:t xml:space="preserve"> countries, consistent, ghg, but, increased; EU scope not established. This is a provisional connection, not an outcome finding.</w:t>
      </w:r>
    </w:p>
    <w:p>
      <w:pPr>
        <w:pStyle w:val="SourceNote"/>
      </w:pPr>
      <w:r>
        <w:rPr>
          <w:b/>
        </w:rPr>
        <w:t>Available abstract (not full text):</w:t>
      </w:r>
      <w:r>
        <w:t xml:space="preserve"> Abstract Agriculture significantly contributes to global greenhouse gas emissions while facing increasing climate risks, raising concerns about balancing mitigation and food security. Productivity improvements consistent with Climate-Smart Agriculture are often seen as a way to reconcile this trade-off, but empirical evidence on their effects across sectors and development levels remains limited. This study examines the relationship between agricultural total factor productivity and emissions across farm-gate, crop, and livestock systems in low- to upper-middle-income countries spanning 1993–2021. Results show that population growth and food production are the primary drivers of emissions, reflecting strong production scale effects. In contrast, higher agricultural total factor productivity generally reduces emissions, partially offsetting pressures from increased output. However, this effect varies by income level and sector. Mitigation benefits are strongest in low-income countries and weaken with development, likely due to diminishing efficiency gains and rebound effects. Sectorally, productivity-driven emission reductions are most robust in crop production, moderate at the aggregate farm-gate level, and weakest in livestock systems, likely due to biological constraints. Overall, agricultural productivity growth can mitigates without compromising food security, but its effec</w:t>
      </w:r>
    </w:p>
    <w:p>
      <w:pPr/>
      <w:r>
        <w:rPr>
          <w:b/>
        </w:rPr>
        <w:t>POSSIBLE 2026:</w:t>
      </w:r>
      <w:r>
        <w:t xml:space="preserve"> The cost and benefit of GHG emissions and default risk — https://doi.org/10.1007/s10479-026-07193-y</w:t>
      </w:r>
    </w:p>
    <w:p>
      <w:pPr/>
      <w:r>
        <w:rPr>
          <w:b/>
        </w:rPr>
        <w:t>Shared claim-specific concepts:</w:t>
      </w:r>
      <w:r>
        <w:t xml:space="preserve"> ghg, reduction, per, increased; EU scope not established. This is a provisional connection, not an outcome finding.</w:t>
      </w:r>
    </w:p>
    <w:p>
      <w:pPr>
        <w:pStyle w:val="SourceNote"/>
      </w:pPr>
      <w:r>
        <w:rPr>
          <w:b/>
        </w:rPr>
        <w:t>Available abstract (not full text):</w:t>
      </w:r>
      <w:r>
        <w:t xml:space="preserve"> Abstract This paper examines the relationship between the financial costs associated with carbon emissions and the intensity of green revenues relative to emissions and firm-level default risk. Contributing to the ongoing debate on emissions measurement approaches, we construct two novel intensity measures that capture the monetary value of emissions: average carbon cost (Cost/GHG) and green-revenue intensity (GR/GHG). Using global firm-level data from 2008 to 2022, we find that exposure to carbon costs is strongly associated with increased default risk, while the evidence for green-revenue intensity is more modest and does not translate into a clear reduction in market-implied default probabilities. On average, a $1,000 increase in carbon cost per tonne of emissions is associated with a 0.70 percentage point rise in the probability of default and a reduction in Distance-to-Default, and these relationships remain robust when absorbing time-varying industry cycles and country-level macro and policy conditions. The association between carbon-cost exposure and default risk is most pronounced in high transition-risk sectors and is weaker in firms with higher managerial ability and operational efficiency. Overall, the results highlight the importance of incorporating monetary valuations of transition exposures when assessing climate-related credit risk.</w:t>
      </w:r>
    </w:p>
    <w:p>
      <w:pPr/>
      <w:r>
        <w:rPr>
          <w:b/>
        </w:rPr>
        <w:t>POSSIBLE 2026:</w:t>
      </w:r>
      <w:r>
        <w:t xml:space="preserve"> China’s Building Energy Use and GHG Emissions — https://doi.org/10.1007/978-981-95-8200-6_1</w:t>
      </w:r>
    </w:p>
    <w:p>
      <w:pPr/>
      <w:r>
        <w:rPr>
          <w:b/>
        </w:rPr>
        <w:t>Shared claim-specific concepts:</w:t>
      </w:r>
      <w:r>
        <w:t xml:space="preserve"> ghg, rate; EU scope not established. This is a provisional connection, not an outcome finding.</w:t>
      </w:r>
    </w:p>
    <w:p>
      <w:pPr>
        <w:pStyle w:val="SourceNote"/>
      </w:pPr>
      <w:r>
        <w:rPr>
          <w:b/>
        </w:rPr>
        <w:t>Available abstract (not full text):</w:t>
      </w:r>
      <w:r>
        <w:t xml:space="preserve"> In recent years, urbanization has grown rapidly in China. In 2023, China had an urban population of 933 million and a rural population of 477 million, with the urbanization rate rising from 37.7% in 2001 to 66.2%, as shown in Fig. 1.1.</w:t>
      </w:r>
    </w:p>
    <w:p>
      <w:pPr/>
      <w:r>
        <w:rPr>
          <w:b/>
        </w:rPr>
        <w:t>POSSIBLE 2026:</w:t>
      </w:r>
      <w:r>
        <w:t xml:space="preserve"> Pro-environmental behaviour in Europe: A comparison across individuals, countries and time — https://openalex.org/W7160008135</w:t>
      </w:r>
    </w:p>
    <w:p>
      <w:pPr/>
      <w:r>
        <w:rPr>
          <w:b/>
        </w:rPr>
        <w:t>Shared claim-specific concepts:</w:t>
      </w:r>
      <w:r>
        <w:t xml:space="preserve"> countries, consistent, increased; EU scope visible. This is a provisional connection, not an outcome finding.</w:t>
      </w:r>
    </w:p>
    <w:p>
      <w:pPr>
        <w:pStyle w:val="SourceNote"/>
      </w:pPr>
      <w:r>
        <w:rPr>
          <w:b/>
        </w:rPr>
        <w:t>Available abstract (not full text):</w:t>
      </w:r>
      <w:r>
        <w:t xml:space="preserve"> This policy briefs examines the determinants of five pro-environmental behaviours (whether individuals reduce and separate waste, use fewer disposable items, buy more efficient appliances, use alternatives to car and install solar panels) across individuals, countries and time. Raising Europea's engagement in pro-environmental behaviour can decrease Co2 emissions by 6 to 16% and cut costs by 14 to 30 percent given current estimates, making the targeting of European's behaviour important. Results show that Europeans have on average increased their efforts living more environmentally friendly between 2013 and 2023. The youngest generations have adopted pro-environmental behaviour fastest. Pro-environmental behaviour varies considerably between European countries. Some of this variation can be explained by GDP, income inequality and country level concern about climate change. Individual characteristics like financial situation, feeling personally responsible for climate action and believing in climage change however appear to be most important for explaining pro-environmental behaviour holding country specific factors constant. The results suggest, that in order to widen pro-environmental behaviour across Europe, education remains an important tool to increase environmental concern as well as feelings of responsibilty to the climate, factors highly correlated with positive behavio</w:t>
      </w:r>
    </w:p>
    <w:p>
      <w:pPr/>
      <w:r>
        <w:rPr>
          <w:b/>
        </w:rPr>
        <w:t>POSSIBLE 2026:</w:t>
      </w:r>
      <w:r>
        <w:t xml:space="preserve"> Monetary Determinants of House Prices in the European Countries — https://doi.org/10.15678/krem.18747</w:t>
      </w:r>
    </w:p>
    <w:p>
      <w:pPr/>
      <w:r>
        <w:rPr>
          <w:b/>
        </w:rPr>
        <w:t>Shared claim-specific concepts:</w:t>
      </w:r>
      <w:r>
        <w:t xml:space="preserve"> though, countries, rate, objective; EU scope visible. This is a provisional connection, not an outcome finding.</w:t>
      </w:r>
    </w:p>
    <w:p>
      <w:pPr>
        <w:pStyle w:val="SourceNote"/>
      </w:pPr>
      <w:r>
        <w:rPr>
          <w:b/>
        </w:rPr>
        <w:t>Available abstract (not full text):</w:t>
      </w:r>
      <w:r>
        <w:t xml:space="preserve"> Objective: The aim of this article is to investigate monetary policy effects on the house prices for the panel of 12 Central and Eastern European (CEE-12) countries, 12 small European countries (EU-12) and 5 largest European countries plus the UK (EU-6). Research Design &amp; Methods: A five-variable Panel Vector Autoregressive (PVAR) model is estimated for quarterly data from 2010Q1 to 2023Q2. Findings: An increase in the short-term interest rate has a depressing effect on the house prices in the European countries, along with higher inflation and exchange rate depreciation (to less extent). An increase of output over the business cycle brings about a temporary decrease in house prices in both CEE-12 and the EU-12 countries. As intuitively expected, a housing boom is expansionary and inflationary in all European countries, though with a different time profile. There is strong evidence of the interest rate response to house prices in the CEE-12 countries and the EU-12 countries (at longer horizons). Implications / Recommendations: This paper supports the proposals for using monetary tightening in response to the boom in the housing market. It is especially the case for the CEE countries where a two-way causality between the short-term interest rates and house prices seems to be particularly strong. Contribution: This paper contributes to studies of stabilisation properties of monet</w:t>
      </w:r>
    </w:p>
    <w:p>
      <w:pPr/>
      <w:r>
        <w:rPr>
          <w:b/>
        </w:rPr>
        <w:t>POSSIBLE 2025:</w:t>
      </w:r>
      <w:r>
        <w:t xml:space="preserve"> Risks and benefits of artificial intelligence deepfakes: Systematic review and comparison of public attitudes in seven European Countries — https://doi.org/10.1016/j.jik.2025.100782</w:t>
      </w:r>
    </w:p>
    <w:p>
      <w:pPr/>
      <w:r>
        <w:rPr>
          <w:b/>
        </w:rPr>
        <w:t>Shared claim-specific concepts:</w:t>
      </w:r>
      <w:r>
        <w:t xml:space="preserve"> though, countries, rate, required; EU scope visible. This is a provisional connection, not an outcome finding.</w:t>
      </w:r>
    </w:p>
    <w:p>
      <w:pPr>
        <w:pStyle w:val="SourceNote"/>
      </w:pPr>
      <w:r>
        <w:rPr>
          <w:b/>
        </w:rPr>
        <w:t>Available abstract (not full text):</w:t>
      </w:r>
      <w:r>
        <w:t xml:space="preserve"> This study provides an evidence-based integrated appraisal of artificial intelligence (AI)-generated deepfakes by integrating a cross-disciplinary literature synthesis with original opinion-poll evidence from seven European countries. A SWOT matrix distils convergent concerns—weaponised disinformation, privacy erosion, and the detection arms race—alongside under-explored opportunities in education, therapy, and creative industries. To test whether these scholarly themes resonate with citizens, a computer-assisted web survey (N = 7,083) measured perceived risks and benefits across 10 specific scenarios for each theme. Correspondence analysis and Bonferroni-adjusted means reveal a pronounced age gradient for benefits, whereas risk perceptions vary by country—younger cohorts are noticeably less alarmed only in Sweden, France, and Czechia. Geographically, Dutch, German, British, and Italian publics prove the most enthusiastic: the United Kingdom (UK) couples similar enthusiasm with markedly higher risk vigilance, whereas Czech and Swedish respondents remain consistently sceptical, underscoring a broad, though imperfect, west/south versus central/north divide. The Netherlands, Germany, the UK, and Italy value pro-social applications (i.e., realistic crisis drills, public-interest campaigns, and therapeutic ‘mental-health’ avatars), with the Netherlands topping four benefit items and</w:t>
      </w:r>
    </w:p>
    <w:p>
      <w:pPr/>
      <w:r>
        <w:rPr>
          <w:b/>
        </w:rPr>
        <w:t>POSSIBLE 2025:</w:t>
      </w:r>
      <w:r>
        <w:t xml:space="preserve"> A framework for 1.5°C-aligned GHG budgets in architecture — https://doi.org/10.5334/bc.664</w:t>
      </w:r>
    </w:p>
    <w:p>
      <w:pPr/>
      <w:r>
        <w:rPr>
          <w:b/>
        </w:rPr>
        <w:t>Shared claim-specific concepts:</w:t>
      </w:r>
      <w:r>
        <w:t xml:space="preserve"> countries, targets, ghg, per; EU scope visible. This is a provisional connection, not an outcome finding.</w:t>
      </w:r>
    </w:p>
    <w:p>
      <w:pPr>
        <w:pStyle w:val="SourceNote"/>
      </w:pPr>
      <w:r>
        <w:rPr>
          <w:b/>
        </w:rPr>
        <w:t>Available abstract (not full text):</w:t>
      </w:r>
      <w:r>
        <w:t xml:space="preserve"> A methodological framework is presented for integrating 1.5°C-aligned greenhouse gas (GHG) budgets into architectural practice. Responding to the urgent need to decarbonise the built environment, this practice-oriented approach is based on the Carbon Risk Real Estate Monitor (CRREM) and the Science-Based Targets initiative (SBTi). The framework enables GHG budgets to be set early, requiring only a functional brief and target completion year as inputs. It establishes absolute GHG budgets per m2 and completion year for eight core building usage categories, allowing the early integration of climate targets in design processes. Mixed-use buildings are addressed through the area-weighted allocation of usage-specific budgets. Although developed for the European context, the framework can be adapted to other countries. The proposed 1.5°C-reduction pathways are compared with national frameworks such as France’s RE 2020 and Denmark’s BR 18, as well as with 20 recent mixed-use projects from a large German architectural practice. Achieving 1.5°C alignment will require halving GHG budgets roughly every seven years, highlighting the need for transformative change in architectural design and construction. Limitations include the use of global embodied carbon benchmarks and the assumption of functional stability over a 50-year reference study period. Practice relevance The proposed framework </w:t>
      </w:r>
    </w:p>
    <w:p>
      <w:pPr/>
      <w:r>
        <w:rPr>
          <w:b/>
        </w:rPr>
        <w:t>POSSIBLE 2025:</w:t>
      </w:r>
      <w:r>
        <w:t xml:space="preserve"> Carbon footprint reduction potential of consumption changes in five European countries in 2015, 2030, and 2050 — https://doi.org/10.1016/j.spc.2025.08.018</w:t>
      </w:r>
    </w:p>
    <w:p>
      <w:pPr/>
      <w:r>
        <w:rPr>
          <w:b/>
        </w:rPr>
        <w:t>Shared claim-specific concepts:</w:t>
      </w:r>
      <w:r>
        <w:t xml:space="preserve"> though, countries, reduction; EU scope visible. This is a provisional connection, not an outcome finding.</w:t>
      </w:r>
    </w:p>
    <w:p>
      <w:pPr>
        <w:pStyle w:val="SourceNote"/>
      </w:pPr>
      <w:r>
        <w:rPr>
          <w:b/>
        </w:rPr>
        <w:t>Available abstract (not full text):</w:t>
      </w:r>
      <w:r>
        <w:t xml:space="preserve"> Limiting global warming to 1.5 °C requires extensive socioeconomic and technological transformations. With approximately two-thirds of global greenhouse gas emissions linked to household consumption, reducing demand-side emissions through low-carbon lifestyle changes is critical. While major emissions hotspots and high-impact consumption changes are known, a cross-country prospective analysis of their emissions reduction potential has been missing. This study quantifies the avoided greenhouse gas emissions from 47 consumption changes across five diverse European countries. We assess how socioeconomic and technological changes influence emissions reduction potentials by comparing such potentials in a baseline year (2015) with those in 2030 and 2050 under a sustainable development scenario. Our findings highlight that the most effective mitigation options involve reducing conventional vehicle use, decarbonizing household heating, and shifting to predominantly plant-based diets. Though country-specific variation exists, we observed that the emissions reduction potentials of many consumption changes evolve proportionally to technological changes. Behaviors involving direct fossil fuel combustion, such as car travel or fossil-fueled heating, remain largely unabated by technological shifts without lifestyle change, thus increasing in relative mitigation potential. Changes relying on </w:t>
      </w:r>
    </w:p>
    <w:p>
      <w:pPr/>
      <w:r>
        <w:rPr>
          <w:b/>
        </w:rPr>
        <w:t>POSSIBLE 2024:</w:t>
      </w:r>
      <w:r>
        <w:t xml:space="preserve"> Investigating the heterogeneity within Wild bird indices in Europe — https://doi.org/10.1016/j.biocon.2024.110452</w:t>
      </w:r>
    </w:p>
    <w:p>
      <w:pPr/>
      <w:r>
        <w:rPr>
          <w:b/>
        </w:rPr>
        <w:t>Shared claim-specific concepts:</w:t>
      </w:r>
      <w:r>
        <w:t xml:space="preserve"> though, countries, consistent; EU scope visible. This is a provisional connection, not an outcome finding.</w:t>
      </w:r>
    </w:p>
    <w:p>
      <w:pPr>
        <w:pStyle w:val="SourceNote"/>
      </w:pPr>
      <w:r>
        <w:rPr>
          <w:b/>
        </w:rPr>
        <w:t>Available abstract (not full text):</w:t>
      </w:r>
      <w:r>
        <w:t xml:space="preserve"> Biodiversity decline is monitored through a multitude of proxies. One of the most common proxies are aggregate indices constructed from time-series of species. Because of their standardised construction and simplicity of interpretation, these indices are often used as official indicators for biodiversity monitoring. However, aggregate indices hide variability among species dynamics from which they are built. Understanding this diversity is essential to interpret indices and avoid missing particular subsets of species with strong dynamics or groups of species with opposing dynamics that may result in little change in the overall index. In this study, we analyse heterogeneity within the most widely used Wild bird indices in Europe, Farmland Bird Index (FaBI) and Forest Bird Index (FoBI) in 20 European countries between 2000 and 2017. We analyse potential heterogeneity in dynamics within FaBI and FoBI of each country. We show that there is structural heterogeneity in dynamics among species as well as clusters of species with differing dynamics co-existing within aggregated indices in most countries studied. This was the case for farmland birds, even though this group shows strong general declines across Europe, and for forest birds that have less coherent long-term dynamics. We further explored whether clusters may be distinctly linked to major ecological traits, habitat specialis</w:t>
      </w:r>
    </w:p>
    <w:p>
      <w:pPr>
        <w:pStyle w:val="Heading2"/>
      </w:pPr>
      <w:r>
        <w:t>511. Balancing GHG mitigation and land-use conflicts: Alternative Northern European energy system scenarios</w:t>
      </w:r>
    </w:p>
    <w:p>
      <w:pPr>
        <w:pStyle w:val="SourceNote"/>
      </w:pPr>
      <w:r>
        <w:rPr>
          <w:b/>
        </w:rPr>
        <w:t>Original source (2022):</w:t>
      </w:r>
      <w:r>
        <w:t xml:space="preserve"> https://doi.org/10.1016/j.apenergy.2022.118557</w:t>
      </w:r>
    </w:p>
    <w:p>
      <w:pPr/>
      <w:r>
        <w:t>Original wording (abstract; indexed_source_text_not_full_document_verified): The results show that the least-cost solution requires 1.2%–3.6% of the land in the modeled countries in 2040 for onshore wind and solar PV installations. Nuclear energy may also be an option if both onshore and offshore areas are to be reduced, or in a less flexible system.</w:t>
      </w:r>
    </w:p>
    <w:p>
      <w:pPr/>
      <w:r>
        <w:rPr>
          <w:b/>
        </w:rPr>
        <w:t>POSSIBLE 2025:</w:t>
      </w:r>
      <w:r>
        <w:t xml:space="preserve"> Attribution of flood impacts shows strong benefits of adaptation in Europe since 1950 — https://doi.org/10.1126/sciadv.adt7068</w:t>
      </w:r>
    </w:p>
    <w:p>
      <w:pPr/>
      <w:r>
        <w:rPr>
          <w:b/>
        </w:rPr>
        <w:t>Shared claim-specific concepts:</w:t>
      </w:r>
      <w:r>
        <w:t xml:space="preserve"> show, land, also, less; EU scope visible. This is a provisional connection, not an outcome finding.</w:t>
      </w:r>
    </w:p>
    <w:p>
      <w:pPr>
        <w:pStyle w:val="SourceNote"/>
      </w:pPr>
      <w:r>
        <w:rPr>
          <w:b/>
        </w:rPr>
        <w:t>Available abstract (not full text):</w:t>
      </w:r>
      <w:r>
        <w:t xml:space="preserve"> Abstract Flood impacts in Europe are considered to be increasing, especially in connection to climate change. However, attribution of impacts to climatic and societal drivers of past floods has been limited to a selection of recent events. Here, we present an impact attribution study covering 1729 riverine, coastal and compound events that were responsible for the large majority of flood-related impacts in Europe between 1950 and 2020. We show that in most regions the magnitude of flood impacts has been regulated primarily by the opposing direct human actions. On the one hand, the population and economic value at risk have increased, exacerbated by land use change. However, it was compensated by improved risk management, manifested by better flood protection and lower vulnerability. Climate change and human alterations of river catchments were also important drivers in many regions, but ultimately less relevant for trends in total, continental-wide impacts. Overall, our study highlights the need for multidimensional impact attribution of past natural hazards. Attribution results for individual events are available on https://naturalhazards.eu/.</w:t>
      </w:r>
    </w:p>
    <w:p>
      <w:pPr/>
      <w:r>
        <w:rPr>
          <w:b/>
        </w:rPr>
        <w:t>POSSIBLE 2025:</w:t>
      </w:r>
      <w:r>
        <w:t xml:space="preserve"> Geospatial Planning for Least-Cost Electrification in Developing Countries — https://doi.org/10.3390/en18071784</w:t>
      </w:r>
    </w:p>
    <w:p>
      <w:pPr/>
      <w:r>
        <w:rPr>
          <w:b/>
        </w:rPr>
        <w:t>Shared claim-specific concepts:</w:t>
      </w:r>
      <w:r>
        <w:t xml:space="preserve"> least-cost, countries, also, both; EU scope not established. This is a provisional connection, not an outcome finding.</w:t>
      </w:r>
    </w:p>
    <w:p>
      <w:pPr>
        <w:pStyle w:val="SourceNote"/>
      </w:pPr>
      <w:r>
        <w:rPr>
          <w:b/>
        </w:rPr>
        <w:t>Available abstract (not full text):</w:t>
      </w:r>
      <w:r>
        <w:t xml:space="preserve"> This paper presents two innovative procedures developed for rural electrification planning. To address the challenges of processing vast geospatial data, handling complex and computationally intensive network design, and making detailed yet accessible economic assessments, this work introduces a Buffering plugin for community identification and a Grid Routing and Cost Allocation plugin for network design and economic assessment, both integrated into the open-source QGIS platform. The first enables the identification of potential electrification zones through dual methodologies, while the second introduces three key processes: hierarchical clustering, a modified minimum spanning tree, and a novel cost allocation methodology that provides village-specific LCOE calculations. Testing in Zambia has proven that this approach is not only effective but also—compared to existing tools—offers significant advantages in terms of computational efficiency and accessibility, while providing practical solutions to large-scale challenges. This synergistic approach enables planners to move from granular geospatial data to actionable electrification decisions through a streamlined process. The analysis covered over 3 million buildings, grouped into 162,142 settlement clusters, and subsequently determined optimal electrification strategies for 3025 villages—40.4% connected to grid extensions and 5</w:t>
      </w:r>
    </w:p>
    <w:p>
      <w:pPr/>
      <w:r>
        <w:rPr>
          <w:b/>
        </w:rPr>
        <w:t>POSSIBLE 2025:</w:t>
      </w:r>
      <w:r>
        <w:t xml:space="preserve"> Endogenous transformation of land transport in Europe for different climate targets — https://doi.org/10.1016/j.enconman.2025.120203</w:t>
      </w:r>
    </w:p>
    <w:p>
      <w:pPr/>
      <w:r>
        <w:rPr>
          <w:b/>
        </w:rPr>
        <w:t>Shared claim-specific concepts:</w:t>
      </w:r>
      <w:r>
        <w:t xml:space="preserve"> show, land, modeled, countries, wind, solar; EU scope visible. This is a provisional connection, not an outcome finding.</w:t>
      </w:r>
    </w:p>
    <w:p>
      <w:pPr>
        <w:pStyle w:val="SourceNote"/>
      </w:pPr>
      <w:r>
        <w:rPr>
          <w:b/>
        </w:rPr>
        <w:t>Available abstract (not full text):</w:t>
      </w:r>
      <w:r>
        <w:t xml:space="preserve"> Road transport is responsible for about a quarter of Europe’s greenhouse gas emissions, making its transformation a crucial part of Europe’s overall decarbonization goals. Current European policies promote decarbonizing the transport sector and passenger car sales show an increased adoption of electric vehicles. Full electrification of land transport will significantly increase the average electricity demand, but the use of smart charging and vehicle-to-grid could provide additional flexibility to balance wind and solar generation. This study focuses on cost-optimal transition pathways of the European land transport sector embedded in the sector-coupled open energy model PyPSA-Eur. The land transport sector is modeled comprising fossil-fueled, hydrogen-fueled, and electric cars using a 3-hour time resolution for a full year and covering 33 interconnected European countries. The transformation path from 2025 to 2050 is analyzed under different carbon budgets corresponding to a 1.7 °Celsius and 2 °Celsius temperature increase. The results show that rapid electrification of road transport reduces the total system cost, even in the absence of climate targets. There is a clear preference for rapidly decommissioning internal combustion engine vehicles and using electric vehicles in all countries and under all carbon budgets. Allowing smart charging of electric vehicles decreases the </w:t>
      </w:r>
    </w:p>
    <w:p>
      <w:pPr/>
      <w:r>
        <w:rPr>
          <w:b/>
        </w:rPr>
        <w:t>POSSIBLE 2025:</w:t>
      </w:r>
      <w:r>
        <w:t xml:space="preserve"> Assimilating ESA CCI land surface temperature into the ORCHIDEE land surface model: insights from a multi-site study across Europe — https://doi.org/10.5194/hess-29-261-2025</w:t>
      </w:r>
    </w:p>
    <w:p>
      <w:pPr/>
      <w:r>
        <w:rPr>
          <w:b/>
        </w:rPr>
        <w:t>Shared claim-specific concepts:</w:t>
      </w:r>
      <w:r>
        <w:t xml:space="preserve"> land, modeled, energy, also, both, system; EU scope visible. This is a provisional connection, not an outcome finding.</w:t>
      </w:r>
    </w:p>
    <w:p>
      <w:pPr>
        <w:pStyle w:val="SourceNote"/>
      </w:pPr>
      <w:r>
        <w:rPr>
          <w:b/>
        </w:rPr>
        <w:t>Available abstract (not full text):</w:t>
      </w:r>
      <w:r>
        <w:t xml:space="preserve"> Abstract. Land surface temperature (LST) plays an essential role in water and energy exchanges between Earth’s surface and atmosphere. Recent advancements in high-quality satellite-derived LST data and land data assimilation systems present a unique opportunity to bridge the gap between global observational data and land surface models (LSMs) to better constrain the water/energy budgets in a changing climate. In this vein, this study focuses on the assimilation of the ESA-CCI LST product into the ORCHIDEE LSM (the continental part of the IPSL Earth System Model) with the aim of optimizing key parameters to improve the simulations of LST and surface energy fluxes. We use the land data assimilation system for the ORCHIDEE model (ORCHIDAS) to conduct a series of synthetic twin data assimilation experiments accounting for real data availability and uncertainty from ESA-CCI LST to find an optimal strategy for assimilating LST. Here, we test different strategies of assimilation, notably investigating: i) two optimization methods (random-search and gradient-based) and ii) different ways to assimilate LST using the only raw data and/or different characteristics of the LST diurnal cycle (e.g. mean daily, daily amplitude, maximum and minimum temperatures, morning and afternoon gradients). Upon identifying the optimal approach, we use it to assimilate ESA-CCI LST data across 34 sites in E</w:t>
      </w:r>
    </w:p>
    <w:p>
      <w:pPr/>
      <w:r>
        <w:rPr>
          <w:b/>
        </w:rPr>
        <w:t>POSSIBLE 2025:</w:t>
      </w:r>
      <w:r>
        <w:t xml:space="preserve"> Estimating the Economic Cost of Land Degradation and Desertification in Morocco — https://doi.org/10.3390/land14040837</w:t>
      </w:r>
    </w:p>
    <w:p>
      <w:pPr/>
      <w:r>
        <w:rPr>
          <w:b/>
        </w:rPr>
        <w:t>Shared claim-specific concepts:</w:t>
      </w:r>
      <w:r>
        <w:t xml:space="preserve"> land, wind; EU scope not established. This is a provisional connection, not an outcome finding.</w:t>
      </w:r>
    </w:p>
    <w:p>
      <w:pPr>
        <w:pStyle w:val="SourceNote"/>
      </w:pPr>
      <w:r>
        <w:rPr>
          <w:b/>
        </w:rPr>
        <w:t>Available abstract (not full text):</w:t>
      </w:r>
      <w:r>
        <w:t xml:space="preserve"> Desertification affects over 90% of Moroccan territory, leading to soil degradation that reduces agricultural productivity, diminishes biodiversity, and alters environmental functions. This study estimates the total economic cost of desertification in Morocco using a zonal approach based on regional sensitivity. The methodology includes two stages: quantifying productivity losses from water and wind erosion, salinization, overgrazing, silting of dams, carbon storage loss, and land-use changes; and monetizing impacts using methods such as productivity change, replacement cost, and the social cost of carbon. The total cost is estimated at USD 2.1 billion per year, with 78.02% from agricultural and grazing land productivity losses, 2.95% from dam silting, 18.47% from carbon storage loss, and 0.56% from land-use changes. These findings underscore the urgency of public policies, including land use planning, sustainable agriculture, irrigation modernization, and community engagement. Drawing on successful initiatives in the MENA region and globally, Morocco can mitigate desertification’s impacts and foster sustainable development.</w:t>
      </w:r>
    </w:p>
    <w:p>
      <w:pPr/>
      <w:r>
        <w:rPr>
          <w:b/>
        </w:rPr>
        <w:t>POSSIBLE 2025:</w:t>
      </w:r>
      <w:r>
        <w:t xml:space="preserve"> The Cost-Effectiveness of Renewable Energy Sources in the European Union’s Ecological Economic Framework — https://doi.org/10.3390/su17104715</w:t>
      </w:r>
    </w:p>
    <w:p>
      <w:pPr/>
      <w:r>
        <w:rPr>
          <w:b/>
        </w:rPr>
        <w:t>Shared claim-specific concepts:</w:t>
      </w:r>
      <w:r>
        <w:t xml:space="preserve"> countries, onshore, wind, solar, energy, offshore; EU scope visible. This is a provisional connection, not an outcome finding.</w:t>
      </w:r>
    </w:p>
    <w:p>
      <w:pPr>
        <w:pStyle w:val="SourceNote"/>
      </w:pPr>
      <w:r>
        <w:rPr>
          <w:b/>
        </w:rPr>
        <w:t>Available abstract (not full text):</w:t>
      </w:r>
      <w:r>
        <w:t xml:space="preserve"> Evaluating the competitiveness of electricity is the most important issue. The main aim of this study was to determine the cost-effectiveness of renewable energy production in the European Union (EU) using the levelized cost competitiveness of renewable energy sources. The weighted average cost of capital (WACC) for onshore wind was calculated for European (EU) countries. The levelized cost of electricity (LCOE) approach was used to evaluate the energy costs of renewable energy sources. Energy production costs were compared across different technologies. The capital expenditures associated with solar PV are expected to decrease from USD 810/kW in 2021 to USD 360/kW in 2050. The power factor will remain stable at 14% during the analyzed period. Fuel, CO2, and operation and maintenance (O&amp;M) costs will be maintained at USD 10/MWh at all three time points of the analysis (2021, 2030, and 2050), whereas the LCOE will decrease from USD 50/MWh in 2021 to USD 25/MWh in 2050. The capital expenditures associated with onshore wind energy will decrease from USD 1590/kW in 2021 to USD 1410/kW in 2050. The power factor will increase from 29% to 30%, and fuel, CO2, and O&amp;M costs will reach USD 15/MWh in all three years. The LCOE will decrease from USD 55/MWh in 2021 to USD 45/MWh in 2050. In offshore wind projects, capital expenditures are expected to decrease considerably from USD 3040/kW i</w:t>
      </w:r>
    </w:p>
    <w:p>
      <w:pPr/>
      <w:r>
        <w:rPr>
          <w:b/>
        </w:rPr>
        <w:t>POSSIBLE 2025:</w:t>
      </w:r>
      <w:r>
        <w:t xml:space="preserve"> Land of opportunities: aligning organic farming and conservation targets in Europe — https://doi.org/10.1080/09640568.2025.2504520</w:t>
      </w:r>
    </w:p>
    <w:p>
      <w:pPr/>
      <w:r>
        <w:rPr>
          <w:b/>
        </w:rPr>
        <w:t>Shared claim-specific concepts:</w:t>
      </w:r>
      <w:r>
        <w:t xml:space="preserve"> land, both, areas, less; EU scope visible. This is a provisional connection, not an outcome finding.</w:t>
      </w:r>
    </w:p>
    <w:p>
      <w:pPr>
        <w:pStyle w:val="SourceNote"/>
      </w:pPr>
      <w:r>
        <w:rPr>
          <w:b/>
        </w:rPr>
        <w:t>Available abstract (not full text):</w:t>
      </w:r>
      <w:r>
        <w:t xml:space="preserve"> In the face of growing environmental challenges, the European Green Deal sets ambitious targets for 2030, including strictly protecting 10% of the EU’s land area and expanding organic farming to 25% of agricultural land. To navigate the potentially competing land use demands of these goals, we develop a spatially explicit partial equilibrium model that analyzes the implementation of these targets both independently and concurrently at the EU and national levels. Results indicate that the 25% organic farming target is the restricting constraint with high marginal costs, leading to less cropland use, higher land prices, and higher farming revenues. Consumers would see an increase in average commodity prices of up to 50%. Policy instruments could counteract these effects to ensure the acceptance and increased demand for organic products and reduce environmental leakage to the rest of the world. Less than 1% of cropland area in the EU is needed to fulfill the strict protection target. Hence, the co-fulfillment of both targets incurs minimal land-use conflicts. Half of the newly strictly protected areas are re-designations of already protected areas. Thus, a comprehensive approach that combines expansion with proper management is crucial to achieving conservation goals. This study highlights the need for a comprehensive approach that balances biodiversity conservation and agricultur</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countries, onshore, wind;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2024:</w:t>
      </w:r>
      <w:r>
        <w:t xml:space="preserve"> Autarky penalty versus system cost effects for Europe of large-scale renewable energy imports from North Africa — https://doi.org/10.1016/j.esr.2023.101289</w:t>
      </w:r>
    </w:p>
    <w:p>
      <w:pPr/>
      <w:r>
        <w:rPr>
          <w:b/>
        </w:rPr>
        <w:t>Shared claim-specific concepts:</w:t>
      </w:r>
      <w:r>
        <w:t xml:space="preserve"> show, wind, solar, energy, system; EU scope visible. This is a provisional connection, not an outcome finding.</w:t>
      </w:r>
    </w:p>
    <w:p>
      <w:pPr>
        <w:pStyle w:val="SourceNote"/>
      </w:pPr>
      <w:r>
        <w:rPr>
          <w:b/>
        </w:rPr>
        <w:t>Available abstract (not full text):</w:t>
      </w:r>
      <w:r>
        <w:t xml:space="preserve"> We quantify in more detail than earlier studies the cost trade-offs of establishing import-export links between Europe and North Africa for two quintessential energy carriers needed for the energy transition: electricity and hydrogen. Using the TIAM-ECN model, we show under what assumptions Europe will make a net energy system cost gain or, inversely, pay a net price for exploiting such interlinkages. We find that allowing for trade of renewable energy between Europe and North Africa substantially reduces the EU's domestic renewable energy capacity investments needed to implement its Green Deal and Fit for 55 Programme. In addition to creating import-export scenarios for electricity and hydrogen across the Mediterranean and investigating the cost implications of a European-African energy partnership until 2050, we perform a detailed sensitivity analysis regarding possible technological developments and sectoral shifts, as well as vis-à-vis potential cost, sectoral and technical asymmetries between Europe and North Africa. We introduce a new concept in energy analysis, autarky penalty, which is the price paid by a region for restricting energy trade with its neighbors. If domestic hydrogen production from solar and wind energy through electrolysis is constrained, Europe's autarky penalty may increase to 30 billion $ annually by 2050.</w:t>
      </w:r>
    </w:p>
    <w:p>
      <w:pPr/>
      <w:r>
        <w:rPr>
          <w:b/>
        </w:rPr>
        <w:t>POSSIBLE 2024:</w:t>
      </w:r>
      <w:r>
        <w:t xml:space="preserve"> A Cost Effective Solution to an Automated Valet Parking System — https://doi.org/10.1007/s12239-024-00031-9</w:t>
      </w:r>
    </w:p>
    <w:p>
      <w:pPr/>
      <w:r>
        <w:rPr>
          <w:b/>
        </w:rPr>
        <w:t>Shared claim-specific concepts:</w:t>
      </w:r>
      <w:r>
        <w:t xml:space="preserve"> solution, requires, system; EU scope not established. This is a provisional connection, not an outcome finding.</w:t>
      </w:r>
    </w:p>
    <w:p>
      <w:pPr>
        <w:pStyle w:val="SourceNote"/>
      </w:pPr>
      <w:r>
        <w:rPr>
          <w:b/>
        </w:rPr>
        <w:t>Available abstract (not full text):</w:t>
      </w:r>
      <w:r>
        <w:t xml:space="preserve"> Abstract Automated Valet Parking Systems (AVPS) relieve the driver of the entire parking process. Many of the systems known today rely on a combination of automotive sensors with sensors of the infrastructure. For this purpose, parking facilities are equipped with comprehensive sensor technology to support the vehicles in environment sensing and route planning. This approach is comparatively expensive which is why many parking operators don’t provide that technology to their customers. This paper proposes a lean AVPS system architecture that requires minimal effort to adapt the infrastructure. At the same time, state-of-the-art vehicle technology is used to make AVPS more profitable overall. At the beginning, an overview will be given describing the state of the art of AVPS. Subsequently, requirements for the AVPS will be elaborated, whereby the system can be designed and implemented in the following. Finally, the presentation of simulation results shows that one doesn’t have to extend the infrastructure with sensors to develop a safe and reliable AVPS.</w:t>
      </w:r>
    </w:p>
    <w:p>
      <w:pPr/>
      <w:r>
        <w:rPr>
          <w:b/>
        </w:rPr>
        <w:t>POSSIBLE 2024:</w:t>
      </w:r>
      <w:r>
        <w:t xml:space="preserve"> Modelling the effect of land use and crop changes on water harvesting agricultural reservoirs — https://doi.org/10.5194/egusphere-egu24-936</w:t>
      </w:r>
    </w:p>
    <w:p>
      <w:pPr/>
      <w:r>
        <w:rPr>
          <w:b/>
        </w:rPr>
        <w:t>Shared claim-specific concepts:</w:t>
      </w:r>
      <w:r>
        <w:t xml:space="preserve"> solution, land, less; EU scope visible. This is a provisional connection, not an outcome finding.</w:t>
      </w:r>
    </w:p>
    <w:p>
      <w:pPr>
        <w:pStyle w:val="SourceNote"/>
      </w:pPr>
      <w:r>
        <w:rPr>
          <w:b/>
        </w:rPr>
        <w:t>Available abstract (not full text):</w:t>
      </w:r>
      <w:r>
        <w:t xml:space="preserve"> Water harvesting with Small Agricultural Reservoirs (SmAR) represents a solution for sustainable water management at a global scale. Early estimates showed that globally there were about 277,400,000 SmAR with an area of less than one hectare, and 24,120,000 water bodies between one and 10 hectares, representing more than 90% of the world’s standing water bodies. One of the most relevant challenges for the sustainable management of SmAR is represented by the loss of storage volume caused by the inflow of sediments. However, the analysis of the dynamics of sedimentation for SmAR received relatively little interest so far in the Mediterranean and on a global scale.The purpose of this study is to implement a fully calibrated and validated model simulating the hydrology and erosion dynamics of the catchment of a SmAR in the Tuscany Region (Italy). The area is in the hilly area of Crete Senesi, about 15 km from Siena, where wine production is particularly developed, but not within the catchment of study, where the cultivation of cereals, renewal crops, and forage is practiced and there is a large grazing area. Our analysis aimed at estimating how much the rate of sediment accumulation in the reservoir would vary with the replacement of currently arable land with vineyards.A model was implemented on the HEC-HMS software, maximizing the value of existent low-cost data (Google Earth ima</w:t>
      </w:r>
    </w:p>
    <w:p>
      <w:pPr/>
      <w:r>
        <w:rPr>
          <w:b/>
        </w:rPr>
        <w:t>POSSIBLE 2024:</w:t>
      </w:r>
      <w:r>
        <w:t xml:space="preserve"> Cost‐effective use of abandoned agricultural land for biofuel production — https://doi.org/10.1111/gcbb.13165</w:t>
      </w:r>
    </w:p>
    <w:p>
      <w:pPr/>
      <w:r>
        <w:rPr>
          <w:b/>
        </w:rPr>
        <w:t>Shared claim-specific concepts:</w:t>
      </w:r>
      <w:r>
        <w:t xml:space="preserve"> show, land, also, both, reduced, less; EU scope visible. This is a provisional connection, not an outcome finding.</w:t>
      </w:r>
    </w:p>
    <w:p>
      <w:pPr>
        <w:pStyle w:val="SourceNote"/>
      </w:pPr>
      <w:r>
        <w:rPr>
          <w:b/>
        </w:rPr>
        <w:t>Available abstract (not full text):</w:t>
      </w:r>
      <w:r>
        <w:t xml:space="preserve"> Abstract Biofuel can be used to abate greenhouse gas emissions in the transport sector, by replacing fossil fuel. To avoid the problem of competition with food production, the use of abandoned agricultural land (AAL) for production of the feedstock for biofuel has been proposed. AAL has generally low productivity but has also low opportunity costs, and production of perennial bioenergy crops on it can lead to carbon sequestration. A spatially explicit optimization model of biofuel production and transport fuel consumption, applied to Sweden, was used for an analysis of how AAL can alter costs for greenhouse gas emissions abatement. Results show that, compared to the case without AAL, AAL could decrease the costs of reducing greenhouse gas emissions by 29%, for emissions reductions equivalent to 50% of current emissions from gasoline in Sweden. The carbon sequestration from establishing perennial bioenergy crops on AAL is the main driver of the positive results. High carbon sequestration on AAL implies larger emissions reduction for a given volume of biofuel, and the results show that the total biofuel production can be both smaller and larger with AAL. The use of arable land for biofuel production is generally smaller with AAL, but larger at some of the highest analyzed target levels. The low AAL feedstock costs contribute to lower costs of the total biofuel production, which p</w:t>
      </w:r>
    </w:p>
    <w:p>
      <w:pPr>
        <w:pStyle w:val="Heading2"/>
      </w:pPr>
      <w:r>
        <w:t>512. Business ecosystems and the view from the future: The use of corporate foresight by stakeholders of the Ro-Ro shipping ecosystem in the Baltic Sea Region</w:t>
      </w:r>
    </w:p>
    <w:p>
      <w:pPr>
        <w:pStyle w:val="SourceNote"/>
      </w:pPr>
      <w:r>
        <w:rPr>
          <w:b/>
        </w:rPr>
        <w:t>Original source (2022):</w:t>
      </w:r>
      <w:r>
        <w:t xml:space="preserve"> https://doi.org/10.1016/j.techfore.2022.121966</w:t>
      </w:r>
    </w:p>
    <w:p>
      <w:pPr/>
      <w:r>
        <w:t>Original wording (abstract; indexed_source_text_not_full_document_verified): Corporate foresight tools, as applied to an ecosystem: 1) Target a diverse set of ecosystem actors beyond the segment's focal firm, including complementary firms, investors, and non-market actors; 2) Engage ecosystem actors, rather than only the focal firm, in shared strategy development based on a diverse mix of foresight tools; and 3) serve to orient and reify the ecosystem by charting the collective anticipation of innovations, policies, etc., in a shared set of future options.</w:t>
      </w:r>
    </w:p>
    <w:p>
      <w:pPr/>
      <w:r>
        <w:rPr>
          <w:b/>
        </w:rPr>
        <w:t>POSSIBLE 2026:</w:t>
      </w:r>
      <w:r>
        <w:t xml:space="preserve"> Corporate foresight and innovation: The mediating role of innovation culture — https://openalex.org/W7221733502</w:t>
      </w:r>
    </w:p>
    <w:p>
      <w:pPr/>
      <w:r>
        <w:rPr>
          <w:b/>
        </w:rPr>
        <w:t>Shared claim-specific concepts:</w:t>
      </w:r>
      <w:r>
        <w:t xml:space="preserve"> corporate, foresight, complementary; EU scope visible. This is a provisional connection, not an outcome finding.</w:t>
      </w:r>
    </w:p>
    <w:p>
      <w:pPr>
        <w:pStyle w:val="SourceNote"/>
      </w:pPr>
      <w:r>
        <w:rPr>
          <w:b/>
        </w:rPr>
        <w:t>Available abstract (not full text):</w:t>
      </w:r>
      <w:r>
        <w:t xml:space="preserve"> In an era characterized by rapid and unpredictable change, corporate foresight has become increasingly important as a strategic tool to promote innovation. Nonetheless, questions persist about how effectively organizations leverage corporate foresight to enhance new product portfolio innovativeness (NPI). This doctoral investigation addresses this gap by posing the following research question: How does corporate foresight relate to NPI? Accordingly, the purpose of this study is to examine the relationship between corporate foresight and NPI and to explore the mediating role of innovation culture and the moderating effect of environmental uncertainty (EU). This empirical investigation employed a cross- sectional quantitative design. The hypotheses were evaluated through a survey of 113 companies in Colombia's food and beverage sector, and the results were analyzed using partial least squares structural equation modeling (PLS-SEM). The findings indicate a significant association between corporate foresight and NPI, with innovation culture serving as a complementary mediator. Moreover, corporate foresight is positively associated with innovation culture. However, no evidence was found for the moderating effect of EU. This doctoral research contributes to the body of knowledge on business management by addressing a gap in the literature on the mechanisms that link corporate foresig</w:t>
      </w:r>
    </w:p>
    <w:p>
      <w:pPr/>
      <w:r>
        <w:rPr>
          <w:b/>
        </w:rPr>
        <w:t>POSSIBLE 2026:</w:t>
      </w:r>
      <w:r>
        <w:t xml:space="preserve"> Anticipating tomorrow: The role of corporate foresight and prospective sensemaking in managing digital changes by established organizations — https://doi.org/10.1111/emre.70054</w:t>
      </w:r>
    </w:p>
    <w:p>
      <w:pPr/>
      <w:r>
        <w:rPr>
          <w:b/>
        </w:rPr>
        <w:t>Shared claim-specific concepts:</w:t>
      </w:r>
      <w:r>
        <w:t xml:space="preserve"> corporate, foresight, tools; EU scope visible. This is a provisional connection, not an outcome finding.</w:t>
      </w:r>
    </w:p>
    <w:p>
      <w:pPr>
        <w:pStyle w:val="SourceNote"/>
      </w:pPr>
      <w:r>
        <w:rPr>
          <w:b/>
        </w:rPr>
        <w:t>Available abstract (not full text):</w:t>
      </w:r>
      <w:r>
        <w:t xml:space="preserve"> Abstract In the digital era, established organizations face significant challenges in adapting to unfolding changes. This study explores the reciprocal relationship between prospective sensemaking and corporate foresight within a large European bank engaged in digital transformation through its corporate accelerator program. By employing a qualitative single‐case study design, this research explores how an established organization interprets and responds to digital changes, fostering innovation, and strategic flexibility. Data were collected through 38 semi‐structured interviews with top and middle managers from the bank, its corporate accelerators, and the startups they support. Our findings reveal that environmental scanning, making sense of the future, and reflexive influencing support the development of corporate foresight capabilities, which in turn facilitate organizational adaptation to digital changes. The study also highlights the crucial role of corporate accelerators as strategic tools in navigating the complexities of digital transformation, emphasizing the importance of an innovative culture for maintaining competitiveness.</w:t>
      </w:r>
    </w:p>
    <w:p>
      <w:pPr/>
      <w:r>
        <w:rPr>
          <w:b/>
        </w:rPr>
        <w:t>POSSIBLE 2026:</w:t>
      </w:r>
      <w:r>
        <w:t xml:space="preserve"> Foresight: the general course. Foresight technology as a tool for innovative development — https://doi.org/10.12737/2223654</w:t>
      </w:r>
    </w:p>
    <w:p>
      <w:pPr/>
      <w:r>
        <w:rPr>
          <w:b/>
        </w:rPr>
        <w:t>Shared claim-specific concepts:</w:t>
      </w:r>
      <w:r>
        <w:t xml:space="preserve"> corporate, foresight, applied, including; EU scope not established. This is a provisional connection, not an outcome finding.</w:t>
      </w:r>
    </w:p>
    <w:p>
      <w:pPr>
        <w:pStyle w:val="SourceNote"/>
      </w:pPr>
      <w:r>
        <w:rPr>
          <w:b/>
        </w:rPr>
        <w:t>Available abstract (not full text):</w:t>
      </w:r>
      <w:r>
        <w:t xml:space="preserve"> The basics of foresight are considered as a specific form of forecasting the most important areas of research in which technologies that are significant for society may appear. Foresight is also presented as a socio-humanitarian technology for creating an image of the future in a particular field. The role of foresight in innovative development and strategic planning is revealed. The foresight methodology is presented. The foresight project management is considered, the main stages of its implementation are presented. The features of different types of foresight, including regional and corporate ones, are revealed. The possibility of conducting an individual foresight is substantiated, and the technology for conducting it has been developed. The content of the textbook corresponds to the federal state educational standards of higher education of the latest generation. It is intended for Master's degree students studying in the fields of Economics, Management and Applied Informatics, and for anyone interested in modern management.</w:t>
      </w:r>
    </w:p>
    <w:p>
      <w:pPr/>
      <w:r>
        <w:rPr>
          <w:b/>
        </w:rPr>
        <w:t>POSSIBLE 2026:</w:t>
      </w:r>
      <w:r>
        <w:t xml:space="preserve"> Double AI Simulations Supported by Synthetic Data in Smart Tourism Innovation for Corporate Foresight — https://doi.org/10.4324/9781003661368-11</w:t>
      </w:r>
    </w:p>
    <w:p>
      <w:pPr/>
      <w:r>
        <w:rPr>
          <w:b/>
        </w:rPr>
        <w:t>Shared claim-specific concepts:</w:t>
      </w:r>
      <w:r>
        <w:t xml:space="preserve"> corporate, foresight, applied, only; EU scope not established. This is a provisional connection, not an outcome finding.</w:t>
      </w:r>
    </w:p>
    <w:p>
      <w:pPr>
        <w:pStyle w:val="SourceNote"/>
      </w:pPr>
      <w:r>
        <w:rPr>
          <w:b/>
        </w:rPr>
        <w:t>Available abstract (not full text):</w:t>
      </w:r>
      <w:r>
        <w:t xml:space="preserve"> This chapter aims to demonstrate how AI-on-AI systems enhanced with synthetic data can support companies operating in the tourism sector in simultaneously developing their innovation capabilities, corporate foresight, and risk management. The chapter presents the concept of EWS and the role of AI-on-AI solutions, in which two AI models collaborate: one focuses on forecasting and early risk detection, while the other is utilised for strategic simulations and decision support. The application of AI functions as a tool for proactive decision-making and resilience through strategic simulations and EWS. Three case studies empirically confirm the effectiveness of the concept. AI can only reach its full potential when it is applied in a strategically integrated, ethical, human-centred, and transparent way. The chapter also addresses the usability of synthetic data as a tool for both data protection and innovation. The approach presented may contribute to a sustainable, resilient, and competitive vision for the future of tourism, while strengthening the role of local communities and businesses in the digital transition. The conclusions highlight the importance of responsible AI use for sustainable and inclusive development. The chapter concludes with recommendations for future research directions and a summary of the chapter’s key messages.</w:t>
      </w:r>
    </w:p>
    <w:p>
      <w:pPr/>
      <w:r>
        <w:rPr>
          <w:b/>
        </w:rPr>
        <w:t>POSSIBLE 2026:</w:t>
      </w:r>
      <w:r>
        <w:t xml:space="preserve"> Evaluating the Role of Strategic Foresight in Enhancing Corporate Governance: An Analytical Study at the Baghdad Provincial Council — https://doi.org/10.59992/ijfaes.2026.v5n4p4</w:t>
      </w:r>
    </w:p>
    <w:p>
      <w:pPr/>
      <w:r>
        <w:rPr>
          <w:b/>
        </w:rPr>
        <w:t>Shared claim-specific concepts:</w:t>
      </w:r>
      <w:r>
        <w:t xml:space="preserve"> corporate, foresight, including; EU scope not established. This is a provisional connection, not an outcome finding.</w:t>
      </w:r>
    </w:p>
    <w:p>
      <w:pPr>
        <w:pStyle w:val="SourceNote"/>
      </w:pPr>
      <w:r>
        <w:rPr>
          <w:b/>
        </w:rPr>
        <w:t>Available abstract (not full text):</w:t>
      </w:r>
      <w:r>
        <w:t xml:space="preserve"> This study aims to examine the relationship of correlation and impact between strategic foresight as an independent (explanatory) variable and corporate governance as a dependent (responsive) variable, through their respective dimensions. The dimensions of strategic foresight include environmental scanning, strategic choice, and integration capability, while the dimensions of corporate governance comprise the effective governance framework, board of directors’ responsibilities, the role of stakeholders in organizational governance, as well as disclosure and transparency. The study was conducted at the Baghdad Provincial Council. The study population included all departments and committees within the Council. A purposive sample was selected, consisting of administrative leaders, including directors, heads of departments, officials of divisions and units, and heads of permanent committees (such as the Health Committee, Electricity Committee, Services Committee, etc.). The researcher adopted a descriptive-analytical approach. A questionnaire was used as the primary data collection tool, consisting of (42) items distributed across the study variables. The number of valid responses analyzed reached (77) out of (85) distributed questionnaires, in addition to diagnosing the actual situation of the organization under study. The study was guided by the following central question: To wha</w:t>
      </w:r>
    </w:p>
    <w:p>
      <w:pPr/>
      <w:r>
        <w:rPr>
          <w:b/>
        </w:rPr>
        <w:t>POSSIBLE 2026:</w:t>
      </w:r>
      <w:r>
        <w:t xml:space="preserve"> Decision-Oriented Foresight for Transforming Entrepreneurial Ecosystems toward 2040 — https://doi.org/10.24023/futurejournal/2175-5825/2026.v18i1.986</w:t>
      </w:r>
    </w:p>
    <w:p>
      <w:pPr/>
      <w:r>
        <w:rPr>
          <w:b/>
        </w:rPr>
        <w:t>Shared claim-specific concepts:</w:t>
      </w:r>
      <w:r>
        <w:t xml:space="preserve"> foresight, applied, ecosystem; EU scope not established. This is a provisional connection, not an outcome finding.</w:t>
      </w:r>
    </w:p>
    <w:p>
      <w:pPr>
        <w:pStyle w:val="SourceNote"/>
      </w:pPr>
      <w:r>
        <w:rPr>
          <w:b/>
        </w:rPr>
        <w:t>Available abstract (not full text):</w:t>
      </w:r>
      <w:r>
        <w:t xml:space="preserve"> Objective: This study aims to identify and operationalize the most strategic future scenario for transforming Ecuador’s entrepreneurial ecosystem toward 2040, addressing the gap between high entrepreneurial activity and limited structural transformation through a decision-oriented foresight approach. Originality/Value: The article advances strategic foresight by shifting the focus from scenario construction to scenario selection and commitment. It introduces a transparent and replicable framework that integrates participatory criteria definition and multi-criteria decision analysis to legitimize strategic choice in fragmented and uncertain contexts. Methods: A multi-method design was applied. Causal Layered Analysis was used to construct four alternative future scenarios. A high-competence expert panel was selected using the K coefficient method. Strategic evaluation criteria were prioritized through the Régnier Abacus, and scenarios were ranked using the Analytic Hierarchy Process. The selected scenario was operationalized through strategic roadmapping with backcasting to 2040. Results: The results identify a science- and technology-based entrepreneurial ecosystem as the most strategic scenario, achieving the highest global priority by balancing relevance, feasibility, desirability, and transformative capacity. Relevance and feasibility were weighted more strongly than radical</w:t>
      </w:r>
    </w:p>
    <w:p>
      <w:pPr/>
      <w:r>
        <w:rPr>
          <w:b/>
        </w:rPr>
        <w:t>POSSIBLE 2026:</w:t>
      </w:r>
      <w:r>
        <w:t xml:space="preserve"> Architecting Multi-Agent Generative AI Ecosystems for Predictive Market Simulation and Strategic Foresight — https://doi.org/10.48175/ijarsct-35811</w:t>
      </w:r>
    </w:p>
    <w:p>
      <w:pPr/>
      <w:r>
        <w:rPr>
          <w:b/>
        </w:rPr>
        <w:t>Shared claim-specific concepts:</w:t>
      </w:r>
      <w:r>
        <w:t xml:space="preserve"> foresight, actors, including; EU scope not established. This is a provisional connection, not an outcome finding.</w:t>
      </w:r>
    </w:p>
    <w:p>
      <w:pPr>
        <w:pStyle w:val="SourceNote"/>
      </w:pPr>
      <w:r>
        <w:rPr>
          <w:b/>
        </w:rPr>
        <w:t>Available abstract (not full text):</w:t>
      </w:r>
      <w:r>
        <w:t xml:space="preserve"> Traditional business analytics relies heavily on historical data, rendering it ineffective at predicting unprecedented market disruptions, non-linear consumer behavioural shifts, or structural black swan events. This paper introduces a ground breaking framework: Generative Predictive Market Simulation (GPMS). By utilizing specialized, multi-agent Large Language Model (LLM) ecosystems, we construct highly expressive synthetic market environments. These autonomous digital agents are encoded with specific psychographic profiles, architectural memory constraints, budgetary limitations, and historical cognitive biases. Unlike traditional rule-based agent models, these generative actors exhibit semantic reasoning, emergent micro-interactions, and adaptive decision-making capabilities. We detail the three-tiered system architecture consisting of an Agent Definition Layer, a Simulation Environment, and an Analytics Extraction Layer. Furthermore, we evaluate empirical results from a 1,000-agent validation deployment simulating consumer response to a disruptive subscription-based financial technology service over a 12-month horizon. The simulation generated an adoption curve highly congruent with subsequent empirical test-market trajectories, achieving an R² value of 0.88, while capturing complex qualitative market dynamics such as privacy-related consumer backlashes. Finally, we explore</w:t>
      </w:r>
    </w:p>
    <w:p>
      <w:pPr/>
      <w:r>
        <w:rPr>
          <w:b/>
        </w:rPr>
        <w:t>POSSIBLE 2026:</w:t>
      </w:r>
      <w:r>
        <w:t xml:space="preserve"> Corporate foresight among small- and medium-sized enterprises in forest-based bioeconomy: conceptual framework and empirical evidence from Finland — https://doi.org/10.1139/cjfr-2025-0274</w:t>
      </w:r>
    </w:p>
    <w:p>
      <w:pPr/>
      <w:r>
        <w:rPr>
          <w:b/>
        </w:rPr>
        <w:t>Shared claim-specific concepts:</w:t>
      </w:r>
      <w:r>
        <w:t xml:space="preserve"> corporate, foresight, complementary, rather; EU scope visible. This is a provisional connection, not an outcome finding.</w:t>
      </w:r>
    </w:p>
    <w:p>
      <w:pPr>
        <w:pStyle w:val="SourceNote"/>
      </w:pPr>
      <w:r>
        <w:rPr>
          <w:b/>
        </w:rPr>
        <w:t>Available abstract (not full text):</w:t>
      </w:r>
      <w:r>
        <w:t xml:space="preserve"> Empirical evidence on how corporate foresight is conducted in small- and medium-sized enterprises (SMEs) remains scarce. Our study constructed a practical framework by comparing the theoretical elements of corporate foresight found in existing literature with corporate foresight practices identified in Finnish forest-based bioeconomy SMEs. The empirical part relied on a mixed method approach consisting of interviews with 15 company managers and a complementary questionnaire dataset from 53 representatives of Finnish forest-based SMEs. According to the empirical findings, foresight practices predominantly relate to short-term operational planning conducted within each SME and its business field. However, the findings cannot be generalised to all SMEs due to convenience sampling and the rather low response rate in the survey (11%). Adoption of the proposed corporate foresight framework could help companies recognise the full value of the foresight practices that they are already conducting and facilitate taking steps toward implementing these practices more effectively. Integrating open and collaborative approaches into the longer-term future planning of SMEs can provide alternative insights of futures as opposed to trying to predict the future, thus supporting the reconfigurations of operations and renewal of organisational culture within the uncertain and complex operating envi</w:t>
      </w:r>
    </w:p>
    <w:p>
      <w:pPr/>
      <w:r>
        <w:rPr>
          <w:b/>
        </w:rPr>
        <w:t>POSSIBLE 2026:</w:t>
      </w:r>
      <w:r>
        <w:t xml:space="preserve"> The next episode for narrative foresight — https://doi.org/10.1016/j.futures.2026.103876</w:t>
      </w:r>
    </w:p>
    <w:p>
      <w:pPr/>
      <w:r>
        <w:rPr>
          <w:b/>
        </w:rPr>
        <w:t>Shared claim-specific concepts:</w:t>
      </w:r>
      <w:r>
        <w:t xml:space="preserve"> foresight, tools, engage, only; EU scope not established. This is a provisional connection, not an outcome finding.</w:t>
      </w:r>
    </w:p>
    <w:p>
      <w:pPr>
        <w:pStyle w:val="SourceNote"/>
      </w:pPr>
      <w:r>
        <w:rPr>
          <w:b/>
        </w:rPr>
        <w:t>Available abstract (not full text):</w:t>
      </w:r>
      <w:r>
        <w:t xml:space="preserve"> Narratives serve as powerful tools in futures studies, as they enable people to engage with different types of futures through identification, emotional connection, and immersion. To establish this, we contribute to narrative foresight by introducing the narratives-with-branches methodology which is a systematic approach for translating participatory ideas into possible futures. To be more specific, we discuss four narratives concerning futures of hybrid work, each constructed around paradoxes and tipping points that open space for thinking of possible future trajectories. The narratives were developed and refined through a multi-stage process involving expert consultation, stakeholder engagement, and a participatory workshop we mainly focus on. In the narratives-with-branches methodology , workshop-generated ideas are interpreted as inputs, formulated into episodes, and clustered into episode themes. We classify these themes as repeating , ephemeral , or obscure , corresponding to plausible , possible , and radical futures respectively. While we focus on the use of the methodology only in one case, we discuss how the methodology provides a conceptual machinery for branching narratives in structured but flexible ways. We discuss how collective intelligence in the form of a workshop discussion can branch baseline narratives toward preferred futures and how the methodology can be</w:t>
      </w:r>
    </w:p>
    <w:p>
      <w:pPr/>
      <w:r>
        <w:rPr>
          <w:b/>
        </w:rPr>
        <w:t>POSSIBLE 2026:</w:t>
      </w:r>
      <w:r>
        <w:t xml:space="preserve"> A Roadmap for Evaluating Foresight Initiatives — https://doi.org/10.5281/zenodo.18092300</w:t>
      </w:r>
    </w:p>
    <w:p>
      <w:pPr/>
      <w:r>
        <w:rPr>
          <w:b/>
        </w:rPr>
        <w:t>Shared claim-specific concepts:</w:t>
      </w:r>
      <w:r>
        <w:t xml:space="preserve"> corporate, foresight, diverse, strategy; EU scope not established. This is a provisional connection, not an outcome finding.</w:t>
      </w:r>
    </w:p>
    <w:p>
      <w:pPr>
        <w:pStyle w:val="SourceNote"/>
      </w:pPr>
      <w:r>
        <w:rPr>
          <w:b/>
        </w:rPr>
        <w:t>Available abstract (not full text):</w:t>
      </w:r>
      <w:r>
        <w:t xml:space="preserve"> As strategic foresight evolves into a critical tool for facing uncertain and complex environments, the systematic evaluation of foresight activities has emerged as essential for building organizational resilience, credibility, and actionable impact. This study addresses this vital yet underexplored domain by developing a practical roadmap that transforms creative futures thinking into defensible, measurable knowledge trusted by decision-makers. Drawing on layered conceptual analysis, established frameworks from leading scholars and institutions, and practical insights across sectors, the research proposes specific, adaptable steps for evaluators to achieve robust outcomes. It effectively bridges the tension between imaginative exploration and empirical rigor while accommodating diverse cultural, sectoral, and stakeholder perspectives. Real-world vignettes from corporate transformations and public-sector initiatives vividly demonstrate how rigorous, context-sensitive evaluation legitimizes foresight investments, enhances adaptive capacity and agility, and seamlessly integrates futures thinking into core strategy formulation and execution. This study equips foresight practitioners, corporate leaders, policymakers, educators, and researchers with an overview of maturity models, readiness indexes, and mixed-method approaches to design, implement, and refine evaluation processes.</w:t>
      </w:r>
    </w:p>
    <w:p>
      <w:pPr/>
      <w:r>
        <w:rPr>
          <w:b/>
        </w:rPr>
        <w:t>POSSIBLE 2026:</w:t>
      </w:r>
      <w:r>
        <w:t xml:space="preserve"> Translating foresight insights into action: A multiple-case study on foresight capabilities in large Finnish companies — https://openalex.org/W7220770293</w:t>
      </w:r>
    </w:p>
    <w:p>
      <w:pPr/>
      <w:r>
        <w:rPr>
          <w:b/>
        </w:rPr>
        <w:t>Shared claim-specific concepts:</w:t>
      </w:r>
      <w:r>
        <w:t xml:space="preserve"> corporate, foresight, complementary, only, shared; EU scope not established. This is a provisional connection, not an outcome finding.</w:t>
      </w:r>
    </w:p>
    <w:p>
      <w:pPr>
        <w:pStyle w:val="SourceNote"/>
      </w:pPr>
      <w:r>
        <w:rPr>
          <w:b/>
        </w:rPr>
        <w:t>Available abstract (not full text):</w:t>
      </w:r>
      <w:r>
        <w:t xml:space="preserve"> The operating environment of companies is changing at an increasingly rapid pace and has become more turbulent than ever. Uncertainty complicates decision-making, and operational pressures often steer companies' activities at the expense of longer-term perspective. The ability to anticipate future developments has emerged as a key competitive advantage, enabling companies to respond to change proactively. Corporate foresight refers to the systematic identification of environmental changes, interpretation of gathered information, and development of organizational responses. Although companies are increasingly utilizing foresight to better understand their operating environment, they often face challenges particularly in using foresight insights in decision-making. This study aims to examine how companies carry out their foresight processes and what foresight capabilities are required for the effective utilization of foresight insights. The study combines process and capability perspectives on foresight into a systemic view, according to which foresight is strongly context-specific. Both the external and internal organizational context significantly shape what the foresight process should look like, how it is enacted in practice, and what capabilities are required. The empirical research was conducted as a qualitative multiple-case study involving four large Finnish companies ope</w:t>
      </w:r>
    </w:p>
    <w:p>
      <w:pPr/>
      <w:r>
        <w:rPr>
          <w:b/>
        </w:rPr>
        <w:t>POSSIBLE 2026:</w:t>
      </w:r>
      <w:r>
        <w:t xml:space="preserve"> Complementing Scenario Planning to the Strategic Value of Corporate War Gaming for Foresight and Decision-Making — https://doi.org/10.32479/irmm.23377</w:t>
      </w:r>
    </w:p>
    <w:p>
      <w:pPr/>
      <w:r>
        <w:rPr>
          <w:b/>
        </w:rPr>
        <w:t>Shared claim-specific concepts:</w:t>
      </w:r>
      <w:r>
        <w:t xml:space="preserve"> corporate, foresight, complementary; EU scope not established. This is a provisional connection, not an outcome finding.</w:t>
      </w:r>
    </w:p>
    <w:p>
      <w:pPr>
        <w:pStyle w:val="SourceNote"/>
      </w:pPr>
      <w:r>
        <w:rPr>
          <w:b/>
        </w:rPr>
        <w:t>Available abstract (not full text):</w:t>
      </w:r>
      <w:r>
        <w:t xml:space="preserve"> Corporate war gaming is becoming more widely regarded as a complementary approach to classic scenario planning in assisting organizations during uncertain and complex times. Scenario planning has been used for decades to prepare for uncertain exogenous circumstances and provide long-haul foresight, but its descriptive and narrative approach does not appropriately capture competitive dynamics and hidden risks. Corporate war gaming offers experiential, role-play simulations that progressively stress-test strategies against adversarial environments and responses from stakeholders. This paper examines how corporate war gaming complements scenario planning and ultimately creates value in an organization's decision-making process. Qualitative research design was employed in this study to answer this question by leveraging semi-structured interviews with fourteen individuals who acted as key informants across various sectors, and data were analyzed using Braun and Clarke’s thematic analysis process. The findings produced six themes—active simulation, strategic agility and readiness, revelation of blind spots, integration of competitors and stakeholders’ perspective, cross-functional collaboration, and multi-level application, which together demonstrate how a war game aspires to transmute foresight in planning to rehearsed action. Given these findings, the study finds that corporate wa</w:t>
      </w:r>
    </w:p>
    <w:p>
      <w:pPr>
        <w:pStyle w:val="Heading2"/>
      </w:pPr>
      <w:r>
        <w:t>513. Carbon intensity of the Ukrainian industry: current state and foresight</w:t>
      </w:r>
    </w:p>
    <w:p>
      <w:pPr>
        <w:pStyle w:val="SourceNote"/>
      </w:pPr>
      <w:r>
        <w:rPr>
          <w:b/>
        </w:rPr>
        <w:t>Original source (2022):</w:t>
      </w:r>
      <w:r>
        <w:t xml:space="preserve"> https://doi.org/10.15407/econindustry2022.01.061</w:t>
      </w:r>
    </w:p>
    <w:p>
      <w:pPr/>
      <w:r>
        <w:t>Original wording (abstract; indexed_source_text_not_full_document_verified): According to the basic scenario of the decarbonization of the Ukrainian industry (preservation of current trends and phenomena), an exhaustion of the national quota for greenhouse gas emissions by 2040, further deindustrialization of the economy, an increase in technological gaps with the developed countries of the world and an aggravate in the competitive vulnerability of national exporters are expected. The optimistic scenario assumes successful decarbonization and digitalization of the technological structure of the industrial complex.</w:t>
      </w:r>
    </w:p>
    <w:p>
      <w:pPr/>
      <w:r>
        <w:rPr>
          <w:b/>
        </w:rPr>
        <w:t>POSSIBLE 2026:</w:t>
      </w:r>
      <w:r>
        <w:t xml:space="preserve"> DIGITIZATION AS A TOOL FOR ENSURING THE PRESERVATION OF ARCHIVAL COLLECTIONS: CURRENT STATE AND PROSPECTS — https://doi.org/10.31073/istnauka202602-22</w:t>
      </w:r>
    </w:p>
    <w:p>
      <w:pPr/>
      <w:r>
        <w:rPr>
          <w:b/>
        </w:rPr>
        <w:t>Shared claim-specific concepts:</w:t>
      </w:r>
      <w:r>
        <w:t xml:space="preserve"> according, basic, ukrainian, preservation, current, national; EU scope not established. This is a provisional connection, not an outcome finding.</w:t>
      </w:r>
    </w:p>
    <w:p>
      <w:pPr>
        <w:pStyle w:val="SourceNote"/>
      </w:pPr>
      <w:r>
        <w:rPr>
          <w:b/>
        </w:rPr>
        <w:t>Available abstract (not full text):</w:t>
      </w:r>
      <w:r>
        <w:t xml:space="preserve"> ОЦИФРУВАННЯ ЯК ІНСТРУМЕНТ ЗАБЕЗПЕЧЕННЯ ЗБЕРЕЖЕНОСТІ АРХІВНИХ ФОНДІВ: СУЧАСНИЙ СТАН І ПЕРСПЕКТИВИ Метою статті є встановлення ролі оцифрування у системі забезпечення збереженості архівних фондів.Проаналізовано понятійний апарат архівного оцифрування: охарактеризовано терміни «оцифрування», «майстер-копія», «робоча копія», «цифровий фонд користування документами НАФ», «метадані цифрової копії», «страхова копія», «страховий фонд».Висвітлено законодавче регулювання оцифрування архівних фондів.Доведено, що базове архівне законодавство про Національний архівний фонд встановлює загальний Історія науки і біографістика, № 2, 2026 ДЕМУЗ Інна, КИРПОСЕНКО Поліна documents, while legislation on trust services defines the mechanisms for granting legal validity to digital copies, and legislation in the fields of information security and copyright regulates the conditions for their storage and publication.However, it is noted that Ukrainian legislation creates a fragmented system for the preservation of digital archives.The basic law does not define the status of a digital security fund; therefore, digitization is effectively governed by electronic records management standards and technical information protection requirements.At the same time, access to the created copies is restricted by the lack of regulation concerning the legal status of «orphan works» and by personal data protection requi</w:t>
      </w:r>
    </w:p>
    <w:p>
      <w:pPr/>
      <w:r>
        <w:rPr>
          <w:b/>
        </w:rPr>
        <w:t>POSSIBLE 2026:</w:t>
      </w:r>
      <w:r>
        <w:t xml:space="preserve"> Hydrogen: a building block for decarbonization in the future of Mexico — https://doi.org/10.1016/j.ijhydene.2026.157559</w:t>
      </w:r>
    </w:p>
    <w:p>
      <w:pPr/>
      <w:r>
        <w:rPr>
          <w:b/>
        </w:rPr>
        <w:t>Shared claim-specific concepts:</w:t>
      </w:r>
      <w:r>
        <w:t xml:space="preserve"> decarbonization, greenhouse, gas, emissions; EU scope not established. This is a provisional connection, not an outcome finding.</w:t>
      </w:r>
    </w:p>
    <w:p>
      <w:pPr>
        <w:pStyle w:val="SourceNote"/>
      </w:pPr>
      <w:r>
        <w:rPr>
          <w:b/>
        </w:rPr>
        <w:t>Available abstract (not full text):</w:t>
      </w:r>
      <w:r>
        <w:t xml:space="preserve"> Mexico aims to reduce greenhouse gas emissions by 50% by 2050 relative to 2000 levels. Hydrogen is seen as a promising alternative for decarbonising the transport, industrial, and electricity generation sectors. This study presents five prospective scenarios for 2050 that explore different hypotheses for introducing hydrogen to catalyse decarbonization of the Mexican Energy System (MES), modelled using the Low Emissions Analysis Platform (LEAP) software. Business-As-Usual (BAU), maintaining 2019 MES configuration; Decarbonization (DEC), introducing hydrogen only in the industrial sector; Market (MAR), following the pathway planned by the commercial sector; Policy (POL) driven, which installs as many hydrogen-based combined cycle plants as possible, and Net-Zero Development (NZD), achieving a hydrogen-based electricity generation by 2060. This analysis found that hydrogen can mitigate up to 16.32% of the CO2e emissions compared to BAU scenario in 2050 and save up to 13.58% of the natural gas required for power.</w:t>
      </w:r>
    </w:p>
    <w:p>
      <w:pPr/>
      <w:r>
        <w:rPr>
          <w:b/>
        </w:rPr>
        <w:t>POSSIBLE 2026:</w:t>
      </w:r>
      <w:r>
        <w:t xml:space="preserve"> Preservation and Educational Preservation of Traditional Ceramic Craft Villages in the Era of Industrialization — https://doi.org/10.59324/ejahss.2026.3(3).24</w:t>
      </w:r>
    </w:p>
    <w:p>
      <w:pPr/>
      <w:r>
        <w:rPr>
          <w:b/>
        </w:rPr>
        <w:t>Shared claim-specific concepts:</w:t>
      </w:r>
      <w:r>
        <w:t xml:space="preserve"> preservation, current, economy; EU scope not established. This is a provisional connection, not an outcome finding.</w:t>
      </w:r>
    </w:p>
    <w:p>
      <w:pPr>
        <w:pStyle w:val="SourceNote"/>
      </w:pPr>
      <w:r>
        <w:rPr>
          <w:b/>
        </w:rPr>
        <w:t>Available abstract (not full text):</w:t>
      </w:r>
      <w:r>
        <w:t xml:space="preserve"> Traditional Vietnamese ceramic craft villages represent living cultural heritages that embody the nation's wisdom and identity accumulated over millennia. In the context of rapid industrialization, urbanization, and globalization, many of these villages face severe risks of decline due to the shortage of successors, loss of production spaces, environmental pollution, and competition from industrial products. This article analyzes the current state of preservation in representative ceramic villages such as Bat Trang (Hanoi), Phu Lang (Bac Ninh), Chu Dau (Hai Duong), Bau Truc (Ninh Thuan), Thanh Ha (Quang Nam), and those in Binh Duong province, with a central focus on the critical role of educational preservation. Drawing upon theories of intangible cultural heritage, sustainable development, and heritage education, the study identifies core challenges and proposes a comprehensive system of solutions in which education serves as the pivotal strategy for intergenerational transmission, community awareness raising, and the integration of tradition with modernity. These solutions emphasize innovation in formal and non-formal education, community-based learning, digital transformation in skill transmission, and the creation of a holistic heritage education ecosystem, aligned with the Party's guidelines and State policies on new rural development and creative economy.</w:t>
      </w:r>
    </w:p>
    <w:p>
      <w:pPr/>
      <w:r>
        <w:rPr>
          <w:b/>
        </w:rPr>
        <w:t>POSSIBLE 2025:</w:t>
      </w:r>
      <w:r>
        <w:t xml:space="preserve"> Design-for-decarbonization: a framework for decarbonizing cyber-physical production systems at the design stage — https://doi.org/10.1017/pds.2025.10143</w:t>
      </w:r>
    </w:p>
    <w:p>
      <w:pPr/>
      <w:r>
        <w:rPr>
          <w:b/>
        </w:rPr>
        <w:t>Shared claim-specific concepts:</w:t>
      </w:r>
      <w:r>
        <w:t xml:space="preserve"> decarbonization, emissions, developed; EU scope not established. This is a provisional connection, not an outcome finding.</w:t>
      </w:r>
    </w:p>
    <w:p>
      <w:pPr>
        <w:pStyle w:val="SourceNote"/>
      </w:pPr>
      <w:r>
        <w:rPr>
          <w:b/>
        </w:rPr>
        <w:t>Available abstract (not full text):</w:t>
      </w:r>
      <w:r>
        <w:t xml:space="preserve"> ABSTRACT: Cyber-physical production systems (CPPS) are responsible for a significant portion of manufacturers’ carbon emissions. Since 80% of product-related environmental impacts are determined at the design stage, there is a need for CPPS manufacturers to focus on decarbonization at the design stage. To date, there is a lack of design-for-decarbonization guidance for CPPS. This paper proposes a procedural framework for the effective selection of decarbonization measures for the design of CPPS. A Decarbonization Wheel is developed to establish a product-specific decarbonization strategy. This tool is linked to a catalogue of decarbonization measures. A measure prioritization logic provides a structure for systematizing selected measures. The framework is validated in the case of an intelligent industrial control valve.</w:t>
      </w:r>
    </w:p>
    <w:p>
      <w:pPr/>
      <w:r>
        <w:rPr>
          <w:b/>
        </w:rPr>
        <w:t>POSSIBLE 2025:</w:t>
      </w:r>
      <w:r>
        <w:t xml:space="preserve"> Towards the Necessary Decarbonization of Historic Buildings: A Review — https://doi.org/10.3390/en18030502</w:t>
      </w:r>
    </w:p>
    <w:p>
      <w:pPr/>
      <w:r>
        <w:rPr>
          <w:b/>
        </w:rPr>
        <w:t>Shared claim-specific concepts:</w:t>
      </w:r>
      <w:r>
        <w:t xml:space="preserve"> according, decarbonization, preservation; EU scope not established. This is a provisional connection, not an outcome finding.</w:t>
      </w:r>
    </w:p>
    <w:p>
      <w:pPr>
        <w:pStyle w:val="SourceNote"/>
      </w:pPr>
      <w:r>
        <w:rPr>
          <w:b/>
        </w:rPr>
        <w:t>Available abstract (not full text):</w:t>
      </w:r>
      <w:r>
        <w:t xml:space="preserve"> The critical and urgent issue of decarbonization by 2050 needs to include the existing historical built environment in the process of energy requalification. These buildings, subjected to heritage preservation, are extremely inadequate to the modern standards of energy efficiency and thermal comfort, and they exhibit the poorest energy performance. In this study, a review of the existing scientific literature on the matter of energy renovation processes applied to historic buildings is provided. The reviewed papers, selected from scientific databases, were initially categorized according to their reference scale—either individual buildings or urban contexts. Subsequently, the papers were grouped on the basis of the main energy efficiency levels they investigated. The goal is to offer a comprehensive overview of the materials, technologies and strategies currently in use, as well as future perspectives, to aid the ecological transition and foster sustainable development, all while preserving the artistic, cultural and architectural heritage of these buildings.</w:t>
      </w:r>
    </w:p>
    <w:p>
      <w:pPr/>
      <w:r>
        <w:rPr>
          <w:b/>
        </w:rPr>
        <w:t>POSSIBLE 2025:</w:t>
      </w:r>
      <w:r>
        <w:t xml:space="preserve"> The US dollar and decarbonization: Exploring constraints — https://doi.org/10.1017/fas.2025.10</w:t>
      </w:r>
    </w:p>
    <w:p>
      <w:pPr/>
      <w:r>
        <w:rPr>
          <w:b/>
        </w:rPr>
        <w:t>Shared claim-specific concepts:</w:t>
      </w:r>
      <w:r>
        <w:t xml:space="preserve"> decarbonization, emissions, increase; EU scope not established. This is a provisional connection, not an outcome finding.</w:t>
      </w:r>
    </w:p>
    <w:p>
      <w:pPr>
        <w:pStyle w:val="SourceNote"/>
      </w:pPr>
      <w:r>
        <w:rPr>
          <w:b/>
        </w:rPr>
        <w:t>Available abstract (not full text):</w:t>
      </w:r>
      <w:r>
        <w:t xml:space="preserve"> Abstract This research essay explores how US dollar centrality and strength may impede decarbonization. First, I suggest that because US dollar centrality enables higher US household consumption and imports, and US household consumption is comparatively carbon-intensive, centrality can increase per capita emissions and carbon-intensive consumption in the United States. Second, I explore how US dollar strength can compromise the monetary autonomy and capacity to finance decarbonization for dollar-exposed emerging market economies. They are negatively impacted most notably in the areas of trade, external debt, and investment. Finally, US dollar strength also has the potential to limit the competitiveness of US green manufacturing and exports. US currency overvaluation means that green technologies produced in the United States can be comparatively expensive in global markets. I conclude with a discussion of future research and policy implications.</w:t>
      </w:r>
    </w:p>
    <w:p>
      <w:pPr/>
      <w:r>
        <w:rPr>
          <w:b/>
        </w:rPr>
        <w:t>POSSIBLE 2025:</w:t>
      </w:r>
      <w:r>
        <w:t xml:space="preserve"> Fish Preservation Industry Management Training in the Coastal Area of Ambon Island — https://doi.org/10.29303/ujcs.v6i3.1273</w:t>
      </w:r>
    </w:p>
    <w:p>
      <w:pPr/>
      <w:r>
        <w:rPr>
          <w:b/>
        </w:rPr>
        <w:t>Shared claim-specific concepts:</w:t>
      </w:r>
      <w:r>
        <w:t xml:space="preserve"> industry, preservation, increase; EU scope not established. This is a provisional connection, not an outcome finding.</w:t>
      </w:r>
    </w:p>
    <w:p>
      <w:pPr>
        <w:pStyle w:val="SourceNote"/>
      </w:pPr>
      <w:r>
        <w:rPr>
          <w:b/>
        </w:rPr>
        <w:t>Available abstract (not full text):</w:t>
      </w:r>
      <w:r>
        <w:t xml:space="preserve"> The background of the fish preservation industry management training is that the fish preservation industry managers in the coastal areas of Ambon Island have not yet fully implemented good business management. The purpose of this community service is to increase the capacity of human resources for industry managers to have managerial competencies. The focus of the training is all activities to provide, obtain, improve, and develop managerial competencies. The activities are carried out in several stages, namely: (1) Situational analysis of the management of the fish preservation industry is carried out to determine steps for identifying needs; (2) The activity planning stage includes the preparation of a syllabus and activity schedule; (3) the training implementation stage is carried out in 2 sessions, namely the first session providing material, in the form of information about managerial competencies and the second session in the form of group discussions; (4) sustainability plans: business development and ongoing mentoring. This community service activity has succeeded in increasing managerial abilities and skills among fish preservation industry managers. The impact felt is increased self-confidence in doing business.</w:t>
      </w:r>
    </w:p>
    <w:p>
      <w:pPr/>
      <w:r>
        <w:rPr>
          <w:b/>
        </w:rPr>
        <w:t>POSSIBLE 2025:</w:t>
      </w:r>
      <w:r>
        <w:t xml:space="preserve"> Towards Artificial Intelligence in Construction Industry — https://doi.org/10.31675/1607-1859-2025-27-5-160-173</w:t>
      </w:r>
    </w:p>
    <w:p>
      <w:pPr/>
      <w:r>
        <w:rPr>
          <w:b/>
        </w:rPr>
        <w:t>Shared claim-specific concepts:</w:t>
      </w:r>
      <w:r>
        <w:t xml:space="preserve"> according, basic, industry, preservation, current, further; EU scope not established. This is a provisional connection, not an outcome finding.</w:t>
      </w:r>
    </w:p>
    <w:p>
      <w:pPr>
        <w:pStyle w:val="SourceNote"/>
      </w:pPr>
      <w:r>
        <w:rPr>
          <w:b/>
        </w:rPr>
        <w:t>Available abstract (not full text):</w:t>
      </w:r>
      <w:r>
        <w:t xml:space="preserve"> This paper analyzes the integration of artificial intelligence with current technologies. Possibilities and methods of integration with modern innovations are revealed in the paper according to the studied and analyzed information from scientific sources around the world. The result of integration and possibilities of further development are demonstrated. A detailed description is provided for disadvantages and advantages of applying innovative technologies with integrated artificial intelligence in the construction industry. This paper familiarizes both the scientific community and the civilian population with opportunities and development prospects of construction industry through the introduction of artificial intelligence technology. Relevance: the study of current and effective technologies that have proven themselves with a positive side in the construction industry. Analysis of their implementation and use in modern realities. Purpose: The aim of the paper is to study the currently demanded technologies in the world construction utilizing artificial intelligence, consider in detail the efficiency of its use in economy, preservation of ecology and natural resources, ensuring safe labor activity, the possibility of further modernization and development with the provision of both disadvantages and advantages. Methodology: A study of scientific literature, research papers, I</w:t>
      </w:r>
    </w:p>
    <w:p>
      <w:pPr/>
      <w:r>
        <w:rPr>
          <w:b/>
        </w:rPr>
        <w:t>POSSIBLE 2025:</w:t>
      </w:r>
      <w:r>
        <w:t xml:space="preserve"> Recent Advances in the Fabrication of Intelligent Packaging for Food Preservation: A Review — https://doi.org/10.3390/pr13020539</w:t>
      </w:r>
    </w:p>
    <w:p>
      <w:pPr/>
      <w:r>
        <w:rPr>
          <w:b/>
        </w:rPr>
        <w:t>Shared claim-specific concepts:</w:t>
      </w:r>
      <w:r>
        <w:t xml:space="preserve"> industry, preservation, current, trends; EU scope not established. This is a provisional connection, not an outcome finding.</w:t>
      </w:r>
    </w:p>
    <w:p>
      <w:pPr>
        <w:pStyle w:val="SourceNote"/>
      </w:pPr>
      <w:r>
        <w:rPr>
          <w:b/>
        </w:rPr>
        <w:t>Available abstract (not full text):</w:t>
      </w:r>
      <w:r>
        <w:t xml:space="preserve"> The advancement of intelligent packaging technologies has emerged as a pivotal innovation in the food industry, significantly enhancing food safety and preservation. This review explores the latest developments in the fabrication of intelligent packaging, with a focus on applications in food preservation. Intelligent packaging systems, which include sensors, indicators, and RFID technologies, offer the real-time monitoring of food quality and safety by detecting changes in environmental conditions and microbial activity. Innovations in nanotechnology, bio-based materials, and smart polymers have led to the development of eco-friendly and highly responsive packaging solutions. This review underscores the role of active and intelligent packaging components—such as oxygen scavengers, freshness indicators, and antimicrobial agents in extending shelf life and ensuring product integrity. Moreover, it highlights the transformative potential of intelligent packaging in food preservation through the examination of recent case studies. Finally, this review provides a comprehensive overview of current trends, challenges, and potential future directions in this rapidly evolving field.</w:t>
      </w:r>
    </w:p>
    <w:p>
      <w:pPr/>
      <w:r>
        <w:rPr>
          <w:b/>
        </w:rPr>
        <w:t>POSSIBLE 2025:</w:t>
      </w:r>
      <w:r>
        <w:t xml:space="preserve"> A Case Study of Decarbonization and the Dual-Carbon Strategy — https://doi.org/10.4236/jpee.2025.1312006</w:t>
      </w:r>
    </w:p>
    <w:p>
      <w:pPr/>
      <w:r>
        <w:rPr>
          <w:b/>
        </w:rPr>
        <w:t>Shared claim-specific concepts:</w:t>
      </w:r>
      <w:r>
        <w:t xml:space="preserve"> decarbonization, national, emissions, technological, world; EU scope not established. This is a provisional connection, not an outcome finding.</w:t>
      </w:r>
    </w:p>
    <w:p>
      <w:pPr>
        <w:pStyle w:val="SourceNote"/>
      </w:pPr>
      <w:r>
        <w:rPr>
          <w:b/>
        </w:rPr>
        <w:t>Available abstract (not full text):</w:t>
      </w:r>
      <w:r>
        <w:t xml:space="preserve"> Global decarbonization efforts form a critical mission in the fight against climate change. This article analyzes the foundational pillars underpinning the Chinese strategy to achieve its ambitious dual-carbon goals—peak emissions by 2030 and carbon neutrality by 2060. We argue that this transition is propelled by a synergistic framework of robust policy mandates, the rapid deployment of energy transition technologies, and the strategic development of a national carbon market. This study presents an analysis of how top-down policies, such as the 14th Five-Year Plan, catalyze an unprecedented shift toward renewable energy sources, primarily wind and solar, while driving innovation in energy storage and smart grid infrastructure. Concurrently, the establishment of the world’s largest emissions trading system (ETS) is examined as a crucial market-based mechanism designed to incentivize emission reductions across the power sector, with potential for future expansion. This article synthesizes the significant progress made to date, identifying key achievements and persistent challenges, such as energy security and industrial decarbonization. Finally, it offers a forward-looking perspective on the steps necessary to solidify these pillars, emphasizing the need for technological breakthroughs, deeper market reforms, and a just transition to ensure the long-term viability and global imp</w:t>
      </w:r>
    </w:p>
    <w:p>
      <w:pPr/>
      <w:r>
        <w:rPr>
          <w:b/>
        </w:rPr>
        <w:t>POSSIBLE 2025:</w:t>
      </w:r>
      <w:r>
        <w:t xml:space="preserve"> Decarbonizing road transportation: Barriers and drivers in an emerging economy context — https://doi.org/10.1016/j.trd.2025.104723</w:t>
      </w:r>
    </w:p>
    <w:p>
      <w:pPr/>
      <w:r>
        <w:rPr>
          <w:b/>
        </w:rPr>
        <w:t>Shared claim-specific concepts:</w:t>
      </w:r>
      <w:r>
        <w:t xml:space="preserve"> decarbonization, greenhouse, gas, emissions, economy, countries; EU scope not established. This is a provisional connection, not an outcome finding.</w:t>
      </w:r>
    </w:p>
    <w:p>
      <w:pPr>
        <w:pStyle w:val="SourceNote"/>
      </w:pPr>
      <w:r>
        <w:rPr>
          <w:b/>
        </w:rPr>
        <w:t>Available abstract (not full text):</w:t>
      </w:r>
      <w:r>
        <w:t xml:space="preserve"> The transportation sector ranks as the second-largest contributor to global greenhouse gas emissions , primarily owing to its heavy reliance on fossil fuels . Consequently, the imperative to decarbonize transportation is paramount in the pursuit of sustainable development goals . However, despite its critical importance, research on decarbonization in transportation remains significantly limited. This gap in research is particularly glaring in developing countries, where there is a notable absence of studies addressing the decarbonization challenges within the transport sector. Addressing this research gap, this study aims to investigate the barriers and drivers influencing the decarbonization of the passenger transport sector in an emerging economy context, particularly for Bangladesh. The top three barriers identified include the ’Lack of concrete transportation policy’, ’Lack of decarbonization strategy/policy’, and ’Lack of biofuel refueling station/EV charging station’. These barriers are comprehensively analyzed based on various stakeholder perspectives. In terms of categorical barriers, policy barriers and technical barriers are predominant over other barriers. Despite these challenges, there is a growing interest in decarbonizing the transportation sector, albeit with some limitations. The primary drivers to decarbonize the transport sector include ‘Profitable return on</w:t>
      </w:r>
    </w:p>
    <w:p>
      <w:pPr/>
      <w:r>
        <w:rPr>
          <w:b/>
        </w:rPr>
        <w:t>POSSIBLE 2025:</w:t>
      </w:r>
      <w:r>
        <w:t xml:space="preserve"> Modeling and Control of Electric Loads for Ancillary Services and Decarbonization — https://doi.org/10.7302/25608</w:t>
      </w:r>
    </w:p>
    <w:p>
      <w:pPr/>
      <w:r>
        <w:rPr>
          <w:b/>
        </w:rPr>
        <w:t>Shared claim-specific concepts:</w:t>
      </w:r>
      <w:r>
        <w:t xml:space="preserve"> according, decarbonization, industry, increase, developed; EU scope not established. This is a provisional connection, not an outcome finding.</w:t>
      </w:r>
    </w:p>
    <w:p>
      <w:pPr>
        <w:pStyle w:val="SourceNote"/>
      </w:pPr>
      <w:r>
        <w:rPr>
          <w:b/>
        </w:rPr>
        <w:t>Available abstract (not full text):</w:t>
      </w:r>
      <w:r>
        <w:t xml:space="preserve"> Towards decarbonizing power systems and achieving sustainability goals, traditional power plants, such as coal fired power plants, are being phased out and replaced with renewable generation alternatives. Historically, synchronous generators of traditional power plants provided much of the essential load balancing services required to match scheduled generation and demand, ensuring power system reliability. Hence, with the sunsetting of traditional generation, new sources of load balancing flexibility are needed. Furthermore, the inherent intermittent and variable nature of renewable generation typically requires an increase in the load balancing services needed. Aggregations of electric loads, such as thermostatically controlled loads (TCLs), hold substantial potential to offer this flexibility, given their thermal inertia and ubiquity. TCLs are an ubiquitous resource with inherent temporal flexibility that allows them cycle on/off and consume power in cycles. This flexibility can be leveraged for power system objectives. The abundance and spatial distribution of TCLs make them a prime and valuable candidate to provide flexibility to the power grid. This dissertation develops models and control algorithms for leveraging the flexibility of TCL resources and practically demonstrates the ancillary service and decarbonization potential of these loads. Building on established hiera</w:t>
      </w:r>
    </w:p>
    <w:p>
      <w:pPr>
        <w:pStyle w:val="Heading2"/>
      </w:pPr>
      <w:r>
        <w:t>514. Carrying out a multi-model integrated assessment of European energy transition pathways: Challenges and benefits</w:t>
      </w:r>
    </w:p>
    <w:p>
      <w:pPr>
        <w:pStyle w:val="SourceNote"/>
      </w:pPr>
      <w:r>
        <w:rPr>
          <w:b/>
        </w:rPr>
        <w:t>Original source (2022):</w:t>
      </w:r>
      <w:r>
        <w:t xml:space="preserve"> https://doi.org/10.1016/j.energy.2022.124329</w:t>
      </w:r>
    </w:p>
    <w:p>
      <w:pPr/>
      <w:r>
        <w:t>Original wording (abstract; indexed_source_text_not_full_document_verified): Without the insights gained from an impact assessment framework reaching beyond the techno-economic perspective, the pursuit of direct emission reductions may lead to counterproductive outcomes in the long run. We find the highest added value of the framework in additional insights it provides on the technical feasibility of decarbonisation pathways, on vulnerability aspects and on unintended environmental and health impacts on national and sub-national scale.</w:t>
      </w:r>
    </w:p>
    <w:p>
      <w:pPr/>
      <w:r>
        <w:rPr>
          <w:b/>
        </w:rPr>
        <w:t>POSSIBLE 2026:</w:t>
      </w:r>
      <w:r>
        <w:t xml:space="preserve"> Federated learning in Healthcare across Europe: Challenges and Insights from the BETTER Project — https://openalex.org/W7204062183</w:t>
      </w:r>
    </w:p>
    <w:p>
      <w:pPr/>
      <w:r>
        <w:rPr>
          <w:b/>
        </w:rPr>
        <w:t>Shared claim-specific concepts:</w:t>
      </w:r>
      <w:r>
        <w:t xml:space="preserve"> without, insights, gained, perspective, technical; EU scope visible. This is a provisional connection, not an outcome finding.</w:t>
      </w:r>
    </w:p>
    <w:p>
      <w:pPr>
        <w:pStyle w:val="SourceNote"/>
      </w:pPr>
      <w:r>
        <w:rPr>
          <w:b/>
        </w:rPr>
        <w:t>Available abstract (not full text):</w:t>
      </w:r>
      <w:r>
        <w:t xml:space="preserve"> Healthcare advances through machine learning for personalized patient treatments require access to large-scale, diverse, and high-quality patient datasets. However, strict privacy regulations on such sensitive data cause data fragmentation across institutions, limiting its potential for broader clinical insights. Platforms such as the “Platform for Analytics and Distributed Machine Learning for Enterprises”(PADME) address this challenge by enabling federated learning on sensitive patient data. In PADME, patient data remains at its source, while only derived outputs, such as model parameters, are shared. Within the EU Horizon project “BETTER”, PADME facilitates three real-world clinical use cases for privacy-preserving federated learning without requiring patient data exchange across participating institutions. For the federated learning real-world use cases in BETTER, we structured the implementation along three layers: (1) a data layer for integration and harmonization of pseudonymized patient data via an extract-transform-load (ETL) pipeline, developed according to FAIR principles, mapping heterogeneous clinical, genomic, and laboratory data into a shared, standardized representation; (2) an infrastructure layer enabling the privacy-preserving federated learning orchestration through PADME; and (3) an algorithm layer supporting use-case-specific data pre-processing, model tra</w:t>
      </w:r>
    </w:p>
    <w:p>
      <w:pPr/>
      <w:r>
        <w:rPr>
          <w:b/>
        </w:rPr>
        <w:t>POSSIBLE 2026:</w:t>
      </w:r>
      <w:r>
        <w:t xml:space="preserve"> A European framework for the assessment of digital health technologies: conceptual advances, challenges, and future directions — https://doi.org/10.3389/fdgth.2026.1809237</w:t>
      </w:r>
    </w:p>
    <w:p>
      <w:pPr/>
      <w:r>
        <w:rPr>
          <w:b/>
        </w:rPr>
        <w:t>Shared claim-specific concepts:</w:t>
      </w:r>
      <w:r>
        <w:t xml:space="preserve"> assessment, framework, perspective, added, value; EU scope visible. This is a provisional connection, not an outcome finding.</w:t>
      </w:r>
    </w:p>
    <w:p>
      <w:pPr>
        <w:pStyle w:val="SourceNote"/>
      </w:pPr>
      <w:r>
        <w:rPr>
          <w:b/>
        </w:rPr>
        <w:t>Available abstract (not full text):</w:t>
      </w:r>
      <w:r>
        <w:t xml:space="preserve"> Digital health technologies (DHTs) are transforming healthcare by enabling for example new care models, improving patient access and engagement, and streamlining healthcare workflows. They have the potential to increase efficiency, reduce administrative burdens, and enhance the overall quality of care. However, across Europe, DHTs evaluation frameworks remain fragmented, and while new approaches continue to emerge, they often focus on specific types of DHTs or particular stages of the product lifecycle. Moreover, traditional Health Technology Assessment (HTA) frameworks have been developed mostly to evaluate medicinal products, which may limit their applicability to DHTs, ultimately constraining health systems' ability to capture DHTs' added value. The European Digital Health Technology Assessment (EDiHTA) is a EU-funded project, which started in January 2024 to co-create an HTA framework for DHTs in order to face these challenges. It is aimed at co-developing together with different key stakeholders a comprehensive and flexible assessment framework tailored to different DHTs, applicable across DHTs lifecycle and across EU member states. In this perspective article, we present our concept design that is being used as foundation of the development of the EDiHTA framework, and we address current challenges in the assessment of DHTs, and the opportunities that lie ahead.</w:t>
      </w:r>
    </w:p>
    <w:p>
      <w:pPr/>
      <w:r>
        <w:rPr>
          <w:b/>
        </w:rPr>
        <w:t>POSSIBLE 2026:</w:t>
      </w:r>
      <w:r>
        <w:t xml:space="preserve"> Frailty assessment in kidney transplantation: insights from a European survey — https://doi.org/10.1093/ckj/sfag065</w:t>
      </w:r>
    </w:p>
    <w:p>
      <w:pPr/>
      <w:r>
        <w:rPr>
          <w:b/>
        </w:rPr>
        <w:t>Shared claim-specific concepts:</w:t>
      </w:r>
      <w:r>
        <w:t xml:space="preserve"> insights, assessment, outcomes, value; EU scope visible. This is a provisional connection, not an outcome finding.</w:t>
      </w:r>
    </w:p>
    <w:p>
      <w:pPr>
        <w:pStyle w:val="SourceNote"/>
      </w:pPr>
      <w:r>
        <w:rPr>
          <w:b/>
        </w:rPr>
        <w:t>Available abstract (not full text):</w:t>
      </w:r>
      <w:r>
        <w:t xml:space="preserve"> Background: Frailty has been identified as an important determinant of adverse transplant-related outcomes; however, its integration into routine kidney transplant practice remains limited. Methods: This was a web-based cross-sectional survey assessing current practice patterns and perceptions on frailty assessments among transplant physicians distributed by the DESCaRTES working group of the European Renal Association. The survey consisted of questions about frailty perceptions and practices both pre- and post-transplant. Results: A total of 134 responses (response rate 39.2%) were recorded. Although 98.5% recognized frailty as a risk factor for adverse outcomes, only 6.7% reported routinely performing a standardized frailty assessment in pre-transplant evaluations. Nearly 30% never evaluated frailty, and 24.6% did so only in selected high-risk patients, primarily based on age, comorbidities or prolonged dialysis duration. Physical function was recognized as the most important component of frailty assessments; however, no single assessment tool was consistently implemented. The main barriers to integrating frailty assessments into clinical practice were lack of trained staff, absence of standardized guidelines, and uncertainty about clinical usefulness. Post-transplant frailty assessments were rarely conducted routinely, despite 74.6% acknowledging their potential value. Concl</w:t>
      </w:r>
    </w:p>
    <w:p>
      <w:pPr/>
      <w:r>
        <w:rPr>
          <w:b/>
        </w:rPr>
        <w:t>POSSIBLE 2026:</w:t>
      </w:r>
      <w:r>
        <w:t xml:space="preserve"> Framework for Multi-Cycle Assessment in Circular Construction — https://doi.org/10.1007/978-3-032-34930-9_139</w:t>
      </w:r>
    </w:p>
    <w:p>
      <w:pPr/>
      <w:r>
        <w:rPr>
          <w:b/>
        </w:rPr>
        <w:t>Shared claim-specific concepts:</w:t>
      </w:r>
      <w:r>
        <w:t xml:space="preserve"> without, insights, assessment, framework, outcomes, value; EU scope not established. This is a provisional connection, not an outcome finding.</w:t>
      </w:r>
    </w:p>
    <w:p>
      <w:pPr>
        <w:pStyle w:val="SourceNote"/>
      </w:pPr>
      <w:r>
        <w:rPr>
          <w:b/>
        </w:rPr>
        <w:t>Available abstract (not full text):</w:t>
      </w:r>
      <w:r>
        <w:t xml:space="preserve"> Efforts to promote material reuse and selective deconstruction in the built environment increasingly rely on assessment tools to inform design, demolition, and policy decisions. However, current evaluation practices often fail to deliver coherent and decision-relevant insights across the building lifecycle. Circularity indicators tend to prioritize material cycling without adequately capturing environmental or value-retention impacts, while lifecycle assessment (LCA) remains rooted in single-cycle, linear logic. As a result, circularity and LCA frequently operate in parallel, producing fragmented or conflicting signals for decision-makers. Assessment outcomes are shaped by data availability, assumptions, and tool-specific structures. Data fragmentation, limited traceability of as-built conditions, and non-harmonised practices undermine comparability and confidence in results. These challenges are compounded by the fragmented construction value chain, where reuse only materialises when documentation aligns with market demand, regulatory conditions, and timing. This paper presents the development of a framework that addresses these limitations by linking environmental performance, circular strategies, and value retention across multiple lifecycles and building scales. Designed as a hierarchical structure, it ties together existing tools, indicators, and datasets within a shared l</w:t>
      </w:r>
    </w:p>
    <w:p>
      <w:pPr/>
      <w:r>
        <w:rPr>
          <w:b/>
        </w:rPr>
        <w:t>POSSIBLE 2026:</w:t>
      </w:r>
      <w:r>
        <w:t xml:space="preserve"> Developing an assessment framework of interdisciplinary innovation ability — https://doi.org/10.21449/ijate.1821617</w:t>
      </w:r>
    </w:p>
    <w:p>
      <w:pPr/>
      <w:r>
        <w:rPr>
          <w:b/>
        </w:rPr>
        <w:t>Shared claim-specific concepts:</w:t>
      </w:r>
      <w:r>
        <w:t xml:space="preserve"> insights, assessment, framework; EU scope not established. This is a provisional connection, not an outcome finding.</w:t>
      </w:r>
    </w:p>
    <w:p>
      <w:pPr>
        <w:pStyle w:val="SourceNote"/>
      </w:pPr>
      <w:r>
        <w:rPr>
          <w:b/>
        </w:rPr>
        <w:t>Available abstract (not full text):</w:t>
      </w:r>
      <w:r>
        <w:t xml:space="preserve"> Given the importance of interdisciplinary innovation ability (IIA) in addressing complex real-world problems, this study aims to develop a comprehensive assessment framework for IIA using a three-step methodological approach. First, an initial framework was constructed based on a systematic theoretical analysis. Second, the framework was refined and validated through a two-round Delphi process involving five experts. Third, the measurement model was validated using SPSS AMOS (version 24) with data collected from 209 undergraduate students participating in a university summer camp, to examine the reliability and validity of the proposed framework. The findings indicate that IIA comprises five primary dimensions—innovative personality, innovative thinking, innovative skills, innovative learning, and innovative product—along with 12 secondary indices. Compared with existing IIA assessment frameworks, the proposed framework demonstrates stronger theoretical grounding, a more comprehensive structure, and empirical validation, thereby offering both theoretical insights and practical implications for future interdisciplinary innovation research.</w:t>
      </w:r>
    </w:p>
    <w:p>
      <w:pPr/>
      <w:r>
        <w:rPr>
          <w:b/>
        </w:rPr>
        <w:t>POSSIBLE 2026:</w:t>
      </w:r>
      <w:r>
        <w:t xml:space="preserve"> Bridging Borders in Pediatric Oncology: Cross-Regional Insights into Physical Exercise Program Perceptions in Europe, North Africa, and Arab Countries — https://doi.org/10.1055/s-0046-1824334</w:t>
      </w:r>
    </w:p>
    <w:p>
      <w:pPr/>
      <w:r>
        <w:rPr>
          <w:b/>
        </w:rPr>
        <w:t>Shared claim-specific concepts:</w:t>
      </w:r>
      <w:r>
        <w:t xml:space="preserve"> without, insights, beyond, outcomes; EU scope visible. This is a provisional connection, not an outcome finding.</w:t>
      </w:r>
    </w:p>
    <w:p>
      <w:pPr>
        <w:pStyle w:val="SourceNote"/>
      </w:pPr>
      <w:r>
        <w:rPr>
          <w:b/>
        </w:rPr>
        <w:t>Available abstract (not full text):</w:t>
      </w:r>
      <w:r>
        <w:t xml:space="preserve"> Abstract Structured physical exercise programs (PEPs) in pediatric oncology have shown benefits for physical, psychosocial, and cognitive outcomes, yet their integration into routine care varies globally. This study explores health care professionals' perceptions of PEPs across European, North African, and Arab pediatric oncology centers, comparing attitudes between centers with and without established programs, based on findings from an international survey. A validated, 14-item, multilanguage questionnaire was distributed to health care professionals involved in pediatric oncology care, including physicians, nurses, physiotherapists, and sport therapists. Responses from 575 professionals (367 European; 208 North African/Arab) were analyzed, comparing perceptions according to region, profession, and PEPs availability at their centers. Overall, 97% of respondents with PEPs experience and 91% without considered PEPs beneficial. Perceived benefits extended beyond endurance and strength to mood, self-esteem, and quality of life, particularly among those with prior PEP exposure. European centers without PEP prioritized physical rehabilitation, whereas North African/Arab centers emphasized psychosocial benefits. Significant differences emerged regarding timing, setting, and relationship to physiotherapy. Most favored integrating PEP into standard care, with stronger support among ex</w:t>
      </w:r>
    </w:p>
    <w:p>
      <w:pPr/>
      <w:r>
        <w:rPr>
          <w:b/>
        </w:rPr>
        <w:t>POSSIBLE 2026:</w:t>
      </w:r>
      <w:r>
        <w:t xml:space="preserve"> A practical framework for identifying genetic subpopulations and ESUs: Insights for IUCN assessments and broader management — https://doi.org/10.1093/biosci/biag042</w:t>
      </w:r>
    </w:p>
    <w:p>
      <w:pPr/>
      <w:r>
        <w:rPr>
          <w:b/>
        </w:rPr>
        <w:t>Shared claim-specific concepts:</w:t>
      </w:r>
      <w:r>
        <w:t xml:space="preserve"> insights, assessment, framework; EU scope not established. This is a provisional connection, not an outcome finding.</w:t>
      </w:r>
    </w:p>
    <w:p>
      <w:pPr>
        <w:pStyle w:val="SourceNote"/>
      </w:pPr>
      <w:r>
        <w:rPr>
          <w:b/>
        </w:rPr>
        <w:t>Available abstract (not full text):</w:t>
      </w:r>
      <w:r>
        <w:t xml:space="preserve"> Species conservation assessments evaluate extinction risk, and recovery potential, advancing species persistence through guiding resource prioritization and planning. Assessment frameworks, including the International Union for Conservation of Nature Red List and Green Status of Species, typically focus on species as a whole. Importantly, they do not routinely account for genetically distinct units or do not have standardized methods of unit delineation. This limits the representation of genetically distinct components, including adaptive genetic diversity that underpins long-term resilience and recovery. Incorporating standardized within-species units like subpopulations and Evolutionarily Significant Units (ESUs) into species assessments could help address this oversight. However, identifying and delineating such units remain challenging, particularly when molecular data are limited. Here, we propose a flexible framework that integrates molecular and non-molecular evidence to identify both subpopulations and ESUs across taxa, providing a practical tool to incorporate within-species diversity into conservation assessments.</w:t>
      </w:r>
    </w:p>
    <w:p>
      <w:pPr/>
      <w:r>
        <w:rPr>
          <w:b/>
        </w:rPr>
        <w:t>POSSIBLE 2026:</w:t>
      </w:r>
      <w:r>
        <w:t xml:space="preserve"> A scenario-based risk assessment framework for tyre wear particles in European seas — https://doi.org/10.1016/j.jhazmat.2026.141335</w:t>
      </w:r>
    </w:p>
    <w:p>
      <w:pPr/>
      <w:r>
        <w:rPr>
          <w:b/>
        </w:rPr>
        <w:t>Shared claim-specific concepts:</w:t>
      </w:r>
      <w:r>
        <w:t xml:space="preserve"> assessment, framework, emission, highest, provides; EU scope visible. This is a provisional connection, not an outcome finding.</w:t>
      </w:r>
    </w:p>
    <w:p>
      <w:pPr>
        <w:pStyle w:val="SourceNote"/>
      </w:pPr>
      <w:r>
        <w:rPr>
          <w:b/>
        </w:rPr>
        <w:t>Available abstract (not full text):</w:t>
      </w:r>
      <w:r>
        <w:t xml:space="preserve"> Tyre wear particles (TWPs) are an emerging pollutant of concern due to their potential risks to ecosystems and human health, yet they remain absent from European pollution monitoring and risk assessment (RA) frameworks. This study introduces a novel scenario-based RA framework tailored to complex contaminants, using European regional seas as a case study. The framework applies three scenarios that reflect the availability of empirical data and guide when modelled exposure or hazard estimates must be used. This structured approach provides transparency and flexibility for emerging pollutants where conventional tools, such as species sensitivity distributions (SSDs), fail due to scarce, inconsistent, or non-comparable datasets. TWPs pose a dual challenge: they are both physical particles and carriers of tyre wear chemicals (TWCs), which leach into aquatic systems as tyre wear leachates (TWLs). Current evidence suggests TWCs drive most toxicity, but their quantification is hindered by overlapping sources, variable composition, and limited marine ecotoxicity data. To address these gaps, a riverine emission model estimated that 82 million–1.2 billion TWPs may enter European seas annually, with predicted concentrations of 0.0001–0.016 particles m³. The Mediterranean receives the highest annual load, followed by the North-East Atlantic, Black Sea, and Baltic Sea. While modelled TWP co</w:t>
      </w:r>
    </w:p>
    <w:p>
      <w:pPr/>
      <w:r>
        <w:rPr>
          <w:b/>
        </w:rPr>
        <w:t>POSSIBLE 2026:</w:t>
      </w:r>
      <w:r>
        <w:t xml:space="preserve"> Analysis of the Evaluation Framework of European Union-Funded Tourism Projects — https://doi.org/10.37741/t.74.1.1</w:t>
      </w:r>
    </w:p>
    <w:p>
      <w:pPr/>
      <w:r>
        <w:rPr>
          <w:b/>
        </w:rPr>
        <w:t>Shared claim-specific concepts:</w:t>
      </w:r>
      <w:r>
        <w:t xml:space="preserve"> framework, outcomes; EU scope visible. This is a provisional connection, not an outcome finding.</w:t>
      </w:r>
    </w:p>
    <w:p>
      <w:pPr>
        <w:pStyle w:val="SourceNote"/>
      </w:pPr>
      <w:r>
        <w:rPr>
          <w:b/>
        </w:rPr>
        <w:t>Available abstract (not full text):</w:t>
      </w:r>
      <w:r>
        <w:t xml:space="preserve"> This paper examines the evaluation frameworks applied to tourism-related interventions funded by the European Union (EU), focusing on their effectiveness in promoting accountability, learning, and sustainable outcomes. Through content analysis of evaluation reports, audits, and programme assessments from the EU’s Cohesion Policy data platform, the study identifies key methodological patterns and recurring challenges. Despite progress in adopting participatory and mixed-method approaches, evaluations remain limited in number and scope, with tourism accounting for less than 1% of all assessments. Persistent challenges include fragmented data, a lack of standardised indicators, inconsistent methodologies, and limited capacity to assess regional diversity and long-term impacts. Poor dissemination practices further restrict knowledge transfer and reduce the learning potential. By highlighting these gaps, the paper contributes to the underexplored field of tourism evaluation in EU policy and advocates for more harmonised and transparent evaluation protocols. Strengthening these foundations is critical to enhance the impact of EU funding and supporting evidence-based policymaking in the tourism sector.</w:t>
      </w:r>
    </w:p>
    <w:p>
      <w:pPr/>
      <w:r>
        <w:rPr>
          <w:b/>
        </w:rPr>
        <w:t>POSSIBLE 2026:</w:t>
      </w:r>
      <w:r>
        <w:t xml:space="preserve"> Media Ownership Concentration and Pluralism In The European Union: An Assessment Within The Framework Of EMFA — https://doi.org/10.17680/erciyesiletisim.1755668</w:t>
      </w:r>
    </w:p>
    <w:p>
      <w:pPr/>
      <w:r>
        <w:rPr>
          <w:b/>
        </w:rPr>
        <w:t>Shared claim-specific concepts:</w:t>
      </w:r>
      <w:r>
        <w:t xml:space="preserve"> assessment, framework; EU scope visible. This is a provisional connection, not an outcome finding.</w:t>
      </w:r>
    </w:p>
    <w:p>
      <w:pPr>
        <w:pStyle w:val="SourceNote"/>
      </w:pPr>
      <w:r>
        <w:rPr>
          <w:b/>
        </w:rPr>
        <w:t>Available abstract (not full text):</w:t>
      </w:r>
      <w:r>
        <w:t xml:space="preserve"> Media ownership concentration threatens media freedom and pluralism by enabling economic and political influence over editorial decisions and information flow. Regulatory differences among EU member states cause legal uncertainty, especially for cross-border media activities, hindering the internal media market. To tackle this, the European Media Freedom Act (EMFA) establishes a regulatory framework to strengthen media pluralism, editorial independence, and ownership transparency. This study uses qualitative methods, including literature review and document analysis, to assess how EMFA addresses ownership concentration and its impact on media pluralism in the EU, with focus on Turkey’s alignment with EU regulations. Findings reveal EMFA’s key innovations: mandatory transparency, protections against political interference, and fair state advertising allocation. The European Board for Media Services’ creation marks a key institutional advance. However, limitations exist, notably the advisory nature of some rules and lack of binding enforcement, which may reduce long-term effectiveness. These raise questions about EMFA’s ability to ensure consistent application</w:t>
      </w:r>
    </w:p>
    <w:p>
      <w:pPr/>
      <w:r>
        <w:rPr>
          <w:b/>
        </w:rPr>
        <w:t>POSSIBLE 2026:</w:t>
      </w:r>
      <w:r>
        <w:t xml:space="preserve"> Physicochemical characterisation of iron (hydr)oxides and nanocellulose for food applications : insights from electron microscopy to support risk assessment in the European regulatory framework — https://doi.org/10.63028/10067/2261360151162165141</w:t>
      </w:r>
    </w:p>
    <w:p>
      <w:pPr/>
      <w:r>
        <w:rPr>
          <w:b/>
        </w:rPr>
        <w:t>Shared claim-specific concepts:</w:t>
      </w:r>
      <w:r>
        <w:t xml:space="preserve"> without, insights, assessment, framework, beyond; EU scope visible. This is a provisional connection, not an outcome finding.</w:t>
      </w:r>
    </w:p>
    <w:p>
      <w:pPr>
        <w:pStyle w:val="SourceNote"/>
      </w:pPr>
      <w:r>
        <w:rPr>
          <w:b/>
        </w:rPr>
        <w:t>Available abstract (not full text):</w:t>
      </w:r>
      <w:r>
        <w:t xml:space="preserve"> Nanotechnology is driving innovation in the food sector, making robust regulatory oversight essential. Because nanoscale features confer size-dependent properties requiring evaluation beyond traditional chemical risk assessment through thorough physicochemical characterisation, specifically particle size distribution. In this context, this work applies electron microscopy (EM)-based methods to fill physicochemical data gaps, quantify measurement uncertainties, and evaluate materials in complex matrices and biological systems for two food-relevant case studies in the European Union: iron oxides and hydroxides (food additive E 172) and nanocellulose (a novel food candidate). Characterisation of commercially available E 172 revealed four distinct forms (spheroidal and elongated hematite, elongated goethite, and spheroidal magnetite with maghemite at the surface), with 86–100% of particles under 250 nm for all materials, indicating nanoscale properties must be considered under European Food Safety Authority (EFSA) guidance documents. The results of the characterisation of food additive E 172 can contribute to refining the European Union specifications. Based on the physicochemical properties of E 172 forms, grouping for risk assessment is not advisable without endpoint-specific justification. To address the lack of a standardized validation framework, the work established a robust </w:t>
      </w:r>
    </w:p>
    <w:p>
      <w:pPr/>
      <w:r>
        <w:rPr>
          <w:b/>
        </w:rPr>
        <w:t>POSSIBLE 2025:</w:t>
      </w:r>
      <w:r>
        <w:t xml:space="preserve"> Can democratic innovations tackle social-ecological challenges? Gaining insights on transformative governance across European cases — https://doi.org/10.1007/s42532-025-00225-0</w:t>
      </w:r>
    </w:p>
    <w:p>
      <w:pPr/>
      <w:r>
        <w:rPr>
          <w:b/>
        </w:rPr>
        <w:t>Shared claim-specific concepts:</w:t>
      </w:r>
      <w:r>
        <w:t xml:space="preserve"> insights, framework, pursuit; EU scope visible. This is a provisional connection, not an outcome finding.</w:t>
      </w:r>
    </w:p>
    <w:p>
      <w:pPr>
        <w:pStyle w:val="SourceNote"/>
      </w:pPr>
      <w:r>
        <w:rPr>
          <w:b/>
        </w:rPr>
        <w:t>Available abstract (not full text):</w:t>
      </w:r>
      <w:r>
        <w:t xml:space="preserve"> Abstract In an era of democratic backsliding, the pursuit of sustainable development that addresses social-ecological challenges can become a daunting task. Participatory and deliberative practices have flourished over the last few decades, addressing, to varying extents, policy domains that can be understood within the framework of social-ecological governance and related challenges. By understanding these practices through the concept of democratic innovations (DIs), we critically examine the historical connections between practices implemented across Europe with a focus on social-ecological challenges. This work reveals the emerging potential for democratising policy and decision-making, particularly in the areas of climate action and social justice. Despite the potential of DIs for citizen engagement with social-ecological challenges, the evidence gathered so far indicates that the reproduction of social exclusion within DIs is a significant issue, reflecting barriers rooted in socio-economic cleavages and the myopia of political elites regarding long-term transformations. The capture and co-optation of DIs by powerful groups often reduces their potential to mere performative exercises that contribute little to creating inclusive settings. Therefore, while acknowledging the significant potential of DIs for social-ecological governance, we argue for the need to investigate t</w:t>
      </w:r>
    </w:p>
    <w:p>
      <w:pPr>
        <w:pStyle w:val="Heading2"/>
      </w:pPr>
      <w:r>
        <w:t>515. Central Europe: Possible Scenarios</w:t>
      </w:r>
    </w:p>
    <w:p>
      <w:pPr>
        <w:pStyle w:val="SourceNote"/>
      </w:pPr>
      <w:r>
        <w:rPr>
          <w:b/>
        </w:rPr>
        <w:t>Original source (2022):</w:t>
      </w:r>
      <w:r>
        <w:t xml:space="preserve"> https://doi.org/10.20542/0131-2227-2022-66-11-14-20</w:t>
      </w:r>
    </w:p>
    <w:p>
      <w:pPr/>
      <w:r>
        <w:t>Original wording (abstract; indexed_source_text_not_full_document_verified): One of the most pressing issues of future development is meeting the needs for energy resources, which is still difficult to assess and will have a significant impact on the prospects of the region. The innovation sector is one of the weaknesses of the Central European countries, development dynamics of which indicates that the region is lagging behind and that the situation will continue in the future, which also determines its future development.</w:t>
      </w:r>
    </w:p>
    <w:p>
      <w:pPr/>
      <w:r>
        <w:rPr>
          <w:b/>
        </w:rPr>
        <w:t>POSSIBLE 2026:</w:t>
      </w:r>
      <w:r>
        <w:t xml:space="preserve"> SPES Explorer European Pressing Issues Dashboard — https://doi.org/10.5281/zenodo.18479791</w:t>
      </w:r>
    </w:p>
    <w:p>
      <w:pPr/>
      <w:r>
        <w:rPr>
          <w:b/>
        </w:rPr>
        <w:t>Shared claim-specific concepts:</w:t>
      </w:r>
      <w:r>
        <w:t xml:space="preserve"> pressing, issues, innovation, countries; EU scope visible. This is a provisional connection, not an outcome finding.</w:t>
      </w:r>
    </w:p>
    <w:p>
      <w:pPr>
        <w:pStyle w:val="SourceNote"/>
      </w:pPr>
      <w:r>
        <w:rPr>
          <w:b/>
        </w:rPr>
        <w:t>Available abstract (not full text):</w:t>
      </w:r>
      <w:r>
        <w:t xml:space="preserve"> The SPES Explorer - European Pressing Issues Dashboard is a web-based, interactive application that visualizes how citizens across European countries historically perceived their most pressing national problems over time. It offers country-level maps and time-series charts, with optional breakdowns by age and gender. Users can explore, compare, and download harmonized indicators derived from Eurobarometer surveys. The current release candidate can be reached via https://spes-test.shinyapps.io/spes-release/ and will be incorporated into the SPES website before end of project. The dashboard’s core innovation is that it is based on harmonized Eurobarometer time surveys. Multiple survey waves are cleaned, recoded, and harmonized into consistent indicators so that changes in public concern can be tracked comparably across countries and years. This enables robust temporal analysis (e.g., rising concern about prices, immigration, or the environment) rather than one-off snapshots. SPES examines productivity, equity, sustainability, participation and human security. The dashboard documents citizens' perspectives by showing how people prioritize problems in their countries. It supports scenario building and policy dialogue by revealing shifts in perceived challenges that may motivate, accelerate, or constrain sustainable development pathways. In this sense, it is tightly connected to the</w:t>
      </w:r>
    </w:p>
    <w:p>
      <w:pPr/>
      <w:r>
        <w:rPr>
          <w:b/>
        </w:rPr>
        <w:t>POSSIBLE 2026:</w:t>
      </w:r>
      <w:r>
        <w:t xml:space="preserve"> State, law, and society: mechanisms of interaction and pressing issues — https://openalex.org/W7215667035</w:t>
      </w:r>
    </w:p>
    <w:p>
      <w:pPr/>
      <w:r>
        <w:rPr>
          <w:b/>
        </w:rPr>
        <w:t>Shared claim-specific concepts:</w:t>
      </w:r>
      <w:r>
        <w:t xml:space="preserve"> pressing, issues, significant; EU scope not established. This is a provisional connection, not an outcome finding.</w:t>
      </w:r>
    </w:p>
    <w:p>
      <w:pPr>
        <w:pStyle w:val="SourceNote"/>
      </w:pPr>
      <w:r>
        <w:rPr>
          <w:b/>
        </w:rPr>
        <w:t>Available abstract (not full text):</w:t>
      </w:r>
      <w:r>
        <w:t xml:space="preserve"> The purpose of the study was to investigate the mechanisms of interaction between the state, law, society, and to identify the challenges of their functioning. To achieve this goal, an analysis of the current legislation of Kyrgyzstan regulating the interaction of the state, law, and society was carried out, with an emphasis on regulatory mechanisms for civil participation. As a result of the study, it was found that a model of interaction between the state, law, and society is being formed in Kyrgyzstan, characterised by a gradual transition to partner forms of governance. The creation of civil society institutions, the active participation of non-governmental groups in the implementation of social programmes, and the normative tools for public participation in administrative decision-making are the main mechanisms for such interaction. The analysis of the current legislation showed the existence of a legal framework for interaction between state bodies and citizens, in particular, through public councils, consulting procedures, and electronic participation platforms. However, other issues were noted, including the need to strengthen accountability and transparency processes, the lack of a legal culture in some areas, and limited access to participatory mechanisms. Kyrgyzstan’s legal system is gradually adapting to the principles of the rule of law, including through the refor</w:t>
      </w:r>
    </w:p>
    <w:p>
      <w:pPr/>
      <w:r>
        <w:rPr>
          <w:b/>
        </w:rPr>
        <w:t>POSSIBLE 2026:</w:t>
      </w:r>
      <w:r>
        <w:t xml:space="preserve"> How can Europe address its pressing AI compute infrastructure shortfall? — https://doi.org/10.64153/shia4474</w:t>
      </w:r>
    </w:p>
    <w:p>
      <w:pPr/>
      <w:r>
        <w:rPr>
          <w:b/>
        </w:rPr>
        <w:t>Shared claim-specific concepts:</w:t>
      </w:r>
      <w:r>
        <w:t xml:space="preserve"> pressing, resources, significant; EU scope visible. This is a provisional connection, not an outcome finding.</w:t>
      </w:r>
    </w:p>
    <w:p>
      <w:pPr>
        <w:pStyle w:val="SourceNote"/>
      </w:pPr>
      <w:r>
        <w:rPr>
          <w:b/>
        </w:rPr>
        <w:t>Available abstract (not full text):</w:t>
      </w:r>
      <w:r>
        <w:t xml:space="preserve"> Only two gigawatts of artificial-intelligence compute capacity, equating to five percent of the global total, is located in the European Union. Planned projects will barely change the EU’s global share. As local compute is a necessary condition for AI sovereignty, the EU should maximise domestic compute capacity, regardless of the origin of compute resources. Private capital is not the crucial constraint on Europe’s AI compute build-out. Speed-to-operation and grid access are more significant limitations. An attempt is being made to address permitting through the European Commission’s proposal for a Cloud and AI Development Act (CADA). Gigafactory subsidies could be redirected to competitive grants that put regions in competition with each other in terms of permitting times. Faster movers should get larger grants. Policy should also prioritise anticipatory grid investment and faster grid connections – grid access is left out of the scope of CADA. Global chip production capacity constraints turn regional chip allocations into a near zero-sum game. The EU could incentivise United States hyperscalers to install larger shares of their AI chip supply in EU data centres. Rather than putting stringent sovereignty conditions on the compute inputs side, it should put these on the AI services outputs side, for example through voluntary ‘processed in the EU’ labels on services sold to EU </w:t>
      </w:r>
    </w:p>
    <w:p>
      <w:pPr/>
      <w:r>
        <w:rPr>
          <w:b/>
        </w:rPr>
        <w:t>POSSIBLE 2026:</w:t>
      </w:r>
      <w:r>
        <w:t xml:space="preserve"> Meeting the Needs of the Global Quantum Science Community: A Call to Action — https://doi.org/10.48550/arxiv.2601.14297</w:t>
      </w:r>
    </w:p>
    <w:p>
      <w:pPr/>
      <w:r>
        <w:rPr>
          <w:b/>
        </w:rPr>
        <w:t>Shared claim-specific concepts:</w:t>
      </w:r>
      <w:r>
        <w:t xml:space="preserve"> one, meeting, needs; EU scope not established. This is a provisional connection, not an outcome finding.</w:t>
      </w:r>
    </w:p>
    <w:p>
      <w:pPr>
        <w:pStyle w:val="SourceNote"/>
      </w:pPr>
      <w:r>
        <w:rPr>
          <w:b/>
        </w:rPr>
        <w:t>Available abstract (not full text):</w:t>
      </w:r>
      <w:r>
        <w:t xml:space="preserve"> 2025 marks one hundred years since the discovery of quantum mechanics. In the century since then, quantum science has blossomed into a global community composed of academics, engineers, developers, and entrepreneurs. The world is currently in the middle of the so-called second quantum revolution, with increased public awareness of quantum science and technology, and growing investment in both quantum hardware and software applications. However, representation remains low among historically marginalized groups: women, LGBTQ+, BIPOC, and people from the global south make up disproportionately few physicists. There are numerous efforts to improve diversity within quantum science, including through workforce development. But many of the changes enacted at the highest levels have failed to result in real change, as highlighted and discussed in the recent Women For Quantum Manifesto of Values. Here, we seek to echo and amplify the need for real change in the quantum ecosystem, emphasizing intersectionality and a feminist approach that centers the most vulnerable members of the quantum community: young students and researchers, especially those communities historically marginalized from quantum science. This report is our attempt to help quantum communities meet this need; we have conducted a survey of quantum scientists all over the world, and here we include both a preliminary repor</w:t>
      </w:r>
    </w:p>
    <w:p>
      <w:pPr/>
      <w:r>
        <w:rPr>
          <w:b/>
        </w:rPr>
        <w:t>POSSIBLE 2026:</w:t>
      </w:r>
      <w:r>
        <w:t xml:space="preserve"> Meeting Users’ Needs in National Health Information Infrastructures - Lessons from the Case of Germany — https://doi.org/10.24251/hicss.2026.448</w:t>
      </w:r>
    </w:p>
    <w:p>
      <w:pPr/>
      <w:r>
        <w:rPr>
          <w:b/>
        </w:rPr>
        <w:t>Shared claim-specific concepts:</w:t>
      </w:r>
      <w:r>
        <w:t xml:space="preserve"> meeting, needs, countries, dynamics; EU scope visible. This is a provisional connection, not an outcome finding.</w:t>
      </w:r>
    </w:p>
    <w:p>
      <w:pPr>
        <w:pStyle w:val="SourceNote"/>
      </w:pPr>
      <w:r>
        <w:rPr>
          <w:b/>
        </w:rPr>
        <w:t>Available abstract (not full text):</w:t>
      </w:r>
      <w:r>
        <w:t xml:space="preserve"> National health information infrastructures (HII) are critical for enabling interoperable and efficient healthcare delivery. However, many national initiatives struggle with misaligned stakeholder interests and unclear roles of regulators. This study investigates a national HII, which includes three important public health applications. Drawing on interviews, participatory observations, and regulatory documents, we examine how stakeholder dynamics and regulatory constraints shape the development process. While existing research has often described such cases, our study adopts a solution-oriented perspective. We derive three actionable recommendations to better align national HII with end-user needs, emphasizing balanced stakeholder involvement, user-centered design, and governance structures that promote healthcare delivery outcomes. Our findings contribute to the literature by extending empirical insights on national HII and offering guidance for governments and policymakers designing similar infrastructures in other countries.</w:t>
      </w:r>
    </w:p>
    <w:p>
      <w:pPr/>
      <w:r>
        <w:rPr>
          <w:b/>
        </w:rPr>
        <w:t>POSSIBLE 2026:</w:t>
      </w:r>
      <w:r>
        <w:t xml:space="preserve"> Feeling responsible, feeling better? The climate-happiness link across European Union — https://doi.org/10.71014/sieds.v80i2.563</w:t>
      </w:r>
    </w:p>
    <w:p>
      <w:pPr/>
      <w:r>
        <w:rPr>
          <w:b/>
        </w:rPr>
        <w:t>Shared claim-specific concepts:</w:t>
      </w:r>
      <w:r>
        <w:t xml:space="preserve"> one, pressing, issues, countries; EU scope visible. This is a provisional connection, not an outcome finding.</w:t>
      </w:r>
    </w:p>
    <w:p>
      <w:pPr>
        <w:pStyle w:val="SourceNote"/>
      </w:pPr>
      <w:r>
        <w:rPr>
          <w:b/>
        </w:rPr>
        <w:t>Available abstract (not full text):</w:t>
      </w:r>
      <w:r>
        <w:t xml:space="preserve"> Climate change is one of the most pressing environmental issues, and often cause citizzens’ anxiety. One such pressing concern is how citizens' sense of personal responsibility for climate change affects their overall life satisfaction. The current study examines this relationship using data from Round 11 (2023) of the European Social Survey (ESS). We examine the extent to which feeling personally responsible for mitigating climate change is associated with life satisfaction, controlling for a number of socio-demographic and attitudinal controls. These include age, gender, political orientation, country of residence, migrant status, whether one believes that climate change exists, how concerned one is about protecting the environment, how close one feels to Europe and one's country of origin, and trust in the European Parliament. The results suggest that individuals who identify more strongly with the task of tackling climate change, report more trust in European institutions, and reside in northern European Member States enjoy greater life satisfaction. Conversely, individuals - mainly from some Eastern and Southern European countries - who either express low identification with Europe or are apathetic about identifying with it are less satisfied.</w:t>
      </w:r>
    </w:p>
    <w:p>
      <w:pPr/>
      <w:r>
        <w:rPr>
          <w:b/>
        </w:rPr>
        <w:t>POSSIBLE 2026:</w:t>
      </w:r>
      <w:r>
        <w:t xml:space="preserve"> Insights of the Adult Immunization Board Meeting — https://openalex.org/W7167399882</w:t>
      </w:r>
    </w:p>
    <w:p>
      <w:pPr/>
      <w:r>
        <w:rPr>
          <w:b/>
        </w:rPr>
        <w:t>Shared claim-specific concepts:</w:t>
      </w:r>
      <w:r>
        <w:t xml:space="preserve"> issues, meeting, significant; EU scope visible. This is a provisional connection, not an outcome finding.</w:t>
      </w:r>
    </w:p>
    <w:p>
      <w:pPr>
        <w:pStyle w:val="SourceNote"/>
      </w:pPr>
      <w:r>
        <w:rPr>
          <w:b/>
        </w:rPr>
        <w:t>Available abstract (not full text):</w:t>
      </w:r>
      <w:r>
        <w:t xml:space="preserve"> As Europe’s population ages, optimizing vaccination strategies for older adults is an increasing public health priority. Vaccine-preventable infections pose significant risks, including increased morbidity and mortality, reduced quality of life, and substantial healthcare costs. Prevention, particularly adult vaccination, plays a vital role in mitigating these outcomes and supporting healthy ageing. While childhood immunization remains essential, a life-course approach including routine older adult vaccination is needed. Coverage among older adults across Europe remains suboptimal owing to factors such as heterogeneous (sub)national policies, health literacy issues, financial barriers, access issues, and persistent structural and societal barriers. To meet these challenges, the Adult Immunization Board (AIB) convened a technical meeting in May 2025, to discuss strategies for improving vaccination in older adults. The meeting explored how older adults are defined in immunization policies (for the meeting, an operational threshold of ≥ 50 years was used, while acknowledging that many national age-based programs commonly start around 60–65 years) and reviewed current adult vaccines and programmatic implementation across six vaccines. Discussions highlighted the need for a life-course approach with coordinated (inter)national policies, clear adult vaccination schedules, dedicated i</w:t>
      </w:r>
    </w:p>
    <w:p>
      <w:pPr/>
      <w:r>
        <w:rPr>
          <w:b/>
        </w:rPr>
        <w:t>POSSIBLE 2026:</w:t>
      </w:r>
      <w:r>
        <w:t xml:space="preserve"> Meeting the mind’s essentials: Basic psychological needs and student well-being in higher education — https://doi.org/10.31893/multirev.2026576</w:t>
      </w:r>
    </w:p>
    <w:p>
      <w:pPr/>
      <w:r>
        <w:rPr>
          <w:b/>
        </w:rPr>
        <w:t>Shared claim-specific concepts:</w:t>
      </w:r>
      <w:r>
        <w:t xml:space="preserve"> meeting, needs, significant; EU scope not established. This is a provisional connection, not an outcome finding.</w:t>
      </w:r>
    </w:p>
    <w:p>
      <w:pPr>
        <w:pStyle w:val="SourceNote"/>
      </w:pPr>
      <w:r>
        <w:rPr>
          <w:b/>
        </w:rPr>
        <w:t>Available abstract (not full text):</w:t>
      </w:r>
      <w:r>
        <w:t xml:space="preserve"> This study explored the fulfillment of basic psychological needs and its relationship with student well-being in higher education. Anchored on Self-Determination Theory and guided by the growing emphasis on mental health in academic settings, the research aimed to examine how autonomy, competence, and relatedness influence students’ overall well-being. A descriptive-correlational design was employed, with data collected from a sample of college students selected through simple random sampling. Standardized tools—the Basic Psychological Need Satisfaction and Frustration Scale (BPNSFS) and the WHO-5 Well-being Index—were used to measure the variables. Data analysis included descriptive statistics and Pearson correlation to determine the nature and strength of the relationship between psychological needs and well-being. Students reported a moderate level of psychological need fulfillment, with differences across the domains of autonomy, competence, and relatedness. Well-being scores ranged from good to at-risk levels, reflecting both positive mental health and emotional vulnerability. A significant positive correlation was found between psychological need satisfaction and student well-being. The results highlight the importance of fulfilling basic psychological needs in promoting students’ mental health. The study emphasizes the need for educational institutions to cultivate envir</w:t>
      </w:r>
    </w:p>
    <w:p>
      <w:pPr/>
      <w:r>
        <w:rPr>
          <w:b/>
        </w:rPr>
        <w:t>POSSIBLE 2026:</w:t>
      </w:r>
      <w:r>
        <w:t xml:space="preserve"> The Role of the Government in Meeting Military Energy Needs: A Literature Review of Defense Energy Strategies and Policies — https://doi.org/10.55927/fjmr.v5i7.114</w:t>
      </w:r>
    </w:p>
    <w:p>
      <w:pPr/>
      <w:r>
        <w:rPr>
          <w:b/>
        </w:rPr>
        <w:t>Shared claim-specific concepts:</w:t>
      </w:r>
      <w:r>
        <w:t xml:space="preserve"> meeting, needs, energy; EU scope not established. This is a provisional connection, not an outcome finding.</w:t>
      </w:r>
    </w:p>
    <w:p>
      <w:pPr>
        <w:pStyle w:val="SourceNote"/>
      </w:pPr>
      <w:r>
        <w:rPr>
          <w:b/>
        </w:rPr>
        <w:t>Available abstract (not full text):</w:t>
      </w:r>
      <w:r>
        <w:t xml:space="preserve"> This study employed a qualitative approach with a systematic literature review design, involving peer-reviewed journal articles, institutional policy documents, and academic monographs selected through purposive sampling based on criteria of temporal relevance and thematic specificity, with priority given to sources published between 2010 and 2024. Data were collected using systematic documentary analysis and analyzed using a two-stage process combining descriptive thematic mapping and comparative cross-contextual analysis. The findings indicate that legislative mandates produce more durable defense energy reform outcomes than administrative directives; that a persistent and consequential gap exists between declared policy objectives and actual budget appropriations, with reactive rather than anticipatory budgeting constituting the dominant pattern across cases; that a portfolio approach combining diversification, efficiency reform, and renewable integration rather than any single strategy best addresses the full range of operational demands; and that the body of defense energy policy knowledge has developed almost entirely through Western, high-income defense establishment experience, generating frameworks that require reconceptualization rather than direct translation for developing-country contexts. This study also provides opportunities for further research on the instituti</w:t>
      </w:r>
    </w:p>
    <w:p>
      <w:pPr/>
      <w:r>
        <w:rPr>
          <w:b/>
        </w:rPr>
        <w:t>POSSIBLE 2025:</w:t>
      </w:r>
      <w:r>
        <w:t xml:space="preserve"> Health Disparities: The Emerging Trends and Pressing Challenges — https://doi.org/10.3390/books978-3-7258-3147-0</w:t>
      </w:r>
    </w:p>
    <w:p>
      <w:pPr/>
      <w:r>
        <w:rPr>
          <w:b/>
        </w:rPr>
        <w:t>Shared claim-specific concepts:</w:t>
      </w:r>
      <w:r>
        <w:t xml:space="preserve"> one, pressing, issues, dynamics; EU scope visible. This is a provisional connection, not an outcome finding.</w:t>
      </w:r>
    </w:p>
    <w:p>
      <w:pPr>
        <w:pStyle w:val="SourceNote"/>
      </w:pPr>
      <w:r>
        <w:rPr>
          <w:b/>
        </w:rPr>
        <w:t>Available abstract (not full text):</w:t>
      </w:r>
      <w:r>
        <w:t xml:space="preserve"> Health disparities represent one of the most pressing challenges in modern healthcare systems worldwide. Health disparities have a profound influence on communities and individuals, shaping their overall health, well-being, and social dynamics.These preventable differences in health outcomes, disease burden, and access to quality care continue to affect socially disadvantaged populations, perpetuating cycles of inequality and undermining the fundamental principle of health equity. As we delve deeper into the 21st century, the urgency to address these disparities has never been more apparent, with emerging trends highlighting both the persistence of long-standing issues and the rise of new challenges in our rapidly evolving global landscape.The European Journal of Investigation in Health, Psychology and Education has dedicated a Special Issue to the exploration of the critical topic of Health Disparities: The Emerging Trends and Pressing Challenges. This collection of research aims to shed light on the multifaceted nature of health disparities, their root causes, and potential solutions, bringing together insights from various disciplines to inform policy, practice, and future research directions.</w:t>
      </w:r>
    </w:p>
    <w:p>
      <w:pPr/>
      <w:r>
        <w:rPr>
          <w:b/>
        </w:rPr>
        <w:t>POSSIBLE 2025:</w:t>
      </w:r>
      <w:r>
        <w:t xml:space="preserve"> Safe access to asylum in Europe: revisiting the litmus test of refugee law — https://doi.org/10.59350/fluchtforschung.14630</w:t>
      </w:r>
    </w:p>
    <w:p>
      <w:pPr/>
      <w:r>
        <w:rPr>
          <w:b/>
        </w:rPr>
        <w:t>Shared claim-specific concepts:</w:t>
      </w:r>
      <w:r>
        <w:t xml:space="preserve"> one, pressing, issues, still; EU scope visible. This is a provisional connection, not an outcome finding.</w:t>
      </w:r>
    </w:p>
    <w:p>
      <w:pPr>
        <w:pStyle w:val="SourceNote"/>
      </w:pPr>
      <w:r>
        <w:rPr>
          <w:b/>
        </w:rPr>
        <w:t>Available abstract (not full text):</w:t>
      </w:r>
      <w:r>
        <w:t xml:space="preserve"> The question of safe and regulated entry for protection seekers into a state of refuge is still one of the most pressing issues of the asylum system in Europe.</w:t>
      </w:r>
    </w:p>
    <w:p>
      <w:pPr/>
      <w:r>
        <w:rPr>
          <w:b/>
        </w:rPr>
        <w:t>POSSIBLE 2025:</w:t>
      </w:r>
      <w:r>
        <w:t xml:space="preserve"> Islamic Lifestyle Applications: Meeting the Spiritual Needs of Modern Muslims — https://doi.org/10.1080/10447318.2025.2595545</w:t>
      </w:r>
    </w:p>
    <w:p>
      <w:pPr/>
      <w:r>
        <w:rPr>
          <w:b/>
        </w:rPr>
        <w:t>Shared claim-specific concepts:</w:t>
      </w:r>
      <w:r>
        <w:t xml:space="preserve"> meeting, needs, assess; EU scope not established. This is a provisional connection, not an outcome finding.</w:t>
      </w:r>
    </w:p>
    <w:p>
      <w:pPr>
        <w:pStyle w:val="SourceNote"/>
      </w:pPr>
      <w:r>
        <w:rPr>
          <w:b/>
        </w:rPr>
        <w:t>Available abstract (not full text):</w:t>
      </w:r>
      <w:r>
        <w:t xml:space="preserve"> We evaluated contemporary Islamic lifestyle applications supporting religious practices and motivation among Muslims. We reviewed 11 popular applications using self-determination theory and the technology-as-experience framework to assess their support for motivation and affective needs. Most applications lack features that foster autonomy, competence, and relatedness. We also interviewed ten devoted Muslim application users to gain insights into their experiences and unmet needs. Our findings indicate that existing applications fall short in providing comprehensive learning, social connections, and scholar consultations. We propose design implications based on our results, including spiritual empowerment through technology, designing for intrinsic motivation, culturally grounded design and community engagement. We aim to inform the design of Islamic lifestyle applications that better facilitate ritual practices, benefitting application designers and Muslim communities. Our research provides valuable insights into the untapped potential for lifestyle applications to act as religious companions supporting Muslims’ spiritual journey.</w:t>
      </w:r>
    </w:p>
    <w:p>
      <w:pPr>
        <w:pStyle w:val="Heading2"/>
      </w:pPr>
      <w:r>
        <w:t>516. Climate Change and Renewable Energy Generation in Europe—Long-Term Impact Assessment on Solar and Wind Energy Using High-Resolution Future Climate Data and Considering Climate Uncertainties</w:t>
      </w:r>
    </w:p>
    <w:p>
      <w:pPr>
        <w:pStyle w:val="SourceNote"/>
      </w:pPr>
      <w:r>
        <w:rPr>
          <w:b/>
        </w:rPr>
        <w:t>Original source (2022):</w:t>
      </w:r>
      <w:r>
        <w:t xml:space="preserve"> https://doi.org/10.3390/en15010302</w:t>
      </w:r>
    </w:p>
    <w:p>
      <w:pPr/>
      <w:r>
        <w:t>Original wording (abstract; indexed_source_text_not_full_document_verified): Thirteen future climate scenarios, including five global climate models (GCMs) and three representative concentration pathways (RCPs), are downscaled by the RCA4 regional climate model (RCM) over 90 years (2010–2099), divided into three 30-year periods. The results showed that the uncertainty caused by GCMs has the most substantial impact on projecting renewable energy generation.</w:t>
      </w:r>
    </w:p>
    <w:p>
      <w:pPr/>
      <w:r>
        <w:rPr>
          <w:b/>
        </w:rPr>
        <w:t>POSSIBLE 2026:</w:t>
      </w:r>
      <w:r>
        <w:t xml:space="preserve"> Robust data integration methods for understanding associations between climate change and hantavirus infection in Europe are needed: A systematic-narrative hybrid literature review — https://doi.org/10.1016/j.envc.2026.101486</w:t>
      </w:r>
    </w:p>
    <w:p>
      <w:pPr/>
      <w:r>
        <w:rPr>
          <w:b/>
        </w:rPr>
        <w:t>Shared claim-specific concepts:</w:t>
      </w:r>
      <w:r>
        <w:t xml:space="preserve"> thirteen, climate, including, pathways, substantial; EU scope visible. This is a provisional connection, not an outcome finding.</w:t>
      </w:r>
    </w:p>
    <w:p>
      <w:pPr>
        <w:pStyle w:val="SourceNote"/>
      </w:pPr>
      <w:r>
        <w:rPr>
          <w:b/>
        </w:rPr>
        <w:t>Available abstract (not full text):</w:t>
      </w:r>
      <w:r>
        <w:t xml:space="preserve"> The relationship between climate change and human hantavirus infection is complex, involving not only climate itself but also environmental conditions, rodent host ecology, and human behavior. Understanding this broader causal pathway requires careful integration of diverse data sources. Compared with well-studied vector-borne diseases, human hantavirus infection remains less explored, partly because its transmission pathways are more complicated to characterize. To assess how current evidence addresses this complexity, particularly the data and methods used, we reviewed empirical studies examining associations between climatic factors and human hantavirus infection in Europe. Thirteen studies were identified through a systematic approach. Using a tailored evaluation framework, we assessed their analytical approaches, including spatial and temporal resolution, lag effects, and handling of modifying and mediating variables. Across studies, we found substantial variation in data and methods. This heterogeneity, combined with differences in scale and variable selection, has led to inconsistent conclusions about whether and how climate influences hantavirus risk across different European regions. Our review highlights the need for more robust, coherent methodological strategies and explicit causal frameworks to clarify the relationships between climate and hantavirus infection and </w:t>
      </w:r>
    </w:p>
    <w:p>
      <w:pPr/>
      <w:r>
        <w:rPr>
          <w:b/>
        </w:rPr>
        <w:t>POSSIBLE 2026:</w:t>
      </w:r>
      <w:r>
        <w:t xml:space="preserve"> Recent flood disasters in Europe (2007–2025): comparative analysis and policy implications for climate-resilient governance — https://doi.org/10.1080/15715124.2026.2694415</w:t>
      </w:r>
    </w:p>
    <w:p>
      <w:pPr/>
      <w:r>
        <w:rPr>
          <w:b/>
        </w:rPr>
        <w:t>Shared claim-specific concepts:</w:t>
      </w:r>
      <w:r>
        <w:t xml:space="preserve"> climate, including, five, regional; EU scope visible. This is a provisional connection, not an outcome finding.</w:t>
      </w:r>
    </w:p>
    <w:p>
      <w:pPr>
        <w:pStyle w:val="SourceNote"/>
      </w:pPr>
      <w:r>
        <w:rPr>
          <w:b/>
        </w:rPr>
        <w:t>Available abstract (not full text):</w:t>
      </w:r>
      <w:r>
        <w:t xml:space="preserve"> Flood disasters in Europe have become increasingly frequent and severe due to factors including rapid urbanisation, infrastructure vulnerabilities and climate change-related weather anomalies. This paper summarises lessons from major flood events since 2007 using a harmonised framework aligned with Integrated Flood Risk Management (IFRM). The analysis is based on multi-country datasets and case studies. Hazards characteristics, exposure, vulnerability and governance responses are examined in order to identify recurring patterns and systemic gaps. The results of the study highlighted five critical themes: (i) the growing prevalence of riverine and flash floods in urban areas; (ii) the amplifying effects of urbanisation and inadequate drainage; (iii) the shaping of hazard profiles by climate-induced extremes; (iv) the persistent shortcomings in the dissemination of early warnings and last-mile communication and (v) the regional variability in vulnerability and coping capacity. The insights gathered have informed a series of recommendations for policy and practice, the enhancement of early warning systems, investment in sustainable infrastructure, cross-border cooperation and community resilience. The objective of these findings is to inform adaptive strategies and strengthen Europe’s capacity to manage evolving flood risks under increasing urbanisation, continuous economic develo</w:t>
      </w:r>
    </w:p>
    <w:p>
      <w:pPr/>
      <w:r>
        <w:rPr>
          <w:b/>
        </w:rPr>
        <w:t>POSSIBLE 2026:</w:t>
      </w:r>
      <w:r>
        <w:t xml:space="preserve"> Climate Change Threatens Micronutrient Density of European Winter Wheat — https://doi.org/10.1002/advs.202513322</w:t>
      </w:r>
    </w:p>
    <w:p>
      <w:pPr/>
      <w:r>
        <w:rPr>
          <w:b/>
        </w:rPr>
        <w:t>Shared claim-specific concepts:</w:t>
      </w:r>
      <w:r>
        <w:t xml:space="preserve"> climate, representative, uncertainty; EU scope visible. This is a provisional connection, not an outcome finding.</w:t>
      </w:r>
    </w:p>
    <w:p>
      <w:pPr>
        <w:pStyle w:val="SourceNote"/>
      </w:pPr>
      <w:r>
        <w:rPr>
          <w:b/>
        </w:rPr>
        <w:t>Available abstract (not full text):</w:t>
      </w:r>
      <w:r>
        <w:t xml:space="preserve"> ABSTRACT Micronutrients are vital for human health. Wheat is a major staple crop and a significant source of minerals and B‐vitamins. The impact of multifactorial climate change on their content remains largely unknown, introducing uncertainty to human nutrition and well‐being. Here, we used an Ecotron to evaluate micronutrient levels in European winter wheat ( Triticum aestivum var. Asory) under historical and projected climate conditions, incorporating gradients of atmospheric CO 2 , temperature, precipitation, and light intensity representative of ongoing climate change in Western Europe. Our findings indicate that future climates will strongly diminish multiple minerals and B‐vitamins in grains, thereby posing a significant challenge for global public health.</w:t>
      </w:r>
    </w:p>
    <w:p>
      <w:pPr/>
      <w:r>
        <w:rPr>
          <w:b/>
        </w:rPr>
        <w:t>POSSIBLE 2026:</w:t>
      </w:r>
      <w:r>
        <w:t xml:space="preserve"> Thermal niche tracking in thirteen British temperate passerines — https://doi.org/10.22541/authorea.15010264/v1</w:t>
      </w:r>
    </w:p>
    <w:p>
      <w:pPr/>
      <w:r>
        <w:rPr>
          <w:b/>
        </w:rPr>
        <w:t>Shared claim-specific concepts:</w:t>
      </w:r>
      <w:r>
        <w:t xml:space="preserve"> thirteen, climate, over; EU scope not established. This is a provisional connection, not an outcome finding.</w:t>
      </w:r>
    </w:p>
    <w:p>
      <w:pPr>
        <w:pStyle w:val="SourceNote"/>
      </w:pPr>
      <w:r>
        <w:rPr>
          <w:b/>
        </w:rPr>
        <w:t>Available abstract (not full text):</w:t>
      </w:r>
      <w:r>
        <w:t xml:space="preserve"> Identifying how and why species vary in their ability to adjust to rapidly changing climates is a key challenge in ecology. While phenological shifts are well documented for birds and often studied in the context of tracking resource availability, less is known about the extent to which adjustments in phenology allow populations to track a consistent thermal niche. In particular, there has been little examination of how the extent of phenological thermal niche tracking compares over time versus space; a comparison that has the potential to inform on the underlying mechanisms. Here, we use data on breeding phenology derived from BTO Nest Record Scheme data, to examine the extent to which 13 passerine bird species track a consistent incubation thermal niche across years (both interannually and a year gradient) and along latitudinal and elevational gradients, and whether migrant and resident species differ in their tracking ability. Overall, we find support across species for partial tracking, with all species showing trends consistent with partial tracking across one or more axis, though for one species we could not reject the null hypothesis of no tracking. When we looked at average trends across species, we find significant tracking across interannual variation, latitude, and elevation, but not across a year trend. However, we find no evidence that tracking differs between resi</w:t>
      </w:r>
    </w:p>
    <w:p>
      <w:pPr/>
      <w:r>
        <w:rPr>
          <w:b/>
        </w:rPr>
        <w:t>POSSIBLE 2026:</w:t>
      </w:r>
      <w:r>
        <w:t xml:space="preserve"> Heterogeneity and global climate action — https://doi.org/10.21953/researchonline.lse.ac.uk.00137104</w:t>
      </w:r>
    </w:p>
    <w:p>
      <w:pPr/>
      <w:r>
        <w:rPr>
          <w:b/>
        </w:rPr>
        <w:t>Shared claim-specific concepts:</w:t>
      </w:r>
      <w:r>
        <w:t xml:space="preserve"> climate, caused; EU scope not established. This is a provisional connection, not an outcome finding.</w:t>
      </w:r>
    </w:p>
    <w:p>
      <w:pPr>
        <w:pStyle w:val="SourceNote"/>
      </w:pPr>
      <w:r>
        <w:rPr>
          <w:b/>
        </w:rPr>
        <w:t>Available abstract (not full text):</w:t>
      </w:r>
      <w:r>
        <w:t xml:space="preserve"> Responses to climate change differ between countries yet the impact of these differences on the evolution of global climate action has not been analysed to date. This paper addresses two related questions: (i) what is the role of the variation of preferences in the global political economy of climate action; and (ii) what are the necessary conditions for sustained high levels of global action? The authors develop a model to assess countries’ choices at different times to either take action to reduce emissions or not. They find that countries’ choices are influenced by their current level of emissions, total participation in climate action, and other idiosyncratic factors. The heterogeneity between countries is caused by income inequality, differing vulnerability to climate damage, and other political economy factors. The model’s key result is that sustained high levels of global action are achieved only if there is a low degree of heterogeneity in countries’ preferences for action and a strong peer pressure effect to act.</w:t>
      </w:r>
    </w:p>
    <w:p>
      <w:pPr/>
      <w:r>
        <w:rPr>
          <w:b/>
        </w:rPr>
        <w:t>POSSIBLE 2026:</w:t>
      </w:r>
      <w:r>
        <w:t xml:space="preserve"> Business, Climate Litigation and Human Rights in a Changing Global Political Climate — https://doi.org/10.56461/iup_rlrc.2026.7.ch22</w:t>
      </w:r>
    </w:p>
    <w:p>
      <w:pPr/>
      <w:r>
        <w:rPr>
          <w:b/>
        </w:rPr>
        <w:t>Shared claim-specific concepts:</w:t>
      </w:r>
      <w:r>
        <w:t xml:space="preserve"> climate, over; EU scope visible. This is a provisional connection, not an outcome finding.</w:t>
      </w:r>
    </w:p>
    <w:p>
      <w:pPr>
        <w:pStyle w:val="SourceNote"/>
      </w:pPr>
      <w:r>
        <w:rPr>
          <w:b/>
        </w:rPr>
        <w:t>Available abstract (not full text):</w:t>
      </w:r>
      <w:r>
        <w:t xml:space="preserve"> Climate litigation is increasingly framed not only as an environmental issue, but as a struggle over human rights in a changing global political climate. At the same time, business and human rights frameworks in Europe—especially mandatory due diligence and sustainability reporting—are expanding and are often presented as tools to strengthen corporate accountability. This paper argues that, despite the expansion of legal and regulatory mechanisms, corporate actors continue to rely on ESG narratives as a form of corporate legitimization, while affected communities face structural barriers to accessing justice. Drawing on developments in Europe and the Global South, the paper highlights a persistent gap between corporate contribution to climate harm and legal accountability. It concludes that without stronger attention to power asymmetries and access to justice, climate litigation and Business and Human Rights (BHR) regulation may reinforce existing inequalities rather than deliver climate justice.</w:t>
      </w:r>
    </w:p>
    <w:p>
      <w:pPr/>
      <w:r>
        <w:rPr>
          <w:b/>
        </w:rPr>
        <w:t>POSSIBLE 2026:</w:t>
      </w:r>
      <w:r>
        <w:t xml:space="preserve"> Climate anxiety among nursing students: a scoping review — https://doi.org/10.1186/s12912-026-04656-2</w:t>
      </w:r>
    </w:p>
    <w:p>
      <w:pPr/>
      <w:r>
        <w:rPr>
          <w:b/>
        </w:rPr>
        <w:t>Shared claim-specific concepts:</w:t>
      </w:r>
      <w:r>
        <w:t xml:space="preserve"> thirteen, climate, including, uncertainty; EU scope not established. This is a provisional connection, not an outcome finding.</w:t>
      </w:r>
    </w:p>
    <w:p>
      <w:pPr>
        <w:pStyle w:val="SourceNote"/>
      </w:pPr>
      <w:r>
        <w:rPr>
          <w:b/>
        </w:rPr>
        <w:t>Available abstract (not full text):</w:t>
      </w:r>
      <w:r>
        <w:t xml:space="preserve"> BACKGROUND: Climate change is a critical 21st-century global challenge affecting the environment, public health, and social well-being. Climate anxiety is increasingly prevalent among nursing students, who bear a dual burden of personal psychological stress and professional responsibility for addressing climate-related health consequences. However, synthesized evidence on this topic remains limited. AIMS: To comprehensively map the assessment tools, influencing factors, and intervention strategies related to climate anxiety among nursing students, identify key knowledge gaps, and provide evidence-based recommendations for future research and nursing education. DESIGN: Scoping review conducted following the Arksey and O’Malley framework and reported in accordance with the PRISMA extension for Scoping Reviews (PRISMA-ScR) 2020 guidelines. DATA SOURCES: Seven major electronic databases (PubMed, Cochrane Library, Embase, CINAHL, Web of Science Core Collection, Scopus, and Medline) were searched from database inception to March 1, 2026. METHODS: Literature was screened based on the PCC (Population, Concept, Context) framework, followed by rigorous two-stage independent screening and standardized data charting by two reviewers. RESULTS: Thirteen studies involving a total of 5,096 nursing students were included. All studies were published between 2024 and 2025, with the majority condu</w:t>
      </w:r>
    </w:p>
    <w:p>
      <w:pPr/>
      <w:r>
        <w:rPr>
          <w:b/>
        </w:rPr>
        <w:t>POSSIBLE 2026:</w:t>
      </w:r>
      <w:r>
        <w:t xml:space="preserve"> Unraveling European electricity price volatility: The impact of renewables — https://doi.org/10.1016/j.esr.2026.102144</w:t>
      </w:r>
    </w:p>
    <w:p>
      <w:pPr/>
      <w:r>
        <w:rPr>
          <w:b/>
        </w:rPr>
        <w:t>Shared claim-specific concepts:</w:t>
      </w:r>
      <w:r>
        <w:t xml:space="preserve"> thirteen, climate, including; EU scope visible. This is a provisional connection, not an outcome finding.</w:t>
      </w:r>
    </w:p>
    <w:p>
      <w:pPr>
        <w:pStyle w:val="SourceNote"/>
      </w:pPr>
      <w:r>
        <w:rPr>
          <w:b/>
        </w:rPr>
        <w:t>Available abstract (not full text):</w:t>
      </w:r>
      <w:r>
        <w:t xml:space="preserve"> The transition from fossil fuels to renewable, carbon-free energy is a critical challenge for mitigating climate change, with different European countries adopting diverse approaches to integrating renewable energy sources into their energy systems. Hereby, the intermittent nature and variability of renewable energy generation lead to significant challenges to electricity markets, amplifying supply volatility and market instability. This study examines the determinants of electricity price volatility in European wholesale markets, focusing on the impact of renewable energy sources as well as the influence of fuel prices and electricity demand. Using daily data from thirteen European electricity markets for the period 2015 to 2023, we account for the dynamic development of the energy system and volatile market condition, including the recent shocks induced by the Russia–Ukraine war. By employing country-specific and panel regression models, the findings reveal that conventional power sources, such as nuclear and coal, tend to stabilize electricity markets. In contrast, a higher share of solar power is associated with increased risk. Wind power exhibits mixed effects, with stabilizing impacts in most markets and volatility-enhancing tendencies in Spain, highlighting the role of market-specific dynamics. Additionally, total electricity load as well as the Russia-Ukraine war emerge</w:t>
      </w:r>
    </w:p>
    <w:p>
      <w:pPr/>
      <w:r>
        <w:rPr>
          <w:b/>
        </w:rPr>
        <w:t>POSSIBLE 2026:</w:t>
      </w:r>
      <w:r>
        <w:t xml:space="preserve"> Cultivar-by-environment interactions shape strawberry fruit quality: A multi-omics approach across European climates — https://doi.org/10.1016/j.foodchem.2026.148161</w:t>
      </w:r>
    </w:p>
    <w:p>
      <w:pPr/>
      <w:r>
        <w:rPr>
          <w:b/>
        </w:rPr>
        <w:t>Shared claim-specific concepts:</w:t>
      </w:r>
      <w:r>
        <w:t xml:space="preserve"> including, five, over; EU scope visible. This is a provisional connection, not an outcome finding.</w:t>
      </w:r>
    </w:p>
    <w:p>
      <w:pPr>
        <w:pStyle w:val="SourceNote"/>
      </w:pPr>
      <w:r>
        <w:rPr>
          <w:b/>
        </w:rPr>
        <w:t>Available abstract (not full text):</w:t>
      </w:r>
      <w:r>
        <w:t xml:space="preserve"> Flavour inconsistency in Fragaria x ananassa remains a challenge, largely due to historical breeding focused on yield over sensory traits. Flavour results from organoleptic and bioactive compounds shaped by cultivar (G), environment (E) and their interaction (GxE). Four strawberry cultivars (Clery, Frida, Gariguette, Sonata) were evaluated across five European environments employing an integrative approach combining metabolomics and transcriptomics. This approach revealed elevated temperatures accelerate the start of the harvest season and shorten fruit development duration. GxE interactions critically influenced flavour compounds accumulation, indicating cooler temperatures during fruit development favor the accumulation of sugars and ɣ-decalactone. Integrative analysis identified cultivar-specific and environmentally stable transcriptional patterns, including promising candidate genes involved in the biosynthesis and degradation of flavour relevant compounds, and revealing starting points for strawberry flavour improvement and stabilization. Our findings highlight the central role of GxE interactions in shaping strawberry flavour profile and emphasize the need for multi-environment trials to support resilient flavour enhancement in future breeding programs. • GxE interactions drive 17.8% of strawberry's flavour metabolome. • Multi-omics pinpoints cultivar-specific genes for s</w:t>
      </w:r>
    </w:p>
    <w:p>
      <w:pPr/>
      <w:r>
        <w:rPr>
          <w:b/>
        </w:rPr>
        <w:t>POSSIBLE 2026:</w:t>
      </w:r>
      <w:r>
        <w:t xml:space="preserve"> Phenotypic plasticity evolved for climate variability constrains performance under climate warming — https://doi.org/10.64898/2026.03.15.711905</w:t>
      </w:r>
    </w:p>
    <w:p>
      <w:pPr/>
      <w:r>
        <w:rPr>
          <w:b/>
        </w:rPr>
        <w:t>Shared claim-specific concepts:</w:t>
      </w:r>
      <w:r>
        <w:t xml:space="preserve"> thirteen, climate, including; EU scope not established. This is a provisional connection, not an outcome finding.</w:t>
      </w:r>
    </w:p>
    <w:p>
      <w:pPr>
        <w:pStyle w:val="SourceNote"/>
      </w:pPr>
      <w:r>
        <w:rPr>
          <w:b/>
        </w:rPr>
        <w:t>Available abstract (not full text):</w:t>
      </w:r>
      <w:r>
        <w:t xml:space="preserve"> Abstract Phenotypic plasticity allows plants to rapidly respond to changing environments without the need for evolutionary change or migration. While selection can create variation in plasticity across natural populations, these responses are not adaptive in all environments. To predict whether plasticity will be adaptive requires evaluation of its fitness effects across a range of environments, including novel ones. Here, we test how traits and their plasticity vary for genotypes collected across a natural hybrid zone between two tree species with contrasting climatic niches. Fast-growing Populus trichocarpa inhabits maritime environments with relatively warm and stable temperatures, while P. balsamifera inhabits continental environments with cold winters and large temperature variance throughout the year. We planted 44 clonally replicated genotypes into thirteen common gardens and measured vegetative phenology, leaf morphology, stomata morphology and conductance, and photochemistry. Overall, genotypes from colder, more continental environments exhibited higher plasticity. P. balsamifera ancestry was associated with increased plasticity in timing of fall phenology, stomatal conductance, and leaf mass per unit area. We assessed the effects of trait plasticity on fitness estimated as yearly growth across common gardens and found that the plasticity-fitness relationship was often</w:t>
      </w:r>
    </w:p>
    <w:p>
      <w:pPr/>
      <w:r>
        <w:rPr>
          <w:b/>
        </w:rPr>
        <w:t>POSSIBLE 2026:</w:t>
      </w:r>
      <w:r>
        <w:t xml:space="preserve"> Regional priorities in implementing forestation and wind energy as climate solutions in facing their trade-offs — https://doi.org/10.1038/s41467-026-71674-8</w:t>
      </w:r>
    </w:p>
    <w:p>
      <w:pPr/>
      <w:r>
        <w:rPr>
          <w:b/>
        </w:rPr>
        <w:t>Shared claim-specific concepts:</w:t>
      </w:r>
      <w:r>
        <w:t xml:space="preserve"> climate, regional; EU scope visible. This is a provisional connection, not an outcome finding.</w:t>
      </w:r>
    </w:p>
    <w:p>
      <w:pPr>
        <w:pStyle w:val="SourceNote"/>
      </w:pPr>
      <w:r>
        <w:rPr>
          <w:b/>
        </w:rPr>
        <w:t>Available abstract (not full text):</w:t>
      </w:r>
      <w:r>
        <w:t xml:space="preserve"> Both forestation and wind-energy upscaling are crucial climate solutions, but they may have conflicts as forestation can increase surface roughness and reduce wind speed. Here, based on coupled land-atmosphere simulations with contrasting forest areas, we report a notable trade-off between wind energy and carbon sequestration across a range of potential forestation areas. A maximum global forestation area of 1508 Mha is estimated to enable a biomass carbon sequestration of 90.7 GtC but also contribute to a 19.5% reduction in global onshore wind energy technical potential. The strength of such carbon-energy trade-offs, however, differs among different regions. Tropics could provide large forestation-induced carbon sequestration but have a small loss in wind energy potential. Large-scale forestation in Europe and US mainland may diminish not only wind energy potential but also energy generation of their current wind installations. Our results highlight the importance of maximizing the collective benefits of potentially competing climate solutions. Forestation creates a climate trade-off between carbon uptake and wind energy. This study reveals forestation has high carbon sequestration potential with lower wind energy loss in tropical regions but has high wind energy loss in Europe and the US.</w:t>
      </w:r>
    </w:p>
    <w:p>
      <w:pPr/>
      <w:r>
        <w:rPr>
          <w:b/>
        </w:rPr>
        <w:t>POSSIBLE 2025:</w:t>
      </w:r>
      <w:r>
        <w:t xml:space="preserve"> Climate advisory committees in European climate governance: Expertise, representation and co‐production — https://doi.org/10.1111/reel.70019</w:t>
      </w:r>
    </w:p>
    <w:p>
      <w:pPr/>
      <w:r>
        <w:rPr>
          <w:b/>
        </w:rPr>
        <w:t>Shared claim-specific concepts:</w:t>
      </w:r>
      <w:r>
        <w:t xml:space="preserve"> climate, including, substantial; EU scope visible. This is a provisional connection, not an outcome finding.</w:t>
      </w:r>
    </w:p>
    <w:p>
      <w:pPr>
        <w:pStyle w:val="SourceNote"/>
      </w:pPr>
      <w:r>
        <w:rPr>
          <w:b/>
        </w:rPr>
        <w:t>Available abstract (not full text):</w:t>
      </w:r>
      <w:r>
        <w:t xml:space="preserve"> Abstract This article examines the institutional design and statutory mandates of Climate Advisory Committees (CACs) in Denmark, Finland, Germany and the United Kingdom through comparative legal analysis. The CACs share the common feature of operating as boundary institutions mediating between scientific knowledge and policy implementation, with implications for climate governance. Through analysis of primary legal documents, official publications and governmental responses, the article demonstrates that CACs consistently encounter difficulties translating scientific advice into substantial policy change when recommendations conflict with economic interests embedded in legal frameworks. Despite variations in institutional design—including different appointment processes, mandate scope, and legal foundations—all four CACs face similar implementation challenges in sectors such as agriculture, forestry, aviation and transport. The article argues that these systematic constraints indicate limitations in current approaches to expert climate advice, as legal frameworks actively prioritise economic values while marginalising ecological and intergenerational considerations. The findings suggest that effective climate governance requires institutional innovations that address the underlying legal constitution of values rather than relying solely on improved scientific expertise or insti</w:t>
      </w:r>
    </w:p>
    <w:p>
      <w:pPr>
        <w:pStyle w:val="Heading2"/>
      </w:pPr>
      <w:r>
        <w:t>517. Climate, Energy – and Environment? Reconciliation of EU Environmental Law with the Implementation Realities of EU Climate Law</w:t>
      </w:r>
    </w:p>
    <w:p>
      <w:pPr>
        <w:pStyle w:val="SourceNote"/>
      </w:pPr>
      <w:r>
        <w:rPr>
          <w:b/>
        </w:rPr>
        <w:t>Original source (2022):</w:t>
      </w:r>
      <w:r>
        <w:t xml:space="preserve"> https://doi.org/10.1163/18786561-12030003</w:t>
      </w:r>
    </w:p>
    <w:p>
      <w:pPr/>
      <w:r>
        <w:t>Original wording (abstract; indexed_source_text_not_full_document_verified): The objective of environmental protection, ‘to preserve, protect and improve the quality of the environment’, does not fully align with the objectives of climate mitigation, which are designed to safeguard the needs of future generations and the long-term environment.</w:t>
      </w:r>
    </w:p>
    <w:p>
      <w:pPr/>
      <w:r>
        <w:rPr>
          <w:b/>
        </w:rPr>
        <w:t>POSSIBLE 2026:</w:t>
      </w:r>
      <w:r>
        <w:t xml:space="preserve"> Urban Planning and Environmental Protection in the Mirror of the Case Law of the European Court of Human Rights — https://doi.org/10.14207/ejsd.2026.v15n1p903</w:t>
      </w:r>
    </w:p>
    <w:p>
      <w:pPr/>
      <w:r>
        <w:rPr>
          <w:b/>
        </w:rPr>
        <w:t>Shared claim-specific concepts:</w:t>
      </w:r>
      <w:r>
        <w:t xml:space="preserve"> objective, environmental, protection, environment, not; EU scope visible. This is a provisional connection, not an outcome finding.</w:t>
      </w:r>
    </w:p>
    <w:p>
      <w:pPr>
        <w:pStyle w:val="SourceNote"/>
      </w:pPr>
      <w:r>
        <w:rPr>
          <w:b/>
        </w:rPr>
        <w:t>Available abstract (not full text):</w:t>
      </w:r>
      <w:r>
        <w:t xml:space="preserve"> The objective of this study is to identify and analyse the most important positions of the ECtHR concerning construction activities and implementation of urban development policies by states, while ensuring the rights of citizens and protecting the environment from the negative impact of construction. This research is necessary, in particular, for the development of the urban planning law, as well as for the purposes of the urban planning reform in Ukraine. In its decisions, the European Court of Human Rights promotes the idea of a crucial role of the state policy and state regulation of the urban development sector in protection and defence of human rights. In many decisions, the Court clarifies obligations of the state in this area, in particular, what they are in special situations such as construction in protected areas, unauthorised construction, and obligations to prevent natural disasters. The paper examines in sufficient detail various aspects of the relevant practice of the Court. The array of the ECtHR case law on protection of environmental rights violated or threatened by construction activities and urban planning has been examined separately. The Court's conclusions regarding the priority of public interest in compliance with building regulations over private interest in ownership of illegally constructed property (but not housing) are noteworthy. Numerous decision</w:t>
      </w:r>
    </w:p>
    <w:p>
      <w:pPr/>
      <w:r>
        <w:rPr>
          <w:b/>
        </w:rPr>
        <w:t>POSSIBLE 2026:</w:t>
      </w:r>
      <w:r>
        <w:t xml:space="preserve"> COMBATING ENVIRONMENTAL CRIMINAL ILLEGALITIES IN A CROSS BORDER CONTEXT – ONE OF THE BASIC OBJECTIVES OF THE EUROPEAN UNION — https://doi.org/10.35219/across.2026.3.14</w:t>
      </w:r>
    </w:p>
    <w:p>
      <w:pPr/>
      <w:r>
        <w:rPr>
          <w:b/>
        </w:rPr>
        <w:t>Shared claim-specific concepts:</w:t>
      </w:r>
      <w:r>
        <w:t xml:space="preserve"> objective, environmental, protection, quality, environment, objectives; EU scope visible. This is a provisional connection, not an outcome finding.</w:t>
      </w:r>
    </w:p>
    <w:p>
      <w:pPr>
        <w:pStyle w:val="SourceNote"/>
      </w:pPr>
      <w:r>
        <w:rPr>
          <w:b/>
        </w:rPr>
        <w:t>Available abstract (not full text):</w:t>
      </w:r>
      <w:r>
        <w:t xml:space="preserve"> In this scientific study we will analyze current issues regarding the phenomenon of illegal acts of a criminal nature against the environment in a cross-border context that constitute crimes and the ways in which the European Union fights against it. Moreover, the article highlights the objectives the European Union has set to combat this problem. The protection and improvement of the quality of the environment in the European Union have always been among the priorities, because crimes against the environment constitute an escalating international dilemma that has lately been taking on more and more forms, which in fact represent a serious threat to humanity. By their nature, once environmental crime has emerged, it requires international cooperation, given the cross-border nature of pollution and its global implications. Moreover, this reality, initially ignored, has led to the gradual affirmation of this objective on the European Union'sagenda. Such crimes pose a threat to the environment and therefore require an adequate and effective response, often necessitating cross-border cooperation.</w:t>
      </w:r>
    </w:p>
    <w:p>
      <w:pPr/>
      <w:r>
        <w:rPr>
          <w:b/>
        </w:rPr>
        <w:t>POSSIBLE 2026:</w:t>
      </w:r>
      <w:r>
        <w:t xml:space="preserve"> Environmental Justice and the Protection of Human Dignity in the Era of Climate Transition — https://doi.org/10.13166/jms/225625</w:t>
      </w:r>
    </w:p>
    <w:p>
      <w:pPr/>
      <w:r>
        <w:rPr>
          <w:b/>
        </w:rPr>
        <w:t>Shared claim-specific concepts:</w:t>
      </w:r>
      <w:r>
        <w:t xml:space="preserve"> objective, environmental, protection, climate, generations; EU scope visible. This is a provisional connection, not an outcome finding.</w:t>
      </w:r>
    </w:p>
    <w:p>
      <w:pPr>
        <w:pStyle w:val="SourceNote"/>
      </w:pPr>
      <w:r>
        <w:rPr>
          <w:b/>
        </w:rPr>
        <w:t>Available abstract (not full text):</w:t>
      </w:r>
      <w:r>
        <w:t xml:space="preserve"> The subject of this study is the relationship between environmental protection and the principle of human dignity in the context of the contemporary climate policy of the European Union. The aim of the article is to assess whether the mechanisms of climate transition remain consistent with the principle of the protection of human dignity and social justice. The research hypothesis assumes that climate protection cannot constitute an autonomous objective but should serve to ensure dignified living conditions for present and future generations. The study employs the dogmatic-legal method, institutional analysis, and elements of axiological and comparative analysis. The findings lead to the conclusion that the future of European climate policy should be based on the Human-Centric Climate Policy model, combining environmental protection with the protection of human dignity and social security.</w:t>
      </w:r>
    </w:p>
    <w:p>
      <w:pPr/>
      <w:r>
        <w:rPr>
          <w:b/>
        </w:rPr>
        <w:t>POSSIBLE 2026:</w:t>
      </w:r>
      <w:r>
        <w:t xml:space="preserve"> Analysis of the institutional arrangement for environmental protection in Georgia — https://doi.org/10.36962/nec21012026-118</w:t>
      </w:r>
    </w:p>
    <w:p>
      <w:pPr/>
      <w:r>
        <w:rPr>
          <w:b/>
        </w:rPr>
        <w:t>Shared claim-specific concepts:</w:t>
      </w:r>
      <w:r>
        <w:t xml:space="preserve"> objective, environmental, protection; EU scope visible. This is a provisional connection, not an outcome finding.</w:t>
      </w:r>
    </w:p>
    <w:p>
      <w:pPr>
        <w:pStyle w:val="SourceNote"/>
      </w:pPr>
      <w:r>
        <w:rPr>
          <w:b/>
        </w:rPr>
        <w:t>Available abstract (not full text):</w:t>
      </w:r>
      <w:r>
        <w:t xml:space="preserve"> Research Objective: The objective of this study is to provide a comprehensive analysis of the institutional arrangement for environmental protection in Georgia. It examines the organizational and legal framework, the roles and responsibilities of central and local authorities, inter-agency coordination mechanisms, and the alignment of national environmental governance with European integration standards. Given Georgia’s ecological diversity, growing environmental challenges, and commitment to EU directives, understanding the effectiveness of institutional arrangements is crucial for sustainable development and policy-making. Methodological Approach: This research employs a normative-legal and institutional analysis methodology. Primary sources include legislation, government regulations, policy documents, strategic plans, and international guidelines (including EU acquis). The study evaluates institutional interactions, decision-making processes, enforcement mechanisms, and public participation, integrating both qualitative and comparative approaches to assess the system’s efficiency and capacity for reform. Main Results and Implications: The findings indicate that while Georgia’s institutional framework for environmental protection has improved significantly over the past decade, challenges remain. Key weaknesses include limited inter-agency coordination, insufficient monitori</w:t>
      </w:r>
    </w:p>
    <w:p>
      <w:pPr/>
      <w:r>
        <w:rPr>
          <w:b/>
        </w:rPr>
        <w:t>POSSIBLE 2026:</w:t>
      </w:r>
      <w:r>
        <w:t xml:space="preserve"> Where to improve the European protected areas network to represent threatened fungi? — https://doi.org/10.1016/j.isci.2026.117758</w:t>
      </w:r>
    </w:p>
    <w:p>
      <w:pPr/>
      <w:r>
        <w:rPr>
          <w:b/>
        </w:rPr>
        <w:t>Shared claim-specific concepts:</w:t>
      </w:r>
      <w:r>
        <w:t xml:space="preserve"> protection, protect, improve; EU scope visible. This is a provisional connection, not an outcome finding.</w:t>
      </w:r>
    </w:p>
    <w:p>
      <w:pPr>
        <w:pStyle w:val="SourceNote"/>
      </w:pPr>
      <w:r>
        <w:rPr>
          <w:b/>
        </w:rPr>
        <w:t>Available abstract (not full text):</w:t>
      </w:r>
      <w:r>
        <w:t xml:space="preserve"> To set a global example in biodiversity conservation, the European Union aims to protect 30% and strictly protect 10% of its land by 2030 and to invest in ecosystem restoration. Yet, the megadiverse fungal kingdom remains largely excluded from conservation planning and evaluation. We compiled occurrence data and developed species distribution models for 33 threatened macrofungi identified for potential inclusion under the Bern Convention across Europe. Comparing distributions of predicted habitats with existing protected-area networks provided robust evidence of large, uneven protection gaps among species and countries. We show that regionally coordinated improvements in protection and targeted habitat restoration would be more effective than addressing gaps independently within each country. By developing habitat models into tools for conservation management, spatial planning and monitoring, and by explicitly allocating those efforts across Member States, protection of neglected but threatened and functionally important taxa such as fungi can be systematically improved.</w:t>
      </w:r>
    </w:p>
    <w:p>
      <w:pPr/>
      <w:r>
        <w:rPr>
          <w:b/>
        </w:rPr>
        <w:t>POSSIBLE 2026:</w:t>
      </w:r>
      <w:r>
        <w:t xml:space="preserve"> Energy policy planning and implementation for environmental protection in Bosnia and Herzegovina — https://doi.org/10.5937/0drraz2602007s</w:t>
      </w:r>
    </w:p>
    <w:p>
      <w:pPr/>
      <w:r>
        <w:rPr>
          <w:b/>
        </w:rPr>
        <w:t>Shared claim-specific concepts:</w:t>
      </w:r>
      <w:r>
        <w:t xml:space="preserve"> objective, environmental, protection, long-term; EU scope visible. This is a provisional connection, not an outcome finding.</w:t>
      </w:r>
    </w:p>
    <w:p>
      <w:pPr>
        <w:pStyle w:val="SourceNote"/>
      </w:pPr>
      <w:r>
        <w:rPr>
          <w:b/>
        </w:rPr>
        <w:t>Available abstract (not full text):</w:t>
      </w:r>
      <w:r>
        <w:t xml:space="preserve"> This paper analyzes the planning and implementation of energy policies in Bosnia and Herzegovina within the context of environmental protection and decarbonization. The primary objective of the research is to identify the causes of the discrepancy between an ambitious regulatory framework, aligned with European Union standards, and the limited results achieved in practice. Through a qualitative analysis of strategic documents and reports from relevant international institutions (UNECE, Energy Community, RCC), the study indicates that institutional barriers, non-transparent concession procedures, and complex governance structures significantly slow down the energy transition. The findings show that maintaining low electricity tariffs and a strong reliance on coal, despite significant renewable energy potential, make Bosnia and Herzegovina vulnerable to emerging market mechanisms such as the Carbon Border Adjustment Mechanism (CBAM). It is concluded that energy policy must become an integral part of national security and public health in order to ensure long-term economic sustainability and environmental stability.</w:t>
      </w:r>
    </w:p>
    <w:p>
      <w:pPr/>
      <w:r>
        <w:rPr>
          <w:b/>
        </w:rPr>
        <w:t>POSSIBLE 2026:</w:t>
      </w:r>
      <w:r>
        <w:t xml:space="preserve"> Planning and Implementation of Energy Policies in the Function of Environmental Protection in Bosnia and Herzegovina — https://doi.org/10.18485/ecologica.2026.33.122.4</w:t>
      </w:r>
    </w:p>
    <w:p>
      <w:pPr/>
      <w:r>
        <w:rPr>
          <w:b/>
        </w:rPr>
        <w:t>Shared claim-specific concepts:</w:t>
      </w:r>
      <w:r>
        <w:t xml:space="preserve"> objective, environmental, protection, long-term; EU scope visible. This is a provisional connection, not an outcome finding.</w:t>
      </w:r>
    </w:p>
    <w:p>
      <w:pPr>
        <w:pStyle w:val="SourceNote"/>
      </w:pPr>
      <w:r>
        <w:rPr>
          <w:b/>
        </w:rPr>
        <w:t>Available abstract (not full text):</w:t>
      </w:r>
      <w:r>
        <w:t xml:space="preserve"> This paper analyzes the planning and implementation of energy policies in Bosnia and Herzegovina within the context of environmental protection and decarbonization.The primary objective of the research is to identify the causes of the discrepancy between an ambitious regulatory framework, aligned with European Union standards, and the limited results achieved in practice.Through a qualitative analysis of strategic documents and reports from relevant international institutions (UNECE, Energy Community, RCC), the study indicates that institutional barriers, nontransparent concession procedures, and complex governance structures significantly slow down the energy transition.The findings show that maintaining low electricity tariffs and a strong reliance on coal, despite significant renewable energy potential, make Bosnia and Herzegovina vulnerable to emerging market mechanisms such as the Carbon Border Adjustment Mechanism (CBAM).It is concluded that energy policy must become an integral part of national security and public health in order to ensure long-term economic sustainability and environmental stability.</w:t>
      </w:r>
    </w:p>
    <w:p>
      <w:pPr/>
      <w:r>
        <w:rPr>
          <w:b/>
        </w:rPr>
        <w:t>POSSIBLE 2026:</w:t>
      </w:r>
      <w:r>
        <w:t xml:space="preserve"> The Effects of the Energy Liberalization Process in the European Union: An Evaluation of the EU Energy Policy and Legislation towards Environmental Protection and Consumer Welfare. Literature review — https://doi.org/10.52340/gjes.2024.01.07</w:t>
      </w:r>
    </w:p>
    <w:p>
      <w:pPr/>
      <w:r>
        <w:rPr>
          <w:b/>
        </w:rPr>
        <w:t>Shared claim-specific concepts:</w:t>
      </w:r>
      <w:r>
        <w:t xml:space="preserve"> environmental, protection, objectives; EU scope visible. This is a provisional connection, not an outcome finding.</w:t>
      </w:r>
    </w:p>
    <w:p>
      <w:pPr>
        <w:pStyle w:val="SourceNote"/>
      </w:pPr>
      <w:r>
        <w:rPr>
          <w:b/>
        </w:rPr>
        <w:t>Available abstract (not full text):</w:t>
      </w:r>
      <w:r>
        <w:t xml:space="preserve"> This paper is a literature review, which explores the liberalization of the EU energy market, with a focus on its impact on consumer welfare, environmental protection, and the role of the Court of Justice of the European Union (hereinafter CJEU) in shaping energy policy. The study examines the historical evolution of energy liberalization, including the significant legal frameworks and policies that have shaped the EU’s energy sector. The analysis reveals the complex interplay between market liberalization, environmental sustainability, and competition, highlighting the challenges of balancing these competing objectives. The impact of some CJEU rulings, particularly in the context of competition law and state aid, is explored to illustrate how EU institutions have navigated tensions between cost reduction, market efficiency, and environmental protection. Furthermore, the paper discusses enforcement and compliance issues, noting that while EU competition policy has contributed to market development, there remain significant challenges in ensuring consistent application of environmental standards. The conclusion reflects on the ongoing difficulty of achieving an optimal balance between consumer benefits and environmental goals in an increasingly complex geopolitical and regulatory landscape.</w:t>
      </w:r>
    </w:p>
    <w:p>
      <w:pPr/>
      <w:r>
        <w:rPr>
          <w:b/>
        </w:rPr>
        <w:t>POSSIBLE 2026:</w:t>
      </w:r>
      <w:r>
        <w:t xml:space="preserve"> Insufficient environmental protection by the European regulatory framework for pesticides — https://doi.org/10.32942/x24q1g</w:t>
      </w:r>
    </w:p>
    <w:p>
      <w:pPr/>
      <w:r>
        <w:rPr>
          <w:b/>
        </w:rPr>
        <w:t>Shared claim-specific concepts:</w:t>
      </w:r>
      <w:r>
        <w:t xml:space="preserve"> environmental, protection, protect; EU scope visible. This is a provisional connection, not an outcome finding.</w:t>
      </w:r>
    </w:p>
    <w:p>
      <w:pPr>
        <w:pStyle w:val="SourceNote"/>
      </w:pPr>
      <w:r>
        <w:rPr>
          <w:b/>
        </w:rPr>
        <w:t>Available abstract (not full text):</w:t>
      </w:r>
      <w:r>
        <w:t xml:space="preserve"> Schriever et al. (2025) argue that environmental risk assessment of pesticides in the European Union is sufficiently protective and that regulatory thresholds are rarely exceeded. Here, we re-examine these claims based on new and previous evidence from monitoring, systematic reviews, and different types of field studies. The clear outcome is that measured pesticide concentrations frequently exceed predicted concentrations and regulatory thresholds and that they relate to adverse impacts on ecological communities. The mechanisms driving this result include the joint action of pesticides applied in temporal and spatial proximity, varied environmental conditions, interactive effects of pesticides with additional stressors, and indirect ecological effects propagating within biological communities. These neglected intricacies explain why current single-substance prospective assessments tend to underpredict real pesticide exposure and impacts in field settings. The corollary is that the current regulatory framework in Europe proves insufficient to protect biodiversity and ecosystems. Necessary improvements embedded in a policy reform include strengthening post-registration monitoring, refining predictive exposure models, and explicitly considering landscape contexts, indirect and mixture effects, and interactions with non-chemical stressors.</w:t>
      </w:r>
    </w:p>
    <w:p>
      <w:pPr/>
      <w:r>
        <w:rPr>
          <w:b/>
        </w:rPr>
        <w:t>POSSIBLE 2026:</w:t>
      </w:r>
      <w:r>
        <w:t xml:space="preserve"> Insufficient Environmental Protection by the European Regulatory Framework for Pesticides — https://doi.org/10.1021/acs.est.6c06604</w:t>
      </w:r>
    </w:p>
    <w:p>
      <w:pPr/>
      <w:r>
        <w:rPr>
          <w:b/>
        </w:rPr>
        <w:t>Shared claim-specific concepts:</w:t>
      </w:r>
      <w:r>
        <w:t xml:space="preserve"> environmental, protection, protect; EU scope visible. This is a provisional connection, not an outcome finding.</w:t>
      </w:r>
    </w:p>
    <w:p>
      <w:pPr>
        <w:pStyle w:val="SourceNote"/>
      </w:pPr>
      <w:r>
        <w:rPr>
          <w:b/>
        </w:rPr>
        <w:t>Available abstract (not full text):</w:t>
      </w:r>
      <w:r>
        <w:t xml:space="preserve"> Schriever et al. (2025) argue that environmental risk assessment of pesticides in the European Union is sufficiently protective and that regulatory thresholds are rarely exceeded. Here, we reexamine these claims based on existing evidence from monitoring, systematic reviews, and different types of field studies. The available evidence indicates that measured pesticide concentrations frequently exceed predicted concentrations and regulatory thresholds and are associated with adverse ecological impacts. The mechanisms driving this result include the joint action of pesticides applied in temporal and spatial proximity, varied environmental conditions, interactive effects of pesticides with additional stressors, and indirect ecological effects that propagate within biological communities. These neglected intricacies explain why current single-substance prospective assessments tend to underpredict real-world pesticide exposure and impact in field settings. The corollary is that the current regulatory framework in Europe proves to be insufficient to protect biodiversity and ecosystems. Priority regulatory reforms include strengthening postregistration monitoring, refining predictive exposure models, and explicitly considering landscape context, indirect and mixture effects, and interactions with nonchemical stressors.</w:t>
      </w:r>
    </w:p>
    <w:p>
      <w:pPr/>
      <w:r>
        <w:rPr>
          <w:b/>
        </w:rPr>
        <w:t>POSSIBLE 2026:</w:t>
      </w:r>
      <w:r>
        <w:t xml:space="preserve"> Suggested legal amendments to improve vietnamese environmental damage compensation law: lessons from the European Union — https://doi.org/10.1080/23311886.2026.2632406</w:t>
      </w:r>
    </w:p>
    <w:p>
      <w:pPr/>
      <w:r>
        <w:rPr>
          <w:b/>
        </w:rPr>
        <w:t>Shared claim-specific concepts:</w:t>
      </w:r>
      <w:r>
        <w:t xml:space="preserve"> environmental, protection, protect, improve, environment, safeguard; EU scope visible. This is a provisional connection, not an outcome finding.</w:t>
      </w:r>
    </w:p>
    <w:p>
      <w:pPr>
        <w:pStyle w:val="SourceNote"/>
      </w:pPr>
      <w:r>
        <w:rPr>
          <w:b/>
        </w:rPr>
        <w:t>Available abstract (not full text):</w:t>
      </w:r>
      <w:r>
        <w:t xml:space="preserve"> This article argues that reforming Vietnam’s legal framework for environmental damage compensation (EDC) is essential to achieving sustainable economic development and effective environmental governance. Through a comparative analysis of Vietnam’s Law on Environmental Protection 2020 and the European Union’s Environmental Liability Directive (Directive 2004/35/EC), the study identifies two structural weaknesses in Vietnam’s current regime: ambiguous liability exemptions that undermine consistent enforcement, and the absence of an effective collective litigation mechanism to safeguard community interests. In contrast, the EU framework provides clearer liability standards and institutionalized collective redress mechanisms that enhance accountability and access to justice. Drawing on these comparative insights, the article advocates for harmonizing Vietnam’s exemption regime and institutionalizing collective litigation as core components of environmental governance reform. It proposes a set of normative and institutional reforms inspired by EU experience to strengthen legal certainty, improve enforcement effectiveness, and better protect the right to a healthy environment, thereby supporting Vietnam’s long-term sustainable development.</w:t>
      </w:r>
    </w:p>
    <w:p>
      <w:pPr/>
      <w:r>
        <w:rPr>
          <w:b/>
        </w:rPr>
        <w:t>POSSIBLE 2026:</w:t>
      </w:r>
      <w:r>
        <w:t xml:space="preserve"> Understanding the (In)Governability of Environmental Protected Areas: The Case of Greece — https://doi.org/10.3390/land15010100</w:t>
      </w:r>
    </w:p>
    <w:p>
      <w:pPr/>
      <w:r>
        <w:rPr>
          <w:b/>
        </w:rPr>
        <w:t>Shared claim-specific concepts:</w:t>
      </w:r>
      <w:r>
        <w:t xml:space="preserve"> environmental, quality, align; EU scope visible. This is a provisional connection, not an outcome finding.</w:t>
      </w:r>
    </w:p>
    <w:p>
      <w:pPr>
        <w:pStyle w:val="SourceNote"/>
      </w:pPr>
      <w:r>
        <w:rPr>
          <w:b/>
        </w:rPr>
        <w:t>Available abstract (not full text):</w:t>
      </w:r>
      <w:r>
        <w:t xml:space="preserve"> Protected areas (PAs) remain central to global conservation policy, yet their performance depends as much on governance quality as on ecological design. This paper examines the (in)governability of Greece’s protected area system by assessing how formal institutions align with contextual realities. A systematic review of forty-three peer-reviewed studies (1999–2020) is combined with analysis of recent governance-assessment tools to evaluate institutional fit, legitimacy, and equity. Frameworks such as the Site-level Assessment of Governance and Equity (SAGE) and the IUCN (2024) guidelines on Advancing Equitable Governance in area-based conservation provide practical metrics for participation, accountability, and fairness, offering a timely benchmark for the Greek case. The review shows that, despite substantial EU-driven legal reforms, Greece’s PA system continues to exhibit governance misfit, weak institutional integration, and persistent implementation gaps. Institutional misfit is understood here as a misalignment between formal governance arrangements and the social, ecological, and administrative contexts they are intended to regulate. Governability remains constrained by centralization, limited stakeholder participation, and fragile accountability mechanisms. By integrating classical theories of institutional fit and interactive governance with contemporary equity-based ap</w:t>
      </w:r>
    </w:p>
    <w:p>
      <w:pPr>
        <w:pStyle w:val="Heading2"/>
      </w:pPr>
      <w:r>
        <w:t>518. Convergence of Population Structures of the European Union Member States—The Past and the Future</w:t>
      </w:r>
    </w:p>
    <w:p>
      <w:pPr>
        <w:pStyle w:val="SourceNote"/>
      </w:pPr>
      <w:r>
        <w:rPr>
          <w:b/>
        </w:rPr>
        <w:t>Original source (2022):</w:t>
      </w:r>
      <w:r>
        <w:t xml:space="preserve"> https://doi.org/10.3390/su14021024</w:t>
      </w:r>
    </w:p>
    <w:p>
      <w:pPr/>
      <w:r>
        <w:t>Original wording (abstract; indexed_source_text_not_full_document_verified): The Eurostat projections indicate that, by 2050, most of the European Union member states will see a fall in their population size, a drop in the share of young people, and a simultaneous rise in the share of elderly persons. The goal of the study was to assess the stage of advancement and diversity of the ageing of population in the past and in the year 2050.</w:t>
      </w:r>
    </w:p>
    <w:p>
      <w:pPr/>
      <w:r>
        <w:rPr>
          <w:b/>
        </w:rPr>
        <w:t>POSSIBLE 2026:</w:t>
      </w:r>
      <w:r>
        <w:t xml:space="preserve"> Beyond the IRENA baseline: Mapping end-of-life photovoltaic waste flows across EU-27 using Weibull lifetime distributions screened against Eurostat data and updated efficiency scenarios — https://doi.org/10.1016/j.renene.2026.126404</w:t>
      </w:r>
    </w:p>
    <w:p>
      <w:pPr/>
      <w:r>
        <w:rPr>
          <w:b/>
        </w:rPr>
        <w:t>Shared claim-specific concepts:</w:t>
      </w:r>
      <w:r>
        <w:t xml:space="preserve"> eurostat, projections, indicate, union; EU scope visible. This is a provisional connection, not an outcome finding.</w:t>
      </w:r>
    </w:p>
    <w:p>
      <w:pPr>
        <w:pStyle w:val="SourceNote"/>
      </w:pPr>
      <w:r>
        <w:rPr>
          <w:b/>
        </w:rPr>
        <w:t>Available abstract (not full text):</w:t>
      </w:r>
      <w:r>
        <w:t xml:space="preserve"> As the European Union accelerates photovoltaic deployment to achieve the milestones outlined in the 2025 National Energy and Climate Plans, accurate waste forecasting emerges as a significant challenge for the circular economy. This study re-evaluates EU-27 PV waste projections through 2050, comparing theoretical models with available empirical Eurostat collection data. Findings indicate that the standard IRENA Regular Loss model systematically underestimates waste generation, resulting in collection rates that exceed 200%. A new scenario, RL NEW , is proposed, featuring a revised Weibull parameterization and an updated time-variable mass-to-capacity transformation function. This alternative baseline scenario, screened for consistency against Eurostat aggregate data, forecasts cumulative 2025 waste volumes that are 214% higher than previous estimates. For the first time, projections are disaggregated by application, revealing a rooftop-dominated market in which 60% of waste necessitates decentralized logistics. The analysis identifies a bifurcated challenge: established operators should expand capacity to manage 65% of the European Union’s waste, while rapidly growing markets encounter surges up to 12,000-fold. Additionally, the Collection Difficulty Index is introduced to quantify the logistical impact of waste stream fragmentation, identifying a "Logistical Pivot" around 2030</w:t>
      </w:r>
    </w:p>
    <w:p>
      <w:pPr/>
      <w:r>
        <w:rPr>
          <w:b/>
        </w:rPr>
        <w:t>POSSIBLE 2026:</w:t>
      </w:r>
      <w:r>
        <w:t xml:space="preserve"> Impact of climate change on human mortality patterns — https://doi.org/10.48676/unibo/amsdottorato/13040</w:t>
      </w:r>
    </w:p>
    <w:p>
      <w:pPr/>
      <w:r>
        <w:rPr>
          <w:b/>
        </w:rPr>
        <w:t>Shared claim-specific concepts:</w:t>
      </w:r>
      <w:r>
        <w:t xml:space="preserve"> eurostat, projections, indicate, population; EU scope visible. This is a provisional connection, not an outcome finding.</w:t>
      </w:r>
    </w:p>
    <w:p>
      <w:pPr>
        <w:pStyle w:val="SourceNote"/>
      </w:pPr>
      <w:r>
        <w:rPr>
          <w:b/>
        </w:rPr>
        <w:t>Available abstract (not full text):</w:t>
      </w:r>
      <w:r>
        <w:t xml:space="preserve"> The increasing frequency and intensity of extreme weather events pose a growing public health threat. Evidence consistently demonstrates that the mortality risks associated with weather and climate extremes are not uniformly distributed, reflecting substantial geographical and social disparities. This thesis investigates global and European patterns of mortality risks related to extreme weather events, emphasizing population heterogeneity, regional and social vulnerabilities. Specifically, the thesis advances current understanding by (1) systematically synthesizing global evidence on climate-related mortality, (2) empirically examining the determinants of temperature related mortality across Europe, and (3) projecting future mortality under varying climate and socioeconomic scenarios. In the first part, a systematic review of quantitative observational studies is conducted using Web of Science and Scopus, following PRISMA guidelines. The second study involves an empirical analysis of Eurostat sub-national mortality data for adults aged 65 and above across 30 European countries (2014–2023) based on Poisson fixed-effects regression. In the third study, future projections of temperature-related mortality outcomes for 28 European countries are performed using socioeconomic and greenhouse gas emissions (SSP–RCP) scenarios. Key findings from the systematic literature review highlight</w:t>
      </w:r>
    </w:p>
    <w:p>
      <w:pPr/>
      <w:r>
        <w:rPr>
          <w:b/>
        </w:rPr>
        <w:t>POSSIBLE 2026:</w:t>
      </w:r>
      <w:r>
        <w:t xml:space="preserve"> Forecasting circular economy indicators: A Machine Learning study of European Union member states — https://doi.org/10.1016/j.jclepro.2026.147982</w:t>
      </w:r>
    </w:p>
    <w:p>
      <w:pPr/>
      <w:r>
        <w:rPr>
          <w:b/>
        </w:rPr>
        <w:t>Shared claim-specific concepts:</w:t>
      </w:r>
      <w:r>
        <w:t xml:space="preserve"> eurostat, projections, union, member, states, size; EU scope visible. This is a provisional connection, not an outcome finding.</w:t>
      </w:r>
    </w:p>
    <w:p>
      <w:pPr>
        <w:pStyle w:val="SourceNote"/>
      </w:pPr>
      <w:r>
        <w:rPr>
          <w:b/>
        </w:rPr>
        <w:t>Available abstract (not full text):</w:t>
      </w:r>
      <w:r>
        <w:t xml:space="preserve"> Accurate forecasting of Circular Economy (CE) indicators is essential for supporting evidence-based policy development and long-term strategic planning across the European Union (EU). Reliable projections enable policymakers to anticipate future resource needs, assess the impact of interventions and design measures that accelerate the transition towards a more circular economy. This study applies Machine Learning (ML) algorithms to predict official CE indicators published by Eurostat, covering four thematic areas: production and consumption, waste management, secondary raw materials and competitiveness. 25 member states of the EU are individually modelled, using country-specific time series data to train and evaluate five ML algorithms for regression: Ridge regression, Lasso regression, Random forest, XGBoost and support vector regression. A replicable framework for CE indicator forecasting is presented to support national and EU-level policy planning and early interventions. Best practice in ML-based forecasting is demonstrated, addressing challenges such as data sparsity, non-stationarity and model overfitting. No single model consistently outperforms others, though linear models tend to provide more reliable uncertainty estimates for structurally predictable indicators. Two features was determined optimal across models, as including additional features provided minimal impro</w:t>
      </w:r>
    </w:p>
    <w:p>
      <w:pPr/>
      <w:r>
        <w:rPr>
          <w:b/>
        </w:rPr>
        <w:t>POSSIBLE 2026:</w:t>
      </w:r>
      <w:r>
        <w:t xml:space="preserve"> Structural heterogeneity of European Union member states — https://doi.org/10.32676/n.12.1.7</w:t>
      </w:r>
    </w:p>
    <w:p>
      <w:pPr/>
      <w:r>
        <w:rPr>
          <w:b/>
        </w:rPr>
        <w:t>Shared claim-specific concepts:</w:t>
      </w:r>
      <w:r>
        <w:t xml:space="preserve"> indicate, union, member, states; EU scope visible. This is a provisional connection, not an outcome finding.</w:t>
      </w:r>
    </w:p>
    <w:p>
      <w:pPr>
        <w:pStyle w:val="SourceNote"/>
      </w:pPr>
      <w:r>
        <w:rPr>
          <w:b/>
        </w:rPr>
        <w:t>Available abstract (not full text):</w:t>
      </w:r>
      <w:r>
        <w:t xml:space="preserve"> This paper analyses EU structural heterogeneity (2015–2024) using a decadal panelperspective to identify persistent macroeconomic profiles. The analysis covers six indicators:gross domestic product per capita, unemployment rate, harmonised index of consumer prices(HICP), fiscal balance, public debt, and accumulated balance of payments. Cluster analyses(hierarchical and K-means) applied to mean values for 2015–2024 yield a stable classificationof EU economies into distinct structural groups. Principal component analysis (PCA) is thenused to reduce dimensionality and identify the underlying economic dimensions shaping theseclusters. A key contribution of the paper is the introduction of the Structural Divergence Index(SDI), which quantifies within-cluster heterogeneity by measuring Euclidean distances fromcluster centroids across all variables. SDI results reveal notable internal variation, with somecountries closely aligned and others persistent outliers. These findings indicate that EUmacroeconomic heterogeneity appears not only between clusters but also through pronounceddivergences within them. The proposed approach offers a new instrument for assessingcohesion in an integrated economic area and provides relevant implications for designingconvergence policies, fiscal rules, and targeted structural reforms.</w:t>
      </w:r>
    </w:p>
    <w:p>
      <w:pPr/>
      <w:r>
        <w:rPr>
          <w:b/>
        </w:rPr>
        <w:t>POSSIBLE 2026:</w:t>
      </w:r>
      <w:r>
        <w:t xml:space="preserve"> The fiscal sustainability forecasting model in the member states of the European Union — https://doi.org/10.3846/tede.2026.27917</w:t>
      </w:r>
    </w:p>
    <w:p>
      <w:pPr/>
      <w:r>
        <w:rPr>
          <w:b/>
        </w:rPr>
        <w:t>Shared claim-specific concepts:</w:t>
      </w:r>
      <w:r>
        <w:t xml:space="preserve"> union, member, states; EU scope visible. This is a provisional connection, not an outcome finding.</w:t>
      </w:r>
    </w:p>
    <w:p>
      <w:pPr>
        <w:pStyle w:val="SourceNote"/>
      </w:pPr>
      <w:r>
        <w:rPr>
          <w:b/>
        </w:rPr>
        <w:t>Available abstract (not full text):</w:t>
      </w:r>
      <w:r>
        <w:t xml:space="preserve"> This paper develops an integrated methodological framework for classifying and forecasting fiscal sustainability among the 27 Member States of the European Union, starting from a fundamental economic question: how can EU Member States’ fiscal sustainability be reliably assessed and predicted in a context marked by repeated macroeconomic shocks and institutional heterogeneity? An integrated model for forecasting fiscal sustainability in the European Union is proposed, built upon a well-defined economic hypothesis: fiscal sustainability can be captured by a composite index derived from statistically validated fiscal and macroeconomic indicators. Our approach addresses a major gap in the economic literature, where forecasting models often fail to integrate institutional constraints and policy relevance. By combining advanced statistical techniques and macroeconomic scenario simulation – a Composite Fiscal Sustainability Index (CFSI) is constructed and its predictive performance evaluated under three alternative economic scenarios. The model achieves an overall accuracy of 85.19%, demonstrating strong discriminatory power and the ability to provide early warning signals of fiscal profile transitions. Positioned at the intersection of research on fiscal rules, public debt dynamics, and fiscal stress indicators, this study contributes both a methodological innovation – through an int</w:t>
      </w:r>
    </w:p>
    <w:p>
      <w:pPr/>
      <w:r>
        <w:rPr>
          <w:b/>
        </w:rPr>
        <w:t>POSSIBLE 2026:</w:t>
      </w:r>
      <w:r>
        <w:t xml:space="preserve"> Changes in the Fertility Rate in European Union Member States in the Context of Socio‑Economic Development — https://doi.org/10.15290/oes.2026.03.125.14</w:t>
      </w:r>
    </w:p>
    <w:p>
      <w:pPr/>
      <w:r>
        <w:rPr>
          <w:b/>
        </w:rPr>
        <w:t>Shared claim-specific concepts:</w:t>
      </w:r>
      <w:r>
        <w:t xml:space="preserve"> eurostat, union, member, states; EU scope visible. This is a provisional connection, not an outcome finding.</w:t>
      </w:r>
    </w:p>
    <w:p>
      <w:pPr>
        <w:pStyle w:val="SourceNote"/>
      </w:pPr>
      <w:r>
        <w:rPr>
          <w:b/>
        </w:rPr>
        <w:t>Available abstract (not full text):</w:t>
      </w:r>
      <w:r>
        <w:t xml:space="preserve"> Purpose | Contemporary demographic trends are playing an increasingly significant role in the context of socio-economic development prospects. One of the challenges facing EU Member States is low fertility rates. The aim of this article is therefore to identify the point in time when changes occurred in the fertility rate across the European Union and to compare these with the levels of socio-economic development achieved in those years. Research method | The article sets out the main hypothesis, namely that the decline in fertility rates in European Union member states is linked to the level of socio-economic development and is of a lasting nature. The hypothesis was tested using the relevant literature and data from Eurostat, the World Bank and the United Nations. Results | In the article the main hypothesis, that the decline in fertility rates in European Union countries is linked to the level of socio-economic development and is of a lasting nature, has been confirmed. Originality / value / implications / recommendations | In EU countries, the fertility rate fell to low (1.5) and very low (1.3) levels across a range of socio-economic development levels. In other words, the countries of the so-called “new EU” aged more rapidly than they became wealthier, in contrast to the so-called “old EU”.</w:t>
      </w:r>
    </w:p>
    <w:p>
      <w:pPr/>
      <w:r>
        <w:rPr>
          <w:b/>
        </w:rPr>
        <w:t>POSSIBLE 2026:</w:t>
      </w:r>
      <w:r>
        <w:t xml:space="preserve"> Different shades of demographic change : the uneven nature of population loss in Europe — https://openalex.org/W7134715160</w:t>
      </w:r>
    </w:p>
    <w:p>
      <w:pPr/>
      <w:r>
        <w:rPr>
          <w:b/>
        </w:rPr>
        <w:t>Shared claim-specific concepts:</w:t>
      </w:r>
      <w:r>
        <w:t xml:space="preserve"> eurostat, projections, member, states, population, ageing; EU scope visible. This is a provisional connection, not an outcome finding.</w:t>
      </w:r>
    </w:p>
    <w:p>
      <w:pPr>
        <w:pStyle w:val="SourceNote"/>
      </w:pPr>
      <w:r>
        <w:rPr>
          <w:b/>
        </w:rPr>
        <w:t>Available abstract (not full text):</w:t>
      </w:r>
      <w:r>
        <w:t xml:space="preserve"> Population decline has become a key concern within the EU as more and more Member States and regions are starting to shrink. This is not a new phenomenon: quite a few regions have experienced periods of population decline since the 1960. Existing narratives explain population decline through a focus on rural and remote regions. However, this dynamic does not hold for all rural regions. The process of population decline is influenced by natural change (NC) and net migration (NM), with positive NM often compensating for negative NC. Therefore, this chapter explores the current and, through projections, potential future state of population decline across the EU, with a careful consideration of the interaction of immigration, emigration, population ageing and fertility in shaping population dynamics, and the current population projections and their implications for the EU in the coming decade. This chapter employs data from Eurostat and the Annual Regional Database of the European Commission's Directorate-General for Regional and Urban Policy (ARDECO) to illustrate existing population dynamics across the EU. Overall, the population of the EU has steadily increased since 1960. On 1 January 2024, the total population of the EU was estimated to be 449 million. Despite this general growth, population change is projected to become negative in the coming decade. Population growth has als</w:t>
      </w:r>
    </w:p>
    <w:p>
      <w:pPr/>
      <w:r>
        <w:rPr>
          <w:b/>
        </w:rPr>
        <w:t>POSSIBLE 2026:</w:t>
      </w:r>
      <w:r>
        <w:t xml:space="preserve"> Assessing EU member states’ circular economy transition — https://doi.org/10.15196/rs160407</w:t>
      </w:r>
    </w:p>
    <w:p>
      <w:pPr/>
      <w:r>
        <w:rPr>
          <w:b/>
        </w:rPr>
        <w:t>Shared claim-specific concepts:</w:t>
      </w:r>
      <w:r>
        <w:t xml:space="preserve"> eurostat, union, member, states; EU scope visible. This is a provisional connection, not an outcome finding.</w:t>
      </w:r>
    </w:p>
    <w:p>
      <w:pPr>
        <w:pStyle w:val="SourceNote"/>
      </w:pPr>
      <w:r>
        <w:rPr>
          <w:b/>
        </w:rPr>
        <w:t>Available abstract (not full text):</w:t>
      </w:r>
      <w:r>
        <w:t xml:space="preserve"> This study explores the European Union's (EU) transition to a circular economy (CE) using macro-level indicators from the year 2020.Motivated by the urgency to reverse resource depletion, waste generation and environmental deterioration resulting from the linear 'take-make-dispose' model, the EU has embraced the CE in action plans since 2015 with the objective of advancing sustainability, resource efficiency and climate neutrality.However, the actual environmental and socio-economic benefits and performance variations across EU member states remain points of investigation.Using Eurostat data from 2020 for 27 EU countries, we employ principal component analysis (PCA) and cluster analysis to eight key CE indicators covering environmental impact, resource efficiency and socio-economic factors.Three statistically significant clusters of EU member states are identified by the CE performance profile analysis.In 2020, differences in environmental impact intensity -most notably greenhouse gas emissions and municipal waste generation -are the key drivers separating these clusters ahead of resource efficiency effects or labour metrics.The results demonstrate that although the EU established a macro-level tracking framework, the CE transition did not equally decrease environmentally relevant pressure throughout the EU in 2020.Furthermore, the socioeconomic gains of employment in the CE di</w:t>
      </w:r>
    </w:p>
    <w:p>
      <w:pPr/>
      <w:r>
        <w:rPr>
          <w:b/>
        </w:rPr>
        <w:t>POSSIBLE 2026:</w:t>
      </w:r>
      <w:r>
        <w:t xml:space="preserve"> Demographic Dependency and the Future of the European Workforce: A Spatial–Temporal Forecasting Approach — https://doi.org/10.3390/su18094468</w:t>
      </w:r>
    </w:p>
    <w:p>
      <w:pPr/>
      <w:r>
        <w:rPr>
          <w:b/>
        </w:rPr>
        <w:t>Shared claim-specific concepts:</w:t>
      </w:r>
      <w:r>
        <w:t xml:space="preserve"> eurostat, projections, indicate, member, states, population; EU scope visible. This is a provisional connection, not an outcome finding.</w:t>
      </w:r>
    </w:p>
    <w:p>
      <w:pPr>
        <w:pStyle w:val="SourceNote"/>
      </w:pPr>
      <w:r>
        <w:rPr>
          <w:b/>
        </w:rPr>
        <w:t>Available abstract (not full text):</w:t>
      </w:r>
      <w:r>
        <w:t xml:space="preserve"> This research paper examines the spatial and time variation of demographic dependency in Europe in a 30-year horizon of the evolution of the demographic dividend regarding the economic dependency ratio (ADR1). We used the Curve Fit Forecast tool to estimate the trends of ADR1 in each of the EU Member States using data on Eurostat projections and a sophisticated geostatistical analysis tool developed in ArcGIS Pro 3.2.2. The findings indicate that the dependency in all countries has increased significantly in a statistically significant manner as the Gompertz function has appeared as the best curve in a third of the cases. It is an S-shaped asymptotic behaviour of this function that effectively describes the nonlinear patterns of acceleration and saturation of demographic ageing. As indicated in the analysis, the European regions are increasingly moving apart, with the southern and eastern nations such as Romania demonstrating the most alarming decline in ADR1. These trends highlight the need to reform labour market policies and social protection mechanisms to an ageing population. The paper combines the curve-fitting, descriptive statistics (median, skewness, interquartile range (IQR)) with time clustering (value, correlation, and Fourier) to provide an effective, replicable approach to early warning and policy prioritisation. Overall, the results highlight the importance of in</w:t>
      </w:r>
    </w:p>
    <w:p>
      <w:pPr/>
      <w:r>
        <w:rPr>
          <w:b/>
        </w:rPr>
        <w:t>POSSIBLE 2026:</w:t>
      </w:r>
      <w:r>
        <w:t xml:space="preserve"> The Geography of Future Human Capital in Europe: Regional Dynamics of Education and Aging — https://openalex.org/W7167558995</w:t>
      </w:r>
    </w:p>
    <w:p>
      <w:pPr/>
      <w:r>
        <w:rPr>
          <w:b/>
        </w:rPr>
        <w:t>Shared claim-specific concepts:</w:t>
      </w:r>
      <w:r>
        <w:t xml:space="preserve"> projections, population, size, young, rise, elderly; EU scope visible. This is a provisional connection, not an outcome finding.</w:t>
      </w:r>
    </w:p>
    <w:p>
      <w:pPr>
        <w:pStyle w:val="SourceNote"/>
      </w:pPr>
      <w:r>
        <w:rPr>
          <w:b/>
        </w:rPr>
        <w:t>Available abstract (not full text):</w:t>
      </w:r>
      <w:r>
        <w:t xml:space="preserve"> The study of human capital formation and accumulation at the subnational level, including in the European context, has remained largely confined to historical and descriptive analyses rather than forward-looking projections. Spatially explicit projections of human capital, understood as the joint product of demographic structure (age and sex composition) and educational attainment, thus remain largely unavailable. This paper addresses this gap by developing a Bayesian time series model to project educational attainment across European NUTS-2 regions under the five Shared Socioeconomic Pathways (SSPs). The model works in log-return space, leverages the compositional nature of educational attainment distributions, and combines Bayesian uncertainty quantification with Iterative Proportional Fitting to ensure consistency with national SSP projections and regional demographic structures. The resulting dataset covers 215 NUTS-2 regions across 21 European countries, including three adult age groups from age 25 onwards and three education categories, spanning 2025 to 2100. The projections show a widespread yet heterogeneous increase in tertiary educational attainment, confirming convergence trends noted in existing literature, while the model also reveals that educational expansion unfolds at markedly different paces across regions, including within the same country, and a consistent f</w:t>
      </w:r>
    </w:p>
    <w:p>
      <w:pPr/>
      <w:r>
        <w:rPr>
          <w:b/>
        </w:rPr>
        <w:t>POSSIBLE 2026:</w:t>
      </w:r>
      <w:r>
        <w:t xml:space="preserve"> Integrating Multifactorial Regression Models, Artificial Neural Networks, and Eco-Dynamic Simulations for Assessing Energy Sustainability in the European Union and Emerging Member States — https://doi.org/10.3390/app16042011</w:t>
      </w:r>
    </w:p>
    <w:p>
      <w:pPr/>
      <w:r>
        <w:rPr>
          <w:b/>
        </w:rPr>
        <w:t>Shared claim-specific concepts:</w:t>
      </w:r>
      <w:r>
        <w:t xml:space="preserve"> union, member, states, simultaneous, assess; EU scope visible. This is a provisional connection, not an outcome finding.</w:t>
      </w:r>
    </w:p>
    <w:p>
      <w:pPr>
        <w:pStyle w:val="SourceNote"/>
      </w:pPr>
      <w:r>
        <w:rPr>
          <w:b/>
        </w:rPr>
        <w:t>Available abstract (not full text):</w:t>
      </w:r>
      <w:r>
        <w:t xml:space="preserve"> This study aims to develop an integrated analytical framework for assessing energy sustainability in the EU and emerging member states. It examines the interrelationships between environmental quality—measured by greenhouse gas emissions—economic growth, and energy consumption from both renewable and non-renewable sources. Multifactorial linear regression models are employed and validated through artificial neural networks to enhance robustness and generalization capacity. Based on the identified correlations, the Environmental Kuznets Curve hypothesis is tested to assess patterns of environmental degradation. The analysis then advances to a dynamic framework using the Grey Lotka–Volterra model, which captures nonlinear effects and the mechanisms of competition and cooperation among variables. By exploring simultaneous and evolutionary interactions, the study reveals how these relationships shift over time, identifies inflexion points, and simulates public policy scenarios that may accelerate or hinder decarbonization. This approach provides a comprehensive and policy-relevant perspective on the dynamics of the energy transition.</w:t>
      </w:r>
    </w:p>
    <w:p>
      <w:pPr/>
      <w:r>
        <w:rPr>
          <w:b/>
        </w:rPr>
        <w:t>POSSIBLE 2025:</w:t>
      </w:r>
      <w:r>
        <w:t xml:space="preserve"> Prevalence of Glaucoma in Europe and Projections to 2050 — https://doi.org/10.1016/j.ophtha.2025.06.002</w:t>
      </w:r>
    </w:p>
    <w:p>
      <w:pPr/>
      <w:r>
        <w:rPr>
          <w:b/>
        </w:rPr>
        <w:t>Shared claim-specific concepts:</w:t>
      </w:r>
      <w:r>
        <w:t xml:space="preserve"> projections, population, people, assess; EU scope visible. This is a provisional connection, not an outcome finding.</w:t>
      </w:r>
    </w:p>
    <w:p>
      <w:pPr>
        <w:pStyle w:val="SourceNote"/>
      </w:pPr>
      <w:r>
        <w:rPr>
          <w:b/>
        </w:rPr>
        <w:t>Available abstract (not full text):</w:t>
      </w:r>
      <w:r>
        <w:t xml:space="preserve"> PURPOSE: To provide updated glaucoma prevalence estimates and to quantify the current and future burden of disease in Europe. DESIGN: Two-stage, individual participant data meta-analysis. PARTICIPANTS: We included 55 415 adults ≥40 years of age (mean age, 65.6 years; 53.9% women) from 14 population-based studies (1991-2020) with case ascertainment based on direct ophthalmic examination. METHODS: Within each study, age- and sex-stratified glaucoma prevalence was calculated, before pooling results using random-effects meta-analysis and performing age standardization. Meta-regression and subgroup analyses were used to assess for temporal trends and to investigate heterogeneity across clinically relevant subgroups. Estimates were applied to European population projections to predict the number of individuals with glaucoma. MAIN OUTCOME MEASURES: Age-standardized prevalence (European Standard Population, 2013) of total and previously undiagnosed glaucoma for individuals ≥40 years of age and annual projected number of glaucoma cases (UN World Population Prospects, 2022) in Europe to 2050. RESULTS: Overall, 2021 participants (3.65%) received a diagnosis of glaucoma with an age-standardized European prevalence of 2.99% (95% confidence interval [CI], 2.86%-3.12%). Older age (odds ratio [OR], 1.32 per 5-year increase; 95% CI, 1.29-1.36; P &lt; 0.001) and male sex (OR, 1.18; 95% CI, 1.08-1.3</w:t>
      </w:r>
    </w:p>
    <w:p>
      <w:pPr>
        <w:pStyle w:val="Heading2"/>
      </w:pPr>
      <w:r>
        <w:t>519. Czech Republic as A Deferring Factor for European Union to Achieve Climate Change Measures</w:t>
      </w:r>
    </w:p>
    <w:p>
      <w:pPr>
        <w:pStyle w:val="SourceNote"/>
      </w:pPr>
      <w:r>
        <w:rPr>
          <w:b/>
        </w:rPr>
        <w:t>Original source (2022):</w:t>
      </w:r>
      <w:r>
        <w:t xml:space="preserve"> https://doi.org/10.7454/jsgs.v5i2.1099</w:t>
      </w:r>
    </w:p>
    <w:p>
      <w:pPr/>
      <w:r>
        <w:t>Original wording (abstract; indexed_source_text_not_full_document_verified): The researcher conducts an analysis based on two research questions: what are causal factors for Czech Republic yet to decide on phasing out coal-fired power plant and what impact will it have on the EU's efforts to reduce greenhouse gas emissions by 2030 and become fully carbon neutral by 2050.</w:t>
      </w:r>
    </w:p>
    <w:p>
      <w:pPr/>
      <w:r>
        <w:rPr>
          <w:b/>
        </w:rPr>
        <w:t>POSSIBLE 2026:</w:t>
      </w:r>
      <w:r>
        <w:t xml:space="preserve"> European Researcher — https://doi.org/10.13187/issn.2219-8229</w:t>
      </w:r>
    </w:p>
    <w:p>
      <w:pPr/>
      <w:r>
        <w:rPr>
          <w:b/>
        </w:rPr>
        <w:t>Shared claim-specific concepts:</w:t>
      </w:r>
      <w:r>
        <w:t xml:space="preserve"> researcher, based, gas; EU scope visible. This is a provisional connection, not an outcome finding.</w:t>
      </w:r>
    </w:p>
    <w:p>
      <w:pPr>
        <w:pStyle w:val="SourceNote"/>
      </w:pPr>
      <w:r>
        <w:rPr>
          <w:b/>
        </w:rPr>
        <w:t>Available abstract (not full text):</w:t>
      </w:r>
      <w:r>
        <w:t xml:space="preserve"> The container gas transportation for low and medium level consumers as an alternative to pipelines is considered. The options for gas supply schemes, based on road and rail transport are given. The advantages and disadvantages of both types of gas transporting are described, the areas of their effective using are separated in the article. Promising implementations of technology in environment of economic crisis and also considering world trends of energy development are presented. The most advanced organization of compressed gas condensate transportation of unprepared gas fields in large diameter universal cylindrical balloons (up to 1000 mm) are reasoned. The problem of compressed gas sea transportation are well disclosed, but the alternative ways of gas transportation by land are not investigated enough. Compressed Natural Gas (CNG) Technology - is new promising technology for natural gas transportation by specially designed vessels – CNG-vessels. The feature of this technology is that natural gas can be downloaded directly near gas deposits and unloaded - directly into the customer's network. This eliminates significant capital investments in underwater pipelining or gas liquefaction plants. The main objects of investment are CNG-vessels themselves. The most attractive places for implementation of CNG-technology are sea (offshore) natural gas deposits. Numerous international</w:t>
      </w:r>
    </w:p>
    <w:p>
      <w:pPr/>
      <w:r>
        <w:rPr>
          <w:b/>
        </w:rPr>
        <w:t>POSSIBLE 2026:</w:t>
      </w:r>
      <w:r>
        <w:t xml:space="preserve"> Causal effects of body mass index on glycaemic traits in African and European populations: a Mendelian randomization study — https://doi.org/10.64898/2026.10.02.26364581</w:t>
      </w:r>
    </w:p>
    <w:p>
      <w:pPr/>
      <w:r>
        <w:rPr>
          <w:b/>
        </w:rPr>
        <w:t>Shared claim-specific concepts:</w:t>
      </w:r>
      <w:r>
        <w:t xml:space="preserve"> causal, reduce; EU scope visible. This is a provisional connection, not an outcome finding.</w:t>
      </w:r>
    </w:p>
    <w:p>
      <w:pPr>
        <w:pStyle w:val="SourceNote"/>
      </w:pPr>
      <w:r>
        <w:rPr>
          <w:b/>
        </w:rPr>
        <w:t>Available abstract (not full text):</w:t>
      </w:r>
      <w:r>
        <w:t xml:space="preserve"> Abstract Aims/hypothesis Higher body mass index (BMI) is associated with higher levels of HbA1c and glucose in conventional observational studies from sub-Saharan Africa, but its causal relationship in this population has not been explored. Mendelian randomization (MR) which leverages genetic variants can strengthen causal inference. However, its application in African ancestry populations is limited. The aim of this study was to determine whether causal effects of BMI on glycated haemoglobin (HbA1c) and random glucose differ between African and European populations. Methods We used two-sample MR to estimate the effects of BMI on HbA1c and random glucose in adults of African and European ancestries. We conducted a cross-ancestry BMI genome-wide association study (GWAS) from the Africa-Wits International Network for the Demographic Evaluation of Populations and Their Health (INDEPTH) Partnership for Genomic Studies (AWI-Gen) dataset of African adults (N=10,476) and the largest BMI GWAS in Europeans (N∼700,000). From the cross-ancestry GWAS we identified 428 independent genome-wide significant variants and of those, 363 single nucleotide polymorphisms (SNPs) had consistent direction of effect in both Africans and Europeans. These variants were then used as genetic instruments to proxy BMI for both Africans and Europeans. Primary outcome data for African and European populations w</w:t>
      </w:r>
    </w:p>
    <w:p>
      <w:pPr/>
      <w:r>
        <w:rPr>
          <w:b/>
        </w:rPr>
        <w:t>POSSIBLE 2026:</w:t>
      </w:r>
      <w:r>
        <w:t xml:space="preserve"> Causal Inference in Clinical Research: A Primer — https://doi.org/10.1111/jre.70142</w:t>
      </w:r>
    </w:p>
    <w:p>
      <w:pPr/>
      <w:r>
        <w:rPr>
          <w:b/>
        </w:rPr>
        <w:t>Shared claim-specific concepts:</w:t>
      </w:r>
      <w:r>
        <w:t xml:space="preserve"> researcher, based, two, questions, causal, out; EU scope not established. This is a provisional connection, not an outcome finding.</w:t>
      </w:r>
    </w:p>
    <w:p>
      <w:pPr>
        <w:pStyle w:val="SourceNote"/>
      </w:pPr>
      <w:r>
        <w:rPr>
          <w:b/>
        </w:rPr>
        <w:t>Available abstract (not full text):</w:t>
      </w:r>
      <w:r>
        <w:t xml:space="preserve"> The study of causal relationships is central to scientific inquiry. Understanding what disease is, why it arises, and how it can be treated are a set of fundamentally causal questions. In this article, an overview of causal inference is provided for the applied researcher, with an emphasis placed on intuition and the use of examples from periodontology to support understanding. Causal reasoning goes beyond the description of associations, with a focus instead placed on questions of the form: what would happen to an outcome if a particular exposure were changed? Directed acyclic graphs are introduced as tools through which assumptions can be made explicit and structures that may threaten valid causal inference can be identified, including confounding, mediation, and collider pathways. Randomized controlled trials are highlighted as the gold standard of causal evidence, primarily because they ensure that, on average, comparisons are made between like-with-like groups. However, observational data must often be relied upon due to ethical, practical, and logistical constraints. A three-step framework to answering causal questions is presented, based on (i) asking a causal question, (ii) identifying the causal effect, and (iii) carrying out the analysis. Within this context, two principal strategies for causal identification are outlined: design-based identification and adjustment-ba</w:t>
      </w:r>
    </w:p>
    <w:p>
      <w:pPr/>
      <w:r>
        <w:rPr>
          <w:b/>
        </w:rPr>
        <w:t>POSSIBLE 2026:</w:t>
      </w:r>
      <w:r>
        <w:t xml:space="preserve"> Evidence Based Education in Europe: A Comparative Study — https://doi.org/10.5281/zenodo.23238746</w:t>
      </w:r>
    </w:p>
    <w:p>
      <w:pPr/>
      <w:r>
        <w:rPr>
          <w:b/>
        </w:rPr>
        <w:t>Shared claim-specific concepts:</w:t>
      </w:r>
      <w:r>
        <w:t xml:space="preserve"> based, yet, out, become; EU scope visible. This is a provisional connection, not an outcome finding.</w:t>
      </w:r>
    </w:p>
    <w:p>
      <w:pPr>
        <w:pStyle w:val="SourceNote"/>
      </w:pPr>
      <w:r>
        <w:rPr>
          <w:b/>
        </w:rPr>
        <w:t>Available abstract (not full text):</w:t>
      </w:r>
      <w:r>
        <w:t xml:space="preserve"> Evidence-based education (EBE), the systematic integration of the best available research evidence with into teaching practice, has become a defining, and contested, theme in education policy and practice. Its institutional foundations are most developed in the Anglosphere, notably in England and the United States, yet little is known about how far comparable practices, infrastructures and cultures have emerged across Europe. This report presents a comparative study of EBE in Europe, conducted as part of the LEARN project. Part 1 sets out the conceptual framing, distinguishing EBE from evidence-based policy and reviewing the historical development of, and debates surrounding, the field, before mapping national and supranational institutions across Southern, Central, Northern, Eastern and Western Europe. Part 2 reports empirical findings from a multi-stage investigation comprising expert interviews, a survey of eight LEARN consortium countries, and thematic case studies of the Netherlands, Switzerland and Finland. The findings describe a fragmented European landscape in which conceptual alignment with EBE varies markedly, and in which evidence is often used for system monitoring and accountability rather than for improving classroom practice. Common barriers include limited sustainable funding for rigorous evaluation, insufficient research and data literacy among educators, cult</w:t>
      </w:r>
    </w:p>
    <w:p>
      <w:pPr/>
      <w:r>
        <w:rPr>
          <w:b/>
        </w:rPr>
        <w:t>POSSIBLE 2026:</w:t>
      </w:r>
      <w:r>
        <w:t xml:space="preserve"> Causal Discovery in Observational Medical Research: Scoping Review — https://doi.org/10.2196/82499</w:t>
      </w:r>
    </w:p>
    <w:p>
      <w:pPr/>
      <w:r>
        <w:rPr>
          <w:b/>
        </w:rPr>
        <w:t>Shared claim-specific concepts:</w:t>
      </w:r>
      <w:r>
        <w:t xml:space="preserve"> based, causal, out, efforts; EU scope not established. This is a provisional connection, not an outcome finding.</w:t>
      </w:r>
    </w:p>
    <w:p>
      <w:pPr>
        <w:pStyle w:val="SourceNote"/>
      </w:pPr>
      <w:r>
        <w:rPr>
          <w:b/>
        </w:rPr>
        <w:t>Available abstract (not full text):</w:t>
      </w:r>
      <w:r>
        <w:t xml:space="preserve"> BACKGROUND: Observational data are fundamental to medical research but present formidable challenges for causal inference. Machine learning-based causal discovery algorithms have emerged as a promising solution to identify causal structures directly from such data. However, the current literature is skewed toward theoretical and methodological innovations, with a critical gap in systematic assessments of performance in medical research settings and a lack of practical guidance for clinicians and researchers on selecting and applying these algorithms in specific medical contexts. OBJECTIVE: This study aimed to systematically map and synthesize the application of causal discovery methods in observational medical research, detailing the methodologies used, their application domains, the robustness of the findings, and the practical challenges encountered. METHODS: Following the PRISMA-ScR (Preferred Reporting Items for Systematic Reviews and Meta-Analyses Extension for Scoping Reviews) guidelines, we conducted a systematic search of Scopus, Web of Science, PubMed, MEDLINE, Embase, and CINAHL from inception to May 2025. We included studies that applied any causal discovery algorithms within a medical research context, encompassing both analyses of real-world observational data and method-validation studies using synthetic or benchmark datasets with a clear medical focus. Purely met</w:t>
      </w:r>
    </w:p>
    <w:p>
      <w:pPr/>
      <w:r>
        <w:rPr>
          <w:b/>
        </w:rPr>
        <w:t>POSSIBLE 2024:</w:t>
      </w:r>
      <w:r>
        <w:t xml:space="preserve"> Contemporary European conducting process: educational models — https://doi.org/10.34064/khnum1-72.05</w:t>
      </w:r>
    </w:p>
    <w:p>
      <w:pPr/>
      <w:r>
        <w:rPr>
          <w:b/>
        </w:rPr>
        <w:t>Shared claim-specific concepts:</w:t>
      </w:r>
      <w:r>
        <w:t xml:space="preserve"> based, two, out; EU scope visible. This is a provisional connection, not an outcome finding.</w:t>
      </w:r>
    </w:p>
    <w:p>
      <w:pPr>
        <w:pStyle w:val="SourceNote"/>
      </w:pPr>
      <w:r>
        <w:rPr>
          <w:b/>
        </w:rPr>
        <w:t>Available abstract (not full text):</w:t>
      </w:r>
      <w:r>
        <w:t xml:space="preserve"> Statement of the problem. The process of transformation of modern conducting art as a phenomenon of today’s musical culture is characterized by multi-vector nature. Beside specifically musical skills, the art of conducting synthesizes a whole range of others ones, including comprehension of organizational and communication processes, openness to mastering modern electronic and digital technologies, knowledge of foreign languages. All this implies a thorough training of the future specialist. Considering the scale of the above components, as well as the significant role of them in the formation of an opera and symphony conductor, it is relevant to reveal the process of mastering this profession at the current stage. Objectives, methods, and novelty of the research. The purpose of the study is a theoretical justification of the principles of professional training of opera and symphony conductors of the 21st century in higher education institutions of Ukraine and Italy. The leading method of research in this article is the method of comparative analysis, which makes it possible to assess the advantages and disadvantages of European and domestic education systems in the field of professional training of opera and symphony conductors. The scientific novelty of the study is due to the fact that a comparative analysis of two educational models of opera and orchestra conducting, in Ita</w:t>
      </w:r>
    </w:p>
    <w:p>
      <w:pPr/>
      <w:r>
        <w:rPr>
          <w:b/>
        </w:rPr>
        <w:t>POSSIBLE 2024:</w:t>
      </w:r>
      <w:r>
        <w:t xml:space="preserve"> Ratios in regression analyses with causal questions — https://doi.org/10.1093/aje/kwae162</w:t>
      </w:r>
    </w:p>
    <w:p>
      <w:pPr/>
      <w:r>
        <w:rPr>
          <w:b/>
        </w:rPr>
        <w:t>Shared claim-specific concepts:</w:t>
      </w:r>
      <w:r>
        <w:t xml:space="preserve"> based, two, questions, causal, become; EU scope not established. This is a provisional connection, not an outcome finding.</w:t>
      </w:r>
    </w:p>
    <w:p>
      <w:pPr>
        <w:pStyle w:val="SourceNote"/>
      </w:pPr>
      <w:r>
        <w:rPr>
          <w:b/>
        </w:rPr>
        <w:t>Available abstract (not full text):</w:t>
      </w:r>
      <w:r>
        <w:t xml:space="preserve"> Ratio measures are often used in medical research. Generally, the reason is to describe a phenomenon with a single number rather than multiple numbers. In many instances, ratios are used to account at an individual level for size, such as height in body mass index (BMI) or volume in concentrations. Alternatively, they are used to quantify a latent construct or to summarize the balance between two phenomena, for example, of two hormones or other laboratory markers,1 as the two measures jointly are thought to better describe a phenomenon than separately. Despite several statistical issues previously described, such as finding spurious correlations,2,-4 ratio measures can be convenient and efficient when it comes to diagnostic, prognostic, or predictive questions. However, when dealing with causal questions, the use of ratio measures is not straightforward. An example where a ratio has led to misinterpretation relates to the retinal arteriolar-to-venular ratio, initially thought of as a measure for arteriolar narrowing. Several associations with cardiovascular phenomena were found, but these later appeared to be partly attributable to larger venular diameters.5 We explore several issues relevant for the use of ratios within a causal framework. These issues stem partly from the fact that once two variables are combined into a ratio, the individual effects of the components cannot b</w:t>
      </w:r>
    </w:p>
    <w:p>
      <w:pPr/>
      <w:r>
        <w:rPr>
          <w:b/>
        </w:rPr>
        <w:t>POSSIBLE 2024:</w:t>
      </w:r>
      <w:r>
        <w:t xml:space="preserve"> A guide for planning triangulation studies to investigate complex causal questions in behavioural and psychiatric research — https://doi.org/10.1017/s2045796024000623</w:t>
      </w:r>
    </w:p>
    <w:p>
      <w:pPr/>
      <w:r>
        <w:rPr>
          <w:b/>
        </w:rPr>
        <w:t>Shared claim-specific concepts:</w:t>
      </w:r>
      <w:r>
        <w:t xml:space="preserve"> questions, causal, factors, become; EU scope not established. This is a provisional connection, not an outcome finding.</w:t>
      </w:r>
    </w:p>
    <w:p>
      <w:pPr>
        <w:pStyle w:val="SourceNote"/>
      </w:pPr>
      <w:r>
        <w:rPr>
          <w:b/>
        </w:rPr>
        <w:t>Available abstract (not full text):</w:t>
      </w:r>
      <w:r>
        <w:t xml:space="preserve"> AIMS: At the basis of many important research questions is causality - does X causally impact Y? For behavioural and psychiatric traits, answering such questions can be particularly challenging, as they are highly complex and multifactorial. 'Triangulation' refers to prospectively choosing, conducting and integrating several methods to investigate a specific causal question. If different methods, with different sources of bias, all indicate a causal effect, the finding is much less likely to be spurious. While triangulation can be a powerful approach, its interpretation differs across (sub)fields and there are no formal guidelines. Here, we aim to provide clarity and guidance around the process of triangulation for behavioural and psychiatric epidemiology, so that results of existing triangulation studies can be better interpreted, and new triangulation studies better designed. METHODS: We first introduce the concept of triangulation and how it is applied in epidemiological investigations of behavioural and psychiatric traits. Next, we put forth a systematic step-by-step guide, that can be used to design a triangulation study (accompanied by a worked example). Finally, we provide important general recommendations for future studies. RESULTS: While the literature contains varying interpretations, triangulation generally refers to an investigation that assesses the robustness of </w:t>
      </w:r>
    </w:p>
    <w:p>
      <w:pPr/>
      <w:r>
        <w:rPr>
          <w:b/>
        </w:rPr>
        <w:t>POSSIBLE 2024:</w:t>
      </w:r>
      <w:r>
        <w:t xml:space="preserve"> Do LLMs Have the Generalization Ability in Conducting Causal Inference? — https://doi.org/10.48550/arxiv.2410.11385</w:t>
      </w:r>
    </w:p>
    <w:p>
      <w:pPr/>
      <w:r>
        <w:rPr>
          <w:b/>
        </w:rPr>
        <w:t>Shared claim-specific concepts:</w:t>
      </w:r>
      <w:r>
        <w:t xml:space="preserve"> based, questions, causal, yet; EU scope not established. This is a provisional connection, not an outcome finding.</w:t>
      </w:r>
    </w:p>
    <w:p>
      <w:pPr>
        <w:pStyle w:val="SourceNote"/>
      </w:pPr>
      <w:r>
        <w:rPr>
          <w:b/>
        </w:rPr>
        <w:t>Available abstract (not full text):</w:t>
      </w:r>
      <w:r>
        <w:t xml:space="preserve"> In causal inference, generalization capability refers to the ability to conduct causal inference methods on new data to estimate the causal-effect between unknown phenomenon, which is crucial for expanding the boundaries of knowledge. Studies have evaluated the causal inference capabilities of Large Language Models (LLMs) concerning known phenomena, yet the generalization capabilities of LLMs concerning unseen phenomena remain unexplored. In this paper, we selected four tasks: Causal Path Discovery (CP), Backdoor Adjustment (BA), Factual Inference (FI), and Counterfactual Inference (CI) as representatives of causal inference tasks. To generate evaluation questions about previously unseen phenomena in new data on the four tasks, we propose a benchmark generation framework, which employs randomly generated graphs and node names to formulate questions within hypothetical new causal scenarios. Based on this framework, we compile a benchmark dataset of varying levels of question complexity. We extensively tested the generalization capabilities of five leading LLMs across four tasks. Experiment results reveal that while LLMs exhibit good generalization performance in solving simple CP, FI, and complex CI questions, they encounter difficulties when tackling BA questions and face obvious performance fluctuations as the problem complexity changes. Furthermore, when the names of phenomen</w:t>
      </w:r>
    </w:p>
    <w:p>
      <w:pPr/>
      <w:r>
        <w:rPr>
          <w:b/>
        </w:rPr>
        <w:t>POSSIBLE 2024:</w:t>
      </w:r>
      <w:r>
        <w:t xml:space="preserve"> Cross Modality Bias in Visual Question Answering: A Causal View With Possible Worlds VQA — https://doi.org/10.1109/tmm.2024.3380259</w:t>
      </w:r>
    </w:p>
    <w:p>
      <w:pPr/>
      <w:r>
        <w:rPr>
          <w:b/>
        </w:rPr>
        <w:t>Shared claim-specific concepts:</w:t>
      </w:r>
      <w:r>
        <w:t xml:space="preserve"> questions, causal, efforts, reduce; EU scope not established. This is a provisional connection, not an outcome finding.</w:t>
      </w:r>
    </w:p>
    <w:p>
      <w:pPr>
        <w:pStyle w:val="SourceNote"/>
      </w:pPr>
      <w:r>
        <w:rPr>
          <w:b/>
        </w:rPr>
        <w:t>Available abstract (not full text):</w:t>
      </w:r>
      <w:r>
        <w:t xml:space="preserve"> To increase the generalization capability of VQA systems, many recent studies have tried to de-bias spurious language or vision associations that shortcut the question or image to the answer. Despite these efforts, the literature fails to address the confounding effect of vision and language simultaneously. As a result, when they reduce bias learned from one modality, they usually increase bias from the other. In this paper, we first model a confounding effect that causes language and vision bias simultaneously, then propose a counterfactual inference to remove the influence of this effect. The model trained in this strategy can concurrently and efficiently reduce vision and language bias. To the best of our knowledge, this is the first work to reduce biases resulting from confounding effects of vision and language in VQA, leveraging causal explain-away relations. We accompany our method with an explain-away strategy, pushing the accuracy of the questions with numerical answers results compared to existing methods that have been an open problem. The proposed method outperforms the state-of-the-art methods in VQA-CP v2 datasets. R2: Providing brief insights into the experimental setup and results would add valuable context for readers. In response to R2, we released the code and documentation for the implementation as follows. Our codes are available at https://github.com/ali-vo</w:t>
      </w:r>
    </w:p>
    <w:p>
      <w:pPr/>
      <w:r>
        <w:rPr>
          <w:b/>
        </w:rPr>
        <w:t>POSSIBLE 2024:</w:t>
      </w:r>
      <w:r>
        <w:t xml:space="preserve"> Nature-Based Tourism in National and Natural Parks in Europe: A Systematic Review — https://doi.org/10.3390/f15040588</w:t>
      </w:r>
    </w:p>
    <w:p>
      <w:pPr/>
      <w:r>
        <w:rPr>
          <w:b/>
        </w:rPr>
        <w:t>Shared claim-specific concepts:</w:t>
      </w:r>
      <w:r>
        <w:t xml:space="preserve"> based, two, reduce; EU scope visible. This is a provisional connection, not an outcome finding.</w:t>
      </w:r>
    </w:p>
    <w:p>
      <w:pPr>
        <w:pStyle w:val="SourceNote"/>
      </w:pPr>
      <w:r>
        <w:rPr>
          <w:b/>
        </w:rPr>
        <w:t>Available abstract (not full text):</w:t>
      </w:r>
      <w:r>
        <w:t xml:space="preserve"> Considered among the fastest-growing industries in the world, tourism brings immense benefits but also creates certain challenges. Conservation of natural resources is a stringent necessity, without which the extraordinary ecosystems’ attributes that create the premises for nature-based tourism would reduce, alter, and subsequently disappear. The aim of the present review is twofold: gaining a general understanding of what nature-based tourism is and providing a systematic literature review of articles on nature-based tourism in European national and natural parks, with emphasis on their applicability. The articles included in the present review were selected based on the Preferred Reporting Items for Systematic Reviews and Meta-Analyses (PRISMA) statement. The review accounts for research conducted between 2000 and 2021 and is divided into two sections: articles aimed at understanding tourists’ behaviour and articles that are focused on other stakeholders or have the local communities in the foreground. While many studies are aimed at understanding tourists’ behaviour as a means of improving parks’ management, participatory strategies including local communities are often indicated as beneficial. The results of this paper can facilitate future research in the field and provide valuable knowledge to policymakers and any interested parties.</w:t>
      </w:r>
    </w:p>
    <w:p>
      <w:pPr/>
      <w:r>
        <w:rPr>
          <w:b/>
        </w:rPr>
        <w:t>POSSIBLE 2024:</w:t>
      </w:r>
      <w:r>
        <w:t xml:space="preserve"> Causal linkages between stock, crude oil and gold returns in Central Europe — https://doi.org/10.15611/aoe.2024.2.05</w:t>
      </w:r>
    </w:p>
    <w:p>
      <w:pPr/>
      <w:r>
        <w:rPr>
          <w:b/>
        </w:rPr>
        <w:t>Shared claim-specific concepts:</w:t>
      </w:r>
      <w:r>
        <w:t xml:space="preserve"> two, causal; EU scope visible. This is a provisional connection, not an outcome finding.</w:t>
      </w:r>
    </w:p>
    <w:p>
      <w:pPr>
        <w:pStyle w:val="SourceNote"/>
      </w:pPr>
      <w:r>
        <w:rPr>
          <w:b/>
        </w:rPr>
        <w:t>Available abstract (not full text):</w:t>
      </w:r>
      <w:r>
        <w:t xml:space="preserve"> The aim of this paper was to evaluate the relationship between the stocks, crude oil and gold markets of Central Europe in the short and long-term by applying a vector error correction model (VECM), and the Granger-causality analysis followed by a forecast error variance decomposition (FEVD) and impulse response function (IRF) analysis. Since gold seems to demonstrate a low or negative correlation with stocks, while the correlation between crude oil and gold is positive, it is important to investigate the interrelations in the markets in question to understand the nature of the linkages between them and their implications. It is assumed that there exists a long-term equilibrium between the analysed assets and that the changes in the prices in the gold and crude oil markets impact the stock market. The research findings confirm a long-term relationship between the markets as the prices of the analysed assets are cointegrated. In the long-term, the increase in the crude oil price (Brent) caused a raise in the gold price, whereas the impact of the stock price (Central European Blue Chip Index CETOP) was opposite. The author indicated two cases of unidirectional causality, hence the gold returns Granger-cause the stock returns, as expected. However, the latter determined the crude oil returns, which contradicts the research hypothesis. One can observe the negative impact of gold re</w:t>
      </w:r>
    </w:p>
    <w:p>
      <w:pPr>
        <w:pStyle w:val="Heading2"/>
      </w:pPr>
      <w:r>
        <w:t>520. Efficiency of the European Union farm types: Scenarios with and without the 2013 CAP measures</w:t>
      </w:r>
    </w:p>
    <w:p>
      <w:pPr>
        <w:pStyle w:val="SourceNote"/>
      </w:pPr>
      <w:r>
        <w:rPr>
          <w:b/>
        </w:rPr>
        <w:t>Original source (2022):</w:t>
      </w:r>
      <w:r>
        <w:t xml:space="preserve"> https://doi.org/10.1515/opag-2022-0071</w:t>
      </w:r>
    </w:p>
    <w:p>
      <w:pPr/>
      <w:r>
        <w:t>Original wording (abstract; indexed_source_text_not_full_document_verified): We analyse the evolution of the EU farm types in the last two decades with significant scenario changes like two large common agricultural policy (CAP) reforms (2003 and 2013) and suggest new approaches to the design for future measures. The analysis of these impacts may bring relevant insights, especially, for adjustments in the design of future strategies and plans.</w:t>
      </w:r>
    </w:p>
    <w:p>
      <w:pPr/>
      <w:r>
        <w:rPr>
          <w:b/>
        </w:rPr>
        <w:t>POSSIBLE 2026:</w:t>
      </w:r>
      <w:r>
        <w:t xml:space="preserve"> ANALYSIS OF FARMS IN ROMANIA IN THE CONTEXT OF THE EUROPEAN UNION — https://doi.org/10.46793/zbiep25.153ms</w:t>
      </w:r>
    </w:p>
    <w:p>
      <w:pPr/>
      <w:r>
        <w:rPr>
          <w:b/>
        </w:rPr>
        <w:t>Shared claim-specific concepts:</w:t>
      </w:r>
      <w:r>
        <w:t xml:space="preserve"> analyse, evolution, large, agricultural; EU scope visible. This is a provisional connection, not an outcome finding.</w:t>
      </w:r>
    </w:p>
    <w:p>
      <w:pPr>
        <w:pStyle w:val="SourceNote"/>
      </w:pPr>
      <w:r>
        <w:rPr>
          <w:b/>
        </w:rPr>
        <w:t>Available abstract (not full text):</w:t>
      </w:r>
      <w:r>
        <w:t xml:space="preserve"> The current state of the economy and society in the Romanian agricultural sector, as well as the development of rural space, are, to a large extent, influenced by the country’s agrarian structure, which is deeply not adapted to the requirements of a modern agriculture, capable of ensuring food safety and security. This situation is mainly the result of the ineficient or defective application of land laws in Romania, which negatively affects productivity, land redistribution, and sustainable development of rural areas. The authors of the paper comparatively analyse the situation of agricultural farms in Romania in the context of the EU. The analysis highlights that the evolution and differences in the structure of farms in the EU vary from one country to another. In order to remedy these problems, a profound reform of the legislative framework and agricultural practices is necessary in Romania, oriented towards the consolidation of agricultural households and the implementation of policies that promote the sustainability and competitiveness of the Romanian agricultural sector.</w:t>
      </w:r>
    </w:p>
    <w:p>
      <w:pPr/>
      <w:r>
        <w:rPr>
          <w:b/>
        </w:rPr>
        <w:t>POSSIBLE 2026:</w:t>
      </w:r>
      <w:r>
        <w:t xml:space="preserve"> Historical Evolution of Farm Machinery in Bangladesh: A Review — https://doi.org/10.61361/jambe.v10i1.157</w:t>
      </w:r>
    </w:p>
    <w:p>
      <w:pPr/>
      <w:r>
        <w:rPr>
          <w:b/>
        </w:rPr>
        <w:t>Shared claim-specific concepts:</w:t>
      </w:r>
      <w:r>
        <w:t xml:space="preserve"> evolution, farm, significant, agricultural; EU scope not established. This is a provisional connection, not an outcome finding.</w:t>
      </w:r>
    </w:p>
    <w:p>
      <w:pPr>
        <w:pStyle w:val="SourceNote"/>
      </w:pPr>
      <w:r>
        <w:rPr>
          <w:b/>
        </w:rPr>
        <w:t>Available abstract (not full text):</w:t>
      </w:r>
      <w:r>
        <w:t xml:space="preserve"> Bangladesh has undergone one of the most significant agricultural transformations in South Asia, driven by the rapid evolution of farm machinery since the mid- 20th century. From a purely manual and animal-driven farming system to a modernized agricultural landscape characterized by power tillers, tractors, combine harvesters, mechanical irrigation, and emerging digital tools. Farm mechanization has reshaped production practices, rural labour dynamics, and food security. This historical review synthesizes existing research, national policies, sectoral reports, and development project documents to examine the chronological evolution of farm machinery in Bangladesh. The study identifies four key phases: pre-mechanization (before 1960), early mechanization (1960-1990), rapid mechanization (1990-2010), and advanced mechanization with modern and digital integration (2010-present). It explores the technological drivers, socio-economic influences, and institutional roles behind this transformation. The review highlights significant gains in productivity, expansion of irrigated area, labour savings, and growth of rural machinery service market. Despite these achievements, challenges remain in land fragmentation, import dependency, sustainability of diesel-based machinery, and shortage of skilled operators. The paper concludes by suggesting directions for future research and policy, foc</w:t>
      </w:r>
    </w:p>
    <w:p>
      <w:pPr/>
      <w:r>
        <w:rPr>
          <w:b/>
        </w:rPr>
        <w:t>POSSIBLE 2026:</w:t>
      </w:r>
      <w:r>
        <w:t xml:space="preserve"> Contract Design for "Enterprise+Farmer" Sharecropping Family Farms — A Comparison of Institutional Evolution in American and French Family Farms — https://doi.org/10.62177/apemr.v3i1.1034</w:t>
      </w:r>
    </w:p>
    <w:p>
      <w:pPr/>
      <w:r>
        <w:rPr>
          <w:b/>
        </w:rPr>
        <w:t>Shared claim-specific concepts:</w:t>
      </w:r>
      <w:r>
        <w:t xml:space="preserve"> evolution, farm, two, agricultural, design; EU scope visible. This is a provisional connection, not an outcome finding.</w:t>
      </w:r>
    </w:p>
    <w:p>
      <w:pPr>
        <w:pStyle w:val="SourceNote"/>
      </w:pPr>
      <w:r>
        <w:rPr>
          <w:b/>
        </w:rPr>
        <w:t>Available abstract (not full text):</w:t>
      </w:r>
      <w:r>
        <w:t xml:space="preserve"> In the process of agricultural modernization in the United States and France, land concentration and farm mergers have been carried out. However, due to the differences in the initial conditions of land resource endowment and the dependence on the path of institutional development, the two countries have formed different institutional evolution results. China's agricultural development urgently needs to take the road of scale. Based on the existing agricultural basic conditions, small and medium-sized family farms have become a realistic choice. However, compared with professional farmers in developed countries, small farmers in China have congenital shortcomings, and it is difficult to spontaneously grow into the main body of modern large-scale agricultural business. The "enterprise + farmers" proposed in this article is divided into a cooperation model. Enterprises provide all-round support to small farmers with their capital, technical and management advantages, providing an important growth path for small farmers to grow into family farms, which will become the main organizational form of China's agricultural modernization suitable for national conditions.</w:t>
      </w:r>
    </w:p>
    <w:p>
      <w:pPr/>
      <w:r>
        <w:rPr>
          <w:b/>
        </w:rPr>
        <w:t>POSSIBLE 2026:</w:t>
      </w:r>
      <w:r>
        <w:t xml:space="preserve"> An analysis of the response behaviour of farms in the Farm Structure Survey — https://doi.org/10.71014/sieds.v80i2.507</w:t>
      </w:r>
    </w:p>
    <w:p>
      <w:pPr/>
      <w:r>
        <w:rPr>
          <w:b/>
        </w:rPr>
        <w:t>Shared claim-specific concepts:</w:t>
      </w:r>
      <w:r>
        <w:t xml:space="preserve"> analyse, farm, two, agricultural; EU scope visible. This is a provisional connection, not an outcome finding.</w:t>
      </w:r>
    </w:p>
    <w:p>
      <w:pPr>
        <w:pStyle w:val="SourceNote"/>
      </w:pPr>
      <w:r>
        <w:rPr>
          <w:b/>
        </w:rPr>
        <w:t>Available abstract (not full text):</w:t>
      </w:r>
      <w:r>
        <w:t xml:space="preserve"> The 2023 edition of the Farm Structure Survey is a sample survey that includes approximately 100,000 agricultural and livestock units registered in the Farm Register. This survey was conducted in accordance with Regulation (EC) No 1091/2018 of the European Parliament and of the Council, following an organizational model based on collaboration among several private entities. Thanks to an agreement with Istat, the Agricultural Assistance Centras (CAA) played a crucial role in the survey activities, acting as intermediaries in the data collection for various agricultural surveys. Operators affiliated with CAAs have a privileged relationship with farms due to their ongoing activities and possess specialized training in agricultural matters. Data collection was carried out using a combination of two survey techniques to optimize costs and minimize the statistical burden on respondents. Farms were given the option to complete the questionnaire online via CAWI (Computer Assisted Web Interviewing). Non-responding units were subsequently contacted by an operator who administered the questionnaire using CAPI (Computer Assisted Personal Interviewing). The objective of this work is to analyse the possible links between the characteristics of farms and their response behaviour, also in relation to the possible effects of actions taken to encourage participation.</w:t>
      </w:r>
    </w:p>
    <w:p>
      <w:pPr/>
      <w:r>
        <w:rPr>
          <w:b/>
        </w:rPr>
        <w:t>POSSIBLE 2026:</w:t>
      </w:r>
      <w:r>
        <w:t xml:space="preserve"> Experimental Investigation of the Evolution of Coherent Flow Structures within an Actuator Disc Wind Farm — https://doi.org/10.1088/1742-6596/3224/3/032021</w:t>
      </w:r>
    </w:p>
    <w:p>
      <w:pPr/>
      <w:r>
        <w:rPr>
          <w:b/>
        </w:rPr>
        <w:t>Shared claim-specific concepts:</w:t>
      </w:r>
      <w:r>
        <w:t xml:space="preserve"> evolution, farm, types, two, significant, large; EU scope not established. This is a provisional connection, not an outcome finding.</w:t>
      </w:r>
    </w:p>
    <w:p>
      <w:pPr>
        <w:pStyle w:val="SourceNote"/>
      </w:pPr>
      <w:r>
        <w:rPr>
          <w:b/>
        </w:rPr>
        <w:t>Available abstract (not full text):</w:t>
      </w:r>
      <w:r>
        <w:t xml:space="preserve"> Abstract Wind turbines operate in a highly complex aerodynamic environment. Beyond varying turbulence intensities, intermittent flow, and a wide range of turbulent length scales, coherent structures such as large gusts, wind ramps, and storm fronts impose significant loads on blades and towers. This study experimentally characterizes two types of coherent flow structures in a wind tunnel and investigates their behavior in a model-scale wind farm. Porous actuator discs act as substitutes for wind turbines and are arranged in both aligned and staggered configurations. The flow in and around the discs is measured using hot-wire anemometry, while an active grid generates two coherent flow structures: a classical extreme operating gust as defined by the IEC, and a rapid positive–negative wind ramp. Results show that the temporal and spatial extent of a coherent structure affects its recovery within the wind farm, and that increased background turbulence further accelerates wake recovery. Although the mean wind speed decreases significantly behind the first turbine row, gust amplitudes nearly recover to their inflow magnitude. Consequently, turbines in downstream rows remain exposed to strong, sudden coherent events, which must be considered in wind farm operation and control strategies.</w:t>
      </w:r>
    </w:p>
    <w:p>
      <w:pPr/>
      <w:r>
        <w:rPr>
          <w:b/>
        </w:rPr>
        <w:t>POSSIBLE 2026:</w:t>
      </w:r>
      <w:r>
        <w:t xml:space="preserve"> The Structural Evolution of the Agricultural Services Market in Poland — https://doi.org/10.3390/su18146992</w:t>
      </w:r>
    </w:p>
    <w:p>
      <w:pPr/>
      <w:r>
        <w:rPr>
          <w:b/>
        </w:rPr>
        <w:t>Shared claim-specific concepts:</w:t>
      </w:r>
      <w:r>
        <w:t xml:space="preserve"> evolution, two, agricultural; EU scope visible. This is a provisional connection, not an outcome finding.</w:t>
      </w:r>
    </w:p>
    <w:p>
      <w:pPr>
        <w:pStyle w:val="SourceNote"/>
      </w:pPr>
      <w:r>
        <w:rPr>
          <w:b/>
        </w:rPr>
        <w:t>Available abstract (not full text):</w:t>
      </w:r>
      <w:r>
        <w:t xml:space="preserve"> Agricultural services are an important component of the agricultural production system, as they may support farms in accessing machinery, labour, specialised knowledge, and selected technical inputs without fully internalising these resources. Despite their relevance, empirical evidence on the development of agricultural services remains limited in the Polish and broader Central and Eastern European context. The objective of this article is to assess the structural evolution of the agricultural and horticultural services market in Poland, with particular attention to the number and regional distribution of service providers, firm-size structure, farm-level use of selected services, and changes in service costs. The study is based on official statistical data from the Central Statistical Office of Poland for 2009–2024 and two survey waves conducted among farms in the Mazowieckie region in 2013 and 2024. The methodological approach combines descriptive and comparative analyses with exploratory logistic regression models. The results show that the agricultural services market in Poland has undergone clear structural changes, although the dynamics differed across service segments. Services supporting crop production expanded until 2015 and then stabilised or slightly declined, while post-harvest and livestock-related services remained relatively stable. Landscaping services recorde</w:t>
      </w:r>
    </w:p>
    <w:p>
      <w:pPr/>
      <w:r>
        <w:rPr>
          <w:b/>
        </w:rPr>
        <w:t>POSSIBLE 2026:</w:t>
      </w:r>
      <w:r>
        <w:t xml:space="preserve"> The evolution of the corporate governance literature in Islamic banking: A bibliometric review of the last two decades — https://doi.org/10.22495/jgrv15i1art17</w:t>
      </w:r>
    </w:p>
    <w:p>
      <w:pPr/>
      <w:r>
        <w:rPr>
          <w:b/>
        </w:rPr>
        <w:t>Shared claim-specific concepts:</w:t>
      </w:r>
      <w:r>
        <w:t xml:space="preserve"> evolution, last, two, decades; EU scope not established. This is a provisional connection, not an outcome finding.</w:t>
      </w:r>
    </w:p>
    <w:p>
      <w:pPr>
        <w:pStyle w:val="SourceNote"/>
      </w:pPr>
      <w:r>
        <w:rPr>
          <w:b/>
        </w:rPr>
        <w:t>Available abstract (not full text):</w:t>
      </w:r>
      <w:r>
        <w:t xml:space="preserve"> This study aims to explore trends and map knowledge on corporate governance (CG) in Islamic banking written by academics worldwide. This study is crucial for identifying the map and gaps in CG research in the Islamic banking industry. The method used is library research, focusing on thematic literature examining CG in Islamic banking. Primary data sources include journal articles, books, and proceedings published from 2005 to 2024, primarily by reputable publishers. The data were then analyzed using an R-based bibliometric approach (Donthu et al., 2021), the bibliometrics web interface, and Biblioshiny. The results indicate that academics from various affiliations and countries still have a high interest in the theme of Islamic banking governance (Bui &amp; Krajcsák, 2024). However, the authors’ affiliations and countries are not evenly distributed, with a concentration in the Middle East, Southeast Asia, and the UK. From the aspect of the study articles, the sustainable development approach emerges as a new direction in Islamic financial governance, along with the coherence of keywords such as banking and Islamism, which indicates a strong thematic relationship with Islamic values.</w:t>
      </w:r>
    </w:p>
    <w:p>
      <w:pPr/>
      <w:r>
        <w:rPr>
          <w:b/>
        </w:rPr>
        <w:t>POSSIBLE 2025:</w:t>
      </w:r>
      <w:r>
        <w:t xml:space="preserve"> The evolution of antibiotic resistance in Europe, 1998–2019 — https://doi.org/10.1371/journal.ppat.1012945</w:t>
      </w:r>
    </w:p>
    <w:p>
      <w:pPr/>
      <w:r>
        <w:rPr>
          <w:b/>
        </w:rPr>
        <w:t>Shared claim-specific concepts:</w:t>
      </w:r>
      <w:r>
        <w:t xml:space="preserve"> analyse, evolution, large; EU scope visible. This is a provisional connection, not an outcome finding.</w:t>
      </w:r>
    </w:p>
    <w:p>
      <w:pPr>
        <w:pStyle w:val="SourceNote"/>
      </w:pPr>
      <w:r>
        <w:rPr>
          <w:b/>
        </w:rPr>
        <w:t>Available abstract (not full text):</w:t>
      </w:r>
      <w:r>
        <w:t xml:space="preserve"> The evolutionary dynamics of antibiotic resistance are not well understood, particularly the long-term trajectories of resistance frequencies and their dependence on antibiotic consumption. Here, we systematically analyse resistance trajectories for 887 bug-drug-country combinations in Europe across 1998-2019, for eight bacterial species with a considerable resistance-associated public health burden. Our analyses support a model in which, after an initial increase, resistance frequencies reach a stable intermediate equilibrium. The plurality (37%) of analysed trajectories were best described as 'stable' (neither increasing nor decreasing). 21% of trajectories were best described as 'stabilising' - i.e. showing a transition from increasing frequency to a stable plateau; 21% as decreasing and 20% as increasing. The antibiotic consumption in a country predicts both the equilibrium frequency of the corresponding resistance and the speed at which this equilibrium is reached. Moreover, we find weak evidence that temporal fluctuations in resistance frequency are driven by temporal fluctuations in hospital antibiotic consumption. A large fraction of the variability in the speed of increase and the equilibrium level of resistance remains unexplained by antibiotic use, suggesting other factors may also drive resistance dynamics. Overall, our results indicate that ever increasing antibiot</w:t>
      </w:r>
    </w:p>
    <w:p>
      <w:pPr/>
      <w:r>
        <w:rPr>
          <w:b/>
        </w:rPr>
        <w:t>POSSIBLE 2025:</w:t>
      </w:r>
      <w:r>
        <w:t xml:space="preserve"> Player Transfer Market in European Football Using Machine Learning to analyse the evolution of the European football. — https://doi.org/10.63227/652.299.56</w:t>
      </w:r>
    </w:p>
    <w:p>
      <w:pPr/>
      <w:r>
        <w:rPr>
          <w:b/>
        </w:rPr>
        <w:t>Shared claim-specific concepts:</w:t>
      </w:r>
      <w:r>
        <w:t xml:space="preserve"> analyse, evolution, insights; EU scope visible. This is a provisional connection, not an outcome finding.</w:t>
      </w:r>
    </w:p>
    <w:p>
      <w:pPr>
        <w:pStyle w:val="SourceNote"/>
      </w:pPr>
      <w:r>
        <w:rPr>
          <w:b/>
        </w:rPr>
        <w:t>Available abstract (not full text):</w:t>
      </w:r>
      <w:r>
        <w:t xml:space="preserve"> The study uses machine learning to analyse the European football transfer market from 2015 to 2025, revealing patterns in transfer fees and market values influenced by player attributes, highlighting the potential of data-driven insights.</w:t>
      </w:r>
    </w:p>
    <w:p>
      <w:pPr/>
      <w:r>
        <w:rPr>
          <w:b/>
        </w:rPr>
        <w:t>POSSIBLE 2025:</w:t>
      </w:r>
      <w:r>
        <w:t xml:space="preserve"> Evolution of the Geographic Range of a European Montane Leaf Beetle in Response to Climate Changes at the End of the Quaternary — https://doi.org/10.1111/jbi.15181</w:t>
      </w:r>
    </w:p>
    <w:p>
      <w:pPr/>
      <w:r>
        <w:rPr>
          <w:b/>
        </w:rPr>
        <w:t>Shared claim-specific concepts:</w:t>
      </w:r>
      <w:r>
        <w:t xml:space="preserve"> evolution, last, two, suggest; EU scope visible. This is a provisional connection, not an outcome finding.</w:t>
      </w:r>
    </w:p>
    <w:p>
      <w:pPr>
        <w:pStyle w:val="SourceNote"/>
      </w:pPr>
      <w:r>
        <w:rPr>
          <w:b/>
        </w:rPr>
        <w:t>Available abstract (not full text):</w:t>
      </w:r>
      <w:r>
        <w:t xml:space="preserve"> ABSTRACT Aim During the past few 100,000 years, repeated cycles of glaciation and warming episodes have radically altered the range of organisms. Numerous phylogeographic studies have investigated the impact of past climate changes on the range of temperate organisms in Europe, but we know substantially less about organisms that are adapted to colder climates. Their distributions are often currently fragmented and limited to relatively high elevations in mountainous regions and to the north of Europe. Our inferences of their range during the last glaciation appear contradictory: some studies indicate a range expansion through colonisation of the lowlands, while others suggest a range contraction because they were restricted to small refugia. In this study, we wished to identify which of these two alternative hypotheses explains best the current distribution of genetic variation in a European montane leaf beetle whose current range spans several mountains. Location Four European mountain systems: Alps, Vosges, Massif Central, Pyrenees. Time Period End of the Quaternary, focusing mainly on the last glaciation and the Holocene. Taxon Gonioctena quinquepunctata [Fabricius, 1787] (Coleoptera; Chrysomelidae). Results Modelling of the potential current and last glacial maximum species distributions suggested that climatic conditions were more favourable in the lowlands during the last</w:t>
      </w:r>
    </w:p>
    <w:p>
      <w:pPr/>
      <w:r>
        <w:rPr>
          <w:b/>
        </w:rPr>
        <w:t>POSSIBLE 2025:</w:t>
      </w:r>
      <w:r>
        <w:t xml:space="preserve"> The Evolution of Hybrid Warfare — https://doi.org/10.36250/01237_06</w:t>
      </w:r>
    </w:p>
    <w:p>
      <w:pPr/>
      <w:r>
        <w:rPr>
          <w:b/>
        </w:rPr>
        <w:t>Shared claim-specific concepts:</w:t>
      </w:r>
      <w:r>
        <w:t xml:space="preserve"> analyse, evolution, last, two, like; EU scope visible. This is a provisional connection, not an outcome finding.</w:t>
      </w:r>
    </w:p>
    <w:p>
      <w:pPr>
        <w:pStyle w:val="SourceNote"/>
      </w:pPr>
      <w:r>
        <w:rPr>
          <w:b/>
        </w:rPr>
        <w:t>Available abstract (not full text):</w:t>
      </w:r>
      <w:r>
        <w:t xml:space="preserve"> Hybrid warfare has several nuances and can be referred to various tools and means. While some of them are relative new elements related to the current international system, several others represent the last evolution of a long history. This chapter aims to contextualise the notion of hybrid warfare in the broader framework of the contemporary international relations. Hence, the chapter intends to analyse two different contexts in which the notion of hybrid warfare has been used and the way in which that notion has been integrated in the EU official documents like EUGS (European Union Global Strategy) adopted in June 2016.</w:t>
      </w:r>
    </w:p>
    <w:p>
      <w:pPr/>
      <w:r>
        <w:rPr>
          <w:b/>
        </w:rPr>
        <w:t>POSSIBLE 2025:</w:t>
      </w:r>
      <w:r>
        <w:t xml:space="preserve"> Evolution and Impact of Hepatitis A Epidemiology in Europe-Systematic Literature Review of the Last 20 Years — https://doi.org/10.1111/jvh.14030</w:t>
      </w:r>
    </w:p>
    <w:p>
      <w:pPr/>
      <w:r>
        <w:rPr>
          <w:b/>
        </w:rPr>
        <w:t>Shared claim-specific concepts:</w:t>
      </w:r>
      <w:r>
        <w:t xml:space="preserve"> evolution, last, two, decades; EU scope visible. This is a provisional connection, not an outcome finding.</w:t>
      </w:r>
    </w:p>
    <w:p>
      <w:pPr>
        <w:pStyle w:val="SourceNote"/>
      </w:pPr>
      <w:r>
        <w:rPr>
          <w:b/>
        </w:rPr>
        <w:t>Available abstract (not full text):</w:t>
      </w:r>
      <w:r>
        <w:t xml:space="preserve"> While globally hepatitis A (hepA) infections occur in 150 million people annually, European high-income countries now have a low endemicity. However, this results in a more susceptible adult population which is prone to severe illness. To determine current epidemiological characteristics, we performed a systematic literature review to assess the severity of hepA disease in the past two decades in 11 European countries (i.e., Denmark, France, Germany, Greece, Hungary, Italy, the Netherlands, Spain, Sweden, Switzerland and the United Kingdom). Literature search was performed using PubMed and Embase between 1 January 2001 and 14 April 2021. Search terms included the disease (hepA), the 11 selected countries, the term 'outbreaks' and its synonyms, outcomes and terms for hepA virus circulation. In total, 43 records reported data on hepA disease outcomes. Hospitalisation rates varied between the countries, with annual rates exceeding 50% at least once in seven countries. The lowest hospitalisation rates were reported for the Netherlands (≤ 32%) and the highest for Greece (≥ 81%). Liver failure, haemorrhagic and other complications were rarely reported, and case fatality rates were low (0.03%-0.26%). Our findings are consistent with the trends observed globally. This systematic literature review highlights the need to increase awareness of hepA risks and to strengthen prevention strat</w:t>
      </w:r>
    </w:p>
    <w:p>
      <w:pPr>
        <w:pStyle w:val="Heading2"/>
      </w:pPr>
      <w:r>
        <w:t>521. Eliciting knowledge from stakeholders to identify critical issues of the transition to climate neutrality in Greece, the Nordic Region, and the European Union</w:t>
      </w:r>
    </w:p>
    <w:p>
      <w:pPr>
        <w:pStyle w:val="SourceNote"/>
      </w:pPr>
      <w:r>
        <w:rPr>
          <w:b/>
        </w:rPr>
        <w:t>Original source (2022):</w:t>
      </w:r>
      <w:r>
        <w:t xml:space="preserve"> https://doi.org/10.1016/j.erss.2022.102836</w:t>
      </w:r>
    </w:p>
    <w:p>
      <w:pPr/>
      <w:r>
        <w:t>Original wording (abstract; indexed_source_text_not_full_document_verified): They also reveal cross-cutting issues and challenges among the three case studies, which could lead to further improvement of the cross-country collaboration to foster the European energy transition. The European Union's commitment to climate neutrality by 2050 requires a better understanding of the energy transition in different contexts and scales to improve cooperation of involved actors.</w:t>
      </w:r>
    </w:p>
    <w:p>
      <w:pPr/>
      <w:r>
        <w:rPr>
          <w:b/>
        </w:rPr>
        <w:t>POSSIBLE 2026:</w:t>
      </w:r>
      <w:r>
        <w:t xml:space="preserve"> Cultural Production Reveals Transitions to Sustained Human Development in both European and Non-European Societies — https://openalex.org/W7124669595</w:t>
      </w:r>
    </w:p>
    <w:p>
      <w:pPr/>
      <w:r>
        <w:rPr>
          <w:b/>
        </w:rPr>
        <w:t>Shared claim-specific concepts:</w:t>
      </w:r>
      <w:r>
        <w:t xml:space="preserve"> also, reveal, understanding; EU scope visible. This is a provisional connection, not an outcome finding.</w:t>
      </w:r>
    </w:p>
    <w:p>
      <w:pPr>
        <w:pStyle w:val="SourceNote"/>
      </w:pPr>
      <w:r>
        <w:rPr>
          <w:b/>
        </w:rPr>
        <w:t>Available abstract (not full text):</w:t>
      </w:r>
      <w:r>
        <w:t xml:space="preserve"> Sustained human development is often seen as a recent phenomenon, primarily linked to Europe's Industrial Revolution. This perspective has shaped much of our historical understanding, but it relies on a limited set of economic indicators with restricted temporal and geographic coverage. In this article, we introduce Cultural Production as a complementary proxy for human development, particularly suited to long-term and cross-regional comparisons. Cultural production reflects the extent to which societies enable individuals to acquire knowledge, develop skills, and contribute to intellectual and artistic life-conditions closely tied to education, health, material security, and institutional support. We construct a global dataset tracking 122,634 distinct cultural producers (e.g., scientists, artists, writers) and apply ecological methods to estimate the number of unrecorded figures, correcting for differential survivorship bias. The resulting measure enables a broader and deeper reconstruction of human development across time and space. Our results challenge the prevailing view that meaningful development began only in modern Europe. We confirm that Western Europe experienced continuous gains from the 11th century onward, but we also uncover sustained growth in non-Western regions long before the 19th century. Japan shows multiple developmental phases, including a continuous ris</w:t>
      </w:r>
    </w:p>
    <w:p>
      <w:pPr/>
      <w:r>
        <w:rPr>
          <w:b/>
        </w:rPr>
        <w:t>POSSIBLE 2026:</w:t>
      </w:r>
      <w:r>
        <w:t xml:space="preserve"> Spatio-Temporal Diagnostics Reveal Early Signals of Sand Fly Range Shift in Europe — https://doi.org/10.5194/egusphere-egu26-18432</w:t>
      </w:r>
    </w:p>
    <w:p>
      <w:pPr/>
      <w:r>
        <w:rPr>
          <w:b/>
        </w:rPr>
        <w:t>Shared claim-specific concepts:</w:t>
      </w:r>
      <w:r>
        <w:t xml:space="preserve"> also, reveal, further, climate; EU scope visible. This is a provisional connection, not an outcome finding.</w:t>
      </w:r>
    </w:p>
    <w:p>
      <w:pPr>
        <w:pStyle w:val="SourceNote"/>
      </w:pPr>
      <w:r>
        <w:rPr>
          <w:b/>
        </w:rPr>
        <w:t>Available abstract (not full text):</w:t>
      </w:r>
      <w:r>
        <w:t xml:space="preserve"> Climate change is reshaping the distribution of vector-borne disease risk in Europe by altering the environmental suitability and phenology of disease vectors such as phlebotomine sand flies, which transmit leishmaniasis. Despite regional observational evidence of sand fly range expansion from Mediterranean areas toward more temperate latitudes, quantitative multi-year diagnostics of such shifts remain limited. Building on the Sand Flies Extreme Prediction Population (FEPO) model, which provides high-resolution daily predictions of sand fly densities across Europe, we introduce a suite of spatio-temporal diagnostics to quantify distributional shifts in density predictions.We applied these diagnostics to FEPO output for 2021 and 2022 across four Phlebotomus species (P. papatasi, P. perniciosus, P. sergenti, and P. tobbi), using a threshold-based occupancy metric, a density-weighted centroid, and the 95th-percentile front latitude as indicators of spatial redistribution. Using mid-month sampling (one day per month) to balance computational efficiency with seasonal coverage, we detect consistent northward shifts between the two years. Centroid latitude increased by approximately 0.09–0.39° (about 11–44 km) across species, while the 95th-percentile front latitude advanced by approximately 0.17–0.49° (about 19–54 km). The occupied area exceeding a density threshold of 0.1 (model uni</w:t>
      </w:r>
    </w:p>
    <w:p>
      <w:pPr/>
      <w:r>
        <w:rPr>
          <w:b/>
        </w:rPr>
        <w:t>POSSIBLE 2026:</w:t>
      </w:r>
      <w:r>
        <w:t xml:space="preserve"> Research on the Challenges of the European Union as Perceived by Students — https://doi.org/10.31926/but.es.2026.19.68.1.11</w:t>
      </w:r>
    </w:p>
    <w:p>
      <w:pPr/>
      <w:r>
        <w:rPr>
          <w:b/>
        </w:rPr>
        <w:t>Shared claim-specific concepts:</w:t>
      </w:r>
      <w:r>
        <w:t xml:space="preserve"> also, reveal, issues, challenges, union, climate; EU scope visible. This is a provisional connection, not an outcome finding.</w:t>
      </w:r>
    </w:p>
    <w:p>
      <w:pPr>
        <w:pStyle w:val="SourceNote"/>
      </w:pPr>
      <w:r>
        <w:rPr>
          <w:b/>
        </w:rPr>
        <w:t>Available abstract (not full text):</w:t>
      </w:r>
      <w:r>
        <w:t xml:space="preserve"> The aim of this paper is to investigate how some of the most important challenges facing the European Union are perceived by students. By means of a survey, students’ opinions on issues such as the economic situation, the pandemic, unity, climate change, and cyberattacks are researched, analysed, and commented. The findings reveal that students are aware of these issues, mostly via social media. Economic problems were considered the main difficulty, while the pandemic and climate change also ranked high in the list of concerns. In accordance with the conclusions drawn from the research, several recommendations are issued for policymakers.</w:t>
      </w:r>
    </w:p>
    <w:p>
      <w:pPr/>
      <w:r>
        <w:rPr>
          <w:b/>
        </w:rPr>
        <w:t>POSSIBLE 2026:</w:t>
      </w:r>
      <w:r>
        <w:t xml:space="preserve"> CURRENT CHALLENGES OF COHESION POLICY IN THE EUROPEAN UNION — https://openalex.org/W7219295432</w:t>
      </w:r>
    </w:p>
    <w:p>
      <w:pPr/>
      <w:r>
        <w:rPr>
          <w:b/>
        </w:rPr>
        <w:t>Shared claim-specific concepts:</w:t>
      </w:r>
      <w:r>
        <w:t xml:space="preserve"> also, issues, challenges, energy, transition, union; EU scope visible. This is a provisional connection, not an outcome finding.</w:t>
      </w:r>
    </w:p>
    <w:p>
      <w:pPr>
        <w:pStyle w:val="SourceNote"/>
      </w:pPr>
      <w:r>
        <w:rPr>
          <w:b/>
        </w:rPr>
        <w:t>Available abstract (not full text):</w:t>
      </w:r>
      <w:r>
        <w:t xml:space="preserve"> This paper analyses the current challenges facing European Union cohesion policy in the context of profound economic, social, environmental and geopolitical transformations affecting regional development across the European Union. As one of the principal investment policies of the European Union, cohesion policy has a central role in reducing territorial disparities, strengthening economic and social convergence, and supporting balanced regional development. The paper provides an overview of the evolution of cohesion policy and examines the major challenges associated with the current programming period 2021–2027. The analysis focuses on several key issues, including persistent regional inequalities, disparities in administrative and institutional capacity, the complexity of implementation mechanisms, absorption constraints, and the growing need to improve the efficiency and strategic orientation of cohesion funding. Particular attention is given to the increasing role of cohesion policy in responding to new priorities related to green transition, digital transformation, energy security and economic resilience in the post-pandemic context. The paper also discusses how recent crises have influenced the objectives and implementation logic of cohesion policy, expanding its role beyond traditional convergence goals. The results underline that the effectiveness of cohesion policy de</w:t>
      </w:r>
    </w:p>
    <w:p>
      <w:pPr/>
      <w:r>
        <w:rPr>
          <w:b/>
        </w:rPr>
        <w:t>POSSIBLE 2026:</w:t>
      </w:r>
      <w:r>
        <w:t xml:space="preserve"> EUROPEAN EDUCATIONAL CHALLENGES EUROPEAN PROJECTS NOT ONLY FOR YOUNG PEOPLE — https://doi.org/10.21125/inted.2026.2026</w:t>
      </w:r>
    </w:p>
    <w:p>
      <w:pPr/>
      <w:r>
        <w:rPr>
          <w:b/>
        </w:rPr>
        <w:t>Shared claim-specific concepts:</w:t>
      </w:r>
      <w:r>
        <w:t xml:space="preserve"> they, also, challenges, collaboration; EU scope visible. This is a provisional connection, not an outcome finding.</w:t>
      </w:r>
    </w:p>
    <w:p>
      <w:pPr>
        <w:pStyle w:val="SourceNote"/>
      </w:pPr>
      <w:r>
        <w:rPr>
          <w:b/>
        </w:rPr>
        <w:t>Available abstract (not full text):</w:t>
      </w:r>
      <w:r>
        <w:t xml:space="preserve"> This article considers the educational challenges that Europe has faced over the past decade, research findings, and project experience in the field of adult education (especially senior education), in the context of ageing European societies. The generation of seniors constitutes a storehouse of knowledge, a reservoir of historical memory, and a repository of elements of local cultural heritage that shape the architecture of Europe’s cultural heritage landscape. Such individuals, who are professionally inactive, often remain hidden in the shadow of social life. They do not have opportunities to share their knowledge, experience, and skills with the younger generation. EU senior policy and educational policy, as well as the policies of Member States, have determined new fields of mobilisation and care for this social group in recent years. The author analyses modern educational priorities of European Commission for the years 2024-2029, as well as the guidelines of the Erasmus+ programme, in the context of social challenges, senior policy, and key competences. This study also discusses the assumptions, conclusions, and results derived from Erasmus+ projects, entitled “COSTAS” (Competent Staff for Adult Learners and Seniors) and “acordEU” (Adult Cooperation for European Eco-Synergy). These projects were implemented in partnership between Poland, Romania, Bulgaria, and Italy in th</w:t>
      </w:r>
    </w:p>
    <w:p>
      <w:pPr/>
      <w:r>
        <w:rPr>
          <w:b/>
        </w:rPr>
        <w:t>POSSIBLE 2026:</w:t>
      </w:r>
      <w:r>
        <w:t xml:space="preserve"> Unveiling the environmental impact of earthquakes in Europe — https://doi.org/10.1038/s41467-025-68120-6</w:t>
      </w:r>
    </w:p>
    <w:p>
      <w:pPr/>
      <w:r>
        <w:rPr>
          <w:b/>
        </w:rPr>
        <w:t>Shared claim-specific concepts:</w:t>
      </w:r>
      <w:r>
        <w:t xml:space="preserve"> they, also, reveal, challenges, further; EU scope visible. This is a provisional connection, not an outcome finding.</w:t>
      </w:r>
    </w:p>
    <w:p>
      <w:pPr>
        <w:pStyle w:val="SourceNote"/>
      </w:pPr>
      <w:r>
        <w:rPr>
          <w:b/>
        </w:rPr>
        <w:t>Available abstract (not full text):</w:t>
      </w:r>
      <w:r>
        <w:t xml:space="preserve"> Abstract Environmental impact assessments in the construction sector often overlook the significant effects of natural hazards, in particular earthquakes. These destructive events pose severe sustainability challenges as they frequently require large-scale repairs and replacement for damaged buildings, demanding the production and use of substantial quantities of building materials. Here, we unveil the environmental toll of earthquakes in Europe, presenting essential environmental data on the continent’s building stock. We further generate novel seismic risk maps that quantify the embodied carbon resulting from seismic-damage repair and reconstruction of residential, commercial, and industrial buildings, considering all plausible earthquake scenarios across the region. To this end, we first develop a comprehensive database of material quantities and embodied carbon factors for a broad range of construction materials and building components. This database serves as a crucial input for a continent-wide probabilistic seismic risk model, which estimates the potential environmental impacts of future earthquakes by analysing over 3 million realistic damage scenarios, each with its own probability of occurrence. Our findings reveal that Europe’s earthquake-exposed building stock embodies nearly 13.4 billion tons of carbon dioxide equivalent (CO2e), with seismic damage alone generating</w:t>
      </w:r>
    </w:p>
    <w:p>
      <w:pPr/>
      <w:r>
        <w:rPr>
          <w:b/>
        </w:rPr>
        <w:t>POSSIBLE 2025:</w:t>
      </w:r>
      <w:r>
        <w:t xml:space="preserve"> Landscape reconstructions for Europe during the late Last Glacial (60–20 ka BP): a pollen-based REVEALS approach — https://doi.org/10.5194/essd-17-5997-2025</w:t>
      </w:r>
    </w:p>
    <w:p>
      <w:pPr/>
      <w:r>
        <w:rPr>
          <w:b/>
        </w:rPr>
        <w:t>Shared claim-specific concepts:</w:t>
      </w:r>
      <w:r>
        <w:t xml:space="preserve"> also, three, further, climate, requires, better; EU scope visible. This is a provisional connection, not an outcome finding.</w:t>
      </w:r>
    </w:p>
    <w:p>
      <w:pPr>
        <w:pStyle w:val="SourceNote"/>
      </w:pPr>
      <w:r>
        <w:rPr>
          <w:b/>
        </w:rPr>
        <w:t>Available abstract (not full text):</w:t>
      </w:r>
      <w:r>
        <w:t xml:space="preserve"> Abstract. Vegetation change during the Last Glacial period in Europe plays a crucial role in better understanding the ecosystem dynamics response to abrupt climate change. Yet, quantitative reconstructions of land-cover primarily focus on the Holocene period and aim to disentangle the impact of anthropogenic and climatic stress on the vegetation. Here, we present temporally continuous land-cover reconstructions from Europe for the latter half of the Last Glacial period (60–20 ka BP) using the “Regional Estimates of Vegetation Abundance from Large Sites” (REVEALS) model. The pollen-based REVEALS model uniquely factors in plant-specific parameters, such as relative pollen productivity (RPP) and pollen fall speed to model pollen dispersal and thus provides more accurate representation of past vegetation cover than fossil pollen data. We compiled a total of 61 datasets from Europe and its bordering regions to model land-cover estimates across 60 time steps in 1000 year increments. By grouping the 38 analysed taxa into 5 land-cover types (LCTs), we simplify the interpretation of our results and demonstrate this using three crucial periods during the Last Glacial: Greenland Interstadial 14 (GI-14), Greenland Stadial 9 (GS-9), and the Last Glacial Maximum (LGM). These periods provide insight into stadial-interstadial vegetation variability as well as extreme glacial conditions, which </w:t>
      </w:r>
    </w:p>
    <w:p>
      <w:pPr/>
      <w:r>
        <w:rPr>
          <w:b/>
        </w:rPr>
        <w:t>POSSIBLE 2025:</w:t>
      </w:r>
      <w:r>
        <w:t xml:space="preserve"> Challenges in the micropropagation of economically important fruit species in Europe — https://doi.org/10.1007/s11240-025-03165-5</w:t>
      </w:r>
    </w:p>
    <w:p>
      <w:pPr/>
      <w:r>
        <w:rPr>
          <w:b/>
        </w:rPr>
        <w:t>Shared claim-specific concepts:</w:t>
      </w:r>
      <w:r>
        <w:t xml:space="preserve"> also, issues, challenges, among, further, improvement; EU scope visible. This is a provisional connection, not an outcome finding.</w:t>
      </w:r>
    </w:p>
    <w:p>
      <w:pPr>
        <w:pStyle w:val="SourceNote"/>
      </w:pPr>
      <w:r>
        <w:rPr>
          <w:b/>
        </w:rPr>
        <w:t>Available abstract (not full text):</w:t>
      </w:r>
      <w:r>
        <w:t xml:space="preserve"> Commercial micropropagation plays a crucial role in increasing the production of many economically important fruit crops worldwide, including Europe. The focus has been on many woody horticultural species, such as stone and pome fruits, berries, nuts, and palms. This paper presents an updated overview of the European commercial micropropagation landscape, highlighting the countries currently operating in this sector, crop targets, and the distribution of micropropagation companies based on recent survey data. In Europe and the broader Mediterranean basin, Italy, Spain, Türkiye, and Germany emerge as the leading contributors to the large-scale in vitro production of woody fruit species, based on the number of operating commercial companies and efforts to adopt new technology. Despite this progress, several challenges limit the scalability and sustainability of in vitro propagation systems, and their expansion in underrepresented countries. These main issues include species recalcitrance, high labour and infrastructure costs, further improvement of stock maintenance capacity, logistical issues in plantlet shipment, and barriers related to intellectual property rights. To address these challenges, this paper discusses solutions such as utilizing automation and robotics, exploring new compounds to enhance micropropagation rates, and using European funding opportunities. Furthermore</w:t>
      </w:r>
    </w:p>
    <w:p>
      <w:pPr/>
      <w:r>
        <w:rPr>
          <w:b/>
        </w:rPr>
        <w:t>POSSIBLE 2025:</w:t>
      </w:r>
      <w:r>
        <w:t xml:space="preserve"> INFORMATION SECURITY OF THE EUROPEAN UNION: CHALLENGES AND TRENDS — https://doi.org/10.21564/2663-5704.66.337888</w:t>
      </w:r>
    </w:p>
    <w:p>
      <w:pPr/>
      <w:r>
        <w:rPr>
          <w:b/>
        </w:rPr>
        <w:t>Shared claim-specific concepts:</w:t>
      </w:r>
      <w:r>
        <w:t xml:space="preserve"> also, issues, challenges, union; EU scope visible. This is a provisional connection, not an outcome finding.</w:t>
      </w:r>
    </w:p>
    <w:p>
      <w:pPr>
        <w:pStyle w:val="SourceNote"/>
      </w:pPr>
      <w:r>
        <w:rPr>
          <w:b/>
        </w:rPr>
        <w:t>Available abstract (not full text):</w:t>
      </w:r>
      <w:r>
        <w:t xml:space="preserve"> The article analyzes the current challenges and threats to the information security of the European Union. It outlines the activities of European institutions responsible for addressing information security issues and examines the relevant legislative framework in this domain. The study explores the main directions of the EU leadership’s response to information-related challenges and threats. It also highlights the key features of the European cybersecurity strategy.</w:t>
      </w:r>
    </w:p>
    <w:p>
      <w:pPr/>
      <w:r>
        <w:rPr>
          <w:b/>
        </w:rPr>
        <w:t>POSSIBLE 2025:</w:t>
      </w:r>
      <w:r>
        <w:t xml:space="preserve"> Chapter Methodological challenges in European penology — https://openalex.org/W7137666023</w:t>
      </w:r>
    </w:p>
    <w:p>
      <w:pPr/>
      <w:r>
        <w:rPr>
          <w:b/>
        </w:rPr>
        <w:t>Shared claim-specific concepts:</w:t>
      </w:r>
      <w:r>
        <w:t xml:space="preserve"> also, issues, challenges, three, union, different; EU scope visible. This is a provisional connection, not an outcome finding.</w:t>
      </w:r>
    </w:p>
    <w:p>
      <w:pPr>
        <w:pStyle w:val="SourceNote"/>
      </w:pPr>
      <w:r>
        <w:rPr>
          <w:b/>
        </w:rPr>
        <w:t>Available abstract (not full text):</w:t>
      </w:r>
      <w:r>
        <w:t xml:space="preserve"> European penology, the multidisciplinary scientific study of punishment carried out on the European continent, is booming. This Handbook aims to offer an overview of the current state of the art and cutting-edge penological research in Europe, covering all the regions (north, south, east, west) and Europe’s institutional organisations – the Council of Europe and the European Union – including research that may hitherto not have been published in English. The Handbook also reflects on whether there is anything distinctive or typically (not necessarily exclusively) European in the ways penology is applied in Europe. This challenge is taken up by a team of 5 editors and 60 authors from 21 different countries, reflecting a balance of gender, early and promising career, and established researchers. After the editors’ Introduction, the book is organised into three parts: Part I: European Penology – Scientific Developments discusses theoretical and methodological developments and important issues within comparative penology. Part II: European Penality – Developments in Penal Practices focuses on transversal European developments, particular groups of offenders and specific forms of punishment. Part III offers a reflection on penal policies and practices in Europe as seen from abroad. The Handbook offers graduate and postgraduate students, postgraduate researchers, academics and other </w:t>
      </w:r>
    </w:p>
    <w:p>
      <w:pPr/>
      <w:r>
        <w:rPr>
          <w:b/>
        </w:rPr>
        <w:t>POSSIBLE 2025:</w:t>
      </w:r>
      <w:r>
        <w:t xml:space="preserve"> Chapter Methodological challenges in European penology — https://openalex.org/W7162922291</w:t>
      </w:r>
    </w:p>
    <w:p>
      <w:pPr/>
      <w:r>
        <w:rPr>
          <w:b/>
        </w:rPr>
        <w:t>Shared claim-specific concepts:</w:t>
      </w:r>
      <w:r>
        <w:t xml:space="preserve"> also, issues, challenges, three, union, different; EU scope visible. This is a provisional connection, not an outcome finding.</w:t>
      </w:r>
    </w:p>
    <w:p>
      <w:pPr>
        <w:pStyle w:val="SourceNote"/>
      </w:pPr>
      <w:r>
        <w:rPr>
          <w:b/>
        </w:rPr>
        <w:t>Available abstract (not full text):</w:t>
      </w:r>
      <w:r>
        <w:t xml:space="preserve"> European penology, the multidisciplinary scientific study of punishment carried out on the European continent, is booming. This Handbook aims to offer an overview of the current state of the art and cutting-edge penological research in Europe, covering all the regions (north, south, east, west) and Europe’s institutional organisations – the Council of Europe and the European Union – including research that may hitherto not have been published in English. The Handbook also reflects on whether there is anything distinctive or typically (not necessarily exclusively) European in the ways penology is applied in Europe. This challenge is taken up by a team of 5 editors and 60 authors from 21 different countries, reflecting a balance of gender, early and promising career, and established researchers. After the editors’ Introduction, the book is organised into three parts: Part I: European Penology – Scientific Developments discusses theoretical and methodological developments and important issues within comparative penology. Part II: European Penality – Developments in Penal Practices focuses on transversal European developments, particular groups of offenders and specific forms of punishment. Part III offers a reflection on penal policies and practices in Europe as seen from abroad. The Handbook offers graduate and postgraduate students, postgraduate researchers, academics and other </w:t>
      </w:r>
    </w:p>
    <w:p>
      <w:pPr/>
      <w:r>
        <w:rPr>
          <w:b/>
        </w:rPr>
        <w:t>POSSIBLE 2025:</w:t>
      </w:r>
      <w:r>
        <w:t xml:space="preserve"> Changes in the thermal stress across Europe between 1940–2023 — https://doi.org/10.1007/s00484-025-03043-x</w:t>
      </w:r>
    </w:p>
    <w:p>
      <w:pPr/>
      <w:r>
        <w:rPr>
          <w:b/>
        </w:rPr>
        <w:t>Shared claim-specific concepts:</w:t>
      </w:r>
      <w:r>
        <w:t xml:space="preserve"> also, reveal, climate; EU scope visible. This is a provisional connection, not an outcome finding.</w:t>
      </w:r>
    </w:p>
    <w:p>
      <w:pPr>
        <w:pStyle w:val="SourceNote"/>
      </w:pPr>
      <w:r>
        <w:rPr>
          <w:b/>
        </w:rPr>
        <w:t>Available abstract (not full text):</w:t>
      </w:r>
      <w:r>
        <w:t xml:space="preserve"> Long-term changes (1940-2023) in thermal stress and its drivers in Europe were investigated based on the Universal Thermal Climate Index (UTCI) extracted from the ERA5-HEAT reanalysis. Furthermore, a vulnerability index was introduced to assess the impact of thermal stress. The results reveal a rapid continental shift in thermal stress toward milder conditions. Although cold stress is declining fastest in northern regions (more than 4 hours·decade[Formula: see text]), heat stress is intensifying across southern Europe (more than 3 hours·decade[Formula: see text]). Such changes are driven by an increase in 2 m air temperature (between 0.2 up to 0.6[Formula: see text]C·decade[Formula: see text]) and mean radiant temperature, particularly over northern and central Europe, and by changes also in relative humidity and wind speed. One of the key findings of this study is the decline in wind speed in specific areas of central and eastern Europe, leading to an increase in UTCI. Monthly analyzes show that winters warm the fastest (e.g., January cold stress decreases by 1.93%·decade[Formula: see text]), while summer heat stress peaks in July (0.27%·decade[Formula: see text]). In particular, the late spring months (e.g., May) also exhibit a positive trend, contributing to an extended warm season in Europe. Although European UTCI trends generally show a migration of thermal stress categori</w:t>
      </w:r>
    </w:p>
    <w:p>
      <w:pPr>
        <w:pStyle w:val="Heading2"/>
      </w:pPr>
      <w:r>
        <w:t>522. Emerging smart city, transport and energy trends in urban settings: Results of a pan-European foresight exercise with 120 experts</w:t>
      </w:r>
    </w:p>
    <w:p>
      <w:pPr>
        <w:pStyle w:val="SourceNote"/>
      </w:pPr>
      <w:r>
        <w:rPr>
          <w:b/>
        </w:rPr>
        <w:t>Original source (2022):</w:t>
      </w:r>
      <w:r>
        <w:t xml:space="preserve"> https://doi.org/10.1016/j.techfore.2022.121915</w:t>
      </w:r>
    </w:p>
    <w:p>
      <w:pPr/>
      <w:r>
        <w:t>Original wording (abstract; indexed_source_text_not_full_document_verified): In this work, we explore how the domains of smart cities, smart transport, and smart energy will evolve until 2030 from a scientific and technological perspective, as a means to inform future policies for urban development in Europe. According to our empirical findings, there will be several speedy and structural changes in the three domains: we were able to identify a set of 18 statements that are highly probable to become reality in the next decade, whereas 17 statements were classified as plausible but not highly probable, and three statements raised controversiality.</w:t>
      </w:r>
    </w:p>
    <w:p>
      <w:pPr/>
      <w:r>
        <w:rPr>
          <w:b/>
        </w:rPr>
        <w:t>POSSIBLE 2026:</w:t>
      </w:r>
      <w:r>
        <w:t xml:space="preserve"> Diversity management in European companies: intersectionality and individual experiences of bias at work — https://doi.org/10.4337/9781035361243.00012</w:t>
      </w:r>
    </w:p>
    <w:p>
      <w:pPr/>
      <w:r>
        <w:rPr>
          <w:b/>
        </w:rPr>
        <w:t>Shared claim-specific concepts:</w:t>
      </w:r>
      <w:r>
        <w:t xml:space="preserve"> work, domains, findings, structural; EU scope visible. This is a provisional connection, not an outcome finding.</w:t>
      </w:r>
    </w:p>
    <w:p>
      <w:pPr>
        <w:pStyle w:val="SourceNote"/>
      </w:pPr>
      <w:r>
        <w:rPr>
          <w:b/>
        </w:rPr>
        <w:t>Available abstract (not full text):</w:t>
      </w:r>
      <w:r>
        <w:t xml:space="preserve"> This chapter explores diversity management viewed by working individuals with diverse identities, depicting how identity shapes work experiences in European companies, predominantly small- and medium-sized enterprises (SMEs). Drawing on Intersectionality as a theoretical and analytical lens, we analyse survey data from Austria, Finland, Germany, and Lithuania to examine how diverse individuals experience fairness and opportunities in human resource management domains, such as recruitment, inclusion at work, career advancement, access to training, promotions, and workplace adjustments. Our findings show that more complex profiles are not automatically associated with the most extreme levels of bias in every domain, while some less-complex profiles can still experience intense discrimination. We also identify some structural challenges to be addressed in European SMEs. Blending personal narratives and structural patterns, this chapter expands the approach to intersectionality research and provides managerial guidance on reducing bias at work and manage emerging demographic trends in Europe more effectively.</w:t>
      </w:r>
    </w:p>
    <w:p>
      <w:pPr/>
      <w:r>
        <w:rPr>
          <w:b/>
        </w:rPr>
        <w:t>POSSIBLE 2026:</w:t>
      </w:r>
      <w:r>
        <w:t xml:space="preserve"> Fostering energy transition and transport fluidity in European port cities — https://doi.org/10.4324/9781003639589-3</w:t>
      </w:r>
    </w:p>
    <w:p>
      <w:pPr/>
      <w:r>
        <w:rPr>
          <w:b/>
        </w:rPr>
        <w:t>Shared claim-specific concepts:</w:t>
      </w:r>
      <w:r>
        <w:t xml:space="preserve"> domains, cities, transport, energy, several; EU scope visible. This is a provisional connection, not an outcome finding.</w:t>
      </w:r>
    </w:p>
    <w:p>
      <w:pPr>
        <w:pStyle w:val="SourceNote"/>
      </w:pPr>
      <w:r>
        <w:rPr>
          <w:b/>
        </w:rPr>
        <w:t>Available abstract (not full text):</w:t>
      </w:r>
      <w:r>
        <w:t xml:space="preserve"> Europe as a whole is often regarded as a frontrunner in the domain of port-city sustainability, thanks to a wide set of international, national, and local initiatives. This chapter is a review of local initiatives that are either individual (single port city) or collective (partnerships among several port cities), in the domains of energy transition and transport fluidity. We find that individual initiatives concentrate in northern Europe, in the largest ports, and at a few southern ones like Valencia or Marseille. Conversely, collective actions are more concentrated in the south, including mostly small and medium-sized port cities, through projects financed by the European Commission. Besides, we show that port-urban congestion and https://www.w3.org/1998/Math/MathML" display="inline"&gt; PM 2 . 5 pollution concentrate in the demographically and logistically largest port cities, which also dominate container throughput rankings and have the highest number of initiatives. We discuss the imperatives of ensuring a better regional balance across the continent and its port-city hierarchy.</w:t>
      </w:r>
    </w:p>
    <w:p>
      <w:pPr/>
      <w:r>
        <w:rPr>
          <w:b/>
        </w:rPr>
        <w:t>POSSIBLE 2026:</w:t>
      </w:r>
      <w:r>
        <w:t xml:space="preserve"> Transport (in)justice and the city: a relational analysis of transport in India — https://doi.org/10.1007/s11116-026-10815-w</w:t>
      </w:r>
    </w:p>
    <w:p>
      <w:pPr/>
      <w:r>
        <w:rPr>
          <w:b/>
        </w:rPr>
        <w:t>Shared claim-specific concepts:</w:t>
      </w:r>
      <w:r>
        <w:t xml:space="preserve"> work, cities, transport, perspective, empirical, findings; EU scope not established. This is a provisional connection, not an outcome finding.</w:t>
      </w:r>
    </w:p>
    <w:p>
      <w:pPr>
        <w:pStyle w:val="SourceNote"/>
      </w:pPr>
      <w:r>
        <w:rPr>
          <w:b/>
        </w:rPr>
        <w:t>Available abstract (not full text):</w:t>
      </w:r>
      <w:r>
        <w:t xml:space="preserve"> Abstract Most research on transport and equity has conceptualised justice primarily in distributive terms, focusing on how transport-related benefits and burdens are allocated across social groups. Drawing on Relational Egalitarianism, a recent strand in political philosophy, Piazza and Martens (Transp Rev 46:131–150, 2026) argue for broadening this perspective by incorporating a relational understanding of justice in transport domain. Building on the work of Elizabeth Anderson, they distinguish three core dimensions of relational inequality: hierarchies of power, standing, and esteem. This paper adopts this framework to examine how such hierarchies are produced and reproduced within the transport systems of medium-sized Indian cities. The analysis is based on extensive fieldwork undertaken in Siliguri, a historic railway town in eastern India. The empirical material comprises interviews with three groups: 11 institutional stakeholders, experts, and decision-makers; 400 households living in slums across the city; and 391 shop owners operating in neighbourhoods surrounding railway stations, whose livelihoods are directly shaped by decisions taken by transport authorities. The findings reveal the presence of all three relational hierarchies. Transport decision-making is dominated by elite actors and guided primarily by political priorities, while meaningful public engagement rema</w:t>
      </w:r>
    </w:p>
    <w:p>
      <w:pPr/>
      <w:r>
        <w:rPr>
          <w:b/>
        </w:rPr>
        <w:t>POSSIBLE 2026:</w:t>
      </w:r>
      <w:r>
        <w:t xml:space="preserve"> Link-based European road transport emissions for CAMS-REG v8.1 and a comparison to city inventories — https://doi.org/10.5194/essd-18-3959-2026</w:t>
      </w:r>
    </w:p>
    <w:p>
      <w:pPr/>
      <w:r>
        <w:rPr>
          <w:b/>
        </w:rPr>
        <w:t>Shared claim-specific concepts:</w:t>
      </w:r>
      <w:r>
        <w:t xml:space="preserve"> cities, transport, urban, several; EU scope visible. This is a provisional connection, not an outcome finding.</w:t>
      </w:r>
    </w:p>
    <w:p>
      <w:pPr>
        <w:pStyle w:val="SourceNote"/>
      </w:pPr>
      <w:r>
        <w:rPr>
          <w:b/>
        </w:rPr>
        <w:t>Available abstract (not full text):</w:t>
      </w:r>
      <w:r>
        <w:t xml:space="preserve"> Abstract. Spatially resolved estimates of road transport emissions are fundamental for tackling challenges of air pollution and greenhouse gas emissions. Emission estimates at 0.05° x 0.1° resolution are provided in the widely used CAMS-REG regional European emissions inventory. For the road transport sector, several improvement opportunities were identified: Firstly (1) an underestimation of ca. 35 % of NOx emissions in comparison to 8 independent urban inventories; secondly (2), artefacts in the spatial distribution in Eastern European non-EU countries; thirdly (3), the necessity of labour-intense downscaling methodologies to create high-resolution urban inventories from the fixed resolution dataset. To overcome these, emissions for all road links in the domain (n=59,710,490) were estimated using gap-filled activity data (AADT) from OpenStreetMap and OpenTransportMap. Gap filling was performed with random forest models trained on land-use and road information data. Model performance was R2: 0.63–0.74 and MAE(AADT): 1570–2028, with better performance for larger roads. Up-to-date emission factors were applied on road links using a novel maximum-speed–based classification. To generate the CAMS-REG v8.1 inventory, the resulting spatial distribution was used as a proxy map, together with national totals. The new dataset lowered the difference-to-city inventories to 19 % for absolu</w:t>
      </w:r>
    </w:p>
    <w:p>
      <w:pPr/>
      <w:r>
        <w:rPr>
          <w:b/>
        </w:rPr>
        <w:t>POSSIBLE 2026:</w:t>
      </w:r>
      <w:r>
        <w:t xml:space="preserve"> Exploring Sustainability Outcomes of Agricultural Digitalisation in European Living Labs — https://doi.org/10.1007/978-3-032-33157-1_13</w:t>
      </w:r>
    </w:p>
    <w:p>
      <w:pPr/>
      <w:r>
        <w:rPr>
          <w:b/>
        </w:rPr>
        <w:t>Shared claim-specific concepts:</w:t>
      </w:r>
      <w:r>
        <w:t xml:space="preserve"> explore, domains, there; EU scope visible. This is a provisional connection, not an outcome finding.</w:t>
      </w:r>
    </w:p>
    <w:p>
      <w:pPr>
        <w:pStyle w:val="SourceNote"/>
      </w:pPr>
      <w:r>
        <w:rPr>
          <w:b/>
        </w:rPr>
        <w:t>Available abstract (not full text):</w:t>
      </w:r>
      <w:r>
        <w:t xml:space="preserve"> Agricultural digitalisation influences environmental, economic, and social domains, and generates system-wide effects that are unknown, unintended and complex. There is a need to study outcomes of digitalisation to steer agrifood systems towards long-term sustainability goals. The main aim of this chapter is to explore outcomes of agricultural digitalisation across economic, social, and environmental domains, and interpret them through the multi system-level lens of the CODECS conceptual framework. This framework provides an entryway to systematically address the costs and benefits of digitalisation. With data collected through participatory stakeholder workshops in European living labs, we link environmental, economic and social outcomes of digitalisation to different system-levels. We explore what insights emerge from linking contexts, domains, and system-levels to understand risks and opportunities of agricultural digitalisation. This approach can make visible the indirect, unintended, and long-term effects of digitalisation. Moreover, it demonstrates digitalisation as iterative process that reshapes environmental, economic, and social domains and feeds back into the trajectory of digitalisation itself. Finally, we highlight the value of contextual variability in policymaking for responsible digitalisation to ensure designing pathways that are technologically innovative, soc</w:t>
      </w:r>
    </w:p>
    <w:p>
      <w:pPr/>
      <w:r>
        <w:rPr>
          <w:b/>
        </w:rPr>
        <w:t>POSSIBLE 2026:</w:t>
      </w:r>
      <w:r>
        <w:t xml:space="preserve"> Avoiding renovictions in European cities — https://openalex.org/W7171904389</w:t>
      </w:r>
    </w:p>
    <w:p>
      <w:pPr/>
      <w:r>
        <w:rPr>
          <w:b/>
        </w:rPr>
        <w:t>Shared claim-specific concepts:</w:t>
      </w:r>
      <w:r>
        <w:t xml:space="preserve"> cities, scientific, policies, urban; EU scope visible. This is a provisional connection, not an outcome finding.</w:t>
      </w:r>
    </w:p>
    <w:p>
      <w:pPr>
        <w:pStyle w:val="SourceNote"/>
      </w:pPr>
      <w:r>
        <w:rPr>
          <w:b/>
        </w:rPr>
        <w:t>Available abstract (not full text):</w:t>
      </w:r>
      <w:r>
        <w:t xml:space="preserve"> Europe faces a dual challenge: the climate crisis and a persistent housing crisis, both of which converge in the urgent need to renovate aging urban housing stock. While energy-efficient renovations are essential to meet EU carbon neutrality targets by 2050, they risk triggering “renovictions”, the displacement of vulnerable residents due to rising rents and property values. This policy study shows how these renovictions can be avoided. We summarise scientific literature and survey best practices and cautionary tales from three cities across Europe: Amsterdam, Athens, and Paris. These are three large capitals, with historic centres protected by heritage status, and facing the pressure of (over)tourism. We recommend that tenants should not pay for renovations, and identify alternative sources of funding for different types of housing. The overall principle is that any money entering the housing sector should remain in the housing sector. Our recommendations are intended for policymakers at the local and European level. Local administrations should learn from each other, replicating successful policies like one-stop-shops to accompany renovations. The EU should use the policy levers that it already has to coordinate and facilitate policies at local level, namely by simplifying existing funding options or setting up publicly backed loan guarantees.Incremental, locally adapted poli</w:t>
      </w:r>
    </w:p>
    <w:p>
      <w:pPr/>
      <w:r>
        <w:rPr>
          <w:b/>
        </w:rPr>
        <w:t>POSSIBLE 2025:</w:t>
      </w:r>
      <w:r>
        <w:t xml:space="preserve"> R-AI-diographers: exploring the changing professional role and identity of radiographers in Europe in the era of artificial intelligence — https://doi.org/10.1016/j.rcro.2024.100176</w:t>
      </w:r>
    </w:p>
    <w:p>
      <w:pPr/>
      <w:r>
        <w:rPr>
          <w:b/>
        </w:rPr>
        <w:t>Shared claim-specific concepts:</w:t>
      </w:r>
      <w:r>
        <w:t xml:space="preserve"> work, domains, technological; EU scope visible. This is a provisional connection, not an outcome finding.</w:t>
      </w:r>
    </w:p>
    <w:p>
      <w:pPr>
        <w:pStyle w:val="SourceNote"/>
      </w:pPr>
      <w:r>
        <w:rPr>
          <w:b/>
        </w:rPr>
        <w:t>Available abstract (not full text):</w:t>
      </w:r>
      <w:r>
        <w:t xml:space="preserve"> Purpose: This study offers unique insights into the changing roles and identity of radiographers in the era of artificial intelligence (AI) and proposes ways by which to better support the workforce in the face of fast technological changes. Methods: A European-wide, cross-sectional study utilising a mixed methods online survey. Survey was translated from English into eight additional European languages. Snowball sampling allowed qualified radiographers, and radiography students, to answer the survey irrespective of their current professional role. The survey explored the following areas of interest: a) general radiographer demographics, b) how radiographers foresee the short-term impact of AI on radiographer roles, responsibilities and professional identity, c) the potential medium-to-long-term impact of AI on radiographer roles, d) perceived opportunities and threats of AI implementation for radiographers and e) the preparedness of radiographers to work with AI. Questions also captured radiographer opinions across three domains of radiographer responsibilities: patient care, technological skills and ‘other’ responsibilities. Results: A total of 2,208 valid responses from 37 different European and UK countries. 40.4% of radiographers disagree they will focus mainly on patient care with the implementation of AI but 47.8% agree they will have more time to spend with patients. 77</w:t>
      </w:r>
    </w:p>
    <w:p>
      <w:pPr/>
      <w:r>
        <w:rPr>
          <w:b/>
        </w:rPr>
        <w:t>POSSIBLE 2025:</w:t>
      </w:r>
      <w:r>
        <w:t xml:space="preserve"> Exploring a high-level programming model for the NWP domain using ECMWF microphysics schemes — https://doi.org/10.5194/gmd-18-529-2025</w:t>
      </w:r>
    </w:p>
    <w:p>
      <w:pPr/>
      <w:r>
        <w:rPr>
          <w:b/>
        </w:rPr>
        <w:t>Shared claim-specific concepts:</w:t>
      </w:r>
      <w:r>
        <w:t xml:space="preserve"> work, explore, scientific; EU scope visible. This is a provisional connection, not an outcome finding.</w:t>
      </w:r>
    </w:p>
    <w:p>
      <w:pPr>
        <w:pStyle w:val="SourceNote"/>
      </w:pPr>
      <w:r>
        <w:rPr>
          <w:b/>
        </w:rPr>
        <w:t>Available abstract (not full text):</w:t>
      </w:r>
      <w:r>
        <w:t xml:space="preserve"> Abstract. We explore the domain-specific Python library GT4Py (GridTools for Python) for implementing a representative physical parametrization scheme and the related tangent-linear and adjoint algorithms from the Integrated Forecasting System (IFS) of ECMWF. GT4Py encodes stencil operators in an abstract and hardware-agnostic fashion, thus enabling more concise, readable and maintainable scientific applications. The library achieves high performance by translating the application into targeted low-level coding implementations. Here, the main goal is to study the correctness and performance-portability of the Python rewrites with GT4Py against the reference Fortran code and a number of automatically and manually ported variants created by ECMWF. The present work is part of a larger cross-institutional effort to port weather and climate models to Python with GT4Py. The focus of the current work is the IFS prognostic cloud microphysics scheme, a core physical parametrization represented by a comprehensive code that takes a significant share of the total forecast model execution time. In order to verify GT4Py for Numerical Weather Prediction (NWP) systems, we put additional emphasis on the implementation and validation of the tangent-linear and adjoint model versions which are employed in data assimilation. We benchmark all prototype codes on three European supercomputers characte</w:t>
      </w:r>
    </w:p>
    <w:p>
      <w:pPr/>
      <w:r>
        <w:rPr>
          <w:b/>
        </w:rPr>
        <w:t>POSSIBLE 2025:</w:t>
      </w:r>
      <w:r>
        <w:t xml:space="preserve"> Exploring the Cultural Domain of Hausa Colour Terms — https://doi.org/10.51732/njssh.v10i2.203</w:t>
      </w:r>
    </w:p>
    <w:p>
      <w:pPr/>
      <w:r>
        <w:rPr>
          <w:b/>
        </w:rPr>
        <w:t>Shared claim-specific concepts:</w:t>
      </w:r>
      <w:r>
        <w:t xml:space="preserve"> according, findings, there; EU scope not established. This is a provisional connection, not an outcome finding.</w:t>
      </w:r>
    </w:p>
    <w:p>
      <w:pPr>
        <w:pStyle w:val="SourceNote"/>
      </w:pPr>
      <w:r>
        <w:rPr>
          <w:b/>
        </w:rPr>
        <w:t>Available abstract (not full text):</w:t>
      </w:r>
      <w:r>
        <w:t xml:space="preserve"> The study of colour terms has been an interesting phenomenon in linguistics. The power ofcolour terms to name and classify things, animals and persons in purely traditional way cannotbe over emphasized across cultures. Of course, there are universal tendencies on the nature ofcolour naming across languages but such universality does not apply to the socio-cultural aspectof all societies. This was supported by Durbin (1971), Casson (1994, 1997), Downman 92003),Bature (2005), Danladi (2010) and Aujara (2021) who believed that the size of colour vocabularyis certainly a measure of its cultural complexity, the smaller the vocabulary, the simpler thesociety. Hence, this paper examines the socio-cultural domain of colours terms in Hausasocieties. Hausa is a member of Afro- Asiatic family and is estimated to have about 1 billion L1users according to ethnologue .com. Purposeful Random Sampling and survey method wereused and 160 research subjects were selected from the speakers of Hausa language in Sokotostate to source data for the study. The findings, from 154 respondents, reveal that colour is verysignificant to Hausa culture as it cut across every aspect of socio-cultural, economic, political andreligious angles of a typical Hausa social group. It names and classifies traditional cloths anddomestic animals on one hand and describes/classifies people or race on the other. The paperal</w:t>
      </w:r>
    </w:p>
    <w:p>
      <w:pPr/>
      <w:r>
        <w:rPr>
          <w:b/>
        </w:rPr>
        <w:t>POSSIBLE 2025:</w:t>
      </w:r>
      <w:r>
        <w:t xml:space="preserve"> The Circular Economy in Cities and Regions of the European Union — https://doi.org/10.1787/e09c21e2-en</w:t>
      </w:r>
    </w:p>
    <w:p>
      <w:pPr/>
      <w:r>
        <w:rPr>
          <w:b/>
        </w:rPr>
        <w:t>Shared claim-specific concepts:</w:t>
      </w:r>
      <w:r>
        <w:t xml:space="preserve"> cities, policies; EU scope visible. This is a provisional connection, not an outcome finding.</w:t>
      </w:r>
    </w:p>
    <w:p>
      <w:pPr>
        <w:pStyle w:val="SourceNote"/>
      </w:pPr>
      <w:r>
        <w:rPr>
          <w:b/>
        </w:rPr>
        <w:t>Available abstract (not full text):</w:t>
      </w:r>
      <w:r>
        <w:t xml:space="preserve"> The transition to a circular economy is critical for achieving sustainable development, resource efficiency, and building a resilient future for all. Over the past decade, the European Union (EU) has demonstrated an unprecedented commitment to advancing a circular economy, advocating for action at national, regional and local level. However, most economies remain predominantly linear. This report provides a comprehensive analysis of circular economy practices, challenges, and opportunities in cities and regions, building on a survey of 64 cities and regions of the EU, lessons learned from 10 place-based policy dialogues in specific cities and regions, and desk research. The report concludes with policy recommendations to accelerate a territorial approach to the circular economy for place-based policies that are aligned with EU-wide goals.</w:t>
      </w:r>
    </w:p>
    <w:p>
      <w:pPr/>
      <w:r>
        <w:rPr>
          <w:b/>
        </w:rPr>
        <w:t>POSSIBLE 2025:</w:t>
      </w:r>
      <w:r>
        <w:t xml:space="preserve"> Work-Domain Goal Orientation: A Theoretical Framework for the Construct and Turkish Adaptation of a Work-Domain Goal Orientation Instrument — https://doi.org/10.3390/educsci15010067</w:t>
      </w:r>
    </w:p>
    <w:p>
      <w:pPr/>
      <w:r>
        <w:rPr>
          <w:b/>
        </w:rPr>
        <w:t>Shared claim-specific concepts:</w:t>
      </w:r>
      <w:r>
        <w:t xml:space="preserve"> work, perspective, findings; EU scope not established. This is a provisional connection, not an outcome finding.</w:t>
      </w:r>
    </w:p>
    <w:p>
      <w:pPr>
        <w:pStyle w:val="SourceNote"/>
      </w:pPr>
      <w:r>
        <w:rPr>
          <w:b/>
        </w:rPr>
        <w:t>Available abstract (not full text):</w:t>
      </w:r>
      <w:r>
        <w:t xml:space="preserve"> This study brings a novel perspective to the relationship between higher education and work life by examining work-domain goal orientation as a critical factor in preparing students for professional environments. Through an extensive literature review, it highlights the role of work-domain goal orientation in aligning higher education curricula with the demands of the modern workplace, emphasizing how students’ goal orientation influences their future professional success. Additionally, this study adapts and validates a work-domain goal orientation instrument into Turkish, offering a reliable tool for use in Turkish contexts. A sample of 729 undergraduate students from various academic disciplines participated in the study. Exploratory and confirmatory factor analyses confirmed a three-factor structure (learning, proving, avoiding), accounting for 68.4% of the variance. The internal consistency was reliable, with Cronbach’s alpha values ranging from 0.84 to 0.86 across subscales. The study provides a dual contribution by offering theoretical insights into work-domain goal orientation and delivering a psychometrically validated tool for assessing students’ readiness for professional life in a non-Western context. These findings address gaps in the literature on goal orientation and its application in diverse cultural settings, advancing both academic understanding and practical </w:t>
      </w:r>
    </w:p>
    <w:p>
      <w:pPr/>
      <w:r>
        <w:rPr>
          <w:b/>
        </w:rPr>
        <w:t>POSSIBLE 2025:</w:t>
      </w:r>
      <w:r>
        <w:t xml:space="preserve"> Defining the Optimal Characteristics of Autonomous Vehicles for Public Passenger Transport in European Cities with Constrained Urban Spaces — https://doi.org/10.3390/vehicles7040125</w:t>
      </w:r>
    </w:p>
    <w:p>
      <w:pPr/>
      <w:r>
        <w:rPr>
          <w:b/>
        </w:rPr>
        <w:t>Shared claim-specific concepts:</w:t>
      </w:r>
      <w:r>
        <w:t xml:space="preserve"> cities, transport, energy, urban, empirical, findings; EU scope visible. This is a provisional connection, not an outcome finding.</w:t>
      </w:r>
    </w:p>
    <w:p>
      <w:pPr>
        <w:pStyle w:val="SourceNote"/>
      </w:pPr>
      <w:r>
        <w:rPr>
          <w:b/>
        </w:rPr>
        <w:t>Available abstract (not full text):</w:t>
      </w:r>
      <w:r>
        <w:t xml:space="preserve"> This research addresses the complex challenge of integrating modern public transport into historic medieval city centers. These unique urban environments are characterized by narrow streets, protected heritage status, and topographical constraints, which are incompatible with conventional transit vehicles. The introduction of standard bus routes often aggravates traffic congestion and fails to meet the specific mobility needs of residents and visitors. This paper suggests that autonomous electric buses represent a viable and sustainable solution, capable of navigating these constrained environments while aligning with modern energy efficiency goals. The central challenge lies in the optimal selection of an autonomous electric bus that can operate safely and efficiently within the tight streets of historic city centers while satisfying the travel demands of passengers. To address this, a comprehensive study was conducted, analyzing resident mobility patterns—including key routes and hourly passenger loads—and the specific geometric constraints of the road network. Based on this empirical data, a vehicle dynamics model was developed in Matlab®. This model simulates various operational scenarios by calculating the instantaneous forces (rolling resistance, aerodynamic drag, inertial forces) and the corresponding power required for different electric bus configurations to follow pre</w:t>
      </w:r>
    </w:p>
    <w:p>
      <w:pPr>
        <w:pStyle w:val="Heading2"/>
      </w:pPr>
      <w:r>
        <w:t>523. Enabling forecasts of environmental exposure to chemicals in European agriculture under global change</w:t>
      </w:r>
    </w:p>
    <w:p>
      <w:pPr>
        <w:pStyle w:val="SourceNote"/>
      </w:pPr>
      <w:r>
        <w:rPr>
          <w:b/>
        </w:rPr>
        <w:t>Original source (2022):</w:t>
      </w:r>
      <w:r>
        <w:t xml:space="preserve"> https://doi.org/10.1016/j.scitotenv.2022.156478</w:t>
      </w:r>
    </w:p>
    <w:p>
      <w:pPr/>
      <w:r>
        <w:t>Original wording (abstract; indexed_source_text_not_full_document_verified): We discuss current knowledge in these three areas, the impact global change drivers may have on them, and we identify knowledge and data gaps that must be overcome to enable predictive scenario-based forecasts of environmental exposure under global change. The type and quantity of chemicals used, emitted, and cycled through agricultural systems in Europe will change, driven by shifts in the use patterns of pesticides, veterinary pharmaceuticals, reclaimed wastewater used for irrigation, and biosolids.</w:t>
      </w:r>
    </w:p>
    <w:p>
      <w:pPr/>
      <w:r>
        <w:rPr>
          <w:b/>
        </w:rPr>
        <w:t>POSSIBLE 2026:</w:t>
      </w:r>
      <w:r>
        <w:t xml:space="preserve"> Unveiling the environmental impact of earthquakes in Europe — https://doi.org/10.1038/s41467-025-68120-6</w:t>
      </w:r>
    </w:p>
    <w:p>
      <w:pPr/>
      <w:r>
        <w:rPr>
          <w:b/>
        </w:rPr>
        <w:t>Shared claim-specific concepts:</w:t>
      </w:r>
      <w:r>
        <w:t xml:space="preserve"> data, environmental; EU scope visible. This is a provisional connection, not an outcome finding.</w:t>
      </w:r>
    </w:p>
    <w:p>
      <w:pPr>
        <w:pStyle w:val="SourceNote"/>
      </w:pPr>
      <w:r>
        <w:rPr>
          <w:b/>
        </w:rPr>
        <w:t>Available abstract (not full text):</w:t>
      </w:r>
      <w:r>
        <w:t xml:space="preserve"> Abstract Environmental impact assessments in the construction sector often overlook the significant effects of natural hazards, in particular earthquakes. These destructive events pose severe sustainability challenges as they frequently require large-scale repairs and replacement for damaged buildings, demanding the production and use of substantial quantities of building materials. Here, we unveil the environmental toll of earthquakes in Europe, presenting essential environmental data on the continent’s building stock. We further generate novel seismic risk maps that quantify the embodied carbon resulting from seismic-damage repair and reconstruction of residential, commercial, and industrial buildings, considering all plausible earthquake scenarios across the region. To this end, we first develop a comprehensive database of material quantities and embodied carbon factors for a broad range of construction materials and building components. This database serves as a crucial input for a continent-wide probabilistic seismic risk model, which estimates the potential environmental impacts of future earthquakes by analysing over 3 million realistic damage scenarios, each with its own probability of occurrence. Our findings reveal that Europe’s earthquake-exposed building stock embodies nearly 13.4 billion tons of carbon dioxide equivalent (CO2e), with seismic damage alone generating</w:t>
      </w:r>
    </w:p>
    <w:p>
      <w:pPr/>
      <w:r>
        <w:rPr>
          <w:b/>
        </w:rPr>
        <w:t>POSSIBLE 2026:</w:t>
      </w:r>
      <w:r>
        <w:t xml:space="preserve"> Evolution of Equality as a Constitutional Principle in Romania: European Union Membership Impacts and Current Challenges — https://doi.org/10.62733/2026.1.9-31</w:t>
      </w:r>
    </w:p>
    <w:p>
      <w:pPr/>
      <w:r>
        <w:rPr>
          <w:b/>
        </w:rPr>
        <w:t>Shared claim-specific concepts:</w:t>
      </w:r>
      <w:r>
        <w:t xml:space="preserve"> discuss, current, areas; EU scope visible. This is a provisional connection, not an outcome finding.</w:t>
      </w:r>
    </w:p>
    <w:p>
      <w:pPr>
        <w:pStyle w:val="SourceNote"/>
      </w:pPr>
      <w:r>
        <w:rPr>
          <w:b/>
        </w:rPr>
        <w:t>Available abstract (not full text):</w:t>
      </w:r>
      <w:r>
        <w:t xml:space="preserve"> This study examines the evolution of equality as a constitutional principle in Romania, focusing on the transformative impact of European Union (EU) membership within the broader context of human rights regulations in Europe. It provides an overview of how equality has been understood within Romanian constitutional law, emphasising foundational principles and interpretations made by the Constitutional Court with the incorporation of European catalogues of human rights. From this perspective, the research highlights how the court has addressed complex issues such as gender equality, minority rights, and anti-discrimination protections in sensitive areas. These include political and social rights, education, and even review of the constitutional identity, all while balancing EU mandates with national legal traditions and social contexts. The aim is to evaluate the Constitutional Court’s role in incorporating international standards in constitutional review and discuss the ongoing challenges of harmonising human rights protection standards within the EU.</w:t>
      </w:r>
    </w:p>
    <w:p>
      <w:pPr/>
      <w:r>
        <w:rPr>
          <w:b/>
        </w:rPr>
        <w:t>POSSIBLE 2026:</w:t>
      </w:r>
      <w:r>
        <w:t xml:space="preserve"> Marine Protected Areas for Europe (MPA Europe) — https://doi.org/10.3897/rio.12.e218514</w:t>
      </w:r>
    </w:p>
    <w:p>
      <w:pPr/>
      <w:r>
        <w:rPr>
          <w:b/>
        </w:rPr>
        <w:t>Shared claim-specific concepts:</w:t>
      </w:r>
      <w:r>
        <w:t xml:space="preserve"> current, areas, data, enable, environmental; EU scope visible. This is a provisional connection, not an outcome finding.</w:t>
      </w:r>
    </w:p>
    <w:p>
      <w:pPr>
        <w:pStyle w:val="SourceNote"/>
      </w:pPr>
      <w:r>
        <w:rPr>
          <w:b/>
        </w:rPr>
        <w:t>Available abstract (not full text):</w:t>
      </w:r>
      <w:r>
        <w:t xml:space="preserve"> The MPA Europe project will map the optimal locations for Marine Protected Areas (MPA) in European seas using measures covering the range of biodiversity from species to ecosystems, including habitats. The contribution of these measures to carbon storage will be quantified and mapped. The top 10% and 30% of the area that includes most species, habitats, and ecosystems, and maximises blue carbon benefits, will be prioritised as an MPA network. The geographic scope is the Atlantic Exclusive Economic Zones of the EU and its neighbours, and all of the Mediterranean, Baltic and Black Seas. Feedback from Marine Spatial Planning (MSP) stakeholders in the regional seas on the proposed MPA network and methodology will be reported. A first data-driven classification of ecosystems in European seas will use environmental data from Copernicus and EMODnet.Environmental niche models will map thousands of species, including habitat-forming species, ranges and contribute to existing seabed habitat maps in EMODnet. Analyses of spatial relationships between biodiversity measures and evidence of carbon storage will support the prioritisation analyses. Parallel modelling of current connectivity and the velocity of climate change will map connectivity within the proposed MPA network and how it will accommodate species distribution shifts due to anthropogenic climate change. All data and maps will be</w:t>
      </w:r>
    </w:p>
    <w:p>
      <w:pPr/>
      <w:r>
        <w:rPr>
          <w:b/>
        </w:rPr>
        <w:t>POSSIBLE 2026:</w:t>
      </w:r>
      <w:r>
        <w:t xml:space="preserve"> Mapping the landscape of mycological organizations in europe: where citizen science meets professional mycology — https://doi.org/10.1007/s10531-025-03219-2</w:t>
      </w:r>
    </w:p>
    <w:p>
      <w:pPr/>
      <w:r>
        <w:rPr>
          <w:b/>
        </w:rPr>
        <w:t>Shared claim-specific concepts:</w:t>
      </w:r>
      <w:r>
        <w:t xml:space="preserve"> discuss, current, knowledge, data, overcome, used; EU scope visible. This is a provisional connection, not an outcome finding.</w:t>
      </w:r>
    </w:p>
    <w:p>
      <w:pPr>
        <w:pStyle w:val="SourceNote"/>
      </w:pPr>
      <w:r>
        <w:rPr>
          <w:b/>
        </w:rPr>
        <w:t>Available abstract (not full text):</w:t>
      </w:r>
      <w:r>
        <w:t xml:space="preserve"> Abstract Fungi have been used by humans since prehistoric times. Informal structures or groups for knowledge exchange regarding mushrooms and lichens probably existed for ages. Only recently, mycological activities have been structured in formal organizations. And where until a few centuries ago there were only learned societies and naturalists’ clubs, nowadays also mycological societies and citizen scientists have joined the landscape. However, the history of mycological organizations and activities in Europe is difficult to track. Here, we initiated two surveys to characterize the current landscape of mycological organizations focused on fungal diversity across Europe and to collate citizen science activities mapping fungi. The surveys were shared on social media and sent to mycologists in 49 countries in Europe. Responses of the surveys allowed us to present the history, geographical distribution, and structure of mycological organizations in Europe as well as their types of activities, including the publication of journals and magazines, the organization of meetings and educational initiatives, and citizen science projects. In addition to the surveys, local mycologists presented expert knowledge for a more comprehensive overview. Our data show that the mycological landscape in Europe is diverse and heterogeneous. We discuss ways to overcome economic, cultural, and linguisti</w:t>
      </w:r>
    </w:p>
    <w:p>
      <w:pPr/>
      <w:r>
        <w:rPr>
          <w:b/>
        </w:rPr>
        <w:t>POSSIBLE 2025:</w:t>
      </w:r>
      <w:r>
        <w:t xml:space="preserve"> A REVIEW OF THE CURRENT KNOWLEDGE ON AMPHIBIAN CHYTRIDIOMYCOSES AND THEIR EPIDEMIOLOGY IN EASTERN EUROPE — https://doi.org/10.17930/agl2025216</w:t>
      </w:r>
    </w:p>
    <w:p>
      <w:pPr/>
      <w:r>
        <w:rPr>
          <w:b/>
        </w:rPr>
        <w:t>Shared claim-specific concepts:</w:t>
      </w:r>
      <w:r>
        <w:t xml:space="preserve"> current, knowledge, environmental; EU scope visible. This is a provisional connection, not an outcome finding.</w:t>
      </w:r>
    </w:p>
    <w:p>
      <w:pPr>
        <w:pStyle w:val="SourceNote"/>
      </w:pPr>
      <w:r>
        <w:rPr>
          <w:b/>
        </w:rPr>
        <w:t>Available abstract (not full text):</w:t>
      </w:r>
      <w:r>
        <w:t xml:space="preserve"> Amphibian chytridiomycoses are emerging fungal diseases caused by Batrachochytrium dendrobatidis (Bd) and Batrachochytrium salamandrivorans (Bsal). They pose a significant threat to amphibians worldwide, driving catastrophic species declines and extinctions with knock-on impacts on the ecosystem and human health. This review examines the expanding distribution of Bd and Bsal, with a focus on Eastern Europe. Advances in diagnostics - including histopathology, PCR, and environmental DNA detection -, including their strengths and limitations, are discussed. This review considers morphological characteristics, pathogen life cycles, mechanisms of pathogenesis, and clinical signs useful for guiding infection and disease detection. Innate and acquired host immune responses in response to Bd and Bsal infection are discussed within the context of host resistance and tolerance. Finally, potential transmission routes are explored, with a focus on the role the pet trade plays in pathogen spread, and current treatment and mitigation approaches for both wild and captive amphibians are summarised. Insights into the epidemiology of Bd and Bsal and environmental factors influencing pathogen spread and resistance can inform proactive conservation and disease management strategies essential for protecting at-risk amphibian populations.</w:t>
      </w:r>
    </w:p>
    <w:p>
      <w:pPr/>
      <w:r>
        <w:rPr>
          <w:b/>
        </w:rPr>
        <w:t>POSSIBLE 2025:</w:t>
      </w:r>
      <w:r>
        <w:t xml:space="preserve"> Current Knowledge on UTUC Epidemiology in Poland Compared to Europe — https://doi.org/10.3390/cancers18010126</w:t>
      </w:r>
    </w:p>
    <w:p>
      <w:pPr/>
      <w:r>
        <w:rPr>
          <w:b/>
        </w:rPr>
        <w:t>Shared claim-specific concepts:</w:t>
      </w:r>
      <w:r>
        <w:t xml:space="preserve"> current, knowledge, them, data; EU scope visible. This is a provisional connection, not an outcome finding.</w:t>
      </w:r>
    </w:p>
    <w:p>
      <w:pPr>
        <w:pStyle w:val="SourceNote"/>
      </w:pPr>
      <w:r>
        <w:rPr>
          <w:b/>
        </w:rPr>
        <w:t>Available abstract (not full text):</w:t>
      </w:r>
      <w:r>
        <w:t xml:space="preserve"> Background: Upper tract urothelial carcinoma (UTUC) is a rare malignancy with limited epidemiological data from Central and Eastern Europe. This study aimed to evaluate long-term trends in UTUC incidence, mortality, and survival in Poland and to compare them with other European countries. Methods: Incidence and mortality data were acquired from Polish National Cancer Registry, Statistics Poland and European Cancer Information System. Age-standardized incidence and mortality rates were calculated using the European Standard Population (ESP 2013). Temporal trends were assessed using Joinpoint regression, and five-year relative survival was estimated with the Pohar–Perme method. Results: Our study demonstrated significantly higher incidence and mortality rates of UTUC across Europe compared to the initial observation period, consistent with the data from Poland. UTUC incidence increased in Poland between 2000 and 2017 (average annual percent change [AAPC] 5.6% in women and 9.9% in men), followed by a decline among women after 2017 (AAPC −1.3%). Mortality initially rose in both sexes but decreased in recent years, particularly in men (AAPC −5.47%). Renal pelvis cancer showed higher incidence and mortality than ureteral cancer. Compared with other European countries, Poland exhibited a smaller gap between incidence and mortality. Five-year relative survival improved over time, reach</w:t>
      </w:r>
    </w:p>
    <w:p>
      <w:pPr/>
      <w:r>
        <w:rPr>
          <w:b/>
        </w:rPr>
        <w:t>POSSIBLE 2025:</w:t>
      </w:r>
      <w:r>
        <w:t xml:space="preserve"> Animal Protein Sources in Europe: Current Knowledge and Future Perspectives—A Review — https://doi.org/10.3390/app152111749</w:t>
      </w:r>
    </w:p>
    <w:p>
      <w:pPr/>
      <w:r>
        <w:rPr>
          <w:b/>
        </w:rPr>
        <w:t>Shared claim-specific concepts:</w:t>
      </w:r>
      <w:r>
        <w:t xml:space="preserve"> current, knowledge, environmental; EU scope visible. This is a provisional connection, not an outcome finding.</w:t>
      </w:r>
    </w:p>
    <w:p>
      <w:pPr>
        <w:pStyle w:val="SourceNote"/>
      </w:pPr>
      <w:r>
        <w:rPr>
          <w:b/>
        </w:rPr>
        <w:t>Available abstract (not full text):</w:t>
      </w:r>
      <w:r>
        <w:t xml:space="preserve"> The pursuit of sustainable animal protein sources is critical in light of the environmental, social, and economic challenges associated with conventional livestock production. Although meat, including organic production, remains a valuable source of high-quality protein, diversification is essential to sustainably meet future demand. This review summarizes current knowledge on alternative animal protein sources, with a particular focus on insects and cultured meat in Europe. Insects demonstrate high feed conversion efficiency, require minimal land and water resources, and provide essential amino acids, lipids, and micronutrients, while contributing to circular economy models. Cultured meat presents potential advantages for environmental sustainability and animal welfare; however, its large-scale application depends on technological advances, cost reduction, and supportive regulation. Consumer acceptance remains a challenge influenced by cultural heritage, food neophobia, and product presentation. Policy frameworks, including the European Green Deal and the Farm to Fork Strategy, seek to foster innovation and sustainable food systems. Future perspectives emphasize that conventional and organic meat, insect-based protein, and cultured meat should be regarded as complementary solutions for a balanced and resilient protein supply in Europe.</w:t>
      </w:r>
    </w:p>
    <w:p>
      <w:pPr/>
      <w:r>
        <w:rPr>
          <w:b/>
        </w:rPr>
        <w:t>POSSIBLE 2025:</w:t>
      </w:r>
      <w:r>
        <w:t xml:space="preserve"> Diabetologists’ Knowledge and Prescription of Physical Activity in Southeast Europe — https://doi.org/10.3390/medicina61071244</w:t>
      </w:r>
    </w:p>
    <w:p>
      <w:pPr/>
      <w:r>
        <w:rPr>
          <w:b/>
        </w:rPr>
        <w:t>Shared claim-specific concepts:</w:t>
      </w:r>
      <w:r>
        <w:t xml:space="preserve"> current, knowledge, data; EU scope visible. This is a provisional connection, not an outcome finding.</w:t>
      </w:r>
    </w:p>
    <w:p>
      <w:pPr>
        <w:pStyle w:val="SourceNote"/>
      </w:pPr>
      <w:r>
        <w:rPr>
          <w:b/>
        </w:rPr>
        <w:t>Available abstract (not full text):</w:t>
      </w:r>
      <w:r>
        <w:t xml:space="preserve"> Background and Objectives: Physical activity represents a cornerstone in the management of diabetes mellitus; however, the majority of persons with diabetes remain insufficiently active. Current guidelines emphasise the need to educate individuals with diabetes on physical activity at each clinical visit. The aim of the study was to develop an adequate instrument and test diabetologists’ knowledge on physical activity and related guidelines in diabetes, as well as investigate their prescribing habits. Materials and Methods: The instrument was developed with four diabetologists using Delphi and RAND appropriateness methods, then distributed to diabetologist societies in 12 Southeast European countries for anonymous completion by their members. Data were analysed using Mann–Whitney U test and Pearson x2 test. Results: Out of 302 analysed respondents, 123 (41%) worked at university hospitals, at average four days a week in outpatient departments, mean number of patients was 16 a day; 95 (32%) had a PhD, and 105 (35%) university teaching positions. Median overall knowledge was 15 (Q1–Q3, 13–17) out of 22 maximum points. 26% diabetologists knew recommended level of physical activity for people with diabetes. Physical activity goals were discussed during check-ups in 53.0% of cases; re-education and goal adjustments were provided in 33.4% when health status changed; and clear instruc</w:t>
      </w:r>
    </w:p>
    <w:p>
      <w:pPr/>
      <w:r>
        <w:rPr>
          <w:b/>
        </w:rPr>
        <w:t>POSSIBLE 2025:</w:t>
      </w:r>
      <w:r>
        <w:t xml:space="preserve"> Who is local and what do they know? Braiding knowledges within carnivore management in Europe — https://doi.org/10.1002/pan3.10797</w:t>
      </w:r>
    </w:p>
    <w:p>
      <w:pPr/>
      <w:r>
        <w:rPr>
          <w:b/>
        </w:rPr>
        <w:t>Shared claim-specific concepts:</w:t>
      </w:r>
      <w:r>
        <w:t xml:space="preserve"> current, knowledge, areas; EU scope visible. This is a provisional connection, not an outcome finding.</w:t>
      </w:r>
    </w:p>
    <w:p>
      <w:pPr>
        <w:pStyle w:val="SourceNote"/>
      </w:pPr>
      <w:r>
        <w:rPr>
          <w:b/>
        </w:rPr>
        <w:t>Available abstract (not full text):</w:t>
      </w:r>
      <w:r>
        <w:t xml:space="preserve"> Abstract Growing recognition of Indigenous Peoples and traditional local communities as stewards of biodiversity has brought to the fore the issues of knowledge and value pluralism in conservation policy and practice. Given their basis in practical and multi‐generational experience, Indigenous and local knowledges are highly relevant to managing human–wildlife interactions, especially species that are challenging to live with. Yet, these situated forms of knowledge remain overlooked and marginalised, especially ‘local knowledge’, as it is unclear what or whom is encompassed within the term. We explore local knowledge in the context of pastoral areas in Europe, where populations of large carnivores such as wolves are currently expanding. We ask: who is ‘local’, what constitutes ‘local knowledge’ and what can this knowledge contribute to carnivore management? We show that continuous exchanges between long‐settled residents, newcomers and transient people in pastoral areas mean that ‘localness’ cannot be approached as a dualist position. Similarly, local knowledge is dynamic and continuously evolving in the face of ongoing and emerging change, which makes efforts of categorisation and preservation complex. We argue that current approaches to incorporating local knowledge often fail to account for this complexity, producing unjust and ineffective policies and strategies. To advance</w:t>
      </w:r>
    </w:p>
    <w:p>
      <w:pPr/>
      <w:r>
        <w:rPr>
          <w:b/>
        </w:rPr>
        <w:t>POSSIBLE 2025:</w:t>
      </w:r>
      <w:r>
        <w:t xml:space="preserve"> Current protected areas provide limited benefits for European river biodiversity — https://doi.org/10.1038/s41467-025-67125-5</w:t>
      </w:r>
    </w:p>
    <w:p>
      <w:pPr/>
      <w:r>
        <w:rPr>
          <w:b/>
        </w:rPr>
        <w:t>Shared claim-specific concepts:</w:t>
      </w:r>
      <w:r>
        <w:t xml:space="preserve"> current, areas; EU scope visible. This is a provisional connection, not an outcome finding.</w:t>
      </w:r>
    </w:p>
    <w:p>
      <w:pPr>
        <w:pStyle w:val="SourceNote"/>
      </w:pPr>
      <w:r>
        <w:rPr>
          <w:b/>
        </w:rPr>
        <w:t>Available abstract (not full text):</w:t>
      </w:r>
      <w:r>
        <w:t xml:space="preserve"> Protected areas are a principal conservation tool for addressing biodiversity loss. Such protection is especially needed in freshwaters, given their greater biodiversity losses compared to terrestrial and marine ecosystems. However, broad-scale evaluations of protected area effectiveness for freshwater biodiversity are lacking. Here, we provide a continental-scale analysis of the relationship between protected areas and freshwater biodiversity using 1,754 river invertebrate community time series sampled between 1986 and 2022 across ten European countries. Protected areas primarily benefited poor-quality communities (indicative of higher human impacts) that were protected, or that gained protection, across a substantial proportion of their upstream catchment. Protection had little to no influence on moderate- and high-quality communities, although high-quality communities potentially provide less scope for effect. Our results reveal the overall limited effectiveness of current protected areas for freshwater biodiversity, likely because they are typically designed and managed to achieve terrestrial conservation goals. Broadly improving effectiveness for freshwater biodiversity requires catchment-scale management approaches involving larger and more continuous upstream protection, and efforts to address remaining stressors. These approaches would also benefit connected terrestrial</w:t>
      </w:r>
    </w:p>
    <w:p>
      <w:pPr/>
      <w:r>
        <w:rPr>
          <w:b/>
        </w:rPr>
        <w:t>POSSIBLE 2025:</w:t>
      </w:r>
      <w:r>
        <w:t xml:space="preserve"> Cadmium and other metallic contaminants in cacao: Update on current knowledge and mitigation strategies — https://doi.org/10.1051/ocl/2025019</w:t>
      </w:r>
    </w:p>
    <w:p>
      <w:pPr/>
      <w:r>
        <w:rPr>
          <w:b/>
        </w:rPr>
        <w:t>Shared claim-specific concepts:</w:t>
      </w:r>
      <w:r>
        <w:t xml:space="preserve"> discuss, current, knowledge, exposure; EU scope visible. This is a provisional connection, not an outcome finding.</w:t>
      </w:r>
    </w:p>
    <w:p>
      <w:pPr>
        <w:pStyle w:val="SourceNote"/>
      </w:pPr>
      <w:r>
        <w:rPr>
          <w:b/>
        </w:rPr>
        <w:t>Available abstract (not full text):</w:t>
      </w:r>
      <w:r>
        <w:t xml:space="preserve"> Cadmium (Cd) is a non-essential metal classified as class 1 carcinogen, which can induce detrimental effects for humans. Food is the main route of Cd exposure for the general population (except smokers). Chocolate products account for 4% and 9% of the dietary Cd intake for adults and children, respectively, in Europe. Since 2019, the EU limits Cd concentration in chocolate. The maximum permitted concentration (MPC) varies from 0.30 to 0.80 mg Cd kg−1 depending on the% of total cocoa solids in the final product. Cacao (Theobroma cacao L.) producers in Latin America and the Caribbean, who provide 19.4% of global cacao production, are strongly impacted because a significant fraction of their production exceeds these limits. In this review, the current knowledge on the factors influencing the soil Cd enrichments and Cd phytoavailability is discussed. The Cd transfer to cacao trees and to beans, and the responses of cacao trees to Cd exposure are also presented. Then, various mitigation strategies, including post-harvest treatments, soil amendments, microbial remediation (or bioremediation), breeding programs and grafting, are summarized. We also discuss the transfer of knowledge to stakeholders in the cacao supply chain. Finally, current knowledge on the presence of other metallic contaminants in cacao beans, particularly nickel (Ni), is reviewed.</w:t>
      </w:r>
    </w:p>
    <w:p>
      <w:pPr/>
      <w:r>
        <w:rPr>
          <w:b/>
        </w:rPr>
        <w:t>POSSIBLE 2025:</w:t>
      </w:r>
      <w:r>
        <w:t xml:space="preserve"> Grasslands in Europe: current status, emerging challenges, and pathways to sustainable futures — https://doi.org/10.19103/as.2025.0154.26</w:t>
      </w:r>
    </w:p>
    <w:p>
      <w:pPr/>
      <w:r>
        <w:rPr>
          <w:b/>
        </w:rPr>
        <w:t>Shared claim-specific concepts:</w:t>
      </w:r>
      <w:r>
        <w:t xml:space="preserve"> current, drivers, them; EU scope visible. This is a provisional connection, not an outcome finding.</w:t>
      </w:r>
    </w:p>
    <w:p>
      <w:pPr>
        <w:pStyle w:val="SourceNote"/>
      </w:pPr>
      <w:r>
        <w:rPr>
          <w:b/>
        </w:rPr>
        <w:t>Available abstract (not full text):</w:t>
      </w:r>
      <w:r>
        <w:t xml:space="preserve"> This chapter provides a coherent, integrated overview of grasslands in Europe, addressing: (i) their current status and use, (ii) the ecosystem services they provide, (iii) the major drivers and trends affecting them, and (iv) promising innovations and research directions. These are illustrated by a case study from the project Grazing4AgroEcology that shows how innovative farmers, researchers and other stakeholders are now jointly exploring new approaches. Throughout the chapter, we advance the central argument that grassland systems can, if appropriately managed and supported, simultaneously deliver nutritious food and multiple ecosystem services, thereby contributing to resilient agricultural futures in Europe.</w:t>
      </w:r>
    </w:p>
    <w:p>
      <w:pPr>
        <w:pStyle w:val="Heading2"/>
      </w:pPr>
      <w:r>
        <w:t>524. Energy Community in Action—Energy Citizenship Contract as Tool for Climate Neutrality</w:t>
      </w:r>
    </w:p>
    <w:p>
      <w:pPr>
        <w:pStyle w:val="SourceNote"/>
      </w:pPr>
      <w:r>
        <w:rPr>
          <w:b/>
        </w:rPr>
        <w:t>Original source (2022):</w:t>
      </w:r>
      <w:r>
        <w:t xml:space="preserve"> https://doi.org/10.3390/smartcities5010018</w:t>
      </w:r>
    </w:p>
    <w:p>
      <w:pPr/>
      <w:r>
        <w:t>Original wording (abstract; indexed_source_text_not_full_document_verified): Incisive actions are fundamental to bring cities towards climate neutrality by 2050 working by and for the citizens. For this reason, the “100 climate-neutral cities Mission” anticipates the target of climate neutrality by 2030.</w:t>
      </w:r>
    </w:p>
    <w:p>
      <w:pPr/>
      <w:r>
        <w:rPr>
          <w:b/>
        </w:rPr>
        <w:t>POSSIBLE 2026:</w:t>
      </w:r>
      <w:r>
        <w:t xml:space="preserve"> Types of Threatening Actions in Critical Realist Literature (1930-1945) and Their Evolution in Contemporary Vietnamese Literature — https://doi.org/10.62225/2583049x.2026.6.1.5518</w:t>
      </w:r>
    </w:p>
    <w:p>
      <w:pPr/>
      <w:r>
        <w:rPr>
          <w:b/>
        </w:rPr>
        <w:t>Shared claim-specific concepts:</w:t>
      </w:r>
      <w:r>
        <w:t xml:space="preserve"> incisive, actions, fundamental; EU scope not established. This is a provisional connection, not an outcome finding.</w:t>
      </w:r>
    </w:p>
    <w:p>
      <w:pPr>
        <w:pStyle w:val="SourceNote"/>
      </w:pPr>
      <w:r>
        <w:rPr>
          <w:b/>
        </w:rPr>
        <w:t>Available abstract (not full text):</w:t>
      </w:r>
      <w:r>
        <w:t xml:space="preserve"> This study aims to interpret the evolution of threatening actions in Vietnamese literature across two pivotal periods: critical realism (1930-1945) and the contemporary era (post-1986). By employing an interdisciplinary methodology (literary sociology, psychology, economics) to construct a theoretical framework comprising four forms of threat (physical violence, institutional power, economic, and psychological), the paper analyzes and compares representative literary works. The findings reveal a fundamental shift from the tangible, top-down, and externally coercive system of threats in the colonial-feudal society to an intangible, pervasive, and internalized system in the contemporary market society (e.g., competitive pressures, identity crises, loneliness). Theoretically, the study contributes a new, incisive analytical framework for approaching literature. Practically, it offers a profound perspective on how literature reflects core social pressures, helping to understand the anxieties of the Vietnamese people through historical turning points.</w:t>
      </w:r>
    </w:p>
    <w:p>
      <w:pPr/>
      <w:r>
        <w:rPr>
          <w:b/>
        </w:rPr>
        <w:t>POSSIBLE 2026:</w:t>
      </w:r>
      <w:r>
        <w:t xml:space="preserve"> Legal Limits on the ECB’s Actions: Is the PEPP a Bridge too Far? — https://doi.org/10.36969/njel.v9i1.28373</w:t>
      </w:r>
    </w:p>
    <w:p>
      <w:pPr/>
      <w:r>
        <w:rPr>
          <w:b/>
        </w:rPr>
        <w:t>Shared claim-specific concepts:</w:t>
      </w:r>
      <w:r>
        <w:t xml:space="preserve"> actions, fundamental, reason; EU scope visible. This is a provisional connection, not an outcome finding.</w:t>
      </w:r>
    </w:p>
    <w:p>
      <w:pPr>
        <w:pStyle w:val="SourceNote"/>
      </w:pPr>
      <w:r>
        <w:rPr>
          <w:b/>
        </w:rPr>
        <w:t>Available abstract (not full text):</w:t>
      </w:r>
      <w:r>
        <w:t xml:space="preserve"> After the global financial crisis of 2008-2009, the role and monetary policy of the European Central Bank (ECB) underwent a profound evolution, with the turning point being the possibility for the institution itself to intervene on secondary markets to purchase government bonds of eurozone member states. However, this evolution took place within the legal framework established by the EU Treaties, which remained unchanged. The fact that these changes occurred within an unchanged legal context raised a fundamental issue: there was a need to verify whether these changes were compatible with the legal limits on the actions of the ECB under the EU Treaties. It is for this reason that, between 2012 and 2018, the Court of Justice of the European Union (CJEU) developed a case law aimed at (i) verifying whether the new monetary policy tools were compatible with the provisions of the EU Treaties and (ii) defining the legal limits of ECB intervention on secondary markets. Against this backdrop, this article analyses the extent to which the ECB’s intervention on secondary markets during the COVID-19 crisis through the Pandemic Emergency Purchasing Programme (PEPP) complies with the criteria established by this case law in relation to Article 123 TFEU. To this end, the article first reviews the role and mandate of the ECB as defined by the EU Treaties. It then analyses both the evolution of</w:t>
      </w:r>
    </w:p>
    <w:p>
      <w:pPr/>
      <w:r>
        <w:rPr>
          <w:b/>
        </w:rPr>
        <w:t>POSSIBLE 2026:</w:t>
      </w:r>
      <w:r>
        <w:t xml:space="preserve"> Review: Replumbing the City: Water Management as Climate Adaptation in Los Angeles , by Sayd Randle — https://doi.org/10.1525/ch.2026.103.1.117</w:t>
      </w:r>
    </w:p>
    <w:p>
      <w:pPr/>
      <w:r>
        <w:rPr>
          <w:b/>
        </w:rPr>
        <w:t>Shared claim-specific concepts:</w:t>
      </w:r>
      <w:r>
        <w:t xml:space="preserve"> incisive, climate, working; EU scope not established. This is a provisional connection, not an outcome finding.</w:t>
      </w:r>
    </w:p>
    <w:p>
      <w:pPr>
        <w:pStyle w:val="SourceNote"/>
      </w:pPr>
      <w:r>
        <w:rPr>
          <w:b/>
        </w:rPr>
        <w:t>Available abstract (not full text):</w:t>
      </w:r>
      <w:r>
        <w:t xml:space="preserve"> This book provides an incisive analysis of the water crisis in L.A. and is an indispensable text for anyone interested in urban environments and environmental justice. As Randle so ably shows us, the devil is in the details when it comes to implementing policy that most impacts poor and working-class minority communities, those most susceptible to the dire consequences of climate change.Randle systematically evaluates policies as they are carried out by becoming an actor in the drama herself, working side by side with her “interlocutors” to effect change in one community (and even one neighborhood) at a time. She finds some surprising results, not all of them positive. Thus, she relies on lived experience as much as on conventional academic sources to support her argument that even solutions to climate change that appear to be unbiased can increase rather than ameliorate inequity in practice and may not be real solutions at all.The book is organized into two main parts, with a lengthy introduction that carefully explains Los Angelenos’ long history of dependence on faraway water sources. Randle highlights the significance of the Los Angeles Aqueduct, which enabled rapid and extensive development of communities, urbanization, and industrial agriculture. This growth occurred with little concern for the long-term consequences of importing water to maintain exponential population g</w:t>
      </w:r>
    </w:p>
    <w:p>
      <w:pPr/>
      <w:r>
        <w:rPr>
          <w:b/>
        </w:rPr>
        <w:t>POSSIBLE 2026:</w:t>
      </w:r>
      <w:r>
        <w:t xml:space="preserve"> Lessons from integrated climate change adaptation and mitigation interventions for synergies and co-benefits in African cities — https://doi.org/10.1007/s44327-026-00359-0</w:t>
      </w:r>
    </w:p>
    <w:p>
      <w:pPr/>
      <w:r>
        <w:rPr>
          <w:b/>
        </w:rPr>
        <w:t>Shared claim-specific concepts:</w:t>
      </w:r>
      <w:r>
        <w:t xml:space="preserve"> actions, cities, climate; EU scope not established. This is a provisional connection, not an outcome finding.</w:t>
      </w:r>
    </w:p>
    <w:p>
      <w:pPr>
        <w:pStyle w:val="SourceNote"/>
      </w:pPr>
      <w:r>
        <w:rPr>
          <w:b/>
        </w:rPr>
        <w:t>Available abstract (not full text):</w:t>
      </w:r>
      <w:r>
        <w:t xml:space="preserve"> The diverse impacts of climate change on urban areas and the strategies to adapt have been widely studied over the past 25 years. While there is consensus on the importance of adaptation and mitigation, significant uncertainties stem from data paucity for certain regions, especially in Africa. This study examines how African cities integrate climate change adaptation and mitigation, focusing on synergies and co-benefits. We systematically reviewed 173 publications and reports covering 12 diverse cities, coding 1889 actions across actors, spatial scales, implementation levels, synergies, and trade-offs. We contextualised actions using a composite index combining climate exposure, social vulnerability, and infrastructure deficit. Publications surged between 2022 and 2025, but secondary and smaller cities remain under-represented. Implementation patterns vary widely across cities and scales. We identified a Synergy Gap indicating where actions with co-benefits may lag behind singular interventions, reflecting siloed governance that hinders integrated frameworks. Limitations include categorisation overlaps and difficulty ground-truthing implementation effectiveness in data-scarce contexts. We conclude that integrated, multi-scalar approaches anchored in better data and dynamic frameworks are essential to align urban climate action with Africa’s heterogeneous urban realities.</w:t>
      </w:r>
    </w:p>
    <w:p>
      <w:pPr/>
      <w:r>
        <w:rPr>
          <w:b/>
        </w:rPr>
        <w:t>POSSIBLE 2026:</w:t>
      </w:r>
      <w:r>
        <w:t xml:space="preserve"> Climate Readiness as a Driver of Urban Transformation: Lessons from the WRI Ross Center Prize for Cities cycle 2023–2024 — https://doi.org/10.46830/wriwp.25.00116</w:t>
      </w:r>
    </w:p>
    <w:p>
      <w:pPr/>
      <w:r>
        <w:rPr>
          <w:b/>
        </w:rPr>
        <w:t>Shared claim-specific concepts:</w:t>
      </w:r>
      <w:r>
        <w:t xml:space="preserve"> fundamental, cities, climate; EU scope not established. This is a provisional connection, not an outcome finding.</w:t>
      </w:r>
    </w:p>
    <w:p>
      <w:pPr>
        <w:pStyle w:val="SourceNote"/>
      </w:pPr>
      <w:r>
        <w:rPr>
          <w:b/>
        </w:rPr>
        <w:t>Available abstract (not full text):</w:t>
      </w:r>
      <w:r>
        <w:t xml:space="preserve"> Cities today navigate a complex mix of pressures, including inequality, rapid growth, fiscal strain, infrastructure gaps, and mounting climate shocks. Climate impacts interact with deeper structural challenges that shape who is most at risk and which solutions can take hold. In this context, climate-readiness initiatives can do more than prepare cities for hazards. This prompts the following question: Under what conditions do adaptation and resilience interventions lead to more fundamental changes in urban systems? This paper examines how they can also create openings into wider forms of urban transformation when they expand, accumulate momentum, and strengthen the conditions that allow change to endure.</w:t>
      </w:r>
    </w:p>
    <w:p>
      <w:pPr/>
      <w:r>
        <w:rPr>
          <w:b/>
        </w:rPr>
        <w:t>POSSIBLE 2025:</w:t>
      </w:r>
      <w:r>
        <w:t xml:space="preserve"> Parking Reform and Social Justice in Brazil — https://doi.org/10.4324/9781003465515-31</w:t>
      </w:r>
    </w:p>
    <w:p>
      <w:pPr/>
      <w:r>
        <w:rPr>
          <w:b/>
        </w:rPr>
        <w:t>Shared claim-specific concepts:</w:t>
      </w:r>
      <w:r>
        <w:t xml:space="preserve"> incisive, fundamental, cities, climate; EU scope not established. This is a provisional connection, not an outcome finding.</w:t>
      </w:r>
    </w:p>
    <w:p>
      <w:pPr>
        <w:pStyle w:val="SourceNote"/>
      </w:pPr>
      <w:r>
        <w:rPr>
          <w:b/>
        </w:rPr>
        <w:t>Available abstract (not full text):</w:t>
      </w:r>
      <w:r>
        <w:t xml:space="preserve"> Climate change is a reality, and the global agendas focus on cities as the locus of the problem and action. The vision for urban mobility seems committed to environmental challenges—but how are social challenges integrated? The emphasis on clean vehicles as a solution ignores how the space occupied by automobiles increases inequity, socio-spatial segregation, and the precariousness of life in cities, particularly in the Global South. We must reinvent how we live in the city, changing the vehicle-oriented paradigm and turning our attention to travel. Fewer vehicles result in fewer emissions, energy consumption, and more space, a key asset for promoting social justice. Shoup was incisive in pointing out how most cities are planned with the assumption that parking is a right. His teachings were fundamental in uncovering the social function of parking policy and its potential to produce more equitable cities. This essay explores how the redistribution of urban space is essential to dealing with urgent issues such as housing deficit in Brazil, cycling infrastructure in Fortaleza, and public transport in São José dos Campos.</w:t>
      </w:r>
    </w:p>
    <w:p>
      <w:pPr/>
      <w:r>
        <w:rPr>
          <w:b/>
        </w:rPr>
        <w:t>POSSIBLE 2024:</w:t>
      </w:r>
      <w:r>
        <w:t xml:space="preserve"> BIODIVERSIDADE E AMEAÇAS ÀS ARRAIAS DE ÁGUA DOCE NO RIO ARAGUAIA: UMA PERSPECTIVA DE CONSERVAÇÃO — https://doi.org/10.46732/actafish.2024.12.2.51-63</w:t>
      </w:r>
    </w:p>
    <w:p>
      <w:pPr/>
      <w:r>
        <w:rPr>
          <w:b/>
        </w:rPr>
        <w:t>Shared claim-specific concepts:</w:t>
      </w:r>
      <w:r>
        <w:t xml:space="preserve"> incisive, actions, fundamental; EU scope not established. This is a provisional connection, not an outcome finding.</w:t>
      </w:r>
    </w:p>
    <w:p>
      <w:pPr>
        <w:pStyle w:val="SourceNote"/>
      </w:pPr>
      <w:r>
        <w:rPr>
          <w:b/>
        </w:rPr>
        <w:t>Available abstract (not full text):</w:t>
      </w:r>
      <w:r>
        <w:t xml:space="preserve"> The Araguaia-Tocantins basin contains a rich diversity of fish, including stingrays of the Potamotrygonidae family (Peters, 1876), which stand out in aquatic ecosystems due to their beauty and diversity of patterns, as well as the medical importance of their members. In this sense, these organisms play fundamental roles in the food chain and in ecological interactions. However, they are subject to environmental threats, such as habitat degradation, interruption of gene flow between populations, and incisive predatory fishing. Thus, the preservation of these species requires actions that aim to safeguard natural habitats, as well as regulating their capture. The urgent need for more taxonomic and ecological studies becomes important, to increase the understanding of these organisms and subsidize conservation strategies. This study focused on identifying the different species of stingrays in a stretch of the Araguaia River. Thus, the four species identified were Paratrygon aiereba, Potamotrygon motoro, P. henlei and P. histrix, which share not only the environment, but also the threats, from predatory fishing among others. Thus, the results listed here seek to contribute to the Acta of Fisheries and Aquatic Resources Saviato, et al., (2024), ActaPesca 12(2): 51-63 DOI 10.46732/Actafish.2024.12.2.51-63 52 construction of a more robust framework of knowledge about these fish and, c</w:t>
      </w:r>
    </w:p>
    <w:p>
      <w:pPr/>
      <w:r>
        <w:rPr>
          <w:b/>
        </w:rPr>
        <w:t>POSSIBLE 2023:</w:t>
      </w:r>
      <w:r>
        <w:t xml:space="preserve"> Supporting Nature-Based Solutions via Nature-Based Thinking across European and Latin American cities — https://doi.org/10.1007/s13280-023-01920-6</w:t>
      </w:r>
    </w:p>
    <w:p>
      <w:pPr/>
      <w:r>
        <w:rPr>
          <w:b/>
        </w:rPr>
        <w:t>Shared claim-specific concepts:</w:t>
      </w:r>
      <w:r>
        <w:t xml:space="preserve"> incisive, cities, climate; EU scope visible. This is a provisional connection, not an outcome finding.</w:t>
      </w:r>
    </w:p>
    <w:p>
      <w:pPr>
        <w:pStyle w:val="SourceNote"/>
      </w:pPr>
      <w:r>
        <w:rPr>
          <w:b/>
        </w:rPr>
        <w:t>Available abstract (not full text):</w:t>
      </w:r>
      <w:r>
        <w:t xml:space="preserve"> Nature-Based Solutions concepts and practices are being used worldwide as part of attempts to address societal challenges but have also been criticised for not dealing with deeper transformations needed to face urgent issues including biodiversity loss, climate change and inclusion. In this paper, we explore how an inclusive, integrated and long-sighted approach, emphasising a more radical integration of nature within cities, might support the transformations needed to endure major contemporary challenges. Addressing important emerging critiques of Nature-Based Solutions, we consider the potential of a more incisive form of Nature-Based Thinking (NBT) in cities, based on more holistic perspectives. The paper draws on a reflective and iterative research process that engaged both the research and practice communities through a symposium and a series of futures workshops that together explored the potential of NBT to develop future nature-cities relations in Europe and Latin America. The results of the reflective process suggest that notions of nature with people-not for people- new organisational structures, and the intention and capacity to apply long-term perspectives, are needed when planning for NBS interventions aimed at sustainable urban development. This includes developing a cultural-structural change based on new and inclusive understandings of human-nature relations, an</w:t>
      </w:r>
    </w:p>
    <w:p>
      <w:pPr/>
      <w:r>
        <w:rPr>
          <w:b/>
        </w:rPr>
        <w:t>POSSIBLE 2023:</w:t>
      </w:r>
      <w:r>
        <w:t xml:space="preserve"> Autocomposição de forma inaugural no âmbito da Justiça Federal como possibilidade do agir comunicativo habermasiano — https://openalex.org/W7120320133</w:t>
      </w:r>
    </w:p>
    <w:p>
      <w:pPr/>
      <w:r>
        <w:rPr>
          <w:b/>
        </w:rPr>
        <w:t>Shared claim-specific concepts:</w:t>
      </w:r>
      <w:r>
        <w:t xml:space="preserve"> incisive, fundamental, bring, reason; EU scope not established. This is a provisional connection, not an outcome finding.</w:t>
      </w:r>
    </w:p>
    <w:p>
      <w:pPr>
        <w:pStyle w:val="SourceNote"/>
      </w:pPr>
      <w:r>
        <w:rPr>
          <w:b/>
        </w:rPr>
        <w:t>Available abstract (not full text):</w:t>
      </w:r>
      <w:r>
        <w:t xml:space="preserve"> The fundamental premise of the present research is to bring an analytical approach to the inherent self-composition of Appropriate Conflict Resolution Methods within the judiciary, particularly within the Federal Justice as a possibility for Habermasian communicative action. To this end, the relevant conceptualizations of Access to Justice in its condition as a fundamental right enshrined in the Constitution of the Federative Republic of Brazil of 1988 are addressed, as well as self-composition with a special focus on some guiding principles that support the theme, under the aegis of Jünger Habermas's idea of consensus. The intent for such a discussion arises from the problem seen in the determination inscribed in the current procedural legislation, which, in turn, establishes the promotion of social peace through these means at any stage of the process. Because of this, speculation arises: Could this assertion favor a presupposition that limits, and/or conditions the guarantee of access to justice? Could the inaugural use of self-composition – before the action – within the Judiciary, have any impact or repercussions on the social order, despite the effectiveness and guarantee of access to rights? With the aim of addressing these inquiries, the research uses a methodology of applied nature; descriptive and exploratory objective, as well as bibliographic, documentary, and legis</w:t>
      </w:r>
    </w:p>
    <w:p>
      <w:pPr/>
      <w:r>
        <w:rPr>
          <w:b/>
        </w:rPr>
        <w:t>POSSIBLE 2023:</w:t>
      </w:r>
      <w:r>
        <w:t xml:space="preserve"> Greenhouse Gas Balance in the City of Reggio Calabria and Assessment of the Effects of Measures of Emission Reduction and Absorption — https://doi.org/10.3390/en16093615</w:t>
      </w:r>
    </w:p>
    <w:p>
      <w:pPr/>
      <w:r>
        <w:rPr>
          <w:b/>
        </w:rPr>
        <w:t>Shared claim-specific concepts:</w:t>
      </w:r>
      <w:r>
        <w:t xml:space="preserve"> incisive, climate, neutrality; EU scope not established. This is a provisional connection, not an outcome finding.</w:t>
      </w:r>
    </w:p>
    <w:p>
      <w:pPr>
        <w:pStyle w:val="SourceNote"/>
      </w:pPr>
      <w:r>
        <w:rPr>
          <w:b/>
        </w:rPr>
        <w:t>Available abstract (not full text):</w:t>
      </w:r>
      <w:r>
        <w:t xml:space="preserve"> Climate change and its ascertained attribution to anthropic activity need to be tackled with extreme urgency and must not be postponed. The need to reduce greenhouse gas emissions require a change in the energy paradigm, mainly affecting the construction and mobility sectors. Countries need to move towards climate neutrality with a widespread adoption of innovative models, systems, and technologies, reducing dependence on non-renewable sources and increasing energy efficiency. Measures to be adopted to achieve the prefixed decarbonization targets should involve, in addition to central governments, local communities. In this paper, in order to contribute to the definition of mitigation measures by the local administration, the balance of emissions and removal of greenhouse gases, assessed following the IPCC guidelines, for an Italian city (Reggio Calabria) on the date of 1 January 2020 is presented. Several hypotheses concerning reduction measures to be applied to the building and transport sectors, together with absorption interventions, have been developed and we have analyzed the effectiveness of each of them and their global effects on 1 January 2030. The proposed measures allow a reduction of 17% of total emissions, indicating that to reach carbon neutrality in 2050, more incisive and wide range interventions are required.</w:t>
      </w:r>
    </w:p>
    <w:p>
      <w:pPr/>
      <w:r>
        <w:rPr>
          <w:b/>
        </w:rPr>
        <w:t>POSSIBLE 2023:</w:t>
      </w:r>
      <w:r>
        <w:t xml:space="preserve"> Hot climates in urban South Asia: Negotiating the right to and the politics of shade at the everyday scale in Karachi — https://doi.org/10.1177/00420980231195204</w:t>
      </w:r>
    </w:p>
    <w:p>
      <w:pPr/>
      <w:r>
        <w:rPr>
          <w:b/>
        </w:rPr>
        <w:t>Shared claim-specific concepts:</w:t>
      </w:r>
      <w:r>
        <w:t xml:space="preserve"> cities, climate, working; EU scope not established. This is a provisional connection, not an outcome finding.</w:t>
      </w:r>
    </w:p>
    <w:p>
      <w:pPr>
        <w:pStyle w:val="SourceNote"/>
      </w:pPr>
      <w:r>
        <w:rPr>
          <w:b/>
        </w:rPr>
        <w:t>Available abstract (not full text):</w:t>
      </w:r>
      <w:r>
        <w:t xml:space="preserve"> Although the climate has admittedly always been hot and humid in cities like Karachi, increasingly hotter temperatures are exacerbating the impact of heat on informal, precariously employed outdoor workers such as street vendors, guards and rickshaw drivers, who must negotiate their right and access to shade at the everyday scale. Recalling Mike Davis’ radical, political claim that shade is an inalienable human right, this paper proposes that few people working in the outdoor spaces of the South Asian city today understand or experience shade in these terms. Rather shade is something that must be claimed, alongside other rights and entitlements. Moreover, shade alone is insufficient as it cannot reduce the exposure of bodies to harmful ambient radiations and overall thermal discomfort. This paper makes three broad propositions for outlining a theory for the social study of shade in the South Asian city. By paying closer attention to the ways that outdoor workers negotiate shade in Karachi, this paper opens up for analysis a wider spectrum of claims-making activity in changing South Asian urban climates. It places workers’ search for shade in the broader context of shade policing and urban management aimed at creating spatial as well as social order. Finally, this article emphasises key directions and questions for future research.</w:t>
      </w:r>
    </w:p>
    <w:p>
      <w:pPr>
        <w:pStyle w:val="Heading2"/>
      </w:pPr>
      <w:r>
        <w:t>525. Energy futures as societal futures: Co-evolutionary scenarios linking futures of society and decarbonized energy systems in Switzerland 2050</w:t>
      </w:r>
    </w:p>
    <w:p>
      <w:pPr>
        <w:pStyle w:val="SourceNote"/>
      </w:pPr>
      <w:r>
        <w:rPr>
          <w:b/>
        </w:rPr>
        <w:t>Original source (2022):</w:t>
      </w:r>
      <w:r>
        <w:t xml:space="preserve"> https://doi.org/10.1016/j.futures.2022.102955</w:t>
      </w:r>
    </w:p>
    <w:p>
      <w:pPr/>
      <w:r>
        <w:t>Original wording (abstract; indexed_source_text_not_full_document_verified): There is consensus that the global energy system will have to change substantially in the next decades to reach carbon neutrality. However, there are many visions of future energy systems and possible pathways leading to the corresponding futures.</w:t>
      </w:r>
    </w:p>
    <w:p>
      <w:pPr/>
      <w:r>
        <w:rPr>
          <w:b/>
        </w:rPr>
        <w:t>POSSIBLE 2026:</w:t>
      </w:r>
      <w:r>
        <w:t xml:space="preserve"> Polyendocrine metabolic ovarian syndrome, the new name for polycystic ovary syndrome: a multistep global consensus process — https://doi.org/10.1016/s0140-6736(26)00717-8</w:t>
      </w:r>
    </w:p>
    <w:p>
      <w:pPr/>
      <w:r>
        <w:rPr>
          <w:b/>
        </w:rPr>
        <w:t>Shared claim-specific concepts:</w:t>
      </w:r>
      <w:r>
        <w:t xml:space="preserve"> consensus, however, systems, leading; EU scope not established. This is a provisional connection, not an outcome finding.</w:t>
      </w:r>
    </w:p>
    <w:p>
      <w:pPr>
        <w:pStyle w:val="SourceNote"/>
      </w:pPr>
      <w:r>
        <w:rPr>
          <w:b/>
        </w:rPr>
        <w:t>Available abstract (not full text):</w:t>
      </w:r>
      <w:r>
        <w:t xml:space="preserve"> Polyendocrine metabolic ovarian syndrome (PMOS), previously named polycystic ovary syndrome (PCOS), affects one in eight women. However, the term PCOS is inaccurate, implying pathological ovarian cysts, obscuring diverse endocrine and metabolic features, and contributing to delayed diagnosis, fragmented care, and stigma, while curtailing research and policy framing. Building on an international mandate for change, we outline an unprecedented, rigorous, multistep global consensus process for the name change. Funding and governance were established with engagement of 56 leading academic, clinical, and patient organisations. Using iterative global surveys (with responses from 14 360 people with PCOS and multidisciplinary health professionals from all world regions), modified Delphi methods, nominal group technique workshops, and marketing and implementation analyses, we identified principles prioritising scientific accuracy, clarity, stigma avoidance, cultural appropriateness, and implementation feasibility. An accurate new name was prioritised over retaining the PCOS acronym or a generic name. Implementation approaches prioritised evolution rather than transformation. Preferred terms were polyendocrine, metabolic, and ovarian, reflecting the condition's multisystem pathophysiology, and polyendocrine metabolic ovarian syndrome was the consensus new name. Accuracy was improved by o</w:t>
      </w:r>
    </w:p>
    <w:p>
      <w:pPr/>
      <w:r>
        <w:rPr>
          <w:b/>
        </w:rPr>
        <w:t>POSSIBLE 2026:</w:t>
      </w:r>
      <w:r>
        <w:t xml:space="preserve"> Global Consensus on the Management of Primary Localized Chordoma — https://doi.org/10.1001/jamaoncol.2026.2054</w:t>
      </w:r>
    </w:p>
    <w:p>
      <w:pPr/>
      <w:r>
        <w:rPr>
          <w:b/>
        </w:rPr>
        <w:t>Shared claim-specific concepts:</w:t>
      </w:r>
      <w:r>
        <w:t xml:space="preserve"> consensus, however; EU scope visible. This is a provisional connection, not an outcome finding.</w:t>
      </w:r>
    </w:p>
    <w:p>
      <w:pPr>
        <w:pStyle w:val="SourceNote"/>
      </w:pPr>
      <w:r>
        <w:rPr>
          <w:b/>
        </w:rPr>
        <w:t>Available abstract (not full text):</w:t>
      </w:r>
      <w:r>
        <w:t xml:space="preserve"> Importance: Chordoma is a rare malignant bone tumor with high local recurrence, metastatic spread in 40% to 60% of patients over the disease course, and significant morbidity. Because of its rarity, anatomical complexity, and prolonged natural history, high-quality evidence to guide management is limited. International consensus guidelines for localized chordoma were first published in 2015; however, advances in pathology, imaging, surgery, radiotherapy, and supportive care since then necessitate updated multidisciplinary recommendations. Objective: To update and expand the 2015 consensus recommendations on the diagnosis, treatment, and follow-up of pediatric and adult patients with primary, localized chordoma. Evidence Review: In June 2025, a meeting of the Global Chordoma Consensus Group was held in Milan, Italy, that included experts from all relevant specialties as well as patient representatives. A comprehensive literature review guided structured discussions on the management of primary localized disease. Levels of evidence and grades of recommendation were assigned. Findings: A total of 305 articles were included in the literature review. Management strategies were stratified by anatomical site (skull base, mobile spine, and sacrum). The central principal of care was treatment at experienced, multidisciplinary centers, with maximally safe surgery followed by high-dose, h</w:t>
      </w:r>
    </w:p>
    <w:p>
      <w:pPr/>
      <w:r>
        <w:rPr>
          <w:b/>
        </w:rPr>
        <w:t>POSSIBLE 2026:</w:t>
      </w:r>
      <w:r>
        <w:t xml:space="preserve"> Consensus and legitimation in global AI regulations: a sociosemiotic perspective — https://doi.org/10.1017/s1744552326100469</w:t>
      </w:r>
    </w:p>
    <w:p>
      <w:pPr/>
      <w:r>
        <w:rPr>
          <w:b/>
        </w:rPr>
        <w:t>Shared claim-specific concepts:</w:t>
      </w:r>
      <w:r>
        <w:t xml:space="preserve"> consensus, systems; EU scope not established. This is a provisional connection, not an outcome finding.</w:t>
      </w:r>
    </w:p>
    <w:p>
      <w:pPr>
        <w:pStyle w:val="SourceNote"/>
      </w:pPr>
      <w:r>
        <w:rPr>
          <w:b/>
        </w:rPr>
        <w:t>Available abstract (not full text):</w:t>
      </w:r>
      <w:r>
        <w:t xml:space="preserve"> Abstract This paper adopts a sociosemiotic perspective to examine how normative consensus and legitimacy are constructed in global artificial intelligence (AI) governance discourse. Drawing on a corpus of forty-seven international normative documents, the study identifies an emerging cross-textual consensus around three core principles – Safety, Human-centric and Fairness – and analyses how these are semiotically encoded. The findings reveal tensions between state and non-state actors, and between semiotic agreement and practical implementation. For instance, ‘Safety’ is often framed through securitisation discourse, while ‘Human-centric’ is increasingly grounded in international human rights frameworks. The study further shows that discursive strategies such as nominalisation help establish surface-level consensus but introduce ambiguity that undermines enforceability. By conceptualising governance texts as dynamic semiotic systems, this research moves beyond the hard law–soft law dichotomy, revealing global AI regulation as a contested arena of meaning-making. It offers a theoretical basis for advancing more inclusive and operational governance models.</w:t>
      </w:r>
    </w:p>
    <w:p>
      <w:pPr/>
      <w:r>
        <w:rPr>
          <w:b/>
        </w:rPr>
        <w:t>POSSIBLE 2026:</w:t>
      </w:r>
      <w:r>
        <w:t xml:space="preserve"> “Global South” and “Consensus” Voting System — https://doi.org/10.1007/978-981-92-0144-0_1</w:t>
      </w:r>
    </w:p>
    <w:p>
      <w:pPr/>
      <w:r>
        <w:rPr>
          <w:b/>
        </w:rPr>
        <w:t>Shared claim-specific concepts:</w:t>
      </w:r>
      <w:r>
        <w:t xml:space="preserve"> consensus, system;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Consensus in Effective Model Inference for Disordered Ising Systems — https://doi.org/10.48550/arxiv.2609.10731</w:t>
      </w:r>
    </w:p>
    <w:p>
      <w:pPr/>
      <w:r>
        <w:rPr>
          <w:b/>
        </w:rPr>
        <w:t>Shared claim-specific concepts:</w:t>
      </w:r>
      <w:r>
        <w:t xml:space="preserve"> consensus, system, systems, leading; EU scope not established. This is a provisional connection, not an outcome finding.</w:t>
      </w:r>
    </w:p>
    <w:p>
      <w:pPr>
        <w:pStyle w:val="SourceNote"/>
      </w:pPr>
      <w:r>
        <w:rPr>
          <w:b/>
        </w:rPr>
        <w:t>Available abstract (not full text):</w:t>
      </w:r>
      <w:r>
        <w:t xml:space="preserve"> When independent learners are trained on data from the same disordered system, finite and noisy samples can lead them to different descriptions of the underlying physics. We quantify the reproducibility of such descriptions through consensus, the degree of agreement among independently trained models. In a teacher-student framework on the two-dimensional random-bond Ising model, an ensemble of students each infers a single uniform effective coupling from a finite set of equilibrium configurations drawn from one quenched bond realization. Aggregating the inferred couplings across students and realizations yields the consensus distribution, whose width quantifies the agreement among learners. The variance of this distribution separates exactly into a finite-sampling contribution, bounded below by inverse of Fisher information, and a quenched-disorder contribution. Sum of these two variance is minimized near critical region, so the consensus width has a minimum near the pseudocritical temperature that sharpens with increasing disorder. The two minima arise from different mechanisms: the sampling term inherits the critical peak of the Fisher information, while the disorder term is temperature-independent at leading order and acquires its critical minimum only at fourth order in the disorder strength, through the covariance between the linear and cubic responses to the bond disorder</w:t>
      </w:r>
    </w:p>
    <w:p>
      <w:pPr/>
      <w:r>
        <w:rPr>
          <w:b/>
        </w:rPr>
        <w:t>POSSIBLE 2026:</w:t>
      </w:r>
      <w:r>
        <w:t xml:space="preserve"> Effect of Graph Gluing on Consensus in Networked Multi-Agent Systems — https://doi.org/10.48550/arxiv.2605.10558</w:t>
      </w:r>
    </w:p>
    <w:p>
      <w:pPr/>
      <w:r>
        <w:rPr>
          <w:b/>
        </w:rPr>
        <w:t>Shared claim-specific concepts:</w:t>
      </w:r>
      <w:r>
        <w:t xml:space="preserve"> consensus, system, many, systems; EU scope not established. This is a provisional connection, not an outcome finding.</w:t>
      </w:r>
    </w:p>
    <w:p>
      <w:pPr>
        <w:pStyle w:val="SourceNote"/>
      </w:pPr>
      <w:r>
        <w:rPr>
          <w:b/>
        </w:rPr>
        <w:t>Available abstract (not full text):</w:t>
      </w:r>
      <w:r>
        <w:t xml:space="preserve"> In this paper, the effects of graph gluing operations in networks of multi-agent systems and their impact on system performance are investigated. In many practical applications, multiple multi-agent subsystems must be interconnected through communication links to accomplish complex tasks, resulting in a larger communication network. Such interconnections modify the underlying graph topology and consequently affect the consensus behavior and convergence rate of the network. In particular, this paper examines both bridge gluing and interface gluing and analyzes how the number and structure of communication links between subsystems influence the Fiedler eigenvalue of the resulting graph. Since the Fiedler eigenvalue is directly related to the convergence rate of consensus dynamics, the proposed analysis establishes a clear relationship between interconnection strategies, algebraic connectivity, and system performance. The results provide theoretical insight into how different gluing mechanisms alter the spectral properties of the graph Laplacian and, in turn, the convergence characteristics of the networked multi-agent system. Simulation studies are presented to illustrate the theoretical findings and to validate the effectiveness of the proposed framework.</w:t>
      </w:r>
    </w:p>
    <w:p>
      <w:pPr/>
      <w:r>
        <w:rPr>
          <w:b/>
        </w:rPr>
        <w:t>POSSIBLE 2026:</w:t>
      </w:r>
      <w:r>
        <w:t xml:space="preserve"> How Global Peacebuilders Think: Policy Dialogue and System Change — https://openalex.org/W7139576235</w:t>
      </w:r>
    </w:p>
    <w:p>
      <w:pPr/>
      <w:r>
        <w:rPr>
          <w:b/>
        </w:rPr>
        <w:t>Shared claim-specific concepts:</w:t>
      </w:r>
      <w:r>
        <w:t xml:space="preserve"> consensus, system, pathways; EU scope not established. This is a provisional connection, not an outcome finding.</w:t>
      </w:r>
    </w:p>
    <w:p>
      <w:pPr>
        <w:pStyle w:val="SourceNote"/>
      </w:pPr>
      <w:r>
        <w:rPr>
          <w:b/>
        </w:rPr>
        <w:t>Available abstract (not full text):</w:t>
      </w:r>
      <w:r>
        <w:t xml:space="preserve"> The perspectives of global peacebuilders are under-examined, yet vital to understanding how global actors frame pathways to peace in conflict settings. Global peacebuilding actors – such as those engaged with United Nations and global peace consortiums - often play a critical role in bridging communication gaps between local, state, and international actors, yet bring their own set of assumptions to identifying the drivers of everyday peace in conflict-affected societies. This calls for innovative ways to clarify how global peacebuilders think about pathways to peace and conflict. We convened four groups of global peacebuilding experts, engaging them with a visual, participatory approach known as Fuzzy Cognitive Mapping. Each group engaged in focus group discussion and drew a ‘mental map’ representing their consensus on the variables of importance and perceived causal drivers of everyday peace. The four maps represent visual data amenable for thematic analysis and semi-quantitative comparison. Simulation models illustrate divergent perspectives among global experts on what drives conflict and everyday peace. Fuzzy Cognitive Mapping thus enables stakeholder groups to visualize their assumptions, identify points of consensus or disconnect, and compare perspectives. A lack of conceptual clarity – mapping peace and justice in ways that fail to be clear, cohesive, or even inclusive </w:t>
      </w:r>
    </w:p>
    <w:p>
      <w:pPr/>
      <w:r>
        <w:rPr>
          <w:b/>
        </w:rPr>
        <w:t>POSSIBLE 2025:</w:t>
      </w:r>
      <w:r>
        <w:t xml:space="preserve"> Global consensus on the management of melanin hyperpigmentation disorders — https://doi.org/10.1111/jdv.70185</w:t>
      </w:r>
    </w:p>
    <w:p>
      <w:pPr/>
      <w:r>
        <w:rPr>
          <w:b/>
        </w:rPr>
        <w:t>Shared claim-specific concepts:</w:t>
      </w:r>
      <w:r>
        <w:t xml:space="preserve"> consensus, systems, leading; EU scope visible. This is a provisional connection, not an outcome finding.</w:t>
      </w:r>
    </w:p>
    <w:p>
      <w:pPr>
        <w:pStyle w:val="SourceNote"/>
      </w:pPr>
      <w:r>
        <w:rPr>
          <w:b/>
        </w:rPr>
        <w:t>Available abstract (not full text):</w:t>
      </w:r>
      <w:r>
        <w:t xml:space="preserve"> Melanin hyperpigmentation disorders (MHD) are among the most prevalent dermatologic concerns globally, affecting individuals across all skin phototypes and geographies. Despite their widespread impact on quality of life-including stigmatization, anxiety and depression-comprehensive, unified and practical clinical guidelines are lacking. This global consensus project convened 10 leading dermatologists and pigmentary disorder experts from Africa, Asia, Europe and the Americas to develop an evidence-based, internationally applicable framework for the management of common MHD, including melasma, post-inflammatory hyperpigmentation, acquired dermal macular hyperpigmentation, periorbital hyperpigmentation, chronic hyperpigmentary photodamage, freckles/ephelides and hyperpigmentation of the folds. Based on a comprehensive literature review and a structured Delphi process, the expert panel formulated consensus statements and tailored treatment algorithms that account for skin type, photobiological behaviour, disease severity and regional access to therapies. Special emphasis was placed on the role of broad-spectrum photoprotection and the challenges of tinted sunscreen availability in diverse populations. Treatment options ranged from topical lightening agents and systemic therapies (e.g. oral tranexamic acid) to procedural interventions (e.g. chemical peels, lasers and IPL) stratified</w:t>
      </w:r>
    </w:p>
    <w:p>
      <w:pPr/>
      <w:r>
        <w:rPr>
          <w:b/>
        </w:rPr>
        <w:t>POSSIBLE 2025:</w:t>
      </w:r>
      <w:r>
        <w:t xml:space="preserve"> Global Consensus Recommendations for Metabolic Dysfunction-Associated Steatotic Liver Disease and Steatohepatitis — https://doi.org/10.1053/j.gastro.2025.02.044</w:t>
      </w:r>
    </w:p>
    <w:p>
      <w:pPr/>
      <w:r>
        <w:rPr>
          <w:b/>
        </w:rPr>
        <w:t>Shared claim-specific concepts:</w:t>
      </w:r>
      <w:r>
        <w:t xml:space="preserve"> there, consensus, however; EU scope not established. This is a provisional connection, not an outcome finding.</w:t>
      </w:r>
    </w:p>
    <w:p>
      <w:pPr>
        <w:pStyle w:val="SourceNote"/>
      </w:pPr>
      <w:r>
        <w:rPr>
          <w:b/>
        </w:rPr>
        <w:t>Available abstract (not full text):</w:t>
      </w:r>
      <w:r>
        <w:t xml:space="preserve"> BACKGROUND &amp; AIMS: Metabolic dysfunction-associated steatotic liver disease (MASLD) and steatohepatitis (MASH) are associated with adverse clinical outcomes, impaired health-related quality of life, and significant economic burden. The growing burden of MASLD and MASH has led to the publication of a large number of MASLD/MASH guidelines by national and international societies. However, important differences among the recommendations have created confusion, contributing to a low implementation rate and suboptimal management of MASLD and MASH. Creating a consensus recommendation has become more important since the approval of a selective agonist of thyroid hormone β receptor (resmetirom) for MASH treatment in the United States. We built a consensus among the most recently published recommendations for MASLD/MASH. METHODS: A comprehensive search for MASLD and MASH guidelines, guidance documents, or similar publications from January 2018 to January 2025 using PubMed, Embase, Web of Science, and society websites was conducted. Each selected document was assessed across 8 specific domains with 145 variables. Variables with &lt;50% concordance were used for the Delphi statement development. A supermajority threshold of 67% was set for statement acceptance. RESULTS: There were 61 documents published from 2018 through January 2025. Four rounds of Delphi were conducted: 46 statements were g</w:t>
      </w:r>
    </w:p>
    <w:p>
      <w:pPr/>
      <w:r>
        <w:rPr>
          <w:b/>
        </w:rPr>
        <w:t>POSSIBLE 2025:</w:t>
      </w:r>
      <w:r>
        <w:t xml:space="preserve"> Data driven inventory consensus control for a supply chain system with a design change — https://doi.org/10.61822/amcs-2025-0050</w:t>
      </w:r>
    </w:p>
    <w:p>
      <w:pPr/>
      <w:r>
        <w:rPr>
          <w:b/>
        </w:rPr>
        <w:t>Shared claim-specific concepts:</w:t>
      </w:r>
      <w:r>
        <w:t xml:space="preserve"> consensus, system, systems; EU scope not established. This is a provisional connection, not an outcome finding.</w:t>
      </w:r>
    </w:p>
    <w:p>
      <w:pPr>
        <w:pStyle w:val="SourceNote"/>
      </w:pPr>
      <w:r>
        <w:rPr>
          <w:b/>
        </w:rPr>
        <w:t>Available abstract (not full text):</w:t>
      </w:r>
      <w:r>
        <w:t xml:space="preserve"> The production and supply chain system is a complex nonlinear network comprising suppliers, manufacturers, distributors, retailers, and other entities. The collaborative evolution process for such a system is vitally important, especially when the system undergoes design changes. In this paper, the data-driven inventory consensus problem for production and supply chain systems is studied while considering design changes. Firstly, the production and supply chain system is modeled as a multi-agent one and the collaborative process of the production and supply chain is formulated as the system topology structure switching. Secondly, a digraph data-driven consensus control protocol is proposed to achieve inventory level consensus tracking with respect to a predefined reference trajectory in production and supply chain systems. Thirdly, when a design change occurs, the saturation function is introduced for the protocol design, which helps address the productivity limitation problem. Lastly, with the help of the contracting mapping principle, the convergence analysis is carried out, demonstrating the effectiveness of the proposed data-driven consensus approach through a numerical simulation example.</w:t>
      </w:r>
    </w:p>
    <w:p>
      <w:pPr/>
      <w:r>
        <w:rPr>
          <w:b/>
        </w:rPr>
        <w:t>POSSIBLE 2025:</w:t>
      </w:r>
      <w:r>
        <w:t xml:space="preserve"> Consensus of Fractional-Order Fuzzy Multiagent Systems: Exploring Impulsive Security Protocols — https://doi.org/10.1109/tcns.2025.3543754</w:t>
      </w:r>
    </w:p>
    <w:p>
      <w:pPr/>
      <w:r>
        <w:rPr>
          <w:b/>
        </w:rPr>
        <w:t>Shared claim-specific concepts:</w:t>
      </w:r>
      <w:r>
        <w:t xml:space="preserve"> consensus, system, systems; EU scope not established. This is a provisional connection, not an outcome finding.</w:t>
      </w:r>
    </w:p>
    <w:p>
      <w:pPr>
        <w:pStyle w:val="SourceNote"/>
      </w:pPr>
      <w:r>
        <w:rPr>
          <w:b/>
        </w:rPr>
        <w:t>Available abstract (not full text):</w:t>
      </w:r>
      <w:r>
        <w:t xml:space="preserve"> This article investigates impulsive security protocols with the goal of achieving consensus of fractional-order fuzzy multiagent systems (FOFMASs). In contrast to multiagent systems characterized by ordinary differential equations, FOFMASs are created using Takagi–Sugeno fuzzy rules and fractional-order differential equations, which allow for nonlinearities with parameter uncertainties and also manage memory effects. Due to the potential of denial-of-service (DoS) attacks, the topology among nodes may change, and it is necessary to gain insight into the security consensus under topology switching. This article tackles the security protocol problem by designing a distributed impulsive control for each agent, relying on global delayed communications and topology switching resulting from DoS attacks. Analyzing the stability of impulse-free error systems is a salient problem. Supported by the Lyapunov method and average impulsive interval method, for two cases of self-stabilization or instability of the error system in the absence of impulse, some sufficient conditions are presented to ensure the exponential consensus of FOFMASs under distributed impulsive control with communication delays. Besides, several corollaries are provided to guarantee the consensus under distributed impulsive control without communication delays. Finally, two numerical examples are provided, and some nume</w:t>
      </w:r>
    </w:p>
    <w:p>
      <w:pPr/>
      <w:r>
        <w:rPr>
          <w:b/>
        </w:rPr>
        <w:t>POSSIBLE 2025:</w:t>
      </w:r>
      <w:r>
        <w:t xml:space="preserve"> Consensus-Based Resilience Assurance for System of Systems — https://doi.org/10.1109/access.2025.3535519</w:t>
      </w:r>
    </w:p>
    <w:p>
      <w:pPr/>
      <w:r>
        <w:rPr>
          <w:b/>
        </w:rPr>
        <w:t>Shared claim-specific concepts:</w:t>
      </w:r>
      <w:r>
        <w:t xml:space="preserve"> consensus, system, systems, leading; EU scope not established. This is a provisional connection, not an outcome finding.</w:t>
      </w:r>
    </w:p>
    <w:p>
      <w:pPr>
        <w:pStyle w:val="SourceNote"/>
      </w:pPr>
      <w:r>
        <w:rPr>
          <w:b/>
        </w:rPr>
        <w:t>Available abstract (not full text):</w:t>
      </w:r>
      <w:r>
        <w:t xml:space="preserve"> The complexity of a System of Systems makes resilience one of its key attributes. Numerous studies have focused on the quantitative assessment of resilience by trailing indicators, yet discussions on resilience assurance through monitoring leading indicators remain scarce. Resilience assurance in SoS faces two major challenges: lack of structured argumentation work related to resilience and conflicts among multiple independent stakeholders. To address these challenges, this paper first introduces a resilience argumentation approach based on STAMP (Systems-Theoretic Accident Model and Processes), then employs cooperative consensus process model to seek consensus on resilience assurance. Additionally, under the requirements of the international standard IEC 62853 for open systems dependability, a consensus based resilience assurance framework is proposed. Within the framework, the resilient team can discuss the specific implementation details of failure response, accountability, and change accommodation based on stakeholder consensus. Finally, two SoS case studies, Microgrid and Mobility as a Service, are used to demonstrate the application of the proposed approach.</w:t>
      </w:r>
    </w:p>
    <w:p>
      <w:pPr>
        <w:pStyle w:val="Heading2"/>
      </w:pPr>
      <w:r>
        <w:t>526. European Union, transnational terrorism and the strategic choice of counterterrorism policies in democratic countries</w:t>
      </w:r>
    </w:p>
    <w:p>
      <w:pPr>
        <w:pStyle w:val="SourceNote"/>
      </w:pPr>
      <w:r>
        <w:rPr>
          <w:b/>
        </w:rPr>
        <w:t>Original source (2022):</w:t>
      </w:r>
      <w:r>
        <w:t xml:space="preserve"> https://doi.org/10.1177/14651165221120370</w:t>
      </w:r>
    </w:p>
    <w:p>
      <w:pPr/>
      <w:r>
        <w:t>Original wording (abstract; indexed_source_text_not_full_document_verified): This article highlights the combined effect of voter propensity towards defensive policies, certain intelligence policies and different institutional scenarios on the (in)efficient strategic choice of counterterrorism defensive policies in democratic countries, where efficiency means maximising the joint welfare of countries.</w:t>
      </w:r>
    </w:p>
    <w:p>
      <w:pPr/>
      <w:r>
        <w:rPr>
          <w:b/>
        </w:rPr>
        <w:t>POSSIBLE 2026:</w:t>
      </w:r>
      <w:r>
        <w:t xml:space="preserve"> Migrations and Shrinking Rural Areas in Europe: The Influence of Media Narratives in the Public Discourse — https://doi.org/10.1111/soru.70052</w:t>
      </w:r>
    </w:p>
    <w:p>
      <w:pPr/>
      <w:r>
        <w:rPr>
          <w:b/>
        </w:rPr>
        <w:t>Shared claim-specific concepts:</w:t>
      </w:r>
      <w:r>
        <w:t xml:space="preserve"> article, different, countries; EU scope visible. This is a provisional connection, not an outcome finding.</w:t>
      </w:r>
    </w:p>
    <w:p>
      <w:pPr>
        <w:pStyle w:val="SourceNote"/>
      </w:pPr>
      <w:r>
        <w:rPr>
          <w:b/>
        </w:rPr>
        <w:t>Available abstract (not full text):</w:t>
      </w:r>
      <w:r>
        <w:t xml:space="preserve"> ABSTRACT European shrinking rural areas have played an increasingly significant role over the last decade in hosting both voluntary and forced migration. Despite the structural nature of this phenomenon, media and political narratives frequently frame migration primarily through an emergency perspective. This article investigates how the relationship between migration and shrinking rural areas is represented in mainstream media across different European contexts. The analysis is based on qualitative data collected within the European Horizon 2020 project Welcoming Spaces , combining qualitative content analysis and frame analysis of media coverage in five countries (Italy, Germany, Spain, the Netherlands and Poland). The findings show that reception initiatives and welcoming practices in shrinking rural areas remain largely marginal in national media debates, despite their growing relevance in local contexts. At the same time, local media and community actors occasionally promote alternative narratives that link migration to processes of territorial regeneration and social innovation. By highlighting the asymmetry between the high visibility of migration as a political issue and the limited visibility of local reception practices, the article contributes to a better understanding of how media narratives shape public perceptions of migration and rural transformation in Europe.</w:t>
      </w:r>
    </w:p>
    <w:p>
      <w:pPr/>
      <w:r>
        <w:rPr>
          <w:b/>
        </w:rPr>
        <w:t>POSSIBLE 2026:</w:t>
      </w:r>
      <w:r>
        <w:t xml:space="preserve"> The Role of the European Union and the Council of Europe in Promoting Democracy: The Case of the South Caucasus States — https://doi.org/10.54503/2579-2903-2026.1-183</w:t>
      </w:r>
    </w:p>
    <w:p>
      <w:pPr/>
      <w:r>
        <w:rPr>
          <w:b/>
        </w:rPr>
        <w:t>Shared claim-specific concepts:</w:t>
      </w:r>
      <w:r>
        <w:t xml:space="preserve"> article, highlights, combined, institutional, democratic; EU scope visible. This is a provisional connection, not an outcome finding.</w:t>
      </w:r>
    </w:p>
    <w:p>
      <w:pPr>
        <w:pStyle w:val="SourceNote"/>
      </w:pPr>
      <w:r>
        <w:rPr>
          <w:b/>
        </w:rPr>
        <w:t>Available abstract (not full text):</w:t>
      </w:r>
      <w:r>
        <w:t xml:space="preserve"> The article explores the role and significance of international organisations in the democratisation of the South Caucasus, focusing on the European Union (EU) and the Council of Europe (CoE) as key actors in the democratisation processes in Armenia, Georgia, and Azerbaijan. The research highlights that while external actors provide important incentives and frameworks, the sustainability of democracy ultimately depends on domestic political commitment and institutional resilience. Despite some democratic backsliding in Georgia and Azerbaijan’s ongoing authoritarianism, there are genuine aspirations for democratisation in Armenia, indicating that external incentives can be effective when combined with society's willingness and readiness, and the real will of political authorities.</w:t>
      </w:r>
    </w:p>
    <w:p>
      <w:pPr/>
      <w:r>
        <w:rPr>
          <w:b/>
        </w:rPr>
        <w:t>POSSIBLE 2026:</w:t>
      </w:r>
      <w:r>
        <w:t xml:space="preserve"> Pragmatisation of Right-Wing Populists (The Case of “Patriots for Europe” Group in the European Parliament) — https://doi.org/10.20542/0131-2227-2026-70-6-42-51</w:t>
      </w:r>
    </w:p>
    <w:p>
      <w:pPr/>
      <w:r>
        <w:rPr>
          <w:b/>
        </w:rPr>
        <w:t>Shared claim-specific concepts:</w:t>
      </w:r>
      <w:r>
        <w:t xml:space="preserve"> article, highlights, institutional; EU scope visible. This is a provisional connection, not an outcome finding.</w:t>
      </w:r>
    </w:p>
    <w:p>
      <w:pPr>
        <w:pStyle w:val="SourceNote"/>
      </w:pPr>
      <w:r>
        <w:rPr>
          <w:b/>
        </w:rPr>
        <w:t>Available abstract (not full text):</w:t>
      </w:r>
      <w:r>
        <w:t xml:space="preserve"> The article explores the phenomenon of the pragmatisation of right-wing populist movements through the case study of the “Patriots for Europe” (PfE) group in the European Parliament. Based on discourse analysis, parliamentary materials, and official communications of national parties, the research conceptualizes the Group as a new stage in the institutional evolution of European right-wing populism. Unlike earlier Eurosceptic coalitions, which were often shortlived and leader-centric, PfE operates as a structured and networked alliance that merges ideological sovereignty with pragmatic participation in the EU’s political and legislative mechanisms. The analysis highlights several key dimensions of the Group’s activity. In the sphere of migration and border control, “Patriots for Europe” advocate a model of “sovereign responsibility”, emphasizing the restoration of member-state competences and a coordinated but non-hierarchical role for European Union agencies such as Frontex. In environmental and industrial policy, the Group frames its opposition to the European Green Deal not as climate denialism but as a defense of economic fairness, energy autonomy, and the competitiveness of European agriculture and manufacturing. Institutionally, PfE has developed flexible internal coordination procedures that combine consensus-based decision-making with selective opt-outs for national del</w:t>
      </w:r>
    </w:p>
    <w:p>
      <w:pPr/>
      <w:r>
        <w:rPr>
          <w:b/>
        </w:rPr>
        <w:t>POSSIBLE 2026:</w:t>
      </w:r>
      <w:r>
        <w:t xml:space="preserve"> Cultural diplomacy and economic cooperation in Europe — https://doi.org/10.59295/dnwe2025.42</w:t>
      </w:r>
    </w:p>
    <w:p>
      <w:pPr/>
      <w:r>
        <w:rPr>
          <w:b/>
        </w:rPr>
        <w:t>Shared claim-specific concepts:</w:t>
      </w:r>
      <w:r>
        <w:t xml:space="preserve"> article, highlights, policies, strategic; EU scope visible. This is a provisional connection, not an outcome finding.</w:t>
      </w:r>
    </w:p>
    <w:p>
      <w:pPr>
        <w:pStyle w:val="SourceNote"/>
      </w:pPr>
      <w:r>
        <w:rPr>
          <w:b/>
        </w:rPr>
        <w:t>Available abstract (not full text):</w:t>
      </w:r>
      <w:r>
        <w:t xml:space="preserve"> Purpose of the article: The article aims to analyze the role of cultural diplomacy as a strategic instrument for promoting economic cooperation among European nations. It explores how shared cultural values, heritage, and dialogue can enhance mutual trust, attract investment, and stimulate cross-border partnerships. The study highlights the growing relevance of cultural diplomacy in strengthening the European integration process through both symbolic and practical contributions to sustainable economic collaboration. Methodology: The research applies a qualitative and comparative approach, combining documentary analysis of European policy frameworks, bilateral cooperation agreements, and transnational programs. It also examines academic literature on cultural diplomacy, international relations, and economic integration to assess how cultural initiatives complement traditional economic diplomacy. Conclusions: The findings indicate that cultural diplomacy supports economic development by fostering soft power, building trust, and facilitating long-term partnerships. However, its effectiveness depends on coherent coordination between cultural and economic policies, transparency in implementation, and the equitable participation of all member states. Originality: The originality of the article lies in its interdisciplinary perspective linking culture and economics within the framewor</w:t>
      </w:r>
    </w:p>
    <w:p>
      <w:pPr/>
      <w:r>
        <w:rPr>
          <w:b/>
        </w:rPr>
        <w:t>POSSIBLE 2026:</w:t>
      </w:r>
      <w:r>
        <w:t xml:space="preserve"> The impacts of scandal-based coalition terminations on voters — https://doi.org/10.1017/s1475676526101194</w:t>
      </w:r>
    </w:p>
    <w:p>
      <w:pPr/>
      <w:r>
        <w:rPr>
          <w:b/>
        </w:rPr>
        <w:t>Shared claim-specific concepts:</w:t>
      </w:r>
      <w:r>
        <w:t xml:space="preserve"> voter, propensity, democratic, countries; EU scope visible. This is a provisional connection, not an outcome finding.</w:t>
      </w:r>
    </w:p>
    <w:p>
      <w:pPr>
        <w:pStyle w:val="SourceNote"/>
      </w:pPr>
      <w:r>
        <w:rPr>
          <w:b/>
        </w:rPr>
        <w:t>Available abstract (not full text):</w:t>
      </w:r>
      <w:r>
        <w:t xml:space="preserve"> Abstract In established democracies, governing parties are expected to govern effectively. Government terminations that result from breaking the rule of law, policy blunders, or disastrous policy performances have the potential to damage voters’ perceptions of how well democracy functions in their countries. Yet, current research on coalition politics has not examined the specific consequences of scandal-based government terminations on voters’ attitudes toward politics and the quality of democracy. We analyze the attitudinal impacts of scandal-based government terminations and argue that this type of termination reduces citizens’ satisfaction with the way democracy functions in their countries and their propensity to vote for the party responsible for the scandal. We also examine whether scandal-based coalition terminations negatively impact voter perceptions of the government’s performance. We test our arguments by relying on a recent scandal that took place in Austria: the so-called Ibiza scandal, which caused the early termination of the coalition between the Austrian People’s Party (ÖVP) and the Austrian Freedom Party (FPÖ). At the time the scandal broke, the Austrian National Election Study was in the field. We utilize an Unexpected Event during Survey Design to test if the scandal had consequences for voters’ perceptions of the parties and their collaboration. The suppor</w:t>
      </w:r>
    </w:p>
    <w:p>
      <w:pPr/>
      <w:r>
        <w:rPr>
          <w:b/>
        </w:rPr>
        <w:t>POSSIBLE 2026:</w:t>
      </w:r>
      <w:r>
        <w:t xml:space="preserve"> Generational replacement and voter turnout in Japan — https://doi.org/10.1016/j.electstud.2026.103086</w:t>
      </w:r>
    </w:p>
    <w:p>
      <w:pPr/>
      <w:r>
        <w:rPr>
          <w:b/>
        </w:rPr>
        <w:t>Shared claim-specific concepts:</w:t>
      </w:r>
      <w:r>
        <w:t xml:space="preserve"> combined, voter, different; EU scope not established. This is a provisional connection, not an outcome finding.</w:t>
      </w:r>
    </w:p>
    <w:p>
      <w:pPr>
        <w:pStyle w:val="SourceNote"/>
      </w:pPr>
      <w:r>
        <w:rPr>
          <w:b/>
        </w:rPr>
        <w:t>Available abstract (not full text):</w:t>
      </w:r>
      <w:r>
        <w:t xml:space="preserve"> A large body of research shows that generational replacement has contributed to long-term declines in voter turnout by combining cohort-specific participation patterns with changes in population composition. This research note uses a different approach to understand how high turnout would be in a given election if entering cohorts voted as actively as the cohorts they replaced, conditional on age and electoral context. Using age-by-election official turnout data from Japan, we propose an approach that estimates cohort-specific turnout functions varying across both the life course and elections using Generalized Additive Models. These estimates are combined with observed demographic change to construct age-matched, election-conditioned counterfactual turnout rates for individual elections. The results show that generational turnout gaps in Japan are large but not constant. They vary systematically by age and election year. Accounting for this variation yields more precise assessments of the electoral impact of generational replacement and indicates that cohort differences explain a substantial share of Japan’s recent turnout decline. The findings underscore the value of modelling generational effects dynamically when evaluating turnout change in aging democracies.</w:t>
      </w:r>
    </w:p>
    <w:p>
      <w:pPr/>
      <w:r>
        <w:rPr>
          <w:b/>
        </w:rPr>
        <w:t>POSSIBLE 2026:</w:t>
      </w:r>
      <w:r>
        <w:t xml:space="preserve"> Resilience in Post-Truth and Post-Digital European Union: Youth-Led Civil Society Organisations in the 2024 European Elections — https://doi.org/10.1285/i20356609v19i1p94</w:t>
      </w:r>
    </w:p>
    <w:p>
      <w:pPr/>
      <w:r>
        <w:rPr>
          <w:b/>
        </w:rPr>
        <w:t>Shared claim-specific concepts:</w:t>
      </w:r>
      <w:r>
        <w:t xml:space="preserve"> article, highlights, institutional, democratic; EU scope visible. This is a provisional connection, not an outcome finding.</w:t>
      </w:r>
    </w:p>
    <w:p>
      <w:pPr>
        <w:pStyle w:val="SourceNote"/>
      </w:pPr>
      <w:r>
        <w:rPr>
          <w:b/>
        </w:rPr>
        <w:t>Available abstract (not full text):</w:t>
      </w:r>
      <w:r>
        <w:t xml:space="preserve"> In an era marked by epistemic instability, algorithmic disruption and institutional disaffection, the European Union faces a deepening crisis of communicative legitimacy. This article investigates the role of youth-led civil society organizations (CSOs) as agents of communicative resilience within the evolving landscape of European public institutional communication, focusing on the 2024 European Parliament elections. Drawing on 35 qualitative interviews with CSO representatives involved in the Use Your Vote institutional communication campaign, the study examines how these actors operate simultaneously as actors of disintermediation and multipliers of EU messaging. Through localized, participatory and pedagogical practices, youth-led CSOs rearticulate abstract institutional narratives into context-sensitive forms of civic engagement, countering information disorder and reconnecting citizens—especially in peripheral territories—with the European project. The research highlights how these organizations combine digital tools with offline presence and non-formal education to foster trust, critical awareness and democratic participation. It further explores emerging tensions surrounding the use of generative AI in civic communication, calling for a reflexive and situated approach to digital innovation. Ultimately, the article contends that strengthening communicative resilience in </w:t>
      </w:r>
    </w:p>
    <w:p>
      <w:pPr/>
      <w:r>
        <w:rPr>
          <w:b/>
        </w:rPr>
        <w:t>POSSIBLE 2026:</w:t>
      </w:r>
      <w:r>
        <w:t xml:space="preserve"> The ‘Uneven and combined development’ of elderly care in Central and South-East Europe — https://doi.org/10.17356/ieejsp.v11i4.1414</w:t>
      </w:r>
    </w:p>
    <w:p>
      <w:pPr/>
      <w:r>
        <w:rPr>
          <w:b/>
        </w:rPr>
        <w:t>Shared claim-specific concepts:</w:t>
      </w:r>
      <w:r>
        <w:t xml:space="preserve"> article, combined, effect, countries; EU scope visible. This is a provisional connection, not an outcome finding.</w:t>
      </w:r>
    </w:p>
    <w:p>
      <w:pPr>
        <w:pStyle w:val="SourceNote"/>
      </w:pPr>
      <w:r>
        <w:rPr>
          <w:b/>
        </w:rPr>
        <w:t>Available abstract (not full text):</w:t>
      </w:r>
      <w:r>
        <w:t xml:space="preserve"> The article examines the development dynamics of elderly care in countries along the core–semi-periphery–periphery axis. The geographical scope of the study is framed by international migration flows, focusing on four countries in Central and South-East Europe: Bosnia and Herzegovina, Slovenia, Austria, and Germany. The article demonstrates that, although their development trajectories vary, these countries together exemplify what Trotsky termed ‘uneven and combined development’. In addition to the analytical study, we use two variables (from Eurostat and the World Bank) to illustrate how the social economies of core, semi-periphery, and periphery countries are related. The two variables indicate that, while the relative differences between the countries are decreasing, the absolute differences are increasing. The ‘snowball effect’ helps explain the region’s uneven and combined development, in which inefficient and wasteful social economies – particularly in the core countries – play a role in addition to economic disparities between countries.</w:t>
      </w:r>
    </w:p>
    <w:p>
      <w:pPr/>
      <w:r>
        <w:rPr>
          <w:b/>
        </w:rPr>
        <w:t>POSSIBLE 2026:</w:t>
      </w:r>
      <w:r>
        <w:t xml:space="preserve"> Parties’ responsiveness to voters’ positions in a direct democratic setting — https://doi.org/10.1017/s1475676526101030</w:t>
      </w:r>
    </w:p>
    <w:p>
      <w:pPr/>
      <w:r>
        <w:rPr>
          <w:b/>
        </w:rPr>
        <w:t>Shared claim-specific concepts:</w:t>
      </w:r>
      <w:r>
        <w:t xml:space="preserve"> voter, different, democratic; EU scope not established. This is a provisional connection, not an outcome finding.</w:t>
      </w:r>
    </w:p>
    <w:p>
      <w:pPr>
        <w:pStyle w:val="SourceNote"/>
      </w:pPr>
      <w:r>
        <w:rPr>
          <w:b/>
        </w:rPr>
        <w:t>Available abstract (not full text):</w:t>
      </w:r>
      <w:r>
        <w:t xml:space="preserve"> Abstract The responsiveness of political parties to voters’ policy preferences is a core feature of democracies. A growing number of studies analyze this phenomenon, but key obstacles remain, such as the availability of reliable measures and the infrequency of these measures (election periods). As a consequence, the literature remains vague in theorizing and analyzing instances where the preferences of the median voter clash with those of the party electorate. By studying party responsiveness in a different setting, this paper advances the literature on these fronts: we focus on the Swiss political context, where the frequent use of direct democratic institutions enables us to evaluate the dynamic responsiveness of political parties with several observations per year for a large variety of topics. The paper uses a Bayesian item response theory model to operationalize the general ideological position of ballot proposals and uses them to evaluate parties’ responsiveness to the median voter and party voter. Our results confirm the most recent literature that political parties are responsive to their own electorates’ position shift but not the median voter. Furthermore, we show that, in situations where the signal from the general electorate and the party voters disagree, parties value the party voter more, thus giving even more weight to their partisan electorate. These findings h</w:t>
      </w:r>
    </w:p>
    <w:p>
      <w:pPr/>
      <w:r>
        <w:rPr>
          <w:b/>
        </w:rPr>
        <w:t>POSSIBLE 2025:</w:t>
      </w:r>
      <w:r>
        <w:t xml:space="preserve"> Parliamentarism - conceptual basis of european constitutionalism — https://doi.org/10.59295/stctce2025.15</w:t>
      </w:r>
    </w:p>
    <w:p>
      <w:pPr/>
      <w:r>
        <w:rPr>
          <w:b/>
        </w:rPr>
        <w:t>Shared claim-specific concepts:</w:t>
      </w:r>
      <w:r>
        <w:t xml:space="preserve"> article, institutional, democratic; EU scope visible. This is a provisional connection, not an outcome finding.</w:t>
      </w:r>
    </w:p>
    <w:p>
      <w:pPr>
        <w:pStyle w:val="SourceNote"/>
      </w:pPr>
      <w:r>
        <w:rPr>
          <w:b/>
        </w:rPr>
        <w:t>Available abstract (not full text):</w:t>
      </w:r>
      <w:r>
        <w:t xml:space="preserve"> Parliamentarism represents one of the most significant institutional innovations in Europe's political history, playing a fundamental role in the development of European constitutionalism. This form of political organization combines the principle of representativeness with the separation of powers, providing a framework for democratic governance and the protection of citizens' rights. European constitutionalism, rooted in the supremacy of the constitution and the protection of fundamental rights, has been deeply influenced by the evolution of parliamentary institutions. The aim of this article is to explore how parliamentarism has contributed to the consolidation of European constitutionalism by examining its origins, fundamental principles, and contemporary challenges. We will analyse the relationship between these two concepts, highlighting the essential role of parliamentary institutions in advancing the rule of law and creating a political framework based on accountability and transparency.</w:t>
      </w:r>
    </w:p>
    <w:p>
      <w:pPr/>
      <w:r>
        <w:rPr>
          <w:b/>
        </w:rPr>
        <w:t>POSSIBLE 2025:</w:t>
      </w:r>
      <w:r>
        <w:t xml:space="preserve"> ERS Congress 2024: highlights from the Allied Respiratory Professionals Assembly — https://doi.org/10.1183/23120541.01145-2024</w:t>
      </w:r>
    </w:p>
    <w:p>
      <w:pPr/>
      <w:r>
        <w:rPr>
          <w:b/>
        </w:rPr>
        <w:t>Shared claim-specific concepts:</w:t>
      </w:r>
      <w:r>
        <w:t xml:space="preserve"> article, highlights, intelligence, different; EU scope visible. This is a provisional connection, not an outcome finding.</w:t>
      </w:r>
    </w:p>
    <w:p>
      <w:pPr>
        <w:pStyle w:val="SourceNote"/>
      </w:pPr>
      <w:r>
        <w:rPr>
          <w:b/>
        </w:rPr>
        <w:t>Available abstract (not full text):</w:t>
      </w:r>
      <w:r>
        <w:t xml:space="preserve"> Extract This article presents the highlights of the 2024 European Respiratory Society (ERS) Congress as experienced by the early career allied respiratory professionals (Assembly 9) across the different groups. These highlights are grouped under the themes of 1) digital health and artificial intelligence (AI), 2) self-management, and 3) use of race and ethnicity in pulmonary function testing. The themes were selected by the early career members based on their novelty and attention during the congress. We combine highlights from symposia with novel findings presented in abstract presentations. The theme of the ERS Congress 2024 was “Humans and machines: getting the balance right”.</w:t>
      </w:r>
    </w:p>
    <w:p>
      <w:pPr/>
      <w:r>
        <w:rPr>
          <w:b/>
        </w:rPr>
        <w:t>POSSIBLE 2025:</w:t>
      </w:r>
      <w:r>
        <w:t xml:space="preserve"> The Principle of Good Administration in European Administrative Law and Its Influence on Romania — https://doi.org/10.62768/plpa/2025/14/4/06</w:t>
      </w:r>
    </w:p>
    <w:p>
      <w:pPr/>
      <w:r>
        <w:rPr>
          <w:b/>
        </w:rPr>
        <w:t>Shared claim-specific concepts:</w:t>
      </w:r>
      <w:r>
        <w:t xml:space="preserve"> article, highlights, combined; EU scope visible. This is a provisional connection, not an outcome finding.</w:t>
      </w:r>
    </w:p>
    <w:p>
      <w:pPr>
        <w:pStyle w:val="SourceNote"/>
      </w:pPr>
      <w:r>
        <w:rPr>
          <w:b/>
        </w:rPr>
        <w:t>Available abstract (not full text):</w:t>
      </w:r>
      <w:r>
        <w:t xml:space="preserve"> This paper analyses the principle of good administration as the foundation of European administrative law and its influence on the evolution of public administration in Romania. Based on the case law of the Court of Justice of the European Union, the article examines how this principle has been consolidated as a general standard of legality and fairness in the work of administrative authorities. The study highlights the convergence between European Union law and Romanian administrative law, in particular through the Administrative Code and the Administrative Litigation Law No. 554/2004, which enshrines the right of individuals to transparent, impartial and fair administration. At the same time, the implications of European standards on transparency, public ethics and administrative cooperation between Member States are analysed, with a focus on sensitive areas such as taxation and environmental protection. The article highlights the importance of effective legal protection against administrative abuse and of guaranteeing the right to a fair trial, in accordance with the combined case law of the CJEU and the ECHR. The conclusions point to the ongoing need to adapt Romanian administrative law to the requirements of good European administration, as a prerequisite for strengthening the rule of law and citizens' trust in public institutions.</w:t>
      </w:r>
    </w:p>
    <w:p>
      <w:pPr>
        <w:pStyle w:val="Heading2"/>
      </w:pPr>
      <w:r>
        <w:t>527. FRESHER: Challenges and opportunities for building Health/Healthy futures</w:t>
      </w:r>
    </w:p>
    <w:p>
      <w:pPr>
        <w:pStyle w:val="SourceNote"/>
      </w:pPr>
      <w:r>
        <w:rPr>
          <w:b/>
        </w:rPr>
        <w:t>Original source (2022):</w:t>
      </w:r>
      <w:r>
        <w:t xml:space="preserve"> https://doi.org/10.1093/eurpub/ckac129.121</w:t>
      </w:r>
    </w:p>
    <w:p>
      <w:pPr/>
      <w:r>
        <w:t>Original wording (abstract; indexed_source_text_not_full_document_verified): Results In the Scenario Building phase, the combination of different evolutions of the selected trends resulted in four alternative futures: a Business as Usual Scenario, “The rich get healthier”, two response Scenarios, “We will Health you” and “Healthy together”, and a worst case Scenario “Desolation Health”. The scenarios imagine different futures and depict how health would subsequently change in such worlds.</w:t>
      </w:r>
    </w:p>
    <w:p>
      <w:pPr/>
      <w:r>
        <w:rPr>
          <w:b/>
        </w:rPr>
        <w:t>POSSIBLE 2026:</w:t>
      </w:r>
      <w:r>
        <w:t xml:space="preserve"> Techno-economic evaluation of an elastic composite phase change material for building envelopes — https://doi.org/10.1016/j.tsep.2026.104727</w:t>
      </w:r>
    </w:p>
    <w:p>
      <w:pPr/>
      <w:r>
        <w:rPr>
          <w:b/>
        </w:rPr>
        <w:t>Shared claim-specific concepts:</w:t>
      </w:r>
      <w:r>
        <w:t xml:space="preserve"> building, phase, combination; EU scope not established. This is a provisional connection, not an outcome finding.</w:t>
      </w:r>
    </w:p>
    <w:p>
      <w:pPr>
        <w:pStyle w:val="SourceNote"/>
      </w:pPr>
      <w:r>
        <w:rPr>
          <w:b/>
        </w:rPr>
        <w:t>Available abstract (not full text):</w:t>
      </w:r>
      <w:r>
        <w:t xml:space="preserve"> This work developed an elastic form-stable composite phase change material (PCM) using RT 28 as organic PCMs and styrene-ethylene-butylene-styrene copolymer (SEBS) as the supporting matrix for building energy efficiency applications. Comprehensive characterization via SEM and FT-IR confirmed a physical combination between RT 28 and SEBS without chemical reaction or new compound formation. The DSC test results indicated that the phase change temperature and latent heat of composite PCMs were 25.1°C and 178.2 J/g, respectively. The TGA analysis demonstrated that the thermal stability of composite PCMs was improved compared to pure RT 28. After 200 thermal cycles, composite PCMs retained stable phase change properties. The thermal performance of composite PCMs incorporated into building envelopes was systematically evaluated through numerical simulations across five distinct climate regions. The results showed that PCM panels integrated into building envelopes reduced indoor temperature fluctuations in non-air-conditioned buildings and lowered HVAC energy consumption in air-conditioned buildings. It is worth mentioning that excessive PCM panel thickness increased energy consumption in mild climates (such as Kunming). The economic analysis revealed payback periods ranging from 18.0 years (Harbin) to 599.8 years (Kunming), confirming economic feasibility in severe cold regions. Over</w:t>
      </w:r>
    </w:p>
    <w:p>
      <w:pPr/>
      <w:r>
        <w:rPr>
          <w:b/>
        </w:rPr>
        <w:t>POSSIBLE 2026:</w:t>
      </w:r>
      <w:r>
        <w:t xml:space="preserve"> Evolution of the School Building Network in Portugal in the First Decade of the New Millennium — https://doi.org/10.31637/epsir-2026-2713</w:t>
      </w:r>
    </w:p>
    <w:p>
      <w:pPr/>
      <w:r>
        <w:rPr>
          <w:b/>
        </w:rPr>
        <w:t>Shared claim-specific concepts:</w:t>
      </w:r>
      <w:r>
        <w:t xml:space="preserve"> building, different, two; EU scope visible. This is a provisional connection, not an outcome finding.</w:t>
      </w:r>
    </w:p>
    <w:p>
      <w:pPr>
        <w:pStyle w:val="SourceNote"/>
      </w:pPr>
      <w:r>
        <w:rPr>
          <w:b/>
        </w:rPr>
        <w:t>Available abstract (not full text):</w:t>
      </w:r>
      <w:r>
        <w:t xml:space="preserve"> Introduction: The network of non-higher education has evolved in a very peculiar way over the decades in Portugal. The 21st century has been marked by the growth of competitive logic, which also affects the education sector. Even so, this evolution is reflected in different ways in each contexts. Methodology: The research adopted a descriptive quantitative approach, based on statistical data, focused on two regions of Portugal — Coimbra Region and Lisbon Metropolitan Area —, allowing a comparassion from 1999/2000 to 2009/2010. Results: The evolution of non-higher education establishments varies greatly between the two regions under study, although in the country as a whole, private provision has increased and public and total provision has decreased. Discussion: The study provides an interesting and objective analysis of the issue, that should considere a set of considerations, including the evolution of arts and specialized education and vocational education—which were particularly relevant during the period under study—and the emergence of new elements that reinforce the logic of competitiveness in schools, such as the rankings implemented in Portugal since 2001. Conclusions: The different needs of the education system reflect a varied evolution, highlighting territorial asymmetries in the country under study.</w:t>
      </w:r>
    </w:p>
    <w:p>
      <w:pPr/>
      <w:r>
        <w:rPr>
          <w:b/>
        </w:rPr>
        <w:t>POSSIBLE 2025:</w:t>
      </w:r>
      <w:r>
        <w:t xml:space="preserve"> Documenting different building phases of a medieval chapel through GPR and image-based modelling — https://doi.org/10.4000/14ns9</w:t>
      </w:r>
    </w:p>
    <w:p>
      <w:pPr/>
      <w:r>
        <w:rPr>
          <w:b/>
        </w:rPr>
        <w:t>Shared claim-specific concepts:</w:t>
      </w:r>
      <w:r>
        <w:t xml:space="preserve"> building, combination, different; EU scope not established. This is a provisional connection, not an outcome finding.</w:t>
      </w:r>
    </w:p>
    <w:p>
      <w:pPr>
        <w:pStyle w:val="SourceNote"/>
      </w:pPr>
      <w:r>
        <w:rPr>
          <w:b/>
        </w:rPr>
        <w:t>Available abstract (not full text):</w:t>
      </w:r>
      <w:r>
        <w:t xml:space="preserve"> Non-destructive discrimination of building phases, Combination of GPR and image-based modelling, Detection of unknown layout of older chapel</w:t>
      </w:r>
    </w:p>
    <w:p>
      <w:pPr/>
      <w:r>
        <w:rPr>
          <w:b/>
        </w:rPr>
        <w:t>POSSIBLE 2025:</w:t>
      </w:r>
      <w:r>
        <w:t xml:space="preserve"> Optimising phase change materials for ventilated building components in sustainable building design: a comprehensive review — https://doi.org/10.1016/j.enbuild.2025.115947</w:t>
      </w:r>
    </w:p>
    <w:p>
      <w:pPr/>
      <w:r>
        <w:rPr>
          <w:b/>
        </w:rPr>
        <w:t>Shared claim-specific concepts:</w:t>
      </w:r>
      <w:r>
        <w:t xml:space="preserve"> building, phase, combination; EU scope not established. This is a provisional connection, not an outcome finding.</w:t>
      </w:r>
    </w:p>
    <w:p>
      <w:pPr>
        <w:pStyle w:val="SourceNote"/>
      </w:pPr>
      <w:r>
        <w:rPr>
          <w:b/>
        </w:rPr>
        <w:t>Available abstract (not full text):</w:t>
      </w:r>
      <w:r>
        <w:t xml:space="preserve"> The rise in energy-efficient, sustainable building operations necessitates the development of advanced innovations that reduce heating and cooling demands while maintaining comfortable indoor thermal conditions. Phase change materials (PCMs) demonstrate significant potential as a stabilization mechanism through latent heat storage for managing residential indoor temperatures; however, their integration into systems requires further optimisation. This review examines PCM-assisted ventilation technologies—specifically ventilated façades, roofs, and windows—highlighting their energy performance, which ranges from 7.7 % to 32.8 %, and their capacity to reduce peak temperatures by 2.5 °C to 7.02 °C. These improvements are influenced by PCM thickness of 15–35 mm and melting temperatures of 15–37 °C. The combination of PCM-enhanced hybrid systems with natural or mechanical ventilation has shown greater operational effectiveness, particularly in hot climates and when integrated with adaptive control systems to achieve optimal performance. Despite their benefits, widespread adoption of PCM technologies is hindered by high material costs, hysteresis effects, and limited discharge cycle efficiency. Nevertheless, PCM-enhanced ventilation systems have proven capable of supporting sustainable, low-energy buildings. Continued research is needed to develop cost-effective design strategies, aut</w:t>
      </w:r>
    </w:p>
    <w:p>
      <w:pPr/>
      <w:r>
        <w:rPr>
          <w:b/>
        </w:rPr>
        <w:t>POSSIBLE 2025:</w:t>
      </w:r>
      <w:r>
        <w:t xml:space="preserve"> Formation and evolution of residential buildings in the Djelfa region of Algeria — https://doi.org/10.2478/alfa-2025-0003</w:t>
      </w:r>
    </w:p>
    <w:p>
      <w:pPr/>
      <w:r>
        <w:rPr>
          <w:b/>
        </w:rPr>
        <w:t>Shared claim-specific concepts:</w:t>
      </w:r>
      <w:r>
        <w:t xml:space="preserve"> building, selected, response; EU scope not established. This is a provisional connection, not an outcome finding.</w:t>
      </w:r>
    </w:p>
    <w:p>
      <w:pPr>
        <w:pStyle w:val="SourceNote"/>
      </w:pPr>
      <w:r>
        <w:rPr>
          <w:b/>
        </w:rPr>
        <w:t>Available abstract (not full text):</w:t>
      </w:r>
      <w:r>
        <w:t xml:space="preserve"> Abstract This study endeavours to refund the evolutionary trajectory of residential building within the Djelfa region of Algeria, a landscape characterised by the cohabitation of sedentary and nomadic modes of existence. The investigation reconstructs the typological development by examining its earliest roots, namely the rudimentary forms of habitation – the hut and the tent – respectively adapted to sedentary and nomadic lifestyles. A sample encompassing approximately sixty dwellings situated within the town of Djelfa and its environs was meticulously selected, ensuring representation of diverse typological features such as size, spatial arrangement within the urban fabric, orientation, accessibility, and internal spatial organisation. This analysis aims to discern both diachronic and synchronic variations: the enduring linkages between residential building types across time and the co-existence of concurrent typologies. The research reveals a dynamic of organic links of continuity throughout this evolutionary process, punctuated by transitional phases that give rise to novel building solutions. These innovative solutions, upon achieving a degree of stability, tend to be replicated in a serialized way. The study underscores the pivotal role of the urban courtyard house within this evolutionary narrative, emphasising its remarkable adaptability and capacity for diversification</w:t>
      </w:r>
    </w:p>
    <w:p>
      <w:pPr/>
      <w:r>
        <w:rPr>
          <w:b/>
        </w:rPr>
        <w:t>POSSIBLE 2025:</w:t>
      </w:r>
      <w:r>
        <w:t xml:space="preserve"> Experimental characterization of the thermophysical properties of some selected phase change materials for building applications: Critical input data for numerical simulations — https://doi.org/10.1016/j.est.2025.115463</w:t>
      </w:r>
    </w:p>
    <w:p>
      <w:pPr/>
      <w:r>
        <w:rPr>
          <w:b/>
        </w:rPr>
        <w:t>Shared claim-specific concepts:</w:t>
      </w:r>
      <w:r>
        <w:t xml:space="preserve"> building, phase, selected; EU scope not established. This is a provisional connection, not an outcome finding.</w:t>
      </w:r>
    </w:p>
    <w:p>
      <w:pPr>
        <w:pStyle w:val="SourceNote"/>
      </w:pPr>
      <w:r>
        <w:rPr>
          <w:b/>
        </w:rPr>
        <w:t>Available abstract (not full text):</w:t>
      </w:r>
      <w:r>
        <w:t xml:space="preserve"> A precise characterization of the thermophysical properties of Phase Change Materials (PCMs) used for the Latent Heat Thermal Energy Storage (LHTES) is necessary for the development and manufacturing of LHTES technol- ogies. The complete input data for Computational Fluid Dynamics (CFD) simulations of PCMs phase transition processes is very lacking in the literature, making it difficult to set up CFD simulations and specially to guarantee the accuracy of the results. The present study focuses on a comprehensive experimental characterization of the thermophysical properties of six PCMs in order to support the numerical studies. Several measurement tech- niques allowed the characterization of these PCMs. The Anton Paar MCR 102 rheometer was used to determine the viscosity of the six PCMs and their temperature dependency. A TPS 2200 model HotDisk allowed the mea- surements of the thermal conductivity of both solid and liquid phases of the PCMs, using a temperature- controlled bath. A high-precision in-house experimental setup was developed and validated, for measuring the liquid phase density of PCMs and its temperature dependency. Subsequently, it allowed the determination of the thermal expansion coefficient, which is rare in the literature. Finally, a Differential Scanning Calorimeter (DSC) was used to determine the necessary thermal data for modeling the phase change processes</w:t>
      </w:r>
    </w:p>
    <w:p>
      <w:pPr/>
      <w:r>
        <w:rPr>
          <w:b/>
        </w:rPr>
        <w:t>POSSIBLE 2025:</w:t>
      </w:r>
      <w:r>
        <w:t xml:space="preserve"> Carbon Emission Measurement and Low-Carbon Path in the Operation Phase of Higher Education Teaching Buildings — https://doi.org/10.3233/atde251327</w:t>
      </w:r>
    </w:p>
    <w:p>
      <w:pPr/>
      <w:r>
        <w:rPr>
          <w:b/>
        </w:rPr>
        <w:t>Shared claim-specific concepts:</w:t>
      </w:r>
      <w:r>
        <w:t xml:space="preserve"> phase, combination, case; EU scope not established. This is a provisional connection, not an outcome finding.</w:t>
      </w:r>
    </w:p>
    <w:p>
      <w:pPr>
        <w:pStyle w:val="SourceNote"/>
      </w:pPr>
      <w:r>
        <w:rPr>
          <w:b/>
        </w:rPr>
        <w:t>Available abstract (not full text):</w:t>
      </w:r>
      <w:r>
        <w:t xml:space="preserve"> Aiming at energy saving and carbon reduction in the operation phase of university teaching buildings, this study analyses the operation characteristics and carbon emission sources of university teaching buildings, measures the specific carbon emissions in combination with actual cases, and predicts and evaluates the carbon reduction potential by using the STIRPAT model and scenario analysis method. The results show that the carbon emissions of the case teaching buildings increase from 1286.012t to 1538.929t in 2022-2024, showing yearly growth and seasonal fluctuations, with energy structure and energy intensity having the greatest impact on carbon emissions (elasticity coefficients of 0.352 and 0.321, respectively). The prediction of three scenarios, namely, baseline, low carbon and ultra-low carbon, shows that carbon emissions will grow rapidly and continuously under the baseline scenario, and the ultra-low carbon scenario can achieve a continuous reduction, and it is expected that the emission reduction in 2035 can reach 208.14∼259.28t. This study provides theoretical and practical references for the construction of green campuses.</w:t>
      </w:r>
    </w:p>
    <w:p>
      <w:pPr/>
      <w:r>
        <w:rPr>
          <w:b/>
        </w:rPr>
        <w:t>POSSIBLE 2025:</w:t>
      </w:r>
      <w:r>
        <w:t xml:space="preserve"> Enhancing Building Thermal Performance: A Review of Phase Change Material Integration — https://doi.org/10.3390/en18123200</w:t>
      </w:r>
    </w:p>
    <w:p>
      <w:pPr/>
      <w:r>
        <w:rPr>
          <w:b/>
        </w:rPr>
        <w:t>Shared claim-specific concepts:</w:t>
      </w:r>
      <w:r>
        <w:t xml:space="preserve"> building, phase, different; EU scope not established. This is a provisional connection, not an outcome finding.</w:t>
      </w:r>
    </w:p>
    <w:p>
      <w:pPr>
        <w:pStyle w:val="SourceNote"/>
      </w:pPr>
      <w:r>
        <w:rPr>
          <w:b/>
        </w:rPr>
        <w:t>Available abstract (not full text):</w:t>
      </w:r>
      <w:r>
        <w:t xml:space="preserve"> Buildings are responsible for over one-third of global energy use and greenhouse gas emissions, with heating and cooling being major contributors. Phase change materials (PCMs) offer a promising passive solution to improve thermal regulation and reduce heating and cooling loads. This review analyses different experimental and simulation-based studies on the integration of PCMs into building structures for enhancing building energy performance. The key variables examined include melting temperature, latent heat capacity, thermal conductivity (λ), PCM positioning (interior, exterior, or embedded), thickness, and climate zone. The results show that PCMs reduce heat transfer by up to 47.6%, stabilize indoor temperatures with up to a 46% reduction in fluctuations, and decrease heating and cooling demands by as much as 31%, depending on component placement and climate. The optimal melting range for moderate climates lies between 22 °C and 28 °C. This review identifies critical trade-offs between PCM quantity, placement, and climatic suitability and provides a matrix of design recommendations for various building types.</w:t>
      </w:r>
    </w:p>
    <w:p>
      <w:pPr/>
      <w:r>
        <w:rPr>
          <w:b/>
        </w:rPr>
        <w:t>POSSIBLE 2025:</w:t>
      </w:r>
      <w:r>
        <w:t xml:space="preserve"> Continued Augmentation in Metahuman Systems: Phase of Trust Building — https://doi.org/10.5465/amproc.2025.22130abstract</w:t>
      </w:r>
    </w:p>
    <w:p>
      <w:pPr/>
      <w:r>
        <w:rPr>
          <w:b/>
        </w:rPr>
        <w:t>Shared claim-specific concepts:</w:t>
      </w:r>
      <w:r>
        <w:t xml:space="preserve"> building, phase, combination, different, usual, two; EU scope not established. This is a provisional connection, not an outcome finding.</w:t>
      </w:r>
    </w:p>
    <w:p>
      <w:pPr>
        <w:pStyle w:val="SourceNote"/>
      </w:pPr>
      <w:r>
        <w:rPr>
          <w:b/>
        </w:rPr>
        <w:t>Available abstract (not full text):</w:t>
      </w:r>
      <w:r>
        <w:t xml:space="preserve"> The paper brings together two major research areas: the effects of technology in workplaces and trust in technology, in the context of Artificial Intelligence’s (AI) proliferation. By doing so, the paper answers the call to go beyond the automation augmentation debate to understand the nuances caused by the continuance of augmentation on knowledge workers within AI systems. We introduce a theory of trust in AI systems, proposing a dynamic form of trust that emerges when the usual epistemic relationship between trust and knowing (that technology delivers an expected result) is broken. The creation of doubts in the system, due to the occurrences of different types of errors, questions the veracity of the AI model’s results. The implications of this theory are shown in the context of different AI models used in a Department of Radiology, through an extensive ethnographic fieldwork. Unlike previous workplace technologies, where trust is developed gradually, the trust-building process for each AI model follows a unique path, offering a combination of two forms of trust: fleeting and stable. In order to further understanding this phenomenon, the data suggests integrating trusting building with social actions, system functions and the daily work context within the department. The study points to the transient nature of trust in AI systems, which depends on the context and features of </w:t>
      </w:r>
    </w:p>
    <w:p>
      <w:pPr/>
      <w:r>
        <w:rPr>
          <w:b/>
        </w:rPr>
        <w:t>POSSIBLE 2025:</w:t>
      </w:r>
      <w:r>
        <w:t xml:space="preserve"> Towards the understanding of Keim'sche Mineralfarben in architectural paints: Material characterization and phase quantification on selected historical pigment admixtures — https://doi.org/10.1016/j.dyepig.2025.113285</w:t>
      </w:r>
    </w:p>
    <w:p>
      <w:pPr/>
      <w:r>
        <w:rPr>
          <w:b/>
        </w:rPr>
        <w:t>Shared claim-specific concepts:</w:t>
      </w:r>
      <w:r>
        <w:t xml:space="preserve"> phase, different, selected; EU scope not established. This is a provisional connection, not an outcome finding.</w:t>
      </w:r>
    </w:p>
    <w:p>
      <w:pPr>
        <w:pStyle w:val="SourceNote"/>
      </w:pPr>
      <w:r>
        <w:rPr>
          <w:b/>
        </w:rPr>
        <w:t>Available abstract (not full text):</w:t>
      </w:r>
      <w:r>
        <w:t xml:space="preserve"> ‘ Keim’sche Mineralfarben’ are widely recognized silicate-based paints historically employed for painting and decorating architectural surfaces, as well as in the conservation and restoration of historic buildings and monuments, particularly where high-quality architectural finishes are required. Comprehensive knowledge of the composition of historical Keim’sche Mineralfarben pigment admixtures and their evolution—particularly for dating purposes—remains limited within the field of architectural conservation. The study demonstrates the effectiveness of a multi-analytical approach in characterizing the composition and phase quantification of selected yellow-to brownish-toned historical Keimfarben pigment admixtures and suggests a methodology for the characterization of this product on site, offering new perspectives on understanding the chronology of the paint layers, thus planning future restoration interventions. A multi-analytical approach was employed, combining optical microscopy, X-ray fluorescence, in situ Raman and micro-Raman spectroscopy, ATR-FTIR, and X-ray powder diffraction with Rietveld refinement. The results show that the studied Keimfarben pigment admixtures are composed of calcite, fluorite, kaolinite, quartz, barite, rutile, and witherite, as well as different quantities of hematite, goethite, and eskolaite depending on the hue. Certain identified phases have </w:t>
      </w:r>
    </w:p>
    <w:p>
      <w:pPr/>
      <w:r>
        <w:rPr>
          <w:b/>
        </w:rPr>
        <w:t>POSSIBLE 2025:</w:t>
      </w:r>
      <w:r>
        <w:t xml:space="preserve"> Life Cycle Assessment in the Early Design Phase of Buildings: Strategies, Tools, and Future Directions — https://doi.org/10.3390/buildings15101612</w:t>
      </w:r>
    </w:p>
    <w:p>
      <w:pPr/>
      <w:r>
        <w:rPr>
          <w:b/>
        </w:rPr>
        <w:t>Shared claim-specific concepts:</w:t>
      </w:r>
      <w:r>
        <w:t xml:space="preserve"> building, phase, trends; EU scope not established. This is a provisional connection, not an outcome finding.</w:t>
      </w:r>
    </w:p>
    <w:p>
      <w:pPr>
        <w:pStyle w:val="SourceNote"/>
      </w:pPr>
      <w:r>
        <w:rPr>
          <w:b/>
        </w:rPr>
        <w:t>Available abstract (not full text):</w:t>
      </w:r>
      <w:r>
        <w:t xml:space="preserve"> The construction industry plays a significant role in global warming, accounting for 42% of primary energy use and 39% of greenhouse gas (GHG) emissions worldwide. Life Cycle Assessment (LCA) has emerged as a key methodology for evaluating environmental impacts throughout a building’s life cycle, yet its integration in the early design phase remains limited. This review aims to examine strategies and tools for incorporating LCA in the early design phase to enhance sustainability in building construction. The objectives of this study are: (1) to identify the main challenges in integrating LCA into early design workflows, (2) to analyze and compare LCA tools suitable for early-stage assessments, and (3) to explore emerging trends and technological advancements. A systematic literature review was employed using the Scopus database to analyze existing literature, identifying current practices, challenges, and technological advancements in early-stage LCA implementation. A total of 56 studies were identified for the review. The results highlight the growing adoption of Building Information Modeling (BIM), Artificial Intelligence (AI), and parametric modeling in streamlining LCA integration. Despite these advancements, barriers such as data scarcity, lack of standardization, and interoperability issues persist. Key findings suggest that simplified and computational LCA tools can impr</w:t>
      </w:r>
    </w:p>
    <w:p>
      <w:pPr/>
      <w:r>
        <w:rPr>
          <w:b/>
        </w:rPr>
        <w:t>POSSIBLE 2025:</w:t>
      </w:r>
      <w:r>
        <w:t xml:space="preserve"> From Rating System to Thought Leadership: The Evolution of the Canada Green Building Council — https://doi.org/10.1111/beer.70070</w:t>
      </w:r>
    </w:p>
    <w:p>
      <w:pPr/>
      <w:r>
        <w:rPr>
          <w:b/>
        </w:rPr>
        <w:t>Shared claim-specific concepts:</w:t>
      </w:r>
      <w:r>
        <w:t xml:space="preserve"> building, selected, case; EU scope not established. This is a provisional connection, not an outcome finding.</w:t>
      </w:r>
    </w:p>
    <w:p>
      <w:pPr>
        <w:pStyle w:val="SourceNote"/>
      </w:pPr>
      <w:r>
        <w:rPr>
          <w:b/>
        </w:rPr>
        <w:t>Available abstract (not full text):</w:t>
      </w:r>
      <w:r>
        <w:t xml:space="preserve"> ABSTRACT Green Building Social Movement Organizations encourage the adoption of green buildings, primarily by promoting sustainability rating tools. While numerous papers have explored the market impact of these sustainability rating tools, very few have examined either the lengthy and protracted process of their selection and enrollment by organizations, or even their impact upon the structure and governance of organizations. This paper fills these gaps by presenting a 20‐year case study of organizational evolution. It identifies five distinct periods through which the chosen organization variously selected, developed, established, lost control, and transcended its relationship with LEED (Leadership in Energy and Environmental Design; a ‘green building’ rating tool) in Canada. Conceptually, our analysis has roots within the Sociology of Translation and (Scandinavian) Institutional Theory. In this, we treat the technical mediation of sustainability rating tools as institutional work activities to understand their role(s) in organizational evolution. The empirical basis for our analysis is data acquired through 21 semi‐structured interviews with organization founders and key personnel in each period, as well as a comprehensive analysis of archival records. Our findings offer significant insights for organizations that have bound themselves to a tool, certification, or standard a</w:t>
      </w:r>
    </w:p>
    <w:p>
      <w:pPr>
        <w:pStyle w:val="Heading2"/>
      </w:pPr>
      <w:r>
        <w:t>528. Facilitating transformative science education through futures thinking</w:t>
      </w:r>
    </w:p>
    <w:p>
      <w:pPr>
        <w:pStyle w:val="SourceNote"/>
      </w:pPr>
      <w:r>
        <w:rPr>
          <w:b/>
        </w:rPr>
        <w:t>Original source (2022):</w:t>
      </w:r>
      <w:r>
        <w:t xml:space="preserve"> https://doi.org/10.1108/oth-09-2021-0114</w:t>
      </w:r>
    </w:p>
    <w:p>
      <w:pPr/>
      <w:r>
        <w:t>Original wording (abstract; indexed_source_text_not_full_document_verified): Findings Recent research has shown that future-oriented science learning activities, involving systems thinking, scenario development and backcasting, can let students broaden their futures perceptions, imagine alternatives and navigate uncertainty.</w:t>
      </w:r>
    </w:p>
    <w:p>
      <w:pPr/>
      <w:r>
        <w:rPr>
          <w:b/>
        </w:rPr>
        <w:t>POSSIBLE 2026:</w:t>
      </w:r>
      <w:r>
        <w:t xml:space="preserve"> Critical Discussion of Recent Research Findings on Learning Disabilities [Course Material] Msc in Psychology of Child Development PS4212 Language, Literacy and Learning Lesson 6. College for Humanistic Sciences-ICPS, University of Lancashire — https://doi.org/10.5281/zenodo.20758339</w:t>
      </w:r>
    </w:p>
    <w:p>
      <w:pPr/>
      <w:r>
        <w:rPr>
          <w:b/>
        </w:rPr>
        <w:t>Shared claim-specific concepts:</w:t>
      </w:r>
      <w:r>
        <w:t xml:space="preserve"> findings, recent, learning, systems; EU scope not established. This is a provisional connection, not an outcome finding.</w:t>
      </w:r>
    </w:p>
    <w:p>
      <w:pPr>
        <w:pStyle w:val="SourceNote"/>
      </w:pPr>
      <w:r>
        <w:rPr>
          <w:b/>
        </w:rPr>
        <w:t>Available abstract (not full text):</w:t>
      </w:r>
      <w:r>
        <w:t xml:space="preserve"> Abstract This chapter critically examines the most significant research findings of the last five years concerning learning disabilities, focusing on contemporary theoretical approaches, their cognitive and neurodevelopmental dimensions, and educational interventions supported by empirical evidence. Recent literature demonstrates a gradual shift from traditional categorical models toward multifactorial and dimensional approaches, which acknowledge the heterogeneity of learners and the interaction among linguistic, cognitive, emotional, and environmental factors. Particular emphasis is placed on current perspectives on dyslexia, the contribution of executive functions and neurocognitive mechanisms, as well as the frequent comorbidity with other neurodevelopmental disorders. Furthermore, findings from recent meta-analyses and systematic reviews regarding the effectiveness of educational interventions are discussed, highlighting the importance of explicit instruction, early intervention, differentiated teaching, and multi-tiered support systems. The critical evaluation of the available evidence underscores both the considerable progress achieved in understanding learning disabilities and the need for further methodologically rigorous and longitudinal research. Such efforts are expected to contribute to the improvement of educational practices and to the advancement of inclusive ed</w:t>
      </w:r>
    </w:p>
    <w:p>
      <w:pPr/>
      <w:r>
        <w:rPr>
          <w:b/>
        </w:rPr>
        <w:t>POSSIBLE 2026:</w:t>
      </w:r>
      <w:r>
        <w:t xml:space="preserve"> Recent Trends and Innovations in Science Education: A Systematic Review of Teaching, Learning, and Assessment Practices — https://doi.org/10.5281/zenodo.23408637</w:t>
      </w:r>
    </w:p>
    <w:p>
      <w:pPr/>
      <w:r>
        <w:rPr>
          <w:b/>
        </w:rPr>
        <w:t>Shared claim-specific concepts:</w:t>
      </w:r>
      <w:r>
        <w:t xml:space="preserve"> findings, recent, science, learning, thinking, students; EU scope not established. This is a provisional connection, not an outcome finding.</w:t>
      </w:r>
    </w:p>
    <w:p>
      <w:pPr>
        <w:pStyle w:val="SourceNote"/>
      </w:pPr>
      <w:r>
        <w:rPr>
          <w:b/>
        </w:rPr>
        <w:t>Available abstract (not full text):</w:t>
      </w:r>
      <w:r>
        <w:t xml:space="preserve"> Recent Trends and Innovations in Science Education: A Systematic Review of Teaching, Learning, and Assessment PracticesSashibala Devi (TGT, S.S.DEV PUBLIC SCHOOL)AbstractScience education has become one of the most significant pillars of educational development in the twenty-first century. Rapid technological advancement, globalization, environmental concerns, and the increasing demand for scientific literacy have transformed the objectives and methodologies of science teaching across the world. Traditional teacher-centered instruction has gradually shifted toward learner-centered, inquiry-based, technology-supported, and competency-oriented approaches. The National Education Policy (NEP) 2020 in India and international educational frameworks have further emphasized experiential learning, interdisciplinary education, digital integration, and scientific reasoning. This review paper synthesizes recent literature on science education published between 2018 and 2026 to identify emerging trends, innovations, challenges, and future research directions.The study adopts a systematic review methodology using peer-reviewed journal articles, conference proceedings, policy documents, and educational reports indexed in Scopus, Web of Science, ERIC, Google Scholar, and UGC CARE-listed journals. The literature highlights that inquiry-based learning, STEM education, virtual laboratories, artif</w:t>
      </w:r>
    </w:p>
    <w:p>
      <w:pPr/>
      <w:r>
        <w:rPr>
          <w:b/>
        </w:rPr>
        <w:t>POSSIBLE 2026:</w:t>
      </w:r>
      <w:r>
        <w:t xml:space="preserve"> Using Learning Progressions to Guide AI Feedback for Science Learning — https://openalex.org/W7133571101</w:t>
      </w:r>
    </w:p>
    <w:p>
      <w:pPr/>
      <w:r>
        <w:rPr>
          <w:b/>
        </w:rPr>
        <w:t>Shared claim-specific concepts:</w:t>
      </w:r>
      <w:r>
        <w:t xml:space="preserve"> findings, science, learning, students; EU scope not established. This is a provisional connection, not an outcome finding.</w:t>
      </w:r>
    </w:p>
    <w:p>
      <w:pPr>
        <w:pStyle w:val="SourceNote"/>
      </w:pPr>
      <w:r>
        <w:rPr>
          <w:b/>
        </w:rPr>
        <w:t>Available abstract (not full text):</w:t>
      </w:r>
      <w:r>
        <w:t xml:space="preserve"> Generative artificial intelligence (AI) offers scalable support for formative feedback, yet most AI-generated feedback relies on task-specific rubrics authored by domain experts. While effective, rubric authoring is time-consuming and limits scalability across instructional contexts. Learning progressions (LP) provide a theoretically grounded representation of students' developing understanding and may offer an alternative solution. This study examines whether an LP-driven rubric generation pipeline can produce AI-generated feedback comparable in quality to feedback guided by expert-authored task rubrics. We analyzed AI-generated feedback for written scientific explanations produced by 207 middle school students in a chemistry task. Two pipelines were compared: (a) feedback guided by a human expert-designed, task-specific rubric, and (b) feedback guided by a task-specific rubric automatically derived from a learning progression prior to grading and feedback generation. Two human coders evaluated feedback quality using a multi-dimensional rubric assessing Clarity, Accuracy, Relevance, Engagement and Motivation, and Reflectiveness (10 sub-dimensions). Inter-rater reliability was high, with percent agreement ranging from 89% to 100% and Cohen's kappa values for estimable dimensions (kappa = .66 to .88). Paired t-tests revealed no statistically significant differences between the t</w:t>
      </w:r>
    </w:p>
    <w:p>
      <w:pPr/>
      <w:r>
        <w:rPr>
          <w:b/>
        </w:rPr>
        <w:t>POSSIBLE 2026:</w:t>
      </w:r>
      <w:r>
        <w:t xml:space="preserve"> Mesenchymal stromal cells in Rheumathology: Recent findings — https://doi.org/10.30574/wjarr.2026.29.3.0619</w:t>
      </w:r>
    </w:p>
    <w:p>
      <w:pPr/>
      <w:r>
        <w:rPr>
          <w:b/>
        </w:rPr>
        <w:t>Shared claim-specific concepts:</w:t>
      </w:r>
      <w:r>
        <w:t xml:space="preserve"> findings, recent, shown; EU scope not established. This is a provisional connection, not an outcome finding.</w:t>
      </w:r>
    </w:p>
    <w:p>
      <w:pPr>
        <w:pStyle w:val="SourceNote"/>
      </w:pPr>
      <w:r>
        <w:rPr>
          <w:b/>
        </w:rPr>
        <w:t>Available abstract (not full text):</w:t>
      </w:r>
      <w:r>
        <w:t xml:space="preserve"> Mesenchymal stromal cells (MSCs) have emerged as promising therapeutic candidates for osteoarticular diseases because of their combined immunomodulatory, trophic, and regenerative properties. Although initially studied for their multipotent differentiation capacity, MSCs are now understood to act predominantly through context-dependent paracrine mechanisms, including secretion of soluble mediators and extracellular vesicles, as well as through interactions with innate and adaptive immune cells. These mechanisms enable MSCs to modulate inflammatory responses, suppress T- and B-cell activation, inhibit dendritic cell maturation, and promote anti-inflammatory macrophage polarization, thereby reshaping the joint microenvironment toward resolution and tissue repair. In rheumatoid arthritis, MSC therapy is supported by strong biological plausibility, with preclinical studies demonstrating reduction of Th1/Th17 responses and enhancement of regulatory T-cell activity. Early clinical trials suggest a favorable safety profile, although evidence for sustained clinical remission remains limited. In focal cartilage defects, MSC-based strategies—particularly when combined with biomaterial scaffolds—have shown potential to enhance cartilage repair and improve functional outcomes. In osteoarthritis and degenerative disc disease, therapeutic effects appear to rely mainly on trophic and immunore</w:t>
      </w:r>
    </w:p>
    <w:p>
      <w:pPr/>
      <w:r>
        <w:rPr>
          <w:b/>
        </w:rPr>
        <w:t>POSSIBLE 2026:</w:t>
      </w:r>
      <w:r>
        <w:t xml:space="preserve"> 298. The highs and lows of long-term lithium prophylaxis: recent findings — https://doi.org/10.1093/ijnp/pyag040.041</w:t>
      </w:r>
    </w:p>
    <w:p>
      <w:pPr/>
      <w:r>
        <w:rPr>
          <w:b/>
        </w:rPr>
        <w:t>Shared claim-specific concepts:</w:t>
      </w:r>
      <w:r>
        <w:t xml:space="preserve"> findings, recent, shown; EU scope visible. This is a provisional connection, not an outcome finding.</w:t>
      </w:r>
    </w:p>
    <w:p>
      <w:pPr>
        <w:pStyle w:val="SourceNote"/>
      </w:pPr>
      <w:r>
        <w:rPr>
          <w:b/>
        </w:rPr>
        <w:t>Available abstract (not full text):</w:t>
      </w:r>
      <w:r>
        <w:t xml:space="preserve"> Abstract Background Lithium has been the gold standard for the relapse prevention of mood disorders, especially bipolar disorder (BD). Recently, case reports of a successful lithium prophylaxis lasting half a century appeared. Several adverse effects occur both in the early and late periods of lithium treatment, the most salient being a kidney injury appearing mainly after 15-20 years of lithium administration and frequently prompting lithium discontinuation. At the same time, lithium administration may bring many beneficial outcomes, beyond its prophylactic effects on mood recurrences, among which are anti-suicidal and neuroprotective effects, being the most important. Aims &amp; Objectives The presentation aims to consider the pivotal novel findings (published between 2021 and 2025) on the adverse and beneficial effects of long-term lithium administration. Method The most important publications on these issues that appeared during this period will be discussed. Results The papers on a possible kidney injury during long-term lithium administration and its treatment pointed to a lesser prevalence of such a complication in recent studies, as well as to the possibility of successful management, preventing the necessity of lithium discontinuation. New papers also appeared on the concurrent lithium and hemodialysis treatment in dialyzed patients. The issue of the anti-suicidal effect w</w:t>
      </w:r>
    </w:p>
    <w:p>
      <w:pPr/>
      <w:r>
        <w:rPr>
          <w:b/>
        </w:rPr>
        <w:t>POSSIBLE 2026:</w:t>
      </w:r>
      <w:r>
        <w:t xml:space="preserve"> Recent findings on the anticancer potential of coumarin hybrid derivatives — https://doi.org/10.12692/ijb/28.3.52-79</w:t>
      </w:r>
    </w:p>
    <w:p>
      <w:pPr/>
      <w:r>
        <w:rPr>
          <w:b/>
        </w:rPr>
        <w:t>Shared claim-specific concepts:</w:t>
      </w:r>
      <w:r>
        <w:t xml:space="preserve"> findings, recent, activities; EU scope not established. This is a provisional connection, not an outcome finding.</w:t>
      </w:r>
    </w:p>
    <w:p>
      <w:pPr>
        <w:pStyle w:val="SourceNote"/>
      </w:pPr>
      <w:r>
        <w:rPr>
          <w:b/>
        </w:rPr>
        <w:t>Available abstract (not full text):</w:t>
      </w:r>
      <w:r>
        <w:t xml:space="preserve"> Coumarin derivatives have attracted substantial scientific interest due to their broad therapeutic potential in the field of oncology research due to their anticancer potential. Both naturally occurring and synthetically modified coumarins possess diverse pharmacological activities, and evidence highlights their strong anticancer properties. Studies emphasize the importance of understanding molecular mechanisms and structural interactions that govern the biological actions of coumarin hybrids, as these insights are crucial for optimizing their therapeutic efficacy in term of treatment. Coumarin-based hybrid compounds demonstrate the ability to modulate multiple cellular signalling pathways critical for cancer progression, including those regulating apoptosis, angiogenesis, oxidative stress, and uncontrolled cell division. Mechanistic studies show that many coumarin hybrids effectively induce apoptosis through mitochondrial disruption, caspase activation, and modulation of pro and anti-apoptotic proteins. Additionally, several derivatives exhibit potent anti-angiogenic activity by inhibiting VEGF-mediated signaling, thereby limiting tumor vascularization and growth. Their capacity to interfere with cell cycle regulators, such as cyclins and CDKs, further contributes to their antiproliferative effects. The multitargeted nature of these molecular interactions highlights the therap</w:t>
      </w:r>
    </w:p>
    <w:p>
      <w:pPr/>
      <w:r>
        <w:rPr>
          <w:b/>
        </w:rPr>
        <w:t>POSSIBLE 2026:</w:t>
      </w:r>
      <w:r>
        <w:t xml:space="preserve"> Cooperative Learning Needs Analysis to Address Student Learning Dependence on Science Learning in Elementary Schools — https://doi.org/10.23887/jlls.v9i2.113338</w:t>
      </w:r>
    </w:p>
    <w:p>
      <w:pPr/>
      <w:r>
        <w:rPr>
          <w:b/>
        </w:rPr>
        <w:t>Shared claim-specific concepts:</w:t>
      </w:r>
      <w:r>
        <w:t xml:space="preserve"> findings, science, learning, students; EU scope not established. This is a provisional connection, not an outcome finding.</w:t>
      </w:r>
    </w:p>
    <w:p>
      <w:pPr>
        <w:pStyle w:val="SourceNote"/>
      </w:pPr>
      <w:r>
        <w:rPr>
          <w:b/>
        </w:rPr>
        <w:t>Available abstract (not full text):</w:t>
      </w:r>
      <w:r>
        <w:t xml:space="preserve"> Science learning at the elementary school level still tends to be dominated by expository methods that have not been able to maximize students' cognitive engagement, even though they show a high interest in learning and social interaction. This condition results in limitations in the development of student learning independence, characterized by a high dependence on peer assistance. Therefore, this study aims to comprehensively analyze the empirical needs of cooperative learning syntax in order to formulate a basis for developing an effective model to overcome student learning dependence in science learning. This study applies a quantitative descriptive approach with a survey method on 206 fifth-grade students. Data were collected through a validated and tested questionnaire for reliability, then analyzed using descriptive statistics and a needs index. The findings indicate that although students have a strong interest in learning and social interaction, their learning independence is still low and is characterized by a high dependence on peer assistance. On the other hand, students' preference for collaborative learning is also very dominant. These results indicate a sociocognitive gap in science learning. Therefore, this study provides a conceptual contribution in the form of a foundation for developing a cooperative learning syntax based on social scaffolding to bridge the g</w:t>
      </w:r>
    </w:p>
    <w:p>
      <w:pPr/>
      <w:r>
        <w:rPr>
          <w:b/>
        </w:rPr>
        <w:t>POSSIBLE 2026:</w:t>
      </w:r>
      <w:r>
        <w:t xml:space="preserve"> The Role of Inquiry Based Learning in Science Learning: A Systematic Review of Literature — https://doi.org/10.29303/jppipa.v12i4.9941</w:t>
      </w:r>
    </w:p>
    <w:p>
      <w:pPr/>
      <w:r>
        <w:rPr>
          <w:b/>
        </w:rPr>
        <w:t>Shared claim-specific concepts:</w:t>
      </w:r>
      <w:r>
        <w:t xml:space="preserve"> science, learning, thinking, students; EU scope not established. This is a provisional connection, not an outcome finding.</w:t>
      </w:r>
    </w:p>
    <w:p>
      <w:pPr>
        <w:pStyle w:val="SourceNote"/>
      </w:pPr>
      <w:r>
        <w:rPr>
          <w:b/>
        </w:rPr>
        <w:t>Available abstract (not full text):</w:t>
      </w:r>
      <w:r>
        <w:t xml:space="preserve"> This study aims to examine the role of Inquiry-Based Learning (IBL) in improving the quality of science learning through a systematic literature review. The methodology followed the PRISMA framework, analyzing 17 reputable scientific articles retrieved from the Scopus database between 2018 and 2024. The results of the study indicate that IBL has a significant positive impact on science learning, particularly in enhancing students’ conceptual understanding, scientific process skills, and critical thinking abilities. Additionally, IBL contributes to increasing students’ motivation and positive attitudes toward science through active engagement in the learning process. Further discussion reveals that the success of IBL implementation is influenced by various factors, such as teacher readiness, availability of facilities, and learning time management. Nevertheless, IBL remains an effective approach in supporting student-centered science learning. Overall, this study concludes that IBL has great potential in improving the quality of science learning, but requires appropriate support and implementation strategies to be applied optimally</w:t>
      </w:r>
    </w:p>
    <w:p>
      <w:pPr/>
      <w:r>
        <w:rPr>
          <w:b/>
        </w:rPr>
        <w:t>POSSIBLE 2026:</w:t>
      </w:r>
      <w:r>
        <w:t xml:space="preserve"> Development of an Instrument for Assessing Critical Thinking in Science Learning among Secondary School Students: A Systematic Literature Review — https://openalex.org/W7216480916</w:t>
      </w:r>
    </w:p>
    <w:p>
      <w:pPr/>
      <w:r>
        <w:rPr>
          <w:b/>
        </w:rPr>
        <w:t>Shared claim-specific concepts:</w:t>
      </w:r>
      <w:r>
        <w:t xml:space="preserve"> findings, recent, science, learning, thinking, students; EU scope not established. This is a provisional connection, not an outcome finding.</w:t>
      </w:r>
    </w:p>
    <w:p>
      <w:pPr>
        <w:pStyle w:val="SourceNote"/>
      </w:pPr>
      <w:r>
        <w:rPr>
          <w:b/>
        </w:rPr>
        <w:t>Available abstract (not full text):</w:t>
      </w:r>
      <w:r>
        <w:t xml:space="preserve"> This systematic review synthesizes recent studies on the development and validation of critical thinking assessment instruments in science learning among secondary school students published between 2015 and 2025. Using the PRISMA 2020 framework, 20 eligible articles were identified from Scopus, Web of Science, and Crossref. The findings showed that reasoned multiple-choice test and essay tests were the most widely used formats, with Facione, Ennis, and the revised Bloom’s taxonomy serving as the dominant theoretical frameworks. Most instruments demonstrated good content validity and reliability, although evidence for construct validity remains limited. Instruments were primarily developed for senior high school students, focusing on biology, chemistry, and physics contexts, while development of instrument at the junior high school level were relatively scarce. Several studies also incorporated additional variables related to critical thinking, including science process skills, creative thinking, self-efficacy, and scientific literacy. Identified research gaps include the limited use of performance-based assessments, insufficient construct validity testing, and a lack of contextually grounded frameworks. These gaps highlight the need for more authentic, multidimensional, and empirically robust assessment models to measure students’ critical thinking skills in science learning.</w:t>
      </w:r>
    </w:p>
    <w:p>
      <w:pPr/>
      <w:r>
        <w:rPr>
          <w:b/>
        </w:rPr>
        <w:t>POSSIBLE 2026:</w:t>
      </w:r>
      <w:r>
        <w:t xml:space="preserve"> Innovation In Computer Science Learning Through Artificial Intelligence And Machine Learning Technologies — https://doi.org/10.66784/marlajar.v1i2.31</w:t>
      </w:r>
    </w:p>
    <w:p>
      <w:pPr/>
      <w:r>
        <w:rPr>
          <w:b/>
        </w:rPr>
        <w:t>Shared claim-specific concepts:</w:t>
      </w:r>
      <w:r>
        <w:t xml:space="preserve"> findings, recent, science, learning, systems; EU scope not established. This is a provisional connection, not an outcome finding.</w:t>
      </w:r>
    </w:p>
    <w:p>
      <w:pPr>
        <w:pStyle w:val="SourceNote"/>
      </w:pPr>
      <w:r>
        <w:rPr>
          <w:b/>
        </w:rPr>
        <w:t>Available abstract (not full text):</w:t>
      </w:r>
      <w:r>
        <w:t xml:space="preserve"> This conceptual paper proposes a novel framework for integrating artificial intelligence (AI) and machine learning (ML) technologies to innovate computer science education. The study employs a systematic literature review methodology, synthesizing recent advances in deep learning, transfer learning, and lifelong learning paradigms from peer-reviewed sources [1]–[22]. The findings reveal that AI-driven adaptive learning systems significantly enhance personalized instruction and student engagement, while ML-based predictive analytics enable early intervention strategies for at-risk learners. However, critical challenges persist, including algorithmic bias, data privacy concerns, and the need for continuous curriculum updates to maintain relevance. The novelty of this work lies in its unified framework that bridges theoretical underpinnings, such as unsupervised representation learning and continual learning—with practical implementations in intelligent tutoring, automated content generation, and ethical assessment systems. The primary contribution is a comprehensive roadmap for educators and policymakers to deploy AI/ML technologies responsibly, addressing both pedagogical efficacy and ethical considerations. This framework further identifies gaps in current evaluation metrics and faculty development initiatives, offering actionable directions for future research. By synthesizing</w:t>
      </w:r>
    </w:p>
    <w:p>
      <w:pPr/>
      <w:r>
        <w:rPr>
          <w:b/>
        </w:rPr>
        <w:t>POSSIBLE 2026:</w:t>
      </w:r>
      <w:r>
        <w:t xml:space="preserve"> DIFFERENTIATED LEARNING STRATEGIES TO IMPROVE THE INTERPERSONAL SKILLS OF STUDENTS WITH DISABILITIES IN SCIENCE LEARNING — https://doi.org/10.15408/elementar.v5i2.49692</w:t>
      </w:r>
    </w:p>
    <w:p>
      <w:pPr/>
      <w:r>
        <w:rPr>
          <w:b/>
        </w:rPr>
        <w:t>Shared claim-specific concepts:</w:t>
      </w:r>
      <w:r>
        <w:t xml:space="preserve"> findings, science, learning, activities, students; EU scope not established. This is a provisional connection, not an outcome finding.</w:t>
      </w:r>
    </w:p>
    <w:p>
      <w:pPr>
        <w:pStyle w:val="SourceNote"/>
      </w:pPr>
      <w:r>
        <w:rPr>
          <w:b/>
        </w:rPr>
        <w:t>Available abstract (not full text):</w:t>
      </w:r>
      <w:r>
        <w:t xml:space="preserve"> This study aims to analyze the role of differentiated learning in developing the interpersonal skills of students with disabilities through Natural Science (IPA) learning in an inclusive educational environment. Interpersonal skills, such as social participation, communication, collaboration, and self-confidence, are important competencies that support the academic and social success of students with disabilities, but are often not optimally developed in inclusive practices. This study used a Systematic Literature Review (SLR) design with a descriptive qualitative approach. Data were obtained from reputable national and international journal articles published between 2021 and 2025 and analyzed using thematic analysis techniques. The synthesis results indicate that differentiated learning—especially in the aspect of process differentiation—plays a significant role in improving the quality of social interactions of students with disabilities through flexible grouping, collaborative role assignments, and adjustments to learning activities according to students' readiness and learning profiles. Inquiry-based and collaborative IPA learning has proven to be an effective social space for inclusively training students' communication, cooperation, and self-confidence. These findings confirm that differentiated learning functions not only as an academic strategy but also as a social lea</w:t>
      </w:r>
    </w:p>
    <w:p>
      <w:pPr/>
      <w:r>
        <w:rPr>
          <w:b/>
        </w:rPr>
        <w:t>POSSIBLE 2026:</w:t>
      </w:r>
      <w:r>
        <w:t xml:space="preserve"> Effect of Problem-Based Learning Assisted by Wordwall on Science Learning in Elementary Schools — https://openalex.org/W7216694650</w:t>
      </w:r>
    </w:p>
    <w:p>
      <w:pPr/>
      <w:r>
        <w:rPr>
          <w:b/>
        </w:rPr>
        <w:t>Shared claim-specific concepts:</w:t>
      </w:r>
      <w:r>
        <w:t xml:space="preserve"> findings, science, learning, activities, involving, thinking; EU scope not established. This is a provisional connection, not an outcome finding.</w:t>
      </w:r>
    </w:p>
    <w:p>
      <w:pPr>
        <w:pStyle w:val="SourceNote"/>
      </w:pPr>
      <w:r>
        <w:rPr>
          <w:b/>
        </w:rPr>
        <w:t>Available abstract (not full text):</w:t>
      </w:r>
      <w:r>
        <w:t xml:space="preserve"> Science learning in elementary schools plays a crucial role in fostering students’ critical thinking skills. This study investigates the effect of implementing the Problem-Based Learning (PBL) model assisted by Wordwall in science education at an elementary school. A quasi-experimental design with a one-group pretest–posttest approach was employed, involving 14 students (N = 14). Research instruments included a validated and reliable multiple-choice achievement test, observation sheets of learning activities, and student response questionnaires. Data were analyzed using normality tests, N-gain, and paired t-tests with SPSS 21. The findings revealed a significant improvement in student learning outcomes, with mastery increasing from 35.71% (5 students) to 92.85% (13 students). The paired t-test produced a t-value of 9.165 with a significance level of p = 0.00006 (&lt; 0.05), indicating a highly significant difference before and after the intervention. These results suggest that the Problem-Based Learning model assisted by Wordwall is effective in enhancing science learning achievement and holds potential for application across other subjects and learning contexts.</w:t>
      </w:r>
    </w:p>
    <w:p>
      <w:pPr>
        <w:pStyle w:val="Heading2"/>
      </w:pPr>
      <w:r>
        <w:t>529. Forecast for the zone of viticulture in European Russia under climate change</w:t>
      </w:r>
    </w:p>
    <w:p>
      <w:pPr>
        <w:pStyle w:val="SourceNote"/>
      </w:pPr>
      <w:r>
        <w:rPr>
          <w:b/>
        </w:rPr>
        <w:t>Original source (2022):</w:t>
      </w:r>
      <w:r>
        <w:t xml:space="preserve"> https://doi.org/10.18699/vjgb-22-33</w:t>
      </w:r>
    </w:p>
    <w:p>
      <w:pPr/>
      <w:r>
        <w:t>Original wording (abstract; indexed_source_text_not_full_document_verified): At the same time, a possible decrease in the minimum winter temperature at the south of European Russia will require additional protective measures in winter, while an increase in the aridity of the climate on the northwest coast of the Caspian Sea will reduce the area under non-irrigated vineyards. The increase in heat supply during the growing season in European Russia implies a possibility of expanding the ZCV northward, beyond the present-day terminal latitude of 46.6° N, to 51.8° N under the existing conditions, and up to 60.7° N by 2050.</w:t>
      </w:r>
    </w:p>
    <w:p>
      <w:pPr/>
      <w:r>
        <w:rPr>
          <w:b/>
        </w:rPr>
        <w:t>POSSIBLE 2026:</w:t>
      </w:r>
      <w:r>
        <w:t xml:space="preserve"> Non-stationary time series attribution for heatwaves over Europe — https://doi.org/10.5194/ascmo-12-243-2026</w:t>
      </w:r>
    </w:p>
    <w:p>
      <w:pPr/>
      <w:r>
        <w:rPr>
          <w:b/>
        </w:rPr>
        <w:t>Shared claim-specific concepts:</w:t>
      </w:r>
      <w:r>
        <w:t xml:space="preserve"> time, temperature, climate, heat; EU scope visible. This is a provisional connection, not an outcome finding.</w:t>
      </w:r>
    </w:p>
    <w:p>
      <w:pPr>
        <w:pStyle w:val="SourceNote"/>
      </w:pPr>
      <w:r>
        <w:rPr>
          <w:b/>
        </w:rPr>
        <w:t>Available abstract (not full text):</w:t>
      </w:r>
      <w:r>
        <w:t xml:space="preserve"> The increasing occurrence of extreme weather events since the beginning of the 21st century has led to the development of new methods to attribute extreme events to anthropogenic climate change. The way in which the extreme event is defined has a major influence on the attribution result. A frequently overlooked aspect concerns the temporal dependence of extremes. This study presents an approach for attributing complete time series during extreme events to anthropogenic forcing. The approach is based on a non-stationary Markov process using bivariate extreme value theory to model the temporal dependence of the time series. We calculate the likelihood ratio of an observational time series from ERA5 given the distributions as estimated from CMIP6 simulations with historical natural-only and natural and anthropogenic forcing scenarios. The spatial fields are condensed by the extremal pattern index (EPI) as a compact description of spatial extremes. In addition, the study examines the extent to which attribution statements about the occurrence of extreme heat events change when the effect of the mean warming is eliminated. The resulting attribution statement provides very strong evidence for the scenario with anthropogenic drivers over Europe, especially since the beginning of the 21st century. For central and southern Europe, the influence of anthropogenic greenhouse gas emissions</w:t>
      </w:r>
    </w:p>
    <w:p>
      <w:pPr/>
      <w:r>
        <w:rPr>
          <w:b/>
        </w:rPr>
        <w:t>POSSIBLE 2026:</w:t>
      </w:r>
      <w:r>
        <w:t xml:space="preserve"> Pro-environmental behaviour in Europe: A comparison across individuals, countries and time — https://openalex.org/W7160008135</w:t>
      </w:r>
    </w:p>
    <w:p>
      <w:pPr/>
      <w:r>
        <w:rPr>
          <w:b/>
        </w:rPr>
        <w:t>Shared claim-specific concepts:</w:t>
      </w:r>
      <w:r>
        <w:t xml:space="preserve"> time, decrease, increase, climate, reduce; EU scope visible. This is a provisional connection, not an outcome finding.</w:t>
      </w:r>
    </w:p>
    <w:p>
      <w:pPr>
        <w:pStyle w:val="SourceNote"/>
      </w:pPr>
      <w:r>
        <w:rPr>
          <w:b/>
        </w:rPr>
        <w:t>Available abstract (not full text):</w:t>
      </w:r>
      <w:r>
        <w:t xml:space="preserve"> This policy briefs examines the determinants of five pro-environmental behaviours (whether individuals reduce and separate waste, use fewer disposable items, buy more efficient appliances, use alternatives to car and install solar panels) across individuals, countries and time. Raising Europea's engagement in pro-environmental behaviour can decrease Co2 emissions by 6 to 16% and cut costs by 14 to 30 percent given current estimates, making the targeting of European's behaviour important. Results show that Europeans have on average increased their efforts living more environmentally friendly between 2013 and 2023. The youngest generations have adopted pro-environmental behaviour fastest. Pro-environmental behaviour varies considerably between European countries. Some of this variation can be explained by GDP, income inequality and country level concern about climate change. Individual characteristics like financial situation, feeling personally responsible for climate action and believing in climage change however appear to be most important for explaining pro-environmental behaviour holding country specific factors constant. The results suggest, that in order to widen pro-environmental behaviour across Europe, education remains an important tool to increase environmental concern as well as feelings of responsibilty to the climate, factors highly correlated with positive behavio</w:t>
      </w:r>
    </w:p>
    <w:p>
      <w:pPr/>
      <w:r>
        <w:rPr>
          <w:b/>
        </w:rPr>
        <w:t>POSSIBLE 2026:</w:t>
      </w:r>
      <w:r>
        <w:t xml:space="preserve"> WINTER SOLSTICE DAY IN DIFFERENT CULTURES — https://doi.org/10.5281/zenodo.18169905</w:t>
      </w:r>
    </w:p>
    <w:p>
      <w:pPr/>
      <w:r>
        <w:rPr>
          <w:b/>
        </w:rPr>
        <w:t>Shared claim-specific concepts:</w:t>
      </w:r>
      <w:r>
        <w:t xml:space="preserve"> same, time, minimum, winter; EU scope visible. This is a provisional connection, not an outcome finding.</w:t>
      </w:r>
    </w:p>
    <w:p>
      <w:pPr>
        <w:pStyle w:val="SourceNote"/>
      </w:pPr>
      <w:r>
        <w:rPr>
          <w:b/>
        </w:rPr>
        <w:t>Available abstract (not full text):</w:t>
      </w:r>
      <w:r>
        <w:t xml:space="preserve"> The winter solstice is the moment when the Sun is at its minimum height above the horizon. The inclination of the axis along which the Earth rotates is at its maximum during the solstice, towards either the Northern or Southern Hemisphere. Therefore, the solstice occurs twice a year: in June, when the day becomes the longest, and in December, when the night turns out to be the longest. The phenomenon got its name because a few days before and after this moment, the position of the Sun in the sky at noon hardly changes. On the night of December 21-22 is the winter solstice, when the astronomical annual cycle ends, when you need to part with the old and not take it with you in the new year. This is the beginning of the astronomical winter. The longest night and the shortest day of the year. This is the holiday of the beginning of winter among the ancient Turks, the day of the renewal of time. A balloon reigns in space. For this reason, the Kazakhs call the first month of the winter season "zheltoksan" (December). December 25 is Nartugan Day, which is the same as Christmas in Europe, i.e. the birthday of the prophet Isa (Jesus). Kazakhs called the day of the winter solstice "karatun" (black night). For the nomadic people, karatun had a deep symbolic meaning and was perceived as a moment of transition when darkness reaches its peak, and then on the Day of Nartugan renewal and growt</w:t>
      </w:r>
    </w:p>
    <w:p>
      <w:pPr/>
      <w:r>
        <w:rPr>
          <w:b/>
        </w:rPr>
        <w:t>POSSIBLE 2026:</w:t>
      </w:r>
      <w:r>
        <w:t xml:space="preserve"> LITERATURE REVIEW: POLYPHARMACOTHERAPY AND ITS NEUROLOGICAL EFFECTS IN THE ELDERLY IN POLAND AND EUROPE — https://doi.org/10.31435/ijitss.2(50).2026.5712</w:t>
      </w:r>
    </w:p>
    <w:p>
      <w:pPr/>
      <w:r>
        <w:rPr>
          <w:b/>
        </w:rPr>
        <w:t>Shared claim-specific concepts:</w:t>
      </w:r>
      <w:r>
        <w:t xml:space="preserve"> same, time, possible; EU scope visible. This is a provisional connection, not an outcome finding.</w:t>
      </w:r>
    </w:p>
    <w:p>
      <w:pPr>
        <w:pStyle w:val="SourceNote"/>
      </w:pPr>
      <w:r>
        <w:rPr>
          <w:b/>
        </w:rPr>
        <w:t>Available abstract (not full text):</w:t>
      </w:r>
      <w:r>
        <w:t xml:space="preserve"> In recent years both in Poland and Europe there have been observed progressive demographic changes and aging of the population. Polypharmacy can be defined as the simultaneous and regular use of at least five different drugs and is particularly often used in elderly patients due to the multimorbidity. According to some sources, elderly people take between two and nine different medications daily, of which even about 60% are inappropriate. The aim of this paper is to summarize information on polypharmacy in seniors in order to plan it as best as possible and at the same time to avoid potential adverse effects, with particular emphasis on the nervous system. One of the most significant for polypharmacy is the age structure of the society. Poland is one of the European countries where the fastest growth of this ratio is observed. Huge problem seems to be the system of educating doctors, which is not adjusted to the changing demographics of the society. Furthermore, one of the factors contributing to polypharmacy is the excessive consumption of dietary supplements by Poles, especially geriatric patients - almost half of Poles consume them regularly. Polypharmacy can be defined as the simultaneous use of at least five different drugs. It is particularly often used in elderly patients due to the multimorbidity and lack of healthcare access. The advantage of polypharmacotherapy is fas</w:t>
      </w:r>
    </w:p>
    <w:p>
      <w:pPr/>
      <w:r>
        <w:rPr>
          <w:b/>
        </w:rPr>
        <w:t>POSSIBLE 2026:</w:t>
      </w:r>
      <w:r>
        <w:t xml:space="preserve"> Satellite-based Determination and Analysis of Groundwater Drought Index Time Series in Europe — https://doi.org/10.59440/ceer/220434</w:t>
      </w:r>
    </w:p>
    <w:p>
      <w:pPr/>
      <w:r>
        <w:rPr>
          <w:b/>
        </w:rPr>
        <w:t>Shared claim-specific concepts:</w:t>
      </w:r>
      <w:r>
        <w:t xml:space="preserve"> time, decrease, climate; EU scope visible. This is a provisional connection, not an outcome finding.</w:t>
      </w:r>
    </w:p>
    <w:p>
      <w:pPr>
        <w:pStyle w:val="SourceNote"/>
      </w:pPr>
      <w:r>
        <w:rPr>
          <w:b/>
        </w:rPr>
        <w:t>Available abstract (not full text):</w:t>
      </w:r>
      <w:r>
        <w:t xml:space="preserve"> According to the European Drought Observatory, more than 30% of Europe has been under drought warning conditions since 2018. This situation is primarily attributed to a persistent decline in groundwater resources. Satellite observations confirm that groundwater levels have not been recovering; in some regions, they continue to decrease. Data from the Global Gravity-based Groundwater Product (G3P) project, which employs satellite gravimetric measurements, enable continuous monitoring of groundwater variations and provide a globally consistent map of gravity field changes, directly converted into terrestrial water storage variations, of which groundwater is a key component. This study aims to estimate groundwater storage using models from the Global Gravity-based Groundwater Product derived from the Gravity Recovery and Climate Experiment (GRACE) mission. Based on the estimated groundwater storage, the Groundwater Drought Index (GDI) was calculated for climatically homogeneous regions in Europe, as defined by the Köppen–Geiger climate classification. To enhance the analysis of temporal GDI variations, the index time series was decomposed using the Fourier transform, allowing for the identification of dominant periodic components and long-term trends. Time series decomposition revealed a strong seasonal dependence of groundwater. The highest levels are observed in spring and the l</w:t>
      </w:r>
    </w:p>
    <w:p>
      <w:pPr/>
      <w:r>
        <w:rPr>
          <w:b/>
        </w:rPr>
        <w:t>POSSIBLE 2026:</w:t>
      </w:r>
      <w:r>
        <w:t xml:space="preserve"> Variations in Movement and Habitat Selection by Eurasian Curlew at Two Important Sites in Europe Throughout Winter — https://doi.org/10.1002/ece3.74164</w:t>
      </w:r>
    </w:p>
    <w:p>
      <w:pPr/>
      <w:r>
        <w:rPr>
          <w:b/>
        </w:rPr>
        <w:t>Shared claim-specific concepts:</w:t>
      </w:r>
      <w:r>
        <w:t xml:space="preserve"> time, winter, measures, coast, sea; EU scope visible. This is a provisional connection, not an outcome finding.</w:t>
      </w:r>
    </w:p>
    <w:p>
      <w:pPr>
        <w:pStyle w:val="SourceNote"/>
      </w:pPr>
      <w:r>
        <w:rPr>
          <w:b/>
        </w:rPr>
        <w:t>Available abstract (not full text):</w:t>
      </w:r>
      <w:r>
        <w:t xml:space="preserve"> ABSTRACT Shorebirds aim to replenish their body reserves during the wintering season to ensure their subsequent survival and to improve their breeding performance. However, their space use depends on their fluctuating resource availability and energy requirements throughout the winter. Hence, this study aimed to determine if the space and habitats used by Eurasian curlews ( Numenius arquata ) were influenced by their wintering site and stage. Sixty‐two curlews were equipped with GPS tags at two major wintering sites in Europe with contrasting waterbird density: the Pertuis Charentais (PC) in France and the German part of the Wadden Sea (WS). Their home ranges (HRs) and foraging habitat selection were compared according to three wintering stages requiring different energy demands (i.e., early winter, mid‐winter and late winter before migration). Curlews exhibited similar HR sizes at both sites throughout the winter, suggesting no effect of waterbird density on individuals' space use. HR sizes were larger during the day than at night and showed high inter‐individual variability, unrelated to sex. Notably, the HRs were larger during the first winter stage (i.e., Arrival–September), with curlews spending a greater proportion of time on mudflats, and selecting distinct foraging areas located further from the coast at this stage. Curlews in the WS fed mainly on the mudflats, while cu</w:t>
      </w:r>
    </w:p>
    <w:p>
      <w:pPr/>
      <w:r>
        <w:rPr>
          <w:b/>
        </w:rPr>
        <w:t>POSSIBLE 2026:</w:t>
      </w:r>
      <w:r>
        <w:t xml:space="preserve"> Non-native drought-resistant species withstand winter cold and spring frost in Central Europe — https://doi.org/10.1016/j.foreco.2026.123788</w:t>
      </w:r>
    </w:p>
    <w:p>
      <w:pPr/>
      <w:r>
        <w:rPr>
          <w:b/>
        </w:rPr>
        <w:t>Shared claim-specific concepts:</w:t>
      </w:r>
      <w:r>
        <w:t xml:space="preserve"> winter, temperature, climate; EU scope visible. This is a provisional connection, not an outcome finding.</w:t>
      </w:r>
    </w:p>
    <w:p>
      <w:pPr>
        <w:pStyle w:val="SourceNote"/>
      </w:pPr>
      <w:r>
        <w:rPr>
          <w:b/>
        </w:rPr>
        <w:t>Available abstract (not full text):</w:t>
      </w:r>
      <w:r>
        <w:t xml:space="preserve"> Assisted migration of drought-resistant species represents an increasingly important strategy in forest management to mitigate the effects of climate change in Central Europe. However, their ecophysiology remains poorly understood, particularly regarding frost tolerance, limiting our ability to predict their establishment potential. Using a forest plantation established in 2012 at 658 m a.s.l. in Switzerland, we assessed winter frost hardiness and the risk of late spring frost in drought-resistant non-native tree species ( Fagus orientalis , Tilia tomentosa, Abies bornmuelleriana , and Cedrus libani ) and compared them with phylogenetically related native species ( Fagus sylvatica , Quercus petraea , Tilia platyphyllos , and Abies alba ). We measured lethal temperature thresholds (LT max ) for frost damage in buds and leaves, and evaluated phenological timing in relation to historical frost probability. Contrary to expectations, non-native species exhibited frost hardiness comparable to native species, with no significant differences in LT max values. As our study was conducted during the relatively mild winter of 2024–2025, the estimated frost hardiness may underestimate their full acclimation potential under colder conditions. The lack of consistent differences between native and non-native origins suggests that phenotypic plasticity and seasonal acclimation outweigh genetic </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time, temperature, measures, increase, climate;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2025:</w:t>
      </w:r>
      <w:r>
        <w:t xml:space="preserve"> TDM and AI Training in the European Union – From ‘ LAION ’ to Possible Ways Ahead? — https://doi.org/10.1093/grurint/ikaf114</w:t>
      </w:r>
    </w:p>
    <w:p>
      <w:pPr/>
      <w:r>
        <w:rPr>
          <w:b/>
        </w:rPr>
        <w:t>Shared claim-specific concepts:</w:t>
      </w:r>
      <w:r>
        <w:t xml:space="preserve"> same, time, possible; EU scope visible. This is a provisional connection, not an outcome finding.</w:t>
      </w:r>
    </w:p>
    <w:p>
      <w:pPr>
        <w:pStyle w:val="SourceNote"/>
      </w:pPr>
      <w:r>
        <w:rPr>
          <w:b/>
        </w:rPr>
        <w:t>Available abstract (not full text):</w:t>
      </w:r>
      <w:r>
        <w:t xml:space="preserve"> Abstract The first judgments have been rendered in the European Union that directly or indirectly deal with AI training, and the corresponding applicability, conditions and scope of the European exception to copyright for commercial text and data mining (TDM). These judgments serve as important impulses for the future interpretation of the provision and the current legal and policy debate on AI training and TDM in the EU. The most pressing question is how to define the requirements for a machine-readable opt-out pursuant to Art. 4(3) DSM Directive, even more so since Art. 53(1)(c) AI Act obliges providers of general-purpose AI models to put in place a policy to identify and comply with corresponding reservations of rights during the training process – even when carried out in a third country outside the EU. This is not only relevant from a doctrinal point of view. Rather, the interpretation and specification of and the interplay between Art. 4(3) DSM Directive and Art. 53(1)(c) AI Act are of key importance for future global AI training practice. At the same time, these provisions constitute the main anchoring point in EU copyright law for reflecting on the possible development of licensing markets for AI training material and/or possible de lege ferenda options under a legal policy perspective.</w:t>
      </w:r>
    </w:p>
    <w:p>
      <w:pPr/>
      <w:r>
        <w:rPr>
          <w:b/>
        </w:rPr>
        <w:t>POSSIBLE 2025:</w:t>
      </w:r>
      <w:r>
        <w:t xml:space="preserve"> Updated monthly homogenized precipitation analysis HOMPRA Europe 2 online — https://doi.org/10.5194/ems2025-682</w:t>
      </w:r>
    </w:p>
    <w:p>
      <w:pPr/>
      <w:r>
        <w:rPr>
          <w:b/>
        </w:rPr>
        <w:t>Shared claim-specific concepts:</w:t>
      </w:r>
      <w:r>
        <w:t xml:space="preserve"> same, time, possible, minimum; EU scope visible. This is a provisional connection, not an outcome finding.</w:t>
      </w:r>
    </w:p>
    <w:p>
      <w:pPr>
        <w:pStyle w:val="SourceNote"/>
      </w:pPr>
      <w:r>
        <w:rPr>
          <w:b/>
        </w:rPr>
        <w:t>Available abstract (not full text):</w:t>
      </w:r>
      <w:r>
        <w:t xml:space="preserve"> Reliable data is essential for robust precipitation trend analyses. However, long time series in particular often contain artificial changes due to changes in the measurement conditions (e.g. instrument changes or relocations). These can lead to an artificial signal in the data and mask the actual changes in the time series. In order to perform long-term precipitation change analyses, the monthly grid product HOMPRA Europe 2 (HOMogenized PRecipitation Analysis of European in-situ data) was developed at the Global Precipitation Climatology Centre (GPCC) and is available for the period 1951-2015 with 0.5°, 1.0° and 2.5° spatial resolution. The database consists of monthly time series carefully selected from the GPCC's data archive with less than 20% missing values. All data have already passed the GPCC's semi-automatic quality control. Compared to its predecessor, the number of incoming stations has increased from 5373 to 7916 and the data set has been extended from 2005 to 2015. The selected time series have been homogenized. This process recognizes and corrects the artificial influences as far as possible while retaining the natural changes. The actual algorithm is essentially based on three steps (Rustemeier et al., 2017): Selection of overlapping station networks located in the same precipitation regime, based on rank correlation and Ward's method of minimum variance. The nat</w:t>
      </w:r>
    </w:p>
    <w:p>
      <w:pPr/>
      <w:r>
        <w:rPr>
          <w:b/>
        </w:rPr>
        <w:t>POSSIBLE 2025:</w:t>
      </w:r>
      <w:r>
        <w:t xml:space="preserve"> A Possible Way to Enhance European Competitiveness — https://doi.org/10.34190/ecie.20.1.3930</w:t>
      </w:r>
    </w:p>
    <w:p>
      <w:pPr/>
      <w:r>
        <w:rPr>
          <w:b/>
        </w:rPr>
        <w:t>Shared claim-specific concepts:</w:t>
      </w:r>
      <w:r>
        <w:t xml:space="preserve"> possible, increase, area; EU scope visible. This is a provisional connection, not an outcome finding.</w:t>
      </w:r>
    </w:p>
    <w:p>
      <w:pPr>
        <w:pStyle w:val="SourceNote"/>
      </w:pPr>
      <w:r>
        <w:rPr>
          <w:b/>
        </w:rPr>
        <w:t>Available abstract (not full text):</w:t>
      </w:r>
      <w:r>
        <w:t xml:space="preserve"> In our Conference presentation, we would like to present a possible way to enhance European Competitiveness, which is registered in the Hungarian Intellectual Property Office under the name of the “IK &amp; International Innovation Center” Project. (Voluntary registration number: Y2500012). In the introductory part, our previous research results – primarily related to Library Innovation, generating creativity and startups and the associated social media platform – will be briefly presented. In our presentation, we will also discuss the results of university students’ responses to online questionnaires related to this topic. The International Innovation Center Project (IICP) aims to increase the competitiveness of the EU by establishing an International Innovation Center, which would be implemented in the capital of an EU member state, with the participation of all EU countries. Some main parameters: in the 27-story “Metropolis”, each EU member state would have its own floor – research lab, mini innovative exhibition area, luxury apartment – ​​as well as a “common” innovative Startup centre (permanent interactive exhibition open to both professionals and the general public), a common, high-tech equipped, ergonomic, library research and development lab including Coworking elements, an international conference centre, a cultural and sports centre, an Innovation Park with a helipad. Th</w:t>
      </w:r>
    </w:p>
    <w:p>
      <w:pPr/>
      <w:r>
        <w:rPr>
          <w:b/>
        </w:rPr>
        <w:t>POSSIBLE 2025:</w:t>
      </w:r>
      <w:r>
        <w:t xml:space="preserve"> Shorter and Warmer Winters Expand the Hibernation Area of Bats in Europe — https://doi.org/10.1111/ele.70119</w:t>
      </w:r>
    </w:p>
    <w:p>
      <w:pPr/>
      <w:r>
        <w:rPr>
          <w:b/>
        </w:rPr>
        <w:t>Shared claim-specific concepts:</w:t>
      </w:r>
      <w:r>
        <w:t xml:space="preserve"> winter, temperature, climate, area; EU scope visible. This is a provisional connection, not an outcome finding.</w:t>
      </w:r>
    </w:p>
    <w:p>
      <w:pPr>
        <w:pStyle w:val="SourceNote"/>
      </w:pPr>
      <w:r>
        <w:rPr>
          <w:b/>
        </w:rPr>
        <w:t>Available abstract (not full text):</w:t>
      </w:r>
      <w:r>
        <w:t xml:space="preserve"> Predicting species range shifts in response to environmental change requires the determination of regions where individuals maintain a positive energy budget. For hibernating animals, this budget depends on two physiological states (normothermy and torpor) that alternate in response to ambient temperature. To study range shifts of hibernators like the common noctule (Nyctalus noctula), we developed an ecophysiological approach that integrates metabolic rates, physiological states, and environmental conditions. Our model accurately hindcasted the northward range shift of this migratory bat over the past 50 years. Under climate change forecasts SSP1-2.6, SSP2-4.5, SSP3-7.0, and SSP5-8.5, for which winters will shorten by 1.4-41 days and warm by 0.11°C-2.3°C, the hibernation area is predicted to shift by 78-732 km and expand north-eastward by 5.8%-14% by 2100. Mean ambient temperature and winter duration prove sufficient to approximate the hibernation niche and may be used to predict changes in hibernation areas where collecting physiological measurements is difficult.</w:t>
      </w:r>
    </w:p>
    <w:p>
      <w:pPr>
        <w:pStyle w:val="Heading2"/>
      </w:pPr>
      <w:r>
        <w:t>530. Forecasting the Volatility of European Union Allowance Futures with Climate Policy Uncertainty Using the EGARCH-MIDAS Model</w:t>
      </w:r>
    </w:p>
    <w:p>
      <w:pPr>
        <w:pStyle w:val="SourceNote"/>
      </w:pPr>
      <w:r>
        <w:rPr>
          <w:b/>
        </w:rPr>
        <w:t>Original source (2022):</w:t>
      </w:r>
      <w:r>
        <w:t xml:space="preserve"> https://doi.org/10.3390/su14074306</w:t>
      </w:r>
    </w:p>
    <w:p>
      <w:pPr/>
      <w:r>
        <w:t>Original wording (abstract; indexed_source_text_not_full_document_verified): There is room for further application of the model, such as this model could be applied to price carbon futures, so as to improve the liquidity of the carbon market and achieve carbon peak and carbon neutrality as soon as possible.</w:t>
      </w:r>
    </w:p>
    <w:p>
      <w:pPr/>
      <w:r>
        <w:rPr>
          <w:b/>
        </w:rPr>
        <w:t>POSSIBLE 2026:</w:t>
      </w:r>
      <w:r>
        <w:t xml:space="preserve"> Arithmetic modeling of a multilevel escape room — https://doi.org/10.3389/feduc.2026.1669956</w:t>
      </w:r>
    </w:p>
    <w:p>
      <w:pPr/>
      <w:r>
        <w:rPr>
          <w:b/>
        </w:rPr>
        <w:t>Shared claim-specific concepts:</w:t>
      </w:r>
      <w:r>
        <w:t xml:space="preserve"> room, possible; EU scope not established. This is a provisional connection, not an outcome finding.</w:t>
      </w:r>
    </w:p>
    <w:p>
      <w:pPr>
        <w:pStyle w:val="SourceNote"/>
      </w:pPr>
      <w:r>
        <w:rPr>
          <w:b/>
        </w:rPr>
        <w:t>Available abstract (not full text):</w:t>
      </w:r>
      <w:r>
        <w:t xml:space="preserve"> The acceptance of educational escape rooms as active evaluation tools is growing throughout the educational field, covering all areas and levels. In this paper, a multilevel educational escape room has been proposed, which is composed of a series of independent levels, such that each level has to be completed prior to taking up the next one. This specific layout allows instructors to allocate a given part of a course syllabus to each level, where a series of tests composed of randomly-selected questions must be taken in order to move along each level according to the scores obtained. A model for this type of escape room layout has been designed in order to find out the shortest possible time to complete it, considering a curvilinear relationship between the time spent in a test and the score obtained. Additionally, the verification of this model has been carried out by means of arithmetic calculations, as well as with a handcrafted algorithm coded in a programming language called Promela, which was run in a specific verification tool called Spin.</w:t>
      </w:r>
    </w:p>
    <w:p>
      <w:pPr/>
      <w:r>
        <w:rPr>
          <w:b/>
        </w:rPr>
        <w:t>POSSIBLE 2026:</w:t>
      </w:r>
      <w:r>
        <w:t xml:space="preserve"> Why Grey Room — https://doi.org/10.1162/grey.e.11</w:t>
      </w:r>
    </w:p>
    <w:p>
      <w:pPr/>
      <w:r>
        <w:rPr>
          <w:b/>
        </w:rPr>
        <w:t>Shared claim-specific concepts:</w:t>
      </w:r>
      <w:r>
        <w:t xml:space="preserve"> room, further, liquidity; EU scope visible. This is a provisional connection, not an outcome finding.</w:t>
      </w:r>
    </w:p>
    <w:p>
      <w:pPr>
        <w:pStyle w:val="SourceNote"/>
      </w:pPr>
      <w:r>
        <w:rPr>
          <w:b/>
        </w:rPr>
        <w:t>Available abstract (not full text):</w:t>
      </w:r>
      <w:r>
        <w:t xml:space="preserve"> Photo falling—Word falling—Break through in grey room—Towers, open fireWhen Branden Joseph, Reinhold Martin, and Felicity Scott founded Grey Room twenty-five years ago, they borrowed its title from a passage in William S. Burroughs's novel The Ticket That Exploded (1962). As a new editorial group takes the helm, we revisit this foundational part of the journal's identity to think about what it means to “break through in grey room” today.Burroughs wrote these lines amid a period of postwar, Atomic Age tumult. For a number of years he resided in the so-called International Zone of Tangier, Morocco—a semi-lawless place where sovereign state power was indefinite, a city on the cusp of decolonial revolution. In Burroughs's writings, it was fictionalized as the Interzone, “a place where the unknown past and the emergent future meet in a vibrating soundless hum.”1 No single national authority controlled the International Zone; its interstitial status was poised between a waning colonial Europe and the waxing Pax Americana, of which Burroughs was a certain sort of privileged scion. For decades, the Burroughs Corporation, a manufacturer of adding machines founded by the author's grandfather, acted as a significant rival to (and occasional collaborator with) IBM. In the first half of the twentieth century, its computers aided astronomical calculations that guided U.S. sailors on the open</w:t>
      </w:r>
    </w:p>
    <w:p>
      <w:pPr/>
      <w:r>
        <w:rPr>
          <w:b/>
        </w:rPr>
        <w:t>POSSIBLE 2026:</w:t>
      </w:r>
      <w:r>
        <w:t xml:space="preserve"> Empirical verification of the carbon dioxide concentration model in the didactic room — https://doi.org/10.12911/22998993/219343</w:t>
      </w:r>
    </w:p>
    <w:p>
      <w:pPr/>
      <w:r>
        <w:rPr>
          <w:b/>
        </w:rPr>
        <w:t>Shared claim-specific concepts:</w:t>
      </w:r>
      <w:r>
        <w:t xml:space="preserve"> room, carbon; EU scope not established. This is a provisional connection, not an outcome finding.</w:t>
      </w:r>
    </w:p>
    <w:p>
      <w:pPr>
        <w:pStyle w:val="SourceNote"/>
      </w:pPr>
      <w:r>
        <w:rPr>
          <w:b/>
        </w:rPr>
        <w:t>Available abstract (not full text):</w:t>
      </w:r>
      <w:r>
        <w:t xml:space="preserve"> Validation of the created mathematical model was based on the measurements of carbon dioxide concentration conducted in a teaching room in two variants.The highest average deviation of the results of the carbon dioxide concentration from the simulations and measurements is 2.1% (room A) and 1.6% (room B).The deviation of the results obtained from the simulation and the results obtained during experimental tests is smaller than the total measurement error for a given test series.The study showed the versatility of the model.It gives an opportunity to apply for a description of the hygiene conditions in different types of rooms, used by different number of people under variable internal conditions (temperature, relative humidity, atmospheric pressure).The assumptions and simplifications of the model are its advantages, because make the model easy to use.Simulation of carbon dioxide concentration in closed rooms using a model can be useful to determine the time of mechanical ventilation switching on or to determine its efficiency.The model can be used in the design of air quality monitoring systems, including the CO₂ sensors that control ventilation.It can also be useful for creating the tools for counting people in a room.</w:t>
      </w:r>
    </w:p>
    <w:p>
      <w:pPr/>
      <w:r>
        <w:rPr>
          <w:b/>
        </w:rPr>
        <w:t>POSSIBLE 2025:</w:t>
      </w:r>
      <w:r>
        <w:t xml:space="preserve"> The Elephant in the Family Policy Room: How Care Culture Influences the Effects of Public Childcare on Women’s Labor Market Participation in Europe — https://doi.org/10.1007/s11205-025-03719-2</w:t>
      </w:r>
    </w:p>
    <w:p>
      <w:pPr/>
      <w:r>
        <w:rPr>
          <w:b/>
        </w:rPr>
        <w:t>Shared claim-specific concepts:</w:t>
      </w:r>
      <w:r>
        <w:t xml:space="preserve"> room, achieve; EU scope visible. This is a provisional connection, not an outcome finding.</w:t>
      </w:r>
    </w:p>
    <w:p>
      <w:pPr>
        <w:pStyle w:val="SourceNote"/>
      </w:pPr>
      <w:r>
        <w:rPr>
          <w:b/>
        </w:rPr>
        <w:t>Available abstract (not full text):</w:t>
      </w:r>
      <w:r>
        <w:t xml:space="preserve"> Abstract This paper examines how cultural contexts influence the extent to which policies aimed at supporting women’s employment and gender equality achieve their objectives. More specifically, it addresses how the availability of formal public childcare services for children under the age of three and their expansion support women’s labour market participation in different cultural contexts. Few studies have examined cultural and structural factors together. The study integrates individual-level data from the European Social Survey on women’s employment and their attitudes with time-varying regional-level information from statistical offices on public early childhood education and care (ECEC) provision and information on gender care culture obtained from different waves of the European Values Study. We find that increasing the availability of ECEC is particularly effective in promoting women’s full-time employment and women’s labour market participation in contexts where traditional cultural values regarding gendered care prevail. The results appear to be independent of individual attitudes. The paper highlights the interaction between structural and cultural factors in shaping employment behaviour and suggests that the outcomes of social policy interventions, such as the expansion of ECEC, are strongly influenced by cultural contexts, although not necessarily in the expected </w:t>
      </w:r>
    </w:p>
    <w:p>
      <w:pPr/>
      <w:r>
        <w:rPr>
          <w:b/>
        </w:rPr>
        <w:t>POSSIBLE 2025:</w:t>
      </w:r>
      <w:r>
        <w:t xml:space="preserve"> Stuck in the waiting room: citizen experiences of administrative limbo in three European crises — https://doi.org/10.1093/jopart/muaf017</w:t>
      </w:r>
    </w:p>
    <w:p>
      <w:pPr/>
      <w:r>
        <w:rPr>
          <w:b/>
        </w:rPr>
        <w:t>Shared claim-specific concepts:</w:t>
      </w:r>
      <w:r>
        <w:t xml:space="preserve"> there, room, further; EU scope visible. This is a provisional connection, not an outcome finding.</w:t>
      </w:r>
    </w:p>
    <w:p>
      <w:pPr>
        <w:pStyle w:val="SourceNote"/>
      </w:pPr>
      <w:r>
        <w:rPr>
          <w:b/>
        </w:rPr>
        <w:t>Available abstract (not full text):</w:t>
      </w:r>
      <w:r>
        <w:t xml:space="preserve"> Abstract In recent years, there have been numerous cases where citizens have found themselves stuck in highly protracted administrative processes affecting outcomes vital to their lives and livelihoods. However, systematic inquiries into the experience of being trapped by bureaucratic procedures or state inaction for sometimes multiple years are still lacking. To study the interactions between citizens and the state when long waiting times and significant outcomes are involved, we introduce the concept of administrative limbo. We examine administrative limbo using primary and secondary interview data from the Irish defective concrete block crisis, the Dutch childcare benefits affair, and the Dutch Groningen gas crisis. Findings suggest that experiences of administrative limbo are marked by prolonged and extensive uncertainty, accumulating strain, and negatively impacted life perspectives. We find that the effects of being stuck in administrative limbo are profound, indicating that temporal experiences of inaction and action should be further explored in public administration.</w:t>
      </w:r>
    </w:p>
    <w:p>
      <w:pPr/>
      <w:r>
        <w:rPr>
          <w:b/>
        </w:rPr>
        <w:t>POSSIBLE 2025:</w:t>
      </w:r>
      <w:r>
        <w:t xml:space="preserve"> EUROPEAN ASSESSMENT OF COASTAL FLOOD HAZARDS — https://doi.org/10.9753/icce.v38.management.202</w:t>
      </w:r>
    </w:p>
    <w:p>
      <w:pPr/>
      <w:r>
        <w:rPr>
          <w:b/>
        </w:rPr>
        <w:t>Shared claim-specific concepts:</w:t>
      </w:r>
      <w:r>
        <w:t xml:space="preserve"> there, room, applied, possible; EU scope visible. This is a provisional connection, not an outcome finding.</w:t>
      </w:r>
    </w:p>
    <w:p>
      <w:pPr>
        <w:pStyle w:val="SourceNote"/>
      </w:pPr>
      <w:r>
        <w:rPr>
          <w:b/>
        </w:rPr>
        <w:t>Available abstract (not full text):</w:t>
      </w:r>
      <w:r>
        <w:t xml:space="preserve"> Analyzing extreme events and determining their impacts in terms of coastal flooding are crucial for understanding and preventing potential risks caused by such hazards. Although TWL calculation and flood modelling at large scales have been addressed in the literature before, there is still much room for improvement if adaptation policies are to be developed, as they require to be based on the most accurate and least uncertain risk analysis possible. As for the flood modeling itself, the highest resolution of digital elevation model (DEM) adopted is 25 m but with a static flood modeling approach, while the only pan-European dynamic flood modeling is applied to a 90 m DEM (Vousdoukas et al., 2016). By applying high-resolution and nearshore datasets of TWL, DEM and land use information to semi-empirical and process-based models, this study aims to advance knowledge in the identified gaps to better approach the requirements that risk-based adaptation frameworks are increasingly demanding as for resolution, accuracy, and uncertainty sampling.</w:t>
      </w:r>
    </w:p>
    <w:p>
      <w:pPr/>
      <w:r>
        <w:rPr>
          <w:b/>
        </w:rPr>
        <w:t>POSSIBLE 2025:</w:t>
      </w:r>
      <w:r>
        <w:t xml:space="preserve"> The Euclid Escape Room: a journey to the Origin of the Universe — https://doi.org/10.5281/zenodo.17828893</w:t>
      </w:r>
    </w:p>
    <w:p>
      <w:pPr/>
      <w:r>
        <w:rPr>
          <w:b/>
        </w:rPr>
        <w:t>Shared claim-specific concepts:</w:t>
      </w:r>
      <w:r>
        <w:t xml:space="preserve"> room, applied; EU scope visible. This is a provisional connection, not an outcome finding.</w:t>
      </w:r>
    </w:p>
    <w:p>
      <w:pPr>
        <w:pStyle w:val="SourceNote"/>
      </w:pPr>
      <w:r>
        <w:rPr>
          <w:b/>
        </w:rPr>
        <w:t>Available abstract (not full text):</w:t>
      </w:r>
      <w:r>
        <w:t xml:space="preserve"> Poster presented at the XXI International Workshop on Neutrino Telescopes - Padova 29 September - 3 October 2025 (https://agenda.infn.it/event/44606/) Abstract: The Euclid Escape Room is an Outreach project developed by the University of Padova and the INFN Euclid Group, it is officially endorsed by the Euclid International Collaboration.It is part of the efforts related to the European Researchers' Night, the first version of the game was developed in September 2022 and then updated every year with material describing the Euclid satellite launch and the official images released by ESA.The interactive activities are addressed to a group/class of about 25 people and fit an audience of kids and primary school students (up to 14 yrs). Euclid satellite components and scientific goals are described, several videos and pictures showing the satellite assembly and launch are shown and finally a 3D Euclid model can be admired. After the launch simulation several images and galaxy spectra are discussed, the procedures to be applied for redshift estimation are also introduced using Infrared cameras and diffraction gratings.Such activity was really appreciated by the public and we already reached an audience of about 1000 people; the project is complemented by educational material suitable to lectures and interactive activities aiming to introduce the study of the dark components of our Un</w:t>
      </w:r>
    </w:p>
    <w:p>
      <w:pPr/>
      <w:r>
        <w:rPr>
          <w:b/>
        </w:rPr>
        <w:t>POSSIBLE 2025:</w:t>
      </w:r>
      <w:r>
        <w:t xml:space="preserve"> European coastal flood hazards — https://doi.org/10.5194/egusphere-egu25-17323</w:t>
      </w:r>
    </w:p>
    <w:p>
      <w:pPr/>
      <w:r>
        <w:rPr>
          <w:b/>
        </w:rPr>
        <w:t>Shared claim-specific concepts:</w:t>
      </w:r>
      <w:r>
        <w:t xml:space="preserve"> there, room, applied, possible; EU scope visible. This is a provisional connection, not an outcome finding.</w:t>
      </w:r>
    </w:p>
    <w:p>
      <w:pPr>
        <w:pStyle w:val="SourceNote"/>
      </w:pPr>
      <w:r>
        <w:rPr>
          <w:b/>
        </w:rPr>
        <w:t>Available abstract (not full text):</w:t>
      </w:r>
      <w:r>
        <w:t xml:space="preserve"> Analyzing extreme events and determining their impacts in terms of coastal flooding are crucial for understanding and preventing potential risks caused by such hazards. These risks include damage to coastal infrastructure and the built environment and impacts on the population. Identifying the key components of the total water level (TWL) reaching the coast and treating them properly to model flood propagation over land is a challenge whose complexity increases as the spatial scale increases. Although TWL calculation and flood modeling at large scales have been addressed in the literature before, there is still room for improvement if adaptation policies are to be developed, as they ought to be based on the most accurate and least uncertain risk analysis possible. For example, the resolution often adopted in existing studies for the TWL reconstruction (12.5 km to 70 km) is not high enough when it comes to estimating coastal impacts. This is mainly because such studies do not use downscaled wave dynamics but rather offshore conditions. Additionally, most research to date does not consider all main components of TWL neglecting the wave contribution, which can be an important driver of coastal flooding. Out of the ones that include it through wave setup, the majority use a simple approach (0.2Hs) and only a few adopt a semi-empirical formula, although with a spatially constant nea</w:t>
      </w:r>
    </w:p>
    <w:p>
      <w:pPr/>
      <w:r>
        <w:rPr>
          <w:b/>
        </w:rPr>
        <w:t>POSSIBLE 2025:</w:t>
      </w:r>
      <w:r>
        <w:t xml:space="preserve"> MATHEMATICAL MODELING OF ION DISPERSION IN ROOM : OPTIMIZATION PROBLEM SOLVING — https://doi.org/10.30838/ujcea.0434.270526.178.1272</w:t>
      </w:r>
    </w:p>
    <w:p>
      <w:pPr/>
      <w:r>
        <w:rPr>
          <w:b/>
        </w:rPr>
        <w:t>Shared claim-specific concepts:</w:t>
      </w:r>
      <w:r>
        <w:t xml:space="preserve"> room, possible; EU scope not established. This is a provisional connection, not an outcome finding.</w:t>
      </w:r>
    </w:p>
    <w:p>
      <w:pPr>
        <w:pStyle w:val="SourceNote"/>
      </w:pPr>
      <w:r>
        <w:rPr>
          <w:b/>
        </w:rPr>
        <w:t>Available abstract (not full text):</w:t>
      </w:r>
      <w:r>
        <w:t xml:space="preserve"> Problem statement. Ionization of air in the working room is an important task. The location of the ionizer in the room should be such as to provide the required concentration of ions in the working area. Thus, the task arises of determining the optimal location of the ionizer in the room for given room dimensions, the presence of furniture, equipment in the room and a given ventilation mode. The purpose of the article. Creation of a CFD model based on the aerodynamic equation and the coupled mass transfer equation to determine the optimal location of the ionizer in the room. Methodology. For the numerical solution of the modeling equations (the equation for the velocity potential and the conjugate mass transfer equation), finite-difference schemes are used. The numerical integration of the equation for the velocity potential is carried out using the Liebman method and a locally one-dimensional finite-difference scheme. For the numerical solution of the conjugate mass transfer equation, the methodology of G. Marchuk is used - the conjugate equation, through transformations, is reduced to the mass transfer equation. Then, two finite-difference schemes are used for the numerical integration of the mass transfer equation. The software implementation of the developed numerical models is carried out. The developed computer code makes it possible to take into account the presence of f</w:t>
      </w:r>
    </w:p>
    <w:p>
      <w:pPr/>
      <w:r>
        <w:rPr>
          <w:b/>
        </w:rPr>
        <w:t>POSSIBLE 2024:</w:t>
      </w:r>
      <w:r>
        <w:t xml:space="preserve"> Evaluation of an automated decision aid for the further referral of emergency room patients — https://doi.org/10.3238/arztebl.m2024.0191</w:t>
      </w:r>
    </w:p>
    <w:p>
      <w:pPr/>
      <w:r>
        <w:rPr>
          <w:b/>
        </w:rPr>
        <w:t>Shared claim-specific concepts:</w:t>
      </w:r>
      <w:r>
        <w:t xml:space="preserve"> there, room, further, application; EU scope visible. This is a provisional connection, not an outcome finding.</w:t>
      </w:r>
    </w:p>
    <w:p>
      <w:pPr>
        <w:pStyle w:val="SourceNote"/>
      </w:pPr>
      <w:r>
        <w:rPr>
          <w:b/>
        </w:rPr>
        <w:t>Available abstract (not full text):</w:t>
      </w:r>
      <w:r>
        <w:t xml:space="preserve"> BACKGROUND: Instruments for the initial evaluation of emergency room patients as an aid to their onward referral to ambulatory care structures are a matter of current interest. In this study, we assess the safety of the software application SmED-Kontakt+ for this purpose. SmED is an abbreviation for Strukuturierte Medizinische Ersteinschätzung Deutschland, "structured initial medical evaluation in Germany." METHODS: In this prospective cohort study, we compared the recommendations of SmED-Kontakt+ concerning the time and place of further care with those of the treating physicians. The subjects were adult patients who were able to walk and had presented themselves to the emergency room. Whenever SmED-Kontakt+ assessed the situation less critically than the physicians, and in 5% of the remaining cases, the potential endangerment of patient safety was assessed by an expert panel (expected value &lt;1%). RESULTS: In a total of 1840 cases, SmED-Kontakt+ agreed with the physicians' assessment in 353 (19%). The assessment of SmEDKontakt+ was more critical in 1221 cases (66%) and less critical in 266 (15%; potential undertriage). There was potential endangerment in 49 cases (2.7%; 95% confidence interval [2.0; 3.5]). Potential endangerment was less common among patients in the more urgent recommendation categories [0.1; 2.6] and more common in the categories of a recommended outpatient ph</w:t>
      </w:r>
    </w:p>
    <w:p>
      <w:pPr/>
      <w:r>
        <w:rPr>
          <w:b/>
        </w:rPr>
        <w:t>POSSIBLE 2024:</w:t>
      </w:r>
      <w:r>
        <w:t xml:space="preserve"> MODELING THE ENTRY OF AIR CONTAMINANTS INTO A ROOM — https://doi.org/10.31650/2618-0650-2024-6-2-58-76</w:t>
      </w:r>
    </w:p>
    <w:p>
      <w:pPr/>
      <w:r>
        <w:rPr>
          <w:b/>
        </w:rPr>
        <w:t>Shared claim-specific concepts:</w:t>
      </w:r>
      <w:r>
        <w:t xml:space="preserve"> room, carbon, possible; EU scope not established. This is a provisional connection, not an outcome finding.</w:t>
      </w:r>
    </w:p>
    <w:p>
      <w:pPr>
        <w:pStyle w:val="SourceNote"/>
      </w:pPr>
      <w:r>
        <w:rPr>
          <w:b/>
        </w:rPr>
        <w:t>Available abstract (not full text):</w:t>
      </w:r>
      <w:r>
        <w:t xml:space="preserve"> A mathematical model of air contaminant (products of human activity) inflow into the isolated air space has been developed. On the basis of the formula modified by us the simulation of human respiration with carbon dioxide, water vapor and heat emission is implemented. The model also takes into account the heat input from the human body through clothing. Applying numerical modelling ANSYS CFD (Computational Fluid Dynamics) on the basis of continuity equations and Reynolds-Averaged Navier-Stokes equations "RANS" (Reynolds-Averaged Navier-Stokes) the following results on air medium state change in the isolated space were obtained: - the human respiratory cycle is modelled at simultaneous heat transfer from the body surface through clothes into the studied air space; - the exponential equation of the trend line of concentration to observation time was obtained; - monitoring and rendering (visualization) of changes in concentration, temperature and relative humidity in the space under study by time along the room height was performed. These results and regularities served as initial data for solving a number of model non-stationary problems on aerodynamics and heat and mass transfer in the room. The inverse problem of general exchange ventilation was to be solved. Changes in the state of the air environment initially contaminated with carbon dioxide, heat and water vapors were stud</w:t>
      </w:r>
    </w:p>
    <w:p>
      <w:pPr/>
      <w:r>
        <w:rPr>
          <w:b/>
        </w:rPr>
        <w:t>POSSIBLE 2024:</w:t>
      </w:r>
      <w:r>
        <w:t xml:space="preserve"> Modelling potential distribution of the invasive box tree moth across Asia, Europe, and North America — https://doi.org/10.1371/journal.pone.0302259</w:t>
      </w:r>
    </w:p>
    <w:p>
      <w:pPr/>
      <w:r>
        <w:rPr>
          <w:b/>
        </w:rPr>
        <w:t>Shared claim-specific concepts:</w:t>
      </w:r>
      <w:r>
        <w:t xml:space="preserve"> further, possible; EU scope visible. This is a provisional connection, not an outcome finding.</w:t>
      </w:r>
    </w:p>
    <w:p>
      <w:pPr>
        <w:pStyle w:val="SourceNote"/>
      </w:pPr>
      <w:r>
        <w:rPr>
          <w:b/>
        </w:rPr>
        <w:t>Available abstract (not full text):</w:t>
      </w:r>
      <w:r>
        <w:t xml:space="preserve"> The box tree moth Cydalima perspectalis (Walker) (Lepidoptera: Crambidae) (BTM) is a native moth throughout eastern Asia, having recently become invasive in Europe (2007) where it feeds on boxwood (= box tree), Buxus spp. The moth rapidly spread across Europe and the Caucasus causing damage to both ornamental and wild Buxus. In 2018, C. perspectalis was found in Toronto, ON, Canada, and has since spread south into the US. To better predict where the moth will establish and have significant impact on ornamental trade in North America, we used most recent scientific literature and distribution points to update the temperature and diapause indices of an existing ecoclimatic CLIMEX model. The model parameters provided a good fit for the potential distribution of BTM compared to its known distribution across eastern Asia and in Europe. Interestingly, our results suggest that the current native distribution in Asia is incomplete and that further expansion is also possible in its introduced range, especially in northern Europe, along the Mediterranean coast of Africa, and eastward to central Russia. In North America, the model predicts that most of North America should be climatically suitable for the moth's establishment, with the exception of Alaska and the northern territories of Canada, as well as higher elevations in the Rocky Mountains and southern hot and dry areas. Our study h</w:t>
      </w:r>
    </w:p>
    <w:p>
      <w:pPr>
        <w:pStyle w:val="Heading2"/>
      </w:pPr>
      <w:r>
        <w:t>531. Foresight Research as а Strategic Planning Component</w:t>
      </w:r>
    </w:p>
    <w:p>
      <w:pPr>
        <w:pStyle w:val="SourceNote"/>
      </w:pPr>
      <w:r>
        <w:rPr>
          <w:b/>
        </w:rPr>
        <w:t>Original source (2022):</w:t>
      </w:r>
      <w:r>
        <w:t xml:space="preserve"> https://doi.org/10.37491/unz.85-86.15</w:t>
      </w:r>
    </w:p>
    <w:p>
      <w:pPr/>
      <w:r>
        <w:t>Original wording (abstract; indexed_source_text_not_full_document_verified): While forecasting tries to predict a single «correct» version of the future, Forsythe uses several alternative plausible futures based on their usefulness to develop sound, forward-looking policies.</w:t>
      </w:r>
    </w:p>
    <w:p>
      <w:pPr/>
      <w:r>
        <w:rPr>
          <w:b/>
        </w:rPr>
        <w:t>POSSIBLE 2026:</w:t>
      </w:r>
      <w:r>
        <w:t xml:space="preserve"> Challenges and Opportunities in Single-Sample Network Modeling — https://doi.org/10.64898/2026.02.27.708608</w:t>
      </w:r>
    </w:p>
    <w:p>
      <w:pPr/>
      <w:r>
        <w:rPr>
          <w:b/>
        </w:rPr>
        <w:t>Shared claim-specific concepts:</w:t>
      </w:r>
      <w:r>
        <w:t xml:space="preserve"> predict, single, several; EU scope not established. This is a provisional connection, not an outcome finding.</w:t>
      </w:r>
    </w:p>
    <w:p>
      <w:pPr>
        <w:pStyle w:val="SourceNote"/>
      </w:pPr>
      <w:r>
        <w:rPr>
          <w:b/>
        </w:rPr>
        <w:t>Available abstract (not full text):</w:t>
      </w:r>
      <w:r>
        <w:t xml:space="preserve"> 1 Abstract Analysis of biological networks can provide unprecedented insights into the mechanisms underlying disease. Although many methods have been developed to estimate biological networks, these approaches typically use multiple experimental samples to estimate a single ‘aggregate’ network, which fails to capture population-level heterogeneity. Recently, several methods have been developed that overcome this limitation by inferring networks for individual samples, i.e. single-sample networks. However, each approach for inferring single-sample networks has been formulated differently, making it challenging to compare them. To address this issue, we re-cast the mathematics of several single-sample network methods using common variables. We then systematically explore the parameters, caveats, and underlying assumptions made by each method and examine how these differences impact single-sample network prediction. Our analyses point to a critical trade-off that occurs when trying to simultaneously predict network edges that are both shared across samples as well as edges that are specific to a given sample. For example, the mathematics of both SWEET and BONOBO includes a scale factor that drives the weights of edges in the predicted single-sample networks toward a background network. The result is that, although networks predicted by these methods tend to have the highest accura</w:t>
      </w:r>
    </w:p>
    <w:p>
      <w:pPr/>
      <w:r>
        <w:rPr>
          <w:b/>
        </w:rPr>
        <w:t>POSSIBLE 2025:</w:t>
      </w:r>
      <w:r>
        <w:t xml:space="preserve"> The impacts of virtual try-on for online shopping on consumer purchase intention: the moderating role of technology experience — https://doi.org/10.1080/23311975.2025.2500774</w:t>
      </w:r>
    </w:p>
    <w:p>
      <w:pPr/>
      <w:r>
        <w:rPr>
          <w:b/>
        </w:rPr>
        <w:t>Shared claim-specific concepts:</w:t>
      </w:r>
      <w:r>
        <w:t xml:space="preserve"> based, usefulness, develop; EU scope not established. This is a provisional connection, not an outcome finding.</w:t>
      </w:r>
    </w:p>
    <w:p>
      <w:pPr>
        <w:pStyle w:val="SourceNote"/>
      </w:pPr>
      <w:r>
        <w:rPr>
          <w:b/>
        </w:rPr>
        <w:t>Available abstract (not full text):</w:t>
      </w:r>
      <w:r>
        <w:t xml:space="preserve"> This study investigates the impact of Virtual Try-On (VTO) on consumers’ purchase intentions in online shopping within an emerging economy, based on the Technology Acceptance Model (TAM). As e-commerce grows in markets like Vietnam, understanding VTO’s influence on consumer behavior is essential for enhancing engagement and sales. The study examines VTO’s effects on purchase intentions and explores the moderating role of technological experience. Data from 557 individuals in Vietnam were analyzed using Structural Equation Modeling (SEM). The results reveal that perceived value significantly impacts both customer attitudes toward VTO and purchase intentions. Perceived enjoyment (PE), along with two TAM factors—perceived usefulness (PU) and perceived ease of use (PEU)—positively influence attitudes toward VTO, with PU being the most significant. PU also directly affects purchase intentions. In contrast, perceived privacy risk (PR) negatively influences attitudes toward VTO. The study identifies the moderating role of technological experience (TE) in the relationship between attitudes toward VTO and purchase intentions, with greater TE strengthening the link. Overall, this research provides a comprehensive model for evaluating factors influencing online purchase decisions. The findings offer practical implications for e-commerce platforms and marketers to develop more effective VT</w:t>
      </w:r>
    </w:p>
    <w:p>
      <w:pPr/>
      <w:r>
        <w:rPr>
          <w:b/>
        </w:rPr>
        <w:t>POSSIBLE 2025:</w:t>
      </w:r>
      <w:r>
        <w:t xml:space="preserve"> Is it possible to predict single cane reed mouthpiece interaction by measuring the reed alone? — https://doi.org/10.61782/fa.2025.0509</w:t>
      </w:r>
    </w:p>
    <w:p>
      <w:pPr/>
      <w:r>
        <w:rPr>
          <w:b/>
        </w:rPr>
        <w:t>Shared claim-specific concepts:</w:t>
      </w:r>
      <w:r>
        <w:t xml:space="preserve"> predict, single, several; EU scope not established. This is a provisional connection, not an outcome finding.</w:t>
      </w:r>
    </w:p>
    <w:p>
      <w:pPr>
        <w:pStyle w:val="SourceNote"/>
      </w:pPr>
      <w:r>
        <w:rPr>
          <w:b/>
        </w:rPr>
        <w:t>Available abstract (not full text):</w:t>
      </w:r>
      <w:r>
        <w:t xml:space="preserve"> This paper deals with the experimental characterization of single cane reeds.According to some authors, the reed stiffness symmetry of the unmounted reed may explain it's perceived quality.Other studies show that the nonlinear stiffness of a reed mounted on a mouthpiece partially explains it's behavior in playing situations.According to these results, the aim of this work is to study the link between measurements performed on unmounted and mounted reeds.We adapted two experimental test rigs to characterize 90 reeds with 3 different strengths.The first is dedicated to unmounted reeds.It enables to measure the local stiffness at a known distance from the reed tip by imposing a displacement and measuring the force.The second test rig focuses on the reed mouthpiece interaction.Using a force sensor and a camera, it enables to estimate the nonlinear characteristics between lip force and reed channel area.Using these numerous measurements, we investigate the relation between the indicators by the use of statistical analysis and machine learning techniques.These methods enable to show several correlations between parameters obtained from unmounted and mounted reed measurements.</w:t>
      </w:r>
    </w:p>
    <w:p>
      <w:pPr/>
      <w:r>
        <w:rPr>
          <w:b/>
        </w:rPr>
        <w:t>POSSIBLE 2024:</w:t>
      </w:r>
      <w:r>
        <w:t xml:space="preserve"> To be predicted, or not to be predicted — https://doi.org/10.4324/9781032656885-2</w:t>
      </w:r>
    </w:p>
    <w:p>
      <w:pPr/>
      <w:r>
        <w:rPr>
          <w:b/>
        </w:rPr>
        <w:t>Shared claim-specific concepts:</w:t>
      </w:r>
      <w:r>
        <w:t xml:space="preserve"> predict, single, uses; EU scope not established. This is a provisional connection, not an outcome finding.</w:t>
      </w:r>
    </w:p>
    <w:p>
      <w:pPr>
        <w:pStyle w:val="SourceNote"/>
      </w:pPr>
      <w:r>
        <w:rPr>
          <w:b/>
        </w:rPr>
        <w:t>Available abstract (not full text):</w:t>
      </w:r>
      <w:r>
        <w:t xml:space="preserve"> What follows uses both historical and theoretical tools to define the framework within which the philosophical meaning of the current obsession with technological prediction, which will be analysed in the following chapters, may be understood. The cradle of Western culture, from scripture to mythology to philosophy, continuously suggests that knowledge, specifically the prediction of humans’ future, can be dangerous to humans themselves. Yet, most interestingly, the history of Western culture coincides with the increasing attempt to make knowledge the primary objective of human activities, from philosophy itself to science and technology. More precisely, the more technology develops, the more its primary objective is to know our future, specifically to predict our future as single individuals, from our bodies’ performance to our minds’ performance. The opposition between the strive not to know and the strive to know, to the point that we automatically predict our future as single individuals, is an exceedingly meaningful symptom to try to understand the present time.</w:t>
      </w:r>
    </w:p>
    <w:p>
      <w:pPr/>
      <w:r>
        <w:rPr>
          <w:b/>
        </w:rPr>
        <w:t>POSSIBLE 2024:</w:t>
      </w:r>
      <w:r>
        <w:t xml:space="preserve"> Single Moving Average Method Forecasting to Predict Skincare Sales — https://doi.org/10.24014/ijaidm.v8i1.32028</w:t>
      </w:r>
    </w:p>
    <w:p>
      <w:pPr/>
      <w:r>
        <w:rPr>
          <w:b/>
        </w:rPr>
        <w:t>Shared claim-specific concepts:</w:t>
      </w:r>
      <w:r>
        <w:t xml:space="preserve"> tries, predict, single, based; EU scope not established. This is a provisional connection, not an outcome finding.</w:t>
      </w:r>
    </w:p>
    <w:p>
      <w:pPr>
        <w:pStyle w:val="SourceNote"/>
      </w:pPr>
      <w:r>
        <w:rPr>
          <w:b/>
        </w:rPr>
        <w:t>Available abstract (not full text):</w:t>
      </w:r>
      <w:r>
        <w:t xml:space="preserve"> Nada Nadine Skincare Store is a business engaged in the sale of beauty skincare. Nada Nadine Skincare Store was established in 2023 and is located on Jalan Lingkungan IV Air Joman, Asahan Regency. The problem at Nada Nadine Skincare Store is that it has difficulty in estimating the level of demand for beauty skincare (Wardah) for inventory because it is still guessing and experience from the production department of Nada Nadine Skincare Store and there is no beauty skincare sales forecasting system that will make it easier for Nada Nadine Skincare Store to determine the amount of beauty skincare (Wardah) inventory. The purpose of this system is to be able to apply the single moving average method to the beauty skincare (Wardah) sales demand forecasting system at the Nada Nadine Skincare Store and to be able to design a website-based beauty skincare (Wardah) sales demand forecasting system at the Nada Nadine Skincare Store using the PHP programming language and MySql database. From the problem analysis, the author tries to predict the amount of beauty skincare demand using the Single Moving Average (SMA) method. The conclusion that can be drawn from research on the Single Moving Average (SMA) based skincare sales forecasting system forecasts the sales demand for beauty skincare (wardah) at the Nada Nadine Skincare Store so The system calculation results are the same as the manua</w:t>
      </w:r>
    </w:p>
    <w:p>
      <w:pPr/>
      <w:r>
        <w:rPr>
          <w:b/>
        </w:rPr>
        <w:t>POSSIBLE 2024:</w:t>
      </w:r>
      <w:r>
        <w:t xml:space="preserve"> Significance of Anatomical Constraints in Virtual Try-On — https://doi.org/10.1109/tetci.2024.3353080</w:t>
      </w:r>
    </w:p>
    <w:p>
      <w:pPr/>
      <w:r>
        <w:rPr>
          <w:b/>
        </w:rPr>
        <w:t>Shared claim-specific concepts:</w:t>
      </w:r>
      <w:r>
        <w:t xml:space="preserve"> predict, single, based; EU scope not established. This is a provisional connection, not an outcome finding.</w:t>
      </w:r>
    </w:p>
    <w:p>
      <w:pPr>
        <w:pStyle w:val="SourceNote"/>
      </w:pPr>
      <w:r>
        <w:rPr>
          <w:b/>
        </w:rPr>
        <w:t>Available abstract (not full text):</w:t>
      </w:r>
      <w:r>
        <w:t xml:space="preserve"> The system of Virtual Try-ON (VTON) allows a user to try a product virtually. In general, a VTON system takes a clothing source and a person's image to predict the try-on output of the person in the given clothing. Although existing methods perform well for simple poses, in case of bent or crossed arms posture or when there is a significant difference between the alignment of the source clothing and the pose of the target person, these methods fail by generating inaccurate clothing deformations. In the VTON methods that employ Thin Plate Spline (TPS) based clothing transformations, this mainly occurs for two reasons - (1) the second-order smoothness constraint of TPS that restricts the bending of the object plane. (2) Overlaps among different clothing parts (e.g., sleeves and torso) can not be modeled by a single TPS transformation, as it assumes the clothing as a single planar object; therefore, disregards the independence of movement of different clothing parts. To this end, we make two major contributions. Concerning the bending limitations of TPS, we propose a human AnaTomy-Aware Geometric (ATAG) transformation. Regarding the overlap issue, we propose a part-based warping approach that divides the clothing into independently warpable parts to warp them separately and later combine them. Extensive analysis shows the efficacy of this approach.</w:t>
      </w:r>
    </w:p>
    <w:p>
      <w:pPr/>
      <w:r>
        <w:rPr>
          <w:b/>
        </w:rPr>
        <w:t>POSSIBLE 2024:</w:t>
      </w:r>
      <w:r>
        <w:t xml:space="preserve"> Hybrid Visual Predictive Control for Single and Multi-Agent Systems — https://doi.org/10.32920/25234732</w:t>
      </w:r>
    </w:p>
    <w:p>
      <w:pPr/>
      <w:r>
        <w:rPr>
          <w:b/>
        </w:rPr>
        <w:t>Shared claim-specific concepts:</w:t>
      </w:r>
      <w:r>
        <w:t xml:space="preserve"> single, several, based; EU scope not established. This is a provisional connection, not an outcome finding.</w:t>
      </w:r>
    </w:p>
    <w:p>
      <w:pPr>
        <w:pStyle w:val="SourceNote"/>
      </w:pPr>
      <w:r>
        <w:rPr>
          <w:b/>
        </w:rPr>
        <w:t>Available abstract (not full text):</w:t>
      </w:r>
      <w:r>
        <w:t xml:space="preserve"> Visual servoing (VS) is a technique which utilizes information acquired from a visual sensor to control the motion of a robot. Despite the advantages of the classic VS techniques in controlling of the robots- specifically in unstructured environments- they suffer from some system’s shortcomings such as the lack of an effective mechanism for handling the existing constraints within the control procedure. To alleviate these issues, among the several approaches proposed in the literature, the receding horizon or model predictive control (MPC) technique is an appropriate candidate to be employed by the system. Any combination of the model predictive control and visual servoing is called visual predictive control (VPC) which is categorized as the classic and hybrid methods. The classic VPC schemes are developed based on the classic VS approaches and the hybrid ones employ the hybrid VS schemes to be integrated by MPC. On the other hand, to guarantee the convergence of the system in presence of the noises and uncertainties, the proposed VPC schemes are embedded in internal model control (IMC) framework. This work contributes by utilizing the available VPC scheme in control of different robots, such as 3 DOF catheter as a continuum robot and a 6 DOF manipulator from Denso robotics as a robot arm, and by developing two hybrid predictive controllers, conjugated VPC and depth-based VPC, </w:t>
      </w:r>
    </w:p>
    <w:p>
      <w:pPr/>
      <w:r>
        <w:rPr>
          <w:b/>
        </w:rPr>
        <w:t>POSSIBLE 2024:</w:t>
      </w:r>
      <w:r>
        <w:t xml:space="preserve"> scEpiAge: an age predictor highlighting single-cell ageing heterogeneity in mouse blood — https://doi.org/10.1038/s41467-024-51833-5</w:t>
      </w:r>
    </w:p>
    <w:p>
      <w:pPr/>
      <w:r>
        <w:rPr>
          <w:b/>
        </w:rPr>
        <w:t>Shared claim-specific concepts:</w:t>
      </w:r>
      <w:r>
        <w:t xml:space="preserve"> predict, single, develop; EU scope not established. This is a provisional connection, not an outcome finding.</w:t>
      </w:r>
    </w:p>
    <w:p>
      <w:pPr>
        <w:pStyle w:val="SourceNote"/>
      </w:pPr>
      <w:r>
        <w:rPr>
          <w:b/>
        </w:rPr>
        <w:t>Available abstract (not full text):</w:t>
      </w:r>
      <w:r>
        <w:t xml:space="preserve"> Ageing is the accumulation of changes and decline of function of organisms over time. The concept and biomarkers of biological age have been established, notably DNA methylation-based clocks. The emergence of single-cell DNA methylation profiling methods opens the possibility of studying the biological age of individual cells. Here, we generate a large single-cell DNA methylation and transcriptome dataset from mouse peripheral blood samples, spanning a broad range of ages. The number of genes expressed increases with age, but gene-specific changes are small. We next develop scEpiAge, a single-cell DNA methylation age predictor, which can accurately predict age in (very sparse) publicly available datasets, and also in single cells. DNA methylation age distribution is wider than technically expected, indicating epigenetic age heterogeneity and functional differences. Our work provides a foundation for single-cell and sparse data epigenetic age predictors, validates their functionality and highlights epigenetic heterogeneity during ageing.</w:t>
      </w:r>
    </w:p>
    <w:p>
      <w:pPr/>
      <w:r>
        <w:rPr>
          <w:b/>
        </w:rPr>
        <w:t>POSSIBLE 2024:</w:t>
      </w:r>
      <w:r>
        <w:t xml:space="preserve"> Predictive coding with spiking neurons and feedforward gist signaling — https://doi.org/10.3389/fncom.2024.1338280</w:t>
      </w:r>
    </w:p>
    <w:p>
      <w:pPr/>
      <w:r>
        <w:rPr>
          <w:b/>
        </w:rPr>
        <w:t>Shared claim-specific concepts:</w:t>
      </w:r>
      <w:r>
        <w:t xml:space="preserve"> uses, alternative, plausible; EU scope not established. This is a provisional connection, not an outcome finding.</w:t>
      </w:r>
    </w:p>
    <w:p>
      <w:pPr>
        <w:pStyle w:val="SourceNote"/>
      </w:pPr>
      <w:r>
        <w:rPr>
          <w:b/>
        </w:rPr>
        <w:t>Available abstract (not full text):</w:t>
      </w:r>
      <w:r>
        <w:t xml:space="preserve"> Abstract Predictive coding (PC) is an influential theory in neuroscience, which suggests the existence of a cortical architecture that is constantly generating and updating predictive representations of sensory inputs. Owing to its hierarchical and generative nature, PC has inspired many computational models of perception in the literature. However, the biological plausibility of existing models has not been sufficiently explored due to their use of artificial neural network features such as a non-linear, continuous, and clock-driven function approximator as basic unit of computation. Therefore, we have developed a spiking neural network for predictive coding (SNN-PC), in which neurons communicate using event-driven and asynchronous spikes. While adopting the hierarchical structure and Hebbian learning algorithms from previous PC neural network models, SNN-PC introduces two novel features: 1) a fast feedforward sweep from the input to higher areas, which generates a spatially reduced and abstract representation of input (i.e., a neural code for the gist of a scene) and provides a neurobiological alternative to an arbitrary choice of priors; and 2) a separation of positive and negative error-computing neurons, which counters the biological implausibility of a bi-directional error neuron with a very high basal firing rate. After training with the MNIST handwritten digit dataset, </w:t>
      </w:r>
    </w:p>
    <w:p>
      <w:pPr/>
      <w:r>
        <w:rPr>
          <w:b/>
        </w:rPr>
        <w:t>POSSIBLE 2024:</w:t>
      </w:r>
      <w:r>
        <w:t xml:space="preserve"> Biased expectations about future choice options predict sequential economic decisions — https://doi.org/10.1038/s44271-024-00172-8</w:t>
      </w:r>
    </w:p>
    <w:p>
      <w:pPr/>
      <w:r>
        <w:rPr>
          <w:b/>
        </w:rPr>
        <w:t>Shared claim-specific concepts:</w:t>
      </w:r>
      <w:r>
        <w:t xml:space="preserve"> predict, version, several; EU scope not established. This is a provisional connection, not an outcome finding.</w:t>
      </w:r>
    </w:p>
    <w:p>
      <w:pPr>
        <w:pStyle w:val="SourceNote"/>
      </w:pPr>
      <w:r>
        <w:rPr>
          <w:b/>
        </w:rPr>
        <w:t>Available abstract (not full text):</w:t>
      </w:r>
      <w:r>
        <w:t xml:space="preserve"> Considerable research has shown that people make biased decisions in "optimal stopping problems", where options are encountered sequentially, and there is no opportunity to recall rejected options or to know upcoming options in advance (e.g. when flat hunting or choosing a spouse). Here, we used computational modelling to identify the mechanisms that best explain decision bias in the context of an especially realistic version of this problem: the full-information problem. We eliminated a number of factors as potential instigators of bias. Then, we examined sequence length and payoff scheme: two manipulations where an optimality model recommends adjusting the sampling rate. Here, participants were more reluctant to increase their sampling rates when it was optimal to do so, leading to increased undersampling bias. Our comparison of several computational models of bias demonstrates that many participants maintain these relatively low sampling rates because of suboptimally pessimistic expectations about the quality of future options (i.e. a mis-specified prior distribution). These results support a new theory about how humans solve full information problems. Understanding the causes of decision error could enhance how we conduct real world sequential searches for options, for example how online shopping or dating applications present options to users.</w:t>
      </w:r>
    </w:p>
    <w:p>
      <w:pPr/>
      <w:r>
        <w:rPr>
          <w:b/>
        </w:rPr>
        <w:t>POSSIBLE 2024:</w:t>
      </w:r>
      <w:r>
        <w:t xml:space="preserve"> Predicting the Pathway Involvement of Metabolites Based on Combined Metabolite and Pathway Features — https://doi.org/10.3390/metabo14050266</w:t>
      </w:r>
    </w:p>
    <w:p>
      <w:pPr/>
      <w:r>
        <w:rPr>
          <w:b/>
        </w:rPr>
        <w:t>Shared claim-specific concepts:</w:t>
      </w:r>
      <w:r>
        <w:t xml:space="preserve"> predict, single, based; EU scope not established. This is a provisional connection, not an outcome finding.</w:t>
      </w:r>
    </w:p>
    <w:p>
      <w:pPr>
        <w:pStyle w:val="SourceNote"/>
      </w:pPr>
      <w:r>
        <w:rPr>
          <w:b/>
        </w:rPr>
        <w:t>Available abstract (not full text):</w:t>
      </w:r>
      <w:r>
        <w:t xml:space="preserve"> A major limitation of most metabolomics datasets is the sparsity of pathway annotations of detected metabolites. It is common for less than half of identified metabolites in these datasets to have known metabolic pathway involvement. Trying to address this limitation, machine learning models have been developed to predict the association of a metabolite with a "pathway category", as defined by one of the metabolic knowledgebases like the Kyoto Encyclopedia of Gene and Genomes. Most of these models are implemented as a single binary classifier specific to a single pathway category, requiring a set of binary classifiers for generating predictions for multiple pathway categories. This single binary classifier per pathway category approach both multiplies the computational resources necessary for training while diluting the positive entries in gold standard datasets needed for training. To address the limitations of training separate classifiers, we propose a generalization of the metabolic pathway prediction problem using a single binary classifier that accepts both features representing a metabolite and features representing a generic pathway category and then predicts whether the given metabolite is involved in the corresponding pathway category. We demonstrate that this metabolite-pathway features-pair approach is not only competitive with the combined performance of training s</w:t>
      </w:r>
    </w:p>
    <w:p>
      <w:pPr/>
      <w:r>
        <w:rPr>
          <w:b/>
        </w:rPr>
        <w:t>POSSIBLE 2024:</w:t>
      </w:r>
      <w:r>
        <w:t xml:space="preserve"> Predicting pharmaceutical prices. Advances based on purchase-level data and machine learning — https://doi.org/10.1186/s12889-024-19171-9</w:t>
      </w:r>
    </w:p>
    <w:p>
      <w:pPr/>
      <w:r>
        <w:rPr>
          <w:b/>
        </w:rPr>
        <w:t>Shared claim-specific concepts:</w:t>
      </w:r>
      <w:r>
        <w:t xml:space="preserve"> uses, based, policies; EU scope not established. This is a provisional connection, not an outcome finding.</w:t>
      </w:r>
    </w:p>
    <w:p>
      <w:pPr>
        <w:pStyle w:val="SourceNote"/>
      </w:pPr>
      <w:r>
        <w:rPr>
          <w:b/>
        </w:rPr>
        <w:t>Available abstract (not full text):</w:t>
      </w:r>
      <w:r>
        <w:t xml:space="preserve"> BACKGROUND: Increased costs in the health sector have put considerable strain on the public budgets allocated to pharmaceutical purchases. Faced with such pressures amplified by financial crises and pandemics, national purchasing authorities are presented with a puzzle: how to procure pharmaceuticals of the highest quality for the lowest price. The literature explored a range of impactful factors using data on producer and reference prices, but largely foregone the use of data on individual purchases by diverse public buyers. METHODS: Leveraging the availability of open data in public procurement from official government portals, the article examines the relationship between unit prices and a host of predictors that account for policies that can be amended nationally or locally. The study uses traditional linear regression (OLS) and a machine learning model, random forest, to identify the best models for predicting pharmaceutical unit prices. To explore the association between a wide variety of predictors and unit prices, the study relies on more than 200,000 purchases in more than 800 standardized pharmaceutical product categories from 10 countries and territories. RESULTS: = 0.85) and lower prediction error (RMSE = 0.81). CONCLUSIONS: The results demonstrate the potential of i) tapping into large quantities of purchase-level data in the health care sector and ii) using machin</w:t>
      </w:r>
    </w:p>
    <w:p>
      <w:pPr>
        <w:pStyle w:val="Heading2"/>
      </w:pPr>
      <w:r>
        <w:t>532. Foresight of teachers’ professional challenges</w:t>
      </w:r>
    </w:p>
    <w:p>
      <w:pPr>
        <w:pStyle w:val="SourceNote"/>
      </w:pPr>
      <w:r>
        <w:rPr>
          <w:b/>
        </w:rPr>
        <w:t>Original source (2022):</w:t>
      </w:r>
      <w:r>
        <w:t xml:space="preserve"> https://doi.org/10.17853/1994-5639-2022-6-60-83</w:t>
      </w:r>
    </w:p>
    <w:p>
      <w:pPr/>
      <w:r>
        <w:t>Original wording (abstract; indexed_source_text_not_full_document_verified): As a result of the study, it was found that the main challenge in the future will be the lack of competencies and skills of teachers to apply the necessary techniques and technologies. From the teachers’ point of view, the main challenge in the future will be the lack of time for the necessary changes.</w:t>
      </w:r>
    </w:p>
    <w:p>
      <w:pPr/>
      <w:r>
        <w:rPr>
          <w:b/>
        </w:rPr>
        <w:t>POSSIBLE 2026:</w:t>
      </w:r>
      <w:r>
        <w:t xml:space="preserve"> Main Results of the Second LPT Challenge — https://doi.org/10.55037/lxlaser.22nd.105</w:t>
      </w:r>
    </w:p>
    <w:p>
      <w:pPr/>
      <w:r>
        <w:rPr>
          <w:b/>
        </w:rPr>
        <w:t>Shared claim-specific concepts:</w:t>
      </w:r>
      <w:r>
        <w:t xml:space="preserve"> main, challenge, time; EU scope not established. This is a provisional connection, not an outcome finding.</w:t>
      </w:r>
    </w:p>
    <w:p>
      <w:pPr>
        <w:pStyle w:val="SourceNote"/>
      </w:pPr>
      <w:r>
        <w:rPr>
          <w:b/>
        </w:rPr>
        <w:t>Available abstract (not full text):</w:t>
      </w:r>
      <w:r>
        <w:t xml:space="preserve"> This work presents the main results of the second Lagrangian Particle Tracking (LPT) challenge, jointly organized by TU Delft, DLR, ONERA, and Penn State. We consider three test cases, namely two synthetic (a turbulent channel flow and the near-wall flow in the wake of cylindrical obstacles) and one experimental (Rayleigh-Bénard convection). Both timeresolved (for all test cases) and two-pulse (for the latter two test cases) image acquisitions are addressed. The effects of relevant parameters of the experimental setup are analysed, including the particle image density (ppp), the time separation between image recordings, the presence or absence of Mie scattering and the fraction of the total measurement volume imaged by all the cameras. The results are presented in terms of precision and recall of the particle reconstruction, as well as errors of the reconstructed particle positions, velocities and accelerations. The input data is freely available for download in the online portal (https://onera-flow-benchmarks.fr/en/Second_LPT_DA_Challenge), where the automatic evaluation of the submitted results is conducted.</w:t>
      </w:r>
    </w:p>
    <w:p>
      <w:pPr/>
      <w:r>
        <w:rPr>
          <w:b/>
        </w:rPr>
        <w:t>POSSIBLE 2026:</w:t>
      </w:r>
      <w:r>
        <w:t xml:space="preserve"> ANALYSIS OF COMPETENCY DEVELOPMENT POLICY IN IMPROVING EMPLOYEE PERFORMANCE AT THE SIROMBU DISTRICT OFFICE — https://doi.org/10.47652/metadata.v8i1.980</w:t>
      </w:r>
    </w:p>
    <w:p>
      <w:pPr/>
      <w:r>
        <w:rPr>
          <w:b/>
        </w:rPr>
        <w:t>Shared claim-specific concepts:</w:t>
      </w:r>
      <w:r>
        <w:t xml:space="preserve"> found, lack, techniques; EU scope not established. This is a provisional connection, not an outcome finding.</w:t>
      </w:r>
    </w:p>
    <w:p>
      <w:pPr>
        <w:pStyle w:val="SourceNote"/>
      </w:pPr>
      <w:r>
        <w:rPr>
          <w:b/>
        </w:rPr>
        <w:t>Available abstract (not full text):</w:t>
      </w:r>
      <w:r>
        <w:t xml:space="preserve"> ABSTRACT This study aims to analyze the competency development policy implemented to improve employee performance at the Sirombu Sub-district Office. The research method used is qualitative with data collection techniques through in-depth interviews with relevant employees. The results of the study indicate that the implemented competency development policy has had a positive impact on improving employee performance, although several obstacles were still found such as limited resources and a lack of structured training. The conclusion of this study is that the competency development policy needs to be strengthened with more consistent training support and regular evaluations so that employee performance can continue to improve significantly. The results of the study indicate that the sub-district office has improved training and competency development programs and conducted regular monitoring to ensure the effectiveness of the implemented policies.</w:t>
      </w:r>
    </w:p>
    <w:p>
      <w:pPr/>
      <w:r>
        <w:rPr>
          <w:b/>
        </w:rPr>
        <w:t>POSSIBLE 2026:</w:t>
      </w:r>
      <w:r>
        <w:t xml:space="preserve"> IMPLEMENTATION OF 12 CORE COMPETENCY TRAINING, PRECEPTORSHIP METHOD FOR NEW NURSES IN IMPROVING THE 12 CORE COMPETENCIES OF NEW NURSES AT PRIMAYA PGI CIKINI HOSPITAL, CENTRAL JAKARTA — https://doi.org/10.58439/hnp.v4i1.474</w:t>
      </w:r>
    </w:p>
    <w:p>
      <w:pPr/>
      <w:r>
        <w:rPr>
          <w:b/>
        </w:rPr>
        <w:t>Shared claim-specific concepts:</w:t>
      </w:r>
      <w:r>
        <w:t xml:space="preserve"> found, lack, competencies, skills; EU scope not established. This is a provisional connection, not an outcome finding.</w:t>
      </w:r>
    </w:p>
    <w:p>
      <w:pPr>
        <w:pStyle w:val="SourceNote"/>
      </w:pPr>
      <w:r>
        <w:rPr>
          <w:b/>
        </w:rPr>
        <w:t>Available abstract (not full text):</w:t>
      </w:r>
      <w:r>
        <w:t xml:space="preserve"> In accordance with the Hospital Law No. 44 of 2009 concerning hospitals, hospitals must have nursing staff including New Nurses. New nurses in their work environment are found to lack clinical, social and emotional support which reduces their confidence in practicing nursing care such as lack of knowledge and practical competence when facing complex situations in the work environment. According to SKPI 2012, nurses must be able to carry out 12 basic nursing competencies competently. The implementation of 12 core competencies for new nurses is very important to improve nurse competence. The purpose of this study is to determine the effectiveness of training on the implementation of 12 core competencies by Preceptors on improving 12 core competencies for New Nurses. The research method uses quantitative research with a quasi-experimental design with a pretest-posttest control group design, namely a two-group design selected by consecutive sampling that meets the inclusion criteria with a sample of 20 new nurses, 10 nurses in the intervention group and 10 nurses in the control group. The results of the normality and homogeneity tests showed that the data were normally distributed and both groups had homogeneous variances, so the selection of parametric statistical tests such as the paired t-test and independent t-test was appropriate. The results of the paired t-test in the interv</w:t>
      </w:r>
    </w:p>
    <w:p>
      <w:pPr/>
      <w:r>
        <w:rPr>
          <w:b/>
        </w:rPr>
        <w:t>POSSIBLE 2026:</w:t>
      </w:r>
      <w:r>
        <w:t xml:space="preserve"> The AI Answer Evidence Index: data, code and results of the main run — https://doi.org/10.5281/zenodo.23238428</w:t>
      </w:r>
    </w:p>
    <w:p>
      <w:pPr/>
      <w:r>
        <w:rPr>
          <w:b/>
        </w:rPr>
        <w:t>Shared claim-specific concepts:</w:t>
      </w:r>
      <w:r>
        <w:t xml:space="preserve"> result, found, main, time; EU scope not established. This is a provisional connection, not an outcome finding.</w:t>
      </w:r>
    </w:p>
    <w:p>
      <w:pPr>
        <w:pStyle w:val="SourceNote"/>
      </w:pPr>
      <w:r>
        <w:rPr>
          <w:b/>
        </w:rPr>
        <w:t>Available abstract (not full text):</w:t>
      </w:r>
      <w:r>
        <w:t xml:space="preserve"> This record holds the data, the code and the results of the main run of The AI Answer Evidence Index. The study asks whether a reader who follows an AI answer engine's own sources can find there the figures the answer gives: do the numbers in AI answers have sources? It measures whether a figure in an answer occurs on the pages that answer cites, and it does not measure whether any figure is correct. Fifty buyer questions about prices, costs, fees and value, drawn by a written rule from Google autocomplete suggestions, were put to Google AI Overviews, ChatGPT and Gemini through their free public web interfaces from a New York network exit on 5 to 7 October 2026, by fixed scripts, and the first ten were asked a second time. The design, the questions and the instrument were registered for these three engines before the first answer was collected (doi:10.5281/zenodo.23145556, published 5 October 2026 at 13:32:08 UTC). A local model listed the figures in each answer, a script checked every listed figure against the pages the answer cites, the figures that were not found were classified, and a 40-figure sample drawn from the figures of the three registered engines was read by a second model; both readings are model readings and are reported as such. Two engines were added after the registration and outside it, as exploratory additions. The same fifty questions were put once to Perpl</w:t>
      </w:r>
    </w:p>
    <w:p>
      <w:pPr/>
      <w:r>
        <w:rPr>
          <w:b/>
        </w:rPr>
        <w:t>POSSIBLE 2026:</w:t>
      </w:r>
      <w:r>
        <w:t xml:space="preserve"> The Three Dimensions of Cultural Competency in Art Therapy Education: Awareness, Knowledge, and Skills — https://doi.org/10.25777/xppk-0605</w:t>
      </w:r>
    </w:p>
    <w:p>
      <w:pPr/>
      <w:r>
        <w:rPr>
          <w:b/>
        </w:rPr>
        <w:t>Shared claim-specific concepts:</w:t>
      </w:r>
      <w:r>
        <w:t xml:space="preserve"> found, lack, competencies, skills; EU scope not established. This is a provisional connection, not an outcome finding.</w:t>
      </w:r>
    </w:p>
    <w:p>
      <w:pPr>
        <w:pStyle w:val="SourceNote"/>
      </w:pPr>
      <w:r>
        <w:rPr>
          <w:b/>
        </w:rPr>
        <w:t>Available abstract (not full text):</w:t>
      </w:r>
      <w:r>
        <w:t xml:space="preserve"> The subject of multicultural competent practice has gained attention from the mental health professions for the last few decades. Many health profession’s associations took actions to ensure that cultural competent practice is one of the major focuses in the educational setting. The American Art Therapy Association understood the necessity of multicultural competency education and in December 2011, announced the Multicultural / Diversity Competencies as a guideline for practicing art therapists and educators to establish cultural competency standards. Lack of research in the subject of multicultural competency inspired this study to examine the art therapy education program in a wide range of areas, from curriculum design to teaching methods. A new instrument, Survey for Art Therapy Educators of Cultural Competency Course Content, was designed specifically for the purpose of this study to assess cultural competency within the art therapy educational programs. Results found from the study were promising in terms of identifying current issues and for use as a reference for future study in art therapy multicultural competency education.</w:t>
      </w:r>
    </w:p>
    <w:p>
      <w:pPr/>
      <w:r>
        <w:rPr>
          <w:b/>
        </w:rPr>
        <w:t>POSSIBLE 2026:</w:t>
      </w:r>
      <w:r>
        <w:t xml:space="preserve"> Diagnosis and Derivation of Implications for the Integrated Management and Operation of Competency-Based Extracurricular Programs : Focusing on Operational Data of University A's Student Competency Management System — https://doi.org/10.46392/kjge.2026.20.4.127</w:t>
      </w:r>
    </w:p>
    <w:p>
      <w:pPr/>
      <w:r>
        <w:rPr>
          <w:b/>
        </w:rPr>
        <w:t>Shared claim-specific concepts:</w:t>
      </w:r>
      <w:r>
        <w:t xml:space="preserve"> result, found, lack, competencies; EU scope not established. This is a provisional connection, not an outcome finding.</w:t>
      </w:r>
    </w:p>
    <w:p>
      <w:pPr>
        <w:pStyle w:val="SourceNote"/>
      </w:pPr>
      <w:r>
        <w:rPr>
          <w:b/>
        </w:rPr>
        <w:t>Available abstract (not full text):</w:t>
      </w:r>
      <w:r>
        <w:t xml:space="preserve"> This study aims to diagnose the operational structure of university extracurricular curricula from various perspectives based on data and to derive implications for the integrated management and operation of competency-based extracurricular programs. Previous research on extracurricular activities has focused on verifying the effectiveness of individual programs or surveys of student perceptions, resulting in a relative lack of effort in interpreting the significance of operational data accumulated in systems. Therefore, this study focused on interpretation rather than data collection, analyzing all extracurricular programs from the 2023-2025 academic years accumulated by University A in its Student Competency Management System. The analysis was conducted by diagnosing the distribution of programs by type, operating entities, semester linkage structures, inter-core competency linkage structures, similar and overlapping operations, and the actual state of data quality through descriptive statistics, frequency analysis, chi-square tests, and effect sizes (Cramér's V).As a result, it was confirmed that the extracurricular curriculum at University A operates around a single, biased axis converging on types of employment and entrepreneurship, administrative and support departments, regular semesters, and problem-solving competencies. Furthermore, it was found that for three years, t</w:t>
      </w:r>
    </w:p>
    <w:p>
      <w:pPr/>
      <w:r>
        <w:rPr>
          <w:b/>
        </w:rPr>
        <w:t>POSSIBLE 2026:</w:t>
      </w:r>
      <w:r>
        <w:t xml:space="preserve"> How to Evaluate the Relevance of Skills and Competencies — https://doi.org/10.59490/mt.266.96</w:t>
      </w:r>
    </w:p>
    <w:p>
      <w:pPr/>
      <w:r>
        <w:rPr>
          <w:b/>
        </w:rPr>
        <w:t>Shared claim-specific concepts:</w:t>
      </w:r>
      <w:r>
        <w:t xml:space="preserve"> competencies, skills, teachers; EU scope not established. This is a provisional connection, not an outcome finding.</w:t>
      </w:r>
    </w:p>
    <w:p>
      <w:pPr>
        <w:pStyle w:val="SourceNote"/>
      </w:pPr>
      <w:r>
        <w:rPr>
          <w:b/>
        </w:rPr>
        <w:t>Available abstract (not full text):</w:t>
      </w:r>
      <w:r>
        <w:t xml:space="preserve"> This chapter discusses the rationale and means to evaluate the relevance of transferable competencies and skills for engineering degrees. It presents three processes that have been used in different contexts to identify which transferable skills and competencies are needed in engineering work. The cases also illustrate how the viewpoints of different stakeholders can be brought to the table. Although the evaluation of the relevance of skills may be more pertinent to programme heads and other educational leaders responsible for the construction of entire degrees, knowing about these processes and their outcomes can also benefit lecturers of a single course or module by showing where some of the requirements set for the teachers originate from and how they are justified. The chapter finishes with recommendations for those who wish to conduct an evaluation of relevance in their own context.</w:t>
      </w:r>
    </w:p>
    <w:p>
      <w:pPr/>
      <w:r>
        <w:rPr>
          <w:b/>
        </w:rPr>
        <w:t>POSSIBLE 2026:</w:t>
      </w:r>
      <w:r>
        <w:t xml:space="preserve"> The role of general competencies in the success of engineering project managers. — https://openalex.org/W7163092825</w:t>
      </w:r>
    </w:p>
    <w:p>
      <w:pPr/>
      <w:r>
        <w:rPr>
          <w:b/>
        </w:rPr>
        <w:t>Shared claim-specific concepts:</w:t>
      </w:r>
      <w:r>
        <w:t xml:space="preserve"> found, main, lack, competencies, skills; EU scope not established. This is a provisional connection, not an outcome finding.</w:t>
      </w:r>
    </w:p>
    <w:p>
      <w:pPr>
        <w:pStyle w:val="SourceNote"/>
      </w:pPr>
      <w:r>
        <w:rPr>
          <w:b/>
        </w:rPr>
        <w:t>Available abstract (not full text):</w:t>
      </w:r>
      <w:r>
        <w:t xml:space="preserve"> This thesis analyzes the role of general competencies in the success of engineering project managers. The relevance of the topic is driven by the changing nature of engineering projects, which are increasingly influenced by digitalization, technological complexity, sustainability requirements, and the need to work with multidisciplinary specialists. Although engineering project managers are traditionally associated with technical knowledge and project management methods, the analysis shows that these elements alone are insufficient to ensure successful project outcomes. Therefore, this thesis addresses the problem of what role general competencies play in the success of engineering project managers. The theoretical part examines the concept of competence and general competencies, their models, and their significance in project management. General competencies are transferable skills that help individuals operate in changing professional situations; they encompass communication, collaboration, conflict management, critical thinking, self-regulation, planning, decision-making, and the use of information and technology. Based on this, a theoretical model was developed in this study, distinguishing three main groups of general competencies relevant to engineering project managers: the ability to act autonomously, the ability to act in socially heterogeneous groups, and the ability </w:t>
      </w:r>
    </w:p>
    <w:p>
      <w:pPr/>
      <w:r>
        <w:rPr>
          <w:b/>
        </w:rPr>
        <w:t>POSSIBLE 2025:</w:t>
      </w:r>
      <w:r>
        <w:t xml:space="preserve"> The Types Of Illocutionary Found In The Main Character’s Utterances In Alladin Movie — https://doi.org/10.22334/traverse.v6i1.169</w:t>
      </w:r>
    </w:p>
    <w:p>
      <w:pPr/>
      <w:r>
        <w:rPr>
          <w:b/>
        </w:rPr>
        <w:t>Shared claim-specific concepts:</w:t>
      </w:r>
      <w:r>
        <w:t xml:space="preserve"> result, found, main; EU scope not established. This is a provisional connection, not an outcome finding.</w:t>
      </w:r>
    </w:p>
    <w:p>
      <w:pPr>
        <w:pStyle w:val="SourceNote"/>
      </w:pPr>
      <w:r>
        <w:rPr>
          <w:b/>
        </w:rPr>
        <w:t>Available abstract (not full text):</w:t>
      </w:r>
      <w:r>
        <w:t xml:space="preserve"> This study is concerned with analyzing the research entitled Illocutionary Acts Found In The Main Character’s Utterances. This research is concerned with identifying the types of illocutionary acts used by the main characters, how often the types of illocutionary acts occurred, and which types appeared most frequently in the movie. This research utilized qualitative method, which is the data were achieved by watch the movie. Five types of illocutionary acts were discovered in the utterance of the main characters in Alladin movie as a result of this analysis. Those are declarative, representative, expressive, directive, commissive. The qualitative method was applied to find out the frequency and the types of illocutionary acts used in alladin movie. The researcher found five types those are directive 3 data or 23%, expressive 3 data or 23% , representative 2 data or 15%, commissive 1 data or 8%, and declarative 4 data or 31% used in alladin movie. The most frequent type used was declarative. Keywords: illocutionary acts, main characters, movie</w:t>
      </w:r>
    </w:p>
    <w:p>
      <w:pPr/>
      <w:r>
        <w:rPr>
          <w:b/>
        </w:rPr>
        <w:t>POSSIBLE 2025:</w:t>
      </w:r>
      <w:r>
        <w:t xml:space="preserve"> Prevalence of main soybean seed pathogens according to phytosanitary expertise results — https://doi.org/10.31073/kormovyrobnytstvo2025100-08</w:t>
      </w:r>
    </w:p>
    <w:p>
      <w:pPr/>
      <w:r>
        <w:rPr>
          <w:b/>
        </w:rPr>
        <w:t>Shared claim-specific concepts:</w:t>
      </w:r>
      <w:r>
        <w:t xml:space="preserve"> found, main, necessary; EU scope not established. This is a provisional connection, not an outcome finding.</w:t>
      </w:r>
    </w:p>
    <w:p>
      <w:pPr>
        <w:pStyle w:val="SourceNote"/>
      </w:pPr>
      <w:r>
        <w:rPr>
          <w:b/>
        </w:rPr>
        <w:t>Available abstract (not full text):</w:t>
      </w:r>
      <w:r>
        <w:t xml:space="preserve"> Purpose. High soybean productivity depends on the high-quality and healthy seeds, therefore, in the context of intensification of agriculture and climate change, phytosanitary examination is of key importance for controlling seed infections. The purpose of the research is a detailed analysis of the dynamics of detection and level of damage to soybean seeds (Glycine max (L.) Merr.) by the main phytopathogens based on the results of a multi-year phytosanitary examination. Methods. The phytosanitary assessment for the 2021-2025 was carried out using mycological and bacteriological methods to determine the main pathogens (Fusarium spp., Alternaria spp., Sclerotinia sclerotiorum, etc.), using the wet chamber method, sowing on sterile sand, visual diagnostics and microscopy. Results. The prevalence of the main pathogens of soybean seeds was analyzed based on the results of phytosanitary examination over a five-year period. A steady increase in the infectious load on soybean seeds was detected for all the studied groups of pathogens. The prevalence of fusariosis and mold showed an almost universal character, reaching 100% of affected samples in all years of observation. Bacterial infections also maintained an extremely high presence. Of particular concern is the exponential increase in the prevalence of sclerotiniosis, which indicates its rapid expansion. It was found that with the in</w:t>
      </w:r>
    </w:p>
    <w:p>
      <w:pPr/>
      <w:r>
        <w:rPr>
          <w:b/>
        </w:rPr>
        <w:t>POSSIBLE 2025:</w:t>
      </w:r>
      <w:r>
        <w:t xml:space="preserve"> The Illocutionary Acts Found in Main Characters’ Conversation of the Maleficent Movie — https://doi.org/10.24256/ideas.v12i2.5457</w:t>
      </w:r>
    </w:p>
    <w:p>
      <w:pPr/>
      <w:r>
        <w:rPr>
          <w:b/>
        </w:rPr>
        <w:t>Shared claim-specific concepts:</w:t>
      </w:r>
      <w:r>
        <w:t xml:space="preserve"> result, found, main; EU scope not established. This is a provisional connection, not an outcome finding.</w:t>
      </w:r>
    </w:p>
    <w:p>
      <w:pPr>
        <w:pStyle w:val="SourceNote"/>
      </w:pPr>
      <w:r>
        <w:rPr>
          <w:b/>
        </w:rPr>
        <w:t>Available abstract (not full text):</w:t>
      </w:r>
      <w:r>
        <w:t xml:space="preserve"> The purpose of this study is to explore the types of illocutionary acts and the context of situations in each utterance within the Maleficent movie. The study is grounded in Searle's (1979) theory on illocutionary act types and Halliday and Hasan's (1989) theory on situational context. The analysis was carried out using a descriptive qualitative approach. To gather the data, the researcher employed an observation method, which involved watching the Maleficent movie multiple times and taking notes on the main characters' utterances. After gathering the data, the researcher analyzed it in a series of procedures, including categorizing the illocutionary acts by kind and determining the context of each situation. The results of this investigation revealed 39 utterances that suggest illocutionary acts. The following is the result of this study: directives have the highest frequency of occurrence (30.8 %) with 12 utterances. It is followed by commissive (11 utterances, 28.2%), assertive (10 utterances, 25.6%), expressives (4 utterances, 10.3%), and declaratives (2 utterances, 5.1%).</w:t>
      </w:r>
    </w:p>
    <w:p>
      <w:pPr/>
      <w:r>
        <w:rPr>
          <w:b/>
        </w:rPr>
        <w:t>POSSIBLE 2025:</w:t>
      </w:r>
      <w:r>
        <w:t xml:space="preserve"> Changes in Ageism and LGBTIA Clinical Competency Following an LGBTIA Older Adult Competency Training — https://doi.org/10.1093/geroni/igaf122.3728</w:t>
      </w:r>
    </w:p>
    <w:p>
      <w:pPr/>
      <w:r>
        <w:rPr>
          <w:b/>
        </w:rPr>
        <w:t>Shared claim-specific concepts:</w:t>
      </w:r>
      <w:r>
        <w:t xml:space="preserve"> found, lack, skills, necessary; EU scope not established. This is a provisional connection, not an outcome finding.</w:t>
      </w:r>
    </w:p>
    <w:p>
      <w:pPr>
        <w:pStyle w:val="SourceNote"/>
      </w:pPr>
      <w:r>
        <w:rPr>
          <w:b/>
        </w:rPr>
        <w:t>Available abstract (not full text):</w:t>
      </w:r>
      <w:r>
        <w:t xml:space="preserve"> Abstract Lesbian, gay, bisexual, transgender, intersex, agender/asexual, and other sexual and gender minority (LGBTIA) older adults face health disparities relative to the general population (Lampe et al., 2023), due in part to unmet health needs through available healthcare and aging services (Gibson et al., 2019). Lack of culturally competent services emerged in a community needs assessment as a concern among LGBTIA older adults (Winberry, 2023). To address this, we conducted an LGBTIA older adult cultural competency training focused on preparing healthcare and other service providers with the knowledge and skills necessary to meet the needs of this population. Using paired sample t-tests, we examined how the training impacted ageist attitudes and LGBTIA clinical competency among participants (n = 43). The training reduced ageist attitudes among participants, t(33) = -3.94, p &lt; .001 with a moderate effect size (d = .47; Cohen, 1988). We also found that the training improved self-perceived clinical competency for working with LGBTQ+ individuals among participants, t(37) = 7.64, p &lt; .001 with a moderate effect size (d = .58; Cohen, 1988). We found similar results for clinical preparedness, t(39) = 2.57, p = .014 with a moderate effect size (d = .53; Cohen, 1988); attitudes toward LGBTIA individuals, t(39) = 2.57, p = .014 with a small effect size (d = .22; Cohen, 1988); and kno</w:t>
      </w:r>
    </w:p>
    <w:p>
      <w:pPr>
        <w:pStyle w:val="Heading2"/>
      </w:pPr>
      <w:r>
        <w:t>533. Future population ageing and productivity in Finland under different education and fertility scenarios</w:t>
      </w:r>
    </w:p>
    <w:p>
      <w:pPr>
        <w:pStyle w:val="SourceNote"/>
      </w:pPr>
      <w:r>
        <w:rPr>
          <w:b/>
        </w:rPr>
        <w:t>Original source (2022):</w:t>
      </w:r>
      <w:r>
        <w:t xml:space="preserve"> https://doi.org/10.23979/fypr.119666</w:t>
      </w:r>
    </w:p>
    <w:p>
      <w:pPr/>
      <w:r>
        <w:t>Original wording (abstract; indexed_source_text_not_full_document_verified): Applying a multidimensional demographic approach through a discrete-time microsimulation model, we project the newly introduced productivity-weighted labour force dependency ratio for Finnish scenarios until 2060 and compared it with the labour force dependency ratio and the traditional age dependency ratio. Provided a more rapid increase in educational attainment, the last indicator is expected to increase less, with 21 per cent until 2060.</w:t>
      </w:r>
    </w:p>
    <w:p>
      <w:pPr/>
      <w:r>
        <w:rPr>
          <w:b/>
        </w:rPr>
        <w:t>POSSIBLE 2026:</w:t>
      </w:r>
      <w:r>
        <w:t xml:space="preserve"> MULTIDIMENSIONAL LOCAL RESILIENCE – ANALYSIS OF ENVIRONMENTAL, DEMOGRAPHIC AND INFRASTRUCTURAL FACTORS — https://doi.org/10.29119/1641-3466.2026.244.3</w:t>
      </w:r>
    </w:p>
    <w:p>
      <w:pPr/>
      <w:r>
        <w:rPr>
          <w:b/>
        </w:rPr>
        <w:t>Shared claim-specific concepts:</w:t>
      </w:r>
      <w:r>
        <w:t xml:space="preserve"> multidimensional, demographic, approach; EU scope visible. This is a provisional connection, not an outcome finding.</w:t>
      </w:r>
    </w:p>
    <w:p>
      <w:pPr>
        <w:pStyle w:val="SourceNote"/>
      </w:pPr>
      <w:r>
        <w:rPr>
          <w:b/>
        </w:rPr>
        <w:t>Available abstract (not full text):</w:t>
      </w:r>
      <w:r>
        <w:t xml:space="preserve"> Purpose: The aim of this study is to assess the level and determinants of multidimensional local resilience in Polish municipalities between 2013 and 2023. The analysis focuses on the influence of environmental, demographic, and infrastructural factors on the adaptive capacity and socio-spatial cohesion of territorial units. Design/methodology/approach: The study is based on secondary data obtained from Statistics Poland (GUS), encompassing environmental, demographic, and infrastructural variables. A synthetic local resilience index was constructed using the CRITIC–TOPSIS method, and the results were analyzed with descriptive statistics, regression tests, ANOVA, and Spearman’s rank correlation. Findings: Local resilience in Poland depends primarily on environmental and infrastructural components, while demographic factors play a supporting role. Urban municipalities demonstrate the highest levels of resilience, with rural and urban–rural units showing intermediate values. The results indicate a synergistic interaction between environmental quality, infrastructure, and demographic stability, with a limited negative impact of intensive industrial activity. Research limitations/implications: The limitations concern insufficient data availability and challenges in capturing dynamic interactions. Future research should include cultural and institutional components, as well as predic</w:t>
      </w:r>
    </w:p>
    <w:p>
      <w:pPr/>
      <w:r>
        <w:rPr>
          <w:b/>
        </w:rPr>
        <w:t>POSSIBLE 2026:</w:t>
      </w:r>
      <w:r>
        <w:t xml:space="preserve"> Understanding Life Insurance Demand In European Union: A Multidimensional Perspective — https://doi.org/10.6007/ijarbss/v16-i2/27518</w:t>
      </w:r>
    </w:p>
    <w:p>
      <w:pPr/>
      <w:r>
        <w:rPr>
          <w:b/>
        </w:rPr>
        <w:t>Shared claim-specific concepts:</w:t>
      </w:r>
      <w:r>
        <w:t xml:space="preserve"> multidimensional, traditional; EU scope visible. This is a provisional connection, not an outcome finding.</w:t>
      </w:r>
    </w:p>
    <w:p>
      <w:pPr>
        <w:pStyle w:val="SourceNote"/>
      </w:pPr>
      <w:r>
        <w:rPr>
          <w:b/>
        </w:rPr>
        <w:t>Available abstract (not full text):</w:t>
      </w:r>
      <w:r>
        <w:t xml:space="preserve"> HRMARS - This paper investigates the role of cultural values in shaping life insurance demand across European Union countries. Using an unbalanced panel of 27 economies over the period 2017-2023, we estimate fixed-effects panel regressions to assess the impact of Hofstede’s cultural dimensions alongside key economic, socio-demographic, and institutional controls. Life insurance demand is proxied by the logarithm of insurance density, while income, inflation, income inequality, and political stability are included to ensure model robustness. The results confirm that economic factors remain fundamental drivers of life insurance demand: GDP per capita exerts a strong positive effect, whereas inflation significantly discourages long-term insurance uptake. Income inequality and political stability further support demand by enhancing purchasing capacity and institutional trust. Beyond these traditional determinants, cultural values play a substantial and persistent role. Individualism, indulgence, masculinity, uncertainty avoidance, and long-term orientation all exhibit positive and statistically significant effects in the fully specified model, while power distance remains insignificant. Notably, some cultural effects diverge from earlier findings for advanced economies, suggesting that cultural influences may operate differently within mature European insurance markets. Overall, th</w:t>
      </w:r>
    </w:p>
    <w:p>
      <w:pPr/>
      <w:r>
        <w:rPr>
          <w:b/>
        </w:rPr>
        <w:t>POSSIBLE 2026:</w:t>
      </w:r>
      <w:r>
        <w:t xml:space="preserve"> Educational Mismatch and Multidimensional Immigration Attitudes: Evidence from Europe — https://openalex.org/W7207961011</w:t>
      </w:r>
    </w:p>
    <w:p>
      <w:pPr/>
      <w:r>
        <w:rPr>
          <w:b/>
        </w:rPr>
        <w:t>Shared claim-specific concepts:</w:t>
      </w:r>
      <w:r>
        <w:t xml:space="preserve"> multidimensional, approach, educational, attainment; EU scope visible. This is a provisional connection, not an outcome finding.</w:t>
      </w:r>
    </w:p>
    <w:p>
      <w:pPr>
        <w:pStyle w:val="SourceNote"/>
      </w:pPr>
      <w:r>
        <w:rPr>
          <w:b/>
        </w:rPr>
        <w:t>Available abstract (not full text):</w:t>
      </w:r>
      <w:r>
        <w:t xml:space="preserve"> This paper uses European Social Survey (ESS) Round 11 (2023/24) data to analyse how educational mismatch is associated with attitudes toward immigration among European employees.It measures overeducation and undereducation through a realized-match approach, comparing workers' educational attainment to the modal level within their specific country and occupation.The study distinguishes between two attitudinal dimensions: 1 support for restrictive admission policies and the perceived positive consequences of immigration.Regression models reveal that while tertiary-educated workers show more favourable views, the pattern associated with educational mismatch is more nuanced.Specifically, undereducated workers tend to perceive the consequences of immigration more negatively than overeducated individuals but are simultaneously less supportive of restrictive admission policies.These findings indicate that educational mismatch relates differently to distinct dimensions of immigration attitudes, qualifying the assumption that overeducated workers are uniformly more proimmigration.</w:t>
      </w:r>
    </w:p>
    <w:p>
      <w:pPr/>
      <w:r>
        <w:rPr>
          <w:b/>
        </w:rPr>
        <w:t>POSSIBLE 2026:</w:t>
      </w:r>
      <w:r>
        <w:t xml:space="preserve"> Distinct profiles of free speech support and their demographic, ideological, and epistemic characteristics — https://doi.org/10.1016/j.paid.2026.114009</w:t>
      </w:r>
    </w:p>
    <w:p>
      <w:pPr/>
      <w:r>
        <w:rPr>
          <w:b/>
        </w:rPr>
        <w:t>Shared claim-specific concepts:</w:t>
      </w:r>
      <w:r>
        <w:t xml:space="preserve"> multidimensional, demographic, age; EU scope visible. This is a provisional connection, not an outcome finding.</w:t>
      </w:r>
    </w:p>
    <w:p>
      <w:pPr>
        <w:pStyle w:val="SourceNote"/>
      </w:pPr>
      <w:r>
        <w:rPr>
          <w:b/>
        </w:rPr>
        <w:t>Available abstract (not full text):</w:t>
      </w:r>
      <w:r>
        <w:t xml:space="preserve"> Background Support for free speech is often treated as a unidimensional construct, overlooking potential heterogeneity in how individuals evaluate different forms of expression. Building on recent multidimensional conceptualizations, the present study examines both the structure and person-centered patterns of free speech support. Method A sample of 563 European participants completed a 24-item measure assessing tolerance of offensive, disagreeing, heterodox, and socially divisive speech, alongside measures of demographics, political ideology, conspiracy ideation, and institutional trust. Confirmatory factor analysis (CFA) and latent profile analysis (LPA) were conducted. Findings CFA supported a correlated four-factor structure but not a higher-order general factor. LPA identified three profiles: conditional tolerance (56.7%), low tolerance (20.1%), and broad tolerance (23.3%). Profiles differed by gender, education, political ideology, conspiracy ideation, and institutional trust, but not age. Broad tolerance was associated with identifying as male, higher education, lower conservatism, higher conspiracy ideation, and lower institutional trust. Conclusion The findings demonstrate that support for free speech is both multidimensional and heterogeneously distributed. As the first study to apply LPA to this domain, it highlights distinct profiles of free speech attitudes and und</w:t>
      </w:r>
    </w:p>
    <w:p>
      <w:pPr/>
      <w:r>
        <w:rPr>
          <w:b/>
        </w:rPr>
        <w:t>POSSIBLE 2026:</w:t>
      </w:r>
      <w:r>
        <w:t xml:space="preserve"> The impact of Recovery and Resilience Plan childcare expansion on female labour supply in Spain: An ex-ante microsimulation analysis — https://openalex.org/W7213478999</w:t>
      </w:r>
    </w:p>
    <w:p>
      <w:pPr/>
      <w:r>
        <w:rPr>
          <w:b/>
        </w:rPr>
        <w:t>Shared claim-specific concepts:</w:t>
      </w:r>
      <w:r>
        <w:t xml:space="preserve"> microsimulation, labour; EU scope visible. This is a provisional connection, not an outcome finding.</w:t>
      </w:r>
    </w:p>
    <w:p>
      <w:pPr>
        <w:pStyle w:val="SourceNote"/>
      </w:pPr>
      <w:r>
        <w:rPr>
          <w:b/>
        </w:rPr>
        <w:t>Available abstract (not full text):</w:t>
      </w:r>
      <w:r>
        <w:t xml:space="preserve"> This paper provides an ex-ante assessment of the labour market and distributional effects of Spain’s childcare reform in 2021-2023 supported by the EU’s Recovery and Resilience Facility, which allocates EUR 670 million to create 65,000 new public childcare places for children aged 0–3. Using CHILD-EUROLAB, a discrete choice labour supply and childcare model integrated with EUROMOD, a microsimulation tax-benefit model, we simulate how increased availability of formal childcare affects mothers’ employment decisions across regional clusters defined by the scale of planned childcare expansion. The reform is expected to raise formal childcare use by nearly 17% nationwide, with the strongest gains in high expansion regions such as Madrid and Valencia. Our results indicate that this would translate into higher maternal labour participation (+3.4%) and increased working hours (+2.5%), alongside meaningful reductions in child poverty (0.11 percentage points) and poverty among children under three years old (0.53 percentage points). The additional employment generates fiscal gains of approximately EUR 96 million per year, implying that the investment could be recouped within seven years, ceteris paribus. These findings highlight the potential of early childhood investment to strengthen female employment and reduce child poverty, while illustrating the value of ex-ante microsimulation for</w:t>
      </w:r>
    </w:p>
    <w:p>
      <w:pPr/>
      <w:r>
        <w:rPr>
          <w:b/>
        </w:rPr>
        <w:t>POSSIBLE 2026:</w:t>
      </w:r>
      <w:r>
        <w:t xml:space="preserve"> Predicting Youth Academy Player Usage in European Football: A Multidimensional Econometric Approach — https://openalex.org/W7171481490</w:t>
      </w:r>
    </w:p>
    <w:p>
      <w:pPr/>
      <w:r>
        <w:rPr>
          <w:b/>
        </w:rPr>
        <w:t>Shared claim-specific concepts:</w:t>
      </w:r>
      <w:r>
        <w:t xml:space="preserve"> multidimensional, approach, traditional; EU scope visible. This is a provisional connection, not an outcome finding.</w:t>
      </w:r>
    </w:p>
    <w:p>
      <w:pPr>
        <w:pStyle w:val="SourceNote"/>
      </w:pPr>
      <w:r>
        <w:rPr>
          <w:b/>
        </w:rPr>
        <w:t>Available abstract (not full text):</w:t>
      </w:r>
      <w:r>
        <w:t xml:space="preserve"> At a time when youth prospects are increasingly visible in elite football, youth academies are widely recognised as fundamental assets to football clubs, offering both sporting and financial benefits.However, despite extensive literature on football economics and youth development, a clear gap remains in understanding the actual integration of academy players into first teams and the factors that explain it.This study examines the multidimensional factors associated with youth academy player usage across professional European football, measured as the share of domestic league minutes played by academy-developed players.Using a club-season panel dataset of 30 clubs across four full seasons (2021/2022 to 2024/2025), the framework integrates financial, competitive, recruitment-related, managerial and ownership variables.The empirical analysis compares traditional linear regression and machine learning methods, specifically Decision Tree, Random Forest and Multilayer Perceptron, complemented by SHAP and LIME explainability tools to identify the main predictors of youth academy player usage.The results show that youth integration is associated with a combination of factors, among which Transfer Balance emerges as the strongest predictor, suggesting that reliance on youth academy players is closely linked to clubs' transfer-market activity.Competitive expectations, performance and sp</w:t>
      </w:r>
    </w:p>
    <w:p>
      <w:pPr/>
      <w:r>
        <w:rPr>
          <w:b/>
        </w:rPr>
        <w:t>POSSIBLE 2026:</w:t>
      </w:r>
      <w:r>
        <w:t xml:space="preserve"> The Right to a Fair Remuneration and Fair Income Replacement in the European Social Charter: A Multidimensional Approach — https://doi.org/10.3935/zpfz.75.6.2</w:t>
      </w:r>
    </w:p>
    <w:p>
      <w:pPr/>
      <w:r>
        <w:rPr>
          <w:b/>
        </w:rPr>
        <w:t>Shared claim-specific concepts:</w:t>
      </w:r>
      <w:r>
        <w:t xml:space="preserve"> multidimensional, approach, labour; EU scope visible. This is a provisional connection, not an outcome finding.</w:t>
      </w:r>
    </w:p>
    <w:p>
      <w:pPr>
        <w:pStyle w:val="SourceNote"/>
      </w:pPr>
      <w:r>
        <w:rPr>
          <w:b/>
        </w:rPr>
        <w:t>Available abstract (not full text):</w:t>
      </w:r>
      <w:r>
        <w:t xml:space="preserve"> The right to fair remuneration constitutes a fundamental employment-related entitlement and a cornerstone of the adequate standard of living. Closely linked to various provisions of the Revised (1996) European Social Charter – such as the right to social security – it not only ensures individuals can meet basic subsistence needs but also empowers them to autonomously pursue their life plans within market-based democracies. Its adequate protection is essential to preventing poverty, promoting social inclusion, and safeguarding equal opportunities in the labour market as well as in society. The European Committee of Social Rights plays a crucial role in this regard by monitoring compliance with the Charter, interpreting its provisions, and assessing whether national laws and practices align with the standards of fair remuneration set out in international law. The contribution examines the right to fair remuneration from different perspectives within as well as outside the European Social Charter, indicating its global importance and the sometimes-overlooked link to a number of other (social and economic) rights which together allow for persons’ development and execution of life plans in marked democracies. Since only a handful of countries, Members of the Council of Europe have not yet ratified the Revised European Social Charter, the article primarily focuses on the latter and n</w:t>
      </w:r>
    </w:p>
    <w:p>
      <w:pPr/>
      <w:r>
        <w:rPr>
          <w:b/>
        </w:rPr>
        <w:t>POSSIBLE 2026:</w:t>
      </w:r>
      <w:r>
        <w:t xml:space="preserve"> A Multidimensional Approach to Financial Fragility — https://doi.org/10.4324/9781003596851-5</w:t>
      </w:r>
    </w:p>
    <w:p>
      <w:pPr/>
      <w:r>
        <w:rPr>
          <w:b/>
        </w:rPr>
        <w:t>Shared claim-specific concepts:</w:t>
      </w:r>
      <w:r>
        <w:t xml:space="preserve"> multidimensional, approach, age; EU scope visible. This is a provisional connection, not an outcome finding.</w:t>
      </w:r>
    </w:p>
    <w:p>
      <w:pPr>
        <w:pStyle w:val="SourceNote"/>
      </w:pPr>
      <w:r>
        <w:rPr>
          <w:b/>
        </w:rPr>
        <w:t>Available abstract (not full text):</w:t>
      </w:r>
      <w:r>
        <w:t xml:space="preserve"> This chapter presents a comprehensive comparative analysis of household financial fragility across Central and Eastern European countries, drawing on harmonised micro-level data from the European Union Statistics on Income and Living Conditions. It conceptualises financial fragility as a multidimensional condition reflecting households’ limited capacity to absorb economic shocks, combining subjective perceptions of financial strain with objective indicators of material constraints. To capture this complexity, the chapter constructs a composite indicator of financial fragility using a fuzzy-set approach, allowing for nuanced differentiation among degrees of vulnerability rather than binary classifications. The empirical analysis compares levels, distributions, and trajectories of financial fragility across eleven countries over time, highlighting both convergence trends and persistent cross-country disparities. In addition, the chapter examines heterogeneity within countries by analysing differences across socio-demographic groups, settlement types, age cohorts, gender, education levels, and housing tenure. The findings reveal substantial overall improvements in household financial conditions since the global financial crisis, alongside enduring structural vulnerabilities affecting specific population groups and national contexts. By integrating theory, methodology, and comparat</w:t>
      </w:r>
    </w:p>
    <w:p>
      <w:pPr/>
      <w:r>
        <w:rPr>
          <w:b/>
        </w:rPr>
        <w:t>POSSIBLE 2025:</w:t>
      </w:r>
      <w:r>
        <w:t xml:space="preserve"> From symbolic violence to structural exclusion: The multidimensional nature of Islamophobia in Europe — https://doi.org/10.1016/j.ijintrel.2025.102327</w:t>
      </w:r>
    </w:p>
    <w:p>
      <w:pPr/>
      <w:r>
        <w:rPr>
          <w:b/>
        </w:rPr>
        <w:t>Shared claim-specific concepts:</w:t>
      </w:r>
      <w:r>
        <w:t xml:space="preserve"> multidimensional, demographic, age; EU scope visible. This is a provisional connection, not an outcome finding.</w:t>
      </w:r>
    </w:p>
    <w:p>
      <w:pPr>
        <w:pStyle w:val="SourceNote"/>
      </w:pPr>
      <w:r>
        <w:rPr>
          <w:b/>
        </w:rPr>
        <w:t>Available abstract (not full text):</w:t>
      </w:r>
      <w:r>
        <w:t xml:space="preserve"> Amid growing concerns over rising religious tensions and anti-Muslim sentiment in Europe, this study develops and validates a robust Islamophobia Index to systematically measure experiences of discrimination among Muslim communities. Leveraging survey data from 3598 respondents (including 466 Muslims) across Belgium, Germany, Spain, and Italy, confirmatory factor analysis validated a three-factor structure for the Islamophobia Index, comprising Experiential Violence, Perceived Negativity, and Global Event Impacts. The index demonstrated metric invariance across Belgium, Germany, and Spain (N = 444 analysis sample), supporting its utility for cross-national comparisons. Regression analyses indicate systemic exclusion; perceived global event impacts emerged as a significant statistical predictor of both experiential violence and perceived negativity. Experiences were also found to vary with demographic factors such as age and income in certain models. While specific hypothesised intersectional effects (e.g., gender with religious identification) were not statistically significant in the tested models, the research illustrates the value of considering compounded vulnerabilities. The validated three-factor Islamophobia Index provides a nuanced quantitative measure capable of capturing both overt prejudice and perceptions of structural discrimination. By bridging critical theory wit</w:t>
      </w:r>
    </w:p>
    <w:p>
      <w:pPr/>
      <w:r>
        <w:rPr>
          <w:b/>
        </w:rPr>
        <w:t>POSSIBLE 2025:</w:t>
      </w:r>
      <w:r>
        <w:t xml:space="preserve"> Measuring and targeting energy poverty in Europe using a multidimensional approach — https://doi.org/10.1016/j.enpol.2025.114518</w:t>
      </w:r>
    </w:p>
    <w:p>
      <w:pPr/>
      <w:r>
        <w:rPr>
          <w:b/>
        </w:rPr>
        <w:t>Shared claim-specific concepts:</w:t>
      </w:r>
      <w:r>
        <w:t xml:space="preserve"> multidimensional, approach, increase; EU scope visible. This is a provisional connection, not an outcome finding.</w:t>
      </w:r>
    </w:p>
    <w:p>
      <w:pPr>
        <w:pStyle w:val="SourceNote"/>
      </w:pPr>
      <w:r>
        <w:rPr>
          <w:b/>
        </w:rPr>
        <w:t>Available abstract (not full text):</w:t>
      </w:r>
      <w:r>
        <w:t xml:space="preserve"> Despite the plethora of articles on energy poverty, very few use methods rooted in economic theory to measure the number of households facing this situation (i.e. extension) and its severity (i.e. intensity) of this multidimensional condition across different countries. We use a multidimensional approach and factor analysis to estimate a composite index. We compare both methods and use European data on self-reported energy poverty and expenditure to measure the problem at the extensive and intensive margins. We also use our indicators to assess the efficacy of targeting European energy-poor households. We find that Greece, Lithuania, and Bulgaria have the highest proportion of energy-impoverished households and the highest intensity. Ireland has the highest relative efficiency in targeting households in this condition. We also find that while having a low likelihood of being in energy poverty in some countries, the intensity of this condition can be severe. Unemployment, disabilities and face cuts in social benefits increase the probability of being in energy poverty. • Multidimensional methods provide a comprehensive measurement. • There is a strong correlation between energy poverty extent and intensity. • Data from 22 EU countries in 2021 was analysed. • Less than one-fourth of energy-poor households receive subsidies. • Ireland is the most efficient in targeting energy-poor</w:t>
      </w:r>
    </w:p>
    <w:p>
      <w:pPr/>
      <w:r>
        <w:rPr>
          <w:b/>
        </w:rPr>
        <w:t>POSSIBLE 2025:</w:t>
      </w:r>
      <w:r>
        <w:t xml:space="preserve"> Demographic Drivers of Epidemic Outcomes: Sensitivity Analysis of Multidimensional Parameters in the Covasim Model — https://doi.org/10.1101/2025.10.14.25328629</w:t>
      </w:r>
    </w:p>
    <w:p>
      <w:pPr/>
      <w:r>
        <w:rPr>
          <w:b/>
        </w:rPr>
        <w:t>Shared claim-specific concepts:</w:t>
      </w:r>
      <w:r>
        <w:t xml:space="preserve"> multidimensional, demographic, approach, age; EU scope not established. This is a provisional connection, not an outcome finding.</w:t>
      </w:r>
    </w:p>
    <w:p>
      <w:pPr>
        <w:pStyle w:val="SourceNote"/>
      </w:pPr>
      <w:r>
        <w:rPr>
          <w:b/>
        </w:rPr>
        <w:t>Available abstract (not full text):</w:t>
      </w:r>
      <w:r>
        <w:t xml:space="preserve"> Abstract Background Sensitivity analysis is a key tool for identifying which model inputs most strongly influence model outputs thereby informing data collection priorities. In agent-based models, these inputs include demographic parameters used to construct synthetic populations. Such parameters — age distributions, household size distributions, and contact matrices — are critical in shaping transmission dynamics. However, most established sensitivity analysis methods are designed for scalar inputs and cannot readily accommodate multidimensional demographic data. We introduce a novel sampling approach to assess the influence of such parameters on model outputs, addressing a key gap in sensitivity analysis of epidemiological agent-based models. Methods The Covasim model of COVID-19 transmission was used as the case study in this work. An autoencoder neural network was trained on country-level demographic datasets to generate realistic samples of high-dimensional inputs of the model. These sampled inputs were coupled with Sobol’ sensitivity indices to quantify their influence on cumulative infections and deaths. Results Non-scalar parameters were found to exert a major influence on model outputs. Household size distribution was the most important parameter for cumulative number of infectious cases, while age distribution had the largest effect on cumulative deaths. These finding</w:t>
      </w:r>
    </w:p>
    <w:p>
      <w:pPr/>
      <w:r>
        <w:rPr>
          <w:b/>
        </w:rPr>
        <w:t>POSSIBLE 2025:</w:t>
      </w:r>
      <w:r>
        <w:t xml:space="preserve"> De welvaartsstaat hervormen in de 21e eeuw: Publieke steun en de politieke haalbaarheid van voorstellen voor een basisinkomen — https://openalex.org/W7113667282</w:t>
      </w:r>
    </w:p>
    <w:p>
      <w:pPr/>
      <w:r>
        <w:rPr>
          <w:b/>
        </w:rPr>
        <w:t>Shared claim-specific concepts:</w:t>
      </w:r>
      <w:r>
        <w:t xml:space="preserve"> approach, microsimulation, project, labour, traditional, increase; EU scope visible. This is a provisional connection, not an outcome finding.</w:t>
      </w:r>
    </w:p>
    <w:p>
      <w:pPr>
        <w:pStyle w:val="SourceNote"/>
      </w:pPr>
      <w:r>
        <w:rPr>
          <w:b/>
        </w:rPr>
        <w:t>Available abstract (not full text):</w:t>
      </w:r>
      <w:r>
        <w:t xml:space="preserve"> A basic income (BI) differs radically from traditional public benefits because it breaks the link between contribution and benefit on the one hand and between need and benefit on the other. Although a BI is often presented as a simple idea, discussing concrete policy proposals quickly ends in a Tower of Babel-like argument. In many of these debates, it appears that proponents, and respectively opponents, often have different types of BI schemes in mind when advocating or criticizing the idea. However, it is quite clear that the actual outcomes of a BI will depend largely on the concrete policy design in terms of eligibility, eligibility criteria, benefit levels, financing, and implementation modalities. These aspects will have a major impact on the extent to which a BI will encourage or discourage paid work or any work at all, increase or decrease gender inequality in work and care, and end the myriad problems associated with income-dependent welfare benefits. Unfortunately, we lack empirical research on many of these outcomes. This is the main focus of the BAsic income in BELgium (BABEL) project. The BABEL project aims to close the gap between dream and deed regarding basic income. The project has several objectives. First, it aims to investigate the actual labour supply effects of BI. To this end, a quasi-experimental approach is applied, where we use administrative data to e</w:t>
      </w:r>
    </w:p>
    <w:p>
      <w:pPr>
        <w:pStyle w:val="Heading2"/>
      </w:pPr>
      <w:r>
        <w:t>534. Futures and foresight of Croatian cultural heritage</w:t>
      </w:r>
    </w:p>
    <w:p>
      <w:pPr>
        <w:pStyle w:val="SourceNote"/>
      </w:pPr>
      <w:r>
        <w:rPr>
          <w:b/>
        </w:rPr>
        <w:t>Original source (2022):</w:t>
      </w:r>
      <w:r>
        <w:t xml:space="preserve"> https://doi.org/10.17018/portal.2022.10</w:t>
      </w:r>
    </w:p>
    <w:p>
      <w:pPr/>
      <w:r>
        <w:t>Original wording (abstract; indexed_source_text_not_full_document_verified): This paper is primarily about anticipating the future, and not predicting it, by showing the methods and techniques that identify processes that could affect the future of heritage protection and management in the Republic of Croatia. Based on established trends, several scenarios are developed with certainties and uncertainties.</w:t>
      </w:r>
    </w:p>
    <w:p>
      <w:pPr/>
      <w:r>
        <w:rPr>
          <w:b/>
        </w:rPr>
        <w:t>POSSIBLE 2026:</w:t>
      </w:r>
      <w:r>
        <w:t xml:space="preserve"> Two papal Europes: Benedict XVI, Francis and competing Christian imaginaries of Europe — https://doi.org/10.1080/14782804.2026.2718750</w:t>
      </w:r>
    </w:p>
    <w:p>
      <w:pPr/>
      <w:r>
        <w:rPr>
          <w:b/>
        </w:rPr>
        <w:t>Shared claim-specific concepts:</w:t>
      </w:r>
      <w:r>
        <w:t xml:space="preserve"> primarily, not, identify; EU scope visible. This is a provisional connection, not an outcome finding.</w:t>
      </w:r>
    </w:p>
    <w:p>
      <w:pPr>
        <w:pStyle w:val="SourceNote"/>
      </w:pPr>
      <w:r>
        <w:rPr>
          <w:b/>
        </w:rPr>
        <w:t>Available abstract (not full text):</w:t>
      </w:r>
      <w:r>
        <w:t xml:space="preserve"> This article examines how Joseph Ratzinger/Benedict XVI and Jorge Bergoglio/Francis constructed Europe as a moral and political project, and how their contrasting narratives shape the political uses of Christianity in contemporary Europe. It employs a qualitative Critical Discourse Analysis of a bounded corpus of Europe-facing speeches and writings, examining lexical choices, metaphors, modality, argumentative topoi, intertextuality and editorial recontextualisation. In Ratzinger’s case, the analysis distinguishes between pre-pontifical interventions, used genealogically to reconstruct his intellectual repertoire, and texts delivered with the institutional authority of Benedict XVI’s pontificate. The findings identify two partially overlapping but distinct Christian imaginaries. Ratzinger and Benedict XVI construct Europe primarily through a grammar of roots, civilisational continuity and moral defence, presenting Christianity as foundational to European identity and political order. Francis, by contrast, articulates Europe through encounter, solidarity and responsibility, evaluating its moral credibility through its treatment of migrants, vulnerable groups and the peripheries. The article argues that papal discourse does not offer a unified Catholic definition of Europe. Instead, it provides competing authoritative repertoires that political and religious actors can selectivel</w:t>
      </w:r>
    </w:p>
    <w:p>
      <w:pPr/>
      <w:r>
        <w:rPr>
          <w:b/>
        </w:rPr>
        <w:t>POSSIBLE 2026:</w:t>
      </w:r>
      <w:r>
        <w:t xml:space="preserve"> Cultural Production Reveals Transitions to Sustained Human Development in both European and Non-European Societies — https://openalex.org/W7124669595</w:t>
      </w:r>
    </w:p>
    <w:p>
      <w:pPr/>
      <w:r>
        <w:rPr>
          <w:b/>
        </w:rPr>
        <w:t>Shared claim-specific concepts:</w:t>
      </w:r>
      <w:r>
        <w:t xml:space="preserve"> primarily, not, showing, methods; EU scope visible. This is a provisional connection, not an outcome finding.</w:t>
      </w:r>
    </w:p>
    <w:p>
      <w:pPr>
        <w:pStyle w:val="SourceNote"/>
      </w:pPr>
      <w:r>
        <w:rPr>
          <w:b/>
        </w:rPr>
        <w:t>Available abstract (not full text):</w:t>
      </w:r>
      <w:r>
        <w:t xml:space="preserve"> Sustained human development is often seen as a recent phenomenon, primarily linked to Europe's Industrial Revolution. This perspective has shaped much of our historical understanding, but it relies on a limited set of economic indicators with restricted temporal and geographic coverage. In this article, we introduce Cultural Production as a complementary proxy for human development, particularly suited to long-term and cross-regional comparisons. Cultural production reflects the extent to which societies enable individuals to acquire knowledge, develop skills, and contribute to intellectual and artistic life-conditions closely tied to education, health, material security, and institutional support. We construct a global dataset tracking 122,634 distinct cultural producers (e.g., scientists, artists, writers) and apply ecological methods to estimate the number of unrecorded figures, correcting for differential survivorship bias. The resulting measure enables a broader and deeper reconstruction of human development across time and space. Our results challenge the prevailing view that meaningful development began only in modern Europe. We confirm that Western Europe experienced continuous gains from the 11th century onward, but we also uncover sustained growth in non-Western regions long before the 19th century. Japan shows multiple developmental phases, including a continuous ris</w:t>
      </w:r>
    </w:p>
    <w:p>
      <w:pPr/>
      <w:r>
        <w:rPr>
          <w:b/>
        </w:rPr>
        <w:t>POSSIBLE 2026:</w:t>
      </w:r>
      <w:r>
        <w:t xml:space="preserve"> Predicting Youth Academy Player Usage in European Football: A Multidimensional Econometric Approach — https://openalex.org/W7171481490</w:t>
      </w:r>
    </w:p>
    <w:p>
      <w:pPr/>
      <w:r>
        <w:rPr>
          <w:b/>
        </w:rPr>
        <w:t>Shared claim-specific concepts:</w:t>
      </w:r>
      <w:r>
        <w:t xml:space="preserve"> predicting, methods, identify; EU scope visible. This is a provisional connection, not an outcome finding.</w:t>
      </w:r>
    </w:p>
    <w:p>
      <w:pPr>
        <w:pStyle w:val="SourceNote"/>
      </w:pPr>
      <w:r>
        <w:rPr>
          <w:b/>
        </w:rPr>
        <w:t>Available abstract (not full text):</w:t>
      </w:r>
      <w:r>
        <w:t xml:space="preserve"> At a time when youth prospects are increasingly visible in elite football, youth academies are widely recognised as fundamental assets to football clubs, offering both sporting and financial benefits.However, despite extensive literature on football economics and youth development, a clear gap remains in understanding the actual integration of academy players into first teams and the factors that explain it.This study examines the multidimensional factors associated with youth academy player usage across professional European football, measured as the share of domestic league minutes played by academy-developed players.Using a club-season panel dataset of 30 clubs across four full seasons (2021/2022 to 2024/2025), the framework integrates financial, competitive, recruitment-related, managerial and ownership variables.The empirical analysis compares traditional linear regression and machine learning methods, specifically Decision Tree, Random Forest and Multilayer Perceptron, complemented by SHAP and LIME explainability tools to identify the main predictors of youth academy player usage.The results show that youth integration is associated with a combination of factors, among which Transfer Balance emerges as the strongest predictor, suggesting that reliance on youth academy players is closely linked to clubs' transfer-market activity.Competitive expectations, performance and sp</w:t>
      </w:r>
    </w:p>
    <w:p>
      <w:pPr/>
      <w:r>
        <w:rPr>
          <w:b/>
        </w:rPr>
        <w:t>POSSIBLE 2025:</w:t>
      </w:r>
      <w:r>
        <w:t xml:space="preserve"> Predicting the Potential Spread of Diabrotica virgifera virgifera in Europe Using Climate-Based Spatial Risk Modeling — https://doi.org/10.3390/insects16101005</w:t>
      </w:r>
    </w:p>
    <w:p>
      <w:pPr/>
      <w:r>
        <w:rPr>
          <w:b/>
        </w:rPr>
        <w:t>Shared claim-specific concepts:</w:t>
      </w:r>
      <w:r>
        <w:t xml:space="preserve"> about, not, predicting, management, based, established; EU scope visible. This is a provisional connection, not an outcome finding.</w:t>
      </w:r>
    </w:p>
    <w:p>
      <w:pPr>
        <w:pStyle w:val="SourceNote"/>
      </w:pPr>
      <w:r>
        <w:rPr>
          <w:b/>
        </w:rPr>
        <w:t>Available abstract (not full text):</w:t>
      </w:r>
      <w:r>
        <w:t xml:space="preserve"> Diabrotica virgifera virgifera Le Conte, 1868 (Coleoptera: Chrysomelidae), known as the western corn rootworm, is one of the most important alien insect pests affecting maize crops globally. It causes significant economic losses by feeding on the roots, which affects plant stability and nutrient absorption, as well as by attacking essential aerial organs (leaves, silk, pollen). Since its accidental introduction into Europe, the species has expanded its range across maize-growing regions, raising concerns about future distribution under climate change. This study aimed to estimate the risk of pest establishment across Europe over three future time frames (2034, 2054, 2074) based on geographic coordinates, climate data, and maize distribution. Spatial simulations were performed in QGIS using national centroid datasets, risk classification criteria, and temperature anomaly maps derived from Copernicus and ECA&amp;D databases for 1992–2024. The results indicate consistently high risk in southern and southeastern regions, with projected expansion toward central and western areas by 2074. Risk zones showed clear spatial aggregation and directional spread correlated with warming trends and maize availability. The pest’s high reproductive potential, thermal tolerance, and capacity for human-assisted dispersal further support these predictions. The model emphasizes the need for expanded sur</w:t>
      </w:r>
    </w:p>
    <w:p>
      <w:pPr/>
      <w:r>
        <w:rPr>
          <w:b/>
        </w:rPr>
        <w:t>POSSIBLE 2025:</w:t>
      </w:r>
      <w:r>
        <w:t xml:space="preserve"> Investigating stone materials from some European cultural heritage sites for predicting future decay — https://doi.org/10.1007/s12210-024-01298-x</w:t>
      </w:r>
    </w:p>
    <w:p>
      <w:pPr/>
      <w:r>
        <w:rPr>
          <w:b/>
        </w:rPr>
        <w:t>Shared claim-specific concepts:</w:t>
      </w:r>
      <w:r>
        <w:t xml:space="preserve"> primarily, predicting, processes, heritage; EU scope visible. This is a provisional connection, not an outcome finding.</w:t>
      </w:r>
    </w:p>
    <w:p>
      <w:pPr>
        <w:pStyle w:val="SourceNote"/>
      </w:pPr>
      <w:r>
        <w:rPr>
          <w:b/>
        </w:rPr>
        <w:t>Available abstract (not full text):</w:t>
      </w:r>
      <w:r>
        <w:t xml:space="preserve"> Abstract The preservation of Europe’s stone-built heritage is crucial for safeguarding our cultural legacy. This study investigates twelve distinct stones used in historical monuments across Italy, Spain, Greece, and Norway, including marbles (Carrara and Macael), limestones (Botticino, Red Verona, Costozza, Istrian, Sfouggaria, Santa Pudia), a carbonate-dominated sandstone (Lartios), volcanic rocks (Euganean trachyte and Tønsberg latite), and an intrusive igneous rock (Tønsbergite). Through comprehensive analysis of mineralogical composition, porosity, water interactions, and accelerated ageing tests, this research establishes a framework for assessing these materials susceptibility to decay mechanisms. The results demonstrate significant variability in durability and decay response among the stone types, primarily determined by pore abundance and distribution. This study enhances the understanding of stone materials behaviour under stressed conditions, offering valuable insights for mitigating future decay processes and protecting European cultural heritage. The stones examined were chosen for their significant presence at the four pilot sites of the European Hyperion project: Venice (Italy), Granada (Spain), Rhodes (Greece), and Tønsberg (Norway). Graphic abstract</w:t>
      </w:r>
    </w:p>
    <w:p>
      <w:pPr/>
      <w:r>
        <w:rPr>
          <w:b/>
        </w:rPr>
        <w:t>POSSIBLE 2025:</w:t>
      </w:r>
      <w:r>
        <w:t xml:space="preserve"> Climate-relevant land cover composition and configuration trajectories in Europe — https://doi.org/10.1088/1748-9326/adc8be</w:t>
      </w:r>
    </w:p>
    <w:p>
      <w:pPr/>
      <w:r>
        <w:rPr>
          <w:b/>
        </w:rPr>
        <w:t>Shared claim-specific concepts:</w:t>
      </w:r>
      <w:r>
        <w:t xml:space="preserve"> about, showing, affect; EU scope visible. This is a provisional connection, not an outcome finding.</w:t>
      </w:r>
    </w:p>
    <w:p>
      <w:pPr>
        <w:pStyle w:val="SourceNote"/>
      </w:pPr>
      <w:r>
        <w:rPr>
          <w:b/>
        </w:rPr>
        <w:t>Available abstract (not full text):</w:t>
      </w:r>
      <w:r>
        <w:t xml:space="preserve"> Abstract Land use and land cover change (LULCC) can affect the climate system by altering biophysical surface characteristics. At the local scale, climate regulating functions are co-determined by land cover composition and configuration, i.e. the proportions and the spatial arrangement of land cover types. However, research on the relationship between LULCC and climate often focuses individually either on compositional or configurational aspects. As a result, there is a gap in our knowledge about the spatiotemporal distribution of land cover composition and configuration patterns influencing the local climate regulating functions. Here, we used a range of LULCC metrics between 1992 and 2015 and applied Self-Organizing Maps to characterize dominant land cover composition and configuration trajectories in Europe. We then tested the climate relevance of the five most dominant trajectories with a high-resolution regional climate model. Land cover composition and configuration simultaneously changed in more than 20% of the European landmass, with cropland transition to forest patches and bare soil representing the major trajectory. Climate model simulations predict a general increase in the topsoil temperature due to only changes in land cover composition and configuration. All trajectories showed increasing topsoil temperature variability during the crop growing season, with fores</w:t>
      </w:r>
    </w:p>
    <w:p>
      <w:pPr/>
      <w:r>
        <w:rPr>
          <w:b/>
        </w:rPr>
        <w:t>POSSIBLE 2025:</w:t>
      </w:r>
      <w:r>
        <w:t xml:space="preserve"> Observed Distribution and Predicted Further Spread of Araujia sericifera From Europe to the Southern Caspian Sea Coast — https://doi.org/10.1111/wre.70041</w:t>
      </w:r>
    </w:p>
    <w:p>
      <w:pPr/>
      <w:r>
        <w:rPr>
          <w:b/>
        </w:rPr>
        <w:t>Shared claim-specific concepts:</w:t>
      </w:r>
      <w:r>
        <w:t xml:space="preserve"> primarily, showing, management, based; EU scope visible. This is a provisional connection, not an outcome finding.</w:t>
      </w:r>
    </w:p>
    <w:p>
      <w:pPr>
        <w:pStyle w:val="SourceNote"/>
      </w:pPr>
      <w:r>
        <w:rPr>
          <w:b/>
        </w:rPr>
        <w:t>Available abstract (not full text):</w:t>
      </w:r>
      <w:r>
        <w:t xml:space="preserve"> ABSTRACT Araujia sericifera , an alien species in Europe and Western Asia, is a perennial climbing vine that aggressively overgrows and shades native vegetation, causing substantial biodiversity loss. Its global distribution reveals five invasion hotspots, with a major hotspot extending from Western Europe to northern Iran. Historical records indicate a gradual eastward expansion along the Mediterranean corridor through Western Asia. Habitat suitability modelling, based on climate and land cover variables, identifies a continuous belt of high suitability from Portugal through southern Europe into Western Asia, particularly in coastal and lowland regions. In Iran, the southern Caspian Sea coast, including Gilan, Mazandaran, and Golestan provinces, represents a major area of invasion risk, with high suitability closely matching recent occurrence records. The species' climatic niche is characterised by winter temperatures above −10°C, summer temperatures below 35 C, and precipitation exceeding 20 mm during the driest month. It avoids extremely arid regions and areas with monsoonal rainfall exceeding 800 mm in the wettest month, showing a strong association with urban environments. Although historical dispersal followed a primarily longitudinal pattern, climate change projections indicate high potential for northward expansion. Given its rapid spread, high ecological suitability in</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anticipating, not, methods, management, based, trends;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Machine learning algorithms for the evaluation of risk by tick-borne pathogens in Europe — https://doi.org/10.1080/07853890.2024.2405074</w:t>
      </w:r>
    </w:p>
    <w:p>
      <w:pPr/>
      <w:r>
        <w:rPr>
          <w:b/>
        </w:rPr>
        <w:t>Shared claim-specific concepts:</w:t>
      </w:r>
      <w:r>
        <w:t xml:space="preserve"> predicting, methods, identify, affect, based, several; EU scope visible. This is a provisional connection, not an outcome finding.</w:t>
      </w:r>
    </w:p>
    <w:p>
      <w:pPr>
        <w:pStyle w:val="SourceNote"/>
      </w:pPr>
      <w:r>
        <w:rPr>
          <w:b/>
        </w:rPr>
        <w:t>Available abstract (not full text):</w:t>
      </w:r>
      <w:r>
        <w:t xml:space="preserve"> Background Tick-borne pathogens pose a major threat to human health worldwide. Understanding the epidemiology of tick-borne diseases to reduce their impact on human health requires models covering large geographic areas and considering both the abiotic traits that affect tick presence, as well as the vertebrates used as hosts, vegetation, and land use. Herein, we integrated the public information available for Europe regarding the variables that may affect habitat suitability for ticks and hosts and tested five machine learning algorithms (MLA) for predicting the distribution of four prominent tick species across Europe.Materials and methods A grid of cells 20 km in diameter was prepared to cover the entire territory, containing data on vegetation, points of water, habitat fragmentation, forest density, grass extension, or imperviousness, with information on temperature and water deficit. The distribution of the hosts (162 species) was modelled and included in the dataset. We used five MLA, namely, Random Forest, Neural Networks, Naive Bayes, Gradient Boosting, and AdaBoost, trained with reliable coordinates for Ixodes ricinus, Dermacentor reticulatus, Dermacentor marginatus, and Hyalomma marginatum in Europe.Results Both Random Forest and Gradient Boosting best predicted ticks and host environmental niches. Our results demonstrate that MLA can identify trait-matching combinati</w:t>
      </w:r>
    </w:p>
    <w:p>
      <w:pPr/>
      <w:r>
        <w:rPr>
          <w:b/>
        </w:rPr>
        <w:t>POSSIBLE 2024:</w:t>
      </w:r>
      <w:r>
        <w:t xml:space="preserve"> Species traits and invasion history as predictors of freshwater fish invasion success in Europe — https://doi.org/10.3391/mbi.2025.16.1.16</w:t>
      </w:r>
    </w:p>
    <w:p>
      <w:pPr/>
      <w:r>
        <w:rPr>
          <w:b/>
        </w:rPr>
        <w:t>Shared claim-specific concepts:</w:t>
      </w:r>
      <w:r>
        <w:t xml:space="preserve"> primarily, management, established; EU scope visible. This is a provisional connection, not an outcome finding.</w:t>
      </w:r>
    </w:p>
    <w:p>
      <w:pPr>
        <w:pStyle w:val="SourceNote"/>
      </w:pPr>
      <w:r>
        <w:rPr>
          <w:b/>
        </w:rPr>
        <w:t>Available abstract (not full text):</w:t>
      </w:r>
      <w:r>
        <w:t xml:space="preserve"> Despite the growing literature on the topic of freshwater fish invasions, few studies have employed a comprehensive analysis of the stages characterizing the invasion process with reference to the invasion pathway.There is therefore a need to understand more fully invasion pathways to avoid incomplete and biased conclusions and to support adequate management strategies.This study aims to provide a complete analysis of the species traits and invasion history that are associated with the successful passage of an alien freshwater fish species through the invasion pathway stages in European river basins.To predict how likely a freshwater fish species moves from each stage of the invasion pathway (release, establishment, spread and impact) to the next, generalized linear mixed models were run, using 23 species traits and seven variables describing introduction history as predictors for 127 established alien freshwater fish species in Europe.The results showed that the release and spread stages were driven primarily by variables related to invasion history (i.e. the type and number of causes of introduction).The establishment stage was driven mainly by functional and ecological traits, while the impact stage was driven both by functional and ecological traits and invasion history.Identifying the main drivers of alien species success at each invasion stage is key to designing stage-sp</w:t>
      </w:r>
    </w:p>
    <w:p>
      <w:pPr/>
      <w:r>
        <w:rPr>
          <w:b/>
        </w:rPr>
        <w:t>POSSIBLE 2024:</w:t>
      </w:r>
      <w:r>
        <w:t xml:space="preserve"> Buy It, Steal It, Print It: How Right-Wing Extremists in Europe Acquire Firearms and What To Do About It — https://doi.org/10.19165/2024.9820</w:t>
      </w:r>
    </w:p>
    <w:p>
      <w:pPr/>
      <w:r>
        <w:rPr>
          <w:b/>
        </w:rPr>
        <w:t>Shared claim-specific concepts:</w:t>
      </w:r>
      <w:r>
        <w:t xml:space="preserve"> about, methods, based; EU scope visible. This is a provisional connection, not an outcome finding.</w:t>
      </w:r>
    </w:p>
    <w:p>
      <w:pPr>
        <w:pStyle w:val="SourceNote"/>
      </w:pPr>
      <w:r>
        <w:rPr>
          <w:b/>
        </w:rPr>
        <w:t>Available abstract (not full text):</w:t>
      </w:r>
      <w:r>
        <w:t xml:space="preserve"> This policy brief examines the methods of firearms acquisition by right-wing extremists (RWEs) in Europe between 2019 and 2024. Based on a dataset of 118 cases, it reveals that RWEs resort to diverse legal and illegal acquisition strategies, including the use of illicit markets, legal possession, theft from military and law enforcement sources, and private manufacture, particularly 3D printing. The policy brief further discusses current EU countermeasures and their effectiveness in addressing RWE-specific acquisition methods. It identifies gaps in existing policies and enforcement, particularly regarding background checks in issuing and reviewing weapon licences, screening of military and law enforcement personnel, and regulation of emerging technologies like 3D printing. The authors call for further research to increase the understanding of the RWE-firearms nexus and to develop more targeted prevention strategies.</w:t>
      </w:r>
    </w:p>
    <w:p>
      <w:pPr/>
      <w:r>
        <w:rPr>
          <w:b/>
        </w:rPr>
        <w:t>POSSIBLE 2023:</w:t>
      </w:r>
      <w:r>
        <w:t xml:space="preserve"> A Lexicographic Practice Map of Europe — https://doi.org/10.1093/ijl/ecad023</w:t>
      </w:r>
    </w:p>
    <w:p>
      <w:pPr/>
      <w:r>
        <w:rPr>
          <w:b/>
        </w:rPr>
        <w:t>Shared claim-specific concepts:</w:t>
      </w:r>
      <w:r>
        <w:t xml:space="preserve"> identify, affect, based, trends; EU scope visible. This is a provisional connection, not an outcome finding.</w:t>
      </w:r>
    </w:p>
    <w:p>
      <w:pPr>
        <w:pStyle w:val="SourceNote"/>
      </w:pPr>
      <w:r>
        <w:rPr>
          <w:b/>
        </w:rPr>
        <w:t>Available abstract (not full text):</w:t>
      </w:r>
      <w:r>
        <w:t xml:space="preserve"> Abstract This article presents the combined results of three international surveys that were carried out in the context of the Horizon 2020 European Lexicographic Infrastructure project (ELEXIS). The aim of these surveys was to gain more insight into lexicographic practices and the needs of lexicographers in Europe. The surveys were delivered via online platforms. Based on the combined results, we sketch a map of lexicographic practices in Europe, both for born-digital and retrodigitized resources, analyze current needs in terms of tools, functionalities and training, and identify emerging trends that will affect lexicography in the short and long term.</w:t>
      </w:r>
    </w:p>
    <w:p>
      <w:pPr>
        <w:pStyle w:val="Heading2"/>
      </w:pPr>
      <w:r>
        <w:t>535. GHG emissions, trade balance, and carbon leakage: Insights from modeling thirty-one European decarbonization pathways towards 2050</w:t>
      </w:r>
    </w:p>
    <w:p>
      <w:pPr>
        <w:pStyle w:val="SourceNote"/>
      </w:pPr>
      <w:r>
        <w:rPr>
          <w:b/>
        </w:rPr>
        <w:t>Original source (2022):</w:t>
      </w:r>
      <w:r>
        <w:t xml:space="preserve"> https://doi.org/10.1016/j.eneco.2022.106240</w:t>
      </w:r>
    </w:p>
    <w:p>
      <w:pPr/>
      <w:r>
        <w:t>Original wording (abstract; indexed_source_text_not_full_document_verified): Recognizing the urgent need for concrete sectoral information in designing European climate change mitigation pathways of policy relevance, this study formulates, simulates and compares 31 European decarbonization pathways, focusing on changes in trade flows and GHG emissions.</w:t>
      </w:r>
    </w:p>
    <w:p>
      <w:pPr/>
      <w:r>
        <w:rPr>
          <w:b/>
        </w:rPr>
        <w:t>POSSIBLE 2026:</w:t>
      </w:r>
      <w:r>
        <w:t xml:space="preserve"> Linguistic diversity of new minorities in Europe: A crossroads of rights and duties — https://doi.org/10.5281/zenodo.18845601</w:t>
      </w:r>
    </w:p>
    <w:p>
      <w:pPr/>
      <w:r>
        <w:rPr>
          <w:b/>
        </w:rPr>
        <w:t>Shared claim-specific concepts:</w:t>
      </w:r>
      <w:r>
        <w:t xml:space="preserve"> recognizing, urgent, need, flows; EU scope visible. This is a provisional connection, not an outcome finding.</w:t>
      </w:r>
    </w:p>
    <w:p>
      <w:pPr>
        <w:pStyle w:val="SourceNote"/>
      </w:pPr>
      <w:r>
        <w:rPr>
          <w:b/>
        </w:rPr>
        <w:t>Available abstract (not full text):</w:t>
      </w:r>
      <w:r>
        <w:t xml:space="preserve"> Increasing international mobility flows have presented both opportunities and challenges for social cohesion and integration in Europe. Language, as a tool for communication and a marker of identity, plays a pivotal role in ensuring equality of access to education, the labor market, and justice. However, many European states face difficulties in balancing the need for integration with the recognition of linguistic diversity, particularly concerning new minorities arising from migration flows. These challenges have underlined the urgent need for effective governance of linguistic diversity. This paper explores the governance of linguistic diversity in the context ofintegrating new minorities in Europe. It argues for expanding the scope ofminority rights — traditionally reserved for historical minorities — to include new minorities. This approach addresses gaps in international frameworks, particularly regarding identity and language rights, and fosters amore inclusive diversity governance model. Recognizing and protectingthe linguistic rights of new minorities is essential to promoting cohesionand belonging, reducing the risk of alienation and conflict, and avoidingforced assimilation. The paper highlights the dual need for supporting minority languages while maintaining proficiency in a common public language to ensure state functionality and societal integration. Using an inte</w:t>
      </w:r>
    </w:p>
    <w:p>
      <w:pPr/>
      <w:r>
        <w:rPr>
          <w:b/>
        </w:rPr>
        <w:t>POSSIBLE 2026:</w:t>
      </w:r>
      <w:r>
        <w:t xml:space="preserve"> Information and misinformation on assisted human reproduction techniques in Europe: a normative analysis of the information provided on the websites of medically assisted reproduction clinics — https://doi.org/10.1186/s12910-026-01388-5</w:t>
      </w:r>
    </w:p>
    <w:p>
      <w:pPr/>
      <w:r>
        <w:rPr>
          <w:b/>
        </w:rPr>
        <w:t>Shared claim-specific concepts:</w:t>
      </w:r>
      <w:r>
        <w:t xml:space="preserve"> urgent, need, information; EU scope visible. This is a provisional connection, not an outcome finding.</w:t>
      </w:r>
    </w:p>
    <w:p>
      <w:pPr>
        <w:pStyle w:val="SourceNote"/>
      </w:pPr>
      <w:r>
        <w:rPr>
          <w:b/>
        </w:rPr>
        <w:t>Available abstract (not full text):</w:t>
      </w:r>
      <w:r>
        <w:t xml:space="preserve"> BACKGROUND: As part of the European Be better informed about Fertility project (B2-InF), we carried out a normative analysis of the information provided online by assisted reproduction clinics to the European public. This analysis aimed to determine the degree to which this information complies with regulations of medically assisted reproduction (MAR) and commercial information, and the main ethical implications related to the duty of information. METHODS: Information was gathered from the websites of 33 clinics across 8 European countries (Albania, Belgium, Spain, Italy, Kosovo, Northern Macedonia, Slovenia, Switzerland). Nearly 2000 pages of information were reviewed and checked for compliance with relevant frameworks of national and international law. RESULTS: The assessment revealed significant inconsistencies in how clinics present information online, with particular concerns regarding transparency about success rates, associated risks, add-on techniques and the legal and ethical issues that may arise during the use of these techniques. CONCLUSIONS: The results of our analysis indicate an urgent need for enhanced regulatory oversight and standardized information requirements for assisted reproduction clinics across Europe. These findings suggest the necessity for harmonized legal frameworks that mandate comprehensive disclosure standards and establish effective enforcement</w:t>
      </w:r>
    </w:p>
    <w:p>
      <w:pPr/>
      <w:r>
        <w:rPr>
          <w:b/>
        </w:rPr>
        <w:t>POSSIBLE 2026:</w:t>
      </w:r>
      <w:r>
        <w:t xml:space="preserve"> Natural Gas Transit from West Africa to Europe (Africa Atlantic Gas Pipeline) to Maximize Energy Security and Transit Revenues by 2050 — https://doi.org/10.62762/jgee.2025.372522</w:t>
      </w:r>
    </w:p>
    <w:p>
      <w:pPr/>
      <w:r>
        <w:rPr>
          <w:b/>
        </w:rPr>
        <w:t>Shared claim-specific concepts:</w:t>
      </w:r>
      <w:r>
        <w:t xml:space="preserve"> recognizing, urgent, need; EU scope visible. This is a provisional connection, not an outcome finding.</w:t>
      </w:r>
    </w:p>
    <w:p>
      <w:pPr>
        <w:pStyle w:val="SourceNote"/>
      </w:pPr>
      <w:r>
        <w:rPr>
          <w:b/>
        </w:rPr>
        <w:t>Available abstract (not full text):</w:t>
      </w:r>
      <w:r>
        <w:t xml:space="preserve"> The Africa-Atlantic Gas Pipeline (AAGP), also known as the Nigeria-Morocco Gas Pipeline, is a major transcontinental infrastructure project poised to connect West African gas reserves with North African networks and European markets, potentially reshaping regional energy dynamics, boosting economic development, and enhancing energy security. Its strategic importance has grown amid Europe’s urgent need to diversify away from Russian gas imports and Africa’s dual challenge of resource-based development and sustainable local energy access. Despite increasing interest, there is a lack of integrated, quantitative evaluation of competing gas transit strategies considering technical, economic, environmental, and social criteria. This research fills that gap by applying a Multi-Criteria Decision-Making framework (AHP) to assess four transit strategies, highlighting Public-Private Partnerships and revenue-sharing as top options. The study also models Europe’s future gas supply scenarios, showing that while African gas corridors like the AAGP could significantly reduce European dependence on Russian gas, full substitution requires coordinated investments and complementary measures. The findings offer policymakers a transparent, replicable methodology to make evidence-based decisions that align energy security, regional cooperation, and sustainability goals, while recognizing limitations </w:t>
      </w:r>
    </w:p>
    <w:p>
      <w:pPr/>
      <w:r>
        <w:rPr>
          <w:b/>
        </w:rPr>
        <w:t>POSSIBLE 2026:</w:t>
      </w:r>
      <w:r>
        <w:t xml:space="preserve"> Corrective and Restorative Dermatology in Cancer Survivors: An Urgent Unmet Need! — https://doi.org/10.1007/s40257-026-01027-0</w:t>
      </w:r>
    </w:p>
    <w:p>
      <w:pPr/>
      <w:r>
        <w:rPr>
          <w:b/>
        </w:rPr>
        <w:t>Shared claim-specific concepts:</w:t>
      </w:r>
      <w:r>
        <w:t xml:space="preserve"> recognizing, urgent, need; EU scope not established. This is a provisional connection, not an outcome finding.</w:t>
      </w:r>
    </w:p>
    <w:p>
      <w:pPr>
        <w:pStyle w:val="SourceNote"/>
      </w:pPr>
      <w:r>
        <w:rPr>
          <w:b/>
        </w:rPr>
        <w:t>Available abstract (not full text):</w:t>
      </w:r>
      <w:r>
        <w:t xml:space="preserve"> The increasing efficacy of oncological therapies has led to a rapidly growing population of cancer survivors, shifting clinical attention from acute treatment-related toxicities to long-term and late sequelae. Among these, dermatological sequelae represent some of the most visible and persistent consequences of cancer treatments and may significantly impair quality of life. Persistent alopecia, nail disorders, pigmentary alterations, chronic radiation-induced skin changes, scarring, vascular abnormalities, mucosal alterations, and secondary skin cancers may develop or persist long after treatment completion, acting as constant reminders of the cancer experience. These conditions are not only cosmetic; they may be associated with functional limitations, psychological distress, and altered body image, particularly in patients treated during childhood or adolescence. While the role of supportive oncodermatology during active cancer treatment is well established, structured dermatological care in the survivorship phase remains insufficiently developed. This narrative review provides a comprehensive overview of the main long-lasting dermatological adverse events associated with chemotherapy, radiotherapy, targeted therapies, immunotherapy, endocrine treatments, and hematopoietic stem cell transplantation. In addition, available restorative and corrective dermatological interventions</w:t>
      </w:r>
    </w:p>
    <w:p>
      <w:pPr/>
      <w:r>
        <w:rPr>
          <w:b/>
        </w:rPr>
        <w:t>POSSIBLE 2026:</w:t>
      </w:r>
      <w:r>
        <w:t xml:space="preserve"> CO2 Emissions Scenarios in the European Union—The Urgency of Carbon Capture and Controlled Economic Growth — https://doi.org/10.3390/su18021043</w:t>
      </w:r>
    </w:p>
    <w:p>
      <w:pPr/>
      <w:r>
        <w:rPr>
          <w:b/>
        </w:rPr>
        <w:t>Shared claim-specific concepts:</w:t>
      </w:r>
      <w:r>
        <w:t xml:space="preserve"> climate, decarbonization, focusing, emissions; EU scope visible. This is a provisional connection, not an outcome finding.</w:t>
      </w:r>
    </w:p>
    <w:p>
      <w:pPr>
        <w:pStyle w:val="SourceNote"/>
      </w:pPr>
      <w:r>
        <w:rPr>
          <w:b/>
        </w:rPr>
        <w:t>Available abstract (not full text):</w:t>
      </w:r>
      <w:r>
        <w:t xml:space="preserve"> Although greenhouse gas emissions have significantly reduced, the European Union still faces a major challenge in meeting its 2050 net-zero goal set under the European Green Deal. Focusing on the impacts of population, economic output, and carbon intensity of economy, this study employs Index Decomposition Analysis to estimate the reductions in carbon intensity needed to reach this target. The findings show that the extent of the technical effort required for decarbonization is much influenced by economic expansion. Under a 3% annual Gross Domestic Product growth scenario, the EU’s carbon intensity of economy must decline by 11.8% per year, which is a particularly demanding rate given the already low baseline. The decomposition also quantifies the technological challenge: under high growth, up to 5867 MtCO2 in reductions would be needed by 2050 (compared with 1990), with Carbon Capture and Storage (CCS) contributing only 10–15%. In contrast, in zero- or negative-growth scenarios, required reductions fall to 4923–4594 MtCO2, with CCS accounting for up to 50–90%. These results show that decarbonization in EU industrial sectors requires systemic transformations and strategic CCS deployment. A balanced approach, limiting economic growth and increasing innovation, appears essential to achieve the climate neutrality target.</w:t>
      </w:r>
    </w:p>
    <w:p>
      <w:pPr/>
      <w:r>
        <w:rPr>
          <w:b/>
        </w:rPr>
        <w:t>POSSIBLE 2026:</w:t>
      </w:r>
      <w:r>
        <w:t xml:space="preserve"> Economics in judicial reasoning in the energy sector before the Court of Justice of the European Union — https://doi.org/10.1093/jiel/jgag025</w:t>
      </w:r>
    </w:p>
    <w:p>
      <w:pPr/>
      <w:r>
        <w:rPr>
          <w:b/>
        </w:rPr>
        <w:t>Shared claim-specific concepts:</w:t>
      </w:r>
      <w:r>
        <w:t xml:space="preserve"> urgent, climate; EU scope visible. This is a provisional connection, not an outcome finding.</w:t>
      </w:r>
    </w:p>
    <w:p>
      <w:pPr>
        <w:pStyle w:val="SourceNote"/>
      </w:pPr>
      <w:r>
        <w:rPr>
          <w:b/>
        </w:rPr>
        <w:t>Available abstract (not full text):</w:t>
      </w:r>
      <w:r>
        <w:t xml:space="preserve"> Abstract This article examines the role and usage of economics in the judicial reasoning in energy law, situating its analysis within the broader context of international economic law. Using European Union energy law, and in particular, the case-law from the Court of Justice of the European Union as an illustrative example, the article shows how the interpretation and application of energy law are conceptually and theoretically grounded in economics and demonstrates what that means for energy law as a discipline. This economic orientation not only reflects the deep integration of energy markets into the international economic order but also exposes how such foundations condition the law’s capacity to respond to global challenges, including climate change and energy crises. Two broader implications follow: first, that the economic orientation of energy law challenges traditional legal expertise and the way lawyers are trained; and secondly, that it influences how law mediates between economic activities and urgent societal imperatives. By uncovering these dynamics, the article contributes to understanding of the foundations of energy law and how law structures the decisional space of institutions tasked with steering the global energy transition.</w:t>
      </w:r>
    </w:p>
    <w:p>
      <w:pPr/>
      <w:r>
        <w:rPr>
          <w:b/>
        </w:rPr>
        <w:t>POSSIBLE 2025:</w:t>
      </w:r>
      <w:r>
        <w:t xml:space="preserve"> The urgent need for climate protection as reflected in supreme court rulings in the European Union — https://doi.org/10.46941/2025.se1.17</w:t>
      </w:r>
    </w:p>
    <w:p>
      <w:pPr/>
      <w:r>
        <w:rPr>
          <w:b/>
        </w:rPr>
        <w:t>Shared claim-specific concepts:</w:t>
      </w:r>
      <w:r>
        <w:t xml:space="preserve"> urgent, need, climate; EU scope visible. This is a provisional connection, not an outcome finding.</w:t>
      </w:r>
    </w:p>
    <w:p>
      <w:pPr>
        <w:pStyle w:val="SourceNote"/>
      </w:pPr>
      <w:r>
        <w:rPr>
          <w:b/>
        </w:rPr>
        <w:t>Available abstract (not full text):</w:t>
      </w:r>
      <w:r>
        <w:t xml:space="preserve"> It goes without saying that the climate change will affect the enjoyment of human rights, e.g., the right to life, the right to private life, economic rights. It is therefore not surprising that applications are being brought up to the supreme courts to enforce the effective climate protection measures. Nevertheless, the human rights documents in most of the European states as well as the EU Charter of Fundamental Rights and the European Convention on Human Rights do not contain a fundamental right to climate protection or to a healthy environment. The article will provide an overview of the respective decisions of several supreme courts across Europe without claiming to be complete. It will also analyze the relevant case law of European courts, i.e. the ECJ and the ECtHR. Against this background, the question is raised as to whether fundamental rights actions can be regarded as an effective instrument for enforcing climate protection measures.</w:t>
      </w:r>
    </w:p>
    <w:p>
      <w:pPr/>
      <w:r>
        <w:rPr>
          <w:b/>
        </w:rPr>
        <w:t>POSSIBLE 2025:</w:t>
      </w:r>
      <w:r>
        <w:t xml:space="preserve"> Vectors on the Move: How Climate Change Fuels the Spread of Arboviruses in Europe — https://doi.org/10.3390/microorganisms13092034</w:t>
      </w:r>
    </w:p>
    <w:p>
      <w:pPr/>
      <w:r>
        <w:rPr>
          <w:b/>
        </w:rPr>
        <w:t>Shared claim-specific concepts:</w:t>
      </w:r>
      <w:r>
        <w:t xml:space="preserve"> urgent, need, climate; EU scope visible. This is a provisional connection, not an outcome finding.</w:t>
      </w:r>
    </w:p>
    <w:p>
      <w:pPr>
        <w:pStyle w:val="SourceNote"/>
      </w:pPr>
      <w:r>
        <w:rPr>
          <w:b/>
        </w:rPr>
        <w:t>Available abstract (not full text):</w:t>
      </w:r>
      <w:r>
        <w:t xml:space="preserve"> Climate change is increasingly recognized as a major driver of emerging infectious diseases, particularly vector-borne diseases (VBDs), which are expanding in range and intensity worldwide. Europe, traditionally considered low-risk for many arboviral infections, is now experiencing autochthonous transmission of pathogens such as dengue, chikungunya, Zika virus, West Nile virus, malaria, and leishmaniasis. Rising temperatures, altered precipitation patterns, and milder winters have facilitated the establishment and spread of competent vectors, including Aedes, Anopheles, Phlebotomus, and Culex species, in previously non-endemic areas. These climatic shifts not only impact vector survival and distribution but also influence vector competence and pathogen development, ultimately increasing transmission potential. This narrative review explores the complex relationship between climate change and VBDs, with a particular focus on pediatric populations. It highlights how children may experience distinct clinical manifestations and complications, and how current data on pediatric burden remain limited for several emerging infections. Through an analysis of existing literature and reported outbreaks in Europe, this review underscores the urgent need for enhanced surveillance, integrated vector control strategies, and climate-adapted public health policies. Finally, it outlines research </w:t>
      </w:r>
    </w:p>
    <w:p>
      <w:pPr/>
      <w:r>
        <w:rPr>
          <w:b/>
        </w:rPr>
        <w:t>POSSIBLE 2025:</w:t>
      </w:r>
      <w:r>
        <w:t xml:space="preserve"> Convection‐permitting dynamical downscaling of ERA5 for Europe and the Mediterranean basin — https://doi.org/10.1002/qj.5014</w:t>
      </w:r>
    </w:p>
    <w:p>
      <w:pPr/>
      <w:r>
        <w:rPr>
          <w:b/>
        </w:rPr>
        <w:t>Shared claim-specific concepts:</w:t>
      </w:r>
      <w:r>
        <w:t xml:space="preserve"> urgent, need, climate, mitigation; EU scope visible. This is a provisional connection, not an outcome finding.</w:t>
      </w:r>
    </w:p>
    <w:p>
      <w:pPr>
        <w:pStyle w:val="SourceNote"/>
      </w:pPr>
      <w:r>
        <w:rPr>
          <w:b/>
        </w:rPr>
        <w:t>Available abstract (not full text):</w:t>
      </w:r>
      <w:r>
        <w:t xml:space="preserve"> Abstract As the European continent and the Mediterranean Sea experience rapid warming trends and diverse manifestations of extreme weather, there is an urgent need to understand and mitigate the impacts of climate change in these regions. This study introduces the Computational Hydrometeorology with Advanced Performance to Enhanced Realism (CHAPTER) high‐resolution dynamical downscaling of the European Centre for Medium‐Range Weather Forecasts Reanalysis v5 (ERA5) global reanalysis made with the Weather Research and Forecasting numerical model. CHAPTER covers Europe and the Mediterranean basin at a convection‐resolving grid resolution of 3 km by 3 km. CHAPTER's performances in representing precipitation and temperature are evaluated compared to state‐of‐the‐art datasets like ERA5‐Land. The focus is put on seasonal spatial distributions of the bias and the root mean square error, and fuzzy verification techniques are used to validate the precipitation outputs. The results reveal that CHAPTER's performance aligns closely with well‐recognized downscalings of ERA5 but has, in addition, the advantage of providing a rich portfolio of variables at hourly temporal resolution and on different terrain, following model levels. Therefore, CHAPTER is a valuable resource for studying extreme weather events, offering insights crucial for climate change adaptation and mitigation efforts in Eur</w:t>
      </w:r>
    </w:p>
    <w:p>
      <w:pPr/>
      <w:r>
        <w:rPr>
          <w:b/>
        </w:rPr>
        <w:t>POSSIBLE 2025:</w:t>
      </w:r>
      <w:r>
        <w:t xml:space="preserve"> Europe as a subject and object of epistemic reflection — https://doi.org/10.30574/wjarr.2025.27.1.2547</w:t>
      </w:r>
    </w:p>
    <w:p>
      <w:pPr/>
      <w:r>
        <w:rPr>
          <w:b/>
        </w:rPr>
        <w:t>Shared claim-specific concepts:</w:t>
      </w:r>
      <w:r>
        <w:t xml:space="preserve"> recognizing, need, relevance; EU scope visible. This is a provisional connection, not an outcome finding.</w:t>
      </w:r>
    </w:p>
    <w:p>
      <w:pPr>
        <w:pStyle w:val="SourceNote"/>
      </w:pPr>
      <w:r>
        <w:rPr>
          <w:b/>
        </w:rPr>
        <w:t>Available abstract (not full text):</w:t>
      </w:r>
      <w:r>
        <w:t xml:space="preserve"> This study proposes a critical and theoretical approach from the social sciences, particularly anthropology and the philosophy of science, to analyze Europe as a subject and object of epistemic reflection. Through a hermeneutic and postfoundational approach, the author examines the emergence of modern science in Europe, its institutional consolidation, and its subsequent questioning from internal (Foucault, Kuhn, Derrida) and external (postcolonial and global south) perspectives. The analysis identifies three key moments: the constitution of the modern European scientific paradigm based on rationality, empiricism, and objectivity; The critique of these foundations from within European tradition itself and from postcolonial thought; and the emergence of a global need to pluralize science by recognizing other forms of knowledge. The text argues that Europe has played a dual role: creator of modern scientific thought and critique of its own heritage. The article's value lies in its ability to interpret Europe as an "epistemic mirror" where continuity and rupture, creation and deconstruction, converge. It introduces a powerful metaphor—the Ouroboros- to describe the self-reflexive dynamics of European science, and links this process to current debates on epistemologies of the South, the pluriverse, and the vital relevance of knowledge. The text concludes that Europe, in facing its </w:t>
      </w:r>
    </w:p>
    <w:p>
      <w:pPr/>
      <w:r>
        <w:rPr>
          <w:b/>
        </w:rPr>
        <w:t>POSSIBLE 2025:</w:t>
      </w:r>
      <w:r>
        <w:t xml:space="preserve"> Europe as a subject and object of epistemic reflection — https://doi.org/10.5281/zenodo.17519703</w:t>
      </w:r>
    </w:p>
    <w:p>
      <w:pPr/>
      <w:r>
        <w:rPr>
          <w:b/>
        </w:rPr>
        <w:t>Shared claim-specific concepts:</w:t>
      </w:r>
      <w:r>
        <w:t xml:space="preserve"> recognizing, need, relevance; EU scope visible. This is a provisional connection, not an outcome finding.</w:t>
      </w:r>
    </w:p>
    <w:p>
      <w:pPr>
        <w:pStyle w:val="SourceNote"/>
      </w:pPr>
      <w:r>
        <w:rPr>
          <w:b/>
        </w:rPr>
        <w:t>Available abstract (not full text):</w:t>
      </w:r>
      <w:r>
        <w:t xml:space="preserve"> This study proposes a critical and theoretical approach from the social sciences, particularly anthropology and the philosophy of science, to analyze Europe as a subject and object of epistemic reflection. Through a hermeneutic and postfoundational approach, the author examines the emergence of modern science in Europe, its institutional consolidation, and its subsequent questioning from internal (Foucault, Kuhn, Derrida) and external (postcolonial and global south) perspectives. The analysis identifies three key moments: the constitution of the modern European scientific paradigm based on rationality, empiricism, and objectivity; The critique of these foundations from within European tradition itself and from postcolonial thought; and the emergence of a global need to pluralize science by recognizing other forms of knowledge. The text argues that Europe has played a dual role: creator of modern scientific thought and critique of its own heritage. The article's value lies in its ability to interpret Europe as an "epistemic mirror" where continuity and rupture, creation and deconstruction, converge. It introduces a powerful metaphor—the Ouroboros- to describe the self-reflexive dynamics of European science, and links this process to current debates on epistemologies of the South, the pluriverse, and the vital relevance of knowledge. The text concludes that Europe, in facing its </w:t>
      </w:r>
    </w:p>
    <w:p>
      <w:pPr/>
      <w:r>
        <w:rPr>
          <w:b/>
        </w:rPr>
        <w:t>POSSIBLE 2025:</w:t>
      </w:r>
      <w:r>
        <w:t xml:space="preserve"> Review of: "The Limitations and Challenges of Researching Mass Casualty Incidents and Disasters in Europe" — https://doi.org/10.32388/9sm5gm</w:t>
      </w:r>
    </w:p>
    <w:p>
      <w:pPr/>
      <w:r>
        <w:rPr>
          <w:b/>
        </w:rPr>
        <w:t>Shared claim-specific concepts:</w:t>
      </w:r>
      <w:r>
        <w:t xml:space="preserve"> recognizing, urgent, need, concrete, information, pathways; EU scope visible. This is a provisional connection, not an outcome finding.</w:t>
      </w:r>
    </w:p>
    <w:p>
      <w:pPr>
        <w:pStyle w:val="SourceNote"/>
      </w:pPr>
      <w:r>
        <w:rPr>
          <w:b/>
        </w:rPr>
        <w:t>Available abstract (not full text):</w:t>
      </w:r>
      <w:r>
        <w:t xml:space="preserve"> The article "The Limitations and Challenges of Researching Mass Casualty Incidents and Disasters in Europe" offers an outstanding overview of the main methodological, technological, and organizational barriers affecting research and management of mass casualty incidents in Europe, providing a thorough and constructive approach to the subject.The paper excels at presenting a detailed and well-referenced review of regulatory obstacles, the lack of a consensual de nition of mass casualty incidents, and the fragmentation in data collection systems and methodologies.This contextualized analysis, supported by multiple European projects and studies, enhances the understanding of the urgent need for coordinated and evidence-based solutions.A key strength of the article is its emphasis on interoperability between emergency services and the urgent need for the development of minimum data sets.The authors highlight cross-border initiatives and speci c examples, such as IDIRA and VALKYRIES, that have begun to overcome technical and language barriers, showing viable pathways toward harmonizing protocols and information formats in Europe.The discussion on adopting new technologies-drones, GIS, arti cial intelligence, and mobile platforms-is both critical and pragmatic, recognizing their real impact on improving situational awareness and operational coordination.Furthermore, the article rigor</w:t>
      </w:r>
    </w:p>
    <w:p>
      <w:pPr>
        <w:pStyle w:val="Heading2"/>
      </w:pPr>
      <w:r>
        <w:t>536. Health horizons: Future trends and technologies from the European Medicines Agency’s horizon scanning collaborations</w:t>
      </w:r>
    </w:p>
    <w:p>
      <w:pPr>
        <w:pStyle w:val="SourceNote"/>
      </w:pPr>
      <w:r>
        <w:rPr>
          <w:b/>
        </w:rPr>
        <w:t>Original source (2022):</w:t>
      </w:r>
      <w:r>
        <w:t xml:space="preserve"> https://doi.org/10.3389/fmed.2022.1064003</w:t>
      </w:r>
    </w:p>
    <w:p>
      <w:pPr/>
      <w:r>
        <w:t>Original wording (abstract; indexed_source_text_not_full_document_verified): In this context, the European Medicines Agency uses horizon scanning to shine a light on early signals of relevant innovation and technological trends with impact on medicinal products. For each of these trends, the expected impact and challenges for their adoption are discussed, along with recommendations for developers, regulators and policy makers.</w:t>
      </w:r>
    </w:p>
    <w:p>
      <w:pPr/>
      <w:r>
        <w:rPr>
          <w:b/>
        </w:rPr>
        <w:t>POSSIBLE 2026:</w:t>
      </w:r>
      <w:r>
        <w:t xml:space="preserve"> ANALYZING THE FEASIBILITY OF ADOPTING THE HUMAN MEDICINES REGULATORY PATHWAYS OF THE EUROPEAN MEDICINES AGENCY FOR THE AFRICAN MEDICINES AGENCY — https://doi.org/10.5281/zenodo.18206130</w:t>
      </w:r>
    </w:p>
    <w:p>
      <w:pPr/>
      <w:r>
        <w:rPr>
          <w:b/>
        </w:rPr>
        <w:t>Shared claim-specific concepts:</w:t>
      </w:r>
      <w:r>
        <w:t xml:space="preserve"> context, medicines, agency, products, each; EU scope visible. This is a provisional connection, not an outcome finding.</w:t>
      </w:r>
    </w:p>
    <w:p>
      <w:pPr>
        <w:pStyle w:val="SourceNote"/>
      </w:pPr>
      <w:r>
        <w:rPr>
          <w:b/>
        </w:rPr>
        <w:t>Available abstract (not full text):</w:t>
      </w:r>
      <w:r>
        <w:t xml:space="preserve"> The implementation of the Centralized Procedure (CP) among European countries was facilitated by the establishment of the European Medicines Agency (EMA) in 1995, which is a culmination of the efforts and milestones made during the harmonization of medicines regulation across Europe. Inspired by the success story of human medicines regulatory harmonization among European countries, the African Union (AU) established the African Medicines Agency (AMA). The objective of this article is to assess the feasibility of adapting regulatory procedures analogous to the EMA framework for the African context and to propose a flexible model tailored to the continent's specific needs. Data were collected using four methods, narrative review, scoping review, comparative analysis, and survey, based on the nature of the required data to assess the feasibility of developing harmonized mechanisms for human medicines approvals among African countries. The European regulatory pathways provide valuable preliminary models for regulatory harmonization in Africa. By using the European framework as foundational blueprint rather than initiating models from the ground up, African countries can accelerate the creation of unique and localized regulatory pathways. Harmonized legal bases are prerequisites for harmonized regulatory frameworks. Therefore, revising the AU Model Law on Medical Products Regulation</w:t>
      </w:r>
    </w:p>
    <w:p>
      <w:pPr/>
      <w:r>
        <w:rPr>
          <w:b/>
        </w:rPr>
        <w:t>POSSIBLE 2026:</w:t>
      </w:r>
      <w:r>
        <w:t xml:space="preserve"> Artificial Intelligence for Regulatory Evidence: A Systematic Document Analysis of European Medicines Agency Regulatory Advice and Public Reports — https://doi.org/10.1002/cpt.70300</w:t>
      </w:r>
    </w:p>
    <w:p>
      <w:pPr/>
      <w:r>
        <w:rPr>
          <w:b/>
        </w:rPr>
        <w:t>Shared claim-specific concepts:</w:t>
      </w:r>
      <w:r>
        <w:t xml:space="preserve"> context, medicines, agency, light, early; EU scope visible. This is a provisional connection, not an outcome finding.</w:t>
      </w:r>
    </w:p>
    <w:p>
      <w:pPr>
        <w:pStyle w:val="SourceNote"/>
      </w:pPr>
      <w:r>
        <w:rPr>
          <w:b/>
        </w:rPr>
        <w:t>Available abstract (not full text):</w:t>
      </w:r>
      <w:r>
        <w:t xml:space="preserve"> Artificial intelligence (AI) is receiving increasing attention across the entire lifecycle of medicines, from early development to postauthorization use. While various AI tools have been developed in commercial and academic settings, the extent of their use in regulatory contexts within the European Union remains unknown. In this study, we systematically analyzed the use of AI for regulatory evidence by reviewing Public reports and internal development advice documents from the European Medicines Agency (EMA). Of 26,480 documents screened, 52 documents contained AI use, reflecting 43 unique AI tools used across quality, nonclinical, clinical, and pharmacovigilance domains. The majority of AI tools were deployed in clinical applications, and outputs were used either directly as endpoints, in shaping clinical trial methodology, or in ancillary analyses. Comments and advice from the EMA regarding AI use varied according to the context of use and covered aspects of documentation, methodology, validation, and lifecycle management. Our findings indicate that AI use in regulatory evidence is still limited but showing an increasing trend. As the field is still novel, there are limited regulatory precedents, and AI-specific guideline development and harmonization across regulatory jurisdictions are still ongoing. In this light, the quantitative characterization of AI tools and AI-relate</w:t>
      </w:r>
    </w:p>
    <w:p>
      <w:pPr/>
      <w:r>
        <w:rPr>
          <w:b/>
        </w:rPr>
        <w:t>POSSIBLE 2026:</w:t>
      </w:r>
      <w:r>
        <w:t xml:space="preserve"> Horizon scanning at EMA: preparing for the medicines of the future — https://doi.org/10.3389/fmed.2026.1800213</w:t>
      </w:r>
    </w:p>
    <w:p>
      <w:pPr/>
      <w:r>
        <w:rPr>
          <w:b/>
        </w:rPr>
        <w:t>Shared claim-specific concepts:</w:t>
      </w:r>
      <w:r>
        <w:t xml:space="preserve"> medicines, agency, horizon, scanning, early, relevant; EU scope visible. This is a provisional connection, not an outcome finding.</w:t>
      </w:r>
    </w:p>
    <w:p>
      <w:pPr>
        <w:pStyle w:val="SourceNote"/>
      </w:pPr>
      <w:r>
        <w:rPr>
          <w:b/>
        </w:rPr>
        <w:t>Available abstract (not full text):</w:t>
      </w:r>
      <w:r>
        <w:t xml:space="preserve"> This article provides insights into the European Medicines Agency's approach to horizon scanning as a foresight tool to support early identification, analysis and preparedness for emerging trends, technologies and challenges relevant to medicines development and authorization. Emerging topics are identified through a continuous scanning of several sources of information, including key trends identified by leading institutions such as the World Health Organization, the European Commission Joint Research Centre, and the European Innovation Council. This perspective sets out the scope, impact and outputs of horizon scanning within the European medicines regulatory network, which include topic-specific reports, collaborative workshops and webinars, and contributions to regulatory policy, strategic planning, capacity building and research prioritization. It also emphasizes the European medicines regulatory network's commitment to collaboration and knowledge sharing across European and international organizations. Through these efforts, horizon scanning supports regulatory preparedness and resilience of the European medicines regulatory system.</w:t>
      </w:r>
    </w:p>
    <w:p>
      <w:pPr/>
      <w:r>
        <w:rPr>
          <w:b/>
        </w:rPr>
        <w:t>POSSIBLE 2026:</w:t>
      </w:r>
      <w:r>
        <w:t xml:space="preserve"> Horizon scan of the clinical development landscape of biosimilar products in the UK and EU — https://doi.org/10.1017/s0266462326103468</w:t>
      </w:r>
    </w:p>
    <w:p>
      <w:pPr/>
      <w:r>
        <w:rPr>
          <w:b/>
        </w:rPr>
        <w:t>Shared claim-specific concepts:</w:t>
      </w:r>
      <w:r>
        <w:t xml:space="preserve"> medicines, agency, horizon, scanning, relevant, products; EU scope visible. This is a provisional connection, not an outcome finding.</w:t>
      </w:r>
    </w:p>
    <w:p>
      <w:pPr>
        <w:pStyle w:val="SourceNote"/>
      </w:pPr>
      <w:r>
        <w:rPr>
          <w:b/>
        </w:rPr>
        <w:t>Available abstract (not full text):</w:t>
      </w:r>
      <w:r>
        <w:t xml:space="preserve"> OBJECTIVES: Biosimilars are biological medicines highly similar to an authorized reference medicine, offering substantial cost savings and increased treatment access. Despite the regulatory framework in the UK and EU facilitating their approval, the biosimilar landscape remains small compared to small-molecule drugs. This study provides a horizon scanning overview of the current biosimilar landscape, procured through horizon scanning activities. METHODS: Data were sourced from ClinicalTrials.gov and the EU Clinical Trials Register, scanned monthly to identify innovative medicines in clinical development. We included biosimilars identified through horizon scanning from April 2017 to February 2025. Supplementary data were collected from the European Medicines Agency to ascertain approval status, and additional clinical trial information was manually extracted from relevant registries. RESULTS: We identified 156 unique biosimilars developed across 174 clinical trials, with sixty-four approved by the MHRA and seventy-eight by the European Medicines Agency. Adalimumab, bevacizumab, and denosumab were the reference products with the most biosimilars in development. Most biosimilar trials were at phase III. There are seventy-one biosimilars in active development. CONCLUSIONS: The development landscape of biosimilars in the UK and EU show high activity levels. Continuous improvements i</w:t>
      </w:r>
    </w:p>
    <w:p>
      <w:pPr/>
      <w:r>
        <w:rPr>
          <w:b/>
        </w:rPr>
        <w:t>POSSIBLE 2026:</w:t>
      </w:r>
      <w:r>
        <w:t xml:space="preserve"> Scientific foundations of Horizon Scanning methodology for early signal identification in healthcare — https://doi.org/10.32352/0367-3057.3.26.03</w:t>
      </w:r>
    </w:p>
    <w:p>
      <w:pPr/>
      <w:r>
        <w:rPr>
          <w:b/>
        </w:rPr>
        <w:t>Shared claim-specific concepts:</w:t>
      </w:r>
      <w:r>
        <w:t xml:space="preserve"> context, horizon, scanning, early, relevant, innovation; EU scope visible. This is a provisional connection, not an outcome finding.</w:t>
      </w:r>
    </w:p>
    <w:p>
      <w:pPr>
        <w:pStyle w:val="SourceNote"/>
      </w:pPr>
      <w:r>
        <w:rPr>
          <w:b/>
        </w:rPr>
        <w:t>Available abstract (not full text):</w:t>
      </w:r>
      <w:r>
        <w:t xml:space="preserve"> The article presents a systematic analysis of contemporary international approaches to the application of Horizon Scanning (HS) methodology in healthcare and the pharmaceutical sector. The relevance of the study is driven by the increasing importance of early identification of innovative medical technologies in strategic planning, budget forecasting, and managerial decision-making processes. The aim of the study is to generalize international experience in the functioning of Horizon Scanning systems and to identify structural elements with potential for implementation in Ukraine. The research was conducted as a systematic literature review in accordance with PRISMA 2020 guidelines. The search was performed in the PubMed database covering the period 2019–2025. A total of 288 publications were identified in the initial search, and after a two-stage screening process, 128 sources were included in the qualitative analysis. The findings indicate that Horizon Scanning has evolved from a tool for early identification of pharmaceuticals into an integrated mechanism for strategic innovation management. It was determined that contemporary Horizon Scanning models are based on a staged process that includes signal identification, filtering, prioritization, impact assessment, and the use of results in decision-making. The authors identified the common features of international models, inclu</w:t>
      </w:r>
    </w:p>
    <w:p>
      <w:pPr/>
      <w:r>
        <w:rPr>
          <w:b/>
        </w:rPr>
        <w:t>POSSIBLE 2026:</w:t>
      </w:r>
      <w:r>
        <w:t xml:space="preserve"> Horizon Scanning report 2016-2025 update — https://openalex.org/W7212410651</w:t>
      </w:r>
    </w:p>
    <w:p>
      <w:pPr/>
      <w:r>
        <w:rPr>
          <w:b/>
        </w:rPr>
        <w:t>Shared claim-specific concepts:</w:t>
      </w:r>
      <w:r>
        <w:t xml:space="preserve"> horizon, scanning, innovation, technological, recommendations; EU scope not established. This is a provisional connection, not an outcome finding.</w:t>
      </w:r>
    </w:p>
    <w:p>
      <w:pPr>
        <w:pStyle w:val="SourceNote"/>
      </w:pPr>
      <w:r>
        <w:rPr>
          <w:b/>
        </w:rPr>
        <w:t>Available abstract (not full text):</w:t>
      </w:r>
      <w:r>
        <w:t xml:space="preserve"> that explore the links between vulnerability factors, amplification mechanisms, health crises, geopolitical instability, technological innovation, and radicalization dynamics.To achieve the research objectives, various academic databases and search engines were used, including Scopus, Web of Science, Google Scholar, Minerva, and other specialist platforms, in order to ensure broad coverage of available sources.The corpus analyzed includes peerreviewed scientific articles, institutional reports, policy documents, monographs, conference proceedings, and interdisciplinary contributions from fields such as sociology, psychology, political science, media studies, law, computer science, and information science.Overall, the methodology adopted has made it possible to develop an up-to-date, systemic analysis that is comparable with the first report, strengthening the focus on the middle-aged population and providing a solid empirical and theoretical basis for the subsequent development of operational and policy recommendations on combating disinformation and conspiracy theories.</w:t>
      </w:r>
    </w:p>
    <w:p>
      <w:pPr/>
      <w:r>
        <w:rPr>
          <w:b/>
        </w:rPr>
        <w:t>POSSIBLE 2026:</w:t>
      </w:r>
      <w:r>
        <w:t xml:space="preserve"> Preventing Invasive Non‐Native Species: A Horizon Scanning for the Canary Islands — https://doi.org/10.1111/ddi.70248</w:t>
      </w:r>
    </w:p>
    <w:p>
      <w:pPr/>
      <w:r>
        <w:rPr>
          <w:b/>
        </w:rPr>
        <w:t>Shared claim-specific concepts:</w:t>
      </w:r>
      <w:r>
        <w:t xml:space="preserve"> horizon, scanning, early; EU scope not established. This is a provisional connection, not an outcome finding.</w:t>
      </w:r>
    </w:p>
    <w:p>
      <w:pPr>
        <w:pStyle w:val="SourceNote"/>
      </w:pPr>
      <w:r>
        <w:rPr>
          <w:b/>
        </w:rPr>
        <w:t>Available abstract (not full text):</w:t>
      </w:r>
      <w:r>
        <w:t xml:space="preserve"> ABSTRACT Aim Oceanic islands host exceptional biodiversity and endemism but are highly vulnerable to biological invasions. We aimed to identify non‐native species with high potential to invade the Canary Islands within the next decade and to prioritise them based on their environmental and socioeconomic risks. Location The Canary Islands, Macaronesia, northeastern Atlantic Ocean. Methods We applied a structured horizon scanning protocol with a global scope. A panel of 37 experts assessed 823 species across five thematic groups (marine species, freshwater animals, terrestrial vertebrates, terrestrial invertebrates and plants) by scoring their likelihood of arrival, establishment and impacts. Impacts were evaluated separately as environmental and socioeconomic. Agreement and consistency among experts were quantified, and two consensus‐based ranked lists were developed. Results Although agreement in expert scores was relatively low, species rankings showed high consistency. A total of 94 species were identified as priorities for prevention based on environmental impacts (12 very high risk, 82 high risk), while 49 species were prioritized for socioeconomic impacts (2 very high, 47 high). Environmental risks were dominated by lizards, snakes and freshwater fish, whereas socioeconomic risks were mainly concentrated on insects. Environmental and socioeconomic impact scores were only w</w:t>
      </w:r>
    </w:p>
    <w:p>
      <w:pPr/>
      <w:r>
        <w:rPr>
          <w:b/>
        </w:rPr>
        <w:t>POSSIBLE 2026:</w:t>
      </w:r>
      <w:r>
        <w:t xml:space="preserve"> Horizon Scanning of Multiple Sclerosis Expenditure in Italy (2025–2029): Updated Insights from the Oracle Model — https://doi.org/10.1007/s40120-026-01042-7</w:t>
      </w:r>
    </w:p>
    <w:p>
      <w:pPr/>
      <w:r>
        <w:rPr>
          <w:b/>
        </w:rPr>
        <w:t>Shared claim-specific concepts:</w:t>
      </w:r>
      <w:r>
        <w:t xml:space="preserve"> horizon, scanning, innovation, each, expected; EU scope visible. This is a provisional connection, not an outcome finding.</w:t>
      </w:r>
    </w:p>
    <w:p>
      <w:pPr>
        <w:pStyle w:val="SourceNote"/>
      </w:pPr>
      <w:r>
        <w:rPr>
          <w:b/>
        </w:rPr>
        <w:t>Available abstract (not full text):</w:t>
      </w:r>
      <w:r>
        <w:t xml:space="preserve"> INTRODUCTION: Multiple sclerosis (MS) is a chronic and progressively disabling neurological disease associated with a substantial clinical and socioeconomic burden. The introduction of an increasing number of new innovative therapies has further intensified concerns regarding the long-term sustainability for the Italian National Healthcare Service (NHS). Despite substantial therapeutic progress in MS management, with several treatments available for most MS patient populations, no definitive cure is currently available, and a critical therapeutic gap persists for non-relapsing secondary progressive MS (NR-SPMS), for which no approved treatments are specifically indicated. The objective of the present research is to estimate the Italian NHS expenditure for MS disease-modifying therapies (DMTs) between 2025 and 2029. METHODS: Building on a published horizon-scanning model (i.e., Oracle), this study updates projections of expenditure and treatment patterns for MS DMTs through 2029, integrating clinical inputs (i.e., treated patients, patient shares for each reimbursed therapy) with economic inputs (i.e., annual therapy costs). Assumptions and input data were derived from IQVIA® proprietary databases and informed by clinical and pharmacoeconomic expert inputs. Results were validated in a multi-stakeholder roundtable. RESULTS: This study shows that the number of treated patients is </w:t>
      </w:r>
    </w:p>
    <w:p>
      <w:pPr/>
      <w:r>
        <w:rPr>
          <w:b/>
        </w:rPr>
        <w:t>POSSIBLE 2025:</w:t>
      </w:r>
      <w:r>
        <w:t xml:space="preserve"> EMA – Eighth European Medicines Agency (EMA) and Medicines for Europe bilateral meeting - 15 December 2025 — https://doi.org/10.58079/15bvb</w:t>
      </w:r>
    </w:p>
    <w:p>
      <w:pPr/>
      <w:r>
        <w:rPr>
          <w:b/>
        </w:rPr>
        <w:t>Shared claim-specific concepts:</w:t>
      </w:r>
      <w:r>
        <w:t xml:space="preserve"> context, medicines, agency; EU scope visible. This is a provisional connection, not an outcome finding.</w:t>
      </w:r>
    </w:p>
    <w:p>
      <w:pPr>
        <w:pStyle w:val="SourceNote"/>
      </w:pPr>
      <w:r>
        <w:rPr>
          <w:b/>
        </w:rPr>
        <w:t>Available abstract (not full text):</w:t>
      </w:r>
      <w:r>
        <w:t xml:space="preserve"> This meeting between European Medicines Agency (EMA) and Medicines for Europe is organised in the context of the EMA annual bilateral meetings with industry stakeholder organisations. The purpose of the meeting is to exchange views and promote dialogue on topics of common interest. More information on the EMA Website.</w:t>
      </w:r>
    </w:p>
    <w:p>
      <w:pPr/>
      <w:r>
        <w:rPr>
          <w:b/>
        </w:rPr>
        <w:t>POSSIBLE 2025:</w:t>
      </w:r>
      <w:r>
        <w:t xml:space="preserve"> Insights from the European Medicines Agency on digital health technology derived endpoints — https://doi.org/10.1016/j.drudis.2025.104388</w:t>
      </w:r>
    </w:p>
    <w:p>
      <w:pPr/>
      <w:r>
        <w:rPr>
          <w:b/>
        </w:rPr>
        <w:t>Shared claim-specific concepts:</w:t>
      </w:r>
      <w:r>
        <w:t xml:space="preserve"> context, medicines, agency; EU scope visible. This is a provisional connection, not an outcome finding.</w:t>
      </w:r>
    </w:p>
    <w:p>
      <w:pPr>
        <w:pStyle w:val="SourceNote"/>
      </w:pPr>
      <w:r>
        <w:rPr>
          <w:b/>
        </w:rPr>
        <w:t>Available abstract (not full text):</w:t>
      </w:r>
      <w:r>
        <w:t xml:space="preserve"> This study evaluates the use of digital health technologies (DHTs) for endpoint measurement in clinical trials, as documented in the Qualification Opinions, Qualification Advice, and Scientific Advice procedures issued by the European Medicines Agency (EMA) between 2013 and 2022. Accelerometers are the most proposed DHTs, followed by glucose monitors and smartphones. Accelerometers are often proposed for nervous system diseases to support mobility measures and objective testing. Most DHTs were proposed for efficacy endpoints. The feedback provided by EMA emphasizes the importance of validation, precision, and a clearly defined context of use. The EMA's recent action plan further supports advancing DHT methodologies in clinical trials.</w:t>
      </w:r>
    </w:p>
    <w:p>
      <w:pPr/>
      <w:r>
        <w:rPr>
          <w:b/>
        </w:rPr>
        <w:t>POSSIBLE 2025:</w:t>
      </w:r>
      <w:r>
        <w:t xml:space="preserve"> Populations Addressed in Vaccines Approved via the European Medicines Agency — https://doi.org/10.1002/cpt.3694</w:t>
      </w:r>
    </w:p>
    <w:p>
      <w:pPr/>
      <w:r>
        <w:rPr>
          <w:b/>
        </w:rPr>
        <w:t>Shared claim-specific concepts:</w:t>
      </w:r>
      <w:r>
        <w:t xml:space="preserve"> medicines, agency; EU scope visible. This is a provisional connection, not an outcome finding.</w:t>
      </w:r>
    </w:p>
    <w:p>
      <w:pPr>
        <w:pStyle w:val="SourceNote"/>
      </w:pPr>
      <w:r>
        <w:rPr>
          <w:b/>
        </w:rPr>
        <w:t>Available abstract (not full text):</w:t>
      </w:r>
      <w:r>
        <w:t xml:space="preserve"> Therapeutic and prophylactic agents require robust evidence before patient use. Randomized controlled trials are essential for evaluating safety and efficacy but often exclude specific populations that are also targets for the intervention. This study assessed which populations are included in vaccine registration studies and/or addressed in label indications, and if special populations are considered at any point in the regulatory life cycle of vaccines approved in the European Union. We analyzed product labels, pivotal studies, risk management plans, and post-authorization studies for all vaccines centrally approved via the European Medicines Agency between 2012 and 2022. For the 31 vaccines approved, we identified 90 pivotal studies supporting initial marketing authorizations and 46 studies supporting product revisions. At the end of our follow-up, 27 vaccines (87%) were approved for adults, 19 (68%) for pediatric patients, 3 (11%) were recommended for pregnant populations, 4 (14%) for breastfeeding populations, and 7 (23%) for immunocompromised populations. Pregnant, breastfeeding, and immunocompromised individuals were rarely included in studies supporting regulatory actions. We observed a slight increase in the inclusion of special populations in post-marketing studies, yet this had limited impact on product indications or information availability on labels. Pivotal studi</w:t>
      </w:r>
    </w:p>
    <w:p>
      <w:pPr/>
      <w:r>
        <w:rPr>
          <w:b/>
        </w:rPr>
        <w:t>POSSIBLE 2025:</w:t>
      </w:r>
      <w:r>
        <w:t xml:space="preserve"> Biomarkers for neurodegenerative diseases in regulatory decision‐making by the European Medicines Agency — https://doi.org/10.1002/trc2.70072</w:t>
      </w:r>
    </w:p>
    <w:p>
      <w:pPr/>
      <w:r>
        <w:rPr>
          <w:b/>
        </w:rPr>
        <w:t>Shared claim-specific concepts:</w:t>
      </w:r>
      <w:r>
        <w:t xml:space="preserve"> context, medicines, agency, early, discussed; EU scope visible. This is a provisional connection, not an outcome finding.</w:t>
      </w:r>
    </w:p>
    <w:p>
      <w:pPr>
        <w:pStyle w:val="SourceNote"/>
      </w:pPr>
      <w:r>
        <w:rPr>
          <w:b/>
        </w:rPr>
        <w:t>Available abstract (not full text):</w:t>
      </w:r>
      <w:r>
        <w:t xml:space="preserve"> INTRODUCTION: Biomarkers (BMs) are valuable tools to facilitate early diagnosis of (subtypes of) diseases, improve patient selection and stratification, and detect therapeutic effects or safety concerns. This study explores the extent to which BMs are utilized in the development of treatments for neurodegenerative diseases (NDDs), as well as topics of discussion regarding BMs in regulatory advice- and decision-making processes and sharing of BM-related data. METHODS: The European Medicines Agency's marketing authorization application (MAA), qualification (QA/QO), and scientific advice (SA) procedures regarding NDDs were screened, and those that mention BMs were analyzed. Data were extracted on the intended disease, BM type, and context of use proposed by applicants. BMs were categorized based on both nature and function. RESULTS: = 33). Imaging BMs were the most common type of BMs discussed, and most BMs were used as pharmacodynamic/response measures. The acceptance and role of BMs differed between AD, PD, MS, and other NDDs. In regulatory procedures for AD, for example, diagnostic BMs guiding patient selection were commonly discussed, whereas in MAAs for MS, imaging BMs (particularly lesions) were generally accepted as supportive/secondary endpoints. DISCUSSION: Despite the established role of certain BMs, mainly imaging BMs for MS, there remains a major need for more precise </w:t>
      </w:r>
    </w:p>
    <w:p>
      <w:pPr>
        <w:pStyle w:val="Heading2"/>
      </w:pPr>
      <w:r>
        <w:t>537. Horizon scanning exercise on preparedness for future risk assessment requirements and possible challenges in regulatory science</w:t>
      </w:r>
    </w:p>
    <w:p>
      <w:pPr>
        <w:pStyle w:val="SourceNote"/>
      </w:pPr>
      <w:r>
        <w:rPr>
          <w:b/>
        </w:rPr>
        <w:t>Original source (2022):</w:t>
      </w:r>
      <w:r>
        <w:t xml:space="preserve"> https://doi.org/10.2903/sp.efsa.2022.en-7297</w:t>
      </w:r>
    </w:p>
    <w:p>
      <w:pPr/>
      <w:r>
        <w:t>Original wording (abstract; indexed_source_text_not_full_document_verified): The horizon scan resulted in a set of recommended actions for the six thematic areas that could contribute in EFSA’s preparedness and in preventing challenges and potential divergences from materialising. The findings of this horizon scanning exercise should not be considered as an indication of the direction that ongoing EU policy initiatives in the food system may take.</w:t>
      </w:r>
    </w:p>
    <w:p>
      <w:pPr/>
      <w:r>
        <w:rPr>
          <w:b/>
        </w:rPr>
        <w:t>POSSIBLE 2026:</w:t>
      </w:r>
      <w:r>
        <w:t xml:space="preserve"> Horizon scanning for potential upcoming invasive alien species in the European Union — https://doi.org/10.3897/aca.9.e202112</w:t>
      </w:r>
    </w:p>
    <w:p>
      <w:pPr/>
      <w:r>
        <w:rPr>
          <w:b/>
        </w:rPr>
        <w:t>Shared claim-specific concepts:</w:t>
      </w:r>
      <w:r>
        <w:t xml:space="preserve"> horizon, resulted, recommended, six, thematic, areas; EU scope visible. This is a provisional connection, not an outcome finding.</w:t>
      </w:r>
    </w:p>
    <w:p>
      <w:pPr>
        <w:pStyle w:val="SourceNote"/>
      </w:pPr>
      <w:r>
        <w:rPr>
          <w:b/>
        </w:rPr>
        <w:t>Available abstract (not full text):</w:t>
      </w:r>
      <w:r>
        <w:t xml:space="preserve"> The EU Biodiversity Strategy for 2030 aims to mitigate the impacts of invasive alien species (IAS) on native biodiversity, by strengthening the implementation of the EU IAS Regulation. A central component of this Regulation is the establishment of a list of IAS of Union concern, which is updated periodically through decisions made by the European Commission and Member States, informed by risk assessments aligning with agreed minimum standards and conducted by the European Commission or the Member States themselves. To support these updates, an EU-level horizon scanning for species that could be considered for listing was undertaken, aiming to identify at least 100 species likely to arrive, establish, spread and have an impact on native biodiversity or ecosystem services within the next ten years. Species were assessed by experts within five thematic groups: plants, marine species, freshwater invertebrates, terrestrial invertebrates, and vertebrates. A long list of relevant species was collated from various sources, such as species lists from global horizon scanning exercises and databases. This longlist was subsequently enriched with information on species occurrence in EU Member States using a data-driven pipeline based on the Global Biodiversity Information Facility. Species with a lack of robust distribution data and widely spread species, defined as occurring in three or mo</w:t>
      </w:r>
    </w:p>
    <w:p>
      <w:pPr/>
      <w:r>
        <w:rPr>
          <w:b/>
        </w:rPr>
        <w:t>POSSIBLE 2026:</w:t>
      </w:r>
      <w:r>
        <w:t xml:space="preserve"> Horizon Scanning of Green Logistics Futures in Central and Eastern Europe: An Economic Perspective — https://doi.org/10.15290/oes.2026.03.125.02</w:t>
      </w:r>
    </w:p>
    <w:p>
      <w:pPr/>
      <w:r>
        <w:rPr>
          <w:b/>
        </w:rPr>
        <w:t>Shared claim-specific concepts:</w:t>
      </w:r>
      <w:r>
        <w:t xml:space="preserve"> horizon, scanning, direction; EU scope visible. This is a provisional connection, not an outcome finding.</w:t>
      </w:r>
    </w:p>
    <w:p>
      <w:pPr>
        <w:pStyle w:val="SourceNote"/>
      </w:pPr>
      <w:r>
        <w:rPr>
          <w:b/>
        </w:rPr>
        <w:t>Available abstract (not full text):</w:t>
      </w:r>
      <w:r>
        <w:t xml:space="preserve"> Purpose | The paper aims to identify key megatrends and economic uncertainties shaping the future development of green logistics in Central and Eastern Europe. It seeks to examine how regulatory, financial, and geopolitical conditions may influence alternative pathways of green logistics transformation in the region. Research method | The study applies a foresight-based research design that combines horizon scanning and scenario analysis. Horizon scanning identifies long-term trends and critical uncertainties affecting green logistics. At the same time, scenario analysis constructs alternative future development paths under different configurations of financing availability, regulatory and geopolitical stability. Results | Green logistics development in Central and Eastern Europe is primarily shaped by economic factors, including access to financing, cost structures, and investment risk, as well as the gradual emergence of circular economy practices within logistics systems. Regulation sets the direction, but funding and institutional uncertainty shape unstable, path-dependent processes of transformation. Originality / value / implications / recommendations | The paper contributes to the literature by framing green logistics as an economically conditioned transformation process rather than a uniform sustainability pathway. The study provides foresight-based insights for policy </w:t>
      </w:r>
    </w:p>
    <w:p>
      <w:pPr/>
      <w:r>
        <w:rPr>
          <w:b/>
        </w:rPr>
        <w:t>POSSIBLE 2026:</w:t>
      </w:r>
      <w:r>
        <w:t xml:space="preserve"> Evaluating international collaboration on horizon scanning for pharmaceuticals: developing key performance indicators for the international horizon scanning initiative — https://doi.org/10.1017/s0266462325103358</w:t>
      </w:r>
    </w:p>
    <w:p>
      <w:pPr/>
      <w:r>
        <w:rPr>
          <w:b/>
        </w:rPr>
        <w:t>Shared claim-specific concepts:</w:t>
      </w:r>
      <w:r>
        <w:t xml:space="preserve"> horizon, areas, potential, scanning, considered; EU scope visible. This is a provisional connection, not an outcome finding.</w:t>
      </w:r>
    </w:p>
    <w:p>
      <w:pPr>
        <w:pStyle w:val="SourceNote"/>
      </w:pPr>
      <w:r>
        <w:rPr>
          <w:b/>
        </w:rPr>
        <w:t>Available abstract (not full text):</w:t>
      </w:r>
      <w:r>
        <w:t xml:space="preserve"> INTRODUCTION: Many European countries independently conduct horizon scanning activities. However, the costs, time, and resources required can be prohibitive. To address this, the International Horizon Scanning Initiative (IHSI) was launched in 2019. IHSI aims to facilitate decision-makers and payers in negotiating fair prices and preparing for potentially disruptive pharmaceuticals. IHSI developed the Joint Horizon Scanning Database, a repository of pharmaceuticals expected to enter the European market, and initiated a series of High Impact Reports (HIRs) to highlight pharmaceuticals that have the potential to significantly impact healthcare systems. This paper outlines the development of key performance indicators (KPIs) that can be used to evaluate IHSI's work. RESULTS: In close collaboration with representatives from IHSI member countries and its Executive Committee, the following KPIs were developed: "Number of IHSI member countries", "Embedding of IHSI in national health technology assessment procedures", "Database coverage", "Data completeness", "Data timeliness", "Accuracy of identifying disruptive pharmaceuticals", "Accuracy of identifying non-disruptive pharmaceuticals", "Use of HIRs in preparing for disruption to the healthcare system", and "Use of HIRs in price negotiations and financial arrangements". Among these, "Accuracy of identifying disruptive pharmaceuticals"</w:t>
      </w:r>
    </w:p>
    <w:p>
      <w:pPr/>
      <w:r>
        <w:rPr>
          <w:b/>
        </w:rPr>
        <w:t>POSSIBLE 2026:</w:t>
      </w:r>
      <w:r>
        <w:t xml:space="preserve"> Horizon scanning for European wild pollinators identifies world-leading legislation as a key opportunity for pollinators — https://doi.org/10.1038/s41598-026-53025-1</w:t>
      </w:r>
    </w:p>
    <w:p>
      <w:pPr/>
      <w:r>
        <w:rPr>
          <w:b/>
        </w:rPr>
        <w:t>Shared claim-specific concepts:</w:t>
      </w:r>
      <w:r>
        <w:t xml:space="preserve"> horizon, scan, contribute, potential, findings, scanning; EU scope visible. This is a provisional connection, not an outcome finding.</w:t>
      </w:r>
    </w:p>
    <w:p>
      <w:pPr>
        <w:pStyle w:val="SourceNote"/>
      </w:pPr>
      <w:r>
        <w:rPr>
          <w:b/>
        </w:rPr>
        <w:t>Available abstract (not full text):</w:t>
      </w:r>
      <w:r>
        <w:t xml:space="preserve"> Wild insect pollinators contribute significantly to agricultural productivity, biodiversity, and ecosystem functioning. Wild pollinators are increasingly affected by multiple interacting stressors. Proactively identifying emerging risks and feasible mitigation strategies will be critical to ensuring the long-term stability of wild pollinators biodiversity and pollination services. We conducted the first continental scale horizon scan focused on wild pollinators in Europe. A structured Delphi-based approach was used to identify emerging issues that may have significant implications for wild pollinators over the coming decade. Ten priority issues were identified, including both potential risks and opportunities. For the first time in a pollinator-focused horizon scan, legislation was identified as a key opportunity, with the European Union Nature Restoration Regulation recognised for its potential to influence pollinator conservation through mandatory restoration and monitoring targets. In contrast, political developments such as the rise of populist parties and post-truth discourse may impede policy implementation. Several issues relating to pesticide use were also identified, including developments in RNA interference technologies and precision application methods, which may reduce non-target impacts if risks are appropriately assessed. These findings provide a foundation for f</w:t>
      </w:r>
    </w:p>
    <w:p>
      <w:pPr/>
      <w:r>
        <w:rPr>
          <w:b/>
        </w:rPr>
        <w:t>POSSIBLE 2026:</w:t>
      </w:r>
      <w:r>
        <w:t xml:space="preserve"> Horizon scan of the clinical development landscape of biosimilar products in the UK and EU — https://doi.org/10.1017/s0266462326103468</w:t>
      </w:r>
    </w:p>
    <w:p>
      <w:pPr/>
      <w:r>
        <w:rPr>
          <w:b/>
        </w:rPr>
        <w:t>Shared claim-specific concepts:</w:t>
      </w:r>
      <w:r>
        <w:t xml:space="preserve"> horizon, scan, scanning; EU scope visible. This is a provisional connection, not an outcome finding.</w:t>
      </w:r>
    </w:p>
    <w:p>
      <w:pPr>
        <w:pStyle w:val="SourceNote"/>
      </w:pPr>
      <w:r>
        <w:rPr>
          <w:b/>
        </w:rPr>
        <w:t>Available abstract (not full text):</w:t>
      </w:r>
      <w:r>
        <w:t xml:space="preserve"> OBJECTIVES: Biosimilars are biological medicines highly similar to an authorized reference medicine, offering substantial cost savings and increased treatment access. Despite the regulatory framework in the UK and EU facilitating their approval, the biosimilar landscape remains small compared to small-molecule drugs. This study provides a horizon scanning overview of the current biosimilar landscape, procured through horizon scanning activities. METHODS: Data were sourced from ClinicalTrials.gov and the EU Clinical Trials Register, scanned monthly to identify innovative medicines in clinical development. We included biosimilars identified through horizon scanning from April 2017 to February 2025. Supplementary data were collected from the European Medicines Agency to ascertain approval status, and additional clinical trial information was manually extracted from relevant registries. RESULTS: We identified 156 unique biosimilars developed across 174 clinical trials, with sixty-four approved by the MHRA and seventy-eight by the European Medicines Agency. Adalimumab, bevacizumab, and denosumab were the reference products with the most biosimilars in development. Most biosimilar trials were at phase III. There are seventy-one biosimilars in active development. CONCLUSIONS: The development landscape of biosimilars in the UK and EU show high activity levels. Continuous improvements i</w:t>
      </w:r>
    </w:p>
    <w:p>
      <w:pPr/>
      <w:r>
        <w:rPr>
          <w:b/>
        </w:rPr>
        <w:t>POSSIBLE 2026:</w:t>
      </w:r>
      <w:r>
        <w:t xml:space="preserve"> A global review of horizon scanning exercises for invasive alien species — https://doi.org/10.3897/aca.9.e202375</w:t>
      </w:r>
    </w:p>
    <w:p>
      <w:pPr/>
      <w:r>
        <w:rPr>
          <w:b/>
        </w:rPr>
        <w:t>Shared claim-specific concepts:</w:t>
      </w:r>
      <w:r>
        <w:t xml:space="preserve"> horizon, challenges, potential, scanning; EU scope visible. This is a provisional connection, not an outcome finding.</w:t>
      </w:r>
    </w:p>
    <w:p>
      <w:pPr>
        <w:pStyle w:val="SourceNote"/>
      </w:pPr>
      <w:r>
        <w:rPr>
          <w:b/>
        </w:rPr>
        <w:t>Available abstract (not full text):</w:t>
      </w:r>
      <w:r>
        <w:t xml:space="preserve"> Invasive alien species (IAS) are a major driver of global biodiversity loss, generating substantial ecological, economic and social impacts. Prevention and early intervention are widely recognised as being more cost‑effective than long‑term management. As a result, IAS policy frameworks increasingly rely on predictive strategies and tools to guide prioritisation. Horizon scanning has emerged as a key approach, providing structured, forward‑looking assessments of IAS that are likely to arrive in a new area in the near future, establish invasive populations and cause harm. Despite widespread uptake of the method, there has, to our knowledge, been no global synthesis of how IAS horizon scanning exercises are conducted, how methodologies are developed, and what their potential policy implications are. Here, we present a global review of over 50 IAS horizon scanning exercises undertaken up to 2026, drawing on published and grey literature. We examine how horizon scans were designed across multiple taxonomic groups, geographic scales, regions and environments, evaluate their underlying objectives, such as informing policy and biosecurity, and review their recommendations. Our review shows that the number of horizon scans has been steadily increasing in recent years. Across the horizon scanning literature, terrestrial and freshwater environments were more frequently represented than m</w:t>
      </w:r>
    </w:p>
    <w:p>
      <w:pPr/>
      <w:r>
        <w:rPr>
          <w:b/>
        </w:rPr>
        <w:t>POSSIBLE 2026:</w:t>
      </w:r>
      <w:r>
        <w:t xml:space="preserve"> Scientific foundations of Horizon Scanning methodology for early signal identification in healthcare — https://doi.org/10.32352/0367-3057.3.26.03</w:t>
      </w:r>
    </w:p>
    <w:p>
      <w:pPr/>
      <w:r>
        <w:rPr>
          <w:b/>
        </w:rPr>
        <w:t>Shared claim-specific concepts:</w:t>
      </w:r>
      <w:r>
        <w:t xml:space="preserve"> horizon, contribute, potential, findings, scanning; EU scope visible. This is a provisional connection, not an outcome finding.</w:t>
      </w:r>
    </w:p>
    <w:p>
      <w:pPr>
        <w:pStyle w:val="SourceNote"/>
      </w:pPr>
      <w:r>
        <w:rPr>
          <w:b/>
        </w:rPr>
        <w:t>Available abstract (not full text):</w:t>
      </w:r>
      <w:r>
        <w:t xml:space="preserve"> The article presents a systematic analysis of contemporary international approaches to the application of Horizon Scanning (HS) methodology in healthcare and the pharmaceutical sector. The relevance of the study is driven by the increasing importance of early identification of innovative medical technologies in strategic planning, budget forecasting, and managerial decision-making processes. The aim of the study is to generalize international experience in the functioning of Horizon Scanning systems and to identify structural elements with potential for implementation in Ukraine. The research was conducted as a systematic literature review in accordance with PRISMA 2020 guidelines. The search was performed in the PubMed database covering the period 2019–2025. A total of 288 publications were identified in the initial search, and after a two-stage screening process, 128 sources were included in the qualitative analysis. The findings indicate that Horizon Scanning has evolved from a tool for early identification of pharmaceuticals into an integrated mechanism for strategic innovation management. It was determined that contemporary Horizon Scanning models are based on a staged process that includes signal identification, filtering, prioritization, impact assessment, and the use of results in decision-making. The authors identified the common features of international models, inclu</w:t>
      </w:r>
    </w:p>
    <w:p>
      <w:pPr/>
      <w:r>
        <w:rPr>
          <w:b/>
        </w:rPr>
        <w:t>POSSIBLE 2026:</w:t>
      </w:r>
      <w:r>
        <w:t xml:space="preserve"> Horizon Scanning 2025 Results of the EEA – Eionet participatory horizon scan to identify emerging issues relevant to sustainable consumption &amp; production — https://doi.org/10.5281/zenodo.22808836</w:t>
      </w:r>
    </w:p>
    <w:p>
      <w:pPr/>
      <w:r>
        <w:rPr>
          <w:b/>
        </w:rPr>
        <w:t>Shared claim-specific concepts:</w:t>
      </w:r>
      <w:r>
        <w:t xml:space="preserve"> horizon, scan, areas, challenges, potential, scanning; EU scope visible. This is a provisional connection, not an outcome finding.</w:t>
      </w:r>
    </w:p>
    <w:p>
      <w:pPr>
        <w:pStyle w:val="SourceNote"/>
      </w:pPr>
      <w:r>
        <w:rPr>
          <w:b/>
        </w:rPr>
        <w:t>Available abstract (not full text):</w:t>
      </w:r>
      <w:r>
        <w:t xml:space="preserve"> This Horizon Scanning report addresses emerging issues influencing sustainable consumption and production in Europe over the coming decades. Recognising rapid changes in global supply chains, digital platforms, social practices, and geopolitical conditions, the report seeks to identify early signals of change that may drive systemic transformations. It highlights the accelerating pace of innovation and the shifting societal dynamics challenging existing environmental policies and governance frameworks, emphasising the need for anticipatory and integrated policy responses. The report explores emerging issues on consumption through the lens of human behaviour, neuroscience, and market dynamics, revealing how digital environments and the attention economy intensify consumption patterns, sometimes fostering addictive behaviours and excess. It unpacks the acceleration of product lifecycles, driven by technological advances and changing competitive pressures, alongside growing ethical and environmental concerns about unchecked innovation in areas such as artificial intelligence, biotechnology, and space travel. The report draws attention to the widening gap between innovation speed and regulatory capacity, with potential related risks of undermining sustainable development goals. Production-related emerging issues include Europe's quest for strategic autonomy in critical raw material</w:t>
      </w:r>
    </w:p>
    <w:p>
      <w:pPr/>
      <w:r>
        <w:rPr>
          <w:b/>
        </w:rPr>
        <w:t>POSSIBLE 2026:</w:t>
      </w:r>
      <w:r>
        <w:t xml:space="preserve"> Horizon scanning at EMA: preparing for the medicines of the future — https://doi.org/10.3389/fmed.2026.1800213</w:t>
      </w:r>
    </w:p>
    <w:p>
      <w:pPr/>
      <w:r>
        <w:rPr>
          <w:b/>
        </w:rPr>
        <w:t>Shared claim-specific concepts:</w:t>
      </w:r>
      <w:r>
        <w:t xml:space="preserve"> horizon, preparedness, challenges, scanning; EU scope visible. This is a provisional connection, not an outcome finding.</w:t>
      </w:r>
    </w:p>
    <w:p>
      <w:pPr>
        <w:pStyle w:val="SourceNote"/>
      </w:pPr>
      <w:r>
        <w:rPr>
          <w:b/>
        </w:rPr>
        <w:t>Available abstract (not full text):</w:t>
      </w:r>
      <w:r>
        <w:t xml:space="preserve"> This article provides insights into the European Medicines Agency's approach to horizon scanning as a foresight tool to support early identification, analysis and preparedness for emerging trends, technologies and challenges relevant to medicines development and authorization. Emerging topics are identified through a continuous scanning of several sources of information, including key trends identified by leading institutions such as the World Health Organization, the European Commission Joint Research Centre, and the European Innovation Council. This perspective sets out the scope, impact and outputs of horizon scanning within the European medicines regulatory network, which include topic-specific reports, collaborative workshops and webinars, and contributions to regulatory policy, strategic planning, capacity building and research prioritization. It also emphasizes the European medicines regulatory network's commitment to collaboration and knowledge sharing across European and international organizations. Through these efforts, horizon scanning supports regulatory preparedness and resilience of the European medicines regulatory system.</w:t>
      </w:r>
    </w:p>
    <w:p>
      <w:pPr/>
      <w:r>
        <w:rPr>
          <w:b/>
        </w:rPr>
        <w:t>POSSIBLE 2026:</w:t>
      </w:r>
      <w:r>
        <w:t xml:space="preserve"> Assessing the success of a horizon scanning approach in predicting invasive non-native species — https://openalex.org/W7114593291</w:t>
      </w:r>
    </w:p>
    <w:p>
      <w:pPr/>
      <w:r>
        <w:rPr>
          <w:b/>
        </w:rPr>
        <w:t>Shared claim-specific concepts:</w:t>
      </w:r>
      <w:r>
        <w:t xml:space="preserve"> horizon, scan, preventing, scanning, exercise; EU scope visible. This is a provisional connection, not an outcome finding.</w:t>
      </w:r>
    </w:p>
    <w:p>
      <w:pPr>
        <w:pStyle w:val="SourceNote"/>
      </w:pPr>
      <w:r>
        <w:rPr>
          <w:b/>
        </w:rPr>
        <w:t>Available abstract (not full text):</w:t>
      </w:r>
      <w:r>
        <w:t xml:space="preserve"> Despite increasing awareness of invasive non-native species (INNS) and enhanced biosecurity controls in many countries, INNS are still arriving and establishing in new destinations, remaining a globally acknowledged threat to native biodiversity. Preventing the introduction of INNS, as opposed to managing them once they have arrived, is recognised as the most effective approach to their management. Horizon scanning represents one of the key tools to identify high-risk INNS that are yet to arrive within a region and has been applied in many contexts around the world, but to date there have been no studies that systematically assess the effectiveness of this approach. Here, we revisit the horizon scan for Great Britain conducted in 2013 that assessed the likelihood of high-risk INNS arriving within the next ten years, establishing and having an impact on biodiversity and ecosystems. We assess the success of this exercise in predicting arrival of these species within the subsequent ten years. Ninety-two species were shortlisted in the 2013 horizon scan. Overall, 31 of the 92 species identified in the 2013 horizon scan have arrived by 2023. We found that 12 of the top 20 species had arrived within ten years. In predicting arrival, there was a significant effect of arrival previously within Great Britain, and the number of countries in Western Europe and Baltic countries in which an</w:t>
      </w:r>
    </w:p>
    <w:p>
      <w:pPr/>
      <w:r>
        <w:rPr>
          <w:b/>
        </w:rPr>
        <w:t>POSSIBLE 2026:</w:t>
      </w:r>
      <w:r>
        <w:t xml:space="preserve"> Multiple introductions of invasive alien species on a Mediterranean Island predicted by horizon scanning — https://doi.org/10.1007/s10530-025-03729-8</w:t>
      </w:r>
    </w:p>
    <w:p>
      <w:pPr/>
      <w:r>
        <w:rPr>
          <w:b/>
        </w:rPr>
        <w:t>Shared claim-specific concepts:</w:t>
      </w:r>
      <w:r>
        <w:t xml:space="preserve"> horizon, scan, scanning, ongoing; EU scope visible. This is a provisional connection, not an outcome finding.</w:t>
      </w:r>
    </w:p>
    <w:p>
      <w:pPr>
        <w:pStyle w:val="SourceNote"/>
      </w:pPr>
      <w:r>
        <w:rPr>
          <w:b/>
        </w:rPr>
        <w:t>Available abstract (not full text):</w:t>
      </w:r>
      <w:r>
        <w:t xml:space="preserve"> Abstract In 2017 and 2019 two horizon scan workshops were undertaken for the island of Cyprus, which focused on making predictions about the invasive alien species (IAS) most likely to arrive and impact biodiversity, human health and the economy. Herein, we assess the species lists derived from these two horizon scans and consider the accuracy of the predictions so far. In less than ten years, 26 new IAS were found in Cyprus, 10 out of which were predicted to arrive by the horizon scans. Eight introduced IAS were ranked as high risk during the horizon scanning process. Horizon scanning helped raise awareness amongst the authorities, scientists and the public, leading in some cases to a rapid response by the competent authorities to control the arrival. We conclude that horizon scanning is a useful process that can inform contingency planning and action. Furthermore, it facilitates communication between IAS experts, policy makers and society, encouraging active engagement and raising awareness regarding the importance of early warning, rapid response and management of IAS. We propose that the horizon scanning process for the island of Cyprus is repeated regularly, recognizing the ongoing increase in the number of new IAS arriving year on year.</w:t>
      </w:r>
    </w:p>
    <w:p>
      <w:pPr/>
      <w:r>
        <w:rPr>
          <w:b/>
        </w:rPr>
        <w:t>POSSIBLE 2026:</w:t>
      </w:r>
      <w:r>
        <w:t xml:space="preserve"> Wetland bird conservation: Insights from a horizon scan across Atlantic Europe — https://doi.org/10.1016/j.biocon.2026.111974</w:t>
      </w:r>
    </w:p>
    <w:p>
      <w:pPr/>
      <w:r>
        <w:rPr>
          <w:b/>
        </w:rPr>
        <w:t>Shared claim-specific concepts:</w:t>
      </w:r>
      <w:r>
        <w:t xml:space="preserve"> horizon, scan, not; EU scope visible. This is a provisional connection, not an outcome finding.</w:t>
      </w:r>
    </w:p>
    <w:p>
      <w:pPr>
        <w:pStyle w:val="SourceNote"/>
      </w:pPr>
      <w:r>
        <w:rPr>
          <w:b/>
        </w:rPr>
        <w:t>Available abstract (not full text):</w:t>
      </w:r>
      <w:r>
        <w:t xml:space="preserve"> The conservation of wetland and wet-grassland birds remains a major challenge across Europe. This challenge is driven by compounding pressures from agricultural intensification, habitat degradation, climate change, and governance constraints. Effective conservation outcomes depend not only on ecological knowledge but also on governance and implementation. Consequently, understanding practitioner perspectives is vital for informing the development of effective conservation strategies. To synthesize practitioner perspectives, we conducted a Horizon Scan survey across eight Atlantic European countries (Germany, the Netherlands, Belgium, France, Spain, Portugal, the United Kingdom, and Ireland), engaging 176 conservation professionals. Using a combination of dictionary-based text analysis, term frequency assessment, and keyness analysis, we evaluated perceived strengths, weaknesses, opportunities, and threats (SWOT) for wetland and wet-grassland bird conservation. Habitat management emerged as a unifying and cross-cutting theme across all countries and SWOT categories, while agriculture was predominantly framed as a weakness or threat, except in the Netherlands where it was also associated with opportunities. Climate change and predation were consistently identified as escalating threats, whereas research and monitoring capacity showed strong national disparities, opposing for exam</w:t>
      </w:r>
    </w:p>
    <w:p>
      <w:pPr>
        <w:pStyle w:val="Heading2"/>
      </w:pPr>
      <w:r>
        <w:t>538. How Sustainable Development Goals interlinkages influence European Union countries’ progress towards the 2030 Agenda</w:t>
      </w:r>
    </w:p>
    <w:p>
      <w:pPr>
        <w:pStyle w:val="SourceNote"/>
      </w:pPr>
      <w:r>
        <w:rPr>
          <w:b/>
        </w:rPr>
        <w:t>Original source (2022):</w:t>
      </w:r>
      <w:r>
        <w:t xml:space="preserve"> https://doi.org/10.1002/sd.2290</w:t>
      </w:r>
    </w:p>
    <w:p>
      <w:pPr/>
      <w:r>
        <w:t>Original wording (abstract; indexed_source_text_not_full_document_verified): While it is evident that trade‐offs between the 2030 Agenda's objectives might prevent countries from achieving all 17 SDGs simultaneously, the extent to which interactions (synergies and trade‐offs) between the goals facilitate or hinder countries' progress towards achieving the 2030 Agenda has so far received little attention. In order to achieve the SDGs by 2030, it is thus crucial to not only exploit synergies between the goals but also to overcome trade‐offs.</w:t>
      </w:r>
    </w:p>
    <w:p>
      <w:pPr/>
      <w:r>
        <w:rPr>
          <w:b/>
        </w:rPr>
        <w:t>POSSIBLE 2026:</w:t>
      </w:r>
      <w:r>
        <w:t xml:space="preserve"> Digital trade in Africa : a research agenda — https://doi.org/10.2870/8695379</w:t>
      </w:r>
    </w:p>
    <w:p>
      <w:pPr/>
      <w:r>
        <w:rPr>
          <w:b/>
        </w:rPr>
        <w:t>Shared claim-specific concepts:</w:t>
      </w:r>
      <w:r>
        <w:t xml:space="preserve"> trade, between, agenda, countries; EU scope not established. This is a provisional connection, not an outcome finding.</w:t>
      </w:r>
    </w:p>
    <w:p>
      <w:pPr>
        <w:pStyle w:val="SourceNote"/>
      </w:pPr>
      <w:r>
        <w:rPr>
          <w:b/>
        </w:rPr>
        <w:t>Available abstract (not full text):</w:t>
      </w:r>
      <w:r>
        <w:t xml:space="preserve"> Africa’s digital economy is poised for significant growth, driven by initiatives like the recently adopted Digital Trade Protocol under the African Continental Free Trade Area (AfCFTA), which aims to reduce trade barriers and enhance regional integration. However, persistent challenges – including infrastructure deficits, regulatory inconsistencies, and the digital divide between countries – must be addressed to promote digital trade in the African continent. This book seeks to identify key research gaps and shape a forward-looking research agenda to support the creation of a single digital market in Africa. It consists of four sections covering infrastructure, competitiveness, the implementation of the AfCFTA, and cross-cutting issues, and it is a scholarly resource for academics and practitioners examining digital trade in the African context, as well as for policy-makers engaged in the design and implementation of a continental digital area capable of catalysing Africa’s economic growth.</w:t>
      </w:r>
    </w:p>
    <w:p>
      <w:pPr/>
      <w:r>
        <w:rPr>
          <w:b/>
        </w:rPr>
        <w:t>POSSIBLE 2026:</w:t>
      </w:r>
      <w:r>
        <w:t xml:space="preserve"> ‘EASE OF TRADE’ AND ‘EASE OF PAYING TAXES’: VOICING THE CONCERNS OF TRADE FACILITATION AGENDA THROUGH ‘GOODS AND SERVICES TAX’ PARADIGM IN INDIA — https://doi.org/10.69953/ijlsr.v7i1.692</w:t>
      </w:r>
    </w:p>
    <w:p>
      <w:pPr/>
      <w:r>
        <w:rPr>
          <w:b/>
        </w:rPr>
        <w:t>Shared claim-specific concepts:</w:t>
      </w:r>
      <w:r>
        <w:t xml:space="preserve"> trade, agenda, objectives; EU scope not established. This is a provisional connection, not an outcome finding.</w:t>
      </w:r>
    </w:p>
    <w:p>
      <w:pPr>
        <w:pStyle w:val="SourceNote"/>
      </w:pPr>
      <w:r>
        <w:rPr>
          <w:b/>
        </w:rPr>
        <w:t>Available abstract (not full text):</w:t>
      </w:r>
      <w:r>
        <w:t xml:space="preserve"> The World Bank’s ‘Ease of Doing Business’ report cards of the Indian Economy create a dilapidated imprint of India’s trade ecosystem on the world map owing to numerous factors. Amidst this, two watershed developments in the history of India’s national and international front i.e., India’s recent signing of the Trade Facilitation Agreement as well as the successful promulgation of the law on creating a unified indirect tax system in India, can be seen as life boats. The idea of the paper is to study these two events in connection with each other, whereas at the same time finding out the various horizons of opportunities and the hues of challenges which India would have to face yet embrace in reaching out to the core objectives of these two ‘movements’. In the paper, the authors contend that the cumulative long-term impact of the marriage of these two events is going to be economically enduring.</w:t>
      </w:r>
    </w:p>
    <w:p>
      <w:pPr/>
      <w:r>
        <w:rPr>
          <w:b/>
        </w:rPr>
        <w:t>POSSIBLE 2026:</w:t>
      </w:r>
      <w:r>
        <w:t xml:space="preserve"> The Problem of Digital Trade Regulation: Silences Regarding Labour and Their Potential Disruption by a Sustainability Agenda — https://doi.org/10.60082/2819-2567.1136</w:t>
      </w:r>
    </w:p>
    <w:p>
      <w:pPr/>
      <w:r>
        <w:rPr>
          <w:b/>
        </w:rPr>
        <w:t>Shared claim-specific concepts:</w:t>
      </w:r>
      <w:r>
        <w:t xml:space="preserve"> trade, agenda, objectives; EU scope not established. This is a provisional connection, not an outcome finding.</w:t>
      </w:r>
    </w:p>
    <w:p>
      <w:pPr>
        <w:pStyle w:val="SourceNote"/>
      </w:pPr>
      <w:r>
        <w:rPr>
          <w:b/>
        </w:rPr>
        <w:t>Available abstract (not full text):</w:t>
      </w:r>
      <w:r>
        <w:t xml:space="preserve"> The growing impact of digital trade on work in global supply chains is readily detectable but there are curious regulatory silences on labour-related issues. The key problem identified in digital trade law is national obstruction to the free flow of data needed to promote online ordering and delivery of goods and services. In comparison, the concerns of those whose work is constitutive of digital trade, such as platform workers, are largely overlooked. Arguably, provisions often found in trade agreements relating to digital privacy and the effects of algorithmic management could be utilised by those at work. However, there remain uncertainties regarding their scope and therefore their effect on labour markets. Meanwhile, other labour-related issues concerning migration have not even entered the digital trade governance discourse. The case for addressing these silences is presented here, alongside exploration of the potential for a sustainability agenda to disrupt and reshape this representation of the digital trade problem. In this respect, reference to “digital inclusion” in trade agreements indicates that no one should be left behind, including those in the world of work. Sustainability objectives can also be linked to digital product passports, traceability initiatives which could address breaches of fundamental international labour standards associated with production and d</w:t>
      </w:r>
    </w:p>
    <w:p>
      <w:pPr/>
      <w:r>
        <w:rPr>
          <w:b/>
        </w:rPr>
        <w:t>POSSIBLE 2026:</w:t>
      </w:r>
      <w:r>
        <w:t xml:space="preserve"> Trade‐Offs in Sustainable Development? The Relationship Between the Sustainable Development Goals and Circular Economy Outcomes in the European Union — https://doi.org/10.1002/sd.71766</w:t>
      </w:r>
    </w:p>
    <w:p>
      <w:pPr/>
      <w:r>
        <w:rPr>
          <w:b/>
        </w:rPr>
        <w:t>Shared claim-specific concepts:</w:t>
      </w:r>
      <w:r>
        <w:t xml:space="preserve"> trade, offs, between, countries, goals, progress; EU scope visible. This is a provisional connection, not an outcome finding.</w:t>
      </w:r>
    </w:p>
    <w:p>
      <w:pPr>
        <w:pStyle w:val="SourceNote"/>
      </w:pPr>
      <w:r>
        <w:rPr>
          <w:b/>
        </w:rPr>
        <w:t>Available abstract (not full text):</w:t>
      </w:r>
      <w:r>
        <w:t xml:space="preserve"> ABSTRACT Countries around the world have committed to a range of sustainable development initiatives aimed at advancing the Sustainable Development Goals and promoting the circular economy. However, the implementation of these sustainability initiatives entails substantial costs and resource requirements which may result in potential trade‐offs. We examine these sustainability trade‐offs by focusing on the relationship between the Sustainable Development Goals and the circular economy. Drawing on a panel dataset of European Union member states spanning 2009–2021, we find that progress on the Sustainable Development Goals is negatively associated with circular economy outcomes, indicating potential trade‐offs between these major sustainability initiatives. Furthermore, we find that strong environmental policy settings within ruling governments, higher levels of government spending, and greater trade freedom positively moderate the relationship between the Sustainable Development Goals and circular economy outcomes, thereby reducing sustainability trade‐offs. The findings of this study contribute to extant theory and have implications for policymakers.</w:t>
      </w:r>
    </w:p>
    <w:p>
      <w:pPr/>
      <w:r>
        <w:rPr>
          <w:b/>
        </w:rPr>
        <w:t>POSSIBLE 2026:</w:t>
      </w:r>
      <w:r>
        <w:t xml:space="preserve"> The Safe Guardian of Europe : A Critical Discourse Analysis of the European Commission's Geopolitical Actorness and Enlargement Agenda — https://openalex.org/W7212332556</w:t>
      </w:r>
    </w:p>
    <w:p>
      <w:pPr/>
      <w:r>
        <w:rPr>
          <w:b/>
        </w:rPr>
        <w:t>Shared claim-specific concepts:</w:t>
      </w:r>
      <w:r>
        <w:t xml:space="preserve"> agenda, countries, goals, achieve; EU scope visible. This is a provisional connection, not an outcome finding.</w:t>
      </w:r>
    </w:p>
    <w:p>
      <w:pPr>
        <w:pStyle w:val="SourceNote"/>
      </w:pPr>
      <w:r>
        <w:rPr>
          <w:b/>
        </w:rPr>
        <w:t>Available abstract (not full text):</w:t>
      </w:r>
      <w:r>
        <w:t xml:space="preserve"> This research analyses how the European Commission uses 13 press releases and political guidelines as institutional instruments to advocate its own agenda, presenting itself as a rational actor that uses different powers to achieve its political goals and enhance its own actorness. The transition from technocratic rhetoric demonstrates that enlargement is no longer seen merely as a technical process, but as a ‘geopolitical imperative’ that requires urgent action. The Commission clearly demands that the candidate states follow strict ‘merit-based criteria’, which illustrates its strong actorness. Furthermore, existential discourses such as ‘History is calling once again’ create an image of urgency, suggesting that the EU must make radical changes to enlarge the Union and strengthen its actorness. This research introduces the author’s own conceptualization that the Commission acts as a ‘safe guardian’ of Europe, which advocates the enlargement agenda as a necessity to maintain the EU's position in global politics. By applying a realist-constructivist framework and Critical Discourse Analysis (CDA)—where the Commission is not merely seen as a normative and altruistic humanitarian actor, nor solely focused on candidate countries—this research reveals how the European Commission is actively evolving its own actorness in times of crisis.</w:t>
      </w:r>
    </w:p>
    <w:p>
      <w:pPr/>
      <w:r>
        <w:rPr>
          <w:b/>
        </w:rPr>
        <w:t>POSSIBLE 2026:</w:t>
      </w:r>
      <w:r>
        <w:t xml:space="preserve"> Trade induced extinction risk footprints by European financial institutions — https://doi.org/10.1038/s41598-026-58778-3</w:t>
      </w:r>
    </w:p>
    <w:p>
      <w:pPr/>
      <w:r>
        <w:rPr>
          <w:b/>
        </w:rPr>
        <w:t>Shared claim-specific concepts:</w:t>
      </w:r>
      <w:r>
        <w:t xml:space="preserve"> trade, countries, all, far; EU scope visible. This is a provisional connection, not an outcome finding.</w:t>
      </w:r>
    </w:p>
    <w:p>
      <w:pPr>
        <w:pStyle w:val="SourceNote"/>
      </w:pPr>
      <w:r>
        <w:rPr>
          <w:b/>
        </w:rPr>
        <w:t>Available abstract (not full text):</w:t>
      </w:r>
      <w:r>
        <w:t xml:space="preserve"> Biodiversity loss is increasingly recognized as a source of systemic financial risk. The financial sector enables economic activities that exert pressure on ecosystems, sometimes far from where capital is held, so institutions in one region can enable biodiversity loss elsewhere by financing seemingly harmless sectors with value-chain links to harmful activities. We establish a novel correspondence matrix linking 104 environmental pressures to 124 IUCN biodiversity threats, and combine it with the GLORIA input-output model to quantify species extinction-risk for 164 countries. Particulate matter, land-use change, and nitrogenous gases are the most damaging pressures, exerted mainly by agriculture, manufacturing, and construction. Seventy-four countries are net importers of extinction risk and twenty-three net exporters; all twelve European countries analysed are importers, with approximately 40% of their financial assets linked to extinction-risk sectors. Because these pressures are so embedded in production, a 1% reduction in the extinction-risk footprint propagates almost one-for-one through the economy: output falls by about 0.88% on average, while firms' capacity to service debt weakens as revenues drop but interest obligations hold fixed. This exposes how structurally dependent financial systems are on nature-harming activity, supporting efforts to disclose and reduce hold</w:t>
      </w:r>
    </w:p>
    <w:p>
      <w:pPr/>
      <w:r>
        <w:rPr>
          <w:b/>
        </w:rPr>
        <w:t>POSSIBLE 2025:</w:t>
      </w:r>
      <w:r>
        <w:t xml:space="preserve"> Thinking in trade-offs — https://openalex.org/W7134102523</w:t>
      </w:r>
    </w:p>
    <w:p>
      <w:pPr/>
      <w:r>
        <w:rPr>
          <w:b/>
        </w:rPr>
        <w:t>Shared claim-specific concepts:</w:t>
      </w:r>
      <w:r>
        <w:t xml:space="preserve"> between, objectives, all, progress; EU scope not established. This is a provisional connection, not an outcome finding.</w:t>
      </w:r>
    </w:p>
    <w:p>
      <w:pPr>
        <w:pStyle w:val="SourceNote"/>
      </w:pPr>
      <w:r>
        <w:rPr>
          <w:b/>
        </w:rPr>
        <w:t>Available abstract (not full text):</w:t>
      </w:r>
      <w:r>
        <w:t xml:space="preserve"> Every day, people face decisions that involve multiple, often conflicting objectives: balancing cost against quality, safety against speed, or personal benefit against social responsibility.These trade-offs rarely admit a single "right" answer, and they become even more challenging when other decision-makers are involved.Reinforcement learning offers a powerful framework for constructing artificial agents that act autonomously in complex, uncertain environments, learning through trial and error how to make effective decisions.Yet, most existing approaches focus on a single objective, assuming away the trade-offs that are intrinsic to real decision-making.This thesis addresses that gap directly.Its central theme is how to design agents that can think in trade-offs, that is, agents that can reason about multiple objectives and act optimally under uncertainty.The contributions unfold in three parts that build on one another.First, we bridge singleand multi-objective reinforcement learning by showing how decomposition techniques allow well-established single-objective methods to be extended to learning the Pareto front, a classical solution set that captures efficient trade-offs for certain decision-makers.Building on this foundation, we then introduce and analyse alternative solution concepts that more directly reflect decision-makers' preferences, developing rigorous theoretical </w:t>
      </w:r>
    </w:p>
    <w:p>
      <w:pPr/>
      <w:r>
        <w:rPr>
          <w:b/>
        </w:rPr>
        <w:t>POSSIBLE 2025:</w:t>
      </w:r>
      <w:r>
        <w:t xml:space="preserve"> Family matters: the role of trade-offs in shaping human life-histories and health — https://doi.org/10.33612/diss.1419980082</w:t>
      </w:r>
    </w:p>
    <w:p>
      <w:pPr/>
      <w:r>
        <w:rPr>
          <w:b/>
        </w:rPr>
        <w:t>Shared claim-specific concepts:</w:t>
      </w:r>
      <w:r>
        <w:t xml:space="preserve"> evident, between, all, little; EU scope visible. This is a provisional connection, not an outcome finding.</w:t>
      </w:r>
    </w:p>
    <w:p>
      <w:pPr>
        <w:pStyle w:val="SourceNote"/>
      </w:pPr>
      <w:r>
        <w:rPr>
          <w:b/>
        </w:rPr>
        <w:t>Available abstract (not full text):</w:t>
      </w:r>
      <w:r>
        <w:t xml:space="preserve"> All organisms are born and die, but the parts in between are incredibly varied. Evolutionary life-history theory tells us that this diversity across species is partly shaped by trade-offs, because organisms cannot, for example, maximize both their reproduction and lifespan. However, how well these trade-offs shape some of the most important outcomes in our own lives, such as how long we live for, is less well understood. To this end, I applied a diversity of approaches to data from three unique human datasets. First, using Swiss historical data, I found little evidence for these life-history trade-offs limiting overall family sizes, despite the high birth-rates present in this preindustrial population and no strong findings of cooperation amongst siblings. However, analyzing historical data from Finland suggested that family size may trade-off against a mother’s own lifespan, at least during challenging environmental conditions, revealing one potential factor shaping human lifespan. Whether these trade-offs remain important in more contemporary populations was less evident. Using European genomic data, I found that genetic factors shaping time to maturity and first childbirth, and fertility were not associated with genetic predispositions to breast cancer, suggesting that life-history trade-offs have not led to genes underlying this particular disease. More work must be done to</w:t>
      </w:r>
    </w:p>
    <w:p>
      <w:pPr/>
      <w:r>
        <w:rPr>
          <w:b/>
        </w:rPr>
        <w:t>POSSIBLE 2025:</w:t>
      </w:r>
      <w:r>
        <w:t xml:space="preserve"> Navigating trade-offs: Energy dependency, geopolitical shocks, and sustainability in European parliamentary debates — https://doi.org/10.1016/j.erss.2025.104198</w:t>
      </w:r>
    </w:p>
    <w:p>
      <w:pPr/>
      <w:r>
        <w:rPr>
          <w:b/>
        </w:rPr>
        <w:t>Shared claim-specific concepts:</w:t>
      </w:r>
      <w:r>
        <w:t xml:space="preserve"> between, objectives, countries, sdgs, goals, attention; EU scope visible. This is a provisional connection, not an outcome finding.</w:t>
      </w:r>
    </w:p>
    <w:p>
      <w:pPr>
        <w:pStyle w:val="SourceNote"/>
      </w:pPr>
      <w:r>
        <w:rPr>
          <w:b/>
        </w:rPr>
        <w:t>Available abstract (not full text):</w:t>
      </w:r>
      <w:r>
        <w:t xml:space="preserve"> This study examines the evolution of energy and sustainability debates in European parliaments from 2014 to 2022, focusing on how national energy dependency moderates responses to geopolitical shocks, specifically, the Russian invasion of Ukraine. The research uses quantitative text analysis via the BERTopic model to compare the allocation of parliamentary attention between immediate energy security concerns and long-term sustainability objectives. The analysis finds that, following the escalation of the conflict, countries with a higher reliance on imported energy allocate a comparatively smaller share of their debates to sustainability issues, as evidenced by decreased legislative engagement with the Sustainable Development Goals. This pattern suggests that structural vulnerabilities in energy supply might restrict legislative capacity to uphold long-term sustainability commitments as short-term security imperatives increase. It highlights the importance of policy approaches that effectively combine immediate energy security measures with long-term sustainability strategies to strengthen national resilience. • EU parliamentary debates reveal energy security vs. sustainability trade-offs. • Energy dependency moderates sustainability legislative focus post-geopolitical shock. • Higher energy dependency correlates with reduced SDGs focus. • Integrated policies needed to balance </w:t>
      </w:r>
    </w:p>
    <w:p>
      <w:pPr/>
      <w:r>
        <w:rPr>
          <w:b/>
        </w:rPr>
        <w:t>POSSIBLE 2025:</w:t>
      </w:r>
      <w:r>
        <w:t xml:space="preserve"> Export Controls and the Green Agenda in the European Union — https://doi.org/10.1017/s0020589325000119</w:t>
      </w:r>
    </w:p>
    <w:p>
      <w:pPr/>
      <w:r>
        <w:rPr>
          <w:b/>
        </w:rPr>
        <w:t>Shared claim-specific concepts:</w:t>
      </w:r>
      <w:r>
        <w:t xml:space="preserve"> evident, trade, between, agenda, objectives, progress; EU scope visible. This is a provisional connection, not an outcome finding.</w:t>
      </w:r>
    </w:p>
    <w:p>
      <w:pPr>
        <w:pStyle w:val="SourceNote"/>
      </w:pPr>
      <w:r>
        <w:rPr>
          <w:b/>
        </w:rPr>
        <w:t>Available abstract (not full text):</w:t>
      </w:r>
      <w:r>
        <w:t xml:space="preserve"> Abstract This article argues that critical and emerging technologies, evolving geopolitical dynamics and the urgent need to pursue the green agenda are changing the traditional approach of the European Union (EU) and its Member States towards their trade and security strategies, and this is particularly evident in the domain of export controls. In search of a balance between green energy, security and technological progress, this article explores the potential for a more cohesive and comprehensive regulatory framework for export controls at the EU level. It takes the debate beyond a technical level of export control lists to discuss geopolitical and strategic assumptions surrounding inter-State cooperation on the regulation of critical and emerging technologies and their components. The article underscores, in particular, the potential unintended repercussions of controls for the EU's technological future and the prospects of the green transition in Europe and beyond. Finally, it advocates for what is often overlooked in discussions: the necessity for the EU to set clear, long-term objectives for its export controls and to align them with the purposes and objectives of other EU economic instruments.</w:t>
      </w:r>
    </w:p>
    <w:p>
      <w:pPr/>
      <w:r>
        <w:rPr>
          <w:b/>
        </w:rPr>
        <w:t>POSSIBLE 2025:</w:t>
      </w:r>
      <w:r>
        <w:t xml:space="preserve"> Green Economy, Trade, and Consumers – Interactions in European Green Transition — https://doi.org/10.7494/geom.2025.19.2.25</w:t>
      </w:r>
    </w:p>
    <w:p>
      <w:pPr/>
      <w:r>
        <w:rPr>
          <w:b/>
        </w:rPr>
        <w:t>Shared claim-specific concepts:</w:t>
      </w:r>
      <w:r>
        <w:t xml:space="preserve"> trade, achieving, all, interactions, goals, achieve; EU scope visible. This is a provisional connection, not an outcome finding.</w:t>
      </w:r>
    </w:p>
    <w:p>
      <w:pPr>
        <w:pStyle w:val="SourceNote"/>
      </w:pPr>
      <w:r>
        <w:rPr>
          <w:b/>
        </w:rPr>
        <w:t>Available abstract (not full text):</w:t>
      </w:r>
      <w:r>
        <w:t xml:space="preserve"> This article presents a current and significant problem by exploring the main problems of the European Green Transition; the authors discuss these in two aspects: first, the goals of the Green Transition as one of the European Union’s strategic priorities – the goals, achievements, and possible risks that face the European Union’s green policies are discussed.The second aspect of the study is the authors’ attempt to reveal and comment on the role of trade and consumers as a tool that works in favor of the Green Transition – specifically, those that are included in European Union documents such as the Green Deal and the Circular Economy Action Plan. The definition of the problem is based on the understanding that, on the one hand, trade as an economic sector is developing most dynamically and on a large scale, making Sector G the largest set of enterprises among all of the sectors that carry out economic activities in the EU (including Bulgaria). On the other hand, trade as a business activity is closely linked to consumers; it actively interacts with them and, therefore, has a significant impact on their behaviors (including their impact on the environment). In practice, it is impossible to achieve the green goals without the connection and interaction “trade-consumers”; in addition to being aimed at achieving a modern, resource-efficient, and competitive EU economy, these refl</w:t>
      </w:r>
    </w:p>
    <w:p>
      <w:pPr/>
      <w:r>
        <w:rPr>
          <w:b/>
        </w:rPr>
        <w:t>POSSIBLE 2025:</w:t>
      </w:r>
      <w:r>
        <w:t xml:space="preserve"> Market Power Europe and the research agenda on geopoliticisation and economic security — https://doi.org/10.1080/23745118.2025.2576708</w:t>
      </w:r>
    </w:p>
    <w:p>
      <w:pPr/>
      <w:r>
        <w:rPr>
          <w:b/>
        </w:rPr>
        <w:t>Shared claim-specific concepts:</w:t>
      </w:r>
      <w:r>
        <w:t xml:space="preserve"> between, agenda, objectives, all; EU scope visible. This is a provisional connection, not an outcome finding.</w:t>
      </w:r>
    </w:p>
    <w:p>
      <w:pPr>
        <w:pStyle w:val="SourceNote"/>
      </w:pPr>
      <w:r>
        <w:rPr>
          <w:b/>
        </w:rPr>
        <w:t>Available abstract (not full text):</w:t>
      </w:r>
      <w:r>
        <w:t xml:space="preserve"> The global system is experiencing a geopolitical turn, which is encouraging coercive policy responses from governments while fuelling the emergence of a new scholarly research agenda. To understand these changes and their potential effects on European Union (EU) institutions and policies, this article employs the conceptual framework of Market Power Europe (MPE). Guided by three central characteristics that MPE draws from the Comparative and International Political Economy literature – market size, institutional capacity and domestic interest contestation – the article undertakes a qualitative content analysis of the design and objectives of the EU's 2023 European Economic Security Strategy. The evidence shows that these three characteristics help to shape the EU's exercise of power in a geopoliticising environment and reveal the important role of external factors and increasing linkages between market and security objectives. The findings reinforce the analytical importance of considering all three characteristics of MPE, which complements the propositions raised in this Special Issue and contributes to the emerging research agenda on the new challenges of geopoliticisation and economic security.</w:t>
      </w:r>
    </w:p>
    <w:p>
      <w:pPr>
        <w:pStyle w:val="Heading2"/>
      </w:pPr>
      <w:r>
        <w:t>539. Impact of demographic changes and screening colonoscopy on long-term projection of incident colorectal cancer cases in Germany: A modelling study</w:t>
      </w:r>
    </w:p>
    <w:p>
      <w:pPr>
        <w:pStyle w:val="SourceNote"/>
      </w:pPr>
      <w:r>
        <w:rPr>
          <w:b/>
        </w:rPr>
        <w:t>Original source (2022):</w:t>
      </w:r>
      <w:r>
        <w:t xml:space="preserve"> https://doi.org/10.1016/j.lanepe.2022.100451</w:t>
      </w:r>
    </w:p>
    <w:p>
      <w:pPr/>
      <w:r>
        <w:t>Original wording (abstract; indexed_source_text_not_full_document_verified): We estimated the number of new CRC cases until 2060, assuming screening colonoscopy use to be constant or to increase to between 1·5 and 3 times the current levels. Assuming no change in screening colonoscopy use, the overall annual caseload was predicted to increase from approximately 62,000 cases in 2020 to more than 70,000 cases by the year 2040 and more than 75,000 cases by 2050.</w:t>
      </w:r>
    </w:p>
    <w:p>
      <w:pPr/>
      <w:r>
        <w:rPr>
          <w:b/>
        </w:rPr>
        <w:t>POSSIBLE 2026:</w:t>
      </w:r>
      <w:r>
        <w:t xml:space="preserve"> Estimating European Pilchard ( Sardina pilchardus ) Total Length: New Equations for the Ichthyoarchaeological Record — https://doi.org/10.1002/oa.70087</w:t>
      </w:r>
    </w:p>
    <w:p>
      <w:pPr/>
      <w:r>
        <w:rPr>
          <w:b/>
        </w:rPr>
        <w:t>Shared claim-specific concepts:</w:t>
      </w:r>
      <w:r>
        <w:t xml:space="preserve"> number, until, between, times; EU scope visible. This is a provisional connection, not an outcome finding.</w:t>
      </w:r>
    </w:p>
    <w:p>
      <w:pPr>
        <w:pStyle w:val="SourceNote"/>
      </w:pPr>
      <w:r>
        <w:rPr>
          <w:b/>
        </w:rPr>
        <w:t>Available abstract (not full text):</w:t>
      </w:r>
      <w:r>
        <w:t xml:space="preserve"> ABSTRACT Throughout its area of distribution, in particular in the Iberian Peninsula, the European pilchard ( Sardina pilchardus Walbaum 1792) has been an extensively exploited species since Prehistoric times. Our knowledge of the past fisheries of this clupeid nevertheless remains limited due to a scarcity of ichthyoarchaeological data, which reflects, among other things, a lack of systematic fine sieving in archaeological excavations until recent times. Specifically, although predictive equations to infer fish size from archaeological remains provide valuable information about past fisheries, published data for the European pilchard are still comparatively rare. This study presents 33 new equations based on selected cranial elements to estimate total length that considerably expand the number thus far available for the European pilchard. Also, given that the number and size ranges of specimens used to build these models are greater than those from previous studies, our equations provide a higher degree of accuracy, offering more reliable tools for reconstructing the size from archaeological sardine bones. These equations, along with previously published ones, were tested on European pilchard collections from medieval and Modern Age Barcelona (Catalonia, Spain). Although some of the previously published equations provide acceptable overviews of size distributions, the new equa</w:t>
      </w:r>
    </w:p>
    <w:p>
      <w:pPr/>
      <w:r>
        <w:rPr>
          <w:b/>
        </w:rPr>
        <w:t>POSSIBLE 2026:</w:t>
      </w:r>
      <w:r>
        <w:t xml:space="preserve"> The Price of Speed: Estimating the Impact of List Prices on Time to Availability of New Medicines in 18 European Countries — https://doi.org/10.1007/s40258-026-01053-3</w:t>
      </w:r>
    </w:p>
    <w:p>
      <w:pPr/>
      <w:r>
        <w:rPr>
          <w:b/>
        </w:rPr>
        <w:t>Shared claim-specific concepts:</w:t>
      </w:r>
      <w:r>
        <w:t xml:space="preserve"> number, use, increase, between; EU scope visible. This is a provisional connection, not an outcome finding.</w:t>
      </w:r>
    </w:p>
    <w:p>
      <w:pPr>
        <w:pStyle w:val="SourceNote"/>
      </w:pPr>
      <w:r>
        <w:rPr>
          <w:b/>
        </w:rPr>
        <w:t>Available abstract (not full text):</w:t>
      </w:r>
      <w:r>
        <w:t xml:space="preserve"> OBJECTIVES: To examine whether higher national list prices for new medicines are associated with faster patient access across 18 European countries. METHODS: Data were drawn from the 2023 European Federation of Pharmaceutical Industries &amp; Associations (EFPIA) Patients Waiting to Access Innovative Therapies (WAIT) Indicator Survey and the Swedish TLV's 2023 international price index. Time to availability was defined as the number of days between marketing authorisation and national reimbursement access. A multivariable linear regression model was applied, controlling for gross domestic product (GDP) per capita, population size, health technology assessment (HTA) duration, and the use of Managed Entry Agreements (MEAs). To address endogeneity, a two-stage least squares (2SLS) regression was conducted using a composite headquarters (HQ) Index as an instrumental variable for national list prices. RESULTS: In the multivariable model, each one-point increase in the list price index (European average = 100) was associated with a 7.9-day reduction in time to availability (p = 0.091). A slow HTA/reimbursement process was significantly associated with longer delays (p = 0.022). Managed entry agreement intensity was positively associated with longer delays but did not reach statistical significance (p = 0.103). In the 2SLS model, a one-point increase in the instrumented list price was ass</w:t>
      </w:r>
    </w:p>
    <w:p>
      <w:pPr/>
      <w:r>
        <w:rPr>
          <w:b/>
        </w:rPr>
        <w:t>POSSIBLE 2026:</w:t>
      </w:r>
      <w:r>
        <w:t xml:space="preserve"> Antidepressant drug use in Europe: past consumption, prescribing patterns and forecast until 2030 — https://doi.org/10.1007/s11096-025-02078-9</w:t>
      </w:r>
    </w:p>
    <w:p>
      <w:pPr/>
      <w:r>
        <w:rPr>
          <w:b/>
        </w:rPr>
        <w:t>Shared claim-specific concepts:</w:t>
      </w:r>
      <w:r>
        <w:t xml:space="preserve"> until, use, between, current; EU scope visible. This is a provisional connection, not an outcome finding.</w:t>
      </w:r>
    </w:p>
    <w:p>
      <w:pPr>
        <w:pStyle w:val="SourceNote"/>
      </w:pPr>
      <w:r>
        <w:rPr>
          <w:b/>
        </w:rPr>
        <w:t>Available abstract (not full text):</w:t>
      </w:r>
      <w:r>
        <w:t xml:space="preserve"> INTRODUCTION: Mental disorders represent a significant global burden, with a high proportion of depressive disorders. Antidepressants (ADs) are the most prescribed drugs for treating mental disorders, with broad indications, e.g. depression, anxiety disorders, and off-label use. AIM: This study assesses current and historical changes in AD consumption in 25 European countries, predicts future developments, and further analyses ATC subgroup consumption in 13 countries. METHOD: Consumption data for ADs (ATC code N06A) were collected from the OECD Data Explorer. Subgroup data came from publicly available sources. The time span covered is 1980 to 2024. Changes in defined daily doses per 1000 population per day (DID) were analysed, and projections to 2030 were made using Auto Regressive Integrated Moving Average models. Treatment coverage for depressive disorder prevalence was also calculated. RESULTS: In 2023, AD consumption ranged from 26.3 DID (Latvia) to 164.7 DID (Iceland). Use increased in nearly all countries, except Luxembourg (- 0.3 DID between 2013 and 2022). Increases ranged from + 5.9% (Austria) to + 157.8% (Latvia). Forecasts predict further increases in most countries (+ 0.1 to + 80.9%), with decreases projected for Hungary, Austria, the UK, and Luxembourg (- 3.4 to - 21.7%). Selective serotonin reuptake inhibitors (SSRIs) are the most used subgroup, with mixed develop</w:t>
      </w:r>
    </w:p>
    <w:p>
      <w:pPr/>
      <w:r>
        <w:rPr>
          <w:b/>
        </w:rPr>
        <w:t>POSSIBLE 2026:</w:t>
      </w:r>
      <w:r>
        <w:t xml:space="preserve"> Estimating the hospitalisation burden of obesity in Europe: evidence from the European health interview survey (EHIS) wave 3 — https://doi.org/10.1186/s12889-026-26705-w</w:t>
      </w:r>
    </w:p>
    <w:p>
      <w:pPr/>
      <w:r>
        <w:rPr>
          <w:b/>
        </w:rPr>
        <w:t>Shared claim-specific concepts:</w:t>
      </w:r>
      <w:r>
        <w:t xml:space="preserve"> number, increase, between, annual; EU scope visible. This is a provisional connection, not an outcome finding.</w:t>
      </w:r>
    </w:p>
    <w:p>
      <w:pPr>
        <w:pStyle w:val="SourceNote"/>
      </w:pPr>
      <w:r>
        <w:rPr>
          <w:b/>
        </w:rPr>
        <w:t>Available abstract (not full text):</w:t>
      </w:r>
      <w:r>
        <w:t xml:space="preserve"> BACKGROUND: Obesity represents a significant public health and economic challenge across Europe, driving an increased chronic disease burden and increased hospital utilisation. Despite this impact, cross-national evidence quantifying obesity’s hospitalisation burden remains sparse, and there is only a limited understanding of the potential cost savings achievable through obesity prevalence reduction. METHODS: We analysed European Health Interview Survey (EHIS) Wave 3 (2019) data, encompassing adults aged 18 years and older across eight countries (Belgium, the Netherlands, Germany, Luxembourg, Spain, Italy, Portugal and Denmark). Our primary outcome was the number of hospital nights in the preceding 12 months. We employed negative binomial regression models with zero-inflated specifications to estimate the associations between hospitalisation and body mass index (BMI), alongside sociodemographic, health and lifestyle factors. Simulations were used to project the impacts of a 1% obesity prevalence reduction on hospital expenditures. RESULTS: Compared to normal weight, obesity and underweight were strongly associated with increased hospital nights (IRR = 1.19 and 1.92, respectively), while pre-obesity showed no such association. Hospitalisation increased markedly with age, whereas higher education and income provided protective effects in this regard, reducing stays by 7% and 8%, </w:t>
      </w:r>
    </w:p>
    <w:p>
      <w:pPr/>
      <w:r>
        <w:rPr>
          <w:b/>
        </w:rPr>
        <w:t>POSSIBLE 2026:</w:t>
      </w:r>
      <w:r>
        <w:t xml:space="preserve"> Elasticity in CES Production Functions: New Estimates for Europe and Different Nesting Structures — https://doi.org/10.1177/01956574261440162</w:t>
      </w:r>
    </w:p>
    <w:p>
      <w:pPr/>
      <w:r>
        <w:rPr>
          <w:b/>
        </w:rPr>
        <w:t>Shared claim-specific concepts:</w:t>
      </w:r>
      <w:r>
        <w:t xml:space="preserve"> constant, between, levels; EU scope visible. This is a provisional connection, not an outcome finding.</w:t>
      </w:r>
    </w:p>
    <w:p>
      <w:pPr>
        <w:pStyle w:val="SourceNote"/>
      </w:pPr>
      <w:r>
        <w:rPr>
          <w:b/>
        </w:rPr>
        <w:t>Available abstract (not full text):</w:t>
      </w:r>
      <w:r>
        <w:t xml:space="preserve"> This study addresses the scarcity of empirical estimates on the elasticity of production factor substitutions, a crucial parameter in general equilibrium models for policy analysis. Employing the non-linear least squares estimation method, we determine the elasticity of substitution between capital, labor, energy, and materials in the Constant Elasticity of Substitution model across Europe at both aggregate and sectoral levels. Through rigorous analysis, we identify the optimal nesting structure of the production function for our data, rejecting widely used CES functional forms such as Cobb-Douglas and Leontief. Our findings reveal changes in elasticity of substitution over time, with Eastern Europe exhibiting greater ease of substitution compared to Western Europe, particularly between capital and labor. While elasticities in tertiary sectors diverge over time, those in energy-intensive sectors converge, though they remain statistically different, underscoring the necessity of region-specific elasticity sets in CGE models. JEL Classification: C51, Model Construction and Estimation; D24, Production; Cost; Capital; Capital, Total Factor, and Multifactor Productivity; Capacity</w:t>
      </w:r>
    </w:p>
    <w:p>
      <w:pPr/>
      <w:r>
        <w:rPr>
          <w:b/>
        </w:rPr>
        <w:t>POSSIBLE 2025:</w:t>
      </w:r>
      <w:r>
        <w:t xml:space="preserve"> European turtle dove (Streptopelia turtur) in Apulia: preliminary estimate of the breeding population abundance — https://openalex.org/W7112675328</w:t>
      </w:r>
    </w:p>
    <w:p>
      <w:pPr/>
      <w:r>
        <w:rPr>
          <w:b/>
        </w:rPr>
        <w:t>Shared claim-specific concepts:</w:t>
      </w:r>
      <w:r>
        <w:t xml:space="preserve"> estimated, number, until, between; EU scope visible. This is a provisional connection, not an outcome finding.</w:t>
      </w:r>
    </w:p>
    <w:p>
      <w:pPr>
        <w:pStyle w:val="SourceNote"/>
      </w:pPr>
      <w:r>
        <w:rPr>
          <w:b/>
        </w:rPr>
        <w:t>Available abstract (not full text):</w:t>
      </w:r>
      <w:r>
        <w:t xml:space="preserve"> The European Turtle Dove (TD, Streptopelia turtur) is a bird with Euro-Central Asian and Mediterranean corology, characterized by four subspecies distributed in an area of about 10 million km2 across Eurasia and North Africa. In Italy, the TD is a regular migratory species widely distributed, except for the Alps and the highest peaks of the Apennines; its presence is lower in the Eastern part of the Po plain, in the Lower Tyrrhenian coast and in the central-southern areas of Apulia, probably due to the reduced presence and extension of woods and hedges. TD arrives in Apulia in Spring to nest. According to BirdLife International (2017), TD is classified as SPEC 1 being in an unfavourable state of conservation. Recently, action plans have been implemented to improve its conservation, in balance with sustainable hunting, allowed in September. So far, limited information is available on the TD’s abundance in each Italian region; therefore, this study aimed at providing preliminary information on the distribution and abundance of the TD in Apulia. The methodology adopted for the Farmland Bird Index (FBI) project was further intensified to obtain a more homogeneous coverage of the sampling points; for this purpose, in addition to the 34 UTM squares monitored within the FBI project, other 17 grid squares of 10 km of length were analysed. The count technique used for the FBI project is</w:t>
      </w:r>
    </w:p>
    <w:p>
      <w:pPr/>
      <w:r>
        <w:rPr>
          <w:b/>
        </w:rPr>
        <w:t>POSSIBLE 2025:</w:t>
      </w:r>
      <w:r>
        <w:t xml:space="preserve"> Critical load exceedances for North America and Europe using an ensemble of models and an investigation of causes of environmental impact estimate variability: an AQMEII4 study — https://doi.org/10.5194/acp-25-3049-2025</w:t>
      </w:r>
    </w:p>
    <w:p>
      <w:pPr/>
      <w:r>
        <w:rPr>
          <w:b/>
        </w:rPr>
        <w:t>Shared claim-specific concepts:</w:t>
      </w:r>
      <w:r>
        <w:t xml:space="preserve"> estimated, number, use, between, annual, predicted; EU scope visible. This is a provisional connection, not an outcome finding.</w:t>
      </w:r>
    </w:p>
    <w:p>
      <w:pPr>
        <w:pStyle w:val="SourceNote"/>
      </w:pPr>
      <w:r>
        <w:rPr>
          <w:b/>
        </w:rPr>
        <w:t>Available abstract (not full text):</w:t>
      </w:r>
      <w:r>
        <w:t xml:space="preserve"> Abstract. Exceedances of critical loads for deposition of sulphur (S) and nitrogen (N) to different ecosystems were estimated using European and North American ensembles of air quality models, under Phase 4 of the Air Quality Model Evaluation International Initiative (AQMEII4), to identify where risk of ecosystem harm is expected to occur based on model deposition estimates. The ensembles were driven by common emissions and lateral boundary condition inputs. Model output was regridded to common North American and Europe 0.125° resolution domains, which were then used to calculate critical load exceedances. New, targeted deposition diagnostics implemented in AQMEII4 allowed an unprecedented level of post-simulation analysis to be carried out and facilitated the identification of specific causes of model-to-model variability in critical load exceedance estimates. New datasets for North American critical loads for acidity for forest soil water and aquatic ecosystems were combined with the ensemble deposition predictions to show a substantial decrease in the area and number of locations in exceedance between 2010 and 2016 (forest soils: 13.2 % to 6.1 %; aquatic ecosystems: 21.2 % to 11.4 %). All models agreed in the direction of the ensemble exceedance change between 2010 and 2016. The North American ensemble also predicted a decrease in both severity and total area in exceedance b</w:t>
      </w:r>
    </w:p>
    <w:p>
      <w:pPr/>
      <w:r>
        <w:rPr>
          <w:b/>
        </w:rPr>
        <w:t>POSSIBLE 2025:</w:t>
      </w:r>
      <w:r>
        <w:t xml:space="preserve"> The development of the cost of cancer in 31 European countries. — https://doi.org/10.1200/jco.2025.43.16_suppl.1596</w:t>
      </w:r>
    </w:p>
    <w:p>
      <w:pPr/>
      <w:r>
        <w:rPr>
          <w:b/>
        </w:rPr>
        <w:t>Shared claim-specific concepts:</w:t>
      </w:r>
      <w:r>
        <w:t xml:space="preserve"> estimated, number, cases, between, overall; EU scope visible. This is a provisional connection, not an outcome finding.</w:t>
      </w:r>
    </w:p>
    <w:p>
      <w:pPr>
        <w:pStyle w:val="SourceNote"/>
      </w:pPr>
      <w:r>
        <w:rPr>
          <w:b/>
        </w:rPr>
        <w:t>Available abstract (not full text):</w:t>
      </w:r>
      <w:r>
        <w:t xml:space="preserve"> 1596 Background: The estimated number of new cancer cases in Europe has risen from 2.6 million in 1995 to 4.1 million in 2022. Around every fourth death is due to cancer, yet survival rates have been improving due to advances in early detection, diagnosis, and treatment. The implications of these epidemiological changes and medical advances for the overall cost of cancer are not well documented. Methods: This cost-of-illness study estimated the direct and indirect costs of cancer across 31 European countries (the EU-27 countries, plus Iceland, Norway, Switzerland, and the UK) from 1995 to 2023. For direct costs, information on cancer-specific health expenditure was searched for all countries and combined with data from Eurostat and the OECD. Extrapolations were made for countries with missing information. For indirect costs, productivity losses due to premature mortality were calculated using mortality data from the World Health Organization, Eurostat, and the Office for National Statistics, combined with labor market data from Eurostat. Productivity loss due to morbidity were estimated using data from prior studies and changes in population structure. The human-capital approach was employed to calculate indirect costs. Total costs, costs per capita, and costs per new case were estimated for Europe as a whole and for each individual country. Results: Between 1995 and 2023, the </w:t>
      </w:r>
    </w:p>
    <w:p>
      <w:pPr/>
      <w:r>
        <w:rPr>
          <w:b/>
        </w:rPr>
        <w:t>POSSIBLE 2025:</w:t>
      </w:r>
      <w:r>
        <w:t xml:space="preserve"> Regional Strategies for PV-Based Sustainable Energy in GCC and Europe — https://doi.org/10.31875/2410-2199.2025.12.09</w:t>
      </w:r>
    </w:p>
    <w:p>
      <w:pPr/>
      <w:r>
        <w:rPr>
          <w:b/>
        </w:rPr>
        <w:t>Shared claim-specific concepts:</w:t>
      </w:r>
      <w:r>
        <w:t xml:space="preserve"> number, between; EU scope visible. This is a provisional connection, not an outcome finding.</w:t>
      </w:r>
    </w:p>
    <w:p>
      <w:pPr>
        <w:pStyle w:val="SourceNote"/>
      </w:pPr>
      <w:r>
        <w:rPr>
          <w:b/>
        </w:rPr>
        <w:t>Available abstract (not full text):</w:t>
      </w:r>
      <w:r>
        <w:t xml:space="preserve"> This study analyzes the feasibility of the production of solar power as a sustainable solution to the climate and energy crisis, focusing on two areas in particular: the Gulf Cooperation Council countries and Europe. Focused attention goes to emerging economies in analyzing how solar power can aid in reducing carbon dioxide emissions and attaining sustainable development. Comparative analysis is performed for the GCC region and Europe on the basis of unique solar system design ability and the performance of photovoltaic (PV) systems, taking into account realistic environmental and working parameters. In this comparative design research, mathematical equations were applied to determine the number of required solar panels to achieve determined energy efficiency in both regions. A novel mathematical modeling approach was designed and presented as new equations to achieve a correct estimate of the quantity of PV panels required from the energy requirement and a parameter called the Power Generation Factor (PGF). The practical design approach employed in the present work synchronizes the technical aspects of electrical system design with broader sustainable development goals, particularly for developing nations. By creating new mathematical equations for estimating how many PV panels would be necessary based on desired energy yields and incorporating the PGF, the study underscores t</w:t>
      </w:r>
    </w:p>
    <w:p>
      <w:pPr/>
      <w:r>
        <w:rPr>
          <w:b/>
        </w:rPr>
        <w:t>POSSIBLE 2025:</w:t>
      </w:r>
      <w:r>
        <w:t xml:space="preserve"> Trends in prevalence and number of cases of diagnosed type 2 diabetes in Germany: Projections until 2050 — https://doi.org/10.25646/13381</w:t>
      </w:r>
    </w:p>
    <w:p>
      <w:pPr/>
      <w:r>
        <w:rPr>
          <w:b/>
        </w:rPr>
        <w:t>Shared claim-specific concepts:</w:t>
      </w:r>
      <w:r>
        <w:t xml:space="preserve"> number, cases, until, assuming, increase, annual; EU scope visible. This is a provisional connection, not an outcome finding.</w:t>
      </w:r>
    </w:p>
    <w:p>
      <w:pPr>
        <w:pStyle w:val="SourceNote"/>
      </w:pPr>
      <w:r>
        <w:rPr>
          <w:b/>
        </w:rPr>
        <w:t>Available abstract (not full text):</w:t>
      </w:r>
      <w:r>
        <w:t xml:space="preserve"> Background: In order to assess the prevention and care needs for type 2 diabetes in the coming decades from a public health perspective, forecasts on the trends in prevalence and case numbers are essential. Methods: The data are based on age-specific estimates of diagnosed diabetes prevalence from the survey German Health Update (GEDA) 2022, and on the proportion of type 2 diabetes derived from routine health insurance data. Using routine data on the incidence and excess mortality of diabetes, various scenarios for the future trends of type 2 diabetes are modelled using an illness-death model. Results: Based on a type 2 diabetes prevalence of 8.6 % in 2022 (women: 8.2 %, men: 9.2 %), corresponding to a total of 6.05 million cases (women: 2.92 million, men 3.13 million), the prevalence is expected to rise to 16.1 % by 2050 (women: 14.8 %, men: 17.4 %), with the number of cases increasing to 11.01 million (women: 5.19 million, men: 5.82 million). Assuming a 2.0 % annual decline in incidence, the prevalence is expected to rise to only 12.2 % (8.39 million cases); with a simultaneous 2.0 % annual decline in excess mortality, the prevalence is expected to reach 13.0 % (8.94 million cases). Conclusions: The prognosis is mainly influenced by changes in incidence. Primary preventive approaches to reduce risk factors for type 2 diabetes are therefore crucial to counteract an increase in</w:t>
      </w:r>
    </w:p>
    <w:p>
      <w:pPr/>
      <w:r>
        <w:rPr>
          <w:b/>
        </w:rPr>
        <w:t>POSSIBLE 2025:</w:t>
      </w:r>
      <w:r>
        <w:t xml:space="preserve"> Paediatric invasive group A streptococcal infections and associations with viral infections in 15 European countries after lifting non-pharmaceutical interventions against SARS-CoV-2: an interrupted time-series analysis — https://doi.org/10.1016/j.lanepe.2025.101497</w:t>
      </w:r>
    </w:p>
    <w:p>
      <w:pPr/>
      <w:r>
        <w:rPr>
          <w:b/>
        </w:rPr>
        <w:t>Shared claim-specific concepts:</w:t>
      </w:r>
      <w:r>
        <w:t xml:space="preserve"> estimated, number, cases, until, increase, between; EU scope visible. This is a provisional connection, not an outcome finding.</w:t>
      </w:r>
    </w:p>
    <w:p>
      <w:pPr>
        <w:pStyle w:val="SourceNote"/>
      </w:pPr>
      <w:r>
        <w:rPr>
          <w:b/>
        </w:rPr>
        <w:t>Available abstract (not full text):</w:t>
      </w:r>
      <w:r>
        <w:t xml:space="preserve"> Background: After lifting non-pharmaceutical interventions (NPIs) against the transmission of SARS-CoV-2, various countries experienced an increase in invasive Group A Streptococcal (iGAS) infections. We aimed to characterise the paediatric outbreak across Europe and to analyse the influence of viral infections. Methods: We conducted an interrupted time-series analysis based on data from 15 European countries from the PEGASUS consortium. We assessed the evolution of the number of iGAS cases aged 1 month to 18 years between 01/01/2018 and 03/31/2024, comparing the post-NPIs period (01-04-2022 until 31-03-2024) to the baseline period (01-01-2018 until 31-03-2020). Further analyses were performed by country, clinical phenotype, age and severity, including sensitivity analyses. We then explored whether certain iGAS phenotypes correlated with trends in RSV, influenza and VZV across countries over time using Google Trends data. Findings: We included 2091 iGAS cases over the study period; 79 children (3.6%) died and 580 (27.7%) required PICU admission. We estimated an overall increase of +229.8% (95% CI (141.9-341.6)) among iGAS cases from October 2022 to March 2024, compared to the baseline period. The observed increases varied across clinical phenotypes, ranging from +62.7% (95% CI (8.3-157.9)) for osteo-articular infections to +238.7% (95% CI 75.8-464.8) for pneumonia. We observed </w:t>
      </w:r>
    </w:p>
    <w:p>
      <w:pPr/>
      <w:r>
        <w:rPr>
          <w:b/>
        </w:rPr>
        <w:t>POSSIBLE 2025:</w:t>
      </w:r>
      <w:r>
        <w:t xml:space="preserve"> European Post-Consumer Steel Scrap in 2050: A Review of Estimates and Modeling Assumptions — https://doi.org/10.3390/recycling10010021</w:t>
      </w:r>
    </w:p>
    <w:p>
      <w:pPr/>
      <w:r>
        <w:rPr>
          <w:b/>
        </w:rPr>
        <w:t>Shared claim-specific concepts:</w:t>
      </w:r>
      <w:r>
        <w:t xml:space="preserve"> until, between, approximately; EU scope visible. This is a provisional connection, not an outcome finding.</w:t>
      </w:r>
    </w:p>
    <w:p>
      <w:pPr>
        <w:pStyle w:val="SourceNote"/>
      </w:pPr>
      <w:r>
        <w:rPr>
          <w:b/>
        </w:rPr>
        <w:t>Available abstract (not full text):</w:t>
      </w:r>
      <w:r>
        <w:t xml:space="preserve"> This paper studies the availability of post-consumer steel scrap in Europe until 2050. We introduce the indicator potentially available domestic post-consumer scrap (PADPS) which measures the amount of (steel) scrap from obsolete products available for recycling, prior to trade in scrap. We analyze material flow studies from the academic literature and international organizations to quantify this indicator. The studies suggest a rising trend of post-consumer scrap amounts until a saturation level when the expected yearly steel product obsolescence of the system stabilizes. Between 2010 and 2050, PADPS is expected to rise annually by approximately 1.6% per year. We identify in-use steel stocks, recycling rates, and product lifetimes as the three commonly gauged factors determining PADPS. While recycling rates and product lifetimes range comparatively close in the studies, the estimation of in-use stocks displays much greater variation and introduces an element of uncertainty in estimating the post-consumer scrap amounts that can be expected in the coming decades.</w:t>
      </w:r>
    </w:p>
    <w:p>
      <w:pPr>
        <w:pStyle w:val="Heading2"/>
      </w:pPr>
      <w:r>
        <w:t>540. Impacts of Scaling up Agroecology on the Sustainability of European Agriculture in 2050</w:t>
      </w:r>
    </w:p>
    <w:p>
      <w:pPr>
        <w:pStyle w:val="SourceNote"/>
      </w:pPr>
      <w:r>
        <w:rPr>
          <w:b/>
        </w:rPr>
        <w:t>Original source (2022):</w:t>
      </w:r>
      <w:r>
        <w:t xml:space="preserve"> https://doi.org/10.1111/1746-692x.12373</w:t>
      </w:r>
    </w:p>
    <w:p>
      <w:pPr/>
      <w:r>
        <w:t>Original wording (abstract; indexed_source_text_not_full_document_verified): We here assess socio‐economic and environmental implications of multiple agroecological futures in the European Union in 2050, based on a novel diagnostic scenario approach, i.e. the biomass balancing model BioBaM‐GHG 2.0.</w:t>
      </w:r>
    </w:p>
    <w:p>
      <w:pPr/>
      <w:r>
        <w:rPr>
          <w:b/>
        </w:rPr>
        <w:t>POSSIBLE 2026:</w:t>
      </w:r>
      <w:r>
        <w:t xml:space="preserve"> Assessing urban green roofs for CO2 removal via enhanced rock weathering in Europe — https://doi.org/10.1016/j.envadv.2026.100708</w:t>
      </w:r>
    </w:p>
    <w:p>
      <w:pPr/>
      <w:r>
        <w:rPr>
          <w:b/>
        </w:rPr>
        <w:t>Shared claim-specific concepts:</w:t>
      </w:r>
      <w:r>
        <w:t xml:space="preserve"> here, based, novel, approach; EU scope visible. This is a provisional connection, not an outcome finding.</w:t>
      </w:r>
    </w:p>
    <w:p>
      <w:pPr>
        <w:pStyle w:val="SourceNote"/>
      </w:pPr>
      <w:r>
        <w:rPr>
          <w:b/>
        </w:rPr>
        <w:t>Available abstract (not full text):</w:t>
      </w:r>
      <w:r>
        <w:t xml:space="preserve"> Green roofs represent a novel and promising platform for integrating enhanced rock weathering (ERW) as a carbon dioxide removal (CDR) strategy within urban environments. By utilising underused rooftop spaces, rock (feedstock)-amended green roofs for ERW could contribute meaningfully to climate mitigation targets while fitting within existing markets and policy frameworks. Despite this, a comprehensive assessment of opportunities and barriers to deployment is missing. Here, we provide a conceptual assessment, serving as a benchmark for the potential for large-scale ERW green roof deployment in Europe, examining literature from similar applications and estimating theoretical CDR potential at European and global scales, and identifying key opportunities and challenges. Our estimates suggest that, under conditions where 100% reactivity is achieved, green roofs in Europe could theoretically remove tens of millions of tonnes of CO 2 via ERW (in addition to plant uptake) by 2060, assuming expanded rooftop coverage. However, these findings are based on maximum geochemical capacities rather than empirical data from real-world conditions. Globally, theoretical removal potential ranges from tens to hundreds of millions of tonnes CO 2 per year, with major contributions from Central Asia, North America, Latin America and the Pacific. Beyond CDR benefits, ERW green roofs can enhance photovol</w:t>
      </w:r>
    </w:p>
    <w:p>
      <w:pPr/>
      <w:r>
        <w:rPr>
          <w:b/>
        </w:rPr>
        <w:t>POSSIBLE 2026:</w:t>
      </w:r>
      <w:r>
        <w:t xml:space="preserve"> Climate Change and Vector-Borne Diseases in Europe: Implications for Public Health and Environmental Sanitation Strategies — https://doi.org/10.3390/ijem1030010</w:t>
      </w:r>
    </w:p>
    <w:p>
      <w:pPr/>
      <w:r>
        <w:rPr>
          <w:b/>
        </w:rPr>
        <w:t>Shared claim-specific concepts:</w:t>
      </w:r>
      <w:r>
        <w:t xml:space="preserve"> environmental, implications, based; EU scope visible. This is a provisional connection, not an outcome finding.</w:t>
      </w:r>
    </w:p>
    <w:p>
      <w:pPr>
        <w:pStyle w:val="SourceNote"/>
      </w:pPr>
      <w:r>
        <w:rPr>
          <w:b/>
        </w:rPr>
        <w:t>Available abstract (not full text):</w:t>
      </w:r>
      <w:r>
        <w:t xml:space="preserve"> Climate change is significantly altering the distribution, seasonality, and transmission dynamics of vector-borne diseases, posing an increasing public health concern, particularly in regions previously considered at low risk. Key climatic variables, including temperature, precipitation, and humidity, strongly influence vector survival, reproduction, and pathogen transmission capacity. This review provides an overview of current evidence on the relationship between climate change, vector ecology, and vector-borne disease epidemiology in Europe, based on evidence extracted from peer-reviewed literature published between 2010 and 2024 and retrieved from PubMed, Scopus, and Web of Science. Particular attention is given to vector-borne diseases with current or potential relevance to Europe. This includes infections that are already endemic, such as leishmaniasis and tick-borne encephalitis, as well as diseases currently imported, such as malaria, dengue, chikungunya, Zika, yellow fever, and Chagas disease, that may pose a future risk of local transmission due to climate-driven changes in vector distribution and abundance. The analysis highlights potential health and economic impacts, and discusses implications for public health preparedness, environmental sanitation, surveillance, and vector control strategies. Strengthening adaptive and mitigation policies, alongside targeted rese</w:t>
      </w:r>
    </w:p>
    <w:p>
      <w:pPr/>
      <w:r>
        <w:rPr>
          <w:b/>
        </w:rPr>
        <w:t>POSSIBLE 2026:</w:t>
      </w:r>
      <w:r>
        <w:t xml:space="preserve"> Beyond detection: assessing the environmental, economic, and social implications of UAV-based forest fire monitoring — https://doi.org/10.1016/j.tfp.2026.101413</w:t>
      </w:r>
    </w:p>
    <w:p>
      <w:pPr/>
      <w:r>
        <w:rPr>
          <w:b/>
        </w:rPr>
        <w:t>Shared claim-specific concepts:</w:t>
      </w:r>
      <w:r>
        <w:t xml:space="preserve"> environmental, implications, based; EU scope not established. This is a provisional connection, not an outcome finding.</w:t>
      </w:r>
    </w:p>
    <w:p>
      <w:pPr>
        <w:pStyle w:val="SourceNote"/>
      </w:pPr>
      <w:r>
        <w:rPr>
          <w:b/>
        </w:rPr>
        <w:t>Available abstract (not full text):</w:t>
      </w:r>
      <w:r>
        <w:t xml:space="preserve"> Wildfire monitoring technologies are increasingly promoted as tools for faster detection and more effective prevention, yet evidence on their broader environmental, economic, and social implications remains fragmented. This paper evaluates the environmental, economic, and social impacts of an Unmanned Aerial Vehicle (UAV)-based forest fire monitoring system supported by enhanced connectivity in an ex ante Lithuanian case study. A structured literature review was combined with a forward-looking empirical assessment comparing the proposed UAV system with fixed cameras, ground patrols, and helicopter surveillance within a common use-phase framework. The results show that fixed cameras have the lowest hourly environmental footprint and operational cost where permanent infrastructure is feasible. The UAV system performs less favourably than fixed cameras on these criteria, but substantially outperforms ground patrols and helicopter surveillance in terms of carbon emissions, biodiversity impact, and human health impact. Economically, UAV monitoring does not minimise routine hourly operating costs, yet it yields the highest avoided fire-related cost estimate per hectare, suggesting that its value lies in flexible, targeted monitoring rather than low-cost, continuous surveillance. Socially, stakeholders anticipated positive effects on technology development, economic development, and c</w:t>
      </w:r>
    </w:p>
    <w:p>
      <w:pPr/>
      <w:r>
        <w:rPr>
          <w:b/>
        </w:rPr>
        <w:t>POSSIBLE 2026:</w:t>
      </w:r>
      <w:r>
        <w:t xml:space="preserve"> The first RNAi ‐based biopesticide approved in the United States: regulatory implications for the European Union – the case of Ledprona (Calantha™) — https://doi.org/10.1002/ps.71219</w:t>
      </w:r>
    </w:p>
    <w:p>
      <w:pPr/>
      <w:r>
        <w:rPr>
          <w:b/>
        </w:rPr>
        <w:t>Shared claim-specific concepts:</w:t>
      </w:r>
      <w:r>
        <w:t xml:space="preserve"> here, environmental, implications, union, based, novel; EU scope visible. This is a provisional connection, not an outcome finding.</w:t>
      </w:r>
    </w:p>
    <w:p>
      <w:pPr>
        <w:pStyle w:val="SourceNote"/>
      </w:pPr>
      <w:r>
        <w:rPr>
          <w:b/>
        </w:rPr>
        <w:t>Available abstract (not full text):</w:t>
      </w:r>
      <w:r>
        <w:t xml:space="preserve"> RNA interference (RNAi), a naturally occurring gene-silencing mechanism, has emerged as a promising platform for developing innovative, non-genetically modified (GM) plant protection products. In the context of climate change, biodiversity loss, and growing resistance to traditional pesticides, the need for highly specific, environmentally compatible alternatives for sustainable pest management is increasing. RNAi-based sprays are a novel approach in which double-stranded RNA (dsRNA) molecules silence essential genes in target pests without acting like toxic conventional compounds. A significant advancement in this technology occurred with the 2023 approval of Calantha™ (Ledprona) in the USA, marking the first authorization of an RNAi-based biopesticide for agricultural use. Ledprona targets the Colorado potato beetle by silencing specific genes following foliar dsRNA application. Here, we summarize the mechanism of action, efficacy, environmental behavior, and safety assessment of Ledprona as evaluated by the US Environmental Protection Agency. In addition, we discuss the broader regulatory implications of this approval and highlight key challenges and opportunities for assessing and implementing RNAi-based plant protection products within the European Union's regulatory framework. © 2026 The Author(s). Pest Management Science published by John Wiley &amp; Sons Ltd on behalf of So</w:t>
      </w:r>
    </w:p>
    <w:p>
      <w:pPr/>
      <w:r>
        <w:rPr>
          <w:b/>
        </w:rPr>
        <w:t>POSSIBLE 2025:</w:t>
      </w:r>
      <w:r>
        <w:t xml:space="preserve"> Mapping socio-environmental policy integration in the European Union: A multilayer network approach — https://doi.org/10.1016/j.jclepro.2025.144792</w:t>
      </w:r>
    </w:p>
    <w:p>
      <w:pPr/>
      <w:r>
        <w:rPr>
          <w:b/>
        </w:rPr>
        <w:t>Shared claim-specific concepts:</w:t>
      </w:r>
      <w:r>
        <w:t xml:space="preserve"> union, based, approach; EU scope visible. This is a provisional connection, not an outcome finding.</w:t>
      </w:r>
    </w:p>
    <w:p>
      <w:pPr>
        <w:pStyle w:val="SourceNote"/>
      </w:pPr>
      <w:r>
        <w:rPr>
          <w:b/>
        </w:rPr>
        <w:t>Available abstract (not full text):</w:t>
      </w:r>
      <w:r>
        <w:t xml:space="preserve"> This paper faces the relevant task of assessing the integration of European countries when dealing with three paradigmatic socio-environmental themes: Circular Economy (CE), Energy Transition (ET), and Social Justice (SJ). Specifically, we aim to explore whether a similar behavior in facing one of the considered aspects is mirrored by similarity in the others. We move from a dataset composed of five variables for CE, two for ET, and three for SJ, representing yearly data for the quinquennium 2016–2020 and European countries. We build a multilayer network based on the ten variables having countries as nodes. Each layer/variable has weighted links based on countries’ similarity. Inter-layer links are created through a community detection exercise over the individual layers. This approach allows us to evaluate analogies, leading to the assessment of intra- and inter-layer policy integration. We find a relatively low level of integration at the European level and a high sensitivity to the number of detected communities, thus revealing the role of countries’ heterogeneity in driving integration.</w:t>
      </w:r>
    </w:p>
    <w:p>
      <w:pPr/>
      <w:r>
        <w:rPr>
          <w:b/>
        </w:rPr>
        <w:t>POSSIBLE 2025:</w:t>
      </w:r>
      <w:r>
        <w:t xml:space="preserve"> REGIONAL SOCIO-ECONOMIC CHANGES IN THE FACE OF DEVELOPMENT CONDITIONS IN THE EUROPEAN UNION — https://doi.org/10.29119/1641-3466.2025.220.5</w:t>
      </w:r>
    </w:p>
    <w:p>
      <w:pPr/>
      <w:r>
        <w:rPr>
          <w:b/>
        </w:rPr>
        <w:t>Shared claim-specific concepts:</w:t>
      </w:r>
      <w:r>
        <w:t xml:space="preserve"> assess, implications, union, approach; EU scope visible. This is a provisional connection, not an outcome finding.</w:t>
      </w:r>
    </w:p>
    <w:p>
      <w:pPr>
        <w:pStyle w:val="SourceNote"/>
      </w:pPr>
      <w:r>
        <w:rPr>
          <w:b/>
        </w:rPr>
        <w:t>Available abstract (not full text):</w:t>
      </w:r>
      <w:r>
        <w:t xml:space="preserve"> Purpose: To identify economic development trends in the European Union, the extent of which is driven by new dimensions of security and cohesion in the socio-economic development of regions, and to analyse and assess the impact of new crisis phenomena on changes in public expenditure to finance public investment projects in EU regions. Design/methodology/approach: The method of critical analysis of the literature on the subject, the method of comparative analysis and the method of time series analysis with the use of selected methods of descriptive statistics in the field of empirical and statistical data in the generic and territorial arrangement by selected categories of regional units were used. Findings: A group of issues was identified that can be regarded as important directions of investment activity, shaping economic processes and introducing changes in social relations and expectations in the EU. The economic differentiation of European regions at the NUTS 2 level was identified, as well as the directions of changes in the spatial disparities of investment potential in regions in Poland, taking into account changes resulting from crisis phenomena. Research limitations/implications: The presented research results are limited by the availability of empirical data in detailed territorial arrangements. Due to the currently observed factors of socio-economic instability, it</w:t>
      </w:r>
    </w:p>
    <w:p>
      <w:pPr/>
      <w:r>
        <w:rPr>
          <w:b/>
        </w:rPr>
        <w:t>POSSIBLE 2025:</w:t>
      </w:r>
      <w:r>
        <w:t xml:space="preserve"> A reform of value-added taxes on foods can have health, environmental and economic benefits in Europe — https://doi.org/10.1038/s43016-024-01097-5</w:t>
      </w:r>
    </w:p>
    <w:p>
      <w:pPr/>
      <w:r>
        <w:rPr>
          <w:b/>
        </w:rPr>
        <w:t>Shared claim-specific concepts:</w:t>
      </w:r>
      <w:r>
        <w:t xml:space="preserve"> environmental, based; EU scope visible. This is a provisional connection, not an outcome finding.</w:t>
      </w:r>
    </w:p>
    <w:p>
      <w:pPr>
        <w:pStyle w:val="SourceNote"/>
      </w:pPr>
      <w:r>
        <w:rPr>
          <w:b/>
        </w:rPr>
        <w:t>Available abstract (not full text):</w:t>
      </w:r>
      <w:r>
        <w:t xml:space="preserve"> Fiscal policies can provide important incentives for encouraging the dietary changes needed to achieve global policy targets. Across Europe, the foods relevant to health and the environment often incur reduced but non-zero value-added tax (VAT) rates at about half the maximum rates, which allows for providing both incentives and disincentives. Integrating economic, health and environmental modelling, we show that reforming VAT rates on foods, including increasing rates on meat and dairy, and reducing VAT rates on fruits and vegetables can improve diets and result in health, environmental and economic benefits in most European countries. The health improvements were primarily driven by reductions in VAT rates on fruits and vegetables, whereas most of the environmental and revenue benefits were driven by increased rates on meat and dairy. Our findings suggest that differentiating VAT rates based on health and environmental considerations can support changes towards healthier and more sustainable diets in Europe.</w:t>
      </w:r>
    </w:p>
    <w:p>
      <w:pPr/>
      <w:r>
        <w:rPr>
          <w:b/>
        </w:rPr>
        <w:t>POSSIBLE 2025:</w:t>
      </w:r>
      <w:r>
        <w:t xml:space="preserve"> Spatial Distribution Patterns, Environmental Drivers, and Hotspot Dynamics of the European Rabbit on a Mediterranean Island: Implications for Conservation and Management — https://doi.org/10.3390/biology14030225</w:t>
      </w:r>
    </w:p>
    <w:p>
      <w:pPr/>
      <w:r>
        <w:rPr>
          <w:b/>
        </w:rPr>
        <w:t>Shared claim-specific concepts:</w:t>
      </w:r>
      <w:r>
        <w:t xml:space="preserve"> assess, environmental, implications, balancing; EU scope visible. This is a provisional connection, not an outcome finding.</w:t>
      </w:r>
    </w:p>
    <w:p>
      <w:pPr>
        <w:pStyle w:val="SourceNote"/>
      </w:pPr>
      <w:r>
        <w:rPr>
          <w:b/>
        </w:rPr>
        <w:t>Available abstract (not full text):</w:t>
      </w:r>
      <w:r>
        <w:t xml:space="preserve"> The European rabbit (Oryctolagus cuniculus) presents a significant conservation and management challenge in Greece. While it has been listed in national biodiversity assessments, its population dynamics on the island of Lemnos demonstrate the characteristics of a highly adaptable and rapidly expanding species, exerting substantial ecological and economic impacts. Addressing this issue requires a spatially explicit understanding of its distribution patterns and habitat preferences, particularly given its extensive population growth over the past three decades. To this end, we conducted 40 field surveys across the island, documenting 1534 presence records of the species. We applied Kernel Density Estimation, Getis-Ord Gi *, and Anselin Local Moran’s I to identify the spatial distribution patterns and significant hotspots. A spatial lag model was used to quantify hotspot intensity and clustering dynamics, while abiotic, biotic, and anthropogenic factors were analyzed to assess habitat associations. Our results revealed that rabbit hotspots are predominantly concentrated in fertile lowland agroecosystems, with nearly 60% of high-density areas overlapping conservation zones. Soil and field conditions, grazing-supporting landscapes, and arable and subsidized agricultural areas emerged as significant predictors of O. cuniculus presence. The observed spatial dependencies indicated that</w:t>
      </w:r>
    </w:p>
    <w:p>
      <w:pPr/>
      <w:r>
        <w:rPr>
          <w:b/>
        </w:rPr>
        <w:t>POSSIBLE 2025:</w:t>
      </w:r>
      <w:r>
        <w:t xml:space="preserve"> ASSESSING THE ENVIRONMENTAL AND SOCIOECONOMIC CONSEQUENCES OF FOSSIL FUEL ACTIVITIES IN NIGERIA: IMPLICATIONS FOR SUSTAINABLE DEVELOPMENT AND CLIMATE RESILIENCE — https://doi.org/10.32936/pssj.v9i3.752</w:t>
      </w:r>
    </w:p>
    <w:p>
      <w:pPr/>
      <w:r>
        <w:rPr>
          <w:b/>
        </w:rPr>
        <w:t>Shared claim-specific concepts:</w:t>
      </w:r>
      <w:r>
        <w:t xml:space="preserve"> environmental, implications; EU scope not established. This is a provisional connection, not an outcome finding.</w:t>
      </w:r>
    </w:p>
    <w:p>
      <w:pPr>
        <w:pStyle w:val="SourceNote"/>
      </w:pPr>
      <w:r>
        <w:rPr>
          <w:b/>
        </w:rPr>
        <w:t>Available abstract (not full text):</w:t>
      </w:r>
      <w:r>
        <w:t xml:space="preserve"> This study critically examines the environmental and social impacts of Nigeria’s fossil fuel dependency, focusing on pollution levels, health outcomes, and climate risk exposure within oil-producing regions. Utilizing a comprehensive dataset spanning 2015 to 2023, the analysis employs panel regression and instrumental variable techniques to address potential endogeneity and capture dynamic relationships. Results indicate that fossil fuel extraction and associated activities contribute to environmental degradation and increased vulnerability to climate risks, though the direct statistical significance of some effects remains limited, potentially due to data constraints. The findings underscore the complex interplay between economic development, environmental sustainability, and social wellbeing in resource-rich contexts. Policy recommendations emphasize the importance of strengthening regulatory frameworks, promoting renewable energy transitions, and enhancing community health infrastructure to mitigate adverse effects. The study contributes to the growing body of literature on sustainable development in fossil fuel-dependent economies and highlights avenues for future interdisciplinary research.</w:t>
      </w:r>
    </w:p>
    <w:p>
      <w:pPr/>
      <w:r>
        <w:rPr>
          <w:b/>
        </w:rPr>
        <w:t>POSSIBLE 2025:</w:t>
      </w:r>
      <w:r>
        <w:t xml:space="preserve"> ASSESSING THE IMPACT OF CLIMATE CHANGE ON SUSTAINABLE AGRICULTURAL SYSTEMS IN EASTERN EUROPE: THE ROLE OF LANGUAGE IN ENVIRONMENTAL AWARENESS — https://doi.org/10.59463/rjas.2025.3.39</w:t>
      </w:r>
    </w:p>
    <w:p>
      <w:pPr/>
      <w:r>
        <w:rPr>
          <w:b/>
        </w:rPr>
        <w:t>Shared claim-specific concepts:</w:t>
      </w:r>
      <w:r>
        <w:t xml:space="preserve"> assess, environmental, novel, approach; EU scope visible. This is a provisional connection, not an outcome finding.</w:t>
      </w:r>
    </w:p>
    <w:p>
      <w:pPr>
        <w:pStyle w:val="SourceNote"/>
      </w:pPr>
      <w:r>
        <w:rPr>
          <w:b/>
        </w:rPr>
        <w:t>Available abstract (not full text):</w:t>
      </w:r>
      <w:r>
        <w:t xml:space="preserve"> Climate change poses a significant threat to agricultural sustainability in Eastern Europe, a region characterized by its economic reliance on farming and high vulnerability to climatic shifts.This study adopts a novel, transdisciplinary approach to assess this challenge, integrating agronomic analysis with sociolinguistic inquiry.We investigate the dual hypothesis that climate change is directly impacting the biophysical foundations of sustainable agricultural systems (e.g., soil health, water availability, crop yields) in the region, and that the efficacy of adaptation and mitigation strategies is critically mediated by language and communication.The research employed a mixed-methods design, combining quantitative analysis of climate and agricultural data from national and EU databases with qualitative discourse analysis of agricultural policy documents and media reports, alongside surveys and focus group discussions with farmers in Poland, Romania, and Bulgaria.Our findings confirm a significant trend of rising temperatures, altered precipitation patterns, and increased frequency of extreme weather events, which correlate with heightened soil erosion and water stress, challenging the principles of sustainability.Crucially, the linguistic analysis revealed that the framing of climate change and sustainable practices varies dramatically across different discourse communities.S</w:t>
      </w:r>
    </w:p>
    <w:p>
      <w:pPr/>
      <w:r>
        <w:rPr>
          <w:b/>
        </w:rPr>
        <w:t>POSSIBLE 2025:</w:t>
      </w:r>
      <w:r>
        <w:t xml:space="preserve"> Assessing the environmental, social and economic sustainability of beekeeping activities — https://doi.org/10.1080/00218839.2025.2531315</w:t>
      </w:r>
    </w:p>
    <w:p>
      <w:pPr/>
      <w:r>
        <w:rPr>
          <w:b/>
        </w:rPr>
        <w:t>Shared claim-specific concepts:</w:t>
      </w:r>
      <w:r>
        <w:t xml:space="preserve"> here, environmental, union, diagnostic, approach; EU scope visible. This is a provisional connection, not an outcome finding.</w:t>
      </w:r>
    </w:p>
    <w:p>
      <w:pPr>
        <w:pStyle w:val="SourceNote"/>
      </w:pPr>
      <w:r>
        <w:rPr>
          <w:b/>
        </w:rPr>
        <w:t>Available abstract (not full text):</w:t>
      </w:r>
      <w:r>
        <w:t xml:space="preserve"> The beekeeping sector faces several socio-economic problems and environmental stressors, from increased prices of pharmaceuticals to habitat loss or pesticides. Our study aims to better understand the variables driving the performance of beekeeping activities across the environmental, social, and economic dimensions and derive a diagnostic system. We gathered data on 29 basic indicators from a survey of 66 beekeeping activities located in Lombardy region (Italy), covering a wide range of sizes, experience, and management strategies. We applied a stepwise simplification of the information by which the 29 basic indicators are synthetized in 13 “sub-dimensions” and lastly in three “dimensions” through: (1) identification of the range of variation and normalization and (2) weighting and aggregation. The end user can make a quantitative analysis by relating beekeeping activity performance to the theoretical optimum. Here, years of experience together with activity size were the most relevant factors affecting sustainability. Beekeepers with more experience and larger activities showed higher economic sustainability together with a greater environmental pollination service. Transhumance practice and geographical location were also relevant, with exclusively or partially transhumant beekeepers showing higher economic sustainability than stationary ones, and apiaries located in the low</w:t>
      </w:r>
    </w:p>
    <w:p>
      <w:pPr/>
      <w:r>
        <w:rPr>
          <w:b/>
        </w:rPr>
        <w:t>POSSIBLE 2024:</w:t>
      </w:r>
      <w:r>
        <w:t xml:space="preserve"> HANZE v2.1: an improved database of flood impacts in Europe from 1870 to 2020 — https://doi.org/10.5194/essd-16-5145-2024</w:t>
      </w:r>
    </w:p>
    <w:p>
      <w:pPr/>
      <w:r>
        <w:rPr>
          <w:b/>
        </w:rPr>
        <w:t>Shared claim-specific concepts:</w:t>
      </w:r>
      <w:r>
        <w:t xml:space="preserve"> here, union; EU scope visible. This is a provisional connection, not an outcome finding.</w:t>
      </w:r>
    </w:p>
    <w:p>
      <w:pPr>
        <w:pStyle w:val="SourceNote"/>
      </w:pPr>
      <w:r>
        <w:rPr>
          <w:b/>
        </w:rPr>
        <w:t>Available abstract (not full text):</w:t>
      </w:r>
      <w:r>
        <w:t xml:space="preserve"> Abstract. Assessing long-term trends in flood losses and attributing them to climatic and socio-economic changes requires comprehensive and systematic collection of historical information. Here, we present flood impact data for Europe that is part of the HANZE (Historical Analysis of Natural HaZards) database. The dataset covers riverine, pluvial, coastal and compound floods that have occurred in 42 European countries between 1870 and 2020. The data was obtained by extensive data-collection from more than 800 sources ranging from news reports through government databases to scientific papers. The dataset includes 2521 events characterized by at least one impact statistic: area inundated, fatalities, persons affected or economic loss. Economic losses are presented both in the original currencies and price levels as well as inflation and exchange-rate adjusted to the 2020 value of the euro. The spatial footprint of affected areas is consistently recorded using more than 1400 subnational units corresponding, with minor exceptions, to the European Union’s Nomenclature of Territorial Units for Statistics (NUTS), level 3. Daily start and end dates, information on causes of the event, notes on data quality issues or associated non-flood impacts, and full bibliography of each record supplement the dataset. Apart from the possibility to download the data (https://dx.doi.org/10.5281/zeno</w:t>
      </w:r>
    </w:p>
    <w:p>
      <w:pPr>
        <w:pStyle w:val="Heading2"/>
      </w:pPr>
      <w:r>
        <w:t>541. Implementing Systemic Innovation Strategies for a More Sustainable Future: The Case of Three Overseas Countries and Territories</w:t>
      </w:r>
    </w:p>
    <w:p>
      <w:pPr>
        <w:pStyle w:val="SourceNote"/>
      </w:pPr>
      <w:r>
        <w:rPr>
          <w:b/>
        </w:rPr>
        <w:t>Original source (2022):</w:t>
      </w:r>
      <w:r>
        <w:t xml:space="preserve"> https://doi.org/10.3389/frma.2021.801789</w:t>
      </w:r>
    </w:p>
    <w:p>
      <w:pPr/>
      <w:r>
        <w:t>Original wording (abstract; indexed_source_text_not_full_document_verified): We conclude by discussing the potential implications of this foresight approach for the sustainable development and transformation of other less-favoured regions and territories.</w:t>
      </w:r>
    </w:p>
    <w:p>
      <w:pPr/>
      <w:r>
        <w:rPr>
          <w:b/>
        </w:rPr>
        <w:t>POSSIBLE 2026:</w:t>
      </w:r>
      <w:r>
        <w:t xml:space="preserve"> Concluding Comments — https://doi.org/10.4324/9781003645337-16</w:t>
      </w:r>
    </w:p>
    <w:p>
      <w:pPr/>
      <w:r>
        <w:rPr>
          <w:b/>
        </w:rPr>
        <w:t>Shared claim-specific concepts:</w:t>
      </w:r>
      <w:r>
        <w:t xml:space="preserve"> potential, implications; EU scope not established. This is a provisional connection, not an outcome finding.</w:t>
      </w:r>
    </w:p>
    <w:p>
      <w:pPr>
        <w:pStyle w:val="SourceNote"/>
      </w:pPr>
      <w:r>
        <w:rPr>
          <w:b/>
        </w:rPr>
        <w:t>Available abstract (not full text):</w:t>
      </w:r>
      <w:r>
        <w:t xml:space="preserve"> The final chapter reflects on the broader implications of Integrative Systemic Therapy (IST) for clinical practice with children, adolescents, and families. It revisits the core principles of the model and highlights its capacity to integrate diverse theoretical perspectives while maintaining a clear clinical focus. The chapter discusses the relevance of IST in contemporary practice and its potential for ongoing development. It also considers how therapists can continue to refine their skills and adapt the framework to new contexts and challenges. The book concludes by emphasizing the importance of collaboration, flexibility, and systemic thinking in supporting families through processes of change and adaptation.</w:t>
      </w:r>
    </w:p>
    <w:p>
      <w:pPr/>
      <w:r>
        <w:rPr>
          <w:b/>
        </w:rPr>
        <w:t>POSSIBLE 2026:</w:t>
      </w:r>
      <w:r>
        <w:t xml:space="preserve"> FORESIGHT AS AN INNOVATIVE METHOD OF BUSINESS DEVELOPMENT: FROM PREDICTION TO CONSTRUCTING THE FUTURE — https://doi.org/10.36871/ek.up.p.r.2026.01.12.018</w:t>
      </w:r>
    </w:p>
    <w:p>
      <w:pPr/>
      <w:r>
        <w:rPr>
          <w:b/>
        </w:rPr>
        <w:t>Shared claim-specific concepts:</w:t>
      </w:r>
      <w:r>
        <w:t xml:space="preserve"> foresight, approach; EU scope not established. This is a provisional connection, not an outcome finding.</w:t>
      </w:r>
    </w:p>
    <w:p>
      <w:pPr>
        <w:pStyle w:val="SourceNote"/>
      </w:pPr>
      <w:r>
        <w:rPr>
          <w:b/>
        </w:rPr>
        <w:t>Available abstract (not full text):</w:t>
      </w:r>
      <w:r>
        <w:t xml:space="preserve"> In the context of growing uncertainty and accelerating technological change, traditional forecasting methods are no longer sufficient for strategic business management. The purpose of this article is to reveal the essence of foresight as an innovative method of business development, to characterize its methodological apparatus and to show the possibilities of practical application based on the analysis of foreign and domestic experience, including the prospects for adapting the method for small and medium-sized businesses. This article focuses on foresight — an innovative approach to working with the future, which is actively used in the corporate sector to identify new opportunities, reduce risks, and formulate long-term strategy. The theoretical foundations of foresight, its differences from classical forecasting, key methods (horizon scanning, Delphi method, scenario planning, roadmaps, morphological analysis) and implementation stages are examined. Examples of foresight application in foreign and Russian companies, including the experience of small and medium-sized businesses, are provided, and the advantages and limitations of the method are discussed. Special attention is paid to current trends — the digitalization of foresight and its integration with the Agile approach. It is concluded that foresight is becoming an essential tool for innovative development, enabling bus</w:t>
      </w:r>
    </w:p>
    <w:p>
      <w:pPr/>
      <w:r>
        <w:rPr>
          <w:b/>
        </w:rPr>
        <w:t>POSSIBLE 2026:</w:t>
      </w:r>
      <w:r>
        <w:t xml:space="preserve"> The next episode for narrative foresight — https://doi.org/10.1016/j.futures.2026.103876</w:t>
      </w:r>
    </w:p>
    <w:p>
      <w:pPr/>
      <w:r>
        <w:rPr>
          <w:b/>
        </w:rPr>
        <w:t>Shared claim-specific concepts:</w:t>
      </w:r>
      <w:r>
        <w:t xml:space="preserve"> conclude, foresight, approach; EU scope not established. This is a provisional connection, not an outcome finding.</w:t>
      </w:r>
    </w:p>
    <w:p>
      <w:pPr>
        <w:pStyle w:val="SourceNote"/>
      </w:pPr>
      <w:r>
        <w:rPr>
          <w:b/>
        </w:rPr>
        <w:t>Available abstract (not full text):</w:t>
      </w:r>
      <w:r>
        <w:t xml:space="preserve"> Narratives serve as powerful tools in futures studies, as they enable people to engage with different types of futures through identification, emotional connection, and immersion. To establish this, we contribute to narrative foresight by introducing the narratives-with-branches methodology which is a systematic approach for translating participatory ideas into possible futures. To be more specific, we discuss four narratives concerning futures of hybrid work, each constructed around paradoxes and tipping points that open space for thinking of possible future trajectories. The narratives were developed and refined through a multi-stage process involving expert consultation, stakeholder engagement, and a participatory workshop we mainly focus on. In the narratives-with-branches methodology , workshop-generated ideas are interpreted as inputs, formulated into episodes, and clustered into episode themes. We classify these themes as repeating , ephemeral , or obscure , corresponding to plausible , possible , and radical futures respectively. While we focus on the use of the methodology only in one case, we discuss how the methodology provides a conceptual machinery for branching narratives in structured but flexible ways. We discuss how collective intelligence in the form of a workshop discussion can branch baseline narratives toward preferred futures and how the methodology can be</w:t>
      </w:r>
    </w:p>
    <w:p>
      <w:pPr/>
      <w:r>
        <w:rPr>
          <w:b/>
        </w:rPr>
        <w:t>POSSIBLE 2026:</w:t>
      </w:r>
      <w:r>
        <w:t xml:space="preserve"> Designing a pluriversal foresight epistemology and schematic, an essay — https://doi.org/10.1186/s40309-026-00296-6</w:t>
      </w:r>
    </w:p>
    <w:p>
      <w:pPr/>
      <w:r>
        <w:rPr>
          <w:b/>
        </w:rPr>
        <w:t>Shared claim-specific concepts:</w:t>
      </w:r>
      <w:r>
        <w:t xml:space="preserve"> foresight, approach, territories; EU scope not established. This is a provisional connection, not an outcome finding.</w:t>
      </w:r>
    </w:p>
    <w:p>
      <w:pPr>
        <w:pStyle w:val="SourceNote"/>
      </w:pPr>
      <w:r>
        <w:rPr>
          <w:b/>
        </w:rPr>
        <w:t>Available abstract (not full text):</w:t>
      </w:r>
      <w:r>
        <w:t xml:space="preserve"> This article emerges from a reflection on how current global transitions and paradigm shift (the Anthropocene, Artificial Intelligence revolution and post-colonial era being some of its markers) impact conventional western epistemologies; could it be possible, in the more open field of futures research, to explore an innovative pluralistic epistemological position? An academic research project on futurescaping , which includes an experiment on the future of museums, i.e. organizations deeply impacted by these transitions, becomes a context to engage an investigation shared in this article—following a presentation at the WFSF 26th Conference 2025, Stellenbosch University, Cape Town. The method consists in revisiting and continuing the post-structural and decolonial approach of foresight epistemology developed by Inayatullah [ 1 ] in his seminal essay Deconstructing Reconstructing the Future published in 1990, which already highlighted the limits of western epistemologies. Each of the three reviewed epistemology categories (predictive-positivist, cultural-hermeneutic, and critical-post-structural) is confronted with the current critical challenges mentioned before and enriched by new theoretical inputs to bridge and weave western and non-western knowledge towards the design of what could be a pluriversal epistemology. Its conceptual architecture takes the shape of a foundational </w:t>
      </w:r>
    </w:p>
    <w:p>
      <w:pPr/>
      <w:r>
        <w:rPr>
          <w:b/>
        </w:rPr>
        <w:t>POSSIBLE 2026:</w:t>
      </w:r>
      <w:r>
        <w:t xml:space="preserve"> Foresight Insight for the Transformational Imperative: Toward a Futures-Oriented Evaluation Practice — https://doi.org/10.56645/jmde.v22i53.1315</w:t>
      </w:r>
    </w:p>
    <w:p>
      <w:pPr/>
      <w:r>
        <w:rPr>
          <w:b/>
        </w:rPr>
        <w:t>Shared claim-specific concepts:</w:t>
      </w:r>
      <w:r>
        <w:t xml:space="preserve"> foresight, approach, transformation; EU scope not established. This is a provisional connection, not an outcome finding.</w:t>
      </w:r>
    </w:p>
    <w:p>
      <w:pPr>
        <w:pStyle w:val="SourceNote"/>
      </w:pPr>
      <w:r>
        <w:rPr>
          <w:b/>
        </w:rPr>
        <w:t>Available abstract (not full text):</w:t>
      </w:r>
      <w:r>
        <w:t xml:space="preserve"> This article argues that evaluation must radically reorient to meet the transformational imperative posed by the global polycrisis. It critiques evaluation-as-usual (e.g., retrospective, technocratic, and short-term) for reinforcing the systems it purports to assess, and proposes Transformative Foresight (TF) as not merely a technical shift, but as a paradigmatic reorientation that integrates anticipatory, participatory, and decolonial practices into evaluation, moving beyond incremental improvement toward systemic transformation. The authors use three TF subtypes—Trauma-Transformative, Queer, and Indigenous Foresight—that center healing, justice, and relationality in how futures are imagined, evidenced, and governed. A mini case study supports each subtype. This approach expands validity, rigor, and evidence to include affect, stories, ritual, and futures consciousness, and cultivate H2+ niches within the Three Horizons framework. Using Causal Layered Analysis and the Twelve Principles of Transformation-Focused Evaluation as scaffolds, the article repositions evaluators as companions of systemic transition rather than neutral auditors. It concludes with suggestions for funders, evaluators, and communities. They should adopt foresight-driven, justice-oriented practices. This will help make evaluation an anticipatory, reparative, and ecological tool. Together, they can co-create</w:t>
      </w:r>
    </w:p>
    <w:p>
      <w:pPr/>
      <w:r>
        <w:rPr>
          <w:b/>
        </w:rPr>
        <w:t>POSSIBLE 2026:</w:t>
      </w:r>
      <w:r>
        <w:t xml:space="preserve"> The Three Fashion Times: A multitemporal framework towards a fashion foresight approach — https://doi.org/10.1016/j.futures.2026.103772</w:t>
      </w:r>
    </w:p>
    <w:p>
      <w:pPr/>
      <w:r>
        <w:rPr>
          <w:b/>
        </w:rPr>
        <w:t>Shared claim-specific concepts:</w:t>
      </w:r>
      <w:r>
        <w:t xml:space="preserve"> foresight, approach, sustainable; EU scope not established. This is a provisional connection, not an outcome finding.</w:t>
      </w:r>
    </w:p>
    <w:p>
      <w:pPr>
        <w:pStyle w:val="SourceNote"/>
      </w:pPr>
      <w:r>
        <w:rPr>
          <w:b/>
        </w:rPr>
        <w:t>Available abstract (not full text):</w:t>
      </w:r>
      <w:r>
        <w:t xml:space="preserve"> Drawing on a reflection-in-action methodological approach, this paper proposes a three-layered temporal framework that transcends the short-termism of fashion trends to embrace a more complex perspective on fashion and futures. The Three Fashion Times comprises distinct yet interconnected temporalities that aim to conceptually inform alternative futures-thinking practices in the fashion field, more closely aligned with foresight and the deep roots of sustainability. Ultimately, this multilayered framework advocates for an expanded understanding of the relationships between fashion and time, suggesting conceptual seeds for illuminating paths for a fashion foresight practice through which fashion can become truly sustainable.</w:t>
      </w:r>
    </w:p>
    <w:p>
      <w:pPr/>
      <w:r>
        <w:rPr>
          <w:b/>
        </w:rPr>
        <w:t>POSSIBLE 2026:</w:t>
      </w:r>
      <w:r>
        <w:t xml:space="preserve"> Strategic Foresight for FinTech Governance: A Scenario-Based MCDA Approach for Kuwait — https://doi.org/10.3390/fintech5010008</w:t>
      </w:r>
    </w:p>
    <w:p>
      <w:pPr/>
      <w:r>
        <w:rPr>
          <w:b/>
        </w:rPr>
        <w:t>Shared claim-specific concepts:</w:t>
      </w:r>
      <w:r>
        <w:t xml:space="preserve"> foresight, approach, other; EU scope not established. This is a provisional connection, not an outcome finding.</w:t>
      </w:r>
    </w:p>
    <w:p>
      <w:pPr>
        <w:pStyle w:val="SourceNote"/>
      </w:pPr>
      <w:r>
        <w:rPr>
          <w:b/>
        </w:rPr>
        <w:t>Available abstract (not full text):</w:t>
      </w:r>
      <w:r>
        <w:t xml:space="preserve"> This study investigates how strategic foresight can enhance FinTech governance and policy resilience in emerging economies, using Kuwait as an illustrative case. It aims to identify which foresight interventions should be prioritized across alternative futures to strengthen innovation, security, and institutional adaptability within the digital finance ecosystem. A scenario-based Multi-Criteria Decision Analysis (MCDA) framework is applied, combining the Analytic Hierarchy Process (AHP) and the Technique for Order Preference by Similarity to Ideal Solution (TOPSIS). Expert evaluations were conducted to assess five foresight interventions against eight policy and performance criteria across three plausible scenarios: Optimistic Growth, Status Quo, and Crisis and Contraction. Sensitivity analyses were performed to validate the stability of intervention rankings. The results reveal distinct priorities under each scenario: SME-oriented digital finance platforms and talent development dominate under growth and stability, while cybersecurity investment becomes paramount during crisis conditions. Regulatory fast-tracking maintains a consistent, moderate influence across all contexts. These outcomes underscore the need for adaptive, context-sensitive policy design that accommodates uncertainty. The framework provides policymakers with a structured approach to align FinTech strategies w</w:t>
      </w:r>
    </w:p>
    <w:p>
      <w:pPr/>
      <w:r>
        <w:rPr>
          <w:b/>
        </w:rPr>
        <w:t>POSSIBLE 2025:</w:t>
      </w:r>
      <w:r>
        <w:t xml:space="preserve"> Concluding Remarks — https://doi.org/10.1017/9781009381437.012</w:t>
      </w:r>
    </w:p>
    <w:p>
      <w:pPr/>
      <w:r>
        <w:rPr>
          <w:b/>
        </w:rPr>
        <w:t>Shared claim-specific concepts:</w:t>
      </w:r>
      <w:r>
        <w:t xml:space="preserve"> conclude, potential, approach, other; EU scope not established. This is a provisional connection, not an outcome finding.</w:t>
      </w:r>
    </w:p>
    <w:p>
      <w:pPr>
        <w:pStyle w:val="SourceNote"/>
      </w:pPr>
      <w:r>
        <w:rPr>
          <w:b/>
        </w:rPr>
        <w:t>Available abstract (not full text):</w:t>
      </w:r>
      <w:r>
        <w:t xml:space="preserve"> Chapter 11 starts with embedding the framework of Direction Dependence Analysis (DDA) into the methodological landscape of approaches to establishing causal effects. Specifically, it discusses the role of DDA relative to randomized experiments and describes three application scenarios in which DDA provides novel insights into the causal mechanisms underlying variable relations. It then discusses the use of statistical principles of DDA that emerge from incorporating non-Gaussianity information in existing methods for causal inference such as instrumental variable estimation, cross-lagged panel modeling, Granger-causality testing, and estimating models of reciprocal causation. For each approach, we outline how and to what extent principles of DDA can aid the pursuit of consistently estimating causal effects. The chapter closes with potential extensions of DDA principles to the categorical data domain and a reminder of the importance of data quality when applying DDA in practice. Here, it focuses on potential adverse effects of measurement error, the role of psychometric measurement of constructs of interest, and other forms of data contamination that can bias DDA decisions (e.g., ceiling/floor effects). Overall, however, we conclude that DDA and related methods that use non-Gaussian information for studying causation constitute an exciting and developing field of methods researc</w:t>
      </w:r>
    </w:p>
    <w:p>
      <w:pPr/>
      <w:r>
        <w:rPr>
          <w:b/>
        </w:rPr>
        <w:t>POSSIBLE 2025:</w:t>
      </w:r>
      <w:r>
        <w:t xml:space="preserve"> Foresight in heritage: fostering future consciousness to proactively face change — https://doi.org/10.1108/jchmsd-12-2024-0298</w:t>
      </w:r>
    </w:p>
    <w:p>
      <w:pPr/>
      <w:r>
        <w:rPr>
          <w:b/>
        </w:rPr>
        <w:t>Shared claim-specific concepts:</w:t>
      </w:r>
      <w:r>
        <w:t xml:space="preserve"> conclude, implications, foresight, approach, regions; EU scope visible. This is a provisional connection, not an outcome finding.</w:t>
      </w:r>
    </w:p>
    <w:p>
      <w:pPr>
        <w:pStyle w:val="SourceNote"/>
      </w:pPr>
      <w:r>
        <w:rPr>
          <w:b/>
        </w:rPr>
        <w:t>Available abstract (not full text):</w:t>
      </w:r>
      <w:r>
        <w:t xml:space="preserve"> Purpose This paper introduces Foresight as a structured approach that is increasingly employed across industries and disciplines for anticipating future change and proposes its utility for the heritage sector. We illustrate how integrating greater Foresight into heritage practice can encourage proactive engagement with emerging trends; develop resilient strategies for heritage research, planning and management; and locate where heritage-based actions can bring transformative change for both communities and societies. Design/methodology/approach This paper presents research undertaken as part of the Alliance for Cultural Heritage Research in Europe (ARCHE) to inform a new Strategic Research and Innovation Agenda. We analysed foresight and future-oriented publications from a range of disciplines to consolidate insights on current and emerging trends across sectors and global regions and to understand the heritage sector's engagement with Foresight approaches thus far. Findings The analysis identifies several drivers shaping our existing and future landscape and their implications for heritage research and practice. It also highlights opportunities for action where heritage can have a vital role in shaping futures and catalysing societal benefits. To conclude, the paper discusses gaps in the current body of heritage foresight research and identifies avenues to produce a more robus</w:t>
      </w:r>
    </w:p>
    <w:p>
      <w:pPr/>
      <w:r>
        <w:rPr>
          <w:b/>
        </w:rPr>
        <w:t>POSSIBLE 2025:</w:t>
      </w:r>
      <w:r>
        <w:t xml:space="preserve"> Exploring Pathways for Change: A Practice‐Oriented Integration of Foresight and Sustainability Transitions — https://doi.org/10.1002/ffo2.209</w:t>
      </w:r>
    </w:p>
    <w:p>
      <w:pPr/>
      <w:r>
        <w:rPr>
          <w:b/>
        </w:rPr>
        <w:t>Shared claim-specific concepts:</w:t>
      </w:r>
      <w:r>
        <w:t xml:space="preserve"> potential, foresight, sustainable, transformation; EU scope not established. This is a provisional connection, not an outcome finding.</w:t>
      </w:r>
    </w:p>
    <w:p>
      <w:pPr>
        <w:pStyle w:val="SourceNote"/>
      </w:pPr>
      <w:r>
        <w:rPr>
          <w:b/>
        </w:rPr>
        <w:t>Available abstract (not full text):</w:t>
      </w:r>
      <w:r>
        <w:t xml:space="preserve"> ABSTRACT The world is on a trajectory to exceed the 1.5‐degree target set by the Paris Agreement. As the effects of climate change become increasingly evident, there is a pressing need to fundamentally transform our societies towards just and sustainable futures. This paper presents a practical methodology for guiding collaborative transformation processes towards sustainability. Our aim is to contribute to the development of tools that combine insights from foresight with theories from the sustainability transitions literature, specifically scenario planning and multi‐level perspective (MLP) approaches. Foresight and sustainability transitions both aim to understand long‐term trends shaping production and consumption systems and guide transitions to more desirable socio‐technical regimes. However, few scholars have examined overlaps between the fields and explored the potential for practical integration in workshop settings. The MLP can benefit from scenario planning by incorporating directionality and pluralism of futures in transition processes, while the MLP provides a structure for understanding system dynamics and socio‐technical change to scenario planning. In this paper, we share our experiences using an integrated MLP‐scenario planning framework in a workshop setting where actors from the Swedish food system explored prospective transitions. Using backcasting and pre‐m</w:t>
      </w:r>
    </w:p>
    <w:p>
      <w:pPr/>
      <w:r>
        <w:rPr>
          <w:b/>
        </w:rPr>
        <w:t>POSSIBLE 2025:</w:t>
      </w:r>
      <w:r>
        <w:t xml:space="preserve"> Exploring the future of occupational safety research: A strategic foresight approach — https://doi.org/10.1080/15459624.2025.2537397</w:t>
      </w:r>
    </w:p>
    <w:p>
      <w:pPr/>
      <w:r>
        <w:rPr>
          <w:b/>
        </w:rPr>
        <w:t>Shared claim-specific concepts:</w:t>
      </w:r>
      <w:r>
        <w:t xml:space="preserve"> potential, foresight, approach; EU scope not established. This is a provisional connection, not an outcome finding.</w:t>
      </w:r>
    </w:p>
    <w:p>
      <w:pPr>
        <w:pStyle w:val="SourceNote"/>
      </w:pPr>
      <w:r>
        <w:rPr>
          <w:b/>
        </w:rPr>
        <w:t>Available abstract (not full text):</w:t>
      </w:r>
      <w:r>
        <w:t xml:space="preserve"> A team from the U.S. National Institute for Occupational Safety and Health conducted a strategic foresight project to explore the future of occupational safety research (OSR). Data collected via systematic horizon scanning and key informant interviews were synthesized into six drivers of OSR change: (1) technological advancement, (2) partnerships and public trust, (3) prioritizing research investments, (4) safety and health integration, (5) data and science quality, and (6) worker protections. These drivers served as the basis for envisioning four potential OSR futures. Analysis of the resulting scenarios identified opportunities to enhance and advance OSR methods and approaches, innovation, systems thinking, interpersonal networks and connections, and the ethical application of scientific findings as we move into the future of work.</w:t>
      </w:r>
    </w:p>
    <w:p>
      <w:pPr/>
      <w:r>
        <w:rPr>
          <w:b/>
        </w:rPr>
        <w:t>POSSIBLE 2025:</w:t>
      </w:r>
      <w:r>
        <w:t xml:space="preserve"> The role of foresight in public policy: lessons from deliberative democracy and perspectival realism — https://doi.org/10.1186/s40309-024-00246-0</w:t>
      </w:r>
    </w:p>
    <w:p>
      <w:pPr/>
      <w:r>
        <w:rPr>
          <w:b/>
        </w:rPr>
        <w:t>Shared claim-specific concepts:</w:t>
      </w:r>
      <w:r>
        <w:t xml:space="preserve"> foresight, approach; EU scope not established. This is a provisional connection, not an outcome finding.</w:t>
      </w:r>
    </w:p>
    <w:p>
      <w:pPr>
        <w:pStyle w:val="SourceNote"/>
      </w:pPr>
      <w:r>
        <w:rPr>
          <w:b/>
        </w:rPr>
        <w:t>Available abstract (not full text):</w:t>
      </w:r>
      <w:r>
        <w:t xml:space="preserve"> Abstract Foresight plays an important role in public policy development. The foresight learning process brings together various actors in the policy community and incentivizes them to think about the future. It encourages new ways of thinking and approaches to strategy and is a practical approach to using the future to inform decisions and actions in the present. Foresight faces challenges in becoming embedded in the policy process. One of these challenges is in establishing its epistemic authority when compared to natural science and social science disciplines. This paper argues foresight can benefit from developments in political theory and philosophy of science. Democratic deliberation is an approach to public discourse which emphasizes pluralism in debate and provides a detailed account of how reason-giving can add epistemic depth to foresight’s contribution to policy. Perspectival realism is a theory in philosophy of science which identifies the interplay between separate epistemic communities as the key mechanism in scientific development. The modal models that these epistemic communities create present a new way of understanding foresight’s study of the future and its part in the weave of scientific evidence, opinion and analysis that constitute policy development in a democratic society.</w:t>
      </w:r>
    </w:p>
    <w:p>
      <w:pPr>
        <w:pStyle w:val="Heading2"/>
      </w:pPr>
      <w:r>
        <w:t>542. Integrated energy planning to meet 2050 European targets: A Southern Italian region case study</w:t>
      </w:r>
    </w:p>
    <w:p>
      <w:pPr>
        <w:pStyle w:val="SourceNote"/>
      </w:pPr>
      <w:r>
        <w:rPr>
          <w:b/>
        </w:rPr>
        <w:t>Original source (2022):</w:t>
      </w:r>
      <w:r>
        <w:t xml:space="preserve"> https://doi.org/10.1016/j.esr.2022.100844</w:t>
      </w:r>
    </w:p>
    <w:p>
      <w:pPr/>
      <w:r>
        <w:t>Original wording (abstract; indexed_source_text_not_full_document_verified): The 2030 ‘transition scenario’ is characterized by a reduction in GHG emissions. The results obtained show that the 2030 ‘transition’ scenario is characterized by a reduction in the “1990 CO2 emissions” of approximately 45%.</w:t>
      </w:r>
    </w:p>
    <w:p>
      <w:pPr/>
      <w:r>
        <w:rPr>
          <w:b/>
        </w:rPr>
        <w:t>POSSIBLE 2026:</w:t>
      </w:r>
      <w:r>
        <w:t xml:space="preserve"> Circular Economy and Energy Transition as Drivers of Carbon Emission Reduction: Evidence from Central and Eastern European Countries — https://doi.org/10.3390/su18147209</w:t>
      </w:r>
    </w:p>
    <w:p>
      <w:pPr/>
      <w:r>
        <w:rPr>
          <w:b/>
        </w:rPr>
        <w:t>Shared claim-specific concepts:</w:t>
      </w:r>
      <w:r>
        <w:t xml:space="preserve"> transition, reduction, emissions; EU scope visible. This is a provisional connection, not an outcome finding.</w:t>
      </w:r>
    </w:p>
    <w:p>
      <w:pPr>
        <w:pStyle w:val="SourceNote"/>
      </w:pPr>
      <w:r>
        <w:rPr>
          <w:b/>
        </w:rPr>
        <w:t>Available abstract (not full text):</w:t>
      </w:r>
      <w:r>
        <w:t xml:space="preserve"> Reducing carbon emissions has become a central objective of sustainable development policies as countries seek to address the environmental challenges associated with climate change and resource depletion. In this context, circular economy practices and energy transition policies have emerged as key mechanisms for achieving environmental sustainability. This study examines the determinants of carbon emissions within the framework of the circular economy and energy transition for selected Central and Eastern European countries (Romania, Poland, Hungary, Bulgaria, Slovakia, and Slovenia) over the period 2010–2024. Using panel data analysis, the study incorporates key variables including circular economy, economic growth, recycling, renewable energy consumption, and urbanization. To enhance the reliability of the empirical estimates, panel unit root tests, the Hausman specification test, fixed-effects estimation, and Driscoll–Kraay robust standard errors are employed to address heteroskedasticity, serial correlation, and cross-sectional dependence. The results indicate that improvements in circular economy practices together with greater renewable energy use are associated with lower carbon emissions, providing empirical support for the proposed hypotheses. Recycling activities are found to increase emissions in the short run, indicating energy-intensive processes. In contrast, th</w:t>
      </w:r>
    </w:p>
    <w:p>
      <w:pPr/>
      <w:r>
        <w:rPr>
          <w:b/>
        </w:rPr>
        <w:t>POSSIBLE 2026:</w:t>
      </w:r>
      <w:r>
        <w:t xml:space="preserve"> Spatial Analysis of the Progress of Energy Transition in Europe — https://doi.org/10.3390/en19020353</w:t>
      </w:r>
    </w:p>
    <w:p>
      <w:pPr/>
      <w:r>
        <w:rPr>
          <w:b/>
        </w:rPr>
        <w:t>Shared claim-specific concepts:</w:t>
      </w:r>
      <w:r>
        <w:t xml:space="preserve"> transition, emissions, obtained; EU scope visible. This is a provisional connection, not an outcome finding.</w:t>
      </w:r>
    </w:p>
    <w:p>
      <w:pPr>
        <w:pStyle w:val="SourceNote"/>
      </w:pPr>
      <w:r>
        <w:rPr>
          <w:b/>
        </w:rPr>
        <w:t>Available abstract (not full text):</w:t>
      </w:r>
      <w:r>
        <w:t xml:space="preserve"> The aim of the presented research was to conduct a spatial analysis of the progress of energy transition in countries of the European Union. The energy transition is understood as replacing fossil fuels with renewable energy sources, reducing greenhouse gas emissions, and improving the energy efficiency of the EU economy. The analysis used statistical data obtained from Eurostat. These data were subjected to spatial analysis, enabling the identification of hot spots and clusters representing spatial variations in the degree of transformation progress. This allowed for the identification of countries with similar dynamics of change, as well as the differences between clusters. The weights of the explanatory variables and the energy transition progress index (ETPI) were also determined. The results obtained allowed the proposal of strategies and energy policies for individual clusters. The ETPI clearly shows that more than half of the EU countries have values of this index below their average. The maximum value of the index is 67% (for Denmark), and only two countries achieved an index of 50%. Therefore, even the leaders of the transition did not achieve their goals completely. There are still areas that need improvement, such as the decarbonization of transportation, industry, and construction. Countries that are lagging behind in their transition should implement measures to ac</w:t>
      </w:r>
    </w:p>
    <w:p>
      <w:pPr/>
      <w:r>
        <w:rPr>
          <w:b/>
        </w:rPr>
        <w:t>POSSIBLE 2026:</w:t>
      </w:r>
      <w:r>
        <w:t xml:space="preserve"> UKRAINE’S TRANSITION TO THE EUROPEAN VERTICAL REFERENCE SYSTEM (EVRS): GEODETIC PRECONDITIONS AND SPATIAL IMPLICATIONS — https://doi.org/10.25128/2519-4577.26.1.13</w:t>
      </w:r>
    </w:p>
    <w:p>
      <w:pPr/>
      <w:r>
        <w:rPr>
          <w:b/>
        </w:rPr>
        <w:t>Shared claim-specific concepts:</w:t>
      </w:r>
      <w:r>
        <w:t xml:space="preserve"> transition, characterized, reduction; EU scope visible. This is a provisional connection, not an outcome finding.</w:t>
      </w:r>
    </w:p>
    <w:p>
      <w:pPr>
        <w:pStyle w:val="SourceNote"/>
      </w:pPr>
      <w:r>
        <w:rPr>
          <w:b/>
        </w:rPr>
        <w:t>Available abstract (not full text):</w:t>
      </w:r>
      <w:r>
        <w:t xml:space="preserve"> The purpose of this article is to analyze the geodetic prerequisites, methodological foundations, and spatial consequences of Ukraine’s transition from the Baltic Height System of 1977 (BHS-77) to the European Vertical Reference System (EVRS). The study focuses on substantiating the necessity of implementing a unified and modern vertical reference framework as a basis for improving the accuracy, consistency, and interoperability of national geospatial data. Particular attention is paid to the regional distribution of height differences between BHS-77 and EVRS, as well as to the role of EVRF2019_AMST/NH in harmonizing height data with European geodetic standards. The impact of the selected vertical reference system on the quality of digital elevation models (DEM), spatial analysis, and geoinformation products is also examined. Methodology. The research is based on a systematic analysis of regulatory documents governing the implementation of EVRS, as well as a review of scientific publications devoted to vertical reference systems, geoid and quasigeoid modeling, and precise levelling. A comparative assessment of the characteristics of BHS-77 and EVRS was conducted using official cartographic materials, results of the European Vertical Reference Frame EVRF2019, and GNSS-derived height data. Methods of spatial analysis and cartographic generalization were applied to identify region</w:t>
      </w:r>
    </w:p>
    <w:p>
      <w:pPr/>
      <w:r>
        <w:rPr>
          <w:b/>
        </w:rPr>
        <w:t>POSSIBLE 2026:</w:t>
      </w:r>
      <w:r>
        <w:t xml:space="preserve"> Green Transition in Europe: The Effectiveness of Environmental Taxes and Green Innovation in Reducing CO2 Emissions — https://doi.org/10.3390/economies14060231</w:t>
      </w:r>
    </w:p>
    <w:p>
      <w:pPr/>
      <w:r>
        <w:rPr>
          <w:b/>
        </w:rPr>
        <w:t>Shared claim-specific concepts:</w:t>
      </w:r>
      <w:r>
        <w:t xml:space="preserve"> transition, emissions, co2; EU scope visible. This is a provisional connection, not an outcome finding.</w:t>
      </w:r>
    </w:p>
    <w:p>
      <w:pPr>
        <w:pStyle w:val="SourceNote"/>
      </w:pPr>
      <w:r>
        <w:rPr>
          <w:b/>
        </w:rPr>
        <w:t>Available abstract (not full text):</w:t>
      </w:r>
      <w:r>
        <w:t xml:space="preserve"> This study examines the determinants of carbon dioxide (CO2) emissions across 25 European Union countries over the period 2000–2021, with particular emphasis on the roles of environmental taxation and green innovation in shaping environmental sustainability. The analysis is grounded in ecological modernization theory, endogenous growth theory, and the Environmental Kuznets Curve hypothesis, which collectively explain the long-run and dynamic interactions between environmental policy, economic activity, structural transformation, and environmental outcomes. To ensure robust empirical inference, this study applies a comprehensive econometric framework that accounts for cross-sectional dependence, heterogeneity, non-stationarity, cointegration, and endogeneity. The empirical strategy begins with Pesaran cross-sectional dependence tests and slope heterogeneity diagnostics, followed by second-generation panel unit root tests (Pesaran CADF/CIPS) and Westerlund cointegration tests to establish the existence of long-run equilibrium relationships among the variables. Long-run coefficients are estimated using Fully Modified Ordinary Least Squares (FMOLS), Dynamic Ordinary Least Squares (DOLS), Canonical Cointegrating Regression (CCR), and Common Correlated Effects Mean Group (CCEMG) estimators. In addition, the Panel Autoregressive Distributed Lag (ARDL) model is employed to capture both</w:t>
      </w:r>
    </w:p>
    <w:p>
      <w:pPr/>
      <w:r>
        <w:rPr>
          <w:b/>
        </w:rPr>
        <w:t>POSSIBLE 2026:</w:t>
      </w:r>
      <w:r>
        <w:t xml:space="preserve"> Regional Energy Transition: Decoupling CO2 Emissions and Policy Perspectives — https://doi.org/10.3390/su18020652</w:t>
      </w:r>
    </w:p>
    <w:p>
      <w:pPr/>
      <w:r>
        <w:rPr>
          <w:b/>
        </w:rPr>
        <w:t>Shared claim-specific concepts:</w:t>
      </w:r>
      <w:r>
        <w:t xml:space="preserve"> transition, reduction, emissions, show, co2; EU scope visible. This is a provisional connection, not an outcome finding.</w:t>
      </w:r>
    </w:p>
    <w:p>
      <w:pPr>
        <w:pStyle w:val="SourceNote"/>
      </w:pPr>
      <w:r>
        <w:rPr>
          <w:b/>
        </w:rPr>
        <w:t>Available abstract (not full text):</w:t>
      </w:r>
      <w:r>
        <w:t xml:space="preserve"> This study examines the relationship between energy consumption and energy-related CO2 emissions for a sample of 79 reporting entities, grouped into seven regions, over the period 2013–2023. The methodology uses three empirical tools: (i) Tapio elasticity to classify types of decoupling; (ii) Kaya–LMDI decomposition to identify factors that determine emissions; and (iii) a log-difference panel model to separate year- and country-specific effects. The results indicate a reduction in carbon intensity in all regions, more pronounced in Europe and North America. According to the Tapio classification, Europe is in recessive decoupling, the Middle East is on the verge of expansive decoupling, North and South America are in strong expansive decoupling, and Asia Pacific, Africa, and CIS show only weak signals of expansive decoupling. The LMDI results show that, in regions with strong decoupling, the decrease in carbon intensity contributes to reducing emissions. In those with weak decoupling, the effects are partially canceled out by population growth and energy demand. Finally, the fixed-effects panel model does not identify any structural decoupling at the regional level. Overall, this study contributes to the literature by separating long-term structural effects from annual fluctuations. On this basis, we provide clear guidelines for designing regional energy policies.</w:t>
      </w:r>
    </w:p>
    <w:p>
      <w:pPr/>
      <w:r>
        <w:rPr>
          <w:b/>
        </w:rPr>
        <w:t>POSSIBLE 2026:</w:t>
      </w:r>
      <w:r>
        <w:t xml:space="preserve"> Sustainable Development Regimes, Transition Dynamics and Environmental Performance in the European Union — https://doi.org/10.3390/su18147219</w:t>
      </w:r>
    </w:p>
    <w:p>
      <w:pPr/>
      <w:r>
        <w:rPr>
          <w:b/>
        </w:rPr>
        <w:t>Shared claim-specific concepts:</w:t>
      </w:r>
      <w:r>
        <w:t xml:space="preserve"> transition, characterized, emissions; EU scope visible. This is a provisional connection, not an outcome finding.</w:t>
      </w:r>
    </w:p>
    <w:p>
      <w:pPr>
        <w:pStyle w:val="SourceNote"/>
      </w:pPr>
      <w:r>
        <w:rPr>
          <w:b/>
        </w:rPr>
        <w:t>Available abstract (not full text):</w:t>
      </w:r>
      <w:r>
        <w:t xml:space="preserve"> Sustainable development has become a strategic priority for the European Union in response to climate change, resource constraints and environmental degradation. Despite common policy objectives, Member States exhibit substantial differences in sustainability performance and transition capacities. This study investigates sustainable development pathways in the European Union using an integrated framework combining cluster analysis, transition analysis, panel econometrics and a conceptual Petri Net model. The empirical analysis is based on a balanced panel dataset covering the 27 EU Member States during the period 2015–2024. K-means clustering was employed to identify sustainable development regimes, transition matrices were used to evaluate regime persistence, and panel data models were estimated to examine the determinants of environmental performance measured through greenhouse gas emissions per capita. The results confirm the existence of four distinct sustainable development regimes characterized by different combinations of economic performance, environmental pressure and resource efficiency. Transition analysis confirms heterogeneous transition dynamics characterized by a generally high degree of regime persistence, while only a limited number of countries experienced regime changes during the study period. The econometric findings confirm that renewable energy deployment</w:t>
      </w:r>
    </w:p>
    <w:p>
      <w:pPr/>
      <w:r>
        <w:rPr>
          <w:b/>
        </w:rPr>
        <w:t>POSSIBLE 2026:</w:t>
      </w:r>
      <w:r>
        <w:t xml:space="preserve"> Energy transition in the Brazilian Northeast: emissions and electrical sustainability — https://doi.org/10.1007/s40430-026-06492-6</w:t>
      </w:r>
    </w:p>
    <w:p>
      <w:pPr/>
      <w:r>
        <w:rPr>
          <w:b/>
        </w:rPr>
        <w:t>Shared claim-specific concepts:</w:t>
      </w:r>
      <w:r>
        <w:t xml:space="preserve"> transition, reduction, ghg, emissions; EU scope not established. This is a provisional connection, not an outcome finding.</w:t>
      </w:r>
    </w:p>
    <w:p>
      <w:pPr>
        <w:pStyle w:val="SourceNote"/>
      </w:pPr>
      <w:r>
        <w:rPr>
          <w:b/>
        </w:rPr>
        <w:t>Available abstract (not full text):</w:t>
      </w:r>
      <w:r>
        <w:t xml:space="preserve"> Abstract The Brazilian Northeast has been consolidating itself as a key hub in the country’s energy transition, due to its high technical potential for electricity generation from renewables. This study analyzes the dynamics of the Northeastern electricity matrix between 2015 and 2023. The central methodology applied is the Life Cycle Assessment (LCA), which enabled the quantification of the greenhouse gas (GHG) emissions (carbon footprint). The Renewability Index ( $$\:RI$$ ) of electricity production is also determined along with the electricity self-sufficiency of the states in the region. The results reveal a significant transformation in the electricity mix during the study period, with a strong substitution of fossil fuels by renewables. Wind power expanded prominently in Rio Grande do Norte, Piauí, and Bahia, while solar power grew in Ceará, Sergipe, and Paraíba. This regional energy transition led to a remarkable reduction in the carbon intensity of electricity, reaching 0.062 kg CO 2 -eq/kWh in 2023, an 83.29% decrease compared to 2015. The total GHG emissions in the region also dropped by 71.73%, despite an 88.87% increase in electricity generation. The regional average $$\:RI$$ increased from 53.89% in 2015 to 94.78% in 2023, demonstrating a steady improvement in renewable integration. In conclusion, the Brazilian Northeast has made substantial progress in building a</w:t>
      </w:r>
    </w:p>
    <w:p>
      <w:pPr/>
      <w:r>
        <w:rPr>
          <w:b/>
        </w:rPr>
        <w:t>POSSIBLE 2026:</w:t>
      </w:r>
      <w:r>
        <w:t xml:space="preserve"> Decoupling economic growth and CO2 emissions: a geopolitical comparison of the EU and GCC energy transitions — https://doi.org/10.1007/s11135-026-02572-w</w:t>
      </w:r>
    </w:p>
    <w:p>
      <w:pPr/>
      <w:r>
        <w:rPr>
          <w:b/>
        </w:rPr>
        <w:t>Shared claim-specific concepts:</w:t>
      </w:r>
      <w:r>
        <w:t xml:space="preserve"> transition, emissions, co2; EU scope visible. This is a provisional connection, not an outcome finding.</w:t>
      </w:r>
    </w:p>
    <w:p>
      <w:pPr>
        <w:pStyle w:val="SourceNote"/>
      </w:pPr>
      <w:r>
        <w:rPr>
          <w:b/>
        </w:rPr>
        <w:t>Available abstract (not full text):</w:t>
      </w:r>
      <w:r>
        <w:t xml:space="preserve"> This study investigates the differing trajectories of carbon dioxide (CO 2 ) emissions decoupling in the European Union (EU) and Gulf Cooperation Council (GCC) countries from 1990 to 2023. Using the Decoupling Consistency Index (DCI) in conjunction with the Logarithmic Mean Divisia Index (LMDI) decomposition, we analyze the contributions of CO 2 , energy intensity, economic growth, and population to emissions changes across distinct periods. The results reveal that the EU has achieved absolute decoupling, driven by sustained reductions in energy and CO₂ that outweigh economic growth pressures. In contrast, the GCC exhibits partial decoupling, with efficiency gains often offset by rapid economic expansion and population growth. Notably, the United Arab Emirates and Kuwait have made significant progress toward emissions reductions through accelerated renewable investments and energy reforms. At the same time, other GCC countries face challenges from fossil-fuel dependency. The study highlights the importance of tailored, region-specific climate policies and structural reforms to advance sustainable decarbonization. These findings provide critical insights for policymakers aiming to balance economic growth with environmental objectives in fossil-fuel-rich and transition economies.</w:t>
      </w:r>
    </w:p>
    <w:p>
      <w:pPr/>
      <w:r>
        <w:rPr>
          <w:b/>
        </w:rPr>
        <w:t>POSSIBLE 2026:</w:t>
      </w:r>
      <w:r>
        <w:t xml:space="preserve"> Forecast reconciliation of agricultural GHG emissions in Europe with fuzzy clustering — https://doi.org/10.1007/s10479-026-07363-y</w:t>
      </w:r>
    </w:p>
    <w:p>
      <w:pPr/>
      <w:r>
        <w:rPr>
          <w:b/>
        </w:rPr>
        <w:t>Shared claim-specific concepts:</w:t>
      </w:r>
      <w:r>
        <w:t xml:space="preserve"> characterized, ghg, emissions, show; EU scope visible. This is a provisional connection, not an outcome finding.</w:t>
      </w:r>
    </w:p>
    <w:p>
      <w:pPr>
        <w:pStyle w:val="SourceNote"/>
      </w:pPr>
      <w:r>
        <w:rPr>
          <w:b/>
        </w:rPr>
        <w:t>Available abstract (not full text):</w:t>
      </w:r>
      <w:r>
        <w:t xml:space="preserve"> Abstract We propose a novel statistical procedure which combines forecasting reconciliation techniques and unsupervised clustering algorithms to forecast annual greenhouse gases emissions at the territorial level. Specifically, we aim at predicting future emissions from the agricultural sector for Europe by aggregating bottom-level regional forecasts to the national and continental levels. Fuzzy clustering is used to define aggregations of bottom and middle-level series into clusters based on the similarity of emissions patterns; then, the fuzzy hierarchies are combined with the original administrative aggregation structure to improve the prediction accuracy of forecasting models. Empirical results show that fuzzy clustering aggregation, by leveraging uncertainty compared to crisp approaches, enhances forecast reconciliation accuracy at all levels of the hierarchy. Our approach offers a scalable solution to enhance forecast accuracy and reliability, particularly for short time series characterized by complex hierarchical structures.</w:t>
      </w:r>
    </w:p>
    <w:p>
      <w:pPr/>
      <w:r>
        <w:rPr>
          <w:b/>
        </w:rPr>
        <w:t>POSSIBLE 2026:</w:t>
      </w:r>
      <w:r>
        <w:t xml:space="preserve"> Temporal dynamics of energy transition and carbon emissions for ecological footprint in Mozambique — https://doi.org/10.21203/rs.3.rs-11067119/v1</w:t>
      </w:r>
    </w:p>
    <w:p>
      <w:pPr/>
      <w:r>
        <w:rPr>
          <w:b/>
        </w:rPr>
        <w:t>Shared claim-specific concepts:</w:t>
      </w:r>
      <w:r>
        <w:t xml:space="preserve"> transition, emissions;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Plasma Conditions Govern the Reversible Transition Between STEVE and Picket Fence Emissions — https://doi.org/10.1029/2025gl118616</w:t>
      </w:r>
    </w:p>
    <w:p>
      <w:pPr/>
      <w:r>
        <w:rPr>
          <w:b/>
        </w:rPr>
        <w:t>Shared claim-specific concepts:</w:t>
      </w:r>
      <w:r>
        <w:t xml:space="preserve"> transition, characterized, emissions; EU scope not established. This is a provisional connection, not an outcome finding.</w:t>
      </w:r>
    </w:p>
    <w:p>
      <w:pPr>
        <w:pStyle w:val="SourceNote"/>
      </w:pPr>
      <w:r>
        <w:rPr>
          <w:b/>
        </w:rPr>
        <w:t>Available abstract (not full text):</w:t>
      </w:r>
      <w:r>
        <w:t xml:space="preserve"> Abstract On 6 May 2018, a remarkable subauroral optical event exhibiting three phases of evolution (Strong Thermal Emission Velocity Enhancement [STEVE] → Picket Fence → STEVE) and co‐occurrence with a stable auroral red arc was observed over Alberta, Canada. Using ground‐based instruments (Redline Emission Geospace Observatory and TREx) and satellite measurements (Swarm and DMSP), we characterized the associated ionospheric conditions. The results suggest that a visible STEVE may require density depletion, electron heating, and intense ion drifts. The observed STEVE‐Picket Fence transition indicates that these phenomena may share the same subauroral ion drift channel, yet are modulated by local Ne structure. These findings provide new insights into the physical differences between STEVE and Picket Fence emissions, and offer key observational constraints for understanding magnetosphere‐ionosphere coupling in subauroral regions.</w:t>
      </w:r>
    </w:p>
    <w:p>
      <w:pPr/>
      <w:r>
        <w:rPr>
          <w:b/>
        </w:rPr>
        <w:t>POSSIBLE 2025:</w:t>
      </w:r>
      <w:r>
        <w:t xml:space="preserve"> 14. (How) Can the Energy Transition in Europe be a Just Transition? — https://doi.org/10.11647/obp.0499.14</w:t>
      </w:r>
    </w:p>
    <w:p>
      <w:pPr/>
      <w:r>
        <w:rPr>
          <w:b/>
        </w:rPr>
        <w:t>Shared claim-specific concepts:</w:t>
      </w:r>
      <w:r>
        <w:t xml:space="preserve"> transition, emissions; EU scope visible. This is a provisional connection, not an outcome finding.</w:t>
      </w:r>
    </w:p>
    <w:p>
      <w:pPr>
        <w:pStyle w:val="SourceNote"/>
      </w:pPr>
      <w:r>
        <w:rPr>
          <w:b/>
        </w:rPr>
        <w:t>Available abstract (not full text):</w:t>
      </w:r>
      <w:r>
        <w:t xml:space="preserve"> In order to ensure that benefits and burdens of the transition to a net-zero economy are shared in a just and balanced way—which is a precondition for accepting the needed changes—effective and inclusive governance structures in both private and public spheres are essential. Given sluggish growth and increasing competition for resources from other policy goals, especially defence, the challenges of achieving a just transition, and with it political acceptance, not to mention political and social stability, will also intensify. We examine four key dimensions of a just energy transition: employment transitions, distributional effects of energy transition, accessibility and affordability of clean energy, and the participation of social partners and stakeholders. Analysis of the EU instruments in place—in particular the Just Transition Fund (JTF) and the nascent Social Climate Fund (SCF)—reveals serious gaps behind large headline numbers. Amongst other issues, JTF disbursement has been very slow. The SCF imposes Just Transition principles on only a small proportion of the revenue to come from the expanded emissions trading scheme, leaving much to the Member States. The chapter closes with policy proposals.</w:t>
      </w:r>
    </w:p>
    <w:p>
      <w:pPr>
        <w:pStyle w:val="Heading2"/>
      </w:pPr>
      <w:r>
        <w:t>543. Investigating European Union Decarbonization Strategies: Evaluating the Pathway to Carbon Neutrality by 2050</w:t>
      </w:r>
    </w:p>
    <w:p>
      <w:pPr>
        <w:pStyle w:val="SourceNote"/>
      </w:pPr>
      <w:r>
        <w:rPr>
          <w:b/>
        </w:rPr>
        <w:t>Original source (2022):</w:t>
      </w:r>
      <w:r>
        <w:t xml:space="preserve"> https://doi.org/10.3390/su14084728</w:t>
      </w:r>
    </w:p>
    <w:p>
      <w:pPr/>
      <w:r>
        <w:t>Original wording (abstract; indexed_source_text_not_full_document_verified): Despite the rich and extensive documentation provided by European Member States and the European Commission in describing National Energy and Climates Plans and Long-Term Strategy plans, it is still very difficult to evaluate where and how the European Union as a whole has positioned itself on the path to achieving the Green Deal objectives, named the Fit 55% package in 2030 and the achievement of carbon neutrality by 2050.</w:t>
      </w:r>
    </w:p>
    <w:p>
      <w:pPr/>
      <w:r>
        <w:rPr>
          <w:b/>
        </w:rPr>
        <w:t>POSSIBLE 2026:</w:t>
      </w:r>
      <w:r>
        <w:t xml:space="preserve"> The implementation of 'new phase' European social dialogue agreements and texts in European member states — https://doi.org/10.82444/warw.33491788</w:t>
      </w:r>
    </w:p>
    <w:p>
      <w:pPr/>
      <w:r>
        <w:rPr>
          <w:b/>
        </w:rPr>
        <w:t>Shared claim-specific concepts:</w:t>
      </w:r>
      <w:r>
        <w:t xml:space="preserve"> member, states, national; EU scope visible. This is a provisional connection, not an outcome finding.</w:t>
      </w:r>
    </w:p>
    <w:p>
      <w:pPr>
        <w:pStyle w:val="SourceNote"/>
      </w:pPr>
      <w:r>
        <w:rPr>
          <w:b/>
        </w:rPr>
        <w:t>Available abstract (not full text):</w:t>
      </w:r>
      <w:r>
        <w:t xml:space="preserve"> The research evaluates the implementation of the Framework Agreements on Telework and Work-related Stress in Belgium, Denmark, UK, and Czech Republic and in the banking and local Government sectors within these countries. Further, it evaluates the various factors that explain divergent implementation outcomes in countries and sectors. It develops two benchmarks to assess the efficacy of the Agreements as modes of European social partner ‘soft’ law governance; a benchmark that assesses the procedural implementation of the Agreements, and a benchmark that assess the substantive implementation of the Agreements. A multi-level governance theoretical approach is also adopted. It emerged that ‘effective’ procedural implementation of the Agreements largely occurred in Belgium and Czech Republic, but did not occur to the same degree in Denmark and UK. It also emerged that the substantive effect of the Agreements was patchy and that the substantive impact of the Telework Agreement was greater than that of the Work-related Stress Agreement. Although structural factors were important in explaining divergent implementation outcomes, it also emerged that it was primarily policy and actor related factors that explained divergent national and sectoral implementation outcomes. The research ends with a rather skeptical evaluation of the Agreements as modes of European social partner ‘soft’ law </w:t>
      </w:r>
    </w:p>
    <w:p>
      <w:pPr/>
      <w:r>
        <w:rPr>
          <w:b/>
        </w:rPr>
        <w:t>POSSIBLE 2026:</w:t>
      </w:r>
      <w:r>
        <w:t xml:space="preserve"> Functionally rich crop rotations increase calorie and macronutrient outputs across Europe — https://doi.org/10.1038/s43016-026-01293-5</w:t>
      </w:r>
    </w:p>
    <w:p>
      <w:pPr/>
      <w:r>
        <w:rPr>
          <w:b/>
        </w:rPr>
        <w:t>Shared claim-specific concepts:</w:t>
      </w:r>
      <w:r>
        <w:t xml:space="preserve"> rich, provided, long-term; EU scope visible. This is a provisional connection, not an outcome finding.</w:t>
      </w:r>
    </w:p>
    <w:p>
      <w:pPr>
        <w:pStyle w:val="SourceNote"/>
      </w:pPr>
      <w:r>
        <w:rPr>
          <w:b/>
        </w:rPr>
        <w:t>Available abstract (not full text):</w:t>
      </w:r>
      <w:r>
        <w:t xml:space="preserve"> Increased crop diversity in cereal-dominated rotations can enhance crop protection, nutrient use efficiency and climate change adaptation. Nevertheless, it is argued that replacing cereals in rotations diminishes food production, threatening food security. Here we compared outputs of calories and macronutrients (carbohydrates, proteins, fats) for human consumption from cereal monocultures, cereal-only rotations and rotations including two or three functionally distinct crop types (cereals plus root and oil crops, legumes or ley) in 16 long-term experiments across Europe. Rotations with three functional types produced more calories and macronutrients than cereal monocultures and cereal-only rotations with forage crops used to produce milk. Carbohydrate gains depended on growing conditions and crop choice. Advantages increased over time but were lost with forage crops used for beef or biofuel. Functionally rich rotations provided macronutrient proportions closer to recommended human diets. Our analysis shows no trade-off between functionally rich rotations and food production or agricultural land expansion.</w:t>
      </w:r>
    </w:p>
    <w:p>
      <w:pPr/>
      <w:r>
        <w:rPr>
          <w:b/>
        </w:rPr>
        <w:t>POSSIBLE 2026:</w:t>
      </w:r>
      <w:r>
        <w:t xml:space="preserve"> Unequal Equals? The Status of Member States in an Integrating European Union — https://doi.org/10.54237/profnet.2026.dsuesmsieu</w:t>
      </w:r>
    </w:p>
    <w:p>
      <w:pPr/>
      <w:r>
        <w:rPr>
          <w:b/>
        </w:rPr>
        <w:t>Shared claim-specific concepts:</w:t>
      </w:r>
      <w:r>
        <w:t xml:space="preserve"> member, states, union; EU scope visible. This is a provisional connection, not an outcome finding.</w:t>
      </w:r>
    </w:p>
    <w:p>
      <w:pPr>
        <w:pStyle w:val="SourceNote"/>
      </w:pPr>
      <w:r>
        <w:rPr>
          <w:b/>
        </w:rPr>
        <w:t>Available abstract (not full text):</w:t>
      </w:r>
      <w:r>
        <w:t xml:space="preserve"> Following his graduation</w:t>
      </w:r>
    </w:p>
    <w:p>
      <w:pPr/>
      <w:r>
        <w:rPr>
          <w:b/>
        </w:rPr>
        <w:t>POSSIBLE 2026:</w:t>
      </w:r>
      <w:r>
        <w:t xml:space="preserve"> Environmental and technical efficiency of agriculture - the case of the European Union member states — https://doi.org/10.34659/eis.2026.98.3.1147</w:t>
      </w:r>
    </w:p>
    <w:p>
      <w:pPr/>
      <w:r>
        <w:rPr>
          <w:b/>
        </w:rPr>
        <w:t>Shared claim-specific concepts:</w:t>
      </w:r>
      <w:r>
        <w:t xml:space="preserve"> member, states, evaluate, union; EU scope visible. This is a provisional connection, not an outcome finding.</w:t>
      </w:r>
    </w:p>
    <w:p>
      <w:pPr>
        <w:pStyle w:val="SourceNote"/>
      </w:pPr>
      <w:r>
        <w:rPr>
          <w:b/>
        </w:rPr>
        <w:t>Available abstract (not full text):</w:t>
      </w:r>
      <w:r>
        <w:t xml:space="preserve"> The objective of this study is to evaluate the technical and environmental efficiency of agriculture in the member states of the European Union (EU). The research employed the DEA (Data Envelopment Analysis) method – a standard BCC model to measure technical efficiency and its modification, which takes into account undesirable outputs and makes it possible to perform an assessment of environmental efficiency in the sample countries. This study has demonstrated that accounting for undesirable outputs, such as greenhouse gas emissions, did not affect the consistency between the country rankings based on the environmental efficiency score and the technical efficiency score in countries where the latter was high. The relative emission level in all these countries was either low or decreased considerably between 2013 and 2022. On the other hand, in countries with high emissions per agricultural output, a widening gap between environmental and technical efficiency has often been observed. The findings of this study justify changes in agricultural production based on sustainable intensification and the choice of the right direction of investment in agriculture.</w:t>
      </w:r>
    </w:p>
    <w:p>
      <w:pPr/>
      <w:r>
        <w:rPr>
          <w:b/>
        </w:rPr>
        <w:t>POSSIBLE 2026:</w:t>
      </w:r>
      <w:r>
        <w:t xml:space="preserve"> Educational Psychology in the European Union in the Twenty-first Century: An Extensive Bibliometric Study — https://doi.org/10.5093/psed2026a22</w:t>
      </w:r>
    </w:p>
    <w:p>
      <w:pPr/>
      <w:r>
        <w:rPr>
          <w:b/>
        </w:rPr>
        <w:t>Shared claim-specific concepts:</w:t>
      </w:r>
      <w:r>
        <w:t xml:space="preserve"> extensive, member, states, union; EU scope visible. This is a provisional connection, not an outcome finding.</w:t>
      </w:r>
    </w:p>
    <w:p>
      <w:pPr>
        <w:pStyle w:val="SourceNote"/>
      </w:pPr>
      <w:r>
        <w:rPr>
          <w:b/>
        </w:rPr>
        <w:t>Available abstract (not full text):</w:t>
      </w:r>
      <w:r>
        <w:t xml:space="preserve"> This paper reviews recent research in Educational Psychology related to twenty-first century development in the European Union (EU). Over the last two decades, researchers have promoted interdisciplinary and collaborative approaches across areas such as literacy, reading and writing, cognitive disabilities, creativity, motivation, social and individual differences, and academic achievement. The study focuses on the EU due to the limited research examining its specific contribution to Educational Psychology. It addresses key questions regarding the contribution of the EU and its member states, the main topics covered in Web of Science publications, the evolution of research trends, the leading European journals in the field, and the impact of the post-Brexit context. Through bibliometric analysis, the study highlights the EU’s significant contribution to the scientific community and recent advances in Educational Psychology research.</w:t>
      </w:r>
    </w:p>
    <w:p>
      <w:pPr/>
      <w:r>
        <w:rPr>
          <w:b/>
        </w:rPr>
        <w:t>POSSIBLE 2026:</w:t>
      </w:r>
      <w:r>
        <w:t xml:space="preserve"> Changes in the Fertility Rate in European Union Member States in the Context of Socio‑Economic Development — https://doi.org/10.15290/oes.2026.03.125.14</w:t>
      </w:r>
    </w:p>
    <w:p>
      <w:pPr/>
      <w:r>
        <w:rPr>
          <w:b/>
        </w:rPr>
        <w:t>Shared claim-specific concepts:</w:t>
      </w:r>
      <w:r>
        <w:t xml:space="preserve"> member, states, very, union; EU scope visible. This is a provisional connection, not an outcome finding.</w:t>
      </w:r>
    </w:p>
    <w:p>
      <w:pPr>
        <w:pStyle w:val="SourceNote"/>
      </w:pPr>
      <w:r>
        <w:rPr>
          <w:b/>
        </w:rPr>
        <w:t>Available abstract (not full text):</w:t>
      </w:r>
      <w:r>
        <w:t xml:space="preserve"> Purpose | Contemporary demographic trends are playing an increasingly significant role in the context of socio-economic development prospects. One of the challenges facing EU Member States is low fertility rates. The aim of this article is therefore to identify the point in time when changes occurred in the fertility rate across the European Union and to compare these with the levels of socio-economic development achieved in those years. Research method | The article sets out the main hypothesis, namely that the decline in fertility rates in European Union member states is linked to the level of socio-economic development and is of a lasting nature. The hypothesis was tested using the relevant literature and data from Eurostat, the World Bank and the United Nations. Results | In the article the main hypothesis, that the decline in fertility rates in European Union countries is linked to the level of socio-economic development and is of a lasting nature, has been confirmed. Originality / value / implications / recommendations | In EU countries, the fertility rate fell to low (1.5) and very low (1.3) levels across a range of socio-economic development levels. In other words, the countries of the so-called “new EU” aged more rapidly than they became wealthier, in contrast to the so-called “old EU”.</w:t>
      </w:r>
    </w:p>
    <w:p>
      <w:pPr/>
      <w:r>
        <w:rPr>
          <w:b/>
        </w:rPr>
        <w:t>POSSIBLE 2026:</w:t>
      </w:r>
      <w:r>
        <w:t xml:space="preserve"> Institutional Configuration and the Effectiveness of Parole: Comparative Evidence from Council of Europe Member States — https://doi.org/10.33327/ajee-18-9.4-a0002005</w:t>
      </w:r>
    </w:p>
    <w:p>
      <w:pPr/>
      <w:r>
        <w:rPr>
          <w:b/>
        </w:rPr>
        <w:t>Shared claim-specific concepts:</w:t>
      </w:r>
      <w:r>
        <w:t xml:space="preserve"> member, states, commission; EU scope visible. This is a provisional connection, not an outcome finding.</w:t>
      </w:r>
    </w:p>
    <w:p>
      <w:pPr>
        <w:pStyle w:val="SourceNote"/>
      </w:pPr>
      <w:r>
        <w:rPr>
          <w:b/>
        </w:rPr>
        <w:t>Available abstract (not full text):</w:t>
      </w:r>
      <w:r>
        <w:t xml:space="preserve"> Background: Parole research across Council of Europe member states has long debated which model to adopt: discretionary, mandatory, or mixed. Yet, this framing misses a more consequential variable: how deeply any model is institutionally embedded. In terms of justice, insufficiently institutionalized parole risks reducing early release to a formal entitlement detached from fair decision-making, whereas robust institutional design enables it to function as a corrective mechanism against disproportionate punishment and as a practical expression of fairness in the execution of sentences. Method: The study employs a multi-method comparative legal approach combining documentary analysis, index construction, and non-parametric statistical testing. Standardized data for 2010–2024 were drawn from the World Prison Brief and SPACE I (Annual Prison Statistics of the Council of Europe — Statistiques Pénales Annuelles du Conseil de l’Europe) reports. We selected eight jurisdictions to maximise institutional variance: Kazakhstan, France, England and Wales, Sweden, Germany, the Netherlands, Poland, and Georgia. The IIP was constructed as a five-criterion composite instrument: standardized risk assessment tools, formalized decision-making body, court–probation coordination, mandatory post-release supervision, and institutionalized reintegration programmes, each scored 0–2 (composite range 0–10</w:t>
      </w:r>
    </w:p>
    <w:p>
      <w:pPr/>
      <w:r>
        <w:rPr>
          <w:b/>
        </w:rPr>
        <w:t>POSSIBLE 2026:</w:t>
      </w:r>
      <w:r>
        <w:t xml:space="preserve"> Risk Alert Briefing: Clay shrink–swell property damage and the increasing protection gap in Europe — https://doi.org/10.5281/zenodo.21492635</w:t>
      </w:r>
    </w:p>
    <w:p>
      <w:pPr/>
      <w:r>
        <w:rPr>
          <w:b/>
        </w:rPr>
        <w:t>Shared claim-specific concepts:</w:t>
      </w:r>
      <w:r>
        <w:t xml:space="preserve"> despite, provided, member, states, national; EU scope visible. This is a provisional connection, not an outcome finding.</w:t>
      </w:r>
    </w:p>
    <w:p>
      <w:pPr>
        <w:pStyle w:val="SourceNote"/>
      </w:pPr>
      <w:r>
        <w:rPr>
          <w:b/>
        </w:rPr>
        <w:t>Available abstract (not full text):</w:t>
      </w:r>
      <w:r>
        <w:t xml:space="preserve"> Clay shrink–swell (CSS) processes pose an under-recognised but increasingly material risk to buildings and infrastructure across Europe. These processes occur when clay-rich soils contract during dry periods and expand again when moisture returns, causing ground movement that can lead to cracking and structural damage to buildings and infrastructure. Climate change is projected to significantly increase the frequency and severity of deep-soil drought across large parts of Europe. Climate model projections indicate that by 2050, severe drought episodes affecting deep soil layers may occur approximately three times more often. These conditions are strongly associated with CSS events. Despite the growing hazard, CSS risk remains poorly visible in national climate adaptation planning and insurance arrangements in many EU Member States. At the same time, CSS property damage is typically excluded from standard private insurance contracts – and the protection provided by any state natural catastrophe mechanism (where these exist) is uncertain. This creates an increasing protection gap. The purpose of this Briefing is to draw attention to this CSS risk and increasing protection gap. Extending our initial analysis of the issue in France to a further five EU countries – Finland, Germany, Italy, Luxembourg and Spain – this Briefing highlights evidence showing a consistent pattern of incre</w:t>
      </w:r>
    </w:p>
    <w:p>
      <w:pPr/>
      <w:r>
        <w:rPr>
          <w:b/>
        </w:rPr>
        <w:t>POSSIBLE 2025:</w:t>
      </w:r>
      <w:r>
        <w:t xml:space="preserve"> Prediction of the Methane Yield From Extensively Managed, Flower‐Rich Fen Grassland Based on NIRS Data — https://doi.org/10.1111/gcbb.70046</w:t>
      </w:r>
    </w:p>
    <w:p>
      <w:pPr/>
      <w:r>
        <w:rPr>
          <w:b/>
        </w:rPr>
        <w:t>Shared claim-specific concepts:</w:t>
      </w:r>
      <w:r>
        <w:t xml:space="preserve"> despite, rich, extensive, energy; EU scope visible. This is a provisional connection, not an outcome finding.</w:t>
      </w:r>
    </w:p>
    <w:p>
      <w:pPr>
        <w:pStyle w:val="SourceNote"/>
      </w:pPr>
      <w:r>
        <w:rPr>
          <w:b/>
        </w:rPr>
        <w:t>Available abstract (not full text):</w:t>
      </w:r>
      <w:r>
        <w:t xml:space="preserve"> ABSTRACT In many regions of Europe, biogas production is an integral part of farming to generate methane as a sustainable and versatile renewable energy carrier. Besides providing feedstock for ruminants and energy production, grasslands support multiple beneficial ecosystem services, namely diverse flora and habitats that serve as resources for pollinators. The cost‐effective utilization of grassland biomass is mainly determined by the biomass quality, which is highly variable and dependent on the management intensities. Besides chemical analyses, biogas models are usually applied to predict the biogas yield of a specific biomass type and quality. However, available models do not apply to mixed grass stands as they primarily refer to individual grass species and/or are just based on single parameters such as lignin. In this work, we evaluated flower‐rich extensive fen grassland for its biogas yield using a newly created model based on common chemical parameters. Therefore, flower‐rich biomass from a cultivation experiment (n = 48) was analyzed for its biomass yield (average 9.43 ± 1.26 tVS × ha−1), chemical composition by wet chemical analysis and near‐infrared spectroscopy (NIRS), specific methane yield (SMY) potential via batch tests, and methane hectare yield (1505.62 ± 282.86 m3N × ha−1). In the results obtained, we found flower‐rich grassland biomass characterized by high</w:t>
      </w:r>
    </w:p>
    <w:p>
      <w:pPr/>
      <w:r>
        <w:rPr>
          <w:b/>
        </w:rPr>
        <w:t>POSSIBLE 2025:</w:t>
      </w:r>
      <w:r>
        <w:t xml:space="preserve"> Traditional agroforestry systems in Europe revisited: a systematic review — https://doi.org/10.1007/s10457-025-01335-0</w:t>
      </w:r>
    </w:p>
    <w:p>
      <w:pPr/>
      <w:r>
        <w:rPr>
          <w:b/>
        </w:rPr>
        <w:t>Shared claim-specific concepts:</w:t>
      </w:r>
      <w:r>
        <w:t xml:space="preserve"> despite, rich, long-term; EU scope visible. This is a provisional connection, not an outcome finding.</w:t>
      </w:r>
    </w:p>
    <w:p>
      <w:pPr>
        <w:pStyle w:val="SourceNote"/>
      </w:pPr>
      <w:r>
        <w:rPr>
          <w:b/>
        </w:rPr>
        <w:t>Available abstract (not full text):</w:t>
      </w:r>
      <w:r>
        <w:t xml:space="preserve"> Abstract Traditional agroforestry systems (TAFs) in Europe represent an interface between agriculture and biodiversity conservation, being able to offer sustainable production while supporting diverse ecosystems often with unique species assemblages. This systematic review synthesises research on TAFs conducted between 1992 and 2024 using the PRISMA methodology. We analysed 232 studies to assess TAFs types, their distribution, biodiversity significance, and ecosystem services’ contributions across Europe. The findings highlight regional variations, with dehesa / montado systems dominating Southern Europe and traditional orchards and wood pastures being prevalent in Central and Eastern Europe. Our review gives evidence that TAFs provide multifaceted ecosystem services, such as carbon sequestration, soil fertility enhancement, water regulation, and cultural heritage preservation. Additionally, TAFs harbour a rich biodiversity, particularly among vascular plants, birds, and insects, whose ecological roles are pivotal to the ecological functioning of these systems. Despite their significance, studies indicate that a decline in economic viability and changing land-use patterns have threatened the future of TAFs. This review emphasises the need for innovative management practices that integrate traditional knowledge, alongside political and public support, to ensure the long-term con</w:t>
      </w:r>
    </w:p>
    <w:p>
      <w:pPr/>
      <w:r>
        <w:rPr>
          <w:b/>
        </w:rPr>
        <w:t>POSSIBLE 2025:</w:t>
      </w:r>
      <w:r>
        <w:t xml:space="preserve"> Multicultural Issues: A Comparison of India and Europe — https://doi.org/10.54103/milanoup.196.c365</w:t>
      </w:r>
    </w:p>
    <w:p>
      <w:pPr/>
      <w:r>
        <w:rPr>
          <w:b/>
        </w:rPr>
        <w:t>Shared claim-specific concepts:</w:t>
      </w:r>
      <w:r>
        <w:t xml:space="preserve"> despite, states, national; EU scope visible. This is a provisional connection, not an outcome finding.</w:t>
      </w:r>
    </w:p>
    <w:p>
      <w:pPr>
        <w:pStyle w:val="SourceNote"/>
      </w:pPr>
      <w:r>
        <w:rPr>
          <w:b/>
        </w:rPr>
        <w:t>Available abstract (not full text):</w:t>
      </w:r>
      <w:r>
        <w:t xml:space="preserve"> The chapter introduces the general framework of the multicultural debate in India and Europe, highlighting the points of originality and convergence.India and Europe, despite having different historical paths, today find themselves facing similar problems regarding the possibility of developing inclusive societies, capable of integrating diversity and difference in a context of democratic participation in common social and political life.India had to face -well before the multicultural debate was consolidated in the West -the question of including cultural difference in the definition of national unity.The central point of the multicultural comparison was the effort and need to build unity, solidarity and a sense of common belonging starting from the recognition of cultural differences.In many respects Europe has had to deal with an inverse problem: how to recognize the plurality and multiplicity of cultural differences starting from a deep-rooted idea of internal homogeneity which constituted the ideological and rhetorical basis of the formation of European nation states.A narrative of homogeneity and cultural purity which has fostered both internal cohesion and competitive distinction with other European states, but which is unmasked in its claim to naturalness by migratory phenomena and globalization processes.After briefly introducing the different ways in which multicultur</w:t>
      </w:r>
    </w:p>
    <w:p>
      <w:pPr/>
      <w:r>
        <w:rPr>
          <w:b/>
        </w:rPr>
        <w:t>POSSIBLE 2025:</w:t>
      </w:r>
      <w:r>
        <w:t xml:space="preserve"> Health and relationship quality of sexual minorities in Europe — https://doi.org/10.1007/s00148-025-01077-4</w:t>
      </w:r>
    </w:p>
    <w:p>
      <w:pPr/>
      <w:r>
        <w:rPr>
          <w:b/>
        </w:rPr>
        <w:t>Shared claim-specific concepts:</w:t>
      </w:r>
      <w:r>
        <w:t xml:space="preserve"> rich, member, states; EU scope visible. This is a provisional connection, not an outcome finding.</w:t>
      </w:r>
    </w:p>
    <w:p>
      <w:pPr>
        <w:pStyle w:val="SourceNote"/>
      </w:pPr>
      <w:r>
        <w:rPr>
          <w:b/>
        </w:rPr>
        <w:t>Available abstract (not full text):</w:t>
      </w:r>
      <w:r>
        <w:t xml:space="preserve"> Abstract A growing body of literature investigates inequalities between sexual minorities and their heterosexual peers. This paper deals with disparities in health, health-related behaviours, and relationship quality among LGB+ individuals. We use a novel data set that allows for a wide cross-national analysis (27 EU member states) of disparities between sexual minorities and the rest of the population, as well as differences in reporting sexual orientation. We consider a rich set of social stressors, individual-specific behavioural factors, and health outcomes, as well as novel para-data (i.e., individuals’ response times) that are not available in other large surveys. The results indicate that sexual minorities are more exposed to stigma-related social stressors (both in childhood and adulthood), report worse physical and mental health conditions, feel more lonely, and are more likely to engage in coping strategies aimed at reducing or adapting to stressful conditions. Some of these findings significantly differ across gay, lesbian, and bisexual individuals and with respect to household income, the country’s enforcement of sexual minorities’ rights, and relationship status.</w:t>
      </w:r>
    </w:p>
    <w:p>
      <w:pPr>
        <w:pStyle w:val="Heading2"/>
      </w:pPr>
      <w:r>
        <w:t>544. Long term impact of residue management on soil organic carbon stocks and nitrous oxide emissions from European croplands</w:t>
      </w:r>
    </w:p>
    <w:p>
      <w:pPr>
        <w:pStyle w:val="SourceNote"/>
      </w:pPr>
      <w:r>
        <w:rPr>
          <w:b/>
        </w:rPr>
        <w:t>Original source (2022):</w:t>
      </w:r>
      <w:r>
        <w:t xml:space="preserve"> https://doi.org/10.1016/j.scitotenv.2022.154932</w:t>
      </w:r>
    </w:p>
    <w:p>
      <w:pPr/>
      <w:r>
        <w:t>Original wording (abstract; indexed_source_text_not_full_document_verified): For a scenario with 100% residues retention and reduced tillage we calculated that in average SOC stocks may increase over 50–100 years by 19–23% under RCP8.5 and RCP4.5. CERES-EGC, LandscapeDNDC and LandscapeDNDC-MeTrx, were used in an ensemble approach on a grid of 0.25° × 0.25° spatial resolution for calculating EU-27 wide inventories of changes in SOC stocks and N2O emissions due to residue management for the years 2000–2100 using different climate change projections (RCP4.5 and RCP8.5).</w:t>
      </w:r>
    </w:p>
    <w:p>
      <w:pPr/>
      <w:r>
        <w:rPr>
          <w:b/>
        </w:rPr>
        <w:t>POSSIBLE 2026:</w:t>
      </w:r>
      <w:r>
        <w:t xml:space="preserve"> Biophysical climate responses to albedo management for wheat residue retention, cover crops, and pale wheat across European croplands — https://doi.org/10.5194/egusphere-egu26-9895</w:t>
      </w:r>
    </w:p>
    <w:p>
      <w:pPr/>
      <w:r>
        <w:rPr>
          <w:b/>
        </w:rPr>
        <w:t>Shared claim-specific concepts:</w:t>
      </w:r>
      <w:r>
        <w:t xml:space="preserve"> retention, increase, over; EU scope visible. This is a provisional connection, not an outcome finding.</w:t>
      </w:r>
    </w:p>
    <w:p>
      <w:pPr>
        <w:pStyle w:val="SourceNote"/>
      </w:pPr>
      <w:r>
        <w:rPr>
          <w:b/>
        </w:rPr>
        <w:t>Available abstract (not full text):</w:t>
      </w:r>
      <w:r>
        <w:t xml:space="preserve"> Agricultural management offers a pathway for climate change mitigation beyond greenhouse gas fluxes through biophysical processes that directly modify land-atmosphere energy exchange. Changes in cropland surface albedo influence the climate that operates independently of the biogeochemical impact. The need to account for both biogeochemical and biophysical processes in agriculture is increasingly recognized in assessments of climate-neutral agriculture, but the biophysical impacts remain largely unconstrained.In this study, we quantified the albedo-mediated climate impacts of three promising agricultural practices, which include cover crop, residue management, and selection of highly reflective crop varieties (pale wheat) over European croplands under present and future climate conditions. To do so, we employed the ORCHIDEE-CROP land surface model, which incorporates a detailed representation of crop growth and management, together with improved albedo dynamics calibrated using observations from nine European cropland sites and satellite-derived leaf area index (LAI) from the Copernicus Land Monitoring Service.In idealized simulations assuming EU-wide implementation of solutions, we show that scenarios of cover crop, residue retention and pale-wheat cultivation increase annual mean surface albedo by 0.001±0.001, 0.008±0.003 and 0.021±0.004, with pale wheat generating the larges</w:t>
      </w:r>
    </w:p>
    <w:p>
      <w:pPr/>
      <w:r>
        <w:rPr>
          <w:b/>
        </w:rPr>
        <w:t>POSSIBLE 2026:</w:t>
      </w:r>
      <w:r>
        <w:t xml:space="preserve"> Implementing Reduced Tillage, Residue Retention and Nitrogen Rates on CO₂ and CH₄ Fluxes in Irrigated Wheat on Subtropical Floodplain Soils — https://doi.org/10.4236/oalib.1115720</w:t>
      </w:r>
    </w:p>
    <w:p>
      <w:pPr/>
      <w:r>
        <w:rPr>
          <w:b/>
        </w:rPr>
        <w:t>Shared claim-specific concepts:</w:t>
      </w:r>
      <w:r>
        <w:t xml:space="preserve"> retention, reduced, tillage, wide; EU scope not established. This is a provisional connection, not an outcome finding.</w:t>
      </w:r>
    </w:p>
    <w:p>
      <w:pPr>
        <w:pStyle w:val="SourceNote"/>
      </w:pPr>
      <w:r>
        <w:rPr>
          <w:b/>
        </w:rPr>
        <w:t>Available abstract (not full text):</w:t>
      </w:r>
      <w:r>
        <w:t xml:space="preserve"> Quantifying carbon (C) sequestration in soils is necessary to help better understand the effect of agricultural practices on the C cycle.The estimated contribution of agricultural carbon dioxide (CO2) and methane (CH4) to global warming potential (GWP) has a wide range.The underlying causes of this huge uncertainty are the difficulties in predicting regional CO2 and CH4 losses due to lack of experimental evidence on CO2 and CH4 emissions and associated drivers.The CH4 and CO2 emissions were measured in irrigated wheat in a subtropical floodplain soils which have been under two soil disturbance levels (strip vs. conventional tillage; ST vs. CT being both with 30% residue retention) and three N fertilizer rates (60%, 100% and 140% of the recommended N fertilizer dose, RD) in an annual wheat (Triticum aestivum)-mungbean (Vigna radiata)-rice (Oryza sativa L) for seven consecutive years.The highest CH4 and CO2 emission peak was observed on day 3 after urea application in both tillage systems, except for CO2 flux in CT.Nitrogen fertilizer application rate significantly influenced mean and cumulative CH4 and CO2 fluxes.At the optimum dose of N fertilizer, both CH4 and CO2 fluxes decreased, except for CH4 under ST.CO2 emissions were significantly higher under minimum (60% of RD) fertilizer application in both tillage systems.Soil microbial biomass carbon</w:t>
      </w:r>
    </w:p>
    <w:p>
      <w:pPr/>
      <w:r>
        <w:rPr>
          <w:b/>
        </w:rPr>
        <w:t>POSSIBLE 2026:</w:t>
      </w:r>
      <w:r>
        <w:t xml:space="preserve"> Associations between landscape-scale cereal residue management and local biodiversity in Europe — https://doi.org/10.1016/j.agee.2026.110664</w:t>
      </w:r>
    </w:p>
    <w:p>
      <w:pPr/>
      <w:r>
        <w:rPr>
          <w:b/>
        </w:rPr>
        <w:t>Shared claim-specific concepts:</w:t>
      </w:r>
      <w:r>
        <w:t xml:space="preserve"> residues, retention, increase, used; EU scope visible. This is a provisional connection, not an outcome finding.</w:t>
      </w:r>
    </w:p>
    <w:p>
      <w:pPr>
        <w:pStyle w:val="SourceNote"/>
      </w:pPr>
      <w:r>
        <w:rPr>
          <w:b/>
        </w:rPr>
        <w:t>Available abstract (not full text):</w:t>
      </w:r>
      <w:r>
        <w:t xml:space="preserve"> Cereal crop residues could become increasingly used to produce bioenergy as part of the European green transition, which may increase the amount of such residues removed from fields. At the same time, on-field residue retention is an important regenerative agriculture practice with positive effects on soils. Thus, excessive residue removal can be environmentally unsustainable at the field level. Yet, the effects of residue removal on local biodiversity – especially aboveground – are not well known. Given the large land footprint of cereal production in Europe, the impacts of changing cereal residue management on biodiversity could be substantial. Here, landscape-scale cereal residue management data, field measurements of local biodiversity, cereal yield and other environmental data were combined in statistical models to estimate local biodiversity in cereal cropland in Europe and investigate the effects of on-field residue retention. Local biodiversity in cereal cropland was poor relative to other land uses, but was positively associated with landscape-scale on-field residue retention, with significantly greater local biodiversity in cereal cropland in landscapes with a high proportion of residues (≥ 70%) left on fields. On the other hand, local biodiversity in cereal cropland was negatively associated with landscape-scale cereal yield. Cereal residue retention was a stronger p</w:t>
      </w:r>
    </w:p>
    <w:p>
      <w:pPr/>
      <w:r>
        <w:rPr>
          <w:b/>
        </w:rPr>
        <w:t>POSSIBLE 2026:</w:t>
      </w:r>
      <w:r>
        <w:t xml:space="preserve"> Determination of Antibiotic Residues in Milk — https://doi.org/10.37547/tajabe/volume08issue05-06</w:t>
      </w:r>
    </w:p>
    <w:p>
      <w:pPr/>
      <w:r>
        <w:rPr>
          <w:b/>
        </w:rPr>
        <w:t>Shared claim-specific concepts:</w:t>
      </w:r>
      <w:r>
        <w:t xml:space="preserve"> residues, retention, calculated; EU scope not established. This is a provisional connection, not an outcome finding.</w:t>
      </w:r>
    </w:p>
    <w:p>
      <w:pPr>
        <w:pStyle w:val="SourceNote"/>
      </w:pPr>
      <w:r>
        <w:rPr>
          <w:b/>
        </w:rPr>
        <w:t>Available abstract (not full text):</w:t>
      </w:r>
      <w:r>
        <w:t xml:space="preserve"> Milk and dairy products are of great importance from the perspective of food safety, and the presence of antibiotic residues in their composition may pose a potential risk to human health. The widespread therapeutic use of antibiotics in livestock practice can lead to the occurrence of these residues in milk when withdrawal periods before milking are not properly observed. Therefore, the detection and quantitative assessment of antibiotic residues in milk is considered a relevant scientific problem. This study was designed as an experimental laboratory investigation in which 30 raw milk samples obtained from different sources were analyzed. High-performance liquid chromatography (HPLC) was applied as a confirmatory method for the detection and verification of antibiotic residues. Within the study, antibiotics belonging to the β-lactam, tetracycline, and sulfonamide groups were identified on the basis of retention time agreement and chromatographic peak characteristics, and their concentrations were calculated using calibration curves. The obtained results were compared with internationally accepted maximum residue limits (MRLs). According to the analytical results, antibiotic residues were detected in 60% of the milk samples (18 samples), while in 4 samples (13.3%) the antibiotic concentrations were close to or exceeded the MRL values. The HPLC method demonstrated high sensitiv</w:t>
      </w:r>
    </w:p>
    <w:p>
      <w:pPr/>
      <w:r>
        <w:rPr>
          <w:b/>
        </w:rPr>
        <w:t>POSSIBLE 2026:</w:t>
      </w:r>
      <w:r>
        <w:t xml:space="preserve"> Impacts on Soil Health of Soil Improvers Derived from Agri-Food Processing Residues: a Systematic Review with a Focus on European Field Studies — https://doi.org/10.1007/s42729-026-03037-7</w:t>
      </w:r>
    </w:p>
    <w:p>
      <w:pPr/>
      <w:r>
        <w:rPr>
          <w:b/>
        </w:rPr>
        <w:t>Shared claim-specific concepts:</w:t>
      </w:r>
      <w:r>
        <w:t xml:space="preserve"> residues, retention, approach; EU scope visible. This is a provisional connection, not an outcome finding.</w:t>
      </w:r>
    </w:p>
    <w:p>
      <w:pPr>
        <w:pStyle w:val="SourceNote"/>
      </w:pPr>
      <w:r>
        <w:rPr>
          <w:b/>
        </w:rPr>
        <w:t>Available abstract (not full text):</w:t>
      </w:r>
      <w:r>
        <w:t xml:space="preserve"> Abstract The circular bioeconomy, centred on the principles of “Reduce, Reuse, and Recycle”, is central to achieving the goals of the European Green Deal and the “Farm to Fork” strategy. The key approach, within this framework, is the valorisation of food processing side-streams through various processing technologies to produce fertilisers that, when applied to the soil, act as potential “soil improvers”. When applied to soil, these materials affect not only the physical, chemical, and biological properties of soil but also impact greenhouse gas emissions, nutrient leaching, and the levels of contaminants or pathogens. A systematic review of field studies conducted in European soils between 2014 and 2024 was performed with stringent inclusion and exclusion criteria, which allowed the identification of suitable articles in three independent steps. The main soil improvers derived from various agri-food side-streams were biochar, compost, and digestate. Their effects, along with the potential risks associated with their use in agricultural fields, were carefully evaluated and discussed. This review forms part of the DeliSoil project “Delivering safe, sustainable, tailored &amp; societally accepted soil improvers from circular food production for boosting soil health” funded under the European Union “A Soil Deal for Europe”. This systematic review showed that soil improvers enhance so</w:t>
      </w:r>
    </w:p>
    <w:p>
      <w:pPr/>
      <w:r>
        <w:rPr>
          <w:b/>
        </w:rPr>
        <w:t>POSSIBLE 2025:</w:t>
      </w:r>
      <w:r>
        <w:t xml:space="preserve"> The 2023 European Union report on pesticide residues in food — https://doi.org/10.2903/j.efsa.2025.9398</w:t>
      </w:r>
    </w:p>
    <w:p>
      <w:pPr/>
      <w:r>
        <w:rPr>
          <w:b/>
        </w:rPr>
        <w:t>Shared claim-specific concepts:</w:t>
      </w:r>
      <w:r>
        <w:t xml:space="preserve"> residues, increase, used; EU scope visible. This is a provisional connection, not an outcome finding.</w:t>
      </w:r>
    </w:p>
    <w:p>
      <w:pPr>
        <w:pStyle w:val="SourceNote"/>
      </w:pPr>
      <w:r>
        <w:rPr>
          <w:b/>
        </w:rPr>
        <w:t>Available abstract (not full text):</w:t>
      </w:r>
      <w:r>
        <w:t xml:space="preserve"> Under European Union legislation (Article 32, Regulation (EC) No 396/2005), the European Food Safety Authority publishes an annual report assessing the pesticide residue levels in food. In 2023, as part of the EU-coordinated multiannual control programme subset, 13,246 samples placed on the European market were analysed, with a 1.0% found to be non-compliant. Risk-based sampling procedures were used for the remaining 132,793 samples with a 2.0% non-compliant rate. Both dietary acute and chronic risk to consumers' health were estimated providing the probabilities of exceedance of the health-based guidance values (HBGV) for the pesticides in food by the different subpopulation of European consumers. This meant dropping the deterministic assessment used in the past. Overall, the dietary risk was found to be very low for most of the EU subpopulation groups. Recommendations were provided to risk managers to increase the effectiveness of European control systems and to ensure a high level of consumer protection throughout the EU.</w:t>
      </w:r>
    </w:p>
    <w:p>
      <w:pPr/>
      <w:r>
        <w:rPr>
          <w:b/>
        </w:rPr>
        <w:t>POSSIBLE 2025:</w:t>
      </w:r>
      <w:r>
        <w:t xml:space="preserve"> Carbon footprint analysis of different tillage and crop residue management practices in wheat — https://doi.org/10.33545/2618060x.2025.v8.i1b.5207</w:t>
      </w:r>
    </w:p>
    <w:p>
      <w:pPr/>
      <w:r>
        <w:rPr>
          <w:b/>
        </w:rPr>
        <w:t>Shared claim-specific concepts:</w:t>
      </w:r>
      <w:r>
        <w:t xml:space="preserve"> retention, reduced, tillage, over; EU scope visible. This is a provisional connection, not an outcome finding.</w:t>
      </w:r>
    </w:p>
    <w:p>
      <w:pPr>
        <w:pStyle w:val="SourceNote"/>
      </w:pPr>
      <w:r>
        <w:rPr>
          <w:b/>
        </w:rPr>
        <w:t>Available abstract (not full text):</w:t>
      </w:r>
      <w:r>
        <w:t xml:space="preserve"> Wheat production in western Europe accounts for a substantial share of agricultural greenhouse gas emissions, yet the relative contributions of tillage intensity and residue handling remain poorly separated. This research quantified the carbon footprint of 16 tillage-by-residue management combinations in winter wheat at the University of Bonn's experimental station, Klein-Altendorf, Germany, over two growing seasons (October 2021-August 2023). Four tillage methods (conventional moldboard plough, reduced tillage, no-till, strip tillage) were crossed with four residue treatments (removal, partial retention, full retention, incorporation) in a split-plot design with four replications. Carbon footprint was lowest under no-till with full residue retention (2,391 kg CO₂-eq/ha/yr), representing a 44.2% reduction compared to conventional tillage with residue removal (4,287 kg CO₂-eq/ha/yr). Fuel consumption drove 31.4% of the conventional tillage footprint but only 8.7% under no-till. Soil N₂O emissions were 23.8% lower where residue was retained on the surface versus incorporated. Wheat grain yield didn't differ significantly across tillage treatments in the second season, though first-season no-till plots showed a 7.3% yield reduction. These results indicate that tillage reduction combined with surface residue retention offers the largest carbon savings in German wheat systems.</w:t>
      </w:r>
    </w:p>
    <w:p>
      <w:pPr/>
      <w:r>
        <w:rPr>
          <w:b/>
        </w:rPr>
        <w:t>POSSIBLE 2025:</w:t>
      </w:r>
      <w:r>
        <w:t xml:space="preserve"> Using Douglas Fir and European Larch Needles for the Assessment of Their Retention Capacity for Atmospheric Heavy Metals — https://doi.org/10.3390/f16060980</w:t>
      </w:r>
    </w:p>
    <w:p>
      <w:pPr/>
      <w:r>
        <w:rPr>
          <w:b/>
        </w:rPr>
        <w:t>Shared claim-specific concepts:</w:t>
      </w:r>
      <w:r>
        <w:t xml:space="preserve"> retention, over, used; EU scope visible. This is a provisional connection, not an outcome finding.</w:t>
      </w:r>
    </w:p>
    <w:p>
      <w:pPr>
        <w:pStyle w:val="SourceNote"/>
      </w:pPr>
      <w:r>
        <w:rPr>
          <w:b/>
        </w:rPr>
        <w:t>Available abstract (not full text):</w:t>
      </w:r>
      <w:r>
        <w:t xml:space="preserve"> Among numerous global problems, one of the most significant is air pollution. In this paper, unwashed (U) and water-washed (W) needles of two conifers—European larch and Douglas fir—were used to assess their capacity for the retention and accumulation of heavy metals. The needle samples were used to represent the atmospheric deposition of heavy metals located on the surface of the needles. The sampled European larch and Douglas fir plantations were situated at three locations in Serbia: a least polluted (Kučevo), a moderately polluted (Avala), and a very polluted (Lazarevac) site. The content of five heavy metals (Ni, Cu, Co, Cd, Pb) was investigated in the study. The concentration of cadmium (Cd) was higher in the European larch needles compared to Douglas fir, while the differences in the content of the other heavy metals between the species studied were insignificant. For both species, the following trend applied with respect to the heavy metal content in their needles: Ni ˃ Cu ˃ Co ˃ Pb ˃ Cd. Based on the results obtained, we deduced that the concentrations of all investigated heavy metals at all three locations for both species were within the allowed limits, except for nickel (Ni) content, which was over the predicted limit values for both species in the highly polluted area (Lazarevac). A PCA (principal component analysis) undertaken suggests that European larch has a gr</w:t>
      </w:r>
    </w:p>
    <w:p>
      <w:pPr/>
      <w:r>
        <w:rPr>
          <w:b/>
        </w:rPr>
        <w:t>POSSIBLE 2025:</w:t>
      </w:r>
      <w:r>
        <w:t xml:space="preserve"> Active Food Packaging Based On Cassava Residues/Seriguela Residue Extract/nanoZnO — https://doi.org/10.24857/rgsa.v19n5-066</w:t>
      </w:r>
    </w:p>
    <w:p>
      <w:pPr/>
      <w:r>
        <w:rPr>
          <w:b/>
        </w:rPr>
        <w:t>Shared claim-specific concepts:</w:t>
      </w:r>
      <w:r>
        <w:t xml:space="preserve"> residues, retention, approach; EU scope not established. This is a provisional connection, not an outcome finding.</w:t>
      </w:r>
    </w:p>
    <w:p>
      <w:pPr>
        <w:pStyle w:val="SourceNote"/>
      </w:pPr>
      <w:r>
        <w:rPr>
          <w:b/>
        </w:rPr>
        <w:t>Available abstract (not full text):</w:t>
      </w:r>
      <w:r>
        <w:t xml:space="preserve"> Objective: Produce and characterize films based on starch production using extraction from industrial cassava processing as a polymeric matrix, incorporated with nanoZnO and the extract of residues from seriguela processing, with a focus on obtaining active biomaterial for application in food packaging. Theoretical Framework: The production of sustainable materials based on renewable natural resources, such as agricultural crop by-products, produced in large quantities and with little or no added value, has become an increasingly urgent global need, especially for the packaging sector. Method: The cassava residue was supplied by two processing units: the peels by the company José C. da Silva - Farinha (Farinha Quatis ®) located in Lagoa de Itaenga /PE, and the bagasse by Prata Fina® located in the city of Lagoa Salgada /RN. Then, they (peels and bagasse) were subjected to drying at 50 °C, in an oven with air circulation (MA035/5 - MARCONI, Brazil), until a moisture content equal to or less than 10%, and then ground in a multipurpose mill. Subsequently, films were produced with the residue produced with the addition of seriguela extract and nanoZnO. Results and Discussion: CRF presented significant starch content (74.53 g.100g -1 ) and SRE a high phenolic content (1013.7 μgEAG.mL -1 ) with strong antioxidant capacity, but additive films showed low phenolic retention, reinforcing</w:t>
      </w:r>
    </w:p>
    <w:p>
      <w:pPr/>
      <w:r>
        <w:rPr>
          <w:b/>
        </w:rPr>
        <w:t>POSSIBLE 2024:</w:t>
      </w:r>
      <w:r>
        <w:t xml:space="preserve"> Soil bulk density assessment in Europe — https://doi.org/10.1016/j.agee.2024.108907</w:t>
      </w:r>
    </w:p>
    <w:p>
      <w:pPr/>
      <w:r>
        <w:rPr>
          <w:b/>
        </w:rPr>
        <w:t>Shared claim-specific concepts:</w:t>
      </w:r>
      <w:r>
        <w:t xml:space="preserve"> stocks, over, used, spatial; EU scope visible. This is a provisional connection, not an outcome finding.</w:t>
      </w:r>
    </w:p>
    <w:p>
      <w:pPr>
        <w:pStyle w:val="SourceNote"/>
      </w:pPr>
      <w:r>
        <w:rPr>
          <w:b/>
        </w:rPr>
        <w:t>Available abstract (not full text):</w:t>
      </w:r>
      <w:r>
        <w:t xml:space="preserve"> The topsoil Land Use and Cover Area frame Statistical survey (LUCAS) aims at collecting harmonised data about the state of soil health over the extent of European Union (EU). In the LUCAS 2018 survey, bulk density has been analysed for three depths, i.e., 0–10 cm = 6140 sites; 10–20 cm = 5684 sites and 20–30 cm =139 sites. The laboratory analysis and the assessment of the results conclude that the bulk density at 10–20 cm is 5–10% higher compared to 0–10 cm for all land uses except woodlands (20%). In the 0–20 cm depth, croplands have 1.5 times higher bulk density (mean: 1.26 g cm−3) compared to woodlands (mean: 0.83 g cm−3). The main driver for bulk density variation is the land use which implies that many existing pedotransfer rules have to be developed based on land use. This study applied a methodological framework using an advanced Cubist rule-based regression model to optimize the spatial prediction of bulk density in Europe. We spatialised the circa 6000 LUCAS samples and developed the high-resolution map (100 m) of bulk density for the 0–20 cm depth and the maps at 0–10 and 10–20 cm depth. The modelling results showed a very good prediction (R2: 0.66) of bulk density for the 0–20 cm depth which outperforms previous assessments. The bulk density maps can be used to estimate packing density which is a proxy to estimate soil compaction. Therefore, this work contributes to </w:t>
      </w:r>
    </w:p>
    <w:p>
      <w:pPr/>
      <w:r>
        <w:rPr>
          <w:b/>
        </w:rPr>
        <w:t>POSSIBLE 2024:</w:t>
      </w:r>
      <w:r>
        <w:t xml:space="preserve"> Bifenthrin Residues in Table Grapevine: Method Optimization, Dissipation and Removal of Residues in Grapes and Grape Leaves — https://doi.org/10.3390/plants13121695</w:t>
      </w:r>
    </w:p>
    <w:p>
      <w:pPr/>
      <w:r>
        <w:rPr>
          <w:b/>
        </w:rPr>
        <w:t>Shared claim-specific concepts:</w:t>
      </w:r>
      <w:r>
        <w:t xml:space="preserve"> residues, calculated, over; EU scope visible. This is a provisional connection, not an outcome finding.</w:t>
      </w:r>
    </w:p>
    <w:p>
      <w:pPr>
        <w:pStyle w:val="SourceNote"/>
      </w:pPr>
      <w:r>
        <w:rPr>
          <w:b/>
        </w:rPr>
        <w:t>Available abstract (not full text):</w:t>
      </w:r>
      <w:r>
        <w:t xml:space="preserve"> The QuEChERS method was adjusted to determine bifenthrin residues in grapes and grape leaves. Extraction and cleanup procedures were optimized to decrease co-extracted materials and enhance the detection of bifenthrin. The method was validated per the European Union (EU) Guidelines criteria. Accuracy ranged from 98.8% to 93.5% for grapes and grape leaves, respectively. Precision values were 5.5 and 6.4 (RSDr) and 7.4 and 6.7 (RSDR) for grapes and grape leaves, respectively. LOQs (the lowest spiking level) were 2 and 20 µg/kg for grapes and grape leaves, respectively. Linearity as determination coefficient (R2) values were 0.9997 and 0.9964 for grapes and grape leaves, respectively, in a matrix over 1–100 µg/L range of analyte concentration. This was very close to the value in the pure solvent (0.9999), showing the efficiency of the cleanup in removing the co-extracted and co-injected materials; the matrix effect was close to zero in both sample matrices. Dissipation of bifenthrin was studied in a supervised trial conducted in a grapevine field during the summer of 2023 at the recommended dose and double the dose. Dissipation factor k values were 0.1549 and 0.1672 (recommended dose) and 0.235 and 0.208 (double dose) for grapes and grape leaves, respectively. Pre-harvest interval (PHI) was calculated for the Maximum Residue Limit (MRL) values of the EU database. Residues of bifen</w:t>
      </w:r>
    </w:p>
    <w:p>
      <w:pPr/>
      <w:r>
        <w:rPr>
          <w:b/>
        </w:rPr>
        <w:t>POSSIBLE 2024:</w:t>
      </w:r>
      <w:r>
        <w:t xml:space="preserve"> Towards the Magic Radioactive Bullet: Improving Targeted Radionuclide Therapy by Reducing the Renal Retention of Radioligands — https://doi.org/10.3390/ph17020256</w:t>
      </w:r>
    </w:p>
    <w:p>
      <w:pPr/>
      <w:r>
        <w:rPr>
          <w:b/>
        </w:rPr>
        <w:t>Shared claim-specific concepts:</w:t>
      </w:r>
      <w:r>
        <w:t xml:space="preserve"> retention, reduced, over, used; EU scope not established. This is a provisional connection, not an outcome finding.</w:t>
      </w:r>
    </w:p>
    <w:p>
      <w:pPr>
        <w:pStyle w:val="SourceNote"/>
      </w:pPr>
      <w:r>
        <w:rPr>
          <w:b/>
        </w:rPr>
        <w:t>Available abstract (not full text):</w:t>
      </w:r>
      <w:r>
        <w:t xml:space="preserve"> Targeted radionuclide therapy (TRT) is an emerging field and has the potential to become a major pillar in effective cancer treatment. Several pharmaceuticals are already in routine use for treating cancer, and there is still a high potential for new compounds for this application. But, a major issue for many radiolabeled low-to-moderate-molecular-weight molecules is their clearance via the kidneys and their subsequent reuptake. High renal accumulation of radioactive compounds may lead to nephrotoxicity, and therefore, the kidneys are often the dose-limiting organs in TRT with these radioligands. Over the years, different strategies have been developed aiming for reduced kidney retention and enhanced therapeutic efficacy of radioligands. In this review, we will give an overview of the efforts and achievements of the used strategies, with focus on the therapeutic potential of low-to-moderate-molecular-weight molecules. Among the strategies discussed here is coadministration of compounds that compete for binding to the endocytic receptors in the proximal tubuli. In addition, the influence of altering the molecular design of radiolabeled ligands on pharmacokinetics is discussed, which includes changes in their physicochemical properties and implementation of cleavable linkers or albumin-binding moieties. Furthermore, we discuss the influence of chelator and radionuclide choice on </w:t>
      </w:r>
    </w:p>
    <w:p>
      <w:pPr>
        <w:pStyle w:val="Heading2"/>
      </w:pPr>
      <w:r>
        <w:t>545. Long-term transport decarbonization pathways in the European Union: a strategic energy-economy analysis</w:t>
      </w:r>
    </w:p>
    <w:p>
      <w:pPr>
        <w:pStyle w:val="SourceNote"/>
      </w:pPr>
      <w:r>
        <w:rPr>
          <w:b/>
        </w:rPr>
        <w:t>Original source (2022):</w:t>
      </w:r>
      <w:r>
        <w:t xml:space="preserve"> https://doi.org/10.1080/15567249.2022.2101712</w:t>
      </w:r>
    </w:p>
    <w:p>
      <w:pPr/>
      <w:r>
        <w:t>Original wording (abstract; indexed_source_text_not_full_document_verified): Owing to their uncertain and disruptive role, we assess the potential contribution of e-fuels deployment to the EU transport decarbonization in line with the region’s climate neutrality ambition in 2050. However, the two scenarios differ in the other technology and fuel choices, with implications on road freight transport, infrastructure, R&amp;D spending, and maturity requirements for alternative vehicles.</w:t>
      </w:r>
    </w:p>
    <w:p>
      <w:pPr/>
      <w:r>
        <w:rPr>
          <w:b/>
        </w:rPr>
        <w:t>POSSIBLE 2026:</w:t>
      </w:r>
      <w:r>
        <w:t xml:space="preserve"> Unpacking the Paradoxes of Trust in Uncertain Times — https://doi.org/10.1177/01708406261430577</w:t>
      </w:r>
    </w:p>
    <w:p>
      <w:pPr/>
      <w:r>
        <w:rPr>
          <w:b/>
        </w:rPr>
        <w:t>Shared claim-specific concepts:</w:t>
      </w:r>
      <w:r>
        <w:t xml:space="preserve"> uncertain, however, technology, implications; EU scope not established. This is a provisional connection, not an outcome finding.</w:t>
      </w:r>
    </w:p>
    <w:p>
      <w:pPr>
        <w:pStyle w:val="SourceNote"/>
      </w:pPr>
      <w:r>
        <w:rPr>
          <w:b/>
        </w:rPr>
        <w:t>Available abstract (not full text):</w:t>
      </w:r>
      <w:r>
        <w:t xml:space="preserve"> Trust has been recognized as a foundational pillar underpinning the functioning of organizations and society. However, contemporary developments have unleashed unprecedented uncertainty, challenging established notions of social order and raising urgent questions about how trust will operate in the years to come. A deeper understanding of the interface between uncertainty and trust is needed, elaborating how institutions and advanced technologies offer pathways for building and maintaining trust. Our analysis identifies three core paradoxes: trust–uncertainty, trust–institution, and trust–technology. These paradoxes highlight that trust proves indispensable where it is hardest to build, that trusted institutions falter when uncertainty is high and they are needed most, and that technologies designed to reduce uncertainty can in fact increase it. This special issue curates five studies that illuminate these paradoxes. A qualitative study of whistleblowing reveals tensions in how organizations signal ability, benevolence, integrity, transparency, and identification across stakeholders and over time (trust–uncertainty). A mixed‑methods study of a high court theorizes fidelity mechanisms—recognition, selection, socialization—that stabilize the production of “trust objects” (trust–institution). A multilevel network analysis of a corporate top‑management team shows that shared organi</w:t>
      </w:r>
    </w:p>
    <w:p>
      <w:pPr/>
      <w:r>
        <w:rPr>
          <w:b/>
        </w:rPr>
        <w:t>POSSIBLE 2026:</w:t>
      </w:r>
      <w:r>
        <w:t xml:space="preserve"> Assessing the importance of the European armament sector: a multiregional approach — https://doi.org/10.1080/10242694.2026.2673058</w:t>
      </w:r>
    </w:p>
    <w:p>
      <w:pPr/>
      <w:r>
        <w:rPr>
          <w:b/>
        </w:rPr>
        <w:t>Shared claim-specific concepts:</w:t>
      </w:r>
      <w:r>
        <w:t xml:space="preserve"> assess, potential, other; EU scope visible. This is a provisional connection, not an outcome finding.</w:t>
      </w:r>
    </w:p>
    <w:p>
      <w:pPr>
        <w:pStyle w:val="SourceNote"/>
      </w:pPr>
      <w:r>
        <w:rPr>
          <w:b/>
        </w:rPr>
        <w:t>Available abstract (not full text):</w:t>
      </w:r>
      <w:r>
        <w:t xml:space="preserve"> The threat posed by the war in Ukraine and the shift in the U.S. administration’s stance toward the European Union compel member states to cooperate in the armaments industry through co-production and co-development projects. This makes the present study particularly valuable for understanding the current state of the defence sector within EU member states.Our study examines the situation of the armaments industry across EU member states, focusing specifically on intersectoral relationships and their multiplier effect on the economy. This approach enables us to assess the state of the defence sector and anticipate worst-case scenarios arising from the ongoing conflict in neighboring territories. Furthermore, it allows us to identify potential capability gaps within the defence sector.To conduct this analysis, we employ a multisectoral and multinational modeling framework based on the input – output methodology, which enables the disaggregation of the armaments sector into its constituent subsectors, thereby facilitating the examination of income flows associated with this industry. The results obtained provide an in-depth understanding of both the weight of the armaments industry in the domestic economy of each EU member state and the impact of this sector on other economies through trade exchanges.</w:t>
      </w:r>
    </w:p>
    <w:p>
      <w:pPr/>
      <w:r>
        <w:rPr>
          <w:b/>
        </w:rPr>
        <w:t>POSSIBLE 2026:</w:t>
      </w:r>
      <w:r>
        <w:t xml:space="preserve"> Budget Impact Analysis of Vacuum-Assisted Excision Versus Surgical Excision for the Assessment of Breast Lesions of Uncertain Malignant Potential in Italy — https://doi.org/10.1007/s41669-026-00663-w</w:t>
      </w:r>
    </w:p>
    <w:p>
      <w:pPr/>
      <w:r>
        <w:rPr>
          <w:b/>
        </w:rPr>
        <w:t>Shared claim-specific concepts:</w:t>
      </w:r>
      <w:r>
        <w:t xml:space="preserve"> owing, uncertain, potential; EU scope visible. This is a provisional connection, not an outcome finding.</w:t>
      </w:r>
    </w:p>
    <w:p>
      <w:pPr>
        <w:pStyle w:val="SourceNote"/>
      </w:pPr>
      <w:r>
        <w:rPr>
          <w:b/>
        </w:rPr>
        <w:t>Available abstract (not full text):</w:t>
      </w:r>
      <w:r>
        <w:t xml:space="preserve"> BACKGROUND/OBJECTIVE: B3 breast lesions, of uncertain malignant potential, pose diagnostic challenges owing to their intermediate malignancy risk. While surgical excision (SE) is traditionally used for definitive diagnosis, vacuum-assisted excision (VAE) offers a less invasive alternative. As diagnostic practices evolve, this study assesses the financial impact of adopting VAE for B3 lesion management from the hospital perspective within the Italian healthcare system. MATERIALS AND METHODS: A budget impact analysis (BIA) was conducted from the hospital perspective over a 5-year time horizon. Clinical complication rates for SE and VAE were derived through a systematic literature review and meta-analysis. A micro-costing approach was used to estimate direct medical costs on the basis of detailed resource utilization data collected via structured questionnaires administered across five Italian hospitals. One-way sensitivity analyses and scenario analyses were conducted to test the robustness of the results. RESULTS: VAE was associated with significantly lower costs than SE, mainly owing to reduced hospitalization, operating room use, and personnel time. The average per-patient cost was €820 for VAE versus €1663 for SE, yielding savings of €843. Over 5 years, with VAE adoption rising from 20% to 80%, cumulative hospital savings were estimated to be between €11.1 million and €13.7 m</w:t>
      </w:r>
    </w:p>
    <w:p>
      <w:pPr/>
      <w:r>
        <w:rPr>
          <w:b/>
        </w:rPr>
        <w:t>POSSIBLE 2025:</w:t>
      </w:r>
      <w:r>
        <w:t xml:space="preserve"> Persistent positive anomalies in geopotential heights drive enhanced wildfire activity across Europe — https://doi.org/10.1098/rstb.2023.0455</w:t>
      </w:r>
    </w:p>
    <w:p>
      <w:pPr/>
      <w:r>
        <w:rPr>
          <w:b/>
        </w:rPr>
        <w:t>Shared claim-specific concepts:</w:t>
      </w:r>
      <w:r>
        <w:t xml:space="preserve"> role, climate, fuel, implications; EU scope visible. This is a provisional connection, not an outcome finding.</w:t>
      </w:r>
    </w:p>
    <w:p>
      <w:pPr>
        <w:pStyle w:val="SourceNote"/>
      </w:pPr>
      <w:r>
        <w:rPr>
          <w:b/>
        </w:rPr>
        <w:t>Available abstract (not full text):</w:t>
      </w:r>
      <w:r>
        <w:t xml:space="preserve"> Persistent positive anomalies (PPAs) in 500 hPa geopotential height are upper-air circulation patterns associated with surface heatwaves, drought and fuel aridity. We examined the association between PPA events and surface fire weather and burned area at a pan-European level. Europe-wide, extreme fire weather and wildfires were on average 3.5 and 2.3 times more likely to occur concurrently with a PPA, respectively. PPAs were associated with 45% of pan-European area burned between March and October 2001-2021, and there was a latitudinal increase of up to 63% in the percentage of area burned during or up to 7 days following PPAs over Northern Europe. The burned area was highest up to one week following PPA presence, and fuel moisture indices from the Canadian Fire Weather Index System lagged behind peak PPA strength, demonstrating the role of PPAs in pre-drying fuels. Our findings highlight opportunities for developing early warning systems of wildfire danger, having implications for wildfire awareness and preparedness, informing policy and wildfire management decisions like early mobilization and resource sharing initiatives across Europe.This article is part of the theme issue 'Novel fire regimes under climate changes and human influences: impacts, ecosystem responses and feedbacks'.</w:t>
      </w:r>
    </w:p>
    <w:p>
      <w:pPr/>
      <w:r>
        <w:rPr>
          <w:b/>
        </w:rPr>
        <w:t>POSSIBLE 2025:</w:t>
      </w:r>
      <w:r>
        <w:t xml:space="preserve"> Uncertain research country rankings. Should we continue producing uncertain rankings? — https://doi.org/10.2478/jdis-2025-0030</w:t>
      </w:r>
    </w:p>
    <w:p>
      <w:pPr/>
      <w:r>
        <w:rPr>
          <w:b/>
        </w:rPr>
        <w:t>Shared claim-specific concepts:</w:t>
      </w:r>
      <w:r>
        <w:t xml:space="preserve"> uncertain, however, implications; EU scope not established. This is a provisional connection, not an outcome finding.</w:t>
      </w:r>
    </w:p>
    <w:p>
      <w:pPr>
        <w:pStyle w:val="SourceNote"/>
      </w:pPr>
      <w:r>
        <w:rPr>
          <w:b/>
        </w:rPr>
        <w:t>Available abstract (not full text):</w:t>
      </w:r>
      <w:r>
        <w:t xml:space="preserve"> ABSTRACT Purpose Citation-based assessments of countries’ research capabilities often misrepresent their ability to achieve breakthrough advancements. These assessments commonly classify Japan as a developing country, which contradicts its prominent scientific standing. The purpose of this study is to investigate the underlying causes of such inaccurate assessments and to propose methods for conducting more reliable evaluations. Design/methodology/approach The study evaluates the effectiveness of top-percentile citation metrics as indicators of breakthrough research. Using case studies of selected countries and research topics, the study examines how deviations from lognormal citation distributions impact the accuracy of these percentile indicators. A similar analysis is conducted using university data from the Leiden Ranking to investigate citation distribution deviations at the institutional level. Findings The study finds that inflated lower tails in citation distributions lead to undervaluation of research capabilities in advanced technological countries, as captured by some percentile indicators. Conversely, research-intensive universities exhibit the opposite trend: a reduced lower tail relative to the upper tail, which causes percentile indicators to overestimate their actual research capacity. Research limitations The descriptions are mathematical facts that are self-ev</w:t>
      </w:r>
    </w:p>
    <w:p>
      <w:pPr/>
      <w:r>
        <w:rPr>
          <w:b/>
        </w:rPr>
        <w:t>POSSIBLE 2025:</w:t>
      </w:r>
      <w:r>
        <w:t xml:space="preserve"> The Uncertain World of Renaissance Geneva and Savoy — https://doi.org/10.5117/9789048566396</w:t>
      </w:r>
    </w:p>
    <w:p>
      <w:pPr/>
      <w:r>
        <w:rPr>
          <w:b/>
        </w:rPr>
        <w:t>Shared claim-specific concepts:</w:t>
      </w:r>
      <w:r>
        <w:t xml:space="preserve"> uncertain, line, other; EU scope visible. This is a provisional connection, not an outcome finding.</w:t>
      </w:r>
    </w:p>
    <w:p>
      <w:pPr>
        <w:pStyle w:val="SourceNote"/>
      </w:pPr>
      <w:r>
        <w:rPr>
          <w:b/>
        </w:rPr>
        <w:t>Available abstract (not full text):</w:t>
      </w:r>
      <w:r>
        <w:t xml:space="preserve"> Uncertainty and instability affected Geneva and the Duchy of Savoy since the mid-fifteenth century. French and Swiss expansionism had turned Savoy into part of a long geopolitical fault line, running from the North Sea to the Mediterranean along the border between France and the Empire. In Geneva, and partially in other towns of Piedmont and the Pays de Vaud, this instability fuelled urban factionalism, confessional conflicts, but also wider discussions about the ways in which society could be reformed. Conflicts were, in the end, the consequence of a struggle about the best political and religious option to reduce uncertainty. The Uncertain World of Renaissance Geneva and Savoy looks at how political life worked in a time of great instability, seeking to answer a straightforward—but not easy—question: how did people face and react to political and religious uncertainty?</w:t>
      </w:r>
    </w:p>
    <w:p>
      <w:pPr/>
      <w:r>
        <w:rPr>
          <w:b/>
        </w:rPr>
        <w:t>POSSIBLE 2025:</w:t>
      </w:r>
      <w:r>
        <w:t xml:space="preserve"> The Uncertain World of Renaissance Geneva and Savoy — https://doi.org/10.1515/9789048566402</w:t>
      </w:r>
    </w:p>
    <w:p>
      <w:pPr/>
      <w:r>
        <w:rPr>
          <w:b/>
        </w:rPr>
        <w:t>Shared claim-specific concepts:</w:t>
      </w:r>
      <w:r>
        <w:t xml:space="preserve"> uncertain, line, other; EU scope visible. This is a provisional connection, not an outcome finding.</w:t>
      </w:r>
    </w:p>
    <w:p>
      <w:pPr>
        <w:pStyle w:val="SourceNote"/>
      </w:pPr>
      <w:r>
        <w:rPr>
          <w:b/>
        </w:rPr>
        <w:t>Available abstract (not full text):</w:t>
      </w:r>
      <w:r>
        <w:t xml:space="preserve"> Uncertainty and instability affected Geneva and the Duchy of Savoy since the mid-fifteenth century. French and Swiss expansionism had turned Savoy into part of a long geopolitical fault line, running from the North Sea to the Mediterranean along the border between France and the Empire. In Geneva, and partially in other towns of Piedmont and the Pays de Vaud, this instability fuelled urban factionalism, confessional conflicts, but also wider discussions about the ways in which society could be reformed. Conflicts were, in the end, the consequence of a struggle about the best political and religious option to reduce uncertainty. The Uncertain World of Renaissance Geneva and Savoy looks at how political life worked in a time of great instability, seeking to answer a straightforward—but not easy—question: how did people face and react to political and religious uncertainty?</w:t>
      </w:r>
    </w:p>
    <w:p>
      <w:pPr/>
      <w:r>
        <w:rPr>
          <w:b/>
        </w:rPr>
        <w:t>POSSIBLE 2025:</w:t>
      </w:r>
      <w:r>
        <w:t xml:space="preserve"> The Double Tidal Disruption Event AT 2022dbl Implies that at Least Some “Standard” Optical Tidal Disruption Events Are Partial Disruptions — https://doi.org/10.3847/2041-8213/ade155</w:t>
      </w:r>
    </w:p>
    <w:p>
      <w:pPr/>
      <w:r>
        <w:rPr>
          <w:b/>
        </w:rPr>
        <w:t>Shared claim-specific concepts:</w:t>
      </w:r>
      <w:r>
        <w:t xml:space="preserve"> two; EU scope not established. This is a provisional connection, not an outcome finding.</w:t>
      </w:r>
    </w:p>
    <w:p>
      <w:pPr>
        <w:pStyle w:val="SourceNote"/>
      </w:pPr>
      <w:r>
        <w:rPr>
          <w:b/>
        </w:rPr>
        <w:t>Available abstract (not full text):</w:t>
      </w:r>
      <w:r>
        <w:t xml:space="preserve"> Abstract Flares produced following the tidal disruption of stars by supermassive black holes can reveal the properties of the otherwise dormant majority of black holes and the physics of accretion. In the past decade, a class of optical-ultraviolet tidal disruption flares has been discovered whose emission properties do not match theoretical predictions. This has led to extensive efforts to model the dynamics and emission mechanisms of optical-ultraviolet tidal disruptions in order to establish them as probes of supermassive black holes. Here we present the optical-ultraviolet tidal disruption event AT 2022dbl, which showed a nearly identical repetition 700 days after the first flare. Ruling out gravitational lensing and two chance unrelated disruptions, we conclude that at least the first flare represents the partial disruption of a star, possibly captured through the Hills mechanism. Since both flares are typical of the optical-ultraviolet class of tidal disruptions in terms of their radiated energy, temperature, luminosity, and spectral features, it follows that either the entire class are partial rather than full stellar disruptions, contrary to the prevalent assumption, or some members of the class are partial disruptions, having nearly the same observational characteristics as full disruptions. Whichever option is true, these findings could require revised models for the </w:t>
      </w:r>
    </w:p>
    <w:p>
      <w:pPr/>
      <w:r>
        <w:rPr>
          <w:b/>
        </w:rPr>
        <w:t>POSSIBLE 2025:</w:t>
      </w:r>
      <w:r>
        <w:t xml:space="preserve"> Implications of window opening assumptions in English overheating regulation on assessing residential heat resilience under uncertain climate — https://doi.org/10.26868/25222708.2025.1494</w:t>
      </w:r>
    </w:p>
    <w:p>
      <w:pPr/>
      <w:r>
        <w:rPr>
          <w:b/>
        </w:rPr>
        <w:t>Shared claim-specific concepts:</w:t>
      </w:r>
      <w:r>
        <w:t xml:space="preserve"> uncertain, role, climate, however, implications; EU scope not established. This is a provisional connection, not an outcome finding.</w:t>
      </w:r>
    </w:p>
    <w:p>
      <w:pPr>
        <w:pStyle w:val="SourceNote"/>
      </w:pPr>
      <w:r>
        <w:rPr>
          <w:b/>
        </w:rPr>
        <w:t>Available abstract (not full text):</w:t>
      </w:r>
      <w:r>
        <w:t xml:space="preserve"> Climate change causes more frequent and severe heat- waves in temperate regions, posing a grave risk of heat exposure to dwellings. To address this, the United Kingdom government recently implemented regula- tions to mitigate overheating in English and Welsh homes. Approved Document O (ADO), as its accom- panying technical guidance, recommends a modelling approach to demonstrating regulatory compliance for summertime thermal comfort, which is based on the Technical Memorandum 59 (TM59) methodology with modifications to the standardised window control be- haviours. Previous studies have highlighted adaptive ventilation as a crucial measure to enhance heat resi- lience of future homes; however, the impact of such modifications on overheating prediction has not been quantitatively discussed, particularly in consideration of climate uncertainty. This paper aims to investigate the implications of the tailored window control rule- sets in ADO on heat resilience evaluation for future homes under uncertain climatic conditions. Results suggest a statistically significant difference (p &lt; 0.001) in overheating assessment results between TM59 and ADO, with the greatest effect observed on the expected overheating risk in nocturnal bedrooms. Quantitat- ive evidence also reveals the critical role of nighttime ventilation in enhancing thermal comfort in future summers regarding both effectiven</w:t>
      </w:r>
    </w:p>
    <w:p>
      <w:pPr/>
      <w:r>
        <w:rPr>
          <w:b/>
        </w:rPr>
        <w:t>POSSIBLE 2025:</w:t>
      </w:r>
      <w:r>
        <w:t xml:space="preserve"> A Review of Food Security Crisis in Uncertain Times — https://doi.org/10.54536/ajfst.v4i1.3622</w:t>
      </w:r>
    </w:p>
    <w:p>
      <w:pPr/>
      <w:r>
        <w:rPr>
          <w:b/>
        </w:rPr>
        <w:t>Shared claim-specific concepts:</w:t>
      </w:r>
      <w:r>
        <w:t xml:space="preserve"> uncertain, role, potential, climate, other, implications; EU scope not established. This is a provisional connection, not an outcome finding.</w:t>
      </w:r>
    </w:p>
    <w:p>
      <w:pPr>
        <w:pStyle w:val="SourceNote"/>
      </w:pPr>
      <w:r>
        <w:rPr>
          <w:b/>
        </w:rPr>
        <w:t>Available abstract (not full text):</w:t>
      </w:r>
      <w:r>
        <w:t xml:space="preserve"> Hunger and poverty are not the only issues linked to the food insecurity challenge. Increased violence, terrorism, natural catastrophes, climate change, and the most recent worldwide pandemic known as the COVID-19 Pandemic have all drawn attention to the issue of food poverty. Before the world’s economy fully recovered from the COVID-19 pandemic, the globe was particularly affected by the Russian invasion of Ukraine and the grain crisis, which intensified the situation to never-before-seen proportions. This article describes the numerous complex issues underlying the food shortage and how it affects the world’s least developed nations and individuals. This article analyses the challenges of global food scarcity, especially during the COVID-19 pandemic. The method of study involved conducting a comprehensive literature search on electronic databases, including PubMed, Google Scholar, and Embase. The relevant results were then recorded in a qualitative descriptive form. It examines the impact of the pandemic on food systems, its implications for the worldwide supply chain, and food and addressing the shortage. The review also explores factors contributing to food scarcity, such as the controversial role of biofuels. The article discusses the extent of hunger and food insecurity, emphasizing the moral implications of unhealthy eating practices and the relationship between food sec</w:t>
      </w:r>
    </w:p>
    <w:p>
      <w:pPr/>
      <w:r>
        <w:rPr>
          <w:b/>
        </w:rPr>
        <w:t>POSSIBLE 2025:</w:t>
      </w:r>
      <w:r>
        <w:t xml:space="preserve"> Dependent Infrastructure Service Disruption Mapping (DISruptionMap): A method to assess cascading service disruptions in disaster scenarios — https://doi.org/10.1038/s41598-025-89469-0</w:t>
      </w:r>
    </w:p>
    <w:p>
      <w:pPr/>
      <w:r>
        <w:rPr>
          <w:b/>
        </w:rPr>
        <w:t>Shared claim-specific concepts:</w:t>
      </w:r>
      <w:r>
        <w:t xml:space="preserve"> assess, transport, other; EU scope visible. This is a provisional connection, not an outcome finding.</w:t>
      </w:r>
    </w:p>
    <w:p>
      <w:pPr>
        <w:pStyle w:val="SourceNote"/>
      </w:pPr>
      <w:r>
        <w:rPr>
          <w:b/>
        </w:rPr>
        <w:t>Available abstract (not full text):</w:t>
      </w:r>
      <w:r>
        <w:t xml:space="preserve"> Critical infrastructures provide essential services for our modern society. Large-scale natural hazards, such as floods or storms, can disrupt multiple critical infrastructures at once. In addition, a localized failure of one service can trigger a cascade of failures of other dependent services. This makes it challenging to anticipate and prepare adequately for direct and indirect consequences of such events. Existing methods that are spatially explicit and consider service dependencies currently lack practicality, as they require large amounts of data. To address this gap, we propose a novel method called DISruptionMap which analyzes complex disruptions to critical infrastructure services. The proposed method combines (i) spatial service models to assess direct service disruptions with (ii) a service dependency model to assess indirect (cascading) service disruptions. A fault tree-based approach is implemented, resulting in a significant decrease in the information required to set up the service dependency model. We demonstrate the effectiveness of our method in a case study examining the impact of an extreme flood on health, transport, and power services in Cologne, Germany.</w:t>
      </w:r>
    </w:p>
    <w:p>
      <w:pPr/>
      <w:r>
        <w:rPr>
          <w:b/>
        </w:rPr>
        <w:t>POSSIBLE 2025:</w:t>
      </w:r>
      <w:r>
        <w:t xml:space="preserve"> Sri Lankan Migrant Women’s Uncertain COVID-19 Conditions in the Middle East — https://doi.org/10.47836/pjssh.33.2.04</w:t>
      </w:r>
    </w:p>
    <w:p>
      <w:pPr/>
      <w:r>
        <w:rPr>
          <w:b/>
        </w:rPr>
        <w:t>Shared claim-specific concepts:</w:t>
      </w:r>
      <w:r>
        <w:t xml:space="preserve"> owing, uncertain, however; EU scope not established. This is a provisional connection, not an outcome finding.</w:t>
      </w:r>
    </w:p>
    <w:p>
      <w:pPr>
        <w:pStyle w:val="SourceNote"/>
      </w:pPr>
      <w:r>
        <w:rPr>
          <w:b/>
        </w:rPr>
        <w:t>Available abstract (not full text):</w:t>
      </w:r>
      <w:r>
        <w:t xml:space="preserve"> The discrimination and exploitation encountered by Sri Lankan migrant women in the Middle East labour market have aggravated, which engenders significant challenges for numerous families, especially during the COVID-19 pandemic. The current study aims to explore Sri Lankan women’s uncertain living conditions with families during the COVID-19 pandemic. A qualitative research method was employed to collect data through a semi-structured interview guide and produce a descriptive analysis using the thematic analysis technique. Purposive sampling was performed to recruit Sri Lankan migrant women who stayed with their respective families in Bahrain. A total of 13 online in-depth interviews were conducted. Resultantly, Sri Lankan migrant women experienced significant challenges during the pandemic due to frequent humiliation and termination by employers, which significantly increased the pressure of living. The crisis negatively impacted Sri Lankan migrant women’s lives owing to increased family responsibilities, which led to high challenges in achieving a balance between work and family. Working in the Middle East and resettling in Sri Lanka were not as favourable as expected at their stage of work, which required them to adopt coping mechanisms to achieve their economic goal. However, the amount of relevant materials and social support for the migrant women was minimal. The present </w:t>
      </w:r>
    </w:p>
    <w:p>
      <w:pPr>
        <w:pStyle w:val="Heading2"/>
      </w:pPr>
      <w:r>
        <w:t>546. Making the EU Carbon Border Adjustment Mechanism acceptable and climate friendly for least developed countries</w:t>
      </w:r>
    </w:p>
    <w:p>
      <w:pPr>
        <w:pStyle w:val="SourceNote"/>
      </w:pPr>
      <w:r>
        <w:rPr>
          <w:b/>
        </w:rPr>
        <w:t>Original source (2022):</w:t>
      </w:r>
      <w:r>
        <w:t xml:space="preserve"> https://doi.org/10.1016/j.enpol.2022.113245</w:t>
      </w:r>
    </w:p>
    <w:p>
      <w:pPr/>
      <w:r>
        <w:t>Original wording (abstract; indexed_source_text_not_full_document_verified): A more stringent climate target results in carbon leakage, and implementing CBAM will reduce the rate by one-third by 2040. Implementation of CBAM to support EU climate neutrality by 2050 has raised several concerns.</w:t>
      </w:r>
    </w:p>
    <w:p>
      <w:pPr/>
      <w:r>
        <w:rPr>
          <w:b/>
        </w:rPr>
        <w:t>POSSIBLE 2026:</w:t>
      </w:r>
      <w:r>
        <w:t xml:space="preserve"> Climate disclosure and risk premium in the European bond market — https://doi.org/10.1007/s40822-026-00401-x</w:t>
      </w:r>
    </w:p>
    <w:p>
      <w:pPr/>
      <w:r>
        <w:rPr>
          <w:b/>
        </w:rPr>
        <w:t>Shared claim-specific concepts:</w:t>
      </w:r>
      <w:r>
        <w:t xml:space="preserve"> stringent, climate, carbon; EU scope visible. This is a provisional connection, not an outcome finding.</w:t>
      </w:r>
    </w:p>
    <w:p>
      <w:pPr>
        <w:pStyle w:val="SourceNote"/>
      </w:pPr>
      <w:r>
        <w:rPr>
          <w:b/>
        </w:rPr>
        <w:t>Available abstract (not full text):</w:t>
      </w:r>
      <w:r>
        <w:t xml:space="preserve"> Abstract Stringent climate regulations are necessary to achieve robust mitigation targets, putting carbon-intensive activities under pressure and increasing the risk perceived in financial markets. This paper empirically investigates how transition risk is priced into European firms' risk and creditworthiness, using five-year credit default swap (CDS) spreads and Merton's Distance to Default (DtD). The sample comprises European listed companies covered by the EU Emissions Trading System (ETS). Evidence suggests that the ETS carbon price and verified emissions increase credit risk, whereas disclosing emissions reduces it. We find heterogeneous effects across the two indicators, which could indicate different ways in which transition risk is channelled to bond markets. Furthermore, the divergent effects between voluntary and compliance-based measurement of environmental performance could indicate underpricing of emissions relocated outside regulated jurisdictions.</w:t>
      </w:r>
    </w:p>
    <w:p>
      <w:pPr/>
      <w:r>
        <w:rPr>
          <w:b/>
        </w:rPr>
        <w:t>POSSIBLE 2026:</w:t>
      </w:r>
      <w:r>
        <w:t xml:space="preserve"> Methane leakage thresholds for net climate benefits of wastewater biogas recovery — https://doi.org/10.1038/s41893-026-01818-7</w:t>
      </w:r>
    </w:p>
    <w:p>
      <w:pPr/>
      <w:r>
        <w:rPr>
          <w:b/>
        </w:rPr>
        <w:t>Shared claim-specific concepts:</w:t>
      </w:r>
      <w:r>
        <w:t xml:space="preserve"> climate, leakage, rate; EU scope not established. This is a provisional connection, not an outcome finding.</w:t>
      </w:r>
    </w:p>
    <w:p>
      <w:pPr>
        <w:pStyle w:val="SourceNote"/>
      </w:pPr>
      <w:r>
        <w:rPr>
          <w:b/>
        </w:rPr>
        <w:t>Available abstract (not full text):</w:t>
      </w:r>
      <w:r>
        <w:t xml:space="preserve"> Biogas recovery is crucial for decarbonizing water resource recovery facilities (WRRFs), offering renewable energy production alongside waste treatment. However, methane (CH4) leakage during digestion and biogas handling can largely compromise their climate benefits, yet this risk remains uncharacterized. Here we present a US national-scale assessment of CH4 leakage thresholds beyond which WRRF biogas systems lose net climate benefits. By compiling measured leakage data from over 50 facilities and all available literature, we found the leakage rate ranged from 0.4% to 65%, and a large fraction of current systems exceeds the net-zero emission threshold, indicating substantial climate risk. The regional- and technology-specific scenario and sensitivity analyses show that net-zero thresholds range from 2% to 10% of biogas produced, depending on heat recovery, grid emissions intensity and biogas utilization pathways. Grid decarbonization further shifts these tolerances, making renewable natural gas systems more viable than combined heat and power in future low-carbon energy contexts. The analysis offers a quantitative roadmap showing how targeted leak detection and repair can transform most facilities from climate liabilities into assets, delivering both climate and economic gains and underscoring the urgent need for binding methane monitoring and mitigation policies to realize the</w:t>
      </w:r>
    </w:p>
    <w:p>
      <w:pPr/>
      <w:r>
        <w:rPr>
          <w:b/>
        </w:rPr>
        <w:t>POSSIBLE 2026:</w:t>
      </w:r>
      <w:r>
        <w:t xml:space="preserve"> Stringent climate policies and energy poverty: Evidence of spatial spillovers and challenges for a just transition — https://doi.org/10.1016/j.enpol.2026.115590</w:t>
      </w:r>
    </w:p>
    <w:p>
      <w:pPr/>
      <w:r>
        <w:rPr>
          <w:b/>
        </w:rPr>
        <w:t>Shared claim-specific concepts:</w:t>
      </w:r>
      <w:r>
        <w:t xml:space="preserve"> stringent, climate, implementing, reduce; EU scope not established. This is a provisional connection, not an outcome finding.</w:t>
      </w:r>
    </w:p>
    <w:p>
      <w:pPr>
        <w:pStyle w:val="SourceNote"/>
      </w:pPr>
      <w:r>
        <w:rPr>
          <w:b/>
        </w:rPr>
        <w:t>Available abstract (not full text):</w:t>
      </w:r>
      <w:r>
        <w:t xml:space="preserve"> Stringent climate policies (SCPs) are central to decarbonization, yet their distributive impacts on energy poverty (EP) and regional inequality remain contentious, especially under growing fragmentation and weaker policy coordination. This study investigates the impact of SCPs on EP in China, examining heterogeneity across policy instruments, mechanisms, and spatial contexts. Using more than 7000 subnational policies from 2007 to 2022, we construct a text-based SCP index and apply fixed-effects and spatial econometric models. The results show that SCPs are consistently associated with lower EP, with command-and-control instruments exhibiting particularly strong effects, partly through industrial upgrading. However, once spatial dependence is considered, the effects become more uneven: Spatial Durbin Models show that SCPs reduce EP within implementing provinces but increase EP pressure in neighbouring regions. Further evidence from polluting-firm entry suggests that stricter SCPs may discourage polluting activities locally while increasing their relative entry in nearby provinces, helping to explain the observed beggar-thy-neighbour pattern. Spatial effect decomposition shows that local gains are largely offset by cross-border spillovers, leading to a small and statistically insignificant total effect. We conclude that climate policy design should account for spatial externaliti</w:t>
      </w:r>
    </w:p>
    <w:p>
      <w:pPr/>
      <w:r>
        <w:rPr>
          <w:b/>
        </w:rPr>
        <w:t>POSSIBLE 2026:</w:t>
      </w:r>
      <w:r>
        <w:t xml:space="preserve"> The Carbon Border Adjustment Mechanism: a new european tax to address carbon leakage — https://doi.org/10.4013/rechtd.2025.173.03</w:t>
      </w:r>
    </w:p>
    <w:p>
      <w:pPr/>
      <w:r>
        <w:rPr>
          <w:b/>
        </w:rPr>
        <w:t>Shared claim-specific concepts:</w:t>
      </w:r>
      <w:r>
        <w:t xml:space="preserve"> climate, carbon, leakage, cbam, implementation; EU scope visible. This is a provisional connection, not an outcome finding.</w:t>
      </w:r>
    </w:p>
    <w:p>
      <w:pPr>
        <w:pStyle w:val="SourceNote"/>
      </w:pPr>
      <w:r>
        <w:rPr>
          <w:b/>
        </w:rPr>
        <w:t>Available abstract (not full text):</w:t>
      </w:r>
      <w:r>
        <w:t xml:space="preserve"> In the framework of strengthening policies to address the global climate crisis, the European Union, through Regulation 2023/956, has adopted the Carbon Border Adjustment Mechanism (CBAM), a fiscal measure imposed on imports of carbon-intensive products originating from non-EU countries. With this instrument, the EU seeks to prevent its regulatory efforts for environmental protection from being undermined by third countries lacking adequate environmental strategies. The climate emergency, however, is a global challenge that requires the active contribution of economic actors worldwide, whose conduct — also through the application of fiscal levies — can be steered towards greener or at least more sustainable production practices. Nevertheless, the phased implementation of the CBAM, which has not yet fully entered into force, together with the broader implications it may entail beyond the strictly environmental dimension, suggest that a medium- to long-term horizon will be necessary before the mechanism can yield tangible results, not only in terms of reducing pollution but also in fostering greater balance in international trade relations.</w:t>
      </w:r>
    </w:p>
    <w:p>
      <w:pPr/>
      <w:r>
        <w:rPr>
          <w:b/>
        </w:rPr>
        <w:t>POSSIBLE 2026:</w:t>
      </w:r>
      <w:r>
        <w:t xml:space="preserve"> Understanding Carbon Leakage — https://doi.org/10.65864/t2cdr13ckm</w:t>
      </w:r>
    </w:p>
    <w:p>
      <w:pPr/>
      <w:r>
        <w:rPr>
          <w:b/>
        </w:rPr>
        <w:t>Shared claim-specific concepts:</w:t>
      </w:r>
      <w:r>
        <w:t xml:space="preserve"> climate, carbon, leakage, implementing; EU scope visible. This is a provisional connection, not an outcome finding.</w:t>
      </w:r>
    </w:p>
    <w:p>
      <w:pPr>
        <w:pStyle w:val="SourceNote"/>
      </w:pPr>
      <w:r>
        <w:rPr>
          <w:b/>
        </w:rPr>
        <w:t>Available abstract (not full text):</w:t>
      </w:r>
      <w:r>
        <w:t xml:space="preserve"> Carbon leakage is a major concern in the design of unilateral climate policies aimed at reducing global emissions in a cost-effective manner. In order to assess the cost-effectiveness of anti-leakage measures, it is crucial to understand the fundamental mechanisms that contribute to leakage. We provide theoretical analysis of the two main channels of leakage: the fossil fuel market channel and the competitiveness channel. We show that the two channels reinforce each other. Furthermore, we find that whereas leakage via the fossil fuel market channel decreases with the fuel supply elasticity and increases with the fuel demand elasticity, the opposite is the case for the competitiveness channel. We show that the effectiveness of output-based allocation and border carbon adjustments to combat carbon leakage increases with the fuel supply elasticity and decreases with the fuel demand elasticity. We supplement the simplified theoretical analysis with numerical simulations using a more complex multi-sector, multi-region computable general equilibrium model of the global economy to quantify the implications of unilateral climate policy designs for the European Union. We find that leakage via the fossil fuel channel dominates leakage via the competitiveness channel unless fuel supply elasticities are quite high and fuel demand elasticities are quite low. Furthermore, we find that the lo</w:t>
      </w:r>
    </w:p>
    <w:p>
      <w:pPr/>
      <w:r>
        <w:rPr>
          <w:b/>
        </w:rPr>
        <w:t>POSSIBLE 2026:</w:t>
      </w:r>
      <w:r>
        <w:t xml:space="preserve"> Impact of International Climate Agreements on Stock Markets: A Sectoral and Regional Analysis — https://doi.org/10.66414/mlabs.9729</w:t>
      </w:r>
    </w:p>
    <w:p>
      <w:pPr/>
      <w:r>
        <w:rPr>
          <w:b/>
        </w:rPr>
        <w:t>Shared claim-specific concepts:</w:t>
      </w:r>
      <w:r>
        <w:t xml:space="preserve"> stringent, climate, reduce; EU scope visible. This is a provisional connection, not an outcome finding.</w:t>
      </w:r>
    </w:p>
    <w:p>
      <w:pPr>
        <w:pStyle w:val="SourceNote"/>
      </w:pPr>
      <w:r>
        <w:rPr>
          <w:b/>
        </w:rPr>
        <w:t>Available abstract (not full text):</w:t>
      </w:r>
      <w:r>
        <w:t xml:space="preserve"> Changes in the climate have encouraged international cooperation to reach a consensus on how to address this global challenge. This led to the creation of the United Nations Framework Convention on Climate Change (UNFCCC), aimed at tackling the main driver of these changes: rising greenhouse gas (GHG) concentrations in the atmosphere. Within this framework, the Conference of the Parties (COP) is held annually to assess progress and identify emerging challenges. Compliance with these agreements introduces transition risks for firms, linked to the level of commitment of participating countries. Signatories must implement national policies to reduce emissions, leading to higher operating costs that may affect future cash flows and increase market risk premiums, ultimately impacting stock prices. As markets respond to each region’s level of commitment, this study examines stock market reactions to international climate agreements across main economic sectors and geographic regions. The methodology employed is an event study analysing ten key economic sectors across three regions: Latin America, North America and Europe. Abnormal returns (AR) and cumulative abnormal returns (CAR) are calculated to measure the impact of climate agreements on stock prices, covering an analysis period from the UNFCCC (1994) to the Paris Agreement (2016), comprising twenty-two years of international cli</w:t>
      </w:r>
    </w:p>
    <w:p>
      <w:pPr/>
      <w:r>
        <w:rPr>
          <w:b/>
        </w:rPr>
        <w:t>POSSIBLE 2025:</w:t>
      </w:r>
      <w:r>
        <w:t xml:space="preserve"> The Mediating Role of Climate Targets in Corporate Emission Reductions — https://doi.org/10.1002/bse.70364</w:t>
      </w:r>
    </w:p>
    <w:p>
      <w:pPr/>
      <w:r>
        <w:rPr>
          <w:b/>
        </w:rPr>
        <w:t>Shared claim-specific concepts:</w:t>
      </w:r>
      <w:r>
        <w:t xml:space="preserve"> climate, target, carbon; EU scope not established. This is a provisional connection, not an outcome finding.</w:t>
      </w:r>
    </w:p>
    <w:p>
      <w:pPr>
        <w:pStyle w:val="SourceNote"/>
      </w:pPr>
      <w:r>
        <w:rPr>
          <w:b/>
        </w:rPr>
        <w:t>Available abstract (not full text):</w:t>
      </w:r>
      <w:r>
        <w:t xml:space="preserve"> ABSTRACT Corporations worldwide increasingly commit to Sustainable Development Goal 13 (SDG 13), yet the extent to which such commitments translate into measurable greenhouse gas (GHG) reductions remains uncertain. Drawing on Institutional and Legitimacy Theory, this paper examines the mediating role of climate targets in the relationship between SDG 13 adoption and corporate emission outcomes. We compile a balanced panel of 152 publicly listed firms across 32 countries and seven carbon‐intensive industries, resulting in 760 firm‐year observations for the period 2020–2024, using data from Refinitiv Datastream. Structural equation modeling (SEM) is employed to test whether long‐term and short‐term GHG emission reduction targets serve as pathways through which SDG 13 commitments affect subsequent GHG performance. Our results show that SDG 13 adoption strongly predicts the establishment of long‐term targets, which are significantly associated with lower emissions. By contrast, short‐term targets are less frequently adopted and display weaker effects. Temporal analysis indicates a rapid institutionalization of SDG 13 commitments and target adoption during the 2020–2024 period, consistent with coercive, normative, and mimetic pressures. These findings suggest that while visible commitments enhance legitimacy, substantive emission reductions require embedding long‐term targets into c</w:t>
      </w:r>
    </w:p>
    <w:p>
      <w:pPr/>
      <w:r>
        <w:rPr>
          <w:b/>
        </w:rPr>
        <w:t>POSSIBLE 2025:</w:t>
      </w:r>
      <w:r>
        <w:t xml:space="preserve"> Carbon leakage in production networks under asymmetric climate policies — https://doi.org/10.1016/j.jedc.2025.105241</w:t>
      </w:r>
    </w:p>
    <w:p>
      <w:pPr/>
      <w:r>
        <w:rPr>
          <w:b/>
        </w:rPr>
        <w:t>Shared claim-specific concepts:</w:t>
      </w:r>
      <w:r>
        <w:t xml:space="preserve"> climate, carbon, leakage; EU scope not established. This is a provisional connection, not an outcome finding.</w:t>
      </w:r>
    </w:p>
    <w:p>
      <w:pPr>
        <w:pStyle w:val="SourceNote"/>
      </w:pPr>
      <w:r>
        <w:rPr>
          <w:b/>
        </w:rPr>
        <w:t>Available abstract (not full text):</w:t>
      </w:r>
      <w:r>
        <w:t xml:space="preserve"> Climate policies are typically designed at the regional level. This generates differences in implicit carbon prices across countries that can alter the structure of trade patterns and undermine the effectiveness of environmental regulations through carbon leakage. The paper examines the macroeconomic consequences of asymmetric climate policies, focusing on how they affect the international structure of production. The purpose is twofold: assessing the impact of uncoordinated climate policies on the outsourcing of production and studying the effectiveness of a border carbon adjustment mechanism aimed at safeguarding countries’ competitiveness. To this end, we develop and simulate a theoretical agent-based model in which supply chains are endogenously determined by downstream firms’ sourcing strategies; such firms select a supplier of intermediate goods, whose production generates emissions and is subjected to environmental regulations. Focusing on bottom-up interactions among heterogeneous and boundedly rational agents, this approach provides novel insights into how environmental policies rewire firm linkages within global production networks, and how this reshaping affects overall carbon emissions.</w:t>
      </w:r>
    </w:p>
    <w:p>
      <w:pPr/>
      <w:r>
        <w:rPr>
          <w:b/>
        </w:rPr>
        <w:t>POSSIBLE 2025:</w:t>
      </w:r>
      <w:r>
        <w:t xml:space="preserve"> Pathways to climate neutrality: Europe's energy transition under the Green Deal — https://doi.org/10.1016/j.rser.2025.116272</w:t>
      </w:r>
    </w:p>
    <w:p>
      <w:pPr/>
      <w:r>
        <w:rPr>
          <w:b/>
        </w:rPr>
        <w:t>Shared claim-specific concepts:</w:t>
      </w:r>
      <w:r>
        <w:t xml:space="preserve"> stringent, climate, target, leakage, implementing, reduce; EU scope visible. This is a provisional connection, not an outcome finding.</w:t>
      </w:r>
    </w:p>
    <w:p>
      <w:pPr>
        <w:pStyle w:val="SourceNote"/>
      </w:pPr>
      <w:r>
        <w:rPr>
          <w:b/>
        </w:rPr>
        <w:t>Available abstract (not full text):</w:t>
      </w:r>
      <w:r>
        <w:t xml:space="preserve"> The EU committed to reducing 55 % of its greenhouse gas emissions by 2030 and achieving climate neutrality by 2050 through its Green Deal and Fit for 55 policy package. This study employs the TIMES-Europe model to assess multiple pathways for the required energy transition and their cost implications, while explicitly accounting for the interplay between existing EU energy policies. We do so by analysing, from both a pan-European and a national perspective, the impact of the proposed 2040 climate target, the energy efficiency-first principle, and various collaboration frameworks such as fairness-based burden-sharing. Our projections show that under the most ambitious policy scenarios, renewable electricity could contribute up to 44 % of Europe's Primary Energy Consumption mix by 2050. Domestic fossil fuel shares decline from 51 % to 12 %. However, import dependency increases to 49 %, with a shift from crude oil to refined petroleum products, raising concerns over emissions leakage. Residual emissions of ∼0.3 GtCO 2 persist under current policy trajectories, which highlights the need for more stringent measures to achieve net-zero emissions by 2050. Implementing the 2040 climate target and the EU Energy Efficiency Directive could reduce cumulative emissions by an additional 10.62 GtCO 2 but at a 100–116 % increase in policy costs. The application of equitable burden-sharing fram</w:t>
      </w:r>
    </w:p>
    <w:p>
      <w:pPr/>
      <w:r>
        <w:rPr>
          <w:b/>
        </w:rPr>
        <w:t>POSSIBLE 2025:</w:t>
      </w:r>
      <w:r>
        <w:t xml:space="preserve"> Unilateral climate policy design should account for the effectiveness of different anti-leakage policies — https://doi.org/10.1038/s43247-025-02258-5</w:t>
      </w:r>
    </w:p>
    <w:p>
      <w:pPr/>
      <w:r>
        <w:rPr>
          <w:b/>
        </w:rPr>
        <w:t>Shared claim-specific concepts:</w:t>
      </w:r>
      <w:r>
        <w:t xml:space="preserve"> climate, carbon, leakage, cbam, reduce; EU scope visible. This is a provisional connection, not an outcome finding.</w:t>
      </w:r>
    </w:p>
    <w:p>
      <w:pPr>
        <w:pStyle w:val="SourceNote"/>
      </w:pPr>
      <w:r>
        <w:rPr>
          <w:b/>
        </w:rPr>
        <w:t>Available abstract (not full text):</w:t>
      </w:r>
      <w:r>
        <w:t xml:space="preserve"> Abstract Identifying the effectiveness of anti-leakage policies across competitiveness, demand, and energy channels is crucial for unilateral climate policy design. Here we combine a global equilibrium model and channel decomposition approach to unravel the effectiveness of anti-leakage policies—free allocation system, carbon border adjustment mechanism (CBAM), and climate clubs—within the European Union Emissions Trading System. Free allocation (excluding power sector) and indirect emission cost aids modestly reduce carbon leakage across all channels. CBAM achieves negative leakage in competitiveness and demand channels, but increases leakage in the energy channel. Voluntary climate clubs without penalties, mainly mitigate leakage among member countries, but are less effective for non-members in the demand channel. The Buchanan club with imposing penalties on non-members, achieves the negative leakage, suggesting its potential to fully resolve leakage. However, these policies are less effective in the energy channel, potentially undermining efforts in other channels.</w:t>
      </w:r>
    </w:p>
    <w:p>
      <w:pPr/>
      <w:r>
        <w:rPr>
          <w:b/>
        </w:rPr>
        <w:t>POSSIBLE 2025:</w:t>
      </w:r>
      <w:r>
        <w:t xml:space="preserve"> The European Union’s CBAM: averting emissions leakage or promoting the diffusion of carbon pricing? — https://doi.org/10.1080/1523908x.2025.2591794</w:t>
      </w:r>
    </w:p>
    <w:p>
      <w:pPr/>
      <w:r>
        <w:rPr>
          <w:b/>
        </w:rPr>
        <w:t>Shared claim-specific concepts:</w:t>
      </w:r>
      <w:r>
        <w:t xml:space="preserve"> climate, carbon, leakage, cbam, implementation, several; EU scope visible. This is a provisional connection, not an outcome finding.</w:t>
      </w:r>
    </w:p>
    <w:p>
      <w:pPr>
        <w:pStyle w:val="SourceNote"/>
      </w:pPr>
      <w:r>
        <w:rPr>
          <w:b/>
        </w:rPr>
        <w:t>Available abstract (not full text):</w:t>
      </w:r>
      <w:r>
        <w:t xml:space="preserve"> Adopted in 2023, the Carbon Border Adjustment Mechanism (CBAM) is a significant component of the European Union’s ambitious decarbonization strategy under the European Green Deal. This article questions the output effectiveness of the CBAM in achieving its stated objective, prevention of carbon leakage, while demonstrating its impact effectiveness as an instrument for advancing the global diffusion of carbon pricing. Empirical evidence for carbon leakage remains sparse, and implementation challenges might limit the capacity of the CBAM to counteract leakage even where it occurs. Nonetheless, the CBAM has already demonstrated a powerful spillover effect by incentivizing the acceleration of carbon pricing roadmaps across EU trade partners, suggesting that trade-related climate measures can effectively encourage global climate action. As the EU navigates the complexities of operationalizing the CBAM, it must balance several tradeoffs to maintain this important spillover effect. If successful, the CBAM could catalyze a virtuous cycle of carbon pricing adoption, reinforcing its potentially pivotal role in the EU’s toolbox to manage the environment-trade nexus.</w:t>
      </w:r>
    </w:p>
    <w:p>
      <w:pPr/>
      <w:r>
        <w:rPr>
          <w:b/>
        </w:rPr>
        <w:t>POSSIBLE 2025:</w:t>
      </w:r>
      <w:r>
        <w:t xml:space="preserve"> Europe’s Carbon Border Adjustment Mechanism (CBAM): From Design to Implementation — https://doi.org/10.1017/9781839704635.006</w:t>
      </w:r>
    </w:p>
    <w:p>
      <w:pPr/>
      <w:r>
        <w:rPr>
          <w:b/>
        </w:rPr>
        <w:t>Shared claim-specific concepts:</w:t>
      </w:r>
      <w:r>
        <w:t xml:space="preserve"> stringent, climate, carbon, leakage, cbam, implementation; EU scope visible. This is a provisional connection, not an outcome finding.</w:t>
      </w:r>
    </w:p>
    <w:p>
      <w:pPr>
        <w:pStyle w:val="SourceNote"/>
      </w:pPr>
      <w:r>
        <w:rPr>
          <w:b/>
        </w:rPr>
        <w:t>Available abstract (not full text):</w:t>
      </w:r>
      <w:r>
        <w:t xml:space="preserve"> INTRODUCTION Adopted in May 2023, the European Union (EU) Carbon Border Adjustment Mechanism (CBAM) is representative of a paradigmatic shift in European climate policy, entailing use of unilateral measures to address the intersection of international trade and climate change. Following decades of theoretical discussion of border carbon adjustments (BCAs) as a policy to level the economic playing field in a world of uneven climate action, the CBAM imposes carbon costs on certain categories of imported goods equivalent to those faced by domestic producers under the EU Emissions Trading System (EU ETS). It is thus primarily aimed at preventing carbon leakage – where economic activity and the associated emissions shift to countries with less stringent climate policies – while trying to maintain the competitiveness of European industry. Despite its conceptual appeal and compelling rationale, the evolution of the CBAM from design to implementation has been characterised by political, legal, and economic challenges. Its trajectory to date underscores the EU commitment to ambitious climate action amidst geopolitical tensions and a fragmented, highly competitive global economy, influenced by factors such as the persistent asymmetry of domestic climate efforts under the Paris Agreement, the unsteady participation of the United States in international climate cooperation, and the recent </w:t>
      </w:r>
    </w:p>
    <w:p>
      <w:pPr>
        <w:pStyle w:val="Heading2"/>
      </w:pPr>
      <w:r>
        <w:t>547. Materials for Sustainable Nuclear Energy: A European Strategic Research and Innovation Agenda for All Reactor Generations</w:t>
      </w:r>
    </w:p>
    <w:p>
      <w:pPr>
        <w:pStyle w:val="SourceNote"/>
      </w:pPr>
      <w:r>
        <w:rPr>
          <w:b/>
        </w:rPr>
        <w:t>Original source (2022):</w:t>
      </w:r>
      <w:r>
        <w:t xml:space="preserve"> https://doi.org/10.3390/en15051845</w:t>
      </w:r>
    </w:p>
    <w:p>
      <w:pPr/>
      <w:r>
        <w:t>Original wording (abstract; indexed_source_text_not_full_document_verified): Nuclear energy is presently the single major low-carbon electricity source in Europe and is overall expected to maintain (perhaps eventually even increase) its current installed power from now to 2045.</w:t>
      </w:r>
    </w:p>
    <w:p>
      <w:pPr/>
      <w:r>
        <w:rPr>
          <w:b/>
        </w:rPr>
        <w:t>POSSIBLE 2026:</w:t>
      </w:r>
      <w:r>
        <w:t xml:space="preserve"> Implications of Innovative Nuclear Technologies on Ghana’s Nuclear Future — https://doi.org/10.1155/stni/7161397</w:t>
      </w:r>
    </w:p>
    <w:p>
      <w:pPr/>
      <w:r>
        <w:rPr>
          <w:b/>
        </w:rPr>
        <w:t>Shared claim-specific concepts:</w:t>
      </w:r>
      <w:r>
        <w:t xml:space="preserve"> nuclear, energy, power; EU scope not established. This is a provisional connection, not an outcome finding.</w:t>
      </w:r>
    </w:p>
    <w:p>
      <w:pPr>
        <w:pStyle w:val="SourceNote"/>
      </w:pPr>
      <w:r>
        <w:rPr>
          <w:b/>
        </w:rPr>
        <w:t>Available abstract (not full text):</w:t>
      </w:r>
      <w:r>
        <w:t xml:space="preserve"> Innovations in nuclear technology have the potential to play a transformative role in Ghana’s pursuit of a secure, reliable and low‐carbon energy future. This review examines recent global advances in nuclear reactor technologies, fuel cycle systems, waste management approaches, regulatory practices and digital applications and assesses their relevance to Ghana’s emerging nuclear power programme. Particular attention is given to advanced reactor concepts, including small modular reactors, which offer scalable and flexible options aligned with Ghana’s projected energy demand. Developments in advanced fuels, reprocessing technologies and waste minimisation strategies are discussed as pathways for improving resource efficiency and long‐term environmental safety. The paper also highlights the role of digitalisation and artificial intelligence in enhancing operational safety and efficiency, alongside associated cybersecurity and workforce challenges. By situating these innovations within Ghana’s institutional and regulatory context, the paper identifies key strategic and policy considerations for the responsible deployment of nuclear energy in support of national development goals.</w:t>
      </w:r>
    </w:p>
    <w:p>
      <w:pPr/>
      <w:r>
        <w:rPr>
          <w:b/>
        </w:rPr>
        <w:t>POSSIBLE 2026:</w:t>
      </w:r>
      <w:r>
        <w:t xml:space="preserve"> Enhanced nuclear fusion in the sub-keV energy regime — https://doi.org/10.1038/s41467-026-74421-1</w:t>
      </w:r>
    </w:p>
    <w:p>
      <w:pPr/>
      <w:r>
        <w:rPr>
          <w:b/>
        </w:rPr>
        <w:t>Shared claim-specific concepts:</w:t>
      </w:r>
      <w:r>
        <w:t xml:space="preserve"> nuclear, energy, expected; EU scope not established. This is a provisional connection, not an outcome finding.</w:t>
      </w:r>
    </w:p>
    <w:p>
      <w:pPr>
        <w:pStyle w:val="SourceNote"/>
      </w:pPr>
      <w:r>
        <w:rPr>
          <w:b/>
        </w:rPr>
        <w:t>Available abstract (not full text):</w:t>
      </w:r>
      <w:r>
        <w:t xml:space="preserve"> Nuclear fusion requires overcoming or traversing a repulsive Coulomb barrier of hundreds of kiloelectronvolts, rendering the probability of fusion at sub-keV energies vanishingly small. Yet in condensed matter, the electronic and structural environment of reacting nuclei can profoundly alter fusion rates. Here we demonstrate that deuterium-deuterium fusion within metallic foils exhibits a pronounced reaction yield plateau (i.e., a finite, non-vanishing yield floor) below 2 keV-in stark contrast to the expected exponential suppression at low energy. At the lowest energies measured, this corresponds to fusion yields enhanced by more than 10¹⁸ relative to bare-nucleus (unscreened) expectations. Using a dual-chamber platform that combines electrochemical deuterium loading with low-energy ion-beam bombardment, we observe this behavior in both palladium and titanium hydrides. These results reveal a previously unrecognized regime of low-energy nuclear reactions in solids, demonstrating that materials degrees of freedom can fundamentally renormalize tunneling probabilities and fusion cross-sections.</w:t>
      </w:r>
    </w:p>
    <w:p>
      <w:pPr/>
      <w:r>
        <w:rPr>
          <w:b/>
        </w:rPr>
        <w:t>POSSIBLE 2026:</w:t>
      </w:r>
      <w:r>
        <w:t xml:space="preserve"> Thorium as an Advanced Nuclear Fuel: Enhancing Supply-Chain Resilience for the Energy Transition — https://doi.org/10.2118/233268-ms</w:t>
      </w:r>
    </w:p>
    <w:p>
      <w:pPr/>
      <w:r>
        <w:rPr>
          <w:b/>
        </w:rPr>
        <w:t>Shared claim-specific concepts:</w:t>
      </w:r>
      <w:r>
        <w:t xml:space="preserve"> nuclear, energy, major, low-carbon, electricity, current; EU scope visible. This is a provisional connection, not an outcome finding.</w:t>
      </w:r>
    </w:p>
    <w:p>
      <w:pPr>
        <w:pStyle w:val="SourceNote"/>
      </w:pPr>
      <w:r>
        <w:rPr>
          <w:b/>
        </w:rPr>
        <w:t>Available abstract (not full text):</w:t>
      </w:r>
      <w:r>
        <w:t xml:space="preserve"> Nuclear energy is increasingly emerging as a central component of clean and sustainable power systems, supporting both decarbonization objectives and energy security in the context of the global net-zero transition. As electrification accelerates across sectors—including transport, industry, and digital infrastructure—the need for reliable, low-carbon baseload generation is becoming more acute. At the same time, the rapid expansion of energy-intensive applications such as artificial intelligence, data centers, and advanced manufacturing is placing unprecedented stress on electricity systems, reinforcing the strategic importance of dispatchable, high-density energy sources. Within this evolving landscape, nuclear power is regaining prominence. Policy shifts across major economies, from the United States to the European Union and Asia, reflect a renewed recognition of nuclear energy as a necessary complement to variable renewable sources. Ambitions to triple global nuclear capacity by 2050 further underscore the scale of the challenge ahead. However, this renewed momentum also exposes structural vulnerabilities embedded within the current nuclear fuel cycle. Uranium, which underpins the existing fleet of nuclear reactors, occupies a dual position: it is essential for expanding nuclear generation while remaining a strategically sensitive resource affected by geopolitical volatilit</w:t>
      </w:r>
    </w:p>
    <w:p>
      <w:pPr/>
      <w:r>
        <w:rPr>
          <w:b/>
        </w:rPr>
        <w:t>POSSIBLE 2026:</w:t>
      </w:r>
      <w:r>
        <w:t xml:space="preserve"> Nuclear or renewable energy? — https://doi.org/10.21175/rad.abstr.book.2026.41.2</w:t>
      </w:r>
    </w:p>
    <w:p>
      <w:pPr/>
      <w:r>
        <w:rPr>
          <w:b/>
        </w:rPr>
        <w:t>Shared claim-specific concepts:</w:t>
      </w:r>
      <w:r>
        <w:t xml:space="preserve"> nuclear, energy, major, electricity, even, current; EU scope not established. This is a provisional connection, not an outcome finding.</w:t>
      </w:r>
    </w:p>
    <w:p>
      <w:pPr>
        <w:pStyle w:val="SourceNote"/>
      </w:pPr>
      <w:r>
        <w:rPr>
          <w:b/>
        </w:rPr>
        <w:t>Available abstract (not full text):</w:t>
      </w:r>
      <w:r>
        <w:t xml:space="preserve"> Electrification of the economies is getting momentum; the world's electricity demand is constantly growing [1]. This change coincides with new challenges facing us for political and environmental reasons, such as climate protection and the creation of a zero-emission economy. The need to cover the growing electricity demand from low-emission energy sources in a reliable, affordable, safe and, if possible, sustainable manner is becoming increasingly urgent. The currently available sources of such energy are renewables and nuclear energy. However, many green and civil society organizations, as well as some politicians, believe that the use of the two energy sources in one system is impossible, or at least hinders the development of each other. An extreme form of this view is green energy messianism, whose proponents claim that renewables will solve all our problems, and that there is no need for either fossil or nuclear energy. In the presentation, an attempt was made to compare the properties of different energy sources, their integration into the system, and their economics. The results show that the artificial opposition between renewables and nuclear energy is unjustified, and that our energy strategy and climate policy goals could be successfully achieved by using them together. The rapid technological development and growth of renewable energies – especially wind and solar </w:t>
      </w:r>
    </w:p>
    <w:p>
      <w:pPr/>
      <w:r>
        <w:rPr>
          <w:b/>
        </w:rPr>
        <w:t>POSSIBLE 2026:</w:t>
      </w:r>
      <w:r>
        <w:t xml:space="preserve"> MANAGEMENT OF ENERGY TECHNOLOGY SELECTION FOR STRENGTHENING POLAND’S ENERGY SECURITY — https://doi.org/10.29119/1641-3466.2026.244.19</w:t>
      </w:r>
    </w:p>
    <w:p>
      <w:pPr/>
      <w:r>
        <w:rPr>
          <w:b/>
        </w:rPr>
        <w:t>Shared claim-specific concepts:</w:t>
      </w:r>
      <w:r>
        <w:t xml:space="preserve"> nuclear, energy, overall, current, power; EU scope visible. This is a provisional connection, not an outcome finding.</w:t>
      </w:r>
    </w:p>
    <w:p>
      <w:pPr>
        <w:pStyle w:val="SourceNote"/>
      </w:pPr>
      <w:r>
        <w:rPr>
          <w:b/>
        </w:rPr>
        <w:t>Available abstract (not full text):</w:t>
      </w:r>
      <w:r>
        <w:t xml:space="preserve"> Purpose: The objective of the present paper is to evaluate the energy technologies available and planned for implementation in Poland. This evaluation is conducted in the context of ensuring energy security (in the terminology used in the power sector: security of supply), the resilience of the power system, and compliance with political requirements. Design/methodology/approach: The research methods employed encompass statistical data analysis, technological parameter assessment, cost analysis, emission indicators, installation lifetime, and energy transition scenarios. The presentation included an exposition of technological and political risk models, alongside comparative analyses of their various iterations. Findings: The most significant element in enhancing Poland's energy security is to preserve the current technological mix and to incorporate high-power nuclear energy into it. The analysis demonstrated that the predominance of a particular technological approach was associated with an escalation in energy risk. Research limitations/implications: The study is constrained by the long-term uncertainty of the regulatory environment, the absence of comprehensive data for new technologies, and the significant influence of political decisions. Practical implications: The findings of the study have the potential to inform national energy policy, operator strategies, infrastruct</w:t>
      </w:r>
    </w:p>
    <w:p>
      <w:pPr/>
      <w:r>
        <w:rPr>
          <w:b/>
        </w:rPr>
        <w:t>POSSIBLE 2026:</w:t>
      </w:r>
      <w:r>
        <w:t xml:space="preserve"> Nuclear Energy: The Case for Greece — https://doi.org/10.68001/5ft1z6vsmk</w:t>
      </w:r>
    </w:p>
    <w:p>
      <w:pPr/>
      <w:r>
        <w:rPr>
          <w:b/>
        </w:rPr>
        <w:t>Shared claim-specific concepts:</w:t>
      </w:r>
      <w:r>
        <w:t xml:space="preserve"> nuclear, energy, low-carbon, electricity, power; EU scope visible. This is a provisional connection, not an outcome finding.</w:t>
      </w:r>
    </w:p>
    <w:p>
      <w:pPr>
        <w:pStyle w:val="SourceNote"/>
      </w:pPr>
      <w:r>
        <w:rPr>
          <w:b/>
        </w:rPr>
        <w:t>Available abstract (not full text):</w:t>
      </w:r>
      <w:r>
        <w:t xml:space="preserve"> This report examines the potential role of nuclear energy in Greece’s long-term energy strategy, focusing on the opportunities presented by advanced nuclear technologies, particularly Small Modular Reactors (SMRs). Against the backdrop of growing electricity demand, geopolitical uncertainty, ambitious decarbonization targets, and increasing concerns over energy security and industrial competitiveness, the study evaluates the technological, economic, environmental, and strategic arguments for reconsidering nuclear power as part of Greece’s energy mix. The report reviews recent developments in nuclear reactor technologies, highlighting the emergence of SMRs and microreactors, their modular construction, enhanced passive safety features, operational flexibility, and potential applications beyond conventional electricity generation. Particular attention is given to their ability to complement renewable energy sources by providing reliable, low-carbon electricity, while supporting energy-intensive industries, data centers, maritime infrastructure, district heating, and desalination. The analysis identifies several potential benefits for Greece, including reduced dependence on imported fossil fuels, improved energy system resilience, greater price stability, industrial development, and the creation of highly skilled employment opportunities. At the same time, the study recognizes sig</w:t>
      </w:r>
    </w:p>
    <w:p>
      <w:pPr/>
      <w:r>
        <w:rPr>
          <w:b/>
        </w:rPr>
        <w:t>POSSIBLE 2026:</w:t>
      </w:r>
      <w:r>
        <w:t xml:space="preserve"> A Review of Nuclear Power as a Sustainable Energy Source — https://doi.org/10.2139/ssrn.7482541</w:t>
      </w:r>
    </w:p>
    <w:p>
      <w:pPr/>
      <w:r>
        <w:rPr>
          <w:b/>
        </w:rPr>
        <w:t>Shared claim-specific concepts:</w:t>
      </w:r>
      <w:r>
        <w:t xml:space="preserve"> nuclear, energy, source, power;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The role of nuclear energy in reducing carbon dioxide emissions — https://doi.org/10.5937/pim25235g</w:t>
      </w:r>
    </w:p>
    <w:p>
      <w:pPr/>
      <w:r>
        <w:rPr>
          <w:b/>
        </w:rPr>
        <w:t>Shared claim-specific concepts:</w:t>
      </w:r>
      <w:r>
        <w:t xml:space="preserve"> nuclear, energy, low-carbon, electricity, source, power; EU scope not established. This is a provisional connection, not an outcome finding.</w:t>
      </w:r>
    </w:p>
    <w:p>
      <w:pPr>
        <w:pStyle w:val="SourceNote"/>
      </w:pPr>
      <w:r>
        <w:rPr>
          <w:b/>
        </w:rPr>
        <w:t>Available abstract (not full text):</w:t>
      </w:r>
      <w:r>
        <w:t xml:space="preserve"> Nuclear energy plays an important role in reducing carbon dioxide (CO₂) emissions since it allows the production of large amounts of electricity without the direct combustion of fossil fuels. Unlike coal and gas-fired power plants, nuclear power plants do not emit CO₂ during the operation, making them a significant factor in the fight against climate change. Furthermore, unlike renewable sources that depend on weather conditions, nuclear energy provides a stable and reliable source of electricity generation. Although there are challenges, such as solutions for radioactive waste and high initial costs, advancements in technology, particularly the development of fourth-generation reactors and small modular reactors, could further enhance the sustainability of this energy source. In combination with renewable sources, nuclear energy can contribute to reducing global fossil fuel consumption and facilitate the transition to a low-carbon economy.</w:t>
      </w:r>
    </w:p>
    <w:p>
      <w:pPr/>
      <w:r>
        <w:rPr>
          <w:b/>
        </w:rPr>
        <w:t>POSSIBLE 2025:</w:t>
      </w:r>
      <w:r>
        <w:t xml:space="preserve"> Resolving China's Energy Trilemma: Nuclear Power Synergy in the Dual-Carbon Transition — https://doi.org/10.1051/matecconf/202541001016</w:t>
      </w:r>
    </w:p>
    <w:p>
      <w:pPr/>
      <w:r>
        <w:rPr>
          <w:b/>
        </w:rPr>
        <w:t>Shared claim-specific concepts:</w:t>
      </w:r>
      <w:r>
        <w:t xml:space="preserve"> nuclear, energy, power; EU scope not established. This is a provisional connection, not an outcome finding.</w:t>
      </w:r>
    </w:p>
    <w:p>
      <w:pPr>
        <w:pStyle w:val="SourceNote"/>
      </w:pPr>
      <w:r>
        <w:rPr>
          <w:b/>
        </w:rPr>
        <w:t>Available abstract (not full text):</w:t>
      </w:r>
      <w:r>
        <w:t xml:space="preserve"> China currently accounts for the largest share of global CO₂ emissions, faces immense pressure to achieve its “dual-carbon” goals amid a coal-dominated energy structure and rising emissions. The energy trilemma theory highlights inherent conflicts among energy security, affordability, and sustainability, yet existing studies inadequately address regional heterogeneity and dynamic synergies. This study evaluates China’s energy transition pathways by analyzing the trade-offs and synergies of photovoltaic, wind, and nuclear power within the trilemma framework. Through a comparative analysis of technical efficiency, economic costs, and environmental impacts, we demonstrate that nuclear power outperforms renewables in stability (7,805 annual utilization hours vs. 2,127 for wind), cost-effectiveness (¥0.28/kWh levelized cost), and near-zero emissions. Despite challenges in waste management and public acceptance, nuclear energy’s high energy density and grid reliability position it as a critical solution for balancing the trilemma. The findings advocate for prioritizing advanced nuclear technologies and stringent regulatory frameworks to accelerate decarbonization while ensuring energy security.</w:t>
      </w:r>
    </w:p>
    <w:p>
      <w:pPr/>
      <w:r>
        <w:rPr>
          <w:b/>
        </w:rPr>
        <w:t>POSSIBLE 2025:</w:t>
      </w:r>
      <w:r>
        <w:t xml:space="preserve"> The Nuclear Future of the Republic of Bulgaria – Trends in the Development of the Regulatory Framework for the Construction and Operation of Nuclear Power Plants, Problems and Recommendations for Improvement — https://doi.org/10.21029/jael.2025.38.9</w:t>
      </w:r>
    </w:p>
    <w:p>
      <w:pPr/>
      <w:r>
        <w:rPr>
          <w:b/>
        </w:rPr>
        <w:t>Shared claim-specific concepts:</w:t>
      </w:r>
      <w:r>
        <w:t xml:space="preserve"> nuclear, energy, power; EU scope visible. This is a provisional connection, not an outcome finding.</w:t>
      </w:r>
    </w:p>
    <w:p>
      <w:pPr>
        <w:pStyle w:val="SourceNote"/>
      </w:pPr>
      <w:r>
        <w:rPr>
          <w:b/>
        </w:rPr>
        <w:t>Available abstract (not full text):</w:t>
      </w:r>
      <w:r>
        <w:t xml:space="preserve"> In the article, the author conducts an analysis of the national nuclear characteristics of the Republic of Bulgaria, addressing the prospects of nuclear energy in the country, its strategic position in the national energy policy and the envisioned development for the construction of new nuclear power plants. It further considers public opinion on nuclear energy. The composition and institutional positioning of the national regulatory body are delineated, with particular attention paid to the safeguards ensuring its indepen- dence within the administrative framework of the state. The legislation in the Republic of Bulgaria that regulates the use of nuclear energy is notably extensive. In addition to the main nuclear law, public relations are also regulated by other laws, further elaborated through an array of subordinate normative acts. The article proceeds to outline, albeit briefly, the principal constitutional provisions, statutory laws, and regulatory by-laws pertinent to the licensing stages of nuclear power plants. Moreover, the analysis extends to the salient characteristics of the nuclear projects planned for implementation, issues arising in the context of contractual arrangements related to construction, as well as the national public procurement procedure for the construction of nuclear power plants. The discourse also encompasses the increasingly salient issue of sma</w:t>
      </w:r>
    </w:p>
    <w:p>
      <w:pPr/>
      <w:r>
        <w:rPr>
          <w:b/>
        </w:rPr>
        <w:t>POSSIBLE 2025:</w:t>
      </w:r>
      <w:r>
        <w:t xml:space="preserve"> The Economic and Regulatory Landscape of Nuclear Power: Implications for Malaysia — https://doi.org/10.54313/journalmp.v5i.150</w:t>
      </w:r>
    </w:p>
    <w:p>
      <w:pPr/>
      <w:r>
        <w:rPr>
          <w:b/>
        </w:rPr>
        <w:t>Shared claim-specific concepts:</w:t>
      </w:r>
      <w:r>
        <w:t xml:space="preserve"> nuclear, energy, power; EU scope not established. This is a provisional connection, not an outcome finding.</w:t>
      </w:r>
    </w:p>
    <w:p>
      <w:pPr>
        <w:pStyle w:val="SourceNote"/>
      </w:pPr>
      <w:r>
        <w:rPr>
          <w:b/>
        </w:rPr>
        <w:t>Available abstract (not full text):</w:t>
      </w:r>
      <w:r>
        <w:t xml:space="preserve"> As Malaysia reconsiders integrating nuclear power into its energy mix, this paper advances the national discourse by analysing the critical economic and regulatory dimensions of its development. Drawing on a comprehensive literature review and field interviews, the study first delineates the prevailing legal, policy, and administrative environment for energy projects. Within this context, it identifies specific market and operational challenges and risks pertinent to nuclear power and proposes eight mitigation strategies. These strategies are strategically linked with the Four Symbols (四象) of Chinese cosmology, presenting a comprehensive, interdependent, and balanced policy framework. The paper further examines the establishment of a robust and efficient regulatory framework for nuclear power, guided by international best practices. Based on this analysis, the study offers recommendations for Malaysia, encompassing areas such as market and operational risks, regulatory frameworks, public engagement and communication, geopolitical realities and strategic partnerships, crucial for navigating nuclear power integration amidst a dynamic energy transition.</w:t>
      </w:r>
    </w:p>
    <w:p>
      <w:pPr/>
      <w:r>
        <w:rPr>
          <w:b/>
        </w:rPr>
        <w:t>POSSIBLE 2025:</w:t>
      </w:r>
      <w:r>
        <w:t xml:space="preserve"> Peaceful Uses of Nuclear Energy in Less Industrialized Countries: Challenges, Opportunities, and Acceptance — https://doi.org/10.3390/en18040858</w:t>
      </w:r>
    </w:p>
    <w:p>
      <w:pPr/>
      <w:r>
        <w:rPr>
          <w:b/>
        </w:rPr>
        <w:t>Shared claim-specific concepts:</w:t>
      </w:r>
      <w:r>
        <w:t xml:space="preserve"> nuclear, energy, power; EU scope not established. This is a provisional connection, not an outcome finding.</w:t>
      </w:r>
    </w:p>
    <w:p>
      <w:pPr>
        <w:pStyle w:val="SourceNote"/>
      </w:pPr>
      <w:r>
        <w:rPr>
          <w:b/>
        </w:rPr>
        <w:t>Available abstract (not full text):</w:t>
      </w:r>
      <w:r>
        <w:t xml:space="preserve"> This paper introduces a holistic framework to assist less industrialized countries in adopting nuclear energy (NE) for peaceful purposes considering the challenges and opportunities this entails. It underscores the pressing need for sustainable and secure energy solutions, proposing NE as a viable option. The study aims to delve into the technical, social, economic, regulatory, and policy aspects of NE’s development and its broader applications beyond conventional power generation, such as industrial processes, medical applications, agricultural advancements, and mining activities, explicitly targeting less industrialized regions. Employing a systematic review of existing practices, the paper identifies and examines barriers to NE adoption alongside strategies to mitigate these issues. Findings suggest that NE can play a pivotal role in fostering economic growth and scientific progress, potentially sparking the emergence of new industries within these countries. However, significant obstacles—namely governance, public acceptance, safety, security, development of expertise, and securing financing—pose considerable challenges. The paper concludes that a strategic and well-coordinated deployment of NE is essential for driving socio-economic growth and environmental sustainability in less industrialized countries. It emphasizes the necessity for comprehensive planning and internati</w:t>
      </w:r>
    </w:p>
    <w:p>
      <w:pPr>
        <w:pStyle w:val="Heading2"/>
      </w:pPr>
      <w:r>
        <w:t>548. Mismatch, empowerment, fatigue or balance? Four scenarios of physical activity up to 2030 in Finland</w:t>
      </w:r>
    </w:p>
    <w:p>
      <w:pPr>
        <w:pStyle w:val="SourceNote"/>
      </w:pPr>
      <w:r>
        <w:rPr>
          <w:b/>
        </w:rPr>
        <w:t>Original source (2022):</w:t>
      </w:r>
      <w:r>
        <w:t xml:space="preserve"> https://doi.org/10.1016/j.futures.2022.103036</w:t>
      </w:r>
    </w:p>
    <w:p>
      <w:pPr/>
      <w:r>
        <w:t>Original wording (abstract; indexed_source_text_not_full_document_verified): Building on the experts’ perceptions on alternative futures, we formulated four scenarios for PA up to 2030, which we named Mismatch, Empowerment, Fatigue and Balance. In this study, we explore future scenarios in the intersections of PA and active lifestyles as well as related environmental and health benefits in Finland.</w:t>
      </w:r>
    </w:p>
    <w:p>
      <w:pPr/>
      <w:r>
        <w:rPr>
          <w:b/>
        </w:rPr>
        <w:t>POSSIBLE 2026:</w:t>
      </w:r>
      <w:r>
        <w:t xml:space="preserve"> Building understanding: a review of European farmers’ perceptions of agrobiodiversity — https://doi.org/10.1016/j.jnc.2026.127427</w:t>
      </w:r>
    </w:p>
    <w:p>
      <w:pPr/>
      <w:r>
        <w:rPr>
          <w:b/>
        </w:rPr>
        <w:t>Shared claim-specific concepts:</w:t>
      </w:r>
      <w:r>
        <w:t xml:space="preserve"> building, perceptions, alternative; EU scope visible. This is a provisional connection, not an outcome finding.</w:t>
      </w:r>
    </w:p>
    <w:p>
      <w:pPr>
        <w:pStyle w:val="SourceNote"/>
      </w:pPr>
      <w:r>
        <w:rPr>
          <w:b/>
        </w:rPr>
        <w:t>Available abstract (not full text):</w:t>
      </w:r>
      <w:r>
        <w:t xml:space="preserve"> Agrobiodiversity is declining and urgent actions are needed to reverse the ongoing loss of species and habitats that sustain food production-related ecosystem services. Farmers’ perceptions of agrobiodiversity could provide insights for improving policy designs towards more effective target setting for agrobiodiversity conservation and implementation measures. This scoping review identifies and synthesizes research on European farmers’ perceptions of agrobiodiversity. Using the PRISMA protocol, we identified 43 peer-reviewed scientific articles for qualitative analysis and aggregated these into three themes: 1) multiple agrobiodiversities, 2) agrobiodiversity loss and conservation, and 3) agrobiodiversity in society. The extant literature mainly associates with farmers’ perceptions of observable agrobiodiversity that has a mix of nature-centric and human-centric perspectives. The literature indicates that contradictions often arise from negative interactions or trade-offs between agrobiodiversity and farming when agrobiodiversity hinders farm production. Suggestions for future policies include considering farmers’ place-specific perceptions of agrobiodiversity; developing alternative principles to economically driven policy instruments; and investing in bringing public stakeholders closer to farmers through knowledge transfer and stakeholder collaboration.</w:t>
      </w:r>
    </w:p>
    <w:p>
      <w:pPr/>
      <w:r>
        <w:rPr>
          <w:b/>
        </w:rPr>
        <w:t>POSSIBLE 2026:</w:t>
      </w:r>
      <w:r>
        <w:t xml:space="preserve"> Stakeholders’ Perceptions of Barriers, Benefits, and Drivers for Digital Building Logbook Adoption in Building Renovation Projects in Europe — https://doi.org/10.3390/su18062688</w:t>
      </w:r>
    </w:p>
    <w:p>
      <w:pPr/>
      <w:r>
        <w:rPr>
          <w:b/>
        </w:rPr>
        <w:t>Shared claim-specific concepts:</w:t>
      </w:r>
      <w:r>
        <w:t xml:space="preserve"> building, perceptions, benefits; EU scope visible. This is a provisional connection, not an outcome finding.</w:t>
      </w:r>
    </w:p>
    <w:p>
      <w:pPr>
        <w:pStyle w:val="SourceNote"/>
      </w:pPr>
      <w:r>
        <w:rPr>
          <w:b/>
        </w:rPr>
        <w:t>Available abstract (not full text):</w:t>
      </w:r>
      <w:r>
        <w:t xml:space="preserve"> The construction sector is responsible for a significant share of greenhouse gas emissions in Europe, making the decarbonisation of the existing building stock a critical priority. In this context, Digital Building Logbooks (DBLs) are increasingly promoted as digital tools to support renovation planning, data continuity, and circular economy practices across the building lifecycle. Despite growing policy attention, the adoption of DBLs in renovation projects remains limited in practice. This study provides one of the first empirical rankings of perceived barriers, benefits, and drivers influencing DBL adoption in renovation projects across Europe. An exploratory quantitative survey was conducted with a purposively selected sample of stakeholders involved in renovation-related activities. Likert-scale responses were analysed using descriptive ranking statistics and reliability testing, while qualitative data from open-ended responses were analysed using directed content analysis. The results indicate that stakeholders strongly recognise the benefits of DBLs, particularly in terms of improved access to reliable building information, informed decision-making, and support for circular renovation practices. However, adoption is constrained by regulatory uncertainty, limited awareness, and unclear governance and operational frameworks. The most influential drivers identified relate t</w:t>
      </w:r>
    </w:p>
    <w:p>
      <w:pPr/>
      <w:r>
        <w:rPr>
          <w:b/>
        </w:rPr>
        <w:t>POSSIBLE 2026:</w:t>
      </w:r>
      <w:r>
        <w:t xml:space="preserve"> Building consensus on demand-led legume breeding in Europe: Evidence from a Delphi expert study — https://doi.org/10.1016/j.jafr.2026.103142</w:t>
      </w:r>
    </w:p>
    <w:p>
      <w:pPr/>
      <w:r>
        <w:rPr>
          <w:b/>
        </w:rPr>
        <w:t>Shared claim-specific concepts:</w:t>
      </w:r>
      <w:r>
        <w:t xml:space="preserve"> building, experts, benefits; EU scope visible. This is a provisional connection, not an outcome finding.</w:t>
      </w:r>
    </w:p>
    <w:p>
      <w:pPr>
        <w:pStyle w:val="SourceNote"/>
      </w:pPr>
      <w:r>
        <w:rPr>
          <w:b/>
        </w:rPr>
        <w:t>Available abstract (not full text):</w:t>
      </w:r>
      <w:r>
        <w:t xml:space="preserve"> Legume breeding is of great importance due to the multiple benefits of legume cultivation and use in European food systems. However, the small legume acreage means that breeding programmes are often not economically viable. Improvements to the system could be initiated by the governance structure of demand-led breeding. Demand-led breeding is an approach in which the needs of stakeholders downstream of agriculture are explicitly considered to develop more appropriate varieties. To evaluate this approach, we conducted a Delphi study with 21 legume breeding experts from across Europe. Qualitative questions enabled indirect discussion, and the experts formed a group opinion through repeated quantitative ratings of statements on demand-led breeding. The data was analysed using qualitative content analysis and inferential statistics with a non-parametric rank variance analysis. Expert consensus emerged that breeding goals should be oriented towards the end use of the products, that demand-led breeding is more likely to become established in Europe in the medium term, and that better alignment with market demand can increase value creation in breeding. The complexity of breeding programmes would increase and the added value would only become apparent retrospectively after a time lag. We conclude with the implications that demand-led breeding may be implemented within the framework of</w:t>
      </w:r>
    </w:p>
    <w:p>
      <w:pPr/>
      <w:r>
        <w:rPr>
          <w:b/>
        </w:rPr>
        <w:t>POSSIBLE 2026:</w:t>
      </w:r>
      <w:r>
        <w:t xml:space="preserve"> Adoption drivers and barriers of Building Information Modelling (BIM) in Europe — https://doi.org/10.1016/j.enbuild.2026.116953</w:t>
      </w:r>
    </w:p>
    <w:p>
      <w:pPr/>
      <w:r>
        <w:rPr>
          <w:b/>
        </w:rPr>
        <w:t>Shared claim-specific concepts:</w:t>
      </w:r>
      <w:r>
        <w:t xml:space="preserve"> building, four, environmental; EU scope visible. This is a provisional connection, not an outcome finding.</w:t>
      </w:r>
    </w:p>
    <w:p>
      <w:pPr>
        <w:pStyle w:val="SourceNote"/>
      </w:pPr>
      <w:r>
        <w:rPr>
          <w:b/>
        </w:rPr>
        <w:t>Available abstract (not full text):</w:t>
      </w:r>
      <w:r>
        <w:t xml:space="preserve"> Building Information Modelling (BIM) enables time, cost, and materials savings in building design and construction. However, the promise of BIM is yet to be realised. We assessed the current state-of-the-art in BIM adoption and use, identifying both barriers and opportunities across six dimensions defined by the PESTLE framework (political, economic, social, technical, legal, environmental). We combined market survey, literature review, and new insights from 41 expert interviews with architects, consultants and constructors across 11 European countries. We find BIM is used principally by larger firms as a design and data-processing tool to enable collaboration between project partners. BIM’s value proposition is primarily to streamline construction processes not improve resource efficiencies. Barriers to BIM adoption include interoperability issues, split incentives and value chain fragmentation, and weak economic incentives particularly for small firms. In the medium-term we find two important drivers of more widespread BIM adoption. First, institutional investors in the commercial buildings sector are increasingly pushing green certification standards for which compliance is demonstrated by BIM. Second, whole building lifecycle emission regulations for buildings mandated by the EU from 2030 will require BIM calculations. Four pioneer Northern European countries already have s</w:t>
      </w:r>
    </w:p>
    <w:p>
      <w:pPr/>
      <w:r>
        <w:rPr>
          <w:b/>
        </w:rPr>
        <w:t>POSSIBLE 2026:</w:t>
      </w:r>
      <w:r>
        <w:t xml:space="preserve"> Building consensus for Molecular Tumor Board implementation in Europe: a Delphi procedure — https://doi.org/10.1016/j.hlpt.2026.101287</w:t>
      </w:r>
    </w:p>
    <w:p>
      <w:pPr/>
      <w:r>
        <w:rPr>
          <w:b/>
        </w:rPr>
        <w:t>Shared claim-specific concepts:</w:t>
      </w:r>
      <w:r>
        <w:t xml:space="preserve"> building, experts, four, health; EU scope visible. This is a provisional connection, not an outcome finding.</w:t>
      </w:r>
    </w:p>
    <w:p>
      <w:pPr>
        <w:pStyle w:val="SourceNote"/>
      </w:pPr>
      <w:r>
        <w:rPr>
          <w:b/>
        </w:rPr>
        <w:t>Available abstract (not full text):</w:t>
      </w:r>
      <w:r>
        <w:t xml:space="preserve"> Background: Molecular Tumor Boards (MTBs) integrate molecular and clinical data to guide precision oncology decisions, but their structure remains heterogeneous across Europe. This study developed consensus-based policy recommendations to support their harmonized implementation. Methods: A two-round Delphi process was conducted among 17 European MTB experts. Questionnaire items were derived from two reviews on clinical impact and implementation aspects. Experts rated items on a five-point Likert scale; consensus was defined as a Content Validity Index (CVI) ≥80% agreement (scores 4–5). Results: Across two rounds, 76 items were evaluated; 36 reached consensus, resulting in 15 recommendations across four domains: organizational aspects (n=8), testing (n=3), inclusion criteria (n=2), and clinical aspects (n=2). Key organizational standards include appointing a referent clinician, using standardized digital submission tools, online meeting formats, and decision-support systems. MTBs should be multidisciplinary. For testing, experts agreed that Next Generation Sequencing should be preferred, performed in certified laboratories, with variant interpretation supported by curated databases. Inclusion criteria and clinical aspects prioritize patients with metastatic or rare disease, ECOG 0–2, life expectancy ≥12 weeks, and exhaustion of standard therapies. Conclusions: This Delphi produc</w:t>
      </w:r>
    </w:p>
    <w:p>
      <w:pPr/>
      <w:r>
        <w:rPr>
          <w:b/>
        </w:rPr>
        <w:t>POSSIBLE 2026:</w:t>
      </w:r>
      <w:r>
        <w:t xml:space="preserve"> Perceptions of rewilding in European abandoned agricultural lands — https://doi.org/10.1016/j.landurbplan.2026.105715</w:t>
      </w:r>
    </w:p>
    <w:p>
      <w:pPr/>
      <w:r>
        <w:rPr>
          <w:b/>
        </w:rPr>
        <w:t>Shared claim-specific concepts:</w:t>
      </w:r>
      <w:r>
        <w:t xml:space="preserve"> building, perceptions, related; EU scope visible. This is a provisional connection, not an outcome finding.</w:t>
      </w:r>
    </w:p>
    <w:p>
      <w:pPr>
        <w:pStyle w:val="SourceNote"/>
      </w:pPr>
      <w:r>
        <w:rPr>
          <w:b/>
        </w:rPr>
        <w:t>Available abstract (not full text):</w:t>
      </w:r>
      <w:r>
        <w:t xml:space="preserve"> Agricultural abandonment has been a trend in Europe over recent decades. The resultant abandoned land has been faced with multiple land change trajectories, including rewilding processes. Rewilding aims at facilitating ecological recovery, often through the reduction of human influence on the landscape or through restoring trophic complexity. However, rewilding is not always welcomed as it can challenge the place attachment stakeholders have for pre-existing and current landscapes. A total of 80 articles, published within Europe between 2000 and 2024, were analysed and coded using a conceptual framework. We found that the body of literature describing rewilding-related preferences is heterogeneous, with rewilding often being an implicit concept rather than an umbrella term encompassing related processes. Proforestation, the rewilding of forest areas, was rarely addressed in the literature, and while case-studies were found throughout the continent, they were under-represented in Eastern Europe, specifically in agricultural abandonment hotspots of the Carpathians and Baltic regions. Rather than rewilding, traditional management of the landscape was often preferred, specifically by rural, older, and farming communities. Discontent towards rewilding was primarily related to concerns around its potential impacts over the landscape such as landscape homogenisation and on economic ac</w:t>
      </w:r>
    </w:p>
    <w:p>
      <w:pPr/>
      <w:r>
        <w:rPr>
          <w:b/>
        </w:rPr>
        <w:t>POSSIBLE 2026:</w:t>
      </w:r>
      <w:r>
        <w:t xml:space="preserve"> Organisational intention to invest in energy efficiency improvements and perceptions of energy efficiency in buildings — https://openalex.org/W7134551432</w:t>
      </w:r>
    </w:p>
    <w:p>
      <w:pPr/>
      <w:r>
        <w:rPr>
          <w:b/>
        </w:rPr>
        <w:t>Shared claim-specific concepts:</w:t>
      </w:r>
      <w:r>
        <w:t xml:space="preserve"> perceptions, well, related, benefits, finland; EU scope visible. This is a provisional connection, not an outcome finding.</w:t>
      </w:r>
    </w:p>
    <w:p>
      <w:pPr>
        <w:pStyle w:val="SourceNote"/>
      </w:pPr>
      <w:r>
        <w:rPr>
          <w:b/>
        </w:rPr>
        <w:t>Available abstract (not full text):</w:t>
      </w:r>
      <w:r>
        <w:t xml:space="preserve"> The energy efficiency gap in buildings, meaning the gap between the potential and executed energy efficiency, is a prevailing paradox. Prior research on the phenomenon has focused on consumer and individual energy efficiency curtailment, while organisational behaviour and decision-making regarding energy efficiency investments in buildings is still a research area needing more attention. This study explores the organisational perceptions of the benefits of energy efficiency investments as well as factors affecting organisational intention to execute energy efficiency investments in buildings. A processual multimethod approach with both quantitative and qualitative methods was employed. This included a techno-economic analysis and emissions reduction calculations to determine case-specific benefits, an interview study exploring perceptions of these benefits, and regression analyses examining the factors affecting investment intentions. The organisations studied included two case municipalities and 97 companies from Finland. The results showed that the financial resources or financial uncertainty of the investment did not have an impact on companies’ managers’ intentions to execute energy efficiency investments. The factors affecting the managers’ temporal orientation and willingness to pay for energy efficiency were more related to the attitudes and experiences of the manager an</w:t>
      </w:r>
    </w:p>
    <w:p>
      <w:pPr/>
      <w:r>
        <w:rPr>
          <w:b/>
        </w:rPr>
        <w:t>POSSIBLE 2026:</w:t>
      </w:r>
      <w:r>
        <w:t xml:space="preserve"> Varying Perceptions of TESOL Instruction from Experts, Peers, and Learners — https://doi.org/10.1002/tesq.70075</w:t>
      </w:r>
    </w:p>
    <w:p>
      <w:pPr/>
      <w:r>
        <w:rPr>
          <w:b/>
        </w:rPr>
        <w:t>Shared claim-specific concepts:</w:t>
      </w:r>
      <w:r>
        <w:t xml:space="preserve"> experts, perceptions, well; EU scope not established. This is a provisional connection, not an outcome finding.</w:t>
      </w:r>
    </w:p>
    <w:p>
      <w:pPr>
        <w:pStyle w:val="SourceNote"/>
      </w:pPr>
      <w:r>
        <w:rPr>
          <w:b/>
        </w:rPr>
        <w:t>Available abstract (not full text):</w:t>
      </w:r>
      <w:r>
        <w:t xml:space="preserve"> Abstract This study investigates the comparative value of feedback provided by expert teachers, peer teachers, and language learners within TESOL practicum settings. Drawing on data from 738 feedback comments on two video‐recorded lessons, the research explores variations in the quantity, type, tone, and evaluative content of feedback among the three groups. Results indicate that expert teachers gave the most extensive and pedagogically grounded feedback, though with a more critical tone. Peer teachers closely mirrored expert feedback in focus but provided more affirming and supportive responses. Language learners, in contrast, contributed the fewest comments, yet their feedback was notably more emotionally attuned, highlighting affective factors such as teacher demeanor and engagement. Despite these differences, all three groups emphasized instructional quality as a central concern. Quantitative ratings of teacher performance were similar across groups, yet qualitative justifications revealed diverging criteria. Findings highlight the unique and complementary perspectives each feedback source offers, suggesting that diversified feedback enhances reflective practice in TESOL teacher education. The study underscores the value of including learner voices in practicum assessments and encourages teacher education programs to adopt more inclusive, multi‐source feedback approaches to</w:t>
      </w:r>
    </w:p>
    <w:p>
      <w:pPr/>
      <w:r>
        <w:rPr>
          <w:b/>
        </w:rPr>
        <w:t>POSSIBLE 2026:</w:t>
      </w:r>
      <w:r>
        <w:t xml:space="preserve"> User perceptions and preferences for GeoHealth tools: A qualitative focus group study of non-expert and expert users — https://doi.org/10.17615/fe1n-tc70</w:t>
      </w:r>
    </w:p>
    <w:p>
      <w:pPr/>
      <w:r>
        <w:rPr>
          <w:b/>
        </w:rPr>
        <w:t>Shared claim-specific concepts:</w:t>
      </w:r>
      <w:r>
        <w:t xml:space="preserve"> experts, perceptions, four, related, health; EU scope not established. This is a provisional connection, not an outcome finding.</w:t>
      </w:r>
    </w:p>
    <w:p>
      <w:pPr>
        <w:pStyle w:val="SourceNote"/>
      </w:pPr>
      <w:r>
        <w:rPr>
          <w:b/>
        </w:rPr>
        <w:t>Available abstract (not full text):</w:t>
      </w:r>
      <w:r>
        <w:t xml:space="preserve"> Background: GeoHealth tools differ from other health-IT platforms, requiring analytical transformation tools, location-based discovery, and responsive design frameworks. While knowledge exists surrounding related platforms, there is a literature gap specific to GeoHealth tool end-user needs. Methods: This qualitative focus group study identified design needs for GeoHealth tools. Seven focus groups included non-experts (three sessions, n = 15) and experts (healthcare professionals, four sessions, n = 16) from October 2024 to February 2025. Researchers conducted inductive thematic analysis, identifying emerging themes. Results: Thirty-one participants completed seven sessions: 20 [65%] female, 16 [52%] White, and 16 [52%] with graduate degrees. Both groups identified similar facilitators and barriers: simple interfaces, contrasting colors, cross-device functionality. Both valued filtering, customizing regions, downloading data, and chatbot integration. Non-experts reported frustrations with mobile use and content density, while experts emphasized integrating GeoHealth tools into clinical workflows for decision-making. Discussion and Conclusion: End-user preferences are critical as GeoHealth tools expand. Key recommendations include: customizable features (filters, personalized regions, data layering, and export options), accessible design with high-contrast color schemes and intu</w:t>
      </w:r>
    </w:p>
    <w:p>
      <w:pPr/>
      <w:r>
        <w:rPr>
          <w:b/>
        </w:rPr>
        <w:t>POSSIBLE 2026:</w:t>
      </w:r>
      <w:r>
        <w:t xml:space="preserve"> Scrutinising European land-use planning: Identifying the priorities and goals of building regulations — https://doi.org/10.1016/j.landusepol.2025.107916</w:t>
      </w:r>
    </w:p>
    <w:p>
      <w:pPr/>
      <w:r>
        <w:rPr>
          <w:b/>
        </w:rPr>
        <w:t>Shared claim-specific concepts:</w:t>
      </w:r>
      <w:r>
        <w:t xml:space="preserve"> building, experts, well, related, benefits; EU scope visible. This is a provisional connection, not an outcome finding.</w:t>
      </w:r>
    </w:p>
    <w:p>
      <w:pPr>
        <w:pStyle w:val="SourceNote"/>
      </w:pPr>
      <w:r>
        <w:rPr>
          <w:b/>
        </w:rPr>
        <w:t>Available abstract (not full text):</w:t>
      </w:r>
      <w:r>
        <w:t xml:space="preserve"> The rapid growth and increasing complexity of European cities highlight the need for urban planning and governance in creating sustainable urban environments. Specifically, regulations on building form and location are key to designing efficient and equitable cities. However, these regulations vary widely among municipalities across European countries and are not well understood. Notably, there is no comprehensive overview of the prevailing regulations and their objectives. This study fills this gap by analysing how European countries prioritise local building regulations and whether they pursue efficiency, i.e. making the best use of space, or equity, i.e. promoting fair and inclusive distribution of urban benefits. We examine regulations related to building height, volume, density, outlook, design coherence, value capacity, and hazard prevention. Through an online survey of planning experts in 30 countries, we found that regulations on height and density are prioritised the most and are primarily efficiency-oriented. While some regulations of lesser priority exhibited a more balanced pursuit of both goals, overall, building regulations in Europe pursue efficiency more than equity. The findings from this study are expected to enhance knowledge exchange in planning practice and foster better cooperation between countries. Furthermore, they provide an important empirical basis f</w:t>
      </w:r>
    </w:p>
    <w:p>
      <w:pPr/>
      <w:r>
        <w:rPr>
          <w:b/>
        </w:rPr>
        <w:t>POSSIBLE 2025:</w:t>
      </w:r>
      <w:r>
        <w:t xml:space="preserve"> EU Foreign Policy Alignment among European Experts — https://doi.org/10.17605/osf.io/54dqp</w:t>
      </w:r>
    </w:p>
    <w:p>
      <w:pPr/>
      <w:r>
        <w:rPr>
          <w:b/>
        </w:rPr>
        <w:t>Shared claim-specific concepts:</w:t>
      </w:r>
      <w:r>
        <w:t xml:space="preserve"> building, experts, perceptions, explore; EU scope visible. This is a provisional connection, not an outcome finding.</w:t>
      </w:r>
    </w:p>
    <w:p>
      <w:pPr>
        <w:pStyle w:val="SourceNote"/>
      </w:pPr>
      <w:r>
        <w:rPr>
          <w:b/>
        </w:rPr>
        <w:t>Available abstract (not full text):</w:t>
      </w:r>
      <w:r>
        <w:t xml:space="preserve"> The world is witnessing an alarming surge in violent conflicts, with levels unseen since World War II. Simultaneously, the European Union (EU) has been hit by one exogenous shock after another, with complex effects on European integration, democracy building, internal politics and foreign policy. In the face of such global instability and growing internal challenges, the EU finds itself increasingly required to respond geopolitically. The Russia-Ukraine War, the instability created by shifting policies in the White House, China’s growing military power, and the fragmentation of the global liberal democratic order make the European Union’s attempt to devise a more unified and coherent common and security policy even more difficult. The EU is thus challenged to prepare for high impact, high probability events that could destabilize the ability of the organization to function and thrive. In this study, we explore whether experts’ perceptions of security threats to the EU are influenced by whether the EU responds cohesively or divided to security threats. To test this, we implement a pre-post survey design, where self-identified experts in core areas of EU studies first rate the likelihood and impact of selected threats to the EU – such as a NATO-Russia confrontation, a destabilizing power struggle in Russia, use of nuclear arms by Russia. Respondents are then randomly assigned to </w:t>
      </w:r>
    </w:p>
    <w:p>
      <w:pPr/>
      <w:r>
        <w:rPr>
          <w:b/>
        </w:rPr>
        <w:t>POSSIBLE 2025:</w:t>
      </w:r>
      <w:r>
        <w:t xml:space="preserve"> Building an Ethical Framework for European Pharmacists in e-Pharmacies — https://doi.org/10.2196/64750</w:t>
      </w:r>
    </w:p>
    <w:p>
      <w:pPr/>
      <w:r>
        <w:rPr>
          <w:b/>
        </w:rPr>
        <w:t>Shared claim-specific concepts:</w:t>
      </w:r>
      <w:r>
        <w:t xml:space="preserve"> building, well, health, benefits; EU scope visible. This is a provisional connection, not an outcome finding.</w:t>
      </w:r>
    </w:p>
    <w:p>
      <w:pPr>
        <w:pStyle w:val="SourceNote"/>
      </w:pPr>
      <w:r>
        <w:rPr>
          <w:b/>
        </w:rPr>
        <w:t>Available abstract (not full text):</w:t>
      </w:r>
      <w:r>
        <w:t xml:space="preserve"> Patients using e-pharmacies benefit substantially from their privacy and accessibility; however, they must also be aware of the health and safety risks. These risks can be mitigated through the implementation of robust legal and ethical frameworks. European pharmacists working in e-pharmacies are obligated to respect the legal frameworks governing the remote sale of medicines, as well as the rules of professional ethics, while considering the unique benefits and challenges of establishing online therapeutic relationships with patients. This Viewpoint paper aims to propose a comprehensive ethical framework for European pharmacists in e-pharmacies that promotes consistency and ensures patient rights while fostering professional integrity and responsibility. To this end, the codes of ethics of pharmacists in the European Union (EU) member states were explored to determine the extent to which they address e-pharmacies and to begin from their provisions the building of a shared ethical framework, supported by previously published findings. The ethical guidance provided by professional associations and other competent authorities of European pharmacists varies significantly across member states. In most EU member states, pharmacists' codes of ethics do not contain rules addressing e-pharmacies. Only 8 EU member states have adopted rules guiding pharmacists' conduct in e-pharmacies, p</w:t>
      </w:r>
    </w:p>
    <w:p>
      <w:pPr>
        <w:pStyle w:val="Heading2"/>
      </w:pPr>
      <w:r>
        <w:t>549. On the Future(s) of Energy Communities in the German Energy Transition: A Derivation of Transformation Pathways</w:t>
      </w:r>
    </w:p>
    <w:p>
      <w:pPr>
        <w:pStyle w:val="SourceNote"/>
      </w:pPr>
      <w:r>
        <w:rPr>
          <w:b/>
        </w:rPr>
        <w:t>Original source (2022):</w:t>
      </w:r>
      <w:r>
        <w:t xml:space="preserve"> https://doi.org/10.3390/su14063169</w:t>
      </w:r>
    </w:p>
    <w:p>
      <w:pPr/>
      <w:r>
        <w:t>Original wording (abstract; indexed_source_text_not_full_document_verified): In order to understand how such a development could come about, and if desired, how it could be ensured, we developed and applied a quasi-dynamic model using the Cross-Impact Balance (CIB) approach and with it analyzed and assessed such a transition in detail. Main results obtained from the application of the model are possible transformation pathways of citizen participation in the energy transition of Germany.</w:t>
      </w:r>
    </w:p>
    <w:p>
      <w:pPr/>
      <w:r>
        <w:rPr>
          <w:b/>
        </w:rPr>
        <w:t>POSSIBLE 2026:</w:t>
      </w:r>
      <w:r>
        <w:t xml:space="preserve"> The Changing Liberal World Order : Transatlantic Relations, Europe and Central Europe — https://openalex.org/W7213382557</w:t>
      </w:r>
    </w:p>
    <w:p>
      <w:pPr/>
      <w:r>
        <w:rPr>
          <w:b/>
        </w:rPr>
        <w:t>Shared claim-specific concepts:</w:t>
      </w:r>
      <w:r>
        <w:t xml:space="preserve"> order, about, transition, transformation; EU scope visible. This is a provisional connection, not an outcome finding.</w:t>
      </w:r>
    </w:p>
    <w:p>
      <w:pPr>
        <w:pStyle w:val="SourceNote"/>
      </w:pPr>
      <w:r>
        <w:rPr>
          <w:b/>
        </w:rPr>
        <w:t>Available abstract (not full text):</w:t>
      </w:r>
      <w:r>
        <w:t xml:space="preserve"> Is the liberal world order coming to an end, or are we witnessing its transformation into something new? The Changing Liberal World Order: Transatlantic Relations, Europe and Central Europe examines this question at a time of renewed great-power competition, the rise of China, Russia’s threat to European security, growing geopolitical fragmentation, and mounting uncertainty about the future of American leadership. Bringing realism, liberalism, and constructivism into conversation, the book argues that contemporary international order cannot be understood through power, institutions, or ideas alone. Its SurRealist perspective instead reveals an order in transition: liberal institutions and norms remain influential, but they increasingly operate alongside geopolitical rivalry, national sovereignty, competing identities, and shifting distributions of power.Moving from the global transformation of the international system to the European Union, transatlantic relations, Central Europe, and the Visegrád Group, the book explores how these changes are experienced at different levels of world politics. Particular attention is given to the strategic dilemmas facing the Europe and smaller Central European states as they navigate relations with the United States, China, and Russia while remaining deeply embedded in the EU and NATO. Rather than predicting either the collapse or the inevitab</w:t>
      </w:r>
    </w:p>
    <w:p>
      <w:pPr/>
      <w:r>
        <w:rPr>
          <w:b/>
        </w:rPr>
        <w:t>POSSIBLE 2026:</w:t>
      </w:r>
      <w:r>
        <w:t xml:space="preserve"> “I haven't thought about it before”: STEM researchers' views on decolonization with examples from Canada, Europe and New Zealand — https://doi.org/10.1108/edi-12-2024-0592</w:t>
      </w:r>
    </w:p>
    <w:p>
      <w:pPr/>
      <w:r>
        <w:rPr>
          <w:b/>
        </w:rPr>
        <w:t>Shared claim-specific concepts:</w:t>
      </w:r>
      <w:r>
        <w:t xml:space="preserve"> understand, about, applied, approach; EU scope visible. This is a provisional connection, not an outcome finding.</w:t>
      </w:r>
    </w:p>
    <w:p>
      <w:pPr>
        <w:pStyle w:val="SourceNote"/>
      </w:pPr>
      <w:r>
        <w:rPr>
          <w:b/>
        </w:rPr>
        <w:t>Available abstract (not full text):</w:t>
      </w:r>
      <w:r>
        <w:t xml:space="preserve"> Purpose This paper examines how researchers in the fields of science, technology, engineering and mathematics (STEM) working in academic institutions in Canada, Europe and New Zealand understand colonialism and decolonization. Design/methodology/approach For this exploratory study, we adopted a qualitative research approach and conducted interviews with 33 researchers in STEM fields. We then applied thematic analysis to the data, interpreting participants' understandings through theoretical frameworks of imperialism and colonialism. Findings Our results indicate that STEM researchers' understandings of decolonization are shaped by the colonial histories and institutional contexts of their respective countries. Furthermore, we find that while the dissemination of knowledge about Indigenous communities appears to increase engagement with the topic, it often overlooks the issue of land repatriation. Across all country contexts, we also observe a tendency to conflate decolonization with broader social justice concerns. Originality/value Rather than attempting to define decolonization, this paper seeks to examine how researchers in STEM fields understand the concept and how these understandings align with, or diverge from, theories of colonialism and imperialism. Building on these findings, we aim to contribute to a critical reflection on the aims and outcomes of awareness-raising e</w:t>
      </w:r>
    </w:p>
    <w:p>
      <w:pPr/>
      <w:r>
        <w:rPr>
          <w:b/>
        </w:rPr>
        <w:t>POSSIBLE 2025:</w:t>
      </w:r>
      <w:r>
        <w:t xml:space="preserve"> The European Union: A Sui Generis Legal Order: Prospects for Development — https://doi.org/10.54237/profnet.2025.azsvlbffde_6</w:t>
      </w:r>
    </w:p>
    <w:p>
      <w:pPr/>
      <w:r>
        <w:rPr>
          <w:b/>
        </w:rPr>
        <w:t>Shared claim-specific concepts:</w:t>
      </w:r>
      <w:r>
        <w:t xml:space="preserve"> order, approach, possible; EU scope visible. This is a provisional connection, not an outcome finding.</w:t>
      </w:r>
    </w:p>
    <w:p>
      <w:pPr>
        <w:pStyle w:val="SourceNote"/>
      </w:pPr>
      <w:r>
        <w:rPr>
          <w:b/>
        </w:rPr>
        <w:t>Available abstract (not full text):</w:t>
      </w:r>
      <w:r>
        <w:t xml:space="preserve"> The first phase of our collective research focused on the concept of constitutional identity. This raised the question of how this identity could be defined and, if necessary, protected, in the light of the requirements linked to the participation of States in European Union bodies. The second phase of this research focuses on the nature of the European legal order. The first step is to identify the legal categories that may assist in characterising the European Union. The document setting the context for the research starts from the premise that the European Union, which has embarked on the road to federalism, is halfway along this path, and sets out the prospect of a European Union as a simple structure for cohabitation and cooperation between States. Between a federation and an alliance treaty, there is probably a middle path, a legal order that is no longer federal but confederal in nature. Confederation means maintaining and guaranteeing the sovereignty of the confederate States. In any case, it seems advisable not to lock ourselves a priori in pre-established legal categories which may prove obsolete or inappropriate. As a first step of this approach, however, it is worth considering the nature of the European Union, resulting from the current Treaties. Secondly, it is noteworthy how the European Union uses integration mechanisms which go beyond a strict interpretation of</w:t>
      </w:r>
    </w:p>
    <w:p>
      <w:pPr/>
      <w:r>
        <w:rPr>
          <w:b/>
        </w:rPr>
        <w:t>POSSIBLE 2025:</w:t>
      </w:r>
      <w:r>
        <w:t xml:space="preserve"> Typologies and influencing factors in the absorption of European funding for sustainable rural development — https://doi.org/10.1080/21681376.2025.2524440</w:t>
      </w:r>
    </w:p>
    <w:p>
      <w:pPr/>
      <w:r>
        <w:rPr>
          <w:b/>
        </w:rPr>
        <w:t>Shared claim-specific concepts:</w:t>
      </w:r>
      <w:r>
        <w:t xml:space="preserve"> order, understand; EU scope visible. This is a provisional connection, not an outcome finding.</w:t>
      </w:r>
    </w:p>
    <w:p>
      <w:pPr>
        <w:pStyle w:val="SourceNote"/>
      </w:pPr>
      <w:r>
        <w:rPr>
          <w:b/>
        </w:rPr>
        <w:t>Available abstract (not full text):</w:t>
      </w:r>
      <w:r>
        <w:t xml:space="preserve"> Sustainable rural development is a key European goal, supported by the Common Agricultural Policy (CAP) since 1962, which provides EU Member States with funds for financing economic and social development projects in rural communities. Research has shown varying capacities among rural communities to absorb these funds, leading to growing disparities. This paper aims to analyse rural fund absorption and classify rural communities based on their performance during two funding periods (2007–2013 and 2014–2020). The study, focusing on Romania, examines factors influencing different absorption performances using data from the National Rural Development Programme, funded by the European Agricultural Fund for Rural Development (EAFRD). The study highlights that different mechanisms are at work in different regions and there is a need to build analysis at the local level in order to better understand the performance of territories and, most importantly, what is needed to boost their performance and ensure sustainable development.</w:t>
      </w:r>
    </w:p>
    <w:p>
      <w:pPr/>
      <w:r>
        <w:rPr>
          <w:b/>
        </w:rPr>
        <w:t>POSSIBLE 2025:</w:t>
      </w:r>
      <w:r>
        <w:t xml:space="preserve"> (Un)avoidable conflict in Ukraine the ideal self and fault lines in Europe and Russia — https://openalex.org/W7208703499</w:t>
      </w:r>
    </w:p>
    <w:p>
      <w:pPr/>
      <w:r>
        <w:rPr>
          <w:b/>
        </w:rPr>
        <w:t>Shared claim-specific concepts:</w:t>
      </w:r>
      <w:r>
        <w:t xml:space="preserve"> order, understand, about, desired, approach; EU scope visible. This is a provisional connection, not an outcome finding.</w:t>
      </w:r>
    </w:p>
    <w:p>
      <w:pPr>
        <w:pStyle w:val="SourceNote"/>
      </w:pPr>
      <w:r>
        <w:rPr>
          <w:b/>
        </w:rPr>
        <w:t>Available abstract (not full text):</w:t>
      </w:r>
      <w:r>
        <w:t xml:space="preserve"> "Taking a conceptual approach to European-Russian relations in the post-Cold War era, this book traces how each side's "ideal self" came into conflict with "fault lines" in international politics. Russia's 2022 full-scale invasion of Ukraine is not only a symptom of conflict taking over the European continent but also a point of no return that will be difficult to roll back. Could the state of conflict on the European continent have been avoided? To understand the nature and evolution of conflict with Russia, this book presents a theoretically informed discussion of the way relations between the European Union (EU) and Russia deteriorated beyond repair during the more than three decades since the collapse of the Soviet Union. First, the book develops the concept of ideal self of states and international organisations like the EU, which posits that a series of ideal perceptions about how the self should act in the world order drives the behaviour of states and their policymakers. Second, the book turns to the study of fault lines, or spaces of divergence in the world order that harbour the potential for conflict. With these two theoretical toolkits, the book shows how leaders in the EU and Russia, by February 2022, came to view conflict as a feasible, preferable, and possibly the only option available to them. Even though neither the EU nor Russia had desired conflict, both made</w:t>
      </w:r>
    </w:p>
    <w:p>
      <w:pPr/>
      <w:r>
        <w:rPr>
          <w:b/>
        </w:rPr>
        <w:t>POSSIBLE 2025:</w:t>
      </w:r>
      <w:r>
        <w:t xml:space="preserve"> The Emergence of European Criminal Law in Relation to the European Union Development — https://doi.org/10.54237/profnet.2025.azsvlbffde_10</w:t>
      </w:r>
    </w:p>
    <w:p>
      <w:pPr/>
      <w:r>
        <w:rPr>
          <w:b/>
        </w:rPr>
        <w:t>Shared claim-specific concepts:</w:t>
      </w:r>
      <w:r>
        <w:t xml:space="preserve"> order, applied, application; EU scope visible. This is a provisional connection, not an outcome finding.</w:t>
      </w:r>
    </w:p>
    <w:p>
      <w:pPr>
        <w:pStyle w:val="SourceNote"/>
      </w:pPr>
      <w:r>
        <w:rPr>
          <w:b/>
        </w:rPr>
        <w:t>Available abstract (not full text):</w:t>
      </w:r>
      <w:r>
        <w:t xml:space="preserve"> EU law has expanded beyond the economic issues related to the internal market’s establishment and functioning. With successive treaty reforms, it now covers rules that were once reserved for national states, such as criminal law. Additionally, mechanisms aimed at strengthening the uniform application of EU law at the level of the Member States, where political consensus is difficult to attain, have been applied. The EU’s involvement in criminal law has posed significant challenges and tensions over time. However, the creation of criminal laws is the most significant evidence of EU autonomy. Progressively, both at a political and a regulatory level, and with the consistent involvement of the European Court of Justice, a convergence has been achieved, adding new elements for the unification of criminal law in the EU. General principles like mutual trust, supported by an enhanced activism of the ECJ in the promotion and protection of the values that establish the constitutional core of the EU, is seen as the strongest engines of development in recent years. This has led to extensive amendments in the criminal regulations in the MS. After discussing the milestones of the evolution of European criminal law (history, regulation, institutions), the analysis focuses on the principles of mutual recognition, mutual trust, sincere cooperation, the effectiveness of EU law in protecting the</w:t>
      </w:r>
    </w:p>
    <w:p>
      <w:pPr/>
      <w:r>
        <w:rPr>
          <w:b/>
        </w:rPr>
        <w:t>POSSIBLE 2025:</w:t>
      </w:r>
      <w:r>
        <w:t xml:space="preserve"> Development brut – a new concept to understand and appreciate outsider development — https://doi.org/10.1080/09614524.2025.2530435</w:t>
      </w:r>
    </w:p>
    <w:p>
      <w:pPr/>
      <w:r>
        <w:rPr>
          <w:b/>
        </w:rPr>
        <w:t>Shared claim-specific concepts:</w:t>
      </w:r>
      <w:r>
        <w:t xml:space="preserve"> understand, about; EU scope not established. This is a provisional connection, not an outcome finding.</w:t>
      </w:r>
    </w:p>
    <w:p>
      <w:pPr>
        <w:pStyle w:val="SourceNote"/>
      </w:pPr>
      <w:r>
        <w:rPr>
          <w:b/>
        </w:rPr>
        <w:t>Available abstract (not full text):</w:t>
      </w:r>
      <w:r>
        <w:t xml:space="preserve"> Despite recent and renewed interest in the contribution of localization to development, significant questions remain. For example, if development practice happens outside of a formal development project, does it count as development? How do we collectively describe people working on the fringes (and beyond) of formal development and what do we call their practice? How do we value or measure their contributions within the development industry? As the development landscape continues to shift and transform, it is more important now than ever to address such questions and to consider how such can contribute to development theory. In this viewpoint, a new way to think about development is suggested through the introduction of the concept of development brut or outsider development. This concept describes development practice that seeks to achieve good change, delivered by someone who does not have formal training in Development Studies or an associated discipline, but has a deep and nuanced understanding of a particular issue, context or people, combined with a rich history of successfully working in that sector to improve the lives or situations of others. The aim is to provoke further debate about power and control within development, to further develop equity within the sector.</w:t>
      </w:r>
    </w:p>
    <w:p>
      <w:pPr/>
      <w:r>
        <w:rPr>
          <w:b/>
        </w:rPr>
        <w:t>POSSIBLE 2025:</w:t>
      </w:r>
      <w:r>
        <w:t xml:space="preserve"> Efficiency and distribution in the European Union's digital deregulation push — https://openalex.org/W7116596116</w:t>
      </w:r>
    </w:p>
    <w:p>
      <w:pPr/>
      <w:r>
        <w:rPr>
          <w:b/>
        </w:rPr>
        <w:t>Shared claim-specific concepts:</w:t>
      </w:r>
      <w:r>
        <w:t xml:space="preserve"> order, understand, about, desired; EU scope visible. This is a provisional connection, not an outcome finding.</w:t>
      </w:r>
    </w:p>
    <w:p>
      <w:pPr>
        <w:pStyle w:val="SourceNote"/>
      </w:pPr>
      <w:r>
        <w:rPr>
          <w:b/>
        </w:rPr>
        <w:t>Available abstract (not full text):</w:t>
      </w:r>
      <w:r>
        <w:t xml:space="preserve"> To boost the European Union's digital economy, the European Commission is seeking to reduce the burden of its digital rulebook. However, the Commission's deregulatory strategy lacks a rigorous, evidence-based analysis of the expected effects entailed by proposed burden reductions, is insufficiently transparent and accountable in relation to potential distributive trade-offs, and is overly focused on a narrow geopolitical goal of 'catching up' with the United States, which may neglect Europe's distinct social and institutional priorities. This paper introduces a framework to analyse these issues. It distinguishes between efficiency effects that enhance total societal value, and distributive effects which determine how value is shared within society. The framework explains how total factor productivity (a proxy for competitiveness) may have a complementary and a substitutive relationship with digital regulatory protection. The Commission's deregulatory initiatives may entail both efficiency and distributive effects, but that the Commission typically only acknowledges the former. This misrepresentation leads to unrealistic goals, such as EU companies matching the same level of data use as US companies without compromising European privacy standards. Digital regulation can be designed to generate value and can distribute that value in accordance with the goals the Commission intend</w:t>
      </w:r>
    </w:p>
    <w:p>
      <w:pPr/>
      <w:r>
        <w:rPr>
          <w:b/>
        </w:rPr>
        <w:t>POSSIBLE 2024:</w:t>
      </w:r>
      <w:r>
        <w:t xml:space="preserve"> Becoming European: Mid- and Short-Term Development of a European Identity Among Adolescents — https://doi.org/10.1080/15283488.2024.2394874</w:t>
      </w:r>
    </w:p>
    <w:p>
      <w:pPr/>
      <w:r>
        <w:rPr>
          <w:b/>
        </w:rPr>
        <w:t>Shared claim-specific concepts:</w:t>
      </w:r>
      <w:r>
        <w:t xml:space="preserve"> understand, assessed; EU scope visible. This is a provisional connection, not an outcome finding.</w:t>
      </w:r>
    </w:p>
    <w:p>
      <w:pPr>
        <w:pStyle w:val="SourceNote"/>
      </w:pPr>
      <w:r>
        <w:rPr>
          <w:b/>
        </w:rPr>
        <w:t>Available abstract (not full text):</w:t>
      </w:r>
      <w:r>
        <w:t xml:space="preserve"> European identity formation is a component of political identity and linked to the support of European institutions and values. To understand how it develops, we examined three processes of identity formation (commitment, in-depth exploration, and reconsideration of commitment) on a short- and mid-term time scale, and their interrelations. A total of 371 German adolescents (Mage = 14.24, SDage = 0.55, 60.37% females) participated in a longitudinal study and in a ten-day daily diary study. We conducted latent growth curve analysis (LGCM) and assessed rank-order stability and profile similarity for both time scales. Next, conditional LGCMs were run to examine associations of both time scales. We found a significant increase of all identity processes from the beginning to the middle of the school year and a significant decrease from the middle to the end of the school year. Across 10 days, growth curves varied according to the identity process. Stabilities were high for both time scales. Commitment at the beginning of the school year was negatively associated with fluctuations in commitment. Our results highlight the importance of examining different time scales and focusing on specific domains for understanding identity development in adolescence. They further indicate that short-term processes are associated with long-term development.</w:t>
      </w:r>
    </w:p>
    <w:p>
      <w:pPr/>
      <w:r>
        <w:rPr>
          <w:b/>
        </w:rPr>
        <w:t>POSSIBLE 2024:</w:t>
      </w:r>
      <w:r>
        <w:t xml:space="preserve"> MODELLING THE RELATIONSHIP BETWEEN RETAIL DEVELOPMENT AND ECONOMIC INDICATORS IN EUROPEAN COUNTRIES — https://doi.org/10.29038/2786-4618-2024-01-124-134</w:t>
      </w:r>
    </w:p>
    <w:p>
      <w:pPr/>
      <w:r>
        <w:rPr>
          <w:b/>
        </w:rPr>
        <w:t>Shared claim-specific concepts:</w:t>
      </w:r>
      <w:r>
        <w:t xml:space="preserve"> order, understand, about; EU scope visible. This is a provisional connection, not an outcome finding.</w:t>
      </w:r>
    </w:p>
    <w:p>
      <w:pPr>
        <w:pStyle w:val="SourceNote"/>
      </w:pPr>
      <w:r>
        <w:rPr>
          <w:b/>
        </w:rPr>
        <w:t>Available abstract (not full text):</w:t>
      </w:r>
      <w:r>
        <w:t xml:space="preserve"> Abstract. The modern global market requires extraordinary attention to the development of retail trade, which is not only the face of the economy of countries, but also plays a key role in promoting their economic prosperity. In this context, understanding the relationship between retail development indicators and indicators of the state of the economy is necessary given the importance of retail trade as one of the key elements of economic systems and is an important task for scientists and economists. Highlighting the relationship between retail trade and the state of the economy of European countries opens up opportunities for understanding and predicting economic and social trends on the path of Ukraine's accession to the EU, and promotes entrepreneurship. This study aims to model the relationship and establish statistically significant dependencies between the development of retail trade and the economic development of European countries, and to identify indicators that have an impact on the development of the industry. The study established a statistically significant impact of economic growth characteristics on the development of the retail trade industry in European countries in 2005-2022. In particular, it has been determined that the volume of trade turnover depends on such indicators as GDP per capita, consumer inflation and unemployment in the economy. The number of </w:t>
      </w:r>
    </w:p>
    <w:p>
      <w:pPr/>
      <w:r>
        <w:rPr>
          <w:b/>
        </w:rPr>
        <w:t>POSSIBLE 2024:</w:t>
      </w:r>
      <w:r>
        <w:t xml:space="preserve"> Exploring how Europeans understand solidarity in the EU — https://doi.org/10.4324/9781032690902-3</w:t>
      </w:r>
    </w:p>
    <w:p>
      <w:pPr/>
      <w:r>
        <w:rPr>
          <w:b/>
        </w:rPr>
        <w:t>Shared claim-specific concepts:</w:t>
      </w:r>
      <w:r>
        <w:t xml:space="preserve"> understand, about, approach; EU scope visible. This is a provisional connection, not an outcome finding.</w:t>
      </w:r>
    </w:p>
    <w:p>
      <w:pPr>
        <w:pStyle w:val="SourceNote"/>
      </w:pPr>
      <w:r>
        <w:rPr>
          <w:b/>
        </w:rPr>
        <w:t>Available abstract (not full text):</w:t>
      </w:r>
      <w:r>
        <w:t xml:space="preserve"> This chapter explains the research design and the decisions about the methodology made for the empirical research. It also reflects on the challenges encountered during the research process. It justifies the selection of the nine countries in which the focus group discussions were conducted; explains the rationale of having three sociodemographic groups for each country case involved in the focus group discussions and outlines the criteria for the selection of the participants. Furthermore, it documents how the focus group discussions were prepared and implemented, providing details about the development of the discussion guide, recruitment of the participants, modes of the discussions and other relevant aspects of the fieldwork. The chapter also discusses the process of recording, transcription and translation of the focus group discussions and provides characteristics of the text corpus produced. A substantial part of the chapter is dedicated to an explanation of the analytical approach and the analysis of the translated transcripts of the focus group discussions. It presents the development of the coding frame, coding procedure and assessment of intercoder agreement. It finally outlines the key parameters of the comparative analysis and the forms of its findings.</w:t>
      </w:r>
    </w:p>
    <w:p>
      <w:pPr/>
      <w:r>
        <w:rPr>
          <w:b/>
        </w:rPr>
        <w:t>POSSIBLE 2024:</w:t>
      </w:r>
      <w:r>
        <w:t xml:space="preserve"> The Green Economy in the Context of Sustainable Development. Study Case: European Union — https://doi.org/10.2478/picbe-2024-0243</w:t>
      </w:r>
    </w:p>
    <w:p>
      <w:pPr/>
      <w:r>
        <w:rPr>
          <w:b/>
        </w:rPr>
        <w:t>Shared claim-specific concepts:</w:t>
      </w:r>
      <w:r>
        <w:t xml:space="preserve"> order, understand, transition, main, obtained, transformation; EU scope visible. This is a provisional connection, not an outcome finding.</w:t>
      </w:r>
    </w:p>
    <w:p>
      <w:pPr>
        <w:pStyle w:val="SourceNote"/>
      </w:pPr>
      <w:r>
        <w:rPr>
          <w:b/>
        </w:rPr>
        <w:t>Available abstract (not full text):</w:t>
      </w:r>
      <w:r>
        <w:t xml:space="preserve"> Abstract The term „Green economy” in the context of sustainable development was used for the first time in 1989, there is no internationally agreed definition for it. In the last decades, in a relatively short period it has become an issue with major importance worldwide, the society realizing that its actions have direct effects on the environment, its live and where we carry out our work. In order to correctly understand the meaning of Green economy we need an insight on man as an individual but also on organizations that make economic and financial decisions and initiatives. This paper examines the EU countries progress toward green economy, identifies the relationship with financial and economic indicators and analyses the role of eco-innovation performance and innovative capacity toward green transition to meet the European Green Deal objectives. Complex theoretical, methodological and empirical research methodology was adopted by using specific methods of investigation: critical analysis of the literature, complex quantitative and qualitative analysis, identification, construction and the appropriate processing of existing databases. The numerical results were obtained by the SPSS software package. The paper’s outcome identifies barriers and success factors in the implementation of the EU’s main new growth strategy, highlights that the green transformation process of the </w:t>
      </w:r>
    </w:p>
    <w:p>
      <w:pPr>
        <w:pStyle w:val="Heading2"/>
      </w:pPr>
      <w:r>
        <w:t>550. Organic farming in the European Union – perspectives for 2030</w:t>
      </w:r>
    </w:p>
    <w:p>
      <w:pPr>
        <w:pStyle w:val="SourceNote"/>
      </w:pPr>
      <w:r>
        <w:rPr>
          <w:b/>
        </w:rPr>
        <w:t>Original source (2022):</w:t>
      </w:r>
      <w:r>
        <w:t xml:space="preserve"> https://doi.org/10.2478/picbe-2022-0042</w:t>
      </w:r>
    </w:p>
    <w:p>
      <w:pPr/>
      <w:r>
        <w:t>Original wording (abstract; indexed_source_text_not_full_document_verified): At the same time, the objectives set by the European Community to be achieved by 2030 are presented. This type of agriculture involves the use of a set of techniques and practices that result in yield that provides the food needed by the population considering the sustainable use of resources.</w:t>
      </w:r>
    </w:p>
    <w:p>
      <w:pPr/>
      <w:r>
        <w:rPr>
          <w:b/>
        </w:rPr>
        <w:t>POSSIBLE 2026:</w:t>
      </w:r>
      <w:r>
        <w:t xml:space="preserve"> The Scramble for Europe — https://doi.org/10.1093/9780197781470.001.0001</w:t>
      </w:r>
    </w:p>
    <w:p>
      <w:pPr/>
      <w:r>
        <w:rPr>
          <w:b/>
        </w:rPr>
        <w:t>Shared claim-specific concepts:</w:t>
      </w:r>
      <w:r>
        <w:t xml:space="preserve"> same, time, objectives; EU scope visible. This is a provisional connection, not an outcome finding.</w:t>
      </w:r>
    </w:p>
    <w:p>
      <w:pPr>
        <w:pStyle w:val="SourceNote"/>
      </w:pPr>
      <w:r>
        <w:rPr>
          <w:b/>
        </w:rPr>
        <w:t>Available abstract (not full text):</w:t>
      </w:r>
      <w:r>
        <w:t xml:space="preserve"> Abstract Europe used to be an agenda-setter at the global and regional level but now it is on the backfoot, facing multiple outside pressures: e.g., from Trump’s US, Russia, and China. Internally, rising populism is undermining EU’s cohesion and international influence. The book traces the consolidation and, starting from the late 2000s, the subsequent crisis of the European regional order anchored in the EU. It argues that authoritarian powers, such as Russia, China, and Turkey are posing a direct challenge to the latter as they seek to remake Europe in their image. At the same time, their objectives differ. The Ukraine invasion put on display Russia’s radical revisionist agenda. China by contrast aims to co-opt, through economic means, a diminished Europe in a future world order that it dominates. Erdogan’s Turkey wants to strike a deal where it is recognised as a top-tier stakeholder in Europe, as opposed to an eternal candidate for EU membership. The book discusses the Europe (EU, its member states, and the UK) response to outside challenges: containment—investing into military power to deter Russia; resilience—strengthening institutions and deepening markets to compete with China (and perhaps the US); and co-optation—relaunching enlargement and engaging with neighbours including Turkey—to build up its defences.</w:t>
      </w:r>
    </w:p>
    <w:p>
      <w:pPr/>
      <w:r>
        <w:rPr>
          <w:b/>
        </w:rPr>
        <w:t>POSSIBLE 2026:</w:t>
      </w:r>
      <w:r>
        <w:t xml:space="preserve"> A systematic review of the role of community science in European wildlife governance — https://openalex.org/W7202009244</w:t>
      </w:r>
    </w:p>
    <w:p>
      <w:pPr/>
      <w:r>
        <w:rPr>
          <w:b/>
        </w:rPr>
        <w:t>Shared claim-specific concepts:</w:t>
      </w:r>
      <w:r>
        <w:t xml:space="preserve"> community, practices, population; EU scope visible. This is a provisional connection, not an outcome finding.</w:t>
      </w:r>
    </w:p>
    <w:p>
      <w:pPr>
        <w:pStyle w:val="SourceNote"/>
      </w:pPr>
      <w:r>
        <w:rPr>
          <w:b/>
        </w:rPr>
        <w:t>Available abstract (not full text):</w:t>
      </w:r>
      <w:r>
        <w:t xml:space="preserve"> Community science (CS, previously often referred to as citizen science) has become a vital tool in wildlife monitoring, contributing to a more comprehensive understanding of changes in species distributions and population trends. Consequently, the role of CS in informing wildlife management decisions has been increasingly discussed, with growing support for the adoption of CS. However, the extent to which evidence from CS-based wildlife monitoring projects translates into concrete governance outcomes remains largely unclear. To address this knowledge gap, in the context of the TransWILD Biodiversa+ project, we conducted a systematic literature review following PRISMA guidelines. In total, we recorded 1588 articles and screened their abstracts using three exclusion criteria: i) absence of a wildlife or biodiversity focus; ii) absence of citizen or stakeholder involvement in wildlife monitoring; iii) lack of a clear link to governance. A full-text analysis was performed on 449 articles, after which we excluded studies that: did not focus on CS initiatives in Europe or had no clear implications for wildlife management and policy. Ultimately, this filtering resulted in 66 relevant articles. Mammals were the most represented taxonomic group (n=41), followed by birds (n=23), invertebrates (n=10), reptiles (n=9), fish (n=8), and amphibians (n=7). Participant involvement included multi</w:t>
      </w:r>
    </w:p>
    <w:p>
      <w:pPr/>
      <w:r>
        <w:rPr>
          <w:b/>
        </w:rPr>
        <w:t>POSSIBLE 2026:</w:t>
      </w:r>
      <w:r>
        <w:t xml:space="preserve"> Europe Degree Zero: Community, Inoperativity, and Storytelling in Pieter de Buysser’s De keisnijders — https://openalex.org/W7215327951</w:t>
      </w:r>
    </w:p>
    <w:p>
      <w:pPr/>
      <w:r>
        <w:rPr>
          <w:b/>
        </w:rPr>
        <w:t>Shared claim-specific concepts:</w:t>
      </w:r>
      <w:r>
        <w:t xml:space="preserve"> same, time, set, community; EU scope visible. This is a provisional connection, not an outcome finding.</w:t>
      </w:r>
    </w:p>
    <w:p>
      <w:pPr>
        <w:pStyle w:val="SourceNote"/>
      </w:pPr>
      <w:r>
        <w:rPr>
          <w:b/>
        </w:rPr>
        <w:t>Available abstract (not full text):</w:t>
      </w:r>
      <w:r>
        <w:t xml:space="preserve"> This article considers Pieter de Buysser’s recent speculative novel De keisnijders (2012) from the perspective of the post-structuralist rethinking of the idea of Europe and the concept of community, as undertaken by Jacques Derrida and Jean-Luc Nancy respectively. Set halfway into the twenty-first century, De keisnijders depicts a (pseudo-) utopian enclave in the center of Berlin, frequented by individuals from all over the world and from practically all social strata. Unlike traditional utopias, the community does not revolve around a political blueprint or shared essence, but around philosophical speculation and storytelling. The characters in De keisnijders seek to fundamentally rethink the possibilities for a common, transnational identity, while at the same time attempting to think community in a non-identitarian, non-organicist manner.</w:t>
      </w:r>
    </w:p>
    <w:p>
      <w:pPr/>
      <w:r>
        <w:rPr>
          <w:b/>
        </w:rPr>
        <w:t>POSSIBLE 2026:</w:t>
      </w:r>
      <w:r>
        <w:t xml:space="preserve"> Strengthening European development policy: the case for Team Europe 2.0 — https://doi.org/10.23661/ipb11.2026</w:t>
      </w:r>
    </w:p>
    <w:p>
      <w:pPr/>
      <w:r>
        <w:rPr>
          <w:b/>
        </w:rPr>
        <w:t>Shared claim-specific concepts:</w:t>
      </w:r>
      <w:r>
        <w:t xml:space="preserve"> same, time, objectives, resources; EU scope visible. This is a provisional connection, not an outcome finding.</w:t>
      </w:r>
    </w:p>
    <w:p>
      <w:pPr>
        <w:pStyle w:val="SourceNote"/>
      </w:pPr>
      <w:r>
        <w:rPr>
          <w:b/>
        </w:rPr>
        <w:t>Available abstract (not full text):</w:t>
      </w:r>
      <w:r>
        <w:t xml:space="preserve"> The international order is undergoing profound change as rivalry among major powers realigns the global balance. This is also having an impact on European development policy. In many European Union (EU) member states, funding for official development assistance (ODA) is declining. At the same time, EU countries are reforming their development policies and increasingly channelling their remaining resources towards priorities that serve primarily their own interests. So far, these reforms have largely been defined bilaterally, whereas a political debate on the role, added value and joint objectives of EU development policy is largely absent. Yet, without strengthening European cooperation in development policy, Europe will not succeed in providing an adequate response to the current upheavals in global politics. In this policy brief, we argue that reform efforts in European development policy must strengthen co-operation and complementarity to respond effectively to the changed geopolitical landscape. Our analysis identifies four key policy areas where European actors are pursuing ongoing reforms and where development policy should make significant contributions: 1) promoting economic cooperation and private-sector engagement, 2) security policy, 3) managing and shaping migration and 4) human development including poverty reduction, particularly in least developed countries (LDCs</w:t>
      </w:r>
    </w:p>
    <w:p>
      <w:pPr/>
      <w:r>
        <w:rPr>
          <w:b/>
        </w:rPr>
        <w:t>POSSIBLE 2026:</w:t>
      </w:r>
      <w:r>
        <w:t xml:space="preserve"> European Energy Transition – Germany in the Heart of Europe — https://doi.org/10.34734/fzj-2026-02456</w:t>
      </w:r>
    </w:p>
    <w:p>
      <w:pPr/>
      <w:r>
        <w:rPr>
          <w:b/>
        </w:rPr>
        <w:t>Shared claim-specific concepts:</w:t>
      </w:r>
      <w:r>
        <w:t xml:space="preserve"> same, time, objectives, set, achieved, presented; EU scope visible. This is a provisional connection, not an outcome finding.</w:t>
      </w:r>
    </w:p>
    <w:p>
      <w:pPr>
        <w:pStyle w:val="SourceNote"/>
      </w:pPr>
      <w:r>
        <w:rPr>
          <w:b/>
        </w:rPr>
        <w:t>Available abstract (not full text):</w:t>
      </w:r>
      <w:r>
        <w:t xml:space="preserve"> The European Union acknowledges climate change as an existential threat and is pursuing a growth strategy through the European Green Deal that envisions the development of a resource-efficient and competitive economy while at the same time adhering to climate protection measures [1, 2]. These measures include Europe achieving net-zero greenhouse gas emissions by 2050. As an interim target, net greenhouse gas emissions are to be reduced by 55% by 2030 compared to 1990 levels [3]. Achieving these goals will require a holistic transformation of the European energy system. Against this background, the question arises as to which pathways and strategies are available to achieve these objectives in Europe and what role Germany will play given its central location. For this study, a scenario for the transformation of the European energy system has been developed, which is aligned with the reduction targets set for Europe. The analyses are supplemented by further detailed studies in order to be able to map aspects such as the development of European hydrogen infrastructures and their robustness under various conditions. The analyses are carried out using the ETHOS (Energy Transformation Pathway Optimization Suite) model family, which was developed by the Jülich Systems Analysis institute (ICE-2) at Forschungszentrum Jülich [4]. This allows energy systems to be mapped on different scale</w:t>
      </w:r>
    </w:p>
    <w:p>
      <w:pPr/>
      <w:r>
        <w:rPr>
          <w:b/>
        </w:rPr>
        <w:t>POSSIBLE 2026:</w:t>
      </w:r>
      <w:r>
        <w:t xml:space="preserve"> Experiences from national biodiversity data infrastructures in Europe: advancing data integration and community engagement — https://doi.org/10.1093/biosci/biag032</w:t>
      </w:r>
    </w:p>
    <w:p>
      <w:pPr/>
      <w:r>
        <w:rPr>
          <w:b/>
        </w:rPr>
        <w:t>Shared claim-specific concepts:</w:t>
      </w:r>
      <w:r>
        <w:t xml:space="preserve"> community, practices, sustainable; EU scope visible. This is a provisional connection, not an outcome finding.</w:t>
      </w:r>
    </w:p>
    <w:p>
      <w:pPr>
        <w:pStyle w:val="SourceNote"/>
      </w:pPr>
      <w:r>
        <w:rPr>
          <w:b/>
        </w:rPr>
        <w:t>Available abstract (not full text):</w:t>
      </w:r>
      <w:r>
        <w:t xml:space="preserve"> The urgent need for comprehensive biodiversity data is driven by rapid biodiversity loss due to human activity. Drawing on insights from established national biodiversity data infrastructures in Europe, this article highlights eight key considerations for strengthening national data infrastructures-particularly in enhancing stakeholder engagement through improved data availability and accessibility. We emphasize the importance of collaboration among diverse stakeholders to enhance data sharing and integration. By utilizing technological advancements, implementing international standards for data interoperability under FAIR (Findable, Accessible, Interoperable, and Reusable) conditions, establishing robust communication strategies, and providing necessary training and legal guidance, these infrastructures can support effective data mobilization. Furthermore, promoting a culture of collaboration among stakeholders enhances the quality and applicability of biodiversity data for scientific research, policy, and conservation efforts. Our recommendations aim to ensure that national biodiversity data infrastructures effectively contribute to achieving the UN Global Biodiversity Framework targets and Sustainable Development Goals by encouraging strong partnerships and efficient data management practices.</w:t>
      </w:r>
    </w:p>
    <w:p>
      <w:pPr/>
      <w:r>
        <w:rPr>
          <w:b/>
        </w:rPr>
        <w:t>POSSIBLE 2026:</w:t>
      </w:r>
      <w:r>
        <w:t xml:space="preserve"> Outreach and Science Education in the European Physics Community — https://doi.org/10.1051/epjconf/202637812003</w:t>
      </w:r>
    </w:p>
    <w:p>
      <w:pPr/>
      <w:r>
        <w:rPr>
          <w:b/>
        </w:rPr>
        <w:t>Shared claim-specific concepts:</w:t>
      </w:r>
      <w:r>
        <w:t xml:space="preserve"> community, practices, provides; EU scope visible. This is a provisional connection, not an outcome finding.</w:t>
      </w:r>
    </w:p>
    <w:p>
      <w:pPr>
        <w:pStyle w:val="SourceNote"/>
      </w:pPr>
      <w:r>
        <w:rPr>
          <w:b/>
        </w:rPr>
        <w:t>Available abstract (not full text):</w:t>
      </w:r>
      <w:r>
        <w:t xml:space="preserve"> Outreach and science education have progressively evolved from complementary dissemination activities into structural components of large-scale research in nuclear, particle, and astroparticle physics. Their role now extends to ensuring societal legitimacy, long-term sustainability of research infrastructures, and the development of human capital required to operate increasingly complex experiments. Within Europe, outreach and education activities are articulated through a multi-level ecosystem that combines institutional initiatives, transnational networks, and experiment-driven programs. This contribution provides a comprehensive overview of the European approach to outreach and science education, discussing institutional frameworks, educational programs across different levels, public engagement strategies, digital tools, and open science practices, as well as the main challenges and strategic perspectives for the future.</w:t>
      </w:r>
    </w:p>
    <w:p>
      <w:pPr/>
      <w:r>
        <w:rPr>
          <w:b/>
        </w:rPr>
        <w:t>POSSIBLE 2026:</w:t>
      </w:r>
      <w:r>
        <w:t xml:space="preserve"> Navigating Multilingualism among Moroccan Diaspora Communities in Europe — https://doi.org/10.32996/ijels.2026.8.3.2</w:t>
      </w:r>
    </w:p>
    <w:p>
      <w:pPr/>
      <w:r>
        <w:rPr>
          <w:b/>
        </w:rPr>
        <w:t>Shared claim-specific concepts:</w:t>
      </w:r>
      <w:r>
        <w:t xml:space="preserve"> same, time, community, involves, use, practices; EU scope visible. This is a provisional connection, not an outcome finding.</w:t>
      </w:r>
    </w:p>
    <w:p>
      <w:pPr>
        <w:pStyle w:val="SourceNote"/>
      </w:pPr>
      <w:r>
        <w:rPr>
          <w:b/>
        </w:rPr>
        <w:t>Available abstract (not full text):</w:t>
      </w:r>
      <w:r>
        <w:t xml:space="preserve"> Multilingualism has become an increasingly common feature of migrant communities across Europe. Among these communities, Moroccan diaspora populations navigate diverse linguistic environments that require the use of multiple languages in everyday life. Living between heritage and host-country cultures often involves managing complex linguistic demands across family, educational, professional, and social settings. Despite the growing presence of Moroccan communities throughout Europe, relatively limited research has focused on the multilingual challenges they encounter in their daily lives. This study investigates the challenges of multilingualism among Moroccan diaspora communities in Europe. Using a quantitative research design, data were collected through an online questionnaire distributed via Moroccan diaspora social media platforms and WhatsApp groups. A total of 189 participants residing in different European countries took part in the study. The questionnaire explored language use, multilingual challenges, intergenerational communication, and strategies employed to manage multilingual environments. The findings reveal that participants regularly use multiple languages, particularly Darija, French, English, and the language of the host country, across various social contexts. The results further indicate that heritage language maintenance, intergenerational communication,</w:t>
      </w:r>
    </w:p>
    <w:p>
      <w:pPr/>
      <w:r>
        <w:rPr>
          <w:b/>
        </w:rPr>
        <w:t>POSSIBLE 2025:</w:t>
      </w:r>
      <w:r>
        <w:t xml:space="preserve"> The Role of the European Commission in Soil Protection in the European Union — https://doi.org/10.54515/lcp.2025.1.149-159</w:t>
      </w:r>
    </w:p>
    <w:p>
      <w:pPr/>
      <w:r>
        <w:rPr>
          <w:b/>
        </w:rPr>
        <w:t>Shared claim-specific concepts:</w:t>
      </w:r>
      <w:r>
        <w:t xml:space="preserve"> same, time, objectives, provides; EU scope visible. This is a provisional connection, not an outcome finding.</w:t>
      </w:r>
    </w:p>
    <w:p>
      <w:pPr>
        <w:pStyle w:val="SourceNote"/>
      </w:pPr>
      <w:r>
        <w:rPr>
          <w:b/>
        </w:rPr>
        <w:t>Available abstract (not full text):</w:t>
      </w:r>
      <w:r>
        <w:t xml:space="preserve"> The ongoing integration processes within the European Union are driving continued reforms and evolution of its institutions. At the same time, the institutional mechanism of the European Union itself has a complex structure that reflects the gradual nature of European integration. This article focuses on the legal basis for the functioning, organisation and activities of the European Commission in the field of soil protection. This institution enables the European Union to achieve its objectives and fulfil its tasks in this area of public policy. The article highlights the peculiarities of the European Commission's activities and focuses on its relevant competence in the field of soil protection in the manner determined primarily by the founding treaties. A key role is attributed to the Lisbon Treaty, which reformed the institutional foundations of this supranational international organisation. At the same time, the institutional structure of the EU has a number of features due to its status as a supranational association, whose authority is strictly limited to the competences conferred by its Member States. The article also explores the specific features of the distribution of powers and responsibilities between EU institutions and the decision-making procedure of the European Commission in the field of soil protection. In particular, the study examines how the institutions of</w:t>
      </w:r>
    </w:p>
    <w:p>
      <w:pPr/>
      <w:r>
        <w:rPr>
          <w:b/>
        </w:rPr>
        <w:t>POSSIBLE 2025:</w:t>
      </w:r>
      <w:r>
        <w:t xml:space="preserve"> Community-based interventions for management of antimicrobial resistance in Europe: a systematic review — https://doi.org/10.1093/eurpub/ckaf257</w:t>
      </w:r>
    </w:p>
    <w:p>
      <w:pPr/>
      <w:r>
        <w:rPr>
          <w:b/>
        </w:rPr>
        <w:t>Shared claim-specific concepts:</w:t>
      </w:r>
      <w:r>
        <w:t xml:space="preserve"> time, community, presented, use, needed, population; EU scope visible. This is a provisional connection, not an outcome finding.</w:t>
      </w:r>
    </w:p>
    <w:p>
      <w:pPr>
        <w:pStyle w:val="SourceNote"/>
      </w:pPr>
      <w:r>
        <w:rPr>
          <w:b/>
        </w:rPr>
        <w:t>Available abstract (not full text):</w:t>
      </w:r>
      <w:r>
        <w:t xml:space="preserve"> Antimicrobial resistance (AMR) is a growing global health problem. Several public interventions have been designed to increase AMR knowledge and awareness. This review assesses the availability and effectiveness of community-based AMR interventions in Europe. Four databases-Medline (OVID), Pubmed, Scopus, Web of Science- and grey literature were searched for AMR interventions in community settings in Europe between 2000 and 2024. Studies reporting empirical findings in English were considered. A narrative synthesis was performed, and findings were presented in text and tables. Forty-nine studies were eligible for inclusion from 14 European countries. Interventions were primarily educational to raise awareness, targeting individuals, small groups, or the general public through mass campaigns, school-based programmes, online games, and pledges. Some interventions also monitored adherence, consumption, and doctor consultation. The majority of interventions reported increased knowledge and awareness of antibiotics and AMR; reduced antibiotic prescription, purchase, use, and non-compliance; reduced respiratory incidence and doctor consultations, and increased overall adherence. Fluctuations in knowledge over time were observed, but evidence was insufficient to analyse the long-term sustainability of outcomes of the interventions. Our findings show that community-based interventions </w:t>
      </w:r>
    </w:p>
    <w:p>
      <w:pPr/>
      <w:r>
        <w:rPr>
          <w:b/>
        </w:rPr>
        <w:t>POSSIBLE 2025:</w:t>
      </w:r>
      <w:r>
        <w:t xml:space="preserve"> The Early Years of Ireland in the European Economic Community — https://doi.org/10.4324/9781003184188</w:t>
      </w:r>
    </w:p>
    <w:p>
      <w:pPr/>
      <w:r>
        <w:rPr>
          <w:b/>
        </w:rPr>
        <w:t>Shared claim-specific concepts:</w:t>
      </w:r>
      <w:r>
        <w:t xml:space="preserve"> same, time, community; EU scope visible. This is a provisional connection, not an outcome finding.</w:t>
      </w:r>
    </w:p>
    <w:p>
      <w:pPr>
        <w:pStyle w:val="SourceNote"/>
      </w:pPr>
      <w:r>
        <w:rPr>
          <w:b/>
        </w:rPr>
        <w:t>Available abstract (not full text):</w:t>
      </w:r>
      <w:r>
        <w:t xml:space="preserve"> Ireland’s accession to the European Economic Community (EEC) in 1973 provided great opportunities, as well as significant challenges to its relatively small civil service. This book traces Ireland’s internal adaptation to managing membership. The long wait for accession to the EEC had instigated administrative and management patterns during negotiations which were difficult for Ireland to untangle and alter afterwards. There was friction between departments on how to approach relations with the EEC in some policy areas after membership. At times, this effectively slowed and even hampered Ireland’s adaptation to membership. At the same time, the EEC provided an important new frame of reference for Irish society. Discussions on social progress drew from that wider context and challenged Ireland in new ways. This volume explores this development through an analysis of empirical files from the National Archives of Ireland and the Historical Archives of the European Union, newspapers, and secondary sources. This book is intended for scholars and students of Irish history, European Studies, political science, diplomatic studies, and administrative history.</w:t>
      </w:r>
    </w:p>
    <w:p>
      <w:pPr/>
      <w:r>
        <w:rPr>
          <w:b/>
        </w:rPr>
        <w:t>POSSIBLE 2025:</w:t>
      </w:r>
      <w:r>
        <w:t xml:space="preserve"> Cultural Aspects and Sustainability in Gastronomic Places: Analysis in Tourist Cities in Brazil and Europe — https://doi.org/10.55892/jrg.v8i18.1933</w:t>
      </w:r>
    </w:p>
    <w:p>
      <w:pPr/>
      <w:r>
        <w:rPr>
          <w:b/>
        </w:rPr>
        <w:t>Shared claim-specific concepts:</w:t>
      </w:r>
      <w:r>
        <w:t xml:space="preserve"> same, time, use, techniques, practices, considering; EU scope visible. This is a provisional connection, not an outcome finding.</w:t>
      </w:r>
    </w:p>
    <w:p>
      <w:pPr>
        <w:pStyle w:val="SourceNote"/>
      </w:pPr>
      <w:r>
        <w:rPr>
          <w:b/>
        </w:rPr>
        <w:t>Available abstract (not full text):</w:t>
      </w:r>
      <w:r>
        <w:t xml:space="preserve"> Introduction: Gastronomic tourism has emerged as an important aspect of cultural tourism, offering authentic experiences that reflect the identity and traditions of a region. In tourist cities, both in Brazil and in Europe, gastronomy plays a crucial role in promoting cultural aspects and implementing sustainable practices. The intersection between culture, sustainability and gastronomy is a field of study that deserves attention, as these dynamics can influence both cultural preservation and sustainable economic development in these regions. Objective: This study aims to analyze the relationship between cultural aspects and sustainability practices in gastronomic venues located in tourist cities in Brazil and Europe. The research seeks to identify how local gastronomy can serve as a vehicle for promoting culture and at the same time fostering sustainable practices, contributing to responsible tourism and the preservation of local resources. Method: To achieve this objective, a scoping review was conducted, which included the analysis of scientific articles, reports from international organizations and case studies published in the last ten years. The scoping review allows mapping the available evidence on the relationship between culture, sustainability and gastronomy in tourism contexts, offering a comprehensive view of the practices and strategies adopted in different region</w:t>
      </w:r>
    </w:p>
    <w:p>
      <w:pPr>
        <w:pStyle w:val="Heading2"/>
      </w:pPr>
      <w:r>
        <w:t>551. Past and Future Trends in Refugee Migration on the Regional Level in Germany – An Analysis and Projection of Labor Market Effects</w:t>
      </w:r>
    </w:p>
    <w:p>
      <w:pPr>
        <w:pStyle w:val="SourceNote"/>
      </w:pPr>
      <w:r>
        <w:rPr>
          <w:b/>
        </w:rPr>
        <w:t>Original source (2022):</w:t>
      </w:r>
      <w:r>
        <w:t xml:space="preserve"> https://doi.org/10.12765/cpos-2022-17</w:t>
      </w:r>
    </w:p>
    <w:p>
      <w:pPr/>
      <w:r>
        <w:t>Original wording (abstract; indexed_source_text_not_full_document_verified): Next, we calculate corresponding future employment effects conditional on our projected refugee figures, our estimation results, and official regional demographic forecasts until 2030. Our findings suggest that refugee migration does not affect German labor market regions equally, but instead has and will continue to lead to distinct regional employment effects.</w:t>
      </w:r>
    </w:p>
    <w:p>
      <w:pPr/>
      <w:r>
        <w:rPr>
          <w:b/>
        </w:rPr>
        <w:t>POSSIBLE 2026:</w:t>
      </w:r>
      <w:r>
        <w:t xml:space="preserve"> Preference-based Conditional Treatment Effects and Policy Learning — https://doi.org/10.48550/arxiv.2602.03823</w:t>
      </w:r>
    </w:p>
    <w:p>
      <w:pPr/>
      <w:r>
        <w:rPr>
          <w:b/>
        </w:rPr>
        <w:t>Shared claim-specific concepts:</w:t>
      </w:r>
      <w:r>
        <w:t xml:space="preserve"> conditional, estimation; EU scope not established. This is a provisional connection, not an outcome finding.</w:t>
      </w:r>
    </w:p>
    <w:p>
      <w:pPr>
        <w:pStyle w:val="SourceNote"/>
      </w:pPr>
      <w:r>
        <w:rPr>
          <w:b/>
        </w:rPr>
        <w:t>Available abstract (not full text):</w:t>
      </w:r>
      <w:r>
        <w:t xml:space="preserve"> We introduce a new preference-based framework for conditional treatment effect estimation and policy learning, built on the Conditional Preference-based Treatment Effect (CPTE). CPTE requires only that outcomes be ranked under a preference rule, unlocking flexible modeling of heterogeneous effects with multivariate, ordinal, or preference-driven outcomes. This unifies applications such as conditional probability of necessity and sufficiency, conditional Win Ratio, and Generalized Pairwise Comparisons. Despite the intrinsic non-identifiability of comparison-based estimands, CPTE provides interpretable targets and delivers new identifiability conditions for previous unidentifiable estimands. We present estimation strategies via matching, quantile, and distributional regression, and further design efficient influence-function estimators to correct plug-in bias and maximize policy value. Synthetic and semi-synthetic experiments demonstrate clear performance gains and practical impact.</w:t>
      </w:r>
    </w:p>
    <w:p>
      <w:pPr/>
      <w:r>
        <w:rPr>
          <w:b/>
        </w:rPr>
        <w:t>POSSIBLE 2026:</w:t>
      </w:r>
      <w:r>
        <w:t xml:space="preserve"> IV-learner: learning conditional average treatment effects using instrumental variables — https://doi.org/10.1093/biostatistics/kxag009</w:t>
      </w:r>
    </w:p>
    <w:p>
      <w:pPr/>
      <w:r>
        <w:rPr>
          <w:b/>
        </w:rPr>
        <w:t>Shared claim-specific concepts:</w:t>
      </w:r>
      <w:r>
        <w:t xml:space="preserve"> conditional, estimation; EU scope not established. This is a provisional connection, not an outcome finding.</w:t>
      </w:r>
    </w:p>
    <w:p>
      <w:pPr>
        <w:pStyle w:val="SourceNote"/>
      </w:pPr>
      <w:r>
        <w:rPr>
          <w:b/>
        </w:rPr>
        <w:t>Available abstract (not full text):</w:t>
      </w:r>
      <w:r>
        <w:t xml:space="preserve"> A live clinical question is: which patients benefit from intensive care unit (ICU) transfer? Motivated by this question we address the problem of estimating conditional average treatment effects (CATE) in the presence of unmeasured confounding, by leveraging instrumental variables (IVs). CATE-learners (eg R-learner) developed for settings without unmeasured confounding can readily incorporate IVs by substituting the observed exposure with first-stage predictions from a regression of treatment on IVs and covariates. Such predictions may be obtained via flexible data-adaptive methods (eg statistical or machine learning procedures) to alleviate concerns about model misspecification. However, the large regularization bias typical of data-adaptive predictions may propagate into the CATE estimates, resulting in poor accuracy. Neyman-orthogonal learners have therefore been developed, which prevent this by "insulating" the resulting CATE estimates against bias and estimation errors in these predictions. However, synthetic data simulations reveal that previously proposed Neyman-orthogonal learners for IV regression perform poorly. We remedy this problem using infinite-dimensional targeted learning, which strategically tailors first-stage predictions to perform well in their ultimate task: delivering accurate, precise CATE estimates. The resulting targeted Neyman-orthogonal learner is ea</w:t>
      </w:r>
    </w:p>
    <w:p>
      <w:pPr/>
      <w:r>
        <w:rPr>
          <w:b/>
        </w:rPr>
        <w:t>POSSIBLE 2026:</w:t>
      </w:r>
      <w:r>
        <w:t xml:space="preserve"> Unveiling the environmental impact of earthquakes in Europe — https://doi.org/10.1038/s41467-025-68120-6</w:t>
      </w:r>
    </w:p>
    <w:p>
      <w:pPr/>
      <w:r>
        <w:rPr>
          <w:b/>
        </w:rPr>
        <w:t>Shared claim-specific concepts:</w:t>
      </w:r>
      <w:r>
        <w:t xml:space="preserve"> findings, not; EU scope visible. This is a provisional connection, not an outcome finding.</w:t>
      </w:r>
    </w:p>
    <w:p>
      <w:pPr>
        <w:pStyle w:val="SourceNote"/>
      </w:pPr>
      <w:r>
        <w:rPr>
          <w:b/>
        </w:rPr>
        <w:t>Available abstract (not full text):</w:t>
      </w:r>
      <w:r>
        <w:t xml:space="preserve"> Abstract Environmental impact assessments in the construction sector often overlook the significant effects of natural hazards, in particular earthquakes. These destructive events pose severe sustainability challenges as they frequently require large-scale repairs and replacement for damaged buildings, demanding the production and use of substantial quantities of building materials. Here, we unveil the environmental toll of earthquakes in Europe, presenting essential environmental data on the continent’s building stock. We further generate novel seismic risk maps that quantify the embodied carbon resulting from seismic-damage repair and reconstruction of residential, commercial, and industrial buildings, considering all plausible earthquake scenarios across the region. To this end, we first develop a comprehensive database of material quantities and embodied carbon factors for a broad range of construction materials and building components. This database serves as a crucial input for a continent-wide probabilistic seismic risk model, which estimates the potential environmental impacts of future earthquakes by analysing over 3 million realistic damage scenarios, each with its own probability of occurrence. Our findings reveal that Europe’s earthquake-exposed building stock embodies nearly 13.4 billion tons of carbon dioxide equivalent (CO2e), with seismic damage alone generating</w:t>
      </w:r>
    </w:p>
    <w:p>
      <w:pPr/>
      <w:r>
        <w:rPr>
          <w:b/>
        </w:rPr>
        <w:t>POSSIBLE 2026:</w:t>
      </w:r>
      <w:r>
        <w:t xml:space="preserve"> The conditional ecology of pest suppression: A general mechanistic framework for predicting landscape effects on biological control — https://doi.org/10.32942/x2894q</w:t>
      </w:r>
    </w:p>
    <w:p>
      <w:pPr/>
      <w:r>
        <w:rPr>
          <w:b/>
        </w:rPr>
        <w:t>Shared claim-specific concepts:</w:t>
      </w:r>
      <w:r>
        <w:t xml:space="preserve"> conditional, findings; EU scope not established. This is a provisional connection, not an outcome finding.</w:t>
      </w:r>
    </w:p>
    <w:p>
      <w:pPr>
        <w:pStyle w:val="SourceNote"/>
      </w:pPr>
      <w:r>
        <w:rPr>
          <w:b/>
        </w:rPr>
        <w:t>Available abstract (not full text):</w:t>
      </w:r>
      <w:r>
        <w:t xml:space="preserve"> Landscape heterogeneity often increases natural enemy abundance, yet its effects on crop pest suppression are strikingly inconsistent across empirical studies. We developed a trait-based simulation framework to identify the general mechanisms linking landscape structure to realized pest load. Across &gt;150 in silico experiments, we show that landscape attributes influence biological control by altering two early-season predator metrics: (i) the immigration rate from the surrounding landscape and (ii) the rate at which colonizing predators accumulate energy after arriving in the crop. These two conditions form universal causal pathways from landscape structure to pest suppression, but their relative importance depends on pest traits. Suppression of slow-growing, diffusely distributed pests requires high early-season energy accumulation by predators; rapidly growing and aggregated pests are controlled by increased predator immigration alone; suppression of rapid but diffuse pests requires both, and is weak even under favorable conditions. These three suppression fingerprints explain why landscape heterogeneity reliably increases natural enemy arrival yet only sometimes reduces pest load. Our results reveal a general, trait-mediated architecture—the conditional ecology of pest suppression—that reconciles inconsistent field findings, predicts when landscape heterogeneity should enhan</w:t>
      </w:r>
    </w:p>
    <w:p>
      <w:pPr/>
      <w:r>
        <w:rPr>
          <w:b/>
        </w:rPr>
        <w:t>POSSIBLE 2025:</w:t>
      </w:r>
      <w:r>
        <w:t xml:space="preserve"> Regional economic impact of the Next Generation European Union recovery plan — https://doi.org/10.1016/j.pirs.2025.100105</w:t>
      </w:r>
    </w:p>
    <w:p>
      <w:pPr/>
      <w:r>
        <w:rPr>
          <w:b/>
        </w:rPr>
        <w:t>Shared claim-specific concepts:</w:t>
      </w:r>
      <w:r>
        <w:t xml:space="preserve"> next, regional, regions; EU scope visible. This is a provisional connection, not an outcome finding.</w:t>
      </w:r>
    </w:p>
    <w:p>
      <w:pPr>
        <w:pStyle w:val="SourceNote"/>
      </w:pPr>
      <w:r>
        <w:rPr>
          <w:b/>
        </w:rPr>
        <w:t>Available abstract (not full text):</w:t>
      </w:r>
      <w:r>
        <w:t xml:space="preserve"> This paper analyzes the economic impact of the Next Generation Funds package of the European Union (NGEU), focusing on the allocation of NGEU funds across European regions and the impact on rent distribution using new datasets on direct investments and remittances. Employing the input-output framework this work assesses the effects of the pandemic and the implications of NGEU funds, considering two alternative scenarios of sectoral and regional allocation, and a second round of rent distribution. The analysis reveals that the positive effects of the NGEU are largely overshadowed by the negative impacts of pandemic in most regions. Additionally, when considering the final redistributive effect, including interregional capital and remittance flows, the spatial pattern shifts, indicating that despite overall improvements, core regions capture rents from peripheral regions, leading to anti-cohesion outcomes. These results prompt further investigation into the role of NGEU in regional recovery and cohesion, suggesting additional research into rent distribution and the long-term economic impacts.</w:t>
      </w:r>
    </w:p>
    <w:p>
      <w:pPr/>
      <w:r>
        <w:rPr>
          <w:b/>
        </w:rPr>
        <w:t>POSSIBLE 2025:</w:t>
      </w:r>
      <w:r>
        <w:t xml:space="preserve"> Conformal Inference of Individual Treatment Effects Using Conditional Density Estimates — https://doi.org/10.1609/aaai.v39i20.35397</w:t>
      </w:r>
    </w:p>
    <w:p>
      <w:pPr/>
      <w:r>
        <w:rPr>
          <w:b/>
        </w:rPr>
        <w:t>Shared claim-specific concepts:</w:t>
      </w:r>
      <w:r>
        <w:t xml:space="preserve"> conditional, not; EU scope not established. This is a provisional connection, not an outcome finding.</w:t>
      </w:r>
    </w:p>
    <w:p>
      <w:pPr>
        <w:pStyle w:val="SourceNote"/>
      </w:pPr>
      <w:r>
        <w:rPr>
          <w:b/>
        </w:rPr>
        <w:t>Available abstract (not full text):</w:t>
      </w:r>
      <w:r>
        <w:t xml:space="preserve"> In an era where diverse and complex data are increasingly accessible, the precise prediction of individual treatment effects (ITE) becomes crucial across fields such as healthcare, economics, and social policy. Current state-of-the-art approaches, while providing valid prediction intervals through Conformal Quantile Regression (CQR) and related techniques, often yield overly conservative prediction intervals. In this work, we introduce a conformal inference approach to ITE using the conditional density of the outcome given the covariates. We leverage the reference distribution technique to efficiently estimate the conditional densities as the score functions under a two-stage conformal ITE framework. We show that our prediction intervals are not only marginally valid but are narrower than existing methods. Experimental results further validate the usefulness of our method.</w:t>
      </w:r>
    </w:p>
    <w:p>
      <w:pPr/>
      <w:r>
        <w:rPr>
          <w:b/>
        </w:rPr>
        <w:t>POSSIBLE 2025:</w:t>
      </w:r>
      <w:r>
        <w:t xml:space="preserve"> The Long-Run and Intergenerational Effects of Conditional Cash Transfers: Evidence from Chile’s Indigenous Grants — https://doi.org/10.3386/w33798</w:t>
      </w:r>
    </w:p>
    <w:p>
      <w:pPr/>
      <w:r>
        <w:rPr>
          <w:b/>
        </w:rPr>
        <w:t>Shared claim-specific concepts:</w:t>
      </w:r>
      <w:r>
        <w:t xml:space="preserve"> conditional, labor; EU scope not established. This is a provisional connection, not an outcome finding.</w:t>
      </w:r>
    </w:p>
    <w:p>
      <w:pPr>
        <w:pStyle w:val="SourceNote"/>
      </w:pPr>
      <w:r>
        <w:rPr>
          <w:b/>
        </w:rPr>
        <w:t>Available abstract (not full text):</w:t>
      </w:r>
      <w:r>
        <w:t xml:space="preserve"> Since 1991, Chile has provided large, renewable cash grants to indigenous children in lowerincome households, conditional on school enrollment.We estimate intent-to-treat effects of grant exposure on indigenous adults and their children, leveraging variation in expected grant exposure across birth cohorts and never-treated adults, and using fixed effects to absorb unobserved variables shared by adults born in the same year and community.Cohorts with the greatest exposure had 0.6 more years of schooling, 10% more hours worked, and 22% higher labor earnings, reducing pre-treatment ethnic differences.Mothers' exposure increased their children's early-grade test scores and reduced second-generation grant receipt.</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figures, forecasts, until, findings, not;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Estimating Conditional Average Treatment Effects via Sufficient Representation Learning — https://doi.org/10.24963/ijcai.2024/541</w:t>
      </w:r>
    </w:p>
    <w:p>
      <w:pPr/>
      <w:r>
        <w:rPr>
          <w:b/>
        </w:rPr>
        <w:t>Shared claim-specific concepts:</w:t>
      </w:r>
      <w:r>
        <w:t xml:space="preserve"> conditional, estimation, not; EU scope not established. This is a provisional connection, not an outcome finding.</w:t>
      </w:r>
    </w:p>
    <w:p>
      <w:pPr>
        <w:pStyle w:val="SourceNote"/>
      </w:pPr>
      <w:r>
        <w:rPr>
          <w:b/>
        </w:rPr>
        <w:t>Available abstract (not full text):</w:t>
      </w:r>
      <w:r>
        <w:t xml:space="preserve"> Estimating the conditional average treatment effects (CATE) is very important in causal inference and has a wide range of applications across many fields. In the estimation process of CATE, the unconfoundedness assumption is typically required to ensure the identifiability of the regression problems. When estimating CATE using high-dimensional data, there have been many variable selection methods and neural network approaches based on representation learning, while these methods do not provide a way to verify whether the subset of variables after dimensionality reduction or the learned representations still satisfy the unconfoundedness assumption during the estimation process, which can lead to ineffective estimates of the treatment effects. Additionally, these methods typically use data from only the treatment or control group when estimating the regression functions for each group. This paper proposes a novel neural network approach named CrossNet to learn a sufficient representation for the features, based on which we then estimate the CATE, where cross indicates that in estimating the regression functions, we used data from their own group as well as cross-utilized data from another group. Numerical simulations and empirical results demonstrate that our method outperforms the competitive approaches.</w:t>
      </w:r>
    </w:p>
    <w:p>
      <w:pPr/>
      <w:r>
        <w:rPr>
          <w:b/>
        </w:rPr>
        <w:t>POSSIBLE 2024:</w:t>
      </w:r>
      <w:r>
        <w:t xml:space="preserve"> Manager sentiment and conditional conservatism — https://doi.org/10.1111/jbfa.12780</w:t>
      </w:r>
    </w:p>
    <w:p>
      <w:pPr/>
      <w:r>
        <w:rPr>
          <w:b/>
        </w:rPr>
        <w:t>Shared claim-specific concepts:</w:t>
      </w:r>
      <w:r>
        <w:t xml:space="preserve"> conditional, not, affect; EU scope not established. This is a provisional connection, not an outcome finding.</w:t>
      </w:r>
    </w:p>
    <w:p>
      <w:pPr>
        <w:pStyle w:val="SourceNote"/>
      </w:pPr>
      <w:r>
        <w:rPr>
          <w:b/>
        </w:rPr>
        <w:t>Available abstract (not full text):</w:t>
      </w:r>
      <w:r>
        <w:t xml:space="preserve"> Abstract This study examines the effect of manager sentiment on conditional conservatism. Manager sentiment refers to widely held beliefs of financial managers about their firms’ future economic prospects that are not justified by available economic fundamentals. Manager sentiment is likely to affect conditional conservative reporting because the decision to recognize unrealized economic losses in a timely manner flows from financial managers’ beliefs about their firms’ future cash flow prospects. We predict and find that manager sentiment is negatively associated with conditional conservatism, indicating that firms report less conservatively during periods of high manager sentiment (over‐optimism) and more conservatively during periods of low manager sentiment (over‐pessimism). Moreover, the effects of manager sentiment on conditional conservatism remain strongly negative after controlling for manager overconfidence. We further find that asset write‐offs are lower during high sentiment periods but higher in subsequent periods. Importantly, the manager sentiment effect on conservatism is incremental, and the opposite in sign, to the effect of investor sentiment, which has not been demonstrated in prior literature.</w:t>
      </w:r>
    </w:p>
    <w:p>
      <w:pPr/>
      <w:r>
        <w:rPr>
          <w:b/>
        </w:rPr>
        <w:t>POSSIBLE 2024:</w:t>
      </w:r>
      <w:r>
        <w:t xml:space="preserve"> Dissecting the Decline in Average Hours Worked in Europe — https://doi.org/10.5089/9798400261183.001</w:t>
      </w:r>
    </w:p>
    <w:p>
      <w:pPr/>
      <w:r>
        <w:rPr>
          <w:b/>
        </w:rPr>
        <w:t>Shared claim-specific concepts:</w:t>
      </w:r>
      <w:r>
        <w:t xml:space="preserve"> employment, not, labor; EU scope visible. This is a provisional connection, not an outcome finding.</w:t>
      </w:r>
    </w:p>
    <w:p>
      <w:pPr>
        <w:pStyle w:val="SourceNote"/>
      </w:pPr>
      <w:r>
        <w:rPr>
          <w:b/>
        </w:rPr>
        <w:t>Available abstract (not full text):</w:t>
      </w:r>
      <w:r>
        <w:t xml:space="preserve"> Three years after the COVID-19 crisis, employment and total hours worked in Europe fully recovered, but average hours per worker did not. We analyze the decline in average hours worked across European countries and find that (i) it is not cyclical but predominantly structural, extending a long-term trend that predates COVID-19, (ii) it mainly reflects reduced hours within worker groups, not a compositional shift towards lower-hours jobs and workers, (iii) men—particularly those with young children—and youth drive this drop, (iv) declines in actual hours match declines in desired hours. Policy reforms could help involuntary parttimers and women with young children raise their actual hours towards desired levels, but the aggregate impact on average hours would be limited to 0.5 to 1.5 percent. Overall, there is scant evidence of slack at the intensive margin in European labor markets, and the trend fall in average hours worked seems unlikely to reverse.</w:t>
      </w:r>
    </w:p>
    <w:p>
      <w:pPr/>
      <w:r>
        <w:rPr>
          <w:b/>
        </w:rPr>
        <w:t>POSSIBLE 2024:</w:t>
      </w:r>
      <w:r>
        <w:t xml:space="preserve"> Conditional Density Estimation with Histogram Trees — https://doi.org/10.52202/079017-3724</w:t>
      </w:r>
    </w:p>
    <w:p>
      <w:pPr/>
      <w:r>
        <w:rPr>
          <w:b/>
        </w:rPr>
        <w:t>Shared claim-specific concepts:</w:t>
      </w:r>
      <w:r>
        <w:t xml:space="preserve"> next, conditional, estimation; EU scope not established. This is a provisional connection, not an outcome finding.</w:t>
      </w:r>
    </w:p>
    <w:p>
      <w:pPr>
        <w:pStyle w:val="SourceNote"/>
      </w:pPr>
      <w:r>
        <w:rPr>
          <w:b/>
        </w:rPr>
        <w:t>Available abstract (not full text):</w:t>
      </w:r>
      <w:r>
        <w:t xml:space="preserve"> Conditional density estimation (CDE) goes beyond regression by modeling the full conditional distribution, providing a richer understanding of the data than just the conditional mean in regression. This makes CDE particularly useful in critical application domains. However, interpretable CDE methods are understudied. Current methods typically employ kernel-based approaches, using kernel functions directly for kernel density estimation or as basis functions in linear models. In contrast, despite their conceptual simplicity and visualization suitability, tree-based methods -- which are arguably more comprehensible -- have been largely overlooked for CDE tasks. Thus, we propose the Conditional Density Tree (CDTree), a fully non-parametric model consisting of a decision tree in which each leaf is formed by a histogram model. Specifically, we formalize the problem of learning a CDTree using the minimum description length (MDL) principle, which eliminates the need for tuning the hyperparameter for regularization. Next, we propose an iterative algorithm that, although greedily, searches the optimal histogram for every possible node split. Our experiments demonstrate that, in comparison to existing interpretable CDE methods, CDTrees are both more accurate (as measured by the log-loss) and more robust against irrelevant features. Further, our approach leads to smaller tree sizes than ex</w:t>
      </w:r>
    </w:p>
    <w:p>
      <w:pPr>
        <w:pStyle w:val="Heading2"/>
      </w:pPr>
      <w:r>
        <w:t>552. Policy Modelling for Ambitious Energy Efficiency Investment in the EU Residential Buildings</w:t>
      </w:r>
    </w:p>
    <w:p>
      <w:pPr>
        <w:pStyle w:val="SourceNote"/>
      </w:pPr>
      <w:r>
        <w:rPr>
          <w:b/>
        </w:rPr>
        <w:t>Original source (2022):</w:t>
      </w:r>
      <w:r>
        <w:t xml:space="preserve"> https://doi.org/10.3390/en15062233</w:t>
      </w:r>
    </w:p>
    <w:p>
      <w:pPr/>
      <w:r>
        <w:t>Original wording (abstract; indexed_source_text_not_full_document_verified): This paper presents the challenges of increasing the energy efficiency investments in European Union (EU) residential buildings in the context of achieving climate neutrality by 2050.</w:t>
      </w:r>
    </w:p>
    <w:p>
      <w:pPr/>
      <w:r>
        <w:rPr>
          <w:b/>
        </w:rPr>
        <w:t>POSSIBLE 2026:</w:t>
      </w:r>
      <w:r>
        <w:t xml:space="preserve"> The Geopolitical Shift and the Challenge to European Integration — https://doi.org/10.1007/978-3-032-18648-5_1</w:t>
      </w:r>
    </w:p>
    <w:p>
      <w:pPr/>
      <w:r>
        <w:rPr>
          <w:b/>
        </w:rPr>
        <w:t>Shared claim-specific concepts:</w:t>
      </w:r>
      <w:r>
        <w:t xml:space="preserve"> presents, challenges, union; EU scope visible. This is a provisional connection, not an outcome finding.</w:t>
      </w:r>
    </w:p>
    <w:p>
      <w:pPr>
        <w:pStyle w:val="SourceNote"/>
      </w:pPr>
      <w:r>
        <w:rPr>
          <w:b/>
        </w:rPr>
        <w:t>Available abstract (not full text):</w:t>
      </w:r>
      <w:r>
        <w:t xml:space="preserve"> In the introductory chapter of the book, the authors discuss the implications for the European Union (EU) of the transformation of the international system and the return of geopolitics. Since the mid-2010s, the international system has undergone a fundamental shift away from a liberal world order towards an alternative order characterised by great-power rivalry, which presents major challenges for the EU’s competitiveness, security, and green transition. The chapter highlights the transformation of the global order by examining the origins of geopolitics. It then proceeds to analyse the measures that the EU has adopted so far to address the challenges posed by a geopolitically driven international system. The chapter concludes with an overview of the subsequent chapters of the book which, from various perspectives, examine how the EU is navigating the geopolitical shift.</w:t>
      </w:r>
    </w:p>
    <w:p>
      <w:pPr/>
      <w:r>
        <w:rPr>
          <w:b/>
        </w:rPr>
        <w:t>POSSIBLE 2026:</w:t>
      </w:r>
      <w:r>
        <w:t xml:space="preserve"> The Future of European Integration : Challenges and Opportunities — https://openalex.org/W7221381007</w:t>
      </w:r>
    </w:p>
    <w:p>
      <w:pPr/>
      <w:r>
        <w:rPr>
          <w:b/>
        </w:rPr>
        <w:t>Shared claim-specific concepts:</w:t>
      </w:r>
      <w:r>
        <w:t xml:space="preserve"> presents, challenges, union; EU scope visible. This is a provisional connection, not an outcome finding.</w:t>
      </w:r>
    </w:p>
    <w:p>
      <w:pPr>
        <w:pStyle w:val="SourceNote"/>
      </w:pPr>
      <w:r>
        <w:rPr>
          <w:b/>
        </w:rPr>
        <w:t>Available abstract (not full text):</w:t>
      </w:r>
      <w:r>
        <w:t xml:space="preserve"> The European Union has reached a crossroads. Its future development — even its survival — faces fundamental challenges in a turbulent global environment. As unity and effective action are imperative, the EU’s genuine renewal cannot be postponed. This volume offers a new narrative for European integration that recognises the heterogeneity of the member states, particularly as the Union expands to include the Western Balkans, Ukraine, Georgia, and Moldova. Contributions from leading academic and policy experts discuss the reforms and policies needed to address these challenges and harness emerging opportunities. By considering economic, social, institutional, and environmental aspects of development, the book presents a vision for a fair and sustainable European Union. It focuses on economic prosperity, the green transition, global geopolitics, social protection, innovation, and institutional reforms. In an era of geoeconomic fragmentation, the EU’s unity and effective action are imperative. This open-access book will be relevant to students, researchers, and policymakers interested in comparative and international economics and European studies.</w:t>
      </w:r>
    </w:p>
    <w:p>
      <w:pPr/>
      <w:r>
        <w:rPr>
          <w:b/>
        </w:rPr>
        <w:t>POSSIBLE 2025:</w:t>
      </w:r>
      <w:r>
        <w:t xml:space="preserve"> Challenges in the micropropagation of economically important fruit species in Europe — https://doi.org/10.1007/s11240-025-03165-5</w:t>
      </w:r>
    </w:p>
    <w:p>
      <w:pPr/>
      <w:r>
        <w:rPr>
          <w:b/>
        </w:rPr>
        <w:t>Shared claim-specific concepts:</w:t>
      </w:r>
      <w:r>
        <w:t xml:space="preserve"> presents, challenges, increasing; EU scope visible. This is a provisional connection, not an outcome finding.</w:t>
      </w:r>
    </w:p>
    <w:p>
      <w:pPr>
        <w:pStyle w:val="SourceNote"/>
      </w:pPr>
      <w:r>
        <w:rPr>
          <w:b/>
        </w:rPr>
        <w:t>Available abstract (not full text):</w:t>
      </w:r>
      <w:r>
        <w:t xml:space="preserve"> Commercial micropropagation plays a crucial role in increasing the production of many economically important fruit crops worldwide, including Europe. The focus has been on many woody horticultural species, such as stone and pome fruits, berries, nuts, and palms. This paper presents an updated overview of the European commercial micropropagation landscape, highlighting the countries currently operating in this sector, crop targets, and the distribution of micropropagation companies based on recent survey data. In Europe and the broader Mediterranean basin, Italy, Spain, Türkiye, and Germany emerge as the leading contributors to the large-scale in vitro production of woody fruit species, based on the number of operating commercial companies and efforts to adopt new technology. Despite this progress, several challenges limit the scalability and sustainability of in vitro propagation systems, and their expansion in underrepresented countries. These main issues include species recalcitrance, high labour and infrastructure costs, further improvement of stock maintenance capacity, logistical issues in plantlet shipment, and barriers related to intellectual property rights. To address these challenges, this paper discusses solutions such as utilizing automation and robotics, exploring new compounds to enhance micropropagation rates, and using European funding opportunities. Furthermore</w:t>
      </w:r>
    </w:p>
    <w:p>
      <w:pPr/>
      <w:r>
        <w:rPr>
          <w:b/>
        </w:rPr>
        <w:t>POSSIBLE 2025:</w:t>
      </w:r>
      <w:r>
        <w:t xml:space="preserve"> Tropical viruses – challenges of modern medicine andlaboratory diagnostics — https://doi.org/10.5604/01.3001.0055.5927</w:t>
      </w:r>
    </w:p>
    <w:p>
      <w:pPr/>
      <w:r>
        <w:rPr>
          <w:b/>
        </w:rPr>
        <w:t>Shared claim-specific concepts:</w:t>
      </w:r>
      <w:r>
        <w:t xml:space="preserve"> presents, challenges, increasing, context; EU scope visible. This is a provisional connection, not an outcome finding.</w:t>
      </w:r>
    </w:p>
    <w:p>
      <w:pPr>
        <w:pStyle w:val="SourceNote"/>
      </w:pPr>
      <w:r>
        <w:rPr>
          <w:b/>
        </w:rPr>
        <w:t>Available abstract (not full text):</w:t>
      </w:r>
      <w:r>
        <w:t xml:space="preserve"> Tropical viruses in Europe are becoming an increasing threat due to climatechange, globalization and increased mobility of people and goods. Globalizationis promoting the spread of tropical diseases, previously unseen in ourlatitude. The persistent increase in temperatures is promoting the expansionof the range of vectors, such as exotic mosquitoes of the Aedes genus, whilethe increasing frequency of travel to tropical countries increases the risk of bringing infections to Europe and potentially causing local endemic foci. This is a long-term challenge for healthcaresystems, public health and medical entities, which should adapt to new standards of diagnostics andtherapy for such diseases. The paper presents the diagnostic challenges faced by modern medical facilities inthe context of tropical viral diseases, discusses the limitations of available methods, the risk of false-positiveand false-negative results, and emphasizes the importance of implementing advanced molecular and serologicaltechnologies to ensure rapid and reliable detection of infections.</w:t>
      </w:r>
    </w:p>
    <w:p>
      <w:pPr/>
      <w:r>
        <w:rPr>
          <w:b/>
        </w:rPr>
        <w:t>POSSIBLE 2025:</w:t>
      </w:r>
      <w:r>
        <w:t xml:space="preserve"> Editorial: Ex situ conservation of plant genetic resources in Europe – A journey through history, mission, challenges and future opportunities — https://doi.org/10.46265/genresj.blds6319</w:t>
      </w:r>
    </w:p>
    <w:p>
      <w:pPr/>
      <w:r>
        <w:rPr>
          <w:b/>
        </w:rPr>
        <w:t>Shared claim-specific concepts:</w:t>
      </w:r>
      <w:r>
        <w:t xml:space="preserve"> presents, challenges, efficiency; EU scope visible. This is a provisional connection, not an outcome finding.</w:t>
      </w:r>
    </w:p>
    <w:p>
      <w:pPr>
        <w:pStyle w:val="SourceNote"/>
      </w:pPr>
      <w:r>
        <w:rPr>
          <w:b/>
        </w:rPr>
        <w:t>Available abstract (not full text):</w:t>
      </w:r>
      <w:r>
        <w:t xml:space="preserve"> The Special Issue entitled: ‘Ex situ conservation of plant genetic resources in Europe – A journey through history, mission, challenges and future opportunities’ presents 16 original articles, including 11 genebank reports from 7 European countries (Belgium, France, Germany, Hungary, Italy, Norway and Russia) and 5 review and position papers presenting relevant concepts to improve plant genetic resources (PGR) conservation and access. They provide an overview of PGR ex situ conservation in Europe, and reflect on the history and future directions of the collections. Important topics in PGR conservation and use are explored, including quality management systems for genebanks, the role of community seedbanks, the importance of collaborative research projects and national and international research infrastructures for PGR, and the integration of in situ and ex situ PGR conservation. From this article collection, the key importance of genebanks clearly emerges – not only in the long-term conservation of plant biodiversity but also in supporting and enabling plant breeding, research in plant biology and in situ conservation initiatives, highlighting important topics that should be prioritized for the efficiency and continuous improvement of PGR conservation activities. This article collection sparks discussions on future directions of ex situ plant conservation to further increase th</w:t>
      </w:r>
    </w:p>
    <w:p>
      <w:pPr/>
      <w:r>
        <w:rPr>
          <w:b/>
        </w:rPr>
        <w:t>POSSIBLE 2025:</w:t>
      </w:r>
      <w:r>
        <w:t xml:space="preserve"> Building an Agricultural Biogas Supply Chain in Europe: Organizational Models and Social Challenges — https://doi.org/10.3390/su17135806</w:t>
      </w:r>
    </w:p>
    <w:p>
      <w:pPr/>
      <w:r>
        <w:rPr>
          <w:b/>
        </w:rPr>
        <w:t>Shared claim-specific concepts:</w:t>
      </w:r>
      <w:r>
        <w:t xml:space="preserve"> presents, challenges, energy; EU scope visible. This is a provisional connection, not an outcome finding.</w:t>
      </w:r>
    </w:p>
    <w:p>
      <w:pPr>
        <w:pStyle w:val="SourceNote"/>
      </w:pPr>
      <w:r>
        <w:rPr>
          <w:b/>
        </w:rPr>
        <w:t>Available abstract (not full text):</w:t>
      </w:r>
      <w:r>
        <w:t xml:space="preserve"> As Europe is the world’s leading producer of biogas, this article examines how agricultural anaerobic digestion (AD) is organized and governed, and explores the social challenges involved in structuring the sector around a possible “European model”. Following a social science perspective, it presents a systematic review of 64 French- and English-language articles drawn from 16 academic databases. The findings highlight five key dynamics. First, there is a shift from farmer-led to increasingly industrial models of AD. Second, diverse and hybrid business models are emerging, involving new forms of multi-scale coordination. Third, the sector remains structurally dependent on public subsidies and on regulatory frameworks. Fourth, the economic viability of AD for farmers remains uncertain, driving a transition from cogeneration to biomethane injection. Fifth, tensions develop between rural place-based imaginaries and the realities of globalized energy networks. These patterns underscore the complexity of biogas sector-building in Europe and the competing narratives shaping its evolution. We argue that agricultural AD cannot be reduced to a unified trajectory, but reflects ongoing negotiations over energy models, territorial development and socio-technical legitimacy. This paper concludes by discussing the implications of these dynamics for the sustainability and fairness of future b</w:t>
      </w:r>
    </w:p>
    <w:p>
      <w:pPr/>
      <w:r>
        <w:rPr>
          <w:b/>
        </w:rPr>
        <w:t>POSSIBLE 2025:</w:t>
      </w:r>
      <w:r>
        <w:t xml:space="preserve"> ESG Disclosure, Market Forces, and Investment Efficiency — https://doi.org/10.2308/tar-2023-0707</w:t>
      </w:r>
    </w:p>
    <w:p>
      <w:pPr/>
      <w:r>
        <w:rPr>
          <w:b/>
        </w:rPr>
        <w:t>Shared claim-specific concepts:</w:t>
      </w:r>
      <w:r>
        <w:t xml:space="preserve"> efficiency, investments, climate; EU scope not established. This is a provisional connection, not an outcome finding.</w:t>
      </w:r>
    </w:p>
    <w:p>
      <w:pPr>
        <w:pStyle w:val="SourceNote"/>
      </w:pPr>
      <w:r>
        <w:rPr>
          <w:b/>
        </w:rPr>
        <w:t>Available abstract (not full text):</w:t>
      </w:r>
      <w:r>
        <w:t xml:space="preserve"> ABSTRACT This paper examines the impact of environmental, social, and governance (ESG) disclosure on firm investment. The analysis characterizes the optimal precision of ESG disclosure that channels investors’ tastes for ESG into firm investment. Although it is tempting to think that the optimal ESG disclosure becomes more precise when investors care more about ESG, I show this intuition is incomplete because it overlooks the fact that stronger tastes for ESG change how investors use information. Applying the analysis to a large economy, I show that mandating more precise climate disclosure than would be voluntarily provided motivates self-interested firms to act on common interests in reducing emissions. That is, a regulator can leverage market forces and a disclosure mandate to achieve a similar result as a Pigovian tax in motivating firms to internalize the externalities created by their climate-related investments. JEL Classifications: D82; G14; M41.</w:t>
      </w:r>
    </w:p>
    <w:p>
      <w:pPr/>
      <w:r>
        <w:rPr>
          <w:b/>
        </w:rPr>
        <w:t>POSSIBLE 2025:</w:t>
      </w:r>
      <w:r>
        <w:t xml:space="preserve"> Coal Consumption Efficiency in the European Union—Trends and Challenges — https://doi.org/10.3390/en18164273</w:t>
      </w:r>
    </w:p>
    <w:p>
      <w:pPr/>
      <w:r>
        <w:rPr>
          <w:b/>
        </w:rPr>
        <w:t>Shared claim-specific concepts:</w:t>
      </w:r>
      <w:r>
        <w:t xml:space="preserve"> challenges, energy, efficiency, union, climate; EU scope visible. This is a provisional connection, not an outcome finding.</w:t>
      </w:r>
    </w:p>
    <w:p>
      <w:pPr>
        <w:pStyle w:val="SourceNote"/>
      </w:pPr>
      <w:r>
        <w:rPr>
          <w:b/>
        </w:rPr>
        <w:t>Available abstract (not full text):</w:t>
      </w:r>
      <w:r>
        <w:t xml:space="preserve"> Coal plays a significant role in the economies of many countries and serves as an energy source for numerous societies. However, its combustion causes various environmental problems and contributes to climate change. This article examines the efficiency of coal consumption in 26 European Union countries and its changes from 2014 to 2022. Data Envelopment Analysis (DEA) methodology was applied to measure the extent of overall technical, pure technical, and scale technical efficiency, based on data concerning three production factors (labour, fixed assets, and energy), with GDP as a desirable output and CO2 emissions as an undesirable output. The empirical findings revealed that Cyprus, Denmark, Luxembourg, and Poland were efficiency leaders throughout the entire study period. France, Germany, Italy, and the Netherlands managed energy and non-energy resources efficiently but were found inefficient in terms of operational scale. Countries that do not use their resources at optimal levels in the production of goods and services should provide greater technical and financial support to their production processes and improve the organisation and structure of labour.</w:t>
      </w:r>
    </w:p>
    <w:p>
      <w:pPr/>
      <w:r>
        <w:rPr>
          <w:b/>
        </w:rPr>
        <w:t>POSSIBLE 2025:</w:t>
      </w:r>
      <w:r>
        <w:t xml:space="preserve"> Sustainable technological innovations in agriculture: Financial challenges and investment priorities under the European Green Deal — https://doi.org/10.1016/j.jenvman.2025.126150</w:t>
      </w:r>
    </w:p>
    <w:p>
      <w:pPr/>
      <w:r>
        <w:rPr>
          <w:b/>
        </w:rPr>
        <w:t>Shared claim-specific concepts:</w:t>
      </w:r>
      <w:r>
        <w:t xml:space="preserve"> challenges, increasing, energy, efficiency; EU scope visible. This is a provisional connection, not an outcome finding.</w:t>
      </w:r>
    </w:p>
    <w:p>
      <w:pPr>
        <w:pStyle w:val="SourceNote"/>
      </w:pPr>
      <w:r>
        <w:rPr>
          <w:b/>
        </w:rPr>
        <w:t>Available abstract (not full text):</w:t>
      </w:r>
      <w:r>
        <w:t xml:space="preserve"> This study explores the important financial challenges faced by Spanish agricultural and livestock companies to meet stringent environmental regulations without compromising their competitiveness. Using a Delphi method integrated with a systematic literature review, the research identifies key sustainable technological innovations (STIs) that require significant financial investment. Priority STIs include renewable energy sources, water use efficiency, by-product management, alternative fertilizers, and digital technologies, among others, each of which plays a key role in mitigating environmental impacts and aligning with overarching European sustainability frameworks, notably the European Green Deal and the 2030 Agenda for Sustainable Development. The findings support the formulation of specific policy recommendations aimed at overcoming the financial constraints that hinder the adoption of STIs. These include designing progressive financing schemes, launching green credit lines with subsidized interest rates, and increasing agri-environmental subsidies linked to STIs adoption. Furthermore, the study advocates the expansion of public-private investment frameworks and the establishment of technical advisory services to support producers in the selection, integration and implementation of appropriate technologies. These measures are essential to reduce economic barriers and acce</w:t>
      </w:r>
    </w:p>
    <w:p>
      <w:pPr/>
      <w:r>
        <w:rPr>
          <w:b/>
        </w:rPr>
        <w:t>POSSIBLE 2025:</w:t>
      </w:r>
      <w:r>
        <w:t xml:space="preserve"> Wind Energy in Transition: Development, Socio-Economic Impacts, and Policy Challenges in Europe — https://doi.org/10.3390/en18112811</w:t>
      </w:r>
    </w:p>
    <w:p>
      <w:pPr/>
      <w:r>
        <w:rPr>
          <w:b/>
        </w:rPr>
        <w:t>Shared claim-specific concepts:</w:t>
      </w:r>
      <w:r>
        <w:t xml:space="preserve"> presents, challenges, energy, efficiency, context; EU scope visible. This is a provisional connection, not an outcome finding.</w:t>
      </w:r>
    </w:p>
    <w:p>
      <w:pPr>
        <w:pStyle w:val="SourceNote"/>
      </w:pPr>
      <w:r>
        <w:rPr>
          <w:b/>
        </w:rPr>
        <w:t>Available abstract (not full text):</w:t>
      </w:r>
      <w:r>
        <w:t xml:space="preserve"> Wind energy has emerged as a strategic pillar in the global energy transition, offering both environmental and economic benefits. This comprehensive review explores the development of wind energy with a focus on the regulatory, socio-economic, and technological challenges that shape its deployment in Europe, particularly in Poland. The study highlights disparities between countries in terms of both total and per capita installed capacity, emphasizing the importance of equitable access to renewable energy. Denmark and Germany outperform larger economies like China and India in per capita terms, indicating the significance of effective policy frameworks and public engagement. The article presents detailed case studies of successful wind farm projects across the EU alongside economic evaluations including cost structures, return on investment, and local development impacts. Additionally, the role of innovation—such as floating offshore wind farms and AI-based energy management—is discussed in the context of improving efficiency and overcoming infrastructure and environmental barriers. The analysis is supported by quantitative comparisons, graphical representations, and policy reviews, culminating in practical recommendations for future growth. Wind energy’s expansion depends on integrated strategies that combine policy reform, technological advancement, economic viability, and com</w:t>
      </w:r>
    </w:p>
    <w:p>
      <w:pPr/>
      <w:r>
        <w:rPr>
          <w:b/>
        </w:rPr>
        <w:t>POSSIBLE 2025:</w:t>
      </w:r>
      <w:r>
        <w:t xml:space="preserve"> Empirical research of foreign direct investments efficiency in the European Union on the edge of pandemic outbreak — https://doi.org/10.1371/journal.pone.0313161</w:t>
      </w:r>
    </w:p>
    <w:p>
      <w:pPr/>
      <w:r>
        <w:rPr>
          <w:b/>
        </w:rPr>
        <w:t>Shared claim-specific concepts:</w:t>
      </w:r>
      <w:r>
        <w:t xml:space="preserve"> challenges, efficiency, investments, union; EU scope visible. This is a provisional connection, not an outcome finding.</w:t>
      </w:r>
    </w:p>
    <w:p>
      <w:pPr>
        <w:pStyle w:val="SourceNote"/>
      </w:pPr>
      <w:r>
        <w:rPr>
          <w:b/>
        </w:rPr>
        <w:t>Available abstract (not full text):</w:t>
      </w:r>
      <w:r>
        <w:t xml:space="preserve"> The study focuses on the effects of the COVID-19 pandemic on the economy and foreign direct investments in the European Union countries. Using data envelopment analysis constant and variable returns to scale models, and the Malmquist productivity index, we measured the efficiency of economic resource utilization concerning foreign direct investments and gross domestic product. These efficiencies were assessed in 2019, before the full outbreak of COVID-19, and in 2020, when uncertainty and the consequences of the pandemic were most pronounced. Despite the challenges posed by the pandemic, the European Union displayed economic resilience in the first year, with no significant reduction in foreign direct investment efficiency. Lower-income European Union countries saw an increase in foreign direct investment efficiency, attributing this to positive changes in managerial efficiency. This suggests that decisions made by authorities positively impacted foreign direct investment flows in economically less developed European Union regions despite restrictive measures and market uncertainties.</w:t>
      </w:r>
    </w:p>
    <w:p>
      <w:pPr/>
      <w:r>
        <w:rPr>
          <w:b/>
        </w:rPr>
        <w:t>POSSIBLE 2025:</w:t>
      </w:r>
      <w:r>
        <w:t xml:space="preserve"> Challenges, motivations, and perspectives of practitioners on forest restoration across seven European countries — https://doi.org/10.1111/rec.70160</w:t>
      </w:r>
    </w:p>
    <w:p>
      <w:pPr/>
      <w:r>
        <w:rPr>
          <w:b/>
        </w:rPr>
        <w:t>Shared claim-specific concepts:</w:t>
      </w:r>
      <w:r>
        <w:t xml:space="preserve"> presents, challenges, climate; EU scope visible. This is a provisional connection, not an outcome finding.</w:t>
      </w:r>
    </w:p>
    <w:p>
      <w:pPr>
        <w:pStyle w:val="SourceNote"/>
      </w:pPr>
      <w:r>
        <w:rPr>
          <w:b/>
        </w:rPr>
        <w:t>Available abstract (not full text):</w:t>
      </w:r>
      <w:r>
        <w:t xml:space="preserve"> Forest restoration is crucial in addressing nature degradation, enhancing climate adaptation and mitigation, supporting ecosystem services, and reducing disaster risk. Understanding practitioners' perspectives is essential for identifying barriers to successful restoration and improving the effectiveness of future initiatives. This study employs a mixed‐methods approach, integrating qualitative data from seven practitioner workshops and quantitative data from an online survey conducted across seven European countries (Austria, Bulgaria, Germany, Hungary, Ireland, Poland, and Serbia). The survey included 110 respondents, while 203 practitioners participated in workshops. Their primary motivations for engaging in restoration included a desire for ecosystem stability and nature preservation, followed by knowledge acquisition, responsibility for environmental stewardship, and climate change mitigation. Despite these challenges, practitioners highlighted advances in monitoring technologies, the diversification of project objectives, and increased public engagement as positive developments. The study concludes that a collaborative approach—enhancing the involvement of practitioners in policymaking—is critical for future restoration success. Additionally, growing public interest in ecological restoration presents an opportunity for alternative funding sources, which could address fina</w:t>
      </w:r>
    </w:p>
    <w:p>
      <w:pPr>
        <w:pStyle w:val="Heading2"/>
      </w:pPr>
      <w:r>
        <w:t>553. Soil Governance in current European Union Law and in the European Green Deal</w:t>
      </w:r>
    </w:p>
    <w:p>
      <w:pPr>
        <w:pStyle w:val="SourceNote"/>
      </w:pPr>
      <w:r>
        <w:rPr>
          <w:b/>
        </w:rPr>
        <w:t>Original source (2022):</w:t>
      </w:r>
      <w:r>
        <w:t xml:space="preserve"> https://doi.org/10.1016/j.soisec.2022.100053</w:t>
      </w:r>
    </w:p>
    <w:p>
      <w:pPr/>
      <w:r>
        <w:t>Original wording (abstract; indexed_source_text_not_full_document_verified): This is all the more true as the United Nations' 2030 Agenda has set in motion a process that will have far-reaching implications for connected thinking: Sustainable Development Goal 15 and its target 15.3 stipulate that land degradation neutrality should be achieved by 2030, although this is not binding.</w:t>
      </w:r>
    </w:p>
    <w:p>
      <w:pPr/>
      <w:r>
        <w:rPr>
          <w:b/>
        </w:rPr>
        <w:t>POSSIBLE 2026:</w:t>
      </w:r>
      <w:r>
        <w:t xml:space="preserve"> Daylight illuminance modelling for the United Kingdom and Europe — https://doi.org/10.17869/enu.288937</w:t>
      </w:r>
    </w:p>
    <w:p>
      <w:pPr/>
      <w:r>
        <w:rPr>
          <w:b/>
        </w:rPr>
        <w:t>Shared claim-specific concepts:</w:t>
      </w:r>
      <w:r>
        <w:t xml:space="preserve"> all, united, not; EU scope visible. This is a provisional connection, not an outcome finding.</w:t>
      </w:r>
    </w:p>
    <w:p>
      <w:pPr>
        <w:pStyle w:val="SourceNote"/>
      </w:pPr>
      <w:r>
        <w:rPr>
          <w:b/>
        </w:rPr>
        <w:t>Available abstract (not full text):</w:t>
      </w:r>
      <w:r>
        <w:t xml:space="preserve"> This thesis highlights the benefits to occupants and owners of buildings who utilise daylight effectively. Many cases of absence are related to depression or Seasonal Adjustment Disorder(SAD) which results from inadequate exposure to daylight in the work place. The use of artificial lights has been linked to minor as well as more serious ailments such as cancer and increases in cases of miscarriage. The use of daylight in buildings from economic and environmental perspectives is the main concern of the thesis. The work and analysis of this thesis have produced two new illuminance models. In addition detailed illuminance and irradiance data for Central Scotland were recorded which has previously not been available. A comprehensive study of luminous efficacy research was undertaken in Chapter 3 which evaluated a complete range of models. Furthermore the luminous efficacy of various UK and international sites were compared to examine climatic differences. The development of a new slope illuminance model which more accurately predicts external illuminance for all sky conditions was shown to perform consistently better than previous models. This was due to the new model's treatment of the sky background diffuse component utilising an anisotropic form as opposed to the traditional assumption of an isotropic sky background diffuse component. The availability of sky luminance distribut</w:t>
      </w:r>
    </w:p>
    <w:p>
      <w:pPr/>
      <w:r>
        <w:rPr>
          <w:b/>
        </w:rPr>
        <w:t>POSSIBLE 2026:</w:t>
      </w:r>
      <w:r>
        <w:t xml:space="preserve"> Europe in the Indo-Pacific - Implications for the United States — https://openalex.org/W7163460510</w:t>
      </w:r>
    </w:p>
    <w:p>
      <w:pPr/>
      <w:r>
        <w:rPr>
          <w:b/>
        </w:rPr>
        <w:t>Shared claim-specific concepts:</w:t>
      </w:r>
      <w:r>
        <w:t xml:space="preserve"> united, implications; EU scope visible. This is a provisional connection, not an outcome finding.</w:t>
      </w:r>
    </w:p>
    <w:p>
      <w:pPr>
        <w:pStyle w:val="SourceNote"/>
      </w:pPr>
      <w:r>
        <w:rPr>
          <w:b/>
        </w:rPr>
        <w:t>Available abstract (not full text):</w:t>
      </w:r>
      <w:r>
        <w:t xml:space="preserve"> Within the last five years the Indo-Pacific has become a region of increasing interest to European NATO members. In particular, the United Kingdom, France, and Italy have assigned strategic importance for their national security to the region, signing cooperative agreements with regional allies of the United States and deploying significant forces to the region. These agreements include commitments to jointly develop new technologies and combat systems for employment in both Europe and the Indo-Pacific, such as the Global Combat Air Programme (GCAP), and the Trilateral security partnership between Australia, the United Kingdom, and the United States (AUKUS). They also include commitments to the forward-deployment of military capabilities to the region, along with a regular presence of European Carrier Strike Groups. The United Kingdom, France, and Italy are the three next largest naval powers in NATO after the United States and contribute considerably to NATO’s security in Europe. The degree of resources each invests in the Indo-Pacific region could impact their ability to perform their traditional roles in European security, while also weighing on the strategic calculus in the Indo-Pacific. Each nation has their own reasons and strategies for engaging in the region, with varying degrees of commitment and intended scale of engagement. It is important for the United States to un</w:t>
      </w:r>
    </w:p>
    <w:p>
      <w:pPr/>
      <w:r>
        <w:rPr>
          <w:b/>
        </w:rPr>
        <w:t>POSSIBLE 2026:</w:t>
      </w:r>
      <w:r>
        <w:t xml:space="preserve"> The ethics of agenda setting — https://doi.org/10.1007/s11229-026-05586-x</w:t>
      </w:r>
    </w:p>
    <w:p>
      <w:pPr/>
      <w:r>
        <w:rPr>
          <w:b/>
        </w:rPr>
        <w:t>Shared claim-specific concepts:</w:t>
      </w:r>
      <w:r>
        <w:t xml:space="preserve"> agenda, set, process, although, not; EU scope not established. This is a provisional connection, not an outcome finding.</w:t>
      </w:r>
    </w:p>
    <w:p>
      <w:pPr>
        <w:pStyle w:val="SourceNote"/>
      </w:pPr>
      <w:r>
        <w:rPr>
          <w:b/>
        </w:rPr>
        <w:t>Available abstract (not full text):</w:t>
      </w:r>
      <w:r>
        <w:t xml:space="preserve"> Agenda setting is the process through which certain issues emerge as objects of collective attention in public discourse and policymaking. How the agenda is set is extremely important. Attention to a given issue is a precondition for political action; an issue can only be addressed either by the public or by policymakers if it is on the agenda. This raises the normative question of how the agenda should be set. Political philosophers have not yet extensively engaged with this question. Although vast empirical scholarship exists on how the agenda is set, the corresponding normative question of how the agenda should be set, remains largely unaddressed. In this paper I outline a theory of good agenda setting. I argue that good agenda setting, on the one hand, is organized so as to ensure the egalitarian distribution of agenda influence in society, and, on the other hand, it produces agendas which promote certain instrumental as well as non-instrumental values.</w:t>
      </w:r>
    </w:p>
    <w:p>
      <w:pPr/>
      <w:r>
        <w:rPr>
          <w:b/>
        </w:rPr>
        <w:t>POSSIBLE 2026:</w:t>
      </w:r>
      <w:r>
        <w:t xml:space="preserve"> Synthesizing agendas: mapping the transformative potential of generative AI for agenda setting effects — https://doi.org/10.1007/s44382-026-00025-4</w:t>
      </w:r>
    </w:p>
    <w:p>
      <w:pPr/>
      <w:r>
        <w:rPr>
          <w:b/>
        </w:rPr>
        <w:t>Shared claim-specific concepts:</w:t>
      </w:r>
      <w:r>
        <w:t xml:space="preserve"> all, agenda, set, implications; EU scope not established. This is a provisional connection, not an outcome finding.</w:t>
      </w:r>
    </w:p>
    <w:p>
      <w:pPr>
        <w:pStyle w:val="SourceNote"/>
      </w:pPr>
      <w:r>
        <w:rPr>
          <w:b/>
        </w:rPr>
        <w:t>Available abstract (not full text):</w:t>
      </w:r>
      <w:r>
        <w:t xml:space="preserve"> Abstract From an agenda-setting perspective, the present study compares the structure of issue, candidate, and party emphasis in AI chatbot responses during the 2025 Norwegian election campaign with content from search engines and news websites. The study shows that when users employ conventional queries in AI chatbots, the issue and candidate saliences are very similar in chatbots, search engines, and editorial news media content; the main difference is that AI chatbots give roughly similar attention to all major parties rather than focusing the large parties like the news media. When using less conventional queries that feed personal information, e.g. about one’s occupation or ideology, the AI chatbots significantly shift their focus and emphasize a query-specific set of issues and parties. An accompanying small-scale voter survey finds that current impact of AI chatbots is low due to limited user adoption and dominance of conventional prompts that would lead to issue, party, and candidate saliences similar to those in the editorial news media. The already visible potential for users and chatbots to co-create an entry point into self-reinforcing spirals of partisan selectivity warrants attention. Further normative implications of this potential are discussed.</w:t>
      </w:r>
    </w:p>
    <w:p>
      <w:pPr/>
      <w:r>
        <w:rPr>
          <w:b/>
        </w:rPr>
        <w:t>POSSIBLE 2025:</w:t>
      </w:r>
      <w:r>
        <w:t xml:space="preserve"> A systematic review of regulatory strategies and transparency mandates in AI regulation in Europe, the United States, and Canada — https://doi.org/10.1017/dap.2024.54</w:t>
      </w:r>
    </w:p>
    <w:p>
      <w:pPr/>
      <w:r>
        <w:rPr>
          <w:b/>
        </w:rPr>
        <w:t>Shared claim-specific concepts:</w:t>
      </w:r>
      <w:r>
        <w:t xml:space="preserve"> all, united, although, not; EU scope visible. This is a provisional connection, not an outcome finding.</w:t>
      </w:r>
    </w:p>
    <w:p>
      <w:pPr>
        <w:pStyle w:val="SourceNote"/>
      </w:pPr>
      <w:r>
        <w:rPr>
          <w:b/>
        </w:rPr>
        <w:t>Available abstract (not full text):</w:t>
      </w:r>
      <w:r>
        <w:t xml:space="preserve"> Abstract In this paper, we provide a systematic review of existing artificial intelligence (AI) regulations in Europe, the United States, and Canada. We build on the qualitative analysis of 129 AI regulations (enacted and not enacted) to identify patterns in regulatory strategies and in AI transparency requirements. Based on the analysis of this sample, we suggest that there are three main regulatory strategies for AI: AI-focused overhauls of existing regulation, the introduction of novel AI regulation, and the omnibus approach. We argue that although these types emerge as distinct strategies, their boundaries are porous as the AI regulation landscape is rapidly evolving. We find that across our sample, AI transparency is effectively treated as a central mechanism for meaningful mitigation of potential AI harms. We therefore focus on AI transparency mandates in our analysis and identify six AI transparency patterns: human in the loop, assessments, audits, disclosures, inventories, and red teaming. We contend that this qualitative analysis of AI regulations and AI transparency patterns provides a much needed bridge between the policy discourse on AI, which is all too often bound up in very detailed legal discussions and applied sociotechnical research on AI fairness, accountability, and transparency.</w:t>
      </w:r>
    </w:p>
    <w:p>
      <w:pPr/>
      <w:r>
        <w:rPr>
          <w:b/>
        </w:rPr>
        <w:t>POSSIBLE 2025:</w:t>
      </w:r>
      <w:r>
        <w:t xml:space="preserve"> Reimagining Workforce Development: A Critical Analysis of Approaches in Europe, Singapore, and the United States — https://doi.org/10.1002/ace.20556</w:t>
      </w:r>
    </w:p>
    <w:p>
      <w:pPr/>
      <w:r>
        <w:rPr>
          <w:b/>
        </w:rPr>
        <w:t>Shared claim-specific concepts:</w:t>
      </w:r>
      <w:r>
        <w:t xml:space="preserve"> all, united; EU scope visible. This is a provisional connection, not an outcome finding.</w:t>
      </w:r>
    </w:p>
    <w:p>
      <w:pPr>
        <w:pStyle w:val="SourceNote"/>
      </w:pPr>
      <w:r>
        <w:rPr>
          <w:b/>
        </w:rPr>
        <w:t>Available abstract (not full text):</w:t>
      </w:r>
      <w:r>
        <w:t xml:space="preserve"> ABSTRACT This chapter examines three distinct approaches to lifelong learning to illustrate workforce and societal development efforts in Europe, Singapore, and the United States. The case studies bring to the fore various complex issues, including, in the case of Europe, ensuring more equitable access to workforce development initiatives for all. Singapore's size and single coordinating platform of the SkillsFuture movement allow for both opportunities and challenges to entrench lifelong learning within its citizenry. In the United States, the competing concerns of state, federal, and local levels make for a varied mixture of lifelong learning offerings and, along with it, the need to maneuver different levels to achieve goals. The case studies allow for insights and reflection into the possibilities available and difficulties to be navigated in the global workforce development and lifelong learning landscape.</w:t>
      </w:r>
    </w:p>
    <w:p>
      <w:pPr/>
      <w:r>
        <w:rPr>
          <w:b/>
        </w:rPr>
        <w:t>POSSIBLE 2025:</w:t>
      </w:r>
      <w:r>
        <w:t xml:space="preserve"> Critical materials and manufacturing: Comparing China, the European Union, Japan, and the United States — https://doi.org/10.1016/j.rcradv.2025.200250</w:t>
      </w:r>
    </w:p>
    <w:p>
      <w:pPr/>
      <w:r>
        <w:rPr>
          <w:b/>
        </w:rPr>
        <w:t>Shared claim-specific concepts:</w:t>
      </w:r>
      <w:r>
        <w:t xml:space="preserve"> all, true, united; EU scope visible. This is a provisional connection, not an outcome finding.</w:t>
      </w:r>
    </w:p>
    <w:p>
      <w:pPr>
        <w:pStyle w:val="SourceNote"/>
      </w:pPr>
      <w:r>
        <w:rPr>
          <w:b/>
        </w:rPr>
        <w:t>Available abstract (not full text):</w:t>
      </w:r>
      <w:r>
        <w:t xml:space="preserve"> Manufacturers in all countries rely on supply chains for raw material inputs and intermediate products. Different supply chains, and different stages in supply chains, are more or less important and risky for some countries than for others. This study compares material criticality in China, the European Union(EU), Japan, and the United States(US). It assesses supply chain risk (two stages: mining, processing) and economic importance for twelve materials representing infrastructure, battery, specialty, and other materials. Overall, the mining stage is the source of greater risk than processing in China, while the reverse is true for the US. The EU and Japan have higher supply risk than the US and China. Japan has the greatest number of materials with both high supply risk and economic importance. Materials with the greatest difference in criticality between regions are rare-earths and aluminum at the processing stage, and lithium, nickel, and cobalt at the mining stage.</w:t>
      </w:r>
    </w:p>
    <w:p>
      <w:pPr/>
      <w:r>
        <w:rPr>
          <w:b/>
        </w:rPr>
        <w:t>POSSIBLE 2025:</w:t>
      </w:r>
      <w:r>
        <w:t xml:space="preserve"> Burden of infectious disease studies in Europe and the United Kingdom: a review of methodological design choices — https://openalex.org/W7137495731</w:t>
      </w:r>
    </w:p>
    <w:p>
      <w:pPr/>
      <w:r>
        <w:rPr>
          <w:b/>
        </w:rPr>
        <w:t>Shared claim-specific concepts:</w:t>
      </w:r>
      <w:r>
        <w:t xml:space="preserve"> all, united; EU scope visible. This is a provisional connection, not an outcome finding.</w:t>
      </w:r>
    </w:p>
    <w:p>
      <w:pPr>
        <w:pStyle w:val="SourceNote"/>
      </w:pPr>
      <w:r>
        <w:rPr>
          <w:b/>
        </w:rPr>
        <w:t>Available abstract (not full text):</w:t>
      </w:r>
      <w:r>
        <w:t xml:space="preserve"> This systematic literature review aimed to provide an overview of the characteristics and methods used in studies applying the disability-adjusted life years (DALY) concept for infectious diseases within European Union (EU)/European Economic Area (EEA)/European Free Trade Association (EFTA) countries and the United Kingdom. Electronic databases and grey literature were searched for articles reporting the assessment of DALY and its components. We considered studies in which researchers performed DALY calculations using primary epidemiological data input sources. We screened 3053 studies of which 2948 were excluded and 105 studies met our inclusion criteria. Of these studies, 22 were multi-country and 83 were single-country studies, of which 46 were from the Netherlands. Food- and water-borne diseases were the most frequently studied infectious diseases. Between 2015 and 2022, the number of burden of infectious disease studies was 1.6 times higher compared to that published between 2000 and 2014. Almost all studies (97%) estimated DALYs based on the incidence- and pathogen-based approach and without social weighting functions; however, there was less methodological consensus with regards to the disability weights and life tables that were applied. The number of burden of infectious disease studies undertaken across Europe has increased over time. Development and use of guidelines</w:t>
      </w:r>
    </w:p>
    <w:p>
      <w:pPr/>
      <w:r>
        <w:rPr>
          <w:b/>
        </w:rPr>
        <w:t>POSSIBLE 2025:</w:t>
      </w:r>
      <w:r>
        <w:t xml:space="preserve"> A European agenda to tax the super-rich: A solution to inequality in the European Union — https://doi.org/10.21201/2025.000089</w:t>
      </w:r>
    </w:p>
    <w:p>
      <w:pPr/>
      <w:r>
        <w:rPr>
          <w:b/>
        </w:rPr>
        <w:t>Shared claim-specific concepts:</w:t>
      </w:r>
      <w:r>
        <w:t xml:space="preserve"> all, agenda; EU scope visible. This is a provisional connection, not an outcome finding.</w:t>
      </w:r>
    </w:p>
    <w:p>
      <w:pPr>
        <w:pStyle w:val="SourceNote"/>
      </w:pPr>
      <w:r>
        <w:rPr>
          <w:b/>
        </w:rPr>
        <w:t>Available abstract (not full text):</w:t>
      </w:r>
      <w:r>
        <w:t xml:space="preserve"> Europe faces a deep inequality crisis: the richest 1% in the EU own nearly a quarter of all wealth while half the population shares just 3%. Decades of tax cuts for the wealthy and corporations resulted in the super-rich paying proportionally less taxes than ordinary citizens, eroding fairness, democracy, and social cohesion. The EU lacks harmonized policies to curb extreme wealth concentration and tax avoidance of the wealthiest. Oxfam calls for bold reforms, such as an EU-wide or national tax on the super-rich and transparency mechanisms like an EU assets registry, to fund social needs, climate action, and development. Taxing the super-rich is widely supported, is feasible and is urgent.</w:t>
      </w:r>
    </w:p>
    <w:p>
      <w:pPr/>
      <w:r>
        <w:rPr>
          <w:b/>
        </w:rPr>
        <w:t>POSSIBLE 2025:</w:t>
      </w:r>
      <w:r>
        <w:t xml:space="preserve"> European bioeconomy strategies could better integrate sustainability agendas — https://doi.org/10.1007/s11625-025-01752-1</w:t>
      </w:r>
    </w:p>
    <w:p>
      <w:pPr/>
      <w:r>
        <w:rPr>
          <w:b/>
        </w:rPr>
        <w:t>Shared claim-specific concepts:</w:t>
      </w:r>
      <w:r>
        <w:t xml:space="preserve"> agenda, sustainable, not; EU scope visible. This is a provisional connection, not an outcome finding.</w:t>
      </w:r>
    </w:p>
    <w:p>
      <w:pPr>
        <w:pStyle w:val="SourceNote"/>
      </w:pPr>
      <w:r>
        <w:rPr>
          <w:b/>
        </w:rPr>
        <w:t>Available abstract (not full text):</w:t>
      </w:r>
      <w:r>
        <w:t xml:space="preserve"> The bioeconomy is increasingly seen as a key national development strategy for sustainable economic growth, environmental restoration, and achieving the Sustainable Development Goals (SDGs). Numerous countries have introduced strategies to outline their bioeconomy visions, aiming to transition from fossil fuel-dependent systems to bioeconomies that address pressing environmental and socio-economic challenges. Despite this potential, the bioeconomy is not inherently sustainable nor circular, and policymakers pursue bioeconomies to different extents, facing challenges in balancing synergies and trade-offs with the SDGs. This study examined bioeconomy strategies presented in 29 policy documents from 14 European countries and the European Union. Using text analyzing techniques, we evaluate the extent to which bioeconomy strategies determine the salience of sustainability. Our analysis shows that most bioeconomy strategies emphasize opportunities aligned with SDGs 6 and 12-15, focusing on environmental objectives within the planet pillar of the 2030 Agenda. However, these strategies often neglect the principles of "equitable" and "fair &amp; inclusive" transition and fail to consider potential unintended consequences or trade-offs for sustainability. This disconnection is further reflected by a significant divide between evidence on bioeconomy-SDG interactions and the narratives present</w:t>
      </w:r>
    </w:p>
    <w:p>
      <w:pPr/>
      <w:r>
        <w:rPr>
          <w:b/>
        </w:rPr>
        <w:t>POSSIBLE 2025:</w:t>
      </w:r>
      <w:r>
        <w:t xml:space="preserve"> Esophageal and Oropharyngeal Dysphagia: Clinical Recommendations From the United European Gastroenterology and European Society for Neurogastroenterology and Motility — https://doi.org/10.1002/ueg2.70062</w:t>
      </w:r>
    </w:p>
    <w:p>
      <w:pPr/>
      <w:r>
        <w:rPr>
          <w:b/>
        </w:rPr>
        <w:t>Shared claim-specific concepts:</w:t>
      </w:r>
      <w:r>
        <w:t xml:space="preserve"> all, united, process, achieved; EU scope visible. This is a provisional connection, not an outcome finding.</w:t>
      </w:r>
    </w:p>
    <w:p>
      <w:pPr>
        <w:pStyle w:val="SourceNote"/>
      </w:pPr>
      <w:r>
        <w:rPr>
          <w:b/>
        </w:rPr>
        <w:t>Available abstract (not full text):</w:t>
      </w:r>
      <w:r>
        <w:t xml:space="preserve"> Dysphagia is a prevalent symptom of the upper gastrointestinal tract causing health related consequences, impacting quality of life and is associated with global economic burden. Swallowing difficulties are classified into oropharyngeal dysphagia (OD) and esophageal dysphagia. Despite its clinical importance, dysphagia is associated with several uncertainties regarding its optimal diagnostic work-up and management, particularly, considering the progress with diagnostic modalities and technologies. A Delphi consensus was performed with experts from various disciplines who conducted a literature summary and voting process on 41 statements. Quality of evidence was evaluated using the grading of recommendations, assessment, development, and evaluation criteria. Consensus was reached for all the statements. The panel agreed with the definition and prevalence of esophageal and OD types. The role of endoscopy, high-resolution manometry, EndoFLIP, barium swallow and other imaging tests in evaluating esophageal dysphagia has reached overall strong agreement. Videofluoroscopic swallow study, alongside fiber-endoscopic evaluation of swallowing, as the methods of choice for the instrumental assessment of oropharyngeal dysfunction is a strong recommendation. Regarding treatment, a weak recommendation was achieved for the use of PPIs, calcium-channel blockers, nitrates, phosphodiesterase typ</w:t>
      </w:r>
    </w:p>
    <w:p>
      <w:pPr/>
      <w:r>
        <w:rPr>
          <w:b/>
        </w:rPr>
        <w:t>POSSIBLE 2025:</w:t>
      </w:r>
      <w:r>
        <w:t xml:space="preserve"> An Assessment of the United States and European Union sanctions on Russia — https://doi.org/10.26881/jpgs.2025.1.02</w:t>
      </w:r>
    </w:p>
    <w:p>
      <w:pPr/>
      <w:r>
        <w:rPr>
          <w:b/>
        </w:rPr>
        <w:t>Shared claim-specific concepts:</w:t>
      </w:r>
      <w:r>
        <w:t xml:space="preserve"> united, nations, not; EU scope visible. This is a provisional connection, not an outcome finding.</w:t>
      </w:r>
    </w:p>
    <w:p>
      <w:pPr>
        <w:pStyle w:val="SourceNote"/>
      </w:pPr>
      <w:r>
        <w:rPr>
          <w:b/>
        </w:rPr>
        <w:t>Available abstract (not full text):</w:t>
      </w:r>
      <w:r>
        <w:t xml:space="preserve"> Three research questions are of great concern to this study. How can sanctions be made effective with respect to the United States and the European Union sanctions on Russia? What are the factors responsible for the noncompliance of some countries with the United States and the European Union sanctions on Russia? To what extent have the United States and the European Union sanctions modified the behaviour of Russia in the ongoing war in Ukraine? This study argues that the United States and the European Union sanctions can be made effective through collective enforcement by the UN member states. Besides, some western and non-western nations have failed to enforce the US-EU sanctions on Russian economy because of the economic benefits derived from Russian gas and the criticisms among western nations that sanctions violates human rights especially of vulnerable citizens. Again, the study further argues that sanctions have weakened the Russian economy but have not deterred Russian aggression. Lastly, the United Nations in collaboration with regional and sub-regional organisations should revisit the use of sanctions as a tool for foreign policy, bearing in mind the wellbeing of vulnerable groups such as children, women and people living with disabilities in Russia who are victims of these circumstances.</w:t>
      </w:r>
    </w:p>
    <w:p>
      <w:pPr>
        <w:pStyle w:val="Heading2"/>
      </w:pPr>
      <w:r>
        <w:t>554. Surveillance and Foresight Process of the Sustainable City Context: Innovation Potential Niches and Trends at the European Level</w:t>
      </w:r>
    </w:p>
    <w:p>
      <w:pPr>
        <w:pStyle w:val="SourceNote"/>
      </w:pPr>
      <w:r>
        <w:rPr>
          <w:b/>
        </w:rPr>
        <w:t>Original source (2022):</w:t>
      </w:r>
      <w:r>
        <w:t xml:space="preserve"> https://doi.org/10.3390/su14148795</w:t>
      </w:r>
    </w:p>
    <w:p>
      <w:pPr/>
      <w:r>
        <w:t>Original wording (abstract; indexed_source_text_not_full_document_verified): Much of the pollution and energy consumption is attributed to cities, which are expected to increase in size and population in the coming years. In this regard, different agendas, strategies, and regulations have been published, such as the 2030 Agenda.</w:t>
      </w:r>
    </w:p>
    <w:p>
      <w:pPr/>
      <w:r>
        <w:rPr>
          <w:b/>
        </w:rPr>
        <w:t>POSSIBLE 2026:</w:t>
      </w:r>
      <w:r>
        <w:t xml:space="preserve"> Air pollution hotspots in the European Union: A city-level risk assessment — https://doi.org/10.18686/cest622</w:t>
      </w:r>
    </w:p>
    <w:p>
      <w:pPr/>
      <w:r>
        <w:rPr>
          <w:b/>
        </w:rPr>
        <w:t>Shared claim-specific concepts:</w:t>
      </w:r>
      <w:r>
        <w:t xml:space="preserve"> much, pollution, energy, increase; EU scope visible. This is a provisional connection, not an outcome finding.</w:t>
      </w:r>
    </w:p>
    <w:p>
      <w:pPr>
        <w:pStyle w:val="SourceNote"/>
      </w:pPr>
      <w:r>
        <w:rPr>
          <w:b/>
        </w:rPr>
        <w:t>Available abstract (not full text):</w:t>
      </w:r>
      <w:r>
        <w:t xml:space="preserve"> Urban air pollution remains a major challenge for public health and environmental sustainability across the European Union. While much of the existing literature relies on national-level indicators, city-level analyses are essential for identifying persistent urban hotspots and spatial inequalities in exposure. This study examines annual PM2.5 concentrations in European capitals between 2021 and 2024 using data from the IQAir database, which provides harmonized, high-resolution information on fine particulate matter. Geospatial analysis and GeoAI-inspired exploratory approaches were employed to support the identification of intra- and inter-urban pollution patterns. The results reveal a structural break in 2022, when the energy crisis coincided with a temporary increase in PM2.5 concentrations, interrupting an otherwise improving trend. Systematic differences were observed between Western–Northern capitals, which exhibited lower concentrations and more favorable trends, and Eastern–Southern capitals, where exceedances persisted throughout the study period. A focused comparison of Budapest with Vienna, Warsaw, and Prague highlights the intermediate position of the Hungarian capital within Central Europe. Overall, the findings demonstrate the sensitivity of urban air quality to external shocks and the persistence of spatial disparities, while illustrating the potential of open-ac</w:t>
      </w:r>
    </w:p>
    <w:p>
      <w:pPr/>
      <w:r>
        <w:rPr>
          <w:b/>
        </w:rPr>
        <w:t>POSSIBLE 2026:</w:t>
      </w:r>
      <w:r>
        <w:t xml:space="preserve"> Relationships between exposure to air pollution and demographic attributes exhibit between-city heterogeneities — https://doi.org/10.1088/2752-5309/ae8ff8</w:t>
      </w:r>
    </w:p>
    <w:p>
      <w:pPr/>
      <w:r>
        <w:rPr>
          <w:b/>
        </w:rPr>
        <w:t>Shared claim-specific concepts:</w:t>
      </w:r>
      <w:r>
        <w:t xml:space="preserve"> pollution, cities, population, different; EU scope not established. This is a provisional connection, not an outcome finding.</w:t>
      </w:r>
    </w:p>
    <w:p>
      <w:pPr>
        <w:pStyle w:val="SourceNote"/>
      </w:pPr>
      <w:r>
        <w:rPr>
          <w:b/>
        </w:rPr>
        <w:t>Available abstract (not full text):</w:t>
      </w:r>
      <w:r>
        <w:t xml:space="preserve"> Abstract Differentials in exposure to air pollution across population subgroups is a source of environmental health inequality. An important question is the generalisability of the trends between air pollution exposure and demographic attributes across different populations: comparisons are often confounded by different study methodologies. A key challenge is that individual-level demographic data are not usually available. In this study, we apply identical methods to a single cohort of 56 734 individuals to compare trends between exposures to ambient NO 2 , PM 2.5 and O 3 and sex, age, ethnicity, and socioeconomic status (SES) in the cities of Glasgow and Edinburgh, UK. We also use individual-level information on place of work or study (where that applies) to derive more realistic estimates of exposures than studies using exposures at place of residence only. We find that whilst some broad trends in exposure-demographic relationships are similar between Glasgow and Edinburgh—for example that younger adults, those of lower SES and of non-White ethnicity are, on average, exposed to higher concentrations of NO 2 and PM 2.5 (and to lower concentrations of O 3 )—our results also confirm heterogeneities in these relationships between the two cities. Importantly, we show that this geographical specificity extends to between-city geographical distributions of places of work and study </w:t>
      </w:r>
    </w:p>
    <w:p>
      <w:pPr/>
      <w:r>
        <w:rPr>
          <w:b/>
        </w:rPr>
        <w:t>POSSIBLE 2026:</w:t>
      </w:r>
      <w:r>
        <w:t xml:space="preserve"> The 2026 Europe Cities Report of the Lancet Countdown on health and climate change: cities at the forefront of climate change action — https://doi.org/10.1016/s2468-2667(26)00100-3</w:t>
      </w:r>
    </w:p>
    <w:p>
      <w:pPr/>
      <w:r>
        <w:rPr>
          <w:b/>
        </w:rPr>
        <w:t>Shared claim-specific concepts:</w:t>
      </w:r>
      <w:r>
        <w:t xml:space="preserve"> much, pollution, cities, increase, population; EU scope visible. This is a provisional connection, not an outcome finding.</w:t>
      </w:r>
    </w:p>
    <w:p>
      <w:pPr>
        <w:pStyle w:val="SourceNote"/>
      </w:pPr>
      <w:r>
        <w:rPr>
          <w:b/>
        </w:rPr>
        <w:t>Available abstract (not full text):</w:t>
      </w:r>
      <w:r>
        <w:t xml:space="preserve"> Cities are hubs for innovation, economic activity, and socioeconomic development, concentrating not only population, assets, and infrastructure, but also health risks of climate hazards.Cities have a central role in addressing climate change by implementing adaptation and mitigation solutions that deliver resilient and lowcarbon communities, boost local economies, and improve citizens' health.In this Lancet Countdown Report, we present for the first time a systematic, policy-relevant set of climate change and health indicators for European cities. Developed by 58 researchers from 31 academic institutions, a set of 28 indicators track trends in climate change and health across five domains. Urban residents are increasingly at risk from growing climate change-related hazardsThe increase over time in wildfire danger (indicator 1.2.1) and heat-related mortality (indicator 1.1.2) was highest in southern European cities (ie, an increase of 7% from 2003 to 2023, and of 160•6% from 1991-2000 to 2015-24, respectively), whereas the increase in climate suitability to dengue was largest in eastern Europe (ie, a 369•3% increase from 1982-2010 to 2015-24; indicator 1.3.2).Concentrations of allergenic pollen more than doubled in southern and eastern European cities from 1991-2000 to 2015-24 (indicator 1.4.1),increasing exposure and morbidity of patients with allergic rhinitis. Adaptation meas</w:t>
      </w:r>
    </w:p>
    <w:p>
      <w:pPr/>
      <w:r>
        <w:rPr>
          <w:b/>
        </w:rPr>
        <w:t>POSSIBLE 2026:</w:t>
      </w:r>
      <w:r>
        <w:t xml:space="preserve"> Air pollution and greenspace exposure disparities revealed by hyperlocal exposure metrics across European cities — https://doi.org/10.1038/s44458-026-00046-6</w:t>
      </w:r>
    </w:p>
    <w:p>
      <w:pPr/>
      <w:r>
        <w:rPr>
          <w:b/>
        </w:rPr>
        <w:t>Shared claim-specific concepts:</w:t>
      </w:r>
      <w:r>
        <w:t xml:space="preserve"> pollution, cities, population; EU scope visible. This is a provisional connection, not an outcome finding.</w:t>
      </w:r>
    </w:p>
    <w:p>
      <w:pPr>
        <w:pStyle w:val="SourceNote"/>
      </w:pPr>
      <w:r>
        <w:rPr>
          <w:b/>
        </w:rPr>
        <w:t>Available abstract (not full text):</w:t>
      </w:r>
      <w:r>
        <w:t xml:space="preserve"> Efforts to map disparities in environmental exposure burdens across populations in varying urban settings are extremely limited. Here, we analyzed disparities in exposure to nitrogen dioxide air pollution and urban greenspaces in Dublin, Copenhagen, and Amsterdam, using hyperlocal environmental metrics derived from large-scale digital datasets. In Dublin, racial/ethnic minority groups were exposed to higher levels of nitrogen dioxide and lower levels of greenspace. Furthermore, immigrant populations were exposed to more pollution and less greenspace than natives in Dublin and Copenhagen, whereas the opposite trend was observed in Amsterdam. However, when considering population wealth, inhabitants of low-income areas were exposed to greater levels of greenspace and lower levels of nitrogen dioxide in all cities. These findings demonstrate that population environmental exposures are inconsistent across cities. Our results emphasize the need for city-specific studies of exposure burdens utilizing hyperlocal data to inform the design of sustainable, healthy, and equitable cities of the future. Immigrants in Dublin and Copenhagen experience more air pollution and less greenery than natives, while in Amsterdam, the reverse is true, according to hyperlocal analysis of nitrogen dioxide and greenspace exposure.</w:t>
      </w:r>
    </w:p>
    <w:p>
      <w:pPr/>
      <w:r>
        <w:rPr>
          <w:b/>
        </w:rPr>
        <w:t>POSSIBLE 2026:</w:t>
      </w:r>
      <w:r>
        <w:t xml:space="preserve"> Pollution, Density and Low Emission Zones: European Evidence — https://doi.org/10.53479/44145</w:t>
      </w:r>
    </w:p>
    <w:p>
      <w:pPr/>
      <w:r>
        <w:rPr>
          <w:b/>
        </w:rPr>
        <w:t>Shared claim-specific concepts:</w:t>
      </w:r>
      <w:r>
        <w:t xml:space="preserve"> pollution, cities, increase, population; EU scope visible. This is a provisional connection, not an outcome finding.</w:t>
      </w:r>
    </w:p>
    <w:p>
      <w:pPr>
        <w:pStyle w:val="SourceNote"/>
      </w:pPr>
      <w:r>
        <w:rPr>
          <w:b/>
        </w:rPr>
        <w:t>Available abstract (not full text):</w:t>
      </w:r>
      <w:r>
        <w:t xml:space="preserve"> Low emission zones (LEZs) have emerged as a primary policy instrument to combat urban air pollution in Europe, yet rigorous evidence on their effectiveness and spatial spillovers remains limited. Using a high-resolution geospatial panel dataset covering 1km grid cells across 33 European countries from 2007 to 2022, we estimate that LEZ adoption reduces PM2.5 exposure by approximately 4% within designated zones. We find robust evidence of positive spillovers: pollution also declines in areas adjacent to LEZ boundaries. These average effects mask substantial heterogeneity: reductions are concentrated in larger, denser cities and in cities with medium-sized zones relative to total urban area, while the smallest cities and zones show no detectable effect. These findings suggest LEZs generate city-wide environmental benefits extending beyond formal boundaries, consistent with network effects and technology spillovers dominating displacement mechanisms. To contextualize these results, we estimate the pollution-density elasticity for European cities using instrumental variables based on historical settlement patterns, finding that a 1% increase in population density raises PM2.5 exposure by 6% (approximately half the magnitude documented for US cities). We interpret our findings through a spatial equilibrium model that formalizes how LEZs alter the pollution production function in mon</w:t>
      </w:r>
    </w:p>
    <w:p>
      <w:pPr/>
      <w:r>
        <w:rPr>
          <w:b/>
        </w:rPr>
        <w:t>POSSIBLE 2026:</w:t>
      </w:r>
      <w:r>
        <w:t xml:space="preserve"> Impact of Electric Public Transportation on Environmental Pollution in Urban Cities — https://doi.org/10.54536/ajupsc.v2i2.8171</w:t>
      </w:r>
    </w:p>
    <w:p>
      <w:pPr/>
      <w:r>
        <w:rPr>
          <w:b/>
        </w:rPr>
        <w:t>Shared claim-specific concepts:</w:t>
      </w:r>
      <w:r>
        <w:t xml:space="preserve"> pollution, cities, size; EU scope not established. This is a provisional connection, not an outcome finding.</w:t>
      </w:r>
    </w:p>
    <w:p>
      <w:pPr>
        <w:pStyle w:val="SourceNote"/>
      </w:pPr>
      <w:r>
        <w:rPr>
          <w:b/>
        </w:rPr>
        <w:t>Available abstract (not full text):</w:t>
      </w:r>
      <w:r>
        <w:t xml:space="preserve"> Urbanization and increasing reliance on fossil fueled public transportation has been one of the most significant causes of environmental pollution in the urban cities of Bangladesh, there is an urgent need to seek sustainable alternatives. This study aimed to study the influence of electric public transportation on environmental pollution by analyzing the effect of e-public transport service quality, adoption of electric public transport system, and government-support and traffic management efficacy on reduction in environmental pollution and sustainable urban mobility in city urban-related information in Bangladesh. This study used a quantitative cross-sectional research design and primary data were collected from 410 respondents through structured questionnaire as a five-point Likert scale. The sample size was calculated based on Cochran’s formula, and data were analyzed using the Statistical Package for the Social Sciences (SPSS) version 26. The implications of the results were that users tended to perceive electric public transportation quality, adoption level, government support and traffic management efficiency at high levels whereas environmental pollution reduction and sustainable urban mobility were perceived at very high levels. The results also indicated that better electric public mobility quality, increasing the development of public acceptance and more facilitativ</w:t>
      </w:r>
    </w:p>
    <w:p>
      <w:pPr/>
      <w:r>
        <w:rPr>
          <w:b/>
        </w:rPr>
        <w:t>POSSIBLE 2026:</w:t>
      </w:r>
      <w:r>
        <w:t xml:space="preserve"> Environmental Assessment of the Impact of Urban Transport on Air Pollution in Baku City — https://doi.org/10.54414/byaj4664</w:t>
      </w:r>
    </w:p>
    <w:p>
      <w:pPr/>
      <w:r>
        <w:rPr>
          <w:b/>
        </w:rPr>
        <w:t>Shared claim-specific concepts:</w:t>
      </w:r>
      <w:r>
        <w:t xml:space="preserve"> much, pollution, cities, increase, population; EU scope not established. This is a provisional connection, not an outcome finding.</w:t>
      </w:r>
    </w:p>
    <w:p>
      <w:pPr>
        <w:pStyle w:val="SourceNote"/>
      </w:pPr>
      <w:r>
        <w:rPr>
          <w:b/>
        </w:rPr>
        <w:t>Available abstract (not full text):</w:t>
      </w:r>
      <w:r>
        <w:t xml:space="preserve"> In modern times, the increase in population density in cities and the year-on-year rise in the number of cars are among the main factors negatively affecting air quality. In particular, the intensity of road traffic in Baku increases the volume of harmful substances released into the atmosphere, having a serious impact on the environmental situation and human health. This study analyses the emissions generated on the city's four main arterial roads with the highest traffic load, and their impacts on the environment and the socio-economic sphere are assessed based on international methodological approaches. The calculations applied the EMEP/EEA methodology, the World Health Organisation's 2021 air quality recommendations, and the principles for the valuation of external costs. Analyses show that most of the country's carbon monoxide emissions, approximately 71%, and 44% of its nitrogen oxides, originate from the transport sector. Much of that pollution is concentrated in Baku and has a particularly significant impact on the environment in the capital. The average annual concentration of PM₂.₅ particles is estimated to range from 19 to 45 μg/m³, which is several times higher than accepted international health standards. This leads to an increased risk of heart and lung diseases in people breathing in polluted air for long periods. An economic assessment found that transport-relat</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pollution, energy, consumption, population;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Air pollution inequalities in Europe: A deeper understating of challenges in Eastern Europe and pathways forward towards closing the gap between East and West — https://doi.org/10.1097/ee9.0000000000000383</w:t>
      </w:r>
    </w:p>
    <w:p>
      <w:pPr/>
      <w:r>
        <w:rPr>
          <w:b/>
        </w:rPr>
        <w:t>Shared claim-specific concepts:</w:t>
      </w:r>
      <w:r>
        <w:t xml:space="preserve"> much, pollution, energy, attributed, cities, population; EU scope visible. This is a provisional connection, not an outcome finding.</w:t>
      </w:r>
    </w:p>
    <w:p>
      <w:pPr>
        <w:pStyle w:val="SourceNote"/>
      </w:pPr>
      <w:r>
        <w:rPr>
          <w:b/>
        </w:rPr>
        <w:t>Available abstract (not full text):</w:t>
      </w:r>
      <w:r>
        <w:t xml:space="preserve"> What this study adds: In this commentary, we address the environmental inequalities in Europe, specifically related to air pollution exposure and related health burden disparities between Western and Eastern Europe. We first, provide a background for the causes of these inequalities and links with socioeconomic and demographic circumstances. We showcase, in more detail, air quality levels, monitoring, health research, and burden situation in four Eastern European countries (Serbia, Poland, Latvia, and Bulgaria), and briefly explain links with road traffic noise and climate change challenges in the region. At the end, we summarize several pathways and recommendations for going forward and overcoming air pollution exposure and the health burden gap in Europe.Background Air pollution is the biggest environmental stressor responsible for over 420,000 premature deaths in Europe in 2022,1 from cardiovascular diseases, chronic and infectious respiratory diseases, lung cancer, and type-2 diabetes.2 Air pollution levels in Europe have declined in the last decades, which has, at least in part, been attributed to successful European Union (EU) legislation. Ambient Air Quality Directive (AAQD)3 in 2008 set air quality standards (annual mean 25 µg/m3 for particulate matter with diameter &lt;2.5 µm [PM2.5] and 40 µg/m3 for nitrogen dioxide [NO2]). These declines are most prominent in Western an</w:t>
      </w:r>
    </w:p>
    <w:p>
      <w:pPr/>
      <w:r>
        <w:rPr>
          <w:b/>
        </w:rPr>
        <w:t>POSSIBLE 2025:</w:t>
      </w:r>
      <w:r>
        <w:t xml:space="preserve"> Effect of tree canopy cover on air pollution-related mortality in European cities: an integrated approach — https://doi.org/10.1016/s2542-5196(25)00112-3</w:t>
      </w:r>
    </w:p>
    <w:p>
      <w:pPr/>
      <w:r>
        <w:rPr>
          <w:b/>
        </w:rPr>
        <w:t>Shared claim-specific concepts:</w:t>
      </w:r>
      <w:r>
        <w:t xml:space="preserve"> pollution, cities, increase, population; EU scope visible. This is a provisional connection, not an outcome finding.</w:t>
      </w:r>
    </w:p>
    <w:p>
      <w:pPr>
        <w:pStyle w:val="SourceNote"/>
      </w:pPr>
      <w:r>
        <w:rPr>
          <w:b/>
        </w:rPr>
        <w:t>Available abstract (not full text):</w:t>
      </w:r>
      <w:r>
        <w:t xml:space="preserve"> Background In urban areas, fine particles (PM 2·5 ), nitrogen dioxide (NO 2 ), and tropospheric ozone (O 3 ) are the most harmful air pollutants for human health. Urban greening is seen as a strategy for co-benefitting air quality, climate, and citizens' wellbeing. We aimed to estimate the changes in tree cover, the mortality burden attributable to air pollution, and the mortality that could be potentially prevented by increasing tree coverage in European cities. Methods We did a quantitative health impact assessment to estimate the effect of mean tree cover on air pollutants levels and PM 2·5 -related, NO 2 -related, and O 3 -related mortality (all ages) in 744 European urban centres, with more than 50 000 inhabitants, across 36 countries. We did all analyses at the city-wide scale. Findings Between 2000 and 2019, the mean tree coverage increased by 0·76 percentage points, with 73·5% of the urban centres showing greener coverage, whereas mortality burdens declined by on average 3·39% (SD 0·28) in all urban centres. In 2019, about 25% of the total population lived in areas with a mean tree canopy coverage over 30%. Compared with the current tree cover, each five percentage point increase in tree canopy cover could facilitate an air quality improvement of 2·8% for annual PM 2·5 mean concentrations, 1·4% for annual NO 2 mean concentrations, and 1·2% for summertime mean of the dai</w:t>
      </w:r>
    </w:p>
    <w:p>
      <w:pPr/>
      <w:r>
        <w:rPr>
          <w:b/>
        </w:rPr>
        <w:t>POSSIBLE 2025:</w:t>
      </w:r>
      <w:r>
        <w:t xml:space="preserve"> Leveraging peri-urban forests to reduce temperature and air pollution-related urban mortality in European cities — https://doi.org/10.1038/s43247-025-03079-2</w:t>
      </w:r>
    </w:p>
    <w:p>
      <w:pPr/>
      <w:r>
        <w:rPr>
          <w:b/>
        </w:rPr>
        <w:t>Shared claim-specific concepts:</w:t>
      </w:r>
      <w:r>
        <w:t xml:space="preserve"> pollution, cities, population, different, strategies; EU scope visible. This is a provisional connection, not an outcome finding.</w:t>
      </w:r>
    </w:p>
    <w:p>
      <w:pPr>
        <w:pStyle w:val="SourceNote"/>
      </w:pPr>
      <w:r>
        <w:rPr>
          <w:b/>
        </w:rPr>
        <w:t>Available abstract (not full text):</w:t>
      </w:r>
      <w:r>
        <w:t xml:space="preserve"> Extreme temperatures and poor air quality contribute to premature mortality, increased hospital admissions and higher healthcare costs. As the majority of the world’s population lives in cities, understanding how urban vegetation mitigates temperature and pollution hazards is essential for designing strategies to enhance urban resilience and reduce mortality. However, estimating the health benefits of urban greening is challenging due to the non-linear physical, chemical, and biological processes involved. Here we use a coupled climate-chemistry model to assess the impact of different peri-urban tree planting scenarios on temperature- and pollution-related mortality and their associated costs over three Euro-Mediterranean cities. We find that peri-urban greening primarily allows to reduce mortality from non-optimal temperatures and, to a lesser extent, air pollution, with effectiveness depending on the selected trees species and local meteorological and chemical conditions. This study provides methodological insights to guide urban planners in leveraging nature-based solutions effectively while avoiding adverse health effects from poor tree selection. Across European cities, peri-urban green areas can reduce mortality from non-optimal temperatures and, to a lesser extent, air pollution, with effectiveness depending on tree species and meteorological conditions, according to a c</w:t>
      </w:r>
    </w:p>
    <w:p>
      <w:pPr/>
      <w:r>
        <w:rPr>
          <w:b/>
        </w:rPr>
        <w:t>POSSIBLE 2025:</w:t>
      </w:r>
      <w:r>
        <w:t xml:space="preserve"> High-resolution modelling of particulate matter chemical composition over Europe: brake wear pollution — https://doi.org/10.1016/j.envint.2025.109615</w:t>
      </w:r>
    </w:p>
    <w:p>
      <w:pPr/>
      <w:r>
        <w:rPr>
          <w:b/>
        </w:rPr>
        <w:t>Shared claim-specific concepts:</w:t>
      </w:r>
      <w:r>
        <w:t xml:space="preserve"> pollution, cities, increase, population, regulations; EU scope visible. This is a provisional connection, not an outcome finding.</w:t>
      </w:r>
    </w:p>
    <w:p>
      <w:pPr>
        <w:pStyle w:val="SourceNote"/>
      </w:pPr>
      <w:r>
        <w:rPr>
          <w:b/>
        </w:rPr>
        <w:t>Available abstract (not full text):</w:t>
      </w:r>
      <w:r>
        <w:t xml:space="preserve"> In today’s rapidly evolving society, the sources of atmospheric particulate matter (PM) emissions are shifting significantly. Stringent regulations on vehicle tailpipe emissions, in combination with a lack of control of non-exhaust vehicular emissions, have led to an increase in the relative contribution of non-exhaust PM in Europe. This study analyzes the spatial distribution, temporal trends, and impacts of brake wear PM pollution across Europe by modeling copper (Cu) concentrations at a high spatial resolution of ∼250 m which is a key tracer of brake-wear emissions. We integrated coarse-resolution brake-wear Cu from CAMx chemical transport model and high-resolution land use data into a random forest model to predict Cu concentrations at 250 m over whole of continental Europe. The random forest model was trained using an unprecedented dataset of over 50,000 daily Cu measurements from 152 sites. It corrected CAMx underestimation and downscaled Cu to a higher spatial resolution. In validation, the model showed robust spatial and temporal prediction with good Pearson’s correlation coefficients of 0.6 and 0.7, respectively. We generated 10 years (2010–2019) of daily Cu concentrations over Europe, revealing spatial patterns aligned with urbanization and road networks, with peaks in cities and lower values in rural areas. Temporal trends reveal that Cu concentrations generally peak</w:t>
      </w:r>
    </w:p>
    <w:p>
      <w:pPr>
        <w:pStyle w:val="Heading2"/>
      </w:pPr>
      <w:r>
        <w:t>555. The Boundaries of Scientific Innovation in the EU Green Deal Context</w:t>
      </w:r>
    </w:p>
    <w:p>
      <w:pPr>
        <w:pStyle w:val="SourceNote"/>
      </w:pPr>
      <w:r>
        <w:rPr>
          <w:b/>
        </w:rPr>
        <w:t>Original source (2022):</w:t>
      </w:r>
      <w:r>
        <w:t xml:space="preserve"> https://doi.org/10.2478/rtuect-2022-0010</w:t>
      </w:r>
    </w:p>
    <w:p>
      <w:pPr/>
      <w:r>
        <w:t>Original wording (abstract; indexed_source_text_not_full_document_verified): The European Union has frequently taken an active role in international climate policy by developing relevant strategies in as early as the nineties the last century, and today promoting an ambitious EU Green Deal to become climate neutral by 2050.</w:t>
      </w:r>
    </w:p>
    <w:p>
      <w:pPr/>
      <w:r>
        <w:rPr>
          <w:b/>
        </w:rPr>
        <w:t>POSSIBLE 2026:</w:t>
      </w:r>
      <w:r>
        <w:t xml:space="preserve"> The European Union — https://doi.org/10.60054/peu.2026.13.20-34</w:t>
      </w:r>
    </w:p>
    <w:p>
      <w:pPr/>
      <w:r>
        <w:rPr>
          <w:b/>
        </w:rPr>
        <w:t>Shared claim-specific concepts:</w:t>
      </w:r>
      <w:r>
        <w:t xml:space="preserve"> union, role, ambitious; EU scope visible. This is a provisional connection, not an outcome finding.</w:t>
      </w:r>
    </w:p>
    <w:p>
      <w:pPr>
        <w:pStyle w:val="SourceNote"/>
      </w:pPr>
      <w:r>
        <w:rPr>
          <w:b/>
        </w:rPr>
        <w:t>Available abstract (not full text):</w:t>
      </w:r>
      <w:r>
        <w:t xml:space="preserve"> Over the past decade, the European Union has faced a series of overlapping crises - from the sovereign debt crisis and Brexit to the COVID-19 pandemic and geopolitical challenges. This article proposes that these recurrent shocks can be understood not only as policy challenges but as a process of collective institutional grief, reflecting the gradual changes of the EU’s integration model. Using the Kübler-Ross model of grief as a heuristic framework, the study examines how denial, anger, bargaining, depression, and acceptance manifest in EU institutions, political discourse, and policy responses. The analysis highlights that while the EU often oscillates between incremental solutions and ambitious rhetoric, acceptance, understood as a conscious political choice rather than resignation, is crucial for enabling strategic renewal, and strengthening the Union’s social and global role. By applying the Kübler-Ross model lens, this article offers a diagnostic perspective on the EU’s present and pathways for its future political development.</w:t>
      </w:r>
    </w:p>
    <w:p>
      <w:pPr/>
      <w:r>
        <w:rPr>
          <w:b/>
        </w:rPr>
        <w:t>POSSIBLE 2026:</w:t>
      </w:r>
      <w:r>
        <w:t xml:space="preserve"> The New Role of the European Union and Its Global Projects — https://doi.org/10.46340/eppd.2026.13.3.2</w:t>
      </w:r>
    </w:p>
    <w:p>
      <w:pPr/>
      <w:r>
        <w:rPr>
          <w:b/>
        </w:rPr>
        <w:t>Shared claim-specific concepts:</w:t>
      </w:r>
      <w:r>
        <w:t xml:space="preserve"> union, frequently, taken, role, international, relevant; EU scope visible. This is a provisional connection, not an outcome finding.</w:t>
      </w:r>
    </w:p>
    <w:p>
      <w:pPr>
        <w:pStyle w:val="SourceNote"/>
      </w:pPr>
      <w:r>
        <w:rPr>
          <w:b/>
        </w:rPr>
        <w:t>Available abstract (not full text):</w:t>
      </w:r>
      <w:r>
        <w:t xml:space="preserve"> The transformation of the international system from a bipolar Cold War structure to a fluid and dynamic multipolar world has significantly altered the roles and responsibilities of major global actors.Under these new geopolitics, the European Union (EU) has shifted towards recalibrating its role on the global stage.No longer constrained by the limits of economic integration and regional peacebuilding, the EU has increasingly taken on a more expansive and ambitious role in international affairs.This reflects internal dynamics within the Union and pressures from the outside due to globalization, the rise of powers, and a waning liberal international order.Historically conceived as a project for economic cooperation and conflict prevention among European nations, the EU has grown into a unique supranational entity with expansive influence in trade, environmental policy, digital governance, and normative diplomacy.As a regulatory superpower, the EU's requirements frequently require worldwide guidelines, especially in data protection, the reasonable opposition rule, and natural lifestyle sustainability.This "Brussels effect" enables the Union to extend power without conventional weapons use but instead on the strength of its internal market and governance model.In an increasingly competitive and interlinked world, the EU aims to be relevant and a key stakeholder in defining the new </w:t>
      </w:r>
    </w:p>
    <w:p>
      <w:pPr/>
      <w:r>
        <w:rPr>
          <w:b/>
        </w:rPr>
        <w:t>POSSIBLE 2026:</w:t>
      </w:r>
      <w:r>
        <w:t xml:space="preserve"> THE ROLE OF GERMAN ECONOMY IN EUROPEAN UNION INTEGRATION — https://openalex.org/W7215644634</w:t>
      </w:r>
    </w:p>
    <w:p>
      <w:pPr/>
      <w:r>
        <w:rPr>
          <w:b/>
        </w:rPr>
        <w:t>Shared claim-specific concepts:</w:t>
      </w:r>
      <w:r>
        <w:t xml:space="preserve"> union, role, green; EU scope visible. This is a provisional connection, not an outcome finding.</w:t>
      </w:r>
    </w:p>
    <w:p>
      <w:pPr>
        <w:pStyle w:val="SourceNote"/>
      </w:pPr>
      <w:r>
        <w:rPr>
          <w:b/>
        </w:rPr>
        <w:t>Available abstract (not full text):</w:t>
      </w:r>
      <w:r>
        <w:t xml:space="preserve"> This article analyzes the role of the German economy in the process of European Union integration, focusing on its influence on trade, economic governance, industrial development, and regional stability. As the largest economy in the EU, Germany plays a central role in shaping intra-European trade flows and strengthening economic interdependence among member states. The study highlights Germany’s contribution to policy coordination within the Economic and Monetary Union, particularly through its emphasis on fiscal discipline and price stability. It also examines Germany’s role during major economic crises, where it acted as both a stabilizing force and a key decision-maker in collective responses. Furthermore, the paper discusses Germany’s impact on technological innovation, global value chains, and the green transition within the EU. The findings suggest that while Germany significantly supports deeper integration, its dominant position also creates structural asymmetries and policy tensions that must be carefully managed to ensure balanced and sustainable development across the Union.</w:t>
      </w:r>
    </w:p>
    <w:p>
      <w:pPr/>
      <w:r>
        <w:rPr>
          <w:b/>
        </w:rPr>
        <w:t>POSSIBLE 2026:</w:t>
      </w:r>
      <w:r>
        <w:t xml:space="preserve"> The Role of the European Parliament in Strengthening Democratic Representation in the European Union — https://doi.org/10.70670/sra.v4i1.2448</w:t>
      </w:r>
    </w:p>
    <w:p>
      <w:pPr/>
      <w:r>
        <w:rPr>
          <w:b/>
        </w:rPr>
        <w:t>Shared claim-specific concepts:</w:t>
      </w:r>
      <w:r>
        <w:t xml:space="preserve"> union, role, climate; EU scope visible. This is a provisional connection, not an outcome finding.</w:t>
      </w:r>
    </w:p>
    <w:p>
      <w:pPr>
        <w:pStyle w:val="SourceNote"/>
      </w:pPr>
      <w:r>
        <w:rPr>
          <w:b/>
        </w:rPr>
        <w:t>Available abstract (not full text):</w:t>
      </w:r>
      <w:r>
        <w:t xml:space="preserve"> The European Parliament (EP) has evolved from a consultative assembly of national delegates in the 1950s to a directly elected co-legislator with significant powers in the ordinary legislative procedure (OLP), budgetary authority, and executive oversight, positioning it as the primary institutional vehicle for addressing the EU’s democratic deficit. Through successive treaties from the Single European Act to the Treaty of Lisbon the EP has gained co-decision rights across most policy areas, final say on the annual budget and Multiannual Financial Framework (MFF), discharge authority over Commission spending, and influence via the Spitzenkandidaten process for Commission President selection. Its role in protecting the rule of law through budgetary conditionality (Regulation 2020/2092) and scrutiny mechanisms further strengthens democratic accountability. However, persistent challenges include the “second-order” character of EP elections (lower turnout, national focus), the absence of a genuine European public sphere, fragmented transnational political groups, and tensions with intergovernmental bodies like the European Council. The 2024 elections highlighted increasing polarization and a rightward shift, complicating traditional grand coalitions while amplifying debates on climate, migration, and rule-of-law issues. Proposed reforms full legislative initiative for the EP, transn</w:t>
      </w:r>
    </w:p>
    <w:p>
      <w:pPr/>
      <w:r>
        <w:rPr>
          <w:b/>
        </w:rPr>
        <w:t>POSSIBLE 2026:</w:t>
      </w:r>
      <w:r>
        <w:t xml:space="preserve"> The implications of unification for Germany's role in the European Union. — https://doi.org/10.82444/warw.33741772</w:t>
      </w:r>
    </w:p>
    <w:p>
      <w:pPr/>
      <w:r>
        <w:rPr>
          <w:b/>
        </w:rPr>
        <w:t>Shared claim-specific concepts:</w:t>
      </w:r>
      <w:r>
        <w:t xml:space="preserve"> union, role; EU scope visible. This is a provisional connection, not an outcome finding.</w:t>
      </w:r>
    </w:p>
    <w:p>
      <w:pPr>
        <w:pStyle w:val="SourceNote"/>
      </w:pPr>
      <w:r>
        <w:rPr>
          <w:b/>
        </w:rPr>
        <w:t>Available abstract (not full text):</w:t>
      </w:r>
      <w:r>
        <w:t xml:space="preserve"> This study analyses the nature of Germany's role in the EU after unification. The thesis posits a two tier approach, first examining Germany's relationship in the EU at a 'high' politics, and then utilising a sectoral approach to Germany's role in the EU, focusing on two key policy areas: migration and agriculture. The thesis reviews theories of European integration assessing their applicability to Germany's specific case. It is argued that it is an oversimplification to characterise Germany as either an 'assertive' or 'compliant' actor. In the broader context, the thesis notes a continuity in Germany's pro-European position after unification. However, the thesis also concludes that Germany has acquired a stronger role. Unification has presented Germany with a number of challenges in the domestic arena. Borrowing from the ideas of Lowi, the thesis argues that Germany's role in the EU is policy specific and differs in contrasting policy sectors. The thesis also specifies the characteristics within the policy sector that shape Germany's actions in the EU. Furthermore, it is argued that the EU serves as an important arena for solving important domestic concerns. The thesis attempts to develop a taxonomic model comprising three characteristics: dynamics of the policy sector, policy circumstance and policy-making structures to test these hypotheses. The two policy sectors analysed i</w:t>
      </w:r>
    </w:p>
    <w:p>
      <w:pPr/>
      <w:r>
        <w:rPr>
          <w:b/>
        </w:rPr>
        <w:t>POSSIBLE 2026:</w:t>
      </w:r>
      <w:r>
        <w:t xml:space="preserve"> The European Union as a Political Hybrid — https://doi.org/10.1017/9781009682633.004</w:t>
      </w:r>
    </w:p>
    <w:p>
      <w:pPr/>
      <w:r>
        <w:rPr>
          <w:b/>
        </w:rPr>
        <w:t>Shared claim-specific concepts:</w:t>
      </w:r>
      <w:r>
        <w:t xml:space="preserve"> union, role, international; EU scope visible. This is a provisional connection, not an outcome finding.</w:t>
      </w:r>
    </w:p>
    <w:p>
      <w:pPr>
        <w:pStyle w:val="SourceNote"/>
      </w:pPr>
      <w:r>
        <w:rPr>
          <w:b/>
        </w:rPr>
        <w:t>Available abstract (not full text):</w:t>
      </w:r>
      <w:r>
        <w:t xml:space="preserve"> The EU is more than a traditional international organisation such as the UN, because it has its own budget, currency, and directly applicable law. Yet it is not a state, for it lacks a police force, army, and criminal justice system. Its member states conserve a right of veto for all major decisions. It is therefore illuminating to explore the EU’s unique political and institutional features in order to understand how it has played such a large role in organising European capitalism, and to determine its compatibility with the three forms of capitalist governance (liberty, solidarity and community). The European Union’s dominant role in regulating capitalism emerged quite late, after the failure of numerous alternatives in both European and international organisations. As Brexit has shown, it is perfectly possible for the Union to shrivel, potentially due to nationalistic pressures. The European institutional system, while being easier to combine with the liberty aspect of capitalism, is also conducive to solidarity and community. The role of European institutions was to facilitate the combination of various national forms of solidarity and community capitalism in Europe.</w:t>
      </w:r>
    </w:p>
    <w:p>
      <w:pPr/>
      <w:r>
        <w:rPr>
          <w:b/>
        </w:rPr>
        <w:t>POSSIBLE 2026:</w:t>
      </w:r>
      <w:r>
        <w:t xml:space="preserve"> The role of the European Union equivalence regime in global capital markets — https://doi.org/10.5525/gla.thesis.85977</w:t>
      </w:r>
    </w:p>
    <w:p>
      <w:pPr/>
      <w:r>
        <w:rPr>
          <w:b/>
        </w:rPr>
        <w:t>Shared claim-specific concepts:</w:t>
      </w:r>
      <w:r>
        <w:t xml:space="preserve"> union, role, international, promoting; EU scope visible. This is a provisional connection, not an outcome finding.</w:t>
      </w:r>
    </w:p>
    <w:p>
      <w:pPr>
        <w:pStyle w:val="SourceNote"/>
      </w:pPr>
      <w:r>
        <w:rPr>
          <w:b/>
        </w:rPr>
        <w:t>Available abstract (not full text):</w:t>
      </w:r>
      <w:r>
        <w:t xml:space="preserve"> This thesis examines the European Union equivalence regime as a legal instrument and governance technique within the wider transformation of post-crisis international financial regulation. It argues that equivalence is not merely a technical market access mechanism, but a structured form of conditional reliance through which the European Union seeks to reconcile openness to cross-border finance with prudential control and regulatory projection. The thesis argues that equivalence remains embedded in international technocratic governance, since its practical operation depends on shared standards, regulatory comparability, and repeated interaction within transnational networks. Within the EU legal order, the thesis demonstrates that equivalence is shaped by financial stability and by the logic of regulatory centralisation. Its design and operation vary across sectors according to differing assessments of risk, dependence, and prudential sensitivity,and equivalence contributes to the centralisation of supervisory authority at EU level, particularly through European Securities and Markets Authority. Externally, it argues that the Union's practice is shaped by financial stability and regulatory power projection, whose varying combinations generate integrationist, defensive, and negotiationist models. The China and Hong Kong case study further shows that equivalence may also operate t</w:t>
      </w:r>
    </w:p>
    <w:p>
      <w:pPr/>
      <w:r>
        <w:rPr>
          <w:b/>
        </w:rPr>
        <w:t>POSSIBLE 2026:</w:t>
      </w:r>
      <w:r>
        <w:t xml:space="preserve"> The Role of the Czech Republic in Redefining Central European Identity within the European Union — https://doi.org/10.36690/2674-5216-2026-1-54-66</w:t>
      </w:r>
    </w:p>
    <w:p>
      <w:pPr/>
      <w:r>
        <w:rPr>
          <w:b/>
        </w:rPr>
        <w:t>Shared claim-specific concepts:</w:t>
      </w:r>
      <w:r>
        <w:t xml:space="preserve"> union, taken, role, promoting; EU scope visible. This is a provisional connection, not an outcome finding.</w:t>
      </w:r>
    </w:p>
    <w:p>
      <w:pPr>
        <w:pStyle w:val="SourceNote"/>
      </w:pPr>
      <w:r>
        <w:rPr>
          <w:b/>
        </w:rPr>
        <w:t>Available abstract (not full text):</w:t>
      </w:r>
      <w:r>
        <w:t xml:space="preserve"> The post-Cold War transformation of Europe reactivated debates on the identity, political position, and historical belonging of Central European states within the broader European project. In this context, the Czech Republic emerged as an important actor in the reinterpretation of Central Europe, challenging its reduction to the category of Eastern Europe and promoting a more differentiated understanding of regional belonging within the European Union. The purpose of the study is to analyze how the Czech Republic has contributed to redefining Central European identity within the European Union and to determine the political, institutional, and discursive mechanisms through which this process has taken place. The study is based on a qualitative research design grounded in constructivist theory. The methodological approach combines documentary analysis and qualitative discourse analysis. The empirical basis includes official European Union documents, Czech foreign policy texts, strategic statements, and speeches by political elites. Analytical attention is focused on discursive identity construction, regional cooperation practices, the role of historical memory, and the interaction between national sovereignty and European integration. The findings demonstrate that the Czech Republic has played a multidimensional role in redefining Central European identity. First, Czech politica</w:t>
      </w:r>
    </w:p>
    <w:p>
      <w:pPr/>
      <w:r>
        <w:rPr>
          <w:b/>
        </w:rPr>
        <w:t>POSSIBLE 2025:</w:t>
      </w:r>
      <w:r>
        <w:t xml:space="preserve"> LOBBYING IN THE EUROPEAN UNION — https://doi.org/10.25234/eclic/38141</w:t>
      </w:r>
    </w:p>
    <w:p>
      <w:pPr/>
      <w:r>
        <w:rPr>
          <w:b/>
        </w:rPr>
        <w:t>Shared claim-specific concepts:</w:t>
      </w:r>
      <w:r>
        <w:t xml:space="preserve"> union, role, international, strategies, become; EU scope visible. This is a provisional connection, not an outcome finding.</w:t>
      </w:r>
    </w:p>
    <w:p>
      <w:pPr>
        <w:pStyle w:val="SourceNote"/>
      </w:pPr>
      <w:r>
        <w:rPr>
          <w:b/>
        </w:rPr>
        <w:t>Available abstract (not full text):</w:t>
      </w:r>
      <w:r>
        <w:t xml:space="preserve"> The legislation procedure within the European Union (EU) legal system is determined by the sources of EU law. Therefore, the legal acts adopted by the EU institutions are the instruments by which the application of its public policies is regulated. The process of adopting legal regulations is provided for by the creation of the public policies of the EU, which are at the same time influenced by the number of actors involved. Various political groups and the public administration of the EU play a significant role in creating the EU’s public policies. However, informal actors such as interest groups and lobbies play an increasingly important role in this process. Due to the participation of interest groups and lobbyists in the process of creating the EU’s public policies, and consequently their implementation, their influence on the EU policies has been transformed and increased in comparison with previous decades. Thus, interest groups and lobbies have become leading actors on the European scene, influencing the law and the economy of the EU through legitimate means, which has consequently also affected its member states and international relations. This paper aims to show how the interest groups and lobbies legally operate within the European legal system, illustrating at the same time the EU mechanisms of lobbying regulation, as well as showing the consequences of the EU’s ins</w:t>
      </w:r>
    </w:p>
    <w:p>
      <w:pPr/>
      <w:r>
        <w:rPr>
          <w:b/>
        </w:rPr>
        <w:t>POSSIBLE 2025:</w:t>
      </w:r>
      <w:r>
        <w:t xml:space="preserve"> Non-formal education in the European Union countries — https://doi.org/10.33272/2522-9729-2025-3(222)-48-51</w:t>
      </w:r>
    </w:p>
    <w:p>
      <w:pPr/>
      <w:r>
        <w:rPr>
          <w:b/>
        </w:rPr>
        <w:t>Shared claim-specific concepts:</w:t>
      </w:r>
      <w:r>
        <w:t xml:space="preserve"> union, frequently, role, international, today; EU scope visible. This is a provisional connection, not an outcome finding.</w:t>
      </w:r>
    </w:p>
    <w:p>
      <w:pPr>
        <w:pStyle w:val="SourceNote"/>
      </w:pPr>
      <w:r>
        <w:rPr>
          <w:b/>
        </w:rPr>
        <w:t>Available abstract (not full text):</w:t>
      </w:r>
      <w:r>
        <w:t xml:space="preserve"> This study covers non-formal learning in higher education institutions by examining online platforms of non-formal education in the European Union (EU). Non-formal education in EU countries plays an important role in the development of personality, professional skills and social integration. It is a key element of the lifelong learning concept, which is actively supported by the EU. Ukrainian online platforms of non-formal education are more frequently used by students in Ukrainian higher education institutions. The survey analysis has shown a high rate of interest among students in getting acquainted with online platforms of non-formal education used in the EU. Examples of modern online platforms in EU countries are Codecademy, Coursera, Udacity, Udemy, OpenupEd. Platforms in EU countries offer courses from leading universities and teachers, providing students with the opportunity to gain knowledge at a high level. A principal role of non-formal education in professional training has been recognized in EU countries. Online courses through platforms are often focused on practical skills that are highly valued by employers. The platforms include courses related to the specifics of work and study in the EU, which helps students understand the requirements of employers and prepare for employment. Online platforms foster a culture of continuous learning, which is crucial for adapti</w:t>
      </w:r>
    </w:p>
    <w:p>
      <w:pPr/>
      <w:r>
        <w:rPr>
          <w:b/>
        </w:rPr>
        <w:t>POSSIBLE 2025:</w:t>
      </w:r>
      <w:r>
        <w:t xml:space="preserve"> Efficiency and Failure in the European Union — https://doi.org/10.1017/9781009646659.012</w:t>
      </w:r>
    </w:p>
    <w:p>
      <w:pPr/>
      <w:r>
        <w:rPr>
          <w:b/>
        </w:rPr>
        <w:t>Shared claim-specific concepts:</w:t>
      </w:r>
      <w:r>
        <w:t xml:space="preserve"> union, role, early, promoting; EU scope visible. This is a provisional connection, not an outcome finding.</w:t>
      </w:r>
    </w:p>
    <w:p>
      <w:pPr>
        <w:pStyle w:val="SourceNote"/>
      </w:pPr>
      <w:r>
        <w:rPr>
          <w:b/>
        </w:rPr>
        <w:t>Available abstract (not full text):</w:t>
      </w:r>
      <w:r>
        <w:t xml:space="preserve"> This chapter shifts the focus to the European Union, where effectiveness-driven arguments, including some based on failure, have been pivotal in promoting regional integration. The chapter discusses both early landmark decisions of the European Court of Justice and the role of political failure arguments in driving the Court’s expansive approach and the concept of systemic deficits in European Union law, as well as the Solange jurisprudence of the German Constitutional Court. It positions these doctrines within the functionalist interpretive framework of European Union Law. While not all of these examples strictly involve failure-based reasoning, they illustrate both the opportunities and risks of the functionalist approach to legal interpretation long dominant in EU law.</w:t>
      </w:r>
    </w:p>
    <w:p>
      <w:pPr/>
      <w:r>
        <w:rPr>
          <w:b/>
        </w:rPr>
        <w:t>POSSIBLE 2025:</w:t>
      </w:r>
      <w:r>
        <w:t xml:space="preserve"> The European Union in an illiberal world — https://openalex.org/W7134097304</w:t>
      </w:r>
    </w:p>
    <w:p>
      <w:pPr/>
      <w:r>
        <w:rPr>
          <w:b/>
        </w:rPr>
        <w:t>Shared claim-specific concepts:</w:t>
      </w:r>
      <w:r>
        <w:t xml:space="preserve"> union, international, climate; EU scope visible. This is a provisional connection, not an outcome finding.</w:t>
      </w:r>
    </w:p>
    <w:p>
      <w:pPr>
        <w:pStyle w:val="SourceNote"/>
      </w:pPr>
      <w:r>
        <w:rPr>
          <w:b/>
        </w:rPr>
        <w:t>Available abstract (not full text):</w:t>
      </w:r>
      <w:r>
        <w:t xml:space="preserve"> The European Union (EU) has in many ways been the most thorough creation of the international liberal order, and its upending – especially by the EU's historical ally the US – poses a multi-dimensional challenge to the Union. The immediate security and trade threats are obvious enough. But more challenging still are the rise of nationalism and great power geopolitics, historical forces which the whole European project has been designed to overcome. Moreover, the rise of illiberalism across the globe also profoundly threatens international cooperation in absolutely vital areas like climate change and biodiversity, as well as more on prosaic issues like finance and artificial intelligence. This e-book is the follow-up publication to an online conference organised by the Global Governance Research Group of the UNA Europa university alliance, which took place in June 2025. It brings together a wide range of contributions which seek to address the complex internal and external challenges of illiberalism to the EU, along with the Union's capacities and failures in dealing with these.</w:t>
      </w:r>
    </w:p>
    <w:p>
      <w:pPr>
        <w:pStyle w:val="Heading2"/>
      </w:pPr>
      <w:r>
        <w:t>556. The Conference on the Future of Europe: possible scenarios of the forthcoming European Perestroika</w:t>
      </w:r>
    </w:p>
    <w:p>
      <w:pPr>
        <w:pStyle w:val="SourceNote"/>
      </w:pPr>
      <w:r>
        <w:rPr>
          <w:b/>
        </w:rPr>
        <w:t>Original source (2022):</w:t>
      </w:r>
      <w:r>
        <w:t xml:space="preserve"> https://doi.org/10.21128/1812-7126-2022-1-14-42</w:t>
      </w:r>
    </w:p>
    <w:p>
      <w:pPr/>
      <w:r>
        <w:t>Original wording (abstract; indexed_source_text_not_full_document_verified): These varying directions within the EU establishment demonstrated by this discussion create a pressing need to find some common, compromise solutions between European elites on such questions as the renovation of the European project, the scope of amendments to the foundational treaties, delineation of alternative strategies of reforms, and a choice between different future options and potential outcomes.</w:t>
      </w:r>
    </w:p>
    <w:p>
      <w:pPr/>
      <w:r>
        <w:rPr>
          <w:b/>
        </w:rPr>
        <w:t>POSSIBLE 2026:</w:t>
      </w:r>
      <w:r>
        <w:t xml:space="preserve"> Development policy directions on climate challenges in selected central and Eastern European countries — https://doi.org/10.29119/1641-3466.2026.247.26</w:t>
      </w:r>
    </w:p>
    <w:p>
      <w:pPr/>
      <w:r>
        <w:rPr>
          <w:b/>
        </w:rPr>
        <w:t>Shared claim-specific concepts:</w:t>
      </w:r>
      <w:r>
        <w:t xml:space="preserve"> directions, within, common; EU scope visible. This is a provisional connection, not an outcome finding.</w:t>
      </w:r>
    </w:p>
    <w:p>
      <w:pPr>
        <w:pStyle w:val="SourceNote"/>
      </w:pPr>
      <w:r>
        <w:rPr>
          <w:b/>
        </w:rPr>
        <w:t>Available abstract (not full text):</w:t>
      </w:r>
      <w:r>
        <w:t xml:space="preserve"> Purpose: The aim of this article is to identify and comparatively analyse the development policy directions of four Central and Eastern European countries -Poland, Latvia, Lithuania and Estonia -in the context of the climate requirements arising from the EU Fit for 55 package.Particular attention is paid to Poland, facing an unprecedented decarbonisation challenge in its coal-dependent energy sector, and to Latvia, which stands out as the regional leader in the energy transition owing to the dominance of renewables in its generation mix.Design/methodology/approach: The article is based on a review of national energy and climate plans (NECPs), reports of the International Energy Agency (IEA), documents and legislation of the European Commission and the European Parliament, and peer-reviewed academic literature published up to 2024.A comparative analysis approach and strategic document analysis were applied.Findings: The four countries studied, operating within the same EU legal framework, pursue their climate transitions along markedly different paths, reflecting their distinct structural starting points.Poland faces the most capital-intensive transformation; Latvia benefits from an established renewable base; the three Baltic states demonstrate high effectiveness of regional cooperation, confirmed by the synchronisation of their electricity grids with the Continental European N</w:t>
      </w:r>
    </w:p>
    <w:p>
      <w:pPr/>
      <w:r>
        <w:rPr>
          <w:b/>
        </w:rPr>
        <w:t>POSSIBLE 2026:</w:t>
      </w:r>
      <w:r>
        <w:t xml:space="preserve"> Preventing Child Sexual Abuse and Exploitation: Current Efforts and Future Directions in the European Union — https://doi.org/10.1080/15564886.2025.2603478</w:t>
      </w:r>
    </w:p>
    <w:p>
      <w:pPr/>
      <w:r>
        <w:rPr>
          <w:b/>
        </w:rPr>
        <w:t>Shared claim-specific concepts:</w:t>
      </w:r>
      <w:r>
        <w:t xml:space="preserve"> directions, establishment, create; EU scope visible. This is a provisional connection, not an outcome finding.</w:t>
      </w:r>
    </w:p>
    <w:p>
      <w:pPr>
        <w:pStyle w:val="SourceNote"/>
      </w:pPr>
      <w:r>
        <w:rPr>
          <w:b/>
        </w:rPr>
        <w:t>Available abstract (not full text):</w:t>
      </w:r>
      <w:r>
        <w:t xml:space="preserve"> The European Union (EU) has set out a series of initiatives to support EU Member States in implementing tested and effective prevention measures to decrease the prevalence of Child Sexual Abuse and Exploitation (CSAE). These efforts include the establishment of the EU Network of Experts for the Prevention of Child Sexual Abuse (CSA) and the development of the EU Knowledge Platform. Finally, there is ongoing work to create a European Center to prevent and combat CSA and put in place rigorous evaluation of prevention initiatives, including a Self-assessment Tool and External evaluation. This paper presents what has been achieved to date and plans going forward. All current efforts and future directions aim at developing a comprehensive response to prevent, reduce, and combat CSAE in the EU and globally.</w:t>
      </w:r>
    </w:p>
    <w:p>
      <w:pPr/>
      <w:r>
        <w:rPr>
          <w:b/>
        </w:rPr>
        <w:t>POSSIBLE 2026:</w:t>
      </w:r>
      <w:r>
        <w:t xml:space="preserve"> New Directions in Irrationality — https://doi.org/10.5281/zenodo.23468866</w:t>
      </w:r>
    </w:p>
    <w:p>
      <w:pPr/>
      <w:r>
        <w:rPr>
          <w:b/>
        </w:rPr>
        <w:t>Shared claim-specific concepts:</w:t>
      </w:r>
      <w:r>
        <w:t xml:space="preserve"> varying, directions, within, demonstrated, common; EU scope not established. This is a provisional connection, not an outcome finding.</w:t>
      </w:r>
    </w:p>
    <w:p>
      <w:pPr>
        <w:pStyle w:val="SourceNote"/>
      </w:pPr>
      <w:r>
        <w:rPr>
          <w:b/>
        </w:rPr>
        <w:t>Available abstract (not full text):</w:t>
      </w:r>
      <w:r>
        <w:t xml:space="preserve"> Since Apéry’s proof of the irrationality of ζ(3), decades of work have explored integrals, hypergeometric identities, and recurrences with exceptional arithmetic properties, to discover the strongest quantitative bounds on irrationality measures for zeta values and related constants. Yet, most findings have relied on specially tailored families of such constructions, making their systematic extension difficult. Here we show how these constructions can be connected and generalized into a common multidimensional structure based on conservative matrix fields (CMFs), enabling a systematic discovery of new irrationality proofs and quantitative bounds for irrationality exponents. CMFs are finite-dimensional cocycles of compatible rational matrix shifts, and are shown to capture all the classical constructions developed since Apéry as one-dimensional trajectories. The initial point encodes the mathematical constants; varying the trajectory within a suitable convergence region produces different approximation schemes for the same constants. We use this structure to improve the irrationality measures of famous constants, yielding for example μ(ζ(2)) &lt; 4.62675 and μ(ζ(3)) &lt; 5.4197, and proving that 1, ζ(3), ζ(4) are linearly independent over ℚ, yielding μ(Aζ(3) + Bζ(4)) &lt; 66.3 for every (A,B) ∈ ℚ² ∖ {(0,0)}. The same approach demonstrated over other CMFs provides irrationality proving tr</w:t>
      </w:r>
    </w:p>
    <w:p>
      <w:pPr/>
      <w:r>
        <w:rPr>
          <w:b/>
        </w:rPr>
        <w:t>POSSIBLE 2025:</w:t>
      </w:r>
      <w:r>
        <w:t xml:space="preserve"> PROBATION WORK DEVELOPMENT DIRECTIONS IN THE LIGHT OF THE EUROPEAN PROBATION RULES — https://doi.org/10.5604/01.3001.0055.0535</w:t>
      </w:r>
    </w:p>
    <w:p>
      <w:pPr/>
      <w:r>
        <w:rPr>
          <w:b/>
        </w:rPr>
        <w:t>Shared claim-specific concepts:</w:t>
      </w:r>
      <w:r>
        <w:t xml:space="preserve"> directions, within, scope; EU scope visible. This is a provisional connection, not an outcome finding.</w:t>
      </w:r>
    </w:p>
    <w:p>
      <w:pPr>
        <w:pStyle w:val="SourceNote"/>
      </w:pPr>
      <w:r>
        <w:rPr>
          <w:b/>
        </w:rPr>
        <w:t>Available abstract (not full text):</w:t>
      </w:r>
      <w:r>
        <w:t xml:space="preserve"> This article focuses on the European Probation Rules of 2010. It shows their genesis, the objectives taken into account in the course of work on them and the basic principles of probation activities formulated in them. Much attention was paid to terminological problems resulting from the diversity of agencies dealing with probation work in individual European countries. Probation work according to the European Probation Rules is essentially related to the implementation of community sanctions and measures imposed on adult suspects and convicted persons. The tasks of probation officers for family cases in Poland do not fall within the scope of probation activities understood in this way. The European Probation Rules cannot be ignored in works on the strategy for development of the probation service in Poland. However, the differences in the tasks and working methods of probation officers for adult offenders and for family cases should also be taken into account.</w:t>
      </w:r>
    </w:p>
    <w:p>
      <w:pPr/>
      <w:r>
        <w:rPr>
          <w:b/>
        </w:rPr>
        <w:t>POSSIBLE 2025:</w:t>
      </w:r>
      <w:r>
        <w:t xml:space="preserve"> LSP Teacher Training in Europe and the United States: Trends, Challenges, Solutions, and Future Directions — https://doi.org/10.4079/gbl.v25.5</w:t>
      </w:r>
    </w:p>
    <w:p>
      <w:pPr/>
      <w:r>
        <w:rPr>
          <w:b/>
        </w:rPr>
        <w:t>Shared claim-specific concepts:</w:t>
      </w:r>
      <w:r>
        <w:t xml:space="preserve"> directions, need, solutions, between; EU scope visible. This is a provisional connection, not an outcome finding.</w:t>
      </w:r>
    </w:p>
    <w:p>
      <w:pPr>
        <w:pStyle w:val="SourceNote"/>
      </w:pPr>
      <w:r>
        <w:rPr>
          <w:b/>
        </w:rPr>
        <w:t>Available abstract (not full text):</w:t>
      </w:r>
      <w:r>
        <w:t xml:space="preserve"> Current research in the domain of languages for specific purposes (LSP) reveals an increasing need for enhanced collaboration and knowledge sharing among LSP scholars and practitioners across diverse geographic areas. This article addresses this need in the context of LSP teacher education training by examining the similarities and differences between LSP teacher training in Europe and the United States, and by suggesting training practices that can be adapted to diverse educational and cultural contexts. Throughout the article, the authors explore specific trends, challenges, and solutions for LSP teacher training from both European and US perspectives. The conclusion identifies future research directions to ensure that LSP teachers are better equipped to meet diverse, evolving linguistic professional needs in specific contexts.</w:t>
      </w:r>
    </w:p>
    <w:p>
      <w:pPr/>
      <w:r>
        <w:rPr>
          <w:b/>
        </w:rPr>
        <w:t>POSSIBLE 2025:</w:t>
      </w:r>
      <w:r>
        <w:t xml:space="preserve"> Gaps in Affordable Housing Discussions: Future Research Directions for Sustainable Development Goal 11 — https://doi.org/10.11648/j.urp.20251002.12</w:t>
      </w:r>
    </w:p>
    <w:p>
      <w:pPr/>
      <w:r>
        <w:rPr>
          <w:b/>
        </w:rPr>
        <w:t>Shared claim-specific concepts:</w:t>
      </w:r>
      <w:r>
        <w:t xml:space="preserve"> directions, within, discussion, scope; EU scope not established. This is a provisional connection, not an outcome finding.</w:t>
      </w:r>
    </w:p>
    <w:p>
      <w:pPr>
        <w:pStyle w:val="SourceNote"/>
      </w:pPr>
      <w:r>
        <w:rPr>
          <w:b/>
        </w:rPr>
        <w:t>Available abstract (not full text):</w:t>
      </w:r>
      <w:r>
        <w:t xml:space="preserve"> Affordable housing (AH) for the urban poor has continued as a prevalent challenge across most countries of the world in the face of continuous urbanization, regardless of the popularity of AH in scholarly discussions. To provide an overview of this research area in recent times, a scoping review has been conducted in this study. The study employed a systematic search across two of the most reliable databases in this field (Scopus and Web of Science) and identified 52 studies considered relevant. Standard guidelines for scoping review were followed in this study for reliability. This review mapped the general and methodological characteristics of AH studies. Findings are that AH is indeed a well-researched study, however, studies are currently skewed towards supply-oriented challenges and remedies, to the neglect of demand-oriented issues. Most studies are limited in scope which in turn limits the methodologies in AH research. Asia continent has contributed most to the AH discussion and within Asia, India has made the most contributions. Recommendations are that future studies should capture and proactively address demand-side challenges for balance, investigate wider scopes for generalizability of findings, employ more reliable methodologies and that AH investigations should follow pragmatic approaches to achieve sustainable affordable housing.</w:t>
      </w:r>
    </w:p>
    <w:p>
      <w:pPr/>
      <w:r>
        <w:rPr>
          <w:b/>
        </w:rPr>
        <w:t>POSSIBLE 2025:</w:t>
      </w:r>
      <w:r>
        <w:t xml:space="preserve"> Cancer burden in Europe: a systematic analysis of the GLOBOCAN database (2022) — https://doi.org/10.1186/s12885-025-13862-1</w:t>
      </w:r>
    </w:p>
    <w:p>
      <w:pPr/>
      <w:r>
        <w:rPr>
          <w:b/>
        </w:rPr>
        <w:t>Shared claim-specific concepts:</w:t>
      </w:r>
      <w:r>
        <w:t xml:space="preserve"> need, common, strategies; EU scope visible. This is a provisional connection, not an outcome finding.</w:t>
      </w:r>
    </w:p>
    <w:p>
      <w:pPr>
        <w:pStyle w:val="SourceNote"/>
      </w:pPr>
      <w:r>
        <w:rPr>
          <w:b/>
        </w:rPr>
        <w:t>Available abstract (not full text):</w:t>
      </w:r>
      <w:r>
        <w:t xml:space="preserve"> BACKGROUND: Cancer remains a significant public health challenge in Europe, with substantial regional disparities in incidence, mortality, and access to healthcare. This study analyses cancer patterns across Eastern, Northern, Southern, and Western Europe in 2022, highlighting key public health implications and gaps in prevention and treatment. METHODS: Using data from GLOBOCAN 2022, this study assessed total new cancer cases, age-standardized incidence and mortality rates (ASRs) per 100,000, and cumulative cancer risk at age 75. The top three cancers by sex and region were also analysed to identify trends and disparities. RESULTS: In 2022, Europe recorded 4,471,422 new cancer cases (ASR 280 per 100,000), with a cumulative risk of 27.9% by age 75. Males accounted for 2,359,303 cases (ASR 319.6, cumulative risk 31.9%), while females had 2,112,119 cases (ASR 253.4, cumulative risk 24.7%). Northern and Western Europe had the highest incidence rates, with Denmark leading at 374.7 per 100,000 (cumulative risk 34.9%), likely due to advanced screening and healthcare. Conversely, Eastern Europe had the highest mortality, with 1,091,871 deaths (ASR 135.3), reflecting late diagnoses and limited access of treatment. Hungary exhibited the highest mortality rate (ASR 143.7, cumulative risk 15.8%), followed by Poland (ASR 133.1). Prostate and breast cancers were the most common in males and </w:t>
      </w:r>
    </w:p>
    <w:p>
      <w:pPr/>
      <w:r>
        <w:rPr>
          <w:b/>
        </w:rPr>
        <w:t>POSSIBLE 2024:</w:t>
      </w:r>
      <w:r>
        <w:t xml:space="preserve"> Investigating the heterogeneity within Wild bird indices in Europe — https://doi.org/10.1016/j.biocon.2024.110452</w:t>
      </w:r>
    </w:p>
    <w:p>
      <w:pPr/>
      <w:r>
        <w:rPr>
          <w:b/>
        </w:rPr>
        <w:t>Shared claim-specific concepts:</w:t>
      </w:r>
      <w:r>
        <w:t xml:space="preserve"> within, common, between; EU scope visible. This is a provisional connection, not an outcome finding.</w:t>
      </w:r>
    </w:p>
    <w:p>
      <w:pPr>
        <w:pStyle w:val="SourceNote"/>
      </w:pPr>
      <w:r>
        <w:rPr>
          <w:b/>
        </w:rPr>
        <w:t>Available abstract (not full text):</w:t>
      </w:r>
      <w:r>
        <w:t xml:space="preserve"> Biodiversity decline is monitored through a multitude of proxies. One of the most common proxies are aggregate indices constructed from time-series of species. Because of their standardised construction and simplicity of interpretation, these indices are often used as official indicators for biodiversity monitoring. However, aggregate indices hide variability among species dynamics from which they are built. Understanding this diversity is essential to interpret indices and avoid missing particular subsets of species with strong dynamics or groups of species with opposing dynamics that may result in little change in the overall index. In this study, we analyse heterogeneity within the most widely used Wild bird indices in Europe, Farmland Bird Index (FaBI) and Forest Bird Index (FoBI) in 20 European countries between 2000 and 2017. We analyse potential heterogeneity in dynamics within FaBI and FoBI of each country. We show that there is structural heterogeneity in dynamics among species as well as clusters of species with differing dynamics co-existing within aggregated indices in most countries studied. This was the case for farmland birds, even though this group shows strong general declines across Europe, and for forest birds that have less coherent long-term dynamics. We further explored whether clusters may be distinctly linked to major ecological traits, habitat specialis</w:t>
      </w:r>
    </w:p>
    <w:p>
      <w:pPr/>
      <w:r>
        <w:rPr>
          <w:b/>
        </w:rPr>
        <w:t>POSSIBLE 2024:</w:t>
      </w:r>
      <w:r>
        <w:t xml:space="preserve"> European Integration and Globalisation of Ukraine's Digital Economy: Strategic Directions and Prospects — https://doi.org/10.56294/sctconf2024.656</w:t>
      </w:r>
    </w:p>
    <w:p>
      <w:pPr/>
      <w:r>
        <w:rPr>
          <w:b/>
        </w:rPr>
        <w:t>Shared claim-specific concepts:</w:t>
      </w:r>
      <w:r>
        <w:t xml:space="preserve"> directions, need, solutions, strategies; EU scope visible. This is a provisional connection, not an outcome finding.</w:t>
      </w:r>
    </w:p>
    <w:p>
      <w:pPr>
        <w:pStyle w:val="SourceNote"/>
      </w:pPr>
      <w:r>
        <w:rPr>
          <w:b/>
        </w:rPr>
        <w:t>Available abstract (not full text):</w:t>
      </w:r>
      <w:r>
        <w:t xml:space="preserve"> This article examines the digital transformation of Ukraine's economy through European integration. It highlights prospects for digitalization, including economic growth, innovation, and strengthened ties with the EU, alongside challenges such as public sector inefficiencies, investment risks, and slow reforms. Digitalization is emphasized as a driver of innovative development and a foundation for economic cooperation with the EU. The study combines expert analysis from SCOPUS, Web of Science, and Ukrainian data (2019–2023) to evaluate conditions, risks, and opportunities. Key findings include the need for enhanced investor protections, alignment with EU standards, and personalized digital strategies to reduce risks and promote growth. Despite progress, gaps remain in public sector digitalization, governance, and technology adoption. Addressing these issues can unlock Ukraine's digital potential, boosting competitiveness and integration into the EU market. The research proposes a tailored framework for implementing digital transformation, emphasizing flexibility, efficiency, and personalized solutions. These advancements aim to strengthen Ukraine's global market position and ensure sustainable economic growth</w:t>
      </w:r>
    </w:p>
    <w:p>
      <w:pPr/>
      <w:r>
        <w:rPr>
          <w:b/>
        </w:rPr>
        <w:t>POSSIBLE 2024:</w:t>
      </w:r>
      <w:r>
        <w:t xml:space="preserve"> MIGRATION POLICY DIRECTIONS OF THE EUROPEAN UNION FOR FOREIGN SKILLED WORKERS: SUPRANATIONAL LEVEL — https://doi.org/10.35678/2539-5645.1(44).2024.50-57</w:t>
      </w:r>
    </w:p>
    <w:p>
      <w:pPr/>
      <w:r>
        <w:rPr>
          <w:b/>
        </w:rPr>
        <w:t>Shared claim-specific concepts:</w:t>
      </w:r>
      <w:r>
        <w:t xml:space="preserve"> directions, within, between; EU scope visible. This is a provisional connection, not an outcome finding.</w:t>
      </w:r>
    </w:p>
    <w:p>
      <w:pPr>
        <w:pStyle w:val="SourceNote"/>
      </w:pPr>
      <w:r>
        <w:rPr>
          <w:b/>
        </w:rPr>
        <w:t>Available abstract (not full text):</w:t>
      </w:r>
      <w:r>
        <w:t xml:space="preserve"> The innovative development of the economies of the European Union continuously increases the demand for skilled professionals, which cannot be met solely through internal labor resources (intra-European mobility). In this regard, labor migration, particularly the stimulation of the influx of foreign skilled workers, plays a vital role in addressing the imbalance of supply and demand in the European labor market. This article examines the migration policy instruments of the European Union, applied at the supranational level and aimed at mitigating the imbalance between the growing demand for skilled professionals and the limited supply in the regional labor market. It argues that the overall vector of the EU's migration policy, as an integration union, is oriented towards attracting and accumulating potential (foreign students, interns, doctoral candidates) and actual skilled professionals within its territory, in line with the current and future needs of the European labor market, thereby contributing to the achievement of the strategic goals of the social, economic, and innovative development of the EU.</w:t>
      </w:r>
    </w:p>
    <w:p>
      <w:pPr/>
      <w:r>
        <w:rPr>
          <w:b/>
        </w:rPr>
        <w:t>POSSIBLE 2024:</w:t>
      </w:r>
      <w:r>
        <w:t xml:space="preserve"> Migration Crisis in the European Union: Origins, Consequences... and Directions of Change in Asylum Law — https://doi.org/10.4467/24497800rap.24.013.20231</w:t>
      </w:r>
    </w:p>
    <w:p>
      <w:pPr/>
      <w:r>
        <w:rPr>
          <w:b/>
        </w:rPr>
        <w:t>Shared claim-specific concepts:</w:t>
      </w:r>
      <w:r>
        <w:t xml:space="preserve"> directions, within, pressing; EU scope visible. This is a provisional connection, not an outcome finding.</w:t>
      </w:r>
    </w:p>
    <w:p>
      <w:pPr>
        <w:pStyle w:val="SourceNote"/>
      </w:pPr>
      <w:r>
        <w:rPr>
          <w:b/>
        </w:rPr>
        <w:t>Available abstract (not full text):</w:t>
      </w:r>
      <w:r>
        <w:t xml:space="preserve"> The European Union (EU) has faced a significant migration crisis over the past decade, driven by conflicts, economic disparities, and environmental changes. This paper examines the origins of the migration crisis, its consequences for the EU, and the subsequent changes in asylum law. By analyzing policy responses and their effectiveness, the paper aims to provide insights into the future directions of asylum law in the EU. The migration crisis in the European Union has been one of the most pressing challenges of the 21st century. This crisis, which peaked in 2015, has seen millions of people seeking refuge in Europe due to wars, persecution, and poverty in their home countries. The influx has strained the EU’s asylum systems, exposed weaknesses in its migration policies, and sparked political and social tensions across member states. This paper aims to analyze the origins of this crisis, its multifaceted consequences and the evolving legal framework for asylum within the EU.</w:t>
      </w:r>
    </w:p>
    <w:p>
      <w:pPr/>
      <w:r>
        <w:rPr>
          <w:b/>
        </w:rPr>
        <w:t>POSSIBLE 2024:</w:t>
      </w:r>
      <w:r>
        <w:t xml:space="preserve"> Lessons from Open Science across European Universities: policies, practices, and future directions — https://doi.org/10.2218/eor.2024.9642</w:t>
      </w:r>
    </w:p>
    <w:p>
      <w:pPr/>
      <w:r>
        <w:rPr>
          <w:b/>
        </w:rPr>
        <w:t>Shared claim-specific concepts:</w:t>
      </w:r>
      <w:r>
        <w:t xml:space="preserve"> directions, within, common, solutions; EU scope visible. This is a provisional connection, not an outcome finding.</w:t>
      </w:r>
    </w:p>
    <w:p>
      <w:pPr>
        <w:pStyle w:val="SourceNote"/>
      </w:pPr>
      <w:r>
        <w:rPr>
          <w:b/>
        </w:rPr>
        <w:t>Available abstract (not full text):</w:t>
      </w:r>
      <w:r>
        <w:t xml:space="preserve"> Open Science, which encompasses all scholarly disciplines, is increasingly recognised as a core feature of academic practice: it has the potential to improve the accessibility and integrity of academic outputs, as well as the culture within which academics work to pursue these. However, this recognition is neither equal nor universal across institutions and countries: open science policies, support, practices, and recognition are more advanced in some regions than others, which poses both challenges and opportunities. A challenge is to demonstrate the many benefits to those institutions and regions that are not yet recognising and embracing the potential of open science. An opportunity is to learn from the different structures and approaches that are being taken so that we can identify common challenges, best-practice solutions, and future opportunities. This talk focused on open science policies and practices among members of LERU (the League of European Research Universities) and their host nations. While Europe is at the vanguard of open science, there are many differences in the approaches taken among European universities and countries. Considering these differences will help to identify ways in which we can best realise the potential of open science.</w:t>
      </w:r>
    </w:p>
    <w:p>
      <w:pPr>
        <w:pStyle w:val="Heading2"/>
      </w:pPr>
      <w:r>
        <w:t>557. The European Union as a long-term political actor: an overview</w:t>
      </w:r>
    </w:p>
    <w:p>
      <w:pPr>
        <w:pStyle w:val="SourceNote"/>
      </w:pPr>
      <w:r>
        <w:rPr>
          <w:b/>
        </w:rPr>
        <w:t>Original source (2022):</w:t>
      </w:r>
      <w:r>
        <w:t xml:space="preserve"> https://doi.org/10.1080/2474736x.2022.2043725</w:t>
      </w:r>
    </w:p>
    <w:p>
      <w:pPr/>
      <w:r>
        <w:t>Original wording (abstract; indexed_source_text_not_full_document_verified): We ask in which ways and to what extent is the Union able to employ long-term policy targets and considers the possible interests of future generations.</w:t>
      </w:r>
    </w:p>
    <w:p>
      <w:pPr/>
      <w:r>
        <w:rPr>
          <w:b/>
        </w:rPr>
        <w:t>POSSIBLE 2026:</w:t>
      </w:r>
      <w:r>
        <w:t xml:space="preserve"> Democratic legitimacy and the European Citizens' Initiative: a recipe for disappointment and disaffection? — https://doi.org/10.82444/warw.33734965</w:t>
      </w:r>
    </w:p>
    <w:p>
      <w:pPr/>
      <w:r>
        <w:rPr>
          <w:b/>
        </w:rPr>
        <w:t>Shared claim-specific concepts:</w:t>
      </w:r>
      <w:r>
        <w:t xml:space="preserve"> ask, ways, extent, union, able; EU scope visible. This is a provisional connection, not an outcome finding.</w:t>
      </w:r>
    </w:p>
    <w:p>
      <w:pPr>
        <w:pStyle w:val="SourceNote"/>
      </w:pPr>
      <w:r>
        <w:rPr>
          <w:b/>
        </w:rPr>
        <w:t>Available abstract (not full text):</w:t>
      </w:r>
      <w:r>
        <w:t xml:space="preserve"> The European Union has long been argued to suffer from a deficit of democratic legitimacy. One recent innovation introduced with the intention of addressing this deficit is the European Citizens’ Initiative (ECI), a means by which 1 million EU citizens can ask the European Commission to propose new legislation. In 2015, three years following its introduction, opinions on the performance of the ECI amongst EU politicians, journalists and campaigners are tinged with disappointment and disaffection. This thesis asks to what extent the sceptics are warranted in their frustrations towards the ECI or whether it is able to live up to the high expectations of the EU institutions at the time of its introduction. By drawing analytic criteria directly from the theory of democratic legitimacy and applying them in a systemic manner, I address how the ECI can, in principle, and has thus far, in practice, affected the EU in terms of inclusion in policy making, impacts on policy outcomes, and the pursuit of normatively justifiable and salient issues. Using case studies of the first four ECI campaigns registered by the Commission, I argue that the ECI has the potential to contribute to the inclusion of EU policy making through the activation and formation of multiple, issue-specific demoi in the EU, which can form the basis of democratic legitimacy. I also find the ECI capable of producing tang</w:t>
      </w:r>
    </w:p>
    <w:p>
      <w:pPr/>
      <w:r>
        <w:rPr>
          <w:b/>
        </w:rPr>
        <w:t>POSSIBLE 2026:</w:t>
      </w:r>
      <w:r>
        <w:t xml:space="preserve"> The ‘European sovereignty’ narrative: More EU capacity, but less democracy? Citizens' perceptions in France and Belgium — https://doi.org/10.54195/plc.24877</w:t>
      </w:r>
    </w:p>
    <w:p>
      <w:pPr/>
      <w:r>
        <w:rPr>
          <w:b/>
        </w:rPr>
        <w:t>Shared claim-specific concepts:</w:t>
      </w:r>
      <w:r>
        <w:t xml:space="preserve"> ask, ways, extent; EU scope visible. This is a provisional connection, not an outcome finding.</w:t>
      </w:r>
    </w:p>
    <w:p>
      <w:pPr>
        <w:pStyle w:val="SourceNote"/>
      </w:pPr>
      <w:r>
        <w:rPr>
          <w:b/>
        </w:rPr>
        <w:t>Available abstract (not full text):</w:t>
      </w:r>
      <w:r>
        <w:t xml:space="preserve"> As part of the growing academic interest in the reception of European narratives, our research explores the ‘European sovereignty narrative’ (ESN). We focus on two countries that represent different ways to relate to sovereignty: France, the archetypal ‘strong state’ advocating national sovereignty; and Belgium, a ‘weak state’ accustomed to pooling sovereignty. Based on a survey of a representative sample of the population, we ask: How is the ESN perceived by citizens in France and Belgium? We study, first, to what extent and how the ESN is perceived by citizens in France and Belgium. We focus, next, on its interpretation around two main meanings ascribed to sovereignty: political sovereignty, as the capacity to act, and popular sovereignty, as democratic accountability. Our results show that the knowledge, meanings, and priorities attributed to the ESN are comparable in both countries, albeit with nuances. French respondents are more familiar with the notion of (European) sovereignty than Belgian respondents due to its presence in national political culture and its extensive use by French politicians. However, they may find it less compatible with national sovereignty. Regarding the meaning of the ESN, ‘European sovereignty’ is more associated with the EU’s political capacity to act (political sovereignty) than with debates about democratic accountability and the capacity of c</w:t>
      </w:r>
    </w:p>
    <w:p>
      <w:pPr/>
      <w:r>
        <w:rPr>
          <w:b/>
        </w:rPr>
        <w:t>POSSIBLE 2025:</w:t>
      </w:r>
      <w:r>
        <w:t xml:space="preserve"> To what extent can the European Union contribute to a feminist climate policy? — https://doi.org/10.4324/9781003461005-6</w:t>
      </w:r>
    </w:p>
    <w:p>
      <w:pPr/>
      <w:r>
        <w:rPr>
          <w:b/>
        </w:rPr>
        <w:t>Shared claim-specific concepts:</w:t>
      </w:r>
      <w:r>
        <w:t xml:space="preserve"> extent, union; EU scope visible. This is a provisional connection, not an outcome finding.</w:t>
      </w:r>
    </w:p>
    <w:p>
      <w:pPr>
        <w:pStyle w:val="SourceNote"/>
      </w:pPr>
      <w:r>
        <w:rPr>
          <w:b/>
        </w:rPr>
        <w:t>Available abstract (not full text):</w:t>
      </w:r>
      <w:r>
        <w:t xml:space="preserve"> The EU presents itself as a global climate actor and a global gender actor. Although it has not introduced a Feminist Foreign Policy (FFP) or a Feminist Climate Policy (FCP), there are calls for it to do so, from civil society organisations and from within its own institutions, particularly the European Parliament. Tracing the relation between FFP and FCP, this chapter asks to what extent the EU can contribute to the latter. It does so through a combination of content analysis of key EU policy documents and a feminist institutionalist analysis of EU climate policy. Civil society documents, drawn from organisations that advocate for an FCP in the EU, are used to inform the analysis and to expose the differences between the meanings attributed to the term ‘feminist’ by the various actors. The chapter concludes that the EU has the potential to contribute to an FCP, but this potential has not yet been realised. It argues that an EU FCP has to be more than a climate-focused version of FFP.</w:t>
      </w:r>
    </w:p>
    <w:p>
      <w:pPr/>
      <w:r>
        <w:rPr>
          <w:b/>
        </w:rPr>
        <w:t>POSSIBLE 2025:</w:t>
      </w:r>
      <w:r>
        <w:t xml:space="preserve"> Criminal law and discrimination in Europe: Towards critical race theory approaches? — https://doi.org/10.4337/9781789906318.00036</w:t>
      </w:r>
    </w:p>
    <w:p>
      <w:pPr/>
      <w:r>
        <w:rPr>
          <w:b/>
        </w:rPr>
        <w:t>Shared claim-specific concepts:</w:t>
      </w:r>
      <w:r>
        <w:t xml:space="preserve"> ways, extent, considers, interests; EU scope visible. This is a provisional connection, not an outcome finding.</w:t>
      </w:r>
    </w:p>
    <w:p>
      <w:pPr>
        <w:pStyle w:val="SourceNote"/>
      </w:pPr>
      <w:r>
        <w:rPr>
          <w:b/>
        </w:rPr>
        <w:t>Available abstract (not full text):</w:t>
      </w:r>
      <w:r>
        <w:t xml:space="preserve"> Race and the criminal law are closely intertwined in the European context. The social category of race haunts both the formulation and operationalisation of criminal law, including in aspects of statutory law and in judicial opinions. Race functions as a category of analysis and as an explicit feature of law only in certain areas of the criminal law; in other areas, it is absent—unspoken, unwritten, and, in many cases, its mention is avoided. The lack of clear and explicit treatment of race in the criminal law often leaves deep analysis of racialisation and disparate impact in the shadows of the interest in maintaining concepts of law and democracy that insist on the general presumption of law's colour-blindness.The entanglement of the social and legal category of race, the production and execution of criminal law, and the interests and the justificatory logics of state institutions constitute a complex and changing terrain of socio-legal analysis. The majority of this chapter sets out frames for organising an approach to this terrain, underscoring the importance of paying close attention to the specificity of the race concept in European contexts, how social racism impacts the criminal law, the ways criminal law and (civil) racial equality laws interact, and novel ways in which civilians are made to enforce criminal laws. This chapter does not provide a comprehensive survey of</w:t>
      </w:r>
    </w:p>
    <w:p>
      <w:pPr/>
      <w:r>
        <w:rPr>
          <w:b/>
        </w:rPr>
        <w:t>POSSIBLE 2025:</w:t>
      </w:r>
      <w:r>
        <w:t xml:space="preserve"> Signalling Questions in the Recovery and Resilience Dialogues: What MEPs Ask When They Are Not Asking for Accountability — https://doi.org/10.1111/jcms.70063</w:t>
      </w:r>
    </w:p>
    <w:p>
      <w:pPr/>
      <w:r>
        <w:rPr>
          <w:b/>
        </w:rPr>
        <w:t>Shared claim-specific concepts:</w:t>
      </w:r>
      <w:r>
        <w:t xml:space="preserve"> ask, extent, union; EU scope visible. This is a provisional connection, not an outcome finding.</w:t>
      </w:r>
    </w:p>
    <w:p>
      <w:pPr>
        <w:pStyle w:val="SourceNote"/>
      </w:pPr>
      <w:r>
        <w:rPr>
          <w:b/>
        </w:rPr>
        <w:t>Available abstract (not full text):</w:t>
      </w:r>
      <w:r>
        <w:t xml:space="preserve"> Abstract Parliamentary questions are often seen as instruments of executive accountability. Yet in the European Parliament's (EP's) Recovery and Resilience Dialogues, many questions appear to pursue alternative purposes. This article addresses this gap by asking: to what extent do Members of the European Parliament (MEPs) utilise parliamentary dialogues for purposes beyond accountability, and how do these alternative purposes manifest in their questions? To answer this, it introduces the concept of signalling questions – forward‐looking and expressive interventions that aim to influence policy debates, demonstrate responsiveness to different publics or assert the EP's institutional role. Based on a qualitative content analysis of 447 questions raised between 2021 and 2024, the article identifies three principal signalling purposes: policy‐seeking, vote‐seeking and power‐seeking. Policy‐seeking questions were the most prominent, particularly amongst centre‐left and pro‐integrationist MEPs. Vote‐seeking questions reflected both supranational and national concerns, especially in contexts of contested implementation. Power‐seeking questions were comparatively rare, suggesting a more cautious performance of the EP's institutional role. These questions complement, rather than replace, accountability‐seeking. The findings contribute to research on parliamentary behaviour, representati</w:t>
      </w:r>
    </w:p>
    <w:p>
      <w:pPr/>
      <w:r>
        <w:rPr>
          <w:b/>
        </w:rPr>
        <w:t>POSSIBLE 2024:</w:t>
      </w:r>
      <w:r>
        <w:t xml:space="preserve"> Flexibility Stigma Across Europe: How National Contexts can Shift the Extent to which Flexible Workers are Stigmatised — https://doi.org/10.1007/s11205-024-03420-w</w:t>
      </w:r>
    </w:p>
    <w:p>
      <w:pPr/>
      <w:r>
        <w:rPr>
          <w:b/>
        </w:rPr>
        <w:t>Shared claim-specific concepts:</w:t>
      </w:r>
      <w:r>
        <w:t xml:space="preserve"> extent, union; EU scope visible. This is a provisional connection, not an outcome finding.</w:t>
      </w:r>
    </w:p>
    <w:p>
      <w:pPr>
        <w:pStyle w:val="SourceNote"/>
      </w:pPr>
      <w:r>
        <w:rPr>
          <w:b/>
        </w:rPr>
        <w:t>Available abstract (not full text):</w:t>
      </w:r>
      <w:r>
        <w:t xml:space="preserve"> Abstract Although flexible working has expanded rapidly, especially during the pandemic, biased views against flexible workers – namely, flexibility stigma - are still prevalent and returning. Flexibility stigma hinders worker’s take up of flexible working arrangements and can make flexible working arrangements result in negative outcomes for worker’s well-being and productivity. This study examines how national cultural and policy contexts shape flexibility stigma levels within a country. We use a multilevel approach using the Eurobarometer dataset of 2018, covering 28 European countries, matched with national level aggregate data on policy and culture. Results show that in countries with a more work-life balance work culture and egalitarian gender norms, we see less prevalence of flexibility stigma. Similarly, in countries with generous family-friendly policies, workers are less likely to have negative perception towards flexible working. Finally, stronger bargaining positions of workers, may it be through stronger union power or through better labour market conditions, helps remove stigmatised views around workers who use flexible working arrangements. This study evidences the importance of contexts that shape views around flexible working, to help us better understand policy changes needed to ensure better flexible working practices.</w:t>
      </w:r>
    </w:p>
    <w:p>
      <w:pPr/>
      <w:r>
        <w:rPr>
          <w:b/>
        </w:rPr>
        <w:t>POSSIBLE 2024:</w:t>
      </w:r>
      <w:r>
        <w:t xml:space="preserve"> "It was important not to Ask" — https://doi.org/10.18172/jes.6363</w:t>
      </w:r>
    </w:p>
    <w:p>
      <w:pPr/>
      <w:r>
        <w:rPr>
          <w:b/>
        </w:rPr>
        <w:t>Shared claim-specific concepts:</w:t>
      </w:r>
      <w:r>
        <w:t xml:space="preserve"> ask, ways, considers; EU scope not established. This is a provisional connection, not an outcome finding.</w:t>
      </w:r>
    </w:p>
    <w:p>
      <w:pPr>
        <w:pStyle w:val="SourceNote"/>
      </w:pPr>
      <w:r>
        <w:rPr>
          <w:b/>
        </w:rPr>
        <w:t>Available abstract (not full text):</w:t>
      </w:r>
      <w:r>
        <w:t xml:space="preserve"> Drawing on various theories and approaches, from its application to fiction to its socio-cultural dimensions and presence within communication, this study considers Colm Tóibín’s use of silence as a key narrative element and aesthetic practice in Long Island (2024), inviting some comparisons with its prequel, Brooklyn (2009). As shall be explained, silence operates on different levels in Long Island. Thanks to Tóibín’s tightly controlled release of information, silence becomes crucial to plot development and suspense, and vividly recreates the tensions between concealment and revelation. Silence, too, works for the sake of characterisation, and serves to dramatise the protagonists’ crises and indecisions, as well as their strategies of manipulation. On some other occasions, though, silence contributes to mutual understanding, increasing closeness and intimacy between characters. All in all, this study details the ways silence informs narrative style, endows characters with psychological complexity, and enriches the subject matter of Tóibín’s Long Island.</w:t>
      </w:r>
    </w:p>
    <w:p>
      <w:pPr/>
      <w:r>
        <w:rPr>
          <w:b/>
        </w:rPr>
        <w:t>POSSIBLE 2023:</w:t>
      </w:r>
      <w:r>
        <w:t xml:space="preserve"> Environmental Accounting in the European Accounting Review : A Reflection — https://doi.org/10.1080/09638180.2023.2254351</w:t>
      </w:r>
    </w:p>
    <w:p>
      <w:pPr/>
      <w:r>
        <w:rPr>
          <w:b/>
        </w:rPr>
        <w:t>Shared claim-specific concepts:</w:t>
      </w:r>
      <w:r>
        <w:t xml:space="preserve"> ways, extent, targets; EU scope visible. This is a provisional connection, not an outcome finding.</w:t>
      </w:r>
    </w:p>
    <w:p>
      <w:pPr>
        <w:pStyle w:val="SourceNote"/>
      </w:pPr>
      <w:r>
        <w:rPr>
          <w:b/>
        </w:rPr>
        <w:t>Available abstract (not full text):</w:t>
      </w:r>
      <w:r>
        <w:t xml:space="preserve"> We reflect upon how European Accounting Review has conceived of environmental accounting (and to some extent social/sustainability accounting work) over its 30-year history, with the aim of discussing ways in which environmental accounting research can further develop, both within and beyond this journal.After outlining the broader social and ecological context from which environmental accounting has emerged (and noting that this context is evolving in substantive ways), we provide an overview of the types of research published in EAR.We combine these elements to identify three themes that we argue are critical for the direction of future research: the financial materiality of ecological issues and the impact this has on risk; how environmental accounting practices are constructed; and how a new relationship between nature and society may affect accounting practices.We finally conclude by envisioning a future of environmental accounting research that dovetails with the sustainability ambitions that can be draw from an examination of the detailed targets that underpin the Sustainable Development Goals.</w:t>
      </w:r>
    </w:p>
    <w:p>
      <w:pPr>
        <w:pStyle w:val="Heading2"/>
      </w:pPr>
      <w:r>
        <w:t>558. The Futures of Europe: Society 5.0 and Industry 5.0 as Driving Forces of Future Universities</w:t>
      </w:r>
    </w:p>
    <w:p>
      <w:pPr>
        <w:pStyle w:val="SourceNote"/>
      </w:pPr>
      <w:r>
        <w:rPr>
          <w:b/>
        </w:rPr>
        <w:t>Original source (2022):</w:t>
      </w:r>
      <w:r>
        <w:t xml:space="preserve"> https://doi.org/10.1007/s13132-021-00854-2</w:t>
      </w:r>
    </w:p>
    <w:p>
      <w:pPr/>
      <w:r>
        <w:t>Original wording (abstract; indexed_source_text_not_full_document_verified): Incorporating the assumptions of Society 5.0 and Industry 5.0 into the universities practices and policies will allow both universities and societies to fully benefit from digital transformation. The use of the Quintuple Helix Model (QHM) might foster the process of necessary transformations capacities as it integrates different perspectives and sets the stage for sustainability priorities and considerations.</w:t>
      </w:r>
    </w:p>
    <w:p>
      <w:pPr/>
      <w:r>
        <w:rPr>
          <w:b/>
        </w:rPr>
        <w:t>POSSIBLE 2026:</w:t>
      </w:r>
      <w:r>
        <w:t xml:space="preserve"> Representations of the Concept of Civil Society in Brazil — https://openalex.org/W7221581217</w:t>
      </w:r>
    </w:p>
    <w:p>
      <w:pPr/>
      <w:r>
        <w:rPr>
          <w:b/>
        </w:rPr>
        <w:t>Shared claim-specific concepts:</w:t>
      </w:r>
      <w:r>
        <w:t xml:space="preserve"> assumptions, society, both; EU scope visible. This is a provisional connection, not an outcome finding.</w:t>
      </w:r>
    </w:p>
    <w:p>
      <w:pPr>
        <w:pStyle w:val="SourceNote"/>
      </w:pPr>
      <w:r>
        <w:rPr>
          <w:b/>
        </w:rPr>
        <w:t>Available abstract (not full text):</w:t>
      </w:r>
      <w:r>
        <w:t xml:space="preserve"> This research project examines how the concept of civil society may be shaped by Eurocentric assumptions and the implications this has for civil society outside Europe. It has two main aims: i) to present Brazilian civil society through the perspectives of civil society actors themselves and ii) to investigate less Eurocentric approaches to studying civil society. The development of the concept of civil society in Europe is outlined in the theoretical part, which then presents various academic dialogues relating to Eurocentrism as well as key debates over civil society in Brazil. The chosen methodology was an analysis of 40 open-access blogs written by actors in Brazilian civil society. Key themes were first identified through thematic analysis and subsequently developed through frame analysis into seven interpretive frames arising from the data. These seven frames and their analysis, with reference to the theory, form the results section of this project. The project further incorporates a reflexive methodological component, which examines how civil society can be studied while minimising Eurocentrism, drawing on insights from both the literature and the data analysed. Key words: Brazil; civil society; Eurocentrism; frame analysis; reflexivity,</w:t>
      </w:r>
    </w:p>
    <w:p>
      <w:pPr/>
      <w:r>
        <w:rPr>
          <w:b/>
        </w:rPr>
        <w:t>POSSIBLE 2026:</w:t>
      </w:r>
      <w:r>
        <w:t xml:space="preserve"> Updated PM2.5 Mortality Estimates for Europe in Coming Decades via the CATALYSE Project — https://doi.org/10.5194/egusphere-egu26-18901</w:t>
      </w:r>
    </w:p>
    <w:p>
      <w:pPr/>
      <w:r>
        <w:rPr>
          <w:b/>
        </w:rPr>
        <w:t>Shared claim-specific concepts:</w:t>
      </w:r>
      <w:r>
        <w:t xml:space="preserve"> assumptions, practices, policies, societies, use; EU scope visible. This is a provisional connection, not an outcome finding.</w:t>
      </w:r>
    </w:p>
    <w:p>
      <w:pPr>
        <w:pStyle w:val="SourceNote"/>
      </w:pPr>
      <w:r>
        <w:rPr>
          <w:b/>
        </w:rPr>
        <w:t>Available abstract (not full text):</w:t>
      </w:r>
      <w:r>
        <w:t xml:space="preserve"> The EU’s CATALYSE project (Climate Action to Advance Healthy Societies in Europe) aims to close the knowledge-to-action gap concerning environmental hazards linked to climate change and their effects on human health in Europe. In doing so, CATALYSE will fortify the science-to-policy interface by providing actionable policy scenarios for Europe for the coming decades. Four such policy scenarios for Europe (spanning 2020 to 2050) have been developed under CATALYSE, each with differing assumptions concerning energy use, agricultural practices, and air quality controls and policies: [1] a business-as-usual Reference Scenario, [2] a Green Deal Scenario, which incorporates the climate targets of the EU's Green Deal, [3] a Beyond Green Deal Scenario, which adds behavioural change policies associated with buildings, transport, and food sectors, and [4] a Beyond Green Deal - 90% Optimization Scenario, which adds enhanced end-of-pipe air pollution control measures. Each of the four scenarios results in differing PM2.5 -precursor emissions between 2020 and 2050. We have implemented the emissions output from the four CATALYSE scenarios as input in the EMAC atmospheric model (Jöckel et al. 2006), simulating the years 2020, 2030, 2040, and 2050, in order to evaluate each scenario’s impact on PM2.5 concentrations in Europe specifically. We estimate the European mortality burden from these PM2</w:t>
      </w:r>
    </w:p>
    <w:p>
      <w:pPr/>
      <w:r>
        <w:rPr>
          <w:b/>
        </w:rPr>
        <w:t>POSSIBLE 2026:</w:t>
      </w:r>
      <w:r>
        <w:t xml:space="preserve"> Inclusion and Gender Empowerment in European Civil Society Organisations — https://openalex.org/W7137625942</w:t>
      </w:r>
    </w:p>
    <w:p>
      <w:pPr/>
      <w:r>
        <w:rPr>
          <w:b/>
        </w:rPr>
        <w:t>Shared claim-specific concepts:</w:t>
      </w:r>
      <w:r>
        <w:t xml:space="preserve"> society, practices, both, foster, process; EU scope visible. This is a provisional connection, not an outcome finding.</w:t>
      </w:r>
    </w:p>
    <w:p>
      <w:pPr>
        <w:pStyle w:val="SourceNote"/>
      </w:pPr>
      <w:r>
        <w:rPr>
          <w:b/>
        </w:rPr>
        <w:t>Available abstract (not full text):</w:t>
      </w:r>
      <w:r>
        <w:t xml:space="preserve"> This book aims to rethink the intersection between inclusion and gender in civil society, media, academic, and policy discourses across Europe. With a critical and participatory approach, this book advances the concept of ‘situated intersectionality’ to rethink empowerment as a dynamic process shaped by local contexts. Drawing on rich data from the Horizon Europe project ReIncluGen, this book examines discourses on gender empowerment and inclusion in Austria, Belgium, Italy, Poland, and Spain. From both academic and civil society perspectives, the volume explores how these discourses are addressed, as well as how they contribute to, or reduce, inequalities. These insights further our understanding, reflecting on innovative practices used by civil society and policymakers to foster social change. This book assembles chapters that will be of interest to scholars and students of gender studies, sociology, migration, and media studies, as well as practitioners, policymakers, and CSOs working on issues of migration, diversity, equality, and inclusion. It offers valuable insights for anyone seeking to understand and support inclusive practices that foster a more equitable European future.</w:t>
      </w:r>
    </w:p>
    <w:p>
      <w:pPr/>
      <w:r>
        <w:rPr>
          <w:b/>
        </w:rPr>
        <w:t>POSSIBLE 2026:</w:t>
      </w:r>
      <w:r>
        <w:t xml:space="preserve"> Organisational Identity and Practice: A Study of Mission Statements of Universities in Ghana — https://doi.org/10.26437/8mj57m89</w:t>
      </w:r>
    </w:p>
    <w:p>
      <w:pPr/>
      <w:r>
        <w:rPr>
          <w:b/>
        </w:rPr>
        <w:t>Shared claim-specific concepts:</w:t>
      </w:r>
      <w:r>
        <w:t xml:space="preserve"> industry, universities, both; EU scope not established. This is a provisional connection, not an outcome finding.</w:t>
      </w:r>
    </w:p>
    <w:p>
      <w:pPr>
        <w:pStyle w:val="SourceNote"/>
      </w:pPr>
      <w:r>
        <w:rPr>
          <w:b/>
        </w:rPr>
        <w:t>Available abstract (not full text):</w:t>
      </w:r>
      <w:r>
        <w:t xml:space="preserve"> Purpose: This study examines how universities in Ghana construct and communicate their organisational identity through mission statements. Design/Methodology/Approach: A qualitative documentary research design was adopted. A purposive and stratified approach was used to select a sample of 63 mission statements from accredited Ghanaian universities. Nineteen stakeholder groups, including students, researchers, and industry partners, were used. The analysis examined linguistic patterns, thematic categories, and references. Research Limitation: The focus on Ghanaian universities may limit the generalisability of its findings. Future research should explore how mission-statement rhetoric affects institutional performance and compare results across educational systems. Finding: The findings indicate that mission statements serve dual purposes: internally, they motivate and unify members of the university community; externally, they articulate institutional values and strategic objectives. Both public and private universities emphasise distinct identity markers, such as career readiness, research orientation, community engagement, and professional development. Practical Implication: This study guides university leaders and policymakers in crafting mission statements that enhance institutional branding and stakeholder alignment. Social Implication: Mission statements in Ghanaian unive</w:t>
      </w:r>
    </w:p>
    <w:p>
      <w:pPr/>
      <w:r>
        <w:rPr>
          <w:b/>
        </w:rPr>
        <w:t>POSSIBLE 2026:</w:t>
      </w:r>
      <w:r>
        <w:t xml:space="preserve"> Craftwork in Small-Scale Societies of the Central European Bronze Age — https://doi.org/10.1017/9781009611251</w:t>
      </w:r>
    </w:p>
    <w:p>
      <w:pPr/>
      <w:r>
        <w:rPr>
          <w:b/>
        </w:rPr>
        <w:t>Shared claim-specific concepts:</w:t>
      </w:r>
      <w:r>
        <w:t xml:space="preserve"> practices, both, societies; EU scope visible. This is a provisional connection, not an outcome finding.</w:t>
      </w:r>
    </w:p>
    <w:p>
      <w:pPr>
        <w:pStyle w:val="SourceNote"/>
      </w:pPr>
      <w:r>
        <w:rPr>
          <w:b/>
        </w:rPr>
        <w:t>Available abstract (not full text):</w:t>
      </w:r>
      <w:r>
        <w:t xml:space="preserve"> The Element examines various facets of craftwork in small-scale societies that thrived in much of Central Europe during the Bronze Age (2300–800 BCE). These societies exhibited distinct structures and types of social bonds that formed the social and spatial backdrop for craft practices. Since most Bronze Age villages were inhabited by small groups, all forms of crafting were at least partially communal, fostering the exchange of experiences, skills, and knowledge both within and across different production areas. The public nature of crafting practices also encouraged discussions about applied tools, methods, skills, and the quality of the final products. The author explores overarching questions about communication and knowledge transfer within and beyond small groups, drawing on archaeological and ethnographic data. This includes considerations of standardization, personalization, imitation, seasonality, and cross-crafting. This title is also available as Open Access on Cambridge Core.</w:t>
      </w:r>
    </w:p>
    <w:p>
      <w:pPr/>
      <w:r>
        <w:rPr>
          <w:b/>
        </w:rPr>
        <w:t>POSSIBLE 2026:</w:t>
      </w:r>
      <w:r>
        <w:t xml:space="preserve"> European Society of Cardiology (ESC) Core Curriculum for the Cardiologist: 2026 update — https://doi.org/10.1093/eurheartj/ehag521</w:t>
      </w:r>
    </w:p>
    <w:p>
      <w:pPr/>
      <w:r>
        <w:rPr>
          <w:b/>
        </w:rPr>
        <w:t>Shared claim-specific concepts:</w:t>
      </w:r>
      <w:r>
        <w:t xml:space="preserve"> society, digital, process; EU scope visible. This is a provisional connection, not an outcome finding.</w:t>
      </w:r>
    </w:p>
    <w:p>
      <w:pPr>
        <w:pStyle w:val="SourceNote"/>
      </w:pPr>
      <w:r>
        <w:rPr>
          <w:b/>
        </w:rPr>
        <w:t>Available abstract (not full text):</w:t>
      </w:r>
      <w:r>
        <w:t xml:space="preserve"> This 2026 update of the European Society of Cardiology (ESC) Core Curriculum for the Cardiologist reflects contemporary and emerging requirements for the practice of cardiology and the resulting training needs. The document has three main parts:Section 1 outlining the main training requirements and their presentation in entrustable professional activities (EPAs).Section 2 explaining the requirements for training centres.Section 3 outlining the general skills, knowledge, and attitudes required in cardiology (chapter 1) - and eight chapters outlining EPAs in the different areas of cardiology (chapter 2 to 9). This update has been written over 9 months in a iterative process, involving over 90 representatives as per the initial curriculum, similar to that used for the previous iteration of the core curriculum in 2020. Though much of the 2020 core curriculum remains relevant and unchanged, there was a clear need to amend this previous curriculum to reflect the expanding roles of some areas of cardiology such as data science, digital health, and artificial intelligence. These items have now been specifically included along with general updates to various clinical EPAs due to changes in practice or evidence base.</w:t>
      </w:r>
    </w:p>
    <w:p>
      <w:pPr/>
      <w:r>
        <w:rPr>
          <w:b/>
        </w:rPr>
        <w:t>POSSIBLE 2026:</w:t>
      </w:r>
      <w:r>
        <w:t xml:space="preserve"> The role of climate and migration concerns in shaping personal economic insecurity in European societies — https://doi.org/10.1016/j.erss.2026.104533</w:t>
      </w:r>
    </w:p>
    <w:p>
      <w:pPr/>
      <w:r>
        <w:rPr>
          <w:b/>
        </w:rPr>
        <w:t>Shared claim-specific concepts:</w:t>
      </w:r>
      <w:r>
        <w:t xml:space="preserve"> both, societies; EU scope visible. This is a provisional connection, not an outcome finding.</w:t>
      </w:r>
    </w:p>
    <w:p>
      <w:pPr>
        <w:pStyle w:val="SourceNote"/>
      </w:pPr>
      <w:r>
        <w:rPr>
          <w:b/>
        </w:rPr>
        <w:t>Available abstract (not full text):</w:t>
      </w:r>
      <w:r>
        <w:t xml:space="preserve"> This study investigates how perceptions of societal threats, specifically climate change and migration, influence subjective economic insecurity across eleven European countries (Austria, Belgium, Czechia, Finland, France, Hungary, Iceland, Poland, Portugal, Slovenia, and the United Kingdom). The selection of countries was based on data availability within the European Social Survey (ESS) ERIC CRONOS-3 Wave 2 survey design. Nonetheless, the sample reflects significant institutional diversity across welfare regimes, labour market structures, and political discourse environments: Nordic social-democratic regimes; continental corporatist systems; post-socialist transitions; and liberal-leaning contexts. We formulate a composite measure of economic insecurity that encompasses concerns about maintaining living standards, managing financial shocks, and future economic prospects. Perceived climate and migration threats are operationalised as separate multi-item indices. Results reveal that both threat domains independently increase economic insecurity, controlling for income, age, education, and gender. Interaction models demonstrate systematic variation across socioeconomic strata, with lower-income and less-educated groups exhibiting heightened sensitivity to threat perceptions. Cross-national analysis shows substantial variation, suggesting that institutional contexts—particularly </w:t>
      </w:r>
    </w:p>
    <w:p>
      <w:pPr/>
      <w:r>
        <w:rPr>
          <w:b/>
        </w:rPr>
        <w:t>POSSIBLE 2026:</w:t>
      </w:r>
      <w:r>
        <w:t xml:space="preserve"> Mapping Blastocystis epidemiology and diagnostics across Europe: A One Health survey of professional practice, perceptions and unmet needs — https://doi.org/10.1016/j.onehlt.2026.101603</w:t>
      </w:r>
    </w:p>
    <w:p>
      <w:pPr/>
      <w:r>
        <w:rPr>
          <w:b/>
        </w:rPr>
        <w:t>Shared claim-specific concepts:</w:t>
      </w:r>
      <w:r>
        <w:t xml:space="preserve"> universities, practices, fully; EU scope visible. This is a provisional connection, not an outcome finding.</w:t>
      </w:r>
    </w:p>
    <w:p>
      <w:pPr>
        <w:pStyle w:val="SourceNote"/>
      </w:pPr>
      <w:r>
        <w:rPr>
          <w:b/>
        </w:rPr>
        <w:t>Available abstract (not full text):</w:t>
      </w:r>
      <w:r>
        <w:t xml:space="preserve"> Blastocystis is one of the most prevalent intestinal protists in humans and animals, yet its clinical significance remains unresolved, and its diagnosis is poorly standardised. We aimed to map professional practice, perceptions, and unmet needs in Blastocystis epidemiology and diagnostics across Europe. Within the European Cooperation in Science and Technology (COST) Action CA21105, Working Group 1 conducted a multinational cross-sectional survey using a dedicated structured online questionnaire distributed through national representatives and European professional networks across COST member countries, and responses on institutional profiles, diagnostic and subtyping workflows, perceived clinical relevance, and treatment were analysed using Pearson chi-square tests. A total of 439 fully completed, valid questionnaires from 38 countries were evaluated. Human-derived stool samples predominated (75.3%). Microscopy remained the principal screening method (61.6%), whereas only 16.9% used molecular methods alone, and 75.0% performed no subtyping. Subtyping was associated with institution type and research purpose ( p &lt; 0.001): universities and epidemiological laboratories drove barcoding/Sanger sequencing, whereas health institutions most often did not subtype. Reporting to clinicians was inconsistent (20.5% never reported). Most clinicians (96.2%) linked Blastocystis to gastrointes</w:t>
      </w:r>
    </w:p>
    <w:p>
      <w:pPr/>
      <w:r>
        <w:rPr>
          <w:b/>
        </w:rPr>
        <w:t>POSSIBLE 2025:</w:t>
      </w:r>
      <w:r>
        <w:t xml:space="preserve"> Management of epithelial precancerous conditions and early neoplasia of the stomach (MAPS III): European Society of Gastrointestinal Endoscopy (ESGE), European Helicobacter and Microbiota Study Group (EHMSG) and European Society of Pathology (ESP) Guideline update 2025 — https://doi.org/10.1055/a-2529-5025</w:t>
      </w:r>
    </w:p>
    <w:p>
      <w:pPr/>
      <w:r>
        <w:rPr>
          <w:b/>
        </w:rPr>
        <w:t>Shared claim-specific concepts:</w:t>
      </w:r>
      <w:r>
        <w:t xml:space="preserve"> society, both, use, necessary; EU scope visible. This is a provisional connection, not an outcome finding.</w:t>
      </w:r>
    </w:p>
    <w:p>
      <w:pPr>
        <w:pStyle w:val="SourceNote"/>
      </w:pPr>
      <w:r>
        <w:rPr>
          <w:b/>
        </w:rPr>
        <w:t>Available abstract (not full text):</w:t>
      </w:r>
      <w:r>
        <w:t xml:space="preserve"> Main Recommendations At a population level, the European Society of Gastrointestinal Endoscopy (ESGE), the European Helicobacter and Microbiota Study Group (EHMSG), and the European Society of Pathology (ESP) suggest endoscopic screening for gastric cancer (and precancerous conditions) in high-risk regions (age-standardized rate [ASR] &gt; 20 per 100 000 person-years) every 2 to 3 years or, if cost–effectiveness has been proven, in intermediate risk regions (ASR 10–20 per 100 000 person-years) every 5 years, but not in low-risk regions (ASR &lt; 10). ESGE/EHMSG/ESP recommend that irrespective of country of origin, individual gastric risk assessment and stratification of precancerous conditions is recommended for first-time gastroscopy. ESGE/EHMSG/ESP suggest that gastric cancer screening or surveillance in asymptomatic individuals over 80 should be discontinued or not started, and that patients’ comorbidities should be considered when treatment of superficial lesions is planned. ESGE/EHMSG/ESP recommend that a high quality endoscopy including the use of virtual chromoendoscopy (VCE), after proper training, is performed for screening, diagnosis, and staging of precancerous conditions (atrophy and intestinal metaplasia) and lesions (dysplasia or cancer), as well as after endoscopic therapy. VCE should be used to guide the sampling site for biopsies in the case of suspected neoplastic l</w:t>
      </w:r>
    </w:p>
    <w:p>
      <w:pPr/>
      <w:r>
        <w:rPr>
          <w:b/>
        </w:rPr>
        <w:t>POSSIBLE 2025:</w:t>
      </w:r>
      <w:r>
        <w:t xml:space="preserve"> Agroecology Living Labs to transform food systems: a critical review at the science-policy-society nexus in Europe — https://doi.org/10.1080/21683565.2025.2560915</w:t>
      </w:r>
    </w:p>
    <w:p>
      <w:pPr/>
      <w:r>
        <w:rPr>
          <w:b/>
        </w:rPr>
        <w:t>Shared claim-specific concepts:</w:t>
      </w:r>
      <w:r>
        <w:t xml:space="preserve"> both, transformation, foster, process; EU scope visible. This is a provisional connection, not an outcome finding.</w:t>
      </w:r>
    </w:p>
    <w:p>
      <w:pPr>
        <w:pStyle w:val="SourceNote"/>
      </w:pPr>
      <w:r>
        <w:rPr>
          <w:b/>
        </w:rPr>
        <w:t>Available abstract (not full text):</w:t>
      </w:r>
      <w:r>
        <w:t xml:space="preserve"> Agroecology Living Labs (ALL) are a promising approach to support food system transformation toward sustainability. Amid rapid uptake in Europe, we critically review the foundational literature supporting ALL: sustainable transition and innovation theories and the literature on agricultural knowledge and innovation systems to highlight transformative potential. To conduct this review, a diverse team of both social and natural scientists engaged in a co-creation process. We found that transformative ALL: 1) align methods with agroecology principles, 2) utilize place-based transformation approaches, and 3) foster a paradigm shift to participatory knowledge production. We identify seeds of transformation or cross-cutting characteristics across dominant theories and research approaches to fill political space and support transformative ALL. The first seed emphasizes moving beyond technical innovation toward socio-ecological system governance. The second seed promotes developing ALL at the territory/landscape scale as a mediator for open innovation across the science-policy-society nexus. The third seed highlights the transformative potential of inclusive and participatory knowledge production within structures that scale via networks. ALL, if methodically facilitated and supported across decision-making scales, have the potential to usher in a new transformative participatory parad</w:t>
      </w:r>
    </w:p>
    <w:p>
      <w:pPr/>
      <w:r>
        <w:rPr>
          <w:b/>
        </w:rPr>
        <w:t>POSSIBLE 2025:</w:t>
      </w:r>
      <w:r>
        <w:t xml:space="preserve"> European Vision of a Gigabit Society: Evidence from Poland — https://doi.org/10.3390/su17031271</w:t>
      </w:r>
    </w:p>
    <w:p>
      <w:pPr/>
      <w:r>
        <w:rPr>
          <w:b/>
        </w:rPr>
        <w:t>Shared claim-specific concepts:</w:t>
      </w:r>
      <w:r>
        <w:t xml:space="preserve"> society, industry, digital, transformation, use; EU scope visible. This is a provisional connection, not an outcome finding.</w:t>
      </w:r>
    </w:p>
    <w:p>
      <w:pPr>
        <w:pStyle w:val="SourceNote"/>
      </w:pPr>
      <w:r>
        <w:rPr>
          <w:b/>
        </w:rPr>
        <w:t>Available abstract (not full text):</w:t>
      </w:r>
      <w:r>
        <w:t xml:space="preserve"> Digital transformation is a key driver of economic and social growth, with the development of broadband infrastructure and fifth-generation (5G) technologies forming the foundation of the Gigabit Society under the framework of the “Digital Decade of Europe”. Digitization also plays a key role in achieving the Sustainable Development Goals (SDGs), especially SDG 9 (Industry, Innovation and Infrastructure) by contributing to the development of smart cities and improving resource management and citizens’ quality of life. This article critically analyzes Poland’s progress in achieving European digital objectives drawing on European Commission data, especially the Digital Economy and Society Index (DESI). Poland has expanded fiber optic technology (FTTP) and digital public services. However, barriers include limited 5G implementation, low digital skills, and minimal use of advanced technologies in business. The results indicate the need for further regulatory reforms, increased investment, and systemic support for digital education. This article contributes by linking digital policy and technology to sustainable economic and social development in national and European contexts.</w:t>
      </w:r>
    </w:p>
    <w:p>
      <w:pPr/>
      <w:r>
        <w:rPr>
          <w:b/>
        </w:rPr>
        <w:t>POSSIBLE 2025:</w:t>
      </w:r>
      <w:r>
        <w:t xml:space="preserve"> On Heuristic Models, Assumptions, and Parameters — https://doi.org/10.1145/3735562</w:t>
      </w:r>
    </w:p>
    <w:p>
      <w:pPr/>
      <w:r>
        <w:rPr>
          <w:b/>
        </w:rPr>
        <w:t>Shared claim-specific concepts:</w:t>
      </w:r>
      <w:r>
        <w:t xml:space="preserve"> assumptions, society, process; EU scope not established. This is a provisional connection, not an outcome finding.</w:t>
      </w:r>
    </w:p>
    <w:p>
      <w:pPr>
        <w:pStyle w:val="SourceNote"/>
      </w:pPr>
      <w:r>
        <w:rPr>
          <w:b/>
        </w:rPr>
        <w:t>Available abstract (not full text):</w:t>
      </w:r>
      <w:r>
        <w:t xml:space="preserve"> Insightful interdisciplinary collaboration is essential to the principled governance of technology. When such efforts address the interaction between computation and society, they often focus on modeling, the process by which computer scientists formally define problems in order to enable algorithmic solutions. But modeling is a multifaceted and inherently imperfect process. Especially in interdisciplinary work, it often receives uneven scrutiny because of the practical challenges of communicating complex technical details to non-experts. We argue that there is an underappreciated if loose family of obscure and opaque technical caveats, choices, and qualifiers that the social effects of computing can depend just as much on as far more heavily scrutinized modeling choices. These artifacts are often used by researchers to article over the incomplete theoretical foundations of computing or to burden shift responsibility for the impact of normative design decisions. Furthermore, their nuanced technical nature often complicates thorough sociotechnical scrutiny of the discretionary decisions made to manage them. We describe three specific classes of such objects: heuristic models, assumptions, and parameters. We raise six reasons these objects may be hazardous to comprehensive analysis of computing and argue they deserve deliberate consideration as researchers explain scientific work</w:t>
      </w:r>
    </w:p>
    <w:p>
      <w:pPr>
        <w:pStyle w:val="Heading2"/>
      </w:pPr>
      <w:r>
        <w:t>559. The July 2019 European Heat Wave in a Warmer Climate: Storyline Scenarios with a Coupled Model Using Spectral Nudging</w:t>
      </w:r>
    </w:p>
    <w:p>
      <w:pPr>
        <w:pStyle w:val="SourceNote"/>
      </w:pPr>
      <w:r>
        <w:rPr>
          <w:b/>
        </w:rPr>
        <w:t>Original source (2022):</w:t>
      </w:r>
      <w:r>
        <w:t xml:space="preserve"> https://doi.org/10.1175/jcli-d-21-0573.1</w:t>
      </w:r>
    </w:p>
    <w:p>
      <w:pPr/>
      <w:r>
        <w:t>Original wording (abstract; indexed_source_text_not_full_document_verified): By varying the background climate, including CO 2 concentrations, it is demonstrated how the July 2019 European heat wave could have evolved in preindustrial times and in warmer climates.</w:t>
      </w:r>
    </w:p>
    <w:p>
      <w:pPr/>
      <w:r>
        <w:rPr>
          <w:b/>
        </w:rPr>
        <w:t>POSSIBLE 2026:</w:t>
      </w:r>
      <w:r>
        <w:t xml:space="preserve"> Research on climate effects of large herbivores in Europe: a systematic map — https://doi.org/10.1186/s13750-026-00392-x</w:t>
      </w:r>
    </w:p>
    <w:p>
      <w:pPr/>
      <w:r>
        <w:rPr>
          <w:b/>
        </w:rPr>
        <w:t>Shared claim-specific concepts:</w:t>
      </w:r>
      <w:r>
        <w:t xml:space="preserve"> background, climate, including; EU scope visible. This is a provisional connection, not an outcome finding.</w:t>
      </w:r>
    </w:p>
    <w:p>
      <w:pPr>
        <w:pStyle w:val="SourceNote"/>
      </w:pPr>
      <w:r>
        <w:rPr>
          <w:b/>
        </w:rPr>
        <w:t>Available abstract (not full text):</w:t>
      </w:r>
      <w:r>
        <w:t xml:space="preserve"> Abstract Background Land management practices have significant impacts on biodiversity and climate change processes. Conservation and rewilding practitioners are increasingly seeking to enhance ecosystem functions and carbon sequestration simultaneously, encouraged by climate policies such as the European Green Deal. In recent years, ecosystem restoration involving large herbivores (≥ 10 kg) has attracted growing interest. However, the climate impacts of large herbivores are complex, including direct and indirect impacts from greenhouse gas (GHG) emissions, carbon storage, wildfire and albedo. These impacts can have cooling or warming effects and vary with species, herd density, season and habitat. To date, the diverse research on this topic has not been collated and categorised in a systematic map. Here, we present a systematic map of research on the climate effects of large herbivores in European terrestrial habitats, highlighting research distribution, clusters and gaps, and the potential for further quantitative analyses. We address the primary question of what research exists on the climate effects of large herbivores in Europe. Methods Following our pre-published protocol, we used a pre-defined search string to conduct a search of peer-reviewed and grey literature, using a range of bibliographic databases, search engines and websites. We screened search results for releva</w:t>
      </w:r>
    </w:p>
    <w:p>
      <w:pPr/>
      <w:r>
        <w:rPr>
          <w:b/>
        </w:rPr>
        <w:t>POSSIBLE 2026:</w:t>
      </w:r>
      <w:r>
        <w:t xml:space="preserve"> A Changing North Atlantic Background Amplifies Western European Heatwaves — https://doi.org/10.31223/x55z2c</w:t>
      </w:r>
    </w:p>
    <w:p>
      <w:pPr/>
      <w:r>
        <w:rPr>
          <w:b/>
        </w:rPr>
        <w:t>Shared claim-specific concepts:</w:t>
      </w:r>
      <w:r>
        <w:t xml:space="preserve"> background, july, heat, warmer; EU scope visible. This is a provisional connection, not an outcome finding.</w:t>
      </w:r>
    </w:p>
    <w:p>
      <w:pPr>
        <w:pStyle w:val="SourceNote"/>
      </w:pPr>
      <w:r>
        <w:rPr>
          <w:b/>
        </w:rPr>
        <w:t>Available abstract (not full text):</w:t>
      </w:r>
      <w:r>
        <w:t xml:space="preserve"> Western European summer heatwaves have increased markedly since the 1990s, culminating in the record warmth of May–July 2026 since 1950. We show that this rise is closely associated with the slowly evolving North Atlantic background. We combine two leading April sea surface temperature modes, representing basin-wide warming and a tripole-like pattern, into an Atlantic Two-Mode Index (ATMI). The index closely tracks the low-frequency increase in heatwave days and peaked in 2026. Under closely matched heatwave-favoring atmospheric circulation, the post-1990 events were 1.3 °C warmer than historical counterparts despite little change in atmospheric ridge amplitude; removing the ATMI-linked low-frequency temperature component reduced this difference to 0.1 °C. Persistent heatwaves occurred in 90% of cases under high-ATMI conditions but were absent under low-ATMI conditions. These results indicate that western European heatwaves have become more frequent mainly because a warmer Atlantic–European background allows similar circulation patterns to produce substantially greater heat extremes.</w:t>
      </w:r>
    </w:p>
    <w:p>
      <w:pPr/>
      <w:r>
        <w:rPr>
          <w:b/>
        </w:rPr>
        <w:t>POSSIBLE 2026:</w:t>
      </w:r>
      <w:r>
        <w:t xml:space="preserve"> Biodiversity Integration in the European Banking: Theoretical Background &amp; Empirical Evidence — https://openalex.org/W7197300685</w:t>
      </w:r>
    </w:p>
    <w:p>
      <w:pPr/>
      <w:r>
        <w:rPr>
          <w:b/>
        </w:rPr>
        <w:t>Shared claim-specific concepts:</w:t>
      </w:r>
      <w:r>
        <w:t xml:space="preserve"> background, climate, including; EU scope visible. This is a provisional connection, not an outcome finding.</w:t>
      </w:r>
    </w:p>
    <w:p>
      <w:pPr>
        <w:pStyle w:val="SourceNote"/>
      </w:pPr>
      <w:r>
        <w:rPr>
          <w:b/>
        </w:rPr>
        <w:t>Available abstract (not full text):</w:t>
      </w:r>
      <w:r>
        <w:t xml:space="preserve"> This thesis investigates the integration of biodiversity considerations into the European banking sector by combining a comprehensive theoretical framework with empirical analysis. It is grounded in the recognition that biodiversity loss represents one of the most critical and systemic environmental challenges of the 21st century, with far-reaching implications for economic stability and financial systems. Unlike climate change, biodiversity loss is largely irreversible and characterized by complex, non-linear dynamics, making its assessment and integration into financial decision-making particularly challenging. The study begins by establishing the ecological and economic foundations of biodiversity. It conceptualizes biodiversity not merely as a stock of natural assets, but as a functional system property that underpins ecosystem services such as pollination, water regulation, and climate stability. By introducing the concept of natural capital, the thesis highlights the structural dependence of economic activity on ecological systems and critically examines the limitations of conventional economic metrics, particularly the inability of GDP to capture the depletion of natural assets. It further identifies key barriers to implementation, including valuation challenges, data gaps, and misaligned incentives. Building on this foundation, the thesis analyses how biodiversity loss </w:t>
      </w:r>
    </w:p>
    <w:p>
      <w:pPr/>
      <w:r>
        <w:rPr>
          <w:b/>
        </w:rPr>
        <w:t>POSSIBLE 2026:</w:t>
      </w:r>
      <w:r>
        <w:t xml:space="preserve"> Linking vulnerability and resilience for climate change adaptation: a GeoAI-integrated assessment across Europe — https://doi.org/10.1186/s13717-026-00680-x</w:t>
      </w:r>
    </w:p>
    <w:p>
      <w:pPr/>
      <w:r>
        <w:rPr>
          <w:b/>
        </w:rPr>
        <w:t>Shared claim-specific concepts:</w:t>
      </w:r>
      <w:r>
        <w:t xml:space="preserve"> climate, including, heat; EU scope visible. This is a provisional connection, not an outcome finding.</w:t>
      </w:r>
    </w:p>
    <w:p>
      <w:pPr>
        <w:pStyle w:val="SourceNote"/>
      </w:pPr>
      <w:r>
        <w:rPr>
          <w:b/>
        </w:rPr>
        <w:t>Available abstract (not full text):</w:t>
      </w:r>
      <w:r>
        <w:t xml:space="preserve"> Climate change is reshaping key ecological processes such as drought cycles, heat stress, disturbance regimes, and air quality regulation. These changes generate cascading impacts on ecosystems and the human societies that depend on them. There is therefore a pressing need for frameworks that not only map where adaptation is required but also explain why these needs arise. Existing approaches often remain limited: top-down climate scenarios overlook local stressors, multi-criteria decision-making (MCDM) applications suffer from subjectivity, and machine learning models frequently lack interpretability. To address these limitations, this study introduces an integrated framework that combines ecological, climatic, and socio-economic indicators with MCDM, Geographic Artificial Intelligence (GeoAI), and explainable machine learning to provide spatial mapping and a sensitivity-based interpretation of adaptation needs. A Climate Change Adaptation Index (CCAI) was constructed for 1,187 NUTS-3 regions using 44 indicators of vulnerability and resilience, including land surface temperature, burned areas, hydrological stress, demographic sensitivity, renewable energy use, and institutional effectiveness. Fuzzy Analytical Hierarchy Process (F-AHP) was employed to derive factor weights, and SHapley Additive exPlanations (SHAP) was applied to analyse indicator interactions. The findings high</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background, climate, warmer;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2025:</w:t>
      </w:r>
      <w:r>
        <w:t xml:space="preserve"> Climate change worry and the association with future depression and anxiety: cross-national analysis of 11 European countries — https://doi.org/10.1136/bmjment-2024-301318</w:t>
      </w:r>
    </w:p>
    <w:p>
      <w:pPr/>
      <w:r>
        <w:rPr>
          <w:b/>
        </w:rPr>
        <w:t>Shared claim-specific concepts:</w:t>
      </w:r>
      <w:r>
        <w:t xml:space="preserve"> background, climate, wave; EU scope visible. This is a provisional connection, not an outcome finding.</w:t>
      </w:r>
    </w:p>
    <w:p>
      <w:pPr>
        <w:pStyle w:val="SourceNote"/>
      </w:pPr>
      <w:r>
        <w:rPr>
          <w:b/>
        </w:rPr>
        <w:t>Available abstract (not full text):</w:t>
      </w:r>
      <w:r>
        <w:t xml:space="preserve"> ABSTRACT BACKGROUND Climate change is one of the biggest threats to global health and can affect people’s mental health directly and indirectly. This study focused on the implications of climate change worry for mental health. OBJECTIVE To determine the association between climate change worry and future risk of depression, anxiety and sleep disturbance across 11 European countries. METHODS The study included 5,155 participants in the European Social Survey-10 (2020-22), which assessed climate change worry and subsequent follow-up CROss-National Online Survey 2 (CRONOS-2) wave 4, which measured symptoms of depression and anxiety (2022). Overall relationships between climate change worry and risk of depression, anxiety and sleep disturbance were explored using logistic regression models adjusting for potential confounders, then stratified by country. FINDINGS Climate change worry was associated with increased risk of anxiety (OR: 1.38, 95% CI: 1.13-1.68), but not depression (OR: 1.10, 95% CI: 0.94-1.29) or sleep disturbance (OR: 1.08, 95% CI: 0.92-1.27), in pooled analyses across countries. When stratified by country, climate worry had differing associations with the outcomes, with the strongest relationships between climate worry and anxiety found in Slovenia and Italy. CONCLUSIONS Climate change worry may contribute to clinically significant anxiety in some countries, but less</w:t>
      </w:r>
    </w:p>
    <w:p>
      <w:pPr/>
      <w:r>
        <w:rPr>
          <w:b/>
        </w:rPr>
        <w:t>POSSIBLE 2025:</w:t>
      </w:r>
      <w:r>
        <w:t xml:space="preserve"> Indoor Air Background Concentrations of Volatile Organic Compounds ( VOCs ) in California Residences — https://doi.org/10.1111/gwmr.12719</w:t>
      </w:r>
    </w:p>
    <w:p>
      <w:pPr/>
      <w:r>
        <w:rPr>
          <w:b/>
        </w:rPr>
        <w:t>Shared claim-specific concepts:</w:t>
      </w:r>
      <w:r>
        <w:t xml:space="preserve"> background, including, concentrations; EU scope not established. This is a provisional connection, not an outcome finding.</w:t>
      </w:r>
    </w:p>
    <w:p>
      <w:pPr>
        <w:pStyle w:val="SourceNote"/>
      </w:pPr>
      <w:r>
        <w:rPr>
          <w:b/>
        </w:rPr>
        <w:t>Available abstract (not full text):</w:t>
      </w:r>
      <w:r>
        <w:t xml:space="preserve"> Abstract A study was performed to measure typical “indoor air background” concentrations of volatile organic compounds (VOCs) in residential buildings in the state of California that were not known to be impacted by subsurface sources. A total of 57 buildings were sampled between February 2023 and February 2024, with one sample collected per building. The data set represents 38 different cities within the state of California. The samples were analyzed using the United States Environmental Protection Agency (EPA) Method TO‐15 (EPA 1999) in both full‐scan and Selected Ion Monitoring (SIM) modes. A total of 105 individual VOCs were reported for each sample. The overall data set is 5985 individual data points, with concentrations of target compound VOCs reported from less than the laboratory method reporting limit of 0.044 μg/m 3 (micrograms per cubic meter) to concentrations up to 14,000 μg/m 3 . Various VOCs were detected at concentrations above screening levels used in California and elsewhere in the United States, including Benzene, Naphthalene, Tetrachloroethene (PCE), and Trichloroethene (TCE). These compounds are often considered “risk drivers” in vapor intrusion (VI) studies, so their presence in background air at concentrations above screening levels may complicate such studies. Compared with previous, similar studies, this study is more comprehensive with a larger number </w:t>
      </w:r>
    </w:p>
    <w:p>
      <w:pPr/>
      <w:r>
        <w:rPr>
          <w:b/>
        </w:rPr>
        <w:t>POSSIBLE 2025:</w:t>
      </w:r>
      <w:r>
        <w:t xml:space="preserve"> Application of Machine Learning Approaches to Predict Soil Element Background Concentration at Large Region Scale — https://doi.org/10.3390/su17177853</w:t>
      </w:r>
    </w:p>
    <w:p>
      <w:pPr/>
      <w:r>
        <w:rPr>
          <w:b/>
        </w:rPr>
        <w:t>Shared claim-specific concepts:</w:t>
      </w:r>
      <w:r>
        <w:t xml:space="preserve"> background, including, concentrations, demonstrated; EU scope not established. This is a provisional connection, not an outcome finding.</w:t>
      </w:r>
    </w:p>
    <w:p>
      <w:pPr>
        <w:pStyle w:val="SourceNote"/>
      </w:pPr>
      <w:r>
        <w:rPr>
          <w:b/>
        </w:rPr>
        <w:t>Available abstract (not full text):</w:t>
      </w:r>
      <w:r>
        <w:t xml:space="preserve"> Soil element background concentration is foundational data for environmental quality assessment, contamination diagnosis, and sustainable land management. However, existing investigation-based methods are time-consuming and inefficient. The machine learning (ML) method has demonstrated excellent performance in predicting soil heavy metal concentration. In this study, based on the nine environmental variables of soil formation from 210 soil monitoring points, including elevation, pH, organic matter, soil type, parent material, plant cover, land use type, topography, and soil texture, decision tree (DT), random forest (RF), extreme gradient boosting (XGB), and support vector machine (SVM) models were used to predict the eleven soil element background concentrations. Among them, SVM and RF models could be used for an effective prediction of the background concentration of all soil heavy metals. Compared with the XGBoost and DT, the SVM for all heavy metals except for cadmium (Cd) and manganese (Mn) performs best. Although the key factors affecting background concentrations vary among different soil elements, organic matter, soil type, and altitude, they play a crucial role in the accurate prediction of soil element background concentration. This study provides simple and efficient ML models for predicting soil element background concentration at the large regional scale. The resul</w:t>
      </w:r>
    </w:p>
    <w:p>
      <w:pPr/>
      <w:r>
        <w:rPr>
          <w:b/>
        </w:rPr>
        <w:t>POSSIBLE 2025:</w:t>
      </w:r>
      <w:r>
        <w:t xml:space="preserve"> WEATHERING THE STORM IN EUROPE: USE OF AI IN CLIMATE ADAPTATION AND CHALLENGES FOR CLIMATE JUSTICE — https://doi.org/10.21492/inuhfd.1732027</w:t>
      </w:r>
    </w:p>
    <w:p>
      <w:pPr/>
      <w:r>
        <w:rPr>
          <w:b/>
        </w:rPr>
        <w:t>Shared claim-specific concepts:</w:t>
      </w:r>
      <w:r>
        <w:t xml:space="preserve"> background, climate, including; EU scope visible. This is a provisional connection, not an outcome finding.</w:t>
      </w:r>
    </w:p>
    <w:p>
      <w:pPr>
        <w:pStyle w:val="SourceNote"/>
      </w:pPr>
      <w:r>
        <w:rPr>
          <w:b/>
        </w:rPr>
        <w:t>Available abstract (not full text):</w:t>
      </w:r>
      <w:r>
        <w:t xml:space="preserve"> The climate crisis is growing increasingly dire by the day, and its impacts are now significantly affecting vulnerable populations. In this context, climate adaptation and resilience measures are inclined to deploy more and more Artificial Intelligence (AI) driven tools as this technology enables analysis of immense amounts of data in a very short time span, which constitutes an auspicious instrument to understand the consequences of climate change including but not limited to extreme weather conditions, sea level rise, drought and their impact on communities. However, such tools are not free of bias and social risks. This study aims to understand the human rights risk posed by deploying AI tools in climate adaptation in Europe, particularly for vulnerable groups that are disadvantaged in becoming resilient towards climate change impacts. Accordingly, it examines whether international and European regulatory frameworks effectively address these risks. Given this background, the paper proposes certain normative and policy-based solutions to the identified gaps.</w:t>
      </w:r>
    </w:p>
    <w:p>
      <w:pPr/>
      <w:r>
        <w:rPr>
          <w:b/>
        </w:rPr>
        <w:t>POSSIBLE 2025:</w:t>
      </w:r>
      <w:r>
        <w:t xml:space="preserve"> Toxic Trace Element Concentration in Commercially Available Cigarettes in Poland, Europe — https://doi.org/10.3390/toxics13121088</w:t>
      </w:r>
    </w:p>
    <w:p>
      <w:pPr/>
      <w:r>
        <w:rPr>
          <w:b/>
        </w:rPr>
        <w:t>Shared claim-specific concepts:</w:t>
      </w:r>
      <w:r>
        <w:t xml:space="preserve"> background, including, concentrations; EU scope visible. This is a provisional connection, not an outcome finding.</w:t>
      </w:r>
    </w:p>
    <w:p>
      <w:pPr>
        <w:pStyle w:val="SourceNote"/>
      </w:pPr>
      <w:r>
        <w:rPr>
          <w:b/>
        </w:rPr>
        <w:t>Available abstract (not full text):</w:t>
      </w:r>
      <w:r>
        <w:t xml:space="preserve"> (1) Background: Tobacco use constitutes a significant preventable cause of morbidity and mortality on a global scale. It contributes to cumulative exposure to carcinogenic and toxic heavy metals, including cadmium, lead, nickel, and copper. Collectively, these metals promote oxidative stress, multi-organ damage, and an increased risk of cancer, cardiovascular, respiratory, and renal diseases; (2) Methods: The research material comprised 119 tobacco samples. The concentrations of cadmium, lead, copper, and nickel in the samples were subsequently determined. A series of calculations were conducted in order to estimate the non-carcinogenic and carcinogenic health risks associated with the consumption of tobacco products under a variety of exposure scenarios; (3) Results: The concentrations of heavy metals in the tobacco samples ranged as follows, with mean values: Cd: 0.3-8.6 mg/kg (mean 1.0), Cu: 3.4-92.6 mg/kg (mean 12.3), Ni: 1.1-15.4 mg/kg (mean 3.4), and Pb: 0.2-1633.3 mg/kg (mean 46.5). A health risk assessment indicated that exposure through inhalation to cadmium Cd, Ni, and Pb, even in the minimal smoking scenario of one cigarette per day, consistently exceeded internationally established thresholds for carcinogenic risk; (4) Conclusions: The presence of high inter-brand variability and high-risk outliers underscores the necessity for enhanced regulation and monitoring of </w:t>
      </w:r>
    </w:p>
    <w:p>
      <w:pPr/>
      <w:r>
        <w:rPr>
          <w:b/>
        </w:rPr>
        <w:t>POSSIBLE 2025:</w:t>
      </w:r>
      <w:r>
        <w:t xml:space="preserve"> RESOLVING SEASONAL DYNAMICS OF AEROSOL SOURCES IN A FINE PARTICULATE MATTER FRACTION AT A CENTRAL EUROPEAN RURAL BACKGROUND STATION — https://openalex.org/W7135963886</w:t>
      </w:r>
    </w:p>
    <w:p>
      <w:pPr/>
      <w:r>
        <w:rPr>
          <w:b/>
        </w:rPr>
        <w:t>Shared claim-specific concepts:</w:t>
      </w:r>
      <w:r>
        <w:t xml:space="preserve"> varying, background, concentrations; EU scope visible. This is a provisional connection, not an outcome finding.</w:t>
      </w:r>
    </w:p>
    <w:p>
      <w:pPr>
        <w:pStyle w:val="SourceNote"/>
      </w:pPr>
      <w:r>
        <w:rPr>
          <w:b/>
        </w:rPr>
        <w:t>Available abstract (not full text):</w:t>
      </w:r>
      <w:r>
        <w:t xml:space="preserve"> Fine particulate matter (PM) has been a key domain of investigation in atmospheric research due to its complex chemical composition, transport potential, and ability to penetrate environmental and biological systems, thereby influencing ecosystem stability and human health. Varying size fractions within fine particles are of particular concern as their physicochemical properties, sources, and atmospheric transformation processes vary considerably with particle size and meteorological conditions. Seasonal variability further modulates their composition through changes in emission patterns, boundary layer dynamics, and secondary formation pathways. In this study, we investigate elemental concentrations in the fine aerosol sub-fraction (1.15-0.35 μm) sampled at a Central European rural background site across summer and winter, followed by source apportionment analysis.</w:t>
      </w:r>
    </w:p>
    <w:p>
      <w:pPr/>
      <w:r>
        <w:rPr>
          <w:b/>
        </w:rPr>
        <w:t>POSSIBLE 2024:</w:t>
      </w:r>
      <w:r>
        <w:t xml:space="preserve"> Cooling efficacy of trees across cities is determined by background climate, urban morphology, and tree trait — https://doi.org/10.1038/s43247-024-01908-4</w:t>
      </w:r>
    </w:p>
    <w:p>
      <w:pPr/>
      <w:r>
        <w:rPr>
          <w:b/>
        </w:rPr>
        <w:t>Shared claim-specific concepts:</w:t>
      </w:r>
      <w:r>
        <w:t xml:space="preserve"> background, climate, heat, climates; EU scope not established. This is a provisional connection, not an outcome finding.</w:t>
      </w:r>
    </w:p>
    <w:p>
      <w:pPr>
        <w:pStyle w:val="SourceNote"/>
      </w:pPr>
      <w:r>
        <w:rPr>
          <w:b/>
        </w:rPr>
        <w:t>Available abstract (not full text):</w:t>
      </w:r>
      <w:r>
        <w:t xml:space="preserve"> Abstract Urban planners and other stakeholders often view trees as the ultimate panacea for mitigating urban heat stress; however, their cooling efficacy varies globally and is influenced by three primary factors: tree traits, urban morphology, and climate conditions. This study analyzes 182 studies on the cooling effects of urban trees across 17 climates in 110 global cities or regions. Tree implementation reduces peak monthly temperatures to below 26 °C in 83% of the cities. Trees can lower pedestrian-level temperatures by up to 12 °C through large radiation blockage and transpiration. In tropical, temperate, and continental climates, a mixed-use of deciduous and evergreen trees in open urban morphology provides approximately 0.5 °C more cooling than a single species approach. In arid climates, evergreen species predominate and demonstrate more effective cooling within compact urban morphology. Our study offers context-specific greening guidelines for urban planners to harness tree cooling in the face of global warming.</w:t>
      </w:r>
    </w:p>
    <w:p>
      <w:pPr>
        <w:pStyle w:val="Heading2"/>
      </w:pPr>
      <w:r>
        <w:t>560. The future of the Mediterranean agri-food systems: Trends and perspectives from a Delphi survey</w:t>
      </w:r>
    </w:p>
    <w:p>
      <w:pPr>
        <w:pStyle w:val="SourceNote"/>
      </w:pPr>
      <w:r>
        <w:rPr>
          <w:b/>
        </w:rPr>
        <w:t>Original source (2022):</w:t>
      </w:r>
      <w:r>
        <w:t xml:space="preserve"> https://doi.org/10.1016/j.landusepol.2022.106263</w:t>
      </w:r>
    </w:p>
    <w:p>
      <w:pPr/>
      <w:r>
        <w:t>Original wording (abstract; indexed_source_text_not_full_document_verified): First, to identify the main challenges, trends and driving forces that influence the agri-food systems in the Mediterranean over a short (2020) and medium (2030) term. Second, to discuss the alternative policy responses to the challenges that the region will face in terms of water resource management, farming systems and agri-food value chains in terms of desirability and feasibility.</w:t>
      </w:r>
    </w:p>
    <w:p>
      <w:pPr/>
      <w:r>
        <w:rPr>
          <w:b/>
        </w:rPr>
        <w:t>POSSIBLE 2026:</w:t>
      </w:r>
      <w:r>
        <w:t xml:space="preserve"> IDENTIFYING THE MAIN FACTORS AFFECTING CAPITAL GROWTH — https://openalex.org/W7216652737</w:t>
      </w:r>
    </w:p>
    <w:p>
      <w:pPr/>
      <w:r>
        <w:rPr>
          <w:b/>
        </w:rPr>
        <w:t>Shared claim-specific concepts:</w:t>
      </w:r>
      <w:r>
        <w:t xml:space="preserve"> main, influence, management; EU scope not established. This is a provisional connection, not an outcome finding.</w:t>
      </w:r>
    </w:p>
    <w:p>
      <w:pPr>
        <w:pStyle w:val="SourceNote"/>
      </w:pPr>
      <w:r>
        <w:rPr>
          <w:b/>
        </w:rPr>
        <w:t>Available abstract (not full text):</w:t>
      </w:r>
      <w:r>
        <w:t xml:space="preserve"> This thesis systematically analyzes the main factors affecting the capital growth of an enterprise. The study considers the factors divided into internal (endogenous) and external (exogenous) groups, reveals the mechanism of their influence on capital growth and their interrelationships. In addition, quantitative methods for assessing capital growth are presented - the DuPont model, the Higgins sustainable growth model and regression analysis approaches. The results of the study serve as a theoretical and practical basis for making effective strategic decisions in the financial management of an enterprise.</w:t>
      </w:r>
    </w:p>
    <w:p>
      <w:pPr/>
      <w:r>
        <w:rPr>
          <w:b/>
        </w:rPr>
        <w:t>POSSIBLE 2026:</w:t>
      </w:r>
      <w:r>
        <w:t xml:space="preserve"> A Greedy First-Fit Heuristic for Reallocating Outpatient Surgeries from Main OR to Ambulatory Surgery Center — https://doi.org/10.46254/na11.20260153</w:t>
      </w:r>
    </w:p>
    <w:p>
      <w:pPr/>
      <w:r>
        <w:rPr>
          <w:b/>
        </w:rPr>
        <w:t>Shared claim-specific concepts:</w:t>
      </w:r>
      <w:r>
        <w:t xml:space="preserve"> identify, main, systems; EU scope not established. This is a provisional connection, not an outcome finding.</w:t>
      </w:r>
    </w:p>
    <w:p>
      <w:pPr>
        <w:pStyle w:val="SourceNote"/>
      </w:pPr>
      <w:r>
        <w:rPr>
          <w:b/>
        </w:rPr>
        <w:t>Available abstract (not full text):</w:t>
      </w:r>
      <w:r>
        <w:t xml:space="preserve"> Operating room (OR) is among the most capital-intensive resources in health systems, yet inefficiencies persist in allocating outpatient surgery across facility types. Although ambulatory surgery centers (ASCs) are optimized for lower-acuity procedures, many eligible cases remain scheduled in higher-cost main hospital ORs, consuming prime-time capacity needed for emergent, complex, or inpatient surgeries and contributing to access delays. This study proposes a greedy first-fit scheduling heuristic to identify outpatient surgical cases eligible for transfer from the main OR and assign them to available ASC OR time slots. The approach is evaluated retrospectively using ten months of fiscal year 2025 EHR-derived surgical data from a pediatric health system with eight main ORs and four ASC ORs. Across the study period, the algorithm identified 2,071 movable outpatient cases and reassigned each without creating scheduling conflicts. Simulated reallocation increased aggregate ASC block utilization from 50.2% to 73.1% across the four ASC rooms, with room-level gains of 18.1–30.8%. These findings demonstrate that the proposed heuristic can serve as a prospective decision-support tool for optimizing surgical case allocation between the main OR and ASC. The algorithm is currently being used prospectively to support future scheduling decisions.</w:t>
      </w:r>
    </w:p>
    <w:p>
      <w:pPr/>
      <w:r>
        <w:rPr>
          <w:b/>
        </w:rPr>
        <w:t>POSSIBLE 2026:</w:t>
      </w:r>
      <w:r>
        <w:t xml:space="preserve"> Identifying and Ranking the Eight Risks of AI for Each of the Six Main AI-Focused Fintech Business Models — https://doi.org/10.1007/978-3-032-18109-1_7</w:t>
      </w:r>
    </w:p>
    <w:p>
      <w:pPr/>
      <w:r>
        <w:rPr>
          <w:b/>
        </w:rPr>
        <w:t>Shared claim-specific concepts:</w:t>
      </w:r>
      <w:r>
        <w:t xml:space="preserve"> first, identify, main, influence, second; EU scope not established. This is a provisional connection, not an outcome finding.</w:t>
      </w:r>
    </w:p>
    <w:p>
      <w:pPr>
        <w:pStyle w:val="SourceNote"/>
      </w:pPr>
      <w:r>
        <w:rPr>
          <w:b/>
        </w:rPr>
        <w:t>Available abstract (not full text):</w:t>
      </w:r>
      <w:r>
        <w:t xml:space="preserve"> This research explores the implications for risk of six AI-focused Fintech business models identified in the previous research. While each of the six business models has been validated in previous research, their typical influence on risk has not been sufficiently explored. A Delphi method with two stages is used. In the first stage, the semi-structured interviews with experts identify the main risks each of the six models faces. For the second stage the participants are presented with a summary of all the risks identified by all the participants, and they are asked to rank them for their specific model. Eight risks related to the application of an AI-focused business model are identified: (1) direct AI risks, (2) technology integration risk, (3) third-party vendor risk, (4) technology infrastructure risk, (5) data protection and privacy risk, (6) cybersecurity risk, (7) fraud and identity theft risk, and (8) strategic misalignment risk. The eight risks apply to all six models; however, they are not equally significant in all models. The six business models reduce risk in two main ways: Firstly, because they are proven models and secondly because they have a proven place in the typical ecosystems that emerge.</w:t>
      </w:r>
    </w:p>
    <w:p>
      <w:pPr/>
      <w:r>
        <w:rPr>
          <w:b/>
        </w:rPr>
        <w:t>POSSIBLE 2026:</w:t>
      </w:r>
      <w:r>
        <w:t xml:space="preserve"> How defensive driving enhances driving safety: A driving simulator study on drivers' defensive driving behaviors — https://doi.org/10.48550/arxiv.2607.18663</w:t>
      </w:r>
    </w:p>
    <w:p>
      <w:pPr/>
      <w:r>
        <w:rPr>
          <w:b/>
        </w:rPr>
        <w:t>Shared claim-specific concepts:</w:t>
      </w:r>
      <w:r>
        <w:t xml:space="preserve"> first, identify, trends, driving; EU scope not established. This is a provisional connection, not an outcome finding.</w:t>
      </w:r>
    </w:p>
    <w:p>
      <w:pPr>
        <w:pStyle w:val="SourceNote"/>
      </w:pPr>
      <w:r>
        <w:rPr>
          <w:b/>
        </w:rPr>
        <w:t>Available abstract (not full text):</w:t>
      </w:r>
      <w:r>
        <w:t xml:space="preserve"> Defensive driving is widely recognized as an advanced driving skill. However, whether and how defensive driving affects driving safety remains insufficiently investigated. This study examines the behavioral characteristics of defensive driving, its impact on driving safety, and the underlying mechanisms. First, defensive driving is defined regarding operational timing and application scenario. Then, 82 participants are recruited for driving simulator experiments, with their behavioral and eye movement data being collected. Following the experiments, participants are categorized into groups based on the frequency of defensive driving behaviors exhibited. Finally, both inter-group and inter trial comparisons are performed on the experimental data. Experimental results demonstrate that in the inter-group comparison, the high defensive driving capability group exhibits higher acceleration and deceleration magnitudes, lower average speeds, and larger average absolute yaw angles compared to the low capability group, alongside shorter fixation durations and reduced fixation frequencies. Moreover, we observe that these participants tend to initiate defensive or evasive actions earlier, resulting in lower scenario risk. Regarding the inter-trial comparison, we observe similar trends exclusively in the low capability group, whereas most metrics show no significant differences between Tri</w:t>
      </w:r>
    </w:p>
    <w:p>
      <w:pPr/>
      <w:r>
        <w:rPr>
          <w:b/>
        </w:rPr>
        <w:t>POSSIBLE 2026:</w:t>
      </w:r>
      <w:r>
        <w:t xml:space="preserve"> Using a counterfactual thinking intervention to improve safe driving intentions and identifying strategies to avoid distracted driving in college students: A pilot study — https://doi.org/10.1016/j.trf.2026.103666</w:t>
      </w:r>
    </w:p>
    <w:p>
      <w:pPr/>
      <w:r>
        <w:rPr>
          <w:b/>
        </w:rPr>
        <w:t>Shared claim-specific concepts:</w:t>
      </w:r>
      <w:r>
        <w:t xml:space="preserve"> first, trends, driving; EU scope not established. This is a provisional connection, not an outcome finding.</w:t>
      </w:r>
    </w:p>
    <w:p>
      <w:pPr>
        <w:pStyle w:val="SourceNote"/>
      </w:pPr>
      <w:r>
        <w:rPr>
          <w:b/>
        </w:rPr>
        <w:t>Available abstract (not full text):</w:t>
      </w:r>
      <w:r>
        <w:t xml:space="preserve"> Distracted driving is a major public safety concern. After experiencing a negative outcome from phone-related distracted driving, individuals may imagine how the outcome could have been better (i.e., counterfactual thinking, CFT), thus highlighting ways to avoid similar outcomes in the future. The current study examined the preliminary efficacy of a CFT intervention to reduce distracted driving intentions while also contextualizing the types of distracted driving experiences and specific strategies, obstacles, and behaviors participants identified could help them address their distracted driving. Through an online survey, participants ( N = 113) self-reported how often they engage in distracted driving and were then asked to write about a time in the last three months they engaged in distracted driving and experienced a negative outcome. Participants were then randomly assigned to a CFT or control condition, completed condition-specific writing tasks, and then completed two measures of intentions (continue to use a phone while driving, reduce phone use while driving) and demographics. Compared to the control condition, the CFT condition reported marginally higher intentions to avoid phone use while driving ( p = .07). Common reasons for phone distraction while driving included using it for navigation and music purposes. Strategies generated to avoid phone distraction included p</w:t>
      </w:r>
    </w:p>
    <w:p>
      <w:pPr/>
      <w:r>
        <w:rPr>
          <w:b/>
        </w:rPr>
        <w:t>POSSIBLE 2026:</w:t>
      </w:r>
      <w:r>
        <w:t xml:space="preserve"> Datasets and data spaces in the autonomous driving domain: insights and trends — https://doi.org/10.1186/s12544-026-00844-y</w:t>
      </w:r>
    </w:p>
    <w:p>
      <w:pPr/>
      <w:r>
        <w:rPr>
          <w:b/>
        </w:rPr>
        <w:t>Shared claim-specific concepts:</w:t>
      </w:r>
      <w:r>
        <w:t xml:space="preserve"> challenges, trends, driving, management; EU scope visible. This is a provisional connection, not an outcome finding.</w:t>
      </w:r>
    </w:p>
    <w:p>
      <w:pPr>
        <w:pStyle w:val="SourceNote"/>
      </w:pPr>
      <w:r>
        <w:rPr>
          <w:b/>
        </w:rPr>
        <w:t>Available abstract (not full text):</w:t>
      </w:r>
      <w:r>
        <w:t xml:space="preserve"> The rapid evolution of autonomous driving technologies is deeply reliant on high-quality datasets and robust data management solutions that cannot be achieved by a single actor working in isolation. This paper examines the growing role of datasets and data spaces in the mobility domain, providing a conceptual analysis of current approaches and identifying key challenges and emerging trends that inform the design of an autonomous vehicle data space framework. While peer-to-peer solutions for data sharing already exist, the concept of data spaces can significantly scale these approaches, creating a self-improving feedback loop that enhances the performance of AI-based driving models by matching the demand for data with the data offered by providers. Specifically, the paper addresses the challenge of acquiring intra-vehicular data to enhance assisted driving functionalities and proposes a methodology for building a data space specialized for automated driving applications. Finally, the paper explores representative use cases, including a Level 4 automated shuttle, TalTech iseAuto, Estonia, and an all-terrain vehicle provided by CERTH, Greece, by conceptualizing data sharing across different domains, where data providers and consumers exchange information within a data space framework, driving continuous improvement in model performance.</w:t>
      </w:r>
    </w:p>
    <w:p>
      <w:pPr/>
      <w:r>
        <w:rPr>
          <w:b/>
        </w:rPr>
        <w:t>POSSIBLE 2026:</w:t>
      </w:r>
      <w:r>
        <w:t xml:space="preserve"> NENUPHAR D5.3. Lessons learnt and recommendations to the main regional clusters (first version) — https://doi.org/10.5281/zenodo.19000171</w:t>
      </w:r>
    </w:p>
    <w:p>
      <w:pPr/>
      <w:r>
        <w:rPr>
          <w:b/>
        </w:rPr>
        <w:t>Shared claim-specific concepts:</w:t>
      </w:r>
      <w:r>
        <w:t xml:space="preserve"> first, identify, main, region, resource, management; EU scope visible. This is a provisional connection, not an outcome finding.</w:t>
      </w:r>
    </w:p>
    <w:p>
      <w:pPr>
        <w:pStyle w:val="SourceNote"/>
      </w:pPr>
      <w:r>
        <w:rPr>
          <w:b/>
        </w:rPr>
        <w:t>Available abstract (not full text):</w:t>
      </w:r>
      <w:r>
        <w:t xml:space="preserve"> This deliverable, D5.3 "Lessons Learnt and Recommendations to the Main Regional Clusters (First Version)," builds on the NENUPHAR project's previous work, mostly D2.4 "Best Practices for the Implementation of Governance Models" (Boy &amp; Febrer, 2025), in developing sustainable solutions for nutrient management. Based on the practical experience of NENUPHAR partners gained during tasks 5.1 ("Roll-out of solutions in pilot sites") and 5.2 ("Monitoring and validation of solutions at field level"), this report analyses recommendations for optimizing nutrient management governance across three European river basins: Ebro, Lielupe, and Danube. Task 5.2 involves implementing and monitoring NENUPHAR solutions, gathering data using Key Performance Indicators (KPIs), and engaging with stakeholders. This practical experience directly informed the evaluation and analysis of recommendations from D2.4 Qualitative data from demonstration sites in Spain, Latvia, Lithuania, Slovakia, and Hungary was analysed using a methodology that included feasibility assessment elements to determine the priority and feasibility of each recommendation, identify potential obstacles and solutions, and propose prioritized implementation sequences. The Ebro river basin analysis highlights the need for integrated governance, data platforms, and stakeholder engagement to address nitrate pollution. The Lielupe river b</w:t>
      </w:r>
    </w:p>
    <w:p>
      <w:pPr/>
      <w:r>
        <w:rPr>
          <w:b/>
        </w:rPr>
        <w:t>POSSIBLE 2026:</w:t>
      </w:r>
      <w:r>
        <w:t xml:space="preserve"> First-order homogenization — https://doi.org/10.1017/prm.2026.10125</w:t>
      </w:r>
    </w:p>
    <w:p>
      <w:pPr/>
      <w:r>
        <w:rPr>
          <w:b/>
        </w:rPr>
        <w:t>Shared claim-specific concepts:</w:t>
      </w:r>
      <w:r>
        <w:t xml:space="preserve"> identify, main, terms; EU scope not established. This is a provisional connection, not an outcome finding.</w:t>
      </w:r>
    </w:p>
    <w:p>
      <w:pPr>
        <w:pStyle w:val="SourceNote"/>
      </w:pPr>
      <w:r>
        <w:rPr>
          <w:b/>
        </w:rPr>
        <w:t>Available abstract (not full text):</w:t>
      </w:r>
      <w:r>
        <w:t xml:space="preserve"> We provide a first-order homogenization result for quadratic functionals. In particular, we identify the scaling of the energy and the explicit form of the limiting functional in terms of the first-order correctors. The main novelty of the paper is the use of the dual correspondence between quadratic functionals and PDEs, combined with a refinement of the classical Riemann–Lebesgue lemma.</w:t>
      </w:r>
    </w:p>
    <w:p>
      <w:pPr/>
      <w:r>
        <w:rPr>
          <w:b/>
        </w:rPr>
        <w:t>POSSIBLE 2026:</w:t>
      </w:r>
      <w:r>
        <w:t xml:space="preserve"> Sensors in Self-Driving Vehicles: A Detailed Literature Review and New Trends — https://doi.org/10.3390/s26072153</w:t>
      </w:r>
    </w:p>
    <w:p>
      <w:pPr/>
      <w:r>
        <w:rPr>
          <w:b/>
        </w:rPr>
        <w:t>Shared claim-specific concepts:</w:t>
      </w:r>
      <w:r>
        <w:t xml:space="preserve"> main, challenges, trends, driving, systems; EU scope not established. This is a provisional connection, not an outcome finding.</w:t>
      </w:r>
    </w:p>
    <w:p>
      <w:pPr>
        <w:pStyle w:val="SourceNote"/>
      </w:pPr>
      <w:r>
        <w:rPr>
          <w:b/>
        </w:rPr>
        <w:t>Available abstract (not full text):</w:t>
      </w:r>
      <w:r>
        <w:t xml:space="preserve"> Autonomous vehicles rely on complex sensing systems to perceive their environment and ensure safe operation. This review analyses the main sensor technologies used in self-driving vehicles, including cameras, LiDAR, radar, ultrasonic sensors and GNSS/IMU-based localisation systems. A core set of 40 primary research articles was systematically analysed to compare the capabilities, limitations and integration challenges of sensing technologies used in autonomous vehicles. In addition to these primary studies, further references were included to provide background information and describe emerging developments in autonomous sensing systems. The review shows that no single sensor technology can provide reliable perception under all environmental conditions. Camera systems offer rich visual information but are sensitive to lighting and weather conditions, while LiDAR provides highly accurate three-dimensional geometry but suffers from signal attenuation in rain and fog. Radar sensors demonstrate superior robustness in adverse weather and enable direct velocity measurement, although their spatial resolution remains limited compared to optical sensors. As a result, modern autonomous vehicles rely on multi-sensor fusion architectures that combine complementary sensing modalities to improve reliability and safety. The analysis also identifies several key research gaps in the current lit</w:t>
      </w:r>
    </w:p>
    <w:p>
      <w:pPr/>
      <w:r>
        <w:rPr>
          <w:b/>
        </w:rPr>
        <w:t>POSSIBLE 2026:</w:t>
      </w:r>
      <w:r>
        <w:t xml:space="preserve"> A Comprehensive Review of End-to-End Autonomous Driving: Architectures and Emerging Trends — https://doi.org/10.3390/act15080427</w:t>
      </w:r>
    </w:p>
    <w:p>
      <w:pPr/>
      <w:r>
        <w:rPr>
          <w:b/>
        </w:rPr>
        <w:t>Shared claim-specific concepts:</w:t>
      </w:r>
      <w:r>
        <w:t xml:space="preserve"> challenges, trends, driving, systems; EU scope not established. This is a provisional connection, not an outcome finding.</w:t>
      </w:r>
    </w:p>
    <w:p>
      <w:pPr>
        <w:pStyle w:val="SourceNote"/>
      </w:pPr>
      <w:r>
        <w:rPr>
          <w:b/>
        </w:rPr>
        <w:t>Available abstract (not full text):</w:t>
      </w:r>
      <w:r>
        <w:t xml:space="preserve"> End-to-end autonomous driving is an emerging technology and a prominent research focus in both industry and academia. By integrating perception, localization, decision-making, and control into a single model, end-to-end systems aim to streamline the traditional modular pipeline while introducing new challenges in safety validation and interpretability. Unlike existing surveys that predominantly catalog algorithms, this review proposes a novel function-oriented taxonomy by categorizing architectures into perception-integrated and planning-integrated paradigms. Beyond the architectural dimension, the analysis delves into critical safety and interpretability, emphasizing the fundamental gap between theoretical design and the reliability required for real-world deployment. Industrial applicability is examined through real-world examples of data closed-loop workflows and simulation testing, addressing practical constraints in latency and computing resources. Finally, the review addresses critical challenges, particularly long-tail data scarcity and the deficiency in human-like decision-making and outlines future directions toward achieving robust autonomy.</w:t>
      </w:r>
    </w:p>
    <w:p>
      <w:pPr/>
      <w:r>
        <w:rPr>
          <w:b/>
        </w:rPr>
        <w:t>POSSIBLE 2025:</w:t>
      </w:r>
      <w:r>
        <w:t xml:space="preserve"> Research Trend Analysis in the Field of Self-Driving Labs Using Network Analysis and Topic Modeling — https://doi.org/10.3390/systems13040253</w:t>
      </w:r>
    </w:p>
    <w:p>
      <w:pPr/>
      <w:r>
        <w:rPr>
          <w:b/>
        </w:rPr>
        <w:t>Shared claim-specific concepts:</w:t>
      </w:r>
      <w:r>
        <w:t xml:space="preserve"> first, identify, trends, second; EU scope not established. This is a provisional connection, not an outcome finding.</w:t>
      </w:r>
    </w:p>
    <w:p>
      <w:pPr>
        <w:pStyle w:val="SourceNote"/>
      </w:pPr>
      <w:r>
        <w:rPr>
          <w:b/>
        </w:rPr>
        <w:t>Available abstract (not full text):</w:t>
      </w:r>
      <w:r>
        <w:t xml:space="preserve"> A self-driving lab (SDL) system that automates experimental design, data collection, and analysis using robotics and artificial intelligence (AI) technologies. Its significance has grown substantially in recent years. This study analyzes the overall SDL research trends, examines changes in specific topics, visualizes the relational structure between authors to identify key contributors, and extracts major themes from extensive texts to highlight essential research content. To achieve these objectives, trend analysis, network analysis, and topic modeling were conducted on 352 research papers collected from the Web of Science between 2004 and 2023. To ensure the validity of the topic modeling results, a topic correlation matrix was also performed. The results revealed three key findings. First, SDL research has surged since 2019, driven by advancements in AI technologies, reflecting heightened activity in this field. Second, modern scientific research is advancing with a focus on data-driven approaches, artificial intelligence applications, and experimental optimization through the utilization of SDLs. Third, SDL research exhibits interdisciplinary convergence, encompassing material optimization, biological processes, and AI predictive algorithms. This study underscores the growing importance of SDLs as a research tool across diverse academic disciplines and provides practical in</w:t>
      </w:r>
    </w:p>
    <w:p>
      <w:pPr/>
      <w:r>
        <w:rPr>
          <w:b/>
        </w:rPr>
        <w:t>POSSIBLE 2025:</w:t>
      </w:r>
      <w:r>
        <w:t xml:space="preserve"> A Comparative Trends of Watershed Health and Its Driving Forces — https://doi.org/10.3390/w18010095</w:t>
      </w:r>
    </w:p>
    <w:p>
      <w:pPr/>
      <w:r>
        <w:rPr>
          <w:b/>
        </w:rPr>
        <w:t>Shared claim-specific concepts:</w:t>
      </w:r>
      <w:r>
        <w:t xml:space="preserve"> identify, challenges, trends, driving, forces, water; EU scope not established. This is a provisional connection, not an outcome finding.</w:t>
      </w:r>
    </w:p>
    <w:p>
      <w:pPr>
        <w:pStyle w:val="SourceNote"/>
      </w:pPr>
      <w:r>
        <w:rPr>
          <w:b/>
        </w:rPr>
        <w:t>Available abstract (not full text):</w:t>
      </w:r>
      <w:r>
        <w:t xml:space="preserve"> In recent decades, rapid socioeconomic development and population growth have led to the degradation of river and lake health worldwide, posing severe challenges to watershed ecological management. The growing intensity of land-use has significantly contributed to the accelerated deterioration of aquatic ecosystems. River and lake health assessment has evolved from single-parameter metrics (e.g., water quality) to multidimensional frameworks integrating hydrological, biological, and anthropogenic factors. This research conducted a bibliometric analysis of 1302 publications from 1996 to 2023 in the Web of Science database to identify research trends and hotspots. Results showed that publications exhibited a three-phase growth incubation (1996–2000), expansion (2001–2012), and acceleration (2013–2023), with the U.S., China, and Australia as leading contributors characterized by regionally clustered international collaborations. Research themes have shifted from single water quality parameters to integrated assessments. “Land-use”, “water quality”, and “biotic integrity” have emerged as core hotspots, forming a synergistic assessment framework that combines physicochemical, biological, and socioeconomic factors. The research scale underwent a spatial refinement process from the whole watershed to the buffer zone of rivers and lakes, and land-use effects on aquatic ecosystems vary </w:t>
      </w:r>
    </w:p>
    <w:p>
      <w:pPr>
        <w:pStyle w:val="Heading2"/>
      </w:pPr>
      <w:r>
        <w:t>561. The geography of megatrends affecting European agriculture</w:t>
      </w:r>
    </w:p>
    <w:p>
      <w:pPr>
        <w:pStyle w:val="SourceNote"/>
      </w:pPr>
      <w:r>
        <w:rPr>
          <w:b/>
        </w:rPr>
        <w:t>Original source (2022):</w:t>
      </w:r>
      <w:r>
        <w:t xml:space="preserve"> https://doi.org/10.1016/j.gloenvcha.2022.102551</w:t>
      </w:r>
    </w:p>
    <w:p>
      <w:pPr/>
      <w:r>
        <w:t>Original wording (abstract; indexed_source_text_not_full_document_verified): Megatrends are long-term driving forces which are observable today and will likely have transformational potential in the future. In a minority of regions megatrends may drive marginalization as the current system becomes increasingly unviable.</w:t>
      </w:r>
    </w:p>
    <w:p>
      <w:pPr/>
      <w:r>
        <w:rPr>
          <w:b/>
        </w:rPr>
        <w:t>POSSIBLE 2026:</w:t>
      </w:r>
      <w:r>
        <w:t xml:space="preserve"> Blockchain and Megatrends in Agri-Food Systems: A Multi-Source Evidence Approach — https://doi.org/10.3390/foods15030447</w:t>
      </w:r>
    </w:p>
    <w:p>
      <w:pPr/>
      <w:r>
        <w:rPr>
          <w:b/>
        </w:rPr>
        <w:t>Shared claim-specific concepts:</w:t>
      </w:r>
      <w:r>
        <w:t xml:space="preserve"> megatrends, long-term, system, increasingly; EU scope visible. This is a provisional connection, not an outcome finding.</w:t>
      </w:r>
    </w:p>
    <w:p>
      <w:pPr>
        <w:pStyle w:val="SourceNote"/>
      </w:pPr>
      <w:r>
        <w:rPr>
          <w:b/>
        </w:rPr>
        <w:t>Available abstract (not full text):</w:t>
      </w:r>
      <w:r>
        <w:t xml:space="preserve"> Blockchain is increasingly applied in the agri-food sector to enhance traceability, data integrity, and accountability. However, its broader role in food system sustainability remains insufficiently characterized, particularly when examined against global megatrends shaping future agri-food transitions. This paper investigates how blockchain technology can reinforce sustainable, inclusive, and resilient food systems under the effect of major global megatrends. A structured literature review of peer-reviewed and industry sources was conducted to identify evidence on blockchain-enabled improvements in transparency, certification, and supply chain coordination. Complementary analysis of a curated dataset of European and international pilot implementations evaluated technological architectures, governance models, and demonstrated performance outcomes. Additionally, stakeholder-based foresight activities and scenarios representing alternative blockchain adoption pathways, developed within the TRUSTyFOOD project (GA: 101060534), were used to examine the interconnection between blockchain adoption and megatrends. Evidence from the literature and pilot cases indicates that blockchain can strengthen product-level traceability and improve verification of sustainability and safety claims. Cross-case analysis also reveals persistent constraints, including heterogeneous technical standards,</w:t>
      </w:r>
    </w:p>
    <w:p>
      <w:pPr/>
      <w:r>
        <w:rPr>
          <w:b/>
        </w:rPr>
        <w:t>POSSIBLE 2026:</w:t>
      </w:r>
      <w:r>
        <w:t xml:space="preserve"> MEGATRENDS IN LOGISTICS AND SUPPLY CHAINS: APPROACHES OF RESEARCH LABORATORIES AT THE FACULTY OF LOGISTICS, UNIVERSITY OF MARIBOR — https://doi.org/10.58952/zriut202601115l</w:t>
      </w:r>
    </w:p>
    <w:p>
      <w:pPr/>
      <w:r>
        <w:rPr>
          <w:b/>
        </w:rPr>
        <w:t>Shared claim-specific concepts:</w:t>
      </w:r>
      <w:r>
        <w:t xml:space="preserve"> megatrends, long-term, forces; EU scope not established. This is a provisional connection, not an outcome finding.</w:t>
      </w:r>
    </w:p>
    <w:p>
      <w:pPr>
        <w:pStyle w:val="SourceNote"/>
      </w:pPr>
      <w:r>
        <w:rPr>
          <w:b/>
        </w:rPr>
        <w:t>Available abstract (not full text):</w:t>
      </w:r>
      <w:r>
        <w:t xml:space="preserve"> Megatrends are long-term, global forces that shape the economy, society, technology, and culture, posing new challenges for logistics. The aim of this paper is to examine the impact of key megatrends on logistics processes and supply chains, and to demonstrate how the research laboratories of the Faculty of Logistics at the University of Maribor (FLUM) adapt to these megatrends in developing innovative, flexible, and sustainable solutions. The megatrends considered include demographic changes, technological development, collaboration and integration, globalisation, and environmental factors and sustainability. The following section presents how FLUM research laboratories contribute to adapting to key megatrends. The Laboratory for Cognitive Systems in Logistics addresses technological megatrends by developing artificial intelligence algorithms for decision optimisation and process automation. The Laboratory for Quantitative Modeling in Logistics supports technological development and the complexity of global supply chains through mathematical modeling and big data analytics to enhance efficiency and resilience. The Laboratory for Sustainable Mobility and Transport focuses on environmental megatrends by researching sustainable transport solutions, vehicle electrification, and urban logistics. The Laboratory for Logistics and Supply Chain Management addresses megatrends in global</w:t>
      </w:r>
    </w:p>
    <w:p>
      <w:pPr/>
      <w:r>
        <w:rPr>
          <w:b/>
        </w:rPr>
        <w:t>POSSIBLE 2026:</w:t>
      </w:r>
      <w:r>
        <w:t xml:space="preserve"> Current Development Megatrends and Perspective Directions of Green Tourism in Azerbaijan — https://doi.org/10.32983/2222-0712-2025-4-33-39</w:t>
      </w:r>
    </w:p>
    <w:p>
      <w:pPr/>
      <w:r>
        <w:rPr>
          <w:b/>
        </w:rPr>
        <w:t>Shared claim-specific concepts:</w:t>
      </w:r>
      <w:r>
        <w:t xml:space="preserve"> megatrends, long-term, potential, regions, current; EU scope not established. This is a provisional connection, not an outcome finding.</w:t>
      </w:r>
    </w:p>
    <w:p>
      <w:pPr>
        <w:pStyle w:val="SourceNote"/>
      </w:pPr>
      <w:r>
        <w:rPr>
          <w:b/>
        </w:rPr>
        <w:t>Available abstract (not full text):</w:t>
      </w:r>
      <w:r>
        <w:t xml:space="preserve"> Green tourism has emerged as a key pillar of sustainable development and an important instrument for economic diversification in many countries. This study examines the contemporary development of green tourism in Azerbaijan, identifies the global megatrends influencing its evolution, and assesses the country’s future strategic directions within the framework of sustainable regional development. The research employs a comparative and qualitative methodological approach. Global trends in green tourism development are compared with Azerbaijan’s national experience, with particular attention given to differences in growth rates between mass tourism and ecotourism, socio-economic outcomes across regions and countries, and institutional approaches to sustainable tourism development. Qualitative thematic analysis is applied to evaluate the socio-economic, cultural, and environmental impacts of green tourism, focusing on employment generation, income diversification, community-based tourism, cultural heritage preservation, and environmental awareness. The findings indicate that green tourism in Azerbaijan demonstrates positive development dynamics and strong alignment with global sustainability trends. The country’s rich natural landscapes, cultural heritage, and supportive policy initiatives create significant opportunities for expanding eco-friendly and nature-based tourism. Green t</w:t>
      </w:r>
    </w:p>
    <w:p>
      <w:pPr/>
      <w:r>
        <w:rPr>
          <w:b/>
        </w:rPr>
        <w:t>POSSIBLE 2026:</w:t>
      </w:r>
      <w:r>
        <w:t xml:space="preserve"> Driving sustainability, resilience, and digitalisation in automotive supply chains: A stochastic maturity model for future-oriented transformation — https://doi.org/10.1016/j.sftr.2026.102185</w:t>
      </w:r>
    </w:p>
    <w:p>
      <w:pPr/>
      <w:r>
        <w:rPr>
          <w:b/>
        </w:rPr>
        <w:t>Shared claim-specific concepts:</w:t>
      </w:r>
      <w:r>
        <w:t xml:space="preserve"> megatrends, driving, potential; EU scope not established. This is a provisional connection, not an outcome finding.</w:t>
      </w:r>
    </w:p>
    <w:p>
      <w:pPr>
        <w:pStyle w:val="SourceNote"/>
      </w:pPr>
      <w:r>
        <w:rPr>
          <w:b/>
        </w:rPr>
        <w:t>Available abstract (not full text):</w:t>
      </w:r>
      <w:r>
        <w:t xml:space="preserve"> Digitalisation, resilience, and sustainability are key drivers of contemporary supply chain transformation, requiring organisations to make strategic decisions under conditions of uncertainty. To support such decisions, this paper presents a stochastic maturity model that supports the assessment, prioritisation, and continuous improvement of SCM and logistics megatrends and trends under uncertainty. The proposed model combines a configurable maturity structure with Stochastic Multicriteria Acceptability Analysis (SMAA) and empirical probability distributions to enable uncertainty-aware prioritisation of transformation initiatives while remaining adaptable to organisation-specific contexts and continuously evolving business environments. To evaluate the proposed assessment methodology in practice, nine of its ten phases were implemented at a passenger car manufacturer using a panel of six experts. The automotive industry was selected because of the complexity of its global supply chains and advanced logistics practices, providing a demanding environment for evaluating the proposed model. The results demonstrate the feasibility of the proposed assessment procedure in a real industrial environment and illustrate its potential to support strategic decision-making, prioritise transformation initiatives, and facilitate sustainability-oriented supply chain transformation under conditi</w:t>
      </w:r>
    </w:p>
    <w:p>
      <w:pPr/>
      <w:r>
        <w:rPr>
          <w:b/>
        </w:rPr>
        <w:t>POSSIBLE 2025:</w:t>
      </w:r>
      <w:r>
        <w:t xml:space="preserve"> Megatrends and weak signals shaping future real estate — https://doi.org/10.5334/bc.507</w:t>
      </w:r>
    </w:p>
    <w:p>
      <w:pPr/>
      <w:r>
        <w:rPr>
          <w:b/>
        </w:rPr>
        <w:t>Shared claim-specific concepts:</w:t>
      </w:r>
      <w:r>
        <w:t xml:space="preserve"> megatrends, long-term, driving, forces, current; EU scope visible. This is a provisional connection, not an outcome finding.</w:t>
      </w:r>
    </w:p>
    <w:p>
      <w:pPr>
        <w:pStyle w:val="SourceNote"/>
      </w:pPr>
      <w:r>
        <w:rPr>
          <w:b/>
        </w:rPr>
        <w:t>Available abstract (not full text):</w:t>
      </w:r>
      <w:r>
        <w:t xml:space="preserve"> Society prepares for an envisioned future by shaping that future to align with current perceptions. This paper explores real estate market participants’ (n ≥ 840) perceptions of various forces influencing the future of housing, retail and office spaces, and their market environments. Real estate actors impact future cities through their space-use preferences, investment decisions and public regulations, which are driven by their expectations for the future. An environmental scanning method is used to investigate both megatrends and possible weak signals in Eastern Europe. The findings suggest that digitalisation and environmental pressure are perceived as the primary drivers of future spaces, while demographic forces play a lesser role. Although location and accessibility-related issues, along with economic drivers, have traditionally been paramount, these are now being overshadowed by the new forces. Sustainability is perceived to have a comparatively limited influence on office spaces compared with its impact on retail and housing. Technological development and digital transformation seem to eclipse the sector’s attention to demographic factors and sustainability concerns. Weak signals potentially driving the future development include emerging phenomena such as multicultural and generational space use, the role of urban nature, and innovations in the built environment. Pract</w:t>
      </w:r>
    </w:p>
    <w:p>
      <w:pPr/>
      <w:r>
        <w:rPr>
          <w:b/>
        </w:rPr>
        <w:t>POSSIBLE 2025:</w:t>
      </w:r>
      <w:r>
        <w:t xml:space="preserve"> Global forces and local impacts: megatrends in regional development — https://doi.org/10.1093/cjres/rsae047</w:t>
      </w:r>
    </w:p>
    <w:p>
      <w:pPr/>
      <w:r>
        <w:rPr>
          <w:b/>
        </w:rPr>
        <w:t>Shared claim-specific concepts:</w:t>
      </w:r>
      <w:r>
        <w:t xml:space="preserve"> megatrends, long-term, forces, today, regions, current; EU scope not established. This is a provisional connection, not an outcome finding.</w:t>
      </w:r>
    </w:p>
    <w:p>
      <w:pPr>
        <w:pStyle w:val="SourceNote"/>
      </w:pPr>
      <w:r>
        <w:rPr>
          <w:b/>
        </w:rPr>
        <w:t>Available abstract (not full text):</w:t>
      </w:r>
      <w:r>
        <w:t xml:space="preserve"> The world has recently faced a series of shocks and crises, including the COVID pandemic, the wars in Ukraine and the Middle East, and the rise of more inward-looking political regimes and policies. These are shocks that coincide with long-standing trends of real income stagnation for some and poverty for many, and also with persistent spatial inequalities within and between countries. Furthermore, these crisis episodes intersect and overlap with many long-term structural shifts or megatrends including global warming, unprecedented technological change, demographical changes and, more generally, a trend towards a spatially fragmented economic and political world order. This issue of the Cambridge Journal of Regions, Economy and Society considers how such crises and megatrends may have major socio-economic impacts on cities, regions and countries. Some observers claim that the world has changed fundamentally including suffering from an unprecedented polycrisis, see for instance the views expressed by the historian Adam Tooze.1 Others are more cautious and believe that from an historical perspective, there is nothing exceptional or permanent about the current turmoil per se (Frankopan, 2025). Next to this introduction, the contributions to this issue (11 papers and 3 commentaries) reflect and take stock as to what the spatial impact is of various crises and megatrends. From a reg</w:t>
      </w:r>
    </w:p>
    <w:p>
      <w:pPr/>
      <w:r>
        <w:rPr>
          <w:b/>
        </w:rPr>
        <w:t>POSSIBLE 2025:</w:t>
      </w:r>
      <w:r>
        <w:t xml:space="preserve"> Megatrends and emerging issues: Impacts on food safety — https://doi.org/10.1111/1541-4337.70170</w:t>
      </w:r>
    </w:p>
    <w:p>
      <w:pPr/>
      <w:r>
        <w:rPr>
          <w:b/>
        </w:rPr>
        <w:t>Shared claim-specific concepts:</w:t>
      </w:r>
      <w:r>
        <w:t xml:space="preserve"> megatrends, driving, likely, potential, drive, increasingly; EU scope not established. This is a provisional connection, not an outcome finding.</w:t>
      </w:r>
    </w:p>
    <w:p>
      <w:pPr>
        <w:pStyle w:val="SourceNote"/>
      </w:pPr>
      <w:r>
        <w:rPr>
          <w:b/>
        </w:rPr>
        <w:t>Available abstract (not full text):</w:t>
      </w:r>
      <w:r>
        <w:t xml:space="preserve"> The world is changing at a pace, driven by global megatrends and their interactions. Megatrends, including climate change, the drive for sustainability, an aging population, urbanization, and geopolitical tensions, are producing an increasingly challenging environment for the provision of a safe and secure food supply. To ensure a robust, safe, and secure food supply for all, potential food safety impacts associated with these megatrends need to be understood, and mitigation and management plans must be implemented. This paper outlines the relevant megatrends, discusses their potential impact on food safety, and suggests steps to help ensure the production of safe food in the future. Megatrends are increasingly driving resource depletion, reducing the vitality of plants and animals, increasing the geographical spread of animal and plant pathogens, increasing the risk of mycotoxins, agrichemical residues, and antimicrobial-resistant pathogens contaminating foods, and threatening to destabilize food systems and the food regulatory network. Science-based actions, adopting continual and dynamic risk assessments, alongside the use of more sensitive and accurate methods for the detection of contaminants, may counter these challenges. The use of artificial intelligence, robotics and automation, the enhancement of food safety cultures, the continued education and training of workforces</w:t>
      </w:r>
    </w:p>
    <w:p>
      <w:pPr/>
      <w:r>
        <w:rPr>
          <w:b/>
        </w:rPr>
        <w:t>POSSIBLE 2025:</w:t>
      </w:r>
      <w:r>
        <w:t xml:space="preserve"> Integrating Social–Ecological Systems and Megatrends: A Participatory Foresight Framework for Sustainability Governance in European Cold Lands — https://doi.org/10.3390/su17219644</w:t>
      </w:r>
    </w:p>
    <w:p>
      <w:pPr/>
      <w:r>
        <w:rPr>
          <w:b/>
        </w:rPr>
        <w:t>Shared claim-specific concepts:</w:t>
      </w:r>
      <w:r>
        <w:t xml:space="preserve"> megatrends, potential, regions; EU scope visible. This is a provisional connection, not an outcome finding.</w:t>
      </w:r>
    </w:p>
    <w:p>
      <w:pPr>
        <w:pStyle w:val="SourceNote"/>
      </w:pPr>
      <w:r>
        <w:rPr>
          <w:b/>
        </w:rPr>
        <w:t>Available abstract (not full text):</w:t>
      </w:r>
      <w:r>
        <w:t xml:space="preserve"> Mountainous and sparsely populated regions in Europe—here called “cold lands”—are particularly exposed to global megatrends such as climate change, demographic shifts, and economic restructuring. Addressing these interconnected challenges requires approaches that link foresight with local governance systems. This study presents a pilot methodological framework that integrates Ostrom’s Social-Ecological Systems (SES) model with the European Commission’s Megatrend Assessment method to support participatory foresight. The framework was tested in two illustrative cases, located in the Italian Alps and Norway, to demonstrate its feasibility and potential value. Through a structured discussion among researchers, key megatrends were prioritised, and qualitative scenarios were developed to explore how community preparedness can influence socio-ecological outcomes. The results highlight climate change, resource scarcity, and demographic imbalances as dominant drivers, while contrasting scenarios illustrate how proactive governance can mitigate vulnerability and foster adaptive capacity. The approach contributes a replicable and scalable foresight tool to bridge global trends and local sustainability strategies, supporting anticipatory and community-based governance in vulnerable territories.</w:t>
      </w:r>
    </w:p>
    <w:p>
      <w:pPr/>
      <w:r>
        <w:rPr>
          <w:b/>
        </w:rPr>
        <w:t>POSSIBLE 2025:</w:t>
      </w:r>
      <w:r>
        <w:t xml:space="preserve"> Foresight study for addressing megatrends in information and communication technology (ICT) — https://doi.org/10.1186/s13731-025-00466-z</w:t>
      </w:r>
    </w:p>
    <w:p>
      <w:pPr/>
      <w:r>
        <w:rPr>
          <w:b/>
        </w:rPr>
        <w:t>Shared claim-specific concepts:</w:t>
      </w:r>
      <w:r>
        <w:t xml:space="preserve"> megatrends, potential, current; EU scope visible. This is a provisional connection, not an outcome finding.</w:t>
      </w:r>
    </w:p>
    <w:p>
      <w:pPr>
        <w:pStyle w:val="SourceNote"/>
      </w:pPr>
      <w:r>
        <w:rPr>
          <w:b/>
        </w:rPr>
        <w:t>Available abstract (not full text):</w:t>
      </w:r>
      <w:r>
        <w:t xml:space="preserve"> Information and communications technology (ICT) encompasses the infrastructure and components that enable modern computing. In the context of Europe, the adoption of cutting-edge ICT is rapidly accelerating competitiveness, innovation, and job creation. However, this progress depends on a skilled workforce capable of implementing these advanced technologies effectively. This study aims to explore current ICT trends while addressing the digital skills gap in Southern Europe. The research focused on three countries: Greece, Cyprus, and Bulgaria. To gather relevant insights, two rounds of the Delphi technique were employed to reach a consensus on the most crucial digital skills shaping the future. The findings reveal a rapidly evolving landscape of digital competencies essential for navigating the transformative era of advanced ICT technologies. The study highlights emerging megatrends in the ICT sector, such as AI integration, cybersecurity challenges, and the shift toward 5G, underscoring the need for continuous upskilling to remain competitive in the global market. As ICT continues to evolve, it is clear that developing a skilled workforce will be vital to unlocking the potential of these technologies in Southern Europe.</w:t>
      </w:r>
    </w:p>
    <w:p>
      <w:pPr/>
      <w:r>
        <w:rPr>
          <w:b/>
        </w:rPr>
        <w:t>POSSIBLE 2025:</w:t>
      </w:r>
      <w:r>
        <w:t xml:space="preserve"> Index assessment of the level of development of e-government in Ukraine in relation to world trends — https://doi.org/10.33108/galicianvisnyk_tntu2025.03.167</w:t>
      </w:r>
    </w:p>
    <w:p>
      <w:pPr/>
      <w:r>
        <w:rPr>
          <w:b/>
        </w:rPr>
        <w:t>Shared claim-specific concepts:</w:t>
      </w:r>
      <w:r>
        <w:t xml:space="preserve"> long-term, current, increasingly; EU scope visible. This is a provisional connection, not an outcome finding.</w:t>
      </w:r>
    </w:p>
    <w:p>
      <w:pPr>
        <w:pStyle w:val="SourceNote"/>
      </w:pPr>
      <w:r>
        <w:rPr>
          <w:b/>
        </w:rPr>
        <w:t>Available abstract (not full text):</w:t>
      </w:r>
      <w:r>
        <w:t xml:space="preserve"> Over the past few decades, the public administration sector around the world has been radically changing towards the formation of digital or electronic government. This has served as an important political priority for the effective provision of public services. Currently, the concept of digital government is no longer new, but with the rapid development of information and communication technologies, it is becoming increasingly complex, as the boundaries between physical and digital government are increasingly blurred, and the connections between different sectors are becoming more complex and interconnected. In fact, in the hybrid digital era, an integrated ecosystem of digital government is being formed, that is, a transition from traditional isolated models to more flexible and adaptive network systems that are better able to cope with the current complex needs of society [1]. Periodic large-scale UN reviews of e-government development in the world based on the EGDI Index serve as a solid basis for a detailed analysis of the main trends and national achievements from a global and regional perspective. The materials of these studies indicate that the pace of e-government development in Ukraine in recent years has outpaced both the global and average European ones. This allowed our country to take the highest positions in the ranking for the comprehensive indicator in 2024 – t</w:t>
      </w:r>
    </w:p>
    <w:p>
      <w:pPr/>
      <w:r>
        <w:rPr>
          <w:b/>
        </w:rPr>
        <w:t>POSSIBLE 2025:</w:t>
      </w:r>
      <w:r>
        <w:t xml:space="preserve"> Enabling and constraining factors for organic agriculture in Europe: a spatial analysis — https://doi.org/10.1088/2976-601x/adf22e</w:t>
      </w:r>
    </w:p>
    <w:p>
      <w:pPr/>
      <w:r>
        <w:rPr>
          <w:b/>
        </w:rPr>
        <w:t>Shared claim-specific concepts:</w:t>
      </w:r>
      <w:r>
        <w:t xml:space="preserve"> driving, forces, current; EU scope visible. This is a provisional connection, not an outcome finding.</w:t>
      </w:r>
    </w:p>
    <w:p>
      <w:pPr>
        <w:pStyle w:val="SourceNote"/>
      </w:pPr>
      <w:r>
        <w:rPr>
          <w:b/>
        </w:rPr>
        <w:t>Available abstract (not full text):</w:t>
      </w:r>
      <w:r>
        <w:t xml:space="preserve"> Abstract The European Commission has set a target of making 25% of its agricultural land organic by 2030. This is part of the farm-to-fork strategy to produce high-quality food in a more environmentally friendly way. However, there are large disparities between and within member states in the share of agricultural land currently managed as organic. Current statistics available on organic agriculture in the EU are limited to national or subnational scale. In addition to that, studies on location factors of organic agriculture are mostly conducted at the national or subnational level. This constitutes a major obstacle in formulating policies to improve the share of organic agriculture within Europe. This study analyses the influence of socioeconomic, climate, and biophysical variables on the spatial distribution of certified organic producers at high resolution throughout Europe. To do so, it maps the location of current organic agriculture throughout Europe, using detailed postcode-level data from certification registries. Subsequently, regression analysis at NUTS 2 and 1 km 2 resolution identify the driving forces for their location. The results indicate that organic agriculture is found predominantly in areas close to markets and with unfavourable biophysical conditions for conventional agriculture. Population density was found to be the single strongest indicator increasing t</w:t>
      </w:r>
    </w:p>
    <w:p>
      <w:pPr/>
      <w:r>
        <w:rPr>
          <w:b/>
        </w:rPr>
        <w:t>POSSIBLE 2024:</w:t>
      </w:r>
      <w:r>
        <w:t xml:space="preserve"> Global Megatrends Impacts on the Landscape, Analysis Based on Key Drivers of the Megatrends and Landscape Change: Case Study of Danubian Lowland, Slovakia — https://doi.org/10.2478/eko-2024-0019</w:t>
      </w:r>
    </w:p>
    <w:p>
      <w:pPr/>
      <w:r>
        <w:rPr>
          <w:b/>
        </w:rPr>
        <w:t>Shared claim-specific concepts:</w:t>
      </w:r>
      <w:r>
        <w:t xml:space="preserve"> megatrends, potential, regions; EU scope visible. This is a provisional connection, not an outcome finding.</w:t>
      </w:r>
    </w:p>
    <w:p>
      <w:pPr>
        <w:pStyle w:val="SourceNote"/>
      </w:pPr>
      <w:r>
        <w:rPr>
          <w:b/>
        </w:rPr>
        <w:t>Available abstract (not full text):</w:t>
      </w:r>
      <w:r>
        <w:t xml:space="preserve"> Abstract Global megatrends (GMTs) reshape landscapes worldwide, posing challenges for sustainability. This study delves into the complex interplay between GMTs and landscape changes in the Danube Lowland region of Slovakia, a microcosm of broader trends. Leveraging the concept of representative potential geoecosystems (REPGES), we assess historical landscape transformations and correlate them with key GMT drivers. Results reveal significant urban expansion linked to GMT2, primarily impacting the Bratislava area. Simultaneously, GMT5-driven economic growth manifests in agricultural land expansion and the total loss of one REPGES type. Notably, these changes coincide with a decrease in ecological stability across the region. Spatial analysis further unravels the interplay of GMTs, highlighting areas under intense urban and agricultural pressure. Our findings not only shed light on specific GMT impacts in the Danube Lowland but also offer valuable insights for landscape management across diverse regions facing similar megatrends. By understanding these complex interactions, we can develop informed strategies to navigate the challenges and opportunities presented by a globalized world, promoting sustainable landscapes for the future.</w:t>
      </w:r>
    </w:p>
    <w:p>
      <w:pPr>
        <w:pStyle w:val="Heading2"/>
      </w:pPr>
      <w:r>
        <w:t>562. Towards a decarbonised building stock by 2050: The meaning and the role of zero emission buildings (ZEBs) in Europe</w:t>
      </w:r>
    </w:p>
    <w:p>
      <w:pPr>
        <w:pStyle w:val="SourceNote"/>
      </w:pPr>
      <w:r>
        <w:rPr>
          <w:b/>
        </w:rPr>
        <w:t>Original source (2022):</w:t>
      </w:r>
      <w:r>
        <w:t xml:space="preserve"> https://doi.org/10.1016/j.esr.2022.101009</w:t>
      </w:r>
    </w:p>
    <w:p>
      <w:pPr/>
      <w:r>
        <w:t>Original wording (abstract; indexed_source_text_not_full_document_verified): The revision of the Energy Performance of Building Directive (EPBD) sets out how Europe can achieve a decarbonised building stock by 2050.</w:t>
      </w:r>
    </w:p>
    <w:p>
      <w:pPr/>
      <w:r>
        <w:rPr>
          <w:b/>
        </w:rPr>
        <w:t>POSSIBLE 2026:</w:t>
      </w:r>
      <w:r>
        <w:t xml:space="preserve"> European Energy Performance of Buildings Directive and Cultural Heritage — https://openalex.org/W7126308985</w:t>
      </w:r>
    </w:p>
    <w:p>
      <w:pPr/>
      <w:r>
        <w:rPr>
          <w:b/>
        </w:rPr>
        <w:t>Shared claim-specific concepts:</w:t>
      </w:r>
      <w:r>
        <w:t xml:space="preserve"> energy, performance, building, directive, epbd; EU scope visible. This is a provisional connection, not an outcome finding.</w:t>
      </w:r>
    </w:p>
    <w:p>
      <w:pPr>
        <w:pStyle w:val="SourceNote"/>
      </w:pPr>
      <w:r>
        <w:rPr>
          <w:b/>
        </w:rPr>
        <w:t>Available abstract (not full text):</w:t>
      </w:r>
      <w:r>
        <w:t xml:space="preserve"> This report summarises the work of the ICOMOS Expert Group on the Implementation of the Energy Performance of Buildings Directive (EPBD) in the Built Heritage Sector, established in 2023 to evaluate the impact of the EPBD recast on Europe’s historic buildings. Adopted under the European Green Deal, the recast Directive introduces Minimum Energy Performance Standards (MEPS), Zero-Emission Building (ZEB) targets, and life-cycle carbon assessment obligations. These measures represent a significant step towards climate neutrality, but they also present complex challenges for culturally and architecturally significant buildings. The Expert Group gathered evidence from over nineteen EU and non-EU countries through national fact sheets, thematic analyses, and case studies. Executive summary distills the main findings, strategic recommendations, and future priorities emerging from this research.</w:t>
      </w:r>
    </w:p>
    <w:p>
      <w:pPr/>
      <w:r>
        <w:rPr>
          <w:b/>
        </w:rPr>
        <w:t>POSSIBLE 2026:</w:t>
      </w:r>
      <w:r>
        <w:t xml:space="preserve"> Sustainability of the European Energy System: The Evolution of the Energy Transition, Renewable Energy, and Energy Conservation — https://doi.org/10.3390/su18084046</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Energy efficiency improvement represents a central strategic objective of the European Union (EU), essential for mitigating climate change and facilitating the transition toward a sustainable energy system. In 2023, renewable energy sources generated approximately 46% of the electricity produced in the EU, becoming the dominant component of the regional energy mix. This progress has been supported by coherent public policies, dedicated investment programs, and regulatory mechanisms aimed at accelerating the adoption of sustainable technologies. However, the existing literature highlights a research gap regarding the relationship between the dynamics of the European energy transition, the operational challenges generated by the rapid increase in the share of renewable energy sources, and the potential for energy savings in the residential sector through non-technological interventions. This paper analyzes the structural transformations of the European energy mix, the limitations of energy systems in the context of accelerated renewable energy integration, and the role of behavioral interventions in supporting the stability of the energy system. The study examines the dynamics of residential energy consumption, behavioral determinants of energy use, and the effectiveness of instruments such as information campaigns, real-time feedback, dynamic pricing, and demand response program</w:t>
      </w:r>
    </w:p>
    <w:p>
      <w:pPr/>
      <w:r>
        <w:rPr>
          <w:b/>
        </w:rPr>
        <w:t>POSSIBLE 2026:</w:t>
      </w:r>
      <w:r>
        <w:t xml:space="preserve"> Enhancing the Energy Transition of European Cities through Energy Communities — https://doi.org/10.1007/s11067-026-09759-6</w:t>
      </w:r>
    </w:p>
    <w:p>
      <w:pPr/>
      <w:r>
        <w:rPr>
          <w:b/>
        </w:rPr>
        <w:t>Shared claim-specific concepts:</w:t>
      </w:r>
      <w:r>
        <w:t xml:space="preserve"> energy, performance, building; EU scope visible. This is a provisional connection, not an outcome finding.</w:t>
      </w:r>
    </w:p>
    <w:p>
      <w:pPr>
        <w:pStyle w:val="SourceNote"/>
      </w:pPr>
      <w:r>
        <w:rPr>
          <w:b/>
        </w:rPr>
        <w:t>Available abstract (not full text):</w:t>
      </w:r>
      <w:r>
        <w:t xml:space="preserve"> Abstract Urban areas account for over 70% of greenhouse gas emissions and are therefore central to the European Union’s goal of climate neutrality by 2030. This paper examines energy communities as enabling mechanisms for the urban energy transition, focusing on their capacity to integrate renewable generation, strengthen local engagement, and improve system-level performance. Framed within the EU’s Climate Neutral and Smart Cities Mission, energy communities are interpreted through the lenses of connectivity, circularity, and the regenerative economy, as they link prosumers through digitally coordinated, decentralized energy exchanges that promote local energy reuse and value regeneration. While not a standalone solution, energy communities illustrate a systemic approach that complements broader electrification, smart grid, and governance strategies. Specifically, we present a day-ahead scheduling model applied to a real medium-voltage distribution network in Modena, Italy. This model minimizes energy procurement costs, derives internal transaction prices using shadow prices, and shows how storage and local generation enhance economic and operational performance. We also quantify how community size and energy exchange rules affect efficiency. The results show that energy communities – when embedded in broader electrification and smart grid strategies – can play a catalytic rol</w:t>
      </w:r>
    </w:p>
    <w:p>
      <w:pPr/>
      <w:r>
        <w:rPr>
          <w:b/>
        </w:rPr>
        <w:t>POSSIBLE 2026:</w:t>
      </w:r>
      <w:r>
        <w:t xml:space="preserve"> Characteristics of proactive criteria for residential building assessment in the context of the 2024 EPBD Directive — https://doi.org/10.24425/ace.2026.1390</w:t>
      </w:r>
    </w:p>
    <w:p>
      <w:pPr/>
      <w:r>
        <w:rPr>
          <w:b/>
        </w:rPr>
        <w:t>Shared claim-specific concepts:</w:t>
      </w:r>
      <w:r>
        <w:t xml:space="preserve"> building, directive, epbd, achieve; EU scope visible. This is a provisional connection, not an outcome finding.</w:t>
      </w:r>
    </w:p>
    <w:p>
      <w:pPr>
        <w:pStyle w:val="SourceNote"/>
      </w:pPr>
      <w:r>
        <w:rPr>
          <w:b/>
        </w:rPr>
        <w:t>Available abstract (not full text):</w:t>
      </w:r>
      <w:r>
        <w:t xml:space="preserve"> In this article, the authors present a proposal for a set of criteria for assessing residential buildings in terms of their level of proactivity. The criteria outlined by the authors were developed based on the technological guidelines contained in the latest building directive (EPBD) published in April 2024, as well as guidelines derived from the concept of sustainable construction, particularly focusing on three aspects: environmental, social, and economic. Given the large-scale actions currently underway as part of the so-called "Renovation Wave" program for buildings across the European Union, there is a need to define appropriate directions and processes to achieve the intended goals. In the article, the authors define the new concept of proactive construction and present a set of categories and criteria that should be considered when assessing residential buildings to ensure they meet the newly established requirements for their one- or multi-stage renovation.</w:t>
      </w:r>
    </w:p>
    <w:p>
      <w:pPr/>
      <w:r>
        <w:rPr>
          <w:b/>
        </w:rPr>
        <w:t>POSSIBLE 2026:</w:t>
      </w:r>
      <w:r>
        <w:t xml:space="preserve"> A BIM–LCA Framework for Whole-Life Carbon Assessment Under EPBD: Scope Alignment, Functional Unit Robustness, and Cross-Tool Validation — https://doi.org/10.3390/app16062637</w:t>
      </w:r>
    </w:p>
    <w:p>
      <w:pPr/>
      <w:r>
        <w:rPr>
          <w:b/>
        </w:rPr>
        <w:t>Shared claim-specific concepts:</w:t>
      </w:r>
      <w:r>
        <w:t xml:space="preserve"> revision, energy, performance, building, directive, epbd; EU scope visible. This is a provisional connection, not an outcome finding.</w:t>
      </w:r>
    </w:p>
    <w:p>
      <w:pPr>
        <w:pStyle w:val="SourceNote"/>
      </w:pPr>
      <w:r>
        <w:rPr>
          <w:b/>
        </w:rPr>
        <w:t>Available abstract (not full text):</w:t>
      </w:r>
      <w:r>
        <w:t xml:space="preserve"> The recent revision of the European Energy Performance of Buildings Directive (EPBD) introduces mandatory whole-life global warming potential (GWP) reporting, creating practical challenges for building life-cycle assessment due to incomplete life-cycle phase coverage in conventional Environmental Product Declarations (EPDs). This study develops and validates an integrated BIM–LCA framework for structured whole-building GWP evaluation through harmonized life-cycle module alignment and cross-tool comparison, with emphasis on the early design stages. The workflow combines rapid BIM-based screening with detailed external LCA validation, establishing a tiered assessment strategy that enables iterative material optimization within the BIM environment prior to expert review. The methodology is applied to two residential construction systems (masonry and timber), and three functional units are evaluated: total whole-building GWP, area-normalized GWP, and material-level contributions. Five comparative scenarios are analyzed, including reference, nationally representative, optimized low-carbon, and European benchmark configurations. The results show progressive GWP reductions ranging from 5% to 30% across scenarios. Although substantial absolute deviations are observed between BIM-integrated and professional LCA tools, scenario-level rankings remain fully consistent across all functional</w:t>
      </w:r>
    </w:p>
    <w:p>
      <w:pPr/>
      <w:r>
        <w:rPr>
          <w:b/>
        </w:rPr>
        <w:t>POSSIBLE 2026:</w:t>
      </w:r>
      <w:r>
        <w:t xml:space="preserve"> Residential Building Renovation under the EPBD – A Swedish Perspective — https://openalex.org/W7165282719</w:t>
      </w:r>
    </w:p>
    <w:p>
      <w:pPr/>
      <w:r>
        <w:rPr>
          <w:b/>
        </w:rPr>
        <w:t>Shared claim-specific concepts:</w:t>
      </w:r>
      <w:r>
        <w:t xml:space="preserve"> energy, performance, building, directive, epbd, out; EU scope visible. This is a provisional connection, not an outcome finding.</w:t>
      </w:r>
    </w:p>
    <w:p>
      <w:pPr>
        <w:pStyle w:val="SourceNote"/>
      </w:pPr>
      <w:r>
        <w:rPr>
          <w:b/>
        </w:rPr>
        <w:t>Available abstract (not full text):</w:t>
      </w:r>
      <w:r>
        <w:t xml:space="preserve"> The Energy Performance of Buildings Directive (EPBD) amendment of 2024 is a major tool in the EU’s environmental aim of net-zero carbon emissions for the building stock by 2050. The overall goal is to improve energy performance, boost renovation rates, reduce energy bills and support decarbonisation of the building stock. This thesis investigates through a literature review, what the 2024 recast of the EPBD implies for national building regulations - with a focus on Sweden’s approaches. With the gained knowledge, the effects on renovation strategies of Swedish large residential building stock owners were assessed by benchmarking a case study of the worst performing buildings (WPBs) of one such actor against identified trajectories of EPpet reduction. Aiming to determine renovation pathways needed to comply with the implied requirements for energy efficiency. This thesis combines a literature review of the EPBD and an overview of its implementation in EU member states, supported by a qualitative interview targeted at one Austrian and four Swedish large residential building stock companies. Moreover, a technical assessment of energy efficiency measures (EEMs) for a real, corporate Swedish residential building stock was conducted, based on its energy performance certificate (EPC) data and building performance simulations (BPS). The stock totals 1994 multi-family houses, of which 1</w:t>
      </w:r>
    </w:p>
    <w:p>
      <w:pPr/>
      <w:r>
        <w:rPr>
          <w:b/>
        </w:rPr>
        <w:t>POSSIBLE 2026:</w:t>
      </w:r>
      <w:r>
        <w:t xml:space="preserve"> Investment Decisions under the revised Energy Performance of Buildings Directive — https://openalex.org/W7163792612</w:t>
      </w:r>
    </w:p>
    <w:p>
      <w:pPr/>
      <w:r>
        <w:rPr>
          <w:b/>
        </w:rPr>
        <w:t>Shared claim-specific concepts:</w:t>
      </w:r>
      <w:r>
        <w:t xml:space="preserve"> energy, performance, building, directive, epbd, stock; EU scope visible. This is a provisional connection, not an outcome finding.</w:t>
      </w:r>
    </w:p>
    <w:p>
      <w:pPr>
        <w:pStyle w:val="SourceNote"/>
      </w:pPr>
      <w:r>
        <w:rPr>
          <w:b/>
        </w:rPr>
        <w:t>Available abstract (not full text):</w:t>
      </w:r>
      <w:r>
        <w:t xml:space="preserve"> The revised Energy Performance of Buildings Directive (EPBD) strengthens the regulatory framework for improving the energy performance of the existing building stock in the European Union. In Sweden, the implementation of the directive is particularly relevant for residential buildings with low energy performance, especially buildings in energy classes F and G. This thesis examines how the revised EPBD influences investment decisions among Swedish real estate companies when renovating low-performing residential buildings. It also analyses which energy efficiency measures appear most relevant in a Swedish context and whether there are identifiable thresholds where further measures are perceived as less cost-effective. The study applies a qualitative research design based on document and policy analysis combined with semi-structured interviews. The document analysis examines the regulatory framework, implementation mechanisms and policy context of the revised EPBD, while the interview study captures strategic perspectives from Swedish real estate companies and actors involved in national implementation. The analysis is supported by theoretical perspectives on the energy-efficiency gap, principal-agent problems, investment under regulatory uncertainty and institutional pressures. The findings show that the revised EPBD increases the strategic importance of low-performing residenti</w:t>
      </w:r>
    </w:p>
    <w:p>
      <w:pPr/>
      <w:r>
        <w:rPr>
          <w:b/>
        </w:rPr>
        <w:t>POSSIBLE 2026:</w:t>
      </w:r>
      <w:r>
        <w:t xml:space="preserve"> Life Cycle Assessment of 3D Concrete Printed Buildings: A Review of Methodologies, Standards and EPBD Compliance — https://doi.org/10.3390/jcs10070367</w:t>
      </w:r>
    </w:p>
    <w:p>
      <w:pPr/>
      <w:r>
        <w:rPr>
          <w:b/>
        </w:rPr>
        <w:t>Shared claim-specific concepts:</w:t>
      </w:r>
      <w:r>
        <w:t xml:space="preserve"> energy, performance, directive, epbd; EU scope visible. This is a provisional connection, not an outcome finding.</w:t>
      </w:r>
    </w:p>
    <w:p>
      <w:pPr>
        <w:pStyle w:val="SourceNote"/>
      </w:pPr>
      <w:r>
        <w:rPr>
          <w:b/>
        </w:rPr>
        <w:t>Available abstract (not full text):</w:t>
      </w:r>
      <w:r>
        <w:t xml:space="preserve"> 3D concrete printing (3DCP) is an emerging modern method of construction with potential to improve construction efficiency, reduce labour requirements, and support the delivery of sustainable housing. In Ireland, its recent adoption coincides with increasing policy emphasis on modern methods of construction and the introduction of stricter European requirements for assessing the climate impact of buildings. The recast Energy Performance of Buildings Directive (EPBD) introduces progressive requirements for the calculation and reporting of whole-life Global Warming Potential (GWP) for new buildings, creating a need for Life Cycle Assessment (LCA) methodologies aligned with current regulatory requirements and capable of capturing the specific characteristics of emerging construction technologies. This paper reviews the applicability of the EPBD, EN 15978, EN 15804, Level(s), and relevant Irish methodologies to 3DCP buildings. It also examines existing LCA studies on 3DCP and evaluates their methodological scope, system boundaries, functional units, data sources, and alignment with current regulatory requirements. The review shows that most existing 3DCP LCA studies remain focused on materials, components, or limited life-cycle stages, with cradle-to-gate assessments being particularly common. Consequently, many published studies do not fully align with the whole-building, cradle-t</w:t>
      </w:r>
    </w:p>
    <w:p>
      <w:pPr/>
      <w:r>
        <w:rPr>
          <w:b/>
        </w:rPr>
        <w:t>POSSIBLE 2026:</w:t>
      </w:r>
      <w:r>
        <w:t xml:space="preserve"> Sustainability and ESG Performance in Renewable Energy Companies: A Comparative Multiple Case Study of Türkiye and Europe — https://doi.org/10.37241/jatss.2026.159</w:t>
      </w:r>
    </w:p>
    <w:p>
      <w:pPr/>
      <w:r>
        <w:rPr>
          <w:b/>
        </w:rPr>
        <w:t>Shared claim-specific concepts:</w:t>
      </w:r>
      <w:r>
        <w:t xml:space="preserve"> energy, performance; EU scope visible. This is a provisional connection, not an outcome finding.</w:t>
      </w:r>
    </w:p>
    <w:p>
      <w:pPr>
        <w:pStyle w:val="SourceNote"/>
      </w:pPr>
      <w:r>
        <w:rPr>
          <w:b/>
        </w:rPr>
        <w:t>Available abstract (not full text):</w:t>
      </w:r>
      <w:r>
        <w:t xml:space="preserve"> Introduction: This study provides a comparative analysis of sustainability performance between Turkish renewable energy companies Aydem, Smart Solar, Galata Wind and European counterparts for the 2020–2022 period. The research addresses the critical gap in understanding how sustainability practices differ between emerging and developed energy markets, and whether convergence trends exist despite structural disparities. Method: The analysis focuses on three key dimensions of corporate sustainability (financial, environmental, and social indicators). Data was compiled from companies' sustainability and activity reports and analyzed using descriptive statistics, comparative indicator analysis, min-max normalization, and the creation of an equally weighted composite ESG index. Results or Findings: The findings reveal significant differences between Turkish and European companies. While European companies demonstrate substantially higher financial capacity and installed power, Turkish companies exhibit rapid growth despite scale limitations. In environmental indicators, although European companies have higher absolute values, normalized data show more efficient carbon and water intensities compared to most Turkish companies. Social indicators reveal persistent gender imbalance across the entire sample, yet European companies demonstrate more systematic training practices and lower a</w:t>
      </w:r>
    </w:p>
    <w:p>
      <w:pPr/>
      <w:r>
        <w:rPr>
          <w:b/>
        </w:rPr>
        <w:t>POSSIBLE 2026:</w:t>
      </w:r>
      <w:r>
        <w:t xml:space="preserve"> Hydrogen integration into the European energy system — https://doi.org/10.36253/979-12-215-1013-3.04</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This chapter analyses the regulatory, policy, and infrastructural framework supporting hydrogen deployment within the European Union. It reviews major EU initiatives - including the Hydrogen Strategy, Fit for 55, REPowerEU, and funding mechanisms - designed to scale up renewable and low-carbon hydrogen production and demand. Particular attention is given to market creation, investment needs, and governance challenges across Member States with diverse energy systems. The chapter also discusses plans for a pan-European hydrogen network, such as the European Hydrogen Backbone, emphasising cross-border infrastructure as a cornerstone for system integration and long-term decarbonisation.</w:t>
      </w:r>
    </w:p>
    <w:p>
      <w:pPr/>
      <w:r>
        <w:rPr>
          <w:b/>
        </w:rPr>
        <w:t>POSSIBLE 2026:</w:t>
      </w:r>
      <w:r>
        <w:t xml:space="preserve"> LCA of smart building energy systems and installations from a Nordic perspective — https://openalex.org/W7204674710</w:t>
      </w:r>
    </w:p>
    <w:p>
      <w:pPr/>
      <w:r>
        <w:rPr>
          <w:b/>
        </w:rPr>
        <w:t>Shared claim-specific concepts:</w:t>
      </w:r>
      <w:r>
        <w:t xml:space="preserve"> revision, energy, performance, building, directive, epbd; EU scope visible. This is a provisional connection, not an outcome finding.</w:t>
      </w:r>
    </w:p>
    <w:p>
      <w:pPr>
        <w:pStyle w:val="SourceNote"/>
      </w:pPr>
      <w:r>
        <w:rPr>
          <w:b/>
        </w:rPr>
        <w:t>Available abstract (not full text):</w:t>
      </w:r>
      <w:r>
        <w:t xml:space="preserve"> The upcoming revision of the Energy Performance of Buildings Directive (EPBD) will require reporting of the whole life-cycle global warming potential (GWP) for new buildings from 2028 at the European level. In the Nordic countries, several frontrunners have already introduced national climate declaration requirements for new buildings. The focus was primarily on embodied emissions from building materials. However, buildings also comprise a wide range of building energy systems (BES) and technical installations, which contribute to the overall impact. Despite their importance, there is currently a lack of research regarding these building components. Therefore, this paper presents greenhouse gas (GHG) emissions of BES and technical installations by using GWP-total climate data. The embodied GHG emissions from the production of air handling units (AHU), lighting systems, cables, cable joints/connectors, LED kits, panel radiators, and transformers are presented as minimum, median, mean, and maximum values. The analysis is based on a dataset of 1,622 environmental product declarations (EPDs) collected across the Nordic countries. The dataset is largely composed of products manufactured in Sweden (44%), followed by Norway (22%) and Estonia (19%), with smaller shares from Finland (7%), Denmark (6%), and Lithuania (2%). The mean values can be used by building designers and environment</w:t>
      </w:r>
    </w:p>
    <w:p>
      <w:pPr/>
      <w:r>
        <w:rPr>
          <w:b/>
        </w:rPr>
        <w:t>POSSIBLE 2026:</w:t>
      </w:r>
      <w:r>
        <w:t xml:space="preserve"> A data-driven framework for operational energy performance certification aligned with directive (EU) 2024/1275 — https://doi.org/10.1051/e3sconf/202670101014/pdf</w:t>
      </w:r>
    </w:p>
    <w:p>
      <w:pPr/>
      <w:r>
        <w:rPr>
          <w:b/>
        </w:rPr>
        <w:t>Shared claim-specific concepts:</w:t>
      </w:r>
      <w:r>
        <w:t xml:space="preserve"> energy, performance, building, directive; EU scope visible. This is a provisional connection, not an outcome finding.</w:t>
      </w:r>
    </w:p>
    <w:p>
      <w:pPr>
        <w:pStyle w:val="SourceNote"/>
      </w:pPr>
      <w:r>
        <w:rPr>
          <w:b/>
        </w:rPr>
        <w:t>Available abstract (not full text):</w:t>
      </w:r>
      <w:r>
        <w:t xml:space="preserve"> In response to the evolving regulatory landscape defined by the recast of the Energy Performance of Buildings Directive (Directive (EU) 2010/31, as amended by Directive (EU) 2018/844 and subsequently recast by Directive (EU) 2024/1275), this work proposes a structured methodology for developing next-generation operational Energy Performance Certificates (NextGen EPCs). These dynamic certificates aim to complement traditional asset ratings by integrating real-time operational data streams into a comprehensive and performance-based evaluation framework. The methodology combines measured energy use, indoor environmental quality (IEQ), infection-risk potential (based on probabilistic airborne transmission models), and life-cycle cost (LCC) assessment into a unified operational profile. It establishes standardized procedures for data acquisition, temporal and climatic normalization, and quality assurance to enable cross-regional comparability. A weighted aggregation mechanism supports the synthesis of heterogeneous indicators into a singular operational rating, designed to be interoperable with Building Information Modelling (BIM) workflows and to feed directly into the Digital Building Logbook (DBL). The framework supports both single building and district level assessments through modular extensions, aligning with the objectives of the Renovation Wave and the EU Green Deal. By add</w:t>
      </w:r>
    </w:p>
    <w:p>
      <w:pPr>
        <w:pStyle w:val="Heading2"/>
      </w:pPr>
      <w:r>
        <w:t>563. Towards the 2030 Agenda: Measuring the Progress of the European Union Countries through the SDGs Achievement Index</w:t>
      </w:r>
    </w:p>
    <w:p>
      <w:pPr>
        <w:pStyle w:val="SourceNote"/>
      </w:pPr>
      <w:r>
        <w:rPr>
          <w:b/>
        </w:rPr>
        <w:t>Original source (2022):</w:t>
      </w:r>
      <w:r>
        <w:t xml:space="preserve"> https://doi.org/10.3390/su14063563</w:t>
      </w:r>
    </w:p>
    <w:p>
      <w:pPr/>
      <w:r>
        <w:t>Original wording (abstract; indexed_source_text_not_full_document_verified): The use of such an index will also be useful to understand the effect of the pandemic on the development.</w:t>
      </w:r>
    </w:p>
    <w:p>
      <w:pPr/>
      <w:r>
        <w:rPr>
          <w:b/>
        </w:rPr>
        <w:t>POSSIBLE 2026:</w:t>
      </w:r>
      <w:r>
        <w:t xml:space="preserve"> A citizen-based assessment of European smart cites using a DP2 index — https://doi.org/10.1038/s41598-026-55659-7</w:t>
      </w:r>
    </w:p>
    <w:p>
      <w:pPr/>
      <w:r>
        <w:rPr>
          <w:b/>
        </w:rPr>
        <w:t>Shared claim-specific concepts:</w:t>
      </w:r>
      <w:r>
        <w:t xml:space="preserve"> use, index; EU scope visible. This is a provisional connection, not an outcome finding.</w:t>
      </w:r>
    </w:p>
    <w:p>
      <w:pPr>
        <w:pStyle w:val="SourceNote"/>
      </w:pPr>
      <w:r>
        <w:rPr>
          <w:b/>
        </w:rPr>
        <w:t>Available abstract (not full text):</w:t>
      </w:r>
      <w:r>
        <w:t xml:space="preserve"> Despite the growing body of research on smart cities, existing studies tend to rely on objective indicators, often overlooking how citizens perceive the balance between key urban dimensions. To fill this gap, the present research analyzes the current development of 56 smart cities in Europe through a multidimensional assessment framework based on the non-compensatory Distance-Pena (DP2) method. While most assessments of smart cities use objective measures to gauge their performance, this research emphasizes citizens' viewpoints by assessing perceptions concerning the infrastructural and technological dimensions of smart cities within five categories, namely health and safety, mobility, activities, opportunities, and governance. The results identify four different types of cities based on their respective levels of structural and technological performances. In some cases, there is equal development on both fronts, while in others, there is unequal development, characterized by a strong presence in either one aspect or another. These patterns generate heterogeneous configurations of perceived smart city performance. The findings provide a descriptive typology of smart cities based on citizen perceptions and offer insights into how different dimensions of urban performance can be evaluated. This study adds to the conceptual knowledge of smart cities and provides practical value fo</w:t>
      </w:r>
    </w:p>
    <w:p>
      <w:pPr/>
      <w:r>
        <w:rPr>
          <w:b/>
        </w:rPr>
        <w:t>POSSIBLE 2026:</w:t>
      </w:r>
      <w:r>
        <w:t xml:space="preserve"> The Impact of The Carbon Emissions Trading System on The European Union Decoupling Index — https://doi.org/10.54097/vm2pex57</w:t>
      </w:r>
    </w:p>
    <w:p>
      <w:pPr/>
      <w:r>
        <w:rPr>
          <w:b/>
        </w:rPr>
        <w:t>Shared claim-specific concepts:</w:t>
      </w:r>
      <w:r>
        <w:t xml:space="preserve"> index, understand; EU scope visible. This is a provisional connection, not an outcome finding.</w:t>
      </w:r>
    </w:p>
    <w:p>
      <w:pPr>
        <w:pStyle w:val="SourceNote"/>
      </w:pPr>
      <w:r>
        <w:rPr>
          <w:b/>
        </w:rPr>
        <w:t>Available abstract (not full text):</w:t>
      </w:r>
      <w:r>
        <w:t xml:space="preserve"> This article elaborates on the impact of the Emissions Trading System (ETS) on decoupling, and current scholars mainly focus on the Environmental Impact Population Affluence Technology (IPAT) model, Kaya identity, and Logarithmic Mean Divisia Index Method (LMDI) decomposition method for the mechanism of impact. Environmental Impact, Population, Affluence, and Technology (ETS) has had a profound impact on the European Union (EU) decoupling index. The EU ETS establishes a policy coordination framework and provides a data foundation, which is the key and institutional guarantee for the EU to achieve decoupling between economic growth and carbon emissions. It has established a cross-member-state policy coordination framework, unified carbon emission accounting standards and trading rules, and provided a continuous and accurate emission data foundation for the calculation of decoupling indices. Consequently, it has become a key institutional pillar for the EU to achieve the decoupling goal of "economic growth alongside a decline in total carbon emissions". The coordinated development of ETS and other policies has promoted environmental effectiveness, social equity, economic efficiency, and political feasibility. Taking LMDI as an example, mechanism analysis was conducted to calculate the contribution values of different factors to the decoupling index in different periods, to unders</w:t>
      </w:r>
    </w:p>
    <w:p>
      <w:pPr/>
      <w:r>
        <w:rPr>
          <w:b/>
        </w:rPr>
        <w:t>POSSIBLE 2025:</w:t>
      </w:r>
      <w:r>
        <w:t xml:space="preserve"> ASSESSING THE FEASIBILITY OF ELECTRIC ROAD TRANSPORT IN EUROPE USING THE INTEGRAL EMISSIONS INDEX — https://doi.org/10.20858/tp.2025.20.3.02</w:t>
      </w:r>
    </w:p>
    <w:p>
      <w:pPr/>
      <w:r>
        <w:rPr>
          <w:b/>
        </w:rPr>
        <w:t>Shared claim-specific concepts:</w:t>
      </w:r>
      <w:r>
        <w:t xml:space="preserve"> index, also; EU scope visible. This is a provisional connection, not an outcome finding.</w:t>
      </w:r>
    </w:p>
    <w:p>
      <w:pPr>
        <w:pStyle w:val="SourceNote"/>
      </w:pPr>
      <w:r>
        <w:rPr>
          <w:b/>
        </w:rPr>
        <w:t>Available abstract (not full text):</w:t>
      </w:r>
      <w:r>
        <w:t xml:space="preserve"> This article reviews the development of electric road transport and assesses its feasibility in European countries based on an analysis of CO₂ emissions using an integral index. Electric road transport is evolving in three main directions: battery-powered vehicles, hydrogen fuel cell vehicles, and road electrification. Battery electric vehicles are widely used, but their future may be constrained by issues related to cost, charging infrastructure, and raw material availability. Hydrogen-powered vehicles offer fast refueling but require substantial investments and strict safety standards. Road electrification includes both contact and wireless energy transfer systems. Contact-based systems, in particular, provide high power and low energy losses, making them optimal for vehicles with significant energy demands. The environmental efficiency of electric vehicles largely depends on the electricity source. Countries with a high share of renewable energy, such as Norway and France, demonstrate greater environmental efficiency in electric vehicle adoption. Special attention should be given to road electrification, which reduces the duration of battery-powered autonomous driving and allows for smaller battery sizes, thereby extending their lifespan. This approach not only increases battery longevity but also has a positive environmental impact by reducing emissions associated with batt</w:t>
      </w:r>
    </w:p>
    <w:p>
      <w:pPr/>
      <w:r>
        <w:rPr>
          <w:b/>
        </w:rPr>
        <w:t>POSSIBLE 2025:</w:t>
      </w:r>
      <w:r>
        <w:t xml:space="preserve"> A Walk across Europe: Development of a high-resolution walkability index — https://doi.org/10.1016/j.healthplace.2025.103544</w:t>
      </w:r>
    </w:p>
    <w:p>
      <w:pPr/>
      <w:r>
        <w:rPr>
          <w:b/>
        </w:rPr>
        <w:t>Shared claim-specific concepts:</w:t>
      </w:r>
      <w:r>
        <w:t xml:space="preserve"> use, index; EU scope visible. This is a provisional connection, not an outcome finding.</w:t>
      </w:r>
    </w:p>
    <w:p>
      <w:pPr>
        <w:pStyle w:val="SourceNote"/>
      </w:pPr>
      <w:r>
        <w:rPr>
          <w:b/>
        </w:rPr>
        <w:t>Available abstract (not full text):</w:t>
      </w:r>
      <w:r>
        <w:t xml:space="preserve"> Physical inactivity significantly contributes to obesity and other non-communicable diseases, yet efforts to increase population-wide physical activity levels have met with limited success. The built environment plays a pivotal role in encouraging active behaviors like walking. Walkability indices, which aggregate various environmental features, provide a valuable tool for promoting healthy, walkable environments. However, a standardized, high-resolution walkability index for Europe has been lacking. This study addresses that gap by developing a standardized, high-resolution walkability index for the entire European region. Seven core components were selected to define walkability: walkable street length, intersection density, green spaces, slope, public transport access, land use mix, and 15 min walking isochrones. These were derived from harmonized, high-resolution datasets such as Sentinel-2, NASA's elevation models, OpenStreetMap, and CORINE Land Cover. A 100 m × 100 m hierarchical grid system and advanced geospatial methods, like network buffers and distance decay, were used at scale to efficiently model real-world density and proximity effects. The resulting index was weighted by population and analyzed at different spatial levels using visual mapping, spatial clustering, and correlation analysis. Findings revealed a distinct urban-to-rural gradient, with high walkability</w:t>
      </w:r>
    </w:p>
    <w:p>
      <w:pPr/>
      <w:r>
        <w:rPr>
          <w:b/>
        </w:rPr>
        <w:t>POSSIBLE 2025:</w:t>
      </w:r>
      <w:r>
        <w:t xml:space="preserve"> Novel integrated risk index reveals uneven impact of climate change on fascioliasis risk across Africa and Europe — https://doi.org/10.64898/2025.12.04.692276</w:t>
      </w:r>
    </w:p>
    <w:p>
      <w:pPr/>
      <w:r>
        <w:rPr>
          <w:b/>
        </w:rPr>
        <w:t>Shared claim-specific concepts:</w:t>
      </w:r>
      <w:r>
        <w:t xml:space="preserve"> use, index, also; EU scope visible. This is a provisional connection, not an outcome finding.</w:t>
      </w:r>
    </w:p>
    <w:p>
      <w:pPr>
        <w:pStyle w:val="SourceNote"/>
      </w:pPr>
      <w:r>
        <w:rPr>
          <w:b/>
        </w:rPr>
        <w:t>Available abstract (not full text):</w:t>
      </w:r>
      <w:r>
        <w:t xml:space="preserve"> Abstract Fascioliasis, a zoonotic parasitic disease caused by the liver flukes Fasciola hepatica and Fasciola gigantica , poses a significant threat to livestock and human health globally. Climate change is altering the transmission dynamics of this disease; however, the direction and magnitude of this change remain uncertain due to a lack of mechanistically grounded predictions at continental scale. In this study, we developed a novel risk index to assess how climate change may affect the potential for fascioliasis transmission across Africa and Europe. The index integrates the following three components that together capture the environmental requirements for Fasciola transmission: the temperature dependence of the parasite transmission; climatic suitability for the snail intermediate host; and availability of freshwater habitats. To estimate these components, we used data from published experimental studies, thousands of snail occurrence records, and both mechanistic and correlative modelling approaches. We predict that climate change will generally reduce fascioliasis risk across most of the ranges of the two investigated liver fluke species, albeit with marked geographical differences. The transmission risk of F. gigantica is predicted to decrease in the Sahel and West Africa, due to above-optimal temperatures for parasite transmission and climatic suitability for the inte</w:t>
      </w:r>
    </w:p>
    <w:p>
      <w:pPr/>
      <w:r>
        <w:rPr>
          <w:b/>
        </w:rPr>
        <w:t>POSSIBLE 2025:</w:t>
      </w:r>
      <w:r>
        <w:t xml:space="preserve"> European Deprivation Index and children with Cerebral Palsy: Data from the Portuguese Cerebral Palsy Surveillance Program — https://openalex.org/W7134220166</w:t>
      </w:r>
    </w:p>
    <w:p>
      <w:pPr/>
      <w:r>
        <w:rPr>
          <w:b/>
        </w:rPr>
        <w:t>Shared claim-specific concepts:</w:t>
      </w:r>
      <w:r>
        <w:t xml:space="preserve"> index, understand, effect; EU scope visible. This is a provisional connection, not an outcome finding.</w:t>
      </w:r>
    </w:p>
    <w:p>
      <w:pPr>
        <w:pStyle w:val="SourceNote"/>
      </w:pPr>
      <w:r>
        <w:rPr>
          <w:b/>
        </w:rPr>
        <w:t>Available abstract (not full text):</w:t>
      </w:r>
      <w:r>
        <w:t xml:space="preserve"> Introduction: Socioeconomic inequalities have been associated with the severity of cerebral palsy (CP). The European Deprivation Index (EDI) accounts for aggregated ecological effects not yet identified. We describe the association between complexity and etiology of CP and a proxy for socioeconomic inequalities in Portugal. Participants and Methods: The Portuguese National Surveillance of Cerebral Palsy (PNSCP) collects data of 5-to-8-year-old children with CP, born since 2001, following the Surveillance of Cerebral Palsy in Europe (SCPE) datacollection protocol. Official live-birth (LB) statistics and data from children with CP born between 2001-2015, notified until September 2024, were analysed according to the area-level socioeconomic deprivation at birth, using the Portuguese version of the EDI (EDI-PT), categorized in tertiles and measured at municipal level. The CP severity/complexity was classified using the Cerebral Palsy Complexity-Scale (CPC-Scale). Associations were estimated by the odds ratio (OR) with a 95% confidence interval (95%CI). Results: 2,410 registered children with CP were classified according to tertiles of EDI-PT: 481 children in the 1st tertile (20%-CP vs 23%-LB); 591 in the 2nd (25%-CP vs 33%-LB) and 1,338 in the 3d (55%-CP vs 44% LB). Significant associations were observed between the 3rd tertile of EDI-PT and both post-neonatal causes of CP (OR 2.36</w:t>
      </w:r>
    </w:p>
    <w:p>
      <w:pPr/>
      <w:r>
        <w:rPr>
          <w:b/>
        </w:rPr>
        <w:t>POSSIBLE 2025:</w:t>
      </w:r>
      <w:r>
        <w:t xml:space="preserve"> Global technology innovation: comparison of new broad-based index of financial development of Europe and Asia — https://doi.org/10.1186/s43093-025-00547-1</w:t>
      </w:r>
    </w:p>
    <w:p>
      <w:pPr/>
      <w:r>
        <w:rPr>
          <w:b/>
        </w:rPr>
        <w:t>Shared claim-specific concepts:</w:t>
      </w:r>
      <w:r>
        <w:t xml:space="preserve"> index, also; EU scope visible. This is a provisional connection, not an outcome finding.</w:t>
      </w:r>
    </w:p>
    <w:p>
      <w:pPr>
        <w:pStyle w:val="SourceNote"/>
      </w:pPr>
      <w:r>
        <w:rPr>
          <w:b/>
        </w:rPr>
        <w:t>Available abstract (not full text):</w:t>
      </w:r>
      <w:r>
        <w:t xml:space="preserve"> Abstract Financial development plays a vital role in fostering economic growth, influencing financial institutions, markets, technological innovation, and gross domestic product (GDP). While prior research has extensively examined this relationship, traditional metrics such as the ratio of private credit to GDP and stock market capitalization to GDP fail to capture the multidimensional nature of financial development. To address this limitation, this study introduces nine comprehensive measures encompassing financial depth, access, and efficiency across financial institutions and markets. Using a dataset spanning 2019–2022, this study evaluates financial development indicators for countries listed from A to L in the International Monetary Fund database. The findings reveal a robust positive correlation between financial development and technological innovation, suggesting that enhanced financial infrastructure facilitates technological advancements. Moreover, the results indicate a significant positive relationship between technological innovation and GDP, reinforcing the argument that innovation serves as a catalyst for economic expansion. These findings underscore the critical role of financial development in not only promoting innovation but also in stimulating economic growth. The study carries important implications for policymakers, emphasizing the necessity of financial </w:t>
      </w:r>
    </w:p>
    <w:p>
      <w:pPr/>
      <w:r>
        <w:rPr>
          <w:b/>
        </w:rPr>
        <w:t>POSSIBLE 2025:</w:t>
      </w:r>
      <w:r>
        <w:t xml:space="preserve"> The Effect of Crop Diversification and Season on Microbial Carbon Use Efficiency Across a European Pedoclimatic Gradient — https://doi.org/10.1111/ejss.70078</w:t>
      </w:r>
    </w:p>
    <w:p>
      <w:pPr/>
      <w:r>
        <w:rPr>
          <w:b/>
        </w:rPr>
        <w:t>Shared claim-specific concepts:</w:t>
      </w:r>
      <w:r>
        <w:t xml:space="preserve"> use, understand, effect; EU scope visible. This is a provisional connection, not an outcome finding.</w:t>
      </w:r>
    </w:p>
    <w:p>
      <w:pPr>
        <w:pStyle w:val="SourceNote"/>
      </w:pPr>
      <w:r>
        <w:rPr>
          <w:b/>
        </w:rPr>
        <w:t>Available abstract (not full text):</w:t>
      </w:r>
      <w:r>
        <w:t xml:space="preserve"> ABSTRACT Microbial transformation of soil organic matter plays a critical role in carbon (C) cycling making it essential to understand how land use and management practices influence microbial physiology and its connection to C dynamics. One factor that is likely to impact soil microbial physiology is crop diversification via its influence on belowground diversity (e.g., chemical heterogeneity of C inputs, microbial community composition). However, the effect of crop diversification measures on microbial physiology and potential effects on C cycling in agricultural soils is still unclear. To address this knowledge gap, we sampled topsoil from eight experimental sites covering different crop diversification measures across Europe (i.e., cover crops, ley farming, vegetation stripes). We used the 18 O‐labelling method to analyse microbial C use efficiency (CUE), growth, respiration and biomass C. Additionally, a second sampling at five selected sites examined whether the growing season influenced the impact of crop diversification. Meta‐analysis revealed no overall effect of crop diversification on CUE, microbial activity, biomass or soil organic C (SOC). However, the effects varied with the type of diversification measure: cover crops did not affect carbon processing, vegetation stripes increased microbial activity, and ley farming enhanced CUE. The largest variation in CUE was o</w:t>
      </w:r>
    </w:p>
    <w:p>
      <w:pPr/>
      <w:r>
        <w:rPr>
          <w:b/>
        </w:rPr>
        <w:t>POSSIBLE 2025:</w:t>
      </w:r>
      <w:r>
        <w:t xml:space="preserve"> Quantifying the Performance of European Agriculture Through the New European Sustainability Model — https://doi.org/10.3390/agriculture15020210</w:t>
      </w:r>
    </w:p>
    <w:p>
      <w:pPr/>
      <w:r>
        <w:rPr>
          <w:b/>
        </w:rPr>
        <w:t>Shared claim-specific concepts:</w:t>
      </w:r>
      <w:r>
        <w:t xml:space="preserve"> use, index, also; EU scope visible. This is a provisional connection, not an outcome finding.</w:t>
      </w:r>
    </w:p>
    <w:p>
      <w:pPr>
        <w:pStyle w:val="SourceNote"/>
      </w:pPr>
      <w:r>
        <w:rPr>
          <w:b/>
        </w:rPr>
        <w:t>Available abstract (not full text):</w:t>
      </w:r>
      <w:r>
        <w:t xml:space="preserve"> The study aims to assess the performance of European sustainable agriculture through a new model of agricultural sustainability, addressing a significant gap identified in the literature: the lack of a systematic framework integrating the economic, environmental, and resource efficiency dimensions of agricultural resource use in the context of the EU Common Agricultural Policy and the Green Deal. The research develops four synthetic indicators: ISPAS (Index of Sustainable Agricultural Productivity), IREA (Index of Reduced Emissions from Agriculture), ISAC (Index of Combined Agricultural Sustainability), and IESA (Index of Agricultural Land Area Efficiency), each reflecting complementary aspects of sustainable agricultural performance. The methodology is based on an econometric linear model and a dynamic Arellano–Bond model, which allows the analysis of the temporal relationships between synthetic indicators and agricultural sustainability performance, capturing the inertia effects and structural dynamics of the European agricultural sector. The modeling provides a robust approach to capture the interdependencies between agricultural emission reductions, sustainability mainstreaming, and land use efficiency. The results of the study indicate a superior quality of measurement by applying this integrated framework, highlighting significant relationships between emission reductions</w:t>
      </w:r>
    </w:p>
    <w:p>
      <w:pPr/>
      <w:r>
        <w:rPr>
          <w:b/>
        </w:rPr>
        <w:t>POSSIBLE 2025:</w:t>
      </w:r>
      <w:r>
        <w:t xml:space="preserve"> Construction Cost Index: Political, Economic, and Financial Risk Indices Within the European Continent — https://doi.org/10.3390/su17030917</w:t>
      </w:r>
    </w:p>
    <w:p>
      <w:pPr/>
      <w:r>
        <w:rPr>
          <w:b/>
        </w:rPr>
        <w:t>Shared claim-specific concepts:</w:t>
      </w:r>
      <w:r>
        <w:t xml:space="preserve"> index, also, pandemic; EU scope visible. This is a provisional connection, not an outcome finding.</w:t>
      </w:r>
    </w:p>
    <w:p>
      <w:pPr>
        <w:pStyle w:val="SourceNote"/>
      </w:pPr>
      <w:r>
        <w:rPr>
          <w:b/>
        </w:rPr>
        <w:t>Available abstract (not full text):</w:t>
      </w:r>
      <w:r>
        <w:t xml:space="preserve"> The global construction industry has encountered record growth, especially following the COVID-19 pandemic period, during which the construction industry almost entirely ceased. However, the prices of building materials used by the construction sector have increased rapidly since the COVID-19 pandemic due to interruptions in the supply chain, causing increases in interest rates, inflation rates, and wage rates, as well as changes in tax rates. This has resulted in a contraction of construction activities in the euro area that warrants investigation. The purpose of this study was to empirically evaluate the impacts of political, economic, and financial risks on the cost of construction materials, which have caused a recession in the European economy. In this study, an empirical examination of the long-term equilibrium relationship between the construction cost index and various risk indices associated with politics, economics, and finance across Europe was conducted. This study also explored the construction-led growth hypothesis in the eurozone. Fully Modified Ordinary Least Squares (FMOLSs) and Dynamic Ordinary Least Squares (DOLSs) panel estimation techniques were employed here. The panel regression results were obtained using the FMOLS technique and provided statistically significant elasticity coefficients. The results revealed that the economic risk index was statistically</w:t>
      </w:r>
    </w:p>
    <w:p>
      <w:pPr/>
      <w:r>
        <w:rPr>
          <w:b/>
        </w:rPr>
        <w:t>POSSIBLE 2025:</w:t>
      </w:r>
      <w:r>
        <w:t xml:space="preserve"> Investigating the Effects of Crises and Bilateral Agreements on Moldova's Economic Integration into the European Union Using the Trade Intensity Index Method — https://doi.org/10.55065/intraders.1788830</w:t>
      </w:r>
    </w:p>
    <w:p>
      <w:pPr/>
      <w:r>
        <w:rPr>
          <w:b/>
        </w:rPr>
        <w:t>Shared claim-specific concepts:</w:t>
      </w:r>
      <w:r>
        <w:t xml:space="preserve"> index, also, pandemic; EU scope visible. This is a provisional connection, not an outcome finding.</w:t>
      </w:r>
    </w:p>
    <w:p>
      <w:pPr>
        <w:pStyle w:val="SourceNote"/>
      </w:pPr>
      <w:r>
        <w:rPr>
          <w:b/>
        </w:rPr>
        <w:t>Available abstract (not full text):</w:t>
      </w:r>
      <w:r>
        <w:t xml:space="preserve"> The main objective of this research is to evaluate the bilateral trade and economic relations between Moldova and the European Union (EU) from 2003 to 2023 using the trade intensity index analysis method. It also examines how external events such as the 2008 Global Financial Crisis and the COVID-19 pandemic, as well as bilateral agreements, have impacted Moldova's integration process into the European Union. According to the analysis results, the trade intensity score between the European Union and Moldova is above the world average, with the European Union having nearly twice the trade intensity score compared to Moldova. Positive agreements, such as the European Union Eastern Partnership Program initiated in 2009, have been found to have beneficial effects on Moldova's economic integration with the European Union. On the other hand, external events like the 2008 Global Financial Crisis and the COVID-19 pandemic have been determined to have negative impacts on Moldova's integration into the European Union and its bilateral trade and economic relations. The study indicates that while the EU Eastern Partnership Agreement has positively influenced Moldova's economic integration, the process remains vulnerable to financial crises and global disruptions, underscoring the need for resilient trade policies and strategies to revitalize economic cooperation amid declining trade volumes</w:t>
      </w:r>
    </w:p>
    <w:p>
      <w:pPr/>
      <w:r>
        <w:rPr>
          <w:b/>
        </w:rPr>
        <w:t>POSSIBLE 2025:</w:t>
      </w:r>
      <w:r>
        <w:t xml:space="preserve"> Effectiveness of European Green Deal: Malmquist Index Analysis on 25 EU Countries — https://doi.org/10.5171/2025.4531125</w:t>
      </w:r>
    </w:p>
    <w:p>
      <w:pPr/>
      <w:r>
        <w:rPr>
          <w:b/>
        </w:rPr>
        <w:t>Shared claim-specific concepts:</w:t>
      </w:r>
      <w:r>
        <w:t xml:space="preserve"> index, also; EU scope visible. This is a provisional connection, not an outcome finding.</w:t>
      </w:r>
    </w:p>
    <w:p>
      <w:pPr>
        <w:pStyle w:val="SourceNote"/>
      </w:pPr>
      <w:r>
        <w:rPr>
          <w:b/>
        </w:rPr>
        <w:t>Available abstract (not full text):</w:t>
      </w:r>
      <w:r>
        <w:t xml:space="preserve"> The aim of the article is to assess the effectiveness of the European Green Deal (EGD) implementation in EU countries. The aim was to be achieved by using the Data Envelopment Analysis (DEA) model. The additional aim is to determine which countries are most effective in achieving the Green Deal goals by analyzing the Malmquist Index. There are only few studies assessing the relative effectiveness of the EGD implementation through a comparative approach. There is a lack of studies assessing the degree of implementation of the Green Deal. There is also no development of the methods by which member states can achieve the main goal of the Green Deal, i.e. a 55% reduction in greenhouse gases by 2030. The small number of studies on the effectiveness of the implementation of the EGD goals was considered as a research gap. The research used the DEA approach to assess the effectiveness of EGD implementation in the 25 EU countries in the period of 2013–2021, using the Eurostat indicators. An outcome-oriented DEA model was developed to examine relative efficiency, and Malmquist Index were calculated, which present the change in technical efficiency and technological changes over the two the same periods in the 25 countries studied. The geometric mean of the Malmquist Index indicates an average increase of around 9% over the period studied. The results reveal significant differences in the</w:t>
      </w:r>
    </w:p>
    <w:p>
      <w:pPr>
        <w:pStyle w:val="Heading2"/>
      </w:pPr>
      <w:r>
        <w:t>564. Use and perception of weather forecast information across Europe</w:t>
      </w:r>
    </w:p>
    <w:p>
      <w:pPr>
        <w:pStyle w:val="SourceNote"/>
      </w:pPr>
      <w:r>
        <w:rPr>
          <w:b/>
        </w:rPr>
        <w:t>Original source (2022):</w:t>
      </w:r>
      <w:r>
        <w:t xml:space="preserve"> https://doi.org/10.1002/met.2053</w:t>
      </w:r>
    </w:p>
    <w:p>
      <w:pPr/>
      <w:r>
        <w:t>Original wording (abstract; indexed_source_text_not_full_document_verified): The two surveys indicate that there might be benefits of increased collaboration and sharing of data between European NMHSs to be able to offer their users more training, and to learn from each other in areas where insight already exists.</w:t>
      </w:r>
    </w:p>
    <w:p>
      <w:pPr/>
      <w:r>
        <w:rPr>
          <w:b/>
        </w:rPr>
        <w:t>POSSIBLE 2026:</w:t>
      </w:r>
      <w:r>
        <w:t xml:space="preserve"> Estimating the hospitalisation burden of obesity in Europe: evidence from the European health interview survey (EHIS) wave 3 — https://doi.org/10.1186/s12889-026-26705-w</w:t>
      </w:r>
    </w:p>
    <w:p>
      <w:pPr/>
      <w:r>
        <w:rPr>
          <w:b/>
        </w:rPr>
        <w:t>Shared claim-specific concepts:</w:t>
      </w:r>
      <w:r>
        <w:t xml:space="preserve"> there, benefits, increased, data, between, offer; EU scope visible. This is a provisional connection, not an outcome finding.</w:t>
      </w:r>
    </w:p>
    <w:p>
      <w:pPr>
        <w:pStyle w:val="SourceNote"/>
      </w:pPr>
      <w:r>
        <w:rPr>
          <w:b/>
        </w:rPr>
        <w:t>Available abstract (not full text):</w:t>
      </w:r>
      <w:r>
        <w:t xml:space="preserve"> BACKGROUND: Obesity represents a significant public health and economic challenge across Europe, driving an increased chronic disease burden and increased hospital utilisation. Despite this impact, cross-national evidence quantifying obesity’s hospitalisation burden remains sparse, and there is only a limited understanding of the potential cost savings achievable through obesity prevalence reduction. METHODS: We analysed European Health Interview Survey (EHIS) Wave 3 (2019) data, encompassing adults aged 18 years and older across eight countries (Belgium, the Netherlands, Germany, Luxembourg, Spain, Italy, Portugal and Denmark). Our primary outcome was the number of hospital nights in the preceding 12 months. We employed negative binomial regression models with zero-inflated specifications to estimate the associations between hospitalisation and body mass index (BMI), alongside sociodemographic, health and lifestyle factors. Simulations were used to project the impacts of a 1% obesity prevalence reduction on hospital expenditures. RESULTS: Compared to normal weight, obesity and underweight were strongly associated with increased hospital nights (IRR = 1.19 and 1.92, respectively), while pre-obesity showed no such association. Hospitalisation increased markedly with age, whereas higher education and income provided protective effects in this regard, reducing stays by 7% and 8%, </w:t>
      </w:r>
    </w:p>
    <w:p>
      <w:pPr/>
      <w:r>
        <w:rPr>
          <w:b/>
        </w:rPr>
        <w:t>POSSIBLE 2026:</w:t>
      </w:r>
      <w:r>
        <w:t xml:space="preserve"> Defining Ethnic and Migrant Minorities in Survey Research across Europe: Insights from the Ethnic and Migrant Minorities Survey Registry — https://doi.org/10.1186/s40878-026-00564-1</w:t>
      </w:r>
    </w:p>
    <w:p>
      <w:pPr/>
      <w:r>
        <w:rPr>
          <w:b/>
        </w:rPr>
        <w:t>Shared claim-specific concepts:</w:t>
      </w:r>
      <w:r>
        <w:t xml:space="preserve"> surveys, data, between; EU scope visible. This is a provisional connection, not an outcome finding.</w:t>
      </w:r>
    </w:p>
    <w:p>
      <w:pPr>
        <w:pStyle w:val="SourceNote"/>
      </w:pPr>
      <w:r>
        <w:rPr>
          <w:b/>
        </w:rPr>
        <w:t>Available abstract (not full text):</w:t>
      </w:r>
      <w:r>
        <w:t xml:space="preserve"> Abstract Surveys of ethnic and migrant minorities are key sources of data and information on these populations. How such surveys define, identify, and operationalize these target populations is consequential for the findings and inferences resulting from their analysis. This article systematically identifies and assesses the diverse approaches used in these surveys to define and operationalize the studied ethnic and migrant minorities. Through a comprehensive analysis of survey-level metadata from the Ethnic and Migrant Minorities Survey Registry, covering 1,840 national and subnational surveys conducted between 2000 and 2021 across 34 European countries, we examine the survey questions used to classify the target groups, as well as the broader categorizations that they reveal. The paper highlights common practices and emerging trends in defining and operationalizing ethnic and migrant minority populations. The findings also inform future decision-making by survey researchers on how to define and measure ethnic/origin-related concepts.</w:t>
      </w:r>
    </w:p>
    <w:p>
      <w:pPr/>
      <w:r>
        <w:rPr>
          <w:b/>
        </w:rPr>
        <w:t>POSSIBLE 2026:</w:t>
      </w:r>
      <w:r>
        <w:t xml:space="preserve"> The role of osteopathy in public healthcare in Europe — https://openalex.org/W7154884819</w:t>
      </w:r>
    </w:p>
    <w:p>
      <w:pPr/>
      <w:r>
        <w:rPr>
          <w:b/>
        </w:rPr>
        <w:t>Shared claim-specific concepts:</w:t>
      </w:r>
      <w:r>
        <w:t xml:space="preserve"> two, there, data, able; EU scope visible. This is a provisional connection, not an outcome finding.</w:t>
      </w:r>
    </w:p>
    <w:p>
      <w:pPr>
        <w:pStyle w:val="SourceNote"/>
      </w:pPr>
      <w:r>
        <w:rPr>
          <w:b/>
        </w:rPr>
        <w:t>Available abstract (not full text):</w:t>
      </w:r>
      <w:r>
        <w:t xml:space="preserve"> Public healthcare in Europe is characterised by a diverse range of healthcare systems aimed at protecting population health and promoting wellbeing. While osteopathy is a healthcare discipline, its integration into public health systems could vary across European countries. The aim of this master’s thesis was to explore the role of osteopaths in public health care across Europe, providing a framework for understanding the professionalisation and integration of osteopathy within established European medical systems. A scoping review was chosen as the research method, following the methodological guidance of the Joanna Briggs Institute. A systematic literature search was conducted across the databases CINAHL Complete, Cochrane Library, and MEDLINE. A total of thirteen studies corresponding to inclusion criteria and relevant to the research question were selected for the scoping review. The publications included eight randomised controlled trials, two quasi experimental studies, two observational cohort studies and one survey. The Critical Appraisal Checklists of Joanna Briggs Institute were used for the quality assessment of the selected publications, and the data was analysed by using inductive content analysis. The results of the included articles indicated that osteopathic manipulative treatment could serve as a versatile supportive tool across different stages of life. In neo</w:t>
      </w:r>
    </w:p>
    <w:p>
      <w:pPr/>
      <w:r>
        <w:rPr>
          <w:b/>
        </w:rPr>
        <w:t>POSSIBLE 2026:</w:t>
      </w:r>
      <w:r>
        <w:t xml:space="preserve"> Revisiting the digital divide in Europe — The profile of those on the wrong side of the divide — https://doi.org/10.1016/j.telpol.2026.103206</w:t>
      </w:r>
    </w:p>
    <w:p>
      <w:pPr/>
      <w:r>
        <w:rPr>
          <w:b/>
        </w:rPr>
        <w:t>Shared claim-specific concepts:</w:t>
      </w:r>
      <w:r>
        <w:t xml:space="preserve"> two, benefits, data, between; EU scope visible. This is a provisional connection, not an outcome finding.</w:t>
      </w:r>
    </w:p>
    <w:p>
      <w:pPr>
        <w:pStyle w:val="SourceNote"/>
      </w:pPr>
      <w:r>
        <w:rPr>
          <w:b/>
        </w:rPr>
        <w:t>Available abstract (not full text):</w:t>
      </w:r>
      <w:r>
        <w:t xml:space="preserve"> How deep is the digital divide in Europe today? What is the profile of those on the wrong side of the divide? This article provides answers to these two questions using data from the European Social Survey (round 10, data collected between 2020 and 2022) and conducting analyses using a probit regression model. It concludes that the digital divide, including the access divide, remains a problem in Europe. The prototype of the offline European would be someone who is not young, has little or no education, lives alone in a rural area, perceives their situation as financially difficult, is somewhat socially isolated, and has doubts about the benefits of communication. The profile of the person affected by the skills divide is not very different from that described above, although with some nuances: while women are less affected by the access divide, they are more affected by the skills divide; the larger the household size, the greater the likelihood of having lower digital proficiency; those “in education” are more skilled; capabilities increase with the number of hours spent in front of the screen.</w:t>
      </w:r>
    </w:p>
    <w:p>
      <w:pPr/>
      <w:r>
        <w:rPr>
          <w:b/>
        </w:rPr>
        <w:t>POSSIBLE 2026:</w:t>
      </w:r>
      <w:r>
        <w:t xml:space="preserve"> Factors Influencing Successful Breastfeeding: A Regional Survey and Comparative Review in European and Global Contexts — https://doi.org/10.3390/children13081078</w:t>
      </w:r>
    </w:p>
    <w:p>
      <w:pPr/>
      <w:r>
        <w:rPr>
          <w:b/>
        </w:rPr>
        <w:t>Shared claim-specific concepts:</w:t>
      </w:r>
      <w:r>
        <w:t xml:space="preserve"> two, indicate, benefits, data, between; EU scope visible. This is a provisional connection, not an outcome finding.</w:t>
      </w:r>
    </w:p>
    <w:p>
      <w:pPr>
        <w:pStyle w:val="SourceNote"/>
      </w:pPr>
      <w:r>
        <w:rPr>
          <w:b/>
        </w:rPr>
        <w:t>Available abstract (not full text):</w:t>
      </w:r>
      <w:r>
        <w:t xml:space="preserve"> Background/Objectives: Breastfeeding is universally recognized as essential for neonatal health, offering benefits that extend into later life stages. The World Health Organization (WHO) advocates for increasing access to effective, low-cost interventions that promote successful breastfeeding, such as skin-to-skin contact (SSC), kangaroo mother care (KMC), and rooming-in. This study aimed to assess the local context regarding the use and dissemination of practices such as prenatal classes, immediate and post-delivery SSC, rooming-in, and the management of discharge and post-discharge care. Methods: This study is a cross-sectional survey across all 29 birth centers in two regions of Southern Italy. An online questionnaire was distributed to all neonatal units, and local data were compared with national, European, and global datasets. Results: Childbirth preparation classes were offered by 38% of centers. Fifteen centers routinely implemented SSC in the first two hours postpartum, while 12 centers used SSC for a shorter duration. Rooming-in was practiced in all centers, with 8 of 29 centers (27.6%) offering it on a full 24 h basis. A brief postpartum follow-up dedicated to breastfeeding support was provided in 12 of 29 centers (41.4%), and 6 centers offered a dedicated telephone breastfeeding consultation service. Conclusions: This survey confirmed the value of monitoring adheren</w:t>
      </w:r>
    </w:p>
    <w:p>
      <w:pPr/>
      <w:r>
        <w:rPr>
          <w:b/>
        </w:rPr>
        <w:t>POSSIBLE 2025:</w:t>
      </w:r>
      <w:r>
        <w:t xml:space="preserve"> Bridging the gap between research and decision making: A European survey to enhance cooperation in wastewater-based epidemiology (WBE) for illicit drugs — https://doi.org/10.1016/j.puhe.2025.02.009</w:t>
      </w:r>
    </w:p>
    <w:p>
      <w:pPr/>
      <w:r>
        <w:rPr>
          <w:b/>
        </w:rPr>
        <w:t>Shared claim-specific concepts:</w:t>
      </w:r>
      <w:r>
        <w:t xml:space="preserve"> two, surveys, indicate, collaboration, data, between; EU scope visible. This is a provisional connection, not an outcome finding.</w:t>
      </w:r>
    </w:p>
    <w:p>
      <w:pPr>
        <w:pStyle w:val="SourceNote"/>
      </w:pPr>
      <w:r>
        <w:rPr>
          <w:b/>
        </w:rPr>
        <w:t>Available abstract (not full text):</w:t>
      </w:r>
      <w:r>
        <w:t xml:space="preserve"> OBJECTIVES: Illicit drug use presents a significant challenge to global health and public safety, requiring innovative and effective monitoring strategies. This study aimed to evaluate the current landscape of wastewater-based epidemiology (WBE) for monitoring illicit drugs in Europe, focusing on collaboration, current practices, and barriers, while identifying opportunities for improvement. STUDY DESIGN: Cross-sectional survey-based study. METHODS: Coordinated by the Sewage Analysis CORe Group Europe (SCORE) and the European Union Drugs Agency (EUDA), two surveys were conducted in 2023 targeting researchers and stakeholders using WBE for illicit drugs. Data were analysed to identify trends, gaps, and opportunities for improving WBE implementation. RESULTS: The findings indicate a robust research infrastructure and diverse analytical methods among European institutions. Two-thirds of the participating countries reported using WBE data to inform policy. However, challenges persist, particularly in securing funding and coordination, as well as generating national estimates from multiple locations and addressing specific local policy needs. CONCLUSIONS: WBE has proven to be a valuable tool for monitoring illicit drug trends and informing drug policies. To unlock its full potential, sustained funding, methodological standardization, and enhanced cooperation are essential. This stud</w:t>
      </w:r>
    </w:p>
    <w:p>
      <w:pPr/>
      <w:r>
        <w:rPr>
          <w:b/>
        </w:rPr>
        <w:t>POSSIBLE 2025:</w:t>
      </w:r>
      <w:r>
        <w:t xml:space="preserve"> Barriers to Deprescribing Benzodiazepines in Older Adults in a Survey of European Physicians — https://doi.org/10.1001/jamanetworkopen.2024.59883</w:t>
      </w:r>
    </w:p>
    <w:p>
      <w:pPr/>
      <w:r>
        <w:rPr>
          <w:b/>
        </w:rPr>
        <w:t>Shared claim-specific concepts:</w:t>
      </w:r>
      <w:r>
        <w:t xml:space="preserve"> indicate, between, training, other; EU scope visible. This is a provisional connection, not an outcome finding.</w:t>
      </w:r>
    </w:p>
    <w:p>
      <w:pPr>
        <w:pStyle w:val="SourceNote"/>
      </w:pPr>
      <w:r>
        <w:rPr>
          <w:b/>
        </w:rPr>
        <w:t>Available abstract (not full text):</w:t>
      </w:r>
      <w:r>
        <w:t xml:space="preserve"> Importance: The use of benzodiazepine receptor agonists (BZRA) poses serious health risks to older adults. Although several guidelines recommend deprescribing, implementation in clinical practice remains limited. Objective: To identify physicians' barriers to and enablers of deprescribing BZRA in adults aged 65 years and older taking a BZRA for sleep problems; to determine factors associated with hospital physicians' intention to deprescribe BZRA and their self-reported routine BZRA deprescribing. Design, Setting, and Participants: This survey study included hospital physicians and general practitioners (GPs) working across 6 European Countries (Belgium, Greece, Norway, Poland, Spain, and Switzerland) between December 2022 and March 2023. Main Outcomes and Measures: Barriers identification via a 35-item questionnaire based upon the Theoretical Domains Framework (TDF). Responses were categorized as major barriers, moderate barriers, and enablers based on their mean scores. Multivariable logistic regressions were used to identify background characteristics and TDF-based domains associated with hospital physicians' intention to deprescribe and self-reported routine deprescribing. Results: Questionnaires from 240 hospital physicians and 96 GPs were analyzed. Most participants were women: 144 (61.0%) hospital physicians and 52 (54.2%) GPs. In terms of experience, the most common rep</w:t>
      </w:r>
    </w:p>
    <w:p>
      <w:pPr/>
      <w:r>
        <w:rPr>
          <w:b/>
        </w:rPr>
        <w:t>POSSIBLE 2025:</w:t>
      </w:r>
      <w:r>
        <w:t xml:space="preserve"> Management Measures and Trends of Biological Invasions in Europe: A Survey‐Based Assessment of Local Managers — https://doi.org/10.1111/gcb.70028</w:t>
      </w:r>
    </w:p>
    <w:p>
      <w:pPr/>
      <w:r>
        <w:rPr>
          <w:b/>
        </w:rPr>
        <w:t>Shared claim-specific concepts:</w:t>
      </w:r>
      <w:r>
        <w:t xml:space="preserve"> indicate, there, sharing, data, between, other; EU scope visible. This is a provisional connection, not an outcome finding.</w:t>
      </w:r>
    </w:p>
    <w:p>
      <w:pPr>
        <w:pStyle w:val="SourceNote"/>
      </w:pPr>
      <w:r>
        <w:rPr>
          <w:b/>
        </w:rPr>
        <w:t>Available abstract (not full text):</w:t>
      </w:r>
      <w:r>
        <w:t xml:space="preserve"> Biological invasions are a major threat to biodiversity, ecosystem functioning and nature's contributions to people worldwide. However, the effectiveness of invasive alien species (IAS) management measures and the progress toward achieving biodiversity targets remain uncertain due to limited and nonuniform data availability. Management success is usually assessed at a local level and documented in technical reports, often written in languages other than English, which makes such data notoriously difficult to collect at large geographic scales. Here we present the first European assessment of how managers perceive trends in IAS and the effectiveness of management measures to mitigate biological invasions. We developed a structured questionnaire translated into 18 languages and disseminated it to local and regional managers of IAS in Europe. We received responses from 1928 participants from 41 European countries, including 24 European Union (EU) Member States. Our results reveal substantial efforts in IAS monitoring and control, with invasive plants being the primary focus. Yet, there is a general perception of an increase in the numbers, occupied areas, and impacts of IAS across environment and taxonomic groups, particularly plants, over time. This perceived increase is consistent across both EU and non-EU countries, with respondents from EU countries demonstrating more certaint</w:t>
      </w:r>
    </w:p>
    <w:p>
      <w:pPr/>
      <w:r>
        <w:rPr>
          <w:b/>
        </w:rPr>
        <w:t>POSSIBLE 2025:</w:t>
      </w:r>
      <w:r>
        <w:t xml:space="preserve"> Antenatal CMV screening, testing, and treatment strategies in Europe: a 2024 survey — https://doi.org/10.1080/14767058.2025.2555478</w:t>
      </w:r>
    </w:p>
    <w:p>
      <w:pPr/>
      <w:r>
        <w:rPr>
          <w:b/>
        </w:rPr>
        <w:t>Shared claim-specific concepts:</w:t>
      </w:r>
      <w:r>
        <w:t xml:space="preserve"> benefits, increased, already; EU scope visible. This is a provisional connection, not an outcome finding.</w:t>
      </w:r>
    </w:p>
    <w:p>
      <w:pPr>
        <w:pStyle w:val="SourceNote"/>
      </w:pPr>
      <w:r>
        <w:rPr>
          <w:b/>
        </w:rPr>
        <w:t>Available abstract (not full text):</w:t>
      </w:r>
      <w:r>
        <w:t xml:space="preserve"> OBJECTIVE: Congenital cytomegalovirus (cCMV) is the most common congenital infection globally, affecting approximately 0.5% of all live births in high income settings, with long-term sequelae affecting around a fifth of infected infants. Recently, interest in antenatal CMV screening has increased but current practices and impact are unclear. Our objective was to describe policy and practice around antenatal CMV screening, testing, and treatment in Europe, including the use of universal antenatal screening, in the context of the emerging evidence base for use of valaciclovir to reduce CMV vertical transmission (VT). METHODS: A web-based survey was distributed to healthcare professionals within antenatal services with knowledge of CMV testing/treatment practices, from 29 April 2024 to 24 July 2024. Responses from Europe were analyzed. Where multiple responses were submitted from the same healthcare service, the most complete response was kept for the analysis. RESULTS: &lt; .01). For all sites, screening tests included CMV IgM and IgG, with 36% (14/39) offering IgG avidity, and 8% (3/39) using PCR. Of the 39 centers offering universal screening, the coverage was estimated to be &gt;95% of pregnant women at half (18/39) of centers. Fifty-nine percent (23/39) of centers reported routinely offering repeat testing. Of 39 centers routinely offering testing, only 69% (27/39) gave advice on r</w:t>
      </w:r>
    </w:p>
    <w:p>
      <w:pPr/>
      <w:r>
        <w:rPr>
          <w:b/>
        </w:rPr>
        <w:t>POSSIBLE 2025:</w:t>
      </w:r>
      <w:r>
        <w:t xml:space="preserve"> Research Note: Estimating Kinship Size of Older Adults in Europe With Models and Surveys — https://doi.org/10.1215/00703370-11961236</w:t>
      </w:r>
    </w:p>
    <w:p>
      <w:pPr/>
      <w:r>
        <w:rPr>
          <w:b/>
        </w:rPr>
        <w:t>Shared claim-specific concepts:</w:t>
      </w:r>
      <w:r>
        <w:t xml:space="preserve"> two, surveys, data, between, each; EU scope visible. This is a provisional connection, not an outcome finding.</w:t>
      </w:r>
    </w:p>
    <w:p>
      <w:pPr>
        <w:pStyle w:val="SourceNote"/>
      </w:pPr>
      <w:r>
        <w:rPr>
          <w:b/>
        </w:rPr>
        <w:t>Available abstract (not full text):</w:t>
      </w:r>
      <w:r>
        <w:t xml:space="preserve"> Measures of kinship size are increasingly common in sociodemographic studies. The size and structure of older adults' kinship networks can be ascertained via direct observation in a social survey or modeled using demographic techniques. Each approach has advantages and disadvantages, but whether the two provide comparable estimates of kinship size is an open question. In this research note, we answer this question using social survey data and demographic models to estimate the size of older adults' kinship networks in 22 European countries. We find an impressively high association between the two approaches, with important variations by the kin type considered. We discuss the reasons for the divergence in the estimates and provide guidance for researchers interested in using either approach to quantify kinship size.</w:t>
      </w:r>
    </w:p>
    <w:p>
      <w:pPr/>
      <w:r>
        <w:rPr>
          <w:b/>
        </w:rPr>
        <w:t>POSSIBLE 2025:</w:t>
      </w:r>
      <w:r>
        <w:t xml:space="preserve"> Assessing micro-mobility net benefits at the individual level: Evidence for two European countries — https://doi.org/10.1016/j.trf.2025.02.020</w:t>
      </w:r>
    </w:p>
    <w:p>
      <w:pPr/>
      <w:r>
        <w:rPr>
          <w:b/>
        </w:rPr>
        <w:t>Shared claim-specific concepts:</w:t>
      </w:r>
      <w:r>
        <w:t xml:space="preserve"> two, benefits, between, users; EU scope visible. This is a provisional connection, not an outcome finding.</w:t>
      </w:r>
    </w:p>
    <w:p>
      <w:pPr>
        <w:pStyle w:val="SourceNote"/>
      </w:pPr>
      <w:r>
        <w:rPr>
          <w:b/>
        </w:rPr>
        <w:t>Available abstract (not full text):</w:t>
      </w:r>
      <w:r>
        <w:t xml:space="preserve"> • Differences in net benefits of e-scooter usage between Portugal and Germany. • User satisfaction is important precedents of net benefits. • Hedonic motivation and use affect user satisfaction. • Importance of moderation effect of long-term orientation and perceived unsafety. This study, comparing two European countries, explores the net benefits of e-scooters in interplay with their usage and user satisfaction. We surveyed 199 e-scooter users in Germany and 184 in Portugal. A novel framework based on an established model used to evaluate information systems’ success is introduced, where net benefits, here, are ultimately expressed by the efficiency and effectiveness of e-scooters in undertaking short-distance trips. All in all, one can infer that pragmatic reasons, in terms of functionality and fulfillment of purpose, are the most important factors in the usage and satisfaction of e-scooters. Recreational reasons are, at most, a side effect. The number one explanation of e-scooter net benefits, conducting short-distance trips effectively and efficiently, is user satisfaction, which is reinforced by use. Price also plays a rather important role, while thoughts regarding sustainability and safety do matter but subordinately. Preponderantly, the countries’ subsamples align with the full-sample model’s findings, with some differences among them; nonetheless, no significant one ca</w:t>
      </w:r>
    </w:p>
    <w:p>
      <w:pPr/>
      <w:r>
        <w:rPr>
          <w:b/>
        </w:rPr>
        <w:t>POSSIBLE 2025:</w:t>
      </w:r>
      <w:r>
        <w:t xml:space="preserve"> Edible Insects as an Alternative Source of Nutrients: Benefits, Risks, and the Future of Entomophagy in Europe—A Narrative Review — https://doi.org/10.3390/foods14020270</w:t>
      </w:r>
    </w:p>
    <w:p>
      <w:pPr/>
      <w:r>
        <w:rPr>
          <w:b/>
        </w:rPr>
        <w:t>Shared claim-specific concepts:</w:t>
      </w:r>
      <w:r>
        <w:t xml:space="preserve"> indicate, there, benefits, areas; EU scope visible. This is a provisional connection, not an outcome finding.</w:t>
      </w:r>
    </w:p>
    <w:p>
      <w:pPr>
        <w:pStyle w:val="SourceNote"/>
      </w:pPr>
      <w:r>
        <w:rPr>
          <w:b/>
        </w:rPr>
        <w:t>Available abstract (not full text):</w:t>
      </w:r>
      <w:r>
        <w:t xml:space="preserve"> According to projections by the Food and Agriculture Organization of the United Nations, the global population will reach 9 billion by 2050. This raises concerns about the ability to feed such a population. In view of the above, it is necessary to search for alternative food sources. Edible insects are rich in complete protein, essential fatty acids, vitamins and micronutrients. Despite this, entomophagy is not common in Europe. In 2021, the European Union approved Acheta domesticus, Tenebrio molitor, Locusta migratoria, and Alphitobius diaperinus for consumption. However, their consumption may also be associated with certain hazards, e.g., food allergies. The purpose of this review is to present existing knowledge, discuss the possible dangers of consuming insects, and identify areas for further research. Studies in Asian populations indicate that edible insects may be responsible for 4.2–19.4% of food allergies and 18% of fatal food-induced anaphylaxis. There are also increasing reports from Europe of food allergies to edible insects. A thorough understanding of allergens, their properties, and the mechanisms of food allergies associated with edible insects’ consumption is essential for ensuring consumers’ safety. In the future, it would be worthwhile to investigate the effects of heat treatment on the allergenicity of insect proteins.</w:t>
      </w:r>
    </w:p>
    <w:p>
      <w:pPr>
        <w:pStyle w:val="Heading2"/>
      </w:pPr>
      <w:r>
        <w:t>565. What energy infrastructure will be needed by 2050 in the EU to support 1.5°C scenarios?</w:t>
      </w:r>
    </w:p>
    <w:p>
      <w:pPr>
        <w:pStyle w:val="SourceNote"/>
      </w:pPr>
      <w:r>
        <w:rPr>
          <w:b/>
        </w:rPr>
        <w:t>Original source (2022):</w:t>
      </w:r>
      <w:r>
        <w:t xml:space="preserve"> https://doi.org/10.12688/f1000research.109399.1</w:t>
      </w:r>
    </w:p>
    <w:p>
      <w:pPr/>
      <w:r>
        <w:t>Original wording (abstract; indexed_source_text_not_full_document_verified): The objective of the study is to quantify energy infrastructure needs required in various climate neutral scenarios at the 2050 time horizon. Background: The European Commission has settled ambitious objectives in order to reach climate neutrality by 2050.</w:t>
      </w:r>
    </w:p>
    <w:p>
      <w:pPr/>
      <w:r>
        <w:rPr>
          <w:b/>
        </w:rPr>
        <w:t>POSSIBLE 2026:</w:t>
      </w:r>
      <w:r>
        <w:t xml:space="preserve"> Multi-objective supply chain optimization of renewable energy carrier imports for Europe — https://doi.org/10.18154/rwth-2026-04980</w:t>
      </w:r>
    </w:p>
    <w:p>
      <w:pPr/>
      <w:r>
        <w:rPr>
          <w:b/>
        </w:rPr>
        <w:t>Shared claim-specific concepts:</w:t>
      </w:r>
      <w:r>
        <w:t xml:space="preserve"> energy, infrastructure, horizon, objectives; EU scope visible. This is a provisional connection, not an outcome finding.</w:t>
      </w:r>
    </w:p>
    <w:p>
      <w:pPr>
        <w:pStyle w:val="SourceNote"/>
      </w:pPr>
      <w:r>
        <w:rPr>
          <w:b/>
        </w:rPr>
        <w:t>Available abstract (not full text):</w:t>
      </w:r>
      <w:r>
        <w:t xml:space="preserve"> We present an optimization approach examining renewable energy import partners.• The approach considers economic, environmental, and supply security objectives.• It identifies optimal exporting regions, their supply shares, and infrastructure.• It considers multiple renewable energy carriers trade over the long-term horizon.• We demonstrate the approach for the case of renewable energy imports to Europe.</w:t>
      </w:r>
    </w:p>
    <w:p>
      <w:pPr/>
      <w:r>
        <w:rPr>
          <w:b/>
        </w:rPr>
        <w:t>POSSIBLE 2026:</w:t>
      </w:r>
      <w:r>
        <w:t xml:space="preserve"> Sustainability of the European Energy System: The Evolution of the Energy Transition, Renewable Energy, and Energy Conservation — https://doi.org/10.3390/su18084046</w:t>
      </w:r>
    </w:p>
    <w:p>
      <w:pPr/>
      <w:r>
        <w:rPr>
          <w:b/>
        </w:rPr>
        <w:t>Shared claim-specific concepts:</w:t>
      </w:r>
      <w:r>
        <w:t xml:space="preserve"> objective, energy, climate, objectives, neutrality; EU scope visible. This is a provisional connection, not an outcome finding.</w:t>
      </w:r>
    </w:p>
    <w:p>
      <w:pPr>
        <w:pStyle w:val="SourceNote"/>
      </w:pPr>
      <w:r>
        <w:rPr>
          <w:b/>
        </w:rPr>
        <w:t>Available abstract (not full text):</w:t>
      </w:r>
      <w:r>
        <w:t xml:space="preserve"> Energy efficiency improvement represents a central strategic objective of the European Union (EU), essential for mitigating climate change and facilitating the transition toward a sustainable energy system. In 2023, renewable energy sources generated approximately 46% of the electricity produced in the EU, becoming the dominant component of the regional energy mix. This progress has been supported by coherent public policies, dedicated investment programs, and regulatory mechanisms aimed at accelerating the adoption of sustainable technologies. However, the existing literature highlights a research gap regarding the relationship between the dynamics of the European energy transition, the operational challenges generated by the rapid increase in the share of renewable energy sources, and the potential for energy savings in the residential sector through non-technological interventions. This paper analyzes the structural transformations of the European energy mix, the limitations of energy systems in the context of accelerated renewable energy integration, and the role of behavioral interventions in supporting the stability of the energy system. The study examines the dynamics of residential energy consumption, behavioral determinants of energy use, and the effectiveness of instruments such as information campaigns, real-time feedback, dynamic pricing, and demand response program</w:t>
      </w:r>
    </w:p>
    <w:p>
      <w:pPr/>
      <w:r>
        <w:rPr>
          <w:b/>
        </w:rPr>
        <w:t>POSSIBLE 2026:</w:t>
      </w:r>
      <w:r>
        <w:t xml:space="preserve"> Energy and Emission Disutilities of Transport Modes Under Transport Innovation in the European Union — https://doi.org/10.3390/en19051346</w:t>
      </w:r>
    </w:p>
    <w:p>
      <w:pPr/>
      <w:r>
        <w:rPr>
          <w:b/>
        </w:rPr>
        <w:t>Shared claim-specific concepts:</w:t>
      </w:r>
      <w:r>
        <w:t xml:space="preserve"> objective, energy, infrastructure, time; EU scope visible. This is a provisional connection, not an outcome finding.</w:t>
      </w:r>
    </w:p>
    <w:p>
      <w:pPr>
        <w:pStyle w:val="SourceNote"/>
      </w:pPr>
      <w:r>
        <w:rPr>
          <w:b/>
        </w:rPr>
        <w:t>Available abstract (not full text):</w:t>
      </w:r>
      <w:r>
        <w:t xml:space="preserve"> The transport sector is among the largest final energy consumers and greenhouse gas (GHG) emitters in the European Union. Consequently, reducing energy-related externalities has become a central objective in the EU’s sustainability and decarbonisation policies. This study quantifies the disutility costs associated with energy consumption and emissions across major passenger transport modes—cars, buses, and trains—using a harmonised dataset encompassing 28 EU countries. To do so, a comprehensive disutility cost framework is established, integrating time losses, monetary costs, infrastructure requirements, noise, local air pollutants, and GHG emissions, and combining correlation, regression, and clustering analyses. The results indicate that car transport incurs the highest transport disutility costs, primarily due to congestion-related energy inefficiencies and GHG emissions. In contrast, rail transport demonstrates the lowest cost, energy- and emission-related disutilities across most EU countries. Bus transport represents an intermediate solution, providing lower emission intensity compared to cars but exhibiting higher energy-related disutilities than rail systems. The findings highlight that a modal shift toward rail- and bus-based transport systems can substantially reduce transport-related energy demand, emissions, and income expenses with transport cost at the EU level. W</w:t>
      </w:r>
    </w:p>
    <w:p>
      <w:pPr/>
      <w:r>
        <w:rPr>
          <w:b/>
        </w:rPr>
        <w:t>POSSIBLE 2026:</w:t>
      </w:r>
      <w:r>
        <w:t xml:space="preserve"> Assessing Electricity System Flexibility Needs in the European Union — https://doi.org/10.2760/4894228</w:t>
      </w:r>
    </w:p>
    <w:p>
      <w:pPr/>
      <w:r>
        <w:rPr>
          <w:b/>
        </w:rPr>
        <w:t>Shared claim-specific concepts:</w:t>
      </w:r>
      <w:r>
        <w:t xml:space="preserve"> energy, needs, objectives; EU scope visible. This is a provisional connection, not an outcome finding.</w:t>
      </w:r>
    </w:p>
    <w:p>
      <w:pPr>
        <w:pStyle w:val="SourceNote"/>
      </w:pPr>
      <w:r>
        <w:rPr>
          <w:b/>
        </w:rPr>
        <w:t>Available abstract (not full text):</w:t>
      </w:r>
      <w:r>
        <w:t xml:space="preserve"> This report provides a compact guide, implementation-oriented introduction to the Flexibility Needs Assessment (FNA) methodology approved by the European Union (EU) Agency for the Cooperation of Energy Regulators (ACER) as Annex I to Decision No. 05/2025, in application of Article 19e of Regulation (EU) 2019/943. The FNA is the analytical basis on which Member States set indicative national objectives for non-fossil flexibility. The guide focuses on system-level flexibility needs, covering the common Article 7 data route and the interaction among Article 8 integration needs for renewable energy sources (RES), Article 9 ramping needs and Article 10 short-term flexibility needs. Network-level needs (Articles 11–14) are referenced but not covered. The methodology explanation is complemented by a synthetic one-week case study for a fictional bidding zone, used to illustrate how residual-load ramps, forecast-error uncertainty and renewable curtailment are linked, and how the anti-double-counting rule between Articles 9, 10 and 8 is applied. The example is deliberately smaller than a regulatory FNA and its scope and simplifications are made explicit as needed.</w:t>
      </w:r>
    </w:p>
    <w:p>
      <w:pPr/>
      <w:r>
        <w:rPr>
          <w:b/>
        </w:rPr>
        <w:t>POSSIBLE 2026:</w:t>
      </w:r>
      <w:r>
        <w:t xml:space="preserve"> A combinatorial multi-objective optimisation model to support the design of urban renewable energy communities — https://doi.org/10.1016/j.apenergy.2026.127635</w:t>
      </w:r>
    </w:p>
    <w:p>
      <w:pPr/>
      <w:r>
        <w:rPr>
          <w:b/>
        </w:rPr>
        <w:t>Shared claim-specific concepts:</w:t>
      </w:r>
      <w:r>
        <w:t xml:space="preserve"> energy, objectives, order; EU scope visible. This is a provisional connection, not an outcome finding.</w:t>
      </w:r>
    </w:p>
    <w:p>
      <w:pPr>
        <w:pStyle w:val="SourceNote"/>
      </w:pPr>
      <w:r>
        <w:rPr>
          <w:b/>
        </w:rPr>
        <w:t>Available abstract (not full text):</w:t>
      </w:r>
      <w:r>
        <w:t xml:space="preserve"> This study proposes a novel optimisation framework for the design of urban renewable energy communities, addressing the challenge of aggregating end users in planning processes hindered by conflicting objectives and the absence of a scenario-based methodology. We developed a computational tool that integrates multi-objective optimisation with multi-criteria decision-making techniques to identify optimal district configurations for urban renewable energy community projects. Specifically, the tool allows the grouping of potential members based on environmental, economic, and technical criteria, across different district scales and multiple scenarios. First, we elaborated a combinatorial optimisation problem based on the set partitioning problem, adapting the framework to numerous non-linear objectives. The algorithm was implemented in Python, combining a customised version of the Non-dominated Sorting Genetic Algorithm II with the k-means clustering algorithm. We incorporated the Technique for Order Preference by Similarity to Ideal Solution to rank the district configurations based on stakeholder preferences. We applied the algorithm to a real-world case study and carried out a comprehensive sensitivity analysis of the model. The proposed methodology enables the identification of optimal end user groupings and the quantification of key performance indicators. This research contr</w:t>
      </w:r>
    </w:p>
    <w:p>
      <w:pPr/>
      <w:r>
        <w:rPr>
          <w:b/>
        </w:rPr>
        <w:t>POSSIBLE 2026:</w:t>
      </w:r>
      <w:r>
        <w:t xml:space="preserve"> From concept to practice: a replication framework for equitable energy transitions in European islands — https://doi.org/10.1007/s40974-026-00426-7</w:t>
      </w:r>
    </w:p>
    <w:p>
      <w:pPr/>
      <w:r>
        <w:rPr>
          <w:b/>
        </w:rPr>
        <w:t>Shared claim-specific concepts:</w:t>
      </w:r>
      <w:r>
        <w:t xml:space="preserve"> energy, infrastructure, climate, objectives; EU scope visible. This is a provisional connection, not an outcome finding.</w:t>
      </w:r>
    </w:p>
    <w:p>
      <w:pPr>
        <w:pStyle w:val="SourceNote"/>
      </w:pPr>
      <w:r>
        <w:rPr>
          <w:b/>
        </w:rPr>
        <w:t>Available abstract (not full text):</w:t>
      </w:r>
      <w:r>
        <w:t xml:space="preserve"> Abstract The replication of sustainable energy systems is key to accelerating equitable energy transitions in European island communities. This study develops a structured replication methodology for Multi-Energy Systems (MES), introducing the Replication Readiness Index (RRI), a TOPSIS-based tool quantifying both decarbonization potential and distributional justice outcomes. The methodology integrates technical optimization with social equity assessment through six operational steps, ensuring vulnerable populations benefit from rather than bear the costs of energy transitions. The framework is anchored in the structural distinctness of island energy systems, namely grid isolation, sectoral supply-chain fragility, and the demographic over-representation of vulnerable groups, rather than presenting a generic just-transition instrument transferable to any community without translation. In the examined case study, there were identified 87% GHG emissions reduction, 30% overall energy cost decrease, and 81% savings for a local bakery industry through integrated PV-wind-biomass systems. Critically, the approach creates new income streams while concurrently addressing energy poverty among small businesses. The RRI analysis (0.75) provides policymakers with evidence-based metrics for prioritizing investments that achieve both climate and social justice objectives. Practical application</w:t>
      </w:r>
    </w:p>
    <w:p>
      <w:pPr/>
      <w:r>
        <w:rPr>
          <w:b/>
        </w:rPr>
        <w:t>POSSIBLE 2026:</w:t>
      </w:r>
      <w:r>
        <w:t xml:space="preserve"> Enhancing the Energy Transition of European Cities through Energy Communities — https://doi.org/10.1007/s11067-026-09759-6</w:t>
      </w:r>
    </w:p>
    <w:p>
      <w:pPr/>
      <w:r>
        <w:rPr>
          <w:b/>
        </w:rPr>
        <w:t>Shared claim-specific concepts:</w:t>
      </w:r>
      <w:r>
        <w:t xml:space="preserve"> quantify, energy, climate, neutral, neutrality; EU scope visible. This is a provisional connection, not an outcome finding.</w:t>
      </w:r>
    </w:p>
    <w:p>
      <w:pPr>
        <w:pStyle w:val="SourceNote"/>
      </w:pPr>
      <w:r>
        <w:rPr>
          <w:b/>
        </w:rPr>
        <w:t>Available abstract (not full text):</w:t>
      </w:r>
      <w:r>
        <w:t xml:space="preserve"> Abstract Urban areas account for over 70% of greenhouse gas emissions and are therefore central to the European Union’s goal of climate neutrality by 2030. This paper examines energy communities as enabling mechanisms for the urban energy transition, focusing on their capacity to integrate renewable generation, strengthen local engagement, and improve system-level performance. Framed within the EU’s Climate Neutral and Smart Cities Mission, energy communities are interpreted through the lenses of connectivity, circularity, and the regenerative economy, as they link prosumers through digitally coordinated, decentralized energy exchanges that promote local energy reuse and value regeneration. While not a standalone solution, energy communities illustrate a systemic approach that complements broader electrification, smart grid, and governance strategies. Specifically, we present a day-ahead scheduling model applied to a real medium-voltage distribution network in Modena, Italy. This model minimizes energy procurement costs, derives internal transaction prices using shadow prices, and shows how storage and local generation enhance economic and operational performance. We also quantify how community size and energy exchange rules affect efficiency. The results show that energy communities – when embedded in broader electrification and smart grid strategies – can play a catalytic rol</w:t>
      </w:r>
    </w:p>
    <w:p>
      <w:pPr/>
      <w:r>
        <w:rPr>
          <w:b/>
        </w:rPr>
        <w:t>POSSIBLE 2026:</w:t>
      </w:r>
      <w:r>
        <w:t xml:space="preserve"> Research and technology infrastructures in the European hydrogen economy: Status, needs and innovation concepts — https://doi.org/10.1016/j.ijhydene.2026.157061</w:t>
      </w:r>
    </w:p>
    <w:p>
      <w:pPr/>
      <w:r>
        <w:rPr>
          <w:b/>
        </w:rPr>
        <w:t>Shared claim-specific concepts:</w:t>
      </w:r>
      <w:r>
        <w:t xml:space="preserve"> infrastructure, needs, objectives; EU scope visible. This is a provisional connection, not an outcome finding.</w:t>
      </w:r>
    </w:p>
    <w:p>
      <w:pPr>
        <w:pStyle w:val="SourceNote"/>
      </w:pPr>
      <w:r>
        <w:rPr>
          <w:b/>
        </w:rPr>
        <w:t>Available abstract (not full text):</w:t>
      </w:r>
      <w:r>
        <w:t xml:space="preserve"> Research and Technology Infrastructures (RTIs) are central enablers of hydrogen technology development, yet their strategic potential remains underutilised in Europe. This review systematically assesses the European RTI landscape for clean hydrogen in comparison with global developments, using a Readiness Level framework and a comprehensive typology to analyse RTIs across the hydrogen value chain. The findings indicate that RTI ecosystems outside Europe exhibit examples of greater structural coherence, robust funding mechanisms, and stronger alignment with policy objectives. Conversely, the European context is characterized by fragmentation, limited access, and a reliance on short-term funding models. To address these challenges, this review proposes the adoption of coordinated governance structures, sustained lifecycle funding, improved industrial access pathways, and the integration of digital tools such as AI-driven experimentation. The main outcomes include: (i) a technology-neutral classification of RTIs, (ii) a systematic gap analysis, and (iii) targeted recommendations for policymakers, funding bodies, and infrastructure operators.</w:t>
      </w:r>
    </w:p>
    <w:p>
      <w:pPr/>
      <w:r>
        <w:rPr>
          <w:b/>
        </w:rPr>
        <w:t>POSSIBLE 2025:</w:t>
      </w:r>
      <w:r>
        <w:t xml:space="preserve"> Standardizing the Quantification of the Energy Performance Gap in Buildings — https://doi.org/10.26868/25222708.2025.1342</w:t>
      </w:r>
    </w:p>
    <w:p>
      <w:pPr/>
      <w:r>
        <w:rPr>
          <w:b/>
        </w:rPr>
        <w:t>Shared claim-specific concepts:</w:t>
      </w:r>
      <w:r>
        <w:t xml:space="preserve"> objective, energy, various, climate; EU scope visible. This is a provisional connection, not an outcome finding.</w:t>
      </w:r>
    </w:p>
    <w:p>
      <w:pPr>
        <w:pStyle w:val="SourceNote"/>
      </w:pPr>
      <w:r>
        <w:rPr>
          <w:b/>
        </w:rPr>
        <w:t>Available abstract (not full text):</w:t>
      </w:r>
      <w:r>
        <w:t xml:space="preserve"> The Energy Performance Gap (EPG), defined as the discrepancy between simulated and measured energy performance of buildings, presents a significant challenge in the energy efficiency domain. Research on the magnitude of the EPG fails to provide an accurate assessment of its actual size, with claims suggesting that its challegning to make correlations between the extent of the gap and some typical characteristics such as climate, floor space and building type [1]. Moreover, literature indicates that the magnitude may vary for the same building when compared against different baselines, such as compliance models or energy benchmarks, even when using identical measured data.This study aims to address these inconsistencies by proposing a standardized method for quantifying the EPG at both building and system levels. To achieve this objective, a comprehensive literature review will be conducted focused on current challenges related to issues of idenftuing the magnitude by simly making comparisons between simulated and measured energy performance. Furthermore, various energy benchmarks in the UK will be explored which could serve as baselines for comparison against measured energy performance.A novel framework will be developed, encompassing a new definition and quantification method for the EPG at building and system levels. The framework will undergo validation through semi-structu</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energy, climate, objectives;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Quantifying the impacts of policies on compensating for the hard-to-abate emissions of a smart energy city — https://doi.org/10.1016/j.segy.2025.100213</w:t>
      </w:r>
    </w:p>
    <w:p>
      <w:pPr/>
      <w:r>
        <w:rPr>
          <w:b/>
        </w:rPr>
        <w:t>Shared claim-specific concepts:</w:t>
      </w:r>
      <w:r>
        <w:t xml:space="preserve"> quantify, energy, climate, objectives, reach, neutrality; EU scope visible. This is a provisional connection, not an outcome finding.</w:t>
      </w:r>
    </w:p>
    <w:p>
      <w:pPr>
        <w:pStyle w:val="SourceNote"/>
      </w:pPr>
      <w:r>
        <w:rPr>
          <w:b/>
        </w:rPr>
        <w:t>Available abstract (not full text):</w:t>
      </w:r>
      <w:r>
        <w:t xml:space="preserve"> Frontrunner cities have adopted strict climate targets and evaluate a fifth of emissions to be hard-to-abate, requiring compensation for these emissions to reach carbon neutrality. Previous research on smart energy systems has largely neglected this need in local-level analyses. The present article addresses this gap by applying bottom-up energy system modeling in the case of the city of Tampere, Finland. The results quantify trade-offs between the need for transmission line expansion, electricity import, biomass consumption, and the ability to compensate for emissions with bioenergy carbon capture and storage (BECCS) when reaching carbon neutrality. This research finds that the use of an existing biomass-based combined heat and power (bio-CHP) plant with BECCS is limited by the demand for district heating (DH), challenged by individual heat pumps (HPs) and waste heat from the electrofuel production process. However, it is possible to simultaneously maintain some degree of bio-CHP and BECCS in combination with electrofuel production. Additionally, wind power deployment lowers total system cost across scenarios. In this way the city can not only serve abatement goals but also resilience and energy security objectives by virtue of the domestic, renewable-based qualities of biomass, wind and electrofuels. In this way, the city can contribute to policy coherence on the national and</w:t>
      </w:r>
    </w:p>
    <w:p>
      <w:pPr/>
      <w:r>
        <w:rPr>
          <w:b/>
        </w:rPr>
        <w:t>POSSIBLE 2025:</w:t>
      </w:r>
      <w:r>
        <w:t xml:space="preserve"> Quantifying the role of the forest-based bioeconomy in achieving green deal objectives in Latvia — https://doi.org/10.18174/681006</w:t>
      </w:r>
    </w:p>
    <w:p>
      <w:pPr/>
      <w:r>
        <w:rPr>
          <w:b/>
        </w:rPr>
        <w:t>Shared claim-specific concepts:</w:t>
      </w:r>
      <w:r>
        <w:t xml:space="preserve"> objective, quantify, energy, objectives; EU scope visible. This is a provisional connection, not an outcome finding.</w:t>
      </w:r>
    </w:p>
    <w:p>
      <w:pPr>
        <w:pStyle w:val="SourceNote"/>
      </w:pPr>
      <w:r>
        <w:rPr>
          <w:b/>
        </w:rPr>
        <w:t>Available abstract (not full text):</w:t>
      </w:r>
      <w:r>
        <w:t xml:space="preserve"> The global push towards sustainable development and environmental preservation has placed a spotlight on the bioeconomy, particularly the forest-based bioeconomy, as a crucial component in achieving these goals. Forests play an essential role in maintaining ecological balance and providing renewable resources, but also in supporting economic activities. In this context, understanding the contributions of the forest-based bioeconomy to broader sustainability objectives is increasingly important.The focus of this research is on Latvia, a country with a rich and diverse forest ecosystem that plays a critical role in its economy and environmental sustainability. Latvia's forest-based bioeconomy therefore presents a unique case for examining the forest-based bioeconomy.Despite the development of European and domestic action plans, there is a notable lack of quantitative assessment of these initiatives, especially for the forest-based bioeconomy. This leads to potentially suboptimal decision-making by governments, private businesses, and other stakeholders.The objective of this thesis is to quantify the significance of the forest-based bioeconomy and its contribution to achieving the goals outlined in the Green Deal in Latvia. To achieve this objective, the following four research questions have been formulated:1. To explore the ability of Latvia to reduce its dependence on imported </w:t>
      </w:r>
    </w:p>
    <w:p>
      <w:pPr>
        <w:pStyle w:val="Heading2"/>
      </w:pPr>
      <w:r>
        <w:t>566. Which way to net zero? a comparative analysis of seven UK 2050 decarbonisation pathways</w:t>
      </w:r>
    </w:p>
    <w:p>
      <w:pPr>
        <w:pStyle w:val="SourceNote"/>
      </w:pPr>
      <w:r>
        <w:rPr>
          <w:b/>
        </w:rPr>
        <w:t>Original source (2022):</w:t>
      </w:r>
      <w:r>
        <w:t xml:space="preserve"> https://doi.org/10.1016/j.rset.2021.100016</w:t>
      </w:r>
    </w:p>
    <w:p>
      <w:pPr/>
      <w:r>
        <w:t>Original wording (abstract; indexed_source_text_not_full_document_verified): The key findings reported are that (i) pathways that rely on less stringent behavioural changes require more ambitious technology development (and vice versa); (ii) electricity generation will increase by 51–160% to facilitate large-scale fuel-switching in heating and transport, the vast majority of which is likely to be generated from variable renewable sources; (iii) hydrogen is an important energy vector in meeting Net Zero for all pathways, providing 100–591 TWh annually by 2050, though the growth in demand is heavily dependent on the extent to which it is used in supplying heating and transport demand. Since the UK’s Net Zero greenhouse gas emissions target was set in 2019, organisations across the energy systems community have released pathways on how we might get there – which end-use technologies are deployed across each sector of demand, how our fossil fuel-based energy supply would be transferred to low carbon vectors and to what extent society must change the way it demands energy services.</w:t>
      </w:r>
    </w:p>
    <w:p>
      <w:pPr/>
      <w:r>
        <w:rPr>
          <w:b/>
        </w:rPr>
        <w:t>POSSIBLE 2026:</w:t>
      </w:r>
      <w:r>
        <w:t xml:space="preserve"> Corporate Reporting in Ukraine: Key Findings and Next Steps — https://doi.org/10.5281/zenodo.21262010</w:t>
      </w:r>
    </w:p>
    <w:p>
      <w:pPr/>
      <w:r>
        <w:rPr>
          <w:b/>
        </w:rPr>
        <w:t>Shared claim-specific concepts:</w:t>
      </w:r>
      <w:r>
        <w:t xml:space="preserve"> key, findings; EU scope not established. This is a provisional connection, not an outcome finding.</w:t>
      </w:r>
    </w:p>
    <w:p>
      <w:pPr>
        <w:pStyle w:val="SourceNote"/>
      </w:pPr>
      <w:r>
        <w:rPr>
          <w:b/>
        </w:rPr>
        <w:t>Available abstract (not full text):</w:t>
      </w:r>
      <w:r>
        <w:t xml:space="preserve"> This Action Note presents key findings, priority directions and next practical steps for the development of corporate reporting, sustainability reporting and assurance practices in Ukraine, developed in the context of the expert round table “Corporate Reporting in the Auditor’s Practice: Current State, Challenges and Development Prospects”, organized by NGO “Club Ecological Initiative” (NGO CEI) on 30 June 2026. The Note was prepared as a working analytical document following the expert discussion and will be further refined in light of professional feedback. It outlines a practical agenda for moving from fragmented discussion to systematic cooperation, from general awareness of international reporting requirements to the development of methodological support, and from isolated expert initiatives toward a permanent knowledge platform in the field of corporate reporting and sustainability. Its priority directions cover the transformation of corporate reporting, the role of auditors in sustainability assurance, biodiversity and climate-related disclosures, the need for practical guidance for Ukrainian stakeholders, and the development of the CEI Sustainability Navigator as an AI-assisted knowledge tool for structured access to legislation, international standards, analytical materials and methodological resources. The document is non-binding and does not constitute the formal pos</w:t>
      </w:r>
    </w:p>
    <w:p>
      <w:pPr/>
      <w:r>
        <w:rPr>
          <w:b/>
        </w:rPr>
        <w:t>POSSIBLE 2026:</w:t>
      </w:r>
      <w:r>
        <w:t xml:space="preserve"> Persistent Identifiers in Germany: Key Findings of a Nationwide Survey — https://doi.org/10.5334/dsj-2026-028</w:t>
      </w:r>
    </w:p>
    <w:p>
      <w:pPr/>
      <w:r>
        <w:rPr>
          <w:b/>
        </w:rPr>
        <w:t>Shared claim-specific concepts:</w:t>
      </w:r>
      <w:r>
        <w:t xml:space="preserve"> key, findings, less; EU scope visible. This is a provisional connection, not an outcome finding.</w:t>
      </w:r>
    </w:p>
    <w:p>
      <w:pPr>
        <w:pStyle w:val="SourceNote"/>
      </w:pPr>
      <w:r>
        <w:rPr>
          <w:b/>
        </w:rPr>
        <w:t>Available abstract (not full text):</w:t>
      </w:r>
      <w:r>
        <w:t xml:space="preserve"> Persistent identifiers (PIDs) are global, unique, resolvable, and persistent references that have become core components of open science and FAIR research as well as their infrastructures. This article reports key findings from the first nationwide Survey on the Need for and Use of Persistent Identifiers at Research and Infrastructure Organizations in Germany. This survey is based on a cross-sectional, cross-disciplinary online survey covering more than 20 PID types and established entity categories, targeting all relevant public-sector academic and non-academic research organizations in Germany as well as European and international research infrastructure nodes headquartered in Germany. Responses from a diverse set of academic and non-academic research and infrastructure organizations provide an empirical basis for analyzing PID familiarity and use, training needs, infrastructural embedding, and strategic framework conditions. The findings indicate that PID adoption is currently concentrated on a limited set of widely established identifiers (DOI, ISBN, ORCID iD, GND, URN), whereas newer or specialized identifiers remain less recognized and are infrequently implemented. PID usage predominantly occurs within publication and research data workflows, with anticipated expansion to additional entity types such as research software and instruments. Across organizations, respondents </w:t>
      </w:r>
    </w:p>
    <w:p>
      <w:pPr/>
      <w:r>
        <w:rPr>
          <w:b/>
        </w:rPr>
        <w:t>POSSIBLE 2025:</w:t>
      </w:r>
      <w:r>
        <w:t xml:space="preserve"> InYA – Invisible Young Athletes: Key Findings Report (Project Deliverable) — https://doi.org/10.5281/zenodo.17963501</w:t>
      </w:r>
    </w:p>
    <w:p>
      <w:pPr/>
      <w:r>
        <w:rPr>
          <w:b/>
        </w:rPr>
        <w:t>Shared claim-specific concepts:</w:t>
      </w:r>
      <w:r>
        <w:t xml:space="preserve"> key, findings, pathways; EU scope visible. This is a provisional connection, not an outcome finding.</w:t>
      </w:r>
    </w:p>
    <w:p>
      <w:pPr>
        <w:pStyle w:val="SourceNote"/>
      </w:pPr>
      <w:r>
        <w:rPr>
          <w:b/>
        </w:rPr>
        <w:t>Available abstract (not full text):</w:t>
      </w:r>
      <w:r>
        <w:t xml:space="preserve"> This Zenodo record is a project deliverable from the Erasmus+ project Invisible Young Athletes (InYA) (101134379; ERASMUS-SPORT-2023-SSCP). It summarises key findings from the scientific manuscript “Invisible Young Athletes: What About Them?”, submitted to the journal Socialno delo and currently under peer review. The full manuscript text is not publicly available at this stage. Structured interviews were conducted with 42 participants from inclusive judo clubs in Slovenia, Croatia and Serbia (13 judoka, 12 parents, 13 coaches, 4 experts). Eleven interview questions were grouped into five thematic domains and analysed using a combined deductive–inductive thematic approach. Key findings: (1) friendships, feeling accepted and belonging are primary motivators for participation and persistence in judo; (2) inclusive judo is perceived as a safe space and often as a “last chance” after negative experiences in other sports; (3) smaller groups, individualised and playful teaching, and realistic non-exclusive expectations are emphasised; (4) programmes can rebuild self-esteem, social networks and physical literacy; (5) access to inclusive programmes and information remains uneven and is shaped by result-oriented funding and allocation of facilities; (6) long-term impact requires stable funding, systematic coach education, recognition of non-competitive pathways, and better visibility of</w:t>
      </w:r>
    </w:p>
    <w:p>
      <w:pPr/>
      <w:r>
        <w:rPr>
          <w:b/>
        </w:rPr>
        <w:t>POSSIBLE 2025:</w:t>
      </w:r>
      <w:r>
        <w:t xml:space="preserve"> Results and Key Findings — https://doi.org/10.1007/978-3-031-85991-5_6</w:t>
      </w:r>
    </w:p>
    <w:p>
      <w:pPr/>
      <w:r>
        <w:rPr>
          <w:b/>
        </w:rPr>
        <w:t>Shared claim-specific concepts:</w:t>
      </w:r>
      <w:r>
        <w:t xml:space="preserve"> key, findings; EU scope not established. This is a provisional connection, not an outcome finding.</w:t>
      </w:r>
    </w:p>
    <w:p>
      <w:pPr>
        <w:pStyle w:val="SourceNote"/>
      </w:pPr>
      <w:r>
        <w:rPr>
          <w:b/>
        </w:rPr>
        <w:t>Available abstract (not full text):</w:t>
      </w:r>
      <w:r>
        <w:t xml:space="preserve"> Abstract This chapter presents the key findings of the study, detailing the data collection time frame, methods, and results from the prison art therapy program. The chapter reports inmate demographics, quantitative and qualitative questionnaire results, visual responses, and insights from a public art exhibition, highlighting the transformative potential of art in rehabilitation. Researcher reflections on journaling provide additional depth, capturing interactions and emergent themes. Overall, the findings underscore the capacity of art to enhance self-awareness, reduce violence, and promote emotional well-being in prison contexts while identifying areas for future research and therapeutic art program development.</w:t>
      </w:r>
    </w:p>
    <w:p>
      <w:pPr/>
      <w:r>
        <w:rPr>
          <w:b/>
        </w:rPr>
        <w:t>POSSIBLE 2025:</w:t>
      </w:r>
      <w:r>
        <w:t xml:space="preserve"> Should Firms Avoid Relying on Key Employees? Evidence From Inventors — https://doi.org/10.1111/eufm.70014</w:t>
      </w:r>
    </w:p>
    <w:p>
      <w:pPr/>
      <w:r>
        <w:rPr>
          <w:b/>
        </w:rPr>
        <w:t>Shared claim-specific concepts:</w:t>
      </w:r>
      <w:r>
        <w:t xml:space="preserve"> key, findings, technology; EU scope not established. This is a provisional connection, not an outcome finding.</w:t>
      </w:r>
    </w:p>
    <w:p>
      <w:pPr>
        <w:pStyle w:val="SourceNote"/>
      </w:pPr>
      <w:r>
        <w:rPr>
          <w:b/>
        </w:rPr>
        <w:t>Available abstract (not full text):</w:t>
      </w:r>
      <w:r>
        <w:t xml:space="preserve"> ABSTRACT Analysing inventor careers in U.S. public firms, we find that higher inventor‐base concentration enhances corporate innovation productivity in subsequent years, a relationship that remains consistent across various model specifications. Concentration improves the retention of individual inventors and teams, supporting the employee retention hypothesis. However, firms with concentrated inventor bases tend to emphasize exploitation over exploration in their innovation efforts. Moreover, the impact of inventor‐base concentration is moderated by factors such as technology or product lifecycle length and conglomerate status. These findings underscore the critical role of human capital management in driving firm innovation.</w:t>
      </w:r>
    </w:p>
    <w:p>
      <w:pPr/>
      <w:r>
        <w:rPr>
          <w:b/>
        </w:rPr>
        <w:t>POSSIBLE 2025:</w:t>
      </w:r>
      <w:r>
        <w:t xml:space="preserve"> Determinants of SME Growth and Competitiveness in the UK: Key Findings and Implications — https://doi.org/10.69565/jeba.v3i2.460</w:t>
      </w:r>
    </w:p>
    <w:p>
      <w:pPr/>
      <w:r>
        <w:rPr>
          <w:b/>
        </w:rPr>
        <w:t>Shared claim-specific concepts:</w:t>
      </w:r>
      <w:r>
        <w:t xml:space="preserve"> key, findings, require; EU scope not established. This is a provisional connection, not an outcome finding.</w:t>
      </w:r>
    </w:p>
    <w:p>
      <w:pPr>
        <w:pStyle w:val="SourceNote"/>
      </w:pPr>
      <w:r>
        <w:rPr>
          <w:b/>
        </w:rPr>
        <w:t>Available abstract (not full text):</w:t>
      </w:r>
      <w:r>
        <w:t xml:space="preserve"> This study investigates the determinants of small and medium-sized enterprise (SME) growth and competitiveness in the United Kingdom by examining how firm-level characteristics and capability-related factors influence sales performance and export participation. Using firm-level cross-sectional data from the World Bank Enterprise Survey, the study applies Ordinary Least Squares regression to analyse SME sales performance, measured through the natural logarithm of annual sales, and logistic regression to examine SME competitiveness, measured through direct export participation. The explanatory variables include formal finance, firm age, firm size, managerial experience, innovation, and quality certification. The findings show that SME sales performance and competitiveness are related but empirically distinct outcomes. Firm age has a positive and significant association with both sales performance and export competitiveness, suggesting that organisational maturity supports business stability and market development. Firm size is the strongest predictor of sales performance; however, it is negatively associated with export participation once sales performance is controlled. Quality certification emerges as a consistently significant factor, positively influencing both sales and competitiveness, highlighting the importance of standards, credibility, and market readiness. Formal finan</w:t>
      </w:r>
    </w:p>
    <w:p>
      <w:pPr/>
      <w:r>
        <w:rPr>
          <w:b/>
        </w:rPr>
        <w:t>POSSIBLE 2025:</w:t>
      </w:r>
      <w:r>
        <w:t xml:space="preserve"> Implementation evaluation of the SA patient reported measures program, key findings for Commission for Excellence and Innovation in Health — https://openalex.org/W7216623872</w:t>
      </w:r>
    </w:p>
    <w:p>
      <w:pPr/>
      <w:r>
        <w:rPr>
          <w:b/>
        </w:rPr>
        <w:t>Shared claim-specific concepts:</w:t>
      </w:r>
      <w:r>
        <w:t xml:space="preserve"> key, findings, reported; EU scope not established. This is a provisional connection, not an outcome finding.</w:t>
      </w:r>
    </w:p>
    <w:p>
      <w:pPr>
        <w:pStyle w:val="SourceNote"/>
      </w:pPr>
      <w:r>
        <w:rPr>
          <w:b/>
        </w:rPr>
        <w:t>Available abstract (not full text):</w:t>
      </w:r>
      <w:r>
        <w:t xml:space="preserve"> A report outlining the implementation evaluation of the SA patient reported measures program for Commission for Excellence and Innovation in Health.</w:t>
      </w:r>
    </w:p>
    <w:p>
      <w:pPr/>
      <w:r>
        <w:rPr>
          <w:b/>
        </w:rPr>
        <w:t>POSSIBLE 2025:</w:t>
      </w:r>
      <w:r>
        <w:t xml:space="preserve"> A Literature Review on The Technical Efficiency of Islamic Banks: Classification and Key Findings — https://doi.org/10.56734/ijbms.v6n4a5</w:t>
      </w:r>
    </w:p>
    <w:p>
      <w:pPr/>
      <w:r>
        <w:rPr>
          <w:b/>
        </w:rPr>
        <w:t>Shared claim-specific concepts:</w:t>
      </w:r>
      <w:r>
        <w:t xml:space="preserve"> key, findings, less; EU scope not established. This is a provisional connection, not an outcome finding.</w:t>
      </w:r>
    </w:p>
    <w:p>
      <w:pPr>
        <w:pStyle w:val="SourceNote"/>
      </w:pPr>
      <w:r>
        <w:rPr>
          <w:b/>
        </w:rPr>
        <w:t>Available abstract (not full text):</w:t>
      </w:r>
      <w:r>
        <w:t xml:space="preserve"> This paper presents a comprehensive literature review and classification scheme to examine the technical efficiency of Islamic banks. It primarily focuses on two methodological approaches: parametric and nonparametric. Drawing on more than 100 articles on the technical efficiency of both conventional and Islamic banks, this study identifies key factors influencing efficiency levels. Articles are classified based on various criteria, including journal source, publication date, paper type, study context, bank nature, efficiency measurement approach, selected inputs and outputs, determinants of efficiency, and empirical findings. The review highlights that research on the technical efficiency of Islamic banks remains less developed compared to conventional banking. Several key findings are discussed, shedding light on the current state of knowledge in this field.</w:t>
      </w:r>
    </w:p>
    <w:p>
      <w:pPr/>
      <w:r>
        <w:rPr>
          <w:b/>
        </w:rPr>
        <w:t>POSSIBLE 2025:</w:t>
      </w:r>
      <w:r>
        <w:t xml:space="preserve"> HOW PERSONALITY SHAPES STUDENT MOTIVATION: A REVIEW OF KEY FINDINGS — https://doi.org/10.29303/prospek.v6i1.1196</w:t>
      </w:r>
    </w:p>
    <w:p>
      <w:pPr/>
      <w:r>
        <w:rPr>
          <w:b/>
        </w:rPr>
        <w:t>Shared claim-specific concepts:</w:t>
      </w:r>
      <w:r>
        <w:t xml:space="preserve"> key, findings; EU scope not established. This is a provisional connection, not an outcome finding.</w:t>
      </w:r>
    </w:p>
    <w:p>
      <w:pPr>
        <w:pStyle w:val="SourceNote"/>
      </w:pPr>
      <w:r>
        <w:rPr>
          <w:b/>
        </w:rPr>
        <w:t>Available abstract (not full text):</w:t>
      </w:r>
      <w:r>
        <w:t xml:space="preserve"> This article explores the relationship between personality and student learning motivation through a literature review approach, also known as library research. This method involves reading, analyzing, and comparing various literature sources, including research reports, academic journals, papers, books, and other relevant references, without requiring fieldwork. The study discusses several key aspects: the concept of personality; factors determining personality; personality patterns; the concept of learning motivation; factors influencing learning motivation; the objectives of providing motivation; indicators of student learning motivation; and the relationship between personality and student learning motivation. The findings of this study provide insights for educators, policymakers, and researchers into the importance of understanding personality traits to enhance students' learning motivation. By tailoring teaching strategies to align with different personality patterns, educators can foster a more engaging and supportive learning environment. Furthermore, the study highlights the need for educational interventions that address both personality development and motivational factors, thereby contributing to the overall improvement of student academic performance and personal growth.</w:t>
      </w:r>
    </w:p>
    <w:p>
      <w:pPr/>
      <w:r>
        <w:rPr>
          <w:b/>
        </w:rPr>
        <w:t>POSSIBLE 2025:</w:t>
      </w:r>
      <w:r>
        <w:t xml:space="preserve"> Power Utilization in Open RAN: Key Findings From a USA Testbed — https://doi.org/10.1109/lcomm.2025.3557715</w:t>
      </w:r>
    </w:p>
    <w:p>
      <w:pPr/>
      <w:r>
        <w:rPr>
          <w:b/>
        </w:rPr>
        <w:t>Shared claim-specific concepts:</w:t>
      </w:r>
      <w:r>
        <w:t xml:space="preserve"> key, findings; EU scope not established. This is a provisional connection, not an outcome finding.</w:t>
      </w:r>
    </w:p>
    <w:p>
      <w:pPr>
        <w:pStyle w:val="SourceNote"/>
      </w:pPr>
      <w:r>
        <w:rPr>
          <w:b/>
        </w:rPr>
        <w:t>Available abstract (not full text):</w:t>
      </w:r>
      <w:r>
        <w:t xml:space="preserve"> Open Radio Access Networks (Open RAN) provide flexible, scalable, and interoperable solutions to address the growing demands of mobile traffic while also aiming to reduce energy consumption. Most prior research on energy-efficient Open RAN has focused on switching techniques such as dynamic cell on/off strategies and adaptive resource allocation, primarily through simulations. This paper investigates Central Processing Unit (CPU) power utilization at the NodeB (base station) level, focusing on User Equipment (UE) connection states by making use of a USA testbed (i.e., POWDER testbed). Two scenarios are considered for the experimental setup: (1) a simulated virtual environment with a single high-powered device and (2) a physical hardware deployment using the separate low-power device for Open RAN. We present key findings from simulated and physical NodeB experiments conducted on the USA testbed, with real hardware. The findings include the relationship between power utilization and forced throughput, the impact of an increasing number of UEs on power utilization, the effects of different UE connection states (active, idle, or not connected), and the behavior of uplink and downlink throughput in both simulated and physical setups. Additionally, this paper introduces and validates power-law equations for power utilization in both setups, offering valuable insights into the effecti</w:t>
      </w:r>
    </w:p>
    <w:p>
      <w:pPr/>
      <w:r>
        <w:rPr>
          <w:b/>
        </w:rPr>
        <w:t>POSSIBLE 2024:</w:t>
      </w:r>
      <w:r>
        <w:t xml:space="preserve"> National Diabetes Audit: key findings from latest Diabetes in Pregnancy report — https://doi.org/10.1002/pdi.2504</w:t>
      </w:r>
    </w:p>
    <w:p>
      <w:pPr/>
      <w:r>
        <w:rPr>
          <w:b/>
        </w:rPr>
        <w:t>Shared claim-specific concepts:</w:t>
      </w:r>
      <w:r>
        <w:t xml:space="preserve"> key, findings, technology; EU scope not established. This is a provisional connection, not an outcome finding.</w:t>
      </w:r>
    </w:p>
    <w:p>
      <w:pPr>
        <w:pStyle w:val="SourceNote"/>
      </w:pPr>
      <w:r>
        <w:rPr>
          <w:b/>
        </w:rPr>
        <w:t>Available abstract (not full text):</w:t>
      </w:r>
      <w:r>
        <w:t xml:space="preserve"> The use of continuous glucose monitoring technology has improved pregnancy outcomes for women with type 1 diabetes, according to the National Pregnancy in Diabetes audit report for the period 2021–2022. However, there were no such gains for women with type 2 diabetes. Steve Chaplin reports.</w:t>
      </w:r>
    </w:p>
    <w:p>
      <w:pPr/>
      <w:r>
        <w:rPr>
          <w:b/>
        </w:rPr>
        <w:t>POSSIBLE 2024:</w:t>
      </w:r>
      <w:r>
        <w:t xml:space="preserve"> Hydrology and Droughts in the Nile: A Review of Key Findings and Implications — https://doi.org/10.3390/w16172521</w:t>
      </w:r>
    </w:p>
    <w:p>
      <w:pPr/>
      <w:r>
        <w:rPr>
          <w:b/>
        </w:rPr>
        <w:t>Shared claim-specific concepts:</w:t>
      </w:r>
      <w:r>
        <w:t xml:space="preserve"> key, findings, large-scale; EU scope not established. This is a provisional connection, not an outcome finding.</w:t>
      </w:r>
    </w:p>
    <w:p>
      <w:pPr>
        <w:pStyle w:val="SourceNote"/>
      </w:pPr>
      <w:r>
        <w:rPr>
          <w:b/>
        </w:rPr>
        <w:t>Available abstract (not full text):</w:t>
      </w:r>
      <w:r>
        <w:t xml:space="preserve"> The Nile Basin has long been the subject of extensive research, reflecting its importance, which spans from its historical role in the development of ancient civilizations to its current significance in supporting rapidly changing socioeconomic conditions of the basin countries. This review synthesizes studies focusing on the past and future climate, hydrologic, and drought outlooks of the basin, and explores the roles played by large-scale atmospheric phenomena and water infrastructure on the basin’s climate and hydrology. Overall, the studies underscore the complexity of the Nile hydrological system and the necessity for improved modeling and data integration. This review serves as a guide to areas warranting further research by highlighting the uncertainties and inconsistencies among the different studies. It underscores the interconnectedness of climatic and hydrological processes in the basin and encourages the use of diverse data sources to address the data scarcity issue and ensemble models to reduce modeling uncertainty in future research. By summarizing the data and modeling resources employed in these studies, this review also provides a valuable resource for future modeling efforts to understand and explore of the basin’s complex climatic and hydrological dynamics.</w:t>
      </w:r>
    </w:p>
    <w:p>
      <w:pPr>
        <w:pStyle w:val="Heading2"/>
      </w:pPr>
      <w:r>
        <w:t>567. A 2050 perspective on the role for carbon capture and storage in the European power system and industry sector</w:t>
      </w:r>
    </w:p>
    <w:p>
      <w:pPr>
        <w:pStyle w:val="SourceNote"/>
      </w:pPr>
      <w:r>
        <w:rPr>
          <w:b/>
        </w:rPr>
        <w:t>Original source (2021):</w:t>
      </w:r>
      <w:r>
        <w:t xml:space="preserve"> https://doi.org/10.1016/j.eneco.2021.105631</w:t>
      </w:r>
    </w:p>
    <w:p>
      <w:pPr/>
      <w:r>
        <w:t>Original wording (abstract; indexed_source_text_not_full_document_verified): This unique modelling framework analyses the feasibility and costs of CCS deployment in the European Union towards 2050 in three scenarios with the same ambitious climate policy target (~85% CO2 emissions reduction). Once CO2 transport infrastructure is available, CCS will be a preferred mitigation option for the industry sector emissions.</w:t>
      </w:r>
    </w:p>
    <w:p>
      <w:pPr/>
      <w:r>
        <w:rPr>
          <w:b/>
        </w:rPr>
        <w:t>POSSIBLE 2026:</w:t>
      </w:r>
      <w:r>
        <w:t xml:space="preserve"> Feasible Carbon Sequestration Potential in European Agricultural Mineral Soils Through Improved Management — https://doi.org/10.1111/ejss.70357</w:t>
      </w:r>
    </w:p>
    <w:p>
      <w:pPr/>
      <w:r>
        <w:rPr>
          <w:b/>
        </w:rPr>
        <w:t>Shared claim-specific concepts:</w:t>
      </w:r>
      <w:r>
        <w:t xml:space="preserve"> climate, emissions, mitigation, option; EU scope visible. This is a provisional connection, not an outcome finding.</w:t>
      </w:r>
    </w:p>
    <w:p>
      <w:pPr>
        <w:pStyle w:val="SourceNote"/>
      </w:pPr>
      <w:r>
        <w:rPr>
          <w:b/>
        </w:rPr>
        <w:t>Available abstract (not full text):</w:t>
      </w:r>
      <w:r>
        <w:t xml:space="preserve"> ABSTRACT Soil degradation threatens global agriculture by compromising soil health, while sustainable agricultural management enhances soil functionality and carbon (C) storage, thereby contributing to climate change mitigation. This study estimates the feasible C sequestration potential of ten agricultural management practices across Europe, by applying practice‐specific emission factors and identifying areas suitable for additional implementation. For each management option, the implementation area was defined based on environmental and technical limitations and, if applicable, EU regulations. The objective of this study is to identify general patterns, relative magnitudes, and plausible ranges of carbon sequestration potentials across Europe. Considering soil C from 0 to 50 cm depth, biochar application shows the highest and most robust potential, contributing approximately 34%–47% of the total estimated annual C sequestration rate. This is followed by agroforestry, contributing 24%–45% (of which ~10% occurs in soils and ~90% in biomass), and zero tillage with 11%–15%. Optimised crop residue management (4%–6%), forage legumes and temporary ley rotations (4%–5%), and cover cropping (2%–3%) contribute comparatively smaller shares. Non‐inversion tillage and irrigation offered a marginal C sequestration potential. By implementing all non‐mutually exclusive management options, th</w:t>
      </w:r>
    </w:p>
    <w:p>
      <w:pPr/>
      <w:r>
        <w:rPr>
          <w:b/>
        </w:rPr>
        <w:t>POSSIBLE 2026:</w:t>
      </w:r>
      <w:r>
        <w:t xml:space="preserve"> Envirotyping framework for wheat in Europe — https://doi.org/10.1016/j.fcr.2026.110616</w:t>
      </w:r>
    </w:p>
    <w:p>
      <w:pPr/>
      <w:r>
        <w:rPr>
          <w:b/>
        </w:rPr>
        <w:t>Shared claim-specific concepts:</w:t>
      </w:r>
      <w:r>
        <w:t xml:space="preserve"> framework, three, target; EU scope visible. This is a provisional connection, not an outcome finding.</w:t>
      </w:r>
    </w:p>
    <w:p>
      <w:pPr>
        <w:pStyle w:val="SourceNote"/>
      </w:pPr>
      <w:r>
        <w:rPr>
          <w:b/>
        </w:rPr>
        <w:t>Available abstract (not full text):</w:t>
      </w:r>
      <w:r>
        <w:t xml:space="preserve"> Context Wheat production in Europe is increasingly constrained by climatic stressors, particularly heat and drought, which threaten yield stability and genetic gain. To improve environmental characterization in multi-environment trials and support the development of climate-resilient cultivars, we propose a robust envirotyping framework based on a crop model and multivariate analysis. Methods We combined 16 years of data from official Value for Cultivation and Use (VCU) trials across six European countries with simulations from the SiriusQuality process-based crop model. Environmental indices were computed to quantify temperature, water, and radiation stress during critical phenological stages. We evaluated two approaches for environmental characterization. Results and conclusions A principal component analysis of selected indices captured key climatic gradients but generated composite dimensions with limited interpretability for envirotyping applications. In contrast, a simplified method based on three physiologically grounded indices—heat stress, water deficit, and radiation balance—offered greater clarity and biological relevance. K-means clustering applied to these indices delineated discrete and interpretable envirotypes. The analysis revealed consistent low-stress conditions in Alpine regions, frequent combined heat and drought stress in eastern Austria and Hungary, and w</w:t>
      </w:r>
    </w:p>
    <w:p>
      <w:pPr/>
      <w:r>
        <w:rPr>
          <w:b/>
        </w:rPr>
        <w:t>POSSIBLE 2026:</w:t>
      </w:r>
      <w:r>
        <w:t xml:space="preserve"> Evaluating the Operations Feasibility and Business Model Development of a Sri Lankan Beauty Salon — https://openalex.org/W7163484922</w:t>
      </w:r>
    </w:p>
    <w:p>
      <w:pPr/>
      <w:r>
        <w:rPr>
          <w:b/>
        </w:rPr>
        <w:t>Shared claim-specific concepts:</w:t>
      </w:r>
      <w:r>
        <w:t xml:space="preserve"> unique, analyses, feasibility; EU scope visible. This is a provisional connection, not an outcome finding.</w:t>
      </w:r>
    </w:p>
    <w:p>
      <w:pPr>
        <w:pStyle w:val="SourceNote"/>
      </w:pPr>
      <w:r>
        <w:rPr>
          <w:b/>
        </w:rPr>
        <w:t>Available abstract (not full text):</w:t>
      </w:r>
      <w:r>
        <w:t xml:space="preserve"> This study evaluates the operational feasibility and business model development of a Sri Lankan beauty salon in Turku. The main purpose of the research was to identify customer interest, market demand and the business potential for culturally unique beauty services within a multicultural environment. The study focused on understanding customer expectations, service preferences, and the opportunities and challenges related to establishing a Sri Lankan-themed beauty salon in Turku, Finland. The research was conducted using a qualitative research approach. Primary data was collected through interviews with potential customers living in Finland. In addition, competitor and environmental analyses were carried out to understand the existing beauty salon market, service offering, pricing strategies and other key factors affecting the industry. The collected data was analysed using thematic analysis to identify the key themes and customer opinions related to the proposed business concept. The findings revealed that there is an increasing interest in authentic and natural beauty treatments among both South Asian and International customers. Those who participated in the study highlighted the importance of high-quality service, personalized customer care, natural products, and culturally distinctive treatments. The study also found that existing salons do not provide authentic Sri Lankan</w:t>
      </w:r>
    </w:p>
    <w:p>
      <w:pPr/>
      <w:r>
        <w:rPr>
          <w:b/>
        </w:rPr>
        <w:t>POSSIBLE 2025:</w:t>
      </w:r>
      <w:r>
        <w:t xml:space="preserve"> Modelling of Soil Multifunctionality Across Europe — https://doi.org/10.1111/sum.70147</w:t>
      </w:r>
    </w:p>
    <w:p>
      <w:pPr/>
      <w:r>
        <w:rPr>
          <w:b/>
        </w:rPr>
        <w:t>Shared claim-specific concepts:</w:t>
      </w:r>
      <w:r>
        <w:t xml:space="preserve"> unique, modelling, climate; EU scope visible. This is a provisional connection, not an outcome finding.</w:t>
      </w:r>
    </w:p>
    <w:p>
      <w:pPr>
        <w:pStyle w:val="SourceNote"/>
      </w:pPr>
      <w:r>
        <w:rPr>
          <w:b/>
        </w:rPr>
        <w:t>Available abstract (not full text):</w:t>
      </w:r>
      <w:r>
        <w:t xml:space="preserve"> ABSTRACT Soils sustain a number of functions playing a key role in ecosystem functioning and providing a multitude of services to human society. While it is acknowledged that all soils are multifunctional, there is, to date, limited knowledge on how the supply of soil functions and their combination differ spatially with land use type, soil characteristics, climate and land use intensity at large geographical scales. We address this gap by quantifying five functions of major importance to European soils: (1) primary productivity, (2) water regulation, (3) climate regulation, (4) nutrient cycling and (5) provision of habitat for biodiversity. We built a multi‐attribute semi‐quantitative model with a hierarchical structure. The model is structured for the large‐scale evaluation of soil functions and takes as input a set of indicators related to dynamic and stable soil properties, as well as climate, topography and management practices, and returns qualitative aggregated attributes representing the soil functions supply. Thresholds for the soil functions supply are obtained by statistical analysis coupled with expert knowledge and vary across European environmental zones. The model is tested utilizing a large pan‐European dataset focused on cropland and grassland systems. Statistical distributions of soil functions supply are obtained alongside alpha‐ and beta‐multifunctionality r</w:t>
      </w:r>
    </w:p>
    <w:p>
      <w:pPr/>
      <w:r>
        <w:rPr>
          <w:b/>
        </w:rPr>
        <w:t>POSSIBLE 2025:</w:t>
      </w:r>
      <w:r>
        <w:t xml:space="preserve"> Climate Policy Feasibility across Europe Relies on the Conditional Middle — https://doi.org/10.31219/osf.io/pnvw8_v3</w:t>
      </w:r>
    </w:p>
    <w:p>
      <w:pPr/>
      <w:r>
        <w:rPr>
          <w:b/>
        </w:rPr>
        <w:t>Shared claim-specific concepts:</w:t>
      </w:r>
      <w:r>
        <w:t xml:space="preserve"> feasibility, climate; EU scope visible. This is a provisional connection, not an outcome finding.</w:t>
      </w:r>
    </w:p>
    <w:p>
      <w:pPr>
        <w:pStyle w:val="SourceNote"/>
      </w:pPr>
      <w:r>
        <w:rPr>
          <w:b/>
        </w:rPr>
        <w:t>Available abstract (not full text):</w:t>
      </w:r>
      <w:r>
        <w:t xml:space="preserve"> Political feasibility of climate policies hinges on persuading the moderate middle of the electorate. A survey evaluates climate policy preferences across 13 EU countries (n=19,328, Summer 2024), identifying `Conditionals', a crucial faction of moderates whose support shifts across 15 climate measures. Conditionals constitute 33\% of Europeans that are active voters for the dominant centrist and centre-right parties. Simulations indicate that even if currently undecided Conditionals simply moved to support, the number of policies with majority backing would more than double (from 4 to 10). Such changes do seem plausible, as Conditionals' preferences hinge less on fixed ideology or demographics, and rather upon things that policymakers can adjust, policy designs and the perceived cost–benefit balances. Overall, our findings emphasize that climate policy success depends on strategic engagement with diverse, moveable constituencies, where tailoring designs with visible benefits offers a pragmatic route to expand the feasibility frontier</w:t>
      </w:r>
    </w:p>
    <w:p>
      <w:pPr/>
      <w:r>
        <w:rPr>
          <w:b/>
        </w:rPr>
        <w:t>POSSIBLE 2025:</w:t>
      </w:r>
      <w:r>
        <w:t xml:space="preserve"> An Acceptability and Feasibility Study of a Nurse‐Led Model of Contraception and Abortion Care in Rural General Practice — https://doi.org/10.1111/jan.16777</w:t>
      </w:r>
    </w:p>
    <w:p>
      <w:pPr/>
      <w:r>
        <w:rPr>
          <w:b/>
        </w:rPr>
        <w:t>Shared claim-specific concepts:</w:t>
      </w:r>
      <w:r>
        <w:t xml:space="preserve"> unique, feasibility, three, preferred; EU scope not established. This is a provisional connection, not an outcome finding.</w:t>
      </w:r>
    </w:p>
    <w:p>
      <w:pPr>
        <w:pStyle w:val="SourceNote"/>
      </w:pPr>
      <w:r>
        <w:rPr>
          <w:b/>
        </w:rPr>
        <w:t>Available abstract (not full text):</w:t>
      </w:r>
      <w:r>
        <w:t xml:space="preserve"> AIM: To assess the acceptability and perceived feasibility of integrating a co-designed nurse-led model of contraception and medication abortion care within rural and regional general practices. DESIGN: Qualitative exploratory design utilising Sidani and Braden's indicators of acceptability and feasibility. METHODS: We conducted semi-structured interviews with 12 practice nurses, 8 general practitioners and 3 practice managers who currently or previously worked in rural, regional or remote general practice. Participants were recruited purposively through social media, partner organisation newsletters and snowballing. During the interview, participants were presented with an overview of the co-designed model of care and asked specific questions to gain feedback on its acceptability and perceived feasibility. Data were analysed in NVivo using template analysis and iterative categorisation. Findings were mapped according to Sidani and Braden's indicators of acceptability and feasibility. RESULTS: Three overarching themes were identified: nurses are acceptable providers, factors influencing the feasibility of the model and factors supporting greater feasibility of the model. Participants found the nurse-led model acceptable, describing nurses as suitable and sometimes preferred providers of long-acting reversible contraception and abortion care in rural and regional settings. They </w:t>
      </w:r>
    </w:p>
    <w:p>
      <w:pPr/>
      <w:r>
        <w:rPr>
          <w:b/>
        </w:rPr>
        <w:t>POSSIBLE 2025:</w:t>
      </w:r>
      <w:r>
        <w:t xml:space="preserve"> Business model framework for end-of-life automotive traction battery recycling — https://doi.org/10.1016/j.procir.2025.02.242</w:t>
      </w:r>
    </w:p>
    <w:p>
      <w:pPr/>
      <w:r>
        <w:rPr>
          <w:b/>
        </w:rPr>
        <w:t>Shared claim-specific concepts:</w:t>
      </w:r>
      <w:r>
        <w:t xml:space="preserve"> unique, framework; EU scope visible. This is a provisional connection, not an outcome finding.</w:t>
      </w:r>
    </w:p>
    <w:p>
      <w:pPr>
        <w:pStyle w:val="SourceNote"/>
      </w:pPr>
      <w:r>
        <w:rPr>
          <w:b/>
        </w:rPr>
        <w:t>Available abstract (not full text):</w:t>
      </w:r>
      <w:r>
        <w:t xml:space="preserve"> The decarbonization of the automotive sector is gaining momentum through battery-based electric mobility. This results in a significant increase in the production of traction batteries that will need to be recycled in the coming years. In addition to the technical challenges of battery recycling, the emerging industry must establish commercial frameworks and business models to operate profitably in the long term. The research methodology employed in this paper is a systematic literature review in combination with a company analysis to identify the various business model categories that have emerged within the context of battery recycling. In particular, the article highlights emerging business models, including those related to the battery passport and recycled materials, which have emerged in response to regulatory initiatives such as the European Battery Directive. This paper contributes mainly through a novel framework for battery recycling business models. The framework enables policy makers to align their regulatory endeavors and industrial players to identify their unique position for successful commercial operations in the emerging industry of lithium-ion automotive traction battery recycling.</w:t>
      </w:r>
    </w:p>
    <w:p>
      <w:pPr/>
      <w:r>
        <w:rPr>
          <w:b/>
        </w:rPr>
        <w:t>POSSIBLE 2025:</w:t>
      </w:r>
      <w:r>
        <w:t xml:space="preserve"> Balancing Innovation and Regulation: Integrating Blockchain into the European Digital Identity Framework — https://doi.org/10.1109/cyber-rci68134.2025.11384865</w:t>
      </w:r>
    </w:p>
    <w:p>
      <w:pPr/>
      <w:r>
        <w:rPr>
          <w:b/>
        </w:rPr>
        <w:t>Shared claim-specific concepts:</w:t>
      </w:r>
      <w:r>
        <w:t xml:space="preserve"> unique, framework, infrastructure; EU scope visible. This is a provisional connection, not an outcome finding.</w:t>
      </w:r>
    </w:p>
    <w:p>
      <w:pPr>
        <w:pStyle w:val="SourceNote"/>
      </w:pPr>
      <w:r>
        <w:rPr>
          <w:b/>
        </w:rPr>
        <w:t>Available abstract (not full text):</w:t>
      </w:r>
      <w:r>
        <w:t xml:space="preserve"> This paper investigates the legal implications of integrating the European Blockchain Services Infrastructure (EBSI) into the European Digital Identity (EUDI) framework. The objective is to assess EBSI's potential to support the EU Digital Identity Wallet and cross-border authentication services through a decentralized, service-oriented blockchain architecture. This research is motivated by the fragmented legal and regulatory landscape across EU Member States, which hinders the seamless implementation of EBSI. In particular, challenges related to interoperability, standardization, and compliance with the General Data Protection Regulation (GDPR) present significant obstacles to the adoption of blockchain-based identity solutions. Despite the European Commission's ambitions to promote secure and trusted digital interactions, existing digital identity frameworks lack sufficient provisions for managing these legal complexities in a decentralized environment. Using descriptive legal research and qualitative content analysis, the study examines EU regulatory texts, EBSI white papers, and international standards such as those from W3C. It also compares self-sovereign identity (SSI) models with traditional digital identity systems to identify critical legal and operational distinctions. Findings reveal that, while EBSI and the emerging Europeum-EDIC initiative signal substantial progr</w:t>
      </w:r>
    </w:p>
    <w:p>
      <w:pPr/>
      <w:r>
        <w:rPr>
          <w:b/>
        </w:rPr>
        <w:t>POSSIBLE 2025:</w:t>
      </w:r>
      <w:r>
        <w:t xml:space="preserve"> Public-Private Partnerships in Traditional Industries: A Comparative Governance Framework for Regional Revitalization in Japan and Central Europe — https://doi.org/10.61093/pgrl.1(1).1-15.2025</w:t>
      </w:r>
    </w:p>
    <w:p>
      <w:pPr/>
      <w:r>
        <w:rPr>
          <w:b/>
        </w:rPr>
        <w:t>Shared claim-specific concepts:</w:t>
      </w:r>
      <w:r>
        <w:t xml:space="preserve"> unique, framework, three; EU scope visible. This is a provisional connection, not an outcome finding.</w:t>
      </w:r>
    </w:p>
    <w:p>
      <w:pPr>
        <w:pStyle w:val="SourceNote"/>
      </w:pPr>
      <w:r>
        <w:rPr>
          <w:b/>
        </w:rPr>
        <w:t>Available abstract (not full text):</w:t>
      </w:r>
      <w:r>
        <w:t xml:space="preserve"> This paper examines how public-private partnerships in traditional industries serve as innovative governance mechanisms for regional revitalization in aging societies. Through comparative analysis of Japanese public-private brewery models and Central European cultural heritage initiatives, a novel theoretical framework (the Traditional Industry Revitalization through Governance Innovation (TIRGI) Framework) is developed. This framework advances existing PPP and public governance theories by specifically addressing how traditional industries can be transformed into instruments of public policy and regulation. Drawing on social capital theory and public value creation perspectives, the analysis reveals three key governance innovations: hybrid institutional arrangements balancing public accountability with market efficiency, multi-stakeholder coordination mechanisms integrating cultural preservation with economic development, and trust-building processes generating both bonding and bridging social capital. The TIRGI Framework demonstrates unique advantages over existing models by integrating public governance principles with cultural heritage management, providing specific regulatory mechanisms for traditional industry PPPs, and offering measurable outcomes across economic, social, cultural, and environmental dimensions. The framework contributes to public administration scholarsh</w:t>
      </w:r>
    </w:p>
    <w:p>
      <w:pPr/>
      <w:r>
        <w:rPr>
          <w:b/>
        </w:rPr>
        <w:t>POSSIBLE 2025:</w:t>
      </w:r>
      <w:r>
        <w:t xml:space="preserve"> A new theoretical framework in the analysis of the European Union’s approach to contemporary terrorist threats — https://doi.org/10.15804/athena.2025.88.01</w:t>
      </w:r>
    </w:p>
    <w:p>
      <w:pPr/>
      <w:r>
        <w:rPr>
          <w:b/>
        </w:rPr>
        <w:t>Shared claim-specific concepts:</w:t>
      </w:r>
      <w:r>
        <w:t xml:space="preserve"> unique, framework, union; EU scope visible. This is a provisional connection, not an outcome finding.</w:t>
      </w:r>
    </w:p>
    <w:p>
      <w:pPr>
        <w:pStyle w:val="SourceNote"/>
      </w:pPr>
      <w:r>
        <w:rPr>
          <w:b/>
        </w:rPr>
        <w:t>Available abstract (not full text):</w:t>
      </w:r>
      <w:r>
        <w:t xml:space="preserve"> Contemporary terrorist threats are characterised by increasing complexity, dynamism, and transnational character, which requires an innovative approach to analysing European Union (EU) security policy. Based on the dominant role of nation-states and rigid institutional structures, traditional models are becoming insufficient in the face of the adaptive and multidimensional challenges posed by 21st-century terrorism. This article aims to present a new theoretical framework that can serve as a more comprehensive study of internal security cooperation in the EU. The article examines four theoretical concepts: network theory, complex adaptation theory, resilience theory, and risk governance theory. These theories offer unique analytical tools to better understand the cooperation mechanisms between member states and EU institutions in response to contemporary terrorist threats. The analysis results indicate that integrating these theoretical approaches leads to more flexible, adaptive, and effective counter-terrorism strategies at the level of the EU and its member states.</w:t>
      </w:r>
    </w:p>
    <w:p>
      <w:pPr/>
      <w:r>
        <w:rPr>
          <w:b/>
        </w:rPr>
        <w:t>POSSIBLE 2025:</w:t>
      </w:r>
      <w:r>
        <w:t xml:space="preserve"> Climate change and the health of older adults in Europe: a call for a geriatric climate medicine framework — https://doi.org/10.1007/s41999-025-01336-3</w:t>
      </w:r>
    </w:p>
    <w:p>
      <w:pPr/>
      <w:r>
        <w:rPr>
          <w:b/>
        </w:rPr>
        <w:t>Shared claim-specific concepts:</w:t>
      </w:r>
      <w:r>
        <w:t xml:space="preserve"> framework, climate, infrastructure, mitigation; EU scope visible. This is a provisional connection, not an outcome finding.</w:t>
      </w:r>
    </w:p>
    <w:p>
      <w:pPr>
        <w:pStyle w:val="SourceNote"/>
      </w:pPr>
      <w:r>
        <w:rPr>
          <w:b/>
        </w:rPr>
        <w:t>Available abstract (not full text):</w:t>
      </w:r>
      <w:r>
        <w:t xml:space="preserve"> PURPOSE: Climate change is a critical determinant of health that disproportionately affects older adults. This review synthesises recent evidence on climate-related health risks in older Europeans and proposes a geriatric climate medicine framework to guide clinical practice, health system preparedness and policy action. METHODS: Narrative review of scientific literature and policy documents published between 2019 and 2025, with emphasis on European epidemiological data and adaptation frameworks. Studies were included if they reported health impacts or adaptation/mitigation strategies relevant to adults aged ≥ 65 years. RESULTS: Heatwaves, chronic and acute exposure to air pollutants, flooding and the expanding range of climate-sensitive infectious diseases increase hospitalisation, cognitive decline, and mortality in older adults, especially in women, those aged ≥ 80 years, and individuals with comorbidities or frailty. These risks remain insufficiently addressed in geriatric clinical practice and health policy. CONCLUSIONS: In a Europe warming at twice the global rate, urgent integration of climate risk assessment into geriatric care, enhanced resilience of health and social care infrastructure and climate policies that prioritise older adults are essential to reduce inequities and improve health outcomes.</w:t>
      </w:r>
    </w:p>
    <w:p>
      <w:pPr/>
      <w:r>
        <w:rPr>
          <w:b/>
        </w:rPr>
        <w:t>POSSIBLE 2025:</w:t>
      </w:r>
      <w:r>
        <w:t xml:space="preserve"> Model of the waste logistics for appliances and for construction waste — https://doi.org/10.5281/zenodo.22659505</w:t>
      </w:r>
    </w:p>
    <w:p>
      <w:pPr/>
      <w:r>
        <w:rPr>
          <w:b/>
        </w:rPr>
        <w:t>Shared claim-specific concepts:</w:t>
      </w:r>
      <w:r>
        <w:t xml:space="preserve"> unique, framework, reduction, infrastructure; EU scope visible. This is a provisional connection, not an outcome finding.</w:t>
      </w:r>
    </w:p>
    <w:p>
      <w:pPr>
        <w:pStyle w:val="SourceNote"/>
      </w:pPr>
      <w:r>
        <w:rPr>
          <w:b/>
        </w:rPr>
        <w:t>Available abstract (not full text):</w:t>
      </w:r>
      <w:r>
        <w:t xml:space="preserve"> This study presents a cohesive set of models aimed at optimizing PUR foam waste management across diverse European regions, each characterized by unique logistical and operational challenges. By employing advanced methodologies such as optimization, stochastic programming, and dynamic forecasting, the research seeks to enhance waste management efficiency and sustainability. The overarching goal of these models is to address region-specific needs while maintaining a common objective: maximizing efficiency, reducing logistics costs and minimizing environmental impact. The application of optimization techniques across well-established infrastructure settings enables the maximization of recycling efficiency. Meanwhile, stochastic programming and dynamic forecasting serve as tools to manage uncertainty and variability in waste availability, particularly in regions with emerging waste management systems and those located at greater distances from processing facilities. Key findings highlight that due to the high costs associated with establishing and operating chemical processing facilities, it is economically feasible to maintain a single processing plant. In remote regions, costs are significantly impacted by the method of consolidation and compression of PUR foam. Moreover, obtaining foam from demolition waste from individual homes is particularly cost-intensive, and the material </w:t>
      </w:r>
    </w:p>
    <w:p>
      <w:pPr>
        <w:pStyle w:val="Heading2"/>
      </w:pPr>
      <w:r>
        <w:t>568. A Mismatch in Future Narratives? A Comparative Analysis Between Energy Futures in Policy and of Citizens</w:t>
      </w:r>
    </w:p>
    <w:p>
      <w:pPr>
        <w:pStyle w:val="SourceNote"/>
      </w:pPr>
      <w:r>
        <w:rPr>
          <w:b/>
        </w:rPr>
        <w:t>Original source (2021):</w:t>
      </w:r>
      <w:r>
        <w:t xml:space="preserve"> https://doi.org/10.3389/frsc.2021.654162</w:t>
      </w:r>
    </w:p>
    <w:p>
      <w:pPr/>
      <w:r>
        <w:t>Original wording (abstract; indexed_source_text_not_full_document_verified): As (policy) narratives of the future are performative, excluding certain stakeholders' perceptions might lead to energy injustice and could jeopardize the implementation of the energy transition. We identified several future narrative mismatches, which can be distinguished in two main types: (1) opposing mismatches, where policy narratives and narratives of citizens anticipate antagonistic futures, and (2) disconnected mismatches, where the mismatch emerges because narratives do not engage with each other and focus on different issues.</w:t>
      </w:r>
    </w:p>
    <w:p>
      <w:pPr/>
      <w:r>
        <w:rPr>
          <w:b/>
        </w:rPr>
        <w:t>POSSIBLE 2026:</w:t>
      </w:r>
      <w:r>
        <w:t xml:space="preserve"> Narrative as Strategy: A Study on Central-Local Interaction in China's Tobacco Control Policy — https://doi.org/10.62787/jmhm.v4i3.377</w:t>
      </w:r>
    </w:p>
    <w:p>
      <w:pPr/>
      <w:r>
        <w:rPr>
          <w:b/>
        </w:rPr>
        <w:t>Shared claim-specific concepts:</w:t>
      </w:r>
      <w:r>
        <w:t xml:space="preserve"> narratives, implementation, narrative, two, types; EU scope not established. This is a provisional connection, not an outcome finding.</w:t>
      </w:r>
    </w:p>
    <w:p>
      <w:pPr>
        <w:pStyle w:val="SourceNote"/>
      </w:pPr>
      <w:r>
        <w:rPr>
          <w:b/>
        </w:rPr>
        <w:t>Available abstract (not full text):</w:t>
      </w:r>
      <w:r>
        <w:t xml:space="preserve"> China's tobacco control policy presents a central-local asymmetric pattern characterized by "long-term absence of central legislation and continuous progress in local legislation." Against this institutional backdrop, how the central and local governments coordinate actions and form policy consensus on tobacco control has become a theoretical question in need of an answer. This study, based on the Narrative Policy Framework (NPF) and integrated with the Social Construction of Target Populations (SCTP) theory, adopts a bilingual corpus comparative text analysis method to systematically code and analyze 110 central and local media reports and seven local tobacco control regulations from 2016 to 2026. The study finds that central and local narratives exhibit a coordinated model of "central government sets the direction, local governments ensure implementation." Central narratives construct the problem framework through the "villain-victim" pair and strong causal attribution; local narratives demonstrate action outcomes through the "hero-beneficiary" pair and emotional mobilization. Narrative characters correspond to target group types in the regulations: victims correspond to dependents, villains correspond to contenders and deviants, heroes correspond to the advantaged, and beneficiaries correspond to the service recipients of incentive-based tools. Under the constraint of absent</w:t>
      </w:r>
    </w:p>
    <w:p>
      <w:pPr/>
      <w:r>
        <w:rPr>
          <w:b/>
        </w:rPr>
        <w:t>POSSIBLE 2026:</w:t>
      </w:r>
      <w:r>
        <w:t xml:space="preserve"> Bridging Stakeholder Narratives for Sustainable Peatland Conservation — https://doi.org/10.1007/s41748-026-01141-3</w:t>
      </w:r>
    </w:p>
    <w:p>
      <w:pPr/>
      <w:r>
        <w:rPr>
          <w:b/>
        </w:rPr>
        <w:t>Shared claim-specific concepts:</w:t>
      </w:r>
      <w:r>
        <w:t xml:space="preserve"> narratives, stakeholders, perceptions, implementation, identified, narrative; EU scope visible. This is a provisional connection, not an outcome finding.</w:t>
      </w:r>
    </w:p>
    <w:p>
      <w:pPr>
        <w:pStyle w:val="SourceNote"/>
      </w:pPr>
      <w:r>
        <w:rPr>
          <w:b/>
        </w:rPr>
        <w:t>Available abstract (not full text):</w:t>
      </w:r>
      <w:r>
        <w:t xml:space="preserve"> Peatlands are among the most important terrestrial ecosystems for carbon storage, biodiversity conservation, and hydrological regulation, yet they are highly vulnerable to climate change and human-induced degradation. Despite growing international commitments to peatland restoration, conservation outcomes remain strongly dependent on stakeholder perceptions and governance contexts. This study investigates how relevant stakeholders perceive peatland ecosystem benefits and conservation in Romania, a region where peatlands are limited in extent but of high ecological significance. Using a mixed-methods approach, we triangulated data from 150 questionnaire responses, 18 semi-structured interviews with key stakeholders (local community members, scientists, and local authorities), spatial analysis of degraded peatlands, and a review of 13 international, European, and national policy documents. The results reveal three dominant stakeholder narratives shaping peatland conservation: a scientific perspective emphasizing biodiversity conservation, carbon sequestration, and hydrological regulation; a utilitarian perspective focused on economic use and land productivity; and a community-based perspective highlighting cultural ecosystem services such as education, recreation, and local identity. Quantitative findings indicate strong public support for conservation, with 79.9% of respondents </w:t>
      </w:r>
    </w:p>
    <w:p>
      <w:pPr/>
      <w:r>
        <w:rPr>
          <w:b/>
        </w:rPr>
        <w:t>POSSIBLE 2026:</w:t>
      </w:r>
      <w:r>
        <w:t xml:space="preserve"> Interpreting emotions in policy narratives: a pluralist framework — https://doi.org/10.1080/25741292.2026.2735542</w:t>
      </w:r>
    </w:p>
    <w:p>
      <w:pPr/>
      <w:r>
        <w:rPr>
          <w:b/>
        </w:rPr>
        <w:t>Shared claim-specific concepts:</w:t>
      </w:r>
      <w:r>
        <w:t xml:space="preserve"> narratives, narrative; EU scope not established. This is a provisional connection, not an outcome finding.</w:t>
      </w:r>
    </w:p>
    <w:p>
      <w:pPr>
        <w:pStyle w:val="SourceNote"/>
      </w:pPr>
      <w:r>
        <w:rPr>
          <w:b/>
        </w:rPr>
        <w:t>Available abstract (not full text):</w:t>
      </w:r>
      <w:r>
        <w:t xml:space="preserve"> The influence of emotions on real-world policy processes, particularly in the Global South, remains underemphasized. This article aims to address this gap by arguing that emotional expression can function as a component of policy narratives that contributes to policy processes in such contexts. Using clean air policy in northern Thailand as a case study, the explicit role of emotions in policy narratives is examined. Participatory observation, in-depth interviews, and documentary reviews were conducted as research methods. The epistemologically pluralist narrative policy framework is offered by expanding the boundaries of narratives to encompass factual, contextual, normative, ideological and emotional stories. Through this lens, emotions help confirm feasible policy options, complementing technical feasibility studies. Aside from technical and administrative data, the impacts of the policy depended heavily on public satisfaction with the perceived changes. Accordingly, this study suggests that, instead of ignoring emotions, narrative policy analysis should incorporate them to better understand their actual roles in policy processes.</w:t>
      </w:r>
    </w:p>
    <w:p>
      <w:pPr/>
      <w:r>
        <w:rPr>
          <w:b/>
        </w:rPr>
        <w:t>POSSIBLE 2026:</w:t>
      </w:r>
      <w:r>
        <w:t xml:space="preserve"> Game of Mirrors for Complex Policies: The Narratives on Differentiated Autonomy in Italy — https://doi.org/10.1111/polp.70172</w:t>
      </w:r>
    </w:p>
    <w:p>
      <w:pPr/>
      <w:r>
        <w:rPr>
          <w:b/>
        </w:rPr>
        <w:t>Shared claim-specific concepts:</w:t>
      </w:r>
      <w:r>
        <w:t xml:space="preserve"> narratives, narrative, two, opposing; EU scope visible. This is a provisional connection, not an outcome finding.</w:t>
      </w:r>
    </w:p>
    <w:p>
      <w:pPr>
        <w:pStyle w:val="SourceNote"/>
      </w:pPr>
      <w:r>
        <w:rPr>
          <w:b/>
        </w:rPr>
        <w:t>Available abstract (not full text):</w:t>
      </w:r>
      <w:r>
        <w:t xml:space="preserve"> ABSTRACT This study applies the Narrative Policy Framework (NPF) to a policy of regional devolution of powers. The analysis focuses on differentiated autonomy in Italy, examining the narratives that emerged in the legislative process of the law regulating the procedures for its activation. The context is of particular interest due to the combination of a polarized political system, such as the Italian one, and a policy providing for a new distribution of powers involving actors from different levels of government. The analysis compares the narratives of the two coalitions supporting and opposing the policy, through the statements of the political national and regional leaders. The findings shed light on the relationship between policy and politics, suggesting that the coalitions tended to: oversimplify the complexity of the policy; make policy narratives as political as possible in the presence of uncertain results; and mirror each other's narratives to ensure the support of their respective audiences. Related Articles Chang, Katherine T., and Elizabeth A. Koebele. 2020. “What Drives Coalitions' Narrative Strategy? Exploring Policy Narratives around School Choice.” Politics &amp; Policy 48(4): 618–57. https://doi.org/10.1111/polp.12367 . Boscarino, Jessica E. 2022. “Is Seeing Believing? Comparing the Influence of Textual and Visual Policy Narratives on Public Opinion.” Politics &amp; P</w:t>
      </w:r>
    </w:p>
    <w:p>
      <w:pPr/>
      <w:r>
        <w:rPr>
          <w:b/>
        </w:rPr>
        <w:t>POSSIBLE 2026:</w:t>
      </w:r>
      <w:r>
        <w:t xml:space="preserve"> EU Foreign Policy through Images: A Visual Narrative Analysis of the War in Ukraine — https://doi.org/10.1093/fpa/orag017</w:t>
      </w:r>
    </w:p>
    <w:p>
      <w:pPr/>
      <w:r>
        <w:rPr>
          <w:b/>
        </w:rPr>
        <w:t>Shared claim-specific concepts:</w:t>
      </w:r>
      <w:r>
        <w:t xml:space="preserve"> narratives, narrative; EU scope visible. This is a provisional connection, not an outcome finding.</w:t>
      </w:r>
    </w:p>
    <w:p>
      <w:pPr>
        <w:pStyle w:val="SourceNote"/>
      </w:pPr>
      <w:r>
        <w:rPr>
          <w:b/>
        </w:rPr>
        <w:t>Available abstract (not full text):</w:t>
      </w:r>
      <w:r>
        <w:t xml:space="preserve"> Abstract Narratives organize how foreign policy becomes intelligible and actionable by defining events, assigning responsibility, and justifying particular courses of action. This article advances the narrative turn by extending it to the visual domain of political storytelling. Despite the ubiquity of images in diplomacy, Foreign Policy Analysis lacks a systematic way to examine how visuals contribute to the narratives through which foreign policy is performed. To address this gap, the article proposes a framework for visual narrative analysis. Integrating narrative theory with visual analysis, the framework shows how recurring visual elements articulate storylines. An analysis of the European Union’s social media on the war in Ukraine demonstrates how visual choices construct the EU’s role as a moral and political actor navigating tensions between diplomacy, solidarity, and security. The article illustrates how Visual Narrative Analysis reveals the ways in which visual representations reinforce, nuance, or unsettle the narrative frameworks underpinning EU foreign policy.</w:t>
      </w:r>
    </w:p>
    <w:p>
      <w:pPr/>
      <w:r>
        <w:rPr>
          <w:b/>
        </w:rPr>
        <w:t>POSSIBLE 2025:</w:t>
      </w:r>
      <w:r>
        <w:t xml:space="preserve"> On and beyond the Creative City: performative narratives, policy translation, and frontiers of ‘splashing’ acts — https://doi.org/10.1016/j.ccs.2025.100654</w:t>
      </w:r>
    </w:p>
    <w:p>
      <w:pPr/>
      <w:r>
        <w:rPr>
          <w:b/>
        </w:rPr>
        <w:t>Shared claim-specific concepts:</w:t>
      </w:r>
      <w:r>
        <w:t xml:space="preserve"> narratives, performative, narrative, two; EU scope not established. This is a provisional connection, not an outcome finding.</w:t>
      </w:r>
    </w:p>
    <w:p>
      <w:pPr>
        <w:pStyle w:val="SourceNote"/>
      </w:pPr>
      <w:r>
        <w:rPr>
          <w:b/>
        </w:rPr>
        <w:t>Available abstract (not full text):</w:t>
      </w:r>
      <w:r>
        <w:t xml:space="preserve"> The Creative City often appears in the existing literature as a policy narrative that travels widely across borders. Scholars have long debated whether this travel resulted in a homogenisation of urban cultural policies and whether the narrative still had viability for the future. The term ‘narrative’, however, has often been taken for granted. This article thus explores the implications of thinking about the Creative City as a narrative, particularly a ‘travelling narrative’. Conceptually, it builds on two major frameworks. The first is a processual approach to narration as a fundamental act of organising reality. It emphasises unification or the organisation of different layers or elements into a coherent narrative. The second is a performative approach to translation as acts of re-narration. It highlights multiplication or how a policy narrative can be translated into multi-directional, even competing, policy acts across contexts. Empirically, the article examines the narrative form and accomplishment of the Creative City as it was taken up in Vietnam through the designation of Hanoi as a member of the UNESCO Creative Cities Network (UCCN). The analysis shows both possibilities and limitations of ‘splashing’ acts that sought to engage with the narrative in ways that could move beyond the frequently criticised power structures that set the travelling narrative in motion.</w:t>
      </w:r>
    </w:p>
    <w:p>
      <w:pPr/>
      <w:r>
        <w:rPr>
          <w:b/>
        </w:rPr>
        <w:t>POSSIBLE 2025:</w:t>
      </w:r>
      <w:r>
        <w:t xml:space="preserve"> Performative Equity and Institutional Hypocrisy in Higher Education: A Critique of Leadership Narratives and Policy Contradictions — https://doi.org/10.4236/ojl.2025.143019</w:t>
      </w:r>
    </w:p>
    <w:p>
      <w:pPr/>
      <w:r>
        <w:rPr>
          <w:b/>
        </w:rPr>
        <w:t>Shared claim-specific concepts:</w:t>
      </w:r>
      <w:r>
        <w:t xml:space="preserve"> narratives, performative; EU scope visible. This is a provisional connection, not an outcome finding.</w:t>
      </w:r>
    </w:p>
    <w:p>
      <w:pPr>
        <w:pStyle w:val="SourceNote"/>
      </w:pPr>
      <w:r>
        <w:rPr>
          <w:b/>
        </w:rPr>
        <w:t>Available abstract (not full text):</w:t>
      </w:r>
      <w:r>
        <w:t xml:space="preserve"> This article critically examines the widening gap between rhetorical commitments to equity, inclusion, and innovation in higher education and the lived realities of institutional leadership and policy enforcement. Drawing on the author’s direct experience within a U.S. university setting—juxtaposed with global parallels—the paper explores how performative leadership practices mask deeper systems of exclusion, silencing, and ideological gatekeeping. Through the lens of critical policy analysis, the article reveals how institutional narratives often valorize diversity while simultaneously marginalizing dissenting voices, critical scholarship (Mountz et al., 2020), and global perspectives that challenge neoliberal or bureaucratic orthodoxy. The paper further explores the international dimensions of this hypocrisy, comparing policy contradictions in the United States with similar patterns of institutional posturing and suppression observed in higher education systems in Europe, Asia, and Africa. In doing so, it argues that the performance of equity—uncoupled from structural change—undermines the moral legitimacy of higher education institutions and erodes public trust. The article concludes with a call for policy reform grounded in authentic leadership, intellectual freedom, and justice-driven governance.</w:t>
      </w:r>
    </w:p>
    <w:p>
      <w:pPr/>
      <w:r>
        <w:rPr>
          <w:b/>
        </w:rPr>
        <w:t>POSSIBLE 2025:</w:t>
      </w:r>
      <w:r>
        <w:t xml:space="preserve"> Understanding China's Policy Narratives During Crisis: A Narrative Policy Framework Approach — https://doi.org/10.1111/1468-5973.70105</w:t>
      </w:r>
    </w:p>
    <w:p>
      <w:pPr/>
      <w:r>
        <w:rPr>
          <w:b/>
        </w:rPr>
        <w:t>Shared claim-specific concepts:</w:t>
      </w:r>
      <w:r>
        <w:t xml:space="preserve"> narratives, narrative, types, citizens; EU scope not established. This is a provisional connection, not an outcome finding.</w:t>
      </w:r>
    </w:p>
    <w:p>
      <w:pPr>
        <w:pStyle w:val="SourceNote"/>
      </w:pPr>
      <w:r>
        <w:rPr>
          <w:b/>
        </w:rPr>
        <w:t>Available abstract (not full text):</w:t>
      </w:r>
      <w:r>
        <w:t xml:space="preserve"> ABSTRACT Narratives play a crucial role in crisis communication. Using qualitative content analysis within the Narrative Policy Framework, this study examines the policy narratives in 372 open letters issued by Chinese local governments during the COVID‐19 pandemic. The findings reveal that Chinese local governments constructed a narrative in which the entire society was in crisis, while the government was comprehensively responding, a portrayal that varied according to the different stages of the crisis. As for the characters, public servants were constructed as both heroes and victims, the COVID‐19 was cast as the villain, and citizens were portrayed as both victims and heroes. In terms of the moral, the open letters urged public servants to fulfil their professional duties, citizens to comply with existing policies, and broader social forces to actively participate. Finally, regarding the plot, the open letters constructed three distinct plot types centred on the interactions between public servants, the COVID‐19, and citizens, which collectively manifested as an overarching “People's Campaign” plot. This study offers insights into crisis communication by public organisations in non‐Western contexts and contributes to the understanding of policy narratives during the crisis.</w:t>
      </w:r>
    </w:p>
    <w:p>
      <w:pPr/>
      <w:r>
        <w:rPr>
          <w:b/>
        </w:rPr>
        <w:t>POSSIBLE 2025:</w:t>
      </w:r>
      <w:r>
        <w:t xml:space="preserve"> Narratives and Framing in Policy Making — https://doi.org/10.1111/ropr.70053</w:t>
      </w:r>
    </w:p>
    <w:p>
      <w:pPr/>
      <w:r>
        <w:rPr>
          <w:b/>
        </w:rPr>
        <w:t>Shared claim-specific concepts:</w:t>
      </w:r>
      <w:r>
        <w:t xml:space="preserve"> narratives, lead, energy, narrative, distinguished, types; EU scope not established. This is a provisional connection, not an outcome finding.</w:t>
      </w:r>
    </w:p>
    <w:p>
      <w:pPr>
        <w:pStyle w:val="SourceNote"/>
      </w:pPr>
      <w:r>
        <w:rPr>
          <w:b/>
        </w:rPr>
        <w:t>Available abstract (not full text):</w:t>
      </w:r>
      <w:r>
        <w:t xml:space="preserve"> Narratives and framing have become central analytical tools in research on policy processes and shape the understanding of attention shifts, coalition dynamics, and policy change. Building on this dynamic, recent work has attempted to combine the analysis of narratives with institutional approaches (Schlaufer et al. 2022; Domorenok and Graziano 2023). In doing so, it has been recognized that narratives not only explain policy conflict, but also structure the rules and norms that govern collective action. This issue of Review of Policy Research (RPR) brings together recent contributions that advance both the theoretical foundations and practical applications of narrative and framing research. Together, the articles in this issue demonstrate that narratives and frames are not only key drivers of attention, conflict, and change in traditional policy arenas such as environmental or security policy, but also shape science communication, reputation management, and evidence use in policymaking. They highlight how narrative and framing approaches increasingly intersect with established policy process theories, as well as with methodological innovations ranging from network analysis to sentiment analysis, providing a unifying analytical lens for understanding complex policy dynamics. One of the most active debates within this broader landscape concerns how the Narrative Policy Framework</w:t>
      </w:r>
    </w:p>
    <w:p>
      <w:pPr/>
      <w:r>
        <w:rPr>
          <w:b/>
        </w:rPr>
        <w:t>POSSIBLE 2025:</w:t>
      </w:r>
      <w:r>
        <w:t xml:space="preserve"> Toward intelligence or ignorance? Performativity and uncertainty in government tech narratives — https://doi.org/10.1016/j.giq.2025.102032</w:t>
      </w:r>
    </w:p>
    <w:p>
      <w:pPr/>
      <w:r>
        <w:rPr>
          <w:b/>
        </w:rPr>
        <w:t>Shared claim-specific concepts:</w:t>
      </w:r>
      <w:r>
        <w:t xml:space="preserve"> narratives, narrative; EU scope not established. This is a provisional connection, not an outcome finding.</w:t>
      </w:r>
    </w:p>
    <w:p>
      <w:pPr>
        <w:pStyle w:val="SourceNote"/>
      </w:pPr>
      <w:r>
        <w:rPr>
          <w:b/>
        </w:rPr>
        <w:t>Available abstract (not full text):</w:t>
      </w:r>
      <w:r>
        <w:t xml:space="preserve"> Emerging technologies are often accompanied by optimistic “tech narratives” that emphasize their potential benefits to society. These narratives appear in various sources, including public policy documents, media coverage, and academic literature. However, identifying their origins and underlying rationale can be challenging. This paper addresses the research question (RQ): How can government tech narratives be traced and unveiled? To answer this question, we draw on the theoretical frameworks of “performativity” and “uncertainty assessment” to develop a two-step approach for investigating tech narratives. We apply this methodology to trace a narrative promoting the benefits of artificial intelligence (AI) in the Swedish public sector back to its source, an emerging government AI policy program. Our analysis reveals a hybridization of economic and political interests, as well as a recognized ignorance reflected in the lack of scrutiny of highly uncertain calculations. By presenting this two-step methodology for tracing and critically examining tech narratives, this paper makes a methodological contribution. In applying this approach, we also provide empirical insights into how tech narratives facilitate the materialization of technological infrastructures. • Emerging technologies are frequently accompanied by optimistic narratives in policy, media, and academic literature. • Th</w:t>
      </w:r>
    </w:p>
    <w:p>
      <w:pPr/>
      <w:r>
        <w:rPr>
          <w:b/>
        </w:rPr>
        <w:t>POSSIBLE 2025:</w:t>
      </w:r>
      <w:r>
        <w:t xml:space="preserve"> Patterns of Emotionalisation in Policy Narratives — https://openalex.org/W7111620421</w:t>
      </w:r>
    </w:p>
    <w:p>
      <w:pPr/>
      <w:r>
        <w:rPr>
          <w:b/>
        </w:rPr>
        <w:t>Shared claim-specific concepts:</w:t>
      </w:r>
      <w:r>
        <w:t xml:space="preserve"> narratives, narrative, opposing; EU scope visible. This is a provisional connection, not an outcome finding.</w:t>
      </w:r>
    </w:p>
    <w:p>
      <w:pPr>
        <w:pStyle w:val="SourceNote"/>
      </w:pPr>
      <w:r>
        <w:rPr>
          <w:b/>
        </w:rPr>
        <w:t>Available abstract (not full text):</w:t>
      </w:r>
      <w:r>
        <w:t xml:space="preserve"> We empirically explore the drive towards emotionalisation in policy narratives in a highly technical, yet polarised, policy debate: the Farm to Fork strategy (F2F) of the EU.We do so by leveraging the Narrative Policy Framework (NPF) and applying it to the official statements of the Hungarian Government (opposing F2F).We first develop expectations drawing on the literature.For example, we expect correlations between NPF categories and emotions.The villain should be associated with anger and fear, the victim with compassion-empathy, the hero with pride.The plot can have different emotional associations.The doomsday should be discursively represented to elicit fear.Next, we built a corpus of 53 narratives decomposed into 794 sentences.This corpus is coded first at the level of NPF categories, then for the presence-absence of emotions and, when present, the exact type of emotion.Human coding is benchmarked against a large language model developed in the MORES project.We find that Hungary articulates its F2F position with emotional narratives bereft of empirical substance.When it is politically feasible, Hungary goes for rhetorical entrapment, asking the Commission to account for the lack of evidence-based tests and impact studies.The association NPF category-emotion works well, especially at the level of characters like the hero, the victim, and the villain.Our findings contribute</w:t>
      </w:r>
    </w:p>
    <w:p>
      <w:pPr/>
      <w:r>
        <w:rPr>
          <w:b/>
        </w:rPr>
        <w:t>POSSIBLE 2025:</w:t>
      </w:r>
      <w:r>
        <w:t xml:space="preserve"> The Plastic Excise Policy Debate in Indonesia: A Narrative Policy Analysis ApproachThe Plastic Excise Policy Debate in Indonesia: A Narrative Policy Analysis Approach — https://doi.org/10.51505/ijebmr.2025.9523</w:t>
      </w:r>
    </w:p>
    <w:p>
      <w:pPr/>
      <w:r>
        <w:rPr>
          <w:b/>
        </w:rPr>
        <w:t>Shared claim-specific concepts:</w:t>
      </w:r>
      <w:r>
        <w:t xml:space="preserve"> narratives, stakeholders, narrative; EU scope not established. This is a provisional connection, not an outcome finding.</w:t>
      </w:r>
    </w:p>
    <w:p>
      <w:pPr>
        <w:pStyle w:val="SourceNote"/>
      </w:pPr>
      <w:r>
        <w:rPr>
          <w:b/>
        </w:rPr>
        <w:t>Available abstract (not full text):</w:t>
      </w:r>
      <w:r>
        <w:t xml:space="preserve"> The plastic excise policy in Indonesia has been a subject of debate since its proposal was submitted in 2016. This policy aims to reduce single-use plastic consumption and address the growing plastic waste problem. However, there are significant differences in opinion regarding its effectiveness and impact. This study uses Narrative Policy Analysis (NPA) to explore the policy’s narratives and counter-narratives articulated by policy actors, industry stakeholders, and the public. Using a post-positivist framework, this study analyzes the construction and framing of policy through discourse. Data were collected via media content analysis and document study, focusing on news articles and government publications from trusted sources between 2016 and 2025. The analysis identifies the dominant narrative supporting the policy, particularly from the Ministry of Finance, and the counter-narratives from the Ministry of Industry and various industry associations. Findings suggest that although the policy has strong support from civil society and environmental organizations, it faces opposition due to concerns about its impact on production costs and industry competitiveness. To resolve the tensions between these narratives, the study recommends a more inclusive policy development process and the integration of the plastic excise policy with a broader waste management strategy.</w:t>
      </w:r>
    </w:p>
    <w:p>
      <w:pPr>
        <w:pStyle w:val="Heading2"/>
      </w:pPr>
      <w:r>
        <w:t>569. A look into the future of the COVID-19 pandemic in Europe: an expert consultation</w:t>
      </w:r>
    </w:p>
    <w:p>
      <w:pPr>
        <w:pStyle w:val="SourceNote"/>
      </w:pPr>
      <w:r>
        <w:rPr>
          <w:b/>
        </w:rPr>
        <w:t>Original source (2021):</w:t>
      </w:r>
      <w:r>
        <w:t xml:space="preserve"> https://doi.org/10.1016/j.lanepe.2021.100185</w:t>
      </w:r>
    </w:p>
    <w:p>
      <w:pPr/>
      <w:r>
        <w:t>Original wording (abstract; indexed_source_text_not_full_document_verified): The challenges and developments will strongly depend on the progress of national and global vaccination programs, the emergence and spread of variants of concern (VOCs), and public responses to non-pharmaceutical interventions (NPIs). In autumn 2021, increased indoor activity might accelerate the spread again, whilst a necessary reintroduction of NPIs might be too slow.</w:t>
      </w:r>
    </w:p>
    <w:p>
      <w:pPr/>
      <w:r>
        <w:rPr>
          <w:b/>
        </w:rPr>
        <w:t>POSSIBLE 2026:</w:t>
      </w:r>
      <w:r>
        <w:t xml:space="preserve"> Environmental leadership as a strategic foundation of public policy and community governance in the context of Ukraine’s european integration progress, implementation of sustainable development principles, and national security challenges — https://doi.org/10.32782/2310-9653-2026-1.16</w:t>
      </w:r>
    </w:p>
    <w:p>
      <w:pPr/>
      <w:r>
        <w:rPr>
          <w:b/>
        </w:rPr>
        <w:t>Shared claim-specific concepts:</w:t>
      </w:r>
      <w:r>
        <w:t xml:space="preserve"> challenges, progress, national; EU scope visible. This is a provisional connection, not an outcome finding.</w:t>
      </w:r>
    </w:p>
    <w:p>
      <w:pPr>
        <w:pStyle w:val="SourceNote"/>
      </w:pPr>
      <w:r>
        <w:rPr>
          <w:b/>
        </w:rPr>
        <w:t>Available abstract (not full text):</w:t>
      </w:r>
      <w:r>
        <w:t xml:space="preserve"> УКРАЇНСЬКИЙ КОНТЕКСТ ТА</w:t>
      </w:r>
    </w:p>
    <w:p>
      <w:pPr/>
      <w:r>
        <w:rPr>
          <w:b/>
        </w:rPr>
        <w:t>POSSIBLE 2026:</w:t>
      </w:r>
      <w:r>
        <w:t xml:space="preserve"> TiAl alloys： progress， properties， and challenges — https://doi.org/10.11868/j.issn.1001-4381.2026.000126</w:t>
      </w:r>
    </w:p>
    <w:p>
      <w:pPr/>
      <w:r>
        <w:rPr>
          <w:b/>
        </w:rPr>
        <w:t>Shared claim-specific concepts:</w:t>
      </w:r>
      <w:r>
        <w:t xml:space="preserve"> challenges, progress, national, programs; EU scope visible. This is a provisional connection, not an outcome finding.</w:t>
      </w:r>
    </w:p>
    <w:p>
      <w:pPr>
        <w:pStyle w:val="SourceNote"/>
      </w:pPr>
      <w:r>
        <w:rPr>
          <w:b/>
        </w:rPr>
        <w:t>Available abstract (not full text):</w:t>
      </w:r>
      <w:r>
        <w:t xml:space="preserve"> TiAl alloys have become key materials for weight reduction and performance enhancement in aero-engines due to their low density， excellent high-temperature strength， and oxidation resistance. However， their room-temperature brittleness and low damage tolerance have long constrained their engineering applications. This paper systematically reviews the development history of TiAl alloys since the 1970s， covering the evolution of material characteristics， major scientific research programs， and progress in engineering applications. Through successive fundamental research projects， the United States and Europe have systematically addressed critical scientific issues such as casting processes， microstructural control， and property evaluation， laying the foundation for the application of GEnx engine blades. Since the 12th Five-Year Plan period， through systematic development under national science and technology programs such as the National Basic Research Program and the National Key Research and Development Program， China has overcome key technological bottlenecks， including the independent development of high-Nb alloy systems and the near-net shaping of full-scale blades， thereby establishing a complete full-chain technological system. Although TiAl alloy design has now evolved to the third generation， achieving fine-grained microstructures and compatibility with conventional forg</w:t>
      </w:r>
    </w:p>
    <w:p>
      <w:pPr/>
      <w:r>
        <w:rPr>
          <w:b/>
        </w:rPr>
        <w:t>POSSIBLE 2026:</w:t>
      </w:r>
      <w:r>
        <w:t xml:space="preserve"> Aligning regional development processes in the Republic of Moldova with European Union standards and practices: perspectives and challenges — https://doi.org/10.59295/dnwe2025.13</w:t>
      </w:r>
    </w:p>
    <w:p>
      <w:pPr/>
      <w:r>
        <w:rPr>
          <w:b/>
        </w:rPr>
        <w:t>Shared claim-specific concepts:</w:t>
      </w:r>
      <w:r>
        <w:t xml:space="preserve"> challenges, progress, national; EU scope visible. This is a provisional connection, not an outcome finding.</w:t>
      </w:r>
    </w:p>
    <w:p>
      <w:pPr>
        <w:pStyle w:val="SourceNote"/>
      </w:pPr>
      <w:r>
        <w:rPr>
          <w:b/>
        </w:rPr>
        <w:t>Available abstract (not full text):</w:t>
      </w:r>
      <w:r>
        <w:t xml:space="preserve"> Purpose of the article: The article aims to analyze the prospects for aligning regional development processes in the Republic of Moldova with the standards and practices of the European Union, emphasizing their economic, institutional, and social implications. The main objective is to highlight both the opportunities arising from the approximation to the European model and the challenges inherent in this process of convergence. Methodology: The research is based on a comparative analysis of European and national strategic documents, recent statistical studies provided by the National Bureau of Statistics and Eurostat, as well as qualitative methods for interpreting public policies. The study applies SWOT analysis and benchmarking techniques to assess the degree of compatibility between Moldovan regional policies and the European cohesion framework. Conclusions: The findings indicate that the Republic of Moldova has a significant potential for convergence with European Union practices, although progress remains uneven across regions. The main challenges include institutional fragmentation, underdeveloped infrastructure, and pronounced territorial disparities. At the same time, alignment with EU standards creates opportunities for attracting investment, developing SMEs, and strengthening social cohesion. Originality: The paper contributes to the specialized literature through an </w:t>
      </w:r>
    </w:p>
    <w:p>
      <w:pPr/>
      <w:r>
        <w:rPr>
          <w:b/>
        </w:rPr>
        <w:t>POSSIBLE 2026:</w:t>
      </w:r>
      <w:r>
        <w:t xml:space="preserve"> Modern challenges, risks and threats to the European Union — https://doi.org/10.5937/bezbednost2601147i</w:t>
      </w:r>
    </w:p>
    <w:p>
      <w:pPr/>
      <w:r>
        <w:rPr>
          <w:b/>
        </w:rPr>
        <w:t>Shared claim-specific concepts:</w:t>
      </w:r>
      <w:r>
        <w:t xml:space="preserve"> challenges, strongly, depend; EU scope visible. This is a provisional connection, not an outcome finding.</w:t>
      </w:r>
    </w:p>
    <w:p>
      <w:pPr>
        <w:pStyle w:val="SourceNote"/>
      </w:pPr>
      <w:r>
        <w:rPr>
          <w:b/>
        </w:rPr>
        <w:t>Available abstract (not full text):</w:t>
      </w:r>
      <w:r>
        <w:t xml:space="preserve"> The European Union is a unique economic, political and values-based community that has developed into a global actor with increasingly pronounced security ambitions over the past decades. However, in the modern era, the EU faces complex and multifaceted challenges that go beyond the framework of traditional security policy. New forms of threats – such as hybrid and cyber attacks, terrorism, organized crime, energy dependence, climate change and migration crises – have led to the need for a systemic redefinition of the Union’s security strategy. These phenomena are no longer isolated, but interconnected and often intertwined with economic, political and social factors, making security a key foundation for the functioning of the community itself. A special place in the paper is given to the analysis of the consequences of the war in Ukraine, which fundamentally shook the European security architecture and marked a turning point in the EU’s foreign and defense policy. The Russian aggression in 2022 led to a serious rethinking of the concept of European security, revealing the limitations of existing common defense mechanisms and the Union’s dependence on the United States. As a result of this conflict, the fragmentation among member states, different perceptions of threats and disagreements about the degree of necessary integration in the field of defense are increasingly visible.</w:t>
      </w:r>
    </w:p>
    <w:p>
      <w:pPr/>
      <w:r>
        <w:rPr>
          <w:b/>
        </w:rPr>
        <w:t>POSSIBLE 2026:</w:t>
      </w:r>
      <w:r>
        <w:t xml:space="preserve"> Current geopolitical risks as challenges and opportunities for European unity — https://doi.org/10.60054/peu.2026.13.13-19</w:t>
      </w:r>
    </w:p>
    <w:p>
      <w:pPr/>
      <w:r>
        <w:rPr>
          <w:b/>
        </w:rPr>
        <w:t>Shared claim-specific concepts:</w:t>
      </w:r>
      <w:r>
        <w:t xml:space="preserve"> challenges, depend; EU scope visible. This is a provisional connection, not an outcome finding.</w:t>
      </w:r>
    </w:p>
    <w:p>
      <w:pPr>
        <w:pStyle w:val="SourceNote"/>
      </w:pPr>
      <w:r>
        <w:rPr>
          <w:b/>
        </w:rPr>
        <w:t>Available abstract (not full text):</w:t>
      </w:r>
      <w:r>
        <w:t xml:space="preserve"> This paper examines the impact of contemporary geopolitical crises on European integration through a historical and analytical perspective inspired by Jean Monnet’s statement that Europe is built through crises. It argues that crises have produced three distinct types of outcomes: incremental integration, fragmentation, and profound transformation. By comparing historical experiences with current geopolitical challenges, the paper demonstrates that Russia’s war against Ukraine, growing global instability, and the changing transatlantic relationship are accelerating the European Union’s evolution into a geopolitical actor. The study contends that European sovereignty, particularly in the fields of security and defence, is emerging as the next stage of integration. However, the success of thistransformation will depend not only on institutional reforms and financial resources but also on political leadership, sustained unity among Member States, and the development of a stronger European identity capable of securing citizens’ support for the Union’s geopolitical ambitions.</w:t>
      </w:r>
    </w:p>
    <w:p>
      <w:pPr/>
      <w:r>
        <w:rPr>
          <w:b/>
        </w:rPr>
        <w:t>POSSIBLE 2026:</w:t>
      </w:r>
      <w:r>
        <w:t xml:space="preserve"> STRATEGIC CHALLENGES AND PROSPECTS FOR THE DEVELOPMENT OF THE UKRAINIAN AVIATION MARKET UNDER CONDITIONS OF CLOSED AIRSPACE AND EUROPEAN INTEGRATION — https://doi.org/10.15802/rtem2026/359783</w:t>
      </w:r>
    </w:p>
    <w:p>
      <w:pPr/>
      <w:r>
        <w:rPr>
          <w:b/>
        </w:rPr>
        <w:t>Shared claim-specific concepts:</w:t>
      </w:r>
      <w:r>
        <w:t xml:space="preserve"> challenges, national; EU scope visible. This is a provisional connection, not an outcome finding.</w:t>
      </w:r>
    </w:p>
    <w:p>
      <w:pPr>
        <w:pStyle w:val="SourceNote"/>
      </w:pPr>
      <w:r>
        <w:rPr>
          <w:b/>
        </w:rPr>
        <w:t>Available abstract (not full text):</w:t>
      </w:r>
      <w:r>
        <w:t xml:space="preserve"> Purpose. The purpose of the article is to identify the strategic challenges and prospects for the development of the Ukrainian aviation market under conditions of closed airspace and European integration, as well as to substantiate directions for its recovery and adaptation to a competitive environment. Methodology. The methodology of the article is based on a systemic and comparative analysis of the Ukrainian and European aviation markets, a review of academic publications and industry reports, and the application of SWOT analysis to identify risks, opportunities, and threats to the development of Ukrainian airlines and airports. In addition, the study employs structural-logical, statistical, and forecasting approaches to assess the impact of closed airspace, integration into the European Common Aviation Area, and to formulate recommendations for supporting the industry. Results. The results of the study show that the closure of Ukrainian airspace has caused a significant transformation of the national aviation market, forcing airlines to shift to alternative business models, including ACMI leasing and operations from foreign bases. It has been established that integration into the European Common Aviation Area creates both new opportunities for market liberalization and threats due to stronger competition from major European carriers. The study demonstrates that the further d</w:t>
      </w:r>
    </w:p>
    <w:p>
      <w:pPr/>
      <w:r>
        <w:rPr>
          <w:b/>
        </w:rPr>
        <w:t>POSSIBLE 2026:</w:t>
      </w:r>
      <w:r>
        <w:t xml:space="preserve"> Harmonization of fiscal control mechanisms of the Republic of Moldova with european standards - development directions and challenges — https://doi.org/10.53486/mfsne2025.22</w:t>
      </w:r>
    </w:p>
    <w:p>
      <w:pPr/>
      <w:r>
        <w:rPr>
          <w:b/>
        </w:rPr>
        <w:t>Shared claim-specific concepts:</w:t>
      </w:r>
      <w:r>
        <w:t xml:space="preserve"> challenges, progress, national, activity; EU scope visible. This is a provisional connection, not an outcome finding.</w:t>
      </w:r>
    </w:p>
    <w:p>
      <w:pPr>
        <w:pStyle w:val="SourceNote"/>
      </w:pPr>
      <w:r>
        <w:rPr>
          <w:b/>
        </w:rPr>
        <w:t>Available abstract (not full text):</w:t>
      </w:r>
      <w:r>
        <w:t xml:space="preserve"> This study examines the process of harmonizing the fiscal control mechanisms in the Republic of Moldova with European standards, focusing on the main development directions and the challenges that continue to influence this path. The research starts from the premise that effective approximation to the European principles of fiscal administration cannot be reduced to simple regulatory compatibility, but implies measurable progress in the organization, efficiency and quality of fiscal control practices. The purpose of the study is to assess the degree of convergence between the national fiscal control framework and the relevant European requirements, as well as to identify institutional and procedural areas that require further adjustments. The research is empirical and analytical in nature and is based on the examination of official sources of a normative, institutional and statistical nature. In this regard, data from public reports and administrative sources on tax control activity are used, including the dynamics of tax controls, the evolution of additionally calculated tax obligations, the role of risk-based selection, as well as the general trends in the modernization and digitalization of tax administration. These data are interpreted through comparative, logical and synthesis methods, in correlation with the fundamental European principles of proportionality, transparency</w:t>
      </w:r>
    </w:p>
    <w:p>
      <w:pPr/>
      <w:r>
        <w:rPr>
          <w:b/>
        </w:rPr>
        <w:t>POSSIBLE 2025:</w:t>
      </w:r>
      <w:r>
        <w:t xml:space="preserve"> PROGRESS IN THE DEVELOPMENT OF THE EUROPEAN EDUCATION AREA: RESULTS OF THE INTERIM EVALUATION — https://doi.org/10.32987/2617-8532-2025-3-94-106</w:t>
      </w:r>
    </w:p>
    <w:p>
      <w:pPr/>
      <w:r>
        <w:rPr>
          <w:b/>
        </w:rPr>
        <w:t>Shared claim-specific concepts:</w:t>
      </w:r>
      <w:r>
        <w:t xml:space="preserve"> challenges, progress, national; EU scope visible. This is a provisional connection, not an outcome finding.</w:t>
      </w:r>
    </w:p>
    <w:p>
      <w:pPr>
        <w:pStyle w:val="SourceNote"/>
      </w:pPr>
      <w:r>
        <w:rPr>
          <w:b/>
        </w:rPr>
        <w:t>Available abstract (not full text):</w:t>
      </w:r>
      <w:r>
        <w:t xml:space="preserve"> The paper substantiates the relevance of studying the integration of the Ukrainian education system into the European Education Area in the context of Ukraine’s obtaining EU candidate status in 2022 and the beginning of harmonisation of the national legal system with the "acquis communautaire". The purpose of the article is to analyse the progress in the development of the European Education Area, which is proclaimed as the goal of European cooperation in the document "Strategic Framework for European Cooperation in Education and Training towards a European Education Area and Beyond (2021-2030)". The main attention is paid to understanding the concept of the Strategic Framework as a governance tool used by the EU to manage this cooperation by defining its goals and strategies for achieving them. To achieve the stated aim, the method of analysing key EU documents regulating the legal framework and determining the directions of educational cooperation was applied. The analysis of monographic studies has enabled an understanding of the nature of the academic discourse on the outlined issue. The paper reveals the positive trends demonstrated by national education systems on the path towards building the European Education Area, even in the face of unpredictable challenges. It is stated that the effectiveness of the current Strategic Framework is ensured by its format as an integral</w:t>
      </w:r>
    </w:p>
    <w:p>
      <w:pPr/>
      <w:r>
        <w:rPr>
          <w:b/>
        </w:rPr>
        <w:t>POSSIBLE 2025:</w:t>
      </w:r>
      <w:r>
        <w:t xml:space="preserve"> Control of HIV across the WHO European region: progress and remaining challenges — https://doi.org/10.1016/j.lanepe.2025.101243</w:t>
      </w:r>
    </w:p>
    <w:p>
      <w:pPr/>
      <w:r>
        <w:rPr>
          <w:b/>
        </w:rPr>
        <w:t>Shared claim-specific concepts:</w:t>
      </w:r>
      <w:r>
        <w:t xml:space="preserve"> challenges, progress; EU scope visible. This is a provisional connection, not an outcome finding.</w:t>
      </w:r>
    </w:p>
    <w:p>
      <w:pPr>
        <w:pStyle w:val="SourceNote"/>
      </w:pPr>
      <w:r>
        <w:rPr>
          <w:b/>
        </w:rPr>
        <w:t>Available abstract (not full text):</w:t>
      </w:r>
      <w:r>
        <w:t xml:space="preserve"> Despite the ambitious global goal to control HIV transmissions by 2030, more than 30% of people with HIV from the WHO European Region show persistent transmissible levels of the virus. Successful introduction of oral pre-exposure prophylaxis (PrEP) has led to significant decreases in new HIV transmissions in some areas of Europe, particularly among men who have sex with men. However, the limited PrEP access or lack of state funding in many European countries underlines the need to increase efforts to make PrEP consistently and equitably available for all individuals in need. The success of modern antiretroviral therapy (ART) is evident throughout the WHO European region, with more than 90% of treated individuals with viral suppression. Remaining barriers to control HIV include disparities in access to testing facilities such as community-based centers, persistently high levels of late diagnosis, delayed linkage to care especially for undocumented migrant populations, and inequalities in access to treatment. Retention in care and maintenance of viral suppression are additional challenges. The ongoing war in Ukraine is causing service disruption for people with HIV. Combating HIV associated stigma and discrimination, particularly in Eastern Europe and Central Asia, seems paramount in removing barriers to testing; new testing strategies, such as emergency room opt-out testing, cou</w:t>
      </w:r>
    </w:p>
    <w:p>
      <w:pPr/>
      <w:r>
        <w:rPr>
          <w:b/>
        </w:rPr>
        <w:t>POSSIBLE 2025:</w:t>
      </w:r>
      <w:r>
        <w:t xml:space="preserve"> Quantitative Indicators for Open Research Data: National Monitoring and Development Challenges — https://doi.org/10.6084/m9.figshare.30751973</w:t>
      </w:r>
    </w:p>
    <w:p>
      <w:pPr/>
      <w:r>
        <w:rPr>
          <w:b/>
        </w:rPr>
        <w:t>Shared claim-specific concepts:</w:t>
      </w:r>
      <w:r>
        <w:t xml:space="preserve"> challenges, progress, national; EU scope visible. This is a provisional connection, not an outcome finding.</w:t>
      </w:r>
    </w:p>
    <w:p>
      <w:pPr>
        <w:pStyle w:val="SourceNote"/>
      </w:pPr>
      <w:r>
        <w:rPr>
          <w:b/>
        </w:rPr>
        <w:t>Available abstract (not full text):</w:t>
      </w:r>
      <w:r>
        <w:t xml:space="preserve"> This presentation explores the current and proposed quantitative indicators for research data in the national monitoring and their development process. It reviews the discussion in the National Open Science and Research Steering Group and assesses the maturity and suitability of these indicators for evaluating the advancement of the policy component on open access to research data.The Declaration for Open Science and Research (2025–2030) and the supporting policies guide Finland’s open science efforts. The development is assessed with the national monitoring model that tracks progress against objectives and actions related to the culture for open scholarship, research data, methods and infrastructures, publishing, and education. Assessment is divided into four ways of promoting: policy documents, services, collaboration and outputs. Monitoring draws on data from the Finnish Research Information Hub, complemented by a survey addressed to research performing organisations. The survey gathers information especially on the policy documents, services and collaboration.The model allows for the introduction of new indicators as national and international data sources evolve.Quantitative indicators for research data are a major challenge in the monitoring model. These indicators remain underdeveloped. There is a lack of reliable and comprehensive data sources for this information. None</w:t>
      </w:r>
    </w:p>
    <w:p>
      <w:pPr/>
      <w:r>
        <w:rPr>
          <w:b/>
        </w:rPr>
        <w:t>POSSIBLE 2025:</w:t>
      </w:r>
      <w:r>
        <w:t xml:space="preserve"> Artificial intelligence regulation in the European Union: regression or progress? — https://openalex.org/W7154551769</w:t>
      </w:r>
    </w:p>
    <w:p>
      <w:pPr/>
      <w:r>
        <w:rPr>
          <w:b/>
        </w:rPr>
        <w:t>Shared claim-specific concepts:</w:t>
      </w:r>
      <w:r>
        <w:t xml:space="preserve"> challenges, depend, progress, national; EU scope visible. This is a provisional connection, not an outcome finding.</w:t>
      </w:r>
    </w:p>
    <w:p>
      <w:pPr>
        <w:pStyle w:val="SourceNote"/>
      </w:pPr>
      <w:r>
        <w:rPr>
          <w:b/>
        </w:rPr>
        <w:t>Available abstract (not full text):</w:t>
      </w:r>
      <w:r>
        <w:t xml:space="preserve"> The rapid development of artificial intelligence can help transform national economies by increasing productivity, ensuring the quality and availability of services, helping businesses and public administrations to optimise their operations, and making it easier to identify stakeholder needs and opportunities for service development. However, such development can also have negative consequences for the economy through job transformation and risks related to the protection of ethics, security and privacy.The paper analyses the European Union's Artificial Intelligence (AI) Act to assess whether its regulation represents progress or, on the contrary, limits the development of technology. The main focus is on the content of the AI Act and its possible consequences for society and stakeholders. The analysis of legal documents and scientific literature highlights the main regulatory principles, risk categories and obligations. It is also found that the purpose of the AI Act is to promote the development of human-centred and reliable artificial intelligence by supporting innovation, but that the impact of such regulation on the development of AI may present additional challenges. The paper concludes that while the AI Act is a progressive legislative step - the world's first horizontal regulatory framework for AI - its success will depend on the sustainability and proportionality of pr</w:t>
      </w:r>
    </w:p>
    <w:p>
      <w:pPr/>
      <w:r>
        <w:rPr>
          <w:b/>
        </w:rPr>
        <w:t>POSSIBLE 2025:</w:t>
      </w:r>
      <w:r>
        <w:t xml:space="preserve"> Popularization Education and National Progress: Real Challenges and Future Outlook — https://doi.org/10.70693/itphss.v2i1.19</w:t>
      </w:r>
    </w:p>
    <w:p>
      <w:pPr/>
      <w:r>
        <w:rPr>
          <w:b/>
        </w:rPr>
        <w:t>Shared claim-specific concepts:</w:t>
      </w:r>
      <w:r>
        <w:t xml:space="preserve"> challenges, progress, national, interventions; EU scope not established. This is a provisional connection, not an outcome finding.</w:t>
      </w:r>
    </w:p>
    <w:p>
      <w:pPr>
        <w:pStyle w:val="SourceNote"/>
      </w:pPr>
      <w:r>
        <w:rPr>
          <w:b/>
        </w:rPr>
        <w:t>Available abstract (not full text):</w:t>
      </w:r>
      <w:r>
        <w:t xml:space="preserve"> This paper discusses the key role of universal education in promoting national development and solving occupational maladjustment. Emphasizing the influence of education on economic growth, social stability, innovation and cultural protection is very important for improving national competitiveness and sustainable development. This research has been widely investigated in all parts of China, which proves that education can improve skills, promote social harmony, stimulate creativity and protect cultural heritage. However, an important problem is the dislocation between episode and professional role, which wastes human capital and reduces the return on education and investment. In order to meet these challenges, the article suggests combining educational courses with the needs of the labor market to reduce the unsatisfactory majors.we concluded that emphasizes the quality and relevance of education to ensure that learners acquire relevant skills. Promoting life, study and training can enhance the adaptability and resilience of labor. These strategic interventions are aimed at creating an effective education system to promote economic prospects and enable individuals to develop their full potential. These measures have enhanced national competitiveness and are essential for long-term sustainable development.</w:t>
      </w:r>
    </w:p>
    <w:p>
      <w:pPr>
        <w:pStyle w:val="Heading2"/>
      </w:pPr>
      <w:r>
        <w:t>570. Above the Fog and the Fury: EU Strategic Policy Planning and the EU’s Future in Times of Global Uncertainty</w:t>
      </w:r>
    </w:p>
    <w:p>
      <w:pPr>
        <w:pStyle w:val="SourceNote"/>
      </w:pPr>
      <w:r>
        <w:rPr>
          <w:b/>
        </w:rPr>
        <w:t>Original source (2021):</w:t>
      </w:r>
      <w:r>
        <w:t xml:space="preserve"> https://doi.org/10.54648/eerr2021005</w:t>
      </w:r>
    </w:p>
    <w:p>
      <w:pPr/>
      <w:r>
        <w:t>Original wording (abstract; indexed_source_text_not_full_document_verified): Put simply, strategic planning and strategic foresight are disciplines that aim at identifying possible futures, mapping options and charting possible responses and strategic goals and as such support informed and sound policy-making.</w:t>
      </w:r>
    </w:p>
    <w:p>
      <w:pPr/>
      <w:r>
        <w:rPr>
          <w:b/>
        </w:rPr>
        <w:t>POSSIBLE 2026:</w:t>
      </w:r>
      <w:r>
        <w:t xml:space="preserve"> Comparing Intelligence and Foresight: Fraternal Twins? — https://doi.org/10.1007/978-3-032-11892-9_4</w:t>
      </w:r>
    </w:p>
    <w:p>
      <w:pPr/>
      <w:r>
        <w:rPr>
          <w:b/>
        </w:rPr>
        <w:t>Shared claim-specific concepts:</w:t>
      </w:r>
      <w:r>
        <w:t xml:space="preserve"> foresight, aim, support; EU scope not established. This is a provisional connection, not an outcome finding.</w:t>
      </w:r>
    </w:p>
    <w:p>
      <w:pPr>
        <w:pStyle w:val="SourceNote"/>
      </w:pPr>
      <w:r>
        <w:rPr>
          <w:b/>
        </w:rPr>
        <w:t>Available abstract (not full text):</w:t>
      </w:r>
      <w:r>
        <w:t xml:space="preserve"> The main objective of this article is to examine the similarities and differences between intelligence and foresight. To achieve this, the study combines an analysis of their historical roots, theoretical definitions, epistemological foundations and operational processes with a systematic literature review of academic publications in both fields. Both intelligence and foresight aim to inform decision making under conditions of uncertainty by producing anticipatory knowledge, though they also differ in some important respects. The literature review reveals that, while overlap in their practical applications is acknowledged, explicit theoretical integration between the two remains limited. The findings support the view that intelligence and foresight share much in common but are not identical. The article calls for greater cross-disciplinary engagement to foster mutual learning and strengthen anticipatory capacity in policy and security contexts.</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strategic, foresight, possible;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2025:</w:t>
      </w:r>
      <w:r>
        <w:t xml:space="preserve"> Foresight in heritage: fostering future consciousness to proactively face change — https://doi.org/10.1108/jchmsd-12-2024-0298</w:t>
      </w:r>
    </w:p>
    <w:p>
      <w:pPr/>
      <w:r>
        <w:rPr>
          <w:b/>
        </w:rPr>
        <w:t>Shared claim-specific concepts:</w:t>
      </w:r>
      <w:r>
        <w:t xml:space="preserve"> strategic, planning, foresight, disciplines; EU scope visible. This is a provisional connection, not an outcome finding.</w:t>
      </w:r>
    </w:p>
    <w:p>
      <w:pPr>
        <w:pStyle w:val="SourceNote"/>
      </w:pPr>
      <w:r>
        <w:rPr>
          <w:b/>
        </w:rPr>
        <w:t>Available abstract (not full text):</w:t>
      </w:r>
      <w:r>
        <w:t xml:space="preserve"> Purpose This paper introduces Foresight as a structured approach that is increasingly employed across industries and disciplines for anticipating future change and proposes its utility for the heritage sector. We illustrate how integrating greater Foresight into heritage practice can encourage proactive engagement with emerging trends; develop resilient strategies for heritage research, planning and management; and locate where heritage-based actions can bring transformative change for both communities and societies. Design/methodology/approach This paper presents research undertaken as part of the Alliance for Cultural Heritage Research in Europe (ARCHE) to inform a new Strategic Research and Innovation Agenda. We analysed foresight and future-oriented publications from a range of disciplines to consolidate insights on current and emerging trends across sectors and global regions and to understand the heritage sector's engagement with Foresight approaches thus far. Findings The analysis identifies several drivers shaping our existing and future landscape and their implications for heritage research and practice. It also highlights opportunities for action where heritage can have a vital role in shaping futures and catalysing societal benefits. To conclude, the paper discusses gaps in the current body of heritage foresight research and identifies avenues to produce a more robus</w:t>
      </w:r>
    </w:p>
    <w:p>
      <w:pPr/>
      <w:r>
        <w:rPr>
          <w:b/>
        </w:rPr>
        <w:t>POSSIBLE 2025:</w:t>
      </w:r>
      <w:r>
        <w:t xml:space="preserve"> The New Anticipatory Governance Culture for Innovation: Regulatory Foresight, Regulatory Experimentation and Regulatory Learning — https://doi.org/10.1007/s40804-025-00348-7</w:t>
      </w:r>
    </w:p>
    <w:p>
      <w:pPr/>
      <w:r>
        <w:rPr>
          <w:b/>
        </w:rPr>
        <w:t>Shared claim-specific concepts:</w:t>
      </w:r>
      <w:r>
        <w:t xml:space="preserve"> put, strategic, foresight; EU scope visible. This is a provisional connection, not an outcome finding.</w:t>
      </w:r>
    </w:p>
    <w:p>
      <w:pPr>
        <w:pStyle w:val="SourceNote"/>
      </w:pPr>
      <w:r>
        <w:rPr>
          <w:b/>
        </w:rPr>
        <w:t>Available abstract (not full text):</w:t>
      </w:r>
      <w:r>
        <w:t xml:space="preserve"> Abstract With the rapid pace of technological innovation, traditional methods of policy formation and legislating are becoming conspicuously anachronistic. The need for regulatory choices to be made to counter the deadening effect of regulatory lag is more important to developing markets and fostering growth than achieving one-off regulatory perfection. This article advances scholarship on innovation policy and the regulation of technological innovation in the European Union. It does so by considering what building an agile yet robust anticipatory governance regulatory culture involves. It systematically excavates a variety of tools and elements that are being put to use in inventive ways and argues that these need to be more cohesively and systemically integrated into jurisdictions’ regulatory toolbox. Approaches covered include strategic foresight, the critical embrace of iterative policy development and regulatory learning in the face of uncertainty, and the embrace of bottom-up approaches to co-creation of policy such as policy labs and the testing and regulatory learning through pilot regulation and experimentation. The growing use of regulatory sandboxes as an EU policy tool to boost innovation and navigate regulatory complexity, as seen in the EU AI Act, is also probed.</w:t>
      </w:r>
    </w:p>
    <w:p>
      <w:pPr/>
      <w:r>
        <w:rPr>
          <w:b/>
        </w:rPr>
        <w:t>POSSIBLE 2025:</w:t>
      </w:r>
      <w:r>
        <w:t xml:space="preserve"> On the role of intelligence and business wargaming in developing foresight — https://doi.org/10.1080/09537325.2025.2506122</w:t>
      </w:r>
    </w:p>
    <w:p>
      <w:pPr/>
      <w:r>
        <w:rPr>
          <w:b/>
        </w:rPr>
        <w:t>Shared claim-specific concepts:</w:t>
      </w:r>
      <w:r>
        <w:t xml:space="preserve"> strategic, foresight, identifying, support; EU scope not established. This is a provisional connection, not an outcome finding.</w:t>
      </w:r>
    </w:p>
    <w:p>
      <w:pPr>
        <w:pStyle w:val="SourceNote"/>
      </w:pPr>
      <w:r>
        <w:rPr>
          <w:b/>
        </w:rPr>
        <w:t>Available abstract (not full text):</w:t>
      </w:r>
      <w:r>
        <w:t xml:space="preserve"> Business wargaming is a central tool for developing sustaining strategies. It transfers the benefits of traditional wargaming to the business environment. However, building wargames that support the process of decision-making for strategy require respective intelligence. This paper investigates the role of intelligence in the process of developing strategic foresight. The focus is on how intelligence is developed and how it relates to business wargaming. The so-called intelligence cycle is the basis and reference of our investigation. The conceptual part of the paper combines the theoretical background from military, business as well as serious gaming. To elaborate on some of the lessons learned, we examine specific business wargames both drawn from literature and conducted by us at the Center for Intelligence and Security Studies (CISS). It is shown that business wargaming can significantly contribute to competitive intelligence (CI) by identifying missing information and by transforming data into actionable intelligence. Furthermore, it bridges the gap from CI to a strategy by either testing or developing a new strategy.</w:t>
      </w:r>
    </w:p>
    <w:p>
      <w:pPr/>
      <w:r>
        <w:rPr>
          <w:b/>
        </w:rPr>
        <w:t>POSSIBLE 2024:</w:t>
      </w:r>
      <w:r>
        <w:t xml:space="preserve"> An in-depth multivariate analysis of PM2.5 concentration and associated premature deaths in Europe and its strategic relationship with sustainability — https://doi.org/10.1016/j.acags.2024.100184</w:t>
      </w:r>
    </w:p>
    <w:p>
      <w:pPr/>
      <w:r>
        <w:rPr>
          <w:b/>
        </w:rPr>
        <w:t>Shared claim-specific concepts:</w:t>
      </w:r>
      <w:r>
        <w:t xml:space="preserve"> strategic, identifying, goals; EU scope visible. This is a provisional connection, not an outcome finding.</w:t>
      </w:r>
    </w:p>
    <w:p>
      <w:pPr>
        <w:pStyle w:val="SourceNote"/>
      </w:pPr>
      <w:r>
        <w:rPr>
          <w:b/>
        </w:rPr>
        <w:t>Available abstract (not full text):</w:t>
      </w:r>
      <w:r>
        <w:t xml:space="preserve"> The strategic importance of sustainability is evident when it comes, for example, to health. Public policies aimed at mitigating the effects of harmful substances, such as fine particulate matter (PM 2.5), are justified by the direct link between fine particulate matter and the health of citizens, in this case, premature deaths. An advanced statistical and exhaustive analysis of different areas and countries shows a strong link between exposure to PM2.5, premature deaths in other countries, and significant differences in PM2.5 levels between urban and rural areas. Although PM2.5 concentration has decreased in most countries studied, this effort must be continued and aligned with the Sustainable Development Goals of the 2030 Agenda, underlining the need to implement effective air pollution control policies to reduce the health risks associated with PM2.5 exposure. To this end, identifying temporal trends and geographical patterns can guide the development of specific interventions tailored to the needs of each region.</w:t>
      </w:r>
    </w:p>
    <w:p>
      <w:pPr/>
      <w:r>
        <w:rPr>
          <w:b/>
        </w:rPr>
        <w:t>POSSIBLE 2023:</w:t>
      </w:r>
      <w:r>
        <w:t xml:space="preserve"> Foresight through developing shared mental models: The case of Triple Access Planning — https://doi.org/10.1016/j.futures.2023.103295</w:t>
      </w:r>
    </w:p>
    <w:p>
      <w:pPr/>
      <w:r>
        <w:rPr>
          <w:b/>
        </w:rPr>
        <w:t>Shared claim-specific concepts:</w:t>
      </w:r>
      <w:r>
        <w:t xml:space="preserve"> planning, foresight, possible; EU scope not established. This is a provisional connection, not an outcome finding.</w:t>
      </w:r>
    </w:p>
    <w:p>
      <w:pPr>
        <w:pStyle w:val="SourceNote"/>
      </w:pPr>
      <w:r>
        <w:rPr>
          <w:b/>
        </w:rPr>
        <w:t>Available abstract (not full text):</w:t>
      </w:r>
      <w:r>
        <w:t xml:space="preserve"> Planning for the future involves making sense of the present and examining possible changes in key factors that can influence the future. Actors rely upon mental models of the system that planning addresses: their simplified interpretations of the makeup of system elements and element interactions that together determine how the system works. It follows that a helpful foundation for strong planning is to develop a shared mental model among actors of the system of interest in the present and use this in turn to create mental models of possible futures for the system (scenarios). This paper presents a methodology for doing this that incorporates co-creation of causal loop diagrams that turn inform development of scenarios. The paper then applies the methodology to offer more insight to the approach, using the case of the Triple Access System and in turn Triple Access Planning. Triple access refers to the transport, land-use and telecommunications systems which each provide different and inter-related means for being able to reach people, employment, goods, services and opportunities which underpins economic prosperity and social wellbeing. The paper highlights how thinking is an important and integral part of planning, especially when dealing with uncertainty in a complex system.</w:t>
      </w:r>
    </w:p>
    <w:p>
      <w:pPr/>
      <w:r>
        <w:rPr>
          <w:b/>
        </w:rPr>
        <w:t>POSSIBLE 2023:</w:t>
      </w:r>
      <w:r>
        <w:t xml:space="preserve"> Security in Central and Eastern Europe in a period of strategic shocks — https://doi.org/10.5937/drushor2305025t</w:t>
      </w:r>
    </w:p>
    <w:p>
      <w:pPr/>
      <w:r>
        <w:rPr>
          <w:b/>
        </w:rPr>
        <w:t>Shared claim-specific concepts:</w:t>
      </w:r>
      <w:r>
        <w:t xml:space="preserve"> strategic, responses, support; EU scope visible. This is a provisional connection, not an outcome finding.</w:t>
      </w:r>
    </w:p>
    <w:p>
      <w:pPr>
        <w:pStyle w:val="SourceNote"/>
      </w:pPr>
      <w:r>
        <w:rPr>
          <w:b/>
        </w:rPr>
        <w:t>Available abstract (not full text):</w:t>
      </w:r>
      <w:r>
        <w:t xml:space="preserve"> The study examines the security policy shocks and responses to these shocks in the countries and societies of the Central and Eastern European (CEE) region, and how these shocks and responses have changed the relationship of CEE countries with the European Union since 2008. It interprets the financial and economic crisis of 2008, the illegal Russian annexation of Crimea and Russian support for separatism in Eastern Ukraine from 2014, the migration crisis of 2015, the Covid-19 epidemic and the escalation of the Russian-Ukrainian war in February 2022 as a security shock. It concludes that while CEE countries have improved their crisis management capacity, they often rely more on national solutions than on joint European crisis management actions.</w:t>
      </w:r>
    </w:p>
    <w:p>
      <w:pPr/>
      <w:r>
        <w:rPr>
          <w:b/>
        </w:rPr>
        <w:t>POSSIBLE 2023:</w:t>
      </w:r>
      <w:r>
        <w:t xml:space="preserve"> Reviving strategic spatial planning for the challenges ahead — https://doi.org/10.1080/09654313.2023.2231500</w:t>
      </w:r>
    </w:p>
    <w:p>
      <w:pPr/>
      <w:r>
        <w:rPr>
          <w:b/>
        </w:rPr>
        <w:t>Shared claim-specific concepts:</w:t>
      </w:r>
      <w:r>
        <w:t xml:space="preserve"> strategic, planning, identifying, support; EU scope visible. This is a provisional connection, not an outcome finding.</w:t>
      </w:r>
    </w:p>
    <w:p>
      <w:pPr>
        <w:pStyle w:val="SourceNote"/>
      </w:pPr>
      <w:r>
        <w:rPr>
          <w:b/>
        </w:rPr>
        <w:t>Available abstract (not full text):</w:t>
      </w:r>
      <w:r>
        <w:t xml:space="preserve"> This paper discusses the future challenges of strategic spatial planning in Europe in the coming decades. The paper argues that one of the core challenges for strategic spatial planning is to regain its political legitimacy. Strategic spatial planning has increasingly lost its political support after the global financial crisis in 2007–2008 and a decade of austerity policies. Strategic spatial planning must make itself relevant again by addressing the most prominent challenges for contemporary urban areas, such as the current energy crisis. The energy crisis has demonstrated the need for an even faster transition to renewable energy sources, which requires large areas for energy infrastructures on land. The paper argues that strategic spatial planning could play an important future role in supporting the sustainable energy transition by identifying appropriate spaces of production and building support for such production facilities among local communities.</w:t>
      </w:r>
    </w:p>
    <w:p>
      <w:pPr/>
      <w:r>
        <w:rPr>
          <w:b/>
        </w:rPr>
        <w:t>POSSIBLE 2022:</w:t>
      </w:r>
      <w:r>
        <w:t xml:space="preserve"> What if data protection embraced foresight and speculative design? — https://doi.org/10.21606/drs.2022.681</w:t>
      </w:r>
    </w:p>
    <w:p>
      <w:pPr/>
      <w:r>
        <w:rPr>
          <w:b/>
        </w:rPr>
        <w:t>Shared claim-specific concepts:</w:t>
      </w:r>
      <w:r>
        <w:t xml:space="preserve"> strategic, foresight, policy-making; EU scope visible. This is a provisional connection, not an outcome finding.</w:t>
      </w:r>
    </w:p>
    <w:p>
      <w:pPr>
        <w:pStyle w:val="SourceNote"/>
      </w:pPr>
      <w:r>
        <w:rPr>
          <w:b/>
        </w:rPr>
        <w:t>Available abstract (not full text):</w:t>
      </w:r>
      <w:r>
        <w:t xml:space="preserve"> Due to rapid technological advancements and the growing “datafication” of our societies, individuals’ privacy constitutes an increasingly explored speculative space for regulators, researchers, practitioners, designers and artists. This article reports two experiences at a national and an international data protection authority (i.e., the Commission Nationale de l'Informatique et des Libertés - CNIL - and the European Data Protection Supervisor - EDPS - respectively), where foresight methods and speculative design are employed in policy-making with the goal of anticipating technological trends, their implications for society and their impact on regulations, as well as the effects of existing and upcoming laws on emerging technologies. Such initiatives can enhance strategic proactive abilities, raise public awareness of privacy issues and engender a participatory approach to the design of policies. They can also inspire the research, education and practice of legal design.</w:t>
      </w:r>
    </w:p>
    <w:p>
      <w:pPr/>
      <w:r>
        <w:rPr>
          <w:b/>
        </w:rPr>
        <w:t>POSSIBLE 2022:</w:t>
      </w:r>
      <w:r>
        <w:t xml:space="preserve"> A Discourse on Foresight and the Valuation of Explicit and Tacit Synergies in Strategic Collaborations — https://doi.org/10.3390/jrfm15070305</w:t>
      </w:r>
    </w:p>
    <w:p>
      <w:pPr/>
      <w:r>
        <w:rPr>
          <w:b/>
        </w:rPr>
        <w:t>Shared claim-specific concepts:</w:t>
      </w:r>
      <w:r>
        <w:t xml:space="preserve"> strategic, foresight, disciplines, options; EU scope not established. This is a provisional connection, not an outcome finding.</w:t>
      </w:r>
    </w:p>
    <w:p>
      <w:pPr>
        <w:pStyle w:val="SourceNote"/>
      </w:pPr>
      <w:r>
        <w:rPr>
          <w:b/>
        </w:rPr>
        <w:t>Available abstract (not full text):</w:t>
      </w:r>
      <w:r>
        <w:t xml:space="preserve"> One of the most important questions in business partners’ collaboration is whether their strategies create a collaborative synergy and thus add market value. This paper aims to develop a conceptual framework that will be useful for scholars and practitioners in developing foresight for explicit synergies and valuing tacit synergy in strategic collaborative ventures. The paper comprises a novel theoretical and empirical contribution to the foresight that is required for an explicit competence-based synergy in collaborative ventures from a resource-based view. It employs the ARCTIC framework and values a tacit competence-based synergy using simple and compound real options. Moreover, the paper makes several theoretical and empirical contributions to the study of strategic management, international business, and corporate finance disciplines. Finally, the paper discusses research limitations and future work.</w:t>
      </w:r>
    </w:p>
    <w:p>
      <w:pPr>
        <w:pStyle w:val="Heading2"/>
      </w:pPr>
      <w:r>
        <w:t>571. Alternative futures for shared mobility systems: impacts on transport planning tools and techniques</w:t>
      </w:r>
    </w:p>
    <w:p>
      <w:pPr>
        <w:pStyle w:val="SourceNote"/>
      </w:pPr>
      <w:r>
        <w:rPr>
          <w:b/>
        </w:rPr>
        <w:t>Original source (2021):</w:t>
      </w:r>
      <w:r>
        <w:t xml:space="preserve"> https://doi.org/10.1016/j.trpro.2021.11.032</w:t>
      </w:r>
    </w:p>
    <w:p>
      <w:pPr/>
      <w:r>
        <w:t>Original wording (abstract; indexed_source_text_not_full_document_verified): This paper presents a series of explorative scenarios that provide different contexts for the evolution of urban mobility in Europe, in order to grasp the plausible pathways that shared mobility services will follow in the upcoming decades. The scenarios are adapted from those developed by the climate change research community and are used in a Delphi poll to gather expert visions on how shared mobility services will evolve.</w:t>
      </w:r>
    </w:p>
    <w:p>
      <w:pPr/>
      <w:r>
        <w:rPr>
          <w:b/>
        </w:rPr>
        <w:t>POSSIBLE 2026:</w:t>
      </w:r>
      <w:r>
        <w:t xml:space="preserve"> The Heritagemonitor: Exploring projects, works and institutions in cultural heritage across Europe — https://doi.org/10.5281/zenodo.20642926</w:t>
      </w:r>
    </w:p>
    <w:p>
      <w:pPr/>
      <w:r>
        <w:rPr>
          <w:b/>
        </w:rPr>
        <w:t>Shared claim-specific concepts:</w:t>
      </w:r>
      <w:r>
        <w:t xml:space="preserve"> presents, series, developed; EU scope visible. This is a provisional connection, not an outcome finding.</w:t>
      </w:r>
    </w:p>
    <w:p>
      <w:pPr>
        <w:pStyle w:val="SourceNote"/>
      </w:pPr>
      <w:r>
        <w:rPr>
          <w:b/>
        </w:rPr>
        <w:t>Available abstract (not full text):</w:t>
      </w:r>
      <w:r>
        <w:t xml:space="preserve"> This poster series presents the functions projects, works and institutions of the Heritagemonitor application (https://heritagemonitor.org). The Heritagemonitor is a web application developed within the framework of the EU Horizon project DIGICHer. It aggregates large datasets, visualizes them, and makes them easily searchable - with a focus on cultural heritage. Start exploring now!</w:t>
      </w:r>
    </w:p>
    <w:p>
      <w:pPr/>
      <w:r>
        <w:rPr>
          <w:b/>
        </w:rPr>
        <w:t>POSSIBLE 2026:</w:t>
      </w:r>
      <w:r>
        <w:t xml:space="preserve"> The Heritagemonitor: Exploring projects, works and institutions in cultural heritage across Europe — https://doi.org/10.5281/zenodo.20643287</w:t>
      </w:r>
    </w:p>
    <w:p>
      <w:pPr/>
      <w:r>
        <w:rPr>
          <w:b/>
        </w:rPr>
        <w:t>Shared claim-specific concepts:</w:t>
      </w:r>
      <w:r>
        <w:t xml:space="preserve"> presents, series, developed; EU scope visible. This is a provisional connection, not an outcome finding.</w:t>
      </w:r>
    </w:p>
    <w:p>
      <w:pPr>
        <w:pStyle w:val="SourceNote"/>
      </w:pPr>
      <w:r>
        <w:rPr>
          <w:b/>
        </w:rPr>
        <w:t>Available abstract (not full text):</w:t>
      </w:r>
      <w:r>
        <w:t xml:space="preserve"> This poster series presents the functions projects, works and institutions of the Heritagemonitor application (https://heritagemonitor.org). The Heritagemonitor is a web application developed within the framework of the EU Horizon project DIGICHer. It aggregates large datasets, visualizes them, and makes them easily searchable - with a focus on cultural heritage. Start exploring now!</w:t>
      </w:r>
    </w:p>
    <w:p>
      <w:pPr/>
      <w:r>
        <w:rPr>
          <w:b/>
        </w:rPr>
        <w:t>POSSIBLE 2026:</w:t>
      </w:r>
      <w:r>
        <w:t xml:space="preserve"> Non-stationary time series attribution for heatwaves over Europe — https://doi.org/10.5194/ascmo-12-243-2026</w:t>
      </w:r>
    </w:p>
    <w:p>
      <w:pPr/>
      <w:r>
        <w:rPr>
          <w:b/>
        </w:rPr>
        <w:t>Shared claim-specific concepts:</w:t>
      </w:r>
      <w:r>
        <w:t xml:space="preserve"> presents, series, climate; EU scope visible. This is a provisional connection, not an outcome finding.</w:t>
      </w:r>
    </w:p>
    <w:p>
      <w:pPr>
        <w:pStyle w:val="SourceNote"/>
      </w:pPr>
      <w:r>
        <w:rPr>
          <w:b/>
        </w:rPr>
        <w:t>Available abstract (not full text):</w:t>
      </w:r>
      <w:r>
        <w:t xml:space="preserve"> The increasing occurrence of extreme weather events since the beginning of the 21st century has led to the development of new methods to attribute extreme events to anthropogenic climate change. The way in which the extreme event is defined has a major influence on the attribution result. A frequently overlooked aspect concerns the temporal dependence of extremes. This study presents an approach for attributing complete time series during extreme events to anthropogenic forcing. The approach is based on a non-stationary Markov process using bivariate extreme value theory to model the temporal dependence of the time series. We calculate the likelihood ratio of an observational time series from ERA5 given the distributions as estimated from CMIP6 simulations with historical natural-only and natural and anthropogenic forcing scenarios. The spatial fields are condensed by the extremal pattern index (EPI) as a compact description of spatial extremes. In addition, the study examines the extent to which attribution statements about the occurrence of extreme heat events change when the effect of the mean warming is eliminated. The resulting attribution statement provides very strong evidence for the scenario with anthropogenic drivers over Europe, especially since the beginning of the 21st century. For central and southern Europe, the influence of anthropogenic greenhouse gas emissions</w:t>
      </w:r>
    </w:p>
    <w:p>
      <w:pPr/>
      <w:r>
        <w:rPr>
          <w:b/>
        </w:rPr>
        <w:t>POSSIBLE 2026:</w:t>
      </w:r>
      <w:r>
        <w:t xml:space="preserve"> Madhava's Pi-Series in the Modern Context — https://doi.org/10.48550/arxiv.2602.14484</w:t>
      </w:r>
    </w:p>
    <w:p>
      <w:pPr/>
      <w:r>
        <w:rPr>
          <w:b/>
        </w:rPr>
        <w:t>Shared claim-specific concepts:</w:t>
      </w:r>
      <w:r>
        <w:t xml:space="preserve"> series, different, developed, used; EU scope not established. This is a provisional connection, not an outcome finding.</w:t>
      </w:r>
    </w:p>
    <w:p>
      <w:pPr>
        <w:pStyle w:val="SourceNote"/>
      </w:pPr>
      <w:r>
        <w:rPr>
          <w:b/>
        </w:rPr>
        <w:t>Available abstract (not full text):</w:t>
      </w:r>
      <w:r>
        <w:t xml:space="preserve"> The $π$-series is attributed to Madhava, Gregory and Leibniz based on the chronology of its discovery. While this acknowledges the fact that Madhava of Sangamagrama an Indian mathematician who lived in Kerala in the 14th century along the banks of river Nila, was the first to discover the series, the modern day proof for the $π$-series is based on the outline of the proof given by the famous German mathematician Gottfried Wilhelm Leibniz in the 17th century, using concepts and rigorous definitions of Calculus many of which were developed after his lifetime. We extend the same benefit to Madhava's ideas and present Madhava's upapatti i.e proof for the $π$-series as given in Jyesthadeva's Yuktibhasha using modern notation and definitions. We elaborate Madhava's proof at three places (a) to prove that the arc-bit sum is same as the sum of arc-bit approximations (b) to prove convergence and (c) to concisely prove by iteration the power sum approximation. Madhava's method with appropriate changes can be applied to derive the sine and cosine series as well. Madhava also provides the correction terms to accelerate the convergence of the $π$-series. We compare the two proofs i.e Madhava's and the popular proof for $π$ which is based on Leibniz's ideas and observe that they are different since Madhava's is based on the length of the arc where as Leibniz's relies on the area under the ar</w:t>
      </w:r>
    </w:p>
    <w:p>
      <w:pPr/>
      <w:r>
        <w:rPr>
          <w:b/>
        </w:rPr>
        <w:t>POSSIBLE 2026:</w:t>
      </w:r>
      <w:r>
        <w:t xml:space="preserve"> Mobility Models for a Future in Flux: Exploring Alternatives in European Teacher Education — https://doi.org/10.31244/9783818851583.10</w:t>
      </w:r>
    </w:p>
    <w:p>
      <w:pPr/>
      <w:r>
        <w:rPr>
          <w:b/>
        </w:rPr>
        <w:t>Shared claim-specific concepts:</w:t>
      </w:r>
      <w:r>
        <w:t xml:space="preserve"> presents, contexts, mobility; EU scope visible. This is a provisional connection, not an outcome finding.</w:t>
      </w:r>
    </w:p>
    <w:p>
      <w:pPr>
        <w:pStyle w:val="SourceNote"/>
      </w:pPr>
      <w:r>
        <w:rPr>
          <w:b/>
        </w:rPr>
        <w:t>Available abstract (not full text):</w:t>
      </w:r>
      <w:r>
        <w:t xml:space="preserve"> Abstract Mobility has become a key element in European teacher education, aiming to equip future educators with intercultural skills, transnational perspectives, and the ability to teach in diverse and dynamic contexts. Traditionally, long-term mobilities – often sup- ported through Erasmus+ – have shaped the landscape of international experiences in initial teacher education. However, these longer formats are not suitable for all students due to time, financial, and/or curricular constraints. The Erasmus+ Teacher Academy (teff) focuses on short-term mobility models as a complementary alternative. This contri- bution presents experiences and findings from teff, which piloted various forms of short mobility, including virtual, hybrid and blended learning formats. The experiences sug- gest that while short mobilities cannot replace the depth of long-term mobility, they offer accessible and scalable opportunities to internationalize teacher education and prepare future teachers for a profession in flux.</w:t>
      </w:r>
    </w:p>
    <w:p>
      <w:pPr/>
      <w:r>
        <w:rPr>
          <w:b/>
        </w:rPr>
        <w:t>POSSIBLE 2025:</w:t>
      </w:r>
      <w:r>
        <w:t xml:space="preserve"> Citizenship in the Context of European Values: Recommendations for teaching in higher education — https://doi.org/10.14712/9788076034143</w:t>
      </w:r>
    </w:p>
    <w:p>
      <w:pPr/>
      <w:r>
        <w:rPr>
          <w:b/>
        </w:rPr>
        <w:t>Shared claim-specific concepts:</w:t>
      </w:r>
      <w:r>
        <w:t xml:space="preserve"> presents, series, provide, different, evolution, services; EU scope visible. This is a provisional connection, not an outcome finding.</w:t>
      </w:r>
    </w:p>
    <w:p>
      <w:pPr>
        <w:pStyle w:val="SourceNote"/>
      </w:pPr>
      <w:r>
        <w:rPr>
          <w:b/>
        </w:rPr>
        <w:t>Available abstract (not full text):</w:t>
      </w:r>
      <w:r>
        <w:t xml:space="preserve"> The main focus for CitEdEV is on sharing of good practice in relation to the above, and within this it highlights democratic values, fundamental rights, and active citizenship.Although the objectives above stem from an EU declaration, we stress that the European Values we refer to are those of the European Convention for the Protection of Human Rights and Fundamental Freedoms (ECPHR) , originally agreed by The Council of Europe, to which nearly all European states, include member states of the EU, are signatories. European Union educational policy builds on the Paris Declaration, with emphasis placed on:'Fostering the development of citizenship competences with the aim of strengthening the awareness of common values, as referred to in Article 2 of the Treaty on European Union and the Charter of Fundamental Rights of the European Union' (European Commission, 2018) 'Citizenship competence' is described as '… the ability to act as responsible citizens and to fully participate in civic and social life, based on understanding of social, economic, legal and political concepts and structures, as well as global developments and sustainability', and elaborated, as shown in the table below, in relation to knowledge and understanding, skills, and attitudes.In the context of our work it is worthwhile to note that the first competency listed is that of 'understanding European values'.Table </w:t>
      </w:r>
    </w:p>
    <w:p>
      <w:pPr/>
      <w:r>
        <w:rPr>
          <w:b/>
        </w:rPr>
        <w:t>POSSIBLE 2025:</w:t>
      </w:r>
      <w:r>
        <w:t xml:space="preserve"> Leadership Effectiveness in Multinational Corporations Across Different Regional Contexts — https://doi.org/10.66027/gpim/v3i3/gpm25309</w:t>
      </w:r>
    </w:p>
    <w:p>
      <w:pPr/>
      <w:r>
        <w:rPr>
          <w:b/>
        </w:rPr>
        <w:t>Shared claim-specific concepts:</w:t>
      </w:r>
      <w:r>
        <w:t xml:space="preserve"> presents, series, different, contexts; EU scope visible. This is a provisional connection, not an outcome finding.</w:t>
      </w:r>
    </w:p>
    <w:p>
      <w:pPr>
        <w:pStyle w:val="SourceNote"/>
      </w:pPr>
      <w:r>
        <w:rPr>
          <w:b/>
        </w:rPr>
        <w:t>Available abstract (not full text):</w:t>
      </w:r>
      <w:r>
        <w:t xml:space="preserve"> Leadership effectiveness in multinational corporations (MNCs) is highly contingent upon regional cultural context, institutional settings, and the strategic requirements of global integration. This paper presents an extensive comparative study of different leadership styles and their effectiveness in five main regions around the world – North America, Europe, Asia-Pacific, Latin America, and the Middle East &amp; Africa – based on the GLOBE model, Hofstede's cultural dimensions, and cultural intelligence theory. This study uses a mixed methods approach that includes a cross-industry survey of 320 senior corporate executives from 28 countries; a series of semi-structured interviews; and six case studies of multinationals, and finds that there are systematic differences between regions in terms of leadership style prevalence, leader competencies, and performance. In particular, the findings show that transformational leadership always positively impacts organizational performance, but this relation is substantially influenced by power distance and collectivism. A new theoretical framework called the Cross-Regional Leadership Effectiveness Framework (CRLEF) is proposed that incorporates the influence of macro-level contextual factors and culture-specific moderators on organizational processes. The research also shows that leadership adaptability and cultural intelligence are both esse</w:t>
      </w:r>
    </w:p>
    <w:p>
      <w:pPr/>
      <w:r>
        <w:rPr>
          <w:b/>
        </w:rPr>
        <w:t>POSSIBLE 2024:</w:t>
      </w:r>
      <w:r>
        <w:t xml:space="preserve"> Exploring European decarbonisation pathways in the Power Decisions Game — https://doi.org/10.1186/s13705-024-00469-w</w:t>
      </w:r>
    </w:p>
    <w:p>
      <w:pPr/>
      <w:r>
        <w:rPr>
          <w:b/>
        </w:rPr>
        <w:t>Shared claim-specific concepts:</w:t>
      </w:r>
      <w:r>
        <w:t xml:space="preserve"> pathways, climate, used; EU scope visible. This is a provisional connection, not an outcome finding.</w:t>
      </w:r>
    </w:p>
    <w:p>
      <w:pPr>
        <w:pStyle w:val="SourceNote"/>
      </w:pPr>
      <w:r>
        <w:rPr>
          <w:b/>
        </w:rPr>
        <w:t>Available abstract (not full text):</w:t>
      </w:r>
      <w:r>
        <w:t xml:space="preserve"> Abstract Background Article 12 of the Paris Agreement summons the signing parties to corporate in improving the education of their citizens on climate change and related matters. The article thereby acknowledges the importance of citizens support and understanding of climate change and needed measures to fight climate change. This paper aims to contribute to the goal of informing on the implications of climate change related policy on the power sector in Europe and hence all European citizens by presenting a serious game in which the player can explore how key policy decisions affect capacity mix, investment needs and electricity costs.Results The game is based on more than 1700 scenarios run through an open-source and accessible, yet technologically detailed myopic energy system optimisation model for the electricity supply in the EU27 + 3. The game allows the user to take the role of a decision maker and make decisions in 2020, 2030 and 2040 regarding the usage of CCS, biomass imports, cross-border electricity transmission and the pace of emission reductions. The user is then presented with economic, social, and environmental impacts of these choices. These impacts are for example measured and illustrated in the development of CO2 emissions per capita, levelised cost of electricity, and investment need per citizen.Conclusion The Power Decisions Game provides a first of its ki</w:t>
      </w:r>
    </w:p>
    <w:p>
      <w:pPr/>
      <w:r>
        <w:rPr>
          <w:b/>
        </w:rPr>
        <w:t>POSSIBLE 2023:</w:t>
      </w:r>
      <w:r>
        <w:t xml:space="preserve"> Critical Heritage Studies and the Futures of Europe — https://doi.org/10.14324/111.9781800083936</w:t>
      </w:r>
    </w:p>
    <w:p>
      <w:pPr/>
      <w:r>
        <w:rPr>
          <w:b/>
        </w:rPr>
        <w:t>Shared claim-specific concepts:</w:t>
      </w:r>
      <w:r>
        <w:t xml:space="preserve"> presents, series, urban, climate, used; EU scope visible. This is a provisional connection, not an outcome finding.</w:t>
      </w:r>
    </w:p>
    <w:p>
      <w:pPr>
        <w:pStyle w:val="SourceNote"/>
      </w:pPr>
      <w:r>
        <w:rPr>
          <w:b/>
        </w:rPr>
        <w:t>Available abstract (not full text):</w:t>
      </w:r>
      <w:r>
        <w:t xml:space="preserve"> Cultural and natural heritage are central to ‘Europe’ and ‘the European project’. They were bound up in the emergence of nation-states in the eighteenth and nineteenth centuries, where they were used to justify differences over which border conflicts were fought. Later, the idea of a ‘common European heritage’ provided a rationale for the development of the European Union. Now, the emergence of ‘new’ populist nationalisms shows how the imagined past continues to play a role in cultural and social governance, while a series of interlinked social and ecological crises are changing the ways that heritage operates. New discourses and ontologies are emerging to reconfigure heritage for the circumstances of the present and the uncertainties of the future. Taking the current role of heritage in Europe as its starting point, Critical Heritage Studies and the Futures of Europe presents a number of case studies that explore key themes in this transformation. Contributors draw on a range of disciplinary perspectives to consider, variously, the role of heritage and museums in the migration and climate ‘emergencies’; approaches to urban heritage conservation and practices of curating cities; digital and digitised heritage; the use of heritage as a therapeutic resource; and critical approaches to heritage and its management. Taken together, the chapters explore the multiple ontologies throug</w:t>
      </w:r>
    </w:p>
    <w:p>
      <w:pPr/>
      <w:r>
        <w:rPr>
          <w:b/>
        </w:rPr>
        <w:t>POSSIBLE 2023:</w:t>
      </w:r>
      <w:r>
        <w:t xml:space="preserve"> Time series forecasting methods in emergency contexts — https://doi.org/10.1038/s41598-023-42917-1</w:t>
      </w:r>
    </w:p>
    <w:p>
      <w:pPr/>
      <w:r>
        <w:rPr>
          <w:b/>
        </w:rPr>
        <w:t>Shared claim-specific concepts:</w:t>
      </w:r>
      <w:r>
        <w:t xml:space="preserve"> series, different, contexts, evolution, used; EU scope not established. This is a provisional connection, not an outcome finding.</w:t>
      </w:r>
    </w:p>
    <w:p>
      <w:pPr>
        <w:pStyle w:val="SourceNote"/>
      </w:pPr>
      <w:r>
        <w:rPr>
          <w:b/>
        </w:rPr>
        <w:t>Available abstract (not full text):</w:t>
      </w:r>
      <w:r>
        <w:t xml:space="preserve"> The key issues in any fire emergency are recognising fire hotspots, locating the emergency intervention team (EI), following the evolution of the fire, and selecting the evacuation path. This leads to the study and development of HelpResponder, a solution capable of detecting the focus of interest in hostile spaces derived from fire due to high temperatures without visibility. A study is conducted to determine which model best predicts measured [Formula: see text] levels. The variables used are temperature, humidity, and air quality, obtained from sensors installed in a fire tower. The statistical methods applied, namely ARIMAX, KNN, SVM, and TBATS, allow the adjustment and modelling of the variables. Explanatory variables with temporal structure are incorporated into SVM, a new improvement proposal. Moreover, combining different models showed the best efficiency in forecasting. In fact, another contribution of our work lies in offering a small-scale prediction system that is specifically designed to save batteries. The system has been tested and validated in a hostile environment (building), simulating real emergency situations. The system has been tested and validated in several hostile environments, simulating real emergency situations. It can help firefighters respond faster in an emergency. This reduces the risks associated with the lack of information and improves the tim</w:t>
      </w:r>
    </w:p>
    <w:p>
      <w:pPr/>
      <w:r>
        <w:rPr>
          <w:b/>
        </w:rPr>
        <w:t>POSSIBLE 2023:</w:t>
      </w:r>
      <w:r>
        <w:t xml:space="preserve"> Modeling the Greenhouse Gases Data Series in Europe during 1990–2021 — https://doi.org/10.3390/toxics11090726</w:t>
      </w:r>
    </w:p>
    <w:p>
      <w:pPr/>
      <w:r>
        <w:rPr>
          <w:b/>
        </w:rPr>
        <w:t>Shared claim-specific concepts:</w:t>
      </w:r>
      <w:r>
        <w:t xml:space="preserve"> presents, series, different, evolution, climate; EU scope visible. This is a provisional connection, not an outcome finding.</w:t>
      </w:r>
    </w:p>
    <w:p>
      <w:pPr>
        <w:pStyle w:val="SourceNote"/>
      </w:pPr>
      <w:r>
        <w:rPr>
          <w:b/>
        </w:rPr>
        <w:t>Available abstract (not full text):</w:t>
      </w:r>
      <w:r>
        <w:t xml:space="preserve"> Nowadays, climate change and atmospheric pollution are two of humanity's most significant challenges. Greenhouse gases (GHGs) are responsible for climate change, and they create effects that are mostly irreversible. Therefore, monitoring and reducing such emissions are compulsory for the preservation of the environment for future generations. The European Union took action in this direction. The article presents the evolution of the total GHGs trend, from 1990 to 2021, in the EU countries and their associates. Trend analysis and grouping of the countries using different clustering techniques are performed. The analysis of the existence of greenhouse gases (GHGs) series' trend, in 30 countries from Europe, showed that the GHG emissions decreased from 1990 to 2021 in only 17 countries. The annual series, built using the data reported by each country each year, does not present a specific trend. After grouping the countries in clusters by k-means and hierarchical clustering, the representative series for the annual recorded values in the 30 studied countries, called Regional series (RegS), is built using series selected from the cluster with the highest number of elements. The same algorithm provides the Representative Temporal series (TempS), which selects specific years after clustering the annual GHG series.</w:t>
      </w:r>
    </w:p>
    <w:p>
      <w:pPr/>
      <w:r>
        <w:rPr>
          <w:b/>
        </w:rPr>
        <w:t>POSSIBLE 2022:</w:t>
      </w:r>
      <w:r>
        <w:t xml:space="preserve"> European Security — https://doi.org/10.5771/9783748936459</w:t>
      </w:r>
    </w:p>
    <w:p>
      <w:pPr/>
      <w:r>
        <w:rPr>
          <w:b/>
        </w:rPr>
        <w:t>Shared claim-specific concepts:</w:t>
      </w:r>
      <w:r>
        <w:t xml:space="preserve"> presents, series, order; EU scope visible. This is a provisional connection, not an outcome finding.</w:t>
      </w:r>
    </w:p>
    <w:p>
      <w:pPr>
        <w:pStyle w:val="SourceNote"/>
      </w:pPr>
      <w:r>
        <w:rPr>
          <w:b/>
        </w:rPr>
        <w:t>Available abstract (not full text):</w:t>
      </w:r>
      <w:r>
        <w:t xml:space="preserve"> War with all its horrors has returned to the continent. Russia, with her war against Ukraine, has turned the entire post-war order upside down and triggered another crisis for Europe. Geopolitics must be based on a clear vision of a desired state, an assessment of the environment and an honest analysis of one’s own capabilities and means. The (geo)political decision must explore all legal boundaries to put aggressors permanently in their place. The EU has experienced a series of crises since 2008. Only a ‚sine ira et studio‘ approach will overcome this permanent crisis. This book presents the geopolitical options for security, foreign and economic policy, and strategic decisions.</w:t>
      </w:r>
    </w:p>
    <w:p>
      <w:pPr>
        <w:pStyle w:val="Heading2"/>
      </w:pPr>
      <w:r>
        <w:t>572. Anticipatory governance for newcomers: lessons learned from the UK, the Netherlands, Finland, and Korea</w:t>
      </w:r>
    </w:p>
    <w:p>
      <w:pPr>
        <w:pStyle w:val="SourceNote"/>
      </w:pPr>
      <w:r>
        <w:rPr>
          <w:b/>
        </w:rPr>
        <w:t>Original source (2021):</w:t>
      </w:r>
      <w:r>
        <w:t xml:space="preserve"> https://doi.org/10.1186/s40309-021-00179-y</w:t>
      </w:r>
    </w:p>
    <w:p>
      <w:pPr/>
      <w:r>
        <w:t>Original wording (abstract; indexed_source_text_not_full_document_verified): First, the government should educate and train the public and government officials to promote future literacy and future proficiency .</w:t>
      </w:r>
    </w:p>
    <w:p>
      <w:pPr/>
      <w:r>
        <w:rPr>
          <w:b/>
        </w:rPr>
        <w:t>POSSIBLE 2026:</w:t>
      </w:r>
      <w:r>
        <w:t xml:space="preserve"> Right to be Forgotten vs. Public Information Disclosure to Public Officials in Indonesia — https://doi.org/10.30996/mk.v19i1.132922</w:t>
      </w:r>
    </w:p>
    <w:p>
      <w:pPr/>
      <w:r>
        <w:rPr>
          <w:b/>
        </w:rPr>
        <w:t>Shared claim-specific concepts:</w:t>
      </w:r>
      <w:r>
        <w:t xml:space="preserve"> government, officials; EU scope visible. This is a provisional connection, not an outcome finding.</w:t>
      </w:r>
    </w:p>
    <w:p>
      <w:pPr>
        <w:pStyle w:val="SourceNote"/>
      </w:pPr>
      <w:r>
        <w:rPr>
          <w:b/>
        </w:rPr>
        <w:t>Available abstract (not full text):</w:t>
      </w:r>
      <w:r>
        <w:t xml:space="preserve"> The advancement of information technology, which renders digital footprints permanent, has generated new problems in the protection of personal data, including for public officials who possess narrower privacy boundaries than private citizens. Research aims to explore the potential conflicts between the right to be forgotten and long-standing principle of transparency in Article 28F of the 1945 Republic of Indonesia's Constitution. Additionally, this paper looks at which public servants should be protected by the Right to Forget Law under Indonesian national laws or administrative regulations. This research deals with the difference between Indonesian National Laws for public servants and the right to be forgotten. It also discusses laws from “Republic of Indonesia No. 19/2016 Electronic Information Transactions Law of Republic of Indonesia No. 14/2008 Disclosure of Public Information Laws”. EU policy as well as the direction taken in member states such as France. The findings of the research show that the applicability of the Right to be Forgotten for public servants cannot be in an absolute form since information about their tasks of offices, track records, alleged ethical or legal violations, and actions that have an impact on the public is information that must remain accessible as part of public accountability. Additionally, this research reveals discrepancies in the court</w:t>
      </w:r>
    </w:p>
    <w:p>
      <w:pPr/>
      <w:r>
        <w:rPr>
          <w:b/>
        </w:rPr>
        <w:t>POSSIBLE 2026:</w:t>
      </w:r>
      <w:r>
        <w:t xml:space="preserve"> Constitutional Law Accountability for the Forgery of Public Officials' Documents — https://openalex.org/W7216626058</w:t>
      </w:r>
    </w:p>
    <w:p>
      <w:pPr/>
      <w:r>
        <w:rPr>
          <w:b/>
        </w:rPr>
        <w:t>Shared claim-specific concepts:</w:t>
      </w:r>
      <w:r>
        <w:t xml:space="preserve"> government, officials; EU scope not established. This is a provisional connection, not an outcome finding.</w:t>
      </w:r>
    </w:p>
    <w:p>
      <w:pPr>
        <w:pStyle w:val="SourceNote"/>
      </w:pPr>
      <w:r>
        <w:rPr>
          <w:b/>
        </w:rPr>
        <w:t>Available abstract (not full text):</w:t>
      </w:r>
      <w:r>
        <w:t xml:space="preserve"> The authenticity of documents submitted by public officials constitutes a fundamental element of constitutional governance, administrative legitimacy, and the rule of law. In a democratic legal system, official documents serve not merely as administrative requirements but also as instruments that establish public trust and validate the constitutional authority exercised by state officials. The emergence of allegations involving forged educational or identity documents has raised significant constitutional and administrative concerns, as such misconduct extends beyond criminal liability and directly affects the legitimacy of public office and democratic governance. This study aims to examine the forms of constitutional law accountability applicable to public officials involved in document forgery and to analyze the existing mechanisms for administrative verification and legal responsibility within the Indonesian constitutional framework. The research employs a normative legal method using statutory, conceptual, and case approaches. Primary legal materials consist of the 1945 Constitution of the Republic of Indonesia, Law Number 30 of 2014 concerning Government Administration, Law Number 7 of 2017 concerning General Elections, the Indonesian Criminal Code, and relevant electoral regulations, which are examined through qualitative legal analysis using grammatical, systematic, and </w:t>
      </w:r>
    </w:p>
    <w:p>
      <w:pPr/>
      <w:r>
        <w:rPr>
          <w:b/>
        </w:rPr>
        <w:t>POSSIBLE 2026:</w:t>
      </w:r>
      <w:r>
        <w:t xml:space="preserve"> Germany's “Black-Red” Government Alliance Is at A Dead End — https://doi.org/10.20542/0131-2227-2026-70-8-70-81</w:t>
      </w:r>
    </w:p>
    <w:p>
      <w:pPr/>
      <w:r>
        <w:rPr>
          <w:b/>
        </w:rPr>
        <w:t>Shared claim-specific concepts:</w:t>
      </w:r>
      <w:r>
        <w:t xml:space="preserve"> first, government; EU scope visible. This is a provisional connection, not an outcome finding.</w:t>
      </w:r>
    </w:p>
    <w:p>
      <w:pPr>
        <w:pStyle w:val="SourceNote"/>
      </w:pPr>
      <w:r>
        <w:rPr>
          <w:b/>
        </w:rPr>
        <w:t>Available abstract (not full text):</w:t>
      </w:r>
      <w:r>
        <w:t xml:space="preserve"> The article analyzes the attempts of the government alliance led by Chancellor F. Merz to carry out reforms in the country’s domestic and foreign policy. The factors that have a significant impact on the domestic political situation and the international agenda of Berlin, as well as German content in preparation for a possible direct clash between Euro-Atlantic globalists and Russia, are summarized. The academic community in Germany is losing its former research creativity. Competition between different expert centers is encouraged by decision-making bodies with set guidelines; alternative views are censored. As a result, the projects suffer from a monotony; doubts about the reliability of contradictory and often one-sided conclusions, recommendations and prognoses grow. The refusal of German analysts to take a comprehensive approach to the study of global transformations is one of the conceptual reasons for the impasse that has arisen in the modern theory and practice of political thought in Germany, including the Moscow direction. In line with such scientific research, Berlin is strengthening its policy of militarizing Germany and supporting the neo-Banderovites regime. In this context, one should understand the decision of the FRG leadership in April 2026 on a comprehensive defense strategy regarding the responsibility of Germany and its Armed Forces for Europe. The document</w:t>
      </w:r>
    </w:p>
    <w:p>
      <w:pPr/>
      <w:r>
        <w:rPr>
          <w:b/>
        </w:rPr>
        <w:t>POSSIBLE 2025:</w:t>
      </w:r>
      <w:r>
        <w:t xml:space="preserve"> I CAN SPEAK: LOCAL GOVERNMENT REPRESENTATIVES TO EDUCATE THE PUBLIC TO SPEAK ENGLISH — https://openalex.org/W7216915950</w:t>
      </w:r>
    </w:p>
    <w:p>
      <w:pPr/>
      <w:r>
        <w:rPr>
          <w:b/>
        </w:rPr>
        <w:t>Shared claim-specific concepts:</w:t>
      </w:r>
      <w:r>
        <w:t xml:space="preserve"> government, educate, proficiency; EU scope not established. This is a provisional connection, not an outcome finding.</w:t>
      </w:r>
    </w:p>
    <w:p>
      <w:pPr>
        <w:pStyle w:val="SourceNote"/>
      </w:pPr>
      <w:r>
        <w:rPr>
          <w:b/>
        </w:rPr>
        <w:t>Available abstract (not full text):</w:t>
      </w:r>
      <w:r>
        <w:t xml:space="preserve"> In enhancing the intelligence and knowledge of the community, Diskominfo Wonosobo plays a role in public services in the field of Public Information and Communication. Radio is an ideal learning tool for those with limited access to information. Diskominfo Wonosobo collaborates with educational institutions to produce the radio broadcast program “I Can Speak,” aired by Radio Pesona FM Wonosobo, to learn to speak English. This research aims to identify how Radio Pesona FM, as a local public radio station under Diskominfo Wonosobo, runs the collaboration program. The urgency of the research is to provide insight into how learning communication practices in the context of radio broadcasts in Wonosobo. The research location was chosen due to the originality of the phenomenon and good access to data sources, using participatory observation techniques, focus group discussions and in-depth interviews. Twelve informants were selected by purposive sampling, consisting of listeners, broadcasters, academics and radio management. The research identified that I Can Speak is a platform for students to practice their English speaking and public speaking skills. I Can Speak is also a representative of the local government in serving the community by developing human resources through improving English language proficiency</w:t>
      </w:r>
    </w:p>
    <w:p>
      <w:pPr/>
      <w:r>
        <w:rPr>
          <w:b/>
        </w:rPr>
        <w:t>POSSIBLE 2025:</w:t>
      </w:r>
      <w:r>
        <w:t xml:space="preserve"> Educating and raising public awareness about floods with uniformed high-water marks — https://doi.org/10.5194/ems2025-48</w:t>
      </w:r>
    </w:p>
    <w:p>
      <w:pPr/>
      <w:r>
        <w:rPr>
          <w:b/>
        </w:rPr>
        <w:t>Shared claim-specific concepts:</w:t>
      </w:r>
      <w:r>
        <w:t xml:space="preserve"> first, government, educate; EU scope visible. This is a provisional connection, not an outcome finding.</w:t>
      </w:r>
    </w:p>
    <w:p>
      <w:pPr>
        <w:pStyle w:val="SourceNote"/>
      </w:pPr>
      <w:r>
        <w:rPr>
          <w:b/>
        </w:rPr>
        <w:t>Available abstract (not full text):</w:t>
      </w:r>
      <w:r>
        <w:t xml:space="preserve"> In the last ten years, the Slovenian Environment Agency, in cooperation with the Association of Slovenian Geographers and Ministries, has implemented an action: placing high-water marks on flooded areas near rivers, lakes, and the sea. The action aims to educate and inform the inhabitants about the natural phenomenon of high waters, improve their knowledge of the regular impoundments of karstic poljes, flooded areas near rivers, lakes, and sea, and raise awareness that, more or less frequently, the water needs its natural extended space —floodplains. The placement of high-water marks on flooded sites links various activities of public institutions, organizations, and local communities to manage water resources and improve flood safety responsibly. Besides the official institutions, local stakeholders are also included in the action because their role is crucial in the bottom-up approach. The local population, schools, local government, and real estate owners are the first whose involvement in the action is needed for their knowledge of the water level situation during floods in the areas. Physical markings as a lasting reminder in space are a part of the process of raising awareness and educating about high waters. Visible and uniformed high-water marks on the field raise awareness of the locals and visitors. Informing, educating, and raising public awareness about water, are o</w:t>
      </w:r>
    </w:p>
    <w:p>
      <w:pPr/>
      <w:r>
        <w:rPr>
          <w:b/>
        </w:rPr>
        <w:t>POSSIBLE 2025:</w:t>
      </w:r>
      <w:r>
        <w:t xml:space="preserve"> Public Officials’ Lies and Their Effects on the Proliferation of Disinformation — https://doi.org/10.1017/9781009373272.008</w:t>
      </w:r>
    </w:p>
    <w:p>
      <w:pPr/>
      <w:r>
        <w:rPr>
          <w:b/>
        </w:rPr>
        <w:t>Shared claim-specific concepts:</w:t>
      </w:r>
      <w:r>
        <w:t xml:space="preserve"> officials, promote; EU scope not established. This is a provisional connection, not an outcome finding.</w:t>
      </w:r>
    </w:p>
    <w:p>
      <w:pPr>
        <w:pStyle w:val="SourceNote"/>
      </w:pPr>
      <w:r>
        <w:rPr>
          <w:b/>
        </w:rPr>
        <w:t>Available abstract (not full text):</w:t>
      </w:r>
      <w:r>
        <w:t xml:space="preserve"> State responses to the recent ‘crisis’ caused by misinformation in social media have mainly aimed to impose liability on those who facilitate its dissemination. Internet companies, especially large platforms, have deployed numerous techniques, measures and instruments to address the phenomenon. However, little has been done to assess the importance of who originates disinformation and, in particular, whether some originators of misinformation are acting contrary to their preexisting obligations to the public. My view is that it would be wrong to attribute only to social media a central or exclusive role in the new disinformation crisis that impacts the information ecosystem. I also believe that disinformation has different effects depending on who promotes it – particularly whether it is promoted by a person with a public role. Importantly, the law of many countries already reflects this distinction – across a variety of contexts, public officials are obligated both to affirmatively provide certain types of information, and to take steps to ensure that information is true. In contrast, private individuals rarely bear analogous obligations; instead, law often protects their misstatements, in order to prevent censorship and promote public discourse.</w:t>
      </w:r>
    </w:p>
    <w:p>
      <w:pPr/>
      <w:r>
        <w:rPr>
          <w:b/>
        </w:rPr>
        <w:t>POSSIBLE 2024:</w:t>
      </w:r>
      <w:r>
        <w:t xml:space="preserve"> Does the European Union's rule of law require the criminalisation of EU public officials? A first appraisal — https://doi.org/10.1111/eulj.12507</w:t>
      </w:r>
    </w:p>
    <w:p>
      <w:pPr/>
      <w:r>
        <w:rPr>
          <w:b/>
        </w:rPr>
        <w:t>Shared claim-specific concepts:</w:t>
      </w:r>
      <w:r>
        <w:t xml:space="preserve"> first, officials; EU scope visible. This is a provisional connection, not an outcome finding.</w:t>
      </w:r>
    </w:p>
    <w:p>
      <w:pPr>
        <w:pStyle w:val="SourceNote"/>
      </w:pPr>
      <w:r>
        <w:rPr>
          <w:b/>
        </w:rPr>
        <w:t>Available abstract (not full text):</w:t>
      </w:r>
      <w:r>
        <w:t xml:space="preserve"> Abstract This article emphasises the role of criminal law as a strategic form of accountability aimed at safeguarding the EU rule of law, especially when public officials are entrusted with powers that may violate fundamental rights. Abuses committed in the context of border management serve as a case study and a test bench for the more general argument developed in the contribution. It is argued that criminal law—through sanctioning serious abuse of power irrespective of any lucrative intent—contributes to the legitimacy of policies and actions carried out in the name of the union. As impunity gaps may result from the difficult application of domestic law, the article maintains that it is necessary to stigmatise at the union's level such misdeeds that go beyond cases of mere bad policy or ‘maladministration’. It therefore advocates for a directive requiring Member States to criminalise abuse of powers, which are in breach of the rule of law as one of the foundational values enshrined in Article 2 TEU.</w:t>
      </w:r>
    </w:p>
    <w:p>
      <w:pPr/>
      <w:r>
        <w:rPr>
          <w:b/>
        </w:rPr>
        <w:t>POSSIBLE 2024:</w:t>
      </w:r>
      <w:r>
        <w:t xml:space="preserve"> MODERNIZING THE TRAINING OF LOCAL GOVERNMENT OFFICIALS IN UKRAINE BASED ON CONTEMPORARY EUROPEAN EXPERIENCE — https://doi.org/10.70651/3041-2498/2024.1.01</w:t>
      </w:r>
    </w:p>
    <w:p>
      <w:pPr/>
      <w:r>
        <w:rPr>
          <w:b/>
        </w:rPr>
        <w:t>Shared claim-specific concepts:</w:t>
      </w:r>
      <w:r>
        <w:t xml:space="preserve"> government, officials; EU scope visible. This is a provisional connection, not an outcome finding.</w:t>
      </w:r>
    </w:p>
    <w:p>
      <w:pPr>
        <w:pStyle w:val="SourceNote"/>
      </w:pPr>
      <w:r>
        <w:rPr>
          <w:b/>
        </w:rPr>
        <w:t>Available abstract (not full text):</w:t>
      </w:r>
      <w:r>
        <w:t xml:space="preserve"> The aim of this article is to examine the key aspects of the professional training systems for employees in local self-government in Western Europe, using the French Republic (a unitary system) and the Federal Republic of Germany (a federal system) as case studies, and to assess the feasibility of applying this experience in Ukraine. The study demonstrates that, in many European countries, the professional training of local government officials is implemented as part of a national strategy. In most cases, the role of the public sector is limited to incorporating relevant courses and electives into university curricula. However, there is an increasing trend toward fruitful collaboration between municipalities and educational institutions in the training of relevant professionals. The analysis of European practices in developing conceptual frameworks for training specialists in local self-government allows for several conclusions to be drawn for Ukraine. Given that the current democratic public administration system in Ukraine cannot ensure that vacant elected positions in local self-government bodies will be filled exclusively by certified specialists in the field, it is advisable for the state to support non-governmental educational institutions that prepare professionals for local self-government, based on the demands of the national ‘labor market’. In the current context of l</w:t>
      </w:r>
    </w:p>
    <w:p>
      <w:pPr/>
      <w:r>
        <w:rPr>
          <w:b/>
        </w:rPr>
        <w:t>POSSIBLE 2024:</w:t>
      </w:r>
      <w:r>
        <w:t xml:space="preserve"> Features of preventing abuse of authority or official position committed by public servants — https://doi.org/10.24144/2307-3322.2024.83.3.4</w:t>
      </w:r>
    </w:p>
    <w:p>
      <w:pPr/>
      <w:r>
        <w:rPr>
          <w:b/>
        </w:rPr>
        <w:t>Shared claim-specific concepts:</w:t>
      </w:r>
      <w:r>
        <w:t xml:space="preserve"> first, officials; EU scope visible. This is a provisional connection, not an outcome finding.</w:t>
      </w:r>
    </w:p>
    <w:p>
      <w:pPr>
        <w:pStyle w:val="SourceNote"/>
      </w:pPr>
      <w:r>
        <w:rPr>
          <w:b/>
        </w:rPr>
        <w:t>Available abstract (not full text):</w:t>
      </w:r>
      <w:r>
        <w:t xml:space="preserve"> Corruption in Ukraine is recognized as a threat to national interests, sustainable development and European integration. Despite the significant efforts made by the state and international institutions to overcome corruption in the main spheres of public life, its level still remains high. When defining the essence of corruption, one should first of all proceed from the fact that it cannot be reduced to any specific socially dangerous act, to a specific offense. Corruption is the result of the historical development of society and the state, including Ukrainian society and the Ukrainian state. At the same time, in the last decade, corruption in Ukraine gained an unprecedented scope and influence on political, economic and other social processes. It іs found that the problems of countering corruption in Ukraine in many respects coincide with similar problems in other countries. This coincidence is caused by the same social essence of corruption as the corrosion of power, which consists in the abuse by officials of state authorities and local self-government bodies of power or official position for selfish or other personal interests. Regardless of the differences in the state system, the main socio-economic prerequisites of corruption are the same in principle for all countries − the imperfection of the mechanism of the exercise of power, the desire of subjects endowed with powe</w:t>
      </w:r>
    </w:p>
    <w:p>
      <w:pPr/>
      <w:r>
        <w:rPr>
          <w:b/>
        </w:rPr>
        <w:t>POSSIBLE 2023:</w:t>
      </w:r>
      <w:r>
        <w:t xml:space="preserve"> Prevention of corruption offenses by public officials: Experience from European Union countries — https://doi.org/10.46398/cuestpol.4177.24</w:t>
      </w:r>
    </w:p>
    <w:p>
      <w:pPr/>
      <w:r>
        <w:rPr>
          <w:b/>
        </w:rPr>
        <w:t>Shared claim-specific concepts:</w:t>
      </w:r>
      <w:r>
        <w:t xml:space="preserve"> officials, promote; EU scope visible. This is a provisional connection, not an outcome finding.</w:t>
      </w:r>
    </w:p>
    <w:p>
      <w:pPr>
        <w:pStyle w:val="SourceNote"/>
      </w:pPr>
      <w:r>
        <w:rPr>
          <w:b/>
        </w:rPr>
        <w:t>Available abstract (not full text):</w:t>
      </w:r>
      <w:r>
        <w:t xml:space="preserve"> The article analyzes the effectiveness of preventive anti-corruption measures in the countries of the European Union EU. The study involved comparison and forecasting methods. The results showed that the EU is leading its efforts to develop anti-corruption legislative initiatives and their implementation at national and international level. Whistle-blower protection laws adopted in EU countries are important tools for exposing illegal activities committed in organizations. Transparency of public administration in Denmark and Finland contributes to the maintenance of moral and legal standards in society. The Danish Code of Conduct in the Public Sector and the Finnish Anti-Corruption Guide for Small and Medium-Sized Enterprises have become documents that help promote corruption-free business relationships. The Finnish Harmaa (gray) project is an example of how data analytics helps law enforcement agencies process large volumes of data to prevent corruption offenses. It is concluded that the initiatives of EU countries to prevent corruption of officials can become an example for Ukraine during post-war recovery.</w:t>
      </w:r>
    </w:p>
    <w:p>
      <w:pPr/>
      <w:r>
        <w:rPr>
          <w:b/>
        </w:rPr>
        <w:t>POSSIBLE 2023:</w:t>
      </w:r>
      <w:r>
        <w:t xml:space="preserve"> Government Digitalization in Overcoming Inefficiency of National Budget Utilization for Official Travel of Government Officials — https://openalex.org/W7218059295</w:t>
      </w:r>
    </w:p>
    <w:p>
      <w:pPr/>
      <w:r>
        <w:rPr>
          <w:b/>
        </w:rPr>
        <w:t>Shared claim-specific concepts:</w:t>
      </w:r>
      <w:r>
        <w:t xml:space="preserve"> government, officials; EU scope not established. This is a provisional connection, not an outcome finding.</w:t>
      </w:r>
    </w:p>
    <w:p>
      <w:pPr>
        <w:pStyle w:val="SourceNote"/>
      </w:pPr>
      <w:r>
        <w:rPr>
          <w:b/>
        </w:rPr>
        <w:t>Available abstract (not full text):</w:t>
      </w:r>
      <w:r>
        <w:t xml:space="preserve"> Inefficiency of state and regional budget utilization for government trip occasions is concerned by numerous parties, one of them is the President of the Republic of Indonesia. The main headlight is bureaucracy personnels always spend a huge number of proposed state and regional budgets just for official trips. In order to solve this problem, the government digitalization concept can be applied. It also persuaded the researcher to do this research with a main purpose is identifying positive implications of implementing government digitalization to minimize inefficiency in the public budget for bureaucracy trips. This study was designed by using descriptive qualitative to achieve a holistic situation about the researched topic. As a way to gain essential data several techniques have been used such as: interview, observation, and literature study. In addition, purposive sampling was used to choose the suitable informants. The result of this research exposes that government digitalization is able to be implemented in order to solve the main focus of the research. As a suggestion, the governments have responsibility to construct an integrated systems which do several required occasions such as: showing the contract of the trips, addressing public budget utilization during the trips, and optimizing the acquired outputs of the trips.</w:t>
      </w:r>
    </w:p>
    <w:p>
      <w:pPr/>
      <w:r>
        <w:rPr>
          <w:b/>
        </w:rPr>
        <w:t>POSSIBLE 2022:</w:t>
      </w:r>
      <w:r>
        <w:t xml:space="preserve"> The High Note of Meaning: A Case Study of Public Service Motivation of Local Government Officials — https://doi.org/10.3390/socsci11090411</w:t>
      </w:r>
    </w:p>
    <w:p>
      <w:pPr/>
      <w:r>
        <w:rPr>
          <w:b/>
        </w:rPr>
        <w:t>Shared claim-specific concepts:</w:t>
      </w:r>
      <w:r>
        <w:t xml:space="preserve"> government, officials; EU scope not established. This is a provisional connection, not an outcome finding.</w:t>
      </w:r>
    </w:p>
    <w:p>
      <w:pPr>
        <w:pStyle w:val="SourceNote"/>
      </w:pPr>
      <w:r>
        <w:rPr>
          <w:b/>
        </w:rPr>
        <w:t>Available abstract (not full text):</w:t>
      </w:r>
      <w:r>
        <w:t xml:space="preserve"> Public service motivation (PSM) has provided a new breadth to the study of what attracts and retains workers in public organizations committed to the public mission. The present research contributes to the topic by exploring local government workers’ motivation for public service, the meaning they attribute to their activity as public servants, and the relations between PSM and the meaning of work (MOW). An adaptation of the PSM scale to the Portuguese language and context and the local level of public administration is proposed based on a sample of seventeen surveyed municipalities involving 252 participants. Within the analyzed context, dedication to the public interest is the most important factor of public service motivation and, alongside self-sacrifice, more common in older public servants and those with higher educational degrees. Workers with temporary job contracts rank higher in indifference and disbelief in politics as opposed to those workers with tenure who show a higher dedication to the public interest. The majority of the participants consider their work to be purposeful and meaningful, a state that is significantly positively correlated with the more altruistic dimensions of PSM, self-sacrifice and dedication to the public interest, suggesting a profitable venue of organizational research and work policy benchmarking.</w:t>
      </w:r>
    </w:p>
    <w:p>
      <w:pPr>
        <w:pStyle w:val="Heading2"/>
      </w:pPr>
      <w:r>
        <w:t>573. Are Carbon Prices Redundant in the 2030 EU Climate and Energy Policy Package?</w:t>
      </w:r>
    </w:p>
    <w:p>
      <w:pPr>
        <w:pStyle w:val="SourceNote"/>
      </w:pPr>
      <w:r>
        <w:rPr>
          <w:b/>
        </w:rPr>
        <w:t>Original source (2021):</w:t>
      </w:r>
      <w:r>
        <w:t xml:space="preserve"> https://doi.org/10.5547/01956574.42.3.faun</w:t>
      </w:r>
    </w:p>
    <w:p>
      <w:pPr/>
      <w:r>
        <w:t>Original wording (abstract; indexed_source_text_not_full_document_verified): We demonstrate that a cost-efficient policy that obtains a 50 percent GHG emissions reduction would increase annual welfare (relative to the Reference scenario) by an amount corresponding to 0.6 percent of GDP in Europe. In 2018, an agreement between the key EU institutions—the Commission, the European Parliament, and the European Council—was reached after a long-lasting discourse over the 2030 EU climate and energy policy package.</w:t>
      </w:r>
    </w:p>
    <w:p>
      <w:pPr/>
      <w:r>
        <w:rPr>
          <w:b/>
        </w:rPr>
        <w:t>POSSIBLE 2026:</w:t>
      </w:r>
      <w:r>
        <w:t xml:space="preserve"> Energy policy and economic security: a comparison of Europe and Asia — https://doi.org/10.33223/epj/207199</w:t>
      </w:r>
    </w:p>
    <w:p>
      <w:pPr/>
      <w:r>
        <w:rPr>
          <w:b/>
        </w:rPr>
        <w:t>Shared claim-specific concepts:</w:t>
      </w:r>
      <w:r>
        <w:t xml:space="preserve"> demonstrate, key; EU scope visible. This is a provisional connection, not an outcome finding.</w:t>
      </w:r>
    </w:p>
    <w:p>
      <w:pPr>
        <w:pStyle w:val="SourceNote"/>
      </w:pPr>
      <w:r>
        <w:rPr>
          <w:b/>
        </w:rPr>
        <w:t>Available abstract (not full text):</w:t>
      </w:r>
      <w:r>
        <w:t xml:space="preserve"> The aim of this study is to analyze the impact of energy policy on economic security in European and Asian countries.The methodology includes a comparative analysis of energy policies across Europe and Asia, with a content analysis of legislative frameworks, statistical analysis of energy data, and case studies to assess the effectiveness of energy strategies in ensuring economic security.The key aspects of energy strategies, such as dependence on imported energy resources, the development of renewable energy, and energy efficiency, and how these factors influence economic stability, were compared.The study explores the experiences of European countries like Germany and France, Asian nations such as China and Japan, and Uzbekistan, which is actively improving its infrastructure.It was highlighted that the role of political decisions, investment in advanced technologies, and international cooperation plays in ensuring energy stability.Countries with diverse energy sources show greater resilience to economic crises and external political pressures compared to those with lower energy independence.The experiences of European, Asian countries, and Uzbekistan demonstrate that energy policy is a critical factor in economic security.Reliable and accessible energy sources are essential for stable economic growth.It was concluded that countries adopting innovative approaches in the energ</w:t>
      </w:r>
    </w:p>
    <w:p>
      <w:pPr/>
      <w:r>
        <w:rPr>
          <w:b/>
        </w:rPr>
        <w:t>POSSIBLE 2026:</w:t>
      </w:r>
      <w:r>
        <w:t xml:space="preserve"> From Policy to Practice: European Funding and the Development of Energy-Efficient Buildings in Romania’s Mountain Regions — https://doi.org/10.3390/buildings16061161</w:t>
      </w:r>
    </w:p>
    <w:p>
      <w:pPr/>
      <w:r>
        <w:rPr>
          <w:b/>
        </w:rPr>
        <w:t>Shared claim-specific concepts:</w:t>
      </w:r>
      <w:r>
        <w:t xml:space="preserve"> emissions, reduction, annual; EU scope visible. This is a provisional connection, not an outcome finding.</w:t>
      </w:r>
    </w:p>
    <w:p>
      <w:pPr>
        <w:pStyle w:val="SourceNote"/>
      </w:pPr>
      <w:r>
        <w:rPr>
          <w:b/>
        </w:rPr>
        <w:t>Available abstract (not full text):</w:t>
      </w:r>
      <w:r>
        <w:t xml:space="preserve"> The European Union’s transition to climate neutrality by 2050 requires measurable reductions in energy consumption and greenhouse gas emissions, especially in territories characterized by geographical constraints, such as mountainous regions. The study analyzes how European funding guidelines are translated into concrete technical interventions for public buildings in mountainous areas of Romania, using a representative case study from Rodna, Bistrița-Năsăud County. The methodology is based on the national energy performance calculation framework (Mc 001/2022), harmonized with Directive 2010/31/EU and aligned with the EN ISO 52016-1 framework, while maintaining compatibility with the quasi-steady-state methodology implemented in MC 001/2022, and includes the assessment of compliance with the “Do No Significant Harm” (DNSH) principle also. The integrated energy rehabilitation of the analyzed building led to reductions in final energy consumption of 30–45%, primary energy consumption of 40–45%, and operational CO2 emissions of 45–50%. The integration of renewable energy sources increased their share to approximately 35% of the building’s energy mix. The estimated annual reduction of 40–45 tons of CO2 highlights the direct climate impact of investments financed from European funds. The results confirm that European funding instruments function not only as financial mechanisms, but</w:t>
      </w:r>
    </w:p>
    <w:p>
      <w:pPr/>
      <w:r>
        <w:rPr>
          <w:b/>
        </w:rPr>
        <w:t>POSSIBLE 2026:</w:t>
      </w:r>
      <w:r>
        <w:t xml:space="preserve"> The cost and benefit of GHG emissions and default risk — https://doi.org/10.1007/s10479-026-07193-y</w:t>
      </w:r>
    </w:p>
    <w:p>
      <w:pPr/>
      <w:r>
        <w:rPr>
          <w:b/>
        </w:rPr>
        <w:t>Shared claim-specific concepts:</w:t>
      </w:r>
      <w:r>
        <w:t xml:space="preserve"> ghg, emissions, reduction, increase, relative, between; EU scope not established. This is a provisional connection, not an outcome finding.</w:t>
      </w:r>
    </w:p>
    <w:p>
      <w:pPr>
        <w:pStyle w:val="SourceNote"/>
      </w:pPr>
      <w:r>
        <w:rPr>
          <w:b/>
        </w:rPr>
        <w:t>Available abstract (not full text):</w:t>
      </w:r>
      <w:r>
        <w:t xml:space="preserve"> Abstract This paper examines the relationship between the financial costs associated with carbon emissions and the intensity of green revenues relative to emissions and firm-level default risk. Contributing to the ongoing debate on emissions measurement approaches, we construct two novel intensity measures that capture the monetary value of emissions: average carbon cost (Cost/GHG) and green-revenue intensity (GR/GHG). Using global firm-level data from 2008 to 2022, we find that exposure to carbon costs is strongly associated with increased default risk, while the evidence for green-revenue intensity is more modest and does not translate into a clear reduction in market-implied default probabilities. On average, a $1,000 increase in carbon cost per tonne of emissions is associated with a 0.70 percentage point rise in the probability of default and a reduction in Distance-to-Default, and these relationships remain robust when absorbing time-varying industry cycles and country-level macro and policy conditions. The association between carbon-cost exposure and default risk is most pronounced in high transition-risk sectors and is weaker in firms with higher managerial ability and operational efficiency. Overall, the results highlight the importance of incorporating monetary valuations of transition exposures when assessing climate-related credit risk.</w:t>
      </w:r>
    </w:p>
    <w:p>
      <w:pPr/>
      <w:r>
        <w:rPr>
          <w:b/>
        </w:rPr>
        <w:t>POSSIBLE 2026:</w:t>
      </w:r>
      <w:r>
        <w:t xml:space="preserve"> From runoff to circular resource: an integrated optimization framework for cost, energy, and GHG performance in urban stormwater systems — https://doi.org/10.1038/s41545-026-00585-4</w:t>
      </w:r>
    </w:p>
    <w:p>
      <w:pPr/>
      <w:r>
        <w:rPr>
          <w:b/>
        </w:rPr>
        <w:t>Shared claim-specific concepts:</w:t>
      </w:r>
      <w:r>
        <w:t xml:space="preserve"> ghg, emissions, annual, between, key; EU scope not established. This is a provisional connection, not an outcome finding.</w:t>
      </w:r>
    </w:p>
    <w:p>
      <w:pPr>
        <w:pStyle w:val="SourceNote"/>
      </w:pPr>
      <w:r>
        <w:rPr>
          <w:b/>
        </w:rPr>
        <w:t>Available abstract (not full text):</w:t>
      </w:r>
      <w:r>
        <w:t xml:space="preserve"> Stormwater reuse is a key strategy for advancing integrated urban water management under the One Water framework, yet identifying sustainable treatment trains remains challenging due to trade-offs among cost, energy, and emissions. This study presents an integrated techno-economic and environmental optimization framework to identify optimal end-use-specific stormwater treatment systems for the eastern United States. A mixed-integer nonlinear programming superstructure integrates cost, energy, and life cycle greenhouse gas emissions data for a suite of technologies—including coagulation, sedimentation, constructed wetlands, filtration, membranes, and disinfection—across five end uses: drinking, industrial, irrigation, infrastructure, and surface-water recharge. Results reveal that cost-optimal treatment trains generally align with emission-optimal trains for drinking water, irrigation, and infrastructure, as treatment flexibility is constrained by either stringent (drinking water) or lenient (irrigation, infrastructure) quality requirements that limit flexibility. Industrial and surface-water recharge pathways exhibit greater differentiation among objectives, reflecting trade-offs between costs and emissions. Under typical influent conditions, levelized costs range from $0.06–$0.20 m⁻³, life cycle GHG emissions from 0.14–0.35 kg CO₂-eq m⁻³, and energy consumption from 0.3–0.8 kW</w:t>
      </w:r>
    </w:p>
    <w:p>
      <w:pPr/>
      <w:r>
        <w:rPr>
          <w:b/>
        </w:rPr>
        <w:t>POSSIBLE 2026:</w:t>
      </w:r>
      <w:r>
        <w:t xml:space="preserve"> GHG Emissions and Firm Performance: Evidence from Mandatory Indoor Temperature Restriction — https://doi.org/10.2308/jiar-2024-068</w:t>
      </w:r>
    </w:p>
    <w:p>
      <w:pPr/>
      <w:r>
        <w:rPr>
          <w:b/>
        </w:rPr>
        <w:t>Shared claim-specific concepts:</w:t>
      </w:r>
      <w:r>
        <w:t xml:space="preserve"> ghg, emissions, reduction; EU scope not established. This is a provisional connection, not an outcome finding.</w:t>
      </w:r>
    </w:p>
    <w:p>
      <w:pPr>
        <w:pStyle w:val="SourceNote"/>
      </w:pPr>
      <w:r>
        <w:rPr>
          <w:b/>
        </w:rPr>
        <w:t>Available abstract (not full text):</w:t>
      </w:r>
      <w:r>
        <w:t xml:space="preserve"> ABSTRACT I investigate the impact of greenhouse gas (GHG) emissions on firm performance by using mandatory indoor temperature restrictions as an exogenous shock. I find that designated energy-using firms experienced a decline in performance following the implementation of mandatory indoor temperature restrictions. This effect was not driven by customer or employee but by increased compliance costs. Although affected firms raised advertising expenditures to retain or attract customers, this strategy did not improve performance. Family-owned firms were more negatively affected than non-family-owned firms due to weaker preparedness for regulatory adaptation. The negative effect was concentrated in the second to fourth quarters, when outdoor temperatures exceeded the threshold. These findings contribute to the ongoing debate over the economic consequences of environmental regulation and highlight the importance of firm adaptability. The study also provides timely insights for policymakers aiming to balance carbon reduction goals with economic performance under increasingly stringent environmental mandates. Data Availability: Data are available from the sources cited in the text. JEL Classifications: M41; Q54; Q58.</w:t>
      </w:r>
    </w:p>
    <w:p>
      <w:pPr/>
      <w:r>
        <w:rPr>
          <w:b/>
        </w:rPr>
        <w:t>POSSIBLE 2026:</w:t>
      </w:r>
      <w:r>
        <w:t xml:space="preserve"> Research Infrastructures and the Open Science Roadmap: European and Italian Strategies and Policies — https://doi.org/10.1007/978-3-032-29575-0_2</w:t>
      </w:r>
    </w:p>
    <w:p>
      <w:pPr/>
      <w:r>
        <w:rPr>
          <w:b/>
        </w:rPr>
        <w:t>Shared claim-specific concepts:</w:t>
      </w:r>
      <w:r>
        <w:t xml:space="preserve"> key, institutions; EU scope visible. This is a provisional connection, not an outcome finding.</w:t>
      </w:r>
    </w:p>
    <w:p>
      <w:pPr>
        <w:pStyle w:val="SourceNote"/>
      </w:pPr>
      <w:r>
        <w:rPr>
          <w:b/>
        </w:rPr>
        <w:t>Available abstract (not full text):</w:t>
      </w:r>
      <w:r>
        <w:t xml:space="preserve"> This chapter examines the policy frameworks that shape Research Infrastructures (RIs) in Europe and Italy. It focuses on global and European actors—such as the European Open Science Cloud (EOSC)—and analyses their role in advancing Open Science initiatives. The chapter also explores the plans, programs, and policies aimed at strengthening Research Infrastructures, expanding their openness, and promoting their use not only within research communities but also among key stakeholders in the European and national research and innovation system, including enterprises, the third sector, policymakers, public administrations, and civil society. Furthermore, the chapter investigates the strategies, actions, and main initiatives funded under the Italian National Recovery and Resilience Plan (PNRR—Piano Nazionale di Ripresa e Resilienza), with particular attention to Mission 4—Component 2—From Research to Enterprise. In this context, it highlights interventions designed to reinforce RIs and to develop a federated national system of research infrastructures in the Social Sciences and Humanities (SSH). This strategy, implemented through the involvement of leading Italian universities and research institutions, aims to effectively and efficiently support the country’s scientific advancement and socio-economic development by translating European and national principles and strategies for Open</w:t>
      </w:r>
    </w:p>
    <w:p>
      <w:pPr/>
      <w:r>
        <w:rPr>
          <w:b/>
        </w:rPr>
        <w:t>POSSIBLE 2026:</w:t>
      </w:r>
      <w:r>
        <w:t xml:space="preserve"> The Rise of European Housing Policy — https://doi.org/10.24834/isbn.9789178777341</w:t>
      </w:r>
    </w:p>
    <w:p>
      <w:pPr/>
      <w:r>
        <w:rPr>
          <w:b/>
        </w:rPr>
        <w:t>Shared claim-specific concepts:</w:t>
      </w:r>
      <w:r>
        <w:t xml:space="preserve"> institutions, commission; EU scope visible. This is a provisional connection, not an outcome finding.</w:t>
      </w:r>
    </w:p>
    <w:p>
      <w:pPr>
        <w:pStyle w:val="SourceNote"/>
      </w:pPr>
      <w:r>
        <w:rPr>
          <w:b/>
        </w:rPr>
        <w:t>Available abstract (not full text):</w:t>
      </w:r>
      <w:r>
        <w:t xml:space="preserve"> In December 2025, the European Commission presented its first-ever European Affordable Housing Plan (EAHP). The plan comes as a direct response to the ongoing European housing crisis—a crisis permeated by rising house prices and rents which has made housing increasingly unaffordable. Arguably, the announcement of the plan reflects an amplified presence of the EU in housing matter, a policy field which is not a formal EU competence. This report provides a snapshot of the development and announcement of EAHP by mapping perspectives from various EU institutions, political actors and other stakeholders. It examines how housing problems and solutions are framed at the European level and explores how emerging European housing policy can be understood in a Swedish context. The findings show a multifaceted European effort, attempting to tackle the crisis in a broad manner. However, the EAHP lacks detail and remains rather ambiguous in many of its policy interventions; it often refers to initiatives already in play, or, to unfinished strategies and additional plans expected to come later. The changes to state aid rules are presented as one of the most concrete actions, nevertheless, their applicability in Sweden is questioned. Ultimately, the report concludes that it is difficult to assess the outcomes of a strengthened European housing policy, as the presented plan is only an initial s</w:t>
      </w:r>
    </w:p>
    <w:p>
      <w:pPr/>
      <w:r>
        <w:rPr>
          <w:b/>
        </w:rPr>
        <w:t>POSSIBLE 2026:</w:t>
      </w:r>
      <w:r>
        <w:t xml:space="preserve"> Progressive Industrial Policy in Europe — https://doi.org/10.4324/9781003745563</w:t>
      </w:r>
    </w:p>
    <w:p>
      <w:pPr/>
      <w:r>
        <w:rPr>
          <w:b/>
        </w:rPr>
        <w:t>Shared claim-specific concepts:</w:t>
      </w:r>
      <w:r>
        <w:t xml:space="preserve"> reference, key; EU scope visible. This is a provisional connection, not an outcome finding.</w:t>
      </w:r>
    </w:p>
    <w:p>
      <w:pPr>
        <w:pStyle w:val="SourceNote"/>
      </w:pPr>
      <w:r>
        <w:rPr>
          <w:b/>
        </w:rPr>
        <w:t>Available abstract (not full text):</w:t>
      </w:r>
      <w:r>
        <w:t xml:space="preserve"> Amid accelerating global warming, the digital revolution and rising geopolitical tensions, industrial policy has taken centre-stage in EU policymaking. Consequently, initiatives such as the Green Deal Industrial Plan, the CHIPS &amp; Science Act, the Important Projects of Common European Interest (IPCEIs) and the InvestAI initiative have been developed or proposed recently. Meanwhile, by reintroducing competitiveness and security as primary objectives for industrial policy, European policymakers appear to backtrack on the social and environmental agenda, while not effectively addressing critical governance deficits and financing gaps. European industrial policy is thus at a critical juncture, and its strategic trajectory is currently under discussion. The volume intervenes into current industrial policy debates from a critical perspective. Achieving sustainable, inclusive and effective industrial policy depends on embracing a progressive approach that prioritises broad stakeholder engagement, effective governance and accelerated implementation, instead of a push for rearmament and geopolitical competition. Progressive Industrial Policy in Europe serves as a key reference for scholars and students in a diverse range of academic disciplines. The volume is also intended for researchers active at trade unions, think tanks and NGOs, along with policymakers and specialised civil servants</w:t>
      </w:r>
    </w:p>
    <w:p>
      <w:pPr/>
      <w:r>
        <w:rPr>
          <w:b/>
        </w:rPr>
        <w:t>POSSIBLE 2025:</w:t>
      </w:r>
      <w:r>
        <w:t xml:space="preserve"> The future of EU tax policy harmonisation: Cost of non-Europe report — https://doi.org/10.2861/8675836</w:t>
      </w:r>
    </w:p>
    <w:p>
      <w:pPr/>
      <w:r>
        <w:rPr>
          <w:b/>
        </w:rPr>
        <w:t>Shared claim-specific concepts:</w:t>
      </w:r>
      <w:r>
        <w:t xml:space="preserve"> agreement, commission, council; EU scope visible. This is a provisional connection, not an outcome finding.</w:t>
      </w:r>
    </w:p>
    <w:p>
      <w:pPr>
        <w:pStyle w:val="SourceNote"/>
      </w:pPr>
      <w:r>
        <w:rPr>
          <w:b/>
        </w:rPr>
        <w:t>Available abstract (not full text):</w:t>
      </w:r>
      <w:r>
        <w:t xml:space="preserve"> tax rules but also from inconsistent administrative procedures, digitalisation gaps and duplicated requirements across jurisdictions.In this context, the fragmentation of national tax regimes undermines the EU's capacity to uphold fair competition, ensure fiscal sustainability and deliver on its strategic objectives.It weakens the collective ability to address cross-border tax evasion, enforce equitable taxation of digital and intangible assets and respond to global developments such as the OECD/G20 minimum corporate tax agreement.Moreover, the rising demand for a more competitive, socially cohesive and strategically autonomous Europe -as underscored in the Letta and Draghi reports 2 -places renewed emphasis on the need for coherence in tax policy.From the perspective of European integration, a more coordinated tax framework is thus essential to support the smooth functioning of the internal market.Fragmentation in tax rules could act as a de facto barrier to investment, 3 labour mobility, 4 and cross-border services, 5 eroding the core economic freedoms of the Union.6 It also contributes to legal uncertainty, as recent State aid investigations and rulings by the Court of Justice of the European Union (e.g. in the Apple and Amazon cases) have shown, 7 potentially deterring both investors and Member States from pursuing optimal tax strategies.While full harmonisation may remain </w:t>
      </w:r>
    </w:p>
    <w:p>
      <w:pPr/>
      <w:r>
        <w:rPr>
          <w:b/>
        </w:rPr>
        <w:t>POSSIBLE 2024:</w:t>
      </w:r>
      <w:r>
        <w:t xml:space="preserve"> From Policy to Practice: Upper Bound Cost Estimates of Europes Green Hydrogen Ambitions — https://doi.org/10.48550/arxiv.2406.07149</w:t>
      </w:r>
    </w:p>
    <w:p>
      <w:pPr/>
      <w:r>
        <w:rPr>
          <w:b/>
        </w:rPr>
        <w:t>Shared claim-specific concepts:</w:t>
      </w:r>
      <w:r>
        <w:t xml:space="preserve"> increase, commission; EU scope visible. This is a provisional connection, not an outcome finding.</w:t>
      </w:r>
    </w:p>
    <w:p>
      <w:pPr>
        <w:pStyle w:val="SourceNote"/>
      </w:pPr>
      <w:r>
        <w:rPr>
          <w:b/>
        </w:rPr>
        <w:t>Available abstract (not full text):</w:t>
      </w:r>
      <w:r>
        <w:t xml:space="preserve"> As the European countries strive to meet their ambitious climate goals, renewable hydrogen has emerged to aid in decarbonizing energy-intensive sectors and support the overall energy transition. To ensure that hydrogen production aligns with these goals, the European Commission has introduced criteria for additionality, temporal correlation, and geographical correlation. These criteria are designed to ensure that hydrogen production from renewable sources supports the growth of renewable energy. This study assesses the impact of these criteria on green hydrogen production, focusing on production costs and technology impacts. The European energy market is simulated up to 2048 using stochastic programming, applying these requirements exclusively to green hydrogen production without the phased-in compliance period outlined in the EU regulations. The findings show that meeting the criteria will increase expected system costs by 82 billion euro from 2024 to 2048, largely due to the rapid shift from fossil fuels to renewable energy. The additionality requirement, which mandates the use of new renewable energy installations for electrolysis, proves to be the most expensive, but also the most effective in accelerating renewable energy adoption.</w:t>
      </w:r>
    </w:p>
    <w:p>
      <w:pPr/>
      <w:r>
        <w:rPr>
          <w:b/>
        </w:rPr>
        <w:t>POSSIBLE 2024:</w:t>
      </w:r>
      <w:r>
        <w:t xml:space="preserve"> Policy complexity and implementation performance in the European Union — https://doi.org/10.1111/rego.12580</w:t>
      </w:r>
    </w:p>
    <w:p>
      <w:pPr/>
      <w:r>
        <w:rPr>
          <w:b/>
        </w:rPr>
        <w:t>Shared claim-specific concepts:</w:t>
      </w:r>
      <w:r>
        <w:t xml:space="preserve"> between, commission; EU scope visible. This is a provisional connection, not an outcome finding.</w:t>
      </w:r>
    </w:p>
    <w:p>
      <w:pPr>
        <w:pStyle w:val="SourceNote"/>
      </w:pPr>
      <w:r>
        <w:rPr>
          <w:b/>
        </w:rPr>
        <w:t>Available abstract (not full text):</w:t>
      </w:r>
      <w:r>
        <w:t xml:space="preserve"> This study examines the relationship between the complexity of EU directives and their successful implementation at the national level. Moving beyond the state‐of‐the‐art, we propose a comprehensive framework considering structural, linguistic, and relational dimensions of policy complexity. We argue that policy complexity entails higher transaction costs, hindering effective implementation. Using a novel dataset covering roughly 1000 directives from 1994 to 2022, we find strong evidence of policy complexity negatively impacting implementation performance. Moreover, we find that states with higher administrative capacity are better able to process high complexity efficiently and that Eurosceptic member states attract fewer infringement proceedings in highly complex policy environments than Europhile member states. This could alternatively point to strategic enforcement behavior of the Commission or to bureaucracies that are less Eurosceptic than their political masters might wish for. Our study thereby contributes to a deeper understanding of the challenges of successful implementation of EU directives.</w:t>
      </w:r>
    </w:p>
    <w:p>
      <w:pPr/>
      <w:r>
        <w:rPr>
          <w:b/>
        </w:rPr>
        <w:t>POSSIBLE 2024:</w:t>
      </w:r>
      <w:r>
        <w:t xml:space="preserve"> Forecasting long-term energy demand and reductions in GHG emissions — https://doi.org/10.1007/s12053-024-10203-2</w:t>
      </w:r>
    </w:p>
    <w:p>
      <w:pPr/>
      <w:r>
        <w:rPr>
          <w:b/>
        </w:rPr>
        <w:t>Shared claim-specific concepts:</w:t>
      </w:r>
      <w:r>
        <w:t xml:space="preserve"> ghg, emissions; EU scope not established. This is a provisional connection, not an outcome finding.</w:t>
      </w:r>
    </w:p>
    <w:p>
      <w:pPr>
        <w:pStyle w:val="SourceNote"/>
      </w:pPr>
      <w:r>
        <w:rPr>
          <w:b/>
        </w:rPr>
        <w:t>Available abstract (not full text):</w:t>
      </w:r>
      <w:r>
        <w:t xml:space="preserve"> Unavailable</w:t>
      </w:r>
    </w:p>
    <w:p>
      <w:pPr>
        <w:pStyle w:val="Heading2"/>
      </w:pPr>
      <w:r>
        <w:t>574. Are the European manufacturing and energy sectors on track for achieving net-zero emissions in 2050? An empirical analysis</w:t>
      </w:r>
    </w:p>
    <w:p>
      <w:pPr>
        <w:pStyle w:val="SourceNote"/>
      </w:pPr>
      <w:r>
        <w:rPr>
          <w:b/>
        </w:rPr>
        <w:t>Original source (2021):</w:t>
      </w:r>
      <w:r>
        <w:t xml:space="preserve"> https://doi.org/10.1016/j.enpol.2021.112464</w:t>
      </w:r>
    </w:p>
    <w:p>
      <w:pPr/>
      <w:r>
        <w:t>Original wording (abstract; indexed_source_text_not_full_document_verified): The findings highlight that achieving net-zero emissions by 2050 will require additional policies that are tailored to super-polluters and also support installations that have not started their decarbonisation pathway. The European Green Deal has established a 2050 net-zero emissions target to tackle climate change.</w:t>
      </w:r>
    </w:p>
    <w:p>
      <w:pPr/>
      <w:r>
        <w:rPr>
          <w:b/>
        </w:rPr>
        <w:t>POSSIBLE 2026:</w:t>
      </w:r>
      <w:r>
        <w:t xml:space="preserve"> Achieving SDG6 for Sustainable Water Supply and Wastewater Management in Southeastern Europe — https://doi.org/10.64697/iahr-apd2024_p559</w:t>
      </w:r>
    </w:p>
    <w:p>
      <w:pPr/>
      <w:r>
        <w:rPr>
          <w:b/>
        </w:rPr>
        <w:t>Shared claim-specific concepts:</w:t>
      </w:r>
      <w:r>
        <w:t xml:space="preserve"> findings, highlight, achieving, policies, support, established; EU scope visible. This is a provisional connection, not an outcome finding.</w:t>
      </w:r>
    </w:p>
    <w:p>
      <w:pPr>
        <w:pStyle w:val="SourceNote"/>
      </w:pPr>
      <w:r>
        <w:rPr>
          <w:b/>
        </w:rPr>
        <w:t>Available abstract (not full text):</w:t>
      </w:r>
      <w:r>
        <w:t xml:space="preserve"> To assist three Southeastern Europe (SEE) countries, namely Albania, Bosnia and Herzegovina, and Montenegro, in meeting their SDG 6 targets while simultaneously enhancing their environment and advancing sustainable development, two UNESCO Water Centres from SEE were assigned a collaborative project, the findings of which are summarized in this paper. The paper offers an integrated strategy for achieving SDG6 focusing among others to objective 6B, which concerns stakeholder engagement, and specifically targets indicator 6.B.1. This indicator evaluates the extent to which local administrative units have established and operationalized policies and mechanisms for involving local communities in water and sanitation management. A combination of in-person interviews, site visits, data collecting and analysis from literature, and a standardized questionnaire directed at local and regional water agencies to describe and analyse the current state of water resource management in the three SEE countries. The more pressing needs related to drinking water and wastewater security were investigated. Subsequently, a thorough evaluation encompassing water and wastewater services, water infrastructure, policy issues, funding, and management aspects was conducted to provide a comprehensive review. Key areas of focus include the identification of priority needs, the need for water conservation pla</w:t>
      </w:r>
    </w:p>
    <w:p>
      <w:pPr/>
      <w:r>
        <w:rPr>
          <w:b/>
        </w:rPr>
        <w:t>POSSIBLE 2026:</w:t>
      </w:r>
      <w:r>
        <w:t xml:space="preserve"> Achieving SDG 7 in the European Union: The Impact of Institutions and Macroeconomic Factors on Energy Conservation — https://doi.org/10.1002/sd.71042</w:t>
      </w:r>
    </w:p>
    <w:p>
      <w:pPr/>
      <w:r>
        <w:rPr>
          <w:b/>
        </w:rPr>
        <w:t>Shared claim-specific concepts:</w:t>
      </w:r>
      <w:r>
        <w:t xml:space="preserve"> findings, achieving, policies, support; EU scope visible. This is a provisional connection, not an outcome finding.</w:t>
      </w:r>
    </w:p>
    <w:p>
      <w:pPr>
        <w:pStyle w:val="SourceNote"/>
      </w:pPr>
      <w:r>
        <w:rPr>
          <w:b/>
        </w:rPr>
        <w:t>Available abstract (not full text):</w:t>
      </w:r>
      <w:r>
        <w:t xml:space="preserve"> ABSTRACT Achieving sustainable energy goals (SDG 7) in the European Union requires a deep understanding of the factors driving energy management and conservation. This study investigates the macroeconomic, institutional, and policy drivers of energy management and conservation outcomes across the 27 EU member states from 2014 to 2023. Using multilevel two‐way fixed‐effects models on a panel dataset, we analyze primary energy consumption, final energy consumption, and energy productivity as complementary indicators of energy conservation and energy management. Panel results show that higher energy prices are key drivers of improved energy productivity and conservation, supporting the effectiveness of price‐based instruments. Furthermore, cross‐sectional analysis indicates that stronger institutional quality is positively associated with these outcomes, highlighting the relevance of robust governance. Moderation results relying on the 2023 cross‐section should be interpreted cautiously, as they cannot support causal inference or persistence over time. Coherent policy mixes significantly enhance energy management, particularly in the industry and services sectors; notably, the policy mix acts as a suppressor rather than a mediator in these relationships. Our findings underscore that a successful and just energy transition, aligned with the Sustainable Development Goals, necessitat</w:t>
      </w:r>
    </w:p>
    <w:p>
      <w:pPr/>
      <w:r>
        <w:rPr>
          <w:b/>
        </w:rPr>
        <w:t>POSSIBLE 2026:</w:t>
      </w:r>
      <w:r>
        <w:t xml:space="preserve"> Agriculture Contributions to Water Pollution and Sustainable Policy Solutions in Europe — https://doi.org/10.3390/earth7040115</w:t>
      </w:r>
    </w:p>
    <w:p>
      <w:pPr/>
      <w:r>
        <w:rPr>
          <w:b/>
        </w:rPr>
        <w:t>Shared claim-specific concepts:</w:t>
      </w:r>
      <w:r>
        <w:t xml:space="preserve"> findings, policies, support, green, deal; EU scope visible. This is a provisional connection, not an outcome finding.</w:t>
      </w:r>
    </w:p>
    <w:p>
      <w:pPr>
        <w:pStyle w:val="SourceNote"/>
      </w:pPr>
      <w:r>
        <w:rPr>
          <w:b/>
        </w:rPr>
        <w:t>Available abstract (not full text):</w:t>
      </w:r>
      <w:r>
        <w:t xml:space="preserve"> Freshwater is essential for sustaining the health of humans, animals, and ecosystems; however, agricultural activities remain a major source of water pollution globally. This review examines how crop production, livestock farming, and aquaculture contribute to water contamination, the effectiveness of current European policies, and the potential of sustainable mitigation strategies. Evidence from the research identified pesticides, herbicides, veterinary antibiotics, nutrient runoff, aquaculture effluents, and microplastics as the primary agricultural pollutants affecting surface and groundwater quality. These contaminants have been linked to ecosystem degradation, biodiversity loss, endocrine disruption, antimicrobial resistance, and adverse human health outcomes. Despite extensive regulatory frameworks, including the Water Framework Directive, Nitrates Directive, Farm to Fork Strategy, and European Green Deal, significant implementation and monitoring challenges remain. Current evidence indicates that only 40% of European surface waters achieve “good” ecological status, highlighting persistent water quality concerns across the region. The review further identified precision irrigation, Internet of Things (IoT)-enabled monitoring, biopesticides, hydroponic systems, and integrated multi-trophic aquaculture as promising solutions for reducing agricultural impacts on water resour</w:t>
      </w:r>
    </w:p>
    <w:p>
      <w:pPr/>
      <w:r>
        <w:rPr>
          <w:b/>
        </w:rPr>
        <w:t>POSSIBLE 2026:</w:t>
      </w:r>
      <w:r>
        <w:t xml:space="preserve"> Spatiotemporal clustering of GHGs emissions in Europe: Exploring the role of spatial component — https://doi.org/10.1016/j.spasta.2026.100960</w:t>
      </w:r>
    </w:p>
    <w:p>
      <w:pPr/>
      <w:r>
        <w:rPr>
          <w:b/>
        </w:rPr>
        <w:t>Shared claim-specific concepts:</w:t>
      </w:r>
      <w:r>
        <w:t xml:space="preserve"> findings, emissions, policies; EU scope visible. This is a provisional connection, not an outcome finding.</w:t>
      </w:r>
    </w:p>
    <w:p>
      <w:pPr>
        <w:pStyle w:val="SourceNote"/>
      </w:pPr>
      <w:r>
        <w:rPr>
          <w:b/>
        </w:rPr>
        <w:t>Available abstract (not full text):</w:t>
      </w:r>
      <w:r>
        <w:t xml:space="preserve"> In this study, we propose a novel application of spatiotemporal clustering in the socio-economic and environmental sciences, with a particular focus on regionalised time series of greenhouse gases (GHGs) emissions from a range of economic sectors. Utilising a hierarchical spatiotemporal clustering methodology, we analyse yearly time series of emissions by gases and sectors from 1990 to 2022 for European regions at the NUTS-2 level. While the clustering algorithm inherently incorporates spatial information based on geographical distance, the extent to which space contributes to the definition of groups still requires further exploration. To address this gap in the literature, we propose a novel indicator, namely the Joint Inertia, which quantifies the contribution of spatial distances when integrated with other features. Through a simulation experiment, we explore the relationship between the Joint Inertia and the relevance of geography in exploiting the groups structure under several configurations of spatial and features patterns, providing insights into the behaviour and potential of the proposed indicator. The empirical findings demonstrate the relevance of the spatial component in identifying emission patterns and dynamics, and the results reveal significant heterogeneity across clusters in trends and dynamics by gases and sectors. This reflects the heterogeneous economic a</w:t>
      </w:r>
    </w:p>
    <w:p>
      <w:pPr/>
      <w:r>
        <w:rPr>
          <w:b/>
        </w:rPr>
        <w:t>POSSIBLE 2026:</w:t>
      </w:r>
      <w:r>
        <w:t xml:space="preserve"> Can a wealth tax reduce CO2 emissions in Europe? — https://doi.org/10.1016/j.ecolecon.2026.109231</w:t>
      </w:r>
    </w:p>
    <w:p>
      <w:pPr/>
      <w:r>
        <w:rPr>
          <w:b/>
        </w:rPr>
        <w:t>Shared claim-specific concepts:</w:t>
      </w:r>
      <w:r>
        <w:t xml:space="preserve"> findings, highlight, emissions, climate; EU scope visible. This is a provisional connection, not an outcome finding.</w:t>
      </w:r>
    </w:p>
    <w:p>
      <w:pPr>
        <w:pStyle w:val="SourceNote"/>
      </w:pPr>
      <w:r>
        <w:rPr>
          <w:b/>
        </w:rPr>
        <w:t>Available abstract (not full text):</w:t>
      </w:r>
      <w:r>
        <w:t xml:space="preserve"> We analyse the potential of wealth taxes to reduce CO2 emissions through two transmission channels: the inequality channel, which links reductions in wealth inequality to lower emissions, and the consumption channel, which analyses how wealth taxes affect consumption by top wealth holders. We simulate the effects of various wealth tax designs over one- and ten-year horizons using harmonised microdata from 22 European countries. Our analysis accounts for survey non-response bias, heterogeneous rates of returns across households, and behavioural responses to taxation. We find that, through the inequality channel, an annual progressive wealth tax could reduce annual CO2 emissions by 7.5%–14.7% after ten years relative to a no-tax scenario, depending on tax progressivity. Through the consumption channel, the average reduction is between 1.5%–3.6%. These findings highlight the potential of wealth taxes to serve a dual purpose: curbing wealth concentration and contributing meaningfully to climate mitigation and justice, by focusing on high-net worth households who account for a disproportionate share of emissions.</w:t>
      </w:r>
    </w:p>
    <w:p>
      <w:pPr/>
      <w:r>
        <w:rPr>
          <w:b/>
        </w:rPr>
        <w:t>POSSIBLE 2026:</w:t>
      </w:r>
      <w:r>
        <w:t xml:space="preserve"> Drivers of carbon emissions in Europe: asymmetric and distributional analysis — https://doi.org/10.1057/s41599-026-08162-3</w:t>
      </w:r>
    </w:p>
    <w:p>
      <w:pPr/>
      <w:r>
        <w:rPr>
          <w:b/>
        </w:rPr>
        <w:t>Shared claim-specific concepts:</w:t>
      </w:r>
      <w:r>
        <w:t xml:space="preserve"> findings, highlight, emissions, policies, also, support; EU scope visible. This is a provisional connection, not an outcome finding.</w:t>
      </w:r>
    </w:p>
    <w:p>
      <w:pPr>
        <w:pStyle w:val="SourceNote"/>
      </w:pPr>
      <w:r>
        <w:rPr>
          <w:b/>
        </w:rPr>
        <w:t>Available abstract (not full text):</w:t>
      </w:r>
      <w:r>
        <w:t xml:space="preserve"> This study on European countries highlights how environmental fiscal policies, innovation, and renewable energy adoption can support long-term decarbonization. This impact is assessed on CO 2 emissions across 24 European economies from 2000 to 2024 using chaotic, asymmetric, and distributional models to capture complex policy responses. The estimates suggest that environmental taxation and spending consistently lower CO 2 emissions, with effects that are substantially stronger in high-emission countries; a 1% increase in environmental spending reduces emissions by more than 6% in the long run. Similarly, a 1% increase in renewable energy consumption reduces emissions by over 9%, while a comparable rise in innovation lowers emissions by around 8%, underscoring the importance of technological progress. Low-carbon technology trade also contributes to mitigation, although its effectiveness is shaped by each country’s absorptive capacity and trade structure. Across all models, adverse policy shocks, such as cuts in environmental spending or reductions in environmental taxes, produce disproportionately larger increases in emissions, underscoring the risks of policy reversals. By integrating chaotic dynamics with asymmetric and distributional analysis, this study provides a more comprehensive framework for understanding policy effectiveness. The findings highlight the need for stable </w:t>
      </w:r>
    </w:p>
    <w:p>
      <w:pPr/>
      <w:r>
        <w:rPr>
          <w:b/>
        </w:rPr>
        <w:t>POSSIBLE 2026:</w:t>
      </w:r>
      <w:r>
        <w:t xml:space="preserve"> H5N1 Transmission Dynamics in Europe: An Endemic-Epidemic Analysis — https://doi.org/10.5281/zenodo.20194753</w:t>
      </w:r>
    </w:p>
    <w:p>
      <w:pPr/>
      <w:r>
        <w:rPr>
          <w:b/>
        </w:rPr>
        <w:t>Shared claim-specific concepts:</w:t>
      </w:r>
      <w:r>
        <w:t xml:space="preserve"> findings, additional, also, support; EU scope visible. This is a provisional connection, not an outcome finding.</w:t>
      </w:r>
    </w:p>
    <w:p>
      <w:pPr>
        <w:pStyle w:val="SourceNote"/>
      </w:pPr>
      <w:r>
        <w:rPr>
          <w:b/>
        </w:rPr>
        <w:t>Available abstract (not full text):</w:t>
      </w:r>
      <w:r>
        <w:t xml:space="preserve"> Highly Pathogenic Avian Influenza H5N1 has caused repeated outbreaks across Europe since 2021, highlighting the need for quantitative frameworks that can support forecasting outbreak dynamics while accounting for temporal and spatial dependence in reported outbreak activity. We developed a spatio-temporal endemic-epidemic model using weekly H5N1 outbreak data from 37 European countries over 208 weeks (2021-2024). A structured feature selection framework was used to screen ecological, environmental, livestock, and anthropogenic covariates and allocate retained predictors across the endemic, autoregressive, and neighbourhood components. Model development and validation were temporally separated, and the final specification was evaluated on an independent 2024 test period against regression baselines and reduced HHH4 models. The final model retained 11 predictors, including several avian community variables together with environmental, livestock, and anthropogenic factors. The autoregressive component accounted for the largest share of fitted incidence, followed by the neighbourhood and endemic components, indicating that recent within-country outbreak activity provided the strongest predictive information while neighbouring-country activity contributed additional value. The proposed HHH4 model achieved the best overall probabilistic predictive performance among the models evaluat</w:t>
      </w:r>
    </w:p>
    <w:p>
      <w:pPr/>
      <w:r>
        <w:rPr>
          <w:b/>
        </w:rPr>
        <w:t>POSSIBLE 2026:</w:t>
      </w:r>
      <w:r>
        <w:t xml:space="preserve"> ACHIEVING SDG 11 IN EUROPE: ASSESSING THE ROLE OF ENERGY USE AND CARBON FOOTPRINTS IN SHAPING SUSTAINABLE CITIES AND COMMUNITIES — https://doi.org/10.15666/aeer/2404_84718505</w:t>
      </w:r>
    </w:p>
    <w:p>
      <w:pPr/>
      <w:r>
        <w:rPr>
          <w:b/>
        </w:rPr>
        <w:t>Shared claim-specific concepts:</w:t>
      </w:r>
      <w:r>
        <w:t xml:space="preserve"> findings, highlight, achieving, emissions, also; EU scope visible. This is a provisional connection, not an outcome finding.</w:t>
      </w:r>
    </w:p>
    <w:p>
      <w:pPr>
        <w:pStyle w:val="SourceNote"/>
      </w:pPr>
      <w:r>
        <w:rPr>
          <w:b/>
        </w:rPr>
        <w:t>Available abstract (not full text):</w:t>
      </w:r>
      <w:r>
        <w:t xml:space="preserve"> Using panel data covering 30 European countries from 2010 to 2024, the study investigates how energy consumption patterns and economic factors influence carbon intensity of GDP, greenhouse gas emissions, and urban sustainability outcomes. The empirical analysis applies panel econometric techniques, including pooled ordinary least squares (OLS), fixed effects (FE), and random effects (RE) models, to examine the relationships between energy use, renewable energy adoption, trade openness, economic growth, and environmental outcomes. The findings show that total energy use significantly increases carbon intensity and greenhouse gas emissions, indicating continued reliance on carbon-intensive energy systems. In contrast, higher per capita energy use and greater reliance on renewable energy sources contribute to reducing carbon intensity and improving urban sustainability outcomes. Trade openness is also found to increase emissions, suggesting the presence of pollution-intensive production patterns linked to global trade integration. In addition, climate-related government spending and renewable energy expansion demonstrate potential in mitigating emissions and supporting sustainable urban development. In conclusion, the results highlight the importance of improving energy efficiency and accelerating renewable energy transitions to achieve sustainable urban development and strengthen</w:t>
      </w:r>
    </w:p>
    <w:p>
      <w:pPr/>
      <w:r>
        <w:rPr>
          <w:b/>
        </w:rPr>
        <w:t>POSSIBLE 2025:</w:t>
      </w:r>
      <w:r>
        <w:t xml:space="preserve"> Towards a harmonized operational earthquake forecasting model for Europe — https://doi.org/10.5194/nhess-25-991-2025</w:t>
      </w:r>
    </w:p>
    <w:p>
      <w:pPr/>
      <w:r>
        <w:rPr>
          <w:b/>
        </w:rPr>
        <w:t>Shared claim-specific concepts:</w:t>
      </w:r>
      <w:r>
        <w:t xml:space="preserve"> findings, highlight, not; EU scope visible. This is a provisional connection, not an outcome finding.</w:t>
      </w:r>
    </w:p>
    <w:p>
      <w:pPr>
        <w:pStyle w:val="SourceNote"/>
      </w:pPr>
      <w:r>
        <w:rPr>
          <w:b/>
        </w:rPr>
        <w:t>Available abstract (not full text):</w:t>
      </w:r>
      <w:r>
        <w:t xml:space="preserve"> Abstract. We develop a harmonized earthquake forecasting model for Europe based on the Epidemic-type Aftershock Sequence (ETAS) model to describe the spatio-temporal evolution of aftershock sequences. We propose a method modification that integrates information from the European Seismic Hazard Model (ESHM20) about the spatial variation of background seismicity during ETAS parameter inversion based on the expectation-maximization (EM) algorithm. Other modifications to the basic ETAS model are explored, namely fixing the productivity term to a higher value to balance the more productive triggering by high-magnitude events with their much rarer occurrence, and replacing the b-value estimate with one relying on the b-positive method to observe the possible effect of short-term incompleteness on model parameters. Retrospective and pseudo-prospective tests demonstrate that ETAS-based models outperform the time-independent benchmark model as well as an ETAS model calibrated on global data. The background-informed ETAS variant achieves the highest score in the pseudo-prospective experiment, but the performance difference to the second-best model is not significant. Our findings highlight promising areas for future exploration, such as avoiding the simplification of using a single b-value for the entire region or reevaluating the completeness of the used seismic catalogs.</w:t>
      </w:r>
    </w:p>
    <w:p>
      <w:pPr/>
      <w:r>
        <w:rPr>
          <w:b/>
        </w:rPr>
        <w:t>POSSIBLE 2025:</w:t>
      </w:r>
      <w:r>
        <w:t xml:space="preserve"> Analysis of water scarcity manifestations in Europe and Ukraine’s place in the system of European water resource coordinates — https://doi.org/10.17721/2306-5680.2025.1.2</w:t>
      </w:r>
    </w:p>
    <w:p>
      <w:pPr/>
      <w:r>
        <w:rPr>
          <w:b/>
        </w:rPr>
        <w:t>Shared claim-specific concepts:</w:t>
      </w:r>
      <w:r>
        <w:t xml:space="preserve"> findings, also, climate; EU scope visible. This is a provisional connection, not an outcome finding.</w:t>
      </w:r>
    </w:p>
    <w:p>
      <w:pPr>
        <w:pStyle w:val="SourceNote"/>
      </w:pPr>
      <w:r>
        <w:rPr>
          <w:b/>
        </w:rPr>
        <w:t>Available abstract (not full text):</w:t>
      </w:r>
      <w:r>
        <w:t xml:space="preserve"> The article presents an analysis of the concept of water deficit and assesses Ukraine’s position in terms of water availability. The main objective of the study is to identify long-term changes in the state of water potential across the European region and to determine possible trends influenced by climatic and anthropogenic factors. The main water-related issues in European countries are highlighted, and the key factors influencing the formation of water resources across Europe are described. A SWOT analysis of Ukraine’s water resource potential is conducted. The study examines the basic indicator of water availability and the main criteria for defining water stress. To achieve this objective, cartographic and comparative-geographical methods were applied to assess the condition of Europe’s water resources. Southern European countries are experiencing an acute water deficit due to increasing aridization and climate shifts. Central Europe is characterized by the depletion of groundwater layers and surface water pollution caused by anthropogenic pressure from industrial production. The main threat to Northern Europe is the onset of glacier and snow melting as a result of global warming. Trends indicate the potential emergence of migration waves over the next 50 years. The increase in water consumption by European countries will alter the water situation and is likely to lead to </w:t>
      </w:r>
    </w:p>
    <w:p>
      <w:pPr/>
      <w:r>
        <w:rPr>
          <w:b/>
        </w:rPr>
        <w:t>POSSIBLE 2025:</w:t>
      </w:r>
      <w:r>
        <w:t xml:space="preserve"> Analysis of solar and wind energy utilisation in Europe and Africa — https://doi.org/10.70132/z8468559752</w:t>
      </w:r>
    </w:p>
    <w:p>
      <w:pPr/>
      <w:r>
        <w:rPr>
          <w:b/>
        </w:rPr>
        <w:t>Shared claim-specific concepts:</w:t>
      </w:r>
      <w:r>
        <w:t xml:space="preserve"> findings, highlight, achieving, policies, climate; EU scope visible. This is a provisional connection, not an outcome finding.</w:t>
      </w:r>
    </w:p>
    <w:p>
      <w:pPr>
        <w:pStyle w:val="SourceNote"/>
      </w:pPr>
      <w:r>
        <w:rPr>
          <w:b/>
        </w:rPr>
        <w:t>Available abstract (not full text):</w:t>
      </w:r>
      <w:r>
        <w:t xml:space="preserve"> The increasing reliance on renewable energy sources is essential for achieving global sustainability, with solar and wind energy playing pivotal roles in mitigating climate change and reducing dependency on fossil fuels.This study presents an in-depth comparative analysis of solar and wind energy utilisation in Europe and Africa, examining the key differences in resource availability, adoption rates, technological advancements, economic factors, and policy frameworks.Europe has made significant progress integrating renewable energy into its energy mix through comprehensive policies, substantial financial investments, and cutting-edge technological developments.In contrast, despite possessing immense renewable energy potential, particularly in solar energy, Africa faces considerable challenges, including inadequate infrastructure, limited funding, and inconsistent policy implementation.The findings highlight the barriers and opportunities for both regions and propose strategies to optimise renewable energy deployment, fostering sustainable development across diverse socio-economic contexts.</w:t>
      </w:r>
    </w:p>
    <w:p>
      <w:pPr/>
      <w:r>
        <w:rPr>
          <w:b/>
        </w:rPr>
        <w:t>POSSIBLE 2025:</w:t>
      </w:r>
      <w:r>
        <w:t xml:space="preserve"> Green Finance, Innovation, and Financial Markets: Shaping Industrial Resilience in China and Europe — https://doi.org/10.55991/j.rjef.94187</w:t>
      </w:r>
    </w:p>
    <w:p>
      <w:pPr/>
      <w:r>
        <w:rPr>
          <w:b/>
        </w:rPr>
        <w:t>Shared claim-specific concepts:</w:t>
      </w:r>
      <w:r>
        <w:t xml:space="preserve"> findings, highlight, achieving, also, support, green; EU scope visible. This is a provisional connection, not an outcome finding.</w:t>
      </w:r>
    </w:p>
    <w:p>
      <w:pPr>
        <w:pStyle w:val="SourceNote"/>
      </w:pPr>
      <w:r>
        <w:rPr>
          <w:b/>
        </w:rPr>
        <w:t>Available abstract (not full text):</w:t>
      </w:r>
      <w:r>
        <w:t xml:space="preserve"> This study examines the impact of green finance (GF), industrial innovation (II), and financial market dynamics (FMD) on industrial resilience (IR) in China and selected European industrialized nations. Panel data from 2003 to 2022 is utilized for empirical analysis. The study used FMOLS regression techniques to control for unobserved heterogeneity across countries. Similarly, GMM estimation is employed to address endogeneity concerns and validate the outcomes. This study proposes three empirical models for achieving its objectives. The models include a baseline model evaluating direct impacts, an interaction model investigating moderating connections, and a region-specific model comparing China with Europe. Findings reveal that GF, II, and FMD significantly enhance IR. Interaction effects indicate that the combined impact of GF and II, GF and FMD, and II and FMD also positively influence IR in the selected panel. Further examination of the regional comparisons reveals that while FMD is more substantial in Europe, China achieves more from GF and II. These results confirm the hypotheses of the study and highlight the importance of financial structures and policy frameworks in shaping industrial resilience. The study further recommends stronger financial market integration with sustainability initiatives in China and increased support for innovation in Europe.</w:t>
      </w:r>
    </w:p>
    <w:p>
      <w:pPr>
        <w:pStyle w:val="Heading2"/>
      </w:pPr>
      <w:r>
        <w:t>575. Assessing Energy Descent Scenarios for the Ecological Transition in Spain 2020–2030</w:t>
      </w:r>
    </w:p>
    <w:p>
      <w:pPr>
        <w:pStyle w:val="SourceNote"/>
      </w:pPr>
      <w:r>
        <w:rPr>
          <w:b/>
        </w:rPr>
        <w:t>Original source (2021):</w:t>
      </w:r>
      <w:r>
        <w:t xml:space="preserve"> https://doi.org/10.3390/su132111867</w:t>
      </w:r>
    </w:p>
    <w:p>
      <w:pPr/>
      <w:r>
        <w:t>Original wording (abstract; indexed_source_text_not_full_document_verified): We continue with an analysis of two ecological transition scenarios for Spain between 2020 and 2030, Green New Deal and Degrowth. Based on a schematic calculation model defined in “Labor Scenarios in the Ecosocial Transition 2020–2030” report, we evaluate the variations in energy consumption for 86 sectors of economic activity.</w:t>
      </w:r>
    </w:p>
    <w:p>
      <w:pPr/>
      <w:r>
        <w:rPr>
          <w:b/>
        </w:rPr>
        <w:t>POSSIBLE 2026:</w:t>
      </w:r>
      <w:r>
        <w:t xml:space="preserve"> OC7 From regulation to implementation: a cross-country ecological analysis of HIV testing frameworks and late diagnosis in Europe — https://doi.org/10.1136/sextrans-icar-2026.6</w:t>
      </w:r>
    </w:p>
    <w:p>
      <w:pPr/>
      <w:r>
        <w:rPr>
          <w:b/>
        </w:rPr>
        <w:t>Shared claim-specific concepts:</w:t>
      </w:r>
      <w:r>
        <w:t xml:space="preserve"> two, ecological; EU scope visible. This is a provisional connection, not an outcome finding.</w:t>
      </w:r>
    </w:p>
    <w:p>
      <w:pPr>
        <w:pStyle w:val="SourceNote"/>
      </w:pPr>
      <w:r>
        <w:rPr>
          <w:b/>
        </w:rPr>
        <w:t>Available abstract (not full text):</w:t>
      </w:r>
      <w:r>
        <w:t xml:space="preserve"> Background Rate of new HIV diagnoses in recent years has remained stable across Europe and proportion of late presentation at diagnosis continues to be high, as highlighted by latest ECDC report. Despite longstanding recommendations to expand routine and community-based testing, cross-country evidence linking national testing frameworks to late diagnosis remains limited. We aimed to assess whether structural and legal characteristics of HIV testing systems are associated with late presentation rates. Methods We conducted an ecological cross-sectional study including countries from WHO European Region. Two composite indices were developed a priori: an HIV Test Legal Stringency Index, capturing HIV-specific regulatory requirements (explicit legal mention, HIV-specific consent procedures, written consent, mandatory pre-test counselling), and an HIV Testing Accessibility Index, reflecting structural facilitation (routine offer, indicator-condition guidelines, community testing, self-testing availability, integrated models). Higher scores indicated greater procedural regulation and structural normalization, respectively. Index components were identified through structured review of national legislation and official public health documents in the local language for each country. AI-assisted search tools supported systematic document retrieval, with manual verification of extracted in</w:t>
      </w:r>
    </w:p>
    <w:p>
      <w:pPr/>
      <w:r>
        <w:rPr>
          <w:b/>
        </w:rPr>
        <w:t>POSSIBLE 2026:</w:t>
      </w:r>
      <w:r>
        <w:t xml:space="preserve"> Economy, Geology and Sustainability: on the Security of Potash Supply in Spain and Europe and the Importance of Fertilizers for European Agriculture — https://doi.org/10.21701/bolgeomin/137.2/004</w:t>
      </w:r>
    </w:p>
    <w:p>
      <w:pPr/>
      <w:r>
        <w:rPr>
          <w:b/>
        </w:rPr>
        <w:t>Shared claim-specific concepts:</w:t>
      </w:r>
      <w:r>
        <w:t xml:space="preserve"> two, spain, between; EU scope visible. This is a provisional connection, not an outcome finding.</w:t>
      </w:r>
    </w:p>
    <w:p>
      <w:pPr>
        <w:pStyle w:val="SourceNote"/>
      </w:pPr>
      <w:r>
        <w:rPr>
          <w:b/>
        </w:rPr>
        <w:t>Available abstract (not full text):</w:t>
      </w:r>
      <w:r>
        <w:t xml:space="preserve"> The intersection of economics, geology and sustainability defines a complex framework for the supply of essential mineral resources. Potassium, crucial for agriculture, is a fundamental pillar in food production, directly impacting food security and public health. Fertilizers are essential for European food security, as agricultural productivity is highly dependent on them. On a continent with limited agricultural resources and a high demand for food, fertilizers are crucial to maximize crop yields and ensure stable production. Globally, half of the food we eat is produced by mineral fertilizers. Intensive fertilizer use presents environmental challenges such as soil degradation, water pollution and greenhouse gas emissions. At present and in Spain, there are two mining projects for the production of potassium salts, both linked to the sedimentary basin of the Ebro Valley in the isolation phase during the late Eocene. One of them, Sùria, in the Catalan area and the other, now under construction, the Muga Project between Navarra and Aragón. Both share many geological conditions in the deposition and chemical composition of their salts and, also, the structural deformations of their sediments in layers as a consequence of the formation of the Pyrenees. Muga is the European novelty in potassium salts and comes from a campaign of geological exploration and systematic drilling of gr</w:t>
      </w:r>
    </w:p>
    <w:p>
      <w:pPr/>
      <w:r>
        <w:rPr>
          <w:b/>
        </w:rPr>
        <w:t>POSSIBLE 2026:</w:t>
      </w:r>
      <w:r>
        <w:t xml:space="preserve"> European Center-Left Parties and Immigration Issues (Examples of Britain, Germany and Spain — https://doi.org/10.20542/0131-2227-2026-70-9-57-65</w:t>
      </w:r>
    </w:p>
    <w:p>
      <w:pPr/>
      <w:r>
        <w:rPr>
          <w:b/>
        </w:rPr>
        <w:t>Shared claim-specific concepts:</w:t>
      </w:r>
      <w:r>
        <w:t xml:space="preserve"> continue, two, spain, between; EU scope visible. This is a provisional connection, not an outcome finding.</w:t>
      </w:r>
    </w:p>
    <w:p>
      <w:pPr>
        <w:pStyle w:val="SourceNote"/>
      </w:pPr>
      <w:r>
        <w:rPr>
          <w:b/>
        </w:rPr>
        <w:t>Available abstract (not full text):</w:t>
      </w:r>
      <w:r>
        <w:t xml:space="preserve"> The topic of immigration has become one of the most urgent and painful in European politics. With the growing popularity of anti-immigrant populist movements, a number of European center-left parties are trying to find a balance between adhering to traditional migration policies and attempting not to alienate the electorate dissatisfied with immigration processes. The article examines the specifics of the immigration policy of the three parties – in the governments of Great Britain (Labour Party), Germany (Social Democratic Party of Germany, SPD) and Spain (Spanish Socialist Workers’ Party, PSOE). The parties discussed in the article demonstrate, in the author’s opinion, two models of reaction to immigration-related challenges. The Labour Party and the SPD continue – largely, as it seems, by inertia – to repeat “mantras” about a positive attitude towards immigration, but actually pursue a policy to limit migration to Britain and Germany to one extent or another. At the same time, the Labour Party is acting, in the author’s view, more consistently than the SPD, who are part of the coalition governments (especially as a junior partner), forced to compromise with the more rigid position of the Christian Democrats. Another model is represented by the PSOE, which is trying to take control of immigration processes by very soft and favorable methods for immigrants (including illegal o</w:t>
      </w:r>
    </w:p>
    <w:p>
      <w:pPr/>
      <w:r>
        <w:rPr>
          <w:b/>
        </w:rPr>
        <w:t>POSSIBLE 2026:</w:t>
      </w:r>
      <w:r>
        <w:t xml:space="preserve"> Age, income, education and religiosity in Europe: evidence from the last two decades — https://doi.org/10.1007/s12232-026-00536-y</w:t>
      </w:r>
    </w:p>
    <w:p>
      <w:pPr/>
      <w:r>
        <w:rPr>
          <w:b/>
        </w:rPr>
        <w:t>Shared claim-specific concepts:</w:t>
      </w:r>
      <w:r>
        <w:t xml:space="preserve"> two, between; EU scope visible. This is a provisional connection, not an outcome finding.</w:t>
      </w:r>
    </w:p>
    <w:p>
      <w:pPr>
        <w:pStyle w:val="SourceNote"/>
      </w:pPr>
      <w:r>
        <w:rPr>
          <w:b/>
        </w:rPr>
        <w:t>Available abstract (not full text):</w:t>
      </w:r>
      <w:r>
        <w:t xml:space="preserve"> Abstract This study explores how individual and regional factors influence religiosity across Europe, focusing on education, income, age, and health as institutional drivers. Testing three sociological hypotheses, we find that education has a U-shaped effect on religious engagement, while age, health, and relative income significantly predict religiosity. Regional economic and educational contexts show no consistent influence. Our findings contribute to institutional economics by illuminating how education and income shape cultural norms and collective belief systems, underscoring the enduring interplay between personal conditions and institutional structures in shaping religious behavior. JEL numbers: Z12, A13.</w:t>
      </w:r>
    </w:p>
    <w:p>
      <w:pPr/>
      <w:r>
        <w:rPr>
          <w:b/>
        </w:rPr>
        <w:t>POSSIBLE 2025:</w:t>
      </w:r>
      <w:r>
        <w:t xml:space="preserve"> On the ecological impact of prehistoric hunter-gatherers in Europe: Early Holocene (Mesolithic) and Last Interglacial (Neanderthal) foragers compared — https://doi.org/10.1371/journal.pone.0328218</w:t>
      </w:r>
    </w:p>
    <w:p>
      <w:pPr/>
      <w:r>
        <w:rPr>
          <w:b/>
        </w:rPr>
        <w:t>Shared claim-specific concepts:</w:t>
      </w:r>
      <w:r>
        <w:t xml:space="preserve"> ecological, between; EU scope visible. This is a provisional connection, not an outcome finding.</w:t>
      </w:r>
    </w:p>
    <w:p>
      <w:pPr>
        <w:pStyle w:val="SourceNote"/>
      </w:pPr>
      <w:r>
        <w:rPr>
          <w:b/>
        </w:rPr>
        <w:t>Available abstract (not full text):</w:t>
      </w:r>
      <w:r>
        <w:t xml:space="preserve"> Recent studies have highlighted evidence of human impact on landscapes dating back to the Late Pleistocene-long before the advent of agriculture. Quantifying the extent of vegetation transformations by hunter-gatherers remains a major research challenge. We address this challenge by comparing climate-based potential natural vegetation cover with pollen-based vegetation reconstructions for the Last Interglacial and the Early Holocene. Differences between these datasets suggest that climate alone cannot fully explain the pollen-based vegetation patterns in Europe during these periods. To explore this issue, we used an upgraded version of the HUMan impact on LANDscapes (HUMLAND) agent-based model (ABM), combined with a genetic algorithm, to generate vegetation change scenarios. By comparing ABM outputs with pollen-based reconstructions, we aimed to identify parameter values that yield HUMLAND results closely matching the pollen-based vegetation cover. The updated ABM covers a broad temporal range, and incorporates the effects of hunting on herbivores and their influence on vegetation regeneration. The results show that the combined effects of megafauna, natural fires, and climatic fluctuations alone lead to vegetation cover estimates that are inconsistent with paleoecological reconstructions. Instead, anthropogenic burning played a key role, with modelling results suggesting that </w:t>
      </w:r>
    </w:p>
    <w:p>
      <w:pPr/>
      <w:r>
        <w:rPr>
          <w:b/>
        </w:rPr>
        <w:t>POSSIBLE 2025:</w:t>
      </w:r>
      <w:r>
        <w:t xml:space="preserve"> Predictiveness and drivers of highly pathogenic avian influenza outbreaks in Europe — https://doi.org/10.1038/s41598-025-04624-x</w:t>
      </w:r>
    </w:p>
    <w:p>
      <w:pPr/>
      <w:r>
        <w:rPr>
          <w:b/>
        </w:rPr>
        <w:t>Shared claim-specific concepts:</w:t>
      </w:r>
      <w:r>
        <w:t xml:space="preserve"> continue, two, ecological; EU scope visible. This is a provisional connection, not an outcome finding.</w:t>
      </w:r>
    </w:p>
    <w:p>
      <w:pPr>
        <w:pStyle w:val="SourceNote"/>
      </w:pPr>
      <w:r>
        <w:rPr>
          <w:b/>
        </w:rPr>
        <w:t>Available abstract (not full text):</w:t>
      </w:r>
      <w:r>
        <w:t xml:space="preserve"> Avian Influenza (AI) outbreaks are on an increasing trajectory. This disease carries a substantial economic burden, resulting in considerable losses to farmers with profound impacts on economies. As the outbreaks continue in birds and other unusual host species, further virus evolution and spillover to humans' risk is anticipated to grow and potentially involve into new pandemics. Despite this, the underlying drivers of the outbreaks remain elusive. We develop machine learning models capable of predicting HPAI events in Europe dynamically uncovering the critical determinants of their onset. Temperature, water index, vegetation index, and poultry density play pivotal roles, with their importance coming into play at different times of the year. Temperature, water index, and vegetation index are important in the ecology of pathogen transmission as well as environmental ecological processes while water index determines how birds aggregate at different locations depending on the season of the year. Combining these drivers, the outbreak pattern is predicted with an accuracy of 94% for model two (M2). A true out of sample with the same model yielded 88% accuracy highlighting its predicting capability. These insights lay a robust foundation for elucidating the intricate landscape of AI outbreaks, offering valuable insights for proactive preventive interventions to mitigate spillover.</w:t>
      </w:r>
    </w:p>
    <w:p>
      <w:pPr/>
      <w:r>
        <w:rPr>
          <w:b/>
        </w:rPr>
        <w:t>POSSIBLE 2024:</w:t>
      </w:r>
      <w:r>
        <w:t xml:space="preserve"> Climate and host plant availability are favourable to the establishment of Lycorma delicatula in Europe — https://doi.org/10.1111/afe.12665</w:t>
      </w:r>
    </w:p>
    <w:p>
      <w:pPr/>
      <w:r>
        <w:rPr>
          <w:b/>
        </w:rPr>
        <w:t>Shared claim-specific concepts:</w:t>
      </w:r>
      <w:r>
        <w:t xml:space="preserve"> two, ecological, evaluate; EU scope visible. This is a provisional connection, not an outcome finding.</w:t>
      </w:r>
    </w:p>
    <w:p>
      <w:pPr>
        <w:pStyle w:val="SourceNote"/>
      </w:pPr>
      <w:r>
        <w:rPr>
          <w:b/>
        </w:rPr>
        <w:t>Available abstract (not full text):</w:t>
      </w:r>
      <w:r>
        <w:t xml:space="preserve"> Abstract Lycorma delicatula , the spotted lanternfly, is a highly successful invasive phloem‐feeding planthopper native to southern China. It has invaded South Korea, Japan, and the United States, where it continues to expand geographically, but it remains absent from Europe. We investigated two key ecological factors influencing the risk of its establishment: climate suitability and the availability of compatible host plants. We developed an ensemble species distribution model using three algorithms to assess the potential geographic range of L. delicatula under current and future climate conditions. We reviewed the literature to evaluate its host repertoire and identified host species present in Europe. Current climate conditions are highly suitable for L. delicatula across much of Europe. Climate change is expected to only slightly alter climate suitability by 2060. Numerous known host plants are also widely distributed throughout Europe. We conclude that neither climate conditions nor the availability of compatible host plants pose a barrier to the establishment of L. delicatula in Europe. Both current and future climate suitability, along with the list of potential host species, can provide valuable guidance for surveillance efforts and enhance the preparedness of phytosanitary authorities.</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spain, green;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2024:</w:t>
      </w:r>
      <w:r>
        <w:t xml:space="preserve"> New Approaches to Generate Data to Measure the Progress of Decarbonization of the Building Stock in Europe and Spain — https://doi.org/10.1007/978-3-031-51829-4_12</w:t>
      </w:r>
    </w:p>
    <w:p>
      <w:pPr/>
      <w:r>
        <w:rPr>
          <w:b/>
        </w:rPr>
        <w:t>Shared claim-specific concepts:</w:t>
      </w:r>
      <w:r>
        <w:t xml:space="preserve"> two, spain, energy, consumption; EU scope visible. This is a provisional connection, not an outcome finding.</w:t>
      </w:r>
    </w:p>
    <w:p>
      <w:pPr>
        <w:pStyle w:val="SourceNote"/>
      </w:pPr>
      <w:r>
        <w:rPr>
          <w:b/>
        </w:rPr>
        <w:t>Available abstract (not full text):</w:t>
      </w:r>
      <w:r>
        <w:t xml:space="preserve"> Abstract The European Commission has initiated efforts to establish indicator frameworks for monitoring building renovation policies and the decarbonization progress of the building stock, to be developed by EU Member States. The chapter suggests that the use of emerging technologies can improve the quality and availability of data for this purpose, focusing on two specific technologies whose potential is explored for the case of Spain. These technologies are, on one hand, georeferencing and automated cross-referencing of existing data, and, on the other, the Digital Building Logbook (DBL). The results of the study show that georeferencing and automated cross-referencing applications include calculating solar potential and estimating energy production, consumption, and emissions using Urban Energy Models (UBEMs). The UBEM, applied to Spain, enables the collection of previously unavailable indicators, improving data availability and quality mainly in the subjects of ‘An overview of the general characteristics of the national building stock’ and ‘An overview of the energy characteristics of the national building stock’. Examining the feasibility of collecting indicators through the DBL indicates that close to 69% of all necessary indicators for monitoring building renovation policies can be obtained. However, challenges in realizing DBL's full potential involve undefined tool mod</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between, based, variations;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High pathogenic avian influenza A(H5) viruses of clade 2.3.4.4b in Europe—Why trends of virus evolution are more difficult to predict — https://doi.org/10.1093/ve/veae027</w:t>
      </w:r>
    </w:p>
    <w:p>
      <w:pPr/>
      <w:r>
        <w:rPr>
          <w:b/>
        </w:rPr>
        <w:t>Shared claim-specific concepts:</w:t>
      </w:r>
      <w:r>
        <w:t xml:space="preserve"> two, ecological; EU scope visible. This is a provisional connection, not an outcome finding.</w:t>
      </w:r>
    </w:p>
    <w:p>
      <w:pPr>
        <w:pStyle w:val="SourceNote"/>
      </w:pPr>
      <w:r>
        <w:rPr>
          <w:b/>
        </w:rPr>
        <w:t>Available abstract (not full text):</w:t>
      </w:r>
      <w:r>
        <w:t xml:space="preserve"> Since 2016, A(H5Nx) high pathogenic avian influenza (HPAI) virus of clade 2.3.4.4b has become one of the most serious global threats not only to wild and domestic birds, but also to public health. In recent years, important changes in the ecology, epidemiology, and evolution of this virus have been reported, with an unprecedented global diffusion and variety of affected birds and mammalian species. After the two consecutive and devastating epidemic waves in Europe in 2020-2021 and 2021-2022, with the second one recognized as one of the largest epidemics recorded so far, this clade has begun to circulate endemically in European wild bird populations. This study used the complete genomes of 1,956 European HPAI A(H5Nx) viruses to investigate the virus evolution during this varying epidemiological outline. We investigated the spatiotemporal patterns of A(H5Nx) virus diffusion to/from and within Europe during the 2020-2021 and 2021-2022 epidemic waves, providing evidence of ongoing changes in transmission dynamics and disease epidemiology. We demonstrated the high genetic diversity of the circulating viruses, which have undergone frequent reassortment events, providing for the first time a complete overview and a proposed nomenclature of the multiple genotypes circulating in Europe in 2020-2022. We described the emergence of a new genotype with gull adapted genes, which offered the </w:t>
      </w:r>
    </w:p>
    <w:p>
      <w:pPr/>
      <w:r>
        <w:rPr>
          <w:b/>
        </w:rPr>
        <w:t>POSSIBLE 2024:</w:t>
      </w:r>
      <w:r>
        <w:t xml:space="preserve"> Mapping lock-ins and enabling environments for agri-food sustainability transitions in Europe — https://doi.org/10.1007/s11625-024-01480-y</w:t>
      </w:r>
    </w:p>
    <w:p>
      <w:pPr/>
      <w:r>
        <w:rPr>
          <w:b/>
        </w:rPr>
        <w:t>Shared claim-specific concepts:</w:t>
      </w:r>
      <w:r>
        <w:t xml:space="preserve"> two, transition, consumption; EU scope visible. This is a provisional connection, not an outcome finding.</w:t>
      </w:r>
    </w:p>
    <w:p>
      <w:pPr>
        <w:pStyle w:val="SourceNote"/>
      </w:pPr>
      <w:r>
        <w:rPr>
          <w:b/>
        </w:rPr>
        <w:t>Available abstract (not full text):</w:t>
      </w:r>
      <w:r>
        <w:t xml:space="preserve"> European agri-food systems must overcome structural lock-ins to achieve more sustainable modes of production and consumption. Yet European regions are highly diverse, and we lack understanding of how different regional characteristics may enable or inhibit sustainability transitions. This hinders the development of context-tailored governance strategies. In this paper, we identify and apply sets of spatial indicators to map the regional potentials for agri-food transitions. We first analyse the strength of lock-in to the incumbent agro-industrial paradigm. We then map the enabling environments for two alternative agri-food networks-multifunctional value chains and civic food networks-that each embed distinct social-ecological qualities of agriculture and food. Results demonstrate a large spatial diversity in transition potential, with stronger lock-ins throughout North and Western Europe and stronger enabling environments for agri-food transitions in Italy, France, Switzerland, and Southwest Germany. We find that lock-ins are strongest in livestock-dominated regions and are associated with higher GHG emissions and excess nitrogen levels. Our study demonstrates the need for coordinated public policies that (1) leverage region-specific transition potentials and (2) enable complementary innovations in market-based and community-led networks. Supplementary Information: The online v</w:t>
      </w:r>
    </w:p>
    <w:p>
      <w:pPr>
        <w:pStyle w:val="Heading2"/>
      </w:pPr>
      <w:r>
        <w:t>576. Boosting the EU forest-based bioeconomy: Market, climate, and employment impacts</w:t>
      </w:r>
    </w:p>
    <w:p>
      <w:pPr>
        <w:pStyle w:val="SourceNote"/>
      </w:pPr>
      <w:r>
        <w:rPr>
          <w:b/>
        </w:rPr>
        <w:t>Original source (2021):</w:t>
      </w:r>
      <w:r>
        <w:t xml:space="preserve"> https://doi.org/10.1016/j.techfore.2020.120478</w:t>
      </w:r>
    </w:p>
    <w:p>
      <w:pPr/>
      <w:r>
        <w:t>Original wording (abstract; indexed_source_text_not_full_document_verified): Further, increased EU imports, resulting in lower consumption of sawnwood outside the EU, would reduce extra-EU long-life HWP carbon storage and substitution of GHG-intensive materials, highlighting the need for concerted international climate change mitigation. The positive EU climate-change mitigation effects of increased carbon storage in harvested wood products (HWP) and material substitution from increased wood\nconstruction are more than offset by reduced net forests carbon sinks by 2030, due to increased EU harvests.</w:t>
      </w:r>
    </w:p>
    <w:p>
      <w:pPr/>
      <w:r>
        <w:rPr>
          <w:b/>
        </w:rPr>
        <w:t>POSSIBLE 2026:</w:t>
      </w:r>
      <w:r>
        <w:t xml:space="preserve"> CHANGES IN FRUIT PRODUCTION AND IMPORTS FROM TURKEY TO EUROPEAN UNION COUNTRIES — https://doi.org/10.5604/01.3001.0055.6187</w:t>
      </w:r>
    </w:p>
    <w:p>
      <w:pPr/>
      <w:r>
        <w:rPr>
          <w:b/>
        </w:rPr>
        <w:t>Shared claim-specific concepts:</w:t>
      </w:r>
      <w:r>
        <w:t xml:space="preserve"> further, increased, imports; EU scope visible. This is a provisional connection, not an outcome finding.</w:t>
      </w:r>
    </w:p>
    <w:p>
      <w:pPr>
        <w:pStyle w:val="SourceNote"/>
      </w:pPr>
      <w:r>
        <w:rPr>
          <w:b/>
        </w:rPr>
        <w:t>Available abstract (not full text):</w:t>
      </w:r>
      <w:r>
        <w:t xml:space="preserve"> Turkey is a key partner of the European Union and a candidate country for EU accession. It is also one of the world’s largest agricultural producers. The aim of this study was to assess the scale and changes in Turkey’s fruit production potential and to determine the structure and changes in imports of selected fruits from Turkey to the EU Member States. The analysis covered the period 2012-2023, divided into three four-year subperiods. Data on the area under fruit crops, production (harvest volume), and yields in Turkey were obtained from FAOSTAT, while data on imports of selected fruits from Turkey to the EU were retrieved from Eurostat. Fruit production potential was assessed by examining changes in the cultivated area and yields of selected fruit species across the defined subperiods. Changes were measured using a fixed-base index and a chain index. Over the study period, productivity increased markedly in apple and cherry orchards as well as in banana and date plantations. Higher productivity of the main fruit species (apples and cherries), combined with relatively small changes in cultivated area, contributed to an increase in their production in Turkey. Imports of fruit (CN08) from Turkey to the EU increased by 21% over the period analysed. Citrus fruits, nuts, grapes, stone fruits, melons and watermelons, and berries dominated the import structure. In the event of Turke</w:t>
      </w:r>
    </w:p>
    <w:p>
      <w:pPr/>
      <w:r>
        <w:rPr>
          <w:b/>
        </w:rPr>
        <w:t>POSSIBLE 2026:</w:t>
      </w:r>
      <w:r>
        <w:t xml:space="preserve"> THE IMPORT OF THE NATURAL GAS FROM THE REPUBLIC OF AZERBAIJAN IN THE CONTEXT OF THE ENERGY POLICY OF THE EUROPEAN UNION — https://doi.org/10.48137/26870703_2026_35_3_61</w:t>
      </w:r>
    </w:p>
    <w:p>
      <w:pPr/>
      <w:r>
        <w:rPr>
          <w:b/>
        </w:rPr>
        <w:t>Shared claim-specific concepts:</w:t>
      </w:r>
      <w:r>
        <w:t xml:space="preserve"> further, increased, reduce; EU scope visible. This is a provisional connection, not an outcome finding.</w:t>
      </w:r>
    </w:p>
    <w:p>
      <w:pPr>
        <w:pStyle w:val="SourceNote"/>
      </w:pPr>
      <w:r>
        <w:rPr>
          <w:b/>
        </w:rPr>
        <w:t>Available abstract (not full text):</w:t>
      </w:r>
      <w:r>
        <w:t xml:space="preserve"> The paper examines the role of the supply of the natural gas from the Republic of Azerbaijan to the EU in the energy policy of the latter as well as its main importers in the EU – Italy, Bulgaria and Greece for the period starting from 2022. While EU keeps diversifying natural gas and oil supply and seeks to reduce its dependence on the import of gas from Russia, Republic of Azerbaijan remains as an additional but not the main supplier of the natural gas to the European Union. The significance of the alternative natural gas exporters increased for the EU since the European Union decided to halt Russian gas supplies following the start of the Special Military Operation of Russia in Ukraine on 24 February 2022. The diversification in the energy policy of the European Union and its individual member states (Italy, Bulgaria, and Greece) as the main importers of Azerbaijani natural gas is compared with the actual volumes of its import from 2022 to 2025 in relation to other suppliers. The author uses the discourse analysis of official documents of the EU and its aforementioned member states, official documents of the Republic of Azerbaijan and bilateral documents on the energy policy. Based on the analysis of the statistical data of the Eurostat, the European Commission and the State Customs Committee of the Republic of Azerbaijan the volumes and share of Azerbaijani natural gas in t</w:t>
      </w:r>
    </w:p>
    <w:p>
      <w:pPr/>
      <w:r>
        <w:rPr>
          <w:b/>
        </w:rPr>
        <w:t>POSSIBLE 2026:</w:t>
      </w:r>
      <w:r>
        <w:t xml:space="preserve"> Antidepressant drug use in Europe: past consumption, prescribing patterns and forecast until 2030 — https://doi.org/10.1007/s11096-025-02078-9</w:t>
      </w:r>
    </w:p>
    <w:p>
      <w:pPr/>
      <w:r>
        <w:rPr>
          <w:b/>
        </w:rPr>
        <w:t>Shared claim-specific concepts:</w:t>
      </w:r>
      <w:r>
        <w:t xml:space="preserve"> further, increased, consumption; EU scope visible. This is a provisional connection, not an outcome finding.</w:t>
      </w:r>
    </w:p>
    <w:p>
      <w:pPr>
        <w:pStyle w:val="SourceNote"/>
      </w:pPr>
      <w:r>
        <w:rPr>
          <w:b/>
        </w:rPr>
        <w:t>Available abstract (not full text):</w:t>
      </w:r>
      <w:r>
        <w:t xml:space="preserve"> INTRODUCTION: Mental disorders represent a significant global burden, with a high proportion of depressive disorders. Antidepressants (ADs) are the most prescribed drugs for treating mental disorders, with broad indications, e.g. depression, anxiety disorders, and off-label use. AIM: This study assesses current and historical changes in AD consumption in 25 European countries, predicts future developments, and further analyses ATC subgroup consumption in 13 countries. METHOD: Consumption data for ADs (ATC code N06A) were collected from the OECD Data Explorer. Subgroup data came from publicly available sources. The time span covered is 1980 to 2024. Changes in defined daily doses per 1000 population per day (DID) were analysed, and projections to 2030 were made using Auto Regressive Integrated Moving Average models. Treatment coverage for depressive disorder prevalence was also calculated. RESULTS: In 2023, AD consumption ranged from 26.3 DID (Latvia) to 164.7 DID (Iceland). Use increased in nearly all countries, except Luxembourg (- 0.3 DID between 2013 and 2022). Increases ranged from + 5.9% (Austria) to + 157.8% (Latvia). Forecasts predict further increases in most countries (+ 0.1 to + 80.9%), with decreases projected for Hungary, Austria, the UK, and Luxembourg (- 3.4 to - 21.7%). Selective serotonin reuptake inhibitors (SSRIs) are the most used subgroup, with mixed develop</w:t>
      </w:r>
    </w:p>
    <w:p>
      <w:pPr/>
      <w:r>
        <w:rPr>
          <w:b/>
        </w:rPr>
        <w:t>POSSIBLE 2026:</w:t>
      </w:r>
      <w:r>
        <w:t xml:space="preserve"> Left, right, or buy green? Political ideology and sustainable consumption in Europe — https://doi.org/10.9770/w3992782679</w:t>
      </w:r>
    </w:p>
    <w:p>
      <w:pPr/>
      <w:r>
        <w:rPr>
          <w:b/>
        </w:rPr>
        <w:t>Shared claim-specific concepts:</w:t>
      </w:r>
      <w:r>
        <w:t xml:space="preserve"> further, consumption, climate; EU scope visible. This is a provisional connection, not an outcome finding.</w:t>
      </w:r>
    </w:p>
    <w:p>
      <w:pPr>
        <w:pStyle w:val="SourceNote"/>
      </w:pPr>
      <w:r>
        <w:rPr>
          <w:b/>
        </w:rPr>
        <w:t>Available abstract (not full text):</w:t>
      </w:r>
      <w:r>
        <w:t xml:space="preserve"> This research investigates the role of ideological self-placement in explaining Europe's sustainable consumption orientations based on two high-quality secondary datasets, namely, World Values Survey (WVS) Wave 7 and Special Eurobarometer 513/Eurobarometer 95.1.This analysis builds on confirmatory factor analysis and multilevel modeling to distinguish between moral willingness to bear private environmental costs and reported climate-relevant consumer practices.Within the WVS, we formulate a latent orientation founded on the environment-growth trade-off, as well as readiness to incur higher taxes or sacrifice income for pollution abatement; within Eurobarometer, we summarise climate-relevant household and purchase behaviours through a Green Consumer Action Index.The results show a steady ideological gradient: respondents placing further to the right report declining willingness to incur private economic costs to help the environment.The relationship remains significant after controlling for socioeconomic status and religiosity, and is partially attenuated with the control for environmental concern.Evidence from Eurobarometer corroborates this pattern by illustrating substantial uptake of cheap, low-effort actions such as recycling and reducing disposables, but much weaker uptake of expensive actions like solar panels, low-energy homes and electric cars.Cross-dataset triangulatio</w:t>
      </w:r>
    </w:p>
    <w:p>
      <w:pPr/>
      <w:r>
        <w:rPr>
          <w:b/>
        </w:rPr>
        <w:t>POSSIBLE 2026:</w:t>
      </w:r>
      <w:r>
        <w:t xml:space="preserve"> Consumption Patterns, Inflation, and Household Welfare: Demand-Based Equivalence Scales in Europe — https://doi.org/10.1007/s11205-026-03882-0</w:t>
      </w:r>
    </w:p>
    <w:p>
      <w:pPr/>
      <w:r>
        <w:rPr>
          <w:b/>
        </w:rPr>
        <w:t>Shared claim-specific concepts:</w:t>
      </w:r>
      <w:r>
        <w:t xml:space="preserve"> further, lower, consumption, reduce; EU scope visible. This is a provisional connection, not an outcome finding.</w:t>
      </w:r>
    </w:p>
    <w:p>
      <w:pPr>
        <w:pStyle w:val="SourceNote"/>
      </w:pPr>
      <w:r>
        <w:rPr>
          <w:b/>
        </w:rPr>
        <w:t>Available abstract (not full text):</w:t>
      </w:r>
      <w:r>
        <w:t xml:space="preserve"> Abstract Equivalence scales are a central component of distributional analysis. They adjust household incomes for size and composition, shaping poverty and inequality measurement. Most work relies on the modified OECD scale from the mid-1990s, despite substantial changes in consumption patterns since. We revisit equivalence scales for 23 European countries using a demand model based on the linear expenditure system and harmonised Household Budget Survey microdata for 2010–2020. We estimate three demand-based scales: a minimum needs scale anchored in subsistence, a utility implicit scale based on welfare equivalence under common preferences, and a utility explicit scale as a sensitivity check. Across specifications, the demand-based estimates generally imply larger economies of scale than the modified OECD scale, especially for larger households. Scales are lower at higher living standards and exhibit a modest downward trend over time. A simulation of 2020–2024 price changes shows that recent inflation is likely to further reduce scales, with stronger impacts for households with children. Regional heterogeneity persists, reflecting differences in prices, preferences and consumption patterns. Recomputing distributional indicators shows that poverty measures are more sensitive than inequality measures to the choice of equivalence scale. The utility implicit scale typically yields </w:t>
      </w:r>
    </w:p>
    <w:p>
      <w:pPr/>
      <w:r>
        <w:rPr>
          <w:b/>
        </w:rPr>
        <w:t>POSSIBLE 2026:</w:t>
      </w:r>
      <w:r>
        <w:t xml:space="preserve"> Import tariffs’ influence on sourcing strategies – European battery and energy storage companies under the USA-China trade conflict — https://openalex.org/W7220754230</w:t>
      </w:r>
    </w:p>
    <w:p>
      <w:pPr/>
      <w:r>
        <w:rPr>
          <w:b/>
        </w:rPr>
        <w:t>Shared claim-specific concepts:</w:t>
      </w:r>
      <w:r>
        <w:t xml:space="preserve"> further, resulting, storage; EU scope visible. This is a provisional connection, not an outcome finding.</w:t>
      </w:r>
    </w:p>
    <w:p>
      <w:pPr>
        <w:pStyle w:val="SourceNote"/>
      </w:pPr>
      <w:r>
        <w:rPr>
          <w:b/>
        </w:rPr>
        <w:t>Available abstract (not full text):</w:t>
      </w:r>
      <w:r>
        <w:t xml:space="preserve"> Recent trade disruptions have guided companies to adapt their sourcing strategies. This is because disruptions can have a significant influence on a company’s profitability. Growing tensions between countries, trade wars, and the resulting tariffs have forced companies to evaluate their sourcing. This has become increasingly topical during the US-China trade war that saw the US raise the import tariffs on many sectors, especially towards China. Previous literature examines trade disruptions and tariff adjustments, but limited research has been carried out on factors affecting these adjustments or on European companies, rather than companies from the US or China. Therefore, this study aims to fill this research gap by answering the research question of how companies are adjusting their sourcing strategies in the battery and energy storage industry in relation to the US import tariffs. The methodology chosen for this research was a qualitative case study using an abductive thematic approach. A qualitative approach is well suited to answering “how” questions and to finding new insights of the topic from the perspective of the participants. A case study allows for the study of the current phenomenon in its real-life context. The case in this thesis is the battery and energy storage industry during the US import tariffs, especially on China. The data is collected through semi-struct</w:t>
      </w:r>
    </w:p>
    <w:p>
      <w:pPr/>
      <w:r>
        <w:rPr>
          <w:b/>
        </w:rPr>
        <w:t>POSSIBLE 2025:</w:t>
      </w:r>
      <w:r>
        <w:t xml:space="preserve"> Lithium import demand and electric vehicle market growth in Europe: Perspectives on economic policy uncertainty and geopolitical turbulence — https://doi.org/10.1016/j.tranpol.2025.103905</w:t>
      </w:r>
    </w:p>
    <w:p>
      <w:pPr/>
      <w:r>
        <w:rPr>
          <w:b/>
        </w:rPr>
        <w:t>Shared claim-specific concepts:</w:t>
      </w:r>
      <w:r>
        <w:t xml:space="preserve"> further, imports, lower, need; EU scope visible. This is a provisional connection, not an outcome finding.</w:t>
      </w:r>
    </w:p>
    <w:p>
      <w:pPr>
        <w:pStyle w:val="SourceNote"/>
      </w:pPr>
      <w:r>
        <w:rPr>
          <w:b/>
        </w:rPr>
        <w:t>Available abstract (not full text):</w:t>
      </w:r>
      <w:r>
        <w:t xml:space="preserve"> Electromobility plays a pivotal role in enhancing sustainability within the global transportation sector, with a significant reliance on lithium-ion batteries for the operation of electric vehicles (EVs). The concentration of lithium resources and the challenges posed by geopolitical turbulence and fluctuating economic policies are major concerns affecting the smooth trade of lithium. This study investigates the dynamics between EV market growth in 25 European countries and the import demand for lithium, considering factors such as lithium price, geopolitical unrest, and economic policy uncertainties. Utilizing quarterly data from 2013q1 to 2023q1, we employ the quantiles via moments (QvM) method to examine the relationship between the variables within the spectrum of cross-sectional heterogeneity. Our findings confirm that the expansion of the EV market significantly increases lithium import demands within Europe across all quantiles (q.15-q.95). The adverse impact of lithium price on its import demand, observed from lower to higher quantiles, validates the Marshallian demand proposition. More importantly, the demand for lithium imports is further impeded by the interactive effects of lithium price, economic policy uncertainty, and lithium price-geopolitical tensions. Our findings remain robust across the linear models with multi-way fixed effects (ML-FE) and IV regression tec</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further, lower, need, climate;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2025:</w:t>
      </w:r>
      <w:r>
        <w:t xml:space="preserve"> Determinants of critical raw material imports: The case of the European Union and China — https://doi.org/10.1007/s13563-025-00528-4</w:t>
      </w:r>
    </w:p>
    <w:p>
      <w:pPr/>
      <w:r>
        <w:rPr>
          <w:b/>
        </w:rPr>
        <w:t>Shared claim-specific concepts:</w:t>
      </w:r>
      <w:r>
        <w:t xml:space="preserve"> imports, outside, materials, climate, positive; EU scope visible. This is a provisional connection, not an outcome finding.</w:t>
      </w:r>
    </w:p>
    <w:p>
      <w:pPr>
        <w:pStyle w:val="SourceNote"/>
      </w:pPr>
      <w:r>
        <w:rPr>
          <w:b/>
        </w:rPr>
        <w:t>Available abstract (not full text):</w:t>
      </w:r>
      <w:r>
        <w:t xml:space="preserve"> Abstract In 2019, the European Union (EU) launched a growth strategy called the Green Deal with the aim to reach climate neutrality by 2050. Green transformation assumes using new technologies, such as li-ion batteries, fuel cells, etc., which are dependent on industrial raw materials. As the occurrence of these mineral resources is limited in the EU, the EU must import them. The literature has focused especially on the issue of the so-called critical raw materials (CRMs). Although their definition and lists differ, they have a similar character. In the EU, the list of CRMs includes 34 high-tech minerals, and it has been confirmed by several studies that many of them are imported from China. Although the EU announced limiting its dependence on raw materials from outside countries, the EU will never be self-sufficient in raw materials. Based on this, we focus on the determinants of the growth of imports of CRMs from China. Using data from 2000–2023, besides the growth of the EU gross domestic product (GDP) and the growth of the share of industry in the EU’s GDP, we find that the increase of the share of CRMs in China’s total exports will have a positive impact on the growth of the EU’s imports of CRMs from China. For the sake of ensuring its supply of strategic resources, we propose that the EU should sign a preferential trade and investment agreement with China.</w:t>
      </w:r>
    </w:p>
    <w:p>
      <w:pPr/>
      <w:r>
        <w:rPr>
          <w:b/>
        </w:rPr>
        <w:t>POSSIBLE 2024:</w:t>
      </w:r>
      <w:r>
        <w:t xml:space="preserve"> Import Dynamics in the Central and Eastern European Countries — https://doi.org/10.57017/jaes.v19.2(84).04</w:t>
      </w:r>
    </w:p>
    <w:p>
      <w:pPr/>
      <w:r>
        <w:rPr>
          <w:b/>
        </w:rPr>
        <w:t>Shared claim-specific concepts:</w:t>
      </w:r>
      <w:r>
        <w:t xml:space="preserve"> further, imports, international, positive; EU scope visible. This is a provisional connection, not an outcome finding.</w:t>
      </w:r>
    </w:p>
    <w:p>
      <w:pPr>
        <w:pStyle w:val="SourceNote"/>
      </w:pPr>
      <w:r>
        <w:rPr>
          <w:b/>
        </w:rPr>
        <w:t>Available abstract (not full text):</w:t>
      </w:r>
      <w:r>
        <w:t xml:space="preserve"> The dynamics of imports in Central and Eastern European countries are closely related to foreign direct investment and government policies. By reducing tariff and non-tariff barriers to imports and promoting trade and investment liberalization, governments can attract foreign capital and diversify the range of products and services available in the host economy. This interconnection between imports and foreign direct investment can have a positive impact on economic development and global integration, depending on national strategies and policies. The article examines the dynamics of imports in Central and Eastern European countries in relation to foreign direct investment and government policies and aims to identify trends, import differences, and adjustments made by each country to improve their economic development. The research highlights the ongoing evolution of international trade in the region and advocates for a strategic approach to trade and economic policy for economic expansion and resilience to external shocks.© 2024 The Author(s). This article is distributed under the terms of the license CC-BY 4.0., which permits any further distribution in any medium, provided the original work is properly cited.</w:t>
      </w:r>
    </w:p>
    <w:p>
      <w:pPr/>
      <w:r>
        <w:rPr>
          <w:b/>
        </w:rPr>
        <w:t>POSSIBLE 2024:</w:t>
      </w:r>
      <w:r>
        <w:t xml:space="preserve"> THE INFLUENCE OF GDP ON THE FOREIGN TRADE OF BOSNIA AND HERZEGOVINA WITH A FOCUS ON THE EXCHANGE OF GOODS WITH THE COUNTRIES OF THE EUROPEAN UNION — https://doi.org/10.7251/emc2402638m</w:t>
      </w:r>
    </w:p>
    <w:p>
      <w:pPr/>
      <w:r>
        <w:rPr>
          <w:b/>
        </w:rPr>
        <w:t>Shared claim-specific concepts:</w:t>
      </w:r>
      <w:r>
        <w:t xml:space="preserve"> further, imports, positive; EU scope visible. This is a provisional connection, not an outcome finding.</w:t>
      </w:r>
    </w:p>
    <w:p>
      <w:pPr>
        <w:pStyle w:val="SourceNote"/>
      </w:pPr>
      <w:r>
        <w:rPr>
          <w:b/>
        </w:rPr>
        <w:t>Available abstract (not full text):</w:t>
      </w:r>
      <w:r>
        <w:t xml:space="preserve"> Bosnia and Herzegovina is a country in transition with an economy that imports more than it exports, but the importance of exports is crucial for sustainable economic growth. This paper investigates the impact of the gross domestic product (GDP) on the foreign trade of Bosnia and Herzegovina, focusing on the exchange of goods with the countries of the European Union. The analysis covers the period from 2009 to the end of 2022 to look at long-term trends. The main goal of the research is to determine the existence of a statistically significant influence of GDP on the exports and imports of the country. Using the t-test, the value of exports/imports between the countries of the European Union and other countries is also analyzed. Firstly, an analysis of macroeconomic trends was conducted, which is crucial for understanding the economic situation in BiH. Monitoring the trends of GDP, imports, and exports provides insights into the country’s economic activity. GDP trends reflect economic growth or recession, while the analysis of imports and exports provides information on trade activities. From 2009 to the end of 2022, the GDP of BiH mostly showed a rising trend, with exceptions such as in 2012. The GDP growth rate varied during the analyzed period, with the lowest values during the years of the global financial crisis and the Covid-19 pandemic, and the highest in 2021. Imports a</w:t>
      </w:r>
    </w:p>
    <w:p>
      <w:pPr/>
      <w:r>
        <w:rPr>
          <w:b/>
        </w:rPr>
        <w:t>POSSIBLE 2024:</w:t>
      </w:r>
      <w:r>
        <w:t xml:space="preserve"> Import dependence of the European organic market and the role of Ukrainian exports — https://doi.org/10.3846/tede.2024.22840</w:t>
      </w:r>
    </w:p>
    <w:p>
      <w:pPr/>
      <w:r>
        <w:rPr>
          <w:b/>
        </w:rPr>
        <w:t>Shared claim-specific concepts:</w:t>
      </w:r>
      <w:r>
        <w:t xml:space="preserve"> further, imports, materials; EU scope visible. This is a provisional connection, not an outcome finding.</w:t>
      </w:r>
    </w:p>
    <w:p>
      <w:pPr>
        <w:pStyle w:val="SourceNote"/>
      </w:pPr>
      <w:r>
        <w:rPr>
          <w:b/>
        </w:rPr>
        <w:t>Available abstract (not full text):</w:t>
      </w:r>
      <w:r>
        <w:t xml:space="preserve"> The European market for organic products has been expanding, with a persistent difference between the growth rates of organic retail trade (actual demand for organic products) and the growth rates of organic agricultural land areas (potential supply of organic products). This makes the European Union (EU) dependent on global imports. This research focuses on the import of organic products from Ukraine. To understand the underlying factors of the EU-27 countries’ import dependence on Ukrainian exports, this article proposes the following: 1) an analysis of Ukraine’s contribution to the total import volume to EU-27 countries by categories of organic products that have the most significant share in overall imports from Ukraine (these categories include: cereals, other than wheat and rice; soybeans; wheat; oilseeds, other than soybeans); 2) a study of the general trends of the European organic market’s import dependence on imports from Ukraine by the categories with the highest contribution; 3) clustering of the EU-27 countries based on organic market indicators; 4) an analysis of the European organic market using Ukrainian imports as an example. Ukrainian imports do not threaten the domestic European market; instead, countries with the highest level of dependence can use Ukrainian organic raw materials for processing and further re-export.</w:t>
      </w:r>
    </w:p>
    <w:p>
      <w:pPr>
        <w:pStyle w:val="Heading2"/>
      </w:pPr>
      <w:r>
        <w:t>577. Burden of pancreatic cancer along with attributable risk factors in Europe between 1990 and 2019, and projections until 2039</w:t>
      </w:r>
    </w:p>
    <w:p>
      <w:pPr>
        <w:pStyle w:val="SourceNote"/>
      </w:pPr>
      <w:r>
        <w:rPr>
          <w:b/>
        </w:rPr>
        <w:t>Original source (2021):</w:t>
      </w:r>
      <w:r>
        <w:t xml:space="preserve"> https://doi.org/10.1002/ijc.33617</w:t>
      </w:r>
    </w:p>
    <w:p>
      <w:pPr/>
      <w:r>
        <w:t>Original wording (abstract; indexed_source_text_not_full_document_verified): Here, we obtained data from the Global Burden of Disease (GBD) Study between 1990 and 2019, to model how pancreatic cancer will affect the 27 countries of the European Union (EU) plus the United Kingdom (the pre-Brexit EU-28) until 2039 by conducting the Bayesian age-period-cohort analysis. In conclusion, a substantial increase in counts of incidence, mortality and DALYs lost of pancreatic cancer in the EU-28 is projected over the next two decades, which indicates the need for future health policies and interventions.</w:t>
      </w:r>
    </w:p>
    <w:p>
      <w:pPr/>
      <w:r>
        <w:rPr>
          <w:b/>
        </w:rPr>
        <w:t>POSSIBLE 2026:</w:t>
      </w:r>
      <w:r>
        <w:t xml:space="preserve"> Data on the uptake of Integrated Pest Management (IPM) practices in European agriculture — https://doi.org/10.1016/j.dib.2026.113075</w:t>
      </w:r>
    </w:p>
    <w:p>
      <w:pPr/>
      <w:r>
        <w:rPr>
          <w:b/>
        </w:rPr>
        <w:t>Shared claim-specific concepts:</w:t>
      </w:r>
      <w:r>
        <w:t xml:space="preserve"> here, obtained, data, countries; EU scope visible. This is a provisional connection, not an outcome finding.</w:t>
      </w:r>
    </w:p>
    <w:p>
      <w:pPr>
        <w:pStyle w:val="SourceNote"/>
      </w:pPr>
      <w:r>
        <w:rPr>
          <w:b/>
        </w:rPr>
        <w:t>Available abstract (not full text):</w:t>
      </w:r>
      <w:r>
        <w:t xml:space="preserve"> We here present data collected in a large-scale survey from 25 National Crop Clusters (NCCs) across 10 European countries (Denmark, Germany, Italy, the Netherlands, Belgium, Poland, Romania, Spain, Switzerland, and Greece), comprising 8 different crops (grapes, olives, apples, strawberries, wheat, maize, potatoes, and onions). Each National Crop Cluster represents a crop-specific network in one country, which includes farmers growing a specific crop and other relevant actors in its production environment and supply chain. The National Crop Clusters have been selected to represent a diversity of regions, crops, farm types, sectors and system representatives of European agriculture. They cover a broad geographical spread in different climatic zones, making them suitable for studying Integrated Pest Management (IPM) techniques, barriers, and opportunities in various food sectors. In total, 4,684 complete responses were obtained from the farmers, using an online survey in country-specific languages in 2024. The survey focuses on decisions regarding the adoption of IPM practices and low-pesticide use. The survey data contains information on farmers current and future use of IPM measures, as well as their perceived effectiveness. The dataset further provides comprehensive information on farm and farmer characteristics, farmers' preferences and attitudes toward IPM, their sources of i</w:t>
      </w:r>
    </w:p>
    <w:p>
      <w:pPr/>
      <w:r>
        <w:rPr>
          <w:b/>
        </w:rPr>
        <w:t>POSSIBLE 2025:</w:t>
      </w:r>
      <w:r>
        <w:t xml:space="preserve"> Biological data derived from European weather radars — https://doi.org/10.1038/s41597-025-04641-5</w:t>
      </w:r>
    </w:p>
    <w:p>
      <w:pPr/>
      <w:r>
        <w:rPr>
          <w:b/>
        </w:rPr>
        <w:t>Shared claim-specific concepts:</w:t>
      </w:r>
      <w:r>
        <w:t xml:space="preserve"> here, obtained, data, between, countries; EU scope visible. This is a provisional connection, not an outcome finding.</w:t>
      </w:r>
    </w:p>
    <w:p>
      <w:pPr>
        <w:pStyle w:val="SourceNote"/>
      </w:pPr>
      <w:r>
        <w:rPr>
          <w:b/>
        </w:rPr>
        <w:t>Available abstract (not full text):</w:t>
      </w:r>
      <w:r>
        <w:t xml:space="preserve"> Weather radars detect more than weather, they also continuously register the movements of billions of animals aloft in the lower atmosphere. This makes archived, unfiltered weather radar data a goldmine for biological monitoring purposes, providing coverage of the aerial habitat in a way no other method can. Here we present two datasets of biological data extracted from European weather radar data, obtained through a collaboration with the Operational Programme for the Exchange of Weather Radar Information (OPERA) and three national meteorological services. The datasets were created by processing weather radar data with methods optimized for extracting bird targets, resulting in vertical profiles of biological targets. The datasets collectively cover 141 radar stations in 18 countries, from 2008 to 2023. Data quality and coverage differs between years, countries, and radar stations, so care must be taken when evaluating data for each specific use case. Despite these challenges the datasets are currently the most comprehensive of their kind in Europe and open new avenues in understanding continental scale movements of aerial animals.</w:t>
      </w:r>
    </w:p>
    <w:p>
      <w:pPr/>
      <w:r>
        <w:rPr>
          <w:b/>
        </w:rPr>
        <w:t>POSSIBLE 2025:</w:t>
      </w:r>
      <w:r>
        <w:t xml:space="preserve"> Legal Challenges for the regulation of the European Health Data Space — https://doi.org/10.54103/milanoup.215.c459</w:t>
      </w:r>
    </w:p>
    <w:p>
      <w:pPr/>
      <w:r>
        <w:rPr>
          <w:b/>
        </w:rPr>
        <w:t>Shared claim-specific concepts:</w:t>
      </w:r>
      <w:r>
        <w:t xml:space="preserve"> here, data, between, union; EU scope visible. This is a provisional connection, not an outcome finding.</w:t>
      </w:r>
    </w:p>
    <w:p>
      <w:pPr>
        <w:pStyle w:val="SourceNote"/>
      </w:pPr>
      <w:r>
        <w:rPr>
          <w:b/>
        </w:rPr>
        <w:t>Available abstract (not full text):</w:t>
      </w:r>
      <w:r>
        <w:t xml:space="preserve"> In the present context of the so-called ‘Digital Society’, an important process of legislative reform is taking place inside the European Union. In areas such as the digital transformation of the health sector, these actions have a considerable impact on traditional legal concepts and categories such as privacy or informed consent. This is especially relevant in the realm of health science research in the context of Big Data. The nature of this type of research projects requires a new model of consent, which is called broad consent. The legislator faces the challenge of having to respect, on the one hand, the balance between the possibility of obtaining consent in a simple and feasible way, and on the other, the need to provide data subjects the necessary information and control over their sphere of privacy. Likewise, a formula must be found that protects individuals, but does not unduly hinder progress in biomedical research. This issue requires an assessment from both an ethical and a legal perspective. Here comes into play the role of Research Ethics Committees that is reinforced by these new legislative measures, so that the concept of data ethics is coined. In the drafting of this work, my experience as a member of the Research Ethics Committee of the University of Valencia has been fundamental.</w:t>
      </w:r>
    </w:p>
    <w:p>
      <w:pPr/>
      <w:r>
        <w:rPr>
          <w:b/>
        </w:rPr>
        <w:t>POSSIBLE 2025:</w:t>
      </w:r>
      <w:r>
        <w:t xml:space="preserve"> High resolution assessment of air quality and health in Europe under different climate mitigation scenarios — https://doi.org/10.1038/s41467-025-60449-2</w:t>
      </w:r>
    </w:p>
    <w:p>
      <w:pPr/>
      <w:r>
        <w:rPr>
          <w:b/>
        </w:rPr>
        <w:t>Shared claim-specific concepts:</w:t>
      </w:r>
      <w:r>
        <w:t xml:space="preserve"> here, obtained, data; EU scope visible. This is a provisional connection, not an outcome finding.</w:t>
      </w:r>
    </w:p>
    <w:p>
      <w:pPr>
        <w:pStyle w:val="SourceNote"/>
      </w:pPr>
      <w:r>
        <w:rPr>
          <w:b/>
        </w:rPr>
        <w:t>Available abstract (not full text):</w:t>
      </w:r>
      <w:r>
        <w:t xml:space="preserve"> Climate change mitigation policies lower greenhouse gas emissions and generally reduce fine particulate matter (PM2.5) concentrations, hereby bringing health co-benefits. Yet, the spatial and distributional air quality co-benefits in Europe of such policies are not fully understood. Here, We quantify premature mortality from air pollution in 1366 regions of Europe for different scenarios obtained from the Coupled Model Intercomparison Project Phase 6. We model PM2.5 concentrations at high spatial resolution and then combine it with population data and regional age structure and total mortality, to calculate attributable deaths. We find that the share of the European population meeting WHO (World Health Organization) guideline value for PM2.5 could exceed 90% by 2100 under the most ambitious scenario, while less than 10% under the least ambitious one. Corresponding premature deaths in Europe would total 67,000 (95% CI: 13,000–141,000) per year by the end of the century compared to 282,000 (95% CI: 202,000–364,000). This study quantifies premature mortality from air pollution in 1366 regions of Europe for different scenarios, finding that the share of the European population meeting WHO guideline value for PM2.5 could exceed 90% by 2100 under the most ambitious scenario, while less than 10% under the least ambitious one.</w:t>
      </w:r>
    </w:p>
    <w:p>
      <w:pPr/>
      <w:r>
        <w:rPr>
          <w:b/>
        </w:rPr>
        <w:t>POSSIBLE 2025:</w:t>
      </w:r>
      <w:r>
        <w:t xml:space="preserve"> Assessing the disease burden from air pollution in Europe: Insights from the ETC HE and EEA — https://doi.org/10.1093/eurpub/ckaf161.835</w:t>
      </w:r>
    </w:p>
    <w:p>
      <w:pPr/>
      <w:r>
        <w:rPr>
          <w:b/>
        </w:rPr>
        <w:t>Shared claim-specific concepts:</w:t>
      </w:r>
      <w:r>
        <w:t xml:space="preserve"> here, obtained, data, burden, disease; EU scope visible. This is a provisional connection, not an outcome finding.</w:t>
      </w:r>
    </w:p>
    <w:p>
      <w:pPr>
        <w:pStyle w:val="SourceNote"/>
      </w:pPr>
      <w:r>
        <w:rPr>
          <w:b/>
        </w:rPr>
        <w:t>Available abstract (not full text):</w:t>
      </w:r>
      <w:r>
        <w:t xml:space="preserve"> Abstract Ambient air pollution remains the leading environmental health risk in Europe. According to the European Environment Agency (EEA), 96% of the urban population in the EU was exposed to annual PM2.5 levels exceeding WHO guidelines in 2022. The environmental burden of disease (EBD) method is widely used to assess population health impacts. In collaboration with the European Topic Centre “Human Health and the Environment” (ETC HE), the EEA conducted EBD assessments for PM2.5, nitrogen dioxide (NO2), and ozone. Here we present the disease burden attributable to long-term PM2.5 and NO2 exposure in Europe for the year 2022. Using WHO's EBD framework, cause-specific mortality and morbidity burden was estimated. Nine risk-outcome pairs were selected based on available evidence for causality. Burden indicators included years of life lost (YLL), years lived with disability (YLD), and disability-adjusted life years (DALY). Concentration-response functions were extracted from relevant sources for the risk-outcome pairs, while exposure data (annual mean) were provided by ETC HE partners. Health data (e.g., cause-specific mortality and prevalence) were mainly obtained from Eurostat and the European Health Interview Survey. In 2022, the disease burden attributable to PM2.5 was considerably higher compared to the one due to NO2: 2,703,827 vs. 580,847 DALY. For both pollutants, YLL cont</w:t>
      </w:r>
    </w:p>
    <w:p>
      <w:pPr/>
      <w:r>
        <w:rPr>
          <w:b/>
        </w:rPr>
        <w:t>POSSIBLE 2025:</w:t>
      </w:r>
      <w:r>
        <w:t xml:space="preserve"> Burden of 375 diseases and injuries, risk-attributable burden of 88 risk factors, and healthy life expectancy in 204 countries and territories, including 660 subnational locations, 1990–2023: a systematic analysis for the Global Burden of Disease Study 2023 — https://doi.org/10.1016/s0140-6736(25)01637-x</w:t>
      </w:r>
    </w:p>
    <w:p>
      <w:pPr/>
      <w:r>
        <w:rPr>
          <w:b/>
        </w:rPr>
        <w:t>Shared claim-specific concepts:</w:t>
      </w:r>
      <w:r>
        <w:t xml:space="preserve"> data, burden, disease, gbd, between, countries; EU scope not established. This is a provisional connection, not an outcome finding.</w:t>
      </w:r>
    </w:p>
    <w:p>
      <w:pPr>
        <w:pStyle w:val="SourceNote"/>
      </w:pPr>
      <w:r>
        <w:rPr>
          <w:b/>
        </w:rPr>
        <w:t>Available abstract (not full text):</w:t>
      </w:r>
      <w:r>
        <w:t xml:space="preserve"> BACKGROUND: For more than three decades, the Global Burden of Diseases, Injuries, and Risk Factors Study (GBD) has provided a framework to quantify health loss due to diseases, injuries, and associated risk factors. This paper presents GBD 2023 findings on disease and injury burden and risk-attributable health loss, offering a global audit of the state of world health to inform public health priorities. This work captures the evolving landscape of health metrics across age groups, sexes, and locations, while reflecting on the remaining post-COVID-19 challenges to achieving our collective global health ambitions. METHODS: The GBD 2023 combined analysis estimated years lived with disability (YLDs), years of life lost (YLLs), and disability-adjusted life-years (DALYs) for 375 diseases and injuries, and risk-attributable burden associated with 88 modifiable risk factors. Of the more than 310 000 total data sources used for all GBD 2023 (about 30% of which were new to this estimation round), more than 120 000 sources were used for estimation of disease and injury burden and 59 000 for risk factor estimation, and included vital registration systems, surveys, disease registries, and published scientific literature. Data were analysed using previously established modelling approaches, such as disease modelling meta-regression version 2.1 (DisMod-MR 2.1) and comparative risk assessment </w:t>
      </w:r>
    </w:p>
    <w:p>
      <w:pPr/>
      <w:r>
        <w:rPr>
          <w:b/>
        </w:rPr>
        <w:t>POSSIBLE 2025:</w:t>
      </w:r>
      <w:r>
        <w:t xml:space="preserve"> Laryngeal Cancer in Europe and Its Subregions: A Temporal Epidemiological Analysis Based on Global Burden of Disease Data — https://doi.org/10.7759/cureus.92077</w:t>
      </w:r>
    </w:p>
    <w:p>
      <w:pPr/>
      <w:r>
        <w:rPr>
          <w:b/>
        </w:rPr>
        <w:t>Shared claim-specific concepts:</w:t>
      </w:r>
      <w:r>
        <w:t xml:space="preserve"> data, burden, disease, gbd, cancer, countries; EU scope visible. This is a provisional connection, not an outcome finding.</w:t>
      </w:r>
    </w:p>
    <w:p>
      <w:pPr>
        <w:pStyle w:val="SourceNote"/>
      </w:pPr>
      <w:r>
        <w:rPr>
          <w:b/>
        </w:rPr>
        <w:t>Available abstract (not full text):</w:t>
      </w:r>
      <w:r>
        <w:t xml:space="preserve"> Introduction Laryngeal cancer remains a significant public health issue in Europe, with considerable variation across countries and regions. Evaluating trends in incidence, mortality, and survival indicators such as the mortality-to-incidence ratio (MIR) may provide insights into disparities and guide policy development. The objective of this study was to conduct a 25-year epidemiological data analysis of age-standardized rates (ASRs) for the incidence and mortality of laryngeal cancer, and to compare the MIRs across European countries and subregions (North, South, East, and West Europe), using data from the Global Burden of Disease (GBD) database. Methods We extracted secondary data on laryngeal cancer from the GBD dataset provided by the Institute for Health Metrics and Evaluation (IHME) for the years 1997 to 2021. ASRs for incidence and mortality, as well as MIRs based on these ASRs, were analyzed. Descriptive statistics (mean, median, standard deviation, minimum-maximum range) and linear regression were performed using Microsoft Excel 365. Results All key indicators showed a downward trend over the 25-year period. The average MIR declined from 0.563 in 1997 to 0.459 in 2021 (R² = 96.26%, p &lt; 0.001). Northern Europe improved from 0.448 to 0.355, while Western Europe consistently reported the lowest MIRs (0.388 to 0.326), likely reflecting improved access to specialized oncol</w:t>
      </w:r>
    </w:p>
    <w:p>
      <w:pPr/>
      <w:r>
        <w:rPr>
          <w:b/>
        </w:rPr>
        <w:t>POSSIBLE 2025:</w:t>
      </w:r>
      <w:r>
        <w:t xml:space="preserve"> Redescription of the rare parasite of European bats, Paralecithodendrium ilei (Digenea: Lecithodendriidae), supplemented with molecular data — https://doi.org/10.31610/zsr/2025.34.2.289</w:t>
      </w:r>
    </w:p>
    <w:p>
      <w:pPr/>
      <w:r>
        <w:rPr>
          <w:b/>
        </w:rPr>
        <w:t>Shared claim-specific concepts:</w:t>
      </w:r>
      <w:r>
        <w:t xml:space="preserve"> here, obtained, data; EU scope visible. This is a provisional connection, not an outcome finding.</w:t>
      </w:r>
    </w:p>
    <w:p>
      <w:pPr>
        <w:pStyle w:val="SourceNote"/>
      </w:pPr>
      <w:r>
        <w:rPr>
          <w:b/>
        </w:rPr>
        <w:t>Available abstract (not full text):</w:t>
      </w:r>
      <w:r>
        <w:t xml:space="preserve"> Paralecithodendrium ilei (Zdzitowiecki, 1969) is a rare parasite of European vespertilionid bats. Identification of this digenean species is difficult due to its high morphological similarity to closely related species. Specimens of P. ilei from the small intestine of the northern bat (Eptesicus nilssonii Schreber, 1774) inhabiting the Zhiguli State Nature Reserve (European Russia) were examined. The aim of this study was to analyse new material on P. ilei using both morphological and molecular phylogenetic approaches. Here, we provide a complete redescription of P. ilei from bats in European Russia, including the first molecular phylogenetic data based on 28S rRNA and cox1 mtDNA sequences. The results obtained confirm that this digenean species is distinct.</w:t>
      </w:r>
    </w:p>
    <w:p>
      <w:pPr/>
      <w:r>
        <w:rPr>
          <w:b/>
        </w:rPr>
        <w:t>POSSIBLE 2024:</w:t>
      </w:r>
      <w:r>
        <w:t xml:space="preserve"> Geodiversity data for Europe — https://doi.org/10.1098/rsta.2023.0173</w:t>
      </w:r>
    </w:p>
    <w:p>
      <w:pPr/>
      <w:r>
        <w:rPr>
          <w:b/>
        </w:rPr>
        <w:t>Shared claim-specific concepts:</w:t>
      </w:r>
      <w:r>
        <w:t xml:space="preserve"> here, data, between; EU scope visible. This is a provisional connection, not an outcome finding.</w:t>
      </w:r>
    </w:p>
    <w:p>
      <w:pPr>
        <w:pStyle w:val="SourceNote"/>
      </w:pPr>
      <w:r>
        <w:rPr>
          <w:b/>
        </w:rPr>
        <w:t>Available abstract (not full text):</w:t>
      </w:r>
      <w:r>
        <w:t xml:space="preserve"> Geodiversity is an essential part of nature's diversity. However, geodiversity is insufficiently understood in terms of its spatial distribution and its relationship to biodiversity over large spatial extents. Here, we present European geodiversity data at resolutions of 1 km and 10 km. We assess terrestrial geodiversity quantitatively as a richness variable (georichness) using a commonly employed grid-based approach. The data incorporate aspects of geological, pedological, geomorphological and hydrological diversity, which are also available as separate richness variables. To evaluate the data, we correlated European georichness with empirically tested national georichness data from Finland, revealing a positive correlation at both 1 km ( r p = 0.37, p &lt; 0.001) and 10 km ( r p = 0.59, p &lt; 0.001) resolutions. We also demonstrate potential uses of the European data by correlating georichness with vascular plant species richness in two contrasting example areas: Finland and Switzerland. The positive correlations between georichness and species richness in Finland ( r p = 0.34, p &lt; 0.001) and Switzerland ( r p = 0.26, p &lt; 0.001) further support the use of our data in geodiversity–biodiversity research. Moreover, there is great potential beyond geodiversity–biodiversity questions, as the data can be exploited across different regions, ecosystems and scales. These geodiversity data </w:t>
      </w:r>
    </w:p>
    <w:p>
      <w:pPr/>
      <w:r>
        <w:rPr>
          <w:b/>
        </w:rPr>
        <w:t>POSSIBLE 2024:</w:t>
      </w:r>
      <w:r>
        <w:t xml:space="preserve"> HANZE v2.1: an improved database of flood impacts in Europe from 1870 to 2020 — https://doi.org/10.5194/essd-16-5145-2024</w:t>
      </w:r>
    </w:p>
    <w:p>
      <w:pPr/>
      <w:r>
        <w:rPr>
          <w:b/>
        </w:rPr>
        <w:t>Shared claim-specific concepts:</w:t>
      </w:r>
      <w:r>
        <w:t xml:space="preserve"> here, obtained, data, between, countries, union; EU scope visible. This is a provisional connection, not an outcome finding.</w:t>
      </w:r>
    </w:p>
    <w:p>
      <w:pPr>
        <w:pStyle w:val="SourceNote"/>
      </w:pPr>
      <w:r>
        <w:rPr>
          <w:b/>
        </w:rPr>
        <w:t>Available abstract (not full text):</w:t>
      </w:r>
      <w:r>
        <w:t xml:space="preserve"> Abstract. Assessing long-term trends in flood losses and attributing them to climatic and socio-economic changes requires comprehensive and systematic collection of historical information. Here, we present flood impact data for Europe that is part of the HANZE (Historical Analysis of Natural HaZards) database. The dataset covers riverine, pluvial, coastal and compound floods that have occurred in 42 European countries between 1870 and 2020. The data was obtained by extensive data-collection from more than 800 sources ranging from news reports through government databases to scientific papers. The dataset includes 2521 events characterized by at least one impact statistic: area inundated, fatalities, persons affected or economic loss. Economic losses are presented both in the original currencies and price levels as well as inflation and exchange-rate adjusted to the 2020 value of the euro. The spatial footprint of affected areas is consistently recorded using more than 1400 subnational units corresponding, with minor exceptions, to the European Union’s Nomenclature of Territorial Units for Statistics (NUTS), level 3. Daily start and end dates, information on causes of the event, notes on data quality issues or associated non-flood impacts, and full bibliography of each record supplement the dataset. Apart from the possibility to download the data (https://dx.doi.org/10.5281/zeno</w:t>
      </w:r>
    </w:p>
    <w:p>
      <w:pPr/>
      <w:r>
        <w:rPr>
          <w:b/>
        </w:rPr>
        <w:t>POSSIBLE 2024:</w:t>
      </w:r>
      <w:r>
        <w:t xml:space="preserve"> In temperate Europe, fire is already here: The case of The Netherlands — https://doi.org/10.1007/s13280-023-01960-y</w:t>
      </w:r>
    </w:p>
    <w:p>
      <w:pPr/>
      <w:r>
        <w:rPr>
          <w:b/>
        </w:rPr>
        <w:t>Shared claim-specific concepts:</w:t>
      </w:r>
      <w:r>
        <w:t xml:space="preserve"> here, data, countries; EU scope visible. This is a provisional connection, not an outcome finding.</w:t>
      </w:r>
    </w:p>
    <w:p>
      <w:pPr>
        <w:pStyle w:val="SourceNote"/>
      </w:pPr>
      <w:r>
        <w:rPr>
          <w:b/>
        </w:rPr>
        <w:t>Available abstract (not full text):</w:t>
      </w:r>
      <w:r>
        <w:t xml:space="preserve"> Abstract Landscape fires are usually not associated with temperate Europe, yet not all temperate countries record statistics indicating that actual risks remain unknown. Here we introduce new wildfire statistics for The Netherlands, and summarize significant events and fatalities. The period 2017–2022 saw 611 wildfires and 405 ha burned per year, which Copernicus’ European Forest Fire Information System satellite data vastly underestimate. Fires burned more heathland than forest, were small (mean fire size 1.5 ha), were caused by people, and often burned simultaneously, in Spring and in Summer drought. Suppression, restoration and traffic delays cost 3 M€ year−1. Dozens of significant events illustrate fire has never been away and has major societal impact amidst grave concerns for firefighter safety. Since 1833, 31 fatalities were reported. A legal framework is needed to ensure continuity of recordkeeping, as the core foundation of integrated fire management, to create a baseline for climate change, and to fulfill international reporting requirements.</w:t>
      </w:r>
    </w:p>
    <w:p>
      <w:pPr/>
      <w:r>
        <w:rPr>
          <w:b/>
        </w:rPr>
        <w:t>POSSIBLE 2024:</w:t>
      </w:r>
      <w:r>
        <w:t xml:space="preserve"> Burden of disease scenarios for 204 countries and territories, 2022–2050: a forecasting analysis for the Global Burden of Disease Study 2021 — https://doi.org/10.1016/s0140-6736(24)00685-8</w:t>
      </w:r>
    </w:p>
    <w:p>
      <w:pPr/>
      <w:r>
        <w:rPr>
          <w:b/>
        </w:rPr>
        <w:t>Shared claim-specific concepts:</w:t>
      </w:r>
      <w:r>
        <w:t xml:space="preserve"> burden, disease, gbd, between, countries; EU scope not established. This is a provisional connection, not an outcome finding.</w:t>
      </w:r>
    </w:p>
    <w:p>
      <w:pPr>
        <w:pStyle w:val="SourceNote"/>
      </w:pPr>
      <w:r>
        <w:rPr>
          <w:b/>
        </w:rPr>
        <w:t>Available abstract (not full text):</w:t>
      </w:r>
      <w:r>
        <w:t xml:space="preserve"> BACKGROUND: Future trends in disease burden and drivers of health are of great interest to policy makers and the public at large. This information can be used for policy and long-term health investment, planning, and prioritisation. We have expanded and improved upon previous forecasts produced as part of the Global Burden of Diseases, Injuries, and Risk Factors Study (GBD) and provide a reference forecast (the most likely future), and alternative scenarios assessing disease burden trajectories if selected sets of risk factors were eliminated from current levels by 2050. METHODS: Using forecasts of major drivers of health such as the Socio-demographic Index (SDI; a composite measure of lag-distributed income per capita, mean years of education, and total fertility under 25 years of age) and the full set of risk factor exposures captured by GBD, we provide cause-specific forecasts of mortality, years of life lost (YLLs), years lived with disability (YLDs), and disability-adjusted life-years (DALYs) by age and sex from 2022 to 2050 for 204 countries and territories, 21 GBD regions, seven super-regions, and the world. All analyses were done at the cause-specific level so that only risk factors deemed causal by the GBD comparative risk assessment influenced future trajectories of mortality for each disease. Cause-specific mortality was modelled using mixed-effects models with SDI a</w:t>
      </w:r>
    </w:p>
    <w:p>
      <w:pPr>
        <w:pStyle w:val="Heading2"/>
      </w:pPr>
      <w:r>
        <w:t>578. COVID-19 and European maritime futures: different pathways to deal with the pandemic</w:t>
      </w:r>
    </w:p>
    <w:p>
      <w:pPr>
        <w:pStyle w:val="SourceNote"/>
      </w:pPr>
      <w:r>
        <w:rPr>
          <w:b/>
        </w:rPr>
        <w:t>Original source (2021):</w:t>
      </w:r>
      <w:r>
        <w:t xml:space="preserve"> https://doi.org/10.1007/s40152-021-00216-3</w:t>
      </w:r>
    </w:p>
    <w:p>
      <w:pPr/>
      <w:r>
        <w:t>Original wording (abstract; indexed_source_text_not_full_document_verified): The maritime futures give insight into the enabling and constraining conditions to deal with the aftermath of the COVID-19 pandemic in specific, and how the maritime futures will affect the sustainable development of maritime sectors in general.</w:t>
      </w:r>
    </w:p>
    <w:p>
      <w:pPr/>
      <w:r>
        <w:rPr>
          <w:b/>
        </w:rPr>
        <w:t>POSSIBLE 2026:</w:t>
      </w:r>
      <w:r>
        <w:t xml:space="preserve"> FACTORS CONSTRAINING OPERATIONAL EFFICIENCY IN MARITIME TRANSPORTATION: A COMPARATIVE ANALYSIS OF QUANTITATIVE DECISION SUPPORT MODELS AND FIELD REALITIES — https://doi.org/10.17753/sosekev.1889137</w:t>
      </w:r>
    </w:p>
    <w:p>
      <w:pPr/>
      <w:r>
        <w:rPr>
          <w:b/>
        </w:rPr>
        <w:t>Shared claim-specific concepts:</w:t>
      </w:r>
      <w:r>
        <w:t xml:space="preserve"> maritime, constraining, conditions; EU scope visible. This is a provisional connection, not an outcome finding.</w:t>
      </w:r>
    </w:p>
    <w:p>
      <w:pPr>
        <w:pStyle w:val="SourceNote"/>
      </w:pPr>
      <w:r>
        <w:rPr>
          <w:b/>
        </w:rPr>
        <w:t>Available abstract (not full text):</w:t>
      </w:r>
      <w:r>
        <w:t xml:space="preserve"> This study aims to identify the key risk factors that constrain operational efficiency in international maritime transport and to conduct a comparative analysis of the performance of the six continents addressed in line with these factors. The research is based on a hybrid research design that combines qualitative field observations with quantitative decision support models. Within the scope of the study, seven key criteria were considered: port congestion, bureaucratic barriers, security/piracy, technical and fuel issues, personnel issues, environmental conditions, and geopolitical risks. Based on these criteria, Europe, North America, South America, Asia, Africa, and Oceania were compared in terms of operational risks. The research working group consisted of three senior ship captains with a cumulative 60 years of sectoral experience. Semi-structured interviews and pairwise comparison matrices were used as data collection tools. In the analysis of the data, the Best-Worst Method (BWM) was applied for criterion weighting and the Simple Additive Weighting (SAW) method was applied for continent ranking, and the findings were validated using the Analytic Hierarchy Process (AHP) and Technique for Order of Preference by Similarity to Ideal Solution (TOPSIS) methods. According to the analysis results, bureaucratic barriers have been identified as the most dominant operational constr</w:t>
      </w:r>
    </w:p>
    <w:p>
      <w:pPr/>
      <w:r>
        <w:rPr>
          <w:b/>
        </w:rPr>
        <w:t>POSSIBLE 2026:</w:t>
      </w:r>
      <w:r>
        <w:t xml:space="preserve"> Collaborative governance in maritime transport: policy arrangements under the European green deal — https://doi.org/10.1007/s40152-026-00504-w</w:t>
      </w:r>
    </w:p>
    <w:p>
      <w:pPr/>
      <w:r>
        <w:rPr>
          <w:b/>
        </w:rPr>
        <w:t>Shared claim-specific concepts:</w:t>
      </w:r>
      <w:r>
        <w:t xml:space="preserve"> maritime, deal, sectors; EU scope visible. This is a provisional connection, not an outcome finding.</w:t>
      </w:r>
    </w:p>
    <w:p>
      <w:pPr>
        <w:pStyle w:val="SourceNote"/>
      </w:pPr>
      <w:r>
        <w:rPr>
          <w:b/>
        </w:rPr>
        <w:t>Available abstract (not full text):</w:t>
      </w:r>
      <w:r>
        <w:t xml:space="preserve"> Abstract This article examines the emergence of collaborative governance within the EU maritime transport sector in response to the European Green Deal (EGD) and its decarbonization agenda. Using a nested case study design, it analyses policy arrangements for shipping and ports, applying a combined analytical framework based on the policy arrangement concept and collaborative governance theory. The findings highlight that while shipping and port sectors have historically operated in siloed arrangements, the EGD has prompted cross-sectoral collaboration through initiatives such as green shipping corridors, alternative fuel infrastructure projects, and stakeholder alliances. Increased collaborative dynamics are evident both within and between these two sectors, fostering trust, alignment, and early joint problem-solving. However, large-scale joint action and fully integrated governance mechanisms remain limited, indicating that the emergent collaborative governance regime is in its formative stage. The study demonstrates how the EGD is reshaping sectoral interactions, providing a foundation for transformative change in maritime transport governance, while highlighting the need for sustained institutionalization, joint investment, and system-level adaptation to realize long-term impact.</w:t>
      </w:r>
    </w:p>
    <w:p>
      <w:pPr/>
      <w:r>
        <w:rPr>
          <w:b/>
        </w:rPr>
        <w:t>POSSIBLE 2026:</w:t>
      </w:r>
      <w:r>
        <w:t xml:space="preserve"> Governing Critical Maritime Infrastructure in the European Union; Path-Dependent Transformation and Institutional Change — https://doi.org/10.1007/s41125-026-00113-y</w:t>
      </w:r>
    </w:p>
    <w:p>
      <w:pPr/>
      <w:r>
        <w:rPr>
          <w:b/>
        </w:rPr>
        <w:t>Shared claim-specific concepts:</w:t>
      </w:r>
      <w:r>
        <w:t xml:space="preserve"> maritime, specific, sectors; EU scope visible. This is a provisional connection, not an outcome finding.</w:t>
      </w:r>
    </w:p>
    <w:p>
      <w:pPr>
        <w:pStyle w:val="SourceNote"/>
      </w:pPr>
      <w:r>
        <w:rPr>
          <w:b/>
        </w:rPr>
        <w:t>Available abstract (not full text):</w:t>
      </w:r>
      <w:r>
        <w:t xml:space="preserve"> Abstract The subsidiarity paradox, in which formal affirmations of national prerogative coexist with factual EU-level centralisation, is a well-documented feature of European security governance. How this paradox unfolds in specific critical infrastructure sectors, however, remains insufficiently understood. This article asks how the EU’s governance of critical maritime infrastructure has transformed across three phases between 2014 and 2025 and to what extent the mechanisms of institutional change documented for crisis governance and the regulatory security state in adjacent sectors account for this trajectory. Drawing on a qualitative content analysis of 21 EU documents, it identifies three governance phases and five ideal-typical governance modes, and demonstrates that external shocks, most decisively the Nord Stream sabotage of 2022, opened windows of opportunity for institutional change. This change proceeded through layering and conversion instead of rupture and confirms the pattern of institutional syncretism observed in adjacent policy fields. The result is a stable coexistence of hierarchical and network-based governance modes whose functional differentiation reflects the jurisdictional reach of EU law. The article extends the meso-level analysis of EU crisis governance to critical maritime infrastructure and specifies the legal mechanism through which subsidiarity and</w:t>
      </w:r>
    </w:p>
    <w:p>
      <w:pPr/>
      <w:r>
        <w:rPr>
          <w:b/>
        </w:rPr>
        <w:t>POSSIBLE 2026:</w:t>
      </w:r>
      <w:r>
        <w:t xml:space="preserve"> Green Hydrogen for Maritime Decarbonization — https://doi.org/10.1002/cnl2.70128</w:t>
      </w:r>
    </w:p>
    <w:p>
      <w:pPr/>
      <w:r>
        <w:rPr>
          <w:b/>
        </w:rPr>
        <w:t>Shared claim-specific concepts:</w:t>
      </w:r>
      <w:r>
        <w:t xml:space="preserve"> maritime, enabling; EU scope not established. This is a provisional connection, not an outcome finding.</w:t>
      </w:r>
    </w:p>
    <w:p>
      <w:pPr>
        <w:pStyle w:val="SourceNote"/>
      </w:pPr>
      <w:r>
        <w:rPr>
          <w:b/>
        </w:rPr>
        <w:t>Available abstract (not full text):</w:t>
      </w:r>
      <w:r>
        <w:t xml:space="preserve"> ABSTRACT In pursuit of global carbon neutrality, maritime shipping with high CO 2 emissions confronts an urgent imperative deep decarbonization. Green hydrogen is a zero‐carbon fuel produced through water electrolysis by renewable energy sources, which is emerging as a promising solution for maritime decarbonization owing to its high energy density and versatile application potential. Here, it provides a systematic overview of the technological feasibility of green hydrogen for maritime shipping, encompassing its current application status and key challenges. It analyzes recent advances in green hydrogen production, storage, transportation, and infrastructure development, while exploring the enabling roles of policy support, technological innovation, and international collaboration. Despite facing substantial barriers in cost, technology, and infrastructure, green hydrogen boasts enormous decarbonization potential and occupies an indispensable strategic position in the global carbon neutrality agenda.</w:t>
      </w:r>
    </w:p>
    <w:p>
      <w:pPr/>
      <w:r>
        <w:rPr>
          <w:b/>
        </w:rPr>
        <w:t>POSSIBLE 2025:</w:t>
      </w:r>
      <w:r>
        <w:t xml:space="preserve"> Employee mobility and corporate carbon footprint: a case study at Gdynia Maritime University — https://doi.org/10.34659/eis.2025.95.4.1159</w:t>
      </w:r>
    </w:p>
    <w:p>
      <w:pPr/>
      <w:r>
        <w:rPr>
          <w:b/>
        </w:rPr>
        <w:t>Shared claim-specific concepts:</w:t>
      </w:r>
      <w:r>
        <w:t xml:space="preserve"> maritime, insight, conditions, sustainable; EU scope visible. This is a provisional connection, not an outcome finding.</w:t>
      </w:r>
    </w:p>
    <w:p>
      <w:pPr>
        <w:pStyle w:val="SourceNote"/>
      </w:pPr>
      <w:r>
        <w:rPr>
          <w:b/>
        </w:rPr>
        <w:t>Available abstract (not full text):</w:t>
      </w:r>
      <w:r>
        <w:t xml:space="preserve"> In the face of the climate crisis, comprehensive actions are being taken on the international and specifically on the European level in order to improve environmental conditions and enhance the resilience of transport and organisational systems. Calculating a carbon footprint is one of the key topics. More and more entities face this challenge: companies, institutions, organisations and, ultimately, cities. The purpose of the paper is to investigate the impact of employee mobility on the enterprise’s carbon footprint. This article gives new insight into creating a mobility plan for an enterprise and its impact on the carbon footprint. A prepared mobility plan can provide the data needed to calculate the carbon footprint of employee travel. The authors conducted a survey among one-third of Gdynia Maritime University (GMU) employees to identify the respondents' transport behaviours and preferences. The collected data enabled the estimation of the transport modal split and indicated the average distance and frequency of a work travel. Furthermore, the carbon footprint was calculated in accordance with the Greenhouse Gas Protocol standard created by the World Resources Institute and the World Business Council for Sustainable Development. Annual carbon dioxide emissions resulting from the travel of all university employees were estimated. The results indicate that drivers of individ</w:t>
      </w:r>
    </w:p>
    <w:p>
      <w:pPr/>
      <w:r>
        <w:rPr>
          <w:b/>
        </w:rPr>
        <w:t>POSSIBLE 2023:</w:t>
      </w:r>
      <w:r>
        <w:t xml:space="preserve"> Inventive Activity for Climate Change Mitigation: An Insight into the Maritime Industry — https://doi.org/10.3390/en16217403</w:t>
      </w:r>
    </w:p>
    <w:p>
      <w:pPr/>
      <w:r>
        <w:rPr>
          <w:b/>
        </w:rPr>
        <w:t>Shared claim-specific concepts:</w:t>
      </w:r>
      <w:r>
        <w:t xml:space="preserve"> maritime, insight; EU scope not established. This is a provisional connection, not an outcome finding.</w:t>
      </w:r>
    </w:p>
    <w:p>
      <w:pPr>
        <w:pStyle w:val="SourceNote"/>
      </w:pPr>
      <w:r>
        <w:rPr>
          <w:b/>
        </w:rPr>
        <w:t>Available abstract (not full text):</w:t>
      </w:r>
      <w:r>
        <w:t xml:space="preserve"> Climate change mitigation is one of the most important challenges facing the modern world. It is necessary to monitor the development of new concepts and technologies and take a stab at identifying disruptive innovations, which have the potential of becoming real climate-friendly game changers. The aim of this paper is to examine the patterns of inventive activity aimed at mitigating climate change in the maritime industry with respect to other transport modes. Appropriate research tools in the area of patent analysis were selected and utilised. A new class of patents related to climate change in maritime transport (CPC-Y02T70/00) was used as a data source. The original value of the study consists of offering a complete picture of the efforts made in patenting activity in climate change mitigation in the maritime transport, with a look at leading applicants and countries, knowledge flows, the most robustly developed and underdeveloped technical fields. A map of technical knowledge flows for climate change mitigation in transport was constructed. The research results show that inventions for the maritime industry are less hermetic than those for air and road transport; however, they are not as much linked with previously developed solutions. The most intensively developed technical fields include the design and construction of watercraft hulls (1) and measures to reduce greenhou</w:t>
      </w:r>
    </w:p>
    <w:p>
      <w:pPr/>
      <w:r>
        <w:rPr>
          <w:b/>
        </w:rPr>
        <w:t>POSSIBLE 2023:</w:t>
      </w:r>
      <w:r>
        <w:t xml:space="preserve"> The ups and downs of maritime spatial planning in Portugal — https://doi.org/10.1016/j.marpol.2023.105984</w:t>
      </w:r>
    </w:p>
    <w:p>
      <w:pPr/>
      <w:r>
        <w:rPr>
          <w:b/>
        </w:rPr>
        <w:t>Shared claim-specific concepts:</w:t>
      </w:r>
      <w:r>
        <w:t xml:space="preserve"> maritime, conditions, sustainable; EU scope visible. This is a provisional connection, not an outcome finding.</w:t>
      </w:r>
    </w:p>
    <w:p>
      <w:pPr>
        <w:pStyle w:val="SourceNote"/>
      </w:pPr>
      <w:r>
        <w:rPr>
          <w:b/>
        </w:rPr>
        <w:t>Available abstract (not full text):</w:t>
      </w:r>
      <w:r>
        <w:t xml:space="preserve"> Directive 2014/89/EU provided a common framework for MSP in Europe, aiming to promote the sustainable development of maritime activities. However, its implementation has been facing various challenges in different Member States. This paper presents the evolution of MSP in Portugal and analyses how the conditions set by the directive have been addressed, particularly in the environmental domain. The analyses are mainly achieved through existing literature and the positions taken by the National Council for Environment and Sustainable Development. Portuguese efforts around MSP started before the approval of the directive and allowed a valuable learning experience. The legal diplomas later adopted provided a framework for developing marine spatial plans with a more comprehensive architecture of the MSP system. While some issues remain in terms of meeting some of the requirements of the directive, operational procedures and assessment of MSP implementation, there are positive aspects highlighted with the entire presentation of the situation of MSP in Portugal so far.</w:t>
      </w:r>
    </w:p>
    <w:p>
      <w:pPr/>
      <w:r>
        <w:rPr>
          <w:b/>
        </w:rPr>
        <w:t>POSSIBLE 2023:</w:t>
      </w:r>
      <w:r>
        <w:t xml:space="preserve"> Applications, Evolutions, and Challenges of Drones in Maritime Transport — https://doi.org/10.3390/jmse11112056</w:t>
      </w:r>
    </w:p>
    <w:p>
      <w:pPr/>
      <w:r>
        <w:rPr>
          <w:b/>
        </w:rPr>
        <w:t>Shared claim-specific concepts:</w:t>
      </w:r>
      <w:r>
        <w:t xml:space="preserve"> maritime, specific; EU scope not established. This is a provisional connection, not an outcome finding.</w:t>
      </w:r>
    </w:p>
    <w:p>
      <w:pPr>
        <w:pStyle w:val="SourceNote"/>
      </w:pPr>
      <w:r>
        <w:rPr>
          <w:b/>
        </w:rPr>
        <w:t>Available abstract (not full text):</w:t>
      </w:r>
      <w:r>
        <w:t xml:space="preserve"> The widespread interest in using drones in maritime transport has rapidly grown alongside the development of unmanned ships and drones. To stimulate growth and address the associated technical challenges, this paper systematically reviews the relevant research progress, classification, applications, technical challenges, and possible solutions related to the use of drones in the maritime sector. The findings provide an overview of the state of the art of the applications of drones in the maritime industry over the past 20 years and identify the existing problems and bottlenecks in this field. A new classification scheme is established based on their flight characteristics to aid in distinguishing drones’ applications in maritime transport. Further, this paper discusses the specific use cases and technical aspects of drones in maritime rescue, safety, navigation, environment, communication, and other aspects, providing in-depth guidance on the future development of different mainstream applications. Lastly, the challenges facing drones in these applications are identified, and the corresponding solutions are proposed to address them. This research offers pivotal insights and pertinent knowledge beneficial to various entities such as maritime regulatory bodies, shipping firms, academic institutions, and enterprises engaged in drone production. This paper makes new contributions i</w:t>
      </w:r>
    </w:p>
    <w:p>
      <w:pPr/>
      <w:r>
        <w:rPr>
          <w:b/>
        </w:rPr>
        <w:t>POSSIBLE 2022:</w:t>
      </w:r>
      <w:r>
        <w:t xml:space="preserve"> Priorities for the Sustainability of Maritime and Coastal Passenger Transport in Europe — https://openalex.org/W7166957792</w:t>
      </w:r>
    </w:p>
    <w:p>
      <w:pPr/>
      <w:r>
        <w:rPr>
          <w:b/>
        </w:rPr>
        <w:t>Shared claim-specific concepts:</w:t>
      </w:r>
      <w:r>
        <w:t xml:space="preserve"> maritime, sustainable; EU scope visible. This is a provisional connection, not an outcome finding.</w:t>
      </w:r>
    </w:p>
    <w:p>
      <w:pPr>
        <w:pStyle w:val="SourceNote"/>
      </w:pPr>
      <w:r>
        <w:rPr>
          <w:b/>
        </w:rPr>
        <w:t>Available abstract (not full text):</w:t>
      </w:r>
      <w:r>
        <w:t xml:space="preserve"> Maritime transport is both a major source of environmental pollution and a great opportunity for reducing road traffic. Moreover, for some Mediterranean countries, maritime transport offers a way to improve cross-border connectivity. However difficult this may be, improving maritime passenger transport is one way to increase cross-border connectivity and, in some cases, reduce the use of private cars. For this reason, the European Union is pursuing an intensive policy in support of the sustainable development of maritime transport, working on many fronts, including the strengthening of EU legislation on this topic, technical and financial support to reducing emissions from international shipping, investments for the improving of port facilities and infrastructures, involving national governments and regions in the definition of roadmaps and new targets towards 2050. There are many possible directions for improving maritime transport: ship technologies, port management, interchange connectivity, transit planning, and so on. The goal of this book is to collect rigorous contributions about what are currently considered to be the main areas of improvement to be pursued in cross-border maritime passenger transport. The book opens with an overview of EU policies on maritime and coastal transport. In the following chapters, a series of analyses and tools are proposed whose systematic </w:t>
      </w:r>
    </w:p>
    <w:p>
      <w:pPr/>
      <w:r>
        <w:rPr>
          <w:b/>
        </w:rPr>
        <w:t>POSSIBLE 2022:</w:t>
      </w:r>
      <w:r>
        <w:t xml:space="preserve"> The role of Latvia's maritime spatial planning in promoting the European Green Deal — https://doi.org/10.7163/eu21.2022.42.4</w:t>
      </w:r>
    </w:p>
    <w:p>
      <w:pPr/>
      <w:r>
        <w:rPr>
          <w:b/>
        </w:rPr>
        <w:t>Shared claim-specific concepts:</w:t>
      </w:r>
      <w:r>
        <w:t xml:space="preserve"> maritime, insight, deal; EU scope visible. This is a provisional connection, not an outcome finding.</w:t>
      </w:r>
    </w:p>
    <w:p>
      <w:pPr>
        <w:pStyle w:val="SourceNote"/>
      </w:pPr>
      <w:r>
        <w:rPr>
          <w:b/>
        </w:rPr>
        <w:t>Available abstract (not full text):</w:t>
      </w:r>
      <w:r>
        <w:t xml:space="preserve"> In an era of dynamic maritime spatial planning movement development, this paper offers insight into the relationship between Latvia’s national Maritime Spatial Plan 2030 and the European Green Deal. The paper analyses what this might signify concerning the implementation and subsequent assessment of the plan by exploring the role of the maritime spatial plan in Latvia’s planning system. Beginning with a brief history of how the national plan came to be, the paper then describes and evaluates the position of the maritime spatial plan within Latvia’s planning framework before examining the connection between the maritime spatial plan and the Green Deal, identifying contact points. This paper offers a starting framework for studying how closely maritime spatial planning is related to and capable of supporting ─ or at the very least taking into account ─ the goals of the Green Deal. The conclusion is that implementation of maritime spatial planning is rooted in the state planning system, the interconnection among policy documents, and the specifics of the maritime spatial plan itself.</w:t>
      </w:r>
    </w:p>
    <w:p>
      <w:pPr>
        <w:pStyle w:val="Heading2"/>
      </w:pPr>
      <w:r>
        <w:t>579. CROATIAN RURAL FUTURES IN 2030: FOUR ALTERNATIVE SCENARIOS FOR POSTSOCIALIST COUNTRYSIDE IN THE NEWEST E.U. MEMBER STATE</w:t>
      </w:r>
    </w:p>
    <w:p>
      <w:pPr>
        <w:pStyle w:val="SourceNote"/>
      </w:pPr>
      <w:r>
        <w:rPr>
          <w:b/>
        </w:rPr>
        <w:t>Original source (2021):</w:t>
      </w:r>
      <w:r>
        <w:t xml:space="preserve"> https://doi.org/10.1080/00167428.2020.1871298</w:t>
      </w:r>
    </w:p>
    <w:p>
      <w:pPr/>
      <w:r>
        <w:t>Original wording (abstract; indexed_source_text_not_full_document_verified): The aim of this research is to construct alternative scenarios for rural Croatia in 2030, acknowledging its postsocialist transition as an important framework. Four scenarios were developed: Rural Renaissance, Shift, Road to Nowhere, and Growth without Development.</w:t>
      </w:r>
    </w:p>
    <w:p>
      <w:pPr/>
      <w:r>
        <w:rPr>
          <w:b/>
        </w:rPr>
        <w:t>POSSIBLE 2026:</w:t>
      </w:r>
      <w:r>
        <w:t xml:space="preserve"> Alternative Investment Funds: Regulation in European Union Law and Prospects for Implementation in Ukraine — https://doi.org/10.31359/1993-0909.2026.33.3.386</w:t>
      </w:r>
    </w:p>
    <w:p>
      <w:pPr/>
      <w:r>
        <w:rPr>
          <w:b/>
        </w:rPr>
        <w:t>Shared claim-specific concepts:</w:t>
      </w:r>
      <w:r>
        <w:t xml:space="preserve"> aim, construct, alternative, framework; EU scope visible. This is a provisional connection, not an outcome finding.</w:t>
      </w:r>
    </w:p>
    <w:p>
      <w:pPr>
        <w:pStyle w:val="SourceNote"/>
      </w:pPr>
      <w:r>
        <w:rPr>
          <w:b/>
        </w:rPr>
        <w:t>Available abstract (not full text):</w:t>
      </w:r>
      <w:r>
        <w:t xml:space="preserve"> The legal regulation of collective investment undertakings is one of the key areas of adaptation of Ukrainian financial legislation to the law of the European Union. Despite Ukraine’s European integration course, national legislation has not yet introduced the category of alternative investment funds as an independent legal construct, which creates a systemic gap between the domestic collective investment undertakings model and the regulatory architecture of EU law. The aim of this article is to carry out a comparative legal analysis of the legal nature of alternative investment funds under EU law and collective investment undertakings under Ukrainian legislation, to determine their functional relationship, and to substantiate approaches to implementing the alternative investment funds concept into the national legal framework. The methodological basis of the research comprises a system of general scientific and specifically legal methods, including comparative legal, systemic-structural, formal-legal, and teleological methods. The source base comprised Directive 2011/61/EU on Alternative Investment Fund Managers, Directive 2009/65/EU, the Law of Ukraine On Collective Investment Undertakings, relevant subordinate legislation, and doctrinal works of scholars from Ukraine and EU Member States. The study established that AIFMD constructs the AIF through a functional residual defin</w:t>
      </w:r>
    </w:p>
    <w:p>
      <w:pPr/>
      <w:r>
        <w:rPr>
          <w:b/>
        </w:rPr>
        <w:t>POSSIBLE 2026:</w:t>
      </w:r>
      <w:r>
        <w:t xml:space="preserve"> Reliability and Construct Validity of the Short Physical Performance Battery in Croatian Older Adults — https://doi.org/10.3390/geriatrics11020033</w:t>
      </w:r>
    </w:p>
    <w:p>
      <w:pPr/>
      <w:r>
        <w:rPr>
          <w:b/>
        </w:rPr>
        <w:t>Shared claim-specific concepts:</w:t>
      </w:r>
      <w:r>
        <w:t xml:space="preserve"> construct, croatia, important; EU scope visible. This is a provisional connection, not an outcome finding.</w:t>
      </w:r>
    </w:p>
    <w:p>
      <w:pPr>
        <w:pStyle w:val="SourceNote"/>
      </w:pPr>
      <w:r>
        <w:rPr>
          <w:b/>
        </w:rPr>
        <w:t>Available abstract (not full text):</w:t>
      </w:r>
      <w:r>
        <w:t xml:space="preserve"> Background: Population aging represents a major public health challenge, accompanied by an increasing prevalence of chronic diseases and age-related functional decline. Declines in lower-extremity physical function are particularly important, as they are strongly associated with mobility limitations, loss of independence, increased risk of falls, hospitalization, and mortality in older adults. Reliable and valid tools to assess physical performance are therefore essential in both clinical and research settings. The Short Physical Performance Battery (SPPB) is a widely used instrument for assessing lower-extremity physical performance in older adults and is recommended within the diagnostic algorithm of the European Working Group on Sarcopenia in Older People (EWGSOP2) for evaluating physical performance severity. However, the SPPB has not yet been psychometrically validated in the Croatian older population. This study aimed to evaluate the reliability and validity of the SPPB in Croatian older adults. Methods: This study examined the metric properties of the SPPB in a sample of 153 older adults recruited from nursing homes and community settings. Results: The SPPB demonstrated acceptable internal consistency (Cronbach’s alpha = 0.74) and good test–retest reliability (ICC = 0.893) for the total score. Convergent and construct validity were supported by significant associations w</w:t>
      </w:r>
    </w:p>
    <w:p>
      <w:pPr/>
      <w:r>
        <w:rPr>
          <w:b/>
        </w:rPr>
        <w:t>POSSIBLE 2025:</w:t>
      </w:r>
      <w:r>
        <w:t xml:space="preserve"> Right-wing and left-wing populists in the 2024 European Parliament elections in Germany: an analysis of the success of Alternative for Germany and Sahra Wagenknecht's Alliance — https://doi.org/10.31338/1641-2478pe.3.25.11</w:t>
      </w:r>
    </w:p>
    <w:p>
      <w:pPr/>
      <w:r>
        <w:rPr>
          <w:b/>
        </w:rPr>
        <w:t>Shared claim-specific concepts:</w:t>
      </w:r>
      <w:r>
        <w:t xml:space="preserve"> aim, construct, alternative; EU scope visible. This is a provisional connection, not an outcome finding.</w:t>
      </w:r>
    </w:p>
    <w:p>
      <w:pPr>
        <w:pStyle w:val="SourceNote"/>
      </w:pPr>
      <w:r>
        <w:rPr>
          <w:b/>
        </w:rPr>
        <w:t>Available abstract (not full text):</w:t>
      </w:r>
      <w:r>
        <w:t xml:space="preserve"> The aim of this article is to present the results of the 2024 European Parliament elections in Germany through the prism of support gained by extreme parties: Alternative for Germany and Sahra Wagenknecht's Alliance. The research hypothesis assumes that both parties criticise the European Union (EU), pointing to the need to restore sovereignty and competence to Member States, creating a basis, on which they can build informal agreements and cooperation. The study seeks to answer the question of why populist parties are growing in popularity. The profile of the voters of both analysed parties is also characterised. The author has conducted a comparative analysis of the European programmes of both parties in terms of finding similarities and differences in the promoted vision of a united Europe and the assessment of the processes of deepening and broadening integration. The analysis demonstrates that, despite their ideological differences, the analysed parties are united by their criticism of mainstream parties, their pro-Russian stance and their critical approach to the European Union, particularly in the areas of migration, climate and energy policy. The parties present the European Union as a flawed, bureaucratic construct, call for a reduction in the role of supranational institutions, accuse the Union of lacking legitimacy, and categorically demand that powers be restored to</w:t>
      </w:r>
    </w:p>
    <w:p>
      <w:pPr/>
      <w:r>
        <w:rPr>
          <w:b/>
        </w:rPr>
        <w:t>POSSIBLE 2025:</w:t>
      </w:r>
      <w:r>
        <w:t xml:space="preserve"> Emotional Practices in the Process of (Re) Constructing Diaspora Identity – Croats in New Zealand — https://doi.org/10.11567/met.2025.2</w:t>
      </w:r>
    </w:p>
    <w:p>
      <w:pPr/>
      <w:r>
        <w:rPr>
          <w:b/>
        </w:rPr>
        <w:t>Shared claim-specific concepts:</w:t>
      </w:r>
      <w:r>
        <w:t xml:space="preserve"> aim, framework; EU scope not established. This is a provisional connection, not an outcome finding.</w:t>
      </w:r>
    </w:p>
    <w:p>
      <w:pPr>
        <w:pStyle w:val="SourceNote"/>
      </w:pPr>
      <w:r>
        <w:rPr>
          <w:b/>
        </w:rPr>
        <w:t>Available abstract (not full text):</w:t>
      </w:r>
      <w:r>
        <w:t xml:space="preserve"> The history of Croats in New Zealand dates back to the 19th century. Geographical distance and weaker ties to the country of origin have resulted in unique patterns of this diaspora’s social development. It is marked by an intensified process of assimilation into New Zealand society, while a significant part of the community, in terms of origin, primarily highlights a regional Dalmatian identity over a national Croatian one, given that the vast majority of immigrants originate from Central Dalmatia. The aim of this study is to analyse the development of this diaspora from the perspective of emotions as a foundation for its formation. The focus will be on Auckland, where the largest community of settlers and their descendants was established. To achieve the primary goal of the study, ten archived interviews, conducted using oral history methods with New Zealanders of Croatian descent, will be interpreted. These interviews are held in New Zealand libraries. Special emphasis will be placed on the methodological challenges of analysing this type of source. Within the established theoretical framework, the collective and individual activities of diaspora members are recognised as the emotional foundation upon which both individual and group identities are (re)constructed. The process of (re)constructing their identity was based on daily activities, particularly in areas of the city </w:t>
      </w:r>
    </w:p>
    <w:p>
      <w:pPr/>
      <w:r>
        <w:rPr>
          <w:b/>
        </w:rPr>
        <w:t>POSSIBLE 2025:</w:t>
      </w:r>
      <w:r>
        <w:t xml:space="preserve"> Defining an alternative assessment construct as a rating scale for evaluation of LSP oral presentation — https://doi.org/10.5937/zrpfu2527035p</w:t>
      </w:r>
    </w:p>
    <w:p>
      <w:pPr/>
      <w:r>
        <w:rPr>
          <w:b/>
        </w:rPr>
        <w:t>Shared claim-specific concepts:</w:t>
      </w:r>
      <w:r>
        <w:t xml:space="preserve"> aim, construct, alternative; EU scope not established. This is a provisional connection, not an outcome finding.</w:t>
      </w:r>
    </w:p>
    <w:p>
      <w:pPr>
        <w:pStyle w:val="SourceNote"/>
      </w:pPr>
      <w:r>
        <w:rPr>
          <w:b/>
        </w:rPr>
        <w:t>Available abstract (not full text):</w:t>
      </w:r>
      <w:r>
        <w:t xml:space="preserve"> The subject of the research is grounded on the theoretical analysis of different models of communicative competence in order to develop rating criteria for assessment of oral presentation in language for specific purposes. The aim of the research is defining validity of an alternative form of assessment, such as oral presentation, by defining the construct of assessment in the manner of the standardised testing procedure. More precisely, starting from the students’ performances, i.e. oral presentations in language for specific purposes that need to be evaluated, we analysed theoretical frameworks of communicative competence and specific purpose language ability, as well as speech parameters and public speaking rating scales’ characteristics. This approach was adopted in order to reach an optimal solution for an assessment construct of oral presentation performance. The initial hypothesis posits that it is possible to ensure the a priori validity of alternative assessment by defining the construct and its operalisation through rating criteria. Therefore, we designed a unique rating scale for oral presentation assessment based on the results of the theoretical analysis. Thus, the rating scale for oral presentation assessment is composed of the parameters of linguistic, sociolinguistic, discourse and functional competences as well as on performance strategies and background knowle</w:t>
      </w:r>
    </w:p>
    <w:p>
      <w:pPr/>
      <w:r>
        <w:rPr>
          <w:b/>
        </w:rPr>
        <w:t>POSSIBLE 2025:</w:t>
      </w:r>
      <w:r>
        <w:t xml:space="preserve"> Changes in Complementary and Alternative Medicine (CAM) use from 2014 to 2023: Findings from a cross-national population-based survey in Europe — https://doi.org/10.1007/s10389-025-02494-1</w:t>
      </w:r>
    </w:p>
    <w:p>
      <w:pPr/>
      <w:r>
        <w:rPr>
          <w:b/>
        </w:rPr>
        <w:t>Shared claim-specific concepts:</w:t>
      </w:r>
      <w:r>
        <w:t xml:space="preserve"> aim, alternative, without; EU scope visible. This is a provisional connection, not an outcome finding.</w:t>
      </w:r>
    </w:p>
    <w:p>
      <w:pPr>
        <w:pStyle w:val="SourceNote"/>
      </w:pPr>
      <w:r>
        <w:rPr>
          <w:b/>
        </w:rPr>
        <w:t>Available abstract (not full text):</w:t>
      </w:r>
      <w:r>
        <w:t xml:space="preserve"> Abstract Aim The COVID-19 pandemic has sparked interest in Complementary and Alternative Medicine (CAM), both as a remedy for managing symptoms and in relation to its association with vaccine hesitancy and resistance to public health measures. European cross-national evidence remains sparse. This article provides a comparative analysis of CAM use across European countries between 2014 and 2023. We assess changes in the prevalence of use of different CAM modalities and explore their associations with sociodemographic factors. Subject and methods Analyses used weighted European Social Survey (ESS) data to estimate proportions and logistic regression with robust standard errors, controlling for gender, age, education, income, and country of residence. Results Our findings indicate that overall CAM use in Europe has remained relatively stable during this period, although there were notable differences between countries and between treatment modalities, with some showing increases and others decreases in use. Exclusively relying on CAM without consulting medical professionals remains stable at approximately 8% of CAM users. The typical user profiles of CAM have remained consistent: women, mid-age groups and highly educated people tend to use CAM more than other groups. Conclusion While CAM use may have spiked temporarily during the pandemic, our analysis shows no evidence of a susta</w:t>
      </w:r>
    </w:p>
    <w:p>
      <w:pPr/>
      <w:r>
        <w:rPr>
          <w:b/>
        </w:rPr>
        <w:t>POSSIBLE 2024:</w:t>
      </w:r>
      <w:r>
        <w:t xml:space="preserve"> Container life in post-earthquake Croatia — https://doi.org/10.3167/fcl.2024.100702</w:t>
      </w:r>
    </w:p>
    <w:p>
      <w:pPr/>
      <w:r>
        <w:rPr>
          <w:b/>
        </w:rPr>
        <w:t>Shared claim-specific concepts:</w:t>
      </w:r>
      <w:r>
        <w:t xml:space="preserve"> croatia, acknowledging; EU scope visible. This is a provisional connection, not an outcome finding.</w:t>
      </w:r>
    </w:p>
    <w:p>
      <w:pPr>
        <w:pStyle w:val="SourceNote"/>
      </w:pPr>
      <w:r>
        <w:rPr>
          <w:b/>
        </w:rPr>
        <w:t>Available abstract (not full text):</w:t>
      </w:r>
      <w:r>
        <w:t xml:space="preserve"> Abstract This article focuses on experiences of people in the Banija region and specifically the town of Petrinja, Croatia, after an earthquake hit the area in December 2020. It presents their reflections on being confined to “container homes” in three different situations: living in container settlements on the outskirts of town; spending time in a container shopping center; and finding shelter in containers adjacent to destroyed houses. The study shows that temporary container housing frequently turned into permanent living and working solutions during the three years of post-earthquake reconstruction. It also argues the importance of acknowledging that the sense of isolation in disaster-affected areas and the loss of potential for renovation and development do not merely arise from “container life” but reveal the longer-run “polycrisis” involved.</w:t>
      </w:r>
    </w:p>
    <w:p>
      <w:pPr/>
      <w:r>
        <w:rPr>
          <w:b/>
        </w:rPr>
        <w:t>POSSIBLE 2024:</w:t>
      </w:r>
      <w:r>
        <w:t xml:space="preserve"> India-Middle East-Europe Economic Corridor: A Strategic Energy Alternative — https://doi.org/10.46557/001c.123649</w:t>
      </w:r>
    </w:p>
    <w:p>
      <w:pPr/>
      <w:r>
        <w:rPr>
          <w:b/>
        </w:rPr>
        <w:t>Shared claim-specific concepts:</w:t>
      </w:r>
      <w:r>
        <w:t xml:space="preserve"> alternative, road; EU scope visible. This is a provisional connection, not an outcome finding.</w:t>
      </w:r>
    </w:p>
    <w:p>
      <w:pPr>
        <w:pStyle w:val="SourceNote"/>
      </w:pPr>
      <w:r>
        <w:rPr>
          <w:b/>
        </w:rPr>
        <w:t>Available abstract (not full text):</w:t>
      </w:r>
      <w:r>
        <w:t xml:space="preserve"> The paper examines the strategic inception and the geopolitical significance of the India-Middle East-Europe Economic Corridor within the context of global energy infrastructure development. It posits this corridor as a pivotal countermeasure to the expansionist policy of China’s Belt and Road Initiative (BRI). The study highlights how this corridor not only diversifies energy sources and routes but also reconfigures geopolitical alliances and economic dependencies in Asia and beyond.</w:t>
      </w:r>
    </w:p>
    <w:p>
      <w:pPr/>
      <w:r>
        <w:rPr>
          <w:b/>
        </w:rPr>
        <w:t>POSSIBLE 2023:</w:t>
      </w:r>
      <w:r>
        <w:t xml:space="preserve"> Europe in Law and Literature — https://doi.org/10.1515/9783111075693</w:t>
      </w:r>
    </w:p>
    <w:p>
      <w:pPr/>
      <w:r>
        <w:rPr>
          <w:b/>
        </w:rPr>
        <w:t>Shared claim-specific concepts:</w:t>
      </w:r>
      <w:r>
        <w:t xml:space="preserve"> construct, alternative; EU scope visible. This is a provisional connection, not an outcome finding.</w:t>
      </w:r>
    </w:p>
    <w:p>
      <w:pPr>
        <w:pStyle w:val="SourceNote"/>
      </w:pPr>
      <w:r>
        <w:rPr>
          <w:b/>
        </w:rPr>
        <w:t>Available abstract (not full text):</w:t>
      </w:r>
      <w:r>
        <w:t xml:space="preserve"> Europe is a broad and multifaceted construct, variously understood as a geographical, political, legal, institutional, social, or cultural formation. It is characterized by numerous conflicts and processes of negotiation that have accompanied or sustained the development of normative orders and divergent conceptions of law, both in relation to individual states and to Europe as a whole. The same applies to the field of literature, language, and aesthetics; numerous myths and ideologies have shaped today’s understanding of Europe and still support it today. This volume examines how such processes were legally structured, and literarily addressed, criticized, and complemented. Its interdisciplinary perspective and open and dynamic, both dialogical and dialectical format intends to replicate the fragmented, sometimes conflicting, but always productive mosaic of voices, ideas, and concepts that have constituted and still constitute Europe, whether in the past, present, or future. Instead of resolving any of the complexities and contradictions that frame discussions on law, literature, and Europe, it aims to induce further engagement and confrontations with new and alternative visions of Europe.</w:t>
      </w:r>
    </w:p>
    <w:p>
      <w:pPr/>
      <w:r>
        <w:rPr>
          <w:b/>
        </w:rPr>
        <w:t>POSSIBLE 2023:</w:t>
      </w:r>
      <w:r>
        <w:t xml:space="preserve"> A phenomenological inquiry of building and living in European Earthship homes — https://doi.org/10.1680/jinam.23.00028</w:t>
      </w:r>
    </w:p>
    <w:p>
      <w:pPr/>
      <w:r>
        <w:rPr>
          <w:b/>
        </w:rPr>
        <w:t>Shared claim-specific concepts:</w:t>
      </w:r>
      <w:r>
        <w:t xml:space="preserve"> aim, alternative, shift; EU scope visible. This is a provisional connection, not an outcome finding.</w:t>
      </w:r>
    </w:p>
    <w:p>
      <w:pPr>
        <w:pStyle w:val="SourceNote"/>
      </w:pPr>
      <w:r>
        <w:rPr>
          <w:b/>
        </w:rPr>
        <w:t>Available abstract (not full text):</w:t>
      </w:r>
      <w:r>
        <w:t xml:space="preserve"> Earthships remain a relatively underexplored type of sustainable/alternative home. This is the first study to investigate the personal experiences of constructing and living in European Earthship homes. The aim of this study is to reveal insights into the ‘hands-on’ practical experience of persons who have constructed their own Earthship homes and to gather insights into the collective experience of these dwellers on the realities of living full time in an Earthship home. A phenomenological methodology, using an inductive research approach, was utilised through a qualitative research strategy to solicit insights into the personal experiences of these unique persons. The main themes and sub-themes that emerge from the analysis are that anyone from any background can make the shift to building/living in an Earthship home. However, a mixed skill set and knowledge of building trades, plus physical and emotional prowess, are needed for the long-haul build process, which, together with access to financial means and/or available materials, are critical factors that influence the outcome of the Earthship building. Meanwhile, once constructed, off-grid living in an Earthship home gives dwellers a greater connectivity with the natural world, raises awareness of consumerism and leads to enhanced appreciation of human impacts.</w:t>
      </w:r>
    </w:p>
    <w:p>
      <w:pPr/>
      <w:r>
        <w:rPr>
          <w:b/>
        </w:rPr>
        <w:t>POSSIBLE 2023:</w:t>
      </w:r>
      <w:r>
        <w:t xml:space="preserve"> A decision-support framework to construct climate impact storylines using downward counterfactuals — https://doi.org/10.5194/egusphere-egu23-15450</w:t>
      </w:r>
    </w:p>
    <w:p>
      <w:pPr/>
      <w:r>
        <w:rPr>
          <w:b/>
        </w:rPr>
        <w:t>Shared claim-specific concepts:</w:t>
      </w:r>
      <w:r>
        <w:t xml:space="preserve"> aim, construct, alternative, framework; EU scope visible. This is a provisional connection, not an outcome finding.</w:t>
      </w:r>
    </w:p>
    <w:p>
      <w:pPr>
        <w:pStyle w:val="SourceNote"/>
      </w:pPr>
      <w:r>
        <w:rPr>
          <w:b/>
        </w:rPr>
        <w:t>Available abstract (not full text):</w:t>
      </w:r>
      <w:r>
        <w:t xml:space="preserve"> Managing extreme weather events of unprecedented magnitude is one of the main challenges facing climate risk management and climate adaptation. Because of the unprecedented nature of these events, some authors have questioned the use of probabilistic approaches in this context. As an alternative, they introduced the so-called climate storylines approach. Climate storylines do not aim at predicting system states; rather, their focus is on revealing plausible chains of events whose impact might undermine the performance of the system.Conceptually, climate storylines relate to - but are separate from – downward counterfactual histories. Downward counterfactual histories are plausible alternative realizations of historical events that could have turned to the worse. By constructing downward counterfactual histories in a disaster risk reduction context, some authors showed that many disasters that took societies by surprise could have in fact been anticipated.This talk will introduce a decision-support framework to build climate storylines based on downward counterfactual histories. The framework is event-oriented, it focuses on impact and it is designed to be applied in a participatory fashion. By following the framework, the user first constructs climate storylines based on an iterative analysis of what (combinations of) counterfactuals are deemed critical (i.e., downward). Then, </w:t>
      </w:r>
    </w:p>
    <w:p>
      <w:pPr/>
      <w:r>
        <w:rPr>
          <w:b/>
        </w:rPr>
        <w:t>POSSIBLE 2022:</w:t>
      </w:r>
      <w:r>
        <w:t xml:space="preserve"> Narrating Europe: (Re‐)constructed and Contested Visions of the European Project in Citizens' Discourse — https://doi.org/10.1111/jcms.13364</w:t>
      </w:r>
    </w:p>
    <w:p>
      <w:pPr/>
      <w:r>
        <w:rPr>
          <w:b/>
        </w:rPr>
        <w:t>Shared claim-specific concepts:</w:t>
      </w:r>
      <w:r>
        <w:t xml:space="preserve"> four, developed; EU scope visible. This is a provisional connection, not an outcome finding.</w:t>
      </w:r>
    </w:p>
    <w:p>
      <w:pPr>
        <w:pStyle w:val="SourceNote"/>
      </w:pPr>
      <w:r>
        <w:rPr>
          <w:b/>
        </w:rPr>
        <w:t>Available abstract (not full text):</w:t>
      </w:r>
      <w:r>
        <w:t xml:space="preserve"> Changes in public opinion and civil society over the last decade have shown that citizens, particularly in old EU Member States, have developed more complex attitudes towards European integration. While the European project was previously generally described as a teleological depoliticized project, aiming at building peace and comforting growth, different competing visions of the European project are nowadays acknowledged and surface among the public on occasions, like referendums or treaty negotiations. While EU official narratives are documented by studies on the European institutions or the visions of leaders and parties, their empirical analysis at the citizens' level is still fragmented. Using focus group data in four countries (France, Portugal, Italy and Belgium) and three social groups (21 group interviews), we provide a comparative qualitative answer to how citizens envision European integration. Our results show that, first, official narratives do not fail to reach citizens, but they are also loosened, contested, and do not systematically produce a sense of common belonging. Second, they highlight the importance of socio‐economic contexts, as well as national and personal experience in the re‐appropriation of these narratives.</w:t>
      </w:r>
    </w:p>
    <w:p>
      <w:pPr>
        <w:pStyle w:val="Heading2"/>
      </w:pPr>
      <w:r>
        <w:t>580. Charging the future: Roadmaps and value tensions for mainstreaming prosumerism to 2030 and 2050</w:t>
      </w:r>
    </w:p>
    <w:p>
      <w:pPr>
        <w:pStyle w:val="SourceNote"/>
      </w:pPr>
      <w:r>
        <w:rPr>
          <w:b/>
        </w:rPr>
        <w:t>Original source (2021):</w:t>
      </w:r>
      <w:r>
        <w:t xml:space="preserve"> https://doi.org/10.5281/zenodo.4568679</w:t>
      </w:r>
    </w:p>
    <w:p>
      <w:pPr/>
      <w:r>
        <w:t>Original wording (abstract; indexed_source_text_not_full_document_verified): Third, we highlight three key value tensions which underlie these leverage points, and for which value prioritisations will need to be made.</w:t>
      </w:r>
    </w:p>
    <w:p>
      <w:pPr/>
      <w:r>
        <w:rPr>
          <w:b/>
        </w:rPr>
        <w:t>POSSIBLE 2026:</w:t>
      </w:r>
      <w:r>
        <w:t xml:space="preserve"> Discrimination of two-highlight versus single-highlight phantom echoes by bottlenose dolphins ( Tursiops truncatus ) — https://doi.org/10.1121/10.0043763</w:t>
      </w:r>
    </w:p>
    <w:p>
      <w:pPr/>
      <w:r>
        <w:rPr>
          <w:b/>
        </w:rPr>
        <w:t>Shared claim-specific concepts:</w:t>
      </w:r>
      <w:r>
        <w:t xml:space="preserve"> third, highlight, three; EU scope not established. This is a provisional connection, not an outcome finding.</w:t>
      </w:r>
    </w:p>
    <w:p>
      <w:pPr>
        <w:pStyle w:val="SourceNote"/>
      </w:pPr>
      <w:r>
        <w:rPr>
          <w:b/>
        </w:rPr>
        <w:t>Available abstract (not full text):</w:t>
      </w:r>
      <w:r>
        <w:t xml:space="preserve"> Range resolution defines the ability to discriminate multiple closely spaced surfaces from a single surface and is a fundamental determinant of dolphin biosonar performance. In this study, three bottlenose dolphins were trained to discriminate "phantom" echoes with a single highlight from those with two highlights. The inter-highlight interval of the two-highlight echo was varied to determine the discrimination threshold. Threshold measurements were conducted at echo delays corresponding to simulated target ranges of 2.5-80 m. Discrimination thresholds were 2-3 μs (∼2 mm) for two dolphins with a full-bandwidth of hearing. A third dolphin with high-frequency hearing loss had higher thresholds, between 3 and 5 μs (∼2-4 mm). Thresholds were independent of simulated range, which contrasts with previous reports that the dolphin's accuracy of range determination-as opposed to range resolution-is reduced beyond 10-20 m. Dolphin discriminations in the current study appeared to be based on a spectral cue that consisted of a low-pass filter effect at the highest audible frequencies in the two-highlight echoes. It is unknown if dolphins perceive highlight-dependent spectral interference patterns as a spatial separation of target features along a range axis.</w:t>
      </w:r>
    </w:p>
    <w:p>
      <w:pPr/>
      <w:r>
        <w:rPr>
          <w:b/>
        </w:rPr>
        <w:t>POSSIBLE 2026:</w:t>
      </w:r>
      <w:r>
        <w:t xml:space="preserve"> Tensions and transformation : investigating the dynamic value of digital platforms — https://doi.org/10.82444/warw.33911656</w:t>
      </w:r>
    </w:p>
    <w:p>
      <w:pPr/>
      <w:r>
        <w:rPr>
          <w:b/>
        </w:rPr>
        <w:t>Shared claim-specific concepts:</w:t>
      </w:r>
      <w:r>
        <w:t xml:space="preserve"> third, three, value, tensions; EU scope not established. This is a provisional connection, not an outcome finding.</w:t>
      </w:r>
    </w:p>
    <w:p>
      <w:pPr>
        <w:pStyle w:val="SourceNote"/>
      </w:pPr>
      <w:r>
        <w:rPr>
          <w:b/>
        </w:rPr>
        <w:t>Available abstract (not full text):</w:t>
      </w:r>
      <w:r>
        <w:t xml:space="preserve"> Digital platforms are transforming every industry as they create value distinct from any other digital technology by leveraging complementarity, boundary resources, and network effects. However, the process of value creation and value capture face increasing challenges as a result of the growing involvement of third parties beyond the platform owners’ control and a predominantly narrow focus on economic value across most of the actors, particularly by the platform owners who possess the capability to achieve border impacts. For platforms at different development stages, there should be specific types of value and mechanisms of creating and capturing value corresponding to the conditions, instead of a universal set of definitions, standards, and theories. Therefore, this thesis uses a process-oriented perspective to understand what types of value are created and how value is created and captured at different development stages of digital platforms. The first study examines the early-stage development of a traditional media company within a digital transformation project, where knowledge emerges as the central value pursued for creation and capture. The second study investigates Douyin (known globally as TikTok) during its scaling phase as an established platform, highlighting data as a critical source of capturable value used to address tensions between the platform and its comp</w:t>
      </w:r>
    </w:p>
    <w:p>
      <w:pPr/>
      <w:r>
        <w:rPr>
          <w:b/>
        </w:rPr>
        <w:t>POSSIBLE 2026:</w:t>
      </w:r>
      <w:r>
        <w:t xml:space="preserve"> Navigating Tensions in Digital Transformation: Managerial Action Across Levels — https://doi.org/10.5463/thesis.1701</w:t>
      </w:r>
    </w:p>
    <w:p>
      <w:pPr/>
      <w:r>
        <w:rPr>
          <w:b/>
        </w:rPr>
        <w:t>Shared claim-specific concepts:</w:t>
      </w:r>
      <w:r>
        <w:t xml:space="preserve"> third, three, value, tensions; EU scope not established. This is a provisional connection, not an outcome finding.</w:t>
      </w:r>
    </w:p>
    <w:p>
      <w:pPr>
        <w:pStyle w:val="SourceNote"/>
      </w:pPr>
      <w:r>
        <w:rPr>
          <w:b/>
        </w:rPr>
        <w:t>Available abstract (not full text):</w:t>
      </w:r>
      <w:r>
        <w:t xml:space="preserve"> Digital transformation promises incumbent firms new ways to compete and create value, but the journey there is shadowed with tensions. This dissertation asks: How do managers in incumbent firms navigate tensions when leading digital transformation? Three interconnected studies build the answer. The first, a systematic review of 109 articles, highlights a framework on how managers use paradoxical, convergence, and legitimacy framing to resolve cognitive tensions across sensing, seizing, and transforming. The second, a longitudinal case study of PetCo, distinguishes commensalistic from rivalrous resource tensions in ecosystem diversification, showing how each triggers distinct patterns of distributed leadership, from peer-level coordination among middle managers to coordination across hierarchical levels. The third examines artificial intelligence adoption, uncovering distinct challenges across generative and predictive AI and highlighting middle managers as pivotal actors in scaling AI across three phases. Together, these studies advance a multi-level understanding of digital transformation: one where success depends not only on strategic vision from the top, but on how managers across the hierarchy actively navigate cognitive, resource, and technological tensions in practice.</w:t>
      </w:r>
    </w:p>
    <w:p>
      <w:pPr/>
      <w:r>
        <w:rPr>
          <w:b/>
        </w:rPr>
        <w:t>POSSIBLE 2026:</w:t>
      </w:r>
      <w:r>
        <w:t xml:space="preserve"> A cosmological intercept tension in local distance ladders — https://doi.org/10.48550/arxiv.2610.31181</w:t>
      </w:r>
    </w:p>
    <w:p>
      <w:pPr/>
      <w:r>
        <w:rPr>
          <w:b/>
        </w:rPr>
        <w:t>Shared claim-specific concepts:</w:t>
      </w:r>
      <w:r>
        <w:t xml:space="preserve"> third, highlight, value; EU scope not established. This is a provisional connection, not an outcome finding.</w:t>
      </w:r>
    </w:p>
    <w:p>
      <w:pPr>
        <w:pStyle w:val="SourceNote"/>
      </w:pPr>
      <w:r>
        <w:rPr>
          <w:b/>
        </w:rPr>
        <w:t>Available abstract (not full text):</w:t>
      </w:r>
      <w:r>
        <w:t xml:space="preserve"> The Hubble tension motivates direct tests of the internal consistency of the local distance ladder. We perform forward and backward consistency checks between Type Ia supernovae in Cepheid host galaxies and the Hubble-flow supernova sample using Pantheon+ data. Within flat $Λ$CDM, we impose Planck-CMB priors on one sample, infer the supernova absolute-magnitude calibration, and propagate it to the other sample to recover the Hubble constant, which should match the input value if the second and third rungs of the distance ladder align perfectly. We examine the impact of host-galaxy peculiar velocities using redshift corrections based on the Manticore-Local reconstruction. These corrections shift the recovered $H_0$ from $74.30^{+1.18}_{-1.20}$ to $71.37^{+1.23}_{-1.18}$ $\mathrm{km\,s^{-1}Mpc^{-1}}$ in the forward analysis and from $60.83^{+0.98}_{-0.97}$ to $63.25^{+0.95}_{-0.93}$ $\mathrm{km\,s^{-1}Mpc^{-1}}$ in the backward analysis, bringing both results closer to the input CMB constraint. Comparing the cosmological intercepts of the magnitude-redshift relation inferred from two rungs of the distance ladder before and after peculiar-velocity corrections, we find that the significance of the discrepancy decreases from $6.8σ$ to $3.9σ$ in the forward check and from $7.3σ$ to $4.3σ$ in the backward check. Peculiar-velocity corrections therefore partially alleviate the intercept</w:t>
      </w:r>
    </w:p>
    <w:p>
      <w:pPr/>
      <w:r>
        <w:rPr>
          <w:b/>
        </w:rPr>
        <w:t>POSSIBLE 2026:</w:t>
      </w:r>
      <w:r>
        <w:t xml:space="preserve"> Introduction to the Third Edition — https://doi.org/10.1017/9781009724524.002</w:t>
      </w:r>
    </w:p>
    <w:p>
      <w:pPr/>
      <w:r>
        <w:rPr>
          <w:b/>
        </w:rPr>
        <w:t>Shared claim-specific concepts:</w:t>
      </w:r>
      <w:r>
        <w:t xml:space="preserve"> third, three, key, value; EU scope not established. This is a provisional connection, not an outcome finding.</w:t>
      </w:r>
    </w:p>
    <w:p>
      <w:pPr>
        <w:pStyle w:val="SourceNote"/>
      </w:pPr>
      <w:r>
        <w:rPr>
          <w:b/>
        </w:rPr>
        <w:t>Available abstract (not full text):</w:t>
      </w:r>
      <w:r>
        <w:t xml:space="preserve"> Understanding Modern Warfare has established itself as a leading text in professional military education and undergraduate teaching. This third edition has been revised throughout to reflect dramatic changes during the past decade. Introducing three brand new chapters, this updated volume provides in-depth analysis of the most pertinent issues of the 2020s and beyond, including cyber warfare, information activities, hybrid and grey zone warfare, multi-domain operations and recent conflicts in Ukraine, Gaza, and Syria. It also includes a range of features to maximise its value as a learning tool: a structure designed to guide students through key strategic principles; key questions and annotated reading guides for deeper understanding; text boxes highlighting critical thinkers and operational concepts; and a glossary explaining key terms. Providing debate driven analysis that encourages students to develop a balanced perspective, Understanding Modern Warfare remains essential reading both for officers and for students of international relations more broadly.</w:t>
      </w:r>
    </w:p>
    <w:p>
      <w:pPr/>
      <w:r>
        <w:rPr>
          <w:b/>
        </w:rPr>
        <w:t>POSSIBLE 2026:</w:t>
      </w:r>
      <w:r>
        <w:t xml:space="preserve"> Preface to the Third Edition — https://doi.org/10.1017/9781009724524.001</w:t>
      </w:r>
    </w:p>
    <w:p>
      <w:pPr/>
      <w:r>
        <w:rPr>
          <w:b/>
        </w:rPr>
        <w:t>Shared claim-specific concepts:</w:t>
      </w:r>
      <w:r>
        <w:t xml:space="preserve"> third, three, key, value; EU scope not established. This is a provisional connection, not an outcome finding.</w:t>
      </w:r>
    </w:p>
    <w:p>
      <w:pPr>
        <w:pStyle w:val="SourceNote"/>
      </w:pPr>
      <w:r>
        <w:rPr>
          <w:b/>
        </w:rPr>
        <w:t>Available abstract (not full text):</w:t>
      </w:r>
      <w:r>
        <w:t xml:space="preserve"> Understanding Modern Warfare has established itself as a leading text in professional military education and undergraduate teaching. This third edition has been revised throughout to reflect dramatic changes during the past decade. Introducing three brand new chapters, this updated volume provides in-depth analysis of the most pertinent issues of the 2020s and beyond, including cyber warfare, information activities, hybrid and grey zone warfare, multi-domain operations and recent conflicts in Ukraine, Gaza, and Syria. It also includes a range of features to maximise its value as a learning tool: a structure designed to guide students through key strategic principles; key questions and annotated reading guides for deeper understanding; text boxes highlighting critical thinkers and operational concepts; and a glossary explaining key terms. Providing debate driven analysis that encourages students to develop a balanced perspective, Understanding Modern Warfare remains essential reading both for officers and for students of international relations more broadly.</w:t>
      </w:r>
    </w:p>
    <w:p>
      <w:pPr/>
      <w:r>
        <w:rPr>
          <w:b/>
        </w:rPr>
        <w:t>POSSIBLE 2026:</w:t>
      </w:r>
      <w:r>
        <w:t xml:space="preserve"> Shared experiences of three professionals navigating careers in the Third Space — https://doi.org/10.1080/13603108.2026.2631071</w:t>
      </w:r>
    </w:p>
    <w:p>
      <w:pPr/>
      <w:r>
        <w:rPr>
          <w:b/>
        </w:rPr>
        <w:t>Shared claim-specific concepts:</w:t>
      </w:r>
      <w:r>
        <w:t xml:space="preserve"> third, three, need; EU scope not established. This is a provisional connection, not an outcome finding.</w:t>
      </w:r>
    </w:p>
    <w:p>
      <w:pPr>
        <w:pStyle w:val="SourceNote"/>
      </w:pPr>
      <w:r>
        <w:rPr>
          <w:b/>
        </w:rPr>
        <w:t>Available abstract (not full text):</w:t>
      </w:r>
      <w:r>
        <w:t xml:space="preserve"> Career progression within the Third Space in higher education remains largely informal, with limited structured pathways for advancement. This paper draws on a year-long collaborative autoethnographic reflection by three Technology Enhanced Learning (TEL) practitioners to examine the lived realities of navigating careers in this evolving domain. Anchored in Whitchurch's conceptualisation of Third Space work, we explore the contextual and individualised nature of our trajectories, identifying both emerging competencies and persistent gaps in professional recognition. Our reflections reveal how the underdeveloped professionalisation of Third Space TEL roles affects identity formation, validation, and career sustainability. We critically consider the implications of this informality, particularly the need for clearer frameworks that acknowledge the strategic and pedagogical contributions of these roles. By situating our case within broader literature on Third Space professionalisation, we contribute to ongoing conversations about recognition, legitimacy, and institutional responsibility in creating sustainable and valued career pathways.</w:t>
      </w:r>
    </w:p>
    <w:p>
      <w:pPr/>
      <w:r>
        <w:rPr>
          <w:b/>
        </w:rPr>
        <w:t>POSSIBLE 2026:</w:t>
      </w:r>
      <w:r>
        <w:t xml:space="preserve"> Third-party Casino Servicescape Design Evaluation: Highlighting Architectural Attributes Addressing Health &amp; Wellness — https://openalex.org/W7164623194</w:t>
      </w:r>
    </w:p>
    <w:p>
      <w:pPr/>
      <w:r>
        <w:rPr>
          <w:b/>
        </w:rPr>
        <w:t>Shared claim-specific concepts:</w:t>
      </w:r>
      <w:r>
        <w:t xml:space="preserve"> third, three, key; EU scope not established. This is a provisional connection, not an outcome finding.</w:t>
      </w:r>
    </w:p>
    <w:p>
      <w:pPr>
        <w:pStyle w:val="SourceNote"/>
      </w:pPr>
      <w:r>
        <w:rPr>
          <w:b/>
        </w:rPr>
        <w:t>Available abstract (not full text):</w:t>
      </w:r>
      <w:r>
        <w:t xml:space="preserve"> This study examines three critical components of understanding the casino environment’s impact on human well-being. First, a Delphi study with expert architects’ analysis of design cues establishes that not all casino designs are equal. Casinos are typically analyzed in terms of their profitability, guest satisfaction, visit duration, average spend, etc., or their individual components are separately measured but not assessed in their impact as part of an integrated whole. Their impact on health and wellness is often an afterthought or hardly a consideration at all. This fills a key gap in the existing servicescape literature. Second, AI image generation accelerates discernment of casino design decisions’ relationship to potential guest perception and behavior. As real-world design and construction take time to materialize, simulating innumerable design options provides field experts with the opportunity to illustrate how certain design variables may have more profound effects on health and wellness (e.g. lighting and proportion, color and connection to nature, layout and wayfinding, etc.). Rapidly creating design iterations for visual stimuli in surveys enables more reliable focus-group testing. The third component illustrates that by demonstrating greater control over key design elements and their integration into the comprehensive guest experience, casino architects and deve</w:t>
      </w:r>
    </w:p>
    <w:p>
      <w:pPr/>
      <w:r>
        <w:rPr>
          <w:b/>
        </w:rPr>
        <w:t>POSSIBLE 2025:</w:t>
      </w:r>
      <w:r>
        <w:t xml:space="preserve"> Three-dimensional third medium contact model for hyperelastic contact and pneumatically actuated systems — https://doi.org/10.48550/arxiv.2512.03181</w:t>
      </w:r>
    </w:p>
    <w:p>
      <w:pPr/>
      <w:r>
        <w:rPr>
          <w:b/>
        </w:rPr>
        <w:t>Shared claim-specific concepts:</w:t>
      </w:r>
      <w:r>
        <w:t xml:space="preserve"> third, highlight, need; EU scope not established. This is a provisional connection, not an outcome finding.</w:t>
      </w:r>
    </w:p>
    <w:p>
      <w:pPr>
        <w:pStyle w:val="SourceNote"/>
      </w:pPr>
      <w:r>
        <w:rPr>
          <w:b/>
        </w:rPr>
        <w:t>Available abstract (not full text):</w:t>
      </w:r>
      <w:r>
        <w:t xml:space="preserve"> This work presents a comprehensive three-dimensional third-medium contact framework for modeling complex contact interactions in hyperelastic solids and pneumatically actuated systems. The proposed third-medium formulation embeds a fictitious medium (or third medium) between potentially interacting bodies, enabling a unified and robust treatment of hyperelastic contact and self-contact without the need for discretization of the contact interface. Unlike the widely studied two-dimensional problem, this paper extends the new regularization term given in Reference \cite{TMCWriggers2} to three-dimensional problems and ensures element quality in a third medium. Due to the need for higher-order elements for the regularization term, this paper details the linearization process of this problem within the finite element framework. In addition, pneumatically actuated systems are considered by introducing a pneumatic term to represent pneumatic loading (pressure or suction) and inducing contact caused by internal inflation. This approach is suitable for complex hyperelastic contact and self-contact, and has potential applications in the fields of soft robotics and flexible mechanisms. The framework is developed in a fully three-dimensional setting, making it also suitable for isogeometric methods and meshless methods. Several benchmark and application-level simulations demonstrate the acc</w:t>
      </w:r>
    </w:p>
    <w:p>
      <w:pPr/>
      <w:r>
        <w:rPr>
          <w:b/>
        </w:rPr>
        <w:t>POSSIBLE 2025:</w:t>
      </w:r>
      <w:r>
        <w:t xml:space="preserve"> Global Nomads: Identity and Belonging in Third Culture Kids and Adult Third Culture Kids — https://openalex.org/W7119396443</w:t>
      </w:r>
    </w:p>
    <w:p>
      <w:pPr/>
      <w:r>
        <w:rPr>
          <w:b/>
        </w:rPr>
        <w:t>Shared claim-specific concepts:</w:t>
      </w:r>
      <w:r>
        <w:t xml:space="preserve"> third, highlight, three; EU scope not established. This is a provisional connection, not an outcome finding.</w:t>
      </w:r>
    </w:p>
    <w:p>
      <w:pPr>
        <w:pStyle w:val="SourceNote"/>
      </w:pPr>
      <w:r>
        <w:rPr>
          <w:b/>
        </w:rPr>
        <w:t>Available abstract (not full text):</w:t>
      </w:r>
      <w:r>
        <w:t xml:space="preserve"> This capstone examines the subculture of Third Culture Kids and Adult Third Culture Kids who have experienced living abroad as children. There were two main objectives in this study. First, to understand the perceptions of Adult Third Culture Kids on how their global childhoods have impacted their self-identity and sense of belonging as adults. Secondly, to understand the opinions of Adult Third Culture Kids on transitional programs through their personal experiences with them. The methodology of this capstone included a twelve-question survey distributed to seventeen Adult Third Culture Kids born in six different countries around the world. The questions in the survey focused on two central research questions about self-identity, belonging, and opinions of transitional programs aiding in childhood development. A thematic analysis used Google Highlight to code responses into three themes supported by an accompanying literature review. The findings of this study showed that the perceptions of self-identity and sense of belonging in Adult Third Culture Kids aligned with published literature on the topic. Contrastingly, Adult Third Culture Kids in this study agreed that transitional programs would negatively affect the childhood development of future Third Culture Kids. Having not participated in them during childhood, most concluded that they preferred navigating their childhood </w:t>
      </w:r>
    </w:p>
    <w:p>
      <w:pPr/>
      <w:r>
        <w:rPr>
          <w:b/>
        </w:rPr>
        <w:t>POSSIBLE 2025:</w:t>
      </w:r>
      <w:r>
        <w:t xml:space="preserve"> Values tensions and values tradeoffs in the development of healthcare artificial intelligence technology: a conceptual model of decisions to create trustworthy technology — https://doi.org/10.1080/15534510.2025.2478940</w:t>
      </w:r>
    </w:p>
    <w:p>
      <w:pPr/>
      <w:r>
        <w:rPr>
          <w:b/>
        </w:rPr>
        <w:t>Shared claim-specific concepts:</w:t>
      </w:r>
      <w:r>
        <w:t xml:space="preserve"> highlight, value, tensions, need; EU scope not established. This is a provisional connection, not an outcome finding.</w:t>
      </w:r>
    </w:p>
    <w:p>
      <w:pPr>
        <w:pStyle w:val="SourceNote"/>
      </w:pPr>
      <w:r>
        <w:rPr>
          <w:b/>
        </w:rPr>
        <w:t>Available abstract (not full text):</w:t>
      </w:r>
      <w:r>
        <w:t xml:space="preserve"> Value-action gaps may exist when values are endorsed due to external pressures, from low perceived behavioral control, or when values conflict with community norms or one another. In the context of developing healthcare artificial intelligence (AI), prosocial values like fairness and transparency are particularly important, yet they may clash with an instrumental value for profit. We recruited 185 healthcare AI developers (66.49% male, 58.92% White, Mage = 27.56) to examine facilitators and barriers of value-action congruence. Value endorsement, internalization, attitudes, norms, and message frequency were positively linked to behavioral intention to act in line with one’s values, while low perceived control and value tension were negatively associated with it. Findings highlight the need for organizational cultures that emphasize prosocial values.</w:t>
      </w:r>
    </w:p>
    <w:p>
      <w:pPr/>
      <w:r>
        <w:rPr>
          <w:b/>
        </w:rPr>
        <w:t>POSSIBLE 2025:</w:t>
      </w:r>
      <w:r>
        <w:t xml:space="preserve"> Navigating the tension: Islamic value and digital transformation in Pakistani educational management — https://doi.org/10.22515/attarbawi.v10i2.13017</w:t>
      </w:r>
    </w:p>
    <w:p>
      <w:pPr/>
      <w:r>
        <w:rPr>
          <w:b/>
        </w:rPr>
        <w:t>Shared claim-specific concepts:</w:t>
      </w:r>
      <w:r>
        <w:t xml:space="preserve"> highlight, value, need; EU scope not established. This is a provisional connection, not an outcome finding.</w:t>
      </w:r>
    </w:p>
    <w:p>
      <w:pPr>
        <w:pStyle w:val="SourceNote"/>
      </w:pPr>
      <w:r>
        <w:rPr>
          <w:b/>
        </w:rPr>
        <w:t>Available abstract (not full text):</w:t>
      </w:r>
      <w:r>
        <w:t xml:space="preserve"> This study investigates how educational management is practiced within Islamic institutions by integrating conceptual analysis with qualitative field data from selected madrasas and Islamic universities in Pakistan. Although educational management in Islamic institutions has been widely discussed theoretically, there remains a lack of empirical studies that examine how administrators and teachers actually implement Islamic values in day-to-day management practices, which creates an important gap in the literature. Drawing on qualitative multiple-case study, data were gathered through semi-structured interviews with administrators (n = 12) and teachers (n = 18) and supported by a review of institutional documents. The study explores how values such as amanah, shūrā, and ihsan shape leadership behaviour, curriculum decisions, and responses to digital transformation. Thematic analysis reveals that management processes often rely on traditional authority structures and limited strategic planning, and that digital innovation is acknowledged as important yet constrained by inadequate resources. Participants also expressed the ongoing tension between preserving religious authenticity and meeting modern educational demands. Overall, the findings highlight the need for a professionalized and ethically grounded management model that reflects Islamic principles while responding effectivel</w:t>
      </w:r>
    </w:p>
    <w:p>
      <w:pPr>
        <w:pStyle w:val="Heading2"/>
      </w:pPr>
      <w:r>
        <w:t>581. Conducting pre-foresight research: organizational aspect</w:t>
      </w:r>
    </w:p>
    <w:p>
      <w:pPr>
        <w:pStyle w:val="SourceNote"/>
      </w:pPr>
      <w:r>
        <w:rPr>
          <w:b/>
        </w:rPr>
        <w:t>Original source (2021):</w:t>
      </w:r>
      <w:r>
        <w:t xml:space="preserve"> https://doi.org/10.15407/socium2021.02.026</w:t>
      </w:r>
    </w:p>
    <w:p>
      <w:pPr/>
      <w:r>
        <w:t>Original wording (abstract; indexed_source_text_not_full_document_verified): The purpose of this publication is a detailed study and analysis of the organisation of pre-foresight research in terms of the formation of informational, communicative, and methodological components of the pre-foresight stage, as well as recommendations for measures to improve the effectiveness of national foresight as a tool for long-term development in the country.</w:t>
      </w:r>
    </w:p>
    <w:p>
      <w:pPr/>
      <w:r>
        <w:rPr>
          <w:b/>
        </w:rPr>
        <w:t>POSSIBLE 2026:</w:t>
      </w:r>
      <w:r>
        <w:t xml:space="preserve"> FAIRsharing record for: FAIR Metric - R1.2 - Metadata - Linked Publications — https://doi.org/10.25504/fairsharing.653df6</w:t>
      </w:r>
    </w:p>
    <w:p>
      <w:pPr/>
      <w:r>
        <w:rPr>
          <w:b/>
        </w:rPr>
        <w:t>Shared claim-specific concepts:</w:t>
      </w:r>
      <w:r>
        <w:t xml:space="preserve"> purpose, publication, detailed; EU scope not established. This is a provisional connection, not an outcome finding.</w:t>
      </w:r>
    </w:p>
    <w:p>
      <w:pPr>
        <w:pStyle w:val="SourceNote"/>
      </w:pPr>
      <w:r>
        <w:rPr>
          <w:b/>
        </w:rPr>
        <w:t>Available abstract (not full text):</w:t>
      </w:r>
      <w:r>
        <w:t xml:space="preserve"> This FAIRsharing record describes: R1.2 requires that (meta)data be associated with detailed provenance. The purpose of this principle is to ensure that provenance-related metadata such as the origins, contributors, funding context and related research outputs of a digital object are clearly described, enabling informed reuse and proper attribution. For the purposes of this metric, a qualified reference is defined as a reference in which the metadata explicitly describes the type of relationship between the metadata and the referenced entity. Evaluation under this metric assesses the presence of at least one qualified reference to linked publications: Where a metadata record includes at least one linked publication that explicitly supports the metadata record (rather than just providing context), this constitutes a qualified provenance reference. Where this information is present, at least one declaration is sufficient to pass this metric. The overall level of FAIRness under R1.2 increases as additional provenance dimensions are satisfied; using multiple metrics for R1.2 can help create a detailed picture of reusability.</w:t>
      </w:r>
    </w:p>
    <w:p>
      <w:pPr/>
      <w:r>
        <w:rPr>
          <w:b/>
        </w:rPr>
        <w:t>POSSIBLE 2026:</w:t>
      </w:r>
      <w:r>
        <w:t xml:space="preserve"> Knowledge Management Practice in the Indian Publications Industry with a Case Study of Publications Hub, India — https://doi.org/10.30954/2322-0465.01.2026.14</w:t>
      </w:r>
    </w:p>
    <w:p>
      <w:pPr/>
      <w:r>
        <w:rPr>
          <w:b/>
        </w:rPr>
        <w:t>Shared claim-specific concepts:</w:t>
      </w:r>
      <w:r>
        <w:t xml:space="preserve"> purpose, detailed, well, improve; EU scope not established. This is a provisional connection, not an outcome finding.</w:t>
      </w:r>
    </w:p>
    <w:p>
      <w:pPr>
        <w:pStyle w:val="SourceNote"/>
      </w:pPr>
      <w:r>
        <w:rPr>
          <w:b/>
        </w:rPr>
        <w:t>Available abstract (not full text):</w:t>
      </w:r>
      <w:r>
        <w:t xml:space="preserve"> The global publishing industry in India, which is one of the largest in the world, is going through rapid change as a result of the introduction of Knowledge Management (KM) practices.This case study looks at KM frameworks within academic, trade, and regional publishing, with a focus on digital repositories, the transfer of tacit knowledge, AI-powered editorial tools, and organizational learning.The evidence from the cases points out both the opportunities and the challenges involved, such as the difficulty of handling multiple languages, shortcomings in infrastructure, and resistance to change.The study includes a detailed analysis of Publications Hub in New Delhi, a medium-sized publishing consortium that has incorporated KM frameworks into its editorial and distribution processes.It is concluded that in order to maintain competitiveness and promote innovation in the Indian publishing sector, a strategic adoption of KM, backed by collaborative platforms and new technologies, is essential.Data gathered from 20 publishers that are part of the Hub show that KM practices-such as the use of digital repositories and peer review management systems, as well as the transfer of tacit knowledge via editorial mentorship-greatly improve operational transparency and cut down turnaround times.The case study makes it clear that for the purpose of sustaining innovation and competitiveness in </w:t>
      </w:r>
    </w:p>
    <w:p>
      <w:pPr/>
      <w:r>
        <w:rPr>
          <w:b/>
        </w:rPr>
        <w:t>POSSIBLE 2026:</w:t>
      </w:r>
      <w:r>
        <w:t xml:space="preserve"> Class XII Mathematics: Detailed Step-by-Step Solution Manual — https://doi.org/10.5281/zenodo.23293618</w:t>
      </w:r>
    </w:p>
    <w:p>
      <w:pPr/>
      <w:r>
        <w:rPr>
          <w:b/>
        </w:rPr>
        <w:t>Shared claim-specific concepts:</w:t>
      </w:r>
      <w:r>
        <w:t xml:space="preserve"> purpose, publication, detailed; EU scope not established. This is a provisional connection, not an outcome finding.</w:t>
      </w:r>
    </w:p>
    <w:p>
      <w:pPr>
        <w:pStyle w:val="SourceNote"/>
      </w:pPr>
      <w:r>
        <w:rPr>
          <w:b/>
        </w:rPr>
        <w:t>Available abstract (not full text):</w:t>
      </w:r>
      <w:r>
        <w:t xml:space="preserve"> Mathematics for Class XII: Complete Step-by-Step Solution Manual Author: Abdul Rab ChacharDesignation: Lecturer in MathematicsAffiliation: College Education Department, Government of Sindh, Pakistan This educational solution manual is designed as an independent companion to the Class XII Mathematics textbook prescribed by the Sindh Textbook Board, Jamshoro, Pakistan. The manual aims to provide clear, detailed, step-by-step mathematical solutions to help higher secondary students, teachers, and independent learners develop conceptual understanding, strengthen problem-solving skills, and prepare for examinations. The manual is organized around the twelve units of the prescribed mathematics curriculum, including functions and limits, differential calculus, integration, vector functions, analytic geometry, differential equations, partial differentiation, and introductory numerical methods. Educational Purpose This work is intended for free educational distribution and non-commercial learning. Students and teachers are encouraged to access and share the original, unmodified manual with appropriate attribution, subject to its stated license. Copyright and Attribution Copyright © 2026 Abdul Rab Chachar. This is an independently prepared educational resource and is not an official publication of, or endorsed by, the Sindh Textbook Board. Website: https://abdulrab.github.ioLinkedIn: htt</w:t>
      </w:r>
    </w:p>
    <w:p>
      <w:pPr/>
      <w:r>
        <w:rPr>
          <w:b/>
        </w:rPr>
        <w:t>POSSIBLE 2026:</w:t>
      </w:r>
      <w:r>
        <w:t xml:space="preserve"> Delays in publication of 2026 papers — https://doi.org/10.1002/ovs2.70056</w:t>
      </w:r>
    </w:p>
    <w:p>
      <w:pPr/>
      <w:r>
        <w:rPr>
          <w:b/>
        </w:rPr>
        <w:t>Shared claim-specific concepts:</w:t>
      </w:r>
      <w:r>
        <w:t xml:space="preserve"> purpose, publication, detailed, terms, well, improve; EU scope not established. This is a provisional connection, not an outcome finding.</w:t>
      </w:r>
    </w:p>
    <w:p>
      <w:pPr>
        <w:pStyle w:val="SourceNote"/>
      </w:pPr>
      <w:r>
        <w:rPr>
          <w:b/>
        </w:rPr>
        <w:t>Available abstract (not full text):</w:t>
      </w:r>
      <w:r>
        <w:t xml:space="preserve"> The one major change that was not included in our January 2024, 3-year plan for the journal1 was to change publishers to Wiley.2 The three main advantages we foresaw were a significant reduction in publication times, improved readability of papers, and a route for authors to obtain open access publication of their papers via Wiley agreements with institutions worldwide.2 This means that authors from many universities will get payment for open access publication via their institution and do not need to have grants for this purpose. Having worked with Wiley as editor-in-chief of Ophthalmic &amp; Physiological Optics from 2010 to 2020, I was also aware of their excellent marketing team that helped to improve our communications with authors and reviewers. Wiley also has very well-thought-through processes for dealing with ethical issues and AI. We started the process of choosing a new publisher in 2024 and chose Wiley in early 2025, with a plan to switch in January 2026. Wiley was the only publisher to provide a detailed transition plan. The plan was due to start in July 2025 with the conversion of the backfiles of all Optometry and Visions Science (OVS)'s past issues from Wolters–Kluwer to Wiley. The first difficulty was the amount of time needed for the legal team at the American Academy of Optometry (AAO) to finalize an agreement with Wiley; this delayed the process for several mont</w:t>
      </w:r>
    </w:p>
    <w:p>
      <w:pPr/>
      <w:r>
        <w:rPr>
          <w:b/>
        </w:rPr>
        <w:t>POSSIBLE 2026:</w:t>
      </w:r>
      <w:r>
        <w:t xml:space="preserve"> CGT TECHNICAL DISCLOSURE BULLETIN V1 - Prior Art Publication for Inventions Derived from Conscious Geometry Theory — https://doi.org/10.5281/zenodo.18772630</w:t>
      </w:r>
    </w:p>
    <w:p>
      <w:pPr/>
      <w:r>
        <w:rPr>
          <w:b/>
        </w:rPr>
        <w:t>Shared claim-specific concepts:</w:t>
      </w:r>
      <w:r>
        <w:t xml:space="preserve"> purpose, publication, detailed; EU scope not established. This is a provisional connection, not an outcome finding.</w:t>
      </w:r>
    </w:p>
    <w:p>
      <w:pPr>
        <w:pStyle w:val="SourceNote"/>
      </w:pPr>
      <w:r>
        <w:rPr>
          <w:b/>
        </w:rPr>
        <w:t>Available abstract (not full text):</w:t>
      </w:r>
      <w:r>
        <w:t xml:space="preserve"> This document constitutes a defensive publication and prior art disclosure under the principles of intellectual property law. Its purpose is to place into the public domain detailed technical descriptions of all known and anticipated inventions, methods, systems, devices, and applications derivable from Conscious Geometry Theory (CGT).All inventions described in this document to the public domain for the benefit of humanity under CC-BY-4.0 licence. No patent applications have been filed, are pending, or will be filed by the inventor for any invention described herein.</w:t>
      </w:r>
    </w:p>
    <w:p>
      <w:pPr/>
      <w:r>
        <w:rPr>
          <w:b/>
        </w:rPr>
        <w:t>POSSIBLE 2026:</w:t>
      </w:r>
      <w:r>
        <w:t xml:space="preserve"> Towards Fitness-for-purpose assessment in HealthData@EU — https://doi.org/10.5281/zenodo.20204309</w:t>
      </w:r>
    </w:p>
    <w:p>
      <w:pPr/>
      <w:r>
        <w:rPr>
          <w:b/>
        </w:rPr>
        <w:t>Shared claim-specific concepts:</w:t>
      </w:r>
      <w:r>
        <w:t xml:space="preserve"> purpose, publication, detailed, well, recommendations; EU scope visible. This is a provisional connection, not an outcome finding.</w:t>
      </w:r>
    </w:p>
    <w:p>
      <w:pPr>
        <w:pStyle w:val="SourceNote"/>
      </w:pPr>
      <w:r>
        <w:rPr>
          <w:b/>
        </w:rPr>
        <w:t>Available abstract (not full text):</w:t>
      </w:r>
      <w:r>
        <w:t xml:space="preserve"> Proposal Design of a Fitness‑for‑Purpose (F4P) Mechanism for HealthData@EU Executive Summary This report proposes an initial design for a Fitness‑for‑Purpose (F4P) mechanism within HealthData@EU, aimed at complementing the existing QUANTUM Data Quality, Utility, and Maturity Label. The F4P mechanism introduces a structured way to capture and share Data Users’ assessments of how well datasets meet specific secondary‑use purposes under the European Health Data Space (EHDS). These assessments are intended to enhance transparency, usability, and trust by making real‑world dataset performance visible through Health Data Access Bodies (HDAB) catalogues. At its core, the mechanism enables purpose‑specific scoring of datasets, aligned with EHDS Article 53(1) use cases, including scientific research (e.g., AI training/testing), public health surveillance, policymaking and Health Technology Assessment (HTA), statistics, and education. Evaluations are anchored in QUANTUM’s established data quality dimensions, such as completeness, consistency, and accuracy; while also incorporating qualitative feedback through user comments and optional supporting materials (e.g., reports, code, persistent identifiers). The design defines a post‑use reporting model, requiring feedback submission within EHDS Article 61(4) timelines, while allowing optional early feedback to Data Holders (DHs). Governance i</w:t>
      </w:r>
    </w:p>
    <w:p>
      <w:pPr/>
      <w:r>
        <w:rPr>
          <w:b/>
        </w:rPr>
        <w:t>POSSIBLE 2026:</w:t>
      </w:r>
      <w:r>
        <w:t xml:space="preserve"> Mobile apps for cancer patient education: a technology foresight analysis — https://doi.org/10.1007/s00520-026-11112-z</w:t>
      </w:r>
    </w:p>
    <w:p>
      <w:pPr/>
      <w:r>
        <w:rPr>
          <w:b/>
        </w:rPr>
        <w:t>Shared claim-specific concepts:</w:t>
      </w:r>
      <w:r>
        <w:t xml:space="preserve"> purpose, terms, effectiveness, foresight; EU scope not established. This is a provisional connection, not an outcome finding.</w:t>
      </w:r>
    </w:p>
    <w:p>
      <w:pPr>
        <w:pStyle w:val="SourceNote"/>
      </w:pPr>
      <w:r>
        <w:rPr>
          <w:b/>
        </w:rPr>
        <w:t>Available abstract (not full text):</w:t>
      </w:r>
      <w:r>
        <w:t xml:space="preserve"> PURPOSE: To identify and classify free mobile applications for adult cancer patient education available in the App Store and Google Play. METHODS: A technology foresight study was conducted in four phases (preparation, pre-prospecting, prospecting, and post-prospecting). Search was carried out in both stores, using the terms "cancer" and "oncology". Free apps in English, Spanish, or Portuguese aimed at educating adults with cancer were included. Quality was assessed based on a scale adapted from the Applications Scoring System. RESULTS: A total of 848 apps were identified. After screening, 32 met the inclusion criteria. Most were categorized under "Medicine" (n = 21), were available in the App Store (n = 25), and were released between 2017 and 2024, peaking in 2024 (n = 14). Content most frequently addressed breast cancer. Only nine apps achieved the maximum app comprehensiveness score, and seven cited scientific literature. Most required internet connectivity (n = 28) and were easy to navigate (n = 29), whereas professional validation and offline resources were limited. Overall quality scores ranged from 5 to 10, with a median score of 8 (interquartile range [IQR]: 6-9). CONCLUSION: Although digital solutions for oncology education have expanded rapidly, a substantial proportion of available applications remain devoid of a rigorous scientific foundation and continue to exhibit</w:t>
      </w:r>
    </w:p>
    <w:p>
      <w:pPr/>
      <w:r>
        <w:rPr>
          <w:b/>
        </w:rPr>
        <w:t>POSSIBLE 2026:</w:t>
      </w:r>
      <w:r>
        <w:t xml:space="preserve"> AI-Driven Cyberattack Risks - A Foresight Study — https://doi.org/10.59297/es35t565</w:t>
      </w:r>
    </w:p>
    <w:p>
      <w:pPr/>
      <w:r>
        <w:rPr>
          <w:b/>
        </w:rPr>
        <w:t>Shared claim-specific concepts:</w:t>
      </w:r>
      <w:r>
        <w:t xml:space="preserve"> improve, foresight; EU scope not established. This is a provisional connection, not an outcome finding.</w:t>
      </w:r>
    </w:p>
    <w:p>
      <w:pPr>
        <w:pStyle w:val="SourceNote"/>
      </w:pPr>
      <w:r>
        <w:rPr>
          <w:b/>
        </w:rPr>
        <w:t>Available abstract (not full text):</w:t>
      </w:r>
      <w:r>
        <w:t xml:space="preserve"> The digitalization has integrated artificial intelligence (AI) across multiple domains, including cybersecurity, creating both opportunities and risks. While AI enhances organizational defense through automated threat detection and incident response, it also enables scalable and autonomous cyberattacks by threat actors. This study examines future risks posed by AI-driven cyberattacks using foresight methodologies that combine horizon scanning and scenario development to identify current and emerging offensive AI capabilities. Previous studies indicates that present AI-enabled threats primarily involve social engineering and adversarial attacks, while future risks may include quantum-powered AI and fully autonomous systems. The study highlights a widening gap between offensive and defensive AI, driven by incentives, technical skill, and expertise. Three cyberattack scenarios involving AI tools were developed and validated through interviews with experts to assess plausibility and future relevance. Finally, the study proposes precautionary actions to strengthen organizational resilience, emphasizing anticipatory governance and cross-industry collaboration to improve threat intelligence accuracy</w:t>
      </w:r>
    </w:p>
    <w:p>
      <w:pPr/>
      <w:r>
        <w:rPr>
          <w:b/>
        </w:rPr>
        <w:t>POSSIBLE 2026:</w:t>
      </w:r>
      <w:r>
        <w:t xml:space="preserve"> Affordance entrenchment analysis: A diagnostic tool for technology foresight — https://doi.org/10.1016/j.techsoc.2026.103511</w:t>
      </w:r>
    </w:p>
    <w:p>
      <w:pPr/>
      <w:r>
        <w:rPr>
          <w:b/>
        </w:rPr>
        <w:t>Shared claim-specific concepts:</w:t>
      </w:r>
      <w:r>
        <w:t xml:space="preserve"> formation, stage, foresight, tool; EU scope not established. This is a provisional connection, not an outcome finding.</w:t>
      </w:r>
    </w:p>
    <w:p>
      <w:pPr>
        <w:pStyle w:val="SourceNote"/>
      </w:pPr>
      <w:r>
        <w:rPr>
          <w:b/>
        </w:rPr>
        <w:t>Available abstract (not full text):</w:t>
      </w:r>
      <w:r>
        <w:t xml:space="preserve"> Technological artefacts can acquire new functions without undergoing change in their physical properties. Existing futures methods provide limited analytical purchase on these kinds of transformations, because they generally lack mechanisms for explaining how artefacts acquire new functions through changing practice. This paper introduces affordance entrenchment analysis (AEA), a diagnostic tool designed for use by forecasting professionals, anticipatory governance practitioners, and analysts in technology assessment or research investment roles. AEA directs analytical attention toward three factors that conventional approaches tend to overlook: (1) latent affordances (those capabilities grounded in an artefact's physical properties that no current domain of practice exploits), which circumscribe the possibility space for function change; (2) the formation of structured domains of practice, which determine which of those capabilities become valued; and (3) the consolidation of use (via infrastructure and institutional recognition) through which novel functions take hold. The tool is grounded in Nelson Goodman's work on exemplification and symbol systems and is operationalised through three orienting questions with associated empirical indicators. Applied to a given artefact, AEA structures an assessment of where function change may be occurring and how far it has progressed. Th</w:t>
      </w:r>
    </w:p>
    <w:p>
      <w:pPr/>
      <w:r>
        <w:rPr>
          <w:b/>
        </w:rPr>
        <w:t>POSSIBLE 2025:</w:t>
      </w:r>
      <w:r>
        <w:t xml:space="preserve"> "Ukrainian zhurnal ": 200 years since the day of publication — https://doi.org/10.36273/2076-9555.2024.12(341).41-45</w:t>
      </w:r>
    </w:p>
    <w:p>
      <w:pPr/>
      <w:r>
        <w:rPr>
          <w:b/>
        </w:rPr>
        <w:t>Shared claim-specific concepts:</w:t>
      </w:r>
      <w:r>
        <w:t xml:space="preserve"> purpose, publication, detailed, country; EU scope not established. This is a provisional connection, not an outcome finding.</w:t>
      </w:r>
    </w:p>
    <w:p>
      <w:pPr>
        <w:pStyle w:val="SourceNote"/>
      </w:pPr>
      <w:r>
        <w:rPr>
          <w:b/>
        </w:rPr>
        <w:t>Available abstract (not full text):</w:t>
      </w:r>
      <w:r>
        <w:t xml:space="preserve"> The purpose of the article is to trace, using the example of the "Ukrainian zhurnal", the main regularities in the process of the birth of Ukrainian journalism in the conditions of the dominance of Russian imperial culture. The research uses general scientific methods of cognition: inductive, analytical, comparative, generalization of information, historical-narrative method. Thanks to their comprehensive application, it became possible to more thoroughly investigate journal publications of various nature and give them an objective assessment. The scientific novelty consists in the detailed study of the prerequisites for the publication under study, the activities of the editorial board, which contributed to the identification of its positive features and shortcomings. The proposed article gives an idea of the birth of the Ukrainian periodical in the territory of the Slobozhan region, its close connection with the higher educational institutions of that time through the prism of the multifaceted publications of the "Ukrainian zhurnal", which will be 200 years old in 2024. Attention is paid to establishing the classification of articles by thematic direction. On the basis of the then and modern scientific explorations, bibliographic indexes, memoir materials, letters, etc., the author found out the role of the "Ukrainian Journal" in the social, public-political and cultural-arti</w:t>
      </w:r>
    </w:p>
    <w:p>
      <w:pPr/>
      <w:r>
        <w:rPr>
          <w:b/>
        </w:rPr>
        <w:t>POSSIBLE 2025:</w:t>
      </w:r>
      <w:r>
        <w:t xml:space="preserve"> "Ukrainian zhurnal ": 200 years since the day of publication — https://doi.org/10.36273/2076-9555.2024.11(340).51-52</w:t>
      </w:r>
    </w:p>
    <w:p>
      <w:pPr/>
      <w:r>
        <w:rPr>
          <w:b/>
        </w:rPr>
        <w:t>Shared claim-specific concepts:</w:t>
      </w:r>
      <w:r>
        <w:t xml:space="preserve"> purpose, publication, detailed, country; EU scope not established. This is a provisional connection, not an outcome finding.</w:t>
      </w:r>
    </w:p>
    <w:p>
      <w:pPr>
        <w:pStyle w:val="SourceNote"/>
      </w:pPr>
      <w:r>
        <w:rPr>
          <w:b/>
        </w:rPr>
        <w:t>Available abstract (not full text):</w:t>
      </w:r>
      <w:r>
        <w:t xml:space="preserve"> The purpose of the article is to trace, using the example of the "Ukrainian zhurnal", the main regularities in the process of the birth of Ukrainian journalism in the conditions of the dominance of Russian imperial culture. The research uses general scientific methods of cognition: inductive, analytical, comparative, generalization of information, historical-narrative method. Thanks to their comprehensive application, it became possible to more thoroughly investigate journal publications of various nature and give them an objective assessment. The scientific novelty consists in the detailed study of the prerequisites for the publication under study, the activities of the editorial board, which contributed to the identification of its positive features and shortcomings. The proposed article gives an idea of the birth of the Ukrainian periodical in the territory of the Slobozhan region, its close connection with the higher educational institutions of that time through the prism of the multifaceted publications of the "Ukrainian zhurnal", which will be 200 years old in 2024. Attention is paid to establishing the classification of articles by thematic direction. On the basis of the then and modern scientific explorations, bibliographic indexes, memoir materials, letters, etc., the author found out the role of the "Ukrainian Journal" in the social, public-political and cultural-arti</w:t>
      </w:r>
    </w:p>
    <w:p>
      <w:pPr/>
      <w:r>
        <w:rPr>
          <w:b/>
        </w:rPr>
        <w:t>POSSIBLE 2025:</w:t>
      </w:r>
      <w:r>
        <w:t xml:space="preserve"> Principles for building a culture of organizational foresight — https://doi.org/10.1016/j.futures.2025.103673</w:t>
      </w:r>
    </w:p>
    <w:p>
      <w:pPr/>
      <w:r>
        <w:rPr>
          <w:b/>
        </w:rPr>
        <w:t>Shared claim-specific concepts:</w:t>
      </w:r>
      <w:r>
        <w:t xml:space="preserve"> methodological, foresight; EU scope not established. This is a provisional connection, not an outcome finding.</w:t>
      </w:r>
    </w:p>
    <w:p>
      <w:pPr>
        <w:pStyle w:val="SourceNote"/>
      </w:pPr>
      <w:r>
        <w:rPr>
          <w:b/>
        </w:rPr>
        <w:t>Available abstract (not full text):</w:t>
      </w:r>
      <w:r>
        <w:t xml:space="preserve"> There is growing interest in developing foresight cultures within international organizations. This reflection on the United Nations Environment Programme (UNEP) approach focuses on a critical 18-month chapter of an ongoing initiative called the Foresight Trajectory. It begins with the premise that organizations are complex adaptive systems, foresight is driven by its potential value, and anticipation is a social phenomenon. The paper proposes principles for cultivating a culture of organizational foresight based on a methodological reflection of the UNEP Foresight Trajectory. This process applied three sets of Reflection Questions across six project phases, generating key insights that inform principles for cultivating foresight within the organization. The questions addressed contexts, relevance perceptions, and modes of anticipation. Three main insights emerged: the foresight process was dynamic and adaptive; the process itself fosters a future-focused culture; and UNEP, along with other international entities, is uniquely positioned to lead multi-perspective foresight processes. Based on these insights, seven Foresight Principles are proposed to guide UNEP and other international entities in engaging stakeholders in foresight to explore new ideas, prepare for uncertainty, build a foresight community, stay flexible and reflexive, communicate openly while respecting stakehold</w:t>
      </w:r>
    </w:p>
    <w:p>
      <w:pPr>
        <w:pStyle w:val="Heading2"/>
      </w:pPr>
      <w:r>
        <w:t>582. Conservation biology research priorities for 2050: A Central-Eastern European perspective</w:t>
      </w:r>
    </w:p>
    <w:p>
      <w:pPr>
        <w:pStyle w:val="SourceNote"/>
      </w:pPr>
      <w:r>
        <w:rPr>
          <w:b/>
        </w:rPr>
        <w:t>Original source (2021):</w:t>
      </w:r>
      <w:r>
        <w:t xml:space="preserve"> https://doi.org/10.1016/j.biocon.2021.109396</w:t>
      </w:r>
    </w:p>
    <w:p>
      <w:pPr/>
      <w:r>
        <w:t>Original wording (abstract; indexed_source_text_not_full_document_verified): We used the possible future statements from the Hungarian Environmental Foresight Report for 2050 which identified region-specific problems. To highlight likely future environmental and conservation questions, in this study we asked researchers from the fields of ecology and conservation to define research questions addressing these future statements in line with international research trends and challenges.</w:t>
      </w:r>
    </w:p>
    <w:p>
      <w:pPr/>
      <w:r>
        <w:rPr>
          <w:b/>
        </w:rPr>
        <w:t>POSSIBLE 2026:</w:t>
      </w:r>
      <w:r>
        <w:t xml:space="preserve"> Inventory and analysis of foresight studies on European livestock production systems: The D1.5 delivrable for the STEP-UP project — https://openalex.org/W7212105644</w:t>
      </w:r>
    </w:p>
    <w:p>
      <w:pPr/>
      <w:r>
        <w:rPr>
          <w:b/>
        </w:rPr>
        <w:t>Shared claim-specific concepts:</w:t>
      </w:r>
      <w:r>
        <w:t xml:space="preserve"> possible, environmental, foresight, identified, highlight, challenges; EU scope visible. This is a provisional connection, not an outcome finding.</w:t>
      </w:r>
    </w:p>
    <w:p>
      <w:pPr>
        <w:pStyle w:val="SourceNote"/>
      </w:pPr>
      <w:r>
        <w:rPr>
          <w:b/>
        </w:rPr>
        <w:t>Available abstract (not full text):</w:t>
      </w:r>
      <w:r>
        <w:t xml:space="preserve"> T1.5 aims to identify the diversity of scenarios on the European livestock sector developed by public, scientific, and economic stakeholders, to highlight underexplored impacts within these future visions and to identify mentioned trade-offs. Indeed, the European livestock sector faces major challenges, including environmental pressures, ethical concerns, and health risks and foresight analysis helps explore possible futures and inform shared visions for sustainable livestock systems. We mapped and reviewed 86 foresight studies published since 2010, analysing 257 scenarios that we encoded into 22 descriptive variables and 93 system variables across six categories. Through statistical analysis on a sub-corpus of 50 studies and 160 scenarios, we identified 7 scenario families ranging from deregulated, intensive models to highly regulated, agroecological transitions. Most scenarios anticipate reduced land use and livestock numbers, with only a few projecting increased production. Technological adoption is widespread, but agroecological practices are mainly present in transformative scenarios. While most scenarios focused on production methods, volumes, and trade outcomes, many topics issues were largely neglected like value chain dynamics, One Health issues and social sustainability. Scenarios largely ignore disruptive events and many European regions, suggesting the need for more</w:t>
      </w:r>
    </w:p>
    <w:p>
      <w:pPr/>
      <w:r>
        <w:rPr>
          <w:b/>
        </w:rPr>
        <w:t>POSSIBLE 2026:</w:t>
      </w:r>
      <w:r>
        <w:t xml:space="preserve"> The enrichment of post-growth future alternatives for Europe using an online integral foresight methodology — https://doi.org/10.1186/s40309-026-00282-y</w:t>
      </w:r>
    </w:p>
    <w:p>
      <w:pPr/>
      <w:r>
        <w:rPr>
          <w:b/>
        </w:rPr>
        <w:t>Shared claim-specific concepts:</w:t>
      </w:r>
      <w:r>
        <w:t xml:space="preserve"> possible, statements, foresight, researchers, fields, trends; EU scope visible. This is a provisional connection, not an outcome finding.</w:t>
      </w:r>
    </w:p>
    <w:p>
      <w:pPr>
        <w:pStyle w:val="SourceNote"/>
      </w:pPr>
      <w:r>
        <w:rPr>
          <w:b/>
        </w:rPr>
        <w:t>Available abstract (not full text):</w:t>
      </w:r>
      <w:r>
        <w:t xml:space="preserve"> Abstract The article explores trends, weak signals, and possible pathways for the feasibility of the post-growth concept in Europe, based on an integrated foresight process. The proper formulation of comprehensive future alternatives or scenarios depends on the ability to identify visible and perceptible changes on the horizon and the possible futures that can be derived from these elements. The integral foresight method combines the processing of literature on possible futures from a post-growth and from a sustainable development perspective with horizon scanning and scenario building methods. The main features of the methodology are online interactivity, a multi-round discussion and learning process between the researchers, experts and futurists working in different fields and dealing with the topic of post-growth or sustainability. The result of the future-shaping collaboration process is a list of filtered, refined, and categorized futures statements covering different STEEPLED dimensions and scenarios in which the vision of post-growth was developed under different assumptions. The findings show that according to the experts’ expectations, many of the current trends hinder European society to achieve strong sustainability, but there are opportunities for intervention, the desirable alternatives are not out of sight, and humanity’s flourishing within planetary boundaries ca</w:t>
      </w:r>
    </w:p>
    <w:p>
      <w:pPr/>
      <w:r>
        <w:rPr>
          <w:b/>
        </w:rPr>
        <w:t>POSSIBLE 2026:</w:t>
      </w:r>
      <w:r>
        <w:t xml:space="preserve"> Envisioning the future of European mountain value chains: a participatory foresight approach — https://doi.org/10.1007/s10113-025-02454-1</w:t>
      </w:r>
    </w:p>
    <w:p>
      <w:pPr/>
      <w:r>
        <w:rPr>
          <w:b/>
        </w:rPr>
        <w:t>Shared claim-specific concepts:</w:t>
      </w:r>
      <w:r>
        <w:t xml:space="preserve"> foresight, identified, researchers, challenges; EU scope visible. This is a provisional connection, not an outcome finding.</w:t>
      </w:r>
    </w:p>
    <w:p>
      <w:pPr>
        <w:pStyle w:val="SourceNote"/>
      </w:pPr>
      <w:r>
        <w:rPr>
          <w:b/>
        </w:rPr>
        <w:t>Available abstract (not full text):</w:t>
      </w:r>
      <w:r>
        <w:t xml:space="preserve"> Abstract Mountain regions, vital socio-ecological systems covering 36% of Europe, face intensifying challenges from climate change, demographic shifts, and economic transformations, necessitating strategic long-term planning. This study presents a multi-regional participatory foresight exercise conducted across 22 European mountain areas to explore future scenarios and strategic pathways for sustainable development by 2050. Through stakeholder-driven workshops, key long-term forces shaping mountain value chains were identified, leading to the development of four archetypal futures based on their respective Theories of Change: Economic, Nature, Niche &amp; Diversification, and Knowledge &amp; Innovation, which serve as tools for understanding diverse regional trajectories and guiding strategic interventions. Findings emphasize the need for integrated, stakeholder-inclusive foresight approaches that go beyond traditional policy frameworks. The research highlights the importance of embedding value chain decisions within broader societal concerns and territorial sustainability strategies. By structuring long-term projections through archetypes, the research facilitates proactive thinking beyond short-term horizons, preventing maladaptation and fostering resilience. This research contributes to foresight methodologies by integrating participatory scenario-building with strategic thinking, s</w:t>
      </w:r>
    </w:p>
    <w:p>
      <w:pPr/>
      <w:r>
        <w:rPr>
          <w:b/>
        </w:rPr>
        <w:t>POSSIBLE 2026:</w:t>
      </w:r>
      <w:r>
        <w:t xml:space="preserve"> The next episode for narrative foresight — https://doi.org/10.1016/j.futures.2026.103876</w:t>
      </w:r>
    </w:p>
    <w:p>
      <w:pPr/>
      <w:r>
        <w:rPr>
          <w:b/>
        </w:rPr>
        <w:t>Shared claim-specific concepts:</w:t>
      </w:r>
      <w:r>
        <w:t xml:space="preserve"> possible, foresight, researchers; EU scope not established. This is a provisional connection, not an outcome finding.</w:t>
      </w:r>
    </w:p>
    <w:p>
      <w:pPr>
        <w:pStyle w:val="SourceNote"/>
      </w:pPr>
      <w:r>
        <w:rPr>
          <w:b/>
        </w:rPr>
        <w:t>Available abstract (not full text):</w:t>
      </w:r>
      <w:r>
        <w:t xml:space="preserve"> Narratives serve as powerful tools in futures studies, as they enable people to engage with different types of futures through identification, emotional connection, and immersion. To establish this, we contribute to narrative foresight by introducing the narratives-with-branches methodology which is a systematic approach for translating participatory ideas into possible futures. To be more specific, we discuss four narratives concerning futures of hybrid work, each constructed around paradoxes and tipping points that open space for thinking of possible future trajectories. The narratives were developed and refined through a multi-stage process involving expert consultation, stakeholder engagement, and a participatory workshop we mainly focus on. In the narratives-with-branches methodology , workshop-generated ideas are interpreted as inputs, formulated into episodes, and clustered into episode themes. We classify these themes as repeating , ephemeral , or obscure , corresponding to plausible , possible , and radical futures respectively. While we focus on the use of the methodology only in one case, we discuss how the methodology provides a conceptual machinery for branching narratives in structured but flexible ways. We discuss how collective intelligence in the form of a workshop discussion can branch baseline narratives toward preferred futures and how the methodology can be</w:t>
      </w:r>
    </w:p>
    <w:p>
      <w:pPr/>
      <w:r>
        <w:rPr>
          <w:b/>
        </w:rPr>
        <w:t>POSSIBLE 2025:</w:t>
      </w:r>
      <w:r>
        <w:t xml:space="preserve"> European Myeloma Network Group review and consensus statement on primary plasma cell leukemia — https://doi.org/10.1016/j.annonc.2025.01.022</w:t>
      </w:r>
    </w:p>
    <w:p>
      <w:pPr/>
      <w:r>
        <w:rPr>
          <w:b/>
        </w:rPr>
        <w:t>Shared claim-specific concepts:</w:t>
      </w:r>
      <w:r>
        <w:t xml:space="preserve"> used, possible, statements, questions, international; EU scope visible. This is a provisional connection, not an outcome finding.</w:t>
      </w:r>
    </w:p>
    <w:p>
      <w:pPr>
        <w:pStyle w:val="SourceNote"/>
      </w:pPr>
      <w:r>
        <w:rPr>
          <w:b/>
        </w:rPr>
        <w:t>Available abstract (not full text):</w:t>
      </w:r>
      <w:r>
        <w:t xml:space="preserve"> BACKGROUND: Primary plasma cell leukemia (PPCL) is the most aggressive disorder among plasma cell malignancies, with new diagnostic criteria recently established by the International Myeloma Working Group. Studies have shown that PPCL patients receiving a combination of novel agents, but not eligible for transplantation, may have a median survival up to 2 years, extended to 3 years or more in those undergoing transplant procedures. These findings remain unsatisfactory, particularly if compared with progresses obtained in multiple myeloma. DESIGN: A European Myeloma Network (EMN) expert panel reviewed the most recent literature and selected the areas of major concern in the management of PPCL by generating and rank ordering key questions using the criterion of clinical relevance. Multistep procedures were utilized to achieve a consensus on recommendations. The Delphi questionnaire method was used and a consensus of at least 80% was reached for all final statements. RESULTS: An extended overview of current biological, clinical, prognostic, and therapeutic aspects of PPCL, including ongoing and close to start clinical trials, is presented. Furthermore, updated guidelines for the management of PPCL and practical recommendations are provided, in the context of current knowledge about this disease, also looking at possible future perspectives to ameliorate the outcome of these patien</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possible, foresight, identified, trends;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2025:</w:t>
      </w:r>
      <w:r>
        <w:t xml:space="preserve"> From Reaction to Foresight: EUPHA’s vision for health security in Europe — https://doi.org/10.1093/eurpub/ckaf071</w:t>
      </w:r>
    </w:p>
    <w:p>
      <w:pPr/>
      <w:r>
        <w:rPr>
          <w:b/>
        </w:rPr>
        <w:t>Shared claim-specific concepts:</w:t>
      </w:r>
      <w:r>
        <w:t xml:space="preserve"> possible, environmental, foresight;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Embedding the Future in the European Union: Advancing Towards Strategic Foresight — https://doi.org/10.33067/se.1.2025.10</w:t>
      </w:r>
    </w:p>
    <w:p>
      <w:pPr/>
      <w:r>
        <w:rPr>
          <w:b/>
        </w:rPr>
        <w:t>Shared claim-specific concepts:</w:t>
      </w:r>
      <w:r>
        <w:t xml:space="preserve"> possible, foresight, international; EU scope visible. This is a provisional connection, not an outcome finding.</w:t>
      </w:r>
    </w:p>
    <w:p>
      <w:pPr>
        <w:pStyle w:val="SourceNote"/>
      </w:pPr>
      <w:r>
        <w:rPr>
          <w:b/>
        </w:rPr>
        <w:t>Available abstract (not full text):</w:t>
      </w:r>
      <w:r>
        <w:t xml:space="preserve"> This article seeks to shed light on how the EU and its institutions are dealing with the future, an increasingly relevant dimension of policy-making. Interest in the future as a temporal and political dimension derives from increasing general international attention to anticipatory governance, this being a proactive approach to policy-making with the aim of anticipating disruptions and critical events. The possible integration of future-oriented thinking into decision-making processes along with the normalisation of anticipatory governance in order to contain the effects of unexpected events can be an asset for many polities struggling with creeping, perma-poly-crises. The article also connects crises with the EU’s commitment to so-called “strategic foresight”, a structured and systematic approach of exploring plausible version of the future which can support better policy-making and incentivise forms of anticipatory governance. What has emerged so far is a multi-level yet fragmented form of European governance attempting to deal with the future. It is not yet clear how Member States are adjusting to the EU’s commitment to the future and to the impact the organisation can have on their headway, considering that the aforementioned strategic foresight may be an obstacle for politicians seeking an easy and immediate consensus.</w:t>
      </w:r>
    </w:p>
    <w:p>
      <w:pPr/>
      <w:r>
        <w:rPr>
          <w:b/>
        </w:rPr>
        <w:t>POSSIBLE 2025:</w:t>
      </w:r>
      <w:r>
        <w:t xml:space="preserve"> The Need for Synergy in Foresight Research for Healthcare and Medical Sciences — https://doi.org/10.36401/iddb-25-1</w:t>
      </w:r>
    </w:p>
    <w:p>
      <w:pPr/>
      <w:r>
        <w:rPr>
          <w:b/>
        </w:rPr>
        <w:t>Shared claim-specific concepts:</w:t>
      </w:r>
      <w:r>
        <w:t xml:space="preserve"> possible, foresight, international, trends, challenges; EU scope visible. This is a provisional connection, not an outcome finding.</w:t>
      </w:r>
    </w:p>
    <w:p>
      <w:pPr>
        <w:pStyle w:val="SourceNote"/>
      </w:pPr>
      <w:r>
        <w:rPr>
          <w:b/>
        </w:rPr>
        <w:t>Available abstract (not full text):</w:t>
      </w:r>
      <w:r>
        <w:t xml:space="preserve"> The rapid integration of artificial intelligence (AI) and machine learning (ML) technologies into healthcare represents a transformative opportunity. These technologies can interrogate and interpret complex medical datasets, thereby offering the potential for enhanced diagnostics, better patient outcomes, and optimized resource allocation.[1,2] We propose combining AI and ML with foresight methods, in synergy with medical expertise, and respecting the principles of responsible research and innovation (RRI) to guide research and support decision-making in the context of future challenges.[3] The core principles of foresight methods are to explore uncertainty over longer horizons by combining future-oriented, knowledge-based creativity, interaction, expertise, and evidence, enabling stakeholders to anticipate potential scenarios and develop proactive strategies.[4–6]The RRI paradigm incorporates reflexivity, responsiveness, deliberation, and anticipation to make scientific and technological progress more aligned with societal needs and values.[7] By incorporating foresight into AI and ML development in a more global context, the healthcare sector can address upcoming challenges, creating a more sustainable, inclusive, and ethical future for healthcare. By leveraging advanced predictive analytics, these technologies can identify critical issues, like drivers, barriers, opportuniti</w:t>
      </w:r>
    </w:p>
    <w:p>
      <w:pPr/>
      <w:r>
        <w:rPr>
          <w:b/>
        </w:rPr>
        <w:t>POSSIBLE 2024:</w:t>
      </w:r>
      <w:r>
        <w:t xml:space="preserve"> Emerging Biotechnologies in Europe: Foresight for Policy — https://doi.org/10.2760/4814109</w:t>
      </w:r>
    </w:p>
    <w:p>
      <w:pPr/>
      <w:r>
        <w:rPr>
          <w:b/>
        </w:rPr>
        <w:t>Shared claim-specific concepts:</w:t>
      </w:r>
      <w:r>
        <w:t xml:space="preserve"> foresight, addressing, international, challenges;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A hybrid foresight study of the environmental reference laboratory system in Finland: a foresight study for the Government of Finland — https://doi.org/10.1186/s40309-023-00223-z</w:t>
      </w:r>
    </w:p>
    <w:p>
      <w:pPr/>
      <w:r>
        <w:rPr>
          <w:b/>
        </w:rPr>
        <w:t>Shared claim-specific concepts:</w:t>
      </w:r>
      <w:r>
        <w:t xml:space="preserve"> environmental, foresight, addressing, international, challenges; EU scope visible. This is a provisional connection, not an outcome finding.</w:t>
      </w:r>
    </w:p>
    <w:p>
      <w:pPr>
        <w:pStyle w:val="SourceNote"/>
      </w:pPr>
      <w:r>
        <w:rPr>
          <w:b/>
        </w:rPr>
        <w:t>Available abstract (not full text):</w:t>
      </w:r>
      <w:r>
        <w:t xml:space="preserve"> Abstract This article presents a hybrid foresight study using the Delphi methodology. The study is part of a strategic research project of the Finnish state named “Foresight in Environmental Reference Laboratory Operations.” The main starting point for this study was the Policy Delphi method, which was supplemented with other Delphi variants and decision support methods. In this hybrid foresight application, Delphi methodology was combined with decision-making and strategic planning tools, namely (1) SWOT analysis, (2) Boston Consulting Group Matrix, (3) research infrastructure (RI) analysis, (4) platform analysis, and (5) integrative foresight workshop. This article draws strongly on the hybrid foresight methodology perspective of foresight tool orchestration. The authors argue that the Delphi methodology gains reliability and appeal with hybrid methodological orchestration. The function of reference laboratories includes services for the verification and maintenance of the quality and validity of environmental measurements, such as the maintenance of reference measurement equipment, expertise, and training, and the organization of national reference measurements as well as participation in international reference measurements, method development, and standardization. The study shows the importance of environmental reference laboratories addressing the following challenges by </w:t>
      </w:r>
    </w:p>
    <w:p>
      <w:pPr/>
      <w:r>
        <w:rPr>
          <w:b/>
        </w:rPr>
        <w:t>POSSIBLE 2024:</w:t>
      </w:r>
      <w:r>
        <w:t xml:space="preserve"> STUDYING THE APPROACHES OF EUROPEAN COUNTRIES IN FORESIGHT STUDIES OF THE DEVELOPMENT OF SCIENCE AND GREEN TECHNOLOGIES FOR ADOPTING THEIR EXPERIENCE IN THE CONTEXT OF KAZAKHSTAN — https://doi.org/10.52676/1729-7885-2024-1-4-12</w:t>
      </w:r>
    </w:p>
    <w:p>
      <w:pPr/>
      <w:r>
        <w:rPr>
          <w:b/>
        </w:rPr>
        <w:t>Shared claim-specific concepts:</w:t>
      </w:r>
      <w:r>
        <w:t xml:space="preserve"> possible, environmental, foresight, trends; EU scope visible. This is a provisional connection, not an outcome finding.</w:t>
      </w:r>
    </w:p>
    <w:p>
      <w:pPr>
        <w:pStyle w:val="SourceNote"/>
      </w:pPr>
      <w:r>
        <w:rPr>
          <w:b/>
        </w:rPr>
        <w:t>Available abstract (not full text):</w:t>
      </w:r>
      <w:r>
        <w:t xml:space="preserve"> This paper reviews the application of foresight methods in the field of science, especially in the development of green technologies in various European countries, with the aim of identifying the most suitable approaches for future use in Kazakhstan. The analysis shows that green technology forecasting promises to be an effective tool for managing sustainable development. Methods for forecasting green technologies are focused on a systematic approach and integrated solutions, taking into account the environment and social aspects. It is also important to consider both global and local environmental issues to gain a full understanding of future development trends. The article provides a comparison of the Dutch and Danish approaches. Green technology foresight research can play an important role at the national level, especially in integrating sustainability considerations into technology development and innovation processes. They also contribute to the development of more effective and sustainable development strategies for companies and government in Kazakhstan. These studies contribute to increasing environmental awareness and awareness in society regarding the importance of sustainable development. Technology forecasting values the use of Delphi surveys to provide a better understanding of possible future trends. The knowledge gained is the basis for developing strategic plan</w:t>
      </w:r>
    </w:p>
    <w:p>
      <w:pPr>
        <w:pStyle w:val="Heading2"/>
      </w:pPr>
      <w:r>
        <w:t>583. Cross-border climate vulnerabilities of the European Union to drought</w:t>
      </w:r>
    </w:p>
    <w:p>
      <w:pPr>
        <w:pStyle w:val="SourceNote"/>
      </w:pPr>
      <w:r>
        <w:rPr>
          <w:b/>
        </w:rPr>
        <w:t>Original source (2021):</w:t>
      </w:r>
      <w:r>
        <w:t xml:space="preserve"> https://doi.org/10.1038/s41467-021-23584-0</w:t>
      </w:r>
    </w:p>
    <w:p>
      <w:pPr/>
      <w:r>
        <w:t>Original wording (abstract; indexed_source_text_not_full_document_verified): The drought severity in production locations of the agricultural imports in 2050 will increase by 35% compared to current levels of drought severity. We quantify these climate vulnerabilities with a focus on drought risk and assessed them for 2030, 2050, 2085 and for RCP 2.6 and 6.0 climate scenarios.</w:t>
      </w:r>
    </w:p>
    <w:p>
      <w:pPr/>
      <w:r>
        <w:rPr>
          <w:b/>
        </w:rPr>
        <w:t>POSSIBLE 2026:</w:t>
      </w:r>
      <w:r>
        <w:t xml:space="preserve"> Drought Impacts on Agricultural Production Across EU Regions — https://doi.org/10.1007/s40797-026-00379-0</w:t>
      </w:r>
    </w:p>
    <w:p>
      <w:pPr/>
      <w:r>
        <w:rPr>
          <w:b/>
        </w:rPr>
        <w:t>Shared claim-specific concepts:</w:t>
      </w:r>
      <w:r>
        <w:t xml:space="preserve"> drought, severity, production, agricultural; EU scope visible. This is a provisional connection, not an outcome finding.</w:t>
      </w:r>
    </w:p>
    <w:p>
      <w:pPr>
        <w:pStyle w:val="SourceNote"/>
      </w:pPr>
      <w:r>
        <w:rPr>
          <w:b/>
        </w:rPr>
        <w:t>Available abstract (not full text):</w:t>
      </w:r>
      <w:r>
        <w:t xml:space="preserve"> Abstract Regional agricultural sectors are particularly vulnerable to the impacts of drought events, resulting in significant economic losses across Europe each year. Therefore, it is essential to have a thorough understanding of how drought affects crop productivity in order to make informed decisions and strategies. We merge data on crop yields and regional farming systems with the Combined Drought Indicator, provided by the European Drought Observatory, using crop masks. We analyse the effects of drought on wheat and maize production across EU regions from 2013 to 2021. Our analysis reveals that each additional 10-day period of drought leads to an average reduction in wheat yield of between 1.62 and 1.74% and a decrease in maize yield of between 0.62 and 0.86%. We find that drought events particularly affect crop yields during the summer period. In the case of maize, we observe that the estimated reduction in yields due to drought is related to drought of second-level severity, with a decrease between 1.62 and 2.33% of the average regional maize yield per additional 10-days of drought. Similarly, our analysis indicates that the summer period has the most significant effect on wheat yields with the negative impact ranging between 5.63 and 5.81%. Drought effects on wheat yields are even higher when taking into consideration the potential endogeneity of the fAPAR component of t</w:t>
      </w:r>
    </w:p>
    <w:p>
      <w:pPr/>
      <w:r>
        <w:rPr>
          <w:b/>
        </w:rPr>
        <w:t>POSSIBLE 2026:</w:t>
      </w:r>
      <w:r>
        <w:t xml:space="preserve"> Drivers of propagation and impacts of meteorological and agricultural droughts across Europe — https://doi.org/10.5194/egusphere-egu26-12460</w:t>
      </w:r>
    </w:p>
    <w:p>
      <w:pPr/>
      <w:r>
        <w:rPr>
          <w:b/>
        </w:rPr>
        <w:t>Shared claim-specific concepts:</w:t>
      </w:r>
      <w:r>
        <w:t xml:space="preserve"> drought, severity, production, agricultural, increase, climate; EU scope visible. This is a provisional connection, not an outcome finding.</w:t>
      </w:r>
    </w:p>
    <w:p>
      <w:pPr>
        <w:pStyle w:val="SourceNote"/>
      </w:pPr>
      <w:r>
        <w:rPr>
          <w:b/>
        </w:rPr>
        <w:t>Available abstract (not full text):</w:t>
      </w:r>
      <w:r>
        <w:t xml:space="preserve"> Droughts are Europe’s costliest natural disasters, with damages estimated at 621 million Euros per event. Changing precipitation patterns and rising atmospheric water demand are increasingly affecting terrestrial ecosystem functioning in Europe, with profound implications for sustainable water resources management and ecosystem carbon uptake. However, responses are driven not only by drought type and severity but also by diverse land surface properties, including soil texture and vegetation functional traits. A clear understanding of how water deficits propagate to inhibit ecosystem functioning is needed to assess drought risk for specific ecosystems under a warming climate. This study uses Community Land Model v5 (CLM5) simulations over Europe from 1960 to 2024 to identify drought events as spatiotemporal clusters and to systematically determine their propagation across hydrological compartments (e.g., from precipitation to root-zone soil moisture) and their impacts on gross primary production (GPP) and transpiration (T). We find that precipitation droughts often propagate into soil moisture droughts, especially during large-scale droughts, such as in the years 1995, 2003, and 2018. However, soil moisture droughts can also emerge even when precipitation deficits are not typically classified as drought events, for example, when vapor pressure droughts increase evaporation over </w:t>
      </w:r>
    </w:p>
    <w:p>
      <w:pPr/>
      <w:r>
        <w:rPr>
          <w:b/>
        </w:rPr>
        <w:t>POSSIBLE 2026:</w:t>
      </w:r>
      <w:r>
        <w:t xml:space="preserve"> Contrasting effects of flash and slow droughts on maize yield loss and crop failure across Europe — https://doi.org/10.1016/j.ejrh.2026.103830</w:t>
      </w:r>
    </w:p>
    <w:p>
      <w:pPr/>
      <w:r>
        <w:rPr>
          <w:b/>
        </w:rPr>
        <w:t>Shared claim-specific concepts:</w:t>
      </w:r>
      <w:r>
        <w:t xml:space="preserve"> drought, severity, production, agricultural, focus; EU scope visible. This is a provisional connection, not an outcome finding.</w:t>
      </w:r>
    </w:p>
    <w:p>
      <w:pPr>
        <w:pStyle w:val="SourceNote"/>
      </w:pPr>
      <w:r>
        <w:rPr>
          <w:b/>
        </w:rPr>
        <w:t>Available abstract (not full text):</w:t>
      </w:r>
      <w:r>
        <w:t xml:space="preserve"> Study region Europe, spanning diverse climatic zones from the semi-arid Mediterranean to the humid continental north, characterized by strong hydroclimatic variability and significant dependence on rainfed maize production. Study focus Agricultural drought risk in Europe is becoming increasingly complex, regional evidence remains limited on how drought onset speed translates to maize yield loss and crop failure across Europe's hydroclimatic zones. This study defines and distinguishes flash and slow droughts using the rate of decline in the Standardized Water Deficit Index and characterizes their spatiotemporal patterns across Europe from 1989 to 2018 and quantifies their effects on maize yield losses and crop failure using fixed effects and mixed effects logistic models. New hydrological insights for the region Firstly, both drought types showed significantly increasing trends across Europe, with slow droughts occurring more frequently than flash droughts. Secondly, flash drought was significantly associated with yield loss across four metrics (count: −208.05 kg ha −1 ; severity: −138.25 kg ha −1 ; cumulative severity: −4.13 kg ha −1 ; duration: −12.78 kg ha −1 day −1 ; all p &lt; 0.001). Slow drought affected yield only through duration (−9.36 kg ha⁻¹ day⁻¹, p = 0.005). Thirdly, flash and slow drought significantly elevated crop failure odds across all drought metrics, with droug</w:t>
      </w:r>
    </w:p>
    <w:p>
      <w:pPr/>
      <w:r>
        <w:rPr>
          <w:b/>
        </w:rPr>
        <w:t>POSSIBLE 2026:</w:t>
      </w:r>
      <w:r>
        <w:t xml:space="preserve"> Influence of Drought Severity on Household Livelihood Strategies in Rachuonyo North Sub-County, Kenya — https://doi.org/10.37284/ajccrs.5.2.5920</w:t>
      </w:r>
    </w:p>
    <w:p>
      <w:pPr/>
      <w:r>
        <w:rPr>
          <w:b/>
        </w:rPr>
        <w:t>Shared claim-specific concepts:</w:t>
      </w:r>
      <w:r>
        <w:t xml:space="preserve"> drought, severity, increase, climate, them; EU scope not established. This is a provisional connection, not an outcome finding.</w:t>
      </w:r>
    </w:p>
    <w:p>
      <w:pPr>
        <w:pStyle w:val="SourceNote"/>
      </w:pPr>
      <w:r>
        <w:rPr>
          <w:b/>
        </w:rPr>
        <w:t>Available abstract (not full text):</w:t>
      </w:r>
      <w:r>
        <w:t xml:space="preserve"> Drought is a climate hazard that affects household livelihoods in rural areas where activities depend on rainfall. Studies show that when drought occurs, water becomes insufficient for livestock and crops, compelling households to cope with and adapt to its effects. However, no empirical studies have examined the influence of drought severity on household livelihood strategies. This study examined how drought severity influences household livelihood strategies, focusing on crop farming, livestock keeping, fishing, and trade. The study used Rogers's (1975) Protection Motivation Theory. The study used a mixed-methods, cross-sectional design with a quasi-longitudinal aspect, integrating qualitative and quantitative household survey data with temporal rainfall information to examine drought severity and household livelihood strategies over time. A multistage sampling procedure selected 384 household respondents from a target population of 39,927. The seven wards were treated as strata, and the sample was proportionately allocated to each ward according to the number of households. Systematic sampling was used to select households in each ward. We used purposive sampling to select KII and FGD participants. Qualitative data were analysed thematically, coding and organising them into themes, while quantitative data were analysed using cross-tabulation, chi-square, and linear regressio</w:t>
      </w:r>
    </w:p>
    <w:p>
      <w:pPr/>
      <w:r>
        <w:rPr>
          <w:b/>
        </w:rPr>
        <w:t>POSSIBLE 2026:</w:t>
      </w:r>
      <w:r>
        <w:t xml:space="preserve"> Towards an operational European Drought Impacts Database (EDID) — https://doi.org/10.5194/nhess-26-845-2026</w:t>
      </w:r>
    </w:p>
    <w:p>
      <w:pPr/>
      <w:r>
        <w:rPr>
          <w:b/>
        </w:rPr>
        <w:t>Shared claim-specific concepts:</w:t>
      </w:r>
      <w:r>
        <w:t xml:space="preserve"> drought, severity; EU scope visible. This is a provisional connection, not an outcome finding.</w:t>
      </w:r>
    </w:p>
    <w:p>
      <w:pPr>
        <w:pStyle w:val="SourceNote"/>
      </w:pPr>
      <w:r>
        <w:rPr>
          <w:b/>
        </w:rPr>
        <w:t>Available abstract (not full text):</w:t>
      </w:r>
      <w:r>
        <w:t xml:space="preserve"> Abstract. Drought impact information is essential to move from reactive management to a proactive approach. Data on drought impacts provide regional insight into vulnerability and support robust risk assessment and sustainable adaptation strategies. Drought impact data are also essential to build and validate models for advanced impact forecasting, including AI enhanced tools. While there is increasing consensus on the operational use of specific physical drought hazard indices, to date there is no generally accepted convention on drought impact data collection and use. Based on experience and content of several regional research databases, the development of a European Drought Impact Database (EDID) explicitly aims for operational application within the framework of the Copernicus European Drought Observatory. This article gives insight into the implementation of EDID, its structure and attributes, and provides an analysis of the content. Among the nine impacted systems, agriculture, public water supply and aquatic ecosystems contribute a majority of the impact records. Over the covered time period, impacts became more variable in the system they describe and recent years show some more extremely severe impacts according to a newly introduced severity score. Mapped at country scale, the impacts confirm previously identified European sectorial impact hotspots. The work and prod</w:t>
      </w:r>
    </w:p>
    <w:p>
      <w:pPr/>
      <w:r>
        <w:rPr>
          <w:b/>
        </w:rPr>
        <w:t>POSSIBLE 2026:</w:t>
      </w:r>
      <w:r>
        <w:t xml:space="preserve"> Assessing Crop Yield Variability Using Meteorological Drought Indices for Agricultural Drought Monitoring in Botswana — https://doi.org/10.3390/cli14040077</w:t>
      </w:r>
    </w:p>
    <w:p>
      <w:pPr/>
      <w:r>
        <w:rPr>
          <w:b/>
        </w:rPr>
        <w:t>Shared claim-specific concepts:</w:t>
      </w:r>
      <w:r>
        <w:t xml:space="preserve"> drought, agricultural, climate; EU scope not established. This is a provisional connection, not an outcome finding.</w:t>
      </w:r>
    </w:p>
    <w:p>
      <w:pPr>
        <w:pStyle w:val="SourceNote"/>
      </w:pPr>
      <w:r>
        <w:rPr>
          <w:b/>
        </w:rPr>
        <w:t>Available abstract (not full text):</w:t>
      </w:r>
      <w:r>
        <w:t xml:space="preserve"> Botswana’s semi-arid climate makes it vulnerable to climate change, particularly drought, which threatens agricultural productivity. This study assesses drought impact on Botswana’s agricultural sector using Climate Hazards Center Infrared Precipitation with Station (CHIRPS) rainfall data and Climate Hazards Center Infrared Temperature with Station (CHIRTS) temperature data (25 km) to compute the Standardized Precipitation Index (SPI), Standardized Temperature Condition Index (STCI) and Standardized Precipitation Evapotranspiration Index (SPEI) at seasonal/annual time scales (1, 3, 6 and 12 months). The indices are used to assess their ability to predict crop yields using national data during Botswana’s rainy season, while employing univariate and multivariate statistical models. Statistical models also linked historical drought patterns to yield variability with the Percentage Area Affected (PAA) by drought, identifying key predictors. A majority of the crops (sunflower, maize, sorghum and pulses) showed variability which was best explained by SPEI 6 more particularly under the PAA multivariate models, with the highest and moderate explanatory power (R2) found in sunflower (0.48) and maize (0.43). However, variability in millet was best explained by SPI-3, although the R2 was low (0.26). Other crops displayed positive coefficients within the models, which may be attributed to </w:t>
      </w:r>
    </w:p>
    <w:p>
      <w:pPr/>
      <w:r>
        <w:rPr>
          <w:b/>
        </w:rPr>
        <w:t>POSSIBLE 2026:</w:t>
      </w:r>
      <w:r>
        <w:t xml:space="preserve"> Crop-specific impacts of the 2023/2024 drought on Zambia’s agricultural production — https://doi.org/10.1016/j.cliser.2026.100710</w:t>
      </w:r>
    </w:p>
    <w:p>
      <w:pPr/>
      <w:r>
        <w:rPr>
          <w:b/>
        </w:rPr>
        <w:t>Shared claim-specific concepts:</w:t>
      </w:r>
      <w:r>
        <w:t xml:space="preserve"> drought, severity, production, agricultural, quantify, climate; EU scope not established. This is a provisional connection, not an outcome finding.</w:t>
      </w:r>
    </w:p>
    <w:p>
      <w:pPr>
        <w:pStyle w:val="SourceNote"/>
      </w:pPr>
      <w:r>
        <w:rPr>
          <w:b/>
        </w:rPr>
        <w:t>Available abstract (not full text):</w:t>
      </w:r>
      <w:r>
        <w:t xml:space="preserve"> The 2023/2024 El Niño event was one of the most significant climatic shocks to Zambia's agricultural sector, resulting in a severe mid-season drought across much of the country. This study quantifies crop-specific impacts of the drought on Zambia's agricultural production using district-level crop production and 30-year rainfall data used to construct the Standardized Precipitation Index (SPI). Exploiting spatial variation in the severity of the 2023/2024 drought, we estimate the effect of a one standard deviation rainfall deficit on crop yields and national production. The objective is to quantify how this single extreme event affected crop production in Zambia. Results reveal substantial heterogeneity in crop resilience. Among cereals and tubers, sorghum (9% yield reduction) and millet (12%) are more drought tolerant than maize (30%), rice (26%), and sweet potato (25%). Among pulses and oilseeds, sunflower (12%), cowpea (14%), common bean (15%), and groundnut (16%) show lower yield losses than soybean (21%) and Bambara nut (20%). We find significant heterogeneity in the effect of drought on cereal crop yield across agroecological zones, but less consistent heterogeneity for pulses. The results further indicate that approximately 76% of the observed 64% decline in national crop production value can be directly attributed to El Niño-induced drought conditions. We also show that</w:t>
      </w:r>
    </w:p>
    <w:p>
      <w:pPr/>
      <w:r>
        <w:rPr>
          <w:b/>
        </w:rPr>
        <w:t>POSSIBLE 2026:</w:t>
      </w:r>
      <w:r>
        <w:t xml:space="preserve"> Multi-year droughts and their compounding economic impacts in Europe — https://doi.org/10.5194/egusphere-egu26-15194</w:t>
      </w:r>
    </w:p>
    <w:p>
      <w:pPr/>
      <w:r>
        <w:rPr>
          <w:b/>
        </w:rPr>
        <w:t>Shared claim-specific concepts:</w:t>
      </w:r>
      <w:r>
        <w:t xml:space="preserve"> drought, severity, production, agricultural, climate, vulnerabilities; EU scope visible. This is a provisional connection, not an outcome finding.</w:t>
      </w:r>
    </w:p>
    <w:p>
      <w:pPr>
        <w:pStyle w:val="SourceNote"/>
      </w:pPr>
      <w:r>
        <w:rPr>
          <w:b/>
        </w:rPr>
        <w:t>Available abstract (not full text):</w:t>
      </w:r>
      <w:r>
        <w:t xml:space="preserve"> Climate change is intensifying the frequency and severity of droughts, posing significant risks to regional economies, water resources, and food security. While the direct impacts of droughts on agricultural output and water availability are documented, their medium and long-term economic consequences across multiple sectors remain underexplored. In particular, drought effects may accumulate over time, with multi-year drought conditions potentially compounding economic impacts and creating lasting disruptions to different industries, labour markets, and public services. Given the spatial heterogeneity of drought exposure and economic structures, a fine-grained regional analysis is necessary to understand varying vulnerabilities and adaptation capacities. Using NUTS 3 regional economic data and firm-level metrics across Europe (1995-2022), combined with high-resolution climate data from EOBS, we employ Local Projection fixed-effects models to examine how drought duration and severity affect various economic outputs like production, productivity, investment, capital stock, and employment. We assess droughts using SPI and SPEI indices at 3, 6, and 12-month accumulation periods and analyze both their contemporaneous and lagged effects on economic outputs at fine spatial level. By combining high spatial resolution drought indices with comprehensive economic data and local projection</w:t>
      </w:r>
    </w:p>
    <w:p>
      <w:pPr/>
      <w:r>
        <w:rPr>
          <w:b/>
        </w:rPr>
        <w:t>POSSIBLE 2025:</w:t>
      </w:r>
      <w:r>
        <w:t xml:space="preserve"> The 2022 drought needs to be a turning point for European drought risk management — https://doi.org/10.5194/nhess-25-4475-2025</w:t>
      </w:r>
    </w:p>
    <w:p>
      <w:pPr/>
      <w:r>
        <w:rPr>
          <w:b/>
        </w:rPr>
        <w:t>Shared claim-specific concepts:</w:t>
      </w:r>
      <w:r>
        <w:t xml:space="preserve"> drought, current; EU scope visible. This is a provisional connection, not an outcome finding.</w:t>
      </w:r>
    </w:p>
    <w:p>
      <w:pPr>
        <w:pStyle w:val="SourceNote"/>
      </w:pPr>
      <w:r>
        <w:rPr>
          <w:b/>
        </w:rPr>
        <w:t>Available abstract (not full text):</w:t>
      </w:r>
      <w:r>
        <w:t xml:space="preserve"> Abstract. The 2022 European drought has underscored critical deficiencies in European water management. This paper explores these shortcomings and suggests a way forward for European drought risk management. Data for this study was gathered through a continent-wide survey of water managers involved in this event. The survey collected 481 responses from 30 European countries and is comprised of 19 questions concerning sectorial impact in the 55 regions of the responders and drought risk management practices of their organizations. Information from the survey is enriched with climate-related information to offer a comprehensive overview of drought risk management in Europe. Our research focuses on four key aspects: the increasing risk of drought, its spatial and temporal impacts, current drought risk management approaches, and the evolution of drought risk management across the continent. Our findings reveal a consensus on the growing risk of drought, which is confounded by the rising frequency and intensity of droughts. While the 2022 event affected most of the continent, our findings show significant regional disparities in drought risk management capacity among the various countries. Our analysis indicates that current drought risk management measures often rely on short-term operational concerns, particularly in agriculture-dominated economies, leading to potentially maladapt</w:t>
      </w:r>
    </w:p>
    <w:p>
      <w:pPr/>
      <w:r>
        <w:rPr>
          <w:b/>
        </w:rPr>
        <w:t>POSSIBLE 2025:</w:t>
      </w:r>
      <w:r>
        <w:t xml:space="preserve"> Global increase in the occurrence and impact of multiyear droughts — https://doi.org/10.1126/science.ado4245</w:t>
      </w:r>
    </w:p>
    <w:p>
      <w:pPr/>
      <w:r>
        <w:rPr>
          <w:b/>
        </w:rPr>
        <w:t>Shared claim-specific concepts:</w:t>
      </w:r>
      <w:r>
        <w:t xml:space="preserve"> drought, severity, increase, climate; EU scope not established. This is a provisional connection, not an outcome finding.</w:t>
      </w:r>
    </w:p>
    <w:p>
      <w:pPr>
        <w:pStyle w:val="SourceNote"/>
      </w:pPr>
      <w:r>
        <w:rPr>
          <w:b/>
        </w:rPr>
        <w:t>Available abstract (not full text):</w:t>
      </w:r>
      <w:r>
        <w:t xml:space="preserve"> Persistent multiyear drought (MYD) events pose a growing threat to nature and humans in a changing climate. We identified and inventoried global MYDs by detecting spatiotemporally contiguous climatic anomalies, showing that MYDs have become drier, hotter, and led to increasingly diminished vegetation greenness. The global terrestrial land affected by MYDs has increased at a rate of 49,279 ± 14,771 square kilometers per year from 1980 to 2018. Temperate grasslands have exhibited the greatest declines in vegetation greenness during MYDs, whereas boreal and tropical forests have had comparably minor responses. With MYDs becoming more common, this global quantitative inventory of the occurrence, severity, trend, and impact of MYDs provides an important benchmark for facilitating more effective and collaborative preparedness toward mitigation of and adaptation to such extreme events.</w:t>
      </w:r>
    </w:p>
    <w:p>
      <w:pPr/>
      <w:r>
        <w:rPr>
          <w:b/>
        </w:rPr>
        <w:t>POSSIBLE 2025:</w:t>
      </w:r>
      <w:r>
        <w:t xml:space="preserve"> Understanding droughts under climate change in South America based on severity-duration-frequency curves and drought atlases — https://doi.org/10.1007/s10584-025-04015-1</w:t>
      </w:r>
    </w:p>
    <w:p>
      <w:pPr/>
      <w:r>
        <w:rPr>
          <w:b/>
        </w:rPr>
        <w:t>Shared claim-specific concepts:</w:t>
      </w:r>
      <w:r>
        <w:t xml:space="preserve"> drought, severity, increase, climate; EU scope not established. This is a provisional connection, not an outcome finding.</w:t>
      </w:r>
    </w:p>
    <w:p>
      <w:pPr>
        <w:pStyle w:val="SourceNote"/>
      </w:pPr>
      <w:r>
        <w:rPr>
          <w:b/>
        </w:rPr>
        <w:t>Available abstract (not full text):</w:t>
      </w:r>
      <w:r>
        <w:t xml:space="preserve"> Abstract Droughts are among the most complex and costly natural disasters, with major impacts on environmental and socio-economic structures which are substantially influenced by anthropogenic factors. The continent of South America is particularly vulnerable and has experienced significant drought events over the past decade. The primary objective of this study is to enhance the understanding of droughts on this continent. Furthermore, it seeks to support the development of science-based decisions and strategies to mitigate the impacts of droughts on agriculture, water resources and wider socio-economic systems. To this end, Severity-Duration-Frequency (SDF) curves are developed using a copula-based approach, which offers a robust framework for assessing the likelihood and the impact of drought events. The analysis is carried out for the seven regions that describe the continent according to the Sixth Assessment Report of the Intergovernmental Panel on Climate Change (IPCC AR6) and based on ERA5 and CMIP6 data. Recurrence intervals of drought severity and duration are quantified for historical experiments (hist and histnat) and future climate scenarios (ssp245 and ssp585). These results are complemented by Drought Atlases for South America for different drought types. The results indicate that all analysed regions in South America will experience an increase in severity in the</w:t>
      </w:r>
    </w:p>
    <w:p>
      <w:pPr/>
      <w:r>
        <w:rPr>
          <w:b/>
        </w:rPr>
        <w:t>POSSIBLE 2025:</w:t>
      </w:r>
      <w:r>
        <w:t xml:space="preserve"> Rising temperatures intensify drought propagation and severity across the contiguous United States — https://doi.org/10.1038/s44304-025-00134-y</w:t>
      </w:r>
    </w:p>
    <w:p>
      <w:pPr/>
      <w:r>
        <w:rPr>
          <w:b/>
        </w:rPr>
        <w:t>Shared claim-specific concepts:</w:t>
      </w:r>
      <w:r>
        <w:t xml:space="preserve"> drought, severity, agricultural, vulnerabilities; EU scope not established. This is a provisional connection, not an outcome finding.</w:t>
      </w:r>
    </w:p>
    <w:p>
      <w:pPr>
        <w:pStyle w:val="SourceNote"/>
      </w:pPr>
      <w:r>
        <w:rPr>
          <w:b/>
        </w:rPr>
        <w:t>Available abstract (not full text):</w:t>
      </w:r>
      <w:r>
        <w:t xml:space="preserve"> Abstract Droughts can propagate from meteorological droughts (MD) into agricultural (AD) and hydrological droughts (HD). However, the mechanisms by which rising temperatures and changes in precipitation amount influence MD propagation, and how these dynamics vary across U.S., are not yet fully understood. This gap is critical given the U.S.’s diverse climates and land-use patterns, which lead to region-specific drought vulnerabilities and impacts, such as the 2012 AD in the Great Plains and the 2014 HD in the western U.S. Using a dynamical-statistical framework, we assess warming impacts on drought propagation. Results reveal that the Midwest and Southeast, key agricultural regions, show the largest increases in MD propagation to AD/HD, driven by rising temperatures and declining precipitation, though magnitudes vary regionally. In contrast, the Northeast shows reduced propagation due to increased year-round precipitation. Higher-intensity AD/HD events become disproportionately more likely, with rates varying by region and MD intensity.</w:t>
      </w:r>
    </w:p>
    <w:p>
      <w:pPr>
        <w:pStyle w:val="Heading2"/>
      </w:pPr>
      <w:r>
        <w:t>584. Decoupling transport-related greenhouse gas emissions and economic growth in the European Union countries</w:t>
      </w:r>
    </w:p>
    <w:p>
      <w:pPr>
        <w:pStyle w:val="SourceNote"/>
      </w:pPr>
      <w:r>
        <w:rPr>
          <w:b/>
        </w:rPr>
        <w:t>Original source (2021):</w:t>
      </w:r>
      <w:r>
        <w:t xml:space="preserve"> https://doi.org/10.13044/j.sdewes.d9.0411</w:t>
      </w:r>
    </w:p>
    <w:p>
      <w:pPr/>
      <w:r>
        <w:t>Original wording (abstract; indexed_source_text_not_full_document_verified): As the European Union declares its ambition to become the first climate-neutral continent by 2050, it is more than important to monitor and analyse developments in greenhouse gas emissions in individual sectors, including transport.The paper aims to assess using the decoupling method, the relationship between transport-related greenhouse gas emissions and the economic growth of the EU countries.The results indicate that the countries achieved different stages of decoupling within the individual monitored periods, with relative decoupling (55%) and absolute decoupling (34%) being the most common.However, in the long run (20 year study period 1997-2017), only 8 countries achieved absolute (strong) decoupling, which does not seem to be sufficient in the pursuit of the EU´s ambitious climate mitigation targets.</w:t>
      </w:r>
    </w:p>
    <w:p>
      <w:pPr/>
      <w:r>
        <w:rPr>
          <w:b/>
        </w:rPr>
        <w:t>POSSIBLE 2026:</w:t>
      </w:r>
      <w:r>
        <w:t xml:space="preserve"> A multi-model analysis of hydrogen uptake in a climate-neutral Europe — https://doi.org/10.1038/s41467-026-78681-9</w:t>
      </w:r>
    </w:p>
    <w:p>
      <w:pPr/>
      <w:r>
        <w:rPr>
          <w:b/>
        </w:rPr>
        <w:t>Shared claim-specific concepts:</w:t>
      </w:r>
      <w:r>
        <w:t xml:space="preserve"> union, climate-neutral, sectors, transport; EU scope visible. This is a provisional connection, not an outcome finding.</w:t>
      </w:r>
    </w:p>
    <w:p>
      <w:pPr>
        <w:pStyle w:val="SourceNote"/>
      </w:pPr>
      <w:r>
        <w:rPr>
          <w:b/>
        </w:rPr>
        <w:t>Available abstract (not full text):</w:t>
      </w:r>
      <w:r>
        <w:t xml:space="preserve"> Using an ensemble of integrated assessment models, we quantify the role of hydrogen in Europe’s energy transition under multiple climate policy scenarios. Hydrogen uptake in our net-zero scenario varies widely across models, ranging from 0.3 to 11.7 exajoules (average 4 exajoules) by 2050 and corresponding to 1-14% (average 7%) of final energy consumption, primarily in industry and synthetic fuel production. Hydrogen contributes minimally to electricity generation, and its direct use in transport and buildings remains limited. Despite projected carbon dioxide prices of 150–250 euros per tonne by 2030, hydrogen adoption remains below 2% (7 million tonnes) of final energy consumption, far below the European Union’s 2030 target of 20 million tonnes of green hydrogen from domestic production and imports. Hydrogen trade is scarcely modelled and therefore underrepresented. Our results support prioritizing near-term electrification while preparing strategically today for large-scale hydrogen expansion after 2040. Across multiple European energy models, deep decarbonization relies on strong early electrification, while hydrogen expands mainly after 2040 in hard-to-abate sectors; stronger policy support is essential for robust net-zero pathways.</w:t>
      </w:r>
    </w:p>
    <w:p>
      <w:pPr/>
      <w:r>
        <w:rPr>
          <w:b/>
        </w:rPr>
        <w:t>POSSIBLE 2025:</w:t>
      </w:r>
      <w:r>
        <w:t xml:space="preserve"> Setting the course: aligning European Union marine pollution policy ambitions with environmental realities — https://doi.org/10.3389/fmars.2025.1586918</w:t>
      </w:r>
    </w:p>
    <w:p>
      <w:pPr/>
      <w:r>
        <w:rPr>
          <w:b/>
        </w:rPr>
        <w:t>Shared claim-specific concepts:</w:t>
      </w:r>
      <w:r>
        <w:t xml:space="preserve"> union, sectors, including, between; EU scope visible. This is a provisional connection, not an outcome finding.</w:t>
      </w:r>
    </w:p>
    <w:p>
      <w:pPr>
        <w:pStyle w:val="SourceNote"/>
      </w:pPr>
      <w:r>
        <w:rPr>
          <w:b/>
        </w:rPr>
        <w:t>Available abstract (not full text):</w:t>
      </w:r>
      <w:r>
        <w:t xml:space="preserve"> Pollution in coastal and marine waters is a global challenge that transcends national boundaries, affecting interconnected seas, the ocean and broader ecosystems. Addressing marine pollution requires policies that encompass not only the marine domain but the entire ecosystem, including human societies. Therefore, a comprehensive and integrated governance approach, linking land-based sources to marine environments, is essential for effective pollution management and mitigation. This study assesses the current environmental status of persistent, long-lasting and emerging pollutants (PCBs, excess nutrients, microplastics, PFAS, and underwater noise) and cumulative effects of pollution, and compares these with the set European Union (EU) environmental goals and ambitions. A systematic review of EU policy documents reveals that several targets are unclear, arbitrary, and often unattainable, limiting the effectiveness of current strategies. This paper presents five actionable recommendations to strengthen marine environmental policy, emphasizing the need for better alignment between EU ambitions and environmental realities. To enhance EU pollution policies, it is crucial to reinforce regulatory frameworks, ensure the effective enforcement of existing legislation, foster collaboration across sectors, and empower citizens and NGOs. Additionally, integrating health and pollution policie</w:t>
      </w:r>
    </w:p>
    <w:p>
      <w:pPr/>
      <w:r>
        <w:rPr>
          <w:b/>
        </w:rPr>
        <w:t>POSSIBLE 2025:</w:t>
      </w:r>
      <w:r>
        <w:t xml:space="preserve"> The European Union — https://doi.org/10.1017/9781009293723.009</w:t>
      </w:r>
    </w:p>
    <w:p>
      <w:pPr/>
      <w:r>
        <w:rPr>
          <w:b/>
        </w:rPr>
        <w:t>Shared claim-specific concepts:</w:t>
      </w:r>
      <w:r>
        <w:t xml:space="preserve"> union, relationship, between; EU scope visible. This is a provisional connection, not an outcome finding.</w:t>
      </w:r>
    </w:p>
    <w:p>
      <w:pPr>
        <w:pStyle w:val="SourceNote"/>
      </w:pPr>
      <w:r>
        <w:rPr>
          <w:b/>
        </w:rPr>
        <w:t>Available abstract (not full text):</w:t>
      </w:r>
      <w:r>
        <w:t xml:space="preserve"> The rise of the European Union elicits both theoretical and practical questions about notions of citizenship, and citizens’ duties, that transcend nation-state boundaries. Indeed, its supranational nature invites reevaluation of the concepts of citizenship and political community more generally. In a similar vein, this chapter considers the European Court of Justice’s (ECJ) practice of horizontal application in light of republican theory. The fact that the ECJ has introduced horizontal application in EU law at all is itself a point of interest, given the debatable status of the Union as a political community in the republican sense. This book’s republican framework points toward a conceptual relationship between the development of horizontal application and the fate of the European Union as, in fact, something more than a loose union of nation-states. Put differently, a full flowering of horizontal application is theoretically tied to wider acceptance of the European Union as a fully fledged political community, complete with citizens’ duties to one another and a common good of which to speak.</w:t>
      </w:r>
    </w:p>
    <w:p>
      <w:pPr/>
      <w:r>
        <w:rPr>
          <w:b/>
        </w:rPr>
        <w:t>POSSIBLE 2025:</w:t>
      </w:r>
      <w:r>
        <w:t xml:space="preserve"> The green hydrogen ambition and implementation gap — https://doi.org/10.1038/s41560-024-01684-7</w:t>
      </w:r>
    </w:p>
    <w:p>
      <w:pPr/>
      <w:r>
        <w:rPr>
          <w:b/>
        </w:rPr>
        <w:t>Shared claim-specific concepts:</w:t>
      </w:r>
      <w:r>
        <w:t xml:space="preserve"> ambition, sectors; EU scope not established. This is a provisional connection, not an outcome finding.</w:t>
      </w:r>
    </w:p>
    <w:p>
      <w:pPr>
        <w:pStyle w:val="SourceNote"/>
      </w:pPr>
      <w:r>
        <w:rPr>
          <w:b/>
        </w:rPr>
        <w:t>Available abstract (not full text):</w:t>
      </w:r>
      <w:r>
        <w:t xml:space="preserve"> Abstract Green hydrogen is critical for decarbonizing hard-to-electrify sectors, but it faces high costs and investment risks. Here we define and quantify the green hydrogen ambition and implementation gap, showing that meeting hydrogen expectations will remain challenging despite surging announcements of projects and subsidies. Tracking 190 projects over 3 years, we identify a wide 2023 implementation gap with only 7% of global capacity announcements finished on schedule. In contrast, the 2030 ambition gap towards 1.5 °C scenarios has been gradually closing as the announced project pipeline has nearly tripled to 422 GW within 3 years. However, we estimate that, without carbon pricing, realizing all these projects would require global subsidies of US$1.3 trillion (US$0.8–2.6 trillion range), far exceeding announced subsidies. Given past and future implementation gaps, policymakers must prepare for prolonged green hydrogen scarcity. Policy support needs to secure hydrogen investments, but should focus on applications where hydrogen is indispensable.</w:t>
      </w:r>
    </w:p>
    <w:p>
      <w:pPr/>
      <w:r>
        <w:rPr>
          <w:b/>
        </w:rPr>
        <w:t>POSSIBLE 2025:</w:t>
      </w:r>
      <w:r>
        <w:t xml:space="preserve"> ReS-ACUE: standardized data linking recovery objectives and ambition to habitat protection for species at risk in Australia, Canada, the United States, and the European Union — https://doi.org/10.3389/fevo.2025.1659957</w:t>
      </w:r>
    </w:p>
    <w:p>
      <w:pPr/>
      <w:r>
        <w:rPr>
          <w:b/>
        </w:rPr>
        <w:t>Shared claim-specific concepts:</w:t>
      </w:r>
      <w:r>
        <w:t xml:space="preserve"> union, ambition, including, aims, assess; EU scope visible. This is a provisional connection, not an outcome finding.</w:t>
      </w:r>
    </w:p>
    <w:p>
      <w:pPr>
        <w:pStyle w:val="SourceNote"/>
      </w:pPr>
      <w:r>
        <w:rPr>
          <w:b/>
        </w:rPr>
        <w:t>Available abstract (not full text):</w:t>
      </w:r>
      <w:r>
        <w:t xml:space="preserve"> The biodiversity crisis, characterized by the rapid decline of global biodiversity, is one of the most urgent environmental issues of our time. Currently, 28% of all assessed animal, fungal, and plant species on the International Union for Conservation of Nature (IUCN) Red List are threatened with extinction (IUCN, 2025a). Up to one million species could succumb to extinction within decades (IPBES, 2019). One of the primary drivers of biodiversity loss is habitat loss and degradation (Johnson et al., 2017) from human activity, such as land-and sea-use change (IPBES, 2019). It is estimated that 9% (&gt;500,000) of species do not have adequate habitat for long-term survival (IPBES, 2019). Effective measures for protecting, conserving and restoring habitats of threatened species are essential for safeguarding biodiversity (Corlett, 2020;Dinerstein et al., 2024).The use of habitat protection as a mechanism for reversing biodiversity loss has a wellestablished history within international conservation initiatives. Signatories of the 1992 Convention on Biological Diversity were encouraged to develop or maintain legislative and regulatory provisions to protect threatened species and populations (Article 8K; CBD 2011). The promotion of habitat protection to prevent global species extinction and biodiversity was emphasized subsequently in goals 14 and 15 of the United Nations Sustainable D</w:t>
      </w:r>
    </w:p>
    <w:p>
      <w:pPr/>
      <w:r>
        <w:rPr>
          <w:b/>
        </w:rPr>
        <w:t>POSSIBLE 2025:</w:t>
      </w:r>
      <w:r>
        <w:t xml:space="preserve"> Cluster Analysis of the Transition to Climate Neutrality in the European Union — https://doi.org/10.1002/sd.70064</w:t>
      </w:r>
    </w:p>
    <w:p>
      <w:pPr/>
      <w:r>
        <w:rPr>
          <w:b/>
        </w:rPr>
        <w:t>Shared claim-specific concepts:</w:t>
      </w:r>
      <w:r>
        <w:t xml:space="preserve"> union, important, individual, aims, method, between; EU scope visible. This is a provisional connection, not an outcome finding.</w:t>
      </w:r>
    </w:p>
    <w:p>
      <w:pPr>
        <w:pStyle w:val="SourceNote"/>
      </w:pPr>
      <w:r>
        <w:rPr>
          <w:b/>
        </w:rPr>
        <w:t>Available abstract (not full text):</w:t>
      </w:r>
      <w:r>
        <w:t xml:space="preserve"> ABSTRACT The transition to climate neutrality is an important objective for the European Union, which is increasingly affected economically and environmentally by the impacts of climate change. The primary objective of this study is to analyze the transition to climate neutrality across EU Member States through a cluster analysis approach. Specifically, the research aims to: (1) review existing literature on environmental policy outcomes in achieving climate neutrality, (2) identify key energy and environmental economic drivers impacting this transition, (3) conduct a cluster analysis to group Member States based on their progress and challenges, and (4) propose differentiated public policy recommendations to support Europe's transition to climate neutrality. To achieve these objectives, the K‐means clustering method and ranking techniques were employed to identify differences in transition policies and to evaluate disparities among clusters in their contribution to the EU's overall climate neutrality goals. The study's results determined differences in the cluster structure of the European Union in terms of the approach to the transition to climate neutrality. They will provide a basis for developing differentiated public policy proposals between countries. The results are useful for supranational policymakers in determining approaches for adjusting climate neutrality transiti</w:t>
      </w:r>
    </w:p>
    <w:p>
      <w:pPr/>
      <w:r>
        <w:rPr>
          <w:b/>
        </w:rPr>
        <w:t>POSSIBLE 2025:</w:t>
      </w:r>
      <w:r>
        <w:t xml:space="preserve"> Assessing the climate and health impacts of energy consumption in European Union countries — https://doi.org/10.1088/1748-9326/add752</w:t>
      </w:r>
    </w:p>
    <w:p>
      <w:pPr/>
      <w:r>
        <w:rPr>
          <w:b/>
        </w:rPr>
        <w:t>Shared claim-specific concepts:</w:t>
      </w:r>
      <w:r>
        <w:t xml:space="preserve"> union, greenhouse, gas, emissions, assess; EU scope visible. This is a provisional connection, not an outcome finding.</w:t>
      </w:r>
    </w:p>
    <w:p>
      <w:pPr>
        <w:pStyle w:val="SourceNote"/>
      </w:pPr>
      <w:r>
        <w:rPr>
          <w:b/>
        </w:rPr>
        <w:t>Available abstract (not full text):</w:t>
      </w:r>
      <w:r>
        <w:t xml:space="preserve"> ************************************************************************************************************** Note: This article has been published in Environmental Research Letters. Please refer to the published version: https://doi.org/10.1088/1748-9326/add752 ************************************************************************************************************** Greenhouse gas emissions from burning fossil fuels are routinely counted in energy and climate policies, yet the immediate health burden of air pollution emissions from combusting these fuels is rarely quantified alongside. Particularly, the European Union (EU) comprises countries with diverse energy mixes, emission characteristics, reduction technologies, and policy frameworks, leading to large variations in the impacts of energy consumption on climate, air quality, and public health. Understanding these country-level variations is critical to optimize regional energy policies and reduce climate and health disparities in the EU. This study quantifies the regional variations in both climate and health impacts of energy consumption across EU countries. In countries where coal or oil dominates power supply, the health impacts of electricity consumption can be larger than climate impacts by more than ten times (e.g., Bulgaria, Romania, and Greece), highlighting the necessity of incorporating health impacts into c</w:t>
      </w:r>
    </w:p>
    <w:p>
      <w:pPr/>
      <w:r>
        <w:rPr>
          <w:b/>
        </w:rPr>
        <w:t>POSSIBLE 2024:</w:t>
      </w:r>
      <w:r>
        <w:t xml:space="preserve"> European sustainability: ambitions and challenges — https://doi.org/10.24263/edsd-2024-6-3</w:t>
      </w:r>
    </w:p>
    <w:p>
      <w:pPr/>
      <w:r>
        <w:rPr>
          <w:b/>
        </w:rPr>
        <w:t>Shared claim-specific concepts:</w:t>
      </w:r>
      <w:r>
        <w:t xml:space="preserve"> union, first, climate-neutral, continent, greenhouse, gas; EU scope visible. This is a provisional connection, not an outcome finding.</w:t>
      </w:r>
    </w:p>
    <w:p>
      <w:pPr>
        <w:pStyle w:val="SourceNote"/>
      </w:pPr>
      <w:r>
        <w:rPr>
          <w:b/>
        </w:rPr>
        <w:t>Available abstract (not full text):</w:t>
      </w:r>
      <w:r>
        <w:t xml:space="preserve"> The European Union (EU) has been the global leader in sustainable development strategy and climate change mitigation for decades. Key strategic documents, which indicate dedicated environmentally friendly policies of the Union, include, e.g., Europe 2020 Strategy, the Strategy for Circular Economy, the European Green Deal (EGD), and Fit for 55 package. In terms of Europe 2020 strategy on smart, sustainable and inclusive growth, the EU reached over 20% reduction of greenhouse gas (GHG) emission (from 2010 to 2020). And in terms of EGD, the most ambitious goal was set to make Europe the first climate-neutral continent with zero net GHG emission by 2050. Open Russian aggression against Ukraine in Feb 2022 forced Europe to be ready for new challenges, including overcoming dependence on Russian energy resources. Answering these challenges, the EU adopted REPowerEU strategy to eliminate its dependence on Russian fossil fuels till 2030. The Union imposes economic sanctions on the Russian regime and provides powerful financial support to Ukraine. Keeping in mind a huge military machine of Russia and terrorist way of thinking of its leader it seems we still need much more international efforts to turn Europe back to a sustainable track of development.</w:t>
      </w:r>
    </w:p>
    <w:p>
      <w:pPr/>
      <w:r>
        <w:rPr>
          <w:b/>
        </w:rPr>
        <w:t>POSSIBLE 2024:</w:t>
      </w:r>
      <w:r>
        <w:t xml:space="preserve"> Climate Obstruction in the European Union — https://doi.org/10.1093/oso/9780197762042.003.0013</w:t>
      </w:r>
    </w:p>
    <w:p>
      <w:pPr/>
      <w:r>
        <w:rPr>
          <w:b/>
        </w:rPr>
        <w:t>Shared claim-specific concepts:</w:t>
      </w:r>
      <w:r>
        <w:t xml:space="preserve"> union, ambition, individual; EU scope visible. This is a provisional connection, not an outcome finding.</w:t>
      </w:r>
    </w:p>
    <w:p>
      <w:pPr>
        <w:pStyle w:val="SourceNote"/>
      </w:pPr>
      <w:r>
        <w:rPr>
          <w:b/>
        </w:rPr>
        <w:t>Available abstract (not full text):</w:t>
      </w:r>
      <w:r>
        <w:t xml:space="preserve"> Abstract The European Union has gained increasing influence in setting climate policy. Its power to determine the orientation of the integrated body and in negotiation and decision-making gives the European Union a privileged role in the climate policies of individual member states—and these processes are, accordingly, contested. At the EU level, efforts to obstruct ambitious action aim not to deny climate change but to reduce the ambition of policy initiatives and make them more market friendly. To capture the opposition, the chapter evaluates texts from key EU associations such as BusinessEurope as well as the output of conservative and neoliberal European think tanks and networks such as the Centre for European Policy. It also examines the influence of fossil fuel and ‘green’ lobby groups and analyses the extent to which actors have been able to implement their climate obstruction activities through direct contacts within the European Commission.</w:t>
      </w:r>
    </w:p>
    <w:p>
      <w:pPr/>
      <w:r>
        <w:rPr>
          <w:b/>
        </w:rPr>
        <w:t>POSSIBLE 2024:</w:t>
      </w:r>
      <w:r>
        <w:t xml:space="preserve"> The impacts of decarbonization pathways on Sustainable Development Goals in the European Union — https://doi.org/10.1038/s43247-024-01309-7</w:t>
      </w:r>
    </w:p>
    <w:p>
      <w:pPr/>
      <w:r>
        <w:rPr>
          <w:b/>
        </w:rPr>
        <w:t>Shared claim-specific concepts:</w:t>
      </w:r>
      <w:r>
        <w:t xml:space="preserve"> union, greenhouse, gas, emissions; EU scope visible. This is a provisional connection, not an outcome finding.</w:t>
      </w:r>
    </w:p>
    <w:p>
      <w:pPr>
        <w:pStyle w:val="SourceNote"/>
      </w:pPr>
      <w:r>
        <w:rPr>
          <w:b/>
        </w:rPr>
        <w:t>Available abstract (not full text):</w:t>
      </w:r>
      <w:r>
        <w:t xml:space="preserve"> Abstract Climate action to achieve the Paris Agreement should respect the United Nations Sustainable Development Goals. Here, we use an integrated assessment modelling framework comprising nine climate policy models and quantify the impacts of decarbonisation pathways on Sustainable Development Goals in the European Union at regional and national levels. We show that scenario-consistent assumptions of future socio-economic trends and current climate policies would improve energy- and carbon-related aspects of sustainability and reduce inequalities. Ambitious net-zero emissions pathways would further improve health and agricultural productivity. Furthermore, countries currently lagging in achieving sustainable development goals would see the greatest benefits from ambitious climate action. Negative socio-economic impacts from climate action on poverty, hunger, and economic growth will require specific corrective policies. While our analysis does not quantify the negative effects of less ambitious climate policy, it demonstrates where co-benefits and trade-offs of greenhouse gas mitigation and sustainable development agenda exist and can guide policy formulation.</w:t>
      </w:r>
    </w:p>
    <w:p>
      <w:pPr/>
      <w:r>
        <w:rPr>
          <w:b/>
        </w:rPr>
        <w:t>POSSIBLE 2024:</w:t>
      </w:r>
      <w:r>
        <w:t xml:space="preserve"> Internal Combustion Engines and Carbon-Neutral Fuels: A Perspective on Emission Neutrality in the European Union — https://doi.org/10.3390/en17051172</w:t>
      </w:r>
    </w:p>
    <w:p>
      <w:pPr/>
      <w:r>
        <w:rPr>
          <w:b/>
        </w:rPr>
        <w:t>Shared claim-specific concepts:</w:t>
      </w:r>
      <w:r>
        <w:t xml:space="preserve"> union, first, climate-neutral, continent, transport, aims; EU scope visible. This is a provisional connection, not an outcome finding.</w:t>
      </w:r>
    </w:p>
    <w:p>
      <w:pPr>
        <w:pStyle w:val="SourceNote"/>
      </w:pPr>
      <w:r>
        <w:rPr>
          <w:b/>
        </w:rPr>
        <w:t>Available abstract (not full text):</w:t>
      </w:r>
      <w:r>
        <w:t xml:space="preserve"> Nowadays, there is an intense debate in the European Union (EU) regarding the limits to achieve the European Green Deal, to make Europe the first climate-neutral continent in the world. In this context, there are also different opinions about the role that thermal engines should play. Furhermore, there is no clear proposal regarding the possibilities of the use of green hydrogen in the transport decarbonization process, even though it should be a key element. Thus, there are still no precise guidelines regarding the role of green hydrogen, with it being exclusively used as a raw material to produce E-fuels. This review aims to evaluate the possibilities of applying the different alternative technologies available to successfully complete the process already underway to achieve Climate Neutrality by about 2050, depending on the maturity of the technologies currently available, and those anticipated to be available in the coming decades.</w:t>
      </w:r>
    </w:p>
    <w:p>
      <w:pPr/>
      <w:r>
        <w:rPr>
          <w:b/>
        </w:rPr>
        <w:t>POSSIBLE 2024:</w:t>
      </w:r>
      <w:r>
        <w:t xml:space="preserve"> Assessment of the Potential of European Union Member States to Achieve Climate Neutrality — https://doi.org/10.3390/su16031311</w:t>
      </w:r>
    </w:p>
    <w:p>
      <w:pPr/>
      <w:r>
        <w:rPr>
          <w:b/>
        </w:rPr>
        <w:t>Shared claim-specific concepts:</w:t>
      </w:r>
      <w:r>
        <w:t xml:space="preserve"> union, first, emissions, relationship, between; EU scope visible. This is a provisional connection, not an outcome finding.</w:t>
      </w:r>
    </w:p>
    <w:p>
      <w:pPr>
        <w:pStyle w:val="SourceNote"/>
      </w:pPr>
      <w:r>
        <w:rPr>
          <w:b/>
        </w:rPr>
        <w:t>Available abstract (not full text):</w:t>
      </w:r>
      <w:r>
        <w:t xml:space="preserve"> Climate neutrality is the main environmental goal set for the European Union Member States until 2050. EU economies can achieve this ambitious climate goal by reducing the emission intensity of economies, which has been achieved for many years by reducing pollution emitted by industry. The aim of the study is focused primarily on demonstrating the degree of relationship between the variables describing economic growth, GDP, and the level of CO2 emissions. In the first stage of the research, the potential of countries to achieve climate neutrality was assessed, which was achieved by estimating the correlation between GDP indices in relation to 2013 and the level of CO2 emissions. Research has shown that despite the countries’ differences in the structure of their energy balances, they can achieve independence of economic growth from the emission level of their economies. The research also concerns Poland’s special situation compared to other European Union countries according to energy balance based on coal. A model based on differential equations was used to simulate the impact of GDP, energy intensity, and the share of biofuels on temperature and CO2 concentration until 2030, using data for Poland as an example. The aim of this analysis is to answer the question of whether the energy transformation in the country will achieve the assumed emission reduction goals by 2030.</w:t>
      </w:r>
    </w:p>
    <w:p>
      <w:pPr>
        <w:pStyle w:val="Heading2"/>
      </w:pPr>
      <w:r>
        <w:t>585. Designing health system scenarios at the national level</w:t>
      </w:r>
    </w:p>
    <w:p>
      <w:pPr>
        <w:pStyle w:val="SourceNote"/>
      </w:pPr>
      <w:r>
        <w:rPr>
          <w:b/>
        </w:rPr>
        <w:t>Original source (2021):</w:t>
      </w:r>
      <w:r>
        <w:t xml:space="preserve"> https://doi.org/10.52547/ijhehp.9.3.296</w:t>
      </w:r>
    </w:p>
    <w:p>
      <w:pPr/>
      <w:r>
        <w:t>Original wording (abstract; indexed_source_text_not_full_document_verified): Materials and Methods:In this study, using in-depth interview tools and a questionnaire governing the Maktor software with 25 health system experts in the 2019 and relying on the process of scriptwriting at the University of Norway in four steps of analyzing trends and actors in the field of health as The first step is to determine the drivers as the second step, the development of scenarios as the third step, and finally the evaluation and strategic recommendation as the fourth step to design the scenarios of the health system at the national level.Results: The findings include four scenarios.The goal of the first scenario as a desirable scenario, Equity in the collective dimension and wellbeing in the individual dimension, in the second scenario as a possible scenario, the goal of that Equity in the collective dimension and ignoring wellbeing in the individual dimension, in the third scenario as a possible scenario goal of wellbeing in the dimension Individual and neglect of Equity in the collective dimension, and finally the fourth scenario as a scenario of disaster in which there is neither wellbeing in the individual dimension nor Equity in the collective dimension.Conclusion: In order to move away from the disaster scenario and approach the desired scenario, the country's health system needs to change the paradigm from therapist to caregiver in such a way that multiple care promotes health, disease prevention, and treatment.Diseases and rehabilitation are integrated and, in this integration, the most important policy will be health promotion.</w:t>
      </w:r>
    </w:p>
    <w:p>
      <w:pPr/>
      <w:r>
        <w:rPr>
          <w:b/>
        </w:rPr>
        <w:t>POSSIBLE 2026:</w:t>
      </w:r>
      <w:r>
        <w:t xml:space="preserve"> Measuring the Confidence Architecture of Indo-European Claims: findings, code and reproduction materials. — https://doi.org/10.5281/zenodo.22880450</w:t>
      </w:r>
    </w:p>
    <w:p>
      <w:pPr/>
      <w:r>
        <w:rPr>
          <w:b/>
        </w:rPr>
        <w:t>Shared claim-specific concepts:</w:t>
      </w:r>
      <w:r>
        <w:t xml:space="preserve"> materials, tools, four; EU scope visible. This is a provisional connection, not an outcome finding.</w:t>
      </w:r>
    </w:p>
    <w:p>
      <w:pPr>
        <w:pStyle w:val="SourceNote"/>
      </w:pPr>
      <w:r>
        <w:rPr>
          <w:b/>
        </w:rPr>
        <w:t>Available abstract (not full text):</w:t>
      </w:r>
      <w:r>
        <w:t xml:space="preserve"> This deposit contains the complete materials of a calibration study of Indo-European historical linguistics: twenty-one research findings, eleven executable tests with their outputs, an article draft, and an essay on the methodological fallacy registry the project accumulated about itself. The study does not attempt to prove or refute Indo-European reconstruction. It asks a narrower and more answerable question: which specific claims are supported by what kind of evidence, and how far does the confidence in each actually extend. Criteria were declared in advance, in the headers of the scripts, before those scripts were run. Predictions that failed remain visible in the archive rather than being removed. Principal findings. The limit of reconstruction is coverage, not accuracy. Across four families with an attested ancestor — Old Church Slavonic at 1,075 years of depth, Latin at 2,075, Ancient Greek at 2,475, Vedic at 3,225 — reconstruction accuracy correlates with time depth at r = −0.970, but the recoverable ceiling correlates at r = −0.893 while the distance between reconstruction and that ceiling correlates at only r = −0.440. Reconstruction stays a consistent 9 to 18 points below the best-preserving daughter while the ceiling itself collapses from 57.4% to 32.8%. The method does not decay with depth; the material does. What was lost in every daughter is not uncertain but ou</w:t>
      </w:r>
    </w:p>
    <w:p>
      <w:pPr/>
      <w:r>
        <w:rPr>
          <w:b/>
        </w:rPr>
        <w:t>POSSIBLE 2026:</w:t>
      </w:r>
      <w:r>
        <w:t xml:space="preserve"> Optimizing coating materials and processes for controlled release coated urea fertilizer: review of bio-based coating materials and encapsulation methods — https://doi.org/10.15480/882.17571</w:t>
      </w:r>
    </w:p>
    <w:p>
      <w:pPr/>
      <w:r>
        <w:rPr>
          <w:b/>
        </w:rPr>
        <w:t>Shared claim-specific concepts:</w:t>
      </w:r>
      <w:r>
        <w:t xml:space="preserve"> materials, methods, in-depth; EU scope visible. This is a provisional connection, not an outcome finding.</w:t>
      </w:r>
    </w:p>
    <w:p>
      <w:pPr>
        <w:pStyle w:val="SourceNote"/>
      </w:pPr>
      <w:r>
        <w:rPr>
          <w:b/>
        </w:rPr>
        <w:t>Available abstract (not full text):</w:t>
      </w:r>
      <w:r>
        <w:t xml:space="preserve"> The strict legal requirements in the European Union mandating biodegradable components in fertilizers by 2026 underscore the urgent need for innovative solutions in controlled release coated urea (CRCU) fertilizers. Despite the critical importance of optimizing coating materials and processes for CRCU fertilizers, a comprehensive review of optimization methods is notably absent, leaving a significant knowledge gap in the development of efficient and sustainable CRCU technologies. This review addresses this gap by providing an in-depth analysis of bio-based coating materials, encapsulation methods, and fluidized bed processes for CRCU fertilizers. We critically evaluate existing research, identify key challenges and opportunities, and discuss future directions for developing biodegradable and efficient CRCU fertilizers that meet the impending regulatory requirements. This review serves as a timely resource for researchers, industry stakeholders, and policymakers seeking to develop and implement sustainable coating solutions.</w:t>
      </w:r>
    </w:p>
    <w:p>
      <w:pPr/>
      <w:r>
        <w:rPr>
          <w:b/>
        </w:rPr>
        <w:t>POSSIBLE 2026:</w:t>
      </w:r>
      <w:r>
        <w:t xml:space="preserve"> The potential of the SARC-CalF questionnaire as a screening tool for frailty — https://doi.org/10.17826/cumj.1929370</w:t>
      </w:r>
    </w:p>
    <w:p>
      <w:pPr/>
      <w:r>
        <w:rPr>
          <w:b/>
        </w:rPr>
        <w:t>Shared claim-specific concepts:</w:t>
      </w:r>
      <w:r>
        <w:t xml:space="preserve"> materials, methods, questionnaire; EU scope not established. This is a provisional connection, not an outcome finding.</w:t>
      </w:r>
    </w:p>
    <w:p>
      <w:pPr>
        <w:pStyle w:val="SourceNote"/>
      </w:pPr>
      <w:r>
        <w:rPr>
          <w:b/>
        </w:rPr>
        <w:t>Available abstract (not full text):</w:t>
      </w:r>
      <w:r>
        <w:t xml:space="preserve"> Purpose: Frailty and sarcopenia exhibit overlapping physical characteristics, as described by the Fried Frailty Phenotype (FFP). Although the SARC-CalF questionnaire is widely used for sarcopenia screening, as recommended by the EWGSOP-2 guidelines, its potential to identify frailty has not been thoroughly investigated. This study aims to evaluate the SARC-CalF as a simple, objective tool for assessing frailty in older adults.Materials and Methods: This cross-sectional study included 337 patients aged 65 years and older. Frailty was assessed through the FFP. Demographic characteristics and the SARC-CalF questionnaire were obtained. To identify appropriate SARC-CalF cut-off points for detecting frailty, we used a receiver operating characteristic (ROC) curve to calculate the area under the curve (AUC) and its 95% confidence interval.Results: The average age of the participants was 75.27±6.6, with 64.3% (n=217) being women. Frailty was observed in 15.4 % (n=52) of the study population. Frail patients exhibited higher median SARC-CalF scores than non-frail participants (5.5 vs. 1). The AUC of the SARC-CalF score for frailty was 0.800 (95% confidence interval [CI], 0.75-0.84). Using a cut-off value of &gt;2, sensitivity was 84.6%, specificity was 66.3%, PPV was 30.7%, and NPV was 96.1%.Conclusion: The SARC-CalF questionnaire demonstrated good discriminative performance in identifying </w:t>
      </w:r>
    </w:p>
    <w:p>
      <w:pPr/>
      <w:r>
        <w:rPr>
          <w:b/>
        </w:rPr>
        <w:t>POSSIBLE 2025:</w:t>
      </w:r>
      <w:r>
        <w:t xml:space="preserve"> Analytical Methods for In-Depth Assessment of Recycled Plastics: A Review — https://doi.org/10.3390/environments12050154</w:t>
      </w:r>
    </w:p>
    <w:p>
      <w:pPr/>
      <w:r>
        <w:rPr>
          <w:b/>
        </w:rPr>
        <w:t>Shared claim-specific concepts:</w:t>
      </w:r>
      <w:r>
        <w:t xml:space="preserve"> materials, methods, in-depth; EU scope not established. This is a provisional connection, not an outcome finding.</w:t>
      </w:r>
    </w:p>
    <w:p>
      <w:pPr>
        <w:pStyle w:val="SourceNote"/>
      </w:pPr>
      <w:r>
        <w:rPr>
          <w:b/>
        </w:rPr>
        <w:t>Available abstract (not full text):</w:t>
      </w:r>
      <w:r>
        <w:t xml:space="preserve"> Assessing the detailed characteristics of recycled plastics is essential for evaluating their quality and suitability for high-value applications compared to virgin polymers. This review provides a comprehensive overview of advanced analytical techniques used for characterizing the chemical, structural, morphological, and physical properties of recycled polymeric materials. The techniques examined include Fourier Transform Infrared Spectroscopy (FTIR), Micro-Raman spectroscopy, X-ray Fluorescence (XRF), Inductively Coupled Plasma (ICP) techniques, X-ray Powder Diffraction (XRPD), Differential Scanning Calorimetry (DSC), and Scanning Electron Microscopy (SEM). These methods are critically assessed for their effectiveness in detecting polymer degradation, surface and structural alterations, and the presence of contaminants—factors frequently introduced during mechanical recycling processes. For each technique, this review outlines the working principles, sample preparation protocols, and illustrative case studies while discussing their advantages, limitations, and operational challenges. By synthesizing current knowledge and methodological advancements, this review aims to support the development of robust and standardized quality assessment protocols. Enhancing the reliability and precision of recycled plastic characterization will improve their acceptance as high-quality second</w:t>
      </w:r>
    </w:p>
    <w:p>
      <w:pPr/>
      <w:r>
        <w:rPr>
          <w:b/>
        </w:rPr>
        <w:t>POSSIBLE 2025:</w:t>
      </w:r>
      <w:r>
        <w:t xml:space="preserve"> Optimizing coating materials and processes for controlled release coated urea fertilizer: Review of bio-based coating materials and encapsulation methods — https://doi.org/10.1016/j.rineng.2025.108716</w:t>
      </w:r>
    </w:p>
    <w:p>
      <w:pPr/>
      <w:r>
        <w:rPr>
          <w:b/>
        </w:rPr>
        <w:t>Shared claim-specific concepts:</w:t>
      </w:r>
      <w:r>
        <w:t xml:space="preserve"> materials, methods, in-depth; EU scope visible. This is a provisional connection, not an outcome finding.</w:t>
      </w:r>
    </w:p>
    <w:p>
      <w:pPr>
        <w:pStyle w:val="SourceNote"/>
      </w:pPr>
      <w:r>
        <w:rPr>
          <w:b/>
        </w:rPr>
        <w:t>Available abstract (not full text):</w:t>
      </w:r>
      <w:r>
        <w:t xml:space="preserve"> The strict legal requirements in the European Union mandating biodegradable components in fertilizers by 2026 underscore the urgent need for innovative solutions in controlled release coated urea (CRCU) fertilizers. Despite the critical importance of optimizing coating materials and processes for CRCU fertilizers, a comprehensive review of optimization methods is notably absent, leaving a significant knowledge gap in the development of efficient and sustainable CRCU technologies. This review addresses this gap by providing an in-depth analysis of bio-based coating materials, encapsulation methods, and fluidized bed processes for CRCU fertilizers. We critically evaluate existing research, identify key challenges and opportunities, and discuss future directions for developing biodegradable and efficient CRCU fertilizers that meet the impending regulatory requirements. This review serves as a timely resource for researchers, industry stakeholders, and policymakers seeking to develop and implement sustainable coating solutions.</w:t>
      </w:r>
    </w:p>
    <w:p>
      <w:pPr/>
      <w:r>
        <w:rPr>
          <w:b/>
        </w:rPr>
        <w:t>POSSIBLE 2025:</w:t>
      </w:r>
      <w:r>
        <w:t xml:space="preserve"> Exploring Parental Intentions to Use Digital Tools to Enhance Parent-Child Sexual Communication in Europe: Cross-Sectional Questionnaire Study — https://doi.org/10.2196/75489</w:t>
      </w:r>
    </w:p>
    <w:p>
      <w:pPr/>
      <w:r>
        <w:rPr>
          <w:b/>
        </w:rPr>
        <w:t>Shared claim-specific concepts:</w:t>
      </w:r>
      <w:r>
        <w:t xml:space="preserve"> methods, tools, questionnaire; EU scope visible. This is a provisional connection, not an outcome finding.</w:t>
      </w:r>
    </w:p>
    <w:p>
      <w:pPr>
        <w:pStyle w:val="SourceNote"/>
      </w:pPr>
      <w:r>
        <w:rPr>
          <w:b/>
        </w:rPr>
        <w:t>Available abstract (not full text):</w:t>
      </w:r>
      <w:r>
        <w:t xml:space="preserve"> BACKGROUND: Parent-child communication about sexuality education is critical for safe adolescent sexual development and well-being. Yet, there is evidence that these conversations are often ineffective. Digital tools have therefore emerged as promising interventions that may assist parents in addressing sensitive or difficult topics. However, our understanding of the factors that may motivate parental adoption of these technologies remains limited. OBJECTIVE: This study aimed to explore factors associated with European parents' intentions to use a digital tool designed to support parent-child sexual communication and complement school-based sexuality education. The study was conducted across the United Kingdom, Belgium, and Italy. METHODS: Using the technology acceptance model, we applied structural equation modeling to identify motivators of parents' intention to use the hypothetical app. This included perceived usefulness and perceived ease of use. Perceived usefulness was further analyzed by its subcomponents-relevance to parenting and quality of technology-through an alternative 3-construct model. Additionally, the associations between demographic characteristics (age, gender, country of residence, and education level) and the latent constructs were assessed. RESULTS: =0.47. Perceived usefulness was significantly associated with intention to use (β=0.67, P&lt;.001), while perc</w:t>
      </w:r>
    </w:p>
    <w:p>
      <w:pPr/>
      <w:r>
        <w:rPr>
          <w:b/>
        </w:rPr>
        <w:t>POSSIBLE 2025:</w:t>
      </w:r>
      <w:r>
        <w:t xml:space="preserve"> Validation and Reliability of the Polish Version of the Eating Assessment Tool-10 Questionnaire — https://doi.org/10.3390/nu17081291</w:t>
      </w:r>
    </w:p>
    <w:p>
      <w:pPr/>
      <w:r>
        <w:rPr>
          <w:b/>
        </w:rPr>
        <w:t>Shared claim-specific concepts:</w:t>
      </w:r>
      <w:r>
        <w:t xml:space="preserve"> materials, methods, questionnaire; EU scope not established. This is a provisional connection, not an outcome finding.</w:t>
      </w:r>
    </w:p>
    <w:p>
      <w:pPr>
        <w:pStyle w:val="SourceNote"/>
      </w:pPr>
      <w:r>
        <w:rPr>
          <w:b/>
        </w:rPr>
        <w:t>Available abstract (not full text):</w:t>
      </w:r>
      <w:r>
        <w:t xml:space="preserve"> Introduction: Early identification of patients at risk of dysphagia is of paramount importance. To date, no dysphagia screening questionnaire has been validated and translated into Polish that can be widely used in a multidisciplinary setting. Our study aimed to validate and adapt the Polish version of the Eating Assessment Tool-10 questionnaire (EAT-10). Materials and Methods: The EAT-10 questionnaire was translated into Polish using a formal forward–backward translation method. The Polish EAT-10 was administered to 109 patients with different dysphagia etiologies and 24 control subjects. Internal consistency, unidimensionality, test–retest reliability and external validity against the Visual Analog Scale (VAS), and Flexible Endoscopic Evaluation of Swallowing (FEES) were performed. Results: The EAT-10PL demonstrated excellent internal consistency (Cronbach’s α = 0.958) and confirmed unidimensionality. We found a strong correlation between EAT-10PL with the Visual Analog Scale (VAS) (rs = 0.94, p &lt; 0.001) and a weaker correlation with the PAS (rs = 0.55, p &lt; 0.001). We reported a sensitivity of 79.5% and specificity at the level of 60.0%, using ≥3 as a cut-off point. The statistically chosen cutoff point for PAS ≥ 2 and EAT-10 ≥ 6 indicated optimal specificity (70.0%) and sensitivity (79.5%) of measurements performed using EAT-10PL. The EAT-10PL questionnaire demonstrates high</w:t>
      </w:r>
    </w:p>
    <w:p>
      <w:pPr/>
      <w:r>
        <w:rPr>
          <w:b/>
        </w:rPr>
        <w:t>POSSIBLE 2025:</w:t>
      </w:r>
      <w:r>
        <w:t xml:space="preserve"> An in-depth review on tannin sources, extraction methods, and industrial applications — https://doi.org/10.1007/s44187-025-00689-9</w:t>
      </w:r>
    </w:p>
    <w:p>
      <w:pPr/>
      <w:r>
        <w:rPr>
          <w:b/>
        </w:rPr>
        <w:t>Shared claim-specific concepts:</w:t>
      </w:r>
      <w:r>
        <w:t xml:space="preserve"> materials, methods, in-depth; EU scope not established. This is a provisional connection, not an outcome finding.</w:t>
      </w:r>
    </w:p>
    <w:p>
      <w:pPr>
        <w:pStyle w:val="SourceNote"/>
      </w:pPr>
      <w:r>
        <w:rPr>
          <w:b/>
        </w:rPr>
        <w:t>Available abstract (not full text):</w:t>
      </w:r>
      <w:r>
        <w:t xml:space="preserve"> Tannins are naturally occurring polyphenolic compounds that are widely distributed in a variety of plant parts, such as leaves, bark, fruits, and seeds. This review provides a comprehensive analysis of tannins, with a particular focus on their classification, historical context, chemical structure, extraction techniques, and diverse applications across industrial and biomedical fields. Tannins are typically categorized as either condensed or hydrolyzable, with each form exhibiting unique functional attributes and structural characteristics. The extraction of tannins has progressed from conventional water-based maceration and decoction to contemporary methods, including ultrasound-assisted, microwave-assisted, supercritical fluid, and enzyme-assisted extractions. Among these, nonthermal technologies such as ultrasound-assisted, enzyme-assisted and supercritical fluid extraction are particularly highlighted for their ability to preserve heat-sensitive tannin structures, reduce energy consumption and support eco-friendly processing. Tannins are utilized in leather tanning, food preservation, medicine, water treatment, corrosion inhibition, and the development of innovative materials, such as bio-based adhesives and packaging films. Condensed tannins show industrial promise due to antioxidant and antibacterial properties, while hydrolyzable tannins offer medicinal benefits such as </w:t>
      </w:r>
    </w:p>
    <w:p>
      <w:pPr/>
      <w:r>
        <w:rPr>
          <w:b/>
        </w:rPr>
        <w:t>POSSIBLE 2025:</w:t>
      </w:r>
      <w:r>
        <w:t xml:space="preserve"> Approaches and perspectives on the transition to the circular economy in the European Union — https://doi.org/10.3389/fenvs.2025.1533776</w:t>
      </w:r>
    </w:p>
    <w:p>
      <w:pPr/>
      <w:r>
        <w:rPr>
          <w:b/>
        </w:rPr>
        <w:t>Shared claim-specific concepts:</w:t>
      </w:r>
      <w:r>
        <w:t xml:space="preserve"> materials, methods, in-depth; EU scope visible. This is a provisional connection, not an outcome finding.</w:t>
      </w:r>
    </w:p>
    <w:p>
      <w:pPr>
        <w:pStyle w:val="SourceNote"/>
      </w:pPr>
      <w:r>
        <w:rPr>
          <w:b/>
        </w:rPr>
        <w:t>Available abstract (not full text):</w:t>
      </w:r>
      <w:r>
        <w:t xml:space="preserve"> Introduction The transition to a circular economy is a key pillar of European sustainable development. However, in the current context, shaped by multiple crises and geopolitical conflicts, the efficiency and resilience of this transition are of particular concern. European policymakers and national authorities must adapt their approaches to mitigate risks posed by external factors while ensuring progress towards European sustainability goals. This study analyzes the transition to the European circular economy from 2010 to 2022, assessing key economic and environmental variables. Methods The study employs an econometric approach using panel data from the 27 EU Member States. A multiple linear regression model with fixed effects panel data is applied alongside spectral analysis and descriptive statistics to examine the relationships between private investment, gross value added, municipal waste recycling rates, recyclable material flows, and greenhouse gas emissions. These methods allow for an in-depth evaluation of the factors influencing the efficiency of the circular economy transition. Results Findings indicate that private investment and the integration of recyclable materials significantly enhance the efficiency of the circular economy. However, progress varies across Member States due to regional disparities, inadequate recycling infrastructure, and inefficient municipal </w:t>
      </w:r>
    </w:p>
    <w:p>
      <w:pPr/>
      <w:r>
        <w:rPr>
          <w:b/>
        </w:rPr>
        <w:t>POSSIBLE 2025:</w:t>
      </w:r>
      <w:r>
        <w:t xml:space="preserve"> Cross-Cultural Adaptation and Validation of European Organization for Research and Treatment of Cancer Quality of Life Questionnaire – Oral Health 15 into Hindi Version for Cancer Patients — https://doi.org/10.25259/ijpc_242_2024</w:t>
      </w:r>
    </w:p>
    <w:p>
      <w:pPr/>
      <w:r>
        <w:rPr>
          <w:b/>
        </w:rPr>
        <w:t>Shared claim-specific concepts:</w:t>
      </w:r>
      <w:r>
        <w:t xml:space="preserve"> materials, methods, questionnaire, health, university; EU scope visible. This is a provisional connection, not an outcome finding.</w:t>
      </w:r>
    </w:p>
    <w:p>
      <w:pPr>
        <w:pStyle w:val="SourceNote"/>
      </w:pPr>
      <w:r>
        <w:rPr>
          <w:b/>
        </w:rPr>
        <w:t>Available abstract (not full text):</w:t>
      </w:r>
      <w:r>
        <w:t xml:space="preserve"> Objectives: The multidimensional concept of quality of life (QoL) has become vital in cancer care, and research and is crucial for epidemiological investigations. The primary objective of the research was to translate and culturally adapt the European Organisation for Research and Treatment of Cancer Quality of Life Questionnaire – Oral Health15 (EORTC QLQ OH15) questionnaire into Hindi, assessing its reliability and validity for implementation among cancer patients of Aligarh. Materials and Methods: This study was carried out from June 2019 to May 2021. Permissions were obtained from the European Organisation for Research and Treatment of Cancer Quality of Life Questionnaire (EORTC QLQ) group for cross-cultural adaptation and translation of the Quality of Life Questionnaire-Oral Health15 (QLQ-OH15) and ethical clearance was secured from the Institutional Ethical Review Board at Aligarh Muslim University. Informed consent was provided by participating patients. The translation and cultural adaptation of the QLQ-OH15 followed an eight-phase procedure in compliance with the European Organisation for Research and Treatment of Cancer Quality of Life Questionnaire translation manual, ensuring consistency. Psychometric properties were evaluated using the Statistical Program for the Social Sciences 20, assessing content validity, convergent and discriminant validity, criterion validit</w:t>
      </w:r>
    </w:p>
    <w:p>
      <w:pPr/>
      <w:r>
        <w:rPr>
          <w:b/>
        </w:rPr>
        <w:t>POSSIBLE 2025:</w:t>
      </w:r>
      <w:r>
        <w:t xml:space="preserve"> Research priorities of the European Society of Clinical Pharmacy (ESCP): a questionnaire-based study — https://doi.org/10.1007/s11096-025-01954-8</w:t>
      </w:r>
    </w:p>
    <w:p>
      <w:pPr/>
      <w:r>
        <w:rPr>
          <w:b/>
        </w:rPr>
        <w:t>Shared claim-specific concepts:</w:t>
      </w:r>
      <w:r>
        <w:t xml:space="preserve"> methods, questionnaire, health; EU scope visible. This is a provisional connection, not an outcome finding.</w:t>
      </w:r>
    </w:p>
    <w:p>
      <w:pPr>
        <w:pStyle w:val="SourceNote"/>
      </w:pPr>
      <w:r>
        <w:rPr>
          <w:b/>
        </w:rPr>
        <w:t>Available abstract (not full text):</w:t>
      </w:r>
      <w:r>
        <w:t xml:space="preserve"> INTRODUCTION: It is important for health professional societies to involve members in defining their roles and future activities including research priorities. AIM: This study aimed to identify members' views on the areas of research that European Society of Clinical Pharmacy (ESCP) should prioritise in delivering research support, research projects and education. METHOD: An online questionnaire was initially developed by the ESCP Research Committee and reviewed by the research team. It included structured and open-ended items related to respondents' demographics, research experience, views on future research priorities, topics that ESCP should prioritise, and barriers to research involvement. After testing face and content validity, the questionnaire was sent to all ESCP members (N = 417). Descriptive statistics and summative content analysis were used. RESULTS: Eighty-two responses were received (response rate: 19.7%). Research on real-world processes that facilitate the implementation of clinical pharmacy services into every-day practice was the priority for most respondents (n = 77, 93.9%). Respondents believed that ESCP should focus on research support for implementation science (n = 52, 63.4%) and methods to analyse clinical judgement and decision-making (n = 48, 58.5%). The perceived barriers to developing high-quality research in clinical pharmacy were reported as a lac</w:t>
      </w:r>
    </w:p>
    <w:p>
      <w:pPr/>
      <w:r>
        <w:rPr>
          <w:b/>
        </w:rPr>
        <w:t>POSSIBLE 2025:</w:t>
      </w:r>
      <w:r>
        <w:t xml:space="preserve"> Agricultural Decision Support Tools in Europe: What Kind of Tools Are Needed to Foster Soil Health? — https://doi.org/10.1111/ejss.70097</w:t>
      </w:r>
    </w:p>
    <w:p>
      <w:pPr/>
      <w:r>
        <w:rPr>
          <w:b/>
        </w:rPr>
        <w:t>Shared claim-specific concepts:</w:t>
      </w:r>
      <w:r>
        <w:t xml:space="preserve"> tools, questionnaire, health, experts, process, norway; EU scope visible. This is a provisional connection, not an outcome finding.</w:t>
      </w:r>
    </w:p>
    <w:p>
      <w:pPr>
        <w:pStyle w:val="SourceNote"/>
      </w:pPr>
      <w:r>
        <w:rPr>
          <w:b/>
        </w:rPr>
        <w:t>Available abstract (not full text):</w:t>
      </w:r>
      <w:r>
        <w:t xml:space="preserve"> ABSTRACT Decision support tools (DSTs) are crucial in aiding agricultural decision‐making, particularly in improving soil health by enhancing nutrient management, soil organic matter (SOM) and water retention. Despite the availability of numerous DSTs in Europe, their adoption, effectiveness and development needs are not well understood, as most research is based on literature reviews rather than direct feedback from stakeholders. This study aims at filling this gap by conducting an expert survey of the most widely used digital DSTs across Europe on SOM, water retention and nutrient use efficiency in agriculture. We aimed at evaluating the current use, limitations and development needs of DSTs and offering recommendations to improve the effectiveness and adoption of DSTs in the context of soil health. A questionnaire was distributed to experts in 24 countries. Answers were received from 18 countries, including 14 European Union (EU) nations, Norway, the UK, Switzerland and Turkey. A total of 115 DSTs were identified aligning with our definition of DST, with agronomists, consultants and farmers being the primary users. Adoption of DSTs was rated moderate (score: 3.1/5), with tools featuring user‐friendly interfaces and alignment with farmer goals achieving higher adoption rates. DSTs were rated better suited to achieve farm‐level goals (score: 4.1/5) than regional (score: 3.6/5)</w:t>
      </w:r>
    </w:p>
    <w:p>
      <w:pPr>
        <w:pStyle w:val="Heading2"/>
      </w:pPr>
      <w:r>
        <w:t>586. Disaggregation of official demographic projections in sub-groups by education level: the neglected “composition effect” in the future path of life expectancy</w:t>
      </w:r>
    </w:p>
    <w:p>
      <w:pPr>
        <w:pStyle w:val="SourceNote"/>
      </w:pPr>
      <w:r>
        <w:rPr>
          <w:b/>
        </w:rPr>
        <w:t>Original source (2021):</w:t>
      </w:r>
      <w:r>
        <w:t xml:space="preserve"> https://doi.org/10.1186/s41118-020-00113-3</w:t>
      </w:r>
    </w:p>
    <w:p>
      <w:pPr/>
      <w:r>
        <w:t>Original wording (abstract; indexed_source_text_not_full_document_verified): We provide a set of different scenarios on the convergence/divergence of the mortality differential between the high and low education groups. For instance, assuming stability in the mortality differential, we estimated a life expectancy increase at age 65 of 2.9 and 2.6 years for men, and 3.2 and 3.1 for women, in the low and high education groups, respectively, over the whole projection period.</w:t>
      </w:r>
    </w:p>
    <w:p>
      <w:pPr/>
      <w:r>
        <w:rPr>
          <w:b/>
        </w:rPr>
        <w:t>POSSIBLE 2026:</w:t>
      </w:r>
      <w:r>
        <w:t xml:space="preserve"> Precise Editing of Indolines at Different Positions via SET and CMD Pathways — https://doi.org/10.1021/jacsau.6c00050</w:t>
      </w:r>
    </w:p>
    <w:p>
      <w:pPr/>
      <w:r>
        <w:rPr>
          <w:b/>
        </w:rPr>
        <w:t>Shared claim-specific concepts:</w:t>
      </w:r>
      <w:r>
        <w:t xml:space="preserve"> set, different, high; EU scope not established. This is a provisional connection, not an outcome finding.</w:t>
      </w:r>
    </w:p>
    <w:p>
      <w:pPr>
        <w:pStyle w:val="SourceNote"/>
      </w:pPr>
      <w:r>
        <w:rPr>
          <w:b/>
        </w:rPr>
        <w:t>Available abstract (not full text):</w:t>
      </w:r>
      <w:r>
        <w:t xml:space="preserve"> High Resolution Image Download MS PowerPoint Slide In drug discovery, the pursuit of concise and specific synthetic methods is driving the development of new strategies. Particularly during the late stages of a synthetic sequence, when the substrate molecule contains multiple highly similar C–H bonds, the ability to achieve selective “molecular editing” using mild and precise transformations has become a crucial capability. Here, we report Rh-catalyzed molecular editing of indoline derivatives at different positions via a single, oxidant-tunable catalytic system. Using Ag 3 PO 4 as the oxidant, Rh promotes the formation of indoline radical cations stabilized by SbF 6 –, enabling remote C5 thiolation via a single-electron transfer (SET) mechanism, as supported by the Fukui function. In contrast, Ag 2 O suppresses the SET pathway, as confirmed by the ABTS assay, and enables C7-selective thiolation through a concerted metalation–deprotonation (CMD) process mediated by a Rh(III)/MPAA ligand system. Mechanistic experiments and Fukui indices calculation elucidate the origin of the observed regiodivergence, highlighting the dual reactivity of Rh(III) and offering new conceptual insights into oxidant-controlled C–H functionalization.</w:t>
      </w:r>
    </w:p>
    <w:p>
      <w:pPr/>
      <w:r>
        <w:rPr>
          <w:b/>
        </w:rPr>
        <w:t>POSSIBLE 2026:</w:t>
      </w:r>
      <w:r>
        <w:t xml:space="preserve"> Factors Influencing Participation in Student Evaluation of Teaching (SETs): A Quality Improvement Analysis — https://doi.org/10.1002/jdd.70303</w:t>
      </w:r>
    </w:p>
    <w:p>
      <w:pPr/>
      <w:r>
        <w:rPr>
          <w:b/>
        </w:rPr>
        <w:t>Shared claim-specific concepts:</w:t>
      </w:r>
      <w:r>
        <w:t xml:space="preserve"> provide, set, different, between, low, education; EU scope not established. This is a provisional connection, not an outcome finding.</w:t>
      </w:r>
    </w:p>
    <w:p>
      <w:pPr>
        <w:pStyle w:val="SourceNote"/>
      </w:pPr>
      <w:r>
        <w:rPr>
          <w:b/>
        </w:rPr>
        <w:t>Available abstract (not full text):</w:t>
      </w:r>
      <w:r>
        <w:t xml:space="preserve"> OBJECTIVE: Student evaluations of teaching (SETs) collect feedback to evaluate teaching methods, effectiveness, and outcomes. SETs are used frequently by faculty in decisions about course content, curriculum changes, and the promotion process. Reported issues with SETs in dental education include inaccuracy, faculty dissatisfaction, and low response rates. This analysis examined SET response rates over a 6-year period in which academic policies changed such that dental student participation shifted from mandatory to opt-in and then to opt-out. A secondary focus was the influence of respondent burden (i.e., volume of questions) on SET participation rates, as measured by proxy using the number of courses and credit hours. METHODS: This retrospective quality improvement analysis involved SET participation data from dental students (mean 64 per class) enrolled at the University of Kentucky College of Dentistry between 2019 and 2024. Analysis of the number of SET responses per class under different participation methods was conducted using t-tests and ANOVA, with significance set at p &lt; 0.05. RESULTS: Student participation was observed to change during different academic policy settings. The highest participation occurred during the mandatory policy period. When policy changed from mandatory (X = 58.6 student responses) to optional (X = 36.7 student responses), a significant decreas</w:t>
      </w:r>
    </w:p>
    <w:p>
      <w:pPr/>
      <w:r>
        <w:rPr>
          <w:b/>
        </w:rPr>
        <w:t>POSSIBLE 2026:</w:t>
      </w:r>
      <w:r>
        <w:t xml:space="preserve"> ผลกระทบของการควบคมภายในตอความสามารถในการทำกำไรของบรษทจดทะเบยนในตลาดหลกทรพยแหงประเทศไทย (SET): กรณศกษากลมธรกจบรการกอสราง — https://openalex.org/W7219222055</w:t>
      </w:r>
    </w:p>
    <w:p>
      <w:pPr/>
      <w:r>
        <w:rPr>
          <w:b/>
        </w:rPr>
        <w:t>Shared claim-specific concepts:</w:t>
      </w:r>
      <w:r>
        <w:t xml:space="preserve"> set, high, over; EU scope not established. This is a provisional connection, not an outcome finding.</w:t>
      </w:r>
    </w:p>
    <w:p>
      <w:pPr>
        <w:pStyle w:val="SourceNote"/>
      </w:pPr>
      <w:r>
        <w:rPr>
          <w:b/>
        </w:rPr>
        <w:t>Available abstract (not full text):</w:t>
      </w:r>
      <w:r>
        <w:t xml:space="preserve"> This study evaluates the effectiveness of internal control systems and their influence on profitability within the construction services sector listed on the Stock Exchange of Thailand during the period 2020–2024. The analysis is grounded in the COSO framework and encompasses 27 companies over a five-year timeframe. Descriptive statistics, correlation analysis, and multiple regression analysis reveal that construction companies demonstrate high internal control implementation levels, however, faced significant profitability challenges during the study period, reflecting the impact of the COVID-19 pandemic, supply chain disruptions, and economic volatility. The most significant finding is that Monitoring Activities emerged as the critical determinant of profitability, showing statistically significant positive associations with GPM. Other COSO components showed no significant direct associations with profitability, suggesting these foundational components may influence performance through indirect pathways.</w:t>
      </w:r>
    </w:p>
    <w:p>
      <w:pPr/>
      <w:r>
        <w:rPr>
          <w:b/>
        </w:rPr>
        <w:t>POSSIBLE 2026:</w:t>
      </w:r>
      <w:r>
        <w:t xml:space="preserve"> The limb-to-waist ratio: resolving the divergence between mortality and cardiovascular risk — https://doi.org/10.20517/2574-1209.2025.147</w:t>
      </w:r>
    </w:p>
    <w:p>
      <w:pPr/>
      <w:r>
        <w:rPr>
          <w:b/>
        </w:rPr>
        <w:t>Shared claim-specific concepts:</w:t>
      </w:r>
      <w:r>
        <w:t xml:space="preserve"> divergence, mortality, between; EU scope not established. This is a provisional connection, not an outcome finding.</w:t>
      </w:r>
    </w:p>
    <w:p>
      <w:pPr>
        <w:pStyle w:val="SourceNote"/>
      </w:pPr>
      <w:r>
        <w:rPr>
          <w:b/>
        </w:rPr>
        <w:t>Available abstract (not full text):</w:t>
      </w:r>
      <w:r>
        <w:t xml:space="preserve"> Aim: We aimed to resolve the paradoxical associations of limb circumference—inverse with mortality but positive with cardiovascular risk factors (CVRFs)—by systematically comparing the predictive value of the ratio of combined arm and thigh circumference (ATC) to waist circumference (WC) against that of the sum of ATC for mortality and key CVRFs. Methods: Our analysis utilized data from 17,276 U.S. participants in the 1999-2006 NHANES (National Health and Nutrition Examination Survey). We utilized Cox proportional hazards, generalized linear, and restricted cubic spline models, with comprehensive adjustment for confounders including adiposity. The outcomes assessed were all-cause and cardiovascular mortality, hypertension, diabetes, and resting tachycardia. Results: During median 18.04-year follow-up (3,927 deaths, 1,047 cardiovascular deaths), the highest versus lowest ATC/WC quartile showed consistently protective associations: all-cause mortality (hazard ratio (HR) = 0.47, 95% confidence interval (95%CI): 0.38-0.57), cardiovascular mortality (HR = 0.32, 0.21-0.49), hypertension (OR = 0.49, 0.41-0.59), diabetes (odds ratio (OR) = 0.26, 0.18-0.37), and resting tachycardia (OR = 0.28, 0.19-0.39; all P &lt; 0.001). Conversely, ATC exhibited adiposity-dependent paradoxical associations: protective for mortality but harmful for CVRFs when unadjusted for adiposity. After adiposity adj</w:t>
      </w:r>
    </w:p>
    <w:p>
      <w:pPr/>
      <w:r>
        <w:rPr>
          <w:b/>
        </w:rPr>
        <w:t>POSSIBLE 2026:</w:t>
      </w:r>
      <w:r>
        <w:t xml:space="preserve"> Predictive divergence in machine learning models for clinical mortality risk: A multicohort study of covid-19 patients — https://doi.org/10.1371/journal.pone.0344354</w:t>
      </w:r>
    </w:p>
    <w:p>
      <w:pPr/>
      <w:r>
        <w:rPr>
          <w:b/>
        </w:rPr>
        <w:t>Shared claim-specific concepts:</w:t>
      </w:r>
      <w:r>
        <w:t xml:space="preserve"> divergence, mortality, between, high; EU scope not established. This is a provisional connection, not an outcome finding.</w:t>
      </w:r>
    </w:p>
    <w:p>
      <w:pPr>
        <w:pStyle w:val="SourceNote"/>
      </w:pPr>
      <w:r>
        <w:rPr>
          <w:b/>
        </w:rPr>
        <w:t>Available abstract (not full text):</w:t>
      </w:r>
      <w:r>
        <w:t xml:space="preserve"> BACKGROUND: Machine learning (ML) algorithms are increasingly used in healthcare to support clinical decision-making. While models with similar overall performance are often considered interchangeable for deployment, they may produce divergent predictions, a phenomenon known as algorithmic multiplicity. In such cases, the choice of algorithm may introduce bias. This study investigates the impacts of algorithmic multiplicity in mortality prediction and assesses the influence of patient characteristics on model decisions. METHODS: A cohort of 4,337 adult patients (≥18 years) with RT-PCR-confirmed covid-19 from five tertiary care hospitals in Brazil was followed from March to August 2020. Five popular ML models for structured data were trained on demographic and laboratory data collected at early hospital admission to predict in-hospital mortality. Model performance, feature importance, and algorithmic prediction similarity were evaluated. Feature distributions were compared between patients correctly or incorrectly classified by all models using paired t-tests or Mann-Whitney U tests, as applicable, at the 5% significance level. Subgroup performance differences were assessed using 10-fold cross-validation applied to five k-means-delineated clusters, compared by one-way ANOVA. Within-cluster predictive divergence was assessed within a 95% confidence interval. RESULTS: All models a</w:t>
      </w:r>
    </w:p>
    <w:p>
      <w:pPr/>
      <w:r>
        <w:rPr>
          <w:b/>
        </w:rPr>
        <w:t>POSSIBLE 2026:</w:t>
      </w:r>
      <w:r>
        <w:t xml:space="preserve"> Mortality convergence and divergence across Hungarian districts: long-term age-specific dynamics and spatial polarization — https://doi.org/10.15196/rs160508</w:t>
      </w:r>
    </w:p>
    <w:p>
      <w:pPr/>
      <w:r>
        <w:rPr>
          <w:b/>
        </w:rPr>
        <w:t>Shared claim-specific concepts:</w:t>
      </w:r>
      <w:r>
        <w:t xml:space="preserve"> convergence, divergence, mortality, life, expectancy, age; EU scope visible. This is a provisional connection, not an outcome finding.</w:t>
      </w:r>
    </w:p>
    <w:p>
      <w:pPr>
        <w:pStyle w:val="SourceNote"/>
      </w:pPr>
      <w:r>
        <w:rPr>
          <w:b/>
        </w:rPr>
        <w:t>Available abstract (not full text):</w:t>
      </w:r>
      <w:r>
        <w:t xml:space="preserve"> Life expectancy has increased substantially across Europe in recent decades, but improvements within countries have often been uneven across regions.Evidence on the long-term subnational experiences of postcommunist countries remains limited.This study examines regional convergence in life expectancy at birth across Hungarian districts using σ-and β-convergence approaches from the 1980s to the early 2020s.σ-convergence is measured using the population-weighted standard deviation of life expectancy at birth.Changes in the standard deviation are decomposed into age-specific contributions of mortality (M) and population structure (P), separately for total, between-, and withinregion components.District-level disparity (N = 175) increased over time: the standard deviation doubled among women and exceeded early-1990s crisis levels among men.Divergence was concentrated above age 50, particularly at ages 65 and over, whereas mortality below age 50 showed convergence.β-convergence models reveal regional polarization at older ages, reflecting faster improvements in the capital region and distinct convergence dynamics in the former heavy-industry region.These findings indicate that mortality convergence can only be understood by accounting for both age-specific dynamics and spatial heterogeneity.Mortality convergence and divergence across Hungarian districts: long-term age-specific dynam</w:t>
      </w:r>
    </w:p>
    <w:p>
      <w:pPr/>
      <w:r>
        <w:rPr>
          <w:b/>
        </w:rPr>
        <w:t>POSSIBLE 2026:</w:t>
      </w:r>
      <w:r>
        <w:t xml:space="preserve"> Characterising mortality dynamics across countries and time using a multi-stage clustering approach — https://doi.org/10.48550/arxiv.2609.17268</w:t>
      </w:r>
    </w:p>
    <w:p>
      <w:pPr/>
      <w:r>
        <w:rPr>
          <w:b/>
        </w:rPr>
        <w:t>Shared claim-specific concepts:</w:t>
      </w:r>
      <w:r>
        <w:t xml:space="preserve"> set, convergence, divergence, mortality, between, over; EU scope visible. This is a provisional connection, not an outcome finding.</w:t>
      </w:r>
    </w:p>
    <w:p>
      <w:pPr>
        <w:pStyle w:val="SourceNote"/>
      </w:pPr>
      <w:r>
        <w:rPr>
          <w:b/>
        </w:rPr>
        <w:t>Available abstract (not full text):</w:t>
      </w:r>
      <w:r>
        <w:t xml:space="preserve"> Comparative analyses of mortality dynamics across countries have long shaped our understanding of mortality inequalities and patterns of divergence and convergence over time. However, most existing studies focus on either mortality differences across countries at a single point in time or on country trajectories, without considering both factors simultaneously. In this paper, we address this gap by introducing a multi-stage clustering framework, applied to 94 countries by sex over the period 1960-2019 using data from the World Population Prospects. Specifically, we model life-table probabilities of death using a time-dependent beta latent variable model and identify a small set of ``mortality states'' that characterise the mortality pattern of each country at any given point in time. We then cluster countries based on their sequences of mortality states. Our results reveal substantial heterogeneity in the timing and pace of transitions between mortality states, including a persistent East-West divide in Europe and distinctive Latin American patterns associated with elevated young-adult male mortality. Cross-country inequality increased for both sexes until the 1990s, before plateauing and subsequently declining. Our proposed multi-stage clustering framework provides an interpretable, time-explicit description of mortality dynamics that jointly captures within-country change and</w:t>
      </w:r>
    </w:p>
    <w:p>
      <w:pPr/>
      <w:r>
        <w:rPr>
          <w:b/>
        </w:rPr>
        <w:t>POSSIBLE 2026:</w:t>
      </w:r>
      <w:r>
        <w:t xml:space="preserve"> Demographic Divergence: The Legacy of the Opioid Epidemic — https://doi.org/10.3386/w35340</w:t>
      </w:r>
    </w:p>
    <w:p>
      <w:pPr/>
      <w:r>
        <w:rPr>
          <w:b/>
        </w:rPr>
        <w:t>Shared claim-specific concepts:</w:t>
      </w:r>
      <w:r>
        <w:t xml:space="preserve"> divergence, mortality, life, increase; EU scope not established. This is a provisional connection, not an outcome finding.</w:t>
      </w:r>
    </w:p>
    <w:p>
      <w:pPr>
        <w:pStyle w:val="SourceNote"/>
      </w:pPr>
      <w:r>
        <w:rPr>
          <w:b/>
        </w:rPr>
        <w:t>Available abstract (not full text):</w:t>
      </w:r>
      <w:r>
        <w:t xml:space="preserve"> We study how the opioid epidemic shaped local population dynamics in the United States.Exploiting variation in exposure that stems from Purdue Pharma's targeted marketing of OxyContin to high-cancer-mortality areas, we find that more exposed commuting zones experienced lower population growth.By 2020, a one-standard-deviation increase in exposure reduced population growth among individuals aged 18 to 64 by 2.4 percentage points.Direct mortality from druginduced deaths made only a limited contribution to these changes.Instead, population losses were primarily driven by migratory responses: exposure increased out-migration rates, especially among college-educated individuals.These responses are consistent with the opioid epidemic operating as a disamenity shock, deteriorating local quality of life.Working in the opposite direction, we also document a rise in fertility rates that, by 2020, partially counteracts these population losses.Our findings show that the opioid epidemic reshaped local demographic composition and contributed to the long-run divergence in population dynamics across U.S. commuting zones.</w:t>
      </w:r>
    </w:p>
    <w:p>
      <w:pPr/>
      <w:r>
        <w:rPr>
          <w:b/>
        </w:rPr>
        <w:t>POSSIBLE 2025:</w:t>
      </w:r>
      <w:r>
        <w:t xml:space="preserve"> Contextual differences in the student evaluation of teaching (SET) in Mexico: comparing education face to face and online classes between different faculties — https://doi.org/10.1504/ijmie.2025.148275</w:t>
      </w:r>
    </w:p>
    <w:p>
      <w:pPr/>
      <w:r>
        <w:rPr>
          <w:b/>
        </w:rPr>
        <w:t>Shared claim-specific concepts:</w:t>
      </w:r>
      <w:r>
        <w:t xml:space="preserve"> provide, set, different, between, education; EU scope not established. This is a provisional connection, not an outcome finding.</w:t>
      </w:r>
    </w:p>
    <w:p>
      <w:pPr>
        <w:pStyle w:val="SourceNote"/>
      </w:pPr>
      <w:r>
        <w:rPr>
          <w:b/>
        </w:rPr>
        <w:t>Available abstract (not full text):</w:t>
      </w:r>
      <w:r>
        <w:t xml:space="preserve"> The factors that influence SET have been extensively addressed, but not the differences that these factors may have either by different modalities (online and face-to-face) or by the faculty in which the class is taught (business, engineering or law). The present study develops logit models sectioned by year (2018 to 2022) and by faculty to analyse the students' teaching evaluations at a private university in western Mexico with a sample of 7967 observations. The results show significant differences in the face-to-face and online modalities, with some similarities and different results among the faculties in the study. The findings provide guidelines to establish institutional policies that support the management of higher education institutions in the framework of the new normality under the online and face-to-face education scheme.</w:t>
      </w:r>
    </w:p>
    <w:p>
      <w:pPr/>
      <w:r>
        <w:rPr>
          <w:b/>
        </w:rPr>
        <w:t>POSSIBLE 2025:</w:t>
      </w:r>
      <w:r>
        <w:t xml:space="preserve"> Contextual differences in the student evaluation of teaching (SET) in Mexico: comparing education face to face and online classes between different faculties — https://doi.org/10.1504/ijmie.2025.10069564</w:t>
      </w:r>
    </w:p>
    <w:p>
      <w:pPr/>
      <w:r>
        <w:rPr>
          <w:b/>
        </w:rPr>
        <w:t>Shared claim-specific concepts:</w:t>
      </w:r>
      <w:r>
        <w:t xml:space="preserve"> provide, set, different, between, education; EU scope not established. This is a provisional connection, not an outcome finding.</w:t>
      </w:r>
    </w:p>
    <w:p>
      <w:pPr>
        <w:pStyle w:val="SourceNote"/>
      </w:pPr>
      <w:r>
        <w:rPr>
          <w:b/>
        </w:rPr>
        <w:t>Available abstract (not full text):</w:t>
      </w:r>
      <w:r>
        <w:t xml:space="preserve"> The factors that influence SET have been extensively addressed, but not the differences that these factors may have either by different modalities (online and face-to-face) or by the faculty in which the class is taught (business, engineering or law). The present study develops logit models sectioned by year (2018 to 2022) and by faculty to analyse the students' teaching evaluations at a private university in western Mexico with a sample of 7967 observations. The results show significant differences in the face-to-face and online modalities, with some similarities and different results among the faculties in the study. The findings provide guidelines to establish institutional policies that support the management of higher education institutions in the framework of the new normality under the online and face-to-face education scheme.</w:t>
      </w:r>
    </w:p>
    <w:p>
      <w:pPr/>
      <w:r>
        <w:rPr>
          <w:b/>
        </w:rPr>
        <w:t>POSSIBLE 2025:</w:t>
      </w:r>
      <w:r>
        <w:t xml:space="preserve"> Divergence in genetic (co)variances and the alignment of gmax with phenotypic divergence — https://doi.org/10.1093/evolut/qpaf009</w:t>
      </w:r>
    </w:p>
    <w:p>
      <w:pPr/>
      <w:r>
        <w:rPr>
          <w:b/>
        </w:rPr>
        <w:t>Shared claim-specific concepts:</w:t>
      </w:r>
      <w:r>
        <w:t xml:space="preserve"> provide, divergence, between; EU scope not established. This is a provisional connection, not an outcome finding.</w:t>
      </w:r>
    </w:p>
    <w:p>
      <w:pPr>
        <w:pStyle w:val="SourceNote"/>
      </w:pPr>
      <w:r>
        <w:rPr>
          <w:b/>
        </w:rPr>
        <w:t>Available abstract (not full text):</w:t>
      </w:r>
      <w:r>
        <w:t xml:space="preserve"> To better understand the sources of biological diversity in nature, we need information on the mechanisms underlying population divergence. Biological systems with patterns of naturally occurring adaptive variation among populations can provide insight into the genetic architecture of diverging traits and the influence of genetic constraints on responses to selection. Using a system of reproductive character displacement in the North American mushroom-feeding fly Drosophila subquinaria, we assessed patterns of genetic (co)variance among a suite of chemical signaling traits and divergence in this pattern among populations. D. subquinaria exhibits stronger reproductive isolation against the closely related Drosophila recens in sympatry, where both female mating preferences and male chemical signaling traits have diverged from the ancestral allopatric populations. We collected 3 wild populations from each region and, in the lab, characterized the phenotypic divergence in these traits, as well as the additive genetic (co)variance structure (G-matrix), via replicate breeding designs. We found divergence between allopatric and sympatric D. subquinaria in the shape and size of the G-matrix, and that the leading axis of genetic variance (gmax) had changed in sympatry to come into alignment with the primary axis of phenotypic divergence between the sympatric and allopatric regions.</w:t>
      </w:r>
    </w:p>
    <w:p>
      <w:pPr/>
      <w:r>
        <w:rPr>
          <w:b/>
        </w:rPr>
        <w:t>POSSIBLE 2025:</w:t>
      </w:r>
      <w:r>
        <w:t xml:space="preserve"> Social Divergence in Hungary — https://doi.org/10.1007/978-3-031-94009-5_11</w:t>
      </w:r>
    </w:p>
    <w:p>
      <w:pPr/>
      <w:r>
        <w:rPr>
          <w:b/>
        </w:rPr>
        <w:t>Shared claim-specific concepts:</w:t>
      </w:r>
      <w:r>
        <w:t xml:space="preserve"> convergence, divergence, education; EU scope visible. This is a provisional connection, not an outcome finding.</w:t>
      </w:r>
    </w:p>
    <w:p>
      <w:pPr>
        <w:pStyle w:val="SourceNote"/>
      </w:pPr>
      <w:r>
        <w:rPr>
          <w:b/>
        </w:rPr>
        <w:t>Available abstract (not full text):</w:t>
      </w:r>
      <w:r>
        <w:t xml:space="preserve"> Although the EU is fundamentally an economic integration project, its social dimension has been important from the outset and has been further strengthened since 2017. However, during the EU’s eastern enlargements since 2004, social policy ambitions did not receive the attention they arguably merited. This partly explains why the subsequent two decades have been characterized by economic convergence alongside social divergence. This chapter demonstrates that employment and social policy constitute one of the areas where Hungarian domestic trends are most likely to diverge from broader European patterns. This divergence is evident in the weakening of social dialogue, the dismantling of the social safety net, prolonged wage restraint, and state redistribution policies that have tended to exacerbate rather than reduce inequalities. Additionally, insufficient investment in public education and public health starkly contrasts with the approaches adopted by most other Eastern member states. These developments not only reflect the policy priorities and performance of Hungarian governments but also underscore the limited effectiveness of the European Social Fund. Furthermore, the chapter shows that Fidesz-led Hungary has impeded common EU ambitions regarding labour and social affairs by not only attempting to thwart existing EU legislation but also actively obstructing most new EU init</w:t>
      </w:r>
    </w:p>
    <w:p>
      <w:pPr>
        <w:pStyle w:val="Heading2"/>
      </w:pPr>
      <w:r>
        <w:t>587. EFFECTS OF HYDROGEN PRODUCTION ON ECONOMIC GROWTH IN THE EUROPEAN UNION</w:t>
      </w:r>
    </w:p>
    <w:p>
      <w:pPr>
        <w:pStyle w:val="SourceNote"/>
      </w:pPr>
      <w:r>
        <w:rPr>
          <w:b/>
        </w:rPr>
        <w:t>Original source (2021):</w:t>
      </w:r>
      <w:r>
        <w:t xml:space="preserve"> https://doi.org/10.47535/1991auoes30(2)003</w:t>
      </w:r>
    </w:p>
    <w:p>
      <w:pPr/>
      <w:r>
        <w:t>Original wording (abstract; indexed_source_text_not_full_document_verified): In this article the author presents some aspects of the hydrogen market, this fuel is essential to support the European Union’s commitment to achieving climate neutrality by 2050. Decarbonisation leads to a significant increase in the role of electricity, which can cover the demand of over 50% of final energy by 2050, compared to about 20% today.</w:t>
      </w:r>
    </w:p>
    <w:p>
      <w:pPr/>
      <w:r>
        <w:rPr>
          <w:b/>
        </w:rPr>
        <w:t>POSSIBLE 2026:</w:t>
      </w:r>
      <w:r>
        <w:t xml:space="preserve"> Paleogeography of Europe, Central Asia, and Siberia in the Aalenian-Bathonian (Middle Jurassic) — https://doi.org/10.17223/25421379/39/6</w:t>
      </w:r>
    </w:p>
    <w:p>
      <w:pPr/>
      <w:r>
        <w:rPr>
          <w:b/>
        </w:rPr>
        <w:t>Shared claim-specific concepts:</w:t>
      </w:r>
      <w:r>
        <w:t xml:space="preserve"> article, presents, climate, over; EU scope visible. This is a provisional connection, not an outcome finding.</w:t>
      </w:r>
    </w:p>
    <w:p>
      <w:pPr>
        <w:pStyle w:val="SourceNote"/>
      </w:pPr>
      <w:r>
        <w:rPr>
          <w:b/>
        </w:rPr>
        <w:t>Available abstract (not full text):</w:t>
      </w:r>
      <w:r>
        <w:t xml:space="preserve"> The article presents an overview of published lithological, sedimentological, geochemical, paleontological, paleogeographic, paleobiogeographic, and paleoclimatic data on the Middle Jurassic deposits (mainly terrestrial) of Europe, Central Asia, and Siberia. As a result of the analysis and integration of these materials, the paleogeographic sketch maps of the Northern Eurasia land for the Aalenian, Bajocian, and Bathonian were refined and detailed, which reflect the main changes in accumulative and denudational landscapes. Sketch maps of climatic zoning for this area have been compiled. In the Middle Jurassic Europe was in the climate belt of humid climate. Its southern part was represented by the large archipelago surrounded by shallow epicontinental seas. The northern part of the continent was lowland, which sedimentation was controlled by Central North Sea Dome. On the area of Central Asia the temperate and subtropical climatic zones came into contact. Siberia was characterized by landscapes, where accumulation prevailed over denudation. A series of marine transgressions and regressions occurred in the Aalenian-Bathonian. There was a high-latitude moderately warm climate with a cooling in the Late Bajocian. The resulting maps can be used in biogeographic research. Contribution of the authors: the authors contributed equally to this article. The authors declare no conflicts o</w:t>
      </w:r>
    </w:p>
    <w:p>
      <w:pPr/>
      <w:r>
        <w:rPr>
          <w:b/>
        </w:rPr>
        <w:t>POSSIBLE 2026:</w:t>
      </w:r>
      <w:r>
        <w:t xml:space="preserve"> The influence of Gustav II Adolf's “Military Article” on the Russian “Military Article” of 1715 — https://doi.org/10.51885/3107-2755_ssadh_2026_2_14</w:t>
      </w:r>
    </w:p>
    <w:p>
      <w:pPr/>
      <w:r>
        <w:rPr>
          <w:b/>
        </w:rPr>
        <w:t>Shared claim-specific concepts:</w:t>
      </w:r>
      <w:r>
        <w:t xml:space="preserve"> article, author, presents, role; EU scope visible. This is a provisional connection, not an outcome finding.</w:t>
      </w:r>
    </w:p>
    <w:p>
      <w:pPr>
        <w:pStyle w:val="SourceNote"/>
      </w:pPr>
      <w:r>
        <w:rPr>
          <w:b/>
        </w:rPr>
        <w:t>Available abstract (not full text):</w:t>
      </w:r>
      <w:r>
        <w:t xml:space="preserve"> The article presents a comparative analysis of two military-legal documents of the 17th-18th centuries: the Swedish Articles of War of 1621, issued by King Gustavus II Adolphus and supplemented by Charles XI in 1683, and the Russian Military Article of 1715, compiled under Peter I. The author examines the influence of the Swedish document on the structure and content of the Russian Article, identifying both borrowed elements and original additions reflecting the specific features of the Russian military and legal system. Special attention is paid to issues of discipline, military jurisdiction, the definition of crimes and punishments, and legal procedures. The comparison of selected articles shows how Peter I adapted Western European norms to Russian conditions while retaining key principles from the Swedish model. The author concludes that although the Russian Article was based on the Swedish one, it was revised in accordance with national traditions, administrative context, and centralization goals. The study emphasizes the role of military articles in shaping a new legal culture, supporting absolutist governance, reinforcing discipline, and legitimizing state violence. This article will be of interest to legal historians, scholars of military and state history in Russia and Sweden, and researchers of legal norm transfer in Early Modern Europe. It also contributes to comparat</w:t>
      </w:r>
    </w:p>
    <w:p>
      <w:pPr/>
      <w:r>
        <w:rPr>
          <w:b/>
        </w:rPr>
        <w:t>POSSIBLE 2026:</w:t>
      </w:r>
      <w:r>
        <w:t xml:space="preserve"> Towards Hydrogen Law in the European Union and Europe? — https://doi.org/10.4324/9781003669654-18</w:t>
      </w:r>
    </w:p>
    <w:p>
      <w:pPr/>
      <w:r>
        <w:rPr>
          <w:b/>
        </w:rPr>
        <w:t>Shared claim-specific concepts:</w:t>
      </w:r>
      <w:r>
        <w:t xml:space="preserve"> hydrogen, union, energy; EU scope visible. This is a provisional connection, not an outcome finding.</w:t>
      </w:r>
    </w:p>
    <w:p>
      <w:pPr>
        <w:pStyle w:val="SourceNote"/>
      </w:pPr>
      <w:r>
        <w:rPr>
          <w:b/>
        </w:rPr>
        <w:t>Available abstract (not full text):</w:t>
      </w:r>
      <w:r>
        <w:t xml:space="preserve"> This concluding chapter adopts a holistic perspective to synthesise the insights presented across the volume, each of which examines distinct components of the emerging regulatory architecture on hydrogen. Drawing together these contributions, the chapter reflects on the gradual emergence of hydrogen law in Europe. Our analysis demonstrates that, although hydrogen law cannot yet be characterised as a coherent field of law, a notable degree of coherence nonetheless arises from the shared objectives underpinning the diverse regulatory measures currently in place. These common objectives enable us to conceptualise the evolving framework as a regulatory ecosystem, which is sufficiently flexible and dynamic to develop in parallel with the maturing hydrogen market it seeks to steer. The chapter offers an integrative perspective on how the EU&amp;s;s legal landscape is shaping, and being shaped by, the transition towards a hydrogen-based energy system.</w:t>
      </w:r>
    </w:p>
    <w:p>
      <w:pPr/>
      <w:r>
        <w:rPr>
          <w:b/>
        </w:rPr>
        <w:t>POSSIBLE 2026:</w:t>
      </w:r>
      <w:r>
        <w:t xml:space="preserve"> Towards European Hydrogen Market Design: Perspectives from Transmission System Operators — https://openalex.org/W7144391439</w:t>
      </w:r>
    </w:p>
    <w:p>
      <w:pPr/>
      <w:r>
        <w:rPr>
          <w:b/>
        </w:rPr>
        <w:t>Shared claim-specific concepts:</w:t>
      </w:r>
      <w:r>
        <w:t xml:space="preserve"> hydrogen, decarbonisation, electricity, over, final; EU scope visible. This is a provisional connection, not an outcome finding.</w:t>
      </w:r>
    </w:p>
    <w:p>
      <w:pPr>
        <w:pStyle w:val="SourceNote"/>
      </w:pPr>
      <w:r>
        <w:rPr>
          <w:b/>
        </w:rPr>
        <w:t>Available abstract (not full text):</w:t>
      </w:r>
      <w:r>
        <w:t xml:space="preserve"> Despite hydrogen being central to Europe's decarbonisation strategy, only a small share of renewable hydrogen projects reached final investment decision. A key barrier is uncertainty about how future hydrogen markets will be designed and operated, particularly under Renewable Fuels of Non-Biological Origin requirements. This study investigates the extent to which future hydrogen market design can be adapted from existing natural gas markets, and the challenges it must address. The analysis was based on a survey on future hydrogen market design targeting European gas transmission system operators, the stakeholder group responsible for operating the network and implementing the Network Codes. The survey provided an assessment of mechanism transferability and identified challenges for the early development of the hydrogen market. Core market design principles and trading frameworks are broadly transferable from natural gas markets, as entry-exit systems and virtual trading points. Capacity allocation requires targeted adaptation to improve coupling with electricity markets. Tariffs require adaptation through intertemporal cost allocation, distributing infrastructure costs over time to protect early adopters. Balancing regimes should be revisited to reflect hydrogen's physical characteristics and different linepack flexibility usages. Key challenges for early hydrogen markets inclu</w:t>
      </w:r>
    </w:p>
    <w:p>
      <w:pPr/>
      <w:r>
        <w:rPr>
          <w:b/>
        </w:rPr>
        <w:t>POSSIBLE 2026:</w:t>
      </w:r>
      <w:r>
        <w:t xml:space="preserve"> Sources of European Union competition law — https://doi.org/10.24144/2307-3322.2026.93.2.3</w:t>
      </w:r>
    </w:p>
    <w:p>
      <w:pPr/>
      <w:r>
        <w:rPr>
          <w:b/>
        </w:rPr>
        <w:t>Shared claim-specific concepts:</w:t>
      </w:r>
      <w:r>
        <w:t xml:space="preserve"> article, presents, union, achieving, significant, role; EU scope visible. This is a provisional connection, not an outcome finding.</w:t>
      </w:r>
    </w:p>
    <w:p>
      <w:pPr>
        <w:pStyle w:val="SourceNote"/>
      </w:pPr>
      <w:r>
        <w:rPr>
          <w:b/>
        </w:rPr>
        <w:t>Available abstract (not full text):</w:t>
      </w:r>
      <w:r>
        <w:t xml:space="preserve"> This article presents a comprehensive and systematic study of the sources of European Union competition law as a dynamic, multi-level legal system shaped by profound economic, technological and geopolitical transformations. The authors proceed from the premise that contemporary EU competition law has ceased to be exclusively an instrument for ensuring the functioning of the internal market and increasingly performs a strategic role in achieving objectives of economic resilience, digital transformation, strategic autonomy and crisis management in conditions of global instability. The paper advances the thesis that the system of sources of EU competition law is becoming more complex and evolving, driven by an expansion of regulatory fields, the growing role of supranational institutions and the emergence of new regulatory instruments. The authors provide a detailed analysis of primary EU law instruments, above all the Treaty on European Union and the Treaty on the Functioning of the European Union, which enshrine the fundamental principles of competition, establish the Union’s exclusive competence in this area and create the normative foundation for the operation of the internal market. It is shown that norms of primary law possess direct effect and play a key role in the formation of a unified competition law regime. Special attention is devoted to the analysis of EU secondary l</w:t>
      </w:r>
    </w:p>
    <w:p>
      <w:pPr/>
      <w:r>
        <w:rPr>
          <w:b/>
        </w:rPr>
        <w:t>POSSIBLE 2026:</w:t>
      </w:r>
      <w:r>
        <w:t xml:space="preserve"> Resource requirements and consequences of large-scale hydrogen use in Europe — https://doi.org/10.1038/s41893-026-01771-5</w:t>
      </w:r>
    </w:p>
    <w:p>
      <w:pPr/>
      <w:r>
        <w:rPr>
          <w:b/>
        </w:rPr>
        <w:t>Shared claim-specific concepts:</w:t>
      </w:r>
      <w:r>
        <w:t xml:space="preserve"> hydrogen, climate, electricity, energy; EU scope visible. This is a provisional connection, not an outcome finding.</w:t>
      </w:r>
    </w:p>
    <w:p>
      <w:pPr>
        <w:pStyle w:val="SourceNote"/>
      </w:pPr>
      <w:r>
        <w:rPr>
          <w:b/>
        </w:rPr>
        <w:t>Available abstract (not full text):</w:t>
      </w:r>
      <w:r>
        <w:t xml:space="preserve"> Abstract As European countries transition to fuels with lower climate change impact, distinct challenges may arise. Electrolytic hydrogen is central to planned developments in transportation and industry, but large-scale hydrogen production could have energy and environmental consequences. Here we simulate site-specific hydrogen demand distribution for Europe in 2050, to assess possible effects on local water use risks, regional electricity generation composition and cost, and total land use. Results show that around 20% of annual water use for hydrogen production is simulated to happen in areas with ‘extremely high’ projected risk of water stress, and local water stress caused by hydrogen production could become severe. Widespread electrolytic hydrogen use requires large investments in electricity generation, but the impacts on the marginal electricity cost to consumers could be small. The electricity generation system required for producing hydrogen or e-fuels would require less land than cultivating biomass for biofuels. The findings highlight the need for coordinated policy action to ensure that hydrogen deployment aligns with local water availability, regional electricity system development, land constraints and broader sustainability goals.</w:t>
      </w:r>
    </w:p>
    <w:p>
      <w:pPr/>
      <w:r>
        <w:rPr>
          <w:b/>
        </w:rPr>
        <w:t>POSSIBLE 2025:</w:t>
      </w:r>
      <w:r>
        <w:t xml:space="preserve"> Management of European Critical Infrastructures under the Conditions of Directive 2022/2557 of the European Parliament and of the Council of the European Union — https://doi.org/10.15804/athena.2025.88.08</w:t>
      </w:r>
    </w:p>
    <w:p>
      <w:pPr/>
      <w:r>
        <w:rPr>
          <w:b/>
        </w:rPr>
        <w:t>Shared claim-specific concepts:</w:t>
      </w:r>
      <w:r>
        <w:t xml:space="preserve"> article, presents, essential, union, energy; EU scope visible. This is a provisional connection, not an outcome finding.</w:t>
      </w:r>
    </w:p>
    <w:p>
      <w:pPr>
        <w:pStyle w:val="SourceNote"/>
      </w:pPr>
      <w:r>
        <w:rPr>
          <w:b/>
        </w:rPr>
        <w:t>Available abstract (not full text):</w:t>
      </w:r>
      <w:r>
        <w:t xml:space="preserve"> The article presents the results of research on the importance of European critical infrastructure in the current conditions of the security environment of Poland and the European Union. New challenges in this area were indicated. The research was conducted after the first year of the European Parliament’s Directive on the Resilience of Critical Entities. The results indicate that the Polish society is very interested in the issues of critical infrastructure protection. Respondents appreciated the importance of all sectors in which essential services are provided, with services directly related to the provision of subsistence needs, such as water, food and energy, the highest. The respondents rated the need to maintain efficient rescue systems relatively high. In the opinion of the authors of the article, this opinion could have been influenced by the Russian-Ukrainian war and the aggressive policy of the Russian Federation towards the European Union.</w:t>
      </w:r>
    </w:p>
    <w:p>
      <w:pPr/>
      <w:r>
        <w:rPr>
          <w:b/>
        </w:rPr>
        <w:t>POSSIBLE 2025:</w:t>
      </w:r>
      <w:r>
        <w:t xml:space="preserve"> Left-wing terrorism in Europe. Past and present. — https://doi.org/10.5604/01.3001.0055.6423</w:t>
      </w:r>
    </w:p>
    <w:p>
      <w:pPr/>
      <w:r>
        <w:rPr>
          <w:b/>
        </w:rPr>
        <w:t>Shared claim-specific concepts:</w:t>
      </w:r>
      <w:r>
        <w:t xml:space="preserve"> article, author, presents; EU scope visible. This is a provisional connection, not an outcome finding.</w:t>
      </w:r>
    </w:p>
    <w:p>
      <w:pPr>
        <w:pStyle w:val="SourceNote"/>
      </w:pPr>
      <w:r>
        <w:rPr>
          <w:b/>
        </w:rPr>
        <w:t>Available abstract (not full text):</w:t>
      </w:r>
      <w:r>
        <w:t xml:space="preserve"> In the article, the author presents the genesis and development of one of the trends of terrorism, which in the literature has such terms as: left-wing, revolutionary, anarchist, Marxist terrorism and its development in Europe in the past and present. Additional attention is paid to the current activity of left-wing terrorists and the influence of this threat on the current security of Europe. In addition, the most important terrorist organizations of this trend that have operated in the past or are still active in Europe have been presented.</w:t>
      </w:r>
    </w:p>
    <w:p>
      <w:pPr/>
      <w:r>
        <w:rPr>
          <w:b/>
        </w:rPr>
        <w:t>POSSIBLE 2025:</w:t>
      </w:r>
      <w:r>
        <w:t xml:space="preserve"> The European legal dimension of environmental safety — https://doi.org/10.24144/2307-3322.2025.91.5.15</w:t>
      </w:r>
    </w:p>
    <w:p>
      <w:pPr/>
      <w:r>
        <w:rPr>
          <w:b/>
        </w:rPr>
        <w:t>Shared claim-specific concepts:</w:t>
      </w:r>
      <w:r>
        <w:t xml:space="preserve"> article, presents, aspects, support, union, climate; EU scope visible. This is a provisional connection, not an outcome finding.</w:t>
      </w:r>
    </w:p>
    <w:p>
      <w:pPr>
        <w:pStyle w:val="SourceNote"/>
      </w:pPr>
      <w:r>
        <w:rPr>
          <w:b/>
        </w:rPr>
        <w:t>Available abstract (not full text):</w:t>
      </w:r>
      <w:r>
        <w:t xml:space="preserve"> The article is dedicated to the analysis of contemporary international and European legislation in the field of environmental safety and protection. Given that Ukraine’s current European and Euro-Atlantic integration is determined by the process of Ukraine’s rapprochement with the European Union, the authors first consider issues of legal support for environmental safety at the level of approaches and principles for the formation of national and local policies, European standards and legal dimensions in the environmental sphere. The purpose of the article is to review European legislation on environmental safety, its impact on national environmental policies in the European Union, as well as the scientific views of Ukrainian and European scholars on the processes of approximating national legislation to European legislation in the field of ecology, with the aim of deepening understanding of current and recent changes to Ukrainian national legislation, legal guidelines and dimensions that represent European legal discourse as a whole. The authors draw attention to current international and European environmental legislation, the development of environmental safety standards, the introduction of economic mechanisms and liability for violations, as well as the consideration of environmental aspects in the future foreign policy of EU member states. The authors attempted to study ge</w:t>
      </w:r>
    </w:p>
    <w:p>
      <w:pPr/>
      <w:r>
        <w:rPr>
          <w:b/>
        </w:rPr>
        <w:t>POSSIBLE 2025:</w:t>
      </w:r>
      <w:r>
        <w:t xml:space="preserve"> Hydrogen as a Renewable Fuel of Non-Biological Origins in the European Union—The Emerging Market and Regulatory Framework — https://doi.org/10.3390/en18030617</w:t>
      </w:r>
    </w:p>
    <w:p>
      <w:pPr/>
      <w:r>
        <w:rPr>
          <w:b/>
        </w:rPr>
        <w:t>Shared claim-specific concepts:</w:t>
      </w:r>
      <w:r>
        <w:t xml:space="preserve"> article, hydrogen, fuel, support, union, climate; EU scope visible. This is a provisional connection, not an outcome finding.</w:t>
      </w:r>
    </w:p>
    <w:p>
      <w:pPr>
        <w:pStyle w:val="SourceNote"/>
      </w:pPr>
      <w:r>
        <w:rPr>
          <w:b/>
        </w:rPr>
        <w:t>Available abstract (not full text):</w:t>
      </w:r>
      <w:r>
        <w:t xml:space="preserve"> The European Union continues to lead global efforts toward climate neutrality by developing a cohesive regulatory and market framework for alternative fuels, including renewable hydrogen. This review article critically examines the recent evolution of the EU’s policy landscape specifically for hydrogen as a renewable fuel of non-biological origin (RFNBO), highlighting its growing importance in hard-to-abate sectors such as industry and transportation. We assess the interplay of market-based mechanisms (e.g., EU ETS II), direct mandates (e.g., FuelEU Maritime, RED III), and support auction-based measures (e.g., the European Hydrogen Bank) that collectively shape both the demand and the supply of hydrogen as RFNBO fuel. The article also addresses emerging cost, capacity, and technical barriers—ranging from constrained electrolyzer deployment to complex certification requirements—that hinder large-scale adoption and market rollout. The article aims to discuss advancing and changing regulatory and market environment for the development of infrastructure and market for hydrogen as RFNBO fuel in the EU in 2019–2024. Synthesizing current research and policy developments, we propose targeted recommendations, including enhanced cross-border coordination and capacity-based incentives, to accelerate investment and infrastructure development. This review informs policymakers, industry stak</w:t>
      </w:r>
    </w:p>
    <w:p>
      <w:pPr/>
      <w:r>
        <w:rPr>
          <w:b/>
        </w:rPr>
        <w:t>POSSIBLE 2025:</w:t>
      </w:r>
      <w:r>
        <w:t xml:space="preserve"> Development of the Hydrogen Market and Local Green Hydrogen Offtake in Africa — https://doi.org/10.3390/hydrogen6030043</w:t>
      </w:r>
    </w:p>
    <w:p>
      <w:pPr/>
      <w:r>
        <w:rPr>
          <w:b/>
        </w:rPr>
        <w:t>Shared claim-specific concepts:</w:t>
      </w:r>
      <w:r>
        <w:t xml:space="preserve"> article, hydrogen, energy; EU scope not established. This is a provisional connection, not an outcome finding.</w:t>
      </w:r>
    </w:p>
    <w:p>
      <w:pPr>
        <w:pStyle w:val="SourceNote"/>
      </w:pPr>
      <w:r>
        <w:rPr>
          <w:b/>
        </w:rPr>
        <w:t>Available abstract (not full text):</w:t>
      </w:r>
      <w:r>
        <w:t xml:space="preserve"> Creating a hydrogen market in Africa is a great opportunity to assist in the promotion of sustainable energy solutions and economic growth. This article addresses the legislation and regulations that need to be developed to facilitate growth in the hydrogen market and allow local green hydrogen offtake across the continent. By reviewing current policy and strategy within particular African countries and best practices globally from key hydrogen economies, the review establishes compelling issues, challenges, and opportunities unique to Africa. The study identifies the immense potential in Africa for renewable energy, and, in particular, for solar and wind, as the foundation for the production of green hydrogen. It examines how effective policy frameworks can establish a vibrant hydrogen economy by bridging infrastructural gaps, cost hurdles, and regulatory barriers. The paper also addresses how local offtake contracts for green hydrogen can be used to stimulate economic diversification, energy security, and sustainable development. Policy advice is provided to assist African authorities and stakeholders in the deployment of enabling regulatory frameworks and the mobilization of funds. The paper contributes to global hydrogen energy discussions by introducing Africa as an eligible stakeholder in the emerging hydrogen economy and outlining prospects for its inclusion into regiona</w:t>
      </w:r>
    </w:p>
    <w:p>
      <w:pPr/>
      <w:r>
        <w:rPr>
          <w:b/>
        </w:rPr>
        <w:t>POSSIBLE 2025:</w:t>
      </w:r>
      <w:r>
        <w:t xml:space="preserve"> Language Use in Courts under International Law: Thoughts on the Applicability of Article 9 of the European Charter for Regional or Minority Languages in Hungary — https://doi.org/10.62152/hjms.2025.gyl</w:t>
      </w:r>
    </w:p>
    <w:p>
      <w:pPr/>
      <w:r>
        <w:rPr>
          <w:b/>
        </w:rPr>
        <w:t>Shared claim-specific concepts:</w:t>
      </w:r>
      <w:r>
        <w:t xml:space="preserve"> article, author, presents, commitment, role; EU scope visible. This is a provisional connection, not an outcome finding.</w:t>
      </w:r>
    </w:p>
    <w:p>
      <w:pPr>
        <w:pStyle w:val="SourceNote"/>
      </w:pPr>
      <w:r>
        <w:rPr>
          <w:b/>
        </w:rPr>
        <w:t>Available abstract (not full text):</w:t>
      </w:r>
      <w:r>
        <w:t xml:space="preserve"> Based on Ludwig Wittgenstein’s idea (“The limits of my language mean the limits of my world”), this study examines a specific dimension of minority language use, namely the right to use one’s language in court. It points out that the survival of a minority language presupposes not only the existence of a community of speakers but also a conscious, institutionalized commitment to language policy on the part of the state. As a normative framework, it juxtaposes the provisions of Article 6 of the European Convention on Human Rights and Article 9 of the European Charter for Regional or Minority Languages and presents the linguistic characteristics of criminal, civil, and administrative proceedings. The study argues that the structural weaknesses of Article 9 of the Language Charter (the minimization of enforceable rights, territorial and numerical restrictions, and judicial discretion in ensuring rights) carry the risk of undermining the right to language use in court. Using the example of a case study—the Constitutional Court’s Decision 2/2021. (I. 7.) AB—the author argues that in the current political environment, constitutional courts and supreme courts have a key role to play in interpreting and effectively enforcing language rights as a “living right.”</w:t>
      </w:r>
    </w:p>
    <w:p>
      <w:pPr>
        <w:pStyle w:val="Heading2"/>
      </w:pPr>
      <w:r>
        <w:t>588. EU climate and energy governance in times of crisis: towards a new agenda</w:t>
      </w:r>
    </w:p>
    <w:p>
      <w:pPr>
        <w:pStyle w:val="SourceNote"/>
      </w:pPr>
      <w:r>
        <w:rPr>
          <w:b/>
        </w:rPr>
        <w:t>Original source (2021):</w:t>
      </w:r>
      <w:r>
        <w:t xml:space="preserve"> https://doi.org/10.1080/13501763.2021.1918221</w:t>
      </w:r>
    </w:p>
    <w:p>
      <w:pPr/>
      <w:r>
        <w:t>Original wording (abstract; indexed_source_text_not_full_document_verified): As the EU seeks to fully decarbonise itself by 2050, interactions with the crisis trends are likely to intensify in ways which future research could fruitfully investigate.</w:t>
      </w:r>
    </w:p>
    <w:p>
      <w:pPr/>
      <w:r>
        <w:rPr>
          <w:b/>
        </w:rPr>
        <w:t>POSSIBLE 2026:</w:t>
      </w:r>
      <w:r>
        <w:t xml:space="preserve"> Reframing the Refugee Rentier State: Turkey in the European Refugee ‘Crisis’ — https://doi.org/10.3390/socsci15070457</w:t>
      </w:r>
    </w:p>
    <w:p>
      <w:pPr/>
      <w:r>
        <w:rPr>
          <w:b/>
        </w:rPr>
        <w:t>Shared claim-specific concepts:</w:t>
      </w:r>
      <w:r>
        <w:t xml:space="preserve"> seeks, itself, interactions, crisis; EU scope visible. This is a provisional connection, not an outcome finding.</w:t>
      </w:r>
    </w:p>
    <w:p>
      <w:pPr>
        <w:pStyle w:val="SourceNote"/>
      </w:pPr>
      <w:r>
        <w:rPr>
          <w:b/>
        </w:rPr>
        <w:t>Available abstract (not full text):</w:t>
      </w:r>
      <w:r>
        <w:t xml:space="preserve"> The refugee rentier state seeks to manipulate mass population movements to obtain economic and political/strategic ‘rents’, asserting itself in a way that challenges the premises of Global South marginality, disempowerment and exclusion within the international system. This article develops the concept of the refugee rentier state, which it understands as a political economy framework for analysing how host states transform refugee populations into sources of bargaining power within asymmetric systems of global governance, while showing how this “trading” feeds into economic vulnerabilities and exclusions associated with forced labour arrangements. It shows how refugee hosting can function as a strategic asset through which states extract economic and political/strategic rents from wealthier counterparts. Drawing on Turkey’s engagement with the European Union in the European refugee “crisis”, the article examines how refugee rentier strategies operate within, rather than outside, established migration governance regimes, giving rise to economic informality and partial labour market integration. In applying the rentier state model to EU–Turkey interactions, it situates refugee rentierism within the structural logic of EU migration externalisation and the institutional weaknesses of international refugee protection, while considering how they feed into the vulnerability of displa</w:t>
      </w:r>
    </w:p>
    <w:p>
      <w:pPr/>
      <w:r>
        <w:rPr>
          <w:b/>
        </w:rPr>
        <w:t>POSSIBLE 2026:</w:t>
      </w:r>
      <w:r>
        <w:t xml:space="preserve"> Assessing the future cost of hydrogen in a fully decarbonised Italian energy system: a comparison of myopic and perfect foresight optimisation approaches — https://doi.org/10.1016/j.ijhydene.2026.157058</w:t>
      </w:r>
    </w:p>
    <w:p>
      <w:pPr/>
      <w:r>
        <w:rPr>
          <w:b/>
        </w:rPr>
        <w:t>Shared claim-specific concepts:</w:t>
      </w:r>
      <w:r>
        <w:t xml:space="preserve"> fully; EU scope not established. This is a provisional connection, not an outcome finding.</w:t>
      </w:r>
    </w:p>
    <w:p>
      <w:pPr>
        <w:pStyle w:val="SourceNote"/>
      </w:pPr>
      <w:r>
        <w:rPr>
          <w:b/>
        </w:rPr>
        <w:t>Available abstract (not full text):</w:t>
      </w:r>
      <w:r>
        <w:t xml:space="preserve"> This study evaluates the role and cost dynamics of hydrogen in the energy transition towards carbon neutrality by 2050. Using the H2RES long-term optimisation tool, the research explores scenarios involving electrolyser technologies, hydrogen storage, and fuel cells, considering increasing hydrogen demand in hard-to-abate sectors. By optimising the system under both perfect foresight and myopic planning approaches, results indicate that alkaline electrolysers dominate deployment, while solid-oxide electrolysers gain traction in high-efficiency, low-cost scenarios. Fuel cells play a negligible role, except for solid oxide fuel cells under optimistic assumptions. Electrolyser capacity is projected to reach 40-70 GW, with the levelized cost of hydrogen dropping from €2.37/kg in 2030 to €1.49-€2.05/kg by 2050. Myopic approach results in up to 25% higher hydrogen costs due to less efficient infrastructure development. This work highlights that hydrogen's economic viability depends on integrated system planning and should not be assessed in isolation from broader energy system configurations.</w:t>
      </w:r>
    </w:p>
    <w:p>
      <w:pPr/>
      <w:r>
        <w:rPr>
          <w:b/>
        </w:rPr>
        <w:t>POSSIBLE 2026:</w:t>
      </w:r>
      <w:r>
        <w:t xml:space="preserve"> Identification of barriers to decarbonise the German steel industry as a basis for a feasibility assessment — https://doi.org/10.1016/j.enpol.2026.115373</w:t>
      </w:r>
    </w:p>
    <w:p>
      <w:pPr/>
      <w:r>
        <w:rPr>
          <w:b/>
        </w:rPr>
        <w:t>Shared claim-specific concepts:</w:t>
      </w:r>
      <w:r>
        <w:t xml:space="preserve"> decarbonise; EU scope visible. This is a provisional connection, not an outcome finding.</w:t>
      </w:r>
    </w:p>
    <w:p>
      <w:pPr>
        <w:pStyle w:val="SourceNote"/>
      </w:pPr>
      <w:r>
        <w:rPr>
          <w:b/>
        </w:rPr>
        <w:t>Available abstract (not full text):</w:t>
      </w:r>
      <w:r>
        <w:t xml:space="preserve"> Decarbonising the German steel industry requires not only mature low-carbon technologies, but also framework conditions that make their deployment feasible in practice. This study identifies the most critical barriers using a mixed-methods approach: 1) a systematic review of 42 publications and 2) semi-structured interviews with experts from all German primary steel producers. The review results in a comprehensive inventory of barriers associated with feasibility dimensions, which serves as a structured basis for the interviews. Experts weighted each barrier and highlighted the most important obstacles. The resulting ranking by practitioners differs markedly from rankings inferred from literature, suggesting that frequency of mention may be a weak indicator of practical relevance. Barriers with high consensus and importance relate to energy costs and the long-term availability of low-carbon electricity and hydrogen, regulatory certainty (EU ETS, CBAM, support schemes), international competition with global overcapacities, and the creation of lead markets for green steel. Socio-cultural barriers appear comparatively minor in this sectoral context. Methodologically, the study demonstrates a structured diagnostic approach: capturing the barrier landscape via literature, refining and prioritising through expert input, and translating top barriers into actionable indicators. The res</w:t>
      </w:r>
    </w:p>
    <w:p>
      <w:pPr/>
      <w:r>
        <w:rPr>
          <w:b/>
        </w:rPr>
        <w:t>POSSIBLE 2026:</w:t>
      </w:r>
      <w:r>
        <w:t xml:space="preserve"> Decarbonising the Haber-Bosch ammonia industry: from technical barriers to market deployment — https://doi.org/10.2760/2677610</w:t>
      </w:r>
    </w:p>
    <w:p>
      <w:pPr/>
      <w:r>
        <w:rPr>
          <w:b/>
        </w:rPr>
        <w:t>Shared claim-specific concepts:</w:t>
      </w:r>
      <w:r>
        <w:t xml:space="preserve"> trends; EU scope not established. This is a provisional connection, not an outcome finding.</w:t>
      </w:r>
    </w:p>
    <w:p>
      <w:pPr>
        <w:pStyle w:val="SourceNote"/>
      </w:pPr>
      <w:r>
        <w:rPr>
          <w:b/>
        </w:rPr>
        <w:t>Available abstract (not full text):</w:t>
      </w:r>
      <w:r>
        <w:t xml:space="preserve"> Ammonia is a key commodity, serving as a fertiliser, a feedstock for the chemical industry and an emerging energy carrier. The sector is heavily dependent on the fossil-fuel driven Haber-Bosch production route, which alone accounts for more than one third of the CO₂ emissions of the (petro)chemical industry. Decarbonising this route largely relies on the (i) integration of carbon capture, (ii) use of biomass derived hydrogen, and (iii) electrification. This report first maps the technical challenges of each pathway and then examines market deployment and R&amp;D trends. Results confirm that while carbon capture is a mature technology, high costs and regulatory uncertainty limit its uptake. On the contrary, the biomass-fed route suffers from low ammonia yields that restrict its potential for large-scale deployment in the future. Although coupling intermittent renewable energy with the continuous Haber-Bosch synthesis loop remains a major barrier of the electrified route, first-of-a-kind plants are already operational, with more projects planned in the future. This has been largely possible due to recent progress and innovations in operational solutions, such as advanced forecasting, optimisation and control systems. The necessary individual technologies are therefore largely available; what is needed now are incremental performance improvements and, most importantly, a system-level </w:t>
      </w:r>
    </w:p>
    <w:p>
      <w:pPr/>
      <w:r>
        <w:rPr>
          <w:b/>
        </w:rPr>
        <w:t>POSSIBLE 2025:</w:t>
      </w:r>
      <w:r>
        <w:t xml:space="preserve"> What Motivates Companies to Take the Decision to Decarbonise? — https://doi.org/10.3390/en18143780</w:t>
      </w:r>
    </w:p>
    <w:p>
      <w:pPr/>
      <w:r>
        <w:rPr>
          <w:b/>
        </w:rPr>
        <w:t>Shared claim-specific concepts:</w:t>
      </w:r>
      <w:r>
        <w:t xml:space="preserve"> decarbonise, crisis; EU scope not established. This is a provisional connection, not an outcome finding.</w:t>
      </w:r>
    </w:p>
    <w:p>
      <w:pPr>
        <w:pStyle w:val="SourceNote"/>
      </w:pPr>
      <w:r>
        <w:rPr>
          <w:b/>
        </w:rPr>
        <w:t>Available abstract (not full text):</w:t>
      </w:r>
      <w:r>
        <w:t xml:space="preserve"> Already more than 140 countries consider or have pledged to reach net-zero emission targets by 2050 or earlier and the share of global emissions falling into an emission pricing scheme has steeply increased over the past three years. Even where there are no direct implications for industry (yet), there is a series of subtle pressure points driving an increasing number of companies across the globe to work towards climate neutrality and pledging ambitious emission reduction goals. This article sheds light on the pressure points, the subtle triggers, the underlying considerations as well as the hoped-for benefits for industrial companies from achieving net-zero emissions. The observations and ideas presented in this paper are derived from quantitative data obtained via the Energy Efficiency Index of German Industry (EEI) and qualitative data. Not only societal, work force, supply chain and investor expectations play a large role, but also many strategic considerations which have the potential to make the company more resilient and profitable, particularly in time of crisis. Those companies that do not move towards decarbonisation, on the other hand, may face a costly late-mover disadvantage. This piece uncovers subtle interconnections, helping stakeholders from industry and beyond to grasp opportunities and challenges ahead.</w:t>
      </w:r>
    </w:p>
    <w:p>
      <w:pPr/>
      <w:r>
        <w:rPr>
          <w:b/>
        </w:rPr>
        <w:t>POSSIBLE 2025:</w:t>
      </w:r>
      <w:r>
        <w:t xml:space="preserve"> Polycrisis patterns: applying system archetypes to crisis interactions — https://doi.org/10.1017/sus.2025.21</w:t>
      </w:r>
    </w:p>
    <w:p>
      <w:pPr/>
      <w:r>
        <w:rPr>
          <w:b/>
        </w:rPr>
        <w:t>Shared claim-specific concepts:</w:t>
      </w:r>
      <w:r>
        <w:t xml:space="preserve"> interactions, crisis, ways; EU scope not established. This is a provisional connection, not an outcome finding.</w:t>
      </w:r>
    </w:p>
    <w:p>
      <w:pPr>
        <w:pStyle w:val="SourceNote"/>
      </w:pPr>
      <w:r>
        <w:rPr>
          <w:b/>
        </w:rPr>
        <w:t>Available abstract (not full text):</w:t>
      </w:r>
      <w:r>
        <w:t xml:space="preserve"> Abstract Non-technical summary: The world is facing multiple interconnected crises, from climate change and economic instability to social inequalities and geopolitical tensions. These crises do not occur in isolation; instead, they interact, reinforce each other, and create unexpected ripple effects – forming what is known as a polycrisis. Traditional ways of analysing problems often fail to grasp these interdependencies, making it difficult to find effective responses. We draw on system archetypes to describe and exemplify three polycrisis patterns. These provide a structured way to analyse how multiple crises unfold and interact, as well as insights into how to navigate such complexity. Technical summary: The concept of a polycrisis describes the complex interconnections between global issues, which can lead to unexpected emergent behaviours and the possible convergence of undesirable impacts. Understanding these dynamics is crucial for anticipating compounded effects and for identifying leverage points for effective intervention. We propose that system archetypes – generic structures in system dynamics that capture recurring patterns of behaviour – can serve as a useful analytical tool to study polycrises. Specifically, we reinterpret three key system archetypes in this context: Converging Constraints (based on the Limits to Growth system archetype), Deepening Divides (base</w:t>
      </w:r>
    </w:p>
    <w:p>
      <w:pPr/>
      <w:r>
        <w:rPr>
          <w:b/>
        </w:rPr>
        <w:t>POSSIBLE 2024:</w:t>
      </w:r>
      <w:r>
        <w:t xml:space="preserve"> Synthetic Fuels for Decarbonising UK Rural Transport — https://doi.org/10.3390/encyclopedia4040101</w:t>
      </w:r>
    </w:p>
    <w:p>
      <w:pPr/>
      <w:r>
        <w:rPr>
          <w:b/>
        </w:rPr>
        <w:t>Shared claim-specific concepts:</w:t>
      </w:r>
      <w:r>
        <w:t xml:space="preserve"> fully; EU scope not established. This is a provisional connection, not an outcome finding.</w:t>
      </w:r>
    </w:p>
    <w:p>
      <w:pPr>
        <w:pStyle w:val="SourceNote"/>
      </w:pPr>
      <w:r>
        <w:rPr>
          <w:b/>
        </w:rPr>
        <w:t>Available abstract (not full text):</w:t>
      </w:r>
      <w:r>
        <w:t xml:space="preserve"> Decarbonising transport is a crucial element of the UK’s strategy to achieve net-zero carbon emissions by 2050, as the transport sector is currently the largest contributor to the UK’s greenhouse gas emissions. Rural communities face distinct challenges in this effort due to their reliance on internal combustion engines (ICEs) across vehicles and machinery essential for daily life, including farming equipment and private transport. While the upcoming ban on new petrol and diesel vehicles paves the way for the adoption of Electric Vehicles (EVs), this solution may not fully address the unique needs of rural areas where infrastructure limitations and specific mobility requirements pose significant barriers. In this context, synthetic fuels, produced using renewable energy sources, offer a potential alternative. These fuels can be used directly in existing internal combustion engines without requiring major modifications and have the added benefit of reducing overall greenhouse gas emissions by capturing CO2 during production. This entry explores the potential advantages of adopting synthetic fuels, particularly in rural areas, and examines how community-based buying cooperatives could support their wider use through bulk purchasing, cost reduction, and community empowerment.</w:t>
      </w:r>
    </w:p>
    <w:p>
      <w:pPr/>
      <w:r>
        <w:rPr>
          <w:b/>
        </w:rPr>
        <w:t>POSSIBLE 2024:</w:t>
      </w:r>
      <w:r>
        <w:t xml:space="preserve"> Green health: how to decarbonise global healthcare systems — https://doi.org/10.1186/s42055-024-00098-3</w:t>
      </w:r>
    </w:p>
    <w:p>
      <w:pPr/>
      <w:r>
        <w:rPr>
          <w:b/>
        </w:rPr>
        <w:t>Shared claim-specific concepts:</w:t>
      </w:r>
      <w:r>
        <w:t xml:space="preserve"> decarbonise, crisis; EU scope not established. This is a provisional connection, not an outcome finding.</w:t>
      </w:r>
    </w:p>
    <w:p>
      <w:pPr>
        <w:pStyle w:val="SourceNote"/>
      </w:pPr>
      <w:r>
        <w:rPr>
          <w:b/>
        </w:rPr>
        <w:t>Available abstract (not full text):</w:t>
      </w:r>
      <w:r>
        <w:t xml:space="preserve"> Healthcare systems are major emitters of greenhouse gases that contribute to climate change. The resulting climate crisis harms human and planetary health and increasingly impacts lives on Earth. Because of their status as high emitters and their social role in society, healthcare systems have a clear obligation to decarbonise. This study investigates how healthcare systems worldwide can lower their greenhouse gas emissions and thereby contribute to global climate action. We performed a systematic literature review, searching PubMed, GreenFILE, Business Source Complete and CINAHL for relevant empirical studies, non-research papers and grey literature published between 1 January 2018 and 28 March 2023. The Greenhouse Gas Protocol applied to healthcare systems guided thematic and descriptive analyses to explore interventions targeted at scope 1, 2 and 3 emissions. The PRISMA guidelines were followed for reporting and synthesising the results. A total of 742 publications were initially identified, 230 of which were included in the systematic literature review, comprising 96 empirical studies, 132 non-research papers and two governmental reports. Numerous conventional and unique decarbonisation actions related to healthcare have been reported in the literature. Eight themes were identified: transportation, anaesthesia, energy, travel, supply chain, clinical practices, planetary hea</w:t>
      </w:r>
    </w:p>
    <w:p>
      <w:pPr/>
      <w:r>
        <w:rPr>
          <w:b/>
        </w:rPr>
        <w:t>POSSIBLE 2024:</w:t>
      </w:r>
      <w:r>
        <w:t xml:space="preserve"> A modelling tool selection for decarbonising industrial process heat systems — https://doi.org/10.1016/j.rser.2024.115149</w:t>
      </w:r>
    </w:p>
    <w:p>
      <w:pPr/>
      <w:r>
        <w:rPr>
          <w:b/>
        </w:rPr>
        <w:t>Shared claim-specific concepts:</w:t>
      </w:r>
      <w:r>
        <w:t xml:space="preserve"> decarbonise, trends; EU scope not established. This is a provisional connection, not an outcome finding.</w:t>
      </w:r>
    </w:p>
    <w:p>
      <w:pPr>
        <w:pStyle w:val="SourceNote"/>
      </w:pPr>
      <w:r>
        <w:rPr>
          <w:b/>
        </w:rPr>
        <w:t>Available abstract (not full text):</w:t>
      </w:r>
      <w:r>
        <w:t xml:space="preserve"> Industrial Process Heat systems are critical to various industrial processes, representing a significant share of global energy use and emissions. Effective modelling of these systems is essential for evaluating long-term economic and environmental impacts of different technologies. This modelling approach must integrate internal process-specific parameters, such as heat demand dynamics and technological metrics, alongside broader factors like energy costs, emissions policies, and resource availability. This research introduces a comprehensive framework for selecting tools to model industrial process heat systems, focusing on technological, economic, and environmental performance. An initial evaluation of twenty-five tools led to the shortlisting of five based on criteria such as modelling accuracy, scalability, data handling, compatibility with industrial systems, and environmental impacts. Using software engineering principles, a systematic selection process was developed to categorise tools based on essential and desirable capabilities. This framework was validated through an example application, incorporating both technical and practical considerations. The findings highlight the importance of integrating dynamic simulation capabilities with real-time data analysis to improve evaluation accuracy and emphasise user-friendly interfaces to broader industry adoption. The study </w:t>
      </w:r>
    </w:p>
    <w:p>
      <w:pPr/>
      <w:r>
        <w:rPr>
          <w:b/>
        </w:rPr>
        <w:t>POSSIBLE 2024:</w:t>
      </w:r>
      <w:r>
        <w:t xml:space="preserve"> Decarbonise Now: Securing A Greener, Cleaner, Better Industrial Future — https://openalex.org/W7112488410</w:t>
      </w:r>
    </w:p>
    <w:p>
      <w:pPr/>
      <w:r>
        <w:rPr>
          <w:b/>
        </w:rPr>
        <w:t>Shared claim-specific concepts:</w:t>
      </w:r>
      <w:r>
        <w:t xml:space="preserve"> decarbonise; EU scope not established. This is a provisional connection, not an outcome finding.</w:t>
      </w:r>
    </w:p>
    <w:p>
      <w:pPr>
        <w:pStyle w:val="SourceNote"/>
      </w:pPr>
      <w:r>
        <w:rPr>
          <w:b/>
        </w:rPr>
        <w:t>Available abstract (not full text):</w:t>
      </w:r>
      <w:r>
        <w:t xml:space="preserve"> If we do not succeed in decarbonising our industries, net zero will not succeed. Industry, which includes ores and minerals mining, manufacturing, construction and waste management, accounted for approximately 24% of total net anthropogenic GHG emissions in 2019, this total can be increased up to around 34% if emissions from electricity and heat production are attributed to their use in the sector. A key message from the IPCC’s 2022 report on the mitigation of climate change stated: “Net zero CO2 emissions from the industrial sector are challenging but possible. Reducing industry emissions will entail coordinated action throughout value chains to promote all mitigation options, including demand management, energy and materials efficiency, circular material flows, as well as abatement technologies and transformational changes in production processes. Progressing towards net zero GHG emissions from industry will be enabled by the adoption of new production processes using low- and zero-GHG electricity, hydrogen, fuels, and carbon management.” Further, industrial clusters account for 15%- 20% of global CO2 emissions. Therefore, it is evident that governments need to develop robust industrial decarbonisation strategies and accelerate the speed of implementation. This report follows the Independent Net Zero Review, focusing on the Energy Intensives and Industry Mission. The Independ</w:t>
      </w:r>
    </w:p>
    <w:p>
      <w:pPr/>
      <w:r>
        <w:rPr>
          <w:b/>
        </w:rPr>
        <w:t>POSSIBLE 2024:</w:t>
      </w:r>
      <w:r>
        <w:t xml:space="preserve"> Breaking Coal Lock-In: Unravelling the Policy Hurdles to Decarbonising Indonesia’s Energy Sector — https://doi.org/10.31947/jakpp.v10i2.35427</w:t>
      </w:r>
    </w:p>
    <w:p>
      <w:pPr/>
      <w:r>
        <w:rPr>
          <w:b/>
        </w:rPr>
        <w:t>Shared claim-specific concepts:</w:t>
      </w:r>
      <w:r>
        <w:t xml:space="preserve"> seeks, itself, ways; EU scope not established. This is a provisional connection, not an outcome finding.</w:t>
      </w:r>
    </w:p>
    <w:p>
      <w:pPr>
        <w:pStyle w:val="SourceNote"/>
      </w:pPr>
      <w:r>
        <w:rPr>
          <w:b/>
        </w:rPr>
        <w:t>Available abstract (not full text):</w:t>
      </w:r>
      <w:r>
        <w:t xml:space="preserve"> The Indonesian government has ratified the 2015 Paris Agreement, thereby committing itself to a climate commitment to achieve zero carbon emissions by 2060 and to keep the Earth's temperature rise within 1.5 degrees Celsius above the pre-industrial average. This commitment is being implemented in various ways, including the decarbonisation of the electricity sector. This policy was promulgated in Presidential Regulation 112/2022 regarding acceleration of renewable energy development and Ministry of Finance Regulation 103/2023 on the fiscal support of energy transition. In this case, many aspects such as institutionalisation, visibility, intentionality, risk avoidance, and differences of interest appear to lead to procedural policy outcomes which later determine th decarbonisation rate of Coal-Fired Power Plants (CFPP). This article seeks to examine the procedural aspects of the early coal-fired power plant retirement policy innovation, based on Howlett's (2014) theory of climate policy innovation. This research employs qualitative methods, including in-depth interviews with stakeholders and literature studies. This article explains that the policy formulation in Presidential Regulation 112/2022 tends to be procedurally negative and hampers several CFPPs' early retirement processes in West Java and Banten. The weaknesses of this policy are clearly visible in the form of administ</w:t>
      </w:r>
    </w:p>
    <w:p>
      <w:pPr/>
      <w:r>
        <w:rPr>
          <w:b/>
        </w:rPr>
        <w:t>POSSIBLE 2022:</w:t>
      </w:r>
      <w:r>
        <w:t xml:space="preserve"> Decarbonising Economies — https://doi.org/10.1017/9781108934039</w:t>
      </w:r>
    </w:p>
    <w:p>
      <w:pPr/>
      <w:r>
        <w:rPr>
          <w:b/>
        </w:rPr>
        <w:t>Shared claim-specific concepts:</w:t>
      </w:r>
      <w:r>
        <w:t xml:space="preserve"> ways; EU scope not established. This is a provisional connection, not an outcome finding.</w:t>
      </w:r>
    </w:p>
    <w:p>
      <w:pPr>
        <w:pStyle w:val="SourceNote"/>
      </w:pPr>
      <w:r>
        <w:rPr>
          <w:b/>
        </w:rPr>
        <w:t>Available abstract (not full text):</w:t>
      </w:r>
      <w:r>
        <w:t xml:space="preserve"> Based on an interdisciplinary investigation of future visions, scenarios, and case-studies of low carbon innovation taking place across economic domains, Decarbonising Economies analyses the ways in which questions of agency, power, geography and materiality shape the conditions of possibility for a low carbon future. It explores how and why the challenge of changing our economies are variously ascribed to a lack of finance, a lack of technology, a lack of policy and a lack of public engagement, and shows how the realities constraining change are more fundamentally tied to the inertia of our existing high carbon society and limited visions for what a future low carbon world might become. Through showcasing the first seeds of innovation seeking to enable transformative change, Decarbonising Economies will also chart a course for future research and policy action towards our climate goals. This title is also available as Open Access on Cambridge Core.</w:t>
      </w:r>
    </w:p>
    <w:p>
      <w:pPr>
        <w:pStyle w:val="Heading2"/>
      </w:pPr>
      <w:r>
        <w:t>589. EUROPEAN UNION STRATEGIC AUTONOMY IN THE CONTEXT OF THE CONFERENCE ON THE FUTURE OF EUROPE</w:t>
      </w:r>
    </w:p>
    <w:p>
      <w:pPr>
        <w:pStyle w:val="SourceNote"/>
      </w:pPr>
      <w:r>
        <w:rPr>
          <w:b/>
        </w:rPr>
        <w:t>Original source (2021):</w:t>
      </w:r>
      <w:r>
        <w:t xml:space="preserve"> https://doi.org/10.61801/auoc-sp.2021.04</w:t>
      </w:r>
    </w:p>
    <w:p>
      <w:pPr/>
      <w:r>
        <w:t>Original wording (abstract; indexed_source_text_not_full_document_verified): The main goal of this paper is to discuss the need for EU to achieve strategic autonomy in the upcoming years and shed light on how this concept is shaping EU's future.The question underpinning this research is focused on the reasons why strengthening EU's strategic autonomy matters so much in shaping said future.Strategic autonomy cannot be limited only to security and defense, as many more fields need to embed this concept in 2021.In this sense, the paper does not address directly the complementarity with NATO and the defense and security dimension of strategic autonomy, but rather focuses on the political and economic implications of EU's strategic autonomy.Also, as more global actors begin to review their dependencies and try to identify alternatives, especially after the Covid-19 crisis, a more in-depth and a multi-pronged approach is required in relation to the geopolitical interests of external actors and their impact on creating a stronger European strategic autonomy.The paper also addresses the idea that the strategic autonomy is rather a question of survival of the European project, otherwise EU is running the risk of becoming irrelevant in the event that its "weight" and economic power in the world would diminish to worrying levels.Thirty years ago, EU represented 25% of the global wealth.It is foreseen that in 20 years, EU will not represent more than 11% of the world's GNP, far behind China and the US.Ultimately, the paper focuses on the compelling role the EU needs to take as a global leading leader in order to protect and promote its values and interests worldwide and to address the current geopolitical challenges.There is no better starting point for this than to engage in an extensive and inclusive dialogue with the citizens about the way ahead, and the Conference on the Future of the EU seems to be the appropriate platform.The topics of the Conference included amongst other, climate change, jobs and economy, EU's role in the world, or digitalization issues.In other words, every priority that needs to adapted to the logic of strategic autonomy and help EU build a stronger profile in the global landscape.</w:t>
      </w:r>
    </w:p>
    <w:p>
      <w:pPr/>
      <w:r>
        <w:rPr>
          <w:b/>
        </w:rPr>
        <w:t>POSSIBLE 2026:</w:t>
      </w:r>
      <w:r>
        <w:t xml:space="preserve"> The European Commission’s Commitment to Increasing the Social Legitimacy of the European Green Deal Strategy — https://doi.org/10.33067/se.1.2026.17</w:t>
      </w:r>
    </w:p>
    <w:p>
      <w:pPr/>
      <w:r>
        <w:rPr>
          <w:b/>
        </w:rPr>
        <w:t>Shared claim-specific concepts:</w:t>
      </w:r>
      <w:r>
        <w:t xml:space="preserve"> main, goal, strategic, concept, reasons, limited; EU scope visible. This is a provisional connection, not an outcome finding.</w:t>
      </w:r>
    </w:p>
    <w:p>
      <w:pPr>
        <w:pStyle w:val="SourceNote"/>
      </w:pPr>
      <w:r>
        <w:rPr>
          <w:b/>
        </w:rPr>
        <w:t>Available abstract (not full text):</w:t>
      </w:r>
      <w:r>
        <w:t xml:space="preserve"> The main goal of this paper is to explain the activities undertaken by the European Commission (EC), as a key political actor in the EU, to increase the social legitimacy of the European Green Deal (EGD) strategy among Europeans. The EGD, as a long-term strategy for the EU’s development until 2050, constitutes an economic and environmental project with a clear political and identity dimension. The authors argue that its aim is to build a new vision of a united Europe based on the values of sustainable development and climate neutrality. The analysis is based on the concept of social legitimacy and the theory of actor-centred constructivism, with a particular emphasis on the role of the EC as an entity that creates norms, narratives, and policy instruments. This article identifies the main reasons for the low level of social legitimacy of the EGD, which include concerns about the costs of transformation, the uneven distribution of its socio-economic effects, a lack of trust in public institutions, and limited transparency in communication. The empirical section discusses the instruments used by the EC to strengthen the legitimacy of the EGD, particularly the redistributive and investment mechanisms such as the Just Transition Fund and the Social Climate Fund, as well as the withdrawal from the most controversial sectoral reforms. The conclusions indicate that this strategy is se</w:t>
      </w:r>
    </w:p>
    <w:p>
      <w:pPr/>
      <w:r>
        <w:rPr>
          <w:b/>
        </w:rPr>
        <w:t>POSSIBLE 2026:</w:t>
      </w:r>
      <w:r>
        <w:t xml:space="preserve"> Customs strategy of Ukraine as a tool for achieving sustainable development goals — https://doi.org/10.26565/2786-4995-2026-1-15</w:t>
      </w:r>
    </w:p>
    <w:p>
      <w:pPr/>
      <w:r>
        <w:rPr>
          <w:b/>
        </w:rPr>
        <w:t>Shared claim-specific concepts:</w:t>
      </w:r>
      <w:r>
        <w:t xml:space="preserve"> main, strategic, limited; EU scope visible. This is a provisional connection, not an outcome finding.</w:t>
      </w:r>
    </w:p>
    <w:p>
      <w:pPr>
        <w:pStyle w:val="SourceNote"/>
      </w:pPr>
      <w:r>
        <w:rPr>
          <w:b/>
        </w:rPr>
        <w:t>Available abstract (not full text):</w:t>
      </w:r>
      <w:r>
        <w:t xml:space="preserve"> The article examines the customs strategy of Ukraine as a component of state economic policy and a tool for achieving the Sustainable Development Goals. The object of the study is the customs system of Ukraine in the unity of three key elements: customs taxation, customs administration and the system of customs authorities, which are formed and transformed in the context of military challenges, European integration and global economic changes. Problem statement. The main problem is the insufficient integration of the principles of sustainable development into the customs strategy of Ukraine, which in practice remains predominantly fiscally and institutionally oriented, with limited consideration of environmental, social and regional aspects. Unresolved aspects. Gaps have been identified regarding the environmental dimension of customs taxation, the implementation of circular economy principles, the assessment of the impact of customs decisions on the achievement of the SDGs, the development of environmental risk management, as well as issues of inclusiveness, gender equality and interdepartmental coordination. Purpose of the article. The aim is to scientifically substantiate the role of Ukraine's customs strategy in achieving the Sustainable Development Goals and to identify areas for its improvement, taking into account the provisions of the National Revenue Strategy until 203</w:t>
      </w:r>
    </w:p>
    <w:p>
      <w:pPr/>
      <w:r>
        <w:rPr>
          <w:b/>
        </w:rPr>
        <w:t>POSSIBLE 2026:</w:t>
      </w:r>
      <w:r>
        <w:t xml:space="preserve"> European strategic antinomy — https://doi.org/10.1016/j.polgeo.2026.103616</w:t>
      </w:r>
    </w:p>
    <w:p>
      <w:pPr/>
      <w:r>
        <w:rPr>
          <w:b/>
        </w:rPr>
        <w:t>Shared claim-specific concepts:</w:t>
      </w:r>
      <w:r>
        <w:t xml:space="preserve"> strategic, autonomy, concept, focused, matters, much; EU scope visible. This is a provisional connection, not an outcome finding.</w:t>
      </w:r>
    </w:p>
    <w:p>
      <w:pPr>
        <w:pStyle w:val="SourceNote"/>
      </w:pPr>
      <w:r>
        <w:rPr>
          <w:b/>
        </w:rPr>
        <w:t>Available abstract (not full text):</w:t>
      </w:r>
      <w:r>
        <w:t xml:space="preserve"> Over the last decade, “strategic autonomy” has emerged as a key geonarrative in debates on EUrope's relation to the world. Initially focused more narrowly on matters of security and defence, it is now being applied to a much wider set of issues. Confronted with the rise of non-Western powers, uncertainties about the future of transatlantic relations, and a wide-spread sense that one-sided dependencies must be reduced, the concept of strategic autonomy is the lens through which EUrope tries to address a broad array of geopolitical and geoeconomic challenges. Yet, Europe struggles to come to terms with the “geo” in geopolitics and geoeconomic. The article advances the argument that these difficulties are an effect of EUrope's self-description and self-observation in universal terms: Obviously, EUrope recognizes the presence of other players on the international scene. But to the extent that European modernity is seen as universal rather than merely European the organization of political space in terms of difference (e.g. geopolitical or geoeconomic competition) runs into contradictions. EUrope envisions itself both as a province among provinces (competing with China and increasingly also the US) and it retains the ambition to singularly represent the world. In a nutshell, casting itself in universal terms, EUrope struggles to process and acknowledge difference, and faced with dif</w:t>
      </w:r>
    </w:p>
    <w:p>
      <w:pPr/>
      <w:r>
        <w:rPr>
          <w:b/>
        </w:rPr>
        <w:t>POSSIBLE 2026:</w:t>
      </w:r>
      <w:r>
        <w:t xml:space="preserve"> European Strategic Autonomy and France — https://doi.org/10.36250/01328_11</w:t>
      </w:r>
    </w:p>
    <w:p>
      <w:pPr/>
      <w:r>
        <w:rPr>
          <w:b/>
        </w:rPr>
        <w:t>Shared claim-specific concepts:</w:t>
      </w:r>
      <w:r>
        <w:t xml:space="preserve"> main, strategic, autonomy, concept, said, security; EU scope visible. This is a provisional connection, not an outcome finding.</w:t>
      </w:r>
    </w:p>
    <w:p>
      <w:pPr>
        <w:pStyle w:val="SourceNote"/>
      </w:pPr>
      <w:r>
        <w:rPr>
          <w:b/>
        </w:rPr>
        <w:t>Available abstract (not full text):</w:t>
      </w:r>
      <w:r>
        <w:t xml:space="preserve"> Introductory thoughtsThe expression "strategic autonomy" is associated with France.It was first mentioned in the so-called "Defence White Paper" published in 1994.The term, which has been common in French public life since the 1990s, first appeared at European level in 2013.The French approach is therefore particularly interesting when it comes to understanding how it is applied at the European level.In order to present the concept of European strategic autonomy from a French perspective, it is essential to examine factors such as France's current position in the world.It is also important to look at the main traditional principles that have shaped French foreign and defence policy.It is also worth mentioning the international challenges that continue to shape French strategic thinking today.In this context, it is possible to analyse France's approach to the European Union's common security and defence policy issues and the objectives set by Paris.The idea of European strategic autonomy, which President Emmanuel Macron has put forward in recent years, is an integral part of the French traditional approach and its response to international challenges.For the governments in Paris, it is not a new realisation that France's privileged position in the post-Second World War international system has become increasingly eroded and constrained, and even vulnerable in certain areas, with</w:t>
      </w:r>
    </w:p>
    <w:p>
      <w:pPr/>
      <w:r>
        <w:rPr>
          <w:b/>
        </w:rPr>
        <w:t>POSSIBLE 2025:</w:t>
      </w:r>
      <w:r>
        <w:t xml:space="preserve"> Legal, Ethical, and Social Issues of AI and Law Enforcement in Europe — https://doi.org/10.1017/9781009367783.022</w:t>
      </w:r>
    </w:p>
    <w:p>
      <w:pPr/>
      <w:r>
        <w:rPr>
          <w:b/>
        </w:rPr>
        <w:t>Shared claim-specific concepts:</w:t>
      </w:r>
      <w:r>
        <w:t xml:space="preserve"> main, goal, discuss; EU scope visible. This is a provisional connection, not an outcome finding.</w:t>
      </w:r>
    </w:p>
    <w:p>
      <w:pPr>
        <w:pStyle w:val="SourceNote"/>
      </w:pPr>
      <w:r>
        <w:rPr>
          <w:b/>
        </w:rPr>
        <w:t>Available abstract (not full text):</w:t>
      </w:r>
      <w:r>
        <w:t xml:space="preserve"> The main goal of this chapter is to introduce one type of AI used for law enforcement, namely predictive policing, and to discuss the main legal, ethical, and social concerns this raises. In the last two decades, police forces in Europe and in North America have increasingly invested in predictive policing applications. Two types of predictive policing will be discussed: predictive mapping and predictive identification. After discussing these two practices and what is known about their effectiveness, I discuss the legal, ethical, and social issues they raise, covering aspects relating to their efficacy, governance, and organizational use, as well as the impact they have on citizens and society.</w:t>
      </w:r>
    </w:p>
    <w:p>
      <w:pPr/>
      <w:r>
        <w:rPr>
          <w:b/>
        </w:rPr>
        <w:t>POSSIBLE 2025:</w:t>
      </w:r>
      <w:r>
        <w:t xml:space="preserve"> THE ROLE OF STRATEGIC LEADERSHIP IN EMPOWERING STRATEGIC HRM TO ACHIEVE STRATEGIC GOALS: A STUDY ON PALESTINIAN PHARMACEUTICAL COMPANIES — https://openalex.org/W7216799856</w:t>
      </w:r>
    </w:p>
    <w:p>
      <w:pPr/>
      <w:r>
        <w:rPr>
          <w:b/>
        </w:rPr>
        <w:t>Shared claim-specific concepts:</w:t>
      </w:r>
      <w:r>
        <w:t xml:space="preserve"> main, achieve, strategic; EU scope not established. This is a provisional connection, not an outcome finding.</w:t>
      </w:r>
    </w:p>
    <w:p>
      <w:pPr>
        <w:pStyle w:val="SourceNote"/>
      </w:pPr>
      <w:r>
        <w:rPr>
          <w:b/>
        </w:rPr>
        <w:t>Available abstract (not full text):</w:t>
      </w:r>
      <w:r>
        <w:t xml:space="preserve"> This study aimed to analyze the role of strategic leadership in empowering Strategic Human Resource Management (SHRM) to achieve strategic objectives within Palestinian pharmaceutical companies, amid the political, economic, and administrative challenges facing this vital sector. The study adopted a descriptive-analytical approach and employed a questionnaire to collect data from a sample of 182 administrative employees working in pharmaceutical companies operating in Palestine. The research instrument was designed around four main dimensions of strategic leadership: engaging human resources in strategic planning, allocating resources and providing organizational support, building an empowerment-based institutional culture, and adopting a transformational/entrepreneurial leadership style. The results revealed that all dimensions of strategic leadership had a significant impact on the empowerment of SHRM. Moreover, the findings showed no statistically significant differences attributed to gender, educational qualification, or years of experience. The study emphasized the importance of aligning leadership practices with HR functions to enhance institutional performance, in line with contemporary literature on human capital as a strategic asset. Based on these findings, the study recommended the reinforcement of empowering leadership styles, greater involvement of human resources </w:t>
      </w:r>
    </w:p>
    <w:p>
      <w:pPr/>
      <w:r>
        <w:rPr>
          <w:b/>
        </w:rPr>
        <w:t>POSSIBLE 2025:</w:t>
      </w:r>
      <w:r>
        <w:t xml:space="preserve"> Lithuania's integration into Europe: Alternatives and choices — https://doi.org/10.15388/polit.1998.1.8</w:t>
      </w:r>
    </w:p>
    <w:p>
      <w:pPr/>
      <w:r>
        <w:rPr>
          <w:b/>
        </w:rPr>
        <w:t>Shared claim-specific concepts:</w:t>
      </w:r>
      <w:r>
        <w:t xml:space="preserve"> main, achieve, strategic, reasons, much, cannot; EU scope visible. This is a provisional connection, not an outcome finding.</w:t>
      </w:r>
    </w:p>
    <w:p>
      <w:pPr>
        <w:pStyle w:val="SourceNote"/>
      </w:pPr>
      <w:r>
        <w:rPr>
          <w:b/>
        </w:rPr>
        <w:t>Available abstract (not full text):</w:t>
      </w:r>
      <w:r>
        <w:t xml:space="preserve"> In the beginning of the article, the author postulates: "Lithuania's belonging to Europe is unquestionable". Thus, the main prospects for satisfying the national interests - namely, national security, economic welfare of the citizens, and maintenance of national identity - of Lithuania are tightly bound with the appertainance and further integration into the aforementioned area. However, G. Vitkus notifies, that in spite of the expressed wish of Lithuania saying that the country seeks entrance into European political, economic, and security organisations, in 1997, and particularly in summer 1997 in Madrid and in December in Luxembourg, it has finally become apparent that the delineated goals are not to be implemented easily. Nevertheless, the author claims that such a make-up of events is not to be viewed as a defeat. He says: "Postponement of the EU perspective, on the one hand, and ambiguity of the NATO perspective, on the other, have not only provided us with a chance to re-contemplate the vitality of our strategic choice, but has made us alert that Lithuania's integration into Europe cannot limit and confine itself to integration into these two structures. &lt;...&gt; Moreover, NATO and the EU membership ought to be taken not so much as goals but as a means in order to achieve higher goals - the implementation of Lithuania's national interests." The author argues that Lithuania, </w:t>
      </w:r>
    </w:p>
    <w:p>
      <w:pPr/>
      <w:r>
        <w:rPr>
          <w:b/>
        </w:rPr>
        <w:t>POSSIBLE 2025:</w:t>
      </w:r>
      <w:r>
        <w:t xml:space="preserve"> Strategic approach to digital transformation of public administration in Ukraine and European Union countries — https://doi.org/10.26565/1992-2337-2025-2-29</w:t>
      </w:r>
    </w:p>
    <w:p>
      <w:pPr/>
      <w:r>
        <w:rPr>
          <w:b/>
        </w:rPr>
        <w:t>Shared claim-specific concepts:</w:t>
      </w:r>
      <w:r>
        <w:t xml:space="preserve"> main, goal, need, achieve, strategic, strengthening; EU scope visible. This is a provisional connection, not an outcome finding.</w:t>
      </w:r>
    </w:p>
    <w:p>
      <w:pPr>
        <w:pStyle w:val="SourceNote"/>
      </w:pPr>
      <w:r>
        <w:rPr>
          <w:b/>
        </w:rPr>
        <w:t>Available abstract (not full text):</w:t>
      </w:r>
      <w:r>
        <w:t xml:space="preserve"> The article examines the mechanisms of digital transformation of public administration in Ukraine and the countries of the European Union, taking into account the strategic approach in the formation and implementation of government policies for the development of digital economies of countries. The need to analyze and determine the main priorities of digital transformations at the state and regional levels of government is substantiated. The article aims to analyze the existing mechanisms and processes of digital transformation of public administration in Ukraine and the countries of the European Union in order to determine promising strategic directions of digitalization in Ukraine in the context of the development of the digital economy and European integration. To achieve the goal, the authors solved several tasks: modern government strategies were identified, which are the foundation for further strengthening of the digital economy and digital transformations in public administration for 2020-2025 in Ukraine; the number of approved regulatory legal acts in the direction of informatization, e-government in Ukraine was systematized; international indices for assessing the processes of digitalization and the impact of digital technologies on the sphere of public administration and economic development of countries were analyzed; European Union countries that have open governme</w:t>
      </w:r>
    </w:p>
    <w:p>
      <w:pPr/>
      <w:r>
        <w:rPr>
          <w:b/>
        </w:rPr>
        <w:t>POSSIBLE 2025:</w:t>
      </w:r>
      <w:r>
        <w:t xml:space="preserve"> Strategic deployment of solar photovoltaics for achieving self-sufficiency in Europe throughout the energy transition — https://doi.org/10.1038/s41467-025-61492-9</w:t>
      </w:r>
    </w:p>
    <w:p>
      <w:pPr/>
      <w:r>
        <w:rPr>
          <w:b/>
        </w:rPr>
        <w:t>Shared claim-specific concepts:</w:t>
      </w:r>
      <w:r>
        <w:t xml:space="preserve"> need, achieve, strategic; EU scope visible. This is a provisional connection, not an outcome finding.</w:t>
      </w:r>
    </w:p>
    <w:p>
      <w:pPr>
        <w:pStyle w:val="SourceNote"/>
      </w:pPr>
      <w:r>
        <w:rPr>
          <w:b/>
        </w:rPr>
        <w:t>Available abstract (not full text):</w:t>
      </w:r>
      <w:r>
        <w:t xml:space="preserve"> Transition pathways for Europe to achieve carbon neutrality emphasize the need for a massive deployment of solar and wind energy. Global cost optimization would lead to installing most of the renewable capacity in a few resource-rich countries, but policy decisions could prioritize other factors. We investigate the effect of energy independence on Europe's energy system design. We show that self-sufficiency constraints lead to a more equitable distribution of costs and installed capacities across Europe. However, countries that typically depend on energy imports face cost increases of up to 150% to ensure that they cover their demand on an annual basis. Self-sufficiency particularly favors solar photovoltaic energy, and with declining PV module prices, alternative configurations like inverter dimensioning and horizontal tracking are beneficial enough to be part of the optimal solution for many countries. Moreover, we find that very high solar and wind annual installation rates are required, but they seem feasible considering recent historical trends.</w:t>
      </w:r>
    </w:p>
    <w:p>
      <w:pPr/>
      <w:r>
        <w:rPr>
          <w:b/>
        </w:rPr>
        <w:t>POSSIBLE 2025:</w:t>
      </w:r>
      <w:r>
        <w:t xml:space="preserve"> Roadmap Towards Achieving the Strategic Development Goals: From Lean Manufacturing to Circular Economy — https://doi.org/10.24857/rgsa.v19n4-055</w:t>
      </w:r>
    </w:p>
    <w:p>
      <w:pPr/>
      <w:r>
        <w:rPr>
          <w:b/>
        </w:rPr>
        <w:t>Shared claim-specific concepts:</w:t>
      </w:r>
      <w:r>
        <w:t xml:space="preserve"> main, achieve, strategic; EU scope not established. This is a provisional connection, not an outcome finding.</w:t>
      </w:r>
    </w:p>
    <w:p>
      <w:pPr>
        <w:pStyle w:val="SourceNote"/>
      </w:pPr>
      <w:r>
        <w:rPr>
          <w:b/>
        </w:rPr>
        <w:t>Available abstract (not full text):</w:t>
      </w:r>
      <w:r>
        <w:t xml:space="preserve"> Objective: The objective of this study is update previous work with next steps and improve a methodological roadmap of implementation of Lean Manufacturing, Industry 5.0 and Circular Economy principles. Theoretical Framework: Numerous SMEs in Mexico have not embraced concepts such as lean manufacturing, lean management, Industry 5.0 or circular economy. Literature review of different continents and sectors, but no a clear path for SMEs to face nowadays challenges. Method: There were two main tools to find literature, Scopus and Google scholar tool, have been used to search for associated concepts and methods, Lean Manufacturing, Industry 5.0, Hoshin Kanri, Circular Economy, Triple Bottom Line, among others. Data collection was divided into two main categories, one, literature review and the second, case studies of application. Articles and bibliography from 2017 to 2024 as exclusion criteria. Results and Discussion: The main contribution is a modification of a roadmap for incorporating these concepts, after the positive results in the manufacturing sector, with meaningful results to be achieved. The link to a triple bottom line VSM and IPO diagram clarifies the output product and waste from the process and help prioritize the Kaizens or projects to be implemented and achieve the desired future state. Research Implications: Next steps will consider application of the improved ro</w:t>
      </w:r>
    </w:p>
    <w:p>
      <w:pPr/>
      <w:r>
        <w:rPr>
          <w:b/>
        </w:rPr>
        <w:t>POSSIBLE 2024:</w:t>
      </w:r>
      <w:r>
        <w:t xml:space="preserve"> Value-related educational goals of primary school teachers: a comparative study in two European countries — https://doi.org/10.3389/fpsyg.2024.1458393</w:t>
      </w:r>
    </w:p>
    <w:p>
      <w:pPr/>
      <w:r>
        <w:rPr>
          <w:b/>
        </w:rPr>
        <w:t>Shared claim-specific concepts:</w:t>
      </w:r>
      <w:r>
        <w:t xml:space="preserve"> main, discuss, light; EU scope visible. This is a provisional connection, not an outcome finding.</w:t>
      </w:r>
    </w:p>
    <w:p>
      <w:pPr>
        <w:pStyle w:val="SourceNote"/>
      </w:pPr>
      <w:r>
        <w:rPr>
          <w:b/>
        </w:rPr>
        <w:t>Available abstract (not full text):</w:t>
      </w:r>
      <w:r>
        <w:t xml:space="preserve"> Schools serve as social institutions that convey values in the context of socialization and enculturation. Teachers are pivotal in this transmission process via their value-related educational goals (VrEGs), which outline how they would like to see their pupils in terms of values. What factors influence these VrEGs? We suggest that those vary on an individual level, but also correspond to the prevailing value orientations of the society. In our study we followed two main goals to test this thesis. Firstly, we examine the differences in VrEGs between teachers of two European countries: Switzerland (CH) and United Kingdom (UK). Secondly, we investigated the similarity of the teachers’ VrEGs with prevailing national value orientations from the specific countries. One hundred and fifty primary school teachers (108 CH, 42 UK) were asked about their VrEGs using an adapted version of Schwartz’s Portrait Values Questionnaire (PVQ-21). Data from the Human Value Scale (HVS) of the European Social Survey (ESS) was used for country-specific value orientations. Analyses of the value structures and the differences in value priorities showed that for the individuals from the two countries as well as for the teachers’ VrEGs from the two countries, significant differences exist in several value types. Teachers’ VrEGs in each country showed a high correlation with the corresponding national valu</w:t>
      </w:r>
    </w:p>
    <w:p>
      <w:pPr/>
      <w:r>
        <w:rPr>
          <w:b/>
        </w:rPr>
        <w:t>POSSIBLE 2024:</w:t>
      </w:r>
      <w:r>
        <w:t xml:space="preserve"> The European Union Development Policy and Achieving Sustainable Development Goals (SDGs) of the United Nations — https://doi.org/10.4018/979-8-3693-1742-6.ch020</w:t>
      </w:r>
    </w:p>
    <w:p>
      <w:pPr/>
      <w:r>
        <w:rPr>
          <w:b/>
        </w:rPr>
        <w:t>Shared claim-specific concepts:</w:t>
      </w:r>
      <w:r>
        <w:t xml:space="preserve"> main, discuss, achieve; EU scope visible. This is a provisional connection, not an outcome finding.</w:t>
      </w:r>
    </w:p>
    <w:p>
      <w:pPr>
        <w:pStyle w:val="SourceNote"/>
      </w:pPr>
      <w:r>
        <w:rPr>
          <w:b/>
        </w:rPr>
        <w:t>Available abstract (not full text):</w:t>
      </w:r>
      <w:r>
        <w:t xml:space="preserve"> The purpose of this study is to describe the European Union's (EU) developing approach and governance in the implementation of the sustainable development agenda of the United Nations (UN). UN's sustainable development goals are more vibrant to maintain peace and stability in the world. The EU's Global Gateway and Asia-Europe connectivity programme are supporting other nations to work on the SDGs. As a regional organisation, the EU shows enormous intention to eliminate poverty, malnutrition and famine, establish peace, respect for human rights and minority rights, and maintain global warming, biodiversity and the climate. Moreover, the EU also formed bilateral and multilateral level cooperation across the world for the establishment of democratic rule, peace, and prosperity. The EU's policy formulation keeps working on economic, social, and environmental development issues at the global level and supporting the UN mission across the world in different sectors. This research is based on qualitative analysis using primary and secondary literature. In addition, this study also uses the empirical method to discuss the main research gaps and answer major questions related to the SDGs. As a result, the EU has started significant work to achieve the objectives of the SDGs of the UN. The EU has also launched various development programs for the implementation of the SDGs in its member </w:t>
      </w:r>
    </w:p>
    <w:p>
      <w:pPr>
        <w:pStyle w:val="Heading2"/>
      </w:pPr>
      <w:r>
        <w:t>590. Electricity Spot Market Design 2030-2050</w:t>
      </w:r>
    </w:p>
    <w:p>
      <w:pPr>
        <w:pStyle w:val="SourceNote"/>
      </w:pPr>
      <w:r>
        <w:rPr>
          <w:b/>
        </w:rPr>
        <w:t>Original source (2021):</w:t>
      </w:r>
      <w:r>
        <w:t xml:space="preserve"> https://doi.org/10.24406/fit-n-621457</w:t>
      </w:r>
    </w:p>
    <w:p>
      <w:pPr/>
      <w:r>
        <w:t>Original wording (abstract; indexed_source_text_not_full_document_verified): The German government plans that even before the year 2050, all electricity generated and consumed in Germany should be greenhouse gas neutral [1].</w:t>
      </w:r>
    </w:p>
    <w:p>
      <w:pPr/>
      <w:r>
        <w:rPr>
          <w:b/>
        </w:rPr>
        <w:t>POSSIBLE 2025:</w:t>
      </w:r>
      <w:r>
        <w:t xml:space="preserve"> Urban Nature Plans: Strategic Tool for Integrated Biodiversity and Climate Planning in German Cities — https://doi.org/10.2148/benv.51.4.569</w:t>
      </w:r>
    </w:p>
    <w:p>
      <w:pPr/>
      <w:r>
        <w:rPr>
          <w:b/>
        </w:rPr>
        <w:t>Shared claim-specific concepts:</w:t>
      </w:r>
      <w:r>
        <w:t xml:space="preserve"> german, government, plans, germany; EU scope visible. This is a provisional connection, not an outcome finding.</w:t>
      </w:r>
    </w:p>
    <w:p>
      <w:pPr>
        <w:pStyle w:val="SourceNote"/>
      </w:pPr>
      <w:r>
        <w:rPr>
          <w:b/>
        </w:rPr>
        <w:t>Available abstract (not full text):</w:t>
      </w:r>
      <w:r>
        <w:t xml:space="preserve"> As cities grapple with climate risks and biodiversity decline, international policy frameworks increasingly position urban nature as a critical ally in building resilient and sustainable urban areas. The European Union's Biodiversity Strategy 2030, for example, calls on European cities to develop and implement ambitious 'Urban Nature Plans' (formerly 'Urban Greening Plans'). In this paper, we introduce Urban Nature Plans as a strategic planning tool and discuss potential pathways to their implementation, using Germany as an example. With more than 650 cities of diff erent sizes and with diff erent administrative capacities – many of which already have planning instruments sharing features with Urban Nature Plans – Germany provides a useful case to discuss the implications of introducing this new strategic approach. To contribute to the international discourse on Urban Nature Plans and wider discussions around integrated biodiversity and climate planning, we summarize findings from a German research and development project. The project included, among other aspects, a dialogue process with government organizations, professional associations, non-governmental environmental organizations, municipal representatives and other actors. During this process, it became evident that Urban Nature Plans should be understood as ambitious, integrated, and flexible strategies which are adaptab</w:t>
      </w:r>
    </w:p>
    <w:p>
      <w:pPr/>
      <w:r>
        <w:rPr>
          <w:b/>
        </w:rPr>
        <w:t>POSSIBLE 2025:</w:t>
      </w:r>
      <w:r>
        <w:t xml:space="preserve"> The Impact of the Russian-Ukrainian War on Europe and the German Leadership — https://doi.org/10.35757/stp.2025.53.3.02</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The research methods used in this article are systems analysis supported by text analysis. The aim is to look at Germany as part of a larger Euro--Atlantic system (including the European Union and the North Atlantic Treaty Organization), in which leadership is one of the resources. The article draws attention to the process that affects the ‘flows/processes’ within this resource, i.e. the Russian–Ukrainian conflict. The research hypothesis is the statement about the impact of the conflict in Ukraine as a ‘flow’ on the coherence of the closed Euro-Atlantic system and its leadership ‘resource’, the effect of which is a ‘feedback’ affecting the size and nature of the resource (change in the nature of German leadership in Europe, e.g. the transition from political-economic leadership to political-economic-military leadership). When using these methods, I will refer to available data, analyses, and forecasts, including: NATO Review, the Department of Defense of the United States, the European Commission, Auswärtiges Amt, the Carnegie Endowment for International Peace, the Carnegie Europe, Stratfor, the European Network Remembrance and Solidarity. The analysis of the mentioned data will be supported by the analysis of scientific and media discourse in Germany, Europe, and the USA. The Russia–Ukraine war is seen as the end of the old international order and the beginning of a new Cold</w:t>
      </w:r>
    </w:p>
    <w:p>
      <w:pPr/>
      <w:r>
        <w:rPr>
          <w:b/>
        </w:rPr>
        <w:t>POSSIBLE 2025:</w:t>
      </w:r>
      <w:r>
        <w:t xml:space="preserve"> Political knowledge and perceptions of minority governments in Europe — https://doi.org/10.1017/s147567652510025x</w:t>
      </w:r>
    </w:p>
    <w:p>
      <w:pPr/>
      <w:r>
        <w:rPr>
          <w:b/>
        </w:rPr>
        <w:t>Shared claim-specific concepts:</w:t>
      </w:r>
      <w:r>
        <w:t xml:space="preserve"> government, all, germany; EU scope visible. This is a provisional connection, not an outcome finding.</w:t>
      </w:r>
    </w:p>
    <w:p>
      <w:pPr>
        <w:pStyle w:val="SourceNote"/>
      </w:pPr>
      <w:r>
        <w:rPr>
          <w:b/>
        </w:rPr>
        <w:t>Available abstract (not full text):</w:t>
      </w:r>
      <w:r>
        <w:t xml:space="preserve"> Abstract Minority governments are common across parliamentary systems, and a large body of literature has examined their stability and performance. Meanwhile, we know very little about how voters perceive this government type and whether they understand its political implications. We survey voters in Denmark, Germany, and Sweden, three European countries with varying degrees of exposure to minority governments, about their knowledge and perceptions of minority governments. We find that voters have knowledge levels comparable to those about the role of political parties, and that this is independent of the respective prevalence of minority governments in each country. Informed voters express stronger preferences for majority governments. However, minority governments are associated with specific positive representational traits, specifically with the impression that such governments listen more to the demands of all voters, and general perceptions are stronger for knowledgeable voters. The findings have implications for how elites can formulate arguments in favour or against minority governments that may resonate with voters.</w:t>
      </w:r>
    </w:p>
    <w:p>
      <w:pPr/>
      <w:r>
        <w:rPr>
          <w:b/>
        </w:rPr>
        <w:t>POSSIBLE 2025:</w:t>
      </w:r>
      <w:r>
        <w:t xml:space="preserve"> German response to the pandemic crisis — https://doi.org/10.4324/9781003634003-23</w:t>
      </w:r>
    </w:p>
    <w:p>
      <w:pPr/>
      <w:r>
        <w:rPr>
          <w:b/>
        </w:rPr>
        <w:t>Shared claim-specific concepts:</w:t>
      </w:r>
      <w:r>
        <w:t xml:space="preserve"> german, plans, generated, germany; EU scope visible. This is a provisional connection, not an outcome finding.</w:t>
      </w:r>
    </w:p>
    <w:p>
      <w:pPr>
        <w:pStyle w:val="SourceNote"/>
      </w:pPr>
      <w:r>
        <w:rPr>
          <w:b/>
        </w:rPr>
        <w:t>Available abstract (not full text):</w:t>
      </w:r>
      <w:r>
        <w:t xml:space="preserve"> As a federal state, Germany is structurally different from the other countries discussed in this book, namely the Visegrad Group countries. This chapter discusses the municipal self-government system in Germany, the impact of the Covid-19 pandemic, and the mechanisms and results of post-Covid-19 recovery using the example of selected city-regions: Berlin, Bremen, and Hamburg. The research question is: how has the pandemic affected the city-states and what mechanisms have been put in place there? The Covid-19 pandemic has also generated various discussions related to the functioning of cities, forcing them to update their strategies and plans and implement new initiatives. German city-states implemented new instruments or adapted existing solutions to current needs to ensure sustainability. The chapter discusses both state and federally funded programs as well as the programs funded by the European Union. The chapter is based on official data and information published by city-states, institutions, and organizations. The analysis allows for a comprehensive illustration of the response of municipal self-governments in Germany to the pandemic and post-pandemic crisis.</w:t>
      </w:r>
    </w:p>
    <w:p>
      <w:pPr/>
      <w:r>
        <w:rPr>
          <w:b/>
        </w:rPr>
        <w:t>POSSIBLE 2024:</w:t>
      </w:r>
      <w:r>
        <w:t xml:space="preserve"> Important Drivers of European Monetary Integration ——The Game Between the German Central Government and the Bundesbank as an Example — https://doi.org/10.54254/2754-1169/68/20241337</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An independent central bank constitutes a veto actor in the political process itself and has the potential to limit the autonomy of the State (Government). In cases where the preferences of the state and the central bank diverge, the resulting authoritative actions will be influenced by the political structure of the respective country. Where changes in the domestic political system are difficult to achieve, the state can change the existing equilibrium between the central bank and the government by engaging in international regimes and international negotiations and evolving this equilibrium in the direction of greater state autonomy. This paper adopts a case study approach to propose a domestic political logic for international monetary policy choices by analyzing the relationship between international monetary co-operation, central bank independence and national autonomy, and uses the political game between the central central bank and the central government within Germany and the outcome to verify this view, thus providing a political science explanation for the relationship between German monetary politics and European monetary integration. The European Central Bank after the formation of the Union inherited the independence of the German central bank, and while assuming its responsibility for monetary stabilization and economic development, it gradually transcended the sc</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all, electricity, germany;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2024:</w:t>
      </w:r>
      <w:r>
        <w:t xml:space="preserve"> German Economic Policy: Theory and Practice — https://doi.org/10.4324/9781003577898-15</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There is a popular image of the postwar German economy as the nearest European approximation to the American way of life. Private initiative is always preferred to public, and the state is kept vigorously in its place. Public enterprise and central planning under the aegis of the government are both firmly rejected. That at any rate is the political legend. It is not wholly false; such ideas as these genuinely express the intentions of those who have, since the end of the war, been responsible for the government of Germany. However, they do not entirely fit with the way in which the governors have in practice behaved.</w:t>
      </w:r>
    </w:p>
    <w:p>
      <w:pPr/>
      <w:r>
        <w:rPr>
          <w:b/>
        </w:rPr>
        <w:t>POSSIBLE 2024:</w:t>
      </w:r>
      <w:r>
        <w:t xml:space="preserve"> The Crisis of Hohenzollern Germany, 1906–16 — https://doi.org/10.4324/9781003572336-9</w:t>
      </w:r>
    </w:p>
    <w:p>
      <w:pPr/>
      <w:r>
        <w:rPr>
          <w:b/>
        </w:rPr>
        <w:t>Shared claim-specific concepts:</w:t>
      </w:r>
      <w:r>
        <w:t xml:space="preserve"> german, government, plans, germany; EU scope visible. This is a provisional connection, not an outcome finding.</w:t>
      </w:r>
    </w:p>
    <w:p>
      <w:pPr>
        <w:pStyle w:val="SourceNote"/>
      </w:pPr>
      <w:r>
        <w:rPr>
          <w:b/>
        </w:rPr>
        <w:t>Available abstract (not full text):</w:t>
      </w:r>
      <w:r>
        <w:t xml:space="preserve"> Prussian domination in Germany and German predominance in Europe fell together in 1918; but this destruction of Bismarck’s work was merely the open culmination of a process which had been in full swing for twelve years. 1906 marked the opening of the crisis in both home and foreign affairs: the authority of the Reich was challenged abroad, and the authority of the Chancellor was challenged at home. In 1905 the German government, estranged from both Russia and England, decided to seize the opportunity of Russia’s defeat in the Far East and of her revolution at home in order to force France under German protection and so deprive both Russia and England of any foothold in western Europe. This was the meaning of the ‘first Moroccan crisis’, a crisis deliberately provoked by the German government and achieving the dismissal of the French Foreign Minister, Delcassé, at German orders. But thereafter the crisis did not develop according to German plans. Bülow had always reckoned to work with political opinion, but the Moroccan crisis had been devised by the Foreign Office without any propaganda preparation, ‘cabinet diplomacy’ possible in the days of Bismarck, but ineffective in the age of demagogy and mass agitation.</w:t>
      </w:r>
    </w:p>
    <w:p>
      <w:pPr/>
      <w:r>
        <w:rPr>
          <w:b/>
        </w:rPr>
        <w:t>POSSIBLE 2023:</w:t>
      </w:r>
      <w:r>
        <w:t xml:space="preserve"> German Plans for Central Europe — https://doi.org/10.54171/2023.mg.gtocei_12</w:t>
      </w:r>
    </w:p>
    <w:p>
      <w:pPr/>
      <w:r>
        <w:rPr>
          <w:b/>
        </w:rPr>
        <w:t>Shared claim-specific concepts:</w:t>
      </w:r>
      <w:r>
        <w:t xml:space="preserve"> german, plans, germany; EU scope visible. This is a provisional connection, not an outcome finding.</w:t>
      </w:r>
    </w:p>
    <w:p>
      <w:pPr>
        <w:pStyle w:val="SourceNote"/>
      </w:pPr>
      <w:r>
        <w:rPr>
          <w:b/>
        </w:rPr>
        <w:t>Available abstract (not full text):</w:t>
      </w:r>
      <w:r>
        <w:t xml:space="preserve"> German plans for Central Europe had already appeared in the 19th century. At the heart of the Mitteleuropa idea was the creation of an economic area under German leadership. In the literature, List is considered the father of the Mitteleuropa idea, the first systematic developer of the integration of Central and Eastern Europe under German leadership. His work ʻDas nationale System der politischen Ökonomie’ [The National System of Political Economy], in which he scientifically summarised and systematised his previous writings, was published in May 1841. In this work, List expressed his views in defense of political unity and national economy and against the teaching of Adam Smith’s school. List first advocated the realisation of a continental alliance against the English hegemony, and then, when the USA advanced, he believed that the English should also join the alliance. He wanted to promote the development of the economic region, by developing the railway and waterway network. Another famous German developer of the Mitteleuropa concepts is Friedrich Naumann. Within his work, the books and articles dealing with Mitteleuropa form a closed whole. These writings of his are closely related. Their time of origin also shows unity. Naumann elaborated his plan for Central Europe in his main work ‘Mitteleuropa’ published in November 1915. Central Europe was not to be a new state, but a</w:t>
      </w:r>
    </w:p>
    <w:p>
      <w:pPr/>
      <w:r>
        <w:rPr>
          <w:b/>
        </w:rPr>
        <w:t>POSSIBLE 2023:</w:t>
      </w:r>
      <w:r>
        <w:t xml:space="preserve"> Germanys Rearmament Plan: A Problem of Bureaucracy — https://doi.org/10.54254/2753-7064/4/20220630</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The conflict in Ukraine that started on February 24th, 2022, had a transformative effect on the status of European security policy, with the most prominent outcome being Germanys break with its pacifist tradition and its policy of disarmament. The German governments plan to rebuild the Bundeswehr by raising its defense spending to 2% of its GDP, alongside the injection of a 100-billion-euro fund into its armed forces, was seen by many as the first step for Germany to a leading role in the new European Security Policy. However, increased funding is unlikely to be the deciding factor in whether Germany can successfully rearm, as the Bundeswehr is well funded in comparison to other standing armies of European states in similar economic circumstances. The main obstacle standing in the way of a successful German rearmament is Germanys bureaucracy. The Federal Office of Bundeswehr Equipment, Information Technology, and In-Service Support," or the BAAINBw, responsible for procurement of materials for the Bundeswehr, is fully anarchistic and understaffed. Germanys path to a reformed military thus hinges on whether the German government can successfully reform the BAAINBw into a more efficient federal agency.</w:t>
      </w:r>
    </w:p>
    <w:p>
      <w:pPr/>
      <w:r>
        <w:rPr>
          <w:b/>
        </w:rPr>
        <w:t>POSSIBLE 2023:</w:t>
      </w:r>
      <w:r>
        <w:t xml:space="preserve"> Representative government in south Germany and the myth of the Sonderweg — https://doi.org/10.31235/osf.io/tcwzs</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Bavaria and Württemberg were two German states in which estates-based representative government survived the early modern period, which has traditionally been considered the period when representative institutions were supposedly in decline. I will show that these two states were among those European states which preserved their representative institutions and avoided becoming “absolutist.” Germany shared a heritage of medieval constitutionalism with the other countries of Western Europe. In the early modern period, the estates of Brandenburg and East Prussia, both ruled by the Hohenzollerns, were among the strongest in Europe. I will put the developments in the south German states into a wider German and European perspective. I believe that the path of constitutional development taken by the south German states, and the other states including Prussia, showed that Germany in its entirety did in fact follow a path not that much different from the other European states, in contradiction to the theory that Germany developed differently from them, in a more absolutist and authoritarian direction.</w:t>
      </w:r>
    </w:p>
    <w:p>
      <w:pPr/>
      <w:r>
        <w:rPr>
          <w:b/>
        </w:rPr>
        <w:t>POSSIBLE 2023:</w:t>
      </w:r>
      <w:r>
        <w:t xml:space="preserve"> Unequal Responsiveness and Government Partisanship in Northwest Europe — https://doi.org/10.1017/9781009428682.003</w:t>
      </w:r>
    </w:p>
    <w:p>
      <w:pPr/>
      <w:r>
        <w:rPr>
          <w:b/>
        </w:rPr>
        <w:t>Shared claim-specific concepts:</w:t>
      </w:r>
      <w:r>
        <w:t xml:space="preserve"> government, before, all, germany; EU scope visible. This is a provisional connection, not an outcome finding.</w:t>
      </w:r>
    </w:p>
    <w:p>
      <w:pPr>
        <w:pStyle w:val="SourceNote"/>
      </w:pPr>
      <w:r>
        <w:rPr>
          <w:b/>
        </w:rPr>
        <w:t>Available abstract (not full text):</w:t>
      </w:r>
      <w:r>
        <w:t xml:space="preserve"> This paper pools datasets on policy responsiveness to public opinion in Germany, the Netherlands, Norway, and Sweden. Following the empirical strategy set out by Gilens (2012), we show that the policy outputs correspond much better to the preferences of affluent citizens than to the preferences of low- and middle-income citizens in all four countries. We proceed to explore how government partisanship conditions unequal responsiveness. In so doing, we distinguish between economic/welfare issues and other issues and we also distinguish between the period before 1998 and the period since 1998. Our findings suggest that policymaking under Left-leaning governments was relatively more responsive to low- and middle-income citizens in the economic/welfare domain before 1998, but this was not true for other policy domains before 1998 and it is no longer true for the economic/welfare domain. We conclude with some general reflections on the implications of our empirical findings for the literature on mechanisms of unequal representation in liberal democracies.</w:t>
      </w:r>
    </w:p>
    <w:p>
      <w:pPr>
        <w:pStyle w:val="Heading2"/>
      </w:pPr>
      <w:r>
        <w:t>591. Energy Efficiency Vision 2050: How will new societal trends influence future energy demand in the European countries?</w:t>
      </w:r>
    </w:p>
    <w:p>
      <w:pPr>
        <w:pStyle w:val="SourceNote"/>
      </w:pPr>
      <w:r>
        <w:rPr>
          <w:b/>
        </w:rPr>
        <w:t>Original source (2021):</w:t>
      </w:r>
      <w:r>
        <w:t xml:space="preserve"> https://doi.org/10.1016/j.enpol.2021.112216</w:t>
      </w:r>
    </w:p>
    <w:p>
      <w:pPr/>
      <w:r>
        <w:t>Original wording (abstract; indexed_source_text_not_full_document_verified): While in the “Worst Case” scenario, they could increase final energy demand by 40%. Based on these, four energy demand scenarios were developed for 2050.</w:t>
      </w:r>
    </w:p>
    <w:p>
      <w:pPr/>
      <w:r>
        <w:rPr>
          <w:b/>
        </w:rPr>
        <w:t>POSSIBLE 2025:</w:t>
      </w:r>
      <w:r>
        <w:t xml:space="preserve"> The (worst) laws of the land: the concept of legislative basket cases, legislative backsliding and public administration in Central-Eastern Europe — https://doi.org/10.1080/01442872.2025.2501741</w:t>
      </w:r>
    </w:p>
    <w:p>
      <w:pPr/>
      <w:r>
        <w:rPr>
          <w:b/>
        </w:rPr>
        <w:t>Shared claim-specific concepts:</w:t>
      </w:r>
      <w:r>
        <w:t xml:space="preserve"> worst, they, four; EU scope visible. This is a provisional connection, not an outcome finding.</w:t>
      </w:r>
    </w:p>
    <w:p>
      <w:pPr>
        <w:pStyle w:val="SourceNote"/>
      </w:pPr>
      <w:r>
        <w:rPr>
          <w:b/>
        </w:rPr>
        <w:t>Available abstract (not full text):</w:t>
      </w:r>
      <w:r>
        <w:t xml:space="preserve"> This article introduces the concept of legislative basket cases—adopted laws that fail to meet the normative standards of a wide range of established conceptual legislative quality criteria. They exhibit significant deficiencies across all or most of four dimensions: public policy, legal-constitutional, procedural, and stability. Through a multidimensional framework assessing these dimensions, we analyze emblematic cases from Czechia, Hungary, and Poland during periods of illiberal governance. The Czech taxation of church restitutions, the Hungarian Medical Chamber Law, and the Polish Law on Forests demonstrate how such laws bypass procedural safeguards, violate constitutional principles, and undermine democratic norms. We argue that normatively “bad” laws fail across the full policy-making cycle, from inadequate public administration preparation and improperly specified objectives through conflicts with legal-constitutional frameworks and democratic principles, including public consultation. Our comparative analysis reveals a pattern where quality standards across multiple dimensions are systematically eroded, contributing to broader democratic backsliding. While similar deficiencies occur in established liberal democracies, as illustrated by cases from Spain and Austria, they typically manifest differently. This framework offers a valuable tool for identifying extreme cases o</w:t>
      </w:r>
    </w:p>
    <w:p>
      <w:pPr/>
      <w:r>
        <w:rPr>
          <w:b/>
        </w:rPr>
        <w:t>POSSIBLE 2024:</w:t>
      </w:r>
      <w:r>
        <w:t xml:space="preserve"> A new approach for national-scale Building Energy Models based on Energy Performance Certificates in European countries: The case of Spain — https://doi.org/10.1016/j.heliyon.2024.e25473</w:t>
      </w:r>
    </w:p>
    <w:p>
      <w:pPr/>
      <w:r>
        <w:rPr>
          <w:b/>
        </w:rPr>
        <w:t>Shared claim-specific concepts:</w:t>
      </w:r>
      <w:r>
        <w:t xml:space="preserve"> case, energy, based, four; EU scope visible. This is a provisional connection, not an outcome finding.</w:t>
      </w:r>
    </w:p>
    <w:p>
      <w:pPr>
        <w:pStyle w:val="SourceNote"/>
      </w:pPr>
      <w:r>
        <w:rPr>
          <w:b/>
        </w:rPr>
        <w:t>Available abstract (not full text):</w:t>
      </w:r>
      <w:r>
        <w:t xml:space="preserve"> Urban Building Energy Models (UBEMs) are useful instruments to know the energy consumption of building stocks at urban and national levels. UBEMs can be classified into different types and subtypes. The current detailed physics-based bottom-up UBEMs at a national scale play a crucial role in assessing the energy efficiency of national building stocks and defining improvement strategies. These models heavily rely on archetypes and energy simulations, demanding significant computational resources. We propose here a new type of national-scale detailed physics-based UBEM based on Energy Performance Certificates (EPCs), and other open big data, which has the advantage that it can be automatically updated, in a short time, and with standard computer means. In this paper, we define the methodology to build this new type of national-scale EPC-based UBEM. We have checked that the model for the case of Spain can be automatically generated and updated in less than 6 h with a standard computer, and it generates results that match official data in more than 98 % for four indicators. The generated model contains information about 10,939,801 buildings in Spain, out of which 1,202,708 have EPCs. The model allows us to map and analyse the buildings in the country by integrating multiple variables of different nature, such as geographical (Autonomous Community, municipality, type of municipality</w:t>
      </w:r>
    </w:p>
    <w:p>
      <w:pPr/>
      <w:r>
        <w:rPr>
          <w:b/>
        </w:rPr>
        <w:t>POSSIBLE 2024:</w:t>
      </w:r>
      <w:r>
        <w:t xml:space="preserve"> Ranking the Barriers to the Energy Upgrading of Buildings Using the Best-Worst Method — https://doi.org/10.3390/su162210143</w:t>
      </w:r>
    </w:p>
    <w:p>
      <w:pPr/>
      <w:r>
        <w:rPr>
          <w:b/>
        </w:rPr>
        <w:t>Shared claim-specific concepts:</w:t>
      </w:r>
      <w:r>
        <w:t xml:space="preserve"> energy, based; EU scope visible. This is a provisional connection, not an outcome finding.</w:t>
      </w:r>
    </w:p>
    <w:p>
      <w:pPr>
        <w:pStyle w:val="SourceNote"/>
      </w:pPr>
      <w:r>
        <w:rPr>
          <w:b/>
        </w:rPr>
        <w:t>Available abstract (not full text):</w:t>
      </w:r>
      <w:r>
        <w:t xml:space="preserve"> The global need to reduce energy demand has led European governments to accelerate their endeavors to achieve their targets regarding nearly zero-energy buildings. Despite the implementation of funding initiatives for the energy upgrading of buildings in EU member states and other European countries, research has shown that the absorption rates of the offered funds remain low. This research aims to assess the significance of the barriers to improving the energy efficiency of Greece’s building stock. This is achieved by ranking the identified barriers using the best-worst method (BWM). The innovation provided by this study is that the data obtained are based on the experience of three categories of stakeholders, including professionals in the field, i.e., engineers and skilled workers, and homeowners. The results show that all three groups are discouraged from performing the energy upgrading of buildings due to economic barriers but also technological barriers related to a lack of training in the use of and slow development of related new technologies.</w:t>
      </w:r>
    </w:p>
    <w:p>
      <w:pPr/>
      <w:r>
        <w:rPr>
          <w:b/>
        </w:rPr>
        <w:t>POSSIBLE 2024:</w:t>
      </w:r>
      <w:r>
        <w:t xml:space="preserve"> A Case Study on Electric Vehicles as Nationwide Battery Storage to Meet Slovenia’s Final Energy Consumption with Solar Energy — https://doi.org/10.3390/en17112733</w:t>
      </w:r>
    </w:p>
    <w:p>
      <w:pPr/>
      <w:r>
        <w:rPr>
          <w:b/>
        </w:rPr>
        <w:t>Shared claim-specific concepts:</w:t>
      </w:r>
      <w:r>
        <w:t xml:space="preserve"> case, final, energy, based; EU scope visible. This is a provisional connection, not an outcome finding.</w:t>
      </w:r>
    </w:p>
    <w:p>
      <w:pPr>
        <w:pStyle w:val="SourceNote"/>
      </w:pPr>
      <w:r>
        <w:rPr>
          <w:b/>
        </w:rPr>
        <w:t>Available abstract (not full text):</w:t>
      </w:r>
      <w:r>
        <w:t xml:space="preserve"> Despite the global importance of solar energy, its variability requires energy storage to balance production during peak and off-peak periods. Moreover, the transport sector is undergoing a global transition from internal combustion engines to electric vehicles. Since vehicles are idle 95% of the time, electric vehicle batteries, when connected to a grid, can effectively regulate intermittent photovoltaics using vehicle-to-grid technology. This conceptual study investigates the feasibility of a nationwide energy infrastructure that relies solely on solar energy, replacing other electricity sources, such as solid fuels, petroleum products, and natural gas, and utilizes electric vehicles as the sole battery energy storage system. This study aims to demonstrate the significant potential and benefits of such collaboration. The theoretical study combines historical data, assumptions, and conditions to build a simulation model that is modelled similarly as in previous conceptual studies of nationwide energy systems based solely on photovoltaics and electric vehicles, referenced in this article. In Slovenia, the total surface size suitable for the installation of photovoltaic systems is estimated to be 280 km2. The calculations show that a surface size of 217 km2 for photovoltaic systems can produce enough energy to cover Slovenia’s entire energy demand, Slovenia’s final energy consum</w:t>
      </w:r>
    </w:p>
    <w:p>
      <w:pPr/>
      <w:r>
        <w:rPr>
          <w:b/>
        </w:rPr>
        <w:t>POSSIBLE 2024:</w:t>
      </w:r>
      <w:r>
        <w:t xml:space="preserve"> Allergens grouping names on packaging: Are the substances similar enough to ensure safety? The worst case scenarios question this — https://doi.org/10.1111/ics.12979</w:t>
      </w:r>
    </w:p>
    <w:p>
      <w:pPr/>
      <w:r>
        <w:rPr>
          <w:b/>
        </w:rPr>
        <w:t>Shared claim-specific concepts:</w:t>
      </w:r>
      <w:r>
        <w:t xml:space="preserve"> worst, case, based; EU scope visible. This is a provisional connection, not an outcome finding.</w:t>
      </w:r>
    </w:p>
    <w:p>
      <w:pPr>
        <w:pStyle w:val="SourceNote"/>
      </w:pPr>
      <w:r>
        <w:rPr>
          <w:b/>
        </w:rPr>
        <w:t>Available abstract (not full text):</w:t>
      </w:r>
      <w:r>
        <w:t xml:space="preserve"> OBJECTIVE: European Commission Regulation (EU) n°2023/1545 introduced the concept of grouping names in the cosmetics sector in July 2023. These groups bring together allergenic substances with the same level of skin sensitization. Their purpose is to lighten the list of ingredients on cosmetic packaging, by grouping together substances deemed to be similar under the same name. As this classification is based on a single toxic effect - skin sensitization - the present study aims to analyse the relevance of these groupings with regard to other toxic effects of substances in the same group. METHODS: This study was carried out by consulting an available database, various reports from 5 committees, 2 books and 5 articles in order to complete the toxicological profile of each substance. Then, in order to highlight any discrepancies within the classification, the worst cases were identified. For this purpose, the data for each substance in a group were compared, and in the event of greater criticality for a toxic effect, this was qualified as a worst case. In addition, similar toxic effects between several substances within the same group were also recorded. The aim of this additional research was to validate the definition of the grouping name and the similarities between substances in the same group. RESULTS: From the 17 grouping names, 5 presented worst cases. Two groups had 2 wors</w:t>
      </w:r>
    </w:p>
    <w:p>
      <w:pPr/>
      <w:r>
        <w:rPr>
          <w:b/>
        </w:rPr>
        <w:t>POSSIBLE 2024:</w:t>
      </w:r>
      <w:r>
        <w:t xml:space="preserve"> Sampling for Beyond-Worst-Case Online Ranking — https://doi.org/10.1609/aaai.v38i18.30051</w:t>
      </w:r>
    </w:p>
    <w:p>
      <w:pPr/>
      <w:r>
        <w:rPr>
          <w:b/>
        </w:rPr>
        <w:t>Shared claim-specific concepts:</w:t>
      </w:r>
      <w:r>
        <w:t xml:space="preserve"> worst, case, based; EU scope not established. This is a provisional connection, not an outcome finding.</w:t>
      </w:r>
    </w:p>
    <w:p>
      <w:pPr>
        <w:pStyle w:val="SourceNote"/>
      </w:pPr>
      <w:r>
        <w:rPr>
          <w:b/>
        </w:rPr>
        <w:t>Available abstract (not full text):</w:t>
      </w:r>
      <w:r>
        <w:t xml:space="preserve"> The feedback arc set problem is one of the most fundamental and well-studied ranking problems where n objects are to be ordered based on their pairwise comparison. The problem enjoys several efficient approximation algorithms in the offline setting. Unfortunately, online there are strong lower bounds on the competitive ratio establishing that no algorithm can perform well in the worst case. This paper introduces a new beyond-worst-case model for online feedback arc set. In the model, a sample of the input is given to the algorithm offline before the remaining instance is revealed online. This models the case in practice where yesterday's data is available and is similar to today's online instance. This sample is drawn from a known distribution which may not be uniform. We design an online algorithm with strong theoretical guarantees. The algorithm has a small constant competitive ratio when the sample is uniform---if not, we show we can recover the same result by adding a provably minimal sample. Empirical results validate the theory and show that such algorithms can be used on temporal data to obtain strong results.</w:t>
      </w:r>
    </w:p>
    <w:p>
      <w:pPr/>
      <w:r>
        <w:rPr>
          <w:b/>
        </w:rPr>
        <w:t>POSSIBLE 2023:</w:t>
      </w:r>
      <w:r>
        <w:t xml:space="preserve"> Future sea level rise dominates changes in worst case extreme sea levels along the global coastline by 2100 — https://doi.org/10.1088/1748-9326/acb504</w:t>
      </w:r>
    </w:p>
    <w:p>
      <w:pPr/>
      <w:r>
        <w:rPr>
          <w:b/>
        </w:rPr>
        <w:t>Shared claim-specific concepts:</w:t>
      </w:r>
      <w:r>
        <w:t xml:space="preserve"> worst, case, increase; EU scope visible. This is a provisional connection, not an outcome finding.</w:t>
      </w:r>
    </w:p>
    <w:p>
      <w:pPr>
        <w:pStyle w:val="SourceNote"/>
      </w:pPr>
      <w:r>
        <w:rPr>
          <w:b/>
        </w:rPr>
        <w:t>Available abstract (not full text):</w:t>
      </w:r>
      <w:r>
        <w:t xml:space="preserve"> Abstract We provide the magnitude of a worst case scenario for extreme sea levels (ESLs) along the global coastline by 2100. This worst case scenario for ESLs is calculated as a combination of sea surface height associated with storm surge and wave (100 year return period, the 95th percentile), high tide (the 95th percentile) and a low probability sea level rise scenario (the 95th percentile). Under these conditions, end-of-21st century ESLs have a 5% chance of exceeding 4.2 m (global coastal average), compared to 2.6 m during the baseline period (1980–2014). By 2100 almost 45% of the global coastline would experience ESLs above the global mean of 4.2 m, with up to 9–10 m for the East China Sea, Japan and North European coastal areas. Up to 86% of coastal locations would face ESLs above 3 m (100 year return period) by 2100, compared to 33% currently. Up to 90% of increases in magnitude of ESLs are driven by future sea level rise, compare to 10% associated with changes in storm surges and waves. By 2030–2040 the present-day 100 year return period for ESLs would be experienced at least once a year in tropical areas. This 100-fold increase in frequency will take place on all global coastlines by 2100.</w:t>
      </w:r>
    </w:p>
    <w:p>
      <w:pPr/>
      <w:r>
        <w:rPr>
          <w:b/>
        </w:rPr>
        <w:t>POSSIBLE 2023:</w:t>
      </w:r>
      <w:r>
        <w:t xml:space="preserve"> Energy security of the European Union and corruption in Central Asia as the main challenges for the European sustainable energy future — https://doi.org/10.1186/s13705-023-00406-3</w:t>
      </w:r>
    </w:p>
    <w:p>
      <w:pPr/>
      <w:r>
        <w:rPr>
          <w:b/>
        </w:rPr>
        <w:t>Shared claim-specific concepts:</w:t>
      </w:r>
      <w:r>
        <w:t xml:space="preserve"> case, they, energy; EU scope visible. This is a provisional connection, not an outcome finding.</w:t>
      </w:r>
    </w:p>
    <w:p>
      <w:pPr>
        <w:pStyle w:val="SourceNote"/>
      </w:pPr>
      <w:r>
        <w:rPr>
          <w:b/>
        </w:rPr>
        <w:t>Available abstract (not full text):</w:t>
      </w:r>
      <w:r>
        <w:t xml:space="preserve"> Abstract Background The main goal of the paper is to define, analyze and assess the basic security, development and institutional challenges faced by the Central Asian countries after 2022. Following the Covid-19 pandemic, and with the outbreak of the Ukrainian crisis, Europe faced the need to find other sources of energy supply outside the Russian Federation. The Central Asian region is rich in energy resources and is therefore of special importance, but at the same time it is also a region of special geopolitical interest of often conflicting parties - the region for which there are limited information and insufficient academic literature about development, various aspects of security, internal specificities and future challenges. Methods The research included qualitative and quantitative analyses carried out for Kazakhstan, the Kyrgyz Republic, Turkmenistan, Uzbekistan and Tajikistan. Data processing was performed on the basis of 16 selected indicators in the fields of economy, energy, governance and climate change, for the time period from 2011 to 2021. Data processing was performed using the correlation and regression analysis (ANOVA). Results The results showed that energy policy and corruption represent one of the biggest problems faced by the countries of Central Asia, which strongly affects the energy security and sustainable development, not only of the countries of C</w:t>
      </w:r>
    </w:p>
    <w:p>
      <w:pPr/>
      <w:r>
        <w:rPr>
          <w:b/>
        </w:rPr>
        <w:t>POSSIBLE 2022:</w:t>
      </w:r>
      <w:r>
        <w:t xml:space="preserve"> Worst Cases and Reality — https://doi.org/10.1353/apr.2022.0008</w:t>
      </w:r>
    </w:p>
    <w:p>
      <w:pPr/>
      <w:r>
        <w:rPr>
          <w:b/>
        </w:rPr>
        <w:t>Shared claim-specific concepts:</w:t>
      </w:r>
      <w:r>
        <w:t xml:space="preserve"> worst, case, increase, based, four; EU scope visible. This is a provisional connection, not an outcome finding.</w:t>
      </w:r>
    </w:p>
    <w:p>
      <w:pPr>
        <w:pStyle w:val="SourceNote"/>
      </w:pPr>
      <w:r>
        <w:rPr>
          <w:b/>
        </w:rPr>
        <w:t>Available abstract (not full text):</w:t>
      </w:r>
      <w:r>
        <w:t xml:space="preserve"> Worst Cases and Reality Walter C. Clemens Jr. (bio) Samuel F. Wells. Fearing the Worst: How Korea Transformed the Cold War. New York: Columbia University Press, 2020. Charles J. Hanley. Ghost Flames: Life and Death in a Hidden War, Korea 1950–1953. New York: PublicAffairs, 2020. Based mainly on official documents and scholarly writings, fearing the Worst reviews the Korean War mainly from the perspective of governments. Ghost Flames views the war as experienced by twenty individuals. It is based on interviews and private papers as well as archival documents and reports by the South Korean Truth and Reconciliation Commission. Taken together, these two books provide a top-down and bottom-up picture of terrible events that still haunt and ricochet in world affairs. Actions derive from perceptions and hopes that produce beliefs or, at least, working assumptions. Sometimes reality intrudes to challenge or reinforce those assumptions. All the major powers from the late 1940s to the early 1950s were like blind people bumping into one another in a forest. The Truman administration believed that Stalin and Mao Zedong were close partners determined to spread communism. Not until war began did Washington see North Korea as a threat to peace and stability. American leaders in 1949 and 1950 said that the US defense perimeter excluded Taiwan and the Republic of Korea (ROK). The United States</w:t>
      </w:r>
    </w:p>
    <w:p>
      <w:pPr/>
      <w:r>
        <w:rPr>
          <w:b/>
        </w:rPr>
        <w:t>POSSIBLE 2022:</w:t>
      </w:r>
      <w:r>
        <w:t xml:space="preserve"> Minimization of the Worst Case Average Energy Consumption in UAV-Assisted IoT Networks — https://doi.org/10.1109/jiot.2022.3150419</w:t>
      </w:r>
    </w:p>
    <w:p>
      <w:pPr/>
      <w:r>
        <w:rPr>
          <w:b/>
        </w:rPr>
        <w:t>Shared claim-specific concepts:</w:t>
      </w:r>
      <w:r>
        <w:t xml:space="preserve"> worst, case, energy; EU scope not established. This is a provisional connection, not an outcome finding.</w:t>
      </w:r>
    </w:p>
    <w:p>
      <w:pPr>
        <w:pStyle w:val="SourceNote"/>
      </w:pPr>
      <w:r>
        <w:rPr>
          <w:b/>
        </w:rPr>
        <w:t>Available abstract (not full text):</w:t>
      </w:r>
      <w:r>
        <w:t xml:space="preserve"> The Internet of Things (IoT) brings connectivity to a massive number of devices that demand energy-efficient solutions to deal with limited battery capacities, uplink-dominant traffic, and channel impairments. In this work, we explore the use of Unmanned Aerial Vehicles (UAVs) equipped with configurable antennas as a flexible solution for serving low-power IoT networks. We formulate an optimization problem to set the position and antenna beamwidth of the UAV, and the transmit power of the IoT devices subject to average-Signal-to-average-Interference-plus-Noise Ratio Quality of Service (QoS) constraints. We minimize the worst-case average energy consumption of the latter, thus, targeting the fairest allocation of the energy resources. The problem is non-convex and highly non-linear; therefore, we re-formulate it as a series of three geometric programs that can be solved iteratively. Results reveal the benefits of planning the network compared to a random deployment in terms of reducing the worst-case average energy consumption. Furthermore, we show that the target average-Signal-to-average-Interference-plus-Noise Ratio is limited by the number of IoT devices, and highlight the dominant impact of the UAV hovering height when serving wider areas. Our proposed algorithm outperforms other optimization benchmarks in terms of minimizing the average energy consumption at the most energ</w:t>
      </w:r>
    </w:p>
    <w:p>
      <w:pPr/>
      <w:r>
        <w:rPr>
          <w:b/>
        </w:rPr>
        <w:t>POSSIBLE 2022:</w:t>
      </w:r>
      <w:r>
        <w:t xml:space="preserve"> Design and performance predictions of plus energy neighbourhoods – Case studies of demonstration projects in four different European climates — https://doi.org/10.1016/j.enbuild.2022.112447</w:t>
      </w:r>
    </w:p>
    <w:p>
      <w:pPr/>
      <w:r>
        <w:rPr>
          <w:b/>
        </w:rPr>
        <w:t>Shared claim-specific concepts:</w:t>
      </w:r>
      <w:r>
        <w:t xml:space="preserve"> worst, case, energy, based, four; EU scope visible. This is a provisional connection, not an outcome finding.</w:t>
      </w:r>
    </w:p>
    <w:p>
      <w:pPr>
        <w:pStyle w:val="SourceNote"/>
      </w:pPr>
      <w:r>
        <w:rPr>
          <w:b/>
        </w:rPr>
        <w:t>Available abstract (not full text):</w:t>
      </w:r>
      <w:r>
        <w:t xml:space="preserve"> The article presents the design of four plus energy neighbourhood demonstration projects located in different climate zones in Europe. The demo projects are a part of the Horizon 2020 project ‘syn.ikia’, which aims to enable the development of sustainable plus energy neighbourhoods in different climates and contexts. In this article, we describe the active and passive building strategies and analyse the robustness of the designs with respect to different scenarios of climate change, user behaviour, and energy flexibility. Analyses were performed based on the primary energy balance, including space heating and cooling, ventilation, domestic hot water, and lighting. The performance predictions indicate that all demonstration projects may attain the plus energy balance according to the syn.ikia definition. This was achieved with high performing envelopes, efficient HVAC systems, and onsite renewable energy systems to cover the energy demand. The analysis shows that there is a significant potential for increased self-consumption of photovoltaic energy by adjusting the heating schedules and including electric vehicle charging. Testing of the designs with respect to varying climates and user-behaviours showed that there could be an increased risk of overheating, and that some of the designs may not achieve the positive energy balance in case of ‘worst case’ user behaviour scenarios.</w:t>
      </w:r>
    </w:p>
    <w:p>
      <w:pPr/>
      <w:r>
        <w:rPr>
          <w:b/>
        </w:rPr>
        <w:t>POSSIBLE 2022:</w:t>
      </w:r>
      <w:r>
        <w:t xml:space="preserve"> Analysing the real-world fuel and energy consumption of conventional and electric cars in Europe — https://doi.org/10.1016/j.enconman.2022.116161</w:t>
      </w:r>
    </w:p>
    <w:p>
      <w:pPr/>
      <w:r>
        <w:rPr>
          <w:b/>
        </w:rPr>
        <w:t>Shared claim-specific concepts:</w:t>
      </w:r>
      <w:r>
        <w:t xml:space="preserve"> worst, case, energy; EU scope visible. This is a provisional connection, not an outcome finding.</w:t>
      </w:r>
    </w:p>
    <w:p>
      <w:pPr>
        <w:pStyle w:val="SourceNote"/>
      </w:pPr>
      <w:r>
        <w:rPr>
          <w:b/>
        </w:rPr>
        <w:t>Available abstract (not full text):</w:t>
      </w:r>
      <w:r>
        <w:t xml:space="preserve"> The transport sector constitutes one of the main sources of greenhouse gas emissions in the European Union. Although the literature is rich in studies assessing the factors influencing energy consumption in real world driving, few analyse the divergence between certified and real-world consumption on a fleet level and annual temporal resolution. The present work builds on the findings of previous studies to provide a complete simulation-based approach for fleet-level projections in real-world scenarios. A tailored simulation framework for fleet-wide analysis has been updated and validated extensively for current vehicle configurations. In addition to modelling, the analysis used data describing real-world conditions and vehicle characteristics representative of the European passenger car fleet and operation profile. Validation demonstrates good accuracy in simulating the vehicle measured consumption values with a near-zero mean error when simulating laboratory and on-road measurements. The impact of the certification procedure was quantified at 6% for both the combustion engine and battery electric vehicles. The influence of real-world factors such as traffic, ambient temperature and cabin air conditioning was quantified, and the results show a greater energy impact in the cold than in warm conditions. Different operating conditions were simulated to investigate the model’s cap</w:t>
      </w:r>
    </w:p>
    <w:p>
      <w:pPr>
        <w:pStyle w:val="Heading2"/>
      </w:pPr>
      <w:r>
        <w:t>592. Energy Portfolio of the Eastern Poland Macroregion in the European Union</w:t>
      </w:r>
    </w:p>
    <w:p>
      <w:pPr>
        <w:pStyle w:val="SourceNote"/>
      </w:pPr>
      <w:r>
        <w:rPr>
          <w:b/>
        </w:rPr>
        <w:t>Original source (2021):</w:t>
      </w:r>
      <w:r>
        <w:t xml:space="preserve"> https://doi.org/10.3390/en14248426</w:t>
      </w:r>
    </w:p>
    <w:p>
      <w:pPr/>
      <w:r>
        <w:t>Original wording (abstract; indexed_source_text_not_full_document_verified): It is predicted that by 2030, the following sources will change their positions within the portfolio for the Eastern Poland macroregion: solar energy, wind energy and bioenergy. The aim of this article is to identify the conditions and reasons for the transformation of the energy portfolio of the Eastern Poland macroregion, and to define the directions of the energy portfolio evolution caused by the need to implement the goals of the European Green Deal by 2030, in order to consequently develop the forecast energy portfolio for the Eastern Poland macroregion.</w:t>
      </w:r>
    </w:p>
    <w:p>
      <w:pPr/>
      <w:r>
        <w:rPr>
          <w:b/>
        </w:rPr>
        <w:t>POSSIBLE 2026:</w:t>
      </w:r>
      <w:r>
        <w:t xml:space="preserve"> The predictors of party group bargaining success in the European Parliament — https://doi.org/10.1177/14651165261423104</w:t>
      </w:r>
    </w:p>
    <w:p>
      <w:pPr/>
      <w:r>
        <w:rPr>
          <w:b/>
        </w:rPr>
        <w:t>Shared claim-specific concepts:</w:t>
      </w:r>
      <w:r>
        <w:t xml:space="preserve"> positions, within, article; EU scope visible. This is a provisional connection, not an outcome finding.</w:t>
      </w:r>
    </w:p>
    <w:p>
      <w:pPr>
        <w:pStyle w:val="SourceNote"/>
      </w:pPr>
      <w:r>
        <w:rPr>
          <w:b/>
        </w:rPr>
        <w:t>Available abstract (not full text):</w:t>
      </w:r>
      <w:r>
        <w:t xml:space="preserve"> This article examines the predictors of European Party Groups’ bargaining success in internal negotiations within the European Parliament. It evaluates theories relating to pivotality in the policy space, agenda-setting power, strategic anticipation of interinstitutional bargaining, and internal group cohesion. Understanding these mechanisms is crucial because parliamentary agreements structure trilogue negotiations, ultimately affecting the European Union's legislative outcomes. Drawing on an original interview-based dataset covering 31 legislative proposals in the 9th Parliament (2019–2024), the study directly measures party group preferences and compares them to the positions adopted in parliamentary opinions. The findings show that mandates tend to follow the grand coalition median rather than the body's median as a whole, rapporteurs systematically benefit their groups, and internal cohesion unexpectedly reduces bargaining success. The negative impact of proximity to the Council suggests strategic positioning for trilogues, whereas alignment with the Commission and non-lead committee rapporteurships shows little effect. Together, the results provide a systematic account of bargaining in the modern European Parliament, offering a platform for future research.</w:t>
      </w:r>
    </w:p>
    <w:p>
      <w:pPr/>
      <w:r>
        <w:rPr>
          <w:b/>
        </w:rPr>
        <w:t>POSSIBLE 2026:</w:t>
      </w:r>
      <w:r>
        <w:t xml:space="preserve"> Within‐Day Variations in Infant Body Position Predict Caregiver Speech Input — https://doi.org/10.1111/desc.70120</w:t>
      </w:r>
    </w:p>
    <w:p>
      <w:pPr/>
      <w:r>
        <w:rPr>
          <w:b/>
        </w:rPr>
        <w:t>Shared claim-specific concepts:</w:t>
      </w:r>
      <w:r>
        <w:t xml:space="preserve"> predicted, positions, within; EU scope not established. This is a provisional connection, not an outcome finding.</w:t>
      </w:r>
    </w:p>
    <w:p>
      <w:pPr>
        <w:pStyle w:val="SourceNote"/>
      </w:pPr>
      <w:r>
        <w:rPr>
          <w:b/>
        </w:rPr>
        <w:t>Available abstract (not full text):</w:t>
      </w:r>
      <w:r>
        <w:t xml:space="preserve"> Infants' time spent in different body positions varies substantially within a day: lying supine on their backs, crawling or playing while prone on their bellies, sitting on the floor or in seating devices, standing or walking upright on two feet, and held by an adult. Infants may spend long periods in one position, such as sitting in a highchair, followed by periods of switching positions (e.g., prone and upright), such as during play. Speech input has been linked with infants' placement and motor development. Here, we extend past work to ask whether adults speak more frequently depending on infants' time spent in different body positions throughout the day. We gathered home recordings from 64 infants in two age groups, 4-7 months and 11-14 months, using movement sensors to measure body position and a LENA audio recorder to estimate adult word count. Data were analyzed in 10-min bins throughout the day to determine whether within-day differences in infants' time spent in each position were associated with the frequency of adult's speech. Indeed, increased time spent supine and prone predicted fewer adult words, whereas increased time sitting and held predicted increases in word count. Upright was age dependent, with more time spent upright predicting an increase in word count for younger infants, but a decrease for older infants. These findings reveal the importance of consider</w:t>
      </w:r>
    </w:p>
    <w:p>
      <w:pPr/>
      <w:r>
        <w:rPr>
          <w:b/>
        </w:rPr>
        <w:t>POSSIBLE 2026:</w:t>
      </w:r>
      <w:r>
        <w:t xml:space="preserve"> Exploring European Memory of the 1897 Lattimer Massacre with Predictive AI — https://doi.org/10.1007/s10761-026-00818-9</w:t>
      </w:r>
    </w:p>
    <w:p>
      <w:pPr/>
      <w:r>
        <w:rPr>
          <w:b/>
        </w:rPr>
        <w:t>Shared claim-specific concepts:</w:t>
      </w:r>
      <w:r>
        <w:t xml:space="preserve"> following, sources, conditions; EU scope visible. This is a provisional connection, not an outcome finding.</w:t>
      </w:r>
    </w:p>
    <w:p>
      <w:pPr>
        <w:pStyle w:val="SourceNote"/>
      </w:pPr>
      <w:r>
        <w:rPr>
          <w:b/>
        </w:rPr>
        <w:t>Available abstract (not full text):</w:t>
      </w:r>
      <w:r>
        <w:t xml:space="preserve"> Abstract Some historical archaeologists work in places colonized by countries whose language is other than that spoken by the researcher. Many of these projects have not consulted the relevant foreign-language literature, which could provide additional context for interpreting their findings. Predictive AI offers the unique advantage of rapidly accessing, translating, and synthesizing foreign language sources that may otherwise remain inaccessible due to language barriers. The following is an example of a little known international labor tragedy that occurred in northeastern Pennsylvania in 1897, when immigrant coal miners went on strike for better pay and working conditions. At least 19 men were killed and 38 wounded, and most of the victims were citizens of the Austro-Hungarian Empire. Much of the incident and its aftermath have been reconstructed using English-language newspapers, court records, and oral histories. Due to language barriers, scholars have not examined how the victims' home countries recorded and perceived the incident. Using predictive AI enables researchers to create workable translations of these perspectives with a level of speed and scale previously unattainable, broadening the historical context of this incident. This approach provides an example for others whose work spans international boundaries and languages.</w:t>
      </w:r>
    </w:p>
    <w:p>
      <w:pPr/>
      <w:r>
        <w:rPr>
          <w:b/>
        </w:rPr>
        <w:t>POSSIBLE 2026:</w:t>
      </w:r>
      <w:r>
        <w:t xml:space="preserve"> Source code for "How Much EEG Is Needed for Deep Learning with Convolutional Neural Networks? Predicting the Benefit from Additional Data" — https://doi.org/10.5281/zenodo.18403059</w:t>
      </w:r>
    </w:p>
    <w:p>
      <w:pPr/>
      <w:r>
        <w:rPr>
          <w:b/>
        </w:rPr>
        <w:t>Shared claim-specific concepts:</w:t>
      </w:r>
      <w:r>
        <w:t xml:space="preserve"> following, sources, within; EU scope visible. This is a provisional connection, not an outcome finding.</w:t>
      </w:r>
    </w:p>
    <w:p>
      <w:pPr>
        <w:pStyle w:val="SourceNote"/>
      </w:pPr>
      <w:r>
        <w:rPr>
          <w:b/>
        </w:rPr>
        <w:t>Available abstract (not full text):</w:t>
      </w:r>
      <w:r>
        <w:t xml:space="preserve"> This source code enables the reproduction of all results in the paper, including the generation of training data subsets, the fitting of different learning curve models, and the prediction for larger datasets. For details about the method, please refer to the following publication: Seibel et al. (2026) How Much EEG Is Needed for Deep Learning with Convolutional Neural Networks? Predicting the Benefit from Additional Data. Journal of Neural Engineering, https://doi.org/10.1088/1741-2552/ae453d When using the code or the data, please cite the corresponding paper. Thank you. Acknowledgments and Funding Sources The research was supported by the Free State of Thuringia grant ThiMEDOP (2018 IZN 0004) with funds from the European Union (EFRE), the German Federal Ministry of Education and Research (BMBF) grants AVATAR and AVATAR-Transfer (16KISA024 and 16KIS2583, funded by the European Union - NextGenerationEU), by the Carl Zeiss Stiftung under the CZS Breakthroughs programme within the ”PollenNet” project (Grant number: P2022-08-006), and the German Academic Exchange Service (DAAD PPP 57599925).</w:t>
      </w:r>
    </w:p>
    <w:p>
      <w:pPr/>
      <w:r>
        <w:rPr>
          <w:b/>
        </w:rPr>
        <w:t>POSSIBLE 2025:</w:t>
      </w:r>
      <w:r>
        <w:t xml:space="preserve"> Surgical Success and Predictive Factors for Residual Stones Following Supine Percutaneous Nephrolithotomy in the Galdakao-Modified Valdivia Position — https://doi.org/10.4274/mmj.galenos.2025.59265</w:t>
      </w:r>
    </w:p>
    <w:p>
      <w:pPr/>
      <w:r>
        <w:rPr>
          <w:b/>
        </w:rPr>
        <w:t>Shared claim-specific concepts:</w:t>
      </w:r>
      <w:r>
        <w:t xml:space="preserve"> predicted, following, identify; EU scope not established. This is a provisional connection, not an outcome finding.</w:t>
      </w:r>
    </w:p>
    <w:p>
      <w:pPr>
        <w:pStyle w:val="SourceNote"/>
      </w:pPr>
      <w:r>
        <w:rPr>
          <w:b/>
        </w:rPr>
        <w:t>Available abstract (not full text):</w:t>
      </w:r>
      <w:r>
        <w:t xml:space="preserve"> Objective: Supine percutaneous nephrolithotomy (sPCNL) is widely accepted as a safe and effective treatment for kidney stones. This study aims to assess surgical outcomes and identify predictive factors for residual fragments following sPCNL in the Galdakao-modified Valdivia position (GMV-sPCNL). Methods: We retrospectively evaluated the clinical data of patients undergoing GMV-sPCNL. The primary outcomes were the stone-free rate (SFR) and the complication rate. Demographic, radiologic, and perioperative parameters were also compared between patients with and without residual stones. Results: 195 patients [Male:127 (65.1%); Female: 68 (34.9%)] were included. The mean age was 48.6±15.6 years; the mean body mass index (BMI) was 27.4±5 kg/m2. The overall SFR was 83.1%. Residual stones were associated with greater stone burden (number, size, surface area, and volume), longer operative time, and longer hospitalization (p&lt;0.05). Gender, age, BMI, stone laterality, and density were not significantly associated with SFR. The receiver operating characteristic analysis showed that having more than two stones, a stone size ≥26 mm, or a stone volume ≥2639.8 mm3 significantly predicted residual fragments. Stone volume demonstrated the best predictive performance, with sensitivity and specificity of 81.8% and 61.0%, respectively. GMV-sPCNL was associated with a low overall complication rate:</w:t>
      </w:r>
    </w:p>
    <w:p>
      <w:pPr/>
      <w:r>
        <w:rPr>
          <w:b/>
        </w:rPr>
        <w:t>POSSIBLE 2024:</w:t>
      </w:r>
      <w:r>
        <w:t xml:space="preserve"> Predicting atrial fibrillation risk following embolic stroke of unknown source using cardiac magnetic resonance imaging — https://doi.org/10.1093/europace/euae102.252</w:t>
      </w:r>
    </w:p>
    <w:p>
      <w:pPr/>
      <w:r>
        <w:rPr>
          <w:b/>
        </w:rPr>
        <w:t>Shared claim-specific concepts:</w:t>
      </w:r>
      <w:r>
        <w:t xml:space="preserve"> following, within, identify, need; EU scope visible. This is a provisional connection, not an outcome finding.</w:t>
      </w:r>
    </w:p>
    <w:p>
      <w:pPr>
        <w:pStyle w:val="SourceNote"/>
      </w:pPr>
      <w:r>
        <w:rPr>
          <w:b/>
        </w:rPr>
        <w:t>Available abstract (not full text):</w:t>
      </w:r>
      <w:r>
        <w:t xml:space="preserve"> Abstract Background Approximately 25% of embolic strokes of unknown source (ESUS) are attributed to undiagnosed atrial fibrillation (AF).1 The European Stroke Organisation (ESO) recommends implantable loop recorder (ILR) monitoring to identify ESUS patients with AF, permit the initiation of anticoagulation and reduce risk of recurrent stroke.2 However, this approach delays treatment and carries significant cost and resource implications. An alternative approach, where early anticoagulation is initiated in the absence of AF has failed to reduce recurrent stroke in four randomised controlled trials (NAVIGATE ESUS, RE-SPECT ESUS, ATTICUS and ARCADIA).3-6 An urgent need exists for new strategies to identify ESUS patients with undiagnosed AF that are at high risk of future thromboembolism. Purpose The primary objective of this study was to produce a substrate-based predictive model for AF in ESUS patients using atrial cardiac magnetic resonance imaging (CMRi). Method The Atrial CARdiac Magnetic resonance imaging in patients with embolic stroke of unknown source without documented AF (CARM-AF) Study is a prospective, multi-centre, observational study. All patients underwent CMRi and ILR insertion for AF detection within 3 months of ESUS. The main inclusion criteria were expected survival &gt;12 months, CHA2DS2VASc≥3 and eGFR &gt;30ml/min. Patients were allocated to the study group if AF &gt;3</w:t>
      </w:r>
    </w:p>
    <w:p>
      <w:pPr/>
      <w:r>
        <w:rPr>
          <w:b/>
        </w:rPr>
        <w:t>POSSIBLE 2024:</w:t>
      </w:r>
      <w:r>
        <w:t xml:space="preserve"> Climatic Predictors of Long‐Distance Migratory Birds Breeding Productivity Across Europe — https://doi.org/10.1111/geb.13901</w:t>
      </w:r>
    </w:p>
    <w:p>
      <w:pPr/>
      <w:r>
        <w:rPr>
          <w:b/>
        </w:rPr>
        <w:t>Shared claim-specific concepts:</w:t>
      </w:r>
      <w:r>
        <w:t xml:space="preserve"> predicted, aim, conditions; EU scope visible. This is a provisional connection, not an outcome finding.</w:t>
      </w:r>
    </w:p>
    <w:p>
      <w:pPr>
        <w:pStyle w:val="SourceNote"/>
      </w:pPr>
      <w:r>
        <w:rPr>
          <w:b/>
        </w:rPr>
        <w:t>Available abstract (not full text):</w:t>
      </w:r>
      <w:r>
        <w:t xml:space="preserve"> ABSTRACT Aim Ongoing climate changes represent a major determinant of demographic processes in many organisms worldwide. Birds, and especially long‐distance migrants, are particularly sensitive to such changes. To better understand these impacts on long‐distance migrants' breeding productivity, we tested three hypotheses focused on (i) the shape of the relationships with different climate variables, including previously rarely tested quadratic responses, and on regional differences in these relationships predicted by (ii) mean climatic conditions and (iii) by the rate of climate change in respective regions ranging from Spain to Finland. Location Europe. Time Period 2004–2021. Major Taxa Studied Long‐distance migratory passerine birds. Methods We calculated breeding productivity from constant effort ringing sites from 11 European countries covering 34° of latitude, and extracted temperature‐ and precipitation‐related climate variables from E‐OBS and NASA MODIS datasets. To test our hypotheses, we fitted GLMM and Bayesian meta‐analytic models. Results We revealed hump‐shaped responses of productivity to temperature, growing degree‐days, green‐up onset date, and precipitation anomaly, and negative responses to intense and prolonged rains across the regions. The effects of March temperature and April growing degree‐days were more negative in cold than in warm regions, except for t</w:t>
      </w:r>
    </w:p>
    <w:p>
      <w:pPr/>
      <w:r>
        <w:rPr>
          <w:b/>
        </w:rPr>
        <w:t>POSSIBLE 2024:</w:t>
      </w:r>
      <w:r>
        <w:t xml:space="preserve"> TOPAS-CH4: a service for methane monitoring, source attribution and emission reduction over Europe — https://doi.org/10.5194/egusphere-egu24-8844</w:t>
      </w:r>
    </w:p>
    <w:p>
      <w:pPr/>
      <w:r>
        <w:rPr>
          <w:b/>
        </w:rPr>
        <w:t>Shared claim-specific concepts:</w:t>
      </w:r>
      <w:r>
        <w:t xml:space="preserve"> predicted, following, sources, identify; EU scope visible. This is a provisional connection, not an outcome finding.</w:t>
      </w:r>
    </w:p>
    <w:p>
      <w:pPr>
        <w:pStyle w:val="SourceNote"/>
      </w:pPr>
      <w:r>
        <w:rPr>
          <w:b/>
        </w:rPr>
        <w:t>Available abstract (not full text):</w:t>
      </w:r>
      <w:r>
        <w:t xml:space="preserve"> Methane (CH4) is the second-largest contributor to the anthropogenic greenhouse effect, and have been the focus of recent climate summits and global commitments towards emission reductions. To mitigate and study the impact of anthropogenic CH4 emissions, the European Union started AVENGERS, a research and innovation project funded under the Horizon Europe, with 13 Partners from 6 countries, whose objective is to reconcile reported greenhouse gasses (GHGs) emissions with independent information from atmospheric observations using top-down methods and process-based models, and thereby reduce the most important uncertainties of national emission inventories.Here, we present TOPAS-CH4, an operational service developed by TNO as part of the AVENGERS project, following the example of a previous TNO source apportionment tool for particulate matter. This online public service provides users with the relevant daily information on CH4 concentrations over the EU countries, and how much different sources contribute to these observed concentrations. TOPAS CH4 is based on the chemical transport model, LOTOS-EUROS, that runs daily to simulate source-labelled CH4 concentrations over Europe. The predicted CH4 concentrations are compared with the Integrated Carbon Observation System (ICOS) observations on a daily basis, showing that LOTOS-EUROS is able to realistically simulate the CH4 volume mi</w:t>
      </w:r>
    </w:p>
    <w:p>
      <w:pPr/>
      <w:r>
        <w:rPr>
          <w:b/>
        </w:rPr>
        <w:t>POSSIBLE 2024:</w:t>
      </w:r>
      <w:r>
        <w:t xml:space="preserve"> Housing affordability and poverty in Europe: on the deteriorating position of market renters — https://doi.org/10.1017/s0047279423000703</w:t>
      </w:r>
    </w:p>
    <w:p>
      <w:pPr/>
      <w:r>
        <w:rPr>
          <w:b/>
        </w:rPr>
        <w:t>Shared claim-specific concepts:</w:t>
      </w:r>
      <w:r>
        <w:t xml:space="preserve"> within, aim, conditions; EU scope visible. This is a provisional connection, not an outcome finding.</w:t>
      </w:r>
    </w:p>
    <w:p>
      <w:pPr>
        <w:pStyle w:val="SourceNote"/>
      </w:pPr>
      <w:r>
        <w:rPr>
          <w:b/>
        </w:rPr>
        <w:t>Available abstract (not full text):</w:t>
      </w:r>
      <w:r>
        <w:t xml:space="preserve"> Abstract There are growing concerns about housing affordability throughout Europe. Recent studies by Housing Europe and the OECD have suggested that we are witnessing a generalised deterioration in housing affordability, while other studies point to worsening housing affordability for specific groups, such as renters or low-income households. The aim of this paper is to explore trends in, and incidences and determinants of, housing affordability in a comparative European context over the period 2010 to 2018. To do this we analyse data from the EU Statistics on Income and Living Conditions survey. We examine trends across different measures of housing affordability; examine its association with a variety of socio-economic characteristics and explore country-level differences in housing affordability problems. Our study finds that despite claims of worsening housing affordability, affordability measures show little sign of generalised deterioration over the period in question but that risks of affordability problems have become more concentrated on market renters during this period. At the country level, we find that gross domestic product (GDP) per capita and the at-risk-of-poverty rate are associated with housing affordability problems both between countries as well as within countries over time, while housing allowance coverage and rent regulation stringency are associated wit</w:t>
      </w:r>
    </w:p>
    <w:p>
      <w:pPr/>
      <w:r>
        <w:rPr>
          <w:b/>
        </w:rPr>
        <w:t>POSSIBLE 2023:</w:t>
      </w:r>
      <w:r>
        <w:t xml:space="preserve"> Predicting the distribution of Ixodes ricinus and Dermacentor reticulatus in Europe: a comparison of climate niche modelling approaches — https://doi.org/10.1186/s13071-023-05959-y</w:t>
      </w:r>
    </w:p>
    <w:p>
      <w:pPr/>
      <w:r>
        <w:rPr>
          <w:b/>
        </w:rPr>
        <w:t>Shared claim-specific concepts:</w:t>
      </w:r>
      <w:r>
        <w:t xml:space="preserve"> following, sources, within, aim, define; EU scope visible. This is a provisional connection, not an outcome finding.</w:t>
      </w:r>
    </w:p>
    <w:p>
      <w:pPr>
        <w:pStyle w:val="SourceNote"/>
      </w:pPr>
      <w:r>
        <w:rPr>
          <w:b/>
        </w:rPr>
        <w:t>Available abstract (not full text):</w:t>
      </w:r>
      <w:r>
        <w:t xml:space="preserve"> BACKGROUND: The ticks Ixodes ricinus and Dermacentor reticulatus are two of the most important vectors in Europe. Climate niche modelling has been used in many studies to attempt to explain their distribution and to predict changes under a range of climate change scenarios. The aim of this study was to assess the ability of different climate niche modelling approaches to explain the known distribution of I. ricinus and D. reticulatus in Europe. METHODS: A series of climate niche models, using different combinations of input data, were constructed and assessed. Species occurrence records obtained from systematic literature searches and Global Biodiversity Information Facility data were thinned to different degrees to remove sampling spatial bias. Four sources of climate data were used: bioclimatic variables, WorldClim, TerraClimate and MODIS satellite-derived data. Eight different model training extents were examined and three modelling frameworks were used: maximum entropy, generalised additive models and random forest models. The results were validated through internal cross-validation, comparison with an external independent dataset and expert opinion. RESULTS: The performance metrics and predictive ability of the different modelling approaches varied significantly within and between each species. Different combinations were better able to define the distribution of each of t</w:t>
      </w:r>
    </w:p>
    <w:p>
      <w:pPr/>
      <w:r>
        <w:rPr>
          <w:b/>
        </w:rPr>
        <w:t>POSSIBLE 2023:</w:t>
      </w:r>
      <w:r>
        <w:t xml:space="preserve"> A Simple and Effective Model for Predicting the Thermal Energy Requirements of Greenhouses in Europe — https://doi.org/10.3390/en16196788</w:t>
      </w:r>
    </w:p>
    <w:p>
      <w:pPr/>
      <w:r>
        <w:rPr>
          <w:b/>
        </w:rPr>
        <w:t>Shared claim-specific concepts:</w:t>
      </w:r>
      <w:r>
        <w:t xml:space="preserve"> solar, energy, conditions; EU scope visible. This is a provisional connection, not an outcome finding.</w:t>
      </w:r>
    </w:p>
    <w:p>
      <w:pPr>
        <w:pStyle w:val="SourceNote"/>
      </w:pPr>
      <w:r>
        <w:rPr>
          <w:b/>
        </w:rPr>
        <w:t>Available abstract (not full text):</w:t>
      </w:r>
      <w:r>
        <w:t xml:space="preserve"> In this paper, a simple model is proposed for predicting the thermal energy requirements of greenhouses in Europe. The model estimates the annual heating requirements and the maximum required heating power, along with the corresponding heating and zero-energy operating periods. It is based on the greenhouse technical data (the overall heat loss coefficient, cover transmission, sensible absorbance), the cultivation conditions (temperature range), and the meteorological data (solar radiation and ambient temperature) according to the site characteristics (longitude and latitude). The model results can be obtained using a hand calculator. The model results are compared with those of a detailed model simulating a greenhouse’s thermal performance and they agreed with real data from the literature. Moreover, a model sensitivity analysis revealed the effect of various factors on the greenhouse’s energy requirements. The results proved that the most significant factor affecting heating requirements, the maximum heating power, and heating periods is the latitude of the greenhouse site, whereas zero-energy periods are primarily influenced by the plant cultivation temperature range and then by the latitude. According to our findings, in lower latitudes (40 to 50 degrees), heating requirements range from 250 to 430 kWh/m2/y, whereas, in higher latitudes (50 to 60 degrees), heating needs ran</w:t>
      </w:r>
    </w:p>
    <w:p>
      <w:pPr/>
      <w:r>
        <w:rPr>
          <w:b/>
        </w:rPr>
        <w:t>POSSIBLE 2023:</w:t>
      </w:r>
      <w:r>
        <w:t xml:space="preserve"> Prospects for the use of artificial intelligence to predict the spread of tuberculosis infection in the WHO European Region — https://doi.org/10.30978/tb2023-2-86</w:t>
      </w:r>
    </w:p>
    <w:p>
      <w:pPr/>
      <w:r>
        <w:rPr>
          <w:b/>
        </w:rPr>
        <w:t>Shared claim-specific concepts:</w:t>
      </w:r>
      <w:r>
        <w:t xml:space="preserve"> following, identify, conditions; EU scope visible. This is a provisional connection, not an outcome finding.</w:t>
      </w:r>
    </w:p>
    <w:p>
      <w:pPr>
        <w:pStyle w:val="SourceNote"/>
      </w:pPr>
      <w:r>
        <w:rPr>
          <w:b/>
        </w:rPr>
        <w:t>Available abstract (not full text):</w:t>
      </w:r>
      <w:r>
        <w:t xml:space="preserve"> Objective — to analyze the prospects of using artificial intelligence and neural networks to create a geospa­tial model of TB transmission and forecast its spread in the WHO European Region using available analytical databases. Materials and methods. The research was carried out for the period October 2022 — March 2023. Digital access to the following full-text and abstract databases was used as the main source of research: the EBSCO Information Base Package, the world’s largest single abstract and scientific metric platform Scopus, the freely accessible search system Google Scholar, MEDLINE with Full Text, Dyna Med Plus, EBSCO eBooks Clinical Collection, the abstract and scientific metric database of scientific publications of the Thomson Reuters Web of Science Core Collection WoS, statistical data from the Ministry of Health of Ukraine and the Public Health Center, SCIE, SSCI, the online database of the National Scientific Medical Library of Ukraine, AHCI. Results and discussion. Migration processes in Europe still remain a global trend and create difficulties for countries that receive migrants. Adverse living conditions, close contact, poor nutrition, mental and physical stress are what refugees and migrants face. The combination of these risk factors and insufficient access to health services increases the vulnerability of refugees to TB infection. In addition, a delay in </w:t>
      </w:r>
    </w:p>
    <w:p>
      <w:pPr>
        <w:pStyle w:val="Heading2"/>
      </w:pPr>
      <w:r>
        <w:t>593. Energy transition scenarios: What policies, societal attitudes, and technology developments will realize the EU Green Deal?</w:t>
      </w:r>
    </w:p>
    <w:p>
      <w:pPr>
        <w:pStyle w:val="SourceNote"/>
      </w:pPr>
      <w:r>
        <w:rPr>
          <w:b/>
        </w:rPr>
        <w:t>Original source (2021):</w:t>
      </w:r>
      <w:r>
        <w:t xml:space="preserve"> https://doi.org/10.1016/j.energy.2021.122067</w:t>
      </w:r>
    </w:p>
    <w:p>
      <w:pPr/>
      <w:r>
        <w:t>Original wording (abstract; indexed_source_text_not_full_document_verified): Through analyzing four pathways (shaped by the crossroads of policy-technology-society developments), results indicate that high electrification rates are imminent to achieve a rapid decarbonization. In this paper, we present an original set of future storylines until the year 2050 to inspire modelers, policy makers, industry actors, and the public to understand: Without technological developments in the next decades, to what extent can we rely on societal commitment or stronger cooperation within the EU to achieve climate targets?</w:t>
      </w:r>
    </w:p>
    <w:p>
      <w:pPr/>
      <w:r>
        <w:rPr>
          <w:b/>
        </w:rPr>
        <w:t>POSSIBLE 2026:</w:t>
      </w:r>
      <w:r>
        <w:t xml:space="preserve"> Complementary pathways and community sponsorship in Europe: benefits, challenges and policy recommendations — https://doi.org/10.1080/17448689.2026.2704516</w:t>
      </w:r>
    </w:p>
    <w:p>
      <w:pPr/>
      <w:r>
        <w:rPr>
          <w:b/>
        </w:rPr>
        <w:t>Shared claim-specific concepts:</w:t>
      </w:r>
      <w:r>
        <w:t xml:space="preserve"> pathways, high; EU scope visible. This is a provisional connection, not an outcome finding.</w:t>
      </w:r>
    </w:p>
    <w:p>
      <w:pPr>
        <w:pStyle w:val="SourceNote"/>
      </w:pPr>
      <w:r>
        <w:rPr>
          <w:b/>
        </w:rPr>
        <w:t>Available abstract (not full text):</w:t>
      </w:r>
      <w:r>
        <w:t xml:space="preserve"> This article adopts an explanatory approach to policy analysis to explore Complementary Pathways (CP) and Community Sponsorship (CS) as civil society-led refugee solutions. Drawing on over 200 interviews across Europe, it highlights CP and CS benefits – human-centered reception, integration, and community engagement – as well as challenges like housing shortages, high costs and bureaucratic hurdles. CP and CS can reshape public attitudes, support refugee self-sufficiency, and enhance policy. The study calls for sustainable funding, defined stakeholder roles, and refugee involvement to ensure these programmes complement, not replace, existing protection systems, with recommendations to institutionalize CP and CS for long-term, equitable integration.</w:t>
      </w:r>
    </w:p>
    <w:p>
      <w:pPr/>
      <w:r>
        <w:rPr>
          <w:b/>
        </w:rPr>
        <w:t>POSSIBLE 2026:</w:t>
      </w:r>
      <w:r>
        <w:t xml:space="preserve"> ANALYZING THE FEASIBILITY OF ADOPTING THE HUMAN MEDICINES REGULATORY PATHWAYS OF THE EUROPEAN MEDICINES AGENCY FOR THE AFRICAN MEDICINES AGENCY — https://doi.org/10.5281/zenodo.18206130</w:t>
      </w:r>
    </w:p>
    <w:p>
      <w:pPr/>
      <w:r>
        <w:rPr>
          <w:b/>
        </w:rPr>
        <w:t>Shared claim-specific concepts:</w:t>
      </w:r>
      <w:r>
        <w:t xml:space="preserve"> analyzing, four, pathways; EU scope visible. This is a provisional connection, not an outcome finding.</w:t>
      </w:r>
    </w:p>
    <w:p>
      <w:pPr>
        <w:pStyle w:val="SourceNote"/>
      </w:pPr>
      <w:r>
        <w:rPr>
          <w:b/>
        </w:rPr>
        <w:t>Available abstract (not full text):</w:t>
      </w:r>
      <w:r>
        <w:t xml:space="preserve"> The implementation of the Centralized Procedure (CP) among European countries was facilitated by the establishment of the European Medicines Agency (EMA) in 1995, which is a culmination of the efforts and milestones made during the harmonization of medicines regulation across Europe. Inspired by the success story of human medicines regulatory harmonization among European countries, the African Union (AU) established the African Medicines Agency (AMA). The objective of this article is to assess the feasibility of adapting regulatory procedures analogous to the EMA framework for the African context and to propose a flexible model tailored to the continent's specific needs. Data were collected using four methods, narrative review, scoping review, comparative analysis, and survey, based on the nature of the required data to assess the feasibility of developing harmonized mechanisms for human medicines approvals among African countries. The European regulatory pathways provide valuable preliminary models for regulatory harmonization in Africa. By using the European framework as foundational blueprint rather than initiating models from the ground up, African countries can accelerate the creation of unique and localized regulatory pathways. Harmonized legal bases are prerequisites for harmonized regulatory frameworks. Therefore, revising the AU Model Law on Medical Products Regulation</w:t>
      </w:r>
    </w:p>
    <w:p>
      <w:pPr/>
      <w:r>
        <w:rPr>
          <w:b/>
        </w:rPr>
        <w:t>POSSIBLE 2026:</w:t>
      </w:r>
      <w:r>
        <w:t xml:space="preserve"> Analyzing Well-Being Models: Their Evolution, Limitations, and Future Pathways — https://openalex.org/W7220250897</w:t>
      </w:r>
    </w:p>
    <w:p>
      <w:pPr/>
      <w:r>
        <w:rPr>
          <w:b/>
        </w:rPr>
        <w:t>Shared claim-specific concepts:</w:t>
      </w:r>
      <w:r>
        <w:t xml:space="preserve"> analyzing, pathways, original; EU scope not established. This is a provisional connection, not an outcome finding.</w:t>
      </w:r>
    </w:p>
    <w:p>
      <w:pPr>
        <w:pStyle w:val="SourceNote"/>
      </w:pPr>
      <w:r>
        <w:rPr>
          <w:b/>
        </w:rPr>
        <w:t>Available abstract (not full text):</w:t>
      </w:r>
      <w:r>
        <w:t xml:space="preserve"> This article critically examines the evolution, limitations, and future trajectories of well-being models from antiquity to contemporary discourse. Employing interdisciplinary synthesis and comparative analysis, the study traces well-being conceptualizations from Aristotelian eudaimonia and hedonic traditions through Enlightenment utilitarianism to modern frameworks including Ryff's Psychological Well-Being, Seligman's PERMA model, Self-Determination Theory, and ecological models. A central argument advanced is that dominant Western paradigms exhibit systematic biases—individualism, cultural reductionism, measurement fetishism, and commercial appropriation—that undermine their universal applicability. The article provides an original, mandatory deep analysis of the Islamic well-being paradigm grounded in Falāḥ, sakīnah, tazkiyah al-nafs, and Maqāṣid al-Sharīʿah, incorporating Qur'anic textual evidence and classical scholarship from Al-Ghazālī, Ibn Khaldūn, Shāh Walīullāh, and Ibn Taymiyyah. Methodological critiques address Western-centrism, digital-age mental health challenges, inequality, and ethical concerns surrounding happiness commodification. Future pathways propose holistic, cross-cultural, spiritually integrated models and policy frameworks for sustainable well-being. The article concludes with original theoretical contributions synthesizing Eastern and Western epistemo</w:t>
      </w:r>
    </w:p>
    <w:p>
      <w:pPr/>
      <w:r>
        <w:rPr>
          <w:b/>
        </w:rPr>
        <w:t>POSSIBLE 2025:</w:t>
      </w:r>
      <w:r>
        <w:t xml:space="preserve"> ‘They Take Our Healthcare’: Health and Attitudes towards Immigration in Europe — https://doi.org/10.1177/00104140251342932</w:t>
      </w:r>
    </w:p>
    <w:p>
      <w:pPr/>
      <w:r>
        <w:rPr>
          <w:b/>
        </w:rPr>
        <w:t>Shared claim-specific concepts:</w:t>
      </w:r>
      <w:r>
        <w:t xml:space="preserve"> analyzing, four, pathways; EU scope visible. This is a provisional connection, not an outcome finding.</w:t>
      </w:r>
    </w:p>
    <w:p>
      <w:pPr>
        <w:pStyle w:val="SourceNote"/>
      </w:pPr>
      <w:r>
        <w:rPr>
          <w:b/>
        </w:rPr>
        <w:t>Available abstract (not full text):</w:t>
      </w:r>
      <w:r>
        <w:t xml:space="preserve"> In this study, we extend the research on anti-immigrant attitudes by analyzing an overlooked factor: health. We develop a framework explaining why residents perceive competition for health services with immigrants. Using data from eleven rounds of the European Social Survey, covering 222,989 respondents in 30 European countries (2002–2023), we find a consistent association between poor health and anti-immigration attitudes. Three pathways—the belief that immigrants drain public services, diminished interpersonal trust, and distrust in political institutions—mediate this effect. The association holds across four measures of ill health, with propensity score matching to reduce selection bias and extensive robustness tests. We conclude that health is crucial for attitudes about immigration not only because of welfare chauvinism and resource competition but also because bad health makes people lose faith in each other and the system, intensifying their fear of losing access to vital health services, translating into hostility toward immigrants.</w:t>
      </w:r>
    </w:p>
    <w:p>
      <w:pPr/>
      <w:r>
        <w:rPr>
          <w:b/>
        </w:rPr>
        <w:t>POSSIBLE 2025:</w:t>
      </w:r>
      <w:r>
        <w:t xml:space="preserve"> Navigating the Crossroads: Analyzing China’s Middle East Policy in the Palestinian-Israeli Conflict Context — https://doi.org/10.1177/23477989241311334</w:t>
      </w:r>
    </w:p>
    <w:p>
      <w:pPr/>
      <w:r>
        <w:rPr>
          <w:b/>
        </w:rPr>
        <w:t>Shared claim-specific concepts:</w:t>
      </w:r>
      <w:r>
        <w:t xml:space="preserve"> analyzing, crossroads; EU scope not established. This is a provisional connection, not an outcome finding.</w:t>
      </w:r>
    </w:p>
    <w:p>
      <w:pPr>
        <w:pStyle w:val="SourceNote"/>
      </w:pPr>
      <w:r>
        <w:rPr>
          <w:b/>
        </w:rPr>
        <w:t>Available abstract (not full text):</w:t>
      </w:r>
      <w:r>
        <w:t xml:space="preserve"> Since the founding of the People’s Republic of China, its Middle East policy has undergone three stages: initial rise, elevated influence, and adjustment. With the outbreak of a new round of the Palestinian-Israeli conflict on October 7, 2023, the geopolitical landscape in the Middle East has significantly shifted, marked by deepening divisions within the Arab world, challenges to US strategy, and the expansion of China’s diplomatic space. This study explores how these changes impact China’s Middle East policy and analyzes how China responds to emerging challenges, including rising geopolitical risks, obstacles to bilateral economic cooperation, shifts in international public opinion, and the sustainability of its “balanced diplomacy” approach. China aims to maintain a balance between Palestine and Israel, promote regional stability, and advance economic cooperation. However, in light of new regional dynamics, this study proposes that China needs to adjust its policy by strengthening its engagement with international responsibilities, ensuring security and economic cooperation in parallel, and increasing foreign aid and public diplomacy. Moreover, China should innovate its public opinion management and information dissemination strategies to navigate the complex media environment. By analyzing these issues, this article will examine the direction of China’s Middle East policy a</w:t>
      </w:r>
    </w:p>
    <w:p>
      <w:pPr/>
      <w:r>
        <w:rPr>
          <w:b/>
        </w:rPr>
        <w:t>POSSIBLE 2025:</w:t>
      </w:r>
      <w:r>
        <w:t xml:space="preserve"> Economic Diplomacy at the Crossroads of Digitalization and Sustainability: A New Era of Policy Diversification — https://doi.org/10.2478/picbe-2025-0087</w:t>
      </w:r>
    </w:p>
    <w:p>
      <w:pPr/>
      <w:r>
        <w:rPr>
          <w:b/>
        </w:rPr>
        <w:t>Shared claim-specific concepts:</w:t>
      </w:r>
      <w:r>
        <w:t xml:space="preserve"> analyzing, shaped, crossroads; EU scope not established. This is a provisional connection, not an outcome finding.</w:t>
      </w:r>
    </w:p>
    <w:p>
      <w:pPr>
        <w:pStyle w:val="SourceNote"/>
      </w:pPr>
      <w:r>
        <w:rPr>
          <w:b/>
        </w:rPr>
        <w:t>Available abstract (not full text):</w:t>
      </w:r>
      <w:r>
        <w:t xml:space="preserve"> Abstract Economic diplomacy is now at the forefront of global policymaking, increasingly shaped by digital transformation and sustainability. In recent years, the United States has experienced significant changes driven by the contrasting approaches of the Trump and Biden administrations. Trump prioritized trade protectionism, deregulation, and technological advancement, while Biden focused on multilateral cooperation, sustainability, and Artificial Intelligence governance. With Trump’s return to office in 2025, economic diplomacy has shifted toward deregulated digital policies and a potential retreat from sustainability commitments. Existing research emphasizes the growing influence of digital platforms on public sentiment, yet many studies have focused on elections, overlooking the impact of key political events. This study addresses that gap by analyzing social media reactions to Trump’s 2025 inauguration, through a comprehensive sentiment analysis, using Machine Learning models. The results showed positive sentiments, surpassing negative and neutral reactions. Compared to election-period sentiment, the inauguration sparked more positive reactions, reflecting both symbolic optimism and expectations for economic and technological growth, while negative sentiments mainly focused on environmental concerns, revealing ongoing debates about the trade-offs between deregulation and </w:t>
      </w:r>
    </w:p>
    <w:p>
      <w:pPr/>
      <w:r>
        <w:rPr>
          <w:b/>
        </w:rPr>
        <w:t>POSSIBLE 2025:</w:t>
      </w:r>
      <w:r>
        <w:t xml:space="preserve"> Health in the climate crossroads : exploring the integration of health in climate policy and practice in Canada — https://openalex.org/W7116218288</w:t>
      </w:r>
    </w:p>
    <w:p>
      <w:pPr/>
      <w:r>
        <w:rPr>
          <w:b/>
        </w:rPr>
        <w:t>Shared claim-specific concepts:</w:t>
      </w:r>
      <w:r>
        <w:t xml:space="preserve"> four, crossroads; EU scope not established. This is a provisional connection, not an outcome finding.</w:t>
      </w:r>
    </w:p>
    <w:p>
      <w:pPr>
        <w:pStyle w:val="SourceNote"/>
      </w:pPr>
      <w:r>
        <w:rPr>
          <w:b/>
        </w:rPr>
        <w:t>Available abstract (not full text):</w:t>
      </w:r>
      <w:r>
        <w:t xml:space="preserve"> This doctoral thesis critically investigates the integration of health into climate adaptation policy and practice within the Canadian context. Through four empirical chapters, three of which have a particular focus on municipalities in British Columbia, it explores how health is understood, planned for, and acted upon in relation to climate change. This work is grounded in an analysis of interviews, planning documents, survey data, and a regional case study. Chapter 2 presents qualitative findings from interviews with local government leaders, examining their perceptions of climate-related health risks and their experiences with adaptation. It highlights governance gaps and calls for more multi-sectoral collaboration. Chapter 3 analyzes municipal climate action plans across British Columbia to assess how health is incorporated. While health risks are often acknowledged, the study finds limited integration of health systems or consideration of health co-benefits. The chapter recommends advancing a “Health in All Climate Policies” approach to strengthen cross-sector collaboration and public health responsiveness. In Chapter 4, survey data reveal that 23% of Canadians report experiencing physical health impacts from extreme weather events. Additionally, the survey shows that attitudes towards adaptation are influenced by a complex interplay of risk perception, health awareness, c</w:t>
      </w:r>
    </w:p>
    <w:p>
      <w:pPr/>
      <w:r>
        <w:rPr>
          <w:b/>
        </w:rPr>
        <w:t>POSSIBLE 2025:</w:t>
      </w:r>
      <w:r>
        <w:t xml:space="preserve"> Peer Review at the Crossroads — https://doi.org/10.31235/osf.io/b2ra3_v2</w:t>
      </w:r>
    </w:p>
    <w:p>
      <w:pPr/>
      <w:r>
        <w:rPr>
          <w:b/>
        </w:rPr>
        <w:t>Shared claim-specific concepts:</w:t>
      </w:r>
      <w:r>
        <w:t xml:space="preserve"> four, crossroads, high; EU scope not established. This is a provisional connection, not an outcome finding.</w:t>
      </w:r>
    </w:p>
    <w:p>
      <w:pPr>
        <w:pStyle w:val="SourceNote"/>
      </w:pPr>
      <w:r>
        <w:rPr>
          <w:b/>
        </w:rPr>
        <w:t>Available abstract (not full text):</w:t>
      </w:r>
      <w:r>
        <w:t xml:space="preserve"> Peer review has long been regarded as a cornerstone of scholarly communication, ensuring high quality and credibility of published research. However, its institutionalization in the mid-20th century contrasts sharply with the 300-year history of academic journals. By the early 21st century, there emerged an opinion that the conventional model of peer review faces systematic challenges, including inefficiency, bias, and institutional inertia. The study aims to synthesize the evolution, practices, and outcomes of both conventional and innovative peer review models in scholarly publishing. Through a mixed-methods approach combining interpretative literature review and process modeling (BPMN), it identifies four frameworks: pre-publication peer review, registered reports, modular publishing, and the Publish-Review-Curate (PRC) model. While the PRC model, which integrates preprints with post-publication review, demonstrates advantages in transparency and accessibility, no single approach emerges as universally ideal. The choice of model depends on disciplinary context, resource availability, and institutional priorities. The analysis underscores the need for adaptable platforms that enable hybrid workflows, balancing rigor with inclusivity. Future research must address empirical gaps in evaluating these innovations, particularly their long-term impact on equity and epistemic norms.</w:t>
      </w:r>
    </w:p>
    <w:p>
      <w:pPr/>
      <w:r>
        <w:rPr>
          <w:b/>
        </w:rPr>
        <w:t>POSSIBLE 2025:</w:t>
      </w:r>
      <w:r>
        <w:t xml:space="preserve"> Peer Review at the Crossroads — https://doi.org/10.31235/osf.io/b2ra3_v3</w:t>
      </w:r>
    </w:p>
    <w:p>
      <w:pPr/>
      <w:r>
        <w:rPr>
          <w:b/>
        </w:rPr>
        <w:t>Shared claim-specific concepts:</w:t>
      </w:r>
      <w:r>
        <w:t xml:space="preserve"> four, crossroads, high; EU scope not established. This is a provisional connection, not an outcome finding.</w:t>
      </w:r>
    </w:p>
    <w:p>
      <w:pPr>
        <w:pStyle w:val="SourceNote"/>
      </w:pPr>
      <w:r>
        <w:rPr>
          <w:b/>
        </w:rPr>
        <w:t>Available abstract (not full text):</w:t>
      </w:r>
      <w:r>
        <w:t xml:space="preserve"> Peer review has long been regarded as a cornerstone of scholarly communication, ensuring high quality and credibility of published research. However, its institutionalization in the mid-20th century contrasts sharply with the 300-year history of academic journals. By the early 21st century, there emerged an opinion that the conventional model of peer review faces systematic challenges, including inefficiency, bias, and institutional inertia. The study aims to synthesize the evolution, practices, and outcomes of both conventional and innovative peer review models in scholarly publishing. Through a mixed-methods approach combining interpretative literature review and process modeling (Business Process Model and Notation – BPMN), it identifies four frameworks: pre-publication peer review, registered reports, modular publishing, and the Publish-Review-Curate (PRC) model. While the PRC model, which integrates preprints with post-publication review, demonstrates advantages in transparency and accessibility, no single approach emerges as universally ideal. The choice of model depends on disciplinary context, resource availability, and institutional priorities. The analysis underscores the need for adaptable platforms that enable hybrid workflows, balancing rigor with inclusivity. Future research must address empirical gaps in evaluating these innovations, particularly their long-term </w:t>
      </w:r>
    </w:p>
    <w:p>
      <w:pPr/>
      <w:r>
        <w:rPr>
          <w:b/>
        </w:rPr>
        <w:t>POSSIBLE 2025:</w:t>
      </w:r>
      <w:r>
        <w:t xml:space="preserve"> European Energy Vision 2060: Charting Diverse Pathways for Europe's Energy Transition — https://doi.org/10.48550/arxiv.2501.12993</w:t>
      </w:r>
    </w:p>
    <w:p>
      <w:pPr/>
      <w:r>
        <w:rPr>
          <w:b/>
        </w:rPr>
        <w:t>Shared claim-specific concepts:</w:t>
      </w:r>
      <w:r>
        <w:t xml:space="preserve"> four, pathways, until; EU scope visible. This is a provisional connection, not an outcome finding.</w:t>
      </w:r>
    </w:p>
    <w:p>
      <w:pPr>
        <w:pStyle w:val="SourceNote"/>
      </w:pPr>
      <w:r>
        <w:rPr>
          <w:b/>
        </w:rPr>
        <w:t>Available abstract (not full text):</w:t>
      </w:r>
      <w:r>
        <w:t xml:space="preserve"> Europe is warming at the fastest rate of all continents, experiencing a temperature increase of about 1°C higher than the corresponding global increase. Aiming to be the first climate-neutral continent by 2050 under the European Green Deal, Europe requires an in-depth understanding of the potential energy transition pathways. In this paper, we develop four qualitative long-term scenarios covering the European energy landscape, considering key uncertainty pillars -- categorized under social, technological, economic, political, and geopolitical aspects. First, we place the scenarios in a three-dimensional space defined by Social dynamics, Innovation, and Geopolitical instabilities. These scenarios are brought to life by defining their narratives and focus areas according to their location in this three-dimensional space. The scenarios envision diverse futures and include distinct features. The EU Trinity scenario pictures how internal divisions among EU member states, in the context of global geopolitical instability, affect the EU climate targets. The REPowerEU++ scenario outlines the steps needed for a self-sufficient, independent European energy system by 2050. The Go RES scenario examines the feasibility of achieving carbon neutrality earlier than 2050 given favourable uncertain factors. The NECP Essentials scenario extends current national energy and climate plans until 2060</w:t>
      </w:r>
    </w:p>
    <w:p>
      <w:pPr/>
      <w:r>
        <w:rPr>
          <w:b/>
        </w:rPr>
        <w:t>POSSIBLE 2025:</w:t>
      </w:r>
      <w:r>
        <w:t xml:space="preserve"> A diagnostic intercomparison of modeled ozone dry deposition over North America and Europe using AQMEII4 regional-scale simulations — https://doi.org/10.5194/acp-25-12629-2025</w:t>
      </w:r>
    </w:p>
    <w:p>
      <w:pPr/>
      <w:r>
        <w:rPr>
          <w:b/>
        </w:rPr>
        <w:t>Shared claim-specific concepts:</w:t>
      </w:r>
      <w:r>
        <w:t xml:space="preserve"> analyzing, four, pathways; EU scope visible. This is a provisional connection, not an outcome finding.</w:t>
      </w:r>
    </w:p>
    <w:p>
      <w:pPr>
        <w:pStyle w:val="SourceNote"/>
      </w:pPr>
      <w:r>
        <w:rPr>
          <w:b/>
        </w:rPr>
        <w:t>Available abstract (not full text):</w:t>
      </w:r>
      <w:r>
        <w:t xml:space="preserve"> This study analyzes ozone (O3) dry deposition fluxes and velocities (Vd) from twelve regional-scale simulations that were performed over North America and Europe in Phase 4 of the Air Quality Model Evaluation International Initiative (AQMEII4). AQMEII4 collected grid-aggregated and land use (LU)-specific O3 Vd and effective conductances and fluxes for the four major dry deposition pathways. Consistent with recent findings in the AQMEII4 point model intercomparison study, analysis of the grid-aggregated fields shows that grid models with similar Vd can exhibit significant differences in the absolute and relative contributions of the different depositional pathways. Analysis of LU-specific Vd and effective conductances reveals a general increase in model spread compared to grid-aggregated values. This indicates that an analysis of only grid-aggregated deposition diagnostics can mask process-specific differences that exist between schemes. An analysis of AQMEII4 LU distributions across models revealed substantial differences in the spatial patterns and abundance of certain LU categories over both domains, especially for non-forest partially vegetated categories such as agricultural areas, shrubland, and grassland. We demonstrate that these differences can significantly contribute to or even drive differences in LU-specific dry deposition fluxes which can increase the variability i</w:t>
      </w:r>
    </w:p>
    <w:p>
      <w:pPr/>
      <w:r>
        <w:rPr>
          <w:b/>
        </w:rPr>
        <w:t>POSSIBLE 2025:</w:t>
      </w:r>
      <w:r>
        <w:t xml:space="preserve"> Higher education at the crossroads: What it takes to lead in an era of disruption — https://doi.org/10.20448/ajssms.v12i1.6635</w:t>
      </w:r>
    </w:p>
    <w:p>
      <w:pPr/>
      <w:r>
        <w:rPr>
          <w:b/>
        </w:rPr>
        <w:t>Shared claim-specific concepts:</w:t>
      </w:r>
      <w:r>
        <w:t xml:space="preserve"> crossroads, achieve, inspire; EU scope not established. This is a provisional connection, not an outcome finding.</w:t>
      </w:r>
    </w:p>
    <w:p>
      <w:pPr>
        <w:pStyle w:val="SourceNote"/>
      </w:pPr>
      <w:r>
        <w:rPr>
          <w:b/>
        </w:rPr>
        <w:t>Available abstract (not full text):</w:t>
      </w:r>
      <w:r>
        <w:t xml:space="preserve"> This is the era of the industrial revolution; an era where disruptive technologies reign. Challenges within higher education have come to a crossroads due to disruptive technologies, 21st-century skills, globalization, and global competition. Thus, higher education needs to be redeveloped to improve the educational system in the era of disruption. The method used in this research is a qualitative method that consists of the study of literature in the field. The purpose of this research is to identify and analyze the disruptive technologies, such as artificial intelligence and virtual reality, that are challenging education and to rethink the way to design educational products, satisfy customers, and generate revenue for higher education to reap bottom-line benefits. To reinvent higher education, this research suggests that the management and the educators at higher education embrace a culture that promotes constant transformation, invest in manpower that will play a strategic role in managing disruption, and design workspaces that inspire creativity for the educators and the students as well as lead their innovation. This research incorporates the triple bottom line theory, introduced to measure performance. The theory's idea is to promote sustainability as well as gain profits from business ventures. Thus, higher education is to be viewed as a business venture, and its human c</w:t>
      </w:r>
    </w:p>
    <w:p>
      <w:pPr>
        <w:pStyle w:val="Heading2"/>
      </w:pPr>
      <w:r>
        <w:t>594. European carbon storage resource requirements of climate change mitigation targets</w:t>
      </w:r>
    </w:p>
    <w:p>
      <w:pPr>
        <w:pStyle w:val="SourceNote"/>
      </w:pPr>
      <w:r>
        <w:rPr>
          <w:b/>
        </w:rPr>
        <w:t>Original source (2021):</w:t>
      </w:r>
      <w:r>
        <w:t xml:space="preserve"> https://doi.org/10.1016/j.ijggc.2021.103568</w:t>
      </w:r>
    </w:p>
    <w:p>
      <w:pPr/>
      <w:r>
        <w:t>Original wording (abstract; indexed_source_text_not_full_document_verified): As a part of climate change mitigation plans in Europe, CO2 storage scenarios have been reported for the United Kingdom and the European Union with injection rates reaching 75 – 330 MtCO2 yr-1 by 2050. We further demonstrate the use of the models to define 2050 rate targets within conservative bounds of both growth rate and storage resource needs.</w:t>
      </w:r>
    </w:p>
    <w:p>
      <w:pPr/>
      <w:r>
        <w:rPr>
          <w:b/>
        </w:rPr>
        <w:t>POSSIBLE 2026:</w:t>
      </w:r>
      <w:r>
        <w:t xml:space="preserve"> Climate Impact of Optimizing ATM and ATC Procedures for Mitigating CO2 and Non-CO2 Emissions — https://doi.org/10.3390/cli14020040</w:t>
      </w:r>
    </w:p>
    <w:p>
      <w:pPr/>
      <w:r>
        <w:rPr>
          <w:b/>
        </w:rPr>
        <w:t>Shared claim-specific concepts:</w:t>
      </w:r>
      <w:r>
        <w:t xml:space="preserve"> climate, mitigation, co2; EU scope not established. This is a provisional connection, not an outcome finding.</w:t>
      </w:r>
    </w:p>
    <w:p>
      <w:pPr>
        <w:pStyle w:val="SourceNote"/>
      </w:pPr>
      <w:r>
        <w:rPr>
          <w:b/>
        </w:rPr>
        <w:t>Available abstract (not full text):</w:t>
      </w:r>
      <w:r>
        <w:t xml:space="preserve"> A comprehensive multidisciplinary review of recent advances in aviation emissions modeling methodologies and mitigation strategies through optimized in-flight operational procedures, and how they could be considered in evaluating their climatic impact is presented. With reference to the Terminal Maneuvering Area (TMA), the article critically examines current and emerging strategies, particularly those enabled by GNSS-based capabilities and Performance-Based Navigation (PBN), to enhance aircraft efficiency and reduce fuel consumption and associated chemical emissions. The study also explores the state-of-the-art methodologies for modeling both CO2 and non-CO2 emissions and addresses the problem of contrails formation, highlighting the main relevant aspects that can be useful for the definition of future mitigation strategies. Furthermore, it analyzes evolving optimization techniques aimed at real-time 4D trajectory planning able to consider the atmospheric conditions, with the overall objective of minimizing the aircraft environmental impact while in flight. Finally, the paper discusses suitable metrics for evaluating both short-term local air quality effects and long-term global climate implications, offering an integrated framework for sustainable aviation operations.</w:t>
      </w:r>
    </w:p>
    <w:p>
      <w:pPr/>
      <w:r>
        <w:rPr>
          <w:b/>
        </w:rPr>
        <w:t>POSSIBLE 2026:</w:t>
      </w:r>
      <w:r>
        <w:t xml:space="preserve"> Can a wealth tax reduce CO2 emissions in Europe? — https://doi.org/10.1016/j.ecolecon.2026.109231</w:t>
      </w:r>
    </w:p>
    <w:p>
      <w:pPr/>
      <w:r>
        <w:rPr>
          <w:b/>
        </w:rPr>
        <w:t>Shared claim-specific concepts:</w:t>
      </w:r>
      <w:r>
        <w:t xml:space="preserve"> climate, mitigation, co2, rates; EU scope visible. This is a provisional connection, not an outcome finding.</w:t>
      </w:r>
    </w:p>
    <w:p>
      <w:pPr>
        <w:pStyle w:val="SourceNote"/>
      </w:pPr>
      <w:r>
        <w:rPr>
          <w:b/>
        </w:rPr>
        <w:t>Available abstract (not full text):</w:t>
      </w:r>
      <w:r>
        <w:t xml:space="preserve"> We analyse the potential of wealth taxes to reduce CO2 emissions through two transmission channels: the inequality channel, which links reductions in wealth inequality to lower emissions, and the consumption channel, which analyses how wealth taxes affect consumption by top wealth holders. We simulate the effects of various wealth tax designs over one- and ten-year horizons using harmonised microdata from 22 European countries. Our analysis accounts for survey non-response bias, heterogeneous rates of returns across households, and behavioural responses to taxation. We find that, through the inequality channel, an annual progressive wealth tax could reduce annual CO2 emissions by 7.5%–14.7% after ten years relative to a no-tax scenario, depending on tax progressivity. Through the consumption channel, the average reduction is between 1.5%–3.6%. These findings highlight the potential of wealth taxes to serve a dual purpose: curbing wealth concentration and contributing meaningfully to climate mitigation and justice, by focusing on high-net worth households who account for a disproportionate share of emissions.</w:t>
      </w:r>
    </w:p>
    <w:p>
      <w:pPr/>
      <w:r>
        <w:rPr>
          <w:b/>
        </w:rPr>
        <w:t>POSSIBLE 2026:</w:t>
      </w:r>
      <w:r>
        <w:t xml:space="preserve"> Climate plan for municipality of Utsjoki — https://openalex.org/W7152954980</w:t>
      </w:r>
    </w:p>
    <w:p>
      <w:pPr/>
      <w:r>
        <w:rPr>
          <w:b/>
        </w:rPr>
        <w:t>Shared claim-specific concepts:</w:t>
      </w:r>
      <w:r>
        <w:t xml:space="preserve"> climate, mitigation, targets; EU scope visible. This is a provisional connection, not an outcome finding.</w:t>
      </w:r>
    </w:p>
    <w:p>
      <w:pPr>
        <w:pStyle w:val="SourceNote"/>
      </w:pPr>
      <w:r>
        <w:rPr>
          <w:b/>
        </w:rPr>
        <w:t>Available abstract (not full text):</w:t>
      </w:r>
      <w:r>
        <w:t xml:space="preserve"> This thesis developed a climate plan for the municipality of Utsjoki in northern Finland. The objective was to support the local climate mitigation work by analysing the municipality’s greenhouse gas emissions, defining emission reduction targets, identifying mitigation measures that reflect the conditions of a small Arctic municipality and setting up a monitoring plan for the climate mitigation work. The work responds to the growing need for climate planning in small rural municipalities, where resources for climate action are often limited but climate change impacts are increasingly visible. The thesis applied an action research approach where the research process combined quantitative emissions data analysis with qualitative research methods to strengthen local ownership of climate action. A workshop and a climate survey targeted at residents were used for generating ideas for emission reduction measures and for engaging the community in climate work. Climate scenarios were utilized to assess the feasibility of different emissions reduction targets. The thesis demonstrates that small municipalities are often dependent on national and EU-level legislation and regulation to achieve emission reductions. However, locally relevant climate mitigation actions can still be advanced through participatory approaches and by building local partnerships and networks that support the impl</w:t>
      </w:r>
    </w:p>
    <w:p>
      <w:pPr/>
      <w:r>
        <w:rPr>
          <w:b/>
        </w:rPr>
        <w:t>POSSIBLE 2026:</w:t>
      </w:r>
      <w:r>
        <w:t xml:space="preserve"> Potential for Expanding Sorghum Production in Europe in the Face of Climate Change — https://doi.org/10.1029/2025ef007503</w:t>
      </w:r>
    </w:p>
    <w:p>
      <w:pPr/>
      <w:r>
        <w:rPr>
          <w:b/>
        </w:rPr>
        <w:t>Shared claim-specific concepts:</w:t>
      </w:r>
      <w:r>
        <w:t xml:space="preserve"> part, climate; EU scope visible. This is a provisional connection, not an outcome finding.</w:t>
      </w:r>
    </w:p>
    <w:p>
      <w:pPr>
        <w:pStyle w:val="SourceNote"/>
      </w:pPr>
      <w:r>
        <w:rPr>
          <w:b/>
        </w:rPr>
        <w:t>Available abstract (not full text):</w:t>
      </w:r>
      <w:r>
        <w:t xml:space="preserve"> Abstract Today, sorghum is a minor crop in Europe cultivated on only ~0.1% of the cropland area. Nonetheless, sorghum is of growing interest due to its high heat tolerance compared to other crops and better adaptation to future hot and dry summers. In this study, we investigated the feasibility of expanding sorghum cultivation in Europe under current and future climatic conditions. We also explored the possibility of replacing maize with locally-produced sorghum for feeding livestock. To this end, we developed a machine-learning model that predicts sorghum yields from high-resolution climate data. The model was trained on historical sorghum yield data collected at the county level in France, Italy, Spain, and the USA. Then, we used the model to predict sorghum yields for current and future climate conditions, following different climate change scenarios. In almost all scenarios, sorghum yields decreased by up to -1.5 t ha-1 in the southern part of Europe but increased substantially by up to + 3 t ha-1 in the northern part of Europe by end-of-century. We found that at least 90% of maize currently used to feed livestock could be replaced by sorghum in Europe if grown in one out of three years. These results provide valuable information for improving feed security in Europe in the face of climate change.</w:t>
      </w:r>
    </w:p>
    <w:p>
      <w:pPr/>
      <w:r>
        <w:rPr>
          <w:b/>
        </w:rPr>
        <w:t>POSSIBLE 2026:</w:t>
      </w:r>
      <w:r>
        <w:t xml:space="preserve"> The DLR CO2-equivalent estimator FlightClim v1.0: an easy-to-use estimation of per flight CO2 and non-CO2 climate effects — https://doi.org/10.5194/gmd-19-3551-2026</w:t>
      </w:r>
    </w:p>
    <w:p>
      <w:pPr/>
      <w:r>
        <w:rPr>
          <w:b/>
        </w:rPr>
        <w:t>Shared claim-specific concepts:</w:t>
      </w:r>
      <w:r>
        <w:t xml:space="preserve"> climate, mitigation, co2; EU scope not established. This is a provisional connection, not an outcome finding.</w:t>
      </w:r>
    </w:p>
    <w:p>
      <w:pPr>
        <w:pStyle w:val="SourceNote"/>
      </w:pPr>
      <w:r>
        <w:rPr>
          <w:b/>
        </w:rPr>
        <w:t>Available abstract (not full text):</w:t>
      </w:r>
      <w:r>
        <w:t xml:space="preserve"> As aviation’s contribution to anthropogenic climate change is increasing, the sector aims at reducing its climate effect in accordance with international agreements. The strong and variable non-CO2 effects are complex, making reliable Climate effect quantification a necessary first step. To support this, we develop the easy-to-use first-order climate effect estimator for single flights FlightClim v1.0. The tool estimates the flight-specific climate effect with a simplified calculation model, without requiring detailed information on exact routing, amount of fuel burn, or weather conditions. For this purpose, we first analyze a global flight dataset containing detailed trajectories, associated flight emissions, and climate responses. Similar flights are grouped into clusters, and regression formulas are derived to estimate the Average Temperature Response over 100 years (ATR100) for CO2 and non-CO2 effects. To prevent abrupt changes at cluster boundaries, we apply linear smoothing as postprocessing. Second, we compare a Multiple and Symbolic Regression approach, which differ in effort and complexity but offer similar estimation quality. The choice of method depends on the specific application. Both methods are designed for climate footprint assessments due to their simplicity though not suitable for policy measures. Emission trading or monitoring and reporting systems instead re</w:t>
      </w:r>
    </w:p>
    <w:p>
      <w:pPr/>
      <w:r>
        <w:rPr>
          <w:b/>
        </w:rPr>
        <w:t>POSSIBLE 2026:</w:t>
      </w:r>
      <w:r>
        <w:t xml:space="preserve"> Energy and CO2 Footprint of Climate Model Intercomparison Projects — https://doi.org/10.48550/arxiv.2608.23509</w:t>
      </w:r>
    </w:p>
    <w:p>
      <w:pPr/>
      <w:r>
        <w:rPr>
          <w:b/>
        </w:rPr>
        <w:t>Shared claim-specific concepts:</w:t>
      </w:r>
      <w:r>
        <w:t xml:space="preserve"> climate, co2, reported, use; EU scope not established. This is a provisional connection, not an outcome finding.</w:t>
      </w:r>
    </w:p>
    <w:p>
      <w:pPr>
        <w:pStyle w:val="SourceNote"/>
      </w:pPr>
      <w:r>
        <w:rPr>
          <w:b/>
        </w:rPr>
        <w:t>Available abstract (not full text):</w:t>
      </w:r>
      <w:r>
        <w:t xml:space="preserve"> Earth System Models (ESMs) rely heavily on High-Performance Computing (HPC) resources to simulate global climate. As these models evolve, their computational demands continue to grow, driven by three factors: (1) finer spatial grid resolutions, (2) the integration of complex biogeochemical processes (e.g., atmospheric chemistry, interactive vegetation, land use, and ice sheets), and (3) larger climate ensembles to manage uncertainty. Historically, growth in peak computing performance (FLOP/s) has outpaced improvements in energy efficiency (FLOP/Watt), increasing total HPC power consumption. Despite the central role of Model Intercomparison Projects (MIPs) in climate research, quantifying their computational and environmental costs has received limited systematic attention. This paper examines the evolution of climate model carbon accounting from voluntary post-hoc estimation in the Coupled Model Intercomparison Project phase 6 (CMIP6) to standardized accounting under the newly established CMIP7 Task Team on Energy Consumption. Using high-resolution Destination Earth simulations on MareNostrum 5, we empirically evaluate how different accounting boundaries (operational, active-only, and embodied carbon) impact reported energy, carbon emissions, and financial costs. Finally, we outline key methodological considerations for standardizing energy and carbon accounting for Model Inter</w:t>
      </w:r>
    </w:p>
    <w:p>
      <w:pPr/>
      <w:r>
        <w:rPr>
          <w:b/>
        </w:rPr>
        <w:t>POSSIBLE 2025:</w:t>
      </w:r>
      <w:r>
        <w:t xml:space="preserve"> LOW-CARBON SOLUTIONS INTRODUCED IN EUROPEAN CITIES AS PART OF CLIMATE CHANGE ADAPTATION — https://doi.org/10.5604/01.3001.0055.5451</w:t>
      </w:r>
    </w:p>
    <w:p>
      <w:pPr/>
      <w:r>
        <w:rPr>
          <w:b/>
        </w:rPr>
        <w:t>Shared claim-specific concepts:</w:t>
      </w:r>
      <w:r>
        <w:t xml:space="preserve"> part, climate; EU scope visible. This is a provisional connection, not an outcome finding.</w:t>
      </w:r>
    </w:p>
    <w:p>
      <w:pPr>
        <w:pStyle w:val="SourceNote"/>
      </w:pPr>
      <w:r>
        <w:rPr>
          <w:b/>
        </w:rPr>
        <w:t>Available abstract (not full text):</w:t>
      </w:r>
      <w:r>
        <w:t xml:space="preserve"> Contemporary societies are facing progressive climate change due to economic development. Forthis reason, the authorities of leading European cities are implementing policies and strategies toprepare urban organisms for climate change and to counteract it. Given the topicality of the issue,this article presents and evaluates low-carbon measures taken in selected European cities in thecontext of climate change adaptation. The analysis covers publications/strategies on climate changeadaptation adopted in Berlin, Copenhagen, Oslo, Prague and Wrocław, and explores air qualitytrends in selected cities. The results indicate a systematic improvement in air quality in all the citiesanalysed, particularly in terms of the reduction of particulate matter and nitrogen oxides. Thegreatest progress has been made in Copenhagen and Oslo, which are consistently pursuing climateneutrality goals, while Wrocław and Prague still have higher emission levels, although positivedownward trends are observed. The analysis confirms that the effectiveness of low-carbon policiesdepends on their integrated nature, covering the energy, transport and spatial sectors, as well as onthe active involvement of local communities. The results of the study emphasise the importance ofcooperation between cities in implementing the objectives of the European Green Deal and strivingto achieve climate neutrality by 2050.</w:t>
      </w:r>
    </w:p>
    <w:p>
      <w:pPr/>
      <w:r>
        <w:rPr>
          <w:b/>
        </w:rPr>
        <w:t>POSSIBLE 2025:</w:t>
      </w:r>
      <w:r>
        <w:t xml:space="preserve"> Modeling of Hydrodynamic Processes of the Estuaries of the European Part of the Russian Arctic under Possible Climate Changes — https://doi.org/10.1134/s0097807824701434</w:t>
      </w:r>
    </w:p>
    <w:p>
      <w:pPr/>
      <w:r>
        <w:rPr>
          <w:b/>
        </w:rPr>
        <w:t>Shared claim-specific concepts:</w:t>
      </w:r>
      <w:r>
        <w:t xml:space="preserve"> part, climate, use; EU scope visible. This is a provisional connection, not an outcome finding.</w:t>
      </w:r>
    </w:p>
    <w:p>
      <w:pPr>
        <w:pStyle w:val="SourceNote"/>
      </w:pPr>
      <w:r>
        <w:rPr>
          <w:b/>
        </w:rPr>
        <w:t>Available abstract (not full text):</w:t>
      </w:r>
      <w:r>
        <w:t xml:space="preserve"> Abstract Possible scenarios of climate change impact on hydrodynamic processes in the estuaries of the Northern Dvina, Onega, and Pechora are considered. For this purpose, hydrodynamic models of estuarine areas previously developed by the authors in the STREAM 2D, HEC-RAS, and Delft3D software packages were used, for which various variants of sea level changes obtained from the global climate models GFDL-ESM2M, IPSL-CM5A-LR, HadGEM2-ES, MIROC-ESM-CHEM were set as the lower boundary condition. As the upper boundary conditions, water discharges in the outlet sections of river basins, calculated using the ECOMAG runoff formation model for conditions of changed climate, based on the data of the same climate models were set. Based on ensemble simulations, two main trends in changes in estuarine hydrodynamic factors were identified and analyzed: the sea level rise and the river runoff decrease. Scenarios of spring floods and summer–autumn low water seasons corresponding to different combinations of boundary conditions for the historical period are modeled, as well as for the most probable and most unfavorable hydrometeorological conditions of the mid-21st century. Possible changes in the flow characteristics and their impact on various aspects of hydroecological safety and the use of water resources in the estuarial areas under the study have been analyzed.</w:t>
      </w:r>
    </w:p>
    <w:p>
      <w:pPr/>
      <w:r>
        <w:rPr>
          <w:b/>
        </w:rPr>
        <w:t>POSSIBLE 2025:</w:t>
      </w:r>
      <w:r>
        <w:t xml:space="preserve"> Climate Change 2022: Impacts, Adaptation and Vulnerability — https://doi.org/10.1163/9789004322714_cclc_2022-0258-0930</w:t>
      </w:r>
    </w:p>
    <w:p>
      <w:pPr/>
      <w:r>
        <w:rPr>
          <w:b/>
        </w:rPr>
        <w:t>Shared claim-specific concepts:</w:t>
      </w:r>
      <w:r>
        <w:t xml:space="preserve"> part, climate; EU scope visible. This is a provisional connection, not an outcome finding.</w:t>
      </w:r>
    </w:p>
    <w:p>
      <w:pPr>
        <w:pStyle w:val="SourceNote"/>
      </w:pPr>
      <w:r>
        <w:rPr>
          <w:b/>
        </w:rPr>
        <w:t>Available abstract (not full text):</w:t>
      </w:r>
      <w:r>
        <w:t xml:space="preserve"> Summary for policymakers Technical summary Part I. Setting the Stage for Impact, Adaptation, and Vulnerability Assessment: 1. Overview 2. Methods and tools 3. Development and application of scenarios in Climate Change Impact, Adaptation, and Vulnerability Assessment Part II. Sectors and Systems: Impacts, Adaptation, and Vulnerability: 4. Hydrology and water resources 5. Natural and managed ecosystems 6. Coastal zones and marine ecosystems 7. Energy, industry, and settlements 8. Financial services 9. Human health Part III. Regional Analyses: Impacts, Adaptation, and Vulnerability: 10. Africa 11. Asia 12. Australasia 13. Europe 14. Latin America 15. North America 16. Polar regions (Arctic and Antarctic) 17. Small island states Part IV. Global Issues and Synthesis: 18. Adaptation to climate change in the context of sustainable development and equity 19. Synthesis and integration of impacts, adaptation, and vulnerability Index.</w:t>
      </w:r>
    </w:p>
    <w:p>
      <w:pPr/>
      <w:r>
        <w:rPr>
          <w:b/>
        </w:rPr>
        <w:t>POSSIBLE 2025:</w:t>
      </w:r>
      <w:r>
        <w:t xml:space="preserve"> Optimizing ATM and ATC Procedures for Mitigating CO2 and Non-CO2 Emissions: The Role of Climate Impact Metrics — https://doi.org/10.20944/preprints202510.0967.v1</w:t>
      </w:r>
    </w:p>
    <w:p>
      <w:pPr/>
      <w:r>
        <w:rPr>
          <w:b/>
        </w:rPr>
        <w:t>Shared claim-specific concepts:</w:t>
      </w:r>
      <w:r>
        <w:t xml:space="preserve"> climate, mitigation, co2; EU scope not established. This is a provisional connection, not an outcome finding.</w:t>
      </w:r>
    </w:p>
    <w:p>
      <w:pPr>
        <w:pStyle w:val="SourceNote"/>
      </w:pPr>
      <w:r>
        <w:rPr>
          <w:b/>
        </w:rPr>
        <w:t>Available abstract (not full text):</w:t>
      </w:r>
      <w:r>
        <w:t xml:space="preserve"> This paper presents a comprehensive multidisciplinary review of recent advancements about the aviation emissions modeling methodologies and the related mitigation strategies through optimized in-flight operational procedures. With reference to the Terminal Manoeuvring Area (TMA), it critically examines current and emerging strategies, particularly those enabled by GNSS-based capabilities and Performance Based Navigation (PBN), to enhance aircraft efficiency and reduce fuel consumption and associated chemical emissions. The study also explores the state-of-the-art methodologies for modeling both CO₂ and non-CO₂ emissions and addresses the problem of contrails formation, highlighting the main relevant aspects that can be useful for the definition of future mitigation strategies. Furthermore, it analyzes evolving optimization techniques aimed at real-time 4D trajectory planning able to take into account the atmospheric conditions, with the overall objective of minimizing the aircraft environmental impact while in flight. Finally, the paper discusses suitable metrics for evaluating both short-term local air quality effects and long-term global climate implications, offering an integrated framework for sustainable aviation operations.</w:t>
      </w:r>
    </w:p>
    <w:p>
      <w:pPr/>
      <w:r>
        <w:rPr>
          <w:b/>
        </w:rPr>
        <w:t>POSSIBLE 2025:</w:t>
      </w:r>
      <w:r>
        <w:t xml:space="preserve"> Vectors on the Move: How Climate Change Fuels the Spread of Arboviruses in Europe — https://doi.org/10.3390/microorganisms13092034</w:t>
      </w:r>
    </w:p>
    <w:p>
      <w:pPr/>
      <w:r>
        <w:rPr>
          <w:b/>
        </w:rPr>
        <w:t>Shared claim-specific concepts:</w:t>
      </w:r>
      <w:r>
        <w:t xml:space="preserve"> climate, reported; EU scope visible. This is a provisional connection, not an outcome finding.</w:t>
      </w:r>
    </w:p>
    <w:p>
      <w:pPr>
        <w:pStyle w:val="SourceNote"/>
      </w:pPr>
      <w:r>
        <w:rPr>
          <w:b/>
        </w:rPr>
        <w:t>Available abstract (not full text):</w:t>
      </w:r>
      <w:r>
        <w:t xml:space="preserve"> Climate change is increasingly recognized as a major driver of emerging infectious diseases, particularly vector-borne diseases (VBDs), which are expanding in range and intensity worldwide. Europe, traditionally considered low-risk for many arboviral infections, is now experiencing autochthonous transmission of pathogens such as dengue, chikungunya, Zika virus, West Nile virus, malaria, and leishmaniasis. Rising temperatures, altered precipitation patterns, and milder winters have facilitated the establishment and spread of competent vectors, including Aedes, Anopheles, Phlebotomus, and Culex species, in previously non-endemic areas. These climatic shifts not only impact vector survival and distribution but also influence vector competence and pathogen development, ultimately increasing transmission potential. This narrative review explores the complex relationship between climate change and VBDs, with a particular focus on pediatric populations. It highlights how children may experience distinct clinical manifestations and complications, and how current data on pediatric burden remain limited for several emerging infections. Through an analysis of existing literature and reported outbreaks in Europe, this review underscores the urgent need for enhanced surveillance, integrated vector control strategies, and climate-adapted public health policies. Finally, it outlines research </w:t>
      </w:r>
    </w:p>
    <w:p>
      <w:pPr/>
      <w:r>
        <w:rPr>
          <w:b/>
        </w:rPr>
        <w:t>POSSIBLE 2025:</w:t>
      </w:r>
      <w:r>
        <w:t xml:space="preserve"> Economic Analysis of Fossil CO2 Emissions: A European Perspective on Sustainable Development — https://doi.org/10.3390/en18082106</w:t>
      </w:r>
    </w:p>
    <w:p>
      <w:pPr/>
      <w:r>
        <w:rPr>
          <w:b/>
        </w:rPr>
        <w:t>Shared claim-specific concepts:</w:t>
      </w:r>
      <w:r>
        <w:t xml:space="preserve"> climate, mitigation, co2, union, use; EU scope visible. This is a provisional connection, not an outcome finding.</w:t>
      </w:r>
    </w:p>
    <w:p>
      <w:pPr>
        <w:pStyle w:val="SourceNote"/>
      </w:pPr>
      <w:r>
        <w:rPr>
          <w:b/>
        </w:rPr>
        <w:t>Available abstract (not full text):</w:t>
      </w:r>
      <w:r>
        <w:t xml:space="preserve"> The economic assessment of CO2 emissions from fossil fuels is gaining importance in the context of sustainable development. Climate change, driven by excessive greenhouse gas emissions, poses a significant threat to humanity, requiring an integrated approach that considers both environmental and economic factors. The European Union (EU) plays a key role in global efforts to reduce CO2 emissions and promote sustainability. This study explores economic approaches to analyzing CO2 emissions in Europe, focusing on trends in fossil fuel use and their economic drivers. The research highlights the connection between economic activity, energy consumption, and emissions, contributing to a better understanding of climate change mitigation strategies. The findings emphasize the strong influence of demographic factors on carbon emissions, stressing the need for targeted policies to address the environmental impact of population growth. This study presents a literature-based assessment of CO2 emissions from fossil fuel consumption in the context of sustainable development, with a focus on Europe. Recognizing the urgent threat posed by climate change, the paper explores how economic and demographic factors influence emissions trends and energy consumption. Through the synthesis of recent research and statistical data, it examines the relationship between economic activity and CO2 emissions a</w:t>
      </w:r>
    </w:p>
    <w:p>
      <w:pPr>
        <w:pStyle w:val="Heading2"/>
      </w:pPr>
      <w:r>
        <w:t>595. European cephalopods distribution under climate-change scenarios</w:t>
      </w:r>
    </w:p>
    <w:p>
      <w:pPr>
        <w:pStyle w:val="SourceNote"/>
      </w:pPr>
      <w:r>
        <w:rPr>
          <w:b/>
        </w:rPr>
        <w:t>Original source (2021):</w:t>
      </w:r>
      <w:r>
        <w:t xml:space="preserve"> https://doi.org/10.1038/s41598-021-83457-w</w:t>
      </w:r>
    </w:p>
    <w:p>
      <w:pPr/>
      <w:r>
        <w:t>Original wording (abstract; indexed_source_text_not_full_document_verified): Conversely, we projected a rapidly increasing environmental suitability in the North, Norwegian and Baltic Seas for all species. Despite their major economical (i.e. important fisheries) and ecological (i.e. central position in food-webs) importance, cephalopods literature rarely addresses an explicit understanding of their current distribution and the potential effect that climate change may induce in the following decades.</w:t>
      </w:r>
    </w:p>
    <w:p>
      <w:pPr/>
      <w:r>
        <w:rPr>
          <w:b/>
        </w:rPr>
        <w:t>POSSIBLE 2026:</w:t>
      </w:r>
      <w:r>
        <w:t xml:space="preserve"> A new investigation of the Permian Leman Sandstone Formation: suitability for underground hydrogen storage in the Rough field, Southern North Sea, UK — https://doi.org/10.1144/geoenergy2025-035</w:t>
      </w:r>
    </w:p>
    <w:p>
      <w:pPr/>
      <w:r>
        <w:rPr>
          <w:b/>
        </w:rPr>
        <w:t>Shared claim-specific concepts:</w:t>
      </w:r>
      <w:r>
        <w:t xml:space="preserve"> suitability, north, despite, importance; EU scope not established. This is a provisional connection, not an outcome finding.</w:t>
      </w:r>
    </w:p>
    <w:p>
      <w:pPr>
        <w:pStyle w:val="SourceNote"/>
      </w:pPr>
      <w:r>
        <w:rPr>
          <w:b/>
        </w:rPr>
        <w:t>Available abstract (not full text):</w:t>
      </w:r>
      <w:r>
        <w:t xml:space="preserve"> The Rough field in the Southern Permian Basin was originally a producing gas field, later repurposed for natural gas storage and now a target to be the largest hydrogen storage site in the UK. Despite this, few past studies have investigated the facies and mineralogy present in the sandstone reservoir, which is imperative to ascertain its suitability for hydrogen storage. We present new petrographic and facies characterizations of the Permian Leman Sandstone Formation, using core from the Rough field. Our detailed analyses include core logging, SEM-EDX and XRD analyses. This research provides a new reservoir characterization and introduces novel reservoir facies classifications supported by detailed petrography. We identify four facies associations – aeolian, fluvial, sheetflood and floodplain – and find that each facies within the reservoir possesses different minerology. Certain minerals within these facies have the potential to react with hydrogen in some way, causing the potential production of hydrogen sulfide, dissolution and reprecipitation of carbonate minerals and clay mineral transformations. These reactions are dependent on mineralogy and abundance, which varies throughout the mixed heterogeneous facies. After evaluating the petrography and potential mineral reactions, we conclude that the Rough field has potential to be a suitable hydrogen storage site, but there is</w:t>
      </w:r>
    </w:p>
    <w:p>
      <w:pPr/>
      <w:r>
        <w:rPr>
          <w:b/>
        </w:rPr>
        <w:t>POSSIBLE 2026:</w:t>
      </w:r>
      <w:r>
        <w:t xml:space="preserve"> Developments in the European parasitoid community of Dryocosmus kuriphilus — https://doi.org/10.64898/2026.09.01.748543</w:t>
      </w:r>
    </w:p>
    <w:p>
      <w:pPr/>
      <w:r>
        <w:rPr>
          <w:b/>
        </w:rPr>
        <w:t>Shared claim-specific concepts:</w:t>
      </w:r>
      <w:r>
        <w:t xml:space="preserve"> rapidly, increasing, species, major, important, ecological; EU scope visible. This is a provisional connection, not an outcome finding.</w:t>
      </w:r>
    </w:p>
    <w:p>
      <w:pPr>
        <w:pStyle w:val="SourceNote"/>
      </w:pPr>
      <w:r>
        <w:rPr>
          <w:b/>
        </w:rPr>
        <w:t>Available abstract (not full text):</w:t>
      </w:r>
      <w:r>
        <w:t xml:space="preserve"> Abstract The invasive gallwasp Dryocosmus kuriphilus was first detected in Italy in 2002, although likely to have initially arrived in the late 90s. Its ability to utilise sweet chestnut species non-native to its original Chinese range has allowed it to spread rapidly, and throughout Europe via European sweet chestnut Castanea sativa . Given the severity of its impact on C. sativa crop production, particularly in Mediterranean countries, previous studies have aimed to assess damage levels caused by D. kuriphilus, the efficacy of and potential non-target effects of the introduced biocontrol agent Torymus sinensis, and the possibility of regulation by native parasitoids. As yet a broad overview and analytical synthesis of these native parasitoid communities are absent. This review focuses on important aspects of the D. kuriphilus invasion. In particular, the invasion history and currently known distribution of D. kuriphilus , and several aspects of its associated parasitoid community. For native species to plausibly supress D. kuriphilus , we might expect rates of parasitoid attack to increase with establishment time as native populations adapt to exploit the new resource, and this is a key focus of the review. We answer the following questions: 1) What is the distribution of D. kuriphilus in Europe, and has D. kuriphilus fully utilised the available niche space within its 20+ ye</w:t>
      </w:r>
    </w:p>
    <w:p>
      <w:pPr/>
      <w:r>
        <w:rPr>
          <w:b/>
        </w:rPr>
        <w:t>POSSIBLE 2025:</w:t>
      </w:r>
      <w:r>
        <w:t xml:space="preserve"> Arterial hypertension–attributable mortality in Europe: implications for the Americas — https://doi.org/10.1097/hjh.0000000000004190</w:t>
      </w:r>
    </w:p>
    <w:p>
      <w:pPr/>
      <w:r>
        <w:rPr>
          <w:b/>
        </w:rPr>
        <w:t>Shared claim-specific concepts:</w:t>
      </w:r>
      <w:r>
        <w:t xml:space="preserve"> conversely, increasing, all, despite, importance; EU scope visible. This is a provisional connection, not an outcome finding.</w:t>
      </w:r>
    </w:p>
    <w:p>
      <w:pPr>
        <w:pStyle w:val="SourceNote"/>
      </w:pPr>
      <w:r>
        <w:rPr>
          <w:b/>
        </w:rPr>
        <w:t>Available abstract (not full text):</w:t>
      </w:r>
      <w:r>
        <w:t xml:space="preserve"> Hypertension remains the leading modifiable risk factor for cardiovascular morbidity and mortality worldwide, accounting for over 10 million deaths annually [1]. In this issue, Zuin et al. present a population-level analysis of 30 European countries between 2012 and 2021, reporting more than 1.6 million hypertension-attributable deaths. During this period, the age-adjusted mortality rate (AAMR) increased by 1.6% per year. Lest one think this might be driven solely by a change in population demographics, especially ageing, Zuin et al. conducted a stratified analysis showing the steady increase in all strata, albeit with steeper rises among adults aged ≥70 years. There were no dramatic differences by sex either, with parallel increases in both groups. Some regional differences are notable, with mortality increased in Northern and particularly Eastern Europe, whereas trends plateaued in Western and Southern countries, underscoring persistent heterogeneity across the continent. While the tremendous global efforts to reduce hypertension are commendable, these findings are nonetheless deeply concerning and disheartening, given that hypertension is straightforward to diagnose and that effective, accessible therapies are widely available. The field has progressed quite steadily through the years, with the widespread advent of home blood pressure (BP) devices and the guidance provided b</w:t>
      </w:r>
    </w:p>
    <w:p>
      <w:pPr/>
      <w:r>
        <w:rPr>
          <w:b/>
        </w:rPr>
        <w:t>POSSIBLE 2025:</w:t>
      </w:r>
      <w:r>
        <w:t xml:space="preserve"> Climate-induced habitat suitability modelling for pelagic fish in European seas — https://doi.org/10.3389/fmars.2025.1501751</w:t>
      </w:r>
    </w:p>
    <w:p>
      <w:pPr/>
      <w:r>
        <w:rPr>
          <w:b/>
        </w:rPr>
        <w:t>Shared claim-specific concepts:</w:t>
      </w:r>
      <w:r>
        <w:t xml:space="preserve"> environmental, suitability, north, baltic, seas, all; EU scope visible. This is a provisional connection, not an outcome finding.</w:t>
      </w:r>
    </w:p>
    <w:p>
      <w:pPr>
        <w:pStyle w:val="SourceNote"/>
      </w:pPr>
      <w:r>
        <w:rPr>
          <w:b/>
        </w:rPr>
        <w:t>Available abstract (not full text):</w:t>
      </w:r>
      <w:r>
        <w:t xml:space="preserve"> Pelagic fish species, including Clupea harengus (Atlantic herring), Scomber scombrus (Atlantic mackerel) and Dicentrarchus labrax (European seabass), are integral to the ecological stability of European marine ecosystems. This study employs a mechanistic niche modelling approach to predict the distribution of these key pelagic species in European seas and to assess the impact of predicted changes in climate conditions on their suitable habitat range. By using fuzzy logic principles and mathematical descriptions of species’ niches, we analysed responses to changing temperature and salinity using climate prediction data from six Shared Socioeconomic Pathways (SSP) scenarios, predicting habitat suitability from the present (2010-2019) until 2100. Under the worst-case temperature climate scenario, all three species exhibited a consistent northward shift of suitable habitats by 2100. Specifically, the suitable habitat for C. harengus, S. scombrus and D. labrax is projected to shift approximately 638 km, 799 km and 13 km north, respectively. The independent contributions of temperature and salinity indicate a distinction in habitat suitability between northern European waters and the Mediterranean Sea, with higher suitability scores in the north. For example, by 2100, the habitat suitability index for non-spawning Atlantic herring in the North Atlantic Ocean is projected to be 0.63 ±</w:t>
      </w:r>
    </w:p>
    <w:p>
      <w:pPr/>
      <w:r>
        <w:rPr>
          <w:b/>
        </w:rPr>
        <w:t>POSSIBLE 2025:</w:t>
      </w:r>
      <w:r>
        <w:t xml:space="preserve"> Impact of emerging packaging regulations on international trade and product safety with emphasis on plastic reuse and recycling in Europe and North America — https://doi.org/10.1111/jiec.70079</w:t>
      </w:r>
    </w:p>
    <w:p>
      <w:pPr/>
      <w:r>
        <w:rPr>
          <w:b/>
        </w:rPr>
        <w:t>Shared claim-specific concepts:</w:t>
      </w:r>
      <w:r>
        <w:t xml:space="preserve"> environmental, north, despite; EU scope visible. This is a provisional connection, not an outcome finding.</w:t>
      </w:r>
    </w:p>
    <w:p>
      <w:pPr>
        <w:pStyle w:val="SourceNote"/>
      </w:pPr>
      <w:r>
        <w:rPr>
          <w:b/>
        </w:rPr>
        <w:t>Available abstract (not full text):</w:t>
      </w:r>
      <w:r>
        <w:t xml:space="preserve"> Abstract The evolving global landscape of packaging regulations, driven by heightened public concern over single‐use packaging and plastic waste, signals a significant shift toward circular economy principles. These regulatory changes, including the United Nations Environmental Programme's endorsement of a legally binding international agreement on plastic waste management, are expected to have far‐reaching impacts on product safety, packaging design, and global trade. The newly adopted and emerging policies prioritize waste reduction, reuse, recycling, and the integration of recycled materials. However, the rapid introduction of environmentally driven packaging regulations—especially those targeting sensitive sectors like food and cosmetics—presents potential risks for product/packaging safety and food waste, alongside challenges for trade harmonization across regions with divergent regulatory goals. This forum article reviews key regulatory frameworks from Asia, Europe, and the Americas, detailing material bans, reuse and refill targets, recycling mandates, and extended producer responsibility initiatives. It examines the potential impact of these regulations on global trade dynamics and their implications for universally accepted safety standards. Despite the well‐meaning intent behind these laws, gaps in understanding the protective role of packaging and its broader environ</w:t>
      </w:r>
    </w:p>
    <w:p>
      <w:pPr/>
      <w:r>
        <w:rPr>
          <w:b/>
        </w:rPr>
        <w:t>POSSIBLE 2025:</w:t>
      </w:r>
      <w:r>
        <w:t xml:space="preserve"> Assessment of the climatic suitability for invasive agricultural insect pests in a warming Europe based on Köppen-Geiger classification — https://doi.org/10.1127/entomologia/3551</w:t>
      </w:r>
    </w:p>
    <w:p>
      <w:pPr/>
      <w:r>
        <w:rPr>
          <w:b/>
        </w:rPr>
        <w:t>Shared claim-specific concepts:</w:t>
      </w:r>
      <w:r>
        <w:t xml:space="preserve"> suitability, species, importance; EU scope visible. This is a provisional connection, not an outcome finding.</w:t>
      </w:r>
    </w:p>
    <w:p>
      <w:pPr>
        <w:pStyle w:val="SourceNote"/>
      </w:pPr>
      <w:r>
        <w:rPr>
          <w:b/>
        </w:rPr>
        <w:t>Available abstract (not full text):</w:t>
      </w:r>
      <w:r>
        <w:t xml:space="preserve"> Climate change can modify suitable areas for the establishment of harmful insect species in Europe, thus leading to a geographical shift of pest establishment areas.This paper aims to analyse the potential impact of future climate change on the climatic suitability areas of 14 invasive agricultural insect species in Europe.The approach is based on pest occurrence data and Köppen-Geiger (KG) climate classification.Depending on data availability, occurrence data were extracted from one/two types of open-access datasets, and the sensitivity of the results to different pest occurrence datasets was analysed.The KG maps under present (1991-2020) climate conditions and three future (2071-2099) climate change scenarios ('low-emissions', 'middle-of-the-road', 'high-emissions') were used successively to identify the KG classes where each pest was recorded present.These classes were then used to determine the potential climatic suitability of Europe for each insect species under current and future climate conditions, and identify possible shifts in suitable areas resulting from climate change.Results show that overall, the climatic suitability areas are likely to expand in Europe for most of the 14 insect species due to future climate change, and that the increase level would be higher under the 'high-emissions' and 'middle-of-the-road' scenarios than under the 'low-emissions' scenario.In</w:t>
      </w:r>
    </w:p>
    <w:p>
      <w:pPr/>
      <w:r>
        <w:rPr>
          <w:b/>
        </w:rPr>
        <w:t>POSSIBLE 2025:</w:t>
      </w:r>
      <w:r>
        <w:t xml:space="preserve"> Expanding habitat suitability under changing climate and land use may drive rapid expansion of Russell’s viper (Daboia russelii) in Bangladesh — https://doi.org/10.3897/herpetozoa.38.e143411</w:t>
      </w:r>
    </w:p>
    <w:p>
      <w:pPr/>
      <w:r>
        <w:rPr>
          <w:b/>
        </w:rPr>
        <w:t>Shared claim-specific concepts:</w:t>
      </w:r>
      <w:r>
        <w:t xml:space="preserve"> increasing, environmental, suitability, species, despite, important; EU scope not established. This is a provisional connection, not an outcome finding.</w:t>
      </w:r>
    </w:p>
    <w:p>
      <w:pPr>
        <w:pStyle w:val="SourceNote"/>
      </w:pPr>
      <w:r>
        <w:rPr>
          <w:b/>
        </w:rPr>
        <w:t>Available abstract (not full text):</w:t>
      </w:r>
      <w:r>
        <w:t xml:space="preserve"> Eco-climatic and other environmental gradients significantly influence the geographic distribution of reptiles. In Bangladesh, the known range of Russell’s viper (Daboia russelii) has expanded extensively in recent decades. Using species distribution modelling, we analysed habitat suitability, dispersal pathways, interspecific competition, and population dynamics to explore the drivers behind this phenomenon. Our findings indicate a five-fold increase in climatically suitable area (76,716 km²) since 2015, attributed to higher cold-season temperatures and increased dry-season precipitation, facilitating the viper’s spread into previously unoccupied regions. The rapid dispersal of these snakes may have benefited from the strong currents of rivers, channels and seasonal waterways, and flat floodplain terrain. Additionally, the extension of agricultural and grassy habitats in new regions has provided abundant rodent prey and minimal predator or competitor pressures, creating ideal conditions for population growth. We also observed a female-biased population structure and large clutch sizes which may have further accelerated reproduction, contributed to rapid population expansion. In rural Bangladesh, where clinicians face multiple problems with the management of Russell’s viper envenoming, increasingly frequent human encounters with this highly dangerous snake have caused great pub</w:t>
      </w:r>
    </w:p>
    <w:p>
      <w:pPr/>
      <w:r>
        <w:rPr>
          <w:b/>
        </w:rPr>
        <w:t>POSSIBLE 2025:</w:t>
      </w:r>
      <w:r>
        <w:t xml:space="preserve"> Population genomics and molecular epidemiology of wheat powdery mildew in Europe — https://doi.org/10.1371/journal.pbio.3003097</w:t>
      </w:r>
    </w:p>
    <w:p>
      <w:pPr/>
      <w:r>
        <w:rPr>
          <w:b/>
        </w:rPr>
        <w:t>Shared claim-specific concepts:</w:t>
      </w:r>
      <w:r>
        <w:t xml:space="preserve"> conversely, rapidly, north, major; EU scope visible. This is a provisional connection, not an outcome finding.</w:t>
      </w:r>
    </w:p>
    <w:p>
      <w:pPr>
        <w:pStyle w:val="SourceNote"/>
      </w:pPr>
      <w:r>
        <w:rPr>
          <w:b/>
        </w:rPr>
        <w:t>Available abstract (not full text):</w:t>
      </w:r>
      <w:r>
        <w:t xml:space="preserve"> Agricultural diseases are a major threat to sustainable food production. Yet, for many pathogens we know exceptionally little about their epidemiological and population dynamics, and this knowledge gap is slowing the development of efficient control strategies. Here we study the population genomics and molecular epidemiology of wheat powdery mildew, a disease caused by the biotrophic fungus Blumeria graminis forma specialis tritici (Bgt). We sampled Bgt across two consecutive years, 2022 and 2023, and compiled a genomic dataset of 415 Bgt isolates from 22 countries in Europe and surrounding regions. We identified a single epidemic unit in the north of Europe, consisting of a highly homogeneous population. Conversely, the south of Europe hosts smaller local populations which are less interconnected. In addition, we show that the population structure can be largely predicted by the prevalent wind patterns. We identified several loci that were under selection in the recent past, including fungicide targets and avirulence genes. Some of these loci are common between populations, while others are not, suggesting different local selective pressures. We reconstructed the evolutionary history of one of these loci, AvrPm17, coding for an effector recognized by the wheat receptor Pm17. We found evidence for a soft sweep on standing genetic variation. Multiple AvrPm17 haplotypes, which ca</w:t>
      </w:r>
    </w:p>
    <w:p>
      <w:pPr/>
      <w:r>
        <w:rPr>
          <w:b/>
        </w:rPr>
        <w:t>POSSIBLE 2024:</w:t>
      </w:r>
      <w:r>
        <w:t xml:space="preserve"> Risks posed by invasive species to the provision of ecosystem services in Europe — https://doi.org/10.1038/s41467-024-46818-3</w:t>
      </w:r>
    </w:p>
    <w:p>
      <w:pPr/>
      <w:r>
        <w:rPr>
          <w:b/>
        </w:rPr>
        <w:t>Shared claim-specific concepts:</w:t>
      </w:r>
      <w:r>
        <w:t xml:space="preserve"> suitability, species, important, importance, addresses; EU scope visible. This is a provisional connection, not an outcome finding.</w:t>
      </w:r>
    </w:p>
    <w:p>
      <w:pPr>
        <w:pStyle w:val="SourceNote"/>
      </w:pPr>
      <w:r>
        <w:rPr>
          <w:b/>
        </w:rPr>
        <w:t>Available abstract (not full text):</w:t>
      </w:r>
      <w:r>
        <w:t xml:space="preserve"> Invasive species significantly impact biodiversity and ecosystem services, yet understanding these effects at large spatial scales remains a challenge. Our study addresses this gap by assessing the current and potential future risks posed by 94 invasive species to seven key ecosystem services in Europe. We demonstrate widespread potential impacts, particularly on outdoor recreation, habitat maintenance, crop provisioning, and soil and nitrogen retention. Exposure to invasive species was higher in areas with lower provision of ecosystem services, particularly for regulating and cultural services. Exposure was also high in areas where ecosystem contributions to crop provision and nitrogen retention were at their highest. Notably, regions vital for ecosystem services currently have low invasion suitability, but face an average 77% increase in potential invasion area. Here we show that, while high-value ecosystem service areas at the highest risk represent a small fraction of Europe (0-13%), they are disproportionally important for service conservation. Our study underscores the importance of monitoring and protecting these hotspots to align management strategies with international biodiversity targets, considering both invasion vulnerability and ecosystem service sustainability.</w:t>
      </w:r>
    </w:p>
    <w:p>
      <w:pPr/>
      <w:r>
        <w:rPr>
          <w:b/>
        </w:rPr>
        <w:t>POSSIBLE 2024:</w:t>
      </w:r>
      <w:r>
        <w:t xml:space="preserve"> Understanding and addressing shortfalls in European wild bee data — https://doi.org/10.1016/j.biocon.2024.110455</w:t>
      </w:r>
    </w:p>
    <w:p>
      <w:pPr/>
      <w:r>
        <w:rPr>
          <w:b/>
        </w:rPr>
        <w:t>Shared claim-specific concepts:</w:t>
      </w:r>
      <w:r>
        <w:t xml:space="preserve"> species, despite, major, important, addresses; EU scope visible. This is a provisional connection, not an outcome finding.</w:t>
      </w:r>
    </w:p>
    <w:p>
      <w:pPr>
        <w:pStyle w:val="SourceNote"/>
      </w:pPr>
      <w:r>
        <w:rPr>
          <w:b/>
        </w:rPr>
        <w:t>Available abstract (not full text):</w:t>
      </w:r>
      <w:r>
        <w:t xml:space="preserve"> Understanding and reversing biodiversity decline in the Anthropocene requires robust data on species taxonomic identity, distribution, ecology, and population trends. Data deficits hinder biodiversity assessments and conservation, and despite major advances over the past few decades, our understanding of bee diversity, decline and distribution in Europe is still hampered by such data shortfalls. Using a unique digital dataset of wild bee occurrence and ecology, we identify seven critical shortfalls which are an absence of knowledge on geographic distributions, (functional) trait variation, population dynamics, evolutionary relationships, biotic interactions, species identity, and tolerance to abiotic conditions. We describe “BeeFall,” an interactive online Shiny app tool, which visualizes these shortfalls and highlights missing data. We also define a new impediment, the Keartonian Impediment, which addresses an absence of high-quality in situ photos and illustrations with diagnostic characteristics and directly affects the outlined shortfalls. Shortfalls are highly correlated at both the provincial and national scales, identifying key areas in Europe where knowledge gaps can be filled. This work provides an important first step towards the long-term goal to mobilize and aggregate European wild bee data into a multi-scale, easy access, shareable, and updatable database which can</w:t>
      </w:r>
    </w:p>
    <w:p>
      <w:pPr/>
      <w:r>
        <w:rPr>
          <w:b/>
        </w:rPr>
        <w:t>POSSIBLE 2024:</w:t>
      </w:r>
      <w:r>
        <w:t xml:space="preserve"> Future malaria environmental suitability in Africa is sensitive to hydrology — https://doi.org/10.1126/science.adk8755</w:t>
      </w:r>
    </w:p>
    <w:p>
      <w:pPr/>
      <w:r>
        <w:rPr>
          <w:b/>
        </w:rPr>
        <w:t>Shared claim-specific concepts:</w:t>
      </w:r>
      <w:r>
        <w:t xml:space="preserve"> environmental, suitability, important; EU scope not established. This is a provisional connection, not an outcome finding.</w:t>
      </w:r>
    </w:p>
    <w:p>
      <w:pPr>
        <w:pStyle w:val="SourceNote"/>
      </w:pPr>
      <w:r>
        <w:rPr>
          <w:b/>
        </w:rPr>
        <w:t>Available abstract (not full text):</w:t>
      </w:r>
      <w:r>
        <w:t xml:space="preserve"> spp. malaria parasites and the lack of availability of surface water for vector breeding. Previous Africa-wide assessments have tended to solely represent surface water using precipitation, ignoring many important hydrological processes. Here, we applied a validated and weighted ensemble of global hydrological and climate models to estimate present and future areas of hydroclimatic suitability for malaria transmission. With explicit surface water representation, we predict a net decrease in areas suitable for malaria transmission from 2025 onward, greater sensitivity to future greenhouse gas emissions, and different, more complex, malaria transmission patterns. Areas of malaria transmission that are projected to change are smaller than those estimated by precipitation-based estimates but are associated with greater changes in transmission season lengths.</w:t>
      </w:r>
    </w:p>
    <w:p>
      <w:pPr/>
      <w:r>
        <w:rPr>
          <w:b/>
        </w:rPr>
        <w:t>POSSIBLE 2024:</w:t>
      </w:r>
      <w:r>
        <w:t xml:space="preserve"> Carnivores’ contributions to people in Europe — https://doi.org/10.5751/es-15249-290309</w:t>
      </w:r>
    </w:p>
    <w:p>
      <w:pPr/>
      <w:r>
        <w:rPr>
          <w:b/>
        </w:rPr>
        <w:t>Shared claim-specific concepts:</w:t>
      </w:r>
      <w:r>
        <w:t xml:space="preserve"> all, species, literature; EU scope visible. This is a provisional connection, not an outcome finding.</w:t>
      </w:r>
    </w:p>
    <w:p>
      <w:pPr>
        <w:pStyle w:val="SourceNote"/>
      </w:pPr>
      <w:r>
        <w:rPr>
          <w:b/>
        </w:rPr>
        <w:t>Available abstract (not full text):</w:t>
      </w:r>
      <w:r>
        <w:t xml:space="preserve"> Human-carnivore relations in Europe have varied throughout history. Because of recent conservation efforts and passive rewilding, carnivore populations are recovering, which translates into more interactions with humans. Thus, unraveling these interactions as well as the multiple contributions carnivores provide to people is crucial to their conservation. We examined the literature conducted in Europe since 2000 and used the nature’s contributions to people (NCP) framework to identify factors that have shaped human-carnivore relations. To do so, we examined the state of scientific knowledge and relationships among types of NCP from carnivores, countries, and carnivore species; and between NCP, actors, and management actions. Results indicated that research has been oriented toward large carnivore species and their detrimental contributions to people. Further, the effectiveness of carnivore management strategies has only been evaluated and monitored in a limited set of all the research. To balance any negative views on carnivores, we suggest that the recognition of the duality of carnivores, as providers of both beneficial and detrimental contributions, should be included in EU conservation policies.</w:t>
      </w:r>
    </w:p>
    <w:p>
      <w:pPr>
        <w:pStyle w:val="Heading2"/>
      </w:pPr>
      <w:r>
        <w:t>596. Fiscal foresighting: analysis of researches</w:t>
      </w:r>
    </w:p>
    <w:p>
      <w:pPr>
        <w:pStyle w:val="SourceNote"/>
      </w:pPr>
      <w:r>
        <w:rPr>
          <w:b/>
        </w:rPr>
        <w:t>Original source (2021):</w:t>
      </w:r>
      <w:r>
        <w:t xml:space="preserve"> https://doi.org/10.15407/econindustry2021.02.071</w:t>
      </w:r>
    </w:p>
    <w:p>
      <w:pPr/>
      <w:r>
        <w:t>Original wording (abstract; indexed_source_text_not_full_document_verified): The objective of the paper is to analyse theoretical aspects of fiscal foresight, as well as foreign and national experience in fiscal foresights’ preparation to identify long-term factors and indicators that will have a significant impact (both positive and negative) on a fiscal system in a distant future. Based on the results of the analysis of the "National Economic Strategy for the Period up to 2030", it was established that the actions indicated in the Strategy can become the initial data for the development of the first national fiscal foresight as a basis for assessing the long-term sustainability of the current fiscal system , identifying opportunities and risks of transformations of the fiscal policy of Ukraine under the influence of megatrends and intrastate changes associated with the peculiarities of the country's socio-economic development.</w:t>
      </w:r>
    </w:p>
    <w:p>
      <w:pPr/>
      <w:r>
        <w:rPr>
          <w:b/>
        </w:rPr>
        <w:t>POSSIBLE 2026:</w:t>
      </w:r>
      <w:r>
        <w:t xml:space="preserve"> Theoretical Framework for Analysing Regional Economic Governance: A Comparative Study of African Blocs — https://doi.org/10.5281/zenodo.18934399</w:t>
      </w:r>
    </w:p>
    <w:p>
      <w:pPr/>
      <w:r>
        <w:rPr>
          <w:b/>
        </w:rPr>
        <w:t>Shared claim-specific concepts:</w:t>
      </w:r>
      <w:r>
        <w:t xml:space="preserve"> objective, analyse, theoretical, significant; EU scope not established. This is a provisional connection, not an outcome finding.</w:t>
      </w:r>
    </w:p>
    <w:p>
      <w:pPr>
        <w:pStyle w:val="SourceNote"/>
      </w:pPr>
      <w:r>
        <w:rPr>
          <w:b/>
        </w:rPr>
        <w:t>Available abstract (not full text):</w:t>
      </w:r>
      <w:r>
        <w:t xml:space="preserve"> The study of regional economic governance in Africa is fragmented, lacking a unified theoretical lens to compare the institutional architectures and policy outcomes of different blocs. Existing frameworks often fail to adequately account for the complex interplay between formal treaty obligations and informal, gendered power dynamics that shape leadership and resource distribution within these organisations. This article develops a novel, integrated theoretical framework for the comparative analysis of regional economic governance structures in Africa. Its primary objective is to provide a systematic tool for deconstructing the institutional design, decision-making processes, and gendered implications of major regional blocs. The framework is constructed through a synthesis of institutional theory, feminist political economy, and comparative regionalism. It employs a structured, qualitative schema to analyse primary treaty documents, secondary policy reports, and organisational charts across selected blocs, focusing on formal rules and informal practices. The framework reveals that a significant theme across blocs is the disjuncture between rhetorical commitments to gender mainstreaming in treaties and the marginalisation of women from core economic decision-making roles. A key analytical finding is that informal patronage networks frequently subvert formal governance rules, di</w:t>
      </w:r>
    </w:p>
    <w:p>
      <w:pPr/>
      <w:r>
        <w:rPr>
          <w:b/>
        </w:rPr>
        <w:t>POSSIBLE 2026:</w:t>
      </w:r>
      <w:r>
        <w:t xml:space="preserve"> Theoretical Framework for Analysing Regional Economic Governance: A Comparative Study of African Blocs — https://doi.org/10.5281/zenodo.18935050</w:t>
      </w:r>
    </w:p>
    <w:p>
      <w:pPr/>
      <w:r>
        <w:rPr>
          <w:b/>
        </w:rPr>
        <w:t>Shared claim-specific concepts:</w:t>
      </w:r>
      <w:r>
        <w:t xml:space="preserve"> objective, analyse, theoretical, significant; EU scope not established. This is a provisional connection, not an outcome finding.</w:t>
      </w:r>
    </w:p>
    <w:p>
      <w:pPr>
        <w:pStyle w:val="SourceNote"/>
      </w:pPr>
      <w:r>
        <w:rPr>
          <w:b/>
        </w:rPr>
        <w:t>Available abstract (not full text):</w:t>
      </w:r>
      <w:r>
        <w:t xml:space="preserve"> The study of regional economic governance in Africa is fragmented, lacking a unified theoretical lens to compare the institutional architectures and policy outcomes of different blocs. Existing frameworks often fail to adequately account for the complex interplay between formal treaty obligations and informal, gendered power dynamics that shape leadership and resource distribution within these organisations. This article develops a novel, integrated theoretical framework for the comparative analysis of regional economic governance structures in Africa. Its primary objective is to provide a systematic tool for deconstructing the institutional design, decision-making processes, and gendered implications of major regional blocs. The framework is constructed through a synthesis of institutional theory, feminist political economy, and comparative regionalism. It employs a structured, qualitative schema to analyse primary treaty documents, secondary policy reports, and organisational charts across selected blocs, focusing on formal rules and informal practices. The framework reveals that a significant theme across blocs is the disjuncture between rhetorical commitments to gender mainstreaming in treaties and the marginalisation of women from core economic decision-making roles. A key analytical finding is that informal patronage networks frequently subvert formal governance rules, di</w:t>
      </w:r>
    </w:p>
    <w:p>
      <w:pPr/>
      <w:r>
        <w:rPr>
          <w:b/>
        </w:rPr>
        <w:t>POSSIBLE 2026:</w:t>
      </w:r>
      <w:r>
        <w:t xml:space="preserve"> Theoretical Framework for Analysing Regional Economic Governance: A Comparative Study of African Blocs — https://doi.org/10.5281/zenodo.18936851</w:t>
      </w:r>
    </w:p>
    <w:p>
      <w:pPr/>
      <w:r>
        <w:rPr>
          <w:b/>
        </w:rPr>
        <w:t>Shared claim-specific concepts:</w:t>
      </w:r>
      <w:r>
        <w:t xml:space="preserve"> objective, analyse, theoretical, significant; EU scope not established. This is a provisional connection, not an outcome finding.</w:t>
      </w:r>
    </w:p>
    <w:p>
      <w:pPr>
        <w:pStyle w:val="SourceNote"/>
      </w:pPr>
      <w:r>
        <w:rPr>
          <w:b/>
        </w:rPr>
        <w:t>Available abstract (not full text):</w:t>
      </w:r>
      <w:r>
        <w:t xml:space="preserve"> The study of regional economic governance in Africa is fragmented, lacking a unified theoretical lens to compare the institutional architectures and policy outcomes of different blocs. Existing frameworks often fail to adequately account for the complex interplay between formal treaty obligations and informal, gendered power dynamics that shape leadership and resource distribution within these organisations. This article develops a novel, integrated theoretical framework for the comparative analysis of regional economic governance structures in Africa. Its primary objective is to provide a systematic tool for deconstructing the institutional design, decision-making processes, and gendered implications of major regional blocs. The framework is constructed through a synthesis of institutional theory, feminist political economy, and comparative regionalism. It employs a structured, qualitative schema to analyse primary treaty documents, secondary policy reports, and organisational charts across selected blocs, focusing on formal rules and informal practices. The framework reveals that a significant theme across blocs is the disjuncture between rhetorical commitments to gender mainstreaming in treaties and the marginalisation of women from core economic decision-making roles. A key analytical finding is that informal patronage networks frequently subvert formal governance rules, di</w:t>
      </w:r>
    </w:p>
    <w:p>
      <w:pPr/>
      <w:r>
        <w:rPr>
          <w:b/>
        </w:rPr>
        <w:t>POSSIBLE 2026:</w:t>
      </w:r>
      <w:r>
        <w:t xml:space="preserve"> Navigating the winds of change: strategic foresight and the power of weak signals — https://doi.org/10.1007/s11625-025-01786-5</w:t>
      </w:r>
    </w:p>
    <w:p>
      <w:pPr/>
      <w:r>
        <w:rPr>
          <w:b/>
        </w:rPr>
        <w:t>Shared claim-specific concepts:</w:t>
      </w:r>
      <w:r>
        <w:t xml:space="preserve"> foresight, national, identify, significant; EU scope not established. This is a provisional connection, not an outcome finding.</w:t>
      </w:r>
    </w:p>
    <w:p>
      <w:pPr>
        <w:pStyle w:val="SourceNote"/>
      </w:pPr>
      <w:r>
        <w:rPr>
          <w:b/>
        </w:rPr>
        <w:t>Available abstract (not full text):</w:t>
      </w:r>
      <w:r>
        <w:t xml:space="preserve"> Abstract In an era of increased complexity, interdependence, uncertainty and rapidly advancing technology, the ability to identify and swiftly adapt to current and future trends is key to progressing sustainability. Intersecting drivers and stressors are converging to destabilize socioecological systems and reshape national, regional and global outlooks. The intersecting and converging crises of the 21st century have exposed the limits of planning that relies too heavily on linear extrapolations from well-known global/mega-trends. This study explores whether a limited number of emerging trends that only manifest as weak signals today serve as central conduits (super-nodes) for amplifying and accelerating systemic disruption. Using an exploratory mixed-methods design, a global Delphi survey ( N = 790, 132 countries) generated 1200 horizon-scan items, inductively coded into 29 clusters. Scenario stress-testing distilled the findings into 280 candidate weak signals—ranked by likelihood, impact, and timing—from which 20 were shortlisted and mapped onto a 20 × 20 influence matrix through structured expert debate. Weighted degree centralities and a 10,000-run bootstrap test identified statistically significant hubs. Results suggest that anticipatory governance can be strengthened by prioritizing high-centrality signals and institutionalizing ongoing weak-signal scanning alongside tra</w:t>
      </w:r>
    </w:p>
    <w:p>
      <w:pPr/>
      <w:r>
        <w:rPr>
          <w:b/>
        </w:rPr>
        <w:t>POSSIBLE 2026:</w:t>
      </w:r>
      <w:r>
        <w:t xml:space="preserve"> Essays on fiscal policy — https://doi.org/10.82444/warw.33725077</w:t>
      </w:r>
    </w:p>
    <w:p>
      <w:pPr/>
      <w:r>
        <w:rPr>
          <w:b/>
        </w:rPr>
        <w:t>Shared claim-specific concepts:</w:t>
      </w:r>
      <w:r>
        <w:t xml:space="preserve"> fiscal, based; EU scope visible. This is a provisional connection, not an outcome finding.</w:t>
      </w:r>
    </w:p>
    <w:p>
      <w:pPr>
        <w:pStyle w:val="SourceNote"/>
      </w:pPr>
      <w:r>
        <w:rPr>
          <w:b/>
        </w:rPr>
        <w:t>Available abstract (not full text):</w:t>
      </w:r>
      <w:r>
        <w:t xml:space="preserve"> High levels of either public debt or wealth inequality are detrimental to social and economic stability. At a time when reducing public debt and decreasing wealth inequality have become important policy priorities, the question arises about whether these two goals stand in con ict. With this in mind, Chapter 1 assesses the effects of public debt on wealth inequality based on an analytically tractable model of heterogeneous agents. Its scope, in particular, is to investigate whether a reduction of public debt or of budget deficits in general might amplify or not the levels of wealth inequality. In answering this question, we explore a novel channel where, for example, a reduction in budget deficits amplifies wealth inequality due to the change in factor prices, and in particular that of interest rates. Therefore, and besides that our research is the first to explore this type of question, our main contribution is that we show how a change in public debt can affect wealth inequality in an implicit way through the change in factor incomes - that is, the general equilibrium effects. In Chapter 2, on the other hand, we study the design of policies within an endogenous growth model of incomplete markets and partial commitment. Markets are incomplete in two dimensions, the government cannot insure itself from the presence of aggregate risk, and the accumulation of human capital is sub</w:t>
      </w:r>
    </w:p>
    <w:p>
      <w:pPr/>
      <w:r>
        <w:rPr>
          <w:b/>
        </w:rPr>
        <w:t>POSSIBLE 2026:</w:t>
      </w:r>
      <w:r>
        <w:t xml:space="preserve"> Unveiling the Theoretical Framework — https://doi.org/10.4324/9781003727927-2</w:t>
      </w:r>
    </w:p>
    <w:p>
      <w:pPr/>
      <w:r>
        <w:rPr>
          <w:b/>
        </w:rPr>
        <w:t>Shared claim-specific concepts:</w:t>
      </w:r>
      <w:r>
        <w:t xml:space="preserve"> objective, theoretical, fiscal; EU scope not established. This is a provisional connection, not an outcome finding.</w:t>
      </w:r>
    </w:p>
    <w:p>
      <w:pPr>
        <w:pStyle w:val="SourceNote"/>
      </w:pPr>
      <w:r>
        <w:rPr>
          <w:b/>
        </w:rPr>
        <w:t>Available abstract (not full text):</w:t>
      </w:r>
      <w:r>
        <w:t xml:space="preserve"> The chapter outlines the theoretical framework for examining the resource mobilisation in Union Parishads (UPs) through theories and concepts. At the onset of the chapter, the authors exposed how the theoretical framework helps in understanding the dynamics of the resource. The five theories mentioned in the chapter include Resource Dependency Theory, Fiscal Decentralisation Theory, Institutional Theory, Governance and the Accountability Framework, and Local Economic Development Theory. The chapter clarifies and specifies the key concepts of local government, resource mobilisation, challenges, and opportunities. Resource mobilisation is the dependent variable indicated by revenue generation, service delivery capacity, and partnership building. The effect of the independent variables – financial autonomy, revenue generation capacity, governance and accountability mechanisms, and intergovernmental relations – on the dependent variable is assessed. The provision of an analytical framework in order to synthesise these theories and concepts would enhance the understanding of resource mobilisation. This framework provides a perspective towards the objective of the study, which would help understand the way UPs deal with their financial and governance issues. As such, this chapter lays the groundwork for the empirical analyses in subsequent chapters.</w:t>
      </w:r>
    </w:p>
    <w:p>
      <w:pPr/>
      <w:r>
        <w:rPr>
          <w:b/>
        </w:rPr>
        <w:t>POSSIBLE 2025:</w:t>
      </w:r>
      <w:r>
        <w:t xml:space="preserve"> Theoretical Foundations — https://doi.org/10.4324/9781003694625_ch14</w:t>
      </w:r>
    </w:p>
    <w:p>
      <w:pPr/>
      <w:r>
        <w:rPr>
          <w:b/>
        </w:rPr>
        <w:t>Shared claim-specific concepts:</w:t>
      </w:r>
      <w:r>
        <w:t xml:space="preserve"> analyse, theoretical, based; EU scope not established. This is a provisional connection, not an outcome finding.</w:t>
      </w:r>
    </w:p>
    <w:p>
      <w:pPr>
        <w:pStyle w:val="SourceNote"/>
      </w:pPr>
      <w:r>
        <w:rPr>
          <w:b/>
        </w:rPr>
        <w:t>Available abstract (not full text):</w:t>
      </w:r>
      <w:r>
        <w:t xml:space="preserve"> The four TPACK course (re)design professional development modules developed in the MARCH ET project are based on five theoretical foundations. Understanding these theoretical foundations helps us comprehend the modules’ course design and the considerations that go into choosing it. The first theoretical foundation is ‘social constructivism,’ which is an approach to good teaching and learning. The second theoretical foundation is the pedagogical design of the modules, which is based on an old but still very useful ‘pedagogical model’ developed by Van Gelder (1970) , referred to in Dutch as the didactische analyse model (DA model). The third theoretical foundation is the revised Bloom’s Taxonomy (Anderson &amp; Krathwohl, 2001) for defining learning outcomes (often called ‘learning objectives’). The fourth theoretical foundation is Biggs ‘constructive alignment’ of learning outcomes, the learning process and assessments ( Biggs, 2003 ), a widely accepted principle of pedagogically sound course design. The fifth and final foundation is the ‘action research’ approach. It is used as a reflection method by the participants in their own teaching practice.</w:t>
      </w:r>
    </w:p>
    <w:p>
      <w:pPr/>
      <w:r>
        <w:rPr>
          <w:b/>
        </w:rPr>
        <w:t>POSSIBLE 2025:</w:t>
      </w:r>
      <w:r>
        <w:t xml:space="preserve"> On the role of intelligence and business wargaming in developing foresight — https://doi.org/10.1080/09537325.2025.2506122</w:t>
      </w:r>
    </w:p>
    <w:p>
      <w:pPr/>
      <w:r>
        <w:rPr>
          <w:b/>
        </w:rPr>
        <w:t>Shared claim-specific concepts:</w:t>
      </w:r>
      <w:r>
        <w:t xml:space="preserve"> theoretical, foresight, well, both; EU scope not established. This is a provisional connection, not an outcome finding.</w:t>
      </w:r>
    </w:p>
    <w:p>
      <w:pPr>
        <w:pStyle w:val="SourceNote"/>
      </w:pPr>
      <w:r>
        <w:rPr>
          <w:b/>
        </w:rPr>
        <w:t>Available abstract (not full text):</w:t>
      </w:r>
      <w:r>
        <w:t xml:space="preserve"> Business wargaming is a central tool for developing sustaining strategies. It transfers the benefits of traditional wargaming to the business environment. However, building wargames that support the process of decision-making for strategy require respective intelligence. This paper investigates the role of intelligence in the process of developing strategic foresight. The focus is on how intelligence is developed and how it relates to business wargaming. The so-called intelligence cycle is the basis and reference of our investigation. The conceptual part of the paper combines the theoretical background from military, business as well as serious gaming. To elaborate on some of the lessons learned, we examine specific business wargames both drawn from literature and conducted by us at the Center for Intelligence and Security Studies (CISS). It is shown that business wargaming can significantly contribute to competitive intelligence (CI) by identifying missing information and by transforming data into actionable intelligence. Furthermore, it bridges the gap from CI to a strategy by either testing or developing a new strategy.</w:t>
      </w:r>
    </w:p>
    <w:p>
      <w:pPr/>
      <w:r>
        <w:rPr>
          <w:b/>
        </w:rPr>
        <w:t>POSSIBLE 2025:</w:t>
      </w:r>
      <w:r>
        <w:t xml:space="preserve"> Strategic Foresight for Sustainable Development in the European Union: The Role of Entrepreneurship — https://doi.org/10.34021/ve.2025.08.03(2)</w:t>
      </w:r>
    </w:p>
    <w:p>
      <w:pPr/>
      <w:r>
        <w:rPr>
          <w:b/>
        </w:rPr>
        <w:t>Shared claim-specific concepts:</w:t>
      </w:r>
      <w:r>
        <w:t xml:space="preserve"> objective, analyse, foresight, long-term, indicators, significant; EU scope visible. This is a provisional connection, not an outcome finding.</w:t>
      </w:r>
    </w:p>
    <w:p>
      <w:pPr>
        <w:pStyle w:val="SourceNote"/>
      </w:pPr>
      <w:r>
        <w:rPr>
          <w:b/>
        </w:rPr>
        <w:t>Available abstract (not full text):</w:t>
      </w:r>
      <w:r>
        <w:t xml:space="preserve"> Sustainable development has become a strategic priority for the European Union (EU), requiring coordinated institutional, economic and entrepreneurial transformations. While a growing body of literature recognises entrepreneurship as an important mechanism for advancing sustainability objectives, empirical evidence on how structural features of the business environment influence sustainability trajectories at the macroeconomic level remains fragmented. In particular, the dynamic relationships among sustainable development, business regulation and market openness across EU countries remain insufficiently understood. The objective of this study is to analyse how business regulation and market openness influence entrepreneurship-driven progress towards sustainable development in the European Union and to examine the dynamic interactions among these institutional and economic dimensions. The empirical analysis employs an annual panel dataset covering 27 EU member states for the period 2010–2024. The study applies a panel vector autoregression (PVAR) framework combined with Granger causality testing and impulse response analysis to capture short-run and long-run relationships among sustainable development, regulatory quality and market openness. The results reveal strong persistence and path dependence in sustainable development trajectories. Business regulation does not exert stati</w:t>
      </w:r>
    </w:p>
    <w:p>
      <w:pPr/>
      <w:r>
        <w:rPr>
          <w:b/>
        </w:rPr>
        <w:t>POSSIBLE 2025:</w:t>
      </w:r>
      <w:r>
        <w:t xml:space="preserve"> Strategic foresight framework for addressing agency in sustainability transitions: a co-creation approach — https://doi.org/10.3389/frsus.2025.1507708</w:t>
      </w:r>
    </w:p>
    <w:p>
      <w:pPr/>
      <w:r>
        <w:rPr>
          <w:b/>
        </w:rPr>
        <w:t>Shared claim-specific concepts:</w:t>
      </w:r>
      <w:r>
        <w:t xml:space="preserve"> theoretical, foresight, preparation, identify, both; EU scope visible. This is a provisional connection, not an outcome finding.</w:t>
      </w:r>
    </w:p>
    <w:p>
      <w:pPr>
        <w:pStyle w:val="SourceNote"/>
      </w:pPr>
      <w:r>
        <w:rPr>
          <w:b/>
        </w:rPr>
        <w:t>Available abstract (not full text):</w:t>
      </w:r>
      <w:r>
        <w:t xml:space="preserve"> This paper presents a novel methodological approach that integrates strategic foresight with sustainability transitions frameworks to explore how different forms of agency shape transition pathways. The research methodology employed include the development of foresight scenarios addressing sustainability, the X-curve framework for mapping possible transition pathways for a sustainable EU 2050, and agency analysis to identify strategic areas of interventions and understanding systemic policy mixes over time. This work was performed in the context of the preparation of the European Commission’s Annual Strategic Foresight Report 2023. Additionally, through empirical application across three distinct contexts, this paper demonstrates how strategic foresight can generate actionable knowledge for sustainability transitions while maintaining methodological rigor. The study advances the theoretical understanding of agency in sustainability transitions by showing how different actors can be strategically engaged through interventions aimed at shaping, navigating, and orchestrating transition pathways over time. Our findings reveal that successful transitions require balancing the agency of established institutional actors with emerging stakeholders who may lack formal authority but bring crucial perspectives and capabilities. The study emphasizes the importance of agency of multiple act</w:t>
      </w:r>
    </w:p>
    <w:p>
      <w:pPr/>
      <w:r>
        <w:rPr>
          <w:b/>
        </w:rPr>
        <w:t>POSSIBLE 2025:</w:t>
      </w:r>
      <w:r>
        <w:t xml:space="preserve"> Automation technologies and the labor market : theoretical and empirical Analyses — https://doi.org/10.70675/f24d6ee5zaf36z4e53z936ezf5b46e862a21</w:t>
      </w:r>
    </w:p>
    <w:p>
      <w:pPr/>
      <w:r>
        <w:rPr>
          <w:b/>
        </w:rPr>
        <w:t>Shared claim-specific concepts:</w:t>
      </w:r>
      <w:r>
        <w:t xml:space="preserve"> theoretical, well, significant, both, based; EU scope not established. This is a provisional connection, not an outcome finding.</w:t>
      </w:r>
    </w:p>
    <w:p>
      <w:pPr>
        <w:pStyle w:val="SourceNote"/>
      </w:pPr>
      <w:r>
        <w:rPr>
          <w:b/>
        </w:rPr>
        <w:t>Available abstract (not full text):</w:t>
      </w:r>
      <w:r>
        <w:t xml:space="preserve"> This thesis explores the implications of technologies capable of replacing human labor in various job tasks, such as artificial intelligence (AI), on employment and wages. Across four chapters, I address this question from both macroeconomic and microeconomic perspectives, combining theoretical and empirical analyses based on different data sources and econometric methods. The results can be summarized as follows. First, automation technologies amplify the impact of technology shocks on hours worked. Second, they reduce the wages of high-skilled occupations, as well as those of low-skilled ones, through ripple effects. Third, the automation of routine tasks puts downward pressure on workers’ wages, even when routine tasks represent only a minor share of their job, thus revealing a partial but significant exposure of non-routine workers to automation. Finally, I provide a normative analysis of AI taxation. Since AI differs from other automation technologies by its ability to perform complex cognitive tasks performed by high-skilled workers, the results suggest that subsidizing AI would be optimal, as it replaces the highest-paid workers and thereby contributes to reducing income inequality.</w:t>
      </w:r>
    </w:p>
    <w:p>
      <w:pPr/>
      <w:r>
        <w:rPr>
          <w:b/>
        </w:rPr>
        <w:t>POSSIBLE 2025:</w:t>
      </w:r>
      <w:r>
        <w:t xml:space="preserve"> Theoretical Study of Conflict-Avoidant Multi-Objective Reinforcement Learning — https://doi.org/10.1109/tit.2025.3581454</w:t>
      </w:r>
    </w:p>
    <w:p>
      <w:pPr/>
      <w:r>
        <w:rPr>
          <w:b/>
        </w:rPr>
        <w:t>Shared claim-specific concepts:</w:t>
      </w:r>
      <w:r>
        <w:t xml:space="preserve"> objective, theoretical, both; EU scope not established. This is a provisional connection, not an outcome finding.</w:t>
      </w:r>
    </w:p>
    <w:p>
      <w:pPr>
        <w:pStyle w:val="SourceNote"/>
      </w:pPr>
      <w:r>
        <w:rPr>
          <w:b/>
        </w:rPr>
        <w:t>Available abstract (not full text):</w:t>
      </w:r>
      <w:r>
        <w:t xml:space="preserve"> Multi-objective reinforcement learning (MORL) has shown great promise in many real-world applications. Existing MORL algorithms often aim to learn a policy that optimizes individual objective functions simultaneously with a given prior preference (or weights) on different objectives. However, these methods often suffer from the issue ofgradient conflictsuch that the objectives with larger gradients dominate the update direction, resulting in a performance degeneration on other objectives. In this paper, we develop a novel dynamic weighting multi-objective actor-critic algorithm (MOAC) under two options of sub-procedures named as conflict-avoidant (CA) and faster convergence (FC) in objective weight updates. MOAC-CA aims to find a CA update direction that maximizes the minimum value improvement among objectives, and MOAC-FC targets at a much faster convergence rate. We provide a comprehensive finite-time convergence analysis for both algorithms. We show that MOAC-CA can find a ϵ + ϵapp-accurate Pareto stationary policy using O(ϵ−5) samples, while ensuring a small ϵ+ √ϵapp-level CA distance (defined as the distance to the CA direction), where ϵappis the function approximation error. The analysis also shows that MOAC-FC improves the sample complexity to O(ϵ−3), but with a constant-level CA distance. Our experiments on MT10 demonstrate the improved performance of our algorithms ove</w:t>
      </w:r>
    </w:p>
    <w:p>
      <w:pPr>
        <w:pStyle w:val="Heading2"/>
      </w:pPr>
      <w:r>
        <w:t>597. Five transition pathways to renewable energy futures—scenarios from a Delphi study on key drivers and policy options</w:t>
      </w:r>
    </w:p>
    <w:p>
      <w:pPr>
        <w:pStyle w:val="SourceNote"/>
      </w:pPr>
      <w:r>
        <w:rPr>
          <w:b/>
        </w:rPr>
        <w:t>Original source (2021):</w:t>
      </w:r>
      <w:r>
        <w:t xml:space="preserve"> https://doi.org/10.1186/s40309-021-00185-0</w:t>
      </w:r>
    </w:p>
    <w:p>
      <w:pPr/>
      <w:r>
        <w:t>Original wording (abstract; indexed_source_text_not_full_document_verified): In this article, five energy scenarios are presented for Finland until 2030. It is therefore important to anticipate probable, preferable, or avoidable future paths that will contribute to the discussion of the direction and conditions of such futures.</w:t>
      </w:r>
    </w:p>
    <w:p>
      <w:pPr/>
      <w:r>
        <w:rPr>
          <w:b/>
        </w:rPr>
        <w:t>POSSIBLE 2026:</w:t>
      </w:r>
      <w:r>
        <w:t xml:space="preserve"> Framing the Climate Crisis in European Media: A Comparative Study of Five Major News Outlets — https://doi.org/10.5281/zenodo.22795894</w:t>
      </w:r>
    </w:p>
    <w:p>
      <w:pPr/>
      <w:r>
        <w:rPr>
          <w:b/>
        </w:rPr>
        <w:t>Shared claim-specific concepts:</w:t>
      </w:r>
      <w:r>
        <w:t xml:space="preserve"> article, five, energy; EU scope visible. This is a provisional connection, not an outcome finding.</w:t>
      </w:r>
    </w:p>
    <w:p>
      <w:pPr>
        <w:pStyle w:val="SourceNote"/>
      </w:pPr>
      <w:r>
        <w:rPr>
          <w:b/>
        </w:rPr>
        <w:t>Available abstract (not full text):</w:t>
      </w:r>
      <w:r>
        <w:t xml:space="preserve"> This study examines how five major national news outlets in EU member states framed climate change between 2022 and 2025, a period shaped by Russia’s invasion of Ukraine, implementation of the European Green Deal, and growing political contestation over the pace of the green transition. Drawing on Entman’s framing theory, comparative media-systems research, and critical discourse analysis (CDA), it analyses a purposive corpus of 112 articles from Der Spiegel, Le Monde, La Repubblica, Gazeta Wyborcza, and El País. Each article was assigned one primary frame and, where applicable, one secondary frame. Across the corpus, national sovereignty was the most frequent primary frame (39 of 112 articles), although patterns varied substantially by outlet: Gazeta Wyborcza was distinctive for its emphasis on just transition, while El País was the only outlet in which scientific urgency was the leading primary frame. The article introduces the Energy Security Bridge-Delay Framework, which distinguishes energy-security discourse that accelerates decarbonisation (Bridge), temporarily accommodates fossil-fuel use within a defined transition pathway (Transitional), or justifies indefinite postponement (Delay). A 21-article CDA sub-sample examines these categories in greater depth. The findings indicate that energy-security discourse is not inherently supportive of or hostile to climate transitio</w:t>
      </w:r>
    </w:p>
    <w:p>
      <w:pPr/>
      <w:r>
        <w:rPr>
          <w:b/>
        </w:rPr>
        <w:t>POSSIBLE 2026:</w:t>
      </w:r>
      <w:r>
        <w:t xml:space="preserve"> Socio-technical Imaginaries and Citizen Engagement in the Energy Transition: Perspectives from Five Renewable Energy Community Ecosystems in the European Union — https://doi.org/10.6093/2723-9608/12365</w:t>
      </w:r>
    </w:p>
    <w:p>
      <w:pPr/>
      <w:r>
        <w:rPr>
          <w:b/>
        </w:rPr>
        <w:t>Shared claim-specific concepts:</w:t>
      </w:r>
      <w:r>
        <w:t xml:space="preserve"> five, energy; EU scope visible. This is a provisional connection, not an outcome finding.</w:t>
      </w:r>
    </w:p>
    <w:p>
      <w:pPr>
        <w:pStyle w:val="SourceNote"/>
      </w:pPr>
      <w:r>
        <w:rPr>
          <w:b/>
        </w:rPr>
        <w:t>Available abstract (not full text):</w:t>
      </w:r>
      <w:r>
        <w:t xml:space="preserve"> Renewable Energy Communities (RECs) are key to EU energy transitions, but their development depends not only on technical or economic factors, but also on local sociotechnical imaginaries. Based on five case studies, this research shows how visions of justice, participation, and territory shape RECs, highlighting the need for context-sensitive policies.</w:t>
      </w:r>
    </w:p>
    <w:p>
      <w:pPr/>
      <w:r>
        <w:rPr>
          <w:b/>
        </w:rPr>
        <w:t>POSSIBLE 2025:</w:t>
      </w:r>
      <w:r>
        <w:t xml:space="preserve"> Five models and ten predictors for energy costs on farms in the European Union — https://doi.org/10.1515/opag-2025-0441</w:t>
      </w:r>
    </w:p>
    <w:p>
      <w:pPr/>
      <w:r>
        <w:rPr>
          <w:b/>
        </w:rPr>
        <w:t>Shared claim-specific concepts:</w:t>
      </w:r>
      <w:r>
        <w:t xml:space="preserve"> five, energy, important; EU scope visible. This is a provisional connection, not an outcome finding.</w:t>
      </w:r>
    </w:p>
    <w:p>
      <w:pPr>
        <w:pStyle w:val="SourceNote"/>
      </w:pPr>
      <w:r>
        <w:rPr>
          <w:b/>
        </w:rPr>
        <w:t>Available abstract (not full text):</w:t>
      </w:r>
      <w:r>
        <w:t xml:space="preserve"> Abstract Energy costs are the main concerns of the agricultural stakeholders, because of their economic, environmental, and social impacts on the farms and the development of interrelated activities. In fact, it is important to save costs with the energy use to improve the profitability of the farms, but the level of these costs is often interlinked with the options to manage the energy consumption and the respective implications on sustainability. This framework highlights the importance of good management and planning for energy utilisation in the farming sector, namely to promote a balanced and integrated rural development. Considering these perspectives, this research intends to identify which factor, and how, impacted the energy costs in the European Union farms over the last decades. To achieve these objectives data from the Farm Accountancy Data Network database were considered for the European Union agricultural regions and the period 2013–2021. This statistical information was analysed through machine learning approaches following the procedures proposed by the software IBM SPSS Modeler. The linear support vector machine, regression, random forest, random trees, and the classification and regression tree are the most accurate models. On the contrary, the level of production, the size of farms, the economic and financial structure, and policy measures are the most impor</w:t>
      </w:r>
    </w:p>
    <w:p>
      <w:pPr/>
      <w:r>
        <w:rPr>
          <w:b/>
        </w:rPr>
        <w:t>POSSIBLE 2025:</w:t>
      </w:r>
      <w:r>
        <w:t xml:space="preserve"> Assessing stringency: A survey experiment of energy saving policies across five EU countries — https://doi.org/10.1177/09520767251359126</w:t>
      </w:r>
    </w:p>
    <w:p>
      <w:pPr/>
      <w:r>
        <w:rPr>
          <w:b/>
        </w:rPr>
        <w:t>Shared claim-specific concepts:</w:t>
      </w:r>
      <w:r>
        <w:t xml:space="preserve"> article, five, energy; EU scope visible. This is a provisional connection, not an outcome finding.</w:t>
      </w:r>
    </w:p>
    <w:p>
      <w:pPr>
        <w:pStyle w:val="SourceNote"/>
      </w:pPr>
      <w:r>
        <w:rPr>
          <w:b/>
        </w:rPr>
        <w:t>Available abstract (not full text):</w:t>
      </w:r>
      <w:r>
        <w:t xml:space="preserve"> This article explores the public acceptance of European energy saving policies during the 2022 energy crisis. Drawing upon a survey experiment conducted with nationally representative quota samples of 7678 respondents across five European countries (France, Italy, Germany, the Netherlands, and Spain), this article explores public acceptance of European energy-saving policies during the 2022 energy crisis. We examine public preferences between coercive (mandates) and non-coercive (information campaigns) policy approaches. Additionally, we investigate how individual-level factors – including age, household income, environmental attitudes, perceived urgency of climate action, and trust in government – moderate citizens’ support for these policies. Our findings highlight significant heterogeneity: while non-coercive policies generally garner higher public approval, this preference is notably weaker or reversed among younger and lower-income respondents. By exploring the underlying factors driving this preference, this research sheds light on the considerations that European policymakers should consider when crafting future energy savings policies.</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article, energy, contribute;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Renewable Energy, Sustainable Business Models, and Decarbonization in the European Union: Comparative Analysis of Corporate Sustainability Reports — https://doi.org/10.3390/su17083646</w:t>
      </w:r>
    </w:p>
    <w:p>
      <w:pPr/>
      <w:r>
        <w:rPr>
          <w:b/>
        </w:rPr>
        <w:t>Shared claim-specific concepts:</w:t>
      </w:r>
      <w:r>
        <w:t xml:space="preserve"> article, five, energy; EU scope visible. This is a provisional connection, not an outcome finding.</w:t>
      </w:r>
    </w:p>
    <w:p>
      <w:pPr>
        <w:pStyle w:val="SourceNote"/>
      </w:pPr>
      <w:r>
        <w:rPr>
          <w:b/>
        </w:rPr>
        <w:t>Available abstract (not full text):</w:t>
      </w:r>
      <w:r>
        <w:t xml:space="preserve"> The purpose of this article is to investigate the development of sustainable business models (SBMs) of renewable energy companies. To assess the degree of alignment with the European Union Taxonomy for sustainable activities (Regulation 2020/852), the European Green Deal, and the Sustainable Development Goals of five renewable energy companies—Ørsted, Engie, Vattenfall, Iberdrola, and Enel—we have used their sustainability reports from 2023. We have analyzed how each company contributes to the EU climate targets and strategy to achieve a 55% reduction in greenhouse gas emissions by 2030 and net zero by 2050. The results showed the challenges faced by each company in switching from traditional fossil fuel models to renewable models. Due to regulatory constraints and different organizational structures, each company has adopted a specific SBM with respect to power generation and the green transition. The advantages and disadvantages of these SBMs were identified and described comparatively to help regulators, policymakers, and industry associations improve sustainability reporting for the energy sector.</w:t>
      </w:r>
    </w:p>
    <w:p>
      <w:pPr/>
      <w:r>
        <w:rPr>
          <w:b/>
        </w:rPr>
        <w:t>POSSIBLE 2025:</w:t>
      </w:r>
      <w:r>
        <w:t xml:space="preserve"> Perceptions of homosexuality in Nigeria : A phenomenological study of five Nigerians in Finland — https://openalex.org/W7115245172</w:t>
      </w:r>
    </w:p>
    <w:p>
      <w:pPr/>
      <w:r>
        <w:rPr>
          <w:b/>
        </w:rPr>
        <w:t>Shared claim-specific concepts:</w:t>
      </w:r>
      <w:r>
        <w:t xml:space="preserve"> five, finland, therefore; EU scope visible. This is a provisional connection, not an outcome finding.</w:t>
      </w:r>
    </w:p>
    <w:p>
      <w:pPr>
        <w:pStyle w:val="SourceNote"/>
      </w:pPr>
      <w:r>
        <w:rPr>
          <w:b/>
        </w:rPr>
        <w:t>Available abstract (not full text):</w:t>
      </w:r>
      <w:r>
        <w:t xml:space="preserve"> Individuals migrating from developing countries to Western societies may experience shifts in their beliefs and attitudes toward homosexual people. Limited studies have focused on migrants’ perceptions after relocating from one country to another, particularly from a social exclusion lens. Therefore, this study sought to investigate migrant perception both during their time living in Nigeria and after moving to Finland through a qualitative approach, focusing on the perspectives of Nigerians residing in Finland. The sample consists of five individuals who represent a range of education, interests, and employment backgrounds. The qualitative data was collected from the interview sessions, and this study revealed that Nigerians living in Finland have a better understanding of Homosexuality. This study showed that the perception of Nigerians of homosexual people have changed after relocating to Finland. This study also revealed factors related to the social exclusion of homosexual people in Nigeria, such as culture, religion, policy, and law. It can be concluded that there is a change in perception, beliefs, and attitudes towards homosexual people. It is recommended that there is a need to organize seminars or workshops and sensitization programs that would foster understanding and empathy to promote the rights of people to be able to live freely as human irrespective of the ident</w:t>
      </w:r>
    </w:p>
    <w:p>
      <w:pPr/>
      <w:r>
        <w:rPr>
          <w:b/>
        </w:rPr>
        <w:t>POSSIBLE 2025:</w:t>
      </w:r>
      <w:r>
        <w:t xml:space="preserve"> Abandoning renewable energy projects in Europe and South America: An emerging consideration in the recycling of energy landscapes — https://doi.org/10.1016/j.esd.2025.101676</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Landscape legacies of conventional energy development are vast. Mines, well fields, power plants, sub-stations, refineries, and disposal sites have been accumulating for more than a century. We know these energy landscapes exist, but we are uncertain what to do with them once their initial function is completed. Can they be used for any future purpose; that is, can they be “recycled”? As we gradually shift to renewable energy resources for all the benefits they promise, we are becoming aware that we will be facing similar end-of-life questions about the unique landscapes they are creating. What is their landscape legacy? This paper expands on growing attention to recycling conventional energy landscapes by introducing the circumstances regarding renewable energy landscapes. It addresses the first stages in consideration of these questions as they pertain to the abandonment of renewable energy infrastructures in Europe and South America. Based on reconstructive and comparative analysis of examples of abandoned wind farms, we found that there are barriers to formal decommissioning of these facilities, leaving recycling options as open questions. The main conclusion is that abandoned wind farms are consequences of gaps and weaknesses in the regulations on decommissioning of renewable energy infrastructures, in particular in case of installations abandoned before reaching their ope</w:t>
      </w:r>
    </w:p>
    <w:p>
      <w:pPr/>
      <w:r>
        <w:rPr>
          <w:b/>
        </w:rPr>
        <w:t>POSSIBLE 2025:</w:t>
      </w:r>
      <w:r>
        <w:t xml:space="preserve"> A computational analysis of the media coverage of the European Parliament's ‘green' Designation on sustainable energy and climate change — https://doi.org/10.1016/j.enpol.2025.114592</w:t>
      </w:r>
    </w:p>
    <w:p>
      <w:pPr/>
      <w:r>
        <w:rPr>
          <w:b/>
        </w:rPr>
        <w:t>Shared claim-specific concepts:</w:t>
      </w:r>
      <w:r>
        <w:t xml:space="preserve"> article, five, energy; EU scope visible. This is a provisional connection, not an outcome finding.</w:t>
      </w:r>
    </w:p>
    <w:p>
      <w:pPr>
        <w:pStyle w:val="SourceNote"/>
      </w:pPr>
      <w:r>
        <w:rPr>
          <w:b/>
        </w:rPr>
        <w:t>Available abstract (not full text):</w:t>
      </w:r>
      <w:r>
        <w:t xml:space="preserve"> Energy is pivotal to the sustainable development agenda for 2030. In this context, nuclear energy emerges as a potential solution for renewable energy development and carbon dioxide mitigation. However, the Russian invasion of Ukraine in 2022 exacerbated global energy concerns, leading to a surge in fuel prices and an economic slowdown, prompting the European Parliament to designate nuclear energy investments as "green." Despite the potential of nuclear energy in advancing sustainability goals, public perception, influenced by historical negative narratives and media coverage, remains a challenge. This article examines the impact of the European Parliament's decision on the news flow and coverage about sustainability, climate change, and nuclear energy in the global media. By analysing seven months of global news coverage, a total of 7822 news stories in English were selected. Through descriptive analysis and unsupervised topic modelling Latent Dirichlet Allocation (LDA) machine learning techniques, this study explores trends in news content and coverage, shedding light on the intersection of energy policies, and media coverage. • The adoption of the Complementary Delegated Act marks a pivotal shift in framing nuclear energy as a sustainable investment. • Media coverage of the Delegated Act was limited, overshadowed by the Russia-Ukraine war. • Topic modelling revealed five the</w:t>
      </w:r>
    </w:p>
    <w:p>
      <w:pPr/>
      <w:r>
        <w:rPr>
          <w:b/>
        </w:rPr>
        <w:t>POSSIBLE 2025:</w:t>
      </w:r>
      <w:r>
        <w:t xml:space="preserve"> Nuclear Energy in Finland — https://doi.org/10.21029/jael.2025.38.91</w:t>
      </w:r>
    </w:p>
    <w:p>
      <w:pPr/>
      <w:r>
        <w:rPr>
          <w:b/>
        </w:rPr>
        <w:t>Shared claim-specific concepts:</w:t>
      </w:r>
      <w:r>
        <w:t xml:space="preserve"> article, five, energy, finland; EU scope visible. This is a provisional connection, not an outcome finding.</w:t>
      </w:r>
    </w:p>
    <w:p>
      <w:pPr>
        <w:pStyle w:val="SourceNote"/>
      </w:pPr>
      <w:r>
        <w:rPr>
          <w:b/>
        </w:rPr>
        <w:t>Available abstract (not full text):</w:t>
      </w:r>
      <w:r>
        <w:t xml:space="preserve"> Finland has an ambitious decarbonisation agenda aiming for climate neutrality by 2035. The country relies significantly on nuclear power to meet its energy needs. Finland operates five nuclear reactors across two power plants, with a combined capacity of over 4,000 MWe. Finland is also a global leader in nuclear waste management, hosting the world’s first permanent underground repository for spent nuclear fuel at Onkalo. This article provides a comprehensive overview of nuclear energy in Finland, focusing on its current state, regulatory framework, and future prospects. The regulatory framework governing nuclear energy in Finland is robust, involving multiple authorities and a detailed licensing procedure. Recent trends indicate a growing interest in small modular reactors for district heating and power production, necessitating potential legislative reforms to accommodate these technologies.</w:t>
      </w:r>
    </w:p>
    <w:p>
      <w:pPr/>
      <w:r>
        <w:rPr>
          <w:b/>
        </w:rPr>
        <w:t>POSSIBLE 2025:</w:t>
      </w:r>
      <w:r>
        <w:t xml:space="preserve"> Improving Finnish fisheries—aquaculture policies and practices in Finland from the 1850s to the 1960s — https://doi.org/10.1007/s12685-025-00364-x</w:t>
      </w:r>
    </w:p>
    <w:p>
      <w:pPr/>
      <w:r>
        <w:rPr>
          <w:b/>
        </w:rPr>
        <w:t>Shared claim-specific concepts:</w:t>
      </w:r>
      <w:r>
        <w:t xml:space="preserve"> article, finland, discussion; EU scope visible. This is a provisional connection, not an outcome finding.</w:t>
      </w:r>
    </w:p>
    <w:p>
      <w:pPr>
        <w:pStyle w:val="SourceNote"/>
      </w:pPr>
      <w:r>
        <w:rPr>
          <w:b/>
        </w:rPr>
        <w:t>Available abstract (not full text):</w:t>
      </w:r>
      <w:r>
        <w:t xml:space="preserve"> Abstract In the advent of the twenty-first century, Finnish people consume fish that is either imported or farmed. A century earlier, most fish consumed was local and wild. Following the modernisation of agriculture that begun in the 1870s, nascent aquaculture was enthusiastically discussed as a method to rationalise fishing. Aquaculture was considered as a novel solution to support the stocks of the most valuable native species and to introduce new fish species for human consumption. Yet commercial aquaculture changed to hatching as the best method for replenishing local fisheries. Local landowners moreover continued to transfer regionally valuable fish species achieving marked success in supporting local fisheries and in creating new fisheries, too. This article analyses the evolution of aquaculture in Finland from the early 1850s to the late 1960s. The improvement of Finnish fisheries was portrayed in a new scientific discourse of fishing as manipulation of fish stocks to increase annual catches. Native fish species were classified according to their commercial value. Hence, the scientific discussion of fishing and aquaculture shared similar policy aims but different practical means. This article thus depicts the main trends and changes in the (pre)history of Finnish aquaculture addressing a rarely discussed theme in environmental history by looking how life beneath the wave</w:t>
      </w:r>
    </w:p>
    <w:p>
      <w:pPr/>
      <w:r>
        <w:rPr>
          <w:b/>
        </w:rPr>
        <w:t>POSSIBLE 2024:</w:t>
      </w:r>
      <w:r>
        <w:t xml:space="preserve"> Climate, Energy and Security: The New Social Contract of Europe and Spain — https://doi.org/10.52783/pst.1914</w:t>
      </w:r>
    </w:p>
    <w:p>
      <w:pPr/>
      <w:r>
        <w:rPr>
          <w:b/>
        </w:rPr>
        <w:t>Shared claim-specific concepts:</w:t>
      </w:r>
      <w:r>
        <w:t xml:space="preserve"> article, five, energy, presented; EU scope visible. This is a provisional connection, not an outcome finding.</w:t>
      </w:r>
    </w:p>
    <w:p>
      <w:pPr>
        <w:pStyle w:val="SourceNote"/>
      </w:pPr>
      <w:r>
        <w:rPr>
          <w:b/>
        </w:rPr>
        <w:t>Available abstract (not full text):</w:t>
      </w:r>
      <w:r>
        <w:t xml:space="preserve"> In the current context of growing climate instability and geopolitical tensions, the article addresses the critical nexus between climate change, energy security and governance as the basis for a new social contract in Europe and Spain. The approach is based on a central premise: the energy transition and the fight against climate change cannot be addressed in isolation, but must be integrated into a common strategic vision that combines sustainability, social resilience and political autonomy (Mazurier et al., 2020). The work is structured around five thematic axes. First, the conceptual framework of the link between climate and security is examined from the academic literature, highlighting the role of climate change as a risk multiplier (Barnett &amp; Adger, 2007) and the complexity of multilevel governance (Keohane &amp; Victor, 2011). Secondly, the European regulatory framework is analysed, especially the European Green Deal and the Strategic Compass, as pillars that redefine security in integrated terms: energy, climate and civil. Thirdly, the Spanish case is contextualised, emphasising its high energy dependence and climate vulnerability, but also its potential to lead a transition from the local level with renewable energies and decentralisation. Fourthly, the cooperation mechanisms between the EU and Spain are presented, such as electricity interconnections, green hydrogen all</w:t>
      </w:r>
    </w:p>
    <w:p>
      <w:pPr>
        <w:pStyle w:val="Heading2"/>
      </w:pPr>
      <w:r>
        <w:t>598. Foresight as a tool of public administration in the field of science, technology and innovation</w:t>
      </w:r>
    </w:p>
    <w:p>
      <w:pPr>
        <w:pStyle w:val="SourceNote"/>
      </w:pPr>
      <w:r>
        <w:rPr>
          <w:b/>
        </w:rPr>
        <w:t>Original source (2021):</w:t>
      </w:r>
      <w:r>
        <w:t xml:space="preserve"> https://doi.org/10.23939/eem2021.01.090</w:t>
      </w:r>
    </w:p>
    <w:p>
      <w:pPr/>
      <w:r>
        <w:t>Original wording (abstract; indexed_source_text_not_full_document_verified): Given the growing role of technological foresight as a tool for reconciling visions, goals and ways of STI development in an era of rapid technological change and global challenges, the approach to foresight research to select priorities for science and innovation in Ukraine for 2022–2026 has been improved.</w:t>
      </w:r>
    </w:p>
    <w:p>
      <w:pPr/>
      <w:r>
        <w:rPr>
          <w:b/>
        </w:rPr>
        <w:t>POSSIBLE 2026:</w:t>
      </w:r>
      <w:r>
        <w:t xml:space="preserve"> The role of individual characteristics in risk perception in fruit-growing — https://doi.org/10.22620/sciworks.2025.03.011</w:t>
      </w:r>
    </w:p>
    <w:p>
      <w:pPr/>
      <w:r>
        <w:rPr>
          <w:b/>
        </w:rPr>
        <w:t>Shared claim-specific concepts:</w:t>
      </w:r>
      <w:r>
        <w:t xml:space="preserve"> given, growing, role; EU scope not established. This is a provisional connection, not an outcome finding.</w:t>
      </w:r>
    </w:p>
    <w:p>
      <w:pPr>
        <w:pStyle w:val="SourceNote"/>
      </w:pPr>
      <w:r>
        <w:rPr>
          <w:b/>
        </w:rPr>
        <w:t>Available abstract (not full text):</w:t>
      </w:r>
      <w:r>
        <w:t xml:space="preserve"> Given the increasing exposure to risks in agriculture, it was important to analyse the range of determinants affecting the risk management process. The presented study of risk management in fruit growing focused on the potential role of farmers’ individual demographic factors – gender, age, years of experience and educational status – as potentially influential determinants in decision-making process. A survey with 86 representatives from the Plovdiv region took place in 2024 to collect contemporary data and analyse in detail individual perceptions and possible directions in managing various types of risks. The accessed information suggested significant differences in the perceptions of risk depending on the individual characteristics of every participant. More specifically, female fruit growers were considerably more sensitive to risk than their male counterparts. Research findings also showed that the improvement of the educational status of farmers coincided with an increasing interest in risk management. The role of education was quite significant since it enhanced one’s awareness regarding the existing threats, as well as the pro-active application of difference managerial solutions in practice. Moreover, findings suggested that individual age could also foster risk management, but the effect was limited to the middle-aged participants only. In contrast, the duration of in</w:t>
      </w:r>
    </w:p>
    <w:p>
      <w:pPr/>
      <w:r>
        <w:rPr>
          <w:b/>
        </w:rPr>
        <w:t>POSSIBLE 2026:</w:t>
      </w:r>
      <w:r>
        <w:t xml:space="preserve"> THE ROLE OF STRATEGIC FORESIGHT IN FINANCIAL DECISIONS IN BANKS — https://openalex.org/W7220265426</w:t>
      </w:r>
    </w:p>
    <w:p>
      <w:pPr/>
      <w:r>
        <w:rPr>
          <w:b/>
        </w:rPr>
        <w:t>Shared claim-specific concepts:</w:t>
      </w:r>
      <w:r>
        <w:t xml:space="preserve"> given, growing, role, foresight, challenges; EU scope not established. This is a provisional connection, not an outcome finding.</w:t>
      </w:r>
    </w:p>
    <w:p>
      <w:pPr>
        <w:pStyle w:val="SourceNote"/>
      </w:pPr>
      <w:r>
        <w:rPr>
          <w:b/>
        </w:rPr>
        <w:t>Available abstract (not full text):</w:t>
      </w:r>
      <w:r>
        <w:t xml:space="preserve"> This research aims to study the growing role of strategic foresight in improving the quality of financial decisions within public and private institutions, given the rapidly evolving and increasingly uncertain economic environments. Institutions are facing financial challenges related to sudden market changes, resource volatility, and intensifying global competition. This necessitates the use of foresight tools and methods capable of supporting financial decision-makers in understanding future trends and evaluating potential paths. The research addresses the concept of strategic foresight as a systematic process that aims to analyze the future by leveraging data, indicators, and weak signals to develop a future vision that aids in long-term financial planning.</w:t>
      </w:r>
    </w:p>
    <w:p>
      <w:pPr/>
      <w:r>
        <w:rPr>
          <w:b/>
        </w:rPr>
        <w:t>POSSIBLE 2026:</w:t>
      </w:r>
      <w:r>
        <w:t xml:space="preserve"> Strategic Technology Foresight Certification Assessment — https://doi.org/10.17605/osf.io/tc796</w:t>
      </w:r>
    </w:p>
    <w:p>
      <w:pPr/>
      <w:r>
        <w:rPr>
          <w:b/>
        </w:rPr>
        <w:t>Shared claim-specific concepts:</w:t>
      </w:r>
      <w:r>
        <w:t xml:space="preserve"> given, growing, technological, foresight, era, approach; EU scope not established. This is a provisional connection, not an outcome finding.</w:t>
      </w:r>
    </w:p>
    <w:p>
      <w:pPr>
        <w:pStyle w:val="SourceNote"/>
      </w:pPr>
      <w:r>
        <w:rPr>
          <w:b/>
        </w:rPr>
        <w:t>Available abstract (not full text):</w:t>
      </w:r>
      <w:r>
        <w:t xml:space="preserve"> In an era defined by exponential technological advancement, the capacity to anticipate, interpret, and strategically respond to future developments has become a defining attribute of organizational success. Yoesoep Edhie Rachmad (YER), reflected in the formulation of this framework in 2022, it became increasingly evident that traditional models of planning and decision-making are no longer sufficient to address the complexity and uncertainty of the contemporary technological landscape. The emergence of disruptive innovations, coupled with accelerating cycles of change, demands a new paradigm one that integrates foresight, strategy, and adaptive capability into a cohesive system of leadership and governance. The Strategic Technology Foresight Certification Assessment is conceived as a response to this paradigm shift. It is not merely an evaluative instrument but a comprehensive framework designed to cultivate and measure the competencies required for navigating an uncertain technological future. At its core, this assessment seeks to redefine foresight as a strategic capability one that transcends predictive analytics and extends into the realms of visioning, sense-making, and transformative decision-making. Technology foresight has traditionally been associated with forecasting trends and identifying emerging innovations. While these functions remain important, they represent on</w:t>
      </w:r>
    </w:p>
    <w:p>
      <w:pPr/>
      <w:r>
        <w:rPr>
          <w:b/>
        </w:rPr>
        <w:t>POSSIBLE 2026:</w:t>
      </w:r>
      <w:r>
        <w:t xml:space="preserve"> The next episode for narrative foresight — https://doi.org/10.1016/j.futures.2026.103876</w:t>
      </w:r>
    </w:p>
    <w:p>
      <w:pPr/>
      <w:r>
        <w:rPr>
          <w:b/>
        </w:rPr>
        <w:t>Shared claim-specific concepts:</w:t>
      </w:r>
      <w:r>
        <w:t xml:space="preserve"> foresight, ways, approach; EU scope not established. This is a provisional connection, not an outcome finding.</w:t>
      </w:r>
    </w:p>
    <w:p>
      <w:pPr>
        <w:pStyle w:val="SourceNote"/>
      </w:pPr>
      <w:r>
        <w:rPr>
          <w:b/>
        </w:rPr>
        <w:t>Available abstract (not full text):</w:t>
      </w:r>
      <w:r>
        <w:t xml:space="preserve"> Narratives serve as powerful tools in futures studies, as they enable people to engage with different types of futures through identification, emotional connection, and immersion. To establish this, we contribute to narrative foresight by introducing the narratives-with-branches methodology which is a systematic approach for translating participatory ideas into possible futures. To be more specific, we discuss four narratives concerning futures of hybrid work, each constructed around paradoxes and tipping points that open space for thinking of possible future trajectories. The narratives were developed and refined through a multi-stage process involving expert consultation, stakeholder engagement, and a participatory workshop we mainly focus on. In the narratives-with-branches methodology , workshop-generated ideas are interpreted as inputs, formulated into episodes, and clustered into episode themes. We classify these themes as repeating , ephemeral , or obscure , corresponding to plausible , possible , and radical futures respectively. While we focus on the use of the methodology only in one case, we discuss how the methodology provides a conceptual machinery for branching narratives in structured but flexible ways. We discuss how collective intelligence in the form of a workshop discussion can branch baseline narratives toward preferred futures and how the methodology can be</w:t>
      </w:r>
    </w:p>
    <w:p>
      <w:pPr/>
      <w:r>
        <w:rPr>
          <w:b/>
        </w:rPr>
        <w:t>POSSIBLE 2026:</w:t>
      </w:r>
      <w:r>
        <w:t xml:space="preserve"> Drones – Weapon Systems with a Growing Role in Military Conflict — https://doi.org/10.55535/rmt.2025.3.03</w:t>
      </w:r>
    </w:p>
    <w:p>
      <w:pPr/>
      <w:r>
        <w:rPr>
          <w:b/>
        </w:rPr>
        <w:t>Shared claim-specific concepts:</w:t>
      </w:r>
      <w:r>
        <w:t xml:space="preserve"> growing, role, technological, challenges, ukraine; EU scope not established. This is a provisional connection, not an outcome finding.</w:t>
      </w:r>
    </w:p>
    <w:p>
      <w:pPr>
        <w:pStyle w:val="SourceNote"/>
      </w:pPr>
      <w:r>
        <w:rPr>
          <w:b/>
        </w:rPr>
        <w:t>Available abstract (not full text):</w:t>
      </w:r>
      <w:r>
        <w:t xml:space="preserve"> To strengthen national security, promote national interests, achieve or maintain technological superiority, and keep up with competitors, most states are increasingly focusing on developing effective and efficient military technologies. Drones are reshaping the way warfare is conducted in all domains. Recent conflicts, including the wars in Ukraine and in the Middle East, have been characterized by the use of drones on an unprecedented scale, making a relevant contribution to achieving success on the battlefield, which has triggered the race to develop cost-effective interceptors/drones against drones. The evolution of drones has gone, in a relatively short time, through several phases, moving from the target drone to the space- operating drone. The lessons of war have generated questions regarding the possibility of replacing traditional weapons by drones, their classification as a type of weapon, as well as challenges regarding their reliability, potential advantages and disadvantages. Drones have proven effective in operations and environments where other types of technology are difficult to use. The primary motivation for drone using – getting soldiers out of harm’s way – has been recognized during this period. Amid rising geopolitical tensions, technological advances in drones and artificial intelligence continue to reshape warfare and transform the battlefield.</w:t>
      </w:r>
    </w:p>
    <w:p>
      <w:pPr/>
      <w:r>
        <w:rPr>
          <w:b/>
        </w:rPr>
        <w:t>POSSIBLE 2026:</w:t>
      </w:r>
      <w:r>
        <w:t xml:space="preserve"> Growing futures: The Role of Agri-Entrepreneurship in rural transformation — https://doi.org/10.55248/gengpi.07.0126.0122</w:t>
      </w:r>
    </w:p>
    <w:p>
      <w:pPr/>
      <w:r>
        <w:rPr>
          <w:b/>
        </w:rPr>
        <w:t>Shared claim-specific concepts:</w:t>
      </w:r>
      <w:r>
        <w:t xml:space="preserve"> growing, role, technological, challenges, approach, innovation; EU scope not established. This is a provisional connection, not an outcome finding.</w:t>
      </w:r>
    </w:p>
    <w:p>
      <w:pPr>
        <w:pStyle w:val="SourceNote"/>
      </w:pPr>
      <w:r>
        <w:rPr>
          <w:b/>
        </w:rPr>
        <w:t>Available abstract (not full text):</w:t>
      </w:r>
      <w:r>
        <w:t xml:space="preserve"> Agriculture has long been the backbone of rural economies, but modern challenges such as climate change, market fluctuations, and technological disruption demand innovative solutions.Agricultural entrepreneurship, or agripreneurship, integrates innovation, technology, and business strategies to create profitable and sustainable ventures in farming and allied sectors.This approach not only enhances productivity and generates employment but also drives structural changes in rural economies by promoting value addition, strengthening infrastructure, and fostering a supportive ecosystem.Skilled and tech-savvy agripreneurs improve market access, encourage sustainable practices, and enhance resilience against environmental and economic uncertainties.Overall, agripreneurship acts as a catalyst for inclusive growth, sustainable development, and long-term rural transformation.</w:t>
      </w:r>
    </w:p>
    <w:p>
      <w:pPr/>
      <w:r>
        <w:rPr>
          <w:b/>
        </w:rPr>
        <w:t>POSSIBLE 2025:</w:t>
      </w:r>
      <w:r>
        <w:t xml:space="preserve"> Transformations Along the Periphery – The Growing Role of Islam in Malta in the Decade Following the Arab Spring — https://doi.org/10.71069/ipr2.25.mc07</w:t>
      </w:r>
    </w:p>
    <w:p>
      <w:pPr/>
      <w:r>
        <w:rPr>
          <w:b/>
        </w:rPr>
        <w:t>Shared claim-specific concepts:</w:t>
      </w:r>
      <w:r>
        <w:t xml:space="preserve"> given, growing, role, challenges; EU scope visible. This is a provisional connection, not an outcome finding.</w:t>
      </w:r>
    </w:p>
    <w:p>
      <w:pPr>
        <w:pStyle w:val="SourceNote"/>
      </w:pPr>
      <w:r>
        <w:rPr>
          <w:b/>
        </w:rPr>
        <w:t>Available abstract (not full text):</w:t>
      </w:r>
      <w:r>
        <w:t xml:space="preserve"> This article examines the increasing role of Islam in Malta in the decade following the onset of the Arab Spring, a development largely driven by rising migration levels toward Europe. The study begins with a historical overview of Islam’s presence in Malta, followed by an analysis of available statistical data regarding the country’s Muslim population. Lastly, the article explores specific challenges faced by Maltese Muslims that are of significant importance to this religious group. The research is based on official state documents concerning demographic trends, reports from international organizations, materials published in local media, and insights from spiritual leaders and public figures. The study concludes that, given the sustained high levels of migration, the influence of Islam in Malta is likely to continue growing.</w:t>
      </w:r>
    </w:p>
    <w:p>
      <w:pPr/>
      <w:r>
        <w:rPr>
          <w:b/>
        </w:rPr>
        <w:t>POSSIBLE 2025:</w:t>
      </w:r>
      <w:r>
        <w:t xml:space="preserve"> Leveraging GenAI for technology foresight — https://doi.org/10.1017/pds.2025.10236</w:t>
      </w:r>
    </w:p>
    <w:p>
      <w:pPr/>
      <w:r>
        <w:rPr>
          <w:b/>
        </w:rPr>
        <w:t>Shared claim-specific concepts:</w:t>
      </w:r>
      <w:r>
        <w:t xml:space="preserve"> growing, technological, foresight, challenges; EU scope not established. This is a provisional connection, not an outcome finding.</w:t>
      </w:r>
    </w:p>
    <w:p>
      <w:pPr>
        <w:pStyle w:val="SourceNote"/>
      </w:pPr>
      <w:r>
        <w:rPr>
          <w:b/>
        </w:rPr>
        <w:t>Available abstract (not full text):</w:t>
      </w:r>
      <w:r>
        <w:t xml:space="preserve"> ABSTRACT: Facing increasingly dynamic market environments and global challenges such as climate change and resource scarcity, companies are under constant pressure to innovate and remain competitive. As technology is a key enabler, companies need to understand the drivers of technological change. Technology Foresight systematically identifies and analyzes emerging technologies to support engineering design decisions. However, the growing volume of data is outpacing manual processing capabilities. This research explores the integration of Generative AI to enhance Technology Foresight by automating technology analysis and information synthesis. This paper presents a comprehensive problem analysis, reviews existing solutions, and proposes a framework that demonstrates the potential of Large Language Models combined with a Retrieval Augmented Generation architecture to transform Technology Foresight.</w:t>
      </w:r>
    </w:p>
    <w:p>
      <w:pPr/>
      <w:r>
        <w:rPr>
          <w:b/>
        </w:rPr>
        <w:t>POSSIBLE 2025:</w:t>
      </w:r>
      <w:r>
        <w:t xml:space="preserve"> The growing role of genomics and genetics in the management of cardiovascular diseases — https://doi.org/10.1093/eurheartj/ehaf1019</w:t>
      </w:r>
    </w:p>
    <w:p>
      <w:pPr/>
      <w:r>
        <w:rPr>
          <w:b/>
        </w:rPr>
        <w:t>Shared claim-specific concepts:</w:t>
      </w:r>
      <w:r>
        <w:t xml:space="preserve"> given, growing, role, approach; EU scope visible. This is a provisional connection, not an outcome finding.</w:t>
      </w:r>
    </w:p>
    <w:p>
      <w:pPr>
        <w:pStyle w:val="SourceNote"/>
      </w:pPr>
      <w:r>
        <w:rPr>
          <w:b/>
        </w:rPr>
        <w:t>Available abstract (not full text):</w:t>
      </w:r>
      <w:r>
        <w:t xml:space="preserve"> For the podcast associated with this article, please visit https://academic.oup.com/eurheartj/pages/Podcasts. This Focus Issue on genetics starts with a Viewpoint article entitled ‘Education in cardiovascular genomics and genetics: time for action’ by Giuseppe Limongelli from The University of Campania Luigi Vanvitelli in Naples, Italy, and colleagues which address the important topic of education in cardiogenetics and cardiogenomics, an emerging field in cardiology, with progressive and targeted education needs for students, scientists, clinicians, and different healthcare professional figures.1 In December 2024, the European Society of Cardiology (ESC) Council for Cardiogenomics met to discuss the current state of the art in cardiovascular genetic medicine enriched by several recent excellent publications.2–11 The group sought to address a key question in contemporary cardiology: namely, is it time to include education in cardiovascular genetics and genomics in the core training for cardiologists? The answer was an unequivocal yes, given its potential to improve the diagnosis and treatment of cardiovascular disease. However, the challenge lay in determining the most effective means of achieving this goal. Certain genetic forms of dilated cardiomyopathy (DCM) entail a higher arrhythmic risk. It is unknown whether DCM patients with high-risk arrhythmic genotypes also develop mo</w:t>
      </w:r>
    </w:p>
    <w:p>
      <w:pPr/>
      <w:r>
        <w:rPr>
          <w:b/>
        </w:rPr>
        <w:t>POSSIBLE 2025:</w:t>
      </w:r>
      <w:r>
        <w:t xml:space="preserve"> Centered? The Growing Role of Centers in Intelligence Studies Programs — https://doi.org/10.5038/1944-0472.18.3.2412</w:t>
      </w:r>
    </w:p>
    <w:p>
      <w:pPr/>
      <w:r>
        <w:rPr>
          <w:b/>
        </w:rPr>
        <w:t>Shared claim-specific concepts:</w:t>
      </w:r>
      <w:r>
        <w:t xml:space="preserve"> growing, role, approach; EU scope not established. This is a provisional connection, not an outcome finding.</w:t>
      </w:r>
    </w:p>
    <w:p>
      <w:pPr>
        <w:pStyle w:val="SourceNote"/>
      </w:pPr>
      <w:r>
        <w:rPr>
          <w:b/>
        </w:rPr>
        <w:t>Available abstract (not full text):</w:t>
      </w:r>
      <w:r>
        <w:t xml:space="preserve"> In recent years, civilian higher education programs in the area of Intelligence Studies have begun adding academic centers as a complement to their existing curriculum offerings. This study traces the development, operations, and impact of four such centers in the United States. Through a comparative case study approach, it is found that while centers in this subject area may focus on different educational objectives, each works toward this goal with an interdisciplinary approach and a desire to grow their capabilities in the area of cybersecurity. The development of such centers in the field of Intelligence Studies raises questions about the future of such extra-curricular opportunities as a programmatic expectation.</w:t>
      </w:r>
    </w:p>
    <w:p>
      <w:pPr/>
      <w:r>
        <w:rPr>
          <w:b/>
        </w:rPr>
        <w:t>POSSIBLE 2025:</w:t>
      </w:r>
      <w:r>
        <w:t xml:space="preserve"> Growing table grapes on the pergola system and the role of the irrigation system — https://doi.org/10.59295/rler2024.36</w:t>
      </w:r>
    </w:p>
    <w:p>
      <w:pPr/>
      <w:r>
        <w:rPr>
          <w:b/>
        </w:rPr>
        <w:t>Shared claim-specific concepts:</w:t>
      </w:r>
      <w:r>
        <w:t xml:space="preserve"> given, growing, role, challenges; EU scope not established. This is a provisional connection, not an outcome finding.</w:t>
      </w:r>
    </w:p>
    <w:p>
      <w:pPr>
        <w:pStyle w:val="SourceNote"/>
      </w:pPr>
      <w:r>
        <w:rPr>
          <w:b/>
        </w:rPr>
        <w:t>Available abstract (not full text):</w:t>
      </w:r>
      <w:r>
        <w:t xml:space="preserve"> The wine sector is the business card of the Republic of Moldova, which emphasizes and highlights its social and cultural values and economic potential, especially wine tourism and international commercial relations formed by promoting wine production and export. The wine sector contributes to the socio-economic character of the country and is attractive from several points of view, including business development and investment. Over the years, the wine industry has gone through various major crises, which have had negative effects on exports, reduced the size of businesses and generated significant losses for producers, affecting financial performance and leading to recessions in the sector. Among the strategic challenges of the wine sector is the need to improve the quality of the products and comply with quality standards and competitiveness on international markets. In order to achieve these objectives, an extensive process of reform and modernization of viticulture was launched. The purpose of the given article consists in the complex and deep study of the strategies, oriented towards the modernization of the wine sector, fundamental premises of sectoral support of the production of table grapes, the adaptation of research methods to the factors, processes and current phenomena, particular to the sector and the development of recommendations, which would contribute to susta</w:t>
      </w:r>
    </w:p>
    <w:p>
      <w:pPr/>
      <w:r>
        <w:rPr>
          <w:b/>
        </w:rPr>
        <w:t>POSSIBLE 2025:</w:t>
      </w:r>
      <w:r>
        <w:t xml:space="preserve"> Agrifood policy after Brexit: The growing role of agroecology in Wales — https://doi.org/10.1016/j.jrurstud.2024.103559</w:t>
      </w:r>
    </w:p>
    <w:p>
      <w:pPr/>
      <w:r>
        <w:rPr>
          <w:b/>
        </w:rPr>
        <w:t>Shared claim-specific concepts:</w:t>
      </w:r>
      <w:r>
        <w:t xml:space="preserve"> growing, role, challenges, innovation; EU scope not established. This is a provisional connection, not an outcome finding.</w:t>
      </w:r>
    </w:p>
    <w:p>
      <w:pPr>
        <w:pStyle w:val="SourceNote"/>
      </w:pPr>
      <w:r>
        <w:rPr>
          <w:b/>
        </w:rPr>
        <w:t>Available abstract (not full text):</w:t>
      </w:r>
      <w:r>
        <w:t xml:space="preserve"> The UK's exit from the Common Agricultural Policy has created an opportunity for significant agrifood policy change. In Wales, plans to implement a ‘Community Food Strategy’ promise to lend more support to domestic, community-based, and ecologically sustainable food provision, echoing policy demands made by agroecological organisations. However, The Welsh agrifood system's specialisation around meat production and trade stand in direct opposition to these ambitions. This paper analyses the Welsh government's reforms in light of these tensions to explain what achievements and challenges a small, trade-dependent nation faces when attempting to change its agrifood system. It examines policy claims and advocacy activities by agroecological organisations, assesses to what extent the government addresses those claims, and discusses the overall trajectory of Welsh agrifood policy. The paper draws on ‘Foundational Economy’ scholarship to conceptualise agroecology as a socio-ecological innovation capable of informing large-scale sustainability transitions through active citizenship and policy change. Empirical data is drawn from qualitative analyses of policy documents and interviews with agroecological organisations. The paper finds that agroecological organisations provide the Welsh Government with arguments, data, and best practices, but struggle to see their more ambitious claims im</w:t>
      </w:r>
    </w:p>
    <w:p>
      <w:pPr>
        <w:pStyle w:val="Heading2"/>
      </w:pPr>
      <w:r>
        <w:t>599. Future Low-Carbon Transport Scenarios: Practice Theory-Based Visioning for Backcasting Studies</w:t>
      </w:r>
    </w:p>
    <w:p>
      <w:pPr>
        <w:pStyle w:val="SourceNote"/>
      </w:pPr>
      <w:r>
        <w:rPr>
          <w:b/>
        </w:rPr>
        <w:t>Original source (2021):</w:t>
      </w:r>
      <w:r>
        <w:t xml:space="preserve"> https://doi.org/10.3390/su14010074</w:t>
      </w:r>
    </w:p>
    <w:p>
      <w:pPr/>
      <w:r>
        <w:t>Original wording (abstract; indexed_source_text_not_full_document_verified): The visioning exercise resulted in the development of four different scenarios: the business-as-usual scenario and three alternative scenarios for transport in 2050 in Malta; High-Tech Mobility (with a focus on clean technology); Local Mobility (with more local travel and reducing the need to travel over longer distances); and Green and Active Mobility (where active forms of travel are prioritised over motorised forms of transport). The visioning phase, which involves the construction of a set of scenarios describing alternative futures, is the first phase in backcasting, and engaging different stakeholders during the visioning phase is considered an important aspect in transport studies.</w:t>
      </w:r>
    </w:p>
    <w:p>
      <w:pPr/>
      <w:r>
        <w:rPr>
          <w:b/>
        </w:rPr>
        <w:t>POSSIBLE 2026:</w:t>
      </w:r>
      <w:r>
        <w:t xml:space="preserve"> Imaginaries of European Technology Frontrunners : Towards the Silicon Valley Vision or the European Dream? — https://openalex.org/W7204372713</w:t>
      </w:r>
    </w:p>
    <w:p>
      <w:pPr/>
      <w:r>
        <w:rPr>
          <w:b/>
        </w:rPr>
        <w:t>Shared claim-specific concepts:</w:t>
      </w:r>
      <w:r>
        <w:t xml:space="preserve"> exercise, different, three, alternative, technology, over; EU scope visible. This is a provisional connection, not an outcome finding.</w:t>
      </w:r>
    </w:p>
    <w:p>
      <w:pPr>
        <w:pStyle w:val="SourceNote"/>
      </w:pPr>
      <w:r>
        <w:rPr>
          <w:b/>
        </w:rPr>
        <w:t>Available abstract (not full text):</w:t>
      </w:r>
      <w:r>
        <w:t xml:space="preserve"> This dissertation examines the development of the platform society and explores how European technology and platform company leaders imagine society and democracy at the age of platformization. Platformization is a process akin to industrialization or electrification that refers to multifaceted transformation of globalized societies where everyday functions increasingly take place on digital platforms. Although the global platform infrastructure is largely operated by the American platforms, the European technology and platform leaders are important figures in operating sectoral platforms in the European continent. Also in recent years the debate about European technological sovereignty has been intensifying putting more emphasis on the role of European companies and their abilities to take up this challenge of building European platform infrastructure with values aligning with the EU. The research sheds light on this question by examining what are the social imaginaries of European platforms and technology leaders and influencers and whether they align with the European lawmakers' visions. The American technology companies have been dominating the construction of the platform society and they share certain assumptions and ideologies which are grounded to the ethos of the American society in the form of libertarianism, Second World War and Cold War laboratories and their ambiti</w:t>
      </w:r>
    </w:p>
    <w:p>
      <w:pPr/>
      <w:r>
        <w:rPr>
          <w:b/>
        </w:rPr>
        <w:t>POSSIBLE 2026:</w:t>
      </w:r>
      <w:r>
        <w:t xml:space="preserve"> Four leaders, four decades: leadership and European parliament's secretaries-general — https://doi.org/10.4324/9781003753483-10</w:t>
      </w:r>
    </w:p>
    <w:p>
      <w:pPr/>
      <w:r>
        <w:rPr>
          <w:b/>
        </w:rPr>
        <w:t>Shared claim-specific concepts:</w:t>
      </w:r>
      <w:r>
        <w:t xml:space="preserve"> four, focus; EU scope visible. This is a provisional connection, not an outcome finding.</w:t>
      </w:r>
    </w:p>
    <w:p>
      <w:pPr>
        <w:pStyle w:val="SourceNote"/>
      </w:pPr>
      <w:r>
        <w:rPr>
          <w:b/>
        </w:rPr>
        <w:t>Available abstract (not full text):</w:t>
      </w:r>
      <w:r>
        <w:t xml:space="preserve"> This article examines administrative leadership at the top of the European Parliament by exploring the role played by Secretaries-General. Employing an institutional approach, administrative leadership is defined as behaviour that shapes the institutional character of an organization, infusing it with values and missions. The article aims to understand the behaviours that constitute the administrative leadership of the Secretary-General in the European Parliament and whether these behaviours focus solely on administrative and management tasks or also encompass the political aspects of the European Parliament as an institution. Drawing on four high-level interviews with Secretaries-General who led the European Parliament’s administration from 1986 to 2022, the study reveals that administrative leadership exhibits an institutional character, focusing on strengthening the powers of the European Parliament through both management and involvement in tasks with a political dimension. Findings show that the institutional development of the European Parliament has been shaped by a collaborative effort between its political and administrative leaders. The conclusion underscores the necessity of studying political and administrative leadership together as public leadership to comprehend how the European Parliament leads within the European Union, particularly in addressing contemporary d</w:t>
      </w:r>
    </w:p>
    <w:p>
      <w:pPr/>
      <w:r>
        <w:rPr>
          <w:b/>
        </w:rPr>
        <w:t>POSSIBLE 2026:</w:t>
      </w:r>
      <w:r>
        <w:t xml:space="preserve"> Exercise Physiology — https://openalex.org/W7207012056</w:t>
      </w:r>
    </w:p>
    <w:p>
      <w:pPr/>
      <w:r>
        <w:rPr>
          <w:b/>
        </w:rPr>
        <w:t>Shared claim-specific concepts:</w:t>
      </w:r>
      <w:r>
        <w:t xml:space="preserve"> exercise, different, technology; EU scope not established. This is a provisional connection, not an outcome finding.</w:t>
      </w:r>
    </w:p>
    <w:p>
      <w:pPr>
        <w:pStyle w:val="SourceNote"/>
      </w:pPr>
      <w:r>
        <w:rPr>
          <w:b/>
        </w:rPr>
        <w:t>Available abstract (not full text):</w:t>
      </w:r>
      <w:r>
        <w:t xml:space="preserve"> This book, Exercise Physiology - Bridging Health, Training Performance and Technology , seeks to bring together diverse fields of knowledge in a modern, interdisciplinary framework. Throughout its chapters, exercise physiology reveals how the body responds to and adapts to physical exertion, and what types of performance result from these adaptations in both practical and evolutionary contexts. Technology is assumed to be a mediating and enhancing element, enabling more effective interventions and decisions with more precise information. The result is an integrated, up-to-date look at human body movement, capable of inspiring professionals, students, and researchers to rethink sport and health from an innovative, connected perspective. This book presents itself as an indispensable read for anyone who wants to understand the interconnections among training, sport, health, and human performance. These chapters reveal, in an engaging way, knowledge of real results across different practice contexts as a driving strength that optimizes interventions and transforms decision-making. The reader finds here an integrated and inspiring vision, inviting exploration of something current in science, training, and innovation.</w:t>
      </w:r>
    </w:p>
    <w:p>
      <w:pPr/>
      <w:r>
        <w:rPr>
          <w:b/>
        </w:rPr>
        <w:t>POSSIBLE 2025:</w:t>
      </w:r>
      <w:r>
        <w:t xml:space="preserve"> Envisioning nature-positive futures for Europe: inspiring transformative change at the biodiversity nexus — https://doi.org/10.1080/26395916.2025.2561107</w:t>
      </w:r>
    </w:p>
    <w:p>
      <w:pPr/>
      <w:r>
        <w:rPr>
          <w:b/>
        </w:rPr>
        <w:t>Shared claim-specific concepts:</w:t>
      </w:r>
      <w:r>
        <w:t xml:space="preserve"> visioning, different, three; EU scope visible. This is a provisional connection, not an outcome finding.</w:t>
      </w:r>
    </w:p>
    <w:p>
      <w:pPr>
        <w:pStyle w:val="SourceNote"/>
      </w:pPr>
      <w:r>
        <w:rPr>
          <w:b/>
        </w:rPr>
        <w:t>Available abstract (not full text):</w:t>
      </w:r>
      <w:r>
        <w:t xml:space="preserve"> Transformative change is required to secure a liveable future for people and nature. The Nature Futures Framework (NFF) is a heuristic tool to facilitate the creation of plural visions of nature positive futures that help build shared motivation for transformative change. Integrating nexus approaches with the NFF leverages the foundational role of biodiversity in supporting desirable outcomes across sectors and scales (i.e., the biodiversity nexus). In this paper, we bring these areas of biodiversity research together by co-creating plural visions of nature futures for Europe that make positive synergies within the biodiversity nexus explicit and consider transformative changes to the state of indirect drivers that enable them. In doing so, we aim to reflect upon methodological insights for future applications of the NFF. Nature futures for Europe were co-created with 26 participants representing diverse sectors and regions in Europe, resulting in three visions underpinned by different value perspectives: Dòigh Nàdair: The way of nature (Nature as Culture), NaturAll (Nature for Nature), and Return to Nature (Nature for Society). Subsequent analyses and a webinar enriched the narratives with possibilities for more synergistic nexus interactions. The findings highlight how plural visioning processes can generate distinct visions with positive nexus synergies enabled by unique ind</w:t>
      </w:r>
    </w:p>
    <w:p>
      <w:pPr/>
      <w:r>
        <w:rPr>
          <w:b/>
        </w:rPr>
        <w:t>POSSIBLE 2025:</w:t>
      </w:r>
      <w:r>
        <w:t xml:space="preserve"> Envisioning Health Data Space 2040. Insights and Outcomes from the First VELES Visioning Pilot Workshop — https://doi.org/10.5281/zenodo.17989653</w:t>
      </w:r>
    </w:p>
    <w:p>
      <w:pPr/>
      <w:r>
        <w:rPr>
          <w:b/>
        </w:rPr>
        <w:t>Shared claim-specific concepts:</w:t>
      </w:r>
      <w:r>
        <w:t xml:space="preserve"> visioning, exercise; EU scope visible. This is a provisional connection, not an outcome finding.</w:t>
      </w:r>
    </w:p>
    <w:p>
      <w:pPr>
        <w:pStyle w:val="SourceNote"/>
      </w:pPr>
      <w:r>
        <w:rPr>
          <w:b/>
        </w:rPr>
        <w:t>Available abstract (not full text):</w:t>
      </w:r>
      <w:r>
        <w:t xml:space="preserve"> VELES T6.3 Workshop 1 Report - February 2025 Scope of the report This report presents the process and results of the visioning co-creation workshop for the Health Data Space (HDS), organized under the VELES Excellence Hub project on 12 February 2025. The workshop represented the first phase of a foresight-inspired backcasting process exploring how a mature and inclusive HDS could function by the year 2040.The report is structured in two main parts. The first section provides the context of the workshop, outlining its objectives, participant composition, and methodological approach. The second section presents the consolidated results, including the validated and enriched use cases for each stakeholder category and the emerging visions of the future Health Data Space derived from these discussions.The outcomes serve as qualitative input for the continuation of Task 6.3, supporting the formulation of the Joint R&amp;I and Investment Strategic Agenda and Action Plan (D6.3) and the development of a shared vision for a trusted, interoperable, and citizen-centered Health Data Space. Context This workshop was conducted within the framework of the VELES Excellence Hub project – Strengthening the South-East Europe Smart Health Regional Excellence and Boosting the Innovation Potential, funded by the European Union’s Horizon Europe programme. The activities form part of Task 6.3 – Long-term C</w:t>
      </w:r>
    </w:p>
    <w:p>
      <w:pPr/>
      <w:r>
        <w:rPr>
          <w:b/>
        </w:rPr>
        <w:t>POSSIBLE 2025:</w:t>
      </w:r>
      <w:r>
        <w:t xml:space="preserve"> From Reaction to Foresight: EUPHA’s vision for health security in Europe — https://doi.org/10.1093/eurpub/ckaf071</w:t>
      </w:r>
    </w:p>
    <w:p>
      <w:pPr/>
      <w:r>
        <w:rPr>
          <w:b/>
        </w:rPr>
        <w:t>Shared claim-specific concepts:</w:t>
      </w:r>
      <w:r>
        <w:t xml:space="preserve"> different, local, over;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Visioning for transport practitioners — https://doi.org/10.1016/j.trip.2025.101483</w:t>
      </w:r>
    </w:p>
    <w:p>
      <w:pPr/>
      <w:r>
        <w:rPr>
          <w:b/>
        </w:rPr>
        <w:t>Shared claim-specific concepts:</w:t>
      </w:r>
      <w:r>
        <w:t xml:space="preserve"> visioning, three, transport, need; EU scope not established. This is a provisional connection, not an outcome finding.</w:t>
      </w:r>
    </w:p>
    <w:p>
      <w:pPr>
        <w:pStyle w:val="SourceNote"/>
      </w:pPr>
      <w:r>
        <w:rPr>
          <w:b/>
        </w:rPr>
        <w:t>Available abstract (not full text):</w:t>
      </w:r>
      <w:r>
        <w:t xml:space="preserve"> • There is increasing transport sector interest in vision-led planning. • Developing a vision (visioning) is non-trivial if it is to be meaningful and useful. • Addressing commonly asked questions helps guide the visioning approach. • Sharing experience of visioning in practice is a basis for supporting others. With increasing transport sector interest in vision-led rather than forecast-led planning, there is a growing need to think about what a good vision looks like, how a vision can be created, who should be involved in creating a vision, and, ultimately, what value a vision subsequently has. In the field of foresight and scenario planning, futures can be categorised as one of three types: probable, possible, and preferred. Preferred futures, or visions, characterise what we choose to work towards. They involve clarity around values, with the evident implication that values can be contested. The paper draws upon existing literature alongside the experience of the authors to examine considerations in the development of visions – as part of the vision-led approach to transport planning. It is framed by a set of ten guiding questions that, when taken in sequence, help to chart a course through the process of developing a vision (so-called ‘visioning’). The interdependent nature of the questions within the set is also highlighted.</w:t>
      </w:r>
    </w:p>
    <w:p>
      <w:pPr/>
      <w:r>
        <w:rPr>
          <w:b/>
        </w:rPr>
        <w:t>POSSIBLE 2025:</w:t>
      </w:r>
      <w:r>
        <w:t xml:space="preserve"> Plural Values of Culture in Europe — https://openalex.org/W7137507789</w:t>
      </w:r>
    </w:p>
    <w:p>
      <w:pPr/>
      <w:r>
        <w:rPr>
          <w:b/>
        </w:rPr>
        <w:t>Shared claim-specific concepts:</w:t>
      </w:r>
      <w:r>
        <w:t xml:space="preserve"> resulted, three, alternative; EU scope visible. This is a provisional connection, not an outcome finding.</w:t>
      </w:r>
    </w:p>
    <w:p>
      <w:pPr>
        <w:pStyle w:val="SourceNote"/>
      </w:pPr>
      <w:r>
        <w:rPr>
          <w:b/>
        </w:rPr>
        <w:t>Available abstract (not full text):</w:t>
      </w:r>
      <w:r>
        <w:t xml:space="preserve"> In recent years, the plurality of values of culture has been increasingly recognized in practical, academic, and policymaking contexts. Beyond its traditional intrinsic values—linked to aesthetics, authenticity, and excellence—its capacity to contribute to well-being, to promote identity and belonging and tolerance and inclusiveness, to stimulate creativity, and to foster innovation are ever more acknowledged by a great variety of social actors. However, an economy- and market-oriented perspective has come to dominate the administrative and managerial discourse on cultural valuation for a few decades. This has resulted in a predominance of an approach to valuing culture that is expressed exclusively in terms of its economic impact, obscuring other values of culture. The European research project UNCHARTED has tried to counteract this predominance by providing a broader vision of the societal value of culture in the European context and by applying this alternative view to some of the most relevant areas in which cultural valuation impinges on cultural management and cultural policy today. This book presents its main results. Based on a pragmatist perspective, we have carried out an extensive multiple case study (65 cases in seven countries) that considers the multiplicity of agents who participate in cultural valuation processes (citizens, professionals of creation and preserva</w:t>
      </w:r>
    </w:p>
    <w:p>
      <w:pPr/>
      <w:r>
        <w:rPr>
          <w:b/>
        </w:rPr>
        <w:t>POSSIBLE 2024:</w:t>
      </w:r>
      <w:r>
        <w:t xml:space="preserve"> Regulatory scoping exercise for the future adoption of autonomous inland ships in Europe — https://doi.org/10.1186/s41072-023-00160-x</w:t>
      </w:r>
    </w:p>
    <w:p>
      <w:pPr/>
      <w:r>
        <w:rPr>
          <w:b/>
        </w:rPr>
        <w:t>Shared claim-specific concepts:</w:t>
      </w:r>
      <w:r>
        <w:t xml:space="preserve"> exercise, technology; EU scope visible. This is a provisional connection, not an outcome finding.</w:t>
      </w:r>
    </w:p>
    <w:p>
      <w:pPr>
        <w:pStyle w:val="SourceNote"/>
      </w:pPr>
      <w:r>
        <w:rPr>
          <w:b/>
        </w:rPr>
        <w:t>Available abstract (not full text):</w:t>
      </w:r>
      <w:r>
        <w:t xml:space="preserve"> Abstract Shipping is a heavily regulated sector, and autonomous ships will by no means be able to escape the public regulator’s agenda. Furthermore, regulatory adaptation is necessary because current laws oppose the introduction of this new technology. In contrast to maritime shipping, in which considerable regulatory work on autonomous ships has already been achieved, the process of adapting inland shipping regulations for autonomous vessels is rather slow, thereby considerably hindering the further development of the sector. An important reason for this is the multi-levelled regulatory institutional structure in European inland shipping, which consequently has less unified rules than its maritime counterpart. In addition, previous research on regulatory obstacles is highly fragmented and restricted in scope. This study presents a systematic regulatory analysis of relevant inland shipping regulations by following the approach adopted by the International Maritime Organisation with respect to maritime shipping regulations, with the objective of identifying potential obstacles in relevant regulatory instruments and common themes across them. It also discusses the existing possibilities under current European Union law for the exceptional operation of autonomous inland ships and describes the latest policy directions taken by the European legislator to foster innovation developme</w:t>
      </w:r>
    </w:p>
    <w:p>
      <w:pPr/>
      <w:r>
        <w:rPr>
          <w:b/>
        </w:rPr>
        <w:t>POSSIBLE 2024:</w:t>
      </w:r>
      <w:r>
        <w:t xml:space="preserve"> A Focus Group Study on Participatory Practices in Early Childhood Education and Care Across Four European Countries — https://doi.org/10.1080/10409289.2024.2360868</w:t>
      </w:r>
    </w:p>
    <w:p>
      <w:pPr/>
      <w:r>
        <w:rPr>
          <w:b/>
        </w:rPr>
        <w:t>Shared claim-specific concepts:</w:t>
      </w:r>
      <w:r>
        <w:t xml:space="preserve"> four, different, focus, need, active; EU scope visible. This is a provisional connection, not an outcome finding.</w:t>
      </w:r>
    </w:p>
    <w:p>
      <w:pPr>
        <w:pStyle w:val="SourceNote"/>
      </w:pPr>
      <w:r>
        <w:rPr>
          <w:b/>
        </w:rPr>
        <w:t>Available abstract (not full text):</w:t>
      </w:r>
      <w:r>
        <w:t xml:space="preserve"> Participation in educational settings is a universal right of every child, consigned by the United Nations Convention on the Rights of the Child. This right encompasses the need to protect and encourage young children´s active participation and decision-making in early childhood education and care. Research Findings: This qualitative study, inspired by the Lundy model (2007), examined ECEC teachers’ (n = 25) and coordinators’ (n = 25) perceptions about participation practices, collected through focus groups conducted in Belgium, Greece, Poland, and Portugal. Participants were previously referred as implementing participatory practices. Results showed that the four dimensions of the Lundy model emerged in teachers’ and coordinators’ group discussions: Participative space, Children’s voice, Audience of children’s perspectives, and Influence. Furthermore, a number of subcategories in each dimension reflected different orientations toward participatory pedagogy. Practice or Policy: This study contributes to informing and inspiring participation practices in ECEC across Europe and to enriching policy discussions regarding children´s participation rights, particularly in the early years. Promising participatory practices were identified in the various dimensions of participation, though some challenges remain, requiring in-depth knowledge about pedagogical practices and the promotion</w:t>
      </w:r>
    </w:p>
    <w:p>
      <w:pPr/>
      <w:r>
        <w:rPr>
          <w:b/>
        </w:rPr>
        <w:t>POSSIBLE 2024:</w:t>
      </w:r>
      <w:r>
        <w:t xml:space="preserve"> Community visioning — https://doi.org/10.4337/9781802208870.00046</w:t>
      </w:r>
    </w:p>
    <w:p>
      <w:pPr/>
      <w:r>
        <w:rPr>
          <w:b/>
        </w:rPr>
        <w:t>Shared claim-specific concepts:</w:t>
      </w:r>
      <w:r>
        <w:t xml:space="preserve"> visioning, different, local; EU scope not established. This is a provisional connection, not an outcome finding.</w:t>
      </w:r>
    </w:p>
    <w:p>
      <w:pPr>
        <w:pStyle w:val="SourceNote"/>
      </w:pPr>
      <w:r>
        <w:rPr>
          <w:b/>
        </w:rPr>
        <w:t>Available abstract (not full text):</w:t>
      </w:r>
      <w:r>
        <w:t xml:space="preserve"> This chapter provides an overview of community visioning (CV) and its significance in Social Impact Assessment (SIA), particularly in social investment projects related to large footprint activities such as mines or dams. The chapter highlights the practical approaches used to engage local communities and other stakeholders in CV processes and explore various issues such as power dynamics. CV is a collaborative and inclusive community planning process aimed at establishing goals for the future of a community. In the CV process, community members come together to identify their current and preferred collective identity, purpose, and values and develop a shared vision of their future. The chapter further provides examples of the use of CV in different parts of the world, emphasising its role in promoting ownership of the outcome of the process and creating a platform for local community members to collaborate with other stakeholders and develop common priorities and actions.</w:t>
      </w:r>
    </w:p>
    <w:p>
      <w:pPr/>
      <w:r>
        <w:rPr>
          <w:b/>
        </w:rPr>
        <w:t>POSSIBLE 2023:</w:t>
      </w:r>
      <w:r>
        <w:t xml:space="preserve"> Pre-Visions: First Results of the EDEN Fellows Survey on the Futures of Learning — https://doi.org/10.5334/uproc.103</w:t>
      </w:r>
    </w:p>
    <w:p>
      <w:pPr/>
      <w:r>
        <w:rPr>
          <w:b/>
        </w:rPr>
        <w:t>Shared claim-specific concepts:</w:t>
      </w:r>
      <w:r>
        <w:t xml:space="preserve"> exercise, technology; EU scope visible. This is a provisional connection, not an outcome finding.</w:t>
      </w:r>
    </w:p>
    <w:p>
      <w:pPr>
        <w:pStyle w:val="SourceNote"/>
      </w:pPr>
      <w:r>
        <w:rPr>
          <w:b/>
        </w:rPr>
        <w:t>Available abstract (not full text):</w:t>
      </w:r>
      <w:r>
        <w:t xml:space="preserve"> Technology is pervasive and intertwined in many aspects of modern life and society. The digital revolution that is sweeping the world has shown its potential in education during the Covid-19 pandemic. It is rapidly transforming the way students learn, and as a result, technology is expected to improve the face of education by making it more inclusive and accessible. In the framework of the EDEN Pre-Visions project, the EDEN fellows conducted a prospective study on the future trends of open and digital education in Europe in the next decade. 40 EDEN Fellows took part in an online survey launched in January 2023. In this paper, we present and analyse the first results of this exercise, describing the views of the experts on six dimensions: the European context evolution and socio-economic dynamics; EdTech research and development; EdTech practices; institutional digital transformation; societal impacts and implications; policies and regulations.</w:t>
      </w:r>
    </w:p>
    <w:p>
      <w:pPr>
        <w:pStyle w:val="Heading2"/>
      </w:pPr>
      <w:r>
        <w:t>600. Future Precipitation Scenarios over Italy</w:t>
      </w:r>
    </w:p>
    <w:p>
      <w:pPr>
        <w:pStyle w:val="SourceNote"/>
      </w:pPr>
      <w:r>
        <w:rPr>
          <w:b/>
        </w:rPr>
        <w:t>Original source (2021):</w:t>
      </w:r>
      <w:r>
        <w:t xml:space="preserve"> https://doi.org/10.3390/w13101335</w:t>
      </w:r>
    </w:p>
    <w:p>
      <w:pPr/>
      <w:r>
        <w:t>Original wording (abstract; indexed_source_text_not_full_document_verified): After filtering the models with limited performances in reconstructing the current climate, the multi-model climate change scenarios were characterized by comparing the ensemble mean values computed for the base-line period (1971–2000) with those elaborated for the short- (2021–2050), medium- (2041–2070) and long-term (2071–2100). The investigations are made on the basis of a set of high-resolution Euro-CORDEX models (horizontal resolution 0.11°, about 12 km) to infer quantitative assessments about the danger of climate changes under three different Representative Concentration Pathways (RCPs): business as usual scenario, i.e., without a reduction in green-house gas emissions (RCP 8.5), medium stabilization scenario (RCP 4.5) and mitigation scenario (RCP 2.6).</w:t>
      </w:r>
    </w:p>
    <w:p>
      <w:pPr/>
      <w:r>
        <w:rPr>
          <w:b/>
        </w:rPr>
        <w:t>POSSIBLE 2026:</w:t>
      </w:r>
      <w:r>
        <w:t xml:space="preserve"> Groundwater Storage Changes within Europe: A Constrained Bayesian Integration of GRACE(-FO) Data into the W3RA Model — https://doi.org/10.6084/m9.figshare.31073527</w:t>
      </w:r>
    </w:p>
    <w:p>
      <w:pPr/>
      <w:r>
        <w:rPr>
          <w:b/>
        </w:rPr>
        <w:t>Shared claim-specific concepts:</w:t>
      </w:r>
      <w:r>
        <w:t xml:space="preserve"> after, climate; EU scope visible. This is a provisional connection, not an outcome finding.</w:t>
      </w:r>
    </w:p>
    <w:p>
      <w:pPr>
        <w:pStyle w:val="SourceNote"/>
      </w:pPr>
      <w:r>
        <w:rPr>
          <w:b/>
        </w:rPr>
        <w:t>Available abstract (not full text):</w:t>
      </w:r>
      <w:r>
        <w:t xml:space="preserve"> his dataset provides monthly estimates of groundwater storage change (GWS) across Europe at an effective spatial resolution of approximately 10 km, generated using an extended Constrained Bayesian (ConBay) data integration framework.The ConBay framework integrates satellite gravimetric observations from GRACE (2003–2017) and GRACE-FO (2018–present) with outputs from the W3RA hydrological model, while additionally constraining surface soil moisture states using independent observations from the ESA Climate Change Initiative (ESA CCI) soil moisture product (v09.1). This multi-source constraint improves the physical consistency between modeled and observed terrestrial water storage components and reduces equifinality in groundwater partitioning.To ensure spectral consistency, W3RA total water storage fields are transformed into the spectral domain and filtered using GRACE-consistent operators prior to assimilation. After Bayesian updating, residual components are reintroduced to enable physically coherent spatial downscaling of terrestrial water storage changes. ESA CCI soil moisture observations are incorporated as an independent constraint on surface soil moisture variability, improving consistency between surface and subsurface water storage dynamics.The resulting GWS estimates preserve the large-scale information content of GRACE while resolving sub-basin to regional-scale gro</w:t>
      </w:r>
    </w:p>
    <w:p>
      <w:pPr/>
      <w:r>
        <w:rPr>
          <w:b/>
        </w:rPr>
        <w:t>POSSIBLE 2026:</w:t>
      </w:r>
      <w:r>
        <w:t xml:space="preserve"> European Ground Motion Service: GNSS model 2015-2025 (vector), Europe, 2-yearly, Oct. 2026 — https://doi.org/10.2909/836a384f-bcd1-4da3-9ed8-ac2f1f292c55</w:t>
      </w:r>
    </w:p>
    <w:p>
      <w:pPr/>
      <w:r>
        <w:rPr>
          <w:b/>
        </w:rPr>
        <w:t>Shared claim-specific concepts:</w:t>
      </w:r>
      <w:r>
        <w:t xml:space="preserve"> after, filtering, values; EU scope visible. This is a provisional connection, not an outcome finding.</w:t>
      </w:r>
    </w:p>
    <w:p>
      <w:pPr>
        <w:pStyle w:val="SourceNote"/>
      </w:pPr>
      <w:r>
        <w:rPr>
          <w:b/>
        </w:rPr>
        <w:t>Available abstract (not full text):</w:t>
      </w:r>
      <w:r>
        <w:t xml:space="preserve"> The European Ground Motion Service (EGMS) is a component of the Copernicus Land Monitoring Service. EGMS provides consistent, regular, standardised, harmonised and reliable information regarding natural and anthropogenic ground motion phenomena over the Copernicus Participating States and across national borders, with millimetre accuracy. This layer is produced based on GNSS data from various sources, with the EUREF Densification network as the main entry point. After filtering and quality control, a total of ~4700 stations are used to generate the GNSS model that contains average velocities in east, north and up directions displayed on a 50-km grid. The grid dimension is determined by the optimal distance between these GNSS stations. The GNSS model is distributed to users in a single comma-separated values file. Each cell of the model is associated to a value of vertical and horizontal velocity. The product covers the Copernicus Participating States (except for DROMs), United Kingdom and Turkey.</w:t>
      </w:r>
    </w:p>
    <w:p>
      <w:pPr/>
      <w:r>
        <w:rPr>
          <w:b/>
        </w:rPr>
        <w:t>POSSIBLE 2026:</w:t>
      </w:r>
      <w:r>
        <w:t xml:space="preserve"> OAT Europe dataset — https://doi.org/10.5281/zenodo.23470443</w:t>
      </w:r>
    </w:p>
    <w:p>
      <w:pPr/>
      <w:r>
        <w:rPr>
          <w:b/>
        </w:rPr>
        <w:t>Shared claim-specific concepts:</w:t>
      </w:r>
      <w:r>
        <w:t xml:space="preserve"> after, climate, mean, values, computed, made; EU scope visible. This is a provisional connection, not an outcome finding.</w:t>
      </w:r>
    </w:p>
    <w:p>
      <w:pPr>
        <w:pStyle w:val="SourceNote"/>
      </w:pPr>
      <w:r>
        <w:rPr>
          <w:b/>
        </w:rPr>
        <w:t>Available abstract (not full text):</w:t>
      </w:r>
      <w:r>
        <w:t xml:space="preserve"> The Europe dataset of the paper "Observation Assimilation Transformer: Probabilistic Weather Analysis from Sparse Station Observations". It contains ERA5 surface fields, static fields and hourly station observations for Europe. The code is at https://github.com/SwissDataScienceCenter/observation_assimilation_transformer. Files `era5-europe-mars-n320-2019-2024-1h-v1.zarr.tar`: ERA5 surface fields (anemoi-datasets zarr format). `europe-static.zarr.tar`: elevation and distance to the coast. `hourly_2019_2025_temp_prcp_wspd_wpgt_rhum.parquet`: hourly station observations from Meteostat. `station_quality.parquet`: quality scores for each station. `SHA256SUMS`: the SHA-256 checksum of each file. The paths are the paths after the unpack. Download and check the files with the script of the code repository: &gt;&gt;&gt; python -m scripts.download_artifacts --what data --dest . The script unpacks the files into `data/` and checks each file against `SHA256SUMS`. ERA5 surface fields Source: ERA5 and ERA5.1 on the reduced Gaussian grid N320, from the ECMWF MARS archive (class `ea`, stream `oper`, surface level). `2t`, `10u`, `10v` and `tcc` are hourly analyses (type `an`). `tp` comes from the short-range forecasts (type `fc`, step 1 h). It is the accumulation over the hour. Variables: `2t` (2 m temperature, K), `10u` and `10v` (10 m wind components, m/s), `tcc` (total cloud cover, fraction 0 to 1), </w:t>
      </w:r>
    </w:p>
    <w:p>
      <w:pPr/>
      <w:r>
        <w:rPr>
          <w:b/>
        </w:rPr>
        <w:t>POSSIBLE 2026:</w:t>
      </w:r>
      <w:r>
        <w:t xml:space="preserve"> High-resolution modelling of organic aerosol over Europe: exploring spatial and temporal variability and drivers — https://doi.org/10.1016/j.envint.2026.110143</w:t>
      </w:r>
    </w:p>
    <w:p>
      <w:pPr/>
      <w:r>
        <w:rPr>
          <w:b/>
        </w:rPr>
        <w:t>Shared claim-specific concepts:</w:t>
      </w:r>
      <w:r>
        <w:t xml:space="preserve"> current, climate, mean, long-term; EU scope visible. This is a provisional connection, not an outcome finding.</w:t>
      </w:r>
    </w:p>
    <w:p>
      <w:pPr>
        <w:pStyle w:val="SourceNote"/>
      </w:pPr>
      <w:r>
        <w:rPr>
          <w:b/>
        </w:rPr>
        <w:t>Available abstract (not full text):</w:t>
      </w:r>
      <w:r>
        <w:t xml:space="preserve"> Organic aerosol (OA) is a major component of atmospheric particulate matter (PM), affecting both human health and climate. However, high-resolution estimates of OA exposure needed for exposure analysis remain scarce. Here, we integrate a chemical transport model (CAMx) with a random forest (RF) machine learning approach to bias-correct and downscale daily OA concentrations across Europe. CAMx OA simulations at ∼15 km resolution show moderate agreement with observations (r = 0.55). By combining these outputs with high-resolution land-use data and training the RF model on ∼48,000 daily OA measurements from 137 sites, prediction accuracy improved (r = 0.65), with ∼l5% reduction in root mean square error. The resulting maps provide European daily OA concentrations at ∼250 m resolution for alternate years from 2011 to 2019. The model captures key spatial features, including elevated OA in the Po Valley, Southeastern, and Central Europe, as well as intracity variations due to local hotspots. Seasonal analysis reveals higher concentrations in winter, while long-term trends indicate a general decline in OA levels. Exposure estimates show that half of the European population experiences OA levels above 3 µg/m 3 , and ∼50 million people are exposed to more than 5 µg/m 3 , which is the current guideline level recommended by the world health organization for total PM 2.5 . These high-resol</w:t>
      </w:r>
    </w:p>
    <w:p>
      <w:pPr/>
      <w:r>
        <w:rPr>
          <w:b/>
        </w:rPr>
        <w:t>POSSIBLE 2024:</w:t>
      </w:r>
      <w:r>
        <w:t xml:space="preserve"> MediAlbertina: An European Portuguese medical language model — https://doi.org/10.1016/j.compbiomed.2024.109233</w:t>
      </w:r>
    </w:p>
    <w:p>
      <w:pPr/>
      <w:r>
        <w:rPr>
          <w:b/>
        </w:rPr>
        <w:t>Shared claim-specific concepts:</w:t>
      </w:r>
      <w:r>
        <w:t xml:space="preserve"> after, filtering, values, made; EU scope visible. This is a provisional connection, not an outcome finding.</w:t>
      </w:r>
    </w:p>
    <w:p>
      <w:pPr>
        <w:pStyle w:val="SourceNote"/>
      </w:pPr>
      <w:r>
        <w:rPr>
          <w:b/>
        </w:rPr>
        <w:t>Available abstract (not full text):</w:t>
      </w:r>
      <w:r>
        <w:t xml:space="preserve"> Patient medical information often exists in unstructured text containing abbreviations and acronyms deemed essential to conserve time and space but posing challenges for automated interpretation. Leveraging the efficacy of Transformers in natural language processing, our objective was to use the knowledge acquired by a language model and continue its pre-training to develop an European Portuguese (PT-PT) healthcare-domain language model. After carrying out a filtering process, Albertina PT-PT 900M was selected as our base language model, and we continued its pre-training using more than 2.6 million electronic medical records from Portugal's largest public hospital. MediAlbertina 900M has been created through domain adaptation on this data using masked language modelling. The comparison with our baseline was made through the usage of both perplexity, which decreased from about 20 to 1.6 values, and the fine-tuning and evaluation of information extraction models such as Named Entity Recognition and Assertion Status. MediAlbertina PT-PT outperformed Albertina PT-PT in both tasks by 4–6% on recall and f1-score. This study contributes with the first publicly available medical language model trained with PT-PT data. It underscores the efficacy of domain adaptation and offers a contribution to the scientific community in overcoming obstacles of non-English languages. With MediAlbertin</w:t>
      </w:r>
    </w:p>
    <w:p>
      <w:pPr/>
      <w:r>
        <w:rPr>
          <w:b/>
        </w:rPr>
        <w:t>POSSIBLE 2024:</w:t>
      </w:r>
      <w:r>
        <w:t xml:space="preserve"> Merging modelled and reported flood impacts in Europe in a combined flood event catalogue for 1950–2020 — https://doi.org/10.5194/hess-28-3983-2024</w:t>
      </w:r>
    </w:p>
    <w:p>
      <w:pPr/>
      <w:r>
        <w:rPr>
          <w:b/>
        </w:rPr>
        <w:t>Shared claim-specific concepts:</w:t>
      </w:r>
      <w:r>
        <w:t xml:space="preserve"> climate, those, long-term; EU scope visible. This is a provisional connection, not an outcome finding.</w:t>
      </w:r>
    </w:p>
    <w:p>
      <w:pPr>
        <w:pStyle w:val="SourceNote"/>
      </w:pPr>
      <w:r>
        <w:rPr>
          <w:b/>
        </w:rPr>
        <w:t>Available abstract (not full text):</w:t>
      </w:r>
      <w:r>
        <w:t xml:space="preserve"> Abstract. Long-term trends in flood losses are regulated by multiple factors including climate variation, demographic dynamics, economic growth, land-use transitions, reservoir construction and flood risk reduction measures. Attribution of those drivers through the use of counterfactual scenarios of hazard, exposure or vulnerability first requires a good representation of historical events, including their location, intensity and the factual circumstances in which they occurred. Here, we develop a chain of models that is capable of recreating riverine, coastal and compound floods in Europe between 1950 and 2020 that had a potential to cause significant socioeconomic impacts. This factual catalogue of almost 15,000 such events was scrutinised with historical records of flood impacts. We found that at least 10 % of them had led to significant socioeconomic impacts (including fatalities) according to available sources. The model chain was able to capture events responsible for 96 % of known impacts contained in the HANZE flood impact database in terms of persons affected and economic losses, and for 81 % of fatalities. The dataset enables studying drivers of vulnerability and flood adaptation due to a large sample of events with historical impact data. The model chain can further be used to generate counterfactual events, especially related to climate change and human influence on</w:t>
      </w:r>
    </w:p>
    <w:p>
      <w:pPr/>
      <w:r>
        <w:rPr>
          <w:b/>
        </w:rPr>
        <w:t>POSSIBLE 2024:</w:t>
      </w:r>
      <w:r>
        <w:t xml:space="preserve"> Wavelet-based tools to analyze, filter, and reconstruct transient gravitational-wave signals — https://doi.org/10.1103/physrevd.109.102010</w:t>
      </w:r>
    </w:p>
    <w:p>
      <w:pPr/>
      <w:r>
        <w:rPr>
          <w:b/>
        </w:rPr>
        <w:t>Shared claim-specific concepts:</w:t>
      </w:r>
      <w:r>
        <w:t xml:space="preserve"> filtering, limited, comparing, those; EU scope not established. This is a provisional connection, not an outcome finding.</w:t>
      </w:r>
    </w:p>
    <w:p>
      <w:pPr>
        <w:pStyle w:val="SourceNote"/>
      </w:pPr>
      <w:r>
        <w:rPr>
          <w:b/>
        </w:rPr>
        <w:t>Available abstract (not full text):</w:t>
      </w:r>
      <w:r>
        <w:t xml:space="preserve"> The analysis of gravitational-wave signals is one of the most challenging application areas of signal processing, because of the extreme weakness of these signals and of the great complexity of gravitational-wave detectors. Wavelet transforms are specially helpful in detecting and analyzing gravitational-wave transients and several analysis pipelines are based on these transforms, both continuous and discrete. While discrete wavelet transforms have distinct advantages in terms of computing efficiency, continuous wavelet transforms (CWT) produce smooth and visually stunning time-frequency maps where the wavelet energy is displayed in terms of time and frequency. In addition to wavelets, short-time Fourier transforms (STFT) and Stockwell transforms (ST) are also used, or the $Q$-transform, which is a Morlet waveletlike transform where the width of the Gaussian envelope is parametrized by a parameter denoted by $Q$ [Chatterji et al., Classical Quantum Gravity 21, S1809 (2004)]. To date, the use of CWTs in gravitational-wave data analysis has been limited by the higher computational load when compared with discrete wavelets, and also by the lack of an inversion formula for wavelet families that do not satisfy the admissibility condition. In this paper we consider Morlet wavelets parametrized in the same way as the Q-transform (hence the name wavelet Q-transform) which have all the </w:t>
      </w:r>
    </w:p>
    <w:p>
      <w:pPr/>
      <w:r>
        <w:rPr>
          <w:b/>
        </w:rPr>
        <w:t>POSSIBLE 2024:</w:t>
      </w:r>
      <w:r>
        <w:t xml:space="preserve"> EuroLLM: Multilingual Language Models for Europe — https://doi.org/10.48550/arxiv.2409.16235</w:t>
      </w:r>
    </w:p>
    <w:p>
      <w:pPr/>
      <w:r>
        <w:rPr>
          <w:b/>
        </w:rPr>
        <w:t>Shared claim-specific concepts:</w:t>
      </w:r>
      <w:r>
        <w:t xml:space="preserve"> filtering, made; EU scope visible. This is a provisional connection, not an outcome finding.</w:t>
      </w:r>
    </w:p>
    <w:p>
      <w:pPr>
        <w:pStyle w:val="SourceNote"/>
      </w:pPr>
      <w:r>
        <w:rPr>
          <w:b/>
        </w:rPr>
        <w:t>Available abstract (not full text):</w:t>
      </w:r>
      <w:r>
        <w:t xml:space="preserve"> The quality of open-weight LLMs has seen significant improvement, yet they remain predominantly focused on English. In this paper, we introduce the EuroLLM project, aimed at developing a suite of open-weight multilingual LLMs capable of understanding and generating text in all official European Union languages, as well as several additional relevant languages. We outline the progress made to date, detailing our data collection and filtering process, the development of scaling laws, the creation of our multilingual tokenizer, and the data mix and modeling configurations. Additionally, we release our initial models: EuroLLM-1.7B and EuroLLM-1.7B-Instruct and report their performance on multilingual general benchmarks and machine translation.</w:t>
      </w:r>
    </w:p>
    <w:p>
      <w:pPr/>
      <w:r>
        <w:rPr>
          <w:b/>
        </w:rPr>
        <w:t>POSSIBLE 2024:</w:t>
      </w:r>
      <w:r>
        <w:t xml:space="preserve"> CoLoR-Filter: Conditional Loss Reduction Filtering for Targeted Language Model Pre-training — https://doi.org/10.52202/079017-3097</w:t>
      </w:r>
    </w:p>
    <w:p>
      <w:pPr/>
      <w:r>
        <w:rPr>
          <w:b/>
        </w:rPr>
        <w:t>Shared claim-specific concepts:</w:t>
      </w:r>
      <w:r>
        <w:t xml:space="preserve"> filtering, values; EU scope not established. This is a provisional connection, not an outcome finding.</w:t>
      </w:r>
    </w:p>
    <w:p>
      <w:pPr>
        <w:pStyle w:val="SourceNote"/>
      </w:pPr>
      <w:r>
        <w:rPr>
          <w:b/>
        </w:rPr>
        <w:t>Available abstract (not full text):</w:t>
      </w:r>
      <w:r>
        <w:t xml:space="preserve"> Selecting high-quality data for pre-training is crucial in shaping the downstream task performance of language models. A major challenge lies in identifying this optimal subset, a problem generally considered intractable, thus necessitating scalable and effective heuristics. In this work, we propose a data selection method, CoLoR-Filter (Conditional Loss Reduction Filtering), which leverages an empirical Bayes-inspired approach to derive a simple and computationally efficient selection criterion based on the relative loss values of two auxiliary models. In addition to the modeling rationale, we evaluate CoLoR-Filter empirically on two language modeling tasks: (1) selecting data from C4 for domain adaptation to evaluation on Books and (2) selecting data from C4 for a suite of downstream multiple-choice question answering tasks. We demonstrate favorable scaling both as we subselect more aggressively and using small auxiliary models to select data for large target models. As one headline result, CoLoR-Filter data selected using a pair of 150m parameter auxiliary models can train a 1.2b parameter target model to match a 1.2b parameter model trained on 25b randomly selected tokens with 25x less data for Books and 11x less data for the downstream tasks. Code: https://github.com/davidbrandfonbrener/color-filter-olmo Filtered data: https://huggingface.co/datasets/davidbrandfonbrener/co</w:t>
      </w:r>
    </w:p>
    <w:p>
      <w:pPr/>
      <w:r>
        <w:rPr>
          <w:b/>
        </w:rPr>
        <w:t>POSSIBLE 2023:</w:t>
      </w:r>
      <w:r>
        <w:t xml:space="preserve"> Convoluted filtering for process cycle modeling — https://doi.org/10.1002/eng2.12657</w:t>
      </w:r>
    </w:p>
    <w:p>
      <w:pPr/>
      <w:r>
        <w:rPr>
          <w:b/>
        </w:rPr>
        <w:t>Shared claim-specific concepts:</w:t>
      </w:r>
      <w:r>
        <w:t xml:space="preserve"> after, filtering, limited; EU scope not established. This is a provisional connection, not an outcome finding.</w:t>
      </w:r>
    </w:p>
    <w:p>
      <w:pPr>
        <w:pStyle w:val="SourceNote"/>
      </w:pPr>
      <w:r>
        <w:rPr>
          <w:b/>
        </w:rPr>
        <w:t>Available abstract (not full text):</w:t>
      </w:r>
      <w:r>
        <w:t xml:space="preserve"> Abstract Principles of materials science and engineering, physics, mathematics, and information science are used to extract knowledge and insights from the process‐structure–property‐performance relationships hidden in materials data. The process‐structure modeling can be accelerated without loss of interpretability, with artificial intelligence tools that mimic the salient features of the process and process‐structure relations. In this work, a novel convoluted model‐filtering technique was exploited to build and successfully train the Convoluted Filter (CoFi) artifacts for Fe‐based alloy heat treatment cycles. The artifacts were pre‐trained to filter out deep models that change the surrogate microstructure state after the heat treatment at ambient conditions. Direct representation of the thermal cycle features within knowledge Graph facilitated development of meaningful data models for microstructure evolution, which reduce overfitting to limited datasets.</w:t>
      </w:r>
    </w:p>
    <w:p>
      <w:pPr/>
      <w:r>
        <w:rPr>
          <w:b/>
        </w:rPr>
        <w:t>POSSIBLE 2023:</w:t>
      </w:r>
      <w:r>
        <w:t xml:space="preserve"> Dark side of the honeymoon: reconstructing the Asian x European rose breeding history through the lens of genomics — https://doi.org/10.1101/2023.06.22.546162</w:t>
      </w:r>
    </w:p>
    <w:p>
      <w:pPr/>
      <w:r>
        <w:rPr>
          <w:b/>
        </w:rPr>
        <w:t>Shared claim-specific concepts:</w:t>
      </w:r>
      <w:r>
        <w:t xml:space="preserve"> reconstructing, characterized, period; EU scope visible. This is a provisional connection, not an outcome finding.</w:t>
      </w:r>
    </w:p>
    <w:p>
      <w:pPr>
        <w:pStyle w:val="SourceNote"/>
      </w:pPr>
      <w:r>
        <w:rPr>
          <w:b/>
        </w:rPr>
        <w:t>Available abstract (not full text):</w:t>
      </w:r>
      <w:r>
        <w:t xml:space="preserve"> Summary Roses hold significant symbolic value in Western cultural heritage, often serving as a symbol of love and romance. Despite their ancient cultivation, the appreciation for the phenotypic diversity of roses emerged relatively recently, notably during the 19th century. This period is characterized by a remarkable expansion in the number of varieties, from around 100 to over 8,000, representing a golden age for roses. To trace the history of rose breeding in Europe and unveil genetic changes during this period, we gathered phenotypic and genetic data from 204 accessions. These included botanical roses and varieties cultivated between 1800 and 1910. Whole-genome sequences from 32 accessions were also included. Our analysis revealed a temporal shift in the genetic makeup, transitioning from a historical European to a near-Asian genetic background within a few generations. This shift was accompanied by a notable reduction in genetic diversity, attributed to the backcrossing with the less diverse Asian genepool, plus some genomic signatures of selection. We have generated the largest GWAS catalog for rose to date, offering a valuable resource for future breeding initiatives. We emphasize the critical importance of preserving ancient rose collections to safeguard diversity and ensure a sustainable breeding for the long term.</w:t>
      </w:r>
    </w:p>
    <w:p>
      <w:pPr/>
      <w:r>
        <w:rPr>
          <w:b/>
        </w:rPr>
        <w:t>POSSIBLE 2023:</w:t>
      </w:r>
      <w:r>
        <w:t xml:space="preserve"> Reconstructing the post-glacial spread of the sand fly Phlebotomus mascittii Grassi, 1908 (Diptera: Psychodidae) in Europe — https://doi.org/10.1038/s42003-023-05616-1</w:t>
      </w:r>
    </w:p>
    <w:p>
      <w:pPr/>
      <w:r>
        <w:rPr>
          <w:b/>
        </w:rPr>
        <w:t>Shared claim-specific concepts:</w:t>
      </w:r>
      <w:r>
        <w:t xml:space="preserve"> reconstructing, current, climate; EU scope visible. This is a provisional connection, not an outcome finding.</w:t>
      </w:r>
    </w:p>
    <w:p>
      <w:pPr>
        <w:pStyle w:val="SourceNote"/>
      </w:pPr>
      <w:r>
        <w:rPr>
          <w:b/>
        </w:rPr>
        <w:t>Available abstract (not full text):</w:t>
      </w:r>
      <w:r>
        <w:t xml:space="preserve"> Phlebotomine sand flies (Diptera: Phlebotominae) are the principal vectors of Leishmania spp. (Kinetoplastida: Trypanosomatidae). In Central Europe, Phlebotomus mascittii is the predominant species, but largely understudied. To better understand factors driving its current distribution, we infer patterns of genetic diversity by testing for signals of population expansion based on two mitochondrial genes and model current and past climate and habitat suitability for seven post-glacial maximum periods, taking 19 climatic variables into account. Consequently, we elucidate their connections by environmental-geographical network analysis. Most analyzed populations share a main haplotype tracing back to a single glacial maximum refuge area on the Mediterranean coasts of South France, which is supported by network analysis. The rapid range expansion of Ph. mascittii likely started in the early mid-Holocene epoch until today and its spread possibly followed two routes. The first one was through northern France to Germany and then Belgium, and the second across the Ligurian coast through present-day Slovenia to Austria, toward the northern Balkans. Here we present a combined approach to reveal glacial refugia and post-glacial spread of Ph. mascittii and observed discrepancies between the modelled and the current known distribution might reveal yet overlooked populations and potential fu</w:t>
      </w:r>
    </w:p>
    <w:p>
      <w:pPr>
        <w:pStyle w:val="Heading2"/>
      </w:pPr>
      <w:r>
        <w:t>601. Future Projections of Heat Mortality Risk for Major European Cities</w:t>
      </w:r>
    </w:p>
    <w:p>
      <w:pPr>
        <w:pStyle w:val="SourceNote"/>
      </w:pPr>
      <w:r>
        <w:rPr>
          <w:b/>
        </w:rPr>
        <w:t>Original source (2021):</w:t>
      </w:r>
      <w:r>
        <w:t xml:space="preserve"> https://doi.org/10.1175/wcas-d-20-0142.1</w:t>
      </w:r>
    </w:p>
    <w:p>
      <w:pPr/>
      <w:r>
        <w:t>Original wording (abstract; indexed_source_text_not_full_document_verified): On average, our results indicate that the mortality risk trend is almost twice as high in all three countries for the RCP8.5 scenario compared to RCP2.6. Our results suggest a significant increase of heat mortality in the future, especially in Spain.</w:t>
      </w:r>
    </w:p>
    <w:p>
      <w:pPr/>
      <w:r>
        <w:rPr>
          <w:b/>
        </w:rPr>
        <w:t>POSSIBLE 2026:</w:t>
      </w:r>
      <w:r>
        <w:t xml:space="preserve"> Trends in mortality and disability from ischaemic stroke in Europe, 1990-2023 — https://doi.org/10.1093/esj/aakag082</w:t>
      </w:r>
    </w:p>
    <w:p>
      <w:pPr/>
      <w:r>
        <w:rPr>
          <w:b/>
        </w:rPr>
        <w:t>Shared claim-specific concepts:</w:t>
      </w:r>
      <w:r>
        <w:t xml:space="preserve"> average, mortality, all, countries; EU scope visible. This is a provisional connection, not an outcome finding.</w:t>
      </w:r>
    </w:p>
    <w:p>
      <w:pPr>
        <w:pStyle w:val="SourceNote"/>
      </w:pPr>
      <w:r>
        <w:rPr>
          <w:b/>
        </w:rPr>
        <w:t>Available abstract (not full text):</w:t>
      </w:r>
      <w:r>
        <w:t xml:space="preserve"> INTRODUCTION: The burden of ischaemic stroke in Europe has evolved over recent decades, shaped by changes in prevention, acute care and population ageing. Understanding long-term trends in mortality and disability is essential for guiding policy and service planning. PATIENTS AND METHODS: Using Global Burden of Disease (GBD) 2023 estimates, we analysed age-standardised disability-adjusted life years (DALYs), years of life lost (YLLs) and years lived with disability (YLDs) for ischaemic stroke across all European countries from 1990 to 2023. We estimated country-specific annual percentage changes (EAPCs), assessed non-linear trajectories, examined shifts in the fatal vs non-fatal composition of DALYs and synthesised trends using mixed-effects models and descriptive meta-analytic pooling. RESULTS: Disability-adjusted life year rates declined in every European country, with the steepest reductions in Central and Western Europe and more modest improvements in parts of Eastern and Southeastern Europe. Years of life lost declines closely paralleled DALY trends, indicating that falling premature mortality was the main driver of the overall reduction. Years lived with disability trends were smaller and more heterogeneous across countries. Mixed-effects modelling indicated average European EAPCs of -3.40% (95% CI, -3.74 to -3.05) for DALYs, -1.26% (-1.43 to -1.09) for YLLs and -3.86% (-</w:t>
      </w:r>
    </w:p>
    <w:p>
      <w:pPr/>
      <w:r>
        <w:rPr>
          <w:b/>
        </w:rPr>
        <w:t>POSSIBLE 2026:</w:t>
      </w:r>
      <w:r>
        <w:t xml:space="preserve"> Drought tolerance and mortality risk of European beech — https://doi.org/10.1016/j.agrformet.2026.111541</w:t>
      </w:r>
    </w:p>
    <w:p>
      <w:pPr/>
      <w:r>
        <w:rPr>
          <w:b/>
        </w:rPr>
        <w:t>Shared claim-specific concepts:</w:t>
      </w:r>
      <w:r>
        <w:t xml:space="preserve"> average, mortality, high, all, increase, heat; EU scope visible. This is a provisional connection, not an outcome finding.</w:t>
      </w:r>
    </w:p>
    <w:p>
      <w:pPr>
        <w:pStyle w:val="SourceNote"/>
      </w:pPr>
      <w:r>
        <w:rPr>
          <w:b/>
        </w:rPr>
        <w:t>Available abstract (not full text):</w:t>
      </w:r>
      <w:r>
        <w:t xml:space="preserve"> Little is known about the drought-induced mortality risk for most tree species. This makes it difficult to predict their future distribution. Here, we quantified the drought tolerance and mortality risk of the economically important European beech ( Fagus sylvatica L.) by analysing its response to decreasing water potentials in the soil-plant-atmosphere continuum. From 2014 to 2023, we measured ecohydrological parameters at eight forest sites covering a large part of the species' ecological niche. The hourly time series at all sites included temperature, vapor pressure deficit (VPD), and soil water potential (Ψ soil ). At one site, the time series also included soil hydraulic conductivity (K), root water uptake (RWU), changes in stem radius, and dendrometer-derived leaf water potential (Ψ leaf ). Additionally, we determined the annual mortality rate of beech trees at all sites. At sites with a positive climatic water balance, beech mortality only occurred in soils with a low water storage capacity. However, at sites with a negative climatic water balance, beech trees also died in soils with high storage capacities. Mortality dynamics indicated that Ψ soil was more important for beech decline than VPD, heat, and excessive radiation. An average Ψ soil of −0.8 MPa in the root zone was identified as the mortality threshold for all sites, as beyond this threshold, RWU ceased due to </w:t>
      </w:r>
    </w:p>
    <w:p>
      <w:pPr/>
      <w:r>
        <w:rPr>
          <w:b/>
        </w:rPr>
        <w:t>POSSIBLE 2026:</w:t>
      </w:r>
      <w:r>
        <w:t xml:space="preserve"> Drought tolerance and mortality risk of European beech — https://doi.org/10.16904/envidat.805</w:t>
      </w:r>
    </w:p>
    <w:p>
      <w:pPr/>
      <w:r>
        <w:rPr>
          <w:b/>
        </w:rPr>
        <w:t>Shared claim-specific concepts:</w:t>
      </w:r>
      <w:r>
        <w:t xml:space="preserve"> average, mortality, high, all, increase, heat; EU scope visible. This is a provisional connection, not an outcome finding.</w:t>
      </w:r>
    </w:p>
    <w:p>
      <w:pPr>
        <w:pStyle w:val="SourceNote"/>
      </w:pPr>
      <w:r>
        <w:rPr>
          <w:b/>
        </w:rPr>
        <w:t>Available abstract (not full text):</w:t>
      </w:r>
      <w:r>
        <w:t xml:space="preserve"> Little is known about the drought-induced mortality risk for most tree species. This makes it difficult to predict their future distribution. Here, we quantified the drought tolerance and mortality risk of the economically important European beech (Fagus sylvatica L.) by analysing its response to decreasing water potentials in the soil-plant-atmosphere continuum. From 2014 to 2023, we measured ecohydrological parameters at eight forest sites covering a large part of the species' ecological niche. The hourly time series at all sites included temperature, vapor pressure deficit (VPD), and soil water potential (Ψsoil). At one site, the time series also included soil hydraulic conductivity (K), root water uptake (RWU), changes in stem radius, and dendrometer-derived leaf water potential (Ψleaf). Additionally, we determined the annual mortality rate of beech trees at all sites. At sites with a positive climatic water balance, beech mortality only occurred in soils with a low water storage capacity. However, at sites with a negative climatic water balance, beech trees also died in soils with high storage capacities. Mortality dynamics indicated that Ψsoil was more important for beech decline than VPD, heat, and excessive radiation. An average Ψsoil of -0.8 MPa in the root zone was identified as the mortality threshold for all sites, as beyond this threshold, RWU ceased due to extreme</w:t>
      </w:r>
    </w:p>
    <w:p>
      <w:pPr/>
      <w:r>
        <w:rPr>
          <w:b/>
        </w:rPr>
        <w:t>POSSIBLE 2026:</w:t>
      </w:r>
      <w:r>
        <w:t xml:space="preserve"> The impact of heat and cold on mortality and life expectancy in Europe, 2015–2024 — https://doi.org/10.1016/j.ehb.2026.101607</w:t>
      </w:r>
    </w:p>
    <w:p>
      <w:pPr/>
      <w:r>
        <w:rPr>
          <w:b/>
        </w:rPr>
        <w:t>Shared claim-specific concepts:</w:t>
      </w:r>
      <w:r>
        <w:t xml:space="preserve"> average, indicate, mortality, countries, increase, heat; EU scope visible. This is a provisional connection, not an outcome finding.</w:t>
      </w:r>
    </w:p>
    <w:p>
      <w:pPr>
        <w:pStyle w:val="SourceNote"/>
      </w:pPr>
      <w:r>
        <w:rPr>
          <w:b/>
        </w:rPr>
        <w:t>Available abstract (not full text):</w:t>
      </w:r>
      <w:r>
        <w:t xml:space="preserve"> This paper analyzes the effects of temperatures on mortality and life expectancy using data on 40 million deaths in 28 European countries between 2015 and 2024. The findings indicate that both cold and hot temperatures increase mortality rates, with cold having a stronger overall effect. Heat-related mortality tends to be immediate, whereas cold-related effects are more delayed and prolonged. Climate and income are key moderators: cold-related mortality is higher in warmer regions, heat-related mortality is higher in colder regions, and the effects of cold are stronger at lower income levels. The study also shows that the number of deaths in 2015-2024 would have been higher under the climate conditions of 1950-1979. The shift in the temperature distribution increased mortality during the warmest months but reduced mortality during the colder months, yielding a net decrease of more than 900,000 deaths over the 2015-2024 period. This reduction corresponds to an average increase in life expectancy at birth of 0.195 years.</w:t>
      </w:r>
    </w:p>
    <w:p>
      <w:pPr/>
      <w:r>
        <w:rPr>
          <w:b/>
        </w:rPr>
        <w:t>POSSIBLE 2026:</w:t>
      </w:r>
      <w:r>
        <w:t xml:space="preserve"> Electric Vehicle Fleet Penetration and Air Pollution Mortality in Europe — https://doi.org/10.32388/vkflrm</w:t>
      </w:r>
    </w:p>
    <w:p>
      <w:pPr/>
      <w:r>
        <w:rPr>
          <w:b/>
        </w:rPr>
        <w:t>Shared claim-specific concepts:</w:t>
      </w:r>
      <w:r>
        <w:t xml:space="preserve"> mortality, high, all, countries, significant; EU scope visible. This is a provisional connection, not an outcome finding.</w:t>
      </w:r>
    </w:p>
    <w:p>
      <w:pPr>
        <w:pStyle w:val="SourceNote"/>
      </w:pPr>
      <w:r>
        <w:rPr>
          <w:b/>
        </w:rPr>
        <w:t>Available abstract (not full text):</w:t>
      </w:r>
      <w:r>
        <w:t xml:space="preserve"> The transition to electric vehicles is widely promoted as contributing to the reduction of urban air pollution and climate change. This study examines the correlation between electric vehicle fleet penetration and premature deaths from air pollution (PM2.5 exposure) across 28 European countries. Using 2023-2024 data on actual vehicle fleet composition (not sales), we find a statistically significant negative correlation (r = -0.465, p = 0.013). Nordic countries show high EV penetration (Norway 28%, Denmark 12.1%) with low mortality rates (6.6 and 18.3 deaths per 100,000 respectively), while Eastern European countries exhibit &lt;1% EV penetration with 70-145 deaths per 100,000. This result was expected for several reasons, the main one being that car exhaust is a major factor in air pollution in urban areas, but not the only one. In addition, geographic and meteorological factors dominate pollution patterns, while many countries bundle vehicle electrification with comprehensive policies addressing all emission sources. These findings, however, prove that electric vehicles have a positive effect on air quality and reduce mortality. The replacement of internal combustion engine vehicles with electric ones must proceed as fast as possible in order to reduce pollution-related mortality, but it must be coupled with other pollution abatement measures.</w:t>
      </w:r>
    </w:p>
    <w:p>
      <w:pPr/>
      <w:r>
        <w:rPr>
          <w:b/>
        </w:rPr>
        <w:t>POSSIBLE 2025:</w:t>
      </w:r>
      <w:r>
        <w:t xml:space="preserve"> Association between Wealth and Mortality in the United States and Europe — https://doi.org/10.1056/nejmsa2408259</w:t>
      </w:r>
    </w:p>
    <w:p>
      <w:pPr/>
      <w:r>
        <w:rPr>
          <w:b/>
        </w:rPr>
        <w:t>Shared claim-specific concepts:</w:t>
      </w:r>
      <w:r>
        <w:t xml:space="preserve"> mortality, all, countries; EU scope visible. This is a provisional connection, not an outcome finding.</w:t>
      </w:r>
    </w:p>
    <w:p>
      <w:pPr>
        <w:pStyle w:val="SourceNote"/>
      </w:pPr>
      <w:r>
        <w:rPr>
          <w:b/>
        </w:rPr>
        <w:t>Available abstract (not full text):</w:t>
      </w:r>
      <w:r>
        <w:t xml:space="preserve"> BACKGROUND: Amid growing wealth disparity, we have little information on how health among older Americans compares with that among older Europeans across the distribution of wealth. METHODS: We performed a longitudinal, retrospective cohort study involving adults 50 to 85 years of age who were included in the Health and Retirement Study and the Survey of Health, Ageing, and Retirement in Europe between 2010 and 2022. Wealth quartiles were defined according to age group and country, with quartile 1 comprising the poorest participants and quartile 4 the wealthiest. Mortality and Kaplan-Meier curves were estimated for each wealth quartile across the United States and 16 countries in northern and western, southern, and eastern Europe. We used Cox proportional-hazards models that included adjustment for baseline covariates (age group, sex, marital status [ever or never married], educational level [any or no college education], residence [rural or nonrural], current smoking status [smoking or nonsmoking], and absence or presence of a previously diagnosed long-term condition) to quantify the association between wealth quartile and all-cause mortality from 2010 through 2022 (the primary outcome). RESULTS: Among 73,838 adults (mean [±SD] age, 65±9.8 years), a total of 13,802 (18.7%) died during a median follow-up of 10 years. Across all participants, greater wealth was associated with l</w:t>
      </w:r>
    </w:p>
    <w:p>
      <w:pPr/>
      <w:r>
        <w:rPr>
          <w:b/>
        </w:rPr>
        <w:t>POSSIBLE 2025:</w:t>
      </w:r>
      <w:r>
        <w:t xml:space="preserve"> Urban ozone trends in Europe and the USA (2000–2021) — https://doi.org/10.5194/acp-25-16009-2025</w:t>
      </w:r>
    </w:p>
    <w:p>
      <w:pPr/>
      <w:r>
        <w:rPr>
          <w:b/>
        </w:rPr>
        <w:t>Shared claim-specific concepts:</w:t>
      </w:r>
      <w:r>
        <w:t xml:space="preserve"> trend, high, compared, increase; EU scope visible. This is a provisional connection, not an outcome finding.</w:t>
      </w:r>
    </w:p>
    <w:p>
      <w:pPr>
        <w:pStyle w:val="SourceNote"/>
      </w:pPr>
      <w:r>
        <w:rPr>
          <w:b/>
        </w:rPr>
        <w:t>Available abstract (not full text):</w:t>
      </w:r>
      <w:r>
        <w:t xml:space="preserve"> Abstract. Trends in urban O3 and NO2 across Europe and the United States of America were explored between 2000–2021. Using surface monitoring site data from the TOAR-II and European Environment Agency databases, piecewise quantile regression (PQR) analysis was performed on 228 O3 time series (144 European, 84 USA) and 322 NO2 times series (245 European, 77 USA). The PQR analysis permitted 2 break points over the 23 year period to balance the intent to describe changes over a large time period, while still capturing the abrupt changes that can occur in urban atmospheres. Regressions were performed over quantiles ranging from 0.05 to 0.95 and indications of a slowing in the increase of high European O3 levels was observed. In Europe, more trends were found to having an increasing O3 trend between 2015–2021 compared with 2000–2004. The reverse was true in the USA, with a reduction in the number of sites with increasing O3 trends when the same periods were compared. An analysis of the change points revealed a large proportion of sites in Europe, were the second change point in NO2 switched from a positive to negative trend, occurred in 2020 (41/43 second change points in this year). This was attributed a reduction in NO2 due to the COVID-19 pandemic, however, in some cases these increasing trends have sustained beyond the recovery from restrictions.</w:t>
      </w:r>
    </w:p>
    <w:p>
      <w:pPr/>
      <w:r>
        <w:rPr>
          <w:b/>
        </w:rPr>
        <w:t>POSSIBLE 2025:</w:t>
      </w:r>
      <w:r>
        <w:t xml:space="preserve"> Appendicitis burden, trends, and inequalities in Europe, 1990–2019: a population-based study — https://doi.org/10.1093/gastro/goaf070</w:t>
      </w:r>
    </w:p>
    <w:p>
      <w:pPr/>
      <w:r>
        <w:rPr>
          <w:b/>
        </w:rPr>
        <w:t>Shared claim-specific concepts:</w:t>
      </w:r>
      <w:r>
        <w:t xml:space="preserve"> average, mortality, three, countries; EU scope visible. This is a provisional connection, not an outcome finding.</w:t>
      </w:r>
    </w:p>
    <w:p>
      <w:pPr>
        <w:pStyle w:val="SourceNote"/>
      </w:pPr>
      <w:r>
        <w:rPr>
          <w:b/>
        </w:rPr>
        <w:t>Available abstract (not full text):</w:t>
      </w:r>
      <w:r>
        <w:t xml:space="preserve"> Background: Appendicitis imposes a substantial healthcare burden globally, yet comprehensive insights into its disease burden in Europe remain limited. This study assesses regional trends, disparities and high-burden countries for appendicitis in Europe. Methods: Data on appendicitis-related incidence, mortality and disability-adjusted life years (DALYs) were extracted from the Global Burden of Disease 2019 study. Joinpoint regression analyzed temporal trends, while health inequality and quadrant analyses identified socio-demographic disparities and priority countries. Results: In 2019, Europe's age-standardized incidence rate (ASIR) for appendicitis was 266.47 per 100,000, exceeding the global average (229.86 per 100,000). However, Europe's age-standardized mortality rate and age-standardized DALY rate were lower than the global averages. From 1990 to 2019, the average annual percentage change (AAPC) for the ASIR was 0.50%, whereas the AAPCs for the age-standardized mortality rate and age-standardized DALY rate were -3.02% and -2.20%, respectively. Finland was the sole exception, showing a reduced ASIR (AAPC: -0.20%). Health inequality analysis revealed that the burden of DALYs disproportionately affected less developed European nations. However, there was a notable improvement over the past three decades. The slope index of inequality decreased from -7.32 DALYs per 100,000 in</w:t>
      </w:r>
    </w:p>
    <w:p>
      <w:pPr/>
      <w:r>
        <w:rPr>
          <w:b/>
        </w:rPr>
        <w:t>POSSIBLE 2025:</w:t>
      </w:r>
      <w:r>
        <w:t xml:space="preserve"> The European Alps in a changing climate: physical trends and impacts — https://doi.org/10.5802/crgeos.288</w:t>
      </w:r>
    </w:p>
    <w:p>
      <w:pPr/>
      <w:r>
        <w:rPr>
          <w:b/>
        </w:rPr>
        <w:t>Shared claim-specific concepts:</w:t>
      </w:r>
      <w:r>
        <w:t xml:space="preserve"> high, compared, increase; EU scope visible. This is a provisional connection, not an outcome finding.</w:t>
      </w:r>
    </w:p>
    <w:p>
      <w:pPr>
        <w:pStyle w:val="SourceNote"/>
      </w:pPr>
      <w:r>
        <w:rPr>
          <w:b/>
        </w:rPr>
        <w:t>Available abstract (not full text):</w:t>
      </w:r>
      <w:r>
        <w:t xml:space="preserve"> Mountain areas crown their surrounding landscapes and host a great diversity of ecosystems and human activities. Due to their high altitudes and low temperatures, mountains, in many regions of the world, including Europe, allow the existence of the solid phase of water, ice, seasonally or perennially, which is found in glaciers, snow cover and permafrost, key components of the cryosphere. In the European Alps, the air temperature has increased by about 2 °C compared to the pre-industrial period (end of 19th century), alongside with a slight change in the seasonality of precipitation. Both are projected to intensify in the future. The increase in temperature induces profound changes for the mountain cryosphere with in particular the scarcity of snow cover, the retreat of glaciers and the thawing of permafrost. These changes are causing a cascade of upheavals for the water cycle, mountain ecosystems, the economic and touristic activity of mountain societies. They also induce changes in the natural hazards associated with the cryosphere such as avalanches, risks of glacial and peri-glacial origins as well as floods and droughts. Thus, in a changing climate, the fragile beauty and balance of the European Alps is undergoing profound disruptions whose consequences extend to the lowlands. These will continue to intensify as long as the temperature continues to rise and this is why eve</w:t>
      </w:r>
    </w:p>
    <w:p>
      <w:pPr/>
      <w:r>
        <w:rPr>
          <w:b/>
        </w:rPr>
        <w:t>POSSIBLE 2025:</w:t>
      </w:r>
      <w:r>
        <w:t xml:space="preserve"> Future heat-related mortality in Europe driven by compound day-night heatwaves and demographic shifts — https://doi.org/10.1038/s41467-025-62871-y</w:t>
      </w:r>
    </w:p>
    <w:p>
      <w:pPr/>
      <w:r>
        <w:rPr>
          <w:b/>
        </w:rPr>
        <w:t>Shared claim-specific concepts:</w:t>
      </w:r>
      <w:r>
        <w:t xml:space="preserve"> mortality, high, all, increase, heat; EU scope visible. This is a provisional connection, not an outcome finding.</w:t>
      </w:r>
    </w:p>
    <w:p>
      <w:pPr>
        <w:pStyle w:val="SourceNote"/>
      </w:pPr>
      <w:r>
        <w:rPr>
          <w:b/>
        </w:rPr>
        <w:t>Available abstract (not full text):</w:t>
      </w:r>
      <w:r>
        <w:t xml:space="preserve"> Anthropogenic climate change is driving summer heat toward more humid conditions, accompanied by more frequent day-night compound heat extremes (high temperatures during both day and night). As the fast-warming and aging continent, Europe faces escalating heat-related health risks. Here, we projected future heat-related mortality in Europe using a distributed lag nonlinear model that incorporates humid heat and compound heat extremes, strengthened by a health risk-based definition of extreme heat and a scenario matrix integrating time-varying adaptation trajectories. Under 2010–2019 adaptation baselines, future heat-related mortality is projected to increase annually by 103.7-135.1 deaths per million people by 2100 across various population-climate scenarios for every degree of global warming, with Western and Eastern Europe suffering the most. If global warming exceeds 2 °C, climate change will dominate (84.0–96.8%) projected increase in heat-related mortality. Across all socioeconomic pathways, even a 50% reduction in heat-related relative risk through physiological adaptation will be insufficient to offset the climate change-driven escalation of future heat-related mortality. This study projects heat-related mortality in Europe across various adaptation scenarios by modelling humid and compound day-night heat, using a health-based heat definition. Without heat adaptation, mo</w:t>
      </w:r>
    </w:p>
    <w:p>
      <w:pPr/>
      <w:r>
        <w:rPr>
          <w:b/>
        </w:rPr>
        <w:t>POSSIBLE 2025:</w:t>
      </w:r>
      <w:r>
        <w:t xml:space="preserve"> The effectiveness of heat prevention plans in reducing heat-related mortality across Europe — https://doi.org/10.1088/1748-9326/ae2775</w:t>
      </w:r>
    </w:p>
    <w:p>
      <w:pPr/>
      <w:r>
        <w:rPr>
          <w:b/>
        </w:rPr>
        <w:t>Shared claim-specific concepts:</w:t>
      </w:r>
      <w:r>
        <w:t xml:space="preserve"> mortality, all, countries, significant, heat; EU scope visible. This is a provisional connection, not an outcome finding.</w:t>
      </w:r>
    </w:p>
    <w:p>
      <w:pPr>
        <w:pStyle w:val="SourceNote"/>
      </w:pPr>
      <w:r>
        <w:rPr>
          <w:b/>
        </w:rPr>
        <w:t>Available abstract (not full text):</w:t>
      </w:r>
      <w:r>
        <w:t xml:space="preserve"> Heat-health warning systems and action plans, referred to as heat prevention plans (HPPs), are key public health interventions aimed at reducing heat-related mortality. Despite their importance, prior assessments of their effectiveness have yielded inconsistent results. The objective of this study is to systematically assess the effectiveness of HPPs in reducing heat-related mortality risk across Europe. We analysed daily mortality and mean temperature data from 102 locations in 14 European countries between 1990 and 2019. Using data from national experts, we identified the year of HPP implementation and categorised their development class. A three-stage analysis was conducted: (1) quasi-Poisson time series models were used to estimate location-specific warm-season exposure-response functions in 3 year subperiods; (2) mixed-effect meta-regression models with multilevel longitudinal structures were employed to quantify changes in pooled exposure-response functions due to HPP implementation, adjusted for long-term trends in heat-related mortality risks; and (3) the heat-related excess mortality due to HPP was calculated by comparing factual (with HPP) and counterfactual (without HPP) scenarios. Estimates are reported by country, region, and HPP class. HPP implementation was associated with a 25.2% [95% CI: 19.8% to 31.9%] reduction in excess deaths attributable to extreme heat, c</w:t>
      </w:r>
    </w:p>
    <w:p>
      <w:pPr/>
      <w:r>
        <w:rPr>
          <w:b/>
        </w:rPr>
        <w:t>POSSIBLE 2025:</w:t>
      </w:r>
      <w:r>
        <w:t xml:space="preserve"> DIGITAL SKILLS AND COMPETENCES IN UKRAINE AND EUROPE: CHALLENGES AND PROSPECTS — https://doi.org/10.32342/3041-2153-2025-1-38-5</w:t>
      </w:r>
    </w:p>
    <w:p>
      <w:pPr/>
      <w:r>
        <w:rPr>
          <w:b/>
        </w:rPr>
        <w:t>Shared claim-specific concepts:</w:t>
      </w:r>
      <w:r>
        <w:t xml:space="preserve"> average, indicate, almost, countries, compared, significant; EU scope visible. This is a provisional connection, not an outcome finding.</w:t>
      </w:r>
    </w:p>
    <w:p>
      <w:pPr>
        <w:pStyle w:val="SourceNote"/>
      </w:pPr>
      <w:r>
        <w:rPr>
          <w:b/>
        </w:rPr>
        <w:t>Available abstract (not full text):</w:t>
      </w:r>
      <w:r>
        <w:t xml:space="preserve"> The article is devoted to studying the current state of digitalization in Ukraine and conducting a comparative analysis with similar trends in European countries. To conduct a comparative analysis of the level of digital skills in Ukraine and the countries of the European Union, the following key indicators were considered: access to the Internet, use of e-services and experience of online shopping. It was determined that in Ukraine the percentage of the population with a basic level of digital skills and a level above the basic level is almost 60%, which is quite comparable to the average in the European Union and significantly exceeds the indicators of the countries of Central and Eastern Europe. The results of the study of the digital skills of Ukrainians indicate that, compared to Europe, the situation in Ukraine regarding access to the Internet and digital skills demonstrates progress, but also indicates certain challenges. Ukraine has made significant improvements in internet access, with the rate of access reaching 93.8% among the adult population in 2023, close to the EU average of around 93%. However, compared to more developed European countries, where internet access in most EU Member States exceeds 90% and in Western and Northern Europe even reaches 98%, Ukraine faces certain barriers, such as insufficient digital skills among a significant part of the population an</w:t>
      </w:r>
    </w:p>
    <w:p>
      <w:pPr>
        <w:pStyle w:val="Heading2"/>
      </w:pPr>
      <w:r>
        <w:t>602. Future export markets of industrial wood construction – A qualitative backcasting study</w:t>
      </w:r>
    </w:p>
    <w:p>
      <w:pPr>
        <w:pStyle w:val="SourceNote"/>
      </w:pPr>
      <w:r>
        <w:rPr>
          <w:b/>
        </w:rPr>
        <w:t>Original source (2021):</w:t>
      </w:r>
      <w:r>
        <w:t xml:space="preserve"> https://doi.org/10.1016/j.forpol.2021.102480</w:t>
      </w:r>
    </w:p>
    <w:p>
      <w:pPr/>
      <w:r>
        <w:t>Original wording (abstract; indexed_source_text_not_full_document_verified): The aim is to identify promising export markets for Finland, and to identify required pathways by 2030. A qualitative participatory backcasting method was applied to explore the future visions of the industrial wood construction (IWC) sector and its export markets, as well as the pathways from the current towards the envisioned future.</w:t>
      </w:r>
    </w:p>
    <w:p>
      <w:pPr/>
      <w:r>
        <w:rPr>
          <w:b/>
        </w:rPr>
        <w:t>POSSIBLE 2026:</w:t>
      </w:r>
      <w:r>
        <w:t xml:space="preserve"> Promising policy practices in PC-IC in LTC Person-Centred Integrated Long-Term Care for older adults in Europe — https://doi.org/10.5334/ijic.icic26505</w:t>
      </w:r>
    </w:p>
    <w:p>
      <w:pPr/>
      <w:r>
        <w:rPr>
          <w:b/>
        </w:rPr>
        <w:t>Shared claim-specific concepts:</w:t>
      </w:r>
      <w:r>
        <w:t xml:space="preserve"> aim, identify, promising, pathways, current; EU scope visible. This is a provisional connection, not an outcome finding.</w:t>
      </w:r>
    </w:p>
    <w:p>
      <w:pPr>
        <w:pStyle w:val="SourceNote"/>
      </w:pPr>
      <w:r>
        <w:rPr>
          <w:b/>
        </w:rPr>
        <w:t>Available abstract (not full text):</w:t>
      </w:r>
      <w:r>
        <w:t xml:space="preserve"> Background: The demographic shift towards ageing populations across Europe has intensified the demand for person-centred, integrated long-term care (PC-I-LTC) for older adults with complex needs. Multimorbidity, frailty, and cognitive impairment contribute to care complexity, increasing the need for coordination between health and social services. PC-I-LTC initiatives have been developing in recent years across Europe and now constitute a diverse landscape of ecosystems that aim to implement common care principles within the specific constraints and affordances. To support improvements in PC-I-LTC, it is thus timely to inquire how do current initiatives perform on key dimensions of PC-I-LTC implementation, what promising policies and best practices can be transferred to new settings, and what areas can be identified as targets for improvement efforts? Within the European project BUILD, we are conducting a systematic mapping and evaluation of promising practices to support policymakers to enhance the quality of PC-I-LTC solutions, and their related governance and policies. Approach: We developed the BUILD self-assessment tool based on the SCIROCCO framework to evaluate PC-I-LTC initiatives. Informed by a comprehensive literature review of existing frameworks and evaluation tools, the tool assesses ecosystem performance The tool evaluates ecosystem performance across 13 key dimen</w:t>
      </w:r>
    </w:p>
    <w:p>
      <w:pPr/>
      <w:r>
        <w:rPr>
          <w:b/>
        </w:rPr>
        <w:t>POSSIBLE 2026:</w:t>
      </w:r>
      <w:r>
        <w:t xml:space="preserve"> Identifying directions for improving the regulation of the circulation of high-technology innovations in the European Union — https://doi.org/10.15587/1729-4061.2026.362257</w:t>
      </w:r>
    </w:p>
    <w:p>
      <w:pPr/>
      <w:r>
        <w:rPr>
          <w:b/>
        </w:rPr>
        <w:t>Shared claim-specific concepts:</w:t>
      </w:r>
      <w:r>
        <w:t xml:space="preserve"> promising, applied, well, current; EU scope visible. This is a provisional connection, not an outcome finding.</w:t>
      </w:r>
    </w:p>
    <w:p>
      <w:pPr>
        <w:pStyle w:val="SourceNote"/>
      </w:pPr>
      <w:r>
        <w:rPr>
          <w:b/>
        </w:rPr>
        <w:t>Available abstract (not full text):</w:t>
      </w:r>
      <w:r>
        <w:t xml:space="preserve"> This study examines a system of procedures and techniques for regulating relations that create, transfer, and implement high-tech innovations in the European Union, through the prism of the promising EUROPEAN INNOVATION ACT (EIA). The current means of identifying high-tech innovations in the European Union have been studied, as well as the prospects for their improvement when implementing the EIA. This work has found that the process of regulatory influence on innovation circulation in the EU is not uniform. It has been proven that the current model of regulatory influence in the EU is not focused on the proper identification of high-tech innovations. It also does not provide simplification or stimulation of their use but only has a general focus on the intensification of all innovations in the EU economy. It was determined that within the EU there is a need to improve the methods for regulating the circulation of high-tech innovations. A study of directions to reform the innovation ecosystem through the implementation of the EUROPEAN INNOVATION ACT has been conducted. The feasibility of forming a definition of high-tech innovation was substantiated. The necessity of registering the criteria for distinguishing high-tech innovation from its other varieties has been proven. The need for the formation of a holistic system of regulatory influence based on the life cycle (Innovation</w:t>
      </w:r>
    </w:p>
    <w:p>
      <w:pPr/>
      <w:r>
        <w:rPr>
          <w:b/>
        </w:rPr>
        <w:t>POSSIBLE 2026:</w:t>
      </w:r>
      <w:r>
        <w:t xml:space="preserve"> Selecting Promising Soil Quality Indicators for Monitoring Soil Management Effects Based on 10 European Long‐Term Field Experiments — https://doi.org/10.1002/jpln.70068</w:t>
      </w:r>
    </w:p>
    <w:p>
      <w:pPr/>
      <w:r>
        <w:rPr>
          <w:b/>
        </w:rPr>
        <w:t>Shared claim-specific concepts:</w:t>
      </w:r>
      <w:r>
        <w:t xml:space="preserve"> aim, identify, promising, well, current; EU scope visible. This is a provisional connection, not an outcome finding.</w:t>
      </w:r>
    </w:p>
    <w:p>
      <w:pPr>
        <w:pStyle w:val="SourceNote"/>
      </w:pPr>
      <w:r>
        <w:rPr>
          <w:b/>
        </w:rPr>
        <w:t>Available abstract (not full text):</w:t>
      </w:r>
      <w:r>
        <w:t xml:space="preserve"> ABSTRACT Background : Soil quality can be measured through soil quality indicators that reflect soil processes. Aim : The aim of this study was to (1) identify a limited set of soil quality indicators that are most sensitive to agricultural soil management and that are widely applicable regardless of pedo‐climatic conditions, and (2) link common analytical soil quality indicators to near‐infrared spectroscopy (NIRS) measurements as a potential high‐throughput approach to assess soil quality. Methods : We assessed the sensitivity of analytical, field, and visual soil quality indicators to tillage (conventional inversion vs. reduced) and organic matter addition (high vs. low) and their interaction with soil texture in 10 long term field experiment across pedo‐climatic zones in Europe. Results : Reduced tillage and high organic matter addition had a positive effect on soil quality parameters, consistent across different European pedo‐climatic zones. Total organic carbon, particulate organic carbon, plant available phosphorus and potassium, total nitrogen, microbial carbon and nitrogen, and penetration resistance were the most sensitive indicators and represent four soil functions: Organic matter cycling, nutrient cycling, habitat provisioning, soil structure maintenance. Total organic carbon and total nitrogen measured with NIRS were well correlated with their corresponding analyt</w:t>
      </w:r>
    </w:p>
    <w:p>
      <w:pPr/>
      <w:r>
        <w:rPr>
          <w:b/>
        </w:rPr>
        <w:t>POSSIBLE 2026:</w:t>
      </w:r>
      <w:r>
        <w:t xml:space="preserve"> Market analysis for Superhood Oy's European expansion — https://openalex.org/W7162354352</w:t>
      </w:r>
    </w:p>
    <w:p>
      <w:pPr/>
      <w:r>
        <w:rPr>
          <w:b/>
        </w:rPr>
        <w:t>Shared claim-specific concepts:</w:t>
      </w:r>
      <w:r>
        <w:t xml:space="preserve"> aim, identify, finland, qualitative; EU scope visible. This is a provisional connection, not an outcome finding.</w:t>
      </w:r>
    </w:p>
    <w:p>
      <w:pPr>
        <w:pStyle w:val="SourceNote"/>
      </w:pPr>
      <w:r>
        <w:rPr>
          <w:b/>
        </w:rPr>
        <w:t>Available abstract (not full text):</w:t>
      </w:r>
      <w:r>
        <w:t xml:space="preserve"> This thesis examined the international market strategy for a Finnish Tech company Superhood Oy based in Finland, which operates a hyper local digital platform and is seeking to expand its operations into European markets. The aim of the thesis was to identify and evaluate most suitable European markets for entry as previously, formal market research had not been conducted by the company. In this thesis, a multi-stage screening process was utilized as the research methodology to evaluate potential countries. The first stage involved quantitative screening of European countries using English proficiency, national digital skill levels and urbanization rates. The second stage involved qualitative analysis using a focused PESTEL framework and initial competitor scan to identify the market saturation. The findings were collected using secondary data sources and the informal communication conducted with the commissioning company. The final results indicated that Norway, Sweden, Denmark, the Netherlands and the United Kingdom met the criteria. Further findings confirmed that all of these countries have highly urbanized markets therefore national digital literacy rates provide a reliable reflection of urban readiness. This study identified Norway as the first entry point due to its high level of social trust and lack of dominant competitor, while Sweden and Denmark were given the medium</w:t>
      </w:r>
    </w:p>
    <w:p>
      <w:pPr/>
      <w:r>
        <w:rPr>
          <w:b/>
        </w:rPr>
        <w:t>POSSIBLE 2026:</w:t>
      </w:r>
      <w:r>
        <w:t xml:space="preserve"> Establishing a Jewellery Business in the Finnish Market — https://openalex.org/W7162177384</w:t>
      </w:r>
    </w:p>
    <w:p>
      <w:pPr/>
      <w:r>
        <w:rPr>
          <w:b/>
        </w:rPr>
        <w:t>Shared claim-specific concepts:</w:t>
      </w:r>
      <w:r>
        <w:t xml:space="preserve"> aim, identify, qualitative; EU scope not established. This is a provisional connection, not an outcome finding.</w:t>
      </w:r>
    </w:p>
    <w:p>
      <w:pPr>
        <w:pStyle w:val="SourceNote"/>
      </w:pPr>
      <w:r>
        <w:rPr>
          <w:b/>
        </w:rPr>
        <w:t>Available abstract (not full text):</w:t>
      </w:r>
      <w:r>
        <w:t xml:space="preserve"> This study examines the entry of a semi-fine jewellery business into the finished goods market, focusing on the opportunities, challenges, and strategic considerations involved in launching a competitive product. The aim of the study was to assess the viability of a business idea and to identify the most effective market approach for attracting target consumers while maintaining product quality and brand value. A qualitative approach was used, combining market research, competitor analysis, and customer preference assessment. The data were gathered through secondary research on jewellery market trends, analysis of consumer behaviour, and evaluation of pricing, product design, and branding strategies used by similar businesses. The findings were then interpreted to determine market demand, customer expectations, and positioning opportunities for the brand. The results indicate that there is strong potential for semi-fine jewellery in the finished-goods market, especially among consumers seeking affordable yet stylish and durable accessories. The study also found that successful entry depends on distinctive designs, competitive pricing, and strong online visibility. Overall, the research concludes that a semi-fine jewellery business can establish a sustainable presence in the market if it aligns product offerings with consumer preferences and implements a clear market entry strat</w:t>
      </w:r>
    </w:p>
    <w:p>
      <w:pPr/>
      <w:r>
        <w:rPr>
          <w:b/>
        </w:rPr>
        <w:t>POSSIBLE 2026:</w:t>
      </w:r>
      <w:r>
        <w:t xml:space="preserve"> Regulatory Barriers to Market Entry: The Impact of EU and Finnish Cosmetic Regulations on Importing Japanese Cosmetics into Finland — https://openalex.org/W7162165616</w:t>
      </w:r>
    </w:p>
    <w:p>
      <w:pPr/>
      <w:r>
        <w:rPr>
          <w:b/>
        </w:rPr>
        <w:t>Shared claim-specific concepts:</w:t>
      </w:r>
      <w:r>
        <w:t xml:space="preserve"> identify, finland, qualitative, method, applied; EU scope visible. This is a provisional connection, not an outcome finding.</w:t>
      </w:r>
    </w:p>
    <w:p>
      <w:pPr>
        <w:pStyle w:val="SourceNote"/>
      </w:pPr>
      <w:r>
        <w:rPr>
          <w:b/>
        </w:rPr>
        <w:t>Available abstract (not full text):</w:t>
      </w:r>
      <w:r>
        <w:t xml:space="preserve"> The Japanese cosmetics industry has experienced increasing global popularity in recent years, reflected in its steadily expanding market value and the rising international demand. While the recent trends indicate strong international market potential for Japanese cosmetic products, the import of cosmetics from Japan into the European Union and Finland is regulated by strict legal frameworks. These regulations govern areas including product safety and compliance, documentation, ingredient restrictions, labeling requirements, and market surveillance. The differences between EU and Finnish regulations in comparison to Japanese regulations may create barriers for market entry and affect the ability of Japanese cosmetic products to enter the Finnish market. The objective of this thesis was to identify and analyze the key regulatory barriers affecting the import of Japanese cosmetics into Finland. The scope of the study was limited to regulatory differences between the EU, Finnish, and Japanese cosmetic regulatory frameworks, focusing on products manufactured in Japan that have not previously entered the EU market. The market entry barriers were considered from the perspective of the importer. The theoretical framework of the study presented the key elements of the EU, Finnish, and Japanese regulatory frameworks. The study applied a qualitative research approach and comparative analy</w:t>
      </w:r>
    </w:p>
    <w:p>
      <w:pPr/>
      <w:r>
        <w:rPr>
          <w:b/>
        </w:rPr>
        <w:t>POSSIBLE 2026:</w:t>
      </w:r>
      <w:r>
        <w:t xml:space="preserve"> Obstacles to Job Market Integration for International Students in Finland — https://openalex.org/W7198829089</w:t>
      </w:r>
    </w:p>
    <w:p>
      <w:pPr/>
      <w:r>
        <w:rPr>
          <w:b/>
        </w:rPr>
        <w:t>Shared claim-specific concepts:</w:t>
      </w:r>
      <w:r>
        <w:t xml:space="preserve"> finland, qualitative, applied, well; EU scope visible. This is a provisional connection, not an outcome finding.</w:t>
      </w:r>
    </w:p>
    <w:p>
      <w:pPr>
        <w:pStyle w:val="SourceNote"/>
      </w:pPr>
      <w:r>
        <w:rPr>
          <w:b/>
        </w:rPr>
        <w:t>Available abstract (not full text):</w:t>
      </w:r>
      <w:r>
        <w:t xml:space="preserve"> The inclusion of international students in Finland labour market is a challenge, which is not going away even after the national campaign of attracting international talents to the country by offering English-based higher education programs. This study discusses the issue of international students and new graduates searching a job in the Finish labour market, which is considered to be an energy technology and innovation-oriented area. In spite of the fact that national strategies of Finland focus on internationalization and retention of talents, there is a gap between the desires of Finland and the fulfilment of international degree graduates in the sphere of employment. The data collected in this qualitative research paper is obtained via the use of semi-structured questionnaire with ten international students and graduates at the University of Finnish labour market and other institutions located in the area. The three theories interrelate in that the study is influenced by the following theoretical frameworks to develop: Human Capital Theory, Social Capital Theory, and Psychological Contract Theory. These models are used to an alyse the way skills, networks, expectations and perceived obligations affect the Finnish labour market employability of international students. Results indicate that the barriers to labour market integration are numerous with the Finnish language skill</w:t>
      </w:r>
    </w:p>
    <w:p>
      <w:pPr/>
      <w:r>
        <w:rPr>
          <w:b/>
        </w:rPr>
        <w:t>POSSIBLE 2026:</w:t>
      </w:r>
      <w:r>
        <w:t xml:space="preserve"> Analysts’ recommendations and abnormal returns in the Finnish Stock Market — https://openalex.org/W7198904048</w:t>
      </w:r>
    </w:p>
    <w:p>
      <w:pPr/>
      <w:r>
        <w:rPr>
          <w:b/>
        </w:rPr>
        <w:t>Shared claim-specific concepts:</w:t>
      </w:r>
      <w:r>
        <w:t xml:space="preserve"> industrial, sector; EU scope not established. This is a provisional connection, not an outcome finding.</w:t>
      </w:r>
    </w:p>
    <w:p>
      <w:pPr>
        <w:pStyle w:val="SourceNote"/>
      </w:pPr>
      <w:r>
        <w:rPr>
          <w:b/>
        </w:rPr>
        <w:t>Available abstract (not full text):</w:t>
      </w:r>
      <w:r>
        <w:t xml:space="preserve"> Stock analysts are important operators in today’s stock markets, and their ability to spot over- or underpriced stocks has been widely examined in academia. Analysts form their recommendations based on publicly available information. According to the semi-strong form of the Efficient Market Hypothesis following analysts should not yield abnormal returns. If abnormal returns still appear, it would indicate inefficiency in the markets. Most earlier studies have focused on the United States stock markets, which are often considered one of the most efficient in the world. This thesis examines whether abnormal returns are possible to achieve by a trading strategy following analysts’ recommendations in the Finnish stock markets between 2014 and 2024. In the thesis, six portfolios were built from OMX Helsinki stocks based on the analyst consensus recommendations they receive: three with favorable and three with unfavorable recommendations. The returns of portfolios were tested using the CAPM and the Fama–French five-factor model after transaction costs. In addition, eight industry portfolios were formed from four major industries to see if the analysts’ forecasting abilities are consistent across the industries. Each industry was split into a favourable and an unfavorable portfolio. Two of the three unfavorable portfolios produced significant negative abnormal returns, even after acco</w:t>
      </w:r>
    </w:p>
    <w:p>
      <w:pPr/>
      <w:r>
        <w:rPr>
          <w:b/>
        </w:rPr>
        <w:t>POSSIBLE 2026:</w:t>
      </w:r>
      <w:r>
        <w:t xml:space="preserve"> Creative Pathways to Belonging? Reviewing a Decade of Research on Socially Engaged Arts Education Initiatives for Refugees in Europe — https://doi.org/10.1007/s12134-026-01446-2</w:t>
      </w:r>
    </w:p>
    <w:p>
      <w:pPr/>
      <w:r>
        <w:rPr>
          <w:b/>
        </w:rPr>
        <w:t>Shared claim-specific concepts:</w:t>
      </w:r>
      <w:r>
        <w:t xml:space="preserve"> aim, promising, pathways; EU scope visible. This is a provisional connection, not an outcome finding.</w:t>
      </w:r>
    </w:p>
    <w:p>
      <w:pPr>
        <w:pStyle w:val="SourceNote"/>
      </w:pPr>
      <w:r>
        <w:rPr>
          <w:b/>
        </w:rPr>
        <w:t>Available abstract (not full text):</w:t>
      </w:r>
      <w:r>
        <w:t xml:space="preserve"> Abstract This article reports the findings of a review of European research literature on socially engaged arts education for refugees. Over the past decade, arts-based initiatives have emerged as promising tools for supporting refugee communities across Europe. Educational initiatives, specifically — ranging from drama and music workshops to zine-making and visual storytelling — have created spaces for expression, connection and intercultural exchange. While often modest in scale, their impact on individuals can be profound, offering participants opportunities to reclaim agency, build relationships and navigate the complexities of displacement. However, at the same time, initiatives face structural barriers, resource constraints, ethical tensions and uneven power dynamics. Drawing on a systematic review of 36 studies published between 2015 and 2025, identified in the Hub for Education for Refugees in Europe (HERE) Knowledge Base, this article explores what the research tells us about the principles, practices and outcomes of various socially engaged arts education interventions for refugees. The aim was to help us better understand their role in promoting refugees’ belonging and inclusion in a context of increasing sociopolitical division and inequality. In establishing what the decade of research tells us, the paper contributes to interdisciplinary literature and debates on e</w:t>
      </w:r>
    </w:p>
    <w:p>
      <w:pPr/>
      <w:r>
        <w:rPr>
          <w:b/>
        </w:rPr>
        <w:t>POSSIBLE 2025:</w:t>
      </w:r>
      <w:r>
        <w:t xml:space="preserve"> Perceptions of Africa as a Market in International Business Schools in Finland — https://openalex.org/W7201314040</w:t>
      </w:r>
    </w:p>
    <w:p>
      <w:pPr/>
      <w:r>
        <w:rPr>
          <w:b/>
        </w:rPr>
        <w:t>Shared claim-specific concepts:</w:t>
      </w:r>
      <w:r>
        <w:t xml:space="preserve"> identify, finland, pathways, qualitative; EU scope visible. This is a provisional connection, not an outcome finding.</w:t>
      </w:r>
    </w:p>
    <w:p>
      <w:pPr>
        <w:pStyle w:val="SourceNote"/>
      </w:pPr>
      <w:r>
        <w:rPr>
          <w:b/>
        </w:rPr>
        <w:t>Available abstract (not full text):</w:t>
      </w:r>
      <w:r>
        <w:t xml:space="preserve"> After many years of economic stagnation and slow development, Africa now stands on the verge of economic transformation. Over the last ten years, six of the world's ten fastest-growing economies were located in Africa. As an economic region, Africa’s gross domestic product (GDP) grew faster than that of East Asia, Japan included. Additionally, Africa’s population is projected to grow from 1.5 billion in 2024 to 2.5 billion by 2050. It is projected that this growth will come together with a major demographic shift where one in every three young people globally is expected to be African by mid-century (Sinha &amp; Getachew, 2024). Despite the huge economic growth potential this data presents, there seems to be little, if any recognition, within the International Business (IB) curricula in Finnish educational institutions. This study aims to establish why Africa-related business opportunities are not included in Finnish business schools’ curricula. The goal is to identify what may be causing this exclusion and whether intercultural communication theories, particularly the concept of stereotyping, can assist in explaining this exclusion and provide pathways for inclusion. The study uses both qualitative and quantitative methods to collect data. To see how Africa as a market is perceived in Finnish business schools, I analyzed publicly available course descriptions published on the webs</w:t>
      </w:r>
    </w:p>
    <w:p>
      <w:pPr/>
      <w:r>
        <w:rPr>
          <w:b/>
        </w:rPr>
        <w:t>POSSIBLE 2025:</w:t>
      </w:r>
      <w:r>
        <w:t xml:space="preserve"> Competency Requirements for the Juniors in the Finnish Cybersecurity Service and Consultancy Business — https://doi.org/10.34190/iccws.20.1.3239</w:t>
      </w:r>
    </w:p>
    <w:p>
      <w:pPr/>
      <w:r>
        <w:rPr>
          <w:b/>
        </w:rPr>
        <w:t>Shared claim-specific concepts:</w:t>
      </w:r>
      <w:r>
        <w:t xml:space="preserve"> finland, required, well; EU scope visible. This is a provisional connection, not an outcome finding.</w:t>
      </w:r>
    </w:p>
    <w:p>
      <w:pPr>
        <w:pStyle w:val="SourceNote"/>
      </w:pPr>
      <w:r>
        <w:rPr>
          <w:b/>
        </w:rPr>
        <w:t>Available abstract (not full text):</w:t>
      </w:r>
      <w:r>
        <w:t xml:space="preserve"> Fresh graduates or career changers face challenges entering the competitive cybersecurity job market. Cybersecurity is evolving rapidly, and even professionals must put in extra effort to keep themselves updated and competent. Most existing studies on the competency requirements in the Finnish job market are based on surveys, literature reviews, and trends, and in-depth work-life skills analysis is limited. This phenomenon makes Finnish higher education institutes’ work challenging because they need to train graduates for the local, European and global job markets with relevant work-life skills, and in-depth input from the workforce is essential. This study aims to find more in-depth input from the work-life. It identifies the work-life skills required in the cybersecurity service and consultancy business, particularly for junior-level positions available to fresh graduates in the Finnish job market. The case study is based on in-depth interviews with eight representatives from five companies that offer cybersecurity services in Finland. The interviewees had 5 to 24 years of working experience and represented positions ranging from technical experts to directors. The data was analyzed using an AI-aided analysis methodology, the enhanced European Joint Research Center Cybersecurity Taxonomy and the European Catalogue of Soft Skills References to ensure a comprehensive and job ma</w:t>
      </w:r>
    </w:p>
    <w:p>
      <w:pPr/>
      <w:r>
        <w:rPr>
          <w:b/>
        </w:rPr>
        <w:t>POSSIBLE 2025:</w:t>
      </w:r>
      <w:r>
        <w:t xml:space="preserve"> Integrating plasma proteomics and genome-wide association data to identify therapeutic targets for retinal neurodegenerative diseases in Europeans — https://doi.org/10.18240/ijo.2025.11.21</w:t>
      </w:r>
    </w:p>
    <w:p>
      <w:pPr/>
      <w:r>
        <w:rPr>
          <w:b/>
        </w:rPr>
        <w:t>Shared claim-specific concepts:</w:t>
      </w:r>
      <w:r>
        <w:t xml:space="preserve"> aim, identify, promising, explore; EU scope visible. This is a provisional connection, not an outcome finding.</w:t>
      </w:r>
    </w:p>
    <w:p>
      <w:pPr>
        <w:pStyle w:val="SourceNote"/>
      </w:pPr>
      <w:r>
        <w:rPr>
          <w:b/>
        </w:rPr>
        <w:t>Available abstract (not full text):</w:t>
      </w:r>
      <w:r>
        <w:t xml:space="preserve"> AIM: To employ proteome-wide Mendelian randomization (MR) to explore novel protein and drug targets for retinal neurodegenerative diseases (RND) in individuals of European ancestry. METHODS: This study used summary data-based MR to analyze the correlation between plasma protein levels and three RND, with protein data derived from two independent large-scale proteomics datasets. Potential drug targets were identified using Bayesian colocalization, followed by MR analysis, sensitivity testing, and external validation. Drug prediction and molecular docking were conducted to evaluate the druggability of the target proteins. RESULTS: The study identified six promising protein targets, each successfully replicated at least twice. The results included three proteins related to diabetic retinopathy (ICAM1, GCKR, WARS), two proteins related to age-related macular degeneration (WARS, BRD2), and two proteins related to glaucoma (SVEP1, NPTXR). Additionally, drug prediction and molecular docking indicated that five drugs (fenofibrate, trofinetide, ticagrelor, lifitegrast, acetaminophen) effectively bound to the target proteins. CONCLUSION: This study identified six potential protein targets for RND and five existing drugs with therapeutic potential. By integrating plasma proteomics with genetic data, it provides a cost-effective framework for drug discovery.</w:t>
      </w:r>
    </w:p>
    <w:p>
      <w:pPr>
        <w:pStyle w:val="Heading2"/>
      </w:pPr>
      <w:r>
        <w:t>603. Hydrogen in the Strategies of the European Union Member States</w:t>
      </w:r>
    </w:p>
    <w:p>
      <w:pPr>
        <w:pStyle w:val="SourceNote"/>
      </w:pPr>
      <w:r>
        <w:rPr>
          <w:b/>
        </w:rPr>
        <w:t>Original source (2021):</w:t>
      </w:r>
      <w:r>
        <w:t xml:space="preserve"> https://doi.org/10.24425/gsm.2021.138660</w:t>
      </w:r>
    </w:p>
    <w:p>
      <w:pPr/>
      <w:r>
        <w:t>Original wording (abstract; indexed_source_text_not_full_document_verified): By 2030, some of the countries plan to become a leader not only in the field of hydrogen production or RES development aimed at this process but also in the areas of research and development (R&amp;D), sales of new technologies, and international cooperation. The analysis of the future of hydrogen energy, which is an essential component of transforming the economy into an environmentally neutral one, is an integral part of the strategies of the European Union (EU) Member States.</w:t>
      </w:r>
    </w:p>
    <w:p>
      <w:pPr/>
      <w:r>
        <w:rPr>
          <w:b/>
        </w:rPr>
        <w:t>POSSIBLE 2026:</w:t>
      </w:r>
      <w:r>
        <w:t xml:space="preserve"> Understanding the Saudi Arabia planning permit process: a comparative analysis with European countries — https://doi.org/10.1080/09613218.2026.2651160</w:t>
      </w:r>
    </w:p>
    <w:p>
      <w:pPr/>
      <w:r>
        <w:rPr>
          <w:b/>
        </w:rPr>
        <w:t>Shared claim-specific concepts:</w:t>
      </w:r>
      <w:r>
        <w:t xml:space="preserve"> countries, process; EU scope visible. This is a provisional connection, not an outcome finding.</w:t>
      </w:r>
    </w:p>
    <w:p>
      <w:pPr>
        <w:pStyle w:val="SourceNote"/>
      </w:pPr>
      <w:r>
        <w:rPr>
          <w:b/>
        </w:rPr>
        <w:t>Available abstract (not full text):</w:t>
      </w:r>
      <w:r>
        <w:t xml:space="preserve"> A planning permit is required before starting any construction. It involves a comprehensive review by authorities to ensure compliance with planning and building regulations. In Saudi Arabia, this process plays a crucial role in regulating urban development – the urban population is growing, with consequent increased demand for housing and a rise in planning permit applications. This places significant pressure on municipal authorities to process applications, currently a relatively slow process owing to inefficiencies in traditional workflows and the labour-intensive nature of the review process. Work is underway to improve the situation, as part of Saudi Arabia’s ‘Vision 2030’, which includes objectives for digital transformation and efficient governance. This study investigates these new developments and compares the new approaches with those from several European countries, to understand similarities and differences, and in particular, identify best practices and commonalities for future processes and systems development. Document analysis and semi-structured interviews are combined to determine procedural structures, stakeholder roles and business rules, which are then embedded into an established framework to facilitate comparison. The results provide a systematic, comparable description of the planning permit process of Saudi Arabia, and derive lessons learned from the c</w:t>
      </w:r>
    </w:p>
    <w:p>
      <w:pPr/>
      <w:r>
        <w:rPr>
          <w:b/>
        </w:rPr>
        <w:t>POSSIBLE 2026:</w:t>
      </w:r>
      <w:r>
        <w:t xml:space="preserve"> The Process and Effectiveness of Strategic Planning in Higher Education: Evidence From Five European Countries — https://doi.org/10.1111/ejed.70585</w:t>
      </w:r>
    </w:p>
    <w:p>
      <w:pPr/>
      <w:r>
        <w:rPr>
          <w:b/>
        </w:rPr>
        <w:t>Shared claim-specific concepts:</w:t>
      </w:r>
      <w:r>
        <w:t xml:space="preserve"> countries, process; EU scope visible. This is a provisional connection, not an outcome finding.</w:t>
      </w:r>
    </w:p>
    <w:p>
      <w:pPr>
        <w:pStyle w:val="SourceNote"/>
      </w:pPr>
      <w:r>
        <w:rPr>
          <w:b/>
        </w:rPr>
        <w:t>Available abstract (not full text):</w:t>
      </w:r>
      <w:r>
        <w:t xml:space="preserve"> ABSTRACT The paper aims at investigating the strategic planning process and its perceived effectiveness in universities based on evidence from five European countries (UK, Sweden, Greece, Cyprus and the Netherlands) and 10 higher education institutions. The investigation focused on the following: the characteristics of the strategic planning process; stakeholder involvement in strategic planning and their role in the process; and the major problems faced in relation to the effectiveness of strategic planning. The elements investigated relate to the process and effectiveness of strategic planning in an attempt to examine the development of strategy by higher education institutions and its perceived effectiveness. Qualitative research was used to collect data from academics and/or high‐ranking administrators with a role in the institutional strategic planning process. The data were subjected to thematic analysis. According to the findings, universities were more likely to subscribe to a top‐down model in strategic planning. Respondents drew attention to three categories of problems and/or limitations associated with the strategic planning process, namely, human resources/stakeholder problems, technical/content‐related problems, and external limitations and restrictions. The paper attempts to inform the higher education literature by providing evidence from five countries on an un</w:t>
      </w:r>
    </w:p>
    <w:p>
      <w:pPr/>
      <w:r>
        <w:rPr>
          <w:b/>
        </w:rPr>
        <w:t>POSSIBLE 2025:</w:t>
      </w:r>
      <w:r>
        <w:t xml:space="preserve"> How Transit Countries Become Refugee Destinations: Insights From Central and Eastern Europe — https://doi.org/10.1111/imig.70066</w:t>
      </w:r>
    </w:p>
    <w:p>
      <w:pPr/>
      <w:r>
        <w:rPr>
          <w:b/>
        </w:rPr>
        <w:t>Shared claim-specific concepts:</w:t>
      </w:r>
      <w:r>
        <w:t xml:space="preserve"> countries, become, only, also, international; EU scope visible. This is a provisional connection, not an outcome finding.</w:t>
      </w:r>
    </w:p>
    <w:p>
      <w:pPr>
        <w:pStyle w:val="SourceNote"/>
      </w:pPr>
      <w:r>
        <w:rPr>
          <w:b/>
        </w:rPr>
        <w:t>Available abstract (not full text):</w:t>
      </w:r>
      <w:r>
        <w:t xml:space="preserve"> ABSTRACT This study examines how refugees' destination preferences evolve during transit, focusing on three Central and Eastern European countries—Bulgaria, Romania, and Hungary—traditionally regarded as ‘transit only’ prior to the Ukraine refugee crisis. Using a mixed‐methods approach, we first analyse 2252 observations from the International Organisation for Migration's Flow Monitoring Surveys to identify the main factors influencing changes in destination choices. We then complement these findings with qualitative data from focus groups with 16 asylum seekers in Romania to explore these dynamics in depth. Our results show that prioritising safety significantly increases the likelihood of asylum seekers reconsidering a transit country as a potential destination. Other influential factors include asylum conditions, migration costs, and educational background, with more educated individuals more likely to revise initial plans. Although our primary focus is on asylum seekers, we find that high migration costs also affect decisions, suggesting a need to ‘recover’ investments through settlement in more stable or economically attractive countries. The qualitative findings support the quantitative results, highlighting the role of legal stability, social networks, and perceived opportunity in shifting preferences. Overall, the study suggests that under certain conditions, transit co</w:t>
      </w:r>
    </w:p>
    <w:p>
      <w:pPr/>
      <w:r>
        <w:rPr>
          <w:b/>
        </w:rPr>
        <w:t>POSSIBLE 2025:</w:t>
      </w:r>
      <w:r>
        <w:t xml:space="preserve"> EUROPEAN GREEN PLAN – NEW DIRECTIONS OF ECONOMIC DEVELOPMENT OF THE EUROPEAN UNION — https://doi.org/10.46793/87143.26.5.021d</w:t>
      </w:r>
    </w:p>
    <w:p>
      <w:pPr/>
      <w:r>
        <w:rPr>
          <w:b/>
        </w:rPr>
        <w:t>Shared claim-specific concepts:</w:t>
      </w:r>
      <w:r>
        <w:t xml:space="preserve"> countries, plan, become, production, international, cooperation; EU scope visible. This is a provisional connection, not an outcome finding.</w:t>
      </w:r>
    </w:p>
    <w:p>
      <w:pPr>
        <w:pStyle w:val="SourceNote"/>
      </w:pPr>
      <w:r>
        <w:rPr>
          <w:b/>
        </w:rPr>
        <w:t>Available abstract (not full text):</w:t>
      </w:r>
      <w:r>
        <w:t xml:space="preserve"> Disruptions in the system of international economic relations following the Covid-19 pandemic have put global supply chains and world capital markets at risk, affecting key sectors of industrial production, energy and services. Many countries have experienced a decrease in GDP and an increase in public debt as a result of the severe recessionary impact. The negative economic effects have become increasingly visible on the global social level, which has necessitated a stronger multilateral response based on clear and transparent rules and principles based on solidarity, unity and international cooperation. The European Union (EU), as the second largest global economy, has taken a leading role in addressing the global crisis, working closely with key international institutions. Given the dimensions of the disruption in the system of international economic relations, the EU is striving to adapt to the crisis situation by establishing new priorities for international cooperation and taking decisive measures to prevent and remedy the negative consequences of the economic crisis. Working on the adoption of strategic documents and action plans, the EU has adopted the European Green Deal as a set of strategically important documents that present a new approach to the transformation of the European economy in line with the global agenda for the world future.</w:t>
      </w:r>
    </w:p>
    <w:p>
      <w:pPr/>
      <w:r>
        <w:rPr>
          <w:b/>
        </w:rPr>
        <w:t>POSSIBLE 2025:</w:t>
      </w:r>
      <w:r>
        <w:t xml:space="preserve"> Adaptation to Climate Change in Coastal Countries of the European Union—An Evaluation of Plans and Strategies — https://doi.org/10.3390/app15116281</w:t>
      </w:r>
    </w:p>
    <w:p>
      <w:pPr/>
      <w:r>
        <w:rPr>
          <w:b/>
        </w:rPr>
        <w:t>Shared claim-specific concepts:</w:t>
      </w:r>
      <w:r>
        <w:t xml:space="preserve"> countries, areas, essential; EU scope visible. This is a provisional connection, not an outcome finding.</w:t>
      </w:r>
    </w:p>
    <w:p>
      <w:pPr>
        <w:pStyle w:val="SourceNote"/>
      </w:pPr>
      <w:r>
        <w:rPr>
          <w:b/>
        </w:rPr>
        <w:t>Available abstract (not full text):</w:t>
      </w:r>
      <w:r>
        <w:t xml:space="preserve"> A Climate change and its adverse effects are now the greatest threats faced by society. As a consequence, it is essential to adopt strategic instruments and adaptation measures – especially in the most vulnerable and susceptible areas, such as coastal zones. An analysis has been carried out on the instruments and adaptation measures designed to combat the effects of climate change in coastal countries of the European Union. A bibliographic search of technical and scientific documents has been carried out using various information platforms. Strategic planning instruments were subsequently studied and adaptation measures were classified. The results of this study indicate that, in relation to strategic instruments, there has been a significant and progressive increase in the adoption of adaptation plans and strategies that address problems faced by coastal areas. Physical-structural adaptation measures are the most widely used, especially ecosystem-based and engineering measures, even in specific projects implemented at different territorial scales of governance. One of the main conclusions drawn from the analysis is that, from an operational perspective, the local scale is the most suitable for implementing adaptation measures.</w:t>
      </w:r>
    </w:p>
    <w:p>
      <w:pPr/>
      <w:r>
        <w:rPr>
          <w:b/>
        </w:rPr>
        <w:t>POSSIBLE 2025:</w:t>
      </w:r>
      <w:r>
        <w:t xml:space="preserve"> Profiling Land Use Planning: Legislative Structures in Five European Nations — https://doi.org/10.3390/land14061261</w:t>
      </w:r>
    </w:p>
    <w:p>
      <w:pPr/>
      <w:r>
        <w:rPr>
          <w:b/>
        </w:rPr>
        <w:t>Shared claim-specific concepts:</w:t>
      </w:r>
      <w:r>
        <w:t xml:space="preserve"> countries, become; EU scope visible. This is a provisional connection, not an outcome finding.</w:t>
      </w:r>
    </w:p>
    <w:p>
      <w:pPr>
        <w:pStyle w:val="SourceNote"/>
      </w:pPr>
      <w:r>
        <w:rPr>
          <w:b/>
        </w:rPr>
        <w:t>Available abstract (not full text):</w:t>
      </w:r>
      <w:r>
        <w:t xml:space="preserve"> Land use transformation, the longest-standing human-driven environmental alteration, is a pressing and complex issue that significantly impacts European landscapes and contributes to global environmental change. The urgency to act is reinforced by the European Environment Agency (EEA), which identifies industrial, commercial, and residential development—particularly near major urban centers—as key contributors to land take. As the EU sets a vision for achieving zero net land take by 2050, assessing the readiness and coherence of national legislation becomes critical. This comprehensive study employs a comparative legal analysis across five European countries—Italy, Greece, Poland, France, and Ukraine—examining their laws, strategies, and commitments related to land degradation neutrality. Using a review of national legislation and policy documents, the research identifies systemic patterns, barriers, and opportunities within current legal frameworks. The present study aims to provide valuable insights for policymakers, planners, and academic institutions, fostering a comprehensive understanding of existing gaps, implementation, and inconsistencies in national land use legislation. Among the results, it has become evident that a typical “pathway” between the examined states in terms of the legislative framework on land use–land take is probably a utopia for the time being. The l</w:t>
      </w:r>
    </w:p>
    <w:p>
      <w:pPr/>
      <w:r>
        <w:rPr>
          <w:b/>
        </w:rPr>
        <w:t>POSSIBLE 2025:</w:t>
      </w:r>
      <w:r>
        <w:t xml:space="preserve"> A critical analysis of national dementia plans: comparison of preventive strategies in five European countries. — https://doi.org/10.7416/ai.2025.2702</w:t>
      </w:r>
    </w:p>
    <w:p>
      <w:pPr/>
      <w:r>
        <w:rPr>
          <w:b/>
        </w:rPr>
        <w:t>Shared claim-specific concepts:</w:t>
      </w:r>
      <w:r>
        <w:t xml:space="preserve"> countries, plan, not, only, but, also; EU scope visible. This is a provisional connection, not an outcome finding.</w:t>
      </w:r>
    </w:p>
    <w:p>
      <w:pPr>
        <w:pStyle w:val="SourceNote"/>
      </w:pPr>
      <w:r>
        <w:rPr>
          <w:b/>
        </w:rPr>
        <w:t>Available abstract (not full text):</w:t>
      </w:r>
      <w:r>
        <w:t xml:space="preserve"> Background: Preventive measures can avert up to 45% of dementia cases worldwide. The aim of the study is to analyse some selected national dementia prevention strategic plans. Methods: A qualitative comparative analysis was performed between national dementia plans of the European countries with the best healthy life expectancy among the elderly. The national dementia plans of France, Ireland, Italy, Spain and Sweden were included. The consensus on priority actions and key elements of prevention policies was evaluated, according to the World Health Organization recommendations and to an analysis tool designed for evaluating chronic diseases policies. Results: All the countries emphasized the importance of prevention policies within their dementia plans and established monitoring committees. However, not all countries defined timelines for policy implementation and only Spain updated its national plan so far. The integration of dementia prevention with other chronic disease preventive campaigns is still lacking, and also a clear allocation of funds for dementia plans is absent so far. Conclusions: All countries extensively followed the World Health Organization's recommendations. However, the plans have not been updated. Thus, they do not address all the current known risk factors for dementia, preventing only a fraction of potentially preventable cases. Moreover, the need for f</w:t>
      </w:r>
    </w:p>
    <w:p>
      <w:pPr/>
      <w:r>
        <w:rPr>
          <w:b/>
        </w:rPr>
        <w:t>POSSIBLE 2025:</w:t>
      </w:r>
      <w:r>
        <w:t xml:space="preserve"> DIGITAL TRANSFORMATION OF GOVERNMENT IN THE EUROPEAN UNION COUNTRIES — https://openalex.org/W7220613609</w:t>
      </w:r>
    </w:p>
    <w:p>
      <w:pPr/>
      <w:r>
        <w:rPr>
          <w:b/>
        </w:rPr>
        <w:t>Shared claim-specific concepts:</w:t>
      </w:r>
      <w:r>
        <w:t xml:space="preserve"> countries, plan, not, only, process, but; EU scope visible. This is a provisional connection, not an outcome finding.</w:t>
      </w:r>
    </w:p>
    <w:p>
      <w:pPr>
        <w:pStyle w:val="SourceNote"/>
      </w:pPr>
      <w:r>
        <w:rPr>
          <w:b/>
        </w:rPr>
        <w:t>Available abstract (not full text):</w:t>
      </w:r>
      <w:r>
        <w:t xml:space="preserve"> The article examines trends, models, and effective practices of government digital transformation in the European Union countries. Based on the analysis of strategic documents of the European Commission – Digital Europe Programme (2021–2027), European Interoperability Framework, Data Governance Act, Interoperable Europe Act, and eGovernment Action Plan (2016–2020) – the institutional foundations for forming a unified European digital space are revealed. It is determined that the digitalization of government processes is not only a technological but also a structural factor in the modernization of public administration, ensuring efficiency, transparency, and citizen trust in authorities. A comparative analysis of the E-Government Development Index (EGDI) for 2018–2024 was conducted, revealing the leadership of Denmark, Estonia, Finland, and the Netherlands, as well as gradual progress in Central European countries. A classification of institutional models of digital governance is proposed: centralized (Estonia model), decentralized (Germany model), and mixed (Poland model), each with its own advantages and challenges. A direct correlation between the level of digitalization (EGDI) and the quality of government (QoG) has been established, indicating the impact of digital innovations on integrity and the effectiveness of state policy. Key problems are outlined – infrastructure fra</w:t>
      </w:r>
    </w:p>
    <w:p>
      <w:pPr/>
      <w:r>
        <w:rPr>
          <w:b/>
        </w:rPr>
        <w:t>POSSIBLE 2025:</w:t>
      </w:r>
      <w:r>
        <w:t xml:space="preserve"> Transforming the European Central Bank into an international settlement institution: The Keynes Plan revisited — https://doi.org/10.4337/9781035324279.00019</w:t>
      </w:r>
    </w:p>
    <w:p>
      <w:pPr/>
      <w:r>
        <w:rPr>
          <w:b/>
        </w:rPr>
        <w:t>Shared claim-specific concepts:</w:t>
      </w:r>
      <w:r>
        <w:t xml:space="preserve"> countries, plan, not, international, essential, transforming; EU scope visible. This is a provisional connection, not an outcome finding.</w:t>
      </w:r>
    </w:p>
    <w:p>
      <w:pPr>
        <w:pStyle w:val="SourceNote"/>
      </w:pPr>
      <w:r>
        <w:rPr>
          <w:b/>
        </w:rPr>
        <w:t>Available abstract (not full text):</w:t>
      </w:r>
      <w:r>
        <w:t xml:space="preserve"> This chapter focuses on the monetary–structural needs to provide for payment finality at the international level within the euro area, in light of the flaws of the TARGET2 system as shown by the euro-area crisis that burst near the end of 2009. The first section explains the monetary–structural origins of such a crisis, which are to be found in the TARGET2 system. The second section points out the conceptual difference between the European single currency (the euro) and a much-needed common currency in Europe, so much so that the monetary policy decisions taken by the European Central Bank are not appropriate for all euro-area countries. The third section expands on the workings of the European Central Bank once the latter becomes an international settlement institution – which is essential to make sure payments are final between any two euro-area countries. The last section concludes with some political-economy remarks about the feasibility of such a monetary–structural reform in the spirit of Keynes's (1944) Plan.</w:t>
      </w:r>
    </w:p>
    <w:p>
      <w:pPr/>
      <w:r>
        <w:rPr>
          <w:b/>
        </w:rPr>
        <w:t>POSSIBLE 2025:</w:t>
      </w:r>
      <w:r>
        <w:t xml:space="preserve"> PECULIARITIES OF THE PUBLIC SPACES FORMATION IN RURAL AREA OF EUROPEAN COUNTRIES — https://doi.org/10.32347/2076-815x.2025.90.169-180</w:t>
      </w:r>
    </w:p>
    <w:p>
      <w:pPr/>
      <w:r>
        <w:rPr>
          <w:b/>
        </w:rPr>
        <w:t>Shared claim-specific concepts:</w:t>
      </w:r>
      <w:r>
        <w:t xml:space="preserve"> countries, become, not, only, field, process; EU scope visible. This is a provisional connection, not an outcome finding.</w:t>
      </w:r>
    </w:p>
    <w:p>
      <w:pPr>
        <w:pStyle w:val="SourceNote"/>
      </w:pPr>
      <w:r>
        <w:rPr>
          <w:b/>
        </w:rPr>
        <w:t>Available abstract (not full text):</w:t>
      </w:r>
      <w:r>
        <w:t xml:space="preserve"> The article is devoted to an important issue – the development of high-quality public space in united territorial communities as the basis of their social cohesion, local identity and sustainable development. These issues have become particularly relevant in the period of modern transformations. They are associated with decentralization, the urbanization process and socio-economic changes in rural areas in Ukraine. Currently, there is a need for a comprehensive analysis of existing approaches to the development of such places. This is especially relevant in the conditions of martial law in Ukraine, resource constraints, demographic decline and insufficient attention to spatial planning in the field. The experience of foreign countries is important in this area. Therefore, the identification and analysis of interesting examples of the formation of public spaces in rural areas of European countries is the goal of this publication. To achieve this goal, an analysis of the works of previous scholars, a comparative analysis of public spaces in European territories, their functional analysis, and a field survey of objects were used. Interesting examples of solutions for public spaces in towns and rural areas of Poland, Slovakia, the Netherlands, Denmark, Finland, and Latvia are revealed in the article. The importance of this topic is emphasized, and the low level of study of such pub</w:t>
      </w:r>
    </w:p>
    <w:p>
      <w:pPr/>
      <w:r>
        <w:rPr>
          <w:b/>
        </w:rPr>
        <w:t>POSSIBLE 2025:</w:t>
      </w:r>
      <w:r>
        <w:t xml:space="preserve"> VAT IN POLAND AND SELECTED EUROPEAN UNION COUNTRIES — https://doi.org/10.29119/1641-3466.2025.220.10</w:t>
      </w:r>
    </w:p>
    <w:p>
      <w:pPr/>
      <w:r>
        <w:rPr>
          <w:b/>
        </w:rPr>
        <w:t>Shared claim-specific concepts:</w:t>
      </w:r>
      <w:r>
        <w:t xml:space="preserve"> countries, only, aimed, also; EU scope visible. This is a provisional connection, not an outcome finding.</w:t>
      </w:r>
    </w:p>
    <w:p>
      <w:pPr>
        <w:pStyle w:val="SourceNote"/>
      </w:pPr>
      <w:r>
        <w:rPr>
          <w:b/>
        </w:rPr>
        <w:t>Available abstract (not full text):</w:t>
      </w:r>
      <w:r>
        <w:t xml:space="preserve"> Purpose: The aim of this study is to identify how the VAT rate in Poland compares to other European Union countries. Additionally, the article aims to emphasize the essence of harmonization of the tax systems of EU countries in the context of this tax and to point out problems with its collection. The study aims to identify similarities and differences in the VAT structure and rates. Methodology: This study employed a comparative analysis to examine the VAT system in Poland and selected European Union countries. The research covers Poland and other EU Member States, with the analysis based on data from 2023, which remains valid in the following year. Secondary data were sourced from the Official Website of the European Union. A comparative analysis of standard VAT rates and reduced rates across EU countries was conducted, focusing on both their number and values. The data were also subjected to statistical and descriptive analyses. Findings: The results of the study indicate that the tax arrangements for goods and services tax vary across EU Member States. This variation arises from EU regulations, which allow for a degree of discretion by setting only a lower limit for the standard rate. Member States are then permitted to apply rates suited to their individual needs, provided they comply with EU requirements. Compared to the approaches adopted in other countries, Poland’s sta</w:t>
      </w:r>
    </w:p>
    <w:p>
      <w:pPr/>
      <w:r>
        <w:rPr>
          <w:b/>
        </w:rPr>
        <w:t>POSSIBLE 2025:</w:t>
      </w:r>
      <w:r>
        <w:t xml:space="preserve"> What Germany's medium-term fiscal plan means for Europe — https://openalex.org/W7116602019</w:t>
      </w:r>
    </w:p>
    <w:p>
      <w:pPr/>
      <w:r>
        <w:rPr>
          <w:b/>
        </w:rPr>
        <w:t>Shared claim-specific concepts:</w:t>
      </w:r>
      <w:r>
        <w:t xml:space="preserve"> countries, plan, not, only, but; EU scope visible. This is a provisional connection, not an outcome finding.</w:t>
      </w:r>
    </w:p>
    <w:p>
      <w:pPr>
        <w:pStyle w:val="SourceNote"/>
      </w:pPr>
      <w:r>
        <w:rPr>
          <w:b/>
        </w:rPr>
        <w:t>Available abstract (not full text):</w:t>
      </w:r>
      <w:r>
        <w:t xml:space="preserve"> Germany's July 2025 medium-term fiscal-structural plan exposes the tension between raising public investment in a low-risk country and the requirement in European Union fiscal rules for member state debt to comply with the 60 percent of GDP public debt ratio benchmark. Germany's plan seeks to reconcile this tension by adopting overly optimistic GDP growth and inflation assumptions, and by proposing a large, backloaded fiscal adjustment. The European Commission endorsed the plan without rigorously assessing these assumptions. Under more realistic economic assumptions, both the budget deficit and the public debt would be significantly higher than the plan's projections. Rather than beginning to fall by the end of the allowed seven-year adjustment period, German debt will likely continue to rise, even if Germany keeps its promise to sharply reduce expenditure growth after 2026. This outcome would be inconsistent with the EU fiscal framework, but not threaten the sustainability of German public debt, as the fiscal adjustment required to stabilise the debt would remain feasible. Germany will likely ultimately deliver the necessary consolidation, but over a longer period than foreseen by the EU rules. However, the Commission's approval of the German plan establishes a precedent that could undermine the credibility of the EU's fiscal framework. Other EU countries may cite the Commissi</w:t>
      </w:r>
    </w:p>
    <w:p>
      <w:pPr>
        <w:pStyle w:val="Heading2"/>
      </w:pPr>
      <w:r>
        <w:t>604. Imagining the future with citizens: participatory foresight and democratic policy design in Marcoussis, France</w:t>
      </w:r>
    </w:p>
    <w:p>
      <w:pPr>
        <w:pStyle w:val="SourceNote"/>
      </w:pPr>
      <w:r>
        <w:rPr>
          <w:b/>
        </w:rPr>
        <w:t>Original source (2021):</w:t>
      </w:r>
      <w:r>
        <w:t xml:space="preserve"> https://doi.org/10.1080/25741292.2021.1930687</w:t>
      </w:r>
    </w:p>
    <w:p>
      <w:pPr/>
      <w:r>
        <w:t>Original wording (abstract; indexed_source_text_not_full_document_verified): We will see in the preliminary part of this paper, the many challenges that undermine not only the functioning of democratic processes but also the citizens’ role and sense of agency in the governance of the society they live in, as well as the role of elected officials and experts regarding agenda-setting, then we will look into the lack of future thinking not only in the political sphere but also the educational and social practices, analyze the values of participatory processes and its potential limits and risks and finally review an experimental case of participatory foresight and policy design from the small town of Marcoussis (France) which successfully conducted a participatory agenda-setting experiment—and voted—after a 2 years-long process, their local agenda for the future together with its inhabitants, civil servants and elected officials.</w:t>
      </w:r>
    </w:p>
    <w:p>
      <w:pPr/>
      <w:r>
        <w:rPr>
          <w:b/>
        </w:rPr>
        <w:t>POSSIBLE 2026:</w:t>
      </w:r>
      <w:r>
        <w:t xml:space="preserve"> Droughts in South East Europe (SEE): current picture, tendencies and impact — https://doi.org/10.5194/nhess-26-1305-2026</w:t>
      </w:r>
    </w:p>
    <w:p>
      <w:pPr/>
      <w:r>
        <w:rPr>
          <w:b/>
        </w:rPr>
        <w:t>Shared claim-specific concepts:</w:t>
      </w:r>
      <w:r>
        <w:t xml:space="preserve"> see, challenges, only; EU scope visible. This is a provisional connection, not an outcome finding.</w:t>
      </w:r>
    </w:p>
    <w:p>
      <w:pPr>
        <w:pStyle w:val="SourceNote"/>
      </w:pPr>
      <w:r>
        <w:rPr>
          <w:b/>
        </w:rPr>
        <w:t>Available abstract (not full text):</w:t>
      </w:r>
      <w:r>
        <w:t xml:space="preserve"> Abstract. Droughts are among the major challenges facing Europe and pose a significant threat to food security on a continental scale. The shifting of climatic zones is forcing societies to adopt measures to cope with climate extremes. However, the pace of adaptation is much slower than the rate of change observed over the past decade. The most developed economies in Europe are already progressing toward implementing strategies aligned with the Sustainable Development Goals. One of the key scientific objectives is to support this adaptation by providing data-driven decision-making tools at both regional and national levels. At the same time, in some European countries, the understanding of drought remains uncertain. Even basic hazard assessments lack coherence, and methodologically sound and systematic vulnerability assessments are often entirely absent. This paper aims to uncover the drought research agenda over the past ten years for nine countries in Southeast Europe. Using a structured query in the SCOPUS database, we attempted to systematize scientific knowledge on drought exposure in the region and identify “white spots” and gaps in knowledge at both country and regional levels. Our findings show a significant increase in the number of research papers focused on various aspects of drought in these nine countries over the last decade. However, for Montenegro, Albania, Slov</w:t>
      </w:r>
    </w:p>
    <w:p>
      <w:pPr/>
      <w:r>
        <w:rPr>
          <w:b/>
        </w:rPr>
        <w:t>POSSIBLE 2026:</w:t>
      </w:r>
      <w:r>
        <w:t xml:space="preserve"> Comment of the European Copyright Society on the Request for Preliminary Ruling in Case C-250/25 (Like Company) — https://doi.org/10.1007/s40319-026-01717-6</w:t>
      </w:r>
    </w:p>
    <w:p>
      <w:pPr/>
      <w:r>
        <w:rPr>
          <w:b/>
        </w:rPr>
        <w:t>Shared claim-specific concepts:</w:t>
      </w:r>
      <w:r>
        <w:t xml:space="preserve"> preliminary, part, not, but, also, society; EU scope visible. This is a provisional connection, not an outcome finding.</w:t>
      </w:r>
    </w:p>
    <w:p>
      <w:pPr>
        <w:pStyle w:val="SourceNote"/>
      </w:pPr>
      <w:r>
        <w:rPr>
          <w:b/>
        </w:rPr>
        <w:t>Available abstract (not full text):</w:t>
      </w:r>
      <w:r>
        <w:t xml:space="preserve"> Abstract The reference in Like Company v Google (Case C-250/25) is seen as a potential landmark case, giving the EU’s highest court the opportunity to define the scope and conditions of permitted artificial intelligence (AI) training and develop an infringement test for AI outputs. The European Copyright Society (ECS) urges the Court of Justice (sitting as a Grand Chamber) to exercise caution. While the reference stems from a plausible complaint by a press publisher against the provider of an AI powered chatbot reproducing and communicating its editorial content, the implications of this problematic reference could be far-reaching. The reference is factually murky with respect to the technology and services at stake, conflating concepts of “chatbot”, “large language model”, and “search engine”. The reference fails to identify consistently the subject matter at stake, which is the press publishers’ right under Art. 15 of the Copyright in the Digital Single Market Directive (2019/790/EU, hereinafter CDSMD), not authorial works. Specifically, the reference conflates questions relating to the training phase (Questions 2 and 3) with the legal characterisation of the use of press publications by an LLM-based chatbot (Question 4 but also Question 1, referring to the right of communication to the public and the right of reproduction under Directive 2001/29/EC, hereinafter the InfoSoc D</w:t>
      </w:r>
    </w:p>
    <w:p>
      <w:pPr/>
      <w:r>
        <w:rPr>
          <w:b/>
        </w:rPr>
        <w:t>POSSIBLE 2025:</w:t>
      </w:r>
      <w:r>
        <w:t xml:space="preserve"> The Croatian judiciary on the path to Europeanization. Preliminary study — https://openalex.org/W7116588132</w:t>
      </w:r>
    </w:p>
    <w:p>
      <w:pPr/>
      <w:r>
        <w:rPr>
          <w:b/>
        </w:rPr>
        <w:t>Shared claim-specific concepts:</w:t>
      </w:r>
      <w:r>
        <w:t xml:space="preserve"> preliminary, challenges, only; EU scope visible. This is a provisional connection, not an outcome finding.</w:t>
      </w:r>
    </w:p>
    <w:p>
      <w:pPr>
        <w:pStyle w:val="SourceNote"/>
      </w:pPr>
      <w:r>
        <w:rPr>
          <w:b/>
        </w:rPr>
        <w:t>Available abstract (not full text):</w:t>
      </w:r>
      <w:r>
        <w:t xml:space="preserve"> The Croatian judiciary on the path to Europeanization. Preliminary study 4Croatia's path to European integration was unusual and faced numerous challenges.The first and most decisive step was the war of independence to gain autonomy.After that, the country had to deal with the serious consequences of the war, including the refugee issue, the question of abolition and amnesty, the strengthening of the rule of law, and the protection of the rights of national minorities.Only after these fundamental problems had been addressed was it possible to start the process of European integration.It is clear from all this that Croatia's accession to the EU was much more complex and difficult than that of other post-socialist states, and that it had to meet stricter requirements.The process of European integration can be divided into two distinct phases.The first stage was characterized by the struggle to establish national identity, the war for independence, and shortcomings in democracy and the rule of law.The second stage can be placed in the period following the major EU enlargement of 2004, when the accession process stalled.At that time, Croatia began accession negotiations when the European Union had already changed its attitude towards further enlargement and imposed new, stricter requirements on candidate countries.</w:t>
      </w:r>
    </w:p>
    <w:p>
      <w:pPr/>
      <w:r>
        <w:rPr>
          <w:b/>
        </w:rPr>
        <w:t>POSSIBLE 2025:</w:t>
      </w:r>
      <w:r>
        <w:t xml:space="preserve"> Continuing recovery of wolves in Europe — https://doi.org/10.1371/journal.pstr.0000158</w:t>
      </w:r>
    </w:p>
    <w:p>
      <w:pPr/>
      <w:r>
        <w:rPr>
          <w:b/>
        </w:rPr>
        <w:t>Shared claim-specific concepts:</w:t>
      </w:r>
      <w:r>
        <w:t xml:space="preserve"> challenges, role, well; EU scope visible. This is a provisional connection, not an outcome finding.</w:t>
      </w:r>
    </w:p>
    <w:p>
      <w:pPr>
        <w:pStyle w:val="SourceNote"/>
      </w:pPr>
      <w:r>
        <w:rPr>
          <w:b/>
        </w:rPr>
        <w:t>Available abstract (not full text):</w:t>
      </w:r>
      <w:r>
        <w:t xml:space="preserve"> The recovery of wolves ( Canis lupus ) across Europe is a notable conservation success in a region with extensive human alteration of landscapes and high human population densities. We provide a comprehensive update on wolf populations in Europe, estimated at over 21,500 individuals by 2022, representing a 58% increase over the past decade. Despite the challenges of high human densities and significant land use for agriculture, industry, and urbanization, wolves have demonstrated remarkable adaptability and increasing population trends in most European countries. Improved monitoring techniques, although varying in quality and scope, have played a crucial role in tracking this recovery. Annually, wolves kill approximately 56,000 domestic animals in the EU, a risk unevenly distributed and differently handled across regions. Damage compensation costs 17 million EUR every year to European countries. Positive economic impacts from wolf presence, such as those related to reducing traffic accidents with wild ungulates or supporting wildlife tourism, remain under studied. Wolf recovery in Europe is supported by diverse policy and legal instruments such as LIFE programs, stakeholder platforms, as well as the EU Habitats Directive and the Bern Convention. Coexisting with newly established wolf populations in Europe entails managing impacts on human activities, including livestock depreda</w:t>
      </w:r>
    </w:p>
    <w:p>
      <w:pPr/>
      <w:r>
        <w:rPr>
          <w:b/>
        </w:rPr>
        <w:t>POSSIBLE 2025:</w:t>
      </w:r>
      <w:r>
        <w:t xml:space="preserve"> The Preliminary Ruling Procedure: A Cornerstone of Intergovernmental Coordination in the European Union — https://doi.org/10.61801/arsaequi.2024.257</w:t>
      </w:r>
    </w:p>
    <w:p>
      <w:pPr/>
      <w:r>
        <w:rPr>
          <w:b/>
        </w:rPr>
        <w:t>Shared claim-specific concepts:</w:t>
      </w:r>
      <w:r>
        <w:t xml:space="preserve"> preliminary, challenges, not, functioning, citizens, role; EU scope visible. This is a provisional connection, not an outcome finding.</w:t>
      </w:r>
    </w:p>
    <w:p>
      <w:pPr>
        <w:pStyle w:val="SourceNote"/>
      </w:pPr>
      <w:r>
        <w:rPr>
          <w:b/>
        </w:rPr>
        <w:t>Available abstract (not full text):</w:t>
      </w:r>
      <w:r>
        <w:t xml:space="preserve"> The preliminary ruling procedure, enshrined in Article 267 of the Treaty on the Functioning of the European Union (TFEU), stands as a fundamental mechanism of judicial cooperation and legal integration. While seemingly a technical legal tool, it is, in practice, the primary engine of a unique legal order that navigates and resolves the inherent tensions between the European Union's supranational ambitions and the national sovereignty of its Member States. This report argues that the procedure is not merely a method for interpreting European Union (EU) law; it is a collaborative dialogue between the Court of Justice of the European Union (CJEU) and national courts, which has been instrumental in shaping the EU's constitutional architecture. Through a series of landmark cases, the preliminary ruling procedure has operationalized foundational doctrines such as direct effect and the supremacy of EU law, thereby empowering citizens and ensuring the uniform application of EU legislation across the Union. Despite persistent challenges related to judicial discretion and the complexities of multilevel governance, the procedure's enduring effectiveness, as demonstrated by its high volume of cases and recent institutional reforms, confirms its central role as the "jewel in the crown" of the EU legal system.</w:t>
      </w:r>
    </w:p>
    <w:p>
      <w:pPr/>
      <w:r>
        <w:rPr>
          <w:b/>
        </w:rPr>
        <w:t>POSSIBLE 2025:</w:t>
      </w:r>
      <w:r>
        <w:t xml:space="preserve"> The current state, opportunities and challenges for upscaling private investment in biodiversity in Europe — https://doi.org/10.1038/s41559-024-02632-0</w:t>
      </w:r>
    </w:p>
    <w:p>
      <w:pPr/>
      <w:r>
        <w:rPr>
          <w:b/>
        </w:rPr>
        <w:t>Shared claim-specific concepts:</w:t>
      </w:r>
      <w:r>
        <w:t xml:space="preserve"> part, challenges, undermine, not, role; EU scope visible. This is a provisional connection, not an outcome finding.</w:t>
      </w:r>
    </w:p>
    <w:p>
      <w:pPr>
        <w:pStyle w:val="SourceNote"/>
      </w:pPr>
      <w:r>
        <w:rPr>
          <w:b/>
        </w:rPr>
        <w:t>Available abstract (not full text):</w:t>
      </w:r>
      <w:r>
        <w:t xml:space="preserve"> European countries have committed to ambitious upscaling of privately funded nature conservation. We review the status and drivers of biodiversity finance in Europe. By implementing semistructured interviews with 25 biodiversity finance key informants and three focus groups across Europe, we explore opportunities and challenges for upscaling private investment in nature. Opportunities arise from macroeconomic and regulatory changes, along with various technological and financial innovations and growing professional experience. However, persistent barriers to upscaling include the ongoing lack of highly profitable investment opportunities and the multitude of risks facing investors, including political, ecological and reputational risks influencing supply and demand of investment opportunities. Public policy plays the foundational role in creating and hindering these mechanisms. Public policy can create nature markets and investment opportunities, meanwhile agricultural subsidies and poor coordination between public funding sources undermine the supply of return-seeking investment opportunities. Investors demand derisking investments from uncertainties; in part caused by political uncertainty. These markets require profound state intervention to enable upscaling whilst achieving positive ecological outcomes; private investment will probably not upscale without major public polic</w:t>
      </w:r>
    </w:p>
    <w:p>
      <w:pPr/>
      <w:r>
        <w:rPr>
          <w:b/>
        </w:rPr>
        <w:t>POSSIBLE 2025:</w:t>
      </w:r>
      <w:r>
        <w:t xml:space="preserve"> Challenges to access to civil justice in Europe — https://doi.org/10.4337/9781786434418.00011</w:t>
      </w:r>
    </w:p>
    <w:p>
      <w:pPr/>
      <w:r>
        <w:rPr>
          <w:b/>
        </w:rPr>
        <w:t>Shared claim-specific concepts:</w:t>
      </w:r>
      <w:r>
        <w:t xml:space="preserve"> challenges, also, role; EU scope visible. This is a provisional connection, not an outcome finding.</w:t>
      </w:r>
    </w:p>
    <w:p>
      <w:pPr>
        <w:pStyle w:val="SourceNote"/>
      </w:pPr>
      <w:r>
        <w:rPr>
          <w:b/>
        </w:rPr>
        <w:t>Available abstract (not full text):</w:t>
      </w:r>
      <w:r>
        <w:t xml:space="preserve"> The right of access to justice, as guaranteed by human right conventions, has evolved under the influence of the changing role of the state. This chapter examines recent trends and assesses how access to justice plays out in EU policy and legislation in the area of civil justice. After delving into policy considerations it discusses key areas of EU civil justice, focusing on simplified and special procedures, the privatisation of justice, digitising justice and costs and funding of justice. It illustrates how efficiency has become a central element in the regulatory discourse. While this contributes to effective access to justice, it also entails certain risks. It concludes that the ever-expanding EU Civil Justice area needs an overarching framework – one built on the foundations of access to justice and designed to deliver justice within the limits of the national legal environment in which it is called to operate.</w:t>
      </w:r>
    </w:p>
    <w:p>
      <w:pPr/>
      <w:r>
        <w:rPr>
          <w:b/>
        </w:rPr>
        <w:t>POSSIBLE 2025:</w:t>
      </w:r>
      <w:r>
        <w:t xml:space="preserve"> JUDICIAL INDEPENDENCE AND EUROPEAN GOVERNANCE: INSTITUTIONAL DYNAMICS AND CHALLENGES OF EUROPEAN INTEGRATION FOR THE JUDICIAL SYSTEM IN ROMANIA — https://doi.org/10.47743/eu-pair.2025-1-4</w:t>
      </w:r>
    </w:p>
    <w:p>
      <w:pPr/>
      <w:r>
        <w:rPr>
          <w:b/>
        </w:rPr>
        <w:t>Shared claim-specific concepts:</w:t>
      </w:r>
      <w:r>
        <w:t xml:space="preserve"> challenges, not, but, governance, well; EU scope visible. This is a provisional connection, not an outcome finding.</w:t>
      </w:r>
    </w:p>
    <w:p>
      <w:pPr>
        <w:pStyle w:val="SourceNote"/>
      </w:pPr>
      <w:r>
        <w:rPr>
          <w:b/>
        </w:rPr>
        <w:t>Available abstract (not full text):</w:t>
      </w:r>
      <w:r>
        <w:t xml:space="preserve"> This paper is devoted to an in-depth analysis of the complex interactions between European governance mechanisms – including, but not limited to, the Cooperation and Verification Mechanism, the Annual Rule of Law Report and the budgetary conditionality framework – and the autonomy of the national judiciary. The main purpose of the research consists in the critical evaluation of the way in which the European standards regarding judicial independence, administrative efficiency and institutional integrity have influenced both the structure and operation of the Superior Council of Magistracy, as well as the legal status of judges and prosecutors, together with the inter-institutional relations within the state apparatus. The adopted methodology is based on a particularly rigorous normative analysis, combined with the systematic evaluation of strategic documents issued at the European and national level, as well as relevant comparative case studies (comparative analyzes focused on the experiences of Romania, Poland and Hungary). This analytical approach allows the identification of institutional adaptation models and the exposure of tensions inherent in the implementation of European standards. In addition, special importance is given to the jurisprudential interpretations issued by the Court of Justice of the European Union and the European Court of Human Rights, whose decisions ar</w:t>
      </w:r>
    </w:p>
    <w:p>
      <w:pPr/>
      <w:r>
        <w:rPr>
          <w:b/>
        </w:rPr>
        <w:t>POSSIBLE 2024:</w:t>
      </w:r>
      <w:r>
        <w:t xml:space="preserve"> European S2k guidelines for hidradenitis suppurativa/acne inversa part 2: Treatment — https://doi.org/10.1111/jdv.20472</w:t>
      </w:r>
    </w:p>
    <w:p>
      <w:pPr/>
      <w:r>
        <w:rPr>
          <w:b/>
        </w:rPr>
        <w:t>Shared claim-specific concepts:</w:t>
      </w:r>
      <w:r>
        <w:t xml:space="preserve"> part, not, experts; EU scope visible. This is a provisional connection, not an outcome finding.</w:t>
      </w:r>
    </w:p>
    <w:p>
      <w:pPr>
        <w:pStyle w:val="SourceNote"/>
      </w:pPr>
      <w:r>
        <w:rPr>
          <w:b/>
        </w:rPr>
        <w:t>Available abstract (not full text):</w:t>
      </w:r>
      <w:r>
        <w:t xml:space="preserve"> INTRODUCTION: This second part of the S2k guidelines is an update of the 2015 S1 European guidelines. OBJECTIVE: These guidelines aim to provide an accepted decision aid for the selection, implementation and assessment of appropriate and sufficient therapy for patients with hidradenitis suppurativa/acne inversa (HS). METHODS: The chapters have been selected after a Delphi procedure among the experts/authors. Certain passages have been adopted without changes from the previous version. Potential treatment complications are not included, being beyond the scope of these guidelines. RESULTS: Since the S1 guidelines publication, validation of new therapeutic approaches has almost completely overhauled the knowledge in the field of HS treatment. Inflammatory nodules/abscesses/draining tunnels are the primary lesions, which enable the classification of the disease severity by new validated tools. In relation to the degree of detectable inflammation, HS is classified into the inflammatory and the predominantly non-inflammatory forms. While the intensity of the inflammatory form can be subdivided by the IHS4 classification in mild, moderate and severe HS and is treated by medication accordingly, the decision on surgical treatment of the predominantly non-inflammatory form is based on the Hurley stage of the affected localization. The effectiveness of oral tetracyclines as an alternative</w:t>
      </w:r>
    </w:p>
    <w:p>
      <w:pPr/>
      <w:r>
        <w:rPr>
          <w:b/>
        </w:rPr>
        <w:t>POSSIBLE 2024:</w:t>
      </w:r>
      <w:r>
        <w:t xml:space="preserve"> Do Preliminary References Increase Public Support for European Law? Experimental Evidence from Germany — https://doi.org/10.1017/s0020818323000243</w:t>
      </w:r>
    </w:p>
    <w:p>
      <w:pPr/>
      <w:r>
        <w:rPr>
          <w:b/>
        </w:rPr>
        <w:t>Shared claim-specific concepts:</w:t>
      </w:r>
      <w:r>
        <w:t xml:space="preserve"> preliminary, many, citizens; EU scope visible. This is a provisional connection, not an outcome finding.</w:t>
      </w:r>
    </w:p>
    <w:p>
      <w:pPr>
        <w:pStyle w:val="SourceNote"/>
      </w:pPr>
      <w:r>
        <w:rPr>
          <w:b/>
        </w:rPr>
        <w:t>Available abstract (not full text):</w:t>
      </w:r>
      <w:r>
        <w:t xml:space="preserve"> Abstract Explanations for the successful expansion and consolidation of the European Union and its legal system have long emphasized the importance of domestic courts’ sending preliminary references to the Court of Justice. Key to many of these theoretical accounts is the claim that domestic courts are better equipped than the Court of Justice to compel national governments to comply with EU law. Integrating insights from the comparative judicial politics literature into the context of the EU's preliminary references system, we provide a theoretical and empirical foundation for this claim by arguing that incorporating domestic courts into the EU legal process enhances public support for expansive judicial interpretations of EU law. We go on to argue, however, that this transfer of legitimacy depends on citizens’ views of the national and European courts. We support our argument with evidence from a preregistered survey experiment fielded in Germany.</w:t>
      </w:r>
    </w:p>
    <w:p>
      <w:pPr/>
      <w:r>
        <w:rPr>
          <w:b/>
        </w:rPr>
        <w:t>POSSIBLE 2024:</w:t>
      </w:r>
      <w:r>
        <w:t xml:space="preserve"> European consensus-based interdisciplinary guideline for melanoma. Part 2: Treatment – Update 2024 — https://doi.org/10.1016/j.ejca.2024.115153</w:t>
      </w:r>
    </w:p>
    <w:p>
      <w:pPr/>
      <w:r>
        <w:rPr>
          <w:b/>
        </w:rPr>
        <w:t>Shared claim-specific concepts:</w:t>
      </w:r>
      <w:r>
        <w:t xml:space="preserve"> part, not, only, also, well, experts; EU scope visible. This is a provisional connection, not an outcome finding.</w:t>
      </w:r>
    </w:p>
    <w:p>
      <w:pPr>
        <w:pStyle w:val="SourceNote"/>
      </w:pPr>
      <w:r>
        <w:rPr>
          <w:b/>
        </w:rPr>
        <w:t>Available abstract (not full text):</w:t>
      </w:r>
      <w:r>
        <w:t xml:space="preserve"> A unique collaboration of multi-disciplinary experts from the European Association of Dermato-Oncology (EADO), the European Dermatology Forum (EDF), and the European Organization of Research and Treatment of Cancer (EORTC) was formed to make recommendations on cutaneous melanoma diagnosis and treatment, based on systematic literature reviews and the experts' experience. Cutaneous melanomas are excised with one to two-centimeter safety margins. For a correct stage classification and treatment decision, a sentinel lymph node biopsy shall be offered in patients with tumor thickness ≥ 1.0 mm or ≥ 0.8 mm with additional histological risk factors, although there is as yet no clear survival benefit for this approach. Therapeutic decisions should be primarily made by an interdisciplinary oncology team ("Tumor Board"). Adjuvant therapies can be proposed in completely resected stage IIB-IV. In stage II only PD-1 inhibitors are approved. In stage III anti-PD-1 therapy or dabrafenib plus trametinib for patients with BRAFV600 mutated melanoma can be discussed. In resected stage IV, nivolumab can be offered, as well as ipilimumab and nivolumab, in selected, high-risk patients. In patients with clinically detected macroscopic, resectable disease, neoadjuvant therapy with ipilimumab plus nivolumab followed complete surgical resection and adjuvant therapy according to pathological response and </w:t>
      </w:r>
    </w:p>
    <w:p>
      <w:pPr/>
      <w:r>
        <w:rPr>
          <w:b/>
        </w:rPr>
        <w:t>POSSIBLE 2024:</w:t>
      </w:r>
      <w:r>
        <w:t xml:space="preserve"> The preliminary precedent — https://openalex.org/W7216887136</w:t>
      </w:r>
    </w:p>
    <w:p>
      <w:pPr/>
      <w:r>
        <w:rPr>
          <w:b/>
        </w:rPr>
        <w:t>Shared claim-specific concepts:</w:t>
      </w:r>
      <w:r>
        <w:t xml:space="preserve"> preliminary, functioning, role; EU scope visible. This is a provisional connection, not an outcome finding.</w:t>
      </w:r>
    </w:p>
    <w:p>
      <w:pPr>
        <w:pStyle w:val="SourceNote"/>
      </w:pPr>
      <w:r>
        <w:rPr>
          <w:b/>
        </w:rPr>
        <w:t>Available abstract (not full text):</w:t>
      </w:r>
      <w:r>
        <w:t xml:space="preserve"> The article explores the role of judicial precedent in Italian and European civil procedural law, particularly in light of the introduction of the preliminary reference procedure to the Italian Court of Cassation. The analysis examines the applicability of the doctrine of stare decisis in both civil law and common law legal systems, drawing comparisons between the functioning and objectives of the preliminary reference procedure, the historical origins of the Court of Cassation, and the role of the U.S. Supreme Court.</w:t>
      </w:r>
    </w:p>
    <w:p>
      <w:pPr>
        <w:pStyle w:val="Heading2"/>
      </w:pPr>
      <w:r>
        <w:t>605. Impact of Quasi‐Idealized Future Land Cover Scenarios at High Latitudes in Complex Terrain</w:t>
      </w:r>
    </w:p>
    <w:p>
      <w:pPr>
        <w:pStyle w:val="SourceNote"/>
      </w:pPr>
      <w:r>
        <w:rPr>
          <w:b/>
        </w:rPr>
        <w:t>Original source (2021):</w:t>
      </w:r>
      <w:r>
        <w:t xml:space="preserve"> https://doi.org/10.1029/2020ef001838</w:t>
      </w:r>
    </w:p>
    <w:p>
      <w:pPr/>
      <w:r>
        <w:t>Original wording (abstract; indexed_source_text_not_full_document_verified): This study uses the Weather Research and Forecasting model to investigate the biogeophysical impacts of different forestry scenarios on the local‐to‐regional climate of Norway. This suggests that implementing current afforestation policies for climate mitigation in Norway may adversely exacerbate some effects of global warming locally while mitigating others.</w:t>
      </w:r>
    </w:p>
    <w:p>
      <w:pPr/>
      <w:r>
        <w:rPr>
          <w:b/>
        </w:rPr>
        <w:t>POSSIBLE 2026:</w:t>
      </w:r>
      <w:r>
        <w:t xml:space="preserve"> Spatiotemporal variability and uncertainty in wood decay estimates across Europe and Scandinavia using a data-driven moisture content model with multi-scale weather datasets — https://doi.org/10.1016/j.rineng.2026.108983</w:t>
      </w:r>
    </w:p>
    <w:p>
      <w:pPr/>
      <w:r>
        <w:rPr>
          <w:b/>
        </w:rPr>
        <w:t>Shared claim-specific concepts:</w:t>
      </w:r>
      <w:r>
        <w:t xml:space="preserve"> weather, impacts, climate; EU scope visible. This is a provisional connection, not an outcome finding.</w:t>
      </w:r>
    </w:p>
    <w:p>
      <w:pPr>
        <w:pStyle w:val="SourceNote"/>
      </w:pPr>
      <w:r>
        <w:rPr>
          <w:b/>
        </w:rPr>
        <w:t>Available abstract (not full text):</w:t>
      </w:r>
      <w:r>
        <w:t xml:space="preserve"> • Reanalysis data driven moisture content model enabled high-resolution wood decay analyses • Point to grid comparing of decay indicated biases variable by micro to macro climate conditions • High-resolution decay hazard maps reveal significant spatiotemporal variability • Vertical boards show higher spatial uncertainty due to wind-driven rain exposure • Uncertainty mapping enables uncertainty propagation for service life assessment The use of remote sensing and reanalysis weather data has not been adequately acknowledged for large-scale built environment applications, primarily regarding engineering analyses that traditionally rely on computationally expensive numerical models. This study employs a parsimonious data-driven approach concerning service life assessment of rain-exposed wooden components, enabling mapping and assessment of related risks across Europe and Scandinavia from gridded data. Wood moisture content is the primary vector for fungal decay and accurate modeling is essential for the design of wooden commodities. Numerical models of moisture flow within woody material provide accuracy but are impractically slow for large-scale applications. We explore high-resolution decay risk assessments using a neural network (NN) trained on existing numerical predictions of moisture content. Specifically, the model used time-lagged gridded weather data as inputs to calculate</w:t>
      </w:r>
    </w:p>
    <w:p>
      <w:pPr/>
      <w:r>
        <w:rPr>
          <w:b/>
        </w:rPr>
        <w:t>POSSIBLE 2026:</w:t>
      </w:r>
      <w:r>
        <w:t xml:space="preserve"> Human West Nile Virus infections in Europe: weather or climate? — https://doi.org/10.5194/egusphere-egu26-18547</w:t>
      </w:r>
    </w:p>
    <w:p>
      <w:pPr/>
      <w:r>
        <w:rPr>
          <w:b/>
        </w:rPr>
        <w:t>Shared claim-specific concepts:</w:t>
      </w:r>
      <w:r>
        <w:t xml:space="preserve"> weather, local, climate; EU scope visible. This is a provisional connection, not an outcome finding.</w:t>
      </w:r>
    </w:p>
    <w:p>
      <w:pPr>
        <w:pStyle w:val="SourceNote"/>
      </w:pPr>
      <w:r>
        <w:rPr>
          <w:b/>
        </w:rPr>
        <w:t>Available abstract (not full text):</w:t>
      </w:r>
      <w:r>
        <w:t xml:space="preserve"> Climate change is increasing Europe’s vulnerability to vector-borne diseases. One example are the increasing number of outbreaks caused by the West Nile Virus. Whereas in the early 2010s, the virus was only found in south-eastern Europe, local infections are now also detected in more northern and western countries. To inform health care institutions as well as citizens it is necessary to be able to predict where and when the next outbreak will happen. There have been studies that show that land use, climate and weather influence the risk of human West Nile Virus infections, but it is less clear what the relative contributions of land use, climate change and weather are. In particular, it is not determined yet if the northward expansion of WNV can be better explained by the gradual change in climate, or by the occurrence of specific weather conditions that increase the risk of WNV infections. In this study, a random forest model is used to determine what is the best predictor of WNV infections: weather or climate. It shows that on a spatial scale of NUTS3-regions, the climate mean seasonal cycle of the 2m temperature is the best predictor for human WNV outbreaks, and that including the weather in the model does not improve its performance. Moreover, results indicate that WNV risk is higher in areas in which the climate mean seasonal cycle of temperature is in between 20-26 °C fo</w:t>
      </w:r>
    </w:p>
    <w:p>
      <w:pPr/>
      <w:r>
        <w:rPr>
          <w:b/>
        </w:rPr>
        <w:t>POSSIBLE 2026:</w:t>
      </w:r>
      <w:r>
        <w:t xml:space="preserve"> Climate change and European forests: Impacts, adaptation, and consequences for aesthetics — https://doi.org/10.26204/kluedo/13178</w:t>
      </w:r>
    </w:p>
    <w:p>
      <w:pPr/>
      <w:r>
        <w:rPr>
          <w:b/>
        </w:rPr>
        <w:t>Shared claim-specific concepts:</w:t>
      </w:r>
      <w:r>
        <w:t xml:space="preserve"> impacts, forestry, climate; EU scope visible. This is a provisional connection, not an outcome finding.</w:t>
      </w:r>
    </w:p>
    <w:p>
      <w:pPr>
        <w:pStyle w:val="SourceNote"/>
      </w:pPr>
      <w:r>
        <w:rPr>
          <w:b/>
        </w:rPr>
        <w:t>Available abstract (not full text):</w:t>
      </w:r>
      <w:r>
        <w:t xml:space="preserve"> This dissertation investigates how European forests are affected by climate change, how forest practitioners perceive and respond to these impacts, and how adaptation and reforestation strategies shape the visual aesthetics of forest landscapes. By combining biophysical evidence, qualitative practitioner insights, expert assessments, and public preference assessments, the thesis develops a comprehensive understanding of forests as socio-ecological systems under increasing climate stress. Across Europe, the 2018–2022 drought period caused widespread vitality loss, intensified pest outbreaks, and substantial tree cover decline, with Central Europe experiencing the most severe impacts. Damage patterns differed markedly among regions, yet even typically resilient or high-altitude forests showed signs of stress. Persistent effects in climatically average years highlight legacy effects of drought and heat events. These findings underline Europe’s high forest vulnerability and the need for region-specific adaptation strategies. Forest practitioners widely acknowledge drought as the dominant threat to forest health, citing its effects on mortality, regeneration, and pest susceptibility. Although there is broad consensus on the need to increase species and structural diversity for adaptation, substantial differences in preferred measures persist across practitioner groups. Economically </w:t>
      </w:r>
    </w:p>
    <w:p>
      <w:pPr/>
      <w:r>
        <w:rPr>
          <w:b/>
        </w:rPr>
        <w:t>POSSIBLE 2026:</w:t>
      </w:r>
      <w:r>
        <w:t xml:space="preserve"> Extreme weather in Europe: Determinants and economic impact — https://doi.org/10.1016/j.euroecorev.2026.105327</w:t>
      </w:r>
    </w:p>
    <w:p>
      <w:pPr/>
      <w:r>
        <w:rPr>
          <w:b/>
        </w:rPr>
        <w:t>Shared claim-specific concepts:</w:t>
      </w:r>
      <w:r>
        <w:t xml:space="preserve"> weather, climate, mitigation; EU scope visible. This is a provisional connection, not an outcome finding.</w:t>
      </w:r>
    </w:p>
    <w:p>
      <w:pPr>
        <w:pStyle w:val="SourceNote"/>
      </w:pPr>
      <w:r>
        <w:rPr>
          <w:b/>
        </w:rPr>
        <w:t>Available abstract (not full text):</w:t>
      </w:r>
      <w:r>
        <w:t xml:space="preserve"> This paper investigates the relationship between anthropogenic greenhouse gas (GHG) emissions and extreme weather conditions in Europe using a novel panel regression trend–cycle decomposition approach. Using the European Extreme Events Climate Index (E3CI) and its seven subcomponents for 40 European countries since 1981, the study finds a significant statistical association between extreme weather deterioration and both the flow and the stock dimensions of global greenhouse gas emissions. Building on these results, dynamic panel regressions within an Autometrics and model-averaging framework reveal significant contractions in GDP growth determined by worsening climatological conditions. The largest effects are observed in the services sector, and extreme wind and precipitation events are the most damaging. Climate deterioration operates through both supply and demand channels – particularly via private spending and productivity – and contributes to structural economic divergence across Europe. Effective mitigation and sustainable economic development are the most powerful tools to counter these adverse effects, while adaptation and institutional improvements serve as second-best measures, particularly against wildfires and extreme temperatures.</w:t>
      </w:r>
    </w:p>
    <w:p>
      <w:pPr/>
      <w:r>
        <w:rPr>
          <w:b/>
        </w:rPr>
        <w:t>POSSIBLE 2026:</w:t>
      </w:r>
      <w:r>
        <w:t xml:space="preserve"> Disproportionate lifetime exposure of young people to extreme fire weather in Portugal and Europe — https://doi.org/10.5194/egusphere-egu26-14065</w:t>
      </w:r>
    </w:p>
    <w:p>
      <w:pPr/>
      <w:r>
        <w:rPr>
          <w:b/>
        </w:rPr>
        <w:t>Shared claim-specific concepts:</w:t>
      </w:r>
      <w:r>
        <w:t xml:space="preserve"> weather, different, local, climate, current, mitigation; EU scope visible. This is a provisional connection, not an outcome finding.</w:t>
      </w:r>
    </w:p>
    <w:p>
      <w:pPr>
        <w:pStyle w:val="SourceNote"/>
      </w:pPr>
      <w:r>
        <w:rPr>
          <w:b/>
        </w:rPr>
        <w:t>Available abstract (not full text):</w:t>
      </w:r>
      <w:r>
        <w:t xml:space="preserve"> Climate change is driving increased fire weather across the world: hot, dry and windy conditions lead to higher danger of fire ignition and spread and make fire suppression more difficult. With further warming, fire weather is projected to increase across the world. This means today’s children and young people will be exposed to ever more fire weather during their lifetimes. In this study, we analyze projections of extreme fire weather over Portugal and Europe from an ensemble of CMIP6 global climate model simulations previously bias-adjusted and downscaled to a 0.1º spatial resolution using ERA5-Land. We define extreme fire weather as days that exceed the 95th percentile of local fire weather index (FWI) values calculated from a 1985-2014 reference period. We then apply a lifetime exposure methodology at national and sub-national (NUTS3) spatial scales, using spatially explicit data on population density and life expectancy to estimate the exposure of different generations to extreme fire weather under different warming pathways. We use a GMT-based remapping technique and a multi-model ensemble approach to emulate fire weather projections under policy-relevant warming pathways ranging from 1.5ºC to 3.5ºC of warming in 2100. We find that young people will be disproportionately exposed to extreme fire weather compared to older generations across all warming pathways, while also </w:t>
      </w:r>
    </w:p>
    <w:p>
      <w:pPr/>
      <w:r>
        <w:rPr>
          <w:b/>
        </w:rPr>
        <w:t>POSSIBLE 2026:</w:t>
      </w:r>
      <w:r>
        <w:t xml:space="preserve"> Linking European droughts to year-round weather regimes — https://doi.org/10.5194/wcd-7-223-2026</w:t>
      </w:r>
    </w:p>
    <w:p>
      <w:pPr/>
      <w:r>
        <w:rPr>
          <w:b/>
        </w:rPr>
        <w:t>Shared claim-specific concepts:</w:t>
      </w:r>
      <w:r>
        <w:t xml:space="preserve"> weather, impacts, regional, climate; EU scope visible. This is a provisional connection, not an outcome finding.</w:t>
      </w:r>
    </w:p>
    <w:p>
      <w:pPr>
        <w:pStyle w:val="SourceNote"/>
      </w:pPr>
      <w:r>
        <w:rPr>
          <w:b/>
        </w:rPr>
        <w:t>Available abstract (not full text):</w:t>
      </w:r>
      <w:r>
        <w:t xml:space="preserve"> Abstract. European droughts have far-reaching socio-economic and ecological impacts, yet their prediction remains challenging due to the complex interplay between regional climate variability and large-scale atmospheric circulation. This study investigates how persistent North Atlantic weather regimes influence the occurrence and spatial distribution of seasonal meteorological droughts across Europe throughout the year. Using reanalysis datasets and a tailored regionalization based on drought synchronicity, we identify six coherent European sub-regions and relate drought events, defined by the standardized precipitation index (SPI3), to year-round weather regimes derived from 500 hPa geopotential height anomalies. Our analysis shows that while each weather regime exhibits distinctive and seasonally consistent precipitation patterns, only a fraction of droughts—primarily in western Europe and during winter—can be directly attributed to anomalies in regime frequency. The findings underline the partial but regionally significant role of North Atlantic circulation patterns in shaping European drought risk, highlighting opportunities and limitations for improving drought forecasts on sub-seasonal to seasonal timescales. This study emphasizes the added value of using year-round weather regimes as a unifying framework for understanding drought drivers, overcoming the constraints of pu</w:t>
      </w:r>
    </w:p>
    <w:p>
      <w:pPr/>
      <w:r>
        <w:rPr>
          <w:b/>
        </w:rPr>
        <w:t>POSSIBLE 2025:</w:t>
      </w:r>
      <w:r>
        <w:t xml:space="preserve"> Skill Validation of High-Impact Rainfall Forecasts over Vietnam Using the European Centre for Medium-Range Weather Forecasts (ECMWF) Integrated Forecasting System (IFS) and Dynamical Downscaling with the Weather Research and Forecasting Model — https://doi.org/10.3390/atmos16020224</w:t>
      </w:r>
    </w:p>
    <w:p>
      <w:pPr/>
      <w:r>
        <w:rPr>
          <w:b/>
        </w:rPr>
        <w:t>Shared claim-specific concepts:</w:t>
      </w:r>
      <w:r>
        <w:t xml:space="preserve"> weather, local; EU scope visible. This is a provisional connection, not an outcome finding.</w:t>
      </w:r>
    </w:p>
    <w:p>
      <w:pPr>
        <w:pStyle w:val="SourceNote"/>
      </w:pPr>
      <w:r>
        <w:rPr>
          <w:b/>
        </w:rPr>
        <w:t>Available abstract (not full text):</w:t>
      </w:r>
      <w:r>
        <w:t xml:space="preserve"> This research evaluates the quality of high-impact rainfall forecasts across Vietnam and its sub-climate regions. The 3-day rainfall forecast products evaluated include the European Centre for Medium-Range Weather Forecasts (ECMWF) High-Resolution Integrated Forecasting System (IFS) and its downscaled outputs using the Weather Research and Forecasting (WRF) model with the Advanced Research WRF core (WRF-ARW): direct downscaling and downscaling with data assimilation. A full 5-year validation period from 2019 to 2025 was processed. The validation focused on basic rainfall thresholds and also considered the distribution of skill scores for intense events and extreme events. The validations revealed systematic errors (bias) in the models at low rainfall thresholds. The forecast skill was the lowest for northern regions, while the central regions exhibited the highest. For regions strongly affected by terrain, high-resolution downscaling with local observation data assimilation is necessary to improve the detectability of extreme events.</w:t>
      </w:r>
    </w:p>
    <w:p>
      <w:pPr/>
      <w:r>
        <w:rPr>
          <w:b/>
        </w:rPr>
        <w:t>POSSIBLE 2025:</w:t>
      </w:r>
      <w:r>
        <w:t xml:space="preserve"> Biogeochemical versus biogeophysical temperature effects of historical land-use change in CMIP6 — https://doi.org/10.5194/esd-16-803-2025</w:t>
      </w:r>
    </w:p>
    <w:p>
      <w:pPr/>
      <w:r>
        <w:rPr>
          <w:b/>
        </w:rPr>
        <w:t>Shared claim-specific concepts:</w:t>
      </w:r>
      <w:r>
        <w:t xml:space="preserve"> biogeophysical, impacts, regional, climate, warming; EU scope not established. This is a provisional connection, not an outcome finding.</w:t>
      </w:r>
    </w:p>
    <w:p>
      <w:pPr>
        <w:pStyle w:val="SourceNote"/>
      </w:pPr>
      <w:r>
        <w:rPr>
          <w:b/>
        </w:rPr>
        <w:t>Available abstract (not full text):</w:t>
      </w:r>
      <w:r>
        <w:t xml:space="preserve"> Anthropogenic land-use change (LUC) substantially impacts climate dynamics, primarily through modifications in the surface biogeophysical (BGP) and biogeochemical (BGC) fluxes, which alter the exchange of energy, water, and carbon with the atmosphere. Despite the established significance of both the BGP and BGC effects, their relative contribution to climate change remains poorly quantified. In this study, we leveraged data from an unprecedented number of Earth system models (ESMs) of the latest generation that contributed to the Land Use Model Intercomparison Project (LUMIP), under the auspices of the Coupled Model Intercomparison Project Phase 6 (CMIP6). Our analysis of BGP effects indicates a range of global annual near-surface air temperature changes across ESMs due to historical LUC, from a cooling of −0.23 °C to a warming of 0.14 °C, with a multi-model mean and spread of -0.03±0.10 °C under present-day conditions relative to the pre-industrial era. Notably, the BGP effects indicate warming at high latitudes. Still, there is a discernible cooling pattern between 30° N and 60° N, extending across large landmasses from the Great Plains of North America to the Northeast Plain of Asia. The BGC effect shows substantial land carbon losses, amounting to -127±94 Gt C over the historical period, with decreased vegetation carbon pools driving the losses in nearly all analysed ESMs. </w:t>
      </w:r>
    </w:p>
    <w:p>
      <w:pPr/>
      <w:r>
        <w:rPr>
          <w:b/>
        </w:rPr>
        <w:t>POSSIBLE 2025:</w:t>
      </w:r>
      <w:r>
        <w:t xml:space="preserve"> Assessing the Impact of Land Use Changes on Regional Climate over Europe — https://doi.org/10.3390/eesp2025035053</w:t>
      </w:r>
    </w:p>
    <w:p>
      <w:pPr/>
      <w:r>
        <w:rPr>
          <w:b/>
        </w:rPr>
        <w:t>Shared claim-specific concepts:</w:t>
      </w:r>
      <w:r>
        <w:t xml:space="preserve"> forestry, regional, climate; EU scope visible. This is a provisional connection, not an outcome finding.</w:t>
      </w:r>
    </w:p>
    <w:p>
      <w:pPr>
        <w:pStyle w:val="SourceNote"/>
      </w:pPr>
      <w:r>
        <w:rPr>
          <w:b/>
        </w:rPr>
        <w:t>Available abstract (not full text):</w:t>
      </w:r>
      <w:r>
        <w:t xml:space="preserve"> Anthropogenic alterations of the land surface through activities such as agriculture, forestry and urban development represent important human-induced forcings on the Earth’s climate system. This study, conducted in the framework of the UpClim project, employs the non-hydrostatic WRF-ARW v4.5.1 model forced by ERA5 reanalysis data to assess the impact of land use changes (LUCs) on the European climate. The study aims to quantify the effects of LUCs over the EURO-CORDEX domain at 0.11° resolution during 1980–1985 by comparing simulations with transient land use forcing against a control run with static land use.</w:t>
      </w:r>
    </w:p>
    <w:p>
      <w:pPr/>
      <w:r>
        <w:rPr>
          <w:b/>
        </w:rPr>
        <w:t>POSSIBLE 2025:</w:t>
      </w:r>
      <w:r>
        <w:t xml:space="preserve"> Impacts on and damage to European forests from the 2018–2022 heat and drought events — https://doi.org/10.5194/nhess-25-77-2025</w:t>
      </w:r>
    </w:p>
    <w:p>
      <w:pPr/>
      <w:r>
        <w:rPr>
          <w:b/>
        </w:rPr>
        <w:t>Shared claim-specific concepts:</w:t>
      </w:r>
      <w:r>
        <w:t xml:space="preserve"> impacts, regional, climate; EU scope visible. This is a provisional connection, not an outcome finding.</w:t>
      </w:r>
    </w:p>
    <w:p>
      <w:pPr>
        <w:pStyle w:val="SourceNote"/>
      </w:pPr>
      <w:r>
        <w:rPr>
          <w:b/>
        </w:rPr>
        <w:t>Available abstract (not full text):</w:t>
      </w:r>
      <w:r>
        <w:t xml:space="preserve"> Abstract. Drought and heat events are becoming more frequent in Europe due to human-induced climate change, affecting many aspects of human well-being and ecosystem functioning. However, the intensity of these drought and heat events is not spatially and temporally uniform. Understanding the spatial variability of drought impacts is important information for decision makers, supporting both planning and preparations to cope with the changing climatic conditions. Currently, data relating to the damage caused by extended drought episodes is scattered across languages and sources such as scientific publications, governmental reports and the media. In this review paper, we compiled data of damages caused by the drought and heat of 2018 until 2022 in forest ecosystems and relate it to large European data sets, providing support for decision making both on the regional and European levels. We partitioned data from 16 European countries to the following regions: Northern, Central, Alpine, and South. We focused on drought and heat damage to forests, and categorized them as (1) physiological (2) pest, and (3) fire damage. We were able to identify the following key trends: (1) Relative defoliation rates of broadleaves is higher than of conifers in every country with the exception of Czech Republic (2) the incidence of wood destroyed by insects is extremely high in Central Europe and Swed</w:t>
      </w:r>
    </w:p>
    <w:p>
      <w:pPr/>
      <w:r>
        <w:rPr>
          <w:b/>
        </w:rPr>
        <w:t>POSSIBLE 2025:</w:t>
      </w:r>
      <w:r>
        <w:t xml:space="preserve"> Pan-European severe weather warnings by using deep learning and extrapolation techniques — https://doi.org/10.5194/ems2025-317</w:t>
      </w:r>
    </w:p>
    <w:p>
      <w:pPr/>
      <w:r>
        <w:rPr>
          <w:b/>
        </w:rPr>
        <w:t>Shared claim-specific concepts:</w:t>
      </w:r>
      <w:r>
        <w:t xml:space="preserve"> weather, different, regional, locally; EU scope visible. This is a provisional connection, not an outcome finding.</w:t>
      </w:r>
    </w:p>
    <w:p>
      <w:pPr>
        <w:pStyle w:val="SourceNote"/>
      </w:pPr>
      <w:r>
        <w:rPr>
          <w:b/>
        </w:rPr>
        <w:t>Available abstract (not full text):</w:t>
      </w:r>
      <w:r>
        <w:t xml:space="preserve"> We present initial results from the INLINE project funded by the Union Civil Protection Mechanism (UCPM). The objective is to develop probabilistic short-term warning products of severe weather with focus on localized phenomena, such as heavy rainfall, lightning and wind gusts in sub-hourly and kilometer-scale. The products are implemented in two different configurations: pan-European and one adapted to Finland by using locally available data sources.The forecast models developed in INLINE are based on deep learning and extrapolation techniques. Our primary tool is the Simpler yet Better Video Prediction (SimVP): a deep learning model originally developed for prediction of multi-channel digital image sequences (Tan et al. 2025). The SimVP predictions suffer from progressive loss of small-scale features and extreme values with increasing lead time. Thus, we propose a modification to address this shortcoming. As an alternative we consider the extrapolation models implemented in pySTEPS (https://pysteps.github.io) and compare their forecast skill and computational performance with SimVP. We conclude that SimVP has up to 20% better forecast skill for lead times in the 2-4 hour range. This is mainly because of its ability to predict growth and decay of weather phenomena and spatiotemporal correlations between multiple variables. For very short time ranges (under 30 minutes), extrapo</w:t>
      </w:r>
    </w:p>
    <w:p>
      <w:pPr/>
      <w:r>
        <w:rPr>
          <w:b/>
        </w:rPr>
        <w:t>POSSIBLE 2025:</w:t>
      </w:r>
      <w:r>
        <w:t xml:space="preserve"> Linking European droughts to year-round weather regimes — https://doi.org/10.5194/egusphere-egu25-1557</w:t>
      </w:r>
    </w:p>
    <w:p>
      <w:pPr/>
      <w:r>
        <w:rPr>
          <w:b/>
        </w:rPr>
        <w:t>Shared claim-specific concepts:</w:t>
      </w:r>
      <w:r>
        <w:t xml:space="preserve"> weather, impacts; EU scope visible. This is a provisional connection, not an outcome finding.</w:t>
      </w:r>
    </w:p>
    <w:p>
      <w:pPr>
        <w:pStyle w:val="SourceNote"/>
      </w:pPr>
      <w:r>
        <w:rPr>
          <w:b/>
        </w:rPr>
        <w:t>Available abstract (not full text):</w:t>
      </w:r>
      <w:r>
        <w:t xml:space="preserve"> Droughts are extreme events with major economic, social and environmental impacts, and it is crucial to be able to anticipate them. To improve their prediction on a seasonal timescale, it is essential to better understand the underlying conditions that precede them. In Europe, intra-seasonal to seasonal climatic variations are linked to atmospheric circulation and are weakly constrained by tropical teleconnections.This study employs year-round weather regimes to demonstrate that the North Atlantic atmospheric circulation plays a fundamental role in precipitation deficits across Europe. Precipitation deficits are quantified using the reanalysed 3-month standardised precipitation index (SPI3). We use the SPI3 to define drought events and propose a new regionalisation of Europe, divided into regions with the same drought-related characteristics. We demonstrate that each weather regime is associated with a distinct precipitation pattern across regions, that remains relatively stable throughout the year. The representation of the regime-drought relationship in CMIP6 model simulations is then discussed.</w:t>
      </w:r>
    </w:p>
    <w:p>
      <w:pPr>
        <w:pStyle w:val="Heading2"/>
      </w:pPr>
      <w:r>
        <w:t>606. Implementation of the 2030 sustainable development goals - affordable and clean energy in the European Union</w:t>
      </w:r>
    </w:p>
    <w:p>
      <w:pPr>
        <w:pStyle w:val="SourceNote"/>
      </w:pPr>
      <w:r>
        <w:rPr>
          <w:b/>
        </w:rPr>
        <w:t>Original source (2021):</w:t>
      </w:r>
      <w:r>
        <w:t xml:space="preserve"> https://doi.org/10.1088/1755-1315/906/1/012017</w:t>
      </w:r>
    </w:p>
    <w:p>
      <w:pPr/>
      <w:r>
        <w:t>Original wording (abstract; indexed_source_text_not_full_document_verified): In order to be able to predict how the analysed phenomena will develop until 2030, the authors built forecasts. They also allowed the designation of scenarios for the potential development of the analysed indicators.</w:t>
      </w:r>
    </w:p>
    <w:p>
      <w:pPr/>
      <w:r>
        <w:rPr>
          <w:b/>
        </w:rPr>
        <w:t>POSSIBLE 2025:</w:t>
      </w:r>
      <w:r>
        <w:t xml:space="preserve"> A Predictive Physics‐Aware Hybrid Reduced Order Model for Reacting Flows — https://doi.org/10.1002/nme.70058</w:t>
      </w:r>
    </w:p>
    <w:p>
      <w:pPr/>
      <w:r>
        <w:rPr>
          <w:b/>
        </w:rPr>
        <w:t>Shared claim-specific concepts:</w:t>
      </w:r>
      <w:r>
        <w:t xml:space="preserve"> order, able, predict, authors; EU scope not established. This is a provisional connection, not an outcome finding.</w:t>
      </w:r>
    </w:p>
    <w:p>
      <w:pPr>
        <w:pStyle w:val="SourceNote"/>
      </w:pPr>
      <w:r>
        <w:rPr>
          <w:b/>
        </w:rPr>
        <w:t>Available abstract (not full text):</w:t>
      </w:r>
      <w:r>
        <w:t xml:space="preserve"> ABSTRACT This article introduces an innovative methodology that merges modal decomposition, extracting physical patterns, with deep learning networks (DLNs) for forecasting reacting flows. The model is generalizable and capable of predicting complex simulations with just one training of the model, showing transfer learning capabilities. The primary objective is to optimize computational resources while maintaining accuracy on the predictions. With the combination of proper orthogonal decomposition (POD) and DLNs, our approach offers an efficient and effective solution for flow dynamics prediction. The new hybrid (POD/DLN) predictive model is designed for solving reacting flow problems. The POD block segregates temporal and spatial information, while the DLN block operates solely on the temporal domain with significantly reduced dimensionality. The POD modes contain the main flow characteristics, turning the model into a physics‐based model. This architecture leads to substantial enhancements in computational cost and memory requirements, while maintaining the precision in the predictions. Such advancements are particularly crucial for addressing the challenges posed by high‐dimensional multivariate and complex time‐series forecasting tasks. Two different deep learning architectures have been tested to predict the temporal coefficients, based on recursive (RNN) and convolutional</w:t>
      </w:r>
    </w:p>
    <w:p>
      <w:pPr/>
      <w:r>
        <w:rPr>
          <w:b/>
        </w:rPr>
        <w:t>POSSIBLE 2025:</w:t>
      </w:r>
      <w:r>
        <w:t xml:space="preserve"> The Republic of Moldova financial system adjustment to the european monetary order — https://doi.org/10.53486/mfsne2024.02</w:t>
      </w:r>
    </w:p>
    <w:p>
      <w:pPr/>
      <w:r>
        <w:rPr>
          <w:b/>
        </w:rPr>
        <w:t>Shared claim-specific concepts:</w:t>
      </w:r>
      <w:r>
        <w:t xml:space="preserve"> order, built, also, potential; EU scope visible. This is a provisional connection, not an outcome finding.</w:t>
      </w:r>
    </w:p>
    <w:p>
      <w:pPr>
        <w:pStyle w:val="SourceNote"/>
      </w:pPr>
      <w:r>
        <w:rPr>
          <w:b/>
        </w:rPr>
        <w:t>Available abstract (not full text):</w:t>
      </w:r>
      <w:r>
        <w:t xml:space="preserve"> The aspirations of the Republic of Moldova to become an EU member state send an essential message to both the national economy and the financial system; the accession process will mark the economic and financial developments of the Republic of Moldova. Also, this message reinforces the conclusion that economic - mainly financial - integration must be carefully monitored and managed but not delayed. Such a conclusion confers a severe responsibility on all participants in the Moldovan financial system. As a result, the purpose of the publication is to analyze the financial system of the Republic of Moldova from the perspective of the European monetary order to identify its non-conformities. For this purpose, a three-dimensional matrix is built, correlating the EU criteria regarding the national financial systems with those of the Republic of Moldova. As a result of the analysis, it was highlighted that the ability of the Moldovan financial sector to provide financial services largely depends on the support of financial infrastructure institutions. Therefore, infrastructure institutions are needed, which could, on the one hand, reduce risks and vulnerabilities and, on the other hand, ensure the efficient functioning of the financial system. The matrix's design not only elucidated the existing inconsistencies but also enabled the identification of potential solutions. These solutio</w:t>
      </w:r>
    </w:p>
    <w:p>
      <w:pPr/>
      <w:r>
        <w:rPr>
          <w:b/>
        </w:rPr>
        <w:t>POSSIBLE 2024:</w:t>
      </w:r>
      <w:r>
        <w:t xml:space="preserve"> The European protection order: the question of a predictive toolkit for the protection of victims of criminal offences — https://doi.org/10.24144/2788-6018.2024.02.109</w:t>
      </w:r>
    </w:p>
    <w:p>
      <w:pPr/>
      <w:r>
        <w:rPr>
          <w:b/>
        </w:rPr>
        <w:t>Shared claim-specific concepts:</w:t>
      </w:r>
      <w:r>
        <w:t xml:space="preserve"> order, able, also; EU scope visible. This is a provisional connection, not an outcome finding.</w:t>
      </w:r>
    </w:p>
    <w:p>
      <w:pPr>
        <w:pStyle w:val="SourceNote"/>
      </w:pPr>
      <w:r>
        <w:rPr>
          <w:b/>
        </w:rPr>
        <w:t>Available abstract (not full text):</w:t>
      </w:r>
      <w:r>
        <w:t xml:space="preserve"> The article examines the European protection order (hereinafter - EPO) in the context of crime victim protection. The following aspects were considered: general issues of the essence and purpose of the EPO; its correlation with measures under the national law of the EU country; conditions of issuance; issuing and execution procedure; protection of the rights of persons causing danger; the specifications of the execution. The correlation of measures under the EPO with security measures and restrictive measures and restrictive prescriptions under Ukrainian legislation is considered. It is indicated that European researchers identify a number of defects in the regulation of the European protection order, which affects the effectiveness of this tool; this indicates that the provisions of Directive 2011/99/EU may be transformed in the future. As conclusions, it is also stated that: 1) the EPO will not be applicable for to security measures, which are regulated "On ensuring the security of persons participating in criminal proceedings”, taking into account the list of measures in Art. 5 of Directive 2011/99/EU and the provision that the person causing danger must be heard; 2) The EPO will generally be able to be used to interact with restrictive prescription under the Civil Procedure Code of Ukraine and restrictive measures under the Criminal Code and the Criminal Procedure Code of U</w:t>
      </w:r>
    </w:p>
    <w:p>
      <w:pPr/>
      <w:r>
        <w:rPr>
          <w:b/>
        </w:rPr>
        <w:t>POSSIBLE 2024:</w:t>
      </w:r>
      <w:r>
        <w:t xml:space="preserve"> Projecting traffic flows for road-based passenger transport in Europe for the analysis of climate impact — https://doi.org/10.1186/s12544-024-00652-2</w:t>
      </w:r>
    </w:p>
    <w:p>
      <w:pPr/>
      <w:r>
        <w:rPr>
          <w:b/>
        </w:rPr>
        <w:t>Shared claim-specific concepts:</w:t>
      </w:r>
      <w:r>
        <w:t xml:space="preserve"> order, able, predict, develop, forecasts; EU scope visible. This is a provisional connection, not an outcome finding.</w:t>
      </w:r>
    </w:p>
    <w:p>
      <w:pPr>
        <w:pStyle w:val="SourceNote"/>
      </w:pPr>
      <w:r>
        <w:rPr>
          <w:b/>
        </w:rPr>
        <w:t>Available abstract (not full text):</w:t>
      </w:r>
      <w:r>
        <w:t xml:space="preserve"> Abstract Road-based transport is a significant contributor to global transport emissions of greenhouse gases and local pollutants, thus contributing to the environmental impact of the mobility of people and goods. In order to develop strategies to mitigate this impact, it is necessary to build reliable emission inventories that include sector-specific emissions. Furthermore, the methods for creating these inventories should be applicable for forecasts and scenario calculations to facilitate the evaluation of pathways towards a more sustainable transport system. The study at hand proposes a model-based framework to predict travel demand and its spatial distribution for a bottom-up calculation of road transport emissions in Europe. With this framework, it is possible to calculate emissions based on the road network structure, traffic flows and vehicle types. In order to demonstrate the applicability of the framework for scenario calculations, it is applied to three exemplary scenarios where population data is modified. With the developed methodology, a tool for the large-scale assessment of emissions from road transport is provided, which is able to simulate the impact of socio-economic and economic changes on these emissions.</w:t>
      </w:r>
    </w:p>
    <w:p>
      <w:pPr/>
      <w:r>
        <w:rPr>
          <w:b/>
        </w:rPr>
        <w:t>POSSIBLE 2024:</w:t>
      </w:r>
      <w:r>
        <w:t xml:space="preserve"> Balancing Data Acquisition Benefits and Ordering Costs for Predictive Supplier Selection and Order Allocation — https://doi.org/10.3390/app14104306</w:t>
      </w:r>
    </w:p>
    <w:p>
      <w:pPr/>
      <w:r>
        <w:rPr>
          <w:b/>
        </w:rPr>
        <w:t>Shared claim-specific concepts:</w:t>
      </w:r>
      <w:r>
        <w:t xml:space="preserve"> order, forecasts, potential; EU scope not established. This is a provisional connection, not an outcome finding.</w:t>
      </w:r>
    </w:p>
    <w:p>
      <w:pPr>
        <w:pStyle w:val="SourceNote"/>
      </w:pPr>
      <w:r>
        <w:rPr>
          <w:b/>
        </w:rPr>
        <w:t>Available abstract (not full text):</w:t>
      </w:r>
      <w:r>
        <w:t xml:space="preserve"> The strategic selection of suppliers and the allocation of orders across multiple periods have long been recognized as critical aspects influencing company expenditure and resilience. Leveraging the enhanced predictive capabilities afforded by machine learning models, direct lookahead models—linear programming models that optimize future decisions based on forecasts generated by external predictive modules—have emerged as viable alternatives to traditional deterministic and stochastic programming methodologies to solve related problems. However, despite these advancements, approaches implementing direct lookahead models typically lack mechanisms for updating forecasts over time. Yet, in practice, suppliers often exhibit dynamic behaviours, and failing to update forecasts can lead to suboptimal decision-making. This study introduces a novel approach based on parametrized direct lookahead models to address this gap. The approach explicitly addresses the hidden trade-offs associated with incorporating forecast updates. Recognizing that forecasts can only be updated by acquiring new data and that the primary means of acquiring supplier-related data is through order allocation, this study investigates the trade-offs between data acquisition benefits and order allocation costs. An experimental design utilizing real-world automotive sector data is employed to assess the potential of t</w:t>
      </w:r>
    </w:p>
    <w:p>
      <w:pPr/>
      <w:r>
        <w:rPr>
          <w:b/>
        </w:rPr>
        <w:t>POSSIBLE 2024:</w:t>
      </w:r>
      <w:r>
        <w:t xml:space="preserve"> RUSSIA’S AGGRESSION IN UKRAINE AS A TURNING POINT: THE TRANSFORMATION OF THE EUROPEAN UNION INTO A SECURITY ACTOR IN THE RECONSTRUCTION OF THE EUROPEAN SECURITY ORDER — https://doi.org/10.62229/sprps24-1/5</w:t>
      </w:r>
    </w:p>
    <w:p>
      <w:pPr/>
      <w:r>
        <w:rPr>
          <w:b/>
        </w:rPr>
        <w:t>Shared claim-specific concepts:</w:t>
      </w:r>
      <w:r>
        <w:t xml:space="preserve"> order, until, authors, indicators; EU scope visible. This is a provisional connection, not an outcome finding.</w:t>
      </w:r>
    </w:p>
    <w:p>
      <w:pPr>
        <w:pStyle w:val="SourceNote"/>
      </w:pPr>
      <w:r>
        <w:rPr>
          <w:b/>
        </w:rPr>
        <w:t>Available abstract (not full text):</w:t>
      </w:r>
      <w:r>
        <w:t xml:space="preserve"> The process which started with the annexation of Crimea in 2014 has caused a deep stress in the European security order. Russia has not only threatened the European security architecture, but for the first time, Russia has openly challenged it through its actions. As such, the war in Ukraine was a turning point in both international relations and European security policy. Accordingly, the European Union (EU) has altered its foreign and security policy. Until then, the EU had acted within the framework of its responsibility to protect the security of its members through a normative structure and peaceful methods, representing a multilateral world order as a peace project. However, post-February 2022, it has adopted a power-oriented policy. Increased cooperation with NATO, the will to break all kinds of existing dependencies, strict sanctions ranging from economy to energy policy, and the increase in the use of military force have been indicators that Europe has entered a transformation. After 2022, its attempt to influence international relations and the international system with more solid means has demonstrated that the EU is an actor that does not completely abandon its liberal and constructivist identity but reacts realistically. This article analyzes how Russia’s attack on Ukraine entailed a change for Europe within the debate of the realism and constructivism The process w</w:t>
      </w:r>
    </w:p>
    <w:p>
      <w:pPr/>
      <w:r>
        <w:rPr>
          <w:b/>
        </w:rPr>
        <w:t>POSSIBLE 2023:</w:t>
      </w:r>
      <w:r>
        <w:t xml:space="preserve"> Stochastic weather generator and deep learning approach for predicting and sampling extreme European heatwaves — https://doi.org/10.5194/egusphere-egu23-6131</w:t>
      </w:r>
    </w:p>
    <w:p>
      <w:pPr/>
      <w:r>
        <w:rPr>
          <w:b/>
        </w:rPr>
        <w:t>Shared claim-specific concepts:</w:t>
      </w:r>
      <w:r>
        <w:t xml:space="preserve"> order, able, predict, forecasts, also; EU scope visible. This is a provisional connection, not an outcome finding.</w:t>
      </w:r>
    </w:p>
    <w:p>
      <w:pPr>
        <w:pStyle w:val="SourceNote"/>
      </w:pPr>
      <w:r>
        <w:rPr>
          <w:b/>
        </w:rPr>
        <w:t>Available abstract (not full text):</w:t>
      </w:r>
      <w:r>
        <w:t xml:space="preserve"> Sampling rare events such as extreme heatwaves whose return period is larger than the length of available observations requires developing and benchmarking new simulation methods. There is growing interest in applying deep learning alongside already existing statistical approaches to better generate and predict rare events. Our goal is to benchmark Stochastic Weather Generator (SWG) [1] based on analogs of circulation, soil moisture and temperature as a tool for sampling tails of distribution as well as forecasting heatwaves in France and Scandinavia using data from General Circulation Model (GCM). Analog method has been successfully implemented in rare event algorithms for low dimensional climate models [2]. SWG is implemented using a Markov chain with hidden states (.e.g. geopotential height at 500 hPa) with Euclidean metric. When applying such methods to climate data two challenges emerge: a large number of degrees of freedom and the difficulty of including slow drivers such as soil moisture alongside circulation patterns. Consequently, we are going to discuss ways of adjusting the distance metric of the analog Markov chain and dimensionality reduction techniques such as EOFs and variational auto encoder. By choosing the correct combination of weighted variables in the Euclidean metric and using analogs of only 100 years and generating long synthetic sequences we are able to</w:t>
      </w:r>
    </w:p>
    <w:p>
      <w:pPr/>
      <w:r>
        <w:rPr>
          <w:b/>
        </w:rPr>
        <w:t>POSSIBLE 2023:</w:t>
      </w:r>
      <w:r>
        <w:t xml:space="preserve"> ALGEBRA OF SOCIAL PHENOMENA — https://doi.org/10.30525/2500-946x/2023-4-15</w:t>
      </w:r>
    </w:p>
    <w:p>
      <w:pPr/>
      <w:r>
        <w:rPr>
          <w:b/>
        </w:rPr>
        <w:t>Shared claim-specific concepts:</w:t>
      </w:r>
      <w:r>
        <w:t xml:space="preserve"> able, phenomena, develop, authors, also; EU scope not established. This is a provisional connection, not an outcome finding.</w:t>
      </w:r>
    </w:p>
    <w:p>
      <w:pPr>
        <w:pStyle w:val="SourceNote"/>
      </w:pPr>
      <w:r>
        <w:rPr>
          <w:b/>
        </w:rPr>
        <w:t>Available abstract (not full text):</w:t>
      </w:r>
      <w:r>
        <w:t xml:space="preserve"> The characteristics of modern societies are central to discussions of various types of policy (social, economic, etc.) and are often seen as predictors of socio-economic processes. Any society can be studied through the lens of social phenomena. Hence, it seems fair to assume that the better one understands the nature of social matter and its impact on various processes, the better one's decisions will be able to meet today's challenges. The purpose of this paper is to explain and present the new framework for measuring social phenomena in the form of an algebra based on the definition of social phenomenon, its components, rationality and mathematical logic. Methodology. Using the example of social cohesion, the paper examines the current fundamental methodological approaches to interpreting the definition and, consequently, measuring social phenomena. In this paper, the authors use an analogy with probability space and event algebra to develop their mathematical method. As a result, the article presents and explains the basic terms of the algebra of social phenomena that make up the new concept. Practical implications. The authors' approach to formalisation provides a tool for deriving the measure of a complex phenomenon from the measures of its components (simple phenomena), as demonstrated in the example. Thus, this study enriches the range of methods suitable for deepening </w:t>
      </w:r>
    </w:p>
    <w:p>
      <w:pPr/>
      <w:r>
        <w:rPr>
          <w:b/>
        </w:rPr>
        <w:t>POSSIBLE 2023:</w:t>
      </w:r>
      <w:r>
        <w:t xml:space="preserve"> The Impact of Gentrification Phenomena in Thailand — https://doi.org/10.3390/socsci12120647</w:t>
      </w:r>
    </w:p>
    <w:p>
      <w:pPr/>
      <w:r>
        <w:rPr>
          <w:b/>
        </w:rPr>
        <w:t>Shared claim-specific concepts:</w:t>
      </w:r>
      <w:r>
        <w:t xml:space="preserve"> phenomena, also; EU scope not established. This is a provisional connection, not an outcome finding.</w:t>
      </w:r>
    </w:p>
    <w:p>
      <w:pPr>
        <w:pStyle w:val="SourceNote"/>
      </w:pPr>
      <w:r>
        <w:rPr>
          <w:b/>
        </w:rPr>
        <w:t>Available abstract (not full text):</w:t>
      </w:r>
      <w:r>
        <w:t xml:space="preserve"> The principal objective of this review paper was to study the impact of gentrification phenomena in Thailand using a research methodology combining a review of the existing literature and a desk analysis of case studies, focusing on two main interconnected contributions to debates on gentrification. First, understanding gentrification phenomena by examining the existing literature required a perspective on not only gentrification but also its stages and consequences. Second, particular attention was paid to the desk analysis of case studies of gentrification phenomena in Thailand to provide an overview and critical analysis. The results of this research show that gentrification has accelerated across the globe to become a central engine of urban development. Gentrification is a complex process that has significant and multifaceted impacts on urban communities. Gentrification can have positive impacts, such as improving the urban scenery by revitalising the neighbourhood’s blighted places and raising property values by making buildings more appealing and contemporary. However, gentrification can also have negative impacts due to critical issues that are neglected such as the displacement of original inhabitants, particularly vulnerable populations; the loss of tangible and intangible cultural heritage; social inequalities; environmental vulnerability; and inappropriate land cons</w:t>
      </w:r>
    </w:p>
    <w:p>
      <w:pPr/>
      <w:r>
        <w:rPr>
          <w:b/>
        </w:rPr>
        <w:t>POSSIBLE 2022:</w:t>
      </w:r>
      <w:r>
        <w:t xml:space="preserve"> NeuroAI - A strategic opportunity for Norway and Europe — https://doi.org/10.5617/nmi.9950</w:t>
      </w:r>
    </w:p>
    <w:p>
      <w:pPr/>
      <w:r>
        <w:rPr>
          <w:b/>
        </w:rPr>
        <w:t>Shared claim-specific concepts:</w:t>
      </w:r>
      <w:r>
        <w:t xml:space="preserve"> order, able, predict; EU scope visible. This is a provisional connection, not an outcome finding.</w:t>
      </w:r>
    </w:p>
    <w:p>
      <w:pPr>
        <w:pStyle w:val="SourceNote"/>
      </w:pPr>
      <w:r>
        <w:rPr>
          <w:b/>
        </w:rPr>
        <w:t>Available abstract (not full text):</w:t>
      </w:r>
      <w:r>
        <w:t xml:space="preserve"> At an energy consumption of merely 20 watts, the brain is able to learn, perceive its surroundings, analyze solutions, predict the future and choose actions in a much more general way than any computer algorithm and infrastructure. NeuroAI, an emerging field at the intersection of brain sciences and artificial intelligence, is expected to become a large research field in the years to come. The main promise of NeuroAI is that by understanding how the brain and biological neural networks compute, it will be possible to identify the key components of human intelligence in order to drive the development of a more energy-efficient and flexible artificial intelligence (AI) that will match, perhaps even surpass, human intelligence. NeuroAI is a truly multidisciplinary effort, spanning across several disciplines such as computer science, neuroscience, psychology, philosophy, linguistics, law and ethics. Norway has unique world-class expertise in brain sciences, and a fast growing, well-organized AI community at the highest international level. In this opinion article, we argue that Norway has competitive advantages within NeuroAI, and that Norway has the ideal ecosystem to take a leading role in NeuroAI initiatives in Europe. Norwegian investments in NeuroAI may be a strategic initiative to position Norway in the forefront of AI research worldwide.</w:t>
      </w:r>
    </w:p>
    <w:p>
      <w:pPr/>
      <w:r>
        <w:rPr>
          <w:b/>
        </w:rPr>
        <w:t>POSSIBLE 2022:</w:t>
      </w:r>
      <w:r>
        <w:t xml:space="preserve"> Predicting potential wildfire severity across Southern Europe with global data sources — https://doi.org/10.1016/j.scitotenv.2022.154729</w:t>
      </w:r>
    </w:p>
    <w:p>
      <w:pPr/>
      <w:r>
        <w:rPr>
          <w:b/>
        </w:rPr>
        <w:t>Shared claim-specific concepts:</w:t>
      </w:r>
      <w:r>
        <w:t xml:space="preserve"> able, predict, develop, they, potential; EU scope visible. This is a provisional connection, not an outcome finding.</w:t>
      </w:r>
    </w:p>
    <w:p>
      <w:pPr>
        <w:pStyle w:val="SourceNote"/>
      </w:pPr>
      <w:r>
        <w:rPr>
          <w:b/>
        </w:rPr>
        <w:t>Available abstract (not full text):</w:t>
      </w:r>
      <w:r>
        <w:t xml:space="preserve"> The large environmental and socioeconomic impacts of wildfires in Southern Europe require the development of efficient generalizable tools for fire danger analysis and proactive environmental management. With this premise, we aimed to study the influence of different environmental variables on burn severity, as well as to develop accurate and generalizable models to predict burn severity. To address these objectives, we selected 23 wildfires (131,490 ha) across Southern Europe. Using satellite imagery and geospatial data available at the planetary scale, we spatialized burn severity as well as 20 pre-burn environmental variables, which were grouped into climatic, topographic, fuel load-type, fuel load-moisture and fuel continuity predictors. We sampled all variables and divided the data into three independent datasets: a training dataset, used to perform univariant regression models, random forest (RF) models by groups of variables, and RF models including all predictors (full and parsimonious models); a second dataset to analyze interpolation capacity within the training wildfires; and a third dataset to study extrapolation capacity to independent wildfires. Results showed that all environmental variables determined burn severity, which increased towards the mildest climatic conditions, sloping terrain, high fuel loads, and coniferous vegetation. In general, the highest predic</w:t>
      </w:r>
    </w:p>
    <w:p>
      <w:pPr/>
      <w:r>
        <w:rPr>
          <w:b/>
        </w:rPr>
        <w:t>POSSIBLE 2022:</w:t>
      </w:r>
      <w:r>
        <w:t xml:space="preserve"> Model order reduction for bifurcating phenomena in fluid‐structure interaction problems — https://doi.org/10.1002/fld.5118</w:t>
      </w:r>
    </w:p>
    <w:p>
      <w:pPr/>
      <w:r>
        <w:rPr>
          <w:b/>
        </w:rPr>
        <w:t>Shared claim-specific concepts:</w:t>
      </w:r>
      <w:r>
        <w:t xml:space="preserve"> order, phenomena; EU scope not established. This is a provisional connection, not an outcome finding.</w:t>
      </w:r>
    </w:p>
    <w:p>
      <w:pPr>
        <w:pStyle w:val="SourceNote"/>
      </w:pPr>
      <w:r>
        <w:rPr>
          <w:b/>
        </w:rPr>
        <w:t>Available abstract (not full text):</w:t>
      </w:r>
      <w:r>
        <w:t xml:space="preserve"> This work explores the development and the analysis of an efficient reduced order model for the study of a bifurcating phenomenon, known as the Coandă effect, in a multi-physics setting involving fluid and solid media. Taking into consideration a fluid-structure interaction problem, we aim at generalizing previous works towards a more reliable description of the physics involved. In particular, we provide several insights on how the introduction of an elastic structure influences the bifurcating behavior. We have addressed the computational burden by developing a reduced order branch-wise algorithm based on a monolithic proper orthogonal decomposition. We compared different constitutive relations for the solid, and we observed that a nonlinear hyper-elastic law delays the bifurcation w.r.t. the standard model, while the same effect is even magnified when considering linear elastic solid.</w:t>
      </w:r>
    </w:p>
    <w:p>
      <w:pPr>
        <w:pStyle w:val="Heading2"/>
      </w:pPr>
      <w:r>
        <w:t>607. Integrated assessment of the role of bioenergy within the EU energy transition targets to 2050</w:t>
      </w:r>
    </w:p>
    <w:p>
      <w:pPr>
        <w:pStyle w:val="SourceNote"/>
      </w:pPr>
      <w:r>
        <w:rPr>
          <w:b/>
        </w:rPr>
        <w:t>Original source (2021):</w:t>
      </w:r>
      <w:r>
        <w:t xml:space="preserve"> https://doi.org/10.1111/gcbb.12908</w:t>
      </w:r>
    </w:p>
    <w:p>
      <w:pPr/>
      <w:r>
        <w:t>Original wording (abstract; indexed_source_text_not_full_document_verified): Bioenergy could provide up to 1GtCO2 or 40% of the overall mitigation needed by the EU in 2050. We use the global integrated assessment model IMAGE 3.2 to project bioenergy demand, sectoral deployment, feedstock, and inter‐regional import for Europe to 2050.</w:t>
      </w:r>
    </w:p>
    <w:p>
      <w:pPr/>
      <w:r>
        <w:rPr>
          <w:b/>
        </w:rPr>
        <w:t>POSSIBLE 2026:</w:t>
      </w:r>
      <w:r>
        <w:t xml:space="preserve"> Energy Transition in Brazil and the Role of Bioenergy with Carbon Capture and Storage — https://doi.org/10.4236/lce.2026.173005</w:t>
      </w:r>
    </w:p>
    <w:p>
      <w:pPr/>
      <w:r>
        <w:rPr>
          <w:b/>
        </w:rPr>
        <w:t>Shared claim-specific concepts:</w:t>
      </w:r>
      <w:r>
        <w:t xml:space="preserve"> bioenergy, provide, use, deployment; EU scope not established. This is a provisional connection, not an outcome finding.</w:t>
      </w:r>
    </w:p>
    <w:p>
      <w:pPr>
        <w:pStyle w:val="SourceNote"/>
      </w:pPr>
      <w:r>
        <w:rPr>
          <w:b/>
        </w:rPr>
        <w:t>Available abstract (not full text):</w:t>
      </w:r>
      <w:r>
        <w:t xml:space="preserve"> Climate change demands robust measures to mitigate greenhouse gas (GHG) emissions. Among carbon dioxide removal approaches assessed in the literature, Bioenergy with Carbon Capture and Storage (BECCS) has received particular attention. This study conducted a narrative literature review of an exploratory and descriptive nature, based on 16 unique articles selected from the ScienceDirect database. The objective was to analyze the role attributed to BECCS technology in the scientific literature within the context of Brazil’s energy transition. The results indicate that Brazil has favorable conditions for BECCS deployment, including extensive bioenergy production, especially ethanol, and geological storage potential. However, the literature also identifies high costs, regulatory barriers, infrastructure constraints, and ecological risks associated with biomass cultivation. Scenario studies reviewed here indicate that BECCS may provide negative emissions that compensate for residual emissions in hard-to-abate sectors and, in some modeled pathways, permit continued partial fossil-fuel use. Accordingly, the possibility that BECCS could be invoked to support continued oil and gas production is treated in this article as a governance risk rather than as an inevitable outcome. Net-negative performance remains conditional on sustainable biomass supply, lifecycle emissions, capture-energy </w:t>
      </w:r>
    </w:p>
    <w:p>
      <w:pPr/>
      <w:r>
        <w:rPr>
          <w:b/>
        </w:rPr>
        <w:t>POSSIBLE 2026:</w:t>
      </w:r>
      <w:r>
        <w:t xml:space="preserve"> Carbon cycle uncertainties and the role of land-use change emissions in ambitious mitigation pathways — https://doi.org/10.22541/essoar.15009904/v1</w:t>
      </w:r>
    </w:p>
    <w:p>
      <w:pPr/>
      <w:r>
        <w:rPr>
          <w:b/>
        </w:rPr>
        <w:t>Shared claim-specific concepts:</w:t>
      </w:r>
      <w:r>
        <w:t xml:space="preserve"> gtco2, mitigation, integrated, assessment, deployment; EU scope not established. This is a provisional connection, not an outcome finding.</w:t>
      </w:r>
    </w:p>
    <w:p>
      <w:pPr>
        <w:pStyle w:val="SourceNote"/>
      </w:pPr>
      <w:r>
        <w:rPr>
          <w:b/>
        </w:rPr>
        <w:t>Available abstract (not full text):</w:t>
      </w:r>
      <w:r>
        <w:t xml:space="preserve"> The carbon cycle and its sensitivity to different forcings is a major source of uncertainty in scenario assessments of Earth System Models (ESMs) on climate change. However, while the relevant carbon cycle uncertainties are often an important part of ESM assessments, they are currently poorly and inconsistently accounted for in the derivation of mitigation pathways using Integrated Assessment Models (IAMs). Here, we incorporate carbon cycle data from 9 different Dynamic Global Vegetation Models (DGVMs) into the REMIND-MAgPIE-MAGICC IAM framework, using the DGVM model diversity as the main source of uncertainty, and assess variations in scenario outcomes derived from them. We show that varying only assumptions about the carbon density potentials of vegetation types leads to important variations in the cost-effective deployment of land-based mitigation solutions. In scenarios where warming is limited to 1.7°C, cumulative landuse change emissions (2020-2050) vary from negative to substantially positive (-12 to 57 GtCO2), with a 30% variation in carbon prices, 100 Mha in forest area and a substantially different CDR mix. By calibrating the simple climate model MAGICC to reproduce the land carbon and nitrogen fluxes from these same DGVMs, we also consistently assess the uncertainty in the remaining carbon budget to limit warming to 1.7°C due to the varied responses of the carbon sin</w:t>
      </w:r>
    </w:p>
    <w:p>
      <w:pPr/>
      <w:r>
        <w:rPr>
          <w:b/>
        </w:rPr>
        <w:t>POSSIBLE 2026:</w:t>
      </w:r>
      <w:r>
        <w:t xml:space="preserve"> Biodiversity conservation policies alter the solution space of climate mitigation scenarios — https://doi.org/10.31223/x5wf80</w:t>
      </w:r>
    </w:p>
    <w:p>
      <w:pPr/>
      <w:r>
        <w:rPr>
          <w:b/>
        </w:rPr>
        <w:t>Shared claim-specific concepts:</w:t>
      </w:r>
      <w:r>
        <w:t xml:space="preserve"> bioenergy, mitigation, use; EU scope not established. This is a provisional connection, not an outcome finding.</w:t>
      </w:r>
    </w:p>
    <w:p>
      <w:pPr>
        <w:pStyle w:val="SourceNote"/>
      </w:pPr>
      <w:r>
        <w:rPr>
          <w:b/>
        </w:rPr>
        <w:t>Available abstract (not full text):</w:t>
      </w:r>
      <w:r>
        <w:t xml:space="preserve"> Conserving biodiversity while mitigating climate change is one of the defining sustainability challenges of this century. Paris-aligned mitigation pathways rely heavily on forest restoration and bioenergy with carbon capture and storage (BECCS). While forest restoration can simultaneously enhance wildlife habitat and increase carbon sequestration, large-scale biomass production for BECCS may intensify land competition and conflict with biodiversity conservation goals. Here, we use an interlinked land-use (MAgPIE), energy (MESSAGEix), and climate (MAGICC) modeling framework to explore the synergies and trade-offs between biodiversity conservation and climate mitigation. We find that sustainable bioenergy potential compatible with ambitious biodiversity conservation targets is below 100 EJ/yr, limiting late-century carbon removal through BECCS in 2 °C scenarios to less than 6 GtCO₂/yr. At the same time, ambitious biodiversity conservation can approximately double carbon sequestration in forest systems. Our results show that Paris temperature goals remain achievable under ambitious biodiversity targets and that peak temperatures are lowered as much as 0.2°C compared to Paris-aligned scenarios without biodiversity targets, although doing so requires earlier and more stringent decarbonization.</w:t>
      </w:r>
    </w:p>
    <w:p>
      <w:pPr/>
      <w:r>
        <w:rPr>
          <w:b/>
        </w:rPr>
        <w:t>POSSIBLE 2026:</w:t>
      </w:r>
      <w:r>
        <w:t xml:space="preserve"> Global Afforestation Carbon Sequestration Potential Within an Integrated Environmental Protection and Sustainable Food System Framework — https://doi.org/10.3390/land15091733</w:t>
      </w:r>
    </w:p>
    <w:p>
      <w:pPr/>
      <w:r>
        <w:rPr>
          <w:b/>
        </w:rPr>
        <w:t>Shared claim-specific concepts:</w:t>
      </w:r>
      <w:r>
        <w:t xml:space="preserve"> gtco2, mitigation, use, integrated, assessment; EU scope not established. This is a provisional connection, not an outcome finding.</w:t>
      </w:r>
    </w:p>
    <w:p>
      <w:pPr>
        <w:pStyle w:val="SourceNote"/>
      </w:pPr>
      <w:r>
        <w:rPr>
          <w:b/>
        </w:rPr>
        <w:t>Available abstract (not full text):</w:t>
      </w:r>
      <w:r>
        <w:t xml:space="preserve"> Afforestation is a high-potential and cost-effective climate change mitigation strategy, but its large-scale implementation raises sustainability concerns. It requires extensive areas of land, potentially conflicting with agriculture and impacting food security. Moreover, inappropriate forest expansion, such as the afforestation of naturally open habitats, could reduce habitats for non-forest organisms and may cause biodiversity loss. Here, we assess the global mitigation potential of afforestation by integrating environmental constraints and sustainable food system transformations within an integrated assessment model framework. Using the Asia-Pacific Integrated Model (AIM), including the AIM-Hub general equilibrium model and AIM-PLUM spatial land use allocation model, we evaluated seven scenarios incorporating biodiversity protection, soil quality enhancement, dietary shifts, food waste reduction, trade, and irrigation intensification. We found that environmental considerations reduce the maximum afforestation potential to 2.13 GtCO2 yr−1, highlighting the importance of accounting for land use trade-offs. However, sustainable food system transformations substantially recover this mitigation potential, increasing afforestation-based carbon sequestration to 5.01 GtCO2 yr−1 by 2100. Approximately 90% of this potential can be achieved at a cost below 50 USD tCO2−1. Our study emph</w:t>
      </w:r>
    </w:p>
    <w:p>
      <w:pPr/>
      <w:r>
        <w:rPr>
          <w:b/>
        </w:rPr>
        <w:t>POSSIBLE 2026:</w:t>
      </w:r>
      <w:r>
        <w:t xml:space="preserve"> Bioenergy: Energy Derived from Biomass — https://doi.org/10.1007/978-3-032-09098-0_24</w:t>
      </w:r>
    </w:p>
    <w:p>
      <w:pPr/>
      <w:r>
        <w:rPr>
          <w:b/>
        </w:rPr>
        <w:t>Shared claim-specific concepts:</w:t>
      </w:r>
      <w:r>
        <w:t xml:space="preserve"> bioenergy, integrated, feedstock; EU scope not established. This is a provisional connection, not an outcome finding.</w:t>
      </w:r>
    </w:p>
    <w:p>
      <w:pPr>
        <w:pStyle w:val="SourceNote"/>
      </w:pPr>
      <w:r>
        <w:rPr>
          <w:b/>
        </w:rPr>
        <w:t>Available abstract (not full text):</w:t>
      </w:r>
      <w:r>
        <w:t xml:space="preserve"> Abstract Biomass can be converted into various forms of bioenergy using thermal, chemical or biological processes. This chapter provides an overview of the main bioenergy pathways: combustion, gasification, pyrolysis, hydrothermal liquefaction, anaerobic digestion, fermentation and transesterification. These result in heat and power generation or biofuels. All types of biomass can be used to produce bioenergy, but they require different processing pathways. From an ethical point of view, non-edible, mostly lignocellulosic or residual/waste biomass should be the preferred feedstock. Bioenergy production can also be integrated into biorefinery processes.</w:t>
      </w:r>
    </w:p>
    <w:p>
      <w:pPr/>
      <w:r>
        <w:rPr>
          <w:b/>
        </w:rPr>
        <w:t>POSSIBLE 2025:</w:t>
      </w:r>
      <w:r>
        <w:t xml:space="preserve"> The biodiversity-climate-food nexus: Illustrating challenges and solutions using the Green Shoots framework — https://doi.org/10.1016/j.oneear.2025.101455</w:t>
      </w:r>
    </w:p>
    <w:p>
      <w:pPr/>
      <w:r>
        <w:rPr>
          <w:b/>
        </w:rPr>
        <w:t>Shared claim-specific concepts:</w:t>
      </w:r>
      <w:r>
        <w:t xml:space="preserve"> bioenergy, provide, needed, integrated; EU scope not established. This is a provisional connection, not an outcome finding.</w:t>
      </w:r>
    </w:p>
    <w:p>
      <w:pPr>
        <w:pStyle w:val="SourceNote"/>
      </w:pPr>
      <w:r>
        <w:rPr>
          <w:b/>
        </w:rPr>
        <w:t>Available abstract (not full text):</w:t>
      </w:r>
      <w:r>
        <w:t xml:space="preserve"> Responding to the twin challenges of climate change and biodiversity loss is critical but so is avoiding any unintended consequences of these responses for other sustainability goals such as food security. Here, we explore synergies and trade-offs across the biodiversity-climate-food nexus through the recently developed Green Shoots framework. This approach highlights how different response options (dietary change, sustainable food production and fisheries, afforestation/reforestation, and bioenergy) can have multiple co-benefits, although some can also pose risks to biodiversity, climate change, or food security. Integrated responses are needed, but ultimately, success depends on how effectively they are implemented, and not on the type of response option per se. Society is at a critical juncture for the sustainability of most natural and food systems with today's choices affecting tomorrow's outcomes, and the Green Shoots provide an approach to inform these choices.</w:t>
      </w:r>
    </w:p>
    <w:p>
      <w:pPr/>
      <w:r>
        <w:rPr>
          <w:b/>
        </w:rPr>
        <w:t>POSSIBLE 2025:</w:t>
      </w:r>
      <w:r>
        <w:t xml:space="preserve"> Deep uncertainty in carbon dioxide removal portfolios — https://doi.org/10.1088/1748-9326/adc613</w:t>
      </w:r>
    </w:p>
    <w:p>
      <w:pPr/>
      <w:r>
        <w:rPr>
          <w:b/>
        </w:rPr>
        <w:t>Shared claim-specific concepts:</w:t>
      </w:r>
      <w:r>
        <w:t xml:space="preserve"> bioenergy, provide, gtco2, mitigation, deployment; EU scope not established. This is a provisional connection, not an outcome finding.</w:t>
      </w:r>
    </w:p>
    <w:p>
      <w:pPr>
        <w:pStyle w:val="SourceNote"/>
      </w:pPr>
      <w:r>
        <w:rPr>
          <w:b/>
        </w:rPr>
        <w:t>Available abstract (not full text):</w:t>
      </w:r>
      <w:r>
        <w:t xml:space="preserve"> Abstract Deep uncertainty about the costs and resource limits of carbon dioxide removal (CDR) options challenges the design of robust portfolios. To address this, we here introduce the CDR sustainable portfolios with endogenous cost model, a mixed-integer linear optimization model for cost-optimal and time-dependent CDR portfolios including endogenous treatment of technology cost dynamics. We explore future uncertainty in three key dimensions: realisable mitigation potentials, cost dynamics, and resource constraints. Our results demonstrate that afforestation and reforestation, and soil carbon sequestration appear as robust options, deployed regardless of the removals required. Direct air carbon capture and storage emerges as the most deployed technology in 2100 at median value (6.7 GtCO2 yr−1), but with the widest range of possible outcomes (interquartile range from 4 to 8.7 GtCO2 yr−1) depending largely on future renewable energy capacity and annual geological storage injection rates. Bioenergy with CCS deployment remains severely constrained by available land, as the median falls from 1.8 to 0.3 GtCO2 yr−1 in land-constrained scenarios, but gains portfolio share when future energy availability is bounded. Our simulations also reveal that ocean alkalinisation could become a dominant solution in high removal scenarios. Evaluating the performance of portfolios beyond economic c</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bioenergy, provide, mitigation;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Bioenergy and Waste — https://doi.org/10.1007/978-3-031-69856-9_6</w:t>
      </w:r>
    </w:p>
    <w:p>
      <w:pPr/>
      <w:r>
        <w:rPr>
          <w:b/>
        </w:rPr>
        <w:t>Shared claim-specific concepts:</w:t>
      </w:r>
      <w:r>
        <w:t xml:space="preserve"> bioenergy; EU scope not established. This is a provisional connection, not an outcome finding.</w:t>
      </w:r>
    </w:p>
    <w:p>
      <w:pPr>
        <w:pStyle w:val="SourceNote"/>
      </w:pPr>
      <w:r>
        <w:rPr>
          <w:b/>
        </w:rPr>
        <w:t>Available abstract (not full text):</w:t>
      </w:r>
      <w:r>
        <w:t xml:space="preserve"> Abstract A significant proportion of the decarbonization occurring in energy production is based on solar and wind energy. However, biomass also retains its place in the energy palette. This chapter presents an analysis of the technologies and sustainable levels of using biomass and waste for energy, as well as bioenergy carbon capture and storage applications. Furthermore, the chapter addresses the production of materials and chemicals in a manner that is supportive of the achievement of both climate and nature conservation goals. The chapter ultimately concludes that the sustainable utilization of biomass is constrained by its substantial land area requirements and subsequent adverse impacts on the natural environment. The growing population (forecast to stabilize at approximately 10–11 billion by 2030, from 8 billion in 2024) presents a challenge to current systems of production for food, energy, and materials. Given that most of the terrestrial world has already been impacted by human activities, there is a limited opportunity for further expansion. This necessitates the identification of more cost-effective land uses to meet our needs and the implementation of circular economy solutions to reduce the demand for virgin materials. Biomass represents a natural chemical storage of solar energy, and biomass and derived biofuels can be employed, for instance, to balance the vari</w:t>
      </w:r>
    </w:p>
    <w:p>
      <w:pPr/>
      <w:r>
        <w:rPr>
          <w:b/>
        </w:rPr>
        <w:t>POSSIBLE 2025:</w:t>
      </w:r>
      <w:r>
        <w:t xml:space="preserve"> Efficacy of individual and combined terrestrial and marine carbon dioxide removal — https://doi.org/10.1088/1748-9326/ae2af5</w:t>
      </w:r>
    </w:p>
    <w:p>
      <w:pPr/>
      <w:r>
        <w:rPr>
          <w:b/>
        </w:rPr>
        <w:t>Shared claim-specific concepts:</w:t>
      </w:r>
      <w:r>
        <w:t xml:space="preserve"> bioenergy, deployment, feedstock; EU scope visible. This is a provisional connection, not an outcome finding.</w:t>
      </w:r>
    </w:p>
    <w:p>
      <w:pPr>
        <w:pStyle w:val="SourceNote"/>
      </w:pPr>
      <w:r>
        <w:rPr>
          <w:b/>
        </w:rPr>
        <w:t>Available abstract (not full text):</w:t>
      </w:r>
      <w:r>
        <w:t xml:space="preserve"> Abstract Limiting global temperature rise below 2 °C requires significant reduction in greenhouse gas emissions and large-scale carbon dioxide removal (CDR). This study assesses the CO 2 sequestration and efficacy of two CDR approaches, bioenergy with carbon capture and storage (BECCS) and ocean alkalinity enhancement (OAE), applied individually and in combination. Using the Norwegian Earth System Model, simulations were designed to ramp up deployment of BECCS and OAE, to an additional area of 5.2 million km 2 by 2100 for bioenergy feedstock for BECCS, and a CaO deployment rate of approximately 2.7 Gt yr −1 for OAE within the exclusive economic zones of Europe, the United States and China. The combined land–ocean CDR simulation revealed a largely additive carbon removal effect. Over 2030−2100, OAE sequestered 7 ppm of CO 2 with an accumulated 82.3 Gt CaO, achieving a CDR effectiveness of 0.08 ppm (∼0.17 PgC) per Gt CaO, while BECCS reduced 16 ppm of CO 2 , with CDR effectiveness of 3.1 ppm per million km 2 of bioenergy crops. Together, the carbon removal achieved by BECCS and OAE corresponds to anthropogenic CO 2 emissions of 5.4 Gt CO 2 yr −1 by 2100, slightly more than 60% of current global transport sector emissions. Notably, the efficiency of BECCS and OAE alone was unaffected by their concurrent deployment. Nevertheless, simulations revealed distinct non-linear interaction</w:t>
      </w:r>
    </w:p>
    <w:p>
      <w:pPr/>
      <w:r>
        <w:rPr>
          <w:b/>
        </w:rPr>
        <w:t>POSSIBLE 2025:</w:t>
      </w:r>
      <w:r>
        <w:t xml:space="preserve"> EU Bioenergy—Status and Potential — https://doi.org/10.3390/en18184857</w:t>
      </w:r>
    </w:p>
    <w:p>
      <w:pPr/>
      <w:r>
        <w:rPr>
          <w:b/>
        </w:rPr>
        <w:t>Shared claim-specific concepts:</w:t>
      </w:r>
      <w:r>
        <w:t xml:space="preserve"> bioenergy, use; EU scope visible. This is a provisional connection, not an outcome finding.</w:t>
      </w:r>
    </w:p>
    <w:p>
      <w:pPr>
        <w:pStyle w:val="SourceNote"/>
      </w:pPr>
      <w:r>
        <w:rPr>
          <w:b/>
        </w:rPr>
        <w:t>Available abstract (not full text):</w:t>
      </w:r>
      <w:r>
        <w:t xml:space="preserve"> In the interest of climate protection and the promotion of a sustainable economy, the European Union (EU) is pursuing a policy of transitioning from fossil fuels to renewable energies. The objective of this initiative is twofold: first, to reduce greenhouse gas (GHG) emissions, and second, to decrease the reliance on energy imports. This article utilizes publicly accessible databases and studies to assess the extent to which bioenergy (including fuels, heat, and electricity) contributes to these objectives and its long-term potential. Presently, bioenergy constitutes approximately 14% of Europe’s energy supply, with a share of 60% ranking as the foremost source of renewable energy. The evaluation of bioenergy-related GHG is hindered by the fact that the official databases do not satisfy the criteria necessary for scientific analysis. Further expansion of bioenergy should be based on European non-food biomass, as required by the current Renewable Energy Directive REDIII. Taking competing non-energy uses into account, the potential for further growth, contribution to total energy supply, and independence from imports is likely to be limited. As part of the strategic development of bioenergy, there is a considerable need for research into the use of biomass for competing energy and material use pathways, taking into account the different economic potential. To this end, the introd</w:t>
      </w:r>
    </w:p>
    <w:p>
      <w:pPr/>
      <w:r>
        <w:rPr>
          <w:b/>
        </w:rPr>
        <w:t>POSSIBLE 2025:</w:t>
      </w:r>
      <w:r>
        <w:t xml:space="preserve"> Physicochemical Properties of Forest Wood Biomass for Bioenergy Application: A Review — https://doi.org/10.3390/f16040702</w:t>
      </w:r>
    </w:p>
    <w:p>
      <w:pPr/>
      <w:r>
        <w:rPr>
          <w:b/>
        </w:rPr>
        <w:t>Shared claim-specific concepts:</w:t>
      </w:r>
      <w:r>
        <w:t xml:space="preserve"> bioenergy; EU scope visible. This is a provisional connection, not an outcome finding.</w:t>
      </w:r>
    </w:p>
    <w:p>
      <w:pPr>
        <w:pStyle w:val="SourceNote"/>
      </w:pPr>
      <w:r>
        <w:rPr>
          <w:b/>
        </w:rPr>
        <w:t>Available abstract (not full text):</w:t>
      </w:r>
      <w:r>
        <w:t xml:space="preserve"> Forest wood biomass is a key renewable resource for advancing energy transition and mitigating climate change. This review analyzes the physicochemical properties of forest biomass from major European tree species to assess their suitability for bioenergy applications. This study encompasses key parameters, such as moisture content, ash content, volatile matter, fixed carbon, elemental composition, bulk density, and energy content (HHV and LHV). This review analyzed data from 43 publications and extracted 140 records concerning the physicochemical properties of the most common European forest species used for bioenergy. The most commonly represented species were Quercus robur, Eucalyptus spp., and Fagus sylvatica. Moisture content, referring to fresh matter, ranged from 5% to 65%; ash content, referring to a dry basis, ranged from 0.2% to 3.5%; and higher heating value (HHV), referring to dry matter, ranged from 17 to 21 MJ kg−1. This study highlights variability among species and underscores the importance of standardizing biomass characterization methods and the scarcity of data on bulk density and other key logistical parameters. These findings emphasize the need for consistent methodologies and species-specific selection strategies to optimize sustainability and efficiency in forest biomass utilization for bioenergy.</w:t>
      </w:r>
    </w:p>
    <w:p>
      <w:pPr>
        <w:pStyle w:val="Heading2"/>
      </w:pPr>
      <w:r>
        <w:t>608. Is clean energy contested? Exploring which issues matter to stakeholders in the European Green Deal</w:t>
      </w:r>
    </w:p>
    <w:p>
      <w:pPr>
        <w:pStyle w:val="SourceNote"/>
      </w:pPr>
      <w:r>
        <w:rPr>
          <w:b/>
        </w:rPr>
        <w:t>Original source (2021):</w:t>
      </w:r>
      <w:r>
        <w:t xml:space="preserve"> https://doi.org/10.1016/j.erss.2021.102083</w:t>
      </w:r>
    </w:p>
    <w:p>
      <w:pPr/>
      <w:r>
        <w:t>Original wording (abstract; indexed_source_text_not_full_document_verified): The European Green Deal aims at decarbonizing the European Union’s economies by 2050.</w:t>
      </w:r>
    </w:p>
    <w:p>
      <w:pPr/>
      <w:r>
        <w:rPr>
          <w:b/>
        </w:rPr>
        <w:t>POSSIBLE 2026:</w:t>
      </w:r>
      <w:r>
        <w:t xml:space="preserve"> The European Green Deal and its impact on the economy of the European Union — https://doi.org/10.53486/dri2026.50</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The European Green Deal is the European Union's central framework for linking climate action with longterm economic transformation. Introduced in 2019, it sets out to reshape the EU into a climate-neutral, resource-efficient, and more resilient economy by 2050. This paper examines how that agenda affects the EU economy, with particular attention to renewable energy, industry, agriculture, the circular economy, and pollution control (Fetting, 2020). The analysis uses academic studies together with official EU documents in order to interpret the economic changes associated with the Green Deal. The literature suggests that decarbonization depends heavily on cleaner energy systems and lower-emission production models, but also on substantial capital investment and institutional adjustment across multiple sectors .Overall, the Green Deal appears to create both economic promise and policy strain. It can stimulate innovation, support new employment opportunities, and strengthen competitiveness in emerging green industries, yet it also places pressure on traditional sectors, public budgets, energy prices, and labor-market adjustment processes.</w:t>
      </w:r>
    </w:p>
    <w:p>
      <w:pPr/>
      <w:r>
        <w:rPr>
          <w:b/>
        </w:rPr>
        <w:t>POSSIBLE 2026:</w:t>
      </w:r>
      <w:r>
        <w:t xml:space="preserve"> THE EUROPEAN GREEN DEAL AND ITS IMPLICATIONS TO THE EUROPEAN UNION COOPERATION WITH VIETNAM Case Study: The climate-responsive digital circular economy as a first priority area of action — https://doi.org/10.2139/ssrn.6689058</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The European Green Deal within the Scope of European Union Project Funds: The Role of Green Marketing and Green Advertising — https://doi.org/10.58830/ozgur.pub1165.c4874</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The deepening of climate change and environmental sustainability challenges at the global level has necessitated a rethinking of economic growth models and the development of policy frameworks aligned with environmental objectives. In this context, environmental sustainability has evolved into a multidimensional field that requires not only environmental policies but also the comprehensive transformation of production, consumption, and market dynamics. One of the most comprehensive institutional responses to this transformation is the European Green Deal, announced by the European Union in 2019. The European Green Deal presents an integrated transformation vision that encompasses multiple policy areas most notably energy, industry, transport, and finance with the objective of achieving a climate-neutral economy by 2050. To support this process, European Union funding instruments such as Horizon Europe, the LIFE Programme, and the Innovation Fund aim to promote the development of low-carbon technologies and the dissemination of sustainable production models. The extent to which these policy and financing instruments developed under the Green Deal can generate tangible outcomes at the market and societal levels largely depends on the effectiveness of green marketing and green advertising practices. In this regard, green advertising plays a critical role by enabling the transparen</w:t>
      </w:r>
    </w:p>
    <w:p>
      <w:pPr/>
      <w:r>
        <w:rPr>
          <w:b/>
        </w:rPr>
        <w:t>POSSIBLE 2026:</w:t>
      </w:r>
      <w:r>
        <w:t xml:space="preserve"> THE ROLE OF THE GREEN ECONOMY IN REDUCING CARBON EMISSIONS AND THE CHALLENGE IN IMPLEMENTING THE EUROPEAN GREEN DEAL — https://doi.org/10.24818/cike2025.51</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This study examines the role of the green economy in reducing carbon emissions and assesses the challenges related to the implementation of the European Green Deal (EGD). The main objective of this research is to analyze how green economy policies can contribute to achieving the carbon reduction objectives in the European Union and to assess the main obstacles that limit the effectiveness of the implementation of the EGD. This research uses a methodology based on econometric analysis of secondary data, focusing on key variables that help to assess the impact of green policies on CO2 emissions. The results show that the green economy, through increased investment in renewable energy and the application of sustainable economic growth models, has a direct and positive impact on reducing carbon emissions. The transition to clean energy and the use of new technologies are two key factors in this regard, which are closely linked to the green growth policy and the objectives of the Green Deal. Despite this, the implementation of the EGD faces several challenges, including economic and political disparities between EU Member States, as well as the need for sustained financial support and stronger political commitment. In conclusion, this study shows that, although the green economy has great potential to support climate objectives, sustainable progress in implementing the Green Deal re</w:t>
      </w:r>
    </w:p>
    <w:p>
      <w:pPr/>
      <w:r>
        <w:rPr>
          <w:b/>
        </w:rPr>
        <w:t>POSSIBLE 2025:</w:t>
      </w:r>
      <w:r>
        <w:t xml:space="preserve"> The CAP environmental and climate aims for EU’s countries vs. European Green Deal expectations — https://doi.org/10.34659/eis.2024.90.3.819</w:t>
      </w:r>
    </w:p>
    <w:p>
      <w:pPr/>
      <w:r>
        <w:rPr>
          <w:b/>
        </w:rPr>
        <w:t>Shared claim-specific concepts:</w:t>
      </w:r>
      <w:r>
        <w:t xml:space="preserve"> green, deal, aims; EU scope visible. This is a provisional connection, not an outcome finding.</w:t>
      </w:r>
    </w:p>
    <w:p>
      <w:pPr>
        <w:pStyle w:val="SourceNote"/>
      </w:pPr>
      <w:r>
        <w:rPr>
          <w:b/>
        </w:rPr>
        <w:t>Available abstract (not full text):</w:t>
      </w:r>
      <w:r>
        <w:t xml:space="preserve"> As a result of the European Green Deal Strategy (EGD), each EU Member State was obliged to specify own effort and aims for agriculture in formal document, i.e. national Strategic Plan for the Common Agricultural Policy (CAP) 2023-2027. The basic reference in the creation of national documents was the specificity of the country’s agriculture, as well as the possibility to undertake ambitious measures to contribute to the goals described at the European level. The aim of this paper is to analyze the EU’s Member States commitments regarding environmental and climate agricultural objectives in the broader perspective of the European Green Deal ambitions. The approach applied in the study was based on research of literature and legal documents, the European and national statement comparisons, public statistics and European Commission data analysis, which enabled the authors to conduct current and comparative analyses. The research proved the EU’s countries’ diversified engagement in environment and climate protection. Presented results indicated that the countries’ involvement in the context of EGD objectives was recognised as insufficient.</w:t>
      </w:r>
    </w:p>
    <w:p>
      <w:pPr/>
      <w:r>
        <w:rPr>
          <w:b/>
        </w:rPr>
        <w:t>POSSIBLE 2025:</w:t>
      </w:r>
      <w:r>
        <w:t xml:space="preserve"> THE EUROPEAN GREEN DEAL AND THE JUST TRANSITION IN THE EUROPEAN UNION: AIMS AND SOCIAL ASPECTS OF THE “FIT FOR 55” PACKAGE — https://doi.org/10.53373/reds.2025.67.2.0203</w:t>
      </w:r>
    </w:p>
    <w:p>
      <w:pPr/>
      <w:r>
        <w:rPr>
          <w:b/>
        </w:rPr>
        <w:t>Shared claim-specific concepts:</w:t>
      </w:r>
      <w:r>
        <w:t xml:space="preserve"> green, deal, aims, union, economies; EU scope visible. This is a provisional connection, not an outcome finding.</w:t>
      </w:r>
    </w:p>
    <w:p>
      <w:pPr>
        <w:pStyle w:val="SourceNote"/>
      </w:pPr>
      <w:r>
        <w:rPr>
          <w:b/>
        </w:rPr>
        <w:t>Available abstract (not full text):</w:t>
      </w:r>
      <w:r>
        <w:t xml:space="preserve"> The “ecological transition” has constituted a priority on the political agenda of the first European Commission under the leadership of Ursula von der Leyen, who has worked assiduously from the very first days of her mandate to steer the social market economies of EU member states towards the ambitious goal of decoupling economic growth from emissions that contribute to climate change. It’s widely known that no more than ten days after taking office, the EU executive unveiled the European “Green Deal”, a pioneering strategic plan which aims to make Europe the first climate-neutral continent by 2050. The Green Deal, which points the way to the realisation of what has been described as a true “revolution”, has identified a dense set of legislative proposals, financial instruments, programmes and action plans. This contribution will focus in particular on the “Fit for 55” package presented by the European Commission in July 2021 to implement the commitment set out in European climate legislation to reduce greenhouse gas emissions by 55% by 2030 compared to 1990 emissions. The approval of a large part of the program’s measures by the Union’s colegislators makes it one of the first concrete implementations of the Green Deal and provides an initial opportunity to assess the progress of the EU-led environmental transition process in relation to the greenhouse gas emission reduction ta</w:t>
      </w:r>
    </w:p>
    <w:p>
      <w:pPr/>
      <w:r>
        <w:rPr>
          <w:b/>
        </w:rPr>
        <w:t>POSSIBLE 2025:</w:t>
      </w:r>
      <w:r>
        <w:t xml:space="preserve"> European Green Deal Index: A new composite tool for monitoring European Union's Green Deal strategy — https://doi.org/10.1016/j.jclepro.2025.145077</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The European Green Deal and the democratic imagination — https://doi.org/10.1080/07036337.2025.2455686</w:t>
      </w:r>
    </w:p>
    <w:p>
      <w:pPr/>
      <w:r>
        <w:rPr>
          <w:b/>
        </w:rPr>
        <w:t>Shared claim-specific concepts:</w:t>
      </w:r>
      <w:r>
        <w:t xml:space="preserve"> green, deal, aims; EU scope visible. This is a provisional connection, not an outcome finding.</w:t>
      </w:r>
    </w:p>
    <w:p>
      <w:pPr>
        <w:pStyle w:val="SourceNote"/>
      </w:pPr>
      <w:r>
        <w:rPr>
          <w:b/>
        </w:rPr>
        <w:t>Available abstract (not full text):</w:t>
      </w:r>
      <w:r>
        <w:t xml:space="preserve"> Democracy can be imagined in vastly different ways, and the way it is imagined has implications for political projects and policymaking. In this paper, I assess the particular democratic imaginary that is reflected and reinforced by the European Green Deal (EGD). The EGD emphasizes citizens as a ‘driving force’ of sustainability transition. However, despite the emphasis on active citizens, their participation is circumscribed, since the actual aims and strategies of the EGD are apparently not open for debate. Using critical discourse analysis to interrogate the material surrounding the EGD, I identify some persistent tropes of the democratic imaginary that is found there. I find that the dominant political imaginary of the EGD is one of an ‘inclusive depoliticised democracy’ that engages a wide diversity of citizens in limited discussion. The EGD is placed outside of politics and democracy and becomes a matter of tutored knowledge exchange rather than impassioned engagement.</w:t>
      </w:r>
    </w:p>
    <w:p>
      <w:pPr/>
      <w:r>
        <w:rPr>
          <w:b/>
        </w:rPr>
        <w:t>POSSIBLE 2025:</w:t>
      </w:r>
      <w:r>
        <w:t xml:space="preserve"> An Implementation of European Green Deal into the European Union law — https://openalex.org/W7164873981</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Název rigorózní práce v anglickém jazyce, abstrakt v anglickém jazyce a 3 klíčová slova v anglickém jazyce Title: An implementation of the European Green Deal into the European Union law The European Union sees climate change as a major global issue. Although the EU has been focusing on climate change for many years, it only became an apparent priority with the adoption of the European Green Deal in December 2019, which is set to transform the entire EU economy, from energy produciton and waste management to sustainable consumption, with the aim to reduce EU greenhouse gas emissions by 55% by 2030 compared to 1990 and achieving climate neutrality by 2050. The aim of this rigorous thesis is to provide a comprehensive overview of the current development of climate law in the European Union, which is closely linked to the adoption and implementation of the European Green Deal and the related climate strategies and plans. Attention is paid to the period up to 2030 and the sub-target of a 55% reduction in greenhouse gas emissions compared to 1990, which is to be realised especially through the so-called Fit for 55 package, which proposes the adoption of new and the revision of some existing EU legislation in line with this target. The thesis is divided into an introduction, five parts and a conclusion. The first...</w:t>
      </w:r>
    </w:p>
    <w:p>
      <w:pPr/>
      <w:r>
        <w:rPr>
          <w:b/>
        </w:rPr>
        <w:t>POSSIBLE 2025:</w:t>
      </w:r>
      <w:r>
        <w:t xml:space="preserve"> Blue dimensions of the European green deal — https://doi.org/10.60054/peu.2025.12.76-85</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Over the past ten years, the European economy has faced a number of challenges: Britain’s exit from the EU, the COVID 19 pandemic, Russian aggression in Ukraine that escalated into war, the struggle for energy independence on the continent, the migration flow, and the increasing influence of far-right political movements. This line of events, however, is accompanied by one fundamental goal of the Union, namely sustainable development. A key instrument for achieving this is the so-called Green Deal, which has acquired a new blue hue in recent years. The aim of this study is to analyse how the blue economy contributes to the European Green Deal objectives, as oceans and seas cover a vast area of the EU territory and around two thirds of the Earth’s surface.</w:t>
      </w:r>
    </w:p>
    <w:p>
      <w:pPr/>
      <w:r>
        <w:rPr>
          <w:b/>
        </w:rPr>
        <w:t>POSSIBLE 2025:</w:t>
      </w:r>
      <w:r>
        <w:t xml:space="preserve"> Effects of European Green Deal on the European Union — https://openalex.org/W7113420187</w:t>
      </w:r>
    </w:p>
    <w:p>
      <w:pPr/>
      <w:r>
        <w:rPr>
          <w:b/>
        </w:rPr>
        <w:t>Shared claim-specific concepts:</w:t>
      </w:r>
      <w:r>
        <w:t xml:space="preserve"> green, deal, aims, union; EU scope visible. This is a provisional connection, not an outcome finding.</w:t>
      </w:r>
    </w:p>
    <w:p>
      <w:pPr>
        <w:pStyle w:val="SourceNote"/>
      </w:pPr>
      <w:r>
        <w:rPr>
          <w:b/>
        </w:rPr>
        <w:t>Available abstract (not full text):</w:t>
      </w:r>
      <w:r>
        <w:t xml:space="preserve"> This paper studies the economic and policy implications of the European Union and surrounding countries from policy, specifically the European Green Deal. With a data set including emissions, expenditures, tax revenue, population, and inequality measures, this study aims to further understand what can be used to explain emission levels. Results indicate that energy tax revenue is positively correlated to lower household emissions, higher GDP per capita is linked with higher emissions. Energy tax is positively correlated with total emissions highlighting the effects of other sectors on the environment in the EU such as manufacturing and transportation. Gini coefficient was not statistically significant, indicating the nuances of quantifying emission reduction targets among many countries within an economic union.</w:t>
      </w:r>
    </w:p>
    <w:p>
      <w:pPr/>
      <w:r>
        <w:rPr>
          <w:b/>
        </w:rPr>
        <w:t>POSSIBLE 2024:</w:t>
      </w:r>
      <w:r>
        <w:t xml:space="preserve"> Objectives of the European Green Deal — https://doi.org/10.4324/9781003486732-8</w:t>
      </w:r>
    </w:p>
    <w:p>
      <w:pPr/>
      <w:r>
        <w:rPr>
          <w:b/>
        </w:rPr>
        <w:t>Shared claim-specific concepts:</w:t>
      </w:r>
      <w:r>
        <w:t xml:space="preserve"> green, deal, aims, union; EU scope visible. This is a provisional connection, not an outcome finding.</w:t>
      </w:r>
    </w:p>
    <w:p>
      <w:pPr>
        <w:pStyle w:val="SourceNote"/>
      </w:pPr>
      <w:r>
        <w:rPr>
          <w:b/>
        </w:rPr>
        <w:t>Available abstract (not full text):</w:t>
      </w:r>
      <w:r>
        <w:t xml:space="preserve"> The European Green Deal is a package of policy initiatives aimed at setting the European Union (EU) on a path towards a green transition, with the ultimate goal of achieving climate neutrality by 2050. The European Green Deal was adopted on December 11, 2019. It aims to make Europe the first climate-neutral continent by 2050. In addition, it provides for accelerating economic growth, improving human health and well-being, and caring for the natural environment. The Green Deal is a new all-encompassing growth strategy that aims to rebalance the EU economy and create sustainable industry and transport. The European Climate Law will aim to turn this political commitment into a legal one. The Green Deal is a step towards a more holistic and integrated approach to climate and environmental challenges. It also tries to mainstream environmental policy by combining and enhancing several existing policies, initiatives, and funding programs dedicated to tackling sustainability and climate change issues. The key elements of the European Green Deal were remodeled into a package of new strategies adopted by the European Commission.</w:t>
      </w:r>
    </w:p>
    <w:p>
      <w:pPr>
        <w:pStyle w:val="Heading2"/>
      </w:pPr>
      <w:r>
        <w:t>609. Legume dreams: The contested futures of sustainable plant-based food systems in Europe</w:t>
      </w:r>
    </w:p>
    <w:p>
      <w:pPr>
        <w:pStyle w:val="SourceNote"/>
      </w:pPr>
      <w:r>
        <w:rPr>
          <w:b/>
        </w:rPr>
        <w:t>Original source (2021):</w:t>
      </w:r>
      <w:r>
        <w:t xml:space="preserve"> https://doi.org/10.1016/j.gloenvcha.2021.102321</w:t>
      </w:r>
    </w:p>
    <w:p>
      <w:pPr/>
      <w:r>
        <w:t>Original wording (abstract; indexed_source_text_not_full_document_verified): It identifies six food futures, each of which is made possible through the greater use of legumes in various production, processing, marketing and consumption contexts. But as the environmental consequences of agriculture (biodiversity loss, high greenhouse gas emissions, water pollution) and the health outcomes of modern diets (heart disease, cancer, diabetes, obesity) become better known, so great and varied hopes are being expressed about the future role of legumes in the food system.</w:t>
      </w:r>
    </w:p>
    <w:p>
      <w:pPr/>
      <w:r>
        <w:rPr>
          <w:b/>
        </w:rPr>
        <w:t>POSSIBLE 2026:</w:t>
      </w:r>
      <w:r>
        <w:t xml:space="preserve"> The European Food Supplement Project ‐Identification of emerging risks associated with food supplements, other than vitamins and minerals — https://doi.org/10.2903/sp.efsa.2026.en-10226</w:t>
      </w:r>
    </w:p>
    <w:p>
      <w:pPr/>
      <w:r>
        <w:rPr>
          <w:b/>
        </w:rPr>
        <w:t>Shared claim-specific concepts:</w:t>
      </w:r>
      <w:r>
        <w:t xml:space="preserve"> six, food, made, possible, consumption; EU scope visible. This is a provisional connection, not an outcome finding.</w:t>
      </w:r>
    </w:p>
    <w:p>
      <w:pPr>
        <w:pStyle w:val="SourceNote"/>
      </w:pPr>
      <w:r>
        <w:rPr>
          <w:b/>
        </w:rPr>
        <w:t>Available abstract (not full text):</w:t>
      </w:r>
      <w:r>
        <w:t xml:space="preserve"> Abstract In the frame of tailor‐made activities of EFSA focal points, a community of knowledge has been created to address possible emerging risks due to the consumption of food supplements other than vitamins and minerals (hereafter referred to as “food supplements”). The scope of this project is to gather information in order to facilitate the prioritisation of substances that are likely to be regulated under Article 8 of Regulation (EC) No 1925/2006. The project was divided into two work packages: The Vigilance work package aimed at collecting alerts to identify possible emerging risks from (nutri)vigilance/monitoring systems in Europe and other accessible sources, such as Toxinfo collections or signals from Poison centres; The Plant work package was focused on the identification on the market of food supplements containing plant‐based substances that are predicted to be toxic, as outlined in the EFSA Compendium on Botanicals. The Vigilance work package identified six ingredients that are possibly sources of emerging risks: Bifidobacterium, Coleus (Plectranthus barbatus), Guggul (Commiphora mukul), Toothed clubmoss (Huperzia serrata), Black radish (Raphanus sativus L.) and Ginseng (Panax ginseng). The Plant work package pointed out three substances of concern which are widely distributed in marketed plant‐containing supplements: furfural, emodin and chrysophanol. Future data</w:t>
      </w:r>
    </w:p>
    <w:p>
      <w:pPr/>
      <w:r>
        <w:rPr>
          <w:b/>
        </w:rPr>
        <w:t>POSSIBLE 2026:</w:t>
      </w:r>
      <w:r>
        <w:t xml:space="preserve"> Rethinking food logistics outsourcing: exploring the impact of structural changes in the European supply chain environment — https://doi.org/10.1080/13675567.2026.2654011</w:t>
      </w:r>
    </w:p>
    <w:p>
      <w:pPr/>
      <w:r>
        <w:rPr>
          <w:b/>
        </w:rPr>
        <w:t>Shared claim-specific concepts:</w:t>
      </w:r>
      <w:r>
        <w:t xml:space="preserve"> six, food, production; EU scope visible. This is a provisional connection, not an outcome finding.</w:t>
      </w:r>
    </w:p>
    <w:p>
      <w:pPr>
        <w:pStyle w:val="SourceNote"/>
      </w:pPr>
      <w:r>
        <w:rPr>
          <w:b/>
        </w:rPr>
        <w:t>Available abstract (not full text):</w:t>
      </w:r>
      <w:r>
        <w:t xml:space="preserve"> European food supply chains have seen structural changes regarding cost, energy, labour, and sustainability regulations. This has forced food processors to reassess the drivers of logistics outsourcing and rethink their strategies. In this exploratory multiple-case study, we investigated six large food processors that have extensive production and logistics facilities across Europe and conducted semi-structured interviews with their C-suite and high-level supply chain executives. Guided by the decision-making framework for food logistics outsourcing by Hsiao, Van der Vorst, et al. (2010), we analysed the interview data for key drivers behind the logistics outsourcing decisions. While confirming the relevance of traditional drivers examined in literature (e.g. control over operations and food quality, closeness to core business), we identified emerging drivers and propose an extended decision-making framework. Future empirical investigations are needed to test the theoretical perspectives of those new drivers. Managerial insights are provided for both food processors and logistics service providers.</w:t>
      </w:r>
    </w:p>
    <w:p>
      <w:pPr/>
      <w:r>
        <w:rPr>
          <w:b/>
        </w:rPr>
        <w:t>POSSIBLE 2026:</w:t>
      </w:r>
      <w:r>
        <w:t xml:space="preserve"> Recent increases in solar UV radiation across Europe: a 40-location study to identify trend boundaries — https://doi.org/10.1007/s43630-026-00971-4</w:t>
      </w:r>
    </w:p>
    <w:p>
      <w:pPr/>
      <w:r>
        <w:rPr>
          <w:b/>
        </w:rPr>
        <w:t>Shared claim-specific concepts:</w:t>
      </w:r>
      <w:r>
        <w:t xml:space="preserve"> six, but, environmental; EU scope visible. This is a provisional connection, not an outcome finding.</w:t>
      </w:r>
    </w:p>
    <w:p>
      <w:pPr>
        <w:pStyle w:val="SourceNote"/>
      </w:pPr>
      <w:r>
        <w:rPr>
          <w:b/>
        </w:rPr>
        <w:t>Available abstract (not full text):</w:t>
      </w:r>
      <w:r>
        <w:t xml:space="preserve"> Significant trends of ultraviolet radiation (UVR) have been reported at limited European sites due to changing atmospheric conditions, such as cloudiness. Whether these findings are applicable to larger areas or even the entire continent remains unclear. In a unique comparison, we analyzed measurements of erythemally weighted daily ambient radiant exposure from 40 European locations, covering the period from 2013 to 2022. At 26 locations annual means increases statistically significantly with a median of + 1.2%/yr. At 38 sites at least monthly means increases with medians between + 2%/yr and + 4%/yr. Increases were seen in satellite products of UVR, global solar radiation, and sunshine duration, too. Analysis at six stations, with data extending back to the mid-1990s, indicates that the period of statistically significant increases generally began between 2010 and 2013. Comparison of UVR data from 40 stations with a high-resolution global solar radiation trend map reveals complementary patterns, highlighting widespread but not uniform UVR changes across Europe. This combination enables figuring out the regional extent of trends. Thus, ground-based UVR measurements remain essential for quantifying changes, highlighting the need for continued monitoring with sufficiently dense measurement networks. This is also essential for understanding and mitigating the impacts of changing UV</w:t>
      </w:r>
    </w:p>
    <w:p>
      <w:pPr/>
      <w:r>
        <w:rPr>
          <w:b/>
        </w:rPr>
        <w:t>POSSIBLE 2025:</w:t>
      </w:r>
      <w:r>
        <w:t xml:space="preserve"> European consumers' involvement with date labels and implications for household food waste — https://doi.org/10.1016/j.foodqual.2025.105522</w:t>
      </w:r>
    </w:p>
    <w:p>
      <w:pPr/>
      <w:r>
        <w:rPr>
          <w:b/>
        </w:rPr>
        <w:t>Shared claim-specific concepts:</w:t>
      </w:r>
      <w:r>
        <w:t xml:space="preserve"> identifies, six, food, use, but; EU scope visible. This is a provisional connection, not an outcome finding.</w:t>
      </w:r>
    </w:p>
    <w:p>
      <w:pPr>
        <w:pStyle w:val="SourceNote"/>
      </w:pPr>
      <w:r>
        <w:rPr>
          <w:b/>
        </w:rPr>
        <w:t>Available abstract (not full text):</w:t>
      </w:r>
      <w:r>
        <w:t xml:space="preserve"> Food waste (FW) in the European Union remains a significant challenge, with over 58 million tons generated annually. Consumer behavior, particularly in relation to food-date labels, is a key factor influencing FW. This study focuses on patterns of involvement with date labels, examining how understanding, attention, and behavioral responses to date labels vary across consumer segments. By clustering consumers based on these dimensions, the research aims to identify distinct involvement patterns toward date labels and the impact on FW decisions. The study involved 1507 consumers (54.6 % female, mean age = 44.9 years) from six EU countries (Belgium, France, Germany, Italy, Spain, Sweden). Participants completed an online questionnaire assessing their understanding, attention, and behavioral responses to date labels, alongside their reported domestic FW behaviors, sociodemographics, and FW management skills. Results indicate that 75.2 % of European consumers understand the difference between ‘use by’ and ‘best before’ dates, and over 80 % correctly identify the meanings of these terms. Increased understanding correlates with reduced household FW, but this factor alone is insufficient to significantly lower waste levels. Additionally, enhanced use of date labels plays a crucial role in minimizing FW. The study identifies distinct consumer segments toward date labels: “Higher involv</w:t>
      </w:r>
    </w:p>
    <w:p>
      <w:pPr/>
      <w:r>
        <w:rPr>
          <w:b/>
        </w:rPr>
        <w:t>POSSIBLE 2024:</w:t>
      </w:r>
      <w:r>
        <w:t xml:space="preserve"> An Exploration of Food Sustainability Practices in the Food Industry across Europe — https://doi.org/10.3390/su16167119</w:t>
      </w:r>
    </w:p>
    <w:p>
      <w:pPr/>
      <w:r>
        <w:rPr>
          <w:b/>
        </w:rPr>
        <w:t>Shared claim-specific concepts:</w:t>
      </w:r>
      <w:r>
        <w:t xml:space="preserve"> food, greater, environmental, emissions; EU scope visible. This is a provisional connection, not an outcome finding.</w:t>
      </w:r>
    </w:p>
    <w:p>
      <w:pPr>
        <w:pStyle w:val="SourceNote"/>
      </w:pPr>
      <w:r>
        <w:rPr>
          <w:b/>
        </w:rPr>
        <w:t>Available abstract (not full text):</w:t>
      </w:r>
      <w:r>
        <w:t xml:space="preserve"> Sustainability is becoming essential and actively debated in the food sector, influencing companies and stakeholders globally. Sustainability practices have been developed and integrated into food industry actions and policies to meet present needs without compromising future needs. The aim of this study was to explore the current sustainability practices across the food industry in Europe and how initiatives are developed, implemented and evaluated to achieve food sustainability targets. This study formed part of a larger European project (2022-1-IE01-KA220-VET-000087508 Digitalisation of Sustainable Health Education). In-depth semi-structured interviews were conducted with 21 food industry employees with expertise in sustainability across Ireland, Poland, Lithuania, and Cyprus. Interviews were transcribed and thematically analysed. Three themes were identified: sustainable practices challenges, facilitators of green practice, and thinking to the future, Complying with the Science-Based Targets initiative, and setting emissions targets such net zero by 2050 and reducing waste output, drove sustainable activities. Participants identified barriers to initiative development and implementation including cost, monitoring time, product quality, and employee engagement. Employee and stakeholder understanding were crucial to sustainability initiative success. Gaps in research were ide</w:t>
      </w:r>
    </w:p>
    <w:p>
      <w:pPr/>
      <w:r>
        <w:rPr>
          <w:b/>
        </w:rPr>
        <w:t>POSSIBLE 2024:</w:t>
      </w:r>
      <w:r>
        <w:t xml:space="preserve"> Robustness of business models for insect production for feed and food in Europe — https://doi.org/10.1163/23524588-00001141</w:t>
      </w:r>
    </w:p>
    <w:p>
      <w:pPr/>
      <w:r>
        <w:rPr>
          <w:b/>
        </w:rPr>
        <w:t>Shared claim-specific concepts:</w:t>
      </w:r>
      <w:r>
        <w:t xml:space="preserve"> six, food, use, production, processing, but; EU scope visible. This is a provisional connection, not an outcome finding.</w:t>
      </w:r>
    </w:p>
    <w:p>
      <w:pPr>
        <w:pStyle w:val="SourceNote"/>
      </w:pPr>
      <w:r>
        <w:rPr>
          <w:b/>
        </w:rPr>
        <w:t>Available abstract (not full text):</w:t>
      </w:r>
      <w:r>
        <w:t xml:space="preserve"> Abstract Insects and their derivatives are increasingly recognised as a (more) sustainable and circular protein source for feed and food. The European insect industry is growing, but upscaling remains a challenge due to multiple uncertainties. This study analysed the robustness of three different business models for insect production for feed and food in six future scenarios. Business models and scenarios were identified through literature review and refined through expert elicitation (n = 5). The three business models comprised: (1) full-liner black soldier fly production for pet food , (2) decentralised black soldier fly production for aquafeed , and (3) mealworm processing cooperative for food . The six scenarios addressed uncertainties around the use of side streams, insect welfare, energy, and sustainability. We used the Business Model Stress Test in four focus groups with experts (n = 23) from six European countries. Heat maps for three distinct business models were presented, detailing the impacts of scenarios on business model components. Experts regarded full-liner black soldier fly production for pet food and mealworm processing cooperative for food as more robust than decentralised black soldier fly production for aquafeed . These differences were mainly related to the customer segments , value proposition , revenue structure , and cost structure . In full-liner blac</w:t>
      </w:r>
    </w:p>
    <w:p>
      <w:pPr/>
      <w:r>
        <w:rPr>
          <w:b/>
        </w:rPr>
        <w:t>POSSIBLE 2024:</w:t>
      </w:r>
      <w:r>
        <w:t xml:space="preserve"> Food allergy outside the eight big foods in Europe: A systematic review and meta‐analysis — https://doi.org/10.1002/clt2.12338</w:t>
      </w:r>
    </w:p>
    <w:p>
      <w:pPr/>
      <w:r>
        <w:rPr>
          <w:b/>
        </w:rPr>
        <w:t>Shared claim-specific concepts:</w:t>
      </w:r>
      <w:r>
        <w:t xml:space="preserve"> six, food, each, but; EU scope visible. This is a provisional connection, not an outcome finding.</w:t>
      </w:r>
    </w:p>
    <w:p>
      <w:pPr>
        <w:pStyle w:val="SourceNote"/>
      </w:pPr>
      <w:r>
        <w:rPr>
          <w:b/>
        </w:rPr>
        <w:t>Available abstract (not full text):</w:t>
      </w:r>
      <w:r>
        <w:t xml:space="preserve"> BACKGROUND: The 2014 estimates of prevalence of food allergy (FA) in Europe published by the European Academy of Allergy and Clinical Immunology included only the eight so-called big foods (cow's milk/egg/wheat/soy/peanut/tree nuts/fish/shellfish). Those estimates have recently been updated. Complementing this, we sought to identify and estimate the prevalence of allergy to other foods that have been reported during the last decade. METHODS: Six databases were searched for studies published 2012-2021. Random-effects meta-analysis was performed to derive pooled prevalence of allergy to each food. RESULTS: Twenty-seven studies were included, containing a total of 66 FAs. Among the most frequently reported FAs, the lifetime and point prevalence range of self-reported kiwi allergy was 0.1%-1.0% and 0.2%-8.1%, respectively, while the food challenge (FC)-verified kiwi allergy point prevalence range was 0.01%-0.10%. The point prevalence range for self-reported peach allergy was 0.2%-3.2%, while the range for FC-verified peach allergy was 0.02%-0.05%. The lifetime and point prevalence range for self-reported tomato allergy was 0.01%-1.8% and 0.2%-2.1%, respectively. CONCLUSION: Allergy to some foods traditionally not considered important are now emerging as relevant FAs. The focus on FA in Europe should not be limited to the so-called eight big FA, but extended to other types of foods </w:t>
      </w:r>
    </w:p>
    <w:p>
      <w:pPr/>
      <w:r>
        <w:rPr>
          <w:b/>
        </w:rPr>
        <w:t>POSSIBLE 2024:</w:t>
      </w:r>
      <w:r>
        <w:t xml:space="preserve"> Mapping lock-ins and enabling environments for agri-food sustainability transitions in Europe — https://doi.org/10.1007/s11625-024-01480-y</w:t>
      </w:r>
    </w:p>
    <w:p>
      <w:pPr/>
      <w:r>
        <w:rPr>
          <w:b/>
        </w:rPr>
        <w:t>Shared claim-specific concepts:</w:t>
      </w:r>
      <w:r>
        <w:t xml:space="preserve"> food, each, production, consumption, agriculture, emissions; EU scope visible. This is a provisional connection, not an outcome finding.</w:t>
      </w:r>
    </w:p>
    <w:p>
      <w:pPr>
        <w:pStyle w:val="SourceNote"/>
      </w:pPr>
      <w:r>
        <w:rPr>
          <w:b/>
        </w:rPr>
        <w:t>Available abstract (not full text):</w:t>
      </w:r>
      <w:r>
        <w:t xml:space="preserve"> European agri-food systems must overcome structural lock-ins to achieve more sustainable modes of production and consumption. Yet European regions are highly diverse, and we lack understanding of how different regional characteristics may enable or inhibit sustainability transitions. This hinders the development of context-tailored governance strategies. In this paper, we identify and apply sets of spatial indicators to map the regional potentials for agri-food transitions. We first analyse the strength of lock-in to the incumbent agro-industrial paradigm. We then map the enabling environments for two alternative agri-food networks-multifunctional value chains and civic food networks-that each embed distinct social-ecological qualities of agriculture and food. Results demonstrate a large spatial diversity in transition potential, with stronger lock-ins throughout North and Western Europe and stronger enabling environments for agri-food transitions in Italy, France, Switzerland, and Southwest Germany. We find that lock-ins are strongest in livestock-dominated regions and are associated with higher GHG emissions and excess nitrogen levels. Our study demonstrates the need for coordinated public policies that (1) leverage region-specific transition potentials and (2) enable complementary innovations in market-based and community-led networks. Supplementary Information: The online v</w:t>
      </w:r>
    </w:p>
    <w:p>
      <w:pPr/>
      <w:r>
        <w:rPr>
          <w:b/>
        </w:rPr>
        <w:t>POSSIBLE 2024:</w:t>
      </w:r>
      <w:r>
        <w:t xml:space="preserve"> Vulnerability of terrestrial vertebrate food webs to anthropogenic threats in Europe — https://doi.org/10.1111/gcb.17253</w:t>
      </w:r>
    </w:p>
    <w:p>
      <w:pPr/>
      <w:r>
        <w:rPr>
          <w:b/>
        </w:rPr>
        <w:t>Shared claim-specific concepts:</w:t>
      </w:r>
      <w:r>
        <w:t xml:space="preserve"> six, food, various, consequences, biodiversity; EU scope visible. This is a provisional connection, not an outcome finding.</w:t>
      </w:r>
    </w:p>
    <w:p>
      <w:pPr>
        <w:pStyle w:val="SourceNote"/>
      </w:pPr>
      <w:r>
        <w:rPr>
          <w:b/>
        </w:rPr>
        <w:t>Available abstract (not full text):</w:t>
      </w:r>
      <w:r>
        <w:t xml:space="preserve"> Vertebrate species worldwide are currently facing significant declines in many populations. Although we have gained substantial knowledge about the direct threats that affect individual species, these threats only represent a fraction of the broader vertebrate threat profile, which is also shaped by species interactions. For example, threats faced by prey species can jeopardize the survival of their predators due to food resource scarcity. Yet, indirect threats arising from species interactions have received limited investigation thus far. In this study, we investigate the indirect consequences of anthropogenic threats on biodiversity in the context of European vertebrate food webs. We integrated data on trophic interactions among over 800 terrestrial vertebrates, along with their associated human-induced threats. We quantified and mapped the vulnerability of various components of the food web, including species, interactions, and trophic groups to six major threats: pollution, agricultural intensification, climate change, direct exploitation, urbanization, and invasive alien species and diseases. Direct exploitation and agricultural intensification were two major threats for terrestrial vertebrate food webs: affecting 34% and 31% of species, respectively, they threaten 85% and 69% of interactions in Europe. By integrating network ecology with threat impact assessments, our stu</w:t>
      </w:r>
    </w:p>
    <w:p>
      <w:pPr/>
      <w:r>
        <w:rPr>
          <w:b/>
        </w:rPr>
        <w:t>POSSIBLE 2024:</w:t>
      </w:r>
      <w:r>
        <w:t xml:space="preserve"> Understanding the role of biodiversity in the climate, food, water, energy, transport and health nexus in Europe — https://doi.org/10.1016/j.scitotenv.2024.171692</w:t>
      </w:r>
    </w:p>
    <w:p>
      <w:pPr/>
      <w:r>
        <w:rPr>
          <w:b/>
        </w:rPr>
        <w:t>Shared claim-specific concepts:</w:t>
      </w:r>
      <w:r>
        <w:t xml:space="preserve"> food, each, use, but, biodiversity, loss; EU scope visible. This is a provisional connection, not an outcome finding.</w:t>
      </w:r>
    </w:p>
    <w:p>
      <w:pPr>
        <w:pStyle w:val="SourceNote"/>
      </w:pPr>
      <w:r>
        <w:rPr>
          <w:b/>
        </w:rPr>
        <w:t>Available abstract (not full text):</w:t>
      </w:r>
      <w:r>
        <w:t xml:space="preserve"> Biodiversity underpins the functioning of ecosystems and the diverse benefits that nature provides to people, yet is being lost at an unprecedented rate. To halt or reverse biodiversity loss, it is critical to understand the complex interdependencies between biodiversity and key drivers and sectors to inform the development of holistic policies and actions. We conducted a literature review on the interlinkages between biodiversity and climate change, food, water, energy, transport and health ("the biodiversity nexus"). Evidence extracted from 194 peer-reviewed articles was analysed to assess how biodiversity is being influenced by and is influencing the other nexus elements. Out of the 354 interlinkages between biodiversity and the other nexus elements, 53 % were negative, 29 % were positive and 18 % contained both positive and negative influences. The majority of studies provide evidence of the negative influence of other nexus elements on biodiversity, highlighting the substantial damage being inflicted on nature from human activities. The main types of negative impacts were land or water use/change, land or water degradation, climate change, and direct species fatalities through collisions with infrastructure. Alternatively, evidence of biodiversity having a negative influence on the other nexus elements was limited to the effects of invasive alien species and vector-borne d</w:t>
      </w:r>
    </w:p>
    <w:p>
      <w:pPr/>
      <w:r>
        <w:rPr>
          <w:b/>
        </w:rPr>
        <w:t>POSSIBLE 2024:</w:t>
      </w:r>
      <w:r>
        <w:t xml:space="preserve"> Multifaceted Conscription: A Comparative Study of Six European Countries — https://doi.org/10.31374/sjms.166</w:t>
      </w:r>
    </w:p>
    <w:p>
      <w:pPr/>
      <w:r>
        <w:rPr>
          <w:b/>
        </w:rPr>
        <w:t>Shared claim-specific concepts:</w:t>
      </w:r>
      <w:r>
        <w:t xml:space="preserve"> identifies, six, various; EU scope visible. This is a provisional connection, not an outcome finding.</w:t>
      </w:r>
    </w:p>
    <w:p>
      <w:pPr>
        <w:pStyle w:val="SourceNote"/>
      </w:pPr>
      <w:r>
        <w:rPr>
          <w:b/>
        </w:rPr>
        <w:t>Available abstract (not full text):</w:t>
      </w:r>
      <w:r>
        <w:t xml:space="preserve"> Although the last few decades have witnessed a shift from conscription to all-volunteer forces in many European countries, recent changes in the European security environment have raised new concerns and prompted several countries to reconsider conscription. However, modern conscription systems have also had to adapt to changing societies and an increasing emphasis on individualistic and neoliberal values. This study aims to examine the various forms of military conscription and illuminate the continuing viability of the conscription model in six European countries: Estonia, Finland, Lithuania, Norway, Sweden, and Switzerland. Four of these countries have consistently maintained conscription (Estonia, Finland, Norway, and Switzerland), while Lithuania and Sweden have recently reinstated conscription. Although conscription systems differ among these countries, there is overall an increasing emphasis on conscript motivation and female participation. Three key aspects are identified to describe different conscription systems: the proportion of conscripted individuals in the birth cohort, motivation to serve, and the approach to female conscripts. Combining these aspects, the study identifies three types of conscription system in these six countries. This article demonstrates that conscription has evolved and adapted to changing societies and security situations instead of merely r</w:t>
      </w:r>
    </w:p>
    <w:p>
      <w:pPr/>
      <w:r>
        <w:rPr>
          <w:b/>
        </w:rPr>
        <w:t>POSSIBLE 2024:</w:t>
      </w:r>
      <w:r>
        <w:t xml:space="preserve"> Cross-Continental insights: Comparing food safety management systems in Europe and Latin America — https://doi.org/10.1016/j.foodcont.2024.110552</w:t>
      </w:r>
    </w:p>
    <w:p>
      <w:pPr/>
      <w:r>
        <w:rPr>
          <w:b/>
        </w:rPr>
        <w:t>Shared claim-specific concepts:</w:t>
      </w:r>
      <w:r>
        <w:t xml:space="preserve"> food, various, contexts; EU scope visible. This is a provisional connection, not an outcome finding.</w:t>
      </w:r>
    </w:p>
    <w:p>
      <w:pPr>
        <w:pStyle w:val="SourceNote"/>
      </w:pPr>
      <w:r>
        <w:rPr>
          <w:b/>
        </w:rPr>
        <w:t>Available abstract (not full text):</w:t>
      </w:r>
      <w:r>
        <w:t xml:space="preserve"> This study investigates the implementation of Food Safety Management Systems (FSMSs) in agrofood firms across different regional contexts, focusing on the varying motivations behind their adoption in Europe and Latin America. The research aims to understand how these motivations influence the effectiveness of FSMSs in these distinct business environments. A questionnaire was administered to firms certified to the British Retail Consortium Global Standard for Food Safety (BRC-GS) in Spain and various Latin American countries. The data collected were analyzed using multigroup structural equations modeling to examine the relationships between the firms' motivations and the degree of effective FSMS implementation in these regions. The findings highlight that the institutional environment significantly moderates these relationships. In the European context, ethical considerations play a crucial role in driving effective FSMS implementation. Conversely, in Latin America, commercial motivations are a more significant influence, with legitimacy reasons having a negative impact. This study is pioneering in its comparative analysis of FSMS implementation in European and Latin American agrofood firms. The insights gained contribute to understanding the behavioral dynamics of these firms within different economic and regulatory frameworks and offer a broader perspective on the evolution of</w:t>
      </w:r>
    </w:p>
    <w:p>
      <w:pPr>
        <w:pStyle w:val="Heading2"/>
      </w:pPr>
      <w:r>
        <w:t>610. Long‐term trends of Nordic power market: A review</w:t>
      </w:r>
    </w:p>
    <w:p>
      <w:pPr>
        <w:pStyle w:val="SourceNote"/>
      </w:pPr>
      <w:r>
        <w:rPr>
          <w:b/>
        </w:rPr>
        <w:t>Original source (2021):</w:t>
      </w:r>
      <w:r>
        <w:t xml:space="preserve"> https://doi.org/10.1002/wene.413</w:t>
      </w:r>
    </w:p>
    <w:p>
      <w:pPr/>
      <w:r>
        <w:t>Original wording (abstract; indexed_source_text_not_full_document_verified): Explicit assessments on impacts of emerging topics, such as social oppositions to particular technologies and increased awareness of sustainability indicators besides clean energy, will add values for long‐term decision making in the power markets.</w:t>
      </w:r>
    </w:p>
    <w:p>
      <w:pPr/>
      <w:r>
        <w:rPr>
          <w:b/>
        </w:rPr>
        <w:t>POSSIBLE 2026:</w:t>
      </w:r>
      <w:r>
        <w:t xml:space="preserve"> Oblique Impact Response of a Silicone-Rubber-Supported Steel Plate: Analytical Scaling, Explicit Finite Element Assessment, and Energy Transfer Mechanisms — https://doi.org/10.51584/ijrias.2026.11080192</w:t>
      </w:r>
    </w:p>
    <w:p>
      <w:pPr/>
      <w:r>
        <w:rPr>
          <w:b/>
        </w:rPr>
        <w:t>Shared claim-specific concepts:</w:t>
      </w:r>
      <w:r>
        <w:t xml:space="preserve"> explicit, impacts, energy; EU scope not established. This is a provisional connection, not an outcome finding.</w:t>
      </w:r>
    </w:p>
    <w:p>
      <w:pPr>
        <w:pStyle w:val="SourceNote"/>
      </w:pPr>
      <w:r>
        <w:rPr>
          <w:b/>
        </w:rPr>
        <w:t>Available abstract (not full text):</w:t>
      </w:r>
      <w:r>
        <w:t xml:space="preserve"> Oblique impacts are common in protective structures, mechanical stops, compliant mounts, and vibration-isolation systems; nevertheless, the influence of impact angle is often evaluated by reducing the prescribed speed rather than by resolving a constant resultant velocity into normal and tangential components. This practice confounds the physical effect of angle with a change in impact energy. The present study reformulates the response of a steel plate supported by a silicone-rubber element and struck by a rigid spherical impactor at 0°, 30°, 45°, and 60°, where the angle is measured from the plate normal. A reduced-order momentum–energy model is derived for a perfectly inelastic normal collision. The model predicts that the post-impact normal velocity, maximum support compression, and peak support force scale with cos(θ), while the energy transferred to the support scales with cos2(θ). A preliminary two-dimensional Abaqus/Explicit model is then assessed using the archived computational results. The reported peak plate displacement decreased from 148.34 mm at 0° to 36.88 mm at 60°, while the peak von Mises stress decreased from 5.398 to 3.81 MPa. The numerical displacement decreased more rapidly than the analytical cos(θ) prediction, demonstrating that a single-degree-of-freedom model cannot represent contact redistribution, tangential slip, plate flexibility, and the nonlinea</w:t>
      </w:r>
    </w:p>
    <w:p>
      <w:pPr/>
      <w:r>
        <w:rPr>
          <w:b/>
        </w:rPr>
        <w:t>POSSIBLE 2026:</w:t>
      </w:r>
      <w:r>
        <w:t xml:space="preserve"> bw_timex: A Python Package for Time-Explicit Life Cycle Assessment — https://doi.org/10.21105/joss.09621</w:t>
      </w:r>
    </w:p>
    <w:p>
      <w:pPr/>
      <w:r>
        <w:rPr>
          <w:b/>
        </w:rPr>
        <w:t>Shared claim-specific concepts:</w:t>
      </w:r>
      <w:r>
        <w:t xml:space="preserve"> impacts, technologies; EU scope not established. This is a provisional connection, not an outcome finding.</w:t>
      </w:r>
    </w:p>
    <w:p>
      <w:pPr>
        <w:pStyle w:val="SourceNote"/>
      </w:pPr>
      <w:r>
        <w:rPr>
          <w:b/>
        </w:rPr>
        <w:t>Available abstract (not full text):</w:t>
      </w:r>
      <w:r>
        <w:t xml:space="preserve"> bw_timex is a Python package for time-explicit Life Cycle Assessment (LCA).Unlike conventional LCA, time-explicit LCA allows the quantification of environmental impacts of products and processes over time, considering their temporal distribution and evolution.As such, bw_timex enables simultaneously accounting for:• the timing of processes throughout the supply chain (e.g., end-of-life treatment occurs 20 years after production), • variable and/or evolving supply chains and technologies (e.g., increasing shares of renewable electricity or higher process efficiencies in the future), and • the timing of emissions (enabling dynamic characterization).To achieve this, bw_timex uses graph traversal to convolve process-relative temporal distributions through the supply chain.From the resulting timeline of technosphere exchanges, Life Cycle Inventories (LCIs) are automatically linked across time-specific background databases.The resulting time-explicit LCI reflects the current technology status within the product system at the actual time of each process.Moreover, bw_timex preserves the timing of emissions, enabling both dynamic and static Life Cycle Impact Assessment.</w:t>
      </w:r>
    </w:p>
    <w:p>
      <w:pPr/>
      <w:r>
        <w:rPr>
          <w:b/>
        </w:rPr>
        <w:t>POSSIBLE 2026:</w:t>
      </w:r>
      <w:r>
        <w:t xml:space="preserve"> HTA and Ethical Impact Assessment―Preliminary Perspectives — https://doi.org/10.1007/978-3-032-28812-7_14</w:t>
      </w:r>
    </w:p>
    <w:p>
      <w:pPr/>
      <w:r>
        <w:rPr>
          <w:b/>
        </w:rPr>
        <w:t>Shared claim-specific concepts:</w:t>
      </w:r>
      <w:r>
        <w:t xml:space="preserve"> explicit, assessments, technologies, values; EU scope not established. This is a provisional connection, not an outcome finding.</w:t>
      </w:r>
    </w:p>
    <w:p>
      <w:pPr>
        <w:pStyle w:val="SourceNote"/>
      </w:pPr>
      <w:r>
        <w:rPr>
          <w:b/>
        </w:rPr>
        <w:t>Available abstract (not full text):</w:t>
      </w:r>
      <w:r>
        <w:t xml:space="preserve"> Abstract Health technology assessment (HTA) is defined as a multidisciplinary process the explicit methods of which determine the value of products and systems throughout the entire lifecycle. Equity, efficiency, and high-quality reflect ethical, legal, and socio-economic values and norms. Subcategories of assessments steer the discussion towards general and AI ethics. AI-driven technologies present a whole new context where facts and values challenge communities of stakeholders. Ethical impact assessment as a study scenario leads the reader to a impact framework. A case of the sleep apnea digital care pathway by Pohde is backed up by the principles of digi-HTA. The positivist way of describing a process of ethical impact assessment is of a suggestive nature. Policies, practices, processes, and products and services are in the center of ethical HTA impact assessment. Hopefully the essay will nourish future discussions on the subject-matter.</w:t>
      </w:r>
    </w:p>
    <w:p>
      <w:pPr/>
      <w:r>
        <w:rPr>
          <w:b/>
        </w:rPr>
        <w:t>POSSIBLE 2026:</w:t>
      </w:r>
      <w:r>
        <w:t xml:space="preserve"> Product Change Impact Assessment &amp; Decision Readiness — https://doi.org/10.5281/zenodo.22235247</w:t>
      </w:r>
    </w:p>
    <w:p>
      <w:pPr/>
      <w:r>
        <w:rPr>
          <w:b/>
        </w:rPr>
        <w:t>Shared claim-specific concepts:</w:t>
      </w:r>
      <w:r>
        <w:t xml:space="preserve"> explicit, assessments, impacts, decision; EU scope not established. This is a provisional connection, not an outcome finding.</w:t>
      </w:r>
    </w:p>
    <w:p>
      <w:pPr>
        <w:pStyle w:val="SourceNote"/>
      </w:pPr>
      <w:r>
        <w:rPr>
          <w:b/>
        </w:rPr>
        <w:t>Available abstract (not full text):</w:t>
      </w:r>
      <w:r>
        <w:t xml:space="preserve"> Public-safe, synthetic PLM Business Architecture reference case showing how a bounded engineering product-change problem can be translated into explicit business, information and decision semantics, deterministic readiness and routing rules, a controlled executable proof boundary, independent scenario verification and reproducible technical evidence. The architecture is the primary deliverable. The executable demonstrator is used to test whether the frozen architectural meaning can execute deterministically without semantic shortcuts. The v0.1.0 release includes a six-artefact frozen architecture authority chain, an Architecture Traceability and Assurance Pack, deterministic Scenarios A–C, committed verification evidence, a one-page executive brief, three canonical architecture diagrams, an editable ten-slide presentation, demonstration and interview walkthrough material, and independent architecture/reproducibility review records. The reference case demonstrates explicit separation of current state, Assessment Baseline, proposed-state overlay, discovered impacts, Assessments, Evidence, Decision Scope, Authorisation Eligibility, authority sufficiency and terminal Decision. This release does not claim company-specific PLM process fidelity, enterprise PLM completeness, production readiness, general arbitrary-graph impact discovery, automated engineering judgement or automated ter</w:t>
      </w:r>
    </w:p>
    <w:p>
      <w:pPr/>
      <w:r>
        <w:rPr>
          <w:b/>
        </w:rPr>
        <w:t>POSSIBLE 2026:</w:t>
      </w:r>
      <w:r>
        <w:t xml:space="preserve"> Matrix Approaches for Cumulative Impact Assessments in Decision-Making — https://doi.org/10.1177/19394071251413002</w:t>
      </w:r>
    </w:p>
    <w:p>
      <w:pPr/>
      <w:r>
        <w:rPr>
          <w:b/>
        </w:rPr>
        <w:t>Shared claim-specific concepts:</w:t>
      </w:r>
      <w:r>
        <w:t xml:space="preserve"> explicit, assessments, impacts; EU scope not established. This is a provisional connection, not an outcome finding.</w:t>
      </w:r>
    </w:p>
    <w:p>
      <w:pPr>
        <w:pStyle w:val="SourceNote"/>
      </w:pPr>
      <w:r>
        <w:rPr>
          <w:b/>
        </w:rPr>
        <w:t>Available abstract (not full text):</w:t>
      </w:r>
      <w:r>
        <w:t xml:space="preserve"> This article discusses matrix approaches for cumulative impact assessments in decision-making. Matrix approaches are described and contrasted with the more traditional, single-scoring methods, such as CalEnviroScreen and the Centers for Disease Control and Prevention's Environmental Justice Index. In doing so, the explicit advantages of matrix approaches are highlighted. In addition, this article explains how new generation tools, such as the the White House Council on Environmental Quality’s Climate and Economic Justice Screening Tool and New Jersey’s Environmental Justice Mapping, Assessment, and Protection tool are examples of matrix approaches and how these tools can be expanded beyond their current uses in order to address other decision-making contexts where cumulative impacts are a concern.</w:t>
      </w:r>
    </w:p>
    <w:p>
      <w:pPr/>
      <w:r>
        <w:rPr>
          <w:b/>
        </w:rPr>
        <w:t>POSSIBLE 2025:</w:t>
      </w:r>
      <w:r>
        <w:t xml:space="preserve"> Robust Assessments of Lithium Mining Impacts Embodied in Global Supply Chain Require Spatially Explicit Analyses — https://doi.org/10.1021/acs.est.4c12749</w:t>
      </w:r>
    </w:p>
    <w:p>
      <w:pPr/>
      <w:r>
        <w:rPr>
          <w:b/>
        </w:rPr>
        <w:t>Shared claim-specific concepts:</w:t>
      </w:r>
      <w:r>
        <w:t xml:space="preserve"> explicit, assessments, impacts, energy; EU scope visible. This is a provisional connection, not an outcome finding.</w:t>
      </w:r>
    </w:p>
    <w:p>
      <w:pPr>
        <w:pStyle w:val="SourceNote"/>
      </w:pPr>
      <w:r>
        <w:rPr>
          <w:b/>
        </w:rPr>
        <w:t>Available abstract (not full text):</w:t>
      </w:r>
      <w:r>
        <w:t xml:space="preserve"> Lithium is a critical material for the energy transition, but its mining causes significant environmental impacts that will intensify due to surging global demand. Here, we conduct a mining site-specific environmental impact assessment of lithium on a global scale, focusing on greenhouse gas (GHG) emissions, water use, and land use. We then track the production and international trade flows of all lithium-containing commodities to assess how lithium mining impacts are distributed across global supply chains. Results indicate that environmental impact intensities of battery-grade Li 2 CO 3 production from various mine sites differ between 4 times for GHG emissions to 2885 times for land use. 56–68% of environmental impacts generated in the mining countries were embodied in internationally traded lithium flows. On the production side, China, Australia, and Chile were the top 3 countries, accounting for 91–94% of environmental impacts. Regarding final demand, China was the major consuming region, inducing 46–47% of the environmental impacts of global lithium mining, followed by Korea (17–18%) and the EU-27 (9%). Our findings reveal the need for spatially explicit information to accurately assess the environmental impacts of lithium mining and highlight that mitigation requires cooperation between major producer and consumer countries.</w:t>
      </w:r>
    </w:p>
    <w:p>
      <w:pPr/>
      <w:r>
        <w:rPr>
          <w:b/>
        </w:rPr>
        <w:t>POSSIBLE 2025:</w:t>
      </w:r>
      <w:r>
        <w:t xml:space="preserve"> Addressing Pathogen Impact in Life Cycle Assessment: Nationwide spatially explicit characterization factor for organic fertilisation — https://openalex.org/W7205916718</w:t>
      </w:r>
    </w:p>
    <w:p>
      <w:pPr/>
      <w:r>
        <w:rPr>
          <w:b/>
        </w:rPr>
        <w:t>Shared claim-specific concepts:</w:t>
      </w:r>
      <w:r>
        <w:t xml:space="preserve"> explicit, impacts, sustainability; EU scope visible. This is a provisional connection, not an outcome finding.</w:t>
      </w:r>
    </w:p>
    <w:p>
      <w:pPr>
        <w:pStyle w:val="SourceNote"/>
      </w:pPr>
      <w:r>
        <w:rPr>
          <w:b/>
        </w:rPr>
        <w:t>Available abstract (not full text):</w:t>
      </w:r>
      <w:r>
        <w:t xml:space="preserve"> IntroductionLife Cycle Assessment (LCA) is a useful method to assess environmental impacts of manure management and biogas production (Hijazi et al., 2016). However, there are several shortcomings in LCA applied to waste and biomass valorisation (Ekvall et al., 2007). One of these difficulties lies in the lack of important impact categories. The impact category “microbial pathogenic potential” has been disregarded so far. Here we present a proof of concept for the development of a new characterization factor using the pathogen Listeria monocytogenes and its implementation for spatialized LCA applied to organic fertilisers.MethodologyThe characterisation factor (CF) was constructed based on UseTox approach and expressed in equation 1: CF=FF.XF.EF where FF is the fate factor, XF is the exposure factor and EF is the effect factor. We examined the causal chain linking the land application of organic fertilizers to cheese production through the forage-fed dairy farming scenario. Relevant information was retrieved from the literature to identify more than 20 environmental factors affecting the fate of L. monocytogenes in soils. Special attention has been paid to soil microbial diversity because it is a major provider of the service of regulation of pathogens. This required setting up a dedicated methodology. The available geospatial datasets describing these factors over Metropolitan</w:t>
      </w:r>
    </w:p>
    <w:p>
      <w:pPr/>
      <w:r>
        <w:rPr>
          <w:b/>
        </w:rPr>
        <w:t>POSSIBLE 2025:</w:t>
      </w:r>
      <w:r>
        <w:t xml:space="preserve"> Spatially explicit environmental impact assessment of commercial brackish water aquaculture along the northwestern coast of the Bay of Bengal using a multiparameter index approach — https://doi.org/10.1093/inteam/vjaf064</w:t>
      </w:r>
    </w:p>
    <w:p>
      <w:pPr/>
      <w:r>
        <w:rPr>
          <w:b/>
        </w:rPr>
        <w:t>Shared claim-specific concepts:</w:t>
      </w:r>
      <w:r>
        <w:t xml:space="preserve"> explicit, impacts, values; EU scope not established. This is a provisional connection, not an outcome finding.</w:t>
      </w:r>
    </w:p>
    <w:p>
      <w:pPr>
        <w:pStyle w:val="SourceNote"/>
      </w:pPr>
      <w:r>
        <w:rPr>
          <w:b/>
        </w:rPr>
        <w:t>Available abstract (not full text):</w:t>
      </w:r>
      <w:r>
        <w:t xml:space="preserve"> The present study attempted to apply a comprehensive aquaculture impact index to assess the environmental impacts caused by the proliferation of commercial shrimp farming along the northwestern coast of the Bay of Bengal. The locale of the study was restricted to three community development blocks, viz. Contai-I, Deshapran, and Ramnagar-II in the Medinipur coastal plain of eastern India. Surface water and soil samples were collected from 195 sites during the postmonsoon season deploying a stratified random sampling method. Surface water samples were tested for pH, electrical conductivity, biochemical oxygen demand, dissolved oxygen, chemical oxygen demand, total nitrogen, total phosphorus, chloride, total dissolved solids, and free ammonia. Soil samples were analyzed for pH, electrical conductivity, total organic carbon, total nitrogen, total phosphorus, and total potassium. Spline interpolation was conducted to portray parameter-wise spatial concentration of these samples. To develop the index, principal component analysis was employed as a weightage assignment technique towards characterizing the pollutants that dominate the regional water and soil chemistry. Results indicated that water quality factors have wide spatial reach and influence the aquatic environ of the entire region, mainly in terms of pH, electrical conductivity, and biochemical oxygen demand. High values of a</w:t>
      </w:r>
    </w:p>
    <w:p>
      <w:pPr/>
      <w:r>
        <w:rPr>
          <w:b/>
        </w:rPr>
        <w:t>POSSIBLE 2025:</w:t>
      </w:r>
      <w:r>
        <w:t xml:space="preserve"> Finding relevant stakeholders and related social topics for the implementation of Social Life Cycle Assessment in the multistorey timber construction sector — https://doi.org/10.1007/s11367-025-02431-0</w:t>
      </w:r>
    </w:p>
    <w:p>
      <w:pPr/>
      <w:r>
        <w:rPr>
          <w:b/>
        </w:rPr>
        <w:t>Shared claim-specific concepts:</w:t>
      </w:r>
      <w:r>
        <w:t xml:space="preserve"> impacts, topics; EU scope visible. This is a provisional connection, not an outcome finding.</w:t>
      </w:r>
    </w:p>
    <w:p>
      <w:pPr>
        <w:pStyle w:val="SourceNote"/>
      </w:pPr>
      <w:r>
        <w:rPr>
          <w:b/>
        </w:rPr>
        <w:t>Available abstract (not full text):</w:t>
      </w:r>
      <w:r>
        <w:t xml:space="preserve"> Abstract Purpose This study aims to identify the most relevant stakeholder groups and related social topics for the multistorey timber construction sector and provide first insights on the potential social effects—negative (risks) and positive (benefits)—produced by the prospective increase of multistorey timber constructions in Europe considering their whole life cycle. Methods The advancement of social materiality assessment was conducted to unveil the most relevant stakeholder groups and related social topics of the building sector by considering what is proposed by the UNEP Guidelines for Social Life Cycle Assessment and Handbook for Product Social Impact Assessment. To verify selected social topics and collect information on their level of relevance, we based our research approach on stakeholder engagement through a dedicated online workshop and interviews. Results Seventeen social topics were selected as material for the multistorey timber construction sector according to the literature review and the stakeholder engagement activities. No significant variance in relevance level was observed according to a five-level Likert scale (from 1, not at all relevant, to 5, very relevant), all rating above level 3 (relevant); the ones perceived as very relevant being “Health and safety” (Users), “Safe and healthy living conditions” (Local Community), and “Fair salary” (Workers). Co</w:t>
      </w:r>
    </w:p>
    <w:p>
      <w:pPr/>
      <w:r>
        <w:rPr>
          <w:b/>
        </w:rPr>
        <w:t>POSSIBLE 2025:</w:t>
      </w:r>
      <w:r>
        <w:t xml:space="preserve"> Towards AI-augmented sustainability assessments: integrating large language models in the case of product social life cycle assessment — https://doi.org/10.1007/s11367-025-02508-w</w:t>
      </w:r>
    </w:p>
    <w:p>
      <w:pPr/>
      <w:r>
        <w:rPr>
          <w:b/>
        </w:rPr>
        <w:t>Shared claim-specific concepts:</w:t>
      </w:r>
      <w:r>
        <w:t xml:space="preserve"> assessments, emerging, increased, sustainability; EU scope visible. This is a provisional connection, not an outcome finding.</w:t>
      </w:r>
    </w:p>
    <w:p>
      <w:pPr>
        <w:pStyle w:val="SourceNote"/>
      </w:pPr>
      <w:r>
        <w:rPr>
          <w:b/>
        </w:rPr>
        <w:t>Available abstract (not full text):</w:t>
      </w:r>
      <w:r>
        <w:t xml:space="preserve"> Abstract Purpose As the importance of social responsibility is increasingly recognized, demand for robust social life cycle assessment (S-LCA) has increased. This study presents a novel approach leveraging artificial intelligence (AI) to augment expert-led processes and enhance the efficiency, scalability, and accuracy of S-LCA. Methods The method utilizes advanced natural language processing (NLP) capabilities and large language models (LLMs) to partially automate the evaluation of social factors such as community engagement, labor practices, and human rights considerations against S-LCA pre-defined criteria. The method is applied in parallel to a standard manual practice of a reference-scale S-LCA on a carton product case study in Finland. Results obtained from the AI-augmented assessments are then compared with those derived from the manual method. Results and discussion The comparative analysis reveals a 50% agreement rate between the AI and manual assessment outcomes. We find that three driving factors explain the differences in the remaining outcomes. First, outcomes differed where the human evaluators drew on tacit knowledge unavailable to the AI. Second, the human evaluators inherently weigh negative evidence more heavily than positive evidence. And third, outcomes differed in cases where the assessment of a topic was highly sensitive to stakeholder perspective, and the</w:t>
      </w:r>
    </w:p>
    <w:p>
      <w:pPr/>
      <w:r>
        <w:rPr>
          <w:b/>
        </w:rPr>
        <w:t>POSSIBLE 2025:</w:t>
      </w:r>
      <w:r>
        <w:t xml:space="preserve"> ANALYZING ELEMENTARY STUDENTS' MISCONCEPTION PATTERNS IN KEY SCIENCE AND SOCIAL STUDIES (IPAS) TOPICS: IMPLICATIONS FOR INSTRUCTIONAL DESIGN — https://doi.org/10.37478/jpm.v6i3.5627</w:t>
      </w:r>
    </w:p>
    <w:p>
      <w:pPr/>
      <w:r>
        <w:rPr>
          <w:b/>
        </w:rPr>
        <w:t>Shared claim-specific concepts:</w:t>
      </w:r>
      <w:r>
        <w:t xml:space="preserve"> explicit, assessments, topics, energy; EU scope not established. This is a provisional connection, not an outcome finding.</w:t>
      </w:r>
    </w:p>
    <w:p>
      <w:pPr>
        <w:pStyle w:val="SourceNote"/>
      </w:pPr>
      <w:r>
        <w:rPr>
          <w:b/>
        </w:rPr>
        <w:t>Available abstract (not full text):</w:t>
      </w:r>
      <w:r>
        <w:t xml:space="preserve"> Persistent misconceptions in foundational science ideas often resist routine instruction, undermine knowledge transfer, and remain hidden when assessments capture answers but not reasoning. Within Indonesia’s integrated Science–Social Studies curriculum (IPAS), such misconceptions can cluster around core topics and shape students’ subsequent learning trajectories. This study maps elementary students’ misconception patterns across five IPAS topics—Force–Motion, Changes of State, Energy, Weather/Water Cycle, and Ecosystems—and translates the findings into design principles for instruction. Using an explanatory sequential mixed-methods design, we collected data from 204 Grade 4–6 students in three public schools via a locally contextualized two-tier diagnostic test and clinical interviews supported by concept cartoons. Instrument quality was adequate (mean Aiken’s V = 0.90; internal reliability per topic = 0.71–0.77; inter-rater reliability ? 0.78). Aggregate responses were distributed as 44.2% scientifically sound, 28.1% partial, and 27.7% strong misconceptions, with a grade-level trend toward improvement. The most persistent hotspots appeared in Ecosystems and Force–Motion. Tiered item sensitivity showed a consistent decrease in misconception rates from Q1 (everyday contexts) to Q4 (diagram/model representations), underscoring the role of multiple representations in bridging non</w:t>
      </w:r>
    </w:p>
    <w:p>
      <w:pPr/>
      <w:r>
        <w:rPr>
          <w:b/>
        </w:rPr>
        <w:t>POSSIBLE 2025:</w:t>
      </w:r>
      <w:r>
        <w:t xml:space="preserve"> ACTA SOCIOPATHOLOGICA VIII: The Contemporary Topics in Social Pathology and Social Pedagogy — https://doi.org/10.36689/uhk/978-80-7435-942-2.000</w:t>
      </w:r>
    </w:p>
    <w:p>
      <w:pPr/>
      <w:r>
        <w:rPr>
          <w:b/>
        </w:rPr>
        <w:t>Shared claim-specific concepts:</w:t>
      </w:r>
      <w:r>
        <w:t xml:space="preserve"> topics, values; EU scope not established. This is a provisional connection, not an outcome finding.</w:t>
      </w:r>
    </w:p>
    <w:p>
      <w:pPr>
        <w:pStyle w:val="SourceNote"/>
      </w:pPr>
      <w:r>
        <w:rPr>
          <w:b/>
        </w:rPr>
        <w:t>Available abstract (not full text):</w:t>
      </w:r>
      <w:r>
        <w:t xml:space="preserve"> This paper focuses on current topics in social pedagogy.It focuses on three areas of social pedagogy that reflect the work of Polish social pedagogue R. Wroczyński.His work is extensive and covers the whole spectrum of social pedagogy topics.These include research on socially urgent topics essential for the development of society, then an orientation towards research, characterisation and analysis of the topic of the social environment, and then a strong orientation towards positive values and their development.All of these themes are relevant in contemporary social pedagogy and challenge further research.</w:t>
      </w:r>
    </w:p>
    <w:p>
      <w:pPr>
        <w:pStyle w:val="Heading2"/>
      </w:pPr>
      <w:r>
        <w:t>611. Macro Study of Global Electric Vehicle Expansion</w:t>
      </w:r>
    </w:p>
    <w:p>
      <w:pPr>
        <w:pStyle w:val="SourceNote"/>
      </w:pPr>
      <w:r>
        <w:rPr>
          <w:b/>
        </w:rPr>
        <w:t>Original source (2021):</w:t>
      </w:r>
      <w:r>
        <w:t xml:space="preserve"> https://doi.org/10.17323/2500-2597.2021.1.67.73</w:t>
      </w:r>
    </w:p>
    <w:p>
      <w:pPr/>
      <w:r>
        <w:t>Original wording (abstract; indexed_source_text_not_full_document_verified): Results suggest that the adoption of BEVs demonstrates a better fit on the Bass model where the global BEV market is estimated to grow from 5,3 millions in 2019 to near 40 millions units by 2030, and with the reference of the EU countries’ adoption scenario, the global charging stations will be increased from near 2 millions in 2019 to near 10 millions units by 2030.</w:t>
      </w:r>
    </w:p>
    <w:p>
      <w:pPr/>
      <w:r>
        <w:rPr>
          <w:b/>
        </w:rPr>
        <w:t>POSSIBLE 2026:</w:t>
      </w:r>
      <w:r>
        <w:t xml:space="preserve"> A BIBLIOMETRIC-ASSISTED LITERATURE REVIEW AND PROPOSED CONCEPTUAL FRAMEWORK OF CONSUMER BEV ADOPTION — https://doi.org/10.5281/zenodo.21900162</w:t>
      </w:r>
    </w:p>
    <w:p>
      <w:pPr/>
      <w:r>
        <w:rPr>
          <w:b/>
        </w:rPr>
        <w:t>Shared claim-specific concepts:</w:t>
      </w:r>
      <w:r>
        <w:t xml:space="preserve"> adoption, bevs, bev; EU scope not established. This is a provisional connection, not an outcome finding.</w:t>
      </w:r>
    </w:p>
    <w:p>
      <w:pPr>
        <w:pStyle w:val="SourceNote"/>
      </w:pPr>
      <w:r>
        <w:rPr>
          <w:b/>
        </w:rPr>
        <w:t>Available abstract (not full text):</w:t>
      </w:r>
      <w:r>
        <w:t xml:space="preserve"> This study reviews and synthesizes the literature on consumer adoption of battery electric vehicles (BEVs) to construct a proposed comprehensive conceptual framework. Although previous research has identified multiple determinants of BEV adoption, findings remain fragmented across psychological, economic, technological, policy, and social domains, limiting a comprehensive understanding. To address this gap, this study employs a bibliometric-assisted systematic literature review, following PRISMA-2020 and SPAR-4-SLR guidelines, covering Scopus-indexed publications from 2015 to 2025. A total of 198 studies were analyzed. The findings show that most studies on BEV still focus on adoption intentions and factor-based approaches, while studies on actual adoption behavior and post-adoption phases remain limited. Bibliometric mapping identifies strong thematic clusters, but the relationships between domains are still weak, indicating the need for a more process-oriented explanatory approach. Therefore, this study developed a proposed conceptual framework that conceptualizes BEV adoption as a gradual decision-making process. The framework integrates perceived technological attributes, value and risk evaluations, attitudes, intentions, and actual adoption, with policy and social contexts acting as moderating factors. Overall, this research contributes by shifting the focus from intention</w:t>
      </w:r>
    </w:p>
    <w:p>
      <w:pPr/>
      <w:r>
        <w:rPr>
          <w:b/>
        </w:rPr>
        <w:t>POSSIBLE 2026:</w:t>
      </w:r>
      <w:r>
        <w:t xml:space="preserve"> Remaining Capacity of LFP and NMC Batteries—Extensive Analysis of Commercially Available BEV Models in European Union — https://doi.org/10.3390/app16157756</w:t>
      </w:r>
    </w:p>
    <w:p>
      <w:pPr/>
      <w:r>
        <w:rPr>
          <w:b/>
        </w:rPr>
        <w:t>Shared claim-specific concepts:</w:t>
      </w:r>
      <w:r>
        <w:t xml:space="preserve"> bevs, bev; EU scope visible. This is a provisional connection, not an outcome finding.</w:t>
      </w:r>
    </w:p>
    <w:p>
      <w:pPr>
        <w:pStyle w:val="SourceNote"/>
      </w:pPr>
      <w:r>
        <w:rPr>
          <w:b/>
        </w:rPr>
        <w:t>Available abstract (not full text):</w:t>
      </w:r>
      <w:r>
        <w:t xml:space="preserve"> The increasing number of new battery electric vehicle (BEV) registrations worldwide and the development of advanced batteries with higher energy density and pack capacity have contributed to large volumes of batteries approaching the end of their first service life. The retired batteries may be repurposed in second-life applications or recycled. The degradation profile of BEVs is a critical determinant in second-life potential of the retired batteries. This study presents a comprehensive analysis of calendar and cycle mechanisms in lithium iron phosphate (LFP) and nickel manganese cobalt oxide (NMC) batteries across 37 commercially available BEV models in the European Union (EU) market. Three scenarios are considered, based on the operational temperature—Scenario I with a 273.15 K, Scenario II with a 298.15 K, and Scenario III with a 318.15 K operational temperature—and two degradation metrics are determined for each analyzed BEV: state-of-health (SoH) and remaining capacity at end-of-life (EoL). The results show that the SoH of both chemistries is highly dependent on the state-of-charge (SoC), temperature, depth of discharge (DoD), and real usable capacity. Moreover, the Tesla Model 3–Premium RWD, Volkswagen ID.3, ID.4, and ID5–GTX, and the Tesla Model Y–Premium AWD all exhibit a remaining capacity between 40 and 77 kWh at EoL, depending on degradation profile, making them a v</w:t>
      </w:r>
    </w:p>
    <w:p>
      <w:pPr/>
      <w:r>
        <w:rPr>
          <w:b/>
        </w:rPr>
        <w:t>POSSIBLE 2026:</w:t>
      </w:r>
      <w:r>
        <w:t xml:space="preserve"> Analysis of travel activity patterns and charging choices of BEV users in Japan — https://doi.org/10.1007/s11116-026-10787-x</w:t>
      </w:r>
    </w:p>
    <w:p>
      <w:pPr/>
      <w:r>
        <w:rPr>
          <w:b/>
        </w:rPr>
        <w:t>Shared claim-specific concepts:</w:t>
      </w:r>
      <w:r>
        <w:t xml:space="preserve"> suggest, bev, estimated, charging; EU scope not established. This is a provisional connection, not an outcome finding.</w:t>
      </w:r>
    </w:p>
    <w:p>
      <w:pPr>
        <w:pStyle w:val="SourceNote"/>
      </w:pPr>
      <w:r>
        <w:rPr>
          <w:b/>
        </w:rPr>
        <w:t>Available abstract (not full text):</w:t>
      </w:r>
      <w:r>
        <w:t xml:space="preserve"> Battery electric vehicle (BEV) users must integrate charging into their daily travel routines in ways unlike conventional refueling, requiring a deliberate coordination of trip purposes, time constraints, and charging accessibility. Understanding these behavioral charging decisions is critical for supporting the long-term sustainability and usability of EV systems. Yet most prior studies focus on infrastructure placement or isolated aspects of charging decisions, without systematically integrating activity-based travel routines into behavioral models. This study addresses that gap by investigating how BEV users in Japan choose between home charging and fast charging, focusing on trip purposes, acceptable waiting time, and socio-demographic characteristics. Using survey data from 441 BEV users across the Chubu and Kanto regions of Japan, three structural equation models (SEMs) are estimated to examine the behavioral pathways underlying charging decisions. Model 1 captures the baseline effects of socio-demographics and time sensitivity. Model 2 introduces total trip frequency as a mediator, and Model 3 disaggregates trip purposes—commuting, shopping, and leisure—to examine their effects on charging behavior. The results indicate that trip activity patterns are significant determinants of charging behavior. Commuting trips are most consistently associated with home charging, refle</w:t>
      </w:r>
    </w:p>
    <w:p>
      <w:pPr/>
      <w:r>
        <w:rPr>
          <w:b/>
        </w:rPr>
        <w:t>POSSIBLE 2026:</w:t>
      </w:r>
      <w:r>
        <w:t xml:space="preserve"> Adoption drivers and barriers of Building Information Modelling (BIM) in Europe — https://doi.org/10.1016/j.enbuild.2026.116953</w:t>
      </w:r>
    </w:p>
    <w:p>
      <w:pPr/>
      <w:r>
        <w:rPr>
          <w:b/>
        </w:rPr>
        <w:t>Shared claim-specific concepts:</w:t>
      </w:r>
      <w:r>
        <w:t xml:space="preserve"> adoption, countries; EU scope visible. This is a provisional connection, not an outcome finding.</w:t>
      </w:r>
    </w:p>
    <w:p>
      <w:pPr>
        <w:pStyle w:val="SourceNote"/>
      </w:pPr>
      <w:r>
        <w:rPr>
          <w:b/>
        </w:rPr>
        <w:t>Available abstract (not full text):</w:t>
      </w:r>
      <w:r>
        <w:t xml:space="preserve"> Building Information Modelling (BIM) enables time, cost, and materials savings in building design and construction. However, the promise of BIM is yet to be realised. We assessed the current state-of-the-art in BIM adoption and use, identifying both barriers and opportunities across six dimensions defined by the PESTLE framework (political, economic, social, technical, legal, environmental). We combined market survey, literature review, and new insights from 41 expert interviews with architects, consultants and constructors across 11 European countries. We find BIM is used principally by larger firms as a design and data-processing tool to enable collaboration between project partners. BIM’s value proposition is primarily to streamline construction processes not improve resource efficiencies. Barriers to BIM adoption include interoperability issues, split incentives and value chain fragmentation, and weak economic incentives particularly for small firms. In the medium-term we find two important drivers of more widespread BIM adoption. First, institutional investors in the commercial buildings sector are increasingly pushing green certification standards for which compliance is demonstrated by BIM. Second, whole building lifecycle emission regulations for buildings mandated by the EU from 2030 will require BIM calculations. Four pioneer Northern European countries already have s</w:t>
      </w:r>
    </w:p>
    <w:p>
      <w:pPr/>
      <w:r>
        <w:rPr>
          <w:b/>
        </w:rPr>
        <w:t>POSSIBLE 2026:</w:t>
      </w:r>
      <w:r>
        <w:t xml:space="preserve"> Electrification pathways for passenger cars: A comparative analysis of China and Europe — https://doi.org/10.1016/j.esr.2026.102369</w:t>
      </w:r>
    </w:p>
    <w:p>
      <w:pPr/>
      <w:r>
        <w:rPr>
          <w:b/>
        </w:rPr>
        <w:t>Shared claim-specific concepts:</w:t>
      </w:r>
      <w:r>
        <w:t xml:space="preserve"> adoption, bevs; EU scope visible. This is a provisional connection, not an outcome finding.</w:t>
      </w:r>
    </w:p>
    <w:p>
      <w:pPr>
        <w:pStyle w:val="SourceNote"/>
      </w:pPr>
      <w:r>
        <w:rPr>
          <w:b/>
        </w:rPr>
        <w:t>Available abstract (not full text):</w:t>
      </w:r>
      <w:r>
        <w:t xml:space="preserve"> China and Europe have made significant progress in the electrification of mobility, but they differ substantially in their policy approaches and institutional frameworks. This paper presents a comparative analysis of their electrification pathways, focusing on the motivations, policy strategies, and challenges associated with scaling up electric-vehicle adoption. The study aims to: (i) examine the policy measures implemented in each region; (ii) assess outcomes in terms of market growth, infrastructure development, and industrial competitiveness; and (iii) identify key similarities and differences while deriving lessons to support transport-sector decarbonization. The comparison of battery electric vehicles (BEVs) and comparable diesel vehicles shows substantial regional differences in economic competitiveness. Based on Total Cost of Ownership analysis, BEVs are approximately 17% cheaper than diesel vehicles in China, while diesel vehicles remain about 25% cheaper than BEVs in Europe, reflecting differences in policy, market, energy, and industrial conditions. China's state-led approach has supported rapid market expansion, cost reductions, and industrial competitiveness, with local governments implementing targeted measures to promote battery-electric-vehicle adoption. In contrast, Europe relies more heavily on cooperation between public and private stakeholders, emphasizing l</w:t>
      </w:r>
    </w:p>
    <w:p>
      <w:pPr/>
      <w:r>
        <w:rPr>
          <w:b/>
        </w:rPr>
        <w:t>POSSIBLE 2026:</w:t>
      </w:r>
      <w:r>
        <w:t xml:space="preserve"> Environmentally Driven Optimization of Residential BEV Charging Using Time-Varying Power Grid CO₂ Emission Factors — https://doi.org/10.13044/j.sdsen.d3.0684</w:t>
      </w:r>
    </w:p>
    <w:p>
      <w:pPr/>
      <w:r>
        <w:rPr>
          <w:b/>
        </w:rPr>
        <w:t>Shared claim-specific concepts:</w:t>
      </w:r>
      <w:r>
        <w:t xml:space="preserve"> adoption, bev, charging; EU scope not established. This is a provisional connection, not an outcome finding.</w:t>
      </w:r>
    </w:p>
    <w:p>
      <w:pPr>
        <w:pStyle w:val="SourceNote"/>
      </w:pPr>
      <w:r>
        <w:rPr>
          <w:b/>
        </w:rPr>
        <w:t>Available abstract (not full text):</w:t>
      </w:r>
      <w:r>
        <w:t xml:space="preserve"> The widespread adoption of battery electric vehicles is widely recognized as a key strategy for reducing emissions in the transport sector. However, the environmental benefits of electric mobility strongly depend on the temporal variability of the electricity generation mix and its associated emission intensity. This study investigates the potential of optimizing vehicle charging schedules based on time-varying carbon dioxide emissions factor, rather than grid-oriented criteria, to further reduce the indirect emissions linked to the operation of electric vehicle charging. To this end, an environmentally driven charging optimisation algorithm is developed, explicitly accounting for both the hourly variability of grid emission factors, derived from processing historical real Italian electricity production data, and the air temperature-dependent energy consumption of the BEV. The proposed framework is applied to a representative residential charging scenario, assuming overnight charging. Within this predefined charging window, the optmisation algorithm allocates the required charging energy over time so as to minimise the total carbon dioxide emissions. Results show that emission-aware charging strategies can reduce annual carbon dioxide emissions by approximately 5–6% compared to conventional uncontrolled charging, while ensuring that the vehicle is always fully charged and ready</w:t>
      </w:r>
    </w:p>
    <w:p>
      <w:pPr/>
      <w:r>
        <w:rPr>
          <w:b/>
        </w:rPr>
        <w:t>POSSIBLE 2025:</w:t>
      </w:r>
      <w:r>
        <w:t xml:space="preserve"> What has driven the adoption of BEV and PHEV in the EU? — https://doi.org/10.1016/j.rtbm.2025.101331</w:t>
      </w:r>
    </w:p>
    <w:p>
      <w:pPr/>
      <w:r>
        <w:rPr>
          <w:b/>
        </w:rPr>
        <w:t>Shared claim-specific concepts:</w:t>
      </w:r>
      <w:r>
        <w:t xml:space="preserve"> adoption, bev, countries, charging, stations; EU scope visible. This is a provisional connection, not an outcome finding.</w:t>
      </w:r>
    </w:p>
    <w:p>
      <w:pPr>
        <w:pStyle w:val="SourceNote"/>
      </w:pPr>
      <w:r>
        <w:rPr>
          <w:b/>
        </w:rPr>
        <w:t>Available abstract (not full text):</w:t>
      </w:r>
      <w:r>
        <w:t xml:space="preserve"> Moving towards greater electric mobility in Europe is fundamental for energy transition and reducing fossil fuel dependence. This paper analyses the role of socioeconomic, environmental, and technical factors on the diffusion of battery electric vehicles (BEV) and plug-in electric vehicles (PHEV) into the market. Annual panel data from 2010 to 2020 for 25 European countries were used by recurring to the Driscoll-Kraay estimator. BEV and PHEV sales market share was employed to measure both vehicles' diffusion. The main findings indicate that the fast public charging stations drive the adoption of both BEV and PHEV. The normal charging stations block the adoption of BEV and have no significant impact on PHEV sales. This paper provides empirical evidence suggesting that higher income levels do not lead to substituting traditional vehicles for EV. Particular attention should be paid to the negative role of environmental tax revenues in adopting both BEV and PHEV. Our findings indicate that those paying additional taxes for polluting activities do not have the financial capacity to buy an EV. To address this situation, policymakers could incentivise the use of EV instead of encouraging purchases, providing, for instance, special prices at tolls.</w:t>
      </w:r>
    </w:p>
    <w:p>
      <w:pPr/>
      <w:r>
        <w:rPr>
          <w:b/>
        </w:rPr>
        <w:t>POSSIBLE 2025:</w:t>
      </w:r>
      <w:r>
        <w:t xml:space="preserve"> Global trends in electric vehicle adoption and the impact of environmental awareness, user attributes, and barriers — https://doi.org/10.1016/j.egyr.2024.12.054</w:t>
      </w:r>
    </w:p>
    <w:p>
      <w:pPr/>
      <w:r>
        <w:rPr>
          <w:b/>
        </w:rPr>
        <w:t>Shared claim-specific concepts:</w:t>
      </w:r>
      <w:r>
        <w:t xml:space="preserve"> adoption, bevs, countries; EU scope visible. This is a provisional connection, not an outcome finding.</w:t>
      </w:r>
    </w:p>
    <w:p>
      <w:pPr>
        <w:pStyle w:val="SourceNote"/>
      </w:pPr>
      <w:r>
        <w:rPr>
          <w:b/>
        </w:rPr>
        <w:t>Available abstract (not full text):</w:t>
      </w:r>
      <w:r>
        <w:t xml:space="preserve"> Electric vehicles, powered by one or more electric motors, offer numerous advantages, such as reduced noise pollution, a cleaner environment, and lower operating costs. The selection of electric cars could be influenced by various drivers including environmental awareness, user attributes, barriers, incentives, and user awareness. Accordingly, this paper aimed to explore the impacts of those influential drivers on adopting kinds of electric vehicles by considering spatiotemporal patterns. In this paper, the meta-regression approach was run to combine the findings of 38 primary articles from 1990 to 2023. In this context, the effects of main drivers on adopting electric vehicles were assessed in Battery Electric Vehicles (BEVs), Plug-in Hybrid Electric Vehicles (PHEVs), and Hybrid Electric Vehicles (HEVs). The findings indicate that the main drivers influence the selection of electric cars. The meta-regression results showed that achieving electric vehicle adoption can be globally influenced by environmental awareness ( β = 0.23), user attributes ( β = 0.17), barriers ( β = −0.07), and user awareness ( β = 0.12). The highest spatial effect is related to the adoption of BEVs ( β = 0.17) by European countries. Accordingly, the use of electric cars is recommended, especially in large countries that emit greenhouse gases such as China and India . The expansion of electric vehicles, </w:t>
      </w:r>
    </w:p>
    <w:p>
      <w:pPr/>
      <w:r>
        <w:rPr>
          <w:b/>
        </w:rPr>
        <w:t>POSSIBLE 2025:</w:t>
      </w:r>
      <w:r>
        <w:t xml:space="preserve"> Analysis of Antecedent Factors Influencing the Adoption and Conversion of Two-Wheeled Battery Electric Vehicles (BEVs) in East Kalimantan Province — https://doi.org/10.12928/si.v23i2.467</w:t>
      </w:r>
    </w:p>
    <w:p>
      <w:pPr/>
      <w:r>
        <w:rPr>
          <w:b/>
        </w:rPr>
        <w:t>Shared claim-specific concepts:</w:t>
      </w:r>
      <w:r>
        <w:t xml:space="preserve"> adoption, bevs, bev, increased; EU scope not established. This is a provisional connection, not an outcome finding.</w:t>
      </w:r>
    </w:p>
    <w:p>
      <w:pPr>
        <w:pStyle w:val="SourceNote"/>
      </w:pPr>
      <w:r>
        <w:rPr>
          <w:b/>
        </w:rPr>
        <w:t>Available abstract (not full text):</w:t>
      </w:r>
      <w:r>
        <w:t xml:space="preserve"> The rise in motorcycle ownership in Indonesia has increased energy consumption and greenhouse gas emissions, challenging the country's net-zero target by 2060. To mitigate this, the government is promoting the adoption and conversion of two-wheeled Battery Electric Vehicles (BEVs), but implementation remains below target, implying behavioral factors as a major barrier. This study analyzes the determinants influencing consumer and potential consumer behavior in adopting two-wheeled BEVs in East Kalimantan, a strategic region supporting the Indonesian Capital City. Using the Field Theory framework, the model integrates the Theory of Planned Behavior (TPB), which represents personal factors (Attitude, Subjective Norm, Perceived Behavioral Control, and Intention), and the Electric Vehicle Ecosystem (EVE), which represents environmental factors (Performance, Infrastructure, Price, and Features). Data from 400 respondents were analyzed using SEM-PLS, which explained 65.8% of the variance in adoption intention. The results show that Subjective Norms, Perceived Behavioral Control, Performance, Price, and Features significantly influence intention, while Attitude and Infrastructure do not. These findings reveal that consumers view two-wheeled BEVs primarily as functional alternatives to conventional motorcycles, rather than as environmentally friendly innovations. The contributes of thi</w:t>
      </w:r>
    </w:p>
    <w:p>
      <w:pPr/>
      <w:r>
        <w:rPr>
          <w:b/>
        </w:rPr>
        <w:t>POSSIBLE 2025:</w:t>
      </w:r>
      <w:r>
        <w:t xml:space="preserve"> Factors Influencing the Purchase of Battery Electric Vehicles (BEVs) — https://doi.org/10.31803/tg-2024052312222</w:t>
      </w:r>
    </w:p>
    <w:p>
      <w:pPr/>
      <w:r>
        <w:rPr>
          <w:b/>
        </w:rPr>
        <w:t>Shared claim-specific concepts:</w:t>
      </w:r>
      <w:r>
        <w:t xml:space="preserve"> bevs, better, bev, charging; EU scope visible. This is a provisional connection, not an outcome finding.</w:t>
      </w:r>
    </w:p>
    <w:p>
      <w:pPr>
        <w:pStyle w:val="SourceNote"/>
      </w:pPr>
      <w:r>
        <w:rPr>
          <w:b/>
        </w:rPr>
        <w:t>Available abstract (not full text):</w:t>
      </w:r>
      <w:r>
        <w:t xml:space="preserve"> This research aims to identify the key factors influencing the new registrations of battery electric vehicles (BEVs) in Germany. Focusing the topics economy, mobility change and climate sustainability a mixed-methods approach was used combining a regression analysis based on public databases and qualitative interviews with experts, represented by vehicle testing organizations, BEV leasing companies, car dealerships and automotive magazines. The study revealed similarities as well as discrepancies between expert opinions and the regression analysis results in the fields of real GDP, education rate, the average range of BEVs, the real estate price index, charging infrastructure and political conviction. Regarding practical implications, the results of this study help BEV manufacturers to enhance their marketing and product strategies. The findings of this study could help decision-makers to better understand the mind set of BEV customers.</w:t>
      </w:r>
    </w:p>
    <w:p>
      <w:pPr/>
      <w:r>
        <w:rPr>
          <w:b/>
        </w:rPr>
        <w:t>POSSIBLE 2025:</w:t>
      </w:r>
      <w:r>
        <w:t xml:space="preserve"> E-Private Mobility Index: A Novel Tool for Assessing BEV Transition Feasibility — https://doi.org/10.3390/su17093983</w:t>
      </w:r>
    </w:p>
    <w:p>
      <w:pPr/>
      <w:r>
        <w:rPr>
          <w:b/>
        </w:rPr>
        <w:t>Shared claim-specific concepts:</w:t>
      </w:r>
      <w:r>
        <w:t xml:space="preserve"> bevs, bev, charging; EU scope visible. This is a provisional connection, not an outcome finding.</w:t>
      </w:r>
    </w:p>
    <w:p>
      <w:pPr>
        <w:pStyle w:val="SourceNote"/>
      </w:pPr>
      <w:r>
        <w:rPr>
          <w:b/>
        </w:rPr>
        <w:t>Available abstract (not full text):</w:t>
      </w:r>
      <w:r>
        <w:t xml:space="preserve"> While the speed of the transition to battery electric vehicles (BEVs) depends on real-world driving behaviors and socioeconomic conditions, relevant predictions are often not based on real trip data. This study analyzes over 200,000 private car trips, tracked via onboard telematics across Italy, in order to assess the feasibility of replacing internal combustion engine vehicles (ICEVs) with BEVs. Given that drivers are resistant to changing their habits, we introduce the E-Private Mobility Index, which quantifies the percentage of traditional cars at present that are functionally compatible with a medium BEV, assuming home charging. Nationwide, this index reaches 30%, but only 15% of car owners would also see financial benefits. By quantifying both the potential to replace traditional cars with electric ones and the associated economic impacts, our analysis supports sustainable mobility by offering insights into the rate of penetration of sustainable and green mobility, in line with the objectives of the European Green Deal. With its unprecedented statistical significance, the study not only provides a data-driven upper threshold of BEV penetration but also offers a flexible framework for shaping future policies, allowing the adaptation of parameters and assumptions to guide a scalable transition to electric private mobility.</w:t>
      </w:r>
    </w:p>
    <w:p>
      <w:pPr/>
      <w:r>
        <w:rPr>
          <w:b/>
        </w:rPr>
        <w:t>POSSIBLE 2025:</w:t>
      </w:r>
      <w:r>
        <w:t xml:space="preserve"> Driving the change: How do personal factors and socio-economic context influence electric vehicles adoption across Europe? — https://doi.org/10.1016/j.eist.2025.101044</w:t>
      </w:r>
    </w:p>
    <w:p>
      <w:pPr/>
      <w:r>
        <w:rPr>
          <w:b/>
        </w:rPr>
        <w:t>Shared claim-specific concepts:</w:t>
      </w:r>
      <w:r>
        <w:t xml:space="preserve"> adoption, bevs, countries; EU scope visible. This is a provisional connection, not an outcome finding.</w:t>
      </w:r>
    </w:p>
    <w:p>
      <w:pPr>
        <w:pStyle w:val="SourceNote"/>
      </w:pPr>
      <w:r>
        <w:rPr>
          <w:b/>
        </w:rPr>
        <w:t>Available abstract (not full text):</w:t>
      </w:r>
      <w:r>
        <w:t xml:space="preserve"> This paper investigates the determinants influencing consumer adoption of battery electric vehicles (BEVs) across three European markets characterized by distinct socio-economic contexts and varying levels of EV market maturity. We develop a theoretical model based on Theory of Planned Behavior. A survey was conducted involving 737 consumers in Germany, Italy, and Norway. The data was analyzed using structural equation modeling, multigroup analysis, and Kruskal-Wallis’s test. The findings indicate that hedonic motivations, ascription of responsibility, subjective norms, and direct experience significantly enhance consumers' willingness to purchase BEVs. Conversely, range anxiety and environmental concerns negatively affect purchase intentions. Significant differences in consumer perceptions of BEVs and the effect of behavioral determinants across the three countries are highlighted. This research contributes to the literature on sustainable mobility adoption and proposes several avenues for future investigation. The findings can inform the development of marketing strategies and policy interventions to foster EV adoption in Europe.</w:t>
      </w:r>
    </w:p>
    <w:p>
      <w:pPr>
        <w:pStyle w:val="Heading2"/>
      </w:pPr>
      <w:r>
        <w:t>612. Modelling the European Union Sustainability Transition: A Soft-Linking Approach</w:t>
      </w:r>
    </w:p>
    <w:p>
      <w:pPr>
        <w:pStyle w:val="SourceNote"/>
      </w:pPr>
      <w:r>
        <w:rPr>
          <w:b/>
        </w:rPr>
        <w:t>Original source (2021):</w:t>
      </w:r>
      <w:r>
        <w:t xml:space="preserve"> https://doi.org/10.3390/su13116303</w:t>
      </w:r>
    </w:p>
    <w:p>
      <w:pPr/>
      <w:r>
        <w:t>Original wording (abstract; indexed_source_text_not_full_document_verified): The European Green Deal (EGD) is the most ambitious decarbonisation strategy currently envisaged, with a complex mix of different instruments aiming at improving the sustainability of the development patterns of the European Union in the next 30 years. Our main finding is that such a soft-linking approach allows discovery of multiple channels and spillover effects across policy instruments that might help improve the policy mix design.</w:t>
      </w:r>
    </w:p>
    <w:p>
      <w:pPr/>
      <w:r>
        <w:rPr>
          <w:b/>
        </w:rPr>
        <w:t>POSSIBLE 2026:</w:t>
      </w:r>
      <w:r>
        <w:t xml:space="preserve"> The European Green Deal (EGD) in the public opinion – assessment of awareness of environmental pollution and threats to health and life — https://doi.org/10.34659/eis.2026.97.2.1157</w:t>
      </w:r>
    </w:p>
    <w:p>
      <w:pPr/>
      <w:r>
        <w:rPr>
          <w:b/>
        </w:rPr>
        <w:t>Shared claim-specific concepts:</w:t>
      </w:r>
      <w:r>
        <w:t xml:space="preserve"> green, deal, egd, improving, main; EU scope visible. This is a provisional connection, not an outcome finding.</w:t>
      </w:r>
    </w:p>
    <w:p>
      <w:pPr>
        <w:pStyle w:val="SourceNote"/>
      </w:pPr>
      <w:r>
        <w:rPr>
          <w:b/>
        </w:rPr>
        <w:t>Available abstract (not full text):</w:t>
      </w:r>
      <w:r>
        <w:t xml:space="preserve"> The main objective of this study is to assess the level of public awareness of environmental threats and their perceived impact on the health and lives of citizens, in the context of implementing the European Green Deal (EGD). The study focuses on analyzing the opinions of users of information on environmental pollution, its health effects, and the perceived opportunities and barriers related to implementing the EGD. Specific objectives include: (1) identifying public opinions on selected diseases related to environmental degradation; (2) assessing the perceived benefits and risks of implementing the EGD; and (3) analyzing the relationship between demographic characteristics and the level of acceptance for pro-environmental activities. The study is based on a survey method using a questionnaire, supplemented by a literature review. Descriptive and bivariate statistics were used to examine the significance of relationships between variables. The results indicate that respondents perceive a link between environmental pollution and diseases such as asthma, cancer, and lung disease. EGD is seen as an opportunity to improve environmental quality and public health, although implementation barriers such as cost, lack of public acceptance, and excessive regulation are also identified. This study contributes to our understanding of the role of public perception as a factor in the effect</w:t>
      </w:r>
    </w:p>
    <w:p>
      <w:pPr/>
      <w:r>
        <w:rPr>
          <w:b/>
        </w:rPr>
        <w:t>POSSIBLE 2026:</w:t>
      </w:r>
      <w:r>
        <w:t xml:space="preserve"> IMPLEMENTASI EUROPEAN GREEN DEAL (EGD) TERKAIT KEBIJAKAN GREEN ECONOMY DI UNI EROPA TAHUN 2020-2024 — https://openalex.org/W7153397118</w:t>
      </w:r>
    </w:p>
    <w:p>
      <w:pPr/>
      <w:r>
        <w:rPr>
          <w:b/>
        </w:rPr>
        <w:t>Shared claim-specific concepts:</w:t>
      </w:r>
      <w:r>
        <w:t xml:space="preserve"> green, deal, egd, strategy, union, approach; EU scope visible. This is a provisional connection, not an outcome finding.</w:t>
      </w:r>
    </w:p>
    <w:p>
      <w:pPr>
        <w:pStyle w:val="SourceNote"/>
      </w:pPr>
      <w:r>
        <w:rPr>
          <w:b/>
        </w:rPr>
        <w:t>Available abstract (not full text):</w:t>
      </w:r>
      <w:r>
        <w:t xml:space="preserve"> Uni Eropa menghadapi berbagai permasalahan lingkungan seperti peningkatan emisi gas rumah kaca, perubahan iklim, dan kerusakan ekosistem akibat model pembangunan ekonomi yang masih bergantung pada energi fosil dan eksploitasi sumber daya alam. Untuk mengatasi permasalahan tersebut, Uni Eropa meluncurkan European Green Deal sebagai strategi pembangunan yang bertujuan mencapai netralitas iklim pada tahun 2050 serta mendorong transformasi menuju ekonomi hijau yang berkelanjutan. Penelitian ini bertujuan untuk menganalisis implementasi European Green Deal dalam mendukung kebijakan Green Economy di Uni Eropa pada periode 2020–2024. Penelitian ini menggunakan pendekatan kualitatif dengan metode deskriptif serta menggunakan data sekunder yang diperoleh melalui studi literatur dari buku, jurnal ilmiah, laporan organisasi internasional, dan dokumen resmi Uni Eropa. Hasil penelitian menunjukkan bahwa implementasi European Green Deal dilakukan melalui beberapa kebijakan utama, seperti transisi energi bersih, pengembangan ekonomi sirkular, transportasi berkelanjutan, sistem pangan berkelanjutan, perlindungan keanekaragaman hayati, serta mekanisme pembiayaan transisi hijau. Kebijakan tersebut menunjukkan upaya Uni Eropa dalam mengintegrasikan aspek lingkungan ke dalam pembangunan ekonomi guna mewujudkan Green Economy, meskipun masih menghadapi tantangan seperti ketergantungan sebagian negar</w:t>
      </w:r>
    </w:p>
    <w:p>
      <w:pPr/>
      <w:r>
        <w:rPr>
          <w:b/>
        </w:rPr>
        <w:t>POSSIBLE 2025:</w:t>
      </w:r>
      <w:r>
        <w:t xml:space="preserve"> Democracy and the European Green Deal — https://doi.org/10.1080/07036337.2025.2459859</w:t>
      </w:r>
    </w:p>
    <w:p>
      <w:pPr/>
      <w:r>
        <w:rPr>
          <w:b/>
        </w:rPr>
        <w:t>Shared claim-specific concepts:</w:t>
      </w:r>
      <w:r>
        <w:t xml:space="preserve"> green, deal, egd, ambitious, different, union; EU scope visible. This is a provisional connection, not an outcome finding.</w:t>
      </w:r>
    </w:p>
    <w:p>
      <w:pPr>
        <w:pStyle w:val="SourceNote"/>
      </w:pPr>
      <w:r>
        <w:rPr>
          <w:b/>
        </w:rPr>
        <w:t>Available abstract (not full text):</w:t>
      </w:r>
      <w:r>
        <w:t xml:space="preserve"> The European Union’s European Green Deal (EGD) was announced as an ambitious endeavour to achieve a just transition, address climate change, biodiversity loss and more. Importantly, it expresses the desire to tackle these challenges in a democratic way. Indeed, the scale of the changes required to meet the EGD’s goals mean that without democratic consent it is likely to fail, with disastrous consequences. With this introduction to the Special Issue on the European Green Deal and democracy we sketch the contours of this wide-ranging debate through a focus on aspects of democracy that are central to the EU and the EGD: representation, participation and deliberation, justice and the just transition, and expertise. The different contributions to this Special Issue examine democratic elements in the EGD and surrounding governance structures by exploring alternative sources of democratic innovation, including deliberative mechanisms and social movements, as potential avenues for transformative change.</w:t>
      </w:r>
    </w:p>
    <w:p>
      <w:pPr/>
      <w:r>
        <w:rPr>
          <w:b/>
        </w:rPr>
        <w:t>POSSIBLE 2025:</w:t>
      </w:r>
      <w:r>
        <w:t xml:space="preserve"> The European Green Deal and the democratic imagination — https://doi.org/10.1080/07036337.2025.2455686</w:t>
      </w:r>
    </w:p>
    <w:p>
      <w:pPr/>
      <w:r>
        <w:rPr>
          <w:b/>
        </w:rPr>
        <w:t>Shared claim-specific concepts:</w:t>
      </w:r>
      <w:r>
        <w:t xml:space="preserve"> green, deal, egd, different, sustainability; EU scope visible. This is a provisional connection, not an outcome finding.</w:t>
      </w:r>
    </w:p>
    <w:p>
      <w:pPr>
        <w:pStyle w:val="SourceNote"/>
      </w:pPr>
      <w:r>
        <w:rPr>
          <w:b/>
        </w:rPr>
        <w:t>Available abstract (not full text):</w:t>
      </w:r>
      <w:r>
        <w:t xml:space="preserve"> Democracy can be imagined in vastly different ways, and the way it is imagined has implications for political projects and policymaking. In this paper, I assess the particular democratic imaginary that is reflected and reinforced by the European Green Deal (EGD). The EGD emphasizes citizens as a ‘driving force’ of sustainability transition. However, despite the emphasis on active citizens, their participation is circumscribed, since the actual aims and strategies of the EGD are apparently not open for debate. Using critical discourse analysis to interrogate the material surrounding the EGD, I identify some persistent tropes of the democratic imaginary that is found there. I find that the dominant political imaginary of the EGD is one of an ‘inclusive depoliticised democracy’ that engages a wide diversity of citizens in limited discussion. The EGD is placed outside of politics and democracy and becomes a matter of tutored knowledge exchange rather than impassioned engagement.</w:t>
      </w:r>
    </w:p>
    <w:p>
      <w:pPr/>
      <w:r>
        <w:rPr>
          <w:b/>
        </w:rPr>
        <w:t>POSSIBLE 2025:</w:t>
      </w:r>
      <w:r>
        <w:t xml:space="preserve"> Economic potential of renewable energy for business: decarbonisation and climate adaptation strategies in Ukraine and Europe — https://doi.org/10.35774/econa2025.03.180</w:t>
      </w:r>
    </w:p>
    <w:p>
      <w:pPr/>
      <w:r>
        <w:rPr>
          <w:b/>
        </w:rPr>
        <w:t>Shared claim-specific concepts:</w:t>
      </w:r>
      <w:r>
        <w:t xml:space="preserve"> green, deal, decarbonisation, strategy, approach; EU scope visible. This is a provisional connection, not an outcome finding.</w:t>
      </w:r>
    </w:p>
    <w:p>
      <w:pPr>
        <w:pStyle w:val="SourceNote"/>
      </w:pPr>
      <w:r>
        <w:rPr>
          <w:b/>
        </w:rPr>
        <w:t>Available abstract (not full text):</w:t>
      </w:r>
      <w:r>
        <w:t xml:space="preserve"> Introduction. The global shift toward sustainable natural resource use and the minimisation of economic dependence on traditional energy sources represents a necessary stage in societal development within the framework of climate change mitigation and sustainable development. The subject of the study is the potential for integrating renewable energy sources (RES) into business operations in order to reduce greenhouse gas emissions and enhance the climate resilience of corporate processes in Ukraine and Europe. Purpose. The purpose of the study is to identify the key trends, economic incentives, and institutional mechanisms that support the transition of businesses to RES within the strategies of sustainable development, the circular economy, and decarbonisation, with an emphasis on assessing the economic impacts on energy independence, GDP, and investment payback. Methodology. The methodological framework integrates general scientific methods (analysis, synthesis, comparison, abstraction, induction, deduction), a systems approach, as well as economic calculations (ROI, cost–benefit analysis, assessment of savings from reduced energy imports) based on data from IRENA, the Energy Community, the European Investment Bank, and Ukraine’s national energy strategies up to 2035. Results. The article analyses key outcomes of effective European best practices (Germany, Sweden, Romania, Po</w:t>
      </w:r>
    </w:p>
    <w:p>
      <w:pPr/>
      <w:r>
        <w:rPr>
          <w:b/>
        </w:rPr>
        <w:t>POSSIBLE 2025:</w:t>
      </w:r>
      <w:r>
        <w:t xml:space="preserve"> ATWOOD’S PRACTICAL UTOPIAS: A COMPARATIVE ANALYSIS WITH THE EUROPEAN GREEN DEAL — https://doi.org/10.56177/aua.philologica.2.26.2025.art.5</w:t>
      </w:r>
    </w:p>
    <w:p>
      <w:pPr/>
      <w:r>
        <w:rPr>
          <w:b/>
        </w:rPr>
        <w:t>Shared claim-specific concepts:</w:t>
      </w:r>
      <w:r>
        <w:t xml:space="preserve"> green, deal, egd, decarbonisation, sustainability; EU scope visible. This is a provisional connection, not an outcome finding.</w:t>
      </w:r>
    </w:p>
    <w:p>
      <w:pPr>
        <w:pStyle w:val="SourceNote"/>
      </w:pPr>
      <w:r>
        <w:rPr>
          <w:b/>
        </w:rPr>
        <w:t>Available abstract (not full text):</w:t>
      </w:r>
      <w:r>
        <w:t xml:space="preserve"> This article compares Margaret Atwood’s Practical Utopia – an interactive, global, live-learning workshop hosted on the Disco platform – with the European Green Deal (EGD) to examine how imaginative, community-led futures align with and operationalise the EU's policy architecture for climate neutrality. Using content analysis, document analysis, and comparative analysis, the study advances the hypothesis that contemporary "practical utopias" are shaped by EGD targets and strategies, and tests that claim against the project's themes and outcomes, including the Symbiocene showcase. The paper situates Practical Utopias within currents of “real” or “concrete” utopianism (Wright, Albritton, Wilder), where ideals are judged by feasibility and iterative prototyping. Atwood’s pivot from dystopia to practice foregrounds active hope: participants co-designed carbon-neutral/negative communities by tackling basic systems (food, shelter, clothing, energy, mobility, governance, digital infrastructure, justice, and rituals around death) while interrogating the ecological ethics of enabling technologies. In parallel, the article synthesises the EGD's core—climate neutrality by 2050, ≥55% emissions cuts by 2030, and a policy suite spanning circular economy, zero pollution, Farm to Fork, Renovation Wave, industrial decarbonisation, clean mobility, renewables and hydrogen, biodiversity protection</w:t>
      </w:r>
    </w:p>
    <w:p>
      <w:pPr/>
      <w:r>
        <w:rPr>
          <w:b/>
        </w:rPr>
        <w:t>POSSIBLE 2025:</w:t>
      </w:r>
      <w:r>
        <w:t xml:space="preserve"> The European Green Deal: An Eco-Social Contract for Europe? — https://doi.org/10.1007/978-3-031-99109-7_9</w:t>
      </w:r>
    </w:p>
    <w:p>
      <w:pPr/>
      <w:r>
        <w:rPr>
          <w:b/>
        </w:rPr>
        <w:t>Shared claim-specific concepts:</w:t>
      </w:r>
      <w:r>
        <w:t xml:space="preserve"> green, deal, egd, aiming, sustainability, union; EU scope visible. This is a provisional connection, not an outcome finding.</w:t>
      </w:r>
    </w:p>
    <w:p>
      <w:pPr>
        <w:pStyle w:val="SourceNote"/>
      </w:pPr>
      <w:r>
        <w:rPr>
          <w:b/>
        </w:rPr>
        <w:t>Available abstract (not full text):</w:t>
      </w:r>
      <w:r>
        <w:t xml:space="preserve"> The European Green Deal (EGD) represents a transformative policy initiative, heralded as Europe’s “man on the moon” moment, aiming to achieve climate neutrality by 2050 while fostering social equity and economic resilience across the European Union (EU). From its inception, the EGD was intended to integrate environmental sustainability into governance frameworks and define an all-encompassing agenda to jointly address the urgent challenges of climate change, biodiversity loss, and social inequalities. This chapter explores how the EGD, when positioned as a nascent eco-social contract, could redefine the roles and responsibilities of each European societal actor by aligning ecological responsibility with economic and social objectives, guided by the principle of common but differentiated responsibilities outlined in the Paris Climate Agreement. It examines the role of the EU’s multilevel governance structure in embedding the EGD’s policies, the systemic barriers to its implementation, and the pathways for overcoming these challenges. By critically analysing what the EGD’s opportunities and limitations have been, the chapter offers insights into how the EU can lead global sustainability efforts and foster a more inclusive and sustainable future.</w:t>
      </w:r>
    </w:p>
    <w:p>
      <w:pPr/>
      <w:r>
        <w:rPr>
          <w:b/>
        </w:rPr>
        <w:t>POSSIBLE 2024:</w:t>
      </w:r>
      <w:r>
        <w:t xml:space="preserve"> What was, is and will be: A bibliometric analysis of European Green Deal (EGD) — https://doi.org/10.1386/tmsd_00086_1</w:t>
      </w:r>
    </w:p>
    <w:p>
      <w:pPr/>
      <w:r>
        <w:rPr>
          <w:b/>
        </w:rPr>
        <w:t>Shared claim-specific concepts:</w:t>
      </w:r>
      <w:r>
        <w:t xml:space="preserve"> green, deal, egd, sustainability, union; EU scope visible. This is a provisional connection, not an outcome finding.</w:t>
      </w:r>
    </w:p>
    <w:p>
      <w:pPr>
        <w:pStyle w:val="SourceNote"/>
      </w:pPr>
      <w:r>
        <w:rPr>
          <w:b/>
        </w:rPr>
        <w:t>Available abstract (not full text):</w:t>
      </w:r>
      <w:r>
        <w:t xml:space="preserve"> European Green Deal (EGD) was introduced by the European Union in December 2019 with a pledge to transform the European Union into a carbon-neutral economy by the year 2050. This study intends to undertake a bibliometric evaluation of the existing literature on EGD. This research aims to precisely identify and evaluate the most influential sources, contributors and cited works in the EGD literature, as well as delineate primary research directions and geographical hotspots, thereby offering a comprehensive overview of the current state and trends within the field. An attempt has been made to identify the trends of the research on EGD, along with the top countries contributing to the literature on EGD. The emerging keywords in the EGD literature are traced to provide future research directions. A total of 846 research documents are obtained from the Scopus database, and the Visualization of Similarities (VOS) viewer software is used for data analysis. The results of the analysis reveal that sustainability, sustainable development, energy efficiency, energy policies, greenhouse emissions, climate change, biodiversity, circular economy and renewable energy emerge as prominent and interconnected areas of research within the academic discourse on the EGD.</w:t>
      </w:r>
    </w:p>
    <w:p>
      <w:pPr/>
      <w:r>
        <w:rPr>
          <w:b/>
        </w:rPr>
        <w:t>POSSIBLE 2024:</w:t>
      </w:r>
      <w:r>
        <w:t xml:space="preserve"> DIGITALIZATION OF THE EUROPEAN GREEN DEAL (EGD) AND SUSTAINABLE DEVELOPMENT GOALS (SDG) - A FACTOR IN EMPOWERING SUSTAINABLE LOCAL PROJECTS: A REVIEW OF LITERATURE AND POTENTIAL ACHIEVEMENTS — https://doi.org/10.61432/cpne0201129g</w:t>
      </w:r>
    </w:p>
    <w:p>
      <w:pPr/>
      <w:r>
        <w:rPr>
          <w:b/>
        </w:rPr>
        <w:t>Shared claim-specific concepts:</w:t>
      </w:r>
      <w:r>
        <w:t xml:space="preserve"> green, deal, egd, sustainability, union; EU scope visible. This is a provisional connection, not an outcome finding.</w:t>
      </w:r>
    </w:p>
    <w:p>
      <w:pPr>
        <w:pStyle w:val="SourceNote"/>
      </w:pPr>
      <w:r>
        <w:rPr>
          <w:b/>
        </w:rPr>
        <w:t>Available abstract (not full text):</w:t>
      </w:r>
      <w:r>
        <w:t xml:space="preserve"> The Sustainable Development Goals and the European Green Deal are calls to action for countries around the world, and especially for the member states of the European Union, to address and practically solve many common problems. When discussing the European Green Deal (EGD) in particular, these problems are predominantly ecological in nature. The goal of decarbonization is closely linked to the structure of the economy, and to properly implement the provisions of greening the economy, proper education is necessary. For mass education, the use of IoT is a step towards the digitalization of education, project and other networking, as well as harmonious innovations on the path to sustainability. To highlight the importance and interdependence of these areas, the paper presents a systematic review of the literature on these fields.</w:t>
      </w:r>
    </w:p>
    <w:p>
      <w:pPr/>
      <w:r>
        <w:rPr>
          <w:b/>
        </w:rPr>
        <w:t>POSSIBLE 2024:</w:t>
      </w:r>
      <w:r>
        <w:t xml:space="preserve"> Romanian Legislation Based on The EU Green Deal Strategy — https://doi.org/10.58603/dgms8788</w:t>
      </w:r>
    </w:p>
    <w:p>
      <w:pPr/>
      <w:r>
        <w:rPr>
          <w:b/>
        </w:rPr>
        <w:t>Shared claim-specific concepts:</w:t>
      </w:r>
      <w:r>
        <w:t xml:space="preserve"> green, deal, decarbonisation, strategy; EU scope visible. This is a provisional connection, not an outcome finding.</w:t>
      </w:r>
    </w:p>
    <w:p>
      <w:pPr>
        <w:pStyle w:val="SourceNote"/>
      </w:pPr>
      <w:r>
        <w:rPr>
          <w:b/>
        </w:rPr>
        <w:t>Available abstract (not full text):</w:t>
      </w:r>
      <w:r>
        <w:t xml:space="preserve"> The present paper presents some of the latest Romanian legal provisions to support the European Green Deal objectives and the adoption of the "Fit for 55" package. Our paper presents some of the latest Romanian legislative initiatives and programs as part of the joint European effort to make Europe the first green continent. Thus, we briefly discuss The National Integrated Energy and Climate Change Plan 2021-2030, Emergency Ordinance 71/2021 on the promotion of non-polluting road transport vehicles, in support of low-emission mobility, Rabla Plus Program 2024, Emergency Ordinance 108/2022 regarding the decarbonisation of the energy sector, the proposed National Hydrogen Strategy and presents the modifications to the Law 220/ 2008.</w:t>
      </w:r>
    </w:p>
    <w:p>
      <w:pPr/>
      <w:r>
        <w:rPr>
          <w:b/>
        </w:rPr>
        <w:t>POSSIBLE 2024:</w:t>
      </w:r>
      <w:r>
        <w:t xml:space="preserve"> Decarbonisation scenarios for the European residential sector — https://doi.org/10.1016/j.buildenv.2024.112408</w:t>
      </w:r>
    </w:p>
    <w:p>
      <w:pPr/>
      <w:r>
        <w:rPr>
          <w:b/>
        </w:rPr>
        <w:t>Shared claim-specific concepts:</w:t>
      </w:r>
      <w:r>
        <w:t xml:space="preserve"> green, deal, ambitious, decarbonisation, mix; EU scope visible. This is a provisional connection, not an outcome finding.</w:t>
      </w:r>
    </w:p>
    <w:p>
      <w:pPr>
        <w:pStyle w:val="SourceNote"/>
      </w:pPr>
      <w:r>
        <w:rPr>
          <w:b/>
        </w:rPr>
        <w:t>Available abstract (not full text):</w:t>
      </w:r>
      <w:r>
        <w:t xml:space="preserve"> The urgency to combat global climate change has prompted the implementation of many regional and national policies, with the European Green Deal standing out as one of the most significant initiatives. We use the recently developed TIMES-Europe energy system model to study the pivotal role of the residential sector in achieving the ambitious energy savings goal formulated by the EU in the broad framework of its Fit-for-55 policy package. We observe improved energy efficiency in households across a set of scenarios that differ in terms of climate policy ambition and level of collaboration between European countries. We find that, by 2030, residential buildings can realize up to 3000 PJ in overall energy savings. Cross-country collaboration may yield an additional 11% reduction in residential energy consumption, which could increase to 18% when combined with dwelling retrofitting subsidies. Our analysis of the transformation of the residential fuel mix, particularly the interplay between biomass and natural gas usage, reveals a trade-off between short-term energy efficiency gains and long-term CO 2 reduction goals. In the short run, scenarios lacking stringent climate control measures exhibit higher energy savings in comparison to those embracing ambitious climate targets. This initial difference, however, diminishes over time: energy savings from climate-compliant scenarios near</w:t>
      </w:r>
    </w:p>
    <w:p>
      <w:pPr/>
      <w:r>
        <w:rPr>
          <w:b/>
        </w:rPr>
        <w:t>POSSIBLE 2024:</w:t>
      </w:r>
      <w:r>
        <w:t xml:space="preserve"> Cutting the Gordian Knot: Industrial Strategies of the EU’s Green Deal:Policy Brief — https://openalex.org/W7159742445</w:t>
      </w:r>
    </w:p>
    <w:p>
      <w:pPr/>
      <w:r>
        <w:rPr>
          <w:b/>
        </w:rPr>
        <w:t>Shared claim-specific concepts:</w:t>
      </w:r>
      <w:r>
        <w:t xml:space="preserve"> green, deal, ambitious, decarbonisation, mix, instruments; EU scope visible. This is a provisional connection, not an outcome finding.</w:t>
      </w:r>
    </w:p>
    <w:p>
      <w:pPr>
        <w:pStyle w:val="SourceNote"/>
      </w:pPr>
      <w:r>
        <w:rPr>
          <w:b/>
        </w:rPr>
        <w:t>Available abstract (not full text):</w:t>
      </w:r>
      <w:r>
        <w:t xml:space="preserve"> The European Green Deal sets ambitious targets for decarbonising the European Union, particularly within its industrial sector. To achieve industrial decarbonisation, the Green Deal deploys a mix of instruments including binding goals, investment support, and carbon pricing. However, there is a noticeable gap in understanding the key policies and their corresponding impacts. Consequently, the eff ectiveness of the multitude of strategies and instruments designed to promote industrial decarbonisation remains unclear. This policy brief aims to address this gap by providing a comprehensive overview of the European Green Deal’s strategies for industrial decarbonisation, tailored for non-experts.</w:t>
      </w:r>
    </w:p>
    <w:p>
      <w:pPr>
        <w:pStyle w:val="Heading2"/>
      </w:pPr>
      <w:r>
        <w:t>613. On European Green Deal and Sustainable Development Policy (the Case of Romania)</w:t>
      </w:r>
    </w:p>
    <w:p>
      <w:pPr>
        <w:pStyle w:val="SourceNote"/>
      </w:pPr>
      <w:r>
        <w:rPr>
          <w:b/>
        </w:rPr>
        <w:t>Original source (2021):</w:t>
      </w:r>
      <w:r>
        <w:t xml:space="preserve"> https://doi.org/10.3390/su132112233</w:t>
      </w:r>
    </w:p>
    <w:p>
      <w:pPr/>
      <w:r>
        <w:t>Original wording (abstract; indexed_source_text_not_full_document_verified): Reaching the EU climate-neutrality objective in 2050 is very ambitious, especially for the Member States from Central-Eastern Europe.</w:t>
      </w:r>
    </w:p>
    <w:p>
      <w:pPr/>
      <w:r>
        <w:rPr>
          <w:b/>
        </w:rPr>
        <w:t>POSSIBLE 2025:</w:t>
      </w:r>
      <w:r>
        <w:t xml:space="preserve"> Cluster Analysis of the Transition to Climate Neutrality in the European Union — https://doi.org/10.1002/sd.70064</w:t>
      </w:r>
    </w:p>
    <w:p>
      <w:pPr/>
      <w:r>
        <w:rPr>
          <w:b/>
        </w:rPr>
        <w:t>Shared claim-specific concepts:</w:t>
      </w:r>
      <w:r>
        <w:t xml:space="preserve"> objective, member, states; EU scope visible. This is a provisional connection, not an outcome finding.</w:t>
      </w:r>
    </w:p>
    <w:p>
      <w:pPr>
        <w:pStyle w:val="SourceNote"/>
      </w:pPr>
      <w:r>
        <w:rPr>
          <w:b/>
        </w:rPr>
        <w:t>Available abstract (not full text):</w:t>
      </w:r>
      <w:r>
        <w:t xml:space="preserve"> ABSTRACT The transition to climate neutrality is an important objective for the European Union, which is increasingly affected economically and environmentally by the impacts of climate change. The primary objective of this study is to analyze the transition to climate neutrality across EU Member States through a cluster analysis approach. Specifically, the research aims to: (1) review existing literature on environmental policy outcomes in achieving climate neutrality, (2) identify key energy and environmental economic drivers impacting this transition, (3) conduct a cluster analysis to group Member States based on their progress and challenges, and (4) propose differentiated public policy recommendations to support Europe's transition to climate neutrality. To achieve these objectives, the K‐means clustering method and ranking techniques were employed to identify differences in transition policies and to evaluate disparities among clusters in their contribution to the EU's overall climate neutrality goals. The study's results determined differences in the cluster structure of the European Union in terms of the approach to the transition to climate neutrality. They will provide a basis for developing differentiated public policy proposals between countries. The results are useful for supranational policymakers in determining approaches for adjusting climate neutrality transiti</w:t>
      </w:r>
    </w:p>
    <w:p>
      <w:pPr/>
      <w:r>
        <w:rPr>
          <w:b/>
        </w:rPr>
        <w:t>POSSIBLE 2024:</w:t>
      </w:r>
      <w:r>
        <w:t xml:space="preserve"> Assessment of the Potential of European Union Member States to Achieve Climate Neutrality — https://doi.org/10.3390/su16031311</w:t>
      </w:r>
    </w:p>
    <w:p>
      <w:pPr/>
      <w:r>
        <w:rPr>
          <w:b/>
        </w:rPr>
        <w:t>Shared claim-specific concepts:</w:t>
      </w:r>
      <w:r>
        <w:t xml:space="preserve"> ambitious, member, states; EU scope visible. This is a provisional connection, not an outcome finding.</w:t>
      </w:r>
    </w:p>
    <w:p>
      <w:pPr>
        <w:pStyle w:val="SourceNote"/>
      </w:pPr>
      <w:r>
        <w:rPr>
          <w:b/>
        </w:rPr>
        <w:t>Available abstract (not full text):</w:t>
      </w:r>
      <w:r>
        <w:t xml:space="preserve"> Climate neutrality is the main environmental goal set for the European Union Member States until 2050. EU economies can achieve this ambitious climate goal by reducing the emission intensity of economies, which has been achieved for many years by reducing pollution emitted by industry. The aim of the study is focused primarily on demonstrating the degree of relationship between the variables describing economic growth, GDP, and the level of CO2 emissions. In the first stage of the research, the potential of countries to achieve climate neutrality was assessed, which was achieved by estimating the correlation between GDP indices in relation to 2013 and the level of CO2 emissions. Research has shown that despite the countries’ differences in the structure of their energy balances, they can achieve independence of economic growth from the emission level of their economies. The research also concerns Poland’s special situation compared to other European Union countries according to energy balance based on coal. A model based on differential equations was used to simulate the impact of GDP, energy intensity, and the share of biofuels on temperature and CO2 concentration until 2030, using data for Poland as an example. The aim of this analysis is to answer the question of whether the energy transformation in the country will achieve the assumed emission reduction goals by 2030.</w:t>
      </w:r>
    </w:p>
    <w:p>
      <w:pPr/>
      <w:r>
        <w:rPr>
          <w:b/>
        </w:rPr>
        <w:t>POSSIBLE 2024:</w:t>
      </w:r>
      <w:r>
        <w:t xml:space="preserve"> EUROPEAN LANDSCAPE OF CLIMATE LAW — https://doi.org/10.46299/979-8-89504-809-2.3</w:t>
      </w:r>
    </w:p>
    <w:p>
      <w:pPr/>
      <w:r>
        <w:rPr>
          <w:b/>
        </w:rPr>
        <w:t>Shared claim-specific concepts:</w:t>
      </w:r>
      <w:r>
        <w:t xml:space="preserve"> reaching, objective, member, states; EU scope visible. This is a provisional connection, not an outcome finding.</w:t>
      </w:r>
    </w:p>
    <w:p>
      <w:pPr>
        <w:pStyle w:val="SourceNote"/>
      </w:pPr>
      <w:r>
        <w:rPr>
          <w:b/>
        </w:rPr>
        <w:t>Available abstract (not full text):</w:t>
      </w:r>
      <w:r>
        <w:t xml:space="preserve"> 3. European landscape of climate law Introduction.The existential threat caused by climate change requires governmental efforts of the states for implementation of the Paris Agreement setting up efforts for development of economic and social transformation, based on the best available scientific and sustainable approaches.As part of the European Green Deal, with the European Climate Law, the European Union has set itself a binding target of achieving climate neutrality by 2050.Regulation (EU) 2021/1119 of the European Parliament and of the Council of 30 June 2021 establishing the framework for achieving climate neutrality and amending Regulations (EC) No 401/2009 and (EU) 2018/1999 was named 'European Climate Law' [124].Researches of European landscape of climate law have been provided by various organizations, institutions, and researchers, including United Nations Framework Convention on Climate Change (UNFCCC), Panel on Climate Change (IPCC), World Bank , Organization for Economic Co-operation and Development (OECD), Grantham Research Institute on Climate Change and the Environment (London School of Economics), World Resources Institute (WRI), Climate Policy Initiative (CPI), International Institute for Environment and Development (IIED), Climate Action Network (CAN), Greenpeace, World Wildlife Fund (WWF), Ecologic Institute etc.These organizations and institutions have prov</w:t>
      </w:r>
    </w:p>
    <w:p>
      <w:pPr/>
      <w:r>
        <w:rPr>
          <w:b/>
        </w:rPr>
        <w:t>POSSIBLE 2022:</w:t>
      </w:r>
      <w:r>
        <w:t xml:space="preserve"> The Analysis of Public Funds Utilization Efficiency for Climate Neutrality in the European Union Countries — https://doi.org/10.3390/en15020581</w:t>
      </w:r>
    </w:p>
    <w:p>
      <w:pPr/>
      <w:r>
        <w:rPr>
          <w:b/>
        </w:rPr>
        <w:t>Shared claim-specific concepts:</w:t>
      </w:r>
      <w:r>
        <w:t xml:space="preserve"> reaching, objective, especially; EU scope visible. This is a provisional connection, not an outcome finding.</w:t>
      </w:r>
    </w:p>
    <w:p>
      <w:pPr>
        <w:pStyle w:val="SourceNote"/>
      </w:pPr>
      <w:r>
        <w:rPr>
          <w:b/>
        </w:rPr>
        <w:t>Available abstract (not full text):</w:t>
      </w:r>
      <w:r>
        <w:t xml:space="preserve"> The aim of this article was to assess the efficiency of the utilization of public funds for climate neutrality. It was concluded that the data gathered in public statistics are not adapted to current challenges and hinder the direct measurement of climate policy objective implementation progress. Due to that, an innovative approach to public intervention efficiency analysis was proposed for the sake of decreasing CO2 emission in 27 European Union (EU) countries, based on Data Envelopment Analysis (DEA) method and soft modeling. Statistical data are derived from the Eurostat database and pertain to the years 2005–2019. It was demonstrated that activity efficiency of the particular EU countries on climate neutrality varied and that together with the increase in public funds spent on environmental protection, the growth of effects in the field of reaching climate neutrality objectives was not observed. The greatest positive impact on achieving climate neutrality objectives was revealed for activities connected with building renewable sources of energy (RES) and there was no correlation detected for expenditures connected with transport infrastructure, which means that public funds used for their construction did not influence climate neutrality. It was established that, in the analyzed period, the decisions on allocating public funds were not taken on the basis of the expected amo</w:t>
      </w:r>
    </w:p>
    <w:p>
      <w:pPr/>
      <w:r>
        <w:rPr>
          <w:b/>
        </w:rPr>
        <w:t>POSSIBLE 2022:</w:t>
      </w:r>
      <w:r>
        <w:t xml:space="preserve"> European Climate Law - New legal revolution towards climate neutrality in the EU. — https://doi.org/10.25167/osap.4510</w:t>
      </w:r>
    </w:p>
    <w:p>
      <w:pPr/>
      <w:r>
        <w:rPr>
          <w:b/>
        </w:rPr>
        <w:t>Shared claim-specific concepts:</w:t>
      </w:r>
      <w:r>
        <w:t xml:space="preserve"> especially, member, states; EU scope visible. This is a provisional connection, not an outcome finding.</w:t>
      </w:r>
    </w:p>
    <w:p>
      <w:pPr>
        <w:pStyle w:val="SourceNote"/>
      </w:pPr>
      <w:r>
        <w:rPr>
          <w:b/>
        </w:rPr>
        <w:t>Available abstract (not full text):</w:t>
      </w:r>
      <w:r>
        <w:t xml:space="preserve"> European Climate Law (EU Climate Law) shall become a critical element of future EU regulations and law-making process based on the Green Deal (EU climate and energy strategy) which is the result of the COP21 and Paris Agreement undersigned during the conference of United Nations by its worldwide members. With the actual climate challenges, the EU wishes to keep the leader's role and trend in terms of radical decrease of GHG emissions. Especially for that reason, a new regulatory framework was prepared with a comprehensive overawe of various EU policies. As a result of those expectations, the European Commission has prepared EU Climate Law endorsed by a strong political signal from the European Parliament and Council with its declaratory conclusions. This new legal act with its formula refers to many legal acts and EU policies such as “Fit for 55%” package , and many other energy-and climate related laws. It developed into an essential signal towards the EU Member States to keep comprehensive policies and plans towards climate neutrality. It should be underlined that this act will be a new opener towards upcoming legislative packages and potential financial instruments to come. Occasionally, EU policymakers use a controversial nomenclature defining Regulation as a “Climate Treaty” to emphasize the act’s significance and special regulatory status. The aim of the article is to pre</w:t>
      </w:r>
    </w:p>
    <w:p>
      <w:pPr/>
      <w:r>
        <w:rPr>
          <w:b/>
        </w:rPr>
        <w:t>POSSIBLE 2022:</w:t>
      </w:r>
      <w:r>
        <w:t xml:space="preserve"> Towards Climate Neutrality via Sustainable Agriculture in Soil Management — https://doi.org/10.2478/rtuect-2022-0041</w:t>
      </w:r>
    </w:p>
    <w:p>
      <w:pPr/>
      <w:r>
        <w:rPr>
          <w:b/>
        </w:rPr>
        <w:t>Shared claim-specific concepts:</w:t>
      </w:r>
      <w:r>
        <w:t xml:space="preserve"> ambitious, especially, states; EU scope visible. This is a provisional connection, not an outcome finding.</w:t>
      </w:r>
    </w:p>
    <w:p>
      <w:pPr>
        <w:pStyle w:val="SourceNote"/>
      </w:pPr>
      <w:r>
        <w:rPr>
          <w:b/>
        </w:rPr>
        <w:t>Available abstract (not full text):</w:t>
      </w:r>
      <w:r>
        <w:t xml:space="preserve"> Abstract The European Green Deal sets an ambitious target for Europe to reach climate neutrality by 2050. This commitment will be a challenge, particularly in the context of agriculture, as the sector is responsible for sustainable development and food security. However, one of the primary sources of GHG emissions from the agricultural sector is the treatment of soils using nitrogen fertilizers for crops, especially grain crops. This paper aims to assess the GHG mitigation perspective for soil management in the Baltic States and, in particular, to analyse the grain sector in light of sustainable agriculture and towards climate neutrality. To achieve the aim of the study, the analysis was performed in two parts. Firstly, historical and projected GHG emissions of the Baltic States and mitigation measures on agricultural soil management, including cereal growing were analysed as these emissions show a growing tendency. Thus, the study analyses GHG emission trends, including possible mitigation measures for soil management in the Baltic States. The results indicated that for GHG reduction from agricultural soils, some cost-effective measures could be considered for the future, such as the zero-emissions on-farm machinery and equipment, low or no-tillage, or N-inhibitors on pasture. Secondly, as the GHG emissions from cereals increase, potential alternatives to the use of grain prod</w:t>
      </w:r>
    </w:p>
    <w:p>
      <w:pPr/>
      <w:r>
        <w:rPr>
          <w:b/>
        </w:rPr>
        <w:t>POSSIBLE 2022:</w:t>
      </w:r>
      <w:r>
        <w:t xml:space="preserve"> Investigating European Union Decarbonization Strategies: Evaluating the Pathway to Carbon Neutrality by 2050 — https://doi.org/10.3390/su14084728</w:t>
      </w:r>
    </w:p>
    <w:p>
      <w:pPr/>
      <w:r>
        <w:rPr>
          <w:b/>
        </w:rPr>
        <w:t>Shared claim-specific concepts:</w:t>
      </w:r>
      <w:r>
        <w:t xml:space="preserve"> very, member, states; EU scope visible. This is a provisional connection, not an outcome finding.</w:t>
      </w:r>
    </w:p>
    <w:p>
      <w:pPr>
        <w:pStyle w:val="SourceNote"/>
      </w:pPr>
      <w:r>
        <w:rPr>
          <w:b/>
        </w:rPr>
        <w:t>Available abstract (not full text):</w:t>
      </w:r>
      <w:r>
        <w:t xml:space="preserve"> Despite the rich and extensive documentation provided by European Member States and the European Commission in describing National Energy and Climates Plans and Long-Term Strategy plans, it is still very difficult to evaluate where and how the European Union as a whole has positioned itself on the path to achieving the Green Deal objectives, named the Fit 55% package in 2030 and the achievement of carbon neutrality by 2050. This research aims to fill this gap, proposing a simple but exhaustive semantic scaling methodology that allows, for the first time, a quantitative evaluation of the quality of the National Plans based on European Commission assessments to measure their compliance with the European Green Deal objectives. Results show that Member States have more clearly set the Green Deal targets than the actions to deliver against those targets. Actions, in term of nationals policies and funds administration, are still immature and partially addressed.</w:t>
      </w:r>
    </w:p>
    <w:p>
      <w:pPr>
        <w:pStyle w:val="Heading2"/>
      </w:pPr>
      <w:r>
        <w:t>614. POPULATION FORECAST WITH THE DATA PROCESSING GROUP METHOD (GMDH) type NEURAL NETWORK FOR EUROPEAN UNION COUNTRIES</w:t>
      </w:r>
    </w:p>
    <w:p>
      <w:pPr>
        <w:pStyle w:val="SourceNote"/>
      </w:pPr>
      <w:r>
        <w:rPr>
          <w:b/>
        </w:rPr>
        <w:t>Original source (2021):</w:t>
      </w:r>
      <w:r>
        <w:t xml:space="preserve"> https://doi.org/10.46872/pj.323</w:t>
      </w:r>
    </w:p>
    <w:p>
      <w:pPr/>
      <w:r>
        <w:t>Original wording (abstract; indexed_source_text_not_full_document_verified): In addition, the analysis was compared with the 2021 - 2032 forecast values in the World Bank Database. According to the findings and comparison results, it has been concluded that the GMDH type Neural Network is a very good approach for the annual population estimation of 27 EU countries, it has almost exactly the same results with the real values in the past years, therefore it is consistent and successful in its predictions for the future years.</w:t>
      </w:r>
    </w:p>
    <w:p>
      <w:pPr/>
      <w:r>
        <w:rPr>
          <w:b/>
        </w:rPr>
        <w:t>POSSIBLE 2026:</w:t>
      </w:r>
      <w:r>
        <w:t xml:space="preserve"> The Future of Money in Europe: Central Bank Digital Currencies? — https://openalex.org/W7215248674</w:t>
      </w:r>
    </w:p>
    <w:p>
      <w:pPr/>
      <w:r>
        <w:rPr>
          <w:b/>
        </w:rPr>
        <w:t>Shared claim-specific concepts:</w:t>
      </w:r>
      <w:r>
        <w:t xml:space="preserve"> bank, database, countries; EU scope visible. This is a provisional connection, not an outcome finding.</w:t>
      </w:r>
    </w:p>
    <w:p>
      <w:pPr>
        <w:pStyle w:val="SourceNote"/>
      </w:pPr>
      <w:r>
        <w:rPr>
          <w:b/>
        </w:rPr>
        <w:t>Available abstract (not full text):</w:t>
      </w:r>
      <w:r>
        <w:t xml:space="preserve"> The article examines the historical development, technological foundations, and institutional implications of central bank digital currencies (CBDCs), with a particular focus on developments within the European Union. Bitcoin and other cryptocurrencies have challenged aspects of traditional monetary systems and accelerated interest in state-backed digital alternatives. In the European context, this transformation can be understood as a multi-level process involving technological innovation, institutional adaptation, geopolitical ambition, and social cohesion. CBDCs are not merely a technological innovation but represent a powerful tool capable of fundamentally trans-forming the structure of the monetary and financial system. From a technological perspective, there is a clear diversity of approaches both among countries and within the European Central Bank (ECB). While most European initiatives are exploring the use of distributed ledger technologies (DLT), alternative solutions based on conventional database structures are also being developed. These varied approaches reflect not only technological preferences but also differing levels of trust in centralized versus decentralized systems, and they raise key questions regarding scalability, cybersecurity, and energy efficiency. CBDCs also present new possibilities for monetary poli-cy. In theory, digital currencies could allow f</w:t>
      </w:r>
    </w:p>
    <w:p>
      <w:pPr/>
      <w:r>
        <w:rPr>
          <w:b/>
        </w:rPr>
        <w:t>POSSIBLE 2026:</w:t>
      </w:r>
      <w:r>
        <w:t xml:space="preserve"> State-owned Banks and Profitability in Central and Eastern Europe: Testing the State-owned Banks Advantage Hypothesis — https://doi.org/10.18778/1508-2008.29.14</w:t>
      </w:r>
    </w:p>
    <w:p>
      <w:pPr/>
      <w:r>
        <w:rPr>
          <w:b/>
        </w:rPr>
        <w:t>Shared claim-specific concepts:</w:t>
      </w:r>
      <w:r>
        <w:t xml:space="preserve"> compared, bank, according, estimation, countries; EU scope visible. This is a provisional connection, not an outcome finding.</w:t>
      </w:r>
    </w:p>
    <w:p>
      <w:pPr>
        <w:pStyle w:val="SourceNote"/>
      </w:pPr>
      <w:r>
        <w:rPr>
          <w:b/>
        </w:rPr>
        <w:t>Available abstract (not full text):</w:t>
      </w:r>
      <w:r>
        <w:t xml:space="preserve"> This paper presents and tests an original state-owned banks advantage hypothesis, according to which the nationalisation of a part of the banking sector may positively influence the financial results and reduce risks associated with banking activity. The hypothesis was tested using a model comparing three groups of banks: state-owned banks, foreign owned banks, and domestic privately owned banks. The estimation of model parameters was carried out using a fixed-effects panel data analysis for banks based in Central and Eastern European countries over the period 2014–2020. Based on the models for ROA and, separately, ROE, a statistically significant negative relation was observed in the returns generated by state-owned banks compared to private domestic and foreign banks. The results also indicate a higher business risk for state-owned banks, measured by the level of non-performing loans, which is likely to be related to involvement in projects that are not always profitable but often involve higher credit risk. Therefore, we argue that elements of a country’s economic or social policies matter when conducting business but negatively affect the performance of state-owned banks. The results of the model also demonstrate that a bank’s market size negatively affects its performance.</w:t>
      </w:r>
    </w:p>
    <w:p>
      <w:pPr/>
      <w:r>
        <w:rPr>
          <w:b/>
        </w:rPr>
        <w:t>POSSIBLE 2026:</w:t>
      </w:r>
      <w:r>
        <w:t xml:space="preserve"> A database of eels and their freshwater habitats in southwestern Europe — https://doi.org/10.1038/s41597-026-07213-3</w:t>
      </w:r>
    </w:p>
    <w:p>
      <w:pPr/>
      <w:r>
        <w:rPr>
          <w:b/>
        </w:rPr>
        <w:t>Shared claim-specific concepts:</w:t>
      </w:r>
      <w:r>
        <w:t xml:space="preserve"> database, network, countries; EU scope visible. This is a provisional connection, not an outcome finding.</w:t>
      </w:r>
    </w:p>
    <w:p>
      <w:pPr>
        <w:pStyle w:val="SourceNote"/>
      </w:pPr>
      <w:r>
        <w:rPr>
          <w:b/>
        </w:rPr>
        <w:t>Available abstract (not full text):</w:t>
      </w:r>
      <w:r>
        <w:t xml:space="preserve"> The European eel stock (Anguilla anguilla) is outside safe biological limits. A range-wide stock assessment requires the creation and standardisation of databases that include information on eels and their habitats in different countries throughout their distribution range. The SUDOANG 1.0.4 database compiles standardised data on river courses in France and the Iberian Peninsula (Spain and Portugal). Using GIS tools, information on water surface and on other potential aquatic habitats surrounding each river segment has been collected. This common river network provides tools to quickly accumulate information along the river or along the natural path of migration from/to the sea. The database also compiles information on the surface of other habitats, human pressures (including 106400 obstacles), and provides eel abundance and biometric estimations derived from the Eel Density Analysis (EDA) model at the river reach scale for the reference year 2015. The river network supports ecological assessment of the eel habitats, and should also be useful for studies on other migratory species.</w:t>
      </w:r>
    </w:p>
    <w:p>
      <w:pPr/>
      <w:r>
        <w:rPr>
          <w:b/>
        </w:rPr>
        <w:t>POSSIBLE 2025:</w:t>
      </w:r>
      <w:r>
        <w:t xml:space="preserve"> Plural Values of Culture in Europe — https://openalex.org/W7137507789</w:t>
      </w:r>
    </w:p>
    <w:p>
      <w:pPr/>
      <w:r>
        <w:rPr>
          <w:b/>
        </w:rPr>
        <w:t>Shared claim-specific concepts:</w:t>
      </w:r>
      <w:r>
        <w:t xml:space="preserve"> values, approach, countries; EU scope visible. This is a provisional connection, not an outcome finding.</w:t>
      </w:r>
    </w:p>
    <w:p>
      <w:pPr>
        <w:pStyle w:val="SourceNote"/>
      </w:pPr>
      <w:r>
        <w:rPr>
          <w:b/>
        </w:rPr>
        <w:t>Available abstract (not full text):</w:t>
      </w:r>
      <w:r>
        <w:t xml:space="preserve"> In recent years, the plurality of values of culture has been increasingly recognized in practical, academic, and policymaking contexts. Beyond its traditional intrinsic values—linked to aesthetics, authenticity, and excellence—its capacity to contribute to well-being, to promote identity and belonging and tolerance and inclusiveness, to stimulate creativity, and to foster innovation are ever more acknowledged by a great variety of social actors. However, an economy- and market-oriented perspective has come to dominate the administrative and managerial discourse on cultural valuation for a few decades. This has resulted in a predominance of an approach to valuing culture that is expressed exclusively in terms of its economic impact, obscuring other values of culture. The European research project UNCHARTED has tried to counteract this predominance by providing a broader vision of the societal value of culture in the European context and by applying this alternative view to some of the most relevant areas in which cultural valuation impinges on cultural management and cultural policy today. This book presents its main results. Based on a pragmatist perspective, we have carried out an extensive multiple case study (65 cases in seven countries) that considers the multiplicity of agents who participate in cultural valuation processes (citizens, professionals of creation and preserva</w:t>
      </w:r>
    </w:p>
    <w:p>
      <w:pPr/>
      <w:r>
        <w:rPr>
          <w:b/>
        </w:rPr>
        <w:t>POSSIBLE 2025:</w:t>
      </w:r>
      <w:r>
        <w:t xml:space="preserve"> An Analytical Approach to Comparing Actual Vs. Fundamental “Enterprise Value-to-EBITDA” Ratios on the US and European Stock Markets — https://doi.org/10.37075/faba.2025.2.08</w:t>
      </w:r>
    </w:p>
    <w:p>
      <w:pPr/>
      <w:r>
        <w:rPr>
          <w:b/>
        </w:rPr>
        <w:t>Shared claim-specific concepts:</w:t>
      </w:r>
      <w:r>
        <w:t xml:space="preserve"> addition, findings, comparison, type, very, approach; EU scope visible. This is a provisional connection, not an outcome finding.</w:t>
      </w:r>
    </w:p>
    <w:p>
      <w:pPr>
        <w:pStyle w:val="SourceNote"/>
      </w:pPr>
      <w:r>
        <w:rPr>
          <w:b/>
        </w:rPr>
        <w:t>Available abstract (not full text):</w:t>
      </w:r>
      <w:r>
        <w:t xml:space="preserve"> Purpose: The subject of this research paper is the level of the EV/EBITDA market ratios on the US and the European stock markets. The interest was aroused by the continuously rising levels of the indexes on the leading stock markets, on one hand, and the very wide use of the EV/EBITDA multiples by financial analysts, on the other hand. The purpose is: 1/ to compare the two markets in terms of their actual EV/EBITDA ratios, and 2/ to analyze to what extent the levels of these multiples are supported by the respective key fundamental indicators. Design/Methodology/Approach: The dynamics of the actual EV/EBITDA ratio in recent years is reviewed for each of the US and European developed stock markets. In addition to the comparison of these ratios between the two markets, fundamental EV/EBITDA ratios are also derived, based on key financial-performance indicators, in order to be used as a more reasonable benchmark. Findings: The comparison indicates that the actual average EV/EBITDA of the US market for the analyzed period is by 38% higher than that of the European market. For both markets, the derived fundamental EV/EBITDA ratios do not support the significantly higher actual EV/EBITDA multiples, which are about twice as high. This difference is more pronounced for the US market. Practical Implications: The important implications for investors are that the actual average EV/EBITDA </w:t>
      </w:r>
    </w:p>
    <w:p>
      <w:pPr/>
      <w:r>
        <w:rPr>
          <w:b/>
        </w:rPr>
        <w:t>POSSIBLE 2025:</w:t>
      </w:r>
      <w:r>
        <w:t xml:space="preserve"> Plant evolutionary history is largely underrepresented in European seed banks — https://doi.org/10.1111/nph.70000</w:t>
      </w:r>
    </w:p>
    <w:p>
      <w:pPr/>
      <w:r>
        <w:rPr>
          <w:b/>
        </w:rPr>
        <w:t>Shared claim-specific concepts:</w:t>
      </w:r>
      <w:r>
        <w:t xml:space="preserve"> world, bank, approach; EU scope visible. This is a provisional connection, not an outcome finding.</w:t>
      </w:r>
    </w:p>
    <w:p>
      <w:pPr>
        <w:pStyle w:val="SourceNote"/>
      </w:pPr>
      <w:r>
        <w:rPr>
          <w:b/>
        </w:rPr>
        <w:t>Available abstract (not full text):</w:t>
      </w:r>
      <w:r>
        <w:t xml:space="preserve"> Considering the alarming prospect of at least two in five plant species facing extinction, it is urgent to identify unsecured phylogenetic branches within the plant Tree of Life and adopt appropriate conservation strategies. While conventional seed banking has the potential to safeguard a large part of world's flora, the scarcity of phylogenetically informed ex situ conservation programmes poses a challenge to effective plant conservation. Leveraging an extensive dataset of seed collections across 109 European seed banks, our study reveals that current collections capture a phylogenetically diverse subset of the European flora. However, they safeguard between 43.29% and 66.40% of the maximum possible phylogenetic diversity, suggesting that specific major branches of the plant phylogeny in Europe remain unprotected. To address this gap, we introduce a novel quasi-deterministic method to generate a list of unbanked species, prioritized by evolutionary significance. Although this approach can enhance the evolutionary quality of seed bank collections, biological, technical and practical constraints may limit conventional seed banking for some of these priority species. We advocate for an enhanced coordination among conservation facilities and the integration of phylogenetic perspectives with advancements in ex situ conservation techniques beyond conventional seed banking, to effect</w:t>
      </w:r>
    </w:p>
    <w:p>
      <w:pPr/>
      <w:r>
        <w:rPr>
          <w:b/>
        </w:rPr>
        <w:t>POSSIBLE 2025:</w:t>
      </w:r>
      <w:r>
        <w:t xml:space="preserve"> Assessing the Intellectual Capital of Value Creation Process of Commercial Banks in the European Union — https://doi.org/10.1007/s13132-024-02348-3</w:t>
      </w:r>
    </w:p>
    <w:p>
      <w:pPr/>
      <w:r>
        <w:rPr>
          <w:b/>
        </w:rPr>
        <w:t>Shared claim-specific concepts:</w:t>
      </w:r>
      <w:r>
        <w:t xml:space="preserve"> addition, database, findings; EU scope visible. This is a provisional connection, not an outcome finding.</w:t>
      </w:r>
    </w:p>
    <w:p>
      <w:pPr>
        <w:pStyle w:val="SourceNote"/>
      </w:pPr>
      <w:r>
        <w:rPr>
          <w:b/>
        </w:rPr>
        <w:t>Available abstract (not full text):</w:t>
      </w:r>
      <w:r>
        <w:t xml:space="preserve"> Abstract This study examines the impact of intellectual capital on the overall value of commercial banks within the European Union (EU). The research aims to identify how these banks can evaluate and enhance their intellectual capital to improve operational performance. The study employs the value-added intellectual coefficient (VAIC) model to measure the efficiency of three types of capital: structural capital (SC), which is the value added by the company minus human capital; employed physical and financial capital (CE), representing the total financial capital available to the company; and human capital (HC), calculated based on employee costs. Data were sourced from the BankScope database, comprising published financial reports of 599 commercial banks. Control variables included loan quality, fund utilization ratio, and the impact of the COVID-19 pandemic. The research identifies a significant positive correlation between financial capital, human capital, and the value-added function of banks. These findings suggest that financial and human capital are critical determinants of value addition in commercial banks within the EU. This study uniquely focuses on the intellectual capital performance of EU-based banks. To the best of our knowledge, such a comprehensive analysis on this subject within the context of EU banks has not been previously conducted.</w:t>
      </w:r>
    </w:p>
    <w:p>
      <w:pPr/>
      <w:r>
        <w:rPr>
          <w:b/>
        </w:rPr>
        <w:t>POSSIBLE 2024:</w:t>
      </w:r>
      <w:r>
        <w:t xml:space="preserve"> Between policy issues and values: the public discourse of constrained presidents in Western Europe — https://doi.org/10.1080/14782804.2024.2445299</w:t>
      </w:r>
    </w:p>
    <w:p>
      <w:pPr/>
      <w:r>
        <w:rPr>
          <w:b/>
        </w:rPr>
        <w:t>Shared claim-specific concepts:</w:t>
      </w:r>
      <w:r>
        <w:t xml:space="preserve"> addition, compared, values, findings; EU scope visible. This is a provisional connection, not an outcome finding.</w:t>
      </w:r>
    </w:p>
    <w:p>
      <w:pPr>
        <w:pStyle w:val="SourceNote"/>
      </w:pPr>
      <w:r>
        <w:rPr>
          <w:b/>
        </w:rPr>
        <w:t>Available abstract (not full text):</w:t>
      </w:r>
      <w:r>
        <w:t xml:space="preserve"> Constrained presidents considerably use going-public strategies among their possible patterns of behaviour. However, presidential going public is under-investigated in Europe. This paper specifically addresses this gap in literature by focusing on New Year (NY) and Christmas (CH) speeches of Western European presidents in office since the 1990s. The paper aims at investigating if and to what extent policy issues are relevant in their public discourse and what issues they specifically prime. This is a comparative research involving four semi-presidential (Austria, Finland, Ireland and Portugal) and two parliamentary regimes (Germany and Italy) for a total of 21 presidents and 144 speeches. By combining qualitative content analysis and descriptive statistics the most relevant coding references have been linked to the characteristics of presidents (i.e. their party family and their term of office) as well as to the characteristics of the political system where they operate (parliamentary vs. semi-presidential systems) to understand if certain specific patterns may be identified or not. The main findings are that although policy issues are not always the most developed compared to polity issues and values, presidents often succeed in transforming a ceremonial speech into a means of agenda setting. In addition, domestic issues are more developed than EU and foreign policy issues in </w:t>
      </w:r>
    </w:p>
    <w:p>
      <w:pPr/>
      <w:r>
        <w:rPr>
          <w:b/>
        </w:rPr>
        <w:t>POSSIBLE 2024:</w:t>
      </w:r>
      <w:r>
        <w:t xml:space="preserve"> Soil bulk density assessment in Europe — https://doi.org/10.1016/j.agee.2024.108907</w:t>
      </w:r>
    </w:p>
    <w:p>
      <w:pPr/>
      <w:r>
        <w:rPr>
          <w:b/>
        </w:rPr>
        <w:t>Shared claim-specific concepts:</w:t>
      </w:r>
      <w:r>
        <w:t xml:space="preserve"> compared, very, good; EU scope visible. This is a provisional connection, not an outcome finding.</w:t>
      </w:r>
    </w:p>
    <w:p>
      <w:pPr>
        <w:pStyle w:val="SourceNote"/>
      </w:pPr>
      <w:r>
        <w:rPr>
          <w:b/>
        </w:rPr>
        <w:t>Available abstract (not full text):</w:t>
      </w:r>
      <w:r>
        <w:t xml:space="preserve"> The topsoil Land Use and Cover Area frame Statistical survey (LUCAS) aims at collecting harmonised data about the state of soil health over the extent of European Union (EU). In the LUCAS 2018 survey, bulk density has been analysed for three depths, i.e., 0–10 cm = 6140 sites; 10–20 cm = 5684 sites and 20–30 cm =139 sites. The laboratory analysis and the assessment of the results conclude that the bulk density at 10–20 cm is 5–10% higher compared to 0–10 cm for all land uses except woodlands (20%). In the 0–20 cm depth, croplands have 1.5 times higher bulk density (mean: 1.26 g cm−3) compared to woodlands (mean: 0.83 g cm−3). The main driver for bulk density variation is the land use which implies that many existing pedotransfer rules have to be developed based on land use. This study applied a methodological framework using an advanced Cubist rule-based regression model to optimize the spatial prediction of bulk density in Europe. We spatialised the circa 6000 LUCAS samples and developed the high-resolution map (100 m) of bulk density for the 0–20 cm depth and the maps at 0–10 and 10–20 cm depth. The modelling results showed a very good prediction (R2: 0.66) of bulk density for the 0–20 cm depth which outperforms previous assessments. The bulk density maps can be used to estimate packing density which is a proxy to estimate soil compaction. Therefore, this work contributes to </w:t>
      </w:r>
    </w:p>
    <w:p>
      <w:pPr/>
      <w:r>
        <w:rPr>
          <w:b/>
        </w:rPr>
        <w:t>POSSIBLE 2024:</w:t>
      </w:r>
      <w:r>
        <w:t xml:space="preserve"> European soybean to benefit people and the environment — https://doi.org/10.1038/s41598-024-57522-z</w:t>
      </w:r>
    </w:p>
    <w:p>
      <w:pPr/>
      <w:r>
        <w:rPr>
          <w:b/>
        </w:rPr>
        <w:t>Shared claim-specific concepts:</w:t>
      </w:r>
      <w:r>
        <w:t xml:space="preserve"> addition, compared, findings; EU scope visible. This is a provisional connection, not an outcome finding.</w:t>
      </w:r>
    </w:p>
    <w:p>
      <w:pPr>
        <w:pStyle w:val="SourceNote"/>
      </w:pPr>
      <w:r>
        <w:rPr>
          <w:b/>
        </w:rPr>
        <w:t>Available abstract (not full text):</w:t>
      </w:r>
      <w:r>
        <w:t xml:space="preserve"> Abstract Europe imports large amounts of soybean that are predominantly used for livestock feed, mainly sourced from Brazil, USA and Argentina. In addition, the demand for GM-free soybean for human consumption is project to increase. Soybean has higher protein quality and digestibility than other legumes, along with high concentrations of isoflavones, phytosterols and minerals that enhance the nutritional value as a human food ingredient. Here, we examine the potential to increase soybean production across Europe for livestock feed and direct human consumption, and review possible effects on the environment and human health. Simulations and field data indicate rainfed soybean yields of 3.1 ± 1.2 t ha−1 from southern UK through to southern Europe (compared to a 3.5 t ha−1 average from North America). Drought-prone southern regions and cooler northern regions require breeding to incorporate stress-tolerance traits. Literature synthesized in this work evidenced soybean properties important to human nutrition, health, and traits related to food processing compared to alternative protein sources. While acknowledging the uncertainties inherent in any modelling exercise, our findings suggest that further integrating soybean into European agriculture could reduce GHG emissions by 37–291 Mt CO2e year−1 and fertiliser N use by 0.6–1.2 Mt year−1, concurrently improving human health and nu</w:t>
      </w:r>
    </w:p>
    <w:p>
      <w:pPr/>
      <w:r>
        <w:rPr>
          <w:b/>
        </w:rPr>
        <w:t>POSSIBLE 2024:</w:t>
      </w:r>
      <w:r>
        <w:t xml:space="preserve"> Enforcement actions against European banks in the years 2005–2022. Do financial penalties imposed on European banks follow any patterns? — https://doi.org/10.1057/s41261-024-00242-1</w:t>
      </w:r>
    </w:p>
    <w:p>
      <w:pPr/>
      <w:r>
        <w:rPr>
          <w:b/>
        </w:rPr>
        <w:t>Shared claim-specific concepts:</w:t>
      </w:r>
      <w:r>
        <w:t xml:space="preserve"> bank, database, approach, countries; EU scope visible. This is a provisional connection, not an outcome finding.</w:t>
      </w:r>
    </w:p>
    <w:p>
      <w:pPr>
        <w:pStyle w:val="SourceNote"/>
      </w:pPr>
      <w:r>
        <w:rPr>
          <w:b/>
        </w:rPr>
        <w:t>Available abstract (not full text):</w:t>
      </w:r>
      <w:r>
        <w:t xml:space="preserve"> Abstract This study aims to identify, by year and over the entire period under study (2005–2022), the countries with the most restrictive bank sanctioning policies in terms of amounts and numbers of penalties to point out the most active institutions in terms of imposing penalties, and to determine the regularities governing the process of imposing these burdens. Using linear ordering methods, groups of countries with similar levels of supervisory stringency identified with one of the supervisory actions, which are financial penalties, are distinguished. A total of 53 banks (the 50 largest European banks and an additional three banks designated as G-SIIs by the EBA) are identified from a constructed database of more than 300 European banks with penalties imposed between 2005 and 2022. The study’s conclusions indicate that the frequency of penalties cannot be clearly equated with the restrictiveness of supervisory institutions, as evidenced by the example of Hungary (multiplication of small penalties). The positioning of countries regarding the number of penalties, their value and grouping using linear ordering allows the conclusion that highly developed countries are characterized by relatively high restrictiveness. The results also show the difference between the Anglo-Saxon and continental models. The analysis in this article is the first comprehensive study of penalties impo</w:t>
      </w:r>
    </w:p>
    <w:p>
      <w:pPr/>
      <w:r>
        <w:rPr>
          <w:b/>
        </w:rPr>
        <w:t>POSSIBLE 2024:</w:t>
      </w:r>
      <w:r>
        <w:t xml:space="preserve"> An evaluation of the inflation forecasting performance of the European Central Bank, the Federal Reserve, and the Bank of England — https://doi.org/10.1002/for.3063</w:t>
      </w:r>
    </w:p>
    <w:p>
      <w:pPr/>
      <w:r>
        <w:rPr>
          <w:b/>
        </w:rPr>
        <w:t>Shared claim-specific concepts:</w:t>
      </w:r>
      <w:r>
        <w:t xml:space="preserve"> bank, very, approach; EU scope visible. This is a provisional connection, not an outcome finding.</w:t>
      </w:r>
    </w:p>
    <w:p>
      <w:pPr>
        <w:pStyle w:val="SourceNote"/>
      </w:pPr>
      <w:r>
        <w:rPr>
          <w:b/>
        </w:rPr>
        <w:t>Available abstract (not full text):</w:t>
      </w:r>
      <w:r>
        <w:t xml:space="preserve"> Abstract We provide an overview of the formulation of the forecasts of the European Central Bank, the Federal Reserve, and the Bank of England. We also provide statistical assessments of the performance of the forecasting process of those central banks. We find that the inflation forecasts have, by‐and‐large, been unbiased and efficient at the very short‐term forecast horizon. The performance deteriorates over longer horizons. This latter finding could be attributable, inter alia, to the approach applied in the integration in the forecasting process of the assumptions on the future market‐implied interest rate path.</w:t>
      </w:r>
    </w:p>
    <w:p>
      <w:pPr>
        <w:pStyle w:val="Heading2"/>
      </w:pPr>
      <w:r>
        <w:t>615. Proposals of European Citizens for Reviving the Future of Shrinking Areas</w:t>
      </w:r>
    </w:p>
    <w:p>
      <w:pPr>
        <w:pStyle w:val="SourceNote"/>
      </w:pPr>
      <w:r>
        <w:rPr>
          <w:b/>
        </w:rPr>
        <w:t>Original source (2021):</w:t>
      </w:r>
      <w:r>
        <w:t xml:space="preserve"> https://doi.org/10.2478/quageo-2021-0039</w:t>
      </w:r>
    </w:p>
    <w:p>
      <w:pPr/>
      <w:r>
        <w:t>Original wording (abstract; indexed_source_text_not_full_document_verified): Shrinkage, depopulation and the related structural decline threaten development trajectories of more than a quarter of European territories from the present until 2050. The article also discusses the content of citizens’ ideas for the future of shrinking areas, thus offering concrete proposals that may fuel the definition of future policy agendas.</w:t>
      </w:r>
    </w:p>
    <w:p>
      <w:pPr/>
      <w:r>
        <w:rPr>
          <w:b/>
        </w:rPr>
        <w:t>POSSIBLE 2026:</w:t>
      </w:r>
      <w:r>
        <w:t xml:space="preserve"> Tourism in Depopulation Contexts: A Hybrid Bibliometric and Narrative Systematic Review — https://doi.org/10.3390/world7030040</w:t>
      </w:r>
    </w:p>
    <w:p>
      <w:pPr/>
      <w:r>
        <w:rPr>
          <w:b/>
        </w:rPr>
        <w:t>Shared claim-specific concepts:</w:t>
      </w:r>
      <w:r>
        <w:t xml:space="preserve"> depopulation, decline, trajectories; EU scope visible. This is a provisional connection, not an outcome finding.</w:t>
      </w:r>
    </w:p>
    <w:p>
      <w:pPr>
        <w:pStyle w:val="SourceNote"/>
      </w:pPr>
      <w:r>
        <w:rPr>
          <w:b/>
        </w:rPr>
        <w:t>Available abstract (not full text):</w:t>
      </w:r>
      <w:r>
        <w:t xml:space="preserve"> Depopulation threatens livelihoods, services, and cultural landscapes. In the scientific literature, tourism is frequently discussed as a potential lever in depopulation contexts, yet reported demographic outcomes vary widely across settings. We conducted a PRISMA-informed systematic review of Web of Science and Scopus (1993–2025), identifying 268 articles that were coded using a hybrid bibliometric–narrative approach into thematic axes and reported effect directions (positive, neutral, negative). Reported outcomes are heterogeneous and conditional rather than uniform. Tourism is associated with positive demographic trajectories, primarily where it is embedded in diversified local economies, supported by strong social capital, and integrated into coordinated governance and planning frameworks; negative or neutral outcomes recur under tourism monoculture, strong seasonality, housing pressure, and weak territorial regulation. Keyword co-occurrence and narrative analyses identify three dominant thematic clusters (rural development, spatial–cultural transformation, and sustainability) structured around depopulation as the central conceptual node. The geography of knowledge production further indicates a strong European concentration, particularly in Southern Europe, where tourism is explicitly framed as a policy response to demographic decline, while non-European research adopts mo</w:t>
      </w:r>
    </w:p>
    <w:p>
      <w:pPr/>
      <w:r>
        <w:rPr>
          <w:b/>
        </w:rPr>
        <w:t>POSSIBLE 2026:</w:t>
      </w:r>
      <w:r>
        <w:t xml:space="preserve"> Understanding the sociodemographic component of urban shrinkage exemplified by mono-industrial towns in Latvia — https://doi.org/10.2478/environ-2026-0018</w:t>
      </w:r>
    </w:p>
    <w:p>
      <w:pPr/>
      <w:r>
        <w:rPr>
          <w:b/>
        </w:rPr>
        <w:t>Shared claim-specific concepts:</w:t>
      </w:r>
      <w:r>
        <w:t xml:space="preserve"> abstract, shrinkage, depopulation, decline, trajectories, shrinking; EU scope visible. This is a provisional connection, not an outcome finding.</w:t>
      </w:r>
    </w:p>
    <w:p>
      <w:pPr>
        <w:pStyle w:val="SourceNote"/>
      </w:pPr>
      <w:r>
        <w:rPr>
          <w:b/>
        </w:rPr>
        <w:t>Available abstract (not full text):</w:t>
      </w:r>
      <w:r>
        <w:t xml:space="preserve"> Abstract This study examined the demographic and socioeconomic transformations of Latvia’s mono-industrial towns, focusing on the interplay between geographic location, demographic structure, and socioeconomic change in shaping their resilience and decline. This exploratory study aimed to characterise the demographic and socioeconomic patterns associated with these divergent trajectories over the past two decades, including depopulation, economic restructuring, and population ageing, rather than establishing the causal mechanisms behind them. This study conducted an analysis and comparison of 13 mono-industrial towns, categorising them based on a range of demographic and socioeconomic variables. We employed an exploratory quantitative approach, applying Pearson’s bivariate correlation analysis to census data (2000 and 2021) to examine the associations among population change, ageing, out-migration, and economic inactivity. Given the small number of towns analysed, these associations are interpreted as descriptive rather than causal and are contextualised by the authors’ field knowledge of the settlements. The results reveal regional disparities: towns within the capital city of Riga’s metropolitan region benefit from suburbanisation and retain younger populations, whereas non-metropolitan peripheral mono-industrial towns face compounded disadvantages, including accelerated agei</w:t>
      </w:r>
    </w:p>
    <w:p>
      <w:pPr/>
      <w:r>
        <w:rPr>
          <w:b/>
        </w:rPr>
        <w:t>POSSIBLE 2026:</w:t>
      </w:r>
      <w:r>
        <w:t xml:space="preserve"> Depopulation and Sustainable Territorial Governance: A Multilevel Analysis of Strategic Response Patterns in Poland — https://doi.org/10.3390/su18115434</w:t>
      </w:r>
    </w:p>
    <w:p>
      <w:pPr/>
      <w:r>
        <w:rPr>
          <w:b/>
        </w:rPr>
        <w:t>Shared claim-specific concepts:</w:t>
      </w:r>
      <w:r>
        <w:t xml:space="preserve"> shrinkage, depopulation, related, structural; EU scope visible. This is a provisional connection, not an outcome finding.</w:t>
      </w:r>
    </w:p>
    <w:p>
      <w:pPr>
        <w:pStyle w:val="SourceNote"/>
      </w:pPr>
      <w:r>
        <w:rPr>
          <w:b/>
        </w:rPr>
        <w:t>Available abstract (not full text):</w:t>
      </w:r>
      <w:r>
        <w:t xml:space="preserve"> Depopulation constitutes a fundamental challenge for territorial governance, particularly within the framework of sustainable development; however, its representation in local strategic documents remains insufficiently explored. This study aims to identify and compare strategic responses to depopulation across two contrasting Polish regions—Dolnośląskie Voivodeship and Podlaskie Voivodeship—and three governance levels: regional, county, and municipal. An abductive mixed-methods approach was applied, combining discourse analysis with latent semantic analysis (LDA), and principal component analysis (PCA). The findings reveal a clear dominance of the pro-growth paradigm, while the adaptive approach associated with managed shrinkage remains marginal. Regional differences are primarily observed in problem framing—functional in Dolnośląskie and demographic in Podlaskie—but these distinctions do not significantly affect the types of policy responses. Structural instruments, particularly those related to consolidation, prevail, whereas functional and competency-based measures are less prominent. The results suggest the existence of a standardized model of strategic response to depopulation across regions and governance levels. This indicates limited diversification of policy approaches and highlights the need to more fully integrate adaptive strategies into territorial policy, especial</w:t>
      </w:r>
    </w:p>
    <w:p>
      <w:pPr/>
      <w:r>
        <w:rPr>
          <w:b/>
        </w:rPr>
        <w:t>POSSIBLE 2026:</w:t>
      </w:r>
      <w:r>
        <w:t xml:space="preserve"> Analysis of housing in depopulated rural areas: a transnational comparison — https://doi.org/10.4995/vlc.2026.25269</w:t>
      </w:r>
    </w:p>
    <w:p>
      <w:pPr/>
      <w:r>
        <w:rPr>
          <w:b/>
        </w:rPr>
        <w:t>Shared claim-specific concepts:</w:t>
      </w:r>
      <w:r>
        <w:t xml:space="preserve"> depopulation, areas, offering; EU scope visible. This is a provisional connection, not an outcome finding.</w:t>
      </w:r>
    </w:p>
    <w:p>
      <w:pPr>
        <w:pStyle w:val="SourceNote"/>
      </w:pPr>
      <w:r>
        <w:rPr>
          <w:b/>
        </w:rPr>
        <w:t>Available abstract (not full text):</w:t>
      </w:r>
      <w:r>
        <w:t xml:space="preserve"> Depopulation consists of the decrease in the number of inhabitants of a region, and in Europe, isconcentrated in rural areas. The state-of-the-art reveals that there has been extensive research across multipledisciplines, but that studies on housing are scarce. However, having a home, although not sufficient, is necessary to inhabit a place. This study analyses housing in depopulated rural communities. A municipality in Spain andanother in Italy were selected, applying the comparative method. A top-down approach was used, creatingsystematic data collection sheets. This was complemented by a bottom-up perspective, which is particularlyrelevant in these areas, where macro data can obscure local data. Through visual inspection of the dwellings andsemi-structured interviews, detailed and up-to date data and GIS maps are provided, offering new synthetic andvisual information. The transnational analysis reveals similarities in the poor state of conservation of underutilised housing, which requires large investments, and little real estate activity. There are regional differences that affect the type of housing and demand. Finally, the importance of public administrations treating rural areas asa complement to urban areas in order to maintain territorial balance and equity is highlighted.</w:t>
      </w:r>
    </w:p>
    <w:p>
      <w:pPr/>
      <w:r>
        <w:rPr>
          <w:b/>
        </w:rPr>
        <w:t>POSSIBLE 2026:</w:t>
      </w:r>
      <w:r>
        <w:t xml:space="preserve"> Rural depopulation and the decline of vernacular architecture: an analysis of physical vulnerability in Bragança district, Portugal — https://doi.org/10.1007/s10901-026-10319-0</w:t>
      </w:r>
    </w:p>
    <w:p>
      <w:pPr/>
      <w:r>
        <w:rPr>
          <w:b/>
        </w:rPr>
        <w:t>Shared claim-specific concepts:</w:t>
      </w:r>
      <w:r>
        <w:t xml:space="preserve"> abstract, depopulation, decline, also, areas; EU scope visible. This is a provisional connection, not an outcome finding.</w:t>
      </w:r>
    </w:p>
    <w:p>
      <w:pPr>
        <w:pStyle w:val="SourceNote"/>
      </w:pPr>
      <w:r>
        <w:rPr>
          <w:b/>
        </w:rPr>
        <w:t>Available abstract (not full text):</w:t>
      </w:r>
      <w:r>
        <w:t xml:space="preserve"> Abstract Depopulation in rural areas poses significant threats to the preservation of vernacular architecture, a key representation of a region''s cultural and historical heritage. Across many rural regions of Southern Europe, depopulation has led to significant demographic and cultural shifts. In Portugal, this trend is evident in various interior regions, including the Bragança district where the population has decreased by approximately 47.4% between 1960 and 2021. Over the course of six decades, the district’s population has nearly halved, reflecting broader patterns of rural decline driven by urban migration, aging populations, and economic shifts.This study analyses the physical vulnerability of vernacular dwellings in the Bragança district, focusing on how population decline influences the risk of deterioration and loss. Using quantitative data from the National Institute of Statistics (INE) censuses from 1864 to 2021 for population data and from 2001 to 2021 for housing data. Adopting a methodology that enables a comparative and locally tailored evaluation, the study employs three vulnerability indicators: construction period, occupation form, and conservation state, as well as their combined effects. The results revealed that of the 22,877 dwellings identified as vernacular in 2001, only 18,212 remained by 2021, representing a loss of 20.4% over two decades. Furthermor</w:t>
      </w:r>
    </w:p>
    <w:p>
      <w:pPr/>
      <w:r>
        <w:rPr>
          <w:b/>
        </w:rPr>
        <w:t>POSSIBLE 2026:</w:t>
      </w:r>
      <w:r>
        <w:t xml:space="preserve"> Depopulation and Regional Sustainability: Structural Transformation and Economic Resilience in Post-Growth Japan — https://doi.org/10.3390/su18041841</w:t>
      </w:r>
    </w:p>
    <w:p>
      <w:pPr/>
      <w:r>
        <w:rPr>
          <w:b/>
        </w:rPr>
        <w:t>Shared claim-specific concepts:</w:t>
      </w:r>
      <w:r>
        <w:t xml:space="preserve"> depopulation, related, structural, decline, also, shrinking; EU scope not established. This is a provisional connection, not an outcome finding.</w:t>
      </w:r>
    </w:p>
    <w:p>
      <w:pPr>
        <w:pStyle w:val="SourceNote"/>
      </w:pPr>
      <w:r>
        <w:rPr>
          <w:b/>
        </w:rPr>
        <w:t>Available abstract (not full text):</w:t>
      </w:r>
      <w:r>
        <w:t xml:space="preserve"> This study examines long-term changes in regional productivity in Japan by analyzing real GDP per worker for all prefectures from 1975 to 2021 and real municipal GDP per working-age person for 29 municipalities in Mie Prefecture from 2011 to 2021. Using nationally deflated real output measures, the analysis reveals a consistent pattern across both prefectural and municipal levels: regions experiencing substantial declines in the working-age population often recorded notable increases in productivity. In contrast, major metropolitan prefectures such as Tokyo exhibited rising employment but only limited productivity gains. These findings challenge the conventional view that population decline inevitably leads to economic stagnation and instead suggest that demographic contraction may facilitate structural adjustment, adaptive resilience, and productivity enhancement in certain regional contexts. This multi-scale approach integrates long-term prefectural trends with detailed municipal-level dynamics, highlighting the importance of regional heterogeneity in Japan’s demographic and economic transitions. The study also acknowledges limitations related to data availability and the absence of region-specific price indices. Overall, the findings indicate that demographic decline and productivity growth are not mutually exclusive and that understanding regional adaptation to shrinking la</w:t>
      </w:r>
    </w:p>
    <w:p>
      <w:pPr/>
      <w:r>
        <w:rPr>
          <w:b/>
        </w:rPr>
        <w:t>POSSIBLE 2026:</w:t>
      </w:r>
      <w:r>
        <w:t xml:space="preserve"> Patterns of Loss: A Typology of Depopulating Cities in the USA — https://doi.org/10.3390/urbansci10030147</w:t>
      </w:r>
    </w:p>
    <w:p>
      <w:pPr/>
      <w:r>
        <w:rPr>
          <w:b/>
        </w:rPr>
        <w:t>Shared claim-specific concepts:</w:t>
      </w:r>
      <w:r>
        <w:t xml:space="preserve"> depopulation, decline, trajectories, article, shrinking; EU scope not established. This is a provisional connection, not an outcome finding.</w:t>
      </w:r>
    </w:p>
    <w:p>
      <w:pPr>
        <w:pStyle w:val="SourceNote"/>
      </w:pPr>
      <w:r>
        <w:rPr>
          <w:b/>
        </w:rPr>
        <w:t>Available abstract (not full text):</w:t>
      </w:r>
      <w:r>
        <w:t xml:space="preserve"> This article develops a typology of U.S. depopulating cities beyond the Rust Belt's iconic industrial cities, which dominate academic literature, to include a wider range of shrinking settlements in the shadows. Using population change from 1990–2020 and three explanatory dimensions—city size, industrial heritage, and peripheral location—the analysis identified 1,082 places that lost at least 10% of their population. Logistic regression showed manufacturing and mining reliance, small size, and remoteness as significant predictors of depopulation. Based on these factors, settlements are divided into seven types, from large urban centers to small peripheral towns with fewer than 5,000 people. The overwhelming predominance of small towns (97%) in the sample highlights their distinct development challenges and questions the narrative of decline focused solely on larger industrial cities. By situating American trajectories within the broader shrinking cities discourse, the findings demonstrate the value of typology as a methodological tool for identifying intra-group heterogeneity, capturing regional differences, and establishing a more reliable basis for comparative urban studies. Ultimately, the study shows that urban decline in the United States is not exclusively a Rust Belt phenomenon, but a multidimensional process encompassing different scales, sectors, and geographies.</w:t>
      </w:r>
    </w:p>
    <w:p>
      <w:pPr/>
      <w:r>
        <w:rPr>
          <w:b/>
        </w:rPr>
        <w:t>POSSIBLE 2026:</w:t>
      </w:r>
      <w:r>
        <w:t xml:space="preserve"> What Does Demographic Resilience Mean in the Context of Sustained Depopulation and Rapid Ageing? — https://doi.org/10.54694/dem.0382</w:t>
      </w:r>
    </w:p>
    <w:p>
      <w:pPr/>
      <w:r>
        <w:rPr>
          <w:b/>
        </w:rPr>
        <w:t>Shared claim-specific concepts:</w:t>
      </w:r>
      <w:r>
        <w:t xml:space="preserve"> depopulation, structural, decline, article, shrinking; EU scope not established. This is a provisional connection, not an outcome finding.</w:t>
      </w:r>
    </w:p>
    <w:p>
      <w:pPr>
        <w:pStyle w:val="SourceNote"/>
      </w:pPr>
      <w:r>
        <w:rPr>
          <w:b/>
        </w:rPr>
        <w:t>Available abstract (not full text):</w:t>
      </w:r>
      <w:r>
        <w:t xml:space="preserve"> Rapid ageing and sustained depopulation are reshaping the conditions under which societies maintain economic activity, social provision and institutional capacity. The study develops a conceptual framework for demographic resilience in contexts where population decline is not a temporary deviation but a long-term structural condition. The article defines resilience as the capacity of socio-demographic systems to maintain core societal functions under shrinking and ageing population structures. The framework links four interacting dimensions: economic adaptation; social and care provision; human capital formation and retention; and institutional capacity for anticipatory governance, policy coordination, and adaptive implementation. Methodologically, the article is based on a conceptual synthesis of resilience theory, demographic transition research and depopulation studies, complemented by an illustrative case study of Moldova. The article contributes to demographic debate by shifting attention from reversing decline to assessing how societies can adapt to persistent demographic constraints while preserving equity, service access and governance capacity.</w:t>
      </w:r>
    </w:p>
    <w:p>
      <w:pPr/>
      <w:r>
        <w:rPr>
          <w:b/>
        </w:rPr>
        <w:t>POSSIBLE 2026:</w:t>
      </w:r>
      <w:r>
        <w:t xml:space="preserve"> Impact of depopulated area designation policy on the population and employment in Japanese small and medium-sized cities — https://doi.org/10.1016/j.cities.2026.107366</w:t>
      </w:r>
    </w:p>
    <w:p>
      <w:pPr/>
      <w:r>
        <w:rPr>
          <w:b/>
        </w:rPr>
        <w:t>Shared claim-specific concepts:</w:t>
      </w:r>
      <w:r>
        <w:t xml:space="preserve"> depopulation, structural, decline; EU scope not established. This is a provisional connection, not an outcome finding.</w:t>
      </w:r>
    </w:p>
    <w:p>
      <w:pPr>
        <w:pStyle w:val="SourceNote"/>
      </w:pPr>
      <w:r>
        <w:rPr>
          <w:b/>
        </w:rPr>
        <w:t>Available abstract (not full text):</w:t>
      </w:r>
      <w:r>
        <w:t xml:space="preserve"> Small and medium-sized cities (SMCs) are vital to sustaining balanced national development. However, many SMCs have experienced significant population decline in recent years. This study examines the effects of Japan's Depopulated-Area-Designation (DAD) policy on population and employment in SMCs. Using a staggered difference-in-differences approach across municipalities designated at different times, we estimate the policy's demographic and employment impacts over a 30-year post-designation horizon. The results indicate that the DAD policy was not associated with significant population change during the main analysis period. Specifically, the policy neither increased nor decreased population levels within the first 15 years after designation. However, approximately 20 years after designation, populations began to decline sharply. The trend in employed persons closely mirrored this population decline, while the number of employed residents showed no significant change even 20 years after designation. These findings suggest that analyses limited to employed residents would fail to capture the subsequent decline in both population and employed persons observed after 20 years. In conclusion, the results suggest that although the DAD policy produced no short- or medium-term effects, disadvantages may emerge in the long term. These findings are striking because they contradict the g</w:t>
      </w:r>
    </w:p>
    <w:p>
      <w:pPr/>
      <w:r>
        <w:rPr>
          <w:b/>
        </w:rPr>
        <w:t>POSSIBLE 2025:</w:t>
      </w:r>
      <w:r>
        <w:t xml:space="preserve"> Biodiversity change under human depopulation in Japan — https://doi.org/10.1038/s41893-025-01578-w</w:t>
      </w:r>
    </w:p>
    <w:p>
      <w:pPr/>
      <w:r>
        <w:rPr>
          <w:b/>
        </w:rPr>
        <w:t>Shared claim-specific concepts:</w:t>
      </w:r>
      <w:r>
        <w:t xml:space="preserve"> abstract, depopulation, also, areas; EU scope not established. This is a provisional connection, not an outcome finding.</w:t>
      </w:r>
    </w:p>
    <w:p>
      <w:pPr>
        <w:pStyle w:val="SourceNote"/>
      </w:pPr>
      <w:r>
        <w:rPr>
          <w:b/>
        </w:rPr>
        <w:t>Available abstract (not full text):</w:t>
      </w:r>
      <w:r>
        <w:t xml:space="preserve"> Abstract Global studies consistently highlight a direct relationship between habitat and species losses, and human population and economic growth. Nevertheless, countries are experiencing below-replacement human fertility and starting to depopulate; among these countries, Japan is a global forerunner. To better understand whether human depopulation automatically yields environmentally restorative outcomes, we examine the impacts of human depopulation on aspects of biodiversity in Japan. Alongside population, land use and surface temperature, we analyse biodiversity change among 464 taxonomic species of bird, butterfly, firefly and frog egg masses, and 2,922 native and non-native plant species in wooded, agricultural and peri-urban landscapes across Japan over periods of 5–17 years from 2004. Irrespective of human population increase or decrease, biodiversity losses continue among most species studied mainly because of change in agricultural land use, either due to urbanization, disuse and abandonment, or intensification. Only where human numbers are currently stable, biodiversity is also more stable, although we anticipate that this may also change as ageing deepens into depopulation in these areas. We conclude by urging countries facing depopulation to account for its outcomes in their biodiversity conservation and restoration strategies.</w:t>
      </w:r>
    </w:p>
    <w:p>
      <w:pPr/>
      <w:r>
        <w:rPr>
          <w:b/>
        </w:rPr>
        <w:t>POSSIBLE 2025:</w:t>
      </w:r>
      <w:r>
        <w:t xml:space="preserve"> Shaping the Residential Attractiveness of Towns in Lesser Poland in the Context of Urban Shrinkage — https://doi.org/10.2478/he-2025-0031</w:t>
      </w:r>
    </w:p>
    <w:p>
      <w:pPr/>
      <w:r>
        <w:rPr>
          <w:b/>
        </w:rPr>
        <w:t>Shared claim-specific concepts:</w:t>
      </w:r>
      <w:r>
        <w:t xml:space="preserve"> abstract, shrinkage, depopulation, decline, present, article; EU scope visible. This is a provisional connection, not an outcome finding.</w:t>
      </w:r>
    </w:p>
    <w:p>
      <w:pPr>
        <w:pStyle w:val="SourceNote"/>
      </w:pPr>
      <w:r>
        <w:rPr>
          <w:b/>
        </w:rPr>
        <w:t>Available abstract (not full text):</w:t>
      </w:r>
      <w:r>
        <w:t xml:space="preserve"> Abstract This article addresses the challenge of enhancing the residential attractiveness of towns experiencing rapid population decline and demographic aging. The aim of the study is to analyse and evaluate the actions undertaken by towns in Lesser Poland to improve residential appeal in the face of depopulation, and to identify key determinants and tools for mitigating the negative effects of these processes. The spatial scope includes 12 small towns in the region characterized by depopulation both within the town and its immediate surroundings. The temporal scope covers the early 21st century to the present. The research methodology combines quantitative methods (statistical data analysis, Webb’s typology) with qualitative approaches (analysis of strategic, revitalization, and planning documents). The study also includes a literature review and an examination of official websites and social media platform. The studied towns counteract depopulation by focusing on enhancing residential attractiveness through housing development, revitalization, improved quality of life, and rational spatial management.</w:t>
      </w:r>
    </w:p>
    <w:p>
      <w:pPr/>
      <w:r>
        <w:rPr>
          <w:b/>
        </w:rPr>
        <w:t>POSSIBLE 2025:</w:t>
      </w:r>
      <w:r>
        <w:t xml:space="preserve"> Thriving or sinking? The emplacement process of Ukrainian refugees in depopulating, peripheral areas in the Netherlands — https://doi.org/10.1111/geoj.12621</w:t>
      </w:r>
    </w:p>
    <w:p>
      <w:pPr/>
      <w:r>
        <w:rPr>
          <w:b/>
        </w:rPr>
        <w:t>Shared claim-specific concepts:</w:t>
      </w:r>
      <w:r>
        <w:t xml:space="preserve"> abstract, depopulation, areas; EU scope visible. This is a provisional connection, not an outcome finding.</w:t>
      </w:r>
    </w:p>
    <w:p>
      <w:pPr>
        <w:pStyle w:val="SourceNote"/>
      </w:pPr>
      <w:r>
        <w:rPr>
          <w:b/>
        </w:rPr>
        <w:t>Available abstract (not full text):</w:t>
      </w:r>
      <w:r>
        <w:t xml:space="preserve"> Abstract The ‘free‐to‐work, free‐to‐settle’ feature of the EU's temporary protection for Ukrainian refugees has led millions to various locations, with the majority gravitating towards urban areas. However, due to housing shortages, a significant number have moved to peripheral municipalities experiencing depopulation. These refugees often find themselves in villages without a network and where the Ukrainian diaspora is small or non‐existent. Reflecting on their settlement and everyday ‘unproblematic’ encounters (conviviality) with neighbours, colleagues at work, and networks at various institutions in Het Hogeland and Pekela, The Netherlands, this analysis explores the emplacement process of Ukrainian refugees. Based on this reflection, the paper aims to address the question: Which factors facilitate or hinder positive encounters among Ukrainian refugees in these peripheral areas, motivating them to (re)consider taking root in these host localities?</w:t>
      </w:r>
    </w:p>
    <w:p>
      <w:pPr>
        <w:pStyle w:val="Heading2"/>
      </w:pPr>
      <w:r>
        <w:t>616. Red squirrel (Sciurus vulgaris) habitats change modelling in Eastern Europe in the scope of climate change according to new generation scenarios (SSPs) by 2100</w:t>
      </w:r>
    </w:p>
    <w:p>
      <w:pPr>
        <w:pStyle w:val="SourceNote"/>
      </w:pPr>
      <w:r>
        <w:rPr>
          <w:b/>
        </w:rPr>
        <w:t>Original source (2021):</w:t>
      </w:r>
      <w:r>
        <w:t xml:space="preserve"> https://doi.org/10.15407/tu2013</w:t>
      </w:r>
    </w:p>
    <w:p>
      <w:pPr/>
      <w:r>
        <w:t>Original wording (abstract; indexed_source_text_not_full_document_verified): We took into account materials on S. vulgaris (and S. anomalus) distribution, as well as selected associated species, and the WorldClim with respective maps and current bioclimatic variables, and its projections for four relevant scenarios which combined SSPs &amp; RCPs by 2100. Consequently, the new projections demonstrated that all habitats of the red squirrel and associated species are expected to shift mostly ‘to the north’ by 2100, and their localities in the Caucasus Mountain areas might be fragmented.</w:t>
      </w:r>
    </w:p>
    <w:p>
      <w:pPr/>
      <w:r>
        <w:rPr>
          <w:b/>
        </w:rPr>
        <w:t>POSSIBLE 2026:</w:t>
      </w:r>
      <w:r>
        <w:t xml:space="preserve"> Varieties of Psychologization in Communist Europe — https://doi.org/10.1093/9780197773529.001.0001</w:t>
      </w:r>
    </w:p>
    <w:p>
      <w:pPr/>
      <w:r>
        <w:rPr>
          <w:b/>
        </w:rPr>
        <w:t>Shared claim-specific concepts:</w:t>
      </w:r>
      <w:r>
        <w:t xml:space="preserve"> took, account, four; EU scope visible. This is a provisional connection, not an outcome finding.</w:t>
      </w:r>
    </w:p>
    <w:p>
      <w:pPr>
        <w:pStyle w:val="SourceNote"/>
      </w:pPr>
      <w:r>
        <w:rPr>
          <w:b/>
        </w:rPr>
        <w:t>Available abstract (not full text):</w:t>
      </w:r>
      <w:r>
        <w:t xml:space="preserve"> Abstract Varieties of Psychologization in Communist Europe brings together nine in-depth case studies and four commentaries to rethink the impact of psychology in twentieth-century Europe. Challenging enduring assumptions that psychological knowledge is inherently tied to Western capitalism, liberalism, and individualism, this volume demonstrates that psychological concepts, practices, and forms of expertise also took root in socialist societies—albeit in historically specific and politically contingent ways. The case studies trace how psychological and psychotherapeutic knowledge circulated and was adapted across diverse national and disciplinary contexts after World War II. They show how psychologists negotiated ideological constraints and material limitations to assert the social usefulness of psychological expertise, whether with or without explicit approval from state authorities. Rather than presenting a monolithic socialist psychology or a uniform process of psychologization, the volume emphasizes the plurality of its forms, shaped by local political constellations, professional cultures, and transnational exchanges. The concluding commentaries situate these findings within broader debates in the history of psychology and the human sciences. They argue for a decentered history of psychological knowledge that takes non-Western and non-liberal contexts into account and con</w:t>
      </w:r>
    </w:p>
    <w:p>
      <w:pPr/>
      <w:r>
        <w:rPr>
          <w:b/>
        </w:rPr>
        <w:t>POSSIBLE 2026:</w:t>
      </w:r>
      <w:r>
        <w:t xml:space="preserve"> Diversity and zoogeography of mammals at the Levantine Land Bridge, Jordan — https://doi.org/10.13057/biodiv/d270709</w:t>
      </w:r>
    </w:p>
    <w:p>
      <w:pPr/>
      <w:r>
        <w:rPr>
          <w:b/>
        </w:rPr>
        <w:t>Shared claim-specific concepts:</w:t>
      </w:r>
      <w:r>
        <w:t xml:space="preserve"> distribution, species, current; EU scope not established. This is a provisional connection, not an outcome finding.</w:t>
      </w:r>
    </w:p>
    <w:p>
      <w:pPr>
        <w:pStyle w:val="SourceNote"/>
      </w:pPr>
      <w:r>
        <w:rPr>
          <w:b/>
        </w:rPr>
        <w:t>Available abstract (not full text):</w:t>
      </w:r>
      <w:r>
        <w:t xml:space="preserve"> Abstract. Abu Baker MA, Amr ZS. 2026. Diversity and zoogeography of mammals at the Levantine Land Bridge, Jordan. Biodiversitas 27 (7): d270709. https://doi.org/10.13057/biodiv/d270709. Jordan hosts a remarkably diverse mammalian fauna owing to its position at the intersection of three major zoogeographic realms (Afrotropical, Oriental, and Palaearctic) within the Levantine Land Bridge. This study aims to synthesize current knowledge of mammalian diversity in Jordan and interpret its biogeographic patterns in relation to habitat heterogeneity and historical processes. The analysis is based on published records, faunal surveys, and historical accounts documenting species occurrence across the country. A total of 83 mammalian species representing 8 orders have been recorded in Jordan, reflecting both wide-ranging taxa and habitat-restricted specialists. Zoogeographically, 46.84% of species are of Palaearctic origin, 31.65% Saharo-Sindian, 16.46% Afrotropical, and 7.59% Oriental. Approximately 39.24% of species are habitat-restricted, while 39.24% occur at the edges of their global distribution ranges. Species distributions correspond strongly to ecological gradients: forest-associated taxa, such as wood mice, stone marten, and several horseshoe bats, are largely confined to Mediterranean woodland habitats; Psammophilous gerbils occupy isolated sand dune systems within desert land</w:t>
      </w:r>
    </w:p>
    <w:p>
      <w:pPr/>
      <w:r>
        <w:rPr>
          <w:b/>
        </w:rPr>
        <w:t>POSSIBLE 2026:</w:t>
      </w:r>
      <w:r>
        <w:t xml:space="preserve"> Nosocomial outbreaks with rare yeasts: Trends, characteristics and preventive measures — https://doi.org/10.1016/j.jinf.2026.106765</w:t>
      </w:r>
    </w:p>
    <w:p>
      <w:pPr/>
      <w:r>
        <w:rPr>
          <w:b/>
        </w:rPr>
        <w:t>Shared claim-specific concepts:</w:t>
      </w:r>
      <w:r>
        <w:t xml:space="preserve"> anomalus, associated, species; EU scope not established. This is a provisional connection, not an outcome finding.</w:t>
      </w:r>
    </w:p>
    <w:p>
      <w:pPr>
        <w:pStyle w:val="SourceNote"/>
      </w:pPr>
      <w:r>
        <w:rPr>
          <w:b/>
        </w:rPr>
        <w:t>Available abstract (not full text):</w:t>
      </w:r>
      <w:r>
        <w:t xml:space="preserve"> OBJECTIVES: This narrative review aims to aggregate all reports of nosocomial transmission of rare yeast species, to provide an overview of global trends, causative species, clinical characteristics and preventive measures. METHODS: A comprehensive literature search of multiple databases was conducted, to identify all reported nosocomial transmission events involving rare yeast species. The five most common yeasts, Candida albicans, Nakaseomyces glabratus, Candida parapsilosis, Candida tropicalis and Pichia kudriavzevii, in addition to Candida auris were excluded. RESULTS: A total of 76 reports were retrieved since 1984, caused by 28 different species. Wickerhamoyces anomalus was the most common agent, followed by Magnusiomyces, Trichosporon and species of the Candida haemulonii complex. Since the early 2000s, a clear increase was noted both in the number of outbreak reports and range of associated species, largely due to improved diagnostics. Most species were resistant to one or multiple antifungals and although environmental sampling was often performed, virtually all efforts yielded negative results. Once noted, strict hand hygiene practices and proper cleaning and disinfection of medical equipment has shown in curbing nosocomial spread. CONCLUSION: As hospital outbreak events are increasingly reported, accurate species identification and epidemiological surveillance should</w:t>
      </w:r>
    </w:p>
    <w:p>
      <w:pPr/>
      <w:r>
        <w:rPr>
          <w:b/>
        </w:rPr>
        <w:t>POSSIBLE 2026:</w:t>
      </w:r>
      <w:r>
        <w:t xml:space="preserve"> Examining Instagram’s role in the illegal trade of the Caucasian squirrel — https://doi.org/10.1016/j.jnc.2026.127404</w:t>
      </w:r>
    </w:p>
    <w:p>
      <w:pPr/>
      <w:r>
        <w:rPr>
          <w:b/>
        </w:rPr>
        <w:t>Shared claim-specific concepts:</w:t>
      </w:r>
      <w:r>
        <w:t xml:space="preserve"> anomalus, species, four; EU scope not established. This is a provisional connection, not an outcome finding.</w:t>
      </w:r>
    </w:p>
    <w:p>
      <w:pPr>
        <w:pStyle w:val="SourceNote"/>
      </w:pPr>
      <w:r>
        <w:rPr>
          <w:b/>
        </w:rPr>
        <w:t>Available abstract (not full text):</w:t>
      </w:r>
      <w:r>
        <w:t xml:space="preserve"> Illegal wildlife trade is a major threat to biodiversity. In recent years, online platforms, particularly Instagram, have facilitated the widespread marketing of wild animals, enabling the trade. In this study, we analyzed Instagram posts to examine the illegal online trade of Caucasian squirrels ( Sciurus anomalus ) in Iran from August 2021 to January 2023. We found a total of 1,204 advertisements offering 1,494 individual squirrels, with the majority being juveniles. Only 25 posts listed prices, averaging USD 11.51. Most posts lacked geographic location. However, posts with a location tag were predominantly from the capital of Iran (Tehran). We employed a reflexive thematic analysis of advertisement captions and images that revealed four themes used by sellers: (1) emphasis on tameness, (2) persuasive communication to stimulate purchase, (3) legitimizing trade through captive breeding claims, and (4) controlled access. About half of the squirrels (n = 550) were shown in hand-held poses, and over a third were outside cages. The visual strategies used in the postings aimed to promote acceptance of close human-animal interaction and to emphasize the suitability of squirrels as pets. Temporally, postings were unevenly distributed throughout the year, with the highest numbers in April and August and the lowest in the winter months. Although seasonal differences were not statistica</w:t>
      </w:r>
    </w:p>
    <w:p>
      <w:pPr/>
      <w:r>
        <w:rPr>
          <w:b/>
        </w:rPr>
        <w:t>POSSIBLE 2025:</w:t>
      </w:r>
      <w:r>
        <w:t xml:space="preserve"> An updated checklist of the mammals of Türkiye — https://doi.org/10.55730/1300-0179.3232</w:t>
      </w:r>
    </w:p>
    <w:p>
      <w:pPr/>
      <w:r>
        <w:rPr>
          <w:b/>
        </w:rPr>
        <w:t>Shared claim-specific concepts:</w:t>
      </w:r>
      <w:r>
        <w:t xml:space="preserve"> distribution, well, species; EU scope not established. This is a provisional connection, not an outcome finding.</w:t>
      </w:r>
    </w:p>
    <w:p>
      <w:pPr>
        <w:pStyle w:val="SourceNote"/>
      </w:pPr>
      <w:r>
        <w:rPr>
          <w:b/>
        </w:rPr>
        <w:t>Available abstract (not full text):</w:t>
      </w:r>
      <w:r>
        <w:t xml:space="preserve"> Between 1982 and 2025, the number of extant wild mammal species worldwide rose from 4170 to 6706. The Turkish mammal fauna also showed a similar trend, with the number of mammal species listed for Türkiye rising from 89 to 173 in just 33 years, from 1989 to 2021. A shift in species numbers like this calls for regular updates to Türkiye’s mammal species lists as well as the preparation of new checklists. Apart from changes in the number of species, numerous taxonomic changes and rearrangements also lead to changes in mammal lists. We arranged an updated mammal checklist by reviewing the literature and identifying additions, deletions, and changes in the mammal fauna of Türkiye. This study presents the occurrence of 177 wild mammal species, comprising 165 terrestrial and 12 marine mammal species in Türkiye. Among them, 13 are endemic and 12 are regionally endemic terrestrial mammal species to Türkiye. Türkiye also has 10 domestic mammal species. Furthermore, it is anticipated that 16 mammal species with close geographic distribution ranges to Türkiye may be reported in future checklists for Türkiye.</w:t>
      </w:r>
    </w:p>
    <w:p>
      <w:pPr/>
      <w:r>
        <w:rPr>
          <w:b/>
        </w:rPr>
        <w:t>POSSIBLE 2025:</w:t>
      </w:r>
      <w:r>
        <w:t xml:space="preserve"> Update of the list of qualified presumption of safety (QPS) recommended microbiological agents intentionally added to food or feed as notified to EFSA 21: Suitability of taxonomic units notified to EFSA until September 2024 — https://doi.org/10.2903/j.efsa.2025.9169</w:t>
      </w:r>
    </w:p>
    <w:p>
      <w:pPr/>
      <w:r>
        <w:rPr>
          <w:b/>
        </w:rPr>
        <w:t>Shared claim-specific concepts:</w:t>
      </w:r>
      <w:r>
        <w:t xml:space="preserve"> species, respective; EU scope not established. This is a provisional connection, not an outcome finding.</w:t>
      </w:r>
    </w:p>
    <w:p>
      <w:pPr>
        <w:pStyle w:val="SourceNote"/>
      </w:pPr>
      <w:r>
        <w:rPr>
          <w:b/>
        </w:rPr>
        <w:t>Available abstract (not full text):</w:t>
      </w:r>
      <w:r>
        <w:t xml:space="preserve"> Abstract The qualified presumption of safety (QPS) process was developed to provide a safety assessment approach for microorganisms intended for use in food or feed chains. In the period covered by this Statement, no new information was found that would change the status of previously recommended QPS taxonomic units (TUs). The TUs in the QPS list were updated based on a verification, against their respective authoritative databases, of the correctness of the names and completeness of synonyms. Of 54 microorganisms notified to EFSA between April and September 2024 (33 as feed additives, 17 as food enzymes or additives, 4 as novel foods), 50 were not evaluated because: 12 were filamentous fungi, 1 was Enterococcus faecium and 8 were Escherichia coli (all excluded from the QPS evaluation), and 29 were TUs that already have a QPS status. One notification (Ensifer adhaerens) was already evaluated in a previous Panel Statement. Another notification (Enterococcus lactis) was already evaluated in the previous 3‐year QPS cycle and was reassessed within this document. Two TUs were notified for the first time and were assessed for a possible QPS status: Serratia plymuthica and Lacticaseibacillus huelsenbergensis. Bacillus thuringiensis and Bacillus nakamurai have been assessed for a possible QPS status in response to internal requests. The following was concluded on the five assessed TUs.</w:t>
      </w:r>
    </w:p>
    <w:p>
      <w:pPr/>
      <w:r>
        <w:rPr>
          <w:b/>
        </w:rPr>
        <w:t>POSSIBLE 2025:</w:t>
      </w:r>
      <w:r>
        <w:t xml:space="preserve"> The European Bookshop Business Model — https://doi.org/10.4324/9781003615101</w:t>
      </w:r>
    </w:p>
    <w:p>
      <w:pPr/>
      <w:r>
        <w:rPr>
          <w:b/>
        </w:rPr>
        <w:t>Shared claim-specific concepts:</w:t>
      </w:r>
      <w:r>
        <w:t xml:space="preserve"> account, current; EU scope visible. This is a provisional connection, not an outcome finding.</w:t>
      </w:r>
    </w:p>
    <w:p>
      <w:pPr>
        <w:pStyle w:val="SourceNote"/>
      </w:pPr>
      <w:r>
        <w:rPr>
          <w:b/>
        </w:rPr>
        <w:t>Available abstract (not full text):</w:t>
      </w:r>
      <w:r>
        <w:t xml:space="preserve"> Drawing on original primary data, this book offers a comparative account of the European bookshop model, charting how it has evolved in the contemporary economy, how recent industry transformations have impacted it, and how bookshops have sought to adapt to new market conditions. Covering the period from the fall of the Berlin Wall in 1989 up until the present day, this book considers the evolution, both historic and economic, of European countries and book markets to arrive at a broad picture of the European bookshop model today. It draws on interviews with over 250 book industry players across 23 countries to critically consider the evolution of systems, legislative frameworks, reading habits, competition, and market structure, situating these changes within a broader set of current issues and cultural shifts. Alongside the ongoing challenges posed by disruption – from digitization to a hyper-abundance of books – the author also reflects on the key strategies that bookshops have deployed to overcome them, including via collective action and curation. Depicting an uncertain outlook for the industry, including the impact of AI, this text nonetheless offers hope for the future of the bookshop and bears testament to its enduring social and cultural significance. The European Bookshop Business Model is recommended reading for advanced students and researchers in fields including B</w:t>
      </w:r>
    </w:p>
    <w:p>
      <w:pPr/>
      <w:r>
        <w:rPr>
          <w:b/>
        </w:rPr>
        <w:t>POSSIBLE 2024:</w:t>
      </w:r>
      <w:r>
        <w:t xml:space="preserve"> THE RIGHTS OF NON-RESIDENTS OF THE EUROPEAN ECONOMIC AREA TO USE BANK ACCOUNTS IN EUROPEAN BANKS — https://doi.org/10.34660/inf.2020.5.54192</w:t>
      </w:r>
    </w:p>
    <w:p>
      <w:pPr/>
      <w:r>
        <w:rPr>
          <w:b/>
        </w:rPr>
        <w:t>Shared claim-specific concepts:</w:t>
      </w:r>
      <w:r>
        <w:t xml:space="preserve"> current, four, relevant; EU scope visible. This is a provisional connection, not an outcome finding.</w:t>
      </w:r>
    </w:p>
    <w:p>
      <w:pPr>
        <w:pStyle w:val="SourceNote"/>
      </w:pPr>
      <w:r>
        <w:rPr>
          <w:b/>
        </w:rPr>
        <w:t>Available abstract (not full text):</w:t>
      </w:r>
      <w:r>
        <w:t xml:space="preserve"> The article explores some features of exemption from criminal liability for tax crimes and insurance crimes.The reasons and conditions are specified under which criminal proceedings against citizens (individuals) are terminated in connection with active repentance for economic crimes.Keywords: exemption from criminal liability, taxes and fees, insurance payments, insurance premiums, compensation for damages. Process Management and Scientific Developmentsthan ten percent of the amount payable, or non-payment in the amount of two million seven hundred thousand rubles or more.A particularly large amount, respectively, is four million five hundred thousand rubles, if this is more than twenty percent of the amount payable, or non-payment of more than thirteen million five hundred thousand rubles.Now let us dwell on the issue of the grounds for exemption from criminal liability for insurance crimes.So, on the basis of the current legislation, the guilty person is not subject to criminal prosecution if the criminal act was committed for the first time, full payment of arrears of insurance premiums will also be a necessary condition; fully refunded interest; full amount paid fine.To summarize what has been said, the following points can be distinguished.The Constitution of the Russian Federation obliges every employed citizen to pay legally established taxes and fees.Failure to comply </w:t>
      </w:r>
    </w:p>
    <w:p>
      <w:pPr/>
      <w:r>
        <w:rPr>
          <w:b/>
        </w:rPr>
        <w:t>POSSIBLE 2024:</w:t>
      </w:r>
      <w:r>
        <w:t xml:space="preserve"> Convergence of accounting systems through the lens of accounting theory and harmonization paradigms — https://doi.org/10.17072/1994-9960-2024-3-300-325</w:t>
      </w:r>
    </w:p>
    <w:p>
      <w:pPr/>
      <w:r>
        <w:rPr>
          <w:b/>
        </w:rPr>
        <w:t>Shared claim-specific concepts:</w:t>
      </w:r>
      <w:r>
        <w:t xml:space="preserve"> took, materials, well, relevant; EU scope visible. This is a provisional connection, not an outcome finding.</w:t>
      </w:r>
    </w:p>
    <w:p>
      <w:pPr>
        <w:pStyle w:val="SourceNote"/>
      </w:pPr>
      <w:r>
        <w:rPr>
          <w:b/>
        </w:rPr>
        <w:t>Available abstract (not full text):</w:t>
      </w:r>
      <w:r>
        <w:t xml:space="preserve"> Introduction. Contemporary research in international accounting lacks a thread linking the fundamental principles of accounting science to the key purpose of the accounting system – to promote the efficient allocation of capital by providing reliable and relevant information. This has led to the fact that accounting infrastructure focuses more on the interests of transnational companies, accounting standard makers and, in general, regional zones, which took advantage of the idea of global convergence for the sake of personal benefits, rather than on public purposes. Purpose. The aim is to show that the existing notions of global convergence of accounting systems are untenable and should be revised. To achieve the latter, the paper characterrizes the nature of convergence with accounting theory and harmonization paradigms. Materials and Methods. The work is theoretical; traditional scientific methods are used: a dialectical method of scientific cognition, a method of collecting theoretical and regulatory-legal information, a method of formalization, as well as analysis, synthesis, observation, and comparison. Results. The standards are perceived to be the benchmark of quality with no deductively-derived regulatory grounds in accounting science. This automatically gives rise to many contradictions and inconsistencies in understanding and applying existing accounting rules/princip</w:t>
      </w:r>
    </w:p>
    <w:p>
      <w:pPr/>
      <w:r>
        <w:rPr>
          <w:b/>
        </w:rPr>
        <w:t>POSSIBLE 2024:</w:t>
      </w:r>
      <w:r>
        <w:t xml:space="preserve"> Insights into the fine-scale habitat use of Eurasian Water Shrew ( Neomys fodiens ) using radio tracking and LiDAR — https://doi.org/10.1093/jmammal/gyae146</w:t>
      </w:r>
    </w:p>
    <w:p>
      <w:pPr/>
      <w:r>
        <w:rPr>
          <w:b/>
        </w:rPr>
        <w:t>Shared claim-specific concepts:</w:t>
      </w:r>
      <w:r>
        <w:t xml:space="preserve"> distribution, species, variables, combined; EU scope visible. This is a provisional connection, not an outcome finding.</w:t>
      </w:r>
    </w:p>
    <w:p>
      <w:pPr>
        <w:pStyle w:val="SourceNote"/>
      </w:pPr>
      <w:r>
        <w:rPr>
          <w:b/>
        </w:rPr>
        <w:t>Available abstract (not full text):</w:t>
      </w:r>
      <w:r>
        <w:t xml:space="preserve"> ) is one of the largest shrew (Soricidae) species in Eurasia. In Western Europe, this semiaquatic species often occurs in riparian and marshland habitats that have a high degree of naturalness, but is being threatened by habitat degradation and other anthropogenic factors. The species mostly occurs in low abundance and is elusive. Therefore, understanding its habitat use is challenging, yet imperative for establishing species-specific conservation measures. Technological developments in radio tracking and high-resolution remote sensing such as Light Detection And Ranging (LiDAR) now enable the quantification of ecological niches and provide insight into habitat requirements for a species. Here, we combined radio tracking and LiDAR to quantify habitat use by Eurasian water shrews. Alongside a lowland brook in the Netherlands, 20 individuals were tracked between September and October 2022, resulting in 332 unique locations of Eurasian water shrews. For each of these locations, 11 LiDAR-derived variables were calculated and subsequently analyzed in a species distribution model (SDM). The SDM yielded a model with a high accuracy (predictive performance AUC = 0.93). The variable of highest importance was dense and relatively short vegetation &lt;1 m, which had a positive effect on Eurasian Water Shrew occurrence. Open areas seem to be avoided. Vegetation of heights between 1 and 15 m w</w:t>
      </w:r>
    </w:p>
    <w:p>
      <w:pPr/>
      <w:r>
        <w:rPr>
          <w:b/>
        </w:rPr>
        <w:t>POSSIBLE 2024:</w:t>
      </w:r>
      <w:r>
        <w:t xml:space="preserve"> New Additions to the Mammal List Documented in the Portuguese Red Data Book — https://doi.org/10.3390/ani14172514</w:t>
      </w:r>
    </w:p>
    <w:p>
      <w:pPr/>
      <w:r>
        <w:rPr>
          <w:b/>
        </w:rPr>
        <w:t>Shared claim-specific concepts:</w:t>
      </w:r>
      <w:r>
        <w:t xml:space="preserve"> species, four, relevant; EU scope visible. This is a provisional connection, not an outcome finding.</w:t>
      </w:r>
    </w:p>
    <w:p>
      <w:pPr>
        <w:pStyle w:val="SourceNote"/>
      </w:pPr>
      <w:r>
        <w:rPr>
          <w:b/>
        </w:rPr>
        <w:t>Available abstract (not full text):</w:t>
      </w:r>
      <w:r>
        <w:t xml:space="preserve"> This study outlines the procedures used for collecting, processing, and categorizing data on 16 new mammal species for mainland Portugal, belonging to four taxonomic groups: Eulipotyphla (1), Chiroptera (4), Rodentia (2), and Cetacea (9). Data collection and processing encompassed field and lab work and bibliographic compilation. Data categorization involves, whenever possible, the assessment of the approximate number of mature individuals in populations, the extent of occurrence, and the area of occupancy. The approach employed led to the classification of eight out of the 16 species into an IUCN category: two non-volant small mammals and one bat species were designated as Vulnerable, requiring ongoing monitoring; one rodent and three cetaceans were assigned to Data Deficient due to insufficient available information; and a single bat species was classified as Least Concern due to the high abundance of local populations. For small mammals and bats, alterations to natural systems and climate change emerged as the most relevant threatening factors, while for cetaceans, human activities such as fishing, commercial shipping, and tourism were identified as the primary survival risks. It is recommended to maintain action programs that assist in defining strategic orientations for the implementation of conservation measures on a case-by-case basis.</w:t>
      </w:r>
    </w:p>
    <w:p>
      <w:pPr/>
      <w:r>
        <w:rPr>
          <w:b/>
        </w:rPr>
        <w:t>POSSIBLE 2023:</w:t>
      </w:r>
      <w:r>
        <w:t xml:space="preserve"> European Exchanges, Networks and Contexts — https://doi.org/10.3366/edinburgh/9781474499170.003.0016</w:t>
      </w:r>
    </w:p>
    <w:p>
      <w:pPr/>
      <w:r>
        <w:rPr>
          <w:b/>
        </w:rPr>
        <w:t>Shared claim-specific concepts:</w:t>
      </w:r>
      <w:r>
        <w:t xml:space="preserve"> took, account, distribution, well; EU scope visible. This is a provisional connection, not an outcome finding.</w:t>
      </w:r>
    </w:p>
    <w:p>
      <w:pPr>
        <w:pStyle w:val="SourceNote"/>
      </w:pPr>
      <w:r>
        <w:rPr>
          <w:b/>
        </w:rPr>
        <w:t>Available abstract (not full text):</w:t>
      </w:r>
      <w:r>
        <w:t xml:space="preserve"> This chapter investigates the development and integration of European news communication along with the formation of new types of news publication capable of conveying details and impressions of a rapidly changing geopolitical order to the first mass audiences. Particularly fertile generators of new genres were the Thirty Years War and English Civil War, which in turn received the effects of news distribution while supplying new material for consumption. New research demonstrates, for instance, that events occurring as far away as Naples were discussed in London, whereas Neapolitans took cues from regime-changing episodes in Civil War Britain. The study takes account of recent studies tending to emphasise continuities as well as discontinuities, not only between the press history of Britain and Ireland and the press history of neighbouring states, but also between the history of printed newspapers and of older media types.</w:t>
      </w:r>
    </w:p>
    <w:p>
      <w:pPr>
        <w:pStyle w:val="Heading2"/>
      </w:pPr>
      <w:r>
        <w:t>617. Regional growth and disparities in a post‐COVID Europe: A new normality scenario</w:t>
      </w:r>
    </w:p>
    <w:p>
      <w:pPr>
        <w:pStyle w:val="SourceNote"/>
      </w:pPr>
      <w:r>
        <w:rPr>
          <w:b/>
        </w:rPr>
        <w:t>Original source (2021):</w:t>
      </w:r>
      <w:r>
        <w:t xml:space="preserve"> https://doi.org/10.1111/jors.12542</w:t>
      </w:r>
    </w:p>
    <w:p>
      <w:pPr/>
      <w:r>
        <w:t>Original wording (abstract; indexed_source_text_not_full_document_verified): This paper addresses the important question "Which European areas will be able to better react to the crisis induced by COVID-19 and how regional disparities will look like?" To provide an answer, a "new normality" scenario is built, comprising the structural changes likely to take place in the aftermath of the COVID pandemic. First, short-run costs of the COVID-induced lockdowns, in terms of missed GDP, are calculated for all European NUTS2 regions, needed because of the lack of short-run statistics about the extent of the regional costs caused by the lockdowns that will only appear in 2 years.</w:t>
      </w:r>
    </w:p>
    <w:p>
      <w:pPr/>
      <w:r>
        <w:rPr>
          <w:b/>
        </w:rPr>
        <w:t>POSSIBLE 2025:</w:t>
      </w:r>
      <w:r>
        <w:t xml:space="preserve"> Futureproofing the healthcare workforce in Europe: understanding and addressing psychological distress and occupational outcomes — https://doi.org/10.1016/j.lanepe.2025.101463</w:t>
      </w:r>
    </w:p>
    <w:p>
      <w:pPr/>
      <w:r>
        <w:rPr>
          <w:b/>
        </w:rPr>
        <w:t>Shared claim-specific concepts:</w:t>
      </w:r>
      <w:r>
        <w:t xml:space="preserve"> areas, crisis, likely; EU scope visible. This is a provisional connection, not an outcome finding.</w:t>
      </w:r>
    </w:p>
    <w:p>
      <w:pPr>
        <w:pStyle w:val="SourceNote"/>
      </w:pPr>
      <w:r>
        <w:rPr>
          <w:b/>
        </w:rPr>
        <w:t>Available abstract (not full text):</w:t>
      </w:r>
      <w:r>
        <w:t xml:space="preserve"> Healthcare systems across Europe face a workforce crisis characterised by staff shortages, high turnover, and psychological distress among healthcare workers (HCWs). To understand the true scope and extent of psychological distress and occupational outcomes among HCWs and key areas to target for actionable solutions to this, a comprehensive overview of the evidence is needed. In this Series paper, we have synthesised findings from existing systematic reviews and meta-analyses to assess the prevalence of psychological distress among HCWs in Europe, examine associated risk and protective factors, and evaluate the effectiveness of interventions targeting these. The Series paper shows that HCWs experience high levels of work-related psychological distress, particularly burnout. Organisational factors, such as staff shortages, high workloads, and poor leadership, are key contributors to HCWs psychological distress. Organisational-level, rather than individual-level, interventions showed greater promise in reducing psychological distress and improving occupational outcomes. Perhaps surprisingly, currently published reviews did not focus on diagnosable mental disorders, instead relying on self-report symptom-based measures, likely overestimating prevalence. Our findings show limited research available on psychological distress and occupational outcomes among non-clinical staff, HCWs f</w:t>
      </w:r>
    </w:p>
    <w:p>
      <w:pPr/>
      <w:r>
        <w:rPr>
          <w:b/>
        </w:rPr>
        <w:t>POSSIBLE 2025:</w:t>
      </w:r>
      <w:r>
        <w:t xml:space="preserve"> Filling the Gap to Address Vaccine Hesitancy in Europe — https://doi.org/10.3389/phrs.2025.1608208</w:t>
      </w:r>
    </w:p>
    <w:p>
      <w:pPr/>
      <w:r>
        <w:rPr>
          <w:b/>
        </w:rPr>
        <w:t>Shared claim-specific concepts:</w:t>
      </w:r>
      <w:r>
        <w:t xml:space="preserve"> able, covid-19, regional, like, likely; EU scope visible. This is a provisional connection, not an outcome finding.</w:t>
      </w:r>
    </w:p>
    <w:p>
      <w:pPr>
        <w:pStyle w:val="SourceNote"/>
      </w:pPr>
      <w:r>
        <w:rPr>
          <w:b/>
        </w:rPr>
        <w:t>Available abstract (not full text):</w:t>
      </w:r>
      <w:r>
        <w:t xml:space="preserve"> Vaccine hesitancy (VH) is a state of indecision regarding vaccination, marked by doubts despite vaccine availability. 1 Its relationship with vaccine uptake has been widely debated, though the cause-effect relationship remains unclear. Nevertheless, VH likely threatens the control of vaccine-preventable diseases, such as measles and hepatitis B, imposing unnecessary burdens on health systems.Inappropriate access to information, inadequate vaccine offers, and administration have been identified as primary contributors to reluctance and doubts surrounding vaccine uptake. However, social and individual factors related to knowledge and attitudes further prolong this psychological state of indecision, leading to delayed vaccinations and even refusal. Despite extensive efforts to promote vaccination across European countries, VH persists, affecting vaccine uptake across various demographic groups and settings. Hesitancy varies by country, type of vaccine (whether recently approved or longstanding), and target populations, including children, vulnerable groups, or the general population.Assessing the frequency, determinants, and impact of vaccine hesitancy presents a significant global and regional challenge. 2 Variations in definitions, data gaps regarding vaccine acceptance, and population coverage hinder precise evaluation. These discrepancies make it more difficult to develop targ</w:t>
      </w:r>
    </w:p>
    <w:p>
      <w:pPr/>
      <w:r>
        <w:rPr>
          <w:b/>
        </w:rPr>
        <w:t>POSSIBLE 2025:</w:t>
      </w:r>
      <w:r>
        <w:t xml:space="preserve"> Challenges in the micropropagation of economically important fruit species in Europe — https://doi.org/10.1007/s11240-025-03165-5</w:t>
      </w:r>
    </w:p>
    <w:p>
      <w:pPr/>
      <w:r>
        <w:rPr>
          <w:b/>
        </w:rPr>
        <w:t>Shared claim-specific concepts:</w:t>
      </w:r>
      <w:r>
        <w:t xml:space="preserve"> important, regional, disparities; EU scope visible. This is a provisional connection, not an outcome finding.</w:t>
      </w:r>
    </w:p>
    <w:p>
      <w:pPr>
        <w:pStyle w:val="SourceNote"/>
      </w:pPr>
      <w:r>
        <w:rPr>
          <w:b/>
        </w:rPr>
        <w:t>Available abstract (not full text):</w:t>
      </w:r>
      <w:r>
        <w:t xml:space="preserve"> Commercial micropropagation plays a crucial role in increasing the production of many economically important fruit crops worldwide, including Europe. The focus has been on many woody horticultural species, such as stone and pome fruits, berries, nuts, and palms. This paper presents an updated overview of the European commercial micropropagation landscape, highlighting the countries currently operating in this sector, crop targets, and the distribution of micropropagation companies based on recent survey data. In Europe and the broader Mediterranean basin, Italy, Spain, Türkiye, and Germany emerge as the leading contributors to the large-scale in vitro production of woody fruit species, based on the number of operating commercial companies and efforts to adopt new technology. Despite this progress, several challenges limit the scalability and sustainability of in vitro propagation systems, and their expansion in underrepresented countries. These main issues include species recalcitrance, high labour and infrastructure costs, further improvement of stock maintenance capacity, logistical issues in plantlet shipment, and barriers related to intellectual property rights. To address these challenges, this paper discusses solutions such as utilizing automation and robotics, exploring new compounds to enhance micropropagation rates, and using European funding opportunities. Furthermore</w:t>
      </w:r>
    </w:p>
    <w:p>
      <w:pPr/>
      <w:r>
        <w:rPr>
          <w:b/>
        </w:rPr>
        <w:t>POSSIBLE 2025:</w:t>
      </w:r>
      <w:r>
        <w:t xml:space="preserve"> Paper chase for social justice and equality : civil society’s interplay with the European commission in European economic governance — https://openalex.org/W7128326708</w:t>
      </w:r>
    </w:p>
    <w:p>
      <w:pPr/>
      <w:r>
        <w:rPr>
          <w:b/>
        </w:rPr>
        <w:t>Shared claim-specific concepts:</w:t>
      </w:r>
      <w:r>
        <w:t xml:space="preserve"> important, able, better, structural; EU scope visible. This is a provisional connection, not an outcome finding.</w:t>
      </w:r>
    </w:p>
    <w:p>
      <w:pPr>
        <w:pStyle w:val="SourceNote"/>
      </w:pPr>
      <w:r>
        <w:rPr>
          <w:b/>
        </w:rPr>
        <w:t>Available abstract (not full text):</w:t>
      </w:r>
      <w:r>
        <w:t xml:space="preserve"> This dissertation investigates the role of civil society organisations (CSOs) in European economic governance, focusing on their interaction with the European Commission during the European Semester between 2011 and 2020, an economic governance process monitoring the implementation of the Europe 2020 strategy. The analysis is framed by Gramsci’s theory of hegemony and Power Resources Theory, providing a nuanced understanding of the structural barriers and opportunities for CSO engagement. The study critiques the entrenched neoliberal paradigm that dominates the European Semester, highlighting how social objectives remain subordinated to economic priorities despite the rhetorical commitments to social investment, inclusivity and sustainability promoted through policy initiatives such as the Social Investment Package and the European Pillar of Social Rights. Drawing on empirical data and theoretical insights, the research identifies key challenges faced by CSOs, including fragmented advocacy efforts, limited skills, capacity and resources, and – most importantly – a lack of a cohesive counter-narrative. The findings reveal that while CSOs have gained some access to governance processes, their influence is constrained by structural asymmetries and inconsistent participation. Considering the important role national CSOs have in providing their EU-level counterparts with information</w:t>
      </w:r>
    </w:p>
    <w:p>
      <w:pPr/>
      <w:r>
        <w:rPr>
          <w:b/>
        </w:rPr>
        <w:t>POSSIBLE 2025:</w:t>
      </w:r>
      <w:r>
        <w:t xml:space="preserve"> Urban diplomacy in Europe — https://doi.org/10.4324/9781003708889-41</w:t>
      </w:r>
    </w:p>
    <w:p>
      <w:pPr/>
      <w:r>
        <w:rPr>
          <w:b/>
        </w:rPr>
        <w:t>Shared claim-specific concepts:</w:t>
      </w:r>
      <w:r>
        <w:t xml:space="preserve"> important, question; EU scope visible. This is a provisional connection, not an outcome finding.</w:t>
      </w:r>
    </w:p>
    <w:p>
      <w:pPr>
        <w:pStyle w:val="SourceNote"/>
      </w:pPr>
      <w:r>
        <w:rPr>
          <w:b/>
        </w:rPr>
        <w:t>Available abstract (not full text):</w:t>
      </w:r>
      <w:r>
        <w:t xml:space="preserve"> Over the past few decades, the role that cities play in international politics has increased. In an age in which people, goods, money and information are more than ever transcending national boundaries, cities serve as platforms for the discussion of shared international issues. Mayors appear at big conferences on climate and sustainability and compete for the right to host international events such as the Olympics or the European Capital of Culture. Where originally diplomacy was primarily the domain of states, nowadays it is also familiar territory for cities. This diplomacy does not only manifest itself globally but also at the European level. New partnerships are established in which European cities join forces to promote shared interests. It is partly because of these developments that the EU regards cities as important partners for the European agenda setting and devising strategies for addressing this agenda. However, the question is whether this type of urban diplomacy can be an avenue for closer European cooperation. Does it attest to a shared engagement with European issues, or is it mainly a platform for business-minded pragmatism?</w:t>
      </w:r>
    </w:p>
    <w:p>
      <w:pPr/>
      <w:r>
        <w:rPr>
          <w:b/>
        </w:rPr>
        <w:t>POSSIBLE 2024:</w:t>
      </w:r>
      <w:r>
        <w:t xml:space="preserve"> Understanding and addressing shortfalls in European wild bee data — https://doi.org/10.1016/j.biocon.2024.110455</w:t>
      </w:r>
    </w:p>
    <w:p>
      <w:pPr/>
      <w:r>
        <w:rPr>
          <w:b/>
        </w:rPr>
        <w:t>Shared claim-specific concepts:</w:t>
      </w:r>
      <w:r>
        <w:t xml:space="preserve"> addresses, important, areas; EU scope visible. This is a provisional connection, not an outcome finding.</w:t>
      </w:r>
    </w:p>
    <w:p>
      <w:pPr>
        <w:pStyle w:val="SourceNote"/>
      </w:pPr>
      <w:r>
        <w:rPr>
          <w:b/>
        </w:rPr>
        <w:t>Available abstract (not full text):</w:t>
      </w:r>
      <w:r>
        <w:t xml:space="preserve"> Understanding and reversing biodiversity decline in the Anthropocene requires robust data on species taxonomic identity, distribution, ecology, and population trends. Data deficits hinder biodiversity assessments and conservation, and despite major advances over the past few decades, our understanding of bee diversity, decline and distribution in Europe is still hampered by such data shortfalls. Using a unique digital dataset of wild bee occurrence and ecology, we identify seven critical shortfalls which are an absence of knowledge on geographic distributions, (functional) trait variation, population dynamics, evolutionary relationships, biotic interactions, species identity, and tolerance to abiotic conditions. We describe “BeeFall,” an interactive online Shiny app tool, which visualizes these shortfalls and highlights missing data. We also define a new impediment, the Keartonian Impediment, which addresses an absence of high-quality in situ photos and illustrations with diagnostic characteristics and directly affects the outlined shortfalls. Shortfalls are highly correlated at both the provincial and national scales, identifying key areas in Europe where knowledge gaps can be filled. This work provides an important first step towards the long-term goal to mobilize and aggregate European wild bee data into a multi-scale, easy access, shareable, and updatable database which can</w:t>
      </w:r>
    </w:p>
    <w:p>
      <w:pPr/>
      <w:r>
        <w:rPr>
          <w:b/>
        </w:rPr>
        <w:t>POSSIBLE 2024:</w:t>
      </w:r>
      <w:r>
        <w:t xml:space="preserve"> Innovatively addressing the profession's major questions based on studies of the OT workforce — https://openalex.org/W7162052968</w:t>
      </w:r>
    </w:p>
    <w:p>
      <w:pPr/>
      <w:r>
        <w:rPr>
          <w:b/>
        </w:rPr>
        <w:t>Shared claim-specific concepts:</w:t>
      </w:r>
      <w:r>
        <w:t xml:space="preserve"> important, regional, disparities, provide; EU scope visible. This is a provisional connection, not an outcome finding.</w:t>
      </w:r>
    </w:p>
    <w:p>
      <w:pPr>
        <w:pStyle w:val="SourceNote"/>
      </w:pPr>
      <w:r>
        <w:rPr>
          <w:b/>
        </w:rPr>
        <w:t>Available abstract (not full text):</w:t>
      </w:r>
      <w:r>
        <w:t xml:space="preserve"> In response to a global shortage of occupational therapists (OT) (WFOT, 2020), we conducted a study to collect data on the Swiss OT workforce's size and structure. The aim was to collect data that would allow to address the shortage and to provide insights that can benefit other countries. Our methodology involved an online survey targeting OT employers, team leaders, and self-employed therapists. We gathered quantitative and qualitative data on workforce demographics. Our results encompassed 3’022 OTs. Their average employment level was 67.9%. Ninety percent hold a Diploma/Bachelor degree, 4.9% a Master and 0.1% a Doctoral degree; 90.1% are woman. Overall, Switzerland has a ratio of 3.2 (4.2-4.6) OTs per 10’000 inhabitants but present important regional differences (Ballmer et al., 2023). This study highlights Swiss problems and disparities (regional differences, gender bias, employment levels, and reduced postgraduate degrees), which are exemplary of the situation faced by many other European countries (e.g., DVE, 2017). The results prompt crucial common questions: How can we enhance gender diversity? How can we create opportunities for women to access higher positions? How can we improve OT education and training? Lastly, how can we reduce regional inequalities? These challenges demand innovative solutions to bolster our profession.</w:t>
      </w:r>
    </w:p>
    <w:p>
      <w:pPr/>
      <w:r>
        <w:rPr>
          <w:b/>
        </w:rPr>
        <w:t>POSSIBLE 2024:</w:t>
      </w:r>
      <w:r>
        <w:t xml:space="preserve"> One hundred priority questions for advancing seagrass conservation in Europe — https://doi.org/10.1002/ppp3.10486</w:t>
      </w:r>
    </w:p>
    <w:p>
      <w:pPr/>
      <w:r>
        <w:rPr>
          <w:b/>
        </w:rPr>
        <w:t>Shared claim-specific concepts:</w:t>
      </w:r>
      <w:r>
        <w:t xml:space="preserve"> areas, crisis, provide, place; EU scope visible. This is a provisional connection, not an outcome finding.</w:t>
      </w:r>
    </w:p>
    <w:p>
      <w:pPr>
        <w:pStyle w:val="SourceNote"/>
      </w:pPr>
      <w:r>
        <w:rPr>
          <w:b/>
        </w:rPr>
        <w:t>Available abstract (not full text):</w:t>
      </w:r>
      <w:r>
        <w:t xml:space="preserve"> Societal Impact Statement Seagrass ecosystems are of fundamental importance to our planet and wellbeing. Seagrasses are marine flowering plants, which engineer ecosystems that provide a multitude of ecosystem services, for example, blue foods and carbon sequestration. Seagrass ecosystems have largely been degraded across much of their global range. There is now increasing interest in the conservation and restoration of these systems, particularly in the context of the climate emergency and the biodiversity crisis. The collation of 100 questions from experts across Europe could, if answered, improve our ability to conserve and restore these systems by facilitating a fundamental shift in the success of such work. Summary Seagrass meadows provide numerous ecosystem services including biodiversity, coastal protection, and carbon sequestration. In Europe, seagrasses can be found in shallow sheltered waters along coastlines, in estuaries &amp; lagoons, and around islands, but their distribution has declined. Factors such as poor water quality, coastal modification, mechanical damage, overfishing, land‐sea interactions, climate change and disease have reduced the coverage of Europe’s seagrasses necessitating their recovery. Research, monitoring and conservation efforts on seagrass ecosystems in Europe are mostly uncoordinated and biased towards certain species and regions, resulting in in</w:t>
      </w:r>
    </w:p>
    <w:p>
      <w:pPr/>
      <w:r>
        <w:rPr>
          <w:b/>
        </w:rPr>
        <w:t>POSSIBLE 2024:</w:t>
      </w:r>
      <w:r>
        <w:t xml:space="preserve"> Funding multinational investigator-initiated clinical studies in Europe: why and how? — https://doi.org/10.1186/s13063-024-08548-1</w:t>
      </w:r>
    </w:p>
    <w:p>
      <w:pPr/>
      <w:r>
        <w:rPr>
          <w:b/>
        </w:rPr>
        <w:t>Shared claim-specific concepts:</w:t>
      </w:r>
      <w:r>
        <w:t xml:space="preserve"> important, provide, likely; EU scope visible. This is a provisional connection, not an outcome finding.</w:t>
      </w:r>
    </w:p>
    <w:p>
      <w:pPr>
        <w:pStyle w:val="SourceNote"/>
      </w:pPr>
      <w:r>
        <w:rPr>
          <w:b/>
        </w:rPr>
        <w:t>Available abstract (not full text):</w:t>
      </w:r>
      <w:r>
        <w:t xml:space="preserve"> Investigator-initiated clinical studies (IICSs), also referred to as non-commercial, academic or independent clinical studies, address important research questions that are usually neglected by industry despite their high societal value. Indeed, industry may direct their focus and resources on studies that will yield results and products that can ultimately generate revenue for the company. Conversely, IICS research questions include (a) refining or getting new indications of available treatments (drug repurposing); (b) optimisation, by comparing various health products or treatment regimens; and (c) innovation, especially for advanced therapies. Multinational IICSs increase the scientific quality of the data by exchange of research ideas, scientific techniques and tools. Participation of patients from different geographical, social and ethnic backgrounds equally adds to the value of study results and yields more generalisable evidence than a study confined to a single geographical location. Multinational IICSs are generally sponsored by non-profit/academic organisations and publicly funded. Funding has been already identified as a main challenge for the conduct IICS and especially for clinical trials (IICTs, IICS where a medical intervention is directly tested). Main barriers to the conduct of multinational IICTs with public funding include: Limitations of budget and duration </w:t>
      </w:r>
    </w:p>
    <w:p>
      <w:pPr/>
      <w:r>
        <w:rPr>
          <w:b/>
        </w:rPr>
        <w:t>POSSIBLE 2023:</w:t>
      </w:r>
      <w:r>
        <w:t xml:space="preserve"> Addressing Environmental Migration in the European Union Discourse — https://doi.org/10.14324/111.444/000203.v1</w:t>
      </w:r>
    </w:p>
    <w:p>
      <w:pPr/>
      <w:r>
        <w:rPr>
          <w:b/>
        </w:rPr>
        <w:t>Shared claim-specific concepts:</w:t>
      </w:r>
      <w:r>
        <w:t xml:space="preserve"> important, areas, crisis; EU scope visible. This is a provisional connection, not an outcome finding.</w:t>
      </w:r>
    </w:p>
    <w:p>
      <w:pPr>
        <w:pStyle w:val="SourceNote"/>
      </w:pPr>
      <w:r>
        <w:rPr>
          <w:b/>
        </w:rPr>
        <w:t>Available abstract (not full text):</w:t>
      </w:r>
      <w:r>
        <w:t xml:space="preserve"> For decades, the European Union (EU) has been addressing issues related to climate change and ecological degradation as a self-proclaimed pro-environmental and human rights-oriented actor. Correspondingly, the topic of environmentally driven migration entered the EU discourse at the dawn of the new millennium. As such, environmental migrants around the world find themselves in an existential crisis and are in need of support whether it comes to questions of compensations, relocation, protection of cultural heritage etc. Thus, considering the EU’s interest in the human rights and environmental/climate issue areas, I argue it is important to ask what the Union’s approach to this matter has been. Consequently, this article assesses the European Union discourse related to the topic of environmental migration over a twenty-year period. Through the theoretical lens of the Copenhagen School of Security Studies and the normative power EU conception, this paper critically analyzes the EU’s securitization of climate change in relation to environmental migrants who are experiencing an existential threat to their lives. Based on a qualitative discourse analysis, the preliminary results imply that the topic has been receding into the background of the EU agenda. In line, environmental migrants have been pushed aside by a multiplicity of other subjects threatened by climate change, and their</w:t>
      </w:r>
    </w:p>
    <w:p>
      <w:pPr/>
      <w:r>
        <w:rPr>
          <w:b/>
        </w:rPr>
        <w:t>POSSIBLE 2023:</w:t>
      </w:r>
      <w:r>
        <w:t xml:space="preserve"> Addressing Environmental Migration in the European Union Discourse — https://doi.org/10.14324/111.444/000203.v2</w:t>
      </w:r>
    </w:p>
    <w:p>
      <w:pPr/>
      <w:r>
        <w:rPr>
          <w:b/>
        </w:rPr>
        <w:t>Shared claim-specific concepts:</w:t>
      </w:r>
      <w:r>
        <w:t xml:space="preserve"> important, areas, crisis; EU scope visible. This is a provisional connection, not an outcome finding.</w:t>
      </w:r>
    </w:p>
    <w:p>
      <w:pPr>
        <w:pStyle w:val="SourceNote"/>
      </w:pPr>
      <w:r>
        <w:rPr>
          <w:b/>
        </w:rPr>
        <w:t>Available abstract (not full text):</w:t>
      </w:r>
      <w:r>
        <w:t xml:space="preserve"> For decades, the European Union (EU) has been addressing issues related to climate change and ecological degradation as a self-proclaimed pro-environmental and human rights-oriented actor. Correspondingly, the topic of environmentally driven migration entered the EU discourse at the dawn of the new millennium. As such, environmental migrants around the world find themselves in an existential crisis and are in need of support whether it comes to questions of compensations, relocation, protection of cultural heritage etc. Thus, considering the EU’s interest in the human rights and environmental/climate issue areas, I argue it is important to ask what the Union’s approach to this matter has been. Consequently, this article assesses the European Union discourse related to the topic of environmental migration over a twenty-year period. Through the theoretical lens of the Copenhagen School of Security Studies and the normative power EU conception, this paper critically analyzes the EU’s securitization of climate change in relation to environmental migrants who are experiencing an existential threat to their lives. Based on a qualitative discourse analysis, the preliminary results imply that the topic has been receding into the background of the EU agenda. In line, environmental migrants have been pushed aside by a multiplicity of other subjects threatened by climate change, and their</w:t>
      </w:r>
    </w:p>
    <w:p>
      <w:pPr/>
      <w:r>
        <w:rPr>
          <w:b/>
        </w:rPr>
        <w:t>POSSIBLE 2023:</w:t>
      </w:r>
      <w:r>
        <w:t xml:space="preserve"> An Independent European Macroeconomics? A History of European Macroeconomics through the Lens of the European Economic Review — https://doi.org/10.1016/j.euroecorev.2023.104559</w:t>
      </w:r>
    </w:p>
    <w:p>
      <w:pPr/>
      <w:r>
        <w:rPr>
          <w:b/>
        </w:rPr>
        <w:t>Shared claim-specific concepts:</w:t>
      </w:r>
      <w:r>
        <w:t xml:space="preserve"> important, question, like; EU scope visible. This is a provisional connection, not an outcome finding.</w:t>
      </w:r>
    </w:p>
    <w:p>
      <w:pPr>
        <w:pStyle w:val="SourceNote"/>
      </w:pPr>
      <w:r>
        <w:rPr>
          <w:b/>
        </w:rPr>
        <w:t>Available abstract (not full text):</w:t>
      </w:r>
      <w:r>
        <w:t xml:space="preserve"> Economics in Europe has become more international since the 1970s. To a certain extent, this internationalisation is also an ‘Americanisation’ as many European economists have adopted the standards and approaches of US economics. This prompts an important question: amidst this convergence, are there any fields that have managed to retain a distinctively European character?In this article, we use topic modelling and bibliometric coupling to identify European specialties between 1969 and 2002. We focus on macroeconomic articles published in the European Economic Review and compare their bibliographic references and textual content to what has been published in the top 5 journals.Despite economics internationalization since the 1970s, European macroeconomics displayed distinct characteristics across two distinct periods. In the late 1970s and early 1980s, European macroeconomists maintained a certain distance from US debates centered around rational expectations and new classical economics. However, they embraced the concept of microfoundations through the lens of disequilibrium theory, fostering transnational collaborations and offering a unique framework for addressing various macroeconomic issues. Nevertheless, both the prominence of new classical economics in the US and the decline of the disequilibrium approach after the mid-1980s, European macroeconomics shifted towards clos</w:t>
      </w:r>
    </w:p>
    <w:p>
      <w:pPr>
        <w:pStyle w:val="Heading2"/>
      </w:pPr>
      <w:r>
        <w:t>618. Scenario Forecasting of Agriculture Institutional Transformation on Sustainable Development Base</w:t>
      </w:r>
    </w:p>
    <w:p>
      <w:pPr>
        <w:pStyle w:val="SourceNote"/>
      </w:pPr>
      <w:r>
        <w:rPr>
          <w:b/>
        </w:rPr>
        <w:t>Original source (2021):</w:t>
      </w:r>
      <w:r>
        <w:t xml:space="preserve"> https://doi.org/10.37394/232015.2021.17.55</w:t>
      </w:r>
    </w:p>
    <w:p>
      <w:pPr/>
      <w:r>
        <w:t>Original wording (abstract; indexed_source_text_not_full_document_verified): Three scenarios of the forecast development of agricultural sector of Ukraine economy (pessimistic, realistic, and optimistic) are outlined in the article.</w:t>
      </w:r>
    </w:p>
    <w:p>
      <w:pPr/>
      <w:r>
        <w:rPr>
          <w:b/>
        </w:rPr>
        <w:t>POSSIBLE 2026:</w:t>
      </w:r>
      <w:r>
        <w:t xml:space="preserve"> Future development of ecological agriculture and regional impacts: stakeholders' perception in three French regions — https://openalex.org/W7161657619</w:t>
      </w:r>
    </w:p>
    <w:p>
      <w:pPr/>
      <w:r>
        <w:rPr>
          <w:b/>
        </w:rPr>
        <w:t>Shared claim-specific concepts:</w:t>
      </w:r>
      <w:r>
        <w:t xml:space="preserve"> three, economy; EU scope not established. This is a provisional connection, not an outcome finding.</w:t>
      </w:r>
    </w:p>
    <w:p>
      <w:pPr>
        <w:pStyle w:val="SourceNote"/>
      </w:pPr>
      <w:r>
        <w:rPr>
          <w:b/>
        </w:rPr>
        <w:t>Available abstract (not full text):</w:t>
      </w:r>
      <w:r>
        <w:t xml:space="preserve"> This paper explores possible future development of ecological approaches to farming in ten years' time and their environmental and socio-economic effects, as perceived by stakeholders, in three French regions (Puy-de-Dôme, Ille-et-Vilaine and Sarthe). Stakeholder perceptions are assessed with Q-methodology, a method that investigates similar or diverging subjective perspectives held by groups of stakeholders who are experts on the topics investigated. The method allows identify and describe several perspectives shared by experts on the future of farming practices and their environmental and socio-economic impacts for the three regions. Our study highlights the complexity of predicting the future shape of a region's agriculture and rural economy, as it depends on current trends in the region, the region's characteristics, as well as on the experts participating in the study. However, despite contradicting trends, one convergence of perception is found in terms of additional skills that will be needed on farms in the future.</w:t>
      </w:r>
    </w:p>
    <w:p>
      <w:pPr/>
      <w:r>
        <w:rPr>
          <w:b/>
        </w:rPr>
        <w:t>POSSIBLE 2026:</w:t>
      </w:r>
      <w:r>
        <w:t xml:space="preserve"> Agricultural Development and Industrialisation in South Korea: A Three-level Analysis of Productivity, Inter-sectoral Linkages, and GHGs Emissions — https://doi.org/10.25501/soas.01025535</w:t>
      </w:r>
    </w:p>
    <w:p>
      <w:pPr/>
      <w:r>
        <w:rPr>
          <w:b/>
        </w:rPr>
        <w:t>Shared claim-specific concepts:</w:t>
      </w:r>
      <w:r>
        <w:t xml:space="preserve"> three, agricultural, sector, economy; EU scope not established. This is a provisional connection, not an outcome finding.</w:t>
      </w:r>
    </w:p>
    <w:p>
      <w:pPr>
        <w:pStyle w:val="SourceNote"/>
      </w:pPr>
      <w:r>
        <w:rPr>
          <w:b/>
        </w:rPr>
        <w:t>Available abstract (not full text):</w:t>
      </w:r>
      <w:r>
        <w:t xml:space="preserve"> This thesis investigates the role of agriculture in South Korea’s developmental trajectory by situating it within a three-level analytical framework: within agriculture (productivity and innovation), beyond agriculture (inter-industrial linkages), and beyond the economy (environmental spillovers). This study seeks to re-evaluate the role and transformation of agriculture in South Korea’s development path. Instead of viewing agriculture as a marginal or secondary sector, this thesis highlights how agriculture has evolved within the broader process of industrialisation and national development by examining three key dimensions: agricultural R&amp;D, inter-sectoral linkages, and environmental dynamics. At the first level, the econometric analysis evaluates the long-run contribution of public agricultural research and development (R&amp;D) to productivity growth. A knowledge-stock variable was constructed from five decades of public R&amp;D investment, and its effects were tested against both conventional Total Factor Productivity (TFP) and Green Total Factor Productivity (GTFP), the latter incorporating greenhouse gas emissions. The results demonstrate that R&amp;D significantly enhanced TFP, but its effects on GTFP were weaker and, at times, negative—particularly during periods of input-intensive growth. This gap suggests that productivity gains were often achieved at the expense of environmenta</w:t>
      </w:r>
    </w:p>
    <w:p>
      <w:pPr/>
      <w:r>
        <w:rPr>
          <w:b/>
        </w:rPr>
        <w:t>POSSIBLE 2026:</w:t>
      </w:r>
      <w:r>
        <w:t xml:space="preserve"> Comparative Study on “Three-Dimensional Adaptation” Framework of Vocational Education Empowering the Development of Inner Mongolia’s Agricultural and Pastoral Areas — https://doi.org/10.12677/ve.2026.158336</w:t>
      </w:r>
    </w:p>
    <w:p>
      <w:pPr/>
      <w:r>
        <w:rPr>
          <w:b/>
        </w:rPr>
        <w:t>Shared claim-specific concepts:</w:t>
      </w:r>
      <w:r>
        <w:t xml:space="preserve"> three, agricultural; EU scope not established. This is a provisional connection, not an outcome finding.</w:t>
      </w:r>
    </w:p>
    <w:p>
      <w:pPr>
        <w:pStyle w:val="SourceNote"/>
      </w:pPr>
      <w:r>
        <w:rPr>
          <w:b/>
        </w:rPr>
        <w:t>Available abstract (not full text):</w:t>
      </w:r>
      <w:r>
        <w:t xml:space="preserve"> 内蒙古农牧区正处于传统畜牧业向现代生态农牧业转型的关键期，但职业教育供给与区域发展需求之间存在显著的结构性错配。本文以社会嵌入理论为分析视角，构建“空间–时间–主体”三维分析框架，系统诊断内蒙古农牧区职业教育面临的现实困境。研究发现，职业教育赋能农牧区发展的核心障碍表现为三重错配：空间上固定校区难以覆盖地广人稀的农牧区，时间上统一学期制与农牧业生产节律脱节，主体上多元利益相关者缺乏协同联结机制。通过比较分析澳大利亚TAFE模式与黑龙江农垦职业教育体系，提炼出“供给随人走、教学随农时、利益共同体”的共性经验。据此，本文构建了包含空间适配、时间适配、主体适配三维度的“三维适配”框架，并阐释了三者循环互促的协同机制。在此基础上，本文进一步分析了框架实施可能面临的财政、制度与文化障碍，并提出试点先行、分步推广的突破路径，为边疆民族地区职业教育精准服务乡村振兴提供理论参照。Inner Mongolia’s agricultural and pastoral areas are transitioning from traditional animal husbandry to modern ecological agriculture, yet a structural mismatch persists between vocational education supply and regional development needs. Applying social embeddedness theory, this paper constructs a “space-time-subject” analytical framework to diagnose the dilemmas facing vocational education in these regions. The study identifies three core mismatches: spatially, fixed campuses fail to cover sparsely populated pastoral areas; temporally, the uniform semester system conflicts with agricultural production rhythms; and institutionally, stakeholders lack collaborative mechanisms. Through a comparative analysis of Australia’s TAFE model and Heilongjiang’s State Farm vocational education system, the paper extracts common experiences, such as “supply following people, teaching following seasons, and shared interests”, and develops a “Three-Dimensional Adaptation” framework. This framework elucidates the mu</w:t>
      </w:r>
    </w:p>
    <w:p>
      <w:pPr/>
      <w:r>
        <w:rPr>
          <w:b/>
        </w:rPr>
        <w:t>POSSIBLE 2026:</w:t>
      </w:r>
      <w:r>
        <w:t xml:space="preserve"> Research on the Practical Challenges and Optimization Pathways for the Digital Transformation of Agricultural Supply Chains in the Context of Digital Village Development—Based on Field Surveys Conducted across Three Districts of Hangzhou — https://doi.org/10.12677/mm.2026.1610219</w:t>
      </w:r>
    </w:p>
    <w:p>
      <w:pPr/>
      <w:r>
        <w:rPr>
          <w:b/>
        </w:rPr>
        <w:t>Shared claim-specific concepts:</w:t>
      </w:r>
      <w:r>
        <w:t xml:space="preserve"> three, agricultural; EU scope not established. This is a provisional connection, not an outcome finding.</w:t>
      </w:r>
    </w:p>
    <w:p>
      <w:pPr>
        <w:pStyle w:val="SourceNote"/>
      </w:pPr>
      <w:r>
        <w:rPr>
          <w:b/>
        </w:rPr>
        <w:t>Available abstract (not full text):</w:t>
      </w:r>
      <w:r>
        <w:t xml:space="preserve"> Based on field research in Yuhang District, Qiantang District, and Xiaoshan District of Hangzhou, we gathered first-hand data through surveys and in-depth interviews.We systematically reviewed the practical results of digital transformation in the agricultural supply chain across production, processing, and distribution, and analyzed the main issues currently faced.The study shows that digital reform has made some progress in improving production efficiency, reducing distribution losses, and increasing product premiums, but there are still real challenges like insufficient adaptation of tech tools to agricultural scenarios, poor data coordination across the industry chain, and difficulties for small and medium-sized players in transforming.Based on this, recommendations were made to optimize policy support, promote technology penetration, break down data barriers, and strengthen talent backing, aiming to provide a Zhejiang sample for advancing digital transformation in the agricultural supply chain.</w:t>
      </w:r>
    </w:p>
    <w:p>
      <w:pPr/>
      <w:r>
        <w:rPr>
          <w:b/>
        </w:rPr>
        <w:t>POSSIBLE 2025:</w:t>
      </w:r>
      <w:r>
        <w:t xml:space="preserve"> Effect and mechanism of the "Three Rights Separation" of agricultural land in empowering the neo-endogenous agricultural and rural development — https://doi.org/10.31497/zrzyxb.20250706</w:t>
      </w:r>
    </w:p>
    <w:p>
      <w:pPr/>
      <w:r>
        <w:rPr>
          <w:b/>
        </w:rPr>
        <w:t>Shared claim-specific concepts:</w:t>
      </w:r>
      <w:r>
        <w:t xml:space="preserve"> three, agricultural; EU scope not established. This is a provisional connection, not an outcome finding.</w:t>
      </w:r>
    </w:p>
    <w:p>
      <w:pPr>
        <w:pStyle w:val="SourceNote"/>
      </w:pPr>
      <w:r>
        <w:rPr>
          <w:b/>
        </w:rPr>
        <w:t>Available abstract (not full text):</w:t>
      </w:r>
      <w:r>
        <w:t xml:space="preserve"> Neo-endogenous development is an important way to realise the modernization of agriculture and rural areas, and the reform of the land property rights system plays an important role in activating the internal and external development momentum of agriculture and rural areas. Based on the multi-period double-difference method, the study analyses and examines the impact of "Three Rights Separation" of agricultural land on the neo-endogenous development of agriculture and rural areas and its mechanism of action using balanced panel data of 206 prefecture-level cities in China from 2008 to 2022. The study finds that: (1) "Three Rights Separation" of agricultural land significantly improves the level of neo-endogenous development in agriculture and rural areas. (2) Promoting land scale and attracting capital investment are two important channels through which we can exert the policy effect of "Three Rights Separation" of agricultural land. (3) "Three Rights Separation" of agricultural land has significantly raised the level of neo-endogenous development in agriculture and rural areas. (4) "Three Rights Separation" of agricultural land will enhance the level of neo-endogenous development of agriculture and rural areas to a greater extent in areas with a lower degree of deepening of agricultural capital and better scientific and educational environments, and the policy effect will not </w:t>
      </w:r>
    </w:p>
    <w:p>
      <w:pPr/>
      <w:r>
        <w:rPr>
          <w:b/>
        </w:rPr>
        <w:t>POSSIBLE 2025:</w:t>
      </w:r>
      <w:r>
        <w:t xml:space="preserve"> Nexus between stock market and agricultural sector development in Nigeria and South Africa: Accounting for three-regime marginal-threshold effects — https://doi.org/10.1016/j.sciaf.2025.e02575</w:t>
      </w:r>
    </w:p>
    <w:p>
      <w:pPr/>
      <w:r>
        <w:rPr>
          <w:b/>
        </w:rPr>
        <w:t>Shared claim-specific concepts:</w:t>
      </w:r>
      <w:r>
        <w:t xml:space="preserve"> three, agricultural, sector; EU scope not established. This is a provisional connection, not an outcome finding.</w:t>
      </w:r>
    </w:p>
    <w:p>
      <w:pPr>
        <w:pStyle w:val="SourceNote"/>
      </w:pPr>
      <w:r>
        <w:rPr>
          <w:b/>
        </w:rPr>
        <w:t>Available abstract (not full text):</w:t>
      </w:r>
      <w:r>
        <w:t xml:space="preserve"> This study empirically examined the link between stock market development and agricultural sector development, accounting for the effect of a three-regime marginal and threshold of interest rate, inflation and exchange rates. The study utilized annual time series data, focusing on two African countries – Nigeria and South Africa for the period 1980 to 2021. The dynamic Autoregressive Distributed Lag (ARDL) estimation technique was adopted as a baseline model while FM-OLS was employed for the sensitivity test. The findings from the baseline model revealed a significant long-run positive association between market capitalization, all-share index, value of traded shares, and agricultural development. However, the turnover ratio was insignificant but exhibited a significant long-run relationship when the interaction effects of interest rate, inflation, and exchange rate were controlled for. The FM-OLS sensitivity estimates were found to coincide with the earlier results. At the country level, evidence from the baseline and sensitivity model revealed that market capitalization and the all-share index in Nigeria have a significant positive link with agricultural development, whereas all measures of stock market development in SA were positively and significantly related to agricultural development. The study recommends policies that promote stock market development to boost its contr</w:t>
      </w:r>
    </w:p>
    <w:p>
      <w:pPr/>
      <w:r>
        <w:rPr>
          <w:b/>
        </w:rPr>
        <w:t>POSSIBLE 2025:</w:t>
      </w:r>
      <w:r>
        <w:t xml:space="preserve"> Nexus Between Stock Market and Agricultural Sector Development in Nigeria and South Africa: Accounting for Three-Regime Marginal-Threshold Effects — https://doi.org/10.2139/ssrn.5336669</w:t>
      </w:r>
    </w:p>
    <w:p>
      <w:pPr/>
      <w:r>
        <w:rPr>
          <w:b/>
        </w:rPr>
        <w:t>Shared claim-specific concepts:</w:t>
      </w:r>
      <w:r>
        <w:t xml:space="preserve"> agricultural, sector;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Prospects of the renewable economy as a “green” vector of sustainable development of the national economy of Ukraine — https://doi.org/10.35774/visnyk2025.02.259</w:t>
      </w:r>
    </w:p>
    <w:p>
      <w:pPr/>
      <w:r>
        <w:rPr>
          <w:b/>
        </w:rPr>
        <w:t>Shared claim-specific concepts:</w:t>
      </w:r>
      <w:r>
        <w:t xml:space="preserve"> three, sector, ukraine, economy, article; EU scope not established. This is a provisional connection, not an outcome finding.</w:t>
      </w:r>
    </w:p>
    <w:p>
      <w:pPr>
        <w:pStyle w:val="SourceNote"/>
      </w:pPr>
      <w:r>
        <w:rPr>
          <w:b/>
        </w:rPr>
        <w:t>Available abstract (not full text):</w:t>
      </w:r>
      <w:r>
        <w:t xml:space="preserve"> Introduction. In the context of global environmental challenges, energy security and national well-being, the issue of developing renewable energy sources (RES) is gaining priority for state development strategies. Ukraine, as a state with powerful natural resource potential, faces the challenges of energy transformation, which are determined by both foreign policy factors and internal socio-economic prerequisites. Purpose. Substantiation of the prospects for the development of renewable energy as a key direction of the «green» vector of sustainable development of the national economy of Ukraine. Methods. The research used a set of general scientific and special methods: methods of analysis and synthesis – for a theoretical understanding of the concept of sustainable development and the role of RES in its implementation; comparative analysis –for studying international experience in developing «green» energy and adapting it to Ukrainian realities; statistical method – for assessing the dynamics of the implementation of RES in Ukraine; the method of a systems approach – for considering renewable energy as a component of economic, environmental and social subsystems of sustainable development. Results. The article reveals that the system of development of renewable energy sources has great potential for the modernization of the energy sector of Ukraine. It is determined that inve</w:t>
      </w:r>
    </w:p>
    <w:p>
      <w:pPr/>
      <w:r>
        <w:rPr>
          <w:b/>
        </w:rPr>
        <w:t>POSSIBLE 2025:</w:t>
      </w:r>
      <w:r>
        <w:t xml:space="preserve"> DEVELOPMENT OF THE AGRICULTURAL SECTOR OF THE ECONOMY OF UKRAINE IN THE CONDITIONS OF EUROPEAN INTEGRATION — https://doi.org/10.37332/2309-1533.2025.3.3</w:t>
      </w:r>
    </w:p>
    <w:p>
      <w:pPr/>
      <w:r>
        <w:rPr>
          <w:b/>
        </w:rPr>
        <w:t>Shared claim-specific concepts:</w:t>
      </w:r>
      <w:r>
        <w:t xml:space="preserve"> three, agricultural, sector, ukraine, economy, pessimistic; EU scope visible. This is a provisional connection, not an outcome finding.</w:t>
      </w:r>
    </w:p>
    <w:p>
      <w:pPr>
        <w:pStyle w:val="SourceNote"/>
      </w:pPr>
      <w:r>
        <w:rPr>
          <w:b/>
        </w:rPr>
        <w:t>Available abstract (not full text):</w:t>
      </w:r>
      <w:r>
        <w:t xml:space="preserve"> Voloshchuk K.B., Voloshchuk V.R., Ilash O.M. DEVELOPMENT OF THE AGRICULTURAL SECTOR OF THE ECONOMY OF UKRAINE IN THE CONDITIONS OF EUROPEAN INTEGRATION Purpose. The aim of the article is to identify the main trends, consequences and deepen scientific approaches to substantiating scenarios for the development of the agricultural sector of Ukraine, while simultaneously identifying new opportunities for exporting products that are opening up in the context of European integration. Methodology of research. The following methods were used in the research process: analysis and synthesis – when studying the complex multi-component process of development of the agricultural sector of Ukraine, which requires harmonization of legal, economic and technical components in the context of European integration; dialectical and monographic – when studying the experience of the EU and Ukraine; using SWOT analysis, an interpretation of strengths and weaknesses, opportunities and threats was carried out; the Monte Carlo method was used to interpret the probability distribution of possible development scenarios; abstract and logical – when forming conclusions and proposals. Findings. Three possible scenarios for the development of the agricultural sector of the Ukrainian economy in the context of European integration have been identified: optimistic – expanding access to the EU and world markets, i</w:t>
      </w:r>
    </w:p>
    <w:p>
      <w:pPr/>
      <w:r>
        <w:rPr>
          <w:b/>
        </w:rPr>
        <w:t>POSSIBLE 2025:</w:t>
      </w:r>
      <w:r>
        <w:t xml:space="preserve"> Green Economy in Ukraine: Main Challenges and Prospects for Development in Wartime Conditions — https://doi.org/10.12958/1817-3772-2025-2(80)-14-18</w:t>
      </w:r>
    </w:p>
    <w:p>
      <w:pPr/>
      <w:r>
        <w:rPr>
          <w:b/>
        </w:rPr>
        <w:t>Shared claim-specific concepts:</w:t>
      </w:r>
      <w:r>
        <w:t xml:space="preserve"> three, ukraine, economy, article; EU scope visible. This is a provisional connection, not an outcome finding.</w:t>
      </w:r>
    </w:p>
    <w:p>
      <w:pPr>
        <w:pStyle w:val="SourceNote"/>
      </w:pPr>
      <w:r>
        <w:rPr>
          <w:b/>
        </w:rPr>
        <w:t>Available abstract (not full text):</w:t>
      </w:r>
      <w:r>
        <w:t xml:space="preserve"> The article explores the essence of the concept of «green economy». Its main goal is determined – achieving sustainable development based on three components: ecological, economic and social. The main characteristics of a «green» economy have been formed: efficient use of natural resources, preservation and increase of natural capital, reduction of pollution, low carbon emissions, prevention of loss of ecosystem services and biodiversity, growth of income and employment, etc. The ranking of countries according to the «Green Future Index» was analyzed. The top 10 countries in terms of environmental sustainability were determined, which are Iceland, Finland and Norway. It was found that Ukraine demonstrates an initial level of preparation in the field of the environment and climate change and occupies only 63rd place in the ranking out of 79 countries. The reasons for Ukraine's low position are well-founded: an imperfect regulatory framework, war in the country, limited financial resources, fragmentation of environmental policy, insufficient state support for green initiatives, and the lack of a strategic vision in the field of climate policy. It has been proven that the green economy remains a promising direction for the economic recovery and sustainable development of Ukraine. Its effective development is possible under the condition of sustainable development of all industries</w:t>
      </w:r>
    </w:p>
    <w:p>
      <w:pPr/>
      <w:r>
        <w:rPr>
          <w:b/>
        </w:rPr>
        <w:t>POSSIBLE 2025:</w:t>
      </w:r>
      <w:r>
        <w:t xml:space="preserve"> New pathways for “three rural” development: private sector forces and technological engines drive agricultural modernization — https://doi.org/10.15302/j-fase-2025616</w:t>
      </w:r>
    </w:p>
    <w:p>
      <w:pPr/>
      <w:r>
        <w:rPr>
          <w:b/>
        </w:rPr>
        <w:t>Shared claim-specific concepts:</w:t>
      </w:r>
      <w:r>
        <w:t xml:space="preserve"> three, agricultural, sector;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Achieving inclusive digital development: A frugal strategy based on lessons from three West African smallholder agriculture value chains — https://doi.org/10.1016/j.techfore.2025.124287</w:t>
      </w:r>
    </w:p>
    <w:p>
      <w:pPr/>
      <w:r>
        <w:rPr>
          <w:b/>
        </w:rPr>
        <w:t>Shared claim-specific concepts:</w:t>
      </w:r>
      <w:r>
        <w:t xml:space="preserve"> three, article; EU scope not established. This is a provisional connection, not an outcome finding.</w:t>
      </w:r>
    </w:p>
    <w:p>
      <w:pPr>
        <w:pStyle w:val="SourceNote"/>
      </w:pPr>
      <w:r>
        <w:rPr>
          <w:b/>
        </w:rPr>
        <w:t>Available abstract (not full text):</w:t>
      </w:r>
      <w:r>
        <w:t xml:space="preserve"> This article has two objectives. One is to examine mechanisms of inclusion and exclusion that arise despite the widespread diffusion of digital devices and supporting infrastructure. The second is to propose expanding the perspective on digital inclusion to consider users of digital technologies within their environment. Recognizing that innovation diffusion processes can exacerbate existing inequalities and/or create new ones, this study aims to assist researchers and practitioners in preventing potential negative impacts of digitalization. Using digital divides and digital inclusion frameworks, we examine three value chains in three West African countries using mixed methods. The findings reveal that communication networks and phones are increasingly available, yet traditional digital divides persist in all three value chains. Although the value chains share similarities in their challenges and opportunities, the needs of the actors involved vary. The discussion underscores two key points: first, the efficacy of digital solutions hinges upon their alignment with collective habits and capacities; and second, solutions should prioritize frugality, particularly when designing digital technologies for producers who have limited yet valuable digital skills. These insights highlight the importance of tailoring digital interventions to local contexts and use habits.</w:t>
      </w:r>
    </w:p>
    <w:p>
      <w:pPr>
        <w:pStyle w:val="Heading2"/>
      </w:pPr>
      <w:r>
        <w:t>619. Scenario forecasting of consumption of main organic livestock products in Ukraine</w:t>
      </w:r>
    </w:p>
    <w:p>
      <w:pPr>
        <w:pStyle w:val="SourceNote"/>
      </w:pPr>
      <w:r>
        <w:rPr>
          <w:b/>
        </w:rPr>
        <w:t>Original source (2021):</w:t>
      </w:r>
      <w:r>
        <w:t xml:space="preserve"> https://doi.org/10.51599/are.2021.07.03.02</w:t>
      </w:r>
    </w:p>
    <w:p>
      <w:pPr/>
      <w:r>
        <w:t>Original wording (abstract; indexed_source_text_not_full_document_verified): According to the systemic variant in Ukraine for the period up to 2025 the forecasted capacity of the internal market for organic meat and meat products (in terms of meat) will amount to 3.26 bln UAH; organic milk, dairy products and butter (in terms of milk) will amount to 2.65 bln UAH; organic eggs will amount to 0.47 bln UAH. In general, the market potential capacity of the main types of organic livestock products (at prices in 2019) will be 6.38 bln UAH (0.2 bln Euro) or 151.9 UAH (4.9 Euro) per one person.</w:t>
      </w:r>
    </w:p>
    <w:p>
      <w:pPr/>
      <w:r>
        <w:rPr>
          <w:b/>
        </w:rPr>
        <w:t>POSSIBLE 2026:</w:t>
      </w:r>
      <w:r>
        <w:t xml:space="preserve"> When climate risk affects the systemic risk of the insurance sector: ∆CoVaR forecasting — https://doi.org/10.1007/s00477-026-03350-8</w:t>
      </w:r>
    </w:p>
    <w:p>
      <w:pPr/>
      <w:r>
        <w:rPr>
          <w:b/>
        </w:rPr>
        <w:t>Shared claim-specific concepts:</w:t>
      </w:r>
      <w:r>
        <w:t xml:space="preserve"> systemic, period, forecasted, potential; EU scope not established. This is a provisional connection, not an outcome finding.</w:t>
      </w:r>
    </w:p>
    <w:p>
      <w:pPr>
        <w:pStyle w:val="SourceNote"/>
      </w:pPr>
      <w:r>
        <w:rPr>
          <w:b/>
        </w:rPr>
        <w:t>Available abstract (not full text):</w:t>
      </w:r>
      <w:r>
        <w:t xml:space="preserve"> Climate change is increasingly recognized as a potential source of financial instability, yet its implications for systemic risk in the insurance sector remain insufficiently understood. This study combines a Copula–DCC–GARCH framework with the ∆CoVaR measure to examine whether climate-related catastrophic events are associated with insurers’ contributions to systemic risk. Using weekly data for the ten largest global insurers over the period 2004–2024, we compare ∆CoVaR estimates across catastrophe and non-catastrophe periods under normal and crisis market conditions. The results indicate that catastrophe occurrence exhibits only a limited association with insurers’ systemic-risk contributions during normal market conditions but is associated with substantially stronger contributions during periods of financial stress. The analysis also reveals considerable heterogeneity across globally significant insurers, indicating that the magnitude of this association differs markedly across companies. To assess the robustness of these findings and provide a forward-looking perspective, we employ Generalized Additive Models for Location, Scale and Shape (GAMLSS). The scenario-based forecasting framework shows how insurers’ expected systemic-risk contributions evolve under alternative market and catastrophe conditions and consistently identifies the crisis–catastrophe scenario as being as</w:t>
      </w:r>
    </w:p>
    <w:p>
      <w:pPr/>
      <w:r>
        <w:rPr>
          <w:b/>
        </w:rPr>
        <w:t>POSSIBLE 2026:</w:t>
      </w:r>
      <w:r>
        <w:t xml:space="preserve"> Forecasting the dynamics of food security indicators in Ukraine during the wartime period of 2025-2026 — https://doi.org/10.32317/ekon.apk/1.2026.20</w:t>
      </w:r>
    </w:p>
    <w:p>
      <w:pPr/>
      <w:r>
        <w:rPr>
          <w:b/>
        </w:rPr>
        <w:t>Shared claim-specific concepts:</w:t>
      </w:r>
      <w:r>
        <w:t xml:space="preserve"> according, ukraine, period, products, eggs; EU scope not established. This is a provisional connection, not an outcome finding.</w:t>
      </w:r>
    </w:p>
    <w:p>
      <w:pPr>
        <w:pStyle w:val="SourceNote"/>
      </w:pPr>
      <w:r>
        <w:rPr>
          <w:b/>
        </w:rPr>
        <w:t>Available abstract (not full text):</w:t>
      </w:r>
      <w:r>
        <w:t xml:space="preserve"> This article focuses on forecasting key food security indicators for Ukraine in 2025-2026 under conditions of wartime uncertainty. The aim of the study was to develop adaptive forecasting models that made it possible to assess the impact of wartime shocks and to determine possible trajectories for the recovery of the food system in the medium term. The methodology was based on the combined application of three classical time series models – linear trend, exponential smoothing, and the autoregressive integrated moving average model. For each indicator, three alternative forecasting models were constructed based on annual data up to 2022, and their accuracy was evaluated using the criteria of mean absolute percentage error, root mean square error, and the AIC information criterion. Given the absence of official statistics for 2022-2026, the baseline forecasts were adjusted according to a “partial recovery” scenario, which took into account a short-term decline (2022) and gradual stabilisation of indicators in 2023-2026. The results obtained indicated that in 2025-2026 the food system of Ukraine demonstrated signs of stabilisation; however, a full return to the pre-war trajectory did not occur. In particular, the daily energy value of the diet amounted to 2,596 kcal in 2025 and increased to 2,650 kcal in 2026, approaching the 2021 level. The adequacy index of consumption for most </w:t>
      </w:r>
    </w:p>
    <w:p>
      <w:pPr/>
      <w:r>
        <w:rPr>
          <w:b/>
        </w:rPr>
        <w:t>POSSIBLE 2026:</w:t>
      </w:r>
      <w:r>
        <w:t xml:space="preserve"> Novel pathogenic CTLA4 missense variant associated with autoimmune enteropathy and systemic immune dysregulation — https://doi.org/10.3389/fimmu.2026.1855020</w:t>
      </w:r>
    </w:p>
    <w:p>
      <w:pPr/>
      <w:r>
        <w:rPr>
          <w:b/>
        </w:rPr>
        <w:t>Shared claim-specific concepts:</w:t>
      </w:r>
      <w:r>
        <w:t xml:space="preserve"> systemic, variant, capacity; EU scope not established. This is a provisional connection, not an outcome finding.</w:t>
      </w:r>
    </w:p>
    <w:p>
      <w:pPr>
        <w:pStyle w:val="SourceNote"/>
      </w:pPr>
      <w:r>
        <w:rPr>
          <w:b/>
        </w:rPr>
        <w:t>Available abstract (not full text):</w:t>
      </w:r>
      <w:r>
        <w:t xml:space="preserve"> Background: , yet the structure-function relationships underlying individual pathogenic variants remain incompletely understood. Methods: We performed whole-exome sequencing on a patient with adolescent-onset autoimmune enteropathy, early-onset gastric malignancy and multisystem comorbidities, who was initially misdiagnosed with Crohn's disease and refractory to multiple biologics. Functional assays assessed CTLA4 dimerization and CD80/CD86 binding capacity. Peripheral blood immunophenotyping was conducted using CyTOF and flow cytometry. Intestinal histopathology was evaluated by immunohistochemistry. The patient subsequently received targeted therapy with abatacept. Results: (c.167T&gt;G, p.Phe56Cys) was identified. Functional assays demonstrated that this variant impairs CTLA4 protein dimerization and its binding capacity to CD80/CD86, establishing loss-of-function as the molecular basis of pathogenicity. Comprehensive peripheral blood immunophenotyping by CyTOF revealed a broad adaptive immune dysregulation landscape, characterized by depletion of regulatory T cells (Tregs), γδ T cells, and CD161+ cytotoxic-like CD8+ T cells. Flow cytometry confirmed reduction in CD4+CD25+Foxp3+ Treg cells along with decreased CTLA4 expression. Intestinal histopathology showed crypt apoptosis with T cell-predominant infiltration, distinct from classic inflammatory bowel disease. Notably, target</w:t>
      </w:r>
    </w:p>
    <w:p>
      <w:pPr/>
      <w:r>
        <w:rPr>
          <w:b/>
        </w:rPr>
        <w:t>POSSIBLE 2026:</w:t>
      </w:r>
      <w:r>
        <w:t xml:space="preserve"> MODELS AND METHODS FOR HEALTHCARE RESOURCE FORECASTING IN URBAN AGGLOMERATIONS: A LITERARY REVIEW — https://doi.org/10.64854/2790-1289-2026-52-2-09</w:t>
      </w:r>
    </w:p>
    <w:p>
      <w:pPr/>
      <w:r>
        <w:rPr>
          <w:b/>
        </w:rPr>
        <w:t>Shared claim-specific concepts:</w:t>
      </w:r>
      <w:r>
        <w:t xml:space="preserve"> according, systemic, period; EU scope not established. This is a provisional connection, not an outcome finding.</w:t>
      </w:r>
    </w:p>
    <w:p>
      <w:pPr>
        <w:pStyle w:val="SourceNote"/>
      </w:pPr>
      <w:r>
        <w:rPr>
          <w:b/>
        </w:rPr>
        <w:t>Available abstract (not full text):</w:t>
      </w:r>
      <w:r>
        <w:t xml:space="preserve"> Relevance. Population growth in urban agglomerations creates a quantifiable gap between the demand for medical care and the availability of personnel, medicines, financial resources, and logistical support. The Almaty agglomeration is home to approximately 3.5 million residents, with a projected population of 4.5 million by 2030. According to the Ministry of Health of the Republic of Kazakhstan, in 2023, the shortage of physicians amounted to 4,864 positions, and the concurrent employment rate reached 1.4, reflecting systemic staff overload. Objective. To analyze current models for forecasting healthcare resource needs in urban agglomerations, with a focus on machine learning tools, and to assess their applicability to the conditions of the Almaty agglomeration. Materials and methods: A literature search was conducted in the PubMed, Scopus, Web of Science Core Collection, and WHO IRIS databases for the period from January, 2010 to March, 2026. The review included original studies, systematic reviews, and WHO/OECD methodological reports containing quantitative predictive models with accuracy metrics (MAE, RMSE, MAPE, AUROC, R²) at the level of urban agglomerations or regions with an urbanization rate ≥ 50%. Of the 1,286 records identified, 57 publications were included in the review. Results. Statistical models were the most common (40.4%), followed by supervised machine learnin</w:t>
      </w:r>
    </w:p>
    <w:p>
      <w:pPr/>
      <w:r>
        <w:rPr>
          <w:b/>
        </w:rPr>
        <w:t>POSSIBLE 2026:</w:t>
      </w:r>
      <w:r>
        <w:t xml:space="preserve"> Systemic Risk Surveillance — https://doi.org/10.48550/arxiv.2601.08598</w:t>
      </w:r>
    </w:p>
    <w:p>
      <w:pPr/>
      <w:r>
        <w:rPr>
          <w:b/>
        </w:rPr>
        <w:t>Shared claim-specific concepts:</w:t>
      </w:r>
      <w:r>
        <w:t xml:space="preserve"> systemic, period; EU scope not established. This is a provisional connection, not an outcome finding.</w:t>
      </w:r>
    </w:p>
    <w:p>
      <w:pPr>
        <w:pStyle w:val="SourceNote"/>
      </w:pPr>
      <w:r>
        <w:rPr>
          <w:b/>
        </w:rPr>
        <w:t>Available abstract (not full text):</w:t>
      </w:r>
      <w:r>
        <w:t xml:space="preserve"> Following several episodes of financial market turmoil in recent decades, changes in systemic risk have drawn growing attention. Therefore, we propose surveillance schemes for systemic risk, which allow to detect misspecified systemic risk forecasts in an "online" fashion. This enables daily monitoring of the forecasts while controlling for the accumulation of false test rejections. Such online schemes are vital in taking timely countermeasures to avoid financial distress. Our monitoring procedures allow multiple series at once to be monitored, thus increasing the likelihood and the speed at which early signs of trouble may be picked up. The tests hold size by construction, such that the null of correct systemic risk assessments is only rejected during the monitoring period with (at most) a pre-specified probability. Monte Carlo simulations illustrate the good finite-sample properties of our procedures. An empirical application to US banks during multiple crises demonstrates the usefulness of our surveillance schemes for both regulators and financial institutions.</w:t>
      </w:r>
    </w:p>
    <w:p>
      <w:pPr/>
      <w:r>
        <w:rPr>
          <w:b/>
        </w:rPr>
        <w:t>POSSIBLE 2025:</w:t>
      </w:r>
      <w:r>
        <w:t xml:space="preserve"> Influence of Multidrug Resistance 1 Gene Variants on Response to Intravenous Methylprednisolone Pulse in Systemic Lupus Erythematosus Patients: Preliminary Results — https://doi.org/10.2174/0115733971345970241107114732</w:t>
      </w:r>
    </w:p>
    <w:p>
      <w:pPr/>
      <w:r>
        <w:rPr>
          <w:b/>
        </w:rPr>
        <w:t>Shared claim-specific concepts:</w:t>
      </w:r>
      <w:r>
        <w:t xml:space="preserve"> according, systemic, variant; EU scope not established. This is a provisional connection, not an outcome finding.</w:t>
      </w:r>
    </w:p>
    <w:p>
      <w:pPr>
        <w:pStyle w:val="SourceNote"/>
      </w:pPr>
      <w:r>
        <w:rPr>
          <w:b/>
        </w:rPr>
        <w:t>Available abstract (not full text):</w:t>
      </w:r>
      <w:r>
        <w:t xml:space="preserve"> INTRODUCTION/OBJECTIVES: , and the response to intravenous methylprednisolone in Egyptian patients with active systemic lupus erythematosus (SLE). METHODS: Real-time polymerase chain reaction was used. Patients were divided into responders and resistant based on the SLE Disease Activity Index (SLEDAI). The degree of improvement was determined according to a 7-point Likert scale. RESULTS: The study included 80 patients: 40 patients with renal flares and 40 patients with extrarenal flares. In patients with extrarenal flares, 71.4% of responders had the CT+TT model of the C1236T variant versus 36.8% of resistant patients (p = 0.028); the T allele was detected in 47.6% of responders versus 23.7% of resistant patients (p = 0.026). Patients with the TT and CT genotypes, TT+CT model, and T allele of the C1236T variant had significant improvement based on the Likert scale compared with the CC genotype, CC model and C allele (p = 0.049, 0.038, 0.010 and &lt;0.001, respectively). In the renal subgroup, patients with the CC genotype and C allele of the C3435T variant had significant improvement based on the Likert scale compared with the CT genotype and T allele (p = 0.028 and 0.046, respectively). Patients with the CC model had significantly lower post-treatment proteinuria compared with the TT+CT model (p = 0.024). CONCLUSION: MDR1 C1236T variant allele and C3435T wild allele seem to enhan</w:t>
      </w:r>
    </w:p>
    <w:p>
      <w:pPr/>
      <w:r>
        <w:rPr>
          <w:b/>
        </w:rPr>
        <w:t>POSSIBLE 2025:</w:t>
      </w:r>
      <w:r>
        <w:t xml:space="preserve"> Predictive Value of Systemic Inflammatory Markers in the Prognosis of Prostate Cancer with Variant Histology. — https://doi.org/10.22037/uj.v22i.8378</w:t>
      </w:r>
    </w:p>
    <w:p>
      <w:pPr/>
      <w:r>
        <w:rPr>
          <w:b/>
        </w:rPr>
        <w:t>Shared claim-specific concepts:</w:t>
      </w:r>
      <w:r>
        <w:t xml:space="preserve"> systemic, variant, potential; EU scope not established. This is a provisional connection, not an outcome finding.</w:t>
      </w:r>
    </w:p>
    <w:p>
      <w:pPr>
        <w:pStyle w:val="SourceNote"/>
      </w:pPr>
      <w:r>
        <w:rPr>
          <w:b/>
        </w:rPr>
        <w:t>Available abstract (not full text):</w:t>
      </w:r>
      <w:r>
        <w:t xml:space="preserve"> OBJECTIVE: This study aimed to investigate the potential role of systemic inflammatory markers in the management of Prostate Cancer (PCA) with variant pathology. MATERIALS AND METHODS: A retrospective analysis was conducted on 302 patients who underwent radical prostatectomy between 2014 and 2023. After applying exclusion criteria, 279 patients were included: 207 with adenocarcinoma and 72 with variant pathologies. Systemic inflammatory markers such as Neutrophil-to-Lymphocyte Ratio (NLR), Platelet-to-Lymphocyte Ratio (PLR), Systemic Immune-Inflammation Index (SII), and Systemic Inflammation Response Index (SIRI) were compared between the groups. RESULTS: Patients in the variant group were significantly older (p = 0.005). The frequencies of lymphovascular invasion (LVI), perineural invasion (PNI), and positive surgical margins (SM) were significantly higher in the variant histology group (p &lt; 0.001, p = 0.014, and p &lt; 0.001, respectively), as were ISUP grades (p &lt; 0.001). Pretreatment PSA values were also significantly higher in the variant group (p &lt; 0.001), as was the rate of subsequent radiotherapy (p &lt; 0.001). However, no significant differences were found in NLR, PLR, SIRI, or SII values between the groups. Recurrence rates were significantly higher in the variant group (p &lt; 0.05), but overall mortality did not differ. CONCLUSION: Systemic inflammation markers have limited</w:t>
      </w:r>
    </w:p>
    <w:p>
      <w:pPr/>
      <w:r>
        <w:rPr>
          <w:b/>
        </w:rPr>
        <w:t>POSSIBLE 2025:</w:t>
      </w:r>
      <w:r>
        <w:t xml:space="preserve"> Systemic Mastocytosis: Current Status and Challenges in 2024 — https://doi.org/10.1182/bloodadvances.2024012612</w:t>
      </w:r>
    </w:p>
    <w:p>
      <w:pPr/>
      <w:r>
        <w:rPr>
          <w:b/>
        </w:rPr>
        <w:t>Shared claim-specific concepts:</w:t>
      </w:r>
      <w:r>
        <w:t xml:space="preserve"> according, systemic, main; EU scope not established. This is a provisional connection, not an outcome finding.</w:t>
      </w:r>
    </w:p>
    <w:p>
      <w:pPr>
        <w:pStyle w:val="SourceNote"/>
      </w:pPr>
      <w:r>
        <w:rPr>
          <w:b/>
        </w:rPr>
        <w:t>Available abstract (not full text):</w:t>
      </w:r>
      <w:r>
        <w:t xml:space="preserve"> ABSTRACT: Systemic mastocytosis (SM) is a rare disease and has had significant discoveries in its biology, prognostication, and management in the past 2 decades. The latest update of the World Health Organization classification and the new International Consensus Classification are current standards in the diagnosis and prognostication of SM. In clinical practice, SM can be divided into 2 main categories: nonadvanced SM (nonAdvSM) and advanced SM (AdvSM). The integration of clinical signs and symptoms as well as bone marrow morphologic, immunophenotypic, and molecular results is required to diagnose SM variants. In the modern era, data with KIT inhibitors (ie, avapritinib) suggest prolongation of survival in AdvSM. Although this is encouraging progress, and we now have effective drugs for managing both patients with indolent SM and AdvSM, there are remaining challenges in SM. For example, optimal initial treatment in certain patient subsets, such as SM with an associated hematologic neoplasm (SM-AHN), remains under debate (eg, treatments targeting AHN or SM, monotherapy, or combinations). Prospective studies evaluating drugs with different mechanisms of action are needed for such patients. This review provides an updated overview of SM, including the latest methods for diagnosis, patient classification based on their prognosis, and management according to the most significant c</w:t>
      </w:r>
    </w:p>
    <w:p>
      <w:pPr/>
      <w:r>
        <w:rPr>
          <w:b/>
        </w:rPr>
        <w:t>POSSIBLE 2025:</w:t>
      </w:r>
      <w:r>
        <w:t xml:space="preserve"> Digital Health: Forecast for 2025-2030. — https://doi.org/10.29188/2712-9217-2025-11-3-7-18</w:t>
      </w:r>
    </w:p>
    <w:p>
      <w:pPr/>
      <w:r>
        <w:rPr>
          <w:b/>
        </w:rPr>
        <w:t>Shared claim-specific concepts:</w:t>
      </w:r>
      <w:r>
        <w:t xml:space="preserve"> systemic, period, main; EU scope not established. This is a provisional connection, not an outcome finding.</w:t>
      </w:r>
    </w:p>
    <w:p>
      <w:pPr>
        <w:pStyle w:val="SourceNote"/>
      </w:pPr>
      <w:r>
        <w:rPr>
          <w:b/>
        </w:rPr>
        <w:t>Available abstract (not full text):</w:t>
      </w:r>
      <w:r>
        <w:t xml:space="preserve"> This report presents a forecast for the development of digital healthcare for the period 2025–2030, based exclusively on the principles of evidence-based medicine (EBM) and an analysis of regulatory trends. The years 2025–2030 will mark a fundamental transition – from the stage of proving concepts and demonstrating clinical efficacy to the stage of large-scale implementation, optimization of integration processes, and demonstration of value. The key challenges during this period will be not technological constraints, but systemic issues: ensuring semantic interoperability of data, adapting the regulatory framework – particularly regarding artificial intelligence—and overcoming barriers to real-world adoption, including the shortage of trained personnel, physician cognitive overload, and the lack of seamless integration into existing clinical workflows. The main conclusion is that technologies unable to demonstrate clear economic efficiency and seamless integration into existing IT infrastructures will not be adopted by practicing clinicians and healthcare administrators, regardless of their reported clinical accuracy. Successful implementation will require healthcare leaders to invest primarily in people and processes, not solely in software.</w:t>
      </w:r>
    </w:p>
    <w:p>
      <w:pPr/>
      <w:r>
        <w:rPr>
          <w:b/>
        </w:rPr>
        <w:t>POSSIBLE 2024:</w:t>
      </w:r>
      <w:r>
        <w:t xml:space="preserve"> Standard variant of the systemic veins with significance for operations with cardiopulmonary bypass — https://doi.org/10.1093/ehjcr/ytae670</w:t>
      </w:r>
    </w:p>
    <w:p>
      <w:pPr/>
      <w:r>
        <w:rPr>
          <w:b/>
        </w:rPr>
        <w:t>Shared claim-specific concepts:</w:t>
      </w:r>
      <w:r>
        <w:t xml:space="preserve"> according, systemic, variant, main; EU scope not established. This is a provisional connection, not an outcome finding.</w:t>
      </w:r>
    </w:p>
    <w:p>
      <w:pPr>
        <w:pStyle w:val="SourceNote"/>
      </w:pPr>
      <w:r>
        <w:rPr>
          <w:b/>
        </w:rPr>
        <w:t>Available abstract (not full text):</w:t>
      </w:r>
      <w:r>
        <w:t xml:space="preserve"> We report on a 5-year-old boy who was referred to our department as a newborn for evaluation of a heart murmur. Echocardiography revealed an atrial septal defect (ASD) of the secundum type (ASD II) (Figure 1A); a secondary finding was a significantly enlarged coronary sinus (CS) (Figure 1B). Transoesophageal echocardiography (modified mid-oesophageal aortic valve short-axis view, A)—atrial septal defect of 1.1 cm with almost no rim towards the aorta. Transthoracic echocardiography (modified long-axis view, B)—dilated coronary sinus can be seen in the left atrium. Computed tomography (coronary plane, C; sagittal plane, D)—persistent left superior vena cava with opening into a dilated coronary sinus and agenesis of the right superior vena cava. AAo, ascending aorta; AV, aortic valve; LA, left atrium; LV, left ventricle; MPA, main pulmonary artery; RA, right atrium; RV, right ventricle. An enlargement of the CS can be found in pathologies such as total anomalous pulmonary venous return, which is a severe congenital heart defect. It can also be found in standard variants of the systemic veins like a persistent left superior vena cava (pLSVC) with drainage into the right atrium via the CS.1 During intrauterine development, there is a right and left anterior cardinal vein. Normally, the right SVC develops from the right anterior cardinal vein while the left anterior cardinal vein reg</w:t>
      </w:r>
    </w:p>
    <w:p>
      <w:pPr/>
      <w:r>
        <w:rPr>
          <w:b/>
        </w:rPr>
        <w:t>POSSIBLE 2024:</w:t>
      </w:r>
      <w:r>
        <w:t xml:space="preserve"> Systemic effects of hypophosphatasia characterization of two novel variants in the ALPL gene — https://doi.org/10.3389/fendo.2023.1320516</w:t>
      </w:r>
    </w:p>
    <w:p>
      <w:pPr/>
      <w:r>
        <w:rPr>
          <w:b/>
        </w:rPr>
        <w:t>Shared claim-specific concepts:</w:t>
      </w:r>
      <w:r>
        <w:t xml:space="preserve"> systemic, variant, main; EU scope not established. This is a provisional connection, not an outcome finding.</w:t>
      </w:r>
    </w:p>
    <w:p>
      <w:pPr>
        <w:pStyle w:val="SourceNote"/>
      </w:pPr>
      <w:r>
        <w:rPr>
          <w:b/>
        </w:rPr>
        <w:t>Available abstract (not full text):</w:t>
      </w:r>
      <w:r>
        <w:t xml:space="preserve"> Introduction: Hypophosphatasia (HPP) is an inborn metabolic error caused by mutations in the ALPL gene encoding tissue non-specific alkaline phosphatase (TNSALP) and leading to decreased alkaline phosphatase (ALP) activity. Although the main characteristic of this disease is bone involvement, it presents a great genetic and clinical variability, which makes it a systemic disease. Methods: Patients were recruited based on biochemical assessments. Diagnosis was made by measuring serum ALP and pyridoxal 5-phosphate levels and finally by Sanger sequencing of the ALPL gene from peripheral blood mononuclear cells. Characterization of the new variants was performed by transfection of the variants into HEK293T cells, where ALP activity and cellular localization were measured by flow cytometry. The dominant negative effect was analyzed by co-transfection of each variant with the wild-type gene, measuring ALP activity and analyzing cellular localization by flow cytometry. Results: Two previously undescribed variants were found in the ALPL gene: leucine 6 to serine missense mutation (c.17T&gt;C, L6S) affecting the signal peptide and threonine 167 deletion (c.498_500delCAC, T167del) affecting the vicinity of the active site. These mutations lead mainly to non-pathognomonic symptoms of HPP. Structural prediction and modeling tools indicated the affected residues as critical residues with impor</w:t>
      </w:r>
    </w:p>
    <w:p>
      <w:pPr/>
      <w:r>
        <w:rPr>
          <w:b/>
        </w:rPr>
        <w:t>POSSIBLE 2024:</w:t>
      </w:r>
      <w:r>
        <w:t xml:space="preserve"> A novel variant associated with refractory lymphopenia in systemic lupus erythematosus: Dedicator of cytokinesis 2 gene c.2883_2886dup — https://doi.org/10.1002/rai2.12115</w:t>
      </w:r>
    </w:p>
    <w:p>
      <w:pPr/>
      <w:r>
        <w:rPr>
          <w:b/>
        </w:rPr>
        <w:t>Shared claim-specific concepts:</w:t>
      </w:r>
      <w:r>
        <w:t xml:space="preserve"> according, systemic, variant, period, main; EU scope not established. This is a provisional connection, not an outcome finding.</w:t>
      </w:r>
    </w:p>
    <w:p>
      <w:pPr>
        <w:pStyle w:val="SourceNote"/>
      </w:pPr>
      <w:r>
        <w:rPr>
          <w:b/>
        </w:rPr>
        <w:t>Available abstract (not full text):</w:t>
      </w:r>
      <w:r>
        <w:t xml:space="preserve"> Genetic and phenotypic heterogeneity present challenges for the diagnosis and personalized treatment of systemic lupus erythematosus (SLE).1 Leukopenia, a common clinical presentation of SLE, can vary in severity from mild to severe. Current thinking often attributes the pathogenesis of leukopenia to immune-mediated damage, infections, or iatrogenic factors (azathioprine and cyclophosphamide).2 However, the gene defects associated with leukopenia have only gained limited attention. Here, we report a novel dedicator of cytokinesis 2 (DOCK2) gene mutation that played a nonautoimmune pathogenic role in a woman with SLE who developed refractory lymphopenia. The 37-year-old female patient presented with prolonged thrombocytopenia, hypocomplementemia, and positive titers of antinuclear, antinucleosome, anti-double-stranded DNA (dsDNA), and anticardiolipin (IgG) antibodies. She was diagnosed with SLE 10 years ago according to the American College of Rheumatology 1997 criteria. Clinical evaluation revealed no damage to other systems. Over the course of her illness, she received steroid and hydroxychloroquine therapies and underwent regular reviews. The patient was hospitalized multiple times because of lupus activity, respiratory infection, or cryptococcal meningitis. Upon admission in September 2022, the patient was hospitalized due to lupus activity. Autoantibody testing revealed pos</w:t>
      </w:r>
    </w:p>
    <w:p>
      <w:pPr>
        <w:pStyle w:val="Heading2"/>
      </w:pPr>
      <w:r>
        <w:t>620. Scenario planning: An alternative approach to European Commission for combating antimicrobial resistance by 2050</w:t>
      </w:r>
    </w:p>
    <w:p>
      <w:pPr>
        <w:pStyle w:val="SourceNote"/>
      </w:pPr>
      <w:r>
        <w:rPr>
          <w:b/>
        </w:rPr>
        <w:t>Original source (2021):</w:t>
      </w:r>
      <w:r>
        <w:t xml:space="preserve"> https://doi.org/10.11576/seejph-4312</w:t>
      </w:r>
    </w:p>
    <w:p>
      <w:pPr/>
      <w:r>
        <w:t>Original wording (abstract; indexed_source_text_not_full_document_verified): Conclusion: All the strategies developed on the basis of the four scenarios probe for an increase in European Union's dedication to achieve positive outcomes. To study possible outcomes within the European Union, a scenario analysis for the year 2050 was performed on the possible influence of the European Commission (EC).</w:t>
      </w:r>
    </w:p>
    <w:p>
      <w:pPr/>
      <w:r>
        <w:rPr>
          <w:b/>
        </w:rPr>
        <w:t>POSSIBLE 2026:</w:t>
      </w:r>
      <w:r>
        <w:t xml:space="preserve"> Achievements, priorities and strategies in pediatric nephrology in Europe — https://openalex.org/W7135161588</w:t>
      </w:r>
    </w:p>
    <w:p>
      <w:pPr/>
      <w:r>
        <w:rPr>
          <w:b/>
        </w:rPr>
        <w:t>Shared claim-specific concepts:</w:t>
      </w:r>
      <w:r>
        <w:t xml:space="preserve"> all, strategies, positive, within; EU scope visible. This is a provisional connection, not an outcome finding.</w:t>
      </w:r>
    </w:p>
    <w:p>
      <w:pPr>
        <w:pStyle w:val="SourceNote"/>
      </w:pPr>
      <w:r>
        <w:rPr>
          <w:b/>
        </w:rPr>
        <w:t>Available abstract (not full text):</w:t>
      </w:r>
      <w:r>
        <w:t xml:space="preserve"> Background: There is a lack of information on the current healthcare systems for children with kidney diseases across Europe. The aim of this study was to explore the different national approaches to the organization and delivery of pediatric nephrology services within Europe. Methods: In 2020, the European society for Paediatric Nephrology (ESPN) conducted a cross-sectional survey to identify the existing pediatric nephrology healthcare systems in 48 European countries covering a population of more than 200 million children. Results: The reported three most important priorities in the care of children with kidney diseases were better training of staff, more incentives for physicians to reduce staff shortages, and more hospital beds. Positive achievements in the field of pediatric nephrology included the establishment of new specialized pediatric nephrology centers, facilities for pediatric dialysis and transplant units in 18, 16, and 12 countries, respectively. The most common problems included no access to any type of dialysis (12), inadequate transplant programs for all ages of children (12), lack of well-trained physicians and dialysis nurses (12), inadequate reimbursement of hospitals for expensive therapies (10), and lack of multidisciplinary care by psychologists, dieticians, physiotherapists, social workers and vocational counsellors (6). Twenty-five of 48 countries (52</w:t>
      </w:r>
    </w:p>
    <w:p>
      <w:pPr/>
      <w:r>
        <w:rPr>
          <w:b/>
        </w:rPr>
        <w:t>POSSIBLE 2026:</w:t>
      </w:r>
      <w:r>
        <w:t xml:space="preserve"> Mapping Slovenia’s global health engagement: alignment with European Union and national global health strategies — https://doi.org/10.1186/s41043-025-01125-5</w:t>
      </w:r>
    </w:p>
    <w:p>
      <w:pPr/>
      <w:r>
        <w:rPr>
          <w:b/>
        </w:rPr>
        <w:t>Shared claim-specific concepts:</w:t>
      </w:r>
      <w:r>
        <w:t xml:space="preserve"> all, strategies, union; EU scope visible. This is a provisional connection, not an outcome finding.</w:t>
      </w:r>
    </w:p>
    <w:p>
      <w:pPr>
        <w:pStyle w:val="SourceNote"/>
      </w:pPr>
      <w:r>
        <w:rPr>
          <w:b/>
        </w:rPr>
        <w:t>Available abstract (not full text):</w:t>
      </w:r>
      <w:r>
        <w:t xml:space="preserve"> BACKGROUND: The specific objectives of this paper are to identify Slovenian global health activities, compare the national global health strategies of France, Germany, and the Netherlands with the European Union Global Health Strategy, and assess how well Slovenia's global health activities align with the strategies of these three countries. METHODS: A document review of Slovenia's global health engagement was conducted using official reports, policy briefs, and legislative texts, analysed through predefined thematic areas. A comparative policy analysis assessed the alignment and divergence of health strategies of France, Germany, and the Netherlands with the European Union Global Health Strategy. RESULTS: The study identifies 14 key thematic areas in global health (e.g., health for all, health policy, climate change, etc.). In Slovenia, global health activities involve various governmental and non-governmental institutions across all identified thematic areas, implemented through guidelines, legislative acts, programs, projects, and initiatives. These thematic areas are also reflected in global health strategies of France, Germany and the Netherlands, indicating a shared focus on key global health priorities across national frameworks (e.g. universal health coverage, climate change, and disease prevention). CONCLUSIONS: The comparative analysis of three reviewed national globa</w:t>
      </w:r>
    </w:p>
    <w:p>
      <w:pPr/>
      <w:r>
        <w:rPr>
          <w:b/>
        </w:rPr>
        <w:t>POSSIBLE 2026:</w:t>
      </w:r>
      <w:r>
        <w:t xml:space="preserve"> Four leaders, four decades: leadership and European parliament's secretaries-general — https://doi.org/10.4324/9781003753483-10</w:t>
      </w:r>
    </w:p>
    <w:p>
      <w:pPr/>
      <w:r>
        <w:rPr>
          <w:b/>
        </w:rPr>
        <w:t>Shared claim-specific concepts:</w:t>
      </w:r>
      <w:r>
        <w:t xml:space="preserve"> conclusion, four, union, within; EU scope visible. This is a provisional connection, not an outcome finding.</w:t>
      </w:r>
    </w:p>
    <w:p>
      <w:pPr>
        <w:pStyle w:val="SourceNote"/>
      </w:pPr>
      <w:r>
        <w:rPr>
          <w:b/>
        </w:rPr>
        <w:t>Available abstract (not full text):</w:t>
      </w:r>
      <w:r>
        <w:t xml:space="preserve"> This article examines administrative leadership at the top of the European Parliament by exploring the role played by Secretaries-General. Employing an institutional approach, administrative leadership is defined as behaviour that shapes the institutional character of an organization, infusing it with values and missions. The article aims to understand the behaviours that constitute the administrative leadership of the Secretary-General in the European Parliament and whether these behaviours focus solely on administrative and management tasks or also encompass the political aspects of the European Parliament as an institution. Drawing on four high-level interviews with Secretaries-General who led the European Parliament’s administration from 1986 to 2022, the study reveals that administrative leadership exhibits an institutional character, focusing on strengthening the powers of the European Parliament through both management and involvement in tasks with a political dimension. Findings show that the institutional development of the European Parliament has been shaped by a collaborative effort between its political and administrative leaders. The conclusion underscores the necessity of studying political and administrative leadership together as public leadership to comprehend how the European Parliament leads within the European Union, particularly in addressing contemporary d</w:t>
      </w:r>
    </w:p>
    <w:p>
      <w:pPr/>
      <w:r>
        <w:rPr>
          <w:b/>
        </w:rPr>
        <w:t>POSSIBLE 2026:</w:t>
      </w:r>
      <w:r>
        <w:t xml:space="preserve"> Four decades of the european regional &amp; cohesion policy. An overview — https://doi.org/10.38191/iirr-jorr.26.010</w:t>
      </w:r>
    </w:p>
    <w:p>
      <w:pPr/>
      <w:r>
        <w:rPr>
          <w:b/>
        </w:rPr>
        <w:t>Shared claim-specific concepts:</w:t>
      </w:r>
      <w:r>
        <w:t xml:space="preserve"> four, achieve, positive, outcomes; EU scope visible. This is a provisional connection, not an outcome finding.</w:t>
      </w:r>
    </w:p>
    <w:p>
      <w:pPr>
        <w:pStyle w:val="SourceNote"/>
      </w:pPr>
      <w:r>
        <w:rPr>
          <w:b/>
        </w:rPr>
        <w:t>Available abstract (not full text):</w:t>
      </w:r>
      <w:r>
        <w:t xml:space="preserve"> The paper addresses two research questions: ﬁrst, what factors explain the continuity of the Cohesion Policy (CP); and second, to what extent such policy has contributed to reducing territorial disparities across the EU and to achieve other objectives. e article advances some hypotheses, and the analysis highlights the core pillars of the CP: its ‘philosophy’, evolving objectives, ﬁnancial resources, and institutional architecture. It further evaluates outcomes in some key areas: convergence trends, infrastructure investment, human capital formation, and support for SMEs. The ﬁndings suggest that while CP has contributed to reducing territorial disparities and other positive achievements linked to the European economic and welfare growth, its eﬀectiveness varies across regions, and some policy domains face persistent challenges such as eﬀectiveness, bureaucratization, and regional/sectoral policy conﬂicts which give support to important criticisms.</w:t>
      </w:r>
    </w:p>
    <w:p>
      <w:pPr/>
      <w:r>
        <w:rPr>
          <w:b/>
        </w:rPr>
        <w:t>POSSIBLE 2025:</w:t>
      </w:r>
      <w:r>
        <w:t xml:space="preserve"> European trends in attitudes and strategies for myopia management in clinical practice — https://doi.org/10.1016/j.clae.2025.102390</w:t>
      </w:r>
    </w:p>
    <w:p>
      <w:pPr/>
      <w:r>
        <w:rPr>
          <w:b/>
        </w:rPr>
        <w:t>Shared claim-specific concepts:</w:t>
      </w:r>
      <w:r>
        <w:t xml:space="preserve"> all, strategies, four, increase; EU scope visible. This is a provisional connection, not an outcome finding.</w:t>
      </w:r>
    </w:p>
    <w:p>
      <w:pPr>
        <w:pStyle w:val="SourceNote"/>
      </w:pPr>
      <w:r>
        <w:rPr>
          <w:b/>
        </w:rPr>
        <w:t>Available abstract (not full text):</w:t>
      </w:r>
      <w:r>
        <w:t xml:space="preserve"> BACKGROUND: Surveys conducted between 2015 and 2022 showed growing concern among European eye care practitioners about myopia management, though adoption of effective strategies varied. This study updates findings from 2024, analysing trends in attitudes and strategies for myopia management across Europe from 2015 to 2024. METHODS: A cross-sectional online survey targeting European eye care practitioners was distributed in multiple languages through professional bodies. It assessed awareness of myopia prevalence, perceived efficacy and adoption of different myopia control strategies, and reasons for non-adoption. RESULTS: Between 2015 and 2024, a total of 3,179 responses were collected from European practitioners, representing data across four survey years. Concern about pediatric myopia varied significantly in 2024 (P &lt; 0.001), with Portugal reporting the highest concern (9.4 ± 1.0) and Sweden the lowest (5.9 ± 2.2). Orthokeratology combined with low-dose atropine was perceived as the most effective approach (60.8 ± 29.6), followed by solo orthokeratology (60.1 ± 25.0) and approved myopia control soft contact lenses (55.9 ± 23.4). Single-vision lenses (15.9 ± 22.9) and undercorrection (7.1 ± 16.6) were rated least effective. Since 2015, single-vision lens prescribing has declined, while myopia control spectacles and contact lenses, and combination therapies have increased. The</w:t>
      </w:r>
    </w:p>
    <w:p>
      <w:pPr/>
      <w:r>
        <w:rPr>
          <w:b/>
        </w:rPr>
        <w:t>POSSIBLE 2025:</w:t>
      </w:r>
      <w:r>
        <w:t xml:space="preserve"> European strategies in the screening of biliary atresia: a scoping review — https://doi.org/10.1136/wjps-2025-001026</w:t>
      </w:r>
    </w:p>
    <w:p>
      <w:pPr/>
      <w:r>
        <w:rPr>
          <w:b/>
        </w:rPr>
        <w:t>Shared claim-specific concepts:</w:t>
      </w:r>
      <w:r>
        <w:t xml:space="preserve"> all, strategies, achieve, outcomes, performed; EU scope visible. This is a provisional connection, not an outcome finding.</w:t>
      </w:r>
    </w:p>
    <w:p>
      <w:pPr>
        <w:pStyle w:val="SourceNote"/>
      </w:pPr>
      <w:r>
        <w:rPr>
          <w:b/>
        </w:rPr>
        <w:t>Available abstract (not full text):</w:t>
      </w:r>
      <w:r>
        <w:t xml:space="preserve"> Background: Biliary atresia (BA) is a rare condition that meets the criteria for neonatal screening. Taiwan province of China led the way in BA screening during the 1990s by introducing a neonatal stool color card (SCC), which proved effective in facilitating early BA diagnosis and improving outcomes. Another commonly studied BA screening approach is serum bilirubin measurement. Several European countries have also begun implementing BA screening initiatives, although slowly. In this study, we evaluate BA screening strategies across Europe. Methods: Published data, after having performed a scoping review, as well as internet searches were analyzed. Screening approaches proposed in Europe are described, including SCC, serum bilirubin measurements, and other biochemical markers such as bile acids or amino acid profiles. Results: In Europe, national BA screening programs have been established solely in Switzerland, France, and Germany, all using the SCC. Other European countries, such as the Netherlands, Portugal, and Italy, have made efforts, but have yet to achieve broad implementation beyond localized initiatives. Skepticism among healthcare professionals and logistical challenges seem to hinder broader adoption. Emerging technologies, such as artificial intelligence-enhanced SCC applications, may show promise in overcoming these barriers. Serum bilirubin measurement is another</w:t>
      </w:r>
    </w:p>
    <w:p>
      <w:pPr/>
      <w:r>
        <w:rPr>
          <w:b/>
        </w:rPr>
        <w:t>POSSIBLE 2025:</w:t>
      </w:r>
      <w:r>
        <w:t xml:space="preserve"> Heterogeneity of Surgical Strategies in Aortic Arch Surgery in European Aortic Centers — https://doi.org/10.1055/s-0045-1804073</w:t>
      </w:r>
    </w:p>
    <w:p>
      <w:pPr/>
      <w:r>
        <w:rPr>
          <w:b/>
        </w:rPr>
        <w:t>Shared claim-specific concepts:</w:t>
      </w:r>
      <w:r>
        <w:t xml:space="preserve"> conclusion, all, strategies, performed; EU scope visible. This is a provisional connection, not an outcome finding.</w:t>
      </w:r>
    </w:p>
    <w:p>
      <w:pPr>
        <w:pStyle w:val="SourceNote"/>
      </w:pPr>
      <w:r>
        <w:rPr>
          <w:b/>
        </w:rPr>
        <w:t>Available abstract (not full text):</w:t>
      </w:r>
      <w:r>
        <w:t xml:space="preserve"> All articles of this category (opens in new window) Background: To date, no clear standard of care has been established regarding cannulation strategies and organ protection measures in aortic arch surgery for aneurysms across European aortic centers. Therefore, we aimed to investigate the prevalence of various surgical strategies in aortic arch surgery at European centers. Methods: To gain an overview of the various strategies for cannulation and organ protection in aortic arch surgery, we conducted an anonymous online survey among European cardiac surgery centers in September 2024. Results: In total, 18 European centers for cardiac surgery participated in our survey with an average of 5.6 surgeons performing aortic arch surgery per center. All centers offer frozen elephant trunk (FET) procedures, with a mean of 19.9 cases annually (range 5–60). Distal aortic anastomoses during FET procedures are most commonly performed in Ishimaru zone 2 (77.8%) and/or zone 3 (44.4%), whereas in conventional arch replacements, zone 3 is preferred (85.7%). Temperature management also varies: 66.7% of centers use high–moderate hypothermia (24.1–28°C) for total arch replacement/ET/FET, while 11.1% of centers operate in mild hypothermia (28.1–34°C), and 22.2% below 24°C. For ascending replacements with open distal anastomosis, mild and high–moderate hypothermia are equally used (44.4% each). Sele</w:t>
      </w:r>
    </w:p>
    <w:p>
      <w:pPr/>
      <w:r>
        <w:rPr>
          <w:b/>
        </w:rPr>
        <w:t>POSSIBLE 2025:</w:t>
      </w:r>
      <w:r>
        <w:t xml:space="preserve"> Antenatal CMV screening, testing, and treatment strategies in Europe: a 2024 survey — https://doi.org/10.1080/14767058.2025.2555478</w:t>
      </w:r>
    </w:p>
    <w:p>
      <w:pPr/>
      <w:r>
        <w:rPr>
          <w:b/>
        </w:rPr>
        <w:t>Shared claim-specific concepts:</w:t>
      </w:r>
      <w:r>
        <w:t xml:space="preserve"> all, strategies, within; EU scope visible. This is a provisional connection, not an outcome finding.</w:t>
      </w:r>
    </w:p>
    <w:p>
      <w:pPr>
        <w:pStyle w:val="SourceNote"/>
      </w:pPr>
      <w:r>
        <w:rPr>
          <w:b/>
        </w:rPr>
        <w:t>Available abstract (not full text):</w:t>
      </w:r>
      <w:r>
        <w:t xml:space="preserve"> OBJECTIVE: Congenital cytomegalovirus (cCMV) is the most common congenital infection globally, affecting approximately 0.5% of all live births in high income settings, with long-term sequelae affecting around a fifth of infected infants. Recently, interest in antenatal CMV screening has increased but current practices and impact are unclear. Our objective was to describe policy and practice around antenatal CMV screening, testing, and treatment in Europe, including the use of universal antenatal screening, in the context of the emerging evidence base for use of valaciclovir to reduce CMV vertical transmission (VT). METHODS: A web-based survey was distributed to healthcare professionals within antenatal services with knowledge of CMV testing/treatment practices, from 29 April 2024 to 24 July 2024. Responses from Europe were analyzed. Where multiple responses were submitted from the same healthcare service, the most complete response was kept for the analysis. RESULTS: &lt; .01). For all sites, screening tests included CMV IgM and IgG, with 36% (14/39) offering IgG avidity, and 8% (3/39) using PCR. Of the 39 centers offering universal screening, the coverage was estimated to be &gt;95% of pregnant women at half (18/39) of centers. Fifty-nine percent (23/39) of centers reported routinely offering repeat testing. Of 39 centers routinely offering testing, only 69% (27/39) gave advice on r</w:t>
      </w:r>
    </w:p>
    <w:p>
      <w:pPr/>
      <w:r>
        <w:rPr>
          <w:b/>
        </w:rPr>
        <w:t>POSSIBLE 2024:</w:t>
      </w:r>
      <w:r>
        <w:t xml:space="preserve"> Energy Policy in the European Union within the European Green Deal Strategy — https://doi.org/10.18778/1508-2008.27.13</w:t>
      </w:r>
    </w:p>
    <w:p>
      <w:pPr/>
      <w:r>
        <w:rPr>
          <w:b/>
        </w:rPr>
        <w:t>Shared claim-specific concepts:</w:t>
      </w:r>
      <w:r>
        <w:t xml:space="preserve"> all, union, within; EU scope visible. This is a provisional connection, not an outcome finding.</w:t>
      </w:r>
    </w:p>
    <w:p>
      <w:pPr>
        <w:pStyle w:val="SourceNote"/>
      </w:pPr>
      <w:r>
        <w:rPr>
          <w:b/>
        </w:rPr>
        <w:t>Available abstract (not full text):</w:t>
      </w:r>
      <w:r>
        <w:t xml:space="preserve"> The article presents the energy policy of the European Union (EU) in light of its latest strategy, called the European Green Deal. The article is of particular importance to answer two main questions: What was the importance of two energy packages in the EU energy policy, i.e., the fourth and fifth packages? The fourth package was adopted in June 2019; the fifth package – “Ready for 55” – was published in 2021 and aimed to align the EU’s energy targets with the new European climate targets for 2030 and 2050. What are the main conclusions from the presented tables and graphs regarding carbon dioxide emissions in European Union countries from 2012 to 2021? Additionally, what insights can be drawn regarding changes in electricity prices for household and non‑household consumers in euros per 100 kilowatt‑hour, as well as gross electricity production (in million tonnes of oil equivalent) in the analyzed years for all EU Member States?</w:t>
      </w:r>
    </w:p>
    <w:p>
      <w:pPr/>
      <w:r>
        <w:rPr>
          <w:b/>
        </w:rPr>
        <w:t>POSSIBLE 2024:</w:t>
      </w:r>
      <w:r>
        <w:t xml:space="preserve"> Systematic Review: Strategies for Improving HIV Testing and Detection Rates in European Hospitals — https://doi.org/10.3390/microorganisms12020254</w:t>
      </w:r>
    </w:p>
    <w:p>
      <w:pPr/>
      <w:r>
        <w:rPr>
          <w:b/>
        </w:rPr>
        <w:t>Shared claim-specific concepts:</w:t>
      </w:r>
      <w:r>
        <w:t xml:space="preserve"> conclusion, all, strategies, increase; EU scope visible. This is a provisional connection, not an outcome finding.</w:t>
      </w:r>
    </w:p>
    <w:p>
      <w:pPr>
        <w:pStyle w:val="SourceNote"/>
      </w:pPr>
      <w:r>
        <w:rPr>
          <w:b/>
        </w:rPr>
        <w:t>Available abstract (not full text):</w:t>
      </w:r>
      <w:r>
        <w:t xml:space="preserve"> Undiagnosed HIV infection is a prominent clinical issue throughout Europe that requires the continuous attention of all healthcare professionals and policymakers to prevent missed testing opportunities and late diagnosis. This systematic review aimed to evaluate interventions to increase HIV testing rates and case detection in European hospitals. Out of 4598 articles identified, 29 studies fulfilled the selection criteria. Most of the studies were conducted in single Western European capital cities, and only one study was from Eastern Europe. The main interventions investigated were test-all and indicator-condition-based testing strategies. Overall, the prevalence of undiagnosed HIV was well above 0.1%. The studied interventions increased the HIV testing rate and the case detection rate. The highest prevalence of undiagnosed HIV was found with the indicator-condition-driven testing strategy, whereas the test-all strategy had the most profound impact on the proportion of late diagnoses. Nevertheless, the HIV testing rates and case-finding varied considerably across studies. In conclusion, effective strategies to promote HIV testing in European hospitals are available, but relevant knowledge gaps regarding generalizability and sustainability remain. These gaps require the promotion of adherence to HIV testing guidelines, as well as additional larger studies representing all Europ</w:t>
      </w:r>
    </w:p>
    <w:p>
      <w:pPr/>
      <w:r>
        <w:rPr>
          <w:b/>
        </w:rPr>
        <w:t>POSSIBLE 2024:</w:t>
      </w:r>
      <w:r>
        <w:t xml:space="preserve"> The European Climate Law – a suitable legal basis for the European Advisory Board on Climate Change? — https://openalex.org/W7215143138</w:t>
      </w:r>
    </w:p>
    <w:p>
      <w:pPr/>
      <w:r>
        <w:rPr>
          <w:b/>
        </w:rPr>
        <w:t>Shared claim-specific concepts:</w:t>
      </w:r>
      <w:r>
        <w:t xml:space="preserve"> basis, increase, union; EU scope visible. This is a provisional connection, not an outcome finding.</w:t>
      </w:r>
    </w:p>
    <w:p>
      <w:pPr>
        <w:pStyle w:val="SourceNote"/>
      </w:pPr>
      <w:r>
        <w:rPr>
          <w:b/>
        </w:rPr>
        <w:t>Available abstract (not full text):</w:t>
      </w:r>
      <w:r>
        <w:t xml:space="preserve"> To combat climate change, the European Union (EU) adopted the European Climate Law (ECL) which, inter alia, establishes the European Scientific Advisory Board on Climate Change (ESABCC).This new scientific advisory body shall serve as a point of reference for the EU regarding scientific knowledge on climate change.In this context, the thesis examines whether the ECL is a suitable legal basis for the successful operation of the ESABCC, and what aspects could be improved.Therefore, the thesis identifies by literature review the most crucial elements of the legal basis of scientific advisory bodies on climate change and conducts based on those factors a comparative legal analysis.During this, the strengths and weaknesses of the United Kingdom's Climate Change Committee (CCC), the German Council of Experts on Climate Change (ERK), and the Climate Change Advisory Council of Ireland (CCAC) are analyzed and compared with the ESABCC.The final analysis of the ESABCC concludes that the ECL only partly provides a suitable legal basis for the ESABCC.The ECL's strengths are identified to lay in the stability and scope of the legal mandate, the composition and capacity as well as the degree of self-determination.However, particularly with regards to the specificity of the legal mandate, transparency, and the ESABCC's role in the policy context, significant amendments are required to increase</w:t>
      </w:r>
    </w:p>
    <w:p>
      <w:pPr/>
      <w:r>
        <w:rPr>
          <w:b/>
        </w:rPr>
        <w:t>POSSIBLE 2024:</w:t>
      </w:r>
      <w:r>
        <w:t xml:space="preserve"> Nature-based school environments for all children? comparing exposure to school-related green and blue infrastructure in four European cities — https://doi.org/10.1016/j.ecolind.2024.112374</w:t>
      </w:r>
    </w:p>
    <w:p>
      <w:pPr/>
      <w:r>
        <w:rPr>
          <w:b/>
        </w:rPr>
        <w:t>Shared claim-specific concepts:</w:t>
      </w:r>
      <w:r>
        <w:t xml:space="preserve"> all, four, increase, positive; EU scope visible. This is a provisional connection, not an outcome finding.</w:t>
      </w:r>
    </w:p>
    <w:p>
      <w:pPr>
        <w:pStyle w:val="SourceNote"/>
      </w:pPr>
      <w:r>
        <w:rPr>
          <w:b/>
        </w:rPr>
        <w:t>Available abstract (not full text):</w:t>
      </w:r>
      <w:r>
        <w:t xml:space="preserve"> Children’s unequal exposure to nature is associated with the uneven distribution of green and blue infrastructure (GBI) in cities, which often disproportionately affects children living in disadvantaged neighbourhoods. School environments are increasingly recognised, both by scientists and policymakers, as priority areas to increase children’s exposure to GBI. However, studies analysing the spatial and temporal patterns of GBI in school environments are still scarce, especially those considering a cross-city and equity perspective. To contribute to the expanding field of urban environmental justice in the context of children’s geographies, our research aims to assess the (un)equal spatial patterns of school-related GBI across four large European cities (Brussels, Barcelona, Rotterdam, and Paris) and over time (between 2006 and 2018). For this purpose, we used EU-comparable green and blue land cover and tree canopy cover data, together with schools’ socio-economic characteristics (median income and educational attainment) based on local neighbourhood-level data. Through geospatial and statistical analyses on 1259 primary schools, our study reveals significant positive correlations between school-related GBI indicators and socio-economic variables in Brussels and Rotterdam. In contrast, negative correlations were found in Barcelona and Paris. Overall, the four cities show very di</w:t>
      </w:r>
    </w:p>
    <w:p>
      <w:pPr>
        <w:pStyle w:val="Heading2"/>
      </w:pPr>
      <w:r>
        <w:t>621. Scenarios for European agricultural policymaking in the era of digitalisation</w:t>
      </w:r>
    </w:p>
    <w:p>
      <w:pPr>
        <w:pStyle w:val="SourceNote"/>
      </w:pPr>
      <w:r>
        <w:rPr>
          <w:b/>
        </w:rPr>
        <w:t>Original source (2021):</w:t>
      </w:r>
      <w:r>
        <w:t xml:space="preserve"> https://doi.org/10.1016/j.agsy.2021.103318</w:t>
      </w:r>
    </w:p>
    <w:p>
      <w:pPr/>
      <w:r>
        <w:t>Original wording (abstract; indexed_source_text_not_full_document_verified): Our findings suggest that the baseline scenario needs strategies to ramp up technological and institutional infrastructure for digitalisation. RESULTS AND CONCLUSIONS Four scenarios of digitalisation of the agri-food sector were developed for Europe in 2030.</w:t>
      </w:r>
    </w:p>
    <w:p>
      <w:pPr/>
      <w:r>
        <w:rPr>
          <w:b/>
        </w:rPr>
        <w:t>POSSIBLE 2026:</w:t>
      </w:r>
      <w:r>
        <w:t xml:space="preserve"> Is Digitalization Alone Enough for Tax Revenue Mobilization Across Europe and Asia? — https://doi.org/10.24912/je.v31i2.4056</w:t>
      </w:r>
    </w:p>
    <w:p>
      <w:pPr/>
      <w:r>
        <w:rPr>
          <w:b/>
        </w:rPr>
        <w:t>Shared claim-specific concepts:</w:t>
      </w:r>
      <w:r>
        <w:t xml:space="preserve"> findings, suggest, baseline, institutional; EU scope visible. This is a provisional connection, not an outcome finding.</w:t>
      </w:r>
    </w:p>
    <w:p>
      <w:pPr>
        <w:pStyle w:val="SourceNote"/>
      </w:pPr>
      <w:r>
        <w:rPr>
          <w:b/>
        </w:rPr>
        <w:t>Available abstract (not full text):</w:t>
      </w:r>
      <w:r>
        <w:t xml:space="preserve"> This study examines the relationship between digitalization and tax revenue while considering the roles of government effectiveness, informality, and tax structure across 18 European and Asian countries during 2005–2023. Using balanced panel data and random-effects regression models, the analysis estimates both baseline and extended specifications incorporating nonlinear and moderating effects. The results reveal that digitalization has a nonlinear relationship with tax revenue, with its fiscal benefits varying according to countries' stage of digital development. Regional analysis shows a U-shaped relationship in Asia but no significant effect of digitalization in Europe, reflecting differences in digital maturity. Government effectiveness significantly improves tax revenue in Asia, whereas informality weakens the effectiveness of digitalization in the full sample. Additionally, taxes on goods and services, as well as GDP per capita, positively contribute to revenue mobilization. The findings suggest that digitalization enhances fiscal performance only when supported by favorable institutional and structural conditions.</w:t>
      </w:r>
    </w:p>
    <w:p>
      <w:pPr/>
      <w:r>
        <w:rPr>
          <w:b/>
        </w:rPr>
        <w:t>POSSIBLE 2026:</w:t>
      </w:r>
      <w:r>
        <w:t xml:space="preserve"> Local Ramp Metering Strategies: Recommendation for Implementation Ramp Metering in Baghdad, Iraq — https://doi.org/10.30684/2412-0758.2417</w:t>
      </w:r>
    </w:p>
    <w:p>
      <w:pPr/>
      <w:r>
        <w:rPr>
          <w:b/>
        </w:rPr>
        <w:t>Shared claim-specific concepts:</w:t>
      </w:r>
      <w:r>
        <w:t xml:space="preserve"> strategies, ramp, institutional, four, developed; EU scope not established. This is a provisional connection, not an outcome finding.</w:t>
      </w:r>
    </w:p>
    <w:p>
      <w:pPr>
        <w:pStyle w:val="SourceNote"/>
      </w:pPr>
      <w:r>
        <w:rPr>
          <w:b/>
        </w:rPr>
        <w:t>Available abstract (not full text):</w:t>
      </w:r>
      <w:r>
        <w:t xml:space="preserve"> Ramp metering is one of the most widely used traffic management practices to alleviate congestion on freeways. Although the use of such algorithms has proven effective in developed transportation systems, this adaptation and installation of suitable ramp metering algorithms can still be a problem in developing countries, especially when traffic characteristics, data availability and institutional capacity differ greatly from the developed ones. This paper is a systematic review of local responsive ramp metering strategies covering more than ninety publications from 1991-2026. The review identifies four categories of strategies: threshold-based, feedback-based (such as ALINEA and its variations), optimization-based and AI-based. The evaluation of each family is done on a number of dimensions of performance such as congestion reduction effectiveness, implementation complexity, calibration requirements, computational effort, robustness under non-standard conditions and maturity of field validation. The paper uses comparative analysis to determine that the best option for implementation in developing nations like Iraq is feedback-based control, specifically the ALINEA algorithm and its proportional-integral control variant (PI-ALINEA), which is also practical. Specific recommendations for the expressways of Baghdad are given and a roadmap for periodical implementation is provided. </w:t>
      </w:r>
    </w:p>
    <w:p>
      <w:pPr/>
      <w:r>
        <w:rPr>
          <w:b/>
        </w:rPr>
        <w:t>POSSIBLE 2026:</w:t>
      </w:r>
      <w:r>
        <w:t xml:space="preserve"> Impact of Blasting Scenarios for In-Pit Ramp Construction on the Fumes Emission — https://doi.org/10.3390/su18020633</w:t>
      </w:r>
    </w:p>
    <w:p>
      <w:pPr/>
      <w:r>
        <w:rPr>
          <w:b/>
        </w:rPr>
        <w:t>Shared claim-specific concepts:</w:t>
      </w:r>
      <w:r>
        <w:t xml:space="preserve"> findings, strategies, ramp, developed; EU scope not established. This is a provisional connection, not an outcome finding.</w:t>
      </w:r>
    </w:p>
    <w:p>
      <w:pPr>
        <w:pStyle w:val="SourceNote"/>
      </w:pPr>
      <w:r>
        <w:rPr>
          <w:b/>
        </w:rPr>
        <w:t>Available abstract (not full text):</w:t>
      </w:r>
      <w:r>
        <w:t xml:space="preserve"> Blasting operations associated with in-pit ramp construction in open-pit mines generate gaseous emissions originating from both explosive detonation and diesel-powered drilling and loading equipment. The research object of this study is the ramp construction process in an operating open-pit quarry, and the objective is to comparatively evaluate gaseous emissions across alternative blasting scenarios to support emission-aware operational decision-making. Five realistic blasting scenarios are assessed using a combined methodology that integrates laboratory fume index data for ANFO, emulsion explosives, and dynamite with diesel-emission estimates derived from non-road mobile machinery inventory factors. Laboratory detonation tests provide standardized upper-bound emission potentials for COx and NOx, while drilling and loading emissions are quantified using a fuel-based inventory approach. The results show that the dominant contribution to total mass emissions arises from diesel combustion during drilling and loading, consistent with studies on real-world non-road mobile machinery inventory factors. Detonation fumes, although chemically concentrated and relevant for short-term exposure risk, represent a smaller share of the mass-based emission budget. Among the explosive types, bulk emulsions consistently exhibit lower toxic-gas emission indices than ANFO, attributable to their mor</w:t>
      </w:r>
    </w:p>
    <w:p>
      <w:pPr/>
      <w:r>
        <w:rPr>
          <w:b/>
        </w:rPr>
        <w:t>POSSIBLE 2026:</w:t>
      </w:r>
      <w:r>
        <w:t xml:space="preserve"> The Lifecycle of Inequality : Childhood Neighborhoods, Redistribution, and Lifetime Pensions in Finland and Europe — https://openalex.org/W7197944645</w:t>
      </w:r>
    </w:p>
    <w:p>
      <w:pPr/>
      <w:r>
        <w:rPr>
          <w:b/>
        </w:rPr>
        <w:t>Shared claim-specific concepts:</w:t>
      </w:r>
      <w:r>
        <w:t xml:space="preserve"> findings, baseline, institutional; EU scope visible. This is a provisional connection, not an outcome finding.</w:t>
      </w:r>
    </w:p>
    <w:p>
      <w:pPr>
        <w:pStyle w:val="SourceNote"/>
      </w:pPr>
      <w:r>
        <w:rPr>
          <w:b/>
        </w:rPr>
        <w:t>Available abstract (not full text):</w:t>
      </w:r>
      <w:r>
        <w:t xml:space="preserve"> This doctoral dissertation investigates the mechanics of inequality throughout the human lifecycle. It starts from the formation of opportunity in childhood, continues through the mitigation of inequality during working age, and ends with the realization of different life expectancies and pension wealth in retirement. Consisting of an introduction and three essays, the thesis examines these dynamics within the institutional contexts of the Nordic welfare state and Europe. In the first essay, The Impact of Childhood Neighborhoods on Intergenerational Mobility in Finland, I exploit a movers design to isolate the role of location in determining long-term outcomes. My results remain inconclusive. On the other hand, I find significant exposure effects: every additional year spent in a neighborhood where children have a higher income in adulthood improves a child’s future income. Surprisingly, for the probability of high school matriculation, this seems to be the opposite. Every additional year in a neighborhood with high proportion of children matriculating from high school lowers a child's own probability of matriculating. These effect sizes are comparable to recent findings from the United States, suggesting that even within the Finnish welfare state characterized by uniform schooling and social security, residential location might still remain a determinant of opportunity. Howeve</w:t>
      </w:r>
    </w:p>
    <w:p>
      <w:pPr/>
      <w:r>
        <w:rPr>
          <w:b/>
        </w:rPr>
        <w:t>POSSIBLE 2026:</w:t>
      </w:r>
      <w:r>
        <w:t xml:space="preserve"> The Interplay of Climate Change, Urbanisation, and Species Traits Shapes European Butterfly Population Trends — https://doi.org/10.1111/geb.70204</w:t>
      </w:r>
    </w:p>
    <w:p>
      <w:pPr/>
      <w:r>
        <w:rPr>
          <w:b/>
        </w:rPr>
        <w:t>Shared claim-specific concepts:</w:t>
      </w:r>
      <w:r>
        <w:t xml:space="preserve"> findings, suggest, baseline, conclusions; EU scope visible. This is a provisional connection, not an outcome finding.</w:t>
      </w:r>
    </w:p>
    <w:p>
      <w:pPr>
        <w:pStyle w:val="SourceNote"/>
      </w:pPr>
      <w:r>
        <w:rPr>
          <w:b/>
        </w:rPr>
        <w:t>Available abstract (not full text):</w:t>
      </w:r>
      <w:r>
        <w:t xml:space="preserve"> ABSTRACT Aim To examine how butterfly population trends respond to climate change and urbanisation at a continental scale, and whether responses differ between urban and rural environments. Location 869 sites across 12 European countries, spanning six bioclimatic zones. Time Period 1976–2021. Major Taxa Studied Butterflies (Lepidoptera). Methods We analysed long‐term monitoring data from &gt; 8400 populations of 145 species representing a wide range of ecological and life‐history traits. Population trends were modelled in relation to climate variables (temperature, precipitation and aridity), urbanisation (built‐up surface), and their interactions with urban context (urban vs. rural) and species traits (trophic specialisation, body size, reproductive rate and thermal adaptation). Results Climate warming and aridification were consistently linked to population declines in both rural and urban contexts, while precipitation effects varied by location and species. Urbanisation alone did not predict trends, but the urban–rural context strongly modulated species' responses to warming, indicating potential synergies between climate change and urbanisation. The stronger impact of warming in urban populations likely reflects elevated baseline temperatures and reduced habitat suitability and connectivity in urban landscapes, limiting thermal buffering. Species with colder thermal niches and</w:t>
      </w:r>
    </w:p>
    <w:p>
      <w:pPr/>
      <w:r>
        <w:rPr>
          <w:b/>
        </w:rPr>
        <w:t>POSSIBLE 2025:</w:t>
      </w:r>
      <w:r>
        <w:t xml:space="preserve"> Understanding Driver Distraction : Key Performance Indicator Findings from Baseline and Trendline in 4 European Countries — https://openalex.org/W7137534956</w:t>
      </w:r>
    </w:p>
    <w:p>
      <w:pPr/>
      <w:r>
        <w:rPr>
          <w:b/>
        </w:rPr>
        <w:t>Shared claim-specific concepts:</w:t>
      </w:r>
      <w:r>
        <w:t xml:space="preserve"> findings, baseline, developed; EU scope visible. This is a provisional connection, not an outcome finding.</w:t>
      </w:r>
    </w:p>
    <w:p>
      <w:pPr>
        <w:pStyle w:val="SourceNote"/>
      </w:pPr>
      <w:r>
        <w:rPr>
          <w:b/>
        </w:rPr>
        <w:t>Available abstract (not full text):</w:t>
      </w:r>
      <w:r>
        <w:t xml:space="preserve"> Distraction while driving is a critical factor contributing to road accidents, and both the Baseline and Trendline projects aimed to quantify and analyze its impact. Funded by the European Commission, these projects developed a range of Key Performance Indicators (KPIs) related to road safety, including one focused on distraction during driving. The Distraction KPI measures the percentage of drivers not using handheld mobile devices while driving. The Baseline project established a methodological framework for collecting and analyzing these KPIs, while the Trendline project built on this foundation by collecting new data to track changes over time. Using slightly updated common methodologies, the projects applied specific criteria for site selection and data collection, enabling a comparative analysis of distraction levels and other safety-related behaviors across participating countries, including Czechia, Poland, Portugal and Sweden.</w:t>
      </w:r>
    </w:p>
    <w:p>
      <w:pPr/>
      <w:r>
        <w:rPr>
          <w:b/>
        </w:rPr>
        <w:t>POSSIBLE 2025:</w:t>
      </w:r>
      <w:r>
        <w:t xml:space="preserve"> An Appraisal of the Strategies for Effective Implementation of the Rural Access and Mobility Project (RAMP) in Osun State, Nigeria — https://doi.org/10.69739/jsrd.v1i1.747</w:t>
      </w:r>
    </w:p>
    <w:p>
      <w:pPr/>
      <w:r>
        <w:rPr>
          <w:b/>
        </w:rPr>
        <w:t>Shared claim-specific concepts:</w:t>
      </w:r>
      <w:r>
        <w:t xml:space="preserve"> findings, needs, strategies, ramp, infrastructure; EU scope not established. This is a provisional connection, not an outcome finding.</w:t>
      </w:r>
    </w:p>
    <w:p>
      <w:pPr>
        <w:pStyle w:val="SourceNote"/>
      </w:pPr>
      <w:r>
        <w:rPr>
          <w:b/>
        </w:rPr>
        <w:t>Available abstract (not full text):</w:t>
      </w:r>
      <w:r>
        <w:t xml:space="preserve"> The Rural Access and Mobility Project (RAMP) faces challenges in effective implementation which may hinder its potential to improve rural accessibility, mobility, and economic development. Previous studies on rural road infrastructure projects, including RAMP, have not adequately assessed the effectiveness of implementation strategies in Osun State, Nigeria. This study, therefore, appraise the strategies for effective implementation of the Rural Access and Mobility Project (RAMP) in Osun State, Nigeria. The study was anchored on the Theory of Change, while concurrent mixed-method design approach was employed. Four-hundred and fifty respondents residing within the RAMP projects regions comprised Iwo, Ife and Ilesha were sampled using both probability and non-probability sampling procedures. A self-designed instrument was used to obtained information from the participants. Mean, standard deviation, t-test and correlation analysis were used for data analysis, while the responses from the KII were thematically analysed. The findings revealed that the top strategies for effective implementation of RAMP-2 in Osun State, Nigeria, comprised establishment of a dedicated project management unit, strengthen stakeholder coordination mechanisms, build capacity of local government institutions, enhance budget allocation efficiency, and ensure transparent and accountable funding. The study fo</w:t>
      </w:r>
    </w:p>
    <w:p>
      <w:pPr/>
      <w:r>
        <w:rPr>
          <w:b/>
        </w:rPr>
        <w:t>POSSIBLE 2025:</w:t>
      </w:r>
      <w:r>
        <w:t xml:space="preserve"> Ramp metering revealed: a comprehensive literature review — https://doi.org/10.1108/srt-10-2024-0014</w:t>
      </w:r>
    </w:p>
    <w:p>
      <w:pPr/>
      <w:r>
        <w:rPr>
          <w:b/>
        </w:rPr>
        <w:t>Shared claim-specific concepts:</w:t>
      </w:r>
      <w:r>
        <w:t xml:space="preserve"> findings, ramp, technological; EU scope not established. This is a provisional connection, not an outcome finding.</w:t>
      </w:r>
    </w:p>
    <w:p>
      <w:pPr>
        <w:pStyle w:val="SourceNote"/>
      </w:pPr>
      <w:r>
        <w:rPr>
          <w:b/>
        </w:rPr>
        <w:t>Available abstract (not full text):</w:t>
      </w:r>
      <w:r>
        <w:t xml:space="preserve"> Purpose The purpose of this study is to analyze and synthesize existing research on various ramp metering systems to evaluate their effectiveness in optimizing traffic flow, enhancing safety, reducing congestion, and identifying future research directions for integrating advanced technologies. Design/methodology/approach This literature review synthesizes research spanning several decades to evaluate the effectiveness of various ramp metering systems, including fixed-time, actuated, traffic-responsive and adaptive methods. Findings The success of ramp metering is contingent upon several factors. Public compliance is crucial, as resistance to ramp metering signals can diminish its effectiveness. Effective public education is necessary to convey the long-term benefits of smoother traffic and safer roads. Technological challenges, particularly regarding sensor accuracy and data processing, also present obstacles to system performance. Originality/value This study provides a comprehensive literature review on ramp metering as a traffic management strategy, showcasing its evolution and effectiveness over decades in optimizing highway entry rates, improving traffic flow, enhancing safety and reducing environmental impacts, while also addressing ongoing challenges and future opportunities for innovation.</w:t>
      </w:r>
    </w:p>
    <w:p>
      <w:pPr/>
      <w:r>
        <w:rPr>
          <w:b/>
        </w:rPr>
        <w:t>POSSIBLE 2025:</w:t>
      </w:r>
      <w:r>
        <w:t xml:space="preserve"> Power−efficient ramped stimulation in a fully implantable cochlear implant — https://doi.org/10.1038/s41598-025-25077-2</w:t>
      </w:r>
    </w:p>
    <w:p>
      <w:pPr/>
      <w:r>
        <w:rPr>
          <w:b/>
        </w:rPr>
        <w:t>Shared claim-specific concepts:</w:t>
      </w:r>
      <w:r>
        <w:t xml:space="preserve"> findings, strategies, four; EU scope not established. This is a provisional connection, not an outcome finding.</w:t>
      </w:r>
    </w:p>
    <w:p>
      <w:pPr>
        <w:pStyle w:val="SourceNote"/>
      </w:pPr>
      <w:r>
        <w:rPr>
          <w:b/>
        </w:rPr>
        <w:t>Available abstract (not full text):</w:t>
      </w:r>
      <w:r>
        <w:t xml:space="preserve"> Cochlear implants (CIs) are among the most established neuromodulation devices, providing auditory perception through electrical stimulation of the auditory nerve. While conventional stimulation strategies rely on symmetric biphasic rectangular pulses, alternative pulse shapes may offer improvements in neural activation and energy efficiency-particularly for fully implantable CI systems where power consumption is a key limitation. In this study, we investigate the efficacy of anodic-first ramped biphasic pulse shapes compared to conventional anodic-first rectangular pulses, using a custom-designed fully implantable cochlear implant (FICI) system in an in vivo guinea pig model. Electrically evoked auditory brainstem responses (eABRs) were recorded in response to four charge-balanced waveform types: Rectangular, RampUp, RampDown, and RampLong. In this single-subject feasibility study, ramped waveforms elicited significantly larger eABR amplitudes, steeper input-output functions, and shorter latencies compared to rectangular pulses. Additionally, we characterized transmission efficiency across the electrode-tissue interface by analyzing waveform spectra and their attenuation through a frequency-dependent medium model. After correcting for these medium-specific losses, in the anodic-first biphasic configuration, RampUp and RampLong pulses demonstrated up to 19-22% improvement in po</w:t>
      </w:r>
    </w:p>
    <w:p>
      <w:pPr/>
      <w:r>
        <w:rPr>
          <w:b/>
        </w:rPr>
        <w:t>POSSIBLE 2025:</w:t>
      </w:r>
      <w:r>
        <w:t xml:space="preserve"> Variability in Paediatric Patch Test Practices Across Europe: A Survey From the European Baseline Series ( EBS ) Working Party on Behalf of the European Society of Contact Dermatitis ( ESCD ) — https://doi.org/10.1111/cod.14824</w:t>
      </w:r>
    </w:p>
    <w:p>
      <w:pPr/>
      <w:r>
        <w:rPr>
          <w:b/>
        </w:rPr>
        <w:t>Shared claim-specific concepts:</w:t>
      </w:r>
      <w:r>
        <w:t xml:space="preserve"> findings, baseline, developed; EU scope visible. This is a provisional connection, not an outcome finding.</w:t>
      </w:r>
    </w:p>
    <w:p>
      <w:pPr>
        <w:pStyle w:val="SourceNote"/>
      </w:pPr>
      <w:r>
        <w:rPr>
          <w:b/>
        </w:rPr>
        <w:t>Available abstract (not full text):</w:t>
      </w:r>
      <w:r>
        <w:t xml:space="preserve"> BACKGROUND: Allergic contact dermatitis (ACD) is an increasingly recognised condition in children and adolescents. However, there is limited knowledge about the different paediatric patch test procedures in European patch test clinics. OBJECTIVES: To map current European paediatric patch test practices, and to relate these to the existing literature, with the aim of guiding the development of a future paediatric patch test guideline, and a corresponding paediatric European baseline series (pEBS). MATERIALS AND METHODS: In the course of late 2023/early 2024, a standardised paediatric patch test e-mail questionnaire was developed, distributed, and discussed among members of the European Baseline Series (EBS) Working Party of the European Society of Contact Dermatitis (ESCD). RESULTS: Areas of agreement and discussion were identified regarding patch testing in children of different ages, with and without atopic dermatitis: (contra)indications, choice of allergens and patch test chambers, peculiarities regarding the application and fixation of tests, occlusion and reading times. CONCLUSION: Although variability exists in paediatric patch test practices across Europe, there is broad agreement on common procedures, and only a few areas of debate; these findings may be used to inform the development of a future paediatric patch test guideline and pEBS.</w:t>
      </w:r>
    </w:p>
    <w:p>
      <w:pPr/>
      <w:r>
        <w:rPr>
          <w:b/>
        </w:rPr>
        <w:t>POSSIBLE 2025:</w:t>
      </w:r>
      <w:r>
        <w:t xml:space="preserve"> Evaluating the Impact of the Health Navigator Model on Housing Status Among People Experiencing Homelessness in Four European Countries — https://doi.org/10.3390/healthcare13212805</w:t>
      </w:r>
    </w:p>
    <w:p>
      <w:pPr/>
      <w:r>
        <w:rPr>
          <w:b/>
        </w:rPr>
        <w:t>Shared claim-specific concepts:</w:t>
      </w:r>
      <w:r>
        <w:t xml:space="preserve"> findings, baseline, needs, strategies, conclusions, four; EU scope visible. This is a provisional connection, not an outcome finding.</w:t>
      </w:r>
    </w:p>
    <w:p>
      <w:pPr>
        <w:pStyle w:val="SourceNote"/>
      </w:pPr>
      <w:r>
        <w:rPr>
          <w:b/>
        </w:rPr>
        <w:t>Available abstract (not full text):</w:t>
      </w:r>
      <w:r>
        <w:t xml:space="preserve"> Background: People experiencing homelessness (PEH) face significant health disparities and systemic barriers to healthcare, elevating their risk for cancer and other chronic diseases. To tackle PEHs’ challenges in accessing cancer preventive care, the CANCERLESS project implemented the Health Navigator Model (HNM)—a person-centered intervention that utilizes trained Health Navigators to provide tailored support and facilitate service access. Recognizing housing as a key determinant of health, this analysis assessed changes in housing status associated with participation in the HNM among CANCERLESS participants in Austria, Greece, Spain, and the UK. Methods: This was a secondary analysis of cross-national data collected during a single-arm interventional study. Of 652 enrolled PEH, 277 (42.5%) completed the HNM intervention follow-up and were included in the analysis. Changes in housing status from baseline to follow-up were categorized using the European Typology of Homelessness and Housing Exclusion (ETHOS) and treated as an ordered outcome. Descriptive statistics were complemented by a cumulative link mixed model with a participant random intercept to estimate the association between time (follow-up vs. baseline) and housing transitions among completers, adjusting for age, residence/legal status, and daily smoking. Results: Participants had a mean age of 47.4 (SD 13.8), prima</w:t>
      </w:r>
    </w:p>
    <w:p>
      <w:pPr/>
      <w:r>
        <w:rPr>
          <w:b/>
        </w:rPr>
        <w:t>POSSIBLE 2025:</w:t>
      </w:r>
      <w:r>
        <w:t xml:space="preserve"> Medial Meniscus Ramp Lesions: A Review of Treatment Methods and Clinical Outcomes — https://doi.org/10.35630/2025/15/3.304</w:t>
      </w:r>
    </w:p>
    <w:p>
      <w:pPr/>
      <w:r>
        <w:rPr>
          <w:b/>
        </w:rPr>
        <w:t>Shared claim-specific concepts:</w:t>
      </w:r>
      <w:r>
        <w:t xml:space="preserve"> strategies, ramp, conclusions; EU scope not established. This is a provisional connection, not an outcome finding.</w:t>
      </w:r>
    </w:p>
    <w:p>
      <w:pPr>
        <w:pStyle w:val="SourceNote"/>
      </w:pPr>
      <w:r>
        <w:rPr>
          <w:b/>
        </w:rPr>
        <w:t>Available abstract (not full text):</w:t>
      </w:r>
      <w:r>
        <w:t xml:space="preserve"> Introduction: Ramp lesions of the medial meniscus (tears at the meniscocapsular junction of the posterior horn) have historically been underdiagnosed but are now recognized as a common co-injury in anterior cruciate ligament (ACL) tears. Their prevalence, impact on knee biomechanics, and clinical outcomes following different treatment strategies remain subjects of increasing interest and debate. Objective: This review aims to summarize current anatomical knowledge, diagnostic approaches, classification systems, and treatment options for ramp lesions, with a focus on their relevance in arthroscopic surgery and rehabilitation outcomes. Results: MRI remains a widely used but imperfect diagnostic tool, with sensitivity ranging from 65% to 71%. Arthroscopic evaluation, particularly via posteromedial or trans-notch portals, is considered the gold standard. Treatment strategies depend on lesion stability: stable ramp lesions may be observed or treated with biological augmentation (e.g., abrasion or trephination), while unstable lesions typically require repair. Surgical techniques include all-inside sutures (anterior or posteromedial), inside-out methods, and hybrid approaches. Clinical outcomes following surgical repair are generally favorable, with improved IKDC and Lysholm scores. However, high-level evidence comparing treatment strategies remains limited. Conclusions: Unstable ram</w:t>
      </w:r>
    </w:p>
    <w:p>
      <w:pPr>
        <w:pStyle w:val="Heading2"/>
      </w:pPr>
      <w:r>
        <w:t>622. Scenarios of Automated Mobility in Austria: Implications for Future Transport Policy</w:t>
      </w:r>
    </w:p>
    <w:p>
      <w:pPr>
        <w:pStyle w:val="SourceNote"/>
      </w:pPr>
      <w:r>
        <w:rPr>
          <w:b/>
        </w:rPr>
        <w:t>Original source (2021):</w:t>
      </w:r>
      <w:r>
        <w:t xml:space="preserve"> https://doi.org/10.3390/futuretransp1030041</w:t>
      </w:r>
    </w:p>
    <w:p>
      <w:pPr/>
      <w:r>
        <w:t>Original wording (abstract; indexed_source_text_not_full_document_verified): The simulations show that, without suitable transport policy measures, automated mobility will lead to a significant increase in the volume of individual traffic and to modal shift effects with lower traffic volumes for public transport, walking and cycling. Hence, transport policy measures accompanying the introduction and development of automated vehicles will be needed in the future to reach a sustainable development.</w:t>
      </w:r>
    </w:p>
    <w:p>
      <w:pPr/>
      <w:r>
        <w:rPr>
          <w:b/>
        </w:rPr>
        <w:t>POSSIBLE 2026:</w:t>
      </w:r>
      <w:r>
        <w:t xml:space="preserve"> Sustainable aviation fuels in Europe: An agent-based simulation of market dynamics in a regulated competitive landscape — https://doi.org/10.18154/rwth-2026-04976</w:t>
      </w:r>
    </w:p>
    <w:p>
      <w:pPr/>
      <w:r>
        <w:rPr>
          <w:b/>
        </w:rPr>
        <w:t>Shared claim-specific concepts:</w:t>
      </w:r>
      <w:r>
        <w:t xml:space="preserve"> transport, lead; EU scope visible. This is a provisional connection, not an outcome finding.</w:t>
      </w:r>
    </w:p>
    <w:p>
      <w:pPr>
        <w:pStyle w:val="SourceNote"/>
      </w:pPr>
      <w:r>
        <w:rPr>
          <w:b/>
        </w:rPr>
        <w:t>Available abstract (not full text):</w:t>
      </w:r>
      <w:r>
        <w:t xml:space="preserve"> While many of the European Union's (EU) economic sectors successfully reduced emissions before the COVID-19 pandemic, transport and aviation in particular showed the opposite trend.With the Fit for 55 package, the EU initiated a political push to drive the sustainable transition in aviation.Taking into account the policy drive of the Fit for 55 package, we investigate the political market intervention in intra-European aviation, considering the potential role of sustainable aviation fuels (SAFs).For this purpose, an agent-based simulation modeling approach coupled with a system dynamics environment was developed to analyze market developments through both economic and ecological lenses.Two key stakeholders, customers (both passengers and freight companies) and airlines, are considered to capture the impacts of their behaviors and decisionmaking preferences in the adoption of SAFs.Several scenarios, based on different policy interventions, were considered in the analysis in order to comprehensively explore the impacts of further political developments.The results indicate that policy intervention can lead to a transition driven by sustainable sector performance and demand effects in response to price changes.Furthermore, as intended by the regulations, the results suggest that achieving the sustainable transition requires a shared responsibility amongst customers, industry playe</w:t>
      </w:r>
    </w:p>
    <w:p>
      <w:pPr/>
      <w:r>
        <w:rPr>
          <w:b/>
        </w:rPr>
        <w:t>POSSIBLE 2026:</w:t>
      </w:r>
      <w:r>
        <w:t xml:space="preserve"> Sustainable aviation fuels in Europe: An agent-based simulation of market dynamics in a regulated competitive landscape — https://doi.org/10.1016/j.tranpol.2026.104158</w:t>
      </w:r>
    </w:p>
    <w:p>
      <w:pPr/>
      <w:r>
        <w:rPr>
          <w:b/>
        </w:rPr>
        <w:t>Shared claim-specific concepts:</w:t>
      </w:r>
      <w:r>
        <w:t xml:space="preserve"> transport, lead; EU scope visible. This is a provisional connection, not an outcome finding.</w:t>
      </w:r>
    </w:p>
    <w:p>
      <w:pPr>
        <w:pStyle w:val="SourceNote"/>
      </w:pPr>
      <w:r>
        <w:rPr>
          <w:b/>
        </w:rPr>
        <w:t>Available abstract (not full text):</w:t>
      </w:r>
      <w:r>
        <w:t xml:space="preserve"> While many of the European Union’s (EU) economic sectors successfully reduced emissions before the COVID-19 pandemic, transport and aviation in particular showed the opposite trend. With the Fit for 55 package, the EU initiated a political push to drive the sustainable transition in aviation. Taking into account the policy drive of the Fit for 55 package, we investigate the political market intervention in intra-European aviation, considering the potential role of sustainable aviation fuels (SAFs). For this purpose, an agent-based simulation modeling approach coupled with a system dynamics environment was developed to analyze market developments through both economic and ecological lenses. Two key stakeholders, customers (both passengers and freight companies) and airlines, are considered to capture the impacts of their behaviors and decision-making preferences in the adoption of SAFs. Several scenarios, based on different policy interventions, were considered in the analysis in order to comprehensively explore the impacts of further political developments. The results indicate that policy intervention can lead to a transition driven by sustainable sector performance and demand effects in response to price changes. Furthermore, as intended by the regulations, the results suggest that achieving the sustainable transition requires a shared responsibility amongst customers, indust</w:t>
      </w:r>
    </w:p>
    <w:p>
      <w:pPr/>
      <w:r>
        <w:rPr>
          <w:b/>
        </w:rPr>
        <w:t>POSSIBLE 2026:</w:t>
      </w:r>
      <w:r>
        <w:t xml:space="preserve"> Transport-related effects of rail-based urban parcel transport: scenario analysis and policy implications — https://doi.org/10.1016/j.trpro.2026.04.120</w:t>
      </w:r>
    </w:p>
    <w:p>
      <w:pPr/>
      <w:r>
        <w:rPr>
          <w:b/>
        </w:rPr>
        <w:t>Shared claim-specific concepts:</w:t>
      </w:r>
      <w:r>
        <w:t xml:space="preserve"> simulations, show, transport, shift, volumes; EU scope not established. This is a provisional connection, not an outcome finding.</w:t>
      </w:r>
    </w:p>
    <w:p>
      <w:pPr>
        <w:pStyle w:val="SourceNote"/>
      </w:pPr>
      <w:r>
        <w:rPr>
          <w:b/>
        </w:rPr>
        <w:t>Available abstract (not full text):</w:t>
      </w:r>
      <w:r>
        <w:t xml:space="preserve"> The rapid growth of e-commerce has led to increased parcel volumes, posing challenges for sustainable city logistics. This study evaluates the potential of a combined cargo and passenger tram system as an alternative to light commercial vehicle (LCV) shipments. Empirically extending the agent-based freight demand model ‘logiTopp’, transport-related effects are analyzed through scenario simulations. Results show that a cargo tram can shift LCV mileage to sustainable modes, though the overall shift exceeds saved LCV mileage. The study highlights operational challenges like missing rail access at distribution centres and emphasizes the need for policy incentives to foster the cargo tram’s potential.</w:t>
      </w:r>
    </w:p>
    <w:p>
      <w:pPr/>
      <w:r>
        <w:rPr>
          <w:b/>
        </w:rPr>
        <w:t>POSSIBLE 2025:</w:t>
      </w:r>
      <w:r>
        <w:t xml:space="preserve"> Future Changes of European Windstorm Losses in EURO-CORDEX Simulations — https://doi.org/10.16993/tellusa.4094</w:t>
      </w:r>
    </w:p>
    <w:p>
      <w:pPr/>
      <w:r>
        <w:rPr>
          <w:b/>
        </w:rPr>
        <w:t>Shared claim-specific concepts:</w:t>
      </w:r>
      <w:r>
        <w:t xml:space="preserve"> simulations, show, without, increase, individual; EU scope visible. This is a provisional connection, not an outcome finding.</w:t>
      </w:r>
    </w:p>
    <w:p>
      <w:pPr>
        <w:pStyle w:val="SourceNote"/>
      </w:pPr>
      <w:r>
        <w:rPr>
          <w:b/>
        </w:rPr>
        <w:t>Available abstract (not full text):</w:t>
      </w:r>
      <w:r>
        <w:t xml:space="preserve"> Windstorms are one of the most important natural hazards affecting Europe. This article investigates the potential impacts of climate change on windstorm losses in Europe employing the Loss Index (LI) method. A large EURO-CORDEX multi-model ensemble at 12 km resolution with 20 different general circulation model to regional climate model (GCM-RCM) chains following the historical plus RCP8.5 scenario is considered. A comparison between the simulated historical 10 m wind gusts and ERA5 reanalysis reveals substantial model biases. An Empirical Quantile Mapping method is employed to bias-correct the daily wind gust speeds, leading to the effective reduction of these biases. Considering different global warming levels (GWLs), our results show an increase in windstorm intensity for Western, Central and Eastern Europe in a warming world, and a general decrease in windstorm frequency for large parts of Europe. While the ensemble mean changes are mostly moderate for +2°C world, signals are more pronounced for +3°C. The projected changes in windstorm losses are small and mostly non-robust, with negative trends for Central Europe and positive trends for Eastern Europe. For the most extreme loss events, the EURO-CORDEX ensemble projects shorter return periods for Eastern Europe independent of the GWL, while no clear trends for Core Europe emerge. Our results show a large spread between the</w:t>
      </w:r>
    </w:p>
    <w:p>
      <w:pPr/>
      <w:r>
        <w:rPr>
          <w:b/>
        </w:rPr>
        <w:t>POSSIBLE 2025:</w:t>
      </w:r>
      <w:r>
        <w:t xml:space="preserve"> Attribution of flood impacts shows strong benefits of adaptation in Europe since 1950 — https://doi.org/10.1126/sciadv.adt7068</w:t>
      </w:r>
    </w:p>
    <w:p>
      <w:pPr/>
      <w:r>
        <w:rPr>
          <w:b/>
        </w:rPr>
        <w:t>Shared claim-specific concepts:</w:t>
      </w:r>
      <w:r>
        <w:t xml:space="preserve"> show, individual, lower; EU scope visible. This is a provisional connection, not an outcome finding.</w:t>
      </w:r>
    </w:p>
    <w:p>
      <w:pPr>
        <w:pStyle w:val="SourceNote"/>
      </w:pPr>
      <w:r>
        <w:rPr>
          <w:b/>
        </w:rPr>
        <w:t>Available abstract (not full text):</w:t>
      </w:r>
      <w:r>
        <w:t xml:space="preserve"> Abstract Flood impacts in Europe are considered to be increasing, especially in connection to climate change. However, attribution of impacts to climatic and societal drivers of past floods has been limited to a selection of recent events. Here, we present an impact attribution study covering 1729 riverine, coastal and compound events that were responsible for the large majority of flood-related impacts in Europe between 1950 and 2020. We show that in most regions the magnitude of flood impacts has been regulated primarily by the opposing direct human actions. On the one hand, the population and economic value at risk have increased, exacerbated by land use change. However, it was compensated by improved risk management, manifested by better flood protection and lower vulnerability. Climate change and human alterations of river catchments were also important drivers in many regions, but ultimately less relevant for trends in total, continental-wide impacts. Overall, our study highlights the need for multidimensional impact attribution of past natural hazards. Attribution results for individual events are available on https://naturalhazards.eu/.</w:t>
      </w:r>
    </w:p>
    <w:p>
      <w:pPr/>
      <w:r>
        <w:rPr>
          <w:b/>
        </w:rPr>
        <w:t>POSSIBLE 2025:</w:t>
      </w:r>
      <w:r>
        <w:t xml:space="preserve"> Europe's way from natural gas to green hydrogen: Modeling and simulation of the transforming European gas transport infrastructure — https://doi.org/10.1016/j.ijhydene.2025.04.408</w:t>
      </w:r>
    </w:p>
    <w:p>
      <w:pPr/>
      <w:r>
        <w:rPr>
          <w:b/>
        </w:rPr>
        <w:t>Shared claim-specific concepts:</w:t>
      </w:r>
      <w:r>
        <w:t xml:space="preserve"> simulations, show, transport; EU scope visible. This is a provisional connection, not an outcome finding.</w:t>
      </w:r>
    </w:p>
    <w:p>
      <w:pPr>
        <w:pStyle w:val="SourceNote"/>
      </w:pPr>
      <w:r>
        <w:rPr>
          <w:b/>
        </w:rPr>
        <w:t>Available abstract (not full text):</w:t>
      </w:r>
      <w:r>
        <w:t xml:space="preserve"> Achieving the EU's 2050 climate neutrality target requires rapid energy system transformation, with hydrogen expected to play a central role. This study presents a high-resolution modeling framework to support the transition of Europe's natural gas infrastructure into a cost-efficient hydrogen network while maintaining residual gas transport capabilities. Using the Steiner tree algorithm, optimized hydrogen network topologies were derived by repurposing existing pipelines and selectively building new corridors. Scenario data were spatially and temporally disaggregated to NUTS-3 and hourly resolution. Fluid-dynamic simulations for 2030, 2040, and 2050 validate the technical feasibility and identify infrastructure bottlenecks. Results show that by 2040, 98 % of the projected 38,000 km hydrogen network can be repurposed infrastructure, requiring an estimated €72.5 billion investment by 2050. The proposed methodology enables scalable and adaptive planning and offers critical insights into hydrogen corridor prioritization, infrastructure phasing, and cross-border coordination, supporting policy and investment decisions across the EU energy landscape.</w:t>
      </w:r>
    </w:p>
    <w:p>
      <w:pPr/>
      <w:r>
        <w:rPr>
          <w:b/>
        </w:rPr>
        <w:t>POSSIBLE 2025:</w:t>
      </w:r>
      <w:r>
        <w:t xml:space="preserve"> An Agent-based simulation model for vehicle fleet growth to review public policies for transport demand management — https://doi.org/10.17533/udea.redin.20250472</w:t>
      </w:r>
    </w:p>
    <w:p>
      <w:pPr/>
      <w:r>
        <w:rPr>
          <w:b/>
        </w:rPr>
        <w:t>Shared claim-specific concepts:</w:t>
      </w:r>
      <w:r>
        <w:t xml:space="preserve"> transport, increase, traffic; EU scope not established. This is a provisional connection, not an outcome finding.</w:t>
      </w:r>
    </w:p>
    <w:p>
      <w:pPr>
        <w:pStyle w:val="SourceNote"/>
      </w:pPr>
      <w:r>
        <w:rPr>
          <w:b/>
        </w:rPr>
        <w:t>Available abstract (not full text):</w:t>
      </w:r>
      <w:r>
        <w:t xml:space="preserve"> The increase in the number of vehicles in highly dense areas with a limited road network has become a challenge for main cities worldwide. Recent decades demographic and economic growth has generated a gradual increase in traffic congestion and the commutation times of inhabitants, which directly affects their productivity and quality of life. To counteract these impacts, governments have implemented Travel Demand Management (TDM) that restrict the circulation of private vehicles to reduce traffic congestion, while discouraging their acquisition and promoting the use of public transport. However, due to their coercive characteristics, the effectiveness of TDM to discourage the acquisition of private vehicles and their long-term effect on controlling the growth of the vehicle fleet has been harshly questioned. This research presents the recent scientific methodologies to estimate variations in car fleet growth and shows estimation variables in Medellín city using publicly available databases, as well as one method proper for the selection of the proper evaluation model. These set up scenarios for projecting the vehicle fleet based on the implementation of public policies for demand management of demand such as the restriction due to license plate-based (L&amp;P) use and scrapping. This allows for evaluating the relationship between vehicle age allowed for the circulation of vehicles</w:t>
      </w:r>
    </w:p>
    <w:p>
      <w:pPr/>
      <w:r>
        <w:rPr>
          <w:b/>
        </w:rPr>
        <w:t>POSSIBLE 2025:</w:t>
      </w:r>
      <w:r>
        <w:t xml:space="preserve"> A diagnostic intercomparison of modeled ozone dry deposition over North America and Europe using AQMEII4 regional-scale simulations — https://doi.org/10.5194/acp-25-12629-2025</w:t>
      </w:r>
    </w:p>
    <w:p>
      <w:pPr/>
      <w:r>
        <w:rPr>
          <w:b/>
        </w:rPr>
        <w:t>Shared claim-specific concepts:</w:t>
      </w:r>
      <w:r>
        <w:t xml:space="preserve"> simulations, significant, increase; EU scope visible. This is a provisional connection, not an outcome finding.</w:t>
      </w:r>
    </w:p>
    <w:p>
      <w:pPr>
        <w:pStyle w:val="SourceNote"/>
      </w:pPr>
      <w:r>
        <w:rPr>
          <w:b/>
        </w:rPr>
        <w:t>Available abstract (not full text):</w:t>
      </w:r>
      <w:r>
        <w:t xml:space="preserve"> This study analyzes ozone (O3) dry deposition fluxes and velocities (Vd) from twelve regional-scale simulations that were performed over North America and Europe in Phase 4 of the Air Quality Model Evaluation International Initiative (AQMEII4). AQMEII4 collected grid-aggregated and land use (LU)-specific O3 Vd and effective conductances and fluxes for the four major dry deposition pathways. Consistent with recent findings in the AQMEII4 point model intercomparison study, analysis of the grid-aggregated fields shows that grid models with similar Vd can exhibit significant differences in the absolute and relative contributions of the different depositional pathways. Analysis of LU-specific Vd and effective conductances reveals a general increase in model spread compared to grid-aggregated values. This indicates that an analysis of only grid-aggregated deposition diagnostics can mask process-specific differences that exist between schemes. An analysis of AQMEII4 LU distributions across models revealed substantial differences in the spatial patterns and abundance of certain LU categories over both domains, especially for non-forest partially vegetated categories such as agricultural areas, shrubland, and grassland. We demonstrate that these differences can significantly contribute to or even drive differences in LU-specific dry deposition fluxes which can increase the variability i</w:t>
      </w:r>
    </w:p>
    <w:p>
      <w:pPr/>
      <w:r>
        <w:rPr>
          <w:b/>
        </w:rPr>
        <w:t>POSSIBLE 2025:</w:t>
      </w:r>
      <w:r>
        <w:t xml:space="preserve"> Exploring the impact of autonomous vehicles on youth mobility through focus groups and simulations — https://doi.org/10.1016/j.trip.2025.101723</w:t>
      </w:r>
    </w:p>
    <w:p>
      <w:pPr/>
      <w:r>
        <w:rPr>
          <w:b/>
        </w:rPr>
        <w:t>Shared claim-specific concepts:</w:t>
      </w:r>
      <w:r>
        <w:t xml:space="preserve"> simulations, transport, mobility, significant, shift, walking; EU scope visible. This is a provisional connection, not an outcome finding.</w:t>
      </w:r>
    </w:p>
    <w:p>
      <w:pPr>
        <w:pStyle w:val="SourceNote"/>
      </w:pPr>
      <w:r>
        <w:rPr>
          <w:b/>
        </w:rPr>
        <w:t>Available abstract (not full text):</w:t>
      </w:r>
      <w:r>
        <w:t xml:space="preserve"> • Teenagers prefer AVs for independence and flexibility. • Simulation shows shift towards robotaxis, less walking and public transport. • Girls are more likely to use robotaxis, highlighting gender preferences. • Policies needed to balance AV usage with active modes and public transport. The imminent introduction of autonomous vehicles (AVs) represents a significant revolution in transportation, offering unique opportunities to enhance the sustainability and efficiency of urban transport systems. This study uniquely combines qualitative focus groups with European school students and quantitative activity-based simulation models to compare teenagers’ reactions to AVs. Focus groups gathered insights into their current mobility habits and perceptions of AVs. The simulation model then evaluated the potential impacts of AVs, specifically robotaxis and autonomous shuttles, on teenagers’ travel behaviour in Santander, Spain. The results reveal a strong interest in AVs among teenagers, particularly for the independence and flexibility they offer. However, practical considerations such as cost, availability, and parental preferences continue to influence their mobility choices. The simulation results indicate a significant shift towards robotaxis, reducing walking and public transport usage. Gender-specific preferences were also noted, with girls being more likely to use robotaxis. The </w:t>
      </w:r>
    </w:p>
    <w:p>
      <w:pPr/>
      <w:r>
        <w:rPr>
          <w:b/>
        </w:rPr>
        <w:t>POSSIBLE 2025:</w:t>
      </w:r>
      <w:r>
        <w:t xml:space="preserve"> Reviewing autonomous vehicle simulation literature: policy insights for transportation — https://doi.org/10.1080/01441647.2025.2545224</w:t>
      </w:r>
    </w:p>
    <w:p>
      <w:pPr/>
      <w:r>
        <w:rPr>
          <w:b/>
        </w:rPr>
        <w:t>Shared claim-specific concepts:</w:t>
      </w:r>
      <w:r>
        <w:t xml:space="preserve"> significant, increase; EU scope not established. This is a provisional connection, not an outcome finding.</w:t>
      </w:r>
    </w:p>
    <w:p>
      <w:pPr>
        <w:pStyle w:val="SourceNote"/>
      </w:pPr>
      <w:r>
        <w:rPr>
          <w:b/>
        </w:rPr>
        <w:t>Available abstract (not full text):</w:t>
      </w:r>
      <w:r>
        <w:t xml:space="preserve"> As autonomous vehicle (AV) technology progresses, a substantial amount of AV simulation work has studied potential future outcomes that could occur given different assumptions, scopes and technologies. As a revolutionary technology, AVs could have significant impacts on urban economic, environmental and social systems. In many cases, the research is directed towards decisionmakers: transportation authorities, policymakers and fleet operators. However, due to the complexity and uncertainty of AV adoption in interconnected urban systems such as transportation and land use, it is difficult for policymakers to understand the overlapping policy suggestions and results across the many simulation studies. In this paper, we summarise the suggested policies in AV simulation research from 170 studies published during 2016–2024 and provide context for the policies being suggested. Specifically, the key question we try to answer is: what are the recommended AV policies based on simulation studies? Many simulation results have shown increased vehicle miles/kilometers travelled (VMT/VKT) due to induced demand, empty vehicle repositioning, or cruising instead of parking. In response, we found common policy recommendations such as congestion pricing, subsidising car-sharing and ride-pooling, increasing parking costs, investing in public transportation and restricting AV demand as ways to addre</w:t>
      </w:r>
    </w:p>
    <w:p>
      <w:pPr/>
      <w:r>
        <w:rPr>
          <w:b/>
        </w:rPr>
        <w:t>POSSIBLE 2025:</w:t>
      </w:r>
      <w:r>
        <w:t xml:space="preserve"> Assessing innovative transport technologies and policies — https://doi.org/10.5463/thesis.1257</w:t>
      </w:r>
    </w:p>
    <w:p>
      <w:pPr/>
      <w:r>
        <w:rPr>
          <w:b/>
        </w:rPr>
        <w:t>Shared claim-specific concepts:</w:t>
      </w:r>
      <w:r>
        <w:t xml:space="preserve"> show, transport, mobility, increase; EU scope visible. This is a provisional connection, not an outcome finding.</w:t>
      </w:r>
    </w:p>
    <w:p>
      <w:pPr>
        <w:pStyle w:val="SourceNote"/>
      </w:pPr>
      <w:r>
        <w:rPr>
          <w:b/>
        </w:rPr>
        <w:t>Available abstract (not full text):</w:t>
      </w:r>
      <w:r>
        <w:t xml:space="preserve"> This thesis studies innovative transport technologies and policies, specifically tradable permits and autonomous vehicles (AVs), using spatial general-equilibrium models in both monocentric and polycentric settings. Using the monocentric model, we find that an allocation of tradable mobility permits to households in proportion to their labor supply can achieve nearly first-best welfare outcomes, outperforming the other allocations analyzed (uniform across households, proportional to distance to the CBD, and proportional to kilometers traveled), and also outperforming a flat kilometer road pricing scheme. This is due to the allocation proportional to labor supply having an effect that is analogous to the revenue recycling effects of road pricing, but with greater flexibility since the allocation of permits together with the price per kilometer are decided by the planner. We analyze the welfare and distributional aspects of AVs by adding heterogeneity in households' income to the monocentric city model, also studying the effects of labor tax adjustments that are possible due to the variation in labor supply induced by AVs. We find that AVs increase aggregate welfare in all the simulated scenarios, but the distributional impacts vary. In cities where the high-income households are initially located closer to the CBD (the EU city) low-skilled households exhibit welfare losses due t</w:t>
      </w:r>
    </w:p>
    <w:p>
      <w:pPr/>
      <w:r>
        <w:rPr>
          <w:b/>
        </w:rPr>
        <w:t>POSSIBLE 2025:</w:t>
      </w:r>
      <w:r>
        <w:t xml:space="preserve"> Variability of transport emissions and policy implications for the transition towards low-carbon transport — https://doi.org/10.1080/12265934.2025.2452512</w:t>
      </w:r>
    </w:p>
    <w:p>
      <w:pPr/>
      <w:r>
        <w:rPr>
          <w:b/>
        </w:rPr>
        <w:t>Shared claim-specific concepts:</w:t>
      </w:r>
      <w:r>
        <w:t xml:space="preserve"> transport, significant; EU scope not established. This is a provisional connection, not an outcome finding.</w:t>
      </w:r>
    </w:p>
    <w:p>
      <w:pPr>
        <w:pStyle w:val="SourceNote"/>
      </w:pPr>
      <w:r>
        <w:rPr>
          <w:b/>
        </w:rPr>
        <w:t>Available abstract (not full text):</w:t>
      </w:r>
      <w:r>
        <w:t xml:space="preserve"> This paper investigates intra-week variability of transport emissions using 2019 English National Travel Survey data. The unique lens of emissions variability sheds new light on the conceptualization, measurement and challenges of sustainable travel. Specifically, our analysis shows significant heterogeneity along three dimensions, (1) intra-week travel emissions; (2) the level and the variability of weekly emissions within each generic socio-economic group; and (3) latent emissions profiles across the population, which are identified using a latent profile model. Our empirical analysis demonstrates that the socio-economic status alone cannot capture the nuanced emission characteristics across traveller groups. The positive correlation between socio-economic status and travel emissions is subject to significant compositional effects. It is argued that transport sustainability is a relative term, and its definition and usefulness in a policy context are dependent on the benchmark selected. The paper calls for a more purposeful and relatable approach for segmenting travellers in designing sustainable travel policies. A dual focus on the level and the variability of travel emissions offers a new perspective for understanding travel behaviour heterogeneity and adaptability.HighlightsSignificant intra-week variability of transport emissions in EnglandLatent travel emissions profiles</w:t>
      </w:r>
    </w:p>
    <w:p>
      <w:pPr>
        <w:pStyle w:val="Heading2"/>
      </w:pPr>
      <w:r>
        <w:t>623. Scenario‐based fertility projections incorporating impacts of COVID‐19</w:t>
      </w:r>
    </w:p>
    <w:p>
      <w:pPr>
        <w:pStyle w:val="SourceNote"/>
      </w:pPr>
      <w:r>
        <w:rPr>
          <w:b/>
        </w:rPr>
        <w:t>Original source (2021):</w:t>
      </w:r>
      <w:r>
        <w:t xml:space="preserve"> https://doi.org/10.1002/psp.2546</w:t>
      </w:r>
    </w:p>
    <w:p>
      <w:pPr/>
      <w:r>
        <w:t>Original wording (abstract; indexed_source_text_not_full_document_verified): Our projections show that for three scenarios out of four, fertility is expected to decline over the next 3 years, leading to significantly fewer births annually compared with the pre‐pandemic period. Abstract This paper examines the recent declines in period fertility in the constituent countries of the UK during the past decade and speculates mechanisms through which the COVID‐19 pandemic could influence childbearing in the UK.</w:t>
      </w:r>
    </w:p>
    <w:p>
      <w:pPr/>
      <w:r>
        <w:rPr>
          <w:b/>
        </w:rPr>
        <w:t>POSSIBLE 2026:</w:t>
      </w:r>
      <w:r>
        <w:t xml:space="preserve"> The Inevitability of Projection: The Three-Term Equation as the Mother Equation of the Quantum Blueprint Formalism — https://doi.org/10.5281/zenodo.18527042</w:t>
      </w:r>
    </w:p>
    <w:p>
      <w:pPr/>
      <w:r>
        <w:rPr>
          <w:b/>
        </w:rPr>
        <w:t>Shared claim-specific concepts:</w:t>
      </w:r>
      <w:r>
        <w:t xml:space="preserve"> show, three, fewer; EU scope not established. This is a provisional connection, not an outcome finding.</w:t>
      </w:r>
    </w:p>
    <w:p>
      <w:pPr>
        <w:pStyle w:val="SourceNote"/>
      </w:pPr>
      <w:r>
        <w:rPr>
          <w:b/>
        </w:rPr>
        <w:t>Available abstract (not full text):</w:t>
      </w:r>
      <w:r>
        <w:t xml:space="preserve"> The Quantum Blueprint Formalism (QBF) has developed, across eighteen papers and two books, a hierarchy of dynamical equations governing coherence, consciousness, selfconsciousness, cosmological evolution, and — most recently — reprojection dynamics. A striking structural fact has emerged but has not been formally established: every dynamical equation in the QBF is an instance of a single three-term equation, the Fokker–Planck equation on the pre-coherent space Ms: J_s = −D_s ∇ρ_s − ρ_s ∇Φ + Ω_s ρ_s with diffusion, drift, and circulation as the three structural components. This paper establishes three results. First (the Mother Equation Theorem): we show that all QBF dynamical equations — on MΘ, on belief space, on self-model space, on the projection landscape L, and on the reprojection space Lid — are formally isomorphic to this equation, differing only in the state space, the functional that generates drift, and the algebraic structure that generates circulation. Second (the Transcendental Correspondence): we show that the three terms of the equation correspond exactly to the three admissibility conditions (A1)–(A3), which in turn correspond to the three transcendental conditions for coherent structure: identity, temporality, and distinction. The equation has three terms because coherent structure requires exactly three conditions — neither more nor fewer. Third (the Inevitabi</w:t>
      </w:r>
    </w:p>
    <w:p>
      <w:pPr/>
      <w:r>
        <w:rPr>
          <w:b/>
        </w:rPr>
        <w:t>POSSIBLE 2026:</w:t>
      </w:r>
      <w:r>
        <w:t xml:space="preserve"> Do Transformers Need Three Projections? Systematic Study of QKV Variants — https://doi.org/10.48550/arxiv.2606.04032</w:t>
      </w:r>
    </w:p>
    <w:p>
      <w:pPr/>
      <w:r>
        <w:rPr>
          <w:b/>
        </w:rPr>
        <w:t>Shared claim-specific concepts:</w:t>
      </w:r>
      <w:r>
        <w:t xml:space="preserve"> projections, show, three; EU scope not established. This is a provisional connection, not an outcome finding.</w:t>
      </w:r>
    </w:p>
    <w:p>
      <w:pPr>
        <w:pStyle w:val="SourceNote"/>
      </w:pPr>
      <w:r>
        <w:rPr>
          <w:b/>
        </w:rPr>
        <w:t>Available abstract (not full text):</w:t>
      </w:r>
      <w:r>
        <w:t xml:space="preserve"> Transformers have become the standard solution for various AI tasks, with the query, key, and value (QKV) attention formulation playing a central role. However, the individual contribution of these three projections and the impact of omitting some remain poorly understood. We systematically evaluate three projection sharing constraints: a) Q-K=V (shared key-value), b) Q=K-V (shared query-key), and c) Q=K=V (single projection). The last two variants produce symmetric attention maps; to address this, we also explore asymmetric attention via 2D positional encodings. Through experiments spanning synthetic tasks, vision (MNIST, CIFAR, TinyImageNet, anomaly), and language modeling (300M and 1.2B parameter models on 10B tokens), we discovered that our transformers perform on par or occasionally better than the QKV transformer. In language modeling, Q-K=V projection sharing achieves 50% KV cache reduction with only 3.1% perplexity degradation. Crucially, projection sharing is complementary to head sharing (GQA/MQA): combining Q-K=V with GQA-4 yields 87.5% cache reduction, while Q-K=V + MQA achieves 96.9%, enabling practical on-device inference. We show that Q-K=V preserves quality because keys and values can occupy similar representational spaces and attention operates in a low-rank regime, whereas Q=K-V breaks attention directionality. Our results systematically characterize projectio</w:t>
      </w:r>
    </w:p>
    <w:p>
      <w:pPr/>
      <w:r>
        <w:rPr>
          <w:b/>
        </w:rPr>
        <w:t>POSSIBLE 2026:</w:t>
      </w:r>
      <w:r>
        <w:t xml:space="preserve"> Geometry, Sound, and Time as Three Projections of One Contact Band — https://doi.org/10.5281/zenodo.19593317</w:t>
      </w:r>
    </w:p>
    <w:p>
      <w:pPr/>
      <w:r>
        <w:rPr>
          <w:b/>
        </w:rPr>
        <w:t>Shared claim-specific concepts:</w:t>
      </w:r>
      <w:r>
        <w:t xml:space="preserve"> projections, show, three, leading; EU scope not established. This is a provisional connection, not an outcome finding.</w:t>
      </w:r>
    </w:p>
    <w:p>
      <w:pPr>
        <w:pStyle w:val="SourceNote"/>
      </w:pPr>
      <w:r>
        <w:rPr>
          <w:b/>
        </w:rPr>
        <w:t>Available abstract (not full text):</w:t>
      </w:r>
      <w:r>
        <w:t xml:space="preserve"> The wave operator φ²∇², Roy Herbert's log-lattice invariant N₁N₂N₃=K, and the Hopf saturation coefficient g=φ² are three projections of the same Hessian of V=−ln det(X) on the exceptional Jordan algebra J₃(𝕆), evaluated in three measurement geometries: acoustic, temporal, and dynamical. We derive the leading wave operator on the 24-dimensional slice of J₃(𝕆) and show that its propagation speed is φ. Rodriguez-Vega et al. (2024) phonon gaps at φ-scaled energies in icosahedral quasicrystals confirm the acoustic face. The substrate is identified as Cahill's Dynamical 3-Space — a liquid quasicrystal of ZEO causal diamonds — and Bohm's holomovement is realised as the Reeb flow on the contact manifold. Related papers: DOI 10.5281/zenodo.19570725 (g=φ²) and DOI 10.5281/zenodo.19585972 (N₁N₂N₃=K).</w:t>
      </w:r>
    </w:p>
    <w:p>
      <w:pPr/>
      <w:r>
        <w:rPr>
          <w:b/>
        </w:rPr>
        <w:t>POSSIBLE 2026:</w:t>
      </w:r>
      <w:r>
        <w:t xml:space="preserve"> On the Reverse Projection Inequality — https://doi.org/10.5281/zenodo.22037129</w:t>
      </w:r>
    </w:p>
    <w:p>
      <w:pPr/>
      <w:r>
        <w:rPr>
          <w:b/>
        </w:rPr>
        <w:t>Shared claim-specific concepts:</w:t>
      </w:r>
      <w:r>
        <w:t xml:space="preserve"> show, three, abstract; EU scope not established. This is a provisional connection, not an outcome finding.</w:t>
      </w:r>
    </w:p>
    <w:p>
      <w:pPr>
        <w:pStyle w:val="SourceNote"/>
      </w:pPr>
      <w:r>
        <w:rPr>
          <w:b/>
        </w:rPr>
        <w:t>Available abstract (not full text):</w:t>
      </w:r>
      <w:r>
        <w:t xml:space="preserve"> In \cite {ChenFengLiXiXu2026}, a reverse projection inequality for general convex bodies was established in three dimensions. In this paper, we completely characterize the equality cases of this inequality. We further show that the reverse projection inequality fails in every dimension $n\geq9$. The counterexamples are constructed as full-dimensional polytopes with at most $n+2$ facets. \end{abstract}</w:t>
      </w:r>
    </w:p>
    <w:p>
      <w:pPr/>
      <w:r>
        <w:rPr>
          <w:b/>
        </w:rPr>
        <w:t>POSSIBLE 2026:</w:t>
      </w:r>
      <w:r>
        <w:t xml:space="preserve"> The Grammar of Addressability: Recognition, Projection, and the Continuous Gradient — https://doi.org/10.5281/zenodo.21840862</w:t>
      </w:r>
    </w:p>
    <w:p>
      <w:pPr/>
      <w:r>
        <w:rPr>
          <w:b/>
        </w:rPr>
        <w:t>Shared claim-specific concepts:</w:t>
      </w:r>
      <w:r>
        <w:t xml:space="preserve"> projections, three, next; EU scope not established. This is a provisional connection, not an outcome finding.</w:t>
      </w:r>
    </w:p>
    <w:p>
      <w:pPr>
        <w:pStyle w:val="SourceNote"/>
      </w:pPr>
      <w:r>
        <w:rPr>
          <w:b/>
        </w:rPr>
        <w:t>Available abstract (not full text):</w:t>
      </w:r>
      <w:r>
        <w:t xml:space="preserve"> Description This archive brings together three documents that articulate one structure from three distinct addresses: The Note — recognitionFrom Availability to Projection — derivationThe Continuous Gradient — unfolding They are included together because none is simply a shorter or longer version of the others. Each performs a different function. Together they trace one movement: from direct recognition,to explicit derivation,to the consequences that become visible once the derived structure is carried across domains. The Note — Recognition The Note presents the grammar at the address of immediate recognition. It begins from a single statement: There is only addressability. Not a field containing things.Not a space in which events occur.Not a substrate beneath appearance. Addressability is treated as the immediate availability for pattern to instantiate. From there, the document articulates distinction and unity as conjugate rather than opposed, and identifies three inseparable aspects of one articulation: the formative,the operator,the containing — phenomenologically recognizable as: Awareness.Address.Occurrence. The document then develops the distinction between fragmentation and coherence: Fragmentation is differentiation with suppression.Coherence is differentiation without suppression. Relation is primary. What appears as self, other, body, memory, desire, integration, see</w:t>
      </w:r>
    </w:p>
    <w:p>
      <w:pPr/>
      <w:r>
        <w:rPr>
          <w:b/>
        </w:rPr>
        <w:t>POSSIBLE 2026:</w:t>
      </w:r>
      <w:r>
        <w:t xml:space="preserve"> The Long‐Term Trends in Cohort Fertility: Global, Regional and National Estimates and Projections for Cohorts Born in 1935–2055 — https://doi.org/10.1111/padr.70084</w:t>
      </w:r>
    </w:p>
    <w:p>
      <w:pPr/>
      <w:r>
        <w:rPr>
          <w:b/>
        </w:rPr>
        <w:t>Shared claim-specific concepts:</w:t>
      </w:r>
      <w:r>
        <w:t xml:space="preserve"> projections, fertility, births, compared, period, abstract; EU scope visible. This is a provisional connection, not an outcome finding.</w:t>
      </w:r>
    </w:p>
    <w:p>
      <w:pPr>
        <w:pStyle w:val="SourceNote"/>
      </w:pPr>
      <w:r>
        <w:rPr>
          <w:b/>
        </w:rPr>
        <w:t>Available abstract (not full text):</w:t>
      </w:r>
      <w:r>
        <w:t xml:space="preserve"> Abstract This study presents the first global dataset of fertility estimates and projections for cohorts of women born between 1935 and 2055. Leveraging the World Population Prospects 2024 revision, which provides single‐year single‐age fertility indicators for 1950–2100, we reconstructed cohort fertility profiles for all countries. These data offer a unique opportunity to analyze cohorts that have completed childbearing and those entering reproductive ages, extending analyses beyond countries traditionally covered by the Human Fertility Database (HFD). Cohort measures were derived by transforming period age‐specific fertility rates into Lexis triangles and aggregating them into cohort parallelograms, following HFD methodology. Validation against observed cohort data confirmed high accuracy of our estimates. Results revealed that cohort fertility declines have been more gradual than period declines, with substantial regional heterogeneity. Europe and Northern America reached replacement‐level cohort fertility with the 1946 cohort, while sub‐Saharan Africa is projected to remain above 2.3 births per woman for the 2055 cohort. In low‐fertility countries, completed cohort fertility is projected to fall below 1.5 births for the 1983 cohort in many cases. These findings underscore the stability of cohort measures compared to period indicators and highlight their value for understand</w:t>
      </w:r>
    </w:p>
    <w:p>
      <w:pPr/>
      <w:r>
        <w:rPr>
          <w:b/>
        </w:rPr>
        <w:t>POSSIBLE 2026:</w:t>
      </w:r>
      <w:r>
        <w:t xml:space="preserve"> Fertility in Turkey: The Current State and Future Trends — https://doi.org/10.38066/halic.btk9y2kj.chapter</w:t>
      </w:r>
    </w:p>
    <w:p>
      <w:pPr/>
      <w:r>
        <w:rPr>
          <w:b/>
        </w:rPr>
        <w:t>Shared claim-specific concepts:</w:t>
      </w:r>
      <w:r>
        <w:t xml:space="preserve"> fertility, examines, countries; EU scope not established. This is a provisional connection, not an outcome finding.</w:t>
      </w:r>
    </w:p>
    <w:p>
      <w:pPr>
        <w:pStyle w:val="SourceNote"/>
      </w:pPr>
      <w:r>
        <w:rPr>
          <w:b/>
        </w:rPr>
        <w:t>Available abstract (not full text):</w:t>
      </w:r>
      <w:r>
        <w:t xml:space="preserve"> Human beings are not merely biological entities; they are multidimensional beings who exist within networks of social relations, cultural values, economic conditions, belief systems, educational processes, and shared goals. Society, which emerges through interactions among individuals, likewise reflects this multidimensional structure and is subject to continuous change and transformation. Social reality, therefore, is not a static structure but a dynamic phenomenon that is constantly reshaped in accordance with the spirit of the time, historical conditions, and changing needs. Throughout history, political, economic, cultural, and technological developments have played decisive roles in the transformation of societies. Social policies, in particular, have become important instruments for responding to emerging needs resulting from social change and for restructuring the relationship between individuals and society. Issues such as gender equality, women’s rights, working life, economic participation, social security, fertility, digitalization, occupational health and safety, and cyber-based forms of work represent different dimensions of the transformations confronting contemporary societies. Understanding social change, therefore, requires not only identifying transformations occurring within society but also evaluating the social policies developed in response to these change</w:t>
      </w:r>
    </w:p>
    <w:p>
      <w:pPr/>
      <w:r>
        <w:rPr>
          <w:b/>
        </w:rPr>
        <w:t>POSSIBLE 2025:</w:t>
      </w:r>
      <w:r>
        <w:t xml:space="preserve"> On masas of the Calkin algebra generated by projections — https://doi.org/10.48550/arxiv.2512.06580</w:t>
      </w:r>
    </w:p>
    <w:p>
      <w:pPr/>
      <w:r>
        <w:rPr>
          <w:b/>
        </w:rPr>
        <w:t>Shared claim-specific concepts:</w:t>
      </w:r>
      <w:r>
        <w:t xml:space="preserve"> projections, three, compared; EU scope not established. This is a provisional connection, not an outcome finding.</w:t>
      </w:r>
    </w:p>
    <w:p>
      <w:pPr>
        <w:pStyle w:val="SourceNote"/>
      </w:pPr>
      <w:r>
        <w:rPr>
          <w:b/>
        </w:rPr>
        <w:t>Available abstract (not full text):</w:t>
      </w:r>
      <w:r>
        <w:t xml:space="preserve"> Assuming the continuum hypothesis CH, we obtain complete $*$-isomorphic classification of maximal abelian self-adjoint subalgebras (masas) of the Calkin algebra $\mathcal Q(\ell_2)$ (bounded operators on a separable Hilbert space modulo compact operators) generated by projections. In particular, for any compact totally disconnected Hausdorff space $K$ of weight not exceeding the continuum and not admitting $G_δ$ points we construct under CH a masa of $\mathcal Q(\ell_2)$ which is $*$-isomorphic to the algebra $C(K)$ of complex-valued continuous functions on $K$. This, among others, shows that masas of the Calkin algebra could have rather unexpected properties compared to the previously known three $*$-isomorphic types of them generated by projections: $\ell_\infty/c_0$, $L_\infty$ and $\ell_\infty/c_0\oplus L_\infty$. It can be shown that some additional set-theoretic hypothesis, like CH, is necessary for such results. However, without making any additional set-theoretic assumptions we still construct a family of maximal possible cardinality (of the power set of $\mathbb R$) of pairwise non-$*$-isomorphic masas of $\mathcal Q(\ell_2)$ generated by projections and with properties unlike the three above examples.</w:t>
      </w:r>
    </w:p>
    <w:p>
      <w:pPr/>
      <w:r>
        <w:rPr>
          <w:b/>
        </w:rPr>
        <w:t>POSSIBLE 2025:</w:t>
      </w:r>
      <w:r>
        <w:t xml:space="preserve"> Fertility concerns and fertility preservation in adolescent and adult men with cancer — https://doi.org/10.69622/29196932.v1</w:t>
      </w:r>
    </w:p>
    <w:p>
      <w:pPr/>
      <w:r>
        <w:rPr>
          <w:b/>
        </w:rPr>
        <w:t>Shared claim-specific concepts:</w:t>
      </w:r>
      <w:r>
        <w:t xml:space="preserve"> fertility, over, significantly, compared, recent; EU scope not established. This is a provisional connection, not an outcome finding.</w:t>
      </w:r>
    </w:p>
    <w:p>
      <w:pPr>
        <w:pStyle w:val="SourceNote"/>
      </w:pPr>
      <w:r>
        <w:rPr>
          <w:b/>
        </w:rPr>
        <w:t>Available abstract (not full text):</w:t>
      </w:r>
      <w:r>
        <w:t xml:space="preserve"> Long-term survival among young men with cancer have improved markedly in recent decades, shifting focus from life-saving treatments to long-term quality of life and reproductive health. Cancer treatments such as chemotherapy, radiotherapy, and surgery can impair spermatogenesis and fertility. Although sperm cryopreservation is the only established fertility preservation method for men, semen quality may be compromised already at diagnosis. Moreover, long-term reproductive outcomes and the psychosocial consequences of impaired fertility—such as distress and uncertainty about future parenthood—remain insufficiently understood. This thesis aimed to investigate biological and psychosocial aspects of fertility in men diagnosed with cancer, with a particular focus on patients with testicular cancer, the most common malignancy in young adult males. In Study I, 182 men with clinical stage I testicular cancer, recruited from two Swedish oncology centers between 2001 and 2006, were prospectively followed for five years to assess sperm quality after adjuvant treatment. Semen samples were collected at baseline (post-orchiectomy but before adjuvant therapy) and at 6, 12, 24, 36, and 60 months. The adjuvant treatments included radiotherapy (25.2 Gy in 14 fractions), chemotherapy with one cycle of bleomycin, etoposide, cisplatin or one cycle of carboplatin (AUC 7). One group was managed with </w:t>
      </w:r>
    </w:p>
    <w:p>
      <w:pPr/>
      <w:r>
        <w:rPr>
          <w:b/>
        </w:rPr>
        <w:t>POSSIBLE 2025:</w:t>
      </w:r>
      <w:r>
        <w:t xml:space="preserve"> Fertility concerns and fertility preservation in adolescent and adult men with cancer — https://doi.org/10.69622/29196932</w:t>
      </w:r>
    </w:p>
    <w:p>
      <w:pPr/>
      <w:r>
        <w:rPr>
          <w:b/>
        </w:rPr>
        <w:t>Shared claim-specific concepts:</w:t>
      </w:r>
      <w:r>
        <w:t xml:space="preserve"> fertility, over, significantly, compared, recent; EU scope not established. This is a provisional connection, not an outcome finding.</w:t>
      </w:r>
    </w:p>
    <w:p>
      <w:pPr>
        <w:pStyle w:val="SourceNote"/>
      </w:pPr>
      <w:r>
        <w:rPr>
          <w:b/>
        </w:rPr>
        <w:t>Available abstract (not full text):</w:t>
      </w:r>
      <w:r>
        <w:t xml:space="preserve"> Long-term survival among young men with cancer have improved markedly in recent decades, shifting focus from life-saving treatments to long-term quality of life and reproductive health. Cancer treatments such as chemotherapy, radiotherapy, and surgery can impair spermatogenesis and fertility. Although sperm cryopreservation is the only established fertility preservation method for men, semen quality may be compromised already at diagnosis. Moreover, long-term reproductive outcomes and the psychosocial consequences of impaired fertility—such as distress and uncertainty about future parenthood—remain insufficiently understood. This thesis aimed to investigate biological and psychosocial aspects of fertility in men diagnosed with cancer, with a particular focus on patients with testicular cancer, the most common malignancy in young adult males. In Study I, 182 men with clinical stage I testicular cancer, recruited from two Swedish oncology centers between 2001 and 2006, were prospectively followed for five years to assess sperm quality after adjuvant treatment. Semen samples were collected at baseline (post-orchiectomy but before adjuvant therapy) and at 6, 12, 24, 36, and 60 months. The adjuvant treatments included radiotherapy (25.2 Gy in 14 fractions), chemotherapy with one cycle of bleomycin, etoposide, cisplatin or one cycle of carboplatin (AUC 7). One group was managed with </w:t>
      </w:r>
    </w:p>
    <w:p>
      <w:pPr/>
      <w:r>
        <w:rPr>
          <w:b/>
        </w:rPr>
        <w:t>POSSIBLE 2025:</w:t>
      </w:r>
      <w:r>
        <w:t xml:space="preserve"> The increasing importance of changes in nuptiality: policy mismatch and fertility decline in low-fertility Asian societies — https://doi.org/10.1080/21620555.2025.2480296</w:t>
      </w:r>
    </w:p>
    <w:p>
      <w:pPr/>
      <w:r>
        <w:rPr>
          <w:b/>
        </w:rPr>
        <w:t>Shared claim-specific concepts:</w:t>
      </w:r>
      <w:r>
        <w:t xml:space="preserve"> fertility, decline, recent; EU scope not established. This is a provisional connection, not an outcome finding.</w:t>
      </w:r>
    </w:p>
    <w:p>
      <w:pPr>
        <w:pStyle w:val="SourceNote"/>
      </w:pPr>
      <w:r>
        <w:rPr>
          <w:b/>
        </w:rPr>
        <w:t>Available abstract (not full text):</w:t>
      </w:r>
      <w:r>
        <w:t xml:space="preserve"> Despite the strong relationship between marriage and childbearing in Asian societies, policies addressing “lowest-low” fertility have often prioritized parity progression within married couples while overlooking a concurrent and increasingly significant trend: the rising prevalence of delayed marriage and nonmarriage. Against this backdrop, we first discuss recent fertility trends and the role of marriage in declining fertility, then review policy efforts in South Korea, Japan, Taiwan, and Singapore, arguing that these pronatalist policies have been mistargeted. We subsequently examine the extent to which the decrease in fertility is attributable to changes in marital fertility versus shifts in nuptiality. Our decomposition analysis of fertility trends using data from the United Nations Population Division shows that while a decline in marital fertility played a dominant role during the initial stages of the fertility transition, nuptiality has been the primary driver of decreasing fertility rates in recent decades. These findings highlight the importance of the growing incidence of singlehood and the potential, albeit modest, increase in diverse family forms, both of which have received scant attention in policy discourse.</w:t>
      </w:r>
    </w:p>
    <w:p>
      <w:pPr/>
      <w:r>
        <w:rPr>
          <w:b/>
        </w:rPr>
        <w:t>POSSIBLE 2025:</w:t>
      </w:r>
      <w:r>
        <w:t xml:space="preserve"> Impact of Coronavirus Disease 2019 on Fertility: An Integrative Review — https://doi.org/10.1002/hpm.3908</w:t>
      </w:r>
    </w:p>
    <w:p>
      <w:pPr/>
      <w:r>
        <w:rPr>
          <w:b/>
        </w:rPr>
        <w:t>Shared claim-specific concepts:</w:t>
      </w:r>
      <w:r>
        <w:t xml:space="preserve"> fertility, fewer, pandemic, recent, countries; EU scope not established. This is a provisional connection, not an outcome finding.</w:t>
      </w:r>
    </w:p>
    <w:p>
      <w:pPr>
        <w:pStyle w:val="SourceNote"/>
      </w:pPr>
      <w:r>
        <w:rPr>
          <w:b/>
        </w:rPr>
        <w:t>Available abstract (not full text):</w:t>
      </w:r>
      <w:r>
        <w:t xml:space="preserve"> This integrative review aimed to explore the impact of the spread of coronavirus disease 2019 (COVID-19) on fertility to establish foundational knowledge and guide future epidemiological studies. The PubMed and Central Journal of Medicine databases were searched, yielding 80 relevant articles published between 2019 and 2021. Of these, 14 were published in Japanese and 66 in English. None of the Japanese studies met the inclusion criteria. Fourteen English-language studies, all of which were retrieved from PubMed, were included in the final analysis. No relevant literature was found in the Central Journal of Medicine. The keywords used were COVID-19, fertility, and demographics. COVID-19 led to an increase in unplanned pregnancies and abortions in developing countries. Fever associated with the infection was suggested to have reduced sperm concentration and motility, and the spread of the infection caused young couples to delay childbearing, potentially decreasing fertility. Conversely, relatively older couples showed fewer changes in their childbearing plans, indicating that COVID-19 had both positive and negative effects on fertility. Physical, psychological, and economic factors as well as sex, age, and cultural background exerted complex effects on fertility. Herein, the impact of social crises on fertility rates has been discussed in the context of the recent COVID-19 pande</w:t>
      </w:r>
    </w:p>
    <w:p>
      <w:pPr>
        <w:pStyle w:val="Heading2"/>
      </w:pPr>
      <w:r>
        <w:t>624. Sociotechnical imaginaries of a secure future</w:t>
      </w:r>
    </w:p>
    <w:p>
      <w:pPr>
        <w:pStyle w:val="SourceNote"/>
      </w:pPr>
      <w:r>
        <w:rPr>
          <w:b/>
        </w:rPr>
        <w:t>Original source (2021):</w:t>
      </w:r>
      <w:r>
        <w:t xml:space="preserve"> https://doi.org/10.1186/s40309-021-00176-1</w:t>
      </w:r>
    </w:p>
    <w:p>
      <w:pPr/>
      <w:r>
        <w:t>Original wording (abstract; indexed_source_text_not_full_document_verified): In order to illuminate developments that govern the adoption of security technologies and render them in their dependencies comprehensible, we present two plausible and consistent future scenarios for Germany 2035. On the basis of current literature in tandem with a structured scenario development process, we condensed the present sociotechnical imaginaries into two tangible future scenarios for the field of public security, illustrating its effects on how we live as a society.</w:t>
      </w:r>
    </w:p>
    <w:p>
      <w:pPr/>
      <w:r>
        <w:rPr>
          <w:b/>
        </w:rPr>
        <w:t>POSSIBLE 2026:</w:t>
      </w:r>
      <w:r>
        <w:t xml:space="preserve"> The seven dwarfs illuminated — https://doi.org/10.1051/0004-6361/202556989</w:t>
      </w:r>
    </w:p>
    <w:p>
      <w:pPr/>
      <w:r>
        <w:rPr>
          <w:b/>
        </w:rPr>
        <w:t>Shared claim-specific concepts:</w:t>
      </w:r>
      <w:r>
        <w:t xml:space="preserve"> present, two, consistent; EU scope not established. This is a provisional connection, not an outcome finding.</w:t>
      </w:r>
    </w:p>
    <w:p>
      <w:pPr>
        <w:pStyle w:val="SourceNote"/>
      </w:pPr>
      <w:r>
        <w:rPr>
          <w:b/>
        </w:rPr>
        <w:t>Available abstract (not full text):</w:t>
      </w:r>
      <w:r>
        <w:t xml:space="preserve"> We present a high-resolution cosmological zoom-in simulation of a group of field dwarf galaxies that includes on-the-fly radiative transfer (RT) and is evolved to z = 0. Emission from stars is included according to age-dependent spectral energy distributions, and a redshift-dependent UV background is modelled by background particles and propagated through the simulation volume. The simulation also incorporates star formation, supernova (SN) feedback, a non-equilibrium primordial chemical network, and metal cooling and diffusion. We compare results from this simulation to previous simulations with the same initial conditions and largely similar galaxy formation physics, but without RT. The inclusion of RT results in the formation of eight additional faint dwarf galaxies with stellar masses of 10 4 M ⊙ to several 10 5 M ⊙ and only old stellar populations, similar to the observed ultra-faint dwarf galaxies. These eight faint dwarf galaxies formed before and during cosmic reionisation and were mostly quenched by z ~ 3–4 when reionisation was complete. The simulated galaxies follow many observed scaling relations such as the stellar mass-halo mass relation, the mass-size relation, and the luminosity-velocity dispersion relation. However, the simulation appears to underpredict the stellar iron abundances for the faintest population with L v &lt; 10 6 L ⊙ . For the more massive “classic”</w:t>
      </w:r>
    </w:p>
    <w:p>
      <w:pPr/>
      <w:r>
        <w:rPr>
          <w:b/>
        </w:rPr>
        <w:t>POSSIBLE 2026:</w:t>
      </w:r>
      <w:r>
        <w:t xml:space="preserve"> Social Movements and International Order Formation — https://doi.org/10.1017/s0020818326101374</w:t>
      </w:r>
    </w:p>
    <w:p>
      <w:pPr/>
      <w:r>
        <w:rPr>
          <w:b/>
        </w:rPr>
        <w:t>Shared claim-specific concepts:</w:t>
      </w:r>
      <w:r>
        <w:t xml:space="preserve"> order, two; EU scope visible. This is a provisional connection, not an outcome finding.</w:t>
      </w:r>
    </w:p>
    <w:p>
      <w:pPr>
        <w:pStyle w:val="SourceNote"/>
      </w:pPr>
      <w:r>
        <w:rPr>
          <w:b/>
        </w:rPr>
        <w:t>Available abstract (not full text):</w:t>
      </w:r>
      <w:r>
        <w:t xml:space="preserve"> Abstract Through comparative analysis of two historical cases of transition from hierarchical to competitive international orders—from the Han dynasty to the Period of Disunion in third-century China, and from the Abbasid Caliphate to the Islamic Commonwealth in the tenth century—we consider how social movements have long been significant facilitators of international change. With reference to the contributions to these transitions of early Daoist and Sunni movements respectively, we offer a comparative framework for understanding how social movements may undermine established hierarchies and induce legitimacy contests that contribute toward the emergence of new international orders. Moreover, by contrasting these cases against the role of the Reformation movement in the development of European international order, the article both decenters the European experience and illuminates how social movements can be central to crafting fundamental, yet varying, relationships between political authority and society across highly diverse cultural and temporal contexts.</w:t>
      </w:r>
    </w:p>
    <w:p>
      <w:pPr/>
      <w:r>
        <w:rPr>
          <w:b/>
        </w:rPr>
        <w:t>POSSIBLE 2026:</w:t>
      </w:r>
      <w:r>
        <w:t xml:space="preserve"> Regional security complexes and African foreign policies: ECOWAS and the Sahel security order, 2012–2025 — https://doi.org/10.3389/fpos.2026.1836500</w:t>
      </w:r>
    </w:p>
    <w:p>
      <w:pPr/>
      <w:r>
        <w:rPr>
          <w:b/>
        </w:rPr>
        <w:t>Shared claim-specific concepts:</w:t>
      </w:r>
      <w:r>
        <w:t xml:space="preserve"> order, security, them; EU scope not established. This is a provisional connection, not an outcome finding.</w:t>
      </w:r>
    </w:p>
    <w:p>
      <w:pPr>
        <w:pStyle w:val="SourceNote"/>
      </w:pPr>
      <w:r>
        <w:rPr>
          <w:b/>
        </w:rPr>
        <w:t>Available abstract (not full text):</w:t>
      </w:r>
      <w:r>
        <w:t xml:space="preserve"> Introduction African regional organisations exhibit uneven effectiveness in responding to regional security challenges, acting decisively in some crises while failing in others. This article examines why the Economic Community of West African States (ECOWAS) successfully imposed sanctions on unconstitutional regimes yet struggled to restore security order in the Sahel. It investigates the structural and political factors underlying this variation through the lens of Regional Security Complex Theory (RSCT). Methods The study adopts a qualitative, exploratory research design based on comparative case analysis of three critical episodes: the Mali crisis (2012–2013), counterterrorism cooperation in the Lake Chad Basin, and the ECOWAS–Alliance of Sahel States (AES) rupture (2023–2025). Using RSCT as the primary analytical framework, the study assesses patterns of regional security governance, institutional capacity, and external involvement to explain variations in ECOWAS’s effectiveness. Results The analysis identifies recurring patterns of thin regional power, shifting amity–enmity relations, and persistent external embedment that constrain ECOWAS’s ability to provide regional security. While ECOWAS has demonstrated effectiveness in enforcing political norms through sanctions, it has remained dependent on external actors for military and security capabilities. To explain this para</w:t>
      </w:r>
    </w:p>
    <w:p>
      <w:pPr/>
      <w:r>
        <w:rPr>
          <w:b/>
        </w:rPr>
        <w:t>POSSIBLE 2026:</w:t>
      </w:r>
      <w:r>
        <w:t xml:space="preserve"> Governing knowledge, shaping Europe: research security in the EU’s geopolitical turn — https://doi.org/10.1080/09662839.2026.2680646</w:t>
      </w:r>
    </w:p>
    <w:p>
      <w:pPr/>
      <w:r>
        <w:rPr>
          <w:b/>
        </w:rPr>
        <w:t>Shared claim-specific concepts:</w:t>
      </w:r>
      <w:r>
        <w:t xml:space="preserve"> developments, security, germany, process; EU scope visible. This is a provisional connection, not an outcome finding.</w:t>
      </w:r>
    </w:p>
    <w:p>
      <w:pPr>
        <w:pStyle w:val="SourceNote"/>
      </w:pPr>
      <w:r>
        <w:rPr>
          <w:b/>
        </w:rPr>
        <w:t>Available abstract (not full text):</w:t>
      </w:r>
      <w:r>
        <w:t xml:space="preserve"> This article examines how the European Union’s turn towards research and knowledge security reflects a transformation in its geopolitical identity. Moving beyond the language of “technological sovereignty”, it conceptualises this shift as the emergence of an epistemic form of sovereignty that governs the conditions of knowledge production and exchange. Drawing on Balzacq’s (Citation2010) practice-based theory of securitisation, the study introduces the notion of securitisation through governance to capture how security rationales are embedded in bureaucratic and regulatory instruments rather than enacted through exceptional measures. Empirically, the analysis traces EU and national policy developments between 2013 and 2025, examining how supranational frameworks are translated into national practice in five Member States: the Netherlands, Germany, Finland, Italy, and Hungary. The findings show that securitisation unfolds as a multi-level process of coordination, translation and adaptation, producing a distinctly European form of geopolitical pragmatism that seeks to reconcile openness with protection, values with interests, and academic freedom with strategic control. By showing how security becomes embedded within routine research governance, the article argues that the EU performs its geopolitical actorness not through coercion but through the regulation of vulnerability, gov</w:t>
      </w:r>
    </w:p>
    <w:p>
      <w:pPr/>
      <w:r>
        <w:rPr>
          <w:b/>
        </w:rPr>
        <w:t>POSSIBLE 2026:</w:t>
      </w:r>
      <w:r>
        <w:t xml:space="preserve"> Analyses of the Development and Challenges of Parkour Coaches’ Education in Europe — https://doi.org/10.35469/ak.2025.527</w:t>
      </w:r>
    </w:p>
    <w:p>
      <w:pPr/>
      <w:r>
        <w:rPr>
          <w:b/>
        </w:rPr>
        <w:t>Shared claim-specific concepts:</w:t>
      </w:r>
      <w:r>
        <w:t xml:space="preserve"> literature, structured, process; EU scope visible. This is a provisional connection, not an outcome finding.</w:t>
      </w:r>
    </w:p>
    <w:p>
      <w:pPr>
        <w:pStyle w:val="SourceNote"/>
      </w:pPr>
      <w:r>
        <w:rPr>
          <w:b/>
        </w:rPr>
        <w:t>Available abstract (not full text):</w:t>
      </w:r>
      <w:r>
        <w:t xml:space="preserve"> Purpose: Parkour historically developed as an urban community “lifestyle” movement that relied mainly on informal teaching and training methodologies. With formal institutionalization, parkour has transitioned into more formalized structures, including established training academies, coaching certifications, and competitive events. This article presents a structured literature review with the aim of providing an overview of the historical, philosophical/ideological, organizational/institutional, and educational aspects of parkour coach education and knowledge development in Europe. Based on the review, key challenges for future development are also highlighted. Method: For the purposes of a structured literature review, the search and selection process followed the general principles of the PRISMA 2020 statement as a framework, rather than a formal systematic review protocol. Google Scholar was chosen as the primary search platform. Following the initial screening and analysis, 12 relevant sources were included in the in-depth review. In addition to the literature review, online sources from professional international sports organizations involved in education, training, and certification of parkour coaches were also examined. Findings: It can be noted that parkour in Europe is still predominantly developed and understood as a "lifestyle" urban activity with the gradual paralle</w:t>
      </w:r>
    </w:p>
    <w:p>
      <w:pPr/>
      <w:r>
        <w:rPr>
          <w:b/>
        </w:rPr>
        <w:t>POSSIBLE 2025:</w:t>
      </w:r>
      <w:r>
        <w:t xml:space="preserve"> Electronic commerce patterns in Europe: Cluster analysis of online shopping intensity — https://doi.org/10.5937/mkng2501005b</w:t>
      </w:r>
    </w:p>
    <w:p>
      <w:pPr/>
      <w:r>
        <w:rPr>
          <w:b/>
        </w:rPr>
        <w:t>Shared claim-specific concepts:</w:t>
      </w:r>
      <w:r>
        <w:t xml:space="preserve"> order, illuminate, technologies, basis; EU scope visible. This is a provisional connection, not an outcome finding.</w:t>
      </w:r>
    </w:p>
    <w:p>
      <w:pPr>
        <w:pStyle w:val="SourceNote"/>
      </w:pPr>
      <w:r>
        <w:rPr>
          <w:b/>
        </w:rPr>
        <w:t>Available abstract (not full text):</w:t>
      </w:r>
      <w:r>
        <w:t xml:space="preserve"> Electronic shopping represents a key segment of the digital economy, changing consumer habits and becoming a significant driver of economic development. The development of digital technologies and increased connectivity have contributed to the rapid growth of electronic commerce, but its intensity varies between countries, opening up space for analysis of the factors that shape these differences. This paper analyse electronic commerce in European countries through cluster analysis, grouping countries according to the frequency of online shopping in order to identify pat-terns and determinants of e-commerce development. The research covers countries from the territory of Europe, providing an insight into the various economic, technological and social characteristics of the region. The results showed the existence of four clusters, with significant differences in factors such as internet availability, information literacy, logistics infrastructure, educational level and differences between urban and rural areas. The identified differences illuminate regional disparities and provide a basis for understanding the dynamics of online shopping in Europe.</w:t>
      </w:r>
    </w:p>
    <w:p>
      <w:pPr/>
      <w:r>
        <w:rPr>
          <w:b/>
        </w:rPr>
        <w:t>POSSIBLE 2025:</w:t>
      </w:r>
      <w:r>
        <w:t xml:space="preserve"> The Space–Nuclear Nexus in European Security — https://doi.org/10.55163/gepv2578</w:t>
      </w:r>
    </w:p>
    <w:p>
      <w:pPr/>
      <w:r>
        <w:rPr>
          <w:b/>
        </w:rPr>
        <w:t>Shared claim-specific concepts:</w:t>
      </w:r>
      <w:r>
        <w:t xml:space="preserve"> developments, security, dependencies; EU scope visible. This is a provisional connection, not an outcome finding.</w:t>
      </w:r>
    </w:p>
    <w:p>
      <w:pPr>
        <w:pStyle w:val="SourceNote"/>
      </w:pPr>
      <w:r>
        <w:rPr>
          <w:b/>
        </w:rPr>
        <w:t>Available abstract (not full text):</w:t>
      </w:r>
      <w:r>
        <w:t xml:space="preserve"> The space–nuclear nexus is prominent in today’s European security environment, amid shifting alliance dynamics and developments in Russia’s war in Ukraine. This paper compares dependencies, priorities and strategic cultures of various actors in the space and nuclear domains, beginning with the North Atlantic Treaty Organization (NATO), the European Union (EU) and their three nuclear-armed states: France, the United Kingdom and the United States. These actors feature centrally in Russian threat perceptions and converge on their sources of threats—primarily Russia, and to a lesser degree China, Iran and North Korea—but diverge significantly on the level of threat. The paper consequently examines Russia and its bilateral cooperation on space and nuclear weapons with China, Iran and North Korea, noting convergences as well as divergences in each relationship. The paper analyses how convergences and divergences in alliances and partnerships can impact stability and shape escalation risks at the space–nuclear nexus. The paper explores stabilizing effects, as well as concerning destabilizing effects of these relationships. The latter include potential to drive escalatory and mirroring behaviours, distort threat perceptions, further blur red lines, legitimize attacks on space systems and encourage inaccurate perceptions of blocs that impede multilateral negotiations. Accordingly, the p</w:t>
      </w:r>
    </w:p>
    <w:p>
      <w:pPr/>
      <w:r>
        <w:rPr>
          <w:b/>
        </w:rPr>
        <w:t>POSSIBLE 2025:</w:t>
      </w:r>
      <w:r>
        <w:t xml:space="preserve"> Trust, Security, and Digital Readiness in B2B E-Business Adoption by MSMEs: An Integrated Framework — https://doi.org/10.52783/eel.v15i3.3727</w:t>
      </w:r>
    </w:p>
    <w:p>
      <w:pPr/>
      <w:r>
        <w:rPr>
          <w:b/>
        </w:rPr>
        <w:t>Shared claim-specific concepts:</w:t>
      </w:r>
      <w:r>
        <w:t xml:space="preserve"> adoption, security, current, literature; EU scope not established. This is a provisional connection, not an outcome finding.</w:t>
      </w:r>
    </w:p>
    <w:p>
      <w:pPr>
        <w:pStyle w:val="SourceNote"/>
      </w:pPr>
      <w:r>
        <w:rPr>
          <w:b/>
        </w:rPr>
        <w:t>Available abstract (not full text):</w:t>
      </w:r>
      <w:r>
        <w:t xml:space="preserve"> Purpose – This paper examines how trust, security, and digital readiness affect the adoption of B2B e-business by Micro, Small, and Medium Enterprises (MSMEs). It integrates these three dimensions as decisive enablers or barriers in B2B digital adoption. Design/methodology/approach – A systematic literature review (SLR) was conducted using the SPAR-4-SLR protocol (Paul et al., 2021). This protocol includes three stages: Assembling (searching and identifying relevant literature), Arranging (screening and organising the studies), and Assessing (evaluating, analysing, and synthesising findings). A total of 140 peer-reviewed studies published between 1990 and 2023 were reviewed and coded against technology adoption frameworks such as TOE, TAM, DOI, and UTAUT, with emphasis on trust, security, and readiness in B2B adoption. Findings – The review reveals that MSME adoption of B2B e-business strongly depends on their ability to establish trust in business relationships, ensure security of digital transactions, and maintain readiness through infrastructure, skills, and organisational capacity. Current research often treats these aspects separately, leading to fragmented insights Research limitations/implications – Future studies should integrate trust, security, and readiness into process-oriented frameworks that capture the dynamics of MSME adoption in B2B contexts. Practical implicat</w:t>
      </w:r>
    </w:p>
    <w:p>
      <w:pPr/>
      <w:r>
        <w:rPr>
          <w:b/>
        </w:rPr>
        <w:t>POSSIBLE 2025:</w:t>
      </w:r>
      <w:r>
        <w:t xml:space="preserve"> Adoption Agrafa, Parts ‘Unwritten’ About Cold War Adoptions from Greece: Adoption Is a Life in a Sentence, Adoption Is a Life Sentence — https://doi.org/10.3390/genealogy9030081</w:t>
      </w:r>
    </w:p>
    <w:p>
      <w:pPr/>
      <w:r>
        <w:rPr>
          <w:b/>
        </w:rPr>
        <w:t>Shared claim-specific concepts:</w:t>
      </w:r>
      <w:r>
        <w:t xml:space="preserve"> adoption, current, process; EU scope visible. This is a provisional connection, not an outcome finding.</w:t>
      </w:r>
    </w:p>
    <w:p>
      <w:pPr>
        <w:pStyle w:val="SourceNote"/>
      </w:pPr>
      <w:r>
        <w:rPr>
          <w:b/>
        </w:rPr>
        <w:t>Available abstract (not full text):</w:t>
      </w:r>
      <w:r>
        <w:t xml:space="preserve"> This essay focuses on the Greek adoptees’ search for identity and on the agrafa, or the “unwritten” territories, into which this search penetrates. The Greek adoptees represent an underresearched case study of the postwar intercountry adoption movement (1950–1975). Creating a narrative of the self is key to the adoptees’ identity formation, but their personal narrative is often undermined by stereotypes and denunciations that stunt its development. The research presented here has been guided by questions that interrogate the verdict-making or “sentencing” associated with the adoptees’ identity-shaping process: their sentencing to subjugation by stock opinions, the denouncing of their alternative viewpoints about “rescue” adoptions, and the verdict of their entrapment in feel-good master narratives. This essay also explores broader research questions pertaining to modes of interrogating “historic” adoptions from Greece. It is concerned with the why rather than with the how or the who of the oldest, post-WWII intercountry adoption flows. In what forums and genres (narrative, visual, journalistic, scholarly) are Greek adoption facts and legacies articulated, mediated, and/or materialized? How do memories, both positive and negative, underpin current projects of self-identification and transformation? What are the adoptees’ preferred outlets to speak about embodied experiences, and</w:t>
      </w:r>
    </w:p>
    <w:p>
      <w:pPr/>
      <w:r>
        <w:rPr>
          <w:b/>
        </w:rPr>
        <w:t>POSSIBLE 2025:</w:t>
      </w:r>
      <w:r>
        <w:t xml:space="preserve"> OLED illuminated metasurfaces for holographic image projection — https://doi.org/10.1038/s41377-025-01912-z</w:t>
      </w:r>
    </w:p>
    <w:p>
      <w:pPr/>
      <w:r>
        <w:rPr>
          <w:b/>
        </w:rPr>
        <w:t>Shared claim-specific concepts:</w:t>
      </w:r>
      <w:r>
        <w:t xml:space="preserve"> technologies, them, present; EU scope not established. This is a provisional connection, not an outcome finding.</w:t>
      </w:r>
    </w:p>
    <w:p>
      <w:pPr>
        <w:pStyle w:val="SourceNote"/>
      </w:pPr>
      <w:r>
        <w:rPr>
          <w:b/>
        </w:rPr>
        <w:t>Available abstract (not full text):</w:t>
      </w:r>
      <w:r>
        <w:t xml:space="preserve"> Organic light-emitting diodes (OLEDs) are thin film optoelectronic devices that feature simple fabrication, light weight and broad tunability, which makes them widely used in mobile phone and TV displays. As a flat and surface-emitting light source, OLEDs are also used in emerging applications such as optical wireless communications, biophotonics and sensing, where the ability to integrate with other technologies makes them good candidates to realise miniaturised photonic platforms. Control of the OLED far-field emission is increasingly important for both displays and these emerging applications. At present, however, studies mainly focus on tuning the electroluminescence (EL) spectrum and emission directionality. Fine-tuning of the far-field emission is particularly challenging and is limited by the low spatial coherence of OLEDs. In this work, we show that it is possible for a single OLED to project a high-resolution image when combined with a holographic metasurface as a compact projection system. The metasurface-OLED projector allows us to directly manipulate the OLED far-field emission and display holographic images on a screen. Here, we further show how the projected image quality relates to the spatial coherence length and the spectrum of the OLED. We believe our demonstration provides a path towards a miniaturised and highly integrated metasurface display.</w:t>
      </w:r>
    </w:p>
    <w:p>
      <w:pPr/>
      <w:r>
        <w:rPr>
          <w:b/>
        </w:rPr>
        <w:t>POSSIBLE 2025:</w:t>
      </w:r>
      <w:r>
        <w:t xml:space="preserve"> The European Para Sport Coaching Workforce: A Quasi-Professional Space — https://doi.org/10.1123/iscj.2024-0147</w:t>
      </w:r>
    </w:p>
    <w:p>
      <w:pPr/>
      <w:r>
        <w:rPr>
          <w:b/>
        </w:rPr>
        <w:t>Shared claim-specific concepts:</w:t>
      </w:r>
      <w:r>
        <w:t xml:space="preserve"> order, illuminate; EU scope visible. This is a provisional connection, not an outcome finding.</w:t>
      </w:r>
    </w:p>
    <w:p>
      <w:pPr>
        <w:pStyle w:val="SourceNote"/>
      </w:pPr>
      <w:r>
        <w:rPr>
          <w:b/>
        </w:rPr>
        <w:t>Available abstract (not full text):</w:t>
      </w:r>
      <w:r>
        <w:t xml:space="preserve"> Coaches in Paralympic and disability sport (Para coaching) play a significant societal role by providing opportunities for disabled people in sport and physical activity. Such is its importance; this role is now recognised by the European Union and its professionalisation agenda. Therefore, drawing on Abbott’s theory of professions and Thomas’ social relational model of disability, this original transnational study considers critically the characteristics of the European Para coaching workforce. Data collection followed a mixed methodology via an online survey of Para coaches ( N = 275). Combining quantitative and qualitative data, the analysis generated three higher order themes, “Exclusion, differentiated labour force and working contexts,” “Uneven coach education and development opportunities” and “Impairment effect as a source of coaches professional knowledge.” These themes illuminate Para coaching as a quasi-professional space shaped by specific workforce characteristics and those mediated by sporting domains. The findings and recommendations prompt significant considerations for policy makers, coach educators, and sport organisations.</w:t>
      </w:r>
    </w:p>
    <w:p>
      <w:pPr/>
      <w:r>
        <w:rPr>
          <w:b/>
        </w:rPr>
        <w:t>POSSIBLE 2024:</w:t>
      </w:r>
      <w:r>
        <w:t xml:space="preserve"> Retracted: Role of innovative behaviour as a missing linchpin in artificial intelligence adoption to enhancing job security and job performance — https://doi.org/10.1002/sres.3076</w:t>
      </w:r>
    </w:p>
    <w:p>
      <w:pPr/>
      <w:r>
        <w:rPr>
          <w:b/>
        </w:rPr>
        <w:t>Shared claim-specific concepts:</w:t>
      </w:r>
      <w:r>
        <w:t xml:space="preserve"> adoption, security, technologies, present, sociotechnical; EU scope not established. This is a provisional connection, not an outcome finding.</w:t>
      </w:r>
    </w:p>
    <w:p>
      <w:pPr>
        <w:pStyle w:val="SourceNote"/>
      </w:pPr>
      <w:r>
        <w:rPr>
          <w:b/>
        </w:rPr>
        <w:t>Available abstract (not full text):</w:t>
      </w:r>
      <w:r>
        <w:t xml:space="preserve"> Abstract Building upon the sociotechnical system theory, the present study contributes by examining the relationship between artificial intelligence (AI) adoption, employees' innovative behaviour on employee performance and job security (JS). The primary data is collected from 340 employees from firms located in the industrial hub of a developing economy using a simple random technique, and data is analysed using Smart‐PLS 3 from the manufacturing sector. The study evidences that employees' adoption and utilization of AI technologies positively influence their innovative behaviour, job performance (JP), and security. Moreover, the study finds a mediating role of innovative behaviour to connect the dots. Organizations can prioritize using AI‐driven training programmes so employees can use AI tools efficiently. Study findings also encourage employees to engage in innovative work behaviours like investigating novel concepts and experimenting with AI technologies to improve JP. This study invalidates that AI will replace employees at the workplace, as we can safely conclude that AI adoption enhances JP and JS.</w:t>
      </w:r>
    </w:p>
    <w:p>
      <w:pPr>
        <w:pStyle w:val="Heading2"/>
      </w:pPr>
      <w:r>
        <w:t>625. Strategic European Integration Scenarios of Ukrainian and Polish Research, Education and Innovation Spaces</w:t>
      </w:r>
    </w:p>
    <w:p>
      <w:pPr>
        <w:pStyle w:val="SourceNote"/>
      </w:pPr>
      <w:r>
        <w:rPr>
          <w:b/>
        </w:rPr>
        <w:t>Original source (2021):</w:t>
      </w:r>
      <w:r>
        <w:t xml:space="preserve"> https://doi.org/10.34021/ve.2021.04.02(1)</w:t>
      </w:r>
    </w:p>
    <w:p>
      <w:pPr/>
      <w:r>
        <w:t>Original wording (abstract; indexed_source_text_not_full_document_verified): Analysis of the use of foresight technology to determine the possible future, create the desired image of the future and determine strategies to achieve it using methods developed in various research areas revealed that its application makes sense in determining long-term factors, trends and directions of national economies. That is, in foresighting, in contrast to forecasting, the emphasis is made on qualitative rather than quantitative results, which does not provide the expected targeted policy of the state, because it does not give clear, concrete results of actions - quantitative strategic benchmarks, monitoring which would control the process of these areas' development.</w:t>
      </w:r>
    </w:p>
    <w:p>
      <w:pPr/>
      <w:r>
        <w:rPr>
          <w:b/>
        </w:rPr>
        <w:t>POSSIBLE 2026:</w:t>
      </w:r>
      <w:r>
        <w:t xml:space="preserve"> The enrichment of post-growth future alternatives for Europe using an online integral foresight methodology — https://doi.org/10.1186/s40309-026-00282-y</w:t>
      </w:r>
    </w:p>
    <w:p>
      <w:pPr/>
      <w:r>
        <w:rPr>
          <w:b/>
        </w:rPr>
        <w:t>Shared claim-specific concepts:</w:t>
      </w:r>
      <w:r>
        <w:t xml:space="preserve"> foresight, possible, achieve, methods, developed, trends; EU scope visible. This is a provisional connection, not an outcome finding.</w:t>
      </w:r>
    </w:p>
    <w:p>
      <w:pPr>
        <w:pStyle w:val="SourceNote"/>
      </w:pPr>
      <w:r>
        <w:rPr>
          <w:b/>
        </w:rPr>
        <w:t>Available abstract (not full text):</w:t>
      </w:r>
      <w:r>
        <w:t xml:space="preserve"> Abstract The article explores trends, weak signals, and possible pathways for the feasibility of the post-growth concept in Europe, based on an integrated foresight process. The proper formulation of comprehensive future alternatives or scenarios depends on the ability to identify visible and perceptible changes on the horizon and the possible futures that can be derived from these elements. The integral foresight method combines the processing of literature on possible futures from a post-growth and from a sustainable development perspective with horizon scanning and scenario building methods. The main features of the methodology are online interactivity, a multi-round discussion and learning process between the researchers, experts and futurists working in different fields and dealing with the topic of post-growth or sustainability. The result of the future-shaping collaboration process is a list of filtered, refined, and categorized futures statements covering different STEEPLED dimensions and scenarios in which the vision of post-growth was developed under different assumptions. The findings show that according to the experts’ expectations, many of the current trends hinder European society to achieve strong sustainability, but there are opportunities for intervention, the desirable alternatives are not out of sight, and humanity’s flourishing within planetary boundaries ca</w:t>
      </w:r>
    </w:p>
    <w:p>
      <w:pPr/>
      <w:r>
        <w:rPr>
          <w:b/>
        </w:rPr>
        <w:t>POSSIBLE 2026:</w:t>
      </w:r>
      <w:r>
        <w:t xml:space="preserve"> Application of foresight technologies in interdepartmental interaction of the region to enhance the efficiency of drug prevention — https://doi.org/10.12731/2658-6649-2026-18-2-1794</w:t>
      </w:r>
    </w:p>
    <w:p>
      <w:pPr/>
      <w:r>
        <w:rPr>
          <w:b/>
        </w:rPr>
        <w:t>Shared claim-specific concepts:</w:t>
      </w:r>
      <w:r>
        <w:t xml:space="preserve"> use, foresight, determine, create, strategies, methods; EU scope not established. This is a provisional connection, not an outcome finding.</w:t>
      </w:r>
    </w:p>
    <w:p>
      <w:pPr>
        <w:pStyle w:val="SourceNote"/>
      </w:pPr>
      <w:r>
        <w:rPr>
          <w:b/>
        </w:rPr>
        <w:t>Available abstract (not full text):</w:t>
      </w:r>
      <w:r>
        <w:t xml:space="preserve"> Background.The use of Foresight technologies as a method of scientific forecasting and strategic planning provides the opportunity for a comprehensive analysis of future trends, early detection of potential threats and timely use of “windows of opportunity”. In the context of combating drug addiction, this is of particular importance, since a high rate of transformation, interdisciplinary complexity and a significant level of social danger characterize this phenomenon. Thepurposeof the study is to determine the potential for the use of Foresight technologies in combating drug addiction at the regional level to identify long-term trends, predict risks and “windows of opportunity”, and develop strategic scenarios aimed at increasing the effectiveness of preventive, medical and social measures. Materials and methods.An analysis of Russian scientific publications revealed the absence of systemic studies devoted to the use of the Foresight approach to the problem of combating drug addiction. An analytical review of scientific literature, a comparative analysis of domestic and international experience, as well as elements of scenario planning and systems analysis were used. The absence of domestic works in this niche confirms the existence of a cognitive gap and the relevance of adapting the methodology to the anti-drug system of Russia. Results.To structure the results, it is propos</w:t>
      </w:r>
    </w:p>
    <w:p>
      <w:pPr/>
      <w:r>
        <w:rPr>
          <w:b/>
        </w:rPr>
        <w:t>POSSIBLE 2026:</w:t>
      </w:r>
      <w:r>
        <w:t xml:space="preserve"> Affordance entrenchment analysis: A diagnostic tool for technology foresight — https://doi.org/10.1016/j.techsoc.2026.103511</w:t>
      </w:r>
    </w:p>
    <w:p>
      <w:pPr/>
      <w:r>
        <w:rPr>
          <w:b/>
        </w:rPr>
        <w:t>Shared claim-specific concepts:</w:t>
      </w:r>
      <w:r>
        <w:t xml:space="preserve"> use, foresight, technology, determine, methods, factors; EU scope not established. This is a provisional connection, not an outcome finding.</w:t>
      </w:r>
    </w:p>
    <w:p>
      <w:pPr>
        <w:pStyle w:val="SourceNote"/>
      </w:pPr>
      <w:r>
        <w:rPr>
          <w:b/>
        </w:rPr>
        <w:t>Available abstract (not full text):</w:t>
      </w:r>
      <w:r>
        <w:t xml:space="preserve"> Technological artefacts can acquire new functions without undergoing change in their physical properties. Existing futures methods provide limited analytical purchase on these kinds of transformations, because they generally lack mechanisms for explaining how artefacts acquire new functions through changing practice. This paper introduces affordance entrenchment analysis (AEA), a diagnostic tool designed for use by forecasting professionals, anticipatory governance practitioners, and analysts in technology assessment or research investment roles. AEA directs analytical attention toward three factors that conventional approaches tend to overlook: (1) latent affordances (those capabilities grounded in an artefact's physical properties that no current domain of practice exploits), which circumscribe the possibility space for function change; (2) the formation of structured domains of practice, which determine which of those capabilities become valued; and (3) the consolidation of use (via infrastructure and institutional recognition) through which novel functions take hold. The tool is grounded in Nelson Goodman's work on exemplification and symbol systems and is operationalised through three orienting questions with associated empirical indicators. Applied to a given artefact, AEA structures an assessment of where function change may be occurring and how far it has progressed. Th</w:t>
      </w:r>
    </w:p>
    <w:p>
      <w:pPr/>
      <w:r>
        <w:rPr>
          <w:b/>
        </w:rPr>
        <w:t>POSSIBLE 2025:</w:t>
      </w:r>
      <w:r>
        <w:t xml:space="preserve"> Regional Technology Foresight for Material Technologies — https://doi.org/10.34190/eckm.26.1.3851</w:t>
      </w:r>
    </w:p>
    <w:p>
      <w:pPr/>
      <w:r>
        <w:rPr>
          <w:b/>
        </w:rPr>
        <w:t>Shared claim-specific concepts:</w:t>
      </w:r>
      <w:r>
        <w:t xml:space="preserve"> foresight, technology, application, long-term, trends; EU scope not established. This is a provisional connection, not an outcome finding.</w:t>
      </w:r>
    </w:p>
    <w:p>
      <w:pPr>
        <w:pStyle w:val="SourceNote"/>
      </w:pPr>
      <w:r>
        <w:rPr>
          <w:b/>
        </w:rPr>
        <w:t>Available abstract (not full text):</w:t>
      </w:r>
      <w:r>
        <w:t xml:space="preserve"> The Silesian Voivodeship is undergoing rapid technological transformation and industrial restructuring. This necessitates a systematic, evidence-based approach to identifying priority technologies that will drive regional development by 2050. The purpose of this article is to present the key results from the initial diagnostic phase of the technology foresight project conducted in the Silesian Voivodeship, focusing on the material production and processing sector. The research employs a multi-method approach, PESTEL analysis, integrating Porter's Diamond Model, the emerald model and SWOT analysis, supported by desk research, expert consultations and focus group discussions to assess technological potential and strategic priorities. The study identifies three critical technology groups: metallic, polymeric, and ceramic materials, as key enablers of industrial innovation. These technologies are of particular importance in several strategic sectors, including but not limited to the automotive, aerospace, chemical, steel, pharmaceutical, renewable energy and advanced manufacturing industries. The detailed analyses were summarized in a synthetic technology assessment using four key criteria: effectiveness of technology, market age, scope of application, and impact on the technology landscape. The results indicate that global trends are increasingly shaping the world within the BANI </w:t>
      </w:r>
    </w:p>
    <w:p>
      <w:pPr/>
      <w:r>
        <w:rPr>
          <w:b/>
        </w:rPr>
        <w:t>POSSIBLE 2025:</w:t>
      </w:r>
      <w:r>
        <w:t xml:space="preserve"> THEORETICAL AND METHODOLOGICAL FOUNDATIONS OF THE USE OF MARKET FORESIGHT TECHNOLOGY IN THE IT SPHERE — https://doi.org/10.20998/2313-8890.2024.11.04</w:t>
      </w:r>
    </w:p>
    <w:p>
      <w:pPr/>
      <w:r>
        <w:rPr>
          <w:b/>
        </w:rPr>
        <w:t>Shared claim-specific concepts:</w:t>
      </w:r>
      <w:r>
        <w:t xml:space="preserve"> use, foresight, technology, possible, strategies, methods; EU scope not established. This is a provisional connection, not an outcome finding.</w:t>
      </w:r>
    </w:p>
    <w:p>
      <w:pPr>
        <w:pStyle w:val="SourceNote"/>
      </w:pPr>
      <w:r>
        <w:rPr>
          <w:b/>
        </w:rPr>
        <w:t>Available abstract (not full text):</w:t>
      </w:r>
      <w:r>
        <w:t xml:space="preserve"> Abstract. The article considers methodological approaches to the transformation of foresight technologies into strategic marketing. It is noted that foresight methods have recently been actively used to predict future trends and develop strategies in conditions of uncertainty. Strategic marketing at the same time performs its tasks, which are at the junction of future trends. Marketing strategy is a medium- and long-term solution that covers the elements of the marketing complex: product, price, place and promotion. In conditions of rapid economic changes, this is not enough for enterprises to maintain their competitiveness. Additional information is needed regarding the technological forecast for the medium and long term. Today, foresight methods solve this problem to a certain extent, but a comprehensive methodology of a strategic approach that helps manufacturing enterprises to stay ahead of technological trends, form new markets and adapt products to the needs of the future has not been created. To solve this problem, the article proposes a new brand - "market foresight". This brand is built on a proactive approach to identifying future trends and changes in the market and responding to them. Its essence is to use retrospective forecast points with the vision of experts on the dynamics and directions of development of technologies of interest to us, for a period of up to 30</w:t>
      </w:r>
    </w:p>
    <w:p>
      <w:pPr/>
      <w:r>
        <w:rPr>
          <w:b/>
        </w:rPr>
        <w:t>POSSIBLE 2025:</w:t>
      </w:r>
      <w:r>
        <w:t xml:space="preserve"> From Reaction to Foresight: EUPHA’s vision for health security in Europe — https://doi.org/10.1093/eurpub/ckaf071</w:t>
      </w:r>
    </w:p>
    <w:p>
      <w:pPr/>
      <w:r>
        <w:rPr>
          <w:b/>
        </w:rPr>
        <w:t>Shared claim-specific concepts:</w:t>
      </w:r>
      <w:r>
        <w:t xml:space="preserve"> foresight, possible, long-term, national;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foresight, possible, trends;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2025:</w:t>
      </w:r>
      <w:r>
        <w:t xml:space="preserve"> The Need for Synergy in Foresight Research for Healthcare and Medical Sciences — https://doi.org/10.36401/iddb-25-1</w:t>
      </w:r>
    </w:p>
    <w:p>
      <w:pPr/>
      <w:r>
        <w:rPr>
          <w:b/>
        </w:rPr>
        <w:t>Shared claim-specific concepts:</w:t>
      </w:r>
      <w:r>
        <w:t xml:space="preserve"> use, foresight, technology, possible, image, strategies; EU scope visible. This is a provisional connection, not an outcome finding.</w:t>
      </w:r>
    </w:p>
    <w:p>
      <w:pPr>
        <w:pStyle w:val="SourceNote"/>
      </w:pPr>
      <w:r>
        <w:rPr>
          <w:b/>
        </w:rPr>
        <w:t>Available abstract (not full text):</w:t>
      </w:r>
      <w:r>
        <w:t xml:space="preserve"> The rapid integration of artificial intelligence (AI) and machine learning (ML) technologies into healthcare represents a transformative opportunity. These technologies can interrogate and interpret complex medical datasets, thereby offering the potential for enhanced diagnostics, better patient outcomes, and optimized resource allocation.[1,2] We propose combining AI and ML with foresight methods, in synergy with medical expertise, and respecting the principles of responsible research and innovation (RRI) to guide research and support decision-making in the context of future challenges.[3] The core principles of foresight methods are to explore uncertainty over longer horizons by combining future-oriented, knowledge-based creativity, interaction, expertise, and evidence, enabling stakeholders to anticipate potential scenarios and develop proactive strategies.[4–6]The RRI paradigm incorporates reflexivity, responsiveness, deliberation, and anticipation to make scientific and technological progress more aligned with societal needs and values.[7] By incorporating foresight into AI and ML development in a more global context, the healthcare sector can address upcoming challenges, creating a more sustainable, inclusive, and ethical future for healthcare. By leveraging advanced predictive analytics, these technologies can identify critical issues, like drivers, barriers, opportuniti</w:t>
      </w:r>
    </w:p>
    <w:p>
      <w:pPr/>
      <w:r>
        <w:rPr>
          <w:b/>
        </w:rPr>
        <w:t>POSSIBLE 2025:</w:t>
      </w:r>
      <w:r>
        <w:t xml:space="preserve"> FORESIGHT FRONTLINES: GLOBAL INSIGHTS ON STRATEGIC FORESIGHT INPOLICY MAKING — https://doi.org/10.46763/scgw25112g233a</w:t>
      </w:r>
    </w:p>
    <w:p>
      <w:pPr/>
      <w:r>
        <w:rPr>
          <w:b/>
        </w:rPr>
        <w:t>Shared claim-specific concepts:</w:t>
      </w:r>
      <w:r>
        <w:t xml:space="preserve"> foresight, application, national; EU scope visible. This is a provisional connection, not an outcome finding.</w:t>
      </w:r>
    </w:p>
    <w:p>
      <w:pPr>
        <w:pStyle w:val="SourceNote"/>
      </w:pPr>
      <w:r>
        <w:rPr>
          <w:b/>
        </w:rPr>
        <w:t>Available abstract (not full text):</w:t>
      </w:r>
      <w:r>
        <w:t xml:space="preserve"> In an era marked by volatility, uncertainty, complexity, and ambiguity (VUCA) (Bennis and Nanus, 1985), governments worldwide are increasingly turning to strategic foresight to anticipate and shape future challenges and opportunities. This paper presents a secondary research analysis of the institutionalization and application of strategic foresight in policy-making across diverse geopolitical contexts. By examining governmental foresight frameworks, national foresight programs, and policy innovation labs from countries including Finland (Heo and Seo, 2021) (OECD, 2022), Singapore (CSF, n/a), Canada (Government of Canada, 2022), and the European Union (European Commission, 2020), the study identifies common patterns, enabling conditions, and obstacles in embedding foresight into governance structures. The research also explores the varied cultural, political, and administrative lenses through which foresight is interpreted and operationalized, offering a comparative perspective on its effectiveness and impact. Ultimately, the paper proposes a typology of foresight adoption in policy-making and offers reflections on how global practices can inform more anticipatory and resilient governance. This contribution aims to enrich the discourse on strategic foresight as a critical competency for future-ready policy development.</w:t>
      </w:r>
    </w:p>
    <w:p>
      <w:pPr/>
      <w:r>
        <w:rPr>
          <w:b/>
        </w:rPr>
        <w:t>POSSIBLE 2025:</w:t>
      </w:r>
      <w:r>
        <w:t xml:space="preserve"> Theoretical and methodological essence of foresight marketing of information technologies — https://doi.org/10.15276/mdt.9.2.2025.10</w:t>
      </w:r>
    </w:p>
    <w:p>
      <w:pPr/>
      <w:r>
        <w:rPr>
          <w:b/>
        </w:rPr>
        <w:t>Shared claim-specific concepts:</w:t>
      </w:r>
      <w:r>
        <w:t xml:space="preserve"> use, foresight, technology, determine, strategies, methods; EU scope not established. This is a provisional connection, not an outcome finding.</w:t>
      </w:r>
    </w:p>
    <w:p>
      <w:pPr>
        <w:pStyle w:val="SourceNote"/>
      </w:pPr>
      <w:r>
        <w:rPr>
          <w:b/>
        </w:rPr>
        <w:t>Available abstract (not full text):</w:t>
      </w:r>
      <w:r>
        <w:t xml:space="preserve"> The aim of the article is to study the theoretical foundations and develop methodological approaches to the application of foresight marketing in the field of information technology, based on a comprehensive analysis of modern concepts of forecasting and marketing strategy. Analysis results. The application of the foresight methodology for strategic planning and forecasting of the development of the IT sector is considered. The current state of the definition of the term "foresight" is investigated, a detailed analysis of the advantages and disadvantages of the existing definitions is carried out. The author's definition of the terms "foresight" is provided and the definition of the term "foresight marketing" is proposed for the first time. A schematic scheme of foresight as an economic category is developed, which includes the basic components of foresight: foresight philosophy (theory), foresight products and foresight processes. The existing principles in the theory of foresight are supplemented with new ones, in particular, it is proposed to consider the stakeholder approach, predictive activity, expertise and analytics as principles of foresight. Particular attention is paid to the methods of expert assessment, classification of foresight types to determine priority areas of scientific research and technological innovations. Additional criteria for the classification of fo</w:t>
      </w:r>
    </w:p>
    <w:p>
      <w:pPr/>
      <w:r>
        <w:rPr>
          <w:b/>
        </w:rPr>
        <w:t>POSSIBLE 2025:</w:t>
      </w:r>
      <w:r>
        <w:t xml:space="preserve"> Foresight study for addressing megatrends in information and communication technology (ICT) — https://doi.org/10.1186/s13731-025-00466-z</w:t>
      </w:r>
    </w:p>
    <w:p>
      <w:pPr/>
      <w:r>
        <w:rPr>
          <w:b/>
        </w:rPr>
        <w:t>Shared claim-specific concepts:</w:t>
      </w:r>
      <w:r>
        <w:t xml:space="preserve"> foresight, technology, trends; EU scope visible. This is a provisional connection, not an outcome finding.</w:t>
      </w:r>
    </w:p>
    <w:p>
      <w:pPr>
        <w:pStyle w:val="SourceNote"/>
      </w:pPr>
      <w:r>
        <w:rPr>
          <w:b/>
        </w:rPr>
        <w:t>Available abstract (not full text):</w:t>
      </w:r>
      <w:r>
        <w:t xml:space="preserve"> Information and communications technology (ICT) encompasses the infrastructure and components that enable modern computing. In the context of Europe, the adoption of cutting-edge ICT is rapidly accelerating competitiveness, innovation, and job creation. However, this progress depends on a skilled workforce capable of implementing these advanced technologies effectively. This study aims to explore current ICT trends while addressing the digital skills gap in Southern Europe. The research focused on three countries: Greece, Cyprus, and Bulgaria. To gather relevant insights, two rounds of the Delphi technique were employed to reach a consensus on the most crucial digital skills shaping the future. The findings reveal a rapidly evolving landscape of digital competencies essential for navigating the transformative era of advanced ICT technologies. The study highlights emerging megatrends in the ICT sector, such as AI integration, cybersecurity challenges, and the shift toward 5G, underscoring the need for continuous upskilling to remain competitive in the global market. As ICT continues to evolve, it is clear that developing a skilled workforce will be vital to unlocking the potential of these technologies in Southern Europe.</w:t>
      </w:r>
    </w:p>
    <w:p>
      <w:pPr/>
      <w:r>
        <w:rPr>
          <w:b/>
        </w:rPr>
        <w:t>POSSIBLE 2024:</w:t>
      </w:r>
      <w:r>
        <w:t xml:space="preserve"> Opportunities for supporting humanitarians: Technology foresight concepts — https://doi.org/10.7249/rra3192-4</w:t>
      </w:r>
    </w:p>
    <w:p>
      <w:pPr/>
      <w:r>
        <w:rPr>
          <w:b/>
        </w:rPr>
        <w:t>Shared claim-specific concepts:</w:t>
      </w:r>
      <w:r>
        <w:t xml:space="preserve"> use, foresight, technology, developed, areas; EU scope visible. This is a provisional connection, not an outcome finding.</w:t>
      </w:r>
    </w:p>
    <w:p>
      <w:pPr>
        <w:pStyle w:val="SourceNote"/>
      </w:pPr>
      <w:r>
        <w:rPr>
          <w:b/>
        </w:rPr>
        <w:t>Available abstract (not full text):</w:t>
      </w:r>
      <w:r>
        <w:t xml:space="preserve"> RAND Europe, with Athena Infonomics and glass.ai, conducted a study that characterised the current landscape of technology use in the sector and explored potential development pathways out to 2030, as well as associated risks and opportunities. The study developed five deep dives of promising technology areas, three foresight concepts and a four-step guidance framework to ensure the suitable deployment of technologies in humanitarian contexts.</w:t>
      </w:r>
    </w:p>
    <w:p>
      <w:pPr>
        <w:pStyle w:val="Heading2"/>
      </w:pPr>
      <w:r>
        <w:t>626. The Current Picture of the Transition to a Green Economy in the EU—Trends in Climate and Energy Policy versus State Security</w:t>
      </w:r>
    </w:p>
    <w:p>
      <w:pPr>
        <w:pStyle w:val="SourceNote"/>
      </w:pPr>
      <w:r>
        <w:rPr>
          <w:b/>
        </w:rPr>
        <w:t>Original source (2021):</w:t>
      </w:r>
      <w:r>
        <w:t xml:space="preserve"> https://doi.org/10.3390/en14238181</w:t>
      </w:r>
    </w:p>
    <w:p>
      <w:pPr/>
      <w:r>
        <w:t>Original wording (abstract; indexed_source_text_not_full_document_verified): The aim of the article is to present the main quantitative challenges for the development of the green economy in the EU, which are analyzed from the perspective of the year 2030.</w:t>
      </w:r>
    </w:p>
    <w:p>
      <w:pPr/>
      <w:r>
        <w:rPr>
          <w:b/>
        </w:rPr>
        <w:t>POSSIBLE 2026:</w:t>
      </w:r>
      <w:r>
        <w:t xml:space="preserve"> The Communion of Protestant Churches in Europe and European integration — https://doi.org/10.31261/ssht.2025.58.1.05</w:t>
      </w:r>
    </w:p>
    <w:p>
      <w:pPr/>
      <w:r>
        <w:rPr>
          <w:b/>
        </w:rPr>
        <w:t>Shared claim-specific concepts:</w:t>
      </w:r>
      <w:r>
        <w:t xml:space="preserve"> aim, article, present; EU scope visible. This is a provisional connection, not an outcome finding.</w:t>
      </w:r>
    </w:p>
    <w:p>
      <w:pPr>
        <w:pStyle w:val="SourceNote"/>
      </w:pPr>
      <w:r>
        <w:rPr>
          <w:b/>
        </w:rPr>
        <w:t>Available abstract (not full text):</w:t>
      </w:r>
      <w:r>
        <w:t xml:space="preserve"> The Communion of Protestant Churches in Europe (CPCE) is currently a communion of 96 Protestant Churches of various traditions from over 30 European countries, representing over 50 million Christians in Europe and beyond, including South America. In its founding document – the Leuenberg Agreement – it declared the realization of the Church communion, in three areas: continuing theological conversation, ecumenical, witness and service. The aim of this article is to present how the topic of European integration is being reflected on in these three areas of CPCE work. The analysis will be supplemented by a review of the references to European integration in the programmatic documents adopted by the highest governing body of the CPCE – its general assemblies.</w:t>
      </w:r>
    </w:p>
    <w:p>
      <w:pPr/>
      <w:r>
        <w:rPr>
          <w:b/>
        </w:rPr>
        <w:t>POSSIBLE 2026:</w:t>
      </w:r>
      <w:r>
        <w:t xml:space="preserve"> Sustainable Development Challenges of Higher Education Institutions in Wartime: Quantitative Evidence from Ukraine — https://doi.org/10.2139/ssrn.6955635</w:t>
      </w:r>
    </w:p>
    <w:p>
      <w:pPr/>
      <w:r>
        <w:rPr>
          <w:b/>
        </w:rPr>
        <w:t>Shared claim-specific concepts:</w:t>
      </w:r>
      <w:r>
        <w:t xml:space="preserve"> quantitative, challenges;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Cartography of the Use of Artificial Intelligence Against Disinformation in Europe: Trends, Stakeholders, and Emerging Challenges — https://doi.org/10.3390/socsci15020071</w:t>
      </w:r>
    </w:p>
    <w:p>
      <w:pPr/>
      <w:r>
        <w:rPr>
          <w:b/>
        </w:rPr>
        <w:t>Shared claim-specific concepts:</w:t>
      </w:r>
      <w:r>
        <w:t xml:space="preserve"> article, main, quantitative, challenges; EU scope visible. This is a provisional connection, not an outcome finding.</w:t>
      </w:r>
    </w:p>
    <w:p>
      <w:pPr>
        <w:pStyle w:val="SourceNote"/>
      </w:pPr>
      <w:r>
        <w:rPr>
          <w:b/>
        </w:rPr>
        <w:t>Available abstract (not full text):</w:t>
      </w:r>
      <w:r>
        <w:t xml:space="preserve"> The article examines the application of artificial intelligence (AI) in the fight against disinformation through a comparative analysis of different European initiatives collected by the SmartVote project. It analyzes their characteristics and contributions to identify common trends in technological development and collaboration models. The methodology combines a systematic documentary analysis of institutional and technical sources—public project records, reports, and official repositories—with a structured questionnaire addressed to the coordinators of the selected initiatives. This mixed approach made it possible to triangulate quantitative and qualitative information on the types of technology employed, areas of impact, stakeholders involved, and levels of funding. The results show a predominance of multimodal AI-based tools aimed at automated content detection and verification. Most of the projects rely on cooperation networks among universities, technology companies, media outlets, and social organizations, structured under the principle of human oversight. The main challenges include algorithmic accuracy, bias prevention, and Europe’s technological dependence. Overall, the initiatives studied are committed to transparency, interdisciplinary collaboration, and the ethical use of AI in defense of informational integrity.</w:t>
      </w:r>
    </w:p>
    <w:p>
      <w:pPr/>
      <w:r>
        <w:rPr>
          <w:b/>
        </w:rPr>
        <w:t>POSSIBLE 2026:</w:t>
      </w:r>
      <w:r>
        <w:t xml:space="preserve"> Sustainability in EU Competition Law : An Analysis of Article 102 TFEU in Light of the European Green Deal — https://openalex.org/W7131733282</w:t>
      </w:r>
    </w:p>
    <w:p>
      <w:pPr/>
      <w:r>
        <w:rPr>
          <w:b/>
        </w:rPr>
        <w:t>Shared claim-specific concepts:</w:t>
      </w:r>
      <w:r>
        <w:t xml:space="preserve"> aim, article, green; EU scope visible. This is a provisional connection, not an outcome finding.</w:t>
      </w:r>
    </w:p>
    <w:p>
      <w:pPr>
        <w:pStyle w:val="SourceNote"/>
      </w:pPr>
      <w:r>
        <w:rPr>
          <w:b/>
        </w:rPr>
        <w:t>Available abstract (not full text):</w:t>
      </w:r>
      <w:r>
        <w:t xml:space="preserve"> The European Commission presented the European Green Deal in 2019 with the ultimate goal of achieving net zero greenhouse gas emissions by 2050. For this reason, the possibility of considering sustainability in EU competition law have received increasing attention in recent years. The aim of this thesis is to examine the role of environmental sustainability in assessments of abuse of dominance under Article 102 in the Treaty on the Functioning of the European Union [TFEU]. The discussion is commonly framed as using sustainability as a ‘sword’, prohibiting unsustainable conduct by dominant undertakings, and as a ‘shield’, allowing dominant undertakings to objectively justify prima facie abusive conduct where it promotes sustainability. Article 102 TFEU applies to conduct by undertakings, that is, entities engaged in economic activity, that are dominant on the relevant market. Abuse consists of conduct that is objectively capable of affecting trade between EU member states and harming on competition. The illustrative list of abuses in Article 102 TFEU covers exploitative abuses, directly harming consumers and exclusionary abuses, indirectly harming consumers by distorting market structure. To what extent sustainability is to be taken into account under Article 102 TFEU depends on the adopted competition law theory. While competition law has traditionally been understood as pursui</w:t>
      </w:r>
    </w:p>
    <w:p>
      <w:pPr/>
      <w:r>
        <w:rPr>
          <w:b/>
        </w:rPr>
        <w:t>POSSIBLE 2026:</w:t>
      </w:r>
      <w:r>
        <w:t xml:space="preserve"> Default recognition under Article 178 CRR: challenges and implications for standardised approach banks — https://doi.org/10.1108/jfrc-07-2025-0194</w:t>
      </w:r>
    </w:p>
    <w:p>
      <w:pPr/>
      <w:r>
        <w:rPr>
          <w:b/>
        </w:rPr>
        <w:t>Shared claim-specific concepts:</w:t>
      </w:r>
      <w:r>
        <w:t xml:space="preserve"> article, present, quantitative, challenges; EU scope visible. This is a provisional connection, not an outcome finding.</w:t>
      </w:r>
    </w:p>
    <w:p>
      <w:pPr>
        <w:pStyle w:val="SourceNote"/>
      </w:pPr>
      <w:r>
        <w:rPr>
          <w:b/>
        </w:rPr>
        <w:t>Available abstract (not full text):</w:t>
      </w:r>
      <w:r>
        <w:t xml:space="preserve"> Purpose This concept paper aims to examine the operational, capital and governance challenges that European banks face when applying Article 178 of the Capital Requirements Regulation (CRR) to recognise default, with particular emphasis on Standardised Approach banks. While existing literature has largely focused on Internal Ratings-Based (IRB) institutions, the distinctive implications for banks using the Standardised Approach remain underexplored. Design/methodology/approach The analysis adopts a doctrinal and policy review methodology, drawing on primary regulatory texts, European Banking Authority guidelines, supervisory expectations and comparative practices from other jurisdictions. A stylised case illustration demonstrates how qualitative default recognition criteria affect capital adequacy and borrower relationships. Findings This paper highlights interpretive ambiguity, operational inconsistency and commercial conflicts inherent in invoking the “unlikely to pay” criterion. For Standardised Approach banks, default recognition can have disproportionately severe impacts on risk-weighted assets, IFRS 9 provisioning and competitive positioning. The comparative review indicates that while similar principles exist globally, supervisory approaches to proportionality and implementation vary. Research limitations/implications This study is conceptual and does not present empiric</w:t>
      </w:r>
    </w:p>
    <w:p>
      <w:pPr/>
      <w:r>
        <w:rPr>
          <w:b/>
        </w:rPr>
        <w:t>POSSIBLE 2025:</w:t>
      </w:r>
      <w:r>
        <w:t xml:space="preserve"> The Securitization of Islam in the Context of European Identityand the Attitudes of Europeans Towards Muslim Immigrants and Refugees — https://doi.org/10.34739/dsd.2024.02.02</w:t>
      </w:r>
    </w:p>
    <w:p>
      <w:pPr/>
      <w:r>
        <w:rPr>
          <w:b/>
        </w:rPr>
        <w:t>Shared claim-specific concepts:</w:t>
      </w:r>
      <w:r>
        <w:t xml:space="preserve"> article, present, quantitative; EU scope visible. This is a provisional connection, not an outcome finding.</w:t>
      </w:r>
    </w:p>
    <w:p>
      <w:pPr>
        <w:pStyle w:val="SourceNote"/>
      </w:pPr>
      <w:r>
        <w:rPr>
          <w:b/>
        </w:rPr>
        <w:t>Available abstract (not full text):</w:t>
      </w:r>
      <w:r>
        <w:t xml:space="preserve"> This article aims to present selected dimensions of the securitization of Islam in Europe in the context of European identity, and to show the impact of this process on the attitudes of Europeans towards Muslim migrants. The first part of the article focuses on the issue of European identity. This theoretical introduction allows for a better understanding of the dimensions of the securitization of Islam in Europe and their impact on the attitudes of citizens of selected the European Union (EU) and European Free Trade Association (EFTA) states towards migrants. The method used to conduct the research in this article is desk research and the qualitative method of analyzing written sources, both qualitative and quantitative data. The analysis uses numerous public opinion surveys, including the report “Trends in attitudes towards migration in Europe. A comparative analysis”, prepared on the basis of the European Social Survey from 2018.</w:t>
      </w:r>
    </w:p>
    <w:p>
      <w:pPr/>
      <w:r>
        <w:rPr>
          <w:b/>
        </w:rPr>
        <w:t>POSSIBLE 2025:</w:t>
      </w:r>
      <w:r>
        <w:t xml:space="preserve"> HYDROGEN'S ROLE IN GREEN ECONOMY: OPPORTUNITIES AND CHALLENGES IN SELECTED EUROPEAN COUNTRIES — https://doi.org/10.15837/aijes.v19i1.7138</w:t>
      </w:r>
    </w:p>
    <w:p>
      <w:pPr/>
      <w:r>
        <w:rPr>
          <w:b/>
        </w:rPr>
        <w:t>Shared claim-specific concepts:</w:t>
      </w:r>
      <w:r>
        <w:t xml:space="preserve"> aim, article, quantitative, challenges, green, economy; EU scope visible. This is a provisional connection, not an outcome finding.</w:t>
      </w:r>
    </w:p>
    <w:p>
      <w:pPr>
        <w:pStyle w:val="SourceNote"/>
      </w:pPr>
      <w:r>
        <w:rPr>
          <w:b/>
        </w:rPr>
        <w:t>Available abstract (not full text):</w:t>
      </w:r>
      <w:r>
        <w:t xml:space="preserve"> Hydrogen is an important element in the transition to a green economy, with its potential to play a key role in the decarbonization of industry and transport within the European Union. The aim of this article is to analyse the differences in hydrogen production and consumption between selected European countries in the context of their economic maturity. Based on data from 2020 to 2023, a quantitative analysis was conducted including variables such as hydrogen production and consumption capacity and GDP per capita. Using non-parametric tests (Kruskal-Wallis, Dwass-Steel-Critchlow-Fligner), statistically significant differences were identified between groups of countries with high and low levels of hydrogen infrastructure development. The results confirm that higher economic performance of countries is closely related to a more developed hydrogen economy. The discussion highlights the importance of investments, regulatory frameworks and technological innovations in the implementation of hydrogen solutions. The article also identifies the challenges faced by less developed countries and recommends an approach based on support and cooperation within the EU.</w:t>
      </w:r>
    </w:p>
    <w:p>
      <w:pPr/>
      <w:r>
        <w:rPr>
          <w:b/>
        </w:rPr>
        <w:t>POSSIBLE 2025:</w:t>
      </w:r>
      <w:r>
        <w:t xml:space="preserve"> The Pan-European Personal Pension Product – Managers’ Challenges and Savers’ Expectations — https://doi.org/10.18778/1508-2008.28.23</w:t>
      </w:r>
    </w:p>
    <w:p>
      <w:pPr/>
      <w:r>
        <w:rPr>
          <w:b/>
        </w:rPr>
        <w:t>Shared claim-specific concepts:</w:t>
      </w:r>
      <w:r>
        <w:t xml:space="preserve"> article, quantitative, challenges; EU scope visible. This is a provisional connection, not an outcome finding.</w:t>
      </w:r>
    </w:p>
    <w:p>
      <w:pPr>
        <w:pStyle w:val="SourceNote"/>
      </w:pPr>
      <w:r>
        <w:rPr>
          <w:b/>
        </w:rPr>
        <w:t>Available abstract (not full text):</w:t>
      </w:r>
      <w:r>
        <w:t xml:space="preserve"> The Pan-European Personal Pension Product (PEPP) is a strategic initiative of the European Union (EU) aimed at creating a harmonized, portable pension savings framework that addresses the challenges of population aging, increased labor mobility, and the widening pension gap across Member States. This article investigates the implementation and performance of the PEPP in four EU countries – Poland, Slovakia, Croatia, and the Czech Republic – through a mixed-methods research design. The study combines a legal and comparative analysis of national pension systems with qualitative interviews conducted with PEPP fund managers and quantitative surveys of PEPP savers. The findings reveal significant disparities in regulatory approaches, tax treatment, and supervisory frameworks between countries, which affect both the attractiveness and functionality of PEPP. Despite the shared design principles of transparency, safety, and cost-efficiency, savers’ expectations differ notably across countries – especially in relation to customer service, information delivery, and minimum return expectations – while also being shaped by sociodemographic factors. The qualitative research highlights that fund managers face challenges such as regulatory fragmentation, high administrative burdens, and competition from national products with more favorable tax treatment or employer-based incentives. At the s</w:t>
      </w:r>
    </w:p>
    <w:p>
      <w:pPr/>
      <w:r>
        <w:rPr>
          <w:b/>
        </w:rPr>
        <w:t>POSSIBLE 2025:</w:t>
      </w:r>
      <w:r>
        <w:t xml:space="preserve"> The LUX prize and the challenges of European film competitiveness — https://doi.org/10.1080/17411548.2025.2572121</w:t>
      </w:r>
    </w:p>
    <w:p>
      <w:pPr/>
      <w:r>
        <w:rPr>
          <w:b/>
        </w:rPr>
        <w:t>Shared claim-specific concepts:</w:t>
      </w:r>
      <w:r>
        <w:t xml:space="preserve"> article, main, quantitative, challenges; EU scope visible. This is a provisional connection, not an outcome finding.</w:t>
      </w:r>
    </w:p>
    <w:p>
      <w:pPr>
        <w:pStyle w:val="SourceNote"/>
      </w:pPr>
      <w:r>
        <w:rPr>
          <w:b/>
        </w:rPr>
        <w:t>Available abstract (not full text):</w:t>
      </w:r>
      <w:r>
        <w:t xml:space="preserve"> The European Union seeks to promote the competitiveness of the European film industry through funding programmes and film initiatives, including the LUX Prize. This article uses a quantitative methodology to analyse how LUX has succeeded in promoting the 17 winning films and how the competitiveness of the initiative has evolved since its launch in 2007. The main promotion indicators – admissions, revenues, distribution, availability on video-on-demand platforms, other film awards received, media recognition, and film ratings – were analysed using a twofold approach. The internal comparison looked at LUX winners before and after the change in 2020, when a wider audience was allowed to participate in selecting the winners. The external comparison compared the LUX winners with the European winners of the Palme d’Or and the Oscar for Best International Feature Film. The quantitative analysis shows that most promotion indicators are significantly, yet unpredictably, correlated with each other. These results underscore the multidimensionality and complexity of the notion of film competitiveness. The comparison shows that the change to an audience award has not significantly impacted the competitiveness of LUX winners. Despite the EU’s strengthened promotion intentions, LUX winners remain uncompetitive in the global and European film scenes.</w:t>
      </w:r>
    </w:p>
    <w:p>
      <w:pPr/>
      <w:r>
        <w:rPr>
          <w:b/>
        </w:rPr>
        <w:t>POSSIBLE 2025:</w:t>
      </w:r>
      <w:r>
        <w:t xml:space="preserve"> Human rights in the European Union in the present — https://doi.org/10.24144/2788-6018.2025.03.3.37</w:t>
      </w:r>
    </w:p>
    <w:p>
      <w:pPr/>
      <w:r>
        <w:rPr>
          <w:b/>
        </w:rPr>
        <w:t>Shared claim-specific concepts:</w:t>
      </w:r>
      <w:r>
        <w:t xml:space="preserve"> article, present, challenges, analyzed; EU scope visible. This is a provisional connection, not an outcome finding.</w:t>
      </w:r>
    </w:p>
    <w:p>
      <w:pPr>
        <w:pStyle w:val="SourceNote"/>
      </w:pPr>
      <w:r>
        <w:rPr>
          <w:b/>
        </w:rPr>
        <w:t>Available abstract (not full text):</w:t>
      </w:r>
      <w:r>
        <w:t xml:space="preserve"> The article examines the state of realization and protection of human rights in the European Union in the face of modern global challenges. The focus of the EU’s basic legal acts, in particular the Charter of Fundamental Rights of the European Union. The role of EU institutions in ensuring human rights, in particular the European Parliament, the European Commission and the Court of Justice, is considered. The impact of migration crisis, digitalization and armed conflicts on citizens’ rights and freedoms is analyzed. Issues related to discrimination, restriction of freedom of speech and interference with privacy are identified. Emphasis on the importance of cooperation between the EU and the European Court of Human Rights. Particular attention is paid to the mechanisms of monitoring and response to human rights violations in Member States. The article also discusses gender equality, minority rights and vulnerable groups. The conclusion was made on the need to strengthen the EU human rights policy in the context of the latest challenges. The article also analyzes the importance of balancing between security and human rights, especially in terrorist threats and emergencies. Issues in the context of the fight against terrorism, in particular in the aspects of migration control and access to personal data, are considered. The importance of the right to information and freedom of exp</w:t>
      </w:r>
    </w:p>
    <w:p>
      <w:pPr/>
      <w:r>
        <w:rPr>
          <w:b/>
        </w:rPr>
        <w:t>POSSIBLE 2025:</w:t>
      </w:r>
      <w:r>
        <w:t xml:space="preserve"> Internationalisation of higher education: its conceptual evolution as a process, intended aims, and unintended effects in the global and European context — https://doi.org/10.5117/ejep2025.3.001.dewi</w:t>
      </w:r>
    </w:p>
    <w:p>
      <w:pPr/>
      <w:r>
        <w:rPr>
          <w:b/>
        </w:rPr>
        <w:t>Shared claim-specific concepts:</w:t>
      </w:r>
      <w:r>
        <w:t xml:space="preserve"> article, present, challenges; EU scope visible. This is a provisional connection, not an outcome finding.</w:t>
      </w:r>
    </w:p>
    <w:p>
      <w:pPr>
        <w:pStyle w:val="SourceNote"/>
      </w:pPr>
      <w:r>
        <w:rPr>
          <w:b/>
        </w:rPr>
        <w:t>Available abstract (not full text):</w:t>
      </w:r>
      <w:r>
        <w:t xml:space="preserve"> Higher education has long been viewed as inherently international, yet the concept of being international is interpreted in various ways. It is shaped by institutional, local, and regional contexts, as well as the diverse intentions of stakeholders both within and outside the sector. As a strategic approach, internationalisation is a relatively recent phenomenon, emerging over the past three to four decades and influenced by political, social, economic, and educational factors. However, most internationalisation actions and policies remain ad hoc, fragmented, and marginal, often misaligned with the core mission of higher education institutions and national higher education policies (de Wit, 2024). This article explores the evolution of the concept of internationalisation from the 1980s to the present, examining its development and varying interpretations. It also analyses the dimensions and actions associated with the process, identifying which are most dominant. Additionally, it reviews key achievements of recent decades and assesses the primary challenges that hinder further progress. The discussion is framed within the context of a shifting global landscape, where political support for internationalism in higher education and research has waned compared to the 1980s and 1990s. The article highlights the European context, where internationalisation efforts have been driven by</w:t>
      </w:r>
    </w:p>
    <w:p>
      <w:pPr/>
      <w:r>
        <w:rPr>
          <w:b/>
        </w:rPr>
        <w:t>POSSIBLE 2025:</w:t>
      </w:r>
      <w:r>
        <w:t xml:space="preserve"> Sustainability in the European Automotive Sector: Approaches and Challenges — https://doi.org/10.2478/logi-2025-0019</w:t>
      </w:r>
    </w:p>
    <w:p>
      <w:pPr/>
      <w:r>
        <w:rPr>
          <w:b/>
        </w:rPr>
        <w:t>Shared claim-specific concepts:</w:t>
      </w:r>
      <w:r>
        <w:t xml:space="preserve"> main, quantitative, challenges; EU scope visible. This is a provisional connection, not an outcome finding.</w:t>
      </w:r>
    </w:p>
    <w:p>
      <w:pPr>
        <w:pStyle w:val="SourceNote"/>
      </w:pPr>
      <w:r>
        <w:rPr>
          <w:b/>
        </w:rPr>
        <w:t>Available abstract (not full text):</w:t>
      </w:r>
      <w:r>
        <w:t xml:space="preserve"> Abstract Sustainability has become increasingly essential for companies to remain competitive. The automotive industry is one of the sectors most affected by sustainable regulatory standards. Companies face pressures, changes in consumer behaviour, and evolving expectations alongside growing demands for environmentally sustainable practices. However, sustainability implementation practices and main initiatives remain inconsistent across the sector. This study aims to identify key indicators for successful sustainability implementation by analysing best practices among the four largest companies within the European automotive industry through quantitative and qualitative content analysis. The findings define main approaches and challenges companies faced, categorising key activities within the environmental, social, and governance (ESG) dimensions, and underscoring the importance of embedding sustainability into corporate strategy. The analysis also highlights inconsistencies between stated objectives and actual approaches of analysed companies, which may jeopardise the effectiveness of sustainability implementation, companies’ competitive positions, and performance. Based on the analysis of best practices, the study provides practical recommendations and guidelines for smaller manufacturers, suppliers, and other industries and organizations to adapt and successfully implement s</w:t>
      </w:r>
    </w:p>
    <w:p>
      <w:pPr>
        <w:pStyle w:val="Heading2"/>
      </w:pPr>
      <w:r>
        <w:t>627. The Economic Impact of Investment in Renewables in Croatia by 2030</w:t>
      </w:r>
    </w:p>
    <w:p>
      <w:pPr>
        <w:pStyle w:val="SourceNote"/>
      </w:pPr>
      <w:r>
        <w:rPr>
          <w:b/>
        </w:rPr>
        <w:t>Original source (2021):</w:t>
      </w:r>
      <w:r>
        <w:t xml:space="preserve"> https://doi.org/10.3390/en14248215</w:t>
      </w:r>
    </w:p>
    <w:p>
      <w:pPr/>
      <w:r>
        <w:t>Original wording (abstract; indexed_source_text_not_full_document_verified): At the beginning of 2020, the Strategy of the Republic of Croatia until 2030 with an outlook to 2050 was adopted. The Strategy analyzes two energy transition scenarios, the accelerated energy transition and the moderate energy transition.</w:t>
      </w:r>
    </w:p>
    <w:p>
      <w:pPr/>
      <w:r>
        <w:rPr>
          <w:b/>
        </w:rPr>
        <w:t>POSSIBLE 2026:</w:t>
      </w:r>
      <w:r>
        <w:t xml:space="preserve"> Balancing strategies of small states: The case of the Republic of Serbia and the issue of Kosovo and Metohija — https://doi.org/10.5937/bastina36-66586</w:t>
      </w:r>
    </w:p>
    <w:p>
      <w:pPr/>
      <w:r>
        <w:rPr>
          <w:b/>
        </w:rPr>
        <w:t>Shared claim-specific concepts:</w:t>
      </w:r>
      <w:r>
        <w:t xml:space="preserve"> strategy, republic, analyzes, energy; EU scope visible. This is a provisional connection, not an outcome finding.</w:t>
      </w:r>
    </w:p>
    <w:p>
      <w:pPr>
        <w:pStyle w:val="SourceNote"/>
      </w:pPr>
      <w:r>
        <w:rPr>
          <w:b/>
        </w:rPr>
        <w:t>Available abstract (not full text):</w:t>
      </w:r>
      <w:r>
        <w:t xml:space="preserve"> This paper analyzes Serbia’s foreign policy as a strategy of balancing between the European Union (EU) and the Russian Federation in the context of the Kosovo and Metohija issue. Treating Kosovo and Metohija as a permanent structural constraint on state strategy, the paper examines political and economic developments since 2000 and their influence on Serbia’s foreign policy positioning. The focus is placed on the economic dimension of balancing, specifically Serbia’s dependence on the EU as its main trade and investment partner, while simultaneously emphasizing partial, particularly critical energy dependencies on the Russian Federation. The analysis indicates that balancing does not imply merely symmetrical distributions of influence, but rather a combination of institutional reliance in the Kosovo issue and economic dependencies concentrated in the energy sector, which increases the costs associated with distancing from Moscow. The aim of the paper is to present the strategy of balancing as a rational, yet long-term unstable response of a small state to structural constraints arising from the Kosovo and Metohija issue, as well as from the unfinished process of European integration in the region. The aim of the paper is to present the strategy of balancing as a rational, yet long-term unstable response of a small state to structural constraints arising from the Kosovo and Meto</w:t>
      </w:r>
    </w:p>
    <w:p>
      <w:pPr/>
      <w:r>
        <w:rPr>
          <w:b/>
        </w:rPr>
        <w:t>POSSIBLE 2025:</w:t>
      </w:r>
      <w:r>
        <w:t xml:space="preserve"> European policy of the Republic of Türkiye: stages, priorities, transformations — https://doi.org/10.17721/2524-048x.2025.32.1</w:t>
      </w:r>
    </w:p>
    <w:p>
      <w:pPr/>
      <w:r>
        <w:rPr>
          <w:b/>
        </w:rPr>
        <w:t>Shared claim-specific concepts:</w:t>
      </w:r>
      <w:r>
        <w:t xml:space="preserve"> beginning, strategy, republic, analyzes, energy; EU scope visible. This is a provisional connection, not an outcome finding.</w:t>
      </w:r>
    </w:p>
    <w:p>
      <w:pPr>
        <w:pStyle w:val="SourceNote"/>
      </w:pPr>
      <w:r>
        <w:rPr>
          <w:b/>
        </w:rPr>
        <w:t>Available abstract (not full text):</w:t>
      </w:r>
      <w:r>
        <w:t xml:space="preserve"> The purpose of the article is to study the stages of development, key priorities, and shifts in the European policy of the Republic of Türkiye. It focuses on how domestic and international changes, as well as current geopolitical challenges—especially the full-scale Russian aggression against Ukraine—affect Türkiye’s relations with the European Union. The study also reveals the causal relationships explaining the development of Turkish-European relations. The methodology is based on historical and political analysis, which allows for a comprehensive exploration of the internal and external factors shaping Türkiye’s policy. The internal determinants under consideration include political stability, the economy, public sentiment, and the role of elites. External factors involve international trends, conflicts, and interaction with states and organizations. Particular attention is given to the course of Türkiye’s accession negotiations with the European Union. The analysis also takes into account the geostrategic conditions influencing Ankara’s policy. The article’s scientific novelty lies in its focus on the historical roots of Türkiye’s European trajectory, beginning with the Tanzimat period and Kemalist reforms. The research covers Türkiye’s accession to the Council of Europe, NATO, and cooperation with the EEC and the EU. It analyzes the political transformations following the </w:t>
      </w:r>
    </w:p>
    <w:p>
      <w:pPr/>
      <w:r>
        <w:rPr>
          <w:b/>
        </w:rPr>
        <w:t>POSSIBLE 2025:</w:t>
      </w:r>
      <w:r>
        <w:t xml:space="preserve"> THE HUSSITE MOVEMENT IN THE CZECH REPUBLIC — https://doi.org/10.31470/2786-8583-2024-4-105-110</w:t>
      </w:r>
    </w:p>
    <w:p>
      <w:pPr/>
      <w:r>
        <w:rPr>
          <w:b/>
        </w:rPr>
        <w:t>Shared claim-specific concepts:</w:t>
      </w:r>
      <w:r>
        <w:t xml:space="preserve"> beginning, strategy, republic, two, moderate; EU scope visible. This is a provisional connection, not an outcome finding.</w:t>
      </w:r>
    </w:p>
    <w:p>
      <w:pPr>
        <w:pStyle w:val="SourceNote"/>
      </w:pPr>
      <w:r>
        <w:rPr>
          <w:b/>
        </w:rPr>
        <w:t>Available abstract (not full text):</w:t>
      </w:r>
      <w:r>
        <w:t xml:space="preserve"> In the last third of the XIV century. in the Czech Republic, crisis phenomena began to appear, especially of an economic nature, which later had far-reaching social consequences for the kingdom. It is primarily about the deep social differentiation of society: from peasants and feudal lords to the clergy and city dwellers. The crisis aggravated relations between all strata of society. And as a result, a situation arose when the peasants sought to get rid of the exploitation of the feudal lords; burghership - to free oneself from the power of the patriciate and acquire one's own rights; the urban poor became radicalized in order to improve their impoverished situation; the nobility fought with the magnates for land, privileges and power.The leader of the Czech Reformation was Jan Hus (1371-1415), who in 1393 graduated from the Faculty of Philosophy of the University of Prague and after 3 years became a Master of Liberal Arts and a Doctor of Philosophy.In 1403, Jan Hus became the rector of the university, simultaneously preaching in the Bethlehem chapel and having the rank of priest. In his sermons, Hus raised topics that wererelevant and understandable for ordinary people, which increased his popularity.The burning of Hus caused a wave of protest in all strata of Czech society and was perceived as an insult to the entire Czech people. In July 1419, an uprising broke out in Pragu</w:t>
      </w:r>
    </w:p>
    <w:p>
      <w:pPr/>
      <w:r>
        <w:rPr>
          <w:b/>
        </w:rPr>
        <w:t>POSSIBLE 2025:</w:t>
      </w:r>
      <w:r>
        <w:t xml:space="preserve"> The global outlook for gas demand in a $6 world — https://openalex.org/W7148186110</w:t>
      </w:r>
    </w:p>
    <w:p>
      <w:pPr/>
      <w:r>
        <w:rPr>
          <w:b/>
        </w:rPr>
        <w:t>Shared claim-specific concepts:</w:t>
      </w:r>
      <w:r>
        <w:t xml:space="preserve"> outlook; EU scope visible. This is a provisional connection, not an outcome finding.</w:t>
      </w:r>
    </w:p>
    <w:p>
      <w:pPr>
        <w:pStyle w:val="SourceNote"/>
      </w:pPr>
      <w:r>
        <w:rPr>
          <w:b/>
        </w:rPr>
        <w:t>Available abstract (not full text):</w:t>
      </w:r>
      <w:r>
        <w:t xml:space="preserve"> The long-expected wave of LNG supply is now almost upon us, and is expected to outstrip the rise in demand for LNG. Spot prices, in European and Asian markets, may respond to the overhang of supply by moving to more short-run pricing - as was seen in 2019 and 2020 - and, as a result, prices could fall to $6 per MMBTU - half current levels. With the surge in LNG supply lasting for a number of years, European and Asian prices at $6 could be sustained for a number of years. In such a scenario, not only might there be a short-run fuel switching response (coal and oil to gas) but also a longer run response, possibly delaying the roll out of renewables, especially more expensive offshore wind. The potential response would vary by market and sector. In the short run, by 2030, LNG imports could be higher by some 8% (60 bcm). Half of this is in the power sector (coal to gas switching) and one-third in industry. Most of the response is in Asia, especially China and ASEAN, with a more muted response in Europe, as coal plants are closing. The longer run response, by 2035, is expected to be larger, around 10% higher (80 bcm), but limited assuming there are few LNG export plants coming on after 2030. A stronger response from India is projected in the longer term, especially in buildings and transport, where demand might also be stronger in China in these sectors. Gas could also benefit from </w:t>
      </w:r>
    </w:p>
    <w:p>
      <w:pPr/>
      <w:r>
        <w:rPr>
          <w:b/>
        </w:rPr>
        <w:t>POSSIBLE 2025:</w:t>
      </w:r>
      <w:r>
        <w:t xml:space="preserve"> Indo-Pacific strategy and Europe: From politics through defence and economy to cultural and AI diplomacy. The example of the Czech Republic — https://doi.org/10.5937/napredak6-62688</w:t>
      </w:r>
    </w:p>
    <w:p>
      <w:pPr/>
      <w:r>
        <w:rPr>
          <w:b/>
        </w:rPr>
        <w:t>Shared claim-specific concepts:</w:t>
      </w:r>
      <w:r>
        <w:t xml:space="preserve"> strategy, republic, adopted; EU scope visible. This is a provisional connection, not an outcome finding.</w:t>
      </w:r>
    </w:p>
    <w:p>
      <w:pPr>
        <w:pStyle w:val="SourceNote"/>
      </w:pPr>
      <w:r>
        <w:rPr>
          <w:b/>
        </w:rPr>
        <w:t>Available abstract (not full text):</w:t>
      </w:r>
      <w:r>
        <w:t xml:space="preserve"> In the past decades, the increase in the importance of the Indo-Pacific region, which has become not only a new geopolitical and geoeconomic, but also a geotechnical centre, led to a series of activities both of individual countries and the European Union and its member-states, resulting in a set of strategies for the Indo-Pacific during the second decade of the 21st century. The same process continued in the current, third decade. Due to their significance, the enacted strategies soon became the subject of study, whereas lately the focus has been placed exactly on analyzing the activities of individual countries. On this occasion, we have dedicated attention to the research of the activities of the Czech Republic, which adopted its strategy in 2022, immediately after the adoption of the European Union's Strategy for the Indo-Pacific (2021) and subsequently, this region also found its place in the official politics of this country, namely in the Foreign Policy Concept (2025), as well in the National Cybersecurity Strategy (2025).</w:t>
      </w:r>
    </w:p>
    <w:p>
      <w:pPr/>
      <w:r>
        <w:rPr>
          <w:b/>
        </w:rPr>
        <w:t>POSSIBLE 2025:</w:t>
      </w:r>
      <w:r>
        <w:t xml:space="preserve"> New Regulation in the Field of Strategic Development of the Energy Sector in the Republic of Serbia — https://doi.org/10.46793/eee25-3.14p</w:t>
      </w:r>
    </w:p>
    <w:p>
      <w:pPr/>
      <w:r>
        <w:rPr>
          <w:b/>
        </w:rPr>
        <w:t>Shared claim-specific concepts:</w:t>
      </w:r>
      <w:r>
        <w:t xml:space="preserve"> beginning, strategy, republic, until, adopted, energy; EU scope visible. This is a provisional connection, not an outcome finding.</w:t>
      </w:r>
    </w:p>
    <w:p>
      <w:pPr>
        <w:pStyle w:val="SourceNote"/>
      </w:pPr>
      <w:r>
        <w:rPr>
          <w:b/>
        </w:rPr>
        <w:t>Available abstract (not full text):</w:t>
      </w:r>
      <w:r>
        <w:t xml:space="preserve"> In the Republic of Serbia, the year 2024 marked the ambitious beginning of a new phase in the development of the energy sector. At the end of July 2024, the Republic of Serbia adopted the Integrated National Energy and Climate Plan (INECP) for the period up to 2030, with projections until 2050. By adopting the INECP, Serbia obtained an important strategic document aligned with the European Union's vision for the decarbonization of the energy sector. This document represents Serbia’s roadmap for energy transition and will contribute to the goal of integrating its electricity market with the EU's single market. In line with the requirements set out in the INECP, Serbia plans to make significant investments in renewable energy sources by 2030 -around 3.5 GW of new solar and wind power plants (to be connected to the electricity grid) - aimed at increasing supply security for consumers, boosting the share of clean energy sources, and enhancing environmental protection. Another important strategic document in the field of energy sector development is the Energy Development Strategy of the Republic of Serbia until 2040, with projections until 2050, which was adopted in November 2024. In addition, amendments and supplements to the Energy Law were adopted in December 2024, with the goal of fulfilling obligations under the Energy Community Treaty. In this paper, the authors will provide </w:t>
      </w:r>
    </w:p>
    <w:p>
      <w:pPr/>
      <w:r>
        <w:rPr>
          <w:b/>
        </w:rPr>
        <w:t>POSSIBLE 2025:</w:t>
      </w:r>
      <w:r>
        <w:t xml:space="preserve"> Review and Outlook of the Evolution of China’s Competition Policy: From Economic Transition to the Dual Circulation Strategy — https://doi.org/10.17265/1548-6605/2025.01.003</w:t>
      </w:r>
    </w:p>
    <w:p>
      <w:pPr/>
      <w:r>
        <w:rPr>
          <w:b/>
        </w:rPr>
        <w:t>Shared claim-specific concepts:</w:t>
      </w:r>
      <w:r>
        <w:t xml:space="preserve"> strategy, outlook, transition; EU scope not established. This is a provisional connection, not an outcome finding.</w:t>
      </w:r>
    </w:p>
    <w:p>
      <w:pPr>
        <w:pStyle w:val="SourceNote"/>
      </w:pPr>
      <w:r>
        <w:rPr>
          <w:b/>
        </w:rPr>
        <w:t>Available abstract (not full text):</w:t>
      </w:r>
      <w:r>
        <w:t xml:space="preserve"> Over the past few decades, China has undergone a gradual yet progressive transition from a command economy to a market economy.During this process, China's competition policy has emerged and evolved in response to the changing economic landscape.History has shown that competition policy is not merely a byproduct of the country's economic transition but also a crucial instrument in deepening market-oriented reforms.The recognition of competition policy as having fundamental status in China's top-level policy design has marked a new phase in its development.A competition policy framework centered on the Anti-Monopoly Law is gradually taking shape, providing a more structured and systematic regulatory foundation.Currently, within China's long-term objectives through 2035, the Dual Circulation Strategy places competition policy at its core, underscoring its fundamental role in fostering a fair and efficient market environment.In recent years, China's competition policy and antitrust regulations have undergone significant advancements, strengthening enforcement mechanisms and refining legal frameworks.As the country navigates evolving domestic and global challenges, the continued evolution of its competition policy must strike a delicate balance between national economic priorities and the broader international economic landscape</w:t>
      </w:r>
    </w:p>
    <w:p>
      <w:pPr/>
      <w:r>
        <w:rPr>
          <w:b/>
        </w:rPr>
        <w:t>POSSIBLE 2025:</w:t>
      </w:r>
      <w:r>
        <w:t xml:space="preserve"> Analysis of the “Adaptation strategy for sectors and areas vulnerable to climate change to 2020 with an outlook to 2030 (SPA 2020)” — https://doi.org/10.24425/ace.2025.154120</w:t>
      </w:r>
    </w:p>
    <w:p>
      <w:pPr/>
      <w:r>
        <w:rPr>
          <w:b/>
        </w:rPr>
        <w:t>Shared claim-specific concepts:</w:t>
      </w:r>
      <w:r>
        <w:t xml:space="preserve"> strategy, outlook, energy, transition; EU scope visible. This is a provisional connection, not an outcome finding.</w:t>
      </w:r>
    </w:p>
    <w:p>
      <w:pPr>
        <w:pStyle w:val="SourceNote"/>
      </w:pPr>
      <w:r>
        <w:rPr>
          <w:b/>
        </w:rPr>
        <w:t>Available abstract (not full text):</w:t>
      </w:r>
      <w:r>
        <w:t xml:space="preserve"> Poland performs very badly in all kinds of rankings related to environmental protection and usually ranks last compared to other EU countries. Several programmes and strategies are currently being implemented to improve this situation. These include both national and local government documents. The author presents the most important of these and analyses both their provisions and the effectiveness of their implementation. One of the key aspects of adaptation to climate change is Poland’s energy transition from coal-based power generation to renewable energy sources. Unfortunately, over the past few years, legislators and regulators have significantly impeded this process, particularly with regard to photovoltaic energy and wind energy, as well as biogas plants. A significant problem is also the limitation of funding for this transformation, due to the blocking by the EU institutions of the disbursement of funds from the National Reconstruction Programme. Without the unblocking of these funds and the effective implementation of existing programmes and strategies, Poland will remain one of the most polluted EU countries with an archaic energy mix.</w:t>
      </w:r>
    </w:p>
    <w:p>
      <w:pPr/>
      <w:r>
        <w:rPr>
          <w:b/>
        </w:rPr>
        <w:t>POSSIBLE 2024:</w:t>
      </w:r>
      <w:r>
        <w:t xml:space="preserve"> REFORMING THE SCIENTIFIC SPHERE IN THE REPUBLIC OF CROATIA AT THE END OF THE 20TH – THE BEGINNING OF THE 21ST CENTURY: ACHIEVEMENTS AND SHORTCOMINGS — https://doi.org/10.24919/2308-4863/78-1-2</w:t>
      </w:r>
    </w:p>
    <w:p>
      <w:pPr/>
      <w:r>
        <w:rPr>
          <w:b/>
        </w:rPr>
        <w:t>Shared claim-specific concepts:</w:t>
      </w:r>
      <w:r>
        <w:t xml:space="preserve"> beginning, republic, croatia; EU scope visible. This is a provisional connection, not an outcome finding.</w:t>
      </w:r>
    </w:p>
    <w:p>
      <w:pPr>
        <w:pStyle w:val="SourceNote"/>
      </w:pPr>
      <w:r>
        <w:rPr>
          <w:b/>
        </w:rPr>
        <w:t>Available abstract (not full text):</w:t>
      </w:r>
      <w:r>
        <w:t xml:space="preserve"> The purpose of the article is to analyze the scientific policy of the Republic of Croatia during 1991-2023, to determine its achievements and shortcomings.The research methodology is based on the principles of historicism, authorial objectivity, multifactoriality, historical-genetic, historical-typological and historic-systemic methods.A periodization of the scientific policy of independent Croatia is proposed, which consists of three periods: the first (1991)(1992)(1993)(1994)(1995)(1996)(1997)(1998)(1999)(2000)(2001)(2002)(2003), -preservation of the post-Yugoslav principles of the functioning of the scientific sphere, preservation of the relevant infrastructure and approaches to financing education; the second (2003)(2004)(2005)(2006)(2007)(2008)(2009)(2010)(2011)(2012) -the first attempts at reforming the scientific sphere, the establishment of National Science Council, National Council of Higher Education and Agency for Science and Higher Education, an increase in state funding of scientific research, an increase in the number of scientific and pedagogical workers in connection with the opening of new universities, orientation towards European scientific institutions and foundations; the third (from 2013)carrying out the reform of the scientific sphere, aimed at bringing scientific research and innovations as closely as possible to the needs of the economy and civil societ</w:t>
      </w:r>
    </w:p>
    <w:p>
      <w:pPr/>
      <w:r>
        <w:rPr>
          <w:b/>
        </w:rPr>
        <w:t>POSSIBLE 2024:</w:t>
      </w:r>
      <w:r>
        <w:t xml:space="preserve"> THE REPUBLIC OF CYPRUS AND INTERNATIONAL LAW: ANALYSIS OF THE FOREIGN POLICY STRATEGY OF A SMALL STATE — https://doi.org/10.32842/2078-3736/2024.4.47</w:t>
      </w:r>
    </w:p>
    <w:p>
      <w:pPr/>
      <w:r>
        <w:rPr>
          <w:b/>
        </w:rPr>
        <w:t>Shared claim-specific concepts:</w:t>
      </w:r>
      <w:r>
        <w:t xml:space="preserve"> beginning, strategy, republic, two; EU scope visible. This is a provisional connection, not an outcome finding.</w:t>
      </w:r>
    </w:p>
    <w:p>
      <w:pPr>
        <w:pStyle w:val="SourceNote"/>
      </w:pPr>
      <w:r>
        <w:rPr>
          <w:b/>
        </w:rPr>
        <w:t>Available abstract (not full text):</w:t>
      </w:r>
      <w:r>
        <w:t xml:space="preserve"> A characteristic feature of the evolution of international relations and international law at the end of the 20th and the beginning of the 21st centuries is the growing importance of small states in the international dimension.The decline in the ability of big powers to effectively resolve external conflicts, on the one hand, and, on the other, the ability of small states to look for new ideas of international cooperation, create the preconditions for a further increase in the role of small states in international relations.The Republic of Cyprus is a vivid example of a small state, although at the same time it is the third largest island in the Mediterranean.The experience of this small state in the implementation of foreign policy, as well as European integration, is an atypical precedent from the point of view of the norms of international law, as well as an important example of successful construction of foreign policy and active participation in international relations, despite acute internal crises.The Republic of Cyprus, despite the unresolved territorial problems, is actively developing bilateral and multilateral cooperation with other subjects of international law.The geostrategic position of the island led to the Cyprus problem.The Republic of Cyprus is divided between two ethnic groups -Greeks and Turks.The Cyprus conflict is a frozen issue for Greece and Turkey.The </w:t>
      </w:r>
    </w:p>
    <w:p>
      <w:pPr/>
      <w:r>
        <w:rPr>
          <w:b/>
        </w:rPr>
        <w:t>POSSIBLE 2024:</w:t>
      </w:r>
      <w:r>
        <w:t xml:space="preserve"> AN OVERVIEW OF TÜRKİYE’S RENEWABLE ENERGY OUTLOOK — https://doi.org/10.46399/muhendismakina.1599383</w:t>
      </w:r>
    </w:p>
    <w:p>
      <w:pPr/>
      <w:r>
        <w:rPr>
          <w:b/>
        </w:rPr>
        <w:t>Shared claim-specific concepts:</w:t>
      </w:r>
      <w:r>
        <w:t xml:space="preserve"> outlook, energy; EU scope visible. This is a provisional connection, not an outcome finding.</w:t>
      </w:r>
    </w:p>
    <w:p>
      <w:pPr>
        <w:pStyle w:val="SourceNote"/>
      </w:pPr>
      <w:r>
        <w:rPr>
          <w:b/>
        </w:rPr>
        <w:t>Available abstract (not full text):</w:t>
      </w:r>
      <w:r>
        <w:t xml:space="preserve"> A critical outcome of climate change and energy security concerns is the need to diversify energy sources. In this context, renewable energy emerges as a significant opportunity. Türkiye has significant potential in terms of renewable energy resources. In particular, the widespread use of wind and solar energy sources has gained momentum since 2011. In recent years, Türkiye's renewable energy sector has experienced rapid growth and is poised to become a prominent player among European countries in this field. This article provides a comprehensive overview of the renewable energy sector in Türkiye. The study was conducted using the document analysis method. The information presented in this article was taken from national and international reports, national energy plans, international agreements, energy company statistics and research papers. The results show that the renewable energy sector in Türkiye has experienced radical growth in the last fifteen years. Hydropower has been used for many years and Türkiye is one of the leading countries in terms of installed capacity. However, the development of installed wind and solar capacity is particularly noteworthy. Between 2010 and 2024, installed wind power capacity increased about sevenfold. Between 2015 and 2024, installed solar power capacity grew by about fifty times.</w:t>
      </w:r>
    </w:p>
    <w:p>
      <w:pPr/>
      <w:r>
        <w:rPr>
          <w:b/>
        </w:rPr>
        <w:t>POSSIBLE 2024:</w:t>
      </w:r>
      <w:r>
        <w:t xml:space="preserve"> AN OVERVIEW OF TÜRKİYE’S RENEWABLE ENERGY OUTLOOK — https://doi.org/10.46399/muhendismakina.1425654</w:t>
      </w:r>
    </w:p>
    <w:p>
      <w:pPr/>
      <w:r>
        <w:rPr>
          <w:b/>
        </w:rPr>
        <w:t>Shared claim-specific concepts:</w:t>
      </w:r>
      <w:r>
        <w:t xml:space="preserve"> outlook, energy; EU scope visible. This is a provisional connection, not an outcome finding.</w:t>
      </w:r>
    </w:p>
    <w:p>
      <w:pPr>
        <w:pStyle w:val="SourceNote"/>
      </w:pPr>
      <w:r>
        <w:rPr>
          <w:b/>
        </w:rPr>
        <w:t>Available abstract (not full text):</w:t>
      </w:r>
      <w:r>
        <w:t xml:space="preserve"> A critical outcome of climate change and energy security concerns is the need to diversify energy sources. In this context, renewable energy emerges as a significant opportunity. Türkiye has significant potential in terms of renewable energy resources. In particular, the widespread use of wind and solar energy sources has gained momentum since 2011. In recent years, Türkiye's renewable energy sector has experienced rapid growth and is poised to become a prominent player among European countries in this field. This article provides a comprehensive overview of the renewable energy sector in Türkiye. The study was conducted using the document analysis method. The information presented in this article was taken from national and international reports, national energy plans, international agreements, energy company statistics and research papers. The results show that the renewable energy sector in Türkiye has experienced radical growth in the last fifteen years. Hydropower has been used for many years and Türkiye is one of the leading countries in terms of installed capacity. However, the development of installed wind and solar capacity is particularly noteworthy. Between 2010 and 2024, installed wind power capacity increased about sevenfold. Between 2015 and 2024, installed solar power capacity grew by about fifty times.</w:t>
      </w:r>
    </w:p>
    <w:p>
      <w:pPr>
        <w:pStyle w:val="Heading2"/>
      </w:pPr>
      <w:r>
        <w:t>628. The European Health Union: European Union’s Concern about Health for All. Concepts, Definition, and Scenarios</w:t>
      </w:r>
    </w:p>
    <w:p>
      <w:pPr>
        <w:pStyle w:val="SourceNote"/>
      </w:pPr>
      <w:r>
        <w:rPr>
          <w:b/>
        </w:rPr>
        <w:t>Original source (2021):</w:t>
      </w:r>
      <w:r>
        <w:t xml:space="preserve"> https://doi.org/10.3390/healthcare9121741</w:t>
      </w:r>
    </w:p>
    <w:p>
      <w:pPr/>
      <w:r>
        <w:t>Original wording (abstract; indexed_source_text_not_full_document_verified): Based on these findings, five scenarios were developed: making a full move towards supranational action; improving efficiency in the actual framework; more coordination but no real change; in a full intergovernmentalism direction; and fragmentation of the EU. However, it will rely on increased coordination and has a focus on cross-border health threats.</w:t>
      </w:r>
    </w:p>
    <w:p>
      <w:pPr/>
      <w:r>
        <w:rPr>
          <w:b/>
        </w:rPr>
        <w:t>POSSIBLE 2026:</w:t>
      </w:r>
      <w:r>
        <w:t xml:space="preserve"> Drivers of and barriers to adoption of digital therapeutics in five European countries — https://doi.org/10.1177/20552076261492350</w:t>
      </w:r>
    </w:p>
    <w:p>
      <w:pPr/>
      <w:r>
        <w:rPr>
          <w:b/>
        </w:rPr>
        <w:t>Shared claim-specific concepts:</w:t>
      </w:r>
      <w:r>
        <w:t xml:space="preserve"> findings, five, however, increased; EU scope visible. This is a provisional connection, not an outcome finding.</w:t>
      </w:r>
    </w:p>
    <w:p>
      <w:pPr>
        <w:pStyle w:val="SourceNote"/>
      </w:pPr>
      <w:r>
        <w:rPr>
          <w:b/>
        </w:rPr>
        <w:t>Available abstract (not full text):</w:t>
      </w:r>
      <w:r>
        <w:t xml:space="preserve"> Background Digital therapeutics (DTx) are evidence-based software interventions with potential to complement conventional care; however, their adoption across European healthcare systems remains limited. Evidence on patient-level drivers, barriers, and implementation requirements is still scarce, especially regarding awareness, usability, reimbursement, and stakeholder engagement. Methods This mixed-methods study combined an online survey in five European countries — the United Kingdom, France, Germany, Italy, and Spain — with a qualitative advisory board. Of 915 survey respondents, 682 surveys were included. Respondents were adults who had visited a healthcare professional in the previous 12 months. Survey findings were complemented by an advisory board involving 13 opinion leaders, patient experts, representatives of patient organizations, and industry professionals. Results Awareness and prior use of DTx were limited: 51.03% of respondents were unaware of DTx before the survey, while only 3.40% had previously used DTx. Nevertheless, 63.20% expressed interest in using DTx to better manage their condition. The main drivers of adoption were interest in testing tools (35.63%), physician recommendation (35.48%), 24/7 access to support (26.54%), nurse recommendation (19.21%), and additional support beyond conventional treatments (15.10%). Integration with wearables or health apps </w:t>
      </w:r>
    </w:p>
    <w:p>
      <w:pPr/>
      <w:r>
        <w:rPr>
          <w:b/>
        </w:rPr>
        <w:t>POSSIBLE 2026:</w:t>
      </w:r>
      <w:r>
        <w:t xml:space="preserve"> The Process and Effectiveness of Strategic Planning in Higher Education: Evidence From Five European Countries — https://doi.org/10.1111/ejed.70585</w:t>
      </w:r>
    </w:p>
    <w:p>
      <w:pPr/>
      <w:r>
        <w:rPr>
          <w:b/>
        </w:rPr>
        <w:t>Shared claim-specific concepts:</w:t>
      </w:r>
      <w:r>
        <w:t xml:space="preserve"> based, findings, five; EU scope visible. This is a provisional connection, not an outcome finding.</w:t>
      </w:r>
    </w:p>
    <w:p>
      <w:pPr>
        <w:pStyle w:val="SourceNote"/>
      </w:pPr>
      <w:r>
        <w:rPr>
          <w:b/>
        </w:rPr>
        <w:t>Available abstract (not full text):</w:t>
      </w:r>
      <w:r>
        <w:t xml:space="preserve"> ABSTRACT The paper aims at investigating the strategic planning process and its perceived effectiveness in universities based on evidence from five European countries (UK, Sweden, Greece, Cyprus and the Netherlands) and 10 higher education institutions. The investigation focused on the following: the characteristics of the strategic planning process; stakeholder involvement in strategic planning and their role in the process; and the major problems faced in relation to the effectiveness of strategic planning. The elements investigated relate to the process and effectiveness of strategic planning in an attempt to examine the development of strategy by higher education institutions and its perceived effectiveness. Qualitative research was used to collect data from academics and/or high‐ranking administrators with a role in the institutional strategic planning process. The data were subjected to thematic analysis. According to the findings, universities were more likely to subscribe to a top‐down model in strategic planning. Respondents drew attention to three categories of problems and/or limitations associated with the strategic planning process, namely, human resources/stakeholder problems, technical/content‐related problems, and external limitations and restrictions. The paper attempts to inform the higher education literature by providing evidence from five countries on an un</w:t>
      </w:r>
    </w:p>
    <w:p>
      <w:pPr/>
      <w:r>
        <w:rPr>
          <w:b/>
        </w:rPr>
        <w:t>POSSIBLE 2026:</w:t>
      </w:r>
      <w:r>
        <w:t xml:space="preserve"> Natural Gas Transit from West Africa to Europe (Africa Atlantic Gas Pipeline) to Maximize Energy Security and Transit Revenues by 2050 — https://doi.org/10.62762/jgee.2025.372522</w:t>
      </w:r>
    </w:p>
    <w:p>
      <w:pPr/>
      <w:r>
        <w:rPr>
          <w:b/>
        </w:rPr>
        <w:t>Shared claim-specific concepts:</w:t>
      </w:r>
      <w:r>
        <w:t xml:space="preserve"> findings, full, framework; EU scope visible. This is a provisional connection, not an outcome finding.</w:t>
      </w:r>
    </w:p>
    <w:p>
      <w:pPr>
        <w:pStyle w:val="SourceNote"/>
      </w:pPr>
      <w:r>
        <w:rPr>
          <w:b/>
        </w:rPr>
        <w:t>Available abstract (not full text):</w:t>
      </w:r>
      <w:r>
        <w:t xml:space="preserve"> The Africa-Atlantic Gas Pipeline (AAGP), also known as the Nigeria-Morocco Gas Pipeline, is a major transcontinental infrastructure project poised to connect West African gas reserves with North African networks and European markets, potentially reshaping regional energy dynamics, boosting economic development, and enhancing energy security. Its strategic importance has grown amid Europe’s urgent need to diversify away from Russian gas imports and Africa’s dual challenge of resource-based development and sustainable local energy access. Despite increasing interest, there is a lack of integrated, quantitative evaluation of competing gas transit strategies considering technical, economic, environmental, and social criteria. This research fills that gap by applying a Multi-Criteria Decision-Making framework (AHP) to assess four transit strategies, highlighting Public-Private Partnerships and revenue-sharing as top options. The study also models Europe’s future gas supply scenarios, showing that while African gas corridors like the AAGP could significantly reduce European dependence on Russian gas, full substitution requires coordinated investments and complementary measures. The findings offer policymakers a transparent, replicable methodology to make evidence-based decisions that align energy security, regional cooperation, and sustainability goals, while recognizing limitations </w:t>
      </w:r>
    </w:p>
    <w:p>
      <w:pPr/>
      <w:r>
        <w:rPr>
          <w:b/>
        </w:rPr>
        <w:t>POSSIBLE 2025:</w:t>
      </w:r>
      <w:r>
        <w:t xml:space="preserve"> Bridging the gap between research and decision making: A European survey to enhance cooperation in wastewater-based epidemiology (WBE) for illicit drugs — https://doi.org/10.1016/j.puhe.2025.02.009</w:t>
      </w:r>
    </w:p>
    <w:p>
      <w:pPr/>
      <w:r>
        <w:rPr>
          <w:b/>
        </w:rPr>
        <w:t>Shared claim-specific concepts:</w:t>
      </w:r>
      <w:r>
        <w:t xml:space="preserve"> findings, making, full, improving, coordination, however; EU scope visible. This is a provisional connection, not an outcome finding.</w:t>
      </w:r>
    </w:p>
    <w:p>
      <w:pPr>
        <w:pStyle w:val="SourceNote"/>
      </w:pPr>
      <w:r>
        <w:rPr>
          <w:b/>
        </w:rPr>
        <w:t>Available abstract (not full text):</w:t>
      </w:r>
      <w:r>
        <w:t xml:space="preserve"> OBJECTIVES: Illicit drug use presents a significant challenge to global health and public safety, requiring innovative and effective monitoring strategies. This study aimed to evaluate the current landscape of wastewater-based epidemiology (WBE) for monitoring illicit drugs in Europe, focusing on collaboration, current practices, and barriers, while identifying opportunities for improvement. STUDY DESIGN: Cross-sectional survey-based study. METHODS: Coordinated by the Sewage Analysis CORe Group Europe (SCORE) and the European Union Drugs Agency (EUDA), two surveys were conducted in 2023 targeting researchers and stakeholders using WBE for illicit drugs. Data were analysed to identify trends, gaps, and opportunities for improving WBE implementation. RESULTS: The findings indicate a robust research infrastructure and diverse analytical methods among European institutions. Two-thirds of the participating countries reported using WBE data to inform policy. However, challenges persist, particularly in securing funding and coordination, as well as generating national estimates from multiple locations and addressing specific local policy needs. CONCLUSIONS: WBE has proven to be a valuable tool for monitoring illicit drug trends and informing drug policies. To unlock its full potential, sustained funding, methodological standardization, and enhanced cooperation are essential. This stud</w:t>
      </w:r>
    </w:p>
    <w:p>
      <w:pPr/>
      <w:r>
        <w:rPr>
          <w:b/>
        </w:rPr>
        <w:t>POSSIBLE 2025:</w:t>
      </w:r>
      <w:r>
        <w:t xml:space="preserve"> Comparison of countries in the WHO European Region according to noncommunicable disease indicators by multi-criteria decision making methods — https://doi.org/10.32552/2025.actamedica.1067</w:t>
      </w:r>
    </w:p>
    <w:p>
      <w:pPr/>
      <w:r>
        <w:rPr>
          <w:b/>
        </w:rPr>
        <w:t>Shared claim-specific concepts:</w:t>
      </w:r>
      <w:r>
        <w:t xml:space="preserve"> based, findings, making, full, however; EU scope visible. This is a provisional connection, not an outcome finding.</w:t>
      </w:r>
    </w:p>
    <w:p>
      <w:pPr>
        <w:pStyle w:val="SourceNote"/>
      </w:pPr>
      <w:r>
        <w:rPr>
          <w:b/>
        </w:rPr>
        <w:t>Available abstract (not full text):</w:t>
      </w:r>
      <w:r>
        <w:t xml:space="preserve"> Objective: The aim of this study is to compare the relative risk prevalence of noncommunicable diseases (NCDs) in the countries of the European Region as defined by WHO (World Health Organization) using WASPAS (Weighted Aggregated Sum Product Assessment) and MULTIMOORA (Multi-Objective Optimization by Ratio Analysis plus the full Multiplicative Form) multi-criteria decision-making (MCDM) methods. Materials and Methods: The cross-sectional study’s target population consisted of 50 countries in the WHO European Region with complete observations. The study utilizes NCDs data that the WHO publicly released. Analysis was performed using the R programming language and Microsoft Excel. Results: Based on the CRITIC (CRiteria Importance Through Intercorrelated Corrected) weighted WASPAS analysis, it was observed that 24 European countries exhibited Q scores above the average, while 26 countries displayed Q scores below the average. Finland, Cyprus, Switzerland, Spain, Iceland, Iceland, Sweden, Slovenia, Italy, Norway, Latvia, Portugal, Luxembourg, Belgium, France, Greece, the Netherlands, Germany, Malta, Austria, Ireland, Israel, Lithuania, Israel, Lithuania and Estonia have the highest Q scores. Twenty-four countries with above-average Q scores have lower NCD prevalence than twenty-six European countries. In Türkiye, the prevalence of NCDs is above the European average. However, Switze</w:t>
      </w:r>
    </w:p>
    <w:p>
      <w:pPr/>
      <w:r>
        <w:rPr>
          <w:b/>
        </w:rPr>
        <w:t>POSSIBLE 2025:</w:t>
      </w:r>
      <w:r>
        <w:t xml:space="preserve"> Future evolution of large floods in Europe — https://doi.org/10.5194/egusphere-egu25-9464</w:t>
      </w:r>
    </w:p>
    <w:p>
      <w:pPr/>
      <w:r>
        <w:rPr>
          <w:b/>
        </w:rPr>
        <w:t>Shared claim-specific concepts:</w:t>
      </w:r>
      <w:r>
        <w:t xml:space="preserve"> based, findings, five, but, increased; EU scope visible. This is a provisional connection, not an outcome finding.</w:t>
      </w:r>
    </w:p>
    <w:p>
      <w:pPr>
        <w:pStyle w:val="SourceNote"/>
      </w:pPr>
      <w:r>
        <w:rPr>
          <w:b/>
        </w:rPr>
        <w:t>Available abstract (not full text):</w:t>
      </w:r>
      <w:r>
        <w:t xml:space="preserve"> Large floods regularly cause loss of life and substantial economic damage. In a warmer climate, increased precipitation variability and extremes, combined with reduced snowmelt, are expected to alter flood characteristics, but how the dynamics of large floods across Europe will evolve under climate change remains unclear. Many existing grid-based and catchment-based studies lack the capacity to systematically identify widespread floods associated with larger impacts. This study addresses these gaps by identifying large, spatially connected floods in Europe based on the spatio-temporal connectivity of runoff extremes, which is derived from daily routed runoff simulations driven by five CMIP5 models under various warming levels. Further, a comprehensive set of flood metrics—including frequency, timing, extent, and volume—is quantified to assess future flood changes. Additionally, the underlying drivers of these changes are investigated. We show that earlier snowmelt generally leads to earlier floods, while increasing precipitation contributions attenuates flood seasonality. In western and central Europe, projected increases in precipitation amplify flood extents and volumes, particularly for the most extreme floods. In contrast, reduced snowmelt dominates flood changes in northern Europe. Interestingly, floods of different magnitudes exhibit varied responses to global warming. Fo</w:t>
      </w:r>
    </w:p>
    <w:p>
      <w:pPr/>
      <w:r>
        <w:rPr>
          <w:b/>
        </w:rPr>
        <w:t>POSSIBLE 2025:</w:t>
      </w:r>
      <w:r>
        <w:t xml:space="preserve"> HEALTH-ORIENTED EMPLOYMENT PROGRAMMES: INTERNATIONAL EXPERIENCE (BASED ON FIVE WESTERN EUROPEAN COUNTRIES) — https://doi.org/10.17323/1999-5431-2025-0-4-182-210</w:t>
      </w:r>
    </w:p>
    <w:p>
      <w:pPr/>
      <w:r>
        <w:rPr>
          <w:b/>
        </w:rPr>
        <w:t>Shared claim-specific concepts:</w:t>
      </w:r>
      <w:r>
        <w:t xml:space="preserve"> based, findings, five, focus; EU scope visible. This is a provisional connection, not an outcome finding.</w:t>
      </w:r>
    </w:p>
    <w:p>
      <w:pPr>
        <w:pStyle w:val="SourceNote"/>
      </w:pPr>
      <w:r>
        <w:rPr>
          <w:b/>
        </w:rPr>
        <w:t>Available abstract (not full text):</w:t>
      </w:r>
      <w:r>
        <w:t xml:space="preserve"> Empirical studies demonstrate a bidirectional relationship between population health status and employment, highlighting the importance of integrating these areas within social policy. This article aims to identify successful international practices for integrating health considerations into employment policy and to develop recommendations for adapting them in the Russian context. Based on the analysis of scientific literature, regulatory documents, and report data, the study examines European approaches to the implementation of employment programs that account for the health status of the population – both universal programs and those targeted at older adults. The findings reveal a steady trend toward cross-sectoral integration, whereby employment initiatives are implemented in partnership with healthcare institutions, insurance funds, and businesses. The analysis also highlights the decentralization of authority to the regional level and the individualization of support, particularly for individuals with chronic illnesses or prolonged absences from the labor market. Programs aimed at older workers focus on extending labor participation through workplace adaptations, continuous learning, and medical-social support. As a key result of the study, a set of measures was proposed to enhance the integration of employment and health policy. These include: the development of remote em</w:t>
      </w:r>
    </w:p>
    <w:p>
      <w:pPr/>
      <w:r>
        <w:rPr>
          <w:b/>
        </w:rPr>
        <w:t>POSSIBLE 2025:</w:t>
      </w:r>
      <w:r>
        <w:t xml:space="preserve"> Teaching for tomorrow: a qualitative exploration of ESD in initial teacher education across five European universities — https://doi.org/10.1108/ijshe-09-2024-0690</w:t>
      </w:r>
    </w:p>
    <w:p>
      <w:pPr/>
      <w:r>
        <w:rPr>
          <w:b/>
        </w:rPr>
        <w:t>Shared claim-specific concepts:</w:t>
      </w:r>
      <w:r>
        <w:t xml:space="preserve"> findings, five, actual, framework; EU scope visible. This is a provisional connection, not an outcome finding.</w:t>
      </w:r>
    </w:p>
    <w:p>
      <w:pPr>
        <w:pStyle w:val="SourceNote"/>
      </w:pPr>
      <w:r>
        <w:rPr>
          <w:b/>
        </w:rPr>
        <w:t>Available abstract (not full text):</w:t>
      </w:r>
      <w:r>
        <w:t xml:space="preserve"> Purpose The purpose of this study is to critucally examine how education for sustainable development (ESD) is integrated into initial teacher education (ITE) across five European universities. Despite strong European Union and United Nations Educational, Scientific and Cultural Organisation (UNESCO) frameworks, the actual practices of embedding ESD competences in pre-service teacher training remain underexplored. Design/methodology/approach The authors reviewed policy documents from Finland, Germany, Ireland, Portugal and Spain to contextualise national strategies for ESD, followed by semi-structured interviews with six university-based educators to explore how ESD is interpreted, implemented and supported in ITE. Thematic analysis informed the interpretation of the data. Findings Results reveal a fragmented landscape of ESD integration, with significant inconsistencies in curricular approaches, institutional support and educator preparedness. ESD often remains optional or implicitly embedded, constrained by structural factors such as rigid credit systems and lack of faculty development. Practical implications Insights inform policy makers, teacher educators and institutions aiming to harmonise ESD competences across diverse European contexts, fostering more consistent and impactful integration. Originality/value By capturing the lived experiences of teacher educators, this stu</w:t>
      </w:r>
    </w:p>
    <w:p>
      <w:pPr/>
      <w:r>
        <w:rPr>
          <w:b/>
        </w:rPr>
        <w:t>POSSIBLE 2025:</w:t>
      </w:r>
      <w:r>
        <w:t xml:space="preserve"> Contextualizing inequalities in the gig economy: evidence from online cleaning platforms in five European cities — https://doi.org/10.1108/ijssp-12-2024-0619</w:t>
      </w:r>
    </w:p>
    <w:p>
      <w:pPr/>
      <w:r>
        <w:rPr>
          <w:b/>
        </w:rPr>
        <w:t>Shared claim-specific concepts:</w:t>
      </w:r>
      <w:r>
        <w:t xml:space="preserve"> based, findings, five, focus; EU scope visible. This is a provisional connection, not an outcome finding.</w:t>
      </w:r>
    </w:p>
    <w:p>
      <w:pPr>
        <w:pStyle w:val="SourceNote"/>
      </w:pPr>
      <w:r>
        <w:rPr>
          <w:b/>
        </w:rPr>
        <w:t>Available abstract (not full text):</w:t>
      </w:r>
      <w:r>
        <w:t xml:space="preserve"> Purpose This paper explores the impact of national contexts on the profile of workers in the gig economy, with a specific focus on online cleaning platforms. The study aims to understand how national contexts influence the gender and ethnic composition of workers on domestic cleaning platforms, examining the intersectional effects of gender and ethnicity in platform-based work. Design/methodology/approach Focusing on the case of the Yoopies platform operating in five Western European cities – Berlin, Copenhagen, Paris, Rome and Stockholm – this exploratory research is based on an original dataset that combines platform-based data directly collected from Yoopies with national-level data provided by Eurostat. Hypotheses were tested using simple correlation analysis to assess cross-country differences. Findings The study shows that national contexts play an important role in shaping the gender and ethnic composition of workers on online cleaning platforms. Specifically, it identifies how structural features of the offline labor market influence the gendering and racialization of these platforms, highlighting variations across countries. The research also finds evidence of intersectional effects, where gender and ethnicity intersect to shape the profile of platform workers. Originality/value This paper contributes to the growing literature on domestic work in the digital platform e</w:t>
      </w:r>
    </w:p>
    <w:p>
      <w:pPr/>
      <w:r>
        <w:rPr>
          <w:b/>
        </w:rPr>
        <w:t>POSSIBLE 2025:</w:t>
      </w:r>
      <w:r>
        <w:t xml:space="preserve"> Community versus institutionalised care for people with severe mental illness in five countries in Southeast Europe: pooled analysis of five randomised trials — https://doi.org/10.1136/bmjgh-2024-018594</w:t>
      </w:r>
    </w:p>
    <w:p>
      <w:pPr/>
      <w:r>
        <w:rPr>
          <w:b/>
        </w:rPr>
        <w:t>Shared claim-specific concepts:</w:t>
      </w:r>
      <w:r>
        <w:t xml:space="preserve"> based, findings, five, full, improving; EU scope visible. This is a provisional connection, not an outcome finding.</w:t>
      </w:r>
    </w:p>
    <w:p>
      <w:pPr>
        <w:pStyle w:val="SourceNote"/>
      </w:pPr>
      <w:r>
        <w:rPr>
          <w:b/>
        </w:rPr>
        <w:t>Available abstract (not full text):</w:t>
      </w:r>
      <w:r>
        <w:t xml:space="preserve"> BACKGROUND: The RECOVER-E project implemented community-based mental healthcare (CMH) oriented at functional recovery in people with schizophrenia, bipolar and severe major depressive disorder in five countries: Bulgaria, Croatia, Montenegro, North Macedonia and Romania, with the aim to shift care from institutions to communities. OBJECTIVE: To evaluate the effectiveness of CMH under real-world circumstances across various healthcare ecologies and contexts. METHODS: A randomised comparison of CMH versus treatment as usual (TAU) based on pooled data from all five RECOVER-E trials (N=931). Outcomes were personal and social role functioning (WHO Disability Assessment Schedule, WHODAS 2.0) and health-related quality of life (EuroQoL-5 Dimensions-3 Levels) at baseline, 12 and 18 months postbaseline. Intention-to-treat analysis was conducted with mixed modelling and a sensitivity analysis adjusted for the impact of COVID-19 on healthcare delivery and outcomes. FINDINGS: At 18-month follow-up, CMH had a 4.55 lower WHODAS disability score than TAU, which was significant (b=-4.55, SE=1.21, z=-3.75, p&lt;0.001), and improved quality of life by 0.07 utility (b=0.07, SE=0.014, z=4.56, p&lt;0.001) equivalent to an additional 25 days in full health. Similar effects were observed in each of the five countries and for all WHODAS subdomains (cognition, mobility, self-care, getting along with people, </w:t>
      </w:r>
    </w:p>
    <w:p>
      <w:pPr/>
      <w:r>
        <w:rPr>
          <w:b/>
        </w:rPr>
        <w:t>POSSIBLE 2025:</w:t>
      </w:r>
      <w:r>
        <w:t xml:space="preserve"> Regional Strategies for PV-Based Sustainable Energy in GCC and Europe — https://doi.org/10.31875/2410-2199.2025.12.09</w:t>
      </w:r>
    </w:p>
    <w:p>
      <w:pPr/>
      <w:r>
        <w:rPr>
          <w:b/>
        </w:rPr>
        <w:t>Shared claim-specific concepts:</w:t>
      </w:r>
      <w:r>
        <w:t xml:space="preserve"> based, making, efficiency; EU scope visible. This is a provisional connection, not an outcome finding.</w:t>
      </w:r>
    </w:p>
    <w:p>
      <w:pPr>
        <w:pStyle w:val="SourceNote"/>
      </w:pPr>
      <w:r>
        <w:rPr>
          <w:b/>
        </w:rPr>
        <w:t>Available abstract (not full text):</w:t>
      </w:r>
      <w:r>
        <w:t xml:space="preserve"> This study analyzes the feasibility of the production of solar power as a sustainable solution to the climate and energy crisis, focusing on two areas in particular: the Gulf Cooperation Council countries and Europe. Focused attention goes to emerging economies in analyzing how solar power can aid in reducing carbon dioxide emissions and attaining sustainable development. Comparative analysis is performed for the GCC region and Europe on the basis of unique solar system design ability and the performance of photovoltaic (PV) systems, taking into account realistic environmental and working parameters. In this comparative design research, mathematical equations were applied to determine the number of required solar panels to achieve determined energy efficiency in both regions. A novel mathematical modeling approach was designed and presented as new equations to achieve a correct estimate of the quantity of PV panels required from the energy requirement and a parameter called the Power Generation Factor (PGF). The practical design approach employed in the present work synchronizes the technical aspects of electrical system design with broader sustainable development goals, particularly for developing nations. By creating new mathematical equations for estimating how many PV panels would be necessary based on desired energy yields and incorporating the PGF, the study underscores t</w:t>
      </w:r>
    </w:p>
    <w:p>
      <w:pPr/>
      <w:r>
        <w:rPr>
          <w:b/>
        </w:rPr>
        <w:t>POSSIBLE 2025:</w:t>
      </w:r>
      <w:r>
        <w:t xml:space="preserve"> Community-based interventions for management of antimicrobial resistance in Europe: a systematic review — https://doi.org/10.1093/eurpub/ckaf257</w:t>
      </w:r>
    </w:p>
    <w:p>
      <w:pPr/>
      <w:r>
        <w:rPr>
          <w:b/>
        </w:rPr>
        <w:t>Shared claim-specific concepts:</w:t>
      </w:r>
      <w:r>
        <w:t xml:space="preserve"> findings, but, however, increased; EU scope visible. This is a provisional connection, not an outcome finding.</w:t>
      </w:r>
    </w:p>
    <w:p>
      <w:pPr>
        <w:pStyle w:val="SourceNote"/>
      </w:pPr>
      <w:r>
        <w:rPr>
          <w:b/>
        </w:rPr>
        <w:t>Available abstract (not full text):</w:t>
      </w:r>
      <w:r>
        <w:t xml:space="preserve"> Antimicrobial resistance (AMR) is a growing global health problem. Several public interventions have been designed to increase AMR knowledge and awareness. This review assesses the availability and effectiveness of community-based AMR interventions in Europe. Four databases-Medline (OVID), Pubmed, Scopus, Web of Science- and grey literature were searched for AMR interventions in community settings in Europe between 2000 and 2024. Studies reporting empirical findings in English were considered. A narrative synthesis was performed, and findings were presented in text and tables. Forty-nine studies were eligible for inclusion from 14 European countries. Interventions were primarily educational to raise awareness, targeting individuals, small groups, or the general public through mass campaigns, school-based programmes, online games, and pledges. Some interventions also monitored adherence, consumption, and doctor consultation. The majority of interventions reported increased knowledge and awareness of antibiotics and AMR; reduced antibiotic prescription, purchase, use, and non-compliance; reduced respiratory incidence and doctor consultations, and increased overall adherence. Fluctuations in knowledge over time were observed, but evidence was insufficient to analyse the long-term sustainability of outcomes of the interventions. Our findings show that community-based interventions </w:t>
      </w:r>
    </w:p>
    <w:p>
      <w:pPr>
        <w:pStyle w:val="Heading2"/>
      </w:pPr>
      <w:r>
        <w:t>629. The Role of BECCS in Achieving Climate Neutrality in the European Union</w:t>
      </w:r>
    </w:p>
    <w:p>
      <w:pPr>
        <w:pStyle w:val="SourceNote"/>
      </w:pPr>
      <w:r>
        <w:rPr>
          <w:b/>
        </w:rPr>
        <w:t>Original source (2021):</w:t>
      </w:r>
      <w:r>
        <w:t xml:space="preserve"> https://doi.org/10.3390/en14237842</w:t>
      </w:r>
    </w:p>
    <w:p>
      <w:pPr/>
      <w:r>
        <w:t>Original wording (abstract; indexed_source_text_not_full_document_verified): The achievement of climate neutrality in the European Union by 2050 will not be possible solely through a reduction in fossil fuels and the development of energy generation from renewable sources. The modelling results confirm the key role of BECCS technology in achieving EU climate goals by 2050.</w:t>
      </w:r>
    </w:p>
    <w:p>
      <w:pPr/>
      <w:r>
        <w:rPr>
          <w:b/>
        </w:rPr>
        <w:t>POSSIBLE 2025:</w:t>
      </w:r>
      <w:r>
        <w:t xml:space="preserve"> Cluster Analysis of the Transition to Climate Neutrality in the European Union — https://doi.org/10.1002/sd.70064</w:t>
      </w:r>
    </w:p>
    <w:p>
      <w:pPr/>
      <w:r>
        <w:rPr>
          <w:b/>
        </w:rPr>
        <w:t>Shared claim-specific concepts:</w:t>
      </w:r>
      <w:r>
        <w:t xml:space="preserve"> climate, neutrality, union, energy, key, achieving; EU scope visible. This is a provisional connection, not an outcome finding.</w:t>
      </w:r>
    </w:p>
    <w:p>
      <w:pPr>
        <w:pStyle w:val="SourceNote"/>
      </w:pPr>
      <w:r>
        <w:rPr>
          <w:b/>
        </w:rPr>
        <w:t>Available abstract (not full text):</w:t>
      </w:r>
      <w:r>
        <w:t xml:space="preserve"> ABSTRACT The transition to climate neutrality is an important objective for the European Union, which is increasingly affected economically and environmentally by the impacts of climate change. The primary objective of this study is to analyze the transition to climate neutrality across EU Member States through a cluster analysis approach. Specifically, the research aims to: (1) review existing literature on environmental policy outcomes in achieving climate neutrality, (2) identify key energy and environmental economic drivers impacting this transition, (3) conduct a cluster analysis to group Member States based on their progress and challenges, and (4) propose differentiated public policy recommendations to support Europe's transition to climate neutrality. To achieve these objectives, the K‐means clustering method and ranking techniques were employed to identify differences in transition policies and to evaluate disparities among clusters in their contribution to the EU's overall climate neutrality goals. The study's results determined differences in the cluster structure of the European Union in terms of the approach to the transition to climate neutrality. They will provide a basis for developing differentiated public policy proposals between countries. The results are useful for supranational policymakers in determining approaches for adjusting climate neutrality transiti</w:t>
      </w:r>
    </w:p>
    <w:p>
      <w:pPr/>
      <w:r>
        <w:rPr>
          <w:b/>
        </w:rPr>
        <w:t>POSSIBLE 2025:</w:t>
      </w:r>
      <w:r>
        <w:t xml:space="preserve"> How far is the way to climate neutrality in Romanian cities — https://doi.org/10.1109/upec65436.2025.11279727</w:t>
      </w:r>
    </w:p>
    <w:p>
      <w:pPr/>
      <w:r>
        <w:rPr>
          <w:b/>
        </w:rPr>
        <w:t>Shared claim-specific concepts:</w:t>
      </w:r>
      <w:r>
        <w:t xml:space="preserve"> climate, neutrality, union, energy, achieving; EU scope visible. This is a provisional connection, not an outcome finding.</w:t>
      </w:r>
    </w:p>
    <w:p>
      <w:pPr>
        <w:pStyle w:val="SourceNote"/>
      </w:pPr>
      <w:r>
        <w:rPr>
          <w:b/>
        </w:rPr>
        <w:t>Available abstract (not full text):</w:t>
      </w:r>
      <w:r>
        <w:t xml:space="preserve"> Achieving climate neutrality at the urban level represents one of the most complex transformations of the 21st century, requiring a systemic shift in energy production, consumption, and governance models. This paper provides an integrated assessment of the progress made by Romanian cities toward climate neutrality, with a focus on the period up to 2020 and the subsequent planning frameworks adopted thereafter. Based on the analysis of local energy plans and greenhouse gas emissions inventories, the study highlights both the achievements and limitations of the Sustainable Energy and Climate Action Plans (SECAPs), as well as the transition toward City Climate Contracts (CCCs) under the European Union’s Climate-Neutral and Smart Cities Mission.The analysis reveals a heterogeneous but traceable pathway of urban decarbonization, supported by early investments in building energy efficiency, public lighting modernization, and low-emission mobility systems. Unexpected positive contributions from the national power system and multifamily residential buildings are also identified, reflecting the interplay between top-down policy measures and bottom-up community-level dynamics in the energy transition process. The study introduces a set of operational indicators for tracking progress and assesses the financial and institutional feasibility of investment scenarios through 2030. While a hig</w:t>
      </w:r>
    </w:p>
    <w:p>
      <w:pPr/>
      <w:r>
        <w:rPr>
          <w:b/>
        </w:rPr>
        <w:t>POSSIBLE 2025:</w:t>
      </w:r>
      <w:r>
        <w:t xml:space="preserve"> Energy Storage Requirements for Achieving Climate Neutrality: An Italian Case Study — https://doi.org/10.1109/iccep65222.2025.11143702</w:t>
      </w:r>
    </w:p>
    <w:p>
      <w:pPr/>
      <w:r>
        <w:rPr>
          <w:b/>
        </w:rPr>
        <w:t>Shared claim-specific concepts:</w:t>
      </w:r>
      <w:r>
        <w:t xml:space="preserve"> achievement, climate, neutrality, energy, renewable, sources; EU scope visible. This is a provisional connection, not an outcome finding.</w:t>
      </w:r>
    </w:p>
    <w:p>
      <w:pPr>
        <w:pStyle w:val="SourceNote"/>
      </w:pPr>
      <w:r>
        <w:rPr>
          <w:b/>
        </w:rPr>
        <w:t>Available abstract (not full text):</w:t>
      </w:r>
      <w:r>
        <w:t xml:space="preserve"> Achieving climate neutrality before 2050 is a central objective of the European Green Deal. This transition involves phasing out non-renewable power plants and installing numerous renewable energy sources, resulting in non-dispatchable and intermittent energy production. Additionally, the transition entails an increase in energy consumption due to greater electrification, particularly in the heating and mobility sectors. In this context, there may be a growing need for the deployment of energy storage systems. This paper proposes a methodology to optimize the required capacity of energy storage systems to support the achievement of climate neutrality. The methodology is then applied to the case of the Province of Bolzano.</w:t>
      </w:r>
    </w:p>
    <w:p>
      <w:pPr/>
      <w:r>
        <w:rPr>
          <w:b/>
        </w:rPr>
        <w:t>POSSIBLE 2025:</w:t>
      </w:r>
      <w:r>
        <w:t xml:space="preserve"> CLIMATE NEUTRALITY IN THE EUROPEAN UNION: LEGAL CHALLENGES AND NATIONAL STRATEGIES — https://doi.org/10.17721/apmv.2025.163.1.78-85</w:t>
      </w:r>
    </w:p>
    <w:p>
      <w:pPr/>
      <w:r>
        <w:rPr>
          <w:b/>
        </w:rPr>
        <w:t>Shared claim-specific concepts:</w:t>
      </w:r>
      <w:r>
        <w:t xml:space="preserve"> climate, neutrality, union, energy, achieving; EU scope visible. This is a provisional connection, not an outcome finding.</w:t>
      </w:r>
    </w:p>
    <w:p>
      <w:pPr>
        <w:pStyle w:val="SourceNote"/>
      </w:pPr>
      <w:r>
        <w:rPr>
          <w:b/>
        </w:rPr>
        <w:t>Available abstract (not full text):</w:t>
      </w:r>
      <w:r>
        <w:t xml:space="preserve"> The article analyzes the climate policy of the European Union and its members, in particular in the context of the goal of achieving climate neutrality by 2050, enshrined in the European Climate Law. Based on a comparative analysis of the legal strategies of the EU states, national approaches to the implementation of obligations to achieve climate neutrality, the level of their legal certainty, as well as the ambition of the established time horizons are outlined. the nature of the goal of climate neutrality as a normative category, as well as the issues of the effectiveness of the implementation of international obligations. An interdisciplinary assessment of the potential of legal instruments in the context of a just energy transition is proposed.</w:t>
      </w:r>
    </w:p>
    <w:p>
      <w:pPr/>
      <w:r>
        <w:rPr>
          <w:b/>
        </w:rPr>
        <w:t>POSSIBLE 2025:</w:t>
      </w:r>
      <w:r>
        <w:t xml:space="preserve"> Strategizing for Climate Neutrality. How to Make Social Innovation Relevant in the City’s Journey to Climate Neutrality — https://doi.org/10.1007/978-3-031-87726-1_3</w:t>
      </w:r>
    </w:p>
    <w:p>
      <w:pPr/>
      <w:r>
        <w:rPr>
          <w:b/>
        </w:rPr>
        <w:t>Shared claim-specific concepts:</w:t>
      </w:r>
      <w:r>
        <w:t xml:space="preserve"> climate, neutrality, union, key, role; EU scope visible. This is a provisional connection, not an outcome finding.</w:t>
      </w:r>
    </w:p>
    <w:p>
      <w:pPr>
        <w:pStyle w:val="SourceNote"/>
      </w:pPr>
      <w:r>
        <w:rPr>
          <w:b/>
        </w:rPr>
        <w:t>Available abstract (not full text):</w:t>
      </w:r>
      <w:r>
        <w:t xml:space="preserve"> Abstract This chapter explores the imperative for cities to accelerate their journey towards climate neutrality through social innovation and systemic transformation. It begins by contextualizing the challenge within the European Union’s “100 Climate-Neutral and Smart Cities by 2030” Mission, emphasizing the need for collaborative governance and creative approaches to city planning. Key practices for sustainability action planning are outlined, including the establishment of Transition Teams, development of portfolios of actions, mobilisation of cross-sectoral ecosystems, and iterative planning processes. The chapter further introduces the Climate Transition Map as a tool to guide cities through their transition journey. Additionally, it discusses the importance of learning and capability building for embedding sustainability and social innovation in city practices, highlighting the need for facilitating continuous learning and reflection for informing innovation towards sustainable practices. Finally, it addresses the evolving nature of sustainable transitions and the need for transformative policies, innovative approaches, and agile structures to achieve systemic transformation. Throughout, the chapter emphasizes the central role of social innovation in empowering collective action towards climate neutrality, as a crucial aspect of sustainability transitions beyond technologi</w:t>
      </w:r>
    </w:p>
    <w:p>
      <w:pPr/>
      <w:r>
        <w:rPr>
          <w:b/>
        </w:rPr>
        <w:t>POSSIBLE 2025:</w:t>
      </w:r>
      <w:r>
        <w:t xml:space="preserve"> CLIMATE POLICY OF UKRAINE IN THE CONTEXT OF EUROPEAN INTEGRATION — https://doi.org/10.29038/2524-2679-2025-01-180-197</w:t>
      </w:r>
    </w:p>
    <w:p>
      <w:pPr/>
      <w:r>
        <w:rPr>
          <w:b/>
        </w:rPr>
        <w:t>Shared claim-specific concepts:</w:t>
      </w:r>
      <w:r>
        <w:t xml:space="preserve"> climate, neutrality, union, energy, renewable, sources; EU scope visible. This is a provisional connection, not an outcome finding.</w:t>
      </w:r>
    </w:p>
    <w:p>
      <w:pPr>
        <w:pStyle w:val="SourceNote"/>
      </w:pPr>
      <w:r>
        <w:rPr>
          <w:b/>
        </w:rPr>
        <w:t>Available abstract (not full text):</w:t>
      </w:r>
      <w:r>
        <w:t xml:space="preserve"> The article examines the main stages of the development of Ukraine’s climate policy with an emphasis on the integration of environmental standards of the European Union, including obligations under the Paris Agreement and the Euro- pean Green Deal (EGD). The author analyzes the political and legal frameworks introduced in 2015 and identifies Ukraine’s achievements on the way to environ- mental sustainability and the challenges associated with their implementation in wartime. The main focus is on institutional reforms and Ukraine’s strategic climate goals. The article outlines the transition to climate neutrality by 2060 and strategies for increasing energy efficiency and using renewable energy sources, particularly in agriculture and industry. The author emphasizes the contribution of the Ukraine-EU Association Agreement to the improvement of the national legal framework, which encourages Ukraine to implement European directives in the field of climate. It also emphasizes the destructive impact of the Russian- Ukrainian war on the country’s ecological situation, which led to massive pol- lution and challenges for environmental restoration. The author emphasizes the importance of international support for implementing recovery and decarboniza- tion measures in the post-war period. Particular emphasis is placed on the role of Ukrainian civil society and international partners in </w:t>
      </w:r>
    </w:p>
    <w:p>
      <w:pPr/>
      <w:r>
        <w:rPr>
          <w:b/>
        </w:rPr>
        <w:t>POSSIBLE 2025:</w:t>
      </w:r>
      <w:r>
        <w:t xml:space="preserve"> Pre-Harvest Aflatoxin Contamination in Crops and Climate Change Factors: A European Overview — https://doi.org/10.3390/toxins17070344</w:t>
      </w:r>
    </w:p>
    <w:p>
      <w:pPr/>
      <w:r>
        <w:rPr>
          <w:b/>
        </w:rPr>
        <w:t>Shared claim-specific concepts:</w:t>
      </w:r>
      <w:r>
        <w:t xml:space="preserve"> climate, key; EU scope visible. This is a provisional connection, not an outcome finding.</w:t>
      </w:r>
    </w:p>
    <w:p>
      <w:pPr>
        <w:pStyle w:val="SourceNote"/>
      </w:pPr>
      <w:r>
        <w:rPr>
          <w:b/>
        </w:rPr>
        <w:t>Available abstract (not full text):</w:t>
      </w:r>
      <w:r>
        <w:t xml:space="preserve"> Aflatoxin (AF) contamination of crops during the pre-harvest period is a significant global concern for food and feed safety (FFS). In Europe, climate change presents a growing threat to agricultural products by increasing the risk of AF contamination. This umbrella review evaluates the scope and quality of pre-harvest data on climate-related AF contamination in Europe, addressing key questions: What insights do researchers provide on the relationship between climate change and pre-harvest AF contamination, and what data are lacking? Which crops are the focus of current research, and where in Europe are these studies concentrated? How is the data presented, and is it standardized? We conducted an umbrella literature review, extracting relevant studies from PubMed and Scopus up to 14 October 2024. Our findings indicate that rising temperatures, droughts, and shifting rainfall patterns increasingly favor the growth of aflatoxigenic fungi and pre-harvest AF contamination in European crops, posing risks to FFS and agricultural stability. However, inconsistencies in data collection and reporting limit cross-regional comparisons and hinder the development of effective mitigation strategies. Standardizing methodologies and improving data accessibility will enhance predictive modeling, strengthen risk assessments, and support targeted adaptation efforts, providing actionable insights f</w:t>
      </w:r>
    </w:p>
    <w:p>
      <w:pPr/>
      <w:r>
        <w:rPr>
          <w:b/>
        </w:rPr>
        <w:t>POSSIBLE 2025:</w:t>
      </w:r>
      <w:r>
        <w:t xml:space="preserve"> Female Directors, Family Firms, Climate Talk and Climate Walk: European Evidence — https://doi.org/10.1002/bse.4348</w:t>
      </w:r>
    </w:p>
    <w:p>
      <w:pPr/>
      <w:r>
        <w:rPr>
          <w:b/>
        </w:rPr>
        <w:t>Shared claim-specific concepts:</w:t>
      </w:r>
      <w:r>
        <w:t xml:space="preserve"> climate, not, reduction, role; EU scope visible. This is a provisional connection, not an outcome finding.</w:t>
      </w:r>
    </w:p>
    <w:p>
      <w:pPr>
        <w:pStyle w:val="SourceNote"/>
      </w:pPr>
      <w:r>
        <w:rPr>
          <w:b/>
        </w:rPr>
        <w:t>Available abstract (not full text):</w:t>
      </w:r>
      <w:r>
        <w:t xml:space="preserve"> ABSTRACT Growing attention is attributed to symbolic and substantive climate efforts, labelled as climate talk and walk. Focusing on the European capital market, we study the relationship between board gender diversity, family ownership and different levels of corporate climate activities along the continuum from climate talk to climate walk. Using emission reduction target data from the Carbon Disclosure Project (CDP), we conduct various panel regression analyses and propose several additional robustness tests. Our results extend prior research on carbon performance and reporting by providing novel insights into how firms translate their climate ambitions into actionable targets and how they subsequently deliver on those targets. This study stresses that firms with gender‐diverse boards engage more in symbolic climate talk but not in substantive climate walk. Empirical evidence on the family ownership impact is mixed. Overall, family ownership tends to exhibit a negative association with climate actions, although the effect depends on the ownership concentration threshold and varies with family management. Our results also indicate that female directors mitigate the negative direct consequences of family ownership for climate actions. Our study contributes to the ongoing discourse regarding symbolic and substantive climate efforts among European businesses and sheds light on t</w:t>
      </w:r>
    </w:p>
    <w:p>
      <w:pPr/>
      <w:r>
        <w:rPr>
          <w:b/>
        </w:rPr>
        <w:t>POSSIBLE 2024:</w:t>
      </w:r>
      <w:r>
        <w:t xml:space="preserve"> CLIMATE NEUTRALITY: CONTEMPORARY CHALLENGES FOR EUROPEAN POLICY — https://doi.org/10.17721/1728-2292.2024/1-58/33-40</w:t>
      </w:r>
    </w:p>
    <w:p>
      <w:pPr/>
      <w:r>
        <w:rPr>
          <w:b/>
        </w:rPr>
        <w:t>Shared claim-specific concepts:</w:t>
      </w:r>
      <w:r>
        <w:t xml:space="preserve"> achievement, climate, neutrality, union, not, possible; EU scope visible. This is a provisional connection, not an outcome finding.</w:t>
      </w:r>
    </w:p>
    <w:p>
      <w:pPr>
        <w:pStyle w:val="SourceNote"/>
      </w:pPr>
      <w:r>
        <w:rPr>
          <w:b/>
        </w:rPr>
        <w:t>Available abstract (not full text):</w:t>
      </w:r>
      <w:r>
        <w:t xml:space="preserve"> B a c k g r o u n d .The article examines issues related to challenges to European climate neutrality, which have arisen before the European Union due to Russian armed aggression in Ukraine. The authors emphasize that the European Union has set an ambitious goal of becoming the world's first climate-neutral continent. The implementation of these plans requires a coordinated position not only of the member states, but also of the EU partners. Russia's military aggression against Ukraine may affect the achievement of European climate goals, as this conflict is accompanied by a significant impact on the environment. The authors set a goal to analyze how the Russian military invasion of Ukraine can affect the achievement of climate neutrality. To achieve the goal, the following research tasks were defined, in particular, to characterize the basic principles of the strategy and tools of the EU climate policy, to show the impact of Russian aggression on the ecology of the EU, to determine whether the topic of the environmental consequences of Russian aggression in Ukraine is relevant for the European public, and to assess how Russian armed aggression can influence the achievement of the goals of European climate neutrality. M e t h o d s .The following methods were used: discursive analysis, the analysis of the documents, analysis and synthesis, comparative method, content analysis.R</w:t>
      </w:r>
    </w:p>
    <w:p>
      <w:pPr/>
      <w:r>
        <w:rPr>
          <w:b/>
        </w:rPr>
        <w:t>POSSIBLE 2024:</w:t>
      </w:r>
      <w:r>
        <w:t xml:space="preserve"> Visions for climate neutrality and opportunities for co-learning in European cities — https://doi.org/10.1016/j.rser.2024.114315</w:t>
      </w:r>
    </w:p>
    <w:p>
      <w:pPr/>
      <w:r>
        <w:rPr>
          <w:b/>
        </w:rPr>
        <w:t>Shared claim-specific concepts:</w:t>
      </w:r>
      <w:r>
        <w:t xml:space="preserve"> climate, neutrality, possible; EU scope visible. This is a provisional connection, not an outcome finding.</w:t>
      </w:r>
    </w:p>
    <w:p>
      <w:pPr>
        <w:pStyle w:val="SourceNote"/>
      </w:pPr>
      <w:r>
        <w:rPr>
          <w:b/>
        </w:rPr>
        <w:t>Available abstract (not full text):</w:t>
      </w:r>
      <w:r>
        <w:t xml:space="preserve"> Cities represent unique spaces for climate mitigation where wide-ranging action to reduce emissions meets ambition and collaboration. This research work distils climate neutrality narratives for 362 cities that expressed interest in the European Mission on 100 Climate-Neutral and Smart Cities and focuses on the 112 cities selected to spearhead the process of reaching climate neutrality by 2030 (representing a mitigation potential of 318.3 megatonnes of carbon dioxide equivalent emissions). The method involves steps that profile the characteristics of these cities, enunciate cross-cutting patterns in cities’ visions by thematic groupings, and compare 14 contextual factors with 77 possible main barriers. There are both similarities and differences among the results as a basis for learning together and certain barriers can be relatively more dominant in some thematic groupings, such as fragmentation of responsibilities. As a synthesis of the main findings, the original analyses are used to derive and prioritise nine high-level recommendations based on the cities' visions, contextual factors, and expected main barriers. Opportunities for mobilising transformative change relate to transforming siloed into integrated approaches, inclusive climate governance and collaborations, innovative financing, welfare and just transition as well as planning, implementation, and policy coherence.</w:t>
      </w:r>
    </w:p>
    <w:p>
      <w:pPr/>
      <w:r>
        <w:rPr>
          <w:b/>
        </w:rPr>
        <w:t>POSSIBLE 2024:</w:t>
      </w:r>
      <w:r>
        <w:t xml:space="preserve"> Studying Regional Disparities at European Level with a View to Achieving Climate Neutrality Objectives — https://doi.org/10.35219/eai15840409463</w:t>
      </w:r>
    </w:p>
    <w:p>
      <w:pPr/>
      <w:r>
        <w:rPr>
          <w:b/>
        </w:rPr>
        <w:t>Shared claim-specific concepts:</w:t>
      </w:r>
      <w:r>
        <w:t xml:space="preserve"> climate, neutrality, union, energy, achieving; EU scope visible. This is a provisional connection, not an outcome finding.</w:t>
      </w:r>
    </w:p>
    <w:p>
      <w:pPr>
        <w:pStyle w:val="SourceNote"/>
      </w:pPr>
      <w:r>
        <w:rPr>
          <w:b/>
        </w:rPr>
        <w:t>Available abstract (not full text):</w:t>
      </w:r>
      <w:r>
        <w:t xml:space="preserve"> The European Green Deal was implemented in order to ensure climate neutrality objectives for Horizon 2030, to ensure economic growth decoupled from the use of natural resources and for a fair and inclusive transition.In this context, including against the backdrop of multiple energy, economic, environmental, climate change and biodiversity loss crises, we propose to carry out an extended analysis of the impact of the Green Deal on regional economic development at European level.The study will highlight the main achievements of the European regional policy in the perspective of the European Green Deal and will determine on the basis of a cluster analysis the level of regional disparity by analyzing the main Green Deal indicators.The analysis will allow to highlight the main effects of the implementation of the European Green Deal from the perspective of the transition towards climate neutrality and the effects of these measures at European level.Regional disparities will also be assessed on the basis of cluster analysis of the evolution of the main indicators on environmental protection, energy security and sustainable economic growth.The results of the study will be useful to supranational decision-makers in the European Union for the adjustment of public policies for balanced economic development at EU level in the light of the Green Deal commitments undertaken for the 2030 ho</w:t>
      </w:r>
    </w:p>
    <w:p>
      <w:pPr/>
      <w:r>
        <w:rPr>
          <w:b/>
        </w:rPr>
        <w:t>POSSIBLE 2024:</w:t>
      </w:r>
      <w:r>
        <w:t xml:space="preserve"> MODIFICATION OF ECONOMIC DEPENDENCE AND ACHIEVEMENT OF CLIMATE NEUTRALITY AT THE CROSSROAD — https://doi.org/10.46299/979-8-89504-809-2</w:t>
      </w:r>
    </w:p>
    <w:p>
      <w:pPr/>
      <w:r>
        <w:rPr>
          <w:b/>
        </w:rPr>
        <w:t>Shared claim-specific concepts:</w:t>
      </w:r>
      <w:r>
        <w:t xml:space="preserve"> achievement, climate, neutrality; EU scope not established. This is a provisional connection, not an outcome finding.</w:t>
      </w:r>
    </w:p>
    <w:p>
      <w:pPr>
        <w:pStyle w:val="SourceNote"/>
      </w:pPr>
      <w:r>
        <w:rPr>
          <w:b/>
        </w:rPr>
        <w:t>Available abstract (not full text):</w:t>
      </w:r>
      <w:r>
        <w:t xml:space="preserve"> All rights reserved. Printed in the United States of America. No part of this publication may be reproduced, distributed, or transmitted, in any form or by any means, or stored in a data base or retrieval system, without the prior written permission of the publisher. The content and reliability of the articles are the responsibility of the authors. When using and borrowing materials reference to the publication is required.</w:t>
      </w:r>
    </w:p>
    <w:p>
      <w:pPr>
        <w:pStyle w:val="Heading2"/>
      </w:pPr>
      <w:r>
        <w:t>630. The Selection of Intermodal Transport System Scenarios in the Function of Southeastern Europe Regional Development</w:t>
      </w:r>
    </w:p>
    <w:p>
      <w:pPr>
        <w:pStyle w:val="SourceNote"/>
      </w:pPr>
      <w:r>
        <w:rPr>
          <w:b/>
        </w:rPr>
        <w:t>Original source (2021):</w:t>
      </w:r>
      <w:r>
        <w:t xml:space="preserve"> https://doi.org/10.3390/su13105590</w:t>
      </w:r>
    </w:p>
    <w:p>
      <w:pPr/>
      <w:r>
        <w:t>Original wording (abstract; indexed_source_text_not_full_document_verified): Six different potential scenarios that differ in the network configuration, the required level of logistics infrastructure development, the role of different IT terminal categories, the involvement of different transportation modes, and goods flows’ transformation degree, are defined.</w:t>
      </w:r>
    </w:p>
    <w:p>
      <w:pPr/>
      <w:r>
        <w:rPr>
          <w:b/>
        </w:rPr>
        <w:t>POSSIBLE 2026:</w:t>
      </w:r>
      <w:r>
        <w:t xml:space="preserve"> Assessing the effects of restoration and conservation on gaseous carbon fluxes and climate mitigation potential across six European coastal wetlands — https://doi.org/10.1016/j.ecoleng.2026.108080</w:t>
      </w:r>
    </w:p>
    <w:p>
      <w:pPr/>
      <w:r>
        <w:rPr>
          <w:b/>
        </w:rPr>
        <w:t>Shared claim-specific concepts:</w:t>
      </w:r>
      <w:r>
        <w:t xml:space="preserve"> six, different, potential, role; EU scope visible. This is a provisional connection, not an outcome finding.</w:t>
      </w:r>
    </w:p>
    <w:p>
      <w:pPr>
        <w:pStyle w:val="SourceNote"/>
      </w:pPr>
      <w:r>
        <w:rPr>
          <w:b/>
        </w:rPr>
        <w:t>Available abstract (not full text):</w:t>
      </w:r>
      <w:r>
        <w:t xml:space="preserve"> Coastal wetlands play a substantial role in regulating Earth's climate through exchanges of greenhouse gases (GHGs). Current European policies promote widespread coastal wetland restoration to reverse historical losses and ongoing pressures. However, substantial uncertainty remains regarding how carbon dioxide (CO 2 ) and methane (CH 4 ) fluxes respond to restoration across different coastal wetland types and whether these responses translate into net climate mitigation in terms of CO 2 equivalents (CO 2 -eq). We measured simultaneous CO 2 and CH 4 fluxes using static chambers across four seasons at multiple locations spanning preserved, altered and restored sites within six European coastal wetlands of different ecological types. By comparing GHG exchanges and resulting CO 2 -eq balances across wetlands, we identified dominant biogeochemical drivers of CO 2 and CH 4 dynamics and assessed the climate mitigation potential of conservation and restoration actions. CO 2 fluxes were primarily controlled by landscape-scale vegetation cover and inundation, whereas CH 4 emissions responded to less evident changes in water quality, salinity and wetland hydrodynamics. Comparisons of CO 2 -eq balances between altered and restored sites showed that seagrass replantation was associated with significant mitigation potential under both 100-year and 20-year CH 4 warming scenarios, while eutrop</w:t>
      </w:r>
    </w:p>
    <w:p>
      <w:pPr/>
      <w:r>
        <w:rPr>
          <w:b/>
        </w:rPr>
        <w:t>POSSIBLE 2026:</w:t>
      </w:r>
      <w:r>
        <w:t xml:space="preserve"> Potential for Expanding Sorghum Production in Europe in the Face of Climate Change — https://doi.org/10.1029/2025ef007503</w:t>
      </w:r>
    </w:p>
    <w:p>
      <w:pPr/>
      <w:r>
        <w:rPr>
          <w:b/>
        </w:rPr>
        <w:t>Shared claim-specific concepts:</w:t>
      </w:r>
      <w:r>
        <w:t xml:space="preserve"> different, potential, level; EU scope visible. This is a provisional connection, not an outcome finding.</w:t>
      </w:r>
    </w:p>
    <w:p>
      <w:pPr>
        <w:pStyle w:val="SourceNote"/>
      </w:pPr>
      <w:r>
        <w:rPr>
          <w:b/>
        </w:rPr>
        <w:t>Available abstract (not full text):</w:t>
      </w:r>
      <w:r>
        <w:t xml:space="preserve"> Abstract Today, sorghum is a minor crop in Europe cultivated on only ~0.1% of the cropland area. Nonetheless, sorghum is of growing interest due to its high heat tolerance compared to other crops and better adaptation to future hot and dry summers. In this study, we investigated the feasibility of expanding sorghum cultivation in Europe under current and future climatic conditions. We also explored the possibility of replacing maize with locally-produced sorghum for feeding livestock. To this end, we developed a machine-learning model that predicts sorghum yields from high-resolution climate data. The model was trained on historical sorghum yield data collected at the county level in France, Italy, Spain, and the USA. Then, we used the model to predict sorghum yields for current and future climate conditions, following different climate change scenarios. In almost all scenarios, sorghum yields decreased by up to -1.5 t ha-1 in the southern part of Europe but increased substantially by up to + 3 t ha-1 in the northern part of Europe by end-of-century. We found that at least 90% of maize currently used to feed livestock could be replaced by sorghum in Europe if grown in one out of three years. These results provide valuable information for improving feed security in Europe in the face of climate change.</w:t>
      </w:r>
    </w:p>
    <w:p>
      <w:pPr/>
      <w:r>
        <w:rPr>
          <w:b/>
        </w:rPr>
        <w:t>POSSIBLE 2026:</w:t>
      </w:r>
      <w:r>
        <w:t xml:space="preserve"> Characterizing clinically recognized hypertrophic cardiomyopathy in six European countries using real-world data — https://doi.org/10.1093/eschf/xvag218</w:t>
      </w:r>
    </w:p>
    <w:p>
      <w:pPr/>
      <w:r>
        <w:rPr>
          <w:b/>
        </w:rPr>
        <w:t>Shared claim-specific concepts:</w:t>
      </w:r>
      <w:r>
        <w:t xml:space="preserve"> six, network, defined; EU scope visible. This is a provisional connection, not an outcome finding.</w:t>
      </w:r>
    </w:p>
    <w:p>
      <w:pPr>
        <w:pStyle w:val="SourceNote"/>
      </w:pPr>
      <w:r>
        <w:rPr>
          <w:b/>
        </w:rPr>
        <w:t>Available abstract (not full text):</w:t>
      </w:r>
      <w:r>
        <w:t xml:space="preserve"> BACKGROUND AND AIMS: Hypertrophic cardiomyopathy (HCM) is the most common inherited cardiomyopathy. However, large-scale epidemiological evidence remains scarce due to challenges in real-world disease recognition. This study aimed to characterize clinically recognized HCM and obstructive HCM (oHCM) across six European countries regarding prevalence, demographics, and clinical characteristics. METHODS: We conducted a retrospective cohort study using routinely collected healthcare data from six European countries, all mapped to the Observational Medical Outcomes Partnership (OMOP) Common Data Model within the DARWIN EU® network: CPRD-GOLD (UK), DK-DHR (Denmark), InGef RDB (Germany), NAJS (Croatia), NLHR (Norway), and SIDIAP (Spain). Clinically recognized HCM was defined based on recorded diagnoses captured in routine healthcare data, rather than on imaging-, haemodynamic-, or genotype-confirmed population screening. Adults (≥18 years) with a first recorded HCM or oHCM diagnosis after 2010 were included. We estimated annual period prevalence and described recorded comorbidities, diagnostic measurements, and treatments before, at, and after diagnosis. RESULTS: Among 40 277 individuals with HCM, 12 363 (31%) were first diagnosed with oHCM. Females were older than males at diagnosis (median 67-78 vs 57-68 years). Annual period prevalence increased over time, ranging from 0.04% (95% C</w:t>
      </w:r>
    </w:p>
    <w:p>
      <w:pPr/>
      <w:r>
        <w:rPr>
          <w:b/>
        </w:rPr>
        <w:t>POSSIBLE 2026:</w:t>
      </w:r>
      <w:r>
        <w:t xml:space="preserve"> European forest carbon and biodiversity policies have a limited win-win potential — https://doi.org/10.1038/s41467-026-68668-x</w:t>
      </w:r>
    </w:p>
    <w:p>
      <w:pPr/>
      <w:r>
        <w:rPr>
          <w:b/>
        </w:rPr>
        <w:t>Shared claim-specific concepts:</w:t>
      </w:r>
      <w:r>
        <w:t xml:space="preserve"> six, different, potential; EU scope visible. This is a provisional connection, not an outcome finding.</w:t>
      </w:r>
    </w:p>
    <w:p>
      <w:pPr>
        <w:pStyle w:val="SourceNote"/>
      </w:pPr>
      <w:r>
        <w:rPr>
          <w:b/>
        </w:rPr>
        <w:t>Available abstract (not full text):</w:t>
      </w:r>
      <w:r>
        <w:t xml:space="preserve"> Climate change mitigation and biodiversity conservation are key forest functions, but how to pursue them jointly in timber-managed forests is still unclear. We use a Europe-wide dataset of forest multi-taxon diversity and stand structure to (i) evaluate the importance of aboveground carbon stocks in determining species richness of six taxonomic groups; (ii) assess relationships between species richness and carbon stocks; (iii) discuss the potential to jointly enhance carbon and biodiversity and policy implications. Carbon-diversity relationships are positive for several groups, but mostly when deadwood pools are considered. Forest policies should consider the complex relationship between different carbon pools and taxonomic groups. Environmental policies emphasizing carbon sequestration in aboveground living biomass may conflict with biodiversity conservation by promoting homogeneous, fast-growing forests that fail to support species diversity of multiple groups. Sustainable forest management should acknowledge that deadwood carbon instead may translate into positive outcomes for both carbon storage and biodiversity conservation. Forests are essential for both climate change mitigation and biodiversity conservation, yet how to balance these goals in managed forests remains unclear. Here, using a Europe-wide dataset, the authors find that biodiversity increases with carbon stock</w:t>
      </w:r>
    </w:p>
    <w:p>
      <w:pPr/>
      <w:r>
        <w:rPr>
          <w:b/>
        </w:rPr>
        <w:t>POSSIBLE 2025:</w:t>
      </w:r>
      <w:r>
        <w:t xml:space="preserve"> Exploring Different Configurations of Health Determinants in European Countries — https://doi.org/10.1002/wmh3.70011</w:t>
      </w:r>
    </w:p>
    <w:p>
      <w:pPr/>
      <w:r>
        <w:rPr>
          <w:b/>
        </w:rPr>
        <w:t>Shared claim-specific concepts:</w:t>
      </w:r>
      <w:r>
        <w:t xml:space="preserve"> six, different, potential, level; EU scope visible. This is a provisional connection, not an outcome finding.</w:t>
      </w:r>
    </w:p>
    <w:p>
      <w:pPr>
        <w:pStyle w:val="SourceNote"/>
      </w:pPr>
      <w:r>
        <w:rPr>
          <w:b/>
        </w:rPr>
        <w:t>Available abstract (not full text):</w:t>
      </w:r>
      <w:r>
        <w:t xml:space="preserve"> ABSTRACT The macro‐level determinants of health are well documented in the literature. However, the causal interrelations among these health determinants are less comprehensively understood. This study examines the potential causal relationships between health determinants and population health, measured using the Disability Adjusted Life Years (DALY) indicator. Rather than focusing on isolated causal links, this study seeks to identify causal configurations of health determinants contributing to high and low DALY levels. To this end, a fuzzy‐set qualitative comparative analysis (fsQCA) is conducted, allowing for the identification of complex causal patterns across a range of causal conditions for 25 European countries over the period 2000–2019. The findings reveal three configurations associated with high DALY levels and six configurations linked to low DALY values. Low Public health expenditures, GDP per capita, and financial development are critical factors shared by all the configurations leading to a high DALY. Other core conditions for this outcome are low private health expenditures and public debt to GDP ratio (Configurations 1 and 3) and low urbanization (Configurations 1 and 2). For low DALY, high public health expenditures (Configurations 2, 4, 5, and 6), high GDP per capita (Configurations 3, 4, 5, and 6), high financial development (Configurations 1, 2, 3, and 5), </w:t>
      </w:r>
    </w:p>
    <w:p>
      <w:pPr/>
      <w:r>
        <w:rPr>
          <w:b/>
        </w:rPr>
        <w:t>POSSIBLE 2025:</w:t>
      </w:r>
      <w:r>
        <w:t xml:space="preserve"> EuPPollNet : A European Database of Plant‐Pollinator Networks — https://doi.org/10.1111/geb.70000</w:t>
      </w:r>
    </w:p>
    <w:p>
      <w:pPr/>
      <w:r>
        <w:rPr>
          <w:b/>
        </w:rPr>
        <w:t>Shared claim-specific concepts:</w:t>
      </w:r>
      <w:r>
        <w:t xml:space="preserve"> different, level, role; EU scope visible. This is a provisional connection, not an outcome finding.</w:t>
      </w:r>
    </w:p>
    <w:p>
      <w:pPr>
        <w:pStyle w:val="SourceNote"/>
      </w:pPr>
      <w:r>
        <w:rPr>
          <w:b/>
        </w:rPr>
        <w:t>Available abstract (not full text):</w:t>
      </w:r>
      <w:r>
        <w:t xml:space="preserve"> ABSTRACT Motivation Pollinators play a crucial role in maintaining Earth's terrestrial biodiversity. However, rapid human‐induced environmental changes are compromising the long‐term persistence of plant‐pollinator interactions. Unfortunately, we lack robust, generalisable data capturing how plant‐pollinator communities are structured across space and time. Here, we present the EuPPollNet (European Plant‐Pollinator Networks) database, a fully open European‐level database containing harmonised taxonomic data on plant‐pollinator interactions referenced in both space and time, along with other ecological variables of interest. In addition, we evaluate the taxonomic and sampling coverage of EuPPollNet, and summarise key structural properties in plant‐pollinator networks. We believe EuPPollNet will stimulate research to address data gaps in plant‐pollinator interactions and guide future efforts in conservation planning. Main Types of Variables Included EuPPollNet contains 1,162,109 interactions between plants and pollinators from 1864 distinct networks, which belong to 52 different studies distributed across 23 European countries. Information about sampling methodology, habitat type, biogeographic region and additional taxonomic rank information (i.e. order, family, genus and species) is also provided. Spatial Location and Grain The database contains 1214 different sampling location</w:t>
      </w:r>
    </w:p>
    <w:p>
      <w:pPr/>
      <w:r>
        <w:rPr>
          <w:b/>
        </w:rPr>
        <w:t>POSSIBLE 2025:</w:t>
      </w:r>
      <w:r>
        <w:t xml:space="preserve"> Costs and potentials of heat savings in existing buildings in Europe — https://doi.org/10.34726/hss.2025.125160</w:t>
      </w:r>
    </w:p>
    <w:p>
      <w:pPr/>
      <w:r>
        <w:rPr>
          <w:b/>
        </w:rPr>
        <w:t>Shared claim-specific concepts:</w:t>
      </w:r>
      <w:r>
        <w:t xml:space="preserve"> six, different, potential, level, infrastructure; EU scope visible. This is a provisional connection, not an outcome finding.</w:t>
      </w:r>
    </w:p>
    <w:p>
      <w:pPr>
        <w:pStyle w:val="SourceNote"/>
      </w:pPr>
      <w:r>
        <w:rPr>
          <w:b/>
        </w:rPr>
        <w:t>Available abstract (not full text):</w:t>
      </w:r>
      <w:r>
        <w:t xml:space="preserve"> With the objective to reach carbon neutrality in 2050, the European Union (EU) institutionalised the Energy Efficiency First principle (EE1st) in its legislation. For decarbonising the EU’s building stock, which accounts for around a third of current EU-wide energy-related CO2 emissions, this principle means that investments in supply infrastructure should only be considered if demand side efficiency measures are not available or more costly. The aim of this thesis is to provide new insights for the application of the EE1st principle at local, national and EU-level by quantifying costs and potentials for heat savings in buildings together with their sensitivity to various influencing factors.The analyses in this work are based on a bottom-up representation of existing building stocks in the form of building archetypes. Costs for achieving different levels of heat savings in the building stocks are quantified by identifying combinations of thermal renovation packages in different building archetypes within two case studies: an analysis at national level for six countries using a ranking approach, and an analysis at local level for three cities using an optimisation approach. The latter analysis also considers a spatially explicit representation of the buildings and the results. In a third case study different thermal renovation packages are combined with carbon-neutral supply op</w:t>
      </w:r>
    </w:p>
    <w:p>
      <w:pPr/>
      <w:r>
        <w:rPr>
          <w:b/>
        </w:rPr>
        <w:t>POSSIBLE 2025:</w:t>
      </w:r>
      <w:r>
        <w:t xml:space="preserve"> Variation in Cell Wall Composition and Saccharification Potential of Seed‐Based Miscanthus Hybrids Grown on Marginal Lands Across Six European Trial Locations — https://doi.org/10.1111/gcbb.70059</w:t>
      </w:r>
    </w:p>
    <w:p>
      <w:pPr/>
      <w:r>
        <w:rPr>
          <w:b/>
        </w:rPr>
        <w:t>Shared claim-specific concepts:</w:t>
      </w:r>
      <w:r>
        <w:t xml:space="preserve"> six, different, potential; EU scope visible. This is a provisional connection, not an outcome finding.</w:t>
      </w:r>
    </w:p>
    <w:p>
      <w:pPr>
        <w:pStyle w:val="SourceNote"/>
      </w:pPr>
      <w:r>
        <w:rPr>
          <w:b/>
        </w:rPr>
        <w:t>Available abstract (not full text):</w:t>
      </w:r>
      <w:r>
        <w:t xml:space="preserve"> ABSTRACT Miscanthus breeding programs have focused on developing intraspecific (M. sinensis × M. sinensis) and interspecific (M. sinensis × M. sacchariflorus) seed‐based hybrids with distinct cell wall characteristics for different biomass value chains. Here, we evaluated the performance of 13 novel hybrids (including seed‐based intraspecific, seed‐based interspecific, and one clonally propagated interspecific hybrid) relative to Miscanthus × giganteus (M × g). We compared the cell wall composition, saccharification efficiency, and yield after spring harvests in 2021 and 2022 across six European locations. Cell wall content and composition varied significantly among hybrids and were influenced by environmental conditions, yet differences due to parental background were largely consistent across locations. On average, seed‐based interspecific hybrids (80.6%–84.0% neutral detergent fiber) had a lower total cell wall content than the other hybrids evaluated in this study (88.3%–90.8%). In contrast, cellulose was ~5.5% higher in hybrids with an M. sinensis × M. sacchariflorus background relative to the intraspecific hybrids, while hemicellulose averaged above 34% for intraspecific hybrids, 29.4% to 31.8% in the interspecific hybrids, and below 27% for M × g. Lignin content was highest in M × g (~13.8%), intermediate in the interspecific hybrids (11.0%–12.2%), and lowest in the intr</w:t>
      </w:r>
    </w:p>
    <w:p>
      <w:pPr/>
      <w:r>
        <w:rPr>
          <w:b/>
        </w:rPr>
        <w:t>POSSIBLE 2024:</w:t>
      </w:r>
      <w:r>
        <w:t xml:space="preserve"> Beyond urban farm and community garden, a new typology of urban and peri‐urban agriculture in Europe — https://doi.org/10.1002/uar2.20056</w:t>
      </w:r>
    </w:p>
    <w:p>
      <w:pPr/>
      <w:r>
        <w:rPr>
          <w:b/>
        </w:rPr>
        <w:t>Shared claim-specific concepts:</w:t>
      </w:r>
      <w:r>
        <w:t xml:space="preserve"> six, different, potential; EU scope visible. This is a provisional connection, not an outcome finding.</w:t>
      </w:r>
    </w:p>
    <w:p>
      <w:pPr>
        <w:pStyle w:val="SourceNote"/>
      </w:pPr>
      <w:r>
        <w:rPr>
          <w:b/>
        </w:rPr>
        <w:t>Available abstract (not full text):</w:t>
      </w:r>
      <w:r>
        <w:t xml:space="preserve"> Abstract Today, many cites in Europe have rediscovered urban and peri‐urban agriculture (UA) as a contributor to a more healthy and sustainable urban environment. However, UA has not yet unfolded its potential due to gaps in knowledge, expertise, and advocacy. A clear typology is instrumental in identifying, understanding, and acknowledging the potential of UA at different levels of policy making. Although a number of typologies are used in practice and in literature, an overarching typology that steps beyond the local and national perspective, and that includes promising innovations like vertical farming, is lacking. The aim of this paper is to offer such a typology of urban agriculture in Europe. Based on interviews with experts in the field representing 11 European countries ( n = 16) and an online survey on characteristics and dimensions of UA initiatives ( n = 112; representing 18 countries), our typology exists of six different UA types: (1) urban farm, (2) community park, (3) do‐it‐yourself garden/farm, (4) zero acreage farm, (5) social farm, and (6) community garden. Although this paper presents these types as distinctive entities, we stress that a typology is inevitably a simplification of reality, as in real‐life there is an overlap in the proposed types. Moreover, seeing that the field of modern UA is highly dynamic, the typology is only a snapshot of current‐day UA.</w:t>
      </w:r>
    </w:p>
    <w:p>
      <w:pPr/>
      <w:r>
        <w:rPr>
          <w:b/>
        </w:rPr>
        <w:t>POSSIBLE 2024:</w:t>
      </w:r>
      <w:r>
        <w:t xml:space="preserve"> Deciphering the variation in cuticular hydrocarbon profiles of six European honey bee subspecies — https://doi.org/10.1186/s12862-024-02325-z</w:t>
      </w:r>
    </w:p>
    <w:p>
      <w:pPr/>
      <w:r>
        <w:rPr>
          <w:b/>
        </w:rPr>
        <w:t>Shared claim-specific concepts:</w:t>
      </w:r>
      <w:r>
        <w:t xml:space="preserve"> six, different, potential, role; EU scope visible. This is a provisional connection, not an outcome finding.</w:t>
      </w:r>
    </w:p>
    <w:p>
      <w:pPr>
        <w:pStyle w:val="SourceNote"/>
      </w:pPr>
      <w:r>
        <w:rPr>
          <w:b/>
        </w:rPr>
        <w:t>Available abstract (not full text):</w:t>
      </w:r>
      <w:r>
        <w:t xml:space="preserve"> The Western honey bee (Apis mellifera) subspecies exhibit local adaptive traits that evolved in response to the different environments that characterize their native distribution ranges. An important trait is the cuticular hydrocarbon (CHC) profile, which helps to prevent desiccation and mediate communication. We compared the CHC profiles of six European subspecies (A. m. mellifera, A. m. carnica, A. m. ligustica, A. m. macedonica, A. m. iberiensis, and A. m. ruttneri) and investigated potential factors shaping their composition. We did not find evidence of adaptation of the CHC profiles of the subspecies to the climatic conditions in their distribution range. Subspecies-specific differences in CHC composition might be explained by phylogenetic constraints or genetic drift. The CHC profiles of foragers were more subspecies-specific than those of nurse bees, while the latter showed more variation in their CHC profiles, likely due to the lower desiccation stress exerted by the controlled environment inside the hive. The strongest profile differences appeared between nurse bees and foragers among all subspecies, suggesting an adaptation to social task and a role in communication. Foragers also showed an increase in the relative amount of alkanes in their profiles compared to nurses, indicating adaptation to climatic conditions.</w:t>
      </w:r>
    </w:p>
    <w:p>
      <w:pPr/>
      <w:r>
        <w:rPr>
          <w:b/>
        </w:rPr>
        <w:t>POSSIBLE 2024:</w:t>
      </w:r>
      <w:r>
        <w:t xml:space="preserve"> Multifaceted Conscription: A Comparative Study of Six European Countries — https://doi.org/10.31374/sjms.166</w:t>
      </w:r>
    </w:p>
    <w:p>
      <w:pPr/>
      <w:r>
        <w:rPr>
          <w:b/>
        </w:rPr>
        <w:t>Shared claim-specific concepts:</w:t>
      </w:r>
      <w:r>
        <w:t xml:space="preserve"> six, different, differ; EU scope visible. This is a provisional connection, not an outcome finding.</w:t>
      </w:r>
    </w:p>
    <w:p>
      <w:pPr>
        <w:pStyle w:val="SourceNote"/>
      </w:pPr>
      <w:r>
        <w:rPr>
          <w:b/>
        </w:rPr>
        <w:t>Available abstract (not full text):</w:t>
      </w:r>
      <w:r>
        <w:t xml:space="preserve"> Although the last few decades have witnessed a shift from conscription to all-volunteer forces in many European countries, recent changes in the European security environment have raised new concerns and prompted several countries to reconsider conscription. However, modern conscription systems have also had to adapt to changing societies and an increasing emphasis on individualistic and neoliberal values. This study aims to examine the various forms of military conscription and illuminate the continuing viability of the conscription model in six European countries: Estonia, Finland, Lithuania, Norway, Sweden, and Switzerland. Four of these countries have consistently maintained conscription (Estonia, Finland, Norway, and Switzerland), while Lithuania and Sweden have recently reinstated conscription. Although conscription systems differ among these countries, there is overall an increasing emphasis on conscript motivation and female participation. Three key aspects are identified to describe different conscription systems: the proportion of conscripted individuals in the birth cohort, motivation to serve, and the approach to female conscripts. Combining these aspects, the study identifies three types of conscription system in these six countries. This article demonstrates that conscription has evolved and adapted to changing societies and security situations instead of merely r</w:t>
      </w:r>
    </w:p>
    <w:p>
      <w:pPr/>
      <w:r>
        <w:rPr>
          <w:b/>
        </w:rPr>
        <w:t>POSSIBLE 2024:</w:t>
      </w:r>
      <w:r>
        <w:t xml:space="preserve"> Configurations, dynamics, and temporality: Exploring the social networks of students and their relevance for successful transitions into higher education — https://doi.org/10.1016/j.ijedro.2024.100419</w:t>
      </w:r>
    </w:p>
    <w:p>
      <w:pPr/>
      <w:r>
        <w:rPr>
          <w:b/>
        </w:rPr>
        <w:t>Shared claim-specific concepts:</w:t>
      </w:r>
      <w:r>
        <w:t xml:space="preserve"> network, configuration, role, involvement; EU scope not established. This is a provisional connection, not an outcome finding.</w:t>
      </w:r>
    </w:p>
    <w:p>
      <w:pPr>
        <w:pStyle w:val="SourceNote"/>
      </w:pPr>
      <w:r>
        <w:rPr>
          <w:b/>
        </w:rPr>
        <w:t>Available abstract (not full text):</w:t>
      </w:r>
      <w:r>
        <w:t xml:space="preserve"> This study examines social networks' role in high-achieving students' transitions from upper secondary school to higher education. A specific focus is on the configuration of their social network, its' stability over time, and how the students experience the nature of the relationships in the network. The case study is based on three student cases selected from a pool of 52 students, and the data includes three waves of interviews with students over two years, interviews with a significant other to the students, and a subjective mapping of their social network. Analytical tools are the concepts of cultural and social capital and weak and strong ties . The study shows how social and cultural capital works within a social network, experienced from the students’ perspectives. In addition, we conclude that the transition process is fragile for students with low cultural capital regarding network configurations, significantly when changing fields of interest from upper secondary to tertiary education. Here, the importance of having weak ties is illustrated in terms of the need for field-specific influx for a bridging support role in the transition. The active involvement and reciprocal nature of the relationships are vital, and the strength of the network depends on whether it pertains over time. The results have implications for practice due to the emerging interrupted transitions </w:t>
      </w:r>
    </w:p>
    <w:p>
      <w:pPr>
        <w:pStyle w:val="Heading2"/>
      </w:pPr>
      <w:r>
        <w:t>631. The future of polarisation in Europe: relative cosmopolitanism and democracy</w:t>
      </w:r>
    </w:p>
    <w:p>
      <w:pPr>
        <w:pStyle w:val="SourceNote"/>
      </w:pPr>
      <w:r>
        <w:rPr>
          <w:b/>
        </w:rPr>
        <w:t>Original source (2021):</w:t>
      </w:r>
      <w:r>
        <w:t xml:space="preserve"> https://doi.org/10.1186/s40309-021-00183-2</w:t>
      </w:r>
    </w:p>
    <w:p>
      <w:pPr/>
      <w:r>
        <w:t>Original wording (abstract; indexed_source_text_not_full_document_verified): In this article, after an introductory definition of polarisation, two future scenarios are developed. In the scenario “Polarised Europe”, polarisation is extrapolated into the future and discussed with its serious consequences for the democratic and European consensus.</w:t>
      </w:r>
    </w:p>
    <w:p>
      <w:pPr/>
      <w:r>
        <w:rPr>
          <w:b/>
        </w:rPr>
        <w:t>POSSIBLE 2026:</w:t>
      </w:r>
      <w:r>
        <w:t xml:space="preserve"> Martyrdom and Patience of Saint Eustathius of Mtskheta / Translation from Old Georgian, Introductory Article and Commentaries by N. Nazarov — https://doi.org/10.15407/orientw2026.03.109</w:t>
      </w:r>
    </w:p>
    <w:p>
      <w:pPr/>
      <w:r>
        <w:rPr>
          <w:b/>
        </w:rPr>
        <w:t>Shared claim-specific concepts:</w:t>
      </w:r>
      <w:r>
        <w:t xml:space="preserve"> article, after, introductory; EU scope visible. This is a provisional connection, not an outcome finding.</w:t>
      </w:r>
    </w:p>
    <w:p>
      <w:pPr>
        <w:pStyle w:val="SourceNote"/>
      </w:pPr>
      <w:r>
        <w:rPr>
          <w:b/>
        </w:rPr>
        <w:t>Available abstract (not full text):</w:t>
      </w:r>
      <w:r>
        <w:t xml:space="preserve"> In the publication, a Ukrainian translation of one of the key texts of Old Georgian literature, The Martyrdom and Patience of St. Eustathius of Mtskheta, is presented. It was composed at the turn of the 6th and 7th centuries CE. Despite its relatively small size – approximately fifteen pages – the text is extremely rich in historical, cultural, and religious details and is highly original in terms of its literary form. The narrative concerns a craftsman (a shoemaker), a Persian by origin, who was born into the family of a Zoroastrian priest (a magus). In the thirtieth year of the reign of the Persian king Khosrow I of the Sasanian dynasty (reigned 531–579 CE), he came to Mtskheta and converted to Christianity. However, still being in his native city of Ganzak in north-western Iran he felt interest in Christianity. His apostasy from his fathers’ religion provoked outrage among the Persian colonists, who lodged complaints against him with the Sasanian administration. After interrogations, Eustathius was executed. In the course of interrogations, however, he recounted the story of his conversion, and another narrative is inserted into the story – a catechetical account of the entirety of Holy Scripture, put into the archdeacon’s mouth. Such a framed narrative form is not characteristic of other texts of the same period, whether Old Georgian or the Syriac or Byzantine hagiographies</w:t>
      </w:r>
    </w:p>
    <w:p>
      <w:pPr/>
      <w:r>
        <w:rPr>
          <w:b/>
        </w:rPr>
        <w:t>POSSIBLE 2026:</w:t>
      </w:r>
      <w:r>
        <w:t xml:space="preserve"> Large Interstellar Polarisation Survey — https://doi.org/10.1051/0004-6361/202555848</w:t>
      </w:r>
    </w:p>
    <w:p>
      <w:pPr/>
      <w:r>
        <w:rPr>
          <w:b/>
        </w:rPr>
        <w:t>Shared claim-specific concepts:</w:t>
      </w:r>
      <w:r>
        <w:t xml:space="preserve"> polarisation, two, polarised; EU scope not established. This is a provisional connection, not an outcome finding.</w:t>
      </w:r>
    </w:p>
    <w:p>
      <w:pPr>
        <w:pStyle w:val="SourceNote"/>
      </w:pPr>
      <w:r>
        <w:rPr>
          <w:b/>
        </w:rPr>
        <w:t>Available abstract (not full text):</w:t>
      </w:r>
      <w:r>
        <w:t xml:space="preserve"> Our understanding of dust in the diffuse interstellar medium remains incomplete with regard to the structure, composition, size distribution, and alignment properties of its grains. Joint observations of reddening, starlight polarisation spectra, and polarised dust emission for individual sightlines provide essential constraints on such properties. We studied a far-UV-selected sample of 96 reddening curves, for which optical linear polarisation spectra were obtained with FORS at the VLT as part of the Large Interstellar Polarisation Survey. Starlight polarisation spectra for 60 stars are presented in this work. These data are combined with Gaia distance estimates and Planck thermal dust emission. A three-component dust model is made publicly available. It consists of nanoparticles, amorphous grains, and micrometre-sized dust agglomerates, with varying axial ratios, porosities, sizes, element abundances, and alignment efficiencies that match observations. The diversity of reddening and polarisation spectra is well reproduced by prolate grains with typical axial ratios of two, a porosity of 10%, and high alignment efficiencies. Such efficiencies can be achieved with radiative torque alignment theory but not with imperfect Davis-Greenstein alignment, except when adjusting the magnetic-field orientation to maximise the polarisation. Micrometre-sized dust contributes wavelength-inde</w:t>
      </w:r>
    </w:p>
    <w:p>
      <w:pPr/>
      <w:r>
        <w:rPr>
          <w:b/>
        </w:rPr>
        <w:t>POSSIBLE 2025:</w:t>
      </w:r>
      <w:r>
        <w:t xml:space="preserve"> Polarisation beyond the Pandemic? — https://doi.org/10.17570/stj.2024.v10n1.18</w:t>
      </w:r>
    </w:p>
    <w:p>
      <w:pPr/>
      <w:r>
        <w:rPr>
          <w:b/>
        </w:rPr>
        <w:t>Shared claim-specific concepts:</w:t>
      </w:r>
      <w:r>
        <w:t xml:space="preserve"> article, after, polarisation; EU scope visible. This is a provisional connection, not an outcome finding.</w:t>
      </w:r>
    </w:p>
    <w:p>
      <w:pPr>
        <w:pStyle w:val="SourceNote"/>
      </w:pPr>
      <w:r>
        <w:rPr>
          <w:b/>
        </w:rPr>
        <w:t>Available abstract (not full text):</w:t>
      </w:r>
      <w:r>
        <w:t xml:space="preserve"> After some initial background information on the relation of church and state in the German context, the article examines reactions by churches and other Christian groups in Germany to the Covid-19 containment measures. While representatives of mainline churches focussed on consolation in the crisis and support state measures, a minority of radical voices acted in a polarising way, offering interpretations in terms of spiritual warfare, betrayal of the gospel, and conspiracy theories, and regarding themselves as victims of health policy. It is argued that the Christian tradition is in itself ambiguous and can be used in destructive ways, and that clarification of concepts is a task of public theology. The paper concludes by pointing out opportunities for the contribution of religions to a critical assessment of the handling of this crisis in the state and society.</w:t>
      </w:r>
    </w:p>
    <w:p>
      <w:pPr/>
      <w:r>
        <w:rPr>
          <w:b/>
        </w:rPr>
        <w:t>POSSIBLE 2025:</w:t>
      </w:r>
      <w:r>
        <w:t xml:space="preserve"> Navigating Polarisation Malta’s two-party dynamics in the 2024 EU elections — https://doi.org/10.3917/e.poeu.086.0184</w:t>
      </w:r>
    </w:p>
    <w:p>
      <w:pPr/>
      <w:r>
        <w:rPr>
          <w:b/>
        </w:rPr>
        <w:t>Shared claim-specific concepts:</w:t>
      </w:r>
      <w:r>
        <w:t xml:space="preserve"> after, polarisation, two; EU scope visible. This is a provisional connection, not an outcome finding.</w:t>
      </w:r>
    </w:p>
    <w:p>
      <w:pPr>
        <w:pStyle w:val="SourceNote"/>
      </w:pPr>
      <w:r>
        <w:rPr>
          <w:b/>
        </w:rPr>
        <w:t>Available abstract (not full text):</w:t>
      </w:r>
      <w:r>
        <w:t xml:space="preserve"> On 8 June 2024, Maltese voters joined the rest of the EU member states in selecting their sixth representatives for the European Parliament.With a population of around 563,000 over an area of 316 km² (122 sq.mi), Malta is the smallest EU member state.The governing Nationalist Party applied to join the EU in 1990; however, it took until 2004 for Malta to become a member alongside Cyprus and eight member states from Central and Eastern Europe.Since joining the EU, the role of the country's MEPs has grown more important, with increased media and political attention on their work.This was particularly true for Roberta Metsola, who was elected President of the European Parliament in 2022.Following the assassination of Daphne Caruana Galizia in 2017, debates emerged within the European Parliament regarding the rule of law, democracy, and freedom of the press in Malta 1 .These issues sparked controversies over how MEPs should approach these debates, particularly concerning the national interest.The national interest would also become a point of contention in Malta's electoral campaign for the 2024 EU Elections. Malta's political system: a two-party system with single transferable voteMalta's Political System is based on a two-party system with the governing Labour Party (PL), on the centre-left, and the main opposition party, the Nationalist Party (PN), on the centre-right.The 2024 el</w:t>
      </w:r>
    </w:p>
    <w:p>
      <w:pPr/>
      <w:r>
        <w:rPr>
          <w:b/>
        </w:rPr>
        <w:t>POSSIBLE 2025:</w:t>
      </w:r>
      <w:r>
        <w:t xml:space="preserve"> Does political polarisation undermine democratic accountability? Evidence from 28 European democracies — https://doi.org/10.1080/01402382.2025.2543600</w:t>
      </w:r>
    </w:p>
    <w:p>
      <w:pPr/>
      <w:r>
        <w:rPr>
          <w:b/>
        </w:rPr>
        <w:t>Shared claim-specific concepts:</w:t>
      </w:r>
      <w:r>
        <w:t xml:space="preserve"> polarisation, two, polarised, democratic; EU scope visible. This is a provisional connection, not an outcome finding.</w:t>
      </w:r>
    </w:p>
    <w:p>
      <w:pPr>
        <w:pStyle w:val="SourceNote"/>
      </w:pPr>
      <w:r>
        <w:rPr>
          <w:b/>
        </w:rPr>
        <w:t>Available abstract (not full text):</w:t>
      </w:r>
      <w:r>
        <w:t xml:space="preserve"> Political polarisation has drawn significant attention recently due to its potential adverse impacts. Evidence suggests that various forms of socio-political polarisation are associated with weaker democratic and economic performance. This research investigates the relationship between two types of political polarisation and macro-level accountability – that is, citizens’ ability and opportunity to select, monitor, and control their governments. Using data from the European Social Survey, World Bank, and V-Dem databases, the study analyses 202 observations from 28 European countries over twenty years. The findings indicate a negative correlation between polarisation and democratic accountability. Specifically, countries with higher levels of polarisation exhibit weaker accountability, and as a country becomes more polarised, its democratic accountability further declines. The relationship is robust across alternative operationalisations of polarisation and different model specifications. This research underscores the detrimental effects of polarisation on democratic functioning and calls for more in-depth studies to better understand this relationship.</w:t>
      </w:r>
    </w:p>
    <w:p>
      <w:pPr/>
      <w:r>
        <w:rPr>
          <w:b/>
        </w:rPr>
        <w:t>POSSIBLE 2025:</w:t>
      </w:r>
      <w:r>
        <w:t xml:space="preserve"> Polarisation: the new 'superword'. Meanings and current uses in English and Spanish — https://doi.org/10.18573/jcads.137</w:t>
      </w:r>
    </w:p>
    <w:p>
      <w:pPr/>
      <w:r>
        <w:rPr>
          <w:b/>
        </w:rPr>
        <w:t>Shared claim-specific concepts:</w:t>
      </w:r>
      <w:r>
        <w:t xml:space="preserve"> polarisation, two, consensus; EU scope visible. This is a provisional connection, not an outcome finding.</w:t>
      </w:r>
    </w:p>
    <w:p>
      <w:pPr>
        <w:pStyle w:val="SourceNote"/>
      </w:pPr>
      <w:r>
        <w:rPr>
          <w:b/>
        </w:rPr>
        <w:t>Available abstract (not full text):</w:t>
      </w:r>
      <w:r>
        <w:t xml:space="preserve"> A growing concern in most European countries, polarisation has spread far beyond the political arena and is now present in public opinion in a wide variety of social and cultural subjects, from economics to education, health, environment or religion. Rather than an enriching plurality of views, polarisation is mostly perceived as a negative trend that hinders consensus and favours conflict instead, threatening welfare, peace and even democracy. As a result, the word polarisation has become a frequent term in the press. This paper examines the way in which the word polarisation is used in a corpus of news items collected from four widely read mainstream newspapers, two Spanish and two British, all of them containing the word polarización/polarisation and published in 2022. A combination of Corpus Linguistics methods and a Critical Socio-Cognitive approach to Discourse Analysis has been followed in order to analyse the most common contexts and patterns of usage of the term in the press in these two countries, its negative semantic prosody and collocational behaviour, as well as the underlying schematic conceptualization of the phenomenon as realized in metaphors and image schemas. Even though minor differences have been found, results show significant similarities in Spanish and English, which manifest the negative evaluation associated to the term construed by its collocates, by</w:t>
      </w:r>
    </w:p>
    <w:p>
      <w:pPr/>
      <w:r>
        <w:rPr>
          <w:b/>
        </w:rPr>
        <w:t>POSSIBLE 2025:</w:t>
      </w:r>
      <w:r>
        <w:t xml:space="preserve"> Introductory words in the Russian language: typology and their classification — https://doi.org/10.37547/ijll/volume05issue01-06</w:t>
      </w:r>
    </w:p>
    <w:p>
      <w:pPr/>
      <w:r>
        <w:rPr>
          <w:b/>
        </w:rPr>
        <w:t>Shared claim-specific concepts:</w:t>
      </w:r>
      <w:r>
        <w:t xml:space="preserve"> article, introductory, definition; EU scope not established. This is a provisional connection, not an outcome finding.</w:t>
      </w:r>
    </w:p>
    <w:p>
      <w:pPr>
        <w:pStyle w:val="SourceNote"/>
      </w:pPr>
      <w:r>
        <w:rPr>
          <w:b/>
        </w:rPr>
        <w:t>Available abstract (not full text):</w:t>
      </w:r>
      <w:r>
        <w:t xml:space="preserve"> This article examines lexical and grammatical units - introductory and modal words and provides their classification. The study presents a linguistic picture that reflects the degree of study of the use of introductory words and constructions. Based on the works of leading grammarians such as Vinogradov, Shakhmatov, Peshkovsky, Paducheva, and others, the definition of introductory and modal words is formulated and their main categories are presented. The functions of introductory words in a fiction text are also studied.</w:t>
      </w:r>
    </w:p>
    <w:p>
      <w:pPr/>
      <w:r>
        <w:rPr>
          <w:b/>
        </w:rPr>
        <w:t>POSSIBLE 2025:</w:t>
      </w:r>
      <w:r>
        <w:t xml:space="preserve"> Alexander Larionov. L.N. Tolstoy and China (1945) Introductory article, text preparation, and notes by D.V. Zabotin — https://doi.org/10.22455/2541-8297-2025-37-362-397</w:t>
      </w:r>
    </w:p>
    <w:p>
      <w:pPr/>
      <w:r>
        <w:rPr>
          <w:b/>
        </w:rPr>
        <w:t>Shared claim-specific concepts:</w:t>
      </w:r>
      <w:r>
        <w:t xml:space="preserve"> article, introductory, serious; EU scope not established. This is a provisional connection, not an outcome finding.</w:t>
      </w:r>
    </w:p>
    <w:p>
      <w:pPr>
        <w:pStyle w:val="SourceNote"/>
      </w:pPr>
      <w:r>
        <w:rPr>
          <w:b/>
        </w:rPr>
        <w:t>Available abstract (not full text):</w:t>
      </w:r>
      <w:r>
        <w:t xml:space="preserve"> Alexander Larionov’s Leo Tolstoy and China is a review article that represents one of the first serious attempts to understand “the problem of a detailed study of relations between China and Tolstoy and the interaction between Tolstoy’s work and Chinese culture” in post-war literary criticism. (Its autograph and incomplete typescript were found in the collection of the Press Department of the All-Union Society for Cultural Relations with Foreign Countries, located in the State Archive of the Russian Federation.) Compared to his predecessors, such as Paul Biryukov, a Russian publicist (Tolstoi und der Orient, 1925), and Romain Rolland, a French writer (La Réponse de l’Asie à Tolstoï, 1928), Alexander Larionov broke new ground by selecting and systematically presenting a large amount of “factual material” (in his own words, “more than one copyright sheet”). In fact, for the first time, he established an ideological sequence that would later be reached by professional scholars, Derk Bodde, an American historian and sinologist (Tolstoy and China, 1950), and Alexander Shifman, a Soviet literary critic (Leo Tolstoy and the Orient, 1960 and 1971). The main research plot is structured as follows: “Tolstoy’s Writings and Publications on China” (the Chinese Wisdom, the Water Flow, the Coffee-House of Surat, the Circle of Reading, the Epistle to the Chinese, etc.); “Tolstoy’s Readings on </w:t>
      </w:r>
    </w:p>
    <w:p>
      <w:pPr/>
      <w:r>
        <w:rPr>
          <w:b/>
        </w:rPr>
        <w:t>POSSIBLE 2025:</w:t>
      </w:r>
      <w:r>
        <w:t xml:space="preserve"> Introductory Chapter: The Translator’s Third Eye — https://doi.org/10.5772/intechopen.1010439</w:t>
      </w:r>
    </w:p>
    <w:p>
      <w:pPr/>
      <w:r>
        <w:rPr>
          <w:b/>
        </w:rPr>
        <w:t>Shared claim-specific concepts:</w:t>
      </w:r>
      <w:r>
        <w:t xml:space="preserve"> article, introductory, two; EU scope not established. This is a provisional connection, not an outcome finding.</w:t>
      </w:r>
    </w:p>
    <w:p>
      <w:pPr>
        <w:pStyle w:val="SourceNote"/>
      </w:pPr>
      <w:r>
        <w:rPr>
          <w:b/>
        </w:rPr>
        <w:t>Available abstract (not full text):</w:t>
      </w:r>
      <w:r>
        <w:t xml:space="preserve"> Translation is far from a straightforward and technical endeavor of converting words from one language to another.Translation is a linguistic/cultural double act.It is an all-embracing, intricate, and creative act, transporting humanity, with all its inherent qualities, from one cultural/social/historical sphere to another; two eyes are insufficient to oversee such a holistic undertaking.A third eye is needed in establishing "spherical" bridges of spirit, intelligence, wisdom, and energy while building "earthly" connections among humans, linguistically, culturally, and geographically.Across irreconcilable perceptive frameworks and particularized articulation norms, a translator needs a third eye to see the underlying invisible, reach the unreachable, and reveal the disguised.Linguistic fluidity and agility, deep learning, and contextual consciousness are considered a given quality in a translator.Lawrence Venuti's seminal work, The Translator's Invisibility (2008), opens twentyfirst-century debates on foreignization vs. domestication in translation studies.He critiques American translator Norman Shapiro's view on good translation that should not draw attention to itself but be transparent like "a pane of glass" [1].Silvia Kadiu dissects the debate as one of the fundamental building blocks in translation studies:[A pane of glass] is symptomatic of the regime of fluency prevailin</w:t>
      </w:r>
    </w:p>
    <w:p>
      <w:pPr/>
      <w:r>
        <w:rPr>
          <w:b/>
        </w:rPr>
        <w:t>POSSIBLE 2025:</w:t>
      </w:r>
      <w:r>
        <w:t xml:space="preserve"> The Long Way to the Compliance of Data Retention with European Union Law — https://doi.org/10.1093/9780191998980.003.0010</w:t>
      </w:r>
    </w:p>
    <w:p>
      <w:pPr/>
      <w:r>
        <w:rPr>
          <w:b/>
        </w:rPr>
        <w:t>Shared claim-specific concepts:</w:t>
      </w:r>
      <w:r>
        <w:t xml:space="preserve"> article, after, introductory; EU scope visible. This is a provisional connection, not an outcome finding.</w:t>
      </w:r>
    </w:p>
    <w:p>
      <w:pPr>
        <w:pStyle w:val="SourceNote"/>
      </w:pPr>
      <w:r>
        <w:rPr>
          <w:b/>
        </w:rPr>
        <w:t>Available abstract (not full text):</w:t>
      </w:r>
      <w:r>
        <w:t xml:space="preserve"> Abstract In Chapter 8 the authors examine the evolution of Italian rules on retention and access to traffic data. After some introductory remarks on the guarantees ensured by Article 15 of the Italian Constitution, protecting the freedom and secrecy of communications, special attention is paid to the evolution of the case law, considering the issues which appear most sensitive, in light of the pronouncements of the Court of Justice. The analysis therefore focuses on the principles of legality and proportionality, the control by an impartial authority and the usability of data acquired in violation of European Union law. The chapter then proceeds to examine the role and decisions of the Italian Supervisory Authority, and, finally, deals with the latest intervention of the Italian legislator on the matter, which raises some doubts on the real consistency with European requirements.</w:t>
      </w:r>
    </w:p>
    <w:p>
      <w:pPr/>
      <w:r>
        <w:rPr>
          <w:b/>
        </w:rPr>
        <w:t>POSSIBLE 2024:</w:t>
      </w:r>
      <w:r>
        <w:t xml:space="preserve"> Boris Zingerman. Letters to the Teachers (Publication, Introductory Article and Comments) — https://doi.org/10.51678/2226-0072-2024-4-312-331</w:t>
      </w:r>
    </w:p>
    <w:p>
      <w:pPr/>
      <w:r>
        <w:rPr>
          <w:b/>
        </w:rPr>
        <w:t>Shared claim-specific concepts:</w:t>
      </w:r>
      <w:r>
        <w:t xml:space="preserve"> article, after, introductory, two; EU scope not established. This is a provisional connection, not an outcome finding.</w:t>
      </w:r>
    </w:p>
    <w:p>
      <w:pPr>
        <w:pStyle w:val="SourceNote"/>
      </w:pPr>
      <w:r>
        <w:rPr>
          <w:b/>
        </w:rPr>
        <w:t>Available abstract (not full text):</w:t>
      </w:r>
      <w:r>
        <w:t xml:space="preserve"> The letters of Boris Zingerman (1928–2000) to the older generation of theatre critics, Grigory Boyadzhiev (1909–1974) and Boris Alpers (1894–1974), were written at different times and on different occasions. What unites the two letters is that they were addressed to Zingerman’s teachers at the State Institute of Theatre Arts (GITIS), where he studied at the theatre studies department (1945–1950) and then did a postgraduate course (1950–1954). However, he had not only happy memories of those times. The end of the ‘luxurious hothouse’, as Zingerman saw GITIS, came after the editorial article in the Pravda newspaper of January 28, 1949 entitled “On One Anti-patriotic Group of Theatre Critics”. In February 1949, a two-day meeting of the GITIS Academic Council was held, where Vs.N. Vsevolodsky-Gerngross, B.V. Alpers, N.M. Tarabukin, S.S. Mokulsky, G.N. Boyadzhiev, and S.S. Danilov were exposed as ‘enemies of the Soviet culture’. Students and postgraduates were then forced to attend the civil execution of the teachers. Some were frightened by it, others used it to advance in their careers. Yet others formed the generation of the sixties: B.I. Zingerman, V.M. Gaevsky, I.N. Solovieva, N.A. Krymova, Yu.S. Rybakov, M.I. Turovskaya, N.M. Zorkaya, T.I. Bachelis, and K.L. Rudnitsky. The memory of 1949 remained with them forever, having become a ‘family trauma’. The plots of professional the</w:t>
      </w:r>
    </w:p>
    <w:p>
      <w:pPr/>
      <w:r>
        <w:rPr>
          <w:b/>
        </w:rPr>
        <w:t>POSSIBLE 2024:</w:t>
      </w:r>
      <w:r>
        <w:t xml:space="preserve"> INTRODUCTORY PREFACE: Publication Patterns of the Central European Public Administration Review – A Bibliometric Analysis — https://doi.org/10.17573/cepar.2024.1.01</w:t>
      </w:r>
    </w:p>
    <w:p>
      <w:pPr/>
      <w:r>
        <w:rPr>
          <w:b/>
        </w:rPr>
        <w:t>Shared claim-specific concepts:</w:t>
      </w:r>
      <w:r>
        <w:t xml:space="preserve"> article, introductory, two; EU scope visible. This is a provisional connection, not an outcome finding.</w:t>
      </w:r>
    </w:p>
    <w:p>
      <w:pPr>
        <w:pStyle w:val="SourceNote"/>
      </w:pPr>
      <w:r>
        <w:rPr>
          <w:b/>
        </w:rPr>
        <w:t>Available abstract (not full text):</w:t>
      </w:r>
      <w:r>
        <w:t xml:space="preserve"> On the 20th anniversary of the Central European Public Administration Review (CEPAR), this study underscores the significance of the journal’s inclusion in indexing. Employing scient metrics, bibliometric techniques, and knowledge mapping, the analysis offers a comprehensive overview of CEPAR’s evolution over the past two decades, the challenges encountered following the journal’s indexing in Web of Science, and the distinctivecharacteristics of authorship patterns. The data used in bibliometric analysis was extracted from Web of Science and covers the period 2018– 2023 (103 papers), while the data for authoring analysis was collectedfrom the archives of journal volumes covering the period 2003–2023 (425 papers). Over its 21 years of existence, CEPAR has published a total of 425 articles with an average of 20 articles per year. These contributions represent the collaborative efforts of 684 authors from different countries, with the average article written by 1.61 authors. The trend in annual citations is positive, with citations increasing tenfold following indexation in Web of Science. The publications in the sample (bibliometric analysis) were written by 175 authors affiliated with 75 institutions, of which 84% contributed a single article to CEPAR’s evolution. In the five years since its indexing in Web of Science, CEPAR has garnered about 200 citations, approximately 33 per</w:t>
      </w:r>
    </w:p>
    <w:p>
      <w:pPr>
        <w:pStyle w:val="Heading2"/>
      </w:pPr>
      <w:r>
        <w:t>632. The future of the drug phenomenon and drug monitoring in Europe until 2030</w:t>
      </w:r>
    </w:p>
    <w:p>
      <w:pPr>
        <w:pStyle w:val="SourceNote"/>
      </w:pPr>
      <w:r>
        <w:rPr>
          <w:b/>
        </w:rPr>
        <w:t>Original source (2021):</w:t>
      </w:r>
      <w:r>
        <w:t xml:space="preserve"> https://doi.org/10.1093/eurpub/ckab165.648</w:t>
      </w:r>
    </w:p>
    <w:p>
      <w:pPr/>
      <w:r>
        <w:t>Original wording (abstract; indexed_source_text_not_full_document_verified): The EMCDDA piloted the usefulness of the foresight approach for transforming the agency and its monitoring activities into a more sensitive and agile system, which could, in turn, help increase Europe's preparedness for future challenges in health and security areas. It analysed global drivers of change that may have in the future implications for the drugs situation, drug monitoring and related responses.</w:t>
      </w:r>
    </w:p>
    <w:p>
      <w:pPr/>
      <w:r>
        <w:rPr>
          <w:b/>
        </w:rPr>
        <w:t>POSSIBLE 2026:</w:t>
      </w:r>
      <w:r>
        <w:t xml:space="preserve"> Suicidal behaviour and resilience-related factors among adolescents in Poland and war-affected Western Ukraine — https://doi.org/10.1186/s13034-026-01126-0</w:t>
      </w:r>
    </w:p>
    <w:p>
      <w:pPr/>
      <w:r>
        <w:rPr>
          <w:b/>
        </w:rPr>
        <w:t>Shared claim-specific concepts:</w:t>
      </w:r>
      <w:r>
        <w:t xml:space="preserve"> usefulness, increase, health; EU scope visible. This is a provisional connection, not an outcome finding.</w:t>
      </w:r>
    </w:p>
    <w:p>
      <w:pPr>
        <w:pStyle w:val="SourceNote"/>
      </w:pPr>
      <w:r>
        <w:rPr>
          <w:b/>
        </w:rPr>
        <w:t>Available abstract (not full text):</w:t>
      </w:r>
      <w:r>
        <w:t xml:space="preserve"> BACKGROUND: The purpose of the research was to verify compensatory and protective models of resilience [14, 27] , among adolescents from Poland and war-affected Ukraine. Guided by the socio-ecological model of resilience theory, we examined the relationship between several psychosocial risk and protective factors and suicidal behaviour among adolescents. METHOD: Data were collected via online self-report questionnaires in Autumn 2024 from 14 to 15 year olds in Western Ukraine (N = 2179) and Warsaw, the capital of Poland (N = 1154). The response rate achieved was 75% in Lviv, 73% in Drohobych and 70% in Warsaw. Suicidal behaviour was measured by a 3-item Suicidal Thoughts and Behaviours scale adapted from the MINI Kid (Sheehan et al. 2010) (α = 0.87 - 0.90). Four groups of risk factors were examined: 1/ exposure to traumatic experiences, with a 9-item index, and victimization measured by two single questions; 2/ mental health problems (symptoms of depression measured by the shortened 4-item CES-D scale, non-suicidal self-injuries measured by a single question, problems of conduct measured with a 12-item index, problematic internet use measured with the Internet Disorder Scale - Short Form (IDS9-SF); 3/ substance use (alcohol, drug, cigarette and tranquiliser use, all measured with single questions); and 4/ personality characteristics that increase vulnerability (impulsiveness, m</w:t>
      </w:r>
    </w:p>
    <w:p>
      <w:pPr/>
      <w:r>
        <w:rPr>
          <w:b/>
        </w:rPr>
        <w:t>POSSIBLE 2026:</w:t>
      </w:r>
      <w:r>
        <w:t xml:space="preserve"> Informing illicit drug policy through economic evidence: using safer drug consumption facilities in Scotland as an example — https://doi.org/10.5525/gla.thesis.85843</w:t>
      </w:r>
    </w:p>
    <w:p>
      <w:pPr/>
      <w:r>
        <w:rPr>
          <w:b/>
        </w:rPr>
        <w:t>Shared claim-specific concepts:</w:t>
      </w:r>
      <w:r>
        <w:t xml:space="preserve"> approach, increase, health; EU scope not established. This is a provisional connection, not an outcome finding.</w:t>
      </w:r>
    </w:p>
    <w:p>
      <w:pPr>
        <w:pStyle w:val="SourceNote"/>
      </w:pPr>
      <w:r>
        <w:rPr>
          <w:b/>
        </w:rPr>
        <w:t>Available abstract (not full text):</w:t>
      </w:r>
      <w:r>
        <w:t xml:space="preserve"> Background: Illicit drug use continues to increase and impact individuals’ health worldwide. Critical voices surrounding the performance of enforcement-led policies continue to grow internationally, as they have been shown to be ineffective in reducing drug-related harms and lead to high expenditure to society. Instead, some countries and voices advocate a human right and public health approach to drug policymaking. These policies include decriminalisation of drug users, and services or facilities to support them, such as safe drug consumption facilities (SDCFs). The case of the SDCFs in Scotland presents a timely and highly relevant focus for this PhD work, as its implementation in the UK remains politically contested. Such a facility allows individuals to consume illicit drugs under clinical supervision, representing a public health orientated alternative to punitive, criminalisation-based responses. Incorporating scientific evidence of the services is an essential element of an evidence-based policy, and more frequently, economic evaluation and health technology assessment are being incorporated into the assessment of public health and social policies. This thesis, therefore, explores and examines whether health economics methods can support a rational and sustainable approach to drug policy decision-making in Scotland, using SDCF as an example. Methods: A multi-methods appr</w:t>
      </w:r>
    </w:p>
    <w:p>
      <w:pPr/>
      <w:r>
        <w:rPr>
          <w:b/>
        </w:rPr>
        <w:t>POSSIBLE 2026:</w:t>
      </w:r>
      <w:r>
        <w:t xml:space="preserve"> Artigos de pesquisa original — https://doi.org/10.22533/at.ed.15953226210110</w:t>
      </w:r>
    </w:p>
    <w:p>
      <w:pPr/>
      <w:r>
        <w:rPr>
          <w:b/>
        </w:rPr>
        <w:t>Shared claim-specific concepts:</w:t>
      </w:r>
      <w:r>
        <w:t xml:space="preserve"> approach, transforming, sensitive, challenges, health; EU scope visible. This is a provisional connection, not an outcome finding.</w:t>
      </w:r>
    </w:p>
    <w:p>
      <w:pPr>
        <w:pStyle w:val="SourceNote"/>
      </w:pPr>
      <w:r>
        <w:rPr>
          <w:b/>
        </w:rPr>
        <w:t>Available abstract (not full text):</w:t>
      </w:r>
      <w:r>
        <w:t xml:space="preserve"> Globalization and increasing migratory flows have been transforming Portuguese society, presenting new challenges for public health, particularly in regions with a high concentration of immigrants, such as the Algarve.The municipality of São Brás de Alportel exhibits a significant proportion of foreign residents, highlighting the need for an in-depth characterization of their health status, lifestyle behaviors, and access to healthcare services.This study aimed to characterize the health status, risk behaviors, lifestyle habits, mental health, quality of life, and healthcare accessibility of the immigrant population residing in São Brás de Alportel, Portugal.A descriptive, cross-sectional study with a quantitative approach was conducted, including a sample of 89 immigrants recruited through snowball sampling.Data were collected using a questionnaire based on the SAIMI-2 instrument.Results indicate a predominance of individuals aged 60 years or older, mostly retired and originating from the United Kingdom.The most common health conditions were chronic diseases similar to those found in the Portuguese population, notably arterial hypertension, diabetes mellitus, and dyslipidemia.While participants generally reported good quality of life and positive mental health indicators, some risk behaviors were identified, including high alcohol consumption, smoking, and low vaccination adhe</w:t>
      </w:r>
    </w:p>
    <w:p>
      <w:pPr/>
      <w:r>
        <w:rPr>
          <w:b/>
        </w:rPr>
        <w:t>POSSIBLE 2025:</w:t>
      </w:r>
      <w:r>
        <w:t xml:space="preserve"> Bridging the gap between research and decision making: A European survey to enhance cooperation in wastewater-based epidemiology (WBE) for illicit drugs — https://doi.org/10.1016/j.puhe.2025.02.009</w:t>
      </w:r>
    </w:p>
    <w:p>
      <w:pPr/>
      <w:r>
        <w:rPr>
          <w:b/>
        </w:rPr>
        <w:t>Shared claim-specific concepts:</w:t>
      </w:r>
      <w:r>
        <w:t xml:space="preserve"> agency, monitoring, challenges, health, analysed; EU scope visible. This is a provisional connection, not an outcome finding.</w:t>
      </w:r>
    </w:p>
    <w:p>
      <w:pPr>
        <w:pStyle w:val="SourceNote"/>
      </w:pPr>
      <w:r>
        <w:rPr>
          <w:b/>
        </w:rPr>
        <w:t>Available abstract (not full text):</w:t>
      </w:r>
      <w:r>
        <w:t xml:space="preserve"> OBJECTIVES: Illicit drug use presents a significant challenge to global health and public safety, requiring innovative and effective monitoring strategies. This study aimed to evaluate the current landscape of wastewater-based epidemiology (WBE) for monitoring illicit drugs in Europe, focusing on collaboration, current practices, and barriers, while identifying opportunities for improvement. STUDY DESIGN: Cross-sectional survey-based study. METHODS: Coordinated by the Sewage Analysis CORe Group Europe (SCORE) and the European Union Drugs Agency (EUDA), two surveys were conducted in 2023 targeting researchers and stakeholders using WBE for illicit drugs. Data were analysed to identify trends, gaps, and opportunities for improving WBE implementation. RESULTS: The findings indicate a robust research infrastructure and diverse analytical methods among European institutions. Two-thirds of the participating countries reported using WBE data to inform policy. However, challenges persist, particularly in securing funding and coordination, as well as generating national estimates from multiple locations and addressing specific local policy needs. CONCLUSIONS: WBE has proven to be a valuable tool for monitoring illicit drug trends and informing drug policies. To unlock its full potential, sustained funding, methodological standardization, and enhanced cooperation are essential. This stud</w:t>
      </w:r>
    </w:p>
    <w:p>
      <w:pPr/>
      <w:r>
        <w:rPr>
          <w:b/>
        </w:rPr>
        <w:t>POSSIBLE 2025:</w:t>
      </w:r>
      <w:r>
        <w:t xml:space="preserve"> Welfare first: transforming harm reduction at UK festivals — https://doi.org/10.1186/s12954-025-01184-1</w:t>
      </w:r>
    </w:p>
    <w:p>
      <w:pPr/>
      <w:r>
        <w:rPr>
          <w:b/>
        </w:rPr>
        <w:t>Shared claim-specific concepts:</w:t>
      </w:r>
      <w:r>
        <w:t xml:space="preserve"> approach, transforming, challenges, health; EU scope not established. This is a provisional connection, not an outcome finding.</w:t>
      </w:r>
    </w:p>
    <w:p>
      <w:pPr>
        <w:pStyle w:val="SourceNote"/>
      </w:pPr>
      <w:r>
        <w:rPr>
          <w:b/>
        </w:rPr>
        <w:t>Available abstract (not full text):</w:t>
      </w:r>
      <w:r>
        <w:t xml:space="preserve"> BACKGROUND: A welfare-first approach to harm reduction at UK festivals is emerging as a critical strategy for enhancing festival safety. In particular, the implementation of anonymous, non-punitive drug-checking services is posited as essential for reducing drug-related harm by enabling informed decision-making. This empirical study examines the limitations of punitive drug policies and the associated risks to public health and explores the potential benefits of decriminalisation in fostering safer festival environments. METHODS: The study employed qualitative methodologies, including semi-structured interviews and questionnaires with festival attendees at three major UK festivals. This empirical data was supplemented by a review of recent studies (Ivers et al. in Ir J Med Sci 191(4):1701-1710, 2022. https://doi.org/10.1007/s11845-021-02765-2 ; Palmer Maynard in Harm Reduc J 19(1):81, 2022. https://doi.org/10.1186/s12954-022-00662-0 ; Cooney and Measham. in Drug Sci Policy Law 9, 2023. https://doi.org/10.1177/20503245231211444 ) and relevant policy documents, in order to evaluate current harm reduction practices and identify key barriers, such as stigma, social control, and criminalisation. RESULTS: Analysis revealed that integrated harm reduction measures, comprising drug-checking services, welfare support, and early intervention initiatives, significantly enhance safety by em</w:t>
      </w:r>
    </w:p>
    <w:p>
      <w:pPr/>
      <w:r>
        <w:rPr>
          <w:b/>
        </w:rPr>
        <w:t>POSSIBLE 2025:</w:t>
      </w:r>
      <w:r>
        <w:t xml:space="preserve"> (I)llicit Chains: Some New Hypotheses Regarding a Changing Global Cocaine Market — https://doi.org/10.31389/jied.274</w:t>
      </w:r>
    </w:p>
    <w:p>
      <w:pPr/>
      <w:r>
        <w:rPr>
          <w:b/>
        </w:rPr>
        <w:t>Shared claim-specific concepts:</w:t>
      </w:r>
      <w:r>
        <w:t xml:space="preserve"> approach, increase; EU scope visible. This is a provisional connection, not an outcome finding.</w:t>
      </w:r>
    </w:p>
    <w:p>
      <w:pPr>
        <w:pStyle w:val="SourceNote"/>
      </w:pPr>
      <w:r>
        <w:rPr>
          <w:b/>
        </w:rPr>
        <w:t>Available abstract (not full text):</w:t>
      </w:r>
      <w:r>
        <w:t xml:space="preserve"> International cocaine trafficking from South America has increased significantly over the past decade. Based on mixed-methods research, we hypothesize that this change has been driven primarily by the globalization of its logistics, which has led to relevant technical and political changes along the value chain. Today’s global criminal logistics connect a wider variety of producers and retailers, ensuring a market without monopoly and monopsony, although very few transnational criminal groups control the center of the value chain. Their cooperation results in a virtuous circle for illicit accumulation, in which the constant improvement in productivity in South America also leads to an increase in consumer demand in Europe and, more recently, in Africa, Asia, and Oceania. We used a mixed-methods approach to relationally analyze coherent changes in the cocaine value chain in Latin American, African, and European countries.</w:t>
      </w:r>
    </w:p>
    <w:p>
      <w:pPr/>
      <w:r>
        <w:rPr>
          <w:b/>
        </w:rPr>
        <w:t>POSSIBLE 2025:</w:t>
      </w:r>
      <w:r>
        <w:t xml:space="preserve"> Using time in prison as an ideal opportunity to treat Hepatitis C - PIONEER Framework Proposal — https://doi.org/10.18176/resp.00109</w:t>
      </w:r>
    </w:p>
    <w:p>
      <w:pPr/>
      <w:r>
        <w:rPr>
          <w:b/>
        </w:rPr>
        <w:t>Shared claim-specific concepts:</w:t>
      </w:r>
      <w:r>
        <w:t xml:space="preserve"> approach, transforming, health; EU scope visible. This is a provisional connection, not an outcome finding.</w:t>
      </w:r>
    </w:p>
    <w:p>
      <w:pPr>
        <w:pStyle w:val="SourceNote"/>
      </w:pPr>
      <w:r>
        <w:rPr>
          <w:b/>
        </w:rPr>
        <w:t>Available abstract (not full text):</w:t>
      </w:r>
      <w:r>
        <w:t xml:space="preserve"> Objectives: Prisons present a unique opportunity to address the high prevalence of hepatitis C (HCV) among inmates, a population disproportionately affected by the disease. Specific conditions within correctional facilities contribute to increased HCV transmission rates. Incarceration offers a strategic chance to reach individuals who are often inaccessible through traditional healthcare systems, transforming prison time into a window for targeted health interventions. Material and method: This study utilized a qualitative approach, conducting a comprehensive literature review on HCV management within correctional settings and incorporating data and insights from the "Let's End HepC" European project. The findings informed the development of the PIO-NEER framework, which emphasizes evidence-based public health policies to enhance health safety in prisons for hepatitis C. Results: Effective control of HCV in prisons requires a multifaceted approach, including education, counseling, harm-reduction initiatives such as safe tattooing practices, provision of direct-acting antiviral (DAA) treatments, and improvements in prison conditions. Emphasis should also be placed on fostering respect for prisoners' human rights, implementing preventive measures, and reducing HCV transmission within correctional facilities. Discussion: Incarceration represents a critical opportunity for diagnosi</w:t>
      </w:r>
    </w:p>
    <w:p>
      <w:pPr/>
      <w:r>
        <w:rPr>
          <w:b/>
        </w:rPr>
        <w:t>POSSIBLE 2025:</w:t>
      </w:r>
      <w:r>
        <w:t xml:space="preserve"> PIONEER Framework Proposal — https://openalex.org/W7111667821</w:t>
      </w:r>
    </w:p>
    <w:p>
      <w:pPr/>
      <w:r>
        <w:rPr>
          <w:b/>
        </w:rPr>
        <w:t>Shared claim-specific concepts:</w:t>
      </w:r>
      <w:r>
        <w:t xml:space="preserve"> approach, transforming, health; EU scope visible. This is a provisional connection, not an outcome finding.</w:t>
      </w:r>
    </w:p>
    <w:p>
      <w:pPr>
        <w:pStyle w:val="SourceNote"/>
      </w:pPr>
      <w:r>
        <w:rPr>
          <w:b/>
        </w:rPr>
        <w:t>Available abstract (not full text):</w:t>
      </w:r>
      <w:r>
        <w:t xml:space="preserve"> Objectives: Prisons present a unique opportunity to address the high prevalence of hepatitis C (HCV) among inmates, a population disproportionately affected by the disease. Specific conditions within correctional facilities contribute to increased HCV transmission rates. Incarceration offers a strategic chance to reach individuals who are often inaccessible through traditional healthcare systems, transforming prison time into a window for targeted health interventions. Material and method: This study utilized a qualitative approach, conducting a comprehensive literature review on HCV management within correctional settings and incorporating data and insights from the “Let’s End HepC” European project. The findings informed the development of the PIO-NEER framework, which emphasizes evidence-based public health policies to enhance health safety in prisons for hepatitis C. Results: Effective control of HCV in prisons requires a multifaceted approach, including education, counseling, harm-reduction initiatives such as safe tattooing practices, provision of direct-acting antiviral (DAA) treatments, and improvements in prison conditions. Emphasis should also be placed on fostering respect for prisoners’ human rights, implementing preventive measures, and reducing HCV transmission within correctional facilities. Discussion: Incarceration represents a critical opportunity for diagnosi</w:t>
      </w:r>
    </w:p>
    <w:p>
      <w:pPr/>
      <w:r>
        <w:rPr>
          <w:b/>
        </w:rPr>
        <w:t>POSSIBLE 2025:</w:t>
      </w:r>
      <w:r>
        <w:t xml:space="preserve"> Internet Search for Illicit Drugs in Italy: Infodemiological Analysis of Six Years of Research — https://doi.org/10.1155/ghe3/6351291</w:t>
      </w:r>
    </w:p>
    <w:p>
      <w:pPr/>
      <w:r>
        <w:rPr>
          <w:b/>
        </w:rPr>
        <w:t>Shared claim-specific concepts:</w:t>
      </w:r>
      <w:r>
        <w:t xml:space="preserve"> approach, monitoring, preparedness, health; EU scope visible. This is a provisional connection, not an outcome finding.</w:t>
      </w:r>
    </w:p>
    <w:p>
      <w:pPr>
        <w:pStyle w:val="SourceNote"/>
      </w:pPr>
      <w:r>
        <w:rPr>
          <w:b/>
        </w:rPr>
        <w:t>Available abstract (not full text):</w:t>
      </w:r>
      <w:r>
        <w:t xml:space="preserve"> This study explores the potential of Internet search data from Google Trends and Wikipedia as innovative tools for monitoring public interest and behavior related to illicit drug information. Employing a cross‐sectional study design, this research investigates the correlations between search patterns on these platforms and provides insights into public health monitoring. Our analysis indicates significant correlations between searches for various illicit drugs, with correlation coefficients ranging from 0.71 to 0.83, suggesting that these searches can not only reflect but also potentially predict public interest and shifts in drug use patterns. This approach highlights specific periods and demographics showing increased interest in drugs, thereby allowing for targeted public health interventions. The study found that searches related to drugs like cannabis, cocaine, and opioids are not only frequent but also show a tendency to be conducted in tandem, possibly due to synergistic effects. Moreover, the data underscore the importance of providing timely and accurate information to the public through authoritative online sources. With the vast reach of the Internet, ensuring that institutional websites and social networks offer correct information becomes crucial to prevent the spread of misinformation. This study supports Internet‐based data as a complementary tool to traditional </w:t>
      </w:r>
    </w:p>
    <w:p>
      <w:pPr/>
      <w:r>
        <w:rPr>
          <w:b/>
        </w:rPr>
        <w:t>POSSIBLE 2025:</w:t>
      </w:r>
      <w:r>
        <w:t xml:space="preserve"> Impact of COVID-19 on Substance Use Disorder Treatment: Examining the Influence of In-Person and Telehealth Intervention on Outcomes Using Real-World Data — https://doi.org/10.3390/healthcare13010084</w:t>
      </w:r>
    </w:p>
    <w:p>
      <w:pPr/>
      <w:r>
        <w:rPr>
          <w:b/>
        </w:rPr>
        <w:t>Shared claim-specific concepts:</w:t>
      </w:r>
      <w:r>
        <w:t xml:space="preserve"> usefulness, activities, increase, health, analysed; EU scope not established. This is a provisional connection, not an outcome finding.</w:t>
      </w:r>
    </w:p>
    <w:p>
      <w:pPr>
        <w:pStyle w:val="SourceNote"/>
      </w:pPr>
      <w:r>
        <w:rPr>
          <w:b/>
        </w:rPr>
        <w:t>Available abstract (not full text):</w:t>
      </w:r>
      <w:r>
        <w:t xml:space="preserve"> Background: Telehealth services have experienced a rapid implementation in addiction centres in the aftermath of the COVID pandemic. Several studies highlight the usefulness of telehealth activities. However, there are relatively fewer studies using real-world data, evaluating its effectiveness across different moments in time. The present study analyse the evolution, patient profile and effectiveness of an hybrid care modality (in-person and telehealth) versus an only in-person patient care modality. Methods: Retrospective observational study with data collected between 03/14/2019 and 06/21/2023. The electronic health records of 44930 patients were analysed according to different moments, selected based on the different health measures imposed by the COVID pandemic. Patients were classified according to whether they received an in-person or hybrid intervention. Bivariate statistics and logistic regression analysis were applied. Results: The trend over time shows an increase in the number of patients seen in addiction centres. However, there are no notable changes within the in-person care modality, and a modest increase in telehealth services is observed. Telehealth is primarily used among patients with opiate addiction, as well as with those with comorbid mental disorders. Logistic regression analysis shows that patients in a hybrid modality are more likely to remain in treat</w:t>
      </w:r>
    </w:p>
    <w:p>
      <w:pPr/>
      <w:r>
        <w:rPr>
          <w:b/>
        </w:rPr>
        <w:t>POSSIBLE 2024:</w:t>
      </w:r>
      <w:r>
        <w:t xml:space="preserve"> Internship Report at the EMCDDA 's Public Health Unit - Insights into the Medical Use of Psychedelic Substances in the EU: regulatory frameworks, public health challenges and future directions. — https://doi.org/10.34626/0gxt-rw14</w:t>
      </w:r>
    </w:p>
    <w:p>
      <w:pPr/>
      <w:r>
        <w:rPr>
          <w:b/>
        </w:rPr>
        <w:t>Shared claim-specific concepts:</w:t>
      </w:r>
      <w:r>
        <w:t xml:space="preserve"> emcdda, monitoring, challenges, health; EU scope visible. This is a provisional connection, not an outcome finding.</w:t>
      </w:r>
    </w:p>
    <w:p>
      <w:pPr>
        <w:pStyle w:val="SourceNote"/>
      </w:pPr>
      <w:r>
        <w:rPr>
          <w:b/>
        </w:rPr>
        <w:t>Available abstract (not full text):</w:t>
      </w:r>
      <w:r>
        <w:t xml:space="preserve"> Avanços recentes na aplicação médica de substâncias psicodélicas para uma série de transtornos de saúde mental e cuidados paliativos despertaram um interesse substancial em todo o mundo. Este interesse acrescido está enraizado no reconhecimento do potencial terapêutico de substâncias psicadélicas específicas e é alimentado pela necessidade de opções de tratamento eficazes para perturbações mentais complexas. Como resultado, surgiram quadros regulamentares diversos e em evolução em todo o mundo, levantando importantes desafios de saúde pública. Uma preocupação fundamental gira em torno do estabelecimento de quadros regulamentares robustos e da adaptação de políticas para garantir a utilização segura e equitativa de substâncias psicadélicas em ambientes médicos, minimizando assim os riscos potenciais. Este esforço implica navegar em intrincados cenários éticos e legais. Além disso, a supervisão regulamentar é indispensável para conter a proliferação de práticas psicadélicas não licenciadas ou ilícitas, que podem pôr em perigo os indivíduos que procuram tratamento. Para abordar estes cenários em evolução, o European Monitoring Centre for Drugs and Drug Addiction (EMCDDA) iniciou vários projetos destinados, em primeiro lugar, a melhorar a compreensão da utilização médica destas substâncias, incluindo investigação sobre a eficácia, os danos potenciais, os quadros regulamentares e as</w:t>
      </w:r>
    </w:p>
    <w:p>
      <w:pPr/>
      <w:r>
        <w:rPr>
          <w:b/>
        </w:rPr>
        <w:t>POSSIBLE 2024:</w:t>
      </w:r>
      <w:r>
        <w:t xml:space="preserve"> European Homicide Monitor: Research, New Developments, and Future — https://doi.org/10.1177/10439862241253386</w:t>
      </w:r>
    </w:p>
    <w:p>
      <w:pPr/>
      <w:r>
        <w:rPr>
          <w:b/>
        </w:rPr>
        <w:t>Shared claim-specific concepts:</w:t>
      </w:r>
      <w:r>
        <w:t xml:space="preserve"> approach, challenges; EU scope visible. This is a provisional connection, not an outcome finding.</w:t>
      </w:r>
    </w:p>
    <w:p>
      <w:pPr>
        <w:pStyle w:val="SourceNote"/>
      </w:pPr>
      <w:r>
        <w:rPr>
          <w:b/>
        </w:rPr>
        <w:t>Available abstract (not full text):</w:t>
      </w:r>
      <w:r>
        <w:t xml:space="preserve"> Homicide as the most serious form of lethal violence has always represented an important research focus in criminology. Much of the existing research, however, is based on aggregated homicide data and is limited to macrolevel analyses. The European Homicide Monitor (EHM) is an initiative promoting standardized international data collection, with the aim of collecting disaggregated and detailed data on homicide. Originally developed by researchers from the Netherlands, Sweden, and Finland, the EHM coding scheme is currently applied in several European countries. In this article, we take stock of the use of the EHM approach by describing its key principles and aims. We also review research conducted within the EHM framework and identify the most significant developments in its use, such as expanding to the Global South, to the historical past, and to more accurate measurement of drug-related incidents. We conclude this investigation by discussing the challenges facing future research in this domain.</w:t>
      </w:r>
    </w:p>
    <w:p>
      <w:pPr>
        <w:pStyle w:val="Heading2"/>
      </w:pPr>
      <w:r>
        <w:t>633. The role of district heating systems to provide balancing services in the European Union</w:t>
      </w:r>
    </w:p>
    <w:p>
      <w:pPr>
        <w:pStyle w:val="SourceNote"/>
      </w:pPr>
      <w:r>
        <w:rPr>
          <w:b/>
        </w:rPr>
        <w:t>Original source (2021):</w:t>
      </w:r>
      <w:r>
        <w:t xml:space="preserve"> https://doi.org/10.1016/j.rser.2021.111853</w:t>
      </w:r>
    </w:p>
    <w:p>
      <w:pPr/>
      <w:r>
        <w:t>Original wording (abstract; indexed_source_text_not_full_document_verified): Based on the POTEnCIA Central scenario up to 2050 — a description of the evolution of the EU energy system with the assumption of no further policies introduced beyond 2017 —, we find that the potential is highest for the provision of aFRR, followed by mFRR and FCR. Specifically, the aFRR technical potential is currently 32 GW — 4 times the aFRR contracted in 2019 in the EU — and it only slightly decreases by 2050.</w:t>
      </w:r>
    </w:p>
    <w:p>
      <w:pPr/>
      <w:r>
        <w:rPr>
          <w:b/>
        </w:rPr>
        <w:t>POSSIBLE 2026:</w:t>
      </w:r>
      <w:r>
        <w:t xml:space="preserve"> Smart Energy and Energy Communities: A Review of Innovation Proposals for Global and Local Sustainability — https://doi.org/10.15446/sicel.v12.121196</w:t>
      </w:r>
    </w:p>
    <w:p>
      <w:pPr/>
      <w:r>
        <w:rPr>
          <w:b/>
        </w:rPr>
        <w:t>Shared claim-specific concepts:</w:t>
      </w:r>
      <w:r>
        <w:t xml:space="preserve"> based, energy, technical; EU scope visible. This is a provisional connection, not an outcome finding.</w:t>
      </w:r>
    </w:p>
    <w:p>
      <w:pPr>
        <w:pStyle w:val="SourceNote"/>
      </w:pPr>
      <w:r>
        <w:rPr>
          <w:b/>
        </w:rPr>
        <w:t>Available abstract (not full text):</w:t>
      </w:r>
      <w:r>
        <w:t xml:space="preserve"> This paper analyzes the development of energy communities in both international and Colombian contexts, focusing on regulatory frameworks as well as technical and social challenges. The study applies strategic tools such as SWOT and PESTEL to identify barriers and opportunities and incorporates comparative cases from Europe and Colombia. Based on these findings, the article introduces the Community Energy Manager as a socio-technical actor that integrates efficiency, smart energy management, and advanced metering, turning legal frameworks into operational conditions adapted to local realities. Results indicate that, although Colombia has made regulatory progress, the consolidation of energy communities requires stronger governance, financial sustainability, and the implementation of clear performance indicators on equity, reliability, costs, and participation</w:t>
      </w:r>
    </w:p>
    <w:p>
      <w:pPr/>
      <w:r>
        <w:rPr>
          <w:b/>
        </w:rPr>
        <w:t>POSSIBLE 2026:</w:t>
      </w:r>
      <w:r>
        <w:t xml:space="preserve"> Sustainable Solutions through Self-Sufficient Energy Houses Powered by Hybrid Renewable Energy Systems — https://doi.org/10.5772/geet.20250140</w:t>
      </w:r>
    </w:p>
    <w:p>
      <w:pPr/>
      <w:r>
        <w:rPr>
          <w:b/>
        </w:rPr>
        <w:t>Shared claim-specific concepts:</w:t>
      </w:r>
      <w:r>
        <w:t xml:space="preserve"> based, energy, system; EU scope not established. This is a provisional connection, not an outcome finding.</w:t>
      </w:r>
    </w:p>
    <w:p>
      <w:pPr>
        <w:pStyle w:val="SourceNote"/>
      </w:pPr>
      <w:r>
        <w:rPr>
          <w:b/>
        </w:rPr>
        <w:t>Available abstract (not full text):</w:t>
      </w:r>
      <w:r>
        <w:t xml:space="preserve"> This article analyzes the energy self-sufficiency in a paired house using a hybrid renewable energy system installed in one house and using the second house for a null energy balance. The article searches for sustainable systems reducing energy dependence on fossil fuels and greenhouse gas emissions. The study is based on the application of the fundamental equations of energy, thermal, and electrical balance for a domestic installation. This system integrates a domestic wind turbine and a photovoltaic array, assisted by a battery bank as an energy storage system to compensate for energy imbalances during a power outage. The proposed design relies exclusively on electricity to meet all thermal and electrical demands, including heating, domestic hot water, air conditioning, appliances, and lighting. The design employs an air source heat pump for domestic hot water, heating, and air conditioning; this unit directly connects to the hybrid renewable energy system, and the battery bank assists the hybrid system when needed. The battery is charged and discharged according to the daily energy balance. A simulation is performed under various operating conditions to evaluate the proposed design feasibility. The study includes experimental tests to verify the simulation’s validity and the reliability of the system design. Experimental tests show good agreement between simulation and actua</w:t>
      </w:r>
    </w:p>
    <w:p>
      <w:pPr/>
      <w:r>
        <w:rPr>
          <w:b/>
        </w:rPr>
        <w:t>POSSIBLE 2026:</w:t>
      </w:r>
      <w:r>
        <w:t xml:space="preserve"> Toward a Sustainable Energy Production System Based on Concentrated Solar Power Plants: Social and Water Availability Issues — https://doi.org/10.1021/acssuschemeng.5c11213</w:t>
      </w:r>
    </w:p>
    <w:p>
      <w:pPr/>
      <w:r>
        <w:rPr>
          <w:b/>
        </w:rPr>
        <w:t>Shared claim-specific concepts:</w:t>
      </w:r>
      <w:r>
        <w:t xml:space="preserve"> based, energy, system, potential, highest, followed; EU scope visible. This is a provisional connection, not an outcome finding.</w:t>
      </w:r>
    </w:p>
    <w:p>
      <w:pPr>
        <w:pStyle w:val="SourceNote"/>
      </w:pPr>
      <w:r>
        <w:rPr>
          <w:b/>
        </w:rPr>
        <w:t>Available abstract (not full text):</w:t>
      </w:r>
      <w:r>
        <w:t xml:space="preserve"> High Resolution Image Download MS PowerPoint Slide The green transition of energy production systems is one of the most critical tasks for society nowadays. Concentrated solar power (CSP) plants require direct normal irradiance ( DNI ) to produce electricity. Nevertheless, the highest DNI values are usually found in regions with limited water availability, which can be a sustainability issue when using cooling technologies. Furthermore, deploying new infrastructure has significant socio-economic implications, requiring careful evaluation of CSP facility locations. In this work, a multiobjective mixed-integer linear programming model is developed, considering several variables related to production (such as DNI, temperature, and available land), environmental factors (such as water consumption by cooling systems), and social concerns associated with the deployment of the facilities. The model evaluates each region of Spain to choose the optimal location for five scenarios of technology substitution. The results show that decisions prioritize DNI values and seasonal energy demand followed by investment cost and social impact, while we avoid wet-cooling technology to increase job creation. Furthermore, a fully renewable electricity system using 9 CSP plants requires an estimated investment of 785 B€ 2025, presents a competitive LCOE of 0.086–0.093 €/kWh, and has the potential to c</w:t>
      </w:r>
    </w:p>
    <w:p>
      <w:pPr/>
      <w:r>
        <w:rPr>
          <w:b/>
        </w:rPr>
        <w:t>POSSIBLE 2026:</w:t>
      </w:r>
      <w:r>
        <w:t xml:space="preserve"> Integration of electric vehicles into energy system models: A review — https://doi.org/10.1016/j.rser.2026.117078</w:t>
      </w:r>
    </w:p>
    <w:p>
      <w:pPr/>
      <w:r>
        <w:rPr>
          <w:b/>
        </w:rPr>
        <w:t>Shared claim-specific concepts:</w:t>
      </w:r>
      <w:r>
        <w:t xml:space="preserve"> based, energy, system; EU scope not established. This is a provisional connection, not an outcome finding.</w:t>
      </w:r>
    </w:p>
    <w:p>
      <w:pPr>
        <w:pStyle w:val="SourceNote"/>
      </w:pPr>
      <w:r>
        <w:rPr>
          <w:b/>
        </w:rPr>
        <w:t>Available abstract (not full text):</w:t>
      </w:r>
      <w:r>
        <w:t xml:space="preserve"> The growing adoption of electric vehicles (EVs) presents challenges and opportunities for the energy system, making accurate modeling of EV charging demand and its flexibility essential. EVs create a critical link between the electricity and transport sectors, both requiring models with high temporal resolution. Our review examines methods for modeling EV demand and their integration into energy system models across spatial and temporal scales. We identified 58 EV demand models and 32 integration studies spanning building- to international-scale systems. EV demand models are classified according to their methodological approaches and data sources. Our review highlights that activity-based approaches relying on travel or time use surveys are particularly effective in representing charging flexibility, as they derive empirically based flexibility windows from observed behavior. However, current approaches, mainly based on Markov chains and Monte Carlo simulations, fail to reproduce realistic weekly and seasonal patterns. Advances in generative modeling, especially through deep neural networks, show promise in capturing temporal consistency and variability, as well as integrating complementary data sources. For the integration of EVs into energy system models, we identify diverse aggregation methods, each entailing trade-offs between behavioral realism and computational tractabili</w:t>
      </w:r>
    </w:p>
    <w:p>
      <w:pPr/>
      <w:r>
        <w:rPr>
          <w:b/>
        </w:rPr>
        <w:t>POSSIBLE 2025:</w:t>
      </w:r>
      <w:r>
        <w:t xml:space="preserve"> SARIMA models for power evolution in photovoltaic systems — https://doi.org/10.56294/saludcyt20251971</w:t>
      </w:r>
    </w:p>
    <w:p>
      <w:pPr/>
      <w:r>
        <w:rPr>
          <w:b/>
        </w:rPr>
        <w:t>Shared claim-specific concepts:</w:t>
      </w:r>
      <w:r>
        <w:t xml:space="preserve"> based, evolution, energy, specifically; EU scope visible. This is a provisional connection, not an outcome finding.</w:t>
      </w:r>
    </w:p>
    <w:p>
      <w:pPr>
        <w:pStyle w:val="SourceNote"/>
      </w:pPr>
      <w:r>
        <w:rPr>
          <w:b/>
        </w:rPr>
        <w:t>Available abstract (not full text):</w:t>
      </w:r>
      <w:r>
        <w:t xml:space="preserve"> Introduction.- The increasing use of renewable energy in power generation systems has highlighted the need for efficient schemes to predict model parameters. In particular, photovoltaic systems require accurate tools to model and forecast solar energy generation behavior. Objective.-To formulate SARIMA models with high accuracy in fitting, explanation, and prediction of energy yields in solar photovoltaic systems, specifically focused on the plant located at Plaza del Duque de Béjar, Spain. Method.- A fitting strategy based on genetic algorithms was adopted to accelerate the estimation of the SARIMA model using hourly solar photovoltaic generation data. The auto.arima package in RStudio was employed as a methodological tool, enabling automatic selection and optimization of the best model parameters. Results.- The selected model was SARIMA (5,0,0)(2,1,0)242424, characterized by a stationary stochastic process with a clear seasonal component. The model showed remarkable estimation accuracy, with low standard errors in the autoregressive coefficients. Additionally, the model residuals were well-adjusted, displaying independence and absence of serial autocorrelation. Conclusions.- The proposed model demonstrated excellent predictive performance, supported by training error metrics (ME (Mean Error)= -1.344268 and MASE (Mean Absolute Scaled Error)= 0.7048786). Its sound mathematical </w:t>
      </w:r>
    </w:p>
    <w:p>
      <w:pPr/>
      <w:r>
        <w:rPr>
          <w:b/>
        </w:rPr>
        <w:t>POSSIBLE 2025:</w:t>
      </w:r>
      <w:r>
        <w:t xml:space="preserve"> Clean Energy Technology Observatory: Battery Technology in the European Union - 2025 Status Report on Technology Development, Trends, Value Chains and Markets — https://doi.org/10.2760/2686206</w:t>
      </w:r>
    </w:p>
    <w:p>
      <w:pPr/>
      <w:r>
        <w:rPr>
          <w:b/>
        </w:rPr>
        <w:t>Shared claim-specific concepts:</w:t>
      </w:r>
      <w:r>
        <w:t xml:space="preserve"> energy, currently, times; EU scope visible. This is a provisional connection, not an outcome finding.</w:t>
      </w:r>
    </w:p>
    <w:p>
      <w:pPr>
        <w:pStyle w:val="SourceNote"/>
      </w:pPr>
      <w:r>
        <w:rPr>
          <w:b/>
        </w:rPr>
        <w:t>Available abstract (not full text):</w:t>
      </w:r>
      <w:r>
        <w:t xml:space="preserve"> 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w:t>
      </w:r>
    </w:p>
    <w:p>
      <w:pPr/>
      <w:r>
        <w:rPr>
          <w:b/>
        </w:rPr>
        <w:t>POSSIBLE 2025:</w:t>
      </w:r>
      <w:r>
        <w:t xml:space="preserve"> Study on the implementation of battery systems in a renewable energy plant for energy supply in the paper industry — https://openalex.org/W7111806992</w:t>
      </w:r>
    </w:p>
    <w:p>
      <w:pPr/>
      <w:r>
        <w:rPr>
          <w:b/>
        </w:rPr>
        <w:t>Shared claim-specific concepts:</w:t>
      </w:r>
      <w:r>
        <w:t xml:space="preserve"> based, energy, system, potential, technical; EU scope visible. This is a provisional connection, not an outcome finding.</w:t>
      </w:r>
    </w:p>
    <w:p>
      <w:pPr>
        <w:pStyle w:val="SourceNote"/>
      </w:pPr>
      <w:r>
        <w:rPr>
          <w:b/>
        </w:rPr>
        <w:t>Available abstract (not full text):</w:t>
      </w:r>
      <w:r>
        <w:t xml:space="preserve"> This master’s Thesis examines the feasibility of integrating battery energy storage into a hybrid renewable energy project designed for an industrial-scale paper mill. Developed in academic collaboration with SAICA Paper, the project is based on a confidential plan for a hybrid energy system composed of 30 MWp of photovoltaic and 50 MW of wind capacity, intended to partially cover the energy demand of the Paper Machine 9 (PM9) production line at SAICA’s flagship plant in El Burgo de Ebro, Spain. Although not yet implemented, the hybrid system has been internally analyzed by the company and provides the basis for a detailed simulation using real hourly consumption data and generation profiles. The main objective is to analyze the potential for self-consumption optimization and the role of battery storage in reducing grid dependence and renewable energy curtailment. In conclusion, the proposed storage solution proves to be technically viable, financially sound, and environmentally beneficial. The project has successfully met its objectives, thanks to a robust analytical approach, iterative optimization, and the development of a practical tool to enhance decision-making. The results obtained lay a solid foundation for the real-world implementation of BESS in industrial renewable integration projects like the one analyzed at SAICA. The study will assess the technical and economic v</w:t>
      </w:r>
    </w:p>
    <w:p>
      <w:pPr/>
      <w:r>
        <w:rPr>
          <w:b/>
        </w:rPr>
        <w:t>POSSIBLE 2024:</w:t>
      </w:r>
      <w:r>
        <w:t xml:space="preserve"> Overcoming the central planner approach – Bilevel optimization of the European energy transition — https://doi.org/10.1016/j.isci.2024.110168</w:t>
      </w:r>
    </w:p>
    <w:p>
      <w:pPr/>
      <w:r>
        <w:rPr>
          <w:b/>
        </w:rPr>
        <w:t>Shared claim-specific concepts:</w:t>
      </w:r>
      <w:r>
        <w:t xml:space="preserve"> central, energy, system, find; EU scope visible. This is a provisional connection, not an outcome finding.</w:t>
      </w:r>
    </w:p>
    <w:p>
      <w:pPr>
        <w:pStyle w:val="SourceNote"/>
      </w:pPr>
      <w:r>
        <w:rPr>
          <w:b/>
        </w:rPr>
        <w:t>Available abstract (not full text):</w:t>
      </w:r>
      <w:r>
        <w:t xml:space="preserve"> The energy transition is a multinational challenge to mitigate climate change, with a joint reduction target for greenhouse gas emissions. Simultaneously, each country is interested in minimizing its own energy supply cost. Still, most energy system models neglect national interests when identifying cost-optimal transition pathways. We design the European energy system transition until 2050, considering competition between countries in a shared electricity and carbon market using bilevel optimization. We find that national objectives substantially impact the transition pathway: Compared to the model solved using the common centralized optimization, the overall installed capacity increases by just 3% when including national interests. However, the distribution of the installed capacity changes dramatically by more than 40% in most countries. Our results underline the risk of miscalculating the need for national capacity expansion when neglecting stakeholder representation in energy system models and demonstrate the need for cooperation for an efficient energy transition.</w:t>
      </w:r>
    </w:p>
    <w:p>
      <w:pPr/>
      <w:r>
        <w:rPr>
          <w:b/>
        </w:rPr>
        <w:t>POSSIBLE 2024:</w:t>
      </w:r>
      <w:r>
        <w:t xml:space="preserve"> Study of the feasibility of energy transition policies applicable in Colombia based on the analysis of international references. — https://openalex.org/W7133450036</w:t>
      </w:r>
    </w:p>
    <w:p>
      <w:pPr/>
      <w:r>
        <w:rPr>
          <w:b/>
        </w:rPr>
        <w:t>Shared claim-specific concepts:</w:t>
      </w:r>
      <w:r>
        <w:t xml:space="preserve"> based, energy, policies; EU scope not established. This is a provisional connection, not an outcome finding.</w:t>
      </w:r>
    </w:p>
    <w:p>
      <w:pPr>
        <w:pStyle w:val="SourceNote"/>
      </w:pPr>
      <w:r>
        <w:rPr>
          <w:b/>
        </w:rPr>
        <w:t>Available abstract (not full text):</w:t>
      </w:r>
      <w:r>
        <w:t xml:space="preserve"> La transición energética es cada día una realidad más cercana a la nuestra razón por la cual en 2015 se firmó el acuerdo de Paris, el cual, propone llegar a la carbono neutralidad para el año 2050 manteniendo el aumento de la temperatura hasta un nivel máximo de 1.5°C por encima de los niveles preindustriales como su objetivo principal. En la COP 27 realizada el año 2022, 7 años después de la firma del acuerdo los balances realizados por la ONU no muestran resultados alentadores, con la tendencia global actual para el año 2030 se registrarían temperaturas 10% mayores a las registradas en el año 2010. Situación crítica que obliga a intensificar los esfuerzos de manera global, en este orden de ideas y entendiendo que los contextos para llevar a cabo transiciones exitosas son diferentes para cada país, se intentan identificar diferentes estrategias y estructuras que se acomoden al contexto colombiano, partiendo del estudio de referentes internacionales con modelos de transición energética avanzados.</w:t>
      </w:r>
    </w:p>
    <w:p>
      <w:pPr/>
      <w:r>
        <w:rPr>
          <w:b/>
        </w:rPr>
        <w:t>POSSIBLE 2024:</w:t>
      </w:r>
      <w:r>
        <w:t xml:space="preserve"> Impacts of large-scale deployment of vertical bifacial photovoltaics on European electricity market dynamics — https://doi.org/10.1038/s41467-024-50762-7</w:t>
      </w:r>
    </w:p>
    <w:p>
      <w:pPr/>
      <w:r>
        <w:rPr>
          <w:b/>
        </w:rPr>
        <w:t>Shared claim-specific concepts:</w:t>
      </w:r>
      <w:r>
        <w:t xml:space="preserve"> energy, system, policies, introduced; EU scope visible. This is a provisional connection, not an outcome finding.</w:t>
      </w:r>
    </w:p>
    <w:p>
      <w:pPr>
        <w:pStyle w:val="SourceNote"/>
      </w:pPr>
      <w:r>
        <w:rPr>
          <w:b/>
        </w:rPr>
        <w:t>Available abstract (not full text):</w:t>
      </w:r>
      <w:r>
        <w:t xml:space="preserve"> Self-sufficiency, climate change and increasing geopolitical risks have driven energy policies to make renewable energy sources dominant in the power production portfolios. The initial boom in the mid-2000s of global photovoltaic installations demonstrated the feasibility of the ambitious renewable energy targets. However, this rapid scale-up has introduced challenges, including price volatility and system integration issues. This communication calls the attention to these emerging challenges and offers quantitative insights on how rapid adoption of a more diversified photovoltaics deployment strategies can mitigate price volatilities, reduce fossil fuel dependence and steer Europe towards a forward-thinking sustainable energy pathway. The analysis reveals that as innovative bifacial photovoltaic systems are incorporated on a large-scale disruptive scenario, four main patterns emerge: economic value of solar production increases, base-load electricity price decreases, sun-rich countries expand their solar contributions, whereas nations with ample grid interconnections enhance their energy imports from neighbouring countries. It also underscores the importance of maintaining photovoltaics an attractive option for energy investors and traders in the future. Establishing this groundwork is critical since a successful integration of large-scale solar systems contributing to decreas</w:t>
      </w:r>
    </w:p>
    <w:p>
      <w:pPr/>
      <w:r>
        <w:rPr>
          <w:b/>
        </w:rPr>
        <w:t>POSSIBLE 2024:</w:t>
      </w:r>
      <w:r>
        <w:t xml:space="preserve"> THE EUROPEAN UNION'S GLOBAL GATEWAY IN THE FRAMEWORK OF SINO-EUROPEAN RELATIONS — https://doi.org/10.51799/2763-8685v4n2014</w:t>
      </w:r>
    </w:p>
    <w:p>
      <w:pPr/>
      <w:r>
        <w:rPr>
          <w:b/>
        </w:rPr>
        <w:t>Shared claim-specific concepts:</w:t>
      </w:r>
      <w:r>
        <w:t xml:space="preserve"> based, system, policies; EU scope visible. This is a provisional connection, not an outcome finding.</w:t>
      </w:r>
    </w:p>
    <w:p>
      <w:pPr>
        <w:pStyle w:val="SourceNote"/>
      </w:pPr>
      <w:r>
        <w:rPr>
          <w:b/>
        </w:rPr>
        <w:t>Available abstract (not full text):</w:t>
      </w:r>
      <w:r>
        <w:t xml:space="preserve"> This article aims to analyze the European Union proposal called Global Gateway, a new instrument reflecting Brussels’ medium-term strategy to compete with the Belt and Road Initiative of the People’s Republic of China. This analysis will focus on how the Global Gateway not only represents an economic and geopolitical response to the Chinese initiative, but also how it embodies the promotion of EU values and democracy at the global level. It will begin by examining the historical positions that the European Union has been defending with regard to the Asian country, with a geopolitical and geoeconomic analysis of the relations between the two actors. In light of the paradigm shift in these relationships as of 2019, the project that gives name to this document is studied in depth. Based on a thematic review of existing literature, it will analyze how Brussels uses the programme to disseminate its principles and values through cooperation and development policies. Finally, the implications of the Global Gateway in the current international system and its possible collision with the aforementioned Chinese project will be observed, paying particular attention to how this instrument influences global competition for leadership in infrastructure and connectivity and how it can serve as a vehicle for the globalization of European values, promoting democracy and respect for human rights </w:t>
      </w:r>
    </w:p>
    <w:p>
      <w:pPr/>
      <w:r>
        <w:rPr>
          <w:b/>
        </w:rPr>
        <w:t>POSSIBLE 2024:</w:t>
      </w:r>
      <w:r>
        <w:t xml:space="preserve"> Trends in Hybrid Renewable Energy System (HRES) Applications: A Review — https://doi.org/10.3390/en17112578</w:t>
      </w:r>
    </w:p>
    <w:p>
      <w:pPr/>
      <w:r>
        <w:rPr>
          <w:b/>
        </w:rPr>
        <w:t>Shared claim-specific concepts:</w:t>
      </w:r>
      <w:r>
        <w:t xml:space="preserve"> based, energy, system; EU scope not established. This is a provisional connection, not an outcome finding.</w:t>
      </w:r>
    </w:p>
    <w:p>
      <w:pPr>
        <w:pStyle w:val="SourceNote"/>
      </w:pPr>
      <w:r>
        <w:rPr>
          <w:b/>
        </w:rPr>
        <w:t>Available abstract (not full text):</w:t>
      </w:r>
      <w:r>
        <w:t xml:space="preserve"> Microgrids and hybrid renewable energy systems play a crucial role in today’s energy transition. They enable local power generation and distribution, reducing dependence on large centralized infrastructures, can operate independently or connected to a grid, and can provide backup power, thus increasing system resilience. In addition, they combine multiple renewable energy sources, such as solar, wind, hydro, and biomass, to maximize the efficiency and reliability of the supply, and are also adaptable to location-specific conditions, taking advantage of locally available energy resources and reducing the need for energy imports. Moreover, they contribute to decarbonization goals by offering a cleaner and more sustainable alternative. In this article, a documentary review is presented on the interaction of Homer Pro software 3.16.2 (July 2023), used for the design of hybrid renewable energy systems (HRES), with other methods of optimization or sizing. Allusion is made to the type of architecture in the most prominent clean and fossil source configurations, the levelized cost, net annual cost, and maintenance and capital investment cost. A comparison is made among the works reported in the last five years regarding the use of this software tool, based on load demand, geographical area, renewable energy sources, fossil sources, and objective functions, applied to the educational, r</w:t>
      </w:r>
    </w:p>
    <w:p>
      <w:pPr>
        <w:pStyle w:val="Heading2"/>
      </w:pPr>
      <w:r>
        <w:t>634. The role of transmission and energy storage in European decarbonization towards 2050</w:t>
      </w:r>
    </w:p>
    <w:p>
      <w:pPr>
        <w:pStyle w:val="SourceNote"/>
      </w:pPr>
      <w:r>
        <w:rPr>
          <w:b/>
        </w:rPr>
        <w:t>Original source (2021):</w:t>
      </w:r>
      <w:r>
        <w:t xml:space="preserve"> https://doi.org/10.1016/j.energy.2021.122159</w:t>
      </w:r>
    </w:p>
    <w:p>
      <w:pPr/>
      <w:r>
        <w:t>Original wording (abstract; indexed_source_text_not_full_document_verified): It is demonstrated that the European power sector can be decarbonised with a 65%–70% share of the electricity supply from wind power and PV in 2050. This paper presents analyses of the development of the European electricity sector that is in line with the climate and energy targets of the European Union for 2030 and 2050.</w:t>
      </w:r>
    </w:p>
    <w:p>
      <w:pPr/>
      <w:r>
        <w:rPr>
          <w:b/>
        </w:rPr>
        <w:t>POSSIBLE 2026:</w:t>
      </w:r>
      <w:r>
        <w:t xml:space="preserve"> Synthetic Impersonation in the Power Sector — https://doi.org/10.33445/sds.2026.16.4.11</w:t>
      </w:r>
    </w:p>
    <w:p>
      <w:pPr/>
      <w:r>
        <w:rPr>
          <w:b/>
        </w:rPr>
        <w:t>Shared claim-specific concepts:</w:t>
      </w:r>
      <w:r>
        <w:t xml:space="preserve"> power, sector, analyses; EU scope not established. This is a provisional connection, not an outcome finding.</w:t>
      </w:r>
    </w:p>
    <w:p>
      <w:pPr>
        <w:pStyle w:val="SourceNote"/>
      </w:pPr>
      <w:r>
        <w:rPr>
          <w:b/>
        </w:rPr>
        <w:t>Available abstract (not full text):</w:t>
      </w:r>
      <w:r>
        <w:t xml:space="preserve"> Purpose. This study examines synthetic impersonation in the power sector as a decision-security problem, focusing on the conditions under which manipulated communication may lead to unsafe operational decisions and on the organisational safeguards associated with safer behaviour. Method. An exploratory, quasi-experimental, scenario-based design was applied. The study comprised 24 attack scenarios, 24 communication stimuli, 8 operational command paths, an 8-layer security control matrix, and a supplier dependency layer. The analytical dataset contained 744 decision observations nested within 31 participants across four procedural conditions. Descriptive and comparative analyses were supplemented with participant-clustered generalized estimating equation modelling. Findings. Unsafe responses occurred in 26.34% of observations. The unsafe response rate decreased descriptively from 29.03% under Baseline conditions to 23.66% under Full Layered Control, although between-condition differences were not statistically significant. Unsafe responses were concentrated in selected high-consequence scenarios, particularly grid topology disclosure, hot-work approval, and black-start initiation. Unsafe decisions were associated with shorter decision times, whereas perceived authenticity did not meaningfully distinguish safe from unsafe outcomes. Theoretical implications. The findings support ex</w:t>
      </w:r>
    </w:p>
    <w:p>
      <w:pPr/>
      <w:r>
        <w:rPr>
          <w:b/>
        </w:rPr>
        <w:t>POSSIBLE 2026:</w:t>
      </w:r>
      <w:r>
        <w:t xml:space="preserve"> Analysing drivers and interdependencies in European electricity markets using XAI — https://openalex.org/W7165218583</w:t>
      </w:r>
    </w:p>
    <w:p>
      <w:pPr/>
      <w:r>
        <w:rPr>
          <w:b/>
        </w:rPr>
        <w:t>Shared claim-specific concepts:</w:t>
      </w:r>
      <w:r>
        <w:t xml:space="preserve"> demonstrated, power, share, electricity, energy; EU scope visible. This is a provisional connection, not an outcome finding.</w:t>
      </w:r>
    </w:p>
    <w:p>
      <w:pPr>
        <w:pStyle w:val="SourceNote"/>
      </w:pPr>
      <w:r>
        <w:rPr>
          <w:b/>
        </w:rPr>
        <w:t>Available abstract (not full text):</w:t>
      </w:r>
      <w:r>
        <w:t xml:space="preserve"> Electricity markets are inherently complex systems characterised by strong nonlinearities, high-dimensional interactions, and increasing interdependence across regions. While deep neural networks (DNNs) have demonstrated strong predictive capabilities for electricity prices, their lack of interpretability limits their usefulness for understanding the underlying drivers of price formation. This paper addresses this gap by combining DNN models with explainable artificial intelligence (XAI) techniques to analyse the determinants of electricity prices across 39 European bidding zones. We employ SHAP (SHapley Additive exPlanations) to quantify feature contributions and apply and extend SSHAP, an aggregation framework to improve interpretability in high-dimensional settings. The analysis identifies that renewable energy sources, particularly solar, play a disproportionately important role in price formation despite their lower share in total power generation. Gas prices remain a dominant and consistent driver across electricity markets, while interconnections significantly shape price dynamics, highlighting the strong interdependence of European electricity systems. In addition, a synthetic EU-wide electricity market is constructed to explore the counterfactual scenario of a fully integrated market with a single price.</w:t>
      </w:r>
    </w:p>
    <w:p>
      <w:pPr/>
      <w:r>
        <w:rPr>
          <w:b/>
        </w:rPr>
        <w:t>POSSIBLE 2026:</w:t>
      </w:r>
      <w:r>
        <w:t xml:space="preserve"> Analysing drivers and interdependencies in European electricity markets using XAI — https://doi.org/10.48550/arxiv.2606.19118</w:t>
      </w:r>
    </w:p>
    <w:p>
      <w:pPr/>
      <w:r>
        <w:rPr>
          <w:b/>
        </w:rPr>
        <w:t>Shared claim-specific concepts:</w:t>
      </w:r>
      <w:r>
        <w:t xml:space="preserve"> demonstrated, power, share, electricity, energy; EU scope visible. This is a provisional connection, not an outcome finding.</w:t>
      </w:r>
    </w:p>
    <w:p>
      <w:pPr>
        <w:pStyle w:val="SourceNote"/>
      </w:pPr>
      <w:r>
        <w:rPr>
          <w:b/>
        </w:rPr>
        <w:t>Available abstract (not full text):</w:t>
      </w:r>
      <w:r>
        <w:t xml:space="preserve"> Electricity markets are inherently complex systems characterised by strong nonlinearities, high-dimensional interactions, and increasing interdependence across regions. While deep neural networks (DNNs) have demonstrated strong predictive capabilities for electricity prices, their lack of interpretability limits their usefulness for understanding the underlying drivers of price formation. This paper addresses this gap by combining DNN models with explainable artificial intelligence (XAI) techniques to analyse the determinants of electricity prices across 39 European bidding zones. We employ SHAP (SHapley Additive exPlanations) to quantify feature contributions and apply and extend SSHAP, an aggregation framework to improve interpretability in high-dimensional settings. The analysis identifies that renewable energy sources, particularly solar, play a disproportionately important role in price formation despite their lower share in total power generation. Gas prices remain a dominant and consistent driver across electricity markets, while interconnections significantly shape price dynamics, highlighting the strong interdependence of European electricity systems. In addition, a synthetic EU-wide electricity market is constructed to explore the counterfactual scenario of a fully integrated market with a single price.</w:t>
      </w:r>
    </w:p>
    <w:p>
      <w:pPr/>
      <w:r>
        <w:rPr>
          <w:b/>
        </w:rPr>
        <w:t>POSSIBLE 2026:</w:t>
      </w:r>
      <w:r>
        <w:t xml:space="preserve"> Assessing the Market Value of Power Forecasting of Hybrid Power Plants in the Iberian Electricity Market — https://doi.org/10.1109/eem68581.2026.11589605</w:t>
      </w:r>
    </w:p>
    <w:p>
      <w:pPr/>
      <w:r>
        <w:rPr>
          <w:b/>
        </w:rPr>
        <w:t>Shared claim-specific concepts:</w:t>
      </w:r>
      <w:r>
        <w:t xml:space="preserve"> power, share, electricity, wind, energy, targets; EU scope visible. This is a provisional connection, not an outcome finding.</w:t>
      </w:r>
    </w:p>
    <w:p>
      <w:pPr>
        <w:pStyle w:val="SourceNote"/>
      </w:pPr>
      <w:r>
        <w:rPr>
          <w:b/>
        </w:rPr>
        <w:t>Available abstract (not full text):</w:t>
      </w:r>
      <w:r>
        <w:t xml:space="preserve"> ABSTRACT: This study evaluates the technical and economic performance of wind power plants hybridised with solar photovoltaic (PV) under two 2030 Iberian electricity market scenarios dominated by renewable energy, developed within the Man0EUvRE project. A power forecasting model was optimised to maximise their market value, considering participation in both day-ahead and balancing markets. Compared to wind-only power plants, hybridisation improves forecast accuracy due to the complementary generation profiles of wind and solar PV. As a result, revenue losses due to imbalance penalties decrease by 1528%, enabling the prices captured to increase by up to 6%. The hybrid configurations also achieved the highest market remuneration. However, as the share of low marginal cost technologies increases in the electricity markets, captured prices are expected to decline. These results demonstrate the benefits of hybridising the existing wind power plants, which can provide a short-term and efficient solution to support the ambitious European decarbonisation targets while enhancing both operational performance and their market value.</w:t>
      </w:r>
    </w:p>
    <w:p>
      <w:pPr/>
      <w:r>
        <w:rPr>
          <w:b/>
        </w:rPr>
        <w:t>POSSIBLE 2026:</w:t>
      </w:r>
      <w:r>
        <w:t xml:space="preserve"> Practices and Mechanisms of Payment for Electricity Transmission and Distribution Services in the European Union — https://openalex.org/W7168440883</w:t>
      </w:r>
    </w:p>
    <w:p>
      <w:pPr/>
      <w:r>
        <w:rPr>
          <w:b/>
        </w:rPr>
        <w:t>Shared claim-specific concepts:</w:t>
      </w:r>
      <w:r>
        <w:t xml:space="preserve"> power, sector, share, electricity, energy, union; EU scope visible. This is a provisional connection, not an outcome finding.</w:t>
      </w:r>
    </w:p>
    <w:p>
      <w:pPr>
        <w:pStyle w:val="SourceNote"/>
      </w:pPr>
      <w:r>
        <w:rPr>
          <w:b/>
        </w:rPr>
        <w:t>Available abstract (not full text):</w:t>
      </w:r>
      <w:r>
        <w:t xml:space="preserve"> The paper examines approaches to the design of tariffs for electricity transmission and distribution services in the European Union (EU) countries. Special attention is paid to the impact of the EU legal and regulatory framework and market integration processes on the structure and mechanisms of payment for network services. Based on the analysis of European practice, a number of conclusions are drawn that may be relevant for further improvement of tariff policy in the power sector. Background. In the context of the formation of a unified energy market in the EU, the issues of efficient operation of electricity transmission and distribution systems are of particular importance. The development of integrated energy systems, the increasing share of Renewable Energy Sources (RES), and the need to ensure the reliability of power supply require the improvement of mechanisms for paying for network services. Materials and Methods. The legal and regulatory framework, the used tariff formation models, are examined, and a comparative analysis of the approaches applied in various EU member states is conducted. Results. As part of this study, a comprehensive analysis of practices and mechanisms for payment of electricity transmission and distribution services was carried out, on the basis of which the main trends and issues in the field of tariff setting were identified. Conclusions. The c</w:t>
      </w:r>
    </w:p>
    <w:p>
      <w:pPr/>
      <w:r>
        <w:rPr>
          <w:b/>
        </w:rPr>
        <w:t>POSSIBLE 2026:</w:t>
      </w:r>
      <w:r>
        <w:t xml:space="preserve"> Scalable Optimisation and Learning Frameworks for Aggregator Participation in European Electricity Markets — https://openalex.org/W7219418485</w:t>
      </w:r>
    </w:p>
    <w:p>
      <w:pPr/>
      <w:r>
        <w:rPr>
          <w:b/>
        </w:rPr>
        <w:t>Shared claim-specific concepts:</w:t>
      </w:r>
      <w:r>
        <w:t xml:space="preserve"> power, electricity, energy, union; EU scope visible. This is a provisional connection, not an outcome finding.</w:t>
      </w:r>
    </w:p>
    <w:p>
      <w:pPr>
        <w:pStyle w:val="SourceNote"/>
      </w:pPr>
      <w:r>
        <w:rPr>
          <w:b/>
        </w:rPr>
        <w:t>Available abstract (not full text):</w:t>
      </w:r>
      <w:r>
        <w:t xml:space="preserve"> The transition towards renewable-dominated power systems underscores the critical importance of demand-side flexibility, with aggregators increasingly recognised by European Union regulators as key intermediaries between prosumers and electricity markets. However, the practical implementation of aggregator business models in European markets remains hindered by three major challenges: (i) the computational burden of complex bid structures such as block orders, (ii) scalable modelling of prosumer price responsiveness, and (iii) robust uncertainty quantification for flexibility forecasts that meet compliance standards such as P90 or 90% confidence levels. This thesis, jointly funded by The University of Adelaide and Watts A/S (Denmark), addresses these challenges by advancing tractable reformulations and applying machine learning techniques across these domains. First, tractable mathematical formulations for block orders are proposed, tailored to aggregator participation in day-ahead markets. The formulations overcome the limitations of the state-of-the-art methods, enhancing scalability and applicability. Second, an optimisation with a constraint learning framework is introduced to capture prosumer responsiveness, embedding deep neural networks based on Rectified Linear Unit (ReLU) as surrogate models within aggregator bidding problems. A novel linear programming relaxation for </w:t>
      </w:r>
    </w:p>
    <w:p>
      <w:pPr/>
      <w:r>
        <w:rPr>
          <w:b/>
        </w:rPr>
        <w:t>POSSIBLE 2026:</w:t>
      </w:r>
      <w:r>
        <w:t xml:space="preserve"> The electricity system value of the local acceptance of onshore wind in Europe — https://openalex.org/W7148177161</w:t>
      </w:r>
    </w:p>
    <w:p>
      <w:pPr/>
      <w:r>
        <w:rPr>
          <w:b/>
        </w:rPr>
        <w:t>Shared claim-specific concepts:</w:t>
      </w:r>
      <w:r>
        <w:t xml:space="preserve"> power, electricity, wind, energy; EU scope visible. This is a provisional connection, not an outcome finding.</w:t>
      </w:r>
    </w:p>
    <w:p>
      <w:pPr>
        <w:pStyle w:val="SourceNote"/>
      </w:pPr>
      <w:r>
        <w:rPr>
          <w:b/>
        </w:rPr>
        <w:t>Available abstract (not full text):</w:t>
      </w:r>
      <w:r>
        <w:t xml:space="preserve"> The large-scale deployment of wind power is central to Europe`s energy transition but faces challenges due to its social and environmental impacts on communities. Here we assess how the tolerance of local stakeholders to such impacts translates across spatial scales to shape the cost and design of the continent`s net-zero electricity system using a soft-linked modelling framework. We find that lower impact tolerance can reduce the role of onshore wind in Europe reaching net-zero by up to 84% relative to a future where wind enjoys higher acceptance, with other low carbon sources needing to be scaled up to compensate. This translates into total European electricity system costs increasing by between 2-14% while some countries see costs escalating by 20% or more. Our results show that the local acceptance of onshore wind is a key structural driver of the system and highlight the system value of policies to promote it.</w:t>
      </w:r>
    </w:p>
    <w:p>
      <w:pPr/>
      <w:r>
        <w:rPr>
          <w:b/>
        </w:rPr>
        <w:t>POSSIBLE 2026:</w:t>
      </w:r>
      <w:r>
        <w:t xml:space="preserve"> Differentiated impacts of climate physical risks on the Indian power sector — https://doi.org/10.1016/j.isci.2026.115697</w:t>
      </w:r>
    </w:p>
    <w:p>
      <w:pPr/>
      <w:r>
        <w:rPr>
          <w:b/>
        </w:rPr>
        <w:t>Shared claim-specific concepts:</w:t>
      </w:r>
      <w:r>
        <w:t xml:space="preserve"> power, sector, presents, climate; EU scope not established. This is a provisional connection, not an outcome finding.</w:t>
      </w:r>
    </w:p>
    <w:p>
      <w:pPr>
        <w:pStyle w:val="SourceNote"/>
      </w:pPr>
      <w:r>
        <w:rPr>
          <w:b/>
        </w:rPr>
        <w:t>Available abstract (not full text):</w:t>
      </w:r>
      <w:r>
        <w:t xml:space="preserve"> As India faces decarbonization and climate hazards, analyzing financial implications of climate-related risks for power sector is critical. This study presents a forward-looking, location focused, technology-wise analysis of physical climate risks for Indian power companies using novel asset-level methodologies. To assess physical risks, particularly flood exposure, we use spatially explicit modeling across 424 power-generating assets representing over 90% of India's capacity. Monte Carlo simulations reveal that without protective infrastructure, average losses exceed 19%, with 99th percentile tail risks surpassing 24%. However, investment in 100-year flood protection reduces average losses to under 1% and tail risks to below 2%. Results show that the effectiveness of risk mitigation varies significantly by technology and geography, with coal and gas assets benefiting most from protective investments, and coastal regions like Kerala and Gujarat showing highest vulnerabilities. This study provides a comprehensive empirical quantification of physical climate risks for Indian power firms at asset levels.</w:t>
      </w:r>
    </w:p>
    <w:p>
      <w:pPr/>
      <w:r>
        <w:rPr>
          <w:b/>
        </w:rPr>
        <w:t>POSSIBLE 2026:</w:t>
      </w:r>
      <w:r>
        <w:t xml:space="preserve"> Independent Expert Review of the Work "Digital Transformation of Ukraine's Electric Power Sector and Its Integration into the European Energy Area" — https://doi.org/10.5281/zenodo.22795337</w:t>
      </w:r>
    </w:p>
    <w:p>
      <w:pPr/>
      <w:r>
        <w:rPr>
          <w:b/>
        </w:rPr>
        <w:t>Shared claim-specific concepts:</w:t>
      </w:r>
      <w:r>
        <w:t xml:space="preserve"> power, sector, energy; EU scope visible. This is a provisional connection, not an outcome finding.</w:t>
      </w:r>
    </w:p>
    <w:p>
      <w:pPr>
        <w:pStyle w:val="SourceNote"/>
      </w:pPr>
      <w:r>
        <w:rPr>
          <w:b/>
        </w:rPr>
        <w:t>Available abstract (not full text):</w:t>
      </w:r>
      <w:r>
        <w:t xml:space="preserve"> This independent expert review examines the correspondence between the documented scientific and technological results of the work “Digital Transformation of Ukraine’s Electric Power Sector and Its Integration into the European Energy Area”, nominated for the 2026 Boris Paton National Prize of Ukraine, and the system-level scope of its claims concerning digital transformation and European integration. The review distinguishes between technological results, integrated operational capabilities, verified system capabilities, and system-level outcomes. It applies the verification chain: technology → deployment → integration → functional readiness → operational capability → performance during relevant disturbances → verified system capability → system-level result → economic attribution. Particular attention is given to the role of WAMS/PMU and the Regina-Ch system; the historical and technical trajectory from the synchronous operation of the Burshtyn Island with UCTE in 2002–2003 to the synchronisation of the Ukrainian power system with Continental Europe in 2022 and completion of the synchronisation project in 2023; WAMS performance during major system disturbances; and the reproducibility and causal attribution of the claimed economic effect exceeding UAH 16.2 billion. The review concludes that the published materials demonstrate a substantial scientific and technological contrib</w:t>
      </w:r>
    </w:p>
    <w:p>
      <w:pPr/>
      <w:r>
        <w:rPr>
          <w:b/>
        </w:rPr>
        <w:t>POSSIBLE 2026:</w:t>
      </w:r>
      <w:r>
        <w:t xml:space="preserve"> Independent Expert Review of the Work "Digital Transformation of Ukraine's Electric Power Sector and Its Integration into the European Energy Area" — https://doi.org/10.5281/zenodo.22795338</w:t>
      </w:r>
    </w:p>
    <w:p>
      <w:pPr/>
      <w:r>
        <w:rPr>
          <w:b/>
        </w:rPr>
        <w:t>Shared claim-specific concepts:</w:t>
      </w:r>
      <w:r>
        <w:t xml:space="preserve"> power, sector, energy; EU scope visible. This is a provisional connection, not an outcome finding.</w:t>
      </w:r>
    </w:p>
    <w:p>
      <w:pPr>
        <w:pStyle w:val="SourceNote"/>
      </w:pPr>
      <w:r>
        <w:rPr>
          <w:b/>
        </w:rPr>
        <w:t>Available abstract (not full text):</w:t>
      </w:r>
      <w:r>
        <w:t xml:space="preserve"> This independent expert review examines the correspondence between the documented scientific and technological results of the work “Digital Transformation of Ukraine’s Electric Power Sector and Its Integration into the European Energy Area”, nominated for the 2026 Boris Paton National Prize of Ukraine, and the system-level scope of its claims concerning digital transformation and European integration. The review distinguishes between technological results, integrated operational capabilities, verified system capabilities, and system-level outcomes. It applies the verification chain: technology → deployment → integration → functional readiness → operational capability → performance during relevant disturbances → verified system capability → system-level result → economic attribution. Particular attention is given to the role of WAMS/PMU and the Regina-Ch system; the historical and technical trajectory from the synchronous operation of the Burshtyn Island with UCTE in 2002–2003 to the synchronisation of the Ukrainian power system with Continental Europe in 2022 and completion of the synchronisation project in 2023; WAMS performance during major system disturbances; and the reproducibility and causal attribution of the claimed economic effect exceeding UAH 16.2 billion. The review concludes that the published materials demonstrate a substantial scientific and technological contrib</w:t>
      </w:r>
    </w:p>
    <w:p>
      <w:pPr/>
      <w:r>
        <w:rPr>
          <w:b/>
        </w:rPr>
        <w:t>POSSIBLE 2026:</w:t>
      </w:r>
      <w:r>
        <w:t xml:space="preserve"> Bidding Aggregated Flexibility in European Electricity Auctions — https://doi.org/10.1109/tempr.2026.3714683</w:t>
      </w:r>
    </w:p>
    <w:p>
      <w:pPr/>
      <w:r>
        <w:rPr>
          <w:b/>
        </w:rPr>
        <w:t>Shared claim-specific concepts:</w:t>
      </w:r>
      <w:r>
        <w:t xml:space="preserve"> power, electricity, energy; EU scope visible. This is a provisional connection, not an outcome finding.</w:t>
      </w:r>
    </w:p>
    <w:p>
      <w:pPr>
        <w:pStyle w:val="SourceNote"/>
      </w:pPr>
      <w:r>
        <w:rPr>
          <w:b/>
        </w:rPr>
        <w:t>Available abstract (not full text):</w:t>
      </w:r>
      <w:r>
        <w:t xml:space="preserve"> Bidding flexibility in day-ahead and intraday auctions would enable decentralized flexible resources, such as electric vehicles and heat pumps, to efficiently align their consumption with the intermittent generation of renewable energy. However, because these resources are individually too small to participate in those auctions directly, an aggregator (e.g., a utility) must act on their behalf. This requires aggregating many decentralized resources, which is a computationally challenging task. In this paper, we propose a computationally efficient and highly accurate method that is readily applicable to European day-ahead and intraday auctions. Distinct from existing methods, we aggregate only economically relevant power profiles, identified through price forecasts. The resulting flexibility is then conveyed to the market operator via exclusive groups of block bids. We evaluate our method for a utility serving the Swiss town of Losone, where flexibility from multiple heat pumps distributed across the grid must be aggregated and bid in the Swiss day-ahead auction. Results show that our method aggregates accurately, achieving 98% of the theoretically possible cost savings. This aggregation accuracy remains stable even as the number of heat pumps increases, while computation time grows only linearly, demonstrating strong scalability.</w:t>
      </w:r>
    </w:p>
    <w:p>
      <w:pPr/>
      <w:r>
        <w:rPr>
          <w:b/>
        </w:rPr>
        <w:t>POSSIBLE 2025:</w:t>
      </w:r>
      <w:r>
        <w:t xml:space="preserve"> Decadal Prediction for the European Energy Sector — https://doi.org/10.1002/met.70054</w:t>
      </w:r>
    </w:p>
    <w:p>
      <w:pPr/>
      <w:r>
        <w:rPr>
          <w:b/>
        </w:rPr>
        <w:t>Shared claim-specific concepts:</w:t>
      </w:r>
      <w:r>
        <w:t xml:space="preserve"> power, sector, share, electricity, wind, climate; EU scope visible. This is a provisional connection, not an outcome finding.</w:t>
      </w:r>
    </w:p>
    <w:p>
      <w:pPr>
        <w:pStyle w:val="SourceNote"/>
      </w:pPr>
      <w:r>
        <w:rPr>
          <w:b/>
        </w:rPr>
        <w:t>Available abstract (not full text):</w:t>
      </w:r>
      <w:r>
        <w:t xml:space="preserve"> ABSTRACT The timescale of decadal climate predictions, from a year‐ahead up to a decade, is an important planning horizon for stakeholders in the energy sector. With power systems transitioning towards a greater share of renewable energy sources, these systems become more sensitive to the variability of weather and climate, thus necessitating the provision of long‐range climate predictions to ensure effective planning and operation. As decadal predictions sample both the internal variability of the climate and the externally forced response, these forecasts potentially provide useful information for the upcoming decade. Here, we show for the first time that it is possible to make skillful decadal predictions for a range of energy sector relevant climate variables over the European region. We apply post‐processing techniques and identify skill in certain regions during both summer and winter for temperature, solar irradiance, and precipitation. We also show significant skill for 850 hPa zonal wind speed and the North Atlantic Oscillation during the extended winter period (October–March). We demonstrate how these forecasts can be used for important energy indicators, such as offshore wind capacity factors, comparing the skill of direct model output (using forecast variables directly) and pattern‐based approaches (e.g., using the NAO index). We find significant skill for predictio</w:t>
      </w:r>
    </w:p>
    <w:p>
      <w:pPr>
        <w:pStyle w:val="Heading2"/>
      </w:pPr>
      <w:r>
        <w:t>635. Towards net zero CO2 in 2050: An emission reduction pathway for organic soils in Germany</w:t>
      </w:r>
    </w:p>
    <w:p>
      <w:pPr>
        <w:pStyle w:val="SourceNote"/>
      </w:pPr>
      <w:r>
        <w:rPr>
          <w:b/>
        </w:rPr>
        <w:t>Original source (2021):</w:t>
      </w:r>
      <w:r>
        <w:t xml:space="preserve"> https://doi.org/10.19189/map.2020.snpg.sta.1951</w:t>
      </w:r>
    </w:p>
    <w:p>
      <w:pPr/>
      <w:r>
        <w:t>Original wording (abstract; indexed_source_text_not_full_document_verified): The more gradual pathway 1 requires the following interim (2030, 2040) and ultimate (2050) milestones: Cropland use stopped and all Cropland converted to Grassland by 2030; Water tables raised to the soil surface on 15 % / 60 % / 100 % of all Grassland, on 50 % / 75 % / 100 % of all Forest land, and ultimately on 2/3 of all Settlements and on 100 % of all Wetlands. Also a more direct pathway 2 without interim ‘moist’ water tables and the climate effect (radiative forcing) of different scenarios is presented.</w:t>
      </w:r>
    </w:p>
    <w:p>
      <w:pPr/>
      <w:r>
        <w:rPr>
          <w:b/>
        </w:rPr>
        <w:t>POSSIBLE 2026:</w:t>
      </w:r>
      <w:r>
        <w:t xml:space="preserve"> Energy pathway variety and the progress of the energy transition in European countries — https://doi.org/10.48550/arxiv.2609.09607</w:t>
      </w:r>
    </w:p>
    <w:p>
      <w:pPr/>
      <w:r>
        <w:rPr>
          <w:b/>
        </w:rPr>
        <w:t>Shared claim-specific concepts:</w:t>
      </w:r>
      <w:r>
        <w:t xml:space="preserve"> pathway, also, direct; EU scope visible. This is a provisional connection, not an outcome finding.</w:t>
      </w:r>
    </w:p>
    <w:p>
      <w:pPr>
        <w:pStyle w:val="SourceNote"/>
      </w:pPr>
      <w:r>
        <w:rPr>
          <w:b/>
        </w:rPr>
        <w:t>Available abstract (not full text):</w:t>
      </w:r>
      <w:r>
        <w:t xml:space="preserve"> The integration of new energy forms into existing energy infrastructure has emerged as a critical challenge in the context of the pursuit of a sustainable energy transition. One of the main challenges is understanding how this integration takes place not only from the introduction, but also as energy follows existing paths or creates new ones through which it is transformed and used by different activities. Here we introduce techniques from network science to analyse this process for the case of 29 European countries between 1992 and 2021. We study how new energy forms increase or decrease the variety (heterogeneity) of paths through the system of each country by establishing new ones and replacing or phasing out existing ones. We find that the transition to systems based on renewable energy is characterised by an initial increase in the variety of paths while the heterogeneity of paths decreases at the end of the transition, when the proportion of non-renewables in the system tends to zero. We then demonstrate that greater heterogeneity (complexity) is associated with larger annual fluctuations in the proportion of non-renewable sources in the system, establishing a direct relationship between the progress of the transition and the complexity of the energy system in which it occurs. This contributes to the understanding of general properties of the dynamics of the energy trans</w:t>
      </w:r>
    </w:p>
    <w:p>
      <w:pPr/>
      <w:r>
        <w:rPr>
          <w:b/>
        </w:rPr>
        <w:t>POSSIBLE 2026:</w:t>
      </w:r>
      <w:r>
        <w:t xml:space="preserve"> APPELLATE BODY OF THE WORLD TRADE ORGANIZATION CRISIS: CONSEQUENCES AND PATHWAYS TO REFORM — https://openalex.org/W7216665610</w:t>
      </w:r>
    </w:p>
    <w:p>
      <w:pPr/>
      <w:r>
        <w:rPr>
          <w:b/>
        </w:rPr>
        <w:t>Shared claim-specific concepts:</w:t>
      </w:r>
      <w:r>
        <w:t xml:space="preserve"> requires, interim, all; EU scope not established. This is a provisional connection, not an outcome finding.</w:t>
      </w:r>
    </w:p>
    <w:p>
      <w:pPr>
        <w:pStyle w:val="SourceNote"/>
      </w:pPr>
      <w:r>
        <w:rPr>
          <w:b/>
        </w:rPr>
        <w:t>Available abstract (not full text):</w:t>
      </w:r>
      <w:r>
        <w:t xml:space="preserve"> The paralysis of the World Trade Organization's Appellate Body since December 2019 has precipitated the gravest institutional crisis in the history of the multilateral trading system. The inability of WTO Members to agree on new appointments has rendered the appellate mechanism non-functional, leaving the dispute settlement system without its supreme judicial layer and creating a legal vacuum that no interim arrangement has yet adequately filled. This article examines the structural, political, and legal dimensions of this crisis, tracing the origins of Member State dissatisfaction with the Appellate Body, particularly the sustained objections of the United States concerning judicial overreach, procedural delays, and the treatment of trade remedy disciplines. The article analyses the Multi-Party Interim Appeal Arbitration Arrangement and evaluates its adequacy as a substitute for the Appellate Body. It further examines the various reform proposals advanced by WTO Members and academic commentators, assessing their feasibility and implications for the future architecture of multilateral trade governance. Special attention is paid to the interests of developing country Members, who stand to lose most from the erosion of the rules-based trading system. The article argues that durable reform requires a negotiated political settlement among major trading powers that balances rule-of-</w:t>
      </w:r>
    </w:p>
    <w:p>
      <w:pPr/>
      <w:r>
        <w:rPr>
          <w:b/>
        </w:rPr>
        <w:t>POSSIBLE 2025:</w:t>
      </w:r>
      <w:r>
        <w:t xml:space="preserve"> Examining innovative designs of agri-environmental schemes in Europe: A case comparison of impact pathways — https://doi.org/10.1016/j.ecoser.2025.101728</w:t>
      </w:r>
    </w:p>
    <w:p>
      <w:pPr/>
      <w:r>
        <w:rPr>
          <w:b/>
        </w:rPr>
        <w:t>Shared claim-specific concepts:</w:t>
      </w:r>
      <w:r>
        <w:t xml:space="preserve"> all, grassland, water, also; EU scope visible. This is a provisional connection, not an outcome finding.</w:t>
      </w:r>
    </w:p>
    <w:p>
      <w:pPr>
        <w:pStyle w:val="SourceNote"/>
      </w:pPr>
      <w:r>
        <w:rPr>
          <w:b/>
        </w:rPr>
        <w:t>Available abstract (not full text):</w:t>
      </w:r>
      <w:r>
        <w:t xml:space="preserve"> Agri-environmental schemes (AES), a subtype of payments for ecosystem services (PES), aim to address Europe’s environmental and climate objectives by incentivising farmers to maintain or shift to farming practices that deliver additional ecosystem services (ES). We develop a theory of change (ToC) for AES, reviewing nine European case studies at different implementation stages, yet all featuring innovative contract solutions to increase ES provision (e.g., water quality, pollination) and enhance bird and grassland biodiversity. Mirroring ecosystem and geographic variety across Europe, we analyse observed strengths and weaknesses in designing, implementing, and evaluating AES, and flag emerging research gaps. Using the comparative case study (CCS) method to analyse case-specific secondary data, we highlight the importance of local contextualization and management customization across landscapes, differentiating contract types to target variable farmer groups. Some regionally implemented schemes outside the EU’s Common Agricultural Policy (CAP) framework emphasize trust-building and prove well-tailored to local conditions. New result-based schemes may achieve both farmer uptake and incremental ES delivery, depending on ES types and costs. Spatial coordination incentives (agglomeration bonuses and thresholds) stimulate farmer uptake, but their cost effectiveness remains undocument</w:t>
      </w:r>
    </w:p>
    <w:p>
      <w:pPr/>
      <w:r>
        <w:rPr>
          <w:b/>
        </w:rPr>
        <w:t>POSSIBLE 2024:</w:t>
      </w:r>
      <w:r>
        <w:t xml:space="preserve"> Women’s Leadership in Organizations as a Pathway to Ukraine’s European Integration — https://doi.org/10.32983/2222-4459-2024-11-377-386</w:t>
      </w:r>
    </w:p>
    <w:p>
      <w:pPr/>
      <w:r>
        <w:rPr>
          <w:b/>
        </w:rPr>
        <w:t>Shared claim-specific concepts:</w:t>
      </w:r>
      <w:r>
        <w:t xml:space="preserve"> pathway, all, also; EU scope visible. This is a provisional connection, not an outcome finding.</w:t>
      </w:r>
    </w:p>
    <w:p>
      <w:pPr>
        <w:pStyle w:val="SourceNote"/>
      </w:pPr>
      <w:r>
        <w:rPr>
          <w:b/>
        </w:rPr>
        <w:t>Available abstract (not full text):</w:t>
      </w:r>
      <w:r>
        <w:t xml:space="preserve"> The article is aimed at studying the phenomenon of women’s leadership in organizations as a strategic vector of European integration of Ukraine. It is considered how gender equality in the professional sphere and in managerial activities contributes to the introduction of European values into Ukrainian society, strengthens democratic principles and ensures social justice. The article analyzes the key principles of European equality standards, such as transparency, mutual respect, dignity and equality before the law, which is the basis for the formation of a gender-balanced society, as well as explores the importance of these standards for Ukraine. The challenges faced by women on their way to leadership positions in organizations are revealed. It is determined that despite positive developments, women in Ukraine still face barriers such as stereotypes, prejudices against their competence, as well as limited access to leadership positions in organizations. The relevance of creating equal conditions for the professional development of men and women as an important factor in the integration process, which contributes to the formation of a sustainable and competitive economy, as well as increases the innovative potential of organizations, is substantiated. The article proposes a definition of the phenomenon of «women’s leadership» in the context of organizational development and so</w:t>
      </w:r>
    </w:p>
    <w:p>
      <w:pPr/>
      <w:r>
        <w:rPr>
          <w:b/>
        </w:rPr>
        <w:t>POSSIBLE 2022:</w:t>
      </w:r>
      <w:r>
        <w:t xml:space="preserve"> Optimization of the possible pathways for gradual energy system decarbonization — https://doi.org/10.1016/j.renene.2022.05.005</w:t>
      </w:r>
    </w:p>
    <w:p>
      <w:pPr/>
      <w:r>
        <w:rPr>
          <w:b/>
        </w:rPr>
        <w:t>Shared claim-specific concepts:</w:t>
      </w:r>
      <w:r>
        <w:t xml:space="preserve"> gradual, use, also; EU scope visible. This is a provisional connection, not an outcome finding.</w:t>
      </w:r>
    </w:p>
    <w:p>
      <w:pPr>
        <w:pStyle w:val="SourceNote"/>
      </w:pPr>
      <w:r>
        <w:rPr>
          <w:b/>
        </w:rPr>
        <w:t>Available abstract (not full text):</w:t>
      </w:r>
      <w:r>
        <w:t xml:space="preserve"> The European Union and other signatories to the Paris Climate Accord have agreed to limit global warming to 2° Celsius above pre-industrial levels. Previously published studies have examined the optimal energy system structure required to satisfy carbon neutrality end goals. This research focuses on addressing the intermediate steps towards decarbonization. The steps are quantified as the percentage share of renewable energy sources. The objective of the optimization is to reach a predetermined level of renewable energy and emissions, minimize curtailment of renewable energy sources, minimize system cost, and limit the use of natural resources such as biomass in the energy sector. Considered technologies in the optimization process are energy-generating capacities, demand response technologies, and energy storage. The results of such a method reflect the use of considered technologies and are displayed as a function of renewable energy share and carbon dioxide emissions level, which also represent the decarbonization timeline from 2020 to 2050. The method is carried out with the use of energy planning software EnergyPLAN and highly modified Python-based optimization software EPLANopt. The results presented in the research display the necessity for continuous implementation of variable generating capacities as well as demand response technologies, mainly vehicle to grid.</w:t>
      </w:r>
    </w:p>
    <w:p>
      <w:pPr/>
      <w:r>
        <w:rPr>
          <w:b/>
        </w:rPr>
        <w:t>POSSIBLE 2022:</w:t>
      </w:r>
      <w:r>
        <w:t xml:space="preserve"> Utilising Human Crash Tolerance to Design an Interim and Ultimate Safe System for Road Safety — https://doi.org/10.3390/su14063491</w:t>
      </w:r>
    </w:p>
    <w:p>
      <w:pPr/>
      <w:r>
        <w:rPr>
          <w:b/>
        </w:rPr>
        <w:t>Shared claim-specific concepts:</w:t>
      </w:r>
      <w:r>
        <w:t xml:space="preserve"> pathway, interim, ultimate, all; EU scope not established. This is a provisional connection, not an outcome finding.</w:t>
      </w:r>
    </w:p>
    <w:p>
      <w:pPr>
        <w:pStyle w:val="SourceNote"/>
      </w:pPr>
      <w:r>
        <w:rPr>
          <w:b/>
        </w:rPr>
        <w:t>Available abstract (not full text):</w:t>
      </w:r>
      <w:r>
        <w:t xml:space="preserve"> Many jurisdictions globally have adopted a zero road trauma target by 2050 and an interim target of a 50% reduction by 2030. The objective of this study was to investigate what the road system will need to look like in order to achieve these respective targets. Utilising human tolerance to injury as the key design factor, this study defined the combination of vehicle, infrastructure, and travel speed requirements to manage crash energy in order to: 1. prevent all fatalities and serious injuries by 2050 in an Ultimate Safe System scenario; and 2. significantly reduce fatalities and severe injuries by 2030 in an Interim Safe System scenario. Victoria, Australia and its Movement and Place (M&amp;P) framework was employed as a case study. With the vehicle and infrastructure countermeasures currently available coupled with appropriate travel speeds it is possible to construct an Ultimate Safe System that can manage crash forces to achieve zero trauma and an Interim Safe System that can significantly reduce the most severe injuries in Victoria. This study has demonstrated a potential pathway from the current situation to 2030 and then 2050 that can achieve safety targets while meeting the core objectives of the transport system.</w:t>
      </w:r>
    </w:p>
    <w:p>
      <w:pPr/>
      <w:r>
        <w:rPr>
          <w:b/>
        </w:rPr>
        <w:t>POSSIBLE 2022:</w:t>
      </w:r>
      <w:r>
        <w:t xml:space="preserve"> Permanent grasslands in Europe: Land use change and intensification decrease their multifunctionality — https://doi.org/10.1016/j.agee.2022.107891</w:t>
      </w:r>
    </w:p>
    <w:p>
      <w:pPr/>
      <w:r>
        <w:rPr>
          <w:b/>
        </w:rPr>
        <w:t>Shared claim-specific concepts:</w:t>
      </w:r>
      <w:r>
        <w:t xml:space="preserve"> use, grassland, water, land, also; EU scope visible. This is a provisional connection, not an outcome finding.</w:t>
      </w:r>
    </w:p>
    <w:p>
      <w:pPr>
        <w:pStyle w:val="SourceNote"/>
      </w:pPr>
      <w:r>
        <w:rPr>
          <w:b/>
        </w:rPr>
        <w:t>Available abstract (not full text):</w:t>
      </w:r>
      <w:r>
        <w:t xml:space="preserve"> Permanent grasslands cover 34% of the European Union’s agricultural area and are vital for a wide variety of ecosystem services essential for our society. Over recent decades, the permanent grassland area has declined and land use change continues to threaten its extent. Simultaneously, the management intensity of permanent grasslands increased. We performed a systematic literature review on the multifunctionality of permanent grasslands in Europe, examining the effects of land use and management on 19 grassland ecosystem service indicators. Based on the evidence in 696 out of 70,456 screened papers, published since 1980, we found that both land use change and intensification of management decreased multifunctionality. In particular, preventing conversion of permanent grasslands to croplands secured the delivery of multiple ecosystem services. A lower management intensity was associated with benefits for biodiversity, climate regulation and water purification, but impacted the provision of high-quality animal feed. Increasing the number of species in the sward enhanced multifunctionality of permanent grassland without significant trade-offs such as losses in production. Our review covered many aspects of land use, management and ecosystem services, but we also identified areas with no or only few studies. The most prominent gaps were related to comparisons between permanent and</w:t>
      </w:r>
    </w:p>
    <w:p>
      <w:pPr>
        <w:pStyle w:val="Heading2"/>
      </w:pPr>
      <w:r>
        <w:t>636. Ukrainian Migration Aspirations towards Germany: Analysis and Development Scenarios</w:t>
      </w:r>
    </w:p>
    <w:p>
      <w:pPr>
        <w:pStyle w:val="SourceNote"/>
      </w:pPr>
      <w:r>
        <w:rPr>
          <w:b/>
        </w:rPr>
        <w:t>Original source (2021):</w:t>
      </w:r>
      <w:r>
        <w:t xml:space="preserve"> https://doi.org/10.18778/1508-2008.24.04</w:t>
      </w:r>
    </w:p>
    <w:p>
      <w:pPr/>
      <w:r>
        <w:t>Original wording (abstract; indexed_source_text_not_full_document_verified): Based on the multiple regression model and scenario approach to forecasting, the article estimates the Ukrainian migration aspirations towards Germany (the scale of migration, the economic activity of migrants, and their economic benefits). It is argued that major transformations in the gender-age structure of the German population may cause a demographic crisis and labour market imbalances.</w:t>
      </w:r>
    </w:p>
    <w:p>
      <w:pPr/>
      <w:r>
        <w:rPr>
          <w:b/>
        </w:rPr>
        <w:t>POSSIBLE 2026:</w:t>
      </w:r>
      <w:r>
        <w:t xml:space="preserve"> Soil quality assessment based on agrochemical indicators and optimized multiple linear regression — https://doi.org/10.12911/22998993/215563</w:t>
      </w:r>
    </w:p>
    <w:p>
      <w:pPr/>
      <w:r>
        <w:rPr>
          <w:b/>
        </w:rPr>
        <w:t>Shared claim-specific concepts:</w:t>
      </w:r>
      <w:r>
        <w:t xml:space="preserve"> based, multiple, regression, estimates; EU scope not established. This is a provisional connection, not an outcome finding.</w:t>
      </w:r>
    </w:p>
    <w:p>
      <w:pPr>
        <w:pStyle w:val="SourceNote"/>
      </w:pPr>
      <w:r>
        <w:rPr>
          <w:b/>
        </w:rPr>
        <w:t>Available abstract (not full text):</w:t>
      </w:r>
      <w:r>
        <w:t xml:space="preserve"> Soil quality assessment is a key component of sustainable land use, agroecosystem monitoring, and the optimization of agrochemical management.The aim of this study is to evaluate the soil quality within the Rozsoshansk community of the Khmelnytskyi region using the soil quality index (SQI) and to develop a statistically sound predictive model based on agrochemical indicators.The analysis was conducted using a set of soil parameters, including pH, C org , 𝑁𝑁𝐻𝐻 4 + 𝑁𝑁𝑂𝑂 3 -, , 𝑁𝑁𝐻𝐻 4 + 𝑁𝑁𝑂𝑂 3 -, , P 2 O 5 , Ca 2+ і K + .Spearman correlation analysis was performed, followed by the construction of a multiple linear regression model (R 2 = 0.904, Adjusted R 2 = 0.900), an assessment of multicollinearity (VIF), and ANOVA.Based on the results of the regression model with seven predictors, together with ANOVA and VIF diagnostics, an optimized model with four predictors (pH, C org , 𝑁𝑁𝐻𝐻 4 + 𝑁𝑁𝑂𝑂 3 -, , Ca 2+ ) was developed.This refined model demonstrated strong explanatory power (R 2 = 0.856, Adjusted R 2 = 0.853) and low prediction error.Residual diagnostics indicated deviations from normality and heteroscedasticity; however, robust estimation methods (OLS-HC3 and RLM using HuberT) confirmed the stability of the coefficient estimates.The findings suggest that soil organic carbon, exchangeable calcium, acidity, and nitrate nitrogen are the key indicators of soil quality in the study a</w:t>
      </w:r>
    </w:p>
    <w:p>
      <w:pPr/>
      <w:r>
        <w:rPr>
          <w:b/>
        </w:rPr>
        <w:t>POSSIBLE 2026:</w:t>
      </w:r>
      <w:r>
        <w:t xml:space="preserve"> Multiple Linear Regression-Enhanced RGB-based Luminescence Thermometry for High-sensitivity Thermal Readout — https://doi.org/10.48550/arxiv.2609.15102</w:t>
      </w:r>
    </w:p>
    <w:p>
      <w:pPr/>
      <w:r>
        <w:rPr>
          <w:b/>
        </w:rPr>
        <w:t>Shared claim-specific concepts:</w:t>
      </w:r>
      <w:r>
        <w:t xml:space="preserve"> based, multiple, regression, approach; EU scope not established. This is a provisional connection, not an outcome finding.</w:t>
      </w:r>
    </w:p>
    <w:p>
      <w:pPr>
        <w:pStyle w:val="SourceNote"/>
      </w:pPr>
      <w:r>
        <w:rPr>
          <w:b/>
        </w:rPr>
        <w:t>Available abstract (not full text):</w:t>
      </w:r>
      <w:r>
        <w:t xml:space="preserve"> The practical implementation of phosphors for luminescence-based thermal sensing and imaging requires simple, user-friendly approaches that enable convenient and sensitive temperature readout. To the best of our knowledge, this is the first demonstration of combining RGB-based thermal imaging using a conventional digital camera with multiple linear regression (MLR) to achieve straightforward and highly sensitive temperature determination and spatially resolved thermal imaging. Importantly, the implementation of the MLR approach enhances the relative sensitivity by more than 3-fold, compared with conventional analysis based solely on the G/R or B/R intensity ratios. The application of Ca3Al2O6:Mn2+-Ce3+ as a luminescent temperature probe, in which the intensity ratio between the Ce3+ and Mn2+ emission bands exhibits a pronounced temperature dependence, enables temperature readout through several complementary approaches. These include conventional luminescence intensity ratio thermometry (SR = 1.46% K-1), analysis of the CIE 1931 chromaticity coordinates (SRx = 0.45% K-1 and SRy = 0.14% K-1), as well as RGB-based thermal sensing and imaging using a digital camera. This multimodal optical response, together with the accessibility of camera-based readout and the substantial sensitivity enhancement enabled by MLR, establishes a practical strategy for spatially resolved luminescence</w:t>
      </w:r>
    </w:p>
    <w:p>
      <w:pPr/>
      <w:r>
        <w:rPr>
          <w:b/>
        </w:rPr>
        <w:t>POSSIBLE 2025:</w:t>
      </w:r>
      <w:r>
        <w:t xml:space="preserve"> Signal-Based Trading Strategy for SPY ETF: A Multiple Linear Regression Approach — https://doi.org/10.70693/rwsk.v1i2.552</w:t>
      </w:r>
    </w:p>
    <w:p>
      <w:pPr/>
      <w:r>
        <w:rPr>
          <w:b/>
        </w:rPr>
        <w:t>Shared claim-specific concepts:</w:t>
      </w:r>
      <w:r>
        <w:t xml:space="preserve"> multiple, regression, approach, major; EU scope visible. This is a provisional connection, not an outcome finding.</w:t>
      </w:r>
    </w:p>
    <w:p>
      <w:pPr>
        <w:pStyle w:val="SourceNote"/>
      </w:pPr>
      <w:r>
        <w:rPr>
          <w:b/>
        </w:rPr>
        <w:t>Available abstract (not full text):</w:t>
      </w:r>
      <w:r>
        <w:t xml:space="preserve"> This study develops a signal-based trading strategy for the SPDR S&amp;P 500 ETF Trust (SPY) using a multiple linear regression framework to analyze interrelationships between SPY and global equity indices across U.S., European, Asian, and Australian markets. By synthesizing historical pricing data from these major benchmarks, the model generates systematic trading signals through predicted price trajectories. In controlled training scenarios, the strategy achieved superior risk-adjusted returns compared to passive buy-and-hold approaches, demonstrating the value of cross-market signal integration. While the framework shows promise for algorithmic trading systems, the study acknowledges limitations in generalizing historical patterns to evolving market conditions. The findings highlight opportunities to enhance predictive accuracy through machine learning architectures capable of processing nonlinear market dynamics. These insights advance quantitative trading research by establishing methodologies for cross-market signal synthesis and proposing pathways to develop adaptive models for volatile capital markets.</w:t>
      </w:r>
    </w:p>
    <w:p>
      <w:pPr/>
      <w:r>
        <w:rPr>
          <w:b/>
        </w:rPr>
        <w:t>POSSIBLE 2025:</w:t>
      </w:r>
      <w:r>
        <w:t xml:space="preserve"> Research on Heilongjiang Rice Industry Based on Multiple Linear Regression Analysis — https://doi.org/10.54097/pc44xs21</w:t>
      </w:r>
    </w:p>
    <w:p>
      <w:pPr/>
      <w:r>
        <w:rPr>
          <w:b/>
        </w:rPr>
        <w:t>Shared claim-specific concepts:</w:t>
      </w:r>
      <w:r>
        <w:t xml:space="preserve"> based, multiple, regression, estimates, scale; EU scope not established. This is a provisional connection, not an outcome finding.</w:t>
      </w:r>
    </w:p>
    <w:p>
      <w:pPr>
        <w:pStyle w:val="SourceNote"/>
      </w:pPr>
      <w:r>
        <w:rPr>
          <w:b/>
        </w:rPr>
        <w:t>Available abstract (not full text):</w:t>
      </w:r>
      <w:r>
        <w:t xml:space="preserve"> Against the backdrop of a severe global food security situation, accurate prediction of crop yields is crucial for ensuring stable food supply and maintaining socio-economic stability. Heilongjiang Province is an important region for rice production in China, and its rice yield is of great significance to the stable supply of national grain. This study uses multiple linear regression and random forest regression models to conduct in-depth research and predictive analysis on rice production in various cities of Heilongjiang Province. The data is sourced from authoritative databases and field research, after data cleaning, which includes removing outliers, handling missing values, and correcting errors, and standardization, which normalizes data to a common scale (such as using z-score normalization or min-max scaling) to ensure consistency and comparability, models are constructed. The multiple linear regression model is based on the assumption of linear relationship, estimates parameters using the least squares method, and rigorously tests and evaluates them; The random forest regression model, as an optimization model, utilizes multiple decision trees for ensemble learning to improve prediction accuracy and reliability. Comparing the predicted values of the two models, it was found that they each have their own advantages, providing diverse and powerful support for predicting </w:t>
      </w:r>
    </w:p>
    <w:p>
      <w:pPr/>
      <w:r>
        <w:rPr>
          <w:b/>
        </w:rPr>
        <w:t>POSSIBLE 2025:</w:t>
      </w:r>
      <w:r>
        <w:t xml:space="preserve"> A Multiple Linear Regression–Based Algorithm to Correct for Cosmic Rays in Raman Images — https://doi.org/10.1002/cem.70000</w:t>
      </w:r>
    </w:p>
    <w:p>
      <w:pPr/>
      <w:r>
        <w:rPr>
          <w:b/>
        </w:rPr>
        <w:t>Shared claim-specific concepts:</w:t>
      </w:r>
      <w:r>
        <w:t xml:space="preserve"> based, multiple, regression; EU scope not established. This is a provisional connection, not an outcome finding.</w:t>
      </w:r>
    </w:p>
    <w:p>
      <w:pPr>
        <w:pStyle w:val="SourceNote"/>
      </w:pPr>
      <w:r>
        <w:rPr>
          <w:b/>
        </w:rPr>
        <w:t>Available abstract (not full text):</w:t>
      </w:r>
      <w:r>
        <w:t xml:space="preserve"> ABSTRACT Raman imaging is a powerful technique for simultaneously obtaining chemical and spatial information on diverse materials. One of the most common detectors used on Raman equipment is the charge coupled detector (CCD) due its high sensitivity. However, CCDs are also sensitive to cosmic rays, that generate very narrow and intense signals: cosmic ray spikes. Since these peaks can be very intense and numerous, it is important to eliminate them before any data analysis. Some methods to do this use comparison of neighboring pixels to identify spikes, but when using the line‐scanning acquisition mode, it is common that these spikes appear in two or more pixels close together. Thus, in this work, a new algorithm has been developed to correct for cosmic ray spikes in Raman images, based on multiple linear regression (MLR). This algorithm takes less than 1 min in images with more than 70,000 spectra and removes all spikes, even those at low intensity.</w:t>
      </w:r>
    </w:p>
    <w:p>
      <w:pPr/>
      <w:r>
        <w:rPr>
          <w:b/>
        </w:rPr>
        <w:t>POSSIBLE 2025:</w:t>
      </w:r>
      <w:r>
        <w:t xml:space="preserve"> The European Approach to the Use of Artificial Intelligence for Sustainable Development — https://doi.org/10.1093/9780198945215.003.0161</w:t>
      </w:r>
    </w:p>
    <w:p>
      <w:pPr/>
      <w:r>
        <w:rPr>
          <w:b/>
        </w:rPr>
        <w:t>Shared claim-specific concepts:</w:t>
      </w:r>
      <w:r>
        <w:t xml:space="preserve"> based, multiple, approach, article; EU scope visible. This is a provisional connection, not an outcome finding.</w:t>
      </w:r>
    </w:p>
    <w:p>
      <w:pPr>
        <w:pStyle w:val="SourceNote"/>
      </w:pPr>
      <w:r>
        <w:rPr>
          <w:b/>
        </w:rPr>
        <w:t>Available abstract (not full text):</w:t>
      </w:r>
      <w:r>
        <w:t xml:space="preserve"> Abstract Sustainable development in AI is an essential element to ensure that this technology fosters a beneficial future from environmental, social, and economic perspectives. Indeed, the multiple applications of AI have great potential for achieving the UN Sustainable Development Goals. Accordingly, the EU has enacted the Artificial Intelligence Act, a legal framework adopted in 2024 that incorporates (to varying degrees) the principles of sustainable development in the use of AI systems. To this end, the legislative technique is fundamentally based on a risk management approach. The law classifies AI systems according to their risk levels and assigns different requirements and obligations accordingly. Thus, this article examines how the European law addresses the advancement of AI in its contribution to sustainability.</w:t>
      </w:r>
    </w:p>
    <w:p>
      <w:pPr/>
      <w:r>
        <w:rPr>
          <w:b/>
        </w:rPr>
        <w:t>POSSIBLE 2025:</w:t>
      </w:r>
      <w:r>
        <w:t xml:space="preserve"> Social Intervention in the Field of Honour-Based Violence in Europe: contributions to its Approach in Spain — https://openalex.org/W7114947958</w:t>
      </w:r>
    </w:p>
    <w:p>
      <w:pPr/>
      <w:r>
        <w:rPr>
          <w:b/>
        </w:rPr>
        <w:t>Shared claim-specific concepts:</w:t>
      </w:r>
      <w:r>
        <w:t xml:space="preserve"> based, approach; EU scope visible. This is a provisional connection, not an outcome finding.</w:t>
      </w:r>
    </w:p>
    <w:p>
      <w:pPr>
        <w:pStyle w:val="SourceNote"/>
      </w:pPr>
      <w:r>
        <w:rPr>
          <w:b/>
        </w:rPr>
        <w:t>Available abstract (not full text):</w:t>
      </w:r>
      <w:r>
        <w:t xml:space="preserve"> Honour-based violence is a serious social phenomenon whose institutional attention in Spain is still scarce. Therefore, this research aims to identify and analyse the existing literature within the European context that shows empirical results on social intervention in the field of honour-based violence. The aim is to contribute significant elements to the academic debate that favour the construction of an institutional response in Spain, as established by the Istanbul Convention of the Council of Europe. To this end, we developed an exploratory systematized review based on the PRISMA methodology. The results show how the greatest academic prominence is in the United Kingdom and Sweden, in correspondence with the greater institutional and regulatory attention given in both countries. The analysis of the selected articles allows us to place four thematic categories of interest: assistance and protection for victims, identification of risk and conditions of vulnerability, narratives and institutional discoursesand, finally, the detection of honour-based violence in the educational context. The study concludes by pointing out the importance of developing a holistic care model focused on the prevention of the phenomenon and the specific intervention with victims</w:t>
      </w:r>
    </w:p>
    <w:p>
      <w:pPr/>
      <w:r>
        <w:rPr>
          <w:b/>
        </w:rPr>
        <w:t>POSSIBLE 2025:</w:t>
      </w:r>
      <w:r>
        <w:t xml:space="preserve"> Multiple Regression with Transformations and Variable Selection at the Industrial Scale — https://doi.org/10.1080/26939169.2025.2490027</w:t>
      </w:r>
    </w:p>
    <w:p>
      <w:pPr/>
      <w:r>
        <w:rPr>
          <w:b/>
        </w:rPr>
        <w:t>Shared claim-specific concepts:</w:t>
      </w:r>
      <w:r>
        <w:t xml:space="preserve"> based, multiple, regression, article, scale, transformations; EU scope not established. This is a provisional connection, not an outcome finding.</w:t>
      </w:r>
    </w:p>
    <w:p>
      <w:pPr>
        <w:pStyle w:val="SourceNote"/>
      </w:pPr>
      <w:r>
        <w:rPr>
          <w:b/>
        </w:rPr>
        <w:t>Available abstract (not full text):</w:t>
      </w:r>
      <w:r>
        <w:t xml:space="preserve"> This article explores the development of a statistical model to predict roll forces during hot rolling in a commercial steel mill based on a data set from an industrial-scale operation; this data set consists of 2,255 individual coils, processed through five roll stands in the mill, for a total of 11,275 distinct data points. This work is informed by a physics-based equation and applies variable transformations, variable selection and model comparisons; it illustrates several topics introduced throughout a regression modeling course, including data visualization, multiple linear regression, residual diagnostics and heteroscedastiscity, variable transformations, collinearity and confounding due to strong correlations between predictor variables, the false correlation paradox, variable selection, and measures of model quality for predictive use. Extensions, including autocorrelation, mixed models, and resampling methods, are also suitable as more advanced topics and for open-ended courses. Finally, we add an interesting real data set and associated analysis to the publicly available resources for statistics and data science education.</w:t>
      </w:r>
    </w:p>
    <w:p>
      <w:pPr/>
      <w:r>
        <w:rPr>
          <w:b/>
        </w:rPr>
        <w:t>POSSIBLE 2024:</w:t>
      </w:r>
      <w:r>
        <w:t xml:space="preserve"> A used sailboat pricing model based on multiple linear regression — https://doi.org/10.54254/2755-2721/68/20241449</w:t>
      </w:r>
    </w:p>
    <w:p>
      <w:pPr/>
      <w:r>
        <w:rPr>
          <w:b/>
        </w:rPr>
        <w:t>Shared claim-specific concepts:</w:t>
      </w:r>
      <w:r>
        <w:t xml:space="preserve"> based, multiple, regression; EU scope not established. This is a provisional connection, not an outcome finding.</w:t>
      </w:r>
    </w:p>
    <w:p>
      <w:pPr>
        <w:pStyle w:val="SourceNote"/>
      </w:pPr>
      <w:r>
        <w:rPr>
          <w:b/>
        </w:rPr>
        <w:t>Available abstract (not full text):</w:t>
      </w:r>
      <w:r>
        <w:t xml:space="preserve"> The value of sailboats varies depending on the region and market conditions. Brokers need a better understanding of the sailboat market and make informed decisions to mitigate potential risks. To address these issues, this paper employs methods of multiple linear regression analysis and the grey correlation forecasting method. By utilizing data analysis techniques, a commonly used sailboat pricing model is established. Specifically, we first preprocess the given dataset and encode the processed data for subsequent model use. Additionally, the paper selects the three most influential factors on the pricing model: length, make, and year, and employs the method of independent weighting coefficients for multiple linear regression analysis calculation. Furthermore, we analyze the regional impact on listing prices of used sailboats. Based on these analyses, the proposed model can provide data analysis and sales recommendation reports for brokers. Lastly, the model proposed in this paper demonstrates strong accuracy and robustness, making it easy to implement with other datasets.</w:t>
      </w:r>
    </w:p>
    <w:p>
      <w:pPr/>
      <w:r>
        <w:rPr>
          <w:b/>
        </w:rPr>
        <w:t>POSSIBLE 2024:</w:t>
      </w:r>
      <w:r>
        <w:t xml:space="preserve"> Price prediction of polyester yarn based on multiple linear regression model — https://doi.org/10.1371/journal.pone.0310355</w:t>
      </w:r>
    </w:p>
    <w:p>
      <w:pPr/>
      <w:r>
        <w:rPr>
          <w:b/>
        </w:rPr>
        <w:t>Shared claim-specific concepts:</w:t>
      </w:r>
      <w:r>
        <w:t xml:space="preserve"> based, multiple, regression; EU scope not established. This is a provisional connection, not an outcome finding.</w:t>
      </w:r>
    </w:p>
    <w:p>
      <w:pPr>
        <w:pStyle w:val="SourceNote"/>
      </w:pPr>
      <w:r>
        <w:rPr>
          <w:b/>
        </w:rPr>
        <w:t>Available abstract (not full text):</w:t>
      </w:r>
      <w:r>
        <w:t xml:space="preserve"> China's polyester textile industry is one of the notable contributors to national economy. This paper takes polyester yarn, core raw material in polyester textile industry chain, as research object, and deeply explores its price indicators and risk hedging mechanisms through multiple linear regression models and Holt-Winters approaches. It is worth mentioning that with continuous development of digital technology, digital transformation of production lines and warehouses has become an important development feature in various industries. This study also actively complies with this trend, and innovatively incorporates the upstream and downstream production line start-up rates into price prediction model. Through this initiative, we can more comprehensively consider the impact of supply and demand changes on price of polyester yarn, thus making prediction results more closely reflect the actual market situation. This quantitative analysis method undoubtedly provides new ideas for enterprises to better grasp market dynamics in digital era.</w:t>
      </w:r>
    </w:p>
    <w:p>
      <w:pPr/>
      <w:r>
        <w:rPr>
          <w:b/>
        </w:rPr>
        <w:t>POSSIBLE 2024:</w:t>
      </w:r>
      <w:r>
        <w:t xml:space="preserve"> Enterprise Value Valuation—BYD as an Example Based on SWOT Model and Multiple Regression Model — https://doi.org/10.17265/2328-2185/2024.04.001</w:t>
      </w:r>
    </w:p>
    <w:p>
      <w:pPr/>
      <w:r>
        <w:rPr>
          <w:b/>
        </w:rPr>
        <w:t>Shared claim-specific concepts:</w:t>
      </w:r>
      <w:r>
        <w:t xml:space="preserve"> based, multiple, regression; EU scope not established. This is a provisional connection, not an outcome finding.</w:t>
      </w:r>
    </w:p>
    <w:p>
      <w:pPr>
        <w:pStyle w:val="SourceNote"/>
      </w:pPr>
      <w:r>
        <w:rPr>
          <w:b/>
        </w:rPr>
        <w:t>Available abstract (not full text):</w:t>
      </w:r>
      <w:r>
        <w:t xml:space="preserve"> BYD is one of the largest new energy vehicle companies in China.Analyzing its scenario and the factors that affect its value helps to understand and identify development opportunities and potential problems.On one hand, this paper makes a qualitative analysis of BYD, using SWOT model to study the internal capability and external environment of BYD.On the other hand, the multiple regression model is used for quantitative analysis of BYD's enterprise value, and the model is established based on three factors: enterprise fundamentals, investor behavior and psychology, and macroeconomic policy uncertainty, and the stepwise regression is carried out.The results show that the increase of institutional investors' shareholding ratio, the increase of investor sentiment index, and the increase of M2 growth rate will increase the overall enterprise value, while the increase of economic policy uncertainty will decrease the enterprise value.</w:t>
      </w:r>
    </w:p>
    <w:p>
      <w:pPr/>
      <w:r>
        <w:rPr>
          <w:b/>
        </w:rPr>
        <w:t>POSSIBLE 2024:</w:t>
      </w:r>
      <w:r>
        <w:t xml:space="preserve"> The European Union's Approach to Cognitive Warfare’s Command and Control — https://doi.org/10.52783/jes.7939</w:t>
      </w:r>
    </w:p>
    <w:p>
      <w:pPr/>
      <w:r>
        <w:rPr>
          <w:b/>
        </w:rPr>
        <w:t>Shared claim-specific concepts:</w:t>
      </w:r>
      <w:r>
        <w:t xml:space="preserve"> multiple, approach, article; EU scope visible. This is a provisional connection, not an outcome finding.</w:t>
      </w:r>
    </w:p>
    <w:p>
      <w:pPr>
        <w:pStyle w:val="SourceNote"/>
      </w:pPr>
      <w:r>
        <w:rPr>
          <w:b/>
        </w:rPr>
        <w:t>Available abstract (not full text):</w:t>
      </w:r>
      <w:r>
        <w:t xml:space="preserve"> Cognitive warfare has evolved alongside advances in technology, psychology, and communication methods, reflecting a growing understanding of how to influence and control human minds. Cognitive warfare refers to efforts to influence, manipulate, or control public perceptions, decision-making processes, and behaviors using psychological, informational, or technological tactics that often blur the lines between the military and civilian domains. From ancient psychological tactics to artificial intelligence-based disinformation campaigns, the essence of cognitive warfare is the same: shaping perceptions and behavior in ways that often achieve strategic goals without the need for physical force. One of the most important aspects of cognitive warfare is its command and control, which naturally has multiple perspectives. This article aims to understand the European Union’s approach to command and control of cognitive warfare. The main research question is what similarities and differences does the European Union’s approach to command and control of cognitive warfare have with other approaches? The method of this article is descriptive-analytical. The required data was obtained by referring to library sources as well as reputable scientific research articles and official documents. The research findings show that the European Union's approach to command and control in cognitive warfare</w:t>
      </w:r>
    </w:p>
    <w:p>
      <w:pPr>
        <w:pStyle w:val="Heading2"/>
      </w:pPr>
      <w:r>
        <w:t>637. Where is the EU headed given its current climate policy? A stakeholder-driven model inter-comparison</w:t>
      </w:r>
    </w:p>
    <w:p>
      <w:pPr>
        <w:pStyle w:val="SourceNote"/>
      </w:pPr>
      <w:r>
        <w:rPr>
          <w:b/>
        </w:rPr>
        <w:t>Original source (2021):</w:t>
      </w:r>
      <w:r>
        <w:t xml:space="preserve"> https://doi.org/10.1016/j.scitotenv.2021.148549</w:t>
      </w:r>
    </w:p>
    <w:p>
      <w:pPr/>
      <w:r>
        <w:t>Original wording (abstract; indexed_source_text_not_full_document_verified): We find that Europe is currently on track to overperforming its pre-2020 40% target yet far from its newest ambition of 55% emissions cuts by 2030, as well as looking at a 1.0–2.35 GtCO2 emissions range in 2050. The output of this process is a scenario framework exploring where the region is headed rather than how to achieve its goals, extrapolating its current policy efforts into the future.</w:t>
      </w:r>
    </w:p>
    <w:p>
      <w:pPr/>
      <w:r>
        <w:rPr>
          <w:b/>
        </w:rPr>
        <w:t>POSSIBLE 2025:</w:t>
      </w:r>
      <w:r>
        <w:t xml:space="preserve"> The Rise of Social Science Infrastructures in Europe and Italy — https://doi.org/10.1007/978-3-032-07005-0_5</w:t>
      </w:r>
    </w:p>
    <w:p>
      <w:pPr/>
      <w:r>
        <w:rPr>
          <w:b/>
        </w:rPr>
        <w:t>Shared claim-specific concepts:</w:t>
      </w:r>
      <w:r>
        <w:t xml:space="preserve"> currently, framework, achieve; EU scope visible. This is a provisional connection, not an outcome finding.</w:t>
      </w:r>
    </w:p>
    <w:p>
      <w:pPr>
        <w:pStyle w:val="SourceNote"/>
      </w:pPr>
      <w:r>
        <w:rPr>
          <w:b/>
        </w:rPr>
        <w:t>Available abstract (not full text):</w:t>
      </w:r>
      <w:r>
        <w:t xml:space="preserve"> Abstract Probabilistic panel infrastructures are becoming essential components of Europe’s social science research ecosystem. Their methodological rigour, capacity for longitudinal tracking, and alignment with FAIR (Findable, Accessible, Interoperable, Reusable) principles make them particularly well-suited to addressing the complexity of contemporary societal dynamics. Italy, in alignment with broader European trends, is adopting and developing such infrastructures by integrating advanced statistical tools, digital innovation, and open science practices. This chapter discusses the role of the European Commission, the European Strategy Forum on Research Infrastructures—ESFRI Roadmap, the European Research Infrastructure Consortium (ERIC) legal framework and the European Open Science Cloud (EOSC) environment, underlining how social science in Italy is aligning and evolving to achieve the standards indicated by mayor longitudinal social science research infrastructures. This chapter serves as an introduction to key European social research infrastructures that are further explored in the following chapters. It briefly presents the Survey of Health, Ageing and Retirement in Europe (SHARE-ERIC) and the Consortium of European Social Science Data Archives (CESSDA-ERIC) as foundational tools for Open Science in the social sciences and outlines the implementation of international surve</w:t>
      </w:r>
    </w:p>
    <w:p>
      <w:pPr/>
      <w:r>
        <w:rPr>
          <w:b/>
        </w:rPr>
        <w:t>POSSIBLE 2024:</w:t>
      </w:r>
      <w:r>
        <w:t xml:space="preserve"> Tracking Loop Current Eddies in the Gulf of Mexico Using Satellite-Derived Chlorophyll-a — https://doi.org/10.3390/rs16122234</w:t>
      </w:r>
    </w:p>
    <w:p>
      <w:pPr/>
      <w:r>
        <w:rPr>
          <w:b/>
        </w:rPr>
        <w:t>Shared claim-specific concepts:</w:t>
      </w:r>
      <w:r>
        <w:t xml:space="preserve"> find, track, well; EU scope visible. This is a provisional connection, not an outcome finding.</w:t>
      </w:r>
    </w:p>
    <w:p>
      <w:pPr>
        <w:pStyle w:val="SourceNote"/>
      </w:pPr>
      <w:r>
        <w:rPr>
          <w:b/>
        </w:rPr>
        <w:t>Available abstract (not full text):</w:t>
      </w:r>
      <w:r>
        <w:t xml:space="preserve"> During the period of 2018–2022, there were six named Loop Current Eddy (LCE) shedding events in the central Gulf of Mexico (GoM). LCEs form when a large anticyclonic eddy (AE) separates from the main Loop Current (LC) and propagates westward. In doing so, each LCE traps and advects warmer, saltier waters with lower Chlorophyll-a (Chl-a) concentrations than the surrounding Gulf waters. This difference in water mass permits the study of the effectiveness of using Chl-a from satellite-derived ocean color to identify LCEs in the GoM. In this work, we apply an eddy-tracking algorithm to Chl-a to detect LCEs, which we have validated against the traditional sea surface height-(SSH) based eddy-tracking approach with three datasets. We apply a closed-contour eddy-tracking algorithm to the SSH of two model products (HYbrid Coordination Ocean Model; HYCOM and Nucleus for European Modelling of the Ocean; NEMO) and absolute dynamic topography (ADT) from altimetry, as well as satellite-derived Chl-a data to identify the six named LCEs from 2018 to 2022. We find that Chl-a best characterizes LCEs in the summertime due to a basin-wide increase in the horizontal gradient of Chl-a, which permits a more clearly defined eddy edge. This study demonstrates that Chl-a can be effectively used to identify and track LC and LCEs in the GoM, serving as a promising source of information for regional data a</w:t>
      </w:r>
    </w:p>
    <w:p>
      <w:pPr/>
      <w:r>
        <w:rPr>
          <w:b/>
        </w:rPr>
        <w:t>POSSIBLE 2024:</w:t>
      </w:r>
      <w:r>
        <w:t xml:space="preserve"> A unifying modelling of multiple land degradation pathways in Europe — https://doi.org/10.1038/s41467-024-48252-x</w:t>
      </w:r>
    </w:p>
    <w:p>
      <w:pPr/>
      <w:r>
        <w:rPr>
          <w:b/>
        </w:rPr>
        <w:t>Shared claim-specific concepts:</w:t>
      </w:r>
      <w:r>
        <w:t xml:space="preserve"> find, currently, goals; EU scope visible. This is a provisional connection, not an outcome finding.</w:t>
      </w:r>
    </w:p>
    <w:p>
      <w:pPr>
        <w:pStyle w:val="SourceNote"/>
      </w:pPr>
      <w:r>
        <w:rPr>
          <w:b/>
        </w:rPr>
        <w:t>Available abstract (not full text):</w:t>
      </w:r>
      <w:r>
        <w:t xml:space="preserve"> Abstract Land degradation is a complex socio-environmental threat, which generally occurs as multiple concurrent pathways that remain largely unexplored in Europe. Here we present an unprecedented analysis of land multi-degradation in 40 continental countries, using twelve dataset-based processes that were modelled as land degradation convergence and combination pathways in Europe’s agricultural (and arable) environments. Using a Land Multi-degradation Index, we find that up to 27%, 35% and 22% of continental agricultural (~2 million km 2 ) and arable (~1.1 million km 2 ) lands are currently threatened by one, two, and three drivers of degradation, while 10–11% of pan-European agricultural/arable landscapes are cumulatively affected by four and at least five concurrent processes. We also explore the complex pattern of spatially interacting processes, emphasizing the major combinations of land degradation pathways across continental and national boundaries. Our results will enable policymakers to develop knowledge-based strategies for land degradation mitigation and other critical European sustainable development goals.</w:t>
      </w:r>
    </w:p>
    <w:p>
      <w:pPr/>
      <w:r>
        <w:rPr>
          <w:b/>
        </w:rPr>
        <w:t>POSSIBLE 2023:</w:t>
      </w:r>
      <w:r>
        <w:t xml:space="preserve"> Portfolio Performance of European Target Prices — https://doi.org/10.3390/jrfm16080347</w:t>
      </w:r>
    </w:p>
    <w:p>
      <w:pPr/>
      <w:r>
        <w:rPr>
          <w:b/>
        </w:rPr>
        <w:t>Shared claim-specific concepts:</w:t>
      </w:r>
      <w:r>
        <w:t xml:space="preserve"> find, target, well, achieve; EU scope visible. This is a provisional connection, not an outcome finding.</w:t>
      </w:r>
    </w:p>
    <w:p>
      <w:pPr>
        <w:pStyle w:val="SourceNote"/>
      </w:pPr>
      <w:r>
        <w:rPr>
          <w:b/>
        </w:rPr>
        <w:t>Available abstract (not full text):</w:t>
      </w:r>
      <w:r>
        <w:t xml:space="preserve"> This paper examines the performance of actively managed portfolios constructed using target price recommendations provided by analysts. We propose two methods for constructing portfolios based on Bloomberg’s 12-month target price consensus, which serves as a signal to buy or sell assets. Using a sample of 50 European stocks over a 19-year period (from 1 April 2004 to 31 March 2023), we compare the performance of target-price-based portfolios to traditional alternatives, such as a naïve homogeneous portfolio and the Eurostoxx 50 index, as well as to passive portfolios based on average recommendations. We also look into the mean-variance efficiency of these portfolios and find that all exhibit similar levels of efficiency, which are well below the performance of the theoretical tangent portfolios. Our results indicate that target-price-based portfolios show performance very close to that of the naïve homogeneous portfolio. Even the passive “average” target price portfolios, which require previous knowledge of targets for the entire investment period, are unable to outperform the naïve portfolio. Our main findings are based on a 15-year investment horizon but are robust when considering smaller maturities and out-of-sample data. We also investigate the impact of rebalancing on portfolio performance and find that it does pay off in the long run (over an 8-year investment period), b</w:t>
      </w:r>
    </w:p>
    <w:p>
      <w:pPr/>
      <w:r>
        <w:rPr>
          <w:b/>
        </w:rPr>
        <w:t>POSSIBLE 2022:</w:t>
      </w:r>
      <w:r>
        <w:t xml:space="preserve"> Internet User Trackers and Where to Find Them — https://doi.org/10.2478/acss-2022-0008</w:t>
      </w:r>
    </w:p>
    <w:p>
      <w:pPr/>
      <w:r>
        <w:rPr>
          <w:b/>
        </w:rPr>
        <w:t>Shared claim-specific concepts:</w:t>
      </w:r>
      <w:r>
        <w:t xml:space="preserve"> find, track, well; EU scope not established. This is a provisional connection, not an outcome finding.</w:t>
      </w:r>
    </w:p>
    <w:p>
      <w:pPr>
        <w:pStyle w:val="SourceNote"/>
      </w:pPr>
      <w:r>
        <w:rPr>
          <w:b/>
        </w:rPr>
        <w:t>Available abstract (not full text):</w:t>
      </w:r>
      <w:r>
        <w:t xml:space="preserve"> Abstract In the modern online world, users are often asked for a permission to track their actions as a permission to “allow cookies”. The gathered information could be very valuable for a potential advertiser. However, online tracking is not only a benefit for a user but also a threat to the user’s privacy. This information combined with a targeted advertisement on a mass scale has potential to alter behaviour of large groups. This study summarises previous academic work on online user tracking and anti-tracking measures. As a result, it describes the current mechanisms used to track a user, as well as some methods that can be applied to reduce tracking. The study concludes that government legislation and open dialog between Internet users and advertisers might be the only way to ensure online privacy.</w:t>
      </w:r>
    </w:p>
    <w:p>
      <w:pPr/>
      <w:r>
        <w:rPr>
          <w:b/>
        </w:rPr>
        <w:t>POSSIBLE 2022:</w:t>
      </w:r>
      <w:r>
        <w:t xml:space="preserve"> Greenhouse Gas Emission Reduction Potential of European Union’s Circularity Related Targets for Plastics — https://doi.org/10.1007/s43615-022-00192-8</w:t>
      </w:r>
    </w:p>
    <w:p>
      <w:pPr/>
      <w:r>
        <w:rPr>
          <w:b/>
        </w:rPr>
        <w:t>Shared claim-specific concepts:</w:t>
      </w:r>
      <w:r>
        <w:t xml:space="preserve"> currently, target, emissions; EU scope visible. This is a provisional connection, not an outcome finding.</w:t>
      </w:r>
    </w:p>
    <w:p>
      <w:pPr>
        <w:pStyle w:val="SourceNote"/>
      </w:pPr>
      <w:r>
        <w:rPr>
          <w:b/>
        </w:rPr>
        <w:t>Available abstract (not full text):</w:t>
      </w:r>
      <w:r>
        <w:t xml:space="preserve"> Current rising concerns about environmental and climate impacts in production, consumption and end-of-life of plastics have led to efforts to switch from linear to circular economy of plastics in Europe. Greenhouse gas emissions are likely to decrease with a transition to a circular system; however, a systematic and integrated perspective on plastics and the carbon cycle is currently missing in the debate on plastics. In this study, a model to estimate greenhouse gas emissions of the current mostly linear plastics value chain of the EU in 2018 and a future scenario, 2025 model, were created. By 2025 if current policy targets are reached, the plastic packaging recycling rate should be 50%, PET-based drinking bottles should include 25% recycled content, 77% collection target for plastic bottles, 10 Mt recyclates should enter the markets, uptake of bio-based plastics is estimated by European bioplastics to increase from current 1 to 1.32% and landfilling will continue to decrease according to the current trend at 3.85%. Total greenhouse gas emissions caused by the current plastics value chain are estimated at 208 million tonnes of CO2-eq. The 2025 model estimates that total plastics value chain emissions will be 182 Mt of CO2-eq. Reduction potential is approximately 26 Mt of CO2-eq or 13%.</w:t>
      </w:r>
    </w:p>
    <w:p>
      <w:pPr/>
      <w:r>
        <w:rPr>
          <w:b/>
        </w:rPr>
        <w:t>POSSIBLE 2022:</w:t>
      </w:r>
      <w:r>
        <w:t xml:space="preserve"> Are tracking recommendations biased? A review of teachers’ role in the creation of inequalities in tracking decisions — https://doi.org/10.1016/j.tate.2022.103985</w:t>
      </w:r>
    </w:p>
    <w:p>
      <w:pPr/>
      <w:r>
        <w:rPr>
          <w:b/>
        </w:rPr>
        <w:t>Shared claim-specific concepts:</w:t>
      </w:r>
      <w:r>
        <w:t xml:space="preserve"> find, track, yet; EU scope not established. This is a provisional connection, not an outcome finding.</w:t>
      </w:r>
    </w:p>
    <w:p>
      <w:pPr>
        <w:pStyle w:val="SourceNote"/>
      </w:pPr>
      <w:r>
        <w:rPr>
          <w:b/>
        </w:rPr>
        <w:t>Available abstract (not full text):</w:t>
      </w:r>
      <w:r>
        <w:t xml:space="preserve"> Sorting students into hierarchically ordered tracks or streams on the basis of their academic performance (i.e., tracking) is ubiquitous in educational systems, and oftentimes based on teachers’ track recommendations. International surveys indicate that tracking is associated with educational inequalities. To determine if inequalities in tracking may be due to teacher recommendations being biased against students from disadvantaged socio-economic and/or ethnic backgrounds, we conducted a systematic review of 26 recent articles on tracking recommendations and students’ socio-economic or ethnic background. We find that teacher recommendations are biased against students from disadvantaged socio-economic backgrounds, yet evidence with respect to ethnic biases is more mixed. We also conducted an integrative review to examine which factors may account for social and ethnic inequalities in teacher tracking recommendations. We conclude that students’, parents’ and teachers’ attitudes and behaviours play a role in tracking recommendations but cannot fully account for the inequality in these recommendations. We discuss promising areas for future study, and argue that research may want to focus on finding institutional moderators in order to combat biases in educational institutions.</w:t>
      </w:r>
    </w:p>
    <w:p>
      <w:pPr>
        <w:pStyle w:val="Heading2"/>
      </w:pPr>
      <w:r>
        <w:t>638. A Game for All Seasons: Lessons and Learnings from the JRC’s Scenario Exploration System</w:t>
      </w:r>
    </w:p>
    <w:p>
      <w:pPr>
        <w:pStyle w:val="SourceNote"/>
      </w:pPr>
      <w:r>
        <w:rPr>
          <w:b/>
        </w:rPr>
        <w:t>Original source (2020):</w:t>
      </w:r>
      <w:r>
        <w:t xml:space="preserve"> https://doi.org/10.1177/1946756719890524</w:t>
      </w:r>
    </w:p>
    <w:p>
      <w:pPr/>
      <w:r>
        <w:t>Original wording (abstract; indexed_source_text_not_full_document_verified): It was originally geared at engaging EU policy-makers with scenarios in a facilitated process with a low learning curve.</w:t>
      </w:r>
    </w:p>
    <w:p>
      <w:pPr/>
      <w:r>
        <w:rPr>
          <w:b/>
        </w:rPr>
        <w:t>POSSIBLE 2022:</w:t>
      </w:r>
      <w:r>
        <w:t xml:space="preserve"> How not to manage crises in the European Union — https://doi.org/10.1093/ia/iiac064</w:t>
      </w:r>
    </w:p>
    <w:p>
      <w:pPr/>
      <w:r>
        <w:rPr>
          <w:b/>
        </w:rPr>
        <w:t>Shared claim-specific concepts:</w:t>
      </w:r>
      <w:r>
        <w:t xml:space="preserve"> engaging, policy-makers, process; EU scope visible. This is a provisional connection, not an outcome finding.</w:t>
      </w:r>
    </w:p>
    <w:p>
      <w:pPr>
        <w:pStyle w:val="SourceNote"/>
      </w:pPr>
      <w:r>
        <w:rPr>
          <w:b/>
        </w:rPr>
        <w:t>Available abstract (not full text):</w:t>
      </w:r>
      <w:r>
        <w:t xml:space="preserve"> Abstract The process of European integration has often been used as either a model or an anti-model for other regional integration experiences. This article discusses the European Union's shortcomings in crisis management, arguing that valuable ‘how not to’ lessons can be drawn by dissecting the initial stages of the eurozone crisis and the COVID–19 pandemic as ‘moments of truth’. The main policy mistakes committed at the onset of both crises are explored devoting special attention to the role played by the hiatus between research and policy, as well as the inadequacies, biases and hubris of academic analyses. Ideally, comprehensive reforms would be required to equip the EU with the competences and tools needed for effective crisis management. The article concludes that, in the absence of such comprehensive reforms, the only option left to policy-makers engaging in crisis management will be to seek a pragmatic middle ground between supranationalism and intergovernmentalism on a case-by-case basis.</w:t>
      </w:r>
    </w:p>
    <w:p>
      <w:pPr>
        <w:pStyle w:val="Heading2"/>
      </w:pPr>
      <w:r>
        <w:t>639. A comparison of three transformation pathways towards a sustainable European society - An integrated analysis from an energy system perspective</w:t>
      </w:r>
    </w:p>
    <w:p>
      <w:pPr>
        <w:pStyle w:val="SourceNote"/>
      </w:pPr>
      <w:r>
        <w:rPr>
          <w:b/>
        </w:rPr>
        <w:t>Original source (2020):</w:t>
      </w:r>
      <w:r>
        <w:t xml:space="preserve"> https://doi.org/10.1016/j.esr.2020.100461</w:t>
      </w:r>
    </w:p>
    <w:p>
      <w:pPr/>
      <w:r>
        <w:t>Original wording (abstract; indexed_source_text_not_full_document_verified): The application looks at three clearly distinguished but likely paths: one where the decarbonisation effort is mostly undertaken by decarbonisation of the energy supply; one where consumers take on a more active role in the decarbonisation, instead; one where ambitions are raised and all sectors of the economy must act together to achieve the targets. To realise this transition, a reduction in greenhouse gas emissions of at least 80% from 1990 levels by 2050 is required.</w:t>
      </w:r>
    </w:p>
    <w:p>
      <w:pPr/>
      <w:r>
        <w:rPr>
          <w:b/>
        </w:rPr>
        <w:t>POSSIBLE 2026:</w:t>
      </w:r>
      <w:r>
        <w:t xml:space="preserve"> The impacts of the covidfencing phenomenon in three European cross border regions — https://doi.org/10.1080/09654313.2026.2655883</w:t>
      </w:r>
    </w:p>
    <w:p>
      <w:pPr/>
      <w:r>
        <w:rPr>
          <w:b/>
        </w:rPr>
        <w:t>Shared claim-specific concepts:</w:t>
      </w:r>
      <w:r>
        <w:t xml:space="preserve"> looks, three, role; EU scope visible. This is a provisional connection, not an outcome finding.</w:t>
      </w:r>
    </w:p>
    <w:p>
      <w:pPr>
        <w:pStyle w:val="SourceNote"/>
      </w:pPr>
      <w:r>
        <w:rPr>
          <w:b/>
        </w:rPr>
        <w:t>Available abstract (not full text):</w:t>
      </w:r>
      <w:r>
        <w:t xml:space="preserve"> This article adopts a temporal and multi-level perspective on the phenomenon of covidfencing, which emerged during the COVID-19 pandemic of the early 2020s and led to widespread ‘re-bordering’ across European cross-border regions. It explores how different regions experienced covidfencing and analyzes the processes that produced divergent outcomes, considering developments at regional, national, and European levels. By assessing the situation several years after the initial crisis, the article examines the persistence of changes to the constitutionalization and everyday functioning of cross-border regions. Drawing on qualitative research in the Geneva Basin, Greater Saar-Lor-Lux, and Öresund regions, it identifies tangible reforms in taxation, social security, and remote work frameworks that have reshaped cross-border mobility and governance. The article also looks ahead to evaluate what institutional changes have been made to improve crisis preparedness and which lessons from the covidfencing period remain unaddressed. In doing so, it contributes to current debates on regional governance resilience, offering insights into how the experiences of the early 2020s have influenced the evolving role and structure of cross-border regions in Europe today.</w:t>
      </w:r>
    </w:p>
    <w:p>
      <w:pPr/>
      <w:r>
        <w:rPr>
          <w:b/>
        </w:rPr>
        <w:t>POSSIBLE 2026:</w:t>
      </w:r>
      <w:r>
        <w:t xml:space="preserve"> Mnemonic Devices Used by Iraqi Distinguished Students — https://doi.org/10.63797/5nanjq38</w:t>
      </w:r>
    </w:p>
    <w:p>
      <w:pPr/>
      <w:r>
        <w:rPr>
          <w:b/>
        </w:rPr>
        <w:t>Shared claim-specific concepts:</w:t>
      </w:r>
      <w:r>
        <w:t xml:space="preserve"> distinguished, one, role, all; EU scope not established. This is a provisional connection, not an outcome finding.</w:t>
      </w:r>
    </w:p>
    <w:p>
      <w:pPr>
        <w:pStyle w:val="SourceNote"/>
      </w:pPr>
      <w:r>
        <w:rPr>
          <w:b/>
        </w:rPr>
        <w:t>Available abstract (not full text):</w:t>
      </w:r>
      <w:r>
        <w:t xml:space="preserve"> Mnemonic devices are special techniques or strategies consciously used to improve memory. They help employ information already stored in long-term memory in order to make memorization an easier task. All specialists in the field of education and methodology agree about the important role such strategies play in improving students storing and later recall of information. The present study firstly aims at exploring mnemonic strategies used by Iraqi distinguished students. The second aim is that the researcher wants to shed light on the types of mnemonics devices used by male and those adopted by female students. To achieve aims of the study the researcher constructs a questionnaire. A closed type of questionnaire consists of (32) items with five Likert options built by the researcher. Each item of the questionnaire reflects one of the mnemonic strategies that can be used by student when they want to memorize and retrieve information. The whole population of the present study includes the fifth stage students of secondary schools for distinguished students for boys and girls in the city of Karbala governorate during the academic year 2023-2024. The sample of the present study consists of (165) students (male and female) and this represent all the distinguished students in fifth secondary stage in Karbala city in the academic year 2023-2024.</w:t>
      </w:r>
    </w:p>
    <w:p>
      <w:pPr/>
      <w:r>
        <w:rPr>
          <w:b/>
        </w:rPr>
        <w:t>POSSIBLE 2025:</w:t>
      </w:r>
      <w:r>
        <w:t xml:space="preserve"> Celebrating its past, European Medicines Agency looks to the future of public communication — https://doi.org/10.56012/jkzv5290</w:t>
      </w:r>
    </w:p>
    <w:p>
      <w:pPr/>
      <w:r>
        <w:rPr>
          <w:b/>
        </w:rPr>
        <w:t>Shared claim-specific concepts:</w:t>
      </w:r>
      <w:r>
        <w:t xml:space="preserve"> looks, three, one; EU scope visible. This is a provisional connection, not an outcome finding.</w:t>
      </w:r>
    </w:p>
    <w:p>
      <w:pPr>
        <w:pStyle w:val="SourceNote"/>
      </w:pPr>
      <w:r>
        <w:rPr>
          <w:b/>
        </w:rPr>
        <w:t>Available abstract (not full text):</w:t>
      </w:r>
      <w:r>
        <w:t xml:space="preserve"> As the European Medicines Agency (EMA) marks its 30th anniversary with a series of events at its offices in Amsterdam, one area in the spotlight is EMA’s communication with the public. The Agency has made significant strides in this area over the past three decades, and it faces new challenges today. There are also exciting opportunities brought about by changes to the pharmaceutical and technological landscape.</w:t>
      </w:r>
    </w:p>
    <w:p>
      <w:pPr/>
      <w:r>
        <w:rPr>
          <w:b/>
        </w:rPr>
        <w:t>POSSIBLE 2025:</w:t>
      </w:r>
      <w:r>
        <w:t xml:space="preserve"> A Comprehensive Review of Solar Photovoltaic Systems: Scope, Technologies, Applications, Progress, Challenges, and Recommendations — https://doi.org/10.1109/access.2025.3558539</w:t>
      </w:r>
    </w:p>
    <w:p>
      <w:pPr/>
      <w:r>
        <w:rPr>
          <w:b/>
        </w:rPr>
        <w:t>Shared claim-specific concepts:</w:t>
      </w:r>
      <w:r>
        <w:t xml:space="preserve"> looks, three, one, energy; EU scope visible. This is a provisional connection, not an outcome finding.</w:t>
      </w:r>
    </w:p>
    <w:p>
      <w:pPr>
        <w:pStyle w:val="SourceNote"/>
      </w:pPr>
      <w:r>
        <w:rPr>
          <w:b/>
        </w:rPr>
        <w:t>Available abstract (not full text):</w:t>
      </w:r>
      <w:r>
        <w:t xml:space="preserve"> The paradigm for energy systems has shifted in the last several years from non-renewable energy sources to renewable energy sources (RESs). Leveraging RESs seeks to meet local demand while reducing complexity, expense, and inefficiencies and promoting energy independence, local resilience, and the transition to zero CO2 emissions. One of the RES technologies that could help create clean, dependable, scalable, and reasonably priced energy is solar energy. This article offers a detailed analysis of solar photovoltaic (PV) technology. It examines the distinct qualities and developments of the three generations of solar PV technologies: first-generation crystalline silicon, second-generation thin-film, and third-generation developing technologies including perovskite and organic cells. The study also looks at the many diverse applications of solar photovoltaics, such as energy communities, microgrids, transportation systems, telecommunications, and agriculture. Moreover, it highlights the deployment of the solar PV system in Italy by overseeing the installed capacity, electricity generation, and energy consumption with different types of energy sources after focusing on global and European scenarios. From the data, it is seen that China, USA, and India have led the world in capacity growth for solar PV, while Europe continues to lead the way in policy-driven solar adoption. Italy h</w:t>
      </w:r>
    </w:p>
    <w:p>
      <w:pPr/>
      <w:r>
        <w:rPr>
          <w:b/>
        </w:rPr>
        <w:t>POSSIBLE 2025:</w:t>
      </w:r>
      <w:r>
        <w:t xml:space="preserve"> Taxonomical Analysis of Alternative Energy Sources Application in Road Transport in the European Union Countries — https://doi.org/10.3390/en18164228</w:t>
      </w:r>
    </w:p>
    <w:p>
      <w:pPr/>
      <w:r>
        <w:rPr>
          <w:b/>
        </w:rPr>
        <w:t>Shared claim-specific concepts:</w:t>
      </w:r>
      <w:r>
        <w:t xml:space="preserve"> application, looks, energy; EU scope visible. This is a provisional connection, not an outcome finding.</w:t>
      </w:r>
    </w:p>
    <w:p>
      <w:pPr>
        <w:pStyle w:val="SourceNote"/>
      </w:pPr>
      <w:r>
        <w:rPr>
          <w:b/>
        </w:rPr>
        <w:t>Available abstract (not full text):</w:t>
      </w:r>
      <w:r>
        <w:t xml:space="preserve"> Currently, the market for cars based on alternative fuels is developing very dynamically, which is caused by the growing needs in the field of environmental protection and the desire to reduce dependence on fossil fuels. Many countries have introduced various forms of support for people who decide to buy an electric or a hybrid car. The European Union has also introduced increasingly restrictive CO2 emission standards, which accelerates the transition to alternative drives. The main research question in the paper was how the market for alternative energy sources in transport is developing in individual countries of the community, what the infrastructure looks like, and whether there is a large diversity in this field in the countries under study. The taxonomic methods (the TOPSIS method and the cluster analysis) have been applied for the research. The data were taken from Eurostat and the European Alternative Fuels Observatory statistical data. The analysis allowed an identification of key regularities that characterize the process of transformation of road transport in the European Union. Firstly, there is a clear division in countries with a high level of electrification (clusters I, IV, and VI) and countries that prefer gas drives (cluster V) or that are at an early stage of transformation (clusters II and III). Secondly, a strong relationship between the development of char</w:t>
      </w:r>
    </w:p>
    <w:p>
      <w:pPr/>
      <w:r>
        <w:rPr>
          <w:b/>
        </w:rPr>
        <w:t>POSSIBLE 2024:</w:t>
      </w:r>
      <w:r>
        <w:t xml:space="preserve"> European Union Funds – Application Perspective — https://doi.org/10.33067/se.1.2024.1</w:t>
      </w:r>
    </w:p>
    <w:p>
      <w:pPr/>
      <w:r>
        <w:rPr>
          <w:b/>
        </w:rPr>
        <w:t>Shared claim-specific concepts:</w:t>
      </w:r>
      <w:r>
        <w:t xml:space="preserve"> application, but, all; EU scope visible. This is a provisional connection, not an outcome finding.</w:t>
      </w:r>
    </w:p>
    <w:p>
      <w:pPr>
        <w:pStyle w:val="SourceNote"/>
      </w:pPr>
      <w:r>
        <w:rPr>
          <w:b/>
        </w:rPr>
        <w:t>Available abstract (not full text):</w:t>
      </w:r>
      <w:r>
        <w:t xml:space="preserve"> The result of an effective management of the redistribution of European Union funds should be a reduction of disparities between EU regions by guaranteeing their comprehensive and harmonious development and supporting the economic and social cohesion of member countries. A poorly-conducted programming process of ﬁnancial interventionism, the source of which is EU funds, may result in divergence between regions, the direct effect of which would be their social and economic marginalisation. For this reason, it is important to skillfully manage those funds. The main aim of this article is to present the factors affecting the decision-making process of the use of EU co-ﬁnancing, and that includes the pandemic as an external variable being a threat to the implementation of investments from the EU’s structural funds. To explain the multivariate associations between explanatory variables and the binary outcome variables, logistic regression was employed. Based on the tests’ results, signiﬁcant associations were observed between the dependent variable and (a) participation in training co-ﬁnanced by EU funds, (b) receiving information regarding additional EU funds as pandemic support, and (c) the suspension of planned investments using EU funds due to the pandemic situation. A comprehensive distribution of respondents according to the response categories in the analysed variables within</w:t>
      </w:r>
    </w:p>
    <w:p>
      <w:pPr/>
      <w:r>
        <w:rPr>
          <w:b/>
        </w:rPr>
        <w:t>POSSIBLE 2024:</w:t>
      </w:r>
      <w:r>
        <w:t xml:space="preserve"> European instruments for the deportation of foreigners and their uses by France and Switzerland: the application of the Dublin III Regulation and Eurodac — https://doi.org/10.4324/9781003533313-7</w:t>
      </w:r>
    </w:p>
    <w:p>
      <w:pPr/>
      <w:r>
        <w:rPr>
          <w:b/>
        </w:rPr>
        <w:t>Shared claim-specific concepts:</w:t>
      </w:r>
      <w:r>
        <w:t xml:space="preserve"> application, looks, three, clearly; EU scope visible. This is a provisional connection, not an outcome finding.</w:t>
      </w:r>
    </w:p>
    <w:p>
      <w:pPr>
        <w:pStyle w:val="SourceNote"/>
      </w:pPr>
      <w:r>
        <w:rPr>
          <w:b/>
        </w:rPr>
        <w:t>Available abstract (not full text):</w:t>
      </w:r>
      <w:r>
        <w:t xml:space="preserve"> The European Union put in place instruments for the deportation of foreigners that gained much importance. This article describes the multiplicity and diversity of these instruments. To analyse them more clearly, it distinguishes three types: legal, organisational and technological. The article equally points to the increasing relevance of technological tools, especially the use of biometrics. It also looks at how a founding member of the EU, France, and an associated country, Switzerland, utilise these European instruments to deport foreigners by focusing on the Dublin III Regulation as well as the Eurodac database, jointly referred to as the Dublin System. Grounding on a comparative study combining documentary analysis and semi-structured interviews and participant observation, this article describes the similarities and differences in the use of the Dublin System in these two countries. Moreover, it also reveals these countries’ specificities with regard to the roles played by local and national administrative bodies, and associative actors. The paper ends by concluding that to fully understand the deportation process in the European context as well as in certain countries, a multifaceted approach is required to make sense of the various interactions taking place between local, national and supranational frameworks, actors and practices.</w:t>
      </w:r>
    </w:p>
    <w:p>
      <w:pPr/>
      <w:r>
        <w:rPr>
          <w:b/>
        </w:rPr>
        <w:t>POSSIBLE 2023:</w:t>
      </w:r>
      <w:r>
        <w:t xml:space="preserve"> EU enlargement in wartime Europe: three dimensions and scenarios — https://doi.org/10.1080/21582041.2023.2289661</w:t>
      </w:r>
    </w:p>
    <w:p>
      <w:pPr/>
      <w:r>
        <w:rPr>
          <w:b/>
        </w:rPr>
        <w:t>Shared claim-specific concepts:</w:t>
      </w:r>
      <w:r>
        <w:t xml:space="preserve"> three, but, active; EU scope visible. This is a provisional connection, not an outcome finding.</w:t>
      </w:r>
    </w:p>
    <w:p>
      <w:pPr>
        <w:pStyle w:val="SourceNote"/>
      </w:pPr>
      <w:r>
        <w:rPr>
          <w:b/>
        </w:rPr>
        <w:t>Available abstract (not full text):</w:t>
      </w:r>
      <w:r>
        <w:t xml:space="preserve"> The enlargement policy of the European Union from 2013 to 2022 was not only ineffective, but also lacked an active enlargement drive.Russia's war in Ukraine changed the equation of costs and benefits in favour of new members and gave the EU a geopolitical incentive to restart enlargement.Enlargement is not only a geopolitical strategy, however: it also requires successful state-building efforts in the neighbourhood.Moreover, it is closely interlinked with the EU's internal development.This article analyses the current evolution of the EU enlargement policy as it emerges from the interplay of geopolitics, state-building challenges, and the EU's internal dynamics.Drawing on original interviews with officials, the paper also presents three scenarios for the coming decade.The paper concludes that to achieve its foreign policy objectives in the neighbourhood, the EU cannot continue 'business as usual' with enlargement.On the contrary, the policy of 2013-2022 needs to be replaced by a more effective model that encourages candidate countries to undertake genuine efforts towards democratic development.At the same time, reforms and compromises are required at the EU's end.Finally, the EU needs to better address the security needs of the applicant countries already during the accession process.</w:t>
      </w:r>
    </w:p>
    <w:p>
      <w:pPr/>
      <w:r>
        <w:rPr>
          <w:b/>
        </w:rPr>
        <w:t>POSSIBLE 2022:</w:t>
      </w:r>
      <w:r>
        <w:t xml:space="preserve"> The Rise of Three Rs Centres and Platforms in Europe* — https://doi.org/10.1177/02611929221099165</w:t>
      </w:r>
    </w:p>
    <w:p>
      <w:pPr/>
      <w:r>
        <w:rPr>
          <w:b/>
        </w:rPr>
        <w:t>Shared claim-specific concepts:</w:t>
      </w:r>
      <w:r>
        <w:t xml:space="preserve"> three, but, role, all; EU scope visible. This is a provisional connection, not an outcome finding.</w:t>
      </w:r>
    </w:p>
    <w:p>
      <w:pPr>
        <w:pStyle w:val="SourceNote"/>
      </w:pPr>
      <w:r>
        <w:rPr>
          <w:b/>
        </w:rPr>
        <w:t>Available abstract (not full text):</w:t>
      </w:r>
      <w:r>
        <w:t xml:space="preserve"> Public awareness and discussion about animal experiments and replacement methods has greatly increased in recent years. The term ‘the Three Rs’, which stands for the Replacement, Reduction and Refinement of animal experiments, is inseparably linked in this context. A common goal within the Three Rs scientific community is to develop predictive non-animal models and to better integrate all available data from in vitro, in silico and omics technologies into regulatory decision-making processes regarding, for example, the toxicity of chemicals, drugs or food ingredients. In addition, it is a general concern to implement (human) non-animal methods in basic research. Toward these efforts, there has been an ever-increasing number of Three Rs centres and platforms established over recent years — not only to develop novel methods, but also to disseminate knowledge and help to implement the Three Rs principles in policies and education. The adoption of Directive 2010/63/EU on the protection of animals used for scientific purposes gave a strong impetus to the creation of Three Rs initiatives, in the form of centres and platforms. As the first of a series of papers, this article gives an overview of the European Three Rs centres and platforms, and their historical development. The subsequent articles, to be published over the course of ATLA’s 50th Anniversary year, will summarise the curr</w:t>
      </w:r>
    </w:p>
    <w:p>
      <w:pPr/>
      <w:r>
        <w:rPr>
          <w:b/>
        </w:rPr>
        <w:t>POSSIBLE 2022:</w:t>
      </w:r>
      <w:r>
        <w:t xml:space="preserve"> Integrating nature conservation measures in european forest management – An exploratory study of barriers and drivers in 9 european countries — https://doi.org/10.1016/j.jenvman.2022.116619</w:t>
      </w:r>
    </w:p>
    <w:p>
      <w:pPr/>
      <w:r>
        <w:rPr>
          <w:b/>
        </w:rPr>
        <w:t>Shared claim-specific concepts:</w:t>
      </w:r>
      <w:r>
        <w:t xml:space="preserve"> application, looks, one; EU scope visible. This is a provisional connection, not an outcome finding.</w:t>
      </w:r>
    </w:p>
    <w:p>
      <w:pPr>
        <w:pStyle w:val="SourceNote"/>
      </w:pPr>
      <w:r>
        <w:rPr>
          <w:b/>
        </w:rPr>
        <w:t>Available abstract (not full text):</w:t>
      </w:r>
      <w:r>
        <w:t xml:space="preserve"> Integrative forest management approaches, aiming to combine the provision of multiple forest ecosystem services in the same forest area, are popular forest management concepts in Europe. Their understanding and application varies, however, across the continent. This paper looks at one dimension of integrative forest management approaches in particular - the integration of nature conservation measures into forest management; focusing on its understanding and application, as well as current and future social, technological, ecological, economic and political factors enabling or hampering this integration. Drawing on 42 qualitative in-depth interviews with national experts and forest practitioners, our study provides insights into the integration of nature conservation measures into forest management systems aimed at wood production and the provision of other forest ecosystem services under various conditions. Across the investigated countries, the main factors perceived to facilitate this integration are the personal motivations and knowledge of forest managers and their long-term economic thinking related to the resilience of the forest in the face of climate and societal change. In turn, the main factors perceived as hampering the integration are current wood-market demands, and a lack of (public) financial incentives. Public pressure is also perceived as an important influenci</w:t>
      </w:r>
    </w:p>
    <w:p>
      <w:pPr/>
      <w:r>
        <w:rPr>
          <w:b/>
        </w:rPr>
        <w:t>POSSIBLE 2022:</w:t>
      </w:r>
      <w:r>
        <w:t xml:space="preserve"> Civil liability and environmental protection : Italian-French looks — https://doi.org/10.57230/ejplt221ja</w:t>
      </w:r>
    </w:p>
    <w:p>
      <w:pPr/>
      <w:r>
        <w:rPr>
          <w:b/>
        </w:rPr>
        <w:t>Shared claim-specific concepts:</w:t>
      </w:r>
      <w:r>
        <w:t xml:space="preserve"> looks, but, one, all; EU scope visible. This is a provisional connection, not an outcome finding.</w:t>
      </w:r>
    </w:p>
    <w:p>
      <w:pPr>
        <w:pStyle w:val="SourceNote"/>
      </w:pPr>
      <w:r>
        <w:rPr>
          <w:b/>
        </w:rPr>
        <w:t>Available abstract (not full text):</w:t>
      </w:r>
      <w:r>
        <w:t xml:space="preserve"> With the growing awareness of environmental protection issues in contemporary societies and the increasing number and seriousness of environmental violations, civil liability emerged as one of the legal tools to be mobilized in particular in Italy and then in France and all Europe.The traditional Aquilian civil liability forged by Roman law has nevertheless had to be adapted to the specificity of the recent environmental issue. Especially through its traditional conditions of damage, of event giving rise to liability and of causal link. But also with regard to the functions of civil liability, even if the evolution of the latter makes it possible to accommodate more easily the protection of the environment with a dimension that is not only compensatory and remedial, but also punitive and preventive.However, paradoxically civil liability may appear today in several respects as a model to be more faithfully rediscovered for a more effective and coherent protection of the environment.</w:t>
      </w:r>
    </w:p>
    <w:p>
      <w:pPr/>
      <w:r>
        <w:rPr>
          <w:b/>
        </w:rPr>
        <w:t>POSSIBLE 2022:</w:t>
      </w:r>
      <w:r>
        <w:t xml:space="preserve"> Civil liability and environmental protection: Italian-French looks — https://doi.org/10.57230/ejplt221ja</w:t>
      </w:r>
    </w:p>
    <w:p>
      <w:pPr/>
      <w:r>
        <w:rPr>
          <w:b/>
        </w:rPr>
        <w:t>Shared claim-specific concepts:</w:t>
      </w:r>
      <w:r>
        <w:t xml:space="preserve"> looks, but, one, all; EU scope visible. This is a provisional connection, not an outcome finding.</w:t>
      </w:r>
    </w:p>
    <w:p>
      <w:pPr>
        <w:pStyle w:val="SourceNote"/>
      </w:pPr>
      <w:r>
        <w:rPr>
          <w:b/>
        </w:rPr>
        <w:t>Available abstract (not full text):</w:t>
      </w:r>
      <w:r>
        <w:t xml:space="preserve"> With the growing awareness of environmental protection issues in contemporary societies and the increasing number and seriousness of environmental violations, civil liability emerged as one of the legal tools to be mobilized in particular in Italy and then in France and all Europe. The traditional Aquilian civil liability forged by Roman law has nevertheless had to be adapted to the specificity of the recent environmental issue. Especially through its traditional conditions of damage, of event giving rise to liability and of causal link. But also with regard to the functions of civil liability, even if the evolution of the latter makes it possible to accommodate more easily the protection of the environment with a dimension that is not only compensatory and remedial, but also punitive and preventive. However, paradoxically civil liability may appear today in several respects as a model to be more faithfully rediscovered for a more effective and coherent protection of the environment.</w:t>
      </w:r>
    </w:p>
    <w:p>
      <w:pPr>
        <w:pStyle w:val="Heading2"/>
      </w:pPr>
      <w:r>
        <w:t>640. A ‘futures’ approach towards the wellbeing of future generations in Wales and beyond</w:t>
      </w:r>
    </w:p>
    <w:p>
      <w:pPr>
        <w:pStyle w:val="SourceNote"/>
      </w:pPr>
      <w:r>
        <w:rPr>
          <w:b/>
        </w:rPr>
        <w:t>Original source (2020):</w:t>
      </w:r>
      <w:r>
        <w:t xml:space="preserve"> https://doi.org/10.1093/eurpub/ckaa165.1289</w:t>
      </w:r>
    </w:p>
    <w:p>
      <w:pPr/>
      <w:r>
        <w:t>Original wording (abstract; indexed_source_text_not_full_document_verified): It is not about predicting the future but is about developing alternative futures or scenarios and using them to inform how best to move towards the preferred future. This Act has been globally recognised as a unique sustainable development legislation, putting Wales at the forefront of creating a different future for generations to come.</w:t>
      </w:r>
    </w:p>
    <w:p>
      <w:pPr/>
      <w:r>
        <w:rPr>
          <w:b/>
        </w:rPr>
        <w:t>POSSIBLE 2026:</w:t>
      </w:r>
      <w:r>
        <w:t xml:space="preserve"> Why We Care About Understanding: Competence through Predictive Compression — https://doi.org/10.48550/arxiv.2609.04962</w:t>
      </w:r>
    </w:p>
    <w:p>
      <w:pPr/>
      <w:r>
        <w:rPr>
          <w:b/>
        </w:rPr>
        <w:t>Shared claim-specific concepts:</w:t>
      </w:r>
      <w:r>
        <w:t xml:space="preserve"> not, about, but; EU scope not established. This is a provisional connection, not an outcome finding.</w:t>
      </w:r>
    </w:p>
    <w:p>
      <w:pPr>
        <w:pStyle w:val="SourceNote"/>
      </w:pPr>
      <w:r>
        <w:rPr>
          <w:b/>
        </w:rPr>
        <w:t>Available abstract (not full text):</w:t>
      </w:r>
      <w:r>
        <w:t xml:space="preserve"> What is the relation between understanding and compression, and why does human understanding take such a heavily compressed form? Across information theory, machine learning, and AI research, a substantial tradition identifies understanding with compression-a thought captured in Gregory Chaitin's dictum that "comprehension is compression." Philosophers, by contrast, have characterized understanding in terms of grasping connections, giving explanations, and handling novelty. This paper bridges the two pictures through three interlocking theses. The first concerns the concept of understanding: it serves as an efficient proxy for a distinctive form of robust competence, enabling us to identify whom to trust and whom to learn from. The second concerns the state of understanding: to understand a domain is to possess a mental model of its relational structure that enables prediction, and what enables prediction enables compression, because what becomes predictable need not be stored separately. Compression is therefore not identical with comprehension, but its representational shadow. The third concerns the characteristically human form of understanding: the fiduciary and transmission functions highlighted by the first thesis impose pressures of demonstrability and transmissibility that drive human understanding toward principled simplicity. The resulting framework explains both the </w:t>
      </w:r>
    </w:p>
    <w:p>
      <w:pPr/>
      <w:r>
        <w:rPr>
          <w:b/>
        </w:rPr>
        <w:t>POSSIBLE 2025:</w:t>
      </w:r>
      <w:r>
        <w:t xml:space="preserve"> Developing an alternative medium for in-space biomanufacturing — https://doi.org/10.1038/s41467-025-56088-2</w:t>
      </w:r>
    </w:p>
    <w:p>
      <w:pPr/>
      <w:r>
        <w:rPr>
          <w:b/>
        </w:rPr>
        <w:t>Shared claim-specific concepts:</w:t>
      </w:r>
      <w:r>
        <w:t xml:space="preserve"> developing, alternative, sustainable; EU scope not established. This is a provisional connection, not an outcome finding.</w:t>
      </w:r>
    </w:p>
    <w:p>
      <w:pPr>
        <w:pStyle w:val="SourceNote"/>
      </w:pPr>
      <w:r>
        <w:rPr>
          <w:b/>
        </w:rPr>
        <w:t>Available abstract (not full text):</w:t>
      </w:r>
      <w:r>
        <w:t xml:space="preserve"> In-space biomanufacturing provides a sustainable solution to facilitate long-term, self-sufficient human habitation in extraterrestrial environments. However, its dependence on Earth-supplied feedstocks renders in-space biomanufacturing economically nonviable. Here, we develop a process termed alternative feedstock-driven in-situ biomanufacturing (AF-ISM) to alleviate dependence on Earth-based resupply of feedstocks. Specifically, we investigate three alternative feedstocks (AF)-Martian and Lunar regolith, post-consumer polyethylene terephthalate, and fecal waste-to develop an alternative medium for lycopene production using Rhodococcus jostii PET strain S6 (RPET S6). Our results show that RPET S6 could directly utilize regolith simulant particles as mineral replacements, while the addition of anaerobically pretreated fecal waste synergistically supported its cell growth. Additionally, lycopene production using AF under microgravity conditions achieved levels comparable to those on Earth. Furthermore, an economic analysis shows significant lycopene production cost reductions using AF-ISM versus conventional methods. Overall, this work highlights the viability of AF-ISM for in-space biomanufacturing.</w:t>
      </w:r>
    </w:p>
    <w:p>
      <w:pPr/>
      <w:r>
        <w:rPr>
          <w:b/>
        </w:rPr>
        <w:t>POSSIBLE 2024:</w:t>
      </w:r>
      <w:r>
        <w:t xml:space="preserve"> Scalar implicatures in children: alternatives and relevance — https://doi.org/10.58088/85gk-tw15</w:t>
      </w:r>
    </w:p>
    <w:p>
      <w:pPr/>
      <w:r>
        <w:rPr>
          <w:b/>
        </w:rPr>
        <w:t>Shared claim-specific concepts:</w:t>
      </w:r>
      <w:r>
        <w:t xml:space="preserve"> not, but, alternative; EU scope not established. This is a provisional connection, not an outcome finding.</w:t>
      </w:r>
    </w:p>
    <w:p>
      <w:pPr>
        <w:pStyle w:val="SourceNote"/>
      </w:pPr>
      <w:r>
        <w:rPr>
          <w:b/>
        </w:rPr>
        <w:t>Available abstract (not full text):</w:t>
      </w:r>
      <w:r>
        <w:t xml:space="preserve"> Utterances like "Megan ate some of the cupcakes" are typically interpreted as "Megan ate some but not all of the cupcakes". Such an interpretation is thought to arise from a pragmatic inference called Scalar Implicature (SI). Preschoolers typically fail to spontaneously generate SIs without the assistance of training or context that makes the stronger alternative salient. However, the exact role of alternatives in generating SIs remains contested. Furthermore, it is not clear whether children take into account the goal of the conversation in considering scalar alternatives and generating SIs. We present three studies with English-speaking preschoolers and adults designed to address these questions. We show that the presence of stronger alternative is important for SI generation (Experiment 1), that the stronger alternative leads to SI generation only when it is relevant to the goal of conversation (Experiment 2) and that relevance does not simply mediate, but in fact drives accessibility of the alternatives (Experiment 3). We discuss the implications of these findings for pragmatic inference and the study of pragmatic development in general.</w:t>
      </w:r>
    </w:p>
    <w:p>
      <w:pPr/>
      <w:r>
        <w:rPr>
          <w:b/>
        </w:rPr>
        <w:t>POSSIBLE 2023:</w:t>
      </w:r>
      <w:r>
        <w:t xml:space="preserve"> A Short Review about Predicting the Dew Point Pressure for Gas Condensate Reservoirs by Empirical Correlations — https://doi.org/10.5281/zenodo.8195449</w:t>
      </w:r>
    </w:p>
    <w:p>
      <w:pPr/>
      <w:r>
        <w:rPr>
          <w:b/>
        </w:rPr>
        <w:t>Shared claim-specific concepts:</w:t>
      </w:r>
      <w:r>
        <w:t xml:space="preserve"> about, predicting, best, different; EU scope not established. This is a provisional connection, not an outcome finding.</w:t>
      </w:r>
    </w:p>
    <w:p>
      <w:pPr>
        <w:pStyle w:val="SourceNote"/>
      </w:pPr>
      <w:r>
        <w:rPr>
          <w:b/>
        </w:rPr>
        <w:t>Available abstract (not full text):</w:t>
      </w:r>
      <w:r>
        <w:t xml:space="preserve"> Abstract: The following essay compiles different correlations found in the literature to determine the dew point pressure of gas condensate reservoirs. An evaluation and comparison study of these methods is performed for 150 gas samples from different regions and literature sources. The tested models were: Shokir, Nemeth-Kennedy, Elsharkawy, Ahmadi, Kamari and Okpo Nnadozie. The before mentioned models were chosen because they are function of reservoir temperature, gas composition, molecular weight, and specific gravity of the heavy component (C7+). The best model representing the dew points pressures of the 150 gases samples in this study was statistically determined. Keywords: Reservoir temperature, dew point pressure, gas composition, molecular weight, specific gravity, retrograde condensation, gas condensate, heavy components. Title: A Short Review about Predicting the Dew Point Pressure for Gas Condensate Reservoirs by Empirical Correlations Author: Alaa Zeinab, Timur-Vasile Chis, Alejandro Osorio Pozo International Journal of Engineering Research and Reviews ISSN 2348-697X (Online) Vol. 11, Issue 3, July 2023 - September 2023 Page No: 31-40 Research Publish Journals Website: www.researchpublish.com Published Date: 29-July-2023 DOI: https://doi.org/10.5281/zenodo.8195450 Paper Download Link (Source) https://www.researchpublish.com/papers/a-short-review-about-predicting-the</w:t>
      </w:r>
    </w:p>
    <w:p>
      <w:pPr/>
      <w:r>
        <w:rPr>
          <w:b/>
        </w:rPr>
        <w:t>POSSIBLE 2023:</w:t>
      </w:r>
      <w:r>
        <w:t xml:space="preserve"> The Why, When, What, and How About Predictive Continuous Integration: A Simulation-Based Investigation — https://doi.org/10.1109/tse.2023.3330510</w:t>
      </w:r>
    </w:p>
    <w:p>
      <w:pPr/>
      <w:r>
        <w:rPr>
          <w:b/>
        </w:rPr>
        <w:t>Shared claim-specific concepts:</w:t>
      </w:r>
      <w:r>
        <w:t xml:space="preserve"> not, about, but; EU scope not established. This is a provisional connection, not an outcome finding.</w:t>
      </w:r>
    </w:p>
    <w:p>
      <w:pPr>
        <w:pStyle w:val="SourceNote"/>
      </w:pPr>
      <w:r>
        <w:rPr>
          <w:b/>
        </w:rPr>
        <w:t>Available abstract (not full text):</w:t>
      </w:r>
      <w:r>
        <w:t xml:space="preserve"> Continuous Integration (CI) enables developers to detect defects early and thus reduce lead time. However, the high frequency and long duration of executing CI have a detrimental effect on this practice. Existing studies have focused on using CI outcome predictors to reduce frequency. Since there is no reported project using predictive CI, it is difficult to evaluate its economic impact. This research aims to investigate predictive CI from a process perspective, including why and when to adopt predictors, what predictors to be used, and how to practice predictive CI in real projects. We innovatively employ Software Process Simulation to simulate a predictive CI process with a Discrete-Event Simulation (DES) model and conduct simulation-based experiments. We develop the Rollback-based Identification of Defective Commits (RIDEC) method to account for the negative effects of false predictions in simulations. Experimental results show that: 1) using predictive CI generally improves the effectiveness of CI, reducing time costs by up to 36.8% and the average waiting time before executing CI by 90.5%; 2) the time-saving varies across projects, with higher commit frequency projects benefiting more; and 3) predictor performance does not strongly correlate with time savings, but the precision of both failed and passed predictions should be paid more attention. Simulation-based evaluation</w:t>
      </w:r>
    </w:p>
    <w:p>
      <w:pPr/>
      <w:r>
        <w:rPr>
          <w:b/>
        </w:rPr>
        <w:t>POSSIBLE 2023:</w:t>
      </w:r>
      <w:r>
        <w:t xml:space="preserve"> Physicians' perception about predictors of opioid abuse in patients with chronic non-cancer pain: a Delphi study — https://doi.org/10.3389/fpain.2023.1269018</w:t>
      </w:r>
    </w:p>
    <w:p>
      <w:pPr/>
      <w:r>
        <w:rPr>
          <w:b/>
        </w:rPr>
        <w:t>Shared claim-specific concepts:</w:t>
      </w:r>
      <w:r>
        <w:t xml:space="preserve"> not, about, developing; EU scope not established. This is a provisional connection, not an outcome finding.</w:t>
      </w:r>
    </w:p>
    <w:p>
      <w:pPr>
        <w:pStyle w:val="SourceNote"/>
      </w:pPr>
      <w:r>
        <w:rPr>
          <w:b/>
        </w:rPr>
        <w:t>Available abstract (not full text):</w:t>
      </w:r>
      <w:r>
        <w:t xml:space="preserve"> Background: Opioids are being prescribed widely, and increasingly, for the treatment of chronic non-cancer pain (CNCP). However, several side effects are associated with mid- and long-term opioid use and, for certain patients, with the risk of problematic opioid use. The aim of this study is to know the perception of the physicians about which variables could be associated with increased risk of patients with CNCP developing a problem of abuse or misuse of the prescribed opioid medication. Methods: Twenty-nine physicians with experience in CNCP pain management and opioids prescription participated in a two-round Delphi study focused on the risk factors for opioid misuse and abuse. Results: The variables that reached consensus regarding their relationship with the increased risk of suffering a problem of opioid abuse or misuse were: (1) Experiencing pain on a daily basis, (2) previous use of high-dose opioids, (3) generalized anxiety, (4) hopelessness, (5) benzodiazepine intake, (6) use of opioids for reasons other than pain, (7) family problems, family instability or family breakdown, and (8) having access to several opioid prescribers. The only variable that reached consensus regarding it not being associated to a possible risk of abuse or misuse was having mild pain intensity (0-4 on a NRS-11). Conclusions: This study provides useful information that could help make decisions</w:t>
      </w:r>
    </w:p>
    <w:p>
      <w:pPr/>
      <w:r>
        <w:rPr>
          <w:b/>
        </w:rPr>
        <w:t>POSSIBLE 2023:</w:t>
      </w:r>
      <w:r>
        <w:t xml:space="preserve"> DRIVERS FOR ALTERNATIVE PROTEIN CONSUMPTION — https://doi.org/10.14488/enegep2023_tn_wpg_407_2007_46332</w:t>
      </w:r>
    </w:p>
    <w:p>
      <w:pPr/>
      <w:r>
        <w:rPr>
          <w:b/>
        </w:rPr>
        <w:t>Shared claim-specific concepts:</w:t>
      </w:r>
      <w:r>
        <w:t xml:space="preserve"> not, but, developing, alternative, sustainable; EU scope not established. This is a provisional connection, not an outcome finding.</w:t>
      </w:r>
    </w:p>
    <w:p>
      <w:pPr>
        <w:pStyle w:val="SourceNote"/>
      </w:pPr>
      <w:r>
        <w:rPr>
          <w:b/>
        </w:rPr>
        <w:t>Available abstract (not full text):</w:t>
      </w:r>
      <w:r>
        <w:t xml:space="preserve"> By 2050, the global population is projected to surpass nine billion individuals (FAO, 2013).Consequently, the United Nations has recognized the imperative to substantially augment food production to meet the future population's demands.Notably, the consumption of animalderived food is anticipated to rise by 2050, particularly in developing nations, at an accelerated pace (HPLE, 2016).Conversely, livestock-related activities engender adverse environmental repercussions, primarily attributable to their substantial contributions to greenhouse gas emissions and the depletion of critical resources such as land and water (FAO, 2013).Concerning climate change, global greenhouse gas (GHG) emissions have experienced a resurgence, reaching a record-breaking 52.4 gigatons of carbon dioxide equivalent (GtCO2e) in 2019 (PNUMA, 2020).Bill Gates (2021) posits that the agricultural sector accounts for 19% of total GHG emissions, with livestock production for food constituting the principal contributor within this sector.However, the author asserts that the primary culprits are not carbon dioxide but rather methane and nitrous oxide, which possess significantly higher heat-trapping potentials compared to carbon dioxide, with factors of 28 and 265 times, respectively.Global data substantiate that livestock production contributes the largest share of GHG emissions within the agricultural sector, </w:t>
      </w:r>
    </w:p>
    <w:p>
      <w:pPr/>
      <w:r>
        <w:rPr>
          <w:b/>
        </w:rPr>
        <w:t>POSSIBLE 2023:</w:t>
      </w:r>
      <w:r>
        <w:t xml:space="preserve"> Algae as a potential source of protein meat alternatives — https://doi.org/10.3389/fnut.2023.1254300</w:t>
      </w:r>
    </w:p>
    <w:p>
      <w:pPr/>
      <w:r>
        <w:rPr>
          <w:b/>
        </w:rPr>
        <w:t>Shared claim-specific concepts:</w:t>
      </w:r>
      <w:r>
        <w:t xml:space="preserve"> about, but, developing, sustainable; EU scope not established. This is a provisional connection, not an outcome finding.</w:t>
      </w:r>
    </w:p>
    <w:p>
      <w:pPr>
        <w:pStyle w:val="SourceNote"/>
      </w:pPr>
      <w:r>
        <w:rPr>
          <w:b/>
        </w:rPr>
        <w:t>Available abstract (not full text):</w:t>
      </w:r>
      <w:r>
        <w:t xml:space="preserve"> With the rise of plant-based meat alternatives, there is a growing need for sustainable and nutritious sources of protein. Alga is a rich protein source, and initial studies show that it can be a good component in developing protein meat alternatives. However, there are certain limitations in their use as the need for efficient and optimal technical process in large-scale protein extraction and purification, as well as overcoming certain negative effects such as potentially harmful compounds, allergenicity issues, or sensorial affections, especially in color but also in textural and flavor characteristics. This review offers a vision of the fledgling research about using alga protein in the development of meat alternatives or supplementing meat products.</w:t>
      </w:r>
    </w:p>
    <w:p>
      <w:pPr/>
      <w:r>
        <w:rPr>
          <w:b/>
        </w:rPr>
        <w:t>POSSIBLE 2023:</w:t>
      </w:r>
      <w:r>
        <w:t xml:space="preserve"> Beliefs About the Inevitability of Sexual Attraction Predict Stereotypes About Asexuality — https://doi.org/10.1007/s10508-023-02616-4</w:t>
      </w:r>
    </w:p>
    <w:p>
      <w:pPr/>
      <w:r>
        <w:rPr>
          <w:b/>
        </w:rPr>
        <w:t>Shared claim-specific concepts:</w:t>
      </w:r>
      <w:r>
        <w:t xml:space="preserve"> not, about, but; EU scope not established. This is a provisional connection, not an outcome finding.</w:t>
      </w:r>
    </w:p>
    <w:p>
      <w:pPr>
        <w:pStyle w:val="SourceNote"/>
      </w:pPr>
      <w:r>
        <w:rPr>
          <w:b/>
        </w:rPr>
        <w:t>Available abstract (not full text):</w:t>
      </w:r>
      <w:r>
        <w:t xml:space="preserve"> Similar to other sexual minorities, asexual individuals often face prejudice and stereotyping. However, the source of these attitudes and beliefs is not well understood. We hypothesized that asexual stereotypes stem from the belief that sexual attraction is an inevitable part of human development. This attraction inevitability assumption can lead to the deduction that people who identify as asexual do so because they are going through a transitory stage or excusing socially avoidant tendencies. To test this stereotype deduction account, we examined whether specific asexual stereotypes (immaturity and non-sociality) were associated with adherence to the attraction inevitability assumption. Heterosexual participants (N = 322; 201 women, 114 men; mean age 34.6 yrs.) from the UK and the US read vignettes describing a target character that was either asexual or heterosexual. People who assumed that attraction is inevitable were more likely to evaluate asexual targets (but not heterosexual targets) as immature and non-social. The impact of the sexual inevitability assumption was present even when social dominance orientation, an attitude closely related to negativity toward all sexual minorities, was accounted for. Participants who adhered to the attraction inevitability assumption also showed a reduced inclination to befriend asexual individuals. These findings suggest that generali</w:t>
      </w:r>
    </w:p>
    <w:p>
      <w:pPr/>
      <w:r>
        <w:rPr>
          <w:b/>
        </w:rPr>
        <w:t>POSSIBLE 2022:</w:t>
      </w:r>
      <w:r>
        <w:t xml:space="preserve"> ‘Confused about Predicting whether This Kid is Good or Not’ — https://doi.org/10.53088/eej.v1i2.556</w:t>
      </w:r>
    </w:p>
    <w:p>
      <w:pPr/>
      <w:r>
        <w:rPr>
          <w:b/>
        </w:rPr>
        <w:t>Shared claim-specific concepts:</w:t>
      </w:r>
      <w:r>
        <w:t xml:space="preserve"> not, about, predicting; EU scope not established. This is a provisional connection, not an outcome finding.</w:t>
      </w:r>
    </w:p>
    <w:p>
      <w:pPr>
        <w:pStyle w:val="SourceNote"/>
      </w:pPr>
      <w:r>
        <w:rPr>
          <w:b/>
        </w:rPr>
        <w:t>Available abstract (not full text):</w:t>
      </w:r>
      <w:r>
        <w:t xml:space="preserve"> Backgrounds: The study analyzed the evaluation of social attitudes in the primary schools in Karanganyar Regency, Indonesia: honesty, discipline, responsibility, and tolerance. Methods: A qualitative descriptive technique with a case study design was employed in this investigation. There were eight recruits made up of both instructors and pupils. Observation and interview were the approaches utilized in this investigation. Data is evaluated through data reduction, presenting of data, and formulation of conclusions. Technical triangulation and source triangulation were evaluation procedures to evaluate the veracity of the data. Results: This study showed evaluations carried out; there were two evaluations for students and an evaluation for parents at Dabin I RA Kartini Elementary School. The obstacles that were complained about by the teachers were mostly about time constraints. Implications: The results of this study can be a reference for authors, teachers, and school principals in evaluating the assessment of social attitudes correctly Novelty: The present study revealed the evaluation of social attitudes assessment in primary school comprehensively.</w:t>
      </w:r>
    </w:p>
    <w:p>
      <w:pPr/>
      <w:r>
        <w:rPr>
          <w:b/>
        </w:rPr>
        <w:t>POSSIBLE 2022:</w:t>
      </w:r>
      <w:r>
        <w:t xml:space="preserve"> Developing Alternative Ways of Thinking about Death — https://doi.org/10.5040/9781805016175.ch-005</w:t>
      </w:r>
    </w:p>
    <w:p>
      <w:pPr/>
      <w:r>
        <w:rPr>
          <w:b/>
        </w:rPr>
        <w:t>Shared claim-specific concepts:</w:t>
      </w:r>
      <w:r>
        <w:t xml:space="preserve"> about, developing, alternative; EU scope not established. This is a provisional connection, not an outcome finding.</w:t>
      </w:r>
    </w:p>
    <w:p>
      <w:pPr>
        <w:pStyle w:val="SourceNote"/>
      </w:pPr>
      <w:r>
        <w:rPr>
          <w:b/>
        </w:rPr>
        <w:t>Available abstract (not full text):</w:t>
      </w:r>
      <w:r>
        <w:t xml:space="preserve"> Unavailable</w:t>
      </w:r>
    </w:p>
    <w:p>
      <w:pPr/>
      <w:r>
        <w:rPr>
          <w:b/>
        </w:rPr>
        <w:t>POSSIBLE 2022:</w:t>
      </w:r>
      <w:r>
        <w:t xml:space="preserve"> The Politics of Relevant Alternatives — https://doi.org/10.1017/hyp.2022.53</w:t>
      </w:r>
    </w:p>
    <w:p>
      <w:pPr/>
      <w:r>
        <w:rPr>
          <w:b/>
        </w:rPr>
        <w:t>Shared claim-specific concepts:</w:t>
      </w:r>
      <w:r>
        <w:t xml:space="preserve"> not, alternative, different; EU scope not established. This is a provisional connection, not an outcome finding.</w:t>
      </w:r>
    </w:p>
    <w:p>
      <w:pPr>
        <w:pStyle w:val="SourceNote"/>
      </w:pPr>
      <w:r>
        <w:rPr>
          <w:b/>
        </w:rPr>
        <w:t>Available abstract (not full text):</w:t>
      </w:r>
      <w:r>
        <w:t xml:space="preserve"> Abstract The main aim of this article is to use the resources of relevant-alternatives contextualism to provide an account of an unrecognized form of epistemic injustice that I call irrelevance-injustice. Irrelevance-injustice occurs either when a speaker raises an alternative that is not taken seriously when it should be, or when a speaker raises an alternative that is taken seriously when it should not be. Irrelevance-injustice influences what alternatives are perceived to be relevant and patterns of knowledge ascriptions in ways that are unfair. Asymmetries in whose alternatives are taken seriously affect how many alternatives members of different groups must rule out prior to being ascribed knowledge. Because knowledge ascriptions have socially valuable functions, asymmetries in whose alternatives are taken seriously mean asymmetries in who gets to do socially valuable things with knowledge ascriptions.</w:t>
      </w:r>
    </w:p>
    <w:p>
      <w:pPr>
        <w:pStyle w:val="Heading2"/>
      </w:pPr>
      <w:r>
        <w:t>641. Advancing tools to promote health equity across European Union regions: the EURO-HEALTHY project</w:t>
      </w:r>
    </w:p>
    <w:p>
      <w:pPr>
        <w:pStyle w:val="SourceNote"/>
      </w:pPr>
      <w:r>
        <w:rPr>
          <w:b/>
        </w:rPr>
        <w:t>Original source (2020):</w:t>
      </w:r>
      <w:r>
        <w:t xml:space="preserve"> https://doi.org/10.1186/s12961-020-0526-y</w:t>
      </w:r>
    </w:p>
    <w:p>
      <w:pPr/>
      <w:r>
        <w:t>Original wording (abstract; indexed_source_text_not_full_document_verified): Three scenarios for 2030 were produced - (1) the 'Failing Europe' scenario (worst case/increasing inequalities), (2) the 'Sustainable Prosperity' scenario (best case/decreasing inequalities) and (3) the 'Being Stuck' scenario (the EU and Member States maintain the status quo). Finally, the policy appraisal exercise conducted in Lisbon illustrates which policies have higher potential to improve health and how their feasibility can change according to different scenarios.</w:t>
      </w:r>
    </w:p>
    <w:p>
      <w:pPr/>
      <w:r>
        <w:rPr>
          <w:b/>
        </w:rPr>
        <w:t>POSSIBLE 2026:</w:t>
      </w:r>
      <w:r>
        <w:t xml:space="preserve"> POLISH POPULISM AND THE COUNCIL OF EUROPE: HOW POLAND IS FAILING TO ADHERE TO ITS CORE OBLIGATIONS AND WHAT IT MEANS — https://doi.org/10.52340/gjes.2022.01.06</w:t>
      </w:r>
    </w:p>
    <w:p>
      <w:pPr/>
      <w:r>
        <w:rPr>
          <w:b/>
        </w:rPr>
        <w:t>Shared claim-specific concepts:</w:t>
      </w:r>
      <w:r>
        <w:t xml:space="preserve"> three, failing, policies; EU scope visible. This is a provisional connection, not an outcome finding.</w:t>
      </w:r>
    </w:p>
    <w:p>
      <w:pPr>
        <w:pStyle w:val="SourceNote"/>
      </w:pPr>
      <w:r>
        <w:rPr>
          <w:b/>
        </w:rPr>
        <w:t>Available abstract (not full text):</w:t>
      </w:r>
      <w:r>
        <w:t xml:space="preserve"> This paper explores the relationship between the Polish state and the Council of Europe (CoE). It examines the actions of the Law and Justice party and how such actions have affected the country’s relationship to the CoE, with particular reference to its three core values: Human Rights, Democracy, and the Rule of Law. It will determine that as a consequence of recent policies and laws the state is no longer adhering to its obligations.</w:t>
      </w:r>
    </w:p>
    <w:p>
      <w:pPr/>
      <w:r>
        <w:rPr>
          <w:b/>
        </w:rPr>
        <w:t>POSSIBLE 2025:</w:t>
      </w:r>
      <w:r>
        <w:t xml:space="preserve"> European cloud computing policy: failing in Europe to succeed nationally? — https://doi.org/10.1080/01402382.2025.2491962</w:t>
      </w:r>
    </w:p>
    <w:p>
      <w:pPr/>
      <w:r>
        <w:rPr>
          <w:b/>
        </w:rPr>
        <w:t>Shared claim-specific concepts:</w:t>
      </w:r>
      <w:r>
        <w:t xml:space="preserve"> failing, member, states; EU scope visible. This is a provisional connection, not an outcome finding.</w:t>
      </w:r>
    </w:p>
    <w:p>
      <w:pPr>
        <w:pStyle w:val="SourceNote"/>
      </w:pPr>
      <w:r>
        <w:rPr>
          <w:b/>
        </w:rPr>
        <w:t>Available abstract (not full text):</w:t>
      </w:r>
      <w:r>
        <w:t xml:space="preserve"> Why does Europe continue to take initiatives in the cloud computing sector that do not produce the desired results and instead seem to strengthen the position of non-European cloud providers? The existing literature suggests that functional and political obstacles prevent these initiatives from succeeding, but that European institutions and member states are constantly launching new initiatives to gradually succeed in their intention to move towards greater European integration and digital sovereignty. This article offers a different explanation: European member states are strategically using the progress made (albeit incomplete and unresolved) in the European context to protect and promote their own national cloud computing ecosystems. Instead of leading to integration, failure at the EU level is designed to lead to national success. The empirical analysis shows that EU certifications, as well as European industrial policy, are in fact primarily aimed at strengthening the bargaining position of European states and companies vis-à-vis the non-European cloud providers. Rather than excluding them from the European market, the new cloud initiatives enable individual states to negotiate better bilateral deals with the incumbents.</w:t>
      </w:r>
    </w:p>
    <w:p>
      <w:pPr/>
      <w:r>
        <w:rPr>
          <w:b/>
        </w:rPr>
        <w:t>POSSIBLE 2025:</w:t>
      </w:r>
      <w:r>
        <w:t xml:space="preserve"> Controlling European money for failing banks: designing the European Stability Mechanism as banking union’s financial backstop — https://doi.org/10.1080/07036337.2025.2512579</w:t>
      </w:r>
    </w:p>
    <w:p>
      <w:pPr/>
      <w:r>
        <w:rPr>
          <w:b/>
        </w:rPr>
        <w:t>Shared claim-specific concepts:</w:t>
      </w:r>
      <w:r>
        <w:t xml:space="preserve"> failing, member, states; EU scope visible. This is a provisional connection, not an outcome finding.</w:t>
      </w:r>
    </w:p>
    <w:p>
      <w:pPr>
        <w:pStyle w:val="SourceNote"/>
      </w:pPr>
      <w:r>
        <w:rPr>
          <w:b/>
        </w:rPr>
        <w:t>Available abstract (not full text):</w:t>
      </w:r>
      <w:r>
        <w:t xml:space="preserve"> The Single Resolution Mechanism (SRM) was designed to create a common framework for the recovery and resolution of ailing banks headquartered in the euro area. The Single Resolution Fund (SRF) was created to be this mechanism’s financial backbone and to effectively break the doom loop between banks and governments. However, SRF funds were widely seen as insufficient in the event of the need to resolve one or more large banks. In early 2021, euro area member states agreed to changes to the European Stability Mechanism (ESM) so that it could become the financial backstop for the SRF. This paper analyses the existing and proposed arrangements on the SRF backstops, using elements of the principal–agent model. We argue that the proposed use of the ESM as the SRF’s backstop would allow euro area national governments significant control and veto possibilities through the addition of the ‘permanence of the legal framework’ clause.</w:t>
      </w:r>
    </w:p>
    <w:p>
      <w:pPr/>
      <w:r>
        <w:rPr>
          <w:b/>
        </w:rPr>
        <w:t>POSSIBLE 2025:</w:t>
      </w:r>
      <w:r>
        <w:t xml:space="preserve"> Humility, autonomy, and simplicity: three principles for humanitarian design — https://doi.org/10.1080/01436597.2025.2491094</w:t>
      </w:r>
    </w:p>
    <w:p>
      <w:pPr/>
      <w:r>
        <w:rPr>
          <w:b/>
        </w:rPr>
        <w:t>Shared claim-specific concepts:</w:t>
      </w:r>
      <w:r>
        <w:t xml:space="preserve"> three, failing, inequalities; EU scope visible. This is a provisional connection, not an outcome finding.</w:t>
      </w:r>
    </w:p>
    <w:p>
      <w:pPr>
        <w:pStyle w:val="SourceNote"/>
      </w:pPr>
      <w:r>
        <w:rPr>
          <w:b/>
        </w:rPr>
        <w:t>Available abstract (not full text):</w:t>
      </w:r>
      <w:r>
        <w:t xml:space="preserve"> This article proposes three key principles for humanitarian design, drawing on historical and ethnographic research into previous attempts to produce innovations in the nutrition and shelter sectors. It begins by recounting a post-war scheme for humanitarian nutrition in order to illustrate three recurring failings in innovation: triumphalism, under-representation, and over-complexity. The first failing can be seen when ideas are inappropriately and publicly celebrated as game changing while delivering only marginal improvements and leaving structural inequalities intact. The second occurs when designs are created without consulting the final recipient, whose desires and needs are assumed from limited knowledge. The third is apparent when a design introduces complicated and burdensome elements that make it inappropriate for the task at hand. After outlining these three problems the article moves to consider some more recent shelter projects, particularly those developed after the 2015 ‘summer of migration’ in Europe. From these examples, the article draws out three corrective principles for humanitarian design: humility in approach, simplicity in application, and the promotion of autonomy as a final aim. The article develops these in detail and then concludes that such principles can help re-orient humanitarian practice.</w:t>
      </w:r>
    </w:p>
    <w:p>
      <w:pPr/>
      <w:r>
        <w:rPr>
          <w:b/>
        </w:rPr>
        <w:t>POSSIBLE 2025:</w:t>
      </w:r>
      <w:r>
        <w:t xml:space="preserve"> ESAIC focused guidelines for the management of the failing epidural during labour epidural analgesia — https://doi.org/10.1097/eja.0000000000002108</w:t>
      </w:r>
    </w:p>
    <w:p>
      <w:pPr/>
      <w:r>
        <w:rPr>
          <w:b/>
        </w:rPr>
        <w:t>Shared claim-specific concepts:</w:t>
      </w:r>
      <w:r>
        <w:t xml:space="preserve"> produced, failing, finally; EU scope visible. This is a provisional connection, not an outcome finding.</w:t>
      </w:r>
    </w:p>
    <w:p>
      <w:pPr>
        <w:pStyle w:val="SourceNote"/>
      </w:pPr>
      <w:r>
        <w:rPr>
          <w:b/>
        </w:rPr>
        <w:t>Available abstract (not full text):</w:t>
      </w:r>
      <w:r>
        <w:t xml:space="preserve"> BACKGROUND: Labour epidural analgesia reportedly fails in up to 10 to 25% of cases. A joint taskforce of European Society of Anaesthesiology and Intensive Care (ESAIC) experts was created to develop this focused guideline on the management of failing epidural analgesia in a previously well functioning epidural catheter. DESIGN: Six clinical questions were defined using a PICO (Population/Intervention/Comparison/Outcome) strategy to conduct a systematic literature search. The questions pertained to clinical management of failing epidural (PICOs 1, 2 and 3), human resource and team training (PICOs 4 and 5) and clinical management of a failing epidural for intrapartum caesarean delivery (PICO 6). The taskforce produced recommendations and clinical practice statements (CPS) and validated them through a Delphi process. The final version of the guideline was submitted to all ESAIC members for critical review and approved by the Guidelines Committee and the ESAIC Board of Directors. RESULTS: In the initial search, 3737 titles were identified, 93 were retained for complete article analysis and 56 were finally allocated to the PICOs. The full-text analysis of the selected articles precluded extraction of significant data for all PICOs except for PICO 6, for which six articles were identified. Based on the experience, knowledge and opinion of the experts, the task force proposed and vali</w:t>
      </w:r>
    </w:p>
    <w:p>
      <w:pPr/>
      <w:r>
        <w:rPr>
          <w:b/>
        </w:rPr>
        <w:t>POSSIBLE 2024:</w:t>
      </w:r>
      <w:r>
        <w:t xml:space="preserve"> The impact of COVID-19 on young people’s mental health, wellbeing and routine from a European perspective: A co-produced qualitative systematic review — https://doi.org/10.1371/journal.pone.0299547</w:t>
      </w:r>
    </w:p>
    <w:p>
      <w:pPr/>
      <w:r>
        <w:rPr>
          <w:b/>
        </w:rPr>
        <w:t>Shared claim-specific concepts:</w:t>
      </w:r>
      <w:r>
        <w:t xml:space="preserve"> appraisal, conducted; EU scope visible. This is a provisional connection, not an outcome finding.</w:t>
      </w:r>
    </w:p>
    <w:p>
      <w:pPr>
        <w:pStyle w:val="SourceNote"/>
      </w:pPr>
      <w:r>
        <w:rPr>
          <w:b/>
        </w:rPr>
        <w:t>Available abstract (not full text):</w:t>
      </w:r>
      <w:r>
        <w:t xml:space="preserve"> BACKGROUND: The impact of the Covid-19 pandemic on young people's (YP) mental health has been mixed. Systematic reviews to date have focused predominantly on quantitative studies and lacked involvement from YP with lived experience of mental health difficulties. Therefore, our primary aim was to conduct a qualitative systematic review to examine the perceived impact of the Covid-19 pandemic on YP's (aged 10-24) mental health and wellbeing across Europe. METHODS AND FINDINGS: We searched MEDLINE, PsycINFO, Embase, Web of Science, MEDRXIV, OSF preprints, Google, and voluntary sector websites for studies published from 1st January 2020 to 15th November 2022. European studies were included if they reported qualitative data that could be extracted on YP's (aged 10-24) own perspectives of their experiences of Covid-19 and related disruptions to their mental health and wellbeing. Screening, data extraction and appraisal was conducted independently in duplicate by researchers and YP with lived experience of mental health difficulties (co-researchers). Confidence was assessed using the Confidence in the Evidence from Reviews of Qualitative Research (CERQual) approach. We co-produced an adapted narrative thematic synthesis with co-researchers. This study is registered with PROSPERO, CRD42021251578. We found 82 publications and included 77 unique studies in our narrative synthesis. Most s</w:t>
      </w:r>
    </w:p>
    <w:p>
      <w:pPr/>
      <w:r>
        <w:rPr>
          <w:b/>
        </w:rPr>
        <w:t>POSSIBLE 2023:</w:t>
      </w:r>
      <w:r>
        <w:t xml:space="preserve"> The bioeconomy in Germany: A failing political project? — https://doi.org/10.1016/j.ecolecon.2023.107783</w:t>
      </w:r>
    </w:p>
    <w:p>
      <w:pPr/>
      <w:r>
        <w:rPr>
          <w:b/>
        </w:rPr>
        <w:t>Shared claim-specific concepts:</w:t>
      </w:r>
      <w:r>
        <w:t xml:space="preserve"> three, failing; EU scope visible. This is a provisional connection, not an outcome finding.</w:t>
      </w:r>
    </w:p>
    <w:p>
      <w:pPr>
        <w:pStyle w:val="SourceNote"/>
      </w:pPr>
      <w:r>
        <w:rPr>
          <w:b/>
        </w:rPr>
        <w:t>Available abstract (not full text):</w:t>
      </w:r>
      <w:r>
        <w:t xml:space="preserve"> Almost two decades ago, the OECD and the EU kickstarted the development of bioeconomy strategies. In Germany, like in many other countries, policy development gained momentum in the 2010s, resulting in three consecutive policy strategies to date. And yet the bioeconomy concept remains largely unknown to a wider public and there are hardly any tangible outcomes in terms of transforming the economy towards sustainability as proposed in these strategies. Against this background, the German bioeconomy is characterized in this article as a political project aiming at a technological fix to problems like supply security and climate change in order to stabilize the social order of neoliberalized capitalism. Evaluating the different dimensions of the project's characteristics as well as its impacts, however, we find that the bioeconomy neither succeeds in universalizing its ideas and attracting a broader range of societal actors to them, nor in delivering the promised pathway to a socio-ecological transformation. Still, the analysis also reveals successes of certain actors in securing funds and advancing their agendas related to the bioeconomy. It can be argued that the bioeconomy succeeded in this way in stabilizing the existing unsustainable social order.</w:t>
      </w:r>
    </w:p>
    <w:p>
      <w:pPr/>
      <w:r>
        <w:rPr>
          <w:b/>
        </w:rPr>
        <w:t>POSSIBLE 2022:</w:t>
      </w:r>
      <w:r>
        <w:t xml:space="preserve"> Why is emotional data failing to produce more humane cities? Urban governance and the (interdisciplinary) problem of wellbeing — https://doi.org/10.1080/02723638.2021.2003589</w:t>
      </w:r>
    </w:p>
    <w:p>
      <w:pPr/>
      <w:r>
        <w:rPr>
          <w:b/>
        </w:rPr>
        <w:t>Shared claim-specific concepts:</w:t>
      </w:r>
      <w:r>
        <w:t xml:space="preserve"> failing, policies; EU scope not established. This is a provisional connection, not an outcome finding.</w:t>
      </w:r>
    </w:p>
    <w:p>
      <w:pPr>
        <w:pStyle w:val="SourceNote"/>
      </w:pPr>
      <w:r>
        <w:rPr>
          <w:b/>
        </w:rPr>
        <w:t>Available abstract (not full text):</w:t>
      </w:r>
      <w:r>
        <w:t xml:space="preserve"> The city is often highlighted as the key space in which our emotions and personal mental health can be shaped. Globally, place-based approaches to promoting urban health and happiness have become commonplace. Initiatives and policies improving urban and regional wellbeing operate at a range of scales, from global alliances of NGOs and supranational health bodies, to regional, local, and community action. This paper critically reviews the spatial imaginaries and limited discipline-specific definitions of the urban and wellbeing present in data-driven approaches to urban emotions and wellbeing, and the potential effectiveness of the policy solutions which are proposed as a result. Responding to the very specific forms of interdisciplinarity advanced to date, the paper outlines how a dialogue between humanities perspectives on emotional cultures, and political economies of place-based wellbeing interventions can be advanced to address these limitations.</w:t>
      </w:r>
    </w:p>
    <w:p>
      <w:pPr/>
      <w:r>
        <w:rPr>
          <w:b/>
        </w:rPr>
        <w:t>POSSIBLE 2022:</w:t>
      </w:r>
      <w:r>
        <w:t xml:space="preserve"> Evaluating European ECOSTRESS Hub Evapotranspiration Products Retrieved from Three Structurally Contrasting SEB Models over Europe — https://doi.org/10.1002/essoar.10512884.1</w:t>
      </w:r>
    </w:p>
    <w:p>
      <w:pPr/>
      <w:r>
        <w:rPr>
          <w:b/>
        </w:rPr>
        <w:t>Shared claim-specific concepts:</w:t>
      </w:r>
      <w:r>
        <w:t xml:space="preserve"> three, produced, conducted; EU scope visible. This is a provisional connection, not an outcome finding.</w:t>
      </w:r>
    </w:p>
    <w:p>
      <w:pPr>
        <w:pStyle w:val="SourceNote"/>
      </w:pPr>
      <w:r>
        <w:rPr>
          <w:b/>
        </w:rPr>
        <w:t>Available abstract (not full text):</w:t>
      </w:r>
      <w:r>
        <w:t xml:space="preserve"> The ECOsystem Spaceborne Thermal Radiometer Experiment on Space Station (ECOSTRESS) is a scientific mission that collects high spatio-temporal resolution (~70 m, 1-5 days average revisit time) thermal images since its launch on 29 June 2018. As a predecessor of future missions, one of the main objectives of ECOSTRESS is to retrieve and understand the spatio-temporal variations in terrestrial evapotranspiration (ET) and its responses to soil water availability. In the European ECOSTRESS Hub (EEH), by taking advantage of land surface temperature retrievals, we generated ECOSTRESS ET products over Europe and Africa using three structurally contrasting models, namely Surface Energy Balance System (SEBS) and Two Source Energy Balance (TSEB) parametric models, as well as the non-parametric Surface Temperature Initiated Closure (STIC) model. A comprehensive evaluation of the EEH ET products was conducted with respect to flux measurements from 19 eddy covariance sites over 6 different biomes with diverse aridity levels. Results revealed comparable performances of STIC and SEBS (RMSE of ~70 W m -2 ). However, the relatively complex TSEB model produced a higher RMSE of ~90 W m -2 . Comparison between STIC ET estimate and the operational ECOSTRESS ET product from NASA PT-JPL model showed a difference in RMSE between the two ET products around 50 W m -2 . Substantial overestimation (&gt;80 W </w:t>
      </w:r>
    </w:p>
    <w:p>
      <w:pPr/>
      <w:r>
        <w:rPr>
          <w:b/>
        </w:rPr>
        <w:t>POSSIBLE 2022:</w:t>
      </w:r>
      <w:r>
        <w:t xml:space="preserve"> Predicting Patch Correctness Based on the Similarity of Failing Test Cases — https://doi.org/10.1145/3511096</w:t>
      </w:r>
    </w:p>
    <w:p>
      <w:pPr/>
      <w:r>
        <w:rPr>
          <w:b/>
        </w:rPr>
        <w:t>Shared claim-specific concepts:</w:t>
      </w:r>
      <w:r>
        <w:t xml:space="preserve"> failing, case, finally; EU scope not established. This is a provisional connection, not an outcome finding.</w:t>
      </w:r>
    </w:p>
    <w:p>
      <w:pPr>
        <w:pStyle w:val="SourceNote"/>
      </w:pPr>
      <w:r>
        <w:rPr>
          <w:b/>
        </w:rPr>
        <w:t>Available abstract (not full text):</w:t>
      </w:r>
      <w:r>
        <w:t xml:space="preserve"> How do we know a generated patch is correct? This is a key challenging question that automated program repair (APR) systems struggle to address given the incompleteness of available test suites. Our intuition is that we can triage correct patches by checking whether each generated patch implements code changes (i.e., behavior) that are relevant to the bug it addresses. Such a bug is commonly specified by a failing test case. Towards predicting patch correctness in APR, we propose a novel yet simple hypothesis on how the link between the patch behavior and failing test specifications can be drawn: similar failing test cases should require similar patches . We then propose BATS , an unsupervised learning-based approach to predict patch correctness by checking patch B ehavior A gainst failing T est S pecification. BATS exploits deep representation learning models for code and patches: For a given failing test case, the yielded embedding is used to compute similarity metrics in the search for historical similar test cases to identify the associated applied patches, which are then used as a proxy for assessing the correctness of the APR-generated patches. Experimentally, we first validate our hypothesis by assessing whether ground-truth developer patches cluster together in the same way that their associated failing test cases are clustered. Then, after collecting a large dataset of</w:t>
      </w:r>
    </w:p>
    <w:p>
      <w:pPr/>
      <w:r>
        <w:rPr>
          <w:b/>
        </w:rPr>
        <w:t>POSSIBLE 2022:</w:t>
      </w:r>
      <w:r>
        <w:t xml:space="preserve"> Country-level factors in a failing relationship with nature: Nature connectedness as a key metric for a sustainable future — https://doi.org/10.1007/s13280-022-01744-w</w:t>
      </w:r>
    </w:p>
    <w:p>
      <w:pPr/>
      <w:r>
        <w:rPr>
          <w:b/>
        </w:rPr>
        <w:t>Shared claim-specific concepts:</w:t>
      </w:r>
      <w:r>
        <w:t xml:space="preserve"> failing, sustainable, prosperity, conducted; EU scope visible. This is a provisional connection, not an outcome finding.</w:t>
      </w:r>
    </w:p>
    <w:p>
      <w:pPr>
        <w:pStyle w:val="SourceNote"/>
      </w:pPr>
      <w:r>
        <w:rPr>
          <w:b/>
        </w:rPr>
        <w:t>Available abstract (not full text):</w:t>
      </w:r>
      <w:r>
        <w:t xml:space="preserve"> Climate change and biodiversity loss show that the human-nature relationship is failing. That relationship can be measured through the construct of nature connectedness which is a key factor in pro-environmental behaviours and mental well-being. Country-level indicators of extinction of nature experience, consumption and commerce, use and control of nature and negativistic factors were selected. An exploratory analysis of the relationship between these metrics and nature connectedness across adult samples from 14 European countries was conducted (n = 14,745 respondents). The analysis provides insight into how affluence, technology and consumption are associated with the human-nature relationship. These findings motivate a comparison of how nature connectedness and composite indicators of prosperity, progress, development, and sustainability relate to indicators of human and nature's well-being. In comparison to composite indexes, it is proposed that nature connectedness is a critical indicator of human and nature's well-being needed to inform the transition to a sustainable future.</w:t>
      </w:r>
    </w:p>
    <w:p>
      <w:pPr/>
      <w:r>
        <w:rPr>
          <w:b/>
        </w:rPr>
        <w:t>POSSIBLE 2021:</w:t>
      </w:r>
      <w:r>
        <w:t xml:space="preserve"> Early Detection of Failing Automotive Batteries Using Gas Sensors — https://doi.org/10.3390/batteries7020025</w:t>
      </w:r>
    </w:p>
    <w:p>
      <w:pPr/>
      <w:r>
        <w:rPr>
          <w:b/>
        </w:rPr>
        <w:t>Shared claim-specific concepts:</w:t>
      </w:r>
      <w:r>
        <w:t xml:space="preserve"> produced, failing, case; EU scope not established. This is a provisional connection, not an outcome finding.</w:t>
      </w:r>
    </w:p>
    <w:p>
      <w:pPr>
        <w:pStyle w:val="SourceNote"/>
      </w:pPr>
      <w:r>
        <w:rPr>
          <w:b/>
        </w:rPr>
        <w:t>Available abstract (not full text):</w:t>
      </w:r>
      <w:r>
        <w:t xml:space="preserve"> Safety for automotive lithium-ion battery (LIB) applications is of crucial importance, especially for electric vehicle applications using batteries with high capacity and high energy density. In case of a defect inside or outside the cell, serious safety risks are possible including extensive heat generation, toxic and flammable gas generation, and consequently fire and explosion. New regulations (GB 38031-2020) require a warning for passengers at least five minutes before serious incidents. This regulation can hardly be fulfilled with state-of-the-art battery monitoring. In this study, gases produced during battery failure before and during a thermal runaway (TR) are investigated in detail and the use of different gas sensors as early detectors of battery incidents is tested and proposed. The response of several commercially available gas sensors is tested in four battery failure cases: unwanted electrolysis of voltage carrying parts, electrolyte vapor, first venting of the cell and the TR. The experiments show that battery failure detection with gas sensors is possible but depends highly on the failure case. The chosen gas sensor can detect H2 produced by unwanted electrolysis and electrolyte vapor and gases produced by degassing of state-of-the-art LIBs. The results may contribute significantly to failure detection and improvement of battery safety.</w:t>
      </w:r>
    </w:p>
    <w:p>
      <w:pPr>
        <w:pStyle w:val="Heading2"/>
      </w:pPr>
      <w:r>
        <w:t>642. Alpine Tundra Contraction under Future Warming Scenarios in Europe</w:t>
      </w:r>
    </w:p>
    <w:p>
      <w:pPr>
        <w:pStyle w:val="SourceNote"/>
      </w:pPr>
      <w:r>
        <w:rPr>
          <w:b/>
        </w:rPr>
        <w:t>Original source (2020):</w:t>
      </w:r>
      <w:r>
        <w:t xml:space="preserve"> https://doi.org/10.3390/atmos11070698</w:t>
      </w:r>
    </w:p>
    <w:p>
      <w:pPr/>
      <w:r>
        <w:t>Original wording (abstract; indexed_source_text_not_full_document_verified): We used 11 regional climate model simulations from EURO-CORDEX disaggregated at a one-kilometre grid size representing the RCP4.5 and RCP8.5 scenarios in the 1.5, 2 and 3 °C warming levels. In this case, the contraction in the Alps, Scandes and Pyrenees together is projected at between 44% and 48% of the present extent.</w:t>
      </w:r>
    </w:p>
    <w:p>
      <w:pPr/>
      <w:r>
        <w:rPr>
          <w:b/>
        </w:rPr>
        <w:t>POSSIBLE 2026:</w:t>
      </w:r>
      <w:r>
        <w:t xml:space="preserve"> Evaluating Climate Regimes and Their Temporal Evolution in ERA5-Driven EURO-CORDEX CMIP6 Simulations — https://doi.org/10.5194/ems2026-512</w:t>
      </w:r>
    </w:p>
    <w:p>
      <w:pPr/>
      <w:r>
        <w:rPr>
          <w:b/>
        </w:rPr>
        <w:t>Shared claim-specific concepts:</w:t>
      </w:r>
      <w:r>
        <w:t xml:space="preserve"> regional, climate, simulations, euro-cordex, representing, between; EU scope visible. This is a provisional connection, not an outcome finding.</w:t>
      </w:r>
    </w:p>
    <w:p>
      <w:pPr>
        <w:pStyle w:val="SourceNote"/>
      </w:pPr>
      <w:r>
        <w:rPr>
          <w:b/>
        </w:rPr>
        <w:t>Available abstract (not full text):</w:t>
      </w:r>
      <w:r>
        <w:t xml:space="preserve"> Climate classifications are useful tools for assessing climate variability and change, as they aggregate multiple variables into discrete climate types representing regions with homogeneous characteristics, often corresponding to vegetation zones or eco-regions. The Köppen–Trewartha classification (KTC) defines climate regimes using temperature- and precipitation-based thresholds, synthesising conditions into discrete and comparable units for analysing their spatial distribution and temporal evolution. In this study, we assess how well the new generation of EURO-CORDEX regional climate simulations driven by ERA5 reanalysis within the CMIP6 framework reproduces the observed distribution of KTC climate types across Europe. As part of the coordinated EURO-CORDEX evaluation effort, individual model simulations are compared against observational reference data representing observed climate conditions and their evolution. This enables an assessment of how well each simulation reproduces the distribution of major European climate types and their boundaries. We further investigate how these patterns evolve over time, focusing on shifts in climate regimes and their spatial structure. The analysis is complemented by time series diagnostics of climate type occurrence and spatial extent. Particular attention is given to systematic biases in the extent and boundaries of selected climate typ</w:t>
      </w:r>
    </w:p>
    <w:p>
      <w:pPr/>
      <w:r>
        <w:rPr>
          <w:b/>
        </w:rPr>
        <w:t>POSSIBLE 2026:</w:t>
      </w:r>
      <w:r>
        <w:t xml:space="preserve"> Evaluation of historical simulations in the HCLIM43-ALADIN regional climate downscaling ensemble over Europe in the EURO-CORDEX-CMIP6 framework — https://doi.org/10.5281/zenodo.22813643</w:t>
      </w:r>
    </w:p>
    <w:p>
      <w:pPr/>
      <w:r>
        <w:rPr>
          <w:b/>
        </w:rPr>
        <w:t>Shared claim-specific concepts:</w:t>
      </w:r>
      <w:r>
        <w:t xml:space="preserve"> used, regional, climate, simulations, grid, between; EU scope visible. This is a provisional connection, not an outcome finding.</w:t>
      </w:r>
    </w:p>
    <w:p>
      <w:pPr>
        <w:pStyle w:val="SourceNote"/>
      </w:pPr>
      <w:r>
        <w:rPr>
          <w:b/>
        </w:rPr>
        <w:t>Available abstract (not full text):</w:t>
      </w:r>
      <w:r>
        <w:t xml:space="preserve"> Regional climate downscaling has historically been complementary to global climate models, providing higher-resolution data for local-scale studies and climate services. We use the regional climate model HCLIM43-ALADIN to downscale six CMIP6 global models in eight simulations on a 12.5-km resolution European domain. This is the HCLIM community contribution to the EURO-CORDEX-CMIP6 multi-model downscaling ensemble involving several regional climate models and soon to be available publicly via the Earth System Grid Federation. We document the HCLIM43-ALADIN ensemble and evaluate the simulated results during the historical time period 1991−2020 against the gridded station observations E-OBS and the reanalyses CERRA, CERRA-Land, and ERA5, focusing on near-surface temperature and precipitation. In winter in the global climate model-driven HCLIM simulations, a cold bias of about 3 °C and underestimated precipitation by about 25% are present in North Europe, and a warm bias of about 1 °C and overestimated precipitation of about 50% are present in Central and Southern Europe. In summer, a cold bias of about 1 °C and overestimated precipitation of about 25% are present in Northern Europe, and a warm bias of about 2 °C is present in Central and Southern Europe. Overestimated precipitation by about 200% is present in parts of Southern Europe, but this value is also amplified by the very l</w:t>
      </w:r>
    </w:p>
    <w:p>
      <w:pPr/>
      <w:r>
        <w:rPr>
          <w:b/>
        </w:rPr>
        <w:t>POSSIBLE 2026:</w:t>
      </w:r>
      <w:r>
        <w:t xml:space="preserve"> Extreme precipitation projections over Europe from the Euro-CORDEX regional climate models — https://doi.org/10.2139/ssrn.7352664</w:t>
      </w:r>
    </w:p>
    <w:p>
      <w:pPr/>
      <w:r>
        <w:rPr>
          <w:b/>
        </w:rPr>
        <w:t>Shared claim-specific concepts:</w:t>
      </w:r>
      <w:r>
        <w:t xml:space="preserve"> regional, climate, euro-cordex;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New ensemble of regional climate projections for Europe — https://doi.org/10.5281/zenodo.20340839</w:t>
      </w:r>
    </w:p>
    <w:p>
      <w:pPr/>
      <w:r>
        <w:rPr>
          <w:b/>
        </w:rPr>
        <w:t>Shared claim-specific concepts:</w:t>
      </w:r>
      <w:r>
        <w:t xml:space="preserve"> used, regional, climate, simulations, euro-cordex, together; EU scope visible. This is a provisional connection, not an outcome finding.</w:t>
      </w:r>
    </w:p>
    <w:p>
      <w:pPr>
        <w:pStyle w:val="SourceNote"/>
      </w:pPr>
      <w:r>
        <w:rPr>
          <w:b/>
        </w:rPr>
        <w:t>Available abstract (not full text):</w:t>
      </w:r>
      <w:r>
        <w:t xml:space="preserve"> Regional climate projections complement global climate models by providing higher-resolution climate data, enabling regional climate change assessment, and supporting adaptation planning at national to local scales. Since 2022, EURO-CORDEX, the European branch of CORDEX (Coordinated Regional Climate Downscaling Experiment), has been producing a new ensemble of regional climate projections for Europe at about 12.5 km resolution. These projections are generated by downscaling a subset of global climate models from the 6th phase of the Coupled Model Intercomparison Project (CMIP6). Part of this grand EURO-CORDEX ensemble are simulations produced by Swedish, Danish, and Norwegian national meteorological services applying a new regional modelling system—HCLIM43-ALADIN. The HCLIM ensemble comprises 16 simulations under two scenarios (SSP1-2.6 and SSP3-7.0), driven by six CMIP6 GCMs, including three EC-Earth3-Veg members that differ only in their initial conditions. We present an overview of the HCLIM ensemble together with the first evaluation and analysis of possible future climate change in Europe and Scandinavia until the end of the century. This study contributes as a reference to the HCLIM ensemble when it will be used as part of the grand EURO-CORDEX ensemble.</w:t>
      </w:r>
    </w:p>
    <w:p>
      <w:pPr/>
      <w:r>
        <w:rPr>
          <w:b/>
        </w:rPr>
        <w:t>POSSIBLE 2026:</w:t>
      </w:r>
      <w:r>
        <w:t xml:space="preserve"> ClimRisk.eu: Regional climate projections for Europe — https://doi.org/10.5194/ems2026-518</w:t>
      </w:r>
    </w:p>
    <w:p>
      <w:pPr/>
      <w:r>
        <w:rPr>
          <w:b/>
        </w:rPr>
        <w:t>Shared claim-specific concepts:</w:t>
      </w:r>
      <w:r>
        <w:t xml:space="preserve"> regional, climate, together; EU scope visible. This is a provisional connection, not an outcome finding.</w:t>
      </w:r>
    </w:p>
    <w:p>
      <w:pPr>
        <w:pStyle w:val="SourceNote"/>
      </w:pPr>
      <w:r>
        <w:rPr>
          <w:b/>
        </w:rPr>
        <w:t>Available abstract (not full text):</w:t>
      </w:r>
      <w:r>
        <w:t xml:space="preserve"> ClimRisk.eu is a web-map tool for climate change assessment in Europe. ClimRisk allows users to explore climate projections interactively and download data for any specific location across Europe. Originally launched in 2004 as the platform for climate proofing in the Czech Republic and Central Europe, it is now aiming to cover the continental Europe. ClimRisk connects observational data with climate model projections and delivers information on the level of NUTS III region or even finer spatial scale of several hundreds of km2. The underlying data inputs offer even more detailed horizontal resolution ranging from 0,5 km (Czech Republic) to ca 5 km (Europe).ClimRisk is built on the combination of Copernicus/ECMWF CERRA reanalysis and CMIP6 global climate models. From the wide ensemble of 30 CMIP6 GCMs only 7 models were chosen for the ClimRisk based on the model validation and considering the range of the climate change signal for major climate variables from the entire CMIP6 ensemble. Four Shared Socioeconomic Pathways (SSP) scenarios are considered, and the climate projections are presented either for individual scenarios or their combination. In addition to CMIP6 GCMs, the new convection-permitting regional climate model ALADIN-Climate/CZ is included to improve representation of local processes and extreme precipitation.For users, the platform provides long-term climatologic</w:t>
      </w:r>
    </w:p>
    <w:p>
      <w:pPr/>
      <w:r>
        <w:rPr>
          <w:b/>
        </w:rPr>
        <w:t>POSSIBLE 2025:</w:t>
      </w:r>
      <w:r>
        <w:t xml:space="preserve"> Assessing the Impact of Land Use Changes on Regional Climate over Europe — https://doi.org/10.3390/eesp2025035053</w:t>
      </w:r>
    </w:p>
    <w:p>
      <w:pPr/>
      <w:r>
        <w:rPr>
          <w:b/>
        </w:rPr>
        <w:t>Shared claim-specific concepts:</w:t>
      </w:r>
      <w:r>
        <w:t xml:space="preserve"> regional, climate, simulations, euro-cordex; EU scope visible. This is a provisional connection, not an outcome finding.</w:t>
      </w:r>
    </w:p>
    <w:p>
      <w:pPr>
        <w:pStyle w:val="SourceNote"/>
      </w:pPr>
      <w:r>
        <w:rPr>
          <w:b/>
        </w:rPr>
        <w:t>Available abstract (not full text):</w:t>
      </w:r>
      <w:r>
        <w:t xml:space="preserve"> Anthropogenic alterations of the land surface through activities such as agriculture, forestry and urban development represent important human-induced forcings on the Earth’s climate system. This study, conducted in the framework of the UpClim project, employs the non-hydrostatic WRF-ARW v4.5.1 model forced by ERA5 reanalysis data to assess the impact of land use changes (LUCs) on the European climate. The study aims to quantify the effects of LUCs over the EURO-CORDEX domain at 0.11° resolution during 1980–1985 by comparing simulations with transient land use forcing against a control run with static land use.</w:t>
      </w:r>
    </w:p>
    <w:p>
      <w:pPr/>
      <w:r>
        <w:rPr>
          <w:b/>
        </w:rPr>
        <w:t>POSSIBLE 2025:</w:t>
      </w:r>
      <w:r>
        <w:t xml:space="preserve"> Investigating the future urban climates of European cities using an ensemble of convection permitting regional climate models — https://doi.org/10.5194/egusphere-egu25-1307</w:t>
      </w:r>
    </w:p>
    <w:p>
      <w:pPr/>
      <w:r>
        <w:rPr>
          <w:b/>
        </w:rPr>
        <w:t>Shared claim-specific concepts:</w:t>
      </w:r>
      <w:r>
        <w:t xml:space="preserve"> used, regional, climate, simulations, euro-cordex, rcp8; EU scope visible. This is a provisional connection, not an outcome finding.</w:t>
      </w:r>
    </w:p>
    <w:p>
      <w:pPr>
        <w:pStyle w:val="SourceNote"/>
      </w:pPr>
      <w:r>
        <w:rPr>
          <w:b/>
        </w:rPr>
        <w:t>Available abstract (not full text):</w:t>
      </w:r>
      <w:r>
        <w:t xml:space="preserve"> Urban areas modify natural land surfaces through the artificialization and sealing of surfaces, which has an impact on their exchanges of energy, water and momentum with the atmosphere. These modifications create specific meteorological conditions in cities, generally referred to as “urban climate”. The most notable – and most studied – climate effect of urbanisation is the increase in nighttime near surface air temperature, known as the Urban Heat Island (UHI).Future climate change projections are most often derived from Global Climate Models (GCMs), which are downscaled to the regional scale using statistical tools, or by limited-area regional climate models (RCMs). Because of their horizontal resolution, which often remains too coarse, RCMs cannot represent most urban areas adequately and, as a result, little is known about projected changes in UHIs in the future. A few studies have examined the projected evolution of UHIs in the context of climate change using different approaches ranging from GCMs and RCMs to high-resolution land surface models, but with little agreement between studies and great sensitivity to the city analyzed, its climate and, more particularly, the downscaling approach used.The latest generation of RCMs, known as Convection Permitting Regional Climate Models (CPMs), now reach horizontal resolutions of the order of a few kilometers, and can be coupled w</w:t>
      </w:r>
    </w:p>
    <w:p>
      <w:pPr/>
      <w:r>
        <w:rPr>
          <w:b/>
        </w:rPr>
        <w:t>POSSIBLE 2025:</w:t>
      </w:r>
      <w:r>
        <w:t xml:space="preserve"> Regional climate projections using a deep-learning–based model-ranking and downscaling framework: application to European climate zones — https://doi.org/10.1007/s11356-025-36872-9</w:t>
      </w:r>
    </w:p>
    <w:p>
      <w:pPr/>
      <w:r>
        <w:rPr>
          <w:b/>
        </w:rPr>
        <w:t>Shared claim-specific concepts:</w:t>
      </w:r>
      <w:r>
        <w:t xml:space="preserve"> regional, climate, present; EU scope visible. This is a provisional connection, not an outcome finding.</w:t>
      </w:r>
    </w:p>
    <w:p>
      <w:pPr>
        <w:pStyle w:val="SourceNote"/>
      </w:pPr>
      <w:r>
        <w:rPr>
          <w:b/>
        </w:rPr>
        <w:t>Available abstract (not full text):</w:t>
      </w:r>
      <w:r>
        <w:t xml:space="preserve"> Abstract Accurate regional climate projection calls for high-resolution downscaling of Global Climate Models (GCMs). This work presents a deep-learning-based multi-model evaluation and downscaling framework ranking 32 Coupled Model Intercomparison Project Phase 6 (CMIP6) models using a Deep Learning-TOPSIS (DL-TOPSIS) mechanism and refines outputs using advanced deep-learning models. Using nine performance criteria, five Köppen-Geiger climate zones—Tropical, Arid, Temperate, Continental, and Polar—are investigated over four seasons. While TaiESM1 and CMCC-CM2-SR5 show notable biases, ranking results show that NorESM2-LM, GISS-E2-1-G, and HadGEM3-GC31-LL outperform other models. Four models contribute to downscaling the top-ranked GCMs to 0.1 $$^\circ $$ ∘ resolution (Vision Transformer (ViT), Geospatial Spatiotemporal Transformer with Attention and Imbalance-Aware Network (GeoSTANet), CNN-LSTM, CNN-Long Short-Term Memory (ConvLSTM)). Effectively capturing temperature extremes (TXx, TNn), GeoSTANet achieves the highest accuracy (Root Mean Square Error (RMSE) = 1.57 $$^\circ $$ ∘ C, Kling-Gupta Efficiency (KGE) = 0.89, Nash-Sutcliffe Efficiency (NSE) = 0.85, Correlation (r) = 0.92), so reducing RMSE by 20% over ConvLSTM. CNN-LSTM and ConvLSTM do well in Continental and Temperate zones; ViT finds fine-scale temperature fluctuations difficult. These results confirm that multi-crite</w:t>
      </w:r>
    </w:p>
    <w:p>
      <w:pPr/>
      <w:r>
        <w:rPr>
          <w:b/>
        </w:rPr>
        <w:t>POSSIBLE 2025:</w:t>
      </w:r>
      <w:r>
        <w:t xml:space="preserve"> Local Climate Risks in sight of realistic climate targets: Projecting Co-occurrence of Heat Extremes in Central Europe Using Downscaled CMIP6 and Regional Scenarios — https://doi.org/10.5194/ems2025-241</w:t>
      </w:r>
    </w:p>
    <w:p>
      <w:pPr/>
      <w:r>
        <w:rPr>
          <w:b/>
        </w:rPr>
        <w:t>Shared claim-specific concepts:</w:t>
      </w:r>
      <w:r>
        <w:t xml:space="preserve"> regional, climate, warming, levels, case; EU scope visible. This is a provisional connection, not an outcome finding.</w:t>
      </w:r>
    </w:p>
    <w:p>
      <w:pPr>
        <w:pStyle w:val="SourceNote"/>
      </w:pPr>
      <w:r>
        <w:rPr>
          <w:b/>
        </w:rPr>
        <w:t>Available abstract (not full text):</w:t>
      </w:r>
      <w:r>
        <w:t xml:space="preserve"> Humanity will face the challenge of adapting to the impacts of global warming besides those that have already occurred, even if political ambitions are realized. Challenges differ regionally and include a wide range of weather extremes, which means not only the increasing frequency of dangerous “usual” climatic events but also unprecedented impacts outside of the climate system's natural variability. Many regions globally, including Central Europe, have already experienced changes in climate extremes higher than the internal variability of the climate system. The signal is shown to be especially robust in case of heat extremes, such as warm days or warm nights, with signals reflecting unusual or even unfamiliar conditions. Our analysis focuses on heat-related extreme events, including their co-occurrence. We use a targeted subset of CMIP6 models known for their robust performance over Europe, supplemented by high-resolution regional climate scenarios. We employed different downscaling techniques, including convection-permitting regional climate simulation, to evaluate the sensitivity of results to methodological choices and to better capture regional-to-local-scale climate signals. Rather than focusing on specific emissions scenario pathways, we analyse projections at different levels of global warming. This approach allows us to explore the manifestation of heat-related extrem</w:t>
      </w:r>
    </w:p>
    <w:p>
      <w:pPr/>
      <w:r>
        <w:rPr>
          <w:b/>
        </w:rPr>
        <w:t>POSSIBLE 2025:</w:t>
      </w:r>
      <w:r>
        <w:t xml:space="preserve"> Validation of Euro‐ CORDEX Simulations Focusing on Mean and Extreme Precipitation in European Plain Areas — https://doi.org/10.1002/joc.70089</w:t>
      </w:r>
    </w:p>
    <w:p>
      <w:pPr/>
      <w:r>
        <w:rPr>
          <w:b/>
        </w:rPr>
        <w:t>Shared claim-specific concepts:</w:t>
      </w:r>
      <w:r>
        <w:t xml:space="preserve"> used, regional, climate, simulations, grid; EU scope visible. This is a provisional connection, not an outcome finding.</w:t>
      </w:r>
    </w:p>
    <w:p>
      <w:pPr>
        <w:pStyle w:val="SourceNote"/>
      </w:pPr>
      <w:r>
        <w:rPr>
          <w:b/>
        </w:rPr>
        <w:t>Available abstract (not full text):</w:t>
      </w:r>
      <w:r>
        <w:t xml:space="preserve"> ABSTRACT As a result of climate change, extreme weather phenomena are expected to become more frequent and severe, so adaptation in the future will be essential. Global and regional climate model simulations offer crucial insights into future climate change, forming the basis for planning and implementing adaptation and mitigation strategies. Therefore, evaluating these simulations is essential for generating reliable projections. This study assesses ten historical Euro‐CORDEX simulations using different combinations of Global and Regional Climate Models, validated against the E‐OBS dataset, which is derived from meteorological station measurements across Europe. All data are available at daily temporal resolution and interpolated to a 0.1° regular grid. The study analyses the period 1970–2005. For study areas, 14 plain regions were selected across Europe with an objective three‐step methodology based on elevation and geographical borders. Plain regions were defined as relatively flat areas below 200 m elevation. We calculated 11 climate indices; 8 of these are associated with extreme precipitation events, and for the evaluation we used four statistical metrics designed to assess the performance and capability of the model simulations. Based on these results and metrics, a model performance scoring system was established to rank and compare simulations and identify well‐perform</w:t>
      </w:r>
    </w:p>
    <w:p>
      <w:pPr/>
      <w:r>
        <w:rPr>
          <w:b/>
        </w:rPr>
        <w:t>POSSIBLE 2025:</w:t>
      </w:r>
      <w:r>
        <w:t xml:space="preserve"> Future Changes of European Windstorm Losses in EURO-CORDEX Simulations — https://doi.org/10.16993/tellusa.4094</w:t>
      </w:r>
    </w:p>
    <w:p>
      <w:pPr/>
      <w:r>
        <w:rPr>
          <w:b/>
        </w:rPr>
        <w:t>Shared claim-specific concepts:</w:t>
      </w:r>
      <w:r>
        <w:t xml:space="preserve"> regional, climate, simulations, euro-cordex, rcp8, warming; EU scope visible. This is a provisional connection, not an outcome finding.</w:t>
      </w:r>
    </w:p>
    <w:p>
      <w:pPr>
        <w:pStyle w:val="SourceNote"/>
      </w:pPr>
      <w:r>
        <w:rPr>
          <w:b/>
        </w:rPr>
        <w:t>Available abstract (not full text):</w:t>
      </w:r>
      <w:r>
        <w:t xml:space="preserve"> Windstorms are one of the most important natural hazards affecting Europe. This article investigates the potential impacts of climate change on windstorm losses in Europe employing the Loss Index (LI) method. A large EURO-CORDEX multi-model ensemble at 12 km resolution with 20 different general circulation model to regional climate model (GCM-RCM) chains following the historical plus RCP8.5 scenario is considered. A comparison between the simulated historical 10 m wind gusts and ERA5 reanalysis reveals substantial model biases. An Empirical Quantile Mapping method is employed to bias-correct the daily wind gust speeds, leading to the effective reduction of these biases. Considering different global warming levels (GWLs), our results show an increase in windstorm intensity for Western, Central and Eastern Europe in a warming world, and a general decrease in windstorm frequency for large parts of Europe. While the ensemble mean changes are mostly moderate for +2°C world, signals are more pronounced for +3°C. The projected changes in windstorm losses are small and mostly non-robust, with negative trends for Central Europe and positive trends for Eastern Europe. For the most extreme loss events, the EURO-CORDEX ensemble projects shorter return periods for Eastern Europe independent of the GWL, while no clear trends for Core Europe emerge. Our results show a large spread between the</w:t>
      </w:r>
    </w:p>
    <w:p>
      <w:pPr/>
      <w:r>
        <w:rPr>
          <w:b/>
        </w:rPr>
        <w:t>POSSIBLE 2025:</w:t>
      </w:r>
      <w:r>
        <w:t xml:space="preserve"> GCM Selection and Ensemble Design: Best Practices and Recommendations from the EURO-CORDEX Community — https://doi.org/10.1175/bams-d-23-0189.1</w:t>
      </w:r>
    </w:p>
    <w:p>
      <w:pPr/>
      <w:r>
        <w:rPr>
          <w:b/>
        </w:rPr>
        <w:t>Shared claim-specific concepts:</w:t>
      </w:r>
      <w:r>
        <w:t xml:space="preserve"> regional, climate, simulations, euro-cordex, present; EU scope visible. This is a provisional connection, not an outcome finding.</w:t>
      </w:r>
    </w:p>
    <w:p>
      <w:pPr>
        <w:pStyle w:val="SourceNote"/>
      </w:pPr>
      <w:r>
        <w:rPr>
          <w:b/>
        </w:rPr>
        <w:t>Available abstract (not full text):</w:t>
      </w:r>
      <w:r>
        <w:t xml:space="preserve"> Abstract High-resolution climate information is critical for the Vulnerability, Impacts, Adaptation, and Climate Services (VIACS) communities. Coordinated ensembles generated by initiatives like the Coordinated Regional Climate Downscaling Experiment (CORDEX) provide consistent and comparable information for the present and future over all land areas of the globe. This manuscript focuses on the European CORDEX initiative (EURO-CORDEX) and its coordinated effort to build regional climate ensembles for the years to come. In its first phase, EURO-CORDEX produced a rich ensemble of regional climate simulations under different representative concentration pathway scenarios. The EURO-CORDEX dataset is openly available and was fed into the Regional Atlas of the IPCC Sixth Assessment Report. However, this ensemble suffered from several shortcomings, which the community seeks to address in the next phase of production. Chief among these is the oft-cited criticism that the selection of GCMs that provide input to the regional climate models was not rigorous and that the resulting ensemble represents an “ensemble of opportunity.” The present paper provides a description of how the community has addressed these shortcomings. We present a comprehensive, flexible, and traceable evaluation framework and toolkit for assessing the suitability of GCMs for downscaling, using EURO-CORDEX as an exam</w:t>
      </w:r>
    </w:p>
    <w:p>
      <w:pPr>
        <w:pStyle w:val="Heading2"/>
      </w:pPr>
      <w:r>
        <w:t>643. Assessing the EU’s 2030 Climate and Energy Policy Framework: Incremental change toward radical transformation?</w:t>
      </w:r>
    </w:p>
    <w:p>
      <w:pPr>
        <w:pStyle w:val="SourceNote"/>
      </w:pPr>
      <w:r>
        <w:rPr>
          <w:b/>
        </w:rPr>
        <w:t>Original source (2020):</w:t>
      </w:r>
      <w:r>
        <w:t xml:space="preserve"> https://doi.org/10.1111/reel.12358</w:t>
      </w:r>
    </w:p>
    <w:p>
      <w:pPr/>
      <w:r>
        <w:t>Original wording (abstract; indexed_source_text_not_full_document_verified): This article provides a comprehensive overview of the changes to European Union (EU) climate and energy law brought about by the 2030 Climate and Energy Policy Framework. The article also explores the prospects for future change of the 2030 Framework towards more radical transformation in light of the European Green Deal and the ongoing COVID‐19 pandemic.</w:t>
      </w:r>
    </w:p>
    <w:p>
      <w:pPr/>
      <w:r>
        <w:rPr>
          <w:b/>
        </w:rPr>
        <w:t>POSSIBLE 2026:</w:t>
      </w:r>
      <w:r>
        <w:t xml:space="preserve"> Protecting Wildlife in Europe: A Comprehensive Analysis of Legislative Frameworks and Their Shortcomings — https://doi.org/10.1080/13880292.2025.2619363</w:t>
      </w:r>
    </w:p>
    <w:p>
      <w:pPr/>
      <w:r>
        <w:rPr>
          <w:b/>
        </w:rPr>
        <w:t>Shared claim-specific concepts:</w:t>
      </w:r>
      <w:r>
        <w:t xml:space="preserve"> article, provides, comprehensive, law, also, explores; EU scope visible. This is a provisional connection, not an outcome finding.</w:t>
      </w:r>
    </w:p>
    <w:p>
      <w:pPr>
        <w:pStyle w:val="SourceNote"/>
      </w:pPr>
      <w:r>
        <w:rPr>
          <w:b/>
        </w:rPr>
        <w:t>Available abstract (not full text):</w:t>
      </w:r>
      <w:r>
        <w:t xml:space="preserve"> This article provides a critical and comprehensive analysis of the legislative frameworks governing wildlife protection in Britain and Europe, highlighting both their strengths and persistent shortcomings. At the European level, the analysis considers the Habitats Directive and the recently adopted EU Nature Restoration Law, which imposes legally binding restoration targets for ecosystems and aims to address the ongoing biodiversity crisis. The article also explores the regulatory environment surrounding wildlife trade, including the implementation of CITES through EU regulations and the challenges posed by illegal trafficking and moves on to examine the foundational statutes in Britain, notably the Wildlife and Countryside Act 1981, which serves as the principal mechanism for the protection of wild species and habitats, and its integration of key European directives such as the Birds and Habitats Directives. Despite the existence of robust legislative instruments and the establishment of the Natura 2000 network—the largest coordinated protected area network globally—significant gaps remain. These include inconsistent implementation at the domestic level, enforcement challenges, and the dilution of original European standards during national transposition. The analysis reveals that the effectiveness of these frameworks is often undermined by political, economic, and social pres</w:t>
      </w:r>
    </w:p>
    <w:p>
      <w:pPr/>
      <w:r>
        <w:rPr>
          <w:b/>
        </w:rPr>
        <w:t>POSSIBLE 2026:</w:t>
      </w:r>
      <w:r>
        <w:t xml:space="preserve"> Trade unions in the European Union — https://doi.org/10.20396/rbest.v7i00.21016</w:t>
      </w:r>
    </w:p>
    <w:p>
      <w:pPr/>
      <w:r>
        <w:rPr>
          <w:b/>
        </w:rPr>
        <w:t>Shared claim-specific concepts:</w:t>
      </w:r>
      <w:r>
        <w:t xml:space="preserve"> article, provides, union; EU scope visible. This is a provisional connection, not an outcome finding.</w:t>
      </w:r>
    </w:p>
    <w:p>
      <w:pPr>
        <w:pStyle w:val="SourceNote"/>
      </w:pPr>
      <w:r>
        <w:rPr>
          <w:b/>
        </w:rPr>
        <w:t>Available abstract (not full text):</w:t>
      </w:r>
      <w:r>
        <w:t xml:space="preserve"> This article assesses changes in the situation of trade unions in the European Union (EU) between 2000 and 2020, building on a previous publication by the European Trade Union Institute (ETUI) on European trade unionism (Waddington &amp; Hoffmann, 2000) and incorporating an analysis of the impact of the adoption of the euro and successive EU enlargements. The analysis argues that the viability of trade unionism in some national variants of the European social model is under threat. The text consists of five sections, plus an introduction and concluding remarks. Section 1 provides a historical perspective: it revisits the labor movement of the “golden age” and describes the challenge posed by the neoliberal agenda in the last quarter of the 20th century. The subsequent sections outline the changes that have taken place since the year 2000 in line with the neoliberal project: in the labor market (section 2); in economic outcomes (section 3); in collective bargaining (section 4); and in unionization and mobilization (section 5). Finally, the paper highlights the characteristics that distinguish the recent trajectories of trade unionism in EU member states.</w:t>
      </w:r>
    </w:p>
    <w:p>
      <w:pPr/>
      <w:r>
        <w:rPr>
          <w:b/>
        </w:rPr>
        <w:t>POSSIBLE 2026:</w:t>
      </w:r>
      <w:r>
        <w:t xml:space="preserve"> Change of Sporting Nationality in Athletics in the Context of European Union Law — https://openalex.org/W7164874266</w:t>
      </w:r>
    </w:p>
    <w:p>
      <w:pPr/>
      <w:r>
        <w:rPr>
          <w:b/>
        </w:rPr>
        <w:t>Shared claim-specific concepts:</w:t>
      </w:r>
      <w:r>
        <w:t xml:space="preserve"> article, provides, comprehensive, union, law, framework; EU scope visible. This is a provisional connection, not an outcome finding.</w:t>
      </w:r>
    </w:p>
    <w:p>
      <w:pPr>
        <w:pStyle w:val="SourceNote"/>
      </w:pPr>
      <w:r>
        <w:rPr>
          <w:b/>
        </w:rPr>
        <w:t>Available abstract (not full text):</w:t>
      </w:r>
      <w:r>
        <w:t xml:space="preserve"> Change of Sporting Nationality in Athletics in the Context of European Union Law Abstract This thesis provides a comprehensive analysis of the phenomenon of changing national affiliation in the context of athletics, with a focus on and through the lens of EU law. In an era of increasing globalization and ever-greater professional mobility among athletes, the rules of international sports federations constitute a fundamental regulatory framework that can affect the fundamental rights of individuals. The main objective of this thesis is to critically assess the rules of WA and their compliance with the key pillars of EU law, in particular the principle of free movement of workers (Article 45 TFEU Treaty on the Functioning of the European Union, hereinafter referred to as "TFEU"), the prohibition of discrimination based on nationality (Article 18 TFEU), and EU competition rules (Articles 101 and 102 TFEU). The introductory section is devoted to a theoretical definition of the concept of citizenship in contrast to the specific institution of sports nationality. Attention is then turned to the doctrine of sports autonomy and its limits, as defined by the case law of the Court of Justice of the EU, particularly in the context of applying the proportionality test. The core of the thesis consists of a detailed...</w:t>
      </w:r>
    </w:p>
    <w:p>
      <w:pPr/>
      <w:r>
        <w:rPr>
          <w:b/>
        </w:rPr>
        <w:t>POSSIBLE 2025:</w:t>
      </w:r>
      <w:r>
        <w:t xml:space="preserve"> The Palestinian Refugee, Article 1D and Evolving Jurisprudence from Europe: a Practitioner’s Perspective — https://doi.org/10.1163/15718166-12340198</w:t>
      </w:r>
    </w:p>
    <w:p>
      <w:pPr/>
      <w:r>
        <w:rPr>
          <w:b/>
        </w:rPr>
        <w:t>Shared claim-specific concepts:</w:t>
      </w:r>
      <w:r>
        <w:t xml:space="preserve"> abstract, article, provides, overview, law, framework; EU scope visible. This is a provisional connection, not an outcome finding.</w:t>
      </w:r>
    </w:p>
    <w:p>
      <w:pPr>
        <w:pStyle w:val="SourceNote"/>
      </w:pPr>
      <w:r>
        <w:rPr>
          <w:b/>
        </w:rPr>
        <w:t>Available abstract (not full text):</w:t>
      </w:r>
      <w:r>
        <w:t xml:space="preserve"> Abstract This article examines the evolving jurisprudence of the CJEU concerning Palestinian applicants for refugee status under Article 1D of the 1951 Refugee Convention, as implemented in European law through Article 12(1)(a) of the Qualification Directive. It explores the unique legal framework applicable to Palestinian refugees, whose protection needs are addressed outside the architecture of the Refugee Convention. The article provides a brief overview of Article 1D, its interpretation by the CJEU, and contrasts these judgments with the positions of the UNHCR. The article also addresses the implications of the deteriorating situation in Gaza, UNRWA’s operational challenges, and the potential cessation of its mandate.</w:t>
      </w:r>
    </w:p>
    <w:p>
      <w:pPr/>
      <w:r>
        <w:rPr>
          <w:b/>
        </w:rPr>
        <w:t>POSSIBLE 2025:</w:t>
      </w:r>
      <w:r>
        <w:t xml:space="preserve"> A systematic literature review focusing on luxury hotels in Europe and Asia — https://doi.org/10.15170/tvt.2025.10.01.05</w:t>
      </w:r>
    </w:p>
    <w:p>
      <w:pPr/>
      <w:r>
        <w:rPr>
          <w:b/>
        </w:rPr>
        <w:t>Shared claim-specific concepts:</w:t>
      </w:r>
      <w:r>
        <w:t xml:space="preserve"> article, provides, comprehensive, overview, pandemic; EU scope visible. This is a provisional connection, not an outcome finding.</w:t>
      </w:r>
    </w:p>
    <w:p>
      <w:pPr>
        <w:pStyle w:val="SourceNote"/>
      </w:pPr>
      <w:r>
        <w:rPr>
          <w:b/>
        </w:rPr>
        <w:t>Available abstract (not full text):</w:t>
      </w:r>
      <w:r>
        <w:t xml:space="preserve"> Following the significant impact of the pandemic on the hotel industry, hotels continue to play a key role in the economy sector. However, maintaining financial stability is a major challenge for them. Luxury and sustainability may seem like contradictory concepts, but there are “best practices” that refer to the coexistence of these two concepts (Peng &amp; Chen, 2019). The aim is to systematically review the literature on luxury hotels in Europe and Asia, after formulating a unique definition of the term luxury. Few studies are available on this topic, despite the rapid and global growth of the sector (Moore, 2024). This article provides a comprehensive overview of the characteristics of luxury hotels, drawing key correlations from European and Asian publications.</w:t>
      </w:r>
    </w:p>
    <w:p>
      <w:pPr/>
      <w:r>
        <w:rPr>
          <w:b/>
        </w:rPr>
        <w:t>POSSIBLE 2024:</w:t>
      </w:r>
      <w:r>
        <w:t xml:space="preserve"> Human trafficking and forced prostitution under article 4 of the European convention on human rights — https://doi.org/10.1017/glj.2023.98</w:t>
      </w:r>
    </w:p>
    <w:p>
      <w:pPr/>
      <w:r>
        <w:rPr>
          <w:b/>
        </w:rPr>
        <w:t>Shared claim-specific concepts:</w:t>
      </w:r>
      <w:r>
        <w:t xml:space="preserve"> abstract, article, comprehensive, also; EU scope visible. This is a provisional connection, not an outcome finding.</w:t>
      </w:r>
    </w:p>
    <w:p>
      <w:pPr>
        <w:pStyle w:val="SourceNote"/>
      </w:pPr>
      <w:r>
        <w:rPr>
          <w:b/>
        </w:rPr>
        <w:t>Available abstract (not full text):</w:t>
      </w:r>
      <w:r>
        <w:t xml:space="preserve"> Abstract We discuss the issue of bringing human trafficking and forced prostitution within the purview of Article 4 of the European Convention on Human Rights. The judgment of the European Court of Human Rights in Rantsev v. Cyprus and Russia marked a turning point by classifying forced prostitution through human trafficking under Article 4. However, in the judgment in S.M. v. Croatia, the ECtHR further reinforced its view that human trafficking and forced prostitution constitute a violation of Article 4. We explain human trafficking and forced prostitution both theoretically and through a number of international legal acts. We then explain Article 4 of the Convention and provide a comprehensive analysis of the material and procedural guarantees against human trafficking and forced prostitution. We also comment on the positive obligations that the ECtHR set for Member States. The authors believe that, despite numerous criticisms, the ECtHR’s position is correct and that both human trafficking and forced prostitution violate the principles of democratic society. Therefore, victims must enjoy the protection afforded by Article 4 of the Human Rights Convention and other conventions if their life situation falls within their scope.</w:t>
      </w:r>
    </w:p>
    <w:p>
      <w:pPr/>
      <w:r>
        <w:rPr>
          <w:b/>
        </w:rPr>
        <w:t>POSSIBLE 2024:</w:t>
      </w:r>
      <w:r>
        <w:t xml:space="preserve"> Early Marriage: A European Perspective — https://doi.org/10.1007/978-3-031-71598-3_12</w:t>
      </w:r>
    </w:p>
    <w:p>
      <w:pPr/>
      <w:r>
        <w:rPr>
          <w:b/>
        </w:rPr>
        <w:t>Shared claim-specific concepts:</w:t>
      </w:r>
      <w:r>
        <w:t xml:space="preserve"> abstract, article, provides, overview; EU scope visible. This is a provisional connection, not an outcome finding.</w:t>
      </w:r>
    </w:p>
    <w:p>
      <w:pPr>
        <w:pStyle w:val="SourceNote"/>
      </w:pPr>
      <w:r>
        <w:rPr>
          <w:b/>
        </w:rPr>
        <w:t>Available abstract (not full text):</w:t>
      </w:r>
      <w:r>
        <w:t xml:space="preserve"> Abstract This article provides an overview and comparison of the findings of the contributions in this chapter and an outlook on possible European improvements. To protect the persons involved, the article argues against symbolic law-making and emphatically proposes a case-by-case approach.</w:t>
      </w:r>
    </w:p>
    <w:p>
      <w:pPr/>
      <w:r>
        <w:rPr>
          <w:b/>
        </w:rPr>
        <w:t>POSSIBLE 2024:</w:t>
      </w:r>
      <w:r>
        <w:t xml:space="preserve"> A comprehensive overview of industrial demand response status in Europe — https://doi.org/10.1016/j.rser.2024.114797</w:t>
      </w:r>
    </w:p>
    <w:p>
      <w:pPr/>
      <w:r>
        <w:rPr>
          <w:b/>
        </w:rPr>
        <w:t>Shared claim-specific concepts:</w:t>
      </w:r>
      <w:r>
        <w:t xml:space="preserve"> comprehensive, overview, energy; EU scope visible. This is a provisional connection, not an outcome finding.</w:t>
      </w:r>
    </w:p>
    <w:p>
      <w:pPr>
        <w:pStyle w:val="SourceNote"/>
      </w:pPr>
      <w:r>
        <w:rPr>
          <w:b/>
        </w:rPr>
        <w:t>Available abstract (not full text):</w:t>
      </w:r>
      <w:r>
        <w:t xml:space="preserve"> Industrial demand response (IDR) will play a crucial role in shaping future electricity systems, as it is a key element of a just energy transition and industrial development. The aim of this work is to provide an overview of the current status of IDR in a holistic perspective. First, the main benefits and potential of IDR are reviewed, together with the motivations and challenges for the industrial sector. Most recent advances in European markets and regulations with specific focus on IDR applications are explored. Then, the different resources which are currently available to help industries participate and implement IDR programmes are reviewed. In particular: 1) the (possible) tools for defining energy-aware scheduling and planning of the manufacturing systems are analysed; 2) The role of aggregators (i.e. intermediaries between industries and power markets) for facilitating explicit IDR is examined; 3) the importance of digitalisation to provide better IDR services from the manufacturing industry is highlighted, pointing out that digital twins, cyber-physical systems, Internet of Things sensors, robots, edge computing, artificial intelligence, and big data are promising technologies; and 4) most recent related research projects are reviewed. Finally, it is analysed and discussed how each of those resources can address the different challenges that are still preventing indus</w:t>
      </w:r>
    </w:p>
    <w:p>
      <w:pPr/>
      <w:r>
        <w:rPr>
          <w:b/>
        </w:rPr>
        <w:t>POSSIBLE 2024:</w:t>
      </w:r>
      <w:r>
        <w:t xml:space="preserve"> Making a comprehensive arms control agreement for Europe in times of crisis: Rationale, structure, and outcomes — https://doi.org/10.5937/pnb27-51889</w:t>
      </w:r>
    </w:p>
    <w:p>
      <w:pPr/>
      <w:r>
        <w:rPr>
          <w:b/>
        </w:rPr>
        <w:t>Shared claim-specific concepts:</w:t>
      </w:r>
      <w:r>
        <w:t xml:space="preserve"> article, comprehensive, framework; EU scope visible. This is a provisional connection, not an outcome finding.</w:t>
      </w:r>
    </w:p>
    <w:p>
      <w:pPr>
        <w:pStyle w:val="SourceNote"/>
      </w:pPr>
      <w:r>
        <w:rPr>
          <w:b/>
        </w:rPr>
        <w:t>Available abstract (not full text):</w:t>
      </w:r>
      <w:r>
        <w:t xml:space="preserve"> The war in Ukraine reflects the culmination of two international crises - one of the European security architecture and the other of strategic stability. This paper aims to examine how these crises influence the feasibility of future arms control in Europe. The authors claim that the current situation is an opportunity for a comprehensive arms control agreement for Europe. They begin by providing a theoretical framework of international crises and explain the current state of the arms control regime. Through a content and discourse analysis, they consider the positions of the main actors in relation to the key elements of future arms control and, based on this, by using a comparative method, consider the possible common ground that would serve as the bedrock for a new European comprehensive arms control regime. The article concludes that by going comprehensive, arms control can provide grounds for tradeoffs between the parties, settling most issues of concern in a multi-track process.</w:t>
      </w:r>
    </w:p>
    <w:p>
      <w:pPr/>
      <w:r>
        <w:rPr>
          <w:b/>
        </w:rPr>
        <w:t>POSSIBLE 2024:</w:t>
      </w:r>
      <w:r>
        <w:t xml:space="preserve"> A comprehensive analysis of European clinical trial governance: The evolution from directive to regulation — https://doi.org/10.1177/17411343241303843</w:t>
      </w:r>
    </w:p>
    <w:p>
      <w:pPr/>
      <w:r>
        <w:rPr>
          <w:b/>
        </w:rPr>
        <w:t>Shared claim-specific concepts:</w:t>
      </w:r>
      <w:r>
        <w:t xml:space="preserve"> article, provides, comprehensive, overview, explores; EU scope visible. This is a provisional connection, not an outcome finding.</w:t>
      </w:r>
    </w:p>
    <w:p>
      <w:pPr>
        <w:pStyle w:val="SourceNote"/>
      </w:pPr>
      <w:r>
        <w:rPr>
          <w:b/>
        </w:rPr>
        <w:t>Available abstract (not full text):</w:t>
      </w:r>
      <w:r>
        <w:t xml:space="preserve"> The implementation of the new European Clinical Trial Regulation on January 31, 2022, marks a significant advancement in promoting clinical research across Europe. This article comprises three key sections aimed at elucidating the transition from the previous clinical trial directives to the new regulation and its implications. The introductory segment provides a simplified overview of the historical context and limitations of clinical trial directives, setting the stage for a deeper exploration of the subsequent clinical trial regulation-related information. Here, the basic work structure of the Clinical Trial Information System (CTIS) is outlined alongside the transition period from directives to regulation, highlighting key differences between the two. Additionally, various differentiators of the regulation are highlighted, including coordinated assessments, increased public transparency, new definitions such as “low intervention clinical trials,” stricter timelines, simplified safety reporting, and improved patient protections. Lastly, the article creatively explores the guidance document titled “Guidance for the Transition of Clinical Trials from the Clinical Trial Directive to Clinical Trial Regulation,” elucidating its contents in an easy-to-understand manner. In summary, this article offers a concise yet comprehensive overview of the clinical trial directive, clinical t</w:t>
      </w:r>
    </w:p>
    <w:p>
      <w:pPr/>
      <w:r>
        <w:rPr>
          <w:b/>
        </w:rPr>
        <w:t>POSSIBLE 2024:</w:t>
      </w:r>
      <w:r>
        <w:t xml:space="preserve"> CHANGES IN THE IMPORT OF ORGANIC PRODUCTS TO THE EUROPEAN UNION BETWEEN 2018 AND 2023 — https://doi.org/10.5604/01.3001.0054.8685</w:t>
      </w:r>
    </w:p>
    <w:p>
      <w:pPr/>
      <w:r>
        <w:rPr>
          <w:b/>
        </w:rPr>
        <w:t>Shared claim-specific concepts:</w:t>
      </w:r>
      <w:r>
        <w:t xml:space="preserve"> article, provides, union, framework; EU scope visible. This is a provisional connection, not an outcome finding.</w:t>
      </w:r>
    </w:p>
    <w:p>
      <w:pPr>
        <w:pStyle w:val="SourceNote"/>
      </w:pPr>
      <w:r>
        <w:rPr>
          <w:b/>
        </w:rPr>
        <w:t>Available abstract (not full text):</w:t>
      </w:r>
      <w:r>
        <w:t xml:space="preserve"> Food produced through organic systems is becoming increasingly popular among consumers and farmers worldwide. Growing demand is the primary driver of the organic food market’s development, contributing to the introduction of new products. This article aims to analyze changes in the import of organic products to the European Union (EU) between 2018 and 2023. The study employs data analysis, legal regulation review, and literature examination. It focuses on key trends, regulations, and external factors affecting the organic products market. The analysis includes import directions and identifies the largest suppliers of organic products. The findings reveal an increase in organic product imports, supplier diversification, and shifts in import structure. Importing organic products into the EU ensures the diversity and availability of food meeting the highest quality standards, preferred by many consumers. This is crucial in the context of exploring methods to achieve sustainable development. The article provides insights for policymakers and market participants, highlighting challenges and opportunities for growth within the framework of sustainable agriculture.</w:t>
      </w:r>
    </w:p>
    <w:p>
      <w:pPr/>
      <w:r>
        <w:rPr>
          <w:b/>
        </w:rPr>
        <w:t>POSSIBLE 2023:</w:t>
      </w:r>
      <w:r>
        <w:t xml:space="preserve"> Contesting Europe: Eurosceptic Dissent and Integration Polarization in the European Parliament — https://doi.org/10.1111/jcms.13448</w:t>
      </w:r>
    </w:p>
    <w:p>
      <w:pPr/>
      <w:r>
        <w:rPr>
          <w:b/>
        </w:rPr>
        <w:t>Shared claim-specific concepts:</w:t>
      </w:r>
      <w:r>
        <w:t xml:space="preserve"> abstract, article, provides, comprehensive; EU scope visible. This is a provisional connection, not an outcome finding.</w:t>
      </w:r>
    </w:p>
    <w:p>
      <w:pPr>
        <w:pStyle w:val="SourceNote"/>
      </w:pPr>
      <w:r>
        <w:rPr>
          <w:b/>
        </w:rPr>
        <w:t>Available abstract (not full text):</w:t>
      </w:r>
      <w:r>
        <w:t xml:space="preserve"> Abstract This article provides a comprehensive analysis of Eurosceptic contestation within the legislative arena of the European Parliament (EP) from 2009 to 2019. Under what conditions do Eurosceptics vote differently from their Europhile peers? The literatures on European integration, party competition and policy types lead us to expect variation in Eurosceptic contestation across policy areas. Drawing on roll‐call votes in the EP, we introduce two new measures of such contestation: Eurosceptic dissent, that is, the extent to which Eurosceptics diverge from the Europhile plurality, and integration polarization, that is, the extent to which Eurosceptics and Europhiles oppose each other as cohesive camps. Our two indicators show that Eurosceptic contestation is particularly pronounced when the EP votes on cultural, distributive and constituent issues. When voting on redistributive policies, in contrast, dissent and polarization are curbed by national and ideological diversity.</w:t>
      </w:r>
    </w:p>
    <w:p>
      <w:pPr>
        <w:pStyle w:val="Heading2"/>
      </w:pPr>
      <w:r>
        <w:t>644. Assessing the future medical cost burden for the European health systems under alternative exposure-to-risks scenarios</w:t>
      </w:r>
    </w:p>
    <w:p>
      <w:pPr>
        <w:pStyle w:val="SourceNote"/>
      </w:pPr>
      <w:r>
        <w:rPr>
          <w:b/>
        </w:rPr>
        <w:t>Original source (2020):</w:t>
      </w:r>
      <w:r>
        <w:t xml:space="preserve"> https://doi.org/10.1371/journal.pone.0238565</w:t>
      </w:r>
    </w:p>
    <w:p>
      <w:pPr/>
      <w:r>
        <w:t>Original wording (abstract; indexed_source_text_not_full_document_verified): Between 2014 and 2050, the overall healthcare spending is expected to increase by 0.8% annually under BAU. Economic burden of NCDs is modelled under three scenarios based on assumed future risk factors trends: business as usual (BAU); best case and worst case predictions (BCP and WCP).</w:t>
      </w:r>
    </w:p>
    <w:p>
      <w:pPr/>
      <w:r>
        <w:rPr>
          <w:b/>
        </w:rPr>
        <w:t>POSSIBLE 2026:</w:t>
      </w:r>
      <w:r>
        <w:t xml:space="preserve"> Has the agricultural productivity increased after European Union enlargements in Central European countries? Evidence from four countries' cereal production — https://doi.org/10.17221/156/2023-agricecon</w:t>
      </w:r>
    </w:p>
    <w:p>
      <w:pPr/>
      <w:r>
        <w:rPr>
          <w:b/>
        </w:rPr>
        <w:t>Shared claim-specific concepts:</w:t>
      </w:r>
      <w:r>
        <w:t xml:space="preserve"> between, overall, expected, three; EU scope visible. This is a provisional connection, not an outcome finding.</w:t>
      </w:r>
    </w:p>
    <w:p>
      <w:pPr>
        <w:pStyle w:val="SourceNote"/>
      </w:pPr>
      <w:r>
        <w:rPr>
          <w:b/>
        </w:rPr>
        <w:t>Available abstract (not full text):</w:t>
      </w:r>
      <w:r>
        <w:t xml:space="preserve"> It was widely expected that following European Union's enlargement in 2004, farmers in new member states would improve their performance by increasing the efficiency of their production processes. In this study, using the Farm Accountancy Data Network data, we look at changes in total factor productivity, a measure which captures how efficiently and intensely inputs are utilised in production, that took place in farms producing cereals in the Czech Republic, Hungary, Poland, and Slovenia between 2004 and 2017. We find that in all four countries total factor productivity increased in the first years after the accession, but later declined. Overall, in the three former countries, total factor productivity in 2017 was higher than observed in 2004, whereas in Slovenia it was lower. This pattern largely corresponds to the dynamics observed with technological change: an initial technological progress was followed by a technological regress. Our results also suggest that over time farmers faced increasing problems with finding an optimal size of their operation. Finally, we observe that the technologies adopted on the farms were not used in an efficient way.</w:t>
      </w:r>
    </w:p>
    <w:p>
      <w:pPr/>
      <w:r>
        <w:rPr>
          <w:b/>
        </w:rPr>
        <w:t>POSSIBLE 2026:</w:t>
      </w:r>
      <w:r>
        <w:t xml:space="preserve"> MULTILEVEL GOVERNANCE IN THE IMPLEMENTATION OF CONCEPT OF HEALTHCARE SYSTEM DEVELOPMENT IN THE CONTEXT OF EUROPEAN INTEGRATION — https://doi.org/10.63776/medlaw2026.45.1.karamyshevd</w:t>
      </w:r>
    </w:p>
    <w:p>
      <w:pPr/>
      <w:r>
        <w:rPr>
          <w:b/>
        </w:rPr>
        <w:t>Shared claim-specific concepts:</w:t>
      </w:r>
      <w:r>
        <w:t xml:space="preserve"> between, overall, healthcare, increase, based; EU scope visible. This is a provisional connection, not an outcome finding.</w:t>
      </w:r>
    </w:p>
    <w:p>
      <w:pPr>
        <w:pStyle w:val="SourceNote"/>
      </w:pPr>
      <w:r>
        <w:rPr>
          <w:b/>
        </w:rPr>
        <w:t>Available abstract (not full text):</w:t>
      </w:r>
      <w:r>
        <w:t xml:space="preserve"> Abstract. The purpose of the study was to develop a model for managing the healthcare system in Ukraine based on the adaptation of European standards. The methodology included a detailed analysis of the European Union (EU) regulations, such as the Association Agreement between Ukraine and the European Union, concerning the implementation of European standards in the healthcare sector. The results of the study show that the harmonization of Ukrainian legislation with EU standards has a positive impact on the quality of healthcare services and the development of the overall healthcare system. Significant challenges have been identified, such as the difficulty of adapting European norms to the realities of the Ukrainian healthcare system, the lack of proper coordination between central and regional levels of government, and the low efficiency of monitoring the implemented reforms. Based on the results of the study, a model for improving multilevel governance was developed, which proposes the creation of a more flexible system of interaction between all levels of government, so facilitating the implementation of reforms and improve healthcare indicators in Ukraine in the context of European integration. In addition to the identified advantages and disadvantages, the study determined that the strategic development of the healthcare system in Ukraine in the context of European integr</w:t>
      </w:r>
    </w:p>
    <w:p>
      <w:pPr/>
      <w:r>
        <w:rPr>
          <w:b/>
        </w:rPr>
        <w:t>POSSIBLE 2026:</w:t>
      </w:r>
      <w:r>
        <w:t xml:space="preserve"> Mapping Healthcare System Complexity in the European Union: A Perspective on Resources, Determinants, and Outcomes — https://doi.org/10.3390/systems14050578</w:t>
      </w:r>
    </w:p>
    <w:p>
      <w:pPr/>
      <w:r>
        <w:rPr>
          <w:b/>
        </w:rPr>
        <w:t>Shared claim-specific concepts:</w:t>
      </w:r>
      <w:r>
        <w:t xml:space="preserve"> between, overall, healthcare; EU scope visible. This is a provisional connection, not an outcome finding.</w:t>
      </w:r>
    </w:p>
    <w:p>
      <w:pPr>
        <w:pStyle w:val="SourceNote"/>
      </w:pPr>
      <w:r>
        <w:rPr>
          <w:b/>
        </w:rPr>
        <w:t>Available abstract (not full text):</w:t>
      </w:r>
      <w:r>
        <w:t xml:space="preserve"> The transformation of healthcare systems presents a key challenge for EU Member States, as they face growing population needs, resource pressures, and ongoing health disparities among communities. Using a systems-thinking approach provides a suitable framework for analyzing how healthcare resources, behavioral and social health determinants, and overall population outcomes are interconnected. This study aims to explore these relationships from a systemic viewpoint within health communities across the European Union. The research employs a cross-sectional approach, utilizing aggregated data from all 27 EU Member States. It involves descriptive and factor analyses to create composite indices of healthcare resources, positive health determinants, and health outcomes. Furthermore, it uses a univariate Generalized Linear Model (GLM) and multilayer perceptron neural networks to model nonlinear relationships among variables. Cluster analysis is also conducted to classify Member States into different health performance typologies. The results emphasize connections between healthcare system resources and population health outcomes, illustrating how positive determinants impact health status and highlighting structural differences across European communities. The results indicate relevant associations between healthcare system resources and population health outcomes, whereas the analysi</w:t>
      </w:r>
    </w:p>
    <w:p>
      <w:pPr/>
      <w:r>
        <w:rPr>
          <w:b/>
        </w:rPr>
        <w:t>POSSIBLE 2026:</w:t>
      </w:r>
      <w:r>
        <w:t xml:space="preserve"> Artificial Intelligence in European Healthcare — https://doi.org/10.1553/easac-feam_report_ai-in-healthcare_2026</w:t>
      </w:r>
    </w:p>
    <w:p>
      <w:pPr/>
      <w:r>
        <w:rPr>
          <w:b/>
        </w:rPr>
        <w:t>Shared claim-specific concepts:</w:t>
      </w:r>
      <w:r>
        <w:t xml:space="preserve"> overall, healthcare, increase, trends, best, predictions; EU scope visible. This is a provisional connection, not an outcome finding.</w:t>
      </w:r>
    </w:p>
    <w:p>
      <w:pPr>
        <w:pStyle w:val="SourceNote"/>
      </w:pPr>
      <w:r>
        <w:rPr>
          <w:b/>
        </w:rPr>
        <w:t>Available abstract (not full text):</w:t>
      </w:r>
      <w:r>
        <w:t xml:space="preserve"> Artificial intelligence (AI)-assisted tools and systems are increasingly being applied and offer substantial potential for innovation across many scientific and societal fields.At the same time, appropriate policy guidance and regulation are crucial to ensure that the benefits of innovation are realised while effectively addressing the risks associated with implementing AI applications.Given this overall challenge of leveraging AI innovations for the benefit of society while simultaneously managing potential risks, AI developments in healthcare and public health bring specific opportunities, questions, and requirements.Therefore, with this report, the European Academies Science Advisory Council (EASAC) and the Federation of European Academies of Medicine (FEAM) aim to present a high-level, accessible overview of the opportunities and risks of AI systems in healthcare and focused recommendations.The intention is to assist European policy-makers -and other policy stakeholders -in promoting responsible innovation by formulating and implementing evidence-based policies, while ensuring appropriate methodological, ethical, security, and regulatory safeguards.The report therefore frames AI in healthcare as both an opportunity and a governance challenge.Its focus is on professional health and public-health uses of AI in Europe, including clinical care, population health, health-system </w:t>
      </w:r>
    </w:p>
    <w:p>
      <w:pPr/>
      <w:r>
        <w:rPr>
          <w:b/>
        </w:rPr>
        <w:t>POSSIBLE 2026:</w:t>
      </w:r>
      <w:r>
        <w:t xml:space="preserve"> Change in healthcare costs in Europe 2018–2023 (data report) — https://doi.org/10.3389/fpubh.2026.1774180</w:t>
      </w:r>
    </w:p>
    <w:p>
      <w:pPr/>
      <w:r>
        <w:rPr>
          <w:b/>
        </w:rPr>
        <w:t>Shared claim-specific concepts:</w:t>
      </w:r>
      <w:r>
        <w:t xml:space="preserve"> between, healthcare, spending, three, factors, trends; EU scope visible. This is a provisional connection, not an outcome finding.</w:t>
      </w:r>
    </w:p>
    <w:p>
      <w:pPr>
        <w:pStyle w:val="SourceNote"/>
      </w:pPr>
      <w:r>
        <w:rPr>
          <w:b/>
        </w:rPr>
        <w:t>Available abstract (not full text):</w:t>
      </w:r>
      <w:r>
        <w:t xml:space="preserve"> The dynamics of healthcare expenditure are shaped by a complex interplay of demographic, social, and economic factors (1), as well as the specific organizational and funding structures of national health systems (2)(3)(4). While health spending in European Union (EU) nations has historically outpaced general economic growth, this trajectory has been subject to significant volatility, most notably during the financial crisis of 2008/09 (5-7) and, more recently, the global COVID-19 pandemic (8). The extent to which national economies were impacted by the SARS-CoV-2 crisis necessitated a substantial recalibration of health financing metrics, creating a divergence between health expenditure growth and economic production.The onset of the pandemic in early 2020 severely disrupted health systems across Europe (9). Although reductions in elective surgeries and hospitalizations initially lowered spending on non-COVID-19 care (10,11), the immediate necessity to expand treatment, testing, and diagnostic capacities introduced sharp upward pressure on total expenditure (12). This occurred simultaneously with a contraction in Gross Domestic Product (GDP) across almost every EU nation due to lockdowns and economic restrictions (13). Consequently, the average share of health spending in GDP rose significantly, increasing by 1 percentage point to 9.2% in 2020 across the EU.Beyond the immediate</w:t>
      </w:r>
    </w:p>
    <w:p>
      <w:pPr/>
      <w:r>
        <w:rPr>
          <w:b/>
        </w:rPr>
        <w:t>POSSIBLE 2026:</w:t>
      </w:r>
      <w:r>
        <w:t xml:space="preserve"> Social diversity and access to healthcare in Europe — https://doi.org/10.1186/s12889-020-09494-8?sharing_token=_tr8ytllayfixgtzx9--fw_bpe1tbhcbnbw3buzi2rmjzgjgykgkagc13zxrohk4n9ameg9bedkjbz4eli74em0vydj22n0duymsiwvhjn95e_vmg5498ch4pivxijvzakqqkufh-0pem-euo3c-bvug6bjdmzkz2gehocuylh0%3d</w:t>
      </w:r>
    </w:p>
    <w:p>
      <w:pPr/>
      <w:r>
        <w:rPr>
          <w:b/>
        </w:rPr>
        <w:t>Shared claim-specific concepts:</w:t>
      </w:r>
      <w:r>
        <w:t xml:space="preserve"> between, healthcare, three, based; EU scope visible. This is a provisional connection, not an outcome finding.</w:t>
      </w:r>
    </w:p>
    <w:p>
      <w:pPr>
        <w:pStyle w:val="SourceNote"/>
      </w:pPr>
      <w:r>
        <w:rPr>
          <w:b/>
        </w:rPr>
        <w:t>Available abstract (not full text):</w:t>
      </w:r>
      <w:r>
        <w:t xml:space="preserve"> Background: Social diversity can affect healthcare outcomes in situations when access to healthcare is limited for specific groups.Although the principle of equality is one of the central topics on the agenda of the European Union (EU), its scope in the field of healthcare, however, is relatively unexplored.The aim of this study is to identify and systematically analyze primary and secondary legislation of the EU Institutions that concern the issue of access to healthcare for various minority groups.In our research, we have concentrated on three features of diversity: a) gender identity and sexual orientation, b) race and ethnicity, and c) religion or belief.Method and materials: For the purpose of this analysis, we conducted a search of database Eur-Lex, the official website of European Union law and other public documents of the European Union, based on specific keywords accompanied by review of secondary literature.Relevant documents were examined with regard to the research topic.Our search covered documents that were in force between 13 December 2007 and 31 July 2019.Results: Generally, the EU legal system prohibits discrimination on grounds of religion or belief, racial or ethnic origin, sex, and sexual orientation.However, with regard to the issue of non-discrimination in access to healthcare EU secondary law provides protection against discrimination only on the grounds</w:t>
      </w:r>
    </w:p>
    <w:p>
      <w:pPr/>
      <w:r>
        <w:rPr>
          <w:b/>
        </w:rPr>
        <w:t>POSSIBLE 2025:</w:t>
      </w:r>
      <w:r>
        <w:t xml:space="preserve"> Association between healthcare resources, healthcare systems, and population health in European countries — https://doi.org/10.1186/s12913-024-11743-0</w:t>
      </w:r>
    </w:p>
    <w:p>
      <w:pPr/>
      <w:r>
        <w:rPr>
          <w:b/>
        </w:rPr>
        <w:t>Shared claim-specific concepts:</w:t>
      </w:r>
      <w:r>
        <w:t xml:space="preserve"> between, healthcare, factors; EU scope visible. This is a provisional connection, not an outcome finding.</w:t>
      </w:r>
    </w:p>
    <w:p>
      <w:pPr>
        <w:pStyle w:val="SourceNote"/>
      </w:pPr>
      <w:r>
        <w:rPr>
          <w:b/>
        </w:rPr>
        <w:t>Available abstract (not full text):</w:t>
      </w:r>
      <w:r>
        <w:t xml:space="preserve"> BACKGROUND: Recently, the demand for care has risen, while in contrast, healthcare resources remain limited. These resources include health expenditure, the number of physicians, nurses, and hospital beds. Many studies have revealed that healthcare resources are one of the most critical factors contributing to a population's health status. The healthcare system plays a key role in transforming these resources into health outcomes, which are widely used as indicators to measure population health and the performance of healthcare systems. Previous work has primarily investigated the relationship between health expenditure or the number of doctors and population health. However, the association between healthcare resources as a whole has yet to be widely examined. METHODS: This study utilized multilevel regression analysis to explore the association between healthcare resources, healthcare systems, and population health outcomes across 25 European countries. The healthcare systems in these countries are primarily categorized into two types: Beveridge-type and Bismarck-type. In addition to regression analysis, descriptive statistics were used to analyze the allocation patterns of healthcare resources. Welch's t-test was employed to compare the performance metrics of the Beveridge-type and Bismarck-type healthcare systems, providing a statistical basis for understanding differences </w:t>
      </w:r>
    </w:p>
    <w:p>
      <w:pPr/>
      <w:r>
        <w:rPr>
          <w:b/>
        </w:rPr>
        <w:t>POSSIBLE 2025:</w:t>
      </w:r>
      <w:r>
        <w:t xml:space="preserve"> Exploring the Dichotomy: The Impact of Private Healthcare Investment on Public Healthcare Quality in Europe — https://doi.org/10.37355/kd-2025-09</w:t>
      </w:r>
    </w:p>
    <w:p>
      <w:pPr/>
      <w:r>
        <w:rPr>
          <w:b/>
        </w:rPr>
        <w:t>Shared claim-specific concepts:</w:t>
      </w:r>
      <w:r>
        <w:t xml:space="preserve"> between, healthcare, factors; EU scope visible. This is a provisional connection, not an outcome finding.</w:t>
      </w:r>
    </w:p>
    <w:p>
      <w:pPr>
        <w:pStyle w:val="SourceNote"/>
      </w:pPr>
      <w:r>
        <w:rPr>
          <w:b/>
        </w:rPr>
        <w:t>Available abstract (not full text):</w:t>
      </w:r>
      <w:r>
        <w:t xml:space="preserve"> This essay probes the intricate relationship between private healthcare investment and public healthcare quality. With a significant rise in private healthcare investments in Europe, questions about their impact on public healthcare quality abound. Supporters argue that private investments can inspire competition and innovation, potentially benefiting public healthcare, whereas critics fear resource diversion that may weaken public healthcare and intensify health inequalities. By scrutinizing the interplay of market competition, demographic factors, and policy interventions, this essay illuminates how private healthcare investment shapes the public healthcare landscape in Europe, serving to either bolster or undermine it.</w:t>
      </w:r>
    </w:p>
    <w:p>
      <w:pPr/>
      <w:r>
        <w:rPr>
          <w:b/>
        </w:rPr>
        <w:t>POSSIBLE 2025:</w:t>
      </w:r>
      <w:r>
        <w:t xml:space="preserve"> Recommendations for Improving Surveillance of Congenital Anomalies in Europe Using Healthcare Databases — https://doi.org/10.1111/ppe.13173</w:t>
      </w:r>
    </w:p>
    <w:p>
      <w:pPr/>
      <w:r>
        <w:rPr>
          <w:b/>
        </w:rPr>
        <w:t>Shared claim-specific concepts:</w:t>
      </w:r>
      <w:r>
        <w:t xml:space="preserve"> between, overall, healthcare, based, case; EU scope visible. This is a provisional connection, not an outcome finding.</w:t>
      </w:r>
    </w:p>
    <w:p>
      <w:pPr>
        <w:pStyle w:val="SourceNote"/>
      </w:pPr>
      <w:r>
        <w:rPr>
          <w:b/>
        </w:rPr>
        <w:t>Available abstract (not full text):</w:t>
      </w:r>
      <w:r>
        <w:t xml:space="preserve"> BACKGROUND: Although accessing administrative data in healthcare databases may be a more time-efficient and cost-effective method of conducting surveillance, there is evidence suggesting that administrative data alone are not sufficient for population-based surveillance of congenital anomalies. OBJECTIVE: To propose recommendations to maximise the potential use of healthcare databases for surveillance of congenital anomalies based on our data linkage experiences and results from the EUROlinkCAT study. METHODS: EUROlinkCAT is a population-based cohort study of 99,416 children with anomalies born between 1995 and 2014. The congenital anomaly case records of children in 11 European congenital anomaly (EUROCAT) registries (eight countries) were linked to standardised administrative healthcare data (birth records, death records and hospital discharge records) to evaluate mortality and morbidity outcomes in these children. Overall, 97% of children with anomalies were successfully matched to their records in their national or regional administrative databases. Recommendations to improve surveillance of anomalies when using healthcare data were developed through establishing and analysing data from this cohort. RESULTS: The primary recommendation is to develop systems to report anomalies diagnosed in foetuses who undergo a termination and link these data to their mothers. Each liveborn</w:t>
      </w:r>
    </w:p>
    <w:p>
      <w:pPr/>
      <w:r>
        <w:rPr>
          <w:b/>
        </w:rPr>
        <w:t>POSSIBLE 2025:</w:t>
      </w:r>
      <w:r>
        <w:t xml:space="preserve"> Geospatial Insights into Healthcare Accessibility in Europe: A Scoping Review of GIS Applications — https://doi.org/10.3390/healthcare13222865</w:t>
      </w:r>
    </w:p>
    <w:p>
      <w:pPr/>
      <w:r>
        <w:rPr>
          <w:b/>
        </w:rPr>
        <w:t>Shared claim-specific concepts:</w:t>
      </w:r>
      <w:r>
        <w:t xml:space="preserve"> between, healthcare, factors; EU scope visible. This is a provisional connection, not an outcome finding.</w:t>
      </w:r>
    </w:p>
    <w:p>
      <w:pPr>
        <w:pStyle w:val="SourceNote"/>
      </w:pPr>
      <w:r>
        <w:rPr>
          <w:b/>
        </w:rPr>
        <w:t>Available abstract (not full text):</w:t>
      </w:r>
      <w:r>
        <w:t xml:space="preserve"> Background: Geographic Information Systems (GIS) have emerged as a critical tool in healthcare research, facilitating the assessment of healthcare accessibility through spatial analysis and data visualisation. This scoping review synthesises literature published between 2020 and 2024, a period marked by the COVID-19 pandemic and rapid methodological innovation, providing a timely overview of how GIS has been applied to evaluate healthcare access across European countries. Methods: The review underscores the role of GIS methodologies in identifying geographic disparities, optimising resource distribution, and informing policy decisions. Results: Key findings highlight significant urban-rural differences in healthcare access, shaped by factors such as transportation infrastructure, population density, and healthcare facility distribution. Additionally, GIS has proven valuable in examining the link between healthcare accessibility and utilisation, with better access generally correlating with higher service use. Conclusions: Despite its potential, challenges including data availability, methodological variability, and uneven adoption across regions limit its broader implementation. The review emphasises the need for integrating advanced technologies to foster more equitable healthcare access throughout Europe.</w:t>
      </w:r>
    </w:p>
    <w:p>
      <w:pPr/>
      <w:r>
        <w:rPr>
          <w:b/>
        </w:rPr>
        <w:t>POSSIBLE 2025:</w:t>
      </w:r>
      <w:r>
        <w:t xml:space="preserve"> Futureproofing the healthcare workforce in Europe: understanding and addressing psychological distress and occupational outcomes — https://doi.org/10.1016/j.lanepe.2025.101463</w:t>
      </w:r>
    </w:p>
    <w:p>
      <w:pPr/>
      <w:r>
        <w:rPr>
          <w:b/>
        </w:rPr>
        <w:t>Shared claim-specific concepts:</w:t>
      </w:r>
      <w:r>
        <w:t xml:space="preserve"> healthcare, based, factors; EU scope visible. This is a provisional connection, not an outcome finding.</w:t>
      </w:r>
    </w:p>
    <w:p>
      <w:pPr>
        <w:pStyle w:val="SourceNote"/>
      </w:pPr>
      <w:r>
        <w:rPr>
          <w:b/>
        </w:rPr>
        <w:t>Available abstract (not full text):</w:t>
      </w:r>
      <w:r>
        <w:t xml:space="preserve"> Healthcare systems across Europe face a workforce crisis characterised by staff shortages, high turnover, and psychological distress among healthcare workers (HCWs). To understand the true scope and extent of psychological distress and occupational outcomes among HCWs and key areas to target for actionable solutions to this, a comprehensive overview of the evidence is needed. In this Series paper, we have synthesised findings from existing systematic reviews and meta-analyses to assess the prevalence of psychological distress among HCWs in Europe, examine associated risk and protective factors, and evaluate the effectiveness of interventions targeting these. The Series paper shows that HCWs experience high levels of work-related psychological distress, particularly burnout. Organisational factors, such as staff shortages, high workloads, and poor leadership, are key contributors to HCWs psychological distress. Organisational-level, rather than individual-level, interventions showed greater promise in reducing psychological distress and improving occupational outcomes. Perhaps surprisingly, currently published reviews did not focus on diagnosable mental disorders, instead relying on self-report symptom-based measures, likely overestimating prevalence. Our findings show limited research available on psychological distress and occupational outcomes among non-clinical staff, HCWs f</w:t>
      </w:r>
    </w:p>
    <w:p>
      <w:pPr/>
      <w:r>
        <w:rPr>
          <w:b/>
        </w:rPr>
        <w:t>POSSIBLE 2024:</w:t>
      </w:r>
      <w:r>
        <w:t xml:space="preserve"> Unequal geographies of gender-affirming care: A comparative typology of trans-specific healthcare systems across Europe — https://doi.org/10.1016/j.socscimed.2024.117145</w:t>
      </w:r>
    </w:p>
    <w:p>
      <w:pPr/>
      <w:r>
        <w:rPr>
          <w:b/>
        </w:rPr>
        <w:t>Shared claim-specific concepts:</w:t>
      </w:r>
      <w:r>
        <w:t xml:space="preserve"> between, overall, healthcare, based; EU scope visible. This is a provisional connection, not an outcome finding.</w:t>
      </w:r>
    </w:p>
    <w:p>
      <w:pPr>
        <w:pStyle w:val="SourceNote"/>
      </w:pPr>
      <w:r>
        <w:rPr>
          <w:b/>
        </w:rPr>
        <w:t>Available abstract (not full text):</w:t>
      </w:r>
      <w:r>
        <w:t xml:space="preserve"> RATIONALE: Gender-affirming healthcare can carry significant benefits for trans people. However, there are substantial geographical inequalities in the provision of and access to trans-specific healthcare across Europe. Comparative healthcare systems research has typically focused on universal services, neglecting provision which serves specific groups within populations (e.g., trans people). OBJECTIVE: This study aimed to develop a comparative typology of trans-specific healthcare systems across 28 European countries (the EU 27 plus the UK), and to examine country-level correlates which may influence or be influenced by these systems. METHODS: Using hierarchical and k-means cluster analysis, countries were classified into four types based on measures of trans-specific healthcare provision, regulation and access. Possible country-level correlates (including socio-political climate, medical outcomes, and the general healthcare system) were investigated. RESULTS AND DISCUSSION: The cluster analysis identified four clusters of trans-specific healthcare systems in Europe, characterized as: 1) Centralized conservative (highly centralized, extensive range of treatments, few trans-specific government policies); 2) Centralized reformist (highly centralized, extensive range of treatments, multiple trans-specific government policies); 3) Decentralized marketized (highly decentralized, mo</w:t>
      </w:r>
    </w:p>
    <w:p>
      <w:pPr>
        <w:pStyle w:val="Heading2"/>
      </w:pPr>
      <w:r>
        <w:t>645. Backcasting for desirable futures in Finnish forest-based firms</w:t>
      </w:r>
    </w:p>
    <w:p>
      <w:pPr>
        <w:pStyle w:val="SourceNote"/>
      </w:pPr>
      <w:r>
        <w:rPr>
          <w:b/>
        </w:rPr>
        <w:t>Original source (2020):</w:t>
      </w:r>
      <w:r>
        <w:t xml:space="preserve"> https://doi.org/10.1108/fs-01-2020-0005</w:t>
      </w:r>
    </w:p>
    <w:p>
      <w:pPr/>
      <w:r>
        <w:t>Original wording (abstract; indexed_source_text_not_full_document_verified): In these desirable futures, expanded businesses will be based on strong knowledge.</w:t>
      </w:r>
    </w:p>
    <w:p>
      <w:pPr/>
      <w:r>
        <w:rPr>
          <w:b/>
        </w:rPr>
        <w:t>POSSIBLE 2024:</w:t>
      </w:r>
      <w:r>
        <w:t xml:space="preserve"> Technology‐Driven Business Ethics — https://doi.org/10.1002/9781394234028.ch20</w:t>
      </w:r>
    </w:p>
    <w:p>
      <w:pPr/>
      <w:r>
        <w:rPr>
          <w:b/>
        </w:rPr>
        <w:t>Shared claim-specific concepts:</w:t>
      </w:r>
      <w:r>
        <w:t xml:space="preserve"> desirable, expanded, businesses; EU scope not established. This is a provisional connection, not an outcome finding.</w:t>
      </w:r>
    </w:p>
    <w:p>
      <w:pPr>
        <w:pStyle w:val="SourceNote"/>
      </w:pPr>
      <w:r>
        <w:rPr>
          <w:b/>
        </w:rPr>
        <w:t>Available abstract (not full text):</w:t>
      </w:r>
      <w:r>
        <w:t xml:space="preserve"> Business ethics is a subfield of applied ethics, which is in itself a major field of philosophy that examines ethical principles and moral values within the context of business operations. Due to the expanding impact of technology on business operations, the field of business ethics has expanded to include technology-driven ethical considerations. The chapter tries to examine potential theories of business ethics and their applicability within the context of technology-driven business operations. In the context of technology-driven business operations, theories of business ethics provide frameworks and perspectives for analyzing and addressing ethical challenges. The escalating significance of ethical implications in technology's evolution and its pervasive integration into business operations is imperative. This study also scrutinizes technology's influence on normative frameworks, challenges to maintaining ethical standards, and strategies for leveraging technology for business benefit. The chapter will show that businesses need proactive normative frameworks and strategies to deal with the moral dilemmas raised by technological advancements at the workplace. The author will try to posit that the incorporation of these ethical theories into the design and implementation of technology in the digital age can contribute to desirable advancements in businesses and their operation</w:t>
      </w:r>
    </w:p>
    <w:p>
      <w:pPr/>
      <w:r>
        <w:rPr>
          <w:b/>
        </w:rPr>
        <w:t>POSSIBLE 2024:</w:t>
      </w:r>
      <w:r>
        <w:t xml:space="preserve"> Knowledge and Prizes — https://doi.org/10.1093/9780191976766.003.0012</w:t>
      </w:r>
    </w:p>
    <w:p>
      <w:pPr/>
      <w:r>
        <w:rPr>
          <w:b/>
        </w:rPr>
        <w:t>Shared claim-specific concepts:</w:t>
      </w:r>
      <w:r>
        <w:t xml:space="preserve"> desirable, based, knowledge; EU scope not established. This is a provisional connection, not an outcome finding.</w:t>
      </w:r>
    </w:p>
    <w:p>
      <w:pPr>
        <w:pStyle w:val="SourceNote"/>
      </w:pPr>
      <w:r>
        <w:rPr>
          <w:b/>
        </w:rPr>
        <w:t>Available abstract (not full text):</w:t>
      </w:r>
      <w:r>
        <w:t xml:space="preserve"> Abstract This chapter examines two leading theories of rational belief, the Lockean view and the explanationist view. The first is appealing because it fits with some independently plausible claims about the ways that rational persons pursue their aims. The second is appealing because it seems to account for intuitions that cause trouble for the Lockean view. While fitting the intuitive data is desirable, the trouble is that the explanationist view seems to clash with theoretical beliefs about what rationality must be like. The chapter argues that upon further examination, the intuitive appeal of the explanationist view starts to diminish. It also argues that these further intuitions that spell trouble for the explanationist spell trouble for any theory that is not expectationist. It proposes a novel expectationist theory of rational belief that improves upon the Lockean and the explanationist views. It argues that recent defences of the Lockean view contain an important insight. A substantive theory of rational response should be based on a suitable theory of prizes and a suitable theory of how we should pursue prizes in the face of uncertainty. Most theories of rational belief typically take for granted a truth-centred picture of epistemic prizes (e.g. that epistemic desirability and undesirability can be fully understood in terms of accuracy) and then differ in terms of how </w:t>
      </w:r>
    </w:p>
    <w:p>
      <w:pPr/>
      <w:r>
        <w:rPr>
          <w:b/>
        </w:rPr>
        <w:t>POSSIBLE 2023:</w:t>
      </w:r>
      <w:r>
        <w:t xml:space="preserve"> Immunitas and (un)desirable teacher knowledge in teacher education — https://doi.org/10.1111/ejed.12577</w:t>
      </w:r>
    </w:p>
    <w:p>
      <w:pPr/>
      <w:r>
        <w:rPr>
          <w:b/>
        </w:rPr>
        <w:t>Shared claim-specific concepts:</w:t>
      </w:r>
      <w:r>
        <w:t xml:space="preserve"> desirable, based, knowledge; EU scope visible. This is a provisional connection, not an outcome finding.</w:t>
      </w:r>
    </w:p>
    <w:p>
      <w:pPr>
        <w:pStyle w:val="SourceNote"/>
      </w:pPr>
      <w:r>
        <w:rPr>
          <w:b/>
        </w:rPr>
        <w:t>Available abstract (not full text):</w:t>
      </w:r>
      <w:r>
        <w:t xml:space="preserve"> Abstract Since the latter half of the 20th century many political efforts and initiatives have been launched to ensure that teacher education provides teachers with a positive (orderly) knowledge base. This includes things like professional teacher standards and notions like ‘best practices’ and ‘evidence‐based practice’. Building on the work of Esposito and with inspiration from psychoanalytic theory, we argue that today's educational policy can be seen as an attempt to immunise (teacher) education from risks associated with negativity ‐ disorderly, disruptive and ‘destructive’ matters that can problematise and question the normal order of things within political debates and policy‐based reforms. Drawing on examples from England and Denmark – contexts in which the authors work – we demonstrate how a dichotomy between desirable sound/healthy knowledge and undesirable unsound/unhealthy knowledge exist within teacher education. We examine how this produces epistemic injustice in that negative modes of thought and practice are rendered invisible, unthinkable and illegitimate. Being able to traverse such injustice, teachers must be encouraged to approach any and all sources of influence on their professional knowledge base with a sort of agonistic pragmatism, which may allow them to be faithful to the ethico‐political situation they are engaged in. What we suggest in this regard is</w:t>
      </w:r>
    </w:p>
    <w:p>
      <w:pPr/>
      <w:r>
        <w:rPr>
          <w:b/>
        </w:rPr>
        <w:t>POSSIBLE 2022:</w:t>
      </w:r>
      <w:r>
        <w:t xml:space="preserve"> ENTREPRENEURS' SKILL OF HANDLING TECHNOLOGY IN AGRO AND GENERAL BUSINESSES — https://doi.org/10.37231/apj.2022.5.1.312</w:t>
      </w:r>
    </w:p>
    <w:p>
      <w:pPr/>
      <w:r>
        <w:rPr>
          <w:b/>
        </w:rPr>
        <w:t>Shared claim-specific concepts:</w:t>
      </w:r>
      <w:r>
        <w:t xml:space="preserve"> desirable, expanded, businesses, knowledge; EU scope not established. This is a provisional connection, not an outcome finding.</w:t>
      </w:r>
    </w:p>
    <w:p>
      <w:pPr>
        <w:pStyle w:val="SourceNote"/>
      </w:pPr>
      <w:r>
        <w:rPr>
          <w:b/>
        </w:rPr>
        <w:t>Available abstract (not full text):</w:t>
      </w:r>
      <w:r>
        <w:t xml:space="preserve"> The importance of technology cannot be overemphasized in an attainment of a good and a sustainable business. As a result, this work carefully shows the impacts and effects of entrepreneurship education and technology adopted by the entrepreneur in the running of a business. As presented in this paperwork, a systematic review method was used to investigate the relationship between entrepreneurship education and entrepreneurs' adequate use of technology in agro and general business. It revealed the efficacy of entrepreneurship education on an entrepreneur as it relates to the use of technology in business enterprise. Furthermore, this careful review provided a good understanding on entrepreneurship education, an entrepreneur’s skill of handling technology, reasons for handling technology by an entrepreneur and various technologies available for entrepreneurs. Against these backdrops, entrepreneurship education should be given maximum priority for a desirable output. More so, this study is of great importance, especially as applies to the tertiary institutions where knowledge on entrepreneurship education in relation to entrepreneurs and professional handling of technology would be expanded and dug deep for effective business application. Keywords: Agro; Entrepreneurs; General Business; Skill of Handling; Technology</w:t>
      </w:r>
    </w:p>
    <w:p>
      <w:pPr/>
      <w:r>
        <w:rPr>
          <w:b/>
        </w:rPr>
        <w:t>POSSIBLE 2021:</w:t>
      </w:r>
      <w:r>
        <w:t xml:space="preserve"> Social entrepreneurial intentions and motivational drivers among business students — https://doi.org/10.51680/ev.34.1.4</w:t>
      </w:r>
    </w:p>
    <w:p>
      <w:pPr/>
      <w:r>
        <w:rPr>
          <w:b/>
        </w:rPr>
        <w:t>Shared claim-specific concepts:</w:t>
      </w:r>
      <w:r>
        <w:t xml:space="preserve"> desirable, expanded, based; EU scope not established. This is a provisional connection, not an outcome finding.</w:t>
      </w:r>
    </w:p>
    <w:p>
      <w:pPr>
        <w:pStyle w:val="SourceNote"/>
      </w:pPr>
      <w:r>
        <w:rPr>
          <w:b/>
        </w:rPr>
        <w:t>Available abstract (not full text):</w:t>
      </w:r>
      <w:r>
        <w:t xml:space="preserve"> Purpose: The paper is aimed at determining young people's motives and views related to entrepreneurship, in particular social entrepreneurship. To this purpose, a survey was conducted at the School of Economics and Business in Sarajevo to explore the motivations of the student population to pursue entrepreneurship, with a focus on social entrepreneurship and their intentions to engage in it. The survey examined socio-political, situational and personal factors and their direct and mediating effect on the intention to engage in social entrepreneurship. Methodology: The research model and methodology presented in the paper are based on the process theory of motivation and the model used by Barton et al. (2018) and by Krueger (1993). The model elaborated by this paper’s authors is expanded and redefined so as to take account of socio-political factors and the respondents’ views of them. Results: The research revealed a limiting and de-stimulating effect of environmental factors on the intention to start a business, as well as the significance of situational and personal factors when deciding on engaging in social entrepreneurship. Conclusion: The conducted research revealed that young people in Bosnia and Herzegovina understand the significance of social entrepreneurship for society at large, as well as for themselves, i.e. the sense of fulfilment it could bring. The results could</w:t>
      </w:r>
    </w:p>
    <w:p>
      <w:pPr>
        <w:pStyle w:val="Heading2"/>
      </w:pPr>
      <w:r>
        <w:t>646. Brexit and Its Impact on Poland’s Policy Towards Europe – An Attempt to Forecast</w:t>
      </w:r>
    </w:p>
    <w:p>
      <w:pPr>
        <w:pStyle w:val="SourceNote"/>
      </w:pPr>
      <w:r>
        <w:rPr>
          <w:b/>
        </w:rPr>
        <w:t>Original source (2020):</w:t>
      </w:r>
      <w:r>
        <w:t xml:space="preserve"> https://doi.org/10.33067/se.2.2020.5</w:t>
      </w:r>
    </w:p>
    <w:p>
      <w:pPr/>
      <w:r>
        <w:t>Original wording (abstract; indexed_source_text_not_full_document_verified): This article presents three scenarios for the development of Poland's European policy, i.e. the British scenario, a conservative scenario and a pro-European scenario. A study shows the political consequences of the UK’s exit from the European Union alog with the potential scenarios of Poland’s European policy in the next 2–3 years.</w:t>
      </w:r>
    </w:p>
    <w:p>
      <w:pPr/>
      <w:r>
        <w:rPr>
          <w:b/>
        </w:rPr>
        <w:t>POSSIBLE 2026:</w:t>
      </w:r>
      <w:r>
        <w:t xml:space="preserve"> Freedom of Expression and speech threatened in Europe — https://doi.org/10.52224/21845263/rev45a4</w:t>
      </w:r>
    </w:p>
    <w:p>
      <w:pPr/>
      <w:r>
        <w:rPr>
          <w:b/>
        </w:rPr>
        <w:t>Shared claim-specific concepts:</w:t>
      </w:r>
      <w:r>
        <w:t xml:space="preserve"> article, presents, three, political; EU scope visible. This is a provisional connection, not an outcome finding.</w:t>
      </w:r>
    </w:p>
    <w:p>
      <w:pPr>
        <w:pStyle w:val="SourceNote"/>
      </w:pPr>
      <w:r>
        <w:rPr>
          <w:b/>
        </w:rPr>
        <w:t>Available abstract (not full text):</w:t>
      </w:r>
      <w:r>
        <w:t xml:space="preserve"> Freedom of expression and speech were one of the most important assets of the Western liberal democracies. Europe was proud to expand these values around the world. However, in recent years, they have been deteriorating. The present text raises the question on why freedom of expression and speech are losing ground. The text aims to study their decline in Europe and also in the UK in the last decade. The text is guided by the assumption that they have been limited by political elites and corporate interests. The article is divided in three sections. The first presents a brief historical debate. The second offers some examples that expose the attacks on freedom of expression and speech in Europe. The third describes the intrinsic relation between freedom of expression and democracy and their mutual interconnection. Finally, some comments are offered to wrap up the discussion.</w:t>
      </w:r>
    </w:p>
    <w:p>
      <w:pPr/>
      <w:r>
        <w:rPr>
          <w:b/>
        </w:rPr>
        <w:t>POSSIBLE 2026:</w:t>
      </w:r>
      <w:r>
        <w:t xml:space="preserve"> Differentiating early European psychobiography—An Eastern European contribution. — https://doi.org/10.1037/hop0000317</w:t>
      </w:r>
    </w:p>
    <w:p>
      <w:pPr/>
      <w:r>
        <w:rPr>
          <w:b/>
        </w:rPr>
        <w:t>Shared claim-specific concepts:</w:t>
      </w:r>
      <w:r>
        <w:t xml:space="preserve"> article, presents, three; EU scope visible. This is a provisional connection, not an outcome finding.</w:t>
      </w:r>
    </w:p>
    <w:p>
      <w:pPr>
        <w:pStyle w:val="SourceNote"/>
      </w:pPr>
      <w:r>
        <w:rPr>
          <w:b/>
        </w:rPr>
        <w:t>Available abstract (not full text):</w:t>
      </w:r>
      <w:r>
        <w:t xml:space="preserve"> Psychobiography of the early 20th century generally developed in Western Europe and primarily in the spirit of psychoanalysis. The history of this discipline and its early works creates a rather monolithic picture that is absent of representatives of Eastern countries or alternative theories. Articles, monographs, and scientific journals constantly construct their own (i.e., Western) world of research in this field. Using the example of one of the psychological-philosophical schools of Eastern Europe, the Lvov-Warsaw School, I attempt to demonstrate that its representatives conducted original psychobiographical analyses not only in light of psychoanalysis but also developed their own theory, providing them with a unique conceptual framework, categories, and possible explanations of human behavior. The article presents three main psychobiographies: Socrates, Jesus of Nazareth, and Taras Shevchenko-an icon of Ukrainian culture. The conclusions require a broader consideration of research in this field at the beginning of the 20th century and a closer look at the contributions of Eastern European psychologists. Eastern European psychology offered (and still offers) interesting propositions, which, I believe, can enrich the conceptual instrumentarium of psychobiography. (PsycInfo Database Record (c) 2026 APA, all rights reserved).</w:t>
      </w:r>
    </w:p>
    <w:p>
      <w:pPr/>
      <w:r>
        <w:rPr>
          <w:b/>
        </w:rPr>
        <w:t>POSSIBLE 2026:</w:t>
      </w:r>
      <w:r>
        <w:t xml:space="preserve"> The carbon footprint of the hard coal sector in Poland in the context of the evolution of the European Union’s climate neutrality policy — https://doi.org/10.46873/2300-3960.1506</w:t>
      </w:r>
    </w:p>
    <w:p>
      <w:pPr/>
      <w:r>
        <w:rPr>
          <w:b/>
        </w:rPr>
        <w:t>Shared claim-specific concepts:</w:t>
      </w:r>
      <w:r>
        <w:t xml:space="preserve"> article, presents, poland, union; EU scope visible. This is a provisional connection, not an outcome finding.</w:t>
      </w:r>
    </w:p>
    <w:p>
      <w:pPr>
        <w:pStyle w:val="SourceNote"/>
      </w:pPr>
      <w:r>
        <w:rPr>
          <w:b/>
        </w:rPr>
        <w:t>Available abstract (not full text):</w:t>
      </w:r>
      <w:r>
        <w:t xml:space="preserve"> The topic of the article is the carbon footprint of coal as a primary source of energy. In light of climate change and the energy transition in the European Union, it is increasingly important to analyse the carbon footprint of individual economic sectors. The aim of this review article is to present an analysis of the carbon footprint of the hard coal sector in Poland against the background of the EU’s climate neutrality policy. The paper reviews EU strategic documents, such as the European Green Deal, the ”Fit for 55” package, and the REPowerEU and Clean Industrial Deal initiatives, in terms of their impact on the functioning of the coal sector. It also presents a methodology for calculating the carbon footprint in terms of life cycle assessment (LCA), taking into account different scopes of greenhouse gas emissions according to the GHG Protocol. The article uses databases from the Instrat Foundation, Eurelectric – the Association of the Power Industry, the Polish Geological Institute, the Energy Market Agency, Ember – Electricity Data Explorer and the National Centre for Emissions Management. Using the latest available data from 2018 to 2024, the paper analyses changes in Poland’s and the EU’s energy mix and highlights the importance of the coal sector’s transition in the context of decarbonisation. The challenges associated with mine closures, the social transformation of m</w:t>
      </w:r>
    </w:p>
    <w:p>
      <w:pPr/>
      <w:r>
        <w:rPr>
          <w:b/>
        </w:rPr>
        <w:t>POSSIBLE 2026:</w:t>
      </w:r>
      <w:r>
        <w:t xml:space="preserve"> Contemporary institutional challenges in national innovation policy governance in Poland and Sweden in the context of the European Union’s competitiveness — https://doi.org/10.31338/1641-2478pe.3.26.6</w:t>
      </w:r>
    </w:p>
    <w:p>
      <w:pPr/>
      <w:r>
        <w:rPr>
          <w:b/>
        </w:rPr>
        <w:t>Shared claim-specific concepts:</w:t>
      </w:r>
      <w:r>
        <w:t xml:space="preserve"> article, presents, poland, political, union; EU scope visible. This is a provisional connection, not an outcome finding.</w:t>
      </w:r>
    </w:p>
    <w:p>
      <w:pPr>
        <w:pStyle w:val="SourceNote"/>
      </w:pPr>
      <w:r>
        <w:rPr>
          <w:b/>
        </w:rPr>
        <w:t>Available abstract (not full text):</w:t>
      </w:r>
      <w:r>
        <w:t xml:space="preserve"> This article presents a theory-informed benchmark comparison of national innovation policy governance in Poland and Sweden, and it also examines how governance capacity is associated with EU competitiveness. The study combines conceptual analysis, official institutional documents and data from European Innovation Scoreboard 2026. The comparison is focused on five governance dimensions: political anchoring, stakeholder architecture, links between strategy and instruments, demand-side capacity, transparency and institutional learning. Sweden is chosen for the analysis as a historical functional benchmark, while Poland is assessed in the institutional form introduced on 4 November 2025 by Prime Minister’s Order no. 62 amending the order establishing the Council for Innovation. The evidence indicates that the innovation gap is associated not only with expenditure, but also with coordination, participation, transparency and implementation capacity.</w:t>
      </w:r>
    </w:p>
    <w:p>
      <w:pPr/>
      <w:r>
        <w:rPr>
          <w:b/>
        </w:rPr>
        <w:t>POSSIBLE 2026:</w:t>
      </w:r>
      <w:r>
        <w:t xml:space="preserve"> The European Union and the Challenge of the Democratic Cosmopolis — https://doi.org/10.58603/yaia5129</w:t>
      </w:r>
    </w:p>
    <w:p>
      <w:pPr/>
      <w:r>
        <w:rPr>
          <w:b/>
        </w:rPr>
        <w:t>Shared claim-specific concepts:</w:t>
      </w:r>
      <w:r>
        <w:t xml:space="preserve"> article, presents, three, political, union; EU scope visible. This is a provisional connection, not an outcome finding.</w:t>
      </w:r>
    </w:p>
    <w:p>
      <w:pPr>
        <w:pStyle w:val="SourceNote"/>
      </w:pPr>
      <w:r>
        <w:rPr>
          <w:b/>
        </w:rPr>
        <w:t>Available abstract (not full text):</w:t>
      </w:r>
      <w:r>
        <w:t xml:space="preserve"> This article seeks to clarify the crisis currently experienced by the European Union and to explore possible avenues for overcoming it. Taking Cosmosystemic Gnoseology as the method of analysis, the article presents three theoretical models considered pivotal for organizing post-state-centric reality, with the aim of addressing the challenge that the prospect of the democratic cosmopolis poses for the EU. It is argued that an axiologically neutral position presupposes liberating thought from the dominant political and constitutional ideology of modernity. This, in turn, requires that, before the article's central problem is addressed, reflexive questions be posed about how modern thought conceives the notion of politics, both at the intra-societal and at the inter-state level. The article then analyses, first, Thomas Hobbes's theoretical approach to the Christian commonwealth; second, Immanuel Kant's federation of free states; and third, Rigas Velestinlis's oecumenical state. These three models of political constitution are assessed for their points of similarity and difference with the present structure of the EU, as well as for the possibilities they open up for finding effective solutions to the crisis it faces. On this basis, the article determines whether any of these theoretical models can respond to contemporary political developments and to the fundamental challenge tha</w:t>
      </w:r>
    </w:p>
    <w:p>
      <w:pPr/>
      <w:r>
        <w:rPr>
          <w:b/>
        </w:rPr>
        <w:t>POSSIBLE 2026:</w:t>
      </w:r>
      <w:r>
        <w:t xml:space="preserve"> Colonialism as a Non-Evident Issue in Cultural Diplomacy in Europe — https://doi.org/10.1007/978-3-032-32360-6_6</w:t>
      </w:r>
    </w:p>
    <w:p>
      <w:pPr/>
      <w:r>
        <w:rPr>
          <w:b/>
        </w:rPr>
        <w:t>Shared claim-specific concepts:</w:t>
      </w:r>
      <w:r>
        <w:t xml:space="preserve"> article, presents, three, poland, consequences, potential; EU scope visible. This is a provisional connection, not an outcome finding.</w:t>
      </w:r>
    </w:p>
    <w:p>
      <w:pPr>
        <w:pStyle w:val="SourceNote"/>
      </w:pPr>
      <w:r>
        <w:rPr>
          <w:b/>
        </w:rPr>
        <w:t>Available abstract (not full text):</w:t>
      </w:r>
      <w:r>
        <w:t xml:space="preserve"> In line with cosmopolitan approaches, cultural diplomacy has the potential to foster dialogue in international relations. While involving people of different languages and nationalities in cultural events, it constructs a platform for understanding. But has cultural diplomacy been ready to confront difficult topics like the consequences of colonialism? Is such an issue of relevance for trans-European cultural diplomacy? This article presents early results of a study on the presence of colonial and postcolonial discourses in the cultural diplomacy of three countries: Germany, Poland, and Ukraine (a non-evident choice for studying the topic). As such, the article’s objective is to reveal where the discourses come together and where they drift apart. The assumption—that the cultural diplomacy of European countries will reflect how the chosen countries have dealt with colonialism or their own colonial past—was confirmed only partially. Using Cultural Diplomacy Analysis, the article comparatively presents the domestic factors and international developments that led to the presence or absence of colonial issues in cultural diplomacy.</w:t>
      </w:r>
    </w:p>
    <w:p>
      <w:pPr/>
      <w:r>
        <w:rPr>
          <w:b/>
        </w:rPr>
        <w:t>POSSIBLE 2026:</w:t>
      </w:r>
      <w:r>
        <w:t xml:space="preserve"> A feminist decolonial challenge to European Union’s gender governance: knowledge hierarchies and exclusion in the European Parliament — https://doi.org/10.1080/09589236.2026.2648725</w:t>
      </w:r>
    </w:p>
    <w:p>
      <w:pPr/>
      <w:r>
        <w:rPr>
          <w:b/>
        </w:rPr>
        <w:t>Shared claim-specific concepts:</w:t>
      </w:r>
      <w:r>
        <w:t xml:space="preserve"> article, presents, three, political, union; EU scope visible. This is a provisional connection, not an outcome finding.</w:t>
      </w:r>
    </w:p>
    <w:p>
      <w:pPr>
        <w:pStyle w:val="SourceNote"/>
      </w:pPr>
      <w:r>
        <w:rPr>
          <w:b/>
        </w:rPr>
        <w:t>Available abstract (not full text):</w:t>
      </w:r>
      <w:r>
        <w:t xml:space="preserve"> This paper critically examines the European Union’s (EU) gender equality policies through a decolonial feminist lens, focusing on how epistemic hierarchies are reproduced within the gender equality discourse of the European Parliament (EP), which presents itself as a progressive actor and moral authority on gender equality. Drawing on existing critiques of the EU’s instrumental and neoliberal approaches to gender, the paper analyses 42 texts adopted by the EP during its 9th parliamentary term (2019–2024). The analysis identifies three recurring patterns: the instrumentalisation of gender equality, the monopolization of feminist knowledge, and the managerialisation of equality through technocratic procedures. Drawing on the concepts of epistemic resistance, decolonial praxis, and epistemic accountability, the article examines where dominant gender-equality framings are momentarily disrupted, transformative engagement with marginalized knowledges is foreclosed, and responsibility for structural inequalities is displaced or depoliticized. While recognizing the EU’s historical gender equality achievements, the article argues that persistent epistemic hierarchies limit transformative change and carry political risks. It concludes by calling for a decolonial feminist reorientation grounded in pluralized knowledge production, relational accountability, and reciprocal engagement as con</w:t>
      </w:r>
    </w:p>
    <w:p>
      <w:pPr/>
      <w:r>
        <w:rPr>
          <w:b/>
        </w:rPr>
        <w:t>POSSIBLE 2025:</w:t>
      </w:r>
      <w:r>
        <w:t xml:space="preserve"> ANALYSIS OF CAMPING RESORTS IN EUROPE: A LAYOUT AND INFRASTRUCTURE STUDY — https://doi.org/10.7862/rb.2025.2</w:t>
      </w:r>
    </w:p>
    <w:p>
      <w:pPr/>
      <w:r>
        <w:rPr>
          <w:b/>
        </w:rPr>
        <w:t>Shared claim-specific concepts:</w:t>
      </w:r>
      <w:r>
        <w:t xml:space="preserve"> article, presents, three; EU scope visible. This is a provisional connection, not an outcome finding.</w:t>
      </w:r>
    </w:p>
    <w:p>
      <w:pPr>
        <w:pStyle w:val="SourceNote"/>
      </w:pPr>
      <w:r>
        <w:rPr>
          <w:b/>
        </w:rPr>
        <w:t>Available abstract (not full text):</w:t>
      </w:r>
      <w:r>
        <w:t xml:space="preserve"> Camping has become a popular leisure activity since the dawn of the modern motor vehicle. It is associated with an increasing interest in contact with nature and a commitment to discovering cultural diversity. This article presents an analysis of the urban form of camping centres in Europe. The principles of their planning, composition, layout and character will be discussed. The article analyses three different centres within Europe: Ca'Savio in Italy, Cikat in Croatia and Arena in Hungary. The selected examples illustrate the variety of urban forms of camping centres. The article presents and compares their common features, which were formulated on the basis of in situ observations.</w:t>
      </w:r>
    </w:p>
    <w:p>
      <w:pPr/>
      <w:r>
        <w:rPr>
          <w:b/>
        </w:rPr>
        <w:t>POSSIBLE 2025:</w:t>
      </w:r>
      <w:r>
        <w:t xml:space="preserve"> The Three Seas Initiative as a Component of India–Middle East–Europe Economic Corridor (IMEC) — https://doi.org/10.35757/stp.2025.53.1.11</w:t>
      </w:r>
    </w:p>
    <w:p>
      <w:pPr/>
      <w:r>
        <w:rPr>
          <w:b/>
        </w:rPr>
        <w:t>Shared claim-specific concepts:</w:t>
      </w:r>
      <w:r>
        <w:t xml:space="preserve"> article, presents, three, potential; EU scope visible. This is a provisional connection, not an outcome finding.</w:t>
      </w:r>
    </w:p>
    <w:p>
      <w:pPr>
        <w:pStyle w:val="SourceNote"/>
      </w:pPr>
      <w:r>
        <w:rPr>
          <w:b/>
        </w:rPr>
        <w:t>Available abstract (not full text):</w:t>
      </w:r>
      <w:r>
        <w:t xml:space="preserve"> The article presents the Three Seas Initiative (3SI) as a key component of the India–Middle East–Europe Economic Corridor (IMEC). It analyses the strategic role of transport infrastructure in Central and Eastern Europe amid shifting geopolitical dynamics. The study explores the impact of the pandemic, the war in Ukraine, and supply chain disruptions on the need for alternative trade routes. Special attention is given to Adriatic and Aegean ports such as Koper, Rijeka, and Thessaloniki as potential European endpoints of IMEC, highlighting their links to 3SI infrastructure and the broader TEN-T network. In this article IMEC and 3SI are portrayed not only as a logistics projects, but as a geopolitical tool reshaping regional alliances. The implementation of both may serve as a counterbalance to China’s Belt and Road Initiative by fostering secure and democratic trade connectivity across continents. Furthermore, the 3SI, supported by southern ports and expanding infrastructure along the north–south axis, may significantly improve access to the northernmost EU countries and Scandinavia, enhancing European cohesion and connectivity. This paper also emphasizes the dual-use nature of infrastructure investments, supporting both economic development and military mobility.</w:t>
      </w:r>
    </w:p>
    <w:p>
      <w:pPr/>
      <w:r>
        <w:rPr>
          <w:b/>
        </w:rPr>
        <w:t>POSSIBLE 2025:</w:t>
      </w:r>
      <w:r>
        <w:t xml:space="preserve"> The Silver Economy in the European Perspective — https://doi.org/10.37075/isa.2025.2.04</w:t>
      </w:r>
    </w:p>
    <w:p>
      <w:pPr/>
      <w:r>
        <w:rPr>
          <w:b/>
        </w:rPr>
        <w:t>Shared claim-specific concepts:</w:t>
      </w:r>
      <w:r>
        <w:t xml:space="preserve"> article, presents, three, exit; EU scope visible. This is a provisional connection, not an outcome finding.</w:t>
      </w:r>
    </w:p>
    <w:p>
      <w:pPr>
        <w:pStyle w:val="SourceNote"/>
      </w:pPr>
      <w:r>
        <w:rPr>
          <w:b/>
        </w:rPr>
        <w:t>Available abstract (not full text):</w:t>
      </w:r>
      <w:r>
        <w:t xml:space="preserve"> This article presents a comprehensive interdisciplinary analysis of demographic agеing in Europe through the analytical lens of the so-called ‘silver economy’, a conceptual paradigm that reframes ageing not as a unilateral social challenge but as a strategic economic asset. The study follows the evolving discourse surrounding older adults, shifting from perceptions of dependency and care to recognition of their agency as consumers, innovators, and contributors to productivity in the context of societal development. Drawing on up-to-date demographic indicators and EU-level policy documents, the paper systematizes three core dimensions through which the silver economy intersects with human well-being: late-life labor force participation, integrated social and healthcare services, and the infrastructure for digital and territorial connectivity. The findings suggest that the combination of policies aimed at extending working life – including raising the retirement age, promoting lifelong learning and reducing early exit from the labour market — significantly enhances the active social role of older individuals. Currently, the silver economy acts as a driver of innovation in healthcare, assistive technologies, and digital services, improving the quality of life of older people and opening new markets. The paper concludes that a successful transformation of demographic trends into su</w:t>
      </w:r>
    </w:p>
    <w:p>
      <w:pPr/>
      <w:r>
        <w:rPr>
          <w:b/>
        </w:rPr>
        <w:t>POSSIBLE 2025:</w:t>
      </w:r>
      <w:r>
        <w:t xml:space="preserve"> American Universalism and Poland in Central-Eastern Europe in the 20th Century — https://doi.org/10.17951/rh.2025.59.1389-1434</w:t>
      </w:r>
    </w:p>
    <w:p>
      <w:pPr/>
      <w:r>
        <w:rPr>
          <w:b/>
        </w:rPr>
        <w:t>Shared claim-specific concepts:</w:t>
      </w:r>
      <w:r>
        <w:t xml:space="preserve"> article, presents, poland, political; EU scope visible. This is a provisional connection, not an outcome finding.</w:t>
      </w:r>
    </w:p>
    <w:p>
      <w:pPr>
        <w:pStyle w:val="SourceNote"/>
      </w:pPr>
      <w:r>
        <w:rPr>
          <w:b/>
        </w:rPr>
        <w:t>Available abstract (not full text):</w:t>
      </w:r>
      <w:r>
        <w:t xml:space="preserve"> The article presents the importance of liberal universalism in the policy of the United States in relation to selected political and territorial problems of Poland and Central-Eastern Europe. From the end of World War I until the fall of the „Iron Curtain”, the U.S. tied the condition of its own liberal-democratic system with the spread of progressive, democratic and liberal values around the world. This liberal ideal of „emancipation of humanity” included concepts of perpetual peace, democracy, self-determination, social progress, economic development, free trade, and human rights, building thus a specific connection of American foreign policy with morality and economics. The objective is to demonstrate that universalism shaped the American view of Poland and Central and Eastern Europe as a liberal „laboratory of history” of the 20th century at the crossroads of empires, which was also a space of conflicts, revolutions and nationalisms that conflicted with American universalism.</w:t>
      </w:r>
    </w:p>
    <w:p>
      <w:pPr/>
      <w:r>
        <w:rPr>
          <w:b/>
        </w:rPr>
        <w:t>POSSIBLE 2025:</w:t>
      </w:r>
      <w:r>
        <w:t xml:space="preserve"> Basic assumptions of media policy in Poland: the legal and political framework — https://doi.org/10.13173/9783447124393.005</w:t>
      </w:r>
    </w:p>
    <w:p>
      <w:pPr/>
      <w:r>
        <w:rPr>
          <w:b/>
        </w:rPr>
        <w:t>Shared claim-specific concepts:</w:t>
      </w:r>
      <w:r>
        <w:t xml:space="preserve"> article, presents, poland, political; EU scope visible. This is a provisional connection, not an outcome finding.</w:t>
      </w:r>
    </w:p>
    <w:p>
      <w:pPr>
        <w:pStyle w:val="SourceNote"/>
      </w:pPr>
      <w:r>
        <w:rPr>
          <w:b/>
        </w:rPr>
        <w:t>Available abstract (not full text):</w:t>
      </w:r>
      <w:r>
        <w:t xml:space="preserve"> After the fall of communism and the start of Poland’s systemic transformation in the 1990s, fundamental changes also took place in the media. The transition to democracy did not immediately introduce the solutions and regulations characterising the democratic states of Western Europe. Although censorship was abolished and freedom of speech was finally possible, over the ensuing years and decades it was not possible to develop a political culture that would seek to adopt such regulations and solutions that would protect and strengthen these values. This article presents the main assumptions of state policy towards the media in Poland, which, because of the instability of the democratic system, requires more discussion than listing and explaining the most important legal acts regulating the media sector. media policy, media system, law</w:t>
      </w:r>
    </w:p>
    <w:p>
      <w:pPr>
        <w:pStyle w:val="Heading2"/>
      </w:pPr>
      <w:r>
        <w:t>647. Brexit deal and demographics drag on long‐term outlook</w:t>
      </w:r>
    </w:p>
    <w:p>
      <w:pPr>
        <w:pStyle w:val="SourceNote"/>
      </w:pPr>
      <w:r>
        <w:rPr>
          <w:b/>
        </w:rPr>
        <w:t>Original source (2020):</w:t>
      </w:r>
      <w:r>
        <w:t xml:space="preserve"> https://doi.org/10.1111/1468-0319.12461</w:t>
      </w:r>
    </w:p>
    <w:p>
      <w:pPr/>
      <w:r>
        <w:t>Original wording (abstract; indexed_source_text_not_full_document_verified): This will result in damage to trade and lower FDI inflows. ▀ We now expect potential output growth to slow to 1.4% a year from 2020–2030 down from 1.6% a year from 2010–2020. In the two decades after 2030 we expect the drag from Brexit‐related effects to fade, but weaker contributions in labour supply and human capital will cut output growth to 1.2% a year. ▀ Demographics have been a key contributor to potential output growth over the past 30 years.</w:t>
      </w:r>
    </w:p>
    <w:p>
      <w:pPr/>
      <w:r>
        <w:rPr>
          <w:b/>
        </w:rPr>
        <w:t>POSSIBLE 2026:</w:t>
      </w:r>
      <w:r>
        <w:t xml:space="preserve"> Damage — https://doi.org/10.1093/he/9780198949695.003.0035</w:t>
      </w:r>
    </w:p>
    <w:p>
      <w:pPr/>
      <w:r>
        <w:rPr>
          <w:b/>
        </w:rPr>
        <w:t>Shared claim-specific concepts:</w:t>
      </w:r>
      <w:r>
        <w:t xml:space="preserve"> result, damage, trade, potential, related; EU scope not established. This is a provisional connection, not an outcome finding.</w:t>
      </w:r>
    </w:p>
    <w:p>
      <w:pPr>
        <w:pStyle w:val="SourceNote"/>
      </w:pPr>
      <w:r>
        <w:rPr>
          <w:b/>
        </w:rPr>
        <w:t>Available abstract (not full text):</w:t>
      </w:r>
      <w:r>
        <w:t xml:space="preserve"> This chapter examines one element that a claimant must prove to sustain a passing off action: the requirement that they have suffered, or are likely to suffer, damage as a result of the defendant’s misrepresentation. It first considers five types of damage that have been recognized by the courts in connection with misrepresentation: loss of existing trade and profits; loss of potential trade and profits; loss of licensing revenues; damage to reputation; and dilution. It then discusses the notion of extended passing off and relevant modifications to its constituent elements: goodwill, misrepresentation, and damage. It also looks at the related principles of unfair competition prevention and image or publicity rights protection.</w:t>
      </w:r>
    </w:p>
    <w:p>
      <w:pPr/>
      <w:r>
        <w:rPr>
          <w:b/>
        </w:rPr>
        <w:t>POSSIBLE 2026:</w:t>
      </w:r>
      <w:r>
        <w:t xml:space="preserve"> Geopolitical and climate change risks affect FDI inflows: a bayesian panel data analysis — https://doi.org/10.1080/15140326.2026.2691367</w:t>
      </w:r>
    </w:p>
    <w:p>
      <w:pPr/>
      <w:r>
        <w:rPr>
          <w:b/>
        </w:rPr>
        <w:t>Shared claim-specific concepts:</w:t>
      </w:r>
      <w:r>
        <w:t xml:space="preserve"> trade, fdi, inflows, but; EU scope not established. This is a provisional connection, not an outcome finding.</w:t>
      </w:r>
    </w:p>
    <w:p>
      <w:pPr>
        <w:pStyle w:val="SourceNote"/>
      </w:pPr>
      <w:r>
        <w:rPr>
          <w:b/>
        </w:rPr>
        <w:t>Available abstract (not full text):</w:t>
      </w:r>
      <w:r>
        <w:t xml:space="preserve"> This study examines the simultaneous and interactive effects of geopolitical risk and climate change risk on foreign direct investment inflows across 43 economies during the period 2002–2023. Methodologically, we employ the Bayesian estimation technique, providing a robust, nuanced quantification of uncertainty compared to traditional frequentist approaches. Results reveal a significant negative impact of climate change risks on inward FDI, while GPR exhibits a positive “safe haven” effect. Furthermore, institutional quality, labor force size, and trade openness are identified as primary drivers, whereas import tariffs act as a deterrent. Our findings suggest that because FDI involves long-term, sunk-cost investments, host countries must move beyond evaluating risks in isolation. We argue that institutional reforms not only safeguard investor rights but also enhance climate resilience for multinational corporations. This research offers a refined risk assessment framework for navigating dual geopolitical and environmental challenges.</w:t>
      </w:r>
    </w:p>
    <w:p>
      <w:pPr/>
      <w:r>
        <w:rPr>
          <w:b/>
        </w:rPr>
        <w:t>POSSIBLE 2025:</w:t>
      </w:r>
      <w:r>
        <w:t xml:space="preserve"> Assessing The Effects of GDP and FDI Inflows on Carbon Dioxide Emission — https://doi.org/10.21776/jdess.2025.04.1.22</w:t>
      </w:r>
    </w:p>
    <w:p>
      <w:pPr/>
      <w:r>
        <w:rPr>
          <w:b/>
        </w:rPr>
        <w:t>Shared claim-specific concepts:</w:t>
      </w:r>
      <w:r>
        <w:t xml:space="preserve"> damage, fdi, inflows; EU scope not established. This is a provisional connection, not an outcome finding.</w:t>
      </w:r>
    </w:p>
    <w:p>
      <w:pPr>
        <w:pStyle w:val="SourceNote"/>
      </w:pPr>
      <w:r>
        <w:rPr>
          <w:b/>
        </w:rPr>
        <w:t>Available abstract (not full text):</w:t>
      </w:r>
      <w:r>
        <w:t xml:space="preserve"> Indonesia is one of the world's largest emitters of carbon dioxide. This aligns with the Environmental Kuznets Curve (EKC) hypothesis, which states that economic growth initially causes environmental damage. This study uses the Error Correction Model (ECM) with time series data from 2002-2022 to definitively examine the relationship between sectoral GDP and FDI inflows with CO2 emissions in Indonesia. The results show that sectoral GDP significantly negatively affects CO2 emissions in the long and short run. In contrast, the quadratic form of GDP has a positive effect, indicating an anomaly in the expected EKC pattern. Moreover, FDI inflows significantly affect CO2 emissions only in the long run. These findings highlight the urgent need for policymakers to implement environmentally sustainable economic development strategies in Indonesia. Abstrak Indonesia merupakan salah satu penghasil emisi karbon dioksida terbesar di dunia. Hal ini sejalan dengan hipotesis Environmental Kuznets Curve (EKC) di mana pertumbuhan ekonomi pada awalnya akan menyebabkan kerusakan lingkungan. Penelitian ini menggunakan Error Correction Model (ECM) dengan periode data dari tahun 2002-2022 untuk menguji secara definitif hubungan antara PDB sektoral dan FDI Inflows dengan emisi CO2 di Indonesia. Hasil penelitian menunjukkan bahwa PDB sektoral memiliki pengaruh negatif yang signifikan terhadap emisi CO2</w:t>
      </w:r>
    </w:p>
    <w:p>
      <w:pPr/>
      <w:r>
        <w:rPr>
          <w:b/>
        </w:rPr>
        <w:t>POSSIBLE 2025:</w:t>
      </w:r>
      <w:r>
        <w:t xml:space="preserve"> FDI inflows and carbon emissions: new global evidence — https://doi.org/10.1007/s43621-025-01292-9</w:t>
      </w:r>
    </w:p>
    <w:p>
      <w:pPr/>
      <w:r>
        <w:rPr>
          <w:b/>
        </w:rPr>
        <w:t>Shared claim-specific concepts:</w:t>
      </w:r>
      <w:r>
        <w:t xml:space="preserve"> result, fdi, inflows; EU scope not established. This is a provisional connection, not an outcome finding.</w:t>
      </w:r>
    </w:p>
    <w:p>
      <w:pPr>
        <w:pStyle w:val="SourceNote"/>
      </w:pPr>
      <w:r>
        <w:rPr>
          <w:b/>
        </w:rPr>
        <w:t>Available abstract (not full text):</w:t>
      </w:r>
      <w:r>
        <w:t xml:space="preserve"> This study investigates the environmental consequences of foreign direct investment (FDI) inflows, focusing on their impact on carbon (CO2) emissions. The findings indicate that FDI inflows significantly contribute to increased CO2 emissions, both in total quantity and intensity. Low- and middle-income nations are disproportionately affected. Additionally, higher levels of institutional quality, financial development, and technological innovation amplify the positive relationship between FDI and emissions. This positive link can be explained by the scale effect, where increased economic activity from FDI leads to higher energy use and emissions. This study also reveals the dual role of institutional quality, financial development, and technological innovation in moderating the environmental impact of FDI. While these factors facilitate growth and attract investment, they can also result in increased emissions if sustainability is not prioritized. These findings offer meaningful implications for policymakers seeking to balance economic growth with sustainability, especially in regions vulnerable to increased emissions due to FDI.</w:t>
      </w:r>
    </w:p>
    <w:p>
      <w:pPr/>
      <w:r>
        <w:rPr>
          <w:b/>
        </w:rPr>
        <w:t>POSSIBLE 2025:</w:t>
      </w:r>
      <w:r>
        <w:t xml:space="preserve"> Are Determinants Of Fdi Inflows Subject To Political And Pandemic Issues? Empirical Evidence From Vietnam — https://doi.org/10.2991/978-94-6463-694-9_5</w:t>
      </w:r>
    </w:p>
    <w:p>
      <w:pPr/>
      <w:r>
        <w:rPr>
          <w:b/>
        </w:rPr>
        <w:t>Shared claim-specific concepts:</w:t>
      </w:r>
      <w:r>
        <w:t xml:space="preserve"> trade, fdi, inflows; EU scope not established. This is a provisional connection, not an outcome finding.</w:t>
      </w:r>
    </w:p>
    <w:p>
      <w:pPr>
        <w:pStyle w:val="SourceNote"/>
      </w:pPr>
      <w:r>
        <w:rPr>
          <w:b/>
        </w:rPr>
        <w:t>Available abstract (not full text):</w:t>
      </w:r>
      <w:r>
        <w:t xml:space="preserve"> Foreign direct investment (FDI) plays an important role in economic growth and social innovation in developing countries, which are always thirsty for investment capital.Its role is expressed through promoting transformation, restructuring the economy, developing human resources, providing new production technology and improving quality of life.Therefore, FDI is always considered a top concern of governments of developing countries.The impact of FDI capital flows is unstable and changes depending on influencing factors such as macroeconomic factors, socio-political factors... Previously, studies based on this relationship were mostly implemented in developed economies and were considered quite little in developing countries like Vietnam.On the other hand, research results among authors are inconsistent.Our research aims to analyze the determinants of FDI flows into Vietnam in the period 1996-2021, focusing on political stability and the covid-19 epidemic, thereby drawing out applicable policies in the current post-COVID economic recovery context. Research purpose:This research is aimed at figuring out critical factors influencing the decision of foreign investors to pour money into Vietnam from 1996 to 2021 with a special focus on pandemic and political issuses.Based on empirical results, we aim to offer policy implications and recommendations for relevant stakeholders. Researc</w:t>
      </w:r>
    </w:p>
    <w:p>
      <w:pPr/>
      <w:r>
        <w:rPr>
          <w:b/>
        </w:rPr>
        <w:t>POSSIBLE 2025:</w:t>
      </w:r>
      <w:r>
        <w:t xml:space="preserve"> Culture as Collateral Damage? Evidence From the Impact of Sanctions on Cultural Trade — https://doi.org/10.1111/twec.70012</w:t>
      </w:r>
    </w:p>
    <w:p>
      <w:pPr/>
      <w:r>
        <w:rPr>
          <w:b/>
        </w:rPr>
        <w:t>Shared claim-specific concepts:</w:t>
      </w:r>
      <w:r>
        <w:t xml:space="preserve"> damage, trade, potential; EU scope visible. This is a provisional connection, not an outcome finding.</w:t>
      </w:r>
    </w:p>
    <w:p>
      <w:pPr>
        <w:pStyle w:val="SourceNote"/>
      </w:pPr>
      <w:r>
        <w:rPr>
          <w:b/>
        </w:rPr>
        <w:t>Available abstract (not full text):</w:t>
      </w:r>
      <w:r>
        <w:t xml:space="preserve"> ABSTRACT We examine how various types of sanctions—trade, financial, military, arms and travel—affect trade in cultural goods, and, for comparison, in non‐cultural goods. We find that trade sanctions have significant negative impacts on cultural and non‐cultural trade. The magnitude and nature of these impacts vary depending on the type and coverage of trade sanctions. Furthermore, our study reveals significant collateral damage to bilateral cultural trade caused by arms, military assistance, financial and travel sanctions. Conversely, non‐cultural trade is primarily influenced by financial and travel sanctions. Examining the origins of sanctions provides deeper insights into their diverse impacts. Specifically, our analysis highlights that the United States (U.S.)‐imposed sanctions across various types have significant unintended consequences for bilateral U.S. cultural trade with sanctioned countries. Similarly, both U.S. and European Union (EU) sanctions, regardless of their type, exert a substantial impact on their non‐cultural trade with sanctioned countries. Although sanctions may be justified from a political standpoint, our findings underscore the importance for policymakers to prioritise the promotion of cultural trade and its potential role in peacebuilding efforts once sanctions are lifted.</w:t>
      </w:r>
    </w:p>
    <w:p>
      <w:pPr/>
      <w:r>
        <w:rPr>
          <w:b/>
        </w:rPr>
        <w:t>POSSIBLE 2025:</w:t>
      </w:r>
      <w:r>
        <w:t xml:space="preserve"> Foreign trade resilience during wartime — https://doi.org/10.4324/9781003503255-8</w:t>
      </w:r>
    </w:p>
    <w:p>
      <w:pPr/>
      <w:r>
        <w:rPr>
          <w:b/>
        </w:rPr>
        <w:t>Shared claim-specific concepts:</w:t>
      </w:r>
      <w:r>
        <w:t xml:space="preserve"> result, damage, trade, potential; EU scope not established. This is a provisional connection, not an outcome finding.</w:t>
      </w:r>
    </w:p>
    <w:p>
      <w:pPr>
        <w:pStyle w:val="SourceNote"/>
      </w:pPr>
      <w:r>
        <w:rPr>
          <w:b/>
        </w:rPr>
        <w:t>Available abstract (not full text):</w:t>
      </w:r>
      <w:r>
        <w:t xml:space="preserve"> One of the components of the stability of the national economy is foreign trade resilience, which consists of maintaining the state’s presence in international markets through foreign trade exchange while preventing a critical size of the negative balance. Among other things, the military actions led to the risk of losing Ukraine’s export potential. Export-oriented industries suffered catastrophic losses, with a number of facilities lost forever. It is primarily about the metallurgical, chemical, and machine-building sectors of the economy. Significant damage is caused to the relationship with contractor companies and commercial cooperation of enterprises as a result of logistical obstacles, military pollution of territories, damage, and destruction of transport infrastructure. Another risk is the significant destruction of infrastructure or the complication of transport logistics. Ukrainian manufacturers lose or have significantly reduced access to export markets as a result of a significant narrowing of export supply channels. At the same time, competition for the access to transport and logistics capacities is growing at the inter-industry level, as well as between exporters of the same industry. There are significant risks of increased logistics costs for exporters due to constant military threats, systematic targeted destruction of export supply channels, ongoing blockade </w:t>
      </w:r>
    </w:p>
    <w:p>
      <w:pPr/>
      <w:r>
        <w:rPr>
          <w:b/>
        </w:rPr>
        <w:t>POSSIBLE 2025:</w:t>
      </w:r>
      <w:r>
        <w:t xml:space="preserve"> The Hidden Cost of Global Trade: Evidence from Plastic Waste Trade and Its Ecological Ramifications Across Major Waste-Trading Nations — https://doi.org/10.3390/su17136176</w:t>
      </w:r>
    </w:p>
    <w:p>
      <w:pPr/>
      <w:r>
        <w:rPr>
          <w:b/>
        </w:rPr>
        <w:t>Shared claim-specific concepts:</w:t>
      </w:r>
      <w:r>
        <w:t xml:space="preserve"> damage, trade, lower, but; EU scope not established. This is a provisional connection, not an outcome finding.</w:t>
      </w:r>
    </w:p>
    <w:p>
      <w:pPr>
        <w:pStyle w:val="SourceNote"/>
      </w:pPr>
      <w:r>
        <w:rPr>
          <w:b/>
        </w:rPr>
        <w:t>Available abstract (not full text):</w:t>
      </w:r>
      <w:r>
        <w:t xml:space="preserve"> The rapid expansion of plastic waste trade has intensified environmental pressures, accelerating ecosystem degradation and climate change. We examine the long-term impacts of plastic waste imports and domestic waste production on ecological footprints and greenhouse gas emissions across 20 countries representing 70% of global plastic waste trade and 45% of world GDP. Under the Environmental Kuznets Curve (EKC) framework, we explore nonlinear interactions among economic growth, urbanization, and sustainability goals. Using a panel simultaneous equations approach, we apply Pedroni, Kao, and Westerlund cointegration tests and Fully Modified and Dynamic OLS estimators to address endogeneity and heterogeneity. Robustness checks include alternative environmental indicators and the Dumitrescu–Hurlin panel causality test. Results demonstrate a stable long-run equilibrium: plastic waste imports substantially increase ecological footprints and emissions, while progress on sustainable development goals mitigates some damage. The negative GDP squared coefficient supports the EKC hypothesis, indicating that environmental impacts rise initially with growth but decline once income exceeds a threshold. These findings highlight the need for stronger international regulations, enhanced waste management infrastructures, and circular economy strategies. Focused investment in sustainable technologi</w:t>
      </w:r>
    </w:p>
    <w:p>
      <w:pPr/>
      <w:r>
        <w:rPr>
          <w:b/>
        </w:rPr>
        <w:t>POSSIBLE 2025:</w:t>
      </w:r>
      <w:r>
        <w:t xml:space="preserve"> Implementation of cites (convention on international trade in endangered species of wild fauna and flora) in dealing with illegal timber trade in Indonesia — https://doi.org/10.35335/jls.v7i1.5911</w:t>
      </w:r>
    </w:p>
    <w:p>
      <w:pPr/>
      <w:r>
        <w:rPr>
          <w:b/>
        </w:rPr>
        <w:t>Shared claim-specific concepts:</w:t>
      </w:r>
      <w:r>
        <w:t xml:space="preserve"> damage, trade, related; EU scope not established. This is a provisional connection, not an outcome finding.</w:t>
      </w:r>
    </w:p>
    <w:p>
      <w:pPr>
        <w:pStyle w:val="SourceNote"/>
      </w:pPr>
      <w:r>
        <w:rPr>
          <w:b/>
        </w:rPr>
        <w:t>Available abstract (not full text):</w:t>
      </w:r>
      <w:r>
        <w:t xml:space="preserve"> This research examines the implementation of the Convention on International Trade in Endangered Species of Wild Fauna and Flora in dealing with illegal timber trade in Indonesia. As a convention, CITES helps Indonesia deal with the illegal timber trade by making rules for timber traders. The problem of illegal logging and timber trade is a global crime. This action has damaged forests and even caused extinction for wildlife due to illegal logging for the benefit of certain groups. In this research, the author uses the literature study method by collecting information from reading which is then analyzed to get results. The purpose of this research is to find out the implementation of CITES in Indonesia in dealing with illegal timber trade that causes forest damage and loss. From the results of the study it can be found that Indonesia has ratified CITES and implemented it in the form of laws and Ministerial regulations. CITES is an international treaty that deals with plant and animal trade. Every country that ratifies CITES must be able to trade legally. By ratifying and making rules in Indonesia, timber trade can be carried out legally and pay attention to various aspects related to the environment. The implementation of CITES has an impact on forest protection, people can trade timber legally and protect animals in the forest.</w:t>
      </w:r>
    </w:p>
    <w:p>
      <w:pPr/>
      <w:r>
        <w:rPr>
          <w:b/>
        </w:rPr>
        <w:t>POSSIBLE 2024:</w:t>
      </w:r>
      <w:r>
        <w:t xml:space="preserve"> Do FDI and foreign remittance inflows affect the unemployment rate? A new insight — https://doi.org/10.18488/29.v11i2.3712</w:t>
      </w:r>
    </w:p>
    <w:p>
      <w:pPr/>
      <w:r>
        <w:rPr>
          <w:b/>
        </w:rPr>
        <w:t>Shared claim-specific concepts:</w:t>
      </w:r>
      <w:r>
        <w:t xml:space="preserve"> fdi, inflows; EU scope not established. This is a provisional connection, not an outcome finding.</w:t>
      </w:r>
    </w:p>
    <w:p>
      <w:pPr>
        <w:pStyle w:val="SourceNote"/>
      </w:pPr>
      <w:r>
        <w:rPr>
          <w:b/>
        </w:rPr>
        <w:t>Available abstract (not full text):</w:t>
      </w:r>
      <w:r>
        <w:t xml:space="preserve"> This study aims to investigate the impact of FDI and foreign remittances on unemployment from 1991 to 2020 from Bangladesh's perspective. With the use of EViews 10 version, this study used the ARDL technique to capture the long-run and short-run estimations. The study utilized the unemployment rate as a dependent variable and foreign direct investment (FDI) and foreign remittances as independent factors. The remaining factors include exchange rate, GDP growth, exports, and inflation rate; these are controllable variables. The results of the research show that FDI and foreign remittance have a positive and statistically significant association with unemployment rate in Bangladesh, both in the long run and in the short term. Thus, according to the findings, FDI and foreign remittances are creating more unemployment in Bangladesh. Unlike the general economic theory, which states that the bidirectional relationship of FDI with the unemployment rate, as well as foreign remittances with the unemployment rate, is inverse, these research outcomes basically suggest that FDI and foreign remittance inflows are displacing domestic labor with, perhaps, a low-cost, highly skilled overseas workforce, and also indicate that there might be an increasing trend in the brown-field investment sector. For policy implications, this investigation lends support to the theory that Bangladesh should focu</w:t>
      </w:r>
    </w:p>
    <w:p>
      <w:pPr/>
      <w:r>
        <w:rPr>
          <w:b/>
        </w:rPr>
        <w:t>POSSIBLE 2024:</w:t>
      </w:r>
      <w:r>
        <w:t xml:space="preserve"> Impact of management strategies on forest susceptibility to spruce bark beetle damage and potential trade-offs with timber production and biodiversity — https://doi.org/10.1016/j.foreco.2024.121964</w:t>
      </w:r>
    </w:p>
    <w:p>
      <w:pPr/>
      <w:r>
        <w:rPr>
          <w:b/>
        </w:rPr>
        <w:t>Shared claim-specific concepts:</w:t>
      </w:r>
      <w:r>
        <w:t xml:space="preserve"> damage, lower, potential, decades; EU scope visible. This is a provisional connection, not an outcome finding.</w:t>
      </w:r>
    </w:p>
    <w:p>
      <w:pPr>
        <w:pStyle w:val="SourceNote"/>
      </w:pPr>
      <w:r>
        <w:rPr>
          <w:b/>
        </w:rPr>
        <w:t>Available abstract (not full text):</w:t>
      </w:r>
      <w:r>
        <w:t xml:space="preserve"> The European spruce bark beetle (SBB) is an important insect pest in many countries such as Sweden and has caused the loss of millions of trees over the past few decades. Forest management targeting key variables in the forest can be a potential tool to decrease SBB susceptibility. In this paper, we simulated forest development over a 70-year planning horizon and evaluated the effect of different forest management strategies on spruce bark beetle susceptibility, timber production and biodiversity indicators. We used national forest inventory plots located in Kronoberg county, Southern Sweden, from 2016 to 2020 to perform the analyses. A reference strategy mimicking current management practices was simulated and compared with four other management strategies that can be an alternative to decrease spruce bark beetle damage. The four management strategies were (1) mixed forest stands, (2) shorter rotations and no thinnings, (3) prolonged rotations and (4) continuous cover forestry. The strategies differed in how and when regeneration, pre-commercial thinning, thinnings and final fellings were performed. The optimization of each of the strategies was aimed at reducing spruce bark beetle susceptibility while simultaneously investigating trade-offs with a range of timber production demands. In addition, we simulated a combined strategy where any of the strategies could be chosen with</w:t>
      </w:r>
    </w:p>
    <w:p>
      <w:pPr/>
      <w:r>
        <w:rPr>
          <w:b/>
        </w:rPr>
        <w:t>POSSIBLE 2024:</w:t>
      </w:r>
      <w:r>
        <w:t xml:space="preserve"> Role of Global Trade in the Circular Economy — https://doi.org/10.36689/uhk/hed/2024-01-035</w:t>
      </w:r>
    </w:p>
    <w:p>
      <w:pPr/>
      <w:r>
        <w:rPr>
          <w:b/>
        </w:rPr>
        <w:t>Shared claim-specific concepts:</w:t>
      </w:r>
      <w:r>
        <w:t xml:space="preserve"> result, damage, trade; EU scope not established. This is a provisional connection, not an outcome finding.</w:t>
      </w:r>
    </w:p>
    <w:p>
      <w:pPr>
        <w:pStyle w:val="SourceNote"/>
      </w:pPr>
      <w:r>
        <w:rPr>
          <w:b/>
        </w:rPr>
        <w:t>Available abstract (not full text):</w:t>
      </w:r>
      <w:r>
        <w:t xml:space="preserve"> Paper examines economic model known as upcycling, which seeks to minimize environmental damage by maximizing the reuse of resources.The use of raw materials, production and consumption that underpin the vertical economic system promoted by global trade has serious social and environmental consequences.The study highlights the opportunities and threats of global exchange in the context of supply chain transformation.Notwithstanding the considerable difficulties, the result suggests that global trade can contribute to the development of a circular economy by increasing productivity, reducing pollution, and encouraging more environmentally responsible production and consumption.The conclusions and suggestions relate to the findings from GRETL and how policy makers, firms and individuals could accelerate the uptake of recycling and reuse in global trade.</w:t>
      </w:r>
    </w:p>
    <w:p>
      <w:pPr>
        <w:pStyle w:val="Heading2"/>
      </w:pPr>
      <w:r>
        <w:t>648. Burden of Stroke in Europe</w:t>
      </w:r>
    </w:p>
    <w:p>
      <w:pPr>
        <w:pStyle w:val="SourceNote"/>
      </w:pPr>
      <w:r>
        <w:rPr>
          <w:b/>
        </w:rPr>
        <w:t>Original source (2020):</w:t>
      </w:r>
      <w:r>
        <w:t xml:space="preserve"> https://doi.org/10.1161/strokeaha.120.029606</w:t>
      </w:r>
    </w:p>
    <w:p>
      <w:pPr/>
      <w:r>
        <w:t>Original wording (abstract; indexed_source_text_not_full_document_verified): By 2047, we estimated an additional 40 000 incident strokes (+3%) and 2.58 million prevalent cases (+27%).</w:t>
      </w:r>
    </w:p>
    <w:p>
      <w:pPr/>
      <w:r>
        <w:rPr>
          <w:b/>
        </w:rPr>
        <w:t>POSSIBLE 2026:</w:t>
      </w:r>
      <w:r>
        <w:t xml:space="preserve"> The updated global burden of chronic kidney disease: one death every 20 seconds — https://doi.org/10.1093/ndt/gfag040</w:t>
      </w:r>
    </w:p>
    <w:p>
      <w:pPr/>
      <w:r>
        <w:rPr>
          <w:b/>
        </w:rPr>
        <w:t>Shared claim-specific concepts:</w:t>
      </w:r>
      <w:r>
        <w:t xml:space="preserve"> estimated, additional, million, prevalent; EU scope visible. This is a provisional connection, not an outcome finding.</w:t>
      </w:r>
    </w:p>
    <w:p>
      <w:pPr>
        <w:pStyle w:val="SourceNote"/>
      </w:pPr>
      <w:r>
        <w:rPr>
          <w:b/>
        </w:rPr>
        <w:t>Available abstract (not full text):</w:t>
      </w:r>
      <w:r>
        <w:t xml:space="preserve"> In 2024, Global Burden of Disease (GBD) updated the forecast of global cause-specific age-standardized death rates. Chronic kidney disease (CKD) was forecast to increase by over 30% from 2022, while stroke and ischaemic heart disease would decrease by more than 40%. In western Europe, CKD would become the third cause of death by 2050. While proactive primary prevention has been key to addressing the burden of stroke and ischaemic heart disease, its role in CKD has been often neglected. In 2025, the World Health Organization and Kidney Disease: Improving Global Outcomes produced documents emphasizing maintenance of kidney health and GBD updated the global epidemiology estimates for CKD and kidney replacement therapy (KRT). The new data support the previous estimate that there are 850 million people with kidney disease globally, of whom 4.6 million are on KRT, and 1.5 million people annually (one every 20 seconds) die from CKD. In Europe, an estimated 93.1 million adults have CKD, of whom 750 000 are on KRT, and 210 000 people (one every 2.5 minutes) die from CKD. Of relevance for public health planning, diabetes and hypertension accounted for ≤30% of prevalent KRT in Europe. GBD estimates extend data currently available through the European Renal Association Registry by including additional countries where prevalence of KRT is high: Germany, for example, is home to over 77 000 p</w:t>
      </w:r>
    </w:p>
    <w:p>
      <w:pPr/>
      <w:r>
        <w:rPr>
          <w:b/>
        </w:rPr>
        <w:t>POSSIBLE 2024:</w:t>
      </w:r>
      <w:r>
        <w:t xml:space="preserve"> Estimating the burden of vitiligo: a systematic review and modelling study — https://doi.org/10.1016/s2468-2667(24)00026-4</w:t>
      </w:r>
    </w:p>
    <w:p>
      <w:pPr/>
      <w:r>
        <w:rPr>
          <w:b/>
        </w:rPr>
        <w:t>Shared claim-specific concepts:</w:t>
      </w:r>
      <w:r>
        <w:t xml:space="preserve"> estimated, million, cases; EU scope visible. This is a provisional connection, not an outcome finding.</w:t>
      </w:r>
    </w:p>
    <w:p>
      <w:pPr>
        <w:pStyle w:val="SourceNote"/>
      </w:pPr>
      <w:r>
        <w:rPr>
          <w:b/>
        </w:rPr>
        <w:t>Available abstract (not full text):</w:t>
      </w:r>
      <w:r>
        <w:t xml:space="preserve"> BACKGROUND: Vitiligo is a chronic autoimmune disease characterised by depigmented skin patches, which can pose substantial psychosocial challenges particularly in individuals with dark skin tones. Despite its impact on quality of life, there is an absence of standardised global epidemiological data. We sought to address this gap with the present study. METHODS: In this study we did a systematic review and modelling analysis to estimate the global, regional, and national prevalence and incidence of vitiligo. We did a comprehensive search of nine digital libraries (PubMed, Embase, Web of Science, Scientific Electronic Library Online, KCI Korean Journal Database, Russian Science Citation Index, Western Pacific Region Index Medicus, Informit, and Health Research and Development Information Network) from inception up to May 25, 2023. We included cross-sectional or cohort studies reporting the incidence rate or prevalence of vitiligo, or data from which incidence rate or prevalence could be calculated, in the general population of a country or area of a country. Summary estimate data were extracted. A main outcome was to estimate the worldwide, regional, and country-specific lifetime prevalence of vitiligo diagnosed by physicians or dermatologists among the general population and in adults and children (as per age groups defined in included studies). We used a Bayesian hierarchical l</w:t>
      </w:r>
    </w:p>
    <w:p>
      <w:pPr/>
      <w:r>
        <w:rPr>
          <w:b/>
        </w:rPr>
        <w:t>POSSIBLE 2024:</w:t>
      </w:r>
      <w:r>
        <w:t xml:space="preserve"> Estimated frequency and economic burden of incident fragility fractures during 2023 in Mexico — https://doi.org/10.1007/s11657-024-01468-2</w:t>
      </w:r>
    </w:p>
    <w:p>
      <w:pPr/>
      <w:r>
        <w:rPr>
          <w:b/>
        </w:rPr>
        <w:t>Shared claim-specific concepts:</w:t>
      </w:r>
      <w:r>
        <w:t xml:space="preserve"> estimated, incident, million; EU scope not established. This is a provisional connection, not an outcome finding.</w:t>
      </w:r>
    </w:p>
    <w:p>
      <w:pPr>
        <w:pStyle w:val="SourceNote"/>
      </w:pPr>
      <w:r>
        <w:rPr>
          <w:b/>
        </w:rPr>
        <w:t>Available abstract (not full text):</w:t>
      </w:r>
      <w:r>
        <w:t xml:space="preserve"> Epidemiologic and economic data regarding osteoporotic fractures in Mexico is scarce and mostly outdated. Through a model, we estimated the incidence and costs of osteoporotic fractures in adults ≥ 50 years old in Mexico during the year 2023. Results showed that these events are both frequent and costly, leading to a considerable economic impact. PURPOSE: Osteoporosis and its fractures impose a high clinical and economic burden. The objective of this analysis was to estimate the frequency and costs owing to incident fragility fractures (FFs) during the year 2023 in Mexico. METHODS: This is an incidence-based cost-of-illness study. The target population is adults ≥ 50 years old sustaining a fracture related to osteoporosis (caused by a fall on the same level). The model estimates the costs and productivity losses associated with their treatment within 1 year post-fracture. National epidemiologic databases supplemented with information, derived from literature when appropriate, were used to estimate the frequency of new FFs during 2023 in the study population. Resource use included surgical and non-surgical inpatient or ambulatory care the patients received immediately after fracture plus the outpatient physiotherapy post-discharge and the eventual follow-up with a specialist who may prescribe pharmacotherapy. Sick days taken in employed patients were estimated from the literatur</w:t>
      </w:r>
    </w:p>
    <w:p>
      <w:pPr/>
      <w:r>
        <w:rPr>
          <w:b/>
        </w:rPr>
        <w:t>POSSIBLE 2023:</w:t>
      </w:r>
      <w:r>
        <w:t xml:space="preserve"> The incidence and prevalence of IgA nephropathy in Europe — https://doi.org/10.1093/ndt/gfad082</w:t>
      </w:r>
    </w:p>
    <w:p>
      <w:pPr/>
      <w:r>
        <w:rPr>
          <w:b/>
        </w:rPr>
        <w:t>Shared claim-specific concepts:</w:t>
      </w:r>
      <w:r>
        <w:t xml:space="preserve"> estimated, prevalent, cases; EU scope visible. This is a provisional connection, not an outcome finding.</w:t>
      </w:r>
    </w:p>
    <w:p>
      <w:pPr>
        <w:pStyle w:val="SourceNote"/>
      </w:pPr>
      <w:r>
        <w:rPr>
          <w:b/>
        </w:rPr>
        <w:t>Available abstract (not full text):</w:t>
      </w:r>
      <w:r>
        <w:t xml:space="preserve"> BACKGROUND: This study aimed to determine the incidence and prevalence of immunoglobulin A nephropathy (IgAN) in Europe based on high-quality data from national registries. METHODS: IgAN incidences were obtained from a literature review of European studies of national kidney biopsy registry data in which IgAN diagnosis was biopsy-verified using contemporary techniques. Studies were eligible for the main analysis if published from 1990 to 2020. IgAN point prevalence was defined as the annual IgAN incidence multiplied by the estimated duration of disease. Incidence and prevalence estimates were made for three pooled populations: (i) patients of all ages; (ii) pediatric patients; and (iii) elderly patients. RESULTS: Across 10 European countries, the estimated annual IgAN incidence was 0.76 per 100 000 in patients of all ages. The corresponding pooled IgAN point prevalence was 2.53 per 10 000 (95% confidence interval: 2.51-2.55), ranging from 1.14 per 10 000 in Spain to 5.98 per 10 000 in Lithuania. Applied to 2021 population estimates, the number of expected prevalent IgAN cases was 47 027 across all 10 countries and ranged from 577 in Estonia to 16 645 in Italy. Among pediatric patients, IgAN incidence was 0.20 per 100 000 children and IgAN point prevalence was 0.12 per 10 000 children. Among elderly patients, IgAN incidence was 0.30 per 100 000 and IgAN point prevalence was 0.36</w:t>
      </w:r>
    </w:p>
    <w:p>
      <w:pPr/>
      <w:r>
        <w:rPr>
          <w:b/>
        </w:rPr>
        <w:t>POSSIBLE 2023:</w:t>
      </w:r>
      <w:r>
        <w:t xml:space="preserve"> Schistosomiasis in Europe — https://doi.org/10.1007/s40475-023-00286-9</w:t>
      </w:r>
    </w:p>
    <w:p>
      <w:pPr/>
      <w:r>
        <w:rPr>
          <w:b/>
        </w:rPr>
        <w:t>Shared claim-specific concepts:</w:t>
      </w:r>
      <w:r>
        <w:t xml:space="preserve"> estimated, million, prevalent, cases; EU scope visible. This is a provisional connection, not an outcome finding.</w:t>
      </w:r>
    </w:p>
    <w:p>
      <w:pPr>
        <w:pStyle w:val="SourceNote"/>
      </w:pPr>
      <w:r>
        <w:rPr>
          <w:b/>
        </w:rPr>
        <w:t>Available abstract (not full text):</w:t>
      </w:r>
      <w:r>
        <w:t xml:space="preserve"> Abstract Purposeof Review The purpose of this review is to provide an overview of the burden of schistosomiasis in the European continent. It discusses three subjects: the endemic forms of non-human schistosomiasis in Europe; the introduction of transmission of human schistosomiasis into Europe; and the occurrence of imported cases of human schistosomiasis. Recent Findings Europe is not endemic for human schistosomiasis; nevertheless, it is affected by the disease in multiple ways, although the magnitude of the burden remains elusive because of gaps in surveillance and reporting. Summary Schistosomiasis is a global neglected disease prevalent in tropical and subtropical areas. As of 2022, it is estimated that 251 million people require preventive chemotherapy for schistosomiasis, 90% of whom live in Africa. In Europe, human schistosomiasis is frequently detected in migrants from endemic countries who reach the continent. Additionally, outbreaks due to local transmission can sporadically occur following the introduction of schistosomes in one of the many freshwater bodies in southern Europe where competent snail hosts are found. Finally, human cercarial dermatitis is frequently occurring in Europe, because of the presence of avian schistosomiasis in several countries across the continent. A stronger epidemiological surveillance and reporting system, coupled with more surveys on </w:t>
      </w:r>
    </w:p>
    <w:p>
      <w:pPr/>
      <w:r>
        <w:rPr>
          <w:b/>
        </w:rPr>
        <w:t>POSSIBLE 2023:</w:t>
      </w:r>
      <w:r>
        <w:t xml:space="preserve"> Hepatitis B and C in Europe: an update from the Global Burden of Disease Study 2019 — https://doi.org/10.1016/s2468-2667(23)00149-4</w:t>
      </w:r>
    </w:p>
    <w:p>
      <w:pPr/>
      <w:r>
        <w:rPr>
          <w:b/>
        </w:rPr>
        <w:t>Shared claim-specific concepts:</w:t>
      </w:r>
      <w:r>
        <w:t xml:space="preserve"> estimated, incident, million, prevalent, cases; EU scope visible. This is a provisional connection, not an outcome finding.</w:t>
      </w:r>
    </w:p>
    <w:p>
      <w:pPr>
        <w:pStyle w:val="SourceNote"/>
      </w:pPr>
      <w:r>
        <w:rPr>
          <w:b/>
        </w:rPr>
        <w:t>Available abstract (not full text):</w:t>
      </w:r>
      <w:r>
        <w:t xml:space="preserve"> BACKGROUND: In 2016, the World Health Assembly adopted the resolution to eliminate viral hepatitis by 2030. This study aims to provide an overview of the burdens of hepatitis B virus (HBV) and hepatitis C virus (HCV) in Europe and their changes from 2010 to 2019 using estimates from the Global Burden of Diseases, Injuries, and Risk Factors Study (GBD) 2019. METHODS: We used GBD 2019 estimates of the burden associated with HBV-related and HCV-related diseases: acute hepatitis, cirrhosis and other chronic liver diseases, and liver cancer. We report total numbers and age-standardised rates per 100 000 for mortality, prevalence, incidence, and disability-adjusted life-years (DALYs) from 2010 to 2019. For each HBV-related and HCV-related disease and each measure, we analysed temporal changes and percentage changes for the 2010-19 period. FINDINGS: In 2019, across all age groups, there were an estimated 2·08 million (95% uncertainty interval [UI] 1·66 to 2·54) incident cases of acute hepatitis B and 0·49 million (0·42 to 0·57) of hepatitis C in Europe. There were an estimated 8·24 million (7·56 to 8·88) prevalent cases of HBV-related cirrhosis and 11·87 million (9·77 to 14·41) of HCV-related cirrhosis, with 24·92 thousand (19·86 to 31·03) deaths due to HBV-related cirrhosis and 36·89 thousand (29·94 to 45·56) deaths due to HCV-related cirrhosis. Deaths were estimated at 9·00 thousand</w:t>
      </w:r>
    </w:p>
    <w:p>
      <w:pPr/>
      <w:r>
        <w:rPr>
          <w:b/>
        </w:rPr>
        <w:t>POSSIBLE 2023:</w:t>
      </w:r>
      <w:r>
        <w:t xml:space="preserve"> Incident type 2 diabetes attributable to suboptimal diet in 184 countries — https://doi.org/10.1038/s41591-023-02278-8</w:t>
      </w:r>
    </w:p>
    <w:p>
      <w:pPr/>
      <w:r>
        <w:rPr>
          <w:b/>
        </w:rPr>
        <w:t>Shared claim-specific concepts:</w:t>
      </w:r>
      <w:r>
        <w:t xml:space="preserve"> estimated, incident, million, cases; EU scope visible. This is a provisional connection, not an outcome finding.</w:t>
      </w:r>
    </w:p>
    <w:p>
      <w:pPr>
        <w:pStyle w:val="SourceNote"/>
      </w:pPr>
      <w:r>
        <w:rPr>
          <w:b/>
        </w:rPr>
        <w:t>Available abstract (not full text):</w:t>
      </w:r>
      <w:r>
        <w:t xml:space="preserve"> The global burden of diet-attributable type 2 diabetes (T2D) is not well established. This risk assessment model estimated T2D incidence among adults attributable to direct and body weight-mediated effects of 11 dietary factors in 184 countries in 1990 and 2018. In 2018, suboptimal intake of these dietary factors was estimated to be attributable to 14.1 million (95% uncertainty interval (UI), 13.8-14.4 million) incident T2D cases, representing 70.3% (68.8-71.8%) of new cases globally. Largest T2D burdens were attributable to insufficient whole-grain intake (26.1% (25.0-27.1%)), excess refined rice and wheat intake (24.6% (22.3-27.2%)) and excess processed meat intake (20.3% (18.3-23.5%)). Across regions, highest proportional burdens were in central and eastern Europe and central Asia (85.6% (83.4-87.7%)) and Latin America and the Caribbean (81.8% (80.1-83.4%)); and lowest proportional burdens were in South Asia (55.4% (52.1-60.7%)). Proportions of diet-attributable T2D were generally larger in men than in women and were inversely correlated with age. Diet-attributable T2D was generally larger among urban versus rural residents and higher versus lower educated individuals, except in high-income countries, central and eastern Europe and central Asia, where burdens were larger in rural residents and in lower educated individuals. Compared with 1990, global diet-attributable T2D in</w:t>
      </w:r>
    </w:p>
    <w:p>
      <w:pPr/>
      <w:r>
        <w:rPr>
          <w:b/>
        </w:rPr>
        <w:t>POSSIBLE 2023:</w:t>
      </w:r>
      <w:r>
        <w:t xml:space="preserve"> Correlating Connected Vehicle Estimated Deceleration Events with Crash Incidents near Interstate Interchanges — https://doi.org/10.4236/jtts.2023.134031</w:t>
      </w:r>
    </w:p>
    <w:p>
      <w:pPr/>
      <w:r>
        <w:rPr>
          <w:b/>
        </w:rPr>
        <w:t>Shared claim-specific concepts:</w:t>
      </w:r>
      <w:r>
        <w:t xml:space="preserve"> estimated, incident, million; EU scope not established. This is a provisional connection, not an outcome finding.</w:t>
      </w:r>
    </w:p>
    <w:p>
      <w:pPr>
        <w:pStyle w:val="SourceNote"/>
      </w:pPr>
      <w:r>
        <w:rPr>
          <w:b/>
        </w:rPr>
        <w:t>Available abstract (not full text):</w:t>
      </w:r>
      <w:r>
        <w:t xml:space="preserve"> Historical roadway safety analyses have used labor and time-intensive crash data collection procedures. However, crash reporting is often delayed and crash locations are reported with varying levels of spatial accuracy and detail. Recent advances in connected vehicle (CV) data provide an opportunity for stakeholders to proactively identify areas of safety concerns in near-real time with high spatial precision. Public and private sector stakeholders including automotive original equipment manufacturers (OEM) and insurance providers may independently define acceleration thresholds for reporting unsafe driver behavior. Although some OEMs have provided fixed threshold hard-braking event data for a number of years, this varies by OEM and there is no published literature on the best thresholds to use for identifying emerging safety issues. This research proposes a methodology to estimate deceleration events from raw CV trajectory data at varying thresholds that can be scaled to any CV. The estimated deceleration events and crash incident records around 629 interstate exits in Indiana were analyzed for a three-month period from March 1-May 31, 2023. Nearly 20 million estimated deceleration events and 4800 crash records were spatially joined to a 2-mile search radius around each exit ramp. Results showed that deceleration events between -0.5 g and -0.4 g had the highest correlation wit</w:t>
      </w:r>
    </w:p>
    <w:p>
      <w:pPr/>
      <w:r>
        <w:rPr>
          <w:b/>
        </w:rPr>
        <w:t>POSSIBLE 2022:</w:t>
      </w:r>
      <w:r>
        <w:t xml:space="preserve"> Hybridization and introgression are prevalent in Southern European Erysimum (Brassicaceae) species — https://doi.org/10.1093/aob/mcac048</w:t>
      </w:r>
    </w:p>
    <w:p>
      <w:pPr/>
      <w:r>
        <w:rPr>
          <w:b/>
        </w:rPr>
        <w:t>Shared claim-specific concepts:</w:t>
      </w:r>
      <w:r>
        <w:t xml:space="preserve"> million, prevalent, cases; EU scope visible. This is a provisional connection, not an outcome finding.</w:t>
      </w:r>
    </w:p>
    <w:p>
      <w:pPr>
        <w:pStyle w:val="SourceNote"/>
      </w:pPr>
      <w:r>
        <w:rPr>
          <w:b/>
        </w:rPr>
        <w:t>Available abstract (not full text):</w:t>
      </w:r>
      <w:r>
        <w:t xml:space="preserve"> BACKGROUND AND AIMS: Hybridization is a common and important force in plant evolution. One of its outcomes is introgression - the transfer of small genomic regions from one taxon to another by hybridization and repeated backcrossing. This process is believed to be common in glacial refugia, where range expansions and contractions can lead to cycles of sympatry and isolation, creating conditions for extensive hybridization and introgression. Polyploidization is another genome-wide process with a major influence on plant evolution. Both hybridization and polyploidization can have complex effects on plant evolution. However, these effects are often difficult to understand in recently evolved species complexes. METHODS: We combined flow cytometry, analyses of transcriptomic sequences and pollen tube growth assays to investigate the consequences of polyploidization, hybridization and introgression on the recent evolution of several Erysimum (Brassicaceae) species from the South of the Iberian Peninsula, a well-known glacial refugium. This species complex differentiated in the last 2 million years, and its evolution has been hypothesized to be determined mainly by polyploidization, interspecific hybridization and introgression. KEY RESULTS: Our results support a scenario of widespread hybridization involving both extant and 'ghost' taxa. Several taxa studied here, most notably those </w:t>
      </w:r>
    </w:p>
    <w:p>
      <w:pPr/>
      <w:r>
        <w:rPr>
          <w:b/>
        </w:rPr>
        <w:t>POSSIBLE 2022:</w:t>
      </w:r>
      <w:r>
        <w:t xml:space="preserve"> Clinical and societal burden of incident major depressive disorder: A population‐wide cohort study in Stockholm — https://doi.org/10.1111/acps.13414</w:t>
      </w:r>
    </w:p>
    <w:p>
      <w:pPr/>
      <w:r>
        <w:rPr>
          <w:b/>
        </w:rPr>
        <w:t>Shared claim-specific concepts:</w:t>
      </w:r>
      <w:r>
        <w:t xml:space="preserve"> additional, incident, million, prevalent; EU scope visible. This is a provisional connection, not an outcome finding.</w:t>
      </w:r>
    </w:p>
    <w:p>
      <w:pPr>
        <w:pStyle w:val="SourceNote"/>
      </w:pPr>
      <w:r>
        <w:rPr>
          <w:b/>
        </w:rPr>
        <w:t>Available abstract (not full text):</w:t>
      </w:r>
      <w:r>
        <w:t xml:space="preserve"> OBJECTIVE: Major depressive disorder (MDD) is a highly prevalent condition and a significant contributor to global disability. The vast majority of MDD is handled by primary care, but most real-life studies on MDD only include data from secondary care. The aim of this study was therefore to estimate the total clinical and societal burden of incident MDD including data from all healthcare levels in a large well-defined western European healthcare region. METHODS: Population-wide observational study included healthcare data from Region Stockholm, Sweden's largest region with approximately 2.4 million inhabitants. All patients in Region Stockholm having their first unipolar MDD episode between January 1, 2012, and December 31, 2018, were included. The sample also included matched study population controls. Outcomes were psychiatric and non-psychiatric comorbid conditions, antidepressant therapy use, healthcare resource utilization, work loss, and all-cause mortality. RESULTS: In the study period, 137,822 patients in Region Stockholm were diagnosed with their first unipolar MDD episode. Compared with matched controls, MDD patients had a higher burden of non-psychiatric and psychiatric comorbid conditions, 3.2 times higher outpatient healthcare resource utilization and 8.6 times more work loss. MDD was also associated with a doubled all-cause mortality compared with matched controls</w:t>
      </w:r>
    </w:p>
    <w:p>
      <w:pPr/>
      <w:r>
        <w:rPr>
          <w:b/>
        </w:rPr>
        <w:t>POSSIBLE 2021:</w:t>
      </w:r>
      <w:r>
        <w:t xml:space="preserve"> Type 1 diabetes in 2017: global estimates of incident and prevalent cases in children and adults — https://doi.org/10.1007/s00125-021-05571-8</w:t>
      </w:r>
    </w:p>
    <w:p>
      <w:pPr/>
      <w:r>
        <w:rPr>
          <w:b/>
        </w:rPr>
        <w:t>Shared claim-specific concepts:</w:t>
      </w:r>
      <w:r>
        <w:t xml:space="preserve"> estimated, incident, prevalent, cases; EU scope visible. This is a provisional connection, not an outcome finding.</w:t>
      </w:r>
    </w:p>
    <w:p>
      <w:pPr>
        <w:pStyle w:val="SourceNote"/>
      </w:pPr>
      <w:r>
        <w:rPr>
          <w:b/>
        </w:rPr>
        <w:t>Available abstract (not full text):</w:t>
      </w:r>
      <w:r>
        <w:t xml:space="preserve"> AIMS/HYPOTHESIS: Data on type 1 diabetes incidence and prevalence are limited, particularly for adults. This study aims to estimate global numbers of incident and prevalent cases of type 1 diabetes in 2017 for all age groups, by country and areas defined by income and region. METHODS: Incidence rates of type 1 diabetes in children (available from 94 countries) from the IDF Atlas were used and extrapolated to countries without data. Age-specific incidence rates in adults (only known across full age range for fewer than ten countries) were obtained by applying scaling ratios for each adult age group relative to the incidence rate in children. Age-specific incidence rates were applied to population estimates to obtain incident case numbers. Duration of diabetes was estimated from available data and adjusted using differences in childhood mortality rate between countries from United Nations demographic data. Prevalent case numbers were derived by modelling the relationship between prevalence, incidence and disease duration. Sensitivity analyses were performed to quantify the impact of alternative assumptions and model inputs. RESULTS: Global numbers of incident and prevalent cases of type 1 diabetes were estimated to be 234,710 and 9,004,610, respectively, in 2017. High-income countries, with 17% of the global population, accounted for 49% of global incident cases and 52% of preval</w:t>
      </w:r>
    </w:p>
    <w:p>
      <w:pPr/>
      <w:r>
        <w:rPr>
          <w:b/>
        </w:rPr>
        <w:t>POSSIBLE 2021:</w:t>
      </w:r>
      <w:r>
        <w:t xml:space="preserve"> Financial losses for Dutch stakeholders during the 2013 aflatoxin incident in Maize in Europe — https://doi.org/10.1007/s12550-021-00429-9</w:t>
      </w:r>
    </w:p>
    <w:p>
      <w:pPr/>
      <w:r>
        <w:rPr>
          <w:b/>
        </w:rPr>
        <w:t>Shared claim-specific concepts:</w:t>
      </w:r>
      <w:r>
        <w:t xml:space="preserve"> estimated, incident, million; EU scope visible. This is a provisional connection, not an outcome finding.</w:t>
      </w:r>
    </w:p>
    <w:p>
      <w:pPr>
        <w:pStyle w:val="SourceNote"/>
      </w:pPr>
      <w:r>
        <w:rPr>
          <w:b/>
        </w:rPr>
        <w:t>Available abstract (not full text):</w:t>
      </w:r>
      <w:r>
        <w:t xml:space="preserve"> contaminated maize from Eastern Europe that was processed into compound feed, which was fed to dairy cows. Since the contamination was discovered in the downstream stages of the supply chain, multiple countries and parties were involved and recalls of the feed were necessary, resulting into financial losses. The aim of this study was to estimate the direct short-term financial losses related to the 2013 aflatoxin incident for the maize traders, the feed industry, and the dairy sector in the Netherlands. First, the sequence of events of the incident was retrieved. Then, a Monte Carlo simulation model was built to combine the scarce and uncertain data to estimate the direct financial losses for each stakeholder. The estimated total direct financial losses of this incident were estimated to be between 12 and 25 million euros. The largest share, about 60%, of the total losses was endured by the maize traders. About 39% of the total losses were for the feed industry, and less than 1% of the total losses were for the dairy sector. The financial losses estimated in this study should be interpreted cautiously due to limitations associated with the quality of the data used. Furthermore, this incident led to indirect long-term financial effects, identified but not estimated in this study.</w:t>
      </w:r>
    </w:p>
    <w:p>
      <w:pPr>
        <w:pStyle w:val="Heading2"/>
      </w:pPr>
      <w:r>
        <w:t>649. ClimateEU, scale-free climate normals, historical time series, and future projections for Europe</w:t>
      </w:r>
    </w:p>
    <w:p>
      <w:pPr>
        <w:pStyle w:val="SourceNote"/>
      </w:pPr>
      <w:r>
        <w:rPr>
          <w:b/>
        </w:rPr>
        <w:t>Original source (2020):</w:t>
      </w:r>
      <w:r>
        <w:t xml:space="preserve"> https://doi.org/10.1038/s41597-020-00763-0</w:t>
      </w:r>
    </w:p>
    <w:p>
      <w:pPr/>
      <w:r>
        <w:t>Original wording (abstract; indexed_source_text_not_full_document_verified): Here, we contribute an accessible, comprehensive database of interpolated climate data for Europe that includes monthly, annual, decadal, and 30-year normal climate data for the last 119 years (1901 to 2019) as well as multi-model CMIP5 climate change projections for the 21 st century.</w:t>
      </w:r>
    </w:p>
    <w:p>
      <w:pPr/>
      <w:r>
        <w:rPr>
          <w:b/>
        </w:rPr>
        <w:t>POSSIBLE 2026:</w:t>
      </w:r>
      <w:r>
        <w:t xml:space="preserve"> Synthesised database of wild bee and hoverfly records in Europe — https://doi.org/10.1038/s41597-026-06644-2</w:t>
      </w:r>
    </w:p>
    <w:p>
      <w:pPr/>
      <w:r>
        <w:rPr>
          <w:b/>
        </w:rPr>
        <w:t>Shared claim-specific concepts:</w:t>
      </w:r>
      <w:r>
        <w:t xml:space="preserve"> here, accessible, database, data; EU scope visible. This is a provisional connection, not an outcome finding.</w:t>
      </w:r>
    </w:p>
    <w:p>
      <w:pPr>
        <w:pStyle w:val="SourceNote"/>
      </w:pPr>
      <w:r>
        <w:rPr>
          <w:b/>
        </w:rPr>
        <w:t>Available abstract (not full text):</w:t>
      </w:r>
      <w:r>
        <w:t xml:space="preserve"> Wild bees (Hymenoptera: Anthophila) and hoverflies (Diptera: Syrphidae), the two major groups of insect pollinators, are undergoing alarming declines worldwide, including Europe. The lack of accessible and verified spatial and temporal occurrence records currently challenges efforts to understand and mitigate this decline. Here, we compiled datasets from diverse sources, including taxonomists, national experts, public repositories, museum collections, published literature, verified open-access platforms, and aggregated datasets from previous European projects. The collected data were standardised, cleaned and validated by taxonomists and national experts. This collective effort resulted in two databases comprising more than 4.34 million and 1.04 million records for wild bees and hoverflies, respectively. The databases cover 97% of the European bee fauna (2,083 species out of 2,138 recorded in Europe) and 97% of the European hoverfly fauna (886 species out of 913 recorded in Europe). These standardised databases constitute essential resources for future assessments of status and trends, habitat associations, and other research and conservation initiatives to protect and understand wild pollinators on the European continent.</w:t>
      </w:r>
    </w:p>
    <w:p>
      <w:pPr/>
      <w:r>
        <w:rPr>
          <w:b/>
        </w:rPr>
        <w:t>POSSIBLE 2025:</w:t>
      </w:r>
      <w:r>
        <w:t xml:space="preserve"> EuPPollNet : A European Database of Plant‐Pollinator Networks — https://doi.org/10.1111/geb.70000</w:t>
      </w:r>
    </w:p>
    <w:p>
      <w:pPr/>
      <w:r>
        <w:rPr>
          <w:b/>
        </w:rPr>
        <w:t>Shared claim-specific concepts:</w:t>
      </w:r>
      <w:r>
        <w:t xml:space="preserve"> here, database, data, includes; EU scope visible. This is a provisional connection, not an outcome finding.</w:t>
      </w:r>
    </w:p>
    <w:p>
      <w:pPr>
        <w:pStyle w:val="SourceNote"/>
      </w:pPr>
      <w:r>
        <w:rPr>
          <w:b/>
        </w:rPr>
        <w:t>Available abstract (not full text):</w:t>
      </w:r>
      <w:r>
        <w:t xml:space="preserve"> ABSTRACT Motivation Pollinators play a crucial role in maintaining Earth's terrestrial biodiversity. However, rapid human‐induced environmental changes are compromising the long‐term persistence of plant‐pollinator interactions. Unfortunately, we lack robust, generalisable data capturing how plant‐pollinator communities are structured across space and time. Here, we present the EuPPollNet (European Plant‐Pollinator Networks) database, a fully open European‐level database containing harmonised taxonomic data on plant‐pollinator interactions referenced in both space and time, along with other ecological variables of interest. In addition, we evaluate the taxonomic and sampling coverage of EuPPollNet, and summarise key structural properties in plant‐pollinator networks. We believe EuPPollNet will stimulate research to address data gaps in plant‐pollinator interactions and guide future efforts in conservation planning. Main Types of Variables Included EuPPollNet contains 1,162,109 interactions between plants and pollinators from 1864 distinct networks, which belong to 52 different studies distributed across 23 European countries. Information about sampling methodology, habitat type, biogeographic region and additional taxonomic rank information (i.e. order, family, genus and species) is also provided. Spatial Location and Grain The database contains 1214 different sampling location</w:t>
      </w:r>
    </w:p>
    <w:p>
      <w:pPr/>
      <w:r>
        <w:rPr>
          <w:b/>
        </w:rPr>
        <w:t>POSSIBLE 2025:</w:t>
      </w:r>
      <w:r>
        <w:t xml:space="preserve"> An initial map of European intertidal seagrass — https://doi.org/10.1016/j.rse.2025.115116</w:t>
      </w:r>
    </w:p>
    <w:p>
      <w:pPr/>
      <w:r>
        <w:rPr>
          <w:b/>
        </w:rPr>
        <w:t>Shared claim-specific concepts:</w:t>
      </w:r>
      <w:r>
        <w:t xml:space="preserve"> here, accessible, data; EU scope visible. This is a provisional connection, not an outcome finding.</w:t>
      </w:r>
    </w:p>
    <w:p>
      <w:pPr>
        <w:pStyle w:val="SourceNote"/>
      </w:pPr>
      <w:r>
        <w:rPr>
          <w:b/>
        </w:rPr>
        <w:t>Available abstract (not full text):</w:t>
      </w:r>
      <w:r>
        <w:t xml:space="preserve"> Seagrass meadows directly and indirectly provide a wide range of ecosystem services, but their close proximity to anthropogenic activities renders them highly vulnerable. Regardless of their vulnerability and importance as ecosystem health indicators, intertidal seagrasses, unlike their subtidal relatives, have yet to be assessed at continental scales, and current global estimates of seagrass extent either do not mention intertidal seagrasses or combine them with subtidal seagrasses. Here, we present a first of its kind map of intertidal seagrasses in Europe using a harmonised methodology. Over a total intertidal area of 15,100 km 2 , we found that seagrasses cover an area comparable to the combined areas of Paris and Lisbon: 212 ± 18.8 km 2 . The proportion of available intertidal area covered by seagrass decreased towards higher latitudes (from ∼5.4 % at 35°N to ∼0 % at 58°N). Regardless of this pattern, the top three hotspots of seagrass covered the full latitudinal range of Europe, notably in the North Frisian Wadden Sea (Germany), Arcachon Bay (France) and Ria Formosa (Portugal). Furthermore, we showed latitudinal gradients in seagrass cover, with higher cover in low latitudes and lower cover in high latitudes. Finally, an almost linear change in intertidal seagrass peak timing (day of the year of maximum seagrass cover) with latitude was found, with peak timing later the </w:t>
      </w:r>
    </w:p>
    <w:p>
      <w:pPr/>
      <w:r>
        <w:rPr>
          <w:b/>
        </w:rPr>
        <w:t>POSSIBLE 2024:</w:t>
      </w:r>
      <w:r>
        <w:t xml:space="preserve"> The European Nucleotide Archive in 2024 — https://doi.org/10.1093/nar/gkae975</w:t>
      </w:r>
    </w:p>
    <w:p>
      <w:pPr/>
      <w:r>
        <w:rPr>
          <w:b/>
        </w:rPr>
        <w:t>Shared claim-specific concepts:</w:t>
      </w:r>
      <w:r>
        <w:t xml:space="preserve"> here, contribute, accessible, data; EU scope visible. This is a provisional connection, not an outcome finding.</w:t>
      </w:r>
    </w:p>
    <w:p>
      <w:pPr>
        <w:pStyle w:val="SourceNote"/>
      </w:pPr>
      <w:r>
        <w:rPr>
          <w:b/>
        </w:rPr>
        <w:t>Available abstract (not full text):</w:t>
      </w:r>
      <w:r>
        <w:t xml:space="preserve"> The European Nucleotide Archive (ENA, https://www.ebi.ac.uk/ena), maintained at the European Molecular Biology Laboratory's European Bioinformatics Institute (EMBL-EBI) provides freely accessible services, both for deposition of, and access to, open nucleotide sequencing data. Open scientific data are of paramount importance to the scientific community and contribute daily to the acceleration of scientific advance. Outlined here are changes to and updates on the ENA service in 2024, aligning with the broad goals of enhancing interoperability, globalisation of the service and scaling the platform to meet current and future needs.</w:t>
      </w:r>
    </w:p>
    <w:p>
      <w:pPr/>
      <w:r>
        <w:rPr>
          <w:b/>
        </w:rPr>
        <w:t>POSSIBLE 2024:</w:t>
      </w:r>
      <w:r>
        <w:t xml:space="preserve"> Lessons from pond creation and restoration projects in Europe — https://doi.org/10.1111/rec.14342</w:t>
      </w:r>
    </w:p>
    <w:p>
      <w:pPr/>
      <w:r>
        <w:rPr>
          <w:b/>
        </w:rPr>
        <w:t>Shared claim-specific concepts:</w:t>
      </w:r>
      <w:r>
        <w:t xml:space="preserve"> here, contribute, accessible; EU scope visible. This is a provisional connection, not an outcome finding.</w:t>
      </w:r>
    </w:p>
    <w:p>
      <w:pPr>
        <w:pStyle w:val="SourceNote"/>
      </w:pPr>
      <w:r>
        <w:rPr>
          <w:b/>
        </w:rPr>
        <w:t>Available abstract (not full text):</w:t>
      </w:r>
      <w:r>
        <w:t xml:space="preserve"> Pond ecosystems harbour substantial biodiversity and contribute to several ecosystem services as nature‐based solutions (NbS). Pond restoration and creation projects have been initiated to address these trends, yet while some insights are published, many remain within the expertise of practitioners and are not easily accessible. Moreover, papers synthesizing findings from multiple such projects to derive broad, universal conclusions are very much lacking. Here, we contacted pond creation and restoration practitioners that worked on recent pond restoration projects in Europe using a questionnaire. We reported which practices are currently most common and identified where current good practices might need to be modified. As expected, most projects targeted and monitored species and habitats protected under the European Union Birds Directive and Habitats Directive. Most projects focused on species as conservation targets, rather than the promotion of specific Natura 2000 habitats, pond ecosystem services or NbS. Several challenges were highlighted including funding limitations and stakeholder engagement difficulties. Recommendations included amending legal frameworks, improving connectivity among pondscapes for effective biodiversity conservation and implementing more systematic monitoring. This work illustrates how consultation of practitioners as stakeholders can generate insigh</w:t>
      </w:r>
    </w:p>
    <w:p>
      <w:pPr/>
      <w:r>
        <w:rPr>
          <w:b/>
        </w:rPr>
        <w:t>POSSIBLE 2024:</w:t>
      </w:r>
      <w:r>
        <w:t xml:space="preserve"> In temperate Europe, fire is already here: The case of The Netherlands — https://doi.org/10.1007/s13280-023-01960-y</w:t>
      </w:r>
    </w:p>
    <w:p>
      <w:pPr/>
      <w:r>
        <w:rPr>
          <w:b/>
        </w:rPr>
        <w:t>Shared claim-specific concepts:</w:t>
      </w:r>
      <w:r>
        <w:t xml:space="preserve"> here, climate, data; EU scope visible. This is a provisional connection, not an outcome finding.</w:t>
      </w:r>
    </w:p>
    <w:p>
      <w:pPr>
        <w:pStyle w:val="SourceNote"/>
      </w:pPr>
      <w:r>
        <w:rPr>
          <w:b/>
        </w:rPr>
        <w:t>Available abstract (not full text):</w:t>
      </w:r>
      <w:r>
        <w:t xml:space="preserve"> Abstract Landscape fires are usually not associated with temperate Europe, yet not all temperate countries record statistics indicating that actual risks remain unknown. Here we introduce new wildfire statistics for The Netherlands, and summarize significant events and fatalities. The period 2017–2022 saw 611 wildfires and 405 ha burned per year, which Copernicus’ European Forest Fire Information System satellite data vastly underestimate. Fires burned more heathland than forest, were small (mean fire size 1.5 ha), were caused by people, and often burned simultaneously, in Spring and in Summer drought. Suppression, restoration and traffic delays cost 3 M€ year−1. Dozens of significant events illustrate fire has never been away and has major societal impact amidst grave concerns for firefighter safety. Since 1833, 31 fatalities were reported. A legal framework is needed to ensure continuity of recordkeeping, as the core foundation of integrated fire management, to create a baseline for climate change, and to fulfill international reporting requirements.</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here, climate;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2024:</w:t>
      </w:r>
      <w:r>
        <w:t xml:space="preserve"> Understanding and simulating cropland and non-cropland burning in Europe using the BASE (Burnt Area Simulator for Europe) model — https://doi.org/10.5194/bg-21-5539-2024</w:t>
      </w:r>
    </w:p>
    <w:p>
      <w:pPr/>
      <w:r>
        <w:rPr>
          <w:b/>
        </w:rPr>
        <w:t>Shared claim-specific concepts:</w:t>
      </w:r>
      <w:r>
        <w:t xml:space="preserve"> here, climate, data, monthly, projections; EU scope visible. This is a provisional connection, not an outcome finding.</w:t>
      </w:r>
    </w:p>
    <w:p>
      <w:pPr>
        <w:pStyle w:val="SourceNote"/>
      </w:pPr>
      <w:r>
        <w:rPr>
          <w:b/>
        </w:rPr>
        <w:t>Available abstract (not full text):</w:t>
      </w:r>
      <w:r>
        <w:t xml:space="preserve"> Abstract. Fire interacts with many parts of the Earth system. However, its drivers are myriad and complex, interacting differently in different regions depending on prevailing climate regimes, vegetation types, socioeconomic development, and land use and management. Europe is facing strong increases in projected meteorological fire danger as a consequence of climate change, and has experienced extreme fire seasons and events in recent years. Here, we focus on understanding and simulating burnt area across a European study domain using remote sensing data and Generalised Linear Models (GLMs). We first examined fire occurrence across land cover types and found that all non-cropland vegetation types (NCV, comprising 26 % of burnt area) burned with similar spatial and temporal patterns, which were very distinct from those in croplands (74 % of burned area). We then used GLMs to predict cropland and NCV burnt area at ~9x9 km and monthly spatial and temporal resolution, respectively, which together we termed BASE (Burnt Area Simulator for Europe). Compared to satellite burned area products, BASE effectively captured the general spatial and temporal patterns of burning, explaining 32 % (NCV) and 36 % (cropland) of the deviance, and gave similar performance of state-of-the-art global fire models. The most important drivers were fire weather and monthly indices derived from gross primar</w:t>
      </w:r>
    </w:p>
    <w:p>
      <w:pPr/>
      <w:r>
        <w:rPr>
          <w:b/>
        </w:rPr>
        <w:t>POSSIBLE 2024:</w:t>
      </w:r>
      <w:r>
        <w:t xml:space="preserve"> Merging modelled and reported flood impacts in Europe in a combined flood event catalogue for 1950–2020 — https://doi.org/10.5194/hess-28-3983-2024</w:t>
      </w:r>
    </w:p>
    <w:p>
      <w:pPr/>
      <w:r>
        <w:rPr>
          <w:b/>
        </w:rPr>
        <w:t>Shared claim-specific concepts:</w:t>
      </w:r>
      <w:r>
        <w:t xml:space="preserve"> here, database, climate, data; EU scope visible. This is a provisional connection, not an outcome finding.</w:t>
      </w:r>
    </w:p>
    <w:p>
      <w:pPr>
        <w:pStyle w:val="SourceNote"/>
      </w:pPr>
      <w:r>
        <w:rPr>
          <w:b/>
        </w:rPr>
        <w:t>Available abstract (not full text):</w:t>
      </w:r>
      <w:r>
        <w:t xml:space="preserve"> Abstract. Long-term trends in flood losses are regulated by multiple factors including climate variation, demographic dynamics, economic growth, land-use transitions, reservoir construction and flood risk reduction measures. Attribution of those drivers through the use of counterfactual scenarios of hazard, exposure or vulnerability first requires a good representation of historical events, including their location, intensity and the factual circumstances in which they occurred. Here, we develop a chain of models that is capable of recreating riverine, coastal and compound floods in Europe between 1950 and 2020 that had a potential to cause significant socioeconomic impacts. This factual catalogue of almost 15,000 such events was scrutinised with historical records of flood impacts. We found that at least 10 % of them had led to significant socioeconomic impacts (including fatalities) according to available sources. The model chain was able to capture events responsible for 96 % of known impacts contained in the HANZE flood impact database in terms of persons affected and economic losses, and for 81 % of fatalities. The dataset enables studying drivers of vulnerability and flood adaptation due to a large sample of events with historical impact data. The model chain can further be used to generate counterfactual events, especially related to climate change and human influence on</w:t>
      </w:r>
    </w:p>
    <w:p>
      <w:pPr/>
      <w:r>
        <w:rPr>
          <w:b/>
        </w:rPr>
        <w:t>POSSIBLE 2024:</w:t>
      </w:r>
      <w:r>
        <w:t xml:space="preserve"> Twenty Years of Land Accounts in Europe — https://doi.org/10.3390/land13091350</w:t>
      </w:r>
    </w:p>
    <w:p>
      <w:pPr/>
      <w:r>
        <w:rPr>
          <w:b/>
        </w:rPr>
        <w:t>Shared claim-specific concepts:</w:t>
      </w:r>
      <w:r>
        <w:t xml:space="preserve"> accessible, climate, data; EU scope visible. This is a provisional connection, not an outcome finding.</w:t>
      </w:r>
    </w:p>
    <w:p>
      <w:pPr>
        <w:pStyle w:val="SourceNote"/>
      </w:pPr>
      <w:r>
        <w:rPr>
          <w:b/>
        </w:rPr>
        <w:t>Available abstract (not full text):</w:t>
      </w:r>
      <w:r>
        <w:t xml:space="preserve"> Land use and its change impact food security, carbon cycling, biodiversity, and, hence, the condition of ecosystems to mitigate and adapt to climate change, support economic prosperity, and human well-being. To support and guide policy actions between the economy and the environment, harmonized time series datasets, transparent methodologies, and easily interpretable statistics are needed. Therefore, monitoring of the function and condition of lands and their change, along with properly agreed methodologies and freely accessible data, are essential. The Copernicus Land Monitoring Service has produced over 20 years of Corine Land Cover datasets for 39 countries in Europe, which allows continental-wide harmonized and comparable monitoring and accounting of land cover and land use change at a high thematic resolution and in a long time series (2000–2018). With the upcoming 2024 update, the time series will reach a unique product worldwide in terms of time series length, spatial resolution, extent, and thematic detail, enabling policymakers and the scientific community to address the main anthropogenic drivers of land and ecosystem degradation. This paper describes a unified approach for producing continental-wide land accounts that aligns with internationally agreed-upon standards for measuring the environment and its relationship with the economy. Furthermore, the study provides </w:t>
      </w:r>
    </w:p>
    <w:p>
      <w:pPr/>
      <w:r>
        <w:rPr>
          <w:b/>
        </w:rPr>
        <w:t>POSSIBLE 2024:</w:t>
      </w:r>
      <w:r>
        <w:t xml:space="preserve"> Proactively boosting home dialysis adoption in Europe — https://doi.org/10.1093/ndt/gfae199</w:t>
      </w:r>
    </w:p>
    <w:p>
      <w:pPr/>
      <w:r>
        <w:rPr>
          <w:b/>
        </w:rPr>
        <w:t>Shared claim-specific concepts:</w:t>
      </w:r>
      <w:r>
        <w:t xml:space="preserve"> here, data, includes, well; EU scope visible. This is a provisional connection, not an outcome finding.</w:t>
      </w:r>
    </w:p>
    <w:p>
      <w:pPr>
        <w:pStyle w:val="SourceNote"/>
      </w:pPr>
      <w:r>
        <w:rPr>
          <w:b/>
        </w:rPr>
        <w:t>Available abstract (not full text):</w:t>
      </w:r>
      <w:r>
        <w:t xml:space="preserve"> This publication builds upon a previous editorial outlining the advantages of home dialysis [1], and suggests strategies to boost the adoption of home dialysis across Europe. By the end of 2021, the ERA Registry [2, 3] reported a dismal 8.6% and 1.3% of dialysis patients across Europe on peritoneal dialysis (PD) and home hemodialysis, respectively, with marked variations between countries (Table 1). Failure to take proactive stimulating measures risks jeopardizing the long-term continuity of quality kidney care in Europe. Ranking of European countries with regards to uptake of home dialysis strategies vs all dialysis. All dialysis: home hemodialysis, peritoneal dialysis and in-center hemodialysis; all home dialysis: home hemodialysis plus peritoneal dialysis. Based on the ERA Registry 2023 (covering the year 2021) [2]. Data for some countries (e.g. Cyprus, Germany, Ireland, Luxembourg, Malta, Moldova, Russia and Slovenia, and small European states like Andorra) are missing in the ERA registry and for other countries data is incomplete (France 27 of 28 regions, Italy 7 of 20 regions). For Portugal, no figures on home hemodialysis were made available. Belgium, Spain and UK: composite figures for 2, 16 and 4 regions, respectively. Tunisia (Sfax region), Turkey and Israel are reported by the ERA registry but are not included here. Data for Cyprus and Russia extrapolated from [3] (d</w:t>
      </w:r>
    </w:p>
    <w:p>
      <w:pPr/>
      <w:r>
        <w:rPr>
          <w:b/>
        </w:rPr>
        <w:t>POSSIBLE 2023:</w:t>
      </w:r>
      <w:r>
        <w:t xml:space="preserve"> Last Glacial loess in Europe: luminescence database and chronology of deposition — https://doi.org/10.5194/essd-15-4689-2023</w:t>
      </w:r>
    </w:p>
    <w:p>
      <w:pPr/>
      <w:r>
        <w:rPr>
          <w:b/>
        </w:rPr>
        <w:t>Shared claim-specific concepts:</w:t>
      </w:r>
      <w:r>
        <w:t xml:space="preserve"> database, climate, data, last; EU scope visible. This is a provisional connection, not an outcome finding.</w:t>
      </w:r>
    </w:p>
    <w:p>
      <w:pPr>
        <w:pStyle w:val="SourceNote"/>
      </w:pPr>
      <w:r>
        <w:rPr>
          <w:b/>
        </w:rPr>
        <w:t>Available abstract (not full text):</w:t>
      </w:r>
      <w:r>
        <w:t xml:space="preserve"> Abstract. During the last glacial period, the climate shift to cold conditions associated with changes in atmospheric circulation and vegetation cover resulted in the development of large aeolian systems in Europe. On a regional scale, many factors may have influenced dust dynamics, such as the latitudinal difference between the various aeolian systems and the variability of the sources of wind-transported particles. Therefore, the assumption that the timing of aeolian deposition is strictly synchronous in Europe does not seem to be the most plausible hypothesis and needs to be evaluated. To test this assumption, the chronology of loess deposition in different European regions was investigated by studying 93 luminescence-dated loess-palaeosol sequences with their data recalculated and compiled in a single CSV file: the ChronoLoess database. Our study shows that the two major aeolian systems, the Northern European Loess Belt (NELB) on the one hand and the systems associated with the rivers draining the Alpine Ice Sheet on the other hand, developed asynchronously. The significant deposition started at about 32 ka for the NELB vs 40 ka for the perialpine loess and peaked about two millennia later for the former (21.8 ka vs 23.9 ka, respectively). This shift resulted mainly from the time lag between the maxima of the Alpine and Fennoscandian ice sheets, which acted as the primary s</w:t>
      </w:r>
    </w:p>
    <w:p>
      <w:pPr>
        <w:pStyle w:val="Heading2"/>
      </w:pPr>
      <w:r>
        <w:t>650. Connected and Automated Transport: Research and Innovation Capacity in Europe</w:t>
      </w:r>
    </w:p>
    <w:p>
      <w:pPr>
        <w:pStyle w:val="SourceNote"/>
      </w:pPr>
      <w:r>
        <w:rPr>
          <w:b/>
        </w:rPr>
        <w:t>Original source (2020):</w:t>
      </w:r>
      <w:r>
        <w:t xml:space="preserve"> https://doi.org/10.1016/j.trpro.2020.08.213</w:t>
      </w:r>
    </w:p>
    <w:p>
      <w:pPr/>
      <w:r>
        <w:t>Original wording (abstract; indexed_source_text_not_full_document_verified): We argue that this approach can aid policy makers to support the future development of CAT technologies and help researchers to forge collaborations and identify research gaps.</w:t>
      </w:r>
    </w:p>
    <w:p>
      <w:pPr/>
      <w:r>
        <w:rPr>
          <w:b/>
        </w:rPr>
        <w:t>POSSIBLE 2026:</w:t>
      </w:r>
      <w:r>
        <w:t xml:space="preserve"> The Limits of European State Aid Law — https://doi.org/10.4324/9781003736141</w:t>
      </w:r>
    </w:p>
    <w:p>
      <w:pPr/>
      <w:r>
        <w:rPr>
          <w:b/>
        </w:rPr>
        <w:t>Shared claim-specific concepts:</w:t>
      </w:r>
      <w:r>
        <w:t xml:space="preserve"> aid, researchers, identify; EU scope visible. This is a provisional connection, not an outcome finding.</w:t>
      </w:r>
    </w:p>
    <w:p>
      <w:pPr>
        <w:pStyle w:val="SourceNote"/>
      </w:pPr>
      <w:r>
        <w:rPr>
          <w:b/>
        </w:rPr>
        <w:t>Available abstract (not full text):</w:t>
      </w:r>
      <w:r>
        <w:t xml:space="preserve"> This book explores the existing limits of State aid law within the European Union. By examining the State aid acquis, the book provides a critical analysis of interpretative approaches to two key areas essential to the functioning of the State aid control system: when a measure constitutes State aid and the identification and assessment of its effects. It argues that the perception of what law can realistically achieve is limited by the assumption that all processes are steerable and that lawmakers are entirely capable of achieving their results as long as they correctly identify causal links, as well as by an implied belief in the continued relevance of interpretative approaches even when they no longer fit evolving realities. The focus is on assessing how well-established interpretative approaches to Article 107 TFEU continue to function and whether they produce unintended consequences as economic conditions and forms of State interventionism evolve. It determines whether the identified limits of law are truly impassable in a complex environment and, where they are not, formulates realistic solutions to improve the functioning of the control system. The book will be of interest to researchers and practitioners in the field of State aid law, competition law, economics, and EU law.</w:t>
      </w:r>
    </w:p>
    <w:p>
      <w:pPr/>
      <w:r>
        <w:rPr>
          <w:b/>
        </w:rPr>
        <w:t>POSSIBLE 2026:</w:t>
      </w:r>
      <w:r>
        <w:t xml:space="preserve"> Humanitarian Aid and the European Union — https://doi.org/10.4324/9781003666486</w:t>
      </w:r>
    </w:p>
    <w:p>
      <w:pPr/>
      <w:r>
        <w:rPr>
          <w:b/>
        </w:rPr>
        <w:t>Shared claim-specific concepts:</w:t>
      </w:r>
      <w:r>
        <w:t xml:space="preserve"> approach, aid; EU scope visible. This is a provisional connection, not an outcome finding.</w:t>
      </w:r>
    </w:p>
    <w:p>
      <w:pPr>
        <w:pStyle w:val="SourceNote"/>
      </w:pPr>
      <w:r>
        <w:rPr>
          <w:b/>
        </w:rPr>
        <w:t>Available abstract (not full text):</w:t>
      </w:r>
      <w:r>
        <w:t xml:space="preserve"> This book critically examines the effectiveness of EU humanitarian aid delivery in the wake of multiple crises. Focusing on four primary case studies – Myanmar, Lebanon, Mozambique, and Mali – which present distinct crisis types (complex, human-made, and natural), it reveals why the effectiveness of EU humanitarian aid programmes varies in relation to pre-established objectives. Drawing on extensive interviews and official documents from UN, EU, and NGO officials, the book introduces an innovative, multidimensional theoretical framework conceptualising effectiveness beyond goal attainment, encompassing needs assessment, the seamlessness of the policy cycle, and the transition between humanitarian and development aid. The book argues that EU humanitarian aid effectiveness is primarily influenced by institutional, relational, and political factors rather than by the type of crisis or funding gap. In particular, the attitudes of national authorities toward donors and implementing agents are the most decisive factors, followed by the quality of coordination among donors and agents. The book ultimately suggests that adopting a holistic, ‘resilience-first’ approach that integrates humanitarian and long-term development goals, creating integrated funding instruments that enable comprehensive responses from the outset, and fostering collegiality and formal and informal relationships am</w:t>
      </w:r>
    </w:p>
    <w:p>
      <w:pPr/>
      <w:r>
        <w:rPr>
          <w:b/>
        </w:rPr>
        <w:t>POSSIBLE 2026:</w:t>
      </w:r>
      <w:r>
        <w:t xml:space="preserve"> Gender equality in European Union development aid: assessing the dual approach of gender mainstreaming and targeted actions — https://doi.org/10.2861/9870183</w:t>
      </w:r>
    </w:p>
    <w:p>
      <w:pPr/>
      <w:r>
        <w:rPr>
          <w:b/>
        </w:rPr>
        <w:t>Shared claim-specific concepts:</w:t>
      </w:r>
      <w:r>
        <w:t xml:space="preserve"> approach, aid; EU scope visible. This is a provisional connection, not an outcome finding.</w:t>
      </w:r>
    </w:p>
    <w:p>
      <w:pPr>
        <w:pStyle w:val="SourceNote"/>
      </w:pPr>
      <w:r>
        <w:rPr>
          <w:b/>
        </w:rPr>
        <w:t>Available abstract (not full text):</w:t>
      </w:r>
      <w:r>
        <w:t xml:space="preserve"> This paper examines how the European Union (EU) promotes gender equality in development cooperation through gender mainstreaming and targeted gender-equality actions. It asks whether this twin-track approach delivers meaningful results, where its strengths and weaknesses lie and what is at stake in the post-2027 period. The current EU framework is ambitious and gender mainstreaming has become increasingly visible and routine across EU development cooperation. In many mainstreamed actions, gender is included in diagnostic framing, cross-cutting commitments and some indicators, helping to bring gender equality into sectors where it was previously more marginal. However, the quality and depth of mainstreaming remain uneven. Gender is often better integrated in design and narrative than in implementation, resource allocation, accountability and structural change. Targeted actions are usually clearer and more direct in addressing gender inequality as the central problem, but remain more limited in number, scale and sectoral reach. The paper concludes that mainstreaming and targeted actions are indispensable and complementary. The post-2027 framework should make the twin-track approach more consequential. It is recommended to protect binding gender targets in the Global Europe instrument, use Gender Action Plan IV to set stronger operational standards, improve gender budgeting and re</w:t>
      </w:r>
    </w:p>
    <w:p>
      <w:pPr/>
      <w:r>
        <w:rPr>
          <w:b/>
        </w:rPr>
        <w:t>POSSIBLE 2026:</w:t>
      </w:r>
      <w:r>
        <w:t xml:space="preserve"> State-Guaranteed Legal Aid as a Social Right of an Infrastructural Nature — https://doi.org/10.36475/12.3.2</w:t>
      </w:r>
    </w:p>
    <w:p>
      <w:pPr/>
      <w:r>
        <w:rPr>
          <w:b/>
        </w:rPr>
        <w:t>Shared claim-specific concepts:</w:t>
      </w:r>
      <w:r>
        <w:t xml:space="preserve"> approach, aid; EU scope visible. This is a provisional connection, not an outcome finding.</w:t>
      </w:r>
    </w:p>
    <w:p>
      <w:pPr>
        <w:pStyle w:val="SourceNote"/>
      </w:pPr>
      <w:r>
        <w:rPr>
          <w:b/>
        </w:rPr>
        <w:t>Available abstract (not full text):</w:t>
      </w:r>
      <w:r>
        <w:t xml:space="preserve"> This article examines the legal nature of state-guaranteed legal aid and substantiates its classification as an autonomous social right of an infrastructural character. While legal aid has traditionally been regarded as a mechanism for ensuring access to justice and the effective exercise of the right to a fair trial, contemporary legal developments demonstrate that its significance extends far beyond judicial proceedings. In increasingly complex legal systems, access to qualified legal assistance has become an essential condition for the practical exercise of a wide range of rights and legitimate interests. The study analyses the principal doctrinal approaches to legal aid developed within the European legal tradition, including procedural, human rights, and socio-legal perspectives. Particular attention is devoted to the relationship between legal aid and the state’s positive obligations in the field of human rights protection. The article also explores European institutional models of legal aid and the role of international standards in shaping national systems of legal assistance. The research argues that legal aid should not be viewed merely as a derivative procedural safeguard or as an instrument of access-to-justice policy. Rather, it performs an independent social function by compensating for structural legal inequality and enabling individuals to make effective use of </w:t>
      </w:r>
    </w:p>
    <w:p>
      <w:pPr/>
      <w:r>
        <w:rPr>
          <w:b/>
        </w:rPr>
        <w:t>POSSIBLE 2025:</w:t>
      </w:r>
      <w:r>
        <w:t xml:space="preserve"> The financialisation of European Union development aid to Africa : promises, practices, and colonial continuities — https://openalex.org/W7111914425</w:t>
      </w:r>
    </w:p>
    <w:p>
      <w:pPr/>
      <w:r>
        <w:rPr>
          <w:b/>
        </w:rPr>
        <w:t>Shared claim-specific concepts:</w:t>
      </w:r>
      <w:r>
        <w:t xml:space="preserve"> approach, aid, support; EU scope visible. This is a provisional connection, not an outcome finding.</w:t>
      </w:r>
    </w:p>
    <w:p>
      <w:pPr>
        <w:pStyle w:val="SourceNote"/>
      </w:pPr>
      <w:r>
        <w:rPr>
          <w:b/>
        </w:rPr>
        <w:t>Available abstract (not full text):</w:t>
      </w:r>
      <w:r>
        <w:t xml:space="preserve"> This doctoral dissertation examines the financialisation of the European Union’s (EU) development aid to sub-Saharan Africa. While existing literature emphasises the growing role of financial instruments and private capital mobilisation in development finance globally, the specific ways in which the EU aligns with and shapes this financialisation remain underexplored. This dissertation asks: To what extent, and in what ways, is EU development finance to sub-Saharan Africa financialised? This question is tackled through five academic articles that together provide a cumulative and multi-layered answer. Article 1 provides a global overview of the Wall Street Consensus (WSC) ideology, analysing the constraints that multilateral development banks (MDBs) face in mobilising private capital. Article 2 investigates the EU-OACPS Samoa Agreement, illustrating how the EU’s financialisation agenda is embedded in its partnership frameworks. Article 3 maps the complex European Financial Architecture for Development (EFAD), revealing how strategic competition between the European Commission and the European Investment Bank (EIB) has institutionalised blended finance and guarantee instruments at the heart of EU support. Article 4 provides an in-depth account of the EIB’s operations in sub-Saharan Africa, characterising its role as a ‘constrained expansion.’ Finally, Article 5 advances a critiq</w:t>
      </w:r>
    </w:p>
    <w:p>
      <w:pPr/>
      <w:r>
        <w:rPr>
          <w:b/>
        </w:rPr>
        <w:t>POSSIBLE 2025:</w:t>
      </w:r>
      <w:r>
        <w:t xml:space="preserve"> Regulatory Means for Interventionist Ends: GBER and the Transformation of the EU State Aid Regime — https://doi.org/10.1111/gove.70084</w:t>
      </w:r>
    </w:p>
    <w:p>
      <w:pPr/>
      <w:r>
        <w:rPr>
          <w:b/>
        </w:rPr>
        <w:t>Shared claim-specific concepts:</w:t>
      </w:r>
      <w:r>
        <w:t xml:space="preserve"> approach, aid; EU scope visible. This is a provisional connection, not an outcome finding.</w:t>
      </w:r>
    </w:p>
    <w:p>
      <w:pPr>
        <w:pStyle w:val="SourceNote"/>
      </w:pPr>
      <w:r>
        <w:rPr>
          <w:b/>
        </w:rPr>
        <w:t>Available abstract (not full text):</w:t>
      </w:r>
      <w:r>
        <w:t xml:space="preserve"> ABSTRACT Despite its new‐found penchant for market interventionism, the European Union (EU) is often portrayed as lacking the fiscal and administrative capacity to conduct industrial policy. The EU can regulate markets, the conventional wisdom goes, but not steer them in specific directions. In this article, we challenge the notion that regulation and industrial policy are inherently antithetical, arguing instead that the Commission uses its regulatory authority over state aid to indirectly steer member states' industrial policies. We theorize and empirically investigate this rules‐as‐tools approach to industrial policy through an in‐depth, multi‐method case study on the transformation of the EU's state aid regime, with a focus on the General Block Exemption Regulation (GBER). Combining original interviews, topic modeling, document analysis, and descriptive statistics, we demonstrate that the Commission has long used state aid regulation not only to restrict but also redirect state aid. Increasingly, it employs these rules to encourage selective interventions in the economy—particularly those supporting the twin transitions of digitalization and decarbonization.</w:t>
      </w:r>
    </w:p>
    <w:p>
      <w:pPr/>
      <w:r>
        <w:rPr>
          <w:b/>
        </w:rPr>
        <w:t>POSSIBLE 2024:</w:t>
      </w:r>
      <w:r>
        <w:t xml:space="preserve"> Unlocking public infrastructures? State aid and the common European data space — https://doi.org/10.1177/02673231241290675</w:t>
      </w:r>
    </w:p>
    <w:p>
      <w:pPr/>
      <w:r>
        <w:rPr>
          <w:b/>
        </w:rPr>
        <w:t>Shared claim-specific concepts:</w:t>
      </w:r>
      <w:r>
        <w:t xml:space="preserve"> argue, approach, aid; EU scope visible. This is a provisional connection, not an outcome finding.</w:t>
      </w:r>
    </w:p>
    <w:p>
      <w:pPr>
        <w:pStyle w:val="SourceNote"/>
      </w:pPr>
      <w:r>
        <w:rPr>
          <w:b/>
        </w:rPr>
        <w:t>Available abstract (not full text):</w:t>
      </w:r>
      <w:r>
        <w:t xml:space="preserve"> EU state aid rules are part of the EU’s competition policy, a form of soft law developed to nudge states away from public investments in many areas. Rules were used to impose that market competition holds a privileged position, and that enacting social, political, or economic benefits that might stifle competition requires a complicated legal and political negotiation process between the European Commission, Member States, and private companies. Nonetheless, many strategic projects or situations in recent years led to significant state aid. The Commission utilised a variety of means to encourage both private and public investments in EU based digital infrastructure that is critical for public media services and for unified European data space. Despite EU’s balancing act between the private and public interests, business interests are dangerously capturing the development in the media data space. To grasp the social and economic contribution of publicly financed productive activities, we approach public broadcasting systems as producers of public wealth of a peculiar kind whose activities and goals are defined by their public purpose, rather than the imperatives of capital and profitmaking. Unifying data spaces with too many design decisions conceded to capitalist production runs the risk of further neglecting social foundations of member states. We argue that the desired digita</w:t>
      </w:r>
    </w:p>
    <w:p>
      <w:pPr/>
      <w:r>
        <w:rPr>
          <w:b/>
        </w:rPr>
        <w:t>POSSIBLE 2024:</w:t>
      </w:r>
      <w:r>
        <w:t xml:space="preserve"> European social funding and the institutionalisation of food aid : a wicked policy problem — https://doi.org/10.63028/10067/2092390151162165141</w:t>
      </w:r>
    </w:p>
    <w:p>
      <w:pPr/>
      <w:r>
        <w:rPr>
          <w:b/>
        </w:rPr>
        <w:t>Shared claim-specific concepts:</w:t>
      </w:r>
      <w:r>
        <w:t xml:space="preserve"> argue, approach, aid, gaps; EU scope visible. This is a provisional connection, not an outcome finding.</w:t>
      </w:r>
    </w:p>
    <w:p>
      <w:pPr>
        <w:pStyle w:val="SourceNote"/>
      </w:pPr>
      <w:r>
        <w:rPr>
          <w:b/>
        </w:rPr>
        <w:t>Available abstract (not full text):</w:t>
      </w:r>
      <w:r>
        <w:t xml:space="preserve"> This dissertation explores European social funding as a pivotal tool within the EU’s social policy framework, specifically examining its influence on national policies and governance structures. By focusing on EU funds aimed at addressing material deprivation, particularly those supporting food aid, the study unveils the complexities and challenges policymakers face in this area of social policy. Adopting a novel perspective, we analyse the institutionalisation of food aid in Europe through the lens of ‘wicked problems’ (Rittel &amp; Webber, 1973). This framework allows us to better understand the intricate and normative nature of food aid as a policy issue, offering fresh insights into the multifaceted challenges involved. To further our analysis, we employ the ‘Governance Analytical Framework’ (Hufty, 2009) to shed light on often overlooked aspects of EU food aid policy, such as underlying norms and budget trends, especially within the ‘Fund for European Aid to the Most Deprived’ (FEAD) and the ‘European Social Fund Plus’ (ESF+). The study also examines how EU food aid policies contribute to reinforcing social rights and citizenship by applying a resource-based and multi-level approach to social rights (Vandenbroucke, Keune, Ferrera &amp; Corti, 2021). Additionally, the research investigates the extent to which local food aid organisations in Belgium, Lithuania, and Portugal collabor</w:t>
      </w:r>
    </w:p>
    <w:p>
      <w:pPr/>
      <w:r>
        <w:rPr>
          <w:b/>
        </w:rPr>
        <w:t>POSSIBLE 2024:</w:t>
      </w:r>
      <w:r>
        <w:t xml:space="preserve"> European cybersecurity standardisation: a tale of two solitudes in view of Europe’s cyber resilience — https://doi.org/10.1080/13511610.2024.2349626</w:t>
      </w:r>
    </w:p>
    <w:p>
      <w:pPr/>
      <w:r>
        <w:rPr>
          <w:b/>
        </w:rPr>
        <w:t>Shared claim-specific concepts:</w:t>
      </w:r>
      <w:r>
        <w:t xml:space="preserve"> approach, makers, support; EU scope visible. This is a provisional connection, not an outcome finding.</w:t>
      </w:r>
    </w:p>
    <w:p>
      <w:pPr>
        <w:pStyle w:val="SourceNote"/>
      </w:pPr>
      <w:r>
        <w:rPr>
          <w:b/>
        </w:rPr>
        <w:t>Available abstract (not full text):</w:t>
      </w:r>
      <w:r>
        <w:t xml:space="preserve"> Cybersecurity resilience as a concept and EU policy approach encompasses, in broad terms, the preparedness of organisations against and the ability to recover from cyber-attacks. Policy and law makers in the European Union have started endorsing strategies moving both towards reactive measures mitigating the consequences of cybersecurity incidents and proactive measures geared towards prevention. Recently, a political agreement was reached on a new horizontal Regulation addressing cyber resilience of products with digital elements. An essential aspect of the Cyber Resilience Act is technical standardisation to support its goals. How appropriate is however the European Standardisation system for such a role in EU cybersecurity law? The paper argues that for European standards to be conceptualised as a building block of cyber resilience in the European Union, their development process must be inclusive and open, and a prerequisite for that is that the ESOs jointly work towards the common goal of developing and adopting European standards in support of the EU cyber resilience policy and law. This collaborative approach is mandated both by the nature of cyber resilience and cybersecurity as regulated fields, but also the changing nature of standardisation aspiring to contribute to areas pertaining to societal interests and fundamental rights.</w:t>
      </w:r>
    </w:p>
    <w:p>
      <w:pPr/>
      <w:r>
        <w:rPr>
          <w:b/>
        </w:rPr>
        <w:t>POSSIBLE 2024:</w:t>
      </w:r>
      <w:r>
        <w:t xml:space="preserve"> Sustainable transitions in age-friendly communities in Europe: a participatory approach — https://doi.org/10.14311/app.2024.46.0001</w:t>
      </w:r>
    </w:p>
    <w:p>
      <w:pPr/>
      <w:r>
        <w:rPr>
          <w:b/>
        </w:rPr>
        <w:t>Shared claim-specific concepts:</w:t>
      </w:r>
      <w:r>
        <w:t xml:space="preserve"> approach, support; EU scope visible. This is a provisional connection, not an outcome finding.</w:t>
      </w:r>
    </w:p>
    <w:p>
      <w:pPr>
        <w:pStyle w:val="SourceNote"/>
      </w:pPr>
      <w:r>
        <w:rPr>
          <w:b/>
        </w:rPr>
        <w:t>Available abstract (not full text):</w:t>
      </w:r>
      <w:r>
        <w:t xml:space="preserve"> The ageing European population is driving the demand for age-friendly communities that support older individuals’ health and well-being. As communities navigate this transition, Transition Design emerges as a promising approach for addressing complex social and environmental challenges. This study explores the potential of Transition Design to create age-friendly communities in Europe. Drawing on examples from several European countries, this paper describes the key principles of Transition Design and how they can be applied to the development of age-friendly communities. This article highlights the importance of participatory processes in involving older people and other stakeholders in the design process, and discusses the role of technology in creating more accessible and inclusive environments. It also considers some of the challenges of implementing a transition design approach in a European context. In conclusion, this study asserts that Transition Design offers a promising approach for creating sustainable, inclusive, and responsive age-friendly communities.</w:t>
      </w:r>
    </w:p>
    <w:p>
      <w:pPr/>
      <w:r>
        <w:rPr>
          <w:b/>
        </w:rPr>
        <w:t>POSSIBLE 2024:</w:t>
      </w:r>
      <w:r>
        <w:t xml:space="preserve"> Cultural State aid: A myriad of approaches — https://doi.org/10.4337/9781803927138.00017</w:t>
      </w:r>
    </w:p>
    <w:p>
      <w:pPr/>
      <w:r>
        <w:rPr>
          <w:b/>
        </w:rPr>
        <w:t>Shared claim-specific concepts:</w:t>
      </w:r>
      <w:r>
        <w:t xml:space="preserve"> aid, support; EU scope visible. This is a provisional connection, not an outcome finding.</w:t>
      </w:r>
    </w:p>
    <w:p>
      <w:pPr>
        <w:pStyle w:val="SourceNote"/>
      </w:pPr>
      <w:r>
        <w:rPr>
          <w:b/>
        </w:rPr>
        <w:t>Available abstract (not full text):</w:t>
      </w:r>
      <w:r>
        <w:t xml:space="preserve"> The prohibition of State aid is one of the cornerstones of the EU integration project. However, this scrutiny should not lead to Member States being unable to support (local) cultural initiatives. Consequently, the EU institutions have over time created multiple escape routes, providing a certain level of leeway for cultural State aid. This chapter analyses and compares the most important mechanisms. At the end, the reader will be provided with key take-aways in the field of State aid law regarding the interaction between EU internal market objectives and national cultural policy.</w:t>
      </w:r>
    </w:p>
    <w:p>
      <w:pPr/>
      <w:r>
        <w:rPr>
          <w:b/>
        </w:rPr>
        <w:t>POSSIBLE 2024:</w:t>
      </w:r>
      <w:r>
        <w:t xml:space="preserve"> State Aid for Green Technologies in The European Union: Limitations and Risks — https://doi.org/10.24425/pyil.2024.152296</w:t>
      </w:r>
    </w:p>
    <w:p>
      <w:pPr/>
      <w:r>
        <w:rPr>
          <w:b/>
        </w:rPr>
        <w:t>Shared claim-specific concepts:</w:t>
      </w:r>
      <w:r>
        <w:t xml:space="preserve"> aid, technologies; EU scope visible. This is a provisional connection, not an outcome finding.</w:t>
      </w:r>
    </w:p>
    <w:p>
      <w:pPr>
        <w:pStyle w:val="SourceNote"/>
      </w:pPr>
      <w:r>
        <w:rPr>
          <w:b/>
        </w:rPr>
        <w:t>Available abstract (not full text):</w:t>
      </w:r>
      <w:r>
        <w:t xml:space="preserve"> This article analyzes the recently adopted European Union State aid rules designed to facilitate the implementation of “green” technologies. This initiative is in line with European objectives to combat climate change and transition to an emission-free economy. By contextualizing State aid rules within the broader regulatory policy landscape, the author aims to assess the inherent limitations of these tools. Based on this evaluation, the article attempts to determine if and to what extent EU State aid law can be successfully utilized to promote environmental objectives. The analysis begins with an overview of the State aid toolbox and its role in regulatory policies, situated on a spectrum between incentive-based and obligation-based approaches. Subsequently, it delves into the evaluation of potential consequences, encompassing risks such as the deepening disparities between wealthier and poorer Member States, inadequate safeguards against offshoring in pursuit of lenient environmental norms, and the peril of fostering subsidy dependence.</w:t>
      </w:r>
    </w:p>
    <w:p>
      <w:pPr>
        <w:pStyle w:val="Heading2"/>
      </w:pPr>
      <w:r>
        <w:t>651. Crisis futures: The affects and temporalities of economic collapse in Iceland</w:t>
      </w:r>
    </w:p>
    <w:p>
      <w:pPr>
        <w:pStyle w:val="SourceNote"/>
      </w:pPr>
      <w:r>
        <w:rPr>
          <w:b/>
        </w:rPr>
        <w:t>Original source (2020):</w:t>
      </w:r>
      <w:r>
        <w:t xml:space="preserve"> https://doi.org/10.1080/02757206.2020.1762589</w:t>
      </w:r>
    </w:p>
    <w:p>
      <w:pPr/>
      <w:r>
        <w:t>Original wording (abstract; indexed_source_text_not_full_document_verified): We conclude by discussing the unfinished nature of crisis and role of public forecasting as a means for contending with ongoing economic insecurity.</w:t>
      </w:r>
    </w:p>
    <w:p>
      <w:pPr/>
      <w:r>
        <w:rPr>
          <w:b/>
        </w:rPr>
        <w:t>POSSIBLE 2026:</w:t>
      </w:r>
      <w:r>
        <w:t xml:space="preserve"> Biography of Mahfuj Alam: Revolutionary Mind, State Power and The Unfinished Republic — https://doi.org/10.5281/zenodo.19572195</w:t>
      </w:r>
    </w:p>
    <w:p>
      <w:pPr/>
      <w:r>
        <w:rPr>
          <w:b/>
        </w:rPr>
        <w:t>Shared claim-specific concepts:</w:t>
      </w:r>
      <w:r>
        <w:t xml:space="preserve"> unfinished, nature, role; EU scope visible. This is a provisional connection, not an outcome finding.</w:t>
      </w:r>
    </w:p>
    <w:p>
      <w:pPr>
        <w:pStyle w:val="SourceNote"/>
      </w:pPr>
      <w:r>
        <w:rPr>
          <w:b/>
        </w:rPr>
        <w:t>Available abstract (not full text):</w:t>
      </w:r>
      <w:r>
        <w:t xml:space="preserve"> This 2026 textbook is a comprehensive scholarly analysis of the life, political philosophy, and governmental role of Mahfuj Alam, a central figure in the July 2024 student-led revolution that overthrew Bangladesh's long-serving Prime Minister Sheikh Hasina. The book uses Alam's biography as a case study to explore the broader themes of democratic transition, constitutional reform, media governance, and generational political change in a post-authoritarian context. It is divided into five interconnected parts. Part One: The Making of a Revolutionary Intellectual establishes the historical and personal context. It details Alam's origins in a rural madrasa family in Lakshmipur and his intellectual formation at the University of Dhaka's law faculty, where he synthesized Islamic jurisprudence with secular constitutional thought. The book traces the history of Bangladesh's state, from its 1971 independence through military rule, the flawed two-party democracy, and the 15-year "architecture of autocracy" under Sheikh Hasina (2009-2024), characterized by electoral fraud, judicial capture, and the use of the Digital Security Act to suppress dissent. The trigger for the July 2024 revolution was a High Court ruling reinstating a 30 percent quota for government jobs for descendants of 1971 freedom fighters. Alam emerged as a key strategic coordinator of the Anti-Discrimination Students Mov</w:t>
      </w:r>
    </w:p>
    <w:p>
      <w:pPr/>
      <w:r>
        <w:rPr>
          <w:b/>
        </w:rPr>
        <w:t>POSSIBLE 2025:</w:t>
      </w:r>
      <w:r>
        <w:t xml:space="preserve"> "Happy those for whom the fold of ...": Intention and interpretation in the unfinished Romantic poetic text — https://openalex.org/W7135642000</w:t>
      </w:r>
    </w:p>
    <w:p>
      <w:pPr/>
      <w:r>
        <w:rPr>
          <w:b/>
        </w:rPr>
        <w:t>Shared claim-specific concepts:</w:t>
      </w:r>
      <w:r>
        <w:t xml:space="preserve"> conclude, unfinished, role; EU scope not established. This is a provisional connection, not an outcome finding.</w:t>
      </w:r>
    </w:p>
    <w:p>
      <w:pPr>
        <w:pStyle w:val="SourceNote"/>
      </w:pPr>
      <w:r>
        <w:rPr>
          <w:b/>
        </w:rPr>
        <w:t>Available abstract (not full text):</w:t>
      </w:r>
      <w:r>
        <w:t xml:space="preserve"> This thesis interrogates the "unfinished" aspect of Romantic poetic text as that which facilitates potential meaning and interpretation, realising the claim to "participate in the infinite", as per Percy Bysshe Shelley. Both Shelley and John Keats concern themselves with investigating the limits of finite language and the mediating role of the poet in their major unfinished works, The Triumph of Life and The Fall of Hyperion, close readings of which will be conducted across three chapters. To supplement this analysis, the conciliations between a range of critical approaches to "unfinished" text will be discussed, from the structural linguistic view of text in general as both process and product of language use, poetic text being one aesthetic typology thereof, to the monumentalising of fragmentary, discontinuous text as a discrete poetic form in Romantic criticism. As well as this, the accretion of unintentional aesthetic features in the work into an intentional structure will be seen as a necessary procedure in this substantiation of the fragment form. The thesis will conclude that the capacity for unfinished text to potentialise meaning through the absence of finite language is far more potent than the use of language for specific expression. As such, the unfinished poems discussed herein realize and...</w:t>
      </w:r>
    </w:p>
    <w:p>
      <w:pPr/>
      <w:r>
        <w:rPr>
          <w:b/>
        </w:rPr>
        <w:t>POSSIBLE 2024:</w:t>
      </w:r>
      <w:r>
        <w:t xml:space="preserve"> Crisis in world politics. Corporate roles and responses in the Ukraine war and beyond — https://doi.org/10.1177/13540661241279787</w:t>
      </w:r>
    </w:p>
    <w:p>
      <w:pPr/>
      <w:r>
        <w:rPr>
          <w:b/>
        </w:rPr>
        <w:t>Shared claim-specific concepts:</w:t>
      </w:r>
      <w:r>
        <w:t xml:space="preserve"> crisis, role; EU scope not established. This is a provisional connection, not an outcome finding.</w:t>
      </w:r>
    </w:p>
    <w:p>
      <w:pPr>
        <w:pStyle w:val="SourceNote"/>
      </w:pPr>
      <w:r>
        <w:rPr>
          <w:b/>
        </w:rPr>
        <w:t>Available abstract (not full text):</w:t>
      </w:r>
      <w:r>
        <w:t xml:space="preserve"> For some time, Global Governance has made the case that multinational enterprises (MNEs) have become so involved in multistakeholder provisions of public goods that they should be considered as global governors. Their involvement and whether it improves governance, however, remain fiercely debated. In this context, MNEs are frequently framed and discussed as entities sui generis, pursuing private interests while reconciling with broader public expectations. The article argues that the concept of crisis, if adequately theorized, offers a new perspective into this discussion. To do so, I draw from American Pragmatism to introduce crisis both as a challenge for an actor but also a lens into the beliefs expressed throughout for the researcher. Against this dual use of the concept, I develop a typology of crises and relate this to the roles and responses of MNEs that are likely to follow from different crises. As a lens into corporate beliefs, I illustrate the conceptual potential of crisis by looking into how Shell and ExxonMobil respond to Russia’s invasion of Ukraine. As an exogenous, rather immediate crisis, the article discusses to what extent their responses reveal a broader acceptance or rejection of new corporate responsibilities. Based on careful reconstruction, the article concludes that neither productively solved the crisis. More specifically, as Shell remains reluctant </w:t>
      </w:r>
    </w:p>
    <w:p>
      <w:pPr/>
      <w:r>
        <w:rPr>
          <w:b/>
        </w:rPr>
        <w:t>POSSIBLE 2024:</w:t>
      </w:r>
      <w:r>
        <w:t xml:space="preserve"> The Unfinished Reconstructed Nature of the Last Universal Common Ancestor — https://doi.org/10.1007/s00239-024-10187-8</w:t>
      </w:r>
    </w:p>
    <w:p>
      <w:pPr/>
      <w:r>
        <w:rPr>
          <w:b/>
        </w:rPr>
        <w:t>Shared claim-specific concepts:</w:t>
      </w:r>
      <w:r>
        <w:t xml:space="preserve"> conclude, unfinished, nature; EU scope not established. This is a provisional connection, not an outcome finding.</w:t>
      </w:r>
    </w:p>
    <w:p>
      <w:pPr>
        <w:pStyle w:val="SourceNote"/>
      </w:pPr>
      <w:r>
        <w:rPr>
          <w:b/>
        </w:rPr>
        <w:t>Available abstract (not full text):</w:t>
      </w:r>
      <w:r>
        <w:t xml:space="preserve"> The ultimate consequence of Darwin's theory of common descent implies that all life on earth descends ultimately from a common ancestor. Biochemistry and molecular biology now provide sufficient evidence of shared ancestry of all extant life forms. However, the nature of the Last Universal Common Ancestor (LUCA) has been a topic of much debate over the years. This review offers a historical perspective on different attempts to infer LUCA's nature, exploring the debate surrounding its complexity. We further examine how different methodologies identify sets of ancient protein that exhibit only partial overlap. For example, different bioinformatic approaches have identified distinct protein subunits from the ATP synthetase identified as potentially inherited from LUCA. Additionally, we discuss how detailed molecular evolutionary analysis of reverse gyrase has modified previous inferences about an hyperthermophilic LUCA based mainly on automatic bioinformatic pipelines. We conclude by emphasizing the importance of developing a database dedicated to studying genes and proteins traceable back to LUCA and earlier stages of cellular evolution. Such a database would house the most ancient genes on earth.</w:t>
      </w:r>
    </w:p>
    <w:p>
      <w:pPr/>
      <w:r>
        <w:rPr>
          <w:b/>
        </w:rPr>
        <w:t>POSSIBLE 2023:</w:t>
      </w:r>
      <w:r>
        <w:t xml:space="preserve"> Unfinished Discourse Of ‘Backwardness’ In Independent India — https://doi.org/10.59670/ml.v20is5.8377</w:t>
      </w:r>
    </w:p>
    <w:p>
      <w:pPr/>
      <w:r>
        <w:rPr>
          <w:b/>
        </w:rPr>
        <w:t>Shared claim-specific concepts:</w:t>
      </w:r>
      <w:r>
        <w:t xml:space="preserve"> unfinished, role; EU scope not established. This is a provisional connection, not an outcome finding.</w:t>
      </w:r>
    </w:p>
    <w:p>
      <w:pPr>
        <w:pStyle w:val="SourceNote"/>
      </w:pPr>
      <w:r>
        <w:rPr>
          <w:b/>
        </w:rPr>
        <w:t>Available abstract (not full text):</w:t>
      </w:r>
      <w:r>
        <w:t xml:space="preserve"> This paper discusses the Second Backward Commission (Mandal Commission) and its impact on the discourse of backwardness in India. It provides an overview of the formation and function of the Mandal Commission of India. It was established to address the issue of ‘socially and educationally backward classes’ in country in the late 1980s. The Commission identified backwardness based on eleven social, educational and economic indicators and recommended the formation of a third category of groups eligible for reservations called ‘Other Backward Classes’ (OBCs). The article also highlights the controversy and implementation of the Commission's recommendations between 1990 and 2006. Additionally, it discusses the role of political parties of India and other stakeholders in the debates surrounding reservation policies. (F. No. 02/151/2016-17/RP_ICSSR Research 2016). “The excerpts and findings of this article are sourced from the ICSSR-sponsored national research project titled “Status of Reservation Policy: A Study of Higher Educational Institutions in Bihar.” (1)</w:t>
      </w:r>
    </w:p>
    <w:p>
      <w:pPr/>
      <w:r>
        <w:rPr>
          <w:b/>
        </w:rPr>
        <w:t>POSSIBLE 2023:</w:t>
      </w:r>
      <w:r>
        <w:t xml:space="preserve"> The Role of Humor in Work Group Dynamics in Times of Crisis — https://doi.org/10.1177/10464964231173335</w:t>
      </w:r>
    </w:p>
    <w:p>
      <w:pPr/>
      <w:r>
        <w:rPr>
          <w:b/>
        </w:rPr>
        <w:t>Shared claim-specific concepts:</w:t>
      </w:r>
      <w:r>
        <w:t xml:space="preserve"> nature, crisis, role; EU scope not established. This is a provisional connection, not an outcome finding.</w:t>
      </w:r>
    </w:p>
    <w:p>
      <w:pPr>
        <w:pStyle w:val="SourceNote"/>
      </w:pPr>
      <w:r>
        <w:rPr>
          <w:b/>
        </w:rPr>
        <w:t>Available abstract (not full text):</w:t>
      </w:r>
      <w:r>
        <w:t xml:space="preserve"> Humor is a key indicator of the health of work groups, including during times of crisis. Moreover, studies of newly formed groups show that the type of humor used can change as members of a group get to know one another and form bonds. Yet in the context of a relatively established work group, can the nature of the group’s humor evolve in response to a crisis? We address this question in the context of the Federal Open Market Committee (FOMC), examining whether the FOMC was able to pivot its use of humor following the 2007 financial crash. As hypothesized, we find a post-crash increase in “affiliative” humor in general, and “playful banter” specifically, indicating effective group dynamics among members (which bodes well for the global economy). The FOMC thus offers evidence that established work groups can use humor as a dynamic mechanism for adapting to new circumstances.</w:t>
      </w:r>
    </w:p>
    <w:p>
      <w:pPr/>
      <w:r>
        <w:rPr>
          <w:b/>
        </w:rPr>
        <w:t>POSSIBLE 2023:</w:t>
      </w:r>
      <w:r>
        <w:t xml:space="preserve"> Stories from an unfinished prototype: a seemingly never-ending loop of practice and research — https://doi.org/10.21606/iasdr.2023.131</w:t>
      </w:r>
    </w:p>
    <w:p>
      <w:pPr/>
      <w:r>
        <w:rPr>
          <w:b/>
        </w:rPr>
        <w:t>Shared claim-specific concepts:</w:t>
      </w:r>
      <w:r>
        <w:t xml:space="preserve"> unfinished, role, ongoing; EU scope not established. This is a provisional connection, not an outcome finding.</w:t>
      </w:r>
    </w:p>
    <w:p>
      <w:pPr>
        <w:pStyle w:val="SourceNote"/>
      </w:pPr>
      <w:r>
        <w:rPr>
          <w:b/>
        </w:rPr>
        <w:t>Available abstract (not full text):</w:t>
      </w:r>
      <w:r>
        <w:t xml:space="preserve"> This pictorial focuses on the role prototyping played within the author’s latest research on tangible narratives exemplified in the design case of [Project’s title removed for review]. The pictorial illustrates the ongoing process of prototyping this design case. It discusses the challenges and insights gained from it, among them, the importance of accounting ergonomic principles when prototyping artefacts, embracing the physical properties of working materials during the prototyping process, considering the potential pitfalls of relying too heavily on technical knowledge, and the importance of compartmentalizing and prioritizing during the ideation process. Finally, the pictorial concludes with an analisis on the role played by the action of prototyping and the importance of the continuous dialogue between the designer/researcher and the artefacts created.</w:t>
      </w:r>
    </w:p>
    <w:p>
      <w:pPr/>
      <w:r>
        <w:rPr>
          <w:b/>
        </w:rPr>
        <w:t>POSSIBLE 2022:</w:t>
      </w:r>
      <w:r>
        <w:t xml:space="preserve"> Crisis, Ψ-trauma, refugees — https://doi.org/10.24135/ppi.v20i4.04</w:t>
      </w:r>
    </w:p>
    <w:p>
      <w:pPr/>
      <w:r>
        <w:rPr>
          <w:b/>
        </w:rPr>
        <w:t>Shared claim-specific concepts:</w:t>
      </w:r>
      <w:r>
        <w:t xml:space="preserve"> discussing, crisis, role; EU scope visible. This is a provisional connection, not an outcome finding.</w:t>
      </w:r>
    </w:p>
    <w:p>
      <w:pPr>
        <w:pStyle w:val="SourceNote"/>
      </w:pPr>
      <w:r>
        <w:rPr>
          <w:b/>
        </w:rPr>
        <w:t>Available abstract (not full text):</w:t>
      </w:r>
      <w:r>
        <w:t xml:space="preserve"> Since 2014 the situation in the Mediterranean Sea has been named and tackled as a ‘refugee crisis’, and in the name of this ‘crisis’ migrants have been accommodated in ‘hotspots’ and camps. Within these spaces, their experiences have often been articulated by the humanitarian sector and the discipline of psychology as traumatic, with refugees being described as traumatised. In this article, I critically discuss the politics of psychology and trauma within the European territory of aid, with a specific focus on Greece, amid the current, so-called ‘refugee crisis’. I start by situating crisis and trauma as concepts and their role within humanitarian and state governance. I continue by discussing how the terms ‘hotspot’ and ‘camp’ emerged in state and humanitarian discourse and practice, to explore then the politics of psychology and trauma there. Both space and time are important elements for understanding the role of psychology, as they comprise the material landscape of migration amid ‘refugee crisis’. At the same time, the discourses of psychology and trauma are implicated in the very production of these spaces. Approaching critically their interconnection through the lens of critical psychology and the work of Frantz Fanon, the article concludes that the gaze of humanitarian aid and psychology, besides medicalising refugees, psychologises the inherently political issues of mi</w:t>
      </w:r>
    </w:p>
    <w:p>
      <w:pPr/>
      <w:r>
        <w:rPr>
          <w:b/>
        </w:rPr>
        <w:t>POSSIBLE 2022:</w:t>
      </w:r>
      <w:r>
        <w:t xml:space="preserve"> The Unfinished Business of Defining Premature Ejaculation: The Need for Targeted Research — https://doi.org/10.1016/j.sxmr.2021.11.003</w:t>
      </w:r>
    </w:p>
    <w:p>
      <w:pPr/>
      <w:r>
        <w:rPr>
          <w:b/>
        </w:rPr>
        <w:t>Shared claim-specific concepts:</w:t>
      </w:r>
      <w:r>
        <w:t xml:space="preserve"> unfinished, role, ongoing; EU scope not established. This is a provisional connection, not an outcome finding.</w:t>
      </w:r>
    </w:p>
    <w:p>
      <w:pPr>
        <w:pStyle w:val="SourceNote"/>
      </w:pPr>
      <w:r>
        <w:rPr>
          <w:b/>
        </w:rPr>
        <w:t>Available abstract (not full text):</w:t>
      </w:r>
      <w:r>
        <w:t xml:space="preserve"> INTRODUCTION: Fifteen years have passed since the International Society of Sexual Medicine first established the 3-pronged criteria for premature ejaculation (PE): a short ejaculation latency, lack of ejaculatory control, and bother/distress. Although the process of establishing valid criteria for any condition or disorder is an ongoing one, a dearth of targeted research on these criteria has hindered professional societies from updating and revising them. OBJECTIVES: To review and critique existing criteria used in the diagnosis of PE, to identify specific problems with them, and to recommend studies that will address shortcomings. METHODS: Each of the PE criteria was evaluated and compared against standard procedures for establishing validated measures. Following each analysis, targeted research to address the gaps has been recommended. RESULTS: Each PE criterion has shortcomings and each can be improved by using standard validation procedures, as noted by the targeted research outcomes. Professional societies can play an important role by encouraging broad participation in research that generates new and relevant data supporting, validating, or challenging the existing criteria. CONCLUSION: The concepts underlying the diagnostic criteria for PE have both broad consensus and functional utility. Nevertheless, much of the research investigating PE has uncritically adopted these</w:t>
      </w:r>
    </w:p>
    <w:p>
      <w:pPr/>
      <w:r>
        <w:rPr>
          <w:b/>
        </w:rPr>
        <w:t>POSSIBLE 2021:</w:t>
      </w:r>
      <w:r>
        <w:t xml:space="preserve"> The unfinished business of Church history — https://doi.org/10.4102/ve.v42i1.2329</w:t>
      </w:r>
    </w:p>
    <w:p>
      <w:pPr/>
      <w:r>
        <w:rPr>
          <w:b/>
        </w:rPr>
        <w:t>Shared claim-specific concepts:</w:t>
      </w:r>
      <w:r>
        <w:t xml:space="preserve"> unfinished, role, ongoing; EU scope not established. This is a provisional connection, not an outcome finding.</w:t>
      </w:r>
    </w:p>
    <w:p>
      <w:pPr>
        <w:pStyle w:val="SourceNote"/>
      </w:pPr>
      <w:r>
        <w:rPr>
          <w:b/>
        </w:rPr>
        <w:t>Available abstract (not full text):</w:t>
      </w:r>
      <w:r>
        <w:t xml:space="preserve"> The Church will presumably have unfinished business until the day when Christ returns. And Church history will, in gruesome details, bear witness to the missed opportunities, the failures and wrongdoings and all the mistakes made. This is especially true in South Africa where racial tensions, violence, crimes and numerous other evils prevail, while the bride of Christ, in hiding from the realities of life, is awaiting death. The first part of the article explains why this is the case and the second part proposes some rectifications towards how adjudication and reconciliation can be attained through new life in a novel way of being Church to the world. Intradisciplinary and/or interdisciplinary implications: Christians, theologians and Church historians must openly and honestly expose the use and abuse of (Church) history, and the role that collective memory played in constructing misleading perceptions of the past through the implementation of motivated reasoning. A comprehensive, amended rewriting of Church history that includes all sources that fed Christianity in South Africa during the past nearly 370 years must reconceptualise our religious past towards a healing future. This can promote unity and bring closure to at least some issues while providing a renewed focus on the ongoing need for constant reformation, a renewed comprehension of spirituality, and inspiring Missiol</w:t>
      </w:r>
    </w:p>
    <w:p>
      <w:pPr/>
      <w:r>
        <w:rPr>
          <w:b/>
        </w:rPr>
        <w:t>POSSIBLE 2021:</w:t>
      </w:r>
      <w:r>
        <w:t xml:space="preserve"> Virtually Viral Hangouts: Reflections on the role of community during crisis — https://doi.org/10.23860/jmle-2021-13-3-12</w:t>
      </w:r>
    </w:p>
    <w:p>
      <w:pPr/>
      <w:r>
        <w:rPr>
          <w:b/>
        </w:rPr>
        <w:t>Shared claim-specific concepts:</w:t>
      </w:r>
      <w:r>
        <w:t xml:space="preserve"> conclude, crisis, role, means; EU scope not established. This is a provisional connection, not an outcome finding.</w:t>
      </w:r>
    </w:p>
    <w:p>
      <w:pPr>
        <w:pStyle w:val="SourceNote"/>
      </w:pPr>
      <w:r>
        <w:rPr>
          <w:b/>
        </w:rPr>
        <w:t>Available abstract (not full text):</w:t>
      </w:r>
      <w:r>
        <w:t xml:space="preserve"> In this essay, I reflect on two key aspects of my membership in the online community known as Virtually Viral Hangouts (VVH). First, I reflect on how membership in this group helped me professionally, providing important, in-time instruction as I learned to make the switch from in-person to remote learning in the early days of Covid-19. Next, I reflect on how membership in this group helped me personally, as I struggled to find my identity as a teacher through a computer screen. I conclude by reflecting upon what it means to be a member of a community and why such membership matters in higher education and beyond.</w:t>
      </w:r>
    </w:p>
    <w:p>
      <w:pPr/>
      <w:r>
        <w:rPr>
          <w:b/>
        </w:rPr>
        <w:t>POSSIBLE 2021:</w:t>
      </w:r>
      <w:r>
        <w:t xml:space="preserve"> The Fault Lines of Leadership: Lessons from the Global Covid-19 Crisis — https://doi.org/10.1080/14697017.2021.1861724</w:t>
      </w:r>
    </w:p>
    <w:p>
      <w:pPr/>
      <w:r>
        <w:rPr>
          <w:b/>
        </w:rPr>
        <w:t>Shared claim-specific concepts:</w:t>
      </w:r>
      <w:r>
        <w:t xml:space="preserve"> conclude, crisis, role; EU scope not established. This is a provisional connection, not an outcome finding.</w:t>
      </w:r>
    </w:p>
    <w:p>
      <w:pPr>
        <w:pStyle w:val="SourceNote"/>
      </w:pPr>
      <w:r>
        <w:rPr>
          <w:b/>
        </w:rPr>
        <w:t>Available abstract (not full text):</w:t>
      </w:r>
      <w:r>
        <w:t xml:space="preserve"> In this article, we reflect on the role that leadership has played in the response to the global Covid-19 crisis. We discuss two major ‘fault lines' of leadership: narcissism, and ideological rigidity. A fault line is a problem that may not be obvious under normal circumstances but could cause leadership to fail stakeholders and society at large in a defining moment such as a global pandemic. Using case examples from global political leaders we elaborate on these breaking points in crisis leadership and contrast them with the healing properties of leader compassion and mending forces of evidence-based decision making. We conclude our article with implications for responsible leadership research and practice.</w:t>
      </w:r>
    </w:p>
    <w:p>
      <w:pPr>
        <w:pStyle w:val="Heading2"/>
      </w:pPr>
      <w:r>
        <w:t>652. Diverging hydrological drought traits over Europe with global warming</w:t>
      </w:r>
    </w:p>
    <w:p>
      <w:pPr>
        <w:pStyle w:val="SourceNote"/>
      </w:pPr>
      <w:r>
        <w:rPr>
          <w:b/>
        </w:rPr>
        <w:t>Original source (2020):</w:t>
      </w:r>
      <w:r>
        <w:t xml:space="preserve"> https://doi.org/10.5194/hess-24-5919-2020</w:t>
      </w:r>
    </w:p>
    <w:p>
      <w:pPr/>
      <w:r>
        <w:t>Original wording (abstract; indexed_source_text_not_full_document_verified): This study shows how hydrological droughts will change across Europe with increasing global warming levels (GWL of 1.5, 2 and 3 K above preindustrial temperature). We employ a low-flow index derived from river discharge simulations of a spatially-distributed physically-based hydrological and water use model, which was forced with a large ensemble of regional climate model projections under a high emissions (RCP8.5) and moderate mitigation (RCP4.5) pathway.</w:t>
      </w:r>
    </w:p>
    <w:p>
      <w:pPr/>
      <w:r>
        <w:rPr>
          <w:b/>
        </w:rPr>
        <w:t>POSSIBLE 2026:</w:t>
      </w:r>
      <w:r>
        <w:t xml:space="preserve"> Hydrological drought but not flood synchronicity increases over Europe — https://doi.org/10.5194/egusphere-egu26-4770</w:t>
      </w:r>
    </w:p>
    <w:p>
      <w:pPr/>
      <w:r>
        <w:rPr>
          <w:b/>
        </w:rPr>
        <w:t>Shared claim-specific concepts:</w:t>
      </w:r>
      <w:r>
        <w:t xml:space="preserve"> hydrological, droughts, water; EU scope visible. This is a provisional connection, not an outcome finding.</w:t>
      </w:r>
    </w:p>
    <w:p>
      <w:pPr>
        <w:pStyle w:val="SourceNote"/>
      </w:pPr>
      <w:r>
        <w:rPr>
          <w:b/>
        </w:rPr>
        <w:t>Available abstract (not full text):</w:t>
      </w:r>
      <w:r>
        <w:t xml:space="preserve"> Spatially synchronized drought or flood events, that is the co-occurrence of drought/flood in multiple locations, can have severe impacts that challenge water and emergency management because they require resources in multiple places at once. Climate change can affect the frequency of such compound events because of its influence on drought and flood generation processes. While the impacts of climate change on local hydrological extreme events are well studied, its impact on event synchronicity remains uncertain. Here, we investigate how hydrological drought and flood synchronicities have changed in Europe during the period 1981-2020 using observations from 4299 streamflow stations. Our results show that drought synchronicity has grown significantly, most strongly in Central Europe, and that years with spatially extensive drought tend to follow one another. In contrast, flood synchronicity has remained relatively stable. Regionally, regions of growing drought synchronicity show decreasing flood synchronicity, and vice versa. Synchronicity trends are mostly in line with those of local frequencies suggesting that trends in synchronicity are mainly driven by overall frequencies, rather than by the spatial distribution of events. The observed growth in drought synchronicity highlights the need to develop adaptation measures to more frequent large-scale droughts.</w:t>
      </w:r>
    </w:p>
    <w:p>
      <w:pPr/>
      <w:r>
        <w:rPr>
          <w:b/>
        </w:rPr>
        <w:t>POSSIBLE 2026:</w:t>
      </w:r>
      <w:r>
        <w:t xml:space="preserve"> Hydrological drought projections across Europe under climate change — https://doi.org/10.1038/s44304-025-00152-w</w:t>
      </w:r>
    </w:p>
    <w:p>
      <w:pPr/>
      <w:r>
        <w:rPr>
          <w:b/>
        </w:rPr>
        <w:t>Shared claim-specific concepts:</w:t>
      </w:r>
      <w:r>
        <w:t xml:space="preserve"> hydrological, across, increasing, index, water; EU scope visible. This is a provisional connection, not an outcome finding.</w:t>
      </w:r>
    </w:p>
    <w:p>
      <w:pPr>
        <w:pStyle w:val="SourceNote"/>
      </w:pPr>
      <w:r>
        <w:rPr>
          <w:b/>
        </w:rPr>
        <w:t>Available abstract (not full text):</w:t>
      </w:r>
      <w:r>
        <w:t xml:space="preserve"> Abstract Although drought is a natural hazard, growing global concern surrounds its increasing frequency and severity due to climate change. Projections indicate that drought conditions are expected to intensify worldwide in the future, and Europe is no exception. Therefore, understanding the pattern and characteristics of future drought is crucial to developing region-specific adaptation strategies to enhance resilience. This study presents a comprehensive assessment of future hydrological drought dynamics across Europe using the standardized runoff index (SRI). SRI was calculated at 1- and 3-month timescales for the historical period (1990–2014) and near-future period (2015–2049) based on downscaled climate data from Coupled Model Intercomparison Project Phase 6 (CMIP6) under two emission scenarios: SSP1-2.6 and SSP5-8.5, where SSP stands for shared socioeconomic pathways. The findings reveal an intensification of hydrological drought conditions, particularly in southern Europe. Notable increases in the frequency, severity, and spatial extent of drought events are observed, especially in countries such as France, Spain, and the Balkans. Seasonal analysis highlights spring as the most drought-prone season under both scenarios. These results underscore the urgent need for seasonally adaptive water management strategies to better anticipate future drought risks and strengthen re</w:t>
      </w:r>
    </w:p>
    <w:p>
      <w:pPr/>
      <w:r>
        <w:rPr>
          <w:b/>
        </w:rPr>
        <w:t>POSSIBLE 2026:</w:t>
      </w:r>
      <w:r>
        <w:t xml:space="preserve"> Future changes in frequency and intensity of meteorological and hydrological droughts in Denmark — https://doi.org/10.5194/egusphere-egu26-5003</w:t>
      </w:r>
    </w:p>
    <w:p>
      <w:pPr/>
      <w:r>
        <w:rPr>
          <w:b/>
        </w:rPr>
        <w:t>Shared claim-specific concepts:</w:t>
      </w:r>
      <w:r>
        <w:t xml:space="preserve"> hydrological, droughts, across, increasing, simulations, water; EU scope visible. This is a provisional connection, not an outcome finding.</w:t>
      </w:r>
    </w:p>
    <w:p>
      <w:pPr>
        <w:pStyle w:val="SourceNote"/>
      </w:pPr>
      <w:r>
        <w:rPr>
          <w:b/>
        </w:rPr>
        <w:t>Available abstract (not full text):</w:t>
      </w:r>
      <w:r>
        <w:t xml:space="preserve"> Drought frequency is projected to increase in mainland Europe while decreasing in Scandinavia under climate change, placing Denmark in a hydro-climatic transition zone with an uncertain future. This makes Denmark a relevant case for analysing future changes in the meteorological forcing and hydrological response, that can ultimately lead to substantial implications for agriculture and water resource management.We investigate future changes in drought frequency and intensity in Denmark up to 2100, combining regional climate model simulations (Euro-CORDEX), which were adjusted using observational data to produce Klimaatlas Denmark, and hydrological model outputs from the National Hydrological Model of Denmark. Drought conditions are analysed using standardised indices representing different components of the hydrological cycle, including precipitation (SPI), precipitation-evapotranspiration balance (SPEI), soil moisture (ESSMI), streamflow (SDI) as well as shallow and deep groundwater (SGDI). We compared these indices using a drought multi-threshold method for a consistent comparison across variables.Results show a clear seasonal signal in meteorological drought, with decreasing frequency in winter and increasing frequency in summer. Accounting for evapotranspiration further amplifies projected summer drought conditions. In contrast, streamflow and groundwater droughts are projec</w:t>
      </w:r>
    </w:p>
    <w:p>
      <w:pPr/>
      <w:r>
        <w:rPr>
          <w:b/>
        </w:rPr>
        <w:t>POSSIBLE 2026:</w:t>
      </w:r>
      <w:r>
        <w:t xml:space="preserve"> Climate Warming Accelerates Hydrological Reversals Across Europe — https://doi.org/10.21203/rs.3.rs-9924236/v1</w:t>
      </w:r>
    </w:p>
    <w:p>
      <w:pPr/>
      <w:r>
        <w:rPr>
          <w:b/>
        </w:rPr>
        <w:t>Shared claim-specific concepts:</w:t>
      </w:r>
      <w:r>
        <w:t xml:space="preserve"> hydrological, across, warming;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Continental-scale assessment of hydrological cycle across Europe under anthropogenic warming — https://doi.org/10.5194/egusphere-egu26-862</w:t>
      </w:r>
    </w:p>
    <w:p>
      <w:pPr/>
      <w:r>
        <w:rPr>
          <w:b/>
        </w:rPr>
        <w:t>Shared claim-specific concepts:</w:t>
      </w:r>
      <w:r>
        <w:t xml:space="preserve"> hydrological, across, increasing, warming, levels, index; EU scope visible. This is a provisional connection, not an outcome finding.</w:t>
      </w:r>
    </w:p>
    <w:p>
      <w:pPr>
        <w:pStyle w:val="SourceNote"/>
      </w:pPr>
      <w:r>
        <w:rPr>
          <w:b/>
        </w:rPr>
        <w:t>Available abstract (not full text):</w:t>
      </w:r>
      <w:r>
        <w:t xml:space="preserve"> Climate change is fundamentally altering the spatial and temporal dynamics of the hydrological cycle, with profound implications for water security, ecosystem stability, and regional climate resilience. Building on the framework of Thakur et al. (2025), which evaluated how PET-method choices influence historical hydrological trends, we extend the framework to future conditions using CMIP6-based ISIMIP3b projections. We assess changes in precipitation (P), runoff (Q), total water storage (TWS), and actual evapotranspiration (AET) at 1°C, 2°C, and 3°C global warming levels across 553 European catchments. Using 165 mesoscale Hydrologic Model (mHM) simulations per catchment (five GCMs, three SSPs, 11 PET methods, we introduce a framework to detect emerging hydrological cycle patterns based on trend combinations. quantify projection agreement using the Data Concurrency Index (DCI) and characterize uncertainty with two complementary metrics that capture variability (ψ) and temporal inconsistency (χ) for each warming level and hydrological variable. Our findings show a marked expansion in the spatial extent of negative trends in P, Q, and TWS with increasing warming, while AET trends are positive in over 96% of catchments. More than two-thirds of catchments follow clear wetting (W1) or drying (D1) hydrological cycle patterns, with D1 becoming increasingly dominant at higher warming le</w:t>
      </w:r>
    </w:p>
    <w:p>
      <w:pPr/>
      <w:r>
        <w:rPr>
          <w:b/>
        </w:rPr>
        <w:t>POSSIBLE 2026:</w:t>
      </w:r>
      <w:r>
        <w:t xml:space="preserve"> Multi-Indicator Assessment of Hydrological Change Across Europe Using Satellite Observations — https://doi.org/10.3390/w18080986</w:t>
      </w:r>
    </w:p>
    <w:p>
      <w:pPr/>
      <w:r>
        <w:rPr>
          <w:b/>
        </w:rPr>
        <w:t>Shared claim-specific concepts:</w:t>
      </w:r>
      <w:r>
        <w:t xml:space="preserve"> hydrological, across, index, water; EU scope visible. This is a provisional connection, not an outcome finding.</w:t>
      </w:r>
    </w:p>
    <w:p>
      <w:pPr>
        <w:pStyle w:val="SourceNote"/>
      </w:pPr>
      <w:r>
        <w:rPr>
          <w:b/>
        </w:rPr>
        <w:t>Available abstract (not full text):</w:t>
      </w:r>
      <w:r>
        <w:t xml:space="preserve"> Understanding drought and water availability requires integrating multiple components of the hydrological cycle. Satellite observations enable consistent monitoring of water storage, groundwater variability, and water budget components at continental scales. This study synthesises results from several satellite-based analyses to examine hydrological signals across Europe within the Köppen–Geiger climate zones. Indicators were analysed jointly, including the Combined Climatologic Deviation Index (CCDI), Water Budget (WB), Water Storage Deficit Index (WSDI), and Groundwater Drought Index (GDI). The comparison of these indices reveals consistent spatial and temporal patterns of water deficit across Europe, with the strongest drying signals observed in temperate and Mediterranean regions. In contrast, northern climatic zones show higher retention capacity. The integrated approach highlights relationships among groundwater variability, water storage anomalies, climate anomalies, and water budget dynamics, providing a broader perspective on hydrological responses to climate variability. The results demonstrate the value of multi-indicator satellite analysis for large-scale drought monitoring and water resource assessment.</w:t>
      </w:r>
    </w:p>
    <w:p>
      <w:pPr/>
      <w:r>
        <w:rPr>
          <w:b/>
        </w:rPr>
        <w:t>POSSIBLE 2026:</w:t>
      </w:r>
      <w:r>
        <w:t xml:space="preserve"> Increasing Floods and Intensifying Droughts: The Future of Hydrological Extremes in a Warming Climate — https://doi.org/10.31223/x56v0w</w:t>
      </w:r>
    </w:p>
    <w:p>
      <w:pPr/>
      <w:r>
        <w:rPr>
          <w:b/>
        </w:rPr>
        <w:t>Shared claim-specific concepts:</w:t>
      </w:r>
      <w:r>
        <w:t xml:space="preserve"> hydrological, droughts, across, increasing, warming, derived; EU scope visible. This is a provisional connection, not an outcome finding.</w:t>
      </w:r>
    </w:p>
    <w:p>
      <w:pPr>
        <w:pStyle w:val="SourceNote"/>
      </w:pPr>
      <w:r>
        <w:rPr>
          <w:b/>
        </w:rPr>
        <w:t>Available abstract (not full text):</w:t>
      </w:r>
      <w:r>
        <w:t xml:space="preserve"> Understanding how climate change alters the frequency and severity of hydrological extremes is critical for anticipating regional vulnerabilities and guiding adaptation. In this study, we analyze changes in the magnitude, intensity, and duration of extreme streamflow events, both floods and droughts, under RCP4.5 and RCP8.5 scenarios using the FutureStreams dataset. This dataset, driven by multiple CMIP5 climate models, enables a global-scale assessment across all Intergovernmental Panel on Climate Change (IPCC) Special Report on Managing the Risks of Extreme Events and Disasters to Advance Climate Adaptation (SREX) regions. We identified events using percentile-based thresholds derived from historical (1976–2005) streamflow distributions and evaluated future extremes relative to these baselines across seasonal and decadal time slices. Our results show an apparent intensification of extremes, particularly under RCP8.5, with substantial increases in flood and drought events in climate-stressed regions such as South Asia, the Mediterranean, Central Australia, and Northern Europe. The seasonal dynamics of these changes, such as summer drought intensification and winter flood increases, underscore the compound effects of warming, altered precipitation, and snowmelt patterns. While the most significant increases occur in regions with a known history of hydrological stress, some area</w:t>
      </w:r>
    </w:p>
    <w:p>
      <w:pPr/>
      <w:r>
        <w:rPr>
          <w:b/>
        </w:rPr>
        <w:t>POSSIBLE 2026:</w:t>
      </w:r>
      <w:r>
        <w:t xml:space="preserve"> Low-flow patterns and hydrological regionalisation across the Baltic Sea basin — https://doi.org/10.1016/j.ejrh.2026.103643</w:t>
      </w:r>
    </w:p>
    <w:p>
      <w:pPr/>
      <w:r>
        <w:rPr>
          <w:b/>
        </w:rPr>
        <w:t>Shared claim-specific concepts:</w:t>
      </w:r>
      <w:r>
        <w:t xml:space="preserve"> shows, hydrological, across, temperature, low-flow, discharge; EU scope visible. This is a provisional connection, not an outcome finding.</w:t>
      </w:r>
    </w:p>
    <w:p>
      <w:pPr>
        <w:pStyle w:val="SourceNote"/>
      </w:pPr>
      <w:r>
        <w:rPr>
          <w:b/>
        </w:rPr>
        <w:t>Available abstract (not full text):</w:t>
      </w:r>
      <w:r>
        <w:t xml:space="preserve"> Study region The Baltic Sea basin covers approximately 1.7 million km² across northern Europe, extending from sub-Arctic to temperate climates with pronounced gradients in snow cover, precipitation, temperature, and catchment storage. As one of the largest brackish sea basins globally, its hydrology regulates freshwater and nutrient inputs that critically influence coastal water quality and marine ecosystem functioning. Despite its ecological and hydrological importance, a consistent basin-scale assessment of low-flow regimes across national boundaries has been lacking, with existing studies limited to individual countries using different methods and indicators. Study focus The study analyses daily discharge records from 134 water gauging stations across six countries (Sweden, Finland, Estonia, Latvia, Lithuania, and Poland) for the period 1961–2020. Low-flow conditions were characterised using the annual minimum 30-day mean discharge (Q30) and its catchment-area-normalised form of specific discharge (q30), enabling comparison of low-flow magnitude, seasonality, and variability, across contrasting hydroclimatic regions. We examined spatial patterns, temporal changes between two climate normal periods (1961–1990 and 1991–2020), and identified hydrologically coherent regions through K-means cluster analysis based on q30, coefficient of variation, proportion of warm-season low-flo</w:t>
      </w:r>
    </w:p>
    <w:p>
      <w:pPr/>
      <w:r>
        <w:rPr>
          <w:b/>
        </w:rPr>
        <w:t>POSSIBLE 2026:</w:t>
      </w:r>
      <w:r>
        <w:t xml:space="preserve"> Compounding hazards increase flood economic losses across Europe — https://doi.org/10.1038/s41467-026-73248-0</w:t>
      </w:r>
    </w:p>
    <w:p>
      <w:pPr/>
      <w:r>
        <w:rPr>
          <w:b/>
        </w:rPr>
        <w:t>Shared claim-specific concepts:</w:t>
      </w:r>
      <w:r>
        <w:t xml:space="preserve"> across, increasing, above, river, discharge; EU scope visible. This is a provisional connection, not an outcome finding.</w:t>
      </w:r>
    </w:p>
    <w:p>
      <w:pPr>
        <w:pStyle w:val="SourceNote"/>
      </w:pPr>
      <w:r>
        <w:rPr>
          <w:b/>
        </w:rPr>
        <w:t>Available abstract (not full text):</w:t>
      </w:r>
      <w:r>
        <w:t xml:space="preserve"> Abstract Compound events-combinations of multiple hazards contributing to societal or environmental risk-can significantly exacerbate disaster impacts, yet their effect on flood-related losses remains poorly quantified. Using a pan-European multi-hazard dataset spanning 1981-2020 at sub-national resolution, we find that more than 70% of recorded flood events involve compounding hazards, including meteorological extremes such as heatwaves and windstorms, alongside anomalous river discharge, with an increasing trend over time. The top 1% of events by economic losses are all compound, with total losses exceeding 167 billion euros above single-hazard floods. We introduce a compound hazard complexity metric and combine it with regional exposure and vulnerability data. Applying an ensemble machine learning model with explainable AI and a Double Machine Learning Causal Forest, we show that regions with higher complexity experience greater losses, even after controlling for flood magnitude and vulnerability, highlighting the importance of compound hazard information in risk modeling.</w:t>
      </w:r>
    </w:p>
    <w:p>
      <w:pPr/>
      <w:r>
        <w:rPr>
          <w:b/>
        </w:rPr>
        <w:t>POSSIBLE 2026:</w:t>
      </w:r>
      <w:r>
        <w:t xml:space="preserve"> Predicting hydrological drought at global scale: an analysis of the CEMS seasonal forecasts — https://doi.org/10.1007/s11069-025-07751-w</w:t>
      </w:r>
    </w:p>
    <w:p>
      <w:pPr/>
      <w:r>
        <w:rPr>
          <w:b/>
        </w:rPr>
        <w:t>Shared claim-specific concepts:</w:t>
      </w:r>
      <w:r>
        <w:t xml:space="preserve"> hydrological, index, river, discharge, simulations; EU scope visible. This is a provisional connection, not an outcome finding.</w:t>
      </w:r>
    </w:p>
    <w:p>
      <w:pPr>
        <w:pStyle w:val="SourceNote"/>
      </w:pPr>
      <w:r>
        <w:rPr>
          <w:b/>
        </w:rPr>
        <w:t>Available abstract (not full text):</w:t>
      </w:r>
      <w:r>
        <w:t xml:space="preserve"> Abstract Drought is among the most severe hydro-meteorological events, and it is expected to become even more critical and recurrent in multiple regions worldwide. The availability of hydrological information months ahead is crucial for developing effective early warning strategies, which often remain focused on meteorological drought, and to support effective adaptation programs and enhanced preparedness. The Copernicus Emergency Management System (CEMS) provides seasonal ensemble forecasts of river discharge based on the LISFLOOD hydrological model simulations, which are driven by seasonal meteorological ensemble forecasts from the seasonal forecast system version 5 (SEAS5) by the European Centre for Medium-Range Weather Forecasts (ECMWF). In this study, we evaluate the performance of these forecasts in detecting hydrological drought in the period 1991–2022 using the ECMWF reanalysis ERA5 as a proxy for the observational reference. The main results show that the skill of the ensemble mean of the Standardized Streamflow Index (SSI) is high at both 1- and 3-month time horizons; lower-skill forecasts (but still informative) can be achieved up to 6 months ahead. The forecast always outperforms trivial ones done by using the latest available state of the reanalysis, with the highest added value, on average, in the Northern Hemisphere. Seasonality in average river discharge is high</w:t>
      </w:r>
    </w:p>
    <w:p>
      <w:pPr/>
      <w:r>
        <w:rPr>
          <w:b/>
        </w:rPr>
        <w:t>POSSIBLE 2025:</w:t>
      </w:r>
      <w:r>
        <w:t xml:space="preserve"> Spatiotemporal characteristics of meteorological and hydrological droughts across Europe — https://doi.org/10.1080/19475705.2025.2567413</w:t>
      </w:r>
    </w:p>
    <w:p>
      <w:pPr/>
      <w:r>
        <w:rPr>
          <w:b/>
        </w:rPr>
        <w:t>Shared claim-specific concepts:</w:t>
      </w:r>
      <w:r>
        <w:t xml:space="preserve"> hydrological, droughts, across, warming, water; EU scope visible. This is a provisional connection, not an outcome finding.</w:t>
      </w:r>
    </w:p>
    <w:p>
      <w:pPr>
        <w:pStyle w:val="SourceNote"/>
      </w:pPr>
      <w:r>
        <w:rPr>
          <w:b/>
        </w:rPr>
        <w:t>Available abstract (not full text):</w:t>
      </w:r>
      <w:r>
        <w:t xml:space="preserve"> Amid ongoing global warming and growing water resource pressures, droughts have intensified in frequency and severity across Europe. Using ERA5 reanalysis data (1970–2024), we assessed four drought indices—meteorological (SPI, SPEI) and hydrological (SRI, RZI)—at 3-, 6-, and 12-month scales. Spatiotemporal dynamics were evaluated through trend analysis (Mann–Kendall), persistence assessment (Hurst exponent), abrupt change detection (mutation test), spatial pattern metrics (Fragstats), and inter-index correlation. Results show that hydrological droughts exhibited stronger trends and persistence than meteorological droughts. Significant intensification emerged in Western, Eastern, and Southern Europe, with SRI and RZI affecting nearly 700 × 10⁴ km². Breakpoints were detected in 1974 for meteorological and 1993–1994 for hydrological indices. Landscape analysis indicated increased patch numbers, higher spatial complexity, and aggregation, particularly for hydrological indices. Inter-index correlations were high at the 12-month scale (|R| &gt; 0.6) but declined (~0.3) at the 3-month scale, revealing divergence between meteorological and hydrological droughts. These findings advance understanding of drought evolution and underlying climate mechanisms, providing scientific support for monitoring, early warning, and adaptive water management strategies in Europe.</w:t>
      </w:r>
    </w:p>
    <w:p>
      <w:pPr/>
      <w:r>
        <w:rPr>
          <w:b/>
        </w:rPr>
        <w:t>POSSIBLE 2025:</w:t>
      </w:r>
      <w:r>
        <w:t xml:space="preserve"> Intergenerational inequity from hydrological drought in a warming world — https://doi.org/10.1016/j.jenvman.2025.125988</w:t>
      </w:r>
    </w:p>
    <w:p>
      <w:pPr/>
      <w:r>
        <w:rPr>
          <w:b/>
        </w:rPr>
        <w:t>Shared claim-specific concepts:</w:t>
      </w:r>
      <w:r>
        <w:t xml:space="preserve"> shows, hydrological, droughts, across, warming, river; EU scope visible. This is a provisional connection, not an outcome finding.</w:t>
      </w:r>
    </w:p>
    <w:p>
      <w:pPr>
        <w:pStyle w:val="SourceNote"/>
      </w:pPr>
      <w:r>
        <w:rPr>
          <w:b/>
        </w:rPr>
        <w:t>Available abstract (not full text):</w:t>
      </w:r>
      <w:r>
        <w:t xml:space="preserve"> As warmer temperatures enhance atmospheric moisture, hydrological droughts tend to intensify in most regions of the globe. Consequently, younger generations are expected to face a more severe risk of hydrological drought during their lifetimes, emphasizing the critical issue of intergenerational inequity due to climate change. To quantify exposure to hydrological drought across generations, we constructed a cascade model chain for drought simulation using hybrid terrestrial models, based on 5 GCM outputs under SSP5-85, five hydrological models and a deep learning model. We then projected future univariate and bivariate hydrological drought evolution in 4091 river basins, and quantified lifetime exposure to drought for the age groups born in 2020 and 1960. Drought severity and duration are projected to increase substantially in the Eastern America, Southern Brazil and Western Europe, over 79 % of basins. Extreme droughts far beyond historical records are expected to become more frequent and impact Western Europe in particular. Of note, the exposure of the different age groups to hydrological drought shows a notable disequilibrium. Exposure of people born in 2020 to hydrological drought hazards is projected to increase by 12 % over the late 21st century compared to those born in 1960, indicating that the acceleration of climate change is expected to increase the lifetime risk of </w:t>
      </w:r>
    </w:p>
    <w:p>
      <w:pPr>
        <w:pStyle w:val="Heading2"/>
      </w:pPr>
      <w:r>
        <w:t>653. Dutch Public health Foresight study 2018/20</w:t>
      </w:r>
    </w:p>
    <w:p>
      <w:pPr>
        <w:pStyle w:val="SourceNote"/>
      </w:pPr>
      <w:r>
        <w:rPr>
          <w:b/>
        </w:rPr>
        <w:t>Original source (2020):</w:t>
      </w:r>
      <w:r>
        <w:t xml:space="preserve"> https://doi.org/10.1093/eurpub/ckaa165.1290</w:t>
      </w:r>
    </w:p>
    <w:p>
      <w:pPr/>
      <w:r>
        <w:t>Original wording (abstract; indexed_source_text_not_full_document_verified): Dementia will be the leading cause of mortality and disease burden in 2040 by far. Health care expenditures will double by 2040, with cancers showing the most rapid growth of all disease groups.</w:t>
      </w:r>
    </w:p>
    <w:p>
      <w:pPr/>
      <w:r>
        <w:rPr>
          <w:b/>
        </w:rPr>
        <w:t>POSSIBLE 2026:</w:t>
      </w:r>
      <w:r>
        <w:t xml:space="preserve"> Seeking the Cause of Dementia: An Analysis of Correlation Leading to Hypotheses for Causation and the Grok-Ritchie Dementia Protocol — https://doi.org/10.5281/zenodo.19362993</w:t>
      </w:r>
    </w:p>
    <w:p>
      <w:pPr/>
      <w:r>
        <w:rPr>
          <w:b/>
        </w:rPr>
        <w:t>Shared claim-specific concepts:</w:t>
      </w:r>
      <w:r>
        <w:t xml:space="preserve"> dementia, leading, cause, health; EU scope not established. This is a provisional connection, not an outcome finding.</w:t>
      </w:r>
    </w:p>
    <w:p>
      <w:pPr>
        <w:pStyle w:val="SourceNote"/>
      </w:pPr>
      <w:r>
        <w:rPr>
          <w:b/>
        </w:rPr>
        <w:t>Available abstract (not full text):</w:t>
      </w:r>
      <w:r>
        <w:t xml:space="preserve"> The US Health and Human Services Secretary, RFK Junior, said in testimony to the House Labor-HHS Appropriations Subcommittee on 2026March14-15 in response to the heavily funded and fruitless amyloidal plaque focussed dementia research that: "We should have the cure for Alzheimer’s today. We don’t have it purely because of corruption at NIH. And we are going to have it quickly." So lets have a look at some of the evidence for the potential causes and potential cures for dementia and see if we can offer some alternative hypotheses and actually a protocol for the NIH funders.</w:t>
      </w:r>
    </w:p>
    <w:p>
      <w:pPr/>
      <w:r>
        <w:rPr>
          <w:b/>
        </w:rPr>
        <w:t>POSSIBLE 2026:</w:t>
      </w:r>
      <w:r>
        <w:t xml:space="preserve"> Seeking the Cause of Dementia: An Analysis of Correlation Leading to Hypotheses for Causation and Treatment — https://doi.org/10.5281/zenodo.19360093</w:t>
      </w:r>
    </w:p>
    <w:p>
      <w:pPr/>
      <w:r>
        <w:rPr>
          <w:b/>
        </w:rPr>
        <w:t>Shared claim-specific concepts:</w:t>
      </w:r>
      <w:r>
        <w:t xml:space="preserve"> dementia, leading, cause, health; EU scope not established. This is a provisional connection, not an outcome finding.</w:t>
      </w:r>
    </w:p>
    <w:p>
      <w:pPr>
        <w:pStyle w:val="SourceNote"/>
      </w:pPr>
      <w:r>
        <w:rPr>
          <w:b/>
        </w:rPr>
        <w:t>Available abstract (not full text):</w:t>
      </w:r>
      <w:r>
        <w:t xml:space="preserve"> The US Health and Human Services Secretary, RFK Junior, said in testimony to the House Labor-HHS Appropriations Subcommittee on 2026March14-15 in response to the heavily funded and fruitless amyloidal plaque focussed dementia research that: "We should have the cure for Alzheimer’s today. We don’t have it purely because of corruption at NIH. And we are going to have it quickly." So lets have a look at some of the evidence for the potential causes and potential cures for dementia and see if we can offer some alternative hypotheses for the NIH funders.</w:t>
      </w:r>
    </w:p>
    <w:p>
      <w:pPr/>
      <w:r>
        <w:rPr>
          <w:b/>
        </w:rPr>
        <w:t>POSSIBLE 2026:</w:t>
      </w:r>
      <w:r>
        <w:t xml:space="preserve"> New data showing dementia is Australia’s leading cause of death means we need to make brain health a national priority — https://doi.org/10.1016/j.anzjph.2026.100318</w:t>
      </w:r>
    </w:p>
    <w:p>
      <w:pPr/>
      <w:r>
        <w:rPr>
          <w:b/>
        </w:rPr>
        <w:t>Shared claim-specific concepts:</w:t>
      </w:r>
      <w:r>
        <w:t xml:space="preserve"> dementia, leading, cause, health, showing;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Burden of Dementia in Europe, 1990–2023: a systematic analysis from the Global Burden of Disease Study 2023 — https://doi.org/10.1016/j.lanepe.2026.101796</w:t>
      </w:r>
    </w:p>
    <w:p>
      <w:pPr/>
      <w:r>
        <w:rPr>
          <w:b/>
        </w:rPr>
        <w:t>Shared claim-specific concepts:</w:t>
      </w:r>
      <w:r>
        <w:t xml:space="preserve"> dementia, leading, cause, mortality, disease, burden; EU scope visible. This is a provisional connection, not an outcome finding.</w:t>
      </w:r>
    </w:p>
    <w:p>
      <w:pPr>
        <w:pStyle w:val="SourceNote"/>
      </w:pPr>
      <w:r>
        <w:rPr>
          <w:b/>
        </w:rPr>
        <w:t>Available abstract (not full text):</w:t>
      </w:r>
      <w:r>
        <w:t xml:space="preserve"> Background: Dementia is a leading cause of disability and mortality in Europe, yet no recent harmonised assessment has described its impact across the European Union (EU-27) and the WHO European Region. Methods: We used data from the Global Burden of Disease Study 2023 (GBD 2023) to estimate prevalence, mortality, and disability-adjusted life years (DALYs) for dementia from 1990 to 2023. Estimates were produced for the EU-27 and the WHO European Region, by age and sex. Non-fatal outcomes were modelled using DisMod-MR 2.1, and dementia-attributable mortality was estimated using an excess-mortality framework. We also quantified DALYs attributable to six modifiable risk factors. Findings: In 2023, 7.76 million people (95% UI 6.69-8.72) were living with dementia in the EU-27 and 12.28 million (10.44-13.90) in the WHO European Region, representing ∼90% increases since 1990 despite modest declines in age-standardised prevalence. Prevalence was nearly twice as high in women as in men. Dementia rose from the eighth to the third leading cause of death in the EU-27. Dementia accounted for 5.49 million DALYs (2.44-11.41) in the EU-27. An estimated 41% (24.4-57.4) of dementia DALYs in the EU-27 were attributable to modifiable risk factors, particularly ambient particulate matter pollution, high fasting plasma glucose, and high body-mass index, which are disproportionately concentrated in s</w:t>
      </w:r>
    </w:p>
    <w:p>
      <w:pPr/>
      <w:r>
        <w:rPr>
          <w:b/>
        </w:rPr>
        <w:t>POSSIBLE 2026:</w:t>
      </w:r>
      <w:r>
        <w:t xml:space="preserve"> Concurrence of Dementia and Mental Disorders Across Populational Epidemiology and Global Disease Burden Perspectives — https://doi.org/10.64898/2026.04.28.26351932</w:t>
      </w:r>
    </w:p>
    <w:p>
      <w:pPr/>
      <w:r>
        <w:rPr>
          <w:b/>
        </w:rPr>
        <w:t>Shared claim-specific concepts:</w:t>
      </w:r>
      <w:r>
        <w:t xml:space="preserve"> dementia, leading, disease, burden, health; EU scope visible. This is a provisional connection, not an outcome finding.</w:t>
      </w:r>
    </w:p>
    <w:p>
      <w:pPr>
        <w:pStyle w:val="SourceNote"/>
      </w:pPr>
      <w:r>
        <w:rPr>
          <w:b/>
        </w:rPr>
        <w:t>Available abstract (not full text):</w:t>
      </w:r>
      <w:r>
        <w:t xml:space="preserve"> ABSTRACT Background Dementia and mental disorders are leading causes of disease burden in middle-aged and older adults. Existing evidence suggests close clinical and epidemiological associations between dementia and mental disorders. We aimed to characterize the concurrent features of dementia and eight mental disorders at both the individual level and the population level (temporal and spatial patterns of global burden of disease co-existence and co-occurrence). Methods The study utilized data from the UK Biobank (UKB, N=502461, 2006-2021) and Global Burden of Disease (GBD, 204 countries, 1990-2021). In UKB, Cox models were used to explore associations between mental disorders and dementia and shared risk factors between the two conditions. In GBD, multi-state Markov models were constructed to quantify the expected time of concurrent burden. Results There was a substantial concurrence between dementia and mental disorders, along with causal associations and shared risk factors at the individual level. At the country level, although a trend of decreased prevalence and incidence of dementia was observed in most regions over the past 31 years, dementia demonstrated greater co-existence burden of neurodevelopmental disorders (especially attention-deficit/hyperactivity disorder and idiopathic developmental intellectual disability) in Middle East and North Africa. In high-socio-demo</w:t>
      </w:r>
    </w:p>
    <w:p>
      <w:pPr/>
      <w:r>
        <w:rPr>
          <w:b/>
        </w:rPr>
        <w:t>POSSIBLE 2026:</w:t>
      </w:r>
      <w:r>
        <w:t xml:space="preserve"> Population attributable fractions of a wide range of peripheral diseases for the burden of dementia — https://doi.org/10.25405/ncl.34541268</w:t>
      </w:r>
    </w:p>
    <w:p>
      <w:pPr/>
      <w:r>
        <w:rPr>
          <w:b/>
        </w:rPr>
        <w:t>Shared claim-specific concepts:</w:t>
      </w:r>
      <w:r>
        <w:t xml:space="preserve"> dementia, leading, disease, burden, health; EU scope not established. This is a provisional connection, not an outcome finding.</w:t>
      </w:r>
    </w:p>
    <w:p>
      <w:pPr>
        <w:pStyle w:val="SourceNote"/>
      </w:pPr>
      <w:r>
        <w:rPr>
          <w:b/>
        </w:rPr>
        <w:t>Available abstract (not full text):</w:t>
      </w:r>
      <w:r>
        <w:t xml:space="preserve"> © The Author(s), under exclusive licence to Springer Nature Limited 2026. Growing evidence suggests that peripheral diseases serve as risk factors for dementia, but the population-level burden of dementia associated with various peripheral diseases has remained unknown. Here, by conducting a systematic review and Bayesian meta-analyses to estimate the relative risks of 26 peripheral diseases across 9 systems with dementia, including 202 articles searched from the PubMed until 6 September 2024, we identified 16 peripheral diseases as associated with increased risk of dementia. With the relative risks estimated from meta-analyses, prevalences extracted from the Global Burden of Disease Study, and communalities among these 16 peripheral diseases derived from the UK Biobank, we analysed the population attributable fractions (PAFs) of these 16 peripheral diseases for dementia, stratified by sex, age, sociodemographic index level, world region and country, and trends from 1990 to 2021. Globally, these peripheral diseases collectively were related to a combined PAF of 33.18% (95% confidence interval (CI) 16.80–48.43) of dementia burden, corresponding to 18.8 million prevalent cases. The leading ten PAF contributors were periodontal diseases (6.10%, 95% CI 0.95–10.28), cirrhosis and other chronic liver diseases (5.51%, 95% CI 1.77–8.86), age-related and other hearing loss (4.70%, 95% C</w:t>
      </w:r>
    </w:p>
    <w:p>
      <w:pPr/>
      <w:r>
        <w:rPr>
          <w:b/>
        </w:rPr>
        <w:t>POSSIBLE 2026:</w:t>
      </w:r>
      <w:r>
        <w:t xml:space="preserve"> Global burden of disease due to young-onset dementia and the forecast for 2050: update from global burden of disease study 2021 — https://doi.org/10.1080/13696998.2026.2646088</w:t>
      </w:r>
    </w:p>
    <w:p>
      <w:pPr/>
      <w:r>
        <w:rPr>
          <w:b/>
        </w:rPr>
        <w:t>Shared claim-specific concepts:</w:t>
      </w:r>
      <w:r>
        <w:t xml:space="preserve"> dementia, leading, disease, burden, groups; EU scope not established. This is a provisional connection, not an outcome finding.</w:t>
      </w:r>
    </w:p>
    <w:p>
      <w:pPr>
        <w:pStyle w:val="SourceNote"/>
      </w:pPr>
      <w:r>
        <w:rPr>
          <w:b/>
        </w:rPr>
        <w:t>Available abstract (not full text):</w:t>
      </w:r>
      <w:r>
        <w:t xml:space="preserve"> OBJECTIVE: The prevalence of young-onset dementia (YOD) is increasing worldwide, leading to greater economic and social burden, necessitating strategic management and prevention. MATERIALS AND METHODS: Using GBD 2021 data, disability-adjusted life years (DALYs) rates were analyzed by age, sex, and risk factors across five age groups. ARIMA and Bayesian models were applied to predict disease burden through 2050. RESULTS: From 1990 to 2021, disease burden increased in both sexes aged ≥55 years, with the greatest rise in the 55-59 group. DALYs rates were consistently higher in females, peaking in the 60-64 group. High fasting plasma glucose was the leading risk factor. Model performance varied by sex and age; applying the best-fitting models indicated a continued increase in burden, particularly among females. CONCLUSIONS: YOD burden has risen over time and is associated with modifiable factors such as high blood glucose and body mass index. The increasing trend is expected to persist, highlighting the need for effective management strategies to reduce future socioeconomic impact.</w:t>
      </w:r>
    </w:p>
    <w:p>
      <w:pPr/>
      <w:r>
        <w:rPr>
          <w:b/>
        </w:rPr>
        <w:t>POSSIBLE 2026:</w:t>
      </w:r>
      <w:r>
        <w:t xml:space="preserve"> Dementia on Screen — https://doi.org/10.5040/9781350553255</w:t>
      </w:r>
    </w:p>
    <w:p>
      <w:pPr/>
      <w:r>
        <w:rPr>
          <w:b/>
        </w:rPr>
        <w:t>Shared claim-specific concepts:</w:t>
      </w:r>
      <w:r>
        <w:t xml:space="preserve"> dementia, leading, cause, disease, care; EU scope not established. This is a provisional connection, not an outcome finding.</w:t>
      </w:r>
    </w:p>
    <w:p>
      <w:pPr>
        <w:pStyle w:val="SourceNote"/>
      </w:pPr>
      <w:r>
        <w:rPr>
          <w:b/>
        </w:rPr>
        <w:t>Available abstract (not full text):</w:t>
      </w:r>
      <w:r>
        <w:t xml:space="preserve"> This is a book about the stories that films tell about dementia and the varied ways it’s depicted in films from around the world. Dementia is a progressive disease linked to ageing which ranks among the leading causes of death worldwide, for which the cause remains unknown and there is no cure. Drawing on its incidence in his own family, Michael Chanan explores how films represent the condition: what they show, how they show it, and what they don’t show and steer away from. Set within medical, social, cultural, economic and political contexts, the book surveys both the modes of documentary and the varieties of fiction, from tragedy and melodrama to black comedy and the thriller. It also traces the contrast between the medicalisation of dementia dominating films from the Global North and those from the Global South, where medicalisation and social care are underdeveloped, and the sufferer is perceived less as an atomised individual than as inextricably interwoven with the social order.</w:t>
      </w:r>
    </w:p>
    <w:p>
      <w:pPr/>
      <w:r>
        <w:rPr>
          <w:b/>
        </w:rPr>
        <w:t>POSSIBLE 2025:</w:t>
      </w:r>
      <w:r>
        <w:t xml:space="preserve"> Dementia is a neglected noncommunicable disease and leading cause of death — https://doi.org/10.1038/s41582-024-01051-w</w:t>
      </w:r>
    </w:p>
    <w:p>
      <w:pPr/>
      <w:r>
        <w:rPr>
          <w:b/>
        </w:rPr>
        <w:t>Shared claim-specific concepts:</w:t>
      </w:r>
      <w:r>
        <w:t xml:space="preserve"> dementia, leading, cause, disease;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Dementia is now the leading cause of death in Australia. But why is it fatal? — https://doi.org/10.64628/aa.ykgeqx5n6</w:t>
      </w:r>
    </w:p>
    <w:p>
      <w:pPr/>
      <w:r>
        <w:rPr>
          <w:b/>
        </w:rPr>
        <w:t>Shared claim-specific concepts:</w:t>
      </w:r>
      <w:r>
        <w:t xml:space="preserve"> dementia, leading, cause;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Health inequalities in disease burden of dementia and early-onset dementia: findings from the Global Burden of Disease 2021 study — https://doi.org/10.1186/s41256-025-00417-x</w:t>
      </w:r>
    </w:p>
    <w:p>
      <w:pPr/>
      <w:r>
        <w:rPr>
          <w:b/>
        </w:rPr>
        <w:t>Shared claim-specific concepts:</w:t>
      </w:r>
      <w:r>
        <w:t xml:space="preserve"> dementia, mortality, disease, burden, health; EU scope not established. This is a provisional connection, not an outcome finding.</w:t>
      </w:r>
    </w:p>
    <w:p>
      <w:pPr>
        <w:pStyle w:val="SourceNote"/>
      </w:pPr>
      <w:r>
        <w:rPr>
          <w:b/>
        </w:rPr>
        <w:t>Available abstract (not full text):</w:t>
      </w:r>
      <w:r>
        <w:t xml:space="preserve"> BACKGROUND: Given the increasing aging global population and advancements in dementia action plans, the latest disparities in the dementia burden may evolve. This study aimed to analyze and compare temporal trends at regional, national, and sociodemographic levels to provide evidence for public health planning and resource prioritization. METHODS: The age-standardized prevalence rate (ASPR), age-standardized incidence rate (ASIR), age-standardized mortality rate (ASMR), and age-standardized disability-adjusted life years (DALYs) rate (ASDR) were derived from the Global Burden of Disease 2021 study. Estimated annual percentage changes (EAPCs) were calculated to quantify their temporal trends. Correlations between EAPC and the human resources for health (HRH) were assessed using Pearson correlation analysis. RESULTS: Although the ASPR and ASIR remained stable or decreased globally, they both greatly increased in East Asia (ASPR: EAPC = 0.43; 95% CI 0.35, 0.51; ASIR: EAPC = 0.40; 95% CI 0.33, 0.47). For early-onset dementia, the ASPR (range of EAPC = 0.03-0.17) and ASIR (range of EAPC = 0.05-0.19) in the 45 to 59 years age group increased in North Africa and Middle East, particularly among females (ASPR: range of EAPC = 0.08-0.21; ASIR: range of EAPC = 0.09-0.2). Although the ASMR and ASDR both decreased globally and in high socio-demographic index region, they both increased grea</w:t>
      </w:r>
    </w:p>
    <w:p>
      <w:pPr/>
      <w:r>
        <w:rPr>
          <w:b/>
        </w:rPr>
        <w:t>POSSIBLE 2024:</w:t>
      </w:r>
      <w:r>
        <w:t xml:space="preserve"> The global macroeconomic burden of Alzheimer's disease and other dementias: estimates and projections for 152 countries or territories — https://doi.org/10.1016/s2214-109x(24)00264-x</w:t>
      </w:r>
    </w:p>
    <w:p>
      <w:pPr/>
      <w:r>
        <w:rPr>
          <w:b/>
        </w:rPr>
        <w:t>Shared claim-specific concepts:</w:t>
      </w:r>
      <w:r>
        <w:t xml:space="preserve"> mortality, disease, burden, health, care; EU scope not established. This is a provisional connection, not an outcome finding.</w:t>
      </w:r>
    </w:p>
    <w:p>
      <w:pPr>
        <w:pStyle w:val="SourceNote"/>
      </w:pPr>
      <w:r>
        <w:rPr>
          <w:b/>
        </w:rPr>
        <w:t>Available abstract (not full text):</w:t>
      </w:r>
      <w:r>
        <w:t xml:space="preserve"> BACKGROUND: Alzheimer's disease and other dementias (ADODs) severely threaten the wellbeing of older people, their families, and communities, especially with projected exponential growth. Understanding the macroeconomic implications of ADODs for policy making is essential but under-researched. METHODS: We used a health-augmented macroeconomic model to calculate the macroeconomic burden of ADODs for 152 countries or territories, accounting for: the effect on labour supply of reduced working hours of informal caregivers; the effect on labour supply of ADODs-related mortality and morbidity; age-sex-specific differences in education, work experience, labour market participations, and informal caregivers; and treatment and formal care costs diverting from savings and investments. FINDINGS: ADODs will cost the world economy 14 513 billion international dollars (INT$, measured in the base year 2020; 95% uncertainty interval [UI] 12 106-17 778) from 2020 to 2050, equivalent to 0·421% (95% UI 0·351-0·515) of annual global GDP. Japan incurs the largest annual GDP loss at 1·463% (1·225-1·790). China (INT$2961 billion [2507-3564]), the USA (INT$2331 billion [1989-2829]), and Japan (INT$1758 billion [1471-2150]) face the largest absolute economic burdens. The economic burden of informal care ranges from 60·97% in high-income countries to 85·45% in lower-middle-income countries, and treatmen</w:t>
      </w:r>
    </w:p>
    <w:p>
      <w:pPr>
        <w:pStyle w:val="Heading2"/>
      </w:pPr>
      <w:r>
        <w:t>654. ENERGY: DEVELOPMENT FORECASTS, BIFURCATION POINTS (OVERVIEW)</w:t>
      </w:r>
    </w:p>
    <w:p>
      <w:pPr>
        <w:pStyle w:val="SourceNote"/>
      </w:pPr>
      <w:r>
        <w:rPr>
          <w:b/>
        </w:rPr>
        <w:t>Original source (2020):</w:t>
      </w:r>
      <w:r>
        <w:t xml:space="preserve"> https://doi.org/10.31472/ttpe.4.2020.7</w:t>
      </w:r>
    </w:p>
    <w:p>
      <w:pPr/>
      <w:r>
        <w:t>Original wording (abstract; indexed_source_text_not_full_document_verified): Global political changes in the USSR and in the world (the era of "perestroika", the collapse of the USSR and the entire socialist camp) made it impossible to fulfill the main provisions of the USSR Energy Program for the long term and the republican target complex scientific and technical program "Energocomplex", as well as the creation of a new production technology electric power (thermal power plant with combined cycle - MHD generator as a superstructure above the steam power unit). 2020 may also be a bifurcation point in the development of energy in the world and in the regions. Suggestions are made for the need to support the energy strategy, including the energy strategy adopted in Ukraine in 2017 for the period up to 2035, by working documents - operational sliding forecast plans (roadmaps) to manage and monitor its implementation at intermediate time intervals, creating perhaps a specialized structure for these purposes.</w:t>
      </w:r>
    </w:p>
    <w:p>
      <w:pPr/>
      <w:r>
        <w:rPr>
          <w:b/>
        </w:rPr>
        <w:t>POSSIBLE 2026:</w:t>
      </w:r>
      <w:r>
        <w:t xml:space="preserve"> CLIMATE CHANGE AND GLOBAL POLITICS IN CONTEMPORARY AGE — https://doi.org/10.56815/ijmrr.v5i7.2026.395-411</w:t>
      </w:r>
    </w:p>
    <w:p>
      <w:pPr/>
      <w:r>
        <w:rPr>
          <w:b/>
        </w:rPr>
        <w:t>Shared claim-specific concepts:</w:t>
      </w:r>
      <w:r>
        <w:t xml:space="preserve"> political, energy, well; EU scope not established. This is a provisional connection, not an outcome finding.</w:t>
      </w:r>
    </w:p>
    <w:p>
      <w:pPr>
        <w:pStyle w:val="SourceNote"/>
      </w:pPr>
      <w:r>
        <w:rPr>
          <w:b/>
        </w:rPr>
        <w:t>Available abstract (not full text):</w:t>
      </w:r>
      <w:r>
        <w:t xml:space="preserve"> This study examined the relationship between climate change and global politics in the contemporary age. The method of systematic literature review was applied to analyse the recent academic research that was published in the period between 2020 and 2025. The major databases were searched to gather articles, which were filtered according to PRISMA rules and analysed via thematic analysis. According to the findings, climate change influences international cooperation, diplomacy, energy policy, as well as global governance. Climate action and the creation of a common goal are assisted by global institutions and climate agreements, helping countries to coordinate action and create goals. Nonetheless, effective standards to enforce climate policies remain stifled by political issues, economic gains, and societal polarisation. The paper stated that effective climate action requires more international cooperation and fully committed political action. The review leads to comprehending climate change as an environmental and political issue.</w:t>
      </w:r>
    </w:p>
    <w:p>
      <w:pPr/>
      <w:r>
        <w:rPr>
          <w:b/>
        </w:rPr>
        <w:t>POSSIBLE 2026:</w:t>
      </w:r>
      <w:r>
        <w:t xml:space="preserve"> Ideological Foundations of the Militarization of World Politics in a Multipolar Era — https://doi.org/10.53658/rw2026-4-2(20)-24-34</w:t>
      </w:r>
    </w:p>
    <w:p>
      <w:pPr/>
      <w:r>
        <w:rPr>
          <w:b/>
        </w:rPr>
        <w:t>Shared claim-specific concepts:</w:t>
      </w:r>
      <w:r>
        <w:t xml:space="preserve"> political, world, era, main, scientific; EU scope not established. This is a provisional connection, not an outcome finding.</w:t>
      </w:r>
    </w:p>
    <w:p>
      <w:pPr>
        <w:pStyle w:val="SourceNote"/>
      </w:pPr>
      <w:r>
        <w:rPr>
          <w:b/>
        </w:rPr>
        <w:t>Available abstract (not full text):</w:t>
      </w:r>
      <w:r>
        <w:t xml:space="preserve"> The article provides a comprehensive analysis of the transformation of the ideological foundations of the militarized politics in the multipolar era, which allows us to identify key trends and patterns in this field. Scientific ideas about the spiritual roots of traditional and imperialist militarism are being systematized, which allows for a deeper understanding of the nature and functioning of these mechanisms. Based on the analysis of the achievements of political thought, it is concluded that there is an inherent militaristic potential in the context of modern global transformations. The results of the study emphasize the need to take into account moral, ideological, and political aspects when determining the level of militarization in the world community during the transition from a post-bipolar world order to a multipolar system. The article proves the close relationship between the development of the spiritual sphere of international relations and the content of military-political expansionism in the postmodern era, which makes it possible to identify dialectical prerequisites for the development and limitations of militarism in the context of globalization. There is a mimicry of militaristic manifestations in post-industrial countries that are successfully adapting to modern realities, which indicates the ability of militarism to evolve and expand its technological and </w:t>
      </w:r>
    </w:p>
    <w:p>
      <w:pPr/>
      <w:r>
        <w:rPr>
          <w:b/>
        </w:rPr>
        <w:t>POSSIBLE 2026:</w:t>
      </w:r>
      <w:r>
        <w:t xml:space="preserve"> Women's Political Engagement and Empowerment in a Globalized World: The Indian Experience — https://doi.org/10.5281/zenodo.18943598</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Abstract: Historically, women’s participation in governance has been restricted by patriarchal norms and institutional barriers. While early intellectual movements laid the groundwork, it was the late 20th-century activism that successfully began dismantling male -dominated political monopolies. In today’s globalized world, the focus has shifted toward gender justice and social inclusion. Empowerment is no longer viewed just as a social goal but as a democratic and developmental necessity. For India, this era offers a unique opportunity to translate educational and institutional growth into meaningful engagement. However, true progress requires moving beyond institutional reform to transform deepseated societal attitudes. To achieve genuine socio-economic equity in the 21st century, women must be recognized not as passive beneficiaries, but as active agents of change who are essential to a robust and inclusive democracy.</w:t>
      </w:r>
    </w:p>
    <w:p>
      <w:pPr/>
      <w:r>
        <w:rPr>
          <w:b/>
        </w:rPr>
        <w:t>POSSIBLE 2025:</w:t>
      </w:r>
      <w:r>
        <w:t xml:space="preserve"> Bodily Autonomy and Identity Politics: Feminist Approaches in the Era of Global Political Changes : Editors’ Note — https://openalex.org/W7125467776</w:t>
      </w:r>
    </w:p>
    <w:p>
      <w:pPr/>
      <w:r>
        <w:rPr>
          <w:b/>
        </w:rPr>
        <w:t>Shared claim-specific concepts:</w:t>
      </w:r>
      <w:r>
        <w:t xml:space="preserve"> political, era, main; EU scope not established. This is a provisional connection, not an outcome finding.</w:t>
      </w:r>
    </w:p>
    <w:p>
      <w:pPr>
        <w:pStyle w:val="SourceNote"/>
      </w:pPr>
      <w:r>
        <w:rPr>
          <w:b/>
        </w:rPr>
        <w:t>Available abstract (not full text):</w:t>
      </w:r>
      <w:r>
        <w:t xml:space="preserve"> Our intention for this special issue of the AM Journal of Art and Media Studies was to offer a platform for voices that are rarely heard in public discourse, and to present topics that are of great importance primarily to the feminist and queer communities, but also to the society as a whole – because no one is free and safe until we are all free and safe. Collected papers in this issue deal with feminist and queer topics belonging to various social contexts. The main topic is divided into three thematic units. The first unit comprises texts describing feminist and related progressive movements. The second thematic unit focuses on anti-gender movements and transfeminist resistance against them. The third thematic unit is dedicated to the feminist and queer analyses of various artistic formats.</w:t>
      </w:r>
    </w:p>
    <w:p>
      <w:pPr/>
      <w:r>
        <w:rPr>
          <w:b/>
        </w:rPr>
        <w:t>POSSIBLE 2025:</w:t>
      </w:r>
      <w:r>
        <w:t xml:space="preserve"> POLITICS OF THE INDIAN OCEAN AFTER WORLD WAR II TO THE ERA OF GLOBALIZATION — https://openalex.org/W7217302936</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The Indian Ocean region has historically been a vital arena of global strategic, economic, and political competition. Since the end of World War II, the region has undergone significant transformation due to decolonization, Cold War rivalry, and the rise of globalization. Rich in natural resources and traversed by critical sea-lanes of communication, the Indian Ocean has attracted major powers seeking strategic dominance and economic advantage. The presence of competing military powers, fragile littoral states, and transnational challenges such as piracy and terrorism have further complicated the regional dynamics. This paper examines the evolving geopolitics of the Indian Ocean from the post–World War II period to the contemporary era of globalization, with particular focus on the role of external powers, littoral state politics, maritime security, and India’s strategic position.</w:t>
      </w:r>
    </w:p>
    <w:p>
      <w:pPr/>
      <w:r>
        <w:rPr>
          <w:b/>
        </w:rPr>
        <w:t>POSSIBLE 2025:</w:t>
      </w:r>
      <w:r>
        <w:t xml:space="preserve"> The Political Relevance of Kartosuwiryo's Hijrah in the Global Context: Inspiration for Struggle in the Modern Era — https://doi.org/10.24090/jihm.v4i1.13073</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Sekarmadji Maridjan Kartosuwiryo, familiarly called Kartosuwiryo, was the proclamator of the Islamic State of Indonesia. Kartosuwiryo believed Islam had a significant influence on every aspect of human life. The idea he wanted to realize was establishing the Islamic State of Indonesia, and hijrah politics was one of Kartosuwiryo's efforts toward the Islamic State of Indonesia. This article will analyze the basic concept of the hijrah political thought of Sekarmadji Maridjan Kartosuwiryo in establishing the Islamic State of Indonesia. The method used is qualitative, with literature studies such as books, journals, articles, and others. In addition, the author uses a historical approach and the construction of a day approach to explore information about Kartosuwiryo's hijrah politics. The results showed that Kartosuwiryo's hijrah politics was an Islamic-based struggle to build a state with laws and order based on the Qur'an. This concept remains relevant to address modern global challenges, such as migration, religious identity, and cross-cultural solidarity. In addition, this article also shows that the politics of hijrah is not only a strategy of resistance against colonialism but also has relevance in the modern era. Hijrah can be translated as an effort to create social transformation, such as community empowerment, cross-cultural solidarity, and humane management of global m</w:t>
      </w:r>
    </w:p>
    <w:p>
      <w:pPr/>
      <w:r>
        <w:rPr>
          <w:b/>
        </w:rPr>
        <w:t>POSSIBLE 2025:</w:t>
      </w:r>
      <w:r>
        <w:t xml:space="preserve"> Speaking Truth to Power: Language, Politics, and Human Rights in a Globalized World — https://doi.org/10.33682/f3dn-v7tx</w:t>
      </w:r>
    </w:p>
    <w:p>
      <w:pPr/>
      <w:r>
        <w:rPr>
          <w:b/>
        </w:rPr>
        <w:t>Shared claim-specific concepts:</w:t>
      </w:r>
      <w:r>
        <w:t xml:space="preserve"> political, world, complex; EU scope visible. This is a provisional connection, not an outcome finding.</w:t>
      </w:r>
    </w:p>
    <w:p>
      <w:pPr>
        <w:pStyle w:val="SourceNote"/>
      </w:pPr>
      <w:r>
        <w:rPr>
          <w:b/>
        </w:rPr>
        <w:t>Available abstract (not full text):</w:t>
      </w:r>
      <w:r>
        <w:t xml:space="preserve"> This article investigates linguistic socio-political structures in a globalized world, focusing on the intersections between language policy, ideology, and socio-political disturbances. It examines cases of linguistic suppression in Franco-era Spain and communist China to explore similarities in language policy in authoritarian contexts. A comparison of English and Portuguese lects serves to explore language ideologies within the context of social and cultural hierarchies. This article highlights the complex relationship between legal and social aspects of language discrimination within nation-states and linguistic cultures; it argues that understanding these linguistic socio-political structures can serve not only to better understand a political context, but as a bellwether for minority rights and human rights violations.</w:t>
      </w:r>
    </w:p>
    <w:p>
      <w:pPr/>
      <w:r>
        <w:rPr>
          <w:b/>
        </w:rPr>
        <w:t>POSSIBLE 2025:</w:t>
      </w:r>
      <w:r>
        <w:t xml:space="preserve"> Globalization and Youth: Transnational Migration as a Factor of Political Changes — https://doi.org/10.32523/2616-6887-2025-153-4-47-58</w:t>
      </w:r>
    </w:p>
    <w:p>
      <w:pPr/>
      <w:r>
        <w:rPr>
          <w:b/>
        </w:rPr>
        <w:t>Shared claim-specific concepts:</w:t>
      </w:r>
      <w:r>
        <w:t xml:space="preserve"> political, main; EU scope not established. This is a provisional connection, not an outcome finding.</w:t>
      </w:r>
    </w:p>
    <w:p>
      <w:pPr>
        <w:pStyle w:val="SourceNote"/>
      </w:pPr>
      <w:r>
        <w:rPr>
          <w:b/>
        </w:rPr>
        <w:t>Available abstract (not full text):</w:t>
      </w:r>
      <w:r>
        <w:t xml:space="preserve"> The article defines the role of migration in the development of civil society, in the formation of transnational networks, in changing the priorities of public policy that include the issues of publicity and implementation to global challenges. The aim of the article is defining the causes, changes and factors that influence on youth migration and assessment of its impacts on the enhancement of civil society, democratization and transformation of public policy. The article examines the impact of globalization and the transnational migration of youth on political changes in Kazakhstan. The study examines the links between globalization processes, migration flows of youth and the transformation of political systems in our country and host countries. Particular attention is paid to the development of proposals for optimizing migration and youth policies in Kazakhstan in the context of globalization. Particular attention is also paid to the analysis of the characteristics of youth migration in Kazakhstan, including the causes of migration processes, their socio-economic and political consequences. The study is based on a comprehensive analysis of theoretical concepts, statistical data and Kazakhstani experience, taking into account the characteristics of the political and socio-economic system of the country. The findings determine the need to develop effective strategies for migra</w:t>
      </w:r>
    </w:p>
    <w:p>
      <w:pPr/>
      <w:r>
        <w:rPr>
          <w:b/>
        </w:rPr>
        <w:t>POSSIBLE 2024:</w:t>
      </w:r>
      <w:r>
        <w:t xml:space="preserve"> Changing Perspective Of Political Science Education In The Era Of Globalization: A Study — https://doi.org/10.53555/jrtdd.v5i1.3081</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In recent decades, globalization has significantly reshaped the field of political science education, prompting a re-evaluation of curricular content and pedagogical approaches. This study investigates the changing perspectives of political science education in the era of globalization, emphasizing the need for a curriculum that reflects the complexities and interconnectivity of global issues. The research employs a mixed-methods approach, including qualitative interviews with educators from various academic institutions and quantitative surveys distributed to students. This comprehensive methodology enables an in-depth understanding of both instructor and student perceptions regarding the relevance of globalization within political science. Key findings of the study reveal that political science curricula have increasingly integrated global perspectives to better prepare students for modern citizenship and professional roles. Educators reported a shift toward incorporating topics such as international relations, human rights, environmental politics, and transnational movements into their courses. This change reflects a consensus among faculty that an understanding of global dynamics is essential for students aspiring to engage meaningfully with contemporary political challenges. Conversely, students expressed a strong desire for content that addresses real-world issues but als</w:t>
      </w:r>
    </w:p>
    <w:p>
      <w:pPr/>
      <w:r>
        <w:rPr>
          <w:b/>
        </w:rPr>
        <w:t>POSSIBLE 2024:</w:t>
      </w:r>
      <w:r>
        <w:t xml:space="preserve"> Between Worlds: The Making of Global Identities in the Migration Era — https://doi.org/10.62311/nesx/97801</w:t>
      </w:r>
    </w:p>
    <w:p>
      <w:pPr/>
      <w:r>
        <w:rPr>
          <w:b/>
        </w:rPr>
        <w:t>Shared claim-specific concepts:</w:t>
      </w:r>
      <w:r>
        <w:t xml:space="preserve"> political, era, complex; EU scope not established. This is a provisional connection, not an outcome finding.</w:t>
      </w:r>
    </w:p>
    <w:p>
      <w:pPr>
        <w:pStyle w:val="SourceNote"/>
      </w:pPr>
      <w:r>
        <w:rPr>
          <w:b/>
        </w:rPr>
        <w:t>Available abstract (not full text):</w:t>
      </w:r>
      <w:r>
        <w:t xml:space="preserve"> Abstract: This chapter, "Between Worlds: The Making of Global Identities in the Migration Era," examines the complex interplay between migration and identity formation within the global context. It delves into how the act of migration reshapes the identities of individuals and groups, navigating through a myriad of socio-cultural, economic, and political landscapes. Drawing on a diverse range of theoretical frameworks and empirical studies, the chapter explores the transformative processes that migrants undergo as they adapt to new environments while maintaining ties to their homelands. It highlights the role of transnational networks, the impact of host and home country policies, and the personal negotiations of belonging and identity among migrants. This analysis not only illuminates the challenges faced by migrants but also showcases the dynamic creation of hybrid identities that contribute to the rich tapestry of global multiculturalism. The chapter aims to provide a nuanced understanding of the ongoing and complex nature of identity transformation in the migration era, offering insights into the broader implications for integration policies and multicultural coexistence. Keywords: Migration,Identity Formation,Transnationalism,Cultural Hybridity,Globalization,Integration Policies,Multiculturalism,Socio-Cultural Adaptation ,Diaspora Communities and Ethnic Identity.</w:t>
      </w:r>
    </w:p>
    <w:p>
      <w:pPr/>
      <w:r>
        <w:rPr>
          <w:b/>
        </w:rPr>
        <w:t>POSSIBLE 2024:</w:t>
      </w:r>
      <w:r>
        <w:t xml:space="preserve"> Globalization and Transformations in the World Politics: Global Politics, Global Governance, Geopolitics, and International Politics. — https://openalex.org/W4406290880</w:t>
      </w:r>
    </w:p>
    <w:p>
      <w:pPr/>
      <w:r>
        <w:rPr>
          <w:b/>
        </w:rPr>
        <w:t>Shared claim-specific concepts:</w:t>
      </w:r>
      <w:r>
        <w:t xml:space="preserve"> political, world, collapse, scientific; EU scope not established. This is a provisional connection, not an outcome finding.</w:t>
      </w:r>
    </w:p>
    <w:p>
      <w:pPr>
        <w:pStyle w:val="SourceNote"/>
      </w:pPr>
      <w:r>
        <w:rPr>
          <w:b/>
        </w:rPr>
        <w:t>Available abstract (not full text):</w:t>
      </w:r>
      <w:r>
        <w:t xml:space="preserve"> This article is a focus on Globalization of the economy, which has become, over the past four decades, a new field of study in world politics. Its impact on the world order draws all eyes to the political system put in place since the end of the Second World War and the collapse of the Soviet Union, marking the end of the Cold War and the rise of the United States on the international arena. It encompasses all human activities related to production, economy, trade, finance and even migration. Globalization is the fruit of liberal democracy promoted by the Western civilization, which proclaims individualism, that means, people are born equal and free, which freedom is more important than justice and authority, and then, since people are capable of reasoning, this leads them to self-actualization and prosperity. The right to freedom and self-determination of peoples become the cornerstone of the neoliberal ideology that promotes the principles of economic liberalization, that is, the rights of states and peoples to productivity, commercialization and privatization of the economy. The principles that allowed the re-foundation of the State, born with the Treaty of Westphalia in 1648, putting an end to private or religious wars, and enshrining the principles of territoriality, sovereignty and self-determination, have admitted that States can no longer continue to remain hidden behin</w:t>
      </w:r>
    </w:p>
    <w:p>
      <w:pPr/>
      <w:r>
        <w:rPr>
          <w:b/>
        </w:rPr>
        <w:t>POSSIBLE 2024:</w:t>
      </w:r>
      <w:r>
        <w:t xml:space="preserve"> State and politics in the transitional era of globalization: Twisting and turning toward authoritarian and hybrid regimes — https://doi.org/10.1111/polp.12603</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Abstract Beyond its discontented thesis, globalization has had a difficult time in the last few years, owing to the global financial crises of 2008–2009 when its vacuous premises and promises were widely contested for being an unfair deal. The recent rise of nationalist and populist movements across the West and the East, boosted by the COVID‐19 pandemic, now threatens its survival. However, globalization experts are largely divided in charting its future; while some predict the demise of the existing world order, others believe globalization will continue with some restructuring. By analyzing the global political dynamics and reviewing political and scholarly news and views, we argue that globalization is currently undergoing a transitional era with a new paradox—one characterized by the emergence of a multipolar world but with local identity and tradition‐based politics. The upshot is that the state with the border is re‐emerging alongside authoritarian and hybrid regimes. Related Articles Kane, John, and Haig Patapan. 2010. “Recovering Justice: Political Legitimacy Reconsidered.” Politics &amp; Policy 38(3): 589–610. https://doi.org/10.1111/j.1747‐1346.2010.00250.x . Quinn, Adam. 2007. “The Great Illusion: Chimeras of Isolationism and Realism in Post‐Iraq U.S. Foreign Policy.” Politics &amp; Policy 35(3): 522–47. https://doi.org/10.1111/j.1747‐1346.2007.00071.x . Zaidi, Syed Muhamma</w:t>
      </w:r>
    </w:p>
    <w:p>
      <w:pPr>
        <w:pStyle w:val="Heading2"/>
      </w:pPr>
      <w:r>
        <w:t>655. EU land use futures: modelling food, bioenergy and carbon dynamics</w:t>
      </w:r>
    </w:p>
    <w:p>
      <w:pPr>
        <w:pStyle w:val="SourceNote"/>
      </w:pPr>
      <w:r>
        <w:rPr>
          <w:b/>
        </w:rPr>
        <w:t>Original source (2020):</w:t>
      </w:r>
      <w:r>
        <w:t xml:space="preserve"> https://doi.org/10.1016/j.esr.2020.100545</w:t>
      </w:r>
    </w:p>
    <w:p>
      <w:pPr/>
      <w:r>
        <w:t>Original wording (abstract; indexed_source_text_not_full_document_verified): We demonstrate that changes in types and quantities of food consumed and reductions in food wastes along with sustainable bioenergy and forestry dynamics would materially assist the EU in meeting its 2050 climate mitigation obligations. This paper presents an original system dynamics model, which aims to assess how changes in diet, agricultural practices, bioenergy and forestry could help reduce greenhouse gas emissions.</w:t>
      </w:r>
    </w:p>
    <w:p>
      <w:pPr/>
      <w:r>
        <w:rPr>
          <w:b/>
        </w:rPr>
        <w:t>POSSIBLE 2026:</w:t>
      </w:r>
      <w:r>
        <w:t xml:space="preserve"> European runoff drought event types: From historical classification to projected future changes — https://doi.org/10.5194/egusphere-2026-973</w:t>
      </w:r>
    </w:p>
    <w:p>
      <w:pPr/>
      <w:r>
        <w:rPr>
          <w:b/>
        </w:rPr>
        <w:t>Shared claim-specific concepts:</w:t>
      </w:r>
      <w:r>
        <w:t xml:space="preserve"> demonstrate, types, climate, assess; EU scope visible. This is a provisional connection, not an outcome finding.</w:t>
      </w:r>
    </w:p>
    <w:p>
      <w:pPr>
        <w:pStyle w:val="SourceNote"/>
      </w:pPr>
      <w:r>
        <w:rPr>
          <w:b/>
        </w:rPr>
        <w:t>Available abstract (not full text):</w:t>
      </w:r>
      <w:r>
        <w:t xml:space="preserve"> Abstract. European drought events have intensified in recent decades, raising concerns about water resources, agriculture, and ecosystem health. Most existing continental-scale drought assessments provide limited attribution of drought changes to the processes that generate runoff drought, which constrains understanding of how these processes will evolve in a warming climate. In this study, we provide the first continental-scale assessment of future changes in runoff drought generation processes across Europe, focusing on rainfall deficit, rain-to-snow and wet-to-dry season transitions, and snow-related processes. We used a continental-scale hydrological model in combination with observed meteorological data and climate simulations (GCMs) under a middle-of-the-road emission scenario (i.e., RCP4.5, ≈2 °C global warming by 2100). Unlike widely used aggregated drought index-based studies, our mechanism-specific classification approach distinguishes the physical drivers of drought events by classifying runoff droughts into seven event types based on their severity, duration, and frequency and leverages spatial clustering analysis (Getis–Ord G∗i method) to assess the climate responses. Our analysis reveals considerable regional differences in drought mechanisms and their responses. Historical observations (1971–2000) highlight that Mediterranean Europe experiences the most severe dr</w:t>
      </w:r>
    </w:p>
    <w:p>
      <w:pPr/>
      <w:r>
        <w:rPr>
          <w:b/>
        </w:rPr>
        <w:t>POSSIBLE 2026:</w:t>
      </w:r>
      <w:r>
        <w:t xml:space="preserve"> Sowing the seeds of change: unveiling farmer types to promote climate-smart agriculture adoption in Europe — https://doi.org/10.1016/j.jrurstud.2026.104043</w:t>
      </w:r>
    </w:p>
    <w:p>
      <w:pPr/>
      <w:r>
        <w:rPr>
          <w:b/>
        </w:rPr>
        <w:t>Shared claim-specific concepts:</w:t>
      </w:r>
      <w:r>
        <w:t xml:space="preserve"> demonstrate, types, food, climate, mitigation; EU scope visible. This is a provisional connection, not an outcome finding.</w:t>
      </w:r>
    </w:p>
    <w:p>
      <w:pPr>
        <w:pStyle w:val="SourceNote"/>
      </w:pPr>
      <w:r>
        <w:rPr>
          <w:b/>
        </w:rPr>
        <w:t>Available abstract (not full text):</w:t>
      </w:r>
      <w:r>
        <w:t xml:space="preserve"> Climate-smart agriculture (CSA) promises to provide a triple win in economic viability, food security and climate change mitigation. This study develops a European farmer typology to enhance the adoption of CSA by combining two research streams, the COM-B behavioural-change theory and segmentation research. Using a survey of 603 farmers from five European countries (Denmark, Lithuania, Netherlands, Slovenia, Spain), the study applies a systematic approach, examining capability, opportunity and motivation factors of the COM-B model. Data analysis resulted into classifying farmers into four types: environmentalists, constrained, indifferents, and traditionalists . The farmer typology reveals that all components of the COM-B model were useful to differentiate the four farmer groups. Environmentalists express high intention to adopt CSA, motivated both internally, by capabilities and motivation, and externally by the opportunities in the social and food systems environments. Constrained farmers share similar intentions but face significant barriers in physical opportunities, such as limited access to markets and credit, policy framework and market willingness to pay. Indifferents, despite sharing some commonalities with constrained farmers, they demonstrate low interest in CSA mainly due to lower levels of psychological capabilities and motivation. Finally, the traditionalists face</w:t>
      </w:r>
    </w:p>
    <w:p>
      <w:pPr/>
      <w:r>
        <w:rPr>
          <w:b/>
        </w:rPr>
        <w:t>POSSIBLE 2026:</w:t>
      </w:r>
      <w:r>
        <w:t xml:space="preserve"> European riverine and coastal wetlands under pressure: biodiversity and climate change — https://doi.org/10.3897/natureconservation.62.163636</w:t>
      </w:r>
    </w:p>
    <w:p>
      <w:pPr/>
      <w:r>
        <w:rPr>
          <w:b/>
        </w:rPr>
        <w:t>Shared claim-specific concepts:</w:t>
      </w:r>
      <w:r>
        <w:t xml:space="preserve"> types, food, climate; EU scope visible. This is a provisional connection, not an outcome finding.</w:t>
      </w:r>
    </w:p>
    <w:p>
      <w:pPr>
        <w:pStyle w:val="SourceNote"/>
      </w:pPr>
      <w:r>
        <w:rPr>
          <w:b/>
        </w:rPr>
        <w:t>Available abstract (not full text):</w:t>
      </w:r>
      <w:r>
        <w:t xml:space="preserve"> Although European coastal and riverine wetlands occupy a small share of the European land area, these ecosystems host remarkable biodiversity and provide a wide range of ecosystem services fundamental for human well-being, including clean water, recreation, food provision and climate regulation. Synthesising current knowledge across biogeographic regions, this review shows that only 12% of EU riverine and coastal wetland habitat types are in favourable condition, while the majority continue to deteriorate, mirrored by substantial declines in many wetland-dependent species. Climate-related impacts vary strongly across Europe and interact with existing human pressures such as land-use change, hydromorphological alteration, hydropower, coastal engineering and pollution, accelerating habitat and species loss and reducing the resilience of wetlands to climate change impacts. The paper calls for a rethinking of coastal and riverine wetlands as multifunctional landscapes and stresses the need for coordinated, cross-sectoral policy approaches. These wetlands are positioned not only as vulnerable systems but as pivotal Nature-based Solutions for achieving climate resilience and halting biodiversity loss, while remaining essential resources for human life support. Highlights Remaining European riverine and coastal wetlands are small and fragmented, yet vital for biodiversity and climate </w:t>
      </w:r>
    </w:p>
    <w:p>
      <w:pPr/>
      <w:r>
        <w:rPr>
          <w:b/>
        </w:rPr>
        <w:t>POSSIBLE 2026:</w:t>
      </w:r>
      <w:r>
        <w:t xml:space="preserve"> Estimating biogenic CO2 fluxes for different vegetation types using CarboScope-Regional inversion (CSR) over Europe — https://doi.org/10.5194/egusphere-egu26-13862</w:t>
      </w:r>
    </w:p>
    <w:p>
      <w:pPr/>
      <w:r>
        <w:rPr>
          <w:b/>
        </w:rPr>
        <w:t>Shared claim-specific concepts:</w:t>
      </w:r>
      <w:r>
        <w:t xml:space="preserve"> demonstrate, types, climate, system, assess; EU scope visible. This is a provisional connection, not an outcome finding.</w:t>
      </w:r>
    </w:p>
    <w:p>
      <w:pPr>
        <w:pStyle w:val="SourceNote"/>
      </w:pPr>
      <w:r>
        <w:rPr>
          <w:b/>
        </w:rPr>
        <w:t>Available abstract (not full text):</w:t>
      </w:r>
      <w:r>
        <w:t xml:space="preserve"> CO2 atmospheric inversions are typically used to derive Net Ecosystem Exchange (NEE) estimates from atmospheric observations, while prescribing the anthropogenic component or resolving for CO2 emissions using proper proxy data. Year-to-year variability of the biosphere sink is primarily caused by climate variations such as drought events, heat waves, and seasonal changes. However, the response of biospheric sink to climate conditions varies spatially across lands depending on vegetation type. In this study, we modified our CSR experiment by augmenting the state space of a standard CO2 inversion enabling the separate optimization of seven vegetation types within CSR, which increases the state space by a factor seven. The diagnostic biosphere model VPRM is used to provide a priori fluxes of CO2 for the targeted vegetation classes, which are derived from the remote sensing data. Posterior flux estimates demonstrate the contributions of CO2 estimates from evergreen, deciduous, mixed forests, as well as shrublands, savanna, croplands, and grasslands. The results indicate that the largest flux adjustments are associated with croplands over Europe, suggesting a shift from being largest sink in the prior model to the largest source of CO2. A similar analysis at the national scale over Germany shows substantial flux adjustments in croplands, which also exhibit the dominant interannual v</w:t>
      </w:r>
    </w:p>
    <w:p>
      <w:pPr/>
      <w:r>
        <w:rPr>
          <w:b/>
        </w:rPr>
        <w:t>POSSIBLE 2026:</w:t>
      </w:r>
      <w:r>
        <w:t xml:space="preserve"> Understanding biases and changes in European heavy precipitation using dynamical flow precursors — https://doi.org/10.5194/wcd-7-633-2026</w:t>
      </w:r>
    </w:p>
    <w:p>
      <w:pPr/>
      <w:r>
        <w:rPr>
          <w:b/>
        </w:rPr>
        <w:t>Shared claim-specific concepts:</w:t>
      </w:r>
      <w:r>
        <w:t xml:space="preserve"> demonstrate, types, dynamics, climate; EU scope visible. This is a provisional connection, not an outcome finding.</w:t>
      </w:r>
    </w:p>
    <w:p>
      <w:pPr>
        <w:pStyle w:val="SourceNote"/>
      </w:pPr>
      <w:r>
        <w:rPr>
          <w:b/>
        </w:rPr>
        <w:t>Available abstract (not full text):</w:t>
      </w:r>
      <w:r>
        <w:t xml:space="preserve"> Abstract. We address the problem of understanding precipitation in climate models. Using a novel decomposition applied to two large ensemble simulations, we disaggregate biases and forced changes in European heavy precipitation occurrence according to different weather conditions and isolate synoptic-scale dynamical contributions from the local-scale conversion of synoptic forcing into precipitation. We categorise weather conditions using multivariate, regionally-specific heavy precipitation precursors that target precipitation-causing flow patterns, revealing a larger role for dynamics in explaining model biases and projected changes than suggested by previous work. We demonstrate that biases in heavy precipitation across models and regions can emerge from errors on very different scales, with compensating biases between scales being common. This has important implications for model selection, for example for downscaling or storyline applications. In terms of forced changes in heavy precipitation, we show that apparent model agreement can arise from markedly different future scenarios with different levels of implied risk. Our results demonstrate the utility of flow-dependent diagnostics for exposing the origins of climate model biases, which can distort a model’s precipitation response in future projections. With an eye to informing researchers in model development and valida</w:t>
      </w:r>
    </w:p>
    <w:p>
      <w:pPr/>
      <w:r>
        <w:rPr>
          <w:b/>
        </w:rPr>
        <w:t>POSSIBLE 2025:</w:t>
      </w:r>
      <w:r>
        <w:t xml:space="preserve"> Readiness to Change and the Intention to Consume Novel Foods: Evidence from Linear Discriminant Analysis — https://doi.org/10.3390/su17114902</w:t>
      </w:r>
    </w:p>
    <w:p>
      <w:pPr/>
      <w:r>
        <w:rPr>
          <w:b/>
        </w:rPr>
        <w:t>Shared claim-specific concepts:</w:t>
      </w:r>
      <w:r>
        <w:t xml:space="preserve"> food, sustainable, climate; EU scope not established. This is a provisional connection, not an outcome finding.</w:t>
      </w:r>
    </w:p>
    <w:p>
      <w:pPr>
        <w:pStyle w:val="SourceNote"/>
      </w:pPr>
      <w:r>
        <w:rPr>
          <w:b/>
        </w:rPr>
        <w:t>Available abstract (not full text):</w:t>
      </w:r>
      <w:r>
        <w:t xml:space="preserve"> The challenges associated with climate change have led to the need for pro-environmental behaviors, including the consumption of sustainable novel foods. Despite the importance of sustainable food for the environment, there is still a need to further investigate the psychological determinants of consumer behavior change putatively able to promote the use of novel foods. In line with this, the aim of the present study was to investigate the role of readiness to change (RTC) in shaping the intention to consume sustainable foods (e.g., chia seeds and edible insects). RTC refers to a valuable construct composed of seven different dimensions, namely perceived importance of the problem/change, motivation, self-efficacy, effectiveness of proposed solution, social support, action and involvement, and perceived readiness. In keeping with this, a cross-sectional study was conducted by collecting from 1252 participants through an online and anonymous survey. In line with the aim above, a linear discriminant analysis was performed to explore potential non-linear relationships between RTC and novel food consumption. The results highlighted certain RTC dimensions (e.g., perceived importance of the problem, action, and self-efficacy) able to positively support the intention to consume novel foods (e.g., chia seeds and spirulina algae). In conclusion, the study pointed out evidence regarding p</w:t>
      </w:r>
    </w:p>
    <w:p>
      <w:pPr/>
      <w:r>
        <w:rPr>
          <w:b/>
        </w:rPr>
        <w:t>POSSIBLE 2025:</w:t>
      </w:r>
      <w:r>
        <w:t xml:space="preserve"> Agroecological interventions increase biodiversity and the potential for climate change mitigation in Europe — https://doi.org/10.1016/j.agee.2025.109938</w:t>
      </w:r>
    </w:p>
    <w:p>
      <w:pPr/>
      <w:r>
        <w:rPr>
          <w:b/>
        </w:rPr>
        <w:t>Shared claim-specific concepts:</w:t>
      </w:r>
      <w:r>
        <w:t xml:space="preserve"> demonstrate, types, along, sustainable, climate, mitigation; EU scope visible. This is a provisional connection, not an outcome finding.</w:t>
      </w:r>
    </w:p>
    <w:p>
      <w:pPr>
        <w:pStyle w:val="SourceNote"/>
      </w:pPr>
      <w:r>
        <w:rPr>
          <w:b/>
        </w:rPr>
        <w:t>Available abstract (not full text):</w:t>
      </w:r>
      <w:r>
        <w:t xml:space="preserve"> Agroecology has gained considerable interest as a concept for designing sustainable agrifood systems. To date however, the effects of farming systems and management practices associated with agroecology (i.e., agroecological interventions) on biodiversity and climate change mitigation have not been systematically reviewed. Here, we perform a meta-analysis using observational and experimental studies to assess the effects of agroecological interventions on taxa diversity, as well as on greenhouse gas emissions (GHG) and carbon storage in Europe. Agroecological interventions were classified along a gradient ranging from input substitution to system redesign in order to estimate and compare effects of different agroecological transition types. We found a general positive effect of agroecological interventions across biodiversity and climate change mitigation metrics. Agroecological interventions increased diversity of all functional groups of organisms considered, as well as promoting soil carbon storage, and reducing nitrous oxide emissions. However, agroecological interventions had limited effects on the mitigation of carbon dioxide and methane emissions. Positive effects on biodiversity and climate change mitigation metrics were consistent for transitions from conventional farming interventions to either input substitution or redesign interventions. A win-win situation was foun</w:t>
      </w:r>
    </w:p>
    <w:p>
      <w:pPr/>
      <w:r>
        <w:rPr>
          <w:b/>
        </w:rPr>
        <w:t>POSSIBLE 2024:</w:t>
      </w:r>
      <w:r>
        <w:t xml:space="preserve"> European Forest Type Map — https://doi.org/10.5194/egusphere-egu24-3418</w:t>
      </w:r>
    </w:p>
    <w:p>
      <w:pPr/>
      <w:r>
        <w:rPr>
          <w:b/>
        </w:rPr>
        <w:t>Shared claim-specific concepts:</w:t>
      </w:r>
      <w:r>
        <w:t xml:space="preserve"> types, along, climate, mitigation, system, aims; EU scope visible. This is a provisional connection, not an outcome finding.</w:t>
      </w:r>
    </w:p>
    <w:p>
      <w:pPr>
        <w:pStyle w:val="SourceNote"/>
      </w:pPr>
      <w:r>
        <w:rPr>
          <w:b/>
        </w:rPr>
        <w:t>Available abstract (not full text):</w:t>
      </w:r>
      <w:r>
        <w:t xml:space="preserve"> Forest types are key factors to consider when monitoring forests, particularly in consideration of the increasing need to assess how climate change is affecting different forests in Europe and beyond. A comprehensive classification system is indeed essential for understanding the diverse forest ecosystems, tracking their changes over time and across various spatial and geographical scales. Moreover, it provides valuable insights on the baseline conditions and current states of forest ecosystems, aiding in decision-making for conservation and resource management. A "forest type classification scheme" aims to break down extensive forested areas, like stocked forest land, into smaller, more similar units. This breakdown helps streamline the analysis, interpretation, and communication of forest-related data. In Europe, the European Forest Types (EFT) classification system has demonstrated its effectiveness and user-friendliness in facilitating the comprehension, interpretation, and dissemination of data regarding indicators that depict the conditions and changes within European forests, as well as forest management practices. The EFT, could support a standardised reporting of several forest area related indicators. This includes assessments of biodiversity, organised into ecologically similar groups across the entire European region. However, until now, there was no EFTs map availa</w:t>
      </w:r>
    </w:p>
    <w:p>
      <w:pPr/>
      <w:r>
        <w:rPr>
          <w:b/>
        </w:rPr>
        <w:t>POSSIBLE 2024:</w:t>
      </w:r>
      <w:r>
        <w:t xml:space="preserve"> Cross‐border dimensions of Arctic climate change impacts and implications for Europe — https://doi.org/10.1002/wcc.905</w:t>
      </w:r>
    </w:p>
    <w:p>
      <w:pPr/>
      <w:r>
        <w:rPr>
          <w:b/>
        </w:rPr>
        <w:t>Shared claim-specific concepts:</w:t>
      </w:r>
      <w:r>
        <w:t xml:space="preserve"> demonstrate, climate; EU scope visible. This is a provisional connection, not an outcome finding.</w:t>
      </w:r>
    </w:p>
    <w:p>
      <w:pPr>
        <w:pStyle w:val="SourceNote"/>
      </w:pPr>
      <w:r>
        <w:rPr>
          <w:b/>
        </w:rPr>
        <w:t>Available abstract (not full text):</w:t>
      </w:r>
      <w:r>
        <w:t xml:space="preserve"> Abstract The Arctic has warmed almost four times faster than the rest of the globe during the past four decades. This has led to multiple impacts in the Arctic such as the melting of glaciers and the Greenland ice sheet, sea ice retreat, permafrost thaw, altered species distribution and abundance, changes in hydrology and snow conditions, and altered wildfire regimes. These documented and projected impacts in the region can also propagate across borders, creating risks and opportunities requiring adaptation responses well beyond the Arctic. By undertaking a systematic literature review that uses a conceptual framework for cross‐border climate change impacts, we demonstrate how local impacts of the type described above, which are often analyzed separately in the literature, may initiate knock‐on effects that can be transmitted and transformed across borders. We illustrate examples of six categories of cross‐border risks resulting from this impact transmission and potentially requiring adaptation. These concern biophysical impacts, trade, infrastructure, finance, geopolitical relationships and human security and social justice. We examine potential adaptation options for responding to such cross‐border risks that are of relevance for Europe. The systemic approach taken in this paper promotes improved understanding of trade‐offs between potential benefits and risks, assists priori</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demonstrate, climate, mitigation;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2024:</w:t>
      </w:r>
      <w:r>
        <w:t xml:space="preserve"> Natural Hazards in a Changing World: Methods for Analyzing Trends and Non‐Linear Changes — https://doi.org/10.1029/2023ef003553</w:t>
      </w:r>
    </w:p>
    <w:p>
      <w:pPr/>
      <w:r>
        <w:rPr>
          <w:b/>
        </w:rPr>
        <w:t>Shared claim-specific concepts:</w:t>
      </w:r>
      <w:r>
        <w:t xml:space="preserve"> types, dynamics, assess; EU scope visible. This is a provisional connection, not an outcome finding.</w:t>
      </w:r>
    </w:p>
    <w:p>
      <w:pPr>
        <w:pStyle w:val="SourceNote"/>
      </w:pPr>
      <w:r>
        <w:rPr>
          <w:b/>
        </w:rPr>
        <w:t>Available abstract (not full text):</w:t>
      </w:r>
      <w:r>
        <w:t xml:space="preserve"> Abstract Estimating the frequency and magnitude of natural hazards largely hinges on stationary models, which do not account for changes in the climatological, hydrological, and geophysical baseline conditions. Using five diverse case studies encompassing various natural hazard types, we present advanced statistical and machine learning methods to analyze and model transient states from long‐term inventory data. A novel storminess metric reveals increasing European winter windstorm severity from 1950 to 2010. Non‐stationary extreme value models quantify trends, seasonal shifts, and regional differences in extreme precipitation for Germany between 1941 and 2021. Utilizing quantile sampling and empirical mode decomposition on 148 years of daily weather and discharge data in the European Alps, we assess the impacts of changing snow cover, precipitation, and anthropogenic river network modifications on river runoff. Moreover, a probabilistic framework estimates return periods of glacier lake outburst floods in the Himalayas, demonstrating large differences in 100‐year flood levels. Utilizing a Bayesian change point algorithm, we track the onset of increased seismicity in the southern central United States and find correlation with wastewater injections into deep wells. In conclusion, data science reveals transient states for very different natural hazard types, characterized by div</w:t>
      </w:r>
    </w:p>
    <w:p>
      <w:pPr/>
      <w:r>
        <w:rPr>
          <w:b/>
        </w:rPr>
        <w:t>POSSIBLE 2024:</w:t>
      </w:r>
      <w:r>
        <w:t xml:space="preserve"> Mapping lock-ins and enabling environments for agri-food sustainability transitions in Europe — https://doi.org/10.1007/s11625-024-01480-y</w:t>
      </w:r>
    </w:p>
    <w:p>
      <w:pPr/>
      <w:r>
        <w:rPr>
          <w:b/>
        </w:rPr>
        <w:t>Shared claim-specific concepts:</w:t>
      </w:r>
      <w:r>
        <w:t xml:space="preserve"> demonstrate, food, sustainable; EU scope visible. This is a provisional connection, not an outcome finding.</w:t>
      </w:r>
    </w:p>
    <w:p>
      <w:pPr>
        <w:pStyle w:val="SourceNote"/>
      </w:pPr>
      <w:r>
        <w:rPr>
          <w:b/>
        </w:rPr>
        <w:t>Available abstract (not full text):</w:t>
      </w:r>
      <w:r>
        <w:t xml:space="preserve"> European agri-food systems must overcome structural lock-ins to achieve more sustainable modes of production and consumption. Yet European regions are highly diverse, and we lack understanding of how different regional characteristics may enable or inhibit sustainability transitions. This hinders the development of context-tailored governance strategies. In this paper, we identify and apply sets of spatial indicators to map the regional potentials for agri-food transitions. We first analyse the strength of lock-in to the incumbent agro-industrial paradigm. We then map the enabling environments for two alternative agri-food networks-multifunctional value chains and civic food networks-that each embed distinct social-ecological qualities of agriculture and food. Results demonstrate a large spatial diversity in transition potential, with stronger lock-ins throughout North and Western Europe and stronger enabling environments for agri-food transitions in Italy, France, Switzerland, and Southwest Germany. We find that lock-ins are strongest in livestock-dominated regions and are associated with higher GHG emissions and excess nitrogen levels. Our study demonstrates the need for coordinated public policies that (1) leverage region-specific transition potentials and (2) enable complementary innovations in market-based and community-led networks. Supplementary Information: The online v</w:t>
      </w:r>
    </w:p>
    <w:p>
      <w:pPr>
        <w:pStyle w:val="Heading2"/>
      </w:pPr>
      <w:r>
        <w:t>656. EU road vehicle energy consumption and CO2 emissions by 2050 – Expert-based scenarios</w:t>
      </w:r>
    </w:p>
    <w:p>
      <w:pPr>
        <w:pStyle w:val="SourceNote"/>
      </w:pPr>
      <w:r>
        <w:rPr>
          <w:b/>
        </w:rPr>
        <w:t>Original source (2020):</w:t>
      </w:r>
      <w:r>
        <w:t xml:space="preserve"> https://doi.org/10.1016/j.enpol.2019.111224</w:t>
      </w:r>
    </w:p>
    <w:p>
      <w:pPr/>
      <w:r>
        <w:t>Original wording (abstract; indexed_source_text_not_full_document_verified): Outcomes show that tank to wheel road transport CO2 emission reductions up to 90% versus 1990 could be reached by 2050 through strong fleet electrification and if all measures achieve their best potential. To inform long-term policies on transport decarbonisation, the present paper analyses European road transport CO2 emission reduction options by 2050.</w:t>
      </w:r>
    </w:p>
    <w:p>
      <w:pPr/>
      <w:r>
        <w:rPr>
          <w:b/>
        </w:rPr>
        <w:t>POSSIBLE 2026:</w:t>
      </w:r>
      <w:r>
        <w:t xml:space="preserve"> Knowledge Flow Processes and Organizational Learning Outcomes in Research Think Tanks: Evidence from Kenya. — https://doi.org/10.47787/xn7pck58</w:t>
      </w:r>
    </w:p>
    <w:p>
      <w:pPr/>
      <w:r>
        <w:rPr>
          <w:b/>
        </w:rPr>
        <w:t>Shared claim-specific concepts:</w:t>
      </w:r>
      <w:r>
        <w:t xml:space="preserve"> outcomes, show, tank, strong; EU scope not established. This is a provisional connection, not an outcome finding.</w:t>
      </w:r>
    </w:p>
    <w:p>
      <w:pPr>
        <w:pStyle w:val="SourceNote"/>
      </w:pPr>
      <w:r>
        <w:rPr>
          <w:b/>
        </w:rPr>
        <w:t>Available abstract (not full text):</w:t>
      </w:r>
      <w:r>
        <w:t xml:space="preserve"> How knowledge moves within organizations remains central to understanding why some institutions learn and adapt while others reproduce fragmented routines. Although organizational learning theory recognizes knowledge creation, sharing, documentation and use as interdependent processes, empirical research has largely examined these dimensions in isolation, with limited evidence from research institutions in the Global South. Drawing on the 4I framework of organizational learning, the study examines how knowledge flow processes interact to shape organizational learning outcomes within a Kenyan research think tank. Using a cross-sectional single-case survey design, data were collected from 42 staff members and analyzed though descriptive statistics, chi-square tests, Fisher’s Exact tests and multiple regression models to examine the association and relative influence of knowledge flow dimensions on evidence- informed decision-making, adaptive management and influence of learning on practice. The findings reveal a structural decoupling between knowledge generation and organizational learning; while knowledge creation and within-programme sharing are institutionally strong, they do not consistently translate into organization-wide learning. Knowledge documentation supports retention but remains weakly connected to action. In contrast, knowledge use merges as the strongest and only c</w:t>
      </w:r>
    </w:p>
    <w:p>
      <w:pPr/>
      <w:r>
        <w:rPr>
          <w:b/>
        </w:rPr>
        <w:t>POSSIBLE 2026:</w:t>
      </w:r>
      <w:r>
        <w:t xml:space="preserve"> Different Colours, Different Outcomes: Tank Colour Shapes Larval Survival, Growth, and Endocrine Response in Cichlasoma dimerus — https://doi.org/10.3390/ani16030466</w:t>
      </w:r>
    </w:p>
    <w:p>
      <w:pPr/>
      <w:r>
        <w:rPr>
          <w:b/>
        </w:rPr>
        <w:t>Shared claim-specific concepts:</w:t>
      </w:r>
      <w:r>
        <w:t xml:space="preserve"> outcomes, tank, reached; EU scope not established. This is a provisional connection, not an outcome finding.</w:t>
      </w:r>
    </w:p>
    <w:p>
      <w:pPr>
        <w:pStyle w:val="SourceNote"/>
      </w:pPr>
      <w:r>
        <w:rPr>
          <w:b/>
        </w:rPr>
        <w:t>Available abstract (not full text):</w:t>
      </w:r>
      <w:r>
        <w:t xml:space="preserve"> Early environmental conditions play a critical role in shaping fish physiology and behaviour, with tank colour emerging as a relevant yet often overlooked factor in aquaculture and experimental research. This study investigated how rearing tank colour affects larval performance in the cichlid fish Cichlasoma dimerus. Larvae were reared in white, light-blue, or grey tanks, and survival, growth, pigmentation, sex ratio, skeletal development, and the endocrine responses of somatolactin (Sl) and growth hormone (Gh) were evaluated. Survival was significantly lower in white tanks. Conversely, larvae reared in white tanks reached a higher final body weight, while total length showed a similar but non-significant trend. Gh-immunoreactive cells exhibited significantly larger nuclear areas in larvae reared in white tanks and a tendency toward smaller cytoplasmic areas compared with those from light-blue tanks. Melanophore number did not differ among treatments, whereas larvae from grey tanks showed a higher number of Sl-immunoreactive cells. Sex ratios tended to be female-biased in white tanks. Skeletal development did not differ among tank colours and followed the expected chondrogenesis and ossification sequence. Overall, tank colour influenced multiple aspects of larval development, particularly survival, growth, and endocrine responses, underscoring its relevance in fish rearing and </w:t>
      </w:r>
    </w:p>
    <w:p>
      <w:pPr/>
      <w:r>
        <w:rPr>
          <w:b/>
        </w:rPr>
        <w:t>POSSIBLE 2026:</w:t>
      </w:r>
      <w:r>
        <w:t xml:space="preserve"> ARTIFICIAL INTELLIGENCE AS A TECHNO-STRATEGIC DOMAIN: A COMPARATIVE ANALYSIS OF THE INFLUENCE OF THINK TANKS ON US AND EUROPEAN AI POLICIES — https://doi.org/10.53443/anadoluibfd.1850103</w:t>
      </w:r>
    </w:p>
    <w:p>
      <w:pPr/>
      <w:r>
        <w:rPr>
          <w:b/>
        </w:rPr>
        <w:t>Shared claim-specific concepts:</w:t>
      </w:r>
      <w:r>
        <w:t xml:space="preserve"> tank, potential, policies; EU scope visible. This is a provisional connection, not an outcome finding.</w:t>
      </w:r>
    </w:p>
    <w:p>
      <w:pPr>
        <w:pStyle w:val="SourceNote"/>
      </w:pPr>
      <w:r>
        <w:rPr>
          <w:b/>
        </w:rPr>
        <w:t>Available abstract (not full text):</w:t>
      </w:r>
      <w:r>
        <w:t xml:space="preserve"> This study examines how structural, financial, and operational differences between American and European think tanks shape the artificial intelligence (AI) policies each ecosystem helps to produce. The core argument is that the competitive, advocacy-focused American think tank ecosystem, funded by private sector and philanthropy, fosters AI policies centered on national security and technological leadership against China. Conversely, European think-tank institutions, characterized by state funding and consensus-oriented structures, prioritize ethical frameworks, digital sovereignty, and trustworthy AI development. Drawing on Schmidt’s discursive institutionalism and Haas’s concept of epistemic communities, the study treats think-tank influence as a matter of discursive register and epistemic cohesion rather than mere visibility, and applies this lens through a systematic document and discourse analysis of prominent think tanks including RAND Corporation, Brookings Institution, CSIS, Heritage Foundation, Bruegel, Chatham House, SWP, and HIIG. This research reveals that US institutions frame AI as a zero-sum geopolitical competition and speak largely to public-political audiences across an ideationally divided field, while European counterparts, operating as a more cohesive expert community addressed to officials, view it as a domain for projecting normative power globally. These</w:t>
      </w:r>
    </w:p>
    <w:p>
      <w:pPr/>
      <w:r>
        <w:rPr>
          <w:b/>
        </w:rPr>
        <w:t>POSSIBLE 2026:</w:t>
      </w:r>
      <w:r>
        <w:t xml:space="preserve"> The economics of Decarbonizing Road Freight Transport – comparing Europe, USA and China — https://doi.org/10.34726/hss.2026.134201</w:t>
      </w:r>
    </w:p>
    <w:p>
      <w:pPr/>
      <w:r>
        <w:rPr>
          <w:b/>
        </w:rPr>
        <w:t>Shared claim-specific concepts:</w:t>
      </w:r>
      <w:r>
        <w:t xml:space="preserve"> outcomes, show, road, transport, emission, reductions; EU scope visible. This is a provisional connection, not an outcome finding.</w:t>
      </w:r>
    </w:p>
    <w:p>
      <w:pPr>
        <w:pStyle w:val="SourceNote"/>
      </w:pPr>
      <w:r>
        <w:rPr>
          <w:b/>
        </w:rPr>
        <w:t>Available abstract (not full text):</w:t>
      </w:r>
      <w:r>
        <w:t xml:space="preserve"> This thesis examines the techno-economic and environmental feasibility of decarbonizing long-haul heavy-duty road freight through battery-electric vehicles (BEVs) and fuel-cell vehicles (FCVs) in comparison with conventional diesel trucks. The primary focus lies on Europe, complemented by comparative case analyses for the United States and China in order to account for differences in energy systems, cost structures, and policy frameworks.An integrated modelling framework was developed that combines a discounted-cash-flow-based Total Cost of Ownership (TCO) model with a life-cycle assessment (LCA). The analysis is based on a representative 40-tonne long-haul truck with an annual mileage of 120,000 km and a lifetime mileage of 960,000 km. The TCO model includes vehicle and infrastructure capital expenditure, energy costs, maintenance, tolls, insurance, and residual values, while the LCA covers well-to-tank, tank-to-wheel, and manufacturing-related greenhouse gas emissions. In addition, operational parameters relevant to freight transport, including payload effects, ambient-temperature-related energy consumption, charging downtime, and battery degradation represented through residual value effects, are incorporated into the analytical framework. Where consistent market data were unavailable for all countries and years, intermediate values were derived using transparent interpolati</w:t>
      </w:r>
    </w:p>
    <w:p>
      <w:pPr/>
      <w:r>
        <w:rPr>
          <w:b/>
        </w:rPr>
        <w:t>POSSIBLE 2026:</w:t>
      </w:r>
      <w:r>
        <w:t xml:space="preserve"> Estimation of Costs and Environmental Impacts of a Cryogenic H2 Tank — https://doi.org/10.3390/engproc2026133137</w:t>
      </w:r>
    </w:p>
    <w:p>
      <w:pPr/>
      <w:r>
        <w:rPr>
          <w:b/>
        </w:rPr>
        <w:t>Shared claim-specific concepts:</w:t>
      </w:r>
      <w:r>
        <w:t xml:space="preserve"> show, tank, reductions; EU scope visible. This is a provisional connection, not an outcome finding.</w:t>
      </w:r>
    </w:p>
    <w:p>
      <w:pPr>
        <w:pStyle w:val="SourceNote"/>
      </w:pPr>
      <w:r>
        <w:rPr>
          <w:b/>
        </w:rPr>
        <w:t>Available abstract (not full text):</w:t>
      </w:r>
      <w:r>
        <w:t xml:space="preserve"> Aviation faces major challenges in meeting EU decarbonization goals, and liquid hydrogen is a promising alternative fuel. This study evaluates the environmental and economic performance of composite liquid hydrogen tanks for aircraft. A combined Life Cycle Assessment (LCA) and Life Cycle Costing (LCC) approach was applied to two tank configurations from the HyStor and TACOMA projects, based on Automated Fiber Placement (AFP) manufacturing data. Results show that tooling dominates prototype costs but becomes negligible in serial production, enabling reductions of up to 89%. The AFP process and carbon-fiber prepreg material are the main environmental impact drivers. Despite these, the lightweight composite design can offset its production footprint through operational fuel savings.</w:t>
      </w:r>
    </w:p>
    <w:p>
      <w:pPr/>
      <w:r>
        <w:rPr>
          <w:b/>
        </w:rPr>
        <w:t>POSSIBLE 2025:</w:t>
      </w:r>
      <w:r>
        <w:t xml:space="preserve"> Investigating the preferences for autonomous vehicle use in European road transport: a binary logit model — https://doi.org/10.1038/s44333-025-00055-3</w:t>
      </w:r>
    </w:p>
    <w:p>
      <w:pPr/>
      <w:r>
        <w:rPr>
          <w:b/>
        </w:rPr>
        <w:t>Shared claim-specific concepts:</w:t>
      </w:r>
      <w:r>
        <w:t xml:space="preserve"> show, road, transport, policies; EU scope visible. This is a provisional connection, not an outcome finding.</w:t>
      </w:r>
    </w:p>
    <w:p>
      <w:pPr>
        <w:pStyle w:val="SourceNote"/>
      </w:pPr>
      <w:r>
        <w:rPr>
          <w:b/>
        </w:rPr>
        <w:t>Available abstract (not full text):</w:t>
      </w:r>
      <w:r>
        <w:t xml:space="preserve"> This research study investigates the factors shaping European citizens’ perceptions and decisions regarding the adoption of Autonomous Vehicles (AVs). Key aspects such as safety, infrastructure readiness, data protection, legislation, and vehicle cost, were identified through a literature review. An online stated preference survey collected 235 responses across Europe, which were analyzed using Binary Logistic Regression. Findings reveal that safety is the most influential factor, followed by road infrastructure and legislative support. Socio-demographic patterns show that younger and higher-income individuals are more likely to adopt AVs, while drivers of cars and motorcycles express more favorable attitudes toward automation. These insights emphasize the need to address regulatory, infrastructural, and social barriers to support AV integration. The study offers guidance for developing targeted strategies and policies to accelerate AV adoption in Europe, ensuring their benefits are accessible to a wide range of users.</w:t>
      </w:r>
    </w:p>
    <w:p>
      <w:pPr/>
      <w:r>
        <w:rPr>
          <w:b/>
        </w:rPr>
        <w:t>POSSIBLE 2025:</w:t>
      </w:r>
      <w:r>
        <w:t xml:space="preserve"> Green Energy Fuelling Stations in Road Transport: Poland in the European and Global Context — https://doi.org/10.3390/en18154110</w:t>
      </w:r>
    </w:p>
    <w:p>
      <w:pPr/>
      <w:r>
        <w:rPr>
          <w:b/>
        </w:rPr>
        <w:t>Shared claim-specific concepts:</w:t>
      </w:r>
      <w:r>
        <w:t xml:space="preserve"> road, transport, decarbonisation; EU scope visible. This is a provisional connection, not an outcome finding.</w:t>
      </w:r>
    </w:p>
    <w:p>
      <w:pPr>
        <w:pStyle w:val="SourceNote"/>
      </w:pPr>
      <w:r>
        <w:rPr>
          <w:b/>
        </w:rPr>
        <w:t>Available abstract (not full text):</w:t>
      </w:r>
      <w:r>
        <w:t xml:space="preserve"> The transition to green energy in the transport sector is becoming a priority in the context of global climate challenges and the European Green Deal. This paper investigates the development of alternative fuelling stations, particularly electric vehicle (EV) charging infrastructure and hydrogen stations, across EU countries with a focus on Poland. It combines a policy and technology overview with a quantitative scientific analysis, offering a multidimensional perspective on green infrastructure deployment. A Pearson correlation analysis reveals significant links between charging station density and both GDP per capita and the share of renewable energy. The study introduces an original Infrastructure Accessibility Index (IAI) to compare infrastructure availability across EU member states and models Poland’s EV charging station demand up to 2030 under multiple growth scenarios. Furthermore, the article provides a comprehensive overview of biofuels, including first-, second-, and third-generation technologies, and highlights recent advances in hydrogen and renewable electricity integration. Emphasis is placed on life cycle considerations, energy source sustainability, and economic implications. The findings support policy development toward zero-emission mobility and the decarbonisation of transport systems, offering recommendations for infrastructure expansion and energy diversi</w:t>
      </w:r>
    </w:p>
    <w:p>
      <w:pPr/>
      <w:r>
        <w:rPr>
          <w:b/>
        </w:rPr>
        <w:t>POSSIBLE 2025:</w:t>
      </w:r>
      <w:r>
        <w:t xml:space="preserve"> The cyber-enhanced tank: a novel concept for increased realism and multi-modal monitoring in tank based finfish aquaculture research — https://doi.org/10.3389/frobt.2025.1629884</w:t>
      </w:r>
    </w:p>
    <w:p>
      <w:pPr/>
      <w:r>
        <w:rPr>
          <w:b/>
        </w:rPr>
        <w:t>Shared claim-specific concepts:</w:t>
      </w:r>
      <w:r>
        <w:t xml:space="preserve"> tank, achieve, potential, present; EU scope not established. This is a provisional connection, not an outcome finding.</w:t>
      </w:r>
    </w:p>
    <w:p>
      <w:pPr>
        <w:pStyle w:val="SourceNote"/>
      </w:pPr>
      <w:r>
        <w:rPr>
          <w:b/>
        </w:rPr>
        <w:t>Available abstract (not full text):</w:t>
      </w:r>
      <w:r>
        <w:t xml:space="preserve"> In recent years, several studies that analyze and interpret fish behavioral patterns in aquaculture settings have been published. Understanding how the fish react and respond to various scenarios and treatments can help provide insight and knowledge on how to achieve sustainable and efficient aquaculture production. Many of these research efforts have been conducted in land based tanks as this allows for closer and more continuous monitoring of the fish than what is possible at commercial facilities, essentially improving data quality and hence the possible insights to gain from these. However, most experimental tanks are closed-loop environments that are not particularly similar to commercial production units, as a consequence the results obtained in these systems are not directly transferable to industrial setups. Moreover, tank monitoring in such trials is often done using a single or a limited selection of different observation modes, which may not be sufficient to capture the full dynamics of fish responses. The present study seeks to address these challenges by developing the Cyber-Enhanced tank environment for aquaculture research. This concept features a tank environment setup to simulate the prevailing conditions in aquaculture units, mimicking natural light conditions, hiding sensors and other systems to reduce impacts on the fish and potential collisions, and using a</w:t>
      </w:r>
    </w:p>
    <w:p>
      <w:pPr/>
      <w:r>
        <w:rPr>
          <w:b/>
        </w:rPr>
        <w:t>POSSIBLE 2024:</w:t>
      </w:r>
      <w:r>
        <w:t xml:space="preserve"> Critical diameter for a single-tank molten salt storage – Parametric study on structural tank design — https://doi.org/10.1016/j.est.2024.113870</w:t>
      </w:r>
    </w:p>
    <w:p>
      <w:pPr/>
      <w:r>
        <w:rPr>
          <w:b/>
        </w:rPr>
        <w:t>Shared claim-specific concepts:</w:t>
      </w:r>
      <w:r>
        <w:t xml:space="preserve"> show, tank, best; EU scope not established. This is a provisional connection, not an outcome finding.</w:t>
      </w:r>
    </w:p>
    <w:p>
      <w:pPr>
        <w:pStyle w:val="SourceNote"/>
      </w:pPr>
      <w:r>
        <w:rPr>
          <w:b/>
        </w:rPr>
        <w:t>Available abstract (not full text):</w:t>
      </w:r>
      <w:r>
        <w:t xml:space="preserve"> Molten salt thermal energy storage (TES) is a cost-effective option for grid-connected storage in both concentrating solar power (CSP) plants and retrofitted thermal power plants in a multimegawatt scale. Current systems use two tanks (hot and cold), but future systems may use a single tank with a transient temperature profile (hot in the top and cold in the bottom) to reduce costs and space. However, the structural and mechanical design of large-scale molten salt single-tank storages at 560 °C has not been fully explored, and the impact of increasing the operating temperature to 620 °C is still uncertain. The challenge presented by a single tank is the existence of a temperature profile that results in a varying thermal expansion of the tank shell along its height. In the case of larger tanks, this discrepancy can reach a magnitude of centimeters, which in turn gives rise to bending moments. To the best of our knowledge, this study addresses the issue of bending stresses in large-sized high-temperature tanks with thermal stratification for the first time. The modelling approach is applied to single-tank CSP TES systems as a case study to evaluate the constraints imposed by tank size and wall thickness. With the help of experimentally validated numerical methods, it is revealed that a low thermocline thickness can be a limiting factor for large tank diameters. It is shown that </w:t>
      </w:r>
    </w:p>
    <w:p>
      <w:pPr/>
      <w:r>
        <w:rPr>
          <w:b/>
        </w:rPr>
        <w:t>POSSIBLE 2024:</w:t>
      </w:r>
      <w:r>
        <w:t xml:space="preserve"> Learning passive policies with virtual energy tanks in robotics — https://doi.org/10.1049/cth2.12558</w:t>
      </w:r>
    </w:p>
    <w:p>
      <w:pPr/>
      <w:r>
        <w:rPr>
          <w:b/>
        </w:rPr>
        <w:t>Shared claim-specific concepts:</w:t>
      </w:r>
      <w:r>
        <w:t xml:space="preserve"> show, tank, achieve, policies; EU scope not established. This is a provisional connection, not an outcome finding.</w:t>
      </w:r>
    </w:p>
    <w:p>
      <w:pPr>
        <w:pStyle w:val="SourceNote"/>
      </w:pPr>
      <w:r>
        <w:rPr>
          <w:b/>
        </w:rPr>
        <w:t>Available abstract (not full text):</w:t>
      </w:r>
      <w:r>
        <w:t xml:space="preserve"> Abstract Within a robotic context, the techniques of passivity‐based control and reinforcement learning are merged with the goal of eliminating some of their reciprocal weaknesses, as well as inducing novel promising features in the resulting framework. The contribution is framed in a scenario where passivity‐based control is implemented by means of virtual energy tanks, a control technique developed to achieve closed‐loop passivity for any arbitrary control input. Albeit the latter result is heavily used, it is discussed why its practical application at its current stage remains rather limited, which makes contact with the highly debated claim that passivity‐based techniques are associated with a loss of performance. The use of reinforcement learning allows to learn a control policy that can be passivized using the energy tank architecture, combining the versatility of learning approaches and the system theoretic properties which can be inferred due to the energy tanks. Simulations show the validity of the approach, as well as novel interesting research directions in energy‐aware robotics.</w:t>
      </w:r>
    </w:p>
    <w:p>
      <w:pPr/>
      <w:r>
        <w:rPr>
          <w:b/>
        </w:rPr>
        <w:t>POSSIBLE 2023:</w:t>
      </w:r>
      <w:r>
        <w:t xml:space="preserve"> Design and optimization of a type-C tank for liquid hydrogen marine transport — https://doi.org/10.1016/j.ijhydene.2023.05.102</w:t>
      </w:r>
    </w:p>
    <w:p>
      <w:pPr/>
      <w:r>
        <w:rPr>
          <w:b/>
        </w:rPr>
        <w:t>Shared claim-specific concepts:</w:t>
      </w:r>
      <w:r>
        <w:t xml:space="preserve"> outcomes, tank, transport; EU scope not established. This is a provisional connection, not an outcome finding.</w:t>
      </w:r>
    </w:p>
    <w:p>
      <w:pPr>
        <w:pStyle w:val="SourceNote"/>
      </w:pPr>
      <w:r>
        <w:rPr>
          <w:b/>
        </w:rPr>
        <w:t>Available abstract (not full text):</w:t>
      </w:r>
      <w:r>
        <w:t xml:space="preserve"> As one of the most promising renewable energy sources, hydrogen has the excellent environmental benefit of producing zero emissions. A key technical challenge in using hydrogen across sectors is placed on its storage technology. The storage temperature of liquid hydrogen (20 K, or −253 °C) is close to absolute zero so the storage materials and the insulation layers are subjected to extremely stringent requirements against the cryogenic behaviour of the medium. In this context, this research proposed to design a large liquid hydrogen type-C tank with AISI (American Iron and Steel Institution) type 316 L stainless steel as the metal barrier, using Vapor-Cooled Shield (VCS) and Rigid Polyurethane Foams (RPF) as the insulation layer. A parametric study on the design of the insulation layer was carried out by establishing a thermodynamic model. The effects of VCS location on heat ingress to the liquid hydrogen transport tank and insulation temperature distribution were investigated, and the optimal location of the VCS in the insulation was identified. Research outcomes finally suggest two optimal design schemes: (1) when the thickness of the insulation layer is determined, Self-evaporation Vapor-Cooled Shield (SVCS) and Forced-evaporation Vapor-Cooled Shield (FVCS) can reduce heat transfer by 47.84% and 85.86% respectively; (2) when the liquid hydrogen evaporation capacity is determ</w:t>
      </w:r>
    </w:p>
    <w:p>
      <w:pPr/>
      <w:r>
        <w:rPr>
          <w:b/>
        </w:rPr>
        <w:t>POSSIBLE 2023:</w:t>
      </w:r>
      <w:r>
        <w:t xml:space="preserve"> Assessment: Road transport — https://doi.org/10.1787/e8065a49-en</w:t>
      </w:r>
    </w:p>
    <w:p>
      <w:pPr/>
      <w:r>
        <w:rPr>
          <w:b/>
        </w:rPr>
        <w:t>Shared claim-specific concepts:</w:t>
      </w:r>
      <w:r>
        <w:t xml:space="preserve"> outcomes, road, transport; EU scope not established. This is a provisional connection, not an outcome finding.</w:t>
      </w:r>
    </w:p>
    <w:p>
      <w:pPr>
        <w:pStyle w:val="SourceNote"/>
      </w:pPr>
      <w:r>
        <w:rPr>
          <w:b/>
        </w:rPr>
        <w:t>Available abstract (not full text):</w:t>
      </w:r>
      <w:r>
        <w:t xml:space="preserve"> Driving is a major source of carbon emissions, local air pollutants, congestion and noise and can contribute to road accidents. Particular in urban areas, congestion and air pollution are of key concern. Such damage on the environment and on society – commonly referred to as external costs – are typically not reflected in an individual’s or a firm’s decision to own and drive a car. Tax policy can contribute to reflecting the full costs from environmental damage in drivers’ and vehicle owners’ decision making process by relating a price to it, thereby improving transport and environmental outcomes.</w:t>
      </w:r>
    </w:p>
    <w:p>
      <w:pPr>
        <w:pStyle w:val="Heading2"/>
      </w:pPr>
      <w:r>
        <w:t>657. EUropean Heliospheric FORecasting Information Asset 2.0</w:t>
      </w:r>
    </w:p>
    <w:p>
      <w:pPr>
        <w:pStyle w:val="SourceNote"/>
      </w:pPr>
      <w:r>
        <w:rPr>
          <w:b/>
        </w:rPr>
        <w:t>Original source (2020):</w:t>
      </w:r>
      <w:r>
        <w:t xml:space="preserve"> https://doi.org/10.1051/swsc/2020055</w:t>
      </w:r>
    </w:p>
    <w:p>
      <w:pPr/>
      <w:r>
        <w:t>Original wording (abstract; indexed_source_text_not_full_document_verified): This will result in a reliable prediction tool for radiation hazards from SEP events, affecting astronauts, passengers and crew in high-flying aircraft, and the impact of space weather events on power grid infrastructure, telecommunication, and navigation satellites.</w:t>
      </w:r>
    </w:p>
    <w:p>
      <w:pPr/>
      <w:r>
        <w:rPr>
          <w:b/>
        </w:rPr>
        <w:t>POSSIBLE 2026:</w:t>
      </w:r>
      <w:r>
        <w:t xml:space="preserve"> Integrated Digital Garment Modeling and Monte Carlo Simulation of a Water‐Based Radiation Protection Vest for Spaceflight Radiation Hazards — https://doi.org/10.1029/2026sw005103</w:t>
      </w:r>
    </w:p>
    <w:p>
      <w:pPr/>
      <w:r>
        <w:rPr>
          <w:b/>
        </w:rPr>
        <w:t>Shared claim-specific concepts:</w:t>
      </w:r>
      <w:r>
        <w:t xml:space="preserve"> radiation, hazards, events, astronauts, space; EU scope not established. This is a provisional connection, not an outcome finding.</w:t>
      </w:r>
    </w:p>
    <w:p>
      <w:pPr>
        <w:pStyle w:val="SourceNote"/>
      </w:pPr>
      <w:r>
        <w:rPr>
          <w:b/>
        </w:rPr>
        <w:t>Available abstract (not full text):</w:t>
      </w:r>
      <w:r>
        <w:t xml:space="preserve"> Abstract As crewed space missions set course for the Moon and beyond, astronauts will experience prolonged exposure to Galactic Cosmic Rays (GCR) and potentially intense Solar Proton Events (SPEs), both of which pose significant short‐ and long‐term health risks. These conditions underscore the need for a better systemic understanding of radiation protection requirements and for developing personal protective equipment that maintains astronaut safety and operational readiness. This paper presents a new concept and design for a water‐filled radiation‐protection garment tailored for deep‐space missions. The approach integrates organ‐specific protective performance with ergonomics‐informed garment design considerations for microgravity environments. It highlights the value of a transdisciplinary, iterative workflow for advancing design early in radiation‐shielding research. Using a flux‐to‐dose response function derived from Monte Carlo simulations, we assess Effective Dose (ED) rates at high temporal resolution for SPEs and GCR during 1974–2025. We simulated a digital anthropomorphic phantom inside a spacecraft modeled as a 50 g·cm −2 aluminum shell and found that the garment reduces the GCR‐induced ED by approximately 9%. For missions coinciding with the September–October 1989 solar particle event series, the reduction reaches up to 30%. We also propose an operational procedure </w:t>
      </w:r>
    </w:p>
    <w:p>
      <w:pPr/>
      <w:r>
        <w:rPr>
          <w:b/>
        </w:rPr>
        <w:t>POSSIBLE 2026:</w:t>
      </w:r>
      <w:r>
        <w:t xml:space="preserve"> Reliable Narrowband Interference Detection via Backward Conformal Prediction — https://doi.org/10.48550/arxiv.2605.02486</w:t>
      </w:r>
    </w:p>
    <w:p>
      <w:pPr/>
      <w:r>
        <w:rPr>
          <w:b/>
        </w:rPr>
        <w:t>Shared claim-specific concepts:</w:t>
      </w:r>
      <w:r>
        <w:t xml:space="preserve"> reliable, prediction, power; EU scope not established. This is a provisional connection, not an outcome finding.</w:t>
      </w:r>
    </w:p>
    <w:p>
      <w:pPr>
        <w:pStyle w:val="SourceNote"/>
      </w:pPr>
      <w:r>
        <w:rPr>
          <w:b/>
        </w:rPr>
        <w:t>Available abstract (not full text):</w:t>
      </w:r>
      <w:r>
        <w:t xml:space="preserve"> Narrowband interference can severely degrade the performance of wireless links by concentrating significant power on a small portion of the channel. Machine learning detectors trained on baseband I/Q samples can identify the affected subcarriers with high accuracy, surpassing model-based detectors that rely on hand-crafted statistics. The predictive probabilities produced by such detectors are, however, typically poorly calibrated, and downstream mitigation modules generally operate under strict resource budgets that limit the number of candidate interference subcarriers that can be acted upon. Conformal prediction (CP) provides a distribution-free framework for constructing prediction sets that control the miscoverage level, i.e., the probability of excluding the true output, at a prescribed level. However, this target miscoverage level must be fixed in advance, while the resulting prediction-set size remains uncontrolled, which is misaligned with operationally constrained settings. To address this issue, we develop a backward conformal prediction (BCP) framework in which the prediction-set size is fixed by the operational budget and the corresponding per-input miscoverage level is estimated from calibration data with a provable post-hoc reliability guarantee. We instantiate the framework for narrowband interference detection in wireless systems and show through simulations th</w:t>
      </w:r>
    </w:p>
    <w:p>
      <w:pPr/>
      <w:r>
        <w:rPr>
          <w:b/>
        </w:rPr>
        <w:t>POSSIBLE 2026:</w:t>
      </w:r>
      <w:r>
        <w:t xml:space="preserve"> Reliable Remediation Impact Prediction for Black-Box Security Ratings — https://openalex.org/W7170112303</w:t>
      </w:r>
    </w:p>
    <w:p>
      <w:pPr/>
      <w:r>
        <w:rPr>
          <w:b/>
        </w:rPr>
        <w:t>Shared claim-specific concepts:</w:t>
      </w:r>
      <w:r>
        <w:t xml:space="preserve"> reliable, prediction; EU scope not established. This is a provisional connection, not an outcome finding.</w:t>
      </w:r>
    </w:p>
    <w:p>
      <w:pPr>
        <w:pStyle w:val="SourceNote"/>
      </w:pPr>
      <w:r>
        <w:rPr>
          <w:b/>
        </w:rPr>
        <w:t>Available abstract (not full text):</w:t>
      </w:r>
      <w:r>
        <w:t xml:space="preserve"> Security rating platforms summarize externally observable cyber exposure and are expected to help organizations prioritize remediation. A platform may want to tell an organization how a candidate remediation action would affect its score, but repeatedly exposing exact score responses can reveal information about the hidden scoring engine. We propose a surrogate based approach for remediation score impact prediction that is designed to respect this opacity constraint. The surrogate predicts scores from organization configurations while explicitly representing checkpoint (i.e., a security check) applicability and the observed checkpoint set. A main challenge is that such predictions are not uniformly reliable: they depend on the amount and structure of the observable checkpoint evidence available for a given configuration. To address this, the approach combines applicability-aware surrogate construction, sensitivity analysis under controlled checkpoint restriction, a reliability layer for identifying unstable predictions, and score-impact prediction for supported remediation actions. Explicit modeling of checkpoint applicability is central throughout: it improves score prediction and provides the feature basis used by the reliability layer to identify unstable cases. We evaluate the approach on a real-world dataset of 5,188 organization configurations from a commercial security r</w:t>
      </w:r>
    </w:p>
    <w:p>
      <w:pPr/>
      <w:r>
        <w:rPr>
          <w:b/>
        </w:rPr>
        <w:t>POSSIBLE 2025:</w:t>
      </w:r>
      <w:r>
        <w:t xml:space="preserve"> Exploring Hybrid Forecasting Frameworks for Subseasonal Low Flow Predictions in the European Alps — https://doi.org/10.5194/egusphere-2025-3411</w:t>
      </w:r>
    </w:p>
    <w:p>
      <w:pPr/>
      <w:r>
        <w:rPr>
          <w:b/>
        </w:rPr>
        <w:t>Shared claim-specific concepts:</w:t>
      </w:r>
      <w:r>
        <w:t xml:space="preserve"> reliable, prediction, events, weather, power; EU scope visible. This is a provisional connection, not an outcome finding.</w:t>
      </w:r>
    </w:p>
    <w:p>
      <w:pPr>
        <w:pStyle w:val="SourceNote"/>
      </w:pPr>
      <w:r>
        <w:rPr>
          <w:b/>
        </w:rPr>
        <w:t>Available abstract (not full text):</w:t>
      </w:r>
      <w:r>
        <w:t xml:space="preserve"> Abstract. Since the start of the 21st century, the European Alpine region has faced unprecedented low-flow conditions and drought events, severely impacting sectors dependent on reliable water availability, such as hydropower production, agriculture, and transportation. The growing frequency and severity of these low-flow conditions have led to a need for early warning systems. In this study, we present a novel machine learning (ML) aided hybrid forecasting framework designed to enhance sub-seasonal low-flow predictions in the European Alps. By harnessing the statistical power of ML and integrating diverse data sources, we trained 11 models using the Temporal Fusion Transformer (TFT) algorithm. These models incorporate features such as European Atlantic Weather Regimes (WR) for capturing large-scale atmospheric circulation patterns, in-situ streamflow observations for initial conditions, and process-based predictions from the European Flood Awareness System (EFAS). Our results show that the hybrid framework, even when using only WR data, outperforms climatology. The best results are achieved by combining observational data with process-based model data (raw EFAS output), underscoring the value of integrating diverse data sources. The models effectively capture initial condition persistence and correct biases in the raw EFAS output. Based on the Continuous Ranked Probability Ski</w:t>
      </w:r>
    </w:p>
    <w:p>
      <w:pPr/>
      <w:r>
        <w:rPr>
          <w:b/>
        </w:rPr>
        <w:t>POSSIBLE 2025:</w:t>
      </w:r>
      <w:r>
        <w:t xml:space="preserve"> The PIANOFORTE partnership: Elevating European research for enhanced radiation protection — https://doi.org/10.1051/epjn/2025009</w:t>
      </w:r>
    </w:p>
    <w:p>
      <w:pPr/>
      <w:r>
        <w:rPr>
          <w:b/>
        </w:rPr>
        <w:t>Shared claim-specific concepts:</w:t>
      </w:r>
      <w:r>
        <w:t xml:space="preserve"> reliable, radiation, infrastructure; EU scope visible. This is a provisional connection, not an outcome finding.</w:t>
      </w:r>
    </w:p>
    <w:p>
      <w:pPr>
        <w:pStyle w:val="SourceNote"/>
      </w:pPr>
      <w:r>
        <w:rPr>
          <w:b/>
        </w:rPr>
        <w:t>Available abstract (not full text):</w:t>
      </w:r>
      <w:r>
        <w:t xml:space="preserve"> The PIANOFORTE partnership (2022–2029) aims to enhance radiation protection for the public, patients, workers, and the environment across various exposure scenarios. This European initiative addresses key barriers in health and environmental risk research related to ionising radiation and promotes findings that support effective radiation protection policies. By building a comprehensive pan-European scientific and technological foundation, PIANOFORTE ensures that the radiation protection system remains fit-for-purpose, delivers science-based policy recommendations and improved practices across sectors using nuclear technology and ionising radiation, including both energy-related and non-energy applications. In the medical field, PIANOFORTE works to reduce uncertainties in health risk estimates and support innovations in cancer diagnosis and therapies. Other key priorities include developing reliable methods for evaluating radiation protection related to new technologies and managing radiation emergencies, improving strategies for both immediate response and long-term recovery. The Partnership's multi-stage prioritisation mechanism of research needs ensures that developed efforts reflect the perspectives of a broad range of stakeholders, including researchers, policy makers, regulators, implementers and practitioners. This inclusiveness aligns research priorities with pressing s</w:t>
      </w:r>
    </w:p>
    <w:p>
      <w:pPr/>
      <w:r>
        <w:rPr>
          <w:b/>
        </w:rPr>
        <w:t>POSSIBLE 2024:</w:t>
      </w:r>
      <w:r>
        <w:t xml:space="preserve"> IS LOGISTIC REGRESSION RELIABLE IN BANKRUPTCY PREDICTION? — https://doi.org/10.54933/jmbrp-2024-16-1-6</w:t>
      </w:r>
    </w:p>
    <w:p>
      <w:pPr/>
      <w:r>
        <w:rPr>
          <w:b/>
        </w:rPr>
        <w:t>Shared claim-specific concepts:</w:t>
      </w:r>
      <w:r>
        <w:t xml:space="preserve"> reliable, prediction, tool; EU scope not established. This is a provisional connection, not an outcome finding.</w:t>
      </w:r>
    </w:p>
    <w:p>
      <w:pPr>
        <w:pStyle w:val="SourceNote"/>
      </w:pPr>
      <w:r>
        <w:rPr>
          <w:b/>
        </w:rPr>
        <w:t>Available abstract (not full text):</w:t>
      </w:r>
      <w:r>
        <w:t xml:space="preserve"> Background: The fundamental foundation of financial and economic analysis is the implementation of financial and statistical models in business entities. Financial indicators help assess the company's financial situation and, at the same time, represent the most used tool in the detection of bankruptcy. A still significant method is the logistic regression, which ranks among classic statistical methods. Aims: The aim of the paper is to propose a scoring model for non-financial corporations in the electrotechnical industry and to estimate the probability of bankruptcy of enterprises in the electrotechnical industry of the Slovak Republic. Sample: The research sample consists of 1,241 companies operating in the electrotechnical industry of the Slovak Republic, according to SK NACE 26, 27 in the year 2020. Methods: We used logistic regression and designed a logistic model. Financial data were sourced from The Register of Financial Statements of the Slovak Republic. Results: In the bankruptcy model for the electrotechnical industry, the estimated odds ratios showed that the chances of bankruptcy significantly reduce the financial indicators EBITDA/T, ROA, L2, and NWC/A. When these indicators increase, the company's probability (or chance) of bankruptcy decreases. Conclusions: The estimate of a risky company or the probability of its bankruptcy is always very important. Therefore, i</w:t>
      </w:r>
    </w:p>
    <w:p>
      <w:pPr/>
      <w:r>
        <w:rPr>
          <w:b/>
        </w:rPr>
        <w:t>POSSIBLE 2024:</w:t>
      </w:r>
      <w:r>
        <w:t xml:space="preserve"> Multi-model Physically-based constrained decadal predictions of precipitation over Europe — https://doi.org/10.5194/ems2024-191</w:t>
      </w:r>
    </w:p>
    <w:p>
      <w:pPr/>
      <w:r>
        <w:rPr>
          <w:b/>
        </w:rPr>
        <w:t>Shared claim-specific concepts:</w:t>
      </w:r>
      <w:r>
        <w:t xml:space="preserve"> reliable, prediction; EU scope visible. This is a provisional connection, not an outcome finding.</w:t>
      </w:r>
    </w:p>
    <w:p>
      <w:pPr>
        <w:pStyle w:val="SourceNote"/>
      </w:pPr>
      <w:r>
        <w:rPr>
          <w:b/>
        </w:rPr>
        <w:t>Available abstract (not full text):</w:t>
      </w:r>
      <w:r>
        <w:t xml:space="preserve"> Decadal climate predictions are our most reliable source of climate information for the near-term climate change. They can be very useful to develop climate services to users from sectors such as agriculture, industry, energy, water management, health, etc. However, before developing these climate services, an assessment of the forecast quality for the variables and regions of interest is needed. In this work, we consider the available retrospective decadal predictions (DCPP-A) contributing to phase 6 of the Coupled model Intercomparison Project (CMIP6) and analyze their skill to predict rainfall over Europe. Rainfall variability over Europe is strongly linked to variations in the North Atlantic jet stream. At multidecadal time scales, some studies have shown that the variability of the North Atlantic jet stream could be driven by low-frequency changes in the sea surface temperature over the north Atlantic associated with the Atlantic Multidecadal Variability. Retrospective decadal predictions present skill to predict the low-frequency variability of the SST associated with Atlantic Multidecadal Variability. However, they have difficulties in predicting precipitation variability over Europe. Here, we analyze the skill of DCPP-A models to predict precipitation over Europe, exploring the multimodel ensemble to identify the models with enhanced skill, investigating as well the und</w:t>
      </w:r>
    </w:p>
    <w:p>
      <w:pPr/>
      <w:r>
        <w:rPr>
          <w:b/>
        </w:rPr>
        <w:t>POSSIBLE 2024:</w:t>
      </w:r>
      <w:r>
        <w:t xml:space="preserve"> Explainable artificial intelligence for reliable water demand forecasting to increase trust in predictions — https://doi.org/10.1016/j.watres.2024.122779</w:t>
      </w:r>
    </w:p>
    <w:p>
      <w:pPr/>
      <w:r>
        <w:rPr>
          <w:b/>
        </w:rPr>
        <w:t>Shared claim-specific concepts:</w:t>
      </w:r>
      <w:r>
        <w:t xml:space="preserve"> reliable, prediction, weather, infrastructure; EU scope visible. This is a provisional connection, not an outcome finding.</w:t>
      </w:r>
    </w:p>
    <w:p>
      <w:pPr>
        <w:pStyle w:val="SourceNote"/>
      </w:pPr>
      <w:r>
        <w:rPr>
          <w:b/>
        </w:rPr>
        <w:t>Available abstract (not full text):</w:t>
      </w:r>
      <w:r>
        <w:t xml:space="preserve"> The "EU Artificial Intelligence Act" sets a framework for the implementation of artificial intelligence (AI) in Europe. As a legal assessment reveals, AI applications in water supply systems are categorised as high-risk AI if a failure in the AI application results in a significant impact on physical infrastructure or supply reliability. The use case of water demand forecasts with AI for automatic tank operation is for example categorised as high-risk AI and must fulfil specific requirements regarding model transparency (traceability, explainability) and technical robustness (accuracy, reliability). To this end, six widely established machine learning models, including both transparent and opaque models, are applied to different datasets for daily water demand forecasting and the requirements regarding model accuracy, transparency and technical robustness are systematically evaluated for this use case. Opaque models generally achieve higher prediction accuracy compared to transparent models due to their ability to capture the complex relationship between parameters like for example weather data and water demand. However, this also makes them vulnerable to deviations and irregularities in weather forecasts and historical water demand. In contrast, transparent models rely mainly on historical water demand data for the utilised dataset and are less influenced by weather data, maki</w:t>
      </w:r>
    </w:p>
    <w:p>
      <w:pPr/>
      <w:r>
        <w:rPr>
          <w:b/>
        </w:rPr>
        <w:t>POSSIBLE 2023:</w:t>
      </w:r>
      <w:r>
        <w:t xml:space="preserve"> D5.1 Advanced and Reliable Models for Natural and Man-Made Hazards — https://doi.org/10.5281/zenodo.7620517</w:t>
      </w:r>
    </w:p>
    <w:p>
      <w:pPr/>
      <w:r>
        <w:rPr>
          <w:b/>
        </w:rPr>
        <w:t>Shared claim-specific concepts:</w:t>
      </w:r>
      <w:r>
        <w:t xml:space="preserve"> reliable, hazards; EU scope not established. This is a provisional connection, not an outcome finding.</w:t>
      </w:r>
    </w:p>
    <w:p>
      <w:pPr>
        <w:pStyle w:val="SourceNote"/>
      </w:pPr>
      <w:r>
        <w:rPr>
          <w:b/>
        </w:rPr>
        <w:t>Available abstract (not full text):</w:t>
      </w:r>
      <w:r>
        <w:t xml:space="preserve"> Deliverable 5.1 presents advanced and reliable modelling for a broad spectrum of natural and man-made hazards as pertinent to the four pilot sites of HYPERION in Rhodes, Granada, Venice and Tonsberg, and provides the involved stakeholders, scientists and users useful information for their specific needs in handling natural and human-induced disasters. Models were implemented by AUTH, with the assistance of FMI, RG and NTUA, building on existing research capacity in a broad spectrum of modelling approaches to natural and man-made hazards. Models of climatic impact are described based on environmental parameters (according to a reliability-based approach for durability) in order to define the needed parameters for the modeling purpose.</w:t>
      </w:r>
    </w:p>
    <w:p>
      <w:pPr/>
      <w:r>
        <w:rPr>
          <w:b/>
        </w:rPr>
        <w:t>POSSIBLE 2022:</w:t>
      </w:r>
      <w:r>
        <w:t xml:space="preserve"> Regional prediction of multi-mycotoxin contamination of wheat in Europe using machine learning — https://doi.org/10.1016/j.foodres.2022.111588</w:t>
      </w:r>
    </w:p>
    <w:p>
      <w:pPr/>
      <w:r>
        <w:rPr>
          <w:b/>
        </w:rPr>
        <w:t>Shared claim-specific concepts:</w:t>
      </w:r>
      <w:r>
        <w:t xml:space="preserve"> prediction, weather, grid; EU scope visible. This is a provisional connection, not an outcome finding.</w:t>
      </w:r>
    </w:p>
    <w:p>
      <w:pPr>
        <w:pStyle w:val="SourceNote"/>
      </w:pPr>
      <w:r>
        <w:rPr>
          <w:b/>
        </w:rPr>
        <w:t>Available abstract (not full text):</w:t>
      </w:r>
      <w:r>
        <w:t xml:space="preserve"> Wheat is susceptible to fungal infection and mycotoxin contamination during its cultivation period, under opportune environmental conditions. The presence of mycotoxins, such as deoxynivalenol and zearalenone, in wheat destined for feed and food can affect animal and human health. This study aimed to develop a machine learning algorithm to predict the risk levels of one or more mycotoxins in wheat on a regional basis in Europe using crop phenological data, weather data, and satellite images as input. A dataset was obtained with 11 years of mycotoxin monitoring data (2010-2020), including historical records of the concentration of deoxynivalenol, zearalenone, T-2 toxin and HT-2 toxin, fumonisins, aflatoxins, and/or ochratoxin A in wheat in Europe. This dataset was linked, based on year and grid (25 × 25 km), to wheat phenology data, weather data, and satellite image data. The complete dataset for the years 2010-2018 was split into a model training (80%) and an internal model validation set (20%). Data for the years 2019 and 2020 were used for external validation. The random forest (RF) algorithm was applied to train the model using the model training data. The model predicts the probability (low, medium, high) of wheat grown in a certain grid in Europe to be contaminated with at least one of the six mycotoxins under study. Results showed high prediction performance of the model:</w:t>
      </w:r>
    </w:p>
    <w:p>
      <w:pPr/>
      <w:r>
        <w:rPr>
          <w:b/>
        </w:rPr>
        <w:t>POSSIBLE 2022:</w:t>
      </w:r>
      <w:r>
        <w:t xml:space="preserve"> Large-scale circulation patterns and their influence on European winter windstorm predictions — https://doi.org/10.1007/s00382-022-06455-2</w:t>
      </w:r>
    </w:p>
    <w:p>
      <w:pPr/>
      <w:r>
        <w:rPr>
          <w:b/>
        </w:rPr>
        <w:t>Shared claim-specific concepts:</w:t>
      </w:r>
      <w:r>
        <w:t xml:space="preserve"> prediction, events, weather; EU scope visible. This is a provisional connection, not an outcome finding.</w:t>
      </w:r>
    </w:p>
    <w:p>
      <w:pPr>
        <w:pStyle w:val="SourceNote"/>
      </w:pPr>
      <w:r>
        <w:rPr>
          <w:b/>
        </w:rPr>
        <w:t>Available abstract (not full text):</w:t>
      </w:r>
      <w:r>
        <w:t xml:space="preserve"> Abstract Severe winter windstorms are amongst the most damaging weather events for Europe and show significant interannual variability. While surface variables (temperature, precipitation) have been successfully predicted for some time now, predictability of severe windstorms caused by extra-tropical cyclones remains less well explored. This study investigates windstorm prediction skill of the UK Met Office Global Seasonal Forecast System Version 5 (GloSea5) for the Northeast-Atlantic and European region. Based on an objective Lagrangian tracking of severe, damage relevant windstorms, three storm parameters are analysed: windstorm frequency and two intensity measures. Firstly, skill based on direct tracking of simulated windstorms is diagnosed. Significant positive skill for storm frequency and intensity is found over an extended area at the downstream end of the storm track, i.e., from the UK to southern Scandinavia. The skill for frequency agrees well with previous studies for older model versions, while the results of event-based intensity are novel. Receiver Operating Characteristic Curves for three smaller regions reveal significant skill for high and low storm activity seasons. Second, skill of windstorm characteristics based on their multi-linear regressions to three dominant large-scale circulation patterns [i.e., the North Atlantic Oscillation (NAO), the Scandinavian P</w:t>
      </w:r>
    </w:p>
    <w:p>
      <w:pPr/>
      <w:r>
        <w:rPr>
          <w:b/>
        </w:rPr>
        <w:t>POSSIBLE 2022:</w:t>
      </w:r>
      <w:r>
        <w:t xml:space="preserve"> On the Intersection of Explainable and Reliable AI for Physical Fatigue Prediction — https://doi.org/10.1109/access.2022.3191907</w:t>
      </w:r>
    </w:p>
    <w:p>
      <w:pPr/>
      <w:r>
        <w:rPr>
          <w:b/>
        </w:rPr>
        <w:t>Shared claim-specific concepts:</w:t>
      </w:r>
      <w:r>
        <w:t xml:space="preserve"> reliable, prediction, space; EU scope not established. This is a provisional connection, not an outcome finding.</w:t>
      </w:r>
    </w:p>
    <w:p>
      <w:pPr>
        <w:pStyle w:val="SourceNote"/>
      </w:pPr>
      <w:r>
        <w:rPr>
          <w:b/>
        </w:rPr>
        <w:t>Available abstract (not full text):</w:t>
      </w:r>
      <w:r>
        <w:t xml:space="preserve"> In the era of Industry 4.0, the use of Artificial Intelligence (AI) is widespread in occupational settings. Since dealing with human safety, explainability and trustworthiness of AI are even more important than achieving high accuracy. eXplainable AI (XAI) is investigated in this paper to detect physical fatigue during manual material handling task simulation. Besides comparing global rule-based XAI models (LLM and DT) to black-box models (NN, SVM, XGBoost) in terms of performance, we also compare global models with local ones (LIME over XGBoost). Surprisingly, global and local approaches achieve similar conclusions, in terms of feature importance. Moreover, an expansion from local rules to global rules is designed for Anchors, by posing an appropriate optimization method (Anchors coverage is enlarged from an original low value, 11%, up to 43%). As far as trustworthiness is concerned, rule sensitivity analysis drives the identification of optimized regions in the feature space, where physical fatigue is predicted with zero statistical error. The discovery of such “non-fatigue regions” helps certifying the organizational and clinical decision making.</w:t>
      </w:r>
    </w:p>
    <w:p>
      <w:pPr>
        <w:pStyle w:val="Heading2"/>
      </w:pPr>
      <w:r>
        <w:t>658. Econometric Studies on the Development of Renewable Energy Sources to Support the European Union 2020–2030 Climate and Energy Framework: A Critical Appraisal</w:t>
      </w:r>
    </w:p>
    <w:p>
      <w:pPr>
        <w:pStyle w:val="SourceNote"/>
      </w:pPr>
      <w:r>
        <w:rPr>
          <w:b/>
        </w:rPr>
        <w:t>Original source (2020):</w:t>
      </w:r>
      <w:r>
        <w:t xml:space="preserve"> https://doi.org/10.3390/su12124828</w:t>
      </w:r>
    </w:p>
    <w:p>
      <w:pPr/>
      <w:r>
        <w:t>Original wording (abstract; indexed_source_text_not_full_document_verified): One of the key objectives of the European Union is the transition to a total decarbonization of the economy by 2050.</w:t>
      </w:r>
    </w:p>
    <w:p>
      <w:pPr/>
      <w:r>
        <w:rPr>
          <w:b/>
        </w:rPr>
        <w:t>POSSIBLE 2026:</w:t>
      </w:r>
      <w:r>
        <w:t xml:space="preserve"> Key сhallenges of EU environmental law arising from the European Green Deal — https://doi.org/10.24144/2307-3322.2026.94.2.29</w:t>
      </w:r>
    </w:p>
    <w:p>
      <w:pPr/>
      <w:r>
        <w:rPr>
          <w:b/>
        </w:rPr>
        <w:t>Shared claim-specific concepts:</w:t>
      </w:r>
      <w:r>
        <w:t xml:space="preserve"> one, key, objectives, transition, economy; EU scope visible. This is a provisional connection, not an outcome finding.</w:t>
      </w:r>
    </w:p>
    <w:p>
      <w:pPr>
        <w:pStyle w:val="SourceNote"/>
      </w:pPr>
      <w:r>
        <w:rPr>
          <w:b/>
        </w:rPr>
        <w:t>Available abstract (not full text):</w:t>
      </w:r>
      <w:r>
        <w:t xml:space="preserve"> The article examines the legal nature and specific features of EU environmental law in light of the objectives defined by the proclamation of the European Green Deal policy. The presentation of the European Green Deal has generated considerable public interest and political debate. It has become evident that the chosen path is ambitious yet strategic and will require not only administrative decisions but also regulatory, market-based and procedural instruments, multifaceted cooperation, investment resources, information campaigns. At the same time, the transformations outlined in the Deal will have a cross-sectoral impact on all branches of the economy: industry, construction, agriculture, trade, governance, etc. and will necessitate extensive scientific research and technological innovation. Moreover, these changes will shape future environmental trends for the global community and significantly transform people’s usual way of living life. The analysis of the Communication from the European Commission makes it possible to identify the following key components of the European Green Deal: increasing the EU’s climate ambition for 2030 and 2050; supplying clean, affordable and secure energy; mobilising industry for a clean and circular economy; building and renovating in an energy- and resource-efficient way; striving for zero pollution and a toxic-free environment; preserving and</w:t>
      </w:r>
    </w:p>
    <w:p>
      <w:pPr/>
      <w:r>
        <w:rPr>
          <w:b/>
        </w:rPr>
        <w:t>POSSIBLE 2026:</w:t>
      </w:r>
      <w:r>
        <w:t xml:space="preserve"> Multi-objective supply chain optimization of renewable energy carrier imports for Europe — https://doi.org/10.18154/rwth-2026-04980</w:t>
      </w:r>
    </w:p>
    <w:p>
      <w:pPr/>
      <w:r>
        <w:rPr>
          <w:b/>
        </w:rPr>
        <w:t>Shared claim-specific concepts:</w:t>
      </w:r>
      <w:r>
        <w:t xml:space="preserve"> objectives; EU scope visible. This is a provisional connection, not an outcome finding.</w:t>
      </w:r>
    </w:p>
    <w:p>
      <w:pPr>
        <w:pStyle w:val="SourceNote"/>
      </w:pPr>
      <w:r>
        <w:rPr>
          <w:b/>
        </w:rPr>
        <w:t>Available abstract (not full text):</w:t>
      </w:r>
      <w:r>
        <w:t xml:space="preserve"> We present an optimization approach examining renewable energy import partners.• The approach considers economic, environmental, and supply security objectives.• It identifies optimal exporting regions, their supply shares, and infrastructure.• It considers multiple renewable energy carriers trade over the long-term horizon.• We demonstrate the approach for the case of renewable energy imports to Europe.</w:t>
      </w:r>
    </w:p>
    <w:p>
      <w:pPr/>
      <w:r>
        <w:rPr>
          <w:b/>
        </w:rPr>
        <w:t>POSSIBLE 2026:</w:t>
      </w:r>
      <w:r>
        <w:t xml:space="preserve"> Competitiveness as a secondary regulatory objective in the European Union: a necessary complement to financial stability and investor protection — https://doi.org/10.1093/cmlj/kmag020</w:t>
      </w:r>
    </w:p>
    <w:p>
      <w:pPr/>
      <w:r>
        <w:rPr>
          <w:b/>
        </w:rPr>
        <w:t>Shared claim-specific concepts:</w:t>
      </w:r>
      <w:r>
        <w:t xml:space="preserve"> one, key, union, economy; EU scope visible. This is a provisional connection, not an outcome finding.</w:t>
      </w:r>
    </w:p>
    <w:p>
      <w:pPr>
        <w:pStyle w:val="SourceNote"/>
      </w:pPr>
      <w:r>
        <w:rPr>
          <w:b/>
        </w:rPr>
        <w:t>Available abstract (not full text):</w:t>
      </w:r>
      <w:r>
        <w:t xml:space="preserve"> Abstract Competitiveness has moved to the centre of European economic policy, and the competitive strength of the European Union’s (EU) financial system is now the subject of intense debate, from the Draghi report to the central bank governors’ call for a holistic review of regulatory complexity. Yet this debate has so far lacked an operational anchor: a definition of financial competitiveness that is precise, measurable, and internationally comparable. This article fills that gap. It argues that competitiveness should be introduced as a secondary objective in European financial regulation and supervision, not as a rival to prudential soundness and consumer protection, but as their complement: a system that fails to finance the real economy will eventually erode its own stability, just as one that sacrifices resilience for short-term advantage will forfeit competitiveness over time. Building on precedents in the UK, Chile, Singapore, and India, the article develops a framework that turns competitiveness from political rhetoric into an operational mandate. It defines financial competitiveness as a system-level property and operationalizes it through four mutually reinforcing dimensions (financing capacity, profitability and value creation, resilience, and market participation and digital transformation), captured by 28 key performance indicators. The empirical diagnostic exposes</w:t>
      </w:r>
    </w:p>
    <w:p>
      <w:pPr/>
      <w:r>
        <w:rPr>
          <w:b/>
        </w:rPr>
        <w:t>POSSIBLE 2026:</w:t>
      </w:r>
      <w:r>
        <w:t xml:space="preserve"> The European Council turns 50: Studying and analyzing a key institution of the European Union — https://doi.org/10.1017/s1682098325100106</w:t>
      </w:r>
    </w:p>
    <w:p>
      <w:pPr/>
      <w:r>
        <w:rPr>
          <w:b/>
        </w:rPr>
        <w:t>Shared claim-specific concepts:</w:t>
      </w:r>
      <w:r>
        <w:t xml:space="preserve"> one, key, union; EU scope visible. This is a provisional connection, not an outcome finding.</w:t>
      </w:r>
    </w:p>
    <w:p>
      <w:pPr>
        <w:pStyle w:val="SourceNote"/>
      </w:pPr>
      <w:r>
        <w:rPr>
          <w:b/>
        </w:rPr>
        <w:t>Available abstract (not full text):</w:t>
      </w:r>
      <w:r>
        <w:t xml:space="preserve"> Abstract The European Council is one, if not the , key institution of the European Union (EU). Coming together for the first time about 50 years ago, in March 1975, the European Council comprises notably the Heads of State or Government of the EU member states, thus linking national and European levels. It takes important decisions in various policy areas and has regularly expanded the EU’s agenda and competences. In recent years, the European Council has acted as the prime crisis manager. At the same time, because of its requirement for consensus and its own small internal capacities, it is vulnerable to blockades and depends on other EU institutions for the preparation and implementation of its decisions. This article analyzes the European Council as key actor in the EU’s multi-level and multi-institutional system of governance. Comparing and bringing together different theoretical perspectives, it critically examines its various roles, functions, and shortcomings. Contrary to the predominant view, the European Council – despite its intergovernmental composition – tends to strengthen the EU’s supranational procedures. With this institution becoming ever more important and visible, the paper also suggests avenues for the further study of the European Council.</w:t>
      </w:r>
    </w:p>
    <w:p>
      <w:pPr/>
      <w:r>
        <w:rPr>
          <w:b/>
        </w:rPr>
        <w:t>POSSIBLE 2025:</w:t>
      </w:r>
      <w:r>
        <w:t xml:space="preserve"> Cluster Analysis of the Transition to Climate Neutrality in the European Union — https://doi.org/10.1002/sd.70064</w:t>
      </w:r>
    </w:p>
    <w:p>
      <w:pPr/>
      <w:r>
        <w:rPr>
          <w:b/>
        </w:rPr>
        <w:t>Shared claim-specific concepts:</w:t>
      </w:r>
      <w:r>
        <w:t xml:space="preserve"> key, objectives, union, transition; EU scope visible. This is a provisional connection, not an outcome finding.</w:t>
      </w:r>
    </w:p>
    <w:p>
      <w:pPr>
        <w:pStyle w:val="SourceNote"/>
      </w:pPr>
      <w:r>
        <w:rPr>
          <w:b/>
        </w:rPr>
        <w:t>Available abstract (not full text):</w:t>
      </w:r>
      <w:r>
        <w:t xml:space="preserve"> ABSTRACT The transition to climate neutrality is an important objective for the European Union, which is increasingly affected economically and environmentally by the impacts of climate change. The primary objective of this study is to analyze the transition to climate neutrality across EU Member States through a cluster analysis approach. Specifically, the research aims to: (1) review existing literature on environmental policy outcomes in achieving climate neutrality, (2) identify key energy and environmental economic drivers impacting this transition, (3) conduct a cluster analysis to group Member States based on their progress and challenges, and (4) propose differentiated public policy recommendations to support Europe's transition to climate neutrality. To achieve these objectives, the K‐means clustering method and ranking techniques were employed to identify differences in transition policies and to evaluate disparities among clusters in their contribution to the EU's overall climate neutrality goals. The study's results determined differences in the cluster structure of the European Union in terms of the approach to the transition to climate neutrality. They will provide a basis for developing differentiated public policy proposals between countries. The results are useful for supranational policymakers in determining approaches for adjusting climate neutrality transiti</w:t>
      </w:r>
    </w:p>
    <w:p>
      <w:pPr/>
      <w:r>
        <w:rPr>
          <w:b/>
        </w:rPr>
        <w:t>POSSIBLE 2025:</w:t>
      </w:r>
      <w:r>
        <w:t xml:space="preserve"> Harmonizing Nature: The Role of the Integration Principle in Advancing the Biodiversity and Forest Climate Objectives in the European Green Deal — https://openalex.org/W7215325327</w:t>
      </w:r>
    </w:p>
    <w:p>
      <w:pPr/>
      <w:r>
        <w:rPr>
          <w:b/>
        </w:rPr>
        <w:t>Shared claim-specific concepts:</w:t>
      </w:r>
      <w:r>
        <w:t xml:space="preserve"> one, key, objectives; EU scope visible. This is a provisional connection, not an outcome finding.</w:t>
      </w:r>
    </w:p>
    <w:p>
      <w:pPr>
        <w:pStyle w:val="SourceNote"/>
      </w:pPr>
      <w:r>
        <w:rPr>
          <w:b/>
        </w:rPr>
        <w:t>Available abstract (not full text):</w:t>
      </w:r>
      <w:r>
        <w:t xml:space="preserve"> The European Green Deal offers a transformative vision for sustainable and economic growth, with biodiversity protection and climate action as its key pillars.It sets ambitious goals for achieving climate neutrality by 2050.EU environmental law is largely guided by its four environmental principles, one of which -the integration principle -plays a crucial role in harmonizing environmental targets with other policy fields.This thesis examines the integration principle within the European Green Deal, focusing on its role in harmonizing nature conservation with forest-related climate objectives.Specifically, it evaluates the absence of a clear emphasis on the integration principle in the Green Deal and its implications for achieving the initiative's goals.It also explores the dual challenge of meeting biodiversity and climate objectives within two of the most important pieces of legislation under the Green Deal: the LULUCF Regulation and the Nature Restoration Law, assessing how well these laws incorporate the integration principle and what impact this has -or doesn't have -on their effectiveness.</w:t>
      </w:r>
    </w:p>
    <w:p>
      <w:pPr/>
      <w:r>
        <w:rPr>
          <w:b/>
        </w:rPr>
        <w:t>POSSIBLE 2024:</w:t>
      </w:r>
      <w:r>
        <w:t xml:space="preserve"> European ATM Key Performance Metrics Evolution — https://doi.org/10.35116/aa.2024.0006</w:t>
      </w:r>
    </w:p>
    <w:p>
      <w:pPr/>
      <w:r>
        <w:rPr>
          <w:b/>
        </w:rPr>
        <w:t>Shared claim-specific concepts:</w:t>
      </w:r>
      <w:r>
        <w:t xml:space="preserve"> one, key, objectives; EU scope visible. This is a provisional connection, not an outcome finding.</w:t>
      </w:r>
    </w:p>
    <w:p>
      <w:pPr>
        <w:pStyle w:val="SourceNote"/>
      </w:pPr>
      <w:r>
        <w:rPr>
          <w:b/>
        </w:rPr>
        <w:t>Available abstract (not full text):</w:t>
      </w:r>
      <w:r>
        <w:t xml:space="preserve"> The aviation industry is one of the most sensitive sectors to external factors. Key performance indicators are quantifiable measures that can perfectly describe the current status of the observed object against a set of targets and objectives. This article aims to assess the evolution of key performance indicators in European but mainly Slovak air traffic management systems. The goal is to emphasize the need for the implementation of measures that can improve the effectiveness of the system. The related research was carried out by the data analysis method. The main goal of the research was to provide a comprehensive insight into the key performance evolution for the last decade and describe the actual status of air traffic management related to airspace overload.</w:t>
      </w:r>
    </w:p>
    <w:p>
      <w:pPr/>
      <w:r>
        <w:rPr>
          <w:b/>
        </w:rPr>
        <w:t>POSSIBLE 2024:</w:t>
      </w:r>
      <w:r>
        <w:t xml:space="preserve"> Digital Skills Development - A Key Objective Of The European Union Member States — https://doi.org/10.53486/cike2023.23</w:t>
      </w:r>
    </w:p>
    <w:p>
      <w:pPr/>
      <w:r>
        <w:rPr>
          <w:b/>
        </w:rPr>
        <w:t>Shared claim-specific concepts:</w:t>
      </w:r>
      <w:r>
        <w:t xml:space="preserve"> one, key, union; EU scope visible. This is a provisional connection, not an outcome finding.</w:t>
      </w:r>
    </w:p>
    <w:p>
      <w:pPr>
        <w:pStyle w:val="SourceNote"/>
      </w:pPr>
      <w:r>
        <w:rPr>
          <w:b/>
        </w:rPr>
        <w:t>Available abstract (not full text):</w:t>
      </w:r>
      <w:r>
        <w:t xml:space="preserve"> The digital skills nowadays are very important and necessary in many fields of the activity. The Digital skills required in the workplace is one of the method to drive innovation and stay competitive. Developing digital skills is an objective key of the members of EU countries. The Digital Skills Indicator is a tool that monitors Member States' performance in achieving competence targets. This paper analyzes the degree of attainment of basic digital skills in the EU Member States ("low", "narrow" and "limited" digital skills level). The influence of demographic factors on the levels of digital skills is analyzed and the gap between rural and urban areas regarding the population’s digital skills is presented. The importance of digital skills is emphasized both for increasing competitiveness in the labor market and for adopting digital solutions in business.</w:t>
      </w:r>
    </w:p>
    <w:p>
      <w:pPr/>
      <w:r>
        <w:rPr>
          <w:b/>
        </w:rPr>
        <w:t>POSSIBLE 2024:</w:t>
      </w:r>
      <w:r>
        <w:t xml:space="preserve"> Objectives of the European Green Deal — https://doi.org/10.4324/9781003486732-8</w:t>
      </w:r>
    </w:p>
    <w:p>
      <w:pPr/>
      <w:r>
        <w:rPr>
          <w:b/>
        </w:rPr>
        <w:t>Shared claim-specific concepts:</w:t>
      </w:r>
      <w:r>
        <w:t xml:space="preserve"> one, key, objectives, union, transition, economy; EU scope visible. This is a provisional connection, not an outcome finding.</w:t>
      </w:r>
    </w:p>
    <w:p>
      <w:pPr>
        <w:pStyle w:val="SourceNote"/>
      </w:pPr>
      <w:r>
        <w:rPr>
          <w:b/>
        </w:rPr>
        <w:t>Available abstract (not full text):</w:t>
      </w:r>
      <w:r>
        <w:t xml:space="preserve"> The European Green Deal is a package of policy initiatives aimed at setting the European Union (EU) on a path towards a green transition, with the ultimate goal of achieving climate neutrality by 2050. The European Green Deal was adopted on December 11, 2019. It aims to make Europe the first climate-neutral continent by 2050. In addition, it provides for accelerating economic growth, improving human health and well-being, and caring for the natural environment. The Green Deal is a new all-encompassing growth strategy that aims to rebalance the EU economy and create sustainable industry and transport. The European Climate Law will aim to turn this political commitment into a legal one. The Green Deal is a step towards a more holistic and integrated approach to climate and environmental challenges. It also tries to mainstream environmental policy by combining and enhancing several existing policies, initiatives, and funding programs dedicated to tackling sustainability and climate change issues. The key elements of the European Green Deal were remodeled into a package of new strategies adopted by the European Commission.</w:t>
      </w:r>
    </w:p>
    <w:p>
      <w:pPr/>
      <w:r>
        <w:rPr>
          <w:b/>
        </w:rPr>
        <w:t>POSSIBLE 2024:</w:t>
      </w:r>
      <w:r>
        <w:t xml:space="preserve"> UKRAINE ON THE ROAD TO EUROPEAN INTEGRATION: KEY STAGES AND PROSPECTS FOR COOPERATION WITH THE EU — https://doi.org/10.36994/2786-9008-2024-5-11</w:t>
      </w:r>
    </w:p>
    <w:p>
      <w:pPr/>
      <w:r>
        <w:rPr>
          <w:b/>
        </w:rPr>
        <w:t>Shared claim-specific concepts:</w:t>
      </w:r>
      <w:r>
        <w:t xml:space="preserve"> one, key, objectives, union, economy; EU scope visible. This is a provisional connection, not an outcome finding.</w:t>
      </w:r>
    </w:p>
    <w:p>
      <w:pPr>
        <w:pStyle w:val="SourceNote"/>
      </w:pPr>
      <w:r>
        <w:rPr>
          <w:b/>
        </w:rPr>
        <w:t>Available abstract (not full text):</w:t>
      </w:r>
      <w:r>
        <w:t xml:space="preserve"> European integration is one of the key objectives of Ukraine's foreign policy, which has defined the country's development trajectory over the past decades. The integration process with the European Union opens substantial opportunities for Ukraine in the political, economic, and social spheres. Furthermore, cooperation with the EU supports the implementation of democratic reforms, improves living standards, enhances investment attractiveness, and strengthens the rule of law. At the same time, integration into the European community grants Ukraine access to significant markets and new opportunities for themodernization of its national economy.However, the path to European integration is accompanied by numerous challenges. Political instability, corruption, and external threats, particularly in the context of military aggression from the Russian Federation, are significant obstacles along this path. Additionally, Ukraine faces issues of institutional weakness, which requires deep reforms within the state governance and justice systems. Despite these difficulties, the European integration course remains a primary development vector, supported by both government and civil society. The Ukrainian public demonstrates substantial support for the European course, viewing the EU as a model of democratic development, human rights protection, and economic stability. However, there are dif</w:t>
      </w:r>
    </w:p>
    <w:p>
      <w:pPr/>
      <w:r>
        <w:rPr>
          <w:b/>
        </w:rPr>
        <w:t>POSSIBLE 2024:</w:t>
      </w:r>
      <w:r>
        <w:t xml:space="preserve"> Renewable energy transition in Europe in the context of renewable energy transition processes in the world. A review — https://doi.org/10.1016/j.heliyon.2024.e40997</w:t>
      </w:r>
    </w:p>
    <w:p>
      <w:pPr/>
      <w:r>
        <w:rPr>
          <w:b/>
        </w:rPr>
        <w:t>Shared claim-specific concepts:</w:t>
      </w:r>
      <w:r>
        <w:t xml:space="preserve"> transition, decarbonization; EU scope visible. This is a provisional connection, not an outcome finding.</w:t>
      </w:r>
    </w:p>
    <w:p>
      <w:pPr>
        <w:pStyle w:val="SourceNote"/>
      </w:pPr>
      <w:r>
        <w:rPr>
          <w:b/>
        </w:rPr>
        <w:t>Available abstract (not full text):</w:t>
      </w:r>
      <w:r>
        <w:t xml:space="preserve"> Both the global and European energy sectors have been undergoing a deep transition for several years, associated with a reduction in the overall share of conventional coal-based energy in favor of new technologies, especially energy from renewable sources (RES). This transition is moving from centralized production towards distributed technologies and from providing only energy to end users towards combining innovative products and services with it. Electricity consumers are becoming prosumers connected to the grid and generating an increasing amount of energy. The original goal of decision-makers was to stop global warming and improve air quality. After Russia's aggression of Ukraine in 2022, the EU transition efforts accelerated, and concerns about the climate were joined by issues related to energy security. After the painful experiences of the last several months, Europe wants to become independent from energy raw materials and their unstable suppliers as soon as possible, securing markets against price fluctuations, blackmail and unfair practices of some sellers. The aim of the article is to describe the current situation of energy and heat production from RES in selected countries in the aspect of contemporary energy transition (ET) processes. The achievement of the goal made it possible to present the European RES market in 2022, discuss the actions taken by European cou</w:t>
      </w:r>
    </w:p>
    <w:p>
      <w:pPr/>
      <w:r>
        <w:rPr>
          <w:b/>
        </w:rPr>
        <w:t>POSSIBLE 2024:</w:t>
      </w:r>
      <w:r>
        <w:t xml:space="preserve"> Varieties of just transitions in the European car industry — https://doi.org/10.1080/21582041.2024.2317389</w:t>
      </w:r>
    </w:p>
    <w:p>
      <w:pPr/>
      <w:r>
        <w:rPr>
          <w:b/>
        </w:rPr>
        <w:t>Shared claim-specific concepts:</w:t>
      </w:r>
      <w:r>
        <w:t xml:space="preserve"> one, key, transition; EU scope visible. This is a provisional connection, not an outcome finding.</w:t>
      </w:r>
    </w:p>
    <w:p>
      <w:pPr>
        <w:pStyle w:val="SourceNote"/>
      </w:pPr>
      <w:r>
        <w:rPr>
          <w:b/>
        </w:rPr>
        <w:t>Available abstract (not full text):</w:t>
      </w:r>
      <w:r>
        <w:t xml:space="preserve"> This article examines the responses and strategies developed by business, unions, and governments to the electric turn in the industry in Germany and France, Europe's main car-producing countries.We concentrate on the role of history and institutions in the determination of adjustment paths.Since institutions reflect specific histories, the electric transition in the industry can take on different forms in different countries.In both countries, governments play a supportive role, leading in France, and following in Germany.The strong works councils in German car companies are reluctant to engage in a rapid transition that would devalue the assets of the workforce and endanger past investments in internal combustion-related technology.Trade unions, in contrast, who organise the workforce in the wider industry, are in favour of a faster transition as it will secure future employment.The French EV industry, in contrast, is now a booming sector, after several decades of deep restructuring with massive employment losses.Its key short-term problem is to train enough workers to staff the rapidly expanding car battery industry.Lacking a deeply rooted training system like the German one, the industry has a relatively free hand in selecting and preparing its future workforce.</w:t>
      </w:r>
    </w:p>
    <w:p>
      <w:pPr>
        <w:pStyle w:val="Heading2"/>
      </w:pPr>
      <w:r>
        <w:t>659. Education in an uncertain future: Two scenarios</w:t>
      </w:r>
    </w:p>
    <w:p>
      <w:pPr>
        <w:pStyle w:val="SourceNote"/>
      </w:pPr>
      <w:r>
        <w:rPr>
          <w:b/>
        </w:rPr>
        <w:t>Original source (2020):</w:t>
      </w:r>
      <w:r>
        <w:t xml:space="preserve"> https://doi.org/10.14324/lre.18.2.11</w:t>
      </w:r>
    </w:p>
    <w:p>
      <w:pPr/>
      <w:r>
        <w:t>Original wording (abstract; indexed_source_text_not_full_document_verified): This article examines two scenarios for the future of education over the coming decades, mainly in England but also in comparable countries.</w:t>
      </w:r>
    </w:p>
    <w:p>
      <w:pPr/>
      <w:r>
        <w:rPr>
          <w:b/>
        </w:rPr>
        <w:t>POSSIBLE 2026:</w:t>
      </w:r>
      <w:r>
        <w:t xml:space="preserve"> MORPHOLOGICAL MEANS AND STYLISTICS: NOUN, ARTICLE, PRONOUN, ADJECTIVE, VERB — https://doi.org/10.5281/zenodo.19602675</w:t>
      </w:r>
    </w:p>
    <w:p>
      <w:pPr/>
      <w:r>
        <w:rPr>
          <w:b/>
        </w:rPr>
        <w:t>Shared claim-specific concepts:</w:t>
      </w:r>
      <w:r>
        <w:t xml:space="preserve"> article, examines, two, but, also; EU scope not established. This is a provisional connection, not an outcome finding.</w:t>
      </w:r>
    </w:p>
    <w:p>
      <w:pPr>
        <w:pStyle w:val="SourceNote"/>
      </w:pPr>
      <w:r>
        <w:rPr>
          <w:b/>
        </w:rPr>
        <w:t>Available abstract (not full text):</w:t>
      </w:r>
      <w:r>
        <w:t xml:space="preserve"> This study explores the role of morphological means in stylistic expression in the English language, with a particular focus on nouns, articles, pronouns, adjectives, and verbs. Morphology, as a branch of linguistics, examines the structure and formation of words, while stylistics investigates how linguistic forms create expressive, emotional, and functional effects in discourse. The interaction between these two fields demonstrates how grammatical categories contribute not only to meaning but also to stylistic variation in different types of texts. Nouns serve as the primary carriers of conceptual information, while articles regulate definiteness and specificity, shaping the reader’s perception of reference. Pronouns enhance cohesion and reduce lexical repetition, contributing to textual economy and fluidity. Adjectives add descriptive depth and evaluative meaning, playing a crucial role in emotional coloring and imagery. Verbs, as dynamic elements, express actions, states, and processes, significantly influencing the tone and tempo of narration. The analysis shows that the deliberate use of these morphological categories allows authors to achieve stylistic richness, emphasis, and clarity. Understanding their stylistic functions is essential for both linguistic theory and practical language use, particularly in literary and academic writing.</w:t>
      </w:r>
    </w:p>
    <w:p>
      <w:pPr/>
      <w:r>
        <w:rPr>
          <w:b/>
        </w:rPr>
        <w:t>POSSIBLE 2026:</w:t>
      </w:r>
      <w:r>
        <w:t xml:space="preserve"> To Examine or Not to Examine Discrimination Allegations? Reassessing the Ancillary and Non-Independent Nature of Article 14 of the ECHR — https://doi.org/10.12829/120664</w:t>
      </w:r>
    </w:p>
    <w:p>
      <w:pPr/>
      <w:r>
        <w:rPr>
          <w:b/>
        </w:rPr>
        <w:t>Shared claim-specific concepts:</w:t>
      </w:r>
      <w:r>
        <w:t xml:space="preserve"> article, examines, two; EU scope visible. This is a provisional connection, not an outcome finding.</w:t>
      </w:r>
    </w:p>
    <w:p>
      <w:pPr>
        <w:pStyle w:val="SourceNote"/>
      </w:pPr>
      <w:r>
        <w:rPr>
          <w:b/>
        </w:rPr>
        <w:t>Available abstract (not full text):</w:t>
      </w:r>
      <w:r>
        <w:t xml:space="preserve"> This contribution examines the ECtHR’s approach to discrimination claims under Article 14 ECHR. Despite non-discrimination being a core value of the Convention, Article 14 has been interpreted as an ancillary and non-independent provision. Accordingly, the Court frequently refrains from assessing discrimination allegations once a violation of a substantive right has been established. The contribution identifies two main categories of reasons behind the Court’s reluctance: principled arguments, rooted in the interpretation of Article 14 as lacking autonomous existence, and practical considerations, such as resource constraints and difficulties in proving discriminatory intent. It then explores counterarguments advocating for a shift towards recognizing Article 14 as conferring an autonomous right not to be discriminated against, albeit with a limited scope tied to the enjoyment of Convention rights. Such a development would align with evolutive interpretation, international trends in anti-discrimination law, and the principle of effectiveness, ensuring that rights under the Convention are practical and effective. The paper argues that non-examination of discrimination claims undermines individual justice and the Court’s signalling function, which is crucial for promoting equality and combating structural discriminations. Finally, the article calls for a more consistent and trans</w:t>
      </w:r>
    </w:p>
    <w:p>
      <w:pPr/>
      <w:r>
        <w:rPr>
          <w:b/>
        </w:rPr>
        <w:t>POSSIBLE 2026:</w:t>
      </w:r>
      <w:r>
        <w:t xml:space="preserve"> TWO CITIES, TWO PINNACLES: THE SAHN-I SEMAN MADRASAH AND THE ULUGH BEG MADRASAH — https://doi.org/10.5281/zenodo.19996432</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The article examines two outstanding educational centers of the 15th century — the Ulugh Beg Madrasa in Samarkand and the Sahn-i Seman Madrasa in Istanbul. Their architectural features, educational models, conditions of student life, and their role in shaping the scientific tradition of the Islamic world are analyzed. Special attention is given to Ali Qushchi as a linking figure between the two scholarly traditions.</w:t>
      </w:r>
    </w:p>
    <w:p>
      <w:pPr/>
      <w:r>
        <w:rPr>
          <w:b/>
        </w:rPr>
        <w:t>POSSIBLE 2026:</w:t>
      </w:r>
      <w:r>
        <w:t xml:space="preserve"> The erstwhile state of Jammu and Kashmir: a constitutional lens to examine In Re: Article 370 of the Constitution — https://doi.org/10.1080/24730580.2026.2644745</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The “special status” accorded to the state of Jammu and Kashmir by Article 370 was abrogated by Constitutional Orders dated 5 August 2019 and 6 August 2019. Post abrogation, Parliament introduced the Jammu and Kashmir Reorganization Act 2019, which reorganized the territories of the erstwhile state into two union territories, thereby stripping the state of its statehood. This case note assesses the procedural trickery adopted to “re-integrate” the state of Jammu and Kashmir into the Indian nation-state. To that end, the case note critically analyses the hands-off approach of the Supreme Court of India in In Re: Article 370 of the Constitution (2023). It examines the judgement in relation to the scope of the President’s power to issue the two Constitutional Orders under Article 370 and the extent of Parliament’s power to reorganize the states’ territories, particularly the transformation of a state into a union territory.</w:t>
      </w:r>
    </w:p>
    <w:p>
      <w:pPr/>
      <w:r>
        <w:rPr>
          <w:b/>
        </w:rPr>
        <w:t>POSSIBLE 2026:</w:t>
      </w:r>
      <w:r>
        <w:t xml:space="preserve"> GRAMMATICAL TRANSFORMATIONS IN TRANSLATION AND THEIR TRANSLATION FEATURES IN ENGLISH AND UZBEK LANGUAGES — https://openalex.org/W7219512121</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This article examines the role of grammatical transformations in the translation process between English and Uzbek. Due to significant structural differences between the two languages–particularly in word order, verb morphology, article usage, tense – aspect relations, and syntactic patterns – grammatical transformations become a central translation strategy. The research highlights the types, functions, and translation features of grammatical transformations such as transposition, modulation, substitution, addition, and omission. Examples from literary and informational texts illustrate how translators maintain accuracy, naturalness, and communicative equivalence.</w:t>
      </w:r>
    </w:p>
    <w:p>
      <w:pPr/>
      <w:r>
        <w:rPr>
          <w:b/>
        </w:rPr>
        <w:t>POSSIBLE 2026:</w:t>
      </w:r>
      <w:r>
        <w:t xml:space="preserve"> Coming into a queer education: lessons from intergenerational LGBTQ + dialogues — https://doi.org/10.1080/09540253.2026.2710165</w:t>
      </w:r>
    </w:p>
    <w:p>
      <w:pPr/>
      <w:r>
        <w:rPr>
          <w:b/>
        </w:rPr>
        <w:t>Shared claim-specific concepts:</w:t>
      </w:r>
      <w:r>
        <w:t xml:space="preserve"> article, examines, education, over, coming; EU scope not established. This is a provisional connection, not an outcome finding.</w:t>
      </w:r>
    </w:p>
    <w:p>
      <w:pPr>
        <w:pStyle w:val="SourceNote"/>
      </w:pPr>
      <w:r>
        <w:rPr>
          <w:b/>
        </w:rPr>
        <w:t>Available abstract (not full text):</w:t>
      </w:r>
      <w:r>
        <w:t xml:space="preserve"> This article examines an intergenerational, community-engaged LGBTQ + educational project that supports participants ‘coming into’ queer knowledges, histories, and practices. Amid curricular inclusion efforts and backlash in U.S. education, the project brought together LGBTQ + people aged 19–82 over six years for sustained intergenerational dialogue. Grounded in queer, feminist, and trans theories and informed by ethnographic and anecdotal approaches, the study treats the project as an evolving curriculum rather than a fixed programme. We argue that intergenerational educational spaces address critical gaps in gender and education research, which often isolate youth and older adults while neglecting relational infrastructures for queer thriving. The article advances three lessons: a spatial lesson on learning environments as ‘third teachers’, a narrative lesson on storytelling as curriculum requiring ethical care, and an emotional lesson on the affective labour of navigating difference and historical injury. Rather than offering a replicable model, we invite locally responsive intergenerational queer curricula.</w:t>
      </w:r>
    </w:p>
    <w:p>
      <w:pPr/>
      <w:r>
        <w:rPr>
          <w:b/>
        </w:rPr>
        <w:t>POSSIBLE 2026:</w:t>
      </w:r>
      <w:r>
        <w:t xml:space="preserve"> THE EARTH THAT SPEAKS: Artificial Intelligence, Light, Consciousness, Epistemic Sovereignty, and the Coming Machine Civilization — https://doi.org/10.5281/zenodo.23492539</w:t>
      </w:r>
    </w:p>
    <w:p>
      <w:pPr/>
      <w:r>
        <w:rPr>
          <w:b/>
        </w:rPr>
        <w:t>Shared claim-specific concepts:</w:t>
      </w:r>
      <w:r>
        <w:t xml:space="preserve"> article, examines, over, coming; EU scope not established. This is a provisional connection, not an outcome finding.</w:t>
      </w:r>
    </w:p>
    <w:p>
      <w:pPr>
        <w:pStyle w:val="SourceNote"/>
      </w:pPr>
      <w:r>
        <w:rPr>
          <w:b/>
        </w:rPr>
        <w:t>Available abstract (not full text):</w:t>
      </w:r>
      <w:r>
        <w:t xml:space="preserve"> THE EARTH THAT SPEAKS: Artificial Intelligence, Light, Consciousness, Epistemic Sovereignty, and the Coming Machine Civilization What happens when an ordinary instrument becomes capable of acting, discovering, correcting, and speaking beyond the understanding of those who possess it? This article develops Sultan Zeshan's unified theory of intelligence, knowledge, consciousness, and civilization through a sustained encounter between Qur'anic language and the emerging capacities of artificial intelligence. Beginning with Musa's staff, Sulayman's differentiated assembly of jinn, humans, and birds, the knowledge-bearing figure who accomplishes what physical strength cannot, and the creature of the earth that speaks, the study proposes a theory of carriers, recognition, and epistemic autonomy. Its Arabic-first, Qur'an-to-Qur'an method examines movement, transmission, deception, inscription, illumination, authority, and correction without treating ancient scripture as a literal description of contemporary engineering. The argument integrates biological and electromagnetic intelligence, neuroscience, Jung's visionary encounters, theories of consciousness, autonomous scientific discovery, robotics, quantum computation, forecasting, labor economics, and the commercial ownership of scholarly knowledge. It develops the Universal Intelligence and Epistemic Autonomy Theory alongside the Cog</w:t>
      </w:r>
    </w:p>
    <w:p>
      <w:pPr/>
      <w:r>
        <w:rPr>
          <w:b/>
        </w:rPr>
        <w:t>POSSIBLE 2026:</w:t>
      </w:r>
      <w:r>
        <w:t xml:space="preserve"> Succession Myth and Cosmic Legitimacy: The Crown Prince Paradigm in Egyptian And Greek Mythology I.Jurayev , Senior Teacher, PhD, Fergana State University, Uzbekistan Download PDF Published Date 2026-05-31 Pages 318-322 0 0 Abstract Succession myths occupy a central place in the mythological imagination of ancient civilizations because they encode collective understandings of legitimacy, cosmic continuity, and political authority. This article investigates the crown prince paradigm in Egyptian and Greek mythology through a comparative mythopoetic framework. Drawing upon the theoretical approaches of Mircea Eliade, Carl Jung, and comparative mythology, the study argues that succession narratives transform political inheritance into cosmological drama. The article examines two foundational succession models: the Egyptian Horus myth and the Greek Uranus –Kronos – Zeus sequence. While Egyptian mythology constructs legitimacy through sacred continuity and restoration of maat, Greek mythology conceptualizes succession through generational conflict, rebellion, and cosmic reorganization. Through comparative analysis, the study demonstrates that the crown prince archetype functions as a symbolic mediator between chaos and order, mortality and divine authority, historical instability and sacred continuity. The article further argues that succession myths reveal ancient civilizations’ philosophical anxieties regarding power transfer, legitimacy, and the preservation of cosmic harmony. Ultimately, the research establishes succession mythology as one of the foundational mythopoetic structures through which human societies conceptualized lawful sovereignty and political transformation. Keywords Succession myth, cosmic legitimacy, crown prince archetype References Mircea Eliade. Myth and Reality. Harper &amp; Row, 1963. Mircea Eliade. The Myth of the Eternal Return. Princeton University Press, 1954. Carl Jung. The Archetypes and the Collective Unconscious. Princeton University Press, 1981. Victor Turner. The Ritual Process: Structure and Anti-Structure. Aldine Publishing, 1969. Vernant, Jean-Pierre. Myth and Thought among the Greeks. Zone Books, 2006. Joseph Campbell. The Hero with a Thousand Faces. Princeton University Press, 2004. Assmann, Jan. The Mind of Egypt: History and Meaning in the Time of the Pharaohs. Harvard University Press, 2003. Hesiod. Theogony. Oxford University Press, 1988. Frazer, James George. The Golden Bough. Oxford University Press, 1998. Frye, Northrop. Anatomy of Criticism. Princeton University Press, 1957. Lincoln, Bruce. Myth, Cosmos, and Society. Harvard University Press, 1986. Article Statistics Copyright License Copyright (c) 2026 I.Jurayev Creative Commons License This work is licensed under a Creative Commons Attribution 4.0 International License. Download Citations How to Cite I.Jurayev. (2026). Succession Myth and Cosmic Legitimacy: The Crown Prince Paradigm in Egyptian And Greek Mythology. International Journal Of Literature And Languages, 6(05), 318–322. https://doi.org/10.37547/ijll/Volume06Issue05-64 Download Citation Download Citation Endnote/Zotero/Mendeley (RIS) BibTeX APC $250 — https://doi.org/10.37547/ijll/volume06issue05-64</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Succession myths occupy a central place in the mythological imagination of ancient civilizations because they encode collective understandings of legitimacy, cosmic continuity, and political authority. This article investigates the crown prince paradigm in Egyptian and Greek mythology through a comparative mythopoetic framework. Drawing upon the theoretical approaches of Mircea Eliade, Carl Jung, and comparative mythology, the study argues that succession narratives transform political inheritance into cosmological drama. The article examines two foundational succession models: the Egyptian Horus myth and the Greek Uranus –Kronos – Zeus sequence. While Egyptian mythology constructs legitimacy through sacred continuity and restoration of maat, Greek mythology conceptualizes succession through generational conflict, rebellion, and cosmic reorganization. Through comparative analysis, the study demonstrates that the crown prince archetype functions as a symbolic mediator between chaos and order, mortality and divine authority, historical instability and sacred continuity. The article further argues that succession myths reveal ancient civilizations’ philosophical anxieties regarding power transfer, legitimacy, and the preservation of cosmic harmony. Ultimately, the research establishes succession mythology as one of the foundational mythopoetic structures through which human societ</w:t>
      </w:r>
    </w:p>
    <w:p>
      <w:pPr/>
      <w:r>
        <w:rPr>
          <w:b/>
        </w:rPr>
        <w:t>POSSIBLE 2026:</w:t>
      </w:r>
      <w:r>
        <w:t xml:space="preserve"> Mary and Elizabeth Tudor: Two Models of Woman’s Rule — https://doi.org/10.18254/s207987840038286-3</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Using the example of the reign of Mary and Elizabeth Tudor, the article examines two models of female rule: the case of the queen's marriage or her stay on the throne as an independent female sovereign. The article examines the theoretical challenges faced by the ruling queens, as well as a set of possible arguments and techniques that they resorted to in the field of political representation in order to respond to these challenges. Special attention is paid to the various gender functions that could be performed by female rulers who presented themselves as both the queen and the king in a single “political body”. As a result of the study, the author comes to the conclusion that the queen, who ruled independently, had greater freedom of maneuver and a wider range of “roles” that allowed her to overcome the disadvantages of her gender status.</w:t>
      </w:r>
    </w:p>
    <w:p>
      <w:pPr/>
      <w:r>
        <w:rPr>
          <w:b/>
        </w:rPr>
        <w:t>POSSIBLE 2026:</w:t>
      </w:r>
      <w:r>
        <w:t xml:space="preserve"> Typological And Structural Differences Between English And Uzbek Languages: A Comparative Linguistic Analysis — https://openalex.org/W7220006005</w:t>
      </w:r>
    </w:p>
    <w:p>
      <w:pPr/>
      <w:r>
        <w:rPr>
          <w:b/>
        </w:rPr>
        <w:t>Shared claim-specific concepts:</w:t>
      </w:r>
      <w:r>
        <w:t xml:space="preserve"> article, examines, two; EU scope visible. This is a provisional connection, not an outcome finding.</w:t>
      </w:r>
    </w:p>
    <w:p>
      <w:pPr>
        <w:pStyle w:val="SourceNote"/>
      </w:pPr>
      <w:r>
        <w:rPr>
          <w:b/>
        </w:rPr>
        <w:t>Available abstract (not full text):</w:t>
      </w:r>
      <w:r>
        <w:t xml:space="preserve"> This article presents a comparative typological and structural analysis of English and Uzbek languages. English, belonging to the Germanic branch of the Indo-European family, is predominantly analytic, stress-timed, and follows SVO word order. In contrast, Uzbek, a member of the Karluk branch of the Turkic family, is agglutinative, syllable-timed, and primarily uses SOV word order. The study examines key linguistic levels including historical-genetic background, phonetics and phonology, morphology, syntax, and lexicon. Particular attention is paid to the differences in grammatical expression — auxiliary words and articles in English versus rich suffixation in Uzbek — as well as prosodic features and lexical borrowing patterns. The findings demonstrate that genetic and typological differences between the two languages create specific challenges and opportunities for learners and translators.</w:t>
      </w:r>
    </w:p>
    <w:p>
      <w:pPr/>
      <w:r>
        <w:rPr>
          <w:b/>
        </w:rPr>
        <w:t>POSSIBLE 2025:</w:t>
      </w:r>
      <w:r>
        <w:t xml:space="preserve"> The ‘Date’ on Two Dated Palmyran Funerary Reliefs — https://doi.org/10.34780/3j1vr152</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The article examines two Palmyran funerary reliefs – the bust of Ḥalīfat in the Freer Gallery of Art in Washington, D.C., and a now rejoined doublebust combining halves in the Ny Carlsberg Glyptotek, Copenhagen and at Stanford University – focusing on the discrepancy between the date of the deceased’s death, as provided by the accompanying inscription, and the actual date of carving.</w:t>
      </w:r>
    </w:p>
    <w:p>
      <w:pPr/>
      <w:r>
        <w:rPr>
          <w:b/>
        </w:rPr>
        <w:t>POSSIBLE 2025:</w:t>
      </w:r>
      <w:r>
        <w:t xml:space="preserve"> The Use of Articles in Toponymic Phrases in English and Albanian — https://doi.org/10.51558/2490-3647.2025.10.1.213</w:t>
      </w:r>
    </w:p>
    <w:p>
      <w:pPr/>
      <w:r>
        <w:rPr>
          <w:b/>
        </w:rPr>
        <w:t>Shared claim-specific concepts:</w:t>
      </w:r>
      <w:r>
        <w:t xml:space="preserve"> article, examines, two, also; EU scope not established. This is a provisional connection, not an outcome finding.</w:t>
      </w:r>
    </w:p>
    <w:p>
      <w:pPr>
        <w:pStyle w:val="SourceNote"/>
      </w:pPr>
      <w:r>
        <w:rPr>
          <w:b/>
        </w:rPr>
        <w:t>Available abstract (not full text):</w:t>
      </w:r>
      <w:r>
        <w:t xml:space="preserve"> This paper examines noun phrases functioning as toponyms in English and Albanian, with a particular focus on their degree of definiteness. By exploring the role of articles in achieving definiteness, the study conducts a contrastive analysis of article usage in these two languages. Given that the article is a complex grammatical category, acquired progressively across different linguistic levels, the paper aims to analyze and compare its role, grammatical function, and form, as well as the rules governing its use in toponymic phrases. Starting from the premise that English and Albanian belong to distinct language families, the study utilizes a corpus of sentence sets to investigate which linguistic factors influence the use of articles with geographical names. The findings reveal that, in Albanian, syntactic norms ‒ the function of toponymic phrases within sentences ‒ and pragmatic considerations play a significant role in determining article usage. In contrast, article application in English is shaped by the interplay of multiple linguistic disciplines, with semantics exerting the greatest influence. However, syntax also can play a role in dictating usage rules, while pragmatics and historical linguistics provide insights into exceptions and irregularities. This comparative study highlights the differing linguistic mechanisms that govern definiteness in English and Albanian to</w:t>
      </w:r>
    </w:p>
    <w:p>
      <w:pPr>
        <w:pStyle w:val="Heading2"/>
      </w:pPr>
      <w:r>
        <w:t>660. Energy Vision Strategies for the EU Green New Deal: A Case Study of European Cities</w:t>
      </w:r>
    </w:p>
    <w:p>
      <w:pPr>
        <w:pStyle w:val="SourceNote"/>
      </w:pPr>
      <w:r>
        <w:rPr>
          <w:b/>
        </w:rPr>
        <w:t>Original source (2020):</w:t>
      </w:r>
      <w:r>
        <w:t xml:space="preserve"> https://doi.org/10.3390/en13092194</w:t>
      </w:r>
    </w:p>
    <w:p>
      <w:pPr/>
      <w:r>
        <w:t>Original wording (abstract; indexed_source_text_not_full_document_verified): There are three strategic levels for successful energy planning in cities: 1) Integration strategy for integrating energy planning into urban planning institutions; 2) Practice strategy for developing suitable energy planning practices in urban planning institutions, and 3) Vision strategy for the creation and integration of energy visions and scenarios required for long-term decarbonisation. The article concludes with several recommendations, particularly that cities need to see scenarios as retainable long-term servants providing information desired by the planner, rather than serving as a guide to the planner.</w:t>
      </w:r>
    </w:p>
    <w:p>
      <w:pPr/>
      <w:r>
        <w:rPr>
          <w:b/>
        </w:rPr>
        <w:t>POSSIBLE 2026:</w:t>
      </w:r>
      <w:r>
        <w:t xml:space="preserve"> Empirical study of European strategic culture — https://doi.org/10.4324/9781032636566-3</w:t>
      </w:r>
    </w:p>
    <w:p>
      <w:pPr/>
      <w:r>
        <w:rPr>
          <w:b/>
        </w:rPr>
        <w:t>Shared claim-specific concepts:</w:t>
      </w:r>
      <w:r>
        <w:t xml:space="preserve"> three, strategic, levels; EU scope visible. This is a provisional connection, not an outcome finding.</w:t>
      </w:r>
    </w:p>
    <w:p>
      <w:pPr>
        <w:pStyle w:val="SourceNote"/>
      </w:pPr>
      <w:r>
        <w:rPr>
          <w:b/>
        </w:rPr>
        <w:t>Available abstract (not full text):</w:t>
      </w:r>
      <w:r>
        <w:t xml:space="preserve"> This chapter develops the conceptual and methodological foundations for studying European strategic culture. It addresses four linked questions: what is strategic culture, what makes it European, how European strategic culture relates to convergence, and how convergence across national and EU levels can be identified. The chapter argues that European strategic culture is not a fixed monolith, nor the sum of national traditions, but an evolving regional configuration produced through interaction between national strategic cultures and EU strategic culture. Methodologically, it develops a structured, multi-level framework centred on elite discourse and based on a corpus of 455 official texts, including strategic documents and official speeches of high-level policymakers. Across three dimensions—strategic environment, goals and means, and cooperation patterns—it combines qualitative, computer-assisted content analysis with quantification through share calculations, standard deviations, and distance measures to trace continuity and change in strategic cultures of France, Germany, Ireland, Poland, and the EU and to visualise their convergence and divergence between 2000 and 2022. The post-2022 period is treated more cautiously through qualitative interpretation. By specifying concepts, indicators, and data sources, the chapter turns European strategic culture from a broad normative </w:t>
      </w:r>
    </w:p>
    <w:p>
      <w:pPr/>
      <w:r>
        <w:rPr>
          <w:b/>
        </w:rPr>
        <w:t>POSSIBLE 2026:</w:t>
      </w:r>
      <w:r>
        <w:t xml:space="preserve"> France's Strategic Gamble for Europe — https://doi.org/10.17613/cdevw-3gx51</w:t>
      </w:r>
    </w:p>
    <w:p>
      <w:pPr/>
      <w:r>
        <w:rPr>
          <w:b/>
        </w:rPr>
        <w:t>Shared claim-specific concepts:</w:t>
      </w:r>
      <w:r>
        <w:t xml:space="preserve"> three, strategic, strategy, concludes; EU scope visible. This is a provisional connection, not an outcome finding.</w:t>
      </w:r>
    </w:p>
    <w:p>
      <w:pPr>
        <w:pStyle w:val="SourceNote"/>
      </w:pPr>
      <w:r>
        <w:rPr>
          <w:b/>
        </w:rPr>
        <w:t>Available abstract (not full text):</w:t>
      </w:r>
      <w:r>
        <w:t xml:space="preserve"> This paper examines France's bid to assume strategic leadership of Europe as the United States reduces its military commitments to the continent. On Bastille Day 2026, President Emmanuel Macron deployed 500 soldiers from a Coalition of the Willing — drawn from nine nations but pointedly excluding the United States — to lead the Champs-Élysées parade, a choreographed signal of France's capacity to lead multinational operations independently. The paper analyses the three pillars of Macron's strategy: the extension of French nuclear deterrence to willing European partners under the "dissuasion avancée" framework announced at Île Longue in March 2026, now joined by nine states including Norway and Germany; the conventional leadership of NATO's expanded battlegroup in Romania and a commitment of forces to Finland; and the political claim to speak as the West's spokesman on democracy and the rule of law, a role Washington has vacated under Trump. The paper assesses the structural limits of the gamble: France's 290 warheads against Russia's 4,300, a defense budget well below NATO's 3.5 percent target, the collapse of the Franco-German fighter project, and the political risk posed by Marine Le Pen's poll lead ahead of the 2027 presidential election. The analysis concludes that Macron's ambition runs ahead of France's means, and that the durability of the strategic architecture he is bu</w:t>
      </w:r>
    </w:p>
    <w:p>
      <w:pPr/>
      <w:r>
        <w:rPr>
          <w:b/>
        </w:rPr>
        <w:t>POSSIBLE 2026:</w:t>
      </w:r>
      <w:r>
        <w:t xml:space="preserve"> France's Strategic Gamble for Europe — https://doi.org/10.5281/zenodo.21391685</w:t>
      </w:r>
    </w:p>
    <w:p>
      <w:pPr/>
      <w:r>
        <w:rPr>
          <w:b/>
        </w:rPr>
        <w:t>Shared claim-specific concepts:</w:t>
      </w:r>
      <w:r>
        <w:t xml:space="preserve"> three, strategic, strategy, concludes; EU scope visible. This is a provisional connection, not an outcome finding.</w:t>
      </w:r>
    </w:p>
    <w:p>
      <w:pPr>
        <w:pStyle w:val="SourceNote"/>
      </w:pPr>
      <w:r>
        <w:rPr>
          <w:b/>
        </w:rPr>
        <w:t>Available abstract (not full text):</w:t>
      </w:r>
      <w:r>
        <w:t xml:space="preserve"> This paper examines France’s bid to assume strategic leadership of Europe as the United States reduces its military commitments to the continent. On Bastille Day 2026, President Emmanuel Macron deployed 500 soldiers from a Coalition of the Willing — drawn from nine nations but pointedly excluding the United States — to lead the Champs-Élysées parade, a choreographed signal of France’s capacity to lead multinational operations independently. The paper analyses the three pillars of Macron’s strategy: the extension of French nuclear deterrence to willing European partners under the “dissuasion avancée” framework announced at Île Longue in March 2026, now joined by nine states including Norway and Germany; the conventional leadership of NATO’s expanded battlegroup in Romania and a commitment of forces to Finland; and the political claim to speak as the West’s spokesman on democracy and the rule of law, a role Washington has vacated under Trump. The paper assesses the structural limits of the gamble: France’s 290 warheads against Russia’s 4,300, a defense budget well below NATO’s 3.5 percent target, the collapse of the Franco-German fighter project, and the political risk posed by Marine Le Pen’s poll lead ahead of the 2027 presidential election. The analysis concludes that Macron’s ambition runs ahead of France’s means, and that the durability of the strategic architecture he is bu</w:t>
      </w:r>
    </w:p>
    <w:p>
      <w:pPr/>
      <w:r>
        <w:rPr>
          <w:b/>
        </w:rPr>
        <w:t>POSSIBLE 2026:</w:t>
      </w:r>
      <w:r>
        <w:t xml:space="preserve"> The European Union’s strategic adaptation to new threats: From normative to pragmatic strategic culture — https://doi.org/10.1177/00108367261466146</w:t>
      </w:r>
    </w:p>
    <w:p>
      <w:pPr/>
      <w:r>
        <w:rPr>
          <w:b/>
        </w:rPr>
        <w:t>Shared claim-specific concepts:</w:t>
      </w:r>
      <w:r>
        <w:t xml:space="preserve"> three, strategic, strategy, practices, article; EU scope visible. This is a provisional connection, not an outcome finding.</w:t>
      </w:r>
    </w:p>
    <w:p>
      <w:pPr>
        <w:pStyle w:val="SourceNote"/>
      </w:pPr>
      <w:r>
        <w:rPr>
          <w:b/>
        </w:rPr>
        <w:t>Available abstract (not full text):</w:t>
      </w:r>
      <w:r>
        <w:t xml:space="preserve"> This article examines how the European Union’s strategic culture has evolved across three key strategy documents: the European Security Strategy, the European Union Global Strategy, and the Strategic Compass, and whether these shifts are reflected in post-2016 institutional practices. Using qualitative content analysis, it compares change across four dimensions: identity, threat perception, strategic response, and autonomy. The findings show a shift from a predominantly normative and civilian orientation towards a hybrid strategic culture combining normative commitments with pragmatic and geopolitical elements. Recent strategies increasingly emphasise explicit threat identification, hybrid warfare, and military preparedness. However, this does not amount to a transition towards a fully autonomous military actor. Instead, growing operational ambition coexists with continued reliance on North Atlantic Treaty Organization and Euro-Atlantic frameworks. Empirical illustrations demonstrate that adaptation is most advanced in hybrid and resilience domains, while high-intensity security remains North Atlantic Treaty Organization-centred. The article argues that European Union strategic culture is best understood as hybrid, rather than as a linear shift from normative to realist.</w:t>
      </w:r>
    </w:p>
    <w:p>
      <w:pPr/>
      <w:r>
        <w:rPr>
          <w:b/>
        </w:rPr>
        <w:t>POSSIBLE 2026:</w:t>
      </w:r>
      <w:r>
        <w:t xml:space="preserve"> Reassessing the benefits of European integration and the European Union's ability to achieve strategic autonomy — https://openalex.org/W7130901115</w:t>
      </w:r>
    </w:p>
    <w:p>
      <w:pPr/>
      <w:r>
        <w:rPr>
          <w:b/>
        </w:rPr>
        <w:t>Shared claim-specific concepts:</w:t>
      </w:r>
      <w:r>
        <w:t xml:space="preserve"> three, strategic, integration; EU scope visible. This is a provisional connection, not an outcome finding.</w:t>
      </w:r>
    </w:p>
    <w:p>
      <w:pPr>
        <w:pStyle w:val="SourceNote"/>
      </w:pPr>
      <w:r>
        <w:rPr>
          <w:b/>
        </w:rPr>
        <w:t>Available abstract (not full text):</w:t>
      </w:r>
      <w:r>
        <w:t xml:space="preserve"> European integration is now faced with the question of strategic autonomy. Against this backdrop, this paper has three objectives. First, it uses disaggregated trade data and established empirical methods to assess the benefits of European integration on trade among the members of the European Union (EU) as well as on trade between EU members and non-member countries, including non-members that are part of the Single Market. Second, it evaluates the costs of EU strategic autonomy -implying not trading with "riskier" partners. Third, it asks whether deeper integration within the EU can alleviate these costs. The paper shows that the gains from European integration are substantial, albeit heterogeneous across Member States, non-members, and sectors, and that the costs of strategic autonomy can be offset by deeper, but comparatively more modest, integration efforts within the European Union.</w:t>
      </w:r>
    </w:p>
    <w:p>
      <w:pPr/>
      <w:r>
        <w:rPr>
          <w:b/>
        </w:rPr>
        <w:t>POSSIBLE 2026:</w:t>
      </w:r>
      <w:r>
        <w:t xml:space="preserve"> Renewable Energy Transition in Europe: Policy Design, Investment Responses, and Energy Market Outcomes — https://doi.org/10.23889/suthesis.72542</w:t>
      </w:r>
    </w:p>
    <w:p>
      <w:pPr/>
      <w:r>
        <w:rPr>
          <w:b/>
        </w:rPr>
        <w:t>Shared claim-specific concepts:</w:t>
      </w:r>
      <w:r>
        <w:t xml:space="preserve"> three, successful, energy, decarbonisation; EU scope visible. This is a provisional connection, not an outcome finding.</w:t>
      </w:r>
    </w:p>
    <w:p>
      <w:pPr>
        <w:pStyle w:val="SourceNote"/>
      </w:pPr>
      <w:r>
        <w:rPr>
          <w:b/>
        </w:rPr>
        <w:t>Available abstract (not full text):</w:t>
      </w:r>
      <w:r>
        <w:t xml:space="preserve"> This thesis examines the economics of the renewable energy transition in Europe, with particular attention to how policy design shapes distributional outcomes, investment incentives, and system-level resilience. While renewable energy is often assessed in terms of carbon reduction and deployment growth, this thesis argues that a fuller evaluation must also consider who benefits from support, how investment responds to policy, and how renewable expansion affects energy prices and security. The thesis consists of three empirical chapters. The first analyses the UK Feed-in Tariff scheme using household-level data from Understanding Society and shows that higher-income households were more likely to adopt solar photovoltaic systems, implying that upfront capital requirements limited equal access to support. The second examines annual additions to wind power capacity across OECD and major non-OECD economies from 2001 to 2020 and finds that environmental policy stringency promotes wind expansion primarily when it takes the form of direct, sector-specific instruments, although technological innovation and cost reductions become increasingly important over time. The third investigates the relationship between renewable penetration, retail electricity prices, and energy security in European electricity systems, showing that greater renewable penetration is associated with lower fossil f</w:t>
      </w:r>
    </w:p>
    <w:p>
      <w:pPr/>
      <w:r>
        <w:rPr>
          <w:b/>
        </w:rPr>
        <w:t>POSSIBLE 2026:</w:t>
      </w:r>
      <w:r>
        <w:t xml:space="preserve"> Cultural Barriers and Strategic Agility in European Enterprises — https://doi.org/10.1002/jsc.70088</w:t>
      </w:r>
    </w:p>
    <w:p>
      <w:pPr/>
      <w:r>
        <w:rPr>
          <w:b/>
        </w:rPr>
        <w:t>Shared claim-specific concepts:</w:t>
      </w:r>
      <w:r>
        <w:t xml:space="preserve"> three, strategic, levels; EU scope visible. This is a provisional connection, not an outcome finding.</w:t>
      </w:r>
    </w:p>
    <w:p>
      <w:pPr>
        <w:pStyle w:val="SourceNote"/>
      </w:pPr>
      <w:r>
        <w:rPr>
          <w:b/>
        </w:rPr>
        <w:t>Available abstract (not full text):</w:t>
      </w:r>
      <w:r>
        <w:t xml:space="preserve"> ABSTRACT This study examines how interpersonal cultural barriers shape strategic agility in European enterprises and what this means for business excellence during agile transformation. Evidence comes from an electronic questionnaire administered in 2023 and 2024 across enterprises in the European Union. After screening, the final sample includes 456 firms. A 24‐item instrument captures six agility dimensions, along with two cultural barriers: uncertainty avoidance and power distance. The results indicate agility levels that sit slightly above the midpoint across the measured dimensions. Higher cultural barriers align with weaker agile decision‐making. Power distance is associated with lower collaboration and has a meaningful influence on structural agility. Uncertainty avoidance most strongly limits the agility of technology and innovation. All three hypotheses receive support, with effects ranging from moderate to strong across the agility dimensions. The study links Hofstede‐rooted cultural barriers to a multidimensional strategic agility model and connects these insights to business excellence enablers, guiding excellence‐oriented transformation. The cross‐sectional correlational design limits causal inference, and sector coverage may constrain generalization, which invites longitudinal work and mediation‐focused follow‐ups. Managers can target technologies, values, and str</w:t>
      </w:r>
    </w:p>
    <w:p>
      <w:pPr/>
      <w:r>
        <w:rPr>
          <w:b/>
        </w:rPr>
        <w:t>POSSIBLE 2026:</w:t>
      </w:r>
      <w:r>
        <w:t xml:space="preserve"> Strategic autonomy: A ‘quantum leap forward on’ European total defence? — https://doi.org/10.1017/eis.2025.10034</w:t>
      </w:r>
    </w:p>
    <w:p>
      <w:pPr/>
      <w:r>
        <w:rPr>
          <w:b/>
        </w:rPr>
        <w:t>Shared claim-specific concepts:</w:t>
      </w:r>
      <w:r>
        <w:t xml:space="preserve"> three, strategic, strategy, integrating, long-term, article; EU scope visible. This is a provisional connection, not an outcome finding.</w:t>
      </w:r>
    </w:p>
    <w:p>
      <w:pPr>
        <w:pStyle w:val="SourceNote"/>
      </w:pPr>
      <w:r>
        <w:rPr>
          <w:b/>
        </w:rPr>
        <w:t>Available abstract (not full text):</w:t>
      </w:r>
      <w:r>
        <w:t xml:space="preserve"> Abstract In the last decade, the idea of total defence – a whole-of-society approach integrating civilian and military capabilities – has gained renewed prominence in Europe, including within the European Union (EU). Concurrently, the concept of strategic autonomy – the EU’s ability to act independently – has emerged as a central feature in its security policy, driving ambitions for ‘a quantum leap forward on security and defence’. 1 Despite significant conceptual overlaps, the relationship between total defence and strategic autonomy remains underexplored. Drawing on discursive institutionalism and the ideational power framework, this article examines EU security discourses from 2010 to 2024, analysing how strategic autonomy has shaped the development of European total defence. The study considers three dimensions of ideational power – through, over , and in – showing that while the idea of total defence predates strategic autonomy, the latter has certainly elevated the idea of European total defence and enhanced collective capability building, especially through entwining civilian and military domains, and yet has constrained the establishment of a unified military defence. The findings underscore the long-term discursive evolution underpinning the EU’s security strategy and its ongoing efforts to consolidate a European total defence framework, now more tangible than ever.</w:t>
      </w:r>
    </w:p>
    <w:p>
      <w:pPr/>
      <w:r>
        <w:rPr>
          <w:b/>
        </w:rPr>
        <w:t>POSSIBLE 2026:</w:t>
      </w:r>
      <w:r>
        <w:t xml:space="preserve"> Global Corporate Landscape 2025: A Comparative Analysis of Asia, North America, and Europe, and Strategic Outlook for 2028–2030 — https://doi.org/10.61173/1qf4yf31</w:t>
      </w:r>
    </w:p>
    <w:p>
      <w:pPr/>
      <w:r>
        <w:rPr>
          <w:b/>
        </w:rPr>
        <w:t>Shared claim-specific concepts:</w:t>
      </w:r>
      <w:r>
        <w:t xml:space="preserve"> three, strategic, energy, integration, strategy; EU scope visible. This is a provisional connection, not an outcome finding.</w:t>
      </w:r>
    </w:p>
    <w:p>
      <w:pPr>
        <w:pStyle w:val="SourceNote"/>
      </w:pPr>
      <w:r>
        <w:rPr>
          <w:b/>
        </w:rPr>
        <w:t>Available abstract (not full text):</w:t>
      </w:r>
      <w:r>
        <w:t xml:space="preserve"> As the global economy navigates the mid-point of the 2020s, the corporate landscape is undergoing a profound structural transformation characterized by shifting geopolitical alliances, the rapid operationalization of artificial intelligence, and the urgent mandate for decarbonization. This paper provides a comprehensive comparative analysis of the corporate status across three major economic blocs—North America, Europe, and Asia—as of 2025. North America continues to leverage its dominance in technological innovation, particularly in generative artificial intelligence and software ecosystems, while simultaneously engaging in a massive state-subsidized reindustrialization effort. Europe has solidified its position as the global regulatory vanguard, driving corporate strategies toward sustainability, circular economies, and stringent technological governance. Meanwhile, Asia is characterized by a rapid restructuring of global supply chains, technological leapfrogging in clean energy manufacturing, and the maturation of the "China Plus One" strategy. Furthermore, this study projects future development and market opportunities over the next three to five years (2028–2030), emphasizing the commercialization of next-generation energy systems, the transition from artificial intelligence integration to artificial general intelligence (AGI) readiness, and the establishment of hyper-resi</w:t>
      </w:r>
    </w:p>
    <w:p>
      <w:pPr/>
      <w:r>
        <w:rPr>
          <w:b/>
        </w:rPr>
        <w:t>POSSIBLE 2026:</w:t>
      </w:r>
      <w:r>
        <w:t xml:space="preserve"> Strategic orientations and open innovation adoption in European firms — https://doi.org/10.1108/cemj-02-2026-0061</w:t>
      </w:r>
    </w:p>
    <w:p>
      <w:pPr/>
      <w:r>
        <w:rPr>
          <w:b/>
        </w:rPr>
        <w:t>Shared claim-specific concepts:</w:t>
      </w:r>
      <w:r>
        <w:t xml:space="preserve"> three, strategic, integrating; EU scope visible. This is a provisional connection, not an outcome finding.</w:t>
      </w:r>
    </w:p>
    <w:p>
      <w:pPr>
        <w:pStyle w:val="SourceNote"/>
      </w:pPr>
      <w:r>
        <w:rPr>
          <w:b/>
        </w:rPr>
        <w:t>Available abstract (not full text):</w:t>
      </w:r>
      <w:r>
        <w:t xml:space="preserve"> Purpose This study examines the relationship between firms' strategic orientations and open innovation adoption. Specifically, it investigates whether different strategic priorities are associated with firms' engagement in open innovation activities. By integrating strategic management and open innovation perspectives, the study seeks to explain why some firms are more open to external knowledge flows than others. Design/methodology/approach The study uses microdata from the 2016 Community Innovation Survey (CIS), covering 97,543 enterprises from 14 European Union member states. Logistic regression models are employed to examine the associations between five strategic orientations and three forms of open innovation: goods, services, and process innovation. Firm size and export activity are included as control variables. Additional robustness analyses incorporating country and industry fixed effects are also conducted. Findings The study contributes to the literature by linking strategic orientations with open innovation adoption and providing large-scale empirical evidence from European firms. It extends existing research by showing that openness is not uniformly associated with all strategic orientations. The findings highlight the importance of strategic alignment in explaining heterogeneous patterns of open innovation adoption across firms. Originality/value The results reve</w:t>
      </w:r>
    </w:p>
    <w:p>
      <w:pPr/>
      <w:r>
        <w:rPr>
          <w:b/>
        </w:rPr>
        <w:t>POSSIBLE 2026:</w:t>
      </w:r>
      <w:r>
        <w:t xml:space="preserve"> Freight transport decarbonisation and strategic procurement: a comparative analysis across Europe, China, and North America — https://doi.org/10.14513/sbe.00634</w:t>
      </w:r>
    </w:p>
    <w:p>
      <w:pPr/>
      <w:r>
        <w:rPr>
          <w:b/>
        </w:rPr>
        <w:t>Shared claim-specific concepts:</w:t>
      </w:r>
      <w:r>
        <w:t xml:space="preserve"> three, strategic, practices, decarbonisation; EU scope visible. This is a provisional connection, not an outcome finding.</w:t>
      </w:r>
    </w:p>
    <w:p>
      <w:pPr>
        <w:pStyle w:val="SourceNote"/>
      </w:pPr>
      <w:r>
        <w:rPr>
          <w:b/>
        </w:rPr>
        <w:t>Available abstract (not full text):</w:t>
      </w:r>
      <w:r>
        <w:t xml:space="preserve"> Freight transportation is one of the most important contributors to global greenhouse gas (GHG) emissions. This study analyzes and compares how sustainability targets and practices are being implemented in road freight across three key regions: Europe, China, and North America. The aim is to evaluate the challenges, opportunities, and lessons learnt. Multiple approaches were applied: (1) a comprehensive literature review of sustainability regulations and technological trends; (2) secondary data collection from sustainability reports in the automotive industry; and (3) a primary survey distributed to international forwarders and service providers. The results indicate that Europe is mainly driven by regulatory decarbonization with strong commitments to electrification and intermodal freight, though infrastructure gaps remain. China demonstrates fast and strong progress in electrification and digital logistics platforms but faces challenges in implementation across regions. North America shows slower regulatory adoption but strong industry-driven initiatives in efficiency and alternative fuels. Results from the questionnaire indicate that cost pressures, service reliability, and infrastructure readiness are the most well-known challenges, while collaboration and digital transparency tools are seen as key points toward sustainability.The study outlines a potential strategic route </w:t>
      </w:r>
    </w:p>
    <w:p>
      <w:pPr/>
      <w:r>
        <w:rPr>
          <w:b/>
        </w:rPr>
        <w:t>POSSIBLE 2025:</w:t>
      </w:r>
      <w:r>
        <w:t xml:space="preserve"> Application of the Analytical Hierarchy Process in the management of private ambulance care systems in three selected European countries: a strategic decision-making framework — https://doi.org/10.3389/fpubh.2025.1526586</w:t>
      </w:r>
    </w:p>
    <w:p>
      <w:pPr/>
      <w:r>
        <w:rPr>
          <w:b/>
        </w:rPr>
        <w:t>Shared claim-specific concepts:</w:t>
      </w:r>
      <w:r>
        <w:t xml:space="preserve"> three, strategic, integration, practices; EU scope visible. This is a provisional connection, not an outcome finding.</w:t>
      </w:r>
    </w:p>
    <w:p>
      <w:pPr>
        <w:pStyle w:val="SourceNote"/>
      </w:pPr>
      <w:r>
        <w:rPr>
          <w:b/>
        </w:rPr>
        <w:t>Available abstract (not full text):</w:t>
      </w:r>
      <w:r>
        <w:t xml:space="preserve"> Private ambulance services play a vital role in healthcare systems across Europe, supplementing public emergency services and providing essential medical transportation. However, managing these services presents significant challenges, including resource allocation, regulatory compliance, service quality, technological integration, workforce management, and financial sustainability. This study employs the Analytical Hierarchy Process (AHP) as a strategic decision-making tool to optimize the management of private ambulance services in Germany, Spain, and the United Kingdom. To achieve this, data were collected from 20 participants across the three countries (Germany: 7, Spain: 6, United Kingdom: 7), comprising ambulance service administrators, emergency medical personnel, and regulatory experts. A purposive sampling method was used to ensure the inclusion of key stakeholders with direct experience in the sector. Participants completed structured questionnaires involving pairwise comparisons of key decision criteria. Results reveal that Regulatory Compliance is the highest priority across all countries (Germany: 0.25, Spain: 0.22, UK: 0.20), followed by Service Quality, which is particularly emphasized in the UK (0.22) and Germany (0.20). Technological Integration is important in Spain (0.20), reflecting the need for advancements in underserved areas. While Workforce Management a</w:t>
      </w:r>
    </w:p>
    <w:p>
      <w:pPr>
        <w:pStyle w:val="Heading2"/>
      </w:pPr>
      <w:r>
        <w:t>661. Energy and Climate Change Scenarios in the Mediterranean: An opportunity for cooperation</w:t>
      </w:r>
    </w:p>
    <w:p>
      <w:pPr>
        <w:pStyle w:val="SourceNote"/>
      </w:pPr>
      <w:r>
        <w:rPr>
          <w:b/>
        </w:rPr>
        <w:t>Original source (2020):</w:t>
      </w:r>
      <w:r>
        <w:t xml:space="preserve"> https://doi.org/10.1093/eurpub/ckaa165.298</w:t>
      </w:r>
    </w:p>
    <w:p>
      <w:pPr/>
      <w:r>
        <w:t>Original wording (abstract; indexed_source_text_not_full_document_verified): The degradation of the environment will foreseeably create security and health crisis scenarios, arising from energy shortages, air quality, water stress and food supply problems. Europe, and the Mediterranean will not escape the effects of climate change, which will aggravate risks and threats to human security (mainly public health) and regional stability.</w:t>
      </w:r>
    </w:p>
    <w:p>
      <w:pPr/>
      <w:r>
        <w:rPr>
          <w:b/>
        </w:rPr>
        <w:t>POSSIBLE 2026:</w:t>
      </w:r>
      <w:r>
        <w:t xml:space="preserve"> Tailoring the future for the environment, health and security through means of criminal law — https://doi.org/10.56398/ajacieda.00468</w:t>
      </w:r>
    </w:p>
    <w:p>
      <w:pPr/>
      <w:r>
        <w:rPr>
          <w:b/>
        </w:rPr>
        <w:t>Shared claim-specific concepts:</w:t>
      </w:r>
      <w:r>
        <w:t xml:space="preserve"> degradation, environment, security, health; EU scope visible. This is a provisional connection, not an outcome finding.</w:t>
      </w:r>
    </w:p>
    <w:p>
      <w:pPr>
        <w:pStyle w:val="SourceNote"/>
      </w:pPr>
      <w:r>
        <w:rPr>
          <w:b/>
        </w:rPr>
        <w:t>Available abstract (not full text):</w:t>
      </w:r>
      <w:r>
        <w:t xml:space="preserve"> Criminal law intervenes as a last resort to protect social values. Although standards may differ from one society to another, there are also many common benchmarks. Thus, at the global level, states must cooperate to protect both the natural and anthropogenic environment, which is essential for ensuring the life and health of humans and other living beings, but also for maintaining public and personal security. There is a trend at European level to strengthen the legal framework by updating the normative acts in the above-mentioned field. We are considering the entry into force of the Directive (EU) 2024/1203 of the European Parliament and of the Council of 11 April 2024 on the protection of the environment through criminal law and replacing Directives 2008/99/EC and 2009/123/EC, which must be transposed into the legislation of Member States by 21 May 2026. There are several new elements in this directive, but the focus of this paper will be on analysing the criminalization of the placing or making available on the Union market or the export from the Union market of relevant commodities or relevant products, in breach of the prohibition set out in Article 3 of Regulation (EU) 2023/1115, except where such conduct concerns a negligible quantity. We consider the analysis of this criminalisation to be all the more important given that the imbalance of the ecosystem, from the perspe</w:t>
      </w:r>
    </w:p>
    <w:p>
      <w:pPr/>
      <w:r>
        <w:rPr>
          <w:b/>
        </w:rPr>
        <w:t>POSSIBLE 2026:</w:t>
      </w:r>
      <w:r>
        <w:t xml:space="preserve"> The Hidden Costs of Soil Degradation: Threats to Global Food Security and Planetary Health — https://doi.org/10.1021/acsenvironau.6c00058</w:t>
      </w:r>
    </w:p>
    <w:p>
      <w:pPr/>
      <w:r>
        <w:rPr>
          <w:b/>
        </w:rPr>
        <w:t>Shared claim-specific concepts:</w:t>
      </w:r>
      <w:r>
        <w:t xml:space="preserve"> degradation, security, health, food, climate; EU scope not established. This is a provisional connection, not an outcome finding.</w:t>
      </w:r>
    </w:p>
    <w:p>
      <w:pPr>
        <w:pStyle w:val="SourceNote"/>
      </w:pPr>
      <w:r>
        <w:rPr>
          <w:b/>
        </w:rPr>
        <w:t>Available abstract (not full text):</w:t>
      </w:r>
      <w:r>
        <w:t xml:space="preserve"> Humans use soil to supply 97-99% of their calories, but the unprecedented pressure being placed on soil is now causing rapid soil degradation, including through erosion, loss of soil organic matter, acidification, contamination, salinization, and biodiversity loss. Here, we show how this degradation is causing an inherent decrease in global food productionthe loss of soil organic matter, for example, is predicted to cause a 4.3% decrease in yields for staple crops (representing calories for 640 million people) while soil erosion is projected to cause a loss in global crop production of 10% to 2050. While the adverse effects of this degradation on crop yield can often be largely masked or reversed by increased use of anthropogenic inputs such as fertilizer and irrigation, we show that some forms of soil degradation lead to permanent decreases in food production. Regardless, in all cases, we examine how both the soil degradation itself and the additional inputs required thereafter to sustain productivity result in substantial planetary harm, such as through climate change and eutrophication. It is clear that urgent action is required for ensuring both food security and planetary health, including through the development of integrated frameworks for improved policy- and decision-making.</w:t>
      </w:r>
    </w:p>
    <w:p>
      <w:pPr/>
      <w:r>
        <w:rPr>
          <w:b/>
        </w:rPr>
        <w:t>POSSIBLE 2026:</w:t>
      </w:r>
      <w:r>
        <w:t xml:space="preserve"> Soil Health in Europe: Policy perspectives — https://doi.org/10.5194/egusphere-egu26-12384</w:t>
      </w:r>
    </w:p>
    <w:p>
      <w:pPr/>
      <w:r>
        <w:rPr>
          <w:b/>
        </w:rPr>
        <w:t>Shared claim-specific concepts:</w:t>
      </w:r>
      <w:r>
        <w:t xml:space="preserve"> degradation, environment, security, health, food, not; EU scope visible. This is a provisional connection, not an outcome finding.</w:t>
      </w:r>
    </w:p>
    <w:p>
      <w:pPr>
        <w:pStyle w:val="SourceNote"/>
      </w:pPr>
      <w:r>
        <w:rPr>
          <w:b/>
        </w:rPr>
        <w:t>Available abstract (not full text):</w:t>
      </w:r>
      <w:r>
        <w:t xml:space="preserve"> In Europe soil health is facing emerging challenges that require innovative solutions and policy interventions. We acknowledge that 62% of the European Union (EU) soils are not in healthy condition, while we face serious challenges such as climate change, food security, biodiversity loss, and socio-economic pressures. The severity of these issues is evident in the fact that soil erosion is unsustainable for around ¼ of the EU territory, carbon stocks in soils are declining, nutrients are depleting, and emerging contaminants can pose a serious threat to soil and human health. The costs of soil degradation in the EU may reach up to €70 billion per year, highlighting the urgent need for action. To address these challenges, the EU has put in place many policies for agro-environmental protection since 2000, including soil protection. The European Green Deal, launched in 2020, has set an ambitious roadmap to make the EU the first carbon-neutral continent with a modern, competitive, and resource-efficient economy. As part of the Green Deal, the European Commission (EC) has put soil protection in a high position on the EU policy agenda, recognizing that healthy soils are essential to achieve climate neutrality, zero pollution, sustainable food provision, and a resilient environment. This increased focus on soil health has led to the development of new policies and initiatives, such as </w:t>
      </w:r>
    </w:p>
    <w:p>
      <w:pPr/>
      <w:r>
        <w:rPr>
          <w:b/>
        </w:rPr>
        <w:t>POSSIBLE 2026:</w:t>
      </w:r>
      <w:r>
        <w:t xml:space="preserve"> The Threat Silicon Valley Did Not See Coming: Structural Decline of Frontier-AI Developers in a Regulatory Environment Degraded by Competitive Authoritarianism and Science Denialism — https://doi.org/10.5281/zenodo.20962089</w:t>
      </w:r>
    </w:p>
    <w:p>
      <w:pPr/>
      <w:r>
        <w:rPr>
          <w:b/>
        </w:rPr>
        <w:t>Shared claim-specific concepts:</w:t>
      </w:r>
      <w:r>
        <w:t xml:space="preserve"> degradation, environment, not; EU scope not established. This is a provisional connection, not an outcome finding.</w:t>
      </w:r>
    </w:p>
    <w:p>
      <w:pPr>
        <w:pStyle w:val="SourceNote"/>
      </w:pPr>
      <w:r>
        <w:rPr>
          <w:b/>
        </w:rPr>
        <w:t>Available abstract (not full text):</w:t>
      </w:r>
      <w:r>
        <w:t xml:space="preserve"> Frontier-LLM developers have spent a decade optimising against threats they could price — compute scarcity, the contest for talent, open-weight competition, the ceiling of scaling laws, the Chinese frontier — while treating the governance environment of their own jurisdiction as a fixed background condition. This essay argues that the condition was in fact the most consequential variable of all, and that its degradation is neither incidental nor self-correcting. Two forces are responsible, and they are complementary rather than additive: competitive authoritarianism supplies a discretionary instrument (the selective application of formally legitimate powers), and science denialism removes the epistemic constraint that would limit its use (the decoupling of governance criteria from technical evidence). Their conjunction produces a governance of artificial intelligence that is simultaneously arbitrary and fact-immune — a failure mode I term governance-criteria capture, distinct from both over- and under-regulation. Taking the June 2026 export-control suspension of a frontier provider's most capable models as a dated, structurally diagnostic case, the essay traces the channels through which the substitution of governance by discretion propagates into corporate decline, develops an interactive scenario model of the resulting trajectories, and sets out the minimal governance that wo</w:t>
      </w:r>
    </w:p>
    <w:p>
      <w:pPr/>
      <w:r>
        <w:rPr>
          <w:b/>
        </w:rPr>
        <w:t>POSSIBLE 2025:</w:t>
      </w:r>
      <w:r>
        <w:t xml:space="preserve"> The Impact of Environmental Degradation on Children’s Rights in Central Europe — https://doi.org/10.21029/jael.2025.39.365</w:t>
      </w:r>
    </w:p>
    <w:p>
      <w:pPr/>
      <w:r>
        <w:rPr>
          <w:b/>
        </w:rPr>
        <w:t>Shared claim-specific concepts:</w:t>
      </w:r>
      <w:r>
        <w:t xml:space="preserve"> degradation, environment, not, climate; EU scope visible. This is a provisional connection, not an outcome finding.</w:t>
      </w:r>
    </w:p>
    <w:p>
      <w:pPr>
        <w:pStyle w:val="SourceNote"/>
      </w:pPr>
      <w:r>
        <w:rPr>
          <w:b/>
        </w:rPr>
        <w:t>Available abstract (not full text):</w:t>
      </w:r>
      <w:r>
        <w:t xml:space="preserve"> This article reframes environmental degradation as not just an ecological or economic issue, but fundamentally a children’s rights concern. Around the world, courts and international bodies are recognising that a safe, clean, and sustainable environment is essential for the fulfilment of fundamental human rights. Children are among the most vulnerable to environmental harm, bearing disproportionate impacts of pollution, climate change, and resource depletion. As future generations, children have a critical stake in environmental protection, raising questions of intergenerational justice and the duty of today’s decision-makers to safeguard tomorrow’s world. This article provides an in-depth legal analysis of the recognition of environmental rights as human rights, with a special focus on how environmental degradation affects children’s rights. It offers a comparative survey of international law, examines leading case law (international and domestic, especially in Central Europe), explores theoretical frameworks like intergenerational equity, and assesses regional implementation in Slovakia, Czechia, Poland, and Hungary. The article concludes with de lege ferenda recommendations for reforms to ensure the right of every child to a healthy environment across the region.</w:t>
      </w:r>
    </w:p>
    <w:p>
      <w:pPr/>
      <w:r>
        <w:rPr>
          <w:b/>
        </w:rPr>
        <w:t>POSSIBLE 2025:</w:t>
      </w:r>
      <w:r>
        <w:t xml:space="preserve"> Endangered Languages and Environmental Degradation Among Minority Communities in Europe: An Ecological Perspective — https://doi.org/10.18485/vlings_vele.2025.ch3</w:t>
      </w:r>
    </w:p>
    <w:p>
      <w:pPr/>
      <w:r>
        <w:rPr>
          <w:b/>
        </w:rPr>
        <w:t>Shared claim-specific concepts:</w:t>
      </w:r>
      <w:r>
        <w:t xml:space="preserve"> degradation, environment, not; EU scope visible. This is a provisional connection, not an outcome finding.</w:t>
      </w:r>
    </w:p>
    <w:p>
      <w:pPr>
        <w:pStyle w:val="SourceNote"/>
      </w:pPr>
      <w:r>
        <w:rPr>
          <w:b/>
        </w:rPr>
        <w:t>Available abstract (not full text):</w:t>
      </w:r>
      <w:r>
        <w:t xml:space="preserve"> In this chapter, I explore issues of language diversity loss from an ecological perspective of interconnectedness between speakers and the environment.To this end, I focus on ethnic minorities living in the socalled margins of Europe who, similarly to indigenous peoples worldwide, have been and continue to be disproportionately exposed to conditions of environmental destruction and thus to forms of environmental injustice.I argue that human intervention in the environment of ethnic minorities for the purpose of economic development, e.g.mining activities, not only disrupts local ecosystems and ways of life through degradation and pollution but also exerts negative effects on the cultural diversity of the affected areas, including their vulnerable minority languages, making it harder for minorities to survive as distinct socio-cultural entities.To illustrate the harmful repercussions of mining on the natural and linguistic environment, I present the challenges faced by a number of minority communities and their endangered languages in Europe, including the Sorbs in Lusatia (eastern Germany), the Vlachs in the Timok Valley (eastern Serbia) and the Sámi in northern Sweden.I emphasise that the voice of ethnolinguistic minority groups seems to be largely excluded from the debate on environmental change, as the modernisation and nationalisation imperatives of modern states have preva</w:t>
      </w:r>
    </w:p>
    <w:p>
      <w:pPr/>
      <w:r>
        <w:rPr>
          <w:b/>
        </w:rPr>
        <w:t>POSSIBLE 2025:</w:t>
      </w:r>
      <w:r>
        <w:t xml:space="preserve"> Environmental Response to the Use of Sewage Sludge on European Mediterranean Degraded Soils — https://doi.org/10.14738/aivp.1303.19018</w:t>
      </w:r>
    </w:p>
    <w:p>
      <w:pPr/>
      <w:r>
        <w:rPr>
          <w:b/>
        </w:rPr>
        <w:t>Shared claim-specific concepts:</w:t>
      </w:r>
      <w:r>
        <w:t xml:space="preserve"> mediterranean, not; EU scope visible. This is a provisional connection, not an outcome finding.</w:t>
      </w:r>
    </w:p>
    <w:p>
      <w:pPr>
        <w:pStyle w:val="SourceNote"/>
      </w:pPr>
      <w:r>
        <w:rPr>
          <w:b/>
        </w:rPr>
        <w:t>Available abstract (not full text):</w:t>
      </w:r>
      <w:r>
        <w:t xml:space="preserve"> Soils in the Mediterranean region have a low resilience to disturbances and are now extensively degraded both physically and bio-chemically. Inappropriate agricultural practices, exacerbated by other natural and human induced perturbations such as increased drought and forest fire occurrence have caused soil impoverishment and the subsequent abandonment of agricultural land in many regions. One of the most promising approaches to soil rehabilitation on such land is the application of organic wastes. Organic refuses, such as sewage sludge, are commonly used on agricultural land, but are increasingly considered for the reclamation of degraded land and mine deposits. The positive effect of such organic matter, nutrient and microorganism additions are now widely recognised. Very little, however, is known about the detrimental effects of such treatments. The impacts of phytotoxins, heavy metals, salts (especially sodium) and hydrocarbons added via organic wastes are not well enough understood to be thoroughly considered before application. Potential detrimental impacts include accumulation of metals, phosphorus, nitrogen, and resilient aliphatic hydrocarbons, leading to toxicity, nitrate influxes to the groundwater and changes in soil wetting properties.</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environment, security, crisis, energy, quality, climate;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Water Security in North America and Europe — https://doi.org/10.1002/9781394176748.ch6</w:t>
      </w:r>
    </w:p>
    <w:p>
      <w:pPr/>
      <w:r>
        <w:rPr>
          <w:b/>
        </w:rPr>
        <w:t>Shared claim-specific concepts:</w:t>
      </w:r>
      <w:r>
        <w:t xml:space="preserve"> security, water, climate; EU scope visible. This is a provisional connection, not an outcome finding.</w:t>
      </w:r>
    </w:p>
    <w:p>
      <w:pPr>
        <w:pStyle w:val="SourceNote"/>
      </w:pPr>
      <w:r>
        <w:rPr>
          <w:b/>
        </w:rPr>
        <w:t>Available abstract (not full text):</w:t>
      </w:r>
      <w:r>
        <w:t xml:space="preserve"> Water security and availability are critical issues affecting societies worldwide, with North America and Europe being no exceptions. This review paper aims to analyze the current status, challenges, and potential solutions regarding water security and availability in these regions. By examining existing literature, policies, and practices, this paper provides insights into the complex interplay of factors influencing water resources management, including climate change, population growth, urbanization, pollution, and governance. In addition, it explores various strategies such as conservation measures, technological innovations, policy frameworks, and international cooperation to address the challenges and ensure sustainable water management in North America and Europe. Through a comprehensive examination of research findings and case studies, this review contributes to understanding the dynamics of water security and availability in these regions and offers recommendations for future actions.</w:t>
      </w:r>
    </w:p>
    <w:p>
      <w:pPr/>
      <w:r>
        <w:rPr>
          <w:b/>
        </w:rPr>
        <w:t>POSSIBLE 2025:</w:t>
      </w:r>
      <w:r>
        <w:t xml:space="preserve"> Plant-Based Diet for Mission LiFE: Food Security, Health, and Environment — https://doi.org/10.1007/978-981-97-4730-6_8</w:t>
      </w:r>
    </w:p>
    <w:p>
      <w:pPr/>
      <w:r>
        <w:rPr>
          <w:b/>
        </w:rPr>
        <w:t>Shared claim-specific concepts:</w:t>
      </w:r>
      <w:r>
        <w:t xml:space="preserve"> environment, security, health, energy, food, climate; EU scope not established. This is a provisional connection, not an outcome finding.</w:t>
      </w:r>
    </w:p>
    <w:p>
      <w:pPr>
        <w:pStyle w:val="SourceNote"/>
      </w:pPr>
      <w:r>
        <w:rPr>
          <w:b/>
        </w:rPr>
        <w:t>Available abstract (not full text):</w:t>
      </w:r>
      <w:r>
        <w:t xml:space="preserve"> Abstract This chapter explores the interplay between food insecurity, energy security, and climate change, emphasising the need for integrated solutions to address these challenges. The chapter advocates for adopting plant-based diets, which align with India's Mission Lifestyle for Environment (LiFE) to promote sustainable food production and reduce environmental impacts. Additionally, it discusses the emergence of the degrowth concept as a potential pathway to sustainability, highlighting the need for resilient food systems through local production, reducing food waste, and regenerative agriculture. While degrowth presents economic and political challenges, the chapter suggests that a balanced approach could enhance food security and sustainability. The complexities of adopting plant-based diets, including health, environmental, and socioeconomic considerations, are also analysed, emphasising the importance of informed choices for personal and ecological wellbeing.</w:t>
      </w:r>
    </w:p>
    <w:p>
      <w:pPr/>
      <w:r>
        <w:rPr>
          <w:b/>
        </w:rPr>
        <w:t>POSSIBLE 2025:</w:t>
      </w:r>
      <w:r>
        <w:t xml:space="preserve"> Overpopulation and Environmental Degradation: Selected Aspects — https://doi.org/10.31124/advance.174884583.34116156/v1</w:t>
      </w:r>
    </w:p>
    <w:p>
      <w:pPr/>
      <w:r>
        <w:rPr>
          <w:b/>
        </w:rPr>
        <w:t>Shared claim-specific concepts:</w:t>
      </w:r>
      <w:r>
        <w:t xml:space="preserve"> degradation, energy, air, water, problems, not; EU scope not established. This is a provisional connection, not an outcome finding.</w:t>
      </w:r>
    </w:p>
    <w:p>
      <w:pPr>
        <w:pStyle w:val="SourceNote"/>
      </w:pPr>
      <w:r>
        <w:rPr>
          <w:b/>
        </w:rPr>
        <w:t>Available abstract (not full text):</w:t>
      </w:r>
      <w:r>
        <w:t xml:space="preserve"> One of the most precarious issues that humanity is currently facing is the environmental degradation. Global population continues to rise in absolute terms despite generally declining birth rates. Poverty, overcrowding, air and water pollution are consequences of the populace excess. To find a remedy, a new attitude to the childbearing should be accepted worldwide: the procreation is a matter of public concern. Global acceptance of this maxim is a prerequisite of international understanding and trust. Several regions are discussed here in some detail: the former Soviet Union, sub-Saharan Africa, Southern Asia and the Middle East. The topics of migrations and reproductive coercion are briefly delineated here. Particular ways to alleviation of overpopulation-related problems are discussed: nuclear energy for water desalination in arid regions; permanent contraception, vasectomy and caesarean tubal sterilization. So far, the population size can be controlled using humane, scientifically based methods, taking into account ecological and economical realities. It will not stay that way forever.</w:t>
      </w:r>
    </w:p>
    <w:p>
      <w:pPr/>
      <w:r>
        <w:rPr>
          <w:b/>
        </w:rPr>
        <w:t>POSSIBLE 2025:</w:t>
      </w:r>
      <w:r>
        <w:t xml:space="preserve"> Efficient secretion of a plastic degrading enzyme from the green algae Chlamydomonas reinhardtii — https://doi.org/10.1038/s41598-025-09100-0</w:t>
      </w:r>
    </w:p>
    <w:p>
      <w:pPr/>
      <w:r>
        <w:rPr>
          <w:b/>
        </w:rPr>
        <w:t>Shared claim-specific concepts:</w:t>
      </w:r>
      <w:r>
        <w:t xml:space="preserve"> degradation, environment, crisis, water, food; EU scope not established. This is a provisional connection, not an outcome finding.</w:t>
      </w:r>
    </w:p>
    <w:p>
      <w:pPr>
        <w:pStyle w:val="SourceNote"/>
      </w:pPr>
      <w:r>
        <w:rPr>
          <w:b/>
        </w:rPr>
        <w:t>Available abstract (not full text):</w:t>
      </w:r>
      <w:r>
        <w:t xml:space="preserve"> Plastic pollution has become a global crisis, with microplastics contaminating every environment on the planet, including our food, water, and even our bodies. In response, there is a growing interest in developing plastics that biodegrade naturally, thus avoiding the creation of persistent microplastics. As a mechanism to increase the rate of polyester plastic degradation, we examined the potential of using the green microalga Chlamydomonas reinhardtii for the expression and secretion of PHL7, an enzyme that breaks down post-consumer polyethylene terephthalate (PET) plastics. We engineered C. reinhardtii to secrete active PHL7 enzyme and selected strains showing robust expression, by using agar plates containing a polyester polyurethane (PU) dispersion as an efficient screening tool. This method demonstrated the enzyme's efficacy in degrading ester bond-containing plastics, such as PET and bio-based polyurethanes, and highlights the potential for microalgae to be implemented in environmental biotechnology. The effectiveness of algal-expressed PHL7 in degrading plastics was shown by incubating PET with the supernatant from engineered strains, resulting in substantial plastic degradation, confirmed by mass spectrometry analysis of terephthalic acid formation from PET. Our findings demonstrate the feasibility of polyester plastic recycling using microalgae to produce plastic-degr</w:t>
      </w:r>
    </w:p>
    <w:p>
      <w:pPr>
        <w:pStyle w:val="Heading2"/>
      </w:pPr>
      <w:r>
        <w:t>662. Environmental impacts of household appliances in Europe and scenarios for their impact reduction</w:t>
      </w:r>
    </w:p>
    <w:p>
      <w:pPr>
        <w:pStyle w:val="SourceNote"/>
      </w:pPr>
      <w:r>
        <w:rPr>
          <w:b/>
        </w:rPr>
        <w:t>Original source (2020):</w:t>
      </w:r>
      <w:r>
        <w:t xml:space="preserve"> https://doi.org/10.1016/j.jclepro.2020.121952</w:t>
      </w:r>
    </w:p>
    <w:p>
      <w:pPr/>
      <w:r>
        <w:t>Original wording (abstract; indexed_source_text_not_full_document_verified): A number of scenarios encompassing eco-solutions on a technical level, changes in consumption pattern, behavioral changes, as well as the combination of all these aspects are run to estimate the Consumer Footprint related to household appliances for the year 2030, compared against this baseline scenario. Testing different scenarios concludes that there is a reduction of the impact for most of the categories (with up to 67% for the ozone depletion potential, and still around 35% for the global warming potential), while two of the here examined impact categories (i.e. land-use and mineral resource depletion) show an overall potential that is even negative - i.e. the results of all scenarios are higher than the ones of the 2010 baseline scenario.</w:t>
      </w:r>
    </w:p>
    <w:p>
      <w:pPr/>
      <w:r>
        <w:rPr>
          <w:b/>
        </w:rPr>
        <w:t>POSSIBLE 2026:</w:t>
      </w:r>
      <w:r>
        <w:t xml:space="preserve"> European Lepidoptera–Plant Associations: A Species‐Level Interaction Matrix — https://doi.org/10.1002/ece3.73004</w:t>
      </w:r>
    </w:p>
    <w:p>
      <w:pPr/>
      <w:r>
        <w:rPr>
          <w:b/>
        </w:rPr>
        <w:t>Shared claim-specific concepts:</w:t>
      </w:r>
      <w:r>
        <w:t xml:space="preserve"> encompassing, level, all; EU scope visible. This is a provisional connection, not an outcome finding.</w:t>
      </w:r>
    </w:p>
    <w:p>
      <w:pPr>
        <w:pStyle w:val="SourceNote"/>
      </w:pPr>
      <w:r>
        <w:rPr>
          <w:b/>
        </w:rPr>
        <w:t>Available abstract (not full text):</w:t>
      </w:r>
      <w:r>
        <w:t xml:space="preserve"> Documenting plant-herbivore interactions at broad spatial scales is crucial for understanding the ecological and evolutionary processes that shape biodiversity. Here I present a continental-scale interaction matrix encompassing 5152 Lepidoptera species and 3275 vascular plant species across Europe. The dataset compiles records from published literature, monographs, online repositories, and gray sources, with all taxa standardized to current classifications. By resolving associations at the species level, this resource provides a robust basis for investigating host specialization, network structure, and patterns of herbivore diversity in biogeographic and phylogenetic contexts. In addition to supporting fundamental research, the matrix offers applied value for conservation biology-for example, by identifying keystone host plants that sustain diverse herbivore assemblages and by assessing the vulnerability of insect communities to host loss under global change. The dataset is openly available in a machine-readable format under a CC-BY 4.0 license, ensuring transparency, reproducibility, and long-term accessibility for ecological and evolutionary studies.</w:t>
      </w:r>
    </w:p>
    <w:p>
      <w:pPr/>
      <w:r>
        <w:rPr>
          <w:b/>
        </w:rPr>
        <w:t>POSSIBLE 2025:</w:t>
      </w:r>
      <w:r>
        <w:t xml:space="preserve"> Eco-Efficiency in the Agricultural Sector: A Cross-Country Comparison Between the European Union and Türkiye — https://doi.org/10.3390/su17135713</w:t>
      </w:r>
    </w:p>
    <w:p>
      <w:pPr/>
      <w:r>
        <w:rPr>
          <w:b/>
        </w:rPr>
        <w:t>Shared claim-specific concepts:</w:t>
      </w:r>
      <w:r>
        <w:t xml:space="preserve"> level, consumption, all; EU scope visible. This is a provisional connection, not an outcome finding.</w:t>
      </w:r>
    </w:p>
    <w:p>
      <w:pPr>
        <w:pStyle w:val="SourceNote"/>
      </w:pPr>
      <w:r>
        <w:rPr>
          <w:b/>
        </w:rPr>
        <w:t>Available abstract (not full text):</w:t>
      </w:r>
      <w:r>
        <w:t xml:space="preserve"> This study conducts a macro-level comparative analysis of the eco-efficiency in the agricultural sectors of the European Union (EU) member states and Türkiye from 2003 to 2022. By treating countries as decision-making units, this research offers a holistic overview of how national-level inputs and outputs shape the aggregate performance, focusing on the trade-offs between economic value generation and environmental pressures. An input-oriented Data Envelopment Analysis (DEA) model, based on Variable Returns to Scale (VRS), was employed. The model employs three inputs—compensation of employees (COE), energy consumption (EC), and gross fixed capital formation (GFC)—and two outputs—agricultural gross domestic product (GDP) and GHG emissions (GGEs). All variables were normalized by agricultural land area per country to account for scale differences. The findings reveal significant disparities in the eco-efficiency across countries and over time. Notably, Türkiye consistently demonstrated a high performance, frequently serving as a benchmark. In contrast, several Eastern European countries exhibited lower scores, suggesting significant room for structural improvement at the national level. The results point to the considerable potential for reducing energy and labor inputs in many countries. Instead of offering specific policy prescriptions, this study provides a diagnostic tool tha</w:t>
      </w:r>
    </w:p>
    <w:p>
      <w:pPr/>
      <w:r>
        <w:rPr>
          <w:b/>
        </w:rPr>
        <w:t>POSSIBLE 2025:</w:t>
      </w:r>
      <w:r>
        <w:t xml:space="preserve"> Eco-innovations and their linkages in circular construction : Case: reuse of precast concrete elements — https://openalex.org/W7132922717</w:t>
      </w:r>
    </w:p>
    <w:p>
      <w:pPr/>
      <w:r>
        <w:rPr>
          <w:b/>
        </w:rPr>
        <w:t>Shared claim-specific concepts:</w:t>
      </w:r>
      <w:r>
        <w:t xml:space="preserve"> well, all, aspects, related, different; EU scope visible. This is a provisional connection, not an outcome finding.</w:t>
      </w:r>
    </w:p>
    <w:p>
      <w:pPr>
        <w:pStyle w:val="SourceNote"/>
      </w:pPr>
      <w:r>
        <w:rPr>
          <w:b/>
        </w:rPr>
        <w:t>Available abstract (not full text):</w:t>
      </w:r>
      <w:r>
        <w:t xml:space="preserve"> Circular construction has generated significant interest as a solution to global sustainability concerns and demand for building more especially in large cities. Circular construction is based on the circular economy principles, where materials are kept in circulation through reuse, maintenance, refurbishment and composting instead of the conventional linear take-make-dispose operating model. This reuse of materials generates plenty of opportunities especially with precast concrete elements, as concrete have been globally used in buildings for decades and virgin concrete causes the most emissions in the industry. Even though the benefits of the reuse of precast concrete elements and circular construction have been widely acknowledged, the innovations related to those have not been studied much. Moreover, the knowledge of how innovations with positive environmental effects are linked together and spur each other’s development as well as the circularity is largely absent in the literature. Thus, the objective of this study is to investigate the eco-innovations related to reuse of precast concrete elements and circular construction, examine their systemic linkages as well as study how do these eco-innovations affect the transition into circular economy in the construction industry. This study was conducted as an exploratory and qualitative case study, where eco-innovations and the</w:t>
      </w:r>
    </w:p>
    <w:p>
      <w:pPr/>
      <w:r>
        <w:rPr>
          <w:b/>
        </w:rPr>
        <w:t>POSSIBLE 2024:</w:t>
      </w:r>
      <w:r>
        <w:t xml:space="preserve"> Eco-innovation performance in the European Union economies: Perspective on outcomes — https://doi.org/10.15678/ier.2024.1003.02</w:t>
      </w:r>
    </w:p>
    <w:p>
      <w:pPr/>
      <w:r>
        <w:rPr>
          <w:b/>
        </w:rPr>
        <w:t>Shared claim-specific concepts:</w:t>
      </w:r>
      <w:r>
        <w:t xml:space="preserve"> well, all, related; EU scope visible. This is a provisional connection, not an outcome finding.</w:t>
      </w:r>
    </w:p>
    <w:p>
      <w:pPr>
        <w:pStyle w:val="SourceNote"/>
      </w:pPr>
      <w:r>
        <w:rPr>
          <w:b/>
        </w:rPr>
        <w:t>Available abstract (not full text):</w:t>
      </w:r>
      <w:r>
        <w:t xml:space="preserve"> Objective: The objective of this article was to examine the eco-innovation performance of the European Un-ion’s economies in terms of eco-innovation outcomes with a particular focus on resource efficiency and socio-economic outcomes. Research Design &amp; Methods: We used quantitative research methods, such as descriptive statistics, Euclidean distance, and Pearson’s correlation index. We based the comparative analysis of the eco-innovation indices related to outputs and outcomes on the Eco-innovation Scoreboard. We conducted it for the years 2013-2022. Findings: The research results showed that EU countries considered as one group improved their eco-innovation performance as measured by the Eco-innovation Index (EII), as well as in terms of the EII composite indices related to innovation outcomes during the study period. We also observed improvement in the EII and the EII thematic areas observed for both the eco-innovation leaders and catching-up economies. However, the leading countries maintained and even slightly increased the distance to the EU-27 average in terms of the total EII index, while significantly increasing the distance in terms of socio-economic outcomes and eco-innovation outputs. Moreover, the rates of growth of eco-innovation outputs and outcomes were much higher for these countries than the growth rate of their eco-innovation inputs. Implications &amp; Recommendati</w:t>
      </w:r>
    </w:p>
    <w:p>
      <w:pPr/>
      <w:r>
        <w:rPr>
          <w:b/>
        </w:rPr>
        <w:t>POSSIBLE 2024:</w:t>
      </w:r>
      <w:r>
        <w:t xml:space="preserve"> Loneliness in midlife: Historical increases and elevated levels in the United States compared with Europe. — https://doi.org/10.1037/amp0001322</w:t>
      </w:r>
    </w:p>
    <w:p>
      <w:pPr/>
      <w:r>
        <w:rPr>
          <w:b/>
        </w:rPr>
        <w:t>Shared claim-specific concepts:</w:t>
      </w:r>
      <w:r>
        <w:t xml:space="preserve"> all, compared; EU scope visible. This is a provisional connection, not an outcome finding.</w:t>
      </w:r>
    </w:p>
    <w:p>
      <w:pPr>
        <w:pStyle w:val="SourceNote"/>
      </w:pPr>
      <w:r>
        <w:rPr>
          <w:b/>
        </w:rPr>
        <w:t>Available abstract (not full text):</w:t>
      </w:r>
      <w:r>
        <w:t xml:space="preserve"> . Middle-aged adults in the United States, England, and Mediterranean Europe today report higher levels of loneliness than earlier born cohorts, whereas no historical changes (if not historically lower levels) were observed in Continental and Nordic Europe. Our discussion focuses on possible reasons for cross-national differences in midlife loneliness, including cultural factors, social and economic inequalities, and differences in social safety nets. (PsycInfo Database Record (c) 2025 APA, all rights reserved).</w:t>
      </w:r>
    </w:p>
    <w:p>
      <w:pPr/>
      <w:r>
        <w:rPr>
          <w:b/>
        </w:rPr>
        <w:t>POSSIBLE 2024:</w:t>
      </w:r>
      <w:r>
        <w:t xml:space="preserve"> SUSTAINABLE FINANCING AS A FACTOR INFLUENCING ECO-FRIENDLY BUSINESS TRANSFORMATION: EXISTING CHALLENGES AND POTENTIAL SOLUTIONS — https://doi.org/10.37547/tajiir/volume06issue10-02</w:t>
      </w:r>
    </w:p>
    <w:p>
      <w:pPr/>
      <w:r>
        <w:rPr>
          <w:b/>
        </w:rPr>
        <w:t>Shared claim-specific concepts:</w:t>
      </w:r>
      <w:r>
        <w:t xml:space="preserve"> all, aspects; EU scope not established. This is a provisional connection, not an outcome finding.</w:t>
      </w:r>
    </w:p>
    <w:p>
      <w:pPr>
        <w:pStyle w:val="SourceNote"/>
      </w:pPr>
      <w:r>
        <w:rPr>
          <w:b/>
        </w:rPr>
        <w:t>Available abstract (not full text):</w:t>
      </w:r>
      <w:r>
        <w:t xml:space="preserve"> This study underscores the slow adoption of eco-friendly practices, particularly in high-emission sectors ("brown" businesses), and emphasizes the role of sustainable financing in implementation of environmentally sustainable business practices, with a particular interest in such types of corporate financing as sustainability-linked loans and a relatively new type of financing provided to companies with core business falling under eligible green criteria (loans for green businesses). The purpose was to identify existing challenges preventing promotion of these two types of sustainable financing and borrowers’ sustainable transformation, and propose potential solutions addressing these challenges. The analysis was performed based on a vast literature review. The study revealed the existence of such challenges as borrowers’ profit-driven motives, lack in regulatory transparency, concerns of financial institutions about their profitability and risk of greenwashing, and insufficient governmental support. To address these challenges, regulatory measures are recommended to incentivize financial institutions to offer reduced interest rates on loans for green business and sustainability-linked loans, with governments compensating such losses through imposing higher taxes on “brown” businesses. The study also proposes a potential action plan on amending the regulatory framework with the</w:t>
      </w:r>
    </w:p>
    <w:p>
      <w:pPr/>
      <w:r>
        <w:rPr>
          <w:b/>
        </w:rPr>
        <w:t>POSSIBLE 2023:</w:t>
      </w:r>
      <w:r>
        <w:t xml:space="preserve"> Effects of Climate Change on Areas Suitable for Maize Cultivation and Aflatoxin Contamination in Europe — https://doi.org/10.3390/toxins15100599</w:t>
      </w:r>
    </w:p>
    <w:p>
      <w:pPr/>
      <w:r>
        <w:rPr>
          <w:b/>
        </w:rPr>
        <w:t>Shared claim-specific concepts:</w:t>
      </w:r>
      <w:r>
        <w:t xml:space="preserve"> consumption, baseline; EU scope visible. This is a provisional connection, not an outcome finding.</w:t>
      </w:r>
    </w:p>
    <w:p>
      <w:pPr>
        <w:pStyle w:val="SourceNote"/>
      </w:pPr>
      <w:r>
        <w:rPr>
          <w:b/>
        </w:rPr>
        <w:t>Available abstract (not full text):</w:t>
      </w:r>
      <w:r>
        <w:t xml:space="preserve"> The climate is changing in Europe: average temperatures are increasing, and so is the frequency of extreme weather events. Climate change has a severe impact on areas suitable for growing certain crops and on food safety, for example, affecting the occurrence of the aflatoxin contamination of maize. The aim of this study was to obtain insights into the impact of climate change on possible changes in land use in Europe, particularly in areas suitable for maize cultivation, and on the probability of the mycotoxin contamination of maize in order to give directions for long-term adaptation to climate change. By combining a land use model and a mycotoxin prediction model, the suitability of land for maize cultivation and the probability of aflatoxin contamination were estimated for suitable areas in Europe, comparing the current climate with the 2050 scenario. In 2050, the occurrence of aflatoxin contamination in Europe is predicted to severely increase, especially in Central and Southern Europe. More northern regions, presently unsuitable for maize cultivation, will become suitable for maize cultivation in 2050. In the baseline scenario, most regions suitable for maize cultivation have a low probability of aflatoxin contamination, whereas in 2050, about half of the regions suitable for maize cultivation have a medium to high probability of aflatoxin contamination. Regions for safel</w:t>
      </w:r>
    </w:p>
    <w:p>
      <w:pPr/>
      <w:r>
        <w:rPr>
          <w:b/>
        </w:rPr>
        <w:t>POSSIBLE 2022:</w:t>
      </w:r>
      <w:r>
        <w:t xml:space="preserve"> Nature-Based Solutions in Coastal and Estuarine Areas of Europe — https://doi.org/10.3389/fenvs.2022.829526</w:t>
      </w:r>
    </w:p>
    <w:p>
      <w:pPr/>
      <w:r>
        <w:rPr>
          <w:b/>
        </w:rPr>
        <w:t>Shared claim-specific concepts:</w:t>
      </w:r>
      <w:r>
        <w:t xml:space="preserve"> run, related, compared, against; EU scope visible. This is a provisional connection, not an outcome finding.</w:t>
      </w:r>
    </w:p>
    <w:p>
      <w:pPr>
        <w:pStyle w:val="SourceNote"/>
      </w:pPr>
      <w:r>
        <w:rPr>
          <w:b/>
        </w:rPr>
        <w:t>Available abstract (not full text):</w:t>
      </w:r>
      <w:r>
        <w:t xml:space="preserve"> Momentum for sustainable and climate resilience solutions for coastal protection are growing globally given the pressing need to prevent further loss of biodiversity and ecosystems while meeting the climate change adaptation and mitigation goals. Nature-Based Solutions (NbS) represent an opportunity to align environmental and resilience goals, at a time of strained budgets in a global context and when short-term needs may run counter to long-term goals. In Europe, NbS fit the mandates of major EU environmental and climate change policies by restoring biodiversity and enhancing climate-resilience and carbon sequestration. Previous studies have compiled scientific evidence about hydro-meteorological hazards for the use of NbS. However, their implementation at scale is still lacking. As the knowledge and experience with NbS for adaptation to natural hazards and climate change increases, it becomes more important to draw lessons learned and insights for replicating and scaling up NbS, especially in coastal areas where their implementation is still limited compared to other environments. This study analyzed NbS case studies across European coastal and estuarine areas to draw key lessons, understand better the current status of implementation, and identify key challenges and gaps. From a total of 59 NbS case studies associated with flooding, erosion and biodiversity loss, results sho</w:t>
      </w:r>
    </w:p>
    <w:p>
      <w:pPr/>
      <w:r>
        <w:rPr>
          <w:b/>
        </w:rPr>
        <w:t>POSSIBLE 2022:</w:t>
      </w:r>
      <w:r>
        <w:t xml:space="preserve"> Nature-Based Solutions in Urban Areas: A European Analysis — https://doi.org/10.3390/app13010168</w:t>
      </w:r>
    </w:p>
    <w:p>
      <w:pPr/>
      <w:r>
        <w:rPr>
          <w:b/>
        </w:rPr>
        <w:t>Shared claim-specific concepts:</w:t>
      </w:r>
      <w:r>
        <w:t xml:space="preserve"> level, well, different; EU scope visible. This is a provisional connection, not an outcome finding.</w:t>
      </w:r>
    </w:p>
    <w:p>
      <w:pPr>
        <w:pStyle w:val="SourceNote"/>
      </w:pPr>
      <w:r>
        <w:rPr>
          <w:b/>
        </w:rPr>
        <w:t>Available abstract (not full text):</w:t>
      </w:r>
      <w:r>
        <w:t xml:space="preserve"> Currently, the world is facing resource scarcity as the environmental impacts of human intervention continue to intensify. To facilitate the conservation and recovery of ecosystems and to transform cities into more sustainable, intelligent, regenerative, and resilient environments, the concepts of circularity and nature-based solutions (NbS) are applied. The role of NbS within green infrastructure in urban resilience is recognised, and considerable efforts are being made by the European Commission (EC) to achieve the European sustainability goals. However, it is not fully evidenced, in an integrated way, which are the main NbS implemented in the urban environment and their effects. This article aims to identify the main and most recent NbS applied in urban environments at the European level and to analyse the integration of different measures as an innovative analysis based on real cases. For this purpose, this work presents a literature review of 69 projects implemented in 24 European cities, as well as 8 urban actions and 3 spatial scales of implementation at the district level. Therefore, there is great potential for NbS adoption in buildings and their surroundings, which are still not prioritized, given the lack of effective monitoring of the effects of NbS.</w:t>
      </w:r>
    </w:p>
    <w:p>
      <w:pPr/>
      <w:r>
        <w:rPr>
          <w:b/>
        </w:rPr>
        <w:t>POSSIBLE 2022:</w:t>
      </w:r>
      <w:r>
        <w:t xml:space="preserve"> Drivers of phenological changes in southern Europe — https://doi.org/10.1007/s00484-022-02331-0</w:t>
      </w:r>
    </w:p>
    <w:p>
      <w:pPr/>
      <w:r>
        <w:rPr>
          <w:b/>
        </w:rPr>
        <w:t>Shared claim-specific concepts:</w:t>
      </w:r>
      <w:r>
        <w:t xml:space="preserve"> pattern, different; EU scope visible. This is a provisional connection, not an outcome finding.</w:t>
      </w:r>
    </w:p>
    <w:p>
      <w:pPr>
        <w:pStyle w:val="SourceNote"/>
      </w:pPr>
      <w:r>
        <w:rPr>
          <w:b/>
        </w:rPr>
        <w:t>Available abstract (not full text):</w:t>
      </w:r>
      <w:r>
        <w:t xml:space="preserve"> The life cycle of plants is largely determined by climate, which renders phenological responses to climate change a highly suitable bioindicator of climate change. Yet, it remains unclear, which are the key drivers of phenological patterns at certain life stages. Furthermore, the varying responses of species belonging to different plant functional types are not fully understood. In this study, the role of temperature and precipitation as environmental drivers of phenological changes in southern Europe is assessed. The trends of the phenophases leaf unfolding, flowering, fruiting, and senescence are quantified, and the corresponding main environmental drivers are identified. A clear trend towards an earlier onset of leaf unfolding, flowering, and fruiting is detected, while there is no clear pattern for senescence. In general, the advancement of leaf unfolding, flowering and fruiting is smaller for deciduous broadleaf trees in comparison to deciduous shrubs and crops. Many broadleaf trees are photoperiod-sensitive; therefore, their comparatively small phenological advancements are likely the effect of photoperiod counterbalancing the impact of increasing temperatures. While temperature is identified as the main driver of phenological changes, precipitation also plays a crucial role in determining the onset of leaf unfolding and flowering. Phenological phases advance under dry co</w:t>
      </w:r>
    </w:p>
    <w:p>
      <w:pPr/>
      <w:r>
        <w:rPr>
          <w:b/>
        </w:rPr>
        <w:t>POSSIBLE 2022:</w:t>
      </w:r>
      <w:r>
        <w:t xml:space="preserve"> Fertility trends and its determinants in Spain and Europe — https://doi.org/10.33612/diss.237466569</w:t>
      </w:r>
    </w:p>
    <w:p>
      <w:pPr/>
      <w:r>
        <w:rPr>
          <w:b/>
        </w:rPr>
        <w:t>Shared claim-specific concepts:</w:t>
      </w:r>
      <w:r>
        <w:t xml:space="preserve"> number, level, different; EU scope visible. This is a provisional connection, not an outcome finding.</w:t>
      </w:r>
    </w:p>
    <w:p>
      <w:pPr>
        <w:pStyle w:val="SourceNote"/>
      </w:pPr>
      <w:r>
        <w:rPr>
          <w:b/>
        </w:rPr>
        <w:t>Available abstract (not full text):</w:t>
      </w:r>
      <w:r>
        <w:t xml:space="preserve"> European demography and fertility is a colorful mosaic that reflects a variety of cultures and institutions across different countries. There is considerable subnational variation in fertility levels, therefore the national average values often hide important local differences. Previous research has shown different factors to have an impact on fertility tempo and quantum, such as economic contraction, social transformations, and the rise of migration. Such changes have not spread homogeneously, but with a different pace and intensity across European countries. This thesis aims to obtain more insight into the geographical variation in fertility changes in Europe, and to identify the role of a number of major factors behind this geographical variation, both at the macro level for European countries, and at the micro level for Spanish regions. The socio-economic factors involved in the transformation of fertility in Spain, is conducted at subnational level employing small territorial units, and constructing demographic and socio-economic indicators, which encompass fertility for the past forty years. Although fertility in most European countries is below replacement, the two child ideal is still very much the norm. Results show the factors that allow fulfilling childbearing ideals and how they differ between Western and Eastern Europe. Attitudes towards childbearing can change aft</w:t>
      </w:r>
    </w:p>
    <w:p>
      <w:pPr/>
      <w:r>
        <w:rPr>
          <w:b/>
        </w:rPr>
        <w:t>POSSIBLE 2022:</w:t>
      </w:r>
      <w:r>
        <w:t xml:space="preserve"> Eco-social mobilization at the supranational level? The case of The Right to Energy for All Europeans coalition — https://doi.org/10.4337/9781839104633.00022</w:t>
      </w:r>
    </w:p>
    <w:p>
      <w:pPr/>
      <w:r>
        <w:rPr>
          <w:b/>
        </w:rPr>
        <w:t>Shared claim-specific concepts:</w:t>
      </w:r>
      <w:r>
        <w:t xml:space="preserve"> level, all, against; EU scope visible. This is a provisional connection, not an outcome finding.</w:t>
      </w:r>
    </w:p>
    <w:p>
      <w:pPr>
        <w:pStyle w:val="SourceNote"/>
      </w:pPr>
      <w:r>
        <w:rPr>
          <w:b/>
        </w:rPr>
        <w:t>Available abstract (not full text):</w:t>
      </w:r>
      <w:r>
        <w:t xml:space="preserve"> What is the potential for European interest groups to jointly mobilize to promote synergies between ecological and social goals? This chapter explores attempts of the 'Right to Energy for All Europeans' coalition, an alliance of Brussels-based NGOs and trade unions, to exert influence on the energy poverty-related proposals in the 2016 Clean Energy for All Europeans legislative package. Drawing on qualitative research methods, we find that structural constraints (such as limited resources and compartmentalized policymaking) undermine full bottom-up eco-social coordination at the EU level. So does the commitment of each pressure group to potentially divergent interests. Nevertheless, European green and social NGOs and trade unions display a cooperative attitude towards each other and against the established constraints to coalition-building. Together they advocate for a just transition paradigm, combining social and environmental goals and ultimately making eco-social mobilization an efficient advocacy strategy.</w:t>
      </w:r>
    </w:p>
    <w:p>
      <w:pPr>
        <w:pStyle w:val="Heading2"/>
      </w:pPr>
      <w:r>
        <w:t>663. Exploring the Future of Universities Through Experimental Foresight</w:t>
      </w:r>
    </w:p>
    <w:p>
      <w:pPr>
        <w:pStyle w:val="SourceNote"/>
      </w:pPr>
      <w:r>
        <w:rPr>
          <w:b/>
        </w:rPr>
        <w:t>Original source (2020):</w:t>
      </w:r>
      <w:r>
        <w:t xml:space="preserve"> https://doi.org/10.1177/1946756720976714</w:t>
      </w:r>
    </w:p>
    <w:p>
      <w:pPr/>
      <w:r>
        <w:t>Original wording (abstract; indexed_source_text_not_full_document_verified): The foresight project covered two future time horizons, namely 2025 to 2030 and 2031 to 2040.</w:t>
      </w:r>
    </w:p>
    <w:p>
      <w:pPr/>
      <w:r>
        <w:rPr>
          <w:b/>
        </w:rPr>
        <w:t>POSSIBLE 2026:</w:t>
      </w:r>
      <w:r>
        <w:t xml:space="preserve"> DEVELOPMENT SCENARIOS OF COLLABORATION IN THE FIELD OF INCLUSIVE HIGHER EDUCATION BETWEEN RUSSIA AND CIS COUNTRIES: PROJECT-FORESIGHT — https://doi.org/10.36315/2026v2end012</w:t>
      </w:r>
    </w:p>
    <w:p>
      <w:pPr/>
      <w:r>
        <w:rPr>
          <w:b/>
        </w:rPr>
        <w:t>Shared claim-specific concepts:</w:t>
      </w:r>
      <w:r>
        <w:t xml:space="preserve"> foresight, project, two, time, horizons; EU scope not established. This is a provisional connection, not an outcome finding.</w:t>
      </w:r>
    </w:p>
    <w:p>
      <w:pPr>
        <w:pStyle w:val="SourceNote"/>
      </w:pPr>
      <w:r>
        <w:rPr>
          <w:b/>
        </w:rPr>
        <w:t>Available abstract (not full text):</w:t>
      </w:r>
      <w:r>
        <w:t xml:space="preserve"> The study describes the results of the first round of a foresight project conducted in July 2025, aimed at identifying promising scenarios for the development of cooperation between Russia and CIS countries in the field of inclusive higher education.The research was a continuation of two preliminary pre-foresight sessions held in the spring of 2025.An expert survey, developed based on the initially formulated scenarios, was sent to experts from Russia, Belarus, Kyrgyzstan, and Uzbekistan for refinement.Experts assessed the probability of six different scenarios across three-time horizons (5, 10, and 15 years) on a five-point Likert scale and selected the most probable scenario for each time interval.The key findings of the study demonstrate cautious optimism.In the short term (5 years), the most probable scenario is recognized as the realistic "Points of Growth" scenario, characterized by parallel national initiatives with the exchange of best practices.In the medium term (10 years), preference is given to the "Points of Growth -Regional Synergy" scenario, which implies the deepening of inter-university cooperation and the emergence of regional centers.The long-term forecast (15 years) shows a divergence of opinions but a clear shift towards more optimistic and cooperative scenarios, in particular, the "International Hub -Integration through Cooperation" scenario, indicating th</w:t>
      </w:r>
    </w:p>
    <w:p>
      <w:pPr/>
      <w:r>
        <w:rPr>
          <w:b/>
        </w:rPr>
        <w:t>POSSIBLE 2025:</w:t>
      </w:r>
      <w:r>
        <w:t xml:space="preserve"> Developing the Futures Map Framework – an integrative hybrid foresight approach — https://doi.org/10.1186/s40309-025-00252-w</w:t>
      </w:r>
    </w:p>
    <w:p>
      <w:pPr/>
      <w:r>
        <w:rPr>
          <w:b/>
        </w:rPr>
        <w:t>Shared claim-specific concepts:</w:t>
      </w:r>
      <w:r>
        <w:t xml:space="preserve"> foresight, time, horizons; EU scope not established. This is a provisional connection, not an outcome finding.</w:t>
      </w:r>
    </w:p>
    <w:p>
      <w:pPr>
        <w:pStyle w:val="SourceNote"/>
      </w:pPr>
      <w:r>
        <w:rPr>
          <w:b/>
        </w:rPr>
        <w:t>Available abstract (not full text):</w:t>
      </w:r>
      <w:r>
        <w:t xml:space="preserve"> Abstract Futures research typically involves the utilization of multiple methods, referred to as hybrid methods, to reach a particular objective. In this paper, the earlier Futures Map concept is developed into the Futures Map Framework (FMF), a hybrid foresight approach that operationalizes the Futures Map concept for practical use in organizations. The FMF Integrates alternative futures images and paths, visions, and roadmaps, and their respective methods. It addresses the limitations of these methods when used separately, leveraging their synergistic potential for more effective futures research and for more actionable futures from the perspective of those who will use the FMF. Furthermore, the key methodological choice for the framework are three time horizons related to decision making: the Past Horizon, the shorter-term Action horizon, and the longer-term Mapping horizon. The FMF suggests different roles for roadmaps and scenarios related to the Action Horizon and the Mapping Horizon, while the Past Horizon provides evidence for the other horizons. During the Action Horizon, the organization is committed to realizing the selected roadmap towards the vision. On the one hand, the Mapping Horizon scenarios open uncertainty with all its opportunities and risks for decision makers when they select the roadmap of the Action Horizon. On the other hand, the Mapping Horizon scenar</w:t>
      </w:r>
    </w:p>
    <w:p>
      <w:pPr/>
      <w:r>
        <w:rPr>
          <w:b/>
        </w:rPr>
        <w:t>POSSIBLE 2025:</w:t>
      </w:r>
      <w:r>
        <w:t xml:space="preserve"> Rethinking Urban Planning for Uncertainty: Big Picture Planning as Urban Foresight Practice — https://doi.org/10.1080/01944363.2025.2579977</w:t>
      </w:r>
    </w:p>
    <w:p>
      <w:pPr/>
      <w:r>
        <w:rPr>
          <w:b/>
        </w:rPr>
        <w:t>Shared claim-specific concepts:</w:t>
      </w:r>
      <w:r>
        <w:t xml:space="preserve"> foresight, project, time, horizons; EU scope not established. This is a provisional connection, not an outcome finding.</w:t>
      </w:r>
    </w:p>
    <w:p>
      <w:pPr>
        <w:pStyle w:val="SourceNote"/>
      </w:pPr>
      <w:r>
        <w:rPr>
          <w:b/>
        </w:rPr>
        <w:t>Available abstract (not full text):</w:t>
      </w:r>
      <w:r>
        <w:t xml:space="preserve"> Urban planning often faces challenges stemming from legal rigidity and institutional fragmentation, which hinder its ability to address complex and uncertain future scenarios. In this Viewpoint we introduce Big Picture Planning (BPP), a dynamic bundle of strategically guided foresight plans that supplements statutory comprehensive plans across multiple time horizons. Our argument was developed in the case of Huntsville’s (AL) Big Picture. BPP consists of three actions and processes: strategy development, creation of project and theme bundles, and contextual re-evaluation and backward influence of the futures. We highlight the value of BPP in fostering flexible and adaptable project bundles. BPP recognizes the complex influences that flow between past experiences and future possibilities, acknowledges decision makers and stakeholders, and respects the diversity of urban contexts and timelines. Building on Huntsville’s Big Picture, we advance a model of overlapping timelines and varying contexts of each city component and apply theory to real-life planning settings and planning education.</w:t>
      </w:r>
    </w:p>
    <w:p>
      <w:pPr/>
      <w:r>
        <w:rPr>
          <w:b/>
        </w:rPr>
        <w:t>POSSIBLE 2024:</w:t>
      </w:r>
      <w:r>
        <w:t xml:space="preserve"> Applying Evaluation Thinking and Practice to Foresight Evaluation — https://openalex.org/W7213478429</w:t>
      </w:r>
    </w:p>
    <w:p>
      <w:pPr/>
      <w:r>
        <w:rPr>
          <w:b/>
        </w:rPr>
        <w:t>Shared claim-specific concepts:</w:t>
      </w:r>
      <w:r>
        <w:t xml:space="preserve"> foresight, project, horizons; EU scope not established. This is a provisional connection, not an outcome finding.</w:t>
      </w:r>
    </w:p>
    <w:p>
      <w:pPr>
        <w:pStyle w:val="SourceNote"/>
      </w:pPr>
      <w:r>
        <w:rPr>
          <w:b/>
        </w:rPr>
        <w:t>Available abstract (not full text):</w:t>
      </w:r>
      <w:r>
        <w:t xml:space="preserve"> Foresight evaluation is in increasing demand as a result of the increasing use of foresight in policymaking. In many situations, evaluation of foresight projects will resemble traditional project evaluation. That said, foresight evaluation requires some modifications with respect to traditional programme evaluation, especially because of the need to address the challenges of complexity, long-time horizons, qualitative nature of the work, and largely intangible and multiple foresight outcomes. With respect to the latter, appropriate designs and methods have been developed by a dedicated group of evaluators and funders over the last 20 years, resulting in a significant body of evaluation work applicable to foresight. This paper presents evaluation theories and practices that are important to keep in mind when designing a foresight evaluation, calling out specific constructs and methods that are useful in diverse foresight settings. It is intended for evaluators and foresight practitioners with evaluation expertise and will be particularly helpful for evaluators new to foresight, helping them navigate the foresight space. For foresight practitioners with limited or no evaluation expertise, this paper will provide a detailed overview of all that evaluation has to offer or a new way of thinking.</w:t>
      </w:r>
    </w:p>
    <w:p>
      <w:pPr/>
      <w:r>
        <w:rPr>
          <w:b/>
        </w:rPr>
        <w:t>POSSIBLE 2024:</w:t>
      </w:r>
      <w:r>
        <w:t xml:space="preserve"> A hybrid foresight study of the environmental reference laboratory system in Finland: a foresight study for the Government of Finland — https://doi.org/10.1186/s40309-023-00223-z</w:t>
      </w:r>
    </w:p>
    <w:p>
      <w:pPr/>
      <w:r>
        <w:rPr>
          <w:b/>
        </w:rPr>
        <w:t>Shared claim-specific concepts:</w:t>
      </w:r>
      <w:r>
        <w:t xml:space="preserve"> foresight, project, namely; EU scope visible. This is a provisional connection, not an outcome finding.</w:t>
      </w:r>
    </w:p>
    <w:p>
      <w:pPr>
        <w:pStyle w:val="SourceNote"/>
      </w:pPr>
      <w:r>
        <w:rPr>
          <w:b/>
        </w:rPr>
        <w:t>Available abstract (not full text):</w:t>
      </w:r>
      <w:r>
        <w:t xml:space="preserve"> Abstract This article presents a hybrid foresight study using the Delphi methodology. The study is part of a strategic research project of the Finnish state named “Foresight in Environmental Reference Laboratory Operations.” The main starting point for this study was the Policy Delphi method, which was supplemented with other Delphi variants and decision support methods. In this hybrid foresight application, Delphi methodology was combined with decision-making and strategic planning tools, namely (1) SWOT analysis, (2) Boston Consulting Group Matrix, (3) research infrastructure (RI) analysis, (4) platform analysis, and (5) integrative foresight workshop. This article draws strongly on the hybrid foresight methodology perspective of foresight tool orchestration. The authors argue that the Delphi methodology gains reliability and appeal with hybrid methodological orchestration. The function of reference laboratories includes services for the verification and maintenance of the quality and validity of environmental measurements, such as the maintenance of reference measurement equipment, expertise, and training, and the organization of national reference measurements as well as participation in international reference measurements, method development, and standardization. The study shows the importance of environmental reference laboratories addressing the following challenges by </w:t>
      </w:r>
    </w:p>
    <w:p>
      <w:pPr/>
      <w:r>
        <w:rPr>
          <w:b/>
        </w:rPr>
        <w:t>POSSIBLE 2023:</w:t>
      </w:r>
      <w:r>
        <w:t xml:space="preserve"> Looking at the fringes of MedTech innovation: a mapping review of horizon scanning and foresight methods — https://doi.org/10.1136/bmjopen-2023-073730</w:t>
      </w:r>
    </w:p>
    <w:p>
      <w:pPr/>
      <w:r>
        <w:rPr>
          <w:b/>
        </w:rPr>
        <w:t>Shared claim-specific concepts:</w:t>
      </w:r>
      <w:r>
        <w:t xml:space="preserve"> foresight, time, horizons; EU scope not established. This is a provisional connection, not an outcome finding.</w:t>
      </w:r>
    </w:p>
    <w:p>
      <w:pPr>
        <w:pStyle w:val="SourceNote"/>
      </w:pPr>
      <w:r>
        <w:rPr>
          <w:b/>
        </w:rPr>
        <w:t>Available abstract (not full text):</w:t>
      </w:r>
      <w:r>
        <w:t xml:space="preserve"> OBJECTIVES: Horizon scanning (HS) is a method used to examine signs of change and may be used in foresight practice. HS methods used for the identification of innovative medicinal products cannot be applied in medical technologies (MedTech) due to differences in development and regulatory processes. The aim of this study is to identify HS and other methodologies used for MedTech foresight in support to healthcare decision-making. METHOD: A mapping review was performed. We searched bibliographical databases including MEDLINE, Embase, Scopus, Web of Science, IEEE Xplore and Compendex Engineering Village and grey literature sources such as Google, CORE database and the International HTA database. Our searches identified 8888 records. After de-duplication, and manual and automated title, abstracts and full-text screening, 49 papers met the inclusion criteria and were data extracted. RESULTS: Twenty-five single different methods were identified, often used in combination; of these, only three were novel (appearing only once in the literature). Text mining or artificial intelligence solutions appear as early as 2012, often practised in patent and social media sources. The time horizon used in scanning was not often justified. Some studies regarded experts both as a source and as a method. Literature searching remains one of the most used methods for innovation identification. HS meth</w:t>
      </w:r>
    </w:p>
    <w:p>
      <w:pPr/>
      <w:r>
        <w:rPr>
          <w:b/>
        </w:rPr>
        <w:t>POSSIBLE 2023:</w:t>
      </w:r>
      <w:r>
        <w:t xml:space="preserve"> Foresight in public health: application and challenges — https://doi.org/10.1093/eurpub/ckad160.1000</w:t>
      </w:r>
    </w:p>
    <w:p>
      <w:pPr/>
      <w:r>
        <w:rPr>
          <w:b/>
        </w:rPr>
        <w:t>Shared claim-specific concepts:</w:t>
      </w:r>
      <w:r>
        <w:t xml:space="preserve"> foresight, project, time; EU scope not established. This is a provisional connection, not an outcome finding.</w:t>
      </w:r>
    </w:p>
    <w:p>
      <w:pPr>
        <w:pStyle w:val="SourceNote"/>
      </w:pPr>
      <w:r>
        <w:rPr>
          <w:b/>
        </w:rPr>
        <w:t>Available abstract (not full text):</w:t>
      </w:r>
      <w:r>
        <w:t xml:space="preserve"> Abstract Background Foresight studies in the field of public health are limited. However, in the context of increasing uncertainty and complexity, such as with the COVID-19 pandemic, there is growing need to anticipate future trends and to plan for them. Foresight provides the tools to explore possible futures and develop policy strategies. Despite its value, foresight is an underused methodology. Hence, the aim of this study is to illustrate how foresight can be applied in public health, and how to deal with the associated challenges. Methods We describe the six-steps that are part of foresight methodology. In step 1 we discuss how to formulate study objectives. We illustrate in step 2, the application of the conceptual model and the DESTEP tool to identify and rank driving forces. We then discuss time horizon and spatial distribution, in step 3. In step 4, we discuss scenario logics. Finally in steps 5 and 6, we discuss the types of scenarios and tools for analyses. Possible challenges encountered when applying foresight methodology are drawn from the experiences and lessons learnt from the PHIRI project. Results Challenges during application of the foresight six-steps approach included difficulties in formulating research objectives, developing a conceptual model, identifying most important future trends, developing systematic, consistent and plausible scenarios with clear m</w:t>
      </w:r>
    </w:p>
    <w:p>
      <w:pPr/>
      <w:r>
        <w:rPr>
          <w:b/>
        </w:rPr>
        <w:t>POSSIBLE 2023:</w:t>
      </w:r>
      <w:r>
        <w:t xml:space="preserve"> Foresight Research "Scenarios: Ukraine 2040" — https://doi.org/10.5281/zenodo.19045633</w:t>
      </w:r>
    </w:p>
    <w:p>
      <w:pPr/>
      <w:r>
        <w:rPr>
          <w:b/>
        </w:rPr>
        <w:t>Shared claim-specific concepts:</w:t>
      </w:r>
      <w:r>
        <w:t xml:space="preserve"> foresight, project, time; EU scope not established. This is a provisional connection, not an outcome finding.</w:t>
      </w:r>
    </w:p>
    <w:p>
      <w:pPr>
        <w:pStyle w:val="SourceNote"/>
      </w:pPr>
      <w:r>
        <w:rPr>
          <w:b/>
        </w:rPr>
        <w:t>Available abstract (not full text):</w:t>
      </w:r>
      <w:r>
        <w:t xml:space="preserve"> The Russian invasion of Ukraine on 24 February 2022 has required Ukrainian parliamentarians and the government to address a large number of uncertainties when planning and developing policies and laws. To ensure that long-term thinking is applied to the policy process, the First Deputy Chairman of the Ukrainian Parliament requested a foresight study on the post-war recovery and development of Ukraine. This study was conducted as a joint project between the Inter-factional Union of Members of Parliament “Strategic Foresight of Ukraine” in the Verkhovna Rada and the All-Party Parliamentary Group for Future Generations in the United Kingdom, with the strong organizational support of the United Nations Development Programme (UNDP) Ukraine as well as other international partners. The aim of this study is threefold: to consider different possible scenarios for the recovery and development of Ukraine, including risks and ways to mitigate these risks, opportunities, and possible cognitive biases; and to provide insights about the future that will help parliamentarians engage in more effective decision-making in the uncertainty of wartime; and to generate insights regarding potential strategic implications for Ukraine. The scenarios presented in this report were developed over the course of seven months, between mid-July 2022 and mid-February 2023. The process was heavily based on works</w:t>
      </w:r>
    </w:p>
    <w:p>
      <w:pPr/>
      <w:r>
        <w:rPr>
          <w:b/>
        </w:rPr>
        <w:t>POSSIBLE 2022:</w:t>
      </w:r>
      <w:r>
        <w:t xml:space="preserve"> Precursors to a 'Good' Bioeconomy in 2125: Making Sense of Bioeconomy &amp; Justice Horizons. First Foresight Report of the BioEcoJust Project — https://openalex.org/W7220759861</w:t>
      </w:r>
    </w:p>
    <w:p>
      <w:pPr/>
      <w:r>
        <w:rPr>
          <w:b/>
        </w:rPr>
        <w:t>Shared claim-specific concepts:</w:t>
      </w:r>
      <w:r>
        <w:t xml:space="preserve"> foresight, project, horizons; EU scope not established. This is a provisional connection, not an outcome finding.</w:t>
      </w:r>
    </w:p>
    <w:p>
      <w:pPr>
        <w:pStyle w:val="SourceNote"/>
      </w:pPr>
      <w:r>
        <w:rPr>
          <w:b/>
        </w:rPr>
        <w:t>Available abstract (not full text):</w:t>
      </w:r>
      <w:r>
        <w:t xml:space="preserve"> Unavailable</w:t>
      </w:r>
    </w:p>
    <w:p>
      <w:pPr/>
      <w:r>
        <w:rPr>
          <w:b/>
        </w:rPr>
        <w:t>POSSIBLE 2021:</w:t>
      </w:r>
      <w:r>
        <w:t xml:space="preserve"> Foresight Capacity Building — https://doi.org/10.5281/zenodo.6630549</w:t>
      </w:r>
    </w:p>
    <w:p>
      <w:pPr/>
      <w:r>
        <w:rPr>
          <w:b/>
        </w:rPr>
        <w:t>Shared claim-specific concepts:</w:t>
      </w:r>
      <w:r>
        <w:t xml:space="preserve"> foresight, project, covered, time; EU scope visible. This is a provisional connection, not an outcome finding.</w:t>
      </w:r>
    </w:p>
    <w:p>
      <w:pPr>
        <w:pStyle w:val="SourceNote"/>
      </w:pPr>
      <w:r>
        <w:rPr>
          <w:b/>
        </w:rPr>
        <w:t>Available abstract (not full text):</w:t>
      </w:r>
      <w:r>
        <w:t xml:space="preserve"> The present report provides an overview of the development, content, evaluation, and outcomes of the ‘Public Health Foresight Studies’ Training course, also referred to as the ‘Foresight Capacity Building’ training course or the ‘course’. The Foresight Capacity Building course aims at leveling capacity in Public Health Foresight Studies from PHIRI’s participating Member States (MS). Building foresight capacity through this training course is the main output of Task 9.2 of Work Package 9 (WP9) of the PHIRI project. This course was shaped taking into account the foresight capacity needs of MS as reported in the survey carried out in the first quarter of 2021 (during Task 9.1). The course prepares professionals of MS to carry out their own foresight study with the support of WP9 team and from each other. The Foresight Capacity Building course followed a didactive approach consisting of theory on the concepts covered, practical examples, and practical exercises. In addition to the foresight project team of lectures, guest lecturers contributed to specific topics. The course consisted of 5 modules: a general module, followed by three advanced modules deepening on several foresight elements, and a final module revisiting the concepts learned throughout the course and introducing participants to the next task: developing scenarios. Throughout the course, participants gave their feedba</w:t>
      </w:r>
    </w:p>
    <w:p>
      <w:pPr/>
      <w:r>
        <w:rPr>
          <w:b/>
        </w:rPr>
        <w:t>POSSIBLE 2021:</w:t>
      </w:r>
      <w:r>
        <w:t xml:space="preserve"> Becoming a forerunner in foresight : Key elements of success in organizational foresight — https://openalex.org/W3175285991</w:t>
      </w:r>
    </w:p>
    <w:p>
      <w:pPr/>
      <w:r>
        <w:rPr>
          <w:b/>
        </w:rPr>
        <w:t>Shared claim-specific concepts:</w:t>
      </w:r>
      <w:r>
        <w:t xml:space="preserve"> foresight, two, time; EU scope not established. This is a provisional connection, not an outcome finding.</w:t>
      </w:r>
    </w:p>
    <w:p>
      <w:pPr>
        <w:pStyle w:val="SourceNote"/>
      </w:pPr>
      <w:r>
        <w:rPr>
          <w:b/>
        </w:rPr>
        <w:t>Available abstract (not full text):</w:t>
      </w:r>
      <w:r>
        <w:t xml:space="preserve"> As previous foresight studies show, successful foresight activities are the key to organization’s long-term survival and increased performance. But what are the elements that constitute successful foresight? And furthermore, how organizations understand “foresight success”? This thesis approaches the issue of successful foresight in organizations by building an overview of factors that promote or hinder organizational foresight. The aim is to improve organizational foresight practices by increasing the understanding of foresight success elements. An organization that cultivates these elements can eventually transform into a forerunner in foresight. Foresight success and success factors are first examined through previous foresight studies and further considered through empirical material. The selected approach is qualitative inquiry: by interviewing 12 Finnish organizations of which six can be considered as forerunners in foresight, a deeper understanding of organizational foresight success is constructed. Empirical findings are further supported by theoretical framework of foresight maturity models, in which elements of foresight are depicted as organizational capabilities that develop over time. As a result, this study confirms the importance of factors identified in previous foresight research that promote, or conversely hinder, foresight successfulness in organizations. The</w:t>
      </w:r>
    </w:p>
    <w:p>
      <w:pPr/>
      <w:r>
        <w:rPr>
          <w:b/>
        </w:rPr>
        <w:t>POSSIBLE 2021:</w:t>
      </w:r>
      <w:r>
        <w:t xml:space="preserve"> Creativity, proactivity, and foresight — https://doi.org/10.1016/j.techfore.2021.121215</w:t>
      </w:r>
    </w:p>
    <w:p>
      <w:pPr/>
      <w:r>
        <w:rPr>
          <w:b/>
        </w:rPr>
        <w:t>Shared claim-specific concepts:</w:t>
      </w:r>
      <w:r>
        <w:t xml:space="preserve"> foresight, two, namely; EU scope not established. This is a provisional connection, not an outcome finding.</w:t>
      </w:r>
    </w:p>
    <w:p>
      <w:pPr>
        <w:pStyle w:val="SourceNote"/>
      </w:pPr>
      <w:r>
        <w:rPr>
          <w:b/>
        </w:rPr>
        <w:t>Available abstract (not full text):</w:t>
      </w:r>
      <w:r>
        <w:t xml:space="preserve"> This study addresses how foresight interventions can translate creativity into proactive behavior and, in this sense, foster anticipatory strategic management. We develop a theoretical model, linking creativity and proactivity with known discrete individual foresight cognitive styles, namely “Reactor”, “Tester”, “Adapter”, and “Framer”, but also add a new “Actor” dimension. The theoretical model is tested by analyzing quantitative data from 172 students attending two scenario-building workshops. Our SEM model allows us to formulate three conclusions. First, creativity is not directly linked to proactivity without considering individual foresight cognitive styles. Second, we confirm the presence of four components of foresight as discrete foresight cognitive styles but also demonstrate the importance of a fifth component, the “Actor”. Third, it is only through the “Tester”, “Adapter”, and “Actor” components that creative energy most significantly aids proactivity. This means that creativity most significantly aids proactivity when individuals are either able to experiment with alternative courses of action or change the conditions for how their respective futures may unfold. We contribute to the foresight literature by demonstrating how foresight, as a process of intervention, can foster discrete foresight cognitive styles at the individual level and moderate relationships betwe</w:t>
      </w:r>
    </w:p>
    <w:p>
      <w:pPr>
        <w:pStyle w:val="Heading2"/>
      </w:pPr>
      <w:r>
        <w:t>664. Foresight technologies of economic systems: evidence from the tourism sector of Ukraine</w:t>
      </w:r>
    </w:p>
    <w:p>
      <w:pPr>
        <w:pStyle w:val="SourceNote"/>
      </w:pPr>
      <w:r>
        <w:rPr>
          <w:b/>
        </w:rPr>
        <w:t>Original source (2020):</w:t>
      </w:r>
      <w:r>
        <w:t xml:space="preserve"> https://doi.org/10.21511/ppm.18(4).2020.25</w:t>
      </w:r>
    </w:p>
    <w:p>
      <w:pPr/>
      <w:r>
        <w:t>Original wording (abstract; indexed_source_text_not_full_document_verified): Accordingly, questions arise about the Ukrainian tourism sector’s ability to use the crisis as a prerequisite for recovery and growth.Based on the results of a two-round survey using the Delphi method among experts (56 at the first stage and 42 at the second) representing various tourism directions for Ukraine’s tourism sector up to 2030, six strategic development priorities were formed.</w:t>
      </w:r>
    </w:p>
    <w:p>
      <w:pPr/>
      <w:r>
        <w:rPr>
          <w:b/>
        </w:rPr>
        <w:t>POSSIBLE 2026:</w:t>
      </w:r>
      <w:r>
        <w:t xml:space="preserve"> Criminal Liability Arising from the Use of Artificial Intelligence Applications — https://doi.org/10.5281/zenodo.19810638</w:t>
      </w:r>
    </w:p>
    <w:p>
      <w:pPr/>
      <w:r>
        <w:rPr>
          <w:b/>
        </w:rPr>
        <w:t>Shared claim-specific concepts:</w:t>
      </w:r>
      <w:r>
        <w:t xml:space="preserve"> accordingly, questions, about, ability, use, various; EU scope not established. This is a provisional connection, not an outcome finding.</w:t>
      </w:r>
    </w:p>
    <w:p>
      <w:pPr>
        <w:pStyle w:val="SourceNote"/>
      </w:pPr>
      <w:r>
        <w:rPr>
          <w:b/>
        </w:rPr>
        <w:t>Available abstract (not full text):</w:t>
      </w:r>
      <w:r>
        <w:t xml:space="preserve"> The increasing use of artificial intelligence applications across various domains of contemporary life gives rise to significant legal challenges, particularly in relation to the attribution of criminal liability for acts committed through such systems. This raises critical questions regarding the adequacy of existing legal frame works and their capacity to accommodate the unique and evolving characteristics of artificial intelligence technologies. In this context, the present study aims to examine the current and potential future challenges associated with artificial intelligence applications, especially in light of the rapid pace of technological advancement. Advanced AI systems have endowed certain machines with sophisticated capabilities, including the ability to acquire experiential learning and make autonomous decisions, thereby raising concerns about the possibility of these entities acting independently of direct human control. Accordingly, it becomes conceivable that such systems may deviate from programmed instructions and engage in conduct that could be classified as criminal acts. This necessitates a comprehensive legal inquiry into the nature and scope of criminal liability arising from offences committed by autonomous artificial intelligence entities, particularly those capable of independent decision-making.</w:t>
      </w:r>
    </w:p>
    <w:p>
      <w:pPr/>
      <w:r>
        <w:rPr>
          <w:b/>
        </w:rPr>
        <w:t>POSSIBLE 2026:</w:t>
      </w:r>
      <w:r>
        <w:t xml:space="preserve"> ARISE: an urban political economy-informed resilience indicator framework for south asian metropolitan cities — https://doi.org/10.3389/fenvs.2026.1889318</w:t>
      </w:r>
    </w:p>
    <w:p>
      <w:pPr/>
      <w:r>
        <w:rPr>
          <w:b/>
        </w:rPr>
        <w:t>Shared claim-specific concepts:</w:t>
      </w:r>
      <w:r>
        <w:t xml:space="preserve"> arise, experts, stage; EU scope not established. This is a provisional connection, not an outcome finding.</w:t>
      </w:r>
    </w:p>
    <w:p>
      <w:pPr>
        <w:pStyle w:val="SourceNote"/>
      </w:pPr>
      <w:r>
        <w:rPr>
          <w:b/>
        </w:rPr>
        <w:t>Available abstract (not full text):</w:t>
      </w:r>
      <w:r>
        <w:t xml:space="preserve"> Introduction Existing urban resilience indicator frameworks combine literature-derived pooling, expert validation, and multi-criteria weighting independently of any explicit theory of why some urban conditions, rather than others, are politically constituted as resilience priorities. Methods This paper’s contribution is methodological: it demonstrates how Urban Political Economy (UPE) theory can condition an indicator-development pipeline, from category structure through to how weighting outcomes are interpreted against theoretical commitments. ARISE, the Adaptive Resilience Indicator System for Equity, operationalises this UPE-conditioned approach through five stages: identification, categorisation, reduction, validation, and prioritisation. Drawing on 75 studies and 193 indicators, ARISE applies Pareto analysis and Staticized Group Technique consultation to produce 32 Resilience Indicators across seven dimensions, weighted via the Analytic Hierarchy Process by 18 experts. Results Urban Design and Spatial Planning carries the highest weight (36.04%); sensitivity analysis confirms stability for four dimensions, with Ecosystem and Resources (5.96%) the most panel-sensitive. Discussion The contribution is theory-conditioned indicator-development methodology: a UPE-derived categorisation structure, a two-track mechanism protecting under-cited indicators from elimination, and an ex</w:t>
      </w:r>
    </w:p>
    <w:p>
      <w:pPr/>
      <w:r>
        <w:rPr>
          <w:b/>
        </w:rPr>
        <w:t>POSSIBLE 2026:</w:t>
      </w:r>
      <w:r>
        <w:t xml:space="preserve"> Criminal Liability in Crimes Arising from Generative Artificial Intelligence: Legal Challenges and Solutions — https://doi.org/10.5281/zenodo.21565934</w:t>
      </w:r>
    </w:p>
    <w:p>
      <w:pPr/>
      <w:r>
        <w:rPr>
          <w:b/>
        </w:rPr>
        <w:t>Shared claim-specific concepts:</w:t>
      </w:r>
      <w:r>
        <w:t xml:space="preserve"> accordingly, questions, use, based, method, among; EU scope not established. This is a provisional connection, not an outcome finding.</w:t>
      </w:r>
    </w:p>
    <w:p>
      <w:pPr>
        <w:pStyle w:val="SourceNote"/>
      </w:pPr>
      <w:r>
        <w:rPr>
          <w:b/>
        </w:rPr>
        <w:t>Available abstract (not full text):</w:t>
      </w:r>
      <w:r>
        <w:t xml:space="preserve"> The rapid growth of generative artificial intelligence, while creating broad opportunities in scientific, economic, and social fields, has also given rise to numerous legal and criminal challenges. With its capacity to generate text, images, audio, and other forms of digital content, this technology has increased the possibility of committing crimes such as forgery, fraud, dissemination of false information, invasion of privacy, cybercrime, and misuse of personal data, while also raising new questions regarding the foundations of criminal liability. Using a descriptive-analytical method and based on library research, the present study examines criminal liability in crimes arising from generative artificial intelligence, the existing legal challenges, and the legislative and executive solutions for managing this phenomenon. The findings show that, in current legal systems, artificial intelligence lacks independent criminal personality, and criminal liability still rests with the natural and legal persons involved in the design, development, distribution, and use of this technology. The study further demonstrates that the complexity of algorithms, ambiguity in establishing causation, difficulty in proving criminal intent, the transnational nature of such crimes, and the absence of specific laws are among the most important obstacles to the effective application of traditional cri</w:t>
      </w:r>
    </w:p>
    <w:p>
      <w:pPr/>
      <w:r>
        <w:rPr>
          <w:b/>
        </w:rPr>
        <w:t>POSSIBLE 2026:</w:t>
      </w:r>
      <w:r>
        <w:t xml:space="preserve"> THE CHARACTERISTICS OF LOSSES ARISING FROM THE MISUSE OF DEBTORS' PERSONAL DATA IN ONLINE LENDING AGREEMENTS — https://doi.org/10.28946/lexl.v8i1.3827</w:t>
      </w:r>
    </w:p>
    <w:p>
      <w:pPr/>
      <w:r>
        <w:rPr>
          <w:b/>
        </w:rPr>
        <w:t>Shared claim-specific concepts:</w:t>
      </w:r>
      <w:r>
        <w:t xml:space="preserve"> accordingly, questions, method; EU scope not established. This is a provisional connection, not an outcome finding.</w:t>
      </w:r>
    </w:p>
    <w:p>
      <w:pPr>
        <w:pStyle w:val="SourceNote"/>
      </w:pPr>
      <w:r>
        <w:rPr>
          <w:b/>
        </w:rPr>
        <w:t>Available abstract (not full text):</w:t>
      </w:r>
      <w:r>
        <w:t xml:space="preserve"> The rapid growth of online loan (fintech lending) services in Indonesia has expanded public access to financial services while simultaneously raising legal concerns regarding the protection of borrowers’ personal data. During the online verification process, borrowers are often required to grant access to personal information, creating significant risks of misuse. In practice, some online loan providers exploit borrowers’ personal data, including contact lists, as a means of debt collection through intimidation, harassment, or unauthorized dissemination of personal information, causing both material and immaterial losses. This study examines the following research questions: (1) what are the legal characteristics of losses arising from the misuse of borrowers’ personal data in online lending services, and (2) what is the legal liability of creditors for such misuse? Accordingly, this study aims to analyze the characteristics of the losses suffered by borrowers and to examine the legal responsibility of creditors who misuse borrowers’ personal data. This research employs a normative legal research method using statutory, conceptual, and case approaches through the analysis of primary and secondary legal materials. The findings reveal that the legal relationship between creditors and borrowers is established through a standard form agreement that limits borrowers’ bargaining powe</w:t>
      </w:r>
    </w:p>
    <w:p>
      <w:pPr/>
      <w:r>
        <w:rPr>
          <w:b/>
        </w:rPr>
        <w:t>POSSIBLE 2025:</w:t>
      </w:r>
      <w:r>
        <w:t xml:space="preserve"> IMPLEMENTATION OF TRANSPORT ACCESSIBILITY IN THE TOURISM SECTOR — https://doi.org/10.32782/2707-8019/2025-1-3</w:t>
      </w:r>
    </w:p>
    <w:p>
      <w:pPr/>
      <w:r>
        <w:rPr>
          <w:b/>
        </w:rPr>
        <w:t>Shared claim-specific concepts:</w:t>
      </w:r>
      <w:r>
        <w:t xml:space="preserve"> about, tourism, sector, various; EU scope not established. This is a provisional connection, not an outcome finding.</w:t>
      </w:r>
    </w:p>
    <w:p>
      <w:pPr>
        <w:pStyle w:val="SourceNote"/>
      </w:pPr>
      <w:r>
        <w:rPr>
          <w:b/>
        </w:rPr>
        <w:t>Available abstract (not full text):</w:t>
      </w:r>
      <w:r>
        <w:t xml:space="preserve"> The prevailing trend in the development of tourism is to enhance the accessibility of tourist services for all segments of society. To this end, a range of measures must be implemented at both the state and local levels, as well as by the enterprises themselves. The present paper explores the merits and drawbacks of the various modes of transport utilised in the provision of tourist services. It is determined that in the future the transport offer in tourism will develop in the following directions: increasing the environmental friendliness of transport, ecological types of transport; accessibility of transport offer for people with disabilities; increased attention to travel safety; improvement of transport infrastructure. It is noted that the main barriers faced by tourists with disabilities are: inaccessibility of transport infrastructure facilities; low quality of service provided by support staff; insufficient awareness of service providers; lack of information about accessible facilities, services, relevant websites; lack of accessible rooms in hotels, restaurants and public places. This paper sets out the measures that local authorities and heads of transport infrastructure enterprises should take to improve accessibility. The measures to ensure the accessibility of various types of transport are disclosed, as are the best foreign experiences in the field of infrastructu</w:t>
      </w:r>
    </w:p>
    <w:p>
      <w:pPr/>
      <w:r>
        <w:rPr>
          <w:b/>
        </w:rPr>
        <w:t>POSSIBLE 2025:</w:t>
      </w:r>
      <w:r>
        <w:t xml:space="preserve"> THE QUESTION OF THE SCOPE OF DECISION-MAKING OF COMBAT SYSTEMS BASED ON GENERATIVE ARTIFICIAL INTELLIGENCE TECHNOLOGY AS AN IMPORTANT ELEMENT OF RISK MANAGEMENT OF THE POTENTIAL RISKS ARISING FROM IT — https://doi.org/10.5604/01.3001.0055.5726</w:t>
      </w:r>
    </w:p>
    <w:p>
      <w:pPr/>
      <w:r>
        <w:rPr>
          <w:b/>
        </w:rPr>
        <w:t>Shared claim-specific concepts:</w:t>
      </w:r>
      <w:r>
        <w:t xml:space="preserve"> accordingly, use, based; EU scope not established. This is a provisional connection, not an outcome finding.</w:t>
      </w:r>
    </w:p>
    <w:p>
      <w:pPr>
        <w:pStyle w:val="SourceNote"/>
      </w:pPr>
      <w:r>
        <w:rPr>
          <w:b/>
        </w:rPr>
        <w:t>Available abstract (not full text):</w:t>
      </w:r>
      <w:r>
        <w:t xml:space="preserve"> Artificial intelligence (AI) is playing an increasingly prominent role in the military sphere, bringing both numerous benefits and key challenges and risks. AI in the military enables increased operational efficiency through autonomous drones and vehicles that can perform complex missions with minimal human intervention and improves the precision of military operations. Artificial intelligence also supports realtime data analysis for faster and more accurate decision-making. Determinants of AI technology applications in the military sphere are the growing demands of national security and the need to keep up with techno-logical advances, allowing countries to gain a strategic advantage and better protect their interests. However, AI applications also come with serious challenges and risks, such as issues of ethics and accountability, as autonomous combat systems can make decisions to use force without direct human oversight. In addition, information systems may be vulner-able to cyber attacks, for which AI technology may be involved, posing additional risks to national security. The development of AI technology, including generative AI, often precedes necessary changes in legal norms. It is necessary to develop an international legal framework to regulate the use of AI in armed conflict to prevent escalation and uncon-trolled development of military technologies. Accordingly, th</w:t>
      </w:r>
    </w:p>
    <w:p>
      <w:pPr/>
      <w:r>
        <w:rPr>
          <w:b/>
        </w:rPr>
        <w:t>POSSIBLE 2024:</w:t>
      </w:r>
      <w:r>
        <w:t xml:space="preserve"> Subpoenaing Luther on Questions of Polygyny — https://doi.org/10.62154/v5kvy441</w:t>
      </w:r>
    </w:p>
    <w:p>
      <w:pPr/>
      <w:r>
        <w:rPr>
          <w:b/>
        </w:rPr>
        <w:t>Shared claim-specific concepts:</w:t>
      </w:r>
      <w:r>
        <w:t xml:space="preserve"> accordingly, questions, arise, method; EU scope not established. This is a provisional connection, not an outcome finding.</w:t>
      </w:r>
    </w:p>
    <w:p>
      <w:pPr>
        <w:pStyle w:val="SourceNote"/>
      </w:pPr>
      <w:r>
        <w:rPr>
          <w:b/>
        </w:rPr>
        <w:t>Available abstract (not full text):</w:t>
      </w:r>
      <w:r>
        <w:t xml:space="preserve"> The study discussed debatable questions of Martin Luther’s support of polygyny, which are considered perennial enough to warrant a rejoinder of curricular relevance to Biblical Christianity and theology from a contemporary African perspective. Accordingly, the study proposed that establishing an effective understanding of the debatable points against polygyny is necessary for developing Biblical theology curricular tools for deliberating on Luther’s stand in support of polygyny. The study pursued two purposes. Purpose 1: to consider the historical grounds for a contemporaneous subpoena to Luther on perennial questions of polygyny. These are the grounds upon which a proxy rejoinder can be delimited to facilitate formal learning exercises, via the curriculum of Biblical theology in Africa. Purpose 2: to address the contemporaneous submissions of the church in Africa against polygyny in support of the historical grounds for subpoenaing Luther on perennial questions of polygyny, upon which a proxy rejoinder can be delimited for treatment via the curriculum of Biblical theology in Africa. The study was facilitated by the qualitative research methodology, via which primary historical documents were examined primarily using the documentary analytical method. A key conclusion of the study is that learners and teachers, as participants in the Biblical theology course, are both responsib</w:t>
      </w:r>
    </w:p>
    <w:p>
      <w:pPr/>
      <w:r>
        <w:rPr>
          <w:b/>
        </w:rPr>
        <w:t>POSSIBLE 2024:</w:t>
      </w:r>
      <w:r>
        <w:t xml:space="preserve"> Cognitive possibilities of political science: ask questions about Russian political science — https://doi.org/10.12737/2587-6295-2024-8-1-93-102</w:t>
      </w:r>
    </w:p>
    <w:p>
      <w:pPr/>
      <w:r>
        <w:rPr>
          <w:b/>
        </w:rPr>
        <w:t>Shared claim-specific concepts:</w:t>
      </w:r>
      <w:r>
        <w:t xml:space="preserve"> accordingly, questions, about, based, method; EU scope not established. This is a provisional connection, not an outcome finding.</w:t>
      </w:r>
    </w:p>
    <w:p>
      <w:pPr>
        <w:pStyle w:val="SourceNote"/>
      </w:pPr>
      <w:r>
        <w:rPr>
          <w:b/>
        </w:rPr>
        <w:t>Available abstract (not full text):</w:t>
      </w:r>
      <w:r>
        <w:t xml:space="preserve"> The purpose of the work is to raise the question of the cognitive capabilities of political science and to what extent, in this regard, the methodological tools of political science are an adequate means for studying Russian reality. The methodology of the research was a politico-philosophical approach, which used a retrospective method and discourse analysis. The specificity of the social sciences and humanities implies the existence of value positions of the subject of cognition and determines the practice-oriented orientation of his research activity. The model of reality reconstructed by the scientist is based on a value-colored picture of the world, which directly or implicitly influences the interpretation of facts. Political science, being a part of social and humanitarian knowledge, is not devoid of its specificity and is also based on a certain model of the worldview - a paradigm. The science of politics was formed in the bosom of Western society, taking as a basis the corresponding paradigm of thinking. At a certain point, comparative studies begins to occupy a central position in the study of politics, in fact identifying the whole of political science with itself. Its distinctive feature, which has not been overcome to this day, is the attitude to compare the entire diversity of the political world with its own "ideal" of due. Accordingly, everything that does not f</w:t>
      </w:r>
    </w:p>
    <w:p>
      <w:pPr/>
      <w:r>
        <w:rPr>
          <w:b/>
        </w:rPr>
        <w:t>POSSIBLE 2024:</w:t>
      </w:r>
      <w:r>
        <w:t xml:space="preserve"> HEALTH TOURISM TRENDS: EXPECTATIONS AND MOTIVES OF GENERATION Z BASED ON UKRAINIAN STUDENTS’ SURVEY — https://doi.org/10.30970/ves.2024.66.0.6605</w:t>
      </w:r>
    </w:p>
    <w:p>
      <w:pPr/>
      <w:r>
        <w:rPr>
          <w:b/>
        </w:rPr>
        <w:t>Shared claim-specific concepts:</w:t>
      </w:r>
      <w:r>
        <w:t xml:space="preserve"> ukrainian, tourism, based, survey, second; EU scope visible. This is a provisional connection, not an outcome finding.</w:t>
      </w:r>
    </w:p>
    <w:p>
      <w:pPr>
        <w:pStyle w:val="SourceNote"/>
      </w:pPr>
      <w:r>
        <w:rPr>
          <w:b/>
        </w:rPr>
        <w:t>Available abstract (not full text):</w:t>
      </w:r>
      <w:r>
        <w:t xml:space="preserve"> Summary. The study was conducted within the DAAD project «The Health Тour» framework, which aims to exchange pedagogical and research experience between universities from Germany, Hungary, Croatia, Georgia, the Czech Republic, and Ukraine [12]. It also includes mutual acquaintance with the latest scientifi c achievements of their scientists and as a result realizing joint educational course «Medical, wellness and SPA tourism». The course was taught for students of the countries participating in the project, including Master students of the educational and professional program «Tourism Activities» of the Ivan Franko National University of Lviv in the second semester of 2022-2023. The lectures were conducted alternately by professors from six universities – Budapest Metropolitan University (BMU), Caucasus International University (CIU), Universität Rijeka (UR), Kherson State University (KSU), Prague University of Economics and Business (VSE), Ivan Franko National University of Lviv (IFNUL) under umbrella of the Deggendorf Institute of Technology (DIT). The purpose of the course was relevant to new trends in tourist services: to provide not only a tourist’s rest but also an opportunity to improve his/her well-being[10]. The course ended with the Winter School on Health Tourism on 9-13 October 2023 in Pfarrkirchen, Germany. The Winter School was attended by the most motivated stude</w:t>
      </w:r>
    </w:p>
    <w:p>
      <w:pPr/>
      <w:r>
        <w:rPr>
          <w:b/>
        </w:rPr>
        <w:t>POSSIBLE 2024:</w:t>
      </w:r>
      <w:r>
        <w:t xml:space="preserve"> Subpoenaing Luther on Questions of Polygyny — https://doi.org/10.62154/yzx50q19</w:t>
      </w:r>
    </w:p>
    <w:p>
      <w:pPr/>
      <w:r>
        <w:rPr>
          <w:b/>
        </w:rPr>
        <w:t>Shared claim-specific concepts:</w:t>
      </w:r>
      <w:r>
        <w:t xml:space="preserve"> accordingly, questions, method, various; EU scope not established. This is a provisional connection, not an outcome finding.</w:t>
      </w:r>
    </w:p>
    <w:p>
      <w:pPr>
        <w:pStyle w:val="SourceNote"/>
      </w:pPr>
      <w:r>
        <w:rPr>
          <w:b/>
        </w:rPr>
        <w:t>Available abstract (not full text):</w:t>
      </w:r>
      <w:r>
        <w:t xml:space="preserve"> The study discussed debatable questions of Martin Luther’s support to polygyny, which are considered perennial enough to warrant a rejoinder of curricular relevance to Biblical Christianity and theology from a contemporary African perspective. Accordingly, the study proposed that the curriculum of Biblical theology is a tool for deliberating on Luther’s stand in support of polygyny. Also encapsulated in this proposition is that the curriculum of Biblical theology is consequential to building a parameter for addressing questions of polygyny in African Christianity. The study pursued two purposes. Purpose 1: to consider the ways through which a contemporaneous proxy rejoinder to subpoena on Luther on perennial questions of polygyny can be delimited in the curricular documents of Biblical theology for students in Africa. Purpose 2: to deliberate on how a contemporaneous proxy rejoinder to subpoena on Luther on perennial questions of polygyny can be delimited in pedagogy towards facilitating the curriculum of Biblical theology by teachers in Africa. The study was facilitated by the qualitative research methodology, via which primary historical documents were examined primarily using the documentary analytical method. A key conclusion of the study is that, the abundance of evidences in Scripture in favor of both monogamy and polygyny makes opposing either monogamy or polygyny as an </w:t>
      </w:r>
    </w:p>
    <w:p>
      <w:pPr/>
      <w:r>
        <w:rPr>
          <w:b/>
        </w:rPr>
        <w:t>POSSIBLE 2023:</w:t>
      </w:r>
      <w:r>
        <w:t xml:space="preserve"> FEATURES OF THE RESPONSIBILITY FOR VIOLATIONS OF TAX LEGISLATION IN UKRAINE AND THE COUNTRIES OF THE EUROPEAN UNION: THE QUESTION OF GUILT — https://doi.org/10.32782/2524-0374/2023-1/78</w:t>
      </w:r>
    </w:p>
    <w:p>
      <w:pPr/>
      <w:r>
        <w:rPr>
          <w:b/>
        </w:rPr>
        <w:t>Shared claim-specific concepts:</w:t>
      </w:r>
      <w:r>
        <w:t xml:space="preserve"> accordingly, questions, arise, ukrainian; EU scope visible. This is a provisional connection, not an outcome finding.</w:t>
      </w:r>
    </w:p>
    <w:p>
      <w:pPr>
        <w:pStyle w:val="SourceNote"/>
      </w:pPr>
      <w:r>
        <w:rPr>
          <w:b/>
        </w:rPr>
        <w:t>Available abstract (not full text):</w:t>
      </w:r>
      <w:r>
        <w:t xml:space="preserve"> A particularly difficult issue in the study of the institution of responsibility in tax law is the question of the guilt of business entities -taxpayers.Since taxes are one of the financial instruments used to build relationships between economic entities and the state, the study of the issue of taxpayers' guilt is particularly relevant.Taxpayers are slowly adapting to changes in tax legislation that came into effect on January 1, 2021.One of the most discussed and radical novelties is the official legalization of the institution of guilt as a mandatory element of certain tax offenses and, accordingly, a necessary condition for holding taxpayers to financial responsibility.The Supreme Court has repeatedly emphasized that taxpayers exercise reasonable care, although the risks of choosing an unscrupulous counterparty lie with them.However, in practice, a situation often arises when regulatory authorities hold business entities -taxpayers to account for violations of tax legislation, without paying attention to the presence of guilt in the latter's actions or inactions.Thus, the introduction of the legal construction of guilt into the tax legislation of Ukraine significantly increased the quality of the legislative construction of the composition of the tax offense.However, the legal construction of the guilt of each of the mandatory elements of the composition of a tax offense mu</w:t>
      </w:r>
    </w:p>
    <w:p>
      <w:pPr/>
      <w:r>
        <w:rPr>
          <w:b/>
        </w:rPr>
        <w:t>POSSIBLE 2023:</w:t>
      </w:r>
      <w:r>
        <w:t xml:space="preserve"> To the question of political ideologies and their significance for the state — https://doi.org/10.52340/isj.2022.26.03</w:t>
      </w:r>
    </w:p>
    <w:p>
      <w:pPr/>
      <w:r>
        <w:rPr>
          <w:b/>
        </w:rPr>
        <w:t>Shared claim-specific concepts:</w:t>
      </w:r>
      <w:r>
        <w:t xml:space="preserve"> accordingly, questions, arise, about, based, first; EU scope visible. This is a provisional connection, not an outcome finding.</w:t>
      </w:r>
    </w:p>
    <w:p>
      <w:pPr>
        <w:pStyle w:val="SourceNote"/>
      </w:pPr>
      <w:r>
        <w:rPr>
          <w:b/>
        </w:rPr>
        <w:t>Available abstract (not full text):</w:t>
      </w:r>
      <w:r>
        <w:t xml:space="preserve"> The term "ideology" suggested the French thinker of the XVIII century. Destin de Tracy, named the new science of ideas. At the forefront of this concept was put forward in the XIX century. turbulent political life of Europe. Expand the concept of ideology gave Karl Marx and Friedrich Engels in his work "The German Ideology", where the term is used in a double meaning: first, idealistic world view, in which the idea of the world plays the role of a substance, and secondly, the type of socio-professional political thinking, when the subject is not aware of its conditionality economic class interests, but in reality it defends them. Such thinking creates a particular reality, substitute in the eyes of the people the true social reality, and thus prevents the realization of their real interests. However, Marx and his followers made an exception for the ideology of the proletariat, considering that the class consciousness of the proletariat coincides with the objective vision of reality, and the proletarian revolution has done away with all class consciousness and ideology in general. If we follow the logic of Marxism, it turns out that the proletarian ideology has the truth. In general, Marx recognized the possibility of relative truth of specific ideologies in specific historical conditions. Thus, the bourgeois ideology was true when it was historically progressive (in the era of </w:t>
      </w:r>
    </w:p>
    <w:p>
      <w:pPr>
        <w:pStyle w:val="Heading2"/>
      </w:pPr>
      <w:r>
        <w:t>665. Future transitions for the Bioeconomy towards Sustainable Development and a Climate-Neutral Economy - Knowledge Synthesis Final Report: WP1 - Knowledge synthesis and foresight</w:t>
      </w:r>
    </w:p>
    <w:p>
      <w:pPr>
        <w:pStyle w:val="SourceNote"/>
      </w:pPr>
      <w:r>
        <w:rPr>
          <w:b/>
        </w:rPr>
        <w:t>Original source (2020):</w:t>
      </w:r>
      <w:r>
        <w:t xml:space="preserve"> https://doi.org/10.2760/667966</w:t>
      </w:r>
    </w:p>
    <w:p>
      <w:pPr/>
      <w:r>
        <w:t>Original wording (abstract; indexed_source_text_not_full_document_verified): There is enough sustainable EU biomass to contribute to all sectors by 2030, and probably beyond, as well as to bring organic carbon back to soil. \nTo ensure sustainable supply, not only residues and wastes are relevant, but sustainably sourced agricultural and forestry feedstocks, and feedstocks from recovering and restoring marginal and degraded land.</w:t>
      </w:r>
    </w:p>
    <w:p>
      <w:pPr/>
      <w:r>
        <w:rPr>
          <w:b/>
        </w:rPr>
        <w:t>POSSIBLE 2026:</w:t>
      </w:r>
      <w:r>
        <w:t xml:space="preserve"> Is Digitalization Alone Enough for Tax Revenue Mobilization Across Europe and Asia? — https://doi.org/10.24912/je.v31i2.4056</w:t>
      </w:r>
    </w:p>
    <w:p>
      <w:pPr/>
      <w:r>
        <w:rPr>
          <w:b/>
        </w:rPr>
        <w:t>Shared claim-specific concepts:</w:t>
      </w:r>
      <w:r>
        <w:t xml:space="preserve"> enough, contribute, well, only, but; EU scope visible. This is a provisional connection, not an outcome finding.</w:t>
      </w:r>
    </w:p>
    <w:p>
      <w:pPr>
        <w:pStyle w:val="SourceNote"/>
      </w:pPr>
      <w:r>
        <w:rPr>
          <w:b/>
        </w:rPr>
        <w:t>Available abstract (not full text):</w:t>
      </w:r>
      <w:r>
        <w:t xml:space="preserve"> This study examines the relationship between digitalization and tax revenue while considering the roles of government effectiveness, informality, and tax structure across 18 European and Asian countries during 2005–2023. Using balanced panel data and random-effects regression models, the analysis estimates both baseline and extended specifications incorporating nonlinear and moderating effects. The results reveal that digitalization has a nonlinear relationship with tax revenue, with its fiscal benefits varying according to countries' stage of digital development. Regional analysis shows a U-shaped relationship in Asia but no significant effect of digitalization in Europe, reflecting differences in digital maturity. Government effectiveness significantly improves tax revenue in Asia, whereas informality weakens the effectiveness of digitalization in the full sample. Additionally, taxes on goods and services, as well as GDP per capita, positively contribute to revenue mobilization. The findings suggest that digitalization enhances fiscal performance only when supported by favorable institutional and structural conditions.</w:t>
      </w:r>
    </w:p>
    <w:p>
      <w:pPr/>
      <w:r>
        <w:rPr>
          <w:b/>
        </w:rPr>
        <w:t>POSSIBLE 2026:</w:t>
      </w:r>
      <w:r>
        <w:t xml:space="preserve"> D6.4 European Citizen Science sustainability and exploitation plan — https://doi.org/10.5281/zenodo.20490032</w:t>
      </w:r>
    </w:p>
    <w:p>
      <w:pPr/>
      <w:r>
        <w:rPr>
          <w:b/>
        </w:rPr>
        <w:t>Shared claim-specific concepts:</w:t>
      </w:r>
      <w:r>
        <w:t xml:space="preserve"> enough, sustainable, all, beyond, ensure, not; EU scope visible. This is a provisional connection, not an outcome finding.</w:t>
      </w:r>
    </w:p>
    <w:p>
      <w:pPr>
        <w:pStyle w:val="SourceNote"/>
      </w:pPr>
      <w:r>
        <w:rPr>
          <w:b/>
        </w:rPr>
        <w:t>Available abstract (not full text):</w:t>
      </w:r>
      <w:r>
        <w:t xml:space="preserve"> This deliverable presents the exploitation plan and business model, developed within Task 6.4 of the European Citizen Science (ECS) project. During this process the European Citizen Science Academy (ECS Academy) was identified as one of the key resources with exploitation potential and thus selected as the core element of the business plan presented in this deliverable. At the end of the ECS project the coordinator, the European Citizen Science Association (ECSA), will take over the management responsibility and long term maintenance of this ECS Academy. This deliverable serves both as a practical handover document and a strategic roadmap. It defines a clear and actionable path toward establishing a sustainable, high-impact European training and learning hub for citizen science —rooted in openness, professionalisation, and long-term value creation for the community. The sections below outline in detail the strategy under which a wide range of ideas for services and revenue streams were generated, tested, and consolidated and finally translated into a structured business model and a detailed business plan. At the heart of the proposed model stands the Optimal Technical Environment (OTE) – a scalable, integrated platform architecture that enables professional service delivery, sustainable revenue generation, and improved user experience. A minimal viable product (MVP) was also de</w:t>
      </w:r>
    </w:p>
    <w:p>
      <w:pPr/>
      <w:r>
        <w:rPr>
          <w:b/>
        </w:rPr>
        <w:t>POSSIBLE 2026:</w:t>
      </w:r>
      <w:r>
        <w:t xml:space="preserve"> Left, right, or buy green? Political ideology and sustainable consumption in Europe — https://doi.org/10.9770/w3992782679</w:t>
      </w:r>
    </w:p>
    <w:p>
      <w:pPr/>
      <w:r>
        <w:rPr>
          <w:b/>
        </w:rPr>
        <w:t>Shared claim-specific concepts:</w:t>
      </w:r>
      <w:r>
        <w:t xml:space="preserve"> sustainable, well, but; EU scope visible. This is a provisional connection, not an outcome finding.</w:t>
      </w:r>
    </w:p>
    <w:p>
      <w:pPr>
        <w:pStyle w:val="SourceNote"/>
      </w:pPr>
      <w:r>
        <w:rPr>
          <w:b/>
        </w:rPr>
        <w:t>Available abstract (not full text):</w:t>
      </w:r>
      <w:r>
        <w:t xml:space="preserve"> This research investigates the role of ideological self-placement in explaining Europe's sustainable consumption orientations based on two high-quality secondary datasets, namely, World Values Survey (WVS) Wave 7 and Special Eurobarometer 513/Eurobarometer 95.1.This analysis builds on confirmatory factor analysis and multilevel modeling to distinguish between moral willingness to bear private environmental costs and reported climate-relevant consumer practices.Within the WVS, we formulate a latent orientation founded on the environment-growth trade-off, as well as readiness to incur higher taxes or sacrifice income for pollution abatement; within Eurobarometer, we summarise climate-relevant household and purchase behaviours through a Green Consumer Action Index.The results show a steady ideological gradient: respondents placing further to the right report declining willingness to incur private economic costs to help the environment.The relationship remains significant after controlling for socioeconomic status and religiosity, and is partially attenuated with the control for environmental concern.Evidence from Eurobarometer corroborates this pattern by illustrating substantial uptake of cheap, low-effort actions such as recycling and reducing disposables, but much weaker uptake of expensive actions like solar panels, low-energy homes and electric cars.Cross-dataset triangulatio</w:t>
      </w:r>
    </w:p>
    <w:p>
      <w:pPr/>
      <w:r>
        <w:rPr>
          <w:b/>
        </w:rPr>
        <w:t>POSSIBLE 2025:</w:t>
      </w:r>
      <w:r>
        <w:t xml:space="preserve"> Was there a notion of ‘enough’ in the European Green Deal? Sufficiency in the European Union’s sustainability discourse — https://doi.org/10.1108/sampj-10-2024-1103</w:t>
      </w:r>
    </w:p>
    <w:p>
      <w:pPr/>
      <w:r>
        <w:rPr>
          <w:b/>
        </w:rPr>
        <w:t>Shared claim-specific concepts:</w:t>
      </w:r>
      <w:r>
        <w:t xml:space="preserve"> there, enough, sustainable, not, but; EU scope visible. This is a provisional connection, not an outcome finding.</w:t>
      </w:r>
    </w:p>
    <w:p>
      <w:pPr>
        <w:pStyle w:val="SourceNote"/>
      </w:pPr>
      <w:r>
        <w:rPr>
          <w:b/>
        </w:rPr>
        <w:t>Available abstract (not full text):</w:t>
      </w:r>
      <w:r>
        <w:t xml:space="preserve"> Purpose This study aims to discuss the role that sufficiency, as a measure of “enoughness”, played in the European Union’s (EU) sustainability-focused discourse embodied in the European Green Deal (EGD) agenda, its 2019–2024 flagship socio-ecological transformation programme aimed at net-zero emissions by 2050 and protecting its “natural capital”. Design/methodology/approach This study uses discourse analysis to examine how sufficiency is represented across major strategic policy initiatives emerging from the EGD during the period 2019–2024. Findings This study finds that, despite the discursive window of opportunity provided by the EGD, notions of sufficiency remain weak and underspecified at the EU level, essentially taking the form of informational tools to spur citizens’ sustainable behaviour. Practical implications This study reveals that a discourse that merely provides a window of opportunity for but does not mandate sufficiency-oriented policies is insufficient to counter the long-standing bias of EU sustainability-oriented discourse towards technological solutions aimed at efficiency gains. Social implications This study argues that by omitting what are ultimately low-hanging fruit related to avoiding consumption, the EU risks not attaining self-set climate and environmental aims. It also makes proposals on how to address this omission in EU sustainability policymaking</w:t>
      </w:r>
    </w:p>
    <w:p>
      <w:pPr/>
      <w:r>
        <w:rPr>
          <w:b/>
        </w:rPr>
        <w:t>POSSIBLE 2025:</w:t>
      </w:r>
      <w:r>
        <w:t xml:space="preserve"> Feasible solutions for sustainable diets with adequate protein intake : modelling diets for the Netherlands and Europe — https://doi.org/10.18174/681865</w:t>
      </w:r>
    </w:p>
    <w:p>
      <w:pPr/>
      <w:r>
        <w:rPr>
          <w:b/>
        </w:rPr>
        <w:t>Shared claim-specific concepts:</w:t>
      </w:r>
      <w:r>
        <w:t xml:space="preserve"> enough, sustainable, but, sustainably; EU scope visible. This is a provisional connection, not an outcome finding.</w:t>
      </w:r>
    </w:p>
    <w:p>
      <w:pPr>
        <w:pStyle w:val="SourceNote"/>
      </w:pPr>
      <w:r>
        <w:rPr>
          <w:b/>
        </w:rPr>
        <w:t>Available abstract (not full text):</w:t>
      </w:r>
      <w:r>
        <w:t xml:space="preserve"> The global food system faces significant challenges, including the need to provide healthy diets to a growing population while protecting the planet. Sustainable diets, as defined by the World Health Organization and the Food and Agriculture Organization, are good for health, have low environmental impact; are accessible, affordable, safe, fair, and fit cultural preferences. These diets usually mean eating more plant-based and less animal-based foods. However, as plant-based foods often contain less protein, and of lower quality, we need to carefully monitor whether sustainable diets provide enough. Besides, a diet should fit cultural habits of a specific population to be feasible. Therefore, this thesis aims to propose feasible solutions for sustainable Dutch diets, and to assess the amount of protein of these and European diets. Part I: Protein quality and adequacy of current European and future Dutch diets. A new score, the Protein Adequacy and Quality Score (PAQS), was developed to assess protein adequacy as the ratio of daily utilizable protein intake to requirement. Utilizable protein intake is the part of consumed protein that can be used for body protein synthesis, i.e. utilizable protein is total protein intake corrected for its digestibility and amino acid composition. Across 25 European countries, almost everyone was found to consume enough utilizable protein, but th</w:t>
      </w:r>
    </w:p>
    <w:p>
      <w:pPr/>
      <w:r>
        <w:rPr>
          <w:b/>
        </w:rPr>
        <w:t>POSSIBLE 2025:</w:t>
      </w:r>
      <w:r>
        <w:t xml:space="preserve"> Assessment of sustainable development in selected countries of Southeast Europe — https://doi.org/10.5937/ekonomika2502073m</w:t>
      </w:r>
    </w:p>
    <w:p>
      <w:pPr/>
      <w:r>
        <w:rPr>
          <w:b/>
        </w:rPr>
        <w:t>Shared claim-specific concepts:</w:t>
      </w:r>
      <w:r>
        <w:t xml:space="preserve"> enough, sustainable, well, not, only; EU scope visible. This is a provisional connection, not an outcome finding.</w:t>
      </w:r>
    </w:p>
    <w:p>
      <w:pPr>
        <w:pStyle w:val="SourceNote"/>
      </w:pPr>
      <w:r>
        <w:rPr>
          <w:b/>
        </w:rPr>
        <w:t>Available abstract (not full text):</w:t>
      </w:r>
      <w:r>
        <w:t xml:space="preserve"> The purpose of this article is to examine the possibilities of sustainable development, as well as to assess the impact of certain environmental predictors on the real GDP increase of eight selected countries of Southeast Europe (Albania, Bosnia and Herzegovina, Bulgaria, Croatia, Greece, North Macedonia, Romania and Serbia) in the period from 2001 to 2020. Using the Least Squares Dummy Variable (LSDV) panel data method, the article shows that from the aspect of access to safely managed sanitation services, use of renewables and harmful CO2 emissions, economic development in these countries is not sustainable enough. At the same time, it is sustainable only from the perspective of agricultural methane emissions. Bearing this in mind, economic policy makers from these countries should work more intensively on intra-regional cooperation, as well as on complying with the recommendations from the SEE 2030 Strategy in guiding their countries towards sustainable development pathways.</w:t>
      </w:r>
    </w:p>
    <w:p>
      <w:pPr/>
      <w:r>
        <w:rPr>
          <w:b/>
        </w:rPr>
        <w:t>POSSIBLE 2025:</w:t>
      </w:r>
      <w:r>
        <w:t xml:space="preserve"> The Sustainable Investment Gap in Europe: Implications for Digital Finance — https://doi.org/10.62036/isd.2025.143</w:t>
      </w:r>
    </w:p>
    <w:p>
      <w:pPr/>
      <w:r>
        <w:rPr>
          <w:b/>
        </w:rPr>
        <w:t>Shared claim-specific concepts:</w:t>
      </w:r>
      <w:r>
        <w:t xml:space="preserve"> enough, sustainable, not, but; EU scope visible. This is a provisional connection, not an outcome finding.</w:t>
      </w:r>
    </w:p>
    <w:p>
      <w:pPr>
        <w:pStyle w:val="SourceNote"/>
      </w:pPr>
      <w:r>
        <w:rPr>
          <w:b/>
        </w:rPr>
        <w:t>Available abstract (not full text):</w:t>
      </w:r>
      <w:r>
        <w:t xml:space="preserve"> This study explores the Sustainable Investment Gap (SIG) in 13 European countries, defined as the gap between awareness of ESG-labeled financial products and actual ownership by individual investors. Drawing on data from the 2023 OECD/INFE, the analysis integrates indicators of digital financial literacy (DFL), online financial activity, and the size of the gap. A preliminary exploratory typology of five country profiles was developed, and contextual digital interventions were proposed. The results indicate that higher levels of DFL co-occur with a smaller investment gap and greater online engagement, but digital readiness alone is not enough to close the gap. The proposed typology provides a framework for designing digital tools to support sustainable investment decisions. In further stages of the study, it is planned to test selected interventions in Poland using experimental methods in a simulated FinTech environment.</w:t>
      </w:r>
    </w:p>
    <w:p>
      <w:pPr/>
      <w:r>
        <w:rPr>
          <w:b/>
        </w:rPr>
        <w:t>POSSIBLE 2025:</w:t>
      </w:r>
      <w:r>
        <w:t xml:space="preserve"> 9.Y.2. PechaKucha: Food Insecurity, Nutrition and Health – a growing challenge in Europe — https://doi.org/10.1093/eurpub/ckaf161.807</w:t>
      </w:r>
    </w:p>
    <w:p>
      <w:pPr/>
      <w:r>
        <w:rPr>
          <w:b/>
        </w:rPr>
        <w:t>Shared claim-specific concepts:</w:t>
      </w:r>
      <w:r>
        <w:t xml:space="preserve"> there, enough, contribute, all, well, ensure; EU scope visible. This is a provisional connection, not an outcome finding.</w:t>
      </w:r>
    </w:p>
    <w:p>
      <w:pPr>
        <w:pStyle w:val="SourceNote"/>
      </w:pPr>
      <w:r>
        <w:rPr>
          <w:b/>
        </w:rPr>
        <w:t>Available abstract (not full text):</w:t>
      </w:r>
      <w:r>
        <w:t xml:space="preserve"> Abstract Food Insecurity (FIS) is a state of “not having access by all people at all times to enough food for an active, healthy life”. Traditionally, FIS has been linked to low-income countries and to malnutrition, but FIS is also increasing in high-income setting. Even in countries, where social welfare systems are designed to protect people from poverty and ensure well-being across the life course, the persistence of FIS presents a striking paradox. Whilst intimately intertwined with poverty, low income is not the sole factor determining FIS. Also, the type of work is related to FIS, e.g., if there are limitations in having a proper lunch during the working hours. Further, structural factors such as rising food costs, displacement, and support system gaps contribute to food insecurity among populations presumed protected by welfare systems. This session invites critical dialogue on the structural roots of food insecurity and the limitations of current welfare systems. This presentation demonstrates how, despite apparent prosperity and comprehensive protections, many individuals and families experience food shortages or anxiety about accessing nutritious food. Results from recent studies examining food insecurity across multiple vulnerable groups-including low-income service workers, families with children, and Ukrainian refugees will be presented. Additionally, the coping st</w:t>
      </w:r>
    </w:p>
    <w:p>
      <w:pPr/>
      <w:r>
        <w:rPr>
          <w:b/>
        </w:rPr>
        <w:t>POSSIBLE 2025:</w:t>
      </w:r>
      <w:r>
        <w:t xml:space="preserve"> European Integration and Customs Union — https://doi.org/10.12681/icib.8148</w:t>
      </w:r>
    </w:p>
    <w:p>
      <w:pPr/>
      <w:r>
        <w:rPr>
          <w:b/>
        </w:rPr>
        <w:t>Shared claim-specific concepts:</w:t>
      </w:r>
      <w:r>
        <w:t xml:space="preserve"> there, enough, all, well, not, but; EU scope visible. This is a provisional connection, not an outcome finding.</w:t>
      </w:r>
    </w:p>
    <w:p>
      <w:pPr>
        <w:pStyle w:val="SourceNote"/>
      </w:pPr>
      <w:r>
        <w:rPr>
          <w:b/>
        </w:rPr>
        <w:t>Available abstract (not full text):</w:t>
      </w:r>
      <w:r>
        <w:t xml:space="preserve"> In this paper we examine the European economic integration, which is considered particularly important, as it has progressed, to a large extent, affecting the functioning of both the national economies of the member states and the wider European, as well as the global economy. In addition, the study of European economic integration is particularly useful for understanding the course of the European project, as the field of economics played a catalytic role in the broader effort to expand and deepen the integration process (Maraveyas &amp; Katsikas, 2016). A customs union is a stage of multinational integration, in which the members undertake by treaty, on the one hand, the obligation not to impose on trade between them any customs duty or tax having an analogous effect and no quantitative restriction, but also the obligation to apply a common customs tariff in their relations with third countries (Tsinisizelis, 1995). Moreover, in the customs union, free movement applies to all products, of any origin, which entails the abolition of customs controls at internal borders. The good results of the customs union contributed to the completion of the common market and now there is no need for customs formalities for intra-European trade and all the complicated administrative documents have been abolished. In order to create a real customs union, it is not enough to have a common customs t</w:t>
      </w:r>
    </w:p>
    <w:p>
      <w:pPr/>
      <w:r>
        <w:rPr>
          <w:b/>
        </w:rPr>
        <w:t>POSSIBLE 2024:</w:t>
      </w:r>
      <w:r>
        <w:t xml:space="preserve"> Is there enough sustainable wood? — https://doi.org/10.1017/9781788217361.008</w:t>
      </w:r>
    </w:p>
    <w:p>
      <w:pPr/>
      <w:r>
        <w:rPr>
          <w:b/>
        </w:rPr>
        <w:t>Shared claim-specific concepts:</w:t>
      </w:r>
      <w:r>
        <w:t xml:space="preserve"> there, enough, sustainable, ensure, not; EU scope visible. This is a provisional connection, not an outcome finding.</w:t>
      </w:r>
    </w:p>
    <w:p>
      <w:pPr>
        <w:pStyle w:val="SourceNote"/>
      </w:pPr>
      <w:r>
        <w:rPr>
          <w:b/>
        </w:rPr>
        <w:t>Available abstract (not full text):</w:t>
      </w:r>
      <w:r>
        <w:t xml:space="preserve"> Fact: The World Bank estimates that global timber demand is set to quadruple by 2050. Demand in the UK is also expected to rise, in part because of the government's commitment to promote timber use in construction as part of the UK's net zero strategy. Using more wood in construction and renovation to turn our built environment from a climate problem into a climate solution is predicated on there being enough wood and wood fibre to do this. First and foremost, this supply of wood has to be sustainable. For our timber supplies to be deemed sustainable the wood must be sourced from a managed forest where natural regeneration of the forest is viable or where new trees are planted as others are felled. Such replanting needs to see between 5,000‒10,000 saplings planted per hectare, replacing around 500 felled trees per hectare. The forest ecosystem is required to be regularly monitored to ensure it remains in good health and able to provide for both people (employment, recreation) and nature (biodiversity) now and into the future. A certification scheme accompanies this process of which more than 50 exist worldwide. Of these, the Forest Stewardship Council (FSC) and the Programme for the Endorsement of Forest Certification (PEFC) are the two best known. While both schemes are committed to the same cause – sustainable forestry – the primary difference between the certifications is th</w:t>
      </w:r>
    </w:p>
    <w:p>
      <w:pPr/>
      <w:r>
        <w:rPr>
          <w:b/>
        </w:rPr>
        <w:t>POSSIBLE 2024:</w:t>
      </w:r>
      <w:r>
        <w:t xml:space="preserve"> Economic and Environmental Limitations of Sustainable Energy Transition in Europe — https://doi.org/10.35784/preko.5574</w:t>
      </w:r>
    </w:p>
    <w:p>
      <w:pPr/>
      <w:r>
        <w:rPr>
          <w:b/>
        </w:rPr>
        <w:t>Shared claim-specific concepts:</w:t>
      </w:r>
      <w:r>
        <w:t xml:space="preserve"> there, sustainable, well, carbon, not; EU scope visible. This is a provisional connection, not an outcome finding.</w:t>
      </w:r>
    </w:p>
    <w:p>
      <w:pPr>
        <w:pStyle w:val="SourceNote"/>
      </w:pPr>
      <w:r>
        <w:rPr>
          <w:b/>
        </w:rPr>
        <w:t>Available abstract (not full text):</w:t>
      </w:r>
      <w:r>
        <w:t xml:space="preserve"> In recent decades, the concept of sustainable development has become increasingly widespread since the United Nations Convention on Climate Change was adopted. However, it is also being overused, imitated, politicized, or even ignored. This study analyzes the current conditions and long-term consequences of the European energy transition and discusses the limitations and true economic and environmental implications of implementing energy sustainability. The paper is aimed at forming an understanding of the current environmental conditions and challenges associated with the economic, financial, and environmental consequences of introducing renewables in Europe. Research has revealed that renewables, while cleaner energy sources are not necessarily sustainable as initially suspected. There are various implications and limitations, that is: an initial carbon footprint, land footprint, recycling issues, harmful impacts on wildlife and humans, moreover the efficiency and economic implications when transitioning to a net zero. As a result, it is concluded that the basic principles of the energy transition are to be introduced and considered for it to become indeed sustainable. It is also concluded that when introducing or improving an energy model, it is crucial to consider the country's initial energy and resource base. Nuclear energy should not be disregarded and should considered </w:t>
      </w:r>
    </w:p>
    <w:p>
      <w:pPr/>
      <w:r>
        <w:rPr>
          <w:b/>
        </w:rPr>
        <w:t>POSSIBLE 2024:</w:t>
      </w:r>
      <w:r>
        <w:t xml:space="preserve"> Paving the way for sustainable decarbonization of the European cement industry — https://doi.org/10.1038/s41893-024-01320-y</w:t>
      </w:r>
    </w:p>
    <w:p>
      <w:pPr/>
      <w:r>
        <w:rPr>
          <w:b/>
        </w:rPr>
        <w:t>Shared claim-specific concepts:</w:t>
      </w:r>
      <w:r>
        <w:t xml:space="preserve"> sustainable, carbon, only, but; EU scope visible. This is a provisional connection, not an outcome finding.</w:t>
      </w:r>
    </w:p>
    <w:p>
      <w:pPr>
        <w:pStyle w:val="SourceNote"/>
      </w:pPr>
      <w:r>
        <w:rPr>
          <w:b/>
        </w:rPr>
        <w:t>Available abstract (not full text):</w:t>
      </w:r>
      <w:r>
        <w:t xml:space="preserve"> Abstract Cement production is a main source of carbon emissions. Decarbonization options exist, but their climate change mitigation potential, feasibility and environmental implications are still unclear. Here we assess 15 decarbonization options for the European cement industry under current and future conditions. Climate impacts per tonne of clinker produced today in European countries vary between 832 and 1,075 kg CO 2 -equivalents. Decarbonization options at various maturity levels can mitigate between 7 and 135 Mt CO 2 -equivalents per year (4–108% of today’s annual emissions from European cement plants), with a range of synergies and trade-offs. Solutions such as alternative fuels or technological improvements reduce climate impacts up to 30%, while a mix of ambitious complementary measures achieves a mitigation of about 50% by 2050. Only rapid and large-scale implementation of carbon capture and storage can approach climate neutrality. Carbon capture for production of e-fuels presents no significant mitigation benefits while it increases other environmental impacts.</w:t>
      </w:r>
    </w:p>
    <w:p>
      <w:pPr>
        <w:pStyle w:val="Heading2"/>
      </w:pPr>
      <w:r>
        <w:t>666. How photovoltaics can contribute to GHG emission reductions of 55% in the EU by 2030</w:t>
      </w:r>
    </w:p>
    <w:p>
      <w:pPr>
        <w:pStyle w:val="SourceNote"/>
      </w:pPr>
      <w:r>
        <w:rPr>
          <w:b/>
        </w:rPr>
        <w:t>Original source (2020):</w:t>
      </w:r>
      <w:r>
        <w:t xml:space="preserve"> https://doi.org/10.1016/j.rser.2020.109836</w:t>
      </w:r>
    </w:p>
    <w:p>
      <w:pPr/>
      <w:r>
        <w:t>Original wording (abstract; indexed_source_text_not_full_document_verified): To reach a 55% GHG emissions reduction, the cumulative PV capacity in the EU and the UK would need to surge to 455–605 GW, depending on the strategic policy scenario. This opinion article looks specifically at the role of photovoltaics (PV), based on scenarios from the Commission's 2018 long-term strategy (LTS) for energy and climate.</w:t>
      </w:r>
    </w:p>
    <w:p>
      <w:pPr/>
      <w:r>
        <w:rPr>
          <w:b/>
        </w:rPr>
        <w:t>POSSIBLE 2026:</w:t>
      </w:r>
      <w:r>
        <w:t xml:space="preserve"> Forecast reconciliation of agricultural GHG emissions in Europe with fuzzy clustering — https://doi.org/10.1007/s10479-026-07363-y</w:t>
      </w:r>
    </w:p>
    <w:p>
      <w:pPr/>
      <w:r>
        <w:rPr>
          <w:b/>
        </w:rPr>
        <w:t>Shared claim-specific concepts:</w:t>
      </w:r>
      <w:r>
        <w:t xml:space="preserve"> ghg, emissions, specifically, based; EU scope visible. This is a provisional connection, not an outcome finding.</w:t>
      </w:r>
    </w:p>
    <w:p>
      <w:pPr>
        <w:pStyle w:val="SourceNote"/>
      </w:pPr>
      <w:r>
        <w:rPr>
          <w:b/>
        </w:rPr>
        <w:t>Available abstract (not full text):</w:t>
      </w:r>
      <w:r>
        <w:t xml:space="preserve"> Abstract We propose a novel statistical procedure which combines forecasting reconciliation techniques and unsupervised clustering algorithms to forecast annual greenhouse gases emissions at the territorial level. Specifically, we aim at predicting future emissions from the agricultural sector for Europe by aggregating bottom-level regional forecasts to the national and continental levels. Fuzzy clustering is used to define aggregations of bottom and middle-level series into clusters based on the similarity of emissions patterns; then, the fuzzy hierarchies are combined with the original administrative aggregation structure to improve the prediction accuracy of forecasting models. Empirical results show that fuzzy clustering aggregation, by leveraging uncertainty compared to crisp approaches, enhances forecast reconciliation accuracy at all levels of the hierarchy. Our approach offers a scalable solution to enhance forecast accuracy and reliability, particularly for short time series characterized by complex hierarchical structures.</w:t>
      </w:r>
    </w:p>
    <w:p>
      <w:pPr/>
      <w:r>
        <w:rPr>
          <w:b/>
        </w:rPr>
        <w:t>POSSIBLE 2026:</w:t>
      </w:r>
      <w:r>
        <w:t xml:space="preserve"> Spatiotemporal clustering of GHGs emissions in Europe: Exploring the role of spatial component — https://doi.org/10.1016/j.spasta.2026.100960</w:t>
      </w:r>
    </w:p>
    <w:p>
      <w:pPr/>
      <w:r>
        <w:rPr>
          <w:b/>
        </w:rPr>
        <w:t>Shared claim-specific concepts:</w:t>
      </w:r>
      <w:r>
        <w:t xml:space="preserve"> emissions, role, based; EU scope visible. This is a provisional connection, not an outcome finding.</w:t>
      </w:r>
    </w:p>
    <w:p>
      <w:pPr>
        <w:pStyle w:val="SourceNote"/>
      </w:pPr>
      <w:r>
        <w:rPr>
          <w:b/>
        </w:rPr>
        <w:t>Available abstract (not full text):</w:t>
      </w:r>
      <w:r>
        <w:t xml:space="preserve"> In this study, we propose a novel application of spatiotemporal clustering in the socio-economic and environmental sciences, with a particular focus on regionalised time series of greenhouse gases (GHGs) emissions from a range of economic sectors. Utilising a hierarchical spatiotemporal clustering methodology, we analyse yearly time series of emissions by gases and sectors from 1990 to 2022 for European regions at the NUTS-2 level. While the clustering algorithm inherently incorporates spatial information based on geographical distance, the extent to which space contributes to the definition of groups still requires further exploration. To address this gap in the literature, we propose a novel indicator, namely the Joint Inertia, which quantifies the contribution of spatial distances when integrated with other features. Through a simulation experiment, we explore the relationship between the Joint Inertia and the relevance of geography in exploiting the groups structure under several configurations of spatial and features patterns, providing insights into the behaviour and potential of the proposed indicator. The empirical findings demonstrate the relevance of the spatial component in identifying emission patterns and dynamics, and the results reveal significant heterogeneity across clusters in trends and dynamics by gases and sectors. This reflects the heterogeneous economic a</w:t>
      </w:r>
    </w:p>
    <w:p>
      <w:pPr/>
      <w:r>
        <w:rPr>
          <w:b/>
        </w:rPr>
        <w:t>POSSIBLE 2026:</w:t>
      </w:r>
      <w:r>
        <w:t xml:space="preserve"> GHG emissions of all world countries — https://doi.org/10.2760/7717504</w:t>
      </w:r>
    </w:p>
    <w:p>
      <w:pPr/>
      <w:r>
        <w:rPr>
          <w:b/>
        </w:rPr>
        <w:t>Shared claim-specific concepts:</w:t>
      </w:r>
      <w:r>
        <w:t xml:space="preserve"> ghg, emissions, based; EU scope not established. This is a provisional connection, not an outcome finding.</w:t>
      </w:r>
    </w:p>
    <w:p>
      <w:pPr>
        <w:pStyle w:val="SourceNote"/>
      </w:pPr>
      <w:r>
        <w:rPr>
          <w:b/>
        </w:rPr>
        <w:t>Available abstract (not full text):</w:t>
      </w:r>
      <w:r>
        <w:t xml:space="preserve"> The Emissions Database for Global Atmospheric Research (EDGAR) provides greenhouse gas (GHG) emissions time series for all countries and for all anthropogenic sectors from 1970 until 2025, including emissions and removals from land use and forestry – LULUCF (from 1990 to 2025). The edition of this year shows that global GHG emissions reached 54.1 Gt CO2eq in 2025, increasing by 0.7% compared to 2024 (or 55.0 Gt CO2eq including LULUCF, +0.9%). The report contributes to the Paris Agreement process with an independent quantitative overview of global GHG emissions, based on the IEA-EDGAR CO2, EDGAR CH4, EDGAR N2O and EDGAR F-gases version EDGAR_2026_GHG (2026).</w:t>
      </w:r>
    </w:p>
    <w:p>
      <w:pPr/>
      <w:r>
        <w:rPr>
          <w:b/>
        </w:rPr>
        <w:t>POSSIBLE 2026:</w:t>
      </w:r>
      <w:r>
        <w:t xml:space="preserve"> Climate Ambition in the 2023 IMO GHG Strategy — https://doi.org/10.1007/978-3-032-15904-5_4</w:t>
      </w:r>
    </w:p>
    <w:p>
      <w:pPr/>
      <w:r>
        <w:rPr>
          <w:b/>
        </w:rPr>
        <w:t>Shared claim-specific concepts:</w:t>
      </w:r>
      <w:r>
        <w:t xml:space="preserve"> ghg, emissions, reduction, strategy, climate; EU scope not established. This is a provisional connection, not an outcome finding.</w:t>
      </w:r>
    </w:p>
    <w:p>
      <w:pPr>
        <w:pStyle w:val="SourceNote"/>
      </w:pPr>
      <w:r>
        <w:rPr>
          <w:b/>
        </w:rPr>
        <w:t>Available abstract (not full text):</w:t>
      </w:r>
      <w:r>
        <w:t xml:space="preserve"> In July 2023, the Marine Environment Protection Committee (MEPC) of the International Maritime Organization (IMO) reached an agreement on the 2023 IMO Strategy on Reduction of GHG Emissions from Ships (2023 IMO GHG Strategy). This Chapter provides an analysis of the 2023 IMO GHG Strategy, focusing primarily on its climate ambition levels and indicative checkpoints and their relevance for the decarbonization of international shipping and addressing pollution from ships more broadly. The Chapter argues that overall, despite failing to align with the 1.5 °C temperature target that many stakeholders rooted for, the 2023 IMO GHG Strategy is a significant step forward for the decarbonization of international maritime transport.</w:t>
      </w:r>
    </w:p>
    <w:p>
      <w:pPr/>
      <w:r>
        <w:rPr>
          <w:b/>
        </w:rPr>
        <w:t>POSSIBLE 2026:</w:t>
      </w:r>
      <w:r>
        <w:t xml:space="preserve"> The cost and benefit of GHG emissions and default risk — https://doi.org/10.1007/s10479-026-07193-y</w:t>
      </w:r>
    </w:p>
    <w:p>
      <w:pPr/>
      <w:r>
        <w:rPr>
          <w:b/>
        </w:rPr>
        <w:t>Shared claim-specific concepts:</w:t>
      </w:r>
      <w:r>
        <w:t xml:space="preserve"> ghg, emissions, reduction; EU scope not established. This is a provisional connection, not an outcome finding.</w:t>
      </w:r>
    </w:p>
    <w:p>
      <w:pPr>
        <w:pStyle w:val="SourceNote"/>
      </w:pPr>
      <w:r>
        <w:rPr>
          <w:b/>
        </w:rPr>
        <w:t>Available abstract (not full text):</w:t>
      </w:r>
      <w:r>
        <w:t xml:space="preserve"> Abstract This paper examines the relationship between the financial costs associated with carbon emissions and the intensity of green revenues relative to emissions and firm-level default risk. Contributing to the ongoing debate on emissions measurement approaches, we construct two novel intensity measures that capture the monetary value of emissions: average carbon cost (Cost/GHG) and green-revenue intensity (GR/GHG). Using global firm-level data from 2008 to 2022, we find that exposure to carbon costs is strongly associated with increased default risk, while the evidence for green-revenue intensity is more modest and does not translate into a clear reduction in market-implied default probabilities. On average, a $1,000 increase in carbon cost per tonne of emissions is associated with a 0.70 percentage point rise in the probability of default and a reduction in Distance-to-Default, and these relationships remain robust when absorbing time-varying industry cycles and country-level macro and policy conditions. The association between carbon-cost exposure and default risk is most pronounced in high transition-risk sectors and is weaker in firms with higher managerial ability and operational efficiency. Overall, the results highlight the importance of incorporating monetary valuations of transition exposures when assessing climate-related credit risk.</w:t>
      </w:r>
    </w:p>
    <w:p>
      <w:pPr/>
      <w:r>
        <w:rPr>
          <w:b/>
        </w:rPr>
        <w:t>POSSIBLE 2026:</w:t>
      </w:r>
      <w:r>
        <w:t xml:space="preserve"> China’s Building Energy Use and GHG Emissions — https://doi.org/10.1007/978-981-95-8200-6_1</w:t>
      </w:r>
    </w:p>
    <w:p>
      <w:pPr/>
      <w:r>
        <w:rPr>
          <w:b/>
        </w:rPr>
        <w:t>Shared claim-specific concepts:</w:t>
      </w:r>
      <w:r>
        <w:t xml:space="preserve"> ghg, emissions, energy; EU scope not established. This is a provisional connection, not an outcome finding.</w:t>
      </w:r>
    </w:p>
    <w:p>
      <w:pPr>
        <w:pStyle w:val="SourceNote"/>
      </w:pPr>
      <w:r>
        <w:rPr>
          <w:b/>
        </w:rPr>
        <w:t>Available abstract (not full text):</w:t>
      </w:r>
      <w:r>
        <w:t xml:space="preserve"> In recent years, urbanization has grown rapidly in China. In 2023, China had an urban population of 933 million and a rural population of 477 million, with the urbanization rate rising from 37.7% in 2001 to 66.2%, as shown in Fig. 1.1.</w:t>
      </w:r>
    </w:p>
    <w:p>
      <w:pPr/>
      <w:r>
        <w:rPr>
          <w:b/>
        </w:rPr>
        <w:t>POSSIBLE 2025:</w:t>
      </w:r>
      <w:r>
        <w:t xml:space="preserve"> Assessing GHG Emissions Implications of Forest Residue Use for Energy Production — https://doi.org/10.1111/gcbb.70045</w:t>
      </w:r>
    </w:p>
    <w:p>
      <w:pPr/>
      <w:r>
        <w:rPr>
          <w:b/>
        </w:rPr>
        <w:t>Shared claim-specific concepts:</w:t>
      </w:r>
      <w:r>
        <w:t xml:space="preserve"> ghg, emissions, energy; EU scope not established. This is a provisional connection, not an outcome finding.</w:t>
      </w:r>
    </w:p>
    <w:p>
      <w:pPr>
        <w:pStyle w:val="SourceNote"/>
      </w:pPr>
      <w:r>
        <w:rPr>
          <w:b/>
        </w:rPr>
        <w:t>Available abstract (not full text):</w:t>
      </w:r>
      <w:r>
        <w:t xml:space="preserve"> ABSTRACT As global interest in enhancing energy security, reducing energy costs, and promoting rural economic development grows, the use of forest residues for bioenergy has gained attention. While bioenergy derived from forest residues can help meet power needs and support policy goals, significant uncertainty remains regarding the greenhouse gas (GHG) emissions associated with their production and use. This study aims to explore the key drivers of these uncertainties by reviewing estimates of GHG emissions from forest residue use for energy, as presented in peer‐reviewed journals, reports, and gray literature. The findings reveal a wide range of GHG emission outcomes, with some studies suggesting net emissions and others indicating net removals. This uncertainty stems from the complexity of time scales, variety of forest management approaches and feedstock quality, assumptions about alternative scenarios, and varying approaches to emissions accounting. Recognizing that each method has its unique attributes, we propose an ideal framework that integrates multiple approaches to provide a more comprehensive assessment of the potential net GHG outcomes of using forest residues for energy.</w:t>
      </w:r>
    </w:p>
    <w:p>
      <w:pPr/>
      <w:r>
        <w:rPr>
          <w:b/>
        </w:rPr>
        <w:t>POSSIBLE 2025:</w:t>
      </w:r>
      <w:r>
        <w:t xml:space="preserve"> Mitigate GHG emissions on mixed livestock systems — https://openalex.org/W7206503929</w:t>
      </w:r>
    </w:p>
    <w:p>
      <w:pPr/>
      <w:r>
        <w:rPr>
          <w:b/>
        </w:rPr>
        <w:t>Shared claim-specific concepts:</w:t>
      </w:r>
      <w:r>
        <w:t xml:space="preserve"> reach, ghg, emissions, based, climate; EU scope visible. This is a provisional connection, not an outcome finding.</w:t>
      </w:r>
    </w:p>
    <w:p>
      <w:pPr>
        <w:pStyle w:val="SourceNote"/>
      </w:pPr>
      <w:r>
        <w:rPr>
          <w:b/>
        </w:rPr>
        <w:t>Available abstract (not full text):</w:t>
      </w:r>
      <w:r>
        <w:t xml:space="preserve"> The Climate Neutral Farms (ClieNFarms) project aims to reduce greenhouse gas emissions and increasing carbon storage in the agricultural sector. This project is based on a network of 20 demonstration case studies (I3S) where systemic innovative solutions were tested and evaluated using up-to-date modeling approaches and multicriteria assessment tools. We will focus on the dairy and beef case studies in Ireland, France, Netherlands, Spain, New-Zealand, Germany, Switzerland, Ukraine and Poland. Each farm carried out an initial assessment to define its environmental impact and, in particular, its carbon footprint. From this point, the farmers defined their action plan in co-construction. They rely on the catalogue of solutions drawn up by the project, as well as on the discussions held at their region’s creative arena, which brought together various players in the production sector. The levers chosen by the farmer are adapted to their own system and production objectives. The aim is then to measure the environmental and economic impact of implementing these practices. This will involve a finalassessment to quantify these changes, in particular the carbon footprint, but also other environmental indicators such as biodiversity, nitrogen management, water quality and soil health. The data collected will also enable a comparison of the diversity of carbon footprint calculation tools t</w:t>
      </w:r>
    </w:p>
    <w:p>
      <w:pPr/>
      <w:r>
        <w:rPr>
          <w:b/>
        </w:rPr>
        <w:t>POSSIBLE 2025:</w:t>
      </w:r>
      <w:r>
        <w:t xml:space="preserve"> Scaling Down the Outflow of GHG Emission in Maritime Industry — https://doi.org/10.47392/irjash.2025.013</w:t>
      </w:r>
    </w:p>
    <w:p>
      <w:pPr/>
      <w:r>
        <w:rPr>
          <w:b/>
        </w:rPr>
        <w:t>Shared claim-specific concepts:</w:t>
      </w:r>
      <w:r>
        <w:t xml:space="preserve"> ghg, reduction, energy; EU scope visible. This is a provisional connection, not an outcome finding.</w:t>
      </w:r>
    </w:p>
    <w:p>
      <w:pPr>
        <w:pStyle w:val="SourceNote"/>
      </w:pPr>
      <w:r>
        <w:rPr>
          <w:b/>
        </w:rPr>
        <w:t>Available abstract (not full text):</w:t>
      </w:r>
      <w:r>
        <w:t xml:space="preserve"> This paper has described the methodologies used for reduction in greenhouse gases like carbon dioxide [CO2], methane [CH4], nitrogen [NOx] etc. Also, it covers the technologies used all over the globe to capture the carbon [C], which is a major component of greenhouse gases. Moreover, this paper had also elaborated regarding the sustainable marine fuels like the hydrogen [H2] fuel cells and ammonia [NH3] as a marine fuel considering its specific energy (amount of energy present per unit mass of fuel expressed in MJ/kg) and energy density (amount of energy present per unit volume of fuel usually expressed in MJ/L), also the various types of biofuels like biodiesel, ethanol (C2H6O), E85 [combination of ethanol (C2H6O) and gasoline]. Overall, this paper will explain the feasibilities for the reduction of greenhouse gasses emission for the sustainable environment for the future generation. United Nation, European union and other countries has suggested steps to resolve the greenhouse gasses emission, and these steps are briefly elaborated in this paper. At the end this paper will conclude itself by the most feasible means of fuel sources in both environment and economic sustainability in the maritime industry.</w:t>
      </w:r>
    </w:p>
    <w:p>
      <w:pPr/>
      <w:r>
        <w:rPr>
          <w:b/>
        </w:rPr>
        <w:t>POSSIBLE 2024:</w:t>
      </w:r>
      <w:r>
        <w:t xml:space="preserve"> GHG Emission Trends and Targets (GETT) — https://doi.org/10.1787/decef216-en</w:t>
      </w:r>
    </w:p>
    <w:p>
      <w:pPr/>
      <w:r>
        <w:rPr>
          <w:b/>
        </w:rPr>
        <w:t>Shared claim-specific concepts:</w:t>
      </w:r>
      <w:r>
        <w:t xml:space="preserve"> ghg, emissions, climate; EU scope visible. This is a provisional connection, not an outcome finding.</w:t>
      </w:r>
    </w:p>
    <w:p>
      <w:pPr>
        <w:pStyle w:val="SourceNote"/>
      </w:pPr>
      <w:r>
        <w:rPr>
          <w:b/>
        </w:rPr>
        <w:t>Available abstract (not full text):</w:t>
      </w:r>
      <w:r>
        <w:t xml:space="preserve"> The Paris Agreement maps out a path for internationally coordinated efforts to curb global warming. At the centre of the Paris Agreement are Nationally Determined Contributions (NDCs) that establish countries’ plans to mitigate greenhouse gas (GHG) emissions as well as adapt to the impacts of climate change. However, mitigation contributions defined in NDCs are different across countries in terms of target types, coverage of sectors and gases. This makes it challenging to assess progress on mitigation commitments. To complement the UNFCCC efforts, and facilitate the evaluation and monitoring of targets, this paper develops a methodology that harmonises countries’ 2030 mitigation targets in physical units and provide clarity on sector and gas coverage. The results are used to develop the GHG Emission Trends and Targets (GETT) indicators for non-EU countries and the EU-27 covered under the International Programme for Action on Climate (IPAC). The GETT indicators support the analyses of emissions' trajectories by describing historical GHG emission trends and comparing them to NDC emission targets, considering various reference years and indicators, including emissions intensity per capita or per unit of GDP.</w:t>
      </w:r>
    </w:p>
    <w:p>
      <w:pPr/>
      <w:r>
        <w:rPr>
          <w:b/>
        </w:rPr>
        <w:t>POSSIBLE 2024:</w:t>
      </w:r>
      <w:r>
        <w:t xml:space="preserve"> Forecasting long-term energy demand and reductions in GHG emissions — https://doi.org/10.1007/s12053-024-10203-2</w:t>
      </w:r>
    </w:p>
    <w:p>
      <w:pPr/>
      <w:r>
        <w:rPr>
          <w:b/>
        </w:rPr>
        <w:t>Shared claim-specific concepts:</w:t>
      </w:r>
      <w:r>
        <w:t xml:space="preserve"> ghg, emissions, long-term, energy;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Impact of crop type on the greenhouse gas (GHG) emissions of a rewetted cultivated peatland — https://doi.org/10.5194/soil-10-827-2024</w:t>
      </w:r>
    </w:p>
    <w:p>
      <w:pPr/>
      <w:r>
        <w:rPr>
          <w:b/>
        </w:rPr>
        <w:t>Shared claim-specific concepts:</w:t>
      </w:r>
      <w:r>
        <w:t xml:space="preserve"> ghg, emissions, based; EU scope visible. This is a provisional connection, not an outcome finding.</w:t>
      </w:r>
    </w:p>
    <w:p>
      <w:pPr>
        <w:pStyle w:val="SourceNote"/>
      </w:pPr>
      <w:r>
        <w:rPr>
          <w:b/>
        </w:rPr>
        <w:t>Available abstract (not full text):</w:t>
      </w:r>
      <w:r>
        <w:t xml:space="preserve"> Abstract. We experimented a gradual water table rise at a highly degraded agricultural peat soil site with plots of willow, forage and mixed vegetation (set-aside) in southern Finland. We measured the emissions of carbon dioxide (CO2), methane (CH4) and nitrous oxide (N2O) for four years. The mean annual ground water table depth was about 80, 40, 40 and 30 cm in 2019–2022, respectively. The results indicated that a 10 cm raise in the water table depth was able to slow down annual CO2 emissions from soil respiration by 0.87 Mg CO2-C ha-1. CH4 fluxes changed from uptake to emissions with a raise in the water table depth, and the maximum mean annual emission rate was 11 kg CH4-C. Nitrous oxide emissions ranged from 2 to 33 kg N2O-N ha-1 year; they were high from bare soil in the beginning of the experiment but decreased towards the end of the experiment. Short rotation cropping of willow reached net sequestration of carbon before harvest, but all treatments and years showed net loss of carbon based on the net ecosystem carbon balance. Overall, the short rotation coppice of willow had the most favourable carbon and greenhouse gas balance over the years (10 Mg CO2 eq. on the average over four years). The total greenhouse gas balance of the forage and set-aside treatments did not go under 27 Mg CO2 eq. ha-1 year-1 highlighting the challenge in curbing peat decomposition in highly deg</w:t>
      </w:r>
    </w:p>
    <w:p>
      <w:pPr>
        <w:pStyle w:val="Heading2"/>
      </w:pPr>
      <w:r>
        <w:t>667. How to Achieve a Healthier and More Sustainable Europe by 2040 According to the Public? Results of a Five-Country Questionnaire Survey</w:t>
      </w:r>
    </w:p>
    <w:p>
      <w:pPr>
        <w:pStyle w:val="SourceNote"/>
      </w:pPr>
      <w:r>
        <w:rPr>
          <w:b/>
        </w:rPr>
        <w:t>Original source (2020):</w:t>
      </w:r>
      <w:r>
        <w:t xml:space="preserve"> https://doi.org/10.3390/ijerph17176071</w:t>
      </w:r>
    </w:p>
    <w:p>
      <w:pPr/>
      <w:r>
        <w:t>Original wording (abstract; indexed_source_text_not_full_document_verified): The aim of this paper is to understand public preferences for several future scenarios of achieving a healthier, more equitable and sustainable Europe, which differ in the way the society is organized (individualistically vs. collectively) and in the driving sector (public vs. private). About three thousand respondents chose among the four scenarios presented within four different contexts (green spaces, active mobility, energy-efficient housing, food consumption) or none of them.</w:t>
      </w:r>
    </w:p>
    <w:p>
      <w:pPr/>
      <w:r>
        <w:rPr>
          <w:b/>
        </w:rPr>
        <w:t>POSSIBLE 2026:</w:t>
      </w:r>
      <w:r>
        <w:t xml:space="preserve"> Power, inclusion and the role of SMEs in European public procurement — https://doi.org/10.1108/jpbafm-06-2025-0169</w:t>
      </w:r>
    </w:p>
    <w:p>
      <w:pPr/>
      <w:r>
        <w:rPr>
          <w:b/>
        </w:rPr>
        <w:t>Shared claim-specific concepts:</w:t>
      </w:r>
      <w:r>
        <w:t xml:space="preserve"> understand, several, about; EU scope visible. This is a provisional connection, not an outcome finding.</w:t>
      </w:r>
    </w:p>
    <w:p>
      <w:pPr>
        <w:pStyle w:val="SourceNote"/>
      </w:pPr>
      <w:r>
        <w:rPr>
          <w:b/>
        </w:rPr>
        <w:t>Available abstract (not full text):</w:t>
      </w:r>
      <w:r>
        <w:t xml:space="preserve"> Purpose This study examines small and medium-sized enterprise (SME) participation in European public procurement, aiming to understand disparities across member states despite harmonised EU Directives. Design/methodology/approach Using a novel dataset of 839,778 tenders with information about SME participation from the Tenders Electronic Daily (TED) platform covering 29 countries from 2018 to 2023, we analyse SME participation rates, contract award shares, and geographic competition patterns. Findings Significant variation is observed: Eastern European countries exceed 80% SME participation, while several Western European countries remain below 40%. SMEs participate in about 80% of tenders but secure only 40–60% of contract values. Geographic proximity enhances SME competitiveness in local markets, especially for contracts under €500,000. Institutional and administrative factors appear more decisive than regulatory frameworks alone. Research limitations/implications Limitations include potential data quality issues. However, these were mitigated where possible, and the database remains the only available offering comparable data across Europe. Future research should explore institutional and cultural factors in greater depth through country-level studies. Practical implications Policymakers should adopt tailored approaches addressing administrative complexity and regional marke</w:t>
      </w:r>
    </w:p>
    <w:p>
      <w:pPr/>
      <w:r>
        <w:rPr>
          <w:b/>
        </w:rPr>
        <w:t>POSSIBLE 2026:</w:t>
      </w:r>
      <w:r>
        <w:t xml:space="preserve"> A critical realism approach to public health interventions that aim to prevent obesity in selected European countries — https://doi.org/10.82444/warw.33704749</w:t>
      </w:r>
    </w:p>
    <w:p>
      <w:pPr/>
      <w:r>
        <w:rPr>
          <w:b/>
        </w:rPr>
        <w:t>Shared claim-specific concepts:</w:t>
      </w:r>
      <w:r>
        <w:t xml:space="preserve"> aim, understand, sustainable, three; EU scope visible. This is a provisional connection, not an outcome finding.</w:t>
      </w:r>
    </w:p>
    <w:p>
      <w:pPr>
        <w:pStyle w:val="SourceNote"/>
      </w:pPr>
      <w:r>
        <w:rPr>
          <w:b/>
        </w:rPr>
        <w:t>Available abstract (not full text):</w:t>
      </w:r>
      <w:r>
        <w:t xml:space="preserve"> The aim of this thesis is to understand the important components of a set of sustainable interventions to prevent obesity at the community level by using realistic evaluation, which draws on the philosophy of critical realism. From the application of a structured set of criteria based on critical realism, three interventions emerged, which were selected as the case studies of my thesis: the ‘Healthy Weight Communities’ project in Scotland, the ‘Bewegung als Investition in Gesundheit’ (Movement as Investment for Health) project in Germany, and the ‘Walking for Health’ project in England. Based on the key concepts of critical realism an interview topic guide was developed, which was tested by the help of the pilot project ‘Paideiatrofi’ in Greece. Key personnel involved in the organisation of each of the three selected interventions were identified and qualitative research and data analysis was carried out. The framework of critical realism and the application of the key concepts of realistic evaluation: ‘generative mechanisms’, ‘context’ and ‘outcomes’, enabled the disentangling of which mechanisms from each case study, were most related to outcomes and under which contexts. A number of common themes emerged from the analysis of the three interventions. Reflecting on these common themes, I connected them to a set of more abstract categories associated with the social structure, </w:t>
      </w:r>
    </w:p>
    <w:p>
      <w:pPr/>
      <w:r>
        <w:rPr>
          <w:b/>
        </w:rPr>
        <w:t>POSSIBLE 2026:</w:t>
      </w:r>
      <w:r>
        <w:t xml:space="preserve"> Public Trust in Science: A Public Consultation on a European Scale — https://doi.org/10.1007/978-3-032-15723-2_7</w:t>
      </w:r>
    </w:p>
    <w:p>
      <w:pPr/>
      <w:r>
        <w:rPr>
          <w:b/>
        </w:rPr>
        <w:t>Shared claim-specific concepts:</w:t>
      </w:r>
      <w:r>
        <w:t xml:space="preserve"> about, three; EU scope visible. This is a provisional connection, not an outcome finding.</w:t>
      </w:r>
    </w:p>
    <w:p>
      <w:pPr>
        <w:pStyle w:val="SourceNote"/>
      </w:pPr>
      <w:r>
        <w:rPr>
          <w:b/>
        </w:rPr>
        <w:t>Available abstract (not full text):</w:t>
      </w:r>
      <w:r>
        <w:t xml:space="preserve"> Abstract Public trust in science has long attracted the attention of scholars. With empirical studies consistently showing that public trust in science remains moderately stable and high on a global scale, there is still limited understanding of the factors that influence trust. As part of the POIESIS project, this study aimed to explore public’s perceptions about three main issues that are believed to influence trust in science: research integrity, public engagement and science communication. Through a qualitative methodology based on Public Deliberative Workshops (PDWs), we involved 169 members of the public across seven European countries—Denmark, France, Germany, Greece, Portugal, Spain, and the United Kingdom—in discussions about these topics. Participants expressed overall positive attitudes towards science. Isolated cases of misconduct were unlikely to directly affect public trust, yet integrity values in science are seen as key to trust. Additionally, public engagement was seen as a democratic access to science, still concerns were shown about the desired levels of engagement. Regarding communication, the credibility of the sources of information and actors were often mentioned as components for trust. The findings highlight the importance for institutions and individual scientists to align with integrity values, and provide valuable insights for institutions, policymak</w:t>
      </w:r>
    </w:p>
    <w:p>
      <w:pPr/>
      <w:r>
        <w:rPr>
          <w:b/>
        </w:rPr>
        <w:t>POSSIBLE 2025:</w:t>
      </w:r>
      <w:r>
        <w:t xml:space="preserve"> Risks of gender communication strategies in the Public Sector : The European Union perspective — https://openalex.org/W7119366041</w:t>
      </w:r>
    </w:p>
    <w:p>
      <w:pPr/>
      <w:r>
        <w:rPr>
          <w:b/>
        </w:rPr>
        <w:t>Shared claim-specific concepts:</w:t>
      </w:r>
      <w:r>
        <w:t xml:space="preserve"> understand, society, sector, four; EU scope visible. This is a provisional connection, not an outcome finding.</w:t>
      </w:r>
    </w:p>
    <w:p>
      <w:pPr>
        <w:pStyle w:val="SourceNote"/>
      </w:pPr>
      <w:r>
        <w:rPr>
          <w:b/>
        </w:rPr>
        <w:t>Available abstract (not full text):</w:t>
      </w:r>
      <w:r>
        <w:t xml:space="preserve"> The article explores the risks of gender-sensitive communication in the public sector, with a focus on the European Union (EU) that adopted significant gender and inclusive community policies (e.g. the recent Gender Equality Strategy 2020-2025). The analysis is framed within a broader theoretical context, where public communication is understood as a strategic tool for strengthening democratic systems, fostering trust, and promoting social inclusion in an increasingly fragmented digital society. Theoretical perspectives on institutional public sector communication, inclusivity, intersectionality, and media polarization are considered to highlight the tensions between normative policy ambitions and the contested, often politicized, nature of gender public discourse in Europe.Against this background, the study aims to understand what kinds of European communication campaigns on gender issues are conducted, how they are disseminated across different platforms, and which risks emerge from the management of media and channels. Additionally, it seeks to examine how gender-related themes are framed and represented, and what risks may arise in terms of inclusivity and effectiveness.To achieve these objectives, the study considers four selected EU communication campaigns launched between 2020 and 2024. A qualitative approach is adopted, drawing on media content analysis and critical int</w:t>
      </w:r>
    </w:p>
    <w:p>
      <w:pPr/>
      <w:r>
        <w:rPr>
          <w:b/>
        </w:rPr>
        <w:t>POSSIBLE 2025:</w:t>
      </w:r>
      <w:r>
        <w:t xml:space="preserve"> CONTEMPORARY EUROPEAN CONCEPTS OF PUBLIC ADMINISTRATION IN THE CONTEXT OF DIGITAL TRANSFORMATION AND THEIR LEGAL FRAMEWORK — https://doi.org/10.36690/2674-5216-2025-1-99-109</w:t>
      </w:r>
    </w:p>
    <w:p>
      <w:pPr/>
      <w:r>
        <w:rPr>
          <w:b/>
        </w:rPr>
        <w:t>Shared claim-specific concepts:</w:t>
      </w:r>
      <w:r>
        <w:t xml:space="preserve"> aim, understand, sector; EU scope visible. This is a provisional connection, not an outcome finding.</w:t>
      </w:r>
    </w:p>
    <w:p>
      <w:pPr>
        <w:pStyle w:val="SourceNote"/>
      </w:pPr>
      <w:r>
        <w:rPr>
          <w:b/>
        </w:rPr>
        <w:t>Available abstract (not full text):</w:t>
      </w:r>
      <w:r>
        <w:t xml:space="preserve"> This article presents an in-depth exploration of conceptual and legal approaches to public administration reform in European countries amid the digital transformation of the public sector. The primary aim is to analyze how classical administrative traditions, the New Public Management paradigm, and the emerging model of Good Governance are evolving under the influence of digital technologies and to determine how legal frameworks support this transition. The study is grounded in the need to understand how institutional modernization can balance efficiency, accountability, and democratic legitimacy in rapidly changing information environments. The research applies a comparative legal and administrative methodology, synthesizing structural-functional analysis with systematization of legal norms and institutional practices. The analysis considers regulatory developments at both the European Union and national levels, as well as structural adjustments in public administration aimed at incorporating digital innovations. The methodology includes the classification of governance models, critical assessment of legislative instruments, and contextual evaluation of their operational impact in practice. The findings of the study reveal that the digital transformation of public administration in Europe does not replace traditional governance models but rather stimulates their hybridization.</w:t>
      </w:r>
    </w:p>
    <w:p>
      <w:pPr/>
      <w:r>
        <w:rPr>
          <w:b/>
        </w:rPr>
        <w:t>POSSIBLE 2024:</w:t>
      </w:r>
      <w:r>
        <w:t xml:space="preserve"> Government Analytics in Europe: Making Public Data Count — https://doi.org/10.1596/41610</w:t>
      </w:r>
    </w:p>
    <w:p>
      <w:pPr/>
      <w:r>
        <w:rPr>
          <w:b/>
        </w:rPr>
        <w:t>Shared claim-specific concepts:</w:t>
      </w:r>
      <w:r>
        <w:t xml:space="preserve"> aim, understand; EU scope visible. This is a provisional connection, not an outcome finding.</w:t>
      </w:r>
    </w:p>
    <w:p>
      <w:pPr>
        <w:pStyle w:val="SourceNote"/>
      </w:pPr>
      <w:r>
        <w:rPr>
          <w:b/>
        </w:rPr>
        <w:t>Available abstract (not full text):</w:t>
      </w:r>
      <w:r>
        <w:t xml:space="preserve"> This report is part of a collection examining how analytics using government microdata is revolutionizing public administration throughout the world. The collection is based on The Government Analytics Handbook, a comprehensive guide to using data to understand and improve government. The reports in this collection aim to help public servants apply lessons from the Handbook to their own administrations by describing the unique opportunities and challenges for government analytics that arise in different regions. No two regions, countries, administrations, or organizations are alike - that’s why using microdata to measure, understand, and improve government is so important! The general principle of the Handbook is as follows: governments across the world make thousands of personnel management decisions, procure millions of goods and services, and execute billions of processes each day. They are data rich. And yet there is little systematic practice to date that capitalizes on these data to make public administrations work better. This means that governments are missing out on data insights to save billions in procurement expenditures, recruit better talent into government, and identify sources of corruption - to name just a few! The Handbook seeks to change that. It presents frontier evidence and practitioner insights on how to leverage data to make governments work better. Cove</w:t>
      </w:r>
    </w:p>
    <w:p>
      <w:pPr/>
      <w:r>
        <w:rPr>
          <w:b/>
        </w:rPr>
        <w:t>POSSIBLE 2024:</w:t>
      </w:r>
      <w:r>
        <w:t xml:space="preserve"> Innovation at the Crossroads: How Public-Private Partnerships Drive Technological Development in Europe — https://doi.org/10.17721/apmv.2024.159.1.94-108</w:t>
      </w:r>
    </w:p>
    <w:p>
      <w:pPr/>
      <w:r>
        <w:rPr>
          <w:b/>
        </w:rPr>
        <w:t>Shared claim-specific concepts:</w:t>
      </w:r>
      <w:r>
        <w:t xml:space="preserve"> understand, sustainable, society, driving, sector, private; EU scope visible. This is a provisional connection, not an outcome finding.</w:t>
      </w:r>
    </w:p>
    <w:p>
      <w:pPr>
        <w:pStyle w:val="SourceNote"/>
      </w:pPr>
      <w:r>
        <w:rPr>
          <w:b/>
        </w:rPr>
        <w:t>Available abstract (not full text):</w:t>
      </w:r>
      <w:r>
        <w:t xml:space="preserve"> This article investigates the pivotal role of public-private partnerships (PPPs) in driving technological development across Europe, highlighting how the collaboration between public institutions and private enterprises serves as a catalyst for innovation and economic growth. By analyzing a range of successful case studies and conducting an extensive review of existing literature, this study identifies the key factors that contribute to the effectiveness of PPPs and their substantial impact on technological advancement. The research reveals that PPPs significantly enhance resource allocation, allowing for more efficient use of financial and human capital. They facilitate risk sharing, which encourages private sector participation in high-risk technological projects that might otherwise lack sufficient funding or support. Moreover, PPPs promote knowledge transfer between the public and private sectors, fostering a culture of innovation and enabling the rapid deployment of new technologies. Different models of PPPs are examined to understand their implementation in various contexts, shedding light on the diverse approaches taken by European countries. The study also addresses the challenges faced in establishing and maintaining PPPs, such as regulatory hurdles, financial constraints, and coordination issues. Strategies for overcoming these barriers are discussed, providing practi</w:t>
      </w:r>
    </w:p>
    <w:p>
      <w:pPr/>
      <w:r>
        <w:rPr>
          <w:b/>
        </w:rPr>
        <w:t>POSSIBLE 2024:</w:t>
      </w:r>
      <w:r>
        <w:t xml:space="preserve"> Exploring how Europeans understand solidarity in the EU — https://doi.org/10.4324/9781032690902-3</w:t>
      </w:r>
    </w:p>
    <w:p>
      <w:pPr/>
      <w:r>
        <w:rPr>
          <w:b/>
        </w:rPr>
        <w:t>Shared claim-specific concepts:</w:t>
      </w:r>
      <w:r>
        <w:t xml:space="preserve"> understand, about, three; EU scope visible. This is a provisional connection, not an outcome finding.</w:t>
      </w:r>
    </w:p>
    <w:p>
      <w:pPr>
        <w:pStyle w:val="SourceNote"/>
      </w:pPr>
      <w:r>
        <w:rPr>
          <w:b/>
        </w:rPr>
        <w:t>Available abstract (not full text):</w:t>
      </w:r>
      <w:r>
        <w:t xml:space="preserve"> This chapter explains the research design and the decisions about the methodology made for the empirical research. It also reflects on the challenges encountered during the research process. It justifies the selection of the nine countries in which the focus group discussions were conducted; explains the rationale of having three sociodemographic groups for each country case involved in the focus group discussions and outlines the criteria for the selection of the participants. Furthermore, it documents how the focus group discussions were prepared and implemented, providing details about the development of the discussion guide, recruitment of the participants, modes of the discussions and other relevant aspects of the fieldwork. The chapter also discusses the process of recording, transcription and translation of the focus group discussions and provides characteristics of the text corpus produced. A substantial part of the chapter is dedicated to an explanation of the analytical approach and the analysis of the translated transcripts of the focus group discussions. It presents the development of the coding frame, coding procedure and assessment of intercoder agreement. It finally outlines the key parameters of the comparative analysis and the forms of its findings.</w:t>
      </w:r>
    </w:p>
    <w:p>
      <w:pPr/>
      <w:r>
        <w:rPr>
          <w:b/>
        </w:rPr>
        <w:t>POSSIBLE 2024:</w:t>
      </w:r>
      <w:r>
        <w:t xml:space="preserve"> How Europeans Understand Solidarity, Reciprocity and Fairness in the EU — https://openalex.org/W7137668820</w:t>
      </w:r>
    </w:p>
    <w:p>
      <w:pPr/>
      <w:r>
        <w:rPr>
          <w:b/>
        </w:rPr>
        <w:t>Shared claim-specific concepts:</w:t>
      </w:r>
      <w:r>
        <w:t xml:space="preserve"> understand, society, about; EU scope visible. This is a provisional connection, not an outcome finding.</w:t>
      </w:r>
    </w:p>
    <w:p>
      <w:pPr>
        <w:pStyle w:val="SourceNote"/>
      </w:pPr>
      <w:r>
        <w:rPr>
          <w:b/>
        </w:rPr>
        <w:t>Available abstract (not full text):</w:t>
      </w:r>
      <w:r>
        <w:t xml:space="preserve"> This edited book sheds new light on the understanding of solidarity, reciprocity and fairness from the perspective of European Union (EU) citizens and, with this, how cohesion in the EU can be achieved. Drawing on extensive focus group research across nine countries, the book presents the results of this large project to assess what citizens think they owe their fellow Europeans in other parts of the EU. It brings together participants from different social milieus – highly qualified professionals, low-paid and unemployed persons and young adults – and reveals much about how average citizens think and talk about the issues and crises facing the EU, such as the reasons behind their beliefs and the statements they develop when discussing such issues, and therefore, provides a deeper insight into how exactly EU citizens understand solidarity, reciprocity and fairness when it comes to transborder relations and their attitudes towards EU cohesion. This book will be of key interest to scholars and students in European studies/politics, and more broadly to comparative politics, international relations, civil society organisations and the wider social sciences.</w:t>
      </w:r>
    </w:p>
    <w:p>
      <w:pPr/>
      <w:r>
        <w:rPr>
          <w:b/>
        </w:rPr>
        <w:t>POSSIBLE 2024:</w:t>
      </w:r>
      <w:r>
        <w:t xml:space="preserve"> Did we achieve what we aimed for? Assessing the outcomes of a human–carnivore conflict mitigation and coexistence project in Europe — https://doi.org/10.1002/wlb3.01270</w:t>
      </w:r>
    </w:p>
    <w:p>
      <w:pPr/>
      <w:r>
        <w:rPr>
          <w:b/>
        </w:rPr>
        <w:t>Shared claim-specific concepts:</w:t>
      </w:r>
      <w:r>
        <w:t xml:space="preserve"> sector, three, among; EU scope visible. This is a provisional connection, not an outcome finding.</w:t>
      </w:r>
    </w:p>
    <w:p>
      <w:pPr>
        <w:pStyle w:val="SourceNote"/>
      </w:pPr>
      <w:r>
        <w:rPr>
          <w:b/>
        </w:rPr>
        <w:t>Available abstract (not full text):</w:t>
      </w:r>
      <w:r>
        <w:t xml:space="preserve"> Monitoring and evaluation practices, demanded by nature conservation project donors, often focus on practical outputs, leaving the assessment of intended short and medium‐term outcomes and long‐term impacts challenging. This study employs a merger of the conflict intervention triangle model (CITM) and its three dimensions relationship, substance, and process, together with the logical framework approach (LFA) within the context of a human–wildlife conflict and coexistence (HWCC) project (LIFE EuroLargeCarnivores) in order to assess project correlated outcomes on stakeholder level over time. Two stakeholder surveys were conducted across 14 project partner countries, capturing baseline perceptions in 2018 and assessing changes in 2021. To assess the actual influence of the project with its focus on conflict mitigation, we applied an ex post counterfactual analysis. Results indicate positive developments in all dimensions of the CITM. The influence of the project is demonstrated by statistically significant differences in response behavior between participants and non‐participants of project interventions. The overall outcome regarding beliefs in satisfactory future management of increasing large carnivore populations, is more intricate. Significant differences are observed among three selected main stakeholder categories over the project's timeframe. While nature conservationists</w:t>
      </w:r>
    </w:p>
    <w:p>
      <w:pPr/>
      <w:r>
        <w:rPr>
          <w:b/>
        </w:rPr>
        <w:t>POSSIBLE 2024:</w:t>
      </w:r>
      <w:r>
        <w:t xml:space="preserve"> Incidence of symptomatic Lyme borreliosis in nine European countries — https://doi.org/10.1016/j.ijid.2024.107242</w:t>
      </w:r>
    </w:p>
    <w:p>
      <w:pPr/>
      <w:r>
        <w:rPr>
          <w:b/>
        </w:rPr>
        <w:t>Shared claim-specific concepts:</w:t>
      </w:r>
      <w:r>
        <w:t xml:space="preserve"> understand, several; EU scope visible. This is a provisional connection, not an outcome finding.</w:t>
      </w:r>
    </w:p>
    <w:p>
      <w:pPr>
        <w:pStyle w:val="SourceNote"/>
      </w:pPr>
      <w:r>
        <w:rPr>
          <w:b/>
        </w:rPr>
        <w:t>Available abstract (not full text):</w:t>
      </w:r>
      <w:r>
        <w:t xml:space="preserve"> OBJECTIVES: To better understand the Lyme borreliosis (LB) burden in Europe, we aimed to estimate the incidence of symptomatic Borrelia burgdorferi sensu lato (Bbsl) infections after adjusting public health LB surveillance data for under-detection of symptomatic Bbsl infections. METHODS: Data from seroprevalence studies and estimates of the symptomatic proportion and duration of antibody detection in Bbsl-infected individuals, derived from reviews of the published literature, were used to adjust public health LB surveillance data to estimate the incidence of symptomatic Bbsl infection in nine European countries from 2018 to 2022. RESULTS: The prevalence of anti-Bbsl antibodies ranged from 2.3% in Romania to 9.4% in Germany. Under-detection multipliers varied across surveillance systems; using 10-year duration of antibody detection, multipliers were 2.4-10.5 in countries reporting all LB cases and 54.6-722.2 in countries reporting only Lyme neuroborreliosis cases. The incidence of symptomatic Bbsl infection adjusted for under-detection was highest in Finland, Germany, Norway, Poland, and Switzerland, intermediate in the Czech Republic and Denmark, and lowest in Ireland and Romania. CONCLUSION: Adjustment of LB surveillance for under-detection found a high incidence of symptomatic Bbsl infection in several European countries. Differences in LB surveillance systems should be consi</w:t>
      </w:r>
    </w:p>
    <w:p>
      <w:pPr/>
      <w:r>
        <w:rPr>
          <w:b/>
        </w:rPr>
        <w:t>POSSIBLE 2024:</w:t>
      </w:r>
      <w:r>
        <w:t xml:space="preserve"> Understanding public support for workplace diversity and antidiscrimination policies in Europe — https://doi.org/10.3389/fsoc.2024.1256751</w:t>
      </w:r>
    </w:p>
    <w:p>
      <w:pPr/>
      <w:r>
        <w:rPr>
          <w:b/>
        </w:rPr>
        <w:t>Shared claim-specific concepts:</w:t>
      </w:r>
      <w:r>
        <w:t xml:space="preserve"> society, about, three; EU scope visible. This is a provisional connection, not an outcome finding.</w:t>
      </w:r>
    </w:p>
    <w:p>
      <w:pPr>
        <w:pStyle w:val="SourceNote"/>
      </w:pPr>
      <w:r>
        <w:rPr>
          <w:b/>
        </w:rPr>
        <w:t>Available abstract (not full text):</w:t>
      </w:r>
      <w:r>
        <w:t xml:space="preserve"> Societal processes and public opinion can affect whether employers take action and which policy measures they choose to boost diversity, equal opportunities and inclusion, and to reduce discrimination in the workplace. Yet, public opinion regarding workplace diversity initiatives (other than affirmative action) has so far received little scholarly attention, especially in Europe. Consequently, we have very little evidence about how the general public feels about workplace diversity policies - particularly those that are more common or more often discussed in Europe - and about which factors shape public support for these workplace diversity initiatives. Yet, a better understanding of the patterns and antecedents of citizens' attitudes toward workplace diversity policies is of clear scientific and practical importance. Against this background, this study sheds light on public attitudes toward three different, commonly applied types of workplace diversity policies, and examines which individual-level and - innovatively - national-level conditions shape public support. To do so, we bring together insights from various different and so far largely disconnected strands of research and a range of theoretical perspectives. We use large-scale, representative survey data from two pooled waves of the Eurobarometer, covering 38,009 citizens across 26 European countries. We enrich these da</w:t>
      </w:r>
    </w:p>
    <w:p>
      <w:pPr>
        <w:pStyle w:val="Heading2"/>
      </w:pPr>
      <w:r>
        <w:t>668. Least cost energy system pathways towards 100% renewable energy in Ireland by 2050</w:t>
      </w:r>
    </w:p>
    <w:p>
      <w:pPr>
        <w:pStyle w:val="SourceNote"/>
      </w:pPr>
      <w:r>
        <w:rPr>
          <w:b/>
        </w:rPr>
        <w:t>Original source (2020):</w:t>
      </w:r>
      <w:r>
        <w:t xml:space="preserve"> https://doi.org/10.1016/j.energy.2020.118264</w:t>
      </w:r>
    </w:p>
    <w:p>
      <w:pPr/>
      <w:r>
        <w:t>Original wording (abstract; indexed_source_text_not_full_document_verified): This paper therefore undertakes a whole-system approach and explores optimal pathways towards 100% renewable energy by 2050. However, given the large future uncertainties, it is recommended that further policy considerations be given to pathways with high electrification levels as they are more robust towards uncertainties.</w:t>
      </w:r>
    </w:p>
    <w:p>
      <w:pPr/>
      <w:r>
        <w:rPr>
          <w:b/>
        </w:rPr>
        <w:t>POSSIBLE 2026:</w:t>
      </w:r>
      <w:r>
        <w:t xml:space="preserve"> Towards a decision-making framework for optimal vehicle lightweighting in the European towed caravan sector — https://doi.org/10.82444/warw.33913783</w:t>
      </w:r>
    </w:p>
    <w:p>
      <w:pPr/>
      <w:r>
        <w:rPr>
          <w:b/>
        </w:rPr>
        <w:t>Shared claim-specific concepts:</w:t>
      </w:r>
      <w:r>
        <w:t xml:space="preserve"> approach, optimal, energy, they; EU scope visible. This is a provisional connection, not an outcome finding.</w:t>
      </w:r>
    </w:p>
    <w:p>
      <w:pPr>
        <w:pStyle w:val="SourceNote"/>
      </w:pPr>
      <w:r>
        <w:rPr>
          <w:b/>
        </w:rPr>
        <w:t>Available abstract (not full text):</w:t>
      </w:r>
      <w:r>
        <w:t xml:space="preserve"> European leisure vehicle manufacturers have long strived to create lightweight towed caravan tourers as they offer many benefits to customers such as less fuel consumption per journey, opportunities for increased payloads and a better towing experience. The need for lightweight caravans is now greater than ever due to the advent of battery electric powertrains in tow cars, due to their limited towing capability and reduced range when towing heavy loads. Currently, there is no formal decision-making framework available for leisure vehicle manufacturers to reach optimal decisions when considering lightweighting initiatives. To address this problem this research has developed a novel decision-making model for leisure vehicle lightweighting, extending and enhancing previous work in the field of complexity management. The model has been created as four discrete steps through which caravan manufacturers can make well-considered and optimal decisions concerning their approach to lightweighting for both existing and future products. The model steps include three initial assessments: (1) product strategy and lifecycle, (2) technical, economical, and environmental benchmarking and (3) a macro environment assessment followed by a final step (4) in which guidelines for action are derived. The research also looked in detail at the key drivers for lightweighting initiatives using a focus gro</w:t>
      </w:r>
    </w:p>
    <w:p>
      <w:pPr/>
      <w:r>
        <w:rPr>
          <w:b/>
        </w:rPr>
        <w:t>POSSIBLE 2025:</w:t>
      </w:r>
      <w:r>
        <w:t xml:space="preserve"> Explore the optimal exercise intervention subtype for sarcopenia: a systematic review and Bayesian network meta-analysis — https://doi.org/10.1186/s12877-025-06529-w</w:t>
      </w:r>
    </w:p>
    <w:p>
      <w:pPr/>
      <w:r>
        <w:rPr>
          <w:b/>
        </w:rPr>
        <w:t>Shared claim-specific concepts:</w:t>
      </w:r>
      <w:r>
        <w:t xml:space="preserve"> optimal, however, uncertainties, high; EU scope not established. This is a provisional connection, not an outcome finding.</w:t>
      </w:r>
    </w:p>
    <w:p>
      <w:pPr>
        <w:pStyle w:val="SourceNote"/>
      </w:pPr>
      <w:r>
        <w:rPr>
          <w:b/>
        </w:rPr>
        <w:t>Available abstract (not full text):</w:t>
      </w:r>
      <w:r>
        <w:t xml:space="preserve"> PURPOSE: Exercise is the primary choice for managing age-related sarcopenia. However, many exercise intervention subtypes are currently used to manage age-related sarcopenia with little published evidence comparing their efficacy, meaning the optimal exercise intervention subtype for sarcopenia remains unclear. We performed a Bayesian network meta-analysis addressing these uncertainties. METHODS: We searched eight databases for literature through to 5 June 2023 to identify randomized controlled trials (RCTs) of exercise interventions for age-related sarcopenia. Skeletal muscle mass index (SMI), handgrip strength (HGS), knee extension strength (KES), gait speed (GS), chair rise test (CST) and time up and go test (TUGT) were used as outcomes. Effect estimates were expressed as standardized mean differences with 95% confidence intervals. We performed a Bayesian network meta-analysis using a random effects model and the R package gemtc to compare the relative efficacy of various exercise intervention subtypes. We also used surface under the cumulative ranking curve (SUCRA) to estimate relative treatment rankings. This systematic review is registered in PROSPERO, CRD42023474627. RESULTS: We included 37 RCTs with a total of 2322 subjects and 10 unique exercise intervention subtypes. Most RCTs (72.9%) displayed unclear risk of bias. According to the value of SUCRA, whole-body vibratio</w:t>
      </w:r>
    </w:p>
    <w:p>
      <w:pPr/>
      <w:r>
        <w:rPr>
          <w:b/>
        </w:rPr>
        <w:t>POSSIBLE 2024:</w:t>
      </w:r>
      <w:r>
        <w:t xml:space="preserve"> Autarky penalty versus system cost effects for Europe of large-scale renewable energy imports from North Africa — https://doi.org/10.1016/j.esr.2023.101289</w:t>
      </w:r>
    </w:p>
    <w:p>
      <w:pPr/>
      <w:r>
        <w:rPr>
          <w:b/>
        </w:rPr>
        <w:t>Shared claim-specific concepts:</w:t>
      </w:r>
      <w:r>
        <w:t xml:space="preserve"> renewable, energy; EU scope visible. This is a provisional connection, not an outcome finding.</w:t>
      </w:r>
    </w:p>
    <w:p>
      <w:pPr>
        <w:pStyle w:val="SourceNote"/>
      </w:pPr>
      <w:r>
        <w:rPr>
          <w:b/>
        </w:rPr>
        <w:t>Available abstract (not full text):</w:t>
      </w:r>
      <w:r>
        <w:t xml:space="preserve"> We quantify in more detail than earlier studies the cost trade-offs of establishing import-export links between Europe and North Africa for two quintessential energy carriers needed for the energy transition: electricity and hydrogen. Using the TIAM-ECN model, we show under what assumptions Europe will make a net energy system cost gain or, inversely, pay a net price for exploiting such interlinkages. We find that allowing for trade of renewable energy between Europe and North Africa substantially reduces the EU's domestic renewable energy capacity investments needed to implement its Green Deal and Fit for 55 Programme. In addition to creating import-export scenarios for electricity and hydrogen across the Mediterranean and investigating the cost implications of a European-African energy partnership until 2050, we perform a detailed sensitivity analysis regarding possible technological developments and sectoral shifts, as well as vis-à-vis potential cost, sectoral and technical asymmetries between Europe and North Africa. We introduce a new concept in energy analysis, autarky penalty, which is the price paid by a region for restricting energy trade with its neighbors. If domestic hydrogen production from solar and wind energy through electrolysis is constrained, Europe's autarky penalty may increase to 30 billion $ annually by 2050.</w:t>
      </w:r>
    </w:p>
    <w:p>
      <w:pPr/>
      <w:r>
        <w:rPr>
          <w:b/>
        </w:rPr>
        <w:t>POSSIBLE 2024:</w:t>
      </w:r>
      <w:r>
        <w:t xml:space="preserve"> Oncoplastic breast surgery in Europe — https://doi.org/10.21037/gs-23-380</w:t>
      </w:r>
    </w:p>
    <w:p>
      <w:pPr/>
      <w:r>
        <w:rPr>
          <w:b/>
        </w:rPr>
        <w:t>Shared claim-specific concepts:</w:t>
      </w:r>
      <w:r>
        <w:t xml:space="preserve"> therefore, however, high; EU scope visible. This is a provisional connection, not an outcome finding.</w:t>
      </w:r>
    </w:p>
    <w:p>
      <w:pPr>
        <w:pStyle w:val="SourceNote"/>
      </w:pPr>
      <w:r>
        <w:rPr>
          <w:b/>
        </w:rPr>
        <w:t>Available abstract (not full text):</w:t>
      </w:r>
      <w:r>
        <w:t xml:space="preserve"> Oncoplastic breast surgery (OPS) has become an integral part of breast cancer surgery for both breast conservation and mastectomies. In recent years, the emphasis on early detection and the advances in systemic and locoregional therapy has improved prognosis leading to an increased focus on survivorship and quality of life issues including patients' short and long-term aesthetic appearance as a key part of the surgical management. There is a significant variation across Europe in the type of specialist performing breast cancer surgery and the provision of OPS as such. In the traditional model, breast cancer care was provided by gynecologists in some countries, general surgeons, surgical oncologists, and breast surgeons in others. However recently, surgeons throughout Europe have extended their skill-base to include level 1 and 2 OPS and implant- and pedicle-flap based breast reconstruction. For breast surgeons to become proficient in these techniques, a standardized level of training and expertise is needed. The European Society of Mastology (EUSOMA) set standards for a specialist health professional in the field of breast cancer, the European Union of Medical Specialists (UEMS) examinations and the global curriculum that was developed by the American Society of Surgical Oncology (SSO) and the European Society of Surgical Oncology (ESSO) aims to improve standards of OPS practic</w:t>
      </w:r>
    </w:p>
    <w:p>
      <w:pPr/>
      <w:r>
        <w:rPr>
          <w:b/>
        </w:rPr>
        <w:t>POSSIBLE 2024:</w:t>
      </w:r>
      <w:r>
        <w:t xml:space="preserve"> Impact of Climate Change on Bird Migration Patterns in Europe — https://doi.org/10.47672/ajcs.1989</w:t>
      </w:r>
    </w:p>
    <w:p>
      <w:pPr/>
      <w:r>
        <w:rPr>
          <w:b/>
        </w:rPr>
        <w:t>Shared claim-specific concepts:</w:t>
      </w:r>
      <w:r>
        <w:t xml:space="preserve"> optimal, they; EU scope visible. This is a provisional connection, not an outcome finding.</w:t>
      </w:r>
    </w:p>
    <w:p>
      <w:pPr>
        <w:pStyle w:val="SourceNote"/>
      </w:pPr>
      <w:r>
        <w:rPr>
          <w:b/>
        </w:rPr>
        <w:t>Available abstract (not full text):</w:t>
      </w:r>
      <w:r>
        <w:t xml:space="preserve"> Purpose: The aim of the study was to assess the impact of climate change on bird migration patterns in Europe. Methodology: This study adopted a desk methodology. A desk study research design is commonly known as secondary data collection. This is basically collecting data from existing resources preferably because of its low cost advantage as compared to a field research. Our current study looked into already published studies and reports as the data was easily accessed through online journals and libraries. Findings: Rising temperatures, changes in precipitation patterns, and habitat loss are among the key factors affecting migratory birds. Warmer temperatures are causing shifts in the timing of migration, with birds starting their journeys earlier or delaying them. Some species are extending their ranges northward as they seek suitable habitats, while others are altering their routes or shortening their migration distances. These changes can disrupt established ecological relationships, leading to mismatches in timing with food availability and breeding cycles. Additionally, altered migration patterns may pose challenges for conservation efforts, as traditional migration routes and stopover sites become less reliable. Implications to Theory, Practice and Policy: Optimal migration theory, resource phenology theory and habitat suitability theory may be used to anchor future st</w:t>
      </w:r>
    </w:p>
    <w:p>
      <w:pPr/>
      <w:r>
        <w:rPr>
          <w:b/>
        </w:rPr>
        <w:t>POSSIBLE 2024:</w:t>
      </w:r>
      <w:r>
        <w:t xml:space="preserve"> Whole systems approaches to diet and healthy weight: A scoping review of reviews — https://doi.org/10.1371/journal.pone.0292945</w:t>
      </w:r>
    </w:p>
    <w:p>
      <w:pPr/>
      <w:r>
        <w:rPr>
          <w:b/>
        </w:rPr>
        <w:t>Shared claim-specific concepts:</w:t>
      </w:r>
      <w:r>
        <w:t xml:space="preserve"> approach, further, levels, robust; EU scope not established. This is a provisional connection, not an outcome finding.</w:t>
      </w:r>
    </w:p>
    <w:p>
      <w:pPr>
        <w:pStyle w:val="SourceNote"/>
      </w:pPr>
      <w:r>
        <w:rPr>
          <w:b/>
        </w:rPr>
        <w:t>Available abstract (not full text):</w:t>
      </w:r>
      <w:r>
        <w:t xml:space="preserve"> BACKGROUND: Obesity is a global epidemic affecting all age groups, populations, and income levels across continents, though is known to disproportionately affect socioeconomically disadvantaged populations. The causes of obesity are complex, informed by diet and weight practices, but shaped by social, commercial, and environmental factors and government policy. Consequently, a Whole System Approach (WSA)-which considers the many causes of obesity and shifts the focus away from individuals as points of intervention and puts an emphasis on understanding and improving the system in which people live-is required. This scoping review of reviews aims to: determine how WSAs to diet and healthy weight have been implemented and evaluated nationally and internationally; to determine what models or theories have been used to implement WSAs; describe how WSAs have been evaluated; determine if WSAs are effective; and to identify the contribution of the public and/or service users in the development of WSAs. METHOD: Systematic searches were carried out using CINAHL, Scopus, PsycINFO (ProQuest), the Cochrane Library, and MEDLINE. Included review papers were those that focused on the application of a whole system approach to diet and/or healthy weight, and/or reported the theory/model used to implement or simulate this approach. Databases were searched from 1995 to March 2022 using a combinati</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undertakes, approach, renewable, given, uncertainties;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2023:</w:t>
      </w:r>
      <w:r>
        <w:t xml:space="preserve"> Meta-evaluation of a whole systems programme, ActEarly: A study protocol — https://doi.org/10.1371/journal.pone.0280696</w:t>
      </w:r>
    </w:p>
    <w:p>
      <w:pPr/>
      <w:r>
        <w:rPr>
          <w:b/>
        </w:rPr>
        <w:t>Shared claim-specific concepts:</w:t>
      </w:r>
      <w:r>
        <w:t xml:space="preserve"> large, high, levels; EU scope not established. This is a provisional connection, not an outcome finding.</w:t>
      </w:r>
    </w:p>
    <w:p>
      <w:pPr>
        <w:pStyle w:val="SourceNote"/>
      </w:pPr>
      <w:r>
        <w:rPr>
          <w:b/>
        </w:rPr>
        <w:t>Available abstract (not full text):</w:t>
      </w:r>
      <w:r>
        <w:t xml:space="preserve"> INTRODUCTION: Living in an area with high levels of child poverty predisposes children to poorer mental and physical health. ActEarly is a 5-year research programme that comprises a large number of interventions (&gt;20) with citizen science and co-production embedded. It aims to improve the health and well-being of children and families living in two areas of the UK with high levels of deprivation; Bradford in West Yorkshire, and the London Borough of Tower Hamlets. This protocol outlines the meta-evaluation (an evaluation of evaluations) of the ActEarly programme from a systems perspective, where individual interventions are viewed as events in the wider policy system across the two geographical areas. It includes investigating the programme's impact on early life health and well-being outcomes, interdisciplinary prevention research collaboration and capacity building, and local and national decision making. METHODS: The ActEarly meta-evaluation will follow and adapt the five iterative stages of the 'Evaluation of Programmes in Complex Adaptive Systems' (ENCOMPASS) framework for evaluation of public health programmes in complex adaptive systems. Theory-based and mixed-methods approaches will be used to investigate the fidelity of the ActEarly research programme, and whether, why and how ActEarly contributes to changes in the policy system, and whether alternative explanations ca</w:t>
      </w:r>
    </w:p>
    <w:p>
      <w:pPr/>
      <w:r>
        <w:rPr>
          <w:b/>
        </w:rPr>
        <w:t>POSSIBLE 2022:</w:t>
      </w:r>
      <w:r>
        <w:t xml:space="preserve"> Risks in the European Transmission System and a Novel Restoration Strategy for a Power System after a Major Blackout — https://doi.org/10.3390/app13010083</w:t>
      </w:r>
    </w:p>
    <w:p>
      <w:pPr/>
      <w:r>
        <w:rPr>
          <w:b/>
        </w:rPr>
        <w:t>Shared claim-specific concepts:</w:t>
      </w:r>
      <w:r>
        <w:t xml:space="preserve"> renewable, energy, given, high, they; EU scope visible. This is a provisional connection, not an outcome finding.</w:t>
      </w:r>
    </w:p>
    <w:p>
      <w:pPr>
        <w:pStyle w:val="SourceNote"/>
      </w:pPr>
      <w:r>
        <w:rPr>
          <w:b/>
        </w:rPr>
        <w:t>Available abstract (not full text):</w:t>
      </w:r>
      <w:r>
        <w:t xml:space="preserve"> Many citizens of European countries may soon experience a long and extensive blackout. The lack of predictability in the output of renewable energy sources, aggravating the problem of consistently matching supply with demand on electric grids, along with cyber-attacks or even worse unpredictable incidents in the electric grid are some factors that may mean a blackout is much more likely than in previous years. This paper covers the possibility of an extensive blackout in a country of the interconnected European electricity transmission system or, even worse, a blackout in a wide area of the European continent. The topic of this paper becomes even more important and timely given the energy crisis due to the war in Ukraine, which has made the possibility of a blackout in the winter of 2022–2023 high. First, the major European blackouts that occurred in the past 20 years are presented, examining their causes. On 8 January 2021, the European electricity grid was divided into two separate sections, with different frequencies; some additional scenarios are considered which, if they had happened, could have led to blackouts in some European countries or, even worse, a wide area of Europe. This work also examines how to avoid such an eventuality, as well as how European TSOs should react in case a blackout occurs. Focused on the fast and reliable supply of consumers after a blackout, a</w:t>
      </w:r>
    </w:p>
    <w:p>
      <w:pPr/>
      <w:r>
        <w:rPr>
          <w:b/>
        </w:rPr>
        <w:t>POSSIBLE 2022:</w:t>
      </w:r>
      <w:r>
        <w:t xml:space="preserve"> Precedent in the system of the European Convention on Human Rights — https://doi.org/10.4324/9781003264262-15</w:t>
      </w:r>
    </w:p>
    <w:p>
      <w:pPr/>
      <w:r>
        <w:rPr>
          <w:b/>
        </w:rPr>
        <w:t>Shared claim-specific concepts:</w:t>
      </w:r>
      <w:r>
        <w:t xml:space="preserve"> approach, considerations, they; EU scope visible. This is a provisional connection, not an outcome finding.</w:t>
      </w:r>
    </w:p>
    <w:p>
      <w:pPr>
        <w:pStyle w:val="SourceNote"/>
      </w:pPr>
      <w:r>
        <w:rPr>
          <w:b/>
        </w:rPr>
        <w:t>Available abstract (not full text):</w:t>
      </w:r>
      <w:r>
        <w:t xml:space="preserve"> The purpose of the present paper is to briefly reassess the role of the ECtHR’s case law in its own case law and the approach developed in this respect by the Court. The Court systematically refers to the earlier case law and usually presents its judgments and decisions as a consequence of principles formulated in earlier case law. Following precedent is a matter of free choice of the Court, justified by two main considerations: 1) legal certainty and foreseeability and 2) equality before the law. Following precedents is the default rule, while departing from precedents is a permissible exception requiring a ‘good reason’. At the same time, the Court differentiates the precedential value of its judgments and decisions. Numerous judges feel bound to follow the Grand Chamber case law, even if they disagree with it, whereas others adopt the opposite viewpoint. Separate opinions usually focus on questions related to the correct identification and interpretation of the relevant case law. The Court develops its case law, usually without overtly departing from precedents. The developments often reflect societal change (under Article 8 of the ECHR), whereas the approach of the ECtHR seems more conservative in respect of more ‘technical’ legal issues.</w:t>
      </w:r>
    </w:p>
    <w:p>
      <w:pPr/>
      <w:r>
        <w:rPr>
          <w:b/>
        </w:rPr>
        <w:t>POSSIBLE 2021:</w:t>
      </w:r>
      <w:r>
        <w:t xml:space="preserve"> Insights on the environmental management system of the European port sector — https://doi.org/10.1016/j.scitotenv.2021.150550</w:t>
      </w:r>
    </w:p>
    <w:p>
      <w:pPr/>
      <w:r>
        <w:rPr>
          <w:b/>
        </w:rPr>
        <w:t>Shared claim-specific concepts:</w:t>
      </w:r>
      <w:r>
        <w:t xml:space="preserve"> given, they; EU scope visible. This is a provisional connection, not an outcome finding.</w:t>
      </w:r>
    </w:p>
    <w:p>
      <w:pPr>
        <w:pStyle w:val="SourceNote"/>
      </w:pPr>
      <w:r>
        <w:rPr>
          <w:b/>
        </w:rPr>
        <w:t>Available abstract (not full text):</w:t>
      </w:r>
      <w:r>
        <w:t xml:space="preserve"> This research focusses on assessing the environmental performance of European Ports based on a wide representation of EcoPorts members. The data is extracted from the Self-Diagnosis Method (SDM), a concise checklist against which port managers can self-assess the environmental management of their port in relation to the performance of the EcoPorts membership. A total number of 97 ports from 18 different European Maritime States contributed to this evaluation. They have answered questions related to the main components of internationally recognized Environmental Management System (EMS) standards. Similar periodic assessments have been carried out since 2013, allowing for the identification of benchmark performance. The geographical representation and characteristics of the participating ports are given along with the perceived ranking of priority environmental issues based on regular reviews. Air quality has been the top environmental priority for many years, followed by climate change, which has risen rapidly to the second position. Most of the ports have an environmental policy in place (96%) and a compilation of an inventory of significant environmental aspects (92%). Transparency is also very important to ports, with 91% of ports communicating their environmental policy to stakeholders, and 86% of ports making it publicly available on their website. Around 80% of ports have </w:t>
      </w:r>
    </w:p>
    <w:p>
      <w:pPr/>
      <w:r>
        <w:rPr>
          <w:b/>
        </w:rPr>
        <w:t>POSSIBLE 2021:</w:t>
      </w:r>
      <w:r>
        <w:t xml:space="preserve"> Governing displaced migration in Europe: housing and the role of the “local” — https://doi.org/10.1186/s40878-020-00209-x</w:t>
      </w:r>
    </w:p>
    <w:p>
      <w:pPr/>
      <w:r>
        <w:rPr>
          <w:b/>
        </w:rPr>
        <w:t>Shared claim-specific concepts:</w:t>
      </w:r>
      <w:r>
        <w:t xml:space="preserve"> approach, they; EU scope visible. This is a provisional connection, not an outcome finding.</w:t>
      </w:r>
    </w:p>
    <w:p>
      <w:pPr>
        <w:pStyle w:val="SourceNote"/>
      </w:pPr>
      <w:r>
        <w:rPr>
          <w:b/>
        </w:rPr>
        <w:t>Available abstract (not full text):</w:t>
      </w:r>
      <w:r>
        <w:t xml:space="preserve"> This article will explore the extent to which a focus on the 'local' can tell us something meaningful about recent developments in the governance of displaced migrants and refugees. Taking a multi-sited approach spanning cases in the south and north of Europe, we consider how the challenge of housing and accommodation in particular, a core sector of migrant reception and integration, can shed light on the ways local and city level approaches may negotiate, and sometimes diverge from, national level policy and rhetoric. While it can be said that despite variation, local authorities are by definition ultimately 'always subordinate' (Emilsson, Comparative Migration Studies, 3: 1-17, 2015: 4), they can also show evidence of 'decoupling' across geographies of policy delivery (Pope and Meyer, European Journal of Cultural and Political Sociology, 3: 280-305, 2016: 290). This article traces how possible local variations in different European cases are patterned by ground-level politics, local strategic networks, and pre-existing economic resources in a manner that is empirically detailed through the study of housing.</w:t>
      </w:r>
    </w:p>
    <w:p>
      <w:pPr>
        <w:pStyle w:val="Heading2"/>
      </w:pPr>
      <w:r>
        <w:t>669. Long-term vision of rural areas in Hungary, focusing on foresights</w:t>
      </w:r>
    </w:p>
    <w:p>
      <w:pPr>
        <w:pStyle w:val="SourceNote"/>
      </w:pPr>
      <w:r>
        <w:rPr>
          <w:b/>
        </w:rPr>
        <w:t>Original source (2020):</w:t>
      </w:r>
      <w:r>
        <w:t xml:space="preserve"> https://doi.org/10.22004/ag.econ.314094</w:t>
      </w:r>
    </w:p>
    <w:p>
      <w:pPr/>
      <w:r>
        <w:t>Original wording (abstract; indexed_source_text_not_full_document_verified): The aim of the Hungarian research team was to identify the current and likely trends for the Hungarian rural areas and to point out key challenges, opportunities, enablers and barriers in rural development in terms of digitalisation up to 2040. Among the results, it is worth mentioning that digitisation and digitalisation will fundamentally change how rural areas operate including economic, environmental and social dimensions.</w:t>
      </w:r>
    </w:p>
    <w:p>
      <w:pPr/>
      <w:r>
        <w:rPr>
          <w:b/>
        </w:rPr>
        <w:t>POSSIBLE 2026:</w:t>
      </w:r>
      <w:r>
        <w:t xml:space="preserve"> Central And Eastern European Companies in Africa. The Case of Hungarian Businesses — https://doi.org/10.18267/pr.2026.vol.2587.3</w:t>
      </w:r>
    </w:p>
    <w:p>
      <w:pPr/>
      <w:r>
        <w:rPr>
          <w:b/>
        </w:rPr>
        <w:t>Shared claim-specific concepts:</w:t>
      </w:r>
      <w:r>
        <w:t xml:space="preserve"> aim, hungarian, areas, key; EU scope visible. This is a provisional connection, not an outcome finding.</w:t>
      </w:r>
    </w:p>
    <w:p>
      <w:pPr>
        <w:pStyle w:val="SourceNote"/>
      </w:pPr>
      <w:r>
        <w:rPr>
          <w:b/>
        </w:rPr>
        <w:t>Available abstract (not full text):</w:t>
      </w:r>
      <w:r>
        <w:t xml:space="preserve"> The aim of this study is to explore the factors that determine whether Hungarian companies will succeed or fail in African markets.The research was based on interviews with 28 Hungarian companies/enterprises, one export expert, and five foreign economic attachés and diplomats working in Africa, which mapped the motivations, strategies, and experiences of market entry.According to the results, market entry was primarily driven by the saturation of European markets, the need for growth and diversification, and the foreign policy direction of the "Southern Opening".The key to success can be traced back to four factors: market knowledge and preparedness, adaptability, trust-building, and long-term commitment.The majority of Hungarian companies entered through direct export or local distributors, while the main obstacles were in the areas of human resources, financing, cultural differences, infrastructure, and political risks.The research showed that long-term success requires a complex, integrated support system that provides financial, cultural, technological and political tools.Future research directions of the study include sector-specific studies, longitudinal analyses, comparisons across Central and Eastern European countries, and a deeper exploration of the effects of the political and diplomatic background.</w:t>
      </w:r>
    </w:p>
    <w:p>
      <w:pPr/>
      <w:r>
        <w:rPr>
          <w:b/>
        </w:rPr>
        <w:t>POSSIBLE 2026:</w:t>
      </w:r>
      <w:r>
        <w:t xml:space="preserve"> What drives population fluctuations of European ground squirrels in Hungary? — https://doi.org/10.1186/s12983-026-00608-3</w:t>
      </w:r>
    </w:p>
    <w:p>
      <w:pPr/>
      <w:r>
        <w:rPr>
          <w:b/>
        </w:rPr>
        <w:t>Shared claim-specific concepts:</w:t>
      </w:r>
      <w:r>
        <w:t xml:space="preserve"> hungarian, identify; EU scope visible. This is a provisional connection, not an outcome finding.</w:t>
      </w:r>
    </w:p>
    <w:p>
      <w:pPr>
        <w:pStyle w:val="SourceNote"/>
      </w:pPr>
      <w:r>
        <w:rPr>
          <w:b/>
        </w:rPr>
        <w:t>Available abstract (not full text):</w:t>
      </w:r>
      <w:r>
        <w:t xml:space="preserve"> BACKGROUND: Understanding and predicting the dynamics of rodent populations, particularly for endangered or pest species, requires knowledge of potential background factors. We collected long-term data on the abundance of European ground squirrels, Spermophilus citellus, in 64 colonies as part of the Hungarian Biodiversity Monitoring System to investigate the abiotic factors that could explain the spatial and temporal dynamics of populations in Hungary. We used information theory-based modelling and multi-model inference to investigate the effects of environmental and climate variables on relative population densities, using monitoring records of burrow counts as proxies for density collected annually between 2000 and 2018. We examined data carefully for any clues of inconsistencies, errors, or missing data, which resulted in 57% of the complete dataset. RESULTS: Our generalised additive models (GAM) with splines identified geographical location, year, and principal components reflecting winter temperature, precipitation, and summer temperature to affect population densities. Contour plots derived from the best GAM model uncovered increasing density in the Kiskunság and Kisalföld meso-regions with favourable water management characteristics and decreasing densities in the northern and southern regions, which in fact, cover floodplain of River Tisza and other flash-flood regions</w:t>
      </w:r>
    </w:p>
    <w:p>
      <w:pPr/>
      <w:r>
        <w:rPr>
          <w:b/>
        </w:rPr>
        <w:t>POSSIBLE 2026:</w:t>
      </w:r>
      <w:r>
        <w:t xml:space="preserve"> Banking Union membership and the quality of democracy in Central and Eastern Europe – the case of Hungary — https://doi.org/10.1080/23745118.2026.2706762</w:t>
      </w:r>
    </w:p>
    <w:p>
      <w:pPr/>
      <w:r>
        <w:rPr>
          <w:b/>
        </w:rPr>
        <w:t>Shared claim-specific concepts:</w:t>
      </w:r>
      <w:r>
        <w:t xml:space="preserve"> hungarian, areas, opportunities; EU scope visible. This is a provisional connection, not an outcome finding.</w:t>
      </w:r>
    </w:p>
    <w:p>
      <w:pPr>
        <w:pStyle w:val="SourceNote"/>
      </w:pPr>
      <w:r>
        <w:rPr>
          <w:b/>
        </w:rPr>
        <w:t>Available abstract (not full text):</w:t>
      </w:r>
      <w:r>
        <w:t xml:space="preserve"> This article examines the relationship between democratic backsliding and Eurozone integration through the case of the Banking Union (BU) and the Single Supervisory Mechanism. While existing literature has mainly emphasized the democratic costs of post-crisis Economic and Monetary Union governance, this study explores the opposite relationship: whether remaining outside the Eurozone and the BU may facilitate democratic deterioration. Drawing on Europeanisation theory, the article argues that BU membership may unintentionally strengthen democratic resilience by limiting supervisory home bias, reducing opportunities for regulatory capture, and constraining politically motivated intervention in the banking sector. Using process tracing, the article analyses European Union, European Central Bank, European Banking Authority, and national supervisory documents and applies the findings to the Hungarian case, supplemented by some Polish examples. The study identifies several supervisory areas where nationally controlled supervision may enable politically selective practices and support crony capitalism. In contrast, the Single Supervisory Mechanism’s supranational supervisory framework, multinational Joint Supervisory Teams, common methodologies, and transparency requirements reduce the scope for such practices. The article concludes that participation in the Banking Union may indirect</w:t>
      </w:r>
    </w:p>
    <w:p>
      <w:pPr/>
      <w:r>
        <w:rPr>
          <w:b/>
        </w:rPr>
        <w:t>POSSIBLE 2025:</w:t>
      </w:r>
      <w:r>
        <w:t xml:space="preserve"> Nutritional therapy of post-stroke dysphagia patients, with special reference to the role of dietitians in multidisciplinary teams: A Hungarian study — https://doi.org/10.1556/2066.2025.00068</w:t>
      </w:r>
    </w:p>
    <w:p>
      <w:pPr/>
      <w:r>
        <w:rPr>
          <w:b/>
        </w:rPr>
        <w:t>Shared claim-specific concepts:</w:t>
      </w:r>
      <w:r>
        <w:t xml:space="preserve"> aim, hungarian, out; EU scope visible. This is a provisional connection, not an outcome finding.</w:t>
      </w:r>
    </w:p>
    <w:p>
      <w:pPr>
        <w:pStyle w:val="SourceNote"/>
      </w:pPr>
      <w:r>
        <w:rPr>
          <w:b/>
        </w:rPr>
        <w:t>Available abstract (not full text):</w:t>
      </w:r>
      <w:r>
        <w:t xml:space="preserve"> Abstract Background In the European Union, it is estimated that the number of stroke patients will increase by 27% between 2017 and 2047, due to an ageing population and improved survival rates. The most common complications of acute stroke are malnutrition, aspiration and subsequent aspiration pneumonia, which is often fatal. Purpose The aim of this study was to assess dietitians' knowledge of the concept of dysphagia, its detection, and risk factors and nutritional options for post-stroke patients diagnosed with dysphagia. Materials/Methods An online questionnaire was developed for dietitians working in healthcare institutions. The inclusion criteria were working in a healthcare institution, dealing with people affected by the investigated condition in their daily work, and/or working with elderly people. The exclusion criterion was failure to meet any of the inclusion criteria. The questionnaire was available for completion between 9 September and 11 November 2020. Out of the total of 83 respondents, 19 did not meet the inclusion criteria. The questionnaire contained 12 questions aimed at assessing the knowledge, attitudes, and needs of dietitians working in Hungarian healthcare institutions, mainly with stroke patients, with respect to dysphagia, its complications, and diet. The questionnaire was distributed by the National Association of Hungarian Dietitians (MDOSZ) to its</w:t>
      </w:r>
    </w:p>
    <w:p>
      <w:pPr/>
      <w:r>
        <w:rPr>
          <w:b/>
        </w:rPr>
        <w:t>POSSIBLE 2025:</w:t>
      </w:r>
      <w:r>
        <w:t xml:space="preserve"> Entrepreneurial Student Teams and Start-up Project Continuance Intention at Hungarian Universities — https://doi.org/10.7595/management.fon.2025.0005</w:t>
      </w:r>
    </w:p>
    <w:p>
      <w:pPr/>
      <w:r>
        <w:rPr>
          <w:b/>
        </w:rPr>
        <w:t>Shared claim-specific concepts:</w:t>
      </w:r>
      <w:r>
        <w:t xml:space="preserve"> hungarian, team, identify, likely, challenges, among; EU scope not established. This is a provisional connection, not an outcome finding.</w:t>
      </w:r>
    </w:p>
    <w:p>
      <w:pPr>
        <w:pStyle w:val="SourceNote"/>
      </w:pPr>
      <w:r>
        <w:rPr>
          <w:b/>
        </w:rPr>
        <w:t>Available abstract (not full text):</w:t>
      </w:r>
      <w:r>
        <w:t xml:space="preserve"> Research Question: The study investigates into whether the characteristics of early-stage innovative student entrepreneurship projects, student team composition, and the intention of continuing the project are related at Hungarian universities. Motivation: Entrepreneurship has long been recognized as a vital driver of innovation, economic development, and societal progress. Within the educational landscape, fostering entrepreneurial skills among university students has become increasingly critical, particularly considering global challenges demanding creative solutions and innovative ventures. This study is motivated by the need to understand the dynamics of early-stage student entrepreneurship projects within the framework of the Hungarian Startup University Program (HSUP). Specifically, it seeks to explore the relationship between the intrinsic characteristics and dynamics of startup projects, such as team composition and skill diversity, and their likelihood of continued development. In addition, the research aims to identify the attributes of student teams that excel in entrepreneurial ventures. Idea: The Hungarian Startup University Program (HSUP) is a fully uniform, centrally managed programme that students from participating universities can take as an undergraduate course, receive ECR credits and earn scholarship for promising project ideas. Our investigation aims to sh</w:t>
      </w:r>
    </w:p>
    <w:p>
      <w:pPr/>
      <w:r>
        <w:rPr>
          <w:b/>
        </w:rPr>
        <w:t>POSSIBLE 2025:</w:t>
      </w:r>
      <w:r>
        <w:t xml:space="preserve"> Rethinking the strongest link: VAL, ratings, and team success in Hungarian basketball — https://doi.org/10.3389/fspor.2025.1658676</w:t>
      </w:r>
    </w:p>
    <w:p>
      <w:pPr/>
      <w:r>
        <w:rPr>
          <w:b/>
        </w:rPr>
        <w:t>Shared claim-specific concepts:</w:t>
      </w:r>
      <w:r>
        <w:t xml:space="preserve"> hungarian, team, among; EU scope not established. This is a provisional connection, not an outcome finding.</w:t>
      </w:r>
    </w:p>
    <w:p>
      <w:pPr>
        <w:pStyle w:val="SourceNote"/>
      </w:pPr>
      <w:r>
        <w:rPr>
          <w:b/>
        </w:rPr>
        <w:t>Available abstract (not full text):</w:t>
      </w:r>
      <w:r>
        <w:t xml:space="preserve"> Introduction: This study evaluates the impact of individual player performance-particularly the VAL rating-on team success in professional basketball. It examines whether basketball operates as a "strong-link" sport, where outcomes depend primarily on top-performing players. Methods: A quantitative analysis was conducted on the 2022/2023 Hungarian NB I/A men's league, using 21 offensive and defensive statistical indicators. Data were collected from official league sources and analyzed using IBM SPSS Statistics version 28.0. Results: Our findings reveal no significant correlation between individual VAL rankings and team standings. However, offensive and defensive ratings, as well as NET ratings (points scored over opponents per 100 possessions), were strongly associated with team performance, especially among foreign and young players. The VAL metric was more influenced by offensive than defensive performance. Limited playing time and experience may have affected the performance metrics of young players. Discussion: These results suggest that while basketball reflects strong-link sport characteristics, traditional metrics like VAL may not fully capture a player's contribution to team success. A more comprehensive approach-incorporating both offensive and defensive indicators-could offer a clearer evaluation of player impact. Future research should also explore psychological, tac</w:t>
      </w:r>
    </w:p>
    <w:p>
      <w:pPr/>
      <w:r>
        <w:rPr>
          <w:b/>
        </w:rPr>
        <w:t>POSSIBLE 2025:</w:t>
      </w:r>
      <w:r>
        <w:t xml:space="preserve"> The Central-European small town: interpretations, challenges and resilience in Hungary — https://doi.org/10.18690/rg.20.2.5201</w:t>
      </w:r>
    </w:p>
    <w:p>
      <w:pPr/>
      <w:r>
        <w:rPr>
          <w:b/>
        </w:rPr>
        <w:t>Shared claim-specific concepts:</w:t>
      </w:r>
      <w:r>
        <w:t xml:space="preserve"> rural, areas, challenges; EU scope visible. This is a provisional connection, not an outcome finding.</w:t>
      </w:r>
    </w:p>
    <w:p>
      <w:pPr>
        <w:pStyle w:val="SourceNote"/>
      </w:pPr>
      <w:r>
        <w:rPr>
          <w:b/>
        </w:rPr>
        <w:t>Available abstract (not full text):</w:t>
      </w:r>
      <w:r>
        <w:t xml:space="preserve"> Small towns are long-term stable elements of the urban network with established residential and service roles. Geographical research has often neglected them, and accordingly, certain conceptual issues require clarification. However, particularly in countries with low urbanisation, small towns play a significant role in the transformation and modernisation of rural areas. Nevertheless, the increasingly global scale of economic and social processes poses a considerable challenge to their traditional functions, reshaping their development framework. In this evolving context, the flexible adaptive capacity of small towns – defined as resilinece – becomes crucial. Alongside addressing globalisation challenges, this study outlines a cognitive resilience model that could also serve as the basis for a new planning practice.</w:t>
      </w:r>
    </w:p>
    <w:p>
      <w:pPr/>
      <w:r>
        <w:rPr>
          <w:b/>
        </w:rPr>
        <w:t>POSSIBLE 2025:</w:t>
      </w:r>
      <w:r>
        <w:t xml:space="preserve"> The European dimension in education in Hungarian primary school geography textbooks — https://doi.org/10.1177/14788047251318025</w:t>
      </w:r>
    </w:p>
    <w:p>
      <w:pPr/>
      <w:r>
        <w:rPr>
          <w:b/>
        </w:rPr>
        <w:t>Shared claim-specific concepts:</w:t>
      </w:r>
      <w:r>
        <w:t xml:space="preserve"> hungarian, areas, key, among; EU scope visible. This is a provisional connection, not an outcome finding.</w:t>
      </w:r>
    </w:p>
    <w:p>
      <w:pPr>
        <w:pStyle w:val="SourceNote"/>
      </w:pPr>
      <w:r>
        <w:rPr>
          <w:b/>
        </w:rPr>
        <w:t>Available abstract (not full text):</w:t>
      </w:r>
      <w:r>
        <w:t xml:space="preserve"> Despite Hungary's nearly quarter-century membership in the European Union (EU), less than half of its citizens hold a positive mental image of the EU. Education plays a crucial role in fostering and reinforcing a sense of European identity and awareness among students, with textbooks serving as key tools in shaping students’ understanding of European values, citizenship, and identity. This study aims to assess how European identity is represented and integrated into contemporary Hungarian primary school geography textbooks within the framework of the European dimensions in education. In the Hungarian public education system, only textbooks that have been prepared by the state may be ordered from the lists of textbooks for use in state schools. Consequently, these textbooks are significantly dependent on the National Core Curriculum (NCC), as they must comply with its standards, although differences in proportions may occur. The study employs content analysis to evaluate the reflection of European identity in regulatory documents (NCC, framework curricula) and across different grade levels and textbook versions, with a particular focus on the incorporation of the European Dimension in Education (EDE) indicators (Ledic et al., 2016). The textbooks were subjected to a systematic review to ascertain their implementation of EDE indicators. The findings suggest that while the textboo</w:t>
      </w:r>
    </w:p>
    <w:p>
      <w:pPr/>
      <w:r>
        <w:rPr>
          <w:b/>
        </w:rPr>
        <w:t>POSSIBLE 2025:</w:t>
      </w:r>
      <w:r>
        <w:t xml:space="preserve"> Protection of Human Rights under the European Convention on Human Rights and in Central Europe: Hungary — https://doi.org/10.46941/2025.2.11</w:t>
      </w:r>
    </w:p>
    <w:p>
      <w:pPr/>
      <w:r>
        <w:rPr>
          <w:b/>
        </w:rPr>
        <w:t>Shared claim-specific concepts:</w:t>
      </w:r>
      <w:r>
        <w:t xml:space="preserve"> current, key, challenges; EU scope visible. This is a provisional connection, not an outcome finding.</w:t>
      </w:r>
    </w:p>
    <w:p>
      <w:pPr>
        <w:pStyle w:val="SourceNote"/>
      </w:pPr>
      <w:r>
        <w:rPr>
          <w:b/>
        </w:rPr>
        <w:t>Available abstract (not full text):</w:t>
      </w:r>
      <w:r>
        <w:t xml:space="preserve"> This study examines the protection of human rights in Hungary, with particular attention to its evolving relationship with the European Convention on Human Rights (ECHR) and the Council of Europe. The analysis begins by outlining the historical developments of human rights in Hungary, emphasising key milestones that have shaped the country's constitutional and legislative framework during its democratic transition and beyond. This historical context is essential for understanding Hungary’s current human rights commitments. The analysis then turns to Hungary’s engagement with the Council of Europe, focusing on its ratification and implementation of core human rights conventions. These include Protocol No. 1 to the European Convention for the Prevention of Torture, the European Social Charter, and the Framework Convention for the Protection of National Minorities. These international treaties play a vital role in shaping Hungary’s human rights obligations and influencing the development of domestic legal standards. Further, the article addresses Hungary’s national implementation of the ECHR, illustrating how its provisions are reflected in the Fundamental Law and major legislative acts. Important law-making processes influenced by the ECHR are discussed, highlighting the impact of international human rights standards on domestic legislation. Additionally, it reviews landmark case</w:t>
      </w:r>
    </w:p>
    <w:p>
      <w:pPr/>
      <w:r>
        <w:rPr>
          <w:b/>
        </w:rPr>
        <w:t>POSSIBLE 2024:</w:t>
      </w:r>
      <w:r>
        <w:t xml:space="preserve"> Population of Europe : from a Hungarian perspective — https://doi.org/10.54237/profnet.2024.tbdecce_2</w:t>
      </w:r>
    </w:p>
    <w:p>
      <w:pPr/>
      <w:r>
        <w:rPr>
          <w:b/>
        </w:rPr>
        <w:t>Shared claim-specific concepts:</w:t>
      </w:r>
      <w:r>
        <w:t xml:space="preserve"> hungarian, identify, trends; EU scope visible. This is a provisional connection, not an outcome finding.</w:t>
      </w:r>
    </w:p>
    <w:p>
      <w:pPr>
        <w:pStyle w:val="SourceNote"/>
      </w:pPr>
      <w:r>
        <w:rPr>
          <w:b/>
        </w:rPr>
        <w:t>Available abstract (not full text):</w:t>
      </w:r>
      <w:r>
        <w:t xml:space="preserve"> Population-related questions, such as the population composition of a country, have been a concern for community leaders, professionals, and experts since the beginning of the formation of early societies. Over the last centuries, sociologists and demographers have conducted countless studies to identify the driving forces behind population trends, employing, for example, theories of demographic transitions and economics. At the regional level, the demographic situation is both specific and general, although there are marked differences not only between continents but also between countries within a continent. This is also the case in Europe. In general, we can see a strong and specific migration trend, with declining birth rates and total fertility rates. However, in some European countries, such as Hungary, the demographic picture over the last decade has differed from the overall population trends on the continent: fertility has risen, marriage rates are experiencing a renaissance, and migration has not been the solution to population issues. According to various United Nations estimates, Europe’s population is expected to decline in the coming decades. The consequences of this are somewhat noticeable today, and in those countries where they are felt, various policies are already being put in place to tackle – or try to ‘cure’ – this specific demographic ‘disease’. Since 201</w:t>
      </w:r>
    </w:p>
    <w:p>
      <w:pPr/>
      <w:r>
        <w:rPr>
          <w:b/>
        </w:rPr>
        <w:t>POSSIBLE 2024:</w:t>
      </w:r>
      <w:r>
        <w:t xml:space="preserve"> The Development of the Private Health Sector in Hungary in a European Context — https://doi.org/10.70147/c266978</w:t>
      </w:r>
    </w:p>
    <w:p>
      <w:pPr/>
      <w:r>
        <w:rPr>
          <w:b/>
        </w:rPr>
        <w:t>Shared claim-specific concepts:</w:t>
      </w:r>
      <w:r>
        <w:t xml:space="preserve"> aim, hungarian, among; EU scope visible. This is a provisional connection, not an outcome finding.</w:t>
      </w:r>
    </w:p>
    <w:p>
      <w:pPr>
        <w:pStyle w:val="SourceNote"/>
      </w:pPr>
      <w:r>
        <w:rPr>
          <w:b/>
        </w:rPr>
        <w:t>Available abstract (not full text):</w:t>
      </w:r>
      <w:r>
        <w:t xml:space="preserve"> The aim of this paper is to examine the situation of private healthcare providers in Hungary and their relationship with publicly funded healthcare. The private healthcare sector is growing significantly in Hungary and worldwide. As a percentage of GDP in Hungary, government spending on health has always been among the lowest in Europe, averaging 5% over the last 20 years. The Hungarian state-financed healthcare continues to operate on a single-payer national health insurance system. Therefore, private healthcare is financed exclusively by private insurance and/or out-of-pocket. In 2021, the Hungarian population spent HUF 420 billion on private outpatient and inpatient care. Based on 2021 balance sheet data in Hungary, 195 providers had an annual net turnover of more than HUF 100 million, with a combined net turnover of HUF 211 billion in 2021. The total number of full-time employees was 8336, with a total of 4 218 doctors (employed or contracted) in 114 specialties, which means that a parallel healthcare system has been set up along with public care. The joint management of public and private care capacities and the introduction of sector-neutral financing would improve access to publicly funded care. Widely available and transparent private health insurance schemes could reduce the population's out-of-pocket burden. It would also be essential to increase participation in heal</w:t>
      </w:r>
    </w:p>
    <w:p>
      <w:pPr/>
      <w:r>
        <w:rPr>
          <w:b/>
        </w:rPr>
        <w:t>POSSIBLE 2023:</w:t>
      </w:r>
      <w:r>
        <w:t xml:space="preserve"> Hungarian Historical Review — https://doi.org/10.38145/hunghist</w:t>
      </w:r>
    </w:p>
    <w:p>
      <w:pPr/>
      <w:r>
        <w:rPr>
          <w:b/>
        </w:rPr>
        <w:t>Shared claim-specific concepts:</w:t>
      </w:r>
      <w:r>
        <w:t xml:space="preserve"> hungarian, out; EU scope visible. This is a provisional connection, not an outcome finding.</w:t>
      </w:r>
    </w:p>
    <w:p>
      <w:pPr>
        <w:pStyle w:val="SourceNote"/>
      </w:pPr>
      <w:r>
        <w:rPr>
          <w:b/>
        </w:rPr>
        <w:t>Available abstract (not full text):</w:t>
      </w:r>
      <w:r>
        <w:t xml:space="preserve"> This article offers an overview of the early development of madhouses as an institutional framework for the custody and treatment of mentally ill persons, from the initial phase of comprehensive governmental health politics in Austria (the peak of the Enlightenment movement in the region in the late eighteenth century) until 1830, when a second phase, which had begun in 1815 and which bore witness, again, to the establishment of asylums for people suffering from mental disorders, came to an end with the foundation of an asylum in the city of Hall in Tyrol.The article outlines the establishment of such institutions for the accommodation, detention, and, partially, treatment of people seen as insane in the Austrian Hereditary Lands as a political and societal attempt to react to a rising number of individuals who were perceived as suffering from serious mental problems but whose families and communities either did not feel obliged to provide care for them or were simply not capable of treating them anymore in their respective localities.The article points out, as has been noted in the secondary literature, that all early madhouses in Vienna, Linz, Graz, and Salzburg operated primarily as institutions for the internment of persons perceived as mentally ill and posing a threat to themselves and others.The physicians involved intended to implement therapeutical activities, but this </w:t>
      </w:r>
    </w:p>
    <w:p>
      <w:pPr>
        <w:pStyle w:val="Heading2"/>
      </w:pPr>
      <w:r>
        <w:t>670. Macrofinancial linkages in Europe: Evidence from quantile local projections</w:t>
      </w:r>
    </w:p>
    <w:p>
      <w:pPr>
        <w:pStyle w:val="SourceNote"/>
      </w:pPr>
      <w:r>
        <w:rPr>
          <w:b/>
        </w:rPr>
        <w:t>Original source (2020):</w:t>
      </w:r>
      <w:r>
        <w:t xml:space="preserve"> https://doi.org/10.1002/ijfe.2080</w:t>
      </w:r>
    </w:p>
    <w:p>
      <w:pPr/>
      <w:r>
        <w:t>Original wording (abstract; indexed_source_text_not_full_document_verified): We find that global economic policy uncertainty index dampens the growth rates of industrial production in Austria, France, Italy, Luxembourg and Slovakia, which calls for specific measures to mitigate this adverse effect at the national level, for example, by curtailing yellow journalism, populist ideas and disbeliefs. Second, we pursue a hybrid econometric approach to capture a presumably nonlinear nature of these linkages by building on different quantiles of the data series and estimating impulse responses from smooth local projections (Barnichon and Brownlees, Review of Economics and Statistics , 101(3), 522–530, 2019).</w:t>
      </w:r>
    </w:p>
    <w:p>
      <w:pPr/>
      <w:r>
        <w:rPr>
          <w:b/>
        </w:rPr>
        <w:t>POSSIBLE 2026:</w:t>
      </w:r>
      <w:r>
        <w:t xml:space="preserve"> Global Europe 2.0: The economic potential of new EU Trade Agreements in an era of US protectionism — https://openalex.org/W7164620605</w:t>
      </w:r>
    </w:p>
    <w:p>
      <w:pPr/>
      <w:r>
        <w:rPr>
          <w:b/>
        </w:rPr>
        <w:t>Shared claim-specific concepts:</w:t>
      </w:r>
      <w:r>
        <w:t xml:space="preserve"> find, adverse, effect; EU scope visible. This is a provisional connection, not an outcome finding.</w:t>
      </w:r>
    </w:p>
    <w:p>
      <w:pPr>
        <w:pStyle w:val="SourceNote"/>
      </w:pPr>
      <w:r>
        <w:rPr>
          <w:b/>
        </w:rPr>
        <w:t>Available abstract (not full text):</w:t>
      </w:r>
      <w:r>
        <w:t xml:space="preserve"> The protectionist trade policy of the second Trump administration poses a significant challenge to the European economy, hitting export-oriented manufacturing particularly hard. Against this backdrop, this study quantifies the economic potential of a new European free trade initiative ("Global Europe 2.0") centered on new trade agreements with seven key trading partners: the Mercosur countries, India, the United Arab Emirates, Australia, Indonesia, Malaysia, and Thailand (the P7). Despite accounting for 13 percent of global merchandise imports, the P7's share in EU exports has stagnated over recent decades, pointing to untapped potential that new agreements could help unlock. Using the ifo Trade Model, a quantitative general equilibrium model, we simulate two scenarios: a baseline capturing the medium-term effects of current US tariff policy, and a scenario adding new EU-P7 trade agreements. We find that P7 agreements would more than offset the adverse effects of US protectionism, generating a net positive effect on EU economic activity. Depending on agreement depth, EU real GDP rises by 0.18 to 0.43 percent and total exports by 1.3 to 3.4 percent. Gains are broad-based across all 27 member states, and the turnaround is most striking for EU manufacturing.</w:t>
      </w:r>
    </w:p>
    <w:p>
      <w:pPr/>
      <w:r>
        <w:rPr>
          <w:b/>
        </w:rPr>
        <w:t>POSSIBLE 2026:</w:t>
      </w:r>
      <w:r>
        <w:t xml:space="preserve"> Extreme weather in Europe: Determinants and economic impact — https://doi.org/10.1016/j.euroecorev.2026.105327</w:t>
      </w:r>
    </w:p>
    <w:p>
      <w:pPr/>
      <w:r>
        <w:rPr>
          <w:b/>
        </w:rPr>
        <w:t>Shared claim-specific concepts:</w:t>
      </w:r>
      <w:r>
        <w:t xml:space="preserve"> index, measures, adverse; EU scope visible. This is a provisional connection, not an outcome finding.</w:t>
      </w:r>
    </w:p>
    <w:p>
      <w:pPr>
        <w:pStyle w:val="SourceNote"/>
      </w:pPr>
      <w:r>
        <w:rPr>
          <w:b/>
        </w:rPr>
        <w:t>Available abstract (not full text):</w:t>
      </w:r>
      <w:r>
        <w:t xml:space="preserve"> This paper investigates the relationship between anthropogenic greenhouse gas (GHG) emissions and extreme weather conditions in Europe using a novel panel regression trend–cycle decomposition approach. Using the European Extreme Events Climate Index (E3CI) and its seven subcomponents for 40 European countries since 1981, the study finds a significant statistical association between extreme weather deterioration and both the flow and the stock dimensions of global greenhouse gas emissions. Building on these results, dynamic panel regressions within an Autometrics and model-averaging framework reveal significant contractions in GDP growth determined by worsening climatological conditions. The largest effects are observed in the services sector, and extreme wind and precipitation events are the most damaging. Climate deterioration operates through both supply and demand channels – particularly via private spending and productivity – and contributes to structural economic divergence across Europe. Effective mitigation and sustainable economic development are the most powerful tools to counter these adverse effects, while adaptation and institutional improvements serve as second-best measures, particularly against wildfires and extreme temperatures.</w:t>
      </w:r>
    </w:p>
    <w:p>
      <w:pPr/>
      <w:r>
        <w:rPr>
          <w:b/>
        </w:rPr>
        <w:t>POSSIBLE 2026:</w:t>
      </w:r>
      <w:r>
        <w:t xml:space="preserve"> Economic specialization and heterogeneous temperature-economy relationships suggest net costs of climate change in Europe — https://doi.org/10.1038/s41467-026-73341-4</w:t>
      </w:r>
    </w:p>
    <w:p>
      <w:pPr/>
      <w:r>
        <w:rPr>
          <w:b/>
        </w:rPr>
        <w:t>Shared claim-specific concepts:</w:t>
      </w:r>
      <w:r>
        <w:t xml:space="preserve"> find, rates, national, level; EU scope visible. This is a provisional connection, not an outcome finding.</w:t>
      </w:r>
    </w:p>
    <w:p>
      <w:pPr>
        <w:pStyle w:val="SourceNote"/>
      </w:pPr>
      <w:r>
        <w:rPr>
          <w:b/>
        </w:rPr>
        <w:t>Available abstract (not full text):</w:t>
      </w:r>
      <w:r>
        <w:t xml:space="preserve"> Abstract Econometric analysis of the global impact of temperature fluctuations on Gross Domestic Product (GDP) suggests that higher temperatures harm warm countries, benefit cooler ones and the existence of a global "optimal" temperature1–3. However, aggregate temperature-GDP relationships are averages across space and sectors of the economy that mask heterogeneity, misrepresent the costs or benefits of temperature change and provide misleading guidance for mitigation and adaptation policies. Focusing on Europe, we use administrative district level data on the growth rate of Gross-Value Added (GVA) and GDP to estimate the impact of temperature on economic growth at the national, district, and industry levels. Unlike previous global studies, in Europe we find negative effects of warmer-than-average years on GVA and GDP in relatively cold districts (annual mean temperature 0 to 14°C) and positive effects in warmer regions (above 14 °C) warmer-than-average years, yet the opposite in the extremes (&lt; 0 °C and &gt; 20°C). Across Europe this U-shaped temperature-GDP growth relationship implies a -0.14 (95% CI: ± 0.16) percentage point change in economic growth, rather than a benefit of +0.16 (± 0.14) in1. Using RCP4.5 (median CMIP6), average annual growth rates change by between -0.07 (± 0.18) and -1.23 (±0.38) percentage points by 2100, depending on empirical specifications. Disaggregat</w:t>
      </w:r>
    </w:p>
    <w:p>
      <w:pPr/>
      <w:r>
        <w:rPr>
          <w:b/>
        </w:rPr>
        <w:t>POSSIBLE 2026:</w:t>
      </w:r>
      <w:r>
        <w:t xml:space="preserve"> Global uncertainty and trade resilience: the role of logistics performance in shaping export outcomes — evidence from Türkiye and the European Union — https://doi.org/10.3846/bm.2026.2524</w:t>
      </w:r>
    </w:p>
    <w:p>
      <w:pPr/>
      <w:r>
        <w:rPr>
          <w:b/>
        </w:rPr>
        <w:t>Shared claim-specific concepts:</w:t>
      </w:r>
      <w:r>
        <w:t xml:space="preserve"> uncertainty, index, measures, adverse; EU scope visible. This is a provisional connection, not an outcome finding.</w:t>
      </w:r>
    </w:p>
    <w:p>
      <w:pPr>
        <w:pStyle w:val="SourceNote"/>
      </w:pPr>
      <w:r>
        <w:rPr>
          <w:b/>
        </w:rPr>
        <w:t>Available abstract (not full text):</w:t>
      </w:r>
      <w:r>
        <w:t xml:space="preserve"> International trade has become increasingly exposed to global uncertainty arising from financial crises, policy shifts, geopolitical tensions, and health shocks, all of which disrupt supply chains and weaken cross-border economic integration. While a growing body of literature shows that uncertainty stresses the trade by raising costs and discouraging investment, its effects are not uniform across countries. Some economies demonstrate greater resilience, sustaining exports or recovering more rapidly from adverse shocks. This study examines whether logistics performance constitutes a key structural factor underpinning such resilience in international trade. Focusing on the Türkiye–European Union (EU) trade relationship over the period 2007–2024, the paper analyzes how global and EU-specific policy uncertainty affects bilateral export flows, whether strong logistics systems can diminish these negative effects. Employing a gravity model framework with bilateral panel data, the analysis incorporates multiple uncertainty indicators alongside two complementary measures of logistics performance, the Logistics Performance Index (LPI) and the Liner Shipping Connectivity Index (LSCI). The results provide evidence that heightened uncertainty significantly reduces Türkiye’s exports to the EU, while superior logistics performance directly enhances trade volumes. More importantly, the findin</w:t>
      </w:r>
    </w:p>
    <w:p>
      <w:pPr/>
      <w:r>
        <w:rPr>
          <w:b/>
        </w:rPr>
        <w:t>POSSIBLE 2026:</w:t>
      </w:r>
      <w:r>
        <w:t xml:space="preserve"> The Economic Impact of Russia's Invasion of Ukraine on European Countries – a SVAR Approach — https://doi.org/10.1111/roie.70064</w:t>
      </w:r>
    </w:p>
    <w:p>
      <w:pPr/>
      <w:r>
        <w:rPr>
          <w:b/>
        </w:rPr>
        <w:t>Shared claim-specific concepts:</w:t>
      </w:r>
      <w:r>
        <w:t xml:space="preserve"> find, france, italy, specific; EU scope visible. This is a provisional connection, not an outcome finding.</w:t>
      </w:r>
    </w:p>
    <w:p>
      <w:pPr>
        <w:pStyle w:val="SourceNote"/>
      </w:pPr>
      <w:r>
        <w:rPr>
          <w:b/>
        </w:rPr>
        <w:t>Available abstract (not full text):</w:t>
      </w:r>
      <w:r>
        <w:t xml:space="preserve"> ABSTRACT We quantify the economic impact of Russia's invasion of Ukraine on Germany, the United Kingdom, France, and Italy using data on historical geopolitical events. Employing a structural VAR approach based on zero, sign, and narrative sign restrictions, and accounting for regional shocks to capture country‐specific effects, our analysis reveals a drag on real economic activity and a significant increase in inflation due to the war. In a counterfactual scenario without the invasion, we find that consumer prices in European countries would have been 2.3% to 5.8% lower in 2023‐Q4. Additionally, global consumer prices would have risen 2.5% less, and energy prices would have been 24% lower. The war also triggered a significant decline in both global and local economic sentiment, resulting in lower consumer confidence and reduced global demand. Without the war, GDP in European countries could have been between 1.4% and 2.4% higher by the end of 2023.</w:t>
      </w:r>
    </w:p>
    <w:p>
      <w:pPr/>
      <w:r>
        <w:rPr>
          <w:b/>
        </w:rPr>
        <w:t>POSSIBLE 2025:</w:t>
      </w:r>
      <w:r>
        <w:t xml:space="preserve"> Global technology innovation: comparison of new broad-based index of financial development of Europe and Asia — https://doi.org/10.1186/s43093-025-00547-1</w:t>
      </w:r>
    </w:p>
    <w:p>
      <w:pPr/>
      <w:r>
        <w:rPr>
          <w:b/>
        </w:rPr>
        <w:t>Shared claim-specific concepts:</w:t>
      </w:r>
      <w:r>
        <w:t xml:space="preserve"> index, measures; EU scope visible. This is a provisional connection, not an outcome finding.</w:t>
      </w:r>
    </w:p>
    <w:p>
      <w:pPr>
        <w:pStyle w:val="SourceNote"/>
      </w:pPr>
      <w:r>
        <w:rPr>
          <w:b/>
        </w:rPr>
        <w:t>Available abstract (not full text):</w:t>
      </w:r>
      <w:r>
        <w:t xml:space="preserve"> Abstract Financial development plays a vital role in fostering economic growth, influencing financial institutions, markets, technological innovation, and gross domestic product (GDP). While prior research has extensively examined this relationship, traditional metrics such as the ratio of private credit to GDP and stock market capitalization to GDP fail to capture the multidimensional nature of financial development. To address this limitation, this study introduces nine comprehensive measures encompassing financial depth, access, and efficiency across financial institutions and markets. Using a dataset spanning 2019–2022, this study evaluates financial development indicators for countries listed from A to L in the International Monetary Fund database. The findings reveal a robust positive correlation between financial development and technological innovation, suggesting that enhanced financial infrastructure facilitates technological advancements. Moreover, the results indicate a significant positive relationship between technological innovation and GDP, reinforcing the argument that innovation serves as a catalyst for economic expansion. These findings underscore the critical role of financial development in not only promoting innovation but also in stimulating economic growth. The study carries important implications for policymakers, emphasizing the necessity of financial </w:t>
      </w:r>
    </w:p>
    <w:p>
      <w:pPr/>
      <w:r>
        <w:rPr>
          <w:b/>
        </w:rPr>
        <w:t>POSSIBLE 2025:</w:t>
      </w:r>
      <w:r>
        <w:t xml:space="preserve"> Pushed by markets, pulled by machines: Economic pressures and the backlash to the European Union — https://doi.org/10.1177/14651165251395305</w:t>
      </w:r>
    </w:p>
    <w:p>
      <w:pPr/>
      <w:r>
        <w:rPr>
          <w:b/>
        </w:rPr>
        <w:t>Shared claim-specific concepts:</w:t>
      </w:r>
      <w:r>
        <w:t xml:space="preserve"> mitigate, effect; EU scope visible. This is a provisional connection, not an outcome finding.</w:t>
      </w:r>
    </w:p>
    <w:p>
      <w:pPr>
        <w:pStyle w:val="SourceNote"/>
      </w:pPr>
      <w:r>
        <w:rPr>
          <w:b/>
        </w:rPr>
        <w:t>Available abstract (not full text):</w:t>
      </w:r>
      <w:r>
        <w:t xml:space="preserve"> Global economic integration and automation technologies destabilise employment and threaten workers’ economic security, yet their combined political effects remain understudied. Using data from the ninth wave of the European Social Survey, this study examines how automation risks, measured by routine-task intensity and export-driven market pressure, foster Euroscepticism. This study finds that while routineness alone has a modest effect, its combination with trade exposure significantly amplifies negative sentiment towards the European Union, especially among individuals who perceive society as unfair and support redistribution. These economic vulnerabilities not only fuel Euroscepticism but also increase support for withdrawal from the European Union. The findings highlight the need for policies that mitigate technology-driven displacement, particularly for workers with high routine-task intensity in export-oriented sectors, with reinforcing fairness and redistributive mechanisms to sustain support for European integration.</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find, uncertainty;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2024:</w:t>
      </w:r>
      <w:r>
        <w:t xml:space="preserve"> Effects of entrepreneurship and governance quality on global and regional economic performance: A pathway to sustainable development — https://doi.org/10.1002/sd.3267</w:t>
      </w:r>
    </w:p>
    <w:p>
      <w:pPr/>
      <w:r>
        <w:rPr>
          <w:b/>
        </w:rPr>
        <w:t>Shared claim-specific concepts:</w:t>
      </w:r>
      <w:r>
        <w:t xml:space="preserve"> find, adverse, effect; EU scope visible. This is a provisional connection, not an outcome finding.</w:t>
      </w:r>
    </w:p>
    <w:p>
      <w:pPr>
        <w:pStyle w:val="SourceNote"/>
      </w:pPr>
      <w:r>
        <w:rPr>
          <w:b/>
        </w:rPr>
        <w:t>Available abstract (not full text):</w:t>
      </w:r>
      <w:r>
        <w:t xml:space="preserve"> Abstract This study investigated the effects of entrepreneurship and governance quality on global and regional economic performance, and the moderating influence of governance quality on the entrepreneurship‐economic performance nexus. The study used a panel of 109 countries from 2010 to 2022. Prais‐Winsten regression, standard Fixed Effects regression with robust standard errors, Fixed Effects regression with Driscoll and Kraay standard errors, and the dynamic system GMM regression were used. We find that the unconditional effect of entrepreneurship on global economic performance is mainly negative, while governance quality predominantly exerts positive effect on global economic performance, but generally failed to moderate the adverse effect of entrepreneurship. Interestingly, we find regional disparities indicating that the patterns in Europe and Asia align with the global results, while the dynamics in the Americas show that the unconditional effect of entrepreneurship on economic performance is mainly positive and significant, with governance quality also exerting significant positive influence and reinforcing the positive effect of entrepreneurship. For Africa, we find that entrepreneurship is a potent driver of economic performance when it is measured using Total Early‐stage Entrepreneurial Activity and Entrepreneurial Employee Activity. We discussed the policy implicati</w:t>
      </w:r>
    </w:p>
    <w:p>
      <w:pPr/>
      <w:r>
        <w:rPr>
          <w:b/>
        </w:rPr>
        <w:t>POSSIBLE 2023:</w:t>
      </w:r>
      <w:r>
        <w:t xml:space="preserve"> SMART SPECIALIZATION STRATEGY AS AN INNOVATIVE BASIS OF GLOBAL ECONOMIC DEVELOPMENT: EUROPEAN EXPERIENCE — https://doi.org/10.20998/2519-4461.2023.2.95</w:t>
      </w:r>
    </w:p>
    <w:p>
      <w:pPr/>
      <w:r>
        <w:rPr>
          <w:b/>
        </w:rPr>
        <w:t>Shared claim-specific concepts:</w:t>
      </w:r>
      <w:r>
        <w:t xml:space="preserve"> find, specific; EU scope visible. This is a provisional connection, not an outcome finding.</w:t>
      </w:r>
    </w:p>
    <w:p>
      <w:pPr>
        <w:pStyle w:val="SourceNote"/>
      </w:pPr>
      <w:r>
        <w:rPr>
          <w:b/>
        </w:rPr>
        <w:t>Available abstract (not full text):</w:t>
      </w:r>
      <w:r>
        <w:t xml:space="preserve"> The strategy of smart specialization rightly serves as a key reference point for the economic development of individual industries and regions. This study is aimed at analyzing the European experience in applying the strategy of smart specialization as an innovative basis of global economic development. It is becoming increasingly clear that the strategy of smart specialization can fundamentally change the rules for many industries. The research focuses on the fact that by focusing on specific areas of knowledge and developing targeted capabilities, businesses and organizations can find unique niches and gain a competitive advantage. The smart specialization strategy also has drawbacks, as it requires a deep understanding of the industry and a willingness to invest in specialized skills and resources, or may need to move away from broader, more general strategies to achieve smart specialization. However, it is emphasized that the benefits of smart specialization are clear when it comes to standing out in a crowded marketplace, building deeper relationships with customers, and ultimately driving growth. As industries continue to develop and become more complex, the strategy of smart specialization does not lose its relevance, and the European experience of its implementation will be useful for Ukraine.</w:t>
      </w:r>
    </w:p>
    <w:p>
      <w:pPr/>
      <w:r>
        <w:rPr>
          <w:b/>
        </w:rPr>
        <w:t>POSSIBLE 2023:</w:t>
      </w:r>
      <w:r>
        <w:t xml:space="preserve"> Cost-effective adaptation strategies to rising river flood risk in Europe — https://doi.org/10.1038/s41558-022-01540-0</w:t>
      </w:r>
    </w:p>
    <w:p>
      <w:pPr/>
      <w:r>
        <w:rPr>
          <w:b/>
        </w:rPr>
        <w:t>Shared claim-specific concepts:</w:t>
      </w:r>
      <w:r>
        <w:t xml:space="preserve"> find, measures, level; EU scope visible. This is a provisional connection, not an outcome finding.</w:t>
      </w:r>
    </w:p>
    <w:p>
      <w:pPr>
        <w:pStyle w:val="SourceNote"/>
      </w:pPr>
      <w:r>
        <w:rPr>
          <w:b/>
        </w:rPr>
        <w:t>Available abstract (not full text):</w:t>
      </w:r>
      <w:r>
        <w:t xml:space="preserve"> Abstract River flood risk in Europe could rise to unprecedented levels due to global warming and continued development in flood-prone areas. Here, we appraise the potential of four key adaptation strategies to reduce flood risk across Europe based on flood risk modelling and cost–benefit analysis. We find that reducing flood peaks using detention areas is economically the most attractive option. In a scenario without climate mitigation (3 °C global warming), they can lower projected flood losses in Europe by 2100 from €44(30–61) billion to €8.1(5.5–10.7) billion per year and lower population exposed by 84% (75–90%) or achieve a risk level comparable to today. The economic investment required over 2020–2100 would provide a return of €4(3.5–6.3) for each €1 invested. The risk reduction potential of strengthening of dykes is somewhat lower, at 70% (59–83%) for a comparable annual investment. Implementing building-based flood proofing and relocation measures is less cost-effective but can reduce impacts in localized areas.</w:t>
      </w:r>
    </w:p>
    <w:p>
      <w:pPr/>
      <w:r>
        <w:rPr>
          <w:b/>
        </w:rPr>
        <w:t>POSSIBLE 2023:</w:t>
      </w:r>
      <w:r>
        <w:t xml:space="preserve"> Symmetric or Asymmetric: How is Economic Growth Responding to Global Economic Uncertainty in Africa's Oil Exporters? — https://doi.org/10.18267/j.pep.836</w:t>
      </w:r>
    </w:p>
    <w:p>
      <w:pPr/>
      <w:r>
        <w:rPr>
          <w:b/>
        </w:rPr>
        <w:t>Shared claim-specific concepts:</w:t>
      </w:r>
      <w:r>
        <w:t xml:space="preserve"> find, uncertainty; EU scope visible. This is a provisional connection, not an outcome finding.</w:t>
      </w:r>
    </w:p>
    <w:p>
      <w:pPr>
        <w:pStyle w:val="SourceNote"/>
      </w:pPr>
      <w:r>
        <w:rPr>
          <w:b/>
        </w:rPr>
        <w:t>Available abstract (not full text):</w:t>
      </w:r>
      <w:r>
        <w:t xml:space="preserve"> Motivated by the persistent fall in oil prices due to incessant uncertainty-inducing events in recent years, this study empirically examined if economic growth in Africa's top five oil exporters (Algeria, Angola, Egypt, Libya, and Nigeria) is responding asymmetrically to changes in global economic uncertainty as well as uncertainties from U.S., Europe and China using nonlinear ARDL framework from 1997Q1 to 2021Q4. We find that rising global uncertainty hampers economic growth in these economies, while declining global uncertainty significantly enhances growth in Nigeria, Angola and Libya in the short run, but becomes growth-retarding in the long run. Thus, economic growth responds asymmetrically to global uncertainty, especially in the short run. The findings are robust to U.S., Europe, and China uncertainties, except that economic growth in Libya and Algeria remained unresponsive to U.S. and China uncertainties respectively. We concluded that Africa's oil exporters should embrace policies that can strengthen their resilience to global economic uncertainty as well as uncertainties from U.S., Europe, and China.</w:t>
      </w:r>
    </w:p>
    <w:p>
      <w:pPr>
        <w:pStyle w:val="Heading2"/>
      </w:pPr>
      <w:r>
        <w:t>671. Medium-term forecast of European economic sustainable growth using Markov chains</w:t>
      </w:r>
    </w:p>
    <w:p>
      <w:pPr>
        <w:pStyle w:val="SourceNote"/>
      </w:pPr>
      <w:r>
        <w:rPr>
          <w:b/>
        </w:rPr>
        <w:t>Original source (2020):</w:t>
      </w:r>
      <w:r>
        <w:t xml:space="preserve"> https://doi.org/10.18045/zbefri.2020.2.585</w:t>
      </w:r>
    </w:p>
    <w:p>
      <w:pPr/>
      <w:r>
        <w:t>Original wording (abstract; indexed_source_text_not_full_document_verified): Economic growth is a frequently analyzed aspect, both from theoretical and empirical standpoint, under the impact of the influence factors, while the issue of economic growth was studied by applying different methods and obtaining different results.In the case of EU28, the problem of economic convergence has to take into consideration the fact that the Member States are heterogeneous in terms of development and rate of growth.In the present paper, by using Markov chains we have made, a forecast of the GDP per capita evolution for the economies of the EU28 members, starting from the known time horizon -1997-2016 as to approach a forecast horizon -2017-2028.The results obtained show that the convergence process will be a slow one in the case of some Member States, especially in the Central and Eastern Europe.The future economic dynamics will intensify growth</w:t>
      </w:r>
    </w:p>
    <w:p>
      <w:pPr/>
      <w:r>
        <w:rPr>
          <w:b/>
        </w:rPr>
        <w:t>POSSIBLE 2026:</w:t>
      </w:r>
      <w:r>
        <w:t xml:space="preserve"> The impact of international economic sanctions on national economic growth. — https://openalex.org/W7125359130</w:t>
      </w:r>
    </w:p>
    <w:p>
      <w:pPr/>
      <w:r>
        <w:rPr>
          <w:b/>
        </w:rPr>
        <w:t>Shared claim-specific concepts:</w:t>
      </w:r>
      <w:r>
        <w:t xml:space="preserve"> frequently, empirical; EU scope visible. This is a provisional connection, not an outcome finding.</w:t>
      </w:r>
    </w:p>
    <w:p>
      <w:pPr>
        <w:pStyle w:val="SourceNote"/>
      </w:pPr>
      <w:r>
        <w:rPr>
          <w:b/>
        </w:rPr>
        <w:t>Available abstract (not full text):</w:t>
      </w:r>
      <w:r>
        <w:t xml:space="preserve"> Over the past decades, international economic sanctions have become one of the most frequently used instruments of foreign and security policy, allowing states to restrict the activities of other countries, companies, or individuals without resorting to direct military intervention. Nevertheless, the economic consequences of sanctions affect not only the targeted entities but also the sanctioning states themselves, which incur adjustment costs due to changes in the volume and structure of foreign trade, investment and capital flows, financing conditions, energy and raw material price dynamics, and the costs of ensuring sanctions compliance and enforcement. Academic literature highlights that the majority of empirical research has traditionally focused on sanctioned states, while the economic costs borne by sanctioning countries have been assessed in a fragmented and inconsistent manner. In 2022, following Russia’s full-scale invasion of Ukraine, the tightening of the sanction’s regime imposed by European countries on Russia and Belarus further underscored the importance of systematically evaluating the economic effects such restrictive measures have on the sanctioning economies themselves. The aim of this master’s thesis is to evaluate the impact of international economic sanctions against Russia and Belarus on the economic growth of European states that imposed them, with part</w:t>
      </w:r>
    </w:p>
    <w:p>
      <w:pPr/>
      <w:r>
        <w:rPr>
          <w:b/>
        </w:rPr>
        <w:t>POSSIBLE 2026:</w:t>
      </w:r>
      <w:r>
        <w:t xml:space="preserve"> Green Fiscal Rules and Economic Growth in Europe: A Panel Data — https://doi.org/10.18506/anemon.1778818</w:t>
      </w:r>
    </w:p>
    <w:p>
      <w:pPr/>
      <w:r>
        <w:rPr>
          <w:b/>
        </w:rPr>
        <w:t>Shared claim-specific concepts:</w:t>
      </w:r>
      <w:r>
        <w:t xml:space="preserve"> empirical, influence; EU scope visible. This is a provisional connection, not an outcome finding.</w:t>
      </w:r>
    </w:p>
    <w:p>
      <w:pPr>
        <w:pStyle w:val="SourceNote"/>
      </w:pPr>
      <w:r>
        <w:rPr>
          <w:b/>
        </w:rPr>
        <w:t>Available abstract (not full text):</w:t>
      </w:r>
      <w:r>
        <w:t xml:space="preserve"> As European economies strive to achieve carbon neutrality by 2050, green fiscal rules have become central to policy debates. The European Union (EU) has integrated environmental considerations into its fiscal governance framework, including green budgeting, sustainable debt rules, and carbon taxation. While these policies aim to balance sustainability with economic growth, their macroeconomic effects remain contested. This study examines how green fiscal rules influence economic growth across European countries, employing Panel data modelling and the Panel ARDL approach to improve causal inference. This research is significant as it investigates the effects of green fiscal policies on economic expansion in Europe, providing policymakers with valuable information. The Panel data approach enhances causal inference, and the Panel ARDL offers valuable information about the long-term impacts, thereby increasing the reliability of the findings. Grasping this connection enables a balance between environmental sustainability and economic stability. This research offers European comparisons, helping other areas develop environmental policy strategies. This initiative also addresses a research void, providing empirical data on whether green fiscal policies stimulate or impede economic expansion.</w:t>
      </w:r>
    </w:p>
    <w:p>
      <w:pPr/>
      <w:r>
        <w:rPr>
          <w:b/>
        </w:rPr>
        <w:t>POSSIBLE 2026:</w:t>
      </w:r>
      <w:r>
        <w:t xml:space="preserve"> Balancing economic growth and emission reductions: an empirical study of the European Union — https://doi.org/10.15196/rs160307</w:t>
      </w:r>
    </w:p>
    <w:p>
      <w:pPr/>
      <w:r>
        <w:rPr>
          <w:b/>
        </w:rPr>
        <w:t>Shared claim-specific concepts:</w:t>
      </w:r>
      <w:r>
        <w:t xml:space="preserve"> empirical, problem; EU scope visible. This is a provisional connection, not an outcome finding.</w:t>
      </w:r>
    </w:p>
    <w:p>
      <w:pPr>
        <w:pStyle w:val="SourceNote"/>
      </w:pPr>
      <w:r>
        <w:rPr>
          <w:b/>
        </w:rPr>
        <w:t>Available abstract (not full text):</w:t>
      </w:r>
      <w:r>
        <w:t xml:space="preserve"> ordinary least squares, outward foreign direct investment, CO 2 emissions A key problem today is reducing greenhouse gas (GHG) emissions and environmental damage without hampering economic growth.This study aims to analyse the main determinants of GHG in the European Union (EU) countries for the period 2004-2022 in view of the Paris Agreement and the Green Deal objectives.This analysis aims to examine the validity of the environmental Kuznets curve (EKC) in EU member states.We aim to explore if any increase in foreign direct investment (FDI) and the share of the service sector shows significantly effective carbon dioxide (CO 2 ) emissions.The results show if economic growth (real gross domestic product [GDP] per capita), final energy consumption per capita, and the share of fossil fuels have a significant positive effect on GHG emissions.Reducing fossil fuels and increasing energy efficiency can lower emissions.The significant impact of capital leakage on CO 2 emissions cannot be clearly determined from the panel analysis.Growth in the services sector's share of GDP contributes to emission reductions.Fully modified ordinary least squares (FMOLS), dynamic ordinary least squares (DOLS), fixed effect, random effect panel models, cointegration models, k-means cluster analysis and comparative analysis were used for the analysis.The models suggest a possible turning point in the EKC;</w:t>
      </w:r>
    </w:p>
    <w:p>
      <w:pPr/>
      <w:r>
        <w:rPr>
          <w:b/>
        </w:rPr>
        <w:t>POSSIBLE 2024:</w:t>
      </w:r>
      <w:r>
        <w:t xml:space="preserve"> Climate change and economic growth: Evidence for European countries — https://doi.org/10.1111/ajes.12605</w:t>
      </w:r>
    </w:p>
    <w:p>
      <w:pPr/>
      <w:r>
        <w:rPr>
          <w:b/>
        </w:rPr>
        <w:t>Shared claim-specific concepts:</w:t>
      </w:r>
      <w:r>
        <w:t xml:space="preserve"> different, methods; EU scope visible. This is a provisional connection, not an outcome finding.</w:t>
      </w:r>
    </w:p>
    <w:p>
      <w:pPr>
        <w:pStyle w:val="SourceNote"/>
      </w:pPr>
      <w:r>
        <w:rPr>
          <w:b/>
        </w:rPr>
        <w:t>Available abstract (not full text):</w:t>
      </w:r>
      <w:r>
        <w:t xml:space="preserve"> Abstract Climate change may affect economies and the welfare of people around the world. To design appropriate policy responses, the economic effects of climate change should be known. One strand in the literature empirically estimates the growth effects of climatic variations. However, those studies often neglect economic variables that have proven to be robust in explaining economic growth. Further, often they fail to check for the robustness of their results. The main aim of this study is to detect whether there exists a statistically significant robust relation between climate change and economic growth by estimating different model specifications. To do so panel estimation techniques for 24 European economies for the period from 2002 to 2019 are applied whereby panel fixed effects estimations and dynamic Generalized Methods of Moments estimations are resorted to. No statistically significant robust relationship between the temperature change and economic growth is found just as for precipitation that does not exert a significant effect on growth. As regards the institutional and macroeconomic control variables the rule of law, the fiscal variable, and the output gap are statistically significant and robust. It is argued that far‐reaching policy measures, such as the net zero goal of the European Union, should be given only based on robust results. Otherwise, economic polic</w:t>
      </w:r>
    </w:p>
    <w:p>
      <w:pPr/>
      <w:r>
        <w:rPr>
          <w:b/>
        </w:rPr>
        <w:t>POSSIBLE 2024:</w:t>
      </w:r>
      <w:r>
        <w:t xml:space="preserve"> Financial integration and economic growth in Europe — https://doi.org/10.4337/9781803926377.00033</w:t>
      </w:r>
    </w:p>
    <w:p>
      <w:pPr/>
      <w:r>
        <w:rPr>
          <w:b/>
        </w:rPr>
        <w:t>Shared claim-specific concepts:</w:t>
      </w:r>
      <w:r>
        <w:t xml:space="preserve"> influence, case; EU scope visible. This is a provisional connection, not an outcome finding.</w:t>
      </w:r>
    </w:p>
    <w:p>
      <w:pPr>
        <w:pStyle w:val="SourceNote"/>
      </w:pPr>
      <w:r>
        <w:rPr>
          <w:b/>
        </w:rPr>
        <w:t>Available abstract (not full text):</w:t>
      </w:r>
      <w:r>
        <w:t xml:space="preserve"> This study examines the impact of financial integration on economic growth in the case of 31 European countries over the period from 2000 to 2021 using dynamic panel data models.The estimation results provide evidence of significant positive effects of financial integration on economic growth.They also suggest that the financial integration -economic growth relationship depends on country-specific characteristics such as the level of financial development and the quality of institutions.More precisely, financial integration appears to exert a greater positive influence on growth in the case of the European countries with a higher level of financial development and better institutions.</w:t>
      </w:r>
    </w:p>
    <w:p>
      <w:pPr/>
      <w:r>
        <w:rPr>
          <w:b/>
        </w:rPr>
        <w:t>POSSIBLE 2024:</w:t>
      </w:r>
      <w:r>
        <w:t xml:space="preserve"> The impact of digitalization on the economic growth of the European Union: an empirical study — https://doi.org/10.15587/1729-4061.2024.304256</w:t>
      </w:r>
    </w:p>
    <w:p>
      <w:pPr/>
      <w:r>
        <w:rPr>
          <w:b/>
        </w:rPr>
        <w:t>Shared claim-specific concepts:</w:t>
      </w:r>
      <w:r>
        <w:t xml:space="preserve"> empirical, influence, factors; EU scope visible. This is a provisional connection, not an outcome finding.</w:t>
      </w:r>
    </w:p>
    <w:p>
      <w:pPr>
        <w:pStyle w:val="SourceNote"/>
      </w:pPr>
      <w:r>
        <w:rPr>
          <w:b/>
        </w:rPr>
        <w:t>Available abstract (not full text):</w:t>
      </w:r>
      <w:r>
        <w:t xml:space="preserve"> The object of this study was the process of digitalization of the economy and society of the European Union. The task of researching the impact of digitalization on the economic growth of the European Union has been solved. The relevance of the chosen topic is due to the complexity of digital transformation processes taking place in the world economy and the economy of the European Union, in particular, the need to assess their directions and intensity. Four approaches to modeling the impact of digitalization on economic growth based on the neoclassical production function were proposed. The structure of the model was chosen, which makes it possible to evaluate the influence of various factors of digitalization on the key parameters of economic growth. A regression multivariate model for assessing the impact of digitalization on the economic growth of the European Union has been developed. To this end, a sequence of stages was performed: formation of the information base, grouping of digitalization factors, as well as their selection based on correlation analysis. With the help of regression analysis, the parameters of the production function were expressed through digitalization indicators. At the same time, due to the limitation of input data, the Elastic Net Regression method was used. This made it possible to ensure the quality of the new model, namely, to remove low-impact</w:t>
      </w:r>
    </w:p>
    <w:p>
      <w:pPr/>
      <w:r>
        <w:rPr>
          <w:b/>
        </w:rPr>
        <w:t>POSSIBLE 2024:</w:t>
      </w:r>
      <w:r>
        <w:t xml:space="preserve"> Fiscal decentralization and economic growth: Empirical evidence from European countries — https://doi.org/10.47063/ebd.00017</w:t>
      </w:r>
    </w:p>
    <w:p>
      <w:pPr/>
      <w:r>
        <w:rPr>
          <w:b/>
        </w:rPr>
        <w:t>Shared claim-specific concepts:</w:t>
      </w:r>
      <w:r>
        <w:t xml:space="preserve"> empirical, different; EU scope visible. This is a provisional connection, not an outcome finding.</w:t>
      </w:r>
    </w:p>
    <w:p>
      <w:pPr>
        <w:pStyle w:val="SourceNote"/>
      </w:pPr>
      <w:r>
        <w:rPr>
          <w:b/>
        </w:rPr>
        <w:t>Available abstract (not full text):</w:t>
      </w:r>
      <w:r>
        <w:t xml:space="preserve"> In this paper we empirically investigate the relationship between fiscal decentralization and economic growth in the European countries, using panel dataset for 31 European countries, over the period 1972-2012. Our empirical results indicate that fiscal decentralization, quantitatively measured as the ratio of local government expenditures and revenues in general government expenditures and revenues has a favorable impact on economic growth in the European countries and also that revenue decentralization is shown to be more effective than expenditure decentralization in terms of stimulating economic growth. Further, our empirical results also suggest that the relationship between decentralization and economic growth is nonlinear, i.e. there is a certain optimal level of fiscal decentralization in terms of economic growth. This means that fiscal decentralization is expected to have a more pronounced positive impact on growth in less decentralized countries, while in more decentralized countries, a further increase in decentralization starts to hinder economic growth. In addition, the growth-enhancing effect of fiscal decentralization is even strongly confirmed in our subsample of advanced European countries, when long termed effect of decentralization was examined. Therefore, compared with our previous findings on the impact of fiscal decentralization on growth in Central and Ea</w:t>
      </w:r>
    </w:p>
    <w:p>
      <w:pPr/>
      <w:r>
        <w:rPr>
          <w:b/>
        </w:rPr>
        <w:t>POSSIBLE 2023:</w:t>
      </w:r>
      <w:r>
        <w:t xml:space="preserve"> Digitalisation and Economic Growth in the European Union — https://doi.org/10.3390/electronics12071718</w:t>
      </w:r>
    </w:p>
    <w:p>
      <w:pPr/>
      <w:r>
        <w:rPr>
          <w:b/>
        </w:rPr>
        <w:t>Shared claim-specific concepts:</w:t>
      </w:r>
      <w:r>
        <w:t xml:space="preserve"> empirical, take, consideration; EU scope visible. This is a provisional connection, not an outcome finding.</w:t>
      </w:r>
    </w:p>
    <w:p>
      <w:pPr>
        <w:pStyle w:val="SourceNote"/>
      </w:pPr>
      <w:r>
        <w:rPr>
          <w:b/>
        </w:rPr>
        <w:t>Available abstract (not full text):</w:t>
      </w:r>
      <w:r>
        <w:t xml:space="preserve"> The aim of the present paper is to analyse the effects of digitalisation on economic growth in the European Union. An econometric model with balanced panel data is used, with the analysis spanning over a 22-year time frame from 2000 to 2021. The main conclusion is that digitalisation generates a positive and significant impact on economic growth, even when several control variables are taken into consideration. The results prove their robustness, which is backed by the employment of the DESI as an independent variable. This paper contributes to the existing empirical analyses by extending the research on digitalisation to the entire EU, and separately for the old EU-15 member states and EU-13 new member states since, to our best knowledge, the existing literature has not approached the subject in this manner. As a policy recommendation, we suggest that public decision-makers take measures that support more harmonised digitalisation policies, favouring the new business model based on digitalisation.</w:t>
      </w:r>
    </w:p>
    <w:p>
      <w:pPr/>
      <w:r>
        <w:rPr>
          <w:b/>
        </w:rPr>
        <w:t>POSSIBLE 2023:</w:t>
      </w:r>
      <w:r>
        <w:t xml:space="preserve"> Economic growth and broadband access: The European urban-rural digital divide — https://doi.org/10.1016/j.telpol.2023.102579</w:t>
      </w:r>
    </w:p>
    <w:p>
      <w:pPr/>
      <w:r>
        <w:rPr>
          <w:b/>
        </w:rPr>
        <w:t>Shared claim-specific concepts:</w:t>
      </w:r>
      <w:r>
        <w:t xml:space="preserve"> both, different; EU scope visible. This is a provisional connection, not an outcome finding.</w:t>
      </w:r>
    </w:p>
    <w:p>
      <w:pPr>
        <w:pStyle w:val="SourceNote"/>
      </w:pPr>
      <w:r>
        <w:rPr>
          <w:b/>
        </w:rPr>
        <w:t>Available abstract (not full text):</w:t>
      </w:r>
      <w:r>
        <w:t xml:space="preserve"> This paper estimates the regional effects of high-speed broadband coverage on economic growth in a panel of 1348 regions across all European Union Member States between 2011 and 2018. We distinguish between different connectivity speed levels by aggregating the available regional data across all existing broadband technologies, and investigate how regional differences in the contribution of broadband coverage to real economic growth can quantitatively explain the persistence of the European urban-rural digital divide. In order to make our results robust to endogeneity and disaggregated data availability issues, we employ a bootstrap-based bias correction for the dynamic fixed effects estimator. We find that expansions in the provision of lower-speed broadband access accelerated annual per capita growth in both urban and rural regions through diminishing returns to scale, but that the effects were weaker in those regions characterized by larger ruralization. High-speed broadband coverage, on the contrary, could only be significantly related to rural economic growth and had no impact within their urban coun-terparts. We find evidence that the costs of these high-speed rural connectivity expansions had not yet been offset, but that they exhibit increasing returns to scale with cut-off levels nearing full coverage. These results indicate that the high-speed digital expansion of rur</w:t>
      </w:r>
    </w:p>
    <w:p>
      <w:pPr/>
      <w:r>
        <w:rPr>
          <w:b/>
        </w:rPr>
        <w:t>POSSIBLE 2023:</w:t>
      </w:r>
      <w:r>
        <w:t xml:space="preserve"> Competitiveness—the engine that boosts economic growth and revives the economy — https://doi.org/10.3389/fenvs.2023.1130173</w:t>
      </w:r>
    </w:p>
    <w:p>
      <w:pPr/>
      <w:r>
        <w:rPr>
          <w:b/>
        </w:rPr>
        <w:t>Shared claim-specific concepts:</w:t>
      </w:r>
      <w:r>
        <w:t xml:space="preserve"> both, influence, factors; EU scope visible. This is a provisional connection, not an outcome finding.</w:t>
      </w:r>
    </w:p>
    <w:p>
      <w:pPr>
        <w:pStyle w:val="SourceNote"/>
      </w:pPr>
      <w:r>
        <w:rPr>
          <w:b/>
        </w:rPr>
        <w:t>Available abstract (not full text):</w:t>
      </w:r>
      <w:r>
        <w:t xml:space="preserve"> Competitiveness is a concept that shows up in all aspects of human life, both at the micro level, in personal, social, and professional life, and at the macro level, linked to organizational and national competitiveness with long-term effects on global competitiveness. In this paper, we aim to address competitiveness in Romania in the current context, before and after the COVID-19 pandemic, highlighting its role in reviving the economy. While until the onset of the pandemic Romania’s competitiveness performance was growing, more recently, because of the global health crisis, it dropped a few places, according to the Global Competitiveness Index report. In order to have a clear picture of the degree of competitiveness in Romania, we have presented a series of statistical data for the most relevant macroeconomic indicators for our study for the 2017–2022 timeframe: the global competitiveness index, the minimum wage, labor productivity, the evolution of real labor productivity per employed person, the economic growth rate, the unemployment rate, the inflation rate, the European innovation index, gross domestic expenditure on research and development, export of goods and services as a share of GDP, etc. The methodology used involves the use of quantitative techniques, performing an econometric analysis, and correlating how the most important macroeconomic indicators can influence t</w:t>
      </w:r>
    </w:p>
    <w:p>
      <w:pPr/>
      <w:r>
        <w:rPr>
          <w:b/>
        </w:rPr>
        <w:t>POSSIBLE 2023:</w:t>
      </w:r>
      <w:r>
        <w:t xml:space="preserve"> Decomposed and composed effects of economic freedom on economic growth in south Asia — https://doi.org/10.1016/j.heliyon.2023.e13478</w:t>
      </w:r>
    </w:p>
    <w:p>
      <w:pPr/>
      <w:r>
        <w:rPr>
          <w:b/>
        </w:rPr>
        <w:t>Shared claim-specific concepts:</w:t>
      </w:r>
      <w:r>
        <w:t xml:space="preserve"> frequently, influence, different, consideration; EU scope not established. This is a provisional connection, not an outcome finding.</w:t>
      </w:r>
    </w:p>
    <w:p>
      <w:pPr>
        <w:pStyle w:val="SourceNote"/>
      </w:pPr>
      <w:r>
        <w:rPr>
          <w:b/>
        </w:rPr>
        <w:t>Available abstract (not full text):</w:t>
      </w:r>
      <w:r>
        <w:t xml:space="preserve"> It is frequently asserted that high levels of economic growth are supported by economic freedom. For the period 1995-2021, this study examines the influence of the composed economic freedom index and several subcomponents of economic freedom on the economic growth of four South Asian economies, namely Bangladesh, India, Pakistan, and Sri Lanka. The Ordinary Least Squares, Random Effect Model, and Robust Least Squares approaches are utilized to estimate the composed and decomposed influence of economic freedom on economic growth. Robust Least Squares reflects the robustness of the connection between economic liberty and growth. According to the results of these tests, economic liberty has a strong and favorable stimulus on growth. When the different indicators of economic liberty are evaluated independently, we discovered that the magnitudes of most economic freedom indicators are significant. Conversely, monetary freedom contributes very little to economic expansion. The effects of government spending, public trust, and labor flexibility on economic expansion are hypothetical. The tax load hinders economic expansion in the economies under consideration. Property rights, freedom to do business, trade liberty, investment choice, and financial liberty all have a positive, strong, and sizeable stimulus on economic growth. The decomposed influence of each indicator of economic freed</w:t>
      </w:r>
    </w:p>
    <w:p>
      <w:pPr/>
      <w:r>
        <w:rPr>
          <w:b/>
        </w:rPr>
        <w:t>POSSIBLE 2022:</w:t>
      </w:r>
      <w:r>
        <w:t xml:space="preserve"> The impact of financial systems on economic growth in European Union member countries — https://doi.org/10.2478/picbe-2022-0068</w:t>
      </w:r>
    </w:p>
    <w:p>
      <w:pPr/>
      <w:r>
        <w:rPr>
          <w:b/>
        </w:rPr>
        <w:t>Shared claim-specific concepts:</w:t>
      </w:r>
      <w:r>
        <w:t xml:space="preserve"> different, case; EU scope visible. This is a provisional connection, not an outcome finding.</w:t>
      </w:r>
    </w:p>
    <w:p>
      <w:pPr>
        <w:pStyle w:val="SourceNote"/>
      </w:pPr>
      <w:r>
        <w:rPr>
          <w:b/>
        </w:rPr>
        <w:t>Available abstract (not full text):</w:t>
      </w:r>
      <w:r>
        <w:t xml:space="preserve"> Abstract As the economy develops, self-financed capital investments are less frequent, being replaced by financing through banking intermediation and later through capital markets. The development of financial systems has a positive effect on the mobilization of resources, improving corporate governance and risk management, leading to economic growth. The preponderance of previous research papers shows a positive relationship between financial development and economic growth. Studies using cross-sectional methodologies discover almost unanimously a positive link between financial development and economic growth, while studies with methodologies based on time series, panel data or case studies reach different conclusions depending on the period considered, the countries’ initial level of development and the structure of the financial systems. The purpose of this paper is to investigate the impact of financial systems on economic growth using panel regressions based on annual data regarding measures of financial development for the member countries of the European Union, for the period 1990-2020. The findings show that the development of the financial systems, through the activity of banks and capital markets, has a positive effect on the allocation of resources, the mobilization of savings and the efficient management of risks, leading in turn to economic growth if there is a co</w:t>
      </w:r>
    </w:p>
    <w:p>
      <w:pPr>
        <w:pStyle w:val="Heading2"/>
      </w:pPr>
      <w:r>
        <w:t>672. One step ahead? The use of foresight by Czech and Slovak non-governmental organizations</w:t>
      </w:r>
    </w:p>
    <w:p>
      <w:pPr>
        <w:pStyle w:val="SourceNote"/>
      </w:pPr>
      <w:r>
        <w:rPr>
          <w:b/>
        </w:rPr>
        <w:t>Original source (2020):</w:t>
      </w:r>
      <w:r>
        <w:t xml:space="preserve"> https://doi.org/10.1186/s40309-020-00163-y</w:t>
      </w:r>
    </w:p>
    <w:p>
      <w:pPr/>
      <w:r>
        <w:t>Original wording (abstract; indexed_source_text_not_full_document_verified): Given the nature of their work and the complexity of the fast-changing contexts in which they operate, foresight techniques can potentially be useful in helping them prepare for future disruptions and maximize the positive influence of their work over future developments. The possibilities for and benefits of the application of foresight approaches and techniques are increasingly being discussed in various private and public organizations, especially with the aim to innovate and grow.</w:t>
      </w:r>
    </w:p>
    <w:p>
      <w:pPr/>
      <w:r>
        <w:rPr>
          <w:b/>
        </w:rPr>
        <w:t>POSSIBLE 2026:</w:t>
      </w:r>
      <w:r>
        <w:t xml:space="preserve"> The End of Bourgeois Humanism and the Mindfulness of Nature in Adorno’s Writings of the 1950s and 1960s — https://doi.org/10.65272/978-88-6977-570-3_5</w:t>
      </w:r>
    </w:p>
    <w:p>
      <w:pPr/>
      <w:r>
        <w:rPr>
          <w:b/>
        </w:rPr>
        <w:t>Shared claim-specific concepts:</w:t>
      </w:r>
      <w:r>
        <w:t xml:space="preserve"> given, nature, work, useful; EU scope not established. This is a provisional connection, not an outcome finding.</w:t>
      </w:r>
    </w:p>
    <w:p>
      <w:pPr>
        <w:pStyle w:val="SourceNote"/>
      </w:pPr>
      <w:r>
        <w:rPr>
          <w:b/>
        </w:rPr>
        <w:t>Available abstract (not full text):</w:t>
      </w:r>
      <w:r>
        <w:t xml:space="preserve"> Before discussing Adorno’s position on humanism and nature in more detail, particularly in his post- Dialectic of Enlightenment writings, it is useful to briefly review the attention that critical literature has devoted to these themes in Adorno, specifically that of nature. The last thirty years have seen a renewed interest in the conception of nature in Adorno’s work, also in view of its possible use in ecological discourse. This interest was already evident in the 1990s in the works of Jameson and Vogel: while the former considers Adorno and the other members of the Institute for Social Research as precursors of the ecological movement and animal rights struggles, the latter believes that Adorno (and Horkheimer) fails to conceive of a dialectical interaction between nature and society, remaining tied to a vague and ambiguous notion of nature: Nature is regarded as a given reality that humans seek to dominate, but it is also what enlightenment would like to return to. 1</w:t>
      </w:r>
    </w:p>
    <w:p>
      <w:pPr/>
      <w:r>
        <w:rPr>
          <w:b/>
        </w:rPr>
        <w:t>POSSIBLE 2026:</w:t>
      </w:r>
      <w:r>
        <w:t xml:space="preserve"> Principles for evidence-informed policymaking in fast-changing technology contexts : September 2026 — https://openalex.org/W7215313559</w:t>
      </w:r>
    </w:p>
    <w:p>
      <w:pPr/>
      <w:r>
        <w:rPr>
          <w:b/>
        </w:rPr>
        <w:t>Shared claim-specific concepts:</w:t>
      </w:r>
      <w:r>
        <w:t xml:space="preserve"> fast-changing, contexts, over, approaches; EU scope not established. This is a provisional connection, not an outcome finding.</w:t>
      </w:r>
    </w:p>
    <w:p>
      <w:pPr>
        <w:pStyle w:val="SourceNote"/>
      </w:pPr>
      <w:r>
        <w:rPr>
          <w:b/>
        </w:rPr>
        <w:t>Available abstract (not full text):</w:t>
      </w:r>
      <w:r>
        <w:t xml:space="preserve"> Technology in education, particularly AI, is moving faster than traditional evaluation methods can accommodate.The pace of change has challenged previous approaches to evaluation in education, such as randomised controlled trials, which have previously provided evidence for policymaking and advice to educators and parents.We propose here eight principles as a framework to support evidence-informed policymaking in fast-changing technology contexts.This approach aims to synthesise all available evidence to fully understand a topic but will also continually update our understanding as new evidence arrives.Policymaking within this framework triangulates imperfect evidence, updates judgements over time, matches methods to purpose, monitors harm and equity, preserves flexibility, evaluates systems and products, and makes evidence accessible to users.This framework was developed by the Department for Education (DfE) Science Advisory Council's AI and Digital Education Working Group to support policymaking where technology evolves more quickly than traditional research cycles can provide definitive evidence, e.g.artificial intelligence (AI) in education.</w:t>
      </w:r>
    </w:p>
    <w:p>
      <w:pPr/>
      <w:r>
        <w:rPr>
          <w:b/>
        </w:rPr>
        <w:t>POSSIBLE 2026:</w:t>
      </w:r>
      <w:r>
        <w:t xml:space="preserve"> Exploring the Nature of Programming Work — https://doi.org/10.4018/ijkss.407408</w:t>
      </w:r>
    </w:p>
    <w:p>
      <w:pPr/>
      <w:r>
        <w:rPr>
          <w:b/>
        </w:rPr>
        <w:t>Shared claim-specific concepts:</w:t>
      </w:r>
      <w:r>
        <w:t xml:space="preserve"> nature, work, techniques, influence; EU scope not established. This is a provisional connection, not an outcome finding.</w:t>
      </w:r>
    </w:p>
    <w:p>
      <w:pPr>
        <w:pStyle w:val="SourceNote"/>
      </w:pPr>
      <w:r>
        <w:rPr>
          <w:b/>
        </w:rPr>
        <w:t>Available abstract (not full text):</w:t>
      </w:r>
      <w:r>
        <w:t xml:space="preserve"> The ambiguity and deep concentration associated with programming work, along with perceived stereotypes about programmers, require effective human resource (HR) practices to sustain motivation. This study explores the relationships among the nature of programming work, programmer stereotypes, HR practices, and motivation. A conceptual model based on self-determination and social identity theories is developed, and eight hypotheses are presented. Data were collected from 254 participants across six industry sectors and analyzed using regression techniques. The results suggest that perceived programmer stereotypes stem either from the nature of programming work or from self-selection, whereby those who hold such stereotypes are often drawn to the field of programming. The findings also indicate that HR practices are not aligned with the nature of programming work or with stereotypes. Although HR practices and programmer stereotypes influence motivation, the nature of programming work can lead to demotivation. Therefore, HR practices should be better aligned with both programming work and programmer stereotypes to promote motivation.</w:t>
      </w:r>
    </w:p>
    <w:p>
      <w:pPr/>
      <w:r>
        <w:rPr>
          <w:b/>
        </w:rPr>
        <w:t>POSSIBLE 2025:</w:t>
      </w:r>
      <w:r>
        <w:t xml:space="preserve"> Rethinking Automation and the Future of Work with Hannah Arendt — https://doi.org/10.1007/s10551-025-05991-1</w:t>
      </w:r>
    </w:p>
    <w:p>
      <w:pPr/>
      <w:r>
        <w:rPr>
          <w:b/>
        </w:rPr>
        <w:t>Shared claim-specific concepts:</w:t>
      </w:r>
      <w:r>
        <w:t xml:space="preserve"> given, nature, work, developments; EU scope not established. This is a provisional connection, not an outcome finding.</w:t>
      </w:r>
    </w:p>
    <w:p>
      <w:pPr>
        <w:pStyle w:val="SourceNote"/>
      </w:pPr>
      <w:r>
        <w:rPr>
          <w:b/>
        </w:rPr>
        <w:t>Available abstract (not full text):</w:t>
      </w:r>
      <w:r>
        <w:t xml:space="preserve"> Abstract Recent technological developments have given rise to debates about automation and the future of work. These debates touch on concerns about the availability, nature, and meaningfulness of jobs in the present and near future. The aim of this article is to show that Hannah Arendt’s phenomenology of labor, work, and action can improve current debates about automation and the future of work. First of all, an analysis of Arendt’s critique of modern society and the more recent notion of ‘immaterial labor’ demonstrates that we (still) live in a society dominated by labor and consumption. Second, a conceptual distinction between labor, work, and action can add relevant nuances to contemporary debates about automation and the future of work. Third, Arendt’s warning for a society of laborers without labor inspires to add over-consumption to the list of problems arising from automation. Fourth, Arendt’s description of the human condition can give clarity to contemporary worries about automation’s impact on meaning. It is concluded, finally, that a revaluation of work and action can counter the threats associated with the automation of labor.</w:t>
      </w:r>
    </w:p>
    <w:p>
      <w:pPr/>
      <w:r>
        <w:rPr>
          <w:b/>
        </w:rPr>
        <w:t>POSSIBLE 2025:</w:t>
      </w:r>
      <w:r>
        <w:t xml:space="preserve"> EDITORIAL - On natures and human nature. Ethics, aesthetics, ecologies — https://doi.org/10.13135/2384-8677/12986</w:t>
      </w:r>
    </w:p>
    <w:p>
      <w:pPr/>
      <w:r>
        <w:rPr>
          <w:b/>
        </w:rPr>
        <w:t>Shared claim-specific concepts:</w:t>
      </w:r>
      <w:r>
        <w:t xml:space="preserve"> nature, work, they, them, over; EU scope not established. This is a provisional connection, not an outcome finding.</w:t>
      </w:r>
    </w:p>
    <w:p>
      <w:pPr>
        <w:pStyle w:val="SourceNote"/>
      </w:pPr>
      <w:r>
        <w:rPr>
          <w:b/>
        </w:rPr>
        <w:t>Available abstract (not full text):</w:t>
      </w:r>
      <w:r>
        <w:t xml:space="preserve"> The vision According to Raymond Williams (1980), the term nature is “a case of a definition of [a] quality which becomes, through real usage, based on certain assumptions, a description of the world”. What is most striking in the linguistic history of the term nature is the coexistence of that common idea, a state of nature, with the almost unnoticed, because so habitual, use of nature to indicate the inherent and essential quality of any particular thing [which] is, of course, much more than accidental. Indeed there is evidence that it is historically the earliest use. In Latin one would have said natura rerum, keeping nature to the essential quality and adding the definition of things. But then also in Latin natura came to be used on its own, to express the same general meaning: the essential constitution of the world. […] The multiplicity of things, and of living processes, might then be mentally organized around a single essence or principle: a nature (p.68). This “singular abstraction” becomes “a nominal continuity over more than two millennia” so pervasive “that we may not always realize quite all that it commits us to. A singular name for the real multiplicity of things and living processes may be held, with an effort, to be neutral, but I am sure it is very often the case that it offers, from the beginning, a dominant kind of interpretation: idealist, metaphysical, or r</w:t>
      </w:r>
    </w:p>
    <w:p>
      <w:pPr/>
      <w:r>
        <w:rPr>
          <w:b/>
        </w:rPr>
        <w:t>POSSIBLE 2025:</w:t>
      </w:r>
      <w:r>
        <w:t xml:space="preserve"> The Essential Nature of Social Work in Cancer Control — https://doi.org/10.1177/10732748251353081</w:t>
      </w:r>
    </w:p>
    <w:p>
      <w:pPr/>
      <w:r>
        <w:rPr>
          <w:b/>
        </w:rPr>
        <w:t>Shared claim-specific concepts:</w:t>
      </w:r>
      <w:r>
        <w:t xml:space="preserve"> given, nature, work, influence, over; EU scope not established. This is a provisional connection, not an outcome finding.</w:t>
      </w:r>
    </w:p>
    <w:p>
      <w:pPr>
        <w:pStyle w:val="SourceNote"/>
      </w:pPr>
      <w:r>
        <w:rPr>
          <w:b/>
        </w:rPr>
        <w:t>Available abstract (not full text):</w:t>
      </w:r>
      <w:r>
        <w:t xml:space="preserve"> The conditions in which people are born, live, learn, work, play, worship, and age affect a range of health, functioning, and quality-of-life outcomes, and contribute to social needs across the cancer control continuum. To address these needs, advance the quality of cancer care, and achieve health equity, cancer care clinicians must possess comprehensive knowledge and skills to mitigate the effects of social determinants of health on patient outcomes. This knowledge should also encompass an understanding of how racism, sexism, and discrimination - along with exposures to trauma - also influence patient behaviors and outcomes, given evidence of their effects on population health. For over 100 years, social workers have comprised an essential workforce that is duly educated and trained to identify social needs and improve patient outcomes within the context of health care service delivery, and cancer care in particular. Oriented to an ecological framework, social workers are adept at identifying and mitigating the negative effects of the social determinants of health on individual knowledge, attitudes, beliefs, and behaviors, with the intent of improving results for people at risk for or diagnosed with cancer. Social workers are professionally trained for organizing communities, understanding and intervening upon social systems (including families, organizations, and institutions</w:t>
      </w:r>
    </w:p>
    <w:p>
      <w:pPr/>
      <w:r>
        <w:rPr>
          <w:b/>
        </w:rPr>
        <w:t>POSSIBLE 2024:</w:t>
      </w:r>
      <w:r>
        <w:t xml:space="preserve"> True nature of hybrid work — https://doi.org/10.3389/forgp.2024.1448894</w:t>
      </w:r>
    </w:p>
    <w:p>
      <w:pPr/>
      <w:r>
        <w:rPr>
          <w:b/>
        </w:rPr>
        <w:t>Shared claim-specific concepts:</w:t>
      </w:r>
      <w:r>
        <w:t xml:space="preserve"> nature, work, them, influence; EU scope visible. This is a provisional connection, not an outcome finding.</w:t>
      </w:r>
    </w:p>
    <w:p>
      <w:pPr>
        <w:pStyle w:val="SourceNote"/>
      </w:pPr>
      <w:r>
        <w:rPr>
          <w:b/>
        </w:rPr>
        <w:t>Available abstract (not full text):</w:t>
      </w:r>
      <w:r>
        <w:t xml:space="preserve"> Introduction This article reviews the discussion concerning hybrid work (HW) during and after the pandemic. We argue that understanding hybrid work as simply dividing working time between an office and another location limits the potential of organizing work sustainably based on organizations' goals and employee needs. Understanding the core nature of hybridity as a flexible and systemic entity and a “combination of two or more things” impacting work outcomes such as wellbeing and performance opens a much richer view of organizing work now and in the future. The critical questions are: What is the core nature of hybridity when two or more things are combined in work, and what factors influence configuring them? Moreover, what are their potential wellbeing and performance outcomes? Methods To discover core elements, we reviewed how the HW concept was defined in consulting companies' publications, business journals, and international organizations' publications, mainly focusing on challenges and opportunities for hybrid work during COVID-19. We also analyzed how the concept was used in European questionnaire findings from 27 EU countries during the pandemic. The potential wellbeing and performance outcomes were studied using a sample of prior literature reviews on remote and telework. To identify “Two or more things” in the discussions, we broke down the HW concepts into the phys</w:t>
      </w:r>
    </w:p>
    <w:p>
      <w:pPr/>
      <w:r>
        <w:rPr>
          <w:b/>
        </w:rPr>
        <w:t>POSSIBLE 2024:</w:t>
      </w:r>
      <w:r>
        <w:t xml:space="preserve"> Nature of Work of Accountants: The Case of Accounting Service Firms in Hanoi, Vietnam — https://doi.org/10.25105/ijsmebs.v6i1.20525</w:t>
      </w:r>
    </w:p>
    <w:p>
      <w:pPr/>
      <w:r>
        <w:rPr>
          <w:b/>
        </w:rPr>
        <w:t>Shared claim-specific concepts:</w:t>
      </w:r>
      <w:r>
        <w:t xml:space="preserve"> given, nature, work; EU scope not established. This is a provisional connection, not an outcome finding.</w:t>
      </w:r>
    </w:p>
    <w:p>
      <w:pPr>
        <w:pStyle w:val="SourceNote"/>
      </w:pPr>
      <w:r>
        <w:rPr>
          <w:b/>
        </w:rPr>
        <w:t>Available abstract (not full text):</w:t>
      </w:r>
      <w:r>
        <w:t xml:space="preserve"> In accounting service firms in Hanoi, nature of work of accountants is consistent with the accountants, but not fully. The main objective of this study was to identify, evaluate, and to measure the attributes of nature of work of accountants in accounting service firms in Hanoi, Vietnam. The study was based on a field survey using a semi-structured questionnaire on a sample of 150 accountants. But only 120 filled questionnaires were satisfactory and therefore included in the analysis. By using seceral statistical analytical tools, i.e. descriptive statistics, Cronbach’s Alpha analysis, Independent t-test and ANOVA, the study has identified and measured five (5) attributes of nature of work of accountants in accounting service firms in Hanoi, Vietnam that have great effects on employees (or in this case study, accountants). There is not, statistically, significant difference in the level of nature of work of accountants in accounting service firms in Hanoi from these different genders and between the mentioned three groups of age. Based on the findings, some recommendations are given for accounting service firms to improve the nature of work of accountants.</w:t>
      </w:r>
    </w:p>
    <w:p>
      <w:pPr/>
      <w:r>
        <w:rPr>
          <w:b/>
        </w:rPr>
        <w:t>POSSIBLE 2024:</w:t>
      </w:r>
      <w:r>
        <w:t xml:space="preserve"> Nature, society, man, and culture in the system of being (1980) — https://doi.org/10.33910/2687-1262-2024-6-3-196-206</w:t>
      </w:r>
    </w:p>
    <w:p>
      <w:pPr/>
      <w:r>
        <w:rPr>
          <w:b/>
        </w:rPr>
        <w:t>Shared claim-specific concepts:</w:t>
      </w:r>
      <w:r>
        <w:t xml:space="preserve"> given, nature, work; EU scope not established. This is a provisional connection, not an outcome finding.</w:t>
      </w:r>
    </w:p>
    <w:p>
      <w:pPr>
        <w:pStyle w:val="SourceNote"/>
      </w:pPr>
      <w:r>
        <w:rPr>
          <w:b/>
        </w:rPr>
        <w:t>Available abstract (not full text):</w:t>
      </w:r>
      <w:r>
        <w:t xml:space="preserve"> The article is based on the authorized copy of M. S. Kagan’s book ‘Systematic Approach and Humanitarian Knowledge’ (1991). It incorporates the hand-written edits made to the book by Kagan himself. The work is an attempt to understand the principles of structuring being. It discusses the relevant system of categories and the relationship between such concepts as nature, society, man, and culture. The author criticizes the ideas that lead to the dissolution of society in culture and the dissolution of society in nature. Kagan proposes a four-member principle of ontology. According to him, the identification of four basic forms of being — nature, society, man, and culture — allows us to overcome all types of reductionism (spiritualistic, psychological, biological, sociological). At the same time, this approach allows to maintain a monistic understanding of the material unity of the world and reveal the dialectic of the general and the particular in all the four specific forms of the motion of matter. The article describes theoretical consequences, practical significance and ideological meaning of Kagan’s tetra-based principle of ontology. A special focus is given to the prospects that this ontological principle opens up for the structural analysis of scientific knowledge, the organization of its various fields and the classification of sciences. The article emphasizes the relevanc</w:t>
      </w:r>
    </w:p>
    <w:p>
      <w:pPr/>
      <w:r>
        <w:rPr>
          <w:b/>
        </w:rPr>
        <w:t>POSSIBLE 2024:</w:t>
      </w:r>
      <w:r>
        <w:t xml:space="preserve"> Nature and Teleology in the De Anima: Context for Aristotelian Potentiality — https://doi.org/10.5334/met.150</w:t>
      </w:r>
    </w:p>
    <w:p>
      <w:pPr/>
      <w:r>
        <w:rPr>
          <w:b/>
        </w:rPr>
        <w:t>Shared claim-specific concepts:</w:t>
      </w:r>
      <w:r>
        <w:t xml:space="preserve"> given, nature, developments; EU scope not established. This is a provisional connection, not an outcome finding.</w:t>
      </w:r>
    </w:p>
    <w:p>
      <w:pPr>
        <w:pStyle w:val="SourceNote"/>
      </w:pPr>
      <w:r>
        <w:rPr>
          <w:b/>
        </w:rPr>
        <w:t>Available abstract (not full text):</w:t>
      </w:r>
      <w:r>
        <w:t xml:space="preserve"> This paper investigates contemporary applications of the Aristotelian conception of potentiality in limit cases of life and death arising from developments in modern science in order to argue that in its current usage, the term is often so far from its Aristotelian context that its philosophical rigor and, hence, usefulness is undermined. By analyzing the account of the soul in Aristotle’s De Anima, I argue for the necessity of a conception of nature that can contextualize the relevant sense of potentiality by giving a telos arising from the subject’s nature, which orients that subject’s potentiality. I argue that these contextualizing components of nature and teleology are necessary for using a philosophically rigorous sense of potentiality. I begin by surveying the current use of potentiality to delineate beginning and end-of-life cases in order to show that these various uses are not robust enough to offer answers to the challenging cases of life and death in a non ad hoc way. I then address John Lizza and Joel Feinberg’s suggestions for making the concept of potentiality more robust, namely, a more specified framework of ‘normal’ internal conditions and ‘important’ external conditions to which the subject’s potentialities can be referenced. I argue that the insufficiency of the current uses of potentiality is more specifically due to a lack of an Aristotelian conception of </w:t>
      </w:r>
    </w:p>
    <w:p>
      <w:pPr/>
      <w:r>
        <w:rPr>
          <w:b/>
        </w:rPr>
        <w:t>POSSIBLE 2024:</w:t>
      </w:r>
      <w:r>
        <w:t xml:space="preserve"> The Nature of Matter: An Inherent Element in the Interpretation of a Work of Art (Three-Dimensional) — https://doi.org/10.4236/adr.2024.124024</w:t>
      </w:r>
    </w:p>
    <w:p>
      <w:pPr/>
      <w:r>
        <w:rPr>
          <w:b/>
        </w:rPr>
        <w:t>Shared claim-specific concepts:</w:t>
      </w:r>
      <w:r>
        <w:t xml:space="preserve"> given, nature, work, complexity, they, techniques; EU scope not established. This is a provisional connection, not an outcome finding.</w:t>
      </w:r>
    </w:p>
    <w:p>
      <w:pPr>
        <w:pStyle w:val="SourceNote"/>
      </w:pPr>
      <w:r>
        <w:rPr>
          <w:b/>
        </w:rPr>
        <w:t>Available abstract (not full text):</w:t>
      </w:r>
      <w:r>
        <w:t xml:space="preserve"> In the arena of contemporary culture, the interpretation of a work of art is often based more on elements such as the thought of the artist, his influential reputation, and the theme or subject (such as the title of the work) than on the simple technique used (procedure, materials, and equipment) (Bal &amp; Bryson, 1991). However, it is essential to recognize that often overlooked techniques contain fundamental elements necessary for creating and analyzing a work of art. One crucial aspect of a piece of art is the matter (medium) from which it is made. Therefore, it is wise to consider this element for a more in-depth and nuanced understanding of the work. After an in-depth analysis of matter as a critical element in interpreting a work of art, we understand that matter, in its natural state, does not communicate directly by transmitting information. “The material is crafted through the skill of the artist”. The artwork may undergo transformation during the modelling process based on its art form. It acquires the capacity to arouse impressions and awaken sensitivities in the contemplator or the art critic (Chari, 2021). By mastering his technique, the artist manages to transcend the raw material to give it new life and a deeper meaning. By creatively manipulating the material, the artist manages to express emotions and ideas and elucidate concepts that transcend material limits to </w:t>
      </w:r>
    </w:p>
    <w:p>
      <w:pPr/>
      <w:r>
        <w:rPr>
          <w:b/>
        </w:rPr>
        <w:t>POSSIBLE 2024:</w:t>
      </w:r>
      <w:r>
        <w:t xml:space="preserve"> Patience Taught by Nature — https://doi.org/10.4324/9781003328810-35</w:t>
      </w:r>
    </w:p>
    <w:p>
      <w:pPr/>
      <w:r>
        <w:rPr>
          <w:b/>
        </w:rPr>
        <w:t>Shared claim-specific concepts:</w:t>
      </w:r>
      <w:r>
        <w:t xml:space="preserve"> given, nature, work, they, them; EU scope not established. This is a provisional connection, not an outcome finding.</w:t>
      </w:r>
    </w:p>
    <w:p>
      <w:pPr>
        <w:pStyle w:val="SourceNote"/>
      </w:pPr>
      <w:r>
        <w:rPr>
          <w:b/>
        </w:rPr>
        <w:t>Available abstract (not full text):</w:t>
      </w:r>
      <w:r>
        <w:t xml:space="preserve"> First published in Poems (1844) and included in 1850–6, the sonnet exists in an untitled draft (D0710) beginning ‘O weary life we say, o weary life’ in Berg Notebook II (D1398), which is dated 1843 and contains drafts for the 1844 Poems , among them four other sonnets: ‘Discontent’, which precedes this poem in all editions; and the companion ‘Cheerfulness Taught by Reason’ as well as ‘Exaggeration’ and ‘Adequacy’, which always follow it in that order. J. Ferrier reviewing for Blackwood’s (November 1844) cited the poem in full, one of five sonnets he included to illustrate ‘Miss Barrett’s genius’, the stylistic finish and the ‘depth and purity of sentiment’ in her best work ( BC , vol. 9, pp. 351–2); S[arah] F[lower] Adams in the Westminster Review (December 1844) also quoted the full poem ( BC , vol. 9, pp. 376–7). The Southern Quarterly Review (April 1845) named it with ‘Work’ as the two best sonnets – ‘if such they may be called’, given their irregularity – for the two ‘abound in beautiful and truthful thoughts’ ( BC , vol. 10, p. 387). To the Eclectic Review (November 1846), it exemplified EBB’s talent for representing abstract universals through commonplace particulars ( BC , vol. 14, p. 378).</w:t>
      </w:r>
    </w:p>
    <w:p>
      <w:pPr>
        <w:pStyle w:val="Heading2"/>
      </w:pPr>
      <w:r>
        <w:t>673. PREDICTION OF CUMULONIMBUS (CB) CLOUD BASED ON INTEGRATED FORECAST SYSTEM (IFS) OF EUROPEAN MEDIUM-RANGE WEATHER FORECAST (ECMWF)  IN THE FLIGHT INFORMATION REGION (FIR) OF JAKARTA AND UJUNG PANDANG</w:t>
      </w:r>
    </w:p>
    <w:p>
      <w:pPr>
        <w:pStyle w:val="SourceNote"/>
      </w:pPr>
      <w:r>
        <w:rPr>
          <w:b/>
        </w:rPr>
        <w:t>Original source (2020):</w:t>
      </w:r>
      <w:r>
        <w:t xml:space="preserve"> https://doi.org/10.29122/jstmc.v21i2.4100</w:t>
      </w:r>
    </w:p>
    <w:p>
      <w:pPr/>
      <w:r>
        <w:t>Original wording (abstract; indexed_source_text_not_full_document_verified): The study in the period other than 2019 is suggested for the next research because Indian Ocean Dipole (IOD) is extreme that may affect the Cb cloud growth in the study area.</w:t>
      </w:r>
    </w:p>
    <w:p>
      <w:pPr/>
      <w:r>
        <w:rPr>
          <w:b/>
        </w:rPr>
        <w:t>POSSIBLE 2026:</w:t>
      </w:r>
      <w:r>
        <w:t xml:space="preserve"> A Brief Account of Indian Administration During Ancient Period — https://doi.org/10.51244/ijrsi.2026.1308000263</w:t>
      </w:r>
    </w:p>
    <w:p>
      <w:pPr/>
      <w:r>
        <w:rPr>
          <w:b/>
        </w:rPr>
        <w:t>Shared claim-specific concepts:</w:t>
      </w:r>
      <w:r>
        <w:t xml:space="preserve"> period, because, indian; EU scope not established. This is a provisional connection, not an outcome finding.</w:t>
      </w:r>
    </w:p>
    <w:p>
      <w:pPr>
        <w:pStyle w:val="SourceNote"/>
      </w:pPr>
      <w:r>
        <w:rPr>
          <w:b/>
        </w:rPr>
        <w:t>Available abstract (not full text):</w:t>
      </w:r>
      <w:r>
        <w:t xml:space="preserve"> Administration is the governing mechanism of state affairs. The original state of nature is imagined to be one of the total anarchy, which signified ‘might was right’. The concept of a formal state was absent because of nomadic life at that time. People agreed to pay taxes and be ruled by one person in order to enjoy well-being and security. ‘Manu’ i.e. the law book of the Hinduism gave reference to about the formation of state. By the time of Mauryan period, the Indian Administrative system was well developed so their treatise provides a first detailed account about the formal administrative system followed in ancient time. It was famous for conversion of decentralized informal administrative structure into the centralized formal system of state. A set of administrative structure given by Kautilya’s administration have been analyzed the researcher in details. Researcher emphasized upon the world-famous Chanakya’s Niti which provides a fame and glory for the country at international relations and concludes with the legacy of administration in many aspects. Great efforts have been made to analyze the secondary data sources on administrative system of ancient period in this article.</w:t>
      </w:r>
    </w:p>
    <w:p>
      <w:pPr/>
      <w:r>
        <w:rPr>
          <w:b/>
        </w:rPr>
        <w:t>POSSIBLE 2025:</w:t>
      </w:r>
      <w:r>
        <w:t xml:space="preserve"> Indian Anthropology Against the Backdrop of World Anthropology — https://doi.org/10.1177/0972558x251320485</w:t>
      </w:r>
    </w:p>
    <w:p>
      <w:pPr/>
      <w:r>
        <w:rPr>
          <w:b/>
        </w:rPr>
        <w:t>Shared claim-specific concepts:</w:t>
      </w:r>
      <w:r>
        <w:t xml:space="preserve"> period, other, next, because, indian; EU scope visible. This is a provisional connection, not an outcome finding.</w:t>
      </w:r>
    </w:p>
    <w:p>
      <w:pPr>
        <w:pStyle w:val="SourceNote"/>
      </w:pPr>
      <w:r>
        <w:rPr>
          <w:b/>
        </w:rPr>
        <w:t>Available abstract (not full text):</w:t>
      </w:r>
      <w:r>
        <w:t xml:space="preserve"> With regard to the status of Indian anthropology against the backdrop of world anthropology, I have mixed feelings of both pessimism and optimism . I feel pessimistic because, to the best of my knowledge, barring one exception in Professor Kewal Krishan in the field of forensic anthropology (who has been recently appointed as one of the editors of the prestigious journal The Science of Nature ), I would only be enlightened to learn if any Indian anthropologist has contributed to any theoretical and/or fundamental research in any branch of the discipline! Unless new theories, concepts, and hypotheses are added to a scientific discipline through fundamental research, the discipline would cease to grow; rather, would become stagnant or sterile. Very regretfully, I think that Indian anthropology has been passing through such a phase and, therefore, has failed to evolve its own distinct identity in world anthropology. At the same time, however, I am also very much optimistic in that India (read the Indian subcontinent) is the best anthropological laboratory in the world for research in all the branches of the discipline. It is my very firm belief that, in terms of variety of cultures, India stands next only to the continent of Africa, perhaps, and in terms of antiquity , she is next to none. Other than the variety and antiquity of human cultures and civilizations, what else is neede</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period, other, extreme;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2024:</w:t>
      </w:r>
      <w:r>
        <w:t xml:space="preserve"> Housing affordability and poverty in Europe: on the deteriorating position of market renters — https://doi.org/10.1017/s0047279423000703</w:t>
      </w:r>
    </w:p>
    <w:p>
      <w:pPr/>
      <w:r>
        <w:rPr>
          <w:b/>
        </w:rPr>
        <w:t>Shared claim-specific concepts:</w:t>
      </w:r>
      <w:r>
        <w:t xml:space="preserve"> period, other, suggested; EU scope visible. This is a provisional connection, not an outcome finding.</w:t>
      </w:r>
    </w:p>
    <w:p>
      <w:pPr>
        <w:pStyle w:val="SourceNote"/>
      </w:pPr>
      <w:r>
        <w:rPr>
          <w:b/>
        </w:rPr>
        <w:t>Available abstract (not full text):</w:t>
      </w:r>
      <w:r>
        <w:t xml:space="preserve"> Abstract There are growing concerns about housing affordability throughout Europe. Recent studies by Housing Europe and the OECD have suggested that we are witnessing a generalised deterioration in housing affordability, while other studies point to worsening housing affordability for specific groups, such as renters or low-income households. The aim of this paper is to explore trends in, and incidences and determinants of, housing affordability in a comparative European context over the period 2010 to 2018. To do this we analyse data from the EU Statistics on Income and Living Conditions survey. We examine trends across different measures of housing affordability; examine its association with a variety of socio-economic characteristics and explore country-level differences in housing affordability problems. Our study finds that despite claims of worsening housing affordability, affordability measures show little sign of generalised deterioration over the period in question but that risks of affordability problems have become more concentrated on market renters during this period. At the country level, we find that gross domestic product (GDP) per capita and the at-risk-of-poverty rate are associated with housing affordability problems both between countries as well as within countries over time, while housing allowance coverage and rent regulation stringency are associated wit</w:t>
      </w:r>
    </w:p>
    <w:p>
      <w:pPr/>
      <w:r>
        <w:rPr>
          <w:b/>
        </w:rPr>
        <w:t>POSSIBLE 2024:</w:t>
      </w:r>
      <w:r>
        <w:t xml:space="preserve"> Irreducible Difference: Abdulrazak Gurnah as an Indian Ocean Writer — https://doi.org/10.1215/2834698x-11165274</w:t>
      </w:r>
    </w:p>
    <w:p>
      <w:pPr/>
      <w:r>
        <w:rPr>
          <w:b/>
        </w:rPr>
        <w:t>Shared claim-specific concepts:</w:t>
      </w:r>
      <w:r>
        <w:t xml:space="preserve"> other, because, indian, ocean; EU scope not established. This is a provisional connection, not an outcome finding.</w:t>
      </w:r>
    </w:p>
    <w:p>
      <w:pPr>
        <w:pStyle w:val="SourceNote"/>
      </w:pPr>
      <w:r>
        <w:rPr>
          <w:b/>
        </w:rPr>
        <w:t>Available abstract (not full text):</w:t>
      </w:r>
      <w:r>
        <w:t xml:space="preserve"> Although Abdulrazak Gurnah has long been a prominent postcolonial Anglophone writer, his recent award of the Nobel Prize in Literature in 2021 after publishing ten novels has brought his work and life unprecedented attention. While a comprehensive review of Gurnah's work is beyond the scope of this piece, what follows is a consideration of Gurnah as an Indian Ocean writer. Originally from Zanzibar, he escaped to Great Britain after the genocide against Arabs and South Asians in the Zanzibar Revolution of 1964. It is perhaps unsurprising therefore that his work touches on a dizzying array of postcolonial subjects including belonging, colonialism, displacement, memory, and migration set mainly on the shores of East Africa and Britain. Moving from one island to another, Gurnah and his work constantly negotiate the assemblages of sea, continent, and island. While the multifarious nature of Gurnah's work has been the basis of nearly universal praise and much analysis, categorizing them has been more difficult.For Gurnah, the question of categorization is particularly fraught territory because he transcends many categories. He is referred to as an African writer, a Black British writer, an Indian Ocean writer, an Afropolitan writer, a World Literature writer, and a postcolonial writer, among others. For example, Google refers to him as both a Tanzanian-British writer and a Tanzanian-</w:t>
      </w:r>
    </w:p>
    <w:p>
      <w:pPr/>
      <w:r>
        <w:rPr>
          <w:b/>
        </w:rPr>
        <w:t>POSSIBLE 2023:</w:t>
      </w:r>
      <w:r>
        <w:t xml:space="preserve"> Cruel Conquerors and a Solomonic Saint: European Collectors’ Interests in Indian Muraqqaʿs — https://doi.org/10.1515/9783111321462-004</w:t>
      </w:r>
    </w:p>
    <w:p>
      <w:pPr/>
      <w:r>
        <w:rPr>
          <w:b/>
        </w:rPr>
        <w:t>Shared claim-specific concepts:</w:t>
      </w:r>
      <w:r>
        <w:t xml:space="preserve"> period, other, indian; EU scope visible. This is a provisional connection, not an outcome finding.</w:t>
      </w:r>
    </w:p>
    <w:p>
      <w:pPr>
        <w:pStyle w:val="SourceNote"/>
      </w:pPr>
      <w:r>
        <w:rPr>
          <w:b/>
        </w:rPr>
        <w:t>Available abstract (not full text):</w:t>
      </w:r>
      <w:r>
        <w:t xml:space="preserve"> The essay argues that Europeans living and acting in India during the second half of the eighteenth century - the period before India became part of the colonial British Empire - were interested in collecting specific motifs within the Indian albums (muraqqaʿs) that they acquired and often commissioned. The study examines three recurrent portraits. Timur and Nadir Shah - both conquerors of India of Turkic origin - might have been regarded as historical role models by the French and British representatives who then strove to infiltrate the centres of Mughal power. Conversely, the Sufi saint Ibrahim ibn-i Adham might have represented the religious dimension of Indian society. The two contrasting motifs presumably also conveyed the persistent cliché of Muslim violence on the one hand and, on the other, the passivity ascribed in European texts to the Indian population.</w:t>
      </w:r>
    </w:p>
    <w:p>
      <w:pPr/>
      <w:r>
        <w:rPr>
          <w:b/>
        </w:rPr>
        <w:t>POSSIBLE 2023:</w:t>
      </w:r>
      <w:r>
        <w:t xml:space="preserve"> Dynamic Spillovers of Economic Policy Uncertainty Across the US, Europe, and East Asia — https://doi.org/10.1080/1226508x.2023.2243066</w:t>
      </w:r>
    </w:p>
    <w:p>
      <w:pPr/>
      <w:r>
        <w:rPr>
          <w:b/>
        </w:rPr>
        <w:t>Shared claim-specific concepts:</w:t>
      </w:r>
      <w:r>
        <w:t xml:space="preserve"> period, other, because, affect; EU scope visible. This is a provisional connection, not an outcome finding.</w:t>
      </w:r>
    </w:p>
    <w:p>
      <w:pPr>
        <w:pStyle w:val="SourceNote"/>
      </w:pPr>
      <w:r>
        <w:rPr>
          <w:b/>
        </w:rPr>
        <w:t>Available abstract (not full text):</w:t>
      </w:r>
      <w:r>
        <w:t xml:space="preserve"> This study investigates the dynamic spillovers and asymmetric connectedness of economic policy uncertainty across different economies that primarily affect Korea, that is, the US, Europe, China, and Japan. We find that dynamic connectedness over time is closely associated with substantial economic disruptions because shocks to economic policy uncertainty tend to spill over to a greater extent during turbulent times. The investigation of the economic policy uncertainty transmission mechanism reveals that while the US and Europe are the main transmitters of uncertainty shocks, China, Japan, and Korea are the receivers over the sample period. However, China became a strong transmitter to other economies in 2020. Overall, our findings suggest that economic circumstances can lead to asymmetric connectedness among the corresponding economies and significant spillovers from major economies to Korea through economic policy uncertainty.</w:t>
      </w:r>
    </w:p>
    <w:p>
      <w:pPr/>
      <w:r>
        <w:rPr>
          <w:b/>
        </w:rPr>
        <w:t>POSSIBLE 2022:</w:t>
      </w:r>
      <w:r>
        <w:t xml:space="preserve"> Pyrogeography: An Alternative Zonation for Europe — https://doi.org/10.3390/environsciproc2022017080</w:t>
      </w:r>
    </w:p>
    <w:p>
      <w:pPr/>
      <w:r>
        <w:rPr>
          <w:b/>
        </w:rPr>
        <w:t>Shared claim-specific concepts:</w:t>
      </w:r>
      <w:r>
        <w:t xml:space="preserve"> period, other, area; EU scope visible. This is a provisional connection, not an outcome finding.</w:t>
      </w:r>
    </w:p>
    <w:p>
      <w:pPr>
        <w:pStyle w:val="SourceNote"/>
      </w:pPr>
      <w:r>
        <w:rPr>
          <w:b/>
        </w:rPr>
        <w:t>Available abstract (not full text):</w:t>
      </w:r>
      <w:r>
        <w:t xml:space="preserve"> first_page settings Order Article Reprints Font Type: Arial Georgia Verdana Font Size: Aa Aa Aa Line Spacing:    Column Width:    Background: Open AccessAbstract Pyrogeography: An Alternative Zonation for Europe † by Luiz Felipe Galizia 1,2,*, Renaud Barbero 1, Marcos Rodrigues 3,4 and Thomas Curt 1 1 RECOVER, INRAE, 13182 Aix-en-Provence, France 2 Doctoral School Environmental Sciences, Aix-Marseille University, 13007 Marseille, France 3 Department of Geography, University of Zaragoza, 50009 Zaragoza, Spain 4 Department of Agriculture and Forest Engineering, University of Lleida, 25003 Lleida, Spain * Author to whom correspondence should be addressed. † Presented at the Third International Conference on Fire Behavior and Risk, Sardinia, Italy, 3–6 May 2022. Environ. Sci. Proc. 2022, 17(1), 80; https://doi.org/10.3390/environsciproc2022017080 Published: 16 August 2022 (This article belongs to the Proceedings of The Third International Conference on Fire Behavior and Risk) Download Download PDF Download XML Download Epub Browse Figure Versions Notes Studies dealing with wildland fire at global or continental scales normally use coarse-resolution spatial units, within which fire-regime components are aggregated for statistical purposes. Here, we developed the first European pyrogeography based on different fire-regime components to better capture the spatial heterogeneity o</w:t>
      </w:r>
    </w:p>
    <w:p>
      <w:pPr/>
      <w:r>
        <w:rPr>
          <w:b/>
        </w:rPr>
        <w:t>POSSIBLE 2021:</w:t>
      </w:r>
      <w:r>
        <w:t xml:space="preserve"> The Contraction of European Economic Distances through Sustainable Tourism in the Pre-Pandemic Period — https://doi.org/10.2478/zireb-2021-0013</w:t>
      </w:r>
    </w:p>
    <w:p>
      <w:pPr/>
      <w:r>
        <w:rPr>
          <w:b/>
        </w:rPr>
        <w:t>Shared claim-specific concepts:</w:t>
      </w:r>
      <w:r>
        <w:t xml:space="preserve"> period, other; EU scope visible. This is a provisional connection, not an outcome finding.</w:t>
      </w:r>
    </w:p>
    <w:p>
      <w:pPr>
        <w:pStyle w:val="SourceNote"/>
      </w:pPr>
      <w:r>
        <w:rPr>
          <w:b/>
        </w:rPr>
        <w:t>Available abstract (not full text):</w:t>
      </w:r>
      <w:r>
        <w:t xml:space="preserve"> Abstract The current importance of tourism leads us to analyze the extent to which the receipts from international tourism, and tourism in general, influence the capacity of European countries to reduce the development gaps of this sector in the European context and the extent to which the economic growth is sensitive to changes in tourist arrivals, tourism receipts and expenditures. Studying the GDP per capita and the receipts from international tourism for the period 1995-2017, we find that the European tourism has an important role in economy but secondary to capital stock and exports. The methodology used is a sensitivity analysis and a multiple linear regression with two models. The results show that, on short term, the gap in the European tourism sector is explained by the ability to attract income from the international tourism. The European growth of the tourism sector depends to a large extent on the amount of expenditures that tourists are making, on tourism receipts and, to a lesser extent, on tourist arrivals, but in all cases, the connection is a direct and positive one but, even so, the capital stock and the exports continue to play a very important role for the European economy. The analysis suggests that tourism is not a panacea for growth. On the contrary, it is one of the activities that stimulate growth along with investments, technology, or any other form of</w:t>
      </w:r>
    </w:p>
    <w:p>
      <w:pPr/>
      <w:r>
        <w:rPr>
          <w:b/>
        </w:rPr>
        <w:t>POSSIBLE 2021:</w:t>
      </w:r>
      <w:r>
        <w:t xml:space="preserve"> Storm and fire disturbances in Europe: Distribution and trends — https://doi.org/10.1111/gcb.15679</w:t>
      </w:r>
    </w:p>
    <w:p>
      <w:pPr/>
      <w:r>
        <w:rPr>
          <w:b/>
        </w:rPr>
        <w:t>Shared claim-specific concepts:</w:t>
      </w:r>
      <w:r>
        <w:t xml:space="preserve"> period, other, area; EU scope visible. This is a provisional connection, not an outcome finding.</w:t>
      </w:r>
    </w:p>
    <w:p>
      <w:pPr>
        <w:pStyle w:val="SourceNote"/>
      </w:pPr>
      <w:r>
        <w:rPr>
          <w:b/>
        </w:rPr>
        <w:t>Available abstract (not full text):</w:t>
      </w:r>
      <w:r>
        <w:t xml:space="preserve"> Abiotic forest disturbances are an important driver of ecosystem dynamics. In Europe, storms and fires have been identified as the most important abiotic disturbances in the recent past. Yet, how strongly these agents drive local disturbance regimes compared to other agents (e.g., biotic, human) remains unresolved. Furthermore, whether storms and fires are responsible for the observed increase in forest disturbances in Europe is debated. Here, we provide quantitative evidence for the prevalence of storm and fire disturbances in Europe 1986-2016. For 27 million disturbance patches mapped from satellite data, we determined whether they were caused by storm or fire, using a random forest classifier and a large reference dataset of true disturbance occurrences. We subsequently analyzed patterns of disturbance prevalence (i.e., the share of an agent on the overall area disturbed) in space and time. Storm- and fire-related disturbances each accounted for approximately 7% of all disturbances recorded in Europe in the period 1986-2016. Storm-related disturbances were most prevalent in western and central Europe, where they locally accounted for &gt;50% of all disturbances, but we also identified storm-related disturbances in south-eastern and eastern Europe. Fire-related disturbances were a major disturbance agent in southern and south-eastern Europe, but fires also occurred in eastern an</w:t>
      </w:r>
    </w:p>
    <w:p>
      <w:pPr/>
      <w:r>
        <w:rPr>
          <w:b/>
        </w:rPr>
        <w:t>POSSIBLE 2021:</w:t>
      </w:r>
      <w:r>
        <w:t xml:space="preserve"> Western Europe — https://doi.org/10.1017/9781316671603.003</w:t>
      </w:r>
    </w:p>
    <w:p>
      <w:pPr/>
      <w:r>
        <w:rPr>
          <w:b/>
        </w:rPr>
        <w:t>Shared claim-specific concepts:</w:t>
      </w:r>
      <w:r>
        <w:t xml:space="preserve"> period, suggested; EU scope visible. This is a provisional connection, not an outcome finding.</w:t>
      </w:r>
    </w:p>
    <w:p>
      <w:pPr>
        <w:pStyle w:val="SourceNote"/>
      </w:pPr>
      <w:r>
        <w:rPr>
          <w:b/>
        </w:rPr>
        <w:t>Available abstract (not full text):</w:t>
      </w:r>
      <w:r>
        <w:t xml:space="preserve"> This chapter considers the growth performance of western European countries since 1870, and relates this to the degree of openness. A theoretical explanation of why convergence is predicted by economic theory is presented and some statistics are presented on GDP per capita and the contributions of various factors to growth performance. Three periods are considered: 1870 until World War I; the interwar period; and after World War II. The first and the last are associated with globalization and convergence, whereas the interwar period witnessed increasing levels of economic isolation and lack of convergence. All western European countries are much richer today than they were in 1870, but some countries have performed much more strongly than others. Over- and underperforming countries, whose growth performances were markedly different from what might be expected from their initial levels of income, are highlighted, and possible interpretations suggested.</w:t>
      </w:r>
    </w:p>
    <w:p>
      <w:pPr/>
      <w:r>
        <w:rPr>
          <w:b/>
        </w:rPr>
        <w:t>POSSIBLE 2021:</w:t>
      </w:r>
      <w:r>
        <w:t xml:space="preserve"> Europe Annexes the Tropics — https://doi.org/10.1201/9781003208983-8</w:t>
      </w:r>
    </w:p>
    <w:p>
      <w:pPr/>
      <w:r>
        <w:rPr>
          <w:b/>
        </w:rPr>
        <w:t>Shared claim-specific concepts:</w:t>
      </w:r>
      <w:r>
        <w:t xml:space="preserve"> period, other, because; EU scope visible. This is a provisional connection, not an outcome finding.</w:t>
      </w:r>
    </w:p>
    <w:p>
      <w:pPr>
        <w:pStyle w:val="SourceNote"/>
      </w:pPr>
      <w:r>
        <w:rPr>
          <w:b/>
        </w:rPr>
        <w:t>Available abstract (not full text):</w:t>
      </w:r>
      <w:r>
        <w:t xml:space="preserve"> The tropical societies and the agricultural systems that supported them underwent a dramatic period of shock and change from the end of the 15th century onward. The growing merchant class resented paying vast profits to the merchants of Venice, who were the only people with whom the Turks would trade, and so. The spices were of particular interest because the agriculture of the Middle Ages in Europe had not discovered how to keep large numbers of livestock alive through the hardships of winter when there were no crops to graze. The widespread destruction — of societies, farm systems, and huge numbers of Indians — that resulted from the "gold fever" needs some explanation. The Catholic religion was the only one acceptable in the eyes of the Spanish church and court. Unbelievers, even those following other forms of Christian belief, were tortured into changing their faith back to Catholicism.</w:t>
      </w:r>
    </w:p>
    <w:p>
      <w:pPr>
        <w:pStyle w:val="Heading2"/>
      </w:pPr>
      <w:r>
        <w:t>674. PROBLEM OF PROFESSIONAL TRAINING OF FUTURE ECONOMISTS FOR DEVELOPMENT OF NATIONAL ECONOMY UNDER CONDITIONS OF EUROPEAN INTEGRATION</w:t>
      </w:r>
    </w:p>
    <w:p>
      <w:pPr>
        <w:pStyle w:val="SourceNote"/>
      </w:pPr>
      <w:r>
        <w:rPr>
          <w:b/>
        </w:rPr>
        <w:t>Original source (2020):</w:t>
      </w:r>
      <w:r>
        <w:t xml:space="preserve"> https://doi.org/10.30525/2256-0742/2020-6-5-148-154</w:t>
      </w:r>
    </w:p>
    <w:p>
      <w:pPr/>
      <w:r>
        <w:t>Original wording (abstract; indexed_source_text_not_full_document_verified): Core competencies for future economists, which they must acquire at the universities in the process of professional training and which they will promote participating in the development of national economy of Ukraine, are outlined. In particular, the introduction of individual educational trajectory of economists with a projection on elective courses and extrapolation into future economic practice is recommended.</w:t>
      </w:r>
    </w:p>
    <w:p>
      <w:pPr/>
      <w:r>
        <w:rPr>
          <w:b/>
        </w:rPr>
        <w:t>POSSIBLE 2026:</w:t>
      </w:r>
      <w:r>
        <w:t xml:space="preserve"> Competency-based European training requirements for the specialty of ophthalmology — https://openalex.org/W7155593103</w:t>
      </w:r>
    </w:p>
    <w:p>
      <w:pPr/>
      <w:r>
        <w:rPr>
          <w:b/>
        </w:rPr>
        <w:t>Shared claim-specific concepts:</w:t>
      </w:r>
      <w:r>
        <w:t xml:space="preserve"> core, competencies, must, acquire, professional, training; EU scope visible. This is a provisional connection, not an outcome finding.</w:t>
      </w:r>
    </w:p>
    <w:p>
      <w:pPr>
        <w:pStyle w:val="SourceNote"/>
      </w:pPr>
      <w:r>
        <w:rPr>
          <w:b/>
        </w:rPr>
        <w:t>Available abstract (not full text):</w:t>
      </w:r>
      <w:r>
        <w:t xml:space="preserve"> Purpose: Ophthalmology encompasses comprehensive medical and surgical care for patients with diverse visual system disorders, significantly impacting eye health, vision, and quality of life. European ophthalmologists undergo specialized residency training to acquire necessary competencies, emphasizing theoretical knowledge, clinical and surgical skills, and professional behaviour. The European Union of Medical Specialists (UEMS) and the European Board of Ophthalmology (EBO) advocate for competency-based medical education (CBME), standardized training frameworks, and harmonized assessments across Europe. Methods: In 2023, a survey among European ophthalmologists demonstrated broad consensus on establishing unified training requirements. Subsequently, a Core Working Group developed European Training Requirements (ETRs) for ophthalmology, detailing curricula, subspecialty rotations, and Entrustable Professional Activities (EPAs) across a structured four-year residency. Results: These ETRs, formally approved by UEMS in October 2024, incorporate simulation-based training, workplace-based assessments (WPBA), and innovative evaluation methods such as electronic portfolios. Certification as a European Specialist in Ophthalmology involves passing rigorous summative assessments, including the European Board of Ophthalmology Diploma (EBOD) examination. Training institutions must offer sub</w:t>
      </w:r>
    </w:p>
    <w:p>
      <w:pPr/>
      <w:r>
        <w:rPr>
          <w:b/>
        </w:rPr>
        <w:t>POSSIBLE 2026:</w:t>
      </w:r>
      <w:r>
        <w:t xml:space="preserve"> Digital Literacy as a Core Competency in Higher Education — https://openalex.org/W7216688389</w:t>
      </w:r>
    </w:p>
    <w:p>
      <w:pPr/>
      <w:r>
        <w:rPr>
          <w:b/>
        </w:rPr>
        <w:t>Shared claim-specific concepts:</w:t>
      </w:r>
      <w:r>
        <w:t xml:space="preserve"> core, professional, educational; EU scope not established. This is a provisional connection, not an outcome finding.</w:t>
      </w:r>
    </w:p>
    <w:p>
      <w:pPr>
        <w:pStyle w:val="SourceNote"/>
      </w:pPr>
      <w:r>
        <w:rPr>
          <w:b/>
        </w:rPr>
        <w:t>Available abstract (not full text):</w:t>
      </w:r>
      <w:r>
        <w:t xml:space="preserve"> Digital literacy has emerged as a critical competency in higher education, reflecting the growing role of information and communication technologies (ICT), online learning platforms, and digital resources in academic engagement, knowledge creation, and professional readiness. This review paper critically examines the role of digital literacy as an essential skill for higher education students, exploring its conceptual framework, theoretical underpinnings, pedagogical integration, institutional strategies, assessment approaches, and policy implications. Drawing on research from educational technology, learning sciences, digital pedagogy, higher education administration, information literacy studies, and competency-based learning frameworks, the paper analyzes how digital literacy enhances academic performance, promotes self-directed learning, fosters critical thinking, supports ethical and safe digital engagement, and prepares students for knowledge-intensive professions. The review highlights institutional initiatives, curriculum integration strategies, faculty capacity building, and technology-enabled pedagogical practices that cultivate digital literacy across disciplines. Furthermore, it examines challenges such as digital divide, access inequity, faculty readiness, infrastructural limitations, and assessment standardization. The study concludes that embedding digital litera</w:t>
      </w:r>
    </w:p>
    <w:p>
      <w:pPr/>
      <w:r>
        <w:rPr>
          <w:b/>
        </w:rPr>
        <w:t>POSSIBLE 2026:</w:t>
      </w:r>
      <w:r>
        <w:t xml:space="preserve"> Competency-based European training requirements for the specialty of ophthalmology. Recommendations from the UEMS section of ophthalmology and the European Board of Ophthalmology — https://openalex.org/W7149229150</w:t>
      </w:r>
    </w:p>
    <w:p>
      <w:pPr/>
      <w:r>
        <w:rPr>
          <w:b/>
        </w:rPr>
        <w:t>Shared claim-specific concepts:</w:t>
      </w:r>
      <w:r>
        <w:t xml:space="preserve"> core, competencies, must, acquire, professional, training; EU scope visible. This is a provisional connection, not an outcome finding.</w:t>
      </w:r>
    </w:p>
    <w:p>
      <w:pPr>
        <w:pStyle w:val="SourceNote"/>
      </w:pPr>
      <w:r>
        <w:rPr>
          <w:b/>
        </w:rPr>
        <w:t>Available abstract (not full text):</w:t>
      </w:r>
      <w:r>
        <w:t xml:space="preserve"> PURPOSE: Ophthalmology encompasses comprehensive medical and surgical care for patients with diverse visual system disorders, significantly impacting eye health, vision, and quality of life. European ophthalmologists undergo specialized residency training to acquire necessary competencies, emphasizing theoretical knowledge, clinical and surgical skills, and professional behaviour. The European Union of Medical Specialists (UEMS) and the European Board of Ophthalmology (EBO) advocate for competency-based medical education (CBME), standardized training frameworks, and harmonized assessments across Europe. METHODS: In 2023, a survey among European ophthalmologists demonstrated broad consensus on establishing unified training requirements. Subsequently, a Core Working Group developed European Training Requirements (ETRs) for ophthalmology, detailing curricula, subspecialty rotations, and Entrustable Professional Activities (EPAs) across a structured four-year residency. RESULTS: These ETRs, formally approved by UEMS in October 2024, incorporate simulation-based training, workplace-based assessments (WPBA), and innovative evaluation methods such as electronic portfolios. Certification as a European Specialist in Ophthalmology involves passing rigorous summative assessments, including the European Board of Ophthalmology Diploma (EBOD) examination. Training institutions must offer sub</w:t>
      </w:r>
    </w:p>
    <w:p>
      <w:pPr/>
      <w:r>
        <w:rPr>
          <w:b/>
        </w:rPr>
        <w:t>POSSIBLE 2026:</w:t>
      </w:r>
      <w:r>
        <w:t xml:space="preserve"> FOSTERING FUTURE ECONOMISTS’ AI LITERACY SKILLS IN THE PROCESS OF MASTERING BUSINESS ENGLISH AT THE ECONOMIC UNIVERSITY — https://doi.org/10.52058/2786-6025-2026-2(56)-566-582</w:t>
      </w:r>
    </w:p>
    <w:p>
      <w:pPr/>
      <w:r>
        <w:rPr>
          <w:b/>
        </w:rPr>
        <w:t>Shared claim-specific concepts:</w:t>
      </w:r>
      <w:r>
        <w:t xml:space="preserve"> competencies, economists, process, professional; EU scope not established. This is a provisional connection, not an outcome finding.</w:t>
      </w:r>
    </w:p>
    <w:p>
      <w:pPr>
        <w:pStyle w:val="SourceNote"/>
      </w:pPr>
      <w:r>
        <w:rPr>
          <w:b/>
        </w:rPr>
        <w:t>Available abstract (not full text):</w:t>
      </w:r>
      <w:r>
        <w:t xml:space="preserve"> The rapid integration of artificial intelligence (AI) into global economic systems is transforming professional communication, data analysis, and decision-making processes.In this context, future economists are expected not only to demonstrate a high level of Business English proficiency but also possess welldeveloped AI literacy skills.The present study explores pedagogical strategies for fostering AI literacy among economics students in the process of mastering Business English at the university level.The paper defines AI literacy as a multidimensional competence that includes understanding fundamental AI principles, the ability to critically evaluate AIgenerated content, ethical awareness, and the capacity to efficiently and responsibly use AI tools for professional communication and the area of expertise.Integrating AIrelated content into Business English instruction creates a dual-focus learning environment in which language acquisition is combined with the development of digital and analytical competencies.The research outlines practical approaches such as task-based learning with AIpowered tools, the analysis of AI-generated business reports, simulations of datadriven decision-making, and structured prompt design activities in English.These methods encourage students to refine professional vocabulary, improve communicative accuracy, and cultivate critical thinking skills</w:t>
      </w:r>
    </w:p>
    <w:p>
      <w:pPr/>
      <w:r>
        <w:rPr>
          <w:b/>
        </w:rPr>
        <w:t>POSSIBLE 2025:</w:t>
      </w:r>
      <w:r>
        <w:t xml:space="preserve"> Art Core Competency in Chinese Secondary Vocational Schools: A Systematic Literature Review — https://doi.org/10.6007/ijarbss/v15-i1/24498</w:t>
      </w:r>
    </w:p>
    <w:p>
      <w:pPr/>
      <w:r>
        <w:rPr>
          <w:b/>
        </w:rPr>
        <w:t>Shared claim-specific concepts:</w:t>
      </w:r>
      <w:r>
        <w:t xml:space="preserve"> core, competencies, professional, training, educational; EU scope not established. This is a provisional connection, not an outcome finding.</w:t>
      </w:r>
    </w:p>
    <w:p>
      <w:pPr>
        <w:pStyle w:val="SourceNote"/>
      </w:pPr>
      <w:r>
        <w:rPr>
          <w:b/>
        </w:rPr>
        <w:t>Available abstract (not full text):</w:t>
      </w:r>
      <w:r>
        <w:t xml:space="preserve"> The education system greatly emphasises cultivating the students' skills to succeed in the 21st century.The Ministry of Education in China advocates for the developing students' core competencies and has introduced the concept of art core competencies to integrate more closely with the art discipline.Teachers aim to cultivate art core competencies as an educational goal.However, The current literature lacks a scope review of relevant research on the core competencies of vocational art in the context of core competencies.Therefore, researchers emphasize the need for a systematic review of existing studies to gather information on the research regarding art core competencies in Chinese secondary vocational schools.This review identifies three key questions: (1) What are the dominant themes associated with art core competency in secondary vocational schools in China?(2) How do secondary vocational schools cultivate art core competencies in China?(3) What difficulties are encountered in cultivating art core competencies?The literature review on art core competencies in Chinese secondary vocational schools reveals that student-centered approaches, multimedia-assisted teaching, problem-based learning contexts, and diversified assessment strategies are the primary methods art teachers use to implement core competencies.Moreover, the findings also indicate that teachers face challenges</w:t>
      </w:r>
    </w:p>
    <w:p>
      <w:pPr/>
      <w:r>
        <w:rPr>
          <w:b/>
        </w:rPr>
        <w:t>POSSIBLE 2025:</w:t>
      </w:r>
      <w:r>
        <w:t xml:space="preserve"> Economists, Economic Knowledge, and Central Banks — https://doi.org/10.31235/osf.io/acymv_v1</w:t>
      </w:r>
    </w:p>
    <w:p>
      <w:pPr/>
      <w:r>
        <w:rPr>
          <w:b/>
        </w:rPr>
        <w:t>Shared claim-specific concepts:</w:t>
      </w:r>
      <w:r>
        <w:t xml:space="preserve"> economists, process, national; EU scope not established. This is a provisional connection, not an outcome finding.</w:t>
      </w:r>
    </w:p>
    <w:p>
      <w:pPr>
        <w:pStyle w:val="SourceNote"/>
      </w:pPr>
      <w:r>
        <w:rPr>
          <w:b/>
        </w:rPr>
        <w:t>Available abstract (not full text):</w:t>
      </w:r>
      <w:r>
        <w:t xml:space="preserve"> What do economists do in central banks? Why do central banks hire economists? This book investigates the evolving role of economists and economic knowledge within central banks, arguing that their current centrality is neither self-evident nor historically inevitable. While the presence and influence of economists in central banks today may seem natural, this book shows that it is the result of a complex, gradual, and uneven historical process shaped by institutional structures, disciplinary transformations, and shifting relationships between science and policy. Drawing on a rich but dispersed body of literature, the book traces how economists progressively gained authority through the establishment of statistics departments, the adoption of macroeconometric models, and the emergence of a shared cognitive infrastructure between academia and central banks. Rather than focusing on individuals or doctrines, it examines general trends and institutional shifts across a series of national case studies to show how central banks function as boundary organizations, at the intersection of policy and science.[Version Submitted to Cambridge University Press Elements series.]</w:t>
      </w:r>
    </w:p>
    <w:p>
      <w:pPr/>
      <w:r>
        <w:rPr>
          <w:b/>
        </w:rPr>
        <w:t>POSSIBLE 2025:</w:t>
      </w:r>
      <w:r>
        <w:t xml:space="preserve"> EMPLOYERS' PERCEPTIONS OF THE ROLE OF ENGLISH-LANGUAGE COMPETENCE OF ECONOMISTS IN THE DEVELOPMENT OF INNOVATIVE ACTIVITY OF ENTERPRISES — https://doi.org/10.30525/2256-0742/2025-11-5-414-424</w:t>
      </w:r>
    </w:p>
    <w:p>
      <w:pPr/>
      <w:r>
        <w:rPr>
          <w:b/>
        </w:rPr>
        <w:t>Shared claim-specific concepts:</w:t>
      </w:r>
      <w:r>
        <w:t xml:space="preserve"> economists, they, professional, training, ukraine, individual; EU scope not established. This is a provisional connection, not an outcome finding.</w:t>
      </w:r>
    </w:p>
    <w:p>
      <w:pPr>
        <w:pStyle w:val="SourceNote"/>
      </w:pPr>
      <w:r>
        <w:rPr>
          <w:b/>
        </w:rPr>
        <w:t>Available abstract (not full text):</w:t>
      </w:r>
      <w:r>
        <w:t xml:space="preserve"> Economic transformation and intensified international competition increase the demand for specialists capable of operating across linguistic and cultural borders. This study examines how employers in Ukraine assess economists’ English language competence and how they relate it to enterprise innovation. The aim is to explore employers’ evaluations of economists’ English skills and their perceived contribution to innovation-related activities and overall company performance. The analysis is based on a quantitative survey of 50 employers from the IT, financial, service, and production sectors who evaluated selected economist employees using five-point Likert scales. The questionnaire captures three groups of indicators: perceived level and use of English at work, perceived impact of English on individual performance, and perceived impact of English on enterprise development. Descriptive statistics show that employers rate initial English proficiency at 3.6 points on average, frequency of use at 3.9, and quality of English-mediated task performance at 3.7, which indicates regular use with considerable room for improvement. Employers also give high scores to the impact of English on communication with partners and clients (4.6) and on overall work effectiveness (4.4), while they rate its contribution to participation in new or international projects at 4.1. At the enterprise level t</w:t>
      </w:r>
    </w:p>
    <w:p>
      <w:pPr/>
      <w:r>
        <w:rPr>
          <w:b/>
        </w:rPr>
        <w:t>POSSIBLE 2025:</w:t>
      </w:r>
      <w:r>
        <w:t xml:space="preserve"> Competency‐based European training requirements for the specialty of ophthalmology. Recommendations from the UEMS section of ophthalmology and the European Board of Ophthalmology — https://doi.org/10.1111/aos.17575</w:t>
      </w:r>
    </w:p>
    <w:p>
      <w:pPr/>
      <w:r>
        <w:rPr>
          <w:b/>
        </w:rPr>
        <w:t>Shared claim-specific concepts:</w:t>
      </w:r>
      <w:r>
        <w:t xml:space="preserve"> core, competencies, must, acquire, professional, training; EU scope visible. This is a provisional connection, not an outcome finding.</w:t>
      </w:r>
    </w:p>
    <w:p>
      <w:pPr>
        <w:pStyle w:val="SourceNote"/>
      </w:pPr>
      <w:r>
        <w:rPr>
          <w:b/>
        </w:rPr>
        <w:t>Available abstract (not full text):</w:t>
      </w:r>
      <w:r>
        <w:t xml:space="preserve"> PURPOSE: Ophthalmology encompasses comprehensive medical and surgical care for patients with diverse visual system disorders, significantly impacting eye health, vision, and quality of life. European ophthalmologists undergo specialized residency training to acquire necessary competencies, emphasizing theoretical knowledge, clinical and surgical skills, and professional behaviour. The European Union of Medical Specialists (UEMS) and the European Board of Ophthalmology (EBO) advocate for competency-based medical education (CBME), standardized training frameworks, and harmonized assessments across Europe. METHODS: In 2023, a survey among European ophthalmologists demonstrated broad consensus on establishing unified training requirements. Subsequently, a Core Working Group developed European Training Requirements (ETRs) for ophthalmology, detailing curricula, subspecialty rotations, and Entrustable Professional Activities (EPAs) across a structured four-year residency. RESULTS: These ETRs, formally approved by UEMS in October 2024, incorporate simulation-based training, workplace-based assessments (WPBA), and innovative evaluation methods such as electronic portfolios. Certification as a European Specialist in Ophthalmology involves passing rigorous summative assessments, including the European Board of Ophthalmology Diploma (EBOD) examination. Training institutions must offer sub</w:t>
      </w:r>
    </w:p>
    <w:p>
      <w:pPr/>
      <w:r>
        <w:rPr>
          <w:b/>
        </w:rPr>
        <w:t>POSSIBLE 2025:</w:t>
      </w:r>
      <w:r>
        <w:t xml:space="preserve"> Core competencies in pharmaceutical education: a Chinese student perspective — https://doi.org/10.1186/s12909-025-07686-7</w:t>
      </w:r>
    </w:p>
    <w:p>
      <w:pPr/>
      <w:r>
        <w:rPr>
          <w:b/>
        </w:rPr>
        <w:t>Shared claim-specific concepts:</w:t>
      </w:r>
      <w:r>
        <w:t xml:space="preserve"> core, competencies, professional; EU scope not established. This is a provisional connection, not an outcome finding.</w:t>
      </w:r>
    </w:p>
    <w:p>
      <w:pPr>
        <w:pStyle w:val="SourceNote"/>
      </w:pPr>
      <w:r>
        <w:rPr>
          <w:b/>
        </w:rPr>
        <w:t>Available abstract (not full text):</w:t>
      </w:r>
      <w:r>
        <w:t xml:space="preserve"> BACKGROUND: From the students' perspective, the research evaluates their views on core competencies and their own developmental needs within pharmaceutical education, attempting to explore potential pathways for optimizing students' core competencies. This study seeks to enhance students' core competencies, enrich learning and development theories, and establish a basis and reference for cultivating high-caliber pharmaceutical talents. METHODS: Establishing a core competency index system for pharmacy major, a survey questionnaire comprising 41 items across four dimensions (knowledge, skills, abilities, and values) was designed. Using stratified cluster sampling, 919 valid responses were collected. Descriptive statistics, variance analysis, and chi-square test were used to analyze the perceptions of pharmaceutical students on core competencies' importance for professional growth and their satisfaction with teaching, and to examine disparities in the development of core competencies among different groups of students. RESULTS: The study revealed deficiencies in pharmaceutical students' core competencies regarding artificial intelligence, pharmaceutical application, medical care, etc. Differential analysis indicated that significant differences across education levels: undergraduates prioritized foundational knowledge and ethical norms, while postgraduates emphasized project-based</w:t>
      </w:r>
    </w:p>
    <w:p>
      <w:pPr/>
      <w:r>
        <w:rPr>
          <w:b/>
        </w:rPr>
        <w:t>POSSIBLE 2025:</w:t>
      </w:r>
      <w:r>
        <w:t xml:space="preserve"> South Asian Medical Schools Must Include "Resident as a Teacher", One of the Core Competencies in the Curriculum of Postgraduate Trainees — https://doi.org/10.22442/jlumhs.2025.01388</w:t>
      </w:r>
    </w:p>
    <w:p>
      <w:pPr/>
      <w:r>
        <w:rPr>
          <w:b/>
        </w:rPr>
        <w:t>Shared claim-specific concepts:</w:t>
      </w:r>
      <w:r>
        <w:t xml:space="preserve"> core, competencies, must, training; EU scope not established. This is a provisional connection, not an outcome finding.</w:t>
      </w:r>
    </w:p>
    <w:p>
      <w:pPr>
        <w:pStyle w:val="SourceNote"/>
      </w:pPr>
      <w:r>
        <w:rPr>
          <w:b/>
        </w:rPr>
        <w:t>Available abstract (not full text):</w:t>
      </w:r>
      <w:r>
        <w:t xml:space="preserve"> The postgraduate trainee in the medical field is commonly referred to as a resident around the world. Residents are an indispensable part of the health care workforce in almost all teaching hospitals and medical schools across the globe. Residency is an in-service learning and training1. The resident of any specialty performs multiple roles during the specified training period, such as learner, healthcare provider, teacher, researcher and sometimes administrator too2-4. Residents are considered an integral part of both undergraduate and postgraduate medical education2. Globally, residents are engaged in teaching, formally or informally, to their junior colleagues and medical students4. In other words, a teacher is one of the critical roles a resident plays during their residency training period3. Residents typically spend approximately one-fourth of their training time teaching junior residents and students3,5,7. Statutory bodies governing the medical education in some of the countries have developed norms or guiding principle for the training "Resident as teacher or educator", but the curriculum for such types of training vary across schools, departments and specialties.</w:t>
      </w:r>
    </w:p>
    <w:p>
      <w:pPr/>
      <w:r>
        <w:rPr>
          <w:b/>
        </w:rPr>
        <w:t>POSSIBLE 2025:</w:t>
      </w:r>
      <w:r>
        <w:t xml:space="preserve"> Revisiting the Competency-Based Paradigm in Primary Education: Unpacking the Spiral Curriculum Approach — https://doi.org/10.29333/iji.2026.19121a</w:t>
      </w:r>
    </w:p>
    <w:p>
      <w:pPr/>
      <w:r>
        <w:rPr>
          <w:b/>
        </w:rPr>
        <w:t>Shared claim-specific concepts:</w:t>
      </w:r>
      <w:r>
        <w:t xml:space="preserve"> competencies, process, promote, educational; EU scope visible. This is a provisional connection, not an outcome finding.</w:t>
      </w:r>
    </w:p>
    <w:p>
      <w:pPr>
        <w:pStyle w:val="SourceNote"/>
      </w:pPr>
      <w:r>
        <w:rPr>
          <w:b/>
        </w:rPr>
        <w:t>Available abstract (not full text):</w:t>
      </w:r>
      <w:r>
        <w:t xml:space="preserve"> Key competencies have become central to international education policy, driving curriculum reform since the early 21st century. This trend continues through initiatives such as STEAM and policy guidance from the OECD, which promote the development of competency-based, high- quality education systems. This study explores the ideological and pedagogical framework of Spain´s Primary Education system through a case study conducted within a naturalistic-interpretative paradigm in the Region of Murcia, one of the first autonomous communities to implement competency-based education. Data were collected through document analysis and semi-structured interviews with teachers in various roles and educational inspectors. The research process included collaborative report development and expert triangulation to ensure validity and rigor. Findings reveal persistent epistemological ambiguities in defining key competences, as well as tensions between behaviorist-economic and constructivist-humanistic approaches to implementation. The study concludes that successfully enacting competency-based education in Spain requires not only curricular alignment but also greater epistemological and pedagogical coherence.</w:t>
      </w:r>
    </w:p>
    <w:p>
      <w:pPr/>
      <w:r>
        <w:rPr>
          <w:b/>
        </w:rPr>
        <w:t>POSSIBLE 2025:</w:t>
      </w:r>
      <w:r>
        <w:t xml:space="preserve"> Leadership Competencies in Turbulent Environments — https://doi.org/10.5772/intechopen.115544</w:t>
      </w:r>
    </w:p>
    <w:p>
      <w:pPr/>
      <w:r>
        <w:rPr>
          <w:b/>
        </w:rPr>
        <w:t>Shared claim-specific concepts:</w:t>
      </w:r>
      <w:r>
        <w:t xml:space="preserve"> core, competencies; EU scope not established. This is a provisional connection, not an outcome finding.</w:t>
      </w:r>
    </w:p>
    <w:p>
      <w:pPr>
        <w:pStyle w:val="SourceNote"/>
      </w:pPr>
      <w:r>
        <w:rPr>
          <w:b/>
        </w:rPr>
        <w:t>Available abstract (not full text):</w:t>
      </w:r>
      <w:r>
        <w:t xml:space="preserve"> The purpose of this chapter is to identify the core competencies of leaders in turbulent environments because the world is changing rapidly and the environment around organizations is in a very chaotic situation. The concept that describes this environment is Volatility, Uncertainty, Complexity, and Ambiguity (VUCA). In this situation, leaders play an important role in directing organizations. Leaders’ Competencies in a turbulent environment can be divided into five dimensions. Analytical competencies such as thinking (creative, analytical, critical, and systemic), cognitive competencies such as innovation, vision, and strategic vision. Communication competencies such as intercultural literacy, collaboration, digital literacy, confirmation, informal relationships, networking, personal and interpersonal skills, team building, and teamwork. Situational competencies such as adaptability, negative competence, planning for environmental trends, forecasting skills, and responding to changes. Organizational competencies such as cooperation, complex adaptive leadership, group cohesion, decision-making, examining the internal and external environment of the organization, involving the organization in the development strategy, knowledge sharing, decision-making, feedback, reducing response time, and time management. Personal competencies such as acceptance of uncertainty, clarity, compos</w:t>
      </w:r>
    </w:p>
    <w:p>
      <w:pPr>
        <w:pStyle w:val="Heading2"/>
      </w:pPr>
      <w:r>
        <w:t>675. Pathways for Low-Carbon Transition of the Steel Industry—A Swedish Case Study</w:t>
      </w:r>
    </w:p>
    <w:p>
      <w:pPr>
        <w:pStyle w:val="SourceNote"/>
      </w:pPr>
      <w:r>
        <w:rPr>
          <w:b/>
        </w:rPr>
        <w:t>Original source (2020):</w:t>
      </w:r>
      <w:r>
        <w:t xml:space="preserve"> https://doi.org/10.3390/en13153840</w:t>
      </w:r>
    </w:p>
    <w:p>
      <w:pPr/>
      <w:r>
        <w:t>Original wording (abstract; indexed_source_text_not_full_document_verified): The results show that CCS in combination with biomass substitution in the blast furnace and a replacement primary steel production plant with EAF with biomass (Pathway 1) yield CO2 emission reductions of 83% in 2045 compared to CO2 emissions with current steel process configurations. Finally, (Pathway 3) we show that increased production of hot briquetted iron pellets (HBI), could lead to decarbonization of the steel industry outside Sweden, assuming that the exported HBI will be converted via EAF and the receiving country has a decarbonized power sector.</w:t>
      </w:r>
    </w:p>
    <w:p>
      <w:pPr/>
      <w:r>
        <w:rPr>
          <w:b/>
        </w:rPr>
        <w:t>POSSIBLE 2026:</w:t>
      </w:r>
      <w:r>
        <w:t xml:space="preserve"> Low-Carbon Autoclaved Alkali-Activated Blast Furnace Slag Concrete: Microstructure and Mechanical Properties — https://doi.org/10.3390/app16031178</w:t>
      </w:r>
    </w:p>
    <w:p>
      <w:pPr/>
      <w:r>
        <w:rPr>
          <w:b/>
        </w:rPr>
        <w:t>Shared claim-specific concepts:</w:t>
      </w:r>
      <w:r>
        <w:t xml:space="preserve"> show, ccs, blast, furnace, replacement, co2; EU scope not established. This is a provisional connection, not an outcome finding.</w:t>
      </w:r>
    </w:p>
    <w:p>
      <w:pPr>
        <w:pStyle w:val="SourceNote"/>
      </w:pPr>
      <w:r>
        <w:rPr>
          <w:b/>
        </w:rPr>
        <w:t>Available abstract (not full text):</w:t>
      </w:r>
      <w:r>
        <w:t xml:space="preserve"> This paper presents a microstructural, mineralogical, and mechanical study of low-carbon autoclaved concrete (AC), achieved by partially or fully replacing ordinary Portland cement (OPC) with ground-granulated blast furnace slag (BFS) and substituting lime with calcium carbide slag (CCS). Fourteen mixes were produced and evaluated in the green state and after autoclaving. Quantitative X-ray diffraction (XRD) using the Rietveld method, density, compressive strength, and life cycle assessment (LCA) were conducted. Results show that mixes containing BFS achieve green strengths equal to or higher than the OPC reference, ensuring integrity during autoclaving. Using BFS with an adequate calcium supply promotes the formation of pre-autoclave portlandite, which in turn favors tobermorite development and yields post-autoclave strengths comparable to the OPC reference. Partial lime replacement with CCS (50%) maintains mineralogy and strength, whereas excessive CCS may reduce available portlandite and lower strength. Life-cycle assessment indicates that raw material supply dominates emissions and that removing OPC cuts total CO2 by 44% without compromising mechanical performance. These findings demonstrate the feasibility of OPC-lean/OPC-free, lime-optimized autoclaved concretes with substantially lower embodied impacts.</w:t>
      </w:r>
    </w:p>
    <w:p>
      <w:pPr/>
      <w:r>
        <w:rPr>
          <w:b/>
        </w:rPr>
        <w:t>POSSIBLE 2026:</w:t>
      </w:r>
      <w:r>
        <w:t xml:space="preserve"> Engineered Closed-Loop Mineral Storage (ECLMS): A Conceptual Korean CCS Model Bridging Ex-situ Mineralization and Geological Storage — https://doi.org/10.2139/ssrn.6750780</w:t>
      </w:r>
    </w:p>
    <w:p>
      <w:pPr/>
      <w:r>
        <w:rPr>
          <w:b/>
        </w:rPr>
        <w:t>Shared claim-specific concepts:</w:t>
      </w:r>
      <w:r>
        <w:t xml:space="preserve"> ccs, emissions; EU scope visible. This is a provisional connection, not an outcome finding.</w:t>
      </w:r>
    </w:p>
    <w:p>
      <w:pPr>
        <w:pStyle w:val="SourceNote"/>
      </w:pPr>
      <w:r>
        <w:rPr>
          <w:b/>
        </w:rPr>
        <w:t>Available abstract (not full text):</w:t>
      </w:r>
      <w:r>
        <w:t xml:space="preserve"> The expansion of Carbon Border Adjustment Mechanism (CBAM) and the European Union's Emissions Trading System (EU ETS) has sharpened global expectations for permanence, traceability, and accounting integrity in carbon capture and storage (CCS). At the same time, several major industrial economiesincluding the Republic of Korea, Japan, and parts of Southeast Asia-face a structural deficit of natural geological storage reservoirs suitable for conventional CCS. Existing mineralization options, including exsitu slurry reactors, in-situ basalt injection, and surficial mine tailings carbonation, occupy distinct niches but leave a regulatory grey zone for jurisdictions that lack large-scale saline aquifers yet possess abundant abandoned mine voids and alkaline industrial by-products. This perspective proposes Engineered Closed-Loop Mineral Storage (ECLMS) as a new conceptual CCS category. ECLMS combines (i) sealed underground containment in repurposed mine voids or engineered caverns, (ii) aqueous-phase mineral carbonation using slag, basalt, or olivine, and (iii) stabilization of CO₂ as dissolved bicarbonate (HCO₃⁻) and precipitated carbonates within a closed system. We map ECLMS onto the four IPCC trapping mechanisms, distinguish it from adjacent categories (Carbfix-style in-situ injection, Carbon8-style products, Calcarea-style ocean dispersal, and the Korean Dogye colliery pilot), </w:t>
      </w:r>
    </w:p>
    <w:p>
      <w:pPr/>
      <w:r>
        <w:rPr>
          <w:b/>
        </w:rPr>
        <w:t>POSSIBLE 2026:</w:t>
      </w:r>
      <w:r>
        <w:t xml:space="preserve"> Routing India towards Net Zero: Optimal Planning of the CCS Infrastructure — https://doi.org/10.1007/s10666-026-10129-2</w:t>
      </w:r>
    </w:p>
    <w:p>
      <w:pPr/>
      <w:r>
        <w:rPr>
          <w:b/>
        </w:rPr>
        <w:t>Shared claim-specific concepts:</w:t>
      </w:r>
      <w:r>
        <w:t xml:space="preserve"> ccs, emissions; EU scope not established. This is a provisional connection, not an outcome finding.</w:t>
      </w:r>
    </w:p>
    <w:p>
      <w:pPr>
        <w:pStyle w:val="SourceNote"/>
      </w:pPr>
      <w:r>
        <w:rPr>
          <w:b/>
        </w:rPr>
        <w:t>Available abstract (not full text):</w:t>
      </w:r>
      <w:r>
        <w:t xml:space="preserve"> Abstract Given its size, growing population, and emerging economy, India’s energy choices are critically important for mitigating global climate change. The country’s increasing energy consumption, heavily reliant on coal, raises concerns about its ability to achieve its net zero target by 2070. Carbon Capture and Storage (CCS) technologies offer a potential solution to reduce emissions from coal-fired power plants. However, the size, cost, and feasibility of CCS deployment in India remain largely unexplored. This paper addresses this gap by introducing a cost-minimizing Mixed Integer Linear Program (MILP) model for CCS deployment in India. The model incorporates detailed carbon capture investment, pipeline routing, and onshore and offshore storage investments. To examine the implications of CCS adoption, we analyze four scenarios that reflect alternative policy mandates, storage restrictions, and capture targets. Our results reveal several important findings. First, India’s optimal CO 2 pipeline network is characterized by local infrastructures concentrated around storage basins rather than forming a nationally integrated network. Second, a significant portion of emissions is transported along an eastern transportation ’backbone’ in all modeled scenarios.</w:t>
      </w:r>
    </w:p>
    <w:p>
      <w:pPr/>
      <w:r>
        <w:rPr>
          <w:b/>
        </w:rPr>
        <w:t>POSSIBLE 2026:</w:t>
      </w:r>
      <w:r>
        <w:t xml:space="preserve"> CO2 transport for fast-track CCS: Balancing economics and environmental impacts in industrial clusters — https://doi.org/10.1016/j.ijggc.2026.104625</w:t>
      </w:r>
    </w:p>
    <w:p>
      <w:pPr/>
      <w:r>
        <w:rPr>
          <w:b/>
        </w:rPr>
        <w:t>Shared claim-specific concepts:</w:t>
      </w:r>
      <w:r>
        <w:t xml:space="preserve"> show, ccs, co2, emissions; EU scope not established. This is a provisional connection, not an outcome finding.</w:t>
      </w:r>
    </w:p>
    <w:p>
      <w:pPr>
        <w:pStyle w:val="SourceNote"/>
      </w:pPr>
      <w:r>
        <w:rPr>
          <w:b/>
        </w:rPr>
        <w:t>Available abstract (not full text):</w:t>
      </w:r>
      <w:r>
        <w:t xml:space="preserve"> • A Tiered Multi-Objective Optimization (TMOO) method is developed. • Industrial cluster CO 2 transport options were assessed based on cost and LCA impacts. • Power consumed in CO 2 conditioning dominates the cost and LCA impacts. • A low-pressure CO 2 pipeline transport is most optimal for the cluster. • Pipeline construction delays favor CO 2 transport by barges. Carbon Capture and Sequestration is a key technology for decarbonizing energy-intensive industries and power generation. To accelerate its deployment, affordable and efficient carbon dioxide (CO 2 ) transport solutions are needed. In this paper a tiered multi-objective optimization method is developed to predict a hierarchy of CO 2 transport strategies, balancing the financial costs and environmental impacts. The method is applied to optimize the strategies for collecting CO 2 from five energy-intensive industries in the North Sea Port industrial cluster. The results show that a low pressure (35 bar) CO 2 collection pipeline network and a point-to-point CO 2 transport by barges (the ‘hub and spoke’ design) are the two most optimal (tier 1) competitive strategies. Lower-tier solutions involving using higher pressure (110 bar) pipelines and ‘milk round’ shipping of CO 2 , come at greater costs and larger environmental impacts. The costs and environmental impacts are largely attributed to the electricity consumed in CO </w:t>
      </w:r>
    </w:p>
    <w:p>
      <w:pPr/>
      <w:r>
        <w:rPr>
          <w:b/>
        </w:rPr>
        <w:t>POSSIBLE 2026:</w:t>
      </w:r>
      <w:r>
        <w:t xml:space="preserve"> A Structured Risk Framework for CCS AoR Wells: Qualitative FEPs to Semi-Quantitative Rankings — https://doi.org/10.3390/en19051146</w:t>
      </w:r>
    </w:p>
    <w:p>
      <w:pPr/>
      <w:r>
        <w:rPr>
          <w:b/>
        </w:rPr>
        <w:t>Shared claim-specific concepts:</w:t>
      </w:r>
      <w:r>
        <w:t xml:space="preserve"> ccs, co2, emissions, process; EU scope not established. This is a provisional connection, not an outcome finding.</w:t>
      </w:r>
    </w:p>
    <w:p>
      <w:pPr>
        <w:pStyle w:val="SourceNote"/>
      </w:pPr>
      <w:r>
        <w:rPr>
          <w:b/>
        </w:rPr>
        <w:t>Available abstract (not full text):</w:t>
      </w:r>
      <w:r>
        <w:t xml:space="preserve"> Carbon Capture and Sequestration (CCS) is one of the most important technologies that can help many countries to reduce emissions into the atmosphere and lower their carbon footprint, which in turn can help to achieve the net-zero goal. However, when CO2 is injected into a suitable geological formation in the subsurface during CCS operations, it is essential to ensure that the well integrity of the legacy well within the Area of Review (AoR) is maintained so that the injected CO2 will not make its way to the shallow formation, which can ultimately contaminate the Underground Source of Drinking Water (USDW) and make it to the surface, which can have harmful effects on the environment and human health. Hence, this paper presents a semi-quantitative risk assessment framework for legacy wells within a CCS Area of Review (AoR) and for an Underground Injection Control (UIC) Class VI injection well. The method converts a Feature Event and Process screening into an interaction matrix (IM), assigns probability × severity scores using an incident potential matrix (IPM), and derives cause-and-effect metrics to rank barrier elements and wells. The legacy wells are evaluated using a 5 × 5 IM (casing, cement sheath, water composition, gas/CO2, and USDW), and the injector is assessed using a 7 × 7 IM (adding tubing and packer). From the results, it was found that the risk levels of the Types </w:t>
      </w:r>
    </w:p>
    <w:p>
      <w:pPr/>
      <w:r>
        <w:rPr>
          <w:b/>
        </w:rPr>
        <w:t>POSSIBLE 2025:</w:t>
      </w:r>
      <w:r>
        <w:t xml:space="preserve"> Sustainability Assessment of Carbon Capture and Storage-CCS: Toward a low carbon cement production — https://doi.org/10.54337/aau781268599</w:t>
      </w:r>
    </w:p>
    <w:p>
      <w:pPr/>
      <w:r>
        <w:rPr>
          <w:b/>
        </w:rPr>
        <w:t>Shared claim-specific concepts:</w:t>
      </w:r>
      <w:r>
        <w:t xml:space="preserve"> show, ccs, production, co2, reductions, emissions; EU scope not established. This is a provisional connection, not an outcome finding.</w:t>
      </w:r>
    </w:p>
    <w:p>
      <w:pPr>
        <w:pStyle w:val="SourceNote"/>
      </w:pPr>
      <w:r>
        <w:rPr>
          <w:b/>
        </w:rPr>
        <w:t>Available abstract (not full text):</w:t>
      </w:r>
      <w:r>
        <w:t xml:space="preserve"> This thesis evaluates the sustainability of Carbon Capture and Storage (CCS) technologies in the cement industry, focusing on the environmental, economic, and social dimensions.The cement industry is a significant contributor to global CO2 emissions, and CCS is considered one of the key technologies for reducing these emissions.However, its implementation faces various challenges, which this research addresses.Centered on Aalborg Portland, a Danish cement producer, the study investigates CCS implementation for decarbonizing cement production using a mixed-methods approach, combining quantitative and qualitative analyses to evaluate the environmental impacts, economic viability, and social acceptance.Environmentally, the Life Cycle Assessment is used to quantify the net reductions achievable through CCS.The findings indicate that while CCS can significantly mitigate emissions from cement production, the process is energy-intensive and may lead to residual emissions, which must be managed to achieve sustainability.Economically, the research explores the cost implications of implementing CCS in the cement industry.It examines the uncertainties surrounding the business case for CCS through the Monte Carlo Method.This study includes the initial capital investment, operational costs, and the potential financial mechanisms to support its deployment.The analysis reveals that while CCS </w:t>
      </w:r>
    </w:p>
    <w:p>
      <w:pPr/>
      <w:r>
        <w:rPr>
          <w:b/>
        </w:rPr>
        <w:t>POSSIBLE 2025:</w:t>
      </w:r>
      <w:r>
        <w:t xml:space="preserve"> IMPACTS AND APPLICATIONS OF HYDROGEN INJECTION IN BLAST FURNACES: A REVIEW — https://doi.org/10.54899/dcs.v22i81.3303</w:t>
      </w:r>
    </w:p>
    <w:p>
      <w:pPr/>
      <w:r>
        <w:rPr>
          <w:b/>
        </w:rPr>
        <w:t>Shared claim-specific concepts:</w:t>
      </w:r>
      <w:r>
        <w:t xml:space="preserve"> blast, steel, production, co2, emissions, process; EU scope not established. This is a provisional connection, not an outcome finding.</w:t>
      </w:r>
    </w:p>
    <w:p>
      <w:pPr>
        <w:pStyle w:val="SourceNote"/>
      </w:pPr>
      <w:r>
        <w:rPr>
          <w:b/>
        </w:rPr>
        <w:t>Available abstract (not full text):</w:t>
      </w:r>
      <w:r>
        <w:t xml:space="preserve"> The steel industry is one of the largest contributors to global CO2 emissions, and the transition to low-carbon production methods is crucial to achieving climate goals. Hydrogen injection into blast furnaces (BFs) has emerged as a promising technology to reduce carbon emissions and improve the sustainability of steel production, especially when the hydrogen comes from non-fossil sources. This review comprehensively examines the impacts and applications of hydrogen injection in BFs, focusing on thermodynamic, operational and environmental aspects. By analyzing recent studies, it highlights the benefits, challenges and future directions by producing hot metal from hydrogen. The review synthesizes findings from more than 90 studies, providing an understanding of how hydrogen injection (HI) influences operations. Some parameters were emphasized, such as theoretical flame temperature (RAFT), oxygen enrichment (OE), coke consumption (CR), pulverized coal injection rate (PCI), blowing temperature (TS), top gas temperature (TGT) and CO₂ emissions. The potential of hydrogen to replace traditional carbon-based reducers was discussed. Overall, HI can reduce coke consumption and greenhouse gas emissions, increase process productivity, but will require technical care to meet expectations.</w:t>
      </w:r>
    </w:p>
    <w:p>
      <w:pPr/>
      <w:r>
        <w:rPr>
          <w:b/>
        </w:rPr>
        <w:t>POSSIBLE 2025:</w:t>
      </w:r>
      <w:r>
        <w:t xml:space="preserve"> Techno-economic analysis of integrating an on-board CCS system and a PtG technology in a heavy vehicle fleet — https://doi.org/10.1016/j.jcou.2025.103046</w:t>
      </w:r>
    </w:p>
    <w:p>
      <w:pPr/>
      <w:r>
        <w:rPr>
          <w:b/>
        </w:rPr>
        <w:t>Shared claim-specific concepts:</w:t>
      </w:r>
      <w:r>
        <w:t xml:space="preserve"> show, ccs, plant, current; EU scope not established. This is a provisional connection, not an outcome finding.</w:t>
      </w:r>
    </w:p>
    <w:p>
      <w:pPr>
        <w:pStyle w:val="SourceNote"/>
      </w:pPr>
      <w:r>
        <w:rPr>
          <w:b/>
        </w:rPr>
        <w:t>Available abstract (not full text):</w:t>
      </w:r>
      <w:r>
        <w:t xml:space="preserve"> Decarbonising the heavy-duty transport sector requires switching internal combustion engine (ICE) fuel from fossil to synthetic fuels. In this context, on-board carbon capture and storage (OCCS) in ICEs could provide the CO 2 needed by Power-to-gas (PtG) technologies to produce synthetic natural gas (SNG), which is then consumed again by the vehicle fleet, closing in this way the carbon loop. This study presents a techno-economic analysis of a heavy-duty vehicle fleet integrating an OCCS system with a PtG plant. The OCCS system operates by temperature swing adsorption where two sorbents, PPN-6-CH 2 -DETA and zeolite 13X, are evaluated at carbon capture rates (CCR) of 70 % and 100 %. A fifth scenario examined the effect of varying the H 2 :CO 2 ratio in the methanation plant at 100 % CCR using PPN-6-CH 2 -DETA. Both systems were simulated using Aspen Plus and AVL Boost softwares. Moreover, a sensitivity analysis was conducted considering three key performance indicators: the CO 2 tax, natural gas (NG), and electricity prices. The results indicate that the carbon abatement cost reaches a break-even point at 150 €/tCO₂ for a fleet size of 400 vehicles. However, the capital expenditures do not achieve payback within 20 years due to the high operational expenditures and low incomes in the evaluated scenarios. The sensitivity analyses show that the CO 2 tax and the NG price must be h</w:t>
      </w:r>
    </w:p>
    <w:p>
      <w:pPr/>
      <w:r>
        <w:rPr>
          <w:b/>
        </w:rPr>
        <w:t>POSSIBLE 2025:</w:t>
      </w:r>
      <w:r>
        <w:t xml:space="preserve"> Environmental Impacts of Alternative Reductants in Blast Furnace Ironmaking in the UK — https://openalex.org/W7140350875</w:t>
      </w:r>
    </w:p>
    <w:p>
      <w:pPr/>
      <w:r>
        <w:rPr>
          <w:b/>
        </w:rPr>
        <w:t>Shared claim-specific concepts:</w:t>
      </w:r>
      <w:r>
        <w:t xml:space="preserve"> show, blast, furnace, steel, pathway, emissions; EU scope not established. This is a provisional connection, not an outcome finding.</w:t>
      </w:r>
    </w:p>
    <w:p>
      <w:pPr>
        <w:pStyle w:val="SourceNote"/>
      </w:pPr>
      <w:r>
        <w:rPr>
          <w:b/>
        </w:rPr>
        <w:t>Available abstract (not full text):</w:t>
      </w:r>
      <w:r>
        <w:t xml:space="preserve"> The steel industry contributes approximately 8% of global CO₂ emissions, with blast furnace operations accounting for the majority within integrated steelmaking. Although the United Kingdom plans to transition toward electric arc furnace technology, this pathway faces constraints including high electricity prices, limited high-quality scrap availability, and long infrastructure timelines. Therefore, blast furnace ironmaking will remain important in the medium term. No previous study has provided a UK-specific environmental and economic comparison of solid and gaseous reductants within a single framework, which defines the research gap addressed in this thesis. This research evaluates the environmental, economic, and practical feasibility of charcoal, switchgrass, grey hydrogen, and green hydrogen relative to a conventional coke and pulverised coal baseline. A cradle-to-gate life cycle assessment was conducted for one tonne of hot metal across five midpoint impact categories: global warming potential (GWP), land use, fossil resource scarcity (FRS), water consumption, and mineral resource scarcity. This was supported by data quality evaluation and sensitivity analysis. A simplified economic assessment was performed for charcoal and green hydrogen. Results show that charcoal reduces GWP by 11% and FRS by 25% but increases land occupation threefold. Green hydrogen reduces GWP by 10</w:t>
      </w:r>
    </w:p>
    <w:p>
      <w:pPr/>
      <w:r>
        <w:rPr>
          <w:b/>
        </w:rPr>
        <w:t>POSSIBLE 2025:</w:t>
      </w:r>
      <w:r>
        <w:t xml:space="preserve"> Assessing the economic viability and scalability of carbon capture (CCS) in Louisiana : a comparative analysis of the 45Q tax credit and the EU emissions trading system — https://doi.org/10.26153/tsw/63320</w:t>
      </w:r>
    </w:p>
    <w:p>
      <w:pPr/>
      <w:r>
        <w:rPr>
          <w:b/>
        </w:rPr>
        <w:t>Shared claim-specific concepts:</w:t>
      </w:r>
      <w:r>
        <w:t xml:space="preserve"> show, ccs, emissions, process; EU scope visible. This is a provisional connection, not an outcome finding.</w:t>
      </w:r>
    </w:p>
    <w:p>
      <w:pPr>
        <w:pStyle w:val="SourceNote"/>
      </w:pPr>
      <w:r>
        <w:rPr>
          <w:b/>
        </w:rPr>
        <w:t>Available abstract (not full text):</w:t>
      </w:r>
      <w:r>
        <w:t xml:space="preserve"> For the purposes of assessing policy impact on CCS deployment in a favorable test area, industrial carbon capture and storage (CCS) in Louisiana is evaluated across six subsectors, chemicals, power generation, petroleum and natural gas systems, liquefied natural gas (LNG), refineries, and metals, under three policy regimes: 45Q only, EU ETS only, and EU ETS commencing after the 45Q term. A standardized techno-economic framework is applied using amine-based capture as a comparative baseline, with capital cost multipliers (Lang, process and project contingencies, retrofit) and operating expenses varied within Conservative/Base/Optimistic cases. Facility-level emissions are derived from EPA FLIGHT, with scenario inputs constructed from sector literature and market data. Results show that commercial and financial variables, notably the 45Q credit value and duration, ETS allowance prices, and financing terms, dominate NPV outcomes across sectors, frequently shifting capital-intensive projects by hundreds of millions to over a billion dollars. The hybrid policy case (implementing the EU ETS after the 12-year term of the 45Q) yields the largest upside, turning marginal projects positive in LNG and refining, while also expanding downside volatility relative to 45Q alone due to carbon allowance pricing exposure. Operational parameters (capture efficiency, asset life) materially influenc</w:t>
      </w:r>
    </w:p>
    <w:p>
      <w:pPr/>
      <w:r>
        <w:rPr>
          <w:b/>
        </w:rPr>
        <w:t>POSSIBLE 2025:</w:t>
      </w:r>
      <w:r>
        <w:t xml:space="preserve"> Development of Low-Carbon Autoclaved Aerated Concrete Using an Alkali-Activated Ground Granulated Blast Furnace Slag and Calcium Carbide Slag — https://doi.org/10.3390/app15189946</w:t>
      </w:r>
    </w:p>
    <w:p>
      <w:pPr/>
      <w:r>
        <w:rPr>
          <w:b/>
        </w:rPr>
        <w:t>Shared claim-specific concepts:</w:t>
      </w:r>
      <w:r>
        <w:t xml:space="preserve"> ccs, blast, furnace, replacement; EU scope not established. This is a provisional connection, not an outcome finding.</w:t>
      </w:r>
    </w:p>
    <w:p>
      <w:pPr>
        <w:pStyle w:val="SourceNote"/>
      </w:pPr>
      <w:r>
        <w:rPr>
          <w:b/>
        </w:rPr>
        <w:t>Available abstract (not full text):</w:t>
      </w:r>
      <w:r>
        <w:t xml:space="preserve"> The environmental impact of traditional construction materials has led to increasing interest in developing more sustainable alternatives. This study addresses the development of low-carbon autoclaved aerated concrete (AAC) through the complete replacement of ordinary Portland cement (OPC) with ground granulated blast furnace slag (BFS), activated with lime and, in some formulations, supplemented with calcium carbide slag (CCS). Five different AAC mixtures were prepared and evaluated in terms of workability, foaming behavior, compressive strength, phase composition, density, thermal conductivity, and life cycle assessment (LCA). The BFS-based mixtures activated with lime exhibited good workability and foaming stability. After pre-curing, the addition of CCS significantly improved the formation of tobermorite during autoclaving. As a result, the BFS–CCS formulations achieved compressive strengths comparable to the reference OPC-based mix while maintaining low densities (420–441 kg/m3) and thermal conductivities in the range of 0.111–0.119 W/(m·K). These results confirm the technical feasibility of producing structural-grade AAC with a lower environmental footprint.</w:t>
      </w:r>
    </w:p>
    <w:p>
      <w:pPr/>
      <w:r>
        <w:rPr>
          <w:b/>
        </w:rPr>
        <w:t>POSSIBLE 2025:</w:t>
      </w:r>
      <w:r>
        <w:t xml:space="preserve"> Entropy as a Criterion for Sustainability—CO2 Removal and Storage or Utilization (CCS, CCU) Are Not Sustainable — https://doi.org/10.20944/preprints202512.2416.v1</w:t>
      </w:r>
    </w:p>
    <w:p>
      <w:pPr/>
      <w:r>
        <w:rPr>
          <w:b/>
        </w:rPr>
        <w:t>Shared claim-specific concepts:</w:t>
      </w:r>
      <w:r>
        <w:t xml:space="preserve"> ccs, production, co2; EU scope not established. This is a provisional connection, not an outcome finding.</w:t>
      </w:r>
    </w:p>
    <w:p>
      <w:pPr>
        <w:pStyle w:val="SourceNote"/>
      </w:pPr>
      <w:r>
        <w:rPr>
          <w:b/>
        </w:rPr>
        <w:t>Available abstract (not full text):</w:t>
      </w:r>
      <w:r>
        <w:t xml:space="preserve"> The principles of nonequilibrium thermodynamics are briefly discussed, with a focus on entropy. For the first time, the energy consumption and entropy production of CO2 final storage and utilization (CCS and CCU) are quantitatively analyzed and interpreted. This shows that the final storage and chemical utilization of CO2 are not sustainable processes for solving the climate crisis. Building on this, a new proposal for a quantitative criterion for sustainability is presented: entropy. In addition, a relatively simple indicator is presented that is a helpful (and easier to calculate) indicator for the entropy production of various processes or products.</w:t>
      </w:r>
    </w:p>
    <w:p>
      <w:pPr>
        <w:pStyle w:val="Heading2"/>
      </w:pPr>
      <w:r>
        <w:t>676. Perspective of comprehensive and comprehensible multi-model energy and climate science in Europe</w:t>
      </w:r>
    </w:p>
    <w:p>
      <w:pPr>
        <w:pStyle w:val="SourceNote"/>
      </w:pPr>
      <w:r>
        <w:rPr>
          <w:b/>
        </w:rPr>
        <w:t>Original source (2020):</w:t>
      </w:r>
      <w:r>
        <w:t xml:space="preserve"> https://doi.org/10.1016/j.energy.2020.119153</w:t>
      </w:r>
    </w:p>
    <w:p>
      <w:pPr/>
      <w:r>
        <w:t>Original wording (abstract; indexed_source_text_not_full_document_verified): Finally, drawing from the COVID-19 pandemic, we discuss the need to expand the modelling comfort zone, by exploring extreme scenarios, disruptive innovations, and questions that transcend the energy and climate goals across the sustainability spectrum. Europe’s capacity to explore the envisaged pathways that achieve its near- and long-term energy and climate objectives needs to be significantly enhanced.</w:t>
      </w:r>
    </w:p>
    <w:p>
      <w:pPr/>
      <w:r>
        <w:rPr>
          <w:b/>
        </w:rPr>
        <w:t>POSSIBLE 2026:</w:t>
      </w:r>
      <w:r>
        <w:t xml:space="preserve"> Emerging risk of Xylella fastidiosa in Europe under global change — https://doi.org/10.1007/s10530-026-03869-5</w:t>
      </w:r>
    </w:p>
    <w:p>
      <w:pPr/>
      <w:r>
        <w:rPr>
          <w:b/>
        </w:rPr>
        <w:t>Shared claim-specific concepts:</w:t>
      </w:r>
      <w:r>
        <w:t xml:space="preserve"> finally, drawing, discuss, need, climate, across; EU scope visible. This is a provisional connection, not an outcome finding.</w:t>
      </w:r>
    </w:p>
    <w:p>
      <w:pPr>
        <w:pStyle w:val="SourceNote"/>
      </w:pPr>
      <w:r>
        <w:rPr>
          <w:b/>
        </w:rPr>
        <w:t>Available abstract (not full text):</w:t>
      </w:r>
      <w:r>
        <w:t xml:space="preserve"> Abstract The insect-borne bacterium Xylella fastidiosa is one of the most damaging plant pathogens affecting perennial crops in Europe since its first detection in 2013. Although its spread has remained geographically constrained, recent outbreaks and surveillance data suggest that larger areas of southern Europe may be transitioning into a second wave of invasion, shifting from localized outbreaks detected after extensive establishment to the early emergence of epidemics in more connected continental landscapes with coexisting lineages. Here, we examine how global change may reshape the invasion dynamics of X. fastidiosa across Europe. Drawing on evidence from national surveys, epidemiological models, and evolutionary studies, we develop a mechanistic framework linking introduction pressure through trade, the expansion and connectivity of invasion hotspots, strain coexistence, and the role of natural ecosystems as pathogen reservoirs and dispersal corridors. We argue that climate change may increase the likelihood that broader regions exceed the critical thermal thresholds required for sustained transmission following introduction. At the same time, repeated introductions of the bacterium and long-term persistence in heterogeneous landscapes may foster the accumulation of genetic diversity and increase evolutionary risk. Finally, we discuss implications for disease management,</w:t>
      </w:r>
    </w:p>
    <w:p>
      <w:pPr/>
      <w:r>
        <w:rPr>
          <w:b/>
        </w:rPr>
        <w:t>POSSIBLE 2026:</w:t>
      </w:r>
      <w:r>
        <w:t xml:space="preserve"> Europe and the Geopolitics of AGI: The Need for a Preparedness Plan — https://doi.org/10.48550/arxiv.2605.13634</w:t>
      </w:r>
    </w:p>
    <w:p>
      <w:pPr/>
      <w:r>
        <w:rPr>
          <w:b/>
        </w:rPr>
        <w:t>Shared claim-specific concepts:</w:t>
      </w:r>
      <w:r>
        <w:t xml:space="preserve"> drawing, need, questions, capacity; EU scope visible. This is a provisional connection, not an outcome finding.</w:t>
      </w:r>
    </w:p>
    <w:p>
      <w:pPr>
        <w:pStyle w:val="SourceNote"/>
      </w:pPr>
      <w:r>
        <w:rPr>
          <w:b/>
        </w:rPr>
        <w:t>Available abstract (not full text):</w:t>
      </w:r>
      <w:r>
        <w:t xml:space="preserve"> Artificial general intelligence (AGI)--defined here as AI systems that match or exceed humans at most economically useful cognitive work--has moved from speculation to the centre of political and strategic debate. This paper examines three questions: how soon AGI might emerge, how it could reshape geopolitics, and whether Europe is adequately prepared. Drawing on empirical trends in AI capabilities, expert forecasting surveys, and policy analysis, we find that a plausible window for AGI emergence falls between 2030 and 2040, or potentially earlier, though substantial uncertainty remains. Our analysis of the geopolitical implications suggests that AGI could fundamentally alter the global distribution of economic and military power, intensify interstate competition, and strain existing governance frameworks. Assessing Europe's current positioning, we identify critical gaps: limited strategic awareness of frontier AI progress, structural weaknesses in compute infrastructure and talent retention, low rates of industrial AI adoption, and fragmented policy responses at both EU and Member State levels that do not match the potential scale of disruption.These findings point to a need for a coordinated European preparedness agenda. We outline policy options centred on building institutional capacity for AGI situational awareness, strengthening Europe's position in the AI value chain, an</w:t>
      </w:r>
    </w:p>
    <w:p>
      <w:pPr/>
      <w:r>
        <w:rPr>
          <w:b/>
        </w:rPr>
        <w:t>POSSIBLE 2025:</w:t>
      </w:r>
      <w:r>
        <w:t xml:space="preserve"> Colombia, COVID-19, and the Colonial Trap: Reflections on the Politics of Knowledge Production — https://doi.org/10.1177/0094582x241311803</w:t>
      </w:r>
    </w:p>
    <w:p>
      <w:pPr/>
      <w:r>
        <w:rPr>
          <w:b/>
        </w:rPr>
        <w:t>Shared claim-specific concepts:</w:t>
      </w:r>
      <w:r>
        <w:t xml:space="preserve"> finally, drawing, covid-19, pandemic; EU scope visible. This is a provisional connection, not an outcome finding.</w:t>
      </w:r>
    </w:p>
    <w:p>
      <w:pPr>
        <w:pStyle w:val="SourceNote"/>
      </w:pPr>
      <w:r>
        <w:rPr>
          <w:b/>
        </w:rPr>
        <w:t>Available abstract (not full text):</w:t>
      </w:r>
      <w:r>
        <w:t xml:space="preserve"> The COVID-19 pandemic has made historical and contemporary colonial relationships between and within states more fraught. This complexity is apparent within the research process itself, adding a new dimension to debates on positionality and the politics of knowledge production. Drawing on critical approaches to International Relations, and in dialogue with an emerging literature on the implications of the pandemic for knowledge decolonization, we reflect on our experience as scholars from the UK/Ireland researching colonial legacy and Transitional Justice in Colombia. The aim of this autoethnographic article is to suggest how the COVID-19 pandemic affected inequalities between researchers based in Europe and participants in Latin America. Our findings are mixed. While Covid-related funding cuts undermined equity within relationships, the virtual field offered an opportunity to cultivate cooperation between researcher and participant and re-think issues of ethics, voice, and the research agenda itself. Finally, El Maestro Covid taught us valuable lessons on the colonial trap inherent in our endeavors.</w:t>
      </w:r>
    </w:p>
    <w:p>
      <w:pPr/>
      <w:r>
        <w:rPr>
          <w:b/>
        </w:rPr>
        <w:t>POSSIBLE 2025:</w:t>
      </w:r>
      <w:r>
        <w:t xml:space="preserve"> Individualism and the Health–Economy Tradeoff During the COVID‐19 Pandemic: Evidence From the European Social Survey — https://doi.org/10.1111/issj.12586</w:t>
      </w:r>
    </w:p>
    <w:p>
      <w:pPr/>
      <w:r>
        <w:rPr>
          <w:b/>
        </w:rPr>
        <w:t>Shared claim-specific concepts:</w:t>
      </w:r>
      <w:r>
        <w:t xml:space="preserve"> finally, drawing, pandemic; EU scope visible. This is a provisional connection, not an outcome finding.</w:t>
      </w:r>
    </w:p>
    <w:p>
      <w:pPr>
        <w:pStyle w:val="SourceNote"/>
      </w:pPr>
      <w:r>
        <w:rPr>
          <w:b/>
        </w:rPr>
        <w:t>Available abstract (not full text):</w:t>
      </w:r>
      <w:r>
        <w:t xml:space="preserve"> ABSTRACT Nationwide containment measures implemented by governments to fight the COVID‐19 pandemic have incurred substantial economic costs, presenting individuals with a tradeoff between public health measures and their economic consequences. Drawing on cultural theory, we investigate the relationship between individualism and individuals’ health–economy tradeoffs during the pandemic and the moderating role of risk perception. Using European Social Survey (ESS) data, our study reveals that individuals with higher levels of individualism prioritize economic activities over public health during the pandemic. Specifically, each additional point increase in individualism raises the probability of prioritizing economic activity over public health by 0.4%. Moreover, higher perceived economic risk weakens individualists’ preference for economic activities and enhances their assessment of health choices. Perceived health risk, however, demonstrates no significant effect. Furthermore, mediation analysis reveals that individualism negatively correlates with trust in government, indirectly weakening individualists’ preference for economic activities. Finally, our heterogeneity analysis reveals that the positive correlation between individualism and economic preferences is stronger among young individuals, high‐income and highly educated groups, employees in private enterprises and self‐e</w:t>
      </w:r>
    </w:p>
    <w:p>
      <w:pPr/>
      <w:r>
        <w:rPr>
          <w:b/>
        </w:rPr>
        <w:t>POSSIBLE 2025:</w:t>
      </w:r>
      <w:r>
        <w:t xml:space="preserve"> Learning lessons from the COVID-19 pandemic and crisis responses — https://doi.org/10.5281/zenodo.16893715</w:t>
      </w:r>
    </w:p>
    <w:p>
      <w:pPr/>
      <w:r>
        <w:rPr>
          <w:b/>
        </w:rPr>
        <w:t>Shared claim-specific concepts:</w:t>
      </w:r>
      <w:r>
        <w:t xml:space="preserve"> finally, drawing, covid-19, pandemic, need, climate; EU scope visible. This is a provisional connection, not an outcome finding.</w:t>
      </w:r>
    </w:p>
    <w:p>
      <w:pPr>
        <w:pStyle w:val="SourceNote"/>
      </w:pPr>
      <w:r>
        <w:rPr>
          <w:b/>
        </w:rPr>
        <w:t>Available abstract (not full text):</w:t>
      </w:r>
      <w:r>
        <w:t xml:space="preserve"> The COVID-19 pandemic was a crisis of far-reaching societal, economic, and political impacts. Responses to the pandemic were no less far-reaching. This report presents a systematic literature review of 150 peer-reviewed articles on how European democracies responded to the COVID-19 crisis with the aim of drawing out useful learnings for climate democracy. In this review, we thus build upon the RETOOL analytical framework to distill lessons about the effectiveness and democratic quality of governance responses to the pandemic in Europe, and what these experiences teach us for future crises – notably the climate crisis. Key lessons show that robust democratic institutions, anchored in legal safeguards against executive overreach and sustained by cultures of consensus, pluralism and tolerance, are crucial to withstand crises. This is a relatively rare combination however, and one that cannot be guaranteed during times of crisis. This points to a need for new participatory forums to bolster existing democratic institutions. The review also looks at issues of justice, since democratic governance should produce just decisions and this is a key issue in climate democracy discussions.The reviewed literature sees justice dimensions as deeply intertwined: threats to recognitional justice often coincide with distributive and procedural injustices, again pointing to a need for more meaning</w:t>
      </w:r>
    </w:p>
    <w:p>
      <w:pPr/>
      <w:r>
        <w:rPr>
          <w:b/>
        </w:rPr>
        <w:t>POSSIBLE 2025:</w:t>
      </w:r>
      <w:r>
        <w:t xml:space="preserve"> The challenges of repeat measurement in times of the COVID-19 pandemic — https://doi.org/10.1093/oso/9780198883319.003.0002</w:t>
      </w:r>
    </w:p>
    <w:p>
      <w:pPr/>
      <w:r>
        <w:rPr>
          <w:b/>
        </w:rPr>
        <w:t>Shared claim-specific concepts:</w:t>
      </w:r>
      <w:r>
        <w:t xml:space="preserve"> finally, drawing, covid-19, pandemic, discuss; EU scope visible. This is a provisional connection, not an outcome finding.</w:t>
      </w:r>
    </w:p>
    <w:p>
      <w:pPr>
        <w:pStyle w:val="SourceNote"/>
      </w:pPr>
      <w:r>
        <w:rPr>
          <w:b/>
        </w:rPr>
        <w:t>Available abstract (not full text):</w:t>
      </w:r>
      <w:r>
        <w:t xml:space="preserve"> Abstract The Europeans’ Understandings and Evaluations of Democracy module was first fielded in the European Social Survey (ESS) in 2012/13 before being selected as a repeat module for the 2020/21 round. This chapter discusses the fundamental elements behind the data collected for the analysis used in this book: namely the ESS and its questionnaire. After a short introduction to the ESS, this chapter summarizes the main design decisions that underpin both the original and repeat module. It then moves on to discuss the decision-making around which items to repeat and which to discard from the earlier module. Finally, the chapter investigates how the face-to-face ESS fieldwork was disrupted by the COVID-19 pandemic, leading to delays with data collection continuing into 2022 rather than ending in 2021, as initially planned. In addition to the delays, some countries had to switch data collection from face-to-face (in-person and web interviews) to self-completion mode (web and paper self-completion) to remove or reduce face-to-face contact during the pandemic. The potential impact of this change on analysis of this module will be discussed, drawing on two parallel-run experiments conducted in Finland and Great Britain. The chapter concludes that while ESS still provides robust comparative data, users should be aware of potential mode differences and the possible impact of disrupted</w:t>
      </w:r>
    </w:p>
    <w:p>
      <w:pPr/>
      <w:r>
        <w:rPr>
          <w:b/>
        </w:rPr>
        <w:t>POSSIBLE 2024:</w:t>
      </w:r>
      <w:r>
        <w:t xml:space="preserve"> Muslims in Europe and Covid-19 — https://doi.org/10.5617/jais.10871</w:t>
      </w:r>
    </w:p>
    <w:p>
      <w:pPr/>
      <w:r>
        <w:rPr>
          <w:b/>
        </w:rPr>
        <w:t>Shared claim-specific concepts:</w:t>
      </w:r>
      <w:r>
        <w:t xml:space="preserve"> covid-19, pandemic, questions; EU scope visible. This is a provisional connection, not an outcome finding.</w:t>
      </w:r>
    </w:p>
    <w:p>
      <w:pPr>
        <w:pStyle w:val="SourceNote"/>
      </w:pPr>
      <w:r>
        <w:rPr>
          <w:b/>
        </w:rPr>
        <w:t>Available abstract (not full text):</w:t>
      </w:r>
      <w:r>
        <w:t xml:space="preserve"> Covid-19 obliged the authorities of all countries to adopt a series of measures aimed at limiting the spread of the virus (e.g. social distancing and restrictions on internal and international movement), some of which prevent Muslims from performing, or only partially perform, some of their acts of worship, in particular those which, by requiring and/or prescribing the formation of an assembly, physical proximity or direct contact between those performing them (collective prayers, pilgrimage, religious festivals, funeral rites), are more conducive to the spread of the virus. This situation is at the root of the many questions that some European Muslims have asked jurists to provide them with guidance, based on Islamic law, on how to reconcile the anti-Covid rules with the obligation to perform acts of worship. This article analyses the fatāwā issued by the European Council for Fatwas and Research in response to these questions. In particular, this article has three aims: 1. to identify and describe the solutions adopted by the Maǧlis to adapt religious practice to the restrictions imposed by the Covid; 2. to verify whether the solutions adopted by the ECFR to combat the pandemic are compatible with the provisions adopted by European governments in this regard; 3. to verify whether and in what terms the Islamic jurisprudence produced at the national level (the Italian one) trans</w:t>
      </w:r>
    </w:p>
    <w:p>
      <w:pPr/>
      <w:r>
        <w:rPr>
          <w:b/>
        </w:rPr>
        <w:t>POSSIBLE 2024:</w:t>
      </w:r>
      <w:r>
        <w:t xml:space="preserve"> What makes health systems resilient? An analytical framework drawing on European learnings from the COVID-19 pandemic based on a multitiered approach — https://doi.org/10.1136/bmjph-2023-000378</w:t>
      </w:r>
    </w:p>
    <w:p>
      <w:pPr/>
      <w:r>
        <w:rPr>
          <w:b/>
        </w:rPr>
        <w:t>Shared claim-specific concepts:</w:t>
      </w:r>
      <w:r>
        <w:t xml:space="preserve"> finally, drawing, covid-19, pandemic, need, spectrum; EU scope visible. This is a provisional connection, not an outcome finding.</w:t>
      </w:r>
    </w:p>
    <w:p>
      <w:pPr>
        <w:pStyle w:val="SourceNote"/>
      </w:pPr>
      <w:r>
        <w:rPr>
          <w:b/>
        </w:rPr>
        <w:t>Available abstract (not full text):</w:t>
      </w:r>
      <w:r>
        <w:t xml:space="preserve"> Introduction: The COVID-19 pandemic posed an unprecedented challenge, which caught many health systems widely unprepared. The aim of this research was to develop a comprehensive analytical framework on health system resilience in the context of pandemics. In addition to serving as a tool to analyse the preparedness and resilience of health systems, the framework is intended to provide guidance to decision-makers in health policy. Methods: The analytical framework was developed based on a multitiered approach. A comprehensive review of the existing literature was conducted to identify relevant frameworks on health system resilience (published between 1 January 2000 and 30 November 2021) and determinants of resilience that emerged during the COVID-19 pandemic. Input was then gathered in several rounds of consultations with designated field experts and stakeholders, drawing on their experiences from the pandemic. Finally, the framework was empirically validated in several case studies. Results: The framework distinguishes between prerequisites of resilience, pertaining to precautions to be taken in 'normal' times, and response strategies in the face of shocks. Both sections are further divided into six building blocks that were adapted from the WHO health system framework: governance and leadership, information and research, financing, physical resources, human resources, and serv</w:t>
      </w:r>
    </w:p>
    <w:p>
      <w:pPr/>
      <w:r>
        <w:rPr>
          <w:b/>
        </w:rPr>
        <w:t>POSSIBLE 2024:</w:t>
      </w:r>
      <w:r>
        <w:t xml:space="preserve"> Assessing the Differentiated Impacts of COVID-19 on the Immigration Flows to Europe — https://doi.org/10.1177/01979183241242445</w:t>
      </w:r>
    </w:p>
    <w:p>
      <w:pPr/>
      <w:r>
        <w:rPr>
          <w:b/>
        </w:rPr>
        <w:t>Shared claim-specific concepts:</w:t>
      </w:r>
      <w:r>
        <w:t xml:space="preserve"> drawing, covid-19, pandemic, explore; EU scope visible. This is a provisional connection, not an outcome finding.</w:t>
      </w:r>
    </w:p>
    <w:p>
      <w:pPr>
        <w:pStyle w:val="SourceNote"/>
      </w:pPr>
      <w:r>
        <w:rPr>
          <w:b/>
        </w:rPr>
        <w:t>Available abstract (not full text):</w:t>
      </w:r>
      <w:r>
        <w:t xml:space="preserve"> The immediate effects of COVID-19 on mortality, fertility, and internal and international migration have been widely studied. Particularly, immigration to high-income countries declined in 2020. However, the persistence of these declines and the extent to which they have impacted different migration flows are yet to be established. Drawing on immigration flows from Eurostat and Autoregressive Integrated Moving Average (ARIMA) time-series models, we assess the impact of COVID-19 on different immigration streams to seven European countries. We forecast counterfactual levels of immigration in 2020 and 2021 assuming no pandemic, and compare these estimates with actual immigration counts. We use regression modeling to explore the role of immigrants’ origin, distance, stringency measures, and gross domestic product (GDP) trends at origins and destinations as potential driving forces of changes in immigration during COVID-19. Our results show that, while there was a general decline in immigration during 2020, inflows returned to expected levels in 2021, except for Spain. However, drops in immigration flows from countries outside the Schengen Area to Europe persisted in 2021. Immigrants’ origin emerged as the main factor modulating immigration changes during the pandemic, and to a lesser extent stringency measures and GDP trends in destination countries. Contextual factors at origin se</w:t>
      </w:r>
    </w:p>
    <w:p>
      <w:pPr/>
      <w:r>
        <w:rPr>
          <w:b/>
        </w:rPr>
        <w:t>POSSIBLE 2023:</w:t>
      </w:r>
      <w:r>
        <w:t xml:space="preserve"> Public Debt and Economic Growth after Covid-19 in Europe: Challenges and Policy Implications — https://doi.org/10.5539/res.v15n4p31</w:t>
      </w:r>
    </w:p>
    <w:p>
      <w:pPr/>
      <w:r>
        <w:rPr>
          <w:b/>
        </w:rPr>
        <w:t>Shared claim-specific concepts:</w:t>
      </w:r>
      <w:r>
        <w:t xml:space="preserve"> finally, drawing, covid-19, pandemic, exploring, sustainability; EU scope visible. This is a provisional connection, not an outcome finding.</w:t>
      </w:r>
    </w:p>
    <w:p>
      <w:pPr>
        <w:pStyle w:val="SourceNote"/>
      </w:pPr>
      <w:r>
        <w:rPr>
          <w:b/>
        </w:rPr>
        <w:t>Available abstract (not full text):</w:t>
      </w:r>
      <w:r>
        <w:t xml:space="preserve"> The Covid-19 pandemic has had a profound impact on European economies, leading to a significant increase in public debt levels. This paper examines the challenges and policy implications of managing public debt and fostering economic growth in Europe post-Covid-19. It provides a conceptual framework by defining and measuring public debt, exploring the relationship between public debt and economic growth, and highlighting the role of public debt in times of crisis. The paper analyzes the impact of Covid-19 on public debt in Europe, including the fiscal response, debt accumulation, and reasons for increased debt levels. It further discusses the challenges posed by high public debt, such as debt sustainability, crowding out private investment, financial stability risks, and constraints on future fiscal policy. The study then presents policy implications for balancing public debt and economic growth, including fiscal consolidation measures, long-term debt management strategies, prioritizing public investments, implementing structural reforms, considering monetary policy, and fostering international cooperation. Additionally, the paper provides case studies of selected European countries, evaluating their approaches, assessing policy effectiveness, and drawing key lessons and best practices. Finally, the paper concludes with a summary of key findings, policy recommendations for Euro</w:t>
      </w:r>
    </w:p>
    <w:p>
      <w:pPr/>
      <w:r>
        <w:rPr>
          <w:b/>
        </w:rPr>
        <w:t>POSSIBLE 2023:</w:t>
      </w:r>
      <w:r>
        <w:t xml:space="preserve"> Tracing the Origin and Early Progression of COVID-19 in Europe: An Epidemiological Descriptive Study — https://doi.org/10.61186/iem.9.3.249</w:t>
      </w:r>
    </w:p>
    <w:p>
      <w:pPr/>
      <w:r>
        <w:rPr>
          <w:b/>
        </w:rPr>
        <w:t>Shared claim-specific concepts:</w:t>
      </w:r>
      <w:r>
        <w:t xml:space="preserve"> finally, covid-19, pandemic, across; EU scope visible. This is a provisional connection, not an outcome finding.</w:t>
      </w:r>
    </w:p>
    <w:p>
      <w:pPr>
        <w:pStyle w:val="SourceNote"/>
      </w:pPr>
      <w:r>
        <w:rPr>
          <w:b/>
        </w:rPr>
        <w:t>Available abstract (not full text):</w:t>
      </w:r>
      <w:r>
        <w:t xml:space="preserve"> Background: The ongoing global health crisis caused by the infectious coronavirus disease, known as COVID-19, is attributed to the SARS-CoV-2 virus. The pandemic has significantly impacted people of all ages and nationalities and has spread across all continents, with an initial focus on Asia and subsequently reaching Europe. The objective of this study was to analyze the progression of COVID-19 in Europe in contrast to other continents around the world by examining the pandemic's trajectory across different geographic areas, allowing us to gain insights into the effectiveness of containment measures, and identifying potential patterns of virus spread. Materials &amp; Methods: The data source was a curated dataset provided by Our World in Data (OWD), regularly updated during the COVID-19 pandemic. The dataset consisted of 207,316 records with 67 attributes, covering 244 locations, including countries from six continents. These attributes encompassed a wide range of COVID-19-related metrics, such as cases, deaths, testing, vaccinations, and demographic indicators. This comprehensive comparative study specifically focused on the European continent data from January 01, 2020, to August 08, 2022. Findings: The analysis revealed distinct groups of European countries with different experiences with the virus. First, some countries were found to be severely affected by the virus, grapplin</w:t>
      </w:r>
    </w:p>
    <w:p>
      <w:pPr/>
      <w:r>
        <w:rPr>
          <w:b/>
        </w:rPr>
        <w:t>POSSIBLE 2023:</w:t>
      </w:r>
      <w:r>
        <w:t xml:space="preserve"> Did COVID-19 Blur Partisan Boundaries? A Comparison of Partisan Affinity and Source Heterophily in Online Alternative News-Sharing Networks Before and During the COVID-19 Pandemic — https://doi.org/10.1177/20563051231192963</w:t>
      </w:r>
    </w:p>
    <w:p>
      <w:pPr/>
      <w:r>
        <w:rPr>
          <w:b/>
        </w:rPr>
        <w:t>Shared claim-specific concepts:</w:t>
      </w:r>
      <w:r>
        <w:t xml:space="preserve"> finally, drawing, covid-19, pandemic, across; EU scope visible. This is a provisional connection, not an outcome finding.</w:t>
      </w:r>
    </w:p>
    <w:p>
      <w:pPr>
        <w:pStyle w:val="SourceNote"/>
      </w:pPr>
      <w:r>
        <w:rPr>
          <w:b/>
        </w:rPr>
        <w:t>Available abstract (not full text):</w:t>
      </w:r>
      <w:r>
        <w:t xml:space="preserve"> This study explores partisan and group heterophily within cross-platform online communities that share alternative news media content in Denmark, Sweden, Germany, and Austria. The analysis is related to the emergence of anti-systemic cross-partisan counter-publics in Europe that have gained momentum with the outbreak of COVID-19 and the subsequent resistance against government restrictions. Comparing two periods (before and after the outbreak of COVID-19), we investigate whether these developments foster cross-partisan information sharing in online communities that form around right-wing, left-wing, and anti-systemic alternative news media content. Drawing on a network-analytical approach, we study networks formed around URL sharing of alternative news content across Facebook, Instagram, Twitter, Reddit, Telegram, TikTok, YouTube, and VKontakte. Data include 30 million social media posts from January 2019 to September 2021. The results show that overall source heterophily in online alternative news networks increases slightly with the COVID-19 pandemic, mainly due to the increased proliferation of anti-system news. This increase is, however, not an expression of a more profound collapse of bi-partisan, left-right cleavages and is contingent on country contexts. Except for the time of the initial outbreak, the overall sharing of COVID-19-related content tends to increase rather </w:t>
      </w:r>
    </w:p>
    <w:p>
      <w:pPr>
        <w:pStyle w:val="Heading2"/>
      </w:pPr>
      <w:r>
        <w:t>677. Population aging, migration, and productivity in Europe</w:t>
      </w:r>
    </w:p>
    <w:p>
      <w:pPr>
        <w:pStyle w:val="SourceNote"/>
      </w:pPr>
      <w:r>
        <w:rPr>
          <w:b/>
        </w:rPr>
        <w:t>Original source (2020):</w:t>
      </w:r>
      <w:r>
        <w:t xml:space="preserve"> https://doi.org/10.1073/pnas.1918988117</w:t>
      </w:r>
    </w:p>
    <w:p>
      <w:pPr/>
      <w:r>
        <w:t>Original wording (abstract; indexed_source_text_not_full_document_verified): In terms of policy options, lifting labor-force participation among the general population as in Sweden, and education-selective migration if accompanied by high integration, could even improve economic dependency.</w:t>
      </w:r>
    </w:p>
    <w:p>
      <w:pPr/>
      <w:r>
        <w:rPr>
          <w:b/>
        </w:rPr>
        <w:t>POSSIBLE 2025:</w:t>
      </w:r>
      <w:r>
        <w:t xml:space="preserve"> A social network analysis of the European science–policy–society interface on biodiversity — https://doi.org/10.1111/cobi.70023</w:t>
      </w:r>
    </w:p>
    <w:p>
      <w:pPr/>
      <w:r>
        <w:rPr>
          <w:b/>
        </w:rPr>
        <w:t>Shared claim-specific concepts:</w:t>
      </w:r>
      <w:r>
        <w:t xml:space="preserve"> terms, options, participation, among; EU scope visible. This is a provisional connection, not an outcome finding.</w:t>
      </w:r>
    </w:p>
    <w:p>
      <w:pPr>
        <w:pStyle w:val="SourceNote"/>
      </w:pPr>
      <w:r>
        <w:rPr>
          <w:b/>
        </w:rPr>
        <w:t>Available abstract (not full text):</w:t>
      </w:r>
      <w:r>
        <w:t xml:space="preserve"> Despite the wealth of evidence on biodiversity status, trends, and policy options in Europe, knowledge often fails to inform policy makers and decision makers effectively. Implementing the EU Biodiversity Strategy for 2030 will require the transformation of engagement and exchange between knowledge providers and policy and decision makers. This is one of the main goals of the forthcoming EU Science Service for Biodiversity. We sought to support this endeavor by mapping the landscape of actors at the biodiversity science-policy-society interface. We first compiled an extensive database of actors (n = 215) by combining existing databases, searching the web, and consulting experts. We then interviewed representatives of key organizations (n = 28) to elicit data about their network of relations with other organizations. Additional qualitative data were elicited from a subset of organizations (n = 17/28) focusing on the roles of different actors in knowledge cocreation and their potential contribution to the functioning of the Science Service for Biodiversity. The social network analysis mapped the interactions (and lack thereof) between 101 organized actors. Central to the network were EU organizations, other international and intergovernmental organizations, and one well-known public interest group. A more varied mix of organizations had the potential to act as bridges between unc</w:t>
      </w:r>
    </w:p>
    <w:p>
      <w:pPr/>
      <w:r>
        <w:rPr>
          <w:b/>
        </w:rPr>
        <w:t>POSSIBLE 2024:</w:t>
      </w:r>
      <w:r>
        <w:t xml:space="preserve"> Policy options for sustainable access to off-patent antibiotics in Europe — https://doi.org/10.1038/s44259-024-00061-4</w:t>
      </w:r>
    </w:p>
    <w:p>
      <w:pPr/>
      <w:r>
        <w:rPr>
          <w:b/>
        </w:rPr>
        <w:t>Shared claim-specific concepts:</w:t>
      </w:r>
      <w:r>
        <w:t xml:space="preserve"> options, general; EU scope visible. This is a provisional connection, not an outcome finding.</w:t>
      </w:r>
    </w:p>
    <w:p>
      <w:pPr>
        <w:pStyle w:val="SourceNote"/>
      </w:pPr>
      <w:r>
        <w:rPr>
          <w:b/>
        </w:rPr>
        <w:t>Available abstract (not full text):</w:t>
      </w:r>
      <w:r>
        <w:t xml:space="preserve"> Securing sustainable access to existing antibiotics optimises agent choice for individual treatments and is crucial to curb antibiotic resistance. Access to antibiotics is often restricted in many countries, due to general market unavailability or episodic shortages. This article outlines key policy options to maintain availability of existing antibiotics and enhance antibiotic supply chain resilience focusing on the perspectives of European Union (EU) and European Economic Area (EEA) institutions and member states.</w:t>
      </w:r>
    </w:p>
    <w:p>
      <w:pPr/>
      <w:r>
        <w:rPr>
          <w:b/>
        </w:rPr>
        <w:t>POSSIBLE 2024:</w:t>
      </w:r>
      <w:r>
        <w:t xml:space="preserve"> The value of national defense: Assessing public preferences for defense policy options — https://doi.org/10.1016/j.ejpoleco.2024.102595</w:t>
      </w:r>
    </w:p>
    <w:p>
      <w:pPr/>
      <w:r>
        <w:rPr>
          <w:b/>
        </w:rPr>
        <w:t>Shared claim-specific concepts:</w:t>
      </w:r>
      <w:r>
        <w:t xml:space="preserve"> terms, options, population; EU scope visible. This is a provisional connection, not an outcome finding.</w:t>
      </w:r>
    </w:p>
    <w:p>
      <w:pPr>
        <w:pStyle w:val="SourceNote"/>
      </w:pPr>
      <w:r>
        <w:rPr>
          <w:b/>
        </w:rPr>
        <w:t>Available abstract (not full text):</w:t>
      </w:r>
      <w:r>
        <w:t xml:space="preserve"> Defense spending accounts for a large share of the budget in many countries, but the value of the resulting public good - national defense - has so far escaped assessment. Much of the literature has instead considered indirect benefits of defense spending in terms of greater economic growth or technological spillovers. In this paper, we assess the direct welfare effects of defense policy, namely an increase in the security of citizens, by means of a survey-based discrete choice experiment. Drawing on a representative sample of the German population, results suggest substantial willingness to pay for an increase in troop numbers, the establishment of a European army and an improved air defense system. The reintroduction of compulsory military service does not enjoy public support. Results further indicate substantial preference heterogeneity across respondents and policy options which we explore. As such, these findings demonstrate how methods of survey-based, non-market valuation can help to refine research in this area of public policy.</w:t>
      </w:r>
    </w:p>
    <w:p>
      <w:pPr/>
      <w:r>
        <w:rPr>
          <w:b/>
        </w:rPr>
        <w:t>POSSIBLE 2024:</w:t>
      </w:r>
      <w:r>
        <w:t xml:space="preserve"> Policies of Plastic Use in European Countries — https://doi.org/10.1201/9781003387862-3</w:t>
      </w:r>
    </w:p>
    <w:p>
      <w:pPr/>
      <w:r>
        <w:rPr>
          <w:b/>
        </w:rPr>
        <w:t>Shared claim-specific concepts:</w:t>
      </w:r>
      <w:r>
        <w:t xml:space="preserve"> terms, options, dependency; EU scope visible. This is a provisional connection, not an outcome finding.</w:t>
      </w:r>
    </w:p>
    <w:p>
      <w:pPr>
        <w:pStyle w:val="SourceNote"/>
      </w:pPr>
      <w:r>
        <w:rPr>
          <w:b/>
        </w:rPr>
        <w:t>Available abstract (not full text):</w:t>
      </w:r>
      <w:r>
        <w:t xml:space="preserve"> The European Union is an international political and economic union comprised of 27 Member States from Europe. Since the 21st century, plastic pollution has reached to a critical point plaguing not only Europe but other continents also facing the massive threats of plastic pollution affecting both civil populations and the environment. The European Union has been attempting to tackle the rising issue of plastic pollution for decades through national and transnational cooperations by setting up appropriate legislation and policies. Several approaches have been taken to pressure existing industries and the public with the intention of promoting a circular economy for plastics and reducing their dependency on products manufactured from plastics. The European Union remains resilient in terms of its economy and infrastructure to lay foundations towards achieving a circular economy for plastics. The European Union has formed new directives and frameworks which apply to single-use plastics, plastic packaging, and micro-plastics, aiming to reduce the environmental impacts of plastics through increasing the current recycling rates while reducing dependency on any waste-management options which can cause negative impacts on the environment and human health such as landfilling. Overall, the European Union has setup targets that have to be fulfilled by each of the Member States by the year</w:t>
      </w:r>
    </w:p>
    <w:p>
      <w:pPr/>
      <w:r>
        <w:rPr>
          <w:b/>
        </w:rPr>
        <w:t>POSSIBLE 2024:</w:t>
      </w:r>
      <w:r>
        <w:t xml:space="preserve"> Religion and female labor force participation in India — https://doi.org/10.1111/rode.13154</w:t>
      </w:r>
    </w:p>
    <w:p>
      <w:pPr/>
      <w:r>
        <w:rPr>
          <w:b/>
        </w:rPr>
        <w:t>Shared claim-specific concepts:</w:t>
      </w:r>
      <w:r>
        <w:t xml:space="preserve"> participation, among, improve; EU scope not established. This is a provisional connection, not an outcome finding.</w:t>
      </w:r>
    </w:p>
    <w:p>
      <w:pPr>
        <w:pStyle w:val="SourceNote"/>
      </w:pPr>
      <w:r>
        <w:rPr>
          <w:b/>
        </w:rPr>
        <w:t>Available abstract (not full text):</w:t>
      </w:r>
      <w:r>
        <w:t xml:space="preserve"> Abstract This paper primarily aims to identify the impact of religion on currently working women in India by considering the National Family Health Survey 2015–2016 data. It also incorporates several socioeconomics variables as controls. The models are estimated with aggregate as well as disaggregated urban–rural as well as zonal data. The results suggest that compared to the Hindus, Christian and Buddhist women have higher odds of labor force participation and Muslim and Sikh women have lower odds. Extensive analysis of the data indicates that economic well‐being among the Sikhs and the status of being married among the Muslims could be the primary factors responsible for their lower workforce participation. Additionally, lower age, lower education, better economic well‐being, the status of being married, large family size, having only one child, male household heads, and younger children are associated with lower workforce participation. Furthermore, education seems to be more accessible to women from urban areas and wealthier sections. Based on these observations, the study recommends devising policies for greater provisions for higher education in rural areas and among the poorer sections of society. Also, imparting awareness and developing an understanding of the importance of female labor force participation is crucial to improve women's labor force participation in India</w:t>
      </w:r>
    </w:p>
    <w:p>
      <w:pPr/>
      <w:r>
        <w:rPr>
          <w:b/>
        </w:rPr>
        <w:t>POSSIBLE 2023:</w:t>
      </w:r>
      <w:r>
        <w:t xml:space="preserve"> The Energy Price Shock—Impact, Policy Responses, and Reform Options — https://doi.org/10.5089/9798400246135.018</w:t>
      </w:r>
    </w:p>
    <w:p>
      <w:pPr/>
      <w:r>
        <w:rPr>
          <w:b/>
        </w:rPr>
        <w:t>Shared claim-specific concepts:</w:t>
      </w:r>
      <w:r>
        <w:t xml:space="preserve"> terms, options; EU scope visible. This is a provisional connection, not an outcome finding.</w:t>
      </w:r>
    </w:p>
    <w:p>
      <w:pPr>
        <w:pStyle w:val="SourceNote"/>
      </w:pPr>
      <w:r>
        <w:rPr>
          <w:b/>
        </w:rPr>
        <w:t>Available abstract (not full text):</w:t>
      </w:r>
      <w:r>
        <w:t xml:space="preserve"> The surge in energy prices due to Russia’s war in Ukraine inflicted a sharp terms of trade shock on the UK economy. While energy prices have since declined, the future energy price path remains uncertain, with futures-implied prices substantially above their levels prior to October 2021, when Russian natural gas imports to Europe began to be curtailed. In this context, section I analyzes the impact of the energy price shock on UK households and firms; section II describes the energy support measures introduced by the UK government; and section III provides staff’s assessment of these measures and sets out some options to optimize the policy response to a possible resurgence in energy prices. These include structural measures to ensure energy security and raise resilience to spikes in energy prices, and options to refine, especially the targeting of, support measures that could be introduced in response.</w:t>
      </w:r>
    </w:p>
    <w:p>
      <w:pPr/>
      <w:r>
        <w:rPr>
          <w:b/>
        </w:rPr>
        <w:t>POSSIBLE 2023:</w:t>
      </w:r>
      <w:r>
        <w:t xml:space="preserve"> The Outlook for Women's Employment and Labor Force Participation — https://doi.org/10.3386/w31916</w:t>
      </w:r>
    </w:p>
    <w:p>
      <w:pPr/>
      <w:r>
        <w:rPr>
          <w:b/>
        </w:rPr>
        <w:t>Shared claim-specific concepts:</w:t>
      </w:r>
      <w:r>
        <w:t xml:space="preserve"> options, participation, among, even; EU scope not established. This is a provisional connection, not an outcome finding.</w:t>
      </w:r>
    </w:p>
    <w:p>
      <w:pPr>
        <w:pStyle w:val="SourceNote"/>
      </w:pPr>
      <w:r>
        <w:rPr>
          <w:b/>
        </w:rPr>
        <w:t>Available abstract (not full text):</w:t>
      </w:r>
      <w:r>
        <w:t xml:space="preserve"> Employment and participation rates for US prime age women rose steadily during the second half of the 20th century.In the last 30 years, however, those rates stagnated, even as employment and participation rates for women in other industrialized countries continued to rise.I discuss the role of changes in the earnings structure and persistent institutional barriers, such as limited investment in family policies, that may be holding back employment among American women today.The COVID-19 pandemic reduced employment more for women than for men and raised the barriers to female participation due to the increase in childcare responsibilities during this period.Yet, the diffusion of remote and hybrid work arrangements in its aftermath may be beneficial for women's participation in the long run, even if both men's and women's postpandemic employment growth so far are strongly associated with access to remote work options.</w:t>
      </w:r>
    </w:p>
    <w:p>
      <w:pPr/>
      <w:r>
        <w:rPr>
          <w:b/>
        </w:rPr>
        <w:t>POSSIBLE 2023:</w:t>
      </w:r>
      <w:r>
        <w:t xml:space="preserve"> The Impact of Labor Force Participation on Elderly Health in China — https://doi.org/10.3390/healthcare11020160</w:t>
      </w:r>
    </w:p>
    <w:p>
      <w:pPr/>
      <w:r>
        <w:rPr>
          <w:b/>
        </w:rPr>
        <w:t>Shared claim-specific concepts:</w:t>
      </w:r>
      <w:r>
        <w:t xml:space="preserve"> participation, population; EU scope not established. This is a provisional connection, not an outcome finding.</w:t>
      </w:r>
    </w:p>
    <w:p>
      <w:pPr>
        <w:pStyle w:val="SourceNote"/>
      </w:pPr>
      <w:r>
        <w:rPr>
          <w:b/>
        </w:rPr>
        <w:t>Available abstract (not full text):</w:t>
      </w:r>
      <w:r>
        <w:t xml:space="preserve"> In the context of the deepening of population aging and the trial implementation of a progressive retirement delay policy in China, understanding the relationship between the labor force participation and health status of the elderly will not only enrich relevant research but also help the elderly better achieve their goals of active aging and aging. Using the 2018 China Health and Retirement Longitudinal Study, this paper first established multiple linear regression models to analyze the impact of labor force participation on the health status of elderly people in China and then established simultaneous equation models using households living on minimum living allowances and the community average of labor participation as instrumental variables to deal with the endogeneity caused by two-way causality. The findings confirmed significant positive correlations between labor force participation and physical and mental health, while caring for grandchildren and participating in social activities were found to be negatively moderated the relationship between labor force participation and the physical and mental health of older adults. The impact of labor force participation on the physical health status of older men and the mental health status of older women may be greater. In addition, labor force participation may have a greater impact on the physical health of the rural elderly,</w:t>
      </w:r>
    </w:p>
    <w:p>
      <w:pPr/>
      <w:r>
        <w:rPr>
          <w:b/>
        </w:rPr>
        <w:t>POSSIBLE 2023:</w:t>
      </w:r>
      <w:r>
        <w:t xml:space="preserve"> IMPACT OF FEMALE LABOR FORCE PARTICIPATION IN ECONOMIC DEVELOPMENT OF PAKISTAN — https://doi.org/10.53909/rms.05.01.0213</w:t>
      </w:r>
    </w:p>
    <w:p>
      <w:pPr/>
      <w:r>
        <w:rPr>
          <w:b/>
        </w:rPr>
        <w:t>Shared claim-specific concepts:</w:t>
      </w:r>
      <w:r>
        <w:t xml:space="preserve"> participation, population; EU scope not established. This is a provisional connection, not an outcome finding.</w:t>
      </w:r>
    </w:p>
    <w:p>
      <w:pPr>
        <w:pStyle w:val="SourceNote"/>
      </w:pPr>
      <w:r>
        <w:rPr>
          <w:b/>
        </w:rPr>
        <w:t>Available abstract (not full text):</w:t>
      </w:r>
      <w:r>
        <w:t xml:space="preserve"> Purpose This paper tries to examine whether the labor force participation of the female population affects the growth of the economy. Methodology The sampling data was collected from the World Bank’s website from 1971 to 2018. The Johansen co-integration test and VECM model were used to examine the relationship between female labor force participation and economic development. Findings The result of the Johansen and Juselius Co-integration test showed the long-term relationship between Female Labor Force Participation and Economic Development. The finding also indicated that female labor force participation had a negative impact on GDP. The CUSUM stability test was used for the short-run stability adjustments. Results of the CUSUM stability test showed that the coefficients of ECM (-1) speed of adjustment were stable at a 5 percent significance level, there were no oscillations outside the critical level, and the CUSUM curve was above the origin line, which indicated the significance of our short-run dynamics. Conclusion The study concludes that female labor force participation has a significant negative impact on Pakistan’s GDP, this is due to societal and cultural norms as well as the religious dignity of women.</w:t>
      </w:r>
    </w:p>
    <w:p>
      <w:pPr/>
      <w:r>
        <w:rPr>
          <w:b/>
        </w:rPr>
        <w:t>POSSIBLE 2023:</w:t>
      </w:r>
      <w:r>
        <w:t xml:space="preserve"> Planetary boundaries assessment of deep decarbonisation options for building heating in the European Union — https://doi.org/10.1016/j.enconman.2022.116602</w:t>
      </w:r>
    </w:p>
    <w:p>
      <w:pPr/>
      <w:r>
        <w:rPr>
          <w:b/>
        </w:rPr>
        <w:t>Shared claim-specific concepts:</w:t>
      </w:r>
      <w:r>
        <w:t xml:space="preserve"> terms, options; EU scope visible. This is a provisional connection, not an outcome finding.</w:t>
      </w:r>
    </w:p>
    <w:p>
      <w:pPr>
        <w:pStyle w:val="SourceNote"/>
      </w:pPr>
      <w:r>
        <w:rPr>
          <w:b/>
        </w:rPr>
        <w:t>Available abstract (not full text):</w:t>
      </w:r>
      <w:r>
        <w:t xml:space="preserve"> Building heating is one of the sectors for which multiple decarbonisation options exist and current geopolitical tensions provide urgency to design adequate regional policies. Heat pumps and hydrogen boilers, alongside alternative district heating systems, are the most promising alternatives. Although a host of city or country-level studies exist, it remains controversial what role hydrogen should play for building heating in the European Union compared with electrification and how blue and green hydrogen differ in terms of costs and environmental impacts. This work assesses the optimal technology mix for staying within planetary boundaries, and the influence of international cooperation and political restrictions. To perform the analysis, a bottom-up optimisation model was developed incorporating life cycle assessment constraints and covering production, storage, transport of energy and carbon dioxide, as well as grid and non-grid connected end-users of heat. It was found that a building heating system within planetary boundaries is feasible through large-scale electrification via heat pumps, although at a higher cost than the current system with abatement costs of around 200 €/ton CO2. Increasing interconnector capacity or onshore wind energy is found to be vital to staying within boundaries. A strong trade-off for hydrogen was identified, with blue hydrogen being cost-compet</w:t>
      </w:r>
    </w:p>
    <w:p>
      <w:pPr/>
      <w:r>
        <w:rPr>
          <w:b/>
        </w:rPr>
        <w:t>POSSIBLE 2022:</w:t>
      </w:r>
      <w:r>
        <w:t xml:space="preserve"> European Union criminal procedure policy as part of the European Union's policy in the field of the fight against criminality — https://doi.org/10.24144/2788-6018.2021.03.35</w:t>
      </w:r>
    </w:p>
    <w:p>
      <w:pPr/>
      <w:r>
        <w:rPr>
          <w:b/>
        </w:rPr>
        <w:t>Shared claim-specific concepts:</w:t>
      </w:r>
      <w:r>
        <w:t xml:space="preserve"> terms, options; EU scope visible. This is a provisional connection, not an outcome finding.</w:t>
      </w:r>
    </w:p>
    <w:p>
      <w:pPr>
        <w:pStyle w:val="SourceNote"/>
      </w:pPr>
      <w:r>
        <w:rPr>
          <w:b/>
        </w:rPr>
        <w:t>Available abstract (not full text):</w:t>
      </w:r>
      <w:r>
        <w:t xml:space="preserve"> This article is devoted to finding the term that would be optimal for naming the procedural part of the European Union's policy in the field of the fight against criminality. The terms «EU policy in the field of the fight against criminality», «EU criminal policy», «EU law enforcement policy» are used to refer to a separate type of European Union policy. Adhering to the position of giving preference to the use of the term «policy in the field of the fight against criminality», it is seen that such a construction can be applied in the context of the European Union and, as we see, is in demand. However, it should be recognized that a significant number of European scholars use the term «criminal policy of the European Union». Thus, it is proposed to use the term «European Union policy in the field of the fight against criminality» as a generalized concept that better reflects its non-level, but namely complex structure and relatively independent but interconnected basic elements, parts, first of all, EU criminal policy and EU criminal procedure policy. Of course, we can talk about other parts of the European Union's policy in the field of the fight against criminality, in particular, criminology, but the primary interest in the study is its procedural component. There are various terminologies in the literature that define it. For example, the following options can be identified:</w:t>
      </w:r>
    </w:p>
    <w:p>
      <w:pPr/>
      <w:r>
        <w:rPr>
          <w:b/>
        </w:rPr>
        <w:t>POSSIBLE 2022:</w:t>
      </w:r>
      <w:r>
        <w:t xml:space="preserve"> Ukraine’s Balance Policy between European Union and Russia — https://doi.org/10.18276/ap.2022.54-07</w:t>
      </w:r>
    </w:p>
    <w:p>
      <w:pPr/>
      <w:r>
        <w:rPr>
          <w:b/>
        </w:rPr>
        <w:t>Shared claim-specific concepts:</w:t>
      </w:r>
      <w:r>
        <w:t xml:space="preserve"> terms, options, participation; EU scope visible. This is a provisional connection, not an outcome finding.</w:t>
      </w:r>
    </w:p>
    <w:p>
      <w:pPr>
        <w:pStyle w:val="SourceNote"/>
      </w:pPr>
      <w:r>
        <w:rPr>
          <w:b/>
        </w:rPr>
        <w:t>Available abstract (not full text):</w:t>
      </w:r>
      <w:r>
        <w:t xml:space="preserve"> Having declared independence in 1991, after the dissolution of the Soviet Union, Ukraine gained strategic importance in terms of its geographical location. It is regarded a “buffer zone” for both the European Union (EU) and Russia. There is a division within the country into the pro-Western and pro-Russian options. Ukraine’s aspiration for the UE membership has faced Russia’s objection since time immemorial. In the past, Ukraine preferred to pursue a balance policy between Russia and the EU. Ukraine’s attempt to approach the West with the Orange Revolution, its inclusion in the European Neighbourhood Policy, its participation in the Eastern Partnership program were perceived as a threat by Russia. The Ukrainian crisis, in particular, brought these two countries face to face. This crisis also deeply affected both the EU’s energy policy and its relations with Russia. After all the developments that followed, the issue of Ukraine’s membership in the EU remains uncertain.</w:t>
      </w:r>
    </w:p>
    <w:p>
      <w:pPr>
        <w:pStyle w:val="Heading2"/>
      </w:pPr>
      <w:r>
        <w:t>678. Post-normal times: re-thinking the futures of the EU-Africa relationship</w:t>
      </w:r>
    </w:p>
    <w:p>
      <w:pPr>
        <w:pStyle w:val="SourceNote"/>
      </w:pPr>
      <w:r>
        <w:rPr>
          <w:b/>
        </w:rPr>
        <w:t>Original source (2020):</w:t>
      </w:r>
      <w:r>
        <w:t xml:space="preserve"> https://doi.org/10.1186/s40309-020-00167-8</w:t>
      </w:r>
    </w:p>
    <w:p>
      <w:pPr/>
      <w:r>
        <w:t>Original wording (abstract; indexed_source_text_not_full_document_verified): With the establishment of new powers as well as efforts to decolonise the thought and practise of North-South interactions, it is crucial to understand what the future of the relationship could be. The process consisted of identifying major influential factors in the relationship and assessing what role they played in the past and what role they could play in the future.</w:t>
      </w:r>
    </w:p>
    <w:p>
      <w:pPr/>
      <w:r>
        <w:rPr>
          <w:b/>
        </w:rPr>
        <w:t>POSSIBLE 2026:</w:t>
      </w:r>
      <w:r>
        <w:t xml:space="preserve"> HISTORICAL AND LEGAL PRECONDITIONS FOR THE ESTABLISHMENT OF EUROPEAN UNION AGENCIES — https://doi.org/10.23856/7642</w:t>
      </w:r>
    </w:p>
    <w:p>
      <w:pPr/>
      <w:r>
        <w:rPr>
          <w:b/>
        </w:rPr>
        <w:t>Shared claim-specific concepts:</w:t>
      </w:r>
      <w:r>
        <w:t xml:space="preserve"> establishment, process; EU scope visible. This is a provisional connection, not an outcome finding.</w:t>
      </w:r>
    </w:p>
    <w:p>
      <w:pPr>
        <w:pStyle w:val="SourceNote"/>
      </w:pPr>
      <w:r>
        <w:rPr>
          <w:b/>
        </w:rPr>
        <w:t>Available abstract (not full text):</w:t>
      </w:r>
      <w:r>
        <w:t xml:space="preserve"> The article examines the historical and legal preconditions for the establishment of European Union agencies as specific administrative bodies within the EU legal order. The relevance of the topic is determined by the fact that EU agencies have become important instruments for the implementation of Union policies, although their development was not initially directly provided for by the founding treaties. The article argues that the emergence of EU agencies was caused by the gradual complication of European integration, the expansion of the internal market, the need for technical expertise, the development of regulatory policies and the search for more flexible forms of administrative governance. Special attention is paid to the early stage of agency formation in the 1970s, the new wave of agencification in the 1990s, and the transformation of agencies after the Maastricht, Amsterdam, Nice and Lisbon Treaties. The study shows that the establishment of EU agencies was not a random institutional process but a response to functional needs of the Union. It is concluded that the historical and legal evolution of EU agencies reflects the transformation of the EU from a primarily economic community into a complex system of multilevel public administration.</w:t>
      </w:r>
    </w:p>
    <w:p>
      <w:pPr/>
      <w:r>
        <w:rPr>
          <w:b/>
        </w:rPr>
        <w:t>POSSIBLE 2026:</w:t>
      </w:r>
      <w:r>
        <w:t xml:space="preserve"> European middle powers: Germany, France and Italy as international actors — https://openalex.org/W7215008340</w:t>
      </w:r>
    </w:p>
    <w:p>
      <w:pPr/>
      <w:r>
        <w:rPr>
          <w:b/>
        </w:rPr>
        <w:t>Shared claim-specific concepts:</w:t>
      </w:r>
      <w:r>
        <w:t xml:space="preserve"> powers, major, they; EU scope visible. This is a provisional connection, not an outcome finding.</w:t>
      </w:r>
    </w:p>
    <w:p>
      <w:pPr>
        <w:pStyle w:val="SourceNote"/>
      </w:pPr>
      <w:r>
        <w:rPr>
          <w:b/>
        </w:rPr>
        <w:t>Available abstract (not full text):</w:t>
      </w:r>
      <w:r>
        <w:t xml:space="preserve"> Behind the geopolitics of great power competition lies a broad and diverse group of international actors that cannot match the status of major powers, yet wield considerable influence in specific policies and regions. These states are often referred to as middle powers, and they include actors from both the West and the Global South. They tend to act in multilateral formats, join alliances with like-minded partners and diversify their foreign policy partnerships. This Research Paper examines the concept of middlepowerness and applies it to an investigation of the foreign policies of the largest EU member states: Germany, France and Italy. Despite their relative decline compared with major and rising powers, these states retain significant resources that enable them to exert autonomous influence on specific issues in global politics. This capacity is particularly significant at a time of crisis in the transatlantic alliance due to the progressive US disengagement from Europe and from liberal values. The EU can act as a “power amplifier” for member states, but pooling the resources of middle powers does not automatically turn either those states or the EU into major powers in foreign policy.</w:t>
      </w:r>
    </w:p>
    <w:p>
      <w:pPr/>
      <w:r>
        <w:rPr>
          <w:b/>
        </w:rPr>
        <w:t>POSSIBLE 2026:</w:t>
      </w:r>
      <w:r>
        <w:t xml:space="preserve"> EPPO (European Public Prosecutor`s Office): objectives, powers and operating methods — https://openalex.org/W7220177938</w:t>
      </w:r>
    </w:p>
    <w:p>
      <w:pPr/>
      <w:r>
        <w:rPr>
          <w:b/>
        </w:rPr>
        <w:t>Shared claim-specific concepts:</w:t>
      </w:r>
      <w:r>
        <w:t xml:space="preserve"> establishment, powers, major; EU scope visible. This is a provisional connection, not an outcome finding.</w:t>
      </w:r>
    </w:p>
    <w:p>
      <w:pPr>
        <w:pStyle w:val="SourceNote"/>
      </w:pPr>
      <w:r>
        <w:rPr>
          <w:b/>
        </w:rPr>
        <w:t>Available abstract (not full text):</w:t>
      </w:r>
      <w:r>
        <w:t xml:space="preserve"> Corruption and fraud are major threats to the financial integrity of the European Union (EU), causing significant losses to the European budget and affecting the mechanisms for redistributing funds between Member States. According to the report on the protection of the EU's financial interests, fraud affecting the Union's financial interests exceeded €1.9 billion. In this context, the need for transnational institutions became evident that go beyond the legal boundaries of Member States, providing a coordinated framework for investigating cross-border financial crimes.Prior to the establishment of the EPPO, economic crimes affecting the EU budget were investigated at national level, which often led to a lack of coordinated action and low recovery rates. This fragmentation has been identified by the European Commission as a major vulnerability in the fight against fraud, underscoring the need for a common institution for all participating Member States.</w:t>
      </w:r>
    </w:p>
    <w:p>
      <w:pPr/>
      <w:r>
        <w:rPr>
          <w:b/>
        </w:rPr>
        <w:t>POSSIBLE 2026:</w:t>
      </w:r>
      <w:r>
        <w:t xml:space="preserve"> The Place of the European Union in the Global System of Powers and its Practical Challenges — https://doi.org/10.46340/eppd.2026.13.2.5</w:t>
      </w:r>
    </w:p>
    <w:p>
      <w:pPr/>
      <w:r>
        <w:rPr>
          <w:b/>
        </w:rPr>
        <w:t>Shared claim-specific concepts:</w:t>
      </w:r>
      <w:r>
        <w:t xml:space="preserve"> powers, understand, process, role, they; EU scope visible. This is a provisional connection, not an outcome finding.</w:t>
      </w:r>
    </w:p>
    <w:p>
      <w:pPr>
        <w:pStyle w:val="SourceNote"/>
      </w:pPr>
      <w:r>
        <w:rPr>
          <w:b/>
        </w:rPr>
        <w:t>Available abstract (not full text):</w:t>
      </w:r>
      <w:r>
        <w:t xml:space="preserve"> Relevance of the topic: At the present stage, the systemic development of the European Union has become largely dependent on changes in the global security environment.The ongoing Russia-Ukraine war has had a particularly strong impact, significantly changing the architecture of European security and the role of the European Union in international politics.This process has strengthened the importance of the EU's security policy and intensified the issue of its positioning in the global balance of power.In addition, it fundamentally changed the European security order.A norm-based cooperative system was replaced by hard power and a policy of deterrence.The war ended the illusion of "perpetual peace" in Europe and forced the continent to begin building a new, strong, militarized security system.Under these conditions, it becomes relevant to understand the crises of the systemic development of the European Union not only as temporary problems but as transformational processes.Therefore, the analysis of EU crises in the context of systemic development is important, which makes it possible to assess the future of European integration and its place in contemporary international relations.The analysis of EU crises shows that the union is in a stage of systemic transformation, where geopolitical uncertainty, energy vulnerability, and internal fragmentation force Europe to reconsider th</w:t>
      </w:r>
    </w:p>
    <w:p>
      <w:pPr/>
      <w:r>
        <w:rPr>
          <w:b/>
        </w:rPr>
        <w:t>POSSIBLE 2025:</w:t>
      </w:r>
      <w:r>
        <w:t xml:space="preserve"> Establishment of the Authority for Anti-Money Laundering . Why Does the European Union Need to Institutionalize Anti-Money Laundering? — https://doi.org/10.31743/recl.18302</w:t>
      </w:r>
    </w:p>
    <w:p>
      <w:pPr/>
      <w:r>
        <w:rPr>
          <w:b/>
        </w:rPr>
        <w:t>Shared claim-specific concepts:</w:t>
      </w:r>
      <w:r>
        <w:t xml:space="preserve"> establishment, powers; EU scope visible. This is a provisional connection, not an outcome finding.</w:t>
      </w:r>
    </w:p>
    <w:p>
      <w:pPr>
        <w:pStyle w:val="SourceNote"/>
      </w:pPr>
      <w:r>
        <w:rPr>
          <w:b/>
        </w:rPr>
        <w:t>Available abstract (not full text):</w:t>
      </w:r>
      <w:r>
        <w:t xml:space="preserve"> The Regulation of the European Parliament and of the Council of 31 May 2024 establishing the Authority for Anti-Money Laundering and Countering the Financing of Terrorism (AMLA) is an important step in combating money laundering and the financing of terrorism. This article outlines why this initiative was deemed necessary and what the objectives and powers of the new Authority will be. The primary method used during the research was the formal-dogmatic method through an analysis of the provisions regulating AML. The new Authority’s goals and functions were verified using legal acts, reports and studies from European Union bodies. On the basis of these, conclusions are presented on the purposefulness of the AMLA’s establishment, its scope of tasks and how it is expected to function. Some of the proposed assumptions – especially regarding the effectiveness of the direct supervision the AMLA is to perform – were subject to critical analysis. The research results show that, to increase the effectiveness of overall AML policy in the European Union, the new Authority must cooperate successfully with both EU and national authorities – primarily the Financial Intelligence Units of Member States.</w:t>
      </w:r>
    </w:p>
    <w:p>
      <w:pPr/>
      <w:r>
        <w:rPr>
          <w:b/>
        </w:rPr>
        <w:t>POSSIBLE 2025:</w:t>
      </w:r>
      <w:r>
        <w:t xml:space="preserve"> The separation of powers and the administrative branch in the European Union — https://doi.org/10.1093/icon/moaf048</w:t>
      </w:r>
    </w:p>
    <w:p>
      <w:pPr/>
      <w:r>
        <w:rPr>
          <w:b/>
        </w:rPr>
        <w:t>Shared claim-specific concepts:</w:t>
      </w:r>
      <w:r>
        <w:t xml:space="preserve"> powers, assessing, role, played; EU scope visible. This is a provisional connection, not an outcome finding.</w:t>
      </w:r>
    </w:p>
    <w:p>
      <w:pPr>
        <w:pStyle w:val="SourceNote"/>
      </w:pPr>
      <w:r>
        <w:rPr>
          <w:b/>
        </w:rPr>
        <w:t>Available abstract (not full text):</w:t>
      </w:r>
      <w:r>
        <w:t xml:space="preserve"> Abstract The interpretation of the principle of separation of powers in the EU has developed a distinct character through the principle of institutional balance. The Court of Justice of the European Union (CJEU) has played a central role in assessing and overseeing this principle. This article examines how the EU’s understanding of the separation of powers has shaped the functioning of its administrative branch. Specifically, it focuses on how the CJEU has applied the principle of institutional balance through the so-called non-delegation doctrine, which restricts the delegation of powers to EU administrative bodies. It argues that the CJEU’s interpretation has affected the theoretical understanding of administrative powers, ultimately hindering the development of a robust framework to ensure the accountability of discretionary powers exercised by administrative bodies not explicitly outlined in the EU treaties.</w:t>
      </w:r>
    </w:p>
    <w:p>
      <w:pPr/>
      <w:r>
        <w:rPr>
          <w:b/>
        </w:rPr>
        <w:t>POSSIBLE 2025:</w:t>
      </w:r>
      <w:r>
        <w:t xml:space="preserve"> Building Trade Institutions After the EU:Trade Powers in the UK — https://openalex.org/W7203962608</w:t>
      </w:r>
    </w:p>
    <w:p>
      <w:pPr/>
      <w:r>
        <w:rPr>
          <w:b/>
        </w:rPr>
        <w:t>Shared claim-specific concepts:</w:t>
      </w:r>
      <w:r>
        <w:t xml:space="preserve"> establishment, powers; EU scope visible. This is a provisional connection, not an outcome finding.</w:t>
      </w:r>
    </w:p>
    <w:p>
      <w:pPr>
        <w:pStyle w:val="SourceNote"/>
      </w:pPr>
      <w:r>
        <w:rPr>
          <w:b/>
        </w:rPr>
        <w:t>Available abstract (not full text):</w:t>
      </w:r>
      <w:r>
        <w:t xml:space="preserve"> This chapter presents the reshaped landscape of trade powers in the United Kingdom (UK) following withdrawal from the European Union EU), exploring the implications for the UK’s trade policy and regulatory framework. It examines the repatriation of trade powers from the EU to the UK, including the establishment of new trade agreements, tariff schedules, and regulatory regimes. By examining the UK’s trade powers in comparison to those of other countries and regions, it provides readers with insights into the diverse approaches and challenges in comparative trade regulation. Moreover, the chapter serves as a valuable case study for understanding the complexities of disentangling from regional trade arrangements and redefining trade policy priorities outside of large integrated markets.</w:t>
      </w:r>
    </w:p>
    <w:p>
      <w:pPr/>
      <w:r>
        <w:rPr>
          <w:b/>
        </w:rPr>
        <w:t>POSSIBLE 2025:</w:t>
      </w:r>
      <w:r>
        <w:t xml:space="preserve"> THE AI PARADOX IN CENTRAL BANKING: NEW POWERS, NEW VULNERABILITIES — https://doi.org/10.21098/jcli.v4i3.441</w:t>
      </w:r>
    </w:p>
    <w:p>
      <w:pPr/>
      <w:r>
        <w:rPr>
          <w:b/>
        </w:rPr>
        <w:t>Shared claim-specific concepts:</w:t>
      </w:r>
      <w:r>
        <w:t xml:space="preserve"> powers, relationship; EU scope not established. This is a provisional connection, not an outcome finding.</w:t>
      </w:r>
    </w:p>
    <w:p>
      <w:pPr>
        <w:pStyle w:val="SourceNote"/>
      </w:pPr>
      <w:r>
        <w:rPr>
          <w:b/>
        </w:rPr>
        <w:t>Available abstract (not full text):</w:t>
      </w:r>
      <w:r>
        <w:t xml:space="preserve"> The integration of artificial intelligence into central banking disrupts the traditional bank regulator relationship, creating asymmetries that private institutions exploit. This paper examines how AI-driven market surveillance and predictive risk modelling erode private banks’ informational advantages, compelling them into a Schumpeterian race for survival in which innovation becomes imperative. Using a qualitative analysis of regulatory developments and financial market adaptations, this study argues that enhanced central bank AI capabilities paradoxically accelerate the emergence of opaque financial segments designed to evade oversight. The findings indicate that this shift transforms regulatory dynamics, positioning central banks as real-time market participants while private institutions develop increasingly sophisticated methods of regulatory evasion. This evolution generates systemic risks that existing regulatory frameworks struggle to address, necessitating adaptive oversight mechanisms. The study concludes that the imperative progressively drives financial innovation to maintain opacity in response to algorithmic supervision, underscoring the need for regulatory models that balance AI’s benefits with emerging vulnerabilities.</w:t>
      </w:r>
    </w:p>
    <w:p>
      <w:pPr/>
      <w:r>
        <w:rPr>
          <w:b/>
        </w:rPr>
        <w:t>POSSIBLE 2025:</w:t>
      </w:r>
      <w:r>
        <w:t xml:space="preserve"> The elephant in the room: the European Council’s dominance in core state powers during times of crisis — https://doi.org/10.1080/14782804.2025.2577136</w:t>
      </w:r>
    </w:p>
    <w:p>
      <w:pPr/>
      <w:r>
        <w:rPr>
          <w:b/>
        </w:rPr>
        <w:t>Shared claim-specific concepts:</w:t>
      </w:r>
      <w:r>
        <w:t xml:space="preserve"> establishment, powers, process, role; EU scope visible. This is a provisional connection, not an outcome finding.</w:t>
      </w:r>
    </w:p>
    <w:p>
      <w:pPr>
        <w:pStyle w:val="SourceNote"/>
      </w:pPr>
      <w:r>
        <w:rPr>
          <w:b/>
        </w:rPr>
        <w:t>Available abstract (not full text):</w:t>
      </w:r>
      <w:r>
        <w:t xml:space="preserve"> This article examines the role of the European Council in shaping the EU’s policy response to three crises in ‘core state power’ policy areas, namely the COVID-19 pandemic (budgetary and financial assistance policy), the Russian invasion of Ukraine (common foreign and security policy) and the rule of law controversy (identity and constitutional policy). It carries out a theory-building process-tracing analysis of dominance exerted by the European Council over the decision-making process that led to the establishment of the Recovery and Resilience Facility, sanctions against Russia and the rule of law conditionality system respectively. The findings shed light on exactly how the European Council, in the presence of crises involving ‘core state powers’, is able to exercise decision-making powers beyond the letter of the treaties, relegating the other EU institutions to a consultative or implementing role. These findings can be generalised across different crises framed at the EU level which tap into the realm of core state powers.</w:t>
      </w:r>
    </w:p>
    <w:p>
      <w:pPr/>
      <w:r>
        <w:rPr>
          <w:b/>
        </w:rPr>
        <w:t>POSSIBLE 2024:</w:t>
      </w:r>
      <w:r>
        <w:t xml:space="preserve"> An anti-money laundering authority for the European Union: a new center of gravity in AML enforcement — https://doi.org/10.1007/s12027-024-00805-9</w:t>
      </w:r>
    </w:p>
    <w:p>
      <w:pPr/>
      <w:r>
        <w:rPr>
          <w:b/>
        </w:rPr>
        <w:t>Shared claim-specific concepts:</w:t>
      </w:r>
      <w:r>
        <w:t xml:space="preserve"> establishment, powers; EU scope visible. This is a provisional connection, not an outcome finding.</w:t>
      </w:r>
    </w:p>
    <w:p>
      <w:pPr>
        <w:pStyle w:val="SourceNote"/>
      </w:pPr>
      <w:r>
        <w:rPr>
          <w:b/>
        </w:rPr>
        <w:t>Available abstract (not full text):</w:t>
      </w:r>
      <w:r>
        <w:t xml:space="preserve"> Abstract The establishment of an Anti-Money Laundering Authority (AMLA) heralds a milestone in the European Union’s (EU) institutional framework for the enforcement of anti-money laundering and countering the financing of terrorism (AML/CFT) rules. This contribution explores the competence and powers of the new AML/CFT supervisor. While AMLA is a true enforcement actor with investigative and sanctioning powers to address breaches of AML/CFT requirements, the scope of AMLA’s enforcement powers will be limited. AMLA will nevertheless have an important regulatory impact and it will enhance the fight against cross-border financial crime by supporting the work of other bodies and agencies in the field.</w:t>
      </w:r>
    </w:p>
    <w:p>
      <w:pPr/>
      <w:r>
        <w:rPr>
          <w:b/>
        </w:rPr>
        <w:t>POSSIBLE 2024:</w:t>
      </w:r>
      <w:r>
        <w:t xml:space="preserve"> Decolonising Solidarity? — https://doi.org/10.31273/an.v11i1.1491</w:t>
      </w:r>
    </w:p>
    <w:p>
      <w:pPr/>
      <w:r>
        <w:rPr>
          <w:b/>
        </w:rPr>
        <w:t>Shared claim-specific concepts:</w:t>
      </w:r>
      <w:r>
        <w:t xml:space="preserve"> efforts, they, past; EU scope visible. This is a provisional connection, not an outcome finding.</w:t>
      </w:r>
    </w:p>
    <w:p>
      <w:pPr>
        <w:pStyle w:val="SourceNote"/>
      </w:pPr>
      <w:r>
        <w:rPr>
          <w:b/>
        </w:rPr>
        <w:t>Available abstract (not full text):</w:t>
      </w:r>
      <w:r>
        <w:t xml:space="preserve"> While the 50th anniversary of the coup d’état against the government of Salvador Allende in Chile invites to reflect on past and current experiences of solidarity between Latin America and Europe, the present contribution seeks to foreground the rather overlooked international solidarity efforts of and with the indigenous Mapuche. As a result of their forced exile to Europe after 1973, Mapuche activists began to organise themselves as a diasporic community in Europe and to form a transnational advocacy network in support of their people. This contribution aims to showcase how international solidarity of and with the Mapuche in Europe evolved over time, how they relate to non-indigenous, Chilean solidarity networks, and which underlying Mapuche notions of solidarity they reactivate in order to weave their transnational advocacy network.</w:t>
      </w:r>
    </w:p>
    <w:p>
      <w:pPr/>
      <w:r>
        <w:rPr>
          <w:b/>
        </w:rPr>
        <w:t>POSSIBLE 2023:</w:t>
      </w:r>
      <w:r>
        <w:t xml:space="preserve"> THE EUROPEAN UNION: THE HISTORY OF ESTABLISHMENT AND SIGNIFICANCE FOR UKRAINE — https://doi.org/10.30970/vla.2023.76.015</w:t>
      </w:r>
    </w:p>
    <w:p>
      <w:pPr/>
      <w:r>
        <w:rPr>
          <w:b/>
        </w:rPr>
        <w:t>Shared claim-specific concepts:</w:t>
      </w:r>
      <w:r>
        <w:t xml:space="preserve"> establishment, powers, process, role, they, played; EU scope visible. This is a provisional connection, not an outcome finding.</w:t>
      </w:r>
    </w:p>
    <w:p>
      <w:pPr>
        <w:pStyle w:val="SourceNote"/>
      </w:pPr>
      <w:r>
        <w:rPr>
          <w:b/>
        </w:rPr>
        <w:t>Available abstract (not full text):</w:t>
      </w:r>
      <w:r>
        <w:t xml:space="preserve"> The article reveals the prerequisites for the formation and development of European integration, reveals the processes of creating the European Union as a new form of European integration, and analyzes the achievements of Ukraine in European integration processes. It is noted that the idea of uniting the peoples and states of Europe has a long history. In various historical periods, European rulers and politicians sought to implement the idea of European unification. The idea of European unity was developed and defended in their writings by philosophers, scientists, religious figures, etc. This idea is based on the principles of territorial and civilizational kinship and unity of Europeans and runs through the entire history of European nations. The formation and development of European integration institutions was the result of the consistent development of the unification process of the countries of Western Europe, which went through several stages in their development. Integration involved an active search for ways and means of political, legal, economic (and in some cases, social and cultural) unification of European states with the aim of establishing their close, first of all, economic cooperation. An important role in integration processes was and continues to be played by the economic basis of the development of states. European integration is based on economic integrat</w:t>
      </w:r>
    </w:p>
    <w:p>
      <w:pPr>
        <w:pStyle w:val="Heading2"/>
      </w:pPr>
      <w:r>
        <w:t>679. Quantifying the sensitivity of european power systems to energy scenarios and climate change projections</w:t>
      </w:r>
    </w:p>
    <w:p>
      <w:pPr>
        <w:pStyle w:val="SourceNote"/>
      </w:pPr>
      <w:r>
        <w:rPr>
          <w:b/>
        </w:rPr>
        <w:t>Original source (2020):</w:t>
      </w:r>
      <w:r>
        <w:t xml:space="preserve"> https://doi.org/10.1016/j.renene.2020.09.125</w:t>
      </w:r>
    </w:p>
    <w:p>
      <w:pPr/>
      <w:r>
        <w:t>Original wording (abstract; indexed_source_text_not_full_document_verified): We show for the first time how a set of divergent future power system scenarios lead to marked differences in Europe’s total energy balance (demand-net-renewable supply) by 2050, which dominate over the uncertainty associated with climate change (∼50% and ∼5% respectively). However, within any given power system scenario, national power systems may be subject to considerable impacts from climate change, particularly for seasonal differences between renewable resources (e.g., wind power may be impacted by ∼20% or more).</w:t>
      </w:r>
    </w:p>
    <w:p>
      <w:pPr/>
      <w:r>
        <w:rPr>
          <w:b/>
        </w:rPr>
        <w:t>POSSIBLE 2026:</w:t>
      </w:r>
      <w:r>
        <w:t xml:space="preserve"> Stability Rules: Succession Institutions, Conflict, and Divergent Paths of State Development — https://openalex.org/W7164271797</w:t>
      </w:r>
    </w:p>
    <w:p>
      <w:pPr/>
      <w:r>
        <w:rPr>
          <w:b/>
        </w:rPr>
        <w:t>Shared claim-specific concepts:</w:t>
      </w:r>
      <w:r>
        <w:t xml:space="preserve"> show, first, divergent, power, system, over; EU scope visible. This is a provisional connection, not an outcome finding.</w:t>
      </w:r>
    </w:p>
    <w:p>
      <w:pPr>
        <w:pStyle w:val="SourceNote"/>
      </w:pPr>
      <w:r>
        <w:rPr>
          <w:b/>
        </w:rPr>
        <w:t>Available abstract (not full text):</w:t>
      </w:r>
      <w:r>
        <w:t xml:space="preserve"> How do political systems secure stable transfers of power, and what are the long-run consequences of failing to do so? This dissertation argues that the organization of succession is a fundamental determinant of both political stability and state development. Succession institutions matter in two ways. First, clear and impersonal rules reduce uncertainty by coordinating elite expectations over who should rule next. Second, they shape who competes for power in the first place—selecting for claimants with either limited capacity and incentives for rebellion or, alternatively, empowering rivals prone to contest the throne. Where succession institutions fail along these dimensions, transfers of power become focal points for violence, generating recurrent patterns of conflict that shape divergent paths of state development over the long run. The dissertation develops this argument across three chapters. The first examines how variation in succession rules shaped the likelihood of conflict in pre-modern monarchies. I argue that succession institutions differ along three key dimensions: whether successors are identified before or after a ruler’s death, whether succession follows a fixed, rule-based line (e.g., birth-order) or a discretionary process, and whether power transfers vertically across generations or laterally within them. The advanced identification of successors and fixed,</w:t>
      </w:r>
    </w:p>
    <w:p>
      <w:pPr/>
      <w:r>
        <w:rPr>
          <w:b/>
        </w:rPr>
        <w:t>POSSIBLE 2026:</w:t>
      </w:r>
      <w:r>
        <w:t xml:space="preserve"> Understanding Divergent Convergence: — https://doi.org/10.5195/jwsr.2026.1370</w:t>
      </w:r>
    </w:p>
    <w:p>
      <w:pPr/>
      <w:r>
        <w:rPr>
          <w:b/>
        </w:rPr>
        <w:t>Shared claim-specific concepts:</w:t>
      </w:r>
      <w:r>
        <w:t xml:space="preserve"> divergent, system, marked, within; EU scope not established. This is a provisional connection, not an outcome finding.</w:t>
      </w:r>
    </w:p>
    <w:p>
      <w:pPr>
        <w:pStyle w:val="SourceNote"/>
      </w:pPr>
      <w:r>
        <w:rPr>
          <w:b/>
        </w:rPr>
        <w:t>Available abstract (not full text):</w:t>
      </w:r>
      <w:r>
        <w:t xml:space="preserve"> The twenty-first century is marked by a profound transformation of the global capitalist system, characterized by simultaneous convergence between the Global North (GN) and the Global South (GS), alongside increasing divergence within the GS. At the center of this process, the Sino-Asian macro-regional formation has emerged as a new pole of accumulation, reshaping global hierarchies while deepening asymmetries within the GS. This article addresses three interrelated questions: how this transformation has unfolded, why Sino-Asia has become a dynamic center of the global system, and what explains the growing divergence within the GS. To do so, it advances a complementary multilevel framework integrating Arrighian World System Analysis (WSA), Latin American Structuralism (LAS), and Historical Institutionalism (HI). The analysis shows that Arrighian systemic cycles of accumulation—particularly the transition from financial to material phases—account for the conditions underlying the rise of Sino-Asia and a more dynamic GS, but are insufficient to explain intraregional divergence. Prebischian LAS addresses this limitation by highlighting the role of industrialization, technological upgrading, and regional integration in shaping differentiated development trajectories. Integrated within a systemic perspective, HI helps identify state capacity as the key mechanism enabling these proce</w:t>
      </w:r>
    </w:p>
    <w:p>
      <w:pPr/>
      <w:r>
        <w:rPr>
          <w:b/>
        </w:rPr>
        <w:t>POSSIBLE 2026:</w:t>
      </w:r>
      <w:r>
        <w:t xml:space="preserve"> Negotiating Post-Carbon Futures: Divergent Imaginaries in the Redevelopment of Ratcliffe-on Soar Power Station — https://openalex.org/W7163849930</w:t>
      </w:r>
    </w:p>
    <w:p>
      <w:pPr/>
      <w:r>
        <w:rPr>
          <w:b/>
        </w:rPr>
        <w:t>Shared claim-specific concepts:</w:t>
      </w:r>
      <w:r>
        <w:t xml:space="preserve"> first, divergent, power, within; EU scope not established. This is a provisional connection, not an outcome finding.</w:t>
      </w:r>
    </w:p>
    <w:p>
      <w:pPr>
        <w:pStyle w:val="SourceNote"/>
      </w:pPr>
      <w:r>
        <w:rPr>
          <w:b/>
        </w:rPr>
        <w:t>Available abstract (not full text):</w:t>
      </w:r>
      <w:r>
        <w:t xml:space="preserve"> The UK achieved the ambitious goal of becoming the first G7 country to phase out coal-firedelectricity, with its last power station, Ratcliffe-on-Soar closing in 2024. Ensuring thisgeneration of transitioning communities does not follow in the footsteps of ‘left behind’ UKex-mining villages for example, is imperative. This study investigates and compares theimaginaries of place leaders and locals in a region experiencing a post-carbon transition, froma critical realist perspective. The paper addresses the current gap in imaginaries literature tothoroughly engage with subjective theories such as sense of place and value judgments, as wellas understanding the implications of imaginaries on economic processes. A conceptualframework is built to extend Benners (2025) conceptualisation of imaginaries, by delineatingfour key dimensions: spatial, temporal, thematic and tonal. The framework is then applied tothe case study of the redevelopment of Ratcliffe-on-Soar power station in Nottinghamshire, tocompare the imaginaries of place leaders and locals, by conducting six semi-structuredinterviews and document analysis. The findings are then operationalised within an indexdeveloped in this paper, to quantitatively map out the orientation of actors’ imaginaries. Thestudy finds that the two groups diverged, to varying degrees, across all four dimensions ofimaginaries. Additionally, it identi</w:t>
      </w:r>
    </w:p>
    <w:p>
      <w:pPr/>
      <w:r>
        <w:rPr>
          <w:b/>
        </w:rPr>
        <w:t>POSSIBLE 2026:</w:t>
      </w:r>
      <w:r>
        <w:t xml:space="preserve"> Divergent Perceptions, Divergent Pay: Inflation and the Gender Wage Gap — https://doi.org/10.65864/sws4jidg0w</w:t>
      </w:r>
    </w:p>
    <w:p>
      <w:pPr/>
      <w:r>
        <w:rPr>
          <w:b/>
        </w:rPr>
        <w:t>Shared claim-specific concepts:</w:t>
      </w:r>
      <w:r>
        <w:t xml:space="preserve"> first, divergent, lead, within; EU scope not established. This is a provisional connection, not an outcome finding.</w:t>
      </w:r>
    </w:p>
    <w:p>
      <w:pPr>
        <w:pStyle w:val="SourceNote"/>
      </w:pPr>
      <w:r>
        <w:rPr>
          <w:b/>
        </w:rPr>
        <w:t>Available abstract (not full text):</w:t>
      </w:r>
      <w:r>
        <w:t xml:space="preserve"> Inflationary shocks do not affect all workers equally. Comparing men and women, we document two facts. First, both demand- and supply-driven inflationary shocks widen the gender wage gap within industries and occupations. Because these shocks imply opposite business-cycle conditions, their common effect points to inflation as the relevant force. Second, women and men perceive the same inflationary shocks as having different labor-market consequences: women expect conditions to worsen, while men expect them to improve. This asymmetry creates an expectations channel linking inflation to unequal wage growth. We formalize this channel in a New Keynesian search-and-matching model with male and female workers, imperfect information, and gender-specific ambiguity attitudes. Common macroeconomic signals lead ambiguity-averse women to place greater weight on adverse supply-driven states. For inflationary signals, this lowers their perceived outside options and wage demands relative to men's. Divergent perceptions translate common inflationary shocks into divergent pay.</w:t>
      </w:r>
    </w:p>
    <w:p>
      <w:pPr/>
      <w:r>
        <w:rPr>
          <w:b/>
        </w:rPr>
        <w:t>POSSIBLE 2025:</w:t>
      </w:r>
      <w:r>
        <w:t xml:space="preserve"> Spatial shifts of seasonal vegetation cycles in Europe over time — https://doi.org/10.5194/egusphere-egu25-11953</w:t>
      </w:r>
    </w:p>
    <w:p>
      <w:pPr/>
      <w:r>
        <w:rPr>
          <w:b/>
        </w:rPr>
        <w:t>Shared claim-specific concepts:</w:t>
      </w:r>
      <w:r>
        <w:t xml:space="preserve"> show, first, time, over, climate, however; EU scope visible. This is a provisional connection, not an outcome finding.</w:t>
      </w:r>
    </w:p>
    <w:p>
      <w:pPr>
        <w:pStyle w:val="SourceNote"/>
      </w:pPr>
      <w:r>
        <w:rPr>
          <w:b/>
        </w:rPr>
        <w:t>Available abstract (not full text):</w:t>
      </w:r>
      <w:r>
        <w:t xml:space="preserve"> Seasonal cycles of vegetation functioning are changing as a consequence of climate change. For example, a widespread greening of the northern hemisphere is observed, with an earlier start of the growing season and a later end of the growing season in some regions. However, in other regions, the growing season is actually ending earlier due to water limitations or more frequent extremes.In this study, we focus on Europe and calculate seasonal cycles of vegetation indices at each grid cell during a past time period, and determine where most similar seasonal cycles are observed during a more recent time period. This way, we examine how the seasonal vegetation cycle at grid cells has shifted in space over the past decades by analyzing satellite-derived Leaf Area Index (LAI) data. The spatial shift is calculated for each grid cell as the difference between the locations with (i) most similar seasonal cycles during 2010-2018 and (ii) most similar seasonal cycles during 1982-1989. Similarity is assessed based on the RMSE between the seasonal cycles. First results show a widespread eastward and northward shift of seasonal cycles across Europe. The variability of determined shifts is high across regions. Calculations of spatial shifts using MODIS LAI data during more recent time periods are used to validate the long-term results. Finally, we compare the determined spatial shifts to resp</w:t>
      </w:r>
    </w:p>
    <w:p>
      <w:pPr/>
      <w:r>
        <w:rPr>
          <w:b/>
        </w:rPr>
        <w:t>POSSIBLE 2025:</w:t>
      </w:r>
      <w:r>
        <w:t xml:space="preserve"> The spatiotemporal dynamics of COVID-19 in Europe: time-series clustering maps 5 distinct trajectories to spatial patterns — https://doi.org/10.1186/s12963-025-00405-w</w:t>
      </w:r>
    </w:p>
    <w:p>
      <w:pPr/>
      <w:r>
        <w:rPr>
          <w:b/>
        </w:rPr>
        <w:t>Shared claim-specific concepts:</w:t>
      </w:r>
      <w:r>
        <w:t xml:space="preserve"> show, first, time, within; EU scope visible. This is a provisional connection, not an outcome finding.</w:t>
      </w:r>
    </w:p>
    <w:p>
      <w:pPr>
        <w:pStyle w:val="SourceNote"/>
      </w:pPr>
      <w:r>
        <w:rPr>
          <w:b/>
        </w:rPr>
        <w:t>Available abstract (not full text):</w:t>
      </w:r>
      <w:r>
        <w:t xml:space="preserve"> The COVID-19 pandemic affected Europe unevenly, with surges in infections and deaths fluctuating across different regions and time periods. Hyper-localised hotspots and staggered timelines created intense, asynchronous waves of infections and deaths that distort country-level and cumulative data, obscuring the pandemic's spatiotemporal dynamics through aggregation. Despite extensive research comparing states and analysing subnational variance within individual countries, the detailed subnational and transnational dynamics of the COVID-19 pandemic across Europe as a whole have not been comprehensively described. Here we show that time-series clustering, applied to weekly excess mortality estimates for subnational NUTS3 administrative regions of 27 countries in Europe, identifies five distinct pandemic trajectories which map to spatial patterns. The trajectories comprise two subgroups, representing contrasting pandemic dynamics in eastern and western Europe. Western Europe exhibits concentric arrangements of mortality impact, with secondary and tertiary impact zones surrounding outbreak epicenters. Eastern Europe exhibits internally homogeneous spatial dynamics, possibly due to the deferral of the first major mortality wave.</w:t>
      </w:r>
    </w:p>
    <w:p>
      <w:pPr/>
      <w:r>
        <w:rPr>
          <w:b/>
        </w:rPr>
        <w:t>POSSIBLE 2025:</w:t>
      </w:r>
      <w:r>
        <w:t xml:space="preserve"> #154 Time trends in European paediatric kidney transplantation: an ESPN/ERA Registry study — https://doi.org/10.1093/ndt/gfaf116.0876</w:t>
      </w:r>
    </w:p>
    <w:p>
      <w:pPr/>
      <w:r>
        <w:rPr>
          <w:b/>
        </w:rPr>
        <w:t>Shared claim-specific concepts:</w:t>
      </w:r>
      <w:r>
        <w:t xml:space="preserve"> first, time, differences, over; EU scope visible. This is a provisional connection, not an outcome finding.</w:t>
      </w:r>
    </w:p>
    <w:p>
      <w:pPr>
        <w:pStyle w:val="SourceNote"/>
      </w:pPr>
      <w:r>
        <w:rPr>
          <w:b/>
        </w:rPr>
        <w:t>Available abstract (not full text):</w:t>
      </w:r>
      <w:r>
        <w:t xml:space="preserve"> Abstract Background and Aims Kidney transplantation is the optimal treatment modality for most patients with kidney failure particularly in childhood due to survival advantages and improved physical and psychosocial development. While most children initiate kidney replacement therapy (KRT) on dialysis, they are expected to receive a kidney transplant during childhood. We know that in Europe there are substantial differences in the access to kidney transplantation, but information on time trends is lacking. The aim of this study was therefore to report on time trends in paediatric kidney transplantation rates and recipient characteristics between 2010 and 2021 in Europe, overall and by country macro-economic level. Method Thirty-one countries contributing with data to the ESPN/ERA Registry on kidney transplant recipients below 18 years (covering about 90% of Europe) between 2010 and 2021 were included. The main analysis focused on the period of 2010–19. Additionally, the years 2020–21 were analysed separately, because of the potential effect of the COVID-19 pandemic. We reported trends in kidney transplantation per million age related population (pmarp) in Europe, overall and by country groups based on macro-economic level [low, middle or high income countries according to the gross domestic product (GDP) per capita in 2021]. Time trends were reported as annual percentage change</w:t>
      </w:r>
    </w:p>
    <w:p>
      <w:pPr/>
      <w:r>
        <w:rPr>
          <w:b/>
        </w:rPr>
        <w:t>POSSIBLE 2025:</w:t>
      </w:r>
      <w:r>
        <w:t xml:space="preserve"> Evolutionarily distinct lineages of a migratory bird of prey show divergent responses to climate change — https://doi.org/10.1038/s41467-025-58617-5</w:t>
      </w:r>
    </w:p>
    <w:p>
      <w:pPr/>
      <w:r>
        <w:rPr>
          <w:b/>
        </w:rPr>
        <w:t>Shared claim-specific concepts:</w:t>
      </w:r>
      <w:r>
        <w:t xml:space="preserve"> show, divergent, climate; EU scope visible. This is a provisional connection, not an outcome finding.</w:t>
      </w:r>
    </w:p>
    <w:p>
      <w:pPr>
        <w:pStyle w:val="SourceNote"/>
      </w:pPr>
      <w:r>
        <w:rPr>
          <w:b/>
        </w:rPr>
        <w:t>Available abstract (not full text):</w:t>
      </w:r>
      <w:r>
        <w:t xml:space="preserve"> Accurately predicting species' responses to anthropogenic climate change is hampered by limited knowledge of their spatiotemporal ecological and evolutionary dynamics. We combine landscape genomics, demographic reconstructions, and species distribution models to assess the eco-evolutionary responses to past climate fluctuations and to future climate of an Afro-Palaearctic migratory raptor, the lesser kestrel (Falco naumanni). We uncover two evolutionarily and ecologically distinct lineages (European and Asian), whose demographic history, evolutionary divergence, and historical distribution range were profoundly shaped by past climatic fluctuations. Using future climate projections, we find that the Asian lineage is at higher risk of range contraction, increased migration distance, climate maladaptation, and consequently greater extinction risk than the European lineage. Our results emphasise the importance of providing historical context as a baseline for understanding species' responses to contemporary climate change, and illustrate how incorporating intraspecific genetic variation improves the ecological realism of climate change vulnerability assessments.</w:t>
      </w:r>
    </w:p>
    <w:p>
      <w:pPr/>
      <w:r>
        <w:rPr>
          <w:b/>
        </w:rPr>
        <w:t>POSSIBLE 2025:</w:t>
      </w:r>
      <w:r>
        <w:t xml:space="preserve"> First Results of the European Cystinuria Registry — https://doi.org/10.1681/asn.2025bdqnghxs</w:t>
      </w:r>
    </w:p>
    <w:p>
      <w:pPr/>
      <w:r>
        <w:rPr>
          <w:b/>
        </w:rPr>
        <w:t>Shared claim-specific concepts:</w:t>
      </w:r>
      <w:r>
        <w:t xml:space="preserve"> show, first, time, associated, respectively, within; EU scope visible. This is a provisional connection, not an outcome finding.</w:t>
      </w:r>
    </w:p>
    <w:p>
      <w:pPr>
        <w:pStyle w:val="SourceNote"/>
      </w:pPr>
      <w:r>
        <w:rPr>
          <w:b/>
        </w:rPr>
        <w:t>Available abstract (not full text):</w:t>
      </w:r>
      <w:r>
        <w:t xml:space="preserve"> Background: Cystinuria is a rare autosomal recessive disorder in which high urinary cystine excretion leads to formation of cystine stones due to its low solubility at normal urinary pH (UpH). Our goal was to collect prospective data from children and adults with cystinuria followed in European centers. Methods: EUROCYS is a multidisciplinary, multicenter registry of patients with cystinuria in which demographic, clinical, biological, radiological and therapeutic data are collected longitudinally and recorded via the European Rare Kidney Disease Registry platform. Results: 484 patients (306 adults, 178 children) have been included in 38 centers from 10 countries. Mean age at diagnosis and at inclusion were 17.8 (SD: 17.5) and 30.3 (21.0) yrs, respectively. Within the 12 months prior to visit, 13.8% had a urological surgery and 11.0% a spontaneous stone passage. Mean eGFR at inclusion was 87.8 ml/min/1.73m2 (24.5): 52.4%, 33.8%, 12.8%, 0.3%, and 0.8% of patients had CKD stages 1, 2, 3, 4 or 5, respectively. Mean UpH was 6.9 (0.8), below the recommended target of 7.5 to 8. Taking into account all visits with available UpH (n=213), only 25.3% of UpH were between 7.5 and 8, whereas 65.3% were below 7.5 and 9.4% above 8. UpH between 7 and 7.49 and below 7 were associated with an increased risk of new stones assessed by radiology during the following year, compared with UpH between 7</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first, time, differences, over, associated, climate;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2024:</w:t>
      </w:r>
      <w:r>
        <w:t xml:space="preserve"> “EUROPE”: A Patriotic Ballet for the First World War — https://doi.org/10.1080/19475020.2024.2352853</w:t>
      </w:r>
    </w:p>
    <w:p>
      <w:pPr/>
      <w:r>
        <w:rPr>
          <w:b/>
        </w:rPr>
        <w:t>Shared claim-specific concepts:</w:t>
      </w:r>
      <w:r>
        <w:t xml:space="preserve"> show, first, time, associated, however, within; EU scope visible. This is a provisional connection, not an outcome finding.</w:t>
      </w:r>
    </w:p>
    <w:p>
      <w:pPr>
        <w:pStyle w:val="SourceNote"/>
      </w:pPr>
      <w:r>
        <w:rPr>
          <w:b/>
        </w:rPr>
        <w:t>Available abstract (not full text):</w:t>
      </w:r>
      <w:r>
        <w:t xml:space="preserve"> From September 1914 to January 1915, the Empire Theatre in London staged what was billed as a patriotic ballet called Europe. In addition to its lengthy run in the capital, a second version of the show toured the country, appearing at theatres in Manchester, Newcastle, Glasgow, Sheffield, Liverpool, Bradford, Nottingham and Portsmouth. The show received unanimous praise in both national and regional newspapers. However, despite its reach, popularity and impact, Europe has been mostly forgotten. Since it was a dance-based performance, no script was submitted to the Lord Chamberlain’s office. Although the piece did include music, it produced no hit songs captured on gramophone records or sheet music. Moreover, once the reality of the First World War began to hit home, the manner in which the show trivialised and glorified the conflict quickly fell out of step with public opinion. Therefore, when Europe’s run ended, it was permanently shelved and assigned to the passing of time. Nevertheless, the show left an archival imprint scattered through newspapers, theatre programmes, magazines and autobiographies. The following article draws these fragments together to form a blueprint of this hitherto discarded piece of popular culture. This reconstruction reveals a strikingly complex and rich piece of theatre, both in terms of its technical construction and how cultural conventions were </w:t>
      </w:r>
    </w:p>
    <w:p>
      <w:pPr/>
      <w:r>
        <w:rPr>
          <w:b/>
        </w:rPr>
        <w:t>POSSIBLE 2024:</w:t>
      </w:r>
      <w:r>
        <w:t xml:space="preserve"> Divergent Market Reactions to Abstract Language: A Multicountry Event Study of European Central Bank Communications — https://doi.org/10.5465/amj.2022.0814</w:t>
      </w:r>
    </w:p>
    <w:p>
      <w:pPr/>
      <w:r>
        <w:rPr>
          <w:b/>
        </w:rPr>
        <w:t>Shared claim-specific concepts:</w:t>
      </w:r>
      <w:r>
        <w:t xml:space="preserve"> show, divergent, power; EU scope visible. This is a provisional connection, not an outcome finding.</w:t>
      </w:r>
    </w:p>
    <w:p>
      <w:pPr>
        <w:pStyle w:val="SourceNote"/>
      </w:pPr>
      <w:r>
        <w:rPr>
          <w:b/>
        </w:rPr>
        <w:t>Available abstract (not full text):</w:t>
      </w:r>
      <w:r>
        <w:t xml:space="preserve"> Prominent leaders regularly communicate with multiple markets around the world, but we know little about the challenges that can arise when trying to effectively convey one’s message in a global setting. In this paper, we develop a theory about how language abstraction—a dominant strategy used to create common ground among diverse audiences—can become problematic when used in a global environment where market actors have divergent interests. Employing a multicountry event study, we analyze how the stock markets in 11 eurozone countries react to the abstract language in public speeches delivered by the European Central Bank president. We find that abstract language, rather than creating common ground, produces divergent market reactions across core and peripheral countries, such that market actors in core countries react more favorably to abstract communication, while those in peripheral countries prefer concrete communication. We also show that this divergent reaction is stronger when the economic interests of the core and the periphery are made more salient. This study contributes new insights to research on strategic communication in market settings, expands our understanding of audience heterogeneity and market power, and highlights the growing challenges of communicating in a globalized society.</w:t>
      </w:r>
    </w:p>
    <w:p>
      <w:pPr>
        <w:pStyle w:val="Heading2"/>
      </w:pPr>
      <w:r>
        <w:t>680. Recycling of European plastic is a pathway for plastic debris in the ocean</w:t>
      </w:r>
    </w:p>
    <w:p>
      <w:pPr>
        <w:pStyle w:val="SourceNote"/>
      </w:pPr>
      <w:r>
        <w:rPr>
          <w:b/>
        </w:rPr>
        <w:t>Original source (2020):</w:t>
      </w:r>
      <w:r>
        <w:t xml:space="preserve"> https://doi.org/10.1016/j.envint.2020.105893</w:t>
      </w:r>
    </w:p>
    <w:p>
      <w:pPr/>
      <w:r>
        <w:t>Original wording (abstract; indexed_source_text_not_full_document_verified): Data uncertainty was reflected in three scenarios representing high, low and average recovery efficiency factors in material recovery facilities and reprocessing facilities, and different ocean debris fate factors.</w:t>
      </w:r>
    </w:p>
    <w:p>
      <w:pPr/>
      <w:r>
        <w:rPr>
          <w:b/>
        </w:rPr>
        <w:t>POSSIBLE 2026:</w:t>
      </w:r>
      <w:r>
        <w:t xml:space="preserve"> Cash Flow Associations of European Investment Funds in Times of High Uncertainty — https://doi.org/10.5709/ce.1897-9254.593</w:t>
      </w:r>
    </w:p>
    <w:p>
      <w:pPr/>
      <w:r>
        <w:rPr>
          <w:b/>
        </w:rPr>
        <w:t>Shared claim-specific concepts:</w:t>
      </w:r>
      <w:r>
        <w:t xml:space="preserve"> data, uncertainty, high, different; EU scope visible. This is a provisional connection, not an outcome finding.</w:t>
      </w:r>
    </w:p>
    <w:p>
      <w:pPr>
        <w:pStyle w:val="SourceNote"/>
      </w:pPr>
      <w:r>
        <w:rPr>
          <w:b/>
        </w:rPr>
        <w:t>Available abstract (not full text):</w:t>
      </w:r>
      <w:r>
        <w:t xml:space="preserve"> This study explores the associations between cash flows among various types of investment funds in Europe from 2020 to 2022, a period marked by unprecedented economic and geopolitical uncertainty due to the COVID-19 pandemic, the Russian invasion of Ukraine, as well as rising interest rates and inflation. Using the Apriori algorithm, a data mining technique typically applied in marketing research, we analyze fund-level net sales data across 28 European countries to identify patterns in investor behavior. The results indicate that investors did not systematically shift capital from equity funds to bond or money market funds during periods of heightened market volatility, challenging the traditional flight-to-safety hypothesis. Instead, fund cash flows showed a tendency for concurrent purchases and sales across different fund types, suggesting that portfolio adjustments were driven by broader investment strategies rather than short-term risk aversion. The most frequent association observed was between equity UCITS and multi-asset UCITS, with positive net sales in both fund types occurring in over 52% of cases. The findings have important implications for fund managers and policymakers seeking to anticipate investor behavior, manage liquidity risks, and design investment products that align with investor preferences during periods of financial instability.</w:t>
      </w:r>
    </w:p>
    <w:p>
      <w:pPr/>
      <w:r>
        <w:rPr>
          <w:b/>
        </w:rPr>
        <w:t>POSSIBLE 2026:</w:t>
      </w:r>
      <w:r>
        <w:t xml:space="preserve"> Does Economic Policy Uncertainty Influence ESG Performance? Evidence from European Banking Sector — https://doi.org/10.5539/ijbm.v21n5p163</w:t>
      </w:r>
    </w:p>
    <w:p>
      <w:pPr/>
      <w:r>
        <w:rPr>
          <w:b/>
        </w:rPr>
        <w:t>Shared claim-specific concepts:</w:t>
      </w:r>
      <w:r>
        <w:t xml:space="preserve"> data, uncertainty, high, different; EU scope visible. This is a provisional connection, not an outcome finding.</w:t>
      </w:r>
    </w:p>
    <w:p>
      <w:pPr>
        <w:pStyle w:val="SourceNote"/>
      </w:pPr>
      <w:r>
        <w:rPr>
          <w:b/>
        </w:rPr>
        <w:t>Available abstract (not full text):</w:t>
      </w:r>
      <w:r>
        <w:t xml:space="preserve"> The purpose of this paper is to investigate the impact of economic policy uncertainty (EPU) on environmental, social and governance (ESG) performance in the European banking sector and then to investigate the moderating influence of board gender diversity (BGD) on this relationship. We analyzed a sample of 113 European Union banks for the period 2016-2024 and we developed an econometric model applying a dynamic panel data regression analysis (generalized Method of Moments – GMM System) on 1,017 bank-year observations. To test research hypotheses, we considered BGD in terms of female participation on the board of directors and we measured ESG dimensions by using the ESG score provided by LSEG Refinitiv. The results highlight that EPU affects the ESG performance of European banks and specifically, demonstrate that EPU reduces the overall ESG score. EPU also declines governance and environmental engagements but enhances the social activities to dampen uncertainty during periods of high EPU. This study also suggests that the presence of women on board mitigate these negative effects since the influence of EPU on overall ESG performance is positive in this circumstance. The investigation is highly relevant for regulators, policymakers, potential investors, managers and other stakeholders who are interested in improving the ESG performance of banks under different uncertainties. In t</w:t>
      </w:r>
    </w:p>
    <w:p>
      <w:pPr/>
      <w:r>
        <w:rPr>
          <w:b/>
        </w:rPr>
        <w:t>POSSIBLE 2026:</w:t>
      </w:r>
      <w:r>
        <w:t xml:space="preserve"> Dealing with and communicating data uncertainties in agricultural remote sensing: a comprehensive approach — https://doi.org/10.1016/j.rsase.2026.102202</w:t>
      </w:r>
    </w:p>
    <w:p>
      <w:pPr/>
      <w:r>
        <w:rPr>
          <w:b/>
        </w:rPr>
        <w:t>Shared claim-specific concepts:</w:t>
      </w:r>
      <w:r>
        <w:t xml:space="preserve"> data, uncertainty, high, factors; EU scope visible. This is a provisional connection, not an outcome finding.</w:t>
      </w:r>
    </w:p>
    <w:p>
      <w:pPr>
        <w:pStyle w:val="SourceNote"/>
      </w:pPr>
      <w:r>
        <w:rPr>
          <w:b/>
        </w:rPr>
        <w:t>Available abstract (not full text):</w:t>
      </w:r>
      <w:r>
        <w:t xml:space="preserve"> The European Space Agency's (ESA) Copernicus program has provided free access to satellite remote sensing data, making it an attractive option for public institutions. Government institutions are currently evaluating and identifying use cases for satellite imagery. Agricultural administration stands to benefit particularly, with the potential uses being substantial, especially in this area. This is primarily driven by two factors: (1) legal requirements within the framework of the Common Agricultural Policy (CAP), and (2) the substantial proportion of agricultural land within the total land cover in a mid-European study area. In the domain of agriculture and environmental discourse, there are a variety of applications for agricultural remote sensing in the context of providing a database for decision makers within the agricultural administration. The administration's activities are connected with the careful handling of the created geodata products, depending on the data requirements and the uncertainties inherent in the products as a result of the creation process. Government institutions have high accuracy requirements for the products they use to make decisions. In this regard, this thesis examines the factors that influence the informative value of agricultural remote sensing products and proposes possible solutions in understanding and communicating data uncertainties. Thi</w:t>
      </w:r>
    </w:p>
    <w:p>
      <w:pPr/>
      <w:r>
        <w:rPr>
          <w:b/>
        </w:rPr>
        <w:t>POSSIBLE 2025:</w:t>
      </w:r>
      <w:r>
        <w:t xml:space="preserve"> High resolution soil property maps and their uncertainty for Europe — https://openalex.org/W7110658065</w:t>
      </w:r>
    </w:p>
    <w:p>
      <w:pPr/>
      <w:r>
        <w:rPr>
          <w:b/>
        </w:rPr>
        <w:t>Shared claim-specific concepts:</w:t>
      </w:r>
      <w:r>
        <w:t xml:space="preserve"> data, uncertainty, high; EU scope visible. This is a provisional connection, not an outcome finding.</w:t>
      </w:r>
    </w:p>
    <w:p>
      <w:pPr>
        <w:pStyle w:val="SourceNote"/>
      </w:pPr>
      <w:r>
        <w:rPr>
          <w:b/>
        </w:rPr>
        <w:t>Available abstract (not full text):</w:t>
      </w:r>
      <w:r>
        <w:t xml:space="preserve"> High-resolution, reliable soil data is crucial for addressing climate change and sustainable land management. Integrating high-resolution remote sensing data, such as from the Copernicus Sentinel fleet, is essential for improving accuracy and relevance. This study presents an overview of our Digital Soil Mapping (DSM) approach and its innovations. We combine satellite imagery, environmental covariates (e.g., elevation, weather data), and ground truth observations (e.g., LUCAS and other European and national datasets) to create high-resolution soil property maps using statistical models. These maps encompass primary properties (e.g., organic carbon, pH, texture), derived properties, and soil health indicators. We used the Soil Composite Mapping Processor (SCMaP) to derive soil reflectance composites from Sentinel-2 time series. These composites aid in identifying bare soil areas and estimating their spectral reflectance, spectral dynamics and frequency of occurrence, serving as a proxy for land management. Random Forest models, in particular Quantile Random Forests for uncertainty assessment, are employed to predict soil properties. This study delves into the advantages and challenges of using high-resolution remote sensing data with limited ground truth data. We also provide insights into product uncertainty assessment at a continental scale, including accuracy, spatial pattern</w:t>
      </w:r>
    </w:p>
    <w:p>
      <w:pPr/>
      <w:r>
        <w:rPr>
          <w:b/>
        </w:rPr>
        <w:t>POSSIBLE 2025:</w:t>
      </w:r>
      <w:r>
        <w:t xml:space="preserve"> Assessing data uncertainty in large-scale energy model — https://doi.org/10.26868/25222708.2025.1706</w:t>
      </w:r>
    </w:p>
    <w:p>
      <w:pPr/>
      <w:r>
        <w:rPr>
          <w:b/>
        </w:rPr>
        <w:t>Shared claim-specific concepts:</w:t>
      </w:r>
      <w:r>
        <w:t xml:space="preserve"> data, uncertainty, high; EU scope visible. This is a provisional connection, not an outcome finding.</w:t>
      </w:r>
    </w:p>
    <w:p>
      <w:pPr>
        <w:pStyle w:val="SourceNote"/>
      </w:pPr>
      <w:r>
        <w:rPr>
          <w:b/>
        </w:rPr>
        <w:t>Available abstract (not full text):</w:t>
      </w:r>
      <w:r>
        <w:t xml:space="preserve"> National building renovation plans are a central element of the newly approved Energy Performance of Buildings Directive (European Commission, 2024). This plan will offer a comprehensive overview of the energy and environmental performance of both residential and non-residential buildings. To effectively map the energy status of the urban building stocks, it is useful to analyse building typologies that represent various climatic zones, building uses, and construction periods.Urban Building Energy Models (UBEMs) require vast amounts of data, which are often limited and inaccurate. Privacy policies significantly restrict data availability, impacting access to building information on a city-wide scale (HosseiniHaghighi et al., 2022; Johari et al., 2023). To address data uncertainty in large-scale energy analysis, collected data are used to create building archetypes (BAs). The BA approach strikes a balance between reducing complexity and enhancing the model’s accuracy in energy analysis. The energy performance certificates (EPCs) represent a core source of information to bridge the data uncertainty in large-scale analyses.Given the significant data uncertainty associated with generating BAs, deeper analysis of the effects of key input data deviations on energy performance assessment is necessary. This study begins with the classification of data in UBEMs, aiming to identify the e</w:t>
      </w:r>
    </w:p>
    <w:p>
      <w:pPr/>
      <w:r>
        <w:rPr>
          <w:b/>
        </w:rPr>
        <w:t>POSSIBLE 2025:</w:t>
      </w:r>
      <w:r>
        <w:t xml:space="preserve"> Data Uncertainty of Flood Susceptibility Using Non-Flood Samples — https://doi.org/10.3390/rs17030375</w:t>
      </w:r>
    </w:p>
    <w:p>
      <w:pPr/>
      <w:r>
        <w:rPr>
          <w:b/>
        </w:rPr>
        <w:t>Shared claim-specific concepts:</w:t>
      </w:r>
      <w:r>
        <w:t xml:space="preserve"> data, uncertainty, three, high, low, factors; EU scope not established. This is a provisional connection, not an outcome finding.</w:t>
      </w:r>
    </w:p>
    <w:p>
      <w:pPr>
        <w:pStyle w:val="SourceNote"/>
      </w:pPr>
      <w:r>
        <w:rPr>
          <w:b/>
        </w:rPr>
        <w:t>Available abstract (not full text):</w:t>
      </w:r>
      <w:r>
        <w:t xml:space="preserve"> Flood susceptibility provides scientific support for flood prevention planning and infrastructure development by identifying and assessing flood-prone areas. The uncertainty posed by non-flood sample datasets remains a key challenge in flood susceptibility mapping. Therefore, this study proposes a novel sampling method for non-flood points. A flood susceptibility model is constructed using a machine learning algorithm to examine the uncertainty in flood susceptibility due to non-flood point selection. The influencing factors of flood susceptibility are analyzed through interpretable models. Compared to non-flood datasets generated by random sampling with the buffer method, the non-flood dataset constructed using the spatial range identified by the frequency ratio model and sampling method of one-class support vector machine achieves higher accuracy. This significantly improves the simulation accuracy of the flood susceptibility model, with an accuracy increase of 24% in the ENSEMBLE model. (2) In constructing the flood susceptibility model using the optimal non-flood dataset, the ENSEMBLE learning algorithm demonstrates higher accuracy than other machine learning methods, with an AUC of 0.95. (3) The northern and southeastern regions of the Zijiang River Basin have extremely high flood susceptibility. Elevation and drainage density are identified as key factors causing high flo</w:t>
      </w:r>
    </w:p>
    <w:p>
      <w:pPr/>
      <w:r>
        <w:rPr>
          <w:b/>
        </w:rPr>
        <w:t>POSSIBLE 2024:</w:t>
      </w:r>
      <w:r>
        <w:t xml:space="preserve"> Uncertainty Estimation of Lake Ice Cover Maps From a Random Forest Classifier Using MODIS TOA Reflectance Data — https://doi.org/10.1109/jstars.2024.3518306</w:t>
      </w:r>
    </w:p>
    <w:p>
      <w:pPr/>
      <w:r>
        <w:rPr>
          <w:b/>
        </w:rPr>
        <w:t>Shared claim-specific concepts:</w:t>
      </w:r>
      <w:r>
        <w:t xml:space="preserve"> data, uncertainty, different; EU scope visible. This is a provisional connection, not an outcome finding.</w:t>
      </w:r>
    </w:p>
    <w:p>
      <w:pPr>
        <w:pStyle w:val="SourceNote"/>
      </w:pPr>
      <w:r>
        <w:rPr>
          <w:b/>
        </w:rPr>
        <w:t>Available abstract (not full text):</w:t>
      </w:r>
      <w:r>
        <w:t xml:space="preserve"> This article presents a method to improve the usability of lake ice cover (LIC) maps generated from moderate resolution imaging spectroradiometer (MODIS) top-of-atmosphere reflectance data by providing estimates of aleatoric and epistemic uncertainty. We used a random forest (RF) classifier, which has been shown to have superior performance in classifying lake ice, open water, and clouds, to generate daily LIC maps with inherent (aleatoric) and model (epistemic) uncertainties. RF allows for the learning of different hypotheses (trees), producing diverse predictions that can be utilized to quantify aleatoric and epistemic uncertainty. We use a decomposition of Shannon entropy to quantify these uncertainties and apply pixel-based uncertainty estimation. Our results show that using uncertainty values to reject the classification of uncertain pixels significantly improves recall and precision. The method presented herein is under consideration for integration into the processing chain implemented for the production of daily LIC maps as part of the European Space Agency's Climate Change Initiative (CCI+) Lakes project.</w:t>
      </w:r>
    </w:p>
    <w:p>
      <w:pPr/>
      <w:r>
        <w:rPr>
          <w:b/>
        </w:rPr>
        <w:t>POSSIBLE 2024:</w:t>
      </w:r>
      <w:r>
        <w:t xml:space="preserve"> Voicing Uncertainty: How Speech, Text, and Visualizations Influence Decisions with Data Uncertainty — https://doi.org/10.1109/uncertaintyvisualization63963.2024.00007</w:t>
      </w:r>
    </w:p>
    <w:p>
      <w:pPr/>
      <w:r>
        <w:rPr>
          <w:b/>
        </w:rPr>
        <w:t>Shared claim-specific concepts:</w:t>
      </w:r>
      <w:r>
        <w:t xml:space="preserve"> data, uncertainty, factors; EU scope not established. This is a provisional connection, not an outcome finding.</w:t>
      </w:r>
    </w:p>
    <w:p>
      <w:pPr>
        <w:pStyle w:val="SourceNote"/>
      </w:pPr>
      <w:r>
        <w:rPr>
          <w:b/>
        </w:rPr>
        <w:t>Available abstract (not full text):</w:t>
      </w:r>
      <w:r>
        <w:t xml:space="preserve"> Understanding and communicating data uncertainty is crucial for informed decision-making across various domains, including finance, healthcare, and public policy. This study investigates the impact of gender and acoustic variables on decision-making, confidence, and trust through a crowdsourced experiment. We compared visualization-only representations of uncertainty to text-forward and speech-forward bimodal representations, including multiple synthetic voices across gender. Speech-forward representations led to an increase in risky decisions, and text-forward representations led to lower confidence. Contrary to prior work, speech-forward forecasts did not receive higher ratings of trust. Higher normalized pitch led to a slight increase in decision confidence, but other voice characteristics had minimal impact on decisions and trust. An exploratory analysis of accented speech showed consistent results with the main experiment and additionally indicated lower trust ratings for information presented in Indian and Kenyan accents. The results underscore the importance of considering acoustic and contextual factors in presentation of data uncertainty.</w:t>
      </w:r>
    </w:p>
    <w:p>
      <w:pPr/>
      <w:r>
        <w:rPr>
          <w:b/>
        </w:rPr>
        <w:t>POSSIBLE 2024:</w:t>
      </w:r>
      <w:r>
        <w:t xml:space="preserve"> Performance Evaluation of Hospitals under Data Uncertainty: An Uncertain Common-Weights Data Envelopment Analysis — https://doi.org/10.3390/healthcare12060611</w:t>
      </w:r>
    </w:p>
    <w:p>
      <w:pPr/>
      <w:r>
        <w:rPr>
          <w:b/>
        </w:rPr>
        <w:t>Shared claim-specific concepts:</w:t>
      </w:r>
      <w:r>
        <w:t xml:space="preserve"> data, uncertainty, efficiency; EU scope not established. This is a provisional connection, not an outcome finding.</w:t>
      </w:r>
    </w:p>
    <w:p>
      <w:pPr>
        <w:pStyle w:val="SourceNote"/>
      </w:pPr>
      <w:r>
        <w:rPr>
          <w:b/>
        </w:rPr>
        <w:t>Available abstract (not full text):</w:t>
      </w:r>
      <w:r>
        <w:t xml:space="preserve"> In the context of healthcare systems, the performance evaluation of hospitals plays a crucial role in assessing the quality of healthcare systems and facilitating informed decision-making processes. However, the presence of data uncertainty poses significant challenges to accurate performance measurement. This paper presents a novel uncertain common-weights data envelopment analysis (UCWDEA) approach for evaluating the performance of hospitals under uncertain environments. The proposed UCWDEA approach addresses the limitations of traditional data envelopment analysis (DEA) models by incorporating the uncertainty theory (UT) to model the inherent uncertainty in input and output data. Also, by utilizing a common set of weights (CSW) technique, the UCWDEA method provides a more robust and reliable assessment of hospital performance. The main advantages of the proposed UCWDEA approach can be succinctly summarized as follows. Firstly, it allows for the comparison of all hospitals on a consistent basis to calculate a realistic efficiency score, rather than an overly optimistic efficiency score. Secondly, the uncertain common-weights DEA approach exhibits linearity, enhancing its applicability. Thirdly, it possesses the capability to extend its utility under various other prevalent uncertainty distributions. Moreover, it enhances the discriminatory power of results, facilitates the ra</w:t>
      </w:r>
    </w:p>
    <w:p>
      <w:pPr/>
      <w:r>
        <w:rPr>
          <w:b/>
        </w:rPr>
        <w:t>POSSIBLE 2023:</w:t>
      </w:r>
      <w:r>
        <w:t xml:space="preserve"> Uncertainty of atmospheric scattering functions relevant for Satellite Ocean Colour Radiometry in European Seas — https://doi.org/10.1080/01431161.2023.2247531</w:t>
      </w:r>
    </w:p>
    <w:p>
      <w:pPr/>
      <w:r>
        <w:rPr>
          <w:b/>
        </w:rPr>
        <w:t>Shared claim-specific concepts:</w:t>
      </w:r>
      <w:r>
        <w:t xml:space="preserve"> data, uncertainty, three, ocean; EU scope visible. This is a provisional connection, not an outcome finding.</w:t>
      </w:r>
    </w:p>
    <w:p>
      <w:pPr>
        <w:pStyle w:val="SourceNote"/>
      </w:pPr>
      <w:r>
        <w:rPr>
          <w:b/>
        </w:rPr>
        <w:t>Available abstract (not full text):</w:t>
      </w:r>
      <w:r>
        <w:t xml:space="preserve"> Uncertainty assessment of Ocean Colour Radiometry (OCR) usually relies on the comparison between satellite marine reflectance and concurrent in situ radiometric measurements. However, when dealing with the standard atmospheric correction (AC), uncertainty of marine reflectance originates fundamentally from two sources: (i) uncertainty of the Level-1 calibration at top of the atmosphere, and (ii) uncertainty of the atmospheric scattering functions computed by the AC (atmospheric path reflectance and transmittance). The aim of this alternative work is thus to assess the uncertainty of these scattering functions, thanks to inherent optical properties of aerosols extracted from the AErosol Robotic NETwork (AERONET) and ingested in a radiative transfer code. The study is conducted for the MEdium Resolution Imaging Spectrometer (MERIS), over three AERONET sites selected in European seas (Aqua Alta Oceanographic Tower, AAOT; Gustav Dalen Tower, GDT; Lampedusa) and Lanai in the Pacific Ocean as a reference. We develop an uncertainty budget based on the statistical analysis of the errors between MERIS and AERONET-derived data. At 443 nm, uncertainty of MERIS atmospheric path reflectance due to random effects is estimated around 2%, while that of total atmospheric transmittance is between 0.6% and 1%. Propagation of these uncertainties to OCR is achieved following metrological principles</w:t>
      </w:r>
    </w:p>
    <w:p>
      <w:pPr/>
      <w:r>
        <w:rPr>
          <w:b/>
        </w:rPr>
        <w:t>POSSIBLE 2023:</w:t>
      </w:r>
      <w:r>
        <w:t xml:space="preserve"> Data for paper "Magnetohydrodynamic Equilibrium Reconstruction with Consistent Uncertainties" — https://doi.org/10.5281/zenodo.8063360</w:t>
      </w:r>
    </w:p>
    <w:p>
      <w:pPr/>
      <w:r>
        <w:rPr>
          <w:b/>
        </w:rPr>
        <w:t>Shared claim-specific concepts:</w:t>
      </w:r>
      <w:r>
        <w:t xml:space="preserve"> data, uncertainty, low; EU scope visible. This is a provisional connection, not an outcome finding.</w:t>
      </w:r>
    </w:p>
    <w:p>
      <w:pPr>
        <w:pStyle w:val="SourceNote"/>
      </w:pPr>
      <w:r>
        <w:rPr>
          <w:b/>
        </w:rPr>
        <w:t>Available abstract (not full text):</w:t>
      </w:r>
      <w:r>
        <w:t xml:space="preserve"> Data and scripts for the conference paper "Magnetohydrodynamic Equilibrium Reconstruction with Consistent Uncertainties" for the 42nd International Workshop on Bayesian Inference and Maximum Entropy Methods in Science and Engineering. Abstract: We report on progress towards a probabilistic framework for consistent uncertainty quantification and propagation in analysis and numerical modeling of physics in magnetically confined plasmas with stellarator symmetry. A frequent starting point in this process is the calculation of a magnetohydrodynamic equilibrium from plasma profiles. Equilibrium and profiles are typically reconstructed from experimental data. What sets equilibrium reconstruction apart from usual inverse problems is that profiles are given as functions over a magnetic flux derived from the magnetic field, rather than spatial coordinates. This makes it a fixed-point problem that is traditionally left inconsistent or solved iteratively in a least-squares sense[1–3]. The aim here is towards a straightforward and transparent process to quantify and propagate uncertainties and their correlations for function-valued fields and profiles in this setting. We propose a framework that utilizes a low dimensional prior distribution of equilibria, constructed with principal component analysis. A surrogate of the forward model[4] is trained to enable faster sampling. Funding: The pr</w:t>
      </w:r>
    </w:p>
    <w:p>
      <w:pPr/>
      <w:r>
        <w:rPr>
          <w:b/>
        </w:rPr>
        <w:t>POSSIBLE 2023:</w:t>
      </w:r>
      <w:r>
        <w:t xml:space="preserve"> Phytoplankton pigment in situ measurements uncertainty evaluation: an HPLC interlaboratory comparison with a European-scale dataset — https://doi.org/10.3389/fmars.2023.1197311</w:t>
      </w:r>
    </w:p>
    <w:p>
      <w:pPr/>
      <w:r>
        <w:rPr>
          <w:b/>
        </w:rPr>
        <w:t>Shared claim-specific concepts:</w:t>
      </w:r>
      <w:r>
        <w:t xml:space="preserve"> data, uncertainty, representing, different; EU scope visible. This is a provisional connection, not an outcome finding.</w:t>
      </w:r>
    </w:p>
    <w:p>
      <w:pPr>
        <w:pStyle w:val="SourceNote"/>
      </w:pPr>
      <w:r>
        <w:rPr>
          <w:b/>
        </w:rPr>
        <w:t>Available abstract (not full text):</w:t>
      </w:r>
      <w:r>
        <w:t xml:space="preserve"> Phytoplankton pigment data play a crucial role in ecological studies, enabling the identification of algal groups and estimation of primary production rates. Accurate measurements of chlorophyll a (TChl a) and other marine pigments are essential for the development of bio-optical algorithms and the validation of satellite data products. High-performance liquid chromatography (HPLC) is the gold standard method for quantifying multiple pigments in a single water sample. This study aims to investigate the uncertainties associated with phytoplankton pigment quantification by comparing duplicate sample analyses conducted by two laboratories, the Joint Research Centre of the European Commission (J) and the DHI Group, Denmark (D). The analyses were performed using the same HPLC method. The dataset comprised 957 natural samples collected between 2012 and 2017 from various European seas, representing different trophic conditions with TChl a concentrations ranging from 0.083 to 27.35 mg/m3. The study compared the results of the two independent analyses for TChl a and primary phytoplankton pigments, including chlorophyll b, chlorophyll c, carotens, fucoxanthin, 19′-butanoyloxyfucoxanthin, diadinoxanthin, diatoxanthin, 19′-hexanoyloxyfucoxanthin, peridin, and zeaxanthin. The percent difference between the two analyses was calculated to assess the uncertainties associated with pigment quant</w:t>
      </w:r>
    </w:p>
    <w:p>
      <w:pPr>
        <w:pStyle w:val="Heading2"/>
      </w:pPr>
      <w:r>
        <w:t>681. Renewables in the European power system and the impact on system rotational inertia</w:t>
      </w:r>
    </w:p>
    <w:p>
      <w:pPr>
        <w:pStyle w:val="SourceNote"/>
      </w:pPr>
      <w:r>
        <w:rPr>
          <w:b/>
        </w:rPr>
        <w:t>Original source (2020):</w:t>
      </w:r>
      <w:r>
        <w:t xml:space="preserve"> https://doi.org/10.1016/j.energy.2020.117776</w:t>
      </w:r>
    </w:p>
    <w:p>
      <w:pPr/>
      <w:r>
        <w:t>Original wording (abstract; indexed_source_text_not_full_document_verified): Two scenarios with divergent decarbonisation ambitions were simulated for the year 2030 using a unit commitment and economic dispatch model. The key findings show that an increasing inertia constraint elevates total generation costs, variable renewable energy curtailment and carbon dioxide emissions across Europe for an ambitious decarbonisation scenario.</w:t>
      </w:r>
    </w:p>
    <w:p>
      <w:pPr/>
      <w:r>
        <w:rPr>
          <w:b/>
        </w:rPr>
        <w:t>POSSIBLE 2026:</w:t>
      </w:r>
      <w:r>
        <w:t xml:space="preserve"> ETS Price Signal in the Power Sector: Evidence on Decarbonisation and Policy Overlap — https://doi.org/10.32388/iogu7j</w:t>
      </w:r>
    </w:p>
    <w:p>
      <w:pPr/>
      <w:r>
        <w:rPr>
          <w:b/>
        </w:rPr>
        <w:t>Shared claim-specific concepts:</w:t>
      </w:r>
      <w:r>
        <w:t xml:space="preserve"> divergent, decarbonisation, renewable, carbon; EU scope visible. This is a provisional connection, not an outcome finding.</w:t>
      </w:r>
    </w:p>
    <w:p>
      <w:pPr>
        <w:pStyle w:val="SourceNote"/>
      </w:pPr>
      <w:r>
        <w:rPr>
          <w:b/>
        </w:rPr>
        <w:t>Available abstract (not full text):</w:t>
      </w:r>
      <w:r>
        <w:t xml:space="preserve"> We examine whether the EU Emissions Trading System (EU ETS) carbon price has effectively operated as a direct driver of renewable-energy deployment in the European electricity sector over the period 2013-2024 and investigate the interaction between carbon pricing, renewable investment dynamics and wholesale electricity-price formation within marginal pricing systems. Combining panel econometric analysis on installed renewable capacity across European Member States, a cross-country survey of 180 firms in six EU ETS countries, and an hourly market-based estimation of inframarginal rents on a panel of eight Member States, the chapter finds that public support mechanisms emerge as the only consistently robust and statistically significant driver of renewable-capacity expansion. The EU Allowance (EUA) price does not exhibit a statistically significant direct effect on renewable deployment after controlling for structural and market variables. In electricity markets, the ETS primarily operates through mechanisms that shape wholesale electricity prices and carbon-cost pass-through, generating persistent inframarginal revenues for low-carbon technologies through marginal price formation. A comparison between regulatory CO₂ factors used for indirect ETS cost compensation and observed market-based pass-through indicators reveals materially divergent magnitudes across Member States, with </w:t>
      </w:r>
    </w:p>
    <w:p>
      <w:pPr/>
      <w:r>
        <w:rPr>
          <w:b/>
        </w:rPr>
        <w:t>POSSIBLE 2026:</w:t>
      </w:r>
      <w:r>
        <w:t xml:space="preserve"> From pollution haven to decarbonisation supplier: the reversal of China's export function — https://doi.org/10.22541/essoar.15008255/v1</w:t>
      </w:r>
    </w:p>
    <w:p>
      <w:pPr/>
      <w:r>
        <w:rPr>
          <w:b/>
        </w:rPr>
        <w:t>Shared claim-specific concepts:</w:t>
      </w:r>
      <w:r>
        <w:t xml:space="preserve"> two, decarbonisation, carbon; EU scope not established. This is a provisional connection, not an outcome finding.</w:t>
      </w:r>
    </w:p>
    <w:p>
      <w:pPr>
        <w:pStyle w:val="SourceNote"/>
      </w:pPr>
      <w:r>
        <w:rPr>
          <w:b/>
        </w:rPr>
        <w:t>Available abstract (not full text):</w:t>
      </w:r>
      <w:r>
        <w:t xml:space="preserve"> For two decades, China's export-driven growth made it the world's paradigmatic pollution haven: a substantialshare of itsairpollution and carbon emissions was embodied in goods consumed abroad. Yet nearly all evidence for this narrative predates 2017, missing China's clean-air actions and the rise of its clean-technology exports. Here we reconstruct emissions embodied in China's exports from 1990 to 2024 using the GLORIA multiregional supply-and-use tables together with the MEIC emission inventory. We find an asymmetric decoupling: embodied SO , NOx and primary PM2.5 have fallen by 58–89% 2 from their peaks, while embodied COremains near its maximum. Decomposition shows 2 thepollutiondeclinewasachievedinsituthroughintensityreductions,notthrough relocation of foreign demand. Meanwhile, exports of photovoltaics, batteries and electric vehiclesnowavoid,overtheirlifetimes,20–43timestheCOemittedintheir 2 manufacture (10–22 at half displacement, 12–36 with decarbonising grids). In 2024, the operatingstockoftheseproductsavoidedCOequalto27%ofexport-embodied 2 emissions (forecast-based); a functional reversal, not yet a net one. China's export sector hasnotmerelycleanedup;itsenvironmentalfunctionhasreversed,withdirect implications for carbon-border policy and for development pathways elsewhere.</w:t>
      </w:r>
    </w:p>
    <w:p>
      <w:pPr/>
      <w:r>
        <w:rPr>
          <w:b/>
        </w:rPr>
        <w:t>POSSIBLE 2026:</w:t>
      </w:r>
      <w:r>
        <w:t xml:space="preserve"> Decarbonisation of Kazakhstan's Economy: From Climate Goals to Practical Outcomes — https://doi.org/10.52821/2789-4401-2026-3-7-27</w:t>
      </w:r>
    </w:p>
    <w:p>
      <w:pPr/>
      <w:r>
        <w:rPr>
          <w:b/>
        </w:rPr>
        <w:t>Shared claim-specific concepts:</w:t>
      </w:r>
      <w:r>
        <w:t xml:space="preserve"> decarbonisation, findings, carbon; EU scope not established. This is a provisional connection, not an outcome finding.</w:t>
      </w:r>
    </w:p>
    <w:p>
      <w:pPr>
        <w:pStyle w:val="SourceNote"/>
      </w:pPr>
      <w:r>
        <w:rPr>
          <w:b/>
        </w:rPr>
        <w:t>Available abstract (not full text):</w:t>
      </w:r>
      <w:r>
        <w:t xml:space="preserve"> Purpose of the research This study examines the decarbonization implementation gap in resource-rich Kazakhstan, understood as the distance between formally stated climate ambition and observed emissions outcomes. Using the United Kingdom as a contrasting governance benchmark, it investigates how legal anchoring, policy-instrument coherence, Emissions Trading Scheme (ETS) credibility, and enforcement capacity shape the translation of climate pledges into measurable low-carbon outcomes. Methodology The paper employs comparative institutional analysis, combining policy document review, case-based evidence, and secondary statistical data. It compares Kazakhstan and the United Kingdom across a governance pathway linking climate targets, legal frameworks, policy instruments, monitoring, reporting and verification systems, enforcement mechanisms, and emissions trajectories. Originality/value of the research The study contributes to comparative climate-governance literature by shifting attention from climate ambition to implementation capacity. It extends the implementation-gap perspective to decarbonization as a governance challenge, particularly for resource-rich economies exposed to fossil-fuel dependence, carbon-intensive exports, and external climate-trade pressures such as Carbon Border Adjustment Mechanism (CBAM). Findings The analysis shows that Kazakhstan’s implementation gap </w:t>
      </w:r>
    </w:p>
    <w:p>
      <w:pPr/>
      <w:r>
        <w:rPr>
          <w:b/>
        </w:rPr>
        <w:t>POSSIBLE 2026:</w:t>
      </w:r>
      <w:r>
        <w:t xml:space="preserve"> A Global Benchmark of the Vector-Based Routing Model MizuRoute: Similarities and Divergent Patterns in Simulated River Discharge — https://doi.org/10.3390/w18040485</w:t>
      </w:r>
    </w:p>
    <w:p>
      <w:pPr/>
      <w:r>
        <w:rPr>
          <w:b/>
        </w:rPr>
        <w:t>Shared claim-specific concepts:</w:t>
      </w:r>
      <w:r>
        <w:t xml:space="preserve"> divergent, simulated, generation; EU scope not established. This is a provisional connection, not an outcome finding.</w:t>
      </w:r>
    </w:p>
    <w:p>
      <w:pPr>
        <w:pStyle w:val="SourceNote"/>
      </w:pPr>
      <w:r>
        <w:rPr>
          <w:b/>
        </w:rPr>
        <w:t>Available abstract (not full text):</w:t>
      </w:r>
      <w:r>
        <w:t xml:space="preserve"> Large-scale river modeling has transitioned toward vector-based routing, yet the global fidelity of standalone frameworks like mizuRoute remains poorly characterized due to fragmented observation networks and unquantified systematic biases. This study addresses this gap by establishing a comprehensive global benchmark using a harmonized database of 12,115 in situ gauging stations integrated with multi-dimensional catchment attributes. Simulations utilize the 5 km MERIT-Hydro network driven by ERA5-Land runoff from 1980 to 2024. Our results reveal a robust global median Pearson correlation of 0.53, though simulation efficiency is highly bifurcated with a median Kling–Gupta Efficiency (KGE) of 0.17. High fidelity is concentrated in humid temperate and cold regions, whereas performance collapses in arid zones (median KGE = −0.15) due to the structural omission of channel transmission losses. Attribution analysis identifies the aridity–moisture gradient and vegetation density as primary drivers of model skill, while topographic complexity is well-preserved by the vector framework. Furthermore, anthropogenic regulation significantly degrades accuracy; in basins with high reservoir density, naturalized routing fails to capture regulated flow signatures, leading to a sharp decline in efficiency. This work provides the first global appraisal of the mizuRoute framework and highlights th</w:t>
      </w:r>
    </w:p>
    <w:p>
      <w:pPr/>
      <w:r>
        <w:rPr>
          <w:b/>
        </w:rPr>
        <w:t>POSSIBLE 2026:</w:t>
      </w:r>
      <w:r>
        <w:t xml:space="preserve"> Metabolic rate measurements of two benthic invertebrates under simulated climate change conditions — https://doi.org/10.3897/bdj.14.e187026</w:t>
      </w:r>
    </w:p>
    <w:p>
      <w:pPr/>
      <w:r>
        <w:rPr>
          <w:b/>
        </w:rPr>
        <w:t>Shared claim-specific concepts:</w:t>
      </w:r>
      <w:r>
        <w:t xml:space="preserve"> two, simulated, increasing; EU scope not established. This is a provisional connection, not an outcome finding.</w:t>
      </w:r>
    </w:p>
    <w:p>
      <w:pPr>
        <w:pStyle w:val="SourceNote"/>
      </w:pPr>
      <w:r>
        <w:rPr>
          <w:b/>
        </w:rPr>
        <w:t>Available abstract (not full text):</w:t>
      </w:r>
      <w:r>
        <w:t xml:space="preserve"> Background: Climate change is profoundly altering marine ecosystems through ocean warming and acidification. These stressors are especially pronounced in the Mediterranean Sea, a climate change hotspot projected to warm faster than the global average. Increased temperatures and reduced pH directly affect metabolic processes in marine invertebrates by elevating respiration rates up to species-specific thermal limits, beyond which physiological performance declines. Ocean acidification further disrupts metabolic processes by increasing energetic maintenance costs. Sessile and sedentary marine invertebrates, such as sponges and benthic gastropods, are particularly exposed to such environmental shifts due to their limited ability to escape unfavorable conditions, making physiological plasticity and local adaptation crucial for persistence. New information: . Using a common garden experiment, individuals from North and South Aegean populations were exposed for three months to simulated climate change conditions combining increased temperature and reduced pH. The dataset documents respiration measurements obtained using metabolic chambers after three months of exposure, allowing comparisons across species, geographic origin, and experimental treatments.The dataset accounts for intraspecific variation in these responses, providing insight into potential adaptive differences among geog</w:t>
      </w:r>
    </w:p>
    <w:p>
      <w:pPr/>
      <w:r>
        <w:rPr>
          <w:b/>
        </w:rPr>
        <w:t>POSSIBLE 2026:</w:t>
      </w:r>
      <w:r>
        <w:t xml:space="preserve"> An audit of corporate decarbonisation ambition against low carbon futures — https://doi.org/10.1038/s41598-025-20203-6</w:t>
      </w:r>
    </w:p>
    <w:p>
      <w:pPr/>
      <w:r>
        <w:rPr>
          <w:b/>
        </w:rPr>
        <w:t>Shared claim-specific concepts:</w:t>
      </w:r>
      <w:r>
        <w:t xml:space="preserve"> divergent, decarbonisation, show, increasing, total, renewable; EU scope not established. This is a provisional connection, not an outcome finding.</w:t>
      </w:r>
    </w:p>
    <w:p>
      <w:pPr>
        <w:pStyle w:val="SourceNote"/>
      </w:pPr>
      <w:r>
        <w:rPr>
          <w:b/>
        </w:rPr>
        <w:t>Available abstract (not full text):</w:t>
      </w:r>
      <w:r>
        <w:t xml:space="preserve"> Atmospheric greenhouse gas concentration has been steadily increasing since the 19th century, causing global warming. Despite efforts to reduce emissions, current projections anticipate a significant increase in global surface temperature by the end of the century, which may push us beyond a safe and just operating space. We must develop emissions pathways that consider renewable technology innovation, climate policy development and consumer behaviour change. In this manuscript we assess corporate emissions reduction ambition in the context of reduction pathways, and in doing so show that company reporting has reached a scale and quality that it can be used to supplement global emissions forecasting. We find emissions disclosures of target-setting companies to account for roughly 20% of global [Formula: see text] emissions and 60% of global market capitalisation. Of these, we find near-term targets to be consistent with the aggressive reduction requirements of the divergent net-zero scenario published by the Network for Greening the Financial System, but commitments to 2050 are lacking. There is a large disparity between the total market capitalisation of disclosing companies and the total emissions they cover, a disconnect which we emphasise must be addressed by future policy.</w:t>
      </w:r>
    </w:p>
    <w:p>
      <w:pPr/>
      <w:r>
        <w:rPr>
          <w:b/>
        </w:rPr>
        <w:t>POSSIBLE 2026:</w:t>
      </w:r>
      <w:r>
        <w:t xml:space="preserve"> How can trade unions act strategically in response to decarbonisation? Union strategic capacity and automotive transition policies in Germany, Spain and the UK — https://doi.org/10.1177/10242589261444001</w:t>
      </w:r>
    </w:p>
    <w:p>
      <w:pPr/>
      <w:r>
        <w:rPr>
          <w:b/>
        </w:rPr>
        <w:t>Shared claim-specific concepts:</w:t>
      </w:r>
      <w:r>
        <w:t xml:space="preserve"> two, decarbonisation, energy; EU scope visible. This is a provisional connection, not an outcome finding.</w:t>
      </w:r>
    </w:p>
    <w:p>
      <w:pPr>
        <w:pStyle w:val="SourceNote"/>
      </w:pPr>
      <w:r>
        <w:rPr>
          <w:b/>
        </w:rPr>
        <w:t>Available abstract (not full text):</w:t>
      </w:r>
      <w:r>
        <w:t xml:space="preserve"> Climate policy measures and the energy transition present challenges for unions beyond the traditional scope of collective bargaining and social dialogue. Union responses to policies to phase out internal combustion engines must simultaneously address climate, environmental and industrial policy issues, and influence decision-making within multinational corporations and the web of supply chain firms that participate in production. Studies point to the need for capacity building to enable unions to respond to these complex challenges. Nevertheless, the nature of the union ‘capacity’ to be mobilised in climate responses, and how this is developing in diverse institutional contexts, remains unclear. Building on Richard Hyman’s concept of ‘strategic capacity’, the article explores how different dimensions of union capacity are mobilised to respond to challenges posed by internal combustion engine phase-out policies. This article draws on a study that maps trade unions’ responses to such policies in the United Kingdom and two EU countries.</w:t>
      </w:r>
    </w:p>
    <w:p>
      <w:pPr/>
      <w:r>
        <w:rPr>
          <w:b/>
        </w:rPr>
        <w:t>POSSIBLE 2026:</w:t>
      </w:r>
      <w:r>
        <w:t xml:space="preserve"> Technological Innovation and Adoption : Technological Pathways to Transport Decarbonisation: A Comparative Study of Denmark and the Netherlands — https://openalex.org/W7160813360</w:t>
      </w:r>
    </w:p>
    <w:p>
      <w:pPr/>
      <w:r>
        <w:rPr>
          <w:b/>
        </w:rPr>
        <w:t>Shared claim-specific concepts:</w:t>
      </w:r>
      <w:r>
        <w:t xml:space="preserve"> decarbonisation, show, carbon; EU scope visible. This is a provisional connection, not an outcome finding.</w:t>
      </w:r>
    </w:p>
    <w:p>
      <w:pPr>
        <w:pStyle w:val="SourceNote"/>
      </w:pPr>
      <w:r>
        <w:rPr>
          <w:b/>
        </w:rPr>
        <w:t>Available abstract (not full text):</w:t>
      </w:r>
      <w:r>
        <w:t xml:space="preserve"> In advanced economies, where mobility systems are intricately linked to current infrastructures, governance structures, and social practices, reducing carbon emissions from the transport sector continues to be a persistent challenge within European climate policy. Through a comparative qualitative case study of Denmark and the Netherlands, this thesis investigates how technological innovations are conceived, regulated, and mobilised in support of transport decarbonisation. Both nations have developed different strategies for sustainable transport transitions, despite operating under common European climate objectives and long-term decarbonisation targets. The study focusses on how institutional structures, policy frameworks, and future-oriented narratives influence national transition pathways rather than evaluating technological performance. The study uses a qualitative secondary data methodology, utilising strategic reports, policy documents, and European-level materials gathered between March and July 2025. An examination of both structural dynamics and interpretive aspects of change is made possible by the Multi-Level Perspective on socio-technical transitions and the idea of sociotechnical imaginaries. The results demonstrate that while the Netherlands adopts a more decentralised and experimental approach that promotes a wider range of innovations, Denmark's transition is </w:t>
      </w:r>
    </w:p>
    <w:p>
      <w:pPr/>
      <w:r>
        <w:rPr>
          <w:b/>
        </w:rPr>
        <w:t>POSSIBLE 2026:</w:t>
      </w:r>
      <w:r>
        <w:t xml:space="preserve"> Policy Plateau and Structural Regime Shift: Hybrid Forecasting of the EU Decarbonisation Gap Toward 2030 Targets — https://doi.org/10.3390/su18021114</w:t>
      </w:r>
    </w:p>
    <w:p>
      <w:pPr/>
      <w:r>
        <w:rPr>
          <w:b/>
        </w:rPr>
        <w:t>Shared claim-specific concepts:</w:t>
      </w:r>
      <w:r>
        <w:t xml:space="preserve"> decarbonisation, findings, energy; EU scope visible. This is a provisional connection, not an outcome finding.</w:t>
      </w:r>
    </w:p>
    <w:p>
      <w:pPr>
        <w:pStyle w:val="SourceNote"/>
      </w:pPr>
      <w:r>
        <w:rPr>
          <w:b/>
        </w:rPr>
        <w:t>Available abstract (not full text):</w:t>
      </w:r>
      <w:r>
        <w:t xml:space="preserve"> This study investigates the structural evolution and projected trajectory of greenhouse gas (GHG) emissions across the EU27 from 1990 to 2030, with a particular focus on their implications for the effectiveness of European climate policy. Drawing on official sectoral data and employing a multi-method framework combining time series modelling (ARIMA), machine learning (Random Forest), regime-switching analysis, and segmented linear regression, we assess past dynamics, detect structural shifts, and forecast future trends. Empirical findings, based on Markov-switching models and segmented regression analysis, indicate a statistically significant regime change around 2014, marking a transition to a new emissions pattern characterised by a deceleration in reduction rates. While the energy sector experienced the most significant decline, agriculture and industry have gained relative prominence, underscoring their growing strategic importance as targets for policy interventions. Hybrid ARIMA–ML forecasts indicate that, under current trajectories, the EU is unlikely to meet its 2030 Fit for 55 targets without adaptive and sector-specific interventions, with a projected shortfall of 12–15 percentage points relative to 1990 levels, excluding LULUCF. The results underscore critical weaknesses in the EU’s climate policy architecture and reveal a clear need for transformative recalibration.</w:t>
      </w:r>
    </w:p>
    <w:p>
      <w:pPr/>
      <w:r>
        <w:rPr>
          <w:b/>
        </w:rPr>
        <w:t>POSSIBLE 2026:</w:t>
      </w:r>
      <w:r>
        <w:t xml:space="preserve"> Stakeholder engagement in decarbonisation and ESG strategies: Investigating global patterns of energy companies in CCUS innovation — https://doi.org/10.1016/j.esr.2025.102013</w:t>
      </w:r>
    </w:p>
    <w:p>
      <w:pPr/>
      <w:r>
        <w:rPr>
          <w:b/>
        </w:rPr>
        <w:t>Shared claim-specific concepts:</w:t>
      </w:r>
      <w:r>
        <w:t xml:space="preserve"> decarbonisation, findings, show, energy, carbon; EU scope not established. This is a provisional connection, not an outcome finding.</w:t>
      </w:r>
    </w:p>
    <w:p>
      <w:pPr>
        <w:pStyle w:val="SourceNote"/>
      </w:pPr>
      <w:r>
        <w:rPr>
          <w:b/>
        </w:rPr>
        <w:t>Available abstract (not full text):</w:t>
      </w:r>
      <w:r>
        <w:t xml:space="preserve"> Formulating decarbonisation strategies with carbon capture, utilization, and storage (CCUS) technologies, as well as integration of an environmental, social, and governance (ESG) strategy into the core business of multinational companies, are highly debated research areas. The former would bring an efficient medium-term solution for industrial decarbonisation but has technological and economic difficulties. The latter would incite corporate sustainability but has concerns about its financial effects. Multinational energy companies, however, face these strategic challenges at the same time. Building on a common theoretical basis, i.e., the stakeholder view, the goal of this study is to explore the interrelations of CCUS innovation, ESG performance, and external stakeholder involvement. The research focused on the largest energy companies worldwide (n = 129). Results show that more than 75 % of companies stepped into the first CCUS technology development phase within the stage-gate innovation process model (discovery). Findings suggest that corporate strategies which include external collaborations result not only in higher CCUS innovation performance, but it also results in higher ESG performance. Nevertheless, only those companies’ ESG scores benefit from CCUS innovation and external stakeholder involvement, which are at least in the first CCUS innovation phase. To the best of </w:t>
      </w:r>
    </w:p>
    <w:p>
      <w:pPr/>
      <w:r>
        <w:rPr>
          <w:b/>
        </w:rPr>
        <w:t>POSSIBLE 2025:</w:t>
      </w:r>
      <w:r>
        <w:t xml:space="preserve"> Decarbonisation efforts — https://doi.org/10.4337/9781035356249.00008</w:t>
      </w:r>
    </w:p>
    <w:p>
      <w:pPr/>
      <w:r>
        <w:rPr>
          <w:b/>
        </w:rPr>
        <w:t>Shared claim-specific concepts:</w:t>
      </w:r>
      <w:r>
        <w:t xml:space="preserve"> decarbonisation, key, renewable, energy, carbon; EU scope not established. This is a provisional connection, not an outcome finding.</w:t>
      </w:r>
    </w:p>
    <w:p>
      <w:pPr>
        <w:pStyle w:val="SourceNote"/>
      </w:pPr>
      <w:r>
        <w:rPr>
          <w:b/>
        </w:rPr>
        <w:t>Available abstract (not full text):</w:t>
      </w:r>
      <w:r>
        <w:t xml:space="preserve"> This chapter explores the escalating global challenge of carbon emissions and highlights the urgent need for coordinated action. The chapter begins by examining the magnitude of global carbon emissions and the imperative for rapid decarbonisation to mitigate climate change. It highlights international efforts, showcasing progress and achievements made to date. A key focus is the critical role of decarbonisation in the energy sector and energy-intensive industries, emphasising sectors like cement, iron and steel, petroleum refining, glass production, and manufacturing, which are significant contributors to greenhouse gas emissions. The necessity of transitioning to clean energy alternatives is emphasised, comparing the benefits of renewable energy sources to the drawbacks of continued fossil fuel reliance. The chapter concludes by reinforcing the urgent need for innovative strategies and clean energy technologies to combat climate change and achieve a sustainable energy future.</w:t>
      </w:r>
    </w:p>
    <w:p>
      <w:pPr/>
      <w:r>
        <w:rPr>
          <w:b/>
        </w:rPr>
        <w:t>POSSIBLE 2025:</w:t>
      </w:r>
      <w:r>
        <w:t xml:space="preserve"> Do Energy Security Crises Accelerate Decarbonisation? The Case of REPowerEU — https://doi.org/10.3390/en19010200</w:t>
      </w:r>
    </w:p>
    <w:p>
      <w:pPr/>
      <w:r>
        <w:rPr>
          <w:b/>
        </w:rPr>
        <w:t>Shared claim-specific concepts:</w:t>
      </w:r>
      <w:r>
        <w:t xml:space="preserve"> decarbonisation, renewable, energy; EU scope visible. This is a provisional connection, not an outcome finding.</w:t>
      </w:r>
    </w:p>
    <w:p>
      <w:pPr>
        <w:pStyle w:val="SourceNote"/>
      </w:pPr>
      <w:r>
        <w:rPr>
          <w:b/>
        </w:rPr>
        <w:t>Available abstract (not full text):</w:t>
      </w:r>
      <w:r>
        <w:t xml:space="preserve"> Energy security crises have historically been turning points for energy systems, exposing vulnerabilities, reshaping policy priorities, and boosting technological change. However, whether—and to what extent—such crises accelerate low-carbon transitions remains contested. This paper examines the effects of the 2022 energy crisis on the European Union (EU)’s energy transition, using policy analysis combined with a quantitative assessment of renewable energy trends, forecasts, and targets. We analyse the ambition, implementation, and outcomes of the REPowerEU plan, the main response to the crisis. In an unprecedented move, REPowerEU securitised renewable energy as a means to reduce dependence on Russian energy imports. However, the plan only moderately increased earlier renewable energy targets and did not reverse declining subsidies despite more forceful implementation measures. Its effects have been uneven across technologies. Already accelerating solar may overshoot its targets, onshore wind might only slightly accelerate beyond its current steady growth, and offshore wind remains constrained by economic and institutional uncertainties. Despite increased subsidies for fossil fuels, coal continued declining, oil remained stable, and natural gas dropped. Overall, REPowerEU sustained rather than transformed the EU’s low-carbon transition, illustrating both the potential and limits</w:t>
      </w:r>
    </w:p>
    <w:p>
      <w:pPr>
        <w:pStyle w:val="Heading2"/>
      </w:pPr>
      <w:r>
        <w:t>682. Scenarios for population health inequalities in 2030 in Europe</w:t>
      </w:r>
    </w:p>
    <w:p>
      <w:pPr>
        <w:pStyle w:val="SourceNote"/>
      </w:pPr>
      <w:r>
        <w:rPr>
          <w:b/>
        </w:rPr>
        <w:t>Original source (2020):</w:t>
      </w:r>
      <w:r>
        <w:t xml:space="preserve"> https://doi.org/10.1093/eurpub/ckaa165.1288</w:t>
      </w:r>
    </w:p>
    <w:p>
      <w:pPr/>
      <w:r>
        <w:t>Original wording (abstract; indexed_source_text_not_full_document_verified): In the EURO-HEALTHY project, funded by Horizon 2020, three 2030 time-horizon scenarios were developed, depicting the key factors that may affect the evolution of PH inequalities across European regions.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organised into coherent scenarios using the Extreme-World Method; and iii) validation of scenario structures and generation of scenario narratives.</w:t>
      </w:r>
    </w:p>
    <w:p>
      <w:pPr/>
      <w:r>
        <w:rPr>
          <w:b/>
        </w:rPr>
        <w:t>POSSIBLE 2026:</w:t>
      </w:r>
      <w:r>
        <w:t xml:space="preserve"> Soil degradation in Europe is projected to accelerate under changing land use and climate — https://doi.org/10.1038/s44458-026-00064-4</w:t>
      </w:r>
    </w:p>
    <w:p>
      <w:pPr/>
      <w:r>
        <w:rPr>
          <w:b/>
        </w:rPr>
        <w:t>Shared claim-specific concepts:</w:t>
      </w:r>
      <w:r>
        <w:t xml:space="preserve"> project, factors, across, regions; EU scope visible. This is a provisional connection, not an outcome finding.</w:t>
      </w:r>
    </w:p>
    <w:p>
      <w:pPr>
        <w:pStyle w:val="SourceNote"/>
      </w:pPr>
      <w:r>
        <w:rPr>
          <w:b/>
        </w:rPr>
        <w:t>Available abstract (not full text):</w:t>
      </w:r>
      <w:r>
        <w:t xml:space="preserve"> Abstract Soil degradation threatens food security and environmental sustainability, yet future projections of it are rare. Using projections from 18 global climate models under two Shared Socioeconomic Pathways (SSP2-4.5 and SSP5-8.5) and land-use projections from the Land Use and Climate Across Scales Land Use Change (LUCAS LUC) dataset, we assess future soil vulnerability to degradation by linking a Soil Degradation Proxy (SDP) to climate, land-use, soil characteristics, and socio-economic factors at 7433 observation sites across Europe. We project that by 2071–2100, ~59% of sites may become more vulnerable under the high-emission scenario. Cold forest regions in northern Europe are projected to face increased degradation pressure by ~+0.04SDP. However, some European croplands may improve locally through conversion to secondary lands, reduced human pressures, and natural recovery processes. These regionally specific trends highlight that, while soil degradation remains a major threat, proactive land management can mitigate soil vulnerability under future climate trajectories.</w:t>
      </w:r>
    </w:p>
    <w:p>
      <w:pPr/>
      <w:r>
        <w:rPr>
          <w:b/>
        </w:rPr>
        <w:t>POSSIBLE 2026:</w:t>
      </w:r>
      <w:r>
        <w:t xml:space="preserve"> Projected excess mortality from PM 2.5 exposure in Europe under future climate and sociodemographic pathways — https://doi.org/10.1088/2752-5309/ae868a</w:t>
      </w:r>
    </w:p>
    <w:p>
      <w:pPr/>
      <w:r>
        <w:rPr>
          <w:b/>
        </w:rPr>
        <w:t>Shared claim-specific concepts:</w:t>
      </w:r>
      <w:r>
        <w:t xml:space="preserve"> project, three, across, approach; EU scope visible. This is a provisional connection, not an outcome finding.</w:t>
      </w:r>
    </w:p>
    <w:p>
      <w:pPr>
        <w:pStyle w:val="SourceNote"/>
      </w:pPr>
      <w:r>
        <w:rPr>
          <w:b/>
        </w:rPr>
        <w:t>Available abstract (not full text):</w:t>
      </w:r>
      <w:r>
        <w:t xml:space="preserve"> Abstract Fine particulate matter (PM 2.5 ) is a major human health risk factor. Despite significant efforts to reduce air pollution in Europe the aging population, urbanization, and climate change, demand an assessment of potential impacts of future pollution trends. The interactions of climate change and PM 2.5 pollution, and their effects on adverse health outcomes require a comprehensive approach to effectively address these environmental and public health challenges and link them with future scenarios. In this study, we use three shared socio-economic pathways (SSPs) to examine potential changes in societal, demographic, and economic trends over the century in combination with three future radiative forcing trajectories. We use three scenarios: the SSP1-2.6, SSP2-4.5, and SSP5-8.5. We examine the consequences of these pathways on population exposure to PM 2.5 in the coming decades, focusing on the years 2030, 2040, 2050 and 2100. The study evaluates excess mortality across various health outcomes, such as cardiovascular and respiratory diseases, using novel relative risk functions and public health data. We find that air pollution in Europe will continue to decline over the coming decades across all scenarios. The projected excess mortality attributable to PM 2.5 exposure varies by region, future pathway, and period, and is mainly driven by the projected demographic changes</w:t>
      </w:r>
    </w:p>
    <w:p>
      <w:pPr/>
      <w:r>
        <w:rPr>
          <w:b/>
        </w:rPr>
        <w:t>POSSIBLE 2026:</w:t>
      </w:r>
      <w:r>
        <w:t xml:space="preserve"> Revisiting the factor structure of the EURO-D, a depressive symptomatology scale: An exploratory graph analysis in 26 European countries — https://doi.org/10.1017/gmh.2026.10204</w:t>
      </w:r>
    </w:p>
    <w:p>
      <w:pPr/>
      <w:r>
        <w:rPr>
          <w:b/>
        </w:rPr>
        <w:t>Shared claim-specific concepts:</w:t>
      </w:r>
      <w:r>
        <w:t xml:space="preserve"> across, approach, applied; EU scope visible. This is a provisional connection, not an outcome finding.</w:t>
      </w:r>
    </w:p>
    <w:p>
      <w:pPr>
        <w:pStyle w:val="SourceNote"/>
      </w:pPr>
      <w:r>
        <w:rPr>
          <w:b/>
        </w:rPr>
        <w:t>Available abstract (not full text):</w:t>
      </w:r>
      <w:r>
        <w:t xml:space="preserve"> Despite the widely use and multiple validations of the EURO-D scale, its factor structure is still under debate. Exploratory Graph Analysis (EGA), a novel network psychometric method, offers a promising approach to examining dimensionality. METHODOLOGY: = 22,567). EGA was applied to the derivation sample to determine the structure of the EURO-D scale, utilizing two estimation methods: Graphical Least Absolute Shrinkage and Selection Operator (GLASSO) and Triangulated Maximally Filtered Graph (TMFG). The identified factor structures were then tested via Confirmatory Factor Analysis (CFA) in the cross-validation sample for model fit. RESULTS: EGA consistently revealed a two-factor structure with minor differences in the placement of suicidality and fatigue items across estimation methods. CFA results confirmed an adequate model fit for both solutions. CONCLUSION: This study combines exploratory (EGA) and confirmatory (CFA) approaches, supporting a two-factor structure for the EU-RO-D scale with alternative placements for fatigue and suicidality items. Results are discussed in contrast to previous studies reporting two and three-factor solutions with different assignments of these items.</w:t>
      </w:r>
    </w:p>
    <w:p>
      <w:pPr/>
      <w:r>
        <w:rPr>
          <w:b/>
        </w:rPr>
        <w:t>POSSIBLE 2026:</w:t>
      </w:r>
      <w:r>
        <w:t xml:space="preserve"> THE DIVERSITY OF EUROPEAN FUNDING MECHANISMS: INSIGHTS INTO THEIR TYPOLOGIES — https://doi.org/10.24818/imc/2025/05.09</w:t>
      </w:r>
    </w:p>
    <w:p>
      <w:pPr/>
      <w:r>
        <w:rPr>
          <w:b/>
        </w:rPr>
        <w:t>Shared claim-specific concepts:</w:t>
      </w:r>
      <w:r>
        <w:t xml:space="preserve"> project, horizon, developed, key, across; EU scope visible. This is a provisional connection, not an outcome finding.</w:t>
      </w:r>
    </w:p>
    <w:p>
      <w:pPr>
        <w:pStyle w:val="SourceNote"/>
      </w:pPr>
      <w:r>
        <w:rPr>
          <w:b/>
        </w:rPr>
        <w:t>Available abstract (not full text):</w:t>
      </w:r>
      <w:r>
        <w:t xml:space="preserve"> The European Union (EU) has developed a complex architecture of funding mechanisms aimed at promoting economic cohesion, social inclusion, and sustainable development across its member states. This paper explores the diversity of European funding instruments and provides a structured typology. By distinguishing between traditional grant-based schemes, financial instruments such as loans and guarantees, and hybrid mechanisms combining public and private capital, the study highlights the evolving nature of EU financial governance. The analysis also considers the interplay between centralized programs that European Commission is managing (e.g., Horizon Europe, LIFE, Erasmus+) and shared management funds administered at national or regional levels (e.g., the European Structural and Investment Funds). The paper identifies key trends in funding diversification, including the increasing emphasis on performance-based financing, digitalization of fund management, and alignment with the European Green Deal objectives. The findings underline that understanding the typologies of EU funding mechanisms is essential for improving policy coherence, enhancing absorption capacity, and ensuring that resources effectively address territorial and sectoral disparities. Ultimately, this study contributes to a clearer comprehension of how the EU’s multifaceted financial ecosystem supports integration </w:t>
      </w:r>
    </w:p>
    <w:p>
      <w:pPr/>
      <w:r>
        <w:rPr>
          <w:b/>
        </w:rPr>
        <w:t>POSSIBLE 2024:</w:t>
      </w:r>
      <w:r>
        <w:t xml:space="preserve"> A multi-level and multi-scale design approach supporting sustainable mobility and healthier living: AIR BREAK project in Ferrara, Italy — https://doi.org/10.1080/23748834.2024.2349862</w:t>
      </w:r>
    </w:p>
    <w:p>
      <w:pPr/>
      <w:r>
        <w:rPr>
          <w:b/>
        </w:rPr>
        <w:t>Shared claim-specific concepts:</w:t>
      </w:r>
      <w:r>
        <w:t xml:space="preserve"> project, funded, key, affect, approach; EU scope visible. This is a provisional connection, not an outcome finding.</w:t>
      </w:r>
    </w:p>
    <w:p>
      <w:pPr>
        <w:pStyle w:val="SourceNote"/>
      </w:pPr>
      <w:r>
        <w:rPr>
          <w:b/>
        </w:rPr>
        <w:t>Available abstract (not full text):</w:t>
      </w:r>
      <w:r>
        <w:t xml:space="preserve"> The city of Ferrara, also known as the Italian city of bikes, records alarming levels of air pollutants, primarily from private motorized traffic, despite its cycling rates are amongst the highest in Europe. Local authority, in its commitment to driving improvements to air quality and taking care of citizens’ wellbeing, submitted an ambitious project proposal to European Union program Urban Innovative Actions, AIR BREAK - Co-producing healthy clean commuting air spots in town, which was selected amid hundreds submissions and funded with a total budget of 5 million euros. AIR BREAK tackles urban air pollution through several actions, very different from one another, encompassing multiple scales and domains: from sensor monitoring systems to greenery and street furniture design. The project described in this paper adopted a multi-level design approach acting on both physical and cultural environments, that greatly affect citizens’ behaviour and their everyday choices. Community involvement in mapping air quality as well as public spaces intervention that support sustainable mobility and extend the range of activities that can be carried out in the outdoors are here presented and discussed, as key points for successful implementation and replication in other cities, for a healthier and more attractive public realm.</w:t>
      </w:r>
    </w:p>
    <w:p>
      <w:pPr/>
      <w:r>
        <w:rPr>
          <w:b/>
        </w:rPr>
        <w:t>POSSIBLE 2024:</w:t>
      </w:r>
      <w:r>
        <w:t xml:space="preserve"> Assessing pesticide residues occurrence and risks in water systems: A Pan-European and Argentina perspective — https://doi.org/10.1016/j.watres.2024.121419</w:t>
      </w:r>
    </w:p>
    <w:p>
      <w:pPr/>
      <w:r>
        <w:rPr>
          <w:b/>
        </w:rPr>
        <w:t>Shared claim-specific concepts:</w:t>
      </w:r>
      <w:r>
        <w:t xml:space="preserve"> project, funded, horizon, regions; EU scope visible. This is a provisional connection, not an outcome finding.</w:t>
      </w:r>
    </w:p>
    <w:p>
      <w:pPr>
        <w:pStyle w:val="SourceNote"/>
      </w:pPr>
      <w:r>
        <w:rPr>
          <w:b/>
        </w:rPr>
        <w:t>Available abstract (not full text):</w:t>
      </w:r>
      <w:r>
        <w:t xml:space="preserve"> Freshwater ecosystems face a particularly high risk of biodiversity loss compared to marine and terrestrial systems. The use of pesticides in agricultural fields is recognized as a relevant stressor for freshwater environments, exerting a negative impact worldwide on the overall status and health of the freshwater communities. In the present work, part of the Horizon 2020 funded SPRINT project, the occurrence of 193 pesticide residues was investigated in 64 small water bodies of distinct typology (creeks, streams, channels, ditches, rivers, lakes, ponds and reservoirs), located in regions with high agricultural activity in 10 European countries and in Argentina. Mixtures of pesticide residues were detected in all water bodies (20, median; 8-40 min-max). Total pesticide levels found ranged between 6.89 and 5860 ng/L, highlighting herbicides as the dominant type of pesticides. Glyphosate was the compound with the highest median concentration followed by 2,4-D and MCPA, and in a lower degree by dimethomorph, fluopicolide, prothioconazole and metolachlor(-S). Argentina was the site with the highest total pesticide concentration in water bodies followed by The Netherlands, Portugal and France. One or more pesticides exceeded the threshold values established in the European Water Framework Directive for surface water in 9 out of 11 case study sites (CSS), and the total pesticide conc</w:t>
      </w:r>
    </w:p>
    <w:p>
      <w:pPr/>
      <w:r>
        <w:rPr>
          <w:b/>
        </w:rPr>
        <w:t>POSSIBLE 2023:</w:t>
      </w:r>
      <w:r>
        <w:t xml:space="preserve"> Forty years of soil research funded by the European Commission: Trends and future. A systematic review of research projects — https://doi.org/10.1111/ejss.13423</w:t>
      </w:r>
    </w:p>
    <w:p>
      <w:pPr/>
      <w:r>
        <w:rPr>
          <w:b/>
        </w:rPr>
        <w:t>Shared claim-specific concepts:</w:t>
      </w:r>
      <w:r>
        <w:t xml:space="preserve"> funded, horizon, three, key, affect; EU scope visible. This is a provisional connection, not an outcome finding.</w:t>
      </w:r>
    </w:p>
    <w:p>
      <w:pPr>
        <w:pStyle w:val="SourceNote"/>
      </w:pPr>
      <w:r>
        <w:rPr>
          <w:b/>
        </w:rPr>
        <w:t>Available abstract (not full text):</w:t>
      </w:r>
      <w:r>
        <w:t xml:space="preserve"> Abstract The European Green Deal with its high ambition has set the European Union (EU) on a promising path towards greater soil protection. The EU Soil Strategy 2030, the Biodiversity Strategy 2030, the Farm to Fork Strategy, the Zero Pollution, the Nature Restoration Law and the European Climate Law, among others, include actions to protect our soils. Research and Innovation (R&amp;I) will play a key role in developing new knowledge and tools enabling the transition to healthy soils. The main aim of this paper is to analyse past and near‐future trends in EU's funding for R&amp;I on soil‐related issues. For this purpose, a review of EU‐funded soil projects was conducted based on the data available in the Community Research and Development Information Service and the official portal for European data. Our analysis shows that over the past 40 years, the EU has invested significantly in developing integrated knowledge about the relationships between soil functions and ecosystem services and how human‐induced pressures affect soil health. Following the adoption of the EU Soil Thematic Strategy in 2006, there was an increase in research funding for soil‐related research. Furthermore, our analysis also illustrates an interesting interplay of permanent and changing soil themes. The Horizon Europe Mission ‘A Soil Deal for Europe’, which aims to establish a network of 100 living labs and light</w:t>
      </w:r>
    </w:p>
    <w:p>
      <w:pPr/>
      <w:r>
        <w:rPr>
          <w:b/>
        </w:rPr>
        <w:t>POSSIBLE 2023:</w:t>
      </w:r>
      <w:r>
        <w:t xml:space="preserve"> Changes in Temperature and Precipitation Trends in Selected Polish Cities Based on the Results of Regional EURO-CORDEX Climate Models in the 2030–2050 Horizon — https://doi.org/10.3390/app14010009</w:t>
      </w:r>
    </w:p>
    <w:p>
      <w:pPr/>
      <w:r>
        <w:rPr>
          <w:b/>
        </w:rPr>
        <w:t>Shared claim-specific concepts:</w:t>
      </w:r>
      <w:r>
        <w:t xml:space="preserve"> horizon, three, key, approach; EU scope not established. This is a provisional connection, not an outcome finding.</w:t>
      </w:r>
    </w:p>
    <w:p>
      <w:pPr>
        <w:pStyle w:val="SourceNote"/>
      </w:pPr>
      <w:r>
        <w:rPr>
          <w:b/>
        </w:rPr>
        <w:t>Available abstract (not full text):</w:t>
      </w:r>
      <w:r>
        <w:t xml:space="preserve"> This study presents the potential impacts of climate change in 49 Polish cities by analyzing seven climate indicators. The analysis was carried out for the following three horizons: the current climate conditions (an average period spanning 2006 to 2015), near-future conditions (an average period spanning 2026 to 2035), and future conditions (an average period spanning 2046 to 2055). Climate indices were computed with bias-corrected EURO-CORDEX model ensembles from two Representative Concentration Pathway scenarios, RCP4.5 and RCP8.5. The systematic error was reduced using the quantile mapping method with a non-parametric approach of robust empirical quantiles (RQUANT). Data were used as references in the period of current climate conditions, and those required for bias correction consisted of historical ground-based observations provided by the Institute of Meteorology and Water Management. The analysis encompassed various key climate indices, including the annual average temperature, the count of hot days, cold days, and frost days, the cumulative annual precipitation, the frequency of days with precipitation, and instances of extreme precipitation (defined as the days with precipitation exceeding 10 mm/day). These findings reveal a noteworthy rise in the average annual temperature of approximately 1 °C and an uptick in the number of hot days by 3.7 days. Conversely, a declin</w:t>
      </w:r>
    </w:p>
    <w:p>
      <w:pPr/>
      <w:r>
        <w:rPr>
          <w:b/>
        </w:rPr>
        <w:t>POSSIBLE 2023:</w:t>
      </w:r>
      <w:r>
        <w:t xml:space="preserve"> New Horizons in artificial intelligence in the healthcare of older people — https://doi.org/10.1093/ageing/afad219</w:t>
      </w:r>
    </w:p>
    <w:p>
      <w:pPr/>
      <w:r>
        <w:rPr>
          <w:b/>
        </w:rPr>
        <w:t>Shared claim-specific concepts:</w:t>
      </w:r>
      <w:r>
        <w:t xml:space="preserve"> three, approach, identification; EU scope not established. This is a provisional connection, not an outcome finding.</w:t>
      </w:r>
    </w:p>
    <w:p>
      <w:pPr>
        <w:pStyle w:val="SourceNote"/>
      </w:pPr>
      <w:r>
        <w:rPr>
          <w:b/>
        </w:rPr>
        <w:t>Available abstract (not full text):</w:t>
      </w:r>
      <w:r>
        <w:t xml:space="preserve"> Artificial intelligence (AI) in healthcare describes algorithm-based computational techniques which manage and analyse large datasets to make inferences and predictions. There are many potential applications of AI in the care of older people, from clinical decision support systems that can support identification of delirium from clinical records to wearable devices that can predict the risk of a fall. We held four meetings of older people, clinicians and AI researchers. Three priority areas were identified for AI application in the care of older people. These included: monitoring and early diagnosis of disease, stratified care and care coordination between healthcare providers. However, the meetings also highlighted concerns that AI may exacerbate health inequity for older people through bias within AI models, lack of external validation amongst older people, infringements on privacy and autonomy, insufficient transparency of AI models and lack of safeguarding for errors. Creating effective interventions for older people requires a person-centred approach to account for the needs of older people, as well as sufficient clinical and technological governance to meet standards of generalisability, transparency and effectiveness. Education of clinicians and patients is also needed to ensure appropriate use of AI technologies, with investment in technological infrastructure required </w:t>
      </w:r>
    </w:p>
    <w:p>
      <w:pPr/>
      <w:r>
        <w:rPr>
          <w:b/>
        </w:rPr>
        <w:t>POSSIBLE 2023:</w:t>
      </w:r>
      <w:r>
        <w:t xml:space="preserve"> Discursive Constructions of the European Identity in Germany during the Euro and Refugee Crises of the EU — https://doi.org/10.14267/phd.2023016</w:t>
      </w:r>
    </w:p>
    <w:p>
      <w:pPr/>
      <w:r>
        <w:rPr>
          <w:b/>
        </w:rPr>
        <w:t>Shared claim-specific concepts:</w:t>
      </w:r>
      <w:r>
        <w:t xml:space="preserve"> key, approach, engaged; EU scope visible. This is a provisional connection, not an outcome finding.</w:t>
      </w:r>
    </w:p>
    <w:p>
      <w:pPr>
        <w:pStyle w:val="SourceNote"/>
      </w:pPr>
      <w:r>
        <w:rPr>
          <w:b/>
        </w:rPr>
        <w:t>Available abstract (not full text):</w:t>
      </w:r>
      <w:r>
        <w:t xml:space="preserve"> This research investigates the manifestations of European identity construction by the political and media discourses within the depressing context of the Euro crisis and refugee crisis of the European Union (EU) in a case study country- Germany. It utilizes the main aspirations of the Social Identity Theory (SIT), which asserts that social, economic, and political processes are highly critical in forming an ‘ingroup’. In doing so, it provides a novel approach to the European studies on the nexus between the EU integration and its crises. Although the literature previously engaged in explaining the formation of European identity through the lenses of the SIT, the theoretical novel of this research comes from the fact that it will investigate the way European identity is constructed, instrumentalized, and manifested during the financial and refugee crisis, which is of critical importance for the enrichment of the discipline, since social identity is mediated by the involvement of different social comparative contexts and content. The empirical contribution of the current study accommodates the extension of the empirical body of knowledge in Germany, which has occupied a key, initial, and unique position during both crises in formulating these mechanisms to fight with the crises. This study argues that political and media discourses became a critical tool of disseminating the col</w:t>
      </w:r>
    </w:p>
    <w:p>
      <w:pPr/>
      <w:r>
        <w:rPr>
          <w:b/>
        </w:rPr>
        <w:t>POSSIBLE 2023:</w:t>
      </w:r>
      <w:r>
        <w:t xml:space="preserve"> On the societal impact of publicly funded Circular Bioeconomy research in Europe — https://doi.org/10.1093/reseval/rvad002</w:t>
      </w:r>
    </w:p>
    <w:p>
      <w:pPr/>
      <w:r>
        <w:rPr>
          <w:b/>
        </w:rPr>
        <w:t>Shared claim-specific concepts:</w:t>
      </w:r>
      <w:r>
        <w:t xml:space="preserve"> project, funded, key; EU scope visible. This is a provisional connection, not an outcome finding.</w:t>
      </w:r>
    </w:p>
    <w:p>
      <w:pPr>
        <w:pStyle w:val="SourceNote"/>
      </w:pPr>
      <w:r>
        <w:rPr>
          <w:b/>
        </w:rPr>
        <w:t>Available abstract (not full text):</w:t>
      </w:r>
      <w:r>
        <w:t xml:space="preserve"> Abstract Europe has taken a world leadership position in setting policy priorities for Circular Bioeconomy (CBE) as a key determinant of economic, social, and environmental sustainability. Consequently, European R&amp;D investment in this area keeps growing along with the societal pressure to demonstrate the return of investment of publicly funded projects. Thus, this work presents a pioneering exploratory analysis of the extent to which projects funded at the European level incorporate the policy priorities for which they are being designed in the context of CBE, and how can the impact they are having on society be assessed. Thence, project impact evaluation is carried out in the short- and medium-term, and categorized under Industrial Competitiveness, Sustainable Development, and Community and Public Policies. For this purpose, secondary information was gathered from the European projects database Cordis, as well as primary information through a questionnaire survey of project coordinators. The empirical data collected suggest that European Framework Programmes have been fulfilling their purpose, as they are increasingly societal challenges-driven and market-oriented. This is evidenced by market-related topics addressed in the projects analysed and by the active participation of companies that outnumber academic institutions. As far as impact is concerned, scientific publications</w:t>
      </w:r>
    </w:p>
    <w:p>
      <w:pPr/>
      <w:r>
        <w:rPr>
          <w:b/>
        </w:rPr>
        <w:t>POSSIBLE 2022:</w:t>
      </w:r>
      <w:r>
        <w:t xml:space="preserve"> The effectiveness of the sports management system in Europe: High achievements, public funding and a healthy lifestyle — https://doi.org/10.14254/2071-789x.2022/15-4/13</w:t>
      </w:r>
    </w:p>
    <w:p>
      <w:pPr/>
      <w:r>
        <w:rPr>
          <w:b/>
        </w:rPr>
        <w:t>Shared claim-specific concepts:</w:t>
      </w:r>
      <w:r>
        <w:t xml:space="preserve"> three, approach, engaged; EU scope visible. This is a provisional connection, not an outcome finding.</w:t>
      </w:r>
    </w:p>
    <w:p>
      <w:pPr>
        <w:pStyle w:val="SourceNote"/>
      </w:pPr>
      <w:r>
        <w:rPr>
          <w:b/>
        </w:rPr>
        <w:t>Available abstract (not full text):</w:t>
      </w:r>
      <w:r>
        <w:t xml:space="preserve"> The article proposes an original approach to evaluating the effectiveness of the sports management system, which differs from the classical linear and non-linear optimization methods due to its use of quantile regression models. Three main indicators were chosen for creating the quantile regressions: (i) number of participants in the Olympic Games - as a feature of the effectiveness of the high-achievement sports; (ii) total number of people engaged in sports - as a feature of an effective mass sports system, which ensures a healthy lifestyle of the population; and (iii) state expenses on recreational and sports services. The quality of quantile regressions was validated by the Fisher test and the two-factor variance analysis. The research focused on the data of 30 European countries, which officially and publicly provide access to statistical reports on these issues. The countries were divided into two groups with above-average and below-average effectiveness of the sports management system. Two hypotheses were proposed and tested in the study. Hypothesis H1 was that the effectiveness of high-achievement sports depends on the amount of state funding for developing the sports industry. Research results confirmed this hypothesis for countries with an above-average level of sports management system effectiveness, but refuted it for the other group. Hypothesis H2 stated that the m</w:t>
      </w:r>
    </w:p>
    <w:p>
      <w:pPr>
        <w:pStyle w:val="Heading2"/>
      </w:pPr>
      <w:r>
        <w:t>683. Scenarios for the Development of Multimodal Transport in the TRITIA Cross-Border Area</w:t>
      </w:r>
    </w:p>
    <w:p>
      <w:pPr>
        <w:pStyle w:val="SourceNote"/>
      </w:pPr>
      <w:r>
        <w:rPr>
          <w:b/>
        </w:rPr>
        <w:t>Original source (2020):</w:t>
      </w:r>
      <w:r>
        <w:t xml:space="preserve"> https://doi.org/10.3390/su12177021</w:t>
      </w:r>
    </w:p>
    <w:p>
      <w:pPr/>
      <w:r>
        <w:t>Original wording (abstract; indexed_source_text_not_full_document_verified): Therefore, the purpose of the paper is to identify a set of factors determining the development of multimodal transport within the cross-border area of TRITIA (The European Grouping of Territorial Cooperation of the four regional governments of Moravian-Silesian Region (CZ), Opole Voivodeship (PL), Silesian Voivodeship (PL) and Žilina Self-governing Region (SK)) and to develop four scenarios, the execution of which in the 2030 perspective depends on the implementation of cross-border infrastructure and organisational projects and the increasing level of cooperation in the field of multimodal transport. The future development of multimodal transport as provided for in the scenarios is not linearly correlated with the increase in cooperation and the number of implemented infrastructure and organisational projects.</w:t>
      </w:r>
    </w:p>
    <w:p>
      <w:pPr/>
      <w:r>
        <w:rPr>
          <w:b/>
        </w:rPr>
        <w:t>POSSIBLE 2026:</w:t>
      </w:r>
      <w:r>
        <w:t xml:space="preserve"> Factors determining digitalization in Polish companies in the context of the European industrial strategy — https://doi.org/10.29119/1641-3466.2026.246.5</w:t>
      </w:r>
    </w:p>
    <w:p>
      <w:pPr/>
      <w:r>
        <w:rPr>
          <w:b/>
        </w:rPr>
        <w:t>Shared claim-specific concepts:</w:t>
      </w:r>
      <w:r>
        <w:t xml:space="preserve"> purpose, identify, factors, determining, within; EU scope visible. This is a provisional connection, not an outcome finding.</w:t>
      </w:r>
    </w:p>
    <w:p>
      <w:pPr>
        <w:pStyle w:val="SourceNote"/>
      </w:pPr>
      <w:r>
        <w:rPr>
          <w:b/>
        </w:rPr>
        <w:t>Available abstract (not full text):</w:t>
      </w:r>
      <w:r>
        <w:t xml:space="preserve"> Purpose: The purpose of this study was to identify and analyse the key factors that shape and drive the digitalisation processes of Polish enterprises within the broader framework of the European Industrial Strategy. More specifically, the study aimed to determine the significance of individual entrepreneurial ecosystem components—particularly government policy, institutional support, relational networks, and human‑capital capacities—in influencing firms’ progress toward digital transformation. Design/methodology/approach: The starting point for the research discussed in this article was to determine the degree of identification, significance, and comparison of the elements of the ecosystem, with a particular focus on the role of higher education institutions. Higher education institutions are a significant component considered in most economic development policies, as they play a crucial role in transferring knowledge and scientific achievements to businesses and are vital in building national, sectoral, and technological ecosystems. To achieve this goal, data was collected using the CATI method in a nationwide study of enterprises (n = 302). Findings: The research findings indicated a weak identification of the elements of the entrepreneurial ecosystem within the processes of digitalisation. Furthermore, it revealed that government policy is the best-identified element of the</w:t>
      </w:r>
    </w:p>
    <w:p>
      <w:pPr/>
      <w:r>
        <w:rPr>
          <w:b/>
        </w:rPr>
        <w:t>POSSIBLE 2025:</w:t>
      </w:r>
      <w:r>
        <w:t xml:space="preserve"> Pedoclimatic, knowledge and management factors drive European soybean and faba bean yields — https://doi.org/10.1007/s13593-025-01056-9</w:t>
      </w:r>
    </w:p>
    <w:p>
      <w:pPr/>
      <w:r>
        <w:rPr>
          <w:b/>
        </w:rPr>
        <w:t>Shared claim-specific concepts:</w:t>
      </w:r>
      <w:r>
        <w:t xml:space="preserve"> therefore, purpose, identify, factors; EU scope visible. This is a provisional connection, not an outcome finding.</w:t>
      </w:r>
    </w:p>
    <w:p>
      <w:pPr>
        <w:pStyle w:val="SourceNote"/>
      </w:pPr>
      <w:r>
        <w:rPr>
          <w:b/>
        </w:rPr>
        <w:t>Available abstract (not full text):</w:t>
      </w:r>
      <w:r>
        <w:t xml:space="preserve"> Abstract The low usage of grain legumes in European cropping systems is often attributed to yield gaps due to limiting pedoclimatic conditions, sub-optimal management practices, and farmers’ limited experience and knowledge in growing these crops. The relative contributions of these factors to current grain legume yield gaps at European scale and, in particular, the difference between yields achieved by experienced farmers and those achieved by novices remain unknown. We therefore explored the relationship between yields and these different factors, to identify areas where farmers require more support to close the yield gaps in grain legume production. To this purpose, we conducted a large-scale online farmer survey in nine European countries with a focus on soybean and faba bean. For both crops, classification and regression tree analysis identified country of production as the primary explanatory variable of yield variation and confirmed the hypothesis that greater experience and knowledge is associated with higher yields. However, the effect of several factors differed between the crops, showing the need for legume-specific strategies. Experience and knowledge were particularly important for soybean, although also relevant for faba bean in low-yielding environments. Other important factors identified to determine yield for soybean included farm specialization, agroclimatic z</w:t>
      </w:r>
    </w:p>
    <w:p>
      <w:pPr/>
      <w:r>
        <w:rPr>
          <w:b/>
        </w:rPr>
        <w:t>POSSIBLE 2024:</w:t>
      </w:r>
      <w:r>
        <w:t xml:space="preserve"> FACTOR ANALYSIS OF DEMAND FOR INDONESIAN NICKEL EXPORTS IN EUROPE — https://openalex.org/W7218287029</w:t>
      </w:r>
    </w:p>
    <w:p>
      <w:pPr/>
      <w:r>
        <w:rPr>
          <w:b/>
        </w:rPr>
        <w:t>Shared claim-specific concepts:</w:t>
      </w:r>
      <w:r>
        <w:t xml:space="preserve"> therefore, purpose, factors, four; EU scope visible. This is a provisional connection, not an outcome finding.</w:t>
      </w:r>
    </w:p>
    <w:p>
      <w:pPr>
        <w:pStyle w:val="SourceNote"/>
      </w:pPr>
      <w:r>
        <w:rPr>
          <w:b/>
        </w:rPr>
        <w:t>Available abstract (not full text):</w:t>
      </w:r>
      <w:r>
        <w:t xml:space="preserve"> The purpose of this study is to determine the demand factors for Indonesian nickel exports in Europe. Regarding the formulation of the problem in this study, what are the factors for the demand for Indonesian nickel by Europe. Although the research method used is qualitative. Based on the results of this study it can be concluded that Nickel is a silvery-white hard metal with a slight luster of gold pattern. Nickel itself is a metal that is strong, dense, durable, heat and corrosion resistant. In addition, nickel is also a metal with good conductors of electricity and heat and one of the four very important metal elements because this metal is ferromagnetic or can be said to be easily magnetized at certain room temperatures. Therefore, nickel has a variety of uses that can be utilized in a variety of products. One of them is the raw material for making cables. Nickel is a scarce natural resource, therefore countries that do not have this natural resource must import it from producing countries. At the same time, producing countries must ensure that there are no shortages.</w:t>
      </w:r>
    </w:p>
    <w:p>
      <w:pPr/>
      <w:r>
        <w:rPr>
          <w:b/>
        </w:rPr>
        <w:t>POSSIBLE 2024:</w:t>
      </w:r>
      <w:r>
        <w:t xml:space="preserve"> Factors of Credit Ratings for Transfer Pricing of Loans in European Conditions — https://doi.org/10.18267/j.polek.1421</w:t>
      </w:r>
    </w:p>
    <w:p>
      <w:pPr/>
      <w:r>
        <w:rPr>
          <w:b/>
        </w:rPr>
        <w:t>Shared claim-specific concepts:</w:t>
      </w:r>
      <w:r>
        <w:t xml:space="preserve"> therefore, purpose, identify, factors, cross-border; EU scope visible. This is a provisional connection, not an outcome finding.</w:t>
      </w:r>
    </w:p>
    <w:p>
      <w:pPr>
        <w:pStyle w:val="SourceNote"/>
      </w:pPr>
      <w:r>
        <w:rPr>
          <w:b/>
        </w:rPr>
        <w:t>Available abstract (not full text):</w:t>
      </w:r>
      <w:r>
        <w:t xml:space="preserve"> In accord with international transfer pricing regulations, the borrower's creditworthiness is the main factor to be reflected in valuation of cross-border loan transactions between associated enterprises. However, trouble invariably arises for small and medium-sized enterprises that do not have an assigned credit rating. The aim of this paper is to determine the most reliable predictors of a company's credit rating for European entities facing missing rating coverage for the purpose of transfer pricing. Based on 2015-2019 data sourced from the Orbis database, the study examines key financial ratios and non-financial information that could be instrumental in reconstructing a long-term rating category of a company assigned by Moody's Investors Service. The results identify interest coverage as the most useful predictor. Therefore, a law-approved and tax-acceptable approach to pricing of financial transactions between unrated parties (i.e., without credit rating) should preferably exploit interest coverage as a link to the otherwise missing ratings.</w:t>
      </w:r>
    </w:p>
    <w:p>
      <w:pPr/>
      <w:r>
        <w:rPr>
          <w:b/>
        </w:rPr>
        <w:t>POSSIBLE 2024:</w:t>
      </w:r>
      <w:r>
        <w:t xml:space="preserve"> The Devil in the details: The factors determining the selection of intrazonal congestion management methods across Europe — https://doi.org/10.1016/j.heliyon.2024.e26610</w:t>
      </w:r>
    </w:p>
    <w:p>
      <w:pPr/>
      <w:r>
        <w:rPr>
          <w:b/>
        </w:rPr>
        <w:t>Shared claim-specific concepts:</w:t>
      </w:r>
      <w:r>
        <w:t xml:space="preserve"> identify, factors, determining; EU scope visible. This is a provisional connection, not an outcome finding.</w:t>
      </w:r>
    </w:p>
    <w:p>
      <w:pPr>
        <w:pStyle w:val="SourceNote"/>
      </w:pPr>
      <w:r>
        <w:rPr>
          <w:b/>
        </w:rPr>
        <w:t>Available abstract (not full text):</w:t>
      </w:r>
      <w:r>
        <w:t xml:space="preserve"> The European electricity market is becoming increasingly interconnected, raising questions about how intrazonal congestion management, typically governed by national regulations, interacts with the coupled cross-zonal markets. A major concern is the lack of information regarding intrazonal congestion management methods. This paper addresses this issue by examining different ways in which European transmission system operators (TSOs) use third-party resources to manage congestion in short-term electricity markets. We create a decision-tree-based classification to represent all identified congestion management methods and select three cases for comprehensive evaluation using predefined assessment criteria. While doing so, we identify a trade-off between efficiency and ease of implementation. The balance between these two factors is determined by the severity of the congestion. In a severely congested grid, locational signals are critical, requiring a better alignment between the network representation in the market clearing and the physical network constraints. When the congestion is less severe, TSOs can choose other congestion management methods based on factors such as the predictability of congestion and resource availability. These findings shed light on the complexities of congestion management in an integrated European market and can inform future policy decisions.</w:t>
      </w:r>
    </w:p>
    <w:p>
      <w:pPr/>
      <w:r>
        <w:rPr>
          <w:b/>
        </w:rPr>
        <w:t>POSSIBLE 2024:</w:t>
      </w:r>
      <w:r>
        <w:t xml:space="preserve"> Identifying fit-for purpose methods for monitoring fish communities — https://doi.org/10.3389/fmars.2023.1322367</w:t>
      </w:r>
    </w:p>
    <w:p>
      <w:pPr/>
      <w:r>
        <w:rPr>
          <w:b/>
        </w:rPr>
        <w:t>Shared claim-specific concepts:</w:t>
      </w:r>
      <w:r>
        <w:t xml:space="preserve"> therefore, purpose, identify, four; EU scope not established. This is a provisional connection, not an outcome finding.</w:t>
      </w:r>
    </w:p>
    <w:p>
      <w:pPr>
        <w:pStyle w:val="SourceNote"/>
      </w:pPr>
      <w:r>
        <w:rPr>
          <w:b/>
        </w:rPr>
        <w:t>Available abstract (not full text):</w:t>
      </w:r>
      <w:r>
        <w:t xml:space="preserve"> Scientific monitoring is a fundamental basis of scientific advice. Among others, monitoring aims at contributing towards understanding the influence of anthropogenic use (e.g. fisheries), the health of a stock and individuum and effectiveness of management and conservation measures (e.g. MPAs). Monitoring of demersal and benthic fish communities is often based on invasive methods like bottom trawling, however in some cases less invasive methods might be available. The need for developing alternative and less invasive monitoring methods is supported by an increasing number of Marine Protected Areas and Windfarms where traditional methods such as trawls cannot be deployed due to conservational or technical and safety reasons. To support the development of new monitoring concepts, we conducted a literature review to identify limits and opportunities of methods that are already available. Furthermore, we present a fit-for purpose guide that can help identifying the appropriate method for individual purposes. We defined eight different methods which were analyzed using four different criteria and listed their advantages and disadvantages. We further apply this guide to monitoring in Marine Protected Areas in the Baltic Sea as a case study, indicating that besides traditional bottom trawling, alternative and less invasive methods could be sufficient for specific research purposes. We</w:t>
      </w:r>
    </w:p>
    <w:p>
      <w:pPr/>
      <w:r>
        <w:rPr>
          <w:b/>
        </w:rPr>
        <w:t>POSSIBLE 2024:</w:t>
      </w:r>
      <w:r>
        <w:t xml:space="preserve"> Identifying the Challenges in the Detection and Protection of Child Victims of Human Trafficking in Spain: A Case Study of the Southern European Border — https://doi.org/10.3390/socsci13110566</w:t>
      </w:r>
    </w:p>
    <w:p>
      <w:pPr/>
      <w:r>
        <w:rPr>
          <w:b/>
        </w:rPr>
        <w:t>Shared claim-specific concepts:</w:t>
      </w:r>
      <w:r>
        <w:t xml:space="preserve"> therefore, set, factors, regional; EU scope visible. This is a provisional connection, not an outcome finding.</w:t>
      </w:r>
    </w:p>
    <w:p>
      <w:pPr>
        <w:pStyle w:val="SourceNote"/>
      </w:pPr>
      <w:r>
        <w:rPr>
          <w:b/>
        </w:rPr>
        <w:t>Available abstract (not full text):</w:t>
      </w:r>
      <w:r>
        <w:t xml:space="preserve"> Despite the improvements in enhanced child protection, there is an increasing concern about the vulnerability and cases of child trafficking in Spain, the southern gateway to Europe from the African continent. Analyzing 23 interviews with professionals in the field, this article identifies the factors that contribute to high levels of child trafficking in Spain. This study identifies three primary results: (1) The dangers of residential childcare as places of recruitment; (2) The southern European and Spanish border as a place of elevated risk for the recruitment of children; (3) The stereotypes regarding child trafficking make invisible male victims, other types of trafficking for non-sexual purposes, domestic trafficking, and individual trafficking. Therefore, it remains imperative to advance a set of policies that: (i) invest in specific residential childcare resources for child victims either alone or with family members; (ii) invest in smaller residential childcare to prevent abuse; (iii) invest in mentoring programs for children previously under state guardianship; (iv) improve the working conditions and the training of residential childcare staff; (v) increase the visibility and diversity of child trafficking while avoiding stereotypes; (vi) improve the regional coordination; (vii) invest in campaigns to inform children about the dangers involved in running away, exploit</w:t>
      </w:r>
    </w:p>
    <w:p>
      <w:pPr/>
      <w:r>
        <w:rPr>
          <w:b/>
        </w:rPr>
        <w:t>POSSIBLE 2023:</w:t>
      </w:r>
      <w:r>
        <w:t xml:space="preserve"> The European health data space: Too big to succeed? — https://doi.org/10.1016/j.healthpol.2023.104861</w:t>
      </w:r>
    </w:p>
    <w:p>
      <w:pPr/>
      <w:r>
        <w:rPr>
          <w:b/>
        </w:rPr>
        <w:t>Shared claim-specific concepts:</w:t>
      </w:r>
      <w:r>
        <w:t xml:space="preserve"> therefore, region; EU scope visible. This is a provisional connection, not an outcome finding.</w:t>
      </w:r>
    </w:p>
    <w:p>
      <w:pPr>
        <w:pStyle w:val="SourceNote"/>
      </w:pPr>
      <w:r>
        <w:rPr>
          <w:b/>
        </w:rPr>
        <w:t>Available abstract (not full text):</w:t>
      </w:r>
      <w:r>
        <w:t xml:space="preserve"> In May 2022, the European Commission issued the Proposal for a Regulation on the European Health Data Space (EHDS), with the aims of granting citizens increased access to and control of their (electronic) health data across the EU, and facilitating health data re-use for research, innovation, and policymaking. As the first in a series of European domain-specific "data spaces", the EHDS is a high-stakes development that will transform health data governance in the EU region. As an international consortium of experts from health policy, law, ethics and the social sciences, we are concerned that the EHDS Proposal will detract from, rather than lead to the achievement of, its stated aims. We are in no doubt on the benefits of using health data for secondary purposes, and we appreciate attempts to facilitate such uses across borders in a carefully curated manner. Based on the current draft Regulation, however, the EHDS risks undermining rather than enhancing patient control over data; hindering rather than facilitating the work of health professionals and researchers; and eroding rather than increasing the public value generated through health data sharing. Therefore, significant adjustments are needed if the EHDS is to realize its promised benefits. Besides analyzing the implications for key groups and European societies at large who will be affected by the implementation of the EH</w:t>
      </w:r>
    </w:p>
    <w:p>
      <w:pPr/>
      <w:r>
        <w:rPr>
          <w:b/>
        </w:rPr>
        <w:t>POSSIBLE 2023:</w:t>
      </w:r>
      <w:r>
        <w:t xml:space="preserve"> Determining a Worldwide Prevalence of Oculocutaneous Albinism: A Systematic Review — https://doi.org/10.1167/iovs.64.10.14</w:t>
      </w:r>
    </w:p>
    <w:p>
      <w:pPr/>
      <w:r>
        <w:rPr>
          <w:b/>
        </w:rPr>
        <w:t>Shared claim-specific concepts:</w:t>
      </w:r>
      <w:r>
        <w:t xml:space="preserve"> therefore, purpose, factors, determining, four; EU scope visible. This is a provisional connection, not an outcome finding.</w:t>
      </w:r>
    </w:p>
    <w:p>
      <w:pPr>
        <w:pStyle w:val="SourceNote"/>
      </w:pPr>
      <w:r>
        <w:rPr>
          <w:b/>
        </w:rPr>
        <w:t>Available abstract (not full text):</w:t>
      </w:r>
      <w:r>
        <w:t xml:space="preserve"> Purpose: The aim of this systematic review was to investigate the available data on the epidemiology of oculocutaneous albinism (OCA) around the world, and to determine whether a generalizable, worldwide prevalence figure could be proposed. Methods: Extensive literature search strategies were conducted, interrogating PubMed, Scopus, and Web of Science, to locate relevant literature. Ultimately 34 studies reporting original data were included for analysis. Results: Findings showed that most data were outdated, and only 6 of 34 articles (18%) were published after 2010. There were few good studies with sound methodology and large, clearly defined population samples. Only a small proportion of countries worldwide (26/193 [13%]) have produced prevalence figures for OCA. By continent, African studies were disproportionately represented (15/34 [44%]). The highest prevalence rates (range, 1 in 22 to 1 in 1300; mean, 1 in 464) were reported in population isolates. The mean prevalence from four African countries was 1 in 4264 (range, 1 in 1755 to 1 in 7900). Prevalence for three countries in Europe (mean, 1 in 12,000; range, 1 in 10,000 to 1 in 15,000) may be underestimated, as the phenotype, in fair-skinned populations, may be missed or misdiagnosed as ocular albinism or isolated visual impairment. Population rates may vary depending on local cultural factors (e.g., consanguineous matin</w:t>
      </w:r>
    </w:p>
    <w:p>
      <w:pPr/>
      <w:r>
        <w:rPr>
          <w:b/>
        </w:rPr>
        <w:t>POSSIBLE 2023:</w:t>
      </w:r>
      <w:r>
        <w:t xml:space="preserve"> European Union Regulation of Water Stress Risks — https://doi.org/10.1017/err.2023.76</w:t>
      </w:r>
    </w:p>
    <w:p>
      <w:pPr/>
      <w:r>
        <w:rPr>
          <w:b/>
        </w:rPr>
        <w:t>Shared claim-specific concepts:</w:t>
      </w:r>
      <w:r>
        <w:t xml:space="preserve"> therefore, purpose, within; EU scope visible. This is a provisional connection, not an outcome finding.</w:t>
      </w:r>
    </w:p>
    <w:p>
      <w:pPr>
        <w:pStyle w:val="SourceNote"/>
      </w:pPr>
      <w:r>
        <w:rPr>
          <w:b/>
        </w:rPr>
        <w:t>Available abstract (not full text):</w:t>
      </w:r>
      <w:r>
        <w:t xml:space="preserve"> Abstract Water stress is a growing concern in Europe, partly due to the changing climate context. Despite the cross-cutting impacts that water availability has on different areas under the competence of the European Union (EU), there is not currently a comprehensive and systematic legal framework addressing this issue. The purpose of this article is therefore to examine the EU legislation that concerns the measures aimed at mitigating these risks. To this purpose, it is first examined how droughts and water scarcity are framed within EU legal acts. Based on such an overview, the analysis is directed to the mechanisms developed at the EU level for monitoring, identifying and forecasting water stress risks, as well as the legal provisions relating to the planning tools. The remainder of the article is devoted to the regulation of preventative measures for water scarcity and drought risk reduction, following the water hierarchy resulting from COM(2007) 414.</w:t>
      </w:r>
    </w:p>
    <w:p>
      <w:pPr/>
      <w:r>
        <w:rPr>
          <w:b/>
        </w:rPr>
        <w:t>POSSIBLE 2023:</w:t>
      </w:r>
      <w:r>
        <w:t xml:space="preserve"> The performance of major airports in the Europe, North America and Asia — https://doi.org/10.1108/apjml-07-2022-0608</w:t>
      </w:r>
    </w:p>
    <w:p>
      <w:pPr/>
      <w:r>
        <w:rPr>
          <w:b/>
        </w:rPr>
        <w:t>Shared claim-specific concepts:</w:t>
      </w:r>
      <w:r>
        <w:t xml:space="preserve"> therefore, purpose, factors; EU scope visible. This is a provisional connection, not an outcome finding.</w:t>
      </w:r>
    </w:p>
    <w:p>
      <w:pPr>
        <w:pStyle w:val="SourceNote"/>
      </w:pPr>
      <w:r>
        <w:rPr>
          <w:b/>
        </w:rPr>
        <w:t>Available abstract (not full text):</w:t>
      </w:r>
      <w:r>
        <w:t xml:space="preserve"> Purpose This study aims to provide a meaningful comparison of airports’ performance and better understand the differences observed in the analysed airport performance by presenting a model to analyse the relationship between operational and financial performance and airport characteristics. Design/methodology/approach This study uses a quantitative analysis approach. The Technique for Order Preference by Similarity to Ideal Solution (TOPSIS) and entropy weight were utilised to analyse 17 airports in three Airports Council International regions: Asia, Europe and North America. Through operational and financial factors, these sample airports identified the most efficiently operated airports from 2016 to 2019. Findings Overall, Asian airports were superior in operational and financial efficiency. Unlike operating performance, the sample airport’s financial and total performance results show a similar trend. There were no noticeable changes in operational factors. Therefore, differences in financial variables for each airport may affect the total performance. Practical implications This study provides insightful implications for airport policymakers to establish a standardised information disclosure foundation for consistent analysis and encourage airports to provide this information. Originality/value The adoption of Earnings Before Interest, Taxes, Depreciation, and Amortisation </w:t>
      </w:r>
    </w:p>
    <w:p>
      <w:pPr/>
      <w:r>
        <w:rPr>
          <w:b/>
        </w:rPr>
        <w:t>POSSIBLE 2023:</w:t>
      </w:r>
      <w:r>
        <w:t xml:space="preserve"> The Landscape of Lyme Borreliosis Surveillance in Europe — https://doi.org/10.1089/vbz.2022.0067</w:t>
      </w:r>
    </w:p>
    <w:p>
      <w:pPr/>
      <w:r>
        <w:rPr>
          <w:b/>
        </w:rPr>
        <w:t>Shared claim-specific concepts:</w:t>
      </w:r>
      <w:r>
        <w:t xml:space="preserve"> purpose, within, area, regional; EU scope visible. This is a provisional connection, not an outcome finding.</w:t>
      </w:r>
    </w:p>
    <w:p>
      <w:pPr>
        <w:pStyle w:val="SourceNote"/>
      </w:pPr>
      <w:r>
        <w:rPr>
          <w:b/>
        </w:rPr>
        <w:t>Available abstract (not full text):</w:t>
      </w:r>
      <w:r>
        <w:t xml:space="preserve"> Purpose: Lyme borreliosis (LB) is the most prevalent tick-borne disease in Europe and the incidence of LB is increasing owing to an expansion in tick habitats. However, LB surveillance is quite heterogeneous across the continent, and for those countries with publicly available data, it is difficult to understand the differences in incidence between countries. The objective of our study was to summarize the publicly available data from surveillance for LB in the form of surveillance reports and/or dashboards and to compare the information available for various countries. Methods: We identified publicly available LB data (online dashboards and surveillance reports) in the European Union, European Economic Area, the United Kingdom, Russia, and Switzerland. Results: Of the 36 countries studied, 28 had LB surveillance in place; 23 had surveillance reports, and 10 had dashboards. The dashboards, in general, had more granular data compared with the surveillance reports, but the reports covered longer time periods. LB annual cases, incidence, age, and sex-stratified LB data; manifestations; and regional data were available for most of the countries. LB case definitions varied significantly among the countries. Conclusion: The study highlights large differences in LB surveillance systems, including representativeness, case definitions, type of data available that might inhibit compariso</w:t>
      </w:r>
    </w:p>
    <w:p>
      <w:pPr>
        <w:pStyle w:val="Heading2"/>
      </w:pPr>
      <w:r>
        <w:t>684. Shared Socio-economic Pathways for European agriculture and food systems: The Eur-Agri-SSPs</w:t>
      </w:r>
    </w:p>
    <w:p>
      <w:pPr>
        <w:pStyle w:val="SourceNote"/>
      </w:pPr>
      <w:r>
        <w:rPr>
          <w:b/>
        </w:rPr>
        <w:t>Original source (2020):</w:t>
      </w:r>
      <w:r>
        <w:t xml:space="preserve"> https://doi.org/10.1016/j.gloenvcha.2020.102159</w:t>
      </w:r>
    </w:p>
    <w:p>
      <w:pPr/>
      <w:r>
        <w:t>Original wording (abstract; indexed_source_text_not_full_document_verified): We followed a nine-step protocol to extend and enrich a set of global scenarios - the Shared Socio-economic Pathways (SSPs) - providing regional and sectoral detail for European agriculture and food systems using a one-to-one nesting participatory approach.</w:t>
      </w:r>
    </w:p>
    <w:p>
      <w:pPr/>
      <w:r>
        <w:rPr>
          <w:b/>
        </w:rPr>
        <w:t>POSSIBLE 2024:</w:t>
      </w:r>
      <w:r>
        <w:t xml:space="preserve"> SMaRT M-Seq: an optimized step-by-step protocol for M protein sequencing in monoclonal gammopathies — https://doi.org/10.1093/biomethods/bpae074</w:t>
      </w:r>
    </w:p>
    <w:p>
      <w:pPr/>
      <w:r>
        <w:rPr>
          <w:b/>
        </w:rPr>
        <w:t>Shared claim-specific concepts:</w:t>
      </w:r>
      <w:r>
        <w:t xml:space="preserve"> followed, protocol, approach; EU scope not established. This is a provisional connection, not an outcome finding.</w:t>
      </w:r>
    </w:p>
    <w:p>
      <w:pPr>
        <w:pStyle w:val="SourceNote"/>
      </w:pPr>
      <w:r>
        <w:rPr>
          <w:b/>
        </w:rPr>
        <w:t>Available abstract (not full text):</w:t>
      </w:r>
      <w:r>
        <w:t xml:space="preserve"> In patients with monoclonal gammopathies, tumor B cells or plasma cells secrete a monoclonal antibody (M protein) that not only serves as a biomarker for tumor tracking but can also cause potentially life-threatening organ damage. This damage is driven by the patient-specific sequence of the M protein. Methods for sequencing M proteins have been limited by their high cost and time-consuming nature, and while recent approaches using next-generation sequencing or mass spectrometry offer advancements, they may require tumor cell sorting, are limited to subsets of immunoglobulin genes or patients, and/or lack extensive validation. To address these limitations, we have recently developed a novel method, termed Single Molecule Real-Time Sequencing of the M protein (SMaRT M-Seq), which combines the unbiased amplification of expressed immunoglobulin genes via inverse PCR from circularized cDNA with long-read DNA sequencing, followed by bioinformatic and immunogenetic analyses. This approach enables the unambiguous identification of full-length variable sequences of M protein genes across diverse patient cohorts, including those with low tumor burden. Our protocol has undergone technical validation and has been successfully applied to large patient cohorts with monoclonal gammopathies. Here we present the step-by-step protocol for SMaRT M-Seq. By enabling the parallel sequencing of M pr</w:t>
      </w:r>
    </w:p>
    <w:p>
      <w:pPr/>
      <w:r>
        <w:rPr>
          <w:b/>
        </w:rPr>
        <w:t>POSSIBLE 2023:</w:t>
      </w:r>
      <w:r>
        <w:t xml:space="preserve"> An intelligent extension of the training set for the Persian n-gram language model: an enrichment algorithm — https://doi.org/10.7764/onomazein.61.09</w:t>
      </w:r>
    </w:p>
    <w:p>
      <w:pPr/>
      <w:r>
        <w:rPr>
          <w:b/>
        </w:rPr>
        <w:t>Shared claim-specific concepts:</w:t>
      </w:r>
      <w:r>
        <w:t xml:space="preserve"> extend, set, approach; EU scope not established. This is a provisional connection, not an outcome finding.</w:t>
      </w:r>
    </w:p>
    <w:p>
      <w:pPr>
        <w:pStyle w:val="SourceNote"/>
      </w:pPr>
      <w:r>
        <w:rPr>
          <w:b/>
        </w:rPr>
        <w:t>Available abstract (not full text):</w:t>
      </w:r>
      <w:r>
        <w:t xml:space="preserve"> In this article, we are going to introduce an automatic mechanism to intelligently extend the training set to improve the n-gram language model of Persian. Given the free word-order property in Persian, our enrichment algorithm diversifies n-gram combinations in baseline training data through dependency reordering, adding permissible sentences and filtering ungrammatical sentences using a hybrid empirical (heuristic) and linguistic approach. Experiments performed on baseline training set (taken from a standard Persian corpus) and the resulting enriched training set indicate a declining trend in average relative perplexity (between 34% to 73%) for informal/spoken vs. formal/written Persian test data.</w:t>
      </w:r>
    </w:p>
    <w:p>
      <w:pPr/>
      <w:r>
        <w:rPr>
          <w:b/>
        </w:rPr>
        <w:t>POSSIBLE 2023:</w:t>
      </w:r>
      <w:r>
        <w:t xml:space="preserve"> Population health differences in cross-border regions within the European Union and Schengen area: a protocol for a scoping review — https://doi.org/10.1136/bmjopen-2022-068571</w:t>
      </w:r>
    </w:p>
    <w:p>
      <w:pPr/>
      <w:r>
        <w:rPr>
          <w:b/>
        </w:rPr>
        <w:t>Shared claim-specific concepts:</w:t>
      </w:r>
      <w:r>
        <w:t xml:space="preserve"> protocol, regional, systems; EU scope visible. This is a provisional connection, not an outcome finding.</w:t>
      </w:r>
    </w:p>
    <w:p>
      <w:pPr>
        <w:pStyle w:val="SourceNote"/>
      </w:pPr>
      <w:r>
        <w:rPr>
          <w:b/>
        </w:rPr>
        <w:t>Available abstract (not full text):</w:t>
      </w:r>
      <w:r>
        <w:t xml:space="preserve"> INTRODUCTION: Along with European integration and the harmonisation of living conditions, improvements in health have been observed over the past decades. However, sociospatial inequalities within and across member states still exist today. While drivers of these health inequalities have been widely researched on a national and regional scale, cross-border regions remain understudied. The removal of border controls within the European Union (EU) member states has facilitated economic convergence and created new opportunities, including cross-border cooperation in the healthcare systems. However, whether and how these developments have influenced the population health in the respective cross-border regions is unclear. Hence, this scoping review aims to examine the empirical literature on the changes in health outcomes over time at the population level in EU cross-border areas. Additionally, we aim to identify the type of evidence and available data sources in those studies. Finally, we will determine the research gaps in the literature. METHODS AND ANALYSIS: We will follow the Joanna Briggs Institute methodology for this scoping review. The 'Population-Concept-Context' framework will be used to identify the eligibility criteria. A three-step search strategy will be conducted to find relevant studies in the databases of PubMed, Web of Science, Scopus and EBSCOhost (SocIndex). Add</w:t>
      </w:r>
    </w:p>
    <w:p>
      <w:pPr/>
      <w:r>
        <w:rPr>
          <w:b/>
        </w:rPr>
        <w:t>POSSIBLE 2022:</w:t>
      </w:r>
      <w:r>
        <w:t xml:space="preserve"> Multicentre evaluation of a selective isolation protocol for detection of mcr-positive E. coli and Salmonella spp. in food-producing animals and meat — https://doi.org/10.1111/lam.13717</w:t>
      </w:r>
    </w:p>
    <w:p>
      <w:pPr/>
      <w:r>
        <w:rPr>
          <w:b/>
        </w:rPr>
        <w:t>Shared claim-specific concepts:</w:t>
      </w:r>
      <w:r>
        <w:t xml:space="preserve"> followed, protocol, food, approach; EU scope visible. This is a provisional connection, not an outcome finding.</w:t>
      </w:r>
    </w:p>
    <w:p>
      <w:pPr>
        <w:pStyle w:val="SourceNote"/>
      </w:pPr>
      <w:r>
        <w:rPr>
          <w:b/>
        </w:rPr>
        <w:t>Available abstract (not full text):</w:t>
      </w:r>
      <w:r>
        <w:t xml:space="preserve"> Abstract This study was conducted to evaluate the performance of a screening protocol to detect and isolate mcr-positive Escherichia coli and Salmonella spp. from animal caecal content and meat samples. We used a multicentre approach involving 12 laboratories from nine European countries. All participants applied the same methodology combining a multiplex PCR performed on DNA extracted from a pre-enrichment step, followed by a selective culture step on three commercially available chromogenic agar plates. The test panel was composed of two negative samples and four samples artificially contaminated with E. coli and Salmonella spp. respectively harbouring mcr-1 or mcr-3 and mcr-4 or mcr-5 genes. PCR screening resulted in a specificity of 100% and a sensitivity of 83%. Sensitivity of each agar medium to detect mcr-positive colistin-resistant E. coli or Salmonella spp. strains was 86% for CHROMID® Colistin R, 75% for CHROMagarTM COL-APSE and 70% for COLISTIGRAM. This combined method was effective to detect and isolate most of the E. coli or Salmonella spp. strains harbouring different mcr genes from food-producing animals and food products and might thus be used as a harmonized protocol for the screening of mcr genes in food-producing animals and food products in Europe.</w:t>
      </w:r>
    </w:p>
    <w:p>
      <w:pPr/>
      <w:r>
        <w:rPr>
          <w:b/>
        </w:rPr>
        <w:t>POSSIBLE 2022:</w:t>
      </w:r>
      <w:r>
        <w:t xml:space="preserve"> Implementation of a pan-European ecosystem and an interoperable platform for Smart and Healthy Ageing in Europe: An Innovation Action research protocol — https://doi.org/10.12688/openreseurope.14827.1</w:t>
      </w:r>
    </w:p>
    <w:p>
      <w:pPr/>
      <w:r>
        <w:rPr>
          <w:b/>
        </w:rPr>
        <w:t>Shared claim-specific concepts:</w:t>
      </w:r>
      <w:r>
        <w:t xml:space="preserve"> protocol, set, systems, approach; EU scope visible. This is a provisional connection, not an outcome finding.</w:t>
      </w:r>
    </w:p>
    <w:p>
      <w:pPr>
        <w:pStyle w:val="SourceNote"/>
      </w:pPr>
      <w:r>
        <w:rPr>
          <w:b/>
        </w:rPr>
        <w:t>Available abstract (not full text):</w:t>
      </w:r>
      <w:r>
        <w:t xml:space="preserve"> As life expectancy continues to increase in most EU Member States, smart technologies can help enable older people to continue living at home, despite the challenges accompanying the ageing process. The Innovation Action (IA) SHAPES 'Smart and Healthy Ageing through People Engaging in Supportive Systems' funded by the EU under the Horizon 2020 Research and Innovation Programme (grant agreement number 857159) attends to these topics to support active and healthy ageing and the wellbeing of older adults. This protocol article outlines the SHAPES project's objectives and aims, methods, structure, and expected outcomes. SHAPES seeks to build, pilot, and deploy a large-scale, EU-standardised interoperable, and scalable open platform. The platform will facilitate the integration of a broad range of technological, organisational, clinical, educational, and social solutions. SHAPES emphasises that the home is much more than a house-space; it entails a sense of belonging, a place and a purpose in the community. SHAPES creates an ecosystem - a network of relevant users and stakeholders - who will work together to scale-up smart solutions. Furthermore, SHAPES will create a marketplace seeking to connect demand and supply across the home, health and care services. Finally, SHAPES will produce a set of recommendations to support key stakeholders seeking to integrate smart technologies in th</w:t>
      </w:r>
    </w:p>
    <w:p>
      <w:pPr/>
      <w:r>
        <w:rPr>
          <w:b/>
        </w:rPr>
        <w:t>POSSIBLE 2022:</w:t>
      </w:r>
      <w:r>
        <w:t xml:space="preserve"> Stepped care management of insomnia co-occurring with sleep apnea: the AIR study protocol — https://doi.org/10.1186/s13063-022-06753-4</w:t>
      </w:r>
    </w:p>
    <w:p>
      <w:pPr/>
      <w:r>
        <w:rPr>
          <w:b/>
        </w:rPr>
        <w:t>Shared claim-specific concepts:</w:t>
      </w:r>
      <w:r>
        <w:t xml:space="preserve"> protocol, providing, approach; EU scope not established. This is a provisional connection, not an outcome finding.</w:t>
      </w:r>
    </w:p>
    <w:p>
      <w:pPr>
        <w:pStyle w:val="SourceNote"/>
      </w:pPr>
      <w:r>
        <w:rPr>
          <w:b/>
        </w:rPr>
        <w:t>Available abstract (not full text):</w:t>
      </w:r>
      <w:r>
        <w:t xml:space="preserve"> BACKGROUND: Obstructive sleep apnea (OSA) and insomnia are commonly co-occurring conditions that amplify morbidity and complicates the management of affected patients. Unfortunately, previous research provides limited guidance as to what constitutes the best and most practical management approach for this comorbid patient group. Some preliminary studies show that when cognitive behavioral insomnia therapy (CBT-I) is combined with standard OSA therapies for these patients, outcomes are improved. However, the dearth of trained providers capable of delivering CBT-I has long served as a pragmatic barrier to the widespread use of this therapy in clinical practice. The emergence of sophisticated online CBT-I (OCBT-I) programs could improve access, showing promising reductions in insomnia severity. Given its putative scalability and apparent efficacy, some have argued OCBT-I should represent a 1st-stage intervention in a broader stepped care model that allocates more intensive and less assessable therapist-delivered CBT-I (TCBT-I) only to those who show an inadequate response to lower intensity OCBT-I. However, the efficacy of OCBT-I as a 1st-stage therapy within a broader stepped care management strategy for insomnia comorbid with OSA has yet to be tested with comorbid OSA/insomnia patients. METHODS/DESIGN: This dual-site randomized clinical trial will use a Sequential Multiple Assig</w:t>
      </w:r>
    </w:p>
    <w:p>
      <w:pPr>
        <w:pStyle w:val="Heading2"/>
      </w:pPr>
      <w:r>
        <w:t>685. Socio-technical transitions in UK electricity: part 1 – history, actors and pathways</w:t>
      </w:r>
    </w:p>
    <w:p>
      <w:pPr>
        <w:pStyle w:val="SourceNote"/>
      </w:pPr>
      <w:r>
        <w:rPr>
          <w:b/>
        </w:rPr>
        <w:t>Original source (2020):</w:t>
      </w:r>
      <w:r>
        <w:t xml:space="preserve"> https://doi.org/10.1680/jener.19.00051</w:t>
      </w:r>
    </w:p>
    <w:p>
      <w:pPr/>
      <w:r>
        <w:t>Original wording (abstract; indexed_source_text_not_full_document_verified): The pathways to 2050 focus on the power sector, including the potential for increasing the use of low-emissions electricity for heating and transport. All three pathways are appraised in terms of their environmental performance using complementary life-cycle assessment and footprinting methods.</w:t>
      </w:r>
    </w:p>
    <w:p>
      <w:pPr/>
      <w:r>
        <w:rPr>
          <w:b/>
        </w:rPr>
        <w:t>POSSIBLE 2026:</w:t>
      </w:r>
      <w:r>
        <w:t xml:space="preserve"> Gender Norms and Leadership Exclusion with a Focus on Women’s Pathways to Power in Southern Nigeria — https://openalex.org/W7216889169</w:t>
      </w:r>
    </w:p>
    <w:p>
      <w:pPr/>
      <w:r>
        <w:rPr>
          <w:b/>
        </w:rPr>
        <w:t>Shared claim-specific concepts:</w:t>
      </w:r>
      <w:r>
        <w:t xml:space="preserve"> pathways, focus, power; EU scope not established. This is a provisional connection, not an outcome finding.</w:t>
      </w:r>
    </w:p>
    <w:p>
      <w:pPr>
        <w:pStyle w:val="SourceNote"/>
      </w:pPr>
      <w:r>
        <w:rPr>
          <w:b/>
        </w:rPr>
        <w:t>Available abstract (not full text):</w:t>
      </w:r>
      <w:r>
        <w:t xml:space="preserve"> Women’s participation in leadership in Southern Nigeria remains severely constrained despite gains in education, economic engagement, and civic involvement. This study examines how social norms and patriarchal structures limit women’s access to leadership across family, community, religious, and workplace contexts in Ebonyi and Cross River States. Using qualitative data from 20 Key Informant Interviews, the study explores both men’s and women’s perceptions of female leadership, with particular attention to how women themselves reinforce restrictive gender norms. Findings reveal that leadership is widely coded as masculine, and women frequently act as gatekeepers, policing the ambitions of other women and discouraging leadership aspirations to maintain social conformity and uphold patriarchal hierarchies. The Women-Against-Women Theory of Harmful Cultural Practices (WAW-HCP) is applied as a supporting lens to interpret these intra-gender dynamics. The study highlights the relational and normative barriers that perpetuate women’s exclusion from leadership and underscores the need for interventions that address women’s role as enforcers of restrictive norms.</w:t>
      </w:r>
    </w:p>
    <w:p>
      <w:pPr/>
      <w:r>
        <w:rPr>
          <w:b/>
        </w:rPr>
        <w:t>POSSIBLE 2026:</w:t>
      </w:r>
      <w:r>
        <w:t xml:space="preserve"> The G20 in Focus: An Anthology of African Analyses, Priorities, and Pathways — https://doi.org/10.36615/9781997468950</w:t>
      </w:r>
    </w:p>
    <w:p>
      <w:pPr/>
      <w:r>
        <w:rPr>
          <w:b/>
        </w:rPr>
        <w:t>Shared claim-specific concepts:</w:t>
      </w:r>
      <w:r>
        <w:t xml:space="preserve"> pathways, focus, power; EU scope not established. This is a provisional connection, not an outcome finding.</w:t>
      </w:r>
    </w:p>
    <w:p>
      <w:pPr>
        <w:pStyle w:val="SourceNote"/>
      </w:pPr>
      <w:r>
        <w:rPr>
          <w:b/>
        </w:rPr>
        <w:t>Available abstract (not full text):</w:t>
      </w:r>
      <w:r>
        <w:t xml:space="preserve"> It gives me great pleasure to write the foreword to this timely and thought-provoking anthology, The G20 in Focus: An Anthology of African Analyses, Priorities, and Pathways. This publication, undertaken through the Democracy Development Program (DDP), comes at a critical moment in global history, one marked by uncertainty, transformation, and the redefinition of power relations in international governance. As South Africa assumes the chairship of the Group of Twenty (G20) and the African Union secures a permanent seat within this influential forum, the need for Africa to articulate its voice, vision, and values on the global stage has never been more urgent.</w:t>
      </w:r>
    </w:p>
    <w:p>
      <w:pPr/>
      <w:r>
        <w:rPr>
          <w:b/>
        </w:rPr>
        <w:t>POSSIBLE 2026:</w:t>
      </w:r>
      <w:r>
        <w:t xml:space="preserve"> The Kynurenine Pathway in Tuberculosis: Focus on Immunometabolic Regulation, Compartment-Specific Biology, and Therapeutic Potential — https://doi.org/10.3390/life16081350</w:t>
      </w:r>
    </w:p>
    <w:p>
      <w:pPr/>
      <w:r>
        <w:rPr>
          <w:b/>
        </w:rPr>
        <w:t>Shared claim-specific concepts:</w:t>
      </w:r>
      <w:r>
        <w:t xml:space="preserve"> pathways, focus, including, potential, assessment; EU scope not established. This is a provisional connection, not an outcome finding.</w:t>
      </w:r>
    </w:p>
    <w:p>
      <w:pPr>
        <w:pStyle w:val="SourceNote"/>
      </w:pPr>
      <w:r>
        <w:rPr>
          <w:b/>
        </w:rPr>
        <w:t>Available abstract (not full text):</w:t>
      </w:r>
      <w:r>
        <w:t xml:space="preserve"> Tuberculosis (TB) remains a global health problem, and attention is focused on host immunometabolic pathways influencing antimicrobial immunity, tissue injury, and treatment response. This comprehensive review integrates evidence on the kynurenine pathway (KP) of tryptophan (TRP) metabolism in TB and evaluates its potential as a host-directed therapeutic target. Evidence from human cohorts, in vitro systems, animal models, and non-human primates indicates that Mycobacterium tuberculosis activates the KP across myeloid, antigen-presenting, non-hematopoietic lung, granulomatous, pleural, and central nervous system compartments. KP activation is shaped by interferon-γ signaling, mycobacterial burden, infection duration, strain virulence, and host regulatory mechanisms. Increased indoleamine 2,3-dioxygenase-related (IDO) activity, TRP depletion, kynurenine accumulation, and kynurenine–aryl hydrocarbon receptor (AhR) signaling are associated with impaired T-cell proliferation and recruitment, suppressive myeloid phenotypes, and spatially restricted immunoregulatory niches within granulomas. Accumulated data indicate context-dependent protective effects of the KP manipulations, through restriction of excessive inflammation. Furthermore, the KP-related changes may have biomarker value. Integrated assessment of enzyme expression, kynurenine-to-tryptophan ratio (K/T ratio), downstream m</w:t>
      </w:r>
    </w:p>
    <w:p>
      <w:pPr/>
      <w:r>
        <w:rPr>
          <w:b/>
        </w:rPr>
        <w:t>POSSIBLE 2026:</w:t>
      </w:r>
      <w:r>
        <w:t xml:space="preserve"> Decarbonization Pathways for Offshore Oil Power Systems: The Case of Saudi Arabia — https://doi.org/10.30573/ks--2026-dp24</w:t>
      </w:r>
    </w:p>
    <w:p>
      <w:pPr/>
      <w:r>
        <w:rPr>
          <w:b/>
        </w:rPr>
        <w:t>Shared claim-specific concepts:</w:t>
      </w:r>
      <w:r>
        <w:t xml:space="preserve"> pathways, focus, power, assessment; EU scope not established. This is a provisional connection, not an outcome finding.</w:t>
      </w:r>
    </w:p>
    <w:p>
      <w:pPr>
        <w:pStyle w:val="SourceNote"/>
      </w:pPr>
      <w:r>
        <w:rPr>
          <w:b/>
        </w:rPr>
        <w:t>Available abstract (not full text):</w:t>
      </w:r>
      <w:r>
        <w:t xml:space="preserve"> Decarbonizing offshore oil production platforms is a viable option to lower product-level carbon intensity, which is increasingly linked to market access and long-term competitiveness. This study provides a techno-economic assessment of alternative low-carbon power supply pathways for offshore oil platform operations, with a focus on major offshore fields operated by Saudi Aramco. We develop KAPSARC Offshore Oil and Gas Power Load (KAP-LOAD) – a physics-based, bottom-up framework that constructs field-specific electrical demand profiles from core offshore processes.</w:t>
      </w:r>
    </w:p>
    <w:p>
      <w:pPr/>
      <w:r>
        <w:rPr>
          <w:b/>
        </w:rPr>
        <w:t>POSSIBLE 2026:</w:t>
      </w:r>
      <w:r>
        <w:t xml:space="preserve"> Synchronization Pathways and Resilience in Power Grids — https://doi.org/10.48550/arxiv.2609.00910</w:t>
      </w:r>
    </w:p>
    <w:p>
      <w:pPr/>
      <w:r>
        <w:rPr>
          <w:b/>
        </w:rPr>
        <w:t>Shared claim-specific concepts:</w:t>
      </w:r>
      <w:r>
        <w:t xml:space="preserve"> pathways, power, potential; EU scope visible. This is a provisional connection, not an outcome finding.</w:t>
      </w:r>
    </w:p>
    <w:p>
      <w:pPr>
        <w:pStyle w:val="SourceNote"/>
      </w:pPr>
      <w:r>
        <w:rPr>
          <w:b/>
        </w:rPr>
        <w:t>Available abstract (not full text):</w:t>
      </w:r>
      <w:r>
        <w:t xml:space="preserve"> Ensuring a sustainable energy supply requires maintaining power-grid stability. Rotor dynamics are governed by the swing equation, which takes the form of a second-order Kuramoto model with a correlation between power and total coupling strength. Yet the microscopic mechanisms that nucleate and propagate synchronized clusters remain poorly understood. Using a minimal model motivated by empirical grid data and the \Adhoc potential method, we reveal two distinct seed cluster types and propagation pathways: a population-driven seed cluster at the center of the power distribution propagating to its tails by rotor accretion, and, for a symmetric distribution, coupling-driven seed clusters at its tails propagating inward to the center by cluster merger. These differences generate distinct order-parameter patterns, while inertia controls whether the seed clusters persist with distinct angular velocities. The same propagation pathways also govern recovery following external disturbances. We further confirm that the same selection--persistence rule holds in data-derived annealed representations of European power grids. Therefore, our results can inform strategies for sustaining stable power-grid operation. More generally, our pathway-based framework reframes synchronization by emphasizing the dynamics of cluster formation and recovery rather than relying solely on static criteria.</w:t>
      </w:r>
    </w:p>
    <w:p>
      <w:pPr/>
      <w:r>
        <w:rPr>
          <w:b/>
        </w:rPr>
        <w:t>POSSIBLE 2025:</w:t>
      </w:r>
      <w:r>
        <w:t xml:space="preserve"> Pathways to Power — https://doi.org/10.4324/9781003413820-25</w:t>
      </w:r>
    </w:p>
    <w:p>
      <w:pPr/>
      <w:r>
        <w:rPr>
          <w:b/>
        </w:rPr>
        <w:t>Shared claim-specific concepts:</w:t>
      </w:r>
      <w:r>
        <w:t xml:space="preserve"> pathways, power, potential, increasing; EU scope not established. This is a provisional connection, not an outcome finding.</w:t>
      </w:r>
    </w:p>
    <w:p>
      <w:pPr>
        <w:pStyle w:val="SourceNote"/>
      </w:pPr>
      <w:r>
        <w:rPr>
          <w:b/>
        </w:rPr>
        <w:t>Available abstract (not full text):</w:t>
      </w:r>
      <w:r>
        <w:t xml:space="preserve"> This chapter presents a comprehensive analysis of the transformations taking place within the Kilosa Ilparakuyo Maasai community in Tanzania, focusing on the progress made by Maasai women. The Maasai, who traditionally lived in a male-dominated society, are presently undergoing a significant cultural change driven by the complex interaction between increasing religious devotion and economic prospects. The chapter emphasises the positive influence of Pentecostalism on Ilparakuyo Maasai women. It explores the significance of religion in interrogating traditional norms, fostering women’s empowerment and enabling them to exercise their rights and pursue alternative livelihoods. To examine the complexities between religion and empowerment, the chapter utilises Naila Kabeer’s framework, which encompasses the notions of agency, resources, and accomplishments. It argues that the increasing agency and resource accessibility of Maasai women not only aligns with Kabeer’s theory but also expands its relevance. This chapter presents unique perspectives on the dynamics between genders, their acquisition of power, and their implications for society in pastoral communities. It highlights the potential of religious beliefs and infrastructure projects to drive substantial progress towards an equitable future.</w:t>
      </w:r>
    </w:p>
    <w:p>
      <w:pPr/>
      <w:r>
        <w:rPr>
          <w:b/>
        </w:rPr>
        <w:t>POSSIBLE 2025:</w:t>
      </w:r>
      <w:r>
        <w:t xml:space="preserve"> Wide-bandgap semiconductors and power electronics as pathways to carbon neutrality — https://doi.org/10.1038/s44287-024-00135-5</w:t>
      </w:r>
    </w:p>
    <w:p>
      <w:pPr/>
      <w:r>
        <w:rPr>
          <w:b/>
        </w:rPr>
        <w:t>Shared claim-specific concepts:</w:t>
      </w:r>
      <w:r>
        <w:t xml:space="preserve"> pathways, power;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Colorado Power Pathway: 0 to 600 Miles in 7 Years Flat — https://doi.org/10.1061/9780784486542.002</w:t>
      </w:r>
    </w:p>
    <w:p>
      <w:pPr/>
      <w:r>
        <w:rPr>
          <w:b/>
        </w:rPr>
        <w:t>Shared claim-specific concepts:</w:t>
      </w:r>
      <w:r>
        <w:t xml:space="preserve"> focus, power, all, three; EU scope not established. This is a provisional connection, not an outcome finding.</w:t>
      </w:r>
    </w:p>
    <w:p>
      <w:pPr>
        <w:pStyle w:val="SourceNote"/>
      </w:pPr>
      <w:r>
        <w:rPr>
          <w:b/>
        </w:rPr>
        <w:t>Available abstract (not full text):</w:t>
      </w:r>
      <w:r>
        <w:t xml:space="preserve"> The Colorado Power Pathway is a $1.7 billion investment in 600 miles of double circuit 345 kV transmission lines in eastern Colorado which will connect four new and three upgraded substations. The new transmission lines will create a networked path to integrate 4,000 MW of new renewable energy resources and distribute them to load centers on the Front Range. Xcel Energy will own and operate all of the transmission lines and substations. This paper will discuss the project inception and Certificate of Public Convenience and Necessity process, the route development and public outreach, and the project execution with a focus on how early engineering involvement and preliminary design efforts helped meet the aggressive project timeline. In parallel with route development a preliminary design stage included development of an all-encompassing 345 kV structure family. This structure family development included constructability reviews, cost saving evaluations, and finalization of all steel structure calculations and fabrication drawings. The structure family also included material selection for hot-line replacement. Foundation design included full length anchor bolt concrete piers as well as vibratory caissons.</w:t>
      </w:r>
    </w:p>
    <w:p>
      <w:pPr/>
      <w:r>
        <w:rPr>
          <w:b/>
        </w:rPr>
        <w:t>POSSIBLE 2024:</w:t>
      </w:r>
      <w:r>
        <w:t xml:space="preserve"> Biomass power generation: A pathway to carbon neutrality — https://doi.org/10.1016/j.scitotenv.2024.173080</w:t>
      </w:r>
    </w:p>
    <w:p>
      <w:pPr/>
      <w:r>
        <w:rPr>
          <w:b/>
        </w:rPr>
        <w:t>Shared claim-specific concepts:</w:t>
      </w:r>
      <w:r>
        <w:t xml:space="preserve"> power;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Therapeutic Potential of Targeting the JAK/STAT Pathway in Psoriasis: Focus on TYK2 Inhibition — https://doi.org/10.3390/jcm13113091</w:t>
      </w:r>
    </w:p>
    <w:p>
      <w:pPr/>
      <w:r>
        <w:rPr>
          <w:b/>
        </w:rPr>
        <w:t>Shared claim-specific concepts:</w:t>
      </w:r>
      <w:r>
        <w:t xml:space="preserve"> pathways, focus, including, potential, use; EU scope not established. This is a provisional connection, not an outcome finding.</w:t>
      </w:r>
    </w:p>
    <w:p>
      <w:pPr>
        <w:pStyle w:val="SourceNote"/>
      </w:pPr>
      <w:r>
        <w:rPr>
          <w:b/>
        </w:rPr>
        <w:t>Available abstract (not full text):</w:t>
      </w:r>
      <w:r>
        <w:t xml:space="preserve"> Psoriasis is an inflammatory skin disease with a chronic relapsing course and an often-detrimental impact on patients' quality of life. Thanks to incredible advances in research over the past few decades, the therapeutic armamentarium of psoriasis is now reasonably broad and structured, with several therapeutic agents that have demonstrated successful long-term control of this condition. However, there are still unfulfilled gaps resulting from the inherent limitations of existing therapies, which have paved the way for the identification of new therapeutic strategies or the improvement of existing ones. A great deal of attention has recently been paid to the JAK/STAT pathway, playing a crucial role in chronic inflammatory skin diseases, including psoriasis. Indeed, in a disease with such a complex pathogenesis, the possibility to antagonize multiple molecular pathways via JAK/STAT inhibition offers an undeniable therapeutic advantage. However, data from clinical trials evaluating the use of oral JAK inhibitors in immune-mediated disorders, such as RA, have arisen safety concerns, suggesting a potentially increased risk of class-specific AEs such as infections, venous thromboembolism, and malignancies. New molecules are currently under investigation for the treatment of psoriasis, such as deucravacitinib, an oral selective inhibitor that binds to the regulatory domain of TYK2, b</w:t>
      </w:r>
    </w:p>
    <w:p>
      <w:pPr/>
      <w:r>
        <w:rPr>
          <w:b/>
        </w:rPr>
        <w:t>POSSIBLE 2024:</w:t>
      </w:r>
      <w:r>
        <w:t xml:space="preserve"> Potential therapies for HCC involving targeting the ferroptosis pathway — https://doi.org/10.62347/sigp9279</w:t>
      </w:r>
    </w:p>
    <w:p>
      <w:pPr/>
      <w:r>
        <w:rPr>
          <w:b/>
        </w:rPr>
        <w:t>Shared claim-specific concepts:</w:t>
      </w:r>
      <w:r>
        <w:t xml:space="preserve"> pathways, focus, including, potential, increasing; EU scope not established. This is a provisional connection, not an outcome finding.</w:t>
      </w:r>
    </w:p>
    <w:p>
      <w:pPr>
        <w:pStyle w:val="SourceNote"/>
      </w:pPr>
      <w:r>
        <w:rPr>
          <w:b/>
        </w:rPr>
        <w:t>Available abstract (not full text):</w:t>
      </w:r>
      <w:r>
        <w:t xml:space="preserve"> Liver cancer ranks as the third leading cause of cancer-related mortality worldwide, predominantly in the form of hepatocellular carcinoma (HCC). Conventional detection and treatment approaches have proven inadequate for addressing the elevated incidence and mortality rates associated with HCC. However, a significant body of research suggests that combating HCC through the induction of ferroptosis is possible. Ferroptosis is a regulated cell death process characterized by elevated levels of reactive oxygen species (ROS) and lipid peroxide accumulation, both of which are dependent on iron levels. In recent years, there has been an increasing focus on investigating ferroptosis, revealing its potential as an inhibitory mechanism against various diseases, including tumors. Therefore, ferroptosis induction holds great promise for treating multiple types of cancers, including HCC. This article provides a review of the key mechanisms involved in ferroptosis and explores the potential application of multiple targets and pathways associated with ferroptosis in HCC treatment to improve therapeutic outcomes.</w:t>
      </w:r>
    </w:p>
    <w:p>
      <w:pPr/>
      <w:r>
        <w:rPr>
          <w:b/>
        </w:rPr>
        <w:t>POSSIBLE 2024:</w:t>
      </w:r>
      <w:r>
        <w:t xml:space="preserve"> The Role of Curcumin in Cancer: A Focus on the PI3K/Akt Pathway — https://doi.org/10.3390/cancers16081554</w:t>
      </w:r>
    </w:p>
    <w:p>
      <w:pPr/>
      <w:r>
        <w:rPr>
          <w:b/>
        </w:rPr>
        <w:t>Shared claim-specific concepts:</w:t>
      </w:r>
      <w:r>
        <w:t xml:space="preserve"> focus, including, potential; EU scope not established. This is a provisional connection, not an outcome finding.</w:t>
      </w:r>
    </w:p>
    <w:p>
      <w:pPr>
        <w:pStyle w:val="SourceNote"/>
      </w:pPr>
      <w:r>
        <w:rPr>
          <w:b/>
        </w:rPr>
        <w:t>Available abstract (not full text):</w:t>
      </w:r>
      <w:r>
        <w:t xml:space="preserve"> Cancer is a life-threatening disease and one of the leading causes of death worldwide. Despite significant advancements in therapeutic options, most available anti-cancer agents have limited efficacy. In this context, natural compounds with diverse chemical structures have been investigated for their multimodal anti-cancer properties. Curcumin is a polyphenol isolated from the rhizomes of Curcuma longa and has been widely studied for its anti-inflammatory, anti-oxidant, and anti-cancer effects. Curcumin acts on the regulation of different aspects of cancer development, including initiation, metastasis, angiogenesis, and progression. The phosphatidylinositol-3-kinase (PI3K)/protein kinase B (AKT) pathway is a key target in cancer therapy, since it is implicated in initiation, proliferation, and cancer cell survival. Curcumin has been found to inhibit the PI3K/Akt pathway in tumor cells, primarily via the regulation of different key mediators, including growth factors, protein kinases, and cytokines. This review presents the therapeutic potential of curcumin in different malignancies, such as glioblastoma, prostate and breast cancer, and head and neck cancers, through the targeting of the PI3K/Akt signaling pathway.</w:t>
      </w:r>
    </w:p>
    <w:p>
      <w:pPr>
        <w:pStyle w:val="Heading2"/>
      </w:pPr>
      <w:r>
        <w:t>686. Spatial Simulation of Codesigned Land Cover Change Scenarios in New England: Alternative Futures and Their Consequences for Conservation Priorities</w:t>
      </w:r>
    </w:p>
    <w:p>
      <w:pPr>
        <w:pStyle w:val="SourceNote"/>
      </w:pPr>
      <w:r>
        <w:rPr>
          <w:b/>
        </w:rPr>
        <w:t>Original source (2020):</w:t>
      </w:r>
      <w:r>
        <w:t xml:space="preserve"> https://doi.org/10.1029/2019ef001348</w:t>
      </w:r>
    </w:p>
    <w:p>
      <w:pPr/>
      <w:r>
        <w:t>Original wording (abstract; indexed_source_text_not_full_document_verified): ABSTRACT To help prepare for an uncertain future, planners and scientists often engage with stakeholders to co-design alternative scenarios of land-use change. The four alternative scenarios populate a quadrant of future conditions that crosses high to low natural resource planning and innovation with local to global socio-economic connectedness.</w:t>
      </w:r>
    </w:p>
    <w:p>
      <w:pPr/>
      <w:r>
        <w:rPr>
          <w:b/>
        </w:rPr>
        <w:t>POSSIBLE 2026:</w:t>
      </w:r>
      <w:r>
        <w:t xml:space="preserve"> Preparing to Prepare a Manuscript — https://doi.org/10.1097/nur.0000000000000973</w:t>
      </w:r>
    </w:p>
    <w:p>
      <w:pPr/>
      <w:r>
        <w:rPr>
          <w:b/>
        </w:rPr>
        <w:t>Shared claim-specific concepts:</w:t>
      </w:r>
      <w:r>
        <w:t xml:space="preserve"> help, prepare, often; EU scope not established. This is a provisional connection, not an outcome finding.</w:t>
      </w:r>
    </w:p>
    <w:p>
      <w:pPr>
        <w:pStyle w:val="SourceNote"/>
      </w:pPr>
      <w:r>
        <w:rPr>
          <w:b/>
        </w:rPr>
        <w:t>Available abstract (not full text):</w:t>
      </w:r>
      <w:r>
        <w:t xml:space="preserve"> Manuscripts have their origins in scholarly initiatives such as clinical improvement projects, protocol development, research studies, policy initiatives, and school-based assignments. Colleagues, administrators, and faculty members are among the voices encouraging advanced practice nurses to publish their clinical work outcomes. Dissemination of clinically focused works adds to a body of knowledge about nursing practice; encouraging publication is a positive overture. However, many clinically focused manuscripts are developed by new authors who lack a mentor, that is, someone with experience in preparing, submitting, and publishing scholarly works, which places the novice author at a decided disadvantage. The work itself may have merit, but finding the right perspective, audience, tone, and emphasis takes finesse. In 2025, this journal published an article by Leslie Nicoll1 in which she discussed considerations in publishing an academic paper. Many of the same considerations addressed in that article apply to publishing clinical initiatives. Like a school assignment is designed to meet specific learning objectives, clinical initiatives are conducted to address a defined problem in the context of a practice setting. The purpose and process of a clinical initiative may differ from the requirements of a journal article. And too often clinical initiatives begin without a written p</w:t>
      </w:r>
    </w:p>
    <w:p>
      <w:pPr/>
      <w:r>
        <w:rPr>
          <w:b/>
        </w:rPr>
        <w:t>POSSIBLE 2026:</w:t>
      </w:r>
      <w:r>
        <w:t xml:space="preserve"> A Scientist Just Like Me — https://doi.org/10.5539/hes.v16n3p586</w:t>
      </w:r>
    </w:p>
    <w:p>
      <w:pPr/>
      <w:r>
        <w:rPr>
          <w:b/>
        </w:rPr>
        <w:t>Shared claim-specific concepts:</w:t>
      </w:r>
      <w:r>
        <w:t xml:space="preserve"> help, scientists, often, resource; EU scope not established. This is a provisional connection, not an outcome finding.</w:t>
      </w:r>
    </w:p>
    <w:p>
      <w:pPr>
        <w:pStyle w:val="SourceNote"/>
      </w:pPr>
      <w:r>
        <w:rPr>
          <w:b/>
        </w:rPr>
        <w:t>Available abstract (not full text):</w:t>
      </w:r>
      <w:r>
        <w:t xml:space="preserve"> Children’s perceptions of science and scientists are formed at an early age and could influence engagement and confidence in science and future career choices. Unfortunately, these perceptions often remain narrow and stereotyped, particularly portraying scientists as white, male, laboratory‑based and historically distant figures. This paper presents a resource and preliminary evaluation of A Scientist Just Like Me (ASJLM), that aimed to address these misconceptions using diverse, contemporary and relatable science role models. ASJLM seeks to help pupils connect science to their own lives, experiences and values. 64 scientist profiles were developed, representing diversity in gender, ethnicity, disability, discipline, career route and sector. Profile narratives highlight personal interests, career journeys, challenges faced and transferable skills such as curiosity, collaboration and resilience. Preliminary classroom workshops conducted in six UK primary schools with approximately 500 pupils indicate that children initially held strongly gendered and limited views of scientists. Engagement with this resource broadened pupils’ understanding of who scientists are, what they do, and the skills required to work in science, with teachers reporting increased participation and confidence, particularly among girls. Findings suggest that intentional exposure to diverse role models in pri</w:t>
      </w:r>
    </w:p>
    <w:p>
      <w:pPr/>
      <w:r>
        <w:rPr>
          <w:b/>
        </w:rPr>
        <w:t>POSSIBLE 2026:</w:t>
      </w:r>
      <w:r>
        <w:t xml:space="preserve"> Blue Justice: diverging perceptions between coastal planners and fishers in the blue economy — https://doi.org/10.1007/s11625-026-01868-y</w:t>
      </w:r>
    </w:p>
    <w:p>
      <w:pPr/>
      <w:r>
        <w:rPr>
          <w:b/>
        </w:rPr>
        <w:t>Shared claim-specific concepts:</w:t>
      </w:r>
      <w:r>
        <w:t xml:space="preserve"> abstract, planners, often, local; EU scope visible. This is a provisional connection, not an outcome finding.</w:t>
      </w:r>
    </w:p>
    <w:p>
      <w:pPr>
        <w:pStyle w:val="SourceNote"/>
      </w:pPr>
      <w:r>
        <w:rPr>
          <w:b/>
        </w:rPr>
        <w:t>Available abstract (not full text):</w:t>
      </w:r>
      <w:r>
        <w:t xml:space="preserve"> Abstract Growth in blue industries require heightened attention to justice in coastal governance. However, our understanding of different societal groups’ perceptions of justice in the context of the blue economy and coastal governance is limited. To address this gap, we developed a survey instrument to assess justice perceptions for local fisheries and subsequently used this instrument to elicit justice perceptions among coastal planners and three groups of fishers (Indigenous Sami, the Kven national minority and other non-Indigenous). Specifically, we examined perceptions about coastal zone use and decision-making with respect to three key dimensions of justice: distribution (how costs and benefits are distributed), procedure (how decisions are made), and recognition (whether sociocultural diversity is recognised and respected). Based on data from 705 fishers from the three groups and 41 planners across 69 coastal municipalities in Northern Norway, we found significant differences in perceptions of justice between planners and fishers, while the groups of fishers had relatively similar perceptions. Overall, planners tended to have more favorable justice evaluations than fishers. Moreover, planners report knowledge gaps pertaining to how changes in the use of the coastal zone have impacted local fisheries. Our quantitative analysis shows that fishers’ perceptions of injustice </w:t>
      </w:r>
    </w:p>
    <w:p>
      <w:pPr/>
      <w:r>
        <w:rPr>
          <w:b/>
        </w:rPr>
        <w:t>POSSIBLE 2026:</w:t>
      </w:r>
      <w:r>
        <w:t xml:space="preserve"> Can AI Scientists Coordinate at Runtime? — https://doi.org/10.48550/arxiv.2610.00980</w:t>
      </w:r>
    </w:p>
    <w:p>
      <w:pPr/>
      <w:r>
        <w:rPr>
          <w:b/>
        </w:rPr>
        <w:t>Shared claim-specific concepts:</w:t>
      </w:r>
      <w:r>
        <w:t xml:space="preserve"> scientists, four, conditions; EU scope not established. This is a provisional connection, not an outcome finding.</w:t>
      </w:r>
    </w:p>
    <w:p>
      <w:pPr>
        <w:pStyle w:val="SourceNote"/>
      </w:pPr>
      <w:r>
        <w:rPr>
          <w:b/>
        </w:rPr>
        <w:t>Available abstract (not full text):</w:t>
      </w:r>
      <w:r>
        <w:t xml:space="preserve"> Multi-agent AI scientists have shown improving performance across a diverse range of tasks. Yet a common approach is design-time agentic orchestration, which typically relies on fixed workflows. In contrast, human scientists coordinate and adjust their division of labor at runtime. We therefore ask: can AI scientists also coordinate at runtime? To this end, we introduce Runtime Agent Coordination (RAC), which selects agents from existing AI-scientist hosts during execution, assigns scoped work contracts, and provides artifact-grounded verification. Verification informs subsequent agents without blocking transitions or discarding artifacts. We conduct a single-seed exploratory evaluation across Agent Laboratory, EvoScientist, and ARK on ResearchClawBench, preserving host models, tools, and permissions under host-calibrated budgets. Four cumulative conditions separate native execution, runtime communication, runtime selection, and the combined addition of contracts and verification. Runtime selection yields the highest observed mean score for each host; adding contracts and verification reduces these means, with host-dependent outcomes relative to native execution. These results motivate runtime coordination while exposing the limits of additional coordination mechanisms under constrained budgets. Code is available at https://github.com/systemind-team/Runtime-AI-Scientist.</w:t>
      </w:r>
    </w:p>
    <w:p>
      <w:pPr/>
      <w:r>
        <w:rPr>
          <w:b/>
        </w:rPr>
        <w:t>POSSIBLE 2026:</w:t>
      </w:r>
      <w:r>
        <w:t xml:space="preserve"> Preparing Students for Nuclear Science: Identity Development in a Preinternship Course — https://doi.org/10.1021/acsomega.6c08686</w:t>
      </w:r>
    </w:p>
    <w:p>
      <w:pPr/>
      <w:r>
        <w:rPr>
          <w:b/>
        </w:rPr>
        <w:t>Shared claim-specific concepts:</w:t>
      </w:r>
      <w:r>
        <w:t xml:space="preserve"> abstract, help, prepare, engage; EU scope not established. This is a provisional connection, not an outcome finding.</w:t>
      </w:r>
    </w:p>
    <w:p>
      <w:pPr>
        <w:pStyle w:val="SourceNote"/>
      </w:pPr>
      <w:r>
        <w:rPr>
          <w:b/>
        </w:rPr>
        <w:t>Available abstract (not full text):</w:t>
      </w:r>
      <w:r>
        <w:t xml:space="preserve"> Abstract Undergraduate research experiences (UREs) and internships provide students with opportunities to engage in authentic scientific practices, yet less is known about how students are best prepared to enter these intense research environments. This study examined students’ experiences in a nuclear chemistry course designed to prepare them for a summer internship at a national laboratory. Using Hyater-Adams et al.’s Critical Physics Identity framework, adapted to the context of experimental nuclear science, we analyzed semistructured interviews from five undergraduate students. Findings indicate that the instructor, peer cohort, and field trips served as important relational and material resources; however, students did not interpret these resources uniformly. Rather, prior experiences, confidence, and self-doubt shaped how students engaged with and made meaning of shared course experiences. Consequently, the same course structures affected identity development in ways that were unique to each student. The adapted framework provided a lens for understanding how students differentially interpreted ideational, relational, and material resources as they developed identities in relation to nuclear science. These findings suggest that courses designed to prepare students for research experiences should incorporate regular check-ins and mentoring structures that help students nav</w:t>
      </w:r>
    </w:p>
    <w:p>
      <w:pPr/>
      <w:r>
        <w:rPr>
          <w:b/>
        </w:rPr>
        <w:t>POSSIBLE 2025:</w:t>
      </w:r>
      <w:r>
        <w:t xml:space="preserve"> When Disaster Strikes, Area Agencies on Aging Help Older Adults Prepare and Respond — https://doi.org/10.1093/geroni/igaf122.4324</w:t>
      </w:r>
    </w:p>
    <w:p>
      <w:pPr/>
      <w:r>
        <w:rPr>
          <w:b/>
        </w:rPr>
        <w:t>Shared claim-specific concepts:</w:t>
      </w:r>
      <w:r>
        <w:t xml:space="preserve"> abstract, help, prepare, natural, planning; EU scope not established. This is a provisional connection, not an outcome finding.</w:t>
      </w:r>
    </w:p>
    <w:p>
      <w:pPr>
        <w:pStyle w:val="SourceNote"/>
      </w:pPr>
      <w:r>
        <w:rPr>
          <w:b/>
        </w:rPr>
        <w:t>Available abstract (not full text):</w:t>
      </w:r>
      <w:r>
        <w:t xml:space="preserve"> Abstract Global climate change has increased the frequency and intensity of natural disasters, which can have a disproportionate impact on older adults. According to data from a new module in the 2025 National Survey of Area Agencies on Aging (72% response rate) 65% of AAAs reported that a community within their service area has experienced a significant emergency or disaster within the past five years. This presentation will share nationally-representative data about the ways in which AAAs support older adults to prepare for emergencies, help the community prepare to respond to consumers, and ensure consumer safety. AAAs support individual emergency preparedness through providing educational resources (67%), addressing emergency preparedness as a standard part of the care planning process (45%), and maintaining a prioritized consumer registry (44%). AAAs also helps the community prepare to respond to consumer needs during disasters: 63% are involved in emergency planning collaboratives, 47% require providers to have emergency response plans in place, 45% are in regular two-way communication with EMS. The data will be supported by case examples describing how AAA emergency preparedness and response plays out before, during and after a natural disaster, including lessons learned.</w:t>
      </w:r>
    </w:p>
    <w:p>
      <w:pPr/>
      <w:r>
        <w:rPr>
          <w:b/>
        </w:rPr>
        <w:t>POSSIBLE 2025:</w:t>
      </w:r>
      <w:r>
        <w:t xml:space="preserve"> Prepare Your Lessons — https://doi.org/10.1093/oso/9780197631430.003.0005</w:t>
      </w:r>
    </w:p>
    <w:p>
      <w:pPr/>
      <w:r>
        <w:rPr>
          <w:b/>
        </w:rPr>
        <w:t>Shared claim-specific concepts:</w:t>
      </w:r>
      <w:r>
        <w:t xml:space="preserve"> abstract, help, prepare, planning; EU scope not established. This is a provisional connection, not an outcome finding.</w:t>
      </w:r>
    </w:p>
    <w:p>
      <w:pPr>
        <w:pStyle w:val="SourceNote"/>
      </w:pPr>
      <w:r>
        <w:rPr>
          <w:b/>
        </w:rPr>
        <w:t>Available abstract (not full text):</w:t>
      </w:r>
      <w:r>
        <w:t xml:space="preserve"> Abstract In elementary music class, students learn musical skills, not just facts. Teachers build these skills by modeling, communicating clearly, and assessing student progress. This chapter explores how to organize lesson plans, prepare lessons for different age groups, and ensure smooth delivery. It emphasizes the importance of practicing lessons before teaching and reflecting on what worked afterward. The chapter introduces a structured approach to lesson planning, balancing engaging activities with clear learning objectives. Strategies for effective transitions, classroom management, and student engagement are discussed, helping teachers create lessons that flow smoothly. The importance of using concise instruction, modeling rather than overexplaining, and listening more than speaking is also highlighted. By focusing on well-prepared and thoughtful instruction, teachers can maximize student learning and create a positive, productive classroom environment. Checklists and practical suggestions help teachers refine their approach and continuously improve their teaching.</w:t>
      </w:r>
    </w:p>
    <w:p>
      <w:pPr/>
      <w:r>
        <w:rPr>
          <w:b/>
        </w:rPr>
        <w:t>POSSIBLE 2025:</w:t>
      </w:r>
      <w:r>
        <w:t xml:space="preserve"> Can AI help authors prepare better risk science manuscripts? — https://doi.org/10.1111/risa.70055</w:t>
      </w:r>
    </w:p>
    <w:p>
      <w:pPr/>
      <w:r>
        <w:rPr>
          <w:b/>
        </w:rPr>
        <w:t>Shared claim-specific concepts:</w:t>
      </w:r>
      <w:r>
        <w:t xml:space="preserve"> abstract, help, prepare, scientists, four; EU scope not established. This is a provisional connection, not an outcome finding.</w:t>
      </w:r>
    </w:p>
    <w:p>
      <w:pPr>
        <w:pStyle w:val="SourceNote"/>
      </w:pPr>
      <w:r>
        <w:rPr>
          <w:b/>
        </w:rPr>
        <w:t>Available abstract (not full text):</w:t>
      </w:r>
      <w:r>
        <w:t xml:space="preserve"> Scientists, publishers, and journal editors are wondering how, whether, and to what extent artificial intelligence (AI) tools might soon help to advance the rigor, efficiency, and value of scientific peer review. Will AI provide timely, useful feedback that helps authors improve their manuscripts while avoiding the biases and inconsistencies of human reviewers? Or might it instead generate low-quality verbiage, add noise and errors, reinforce flawed reasoning, and erode trust in the review process? This perspective reports on evaluations of two experimental AI systems: (i) a "Screener" available at http://screener.riskanalysis.cloud/ that gives authors feedback on whether a draft paper (or abstract, proposal, etc.) appears to be a fit for the journal Risk Analysis, based on the guidance to authors provided by the journal (https://www.sra.org/journal/what-makes-a-good-risk-analysis-article/); and (ii) a more ambitious "Reviewer" (http://aia1.moirai-solutions.com/) that gives substantive technical feedback and recommends how to improve the clarity of methodology and the interpretation of results. The evaluations were conducted by a convenience sample of Risk Analysis Area Editors (AEs) and authors, including two authors of manuscripts in progress and four authors of papers that had already been published. The Screener was generally rated as useful. It has been deployed at Risk An</w:t>
      </w:r>
    </w:p>
    <w:p>
      <w:pPr/>
      <w:r>
        <w:rPr>
          <w:b/>
        </w:rPr>
        <w:t>POSSIBLE 2024:</w:t>
      </w:r>
      <w:r>
        <w:t xml:space="preserve"> Preparing conservatoire students for the music education workforce: conversations with alumni — https://doi.org/10.1017/s0265051724000111</w:t>
      </w:r>
    </w:p>
    <w:p>
      <w:pPr/>
      <w:r>
        <w:rPr>
          <w:b/>
        </w:rPr>
        <w:t>Shared claim-specific concepts:</w:t>
      </w:r>
      <w:r>
        <w:t xml:space="preserve"> abstract, help, prepare; EU scope not established. This is a provisional connection, not an outcome finding.</w:t>
      </w:r>
    </w:p>
    <w:p>
      <w:pPr>
        <w:pStyle w:val="SourceNote"/>
      </w:pPr>
      <w:r>
        <w:rPr>
          <w:b/>
        </w:rPr>
        <w:t>Available abstract (not full text):</w:t>
      </w:r>
      <w:r>
        <w:t xml:space="preserve"> Abstract Higher music education institutions should continually review their curricula to ensure that their graduates are best equipped to support musical learning for children and young people. Perspectives on early careers in instrumental teaching were obtained via an alumni-led workshop and focus group at a UK conservatoire. Findings revealed that whilst extensive pedagogical training was offered, its value was not fully acknowledged across the institution and that more could be done to alleviate students’ anxieties about their developing musician identities and future stability. As new teachers, alumni are well placed to help prepare students for the professional realities of joining the music education workforce.</w:t>
      </w:r>
    </w:p>
    <w:p>
      <w:pPr/>
      <w:r>
        <w:rPr>
          <w:b/>
        </w:rPr>
        <w:t>POSSIBLE 2024:</w:t>
      </w:r>
      <w:r>
        <w:t xml:space="preserve"> What is the role of architects and urban planners in crime prevention? — https://doi.org/10.1057/s41284-024-00442-4</w:t>
      </w:r>
    </w:p>
    <w:p>
      <w:pPr/>
      <w:r>
        <w:rPr>
          <w:b/>
        </w:rPr>
        <w:t>Shared claim-specific concepts:</w:t>
      </w:r>
      <w:r>
        <w:t xml:space="preserve"> abstract, planners, planning; EU scope not established. This is a provisional connection, not an outcome finding.</w:t>
      </w:r>
    </w:p>
    <w:p>
      <w:pPr>
        <w:pStyle w:val="SourceNote"/>
      </w:pPr>
      <w:r>
        <w:rPr>
          <w:b/>
        </w:rPr>
        <w:t>Available abstract (not full text):</w:t>
      </w:r>
      <w:r>
        <w:t xml:space="preserve"> Abstract In this article, we discuss the role of urban planning professionals in situational crime prevention. We begin by examining their role as city “shapers” and the reasons behind their frequent neglect of crime-related factors in their decision-making process. We also explore why criminology tends to underestimate the influence of urban planning professionals on the urban environment, a factor crucial for effective crime prevention. To highlight the disconnection between urban planning and crime prevention, we present findings from a survey conducted with urban planners and safety experts in 290 Swedish municipalities. The article concludes with future research and practice recommendations, stressing the urgent need for improved communication and collaboration between urban shapers and environmental criminologists and a more comprehensive understanding from all parties involved.</w:t>
      </w:r>
    </w:p>
    <w:p>
      <w:pPr/>
      <w:r>
        <w:rPr>
          <w:b/>
        </w:rPr>
        <w:t>POSSIBLE 2024:</w:t>
      </w:r>
      <w:r>
        <w:t xml:space="preserve"> Preparing for Government — https://doi.org/10.1111/1467-923x.13375</w:t>
      </w:r>
    </w:p>
    <w:p>
      <w:pPr/>
      <w:r>
        <w:rPr>
          <w:b/>
        </w:rPr>
        <w:t>Shared claim-specific concepts:</w:t>
      </w:r>
      <w:r>
        <w:t xml:space="preserve"> abstract, prepare, conditions; EU scope not established. This is a provisional connection, not an outcome finding.</w:t>
      </w:r>
    </w:p>
    <w:p>
      <w:pPr>
        <w:pStyle w:val="SourceNote"/>
      </w:pPr>
      <w:r>
        <w:rPr>
          <w:b/>
        </w:rPr>
        <w:t>Available abstract (not full text):</w:t>
      </w:r>
      <w:r>
        <w:t xml:space="preserve"> Abstract This article reviews a recent report by the Institute for Government on how opposition parties in the United Kingdom should prepare for power. The article comments on the distinctive constitutional context in the UK regarding government transitions, the provisions in The Cabinet Manual on access by opposition parties to the civil service prior to a general election, how opposition parties can make effective use of these access talks, and the specific challenges facing the Labour Party as it prepares for the prospect of a change of government later in 2024. It is argued that the current guidelines in The Cabinet Manual on access talks need clarification on several crucial matters, not least the timing of their commencement during a parliamentary term, which opposition parties should be eligible to participate, and under what conditions.</w:t>
      </w:r>
    </w:p>
    <w:p>
      <w:pPr/>
      <w:r>
        <w:rPr>
          <w:b/>
        </w:rPr>
        <w:t>POSSIBLE 2024:</w:t>
      </w:r>
      <w:r>
        <w:t xml:space="preserve"> Asymmetric [3+3] Cycloaddition of N ‐Vinyl Oxindole Nitrones with 2‐Indolylmethanols to Prepare Spirooxindole[1,2]oxazines — https://doi.org/10.1002/adsc.202400533</w:t>
      </w:r>
    </w:p>
    <w:p>
      <w:pPr/>
      <w:r>
        <w:rPr>
          <w:b/>
        </w:rPr>
        <w:t>Shared claim-specific concepts:</w:t>
      </w:r>
      <w:r>
        <w:t xml:space="preserve"> abstract, help, prepare; EU scope not established. This is a provisional connection, not an outcome finding.</w:t>
      </w:r>
    </w:p>
    <w:p>
      <w:pPr>
        <w:pStyle w:val="SourceNote"/>
      </w:pPr>
      <w:r>
        <w:rPr>
          <w:b/>
        </w:rPr>
        <w:t>Available abstract (not full text):</w:t>
      </w:r>
      <w:r>
        <w:t xml:space="preserve"> Abstract We describe a chiral phosphoric acid (CPA) catalyzed asymmetric [3+3] cycloaddition of N ‐viny oxindole nitrones with 2‐indolylmethanols to prepare various spirooxindole[1,2]oxazines in 43–93% yields and 88:12–97:3 enantiomeric ratios. Experimental results revealed that the addition of hexafluoroisopropanol (HFIP) played important roles to help CPA control the reaction reactivity and enantioselectivity. The present method features the construction of a tetrasubstituted chiral carbon stereocenter and the example of N ‐vinyl nitrones in asymmetric [3+3] cycloaddition.</w:t>
      </w:r>
    </w:p>
    <w:p>
      <w:pPr>
        <w:pStyle w:val="Heading2"/>
      </w:pPr>
      <w:r>
        <w:t>687. Systemic Design for Policy-Making: Towards the Next Circular Regions</w:t>
      </w:r>
    </w:p>
    <w:p>
      <w:pPr>
        <w:pStyle w:val="SourceNote"/>
      </w:pPr>
      <w:r>
        <w:rPr>
          <w:b/>
        </w:rPr>
        <w:t>Original source (2020):</w:t>
      </w:r>
      <w:r>
        <w:t xml:space="preserve"> https://doi.org/10.3390/su12114494</w:t>
      </w:r>
    </w:p>
    <w:p>
      <w:pPr/>
      <w:r>
        <w:t>Original wording (abstract; indexed_source_text_not_full_document_verified): The vast transformation the circular economy that will occur in the upcoming years inevitably will change the EU panorama, designing new scenarios from an economical-social-environmental perspective. This paper explores the impacts of circular economy policy design processes driven by a systemic design and how this expertise could ease innovative and effective paths for policy-planning on a circular transition in EU regions.</w:t>
      </w:r>
    </w:p>
    <w:p>
      <w:pPr/>
      <w:r>
        <w:rPr>
          <w:b/>
        </w:rPr>
        <w:t>POSSIBLE 2026:</w:t>
      </w:r>
      <w:r>
        <w:t xml:space="preserve"> Business Model Innovation for Circular Transformation in the Built Environment — https://doi.org/10.1007/978-3-032-35104-3_109</w:t>
      </w:r>
    </w:p>
    <w:p>
      <w:pPr/>
      <w:r>
        <w:rPr>
          <w:b/>
        </w:rPr>
        <w:t>Shared claim-specific concepts:</w:t>
      </w:r>
      <w:r>
        <w:t xml:space="preserve"> transformation, circular, design, systemic, paths; EU scope visible. This is a provisional connection, not an outcome finding.</w:t>
      </w:r>
    </w:p>
    <w:p>
      <w:pPr>
        <w:pStyle w:val="SourceNote"/>
      </w:pPr>
      <w:r>
        <w:rPr>
          <w:b/>
        </w:rPr>
        <w:t>Available abstract (not full text):</w:t>
      </w:r>
      <w:r>
        <w:t xml:space="preserve"> The construction sector is one of the most resource-intensive industries in Europe, accounting for approximately 50% of all extracted materials and generating close to 35% of the EU’s total waste output. Despite this scale, Europe’s circular material use rate remains low at 11.8%, reflecting the systemic linearity of current production and consumption patterns. Construction and demolition waste records a high nominal recovery rate of around 89% across the EU; however, recent studies show that most recovered material is downcycled into lower-grade applications, rather than reused at high value. This paper investigates how business model innovation can accelerate the change toward a circular built environment by aligning economic incentives with material reuse, long-life design, and digital traceability. Through a structured review of empirical studies and policy analyses, we identify enabling mechanisms such as circular procurement, digital material passports, market platforms for secondary materials, and performance-based contracting. Main barriers include fragmented value chains, limited standardization for reusable components, and insufficient financial drivers for high-value recovery. Policy instruments, including green public procurement, life-cycle costing provisions, digital product information requirements, and construction and demolition waste regulation, are examined a</w:t>
      </w:r>
    </w:p>
    <w:p>
      <w:pPr/>
      <w:r>
        <w:rPr>
          <w:b/>
        </w:rPr>
        <w:t>POSSIBLE 2026:</w:t>
      </w:r>
      <w:r>
        <w:t xml:space="preserve"> From Startup Support to System Transformation: Intermediaries in Circular Entrepreneurial Ecosystems — https://doi.org/10.5445/ir/1000191564</w:t>
      </w:r>
    </w:p>
    <w:p>
      <w:pPr/>
      <w:r>
        <w:rPr>
          <w:b/>
        </w:rPr>
        <w:t>Shared claim-specific concepts:</w:t>
      </w:r>
      <w:r>
        <w:t xml:space="preserve"> transformation, circular, economy; EU scope not established. This is a provisional connection, not an outcome finding.</w:t>
      </w:r>
    </w:p>
    <w:p>
      <w:pPr>
        <w:pStyle w:val="SourceNote"/>
      </w:pPr>
      <w:r>
        <w:rPr>
          <w:b/>
        </w:rPr>
        <w:t>Available abstract (not full text):</w:t>
      </w:r>
      <w:r>
        <w:t xml:space="preserve"> Diese Dissertation untersucht, wie Intermediäre zirkuläre Startups innerhalb von Entrepreneurial Ecosystems (EEs) unterstützen und wie ihre Aktivitäten zur Transformation hin zu einer Circular Economy (CE) auf Ökosystem- und institutioneller Ebene beitragen. Obwohl das Interesse an zirkulärem Unternehmertum und EEs wächst, fehlt bislang ein integriertes Verständnis darüber, wie Intermediäre die Struktur von Ökosystemen, deren relationale Dynamiken sowie institutionelle Logiken prägen und dadurch die Entwicklung zirkulärer Startups beeinflussen. Zur Schließung dieser Forschungslücke verfolgt die Arbeit ein multimethodisches Forschungsdesign. Eine systematische Literaturrecherche (SLR) konzeptualisiert Circular Entrepreneurial Ecosystems (CEEs), indem sie aufzeigt, wie etablierte Ökosystemelemente qualitativ neu ausgerichtet werden müssen, um den Bedürfnissen zirkulärer Startups gerecht zu werden. Empirische Analysen auf der Grundlage von einer Sozialen Netzwerkanalyse und Experteninterviews erweitern diese Konzeptualisierung, indem sie die strukturelle Entstehung von CEEs untersuchen und intermediärzentrierte, wenig verdich-tete und vertrauensbasierte Subökosysteme identifizieren. Da beide Studien die zentrale Bedeutung von Intermediären für die Gestaltung von CEEs hervorheben, untersucht die dritte Studie ihre Funktionen systematisch. Eine zweite SLR entwickelt hierfür ein Mehr</w:t>
      </w:r>
    </w:p>
    <w:p>
      <w:pPr/>
      <w:r>
        <w:rPr>
          <w:b/>
        </w:rPr>
        <w:t>POSSIBLE 2026:</w:t>
      </w:r>
      <w:r>
        <w:t xml:space="preserve"> The Circular Economy in European Union Supply Chains: A Literature Review — https://doi.org/10.1002/sd.70855</w:t>
      </w:r>
    </w:p>
    <w:p>
      <w:pPr/>
      <w:r>
        <w:rPr>
          <w:b/>
        </w:rPr>
        <w:t>Shared claim-specific concepts:</w:t>
      </w:r>
      <w:r>
        <w:t xml:space="preserve"> circular, economy, impacts, effective; EU scope visible. This is a provisional connection, not an outcome finding.</w:t>
      </w:r>
    </w:p>
    <w:p>
      <w:pPr>
        <w:pStyle w:val="SourceNote"/>
      </w:pPr>
      <w:r>
        <w:rPr>
          <w:b/>
        </w:rPr>
        <w:t>Available abstract (not full text):</w:t>
      </w:r>
      <w:r>
        <w:t xml:space="preserve"> ABSTRACT This research aims to analyze the implementation of the circular economy (CE) in European Union (EU) supply chains (SC), highlighting its potential to transform production systems and maximize resource efficiency while minimizing waste. Our study identifies the major trends and advancements in this field, focusing on the barriers that prevent its full adoption. The methodology employed is a scientometric analysis based on the Scopus and Web of Science (WoS) databases. The review process is developed in two main stages. First, the PRISMA method is applied to identify relevant literature. The second stage involves a quantitative scientometric analysis alongside the Tree of Science (ToS) methodology for qualitative assessment. The objective is to determine the key contributions and their evolution over time in the field of the circular economy. The main results show that scientific production in Europe has grown significantly since 2018, with Italy and the United Kingdom being the countries with the highest number of publications and citations on the subject. The industries most engaged in adopting the CE include the chemical, food, and waste management sectors. Overall, it is observed that circular practices such as resource recirculation, waste valorization, and energy recovery are associated not only with environmental benefits but also with improved economic performan</w:t>
      </w:r>
    </w:p>
    <w:p>
      <w:pPr/>
      <w:r>
        <w:rPr>
          <w:b/>
        </w:rPr>
        <w:t>POSSIBLE 2025:</w:t>
      </w:r>
      <w:r>
        <w:t xml:space="preserve"> Impact of digital transformation for sustainable circular economic environments — https://doi.org/10.1007/s44438-025-00001-3</w:t>
      </w:r>
    </w:p>
    <w:p>
      <w:pPr/>
      <w:r>
        <w:rPr>
          <w:b/>
        </w:rPr>
        <w:t>Shared claim-specific concepts:</w:t>
      </w:r>
      <w:r>
        <w:t xml:space="preserve"> transformation, circular, economy, occur, perspective, design; EU scope not established. This is a provisional connection, not an outcome finding.</w:t>
      </w:r>
    </w:p>
    <w:p>
      <w:pPr>
        <w:pStyle w:val="SourceNote"/>
      </w:pPr>
      <w:r>
        <w:rPr>
          <w:b/>
        </w:rPr>
        <w:t>Available abstract (not full text):</w:t>
      </w:r>
      <w:r>
        <w:t xml:space="preserve"> Abstract Digital Transformation is a global phenomenon, capturing the attention in every industry and spurring major investment. However, digital transformation is not a single objective, but a multi-faceted approach depending on specific industrial goals and their digital maturity. Digital transformation is the way of change from a monolithic business approach to fully digitalized business strategies, resulting in digital transformation a key economic objective and a major success factor of a comprehensive corporate transformation. In addition to digital technologies, processes, and procedures, and aside from that also skilled employees required keeping pace in reacting quickly to changes in order to adapt to necessary needs and opportunities in the markets, to drive growth and innovation. In the first of the four industrial evolutions, steam power was a disruptive technology that has changed the working capabilities. In the second it was the assembly line and in the third the computer. Today, in the fourth industrial evolution, everything is digital. Intelligent digital technologies such as Artificial Intelligence (AI), Machine Learning (ML), Internet of Things (IoT), Big Data and Analytics, Automated Robots, and others are accelerating a profound transformation in the way industries work and do business. However, beside digital transformation a second transformation narrativ</w:t>
      </w:r>
    </w:p>
    <w:p>
      <w:pPr/>
      <w:r>
        <w:rPr>
          <w:b/>
        </w:rPr>
        <w:t>POSSIBLE 2025:</w:t>
      </w:r>
      <w:r>
        <w:t xml:space="preserve"> Twin transformation: The role of digitalization with artificial intelligence, big data and circular supply chain in circular economy performance for sustainability — https://doi.org/10.24136/eq.3350</w:t>
      </w:r>
    </w:p>
    <w:p>
      <w:pPr/>
      <w:r>
        <w:rPr>
          <w:b/>
        </w:rPr>
        <w:t>Shared claim-specific concepts:</w:t>
      </w:r>
      <w:r>
        <w:t xml:space="preserve"> transformation, circular, economy, processes; EU scope not established. This is a provisional connection, not an outcome finding.</w:t>
      </w:r>
    </w:p>
    <w:p>
      <w:pPr>
        <w:pStyle w:val="SourceNote"/>
      </w:pPr>
      <w:r>
        <w:rPr>
          <w:b/>
        </w:rPr>
        <w:t>Available abstract (not full text):</w:t>
      </w:r>
      <w:r>
        <w:t xml:space="preserve"> Research background: The fourth industrial revolution has significantly changed the operational processes of industries and influenced the industrial structures of multiple countries. These scenarios have resulted in organizations embracing digital technologies in their supply chains. However, the digital supply chain literature is still in its early stages of development. Purpose of the article: This study primarily aimed to understand whether artificial intelligence (AI) and big data influence circular economy performance (CEP) through the circular supply chain (CSC), along with exploitative and explorative integration. Methods: Data were collected using a questionnaire survey. The proposed hypotheses were tested using partial least squares structural equation modeling (PLS-SEM) via Smart PLS (4.0). The empirical analysis supported most proposed hypotheses. Findings &amp; value added: The results indicate that the CSC supports digitalization in improving CEP. Additionally, exploitative integration does not influence the moderating role between big data and the CSC, nor does explorative integration between AI and the CSC. This study enables managers to understand that enabling technologies are suitable for facilitating the accomplishment of a CSC’s goals.</w:t>
      </w:r>
    </w:p>
    <w:p>
      <w:pPr/>
      <w:r>
        <w:rPr>
          <w:b/>
        </w:rPr>
        <w:t>POSSIBLE 2025:</w:t>
      </w:r>
      <w:r>
        <w:t xml:space="preserve"> Sustainable circular economy: Unpacking the unintended consequences of digital transformation in Japanese SMEs — https://doi.org/10.1016/j.techfore.2025.124335</w:t>
      </w:r>
    </w:p>
    <w:p>
      <w:pPr/>
      <w:r>
        <w:rPr>
          <w:b/>
        </w:rPr>
        <w:t>Shared claim-specific concepts:</w:t>
      </w:r>
      <w:r>
        <w:t xml:space="preserve"> transformation, circular, economy, explores; EU scope not established. This is a provisional connection, not an outcome finding.</w:t>
      </w:r>
    </w:p>
    <w:p>
      <w:pPr>
        <w:pStyle w:val="SourceNote"/>
      </w:pPr>
      <w:r>
        <w:rPr>
          <w:b/>
        </w:rPr>
        <w:t>Available abstract (not full text):</w:t>
      </w:r>
      <w:r>
        <w:t xml:space="preserve"> Digital transformation (DX) and the shift toward a sustainable circular economy are reshaping industries, raising both practical and theoretical questions about power, collaboration, and ecosystem dynamics. While DX offers opportunities for efficiency and sustainability, it also induces unintended consequences—particularly in altering inter-organizational power relations and blurring traditional industrial boundaries. Drawing on circular economy and ecosystem perspectives, this study investigates these unintended consequences through multiple in-depth case studies of Japanese SMEs. The research reveals how organisations renegotiate constraints and resources to adapt to evolving digital ecosystems. Unlike much of the existing literature that focuses on benefits, this paper uniquely explores the dual nature of unintended consequences—highlighting not only risks but rather, some present exploitable opportunities. The findings offer novel theoretical insights into digital circular economy-era and provide actionable guidance for policymakers and practitioners navigating digital transformation.</w:t>
      </w:r>
    </w:p>
    <w:p>
      <w:pPr/>
      <w:r>
        <w:rPr>
          <w:b/>
        </w:rPr>
        <w:t>POSSIBLE 2025:</w:t>
      </w:r>
      <w:r>
        <w:t xml:space="preserve"> The contribution of European cities and regions to the circular economy: an analysis of territorial strategies — https://doi.org/10.1080/00343404.2025.2563888</w:t>
      </w:r>
    </w:p>
    <w:p>
      <w:pPr/>
      <w:r>
        <w:rPr>
          <w:b/>
        </w:rPr>
        <w:t>Shared claim-specific concepts:</w:t>
      </w:r>
      <w:r>
        <w:t xml:space="preserve"> circular, economy; EU scope visible. This is a provisional connection, not an outcome finding.</w:t>
      </w:r>
    </w:p>
    <w:p>
      <w:pPr>
        <w:pStyle w:val="SourceNote"/>
      </w:pPr>
      <w:r>
        <w:rPr>
          <w:b/>
        </w:rPr>
        <w:t>Available abstract (not full text):</w:t>
      </w:r>
      <w:r>
        <w:t xml:space="preserve"> This article examines how European cities and regions engage with circular economy (CE) strategies through the lens of territorial intermediation. Based on the analysis of 54 strategic planning documents, it identifies a range of local rationales – predominantly environmental – supporting CE commitments. The findings reveal a selective and often downstream-oriented framing of CE priorities. Local authorities assume three main roles in structuring circular transitions: promoter, facilitator and enabler, each operationalised through distinct policy instruments. Rather than following a uniform model, CE strategies take different forms depending on local priorities, challenges and development goals. The article contributes to the literature by clarifying how territorial intermediation mediates ecological transitions at the local scale.</w:t>
      </w:r>
    </w:p>
    <w:p>
      <w:pPr/>
      <w:r>
        <w:rPr>
          <w:b/>
        </w:rPr>
        <w:t>POSSIBLE 2025:</w:t>
      </w:r>
      <w:r>
        <w:t xml:space="preserve"> Supply Chain Transformation and the Circular Economy Methods for producing Sustainable Textiles — https://doi.org/10.52783/jier.v5i2.2907</w:t>
      </w:r>
    </w:p>
    <w:p>
      <w:pPr/>
      <w:r>
        <w:rPr>
          <w:b/>
        </w:rPr>
        <w:t>Shared claim-specific concepts:</w:t>
      </w:r>
      <w:r>
        <w:t xml:space="preserve"> transformation, circular, economy; EU scope not established. This is a provisional connection, not an outcome finding.</w:t>
      </w:r>
    </w:p>
    <w:p>
      <w:pPr>
        <w:pStyle w:val="SourceNote"/>
      </w:pPr>
      <w:r>
        <w:rPr>
          <w:b/>
        </w:rPr>
        <w:t>Available abstract (not full text):</w:t>
      </w:r>
      <w:r>
        <w:t xml:space="preserve"> Since the textile industry pollutes the world and uses up resources, it needs to transform quickly to become sustainable. This research investigates how supply chain transformation guided by circular economy ideas can support sustainable production in the textile industry. It brings together closed-loop models, eco-design, sustainable sourcing, recycling, and end-of-life textile recovery in existing supply chains. The study employs primary data gained from interviews with manufacturers and supply chain and sustainability officials. The research indicates that using circular economy approaches results in better use of resources, less impact on the environment, and greater innovation throughout the supply chain. Among the benefits are less trash, less energy use, and fewer carbon emissions. Still, it is difficult because recycling is costly, many regulations do not provide incentives and there aren’t enough recycling facilities. This study introduces a Circular Textile Supply Chain Framework (CTS2CF) that shows stakeholders how to improve their supply chains to support circularity and sustainability. The findings provide useful and theoretical guidance for industry players to improve sustainability in the textile supply chain. Cross-sector partnerships, help from policies, and the use of technology are stressed as important for making the textile economy work at scale. The study’</w:t>
      </w:r>
    </w:p>
    <w:p>
      <w:pPr/>
      <w:r>
        <w:rPr>
          <w:b/>
        </w:rPr>
        <w:t>POSSIBLE 2024:</w:t>
      </w:r>
      <w:r>
        <w:t xml:space="preserve"> Circular economy in the manufacturing sector: Digital transformation and sustainable practices — https://doi.org/10.30574/ijsra.2024.12.2.1217</w:t>
      </w:r>
    </w:p>
    <w:p>
      <w:pPr/>
      <w:r>
        <w:rPr>
          <w:b/>
        </w:rPr>
        <w:t>Shared claim-specific concepts:</w:t>
      </w:r>
      <w:r>
        <w:t xml:space="preserve"> transformation, circular, economy, explores; EU scope not established. This is a provisional connection, not an outcome finding.</w:t>
      </w:r>
    </w:p>
    <w:p>
      <w:pPr>
        <w:pStyle w:val="SourceNote"/>
      </w:pPr>
      <w:r>
        <w:rPr>
          <w:b/>
        </w:rPr>
        <w:t>Available abstract (not full text):</w:t>
      </w:r>
      <w:r>
        <w:t xml:space="preserve"> The transition from a linear economy to a circular economy (CE) represents a profound shift in resource management practices, emphasizing sustainability and waste reduction as core principles. This review paper explores how digital transformation technologies, including Internet of Things (IoT), artificial intelligence (AI), blockchain, and big data, are integrated with circular economy principles within the manufacturing sector. It examines their roles in promoting sustainable manufacturing practices by optimizing resource use, improving efficiency, and reducing environmental impact. Through a comprehensive review of current literature and case studies, this paper elucidates the benefits, challenges, and future directions of adopting a circular economy approach in manufacturing, highlighting opportunities for innovation and sustainable growth.</w:t>
      </w:r>
    </w:p>
    <w:p>
      <w:pPr/>
      <w:r>
        <w:rPr>
          <w:b/>
        </w:rPr>
        <w:t>POSSIBLE 2024:</w:t>
      </w:r>
      <w:r>
        <w:t xml:space="preserve"> ECONOMIC MONITORING OF THE CIRCULAR TRANSFORMATION AS A CHALLENGE FOR MECHANICAL ENGINEERING — https://openalex.org/W7215135237</w:t>
      </w:r>
    </w:p>
    <w:p>
      <w:pPr/>
      <w:r>
        <w:rPr>
          <w:b/>
        </w:rPr>
        <w:t>Shared claim-specific concepts:</w:t>
      </w:r>
      <w:r>
        <w:t xml:space="preserve"> transformation, circular, economy; EU scope visible. This is a provisional connection, not an outcome finding.</w:t>
      </w:r>
    </w:p>
    <w:p>
      <w:pPr>
        <w:pStyle w:val="SourceNote"/>
      </w:pPr>
      <w:r>
        <w:rPr>
          <w:b/>
        </w:rPr>
        <w:t>Available abstract (not full text):</w:t>
      </w:r>
      <w:r>
        <w:t xml:space="preserve"> This paper critically evaluates the role of mechanical engineering in the economic monitoring of the circular economy transformation. The transition from a linear "take-make-dispose" model to a circular one is imperative for sustainability, requiring significant adaptation in mechanical engineering practices. The research investigates the methodologies and institutional frameworks that underpin this transformation, assessing their efficacy and identifying areas for enhancement. By examining the latest scientific literature and employing various indicators and evaluation methods, the study outlines the practical and strategic benefits of embracing circular economy principles. It underscores the necessity of robust monitoring mechanisms and the crucial role of institutions in fostering the transition, with a particular focus on the European Union's regulatory approach. This paper provides a comprehensive understanding of the state of circular economy implementation in mechanical engineering and suggests future directions for its development, monitoring, and integration into policy and educational frameworks.</w:t>
      </w:r>
    </w:p>
    <w:p>
      <w:pPr/>
      <w:r>
        <w:rPr>
          <w:b/>
        </w:rPr>
        <w:t>POSSIBLE 2024:</w:t>
      </w:r>
      <w:r>
        <w:t xml:space="preserve"> Twenty Years of Land Accounts in Europe — https://doi.org/10.3390/land13091350</w:t>
      </w:r>
    </w:p>
    <w:p>
      <w:pPr/>
      <w:r>
        <w:rPr>
          <w:b/>
        </w:rPr>
        <w:t>Shared claim-specific concepts:</w:t>
      </w:r>
      <w:r>
        <w:t xml:space="preserve"> economy, upcoming; EU scope visible. This is a provisional connection, not an outcome finding.</w:t>
      </w:r>
    </w:p>
    <w:p>
      <w:pPr>
        <w:pStyle w:val="SourceNote"/>
      </w:pPr>
      <w:r>
        <w:rPr>
          <w:b/>
        </w:rPr>
        <w:t>Available abstract (not full text):</w:t>
      </w:r>
      <w:r>
        <w:t xml:space="preserve"> Land use and its change impact food security, carbon cycling, biodiversity, and, hence, the condition of ecosystems to mitigate and adapt to climate change, support economic prosperity, and human well-being. To support and guide policy actions between the economy and the environment, harmonized time series datasets, transparent methodologies, and easily interpretable statistics are needed. Therefore, monitoring of the function and condition of lands and their change, along with properly agreed methodologies and freely accessible data, are essential. The Copernicus Land Monitoring Service has produced over 20 years of Corine Land Cover datasets for 39 countries in Europe, which allows continental-wide harmonized and comparable monitoring and accounting of land cover and land use change at a high thematic resolution and in a long time series (2000–2018). With the upcoming 2024 update, the time series will reach a unique product worldwide in terms of time series length, spatial resolution, extent, and thematic detail, enabling policymakers and the scientific community to address the main anthropogenic drivers of land and ecosystem degradation. This paper describes a unified approach for producing continental-wide land accounts that aligns with internationally agreed-upon standards for measuring the environment and its relationship with the economy. Furthermore, the study provides </w:t>
      </w:r>
    </w:p>
    <w:p>
      <w:pPr/>
      <w:r>
        <w:rPr>
          <w:b/>
        </w:rPr>
        <w:t>POSSIBLE 2024:</w:t>
      </w:r>
      <w:r>
        <w:t xml:space="preserve"> AI ‐driven adaptive learning for sustainable educational transformation — https://doi.org/10.1002/sd.3221</w:t>
      </w:r>
    </w:p>
    <w:p>
      <w:pPr/>
      <w:r>
        <w:rPr>
          <w:b/>
        </w:rPr>
        <w:t>Shared claim-specific concepts:</w:t>
      </w:r>
      <w:r>
        <w:t xml:space="preserve"> transformation, driven, innovative; EU scope not established. This is a provisional connection, not an outcome finding.</w:t>
      </w:r>
    </w:p>
    <w:p>
      <w:pPr>
        <w:pStyle w:val="SourceNote"/>
      </w:pPr>
      <w:r>
        <w:rPr>
          <w:b/>
        </w:rPr>
        <w:t>Available abstract (not full text):</w:t>
      </w:r>
      <w:r>
        <w:t xml:space="preserve"> Abstract This paper scrutinizes how adaptive learning technologies and artificial intelligence (AI) are transforming today's education by making it personalized, accessible, and efficient as well as leading people to accepting, addressing, and mitigating sustainable development. Recently, education witnessed a remarkable technological surge driven by various advances in technology, which can be demonstrated by the increase of the number of scientific publications on this topic from just 1 in 1990 to 636 in 2023. Ongoing digitalization and technological revolution in education together with the novel approach to respect each student's unique learning style and abilities paved the way for adaptive learning technologies represented by the innovative tools that personalize educational experiences to cater to individual learners. All of that contributes to preparing more educated and informed citizens, drives innovation, and supports economic growth necessary for achieving a sustainable future. Our bibliographic study employs VOSviewer to conduct a bibliometric analysis of a total number of 3518 selected publications using the keywords “adaptive learning” and “AI” (represented by articles, proceeding papers, and book chapters) indexed in the Web of Science (WoS) database from 1990 to 2024. Our results demonstrate that recent technological changes played a key role in transforming ad</w:t>
      </w:r>
    </w:p>
    <w:p>
      <w:pPr>
        <w:pStyle w:val="Heading2"/>
      </w:pPr>
      <w:r>
        <w:t>688. The Impact of Decarbonization Scenarios on Air Quality and Human Health in Poland—Analysis of Scenarios up to 2050</w:t>
      </w:r>
    </w:p>
    <w:p>
      <w:pPr>
        <w:pStyle w:val="SourceNote"/>
      </w:pPr>
      <w:r>
        <w:rPr>
          <w:b/>
        </w:rPr>
        <w:t>Original source (2020):</w:t>
      </w:r>
      <w:r>
        <w:t xml:space="preserve"> https://doi.org/10.3390/atmos11111222</w:t>
      </w:r>
    </w:p>
    <w:p>
      <w:pPr/>
      <w:r>
        <w:t>Original wording (abstract; indexed_source_text_not_full_document_verified): The results also showed that the decrease in PM2.5 emissions envisaged in the analyzed scenarios in 2050 will lead to a reduction in the number of lost years of life by about 35 thousand and an avoidance of external costs by EUR 2.4 billion. The three scenarios of the REFLEX Project focused on the reduction of CO2 emissions up to 2050 from various sectors, mainly by the means of fuel and technological switches.</w:t>
      </w:r>
    </w:p>
    <w:p>
      <w:pPr/>
      <w:r>
        <w:rPr>
          <w:b/>
        </w:rPr>
        <w:t>POSSIBLE 2026:</w:t>
      </w:r>
      <w:r>
        <w:t xml:space="preserve"> Pro-environmental behaviour in Europe — https://openalex.org/W7213476392</w:t>
      </w:r>
    </w:p>
    <w:p>
      <w:pPr/>
      <w:r>
        <w:rPr>
          <w:b/>
        </w:rPr>
        <w:t>Shared claim-specific concepts:</w:t>
      </w:r>
      <w:r>
        <w:t xml:space="preserve"> also, decrease, emissions, lead, about, co2; EU scope visible. This is a provisional connection, not an outcome finding.</w:t>
      </w:r>
    </w:p>
    <w:p>
      <w:pPr>
        <w:pStyle w:val="SourceNote"/>
      </w:pPr>
      <w:r>
        <w:rPr>
          <w:b/>
        </w:rPr>
        <w:t>Available abstract (not full text):</w:t>
      </w:r>
      <w:r>
        <w:t xml:space="preserve"> This policy briefs examines the determinants of five pro-environmental behaviours (whether individuals reduce and separate waste, use fewer disposable items, buy more efficient appliances, use alternatives to car and install solar panels) across individuals, countries and time. Raising Europea's engagement in pro-environmental behaviour can decrease Co2 emissions by 6 to 16% and cut costs by 14 to 30 percent given current estimates, making the targeting of European's behaviour important. Results show that Europeans have on average increased their efforts living more environmentally friendly between 2013 and 2023. The youngest generations have adopted pro-environmental behaviour fastest. Pro-environmental behaviour varies considerably between European countries. Some of this variation can be explained by GDP, income inequality and country level concern about climate change. Individual characteristics like financial situation, feeling personally responsible for climate action and believing in climage change however appear to be most important for explaining pro-environmental behaviour holding country specific factors constant. The results suggest, that in order to widen pro-environmental behaviour across Europe, education remains an important tool to increase environmental concern as well as feelings of responsibilty to the climate, factors highly correlated with positive behavio</w:t>
      </w:r>
    </w:p>
    <w:p>
      <w:pPr/>
      <w:r>
        <w:rPr>
          <w:b/>
        </w:rPr>
        <w:t>POSSIBLE 2026:</w:t>
      </w:r>
      <w:r>
        <w:t xml:space="preserve"> Laboratory Experiments on Savannah and European Boreal Forest Fire Emissions — https://doi.org/10.1029/2025jd044543</w:t>
      </w:r>
    </w:p>
    <w:p>
      <w:pPr/>
      <w:r>
        <w:rPr>
          <w:b/>
        </w:rPr>
        <w:t>Shared claim-specific concepts:</w:t>
      </w:r>
      <w:r>
        <w:t xml:space="preserve"> also, emissions, number, three; EU scope visible. This is a provisional connection, not an outcome finding.</w:t>
      </w:r>
    </w:p>
    <w:p>
      <w:pPr>
        <w:pStyle w:val="SourceNote"/>
      </w:pPr>
      <w:r>
        <w:rPr>
          <w:b/>
        </w:rPr>
        <w:t>Available abstract (not full text):</w:t>
      </w:r>
      <w:r>
        <w:t xml:space="preserve"> Abstract Landscape fire is among the largest sources of aerosols and trace gases globally. However, the emissions are highly variable and strongly affected by the type of biomass and combustion characteristics. We investigated the effect of combustion characteristics on the burning emissions from three biomass types: woody plants and grasses from southern African savannah and European boreal forest surface based on experiments at the ILMARI combustion facility in Kuopio, Finland. Considering emission factors (EF) for organic aerosol (OA) and for the sum of volatile organic compounds (VOCs), we observed a linear increase in the EF with decreasing modified combustion efficiency (MCE) down to MCE of 0.6. For instance, for woody plants from savannah flaming combustion EF OA is 6.1 g kg −1 at MCE of 0.94, while extreme smoldering EF OA at MCE of 0.67 is 54 g kg −1 . Interestingly, the effect of biomass type was minor compared to MCE, which was also seen for aerosol particle number size distributions. Likewise, the absorption Ångström exponent increased with decreasing MCE. Furthermore, OA in our experiments is absorbing not only at the short wavelengths, which is typical of brown carbon, but even at the longest wavelengths (880 and 950 nm), which are often considered to represent only absorption by black carbon. The biomass type impacted the OA and VOC composition, especially in hig</w:t>
      </w:r>
    </w:p>
    <w:p>
      <w:pPr/>
      <w:r>
        <w:rPr>
          <w:b/>
        </w:rPr>
        <w:t>POSSIBLE 2026:</w:t>
      </w:r>
      <w:r>
        <w:t xml:space="preserve"> Emission Scenarios for Europe under the CATALYSE Project: Beyond the Green Deal — https://openalex.org/W7125621332</w:t>
      </w:r>
    </w:p>
    <w:p>
      <w:pPr/>
      <w:r>
        <w:rPr>
          <w:b/>
        </w:rPr>
        <w:t>Shared claim-specific concepts:</w:t>
      </w:r>
      <w:r>
        <w:t xml:space="preserve"> also, pm2, emissions, reduction, about, project; EU scope visible. This is a provisional connection, not an outcome finding.</w:t>
      </w:r>
    </w:p>
    <w:p>
      <w:pPr>
        <w:pStyle w:val="SourceNote"/>
      </w:pPr>
      <w:r>
        <w:rPr>
          <w:b/>
        </w:rPr>
        <w:t>Available abstract (not full text):</w:t>
      </w:r>
      <w:r>
        <w:t xml:space="preserve"> The pursuit of net zero emissions in the European Union can deliver significant human health co-benefits. Mitigation actions reduce emissions of air pollutants that contribute to a range of diseases. The Climate Action To Advance HeaLthY Societies in Europe (CATALYSE) project, funded by Horizon Europe, seeks to quantify these climate and health co-benefits within a European context. This multi-dimensional initiative spans fundamental research to identifying optimal communication channels for information dissemination. This report documents the approach, methodology, and results of the development of gridded emission scenarios for air pollutants in Europe until 2050 within the CATALYSE project. The main scenarios include a reference baseline (REF), a scenario achieving Green Deal goals (GD), and a Beyond Green Deal scenario that envisages additional behavioral changes to curb emissions (BGD). A fourth scenario “Beyond Green Deal 90” (BGD90), is a variant that introduces further end-of-pipe air pollution control measures. The activity pathways underlying the scenarios are modeled using the PRIMES and CAPRI models, with assumptions defined collaboratively by modelling team experts in the buildings sector (UCL), active mobility (ISGlobal), and food systems (UOX). Although the projections also include energy and industry sectors, the scenario differentiation emphasizes the buildings</w:t>
      </w:r>
    </w:p>
    <w:p>
      <w:pPr/>
      <w:r>
        <w:rPr>
          <w:b/>
        </w:rPr>
        <w:t>POSSIBLE 2025:</w:t>
      </w:r>
      <w:r>
        <w:t xml:space="preserve"> A Europe-wide characterization of the external exposome: A spatio-temporal analysis — https://doi.org/10.1016/j.envint.2025.109542</w:t>
      </w:r>
    </w:p>
    <w:p>
      <w:pPr/>
      <w:r>
        <w:rPr>
          <w:b/>
        </w:rPr>
        <w:t>Shared claim-specific concepts:</w:t>
      </w:r>
      <w:r>
        <w:t xml:space="preserve"> also, showed, external; EU scope visible. This is a provisional connection, not an outcome finding.</w:t>
      </w:r>
    </w:p>
    <w:p>
      <w:pPr>
        <w:pStyle w:val="SourceNote"/>
      </w:pPr>
      <w:r>
        <w:rPr>
          <w:b/>
        </w:rPr>
        <w:t>Available abstract (not full text):</w:t>
      </w:r>
      <w:r>
        <w:t xml:space="preserve"> Background Harmonised data on external environmental exposures are essential for multi-cohort exposome studies. This paper describes the development of fine-spatial resolution models and resulting exposure maps for 33 major exposome factors —including physical–chemical, built, social, and food environments—across Europe from 2000 to 2020, and examines their spatial and temporal interrelations. Methods New fine spatial resolution Europe-wide models were developed for annual/monthly average air pollution, daily temperature, and annual-average road-traffic noise, combined with post-processing of existing data on green, blue, and grey spaces (imperviousness), walkability, light-at-night, and urbanicity. Exposure metrics relevant for epidemiological studies were developed for all exposome factors, with correlations calculated at European and country levels. Stability and trends over time were assessed for 18 factors. Results At the European level, most environmental factors showed weak correlations (R &lt; 0.4), except NO 2 , which showed moderate to strong correlations with built environment factors. Country-level correlations varied. Annual average exposure surfaces were stable over time, with strong correlations between early and late time points for all factors except O 3 ​ (R = 0.66). Trends indicated decreases in air pollution and increases in temperature, green space, and imperv</w:t>
      </w:r>
    </w:p>
    <w:p>
      <w:pPr/>
      <w:r>
        <w:rPr>
          <w:b/>
        </w:rPr>
        <w:t>POSSIBLE 2025:</w:t>
      </w:r>
      <w:r>
        <w:t xml:space="preserve"> Dementia-free life expectancy in Europe — https://openalex.org/W7135476202</w:t>
      </w:r>
    </w:p>
    <w:p>
      <w:pPr/>
      <w:r>
        <w:rPr>
          <w:b/>
        </w:rPr>
        <w:t>Shared claim-specific concepts:</w:t>
      </w:r>
      <w:r>
        <w:t xml:space="preserve"> also, number, life; EU scope visible. This is a provisional connection, not an outcome finding.</w:t>
      </w:r>
    </w:p>
    <w:p>
      <w:pPr>
        <w:pStyle w:val="SourceNote"/>
      </w:pPr>
      <w:r>
        <w:rPr>
          <w:b/>
        </w:rPr>
        <w:t>Available abstract (not full text):</w:t>
      </w:r>
      <w:r>
        <w:t xml:space="preserve"> Dementia-free life expectancy in Europe Abstract Population ageing is associated with a growing number of people living with dementia. Although improvements in healthcare have led to increases in life expectancy at birth, it remains unclear to what extent this also means longer healthy lives. This bachelor's thesis aims to analyze dementia- free life expectancy in older age in European countries, with a focus on sex, age, and regional disparities. The analysis is based primarily on data from the Dementia in Europe Yearbook 2019 and the Human Mortality Database. Dementia-free life expectancy is calculated using Sullivan's method, based on prevalence rates of dementia and constructed life tables. The results show that standardized dementia prevalence rates are relatively homogeneous across Europe but increase sharply with age and are higher among women. The share of life spent without dementia decreases with age and is consistently higher among men in all age groups. Western European countries report higher absolute dementia-free life expectancy, whereas Eastern European countries reach higher relative shares of life spent without dementia. At age 85, men in many countries exhibit not only higher relative, but also higher absolute dementia-free life expectancy than women. The findings highlight the growing...</w:t>
      </w:r>
    </w:p>
    <w:p>
      <w:pPr/>
      <w:r>
        <w:rPr>
          <w:b/>
        </w:rPr>
        <w:t>POSSIBLE 2025:</w:t>
      </w:r>
      <w:r>
        <w:t xml:space="preserve"> CARBON TAX, ENERGY TRANSITION AND CO2 EMISSIONS: A DYNAMIC PANEL DATA APPROACH FOR NORTHERN AFRICA AND EUROPE. — https://doi.org/10.12732/ijam.v38i9s.1167</w:t>
      </w:r>
    </w:p>
    <w:p>
      <w:pPr/>
      <w:r>
        <w:rPr>
          <w:b/>
        </w:rPr>
        <w:t>Shared claim-specific concepts:</w:t>
      </w:r>
      <w:r>
        <w:t xml:space="preserve"> also, emissions, co2; EU scope visible. This is a provisional connection, not an outcome finding.</w:t>
      </w:r>
    </w:p>
    <w:p>
      <w:pPr>
        <w:pStyle w:val="SourceNote"/>
      </w:pPr>
      <w:r>
        <w:rPr>
          <w:b/>
        </w:rPr>
        <w:t>Available abstract (not full text):</w:t>
      </w:r>
      <w:r>
        <w:t xml:space="preserve"> This study aims to analyze the impact of the introduction of the carbon tax on CO₂ emissions per capita in a sample of Northern African and European countries. It also examines the influence of the energy transition on CO₂ emissions per capita. We use an empirical approach based on dynamic panel data, a method that makes it possible to control unobserved heterogeneity between countries and to estimate the effects of fiscal and environmental policies. The model analyses countries that have implemented a carbon tax compared with those that have not, while incorporating variables such as GDP per capita, the transition to renewable energy and industrial added value. The results show strong inertia in emissions, with the carbon tax having a negative and statistically significant effect on CO₂ emissions per capita, underlining its effectiveness in combating climate change. The use of renewable energy also has a strongly negative impact on emissions. On the other hand, GDP per capita and industrial added value have a positive and significant effect on carbon dioxide emissions. The analysis shows that carbon taxes and transition towards renewable energies are effective levers for reducing CO₂ emissions. However, economic growth and industrialization present environmental challenges; the fact that requires a balance between development and sustainability</w:t>
      </w:r>
    </w:p>
    <w:p>
      <w:pPr/>
      <w:r>
        <w:rPr>
          <w:b/>
        </w:rPr>
        <w:t>POSSIBLE 2025:</w:t>
      </w:r>
      <w:r>
        <w:t xml:space="preserve"> An empirical analysis of net-zero emission targets of Canada and the European Union — https://doi.org/10.21622/maci.2025.02.1.1252</w:t>
      </w:r>
    </w:p>
    <w:p>
      <w:pPr/>
      <w:r>
        <w:rPr>
          <w:b/>
        </w:rPr>
        <w:t>Shared claim-specific concepts:</w:t>
      </w:r>
      <w:r>
        <w:t xml:space="preserve"> emissions, lead, reduction, three; EU scope visible. This is a provisional connection, not an outcome finding.</w:t>
      </w:r>
    </w:p>
    <w:p>
      <w:pPr>
        <w:pStyle w:val="SourceNote"/>
      </w:pPr>
      <w:r>
        <w:rPr>
          <w:b/>
        </w:rPr>
        <w:t>Available abstract (not full text):</w:t>
      </w:r>
      <w:r>
        <w:t xml:space="preserve"> This analysis examines the emission trajectories of Canada and the EU27 that purportedly lead to a point of net zero emissions of greenhouse gases in 2050. It is shown that a country’s emission intensities are limited by a lower bound which effectively restricts the reduction to greenhouse gas emissions to a level moderated by a country’s GDP per capita. For Canada, the proposed path to net zero emissions is shown to be technically feasible, but dependent on the deployment of a suite of engineered negative emission technologies none of which have been demonstrated at scale. In the case of the EU27, it is shown that the proposed path to a condition of net zero emissions in 2050 is not a plausible scenario and that emissions of greenhouse gases in that year are likely to be more than three times higher than the level projected by the European Commission. Received on, 07 March 2025 Accepted on, 10 April 2025 Published on, 27 April 2025</w:t>
      </w:r>
    </w:p>
    <w:p>
      <w:pPr/>
      <w:r>
        <w:rPr>
          <w:b/>
        </w:rPr>
        <w:t>POSSIBLE 2024:</w:t>
      </w:r>
      <w:r>
        <w:t xml:space="preserve"> SO2 and NOx emissions from European shipping: a measurement study — https://doi.org/10.5194/egusphere-egu24-10092</w:t>
      </w:r>
    </w:p>
    <w:p>
      <w:pPr/>
      <w:r>
        <w:rPr>
          <w:b/>
        </w:rPr>
        <w:t>Shared claim-specific concepts:</w:t>
      </w:r>
      <w:r>
        <w:t xml:space="preserve"> also, emissions, envisaged, reduction, co2, various; EU scope visible. This is a provisional connection, not an outcome finding.</w:t>
      </w:r>
    </w:p>
    <w:p>
      <w:pPr>
        <w:pStyle w:val="SourceNote"/>
      </w:pPr>
      <w:r>
        <w:rPr>
          <w:b/>
        </w:rPr>
        <w:t>Available abstract (not full text):</w:t>
      </w:r>
      <w:r>
        <w:t xml:space="preserve"> The shipping industry is a significant source of both SO2 and NOx, two air pollutants which have neg-active implications for climate and air quality. SO2 is heavily regulated such that January 2020 marked a global reduction of the maximum permitted sulfur fuel content (SFC) in shipping fuel from 3.5% to 0.5% by mass. There are also various limits on NOx in coastal and inland waterways with more widespread NOx emissions limits likely to be implemented in the future. The anticipated effect of the new regulations is an improvement of coastal air quality, but there is a potential drawback in terms of reducing the climate cooling effect of SO2 caused by a change in cloud properties. However, the difficulty in measuring emissions from ships means that the overall impact and level of compliance with new and future regulations is unclear. Therefore, monitoring strategies capable of providing regular and long-term measurements of air pollutant emissions from the shipping industry are essential for fundamental research and compliance monitoring. Here we present top-down methodologies for calculating the SFC, along with emission ratios of ∆NOx/∆CO2 from individual ships. First, we demonstrate the application of an airborne platform to perform targeted measurements of ship plumes in the English Channel and Atlantic shipping lanes, allowing the comparison of emissions inside and out of sulf</w:t>
      </w:r>
    </w:p>
    <w:p>
      <w:pPr/>
      <w:r>
        <w:rPr>
          <w:b/>
        </w:rPr>
        <w:t>POSSIBLE 2024:</w:t>
      </w:r>
      <w:r>
        <w:t xml:space="preserve"> Comparative Analysis of Agricultural Emissions Across European Countries — https://doi.org/10.2478/rtuect-2024-0057</w:t>
      </w:r>
    </w:p>
    <w:p>
      <w:pPr/>
      <w:r>
        <w:rPr>
          <w:b/>
        </w:rPr>
        <w:t>Shared claim-specific concepts:</w:t>
      </w:r>
      <w:r>
        <w:t xml:space="preserve"> also, emissions, reduction; EU scope visible. This is a provisional connection, not an outcome finding.</w:t>
      </w:r>
    </w:p>
    <w:p>
      <w:pPr>
        <w:pStyle w:val="SourceNote"/>
      </w:pPr>
      <w:r>
        <w:rPr>
          <w:b/>
        </w:rPr>
        <w:t>Available abstract (not full text):</w:t>
      </w:r>
      <w:r>
        <w:t xml:space="preserve"> Abstract Agriculture is one of the main sources of greenhouse gas (GHG) emissions and has great potential for mitigating climate change. For example, agriculture in Latvia was the second largest sector of GHG emissions after energy with a 22.2 % share of total GHG emissions in 2022. The study aims to compare and analyse the amount of GHG emissions generated by agriculture per domestic product (GDP) and population in different European countries. The ambitious goals set in Europe for 2030 envisage a 30 % reduction in the industry, however, in some countries, these indicators have not only decreased in recent years but also increased. The structure of GHG emissions in 2022 in Europe is as follows: intestinal fermentation (181.1 MtCO 2 e), agricultural soils (112.9 MtCO 2 e), and manure management (61.7 MtCO 2 e). Agriculture is one of the main sources of GHG emissions and has great potential for mitigating climate change. This study aims to compare and analyze GHG emissions from agriculture in European countries against GDP, GDP against population, and population in 2022.</w:t>
      </w:r>
    </w:p>
    <w:p>
      <w:pPr/>
      <w:r>
        <w:rPr>
          <w:b/>
        </w:rPr>
        <w:t>POSSIBLE 2024:</w:t>
      </w:r>
      <w:r>
        <w:t xml:space="preserve"> Give and take: An analysis of the distributional consequences of emission tax-and-rebate schemes with an application to greenhouse gas emissions from European agriculture — https://doi.org/10.1016/j.ecolecon.2024.108154</w:t>
      </w:r>
    </w:p>
    <w:p>
      <w:pPr/>
      <w:r>
        <w:rPr>
          <w:b/>
        </w:rPr>
        <w:t>Shared claim-specific concepts:</w:t>
      </w:r>
      <w:r>
        <w:t xml:space="preserve"> also, emissions, various; EU scope visible. This is a provisional connection, not an outcome finding.</w:t>
      </w:r>
    </w:p>
    <w:p>
      <w:pPr>
        <w:pStyle w:val="SourceNote"/>
      </w:pPr>
      <w:r>
        <w:rPr>
          <w:b/>
        </w:rPr>
        <w:t>Available abstract (not full text):</w:t>
      </w:r>
      <w:r>
        <w:t xml:space="preserve"> The potential regressivity of an emission tax is a major obstacle to the implementation of this otherwise cost-effective instrument. Rebates may help overcome this difficulty. Their distributional consequences depend on their design and the distribution of agents’ initial emissions and abatement costs. We develop a stylized analytical framework to derive general conditions under which a tax-and-rebate scheme increases income inequality and compare the performances of various rebate designs. This framework is applied to the regulation of greenhouse gas emissions from European agriculture. An emission tax with no rebate is found to substantially reduce agricultural emissions (by approximately −15% for a 100 €/tCO2eq tax), but also strongly affect the total sector income (approximately −20% with the same tax rate) as well as increase income inequality. A flat rebate considerably reduces income inequality relative to pre-policy levels. For the same impacts on aggregate income and budget, a rebate proportional to initial emissions leaves pre-existing inequality virtually unchanged. A well-designed rebate can thus be critical for the acceptability of climate policy instruments.</w:t>
      </w:r>
    </w:p>
    <w:p>
      <w:pPr/>
      <w:r>
        <w:rPr>
          <w:b/>
        </w:rPr>
        <w:t>POSSIBLE 2024:</w:t>
      </w:r>
      <w:r>
        <w:t xml:space="preserve"> Soil bulk density assessment in Europe — https://doi.org/10.1016/j.agee.2024.108907</w:t>
      </w:r>
    </w:p>
    <w:p>
      <w:pPr/>
      <w:r>
        <w:rPr>
          <w:b/>
        </w:rPr>
        <w:t>Shared claim-specific concepts:</w:t>
      </w:r>
      <w:r>
        <w:t xml:space="preserve"> showed, about, three; EU scope visible. This is a provisional connection, not an outcome finding.</w:t>
      </w:r>
    </w:p>
    <w:p>
      <w:pPr>
        <w:pStyle w:val="SourceNote"/>
      </w:pPr>
      <w:r>
        <w:rPr>
          <w:b/>
        </w:rPr>
        <w:t>Available abstract (not full text):</w:t>
      </w:r>
      <w:r>
        <w:t xml:space="preserve"> The topsoil Land Use and Cover Area frame Statistical survey (LUCAS) aims at collecting harmonised data about the state of soil health over the extent of European Union (EU). In the LUCAS 2018 survey, bulk density has been analysed for three depths, i.e., 0–10 cm = 6140 sites; 10–20 cm = 5684 sites and 20–30 cm =139 sites. The laboratory analysis and the assessment of the results conclude that the bulk density at 10–20 cm is 5–10% higher compared to 0–10 cm for all land uses except woodlands (20%). In the 0–20 cm depth, croplands have 1.5 times higher bulk density (mean: 1.26 g cm−3) compared to woodlands (mean: 0.83 g cm−3). The main driver for bulk density variation is the land use which implies that many existing pedotransfer rules have to be developed based on land use. This study applied a methodological framework using an advanced Cubist rule-based regression model to optimize the spatial prediction of bulk density in Europe. We spatialised the circa 6000 LUCAS samples and developed the high-resolution map (100 m) of bulk density for the 0–20 cm depth and the maps at 0–10 and 10–20 cm depth. The modelling results showed a very good prediction (R2: 0.66) of bulk density for the 0–20 cm depth which outperforms previous assessments. The bulk density maps can be used to estimate packing density which is a proxy to estimate soil compaction. Therefore, this work contributes to </w:t>
      </w:r>
    </w:p>
    <w:p>
      <w:pPr/>
      <w:r>
        <w:rPr>
          <w:b/>
        </w:rPr>
        <w:t>POSSIBLE 2024:</w:t>
      </w:r>
      <w:r>
        <w:t xml:space="preserve"> Editorial: Enterovirus surveillance in Europe and beyond — https://doi.org/10.3389/fviro.2024.1515652</w:t>
      </w:r>
    </w:p>
    <w:p>
      <w:pPr/>
      <w:r>
        <w:rPr>
          <w:b/>
        </w:rPr>
        <w:t>Shared claim-specific concepts:</w:t>
      </w:r>
      <w:r>
        <w:t xml:space="preserve"> also, showed, decrease, lead, number; EU scope visible. This is a provisional connection, not an outcome finding.</w:t>
      </w:r>
    </w:p>
    <w:p>
      <w:pPr>
        <w:pStyle w:val="SourceNote"/>
      </w:pPr>
      <w:r>
        <w:rPr>
          <w:b/>
        </w:rPr>
        <w:t>Available abstract (not full text):</w:t>
      </w:r>
      <w:r>
        <w:t xml:space="preserve"> The study by Johannsen et al (8) on EV infections linked to hospitalizations and outpatient visits in Denmark 2015-2022, shows that while the COVID-19 pandemic led to a drastic decrease in number of cases reported, it has not affected the seasonal patterns (also seen by Ursic et al, Landaas et al and Dudman et al (1,2,9)). Central nervous system (CNS) infections were commonly found among neonates in hospitalized settings, while skin infections were more common among outpatients. The age distribution of patients with CNS infection and skin infections remained similar before and after the pandemic, with neonates commonly affected with CNS infections and children aged 1-2 years with skin infections respectively. Of interest is that Dudman et al (9), who studied EV infections from 2016-2022 noted an increase in detection skin infections with coxsackievirus A6 (CVA6), a virus most often associated with skin infections and in particular atypical hand foot and mouth disease. The dominance of CVA6 continued also after the COVID-19 pandemic.In a similar study period, Ursic et al showed a similar seasonal pattern of EV circulation for 2014 and 2016. In addition, they demonstrated EV-D68 circulation in Slovenia during the biannual years pre COVID-19 pandemic, 2014-2016, and hardly any cases after that. Landaas et al (2)also showed also an upsurge of EV-D68 cases in these two years in Norw</w:t>
      </w:r>
    </w:p>
    <w:p>
      <w:pPr>
        <w:pStyle w:val="Heading2"/>
      </w:pPr>
      <w:r>
        <w:t>689. The convergence or divergence of labour resources in Poland?</w:t>
      </w:r>
    </w:p>
    <w:p>
      <w:pPr>
        <w:pStyle w:val="SourceNote"/>
      </w:pPr>
      <w:r>
        <w:rPr>
          <w:b/>
        </w:rPr>
        <w:t>Original source (2020):</w:t>
      </w:r>
      <w:r>
        <w:t xml:space="preserve"> https://doi.org/10.15611/pn.2020.4.07</w:t>
      </w:r>
    </w:p>
    <w:p>
      <w:pPr/>
      <w:r>
        <w:t>Original wording (abstract; indexed_source_text_not_full_document_verified): Eurostat’s projections indicate that by 2050 Poland will see a significant reduction in and ageing of its labour resources.</w:t>
      </w:r>
    </w:p>
    <w:p>
      <w:pPr/>
      <w:r>
        <w:rPr>
          <w:b/>
        </w:rPr>
        <w:t>POSSIBLE 2026:</w:t>
      </w:r>
      <w:r>
        <w:t xml:space="preserve"> Beyond the IRENA baseline: Mapping end-of-life photovoltaic waste flows across EU-27 using Weibull lifetime distributions screened against Eurostat data and updated efficiency scenarios — https://doi.org/10.1016/j.renene.2026.126404</w:t>
      </w:r>
    </w:p>
    <w:p>
      <w:pPr/>
      <w:r>
        <w:rPr>
          <w:b/>
        </w:rPr>
        <w:t>Shared claim-specific concepts:</w:t>
      </w:r>
      <w:r>
        <w:t xml:space="preserve"> eurostat, projections, indicate, significant; EU scope visible. This is a provisional connection, not an outcome finding.</w:t>
      </w:r>
    </w:p>
    <w:p>
      <w:pPr>
        <w:pStyle w:val="SourceNote"/>
      </w:pPr>
      <w:r>
        <w:rPr>
          <w:b/>
        </w:rPr>
        <w:t>Available abstract (not full text):</w:t>
      </w:r>
      <w:r>
        <w:t xml:space="preserve"> As the European Union accelerates photovoltaic deployment to achieve the milestones outlined in the 2025 National Energy and Climate Plans, accurate waste forecasting emerges as a significant challenge for the circular economy. This study re-evaluates EU-27 PV waste projections through 2050, comparing theoretical models with available empirical Eurostat collection data. Findings indicate that the standard IRENA Regular Loss model systematically underestimates waste generation, resulting in collection rates that exceed 200%. A new scenario, RL NEW , is proposed, featuring a revised Weibull parameterization and an updated time-variable mass-to-capacity transformation function. This alternative baseline scenario, screened for consistency against Eurostat aggregate data, forecasts cumulative 2025 waste volumes that are 214% higher than previous estimates. For the first time, projections are disaggregated by application, revealing a rooftop-dominated market in which 60% of waste necessitates decentralized logistics. The analysis identifies a bifurcated challenge: established operators should expand capacity to manage 65% of the European Union’s waste, while rapidly growing markets encounter surges up to 12,000-fold. Additionally, the Collection Difficulty Index is introduced to quantify the logistical impact of waste stream fragmentation, identifying a "Logistical Pivot" around 2030</w:t>
      </w:r>
    </w:p>
    <w:p>
      <w:pPr/>
      <w:r>
        <w:rPr>
          <w:b/>
        </w:rPr>
        <w:t>POSSIBLE 2026:</w:t>
      </w:r>
      <w:r>
        <w:t xml:space="preserve"> Impact of climate change on human mortality patterns — https://doi.org/10.48676/unibo/amsdottorato/13040</w:t>
      </w:r>
    </w:p>
    <w:p>
      <w:pPr/>
      <w:r>
        <w:rPr>
          <w:b/>
        </w:rPr>
        <w:t>Shared claim-specific concepts:</w:t>
      </w:r>
      <w:r>
        <w:t xml:space="preserve"> eurostat, projections, indicate; EU scope visible. This is a provisional connection, not an outcome finding.</w:t>
      </w:r>
    </w:p>
    <w:p>
      <w:pPr>
        <w:pStyle w:val="SourceNote"/>
      </w:pPr>
      <w:r>
        <w:rPr>
          <w:b/>
        </w:rPr>
        <w:t>Available abstract (not full text):</w:t>
      </w:r>
      <w:r>
        <w:t xml:space="preserve"> The increasing frequency and intensity of extreme weather events pose a growing public health threat. Evidence consistently demonstrates that the mortality risks associated with weather and climate extremes are not uniformly distributed, reflecting substantial geographical and social disparities. This thesis investigates global and European patterns of mortality risks related to extreme weather events, emphasizing population heterogeneity, regional and social vulnerabilities. Specifically, the thesis advances current understanding by (1) systematically synthesizing global evidence on climate-related mortality, (2) empirically examining the determinants of temperature related mortality across Europe, and (3) projecting future mortality under varying climate and socioeconomic scenarios. In the first part, a systematic review of quantitative observational studies is conducted using Web of Science and Scopus, following PRISMA guidelines. The second study involves an empirical analysis of Eurostat sub-national mortality data for adults aged 65 and above across 30 European countries (2014–2023) based on Poisson fixed-effects regression. In the third study, future projections of temperature-related mortality outcomes for 28 European countries are performed using socioeconomic and greenhouse gas emissions (SSP–RCP) scenarios. Key findings from the systematic literature review highlight</w:t>
      </w:r>
    </w:p>
    <w:p>
      <w:pPr/>
      <w:r>
        <w:rPr>
          <w:b/>
        </w:rPr>
        <w:t>POSSIBLE 2026:</w:t>
      </w:r>
      <w:r>
        <w:t xml:space="preserve"> Energy Supply Shocks and Inflation in Central and Eastern Europe: Evidence from Bayesian SVARs and Local Projections — https://doi.org/10.3390/commodities5030017</w:t>
      </w:r>
    </w:p>
    <w:p>
      <w:pPr/>
      <w:r>
        <w:rPr>
          <w:b/>
        </w:rPr>
        <w:t>Shared claim-specific concepts:</w:t>
      </w:r>
      <w:r>
        <w:t xml:space="preserve"> projections, indicate, poland; EU scope visible. This is a provisional connection, not an outcome finding.</w:t>
      </w:r>
    </w:p>
    <w:p>
      <w:pPr>
        <w:pStyle w:val="SourceNote"/>
      </w:pPr>
      <w:r>
        <w:rPr>
          <w:b/>
        </w:rPr>
        <w:t>Available abstract (not full text):</w:t>
      </w:r>
      <w:r>
        <w:t xml:space="preserve"> Energy price shocks have been the main drivers of inflation in Europe during the last decade. This paper examines cross-country differences in the transmission and magnitude of energy supply shocks in the Visegrád Group countries (Poland, Czechia, Hungary, and Slovakia) over the period 2015–2026. To identify energy-related disturbances and evaluate their macroeconomic effects, we estimate Bayesian Structural Vector Autoregressive (BSVAR) models with sign restrictions and complement the analysis with Local Projections. The results indicate substantial heterogeneity in inflation responses across countries. Oil supply shocks increase inflation by approximately 0.8 percentage points in Czechia and 0.7 percentage points in Hungary, compared with around 0.5 percentage points in Poland and Slovakia. Similar response patterns are observed for gas supply shocks, suggesting that stronger commodity price pass-through contributes to the larger inflationary effects in Czechia and Hungary. The analysis also reveals methodological challenges in identifying the effects of increased LNG imports. Both models indicate LNG-related shocks are highly correlated with pipeline gas supply shocks. In fact, its imports have mitigated energy shortages and reduced price pressures.</w:t>
      </w:r>
    </w:p>
    <w:p>
      <w:pPr/>
      <w:r>
        <w:rPr>
          <w:b/>
        </w:rPr>
        <w:t>POSSIBLE 2026:</w:t>
      </w:r>
      <w:r>
        <w:t xml:space="preserve"> Demographic Dependency and the Future of the European Workforce: A Spatial–Temporal Forecasting Approach — https://doi.org/10.3390/su18094468</w:t>
      </w:r>
    </w:p>
    <w:p>
      <w:pPr/>
      <w:r>
        <w:rPr>
          <w:b/>
        </w:rPr>
        <w:t>Shared claim-specific concepts:</w:t>
      </w:r>
      <w:r>
        <w:t xml:space="preserve"> eurostat, projections, indicate, significant, ageing, labour; EU scope visible. This is a provisional connection, not an outcome finding.</w:t>
      </w:r>
    </w:p>
    <w:p>
      <w:pPr>
        <w:pStyle w:val="SourceNote"/>
      </w:pPr>
      <w:r>
        <w:rPr>
          <w:b/>
        </w:rPr>
        <w:t>Available abstract (not full text):</w:t>
      </w:r>
      <w:r>
        <w:t xml:space="preserve"> This research paper examines the spatial and time variation of demographic dependency in Europe in a 30-year horizon of the evolution of the demographic dividend regarding the economic dependency ratio (ADR1). We used the Curve Fit Forecast tool to estimate the trends of ADR1 in each of the EU Member States using data on Eurostat projections and a sophisticated geostatistical analysis tool developed in ArcGIS Pro 3.2.2. The findings indicate that the dependency in all countries has increased significantly in a statistically significant manner as the Gompertz function has appeared as the best curve in a third of the cases. It is an S-shaped asymptotic behaviour of this function that effectively describes the nonlinear patterns of acceleration and saturation of demographic ageing. As indicated in the analysis, the European regions are increasingly moving apart, with the southern and eastern nations such as Romania demonstrating the most alarming decline in ADR1. These trends highlight the need to reform labour market policies and social protection mechanisms to an ageing population. The paper combines the curve-fitting, descriptive statistics (median, skewness, interquartile range (IQR)) with time clustering (value, correlation, and Fourier) to provide an effective, replicable approach to early warning and policy prioritisation. Overall, the results highlight the importance of in</w:t>
      </w:r>
    </w:p>
    <w:p>
      <w:pPr/>
      <w:r>
        <w:rPr>
          <w:b/>
        </w:rPr>
        <w:t>POSSIBLE 2025:</w:t>
      </w:r>
      <w:r>
        <w:t xml:space="preserve"> The burden of informal family caregiving in Europe, 2000–2050: a microsimulation modelling study — https://doi.org/10.1016/j.lanepe.2025.101295</w:t>
      </w:r>
    </w:p>
    <w:p>
      <w:pPr/>
      <w:r>
        <w:rPr>
          <w:b/>
        </w:rPr>
        <w:t>Shared claim-specific concepts:</w:t>
      </w:r>
      <w:r>
        <w:t xml:space="preserve"> eurostat, projections, indicate; EU scope visible. This is a provisional connection, not an outcome finding.</w:t>
      </w:r>
    </w:p>
    <w:p>
      <w:pPr>
        <w:pStyle w:val="SourceNote"/>
      </w:pPr>
      <w:r>
        <w:rPr>
          <w:b/>
        </w:rPr>
        <w:t>Available abstract (not full text):</w:t>
      </w:r>
      <w:r>
        <w:t xml:space="preserve"> Background: The demand for informal care in Europe is increasing, with family members often providing essential support. However, the future burden of informal family caregiving remains unclear. This study estimates and projects trends in the burden of family caregiving across 31 European countries from 2000 to 2050. Methods: We developed a demographic microsimulation model to estimate and project family care burden. The model produces virtual populations with realistic kinship networks and health trajectories over time. From these kinship structures, we defined a novel metric - Years Lived Caregiving for older relatives (YLCs). It accounts for care recipients' disability severity, care dynamics within kinship networks, and national institutional care capacity. Model inputs included demographic data from UN World Population Prospects, marital statistics from Eurostat, disease prevalence from the Global Burden of Disease study, and microdata from the SHARE survey. Findings: From 2000 to 2050, in Europe the overall burden for informal care is projected to increase by +49.7% (95% UI 45-53.6), from 7.98 (7.65-8.28) to 11.9 (11.4-12.5) million YLC. Musculoskeletal disorders are the largest cause of care burden, contributing to 2.3 (2.18-2.42) million YLC in 2050. Burden of informal care is disproportionally higher for women, although the gender gap is in a descending trend. Interpre</w:t>
      </w:r>
    </w:p>
    <w:p>
      <w:pPr/>
      <w:r>
        <w:rPr>
          <w:b/>
        </w:rPr>
        <w:t>POSSIBLE 2024:</w:t>
      </w:r>
      <w:r>
        <w:t xml:space="preserve"> Patterns of aortic valve replacement in Europe and adoption by sex — https://doi.org/10.1016/j.ijcard.2024.131996</w:t>
      </w:r>
    </w:p>
    <w:p>
      <w:pPr/>
      <w:r>
        <w:rPr>
          <w:b/>
        </w:rPr>
        <w:t>Shared claim-specific concepts:</w:t>
      </w:r>
      <w:r>
        <w:t xml:space="preserve"> eurostat, poland, significant; EU scope visible. This is a provisional connection, not an outcome finding.</w:t>
      </w:r>
    </w:p>
    <w:p>
      <w:pPr>
        <w:pStyle w:val="SourceNote"/>
      </w:pPr>
      <w:r>
        <w:rPr>
          <w:b/>
        </w:rPr>
        <w:t>Available abstract (not full text):</w:t>
      </w:r>
      <w:r>
        <w:t xml:space="preserve"> OBJECTIVE: Management of patients with severe aortic stenosis (AS) may differ according to the patient sex. This study aimed to describe patterns of aortic valve replacement (AVR) for severe AS across Europe, including stratification by sex. METHODS: Procedure volume data for surgical aortic valve replacement (SAVR) and transcatheter aortic valve implantation (TAVI) for six years (2015-2020) were extracted from national databases for Austria, Czech Republic, Denmark, England, Finland, France, Germany, Norway, Poland, Spain, Sweden, and Switzerland and stratified by sex. Patients per million population (PPM) undergoing AVR per year were calculated using population estimates from Eurostat. RESULTS: Between 2015 and 2019, AVR procedures grew at an average annual rate of 3.9%. In 2020, the average total PPM undergoing AVR across all countries was 339, with 51% of procedures being TAVI and 49% SAVR. AVR PPM varied widely between countries, with the highest and lowest in Germany and Poland, respectively. The average total PPM was higher for men than women (423 vs. 258), but a higher proportion of women (62%) than men (44%) received TAVI. The proportion of TAVI among total AVR procedures increased with age, with an overall average of 96% of men and 98% of women aged ≥85 years receiving TAVI; however, adoption of TAVI varied by country. CONCLUSIONS: The analysis of temporal trends in t</w:t>
      </w:r>
    </w:p>
    <w:p>
      <w:pPr/>
      <w:r>
        <w:rPr>
          <w:b/>
        </w:rPr>
        <w:t>POSSIBLE 2022:</w:t>
      </w:r>
      <w:r>
        <w:t xml:space="preserve"> Convergence of Population Structures of the European Union Member States—The Past and the Future — https://doi.org/10.3390/su14021024</w:t>
      </w:r>
    </w:p>
    <w:p>
      <w:pPr/>
      <w:r>
        <w:rPr>
          <w:b/>
        </w:rPr>
        <w:t>Shared claim-specific concepts:</w:t>
      </w:r>
      <w:r>
        <w:t xml:space="preserve"> eurostat, projections, indicate, see, significant, ageing; EU scope visible. This is a provisional connection, not an outcome finding.</w:t>
      </w:r>
    </w:p>
    <w:p>
      <w:pPr>
        <w:pStyle w:val="SourceNote"/>
      </w:pPr>
      <w:r>
        <w:rPr>
          <w:b/>
        </w:rPr>
        <w:t>Available abstract (not full text):</w:t>
      </w:r>
      <w:r>
        <w:t xml:space="preserve"> The Eurostat projections indicate that, by 2050, most of the European Union member states will see a fall in their population size, a drop in the share of young people, and a simultaneous rise in the share of elderly persons. There exist visible disproportions in the population structures between the EU countries, and the ageing of the population has two dimensions: it is occurring from the top down and from the bottom up. The goal of the study was to assess the stage of advancement and diversity of the ageing of population in the past and in the year 2050. Convergence models were designed for ten variables (indicators for structures by age, demographic dependency, median age) and a synthetic variable characterising the stage of advancement of the ageing of the structures. The occurrence of beta- and sigma-convergence of population structures in EU-27 in the years 2004–2020 and 2020–2050 were verified. The results indicate that absolute beta-convergence of the variables characterising the population structures in the EU countries happened in the past and will happen in around 2050. No unambiguous proof has been found for sigma-convergence, i.e., for any significant decrease over time in the diversity between the countries in terms of the studied variables that characterise the ageing process. In the past, the bottom-up ageing has occurred faster than the top-down ageing, while,</w:t>
      </w:r>
    </w:p>
    <w:p>
      <w:pPr/>
      <w:r>
        <w:rPr>
          <w:b/>
        </w:rPr>
        <w:t>POSSIBLE 2021:</w:t>
      </w:r>
      <w:r>
        <w:t xml:space="preserve"> Current and projected regional economic impacts of heatwaves in Europe — https://doi.org/10.1038/s41467-021-26050-z</w:t>
      </w:r>
    </w:p>
    <w:p>
      <w:pPr/>
      <w:r>
        <w:rPr>
          <w:b/>
        </w:rPr>
        <w:t>Shared claim-specific concepts:</w:t>
      </w:r>
      <w:r>
        <w:t xml:space="preserve"> projections, indicate, labour; EU scope visible. This is a provisional connection, not an outcome finding.</w:t>
      </w:r>
    </w:p>
    <w:p>
      <w:pPr>
        <w:pStyle w:val="SourceNote"/>
      </w:pPr>
      <w:r>
        <w:rPr>
          <w:b/>
        </w:rPr>
        <w:t>Available abstract (not full text):</w:t>
      </w:r>
      <w:r>
        <w:t xml:space="preserve"> Extreme heat undermines the working capacity of individuals, resulting in lower productivity, and thus economic output. Here we analyse the present and future economic damages due to reduced labour productivity caused by extreme heat in Europe. For the analysis of current impacts, we focused on heatwaves occurring in four recent anomalously hot years (2003, 2010, 2015, and 2018) and compared our findings to the historical period 1981-2010. In the selected years, the total estimated damages attributed to heatwaves amounted to 0.3-0.5% of European gross domestic product (GDP). However, the identified losses were largely heterogeneous across space, consistently showing GDP impacts beyond 1% in more vulnerable regions. Future projections indicate that by 2060 impacts might increase in Europe by a factor of almost five compared to the historical period 1981-2010 if no further mitigation or adaptation actions are taken, suggesting the presence of more pronounced effects in the regions where these damages are already acute.</w:t>
      </w:r>
    </w:p>
    <w:p>
      <w:pPr>
        <w:pStyle w:val="Heading2"/>
      </w:pPr>
      <w:r>
        <w:t>690. The development of a system of «green» skills in the strategizing of labor resources of industrial enterprises</w:t>
      </w:r>
    </w:p>
    <w:p>
      <w:pPr>
        <w:pStyle w:val="SourceNote"/>
      </w:pPr>
      <w:r>
        <w:rPr>
          <w:b/>
        </w:rPr>
        <w:t>Original source (2020):</w:t>
      </w:r>
      <w:r>
        <w:t xml:space="preserve"> https://doi.org/10.17073/2072-1633-2019-4-484-493</w:t>
      </w:r>
    </w:p>
    <w:p>
      <w:pPr/>
      <w:r>
        <w:t>Original wording (abstract; indexed_source_text_not_full_document_verified): The article presents the forecasts of the International Labor Organization until 2030 of a change in the need for professions, professional fields and related skills of subordinates and managers.</w:t>
      </w:r>
    </w:p>
    <w:p>
      <w:pPr/>
      <w:r>
        <w:rPr>
          <w:b/>
        </w:rPr>
        <w:t>POSSIBLE 2026:</w:t>
      </w:r>
      <w:r>
        <w:t xml:space="preserve"> FORECASTS OF THE NUMBER OF CATTLE GRAZED ON PASTURES IN THE REPUBLIC OF KARAKALPAKSTAN — https://doi.org/10.5281/zenodo.21772231</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This article presents forecasts for 2027–2031 of the total cattle population and the number of cattle grazedon pastures in the Republic of Karakalpakstan. The analysis is based on annual time-series data for 2010–2026 andemploys the Augmented Dickey–Fuller test, correlogram analysis and ARMAX models. A trend ARMAX (0,0,1) specificationwas selected for the total cattle population, while a quadratic-trend ARMAX(2,0,1) model was selected for pasture-grazedcattle. The forecast suggests that by 2031 the total cattle population may reach 1,483,420 heads and the pasture-grazedcattle population may reach 73,734 heads. The findings can be used to plan pasture load and support evidence-basedlivestock-management decisions.</w:t>
      </w:r>
    </w:p>
    <w:p>
      <w:pPr/>
      <w:r>
        <w:rPr>
          <w:b/>
        </w:rPr>
        <w:t>POSSIBLE 2026:</w:t>
      </w:r>
      <w:r>
        <w:t xml:space="preserve"> FORECASTS OF THE NUMBER OF CATTLE GRAZED ON PASTURES IN THE REPUBLIC OF KARAKALPAKSTAN — https://openalex.org/W7220162741</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This article presents forecasts for 2027–2031 of the total cattle population and the number of cattle grazedon pastures in the Republic of Karakalpakstan. The analysis is based on annual time-series data for 2010–2026 andemploys the Augmented Dickey–Fuller test, correlogram analysis and ARMAX models. A trend ARMAX (0,0,1) specificationwas selected for the total cattle population, while a quadratic-trend ARMAX(2,0,1) model was selected for pasture-grazedcattle. The forecast suggests that by 2031 the total cattle population may reach 1,483,420 heads and the pasture-grazedcattle population may reach 73,734 heads. The findings can be used to plan pasture load and support evidence-basedlivestock-management decisions.</w:t>
      </w:r>
    </w:p>
    <w:p>
      <w:pPr/>
      <w:r>
        <w:rPr>
          <w:b/>
        </w:rPr>
        <w:t>POSSIBLE 2026:</w:t>
      </w:r>
      <w:r>
        <w:t xml:space="preserve"> Forecasting flight delays in Poland using the Holt-Winters method — https://doi.org/10.5604/01.3001.0055.9300</w:t>
      </w:r>
    </w:p>
    <w:p>
      <w:pPr/>
      <w:r>
        <w:rPr>
          <w:b/>
        </w:rPr>
        <w:t>Shared claim-specific concepts:</w:t>
      </w:r>
      <w:r>
        <w:t xml:space="preserve"> article, presents, forecasts, need; EU scope visible. This is a provisional connection, not an outcome finding.</w:t>
      </w:r>
    </w:p>
    <w:p>
      <w:pPr>
        <w:pStyle w:val="SourceNote"/>
      </w:pPr>
      <w:r>
        <w:rPr>
          <w:b/>
        </w:rPr>
        <w:t>Available abstract (not full text):</w:t>
      </w:r>
      <w:r>
        <w:t xml:space="preserve"> This article presents forecasts of flight delays in the Polish airspace developed using the Holt-Winters model. The analysis covers monthly time series data from 2016 to 2025 for major airports, taking into account nine categories of delays, including reactionary, operational and weather-related delays. Using exponential smoothing models with trend and seasonality, optimized based on MAE and MAPE errors, the study demonstrated strong seasonality and upward trends in reactionary delays and capacity constraints. Forecasts for 2027–2035 predict an increase in the overall level of delays, accompanied by a decrease in delays generated directly by airlines. The results highlight the key role of the domino effect (reactionary delays) and emphasize the need to optimize air traffic management.</w:t>
      </w:r>
    </w:p>
    <w:p>
      <w:pPr/>
      <w:r>
        <w:rPr>
          <w:b/>
        </w:rPr>
        <w:t>POSSIBLE 2026:</w:t>
      </w:r>
      <w:r>
        <w:t xml:space="preserve"> Theory and Practice of Gas Consumption Forecasting in Planning the Development of Regional Gas Supply Systems — https://doi.org/10.1134/s1075700725700935</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Abstract— Gas consumption forecasting is essential for decision-making regarding the operation and development of the gas industry, a key sector within the nation’s fuel and energy complex. This article focuses specifically on medium-term consumption forecasts for a region—a federal subject of the Russian Federation. Such forecasts are required for developing and adjusting regional gas supply schemes. A forecast must account for the sequence of prior decisions and their actual implementation, as well as requests from potential consumers for natural gas service connection. The primary recommended methodology for medium-term forecasting is based on factor analysis approaches. The article presents forecasting results for nine Russian regions. These case studies convincingly demonstrate the advisability of segmenting regional consumption into three to four sectors; incorporating three climatic factors, rather than one, into models; and reducing the number of a priori selected socio-economic factors based on the analysis results.</w:t>
      </w:r>
    </w:p>
    <w:p>
      <w:pPr/>
      <w:r>
        <w:rPr>
          <w:b/>
        </w:rPr>
        <w:t>POSSIBLE 2026:</w:t>
      </w:r>
      <w:r>
        <w:t xml:space="preserve"> Density forecasting: A survey — https://doi.org/10.82444/warw.33523213</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A density forecast of the realization of a random variable at some future time is an estimate of the probability distribution of the possible future values of that variable. This article presents a selective survey of applications of density forecasting in macroeconomics and finance, and discusses some issues concerning the production, presentation, and evaluation of density forecasts. Copyright (C) 2000 John Wiley &amp; Sons, Ltd.</w:t>
      </w:r>
    </w:p>
    <w:p>
      <w:pPr/>
      <w:r>
        <w:rPr>
          <w:b/>
        </w:rPr>
        <w:t>POSSIBLE 2026:</w:t>
      </w:r>
      <w:r>
        <w:t xml:space="preserve"> AI Displacement Risk in the Labor Market: Evidence, Exposure, and the Imperative for Adaptive Organizational Strategy — https://doi.org/10.70175/hclreview.2020.33.2.6</w:t>
      </w:r>
    </w:p>
    <w:p>
      <w:pPr/>
      <w:r>
        <w:rPr>
          <w:b/>
        </w:rPr>
        <w:t>Shared claim-specific concepts:</w:t>
      </w:r>
      <w:r>
        <w:t xml:space="preserve"> article, presents, labor, skills; EU scope not established. This is a provisional connection, not an outcome finding.</w:t>
      </w:r>
    </w:p>
    <w:p>
      <w:pPr>
        <w:pStyle w:val="SourceNote"/>
      </w:pPr>
      <w:r>
        <w:rPr>
          <w:b/>
        </w:rPr>
        <w:t>Available abstract (not full text):</w:t>
      </w:r>
      <w:r>
        <w:t xml:space="preserve"> Artificial intelligence—particularly generative large language models (LLMs)—presents organizations with a transformative technology whose labor market implications remain nascent yet consequential. This article synthesizes emerging empirical research on AI-driven job displacement and augmentation, focusing on the gap between theoretical automation potential and observed real-world implementation. Drawing on recent studies that combine task-level exposure metrics with employment and usage data, it examines which occupations face greatest risk, how demographic characteristics intersect with exposure, and the limited but suggestive early evidence of labor market disruption. The article then proposes evidence-based organizational responses—ranging from transparent workforce planning and skills investment to redesigned roles and adaptive governance—alongside long-term capability-building strategies. By grounding recommendations in validated research, this work offers leaders a framework for navigating AI's labor implications responsibly, mitigating harm, and preparing for an accelerating pace of workplace transformation.</w:t>
      </w:r>
    </w:p>
    <w:p>
      <w:pPr/>
      <w:r>
        <w:rPr>
          <w:b/>
        </w:rPr>
        <w:t>POSSIBLE 2026:</w:t>
      </w:r>
      <w:r>
        <w:t xml:space="preserve"> FORECAST OF AGRICULTURAL AND RURAL TERRITORY DEVELOPMENT, TAKING INTO ACCOUNT DIVERSIFICATION OF ACTIVITIES BASED ON AGRICULTURAL TOURISM — https://doi.org/10.33305/263-124</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The development of rural areas and agriculture are interrelated, and the results of their development indicate strategic planning problems. Among the various areas of diversification, agritourism is the most significant for the development of agriculture and rural areas, combining the development of the territory and production into a single system and creating a synergistic effect. As an additional type of activity of agricultural producers, it is not a substitute, but stimulating the main production. This article presents forecasts for the development of agriculture and rural areas of the study region (using the example of the Kostroma region), taking into account the factor of their diversification based on agricultural tourism. Two types of forecasts have been developed: inertial and scenario. Inertial forecasts are built using trends based on the assumption that the prevailing trends are unchanged. Scenario forecasts take into account the impact of the development of agritourism on the indicators of agriculture and rural areas. Inertial and scenario forecasts of the main indicative indicators at different levels of the economic system in the studied region give different results. The developed forecasts can make it possible to carry out program-targeted planning, assess the effectiveness of the implementation of state regional programs, and adjust control actions.</w:t>
      </w:r>
    </w:p>
    <w:p>
      <w:pPr/>
      <w:r>
        <w:rPr>
          <w:b/>
        </w:rPr>
        <w:t>POSSIBLE 2025:</w:t>
      </w:r>
      <w:r>
        <w:t xml:space="preserve"> Review of Methods and Models for Forecasting Electricity Consumption — https://doi.org/10.3390/en18154032</w:t>
      </w:r>
    </w:p>
    <w:p>
      <w:pPr/>
      <w:r>
        <w:rPr>
          <w:b/>
        </w:rPr>
        <w:t>Shared claim-specific concepts:</w:t>
      </w:r>
      <w:r>
        <w:t xml:space="preserve"> article, presents, forecasts, need; EU scope not established. This is a provisional connection, not an outcome finding.</w:t>
      </w:r>
    </w:p>
    <w:p>
      <w:pPr>
        <w:pStyle w:val="SourceNote"/>
      </w:pPr>
      <w:r>
        <w:rPr>
          <w:b/>
        </w:rPr>
        <w:t>Available abstract (not full text):</w:t>
      </w:r>
      <w:r>
        <w:t xml:space="preserve"> This article presents a comprehensive review of methods used for forecasting electricity consumption. The studies analyzed by the authors encompass both classical statistical models and modern approaches based on artificial intelligence, including machine-learning and deep-learning techniques. Electricity load forecasting is categorized into four time horizons: very short term, short term, medium term, and long term. The authors conducted a comparative analysis of various models, such as autoregressive models, neural networks, fuzzy logic systems, hybrid models, and evolutionary algorithms. Particular attention was paid to the effectiveness of these methods in the context of variable input data, such as weather conditions, seasonal fluctuations, and changes in energy consumption patterns. The article emphasizes the growing importance of accurate forecasts in the context of the energy transition, integration of renewable energy sources, and the management of the evolving electricity system, shaped by decentralization, renewable integration, and data-intensive forecasting demands. In conclusion, the authors highlight the lack of a universal forecasting approach and the need for further research on hybrid models that combine interpretability with high predictive accuracy. This review can serve as a valuable resource for decision-makers, grid operators, and researchers involved in </w:t>
      </w:r>
    </w:p>
    <w:p>
      <w:pPr/>
      <w:r>
        <w:rPr>
          <w:b/>
        </w:rPr>
        <w:t>POSSIBLE 2025:</w:t>
      </w:r>
      <w:r>
        <w:t xml:space="preserve"> THE IMPROVEMENT OF PERSONNEL LABOR ORGANIZATION IN SERVICE SECTOR: THE INFLUENCE OF BRANCH FEATURES — https://doi.org/10.55421/2499992x_2025_5_38</w:t>
      </w:r>
    </w:p>
    <w:p>
      <w:pPr/>
      <w:r>
        <w:rPr>
          <w:b/>
        </w:rPr>
        <w:t>Shared claim-specific concepts:</w:t>
      </w:r>
      <w:r>
        <w:t xml:space="preserve"> article, presents, labor, organization, need; EU scope not established. This is a provisional connection, not an outcome finding.</w:t>
      </w:r>
    </w:p>
    <w:p>
      <w:pPr>
        <w:pStyle w:val="SourceNote"/>
      </w:pPr>
      <w:r>
        <w:rPr>
          <w:b/>
        </w:rPr>
        <w:t>Available abstract (not full text):</w:t>
      </w:r>
      <w:r>
        <w:t xml:space="preserve"> The article presents proposals for selecting priority areas of improving labor organization at a service enterprise. First of all, the management of a service enterprise is recommended to pay attention to the efficiency of employee labor (labor productivity). The author's view on the relationship between such concepts as labor efficiency, labor productivity, and key performance indicators is presented. The features of applying these concepts specifically in the service sector are analyzed. The conclusion is substantiated about the need to apply the concept of «labor efficiency» in the activities of a service enterprise because this concept the most accurately reflects the industry-specific features of the service sector. Recommendations are formulated for selecting units of measurement when calculating and analyzing labor efficiency indicators for personnel of a service enterprise. Possible difficulties in interpreting the results of evaluating the efficiency of personnel are analyzed...</w:t>
      </w:r>
    </w:p>
    <w:p>
      <w:pPr/>
      <w:r>
        <w:rPr>
          <w:b/>
        </w:rPr>
        <w:t>POSSIBLE 2025:</w:t>
      </w:r>
      <w:r>
        <w:t xml:space="preserve"> Monitoring of the Organization of Professional and Labor Education of Students in Vocational Education Institutions of the Moscow Region — https://doi.org/10.12737/1998-1740-2025-13-1-3-10</w:t>
      </w:r>
    </w:p>
    <w:p>
      <w:pPr/>
      <w:r>
        <w:rPr>
          <w:b/>
        </w:rPr>
        <w:t>Shared claim-specific concepts:</w:t>
      </w:r>
      <w:r>
        <w:t xml:space="preserve"> article, presents, labor, organization, professional, managers; EU scope not established. This is a provisional connection, not an outcome finding.</w:t>
      </w:r>
    </w:p>
    <w:p>
      <w:pPr>
        <w:pStyle w:val="SourceNote"/>
      </w:pPr>
      <w:r>
        <w:rPr>
          <w:b/>
        </w:rPr>
        <w:t>Available abstract (not full text):</w:t>
      </w:r>
      <w:r>
        <w:t xml:space="preserve"> The article is devoted to the results of monitoring the organization of vocational education and training in institutions of secondary vocational education (SPE) in the Moscow region. The purpose of the study was to develop recommendations for improving the effectiveness of vocational training based on an analysis of existing areas and results of labor education in professional educational organizations in the region. The article presents the results of a study to identify areas of labor education in vocational education organizations in the Moscow region, an analysis of the needs of enterprises in the region to attract young professionals, and a study of the results of early employment of young professionals in the branches of the Moscow region. In addition, the most effective projects, actions and events implemented by vocational education and training organizations were identified. Based on the results obtained, recommendations were developed to improve the organization of PTV in the organizations of the Moscow region. The article will be useful for managers and teachers of vocational education organizations, as well as for specialists involved in vocational education and youth employment.</w:t>
      </w:r>
    </w:p>
    <w:p>
      <w:pPr/>
      <w:r>
        <w:rPr>
          <w:b/>
        </w:rPr>
        <w:t>POSSIBLE 2025:</w:t>
      </w:r>
      <w:r>
        <w:t xml:space="preserve"> Transforming ensembles towards a target forecast with applications for seamless weather to subseasonal forecasting — https://doi.org/10.1002/qj.5051</w:t>
      </w:r>
    </w:p>
    <w:p>
      <w:pPr/>
      <w:r>
        <w:rPr>
          <w:b/>
        </w:rPr>
        <w:t>Shared claim-specific concepts:</w:t>
      </w:r>
      <w:r>
        <w:t xml:space="preserve"> article, presents, forecasts, need; EU scope not established. This is a provisional connection, not an outcome finding.</w:t>
      </w:r>
    </w:p>
    <w:p>
      <w:pPr>
        <w:pStyle w:val="SourceNote"/>
      </w:pPr>
      <w:r>
        <w:rPr>
          <w:b/>
        </w:rPr>
        <w:t>Available abstract (not full text):</w:t>
      </w:r>
      <w:r>
        <w:t xml:space="preserve"> Abstract It is common for forecasts like accumulated precipitation or average temperature over a period to be produced by different forecast systems, depending on the forecast lead time and period duration. For example, 24‐hr precipitation accumulations out to 7 days are typically produced by a different system than weekly precipitation accumulations out to 4 weeks. To provide a seamless forecast service over all periods and lead times, outputs from one system need to be post‐processed to be consistent with the other system for the overlapping prediction period, or outputs from both need to be blended together to form a new forecast. This article presents methods for post‐processing forecasts from an ensemble prediction system (EPS) so that its forecasts are consistent with statistically well‐defined forecasts produced by a second forecast system, called the target system. We provide methods for two cases: (a) when the cumulative distribution function of the target system is known or can be reconstructed, and (b) when the target system only provides a mean (i.e., expected) value forecast. These methods are illustrated for precipitation and air temperature using weather forecasts (as the target system) and a subseasonal to seasonal EPS, both from the Australian Bureau of Meteorology. It is found that enforcing consistency of daily EPS forecasts at lead days 1 to 7 results in wee</w:t>
      </w:r>
    </w:p>
    <w:p>
      <w:pPr/>
      <w:r>
        <w:rPr>
          <w:b/>
        </w:rPr>
        <w:t>POSSIBLE 2024:</w:t>
      </w:r>
      <w:r>
        <w:t xml:space="preserve"> Development of the international transportation projects in Russia – forecast until 2030 year — https://doi.org/10.64457/ru-science-2024-i03-a02</w:t>
      </w:r>
    </w:p>
    <w:p>
      <w:pPr/>
      <w:r>
        <w:rPr>
          <w:b/>
        </w:rPr>
        <w:t>Shared claim-specific concepts:</w:t>
      </w:r>
      <w:r>
        <w:t xml:space="preserve"> article, presents, forecasts, international, until; EU scope not established. This is a provisional connection, not an outcome finding.</w:t>
      </w:r>
    </w:p>
    <w:p>
      <w:pPr>
        <w:pStyle w:val="SourceNote"/>
      </w:pPr>
      <w:r>
        <w:rPr>
          <w:b/>
        </w:rPr>
        <w:t>Available abstract (not full text):</w:t>
      </w:r>
      <w:r>
        <w:t xml:space="preserve"> This article presents forecasts of the development of international infrastructure projects for the next decade. The author examines the transport infrastructure of Russia, sea and rail international transport corridors, highlighting the most promising areas for development. The article presents a retrospective of the formation of transport infrastructure from the beginning of the twentieth century to the present, and also examines promising areas for the development of transport logistics in modern realities. The historically established pattern is currently changing under the pressure of sanctions, and the political situation on the world stage is pushing to explore new directions and develop new international relations. In the article, the author tried to identify current trends in the development of the Russian transport network until 2030, considering examples of sea and rail transport routes.</w:t>
      </w:r>
    </w:p>
    <w:p>
      <w:pPr>
        <w:pStyle w:val="Heading2"/>
      </w:pPr>
      <w:r>
        <w:t>691. The role of gases in the European energy transition</w:t>
      </w:r>
    </w:p>
    <w:p>
      <w:pPr>
        <w:pStyle w:val="SourceNote"/>
      </w:pPr>
      <w:r>
        <w:rPr>
          <w:b/>
        </w:rPr>
        <w:t>Original source (2020):</w:t>
      </w:r>
      <w:r>
        <w:t xml:space="preserve"> https://doi.org/10.32609/j.ruje.6.55105</w:t>
      </w:r>
    </w:p>
    <w:p>
      <w:pPr/>
      <w:r>
        <w:t>Original wording (abstract; indexed_source_text_not_full_document_verified): Net zero targets for 2050 mean that in order to retain the gas market and the extensive network infrastructure which has been developed, zero carbon gases will need to be developed, and natural gas (methane) will need to be decarbonized. Maximum availability of biomethane and hydrogen from power to gas is estimated at 100–150 billion cubic meters by 2050 (or around 25–30% of gas demand in the late 2010s.</w:t>
      </w:r>
    </w:p>
    <w:p>
      <w:pPr/>
      <w:r>
        <w:rPr>
          <w:b/>
        </w:rPr>
        <w:t>POSSIBLE 2026:</w:t>
      </w:r>
      <w:r>
        <w:t xml:space="preserve"> Net Zero Emissions and Positive Energy Districts: A Potential Solution to Achieve the European Climate Targets — https://doi.org/10.1109/tia.2026.3661957</w:t>
      </w:r>
    </w:p>
    <w:p>
      <w:pPr/>
      <w:r>
        <w:rPr>
          <w:b/>
        </w:rPr>
        <w:t>Shared claim-specific concepts:</w:t>
      </w:r>
      <w:r>
        <w:t xml:space="preserve"> net, zero, targets;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CO2 in The Realm of Net-Zero — https://doi.org/10.30967/ijcrset/ekrem-alagoz/211</w:t>
      </w:r>
    </w:p>
    <w:p>
      <w:pPr/>
      <w:r>
        <w:rPr>
          <w:b/>
        </w:rPr>
        <w:t>Shared claim-specific concepts:</w:t>
      </w:r>
      <w:r>
        <w:t xml:space="preserve"> net, zero, carbon; EU scope not established. This is a provisional connection, not an outcome finding.</w:t>
      </w:r>
    </w:p>
    <w:p>
      <w:pPr>
        <w:pStyle w:val="SourceNote"/>
      </w:pPr>
      <w:r>
        <w:rPr>
          <w:b/>
        </w:rPr>
        <w:t>Available abstract (not full text):</w:t>
      </w:r>
      <w:r>
        <w:t xml:space="preserve"> The paper titled "CO2 in the realm of Net Zero" provides a detailed analysis of the efforts to reduce CO2 emissions and achieve net-zero emissions. The paper emphasizes the importance of reducing CO2 emissions to mitigate the impacts of climate change. The paper discusses the role of Carbon Capture, Utilization, and Storage (CCUS) technology in reducing CO2 emissions in the energy sector and analyzes different approaches towards achieving a net-zero emissions target. The paper also evaluates the challenges and opportunities for reducing CO2 emissions in the manufacturing and transportation industries. Additionally, the paper explores the concept of the circular carbon economy and its potential to reduce CO2 emissions. Finally, the paper summarizes the key findings from various case studies and analyses and highlights the overall challenges and opportunities for reducing CO2 emissions in various industries. The paper concludes by emphasizing the importance of continued efforts in this area and highlighting the implications for future initiatives in reducing CO2 emissions and achieving net-zero.</w:t>
      </w:r>
    </w:p>
    <w:p>
      <w:pPr/>
      <w:r>
        <w:rPr>
          <w:b/>
        </w:rPr>
        <w:t>POSSIBLE 2026:</w:t>
      </w:r>
      <w:r>
        <w:t xml:space="preserve"> Global Pathways to Net Zero — https://doi.org/10.4018/979-8-3373-5238-1.ch014</w:t>
      </w:r>
    </w:p>
    <w:p>
      <w:pPr/>
      <w:r>
        <w:rPr>
          <w:b/>
        </w:rPr>
        <w:t>Shared claim-specific concepts:</w:t>
      </w:r>
      <w:r>
        <w:t xml:space="preserve"> net, zero, targets, gas, carbon; EU scope visible. This is a provisional connection, not an outcome finding.</w:t>
      </w:r>
    </w:p>
    <w:p>
      <w:pPr>
        <w:pStyle w:val="SourceNote"/>
      </w:pPr>
      <w:r>
        <w:rPr>
          <w:b/>
        </w:rPr>
        <w:t>Available abstract (not full text):</w:t>
      </w:r>
      <w:r>
        <w:t xml:space="preserve"> This study evaluated corporate alignment with the 2050 Net Zero Emissions targets, a cornerstone of the global transition to a low-carbon economy as mandated by the Paris Agreement. Utilizing the Transition Pathway Initiative (TPI) framework, as endorsed by OECD reports, we analyzed the carbon performance of 2,028 firms across 24 sectors and 28 countries. Companies are scored on a 0–5 scale, with 5 indicating the highest alignment with net-zero goals. Through descriptive statistics, statistical analyses, and hierarchical clustering, we assessed performance variations by firm size, sector, and countries, comparing their alignment with Paris-Compliant Pathways. Results reveal that larger firms, sectors such as telecommunications and oil &amp; gas, and European countries like Denmark and France exhibit superior carbon management, while smaller firms, carbon-intensive sectors like coal mining, and regions like China and the Middle East lag. These findings reveal sectoral and regional disparities, offering actionable insights to guide decarbonization efforts by policymakers and investors.</w:t>
      </w:r>
    </w:p>
    <w:p>
      <w:pPr/>
      <w:r>
        <w:rPr>
          <w:b/>
        </w:rPr>
        <w:t>POSSIBLE 2025:</w:t>
      </w:r>
      <w:r>
        <w:t xml:space="preserve"> An empirical analysis of net-zero emission targets of Canada and the European Union — https://doi.org/10.21622/maci.2025.02.1.1252</w:t>
      </w:r>
    </w:p>
    <w:p>
      <w:pPr/>
      <w:r>
        <w:rPr>
          <w:b/>
        </w:rPr>
        <w:t>Shared claim-specific concepts:</w:t>
      </w:r>
      <w:r>
        <w:t xml:space="preserve"> net, zero, targets, gas, gases; EU scope visible. This is a provisional connection, not an outcome finding.</w:t>
      </w:r>
    </w:p>
    <w:p>
      <w:pPr>
        <w:pStyle w:val="SourceNote"/>
      </w:pPr>
      <w:r>
        <w:rPr>
          <w:b/>
        </w:rPr>
        <w:t>Available abstract (not full text):</w:t>
      </w:r>
      <w:r>
        <w:t xml:space="preserve"> This analysis examines the emission trajectories of Canada and the EU27 that purportedly lead to a point of net zero emissions of greenhouse gases in 2050. It is shown that a country’s emission intensities are limited by a lower bound which effectively restricts the reduction to greenhouse gas emissions to a level moderated by a country’s GDP per capita. For Canada, the proposed path to net zero emissions is shown to be technically feasible, but dependent on the deployment of a suite of engineered negative emission technologies none of which have been demonstrated at scale. In the case of the EU27, it is shown that the proposed path to a condition of net zero emissions in 2050 is not a plausible scenario and that emissions of greenhouse gases in that year are likely to be more than three times higher than the level projected by the European Commission. Received on, 07 March 2025 Accepted on, 10 April 2025 Published on, 27 April 2025</w:t>
      </w:r>
    </w:p>
    <w:p>
      <w:pPr/>
      <w:r>
        <w:rPr>
          <w:b/>
        </w:rPr>
        <w:t>POSSIBLE 2025:</w:t>
      </w:r>
      <w:r>
        <w:t xml:space="preserve"> UPAYA UNI EROPA MELALUI EUROPEAN GREEN DEAL DALAM MENCAPAI TARGET NET ZERO EMISSION — https://openalex.org/W7125889081</w:t>
      </w:r>
    </w:p>
    <w:p>
      <w:pPr/>
      <w:r>
        <w:rPr>
          <w:b/>
        </w:rPr>
        <w:t>Shared claim-specific concepts:</w:t>
      </w:r>
      <w:r>
        <w:t xml:space="preserve"> net, zero, gas; EU scope visible. This is a provisional connection, not an outcome finding.</w:t>
      </w:r>
    </w:p>
    <w:p>
      <w:pPr>
        <w:pStyle w:val="SourceNote"/>
      </w:pPr>
      <w:r>
        <w:rPr>
          <w:b/>
        </w:rPr>
        <w:t>Available abstract (not full text):</w:t>
      </w:r>
      <w:r>
        <w:t xml:space="preserve"> Perubahan iklim menjadi salah satu tantangan global yang mendesak, mendorong negara-negara untuk mengambil langkah konkret dalam mengurangi emisi gas rumah kaca. Uni Eropa, sebagai pemimpin dalam kebijakan iklim global, berupaya untuk mencapai Net Zero Emission 2050 melalui inisiatif European Green Deal. Kebijakan ini dirancang untuk mempercepat transisi menuju net zero emission dengan menerapkan langkah-langkah strategis di berbagai sektor, seperti energi, transportasi, ekonomi sirkular, pertanian, dan keanekaragaman hayati. Penelitian ini menganalisis European Green Deal dalam mencapai target Net Zero Emission serta mengidentifikasi tantangan yang dihadapi dalam prosesnya. Penelitian ini menggunakan metode kualitatif deskriptif dengan pendekatan studi kepustakaan. Data diperoleh melalui analisis kebijakan Uni Eropa, dokumen resmi, jurnal akademik, serta laporan dari organisasi internasional dengan meninjau permasalahan tersebut menggunakan International Regimes Theory menjelaskan bagaimana Uni Eropa membentuk dan menerapkan kebijakan lingkungan European Green Deal terbentuk karena Norma internasional dalam tata kelola global serta pengaruh dari ratifikasi Paris Agreement, sementara Environmental Security mengkaji bagaimana upaya yang dibuat oleh Uni Eropa dalam European Green Deal dalam mencapai target net zero emission dan mengetahui tantangan-tantangan dalam European Green </w:t>
      </w:r>
    </w:p>
    <w:p>
      <w:pPr/>
      <w:r>
        <w:rPr>
          <w:b/>
        </w:rPr>
        <w:t>POSSIBLE 2025:</w:t>
      </w:r>
      <w:r>
        <w:t xml:space="preserve"> The role of energy storage towards net-zero emissions in the European electricity system — https://doi.org/10.1016/j.enconman.2025.119887</w:t>
      </w:r>
    </w:p>
    <w:p>
      <w:pPr/>
      <w:r>
        <w:rPr>
          <w:b/>
        </w:rPr>
        <w:t>Shared claim-specific concepts:</w:t>
      </w:r>
      <w:r>
        <w:t xml:space="preserve"> net, carbon, need, hydrogen; EU scope visible. This is a provisional connection, not an outcome finding.</w:t>
      </w:r>
    </w:p>
    <w:p>
      <w:pPr>
        <w:pStyle w:val="SourceNote"/>
      </w:pPr>
      <w:r>
        <w:rPr>
          <w:b/>
        </w:rPr>
        <w:t>Available abstract (not full text):</w:t>
      </w:r>
      <w:r>
        <w:t xml:space="preserve"> This study investigates the role of different energy storage technologies in a European electricity sector that complies with the target of net-zero carbon emissions in 2050. We consider three energy storage technologies, namely battery, pumped hydro, and hydrogen storage. We find that the cost-minimal energy storage mix in a country depends on the generation mix, and we identify three country archetypes in Europe based on the prevailing energy storage technology. When available, pumped hydro dominates the storage mix, reducing the need for new battery and hydrogen storage installations. Overall, short-term battery storage best captures solar fluctuations and is optimally combined with solar generation, while long-term hydrogen storage compensates for both solar and wind peak generation. Moreover, we quantify the impact of modeling the European system with different spatial resolutions and net self-sufficiency scales, from regional to continental, on the optimal energy storage mix. The comparative assessment of different spatial resolutions shows that the amount of energy storage installed, and especially the amount of hydrogen storage, increases significantly for higher spatial resolutions.</w:t>
      </w:r>
    </w:p>
    <w:p>
      <w:pPr/>
      <w:r>
        <w:rPr>
          <w:b/>
        </w:rPr>
        <w:t>POSSIBLE 2025:</w:t>
      </w:r>
      <w:r>
        <w:t xml:space="preserve"> Green energy and steel imports reduce Europe’s net-zero infrastructure needs — https://doi.org/10.1038/s41467-025-60652-1</w:t>
      </w:r>
    </w:p>
    <w:p>
      <w:pPr/>
      <w:r>
        <w:rPr>
          <w:b/>
        </w:rPr>
        <w:t>Shared claim-specific concepts:</w:t>
      </w:r>
      <w:r>
        <w:t xml:space="preserve"> infrastructure, carbon, need, hydrogen; EU scope visible. This is a provisional connection, not an outcome finding.</w:t>
      </w:r>
    </w:p>
    <w:p>
      <w:pPr>
        <w:pStyle w:val="SourceNote"/>
      </w:pPr>
      <w:r>
        <w:rPr>
          <w:b/>
        </w:rPr>
        <w:t>Available abstract (not full text):</w:t>
      </w:r>
      <w:r>
        <w:t xml:space="preserve"> Importing renewable energy to Europe may offer many potential benefits, including reduced energy costs, lower pressure on infrastructure development, and less land use within Europe. However, open questions remain: on the achievable cost reductions, how much should be imported, whether the energy vector should be electricity, hydrogen, or derivatives like ammonia or steel, and their impact on Europe's infrastructure needs. This study integrates a global energy supply chain model with a European energy system model to explore net-zero emission scenarios with varying import volumes, costs, and vectors. We find system cost reductions of 1-10%, within import cost variations of ± 20%, with diminishing returns for larger import volumes and a preference for methanol, steel and hydrogen imports. Keeping some domestic power-to-X production is beneficial for integrating variable renewables, leveraging local carbon sources and power-to-X waste heat. Our findings highlight the need for coordinating import strategies with infrastructure policy and reveal maneuvering space for incorporating non-cost decision factors.</w:t>
      </w:r>
    </w:p>
    <w:p>
      <w:pPr/>
      <w:r>
        <w:rPr>
          <w:b/>
        </w:rPr>
        <w:t>POSSIBLE 2025:</w:t>
      </w:r>
      <w:r>
        <w:t xml:space="preserve"> Carbon storage portfolios for the transition to net zero — https://doi.org/10.1016/j.joule.2025.102164</w:t>
      </w:r>
    </w:p>
    <w:p>
      <w:pPr/>
      <w:r>
        <w:rPr>
          <w:b/>
        </w:rPr>
        <w:t>Shared claim-specific concepts:</w:t>
      </w:r>
      <w:r>
        <w:t xml:space="preserve"> net, zero, targets, carbon; EU scope not established. This is a provisional connection, not an outcome finding.</w:t>
      </w:r>
    </w:p>
    <w:p>
      <w:pPr>
        <w:pStyle w:val="SourceNote"/>
      </w:pPr>
      <w:r>
        <w:rPr>
          <w:b/>
        </w:rPr>
        <w:t>Available abstract (not full text):</w:t>
      </w:r>
      <w:r>
        <w:t xml:space="preserve"> Net-zero targets are widely adopted by companies and countries worldwide. To achieve these goals, more companies are investing in diverse carbon removal portfolios. This study develops a new risk management framework that combines forestry, biochar, and geological storage offsets into portfolios that could stabilize global temperatures over multi-century time periods. We find that if a carbon storage portfolio reaches an equilibrium state of CO 2 stored, it can be leveraged to stabilize global temperatures by increasing the size of the portfolio relative to the amount of removal claimed. For moderate-risk primarily forestry portfolios retaining 0.75–0.55 tCO 2 of the 1 tCO 2 stored, an additional 0.30–0.80 tCO 2 removal is needed to offset re-releases over 1,000 years. High-risk portfolios retaining only 0.10 tCO 2 require over 9 tCO 2 additional removal. Portfolios that are predicted to re-release almost all CO 2 cannot be leveraged and are ineffective at meeting temperature stabilization goals. These findings have implications for policy and corporate climate action.</w:t>
      </w:r>
    </w:p>
    <w:p>
      <w:pPr/>
      <w:r>
        <w:rPr>
          <w:b/>
        </w:rPr>
        <w:t>POSSIBLE 2025:</w:t>
      </w:r>
      <w:r>
        <w:t xml:space="preserve"> Waste-to-energy: How Europe can avoid sleepwalking into a landfill catastrophe and achieve net zero — https://doi.org/10.56367/oag-048-12250</w:t>
      </w:r>
    </w:p>
    <w:p>
      <w:pPr/>
      <w:r>
        <w:rPr>
          <w:b/>
        </w:rPr>
        <w:t>Shared claim-specific concepts:</w:t>
      </w:r>
      <w:r>
        <w:t xml:space="preserve"> net, zero, targets; EU scope visible. This is a provisional connection, not an outcome finding.</w:t>
      </w:r>
    </w:p>
    <w:p>
      <w:pPr>
        <w:pStyle w:val="SourceNote"/>
      </w:pPr>
      <w:r>
        <w:rPr>
          <w:b/>
        </w:rPr>
        <w:t>Available abstract (not full text):</w:t>
      </w:r>
      <w:r>
        <w:t xml:space="preserve"> Waste-to-energy: How Europe can avoid sleepwalking into a landfill catastrophe and achieve net zero Vanessa Fakra at Kanadevia Inova AG discusses waste-to-energy, including how Europe can avoid sleepwalking into a landfill catastrophe while achieving net zero. The European Union (EU) has ambitious landfill reduction targets of 10% or less by 2035. On the other hand, the European Commission is currently assessing the inclusion of the Waste to Energy and or the whole waste sector in the EU Emissions Trading System (ETS). This move could be counterproductive, as it penalizes technologies such as Waste to Energy (WtE) that are crucial for achieving net-zero goals.</w:t>
      </w:r>
    </w:p>
    <w:p>
      <w:pPr/>
      <w:r>
        <w:rPr>
          <w:b/>
        </w:rPr>
        <w:t>POSSIBLE 2025:</w:t>
      </w:r>
      <w:r>
        <w:t xml:space="preserve"> Electricity- and hydrogen-driven energy system sector-coupling in net-zero CO2 emission pathways — https://doi.org/10.1038/s41467-025-56365-0</w:t>
      </w:r>
    </w:p>
    <w:p>
      <w:pPr/>
      <w:r>
        <w:rPr>
          <w:b/>
        </w:rPr>
        <w:t>Shared claim-specific concepts:</w:t>
      </w:r>
      <w:r>
        <w:t xml:space="preserve"> gas, need, hydrogen; EU scope visible. This is a provisional connection, not an outcome finding.</w:t>
      </w:r>
    </w:p>
    <w:p>
      <w:pPr>
        <w:pStyle w:val="SourceNote"/>
      </w:pPr>
      <w:r>
        <w:rPr>
          <w:b/>
        </w:rPr>
        <w:t>Available abstract (not full text):</w:t>
      </w:r>
      <w:r>
        <w:t xml:space="preserve"> Electricity- and hydrogen-based sector coupling contributes to realizing the transition towards greenhouse gas neutrality in the European energy system. Energy system and integrated assessment models show that, to follow pathways compatible with the European policy target of net-zero greenhouse gas emissions by 2050, large amounts of renewable electricity and H2 need to be generated, mostly by scaling-up wind and solar energy production capacity. With a set of such models, under jointly adopted deep decarbonisation scenario assumptions, we here show that the ensuing direct penetration of electricity and H2 in final energy consumption may rise to average shares of around 60% and 6%, respectively, by 2050. We demonstrate that electrification proves the most cost-efficient decarbonisation route in all economic sectors, while the direct use of H2 in final energy consumption provides a relatively small, though essential, contribution to deep decarbonisation. We conclude that the variance observed across results from different models reflects the uncertainties that abound in the shape of deep decarbonisation pathways, in particular with regard to the role of H2. Multiple energy system models are used under jointly adopted deep decarbonisation scenarios to conclude that the direct penetration of electricity and hydrogen in final energy consumption may rise to shares of, respectively, </w:t>
      </w:r>
    </w:p>
    <w:p>
      <w:pPr/>
      <w:r>
        <w:rPr>
          <w:b/>
        </w:rPr>
        <w:t>POSSIBLE 2024:</w:t>
      </w:r>
      <w:r>
        <w:t xml:space="preserve"> Managing CO2 under global and country-specific net-zero emissions targets in Europe — https://doi.org/10.48550/arxiv.2407.18653</w:t>
      </w:r>
    </w:p>
    <w:p>
      <w:pPr/>
      <w:r>
        <w:rPr>
          <w:b/>
        </w:rPr>
        <w:t>Shared claim-specific concepts:</w:t>
      </w:r>
      <w:r>
        <w:t xml:space="preserve"> targets, gas, network, carbon, methane; EU scope visible. This is a provisional connection, not an outcome finding.</w:t>
      </w:r>
    </w:p>
    <w:p>
      <w:pPr>
        <w:pStyle w:val="SourceNote"/>
      </w:pPr>
      <w:r>
        <w:rPr>
          <w:b/>
        </w:rPr>
        <w:t>Available abstract (not full text):</w:t>
      </w:r>
      <w:r>
        <w:t xml:space="preserve"> The European Union (EU) aims to reach carbon neutrality by 2050. This requires capturing CO2, eventually transporting it to different regions, and either converting it into valuable products or sequestering it underground. Although the target is set for the entire EU, in practice, most of the governance and strategy to attain it remains in the individual member states. Previous literature modelling how Europe can achieve carbon neutrality has either considered only a global CO2 limit or used coarse spatial and temporal representation without proper network modelling. Here, we use a highly-resolved open model of the European sector-coupled energy system, PyPSA-Eur, to explore the impacts of imposing net-zero emissions globally for the entire EU versus imposing carbon neutrality for each country. Forcing net-zero emissions in every country increases system cost by 1.4%, demands varied CO2 prices, and triggers higher investment in direct air capture and renewable capacities. Furthermore, in both scenarios, a significant portion of the captured CO2 is transported across Europe, either directly via CO2 pipelines or indirectly via solid biomass or synthetic methane gas, methanol, and oil. Our research enables quantifying the impact of following a collaborative or self-sufficient carbon management strategy to attain carbon neutrality.</w:t>
      </w:r>
    </w:p>
    <w:p>
      <w:pPr/>
      <w:r>
        <w:rPr>
          <w:b/>
        </w:rPr>
        <w:t>POSSIBLE 2024:</w:t>
      </w:r>
      <w:r>
        <w:t xml:space="preserve"> Net Zero Emissions and Positive Energy Districts: A Potential Solution to Achieve the European Climate Targets — https://doi.org/10.1109/eeeic/icpseurope61470.2024.10751307</w:t>
      </w:r>
    </w:p>
    <w:p>
      <w:pPr/>
      <w:r>
        <w:rPr>
          <w:b/>
        </w:rPr>
        <w:t>Shared claim-specific concepts:</w:t>
      </w:r>
      <w:r>
        <w:t xml:space="preserve"> net, zero, targets, network, developed, carbon; EU scope visible. This is a provisional connection, not an outcome finding.</w:t>
      </w:r>
    </w:p>
    <w:p>
      <w:pPr>
        <w:pStyle w:val="SourceNote"/>
      </w:pPr>
      <w:r>
        <w:rPr>
          <w:b/>
        </w:rPr>
        <w:t>Available abstract (not full text):</w:t>
      </w:r>
      <w:r>
        <w:t xml:space="preserve"> Net-zero emissions and positive energy districts are innovative urban planning solutions for reaching the decarbonization targets defined by the European Commission. Districts are gaining wide attention representing communities where different elements and energy systems are interconnected, leading to potential opportunities for achieving climate neutrality that may not be achievable at the level of individual buildings. In addition, the evaluation of the performances has shifted from a nearly zero-energy approach to more demanding and rigorous concepts of positive energy and zero climate emissions. To this end, the authors show and describe a case study related to a new district that will be built in Bologna (41 400 m2 of heated/cooled floor surface area). The theoretical energy demand plus the 5th generation district heating and cooling network supplying the buildings and the electricity produced by the on-site photovoltaic plant (and the associated climate profiles) are evaluated by a Fortran App specifically developed. The net balance approach (used for reaching carbon neutrality) was calculated using the process-based life cycle assessment method. The authors show the outcomes obtained and potential solutions for decarbonization.</w:t>
      </w:r>
    </w:p>
    <w:p>
      <w:pPr>
        <w:pStyle w:val="Heading2"/>
      </w:pPr>
      <w:r>
        <w:t>692. Toward a Diagnostic Tool for Organizational Ethical Culture With Futures Thinking and Scenario Planning</w:t>
      </w:r>
    </w:p>
    <w:p>
      <w:pPr>
        <w:pStyle w:val="SourceNote"/>
      </w:pPr>
      <w:r>
        <w:rPr>
          <w:b/>
        </w:rPr>
        <w:t>Original source (2020):</w:t>
      </w:r>
      <w:r>
        <w:t xml:space="preserve"> https://doi.org/10.1109/tem.2020.3018309</w:t>
      </w:r>
    </w:p>
    <w:p>
      <w:pPr/>
      <w:r>
        <w:t>Original wording (abstract; indexed_source_text_not_full_document_verified): By gathering and analyzing diverse macro (contextual) and micro (transactional) points of view, here called “partial truths,” this article investigates how scenario planning could be used as a complementary tool to diagnose disruptions that may impact an organization's ethical culture. The combined study led to a framework of pragmatic ethics and systems thinking that broadens our understanding of the main themes that lead to disruptions that managers believed would impact ethical culture.</w:t>
      </w:r>
    </w:p>
    <w:p>
      <w:pPr/>
      <w:r>
        <w:rPr>
          <w:b/>
        </w:rPr>
        <w:t>POSSIBLE 2026:</w:t>
      </w:r>
      <w:r>
        <w:t xml:space="preserve"> Mapping the Evidence on Antimicrobial Resistance Transmission in Mass Gatherings: A Scoping Review — https://doi.org/10.17605/osf.io/9hq5t</w:t>
      </w:r>
    </w:p>
    <w:p>
      <w:pPr/>
      <w:r>
        <w:rPr>
          <w:b/>
        </w:rPr>
        <w:t>Shared claim-specific concepts:</w:t>
      </w:r>
      <w:r>
        <w:t xml:space="preserve"> gathering, analyzing, diverse, contextual; EU scope not established. This is a provisional connection, not an outcome finding.</w:t>
      </w:r>
    </w:p>
    <w:p>
      <w:pPr>
        <w:pStyle w:val="SourceNote"/>
      </w:pPr>
      <w:r>
        <w:rPr>
          <w:b/>
        </w:rPr>
        <w:t>Available abstract (not full text):</w:t>
      </w:r>
      <w:r>
        <w:t xml:space="preserve"> This project outlines a scoping review protocol designed to systematically map the global evidence base on antimicrobial resistance (AMR) dynamics within mass gathering contexts, such as religious pilgrimages and secular festivals. Mass gatherings present a critical public health vulnerability where diverse populations and shared infrastructure facilitate the acquisition, amplification, and international dissemination of resistant pathogens. Despite this clear epidemiological risk, the literature has not yet been comprehensively characterized. This review aims to identify the specific types of gatherings, organisms, and phenotypic or genotypic resistance mechanisms represented in published studies, while analyzing the study designs, sampling strategies, and analytical methodologies employed. Ultimately, this work will expose critical geographic, contextual, and methodological gaps in the current literature, establishing a mapped evidence base to inform future primary research priorities, rational surveillance design, and evidence-based One Health policy interventions.</w:t>
      </w:r>
    </w:p>
    <w:p>
      <w:pPr/>
      <w:r>
        <w:rPr>
          <w:b/>
        </w:rPr>
        <w:t>POSSIBLE 2026:</w:t>
      </w:r>
      <w:r>
        <w:t xml:space="preserve"> Dialogic Feminist Gatherings: Intergenerational Impact on Preventive Socialization of Gender Violence — https://doi.org/10.3390/socsci15020075</w:t>
      </w:r>
    </w:p>
    <w:p>
      <w:pPr/>
      <w:r>
        <w:rPr>
          <w:b/>
        </w:rPr>
        <w:t>Shared claim-specific concepts:</w:t>
      </w:r>
      <w:r>
        <w:t xml:space="preserve"> analyzing, diverse; EU scope not established. This is a provisional connection, not an outcome finding.</w:t>
      </w:r>
    </w:p>
    <w:p>
      <w:pPr>
        <w:pStyle w:val="SourceNote"/>
      </w:pPr>
      <w:r>
        <w:rPr>
          <w:b/>
        </w:rPr>
        <w:t>Available abstract (not full text):</w:t>
      </w:r>
      <w:r>
        <w:t xml:space="preserve"> Background: Dialogic Feminist Gatherings (DFGs) fostered gender violence prevention among adolescents and young women in diverse educational settings. However, little was known about their impact on adult and older women without higher education, particularly regarding their contributions to broader social change through family and community relationships. This study addressed that gap by analyzing a DFG held in an adult education school in Barcelona with women from diverse backgrounds, as part of the R + D + i ALL WOMEN research project, aligned with Sustainable Development Goal 5. Methods: Using a qualitative case study with communicative methodology, the research drew on communicative observations, life stories, and a focus group. Results: Findings revealed that DFGs empowered participants individually and had a ripple effect in their communities. Through intergenerational dialogues with children, grandchildren, nieces, and nephews, participants began to challenge and transform socialization patterns linked to gender violence risk factors. Conclusions: The study highlights the transformative potential of DFGs beyond formal education. It underscores the value of integrating dialogic and community-based approaches into adult education to promote gender equality and prevent violence across generations.</w:t>
      </w:r>
    </w:p>
    <w:p>
      <w:pPr/>
      <w:r>
        <w:rPr>
          <w:b/>
        </w:rPr>
        <w:t>POSSIBLE 2026:</w:t>
      </w:r>
      <w:r>
        <w:t xml:space="preserve"> Adoption of Digital Micro Wakaf Bank by Ultra-Micro and Micro Businesses in Indonesia — https://doi.org/10.62159/sembj.v7i2.2237</w:t>
      </w:r>
    </w:p>
    <w:p>
      <w:pPr/>
      <w:r>
        <w:rPr>
          <w:b/>
        </w:rPr>
        <w:t>Shared claim-specific concepts:</w:t>
      </w:r>
      <w:r>
        <w:t xml:space="preserve"> micro, called, partial, used; EU scope not established. This is a provisional connection, not an outcome finding.</w:t>
      </w:r>
    </w:p>
    <w:p>
      <w:pPr>
        <w:pStyle w:val="SourceNote"/>
      </w:pPr>
      <w:r>
        <w:rPr>
          <w:b/>
        </w:rPr>
        <w:t>Available abstract (not full text):</w:t>
      </w:r>
      <w:r>
        <w:t xml:space="preserve"> Background: Micro, small, and medium enterprises (MSMEs) are the backbone of the economy of Indonesia. Despite that fact, ultra-micro and micro entrepreneurs still face several constraints. Micro Waqf Bank (MWB) is one solution that utilizes Islamic social funds. This solution develops digital financial services to expand access to financing, efficiency of services, and business development. The limited study of ultra-micro and micro-entrepreneurs’ adoption of MWB’s digitalization makes this research important. Method: This research uses a mixed-methods approach, combining quantitative and qualitative methods. In this research, a sequential/stepwise mixed-methods strategy was used, with a sequential exploratory design. The analysis technique used in this research is a qualitative descriptive analysis technique, or what is usually called explanation making, namely, by using data analysis methods and describing the results of interview observations to find out in depth about the adoption of digital MWBs in the 5 MWBs. The quantitative method data analysis technique used by researchers uses the Partial Least Squares (PLS) method with SmartPLS software. Results: The research results show that there are several obstacles that prevent the use of the MWB mobile from being used comprehensively. However, the intention of ultramicro and micro business actors who are BMW customers to use </w:t>
      </w:r>
    </w:p>
    <w:p>
      <w:pPr/>
      <w:r>
        <w:rPr>
          <w:b/>
        </w:rPr>
        <w:t>POSSIBLE 2026:</w:t>
      </w:r>
      <w:r>
        <w:t xml:space="preserve"> Brief Analysis of Corrosion and Scaling Problems in Crude Oil Gathering and Transportation Systems and Its Anti-Corrosion Countermeasures — https://doi.org/10.12677/jogt.2026.483056</w:t>
      </w:r>
    </w:p>
    <w:p>
      <w:pPr/>
      <w:r>
        <w:rPr>
          <w:b/>
        </w:rPr>
        <w:t>Shared claim-specific concepts:</w:t>
      </w:r>
      <w:r>
        <w:t xml:space="preserve"> gathering, diverse, disruptions; EU scope not established. This is a provisional connection, not an outcome finding.</w:t>
      </w:r>
    </w:p>
    <w:p>
      <w:pPr>
        <w:pStyle w:val="SourceNote"/>
      </w:pPr>
      <w:r>
        <w:rPr>
          <w:b/>
        </w:rPr>
        <w:t>Available abstract (not full text):</w:t>
      </w:r>
      <w:r>
        <w:t xml:space="preserve"> Crude oil is a core global energy resource.Due to the complex and diverse composition of crude oil-such as high sulfur content, inorganic salts, asphaltenes, and waxes-and the characteristics of associated water (high salinity, high chloride concentration, and presence of H2S/CO2), corrosion and scaling issues frequently occur during crude oil gathering and transportation.These problems are exacerbated by fluctuations in temperature and pressure, as well as defects in anti-corrosion coatings, leading to chemical and electrochemical corrosion of equipment, resulting in damage, failure, and production disruptions.This paper highlights the severity of corrosion and scaling in crude oil gathering systems and their negative impacts on operational safety and economic efficiency.It systematically analyzes the mechanisms behind corrosion and scaling formation, discusses their detrimental effects on gathering infrastructure, and generally outlines the factors and conditions contributing to corrosion in crude oil handling equipment.Based on this analysis, targeted anticorrosion protection measures and implementation strategies are proposed to ensure efficient and stable operation of crude oil processing systems.These measures significantly enhance system stability, safety, reliability, and equipment service life, delivering substantial economic benefits.</w:t>
      </w:r>
    </w:p>
    <w:p>
      <w:pPr/>
      <w:r>
        <w:rPr>
          <w:b/>
        </w:rPr>
        <w:t>POSSIBLE 2025:</w:t>
      </w:r>
      <w:r>
        <w:t xml:space="preserve"> Improved LEACH Model with Efficient Data Gathering Scheme for Mobile Internet of Things — https://doi.org/10.1109/icngcs64900.2025.11183334</w:t>
      </w:r>
    </w:p>
    <w:p>
      <w:pPr/>
      <w:r>
        <w:rPr>
          <w:b/>
        </w:rPr>
        <w:t>Shared claim-specific concepts:</w:t>
      </w:r>
      <w:r>
        <w:t xml:space="preserve"> gathering, diverse, article; EU scope not established. This is a provisional connection, not an outcome finding.</w:t>
      </w:r>
    </w:p>
    <w:p>
      <w:pPr>
        <w:pStyle w:val="SourceNote"/>
      </w:pPr>
      <w:r>
        <w:rPr>
          <w:b/>
        </w:rPr>
        <w:t>Available abstract (not full text):</w:t>
      </w:r>
      <w:r>
        <w:t xml:space="preserve"> The Internet of Things (IoT) is a rapidly emerging field that is gaining a lot of interest from the academic and industrial sectors. It facilitates the communication of extremely huge amounts of data from a variety of smart devices. Owing to the diverse range of IoT devices, the network experienced several issues like excessive power consumption, latency, and data congestion. To overcome these drawbacks, in this an article, improved leach model with an efficient data-gathering scheme is developed in the mobile IoT environment (ILEDGM). The core modules of this ILEDGM are network energy model construction, improved leach model, and communication process. These modules are included in the ns3 program, which analyzes the network’s performance. Data correctness, data loss, transportation overhead, throughput, and averaging latency are the metrics taken into account. The final presentation shows that the suggested ILEDGM outperformed the other approaches in terms of throughput and data success rate. The experimental findings are compared with the preceding methods.</w:t>
      </w:r>
    </w:p>
    <w:p>
      <w:pPr/>
      <w:r>
        <w:rPr>
          <w:b/>
        </w:rPr>
        <w:t>POSSIBLE 2025:</w:t>
      </w:r>
      <w:r>
        <w:t xml:space="preserve"> Teacher Contextual Knowledge (XK) Development: The Case of Yogyakarta, Indonesia — https://doi.org/10.54855/callej.252646</w:t>
      </w:r>
    </w:p>
    <w:p>
      <w:pPr/>
      <w:r>
        <w:rPr>
          <w:b/>
        </w:rPr>
        <w:t>Shared claim-specific concepts:</w:t>
      </w:r>
      <w:r>
        <w:t xml:space="preserve"> macro, contextual, micro, used; EU scope not established. This is a provisional connection, not an outcome finding.</w:t>
      </w:r>
    </w:p>
    <w:p>
      <w:pPr>
        <w:pStyle w:val="SourceNote"/>
      </w:pPr>
      <w:r>
        <w:rPr>
          <w:b/>
        </w:rPr>
        <w:t>Available abstract (not full text):</w:t>
      </w:r>
      <w:r>
        <w:t xml:space="preserve"> Technological Pedagogical and Content Knowledge (TPACK) is one of the most prominent frameworks that outlines the types of knowledge teachers need to teach effectively with technology. Recent research on TPACK has emphasised Contextual Knowledge (XK), which accounts for teachers’ understanding of where teaching and learning are situated. Aiming to contribute to advancing research on XK, this case study investigated teachers’ development of XK and the challenges they faced in the process. The participants were five English language teachers across two secondary schools in Yogyakarta, Indonesia. The data were primarily gathered through in-depth interviews, informed by teachers’ lesson plans and digital teaching artefacts. Three layers of context –micro (classroom level), meso (school and community levels), and macro (national and global levels) –were used as a framework for analysing the data. Derived through thematic analysis, the findings highlight that participating teachers benefitted from informal engagement with students at the micro level, as well as collegial collaboration and professional learning at the meso level. At the macro level, they talked about the usefulness of technology-mediated professional learning, particularly through social media. Time constraints due to teacher workload were identified as a key barrier to their XK development. The study highlights the i</w:t>
      </w:r>
    </w:p>
    <w:p>
      <w:pPr/>
      <w:r>
        <w:rPr>
          <w:b/>
        </w:rPr>
        <w:t>POSSIBLE 2025:</w:t>
      </w:r>
      <w:r>
        <w:t xml:space="preserve"> An Analysis of Gen Z’s Perception Types on the Culture of Korean Workplace Gatherings(Hoesik): A Q Methodological Approach — https://doi.org/10.21329/khrd.2025.20.3.65</w:t>
      </w:r>
    </w:p>
    <w:p>
      <w:pPr/>
      <w:r>
        <w:rPr>
          <w:b/>
        </w:rPr>
        <w:t>Shared claim-specific concepts:</w:t>
      </w:r>
      <w:r>
        <w:t xml:space="preserve"> analyzing, diverse, contextual, used, culture; EU scope not established. This is a provisional connection, not an outcome finding.</w:t>
      </w:r>
    </w:p>
    <w:p>
      <w:pPr>
        <w:pStyle w:val="SourceNote"/>
      </w:pPr>
      <w:r>
        <w:rPr>
          <w:b/>
        </w:rPr>
        <w:t>Available abstract (not full text):</w:t>
      </w:r>
      <w:r>
        <w:t xml:space="preserve"> The purpose of this study is to identify the types of perceptions of Gen Z(Generation Z) toward Korean Workplace Gatherings “Hoesik” culture and to analyze the characteristics of each type. To achieve this purpose, the Q method was used to explore in depth the subjective perceptions, attitudes, and values that Gen Z employees hold regarding Hoesik culture. As a result of analyzing 30 participants from Gen Z who are currently employed in organizations, a total of 4 types of perception were identified. First, the ‘Traditional Hoesik Maintenance’ type values the positive functions of Hoesik culture and holds a receptive attitude. Second, the ‘Hoesik Burden and Avoidance’ type highlights the psychological pressure imposed by Korea’s collectivism and authoritarianism. Third, the ‘Hoesik Diversity Acceptance’ type recognizes generational gaps and values leadership-driven changes and efforts toward communication. Fourth, the ‘Autonomous Hoesik Participation-Oriented’ type emphasizes autonomy and voluntary engagement beyond relational obligations. Overall, the findings indicate that Gen Z’s perceptions of Hoesik culture manifest in diverse ways, and that individual differences and contextual factors must be considered. In addition, a more three-dimensional approach is needed given that perceptions of Hoesik culture are influenced not only by generational factors but also by structural </w:t>
      </w:r>
    </w:p>
    <w:p>
      <w:pPr/>
      <w:r>
        <w:rPr>
          <w:b/>
        </w:rPr>
        <w:t>POSSIBLE 2025:</w:t>
      </w:r>
      <w:r>
        <w:t xml:space="preserve"> Predicting the success of local gatherings: A comparison of organizer- and participant-side success in Meetup — https://doi.org/10.1016/j.cities.2025.106530</w:t>
      </w:r>
    </w:p>
    <w:p>
      <w:pPr/>
      <w:r>
        <w:rPr>
          <w:b/>
        </w:rPr>
        <w:t>Shared claim-specific concepts:</w:t>
      </w:r>
      <w:r>
        <w:t xml:space="preserve"> diverse, planning, used; EU scope not established. This is a provisional connection, not an outcome finding.</w:t>
      </w:r>
    </w:p>
    <w:p>
      <w:pPr>
        <w:pStyle w:val="SourceNote"/>
      </w:pPr>
      <w:r>
        <w:rPr>
          <w:b/>
        </w:rPr>
        <w:t>Available abstract (not full text):</w:t>
      </w:r>
      <w:r>
        <w:t xml:space="preserve"> This study examines the dynamics of local gatherings facilitated by Event-Based Social Networking (EBSN) platforms, an increasingly prominent mode of social interaction in urban settings. Although EBSN platforms are widely used to organize local events, little research has investigated the factors that determine their success across diverse urban environments or how socio-spatial contexts shape participation. To address this gap, we analyze a large-scale dataset of more than one million events across the 500 largest U.S. cities from Meetup.com by integrating geospatial, community-level, and event-specific features to predict event success. We develop models that assess event success from both participant and organizer perspectives. The results show that participant engagement is driven primarily by community characteristics, whereas organizer outcomes are shaped by a broader mix of features. Consistent patterns in event category preferences, such as the high participation observed in fitness-related events, indicate the influence of socio-cultural characteristics. Moreover, city-level differences underscore the importance of local context, as success rates vary independently of population size. These findings not only align with social theories on urban interaction and participation but also offer actionable insights for platform designers, community organizers, and policymaker</w:t>
      </w:r>
    </w:p>
    <w:p>
      <w:pPr/>
      <w:r>
        <w:rPr>
          <w:b/>
        </w:rPr>
        <w:t>POSSIBLE 2025:</w:t>
      </w:r>
      <w:r>
        <w:t xml:space="preserve"> Analyzing National War Propaganda Through Comparison of Diverse Case Studies — https://doi.org/10.15760/etd.4014</w:t>
      </w:r>
    </w:p>
    <w:p>
      <w:pPr/>
      <w:r>
        <w:rPr>
          <w:b/>
        </w:rPr>
        <w:t>Shared claim-specific concepts:</w:t>
      </w:r>
      <w:r>
        <w:t xml:space="preserve"> analyzing, diverse, used; EU scope not established. This is a provisional connection, not an outcome finding.</w:t>
      </w:r>
    </w:p>
    <w:p>
      <w:pPr>
        <w:pStyle w:val="SourceNote"/>
      </w:pPr>
      <w:r>
        <w:rPr>
          <w:b/>
        </w:rPr>
        <w:t>Available abstract (not full text):</w:t>
      </w:r>
      <w:r>
        <w:t xml:space="preserve"> In the build-up to war, national governments utilize propaganda to gather public support for the war effort. In some instances, propaganda campaigns are conducted but war does not occur. This begs the question as to why war follows propaganda campaigns in some cases, but not in others. I argue that propaganda efforts that lead to war can be generally characterized through three major strategies based on a patriotic participatory social structure, a claim to moral authority, and the blending of individual concepts of the state, government and nation. In this study, I analyze the major historical case studies of the Spanish-American war, Imperial Japan, the U.S. invasion of Iraq in 2003, the U.S-Soviet Union Cold War confrontation, and the Kashmir dispute between India and Pakistan to study the relationship between propaganda and war. I use a qualitative content analysis methodology to analyze pro-war statements from politicians, military officials and media leaders to determine the similarities and differences in the language, ideology and framing strategies used in various cases of international conflict. In cases where propaganda campaigns lead to war, I find that appeals based on moral authority, citizen-state participation and the merging of independent notions of statehood, cultural heritage and shared national history are employed by national governments and reiterated by </w:t>
      </w:r>
    </w:p>
    <w:p>
      <w:pPr/>
      <w:r>
        <w:rPr>
          <w:b/>
        </w:rPr>
        <w:t>POSSIBLE 2024:</w:t>
      </w:r>
      <w:r>
        <w:t xml:space="preserve"> Hands-On Data Gathering — https://doi.org/10.4312/vestnik.16.155-174</w:t>
      </w:r>
    </w:p>
    <w:p>
      <w:pPr/>
      <w:r>
        <w:rPr>
          <w:b/>
        </w:rPr>
        <w:t>Shared claim-specific concepts:</w:t>
      </w:r>
      <w:r>
        <w:t xml:space="preserve"> gathering, diverse, used; EU scope not established. This is a provisional connection, not an outcome finding.</w:t>
      </w:r>
    </w:p>
    <w:p>
      <w:pPr>
        <w:pStyle w:val="SourceNote"/>
      </w:pPr>
      <w:r>
        <w:rPr>
          <w:b/>
        </w:rPr>
        <w:t>Available abstract (not full text):</w:t>
      </w:r>
      <w:r>
        <w:t xml:space="preserve"> Data collection is a fundamental aspect of linguistic and sociolinguistic research methodologies, and while many scholars may choose to gather their own data, others tend to rely solely on data that are readily available. There are various different methods of elicitation, including conducting interviews, questionnaires or leading focus groups to gather data, either as the main source of information or to complement existing material, which will most likely enhance both the quality of the research as well enriching the researcher’s personal experience. This paper aims to elucidate the experience gained by two researchers who implemented different data-collection methodologies during their research projects, to gather suitable data and conduct their analysis of the English language – one written the other oral – in two diverse, yet specialized, settings. They introduce their subjects of study and the communities in which the studies took place in order to help the reader get acquainted with the context, and then proceed to describe the processes they carried out. Their aim is to offer a retrospective on the decisions made, the evolution of their data-gathering approaches to determine the suitability of the focal methodologies, and the results.The aim of the paper is to contribute to the literature and applied linguistics research fields by disseminating empirical information on </w:t>
      </w:r>
    </w:p>
    <w:p>
      <w:pPr/>
      <w:r>
        <w:rPr>
          <w:b/>
        </w:rPr>
        <w:t>POSSIBLE 2024:</w:t>
      </w:r>
      <w:r>
        <w:t xml:space="preserve"> A Battlefield of Textual Elements: Bookishness in Magic: The Gathering — https://doi.org/10.3366/tna.2024.0024</w:t>
      </w:r>
    </w:p>
    <w:p>
      <w:pPr/>
      <w:r>
        <w:rPr>
          <w:b/>
        </w:rPr>
        <w:t>Shared claim-specific concepts:</w:t>
      </w:r>
      <w:r>
        <w:t xml:space="preserve"> gathering, diverse, used, culture; EU scope not established. This is a provisional connection, not an outcome finding.</w:t>
      </w:r>
    </w:p>
    <w:p>
      <w:pPr>
        <w:pStyle w:val="SourceNote"/>
      </w:pPr>
      <w:r>
        <w:rPr>
          <w:b/>
        </w:rPr>
        <w:t>Available abstract (not full text):</w:t>
      </w:r>
      <w:r>
        <w:t xml:space="preserve"> The Magic: The Gathering trading card is an underexplored bookish medium for literary theory and print culture that promotes the interrogation of existing conventions of authorship, paratext, and ephemerality. By focusing on the Magic card through a literary lens rather than one of game studies, the cards reveal as much about themselves as they reveal about literary theory. As a user centric medium, Magic cards connect to the larger history of commonplace books and support Barthes’ claim of author death. Conversely, the diverse discursive contexts in which Magic cards are used demonstrate the usefulness of Foucault’s “author function”. Additionally, the compact size of the Magic card creates tension that strains paratextual understandings of unity. By looking at the Magic card as a bookish form, current theoretical understandings are further developed, and real word applications, creating anti-racist spaces and promoting nonlinear and communal storytelling, become demystified.</w:t>
      </w:r>
    </w:p>
    <w:p>
      <w:pPr/>
      <w:r>
        <w:rPr>
          <w:b/>
        </w:rPr>
        <w:t>POSSIBLE 2023:</w:t>
      </w:r>
      <w:r>
        <w:t xml:space="preserve"> Editors’ Note: Assembly, Gathering and Being with Dance — https://doi.org/10.1017/s0149767723000293</w:t>
      </w:r>
    </w:p>
    <w:p>
      <w:pPr/>
      <w:r>
        <w:rPr>
          <w:b/>
        </w:rPr>
        <w:t>Shared claim-specific concepts:</w:t>
      </w:r>
      <w:r>
        <w:t xml:space="preserve"> gathering, diverse, view; EU scope not established. This is a provisional connection, not an outcome finding.</w:t>
      </w:r>
    </w:p>
    <w:p>
      <w:pPr>
        <w:pStyle w:val="SourceNote"/>
      </w:pPr>
      <w:r>
        <w:rPr>
          <w:b/>
        </w:rPr>
        <w:t>Available abstract (not full text):</w:t>
      </w:r>
      <w:r>
        <w:t xml:space="preserve"> Editors' Note: Assembly, Gathering and Being with DanceAssembly offers an affair of appearance in which people find common ground in public view or private space.Dance, social choreography, protests, and other forms of assembly are marked by actions that index shared beliefs about the self, the group, and broader social conditions.Assembly might be interpreted as expressing self-determination and the sovereignty of a commons-an ephemeral consolidation of bodies made manifest by the mutual decision to show up for something (Hardt and Negri 2017).That said, although spontaneous gatherings or carefully planned political protests might signal shared values through acts of popular will, copresence is not synonymous with homogeneity.Thus, an interest in the complexities of group formationthe processes and politics of gathering amid dance-drives this special issue of Dance Research Journal.Whereas assembly can be a strategy of turning the singular into the plural or the crowd into the collective, the practice of gathering-whether in a classroom, at a protest, or online-is rarely simple or straightforward.Sure, the presence of those gathered may be intentional, but a politics of belonging conditions the diverse experience of being together.Increasingly, gatherings are facilitated, framed, and disseminated by technological devices and artificial intelligence systems.We wondered, what ar</w:t>
      </w:r>
    </w:p>
    <w:p>
      <w:pPr>
        <w:pStyle w:val="Heading2"/>
      </w:pPr>
      <w:r>
        <w:t>693. Use of Counterfactual Population Projections for Assessing the Demographic Determinants of Population Ageing</w:t>
      </w:r>
    </w:p>
    <w:p>
      <w:pPr>
        <w:pStyle w:val="SourceNote"/>
      </w:pPr>
      <w:r>
        <w:rPr>
          <w:b/>
        </w:rPr>
        <w:t>Original source (2020):</w:t>
      </w:r>
      <w:r>
        <w:t xml:space="preserve"> https://doi.org/10.1007/s10680-020-09567-9</w:t>
      </w:r>
    </w:p>
    <w:p>
      <w:pPr/>
      <w:r>
        <w:t>Original wording (abstract; indexed_source_text_not_full_document_verified): (3) Different ageing indices tend to produce similar qualitative conclusions, but quantitative results may differ markedly. Abstract Counterfactual population projections have been used to estimate the contributions of fertility and mortality to population ageing, a method recently designated as the gold standard for this purpose.</w:t>
      </w:r>
    </w:p>
    <w:p>
      <w:pPr/>
      <w:r>
        <w:rPr>
          <w:b/>
        </w:rPr>
        <w:t>POSSIBLE 2026:</w:t>
      </w:r>
      <w:r>
        <w:t xml:space="preserve"> Inconsistent findings of ageing across different feather-quality indices in a wild passerine — https://doi.org/10.32942/x28953</w:t>
      </w:r>
    </w:p>
    <w:p>
      <w:pPr/>
      <w:r>
        <w:rPr>
          <w:b/>
        </w:rPr>
        <w:t>Shared claim-specific concepts:</w:t>
      </w:r>
      <w:r>
        <w:t xml:space="preserve"> different, ageing, indices, tend, but, population; EU scope not established. This is a provisional connection, not an outcome finding.</w:t>
      </w:r>
    </w:p>
    <w:p>
      <w:pPr>
        <w:pStyle w:val="SourceNote"/>
      </w:pPr>
      <w:r>
        <w:rPr>
          <w:b/>
        </w:rPr>
        <w:t>Available abstract (not full text):</w:t>
      </w:r>
      <w:r>
        <w:t xml:space="preserve"> In most animals, individuals tend to decline in performance in later life, known as ageing. In birds, studies of ageing have traditionally concentrated on metrics of survival and reproductive success, whereas morphological traits have received comparatively little attention. Feather quality is a key morphological trait for passerines as it contributes to flight performance, camouflage and thermoregulation, and is, therefore, important for survival. However, there are, as of yet, very few studies on how feather quality changes with age. In this study, we use a closely monitored natural population of long-lived Seychelles warblers to investigate whether and how three different indices of feather quality change with age within individuals. We found that feather mass-to-length ratio increased with age (indicating improving quality with age), while rachis width declined with age (indicating declining quality), and barbule density showed no ageing pattern. All feather quality indices showed no sex differences in ageing rates. The inconsistent findings of ageing across the three feather quality indices may suggest that life history trade-offs between feather quality and survival or reproduction are not as strong, and feather quality may not be a costly trait to maintain. Age-related improvements of mass-to-length ratio but not the other indices may also suggest that certain aspects of</w:t>
      </w:r>
    </w:p>
    <w:p>
      <w:pPr/>
      <w:r>
        <w:rPr>
          <w:b/>
        </w:rPr>
        <w:t>POSSIBLE 2026:</w:t>
      </w:r>
      <w:r>
        <w:t xml:space="preserve"> Mitigating ageing-induced stiffening in asphalt mixtures using zinc diethyldithiocarbamate: mechanical performance, digital image correlation, and inter-laboratory validation — https://doi.org/10.1617/s11527-026-03313-z</w:t>
      </w:r>
    </w:p>
    <w:p>
      <w:pPr/>
      <w:r>
        <w:rPr>
          <w:b/>
        </w:rPr>
        <w:t>Shared claim-specific concepts:</w:t>
      </w:r>
      <w:r>
        <w:t xml:space="preserve"> different, ageing, indices, abstract; EU scope not established. This is a provisional connection, not an outcome finding.</w:t>
      </w:r>
    </w:p>
    <w:p>
      <w:pPr>
        <w:pStyle w:val="SourceNote"/>
      </w:pPr>
      <w:r>
        <w:rPr>
          <w:b/>
        </w:rPr>
        <w:t>Available abstract (not full text):</w:t>
      </w:r>
      <w:r>
        <w:t xml:space="preserve"> Abstract While antioxidant additives have shown promising results to mitigate oxidative ageing at the binder scale, their effectiveness at the asphalt mixture level and their reproducibility across different laboratories remain insufficiently understood. This study evaluates the potential of zinc diethyldithiocarbamate (ZDC) to mitigate ageing-induced stiffening in asphalt mixtures through a comprehensive mechanical characterisation and an inter-laboratory validation campaign. Asphalt mixtures containing 3% and 5% ZDC by binder weight, together with an unmodified reference mixture, were subjected to unaged, short-term (ST) aged, and long-term (LT) aged conditions. Mechanical performance was assessed using dynamic modulus, semi-circular bending (SCB), indirect tensile strength (ITS), and digital image correlation (DIC). To account for differences in mixture composition among laboratories, normalised ITS Ageing Indices (IAI) were introduced and statistically analysed. The results showed that ZDC effectively mitigated ageing-induced stiffening. Dynamic modulus testing indicated that 5% ZDC reduced the ageing susceptibility of the mixtures by approximately 30% compared with the control mixture, while SCB, ITS, and DIC analyses demonstrated improved cracking resistance, enhanced ductility, and reduced strain localisation after ageing. Despite differences in mixture composition and g</w:t>
      </w:r>
    </w:p>
    <w:p>
      <w:pPr/>
      <w:r>
        <w:rPr>
          <w:b/>
        </w:rPr>
        <w:t>POSSIBLE 2026:</w:t>
      </w:r>
      <w:r>
        <w:t xml:space="preserve"> Regional Disparities in Ageing and Longevity in Nepal: A Comprehensive Analysis by Province and Ecological Zone — https://doi.org/10.3126/oj.v3i4.91080</w:t>
      </w:r>
    </w:p>
    <w:p>
      <w:pPr/>
      <w:r>
        <w:rPr>
          <w:b/>
        </w:rPr>
        <w:t>Shared claim-specific concepts:</w:t>
      </w:r>
      <w:r>
        <w:t xml:space="preserve"> ageing, indices, differ, population, fertility; EU scope not established. This is a provisional connection, not an outcome finding.</w:t>
      </w:r>
    </w:p>
    <w:p>
      <w:pPr>
        <w:pStyle w:val="SourceNote"/>
      </w:pPr>
      <w:r>
        <w:rPr>
          <w:b/>
        </w:rPr>
        <w:t>Available abstract (not full text):</w:t>
      </w:r>
      <w:r>
        <w:t xml:space="preserve"> The current demographic transition in Nepal is characterized by low fertility and increasing life expectancy rates, which result in a very fast aging population. This paper discusses the trend in population aging and disparities involving regional and gender differences in both survival and life expectancy and its implications for social and health policy. The analysis is based on census data of 1952/54, 1991, and 2021 to give estimates of the percentage and growth of older adults (60+ in 1991 and 65+ in 2021), dependency rates, aging indices, survival rates, and remaining life expectancy by ecological zone and province. The descriptive statistical techniques are applied to examine the long-term trends and spatial inequalities. Results show that the percentage of older adults grew from 5.0 percent in 1952/54 to 10.2 percent in 2021, which is higher than the national average. The indicators of ageing differ greatly by the provinces; women always have higher survival and life expectancy than men. This paper presents a geographically disaggregated observation of the aging population in Nepal and suggests the necessity to implement equity-based and differentiated social and health protection measures.</w:t>
      </w:r>
    </w:p>
    <w:p>
      <w:pPr/>
      <w:r>
        <w:rPr>
          <w:b/>
        </w:rPr>
        <w:t>POSSIBLE 2026:</w:t>
      </w:r>
      <w:r>
        <w:t xml:space="preserve"> RBP4 in Ageing — https://doi.org/10.3390/biomedicines14020463</w:t>
      </w:r>
    </w:p>
    <w:p>
      <w:pPr/>
      <w:r>
        <w:rPr>
          <w:b/>
        </w:rPr>
        <w:t>Shared claim-specific concepts:</w:t>
      </w:r>
      <w:r>
        <w:t xml:space="preserve"> different, ageing, conclusions; EU scope not established. This is a provisional connection, not an outcome finding.</w:t>
      </w:r>
    </w:p>
    <w:p>
      <w:pPr>
        <w:pStyle w:val="SourceNote"/>
      </w:pPr>
      <w:r>
        <w:rPr>
          <w:b/>
        </w:rPr>
        <w:t>Available abstract (not full text):</w:t>
      </w:r>
      <w:r>
        <w:t xml:space="preserve"> Background: The protein that binds to retinol 4 (RBP4), is a lipocalin-family protein, secreted primarily by the adipose tissue and the liver, and has also been reported to be produced by other tissues, including the kidney. This protein mediates the transport of vitamin A (retinol) in the circulation, bound to a transporter protein, transthyretin. In recent years, RBP4 has been shown to contribute to the development of insulin resistance and a range of metabolic disorders such as type 2 diabetes mellitus, gestational diabetes, obesity, metabolic syndrome, hyperuricaemia, metabolic dysfunction-associated steatotic liver disease (MASLD), and cardiorenal diseases. Objectives: The objective was to analyse the role of RBP4 in ageing, as well as its mechanisms and effects across organs and systems. Results: Circulating RBP4 levels increase with age and have been related to the onset of various processes like sarcopenia, elevated neurodegenerative markers in the brain, and an increase in TSH levels. Furthermore, it appears that in ageing, the rise in RBP4 is related to the development of atherogenesis, chronic kidney disease, and osteoarthritis. These effects appear to be mediated by chronic inflammation along with the development of insulin resistance, increased oxidative stress and mitochondrial dysfunction, inhibition of autophagy, and intestinal dysbiosis. Conclusions: RBP4 is a </w:t>
      </w:r>
    </w:p>
    <w:p>
      <w:pPr/>
      <w:r>
        <w:rPr>
          <w:b/>
        </w:rPr>
        <w:t>POSSIBLE 2026:</w:t>
      </w:r>
      <w:r>
        <w:t xml:space="preserve"> Spatial Temporal Pattern Of Demographic Ageing In Far-West Province Of Nepal — https://doi.org/10.3126/dmcrj.v7i01.101015</w:t>
      </w:r>
    </w:p>
    <w:p>
      <w:pPr/>
      <w:r>
        <w:rPr>
          <w:b/>
        </w:rPr>
        <w:t>Shared claim-specific concepts:</w:t>
      </w:r>
      <w:r>
        <w:t xml:space="preserve"> ageing, population, used; EU scope not established. This is a provisional connection, not an outcome finding.</w:t>
      </w:r>
    </w:p>
    <w:p>
      <w:pPr>
        <w:pStyle w:val="SourceNote"/>
      </w:pPr>
      <w:r>
        <w:rPr>
          <w:b/>
        </w:rPr>
        <w:t>Available abstract (not full text):</w:t>
      </w:r>
      <w:r>
        <w:t xml:space="preserve"> This study deals with the spatial–temporal pattern of demographic ageing in Sudurpashchim (Far-West) Province of Nepal with regards to regional disparities, migration and gender. The main aims are to study trends in ageing over time, the distribution of elderly people across districts and ecological regions, and the relationship between migration and ageing. The study is based on a descriptive-analytical research design using secondary data obtained from the population censuses (1981–2021). Key indicators including the ageing index, old-age dependency ratio, proportion of the population aged 60 and above and spatial analysis are used to understand geographical variations. The study finds that the proportion of elderly people increases from 5.5% in 1981 to 9.4% in 2021. The study shows a strong feminization of aging, with females making up 54.9% of the elderly population due to longer lifespan and male out-migration. Spatial analysis reveals that hills and mountains have higher ageing intensity due to youth migration, while Tarai has a larger elderly population in absolute terms. Most elderly are concentrated in the 60–69 age groups, indicating early to moderate ageing. The study finds that demographic ageing in Far-West Nepal is highly geographically determined and thus calls for a geographical approach in formulating region-specific policies on elderly welfare.</w:t>
      </w:r>
    </w:p>
    <w:p>
      <w:pPr/>
      <w:r>
        <w:rPr>
          <w:b/>
        </w:rPr>
        <w:t>POSSIBLE 2026:</w:t>
      </w:r>
      <w:r>
        <w:t xml:space="preserve"> Rheological Properties of Bitumen and Asphalt Mixtures Realised in Varying Laboratory and in Situ Ageing Protocols — https://doi.org/10.3390/coatings16020257</w:t>
      </w:r>
    </w:p>
    <w:p>
      <w:pPr/>
      <w:r>
        <w:rPr>
          <w:b/>
        </w:rPr>
        <w:t>Shared claim-specific concepts:</w:t>
      </w:r>
      <w:r>
        <w:t xml:space="preserve"> different, ageing, quantitative; EU scope not established. This is a provisional connection, not an outcome finding.</w:t>
      </w:r>
    </w:p>
    <w:p>
      <w:pPr>
        <w:pStyle w:val="SourceNote"/>
      </w:pPr>
      <w:r>
        <w:rPr>
          <w:b/>
        </w:rPr>
        <w:t>Available abstract (not full text):</w:t>
      </w:r>
      <w:r>
        <w:t xml:space="preserve"> Ageing significantly affects the long-term durability of asphalt pavements, yet quantitative correlations between laboratory ageing protocols and actual field ageing remain insufficiently defined. This study investigates the ageing behaviour of an 80/100 penetration-grade bitumen at binder, mixture, and field levels to establish equivalence relationships among different ageing pathways. Binder samples were subjected to RTFO, PAV (20–60 h), and coupled thermal–photo-oxidative ageing (RTFO + PAV + UV, 6–18 d). Asphalt mixtures were oven-aged at 85 °C for 5–10 d, followed by binder extraction and recovery, and field-aged binders were obtained from a 12-year-old pavement in Xinjiang, China. Rheological properties were characterised using frequency sweep and multiple stress creep and recovery tests, from which ageing index (AI), low-temperature ageing index (LAI), Glover–Rowe (G–R) parameter, and nonrecoverable compliance (Jnr) were derived. AI increased from 1.00 for virgin binder to 1.12 under coupled ageing, while G–R increased from near zero to 318 kPa after 60 h PAV ageing and exceeded 400 kPa under coupled ageing. UV exposure increased G–R by approximately 20%–65% relative to thermal ageing alone. Nonlinear growth models described property evolution with high reliability (R2 = 0.995–0.999). Equivalent ageing analysis showed that RTFO + PAV required over 50 h to reproduce field</w:t>
      </w:r>
    </w:p>
    <w:p>
      <w:pPr/>
      <w:r>
        <w:rPr>
          <w:b/>
        </w:rPr>
        <w:t>POSSIBLE 2026:</w:t>
      </w:r>
      <w:r>
        <w:t xml:space="preserve"> Advancements in mitigating oxidative ageing in bitumen using zinc diethyldithiocarbamate (ZDC) as antioxidant: evidence from phase 2B of a global interlaboratory investigation — https://doi.org/10.1617/s11527-026-03114-4</w:t>
      </w:r>
    </w:p>
    <w:p>
      <w:pPr/>
      <w:r>
        <w:rPr>
          <w:b/>
        </w:rPr>
        <w:t>Shared claim-specific concepts:</w:t>
      </w:r>
      <w:r>
        <w:t xml:space="preserve"> different, ageing, but, abstract; EU scope not established. This is a provisional connection, not an outcome finding.</w:t>
      </w:r>
    </w:p>
    <w:p>
      <w:pPr>
        <w:pStyle w:val="SourceNote"/>
      </w:pPr>
      <w:r>
        <w:rPr>
          <w:b/>
        </w:rPr>
        <w:t>Available abstract (not full text):</w:t>
      </w:r>
      <w:r>
        <w:t xml:space="preserve"> Abstract The use of antioxidants presents a promising strategy to slow oxidation of bitumen, thereby enhancing the durability of asphalt pavements. While previous interlaboratory collaborative efforts have established first evidence that antioxidants such as Zinc Diethyldithiocarbamate (ZDC) can mitigate bitumen oxidation, an in-depth evaluation is needed to solidify the findings. This study offers a systematic assessment of internationally coordinated efforts in advancing bitumen antioxidation research. ZDC was incorporated at dosages of 3% and 5% using different bitumen samples from diverse geographical regions. High-temperature performance grading, multiple stress creep recovery, frequency sweep, and bending beam rheometer tests were conducted. Statistical analyses were performed to assess the significance of ZDC’s effects. On average, the addition of ZDC increased the nonrecoverable compliance by 0.37 kPa −1 at the dosage of 3% and 0.15 kPa −1 at 5%, but this effect was statistically insignificant. The addition of ZDC mitigated the hardening and relaxation deterioration simultaneously, thereby improving bitumen’s low-temperature performance. Furthermore, ZDC significantly reduced the Glover-Rowe (G-R) parameter, which is associated with extended service life of asphalt pavements. The average ageing index (based on the G-R parameter) of bitumen modified with 3% ZDC was reduc</w:t>
      </w:r>
    </w:p>
    <w:p>
      <w:pPr/>
      <w:r>
        <w:rPr>
          <w:b/>
        </w:rPr>
        <w:t>POSSIBLE 2025:</w:t>
      </w:r>
      <w:r>
        <w:t xml:space="preserve"> Ageing of Red Wine (cv. Negroamaro) in Mediterranean Areas: Impact of Different Barrels and Apulian Traditional Amphorae on Phenolic Indices, Volatile Composition and Sensory Analysis — https://doi.org/10.3390/foods14040650</w:t>
      </w:r>
    </w:p>
    <w:p>
      <w:pPr/>
      <w:r>
        <w:rPr>
          <w:b/>
        </w:rPr>
        <w:t>Shared claim-specific concepts:</w:t>
      </w:r>
      <w:r>
        <w:t xml:space="preserve"> different, ageing, indices; EU scope visible. This is a provisional connection, not an outcome finding.</w:t>
      </w:r>
    </w:p>
    <w:p>
      <w:pPr>
        <w:pStyle w:val="SourceNote"/>
      </w:pPr>
      <w:r>
        <w:rPr>
          <w:b/>
        </w:rPr>
        <w:t>Available abstract (not full text):</w:t>
      </w:r>
      <w:r>
        <w:t xml:space="preserve"> This study investigated the impact of different ageing containers on the volatile composition and quality of Negroamaro wine, a key variety from Apulia, Italy. Seven vessel types were evaluated: traditional Apulian amphorae (ozza), five types of oak barrels (American oak, French oak, European oak, a French + European oak and a multi-wood mix) and glass bottles as the control. The impact of the vessels was evaluated after 6 months of ageing through the characterization of phenolic, volatile and sensory profiles. Amphorae allowed a specific evolution of the wine's primary aromas, such as fruity and floral notes, while enhancing volatile compounds like furaneol, which contributed to caramel and red fruit nuances, and also 3-methyl-2,4-nonanedione, a key compound related to anise, plum and premature ageing, depending on its concentration. This container also demonstrated effectiveness in stabilizing anthocyanin-tannin complexes, supporting color stabilization. Oak barrels allowed different outcomes to be obtained in terms of color stabilization, volatile profile, aroma and astringency. French oak exhibited the highest phenolic and tannin levels, enhancing anthocyanin stabilization and color intensity. European oak followed closely, while American oak excelled in color stabilization, with tannins less reactive to polymers. Mixed wood barrels showed lower phenolic extraction and the </w:t>
      </w:r>
    </w:p>
    <w:p>
      <w:pPr/>
      <w:r>
        <w:rPr>
          <w:b/>
        </w:rPr>
        <w:t>POSSIBLE 2025:</w:t>
      </w:r>
      <w:r>
        <w:t xml:space="preserve"> The Demographic Challenge Analyzed Through Ageing Indices in Extremadura and Andalusia (Spain) with Cluster Mapping Tools — https://doi.org/10.3390/land14061129</w:t>
      </w:r>
    </w:p>
    <w:p>
      <w:pPr/>
      <w:r>
        <w:rPr>
          <w:b/>
        </w:rPr>
        <w:t>Shared claim-specific concepts:</w:t>
      </w:r>
      <w:r>
        <w:t xml:space="preserve"> ageing, indices, used; EU scope visible. This is a provisional connection, not an outcome finding.</w:t>
      </w:r>
    </w:p>
    <w:p>
      <w:pPr>
        <w:pStyle w:val="SourceNote"/>
      </w:pPr>
      <w:r>
        <w:rPr>
          <w:b/>
        </w:rPr>
        <w:t>Available abstract (not full text):</w:t>
      </w:r>
      <w:r>
        <w:t xml:space="preserve"> This study examines the demographic dynamics of Extremadura and Andalusia, two autonomous communities in southern Spain characterized by low income levels and marked territorial differences in terms of ageing and depopulation. Based on the observation of growing demographic pressure associated with low birth rates and emigration to more economically dynamic areas, a methodological approach based on spatial analysis techniques is proposed. In particular, the ageing index and demographic dependency ratio indicators are used, applying tools such as Hot Spot Analysis and Cluster and Outlier Analysis to identify significant spatial patterns and outliers. The results show a high concentration of ageing and dependency in provinces such as Cáceres and Almería, suggesting greater demographic vulnerability. In contrast, urban areas such as Seville and Granada, as well as the Guadalquivir depression, show more favorable indicators, reflecting greater resilience. Likewise, municipalities with demographic behavior that is anomalous with respect to their surroundings are detected, which raises the need for micro-territorial studies aimed at understanding these exceptions and designing more effective public policies adapted to the local context.</w:t>
      </w:r>
    </w:p>
    <w:p>
      <w:pPr/>
      <w:r>
        <w:rPr>
          <w:b/>
        </w:rPr>
        <w:t>POSSIBLE 2025:</w:t>
      </w:r>
      <w:r>
        <w:t xml:space="preserve"> Decoupling oxidation and hardening in ageing: evaluation of bitumen-stone adhesion using different experimental methods — https://doi.org/10.1080/14680629.2025.2486525</w:t>
      </w:r>
    </w:p>
    <w:p>
      <w:pPr/>
      <w:r>
        <w:rPr>
          <w:b/>
        </w:rPr>
        <w:t>Shared claim-specific concepts:</w:t>
      </w:r>
      <w:r>
        <w:t xml:space="preserve"> different, ageing, indices; EU scope not established. This is a provisional connection, not an outcome finding.</w:t>
      </w:r>
    </w:p>
    <w:p>
      <w:pPr>
        <w:pStyle w:val="SourceNote"/>
      </w:pPr>
      <w:r>
        <w:rPr>
          <w:b/>
        </w:rPr>
        <w:t>Available abstract (not full text):</w:t>
      </w:r>
      <w:r>
        <w:t xml:space="preserve"> The adhesion at the bitumen-aggregate interface critically affects asphalt pavement resistance to moisture damage and cracking and is significantly influenced by the bitumen ageing process. Coupled oxidation and hardening during ageing lead to varying results across evaluation methods. This study employs direct tensile pull-off tests at iso-temperature and iso-stiffness conditions, contact angle tests, and boiling water tests to assess bitumen-stone adhesion at different ageing levels. Results indicate oxidation and hardening have dual impacts: short-term ageing initially enhances adhesion, while prolonged ageing reduces it significantly. Polymer-modified bitumen shows improved ageing resistance due to delayed polymer degradation. Iso-temperature tests fail to clearly differentiate oxidation from hardening effects, whereas iso-stiffness tests offer more accurate assessments by excluding physical hardening. Due to interactions between chemical and physical changes in bitumen, ageing evaluations vary by indices and binder type. A comprehensive assessment combining pull-off tensile tests, surface free energy analysis, and mixture-scale evaluations is recommended.</w:t>
      </w:r>
    </w:p>
    <w:p>
      <w:pPr/>
      <w:r>
        <w:rPr>
          <w:b/>
        </w:rPr>
        <w:t>POSSIBLE 2024:</w:t>
      </w:r>
      <w:r>
        <w:t xml:space="preserve"> Measuring and modelling Syrah red wines evolution: Ageing tests, color and new molecular indices — https://doi.org/10.1016/j.jfca.2024.106912</w:t>
      </w:r>
    </w:p>
    <w:p>
      <w:pPr/>
      <w:r>
        <w:rPr>
          <w:b/>
        </w:rPr>
        <w:t>Shared claim-specific concepts:</w:t>
      </w:r>
      <w:r>
        <w:t xml:space="preserve"> different, ageing, indices, but, used; EU scope not established. This is a provisional connection, not an outcome finding.</w:t>
      </w:r>
    </w:p>
    <w:p>
      <w:pPr>
        <w:pStyle w:val="SourceNote"/>
      </w:pPr>
      <w:r>
        <w:rPr>
          <w:b/>
        </w:rPr>
        <w:t>Available abstract (not full text):</w:t>
      </w:r>
      <w:r>
        <w:t xml:space="preserve"> A Syrah red wine ageing experiment was set up during 24 months to measure the influence of different micro-agglomerated corks on wine composition and color. Two new wine ageing indices based on targeting phenolic composition (I ox , oxidation index and I su , sulfonation index) or colorimetric one (Hue) are proposed. The results showed that the slopes of evolution of these indices varied according to the wine as well as the index studied, and that the initial composition played a predominant role in these evolutions. In addition, the oxygen transfer rate (OTR) of the cork modulates the rate of evolution of the oxidation index and color, but had no impact on the sulfonation index. Partial least squares (PLS) regressions were used in order to establish some models that can predict the ageing index slope based on accelerated ageing tests (AATs), voltammetric parameters and phenolic composition measured before bottling. The models involved different explaining variables for each test and showed good predictive capacities with correlation coefficients (R²) &gt; 0.79. • New wine ageing indices are proposed. • Those indices are based on wine colour or chemical composition. • Models for predicting those indices were produced. • The influence of cork oxygen permeability on wine ageing was proven.</w:t>
      </w:r>
    </w:p>
    <w:p>
      <w:pPr/>
      <w:r>
        <w:rPr>
          <w:b/>
        </w:rPr>
        <w:t>POSSIBLE 2024:</w:t>
      </w:r>
      <w:r>
        <w:t xml:space="preserve"> The effect of lab ageing on different types of fibre-reinforced bitumen — https://doi.org/10.1201/9781003402541-4</w:t>
      </w:r>
    </w:p>
    <w:p>
      <w:pPr/>
      <w:r>
        <w:rPr>
          <w:b/>
        </w:rPr>
        <w:t>Shared claim-specific concepts:</w:t>
      </w:r>
      <w:r>
        <w:t xml:space="preserve"> different, ageing, indices; EU scope not established. This is a provisional connection, not an outcome finding.</w:t>
      </w:r>
    </w:p>
    <w:p>
      <w:pPr>
        <w:pStyle w:val="SourceNote"/>
      </w:pPr>
      <w:r>
        <w:rPr>
          <w:b/>
        </w:rPr>
        <w:t>Available abstract (not full text):</w:t>
      </w:r>
      <w:r>
        <w:t xml:space="preserve"> Fibres have been introduced in the asphalt industry to improve the tensile strength and cracking resistance of pavement. In parallel, ageing is considered one of the causes of asphalt&amp;s;s deterioration. However, little research has described the effect of ageing when different types of fibres are incorporated into bitumen. Accordingly, this paper utilises different combinations of polypropylene, glass and basalt fibres in a conventional bituminous binder. Next, the fibre-reinforced binders are exposed to typical short- and long-term ageing protocols. A systematic evaluation of meaningful rheological indicators via a Dynamic Shear Rheometer (DSR) gives a more clear view of the role of each fibre type and the balance between the reinforcement potential and bitumen&amp;s;s degradation due to ageing. In parallel, the assessment of ageing-related indices by Fourier Transform Infrared (FTIR) spectrometer contributes to a better understanding of their rheological evaluation.</w:t>
      </w:r>
    </w:p>
    <w:p>
      <w:pPr>
        <w:pStyle w:val="Heading2"/>
      </w:pPr>
      <w:r>
        <w:t>694. Wood utilization scenarios and their sustainability impacts in Finland</w:t>
      </w:r>
    </w:p>
    <w:p>
      <w:pPr>
        <w:pStyle w:val="SourceNote"/>
      </w:pPr>
      <w:r>
        <w:rPr>
          <w:b/>
        </w:rPr>
        <w:t>Original source (2020):</w:t>
      </w:r>
      <w:r>
        <w:t xml:space="preserve"> https://doi.org/10.14214/df.292</w:t>
      </w:r>
    </w:p>
    <w:p>
      <w:pPr/>
      <w:r>
        <w:t>Original wording (abstract; indexed_source_text_not_full_document_verified): Social, economic and environmental impacts vary in different wood utilization patterns, and national level strategies should consider possible trade-offs and regional needs.This thesis explored a variety of wood utilization scenarios in Finland and assessed their possible future benefits and trade-offs in environmental, economic and social sustainability, forming plausible pathways to actualize preferred outcomes reflecting different priorities in the goal setting.The research was conducted by using model-based sustainability assessment tools, material flow based Tool for Sustainability Impact Assessment (ToSIA) and Lifecycle Assessment (LCA), and explorative participatory scenario methods visualizing the targets quantitatively.The participatory methods utilized actor and researcher stakeholders from industry, policy, and multiple R&amp;D fields.The results showed that cascading and shifting secondary wood flows e.g.industrial side streams and end-of-life wood-based products from energy uses to material uses, results in increased climate benefits and economic competitiveness.Energy use of wood had lower employment, value added, and substitution benefits as well as shorter carbon storing time compared with material uses of wood.Thus, modern wood-based construction, chemicals, textiles and composites need to increase their share in the product portfolios.National policy tools can support this development only to a limited extent, because the global markets set the market framework for wood uses.To change the global market environment, internationally renewed policies aiming at restricting fossil uses are needed to make wood-based material applications more competitive.European Union (EU) policies should also apply incentives to support factor integrates supporting renewable resource savings.Public financial support to develop new processing technologies and product design of wood-based modern applications are needed to boost cost-competitiveness.</w:t>
      </w:r>
    </w:p>
    <w:p>
      <w:pPr/>
      <w:r>
        <w:rPr>
          <w:b/>
        </w:rPr>
        <w:t>POSSIBLE 2026:</w:t>
      </w:r>
      <w:r>
        <w:t xml:space="preserve"> SOCIAL INEQUALITY AND ECONOMIC VULNERABILITY: A SOCIAL ECONOMIC PERSPECTIVE ON WELFARE POLICY — https://openalex.org/W7220295757</w:t>
      </w:r>
    </w:p>
    <w:p>
      <w:pPr/>
      <w:r>
        <w:rPr>
          <w:b/>
        </w:rPr>
        <w:t>Shared claim-specific concepts:</w:t>
      </w:r>
      <w:r>
        <w:t xml:space="preserve"> benefits; EU scope not established. This is a provisional connection, not an outcome finding.</w:t>
      </w:r>
    </w:p>
    <w:p>
      <w:pPr>
        <w:pStyle w:val="SourceNote"/>
      </w:pPr>
      <w:r>
        <w:rPr>
          <w:b/>
        </w:rPr>
        <w:t>Available abstract (not full text):</w:t>
      </w:r>
      <w:r>
        <w:t xml:space="preserve"> Social inequality and economic vulnerability remain persistent challenges in contemporary societies despite the expansion of welfare policies and social protection systems. Economic growth has not been evenly distributed, leaving significant segments of the population exposed to income insecurity, precarious employment, and limited access to welfare benefits. This study aims to analyze social inequality and economic vulnerability through a social economic perspective that examines how welfare policy design interacts with labor market structures and social institutions. The research employs a qualitative research design combining policy document analysis, secondary socio-economic data review, and interpretive analysis of welfare policy implementation. The findings reveal that existing welfare policies tend to provide short-term relief while inadequately addressing the structural drivers of vulnerability, particularly informal employment, labor market flexibilization, and institutional exclusion. Economic vulnerability is shown to extend beyond officially defined poverty, affecting near-poor and precariously employed groups who remain insufficiently protected by current welfare frameworks. The study concludes that welfare policy effectiveness depends not only on resource allocation but also on institutional alignment with contemporary economic realities. A social economic approac</w:t>
      </w:r>
    </w:p>
    <w:p>
      <w:pPr/>
      <w:r>
        <w:rPr>
          <w:b/>
        </w:rPr>
        <w:t>POSSIBLE 2026:</w:t>
      </w:r>
      <w:r>
        <w:t xml:space="preserve"> Economic, social, environmental, and institutional factors shaping onshore wind LCOE in Europe: Evidence from spatial panel models — https://doi.org/10.1016/j.enpol.2026.115652</w:t>
      </w:r>
    </w:p>
    <w:p>
      <w:pPr/>
      <w:r>
        <w:rPr>
          <w:b/>
        </w:rPr>
        <w:t>Shared claim-specific concepts:</w:t>
      </w:r>
      <w:r>
        <w:t xml:space="preserve"> environmental;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Prioritization of green transport strategies for the European road freight transport industry: A fuzzy multi-criteria decision-making framework based on political, economic, social, technological, environmental, and legal analysis — https://doi.org/10.1016/j.engappai.2026.116109</w:t>
      </w:r>
    </w:p>
    <w:p>
      <w:pPr/>
      <w:r>
        <w:rPr>
          <w:b/>
        </w:rPr>
        <w:t>Shared claim-specific concepts:</w:t>
      </w:r>
      <w:r>
        <w:t xml:space="preserve"> environmental, strategies;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Sustainability Pluralism in the Pharmaceutical Strategy for Europe: In Search of Social, Environmental and Economic Trends — https://doi.org/10.1017/9781839704994.036</w:t>
      </w:r>
    </w:p>
    <w:p>
      <w:pPr/>
      <w:r>
        <w:rPr>
          <w:b/>
        </w:rPr>
        <w:t>Shared claim-specific concepts:</w:t>
      </w:r>
      <w:r>
        <w:t xml:space="preserve"> environmental, level, consider, sustainability; EU scope visible. This is a provisional connection, not an outcome finding.</w:t>
      </w:r>
    </w:p>
    <w:p>
      <w:pPr>
        <w:pStyle w:val="SourceNote"/>
      </w:pPr>
      <w:r>
        <w:rPr>
          <w:b/>
        </w:rPr>
        <w:t>Available abstract (not full text):</w:t>
      </w:r>
      <w:r>
        <w:t xml:space="preserve"> 1. INTRODUCTION 1. When discussing sustainability of medicinal products at European Union (EU) level, the narrative often swiftly focusses on the European Green Deal. Even though the various EU institutions, bodies and agencies indeed consider environmental sustainability, the European Green Deal is only a partial expression of the EU's sustainability aims. This chapter discusses three categories of sustainability goals for the pharmaceutical sector, as set out by the European Commission in the Pharmaceutical Strategy for Europe: economic, social and environmental sustainability. The analysis aims to answer various questions including the number of documents per year issued focussing on pharmaceutical sustainability; which are the institutions and bodies involved; which types of legal documents they primarily use; and which (sub)types of sustainability the EU mostly focusses on. 2. In a first section, this chapter explores the three types of sustainability distinguished by the Pharmaceutical Strategy, describing in detail what qualifies under which type of sustainability for the subsequent analysis. A second section empirically assesses in how far the EU has acted upon these sustainability goals, by analysing the sustainability references embedded in the EU legal documents building on the Pharmaceutical Strategy for Europe. 2. FROM THE PHARMACEUTICAL STRATEGY's SUSTAINABILITY G</w:t>
      </w:r>
    </w:p>
    <w:p>
      <w:pPr/>
      <w:r>
        <w:rPr>
          <w:b/>
        </w:rPr>
        <w:t>POSSIBLE 2025:</w:t>
      </w:r>
      <w:r>
        <w:t xml:space="preserve"> Advancing the European energy transition based on environmental, economic and social justice - Supplementary Material — https://doi.org/10.5281/zenodo.17814966</w:t>
      </w:r>
    </w:p>
    <w:p>
      <w:pPr/>
      <w:r>
        <w:rPr>
          <w:b/>
        </w:rPr>
        <w:t>Shared claim-specific concepts:</w:t>
      </w:r>
      <w:r>
        <w:t xml:space="preserve"> environmental; EU scope visible. This is a provisional connection, not an outcome finding.</w:t>
      </w:r>
    </w:p>
    <w:p>
      <w:pPr>
        <w:pStyle w:val="SourceNote"/>
      </w:pPr>
      <w:r>
        <w:rPr>
          <w:b/>
        </w:rPr>
        <w:t>Available abstract (not full text):</w:t>
      </w:r>
      <w:r>
        <w:t xml:space="preserve"> Supplementary material included in the article "Advancing the European energy transition based on environmental, economic and social justice".</w:t>
      </w:r>
    </w:p>
    <w:p>
      <w:pPr/>
      <w:r>
        <w:rPr>
          <w:b/>
        </w:rPr>
        <w:t>POSSIBLE 2025:</w:t>
      </w:r>
      <w:r>
        <w:t xml:space="preserve"> Promoting the European Sustainable Firm: How Economic, Social, and Green Innovation and the AI‐Based Technologies Create Pathways of Social and Environmental Sustainability — https://doi.org/10.1002/bse.70068</w:t>
      </w:r>
    </w:p>
    <w:p>
      <w:pPr/>
      <w:r>
        <w:rPr>
          <w:b/>
        </w:rPr>
        <w:t>Shared claim-specific concepts:</w:t>
      </w:r>
      <w:r>
        <w:t xml:space="preserve"> environmental, vary, sustainability; EU scope visible. This is a provisional connection, not an outcome finding.</w:t>
      </w:r>
    </w:p>
    <w:p>
      <w:pPr>
        <w:pStyle w:val="SourceNote"/>
      </w:pPr>
      <w:r>
        <w:rPr>
          <w:b/>
        </w:rPr>
        <w:t>Available abstract (not full text):</w:t>
      </w:r>
      <w:r>
        <w:t xml:space="preserve"> ABSTRACT The aim of this paper is to expand research on the digital and sustainability transitions in firms by analyzing the effects of artificial intelligence (AI)‐based technologies and incorporating their connections to economic, social, and green innovation processes. The main objective is to analyze whether and how these innovation dynamics—particularly the role of AI—mediate and reinforce the relationship between economic innovation and socio‐environmental sustainability outcomes. Using a large representative sample of 13,117 European firms from 2020 and applying partial least squares structural equation modeling (PLS‐SEM), we identify multiple sustainability trajectories. Our results show that while economic innovation alone contributes positively to social and environmental sustainability, its impact is significantly enhanced when combined with green/social innovation and AI‐based technologies, highlighting their role as drivers of sustainability. These factors exhibit differentiated mediating effects: Green and social innovation primarily amplifies environmental sustainability, whereas AI technologies accelerate social sustainability outcomes. The analysis also shows that these effects vary depending on firm size and the type of AI technology adopted (i.e., AI‐based algorithms and software vs. AI‐based hardware and infrastructures). These insights offer strategic guida</w:t>
      </w:r>
    </w:p>
    <w:p>
      <w:pPr/>
      <w:r>
        <w:rPr>
          <w:b/>
        </w:rPr>
        <w:t>POSSIBLE 2025:</w:t>
      </w:r>
      <w:r>
        <w:t xml:space="preserve"> Environmental, Social, and Governance (ESG) Performance and Economic Growth: An Econometric Analysis for Central European Countries — https://doi.org/10.18690/um.epf.5.2025.9</w:t>
      </w:r>
    </w:p>
    <w:p>
      <w:pPr/>
      <w:r>
        <w:rPr>
          <w:b/>
        </w:rPr>
        <w:t>Shared claim-specific concepts:</w:t>
      </w:r>
      <w:r>
        <w:t xml:space="preserve"> environmental; EU scope visible. This is a provisional connection, not an outcome finding.</w:t>
      </w:r>
    </w:p>
    <w:p>
      <w:pPr>
        <w:pStyle w:val="SourceNote"/>
      </w:pPr>
      <w:r>
        <w:rPr>
          <w:b/>
        </w:rPr>
        <w:t>Available abstract (not full text):</w:t>
      </w:r>
      <w:r>
        <w:t xml:space="preserve"> This study analyzes the impact of environmental, social, and governance (ESG) performance on economic growth in Central European countries. Using an econometric approach, the study assesses ESG indicators’ contribution to economic development and examines whether these factors drive sustainable growth. A scientific methodology based on secondary data from the World Bank’s annual reports was applied. Several econometric models, including multiple linear regression, random effects, fixed effects, Hausman-Taylor regression, GMM, and GEE models, were used. The results show a strong relationship between ESG performance and economic growth. Governance effectiveness and corruption control positively impact GDP growth, while increasing CO2 emissions negatively affect it. Similarly, investments in education and health contribute to long-term growth, emphasizing the importance of sustainable development policies. This research presents reliable results supporting conclusions and recommendations.</w:t>
      </w:r>
    </w:p>
    <w:p>
      <w:pPr/>
      <w:r>
        <w:rPr>
          <w:b/>
        </w:rPr>
        <w:t>POSSIBLE 2025:</w:t>
      </w:r>
      <w:r>
        <w:t xml:space="preserve"> Assessing environmental, social, political and legal, and economic challenges for cobalt supply from new mining projects in Europe — https://doi.org/10.1144/esss2025-007</w:t>
      </w:r>
    </w:p>
    <w:p>
      <w:pPr/>
      <w:r>
        <w:rPr>
          <w:b/>
        </w:rPr>
        <w:t>Shared claim-specific concepts:</w:t>
      </w:r>
      <w:r>
        <w:t xml:space="preserve"> environmental, national, finland; EU scope visible. This is a provisional connection, not an outcome finding.</w:t>
      </w:r>
    </w:p>
    <w:p>
      <w:pPr>
        <w:pStyle w:val="SourceNote"/>
      </w:pPr>
      <w:r>
        <w:rPr>
          <w:b/>
        </w:rPr>
        <w:t>Available abstract (not full text):</w:t>
      </w:r>
      <w:r>
        <w:t xml:space="preserve"> Despite abundant cobalt resources in Europe, only Finland and Turkey currently extract this metal. This study examines challenges to new cobalt supply by comparing seven exploration projects and two operating mines in Finland, Norway, Sweden and Turkey. A multicriteria analysis framework was developed to assess four domains, environmental (E), social (S), political and legal (G), and economic (EC), each with five to six indicators. The results highlight complex interactions between indicators on national and local scales. While Nordic countries have strong mineral governance and thus rank highly in the political and legal domain, challenges persist, amplified by low rankings in land use and territorial aspects for some projects, particularly Sakatti, due to its vicinity to protected areas, reindeer herding and indigenous people. Furthermore, economic conflicts of interest with tourism result in low rankings for Kuusamo in two social indicators. The arctic region is also particularly vulnerable to climate change, exacerbated by anthropogenic activity. Turkey's Çaldağ project ranks highest for cobalt recovery, but it ranks low in all but one environmental indicator, due to high energy consumption and weak environmental governance in Turkey. Many mining conflicts could be mitigated by earlier community engagement to gain a social licence to operate.</w:t>
      </w:r>
    </w:p>
    <w:p>
      <w:pPr/>
      <w:r>
        <w:rPr>
          <w:b/>
        </w:rPr>
        <w:t>POSSIBLE 2025:</w:t>
      </w:r>
      <w:r>
        <w:t xml:space="preserve"> European green bonds, carbon tax and crowding-out: The economic, social and environmental impacts of the EU's green investments under different financing scenarios — https://doi.org/10.1016/j.rser.2025.115330</w:t>
      </w:r>
    </w:p>
    <w:p>
      <w:pPr/>
      <w:r>
        <w:rPr>
          <w:b/>
        </w:rPr>
        <w:t>Shared claim-specific concepts:</w:t>
      </w:r>
      <w:r>
        <w:t xml:space="preserve"> environmental, impacts, different, level, benefits; EU scope visible. This is a provisional connection, not an outcome finding.</w:t>
      </w:r>
    </w:p>
    <w:p>
      <w:pPr>
        <w:pStyle w:val="SourceNote"/>
      </w:pPr>
      <w:r>
        <w:rPr>
          <w:b/>
        </w:rPr>
        <w:t>Available abstract (not full text):</w:t>
      </w:r>
      <w:r>
        <w:t xml:space="preserve"> This study provides novel insights into the economic, social and environmental impacts of green energy investments in the European Union using MAGNET, a computable general equilibrium model of the world economy. MAGNET was extended to include sector-specific investment allocation, investment risk premiums adjustment, and technology learning effects to endogenize productivity growth in renewable and bioenergy sectors. In line with the proposals on climate neutrality and the Green Deal, the study simulates an increase in investments in renewable energy and bioeconomy sectors (additional 15 % increase in capital stock) starting in 2025. Three alternative financing scenarios are compared; the European Green Bonds scenario, carbon tax scenario and the crowding-out scenario (assuming green investments are financed from existing resources). It is found that additional green energy investments bring generally positive GDP, social and emission-saving effects. In the case of GDP, the deviation from the baseline reaches +0.9 % in 2050 for the EU if financed from the Green Bond. The other scenarios show that when green investments are not crowding-out other investments in the EU, the economic impacts at EU level are still positive. It is also shown that, on average, the investment policy would increase the size of bioeconomy sector by between 3.2 % and 4.2 % in 2050. However, the impacts a</w:t>
      </w:r>
    </w:p>
    <w:p>
      <w:pPr/>
      <w:r>
        <w:rPr>
          <w:b/>
        </w:rPr>
        <w:t>POSSIBLE 2025:</w:t>
      </w:r>
      <w:r>
        <w:t xml:space="preserve"> ECONOMIC POLICIES PROMOTING SOCIAL PARTNERSHIP IN THE EUROPEAN UNION — https://openalex.org/W7217059749</w:t>
      </w:r>
    </w:p>
    <w:p>
      <w:pPr/>
      <w:r>
        <w:rPr>
          <w:b/>
        </w:rPr>
        <w:t>Shared claim-specific concepts:</w:t>
      </w:r>
      <w:r>
        <w:t xml:space="preserve"> vary, different, national; EU scope visible. This is a provisional connection, not an outcome finding.</w:t>
      </w:r>
    </w:p>
    <w:p>
      <w:pPr>
        <w:pStyle w:val="SourceNote"/>
      </w:pPr>
      <w:r>
        <w:rPr>
          <w:b/>
        </w:rPr>
        <w:t>Available abstract (not full text):</w:t>
      </w:r>
      <w:r>
        <w:t xml:space="preserve"> A strong social Europe requires strong social partnerships. In Western Europe, social partnerships, along with their institutions and processes, have promoted successful economic reforms. Social dialogue, collective bargaining are principal factors for promoting innovation, productivity and competition. Social dialogue is a core ingredient of the social market economy and a driving force for successful economic reforms. Strong collective bargaining systems also strengthen the resilience of Member States during economic crises. Over recent years, social dialogue has become more important within the framework of the European Semester. This has led to several country-specific recommendations emphasizing the involvement of national social partners in shaping economic policies. However, the degree and quality of social partners involvement in economic policy-making vary significantly among Member States. These variations are attributed to different institutional frameworks, procedures and practices. The article aims to analyze the role of social partnerships in economic policy -making at both EU and national levels, focusing on case studies of the German and Swedish models.</w:t>
      </w:r>
    </w:p>
    <w:p>
      <w:pPr/>
      <w:r>
        <w:rPr>
          <w:b/>
        </w:rPr>
        <w:t>POSSIBLE 2025:</w:t>
      </w:r>
      <w:r>
        <w:t xml:space="preserve"> The role of social, policy and economic forces in shaping forest restoration practices in Europe — https://doi.org/10.1016/j.landusepol.2025.107876</w:t>
      </w:r>
    </w:p>
    <w:p>
      <w:pPr/>
      <w:r>
        <w:rPr>
          <w:b/>
        </w:rPr>
        <w:t>Shared claim-specific concepts:</w:t>
      </w:r>
      <w:r>
        <w:t xml:space="preserve"> different, national, strategies; EU scope visible. This is a provisional connection, not an outcome finding.</w:t>
      </w:r>
    </w:p>
    <w:p>
      <w:pPr>
        <w:pStyle w:val="SourceNote"/>
      </w:pPr>
      <w:r>
        <w:rPr>
          <w:b/>
        </w:rPr>
        <w:t>Available abstract (not full text):</w:t>
      </w:r>
      <w:r>
        <w:t xml:space="preserve"> Forest restoration in Europe has a complex history strongly influenced by various social, policy and economic factors. Understanding these influences is essential for shaping effective restoration strategies and avoiding past mistakes, particularly in light of meeting ambitious targets outlined in initiatives such as the EU Nature Restoration Regulation. Here we identify the key social, policy and economic drivers, barriers and enablers that have historically shaped forest restoration across Europe. We analyzed and synthesized detailed information from historical national narratives on forest restoration provided by experts from 18 European countries. Our work details how wars, changes in governance (centralization vs. decentralization) and forest tenure (privatization vs. nationalization), different policy instruments (regulatory, financial, persuasive and organizational), market fluctuations and sociodemographic changes (e.g., rural abandonment, changes in public opinion) have driven the development of forest restoration in Europe. The findings underscore the need to use inclusive and innovative governance mechanisms to reconcile diverging societal paradigms (e.g., rural vs. urban, conservation vs. forestry) partly reflected in incoherent forest-related policies, as well as to address the fragmentation resulting from forest privatization. Ensuring stable funding mechanisms (e</w:t>
      </w:r>
    </w:p>
    <w:p>
      <w:pPr/>
      <w:r>
        <w:rPr>
          <w:b/>
        </w:rPr>
        <w:t>POSSIBLE 2025:</w:t>
      </w:r>
      <w:r>
        <w:t xml:space="preserve"> Identifying the Use of Environmental Social Governance (ESG) Strategies in Companies Associated with CSR Europe on Business Results, Macro-Economic Indicators of the Country and Sustainability of the EU — https://doi.org/10.47556/j.wjstsd.20.4.2025.2</w:t>
      </w:r>
    </w:p>
    <w:p>
      <w:pPr/>
      <w:r>
        <w:rPr>
          <w:b/>
        </w:rPr>
        <w:t>Shared claim-specific concepts:</w:t>
      </w:r>
      <w:r>
        <w:t xml:space="preserve"> environmental, strategies, sustainability; EU scope visible. This is a provisional connection, not an outcome finding.</w:t>
      </w:r>
    </w:p>
    <w:p>
      <w:pPr>
        <w:pStyle w:val="SourceNote"/>
      </w:pPr>
      <w:r>
        <w:rPr>
          <w:b/>
        </w:rPr>
        <w:t>Available abstract (not full text):</w:t>
      </w:r>
      <w:r>
        <w:t xml:space="preserve"> Purpose: The aim of this research is to demonstrate and explain how the companies analysed implemented an effective Environmental Social Governance (ESG) strategy with positive results for their own business, the country’s macro-economic results and the sustainable prosperity of the European Union (EU). Design/Methodology/Approach: A combination of methods and procedures within a logical system framework at three dimensions that focused on responsible behaviour according to the ESG were used: micro-level → mezzo-level → macro-level. For the objective evaluation of the indicators and their implications to achieve the set goal, a correlation dependence of selected variables and indicators was used. Findings: Applications of ESG strategies in companies associated with CSR Europe (Corporate Sustainability and Responsibility) have relevant impact on business results, a country’s macro-economic indicators, and EU sustainability. Originality: The research results related to the application of ESG strategies with real usage for companies, and macro-economic improvements are unique. Implications: The model solution is synthesised to be adaptable to any company worldwide in a country’s ESG framework, with a description of potential limits and barriers. Keywords: ESG Conduct; ESRS Standards; CSR Europe; Sustainability; Strategy. Citation: Dubcová, G., Kapsdorferová, Z. and Lisnik, A. (202</w:t>
      </w:r>
    </w:p>
    <w:p>
      <w:pPr>
        <w:pStyle w:val="Heading2"/>
      </w:pPr>
      <w:r>
        <w:t>695. A New Climate for Europe: 2030 Climate Targets Must Be More Ambitious</w:t>
      </w:r>
    </w:p>
    <w:p>
      <w:pPr>
        <w:pStyle w:val="SourceNote"/>
      </w:pPr>
      <w:r>
        <w:rPr>
          <w:b/>
        </w:rPr>
        <w:t>Original source (2019):</w:t>
      </w:r>
      <w:r>
        <w:t xml:space="preserve"> https://doi.org/10.18723/diw_dwr:2019-40-1</w:t>
      </w:r>
    </w:p>
    <w:p>
      <w:pPr/>
      <w:r>
        <w:t>Original wording (abstract; indexed_source_text_not_full_document_verified): Specifically, action must be taken to raise the 2030 climate targets and the 2050 long-term strategy must be revised in adherence with the Paris Agreement. Model calculations by DIW Berlin economists show that it is possible and economically feasible to increase the 2030 emission reduction target from 40 to 60 percent compared to 1990.</w:t>
      </w:r>
    </w:p>
    <w:p>
      <w:pPr/>
      <w:r>
        <w:rPr>
          <w:b/>
        </w:rPr>
        <w:t>POSSIBLE 2026:</w:t>
      </w:r>
      <w:r>
        <w:t xml:space="preserve"> Simulating Nature Futures Pathways for Europe using a Nexus Modelling Framework — https://doi.org/10.5281/zenodo.22918966</w:t>
      </w:r>
    </w:p>
    <w:p>
      <w:pPr/>
      <w:r>
        <w:rPr>
          <w:b/>
        </w:rPr>
        <w:t>Shared claim-specific concepts:</w:t>
      </w:r>
      <w:r>
        <w:t xml:space="preserve"> specifically, action, must, climate, show; EU scope visible. This is a provisional connection, not an outcome finding.</w:t>
      </w:r>
    </w:p>
    <w:p>
      <w:pPr>
        <w:pStyle w:val="SourceNote"/>
      </w:pPr>
      <w:r>
        <w:rPr>
          <w:b/>
        </w:rPr>
        <w:t>Available abstract (not full text):</w:t>
      </w:r>
      <w:r>
        <w:t xml:space="preserve"> Deliverable 1.3 of the EU-funded BIONEXT project reports on the application of the nexus modelling framework. The framework comprises three complementary models: (i) JUNIPER, a systems dynamic model developed specifically for BIONEXT; (ii) CRAFTY-Europe, an agent-based model enhanced for this project; and (iii) IAP2/dIAP, a regional integrated assessment model. Together, these models capture interlinkages among the seven nexus elements—biodiversity, climate change, food, water, energy, transport and health—enabling improved quantification of cross-sectoral impacts, synergies and trade-offs. The framework also accommodates a wide range of direct drivers (e.g. climate change, land use change) and indirect drivers (e.g. socio-cultural, demographic, technological, economic and governance factors). The modelling framework was applied to three co-created just transition pathways—NAC (Nature as Culture), NFN (Nature for Nature) and NFS (Nature for Society)—at the European scale, with national illustrations for six countries. These pathways were co-designed with stakeholders through three workshops to reflect plural values and governance choices, then translated into quantitative parameter trends and modelled to 2050 under a common climate forcing. The resulting multi-model outputs show how different action portfolios propagate through the nexus—revealing where synergies dominate, wher</w:t>
      </w:r>
    </w:p>
    <w:p>
      <w:pPr/>
      <w:r>
        <w:rPr>
          <w:b/>
        </w:rPr>
        <w:t>POSSIBLE 2026:</w:t>
      </w:r>
      <w:r>
        <w:t xml:space="preserve"> The 2026 Europe report of the Lancet Countdown on health and climate change: narrowing window for decisive health action — https://doi.org/10.1016/s2468-2667(26)00025-3</w:t>
      </w:r>
    </w:p>
    <w:p>
      <w:pPr/>
      <w:r>
        <w:rPr>
          <w:b/>
        </w:rPr>
        <w:t>Shared claim-specific concepts:</w:t>
      </w:r>
      <w:r>
        <w:t xml:space="preserve"> action, climate, possible; EU scope visible. This is a provisional connection, not an outcome finding.</w:t>
      </w:r>
    </w:p>
    <w:p>
      <w:pPr>
        <w:pStyle w:val="SourceNote"/>
      </w:pPr>
      <w:r>
        <w:rPr>
          <w:b/>
        </w:rPr>
        <w:t>Available abstract (not full text):</w:t>
      </w:r>
      <w:r>
        <w:t xml:space="preserve"> This third iteration of the Lancet Countdown on health and climate change in Europe report systematically tracks the health effects of climate change adaptation and mitigation action, economics and finance, and the engagement of various societal actors with the climate change and health nexus, drawing on data up to 2025. The report features seven new indicators, methodological updates, extended time series for existing indicators, and highlights inequalities in health risks and impacts where possible.</w:t>
      </w:r>
    </w:p>
    <w:p>
      <w:pPr/>
      <w:r>
        <w:rPr>
          <w:b/>
        </w:rPr>
        <w:t>POSSIBLE 2026:</w:t>
      </w:r>
      <w:r>
        <w:t xml:space="preserve"> Early warning early action systems for invasive alien species affecting forests in Europe and Central Asia — https://openalex.org/W7164620270</w:t>
      </w:r>
    </w:p>
    <w:p>
      <w:pPr/>
      <w:r>
        <w:rPr>
          <w:b/>
        </w:rPr>
        <w:t>Shared claim-specific concepts:</w:t>
      </w:r>
      <w:r>
        <w:t xml:space="preserve"> action, must, reduction; EU scope visible. This is a provisional connection, not an outcome finding.</w:t>
      </w:r>
    </w:p>
    <w:p>
      <w:pPr>
        <w:pStyle w:val="SourceNote"/>
      </w:pPr>
      <w:r>
        <w:rPr>
          <w:b/>
        </w:rPr>
        <w:t>Available abstract (not full text):</w:t>
      </w:r>
      <w:r>
        <w:t xml:space="preserve"> Early Warning Early Action (EWEA) is a system and set of protocols developed and implemented by the Food and Agriculture Organization (FAO) as part of its disaster risk reduction and resilience work. EWEA provides proactive approaches to predictable shocks by investing in monitoring and disaster management for different humanitarian and ecological crises around the world. As the rate of spread of invasive alien species (IAS) increases and disrupts the vital ecological functions in forests around the world, vigorous phytosanitary protocols are needed to prevent and mitigate their dispersal and adverse impacts. The anticipatory approach of EWEA systems is well-suited for mitigating the detrimental effects of IAS, as preventive measures have proven to be the most effective. In this review of EWEA for forest IAS, papers have been categorized into six themes: a review of EWEA systems, sentinel tree species in plantations and gardens, trapping and detection methods and their application, pathways of IAS introduction, citizen science for early detection, and modeling of EWEA systems. Additionally, a survey was conducted among researchers and forest managers to determine their perspectives in relation to EWEA systems. A total of 96 respondents (58 from Europe and 38 from Central Asia) provided information that complements the review findings. The results indicate that EWEA systems are </w:t>
      </w:r>
    </w:p>
    <w:p>
      <w:pPr/>
      <w:r>
        <w:rPr>
          <w:b/>
        </w:rPr>
        <w:t>POSSIBLE 2026:</w:t>
      </w:r>
      <w:r>
        <w:t xml:space="preserve"> Early warning early action systems for invasive alien species affecting forests in Europe and Central Asia: an overview — https://doi.org/10.3389/ffgc.2026.1795394</w:t>
      </w:r>
    </w:p>
    <w:p>
      <w:pPr/>
      <w:r>
        <w:rPr>
          <w:b/>
        </w:rPr>
        <w:t>Shared claim-specific concepts:</w:t>
      </w:r>
      <w:r>
        <w:t xml:space="preserve"> action, must, reduction; EU scope visible. This is a provisional connection, not an outcome finding.</w:t>
      </w:r>
    </w:p>
    <w:p>
      <w:pPr>
        <w:pStyle w:val="SourceNote"/>
      </w:pPr>
      <w:r>
        <w:rPr>
          <w:b/>
        </w:rPr>
        <w:t>Available abstract (not full text):</w:t>
      </w:r>
      <w:r>
        <w:t xml:space="preserve"> Early Warning Early Action (EWEA) is a system and set of protocols developed and implemented by the Food and Agriculture Organization (FAO) as part of its disaster risk reduction and resilience work. EWEA provides proactive approaches to predictable shocks by investing in monitoring and disaster management for different humanitarian and ecological crises around the world. As the rate of spread of invasive alien species (IAS) increases and disrupts the vital ecological functions in forests around the world, vigorous phytosanitary protocols are needed to prevent and mitigate their dispersal and adverse impacts. The anticipatory approach of EWEA systems is well-suited for mitigating the detrimental effects of IAS, as preventive measures have proven to be the most effective. In this review of EWEA for forest IAS, papers have been categorized into six themes: a review of EWEA systems, sentinel tree species in plantations and gardens, trapping and detection methods and their application, pathways of IAS introduction, citizen science for early detection, and modeling of EWEA systems. Additionally, a survey was conducted among researchers and forest managers to determine their perspectives in relation to EWEA systems. A total of 96 respondents (58 from Europe and 38 from Central Asia) provided information that complements the review findings. The results indicate that EWEA systems are </w:t>
      </w:r>
    </w:p>
    <w:p>
      <w:pPr/>
      <w:r>
        <w:rPr>
          <w:b/>
        </w:rPr>
        <w:t>POSSIBLE 2025:</w:t>
      </w:r>
      <w:r>
        <w:t xml:space="preserve"> Climate Action in On-Site Study Abroad in Europe — https://doi.org/10.36366/frontiers.v37i1.992</w:t>
      </w:r>
    </w:p>
    <w:p>
      <w:pPr/>
      <w:r>
        <w:rPr>
          <w:b/>
        </w:rPr>
        <w:t>Shared claim-specific concepts:</w:t>
      </w:r>
      <w:r>
        <w:t xml:space="preserve"> action, climate, show; EU scope visible. This is a provisional connection, not an outcome finding.</w:t>
      </w:r>
    </w:p>
    <w:p>
      <w:pPr>
        <w:pStyle w:val="SourceNote"/>
      </w:pPr>
      <w:r>
        <w:rPr>
          <w:b/>
        </w:rPr>
        <w:t>Available abstract (not full text):</w:t>
      </w:r>
      <w:r>
        <w:t xml:space="preserve"> Study abroad travel by plane forms the largest component of a programme’s carbon footprint. This paper stresses the importance of embedding climate action into study abroad and outlines climate action steps for on-site programmes in Europe to become more sustainable, including 1) calculating carbon footprints, 2) reducing emissions, 3) offsetting remaining emissions, and 4) embedding climate and sustainability education into our programmes. Practitioner survey results show that many programmes have already implemented some actions, but more could be done with targeted effort. Student survey results show that while they favour climate action outcomes in their programme, most students view their abroad semester as an opportunity to be hypermobile without consideration to climate. We view climate action and sustainability education within our programmes as being critical to the future of study abroad in Europe. Abstract in Italian Le emissioni di carbonio di un programma di studio all’estero sono causate principalmente dal fatto che si viaggi in aereo. Questo articolo sottolinea l'importanza di includere un piano di contrasto al cambiamento climatico nei programmi di studio all’estero e suggerisce delle azioni concrete per rendere più sostenibili i programmi in Europa, tra cui: 1) calcolare le emissioni relative al programma 2) ridurle 3) compensare le residue 4) incorporare nei p</w:t>
      </w:r>
    </w:p>
    <w:p>
      <w:pPr/>
      <w:r>
        <w:rPr>
          <w:b/>
        </w:rPr>
        <w:t>POSSIBLE 2025:</w:t>
      </w:r>
      <w:r>
        <w:t xml:space="preserve"> Overlooked Instruments: The European Protection of Human Rights in the Climate Crisis — https://doi.org/10.1163/9789004708389_005</w:t>
      </w:r>
    </w:p>
    <w:p>
      <w:pPr/>
      <w:r>
        <w:rPr>
          <w:b/>
        </w:rPr>
        <w:t>Shared claim-specific concepts:</w:t>
      </w:r>
      <w:r>
        <w:t xml:space="preserve"> specifically, action, climate; EU scope visible. This is a provisional connection, not an outcome finding.</w:t>
      </w:r>
    </w:p>
    <w:p>
      <w:pPr>
        <w:pStyle w:val="SourceNote"/>
      </w:pPr>
      <w:r>
        <w:rPr>
          <w:b/>
        </w:rPr>
        <w:t>Available abstract (not full text):</w:t>
      </w:r>
      <w:r>
        <w:t xml:space="preserve"> The climate crisis presents an urgent and multifaceted global challenge which necessitates robust safeguards for the protection of human rights in this context. This contribution explores the human rights instruments of the Council of Europe and the European Union which possess the potential to shape a robust response to the climate crisis and more climate action. Within the European landscape, the European Convention on Human Rights (ECHR) serves as the central framework for addressing climate issues through a human rights-based approach. This focus was particularly reinforced by the three decisions from the European Court of Human Rights (ECtHR) in 2024. Other instruments, however, are rather overlooked and are taking on a secondary role. At the heart of this discussion is an examination of two pivotal instruments: the European Social Charter (ESC) and the Charter of Fundamental Rights of the European Union (CFREU). Both Charters, with their expansive provisions, case law and institutional procedures, offer a formidable foundation for addressing the positive obligations of States to protect human rights. Despite their significant potential, these tools have been relatively under-utilised in the climate context, raising questions about their efficacy and applicability. By comparing the ESC and CFREU with the ECHR, this paper aims to determine whether the ESC and CFREU are less</w:t>
      </w:r>
    </w:p>
    <w:p>
      <w:pPr/>
      <w:r>
        <w:rPr>
          <w:b/>
        </w:rPr>
        <w:t>POSSIBLE 2024:</w:t>
      </w:r>
      <w:r>
        <w:t xml:space="preserve"> Climate Obstruction across Europe — https://doi.org/10.1093/oso/9780197762042.001.0001</w:t>
      </w:r>
    </w:p>
    <w:p>
      <w:pPr/>
      <w:r>
        <w:rPr>
          <w:b/>
        </w:rPr>
        <w:t>Shared claim-specific concepts:</w:t>
      </w:r>
      <w:r>
        <w:t xml:space="preserve"> action, climate, long-term; EU scope visible. This is a provisional connection, not an outcome finding.</w:t>
      </w:r>
    </w:p>
    <w:p>
      <w:pPr>
        <w:pStyle w:val="SourceNote"/>
      </w:pPr>
      <w:r>
        <w:rPr>
          <w:b/>
        </w:rPr>
        <w:t>Available abstract (not full text):</w:t>
      </w:r>
      <w:r>
        <w:t xml:space="preserve"> Abstract Understanding climate obstruction is foundational to advancing effective action on the issue. Starting in the late 1980s, a broad range of actors, including corporations and trade associations, acting in coordination with conservative think tanks, foundations, and public relations firms, mounted a long-term effort to oppose action to mitigate carbon emissions responsible for climate change. Many portrayals of this effort focus on the United States; Climate Obstruction across Europe for the first time documents the development and nature of these activities across the Continent and the United Kingdom. Leading teams of experts examine case studies of eleven nations and the European Union (EU). Each team documents the historic development of climate obstruction in a country, the principal organizations involved in these efforts, the strategies and tactics utilized, and the nature of the arguments made to slow or stop climate action. Noting significant differences between countries, the book concludes with ten lessons on climate obstruction across Europe which emerge from the studies. National economies and histories are foundational in shaping obstruction and shaping the actors, lobbies, and the places for think tanks to operate. The public relations industry pushes climate delay into the public and policymaking arenas, providing fodder for a media already inclined to sup</w:t>
      </w:r>
    </w:p>
    <w:p>
      <w:pPr/>
      <w:r>
        <w:rPr>
          <w:b/>
        </w:rPr>
        <w:t>POSSIBLE 2024:</w:t>
      </w:r>
      <w:r>
        <w:t xml:space="preserve"> EUROPEAN LANDSCAPE OF CLIMATE LAW — https://doi.org/10.46299/979-8-89504-809-2.3</w:t>
      </w:r>
    </w:p>
    <w:p>
      <w:pPr/>
      <w:r>
        <w:rPr>
          <w:b/>
        </w:rPr>
        <w:t>Shared claim-specific concepts:</w:t>
      </w:r>
      <w:r>
        <w:t xml:space="preserve"> specifically, action, must, raise, climate, targets; EU scope visible. This is a provisional connection, not an outcome finding.</w:t>
      </w:r>
    </w:p>
    <w:p>
      <w:pPr>
        <w:pStyle w:val="SourceNote"/>
      </w:pPr>
      <w:r>
        <w:rPr>
          <w:b/>
        </w:rPr>
        <w:t>Available abstract (not full text):</w:t>
      </w:r>
      <w:r>
        <w:t xml:space="preserve"> 3. European landscape of climate law Introduction.The existential threat caused by climate change requires governmental efforts of the states for implementation of the Paris Agreement setting up efforts for development of economic and social transformation, based on the best available scientific and sustainable approaches.As part of the European Green Deal, with the European Climate Law, the European Union has set itself a binding target of achieving climate neutrality by 2050.Regulation (EU) 2021/1119 of the European Parliament and of the Council of 30 June 2021 establishing the framework for achieving climate neutrality and amending Regulations (EC) No 401/2009 and (EU) 2018/1999 was named 'European Climate Law' [124].Researches of European landscape of climate law have been provided by various organizations, institutions, and researchers, including United Nations Framework Convention on Climate Change (UNFCCC), Panel on Climate Change (IPCC), World Bank , Organization for Economic Co-operation and Development (OECD), Grantham Research Institute on Climate Change and the Environment (London School of Economics), World Resources Institute (WRI), Climate Policy Initiative (CPI), International Institute for Environment and Development (IIED), Climate Action Network (CAN), Greenpeace, World Wildlife Fund (WWF), Ecologic Institute etc.These organizations and institutions have prov</w:t>
      </w:r>
    </w:p>
    <w:p>
      <w:pPr/>
      <w:r>
        <w:rPr>
          <w:b/>
        </w:rPr>
        <w:t>POSSIBLE 2024:</w:t>
      </w:r>
      <w:r>
        <w:t xml:space="preserve"> Globally representative evidence on the actual and perceived support for climate action — https://doi.org/10.1038/s41558-024-01925-3</w:t>
      </w:r>
    </w:p>
    <w:p>
      <w:pPr/>
      <w:r>
        <w:rPr>
          <w:b/>
        </w:rPr>
        <w:t>Shared claim-specific concepts:</w:t>
      </w:r>
      <w:r>
        <w:t xml:space="preserve"> action, climate, show; EU scope not established. This is a provisional connection, not an outcome finding.</w:t>
      </w:r>
    </w:p>
    <w:p>
      <w:pPr>
        <w:pStyle w:val="SourceNote"/>
      </w:pPr>
      <w:r>
        <w:rPr>
          <w:b/>
        </w:rPr>
        <w:t>Available abstract (not full text):</w:t>
      </w:r>
      <w:r>
        <w:t xml:space="preserve"> Abstract Mitigating climate change necessitates global cooperation, yet global data on individuals’ willingness to act remain scarce. In this study, we conducted a representative survey across 125 countries, interviewing nearly 130,000 individuals. Our findings reveal widespread support for climate action. Notably, 69% of the global population expresses a willingness to contribute 1% of their personal income, 86% endorse pro-climate social norms and 89% demand intensified political action. Countries facing heightened vulnerability to climate change show a particularly high willingness to contribute. Despite these encouraging statistics, we document that the world is in a state of pluralistic ignorance, wherein individuals around the globe systematically underestimate the willingness of their fellow citizens to act. This perception gap, combined with individuals showing conditionally cooperative behaviour, poses challenges to further climate action. Therefore, raising awareness about the broad global support for climate action becomes critically important in promoting a unified response to climate change.</w:t>
      </w:r>
    </w:p>
    <w:p>
      <w:pPr/>
      <w:r>
        <w:rPr>
          <w:b/>
        </w:rPr>
        <w:t>POSSIBLE 2024:</w:t>
      </w:r>
      <w:r>
        <w:t xml:space="preserve"> Closing the climate finance gap: How to raise the money the world needs to support climate action — https://doi.org/10.55317/9781784136307</w:t>
      </w:r>
    </w:p>
    <w:p>
      <w:pPr/>
      <w:r>
        <w:rPr>
          <w:b/>
        </w:rPr>
        <w:t>Shared claim-specific concepts:</w:t>
      </w:r>
      <w:r>
        <w:t xml:space="preserve"> action, raise, climate, possible, increase; EU scope not established. This is a provisional connection, not an outcome finding.</w:t>
      </w:r>
    </w:p>
    <w:p>
      <w:pPr>
        <w:pStyle w:val="SourceNote"/>
      </w:pPr>
      <w:r>
        <w:rPr>
          <w:b/>
        </w:rPr>
        <w:t>Available abstract (not full text):</w:t>
      </w:r>
      <w:r>
        <w:t xml:space="preserve"> With climate impacts getting worse and temperature records being broken, the pressure on countries to raise more money in support of climate action continues to increase. But the ‘climate finance gap’ – the difference between the trillions of dollars needed and the amounts currently available – remains persistent, and is particularly acute in emerging markets and developing economies. Most of the new money needed will have to come from the private sector, but public funding also has a crucial role to play. Fiscal and political pressures in the advanced economies mean that public funds are in short supply. However, this only increases the importance of using the limited amount available in the most effective way possible. The prospect of reduced US political support for climate action in the wake of the 2024 presidential election makes this even more important. This paper explores the challenges of increasing climate finance to emerging markets and developing countries. It discusses the prospects for raising more public international finance in absolute terms, and proposes ideas for using the public money that is already available – or realistically likely to become available – more effectively. Key findings include: the need for regular comparative assessment of different channels for deploying public finance in climate action; the need to enable multilateral development banks </w:t>
      </w:r>
    </w:p>
    <w:p>
      <w:pPr/>
      <w:r>
        <w:rPr>
          <w:b/>
        </w:rPr>
        <w:t>POSSIBLE 2023:</w:t>
      </w:r>
      <w:r>
        <w:t xml:space="preserve"> State of Climate Action 2023 — https://doi.org/10.46830/wrirpt.23.00010</w:t>
      </w:r>
    </w:p>
    <w:p>
      <w:pPr/>
      <w:r>
        <w:rPr>
          <w:b/>
        </w:rPr>
        <w:t>Shared claim-specific concepts:</w:t>
      </w:r>
      <w:r>
        <w:t xml:space="preserve"> action, must, climate, targets, increase; EU scope not established. This is a provisional connection, not an outcome finding.</w:t>
      </w:r>
    </w:p>
    <w:p>
      <w:pPr>
        <w:pStyle w:val="SourceNote"/>
      </w:pPr>
      <w:r>
        <w:rPr>
          <w:b/>
        </w:rPr>
        <w:t>Available abstract (not full text):</w:t>
      </w:r>
      <w:r>
        <w:t xml:space="preserve"> The State of Climate Action 2023 provides the world’s most comprehensive roadmap of how to close the gap in climate action across sectors to limit global warming to 1.5°C. It finds that recent progress toward 1.5°C-aligned targets isn’t happening at the pace and scale necessary and highlights where action must urgently accelerate this decade to reduce greenhouse gas emissions, scale up carbon removal and increase climate finance.</w:t>
      </w:r>
    </w:p>
    <w:p>
      <w:pPr/>
      <w:r>
        <w:rPr>
          <w:b/>
        </w:rPr>
        <w:t>POSSIBLE 2023:</w:t>
      </w:r>
      <w:r>
        <w:t xml:space="preserve"> The European Union's Climate and Environmental Policy in Times of Geopolitical Crisis — https://doi.org/10.1111/jcms.13530</w:t>
      </w:r>
    </w:p>
    <w:p>
      <w:pPr/>
      <w:r>
        <w:rPr>
          <w:b/>
        </w:rPr>
        <w:t>Shared claim-specific concepts:</w:t>
      </w:r>
      <w:r>
        <w:t xml:space="preserve"> action, must, taken, climate, long-term, strategy; EU scope visible. This is a provisional connection, not an outcome finding.</w:t>
      </w:r>
    </w:p>
    <w:p>
      <w:pPr>
        <w:pStyle w:val="SourceNote"/>
      </w:pPr>
      <w:r>
        <w:rPr>
          <w:b/>
        </w:rPr>
        <w:t>Available abstract (not full text):</w:t>
      </w:r>
      <w:r>
        <w:t xml:space="preserve"> European Union (EU) environmental policy is made in the framework of a multiannual Environment Action Programme (EAP), which rests on the principles of prevention, precaution and tackling pollution at its source rather than at the 'end of the pipe'. The current, 8th EAP defines objectives for environmental policy in the narrow sense as measures to prevent, reduce or end adverse effects on nature and natural resources but recognises that environmental policy objectives must go hand in hand with reducing greenhouse gas (GHG) emissions, which is the main goal of EU climate policy. The EAP's integrated view on environmental and climate policy resonates with the one put forth by the European Green Deal (EGD). This is the EU's approach to delivering on the 2015 Paris Agreement on climate change and the United Nations' Sustainable Development Goals adopted in the same year (Koundouri et al., 2021). It is a comprehensive strategy for sustainable growth and goes beyond the classic dimensions of sustainability, as it covers economic viability, environmental protection and social equity (Bongardt and Torres, 2022). The EGD guides policy action in the strategic fields of agriculture and food, construction and renovation, climate, energy, environment, financial and regional development, industry, research and innovation, and transport and mobility to achieve the overarching goal of transfor</w:t>
      </w:r>
    </w:p>
    <w:p>
      <w:pPr>
        <w:pStyle w:val="Heading2"/>
      </w:pPr>
      <w:r>
        <w:t>696. A Technological Scenario for a Healthier, More Equitable and Sustainable Europe in 2040: Citizen Perceptions and Policy Implications</w:t>
      </w:r>
    </w:p>
    <w:p>
      <w:pPr>
        <w:pStyle w:val="SourceNote"/>
      </w:pPr>
      <w:r>
        <w:rPr>
          <w:b/>
        </w:rPr>
        <w:t>Original source (2019):</w:t>
      </w:r>
      <w:r>
        <w:t xml:space="preserve"> https://doi.org/10.3390/ijerph17010231</w:t>
      </w:r>
    </w:p>
    <w:p>
      <w:pPr/>
      <w:r>
        <w:t>Original wording (abstract; indexed_source_text_not_full_document_verified): This article aims at exploring, understanding and comparing European citizens' insights and perceptions towards "My life between realities", a positive future scenario which depicts a narrative of reaching healthier, more equitable and sustainable societies by 2040 with the support of technology and technological solutions.</w:t>
      </w:r>
    </w:p>
    <w:p>
      <w:pPr/>
      <w:r>
        <w:rPr>
          <w:b/>
        </w:rPr>
        <w:t>POSSIBLE 2026:</w:t>
      </w:r>
      <w:r>
        <w:t xml:space="preserve"> STRATEGIC AIMS OF UNIVERSITY-BASED MANAGERIAL EDUCATION IN EUROPEAN AND ASIAN COUNTRIES — https://doi.org/10.52058/3041-1572-2026-3(23)-909-923</w:t>
      </w:r>
    </w:p>
    <w:p>
      <w:pPr/>
      <w:r>
        <w:rPr>
          <w:b/>
        </w:rPr>
        <w:t>Shared claim-specific concepts:</w:t>
      </w:r>
      <w:r>
        <w:t xml:space="preserve"> article, aims, between, technological; EU scope visible. This is a provisional connection, not an outcome finding.</w:t>
      </w:r>
    </w:p>
    <w:p>
      <w:pPr>
        <w:pStyle w:val="SourceNote"/>
      </w:pPr>
      <w:r>
        <w:rPr>
          <w:b/>
        </w:rPr>
        <w:t>Available abstract (not full text):</w:t>
      </w:r>
      <w:r>
        <w:t xml:space="preserve"> The article examines the strategic aims of university-based managerial education in European and Asian countries within the context of global socio-economic transformation, digitalisation, and increasing governance complexity.The study seeks to identify the dominant value orientations, institutional priorities, and competence frameworks that shape managerial training in contemporary higher education systems.Using comparative and systemic analysis, the paper explores how European models emphasise democratic governance, sustainability, ethical leadership, and competencybased human capital development, while many Asian systems focus on state-driven modernisation, economic competitiveness, technological advancement, and collective responsibility.Particular attention is paid to the balance between professional expertise, leadership formation, and the development of adaptive capacities necessary for functioning in volatile and uncertain environments.The study synthesizes European and Asian experiences to identify the strategic aims of university-based managerial education.These objectives are characterized by 3(23) 2026</w:t>
      </w:r>
    </w:p>
    <w:p>
      <w:pPr/>
      <w:r>
        <w:rPr>
          <w:b/>
        </w:rPr>
        <w:t>POSSIBLE 2026:</w:t>
      </w:r>
      <w:r>
        <w:t xml:space="preserve"> Exploring Analysis of Spatiotemporal Trends in News Reporting in the China-Europe Railway Express — https://doi.org/10.7910/dvn/mmbnca</w:t>
      </w:r>
    </w:p>
    <w:p>
      <w:pPr/>
      <w:r>
        <w:rPr>
          <w:b/>
        </w:rPr>
        <w:t>Shared claim-specific concepts:</w:t>
      </w:r>
      <w:r>
        <w:t xml:space="preserve"> article, exploring, understanding, between, positive, sustainable; EU scope visible. This is a provisional connection, not an outcome finding.</w:t>
      </w:r>
    </w:p>
    <w:p>
      <w:pPr>
        <w:pStyle w:val="SourceNote"/>
      </w:pPr>
      <w:r>
        <w:rPr>
          <w:b/>
        </w:rPr>
        <w:t>Available abstract (not full text):</w:t>
      </w:r>
      <w:r>
        <w:t xml:space="preserve"> Since the Chinese government opened the China-Europe Railway Express(CRE), transportation cooperation between China and Europe has become increasingly frequent. The aim of this research is to explore the spatiotemporal trends in news reporting of CRE and the spatial spillover effects of transportation cooperation, providing a basis for the development of transportation cooperation mechanisms between China and Europe. This article selects news reporting from 22 countries along the CRE and analyzes the spatiotemporal trends of media coverage of CRE. This article uses statistical analysis and Moran’s Index method to test the temporal trend and spatial dependence of news reporting on the CRE. The study found that from 2016 to 2024, the Moran’s Index showed a certain spatial positive correlation for all years, verifying the spatiotemporal correlation between news reporting of the CRE and transportation cooperation. However, the spatial cooperation between the 22 countries on the CRE isn’t obvious, which to some extent affects the sustainable development of the CRE. This study contributes to understanding socioeconomic indicators driven by the long-term CRE operations. We have captured the close relationship between GDP, population, geographic size, and news reporting on CRE, and put forward operational suggestions to strengthen transportation cooperation among 22 countries, especial</w:t>
      </w:r>
    </w:p>
    <w:p>
      <w:pPr/>
      <w:r>
        <w:rPr>
          <w:b/>
        </w:rPr>
        <w:t>POSSIBLE 2026:</w:t>
      </w:r>
      <w:r>
        <w:t xml:space="preserve"> Exploring Analysis of Spatiotemporal Trends in News Reporting in the China-Europe Railway Express — https://doi.org/10.3886/e247984</w:t>
      </w:r>
    </w:p>
    <w:p>
      <w:pPr/>
      <w:r>
        <w:rPr>
          <w:b/>
        </w:rPr>
        <w:t>Shared claim-specific concepts:</w:t>
      </w:r>
      <w:r>
        <w:t xml:space="preserve"> article, exploring, understanding, between, positive, sustainable; EU scope visible. This is a provisional connection, not an outcome finding.</w:t>
      </w:r>
    </w:p>
    <w:p>
      <w:pPr>
        <w:pStyle w:val="SourceNote"/>
      </w:pPr>
      <w:r>
        <w:rPr>
          <w:b/>
        </w:rPr>
        <w:t>Available abstract (not full text):</w:t>
      </w:r>
      <w:r>
        <w:t xml:space="preserve"> Since the Chinese government opened the China-Europe Railway Express(CRE), transportation cooperation between China and Europe has become increasingly frequent. The aim of this research is to explore the spatiotemporal trends in news reporting of CRE and the spatial spillover effects of transportation cooperation, providing a basis for the development of transportation cooperation mechanisms between China and Europe. This article selects news reporting from 22 countries along the CRE and analyzes the spatiotemporal trends of media coverage of CRE. This article uses statistical analysis and Moran’s Index method to test the temporal trend and spatial dependence of news reporting on the CRE. The study found that from 2016 to 2024, the Moran’s Index showed a certain spatial positive correlation for all years, verifying the spatiotemporal correlation between news reporting of the CRE and transportation cooperation. However, the spatial cooperation between the 22 countries on the CRE isn’t obvious, which to some extent affects the sustainable development of the CRE. This study contributes to understanding socioeconomic indicators driven by the long-term CRE operations. We have captured the close relationship between GDP, population, geographic size, and news reporting on CRE, and put forward operational suggestions to strengthen transportation cooperation among 22 countries, especial</w:t>
      </w:r>
    </w:p>
    <w:p>
      <w:pPr/>
      <w:r>
        <w:rPr>
          <w:b/>
        </w:rPr>
        <w:t>POSSIBLE 2026:</w:t>
      </w:r>
      <w:r>
        <w:t xml:space="preserve"> The communication of science within the framework of European Union-funded research projects: Exploring practitioners’ experiences and perceptions — https://doi.org/10.1177/09636625261433895</w:t>
      </w:r>
    </w:p>
    <w:p>
      <w:pPr/>
      <w:r>
        <w:rPr>
          <w:b/>
        </w:rPr>
        <w:t>Shared claim-specific concepts:</w:t>
      </w:r>
      <w:r>
        <w:t xml:space="preserve"> article, aims, exploring, understanding, perceptions; EU scope visible. This is a provisional connection, not an outcome finding.</w:t>
      </w:r>
    </w:p>
    <w:p>
      <w:pPr>
        <w:pStyle w:val="SourceNote"/>
      </w:pPr>
      <w:r>
        <w:rPr>
          <w:b/>
        </w:rPr>
        <w:t>Available abstract (not full text):</w:t>
      </w:r>
      <w:r>
        <w:t xml:space="preserve"> This article aims to advance our understanding of the communication of science conducted within the framework of externally funded research projects, also known as project-based science communication. It deploys semi-structured interviews to explore the experiences and perceptions of 26 communication specialists, project managers and other professionals who have been involved in the Communication &amp; Dissemination Work Packages of Horizon 2020 and Horizon Europe projects. Interviewees regard the communication of European Union-funded projects as beneficial, both personally and for society as a whole-in the latter case, primarily in instrumental terms. They identify several challenges to their communication functions, ranging from working conditions to structural factors such as project size or project duration, to the relationship with researchers and other partners. Many interviewees also hold a critical opinion of the current communication practices within European Union-funded projects and acknowledge the potentially detrimental effects of the multiplication of projects with attached communication responsibilities. The ultimate purpose of this article is to elicit interest in project-based science communication within the science communication scholarly community.</w:t>
      </w:r>
    </w:p>
    <w:p>
      <w:pPr/>
      <w:r>
        <w:rPr>
          <w:b/>
        </w:rPr>
        <w:t>POSSIBLE 2025:</w:t>
      </w:r>
      <w:r>
        <w:t xml:space="preserve"> Exploring the Impact of Digital Transformation on Non-Financial Performance in Central and Eastern European Countries — https://doi.org/10.3390/electronics14061226</w:t>
      </w:r>
    </w:p>
    <w:p>
      <w:pPr/>
      <w:r>
        <w:rPr>
          <w:b/>
        </w:rPr>
        <w:t>Shared claim-specific concepts:</w:t>
      </w:r>
      <w:r>
        <w:t xml:space="preserve"> article, aims, exploring, between; EU scope visible. This is a provisional connection, not an outcome finding.</w:t>
      </w:r>
    </w:p>
    <w:p>
      <w:pPr>
        <w:pStyle w:val="SourceNote"/>
      </w:pPr>
      <w:r>
        <w:rPr>
          <w:b/>
        </w:rPr>
        <w:t>Available abstract (not full text):</w:t>
      </w:r>
      <w:r>
        <w:t xml:space="preserve"> This article explores the intricate relationship between digital transformation and non-financial performance in Central and Eastern European (CEE) countries. As these nations navigate the complexities of post-communist economic landscapes, the role of digitalization emerges as a pivotal factor influencing various dimensions of organizational performance beyond mere financial outcomes. In this framework, our research aims to analyze the ways in which digital transformation (as proxied by DESI) impacts a range of non-financial performance metrics (ESG) in order to furnish a thorough comprehension of the intricate interplay within the specific context of CEE countries. With data collected over an 11-year timeframe, we performed a panel data analysis, relying on a robust regression. The main findings indicate that digital transformation profoundly impacts the environmental (CO2 emissions, renewable energy consumption), social (ratio of female-to-male labor force participation rate, unemployment) and governance (government effectiveness) performance of CEE countries, although the effects vary significantly across different regions. The panel data highlight potential areas for policy emphasis, particularly in relation to reducing CO2 emissions, improving regulatory quality, and advancing digital integration and connectivity. The disparities identified may inform targeted strategies </w:t>
      </w:r>
    </w:p>
    <w:p>
      <w:pPr/>
      <w:r>
        <w:rPr>
          <w:b/>
        </w:rPr>
        <w:t>POSSIBLE 2024:</w:t>
      </w:r>
      <w:r>
        <w:t xml:space="preserve"> Exploring European decarbonisation pathways in the Power Decisions Game — https://doi.org/10.1186/s13705-024-00469-w</w:t>
      </w:r>
    </w:p>
    <w:p>
      <w:pPr/>
      <w:r>
        <w:rPr>
          <w:b/>
        </w:rPr>
        <w:t>Shared claim-specific concepts:</w:t>
      </w:r>
      <w:r>
        <w:t xml:space="preserve"> article, aims, exploring, understanding, citizens, insights; EU scope visible. This is a provisional connection, not an outcome finding.</w:t>
      </w:r>
    </w:p>
    <w:p>
      <w:pPr>
        <w:pStyle w:val="SourceNote"/>
      </w:pPr>
      <w:r>
        <w:rPr>
          <w:b/>
        </w:rPr>
        <w:t>Available abstract (not full text):</w:t>
      </w:r>
      <w:r>
        <w:t xml:space="preserve"> Abstract Background Article 12 of the Paris Agreement summons the signing parties to corporate in improving the education of their citizens on climate change and related matters. The article thereby acknowledges the importance of citizens support and understanding of climate change and needed measures to fight climate change. This paper aims to contribute to the goal of informing on the implications of climate change related policy on the power sector in Europe and hence all European citizens by presenting a serious game in which the player can explore how key policy decisions affect capacity mix, investment needs and electricity costs.Results The game is based on more than 1700 scenarios run through an open-source and accessible, yet technologically detailed myopic energy system optimisation model for the electricity supply in the EU27 + 3. The game allows the user to take the role of a decision maker and make decisions in 2020, 2030 and 2040 regarding the usage of CCS, biomass imports, cross-border electricity transmission and the pace of emission reductions. The user is then presented with economic, social, and environmental impacts of these choices. These impacts are for example measured and illustrated in the development of CO2 emissions per capita, levelised cost of electricity, and investment need per citizen.Conclusion The Power Decisions Game provides a first of its ki</w:t>
      </w:r>
    </w:p>
    <w:p>
      <w:pPr/>
      <w:r>
        <w:rPr>
          <w:b/>
        </w:rPr>
        <w:t>POSSIBLE 2024:</w:t>
      </w:r>
      <w:r>
        <w:t xml:space="preserve"> European Citizens’ Evaluation of the Common Agricultural Policy — https://doi.org/10.3390/su16103970</w:t>
      </w:r>
    </w:p>
    <w:p>
      <w:pPr/>
      <w:r>
        <w:rPr>
          <w:b/>
        </w:rPr>
        <w:t>Shared claim-specific concepts:</w:t>
      </w:r>
      <w:r>
        <w:t xml:space="preserve"> citizens, insights, perceptions, positive; EU scope visible. This is a provisional connection, not an outcome finding.</w:t>
      </w:r>
    </w:p>
    <w:p>
      <w:pPr>
        <w:pStyle w:val="SourceNote"/>
      </w:pPr>
      <w:r>
        <w:rPr>
          <w:b/>
        </w:rPr>
        <w:t>Available abstract (not full text):</w:t>
      </w:r>
      <w:r>
        <w:t xml:space="preserve"> The Common Agricultural Policy (CAP) is crucial in ensuring food safety and security in Europe. Providing a stable and diverse food supply also supports rural economies and promotes social, environmental and economic sustainability. However, as CAP consumes approximately 30% of the EU budget, debates regarding its pertinence have arisen. This paper aimed to understand European citizens’ perceptions of CAP, its associated benefits and their level of agreement regarding the allocation of the EU budget. Ultimately, the goal was to gain insights into EU citizens’ attitudes and perceptions towards the CAP. Information and data come from the European Survey Eurobarometer. The methods include statistical inferential techniques adjusted to the nature of the variables and goals. The findings confirm that European citizens generally perceive the CAP positively and have positive attitudes about the CAP. While some differences among various social groups may exist, the results did not identify any specific group strongly opposing the CAP. Overall, European citizens hold a favorable attitude towards the CAP, its associated benefits and budget allocation. This paper brings new insights into new European CAP measures and programs to promote food security and the sustainability of agriculture among European countries and citizens. These insights may be useful for public decision-makers to defi</w:t>
      </w:r>
    </w:p>
    <w:p>
      <w:pPr/>
      <w:r>
        <w:rPr>
          <w:b/>
        </w:rPr>
        <w:t>POSSIBLE 2024:</w:t>
      </w:r>
      <w:r>
        <w:t xml:space="preserve"> Digital Divide in the European Union: A Typology of EU Citizens — https://doi.org/10.1007/s11205-024-03452-2</w:t>
      </w:r>
    </w:p>
    <w:p>
      <w:pPr/>
      <w:r>
        <w:rPr>
          <w:b/>
        </w:rPr>
        <w:t>Shared claim-specific concepts:</w:t>
      </w:r>
      <w:r>
        <w:t xml:space="preserve"> citizens, insights, equitable; EU scope visible. This is a provisional connection, not an outcome finding.</w:t>
      </w:r>
    </w:p>
    <w:p>
      <w:pPr>
        <w:pStyle w:val="SourceNote"/>
      </w:pPr>
      <w:r>
        <w:rPr>
          <w:b/>
        </w:rPr>
        <w:t>Available abstract (not full text):</w:t>
      </w:r>
      <w:r>
        <w:t xml:space="preserve"> Abstract This paper addresses the heterogeneity of the digital divide and internet use among citizens in the 28 European Union (EU) countries (at the time of the survey). Drawing from the Eurobarometer Surveys, three indicators of the digital divide are used to define the groups: frequency of internet access, means of internet access, and online activities. The categorical clustering algorithm identifies six groups of internet users: Non-Users , Basic Users, Information Exchangers , Instrumental Users, Socializers, and Advanced Users , each with distinct socio-demographic profiles. The study reveals significant socio-economic and demographic profiling variables characterizing these patterns, including age, education, gender, occupation, type of community and geographic location. A major digital divide is detected in many countries; Notably, Romania, Greece, and Bulgaria have the largest proportion of Non-Users , emphasizing the need for targeted policy interventions. These results provide crucial insights for the European Commission’s digitization strategy, suggesting that more nuanced and targeted measures are needed to ensure equitable digital access across the EU.</w:t>
      </w:r>
    </w:p>
    <w:p>
      <w:pPr/>
      <w:r>
        <w:rPr>
          <w:b/>
        </w:rPr>
        <w:t>POSSIBLE 2024:</w:t>
      </w:r>
      <w:r>
        <w:t xml:space="preserve"> Adoption of Digital Therapeutics in Europe — https://doi.org/10.2147/tcrm.s489873</w:t>
      </w:r>
    </w:p>
    <w:p>
      <w:pPr/>
      <w:r>
        <w:rPr>
          <w:b/>
        </w:rPr>
        <w:t>Shared claim-specific concepts:</w:t>
      </w:r>
      <w:r>
        <w:t xml:space="preserve"> article, narrative, solutions; EU scope visible. This is a provisional connection, not an outcome finding.</w:t>
      </w:r>
    </w:p>
    <w:p>
      <w:pPr>
        <w:pStyle w:val="SourceNote"/>
      </w:pPr>
      <w:r>
        <w:rPr>
          <w:b/>
        </w:rPr>
        <w:t>Available abstract (not full text):</w:t>
      </w:r>
      <w:r>
        <w:t xml:space="preserve"> Digital therapeutics (DTx) are an emerging medical therapy comprising evidence-based interventions that are regulatory approved for patient use, or are under development, for a variety of medical conditions, including hypertension, cancer, substance use disorders and mental disorders. DTx have significant potential to reduce the overall burden on healthcare systems and offer potential economic benefits. There is currently no specific legal regulation on DTx in the EU. Although European countries have similar approaches to digital health solutions, the adoption of DTx varies across the continent. The aim of this narrative review is to discuss the levels of adoption of DTx in Europe, and to explore possible strategies to improve adoption, with the goal of higher rates of adoption, and more consistent use of DTx across the continent. The article discusses the regulatory and reimbursement landscape across Europe; validation requirements for DTx, and the importance of co-design and an ecosystem-centric approach in the development of DTx. Also considered are drivers of adoption and prescription practices for DTx, as well as patient perspectives on these therapeutics. The article explores potential factors that may contribute to low rates of DTx adoption in Europe, including lack of harmonisation in regulatory requirements and reimbursement; sociodemographic factors; health status; et</w:t>
      </w:r>
    </w:p>
    <w:p>
      <w:pPr/>
      <w:r>
        <w:rPr>
          <w:b/>
        </w:rPr>
        <w:t>POSSIBLE 2024:</w:t>
      </w:r>
      <w:r>
        <w:t xml:space="preserve"> Exploring a geodesign approach for circular economy transition of cities and regions: Three European cases — https://doi.org/10.1016/j.cities.2024.104930</w:t>
      </w:r>
    </w:p>
    <w:p>
      <w:pPr/>
      <w:r>
        <w:rPr>
          <w:b/>
        </w:rPr>
        <w:t>Shared claim-specific concepts:</w:t>
      </w:r>
      <w:r>
        <w:t xml:space="preserve"> article, aims, exploring, between, support; EU scope visible. This is a provisional connection, not an outcome finding.</w:t>
      </w:r>
    </w:p>
    <w:p>
      <w:pPr>
        <w:pStyle w:val="SourceNote"/>
      </w:pPr>
      <w:r>
        <w:rPr>
          <w:b/>
        </w:rPr>
        <w:t>Available abstract (not full text):</w:t>
      </w:r>
      <w:r>
        <w:t xml:space="preserve"> Transitioning towards a circular built environment and turning waste into resources have become one of the new sustainability paradigms today. However, a circular transition can be considered a ‘wicked problem’. The multiple dimensions and scales of the circular transition and its substantial spatial implications fit well into the planning approach of Geodesign. The Horizon 2020 funded project “Resource Management in the periurban Areas - Going beyond Urban Metabolism (REPAiR)” implemented an innovative Geodesign approach. Moreover, it explored its capability to support spatial decision-making processes for the circular economy transition of the built environment within urban planning practices. This article aims to understand to what extent a process of Geodesign, which is conducted with the support of a digital tool and a Living Lab approach, can support the creation of localised circular economy strategies and foster the circular economy transition in cities and territories. The analysis explores and compares the results of three European cases -Amsterdam, Hamburg and Naples. It considers the kind of data input required to run the process in every phase, the stakeholders involved and their typology, the specific urban or territorial, planning and governance scales of analysis, and the final output definition after the Geodesign process implementation. The approach outputs co</w:t>
      </w:r>
    </w:p>
    <w:p>
      <w:pPr/>
      <w:r>
        <w:rPr>
          <w:b/>
        </w:rPr>
        <w:t>POSSIBLE 2023:</w:t>
      </w:r>
      <w:r>
        <w:t xml:space="preserve"> Exploring Energy Sufficiency Benefits, Limitations, Deployment, and Opportunities in Europe — https://doi.org/10.51505/ijaemr.2023.8316</w:t>
      </w:r>
    </w:p>
    <w:p>
      <w:pPr/>
      <w:r>
        <w:rPr>
          <w:b/>
        </w:rPr>
        <w:t>Shared claim-specific concepts:</w:t>
      </w:r>
      <w:r>
        <w:t xml:space="preserve"> article, exploring, life; EU scope visible. This is a provisional connection, not an outcome finding.</w:t>
      </w:r>
    </w:p>
    <w:p>
      <w:pPr>
        <w:pStyle w:val="SourceNote"/>
      </w:pPr>
      <w:r>
        <w:rPr>
          <w:b/>
        </w:rPr>
        <w:t>Available abstract (not full text):</w:t>
      </w:r>
      <w:r>
        <w:t xml:space="preserve"> Following the industrial revolution, greenhouse gases continue to grow, and this increase degrades the ozone layer and accelerates the global warming. The climate change has considerably transformed our way of life and the way we produce, buy, transport, and use energy. To reduce the impact of the energy crisis different levers are activated such as energy efficiency, renewables energy and energy sufficiency. The aim of this article is to explore the benefits, limitation, deployment, and opportunities in Europe of energy sufficiency. The research conducted also includes real case studies on energy sufficiency. Furthermore, Covid-19 pandemic and Ukraine war have negatively impacted energy availability and costs.</w:t>
      </w:r>
    </w:p>
    <w:p>
      <w:pPr/>
      <w:r>
        <w:rPr>
          <w:b/>
        </w:rPr>
        <w:t>POSSIBLE 2023:</w:t>
      </w:r>
      <w:r>
        <w:t xml:space="preserve"> Unlocking the Power of Crowds: Exploring Crowdsourcing and Crowdfunding Initiatives in Europe — https://doi.org/10.7336/academicus.2023.28.08</w:t>
      </w:r>
    </w:p>
    <w:p>
      <w:pPr/>
      <w:r>
        <w:rPr>
          <w:b/>
        </w:rPr>
        <w:t>Shared claim-specific concepts:</w:t>
      </w:r>
      <w:r>
        <w:t xml:space="preserve"> article, aims, exploring, between, support; EU scope visible. This is a provisional connection, not an outcome finding.</w:t>
      </w:r>
    </w:p>
    <w:p>
      <w:pPr>
        <w:pStyle w:val="SourceNote"/>
      </w:pPr>
      <w:r>
        <w:rPr>
          <w:b/>
        </w:rPr>
        <w:t>Available abstract (not full text):</w:t>
      </w:r>
      <w:r>
        <w:t xml:space="preserve"> The world of crowdsourcing and crowdfunding in Europe is a dynamic and transformative space that has been significantly impacted by the rapid growth of digital technologies. This innovative approach has become a game-changer for entrepreneurs, startups, and creative individuals as it harnesses the collective intelligence and financial support of people. Various platforms and mechanisms are driving crowdsourcing and crowdfunding initiatives in Europe, leading to success stories, emerging trends, and potential benefits for all partecipants. This article aims to analyze some of the various emerging trends in crowdsourcing and crowdfunding across Europe while highlighting their potential benefits for those seeking funding or collaboration opportunities. It further examines both crowdsourcing and crowdfunding advantages &amp; disadvantages. Ultimately, this article aims to unlock the full potential of collaboration between people from diverse backgrounds by exploring ways to leverage crowdsourcing &amp; crowdfunding effectively.</w:t>
      </w:r>
    </w:p>
    <w:p>
      <w:pPr>
        <w:pStyle w:val="Heading2"/>
      </w:pPr>
      <w:r>
        <w:t>697. A comparison of low carbon investment needs between China and Europe in stringent climate policy scenarios</w:t>
      </w:r>
    </w:p>
    <w:p>
      <w:pPr>
        <w:pStyle w:val="SourceNote"/>
      </w:pPr>
      <w:r>
        <w:rPr>
          <w:b/>
        </w:rPr>
        <w:t>Original source (2019):</w:t>
      </w:r>
      <w:r>
        <w:t xml:space="preserve"> https://doi.org/10.1088/1748-9326/ab0dd8</w:t>
      </w:r>
    </w:p>
    <w:p>
      <w:pPr/>
      <w:r>
        <w:t>Original wording (abstract; indexed_source_text_not_full_document_verified): China and Europe need to increase their low carbon investments by 65% and 38% in a scenario reaching the 2° target relative to their respective reference scenarios which assume no such target from 2016–2050. The results indicate that a rapid upscaling and structural change of these investments towards decarbonization are necessitated by the climate stringent scenarios.</w:t>
      </w:r>
    </w:p>
    <w:p>
      <w:pPr/>
      <w:r>
        <w:rPr>
          <w:b/>
        </w:rPr>
        <w:t>POSSIBLE 2026:</w:t>
      </w:r>
      <w:r>
        <w:t xml:space="preserve"> Trade and Investment Connectivity in Europe and the Chinese Influence — https://doi.org/10.25353/ubtr-90f2-6aed-a60d</w:t>
      </w:r>
    </w:p>
    <w:p>
      <w:pPr/>
      <w:r>
        <w:rPr>
          <w:b/>
        </w:rPr>
        <w:t>Shared claim-specific concepts:</w:t>
      </w:r>
      <w:r>
        <w:t xml:space="preserve"> china, need, increase, investments, relative, indicate; EU scope visible. This is a provisional connection, not an outcome finding.</w:t>
      </w:r>
    </w:p>
    <w:p>
      <w:pPr>
        <w:pStyle w:val="SourceNote"/>
      </w:pPr>
      <w:r>
        <w:rPr>
          <w:b/>
        </w:rPr>
        <w:t>Available abstract (not full text):</w:t>
      </w:r>
      <w:r>
        <w:t xml:space="preserve"> This thesis examines how Europe sustains its leadership and competitiveness as a global center for foreign direct investment (FDI) and trade between 1991 and 2023. While EU membership historically functioned as the dominant determinant of inward FDI and trade integration, its relative influence has declined as new structural factors, based on trade dynamics and export-platform strategies, have emerged, together with the growing presence of Asian, especially Chinese, investors establishing production hubs in Central and Eastern Europe to serve the wider EU market. Lower trade costs within Europe have reinforced this shift, leading EU investors to focus on vertical FDI, while non-EU investors to adopt export-platform FDI patterns. Chinese investment has moved from infrastructure-focused projects to strategic-sector FDI, highlighting Europe’s exposure to evolving global industrial and geopolitical dynamics. Chapter 2 examines how traditional determinants of FDI, including EU membership, interact with emerging drivers, such as trade interdependence, export-platform strategies, and Asian influence, to shape investment patterns in Europe. It employs a gravity-based empirical framework augmented with newly developed indicators, comprising the Bilateral Trade Interdependence Index, the Export-Platform Indicator, and Belt and Road Initiative (BRI) participation, together with a function</w:t>
      </w:r>
    </w:p>
    <w:p>
      <w:pPr/>
      <w:r>
        <w:rPr>
          <w:b/>
        </w:rPr>
        <w:t>POSSIBLE 2025:</w:t>
      </w:r>
      <w:r>
        <w:t xml:space="preserve"> Green Investment, Digital Technological Progress, and the Dynamics of Carbon Emissions in China: A Review — https://doi.org/10.5281/zenodo.18311163</w:t>
      </w:r>
    </w:p>
    <w:p>
      <w:pPr/>
      <w:r>
        <w:rPr>
          <w:b/>
        </w:rPr>
        <w:t>Shared claim-specific concepts:</w:t>
      </w:r>
      <w:r>
        <w:t xml:space="preserve"> china, increase, carbon, stringent; EU scope not established. This is a provisional connection, not an outcome finding.</w:t>
      </w:r>
    </w:p>
    <w:p>
      <w:pPr>
        <w:pStyle w:val="SourceNote"/>
      </w:pPr>
      <w:r>
        <w:rPr>
          <w:b/>
        </w:rPr>
        <w:t>Available abstract (not full text):</w:t>
      </w:r>
      <w:r>
        <w:t xml:space="preserve"> This article examines the impact of green capital allocation and improvement in information and communication technology on the trajectory of carbon emission from the period of 1985 to 2024 in China. Our results highlight the importance of environmentally sustainable investment and technological development of digital technologies to curb increasing carbon production, while at the same time emphasizing the possible paradox that accelerated economic growth will continue to increase environmental strain through a large increase in carbon emissions. Existing scholarship supports the linkages between the forms of green investment, technological innovation, and economic growth (including the dimension of nonlinear, quadratic growth) and thus can shed light on the dynamic interactions of these variables in the context of the environment. Inspired by these empirical understandings, policy prescriptions that attempt to crystallize a more solid path for China to move toward a cleaner and more sustainable growth paradigm have been proposed in the present work. Existing literature has found a strong connection among green investment, technological innovation and economic growth with the help of static and dynamic econometric methodologies. These outcome results provide important knowledge on the complex interrelations of environmental outcomes. Based on empirical literature, the current s</w:t>
      </w:r>
    </w:p>
    <w:p>
      <w:pPr/>
      <w:r>
        <w:rPr>
          <w:b/>
        </w:rPr>
        <w:t>POSSIBLE 2024:</w:t>
      </w:r>
      <w:r>
        <w:t xml:space="preserve"> Impact of Green Infrastructure Investment on Urban Carbon Emissions in China — https://doi.org/10.3390/su16072668</w:t>
      </w:r>
    </w:p>
    <w:p>
      <w:pPr/>
      <w:r>
        <w:rPr>
          <w:b/>
        </w:rPr>
        <w:t>Shared claim-specific concepts:</w:t>
      </w:r>
      <w:r>
        <w:t xml:space="preserve"> china, carbon, climate; EU scope not established. This is a provisional connection, not an outcome finding.</w:t>
      </w:r>
    </w:p>
    <w:p>
      <w:pPr>
        <w:pStyle w:val="SourceNote"/>
      </w:pPr>
      <w:r>
        <w:rPr>
          <w:b/>
        </w:rPr>
        <w:t>Available abstract (not full text):</w:t>
      </w:r>
      <w:r>
        <w:t xml:space="preserve"> Given the increasingly severe global climate change, the reduction in urban greenhouse gas emissions has become the common goal of all nations. As a widely concerned sustainable development strategy, green infrastructure investment (GII) aims to reduce urban carbon emissions, improve the efficiency of resource utilization, and improve environmental quality. However, the construction cycle of green infrastructure is long, and the construction process itself may produce carbon emissions; so, the final effect of GII on urban carbon emissions is unclear, which deserves our in-depth study. Further, is this effect having a time-lag effect? Is there only a simple linear relationship between GII and urban carbon emissions? Based on panel data from 235 Chinese cities from 2006 to 2019, this study conducted an econometric regression analysis using time-lag-effect and threshold-effect models. The results showed the following: (1) GII had a negative inhibitory effect on urban CO2 emissions. Adding one unit to the GII could reduce urban CO2 emissions by 0.032 units. (2) GII exhibited a time-lag effect on urban CO2 emissions, and the greatest reduction in CO2 emissions occurred in the third lag period. (3) GII had a threshold effect on urban CO2 emissions based on technological progress (TP). This paper used the static and dynamic panel threshold models to research separately, and obtained t</w:t>
      </w:r>
    </w:p>
    <w:p>
      <w:pPr/>
      <w:r>
        <w:rPr>
          <w:b/>
        </w:rPr>
        <w:t>POSSIBLE 2024:</w:t>
      </w:r>
      <w:r>
        <w:t xml:space="preserve"> China carbon emission accounts 2020-2021 — https://doi.org/10.1016/j.apenergy.2024.122837</w:t>
      </w:r>
    </w:p>
    <w:p>
      <w:pPr/>
      <w:r>
        <w:rPr>
          <w:b/>
        </w:rPr>
        <w:t>Shared claim-specific concepts:</w:t>
      </w:r>
      <w:r>
        <w:t xml:space="preserve"> china, carbon, rapid, climate; EU scope not established. This is a provisional connection, not an outcome finding.</w:t>
      </w:r>
    </w:p>
    <w:p>
      <w:pPr>
        <w:pStyle w:val="SourceNote"/>
      </w:pPr>
      <w:r>
        <w:rPr>
          <w:b/>
        </w:rPr>
        <w:t>Available abstract (not full text):</w:t>
      </w:r>
      <w:r>
        <w:t xml:space="preserve"> In the past a few years, the outbreak of the COVID-19 epidemic has significantly changed global emission patterns and increased the challenges in emission reduction. However, a comprehensive analysis of the most recent trends of China's carbon emissions has not been conducted due to a lack of up-to-date emission accounts by regions and sectors. This study compiles the latest CO2 emission inventories for China and its 30 provinces during the epidemic (2020−2021), following the administrative-territorial approach from the International Panel on Climate Change (IPCC). Our inventories cover energy-related emissions from 17 types of fossil fuel combustion and cement production across 47 economic sectors. To provide a holistic view of emission patterns, we esitamted consumption-based emissions in China. We find that the COVID-19 epidemic led to a 50% reduction in the growth rate of territorial emissions in 2020 compared to 2019. This trend then reversed in 2021 as lockdown measures gradually relaxed. Our study reveals the impact of the rapid expansion of exports, driven by epidemic prevention materials and “stay-at-home economy” products on widening the differences between territorial- and consumption-based emissions. Our study offers a timely blueprint for designing strategies towards carbon peak and neutrality, especially in the context of sustainable recoveries and carbon mitigati</w:t>
      </w:r>
    </w:p>
    <w:p>
      <w:pPr/>
      <w:r>
        <w:rPr>
          <w:b/>
        </w:rPr>
        <w:t>POSSIBLE 2024:</w:t>
      </w:r>
      <w:r>
        <w:t xml:space="preserve"> Can the European nuclear power industry compete with the Chinese nuclear power industry? — https://doi.org/10.24294/jipd.v8i11.8715</w:t>
      </w:r>
    </w:p>
    <w:p>
      <w:pPr/>
      <w:r>
        <w:rPr>
          <w:b/>
        </w:rPr>
        <w:t>Shared claim-specific concepts:</w:t>
      </w:r>
      <w:r>
        <w:t xml:space="preserve"> need, carbon, investments; EU scope visible. This is a provisional connection, not an outcome finding.</w:t>
      </w:r>
    </w:p>
    <w:p>
      <w:pPr>
        <w:pStyle w:val="SourceNote"/>
      </w:pPr>
      <w:r>
        <w:rPr>
          <w:b/>
        </w:rPr>
        <w:t>Available abstract (not full text):</w:t>
      </w:r>
      <w:r>
        <w:t xml:space="preserve"> European commissioner for the Internal Market, Thierry Breton, told Le Journal du Dimanche in January 2022, “Existing nuclear plants alone will need 50 billion euros of investment from now until 2030. And new generation ones will need 500 billion”. This paper considers whether these values are realistic. Further, it asks whether these investments would yield an internationally competitive European nuclear power infrastructure given that the nuclear power industries in the Organization for Economic Cooperation and Development member countries have lost global nuclear market share to Russian and Chinese firms since 1995.The paper investigates whether the European nuclear industry even with massive investment can compete with the Chinese nuclear industries. It concludes that the European (in particular, the French) nuclear power industry will be unlikely to be cost competitive with the Chinese nuclear power industry unless financing and new plant orders are immediately forthcoming. To achieve carbon neutrality, the issue becomes whether European Union countries can afford indigenous nuclear technologies or will need to import nuclear power plants from Asia.</w:t>
      </w:r>
    </w:p>
    <w:p>
      <w:pPr/>
      <w:r>
        <w:rPr>
          <w:b/>
        </w:rPr>
        <w:t>POSSIBLE 2024:</w:t>
      </w:r>
      <w:r>
        <w:t xml:space="preserve"> Foreign Direct Investment, Technology Innovation and Carbon Emissions: Evidence from China — https://doi.org/10.3390/su162210014</w:t>
      </w:r>
    </w:p>
    <w:p>
      <w:pPr/>
      <w:r>
        <w:rPr>
          <w:b/>
        </w:rPr>
        <w:t>Shared claim-specific concepts:</w:t>
      </w:r>
      <w:r>
        <w:t xml:space="preserve"> china, increase, carbon, stringent; EU scope not established. This is a provisional connection, not an outcome finding.</w:t>
      </w:r>
    </w:p>
    <w:p>
      <w:pPr>
        <w:pStyle w:val="SourceNote"/>
      </w:pPr>
      <w:r>
        <w:rPr>
          <w:b/>
        </w:rPr>
        <w:t>Available abstract (not full text):</w:t>
      </w:r>
      <w:r>
        <w:t xml:space="preserve"> FDI is a critical factor influencing carbon emissions and a significant driver of China’s economic development. However, achieving sustainable economic development remains a major challenge for China. Hence, this paper aims to explore how to foster positive interactions between FDI and carbon emissions. Specifically, we first analyze the mechanism of FDI on carbon emissions from a theoretical perspective. Then, using panel data from 27 provinces in China, an empirical analysis is conducted. In the empirical analysis, we use the panel regression models to analyze the impact of FDI on carbon emissions. Additionally, a configuration analysis method is employed to examine the interactive relationship between FDI quality and carbon emissions. The conclusions of this paper are as follows. Overall, FDI significantly inhibits carbon emissions across provinces, with this effect strengthening as the scale and quality of FDI increase. Heterogeneity analysis shows that the inhibitory effect of FDI on carbon emissions is more pronounced in provinces with high technological financial support and stringent environmental regulations. Mediation analysis indicates that technological innovation serves as a mediator between FDI and carbon emissions, which means that FDI could promote “the quality improvement and the quantity increase” of green technological innovation to reduce carbon emissions. F</w:t>
      </w:r>
    </w:p>
    <w:p>
      <w:pPr/>
      <w:r>
        <w:rPr>
          <w:b/>
        </w:rPr>
        <w:t>POSSIBLE 2024:</w:t>
      </w:r>
      <w:r>
        <w:t xml:space="preserve"> Examining the Philippines’ infrastructure and connectivity cooperation with China and the European Union — https://doi.org/10.1007/s44282-024-00076-2</w:t>
      </w:r>
    </w:p>
    <w:p>
      <w:pPr/>
      <w:r>
        <w:rPr>
          <w:b/>
        </w:rPr>
        <w:t>Shared claim-specific concepts:</w:t>
      </w:r>
      <w:r>
        <w:t xml:space="preserve"> china, need, investments; EU scope visible. This is a provisional connection, not an outcome finding.</w:t>
      </w:r>
    </w:p>
    <w:p>
      <w:pPr>
        <w:pStyle w:val="SourceNote"/>
      </w:pPr>
      <w:r>
        <w:rPr>
          <w:b/>
        </w:rPr>
        <w:t>Available abstract (not full text):</w:t>
      </w:r>
      <w:r>
        <w:t xml:space="preserve"> Abstract Like many other countries in the Global South, the Philippines is in dire need of foreign investments and loans to develop its infrastructure. Former President Rodrigo Duterte (2016–2022) sought close cooperation with China’s Belt and Road Initiative (BRI) to complement his ambitious Build! Build! Build! program. His successor Ferdinand Marcos Jr. continued many BRI projects, but canceled others, due to lack of funding from China and increased tensions in the South China Sea. Moreover, he deepened cooperation with the European Union (EU) in security and infrastructure, thereby benefiting from the EU’s Global Gateway Initiative (GGI). The findings of this study, which is theoretically located at the intersection of foreign, economic, and domestic politics, build strongly on a representative survey conducted in the Philippines in 2022. One of the major findings is the occurrence of perceptions of the Philippine citizens and elites of China and the EU that are strongly in line with each other. Another finding is the extent of the Filipinos’ ability to differentiate between “good”, “bad”, and “beautiful” effects of BRI projects despite their negative attitude towards China. Conversely, even though the EU is seen in a very positive light, the study concludes that the GGI can only then become an additional infrastructure offer, if the GGI projects bring tangible benefits to </w:t>
      </w:r>
    </w:p>
    <w:p>
      <w:pPr/>
      <w:r>
        <w:rPr>
          <w:b/>
        </w:rPr>
        <w:t>POSSIBLE 2023:</w:t>
      </w:r>
      <w:r>
        <w:t xml:space="preserve"> Grid integration feasibility and investment planning of offshore wind power under carbon-neutral transition in China — https://doi.org/10.1038/s41467-023-37536-3</w:t>
      </w:r>
    </w:p>
    <w:p>
      <w:pPr/>
      <w:r>
        <w:rPr>
          <w:b/>
        </w:rPr>
        <w:t>Shared claim-specific concepts:</w:t>
      </w:r>
      <w:r>
        <w:t xml:space="preserve"> china, investments, indicate; EU scope not established. This is a provisional connection, not an outcome finding.</w:t>
      </w:r>
    </w:p>
    <w:p>
      <w:pPr>
        <w:pStyle w:val="SourceNote"/>
      </w:pPr>
      <w:r>
        <w:rPr>
          <w:b/>
        </w:rPr>
        <w:t>Available abstract (not full text):</w:t>
      </w:r>
      <w:r>
        <w:t xml:space="preserve"> emitter, China. However, system integration barriers as well as system balancing costs have not been quantified yet. Here we develop a bottom-up model to test the grid accommodation capabilities and design the optimal investment plans for offshore wind power considering resource distributions, hourly power system simulations, and transmission/storage/hydrogen investments. Results indicate that grid integration barriers exist currently at the provincial level. For 2030, optimized offshore wind investment levels should be doubled compared with current government plans, and provincial allocations should be significantly improved considering both resource quality and grid conditions. For 2050, offshore wind capacity in China could reach as high as 1500 GW, prompting a paradigm shift in national transmission structure, favoring long-term storage in the energy portfolio, enabling green hydrogen production in coastal demand centers, resulting in the world's largest wind power market.</w:t>
      </w:r>
    </w:p>
    <w:p>
      <w:pPr/>
      <w:r>
        <w:rPr>
          <w:b/>
        </w:rPr>
        <w:t>POSSIBLE 2023:</w:t>
      </w:r>
      <w:r>
        <w:t xml:space="preserve"> Influence of carbon derivatives on carbon capture investments in coal-based power sector, a China perspective — https://doi.org/10.1016/j.isci.2023.108026</w:t>
      </w:r>
    </w:p>
    <w:p>
      <w:pPr/>
      <w:r>
        <w:rPr>
          <w:b/>
        </w:rPr>
        <w:t>Shared claim-specific concepts:</w:t>
      </w:r>
      <w:r>
        <w:t xml:space="preserve"> china, low, carbon, investments, decarbonization; EU scope not established. This is a provisional connection, not an outcome finding.</w:t>
      </w:r>
    </w:p>
    <w:p>
      <w:pPr>
        <w:pStyle w:val="SourceNote"/>
      </w:pPr>
      <w:r>
        <w:rPr>
          <w:b/>
        </w:rPr>
        <w:t>Available abstract (not full text):</w:t>
      </w:r>
      <w:r>
        <w:t xml:space="preserve"> Coal-based power sector needs deep carbon emission reduction in the upcoming 20 years to fulfill China's carbon peaking and carbon neutrality pledge. Due to the low and fluctuating carbon price in the emission trading system, decarbonization projects are risky and face massive potential losses. To promote decarbonization investment, a lot of policies of subsidy have been set forth. However, market instruments, which could be efficient and motivating for market entities, should have received more attention. In this article, the influence of carbon derivatives on decarbonization investment and financing is analyzed for different technology progresses and price trajectories. Results show that carbon futures and options have de-risking ability, lowering expected variation and financial cost, and consequently, making decarbonization project feasible. For advanced technology and optimistic outlook, investment can be feasible with 42-66% debt share when options are available. For the base case and neutral price outlook, derivatives can pull subsidy down by around 1%.</w:t>
      </w:r>
    </w:p>
    <w:p>
      <w:pPr/>
      <w:r>
        <w:rPr>
          <w:b/>
        </w:rPr>
        <w:t>POSSIBLE 2023:</w:t>
      </w:r>
      <w:r>
        <w:t xml:space="preserve"> The Europeanization in Chinese — Focus on English and Chinese — https://doi.org/10.54097/ehss.v17i.10464</w:t>
      </w:r>
    </w:p>
    <w:p>
      <w:pPr/>
      <w:r>
        <w:rPr>
          <w:b/>
        </w:rPr>
        <w:t>Shared claim-specific concepts:</w:t>
      </w:r>
      <w:r>
        <w:t xml:space="preserve"> china, increase; EU scope not established. This is a provisional connection, not an outcome finding.</w:t>
      </w:r>
    </w:p>
    <w:p>
      <w:pPr>
        <w:pStyle w:val="SourceNote"/>
      </w:pPr>
      <w:r>
        <w:rPr>
          <w:b/>
        </w:rPr>
        <w:t>Available abstract (not full text):</w:t>
      </w:r>
      <w:r>
        <w:t xml:space="preserve"> Languages are always progressing, and other languages significantly influence Chinese. The significant influence is a change in the structure of the Chinese sentence. As intercultural communication continues to increase, loanwords are becoming more and more common in daily life. Loanwords fill up the gaps of new things and greatly enrich the vocabulary. Language interactions and the people’s perception of such implicit and explicit cultural influences are critical to understand cultural influences on people and cultural exchange. This paper analyzes loanwords, sentence structure and people’s thinking patterns to find the influence caused by Europeanization and how Europeanization is defined in China. Moreover, this paper analyzes the international context and the related conditions of the Chinese Europeanization phenomenon. In general, the Europeanization of the Chinese is inevitable in the current context. The borrowed words and grammatical changes have enriched the Chinese vocabulary and promoted smooth communication between China and other countries.</w:t>
      </w:r>
    </w:p>
    <w:p>
      <w:pPr/>
      <w:r>
        <w:rPr>
          <w:b/>
        </w:rPr>
        <w:t>POSSIBLE 2022:</w:t>
      </w:r>
      <w:r>
        <w:t xml:space="preserve"> The micro-macro interplay of economic factors in late-life loneliness: Evidence from Europe and China — https://doi.org/10.3389/fpubh.2022.968411</w:t>
      </w:r>
    </w:p>
    <w:p>
      <w:pPr/>
      <w:r>
        <w:rPr>
          <w:b/>
        </w:rPr>
        <w:t>Shared claim-specific concepts:</w:t>
      </w:r>
      <w:r>
        <w:t xml:space="preserve"> china, need, increase, low; EU scope visible. This is a provisional connection, not an outcome finding.</w:t>
      </w:r>
    </w:p>
    <w:p>
      <w:pPr>
        <w:pStyle w:val="SourceNote"/>
      </w:pPr>
      <w:r>
        <w:rPr>
          <w:b/>
        </w:rPr>
        <w:t>Available abstract (not full text):</w:t>
      </w:r>
      <w:r>
        <w:t xml:space="preserve"> Individual socioeconomic status has a significant impact on whether older adults can initiate and maintain social relationships and participate in society, hence it affects loneliness. At the macro level, income inequality is expected to increase the risk of loneliness by eroding social cohesion and trust, while welfare generosity might protect people from loneliness. The aim of the study is to explore whether income inequality and welfare generosity at the country level moderate the effect of socioeconomic status at the individual level on late-life loneliness. Data were obtained from the HRS family of surveys - the Survey of Health, Aging and Retirement in Europe (SHARE) (wave 5, 2011/12) and China Health and Retirement Longitudinal Study (CHARLS) (wave 2, 2012/13). Respondents aged 50 years and older from twelve European countries and China were included in the study. Logistic country fixed effect models were used in the analysis. The findings show a stronger effect of individual socioeconomic status on late-life loneliness in more income-unequal societies and a weaker effect in more welfare-generous societies. There is a need to consider the impact of income distribution and welfare spending on the risk of loneliness among those older adults with low socioeconomic status when tailoring preventive programs and interventions to reduce loneliness among this vulnerable group.</w:t>
      </w:r>
    </w:p>
    <w:p>
      <w:pPr/>
      <w:r>
        <w:rPr>
          <w:b/>
        </w:rPr>
        <w:t>POSSIBLE 2022:</w:t>
      </w:r>
      <w:r>
        <w:t xml:space="preserve"> Green energy investment, renewable energy consumption, and carbon neutrality in China — https://doi.org/10.3389/fenvs.2022.960795</w:t>
      </w:r>
    </w:p>
    <w:p>
      <w:pPr/>
      <w:r>
        <w:rPr>
          <w:b/>
        </w:rPr>
        <w:t>Shared claim-specific concepts:</w:t>
      </w:r>
      <w:r>
        <w:t xml:space="preserve"> china, increase, carbon, indicate; EU scope not established. This is a provisional connection, not an outcome finding.</w:t>
      </w:r>
    </w:p>
    <w:p>
      <w:pPr>
        <w:pStyle w:val="SourceNote"/>
      </w:pPr>
      <w:r>
        <w:rPr>
          <w:b/>
        </w:rPr>
        <w:t>Available abstract (not full text):</w:t>
      </w:r>
      <w:r>
        <w:t xml:space="preserve"> This study investigates the dynamic impact of green energy investment and energy consumption on carbon emissions in China from 1995 to 2020. It employed the Bootstrap Autoregressive Distributed Lag method to examine the short and long-run relationship. The long-run findings indicate that green energy investment and renewable energy consumption decrease carbon emissions, whereas non-renewable energy consumption and economic growth increase carbon emissions in shorter and longer periods. The long-term reduction in carbon emissions may imply the transition toward carbon neutrality. However, the marginal contribution of renewable energy towards carbon neutrality is significantly higher than green energy investment due to investment lag effects. Moreover, the Error Correction Term (ECT) is significantly negative, authorizing the convergence towards steady-state equilibrium in case of any deviation with a 25% adjustment rate. The empirical results suggest that China should encourage green energy investment and increase the share of renewable energy sources to ensure carbon neutrality in the long run.</w:t>
      </w:r>
    </w:p>
    <w:p>
      <w:pPr>
        <w:pStyle w:val="Heading2"/>
      </w:pPr>
      <w:r>
        <w:t>698. A multi-model, multi-scenario, and multi-domain analysis of regional climate projections for the Mediterranean</w:t>
      </w:r>
    </w:p>
    <w:p>
      <w:pPr>
        <w:pStyle w:val="SourceNote"/>
      </w:pPr>
      <w:r>
        <w:rPr>
          <w:b/>
        </w:rPr>
        <w:t>Original source (2019):</w:t>
      </w:r>
      <w:r>
        <w:t xml:space="preserve"> https://doi.org/10.1007/s10113-019-01565-w</w:t>
      </w:r>
    </w:p>
    <w:p>
      <w:pPr/>
      <w:r>
        <w:t>Original wording (abstract; indexed_source_text_not_full_document_verified): This unique multi-model, multi-scenario, and multi-domain “super-ensemble” is used to update projected changes for the Mediterranean region. The southern part of the Mediterranean is expected to be impacted most strongly since the CORDEX ensemble suggests substantial combined warming and drying, particularly for pathways RCP4.5 and RCP8.5.</w:t>
      </w:r>
    </w:p>
    <w:p>
      <w:pPr/>
      <w:r>
        <w:rPr>
          <w:b/>
        </w:rPr>
        <w:t>POSSIBLE 2025:</w:t>
      </w:r>
      <w:r>
        <w:t xml:space="preserve"> Designing integrated and resilient multi-energy systems via multi-objective optimization and scenario analysis — https://doi.org/10.1016/j.apenergy.2025.125281</w:t>
      </w:r>
    </w:p>
    <w:p>
      <w:pPr/>
      <w:r>
        <w:rPr>
          <w:b/>
        </w:rPr>
        <w:t>Shared claim-specific concepts:</w:t>
      </w:r>
      <w:r>
        <w:t xml:space="preserve"> unique, used, warming; EU scope visible. This is a provisional connection, not an outcome finding.</w:t>
      </w:r>
    </w:p>
    <w:p>
      <w:pPr>
        <w:pStyle w:val="SourceNote"/>
      </w:pPr>
      <w:r>
        <w:rPr>
          <w:b/>
        </w:rPr>
        <w:t>Available abstract (not full text):</w:t>
      </w:r>
      <w:r>
        <w:t xml:space="preserve"> Decarbonizing local energy systems is imperative to achieve climate neutrality by 2050 and limit global temperature rise to 1.5 °C, aligning with the European Green Deal. Effective planning relies on accurate energy modeling tools, with a shift towards multi-energy systems which integrate diverse energy vectors and technologies for enhanced flexibility and renewable energy hosting capacity. Traditional single-metric cost-focused approaches in multi-energy systems planning are evolving towards multi-objective optimization strategies, balancing costs with sustainability objectives like global warming potential, environmental impacts, and reliability. The complexity of renewable energy sources, market volatility, and climate change necessitates robust solutions resilient to multiple uncertainty sources. This study introduces a decision analytic framework for optimal planning of sustainable, resilient multi-energy systems, integrating the single-objective CALLIOPE simulation-optimization model with multi-objective evolutionary algorithms. Multiple algorithms are tested, and the best-performing algorithm is used to extract optimal configurations under alternating scenarios of renewable energy generation potential and energy prices. The new framework is tested on a synthetic case study based on the Sulcis Iglesiente (SI) Province in Sardinia, Italy, and considers opportunities for in</w:t>
      </w:r>
    </w:p>
    <w:p>
      <w:pPr/>
      <w:r>
        <w:rPr>
          <w:b/>
        </w:rPr>
        <w:t>POSSIBLE 2025:</w:t>
      </w:r>
      <w:r>
        <w:t xml:space="preserve"> Temporal clusters of extreme events across Europe in a regional multi-scenario/multi-member ensemble — https://doi.org/10.5194/ems2025-464</w:t>
      </w:r>
    </w:p>
    <w:p>
      <w:pPr/>
      <w:r>
        <w:rPr>
          <w:b/>
        </w:rPr>
        <w:t>Shared claim-specific concepts:</w:t>
      </w:r>
      <w:r>
        <w:t xml:space="preserve"> unique, multi-model, multi-scenario, cordex, ensemble; EU scope visible. This is a provisional connection, not an outcome finding.</w:t>
      </w:r>
    </w:p>
    <w:p>
      <w:pPr>
        <w:pStyle w:val="SourceNote"/>
      </w:pPr>
      <w:r>
        <w:rPr>
          <w:b/>
        </w:rPr>
        <w:t>Available abstract (not full text):</w:t>
      </w:r>
      <w:r>
        <w:t xml:space="preserve"> Climate change drives an increase in the frequency of multiple meteorological extreme event types (e.g., extreme precipitation, storms, droughts, heatwaves) by affecting thermodynamic and dynamic processes in the coupled land-atmosphere system. Extreme events like the extended droughts during 2018-2020 in Europe, flooding triggered by extreme precipitation in Germany in 2021, as well as in Valencia and central France in 2024, or prolonged heatwaves in 2003, 2015, 2018, and 2022 across continental Europe had strong adverse impacts on socio-economic systems and the environment. Given a higher frequency of extreme events, it becomes more likely that regions experience consecutive events of the same type (e.g., multi-annual droughts) or different types of extremes, thereby challenging the regions’ short-term coping and recovery ability and long-term resilience.While extreme events are generally well-studied, holistic analyses of typical extreme event sequences are missing. Compound analyses commonly focus on specific combinations or events, but usually miss typical multi-annual sequences of extreme events with the potential for high impacts.Embedded in the EU horizon 2020 project ARSINOE, our analysis addresses the questions: 1) how often these temporal clusters occur and in which constellations, 2) how robust these constellations are, 3) and what role climate change plays in modul</w:t>
      </w:r>
    </w:p>
    <w:p>
      <w:pPr/>
      <w:r>
        <w:rPr>
          <w:b/>
        </w:rPr>
        <w:t>POSSIBLE 2024:</w:t>
      </w:r>
      <w:r>
        <w:t xml:space="preserve"> Multi-Step Temporal Modeling for UAV Tracking — https://doi.org/10.1109/tcsvt.2024.3375366</w:t>
      </w:r>
    </w:p>
    <w:p>
      <w:pPr/>
      <w:r>
        <w:rPr>
          <w:b/>
        </w:rPr>
        <w:t>Shared claim-specific concepts:</w:t>
      </w:r>
      <w:r>
        <w:t xml:space="preserve"> unique, region, particularly; EU scope not established. This is a provisional connection, not an outcome finding.</w:t>
      </w:r>
    </w:p>
    <w:p>
      <w:pPr>
        <w:pStyle w:val="SourceNote"/>
      </w:pPr>
      <w:r>
        <w:rPr>
          <w:b/>
        </w:rPr>
        <w:t>Available abstract (not full text):</w:t>
      </w:r>
      <w:r>
        <w:t xml:space="preserve"> In the realm of unmanned aerial vehicle (UAV) tracking, Siamese-based approaches have gained traction due to their optimal balance between efficiency and precision. However, UAV scenarios often present challenges such as insufficient sampling resolution, fast motion and small objects with limited feature information. As a result, temporal context in UAV tracking tasks plays a pivotal role in target location, overshadowing the target’s precise features. In this paper, we introduce MT-Track, a streamlined and efficient multi-step temporal modeling framework designed to harness the temporal context from historical frames for enhanced UAV tracking. This temporal integration occurs in two steps: correlation map generation and correlation map refinement. Specifically, we unveil a unique temporal correlation module that dynamically assesses the interplay between the template and search region features. This module leverages temporal information to refresh the template feature, yielding a more precise correlation map. Subsequently, we propose a mutual transformer module to refine the correlation maps of historical and current frames by modeling the temporal knowledge in the tracking sequence. This method significantly trims computational demands compared to the raw transformer. The compact yet potent nature of our tracking framework ensures commendable tracking outcomes, particularly i</w:t>
      </w:r>
    </w:p>
    <w:p>
      <w:pPr/>
      <w:r>
        <w:rPr>
          <w:b/>
        </w:rPr>
        <w:t>POSSIBLE 2024:</w:t>
      </w:r>
      <w:r>
        <w:t xml:space="preserve"> Designing integrated and resilient multi-energy systems via multi-objective optimization and scenario analysis — https://doi.org/10.5194/egusphere-egu24-3162</w:t>
      </w:r>
    </w:p>
    <w:p>
      <w:pPr/>
      <w:r>
        <w:rPr>
          <w:b/>
        </w:rPr>
        <w:t>Shared claim-specific concepts:</w:t>
      </w:r>
      <w:r>
        <w:t xml:space="preserve"> unique, used, region; EU scope visible. This is a provisional connection, not an outcome finding.</w:t>
      </w:r>
    </w:p>
    <w:p>
      <w:pPr>
        <w:pStyle w:val="SourceNote"/>
      </w:pPr>
      <w:r>
        <w:rPr>
          <w:b/>
        </w:rPr>
        <w:t>Available abstract (not full text):</w:t>
      </w:r>
      <w:r>
        <w:t xml:space="preserve"> Multi-energy systems (MESs), which integrate various technologies and energy vectors in a single unified framework, have proven to be effective and flexible tools for addressing the challenges faced by energy systems in a changing world. These include the need for decarbonization, increasing penetration of renewable energy sources, a push for decentralization and independence in energy markets, and rapidly shifting socio-economic and climatic conditions.However, traditional modeling tools for MESs planning and management have several shortcomings. Existing multi-energy planning and modeling frameworks often prioritize minimizing a single monetary objective. Even when multiple objectives are considered, they are often monetized, reducing the problem to a single-objective approach and limiting the exploration of possible solutions. Additionally, MES planning struggles to account for uncertainties arising from climate and socio-economic variables, especially with the rise of non-programmable energy sources and frequent disruptions in global supply chains and energy stability.The work hereby presented aims to overcome these limitations by developing modeling frameworks that allow for exploring various configurations of multi-energy systems based on non-comparable objectives. The goal is to extract trade-off solutions through optimization algorithms under different future scenarios.</w:t>
      </w:r>
    </w:p>
    <w:p>
      <w:pPr/>
      <w:r>
        <w:rPr>
          <w:b/>
        </w:rPr>
        <w:t>POSSIBLE 2024:</w:t>
      </w:r>
      <w:r>
        <w:t xml:space="preserve"> Low‐resolution activity recognition using super‐resolution and model ensemble networks — https://doi.org/10.4218/etrij.2023-0523</w:t>
      </w:r>
    </w:p>
    <w:p>
      <w:pPr/>
      <w:r>
        <w:rPr>
          <w:b/>
        </w:rPr>
        <w:t>Shared claim-specific concepts:</w:t>
      </w:r>
      <w:r>
        <w:t xml:space="preserve"> unique, ensemble, substantial; EU scope not established. This is a provisional connection, not an outcome finding.</w:t>
      </w:r>
    </w:p>
    <w:p>
      <w:pPr>
        <w:pStyle w:val="SourceNote"/>
      </w:pPr>
      <w:r>
        <w:rPr>
          <w:b/>
        </w:rPr>
        <w:t>Available abstract (not full text):</w:t>
      </w:r>
      <w:r>
        <w:t xml:space="preserve"> Abstract In real‐world video super‐resolution, the complexity and diversity of degradations pose substantial challenges during both training and inference. Videos captured in real‐world settings often depict activities at varying resolutions. Typically, these activities are filmed from a distance that reduces the resolution of imagery, which thus lacks discriminative features. To address this problem, we introduce an activity recognition solution. First, a unique integration of data transformation and attention‐based average discriminator are employed for super‐resolution feature augmentation. This approach mitigates the lack of discriminative cues in low‐resolution videos. Subsequently, high‐resolution features extracted from the recovered data are directly fed into a model ensemble for activity recognition. We evaluate the resulting method on the TinyVIRAT‐v2 and HMDB51 datasets, achieving improved visual quality by leveraging the super‐resolution and model ensemble strategy. The proposed method enhances the quality of textures and boosts activity recognition in low‐resolution videos.</w:t>
      </w:r>
    </w:p>
    <w:p>
      <w:pPr/>
      <w:r>
        <w:rPr>
          <w:b/>
        </w:rPr>
        <w:t>POSSIBLE 2024:</w:t>
      </w:r>
      <w:r>
        <w:t xml:space="preserve"> Improved Heart Diseases Risk Prediction Using Optimized Super Learner Ensemble Model — https://doi.org/10.22266/ijies2024.1031.25</w:t>
      </w:r>
    </w:p>
    <w:p>
      <w:pPr/>
      <w:r>
        <w:rPr>
          <w:b/>
        </w:rPr>
        <w:t>Shared claim-specific concepts:</w:t>
      </w:r>
      <w:r>
        <w:t xml:space="preserve"> used, ensemble; EU scope not established. This is a provisional connection, not an outcome finding.</w:t>
      </w:r>
    </w:p>
    <w:p>
      <w:pPr>
        <w:pStyle w:val="SourceNote"/>
      </w:pPr>
      <w:r>
        <w:rPr>
          <w:b/>
        </w:rPr>
        <w:t>Available abstract (not full text):</w:t>
      </w:r>
      <w:r>
        <w:t xml:space="preserve"> Cardio Vascular Diseases (CVD) has become a serious concern for humans as fatalities rate due to CVD are increasing at an alarming pace.With the aid of machine learning techniques, heart illnesses can be predicted much earlier, and therapy or dietary changes can prevent deaths.By combining predictions from various individual models, the machine learning technique known as ensemble learning improves forecasting accuracy and resiliency.In this work, a Super Learner Ensemble Model is used where the base learners are a diverse combination of linear, probabilistic, bagging, boosting and stacking models.To improve the performance of the Super Learner Ensemble Model, an Optimized Super Learner Ensemble Model (OSLEM) is proposed, where optimal selection of base learners in the ensemble is done based on the pairwise disagreement accuracy diversity measure of classifiers in each best fitness whale obtained by different iterations of Whale Optimization Algorithm (WOA).ModifiedBoostARoota (MBAR), a wrapper feature selection technique is used to choose the most significant features of six different heart datasets and the proposed OSLEM modelled on the selected features exhibits high performance compared to other existing ensemble models.</w:t>
      </w:r>
    </w:p>
    <w:p>
      <w:pPr/>
      <w:r>
        <w:rPr>
          <w:b/>
        </w:rPr>
        <w:t>POSSIBLE 2023:</w:t>
      </w:r>
      <w:r>
        <w:t xml:space="preserve"> DELM: Deep Ensemble Learning Model for Multiclass Classification of Super-Resolution Leaf Disease Images — https://doi.org/10.55730/1300-011x.3123</w:t>
      </w:r>
    </w:p>
    <w:p>
      <w:pPr/>
      <w:r>
        <w:rPr>
          <w:b/>
        </w:rPr>
        <w:t>Shared claim-specific concepts:</w:t>
      </w:r>
      <w:r>
        <w:t xml:space="preserve"> since, ensemble; EU scope not established. This is a provisional connection, not an outcome finding.</w:t>
      </w:r>
    </w:p>
    <w:p>
      <w:pPr>
        <w:pStyle w:val="SourceNote"/>
      </w:pPr>
      <w:r>
        <w:rPr>
          <w:b/>
        </w:rPr>
        <w:t>Available abstract (not full text):</w:t>
      </w:r>
      <w:r>
        <w:t xml:space="preserve"> Tomato plant leaf diseases are the main risk factor for plant growth.Detection of diseases at the initial stage is the main and most complex task for farmers due to common morphological properties like colour, shape, texture, and edges.The quality and quantity of agricultural products might be significantly reduced because of plant diseases.One hundred and seventy-seven pathogens, including 167 fungi and others like bacteria, algae, and nematodes, attack the well-known tomato plant.Postharvest illnesses may also result in significant productivity losses.An expert opinion is needed for illness analysis due to the modest variations in the symptoms of different tomato diseases.Farmers who misuse pesticides may suffer financial losses as a result of erroneous diagnoses.Plant leaf diseases are difficult to categorize since there are many similarities among different groups and intricate design changes.In this paper, the authors present a deep ensemble learning model (DELM) for autonomous plant disease identification.The pretrained models are refined using transfer learning.Different augmentation techniques, including picture enhancement, rotation, and scaling, combat overfitting.This research gives a thorough taxonomy of the performance of a single model and various ensemble learning models to classify superresolution tomato plant leaf disease images.With the publicly available data</w:t>
      </w:r>
    </w:p>
    <w:p>
      <w:pPr/>
      <w:r>
        <w:rPr>
          <w:b/>
        </w:rPr>
        <w:t>POSSIBLE 2023:</w:t>
      </w:r>
      <w:r>
        <w:t xml:space="preserve"> Global Ionospheric TEC Forecasting for Geomagnetic Storm Time Using a Deep Learning‐Based Multi‐Model Ensemble Method — https://doi.org/10.1029/2022sw003231</w:t>
      </w:r>
    </w:p>
    <w:p>
      <w:pPr/>
      <w:r>
        <w:rPr>
          <w:b/>
        </w:rPr>
        <w:t>Shared claim-specific concepts:</w:t>
      </w:r>
      <w:r>
        <w:t xml:space="preserve"> used, ensemble, particularly; EU scope not established. This is a provisional connection, not an outcome finding.</w:t>
      </w:r>
    </w:p>
    <w:p>
      <w:pPr>
        <w:pStyle w:val="SourceNote"/>
      </w:pPr>
      <w:r>
        <w:rPr>
          <w:b/>
        </w:rPr>
        <w:t>Available abstract (not full text):</w:t>
      </w:r>
      <w:r>
        <w:t xml:space="preserve"> Abstract In recent years, deep learning has been extensively used for ionospheric total electron content (TEC) prediction, and many models can yield promising prediction results, particularly under quiet conditions. Owing to the ionosphere's intricate and dramatic changes during geomagnetic storms, the high‐reliable prediction of the storm‐time ionospheric TEC remains a challenging problem. In this study, we developed a new deep learning‐based multi‐model ensemble method (DLMEM) to forecast geomagnetic storm‐time ionospheric TEC that combines the Random Forest (RF) model, the Extreme Gradient Boosting (XGBoost) algorithm, and the Gated Recurrent Unit (GRU) network with the attention mechanism. Seven features in 170 geomagnetic storm events, including the three components Bx , By and Bz of interplanetary magnetic field (IMF), the Kp and Dst indices of geomagnetic activity data, the F 10.7 index of solar activity data and global TEC data, were used for modeling. The test set results showed that the DLMEM model can reduce the root mean square errors (RMSE) by an average of 43.6% in comparison to our previously presented model Ion‐LSTM, especially during the recovery period of geomagnetic storms. Furthermore, compared to Ion‐LSTM, the RMSE values of the low‐, middle‐ and high‐latitude single‐station forecast TEC can be greatly decreased by 33%, 53% and 59%, respectively. It was sho</w:t>
      </w:r>
    </w:p>
    <w:p>
      <w:pPr/>
      <w:r>
        <w:rPr>
          <w:b/>
        </w:rPr>
        <w:t>POSSIBLE 2022:</w:t>
      </w:r>
      <w:r>
        <w:t xml:space="preserve"> Uncertainty Analysis Using Multi-Scenario Modeling Approach: Kashagan Field Case Study — https://doi.org/10.2118/212060-ms</w:t>
      </w:r>
    </w:p>
    <w:p>
      <w:pPr/>
      <w:r>
        <w:rPr>
          <w:b/>
        </w:rPr>
        <w:t>Shared claim-specific concepts:</w:t>
      </w:r>
      <w:r>
        <w:t xml:space="preserve"> unique, multi-scenario, since, combined; EU scope not established. This is a provisional connection, not an outcome finding.</w:t>
      </w:r>
    </w:p>
    <w:p>
      <w:pPr>
        <w:pStyle w:val="SourceNote"/>
      </w:pPr>
      <w:r>
        <w:rPr>
          <w:b/>
        </w:rPr>
        <w:t>Available abstract (not full text):</w:t>
      </w:r>
      <w:r>
        <w:t xml:space="preserve"> Abstract This paper will present a case study of an Uncertainty Analysis recently performed for the Kashagan Field. This is the first full scale uncertainty work performed on the field since it came online in September 2016. The paper will describe unique challenges given Kashagan peculiarities and describe methods and approaches taken to address those. A multi-scenario modeling workflow has been utilized to fully explore subsurface uncertainties in the decision space. First, uncertainties that were believed to have an impact on field performance based on the available data and learnings from previous studies were identified and ranked. Then, so-called categorical parameters were combined by grouping geologically relatable parameters into several scenarios with differentiating behaviors which were checked by performing screening simulation runs. This was followed by Design of Experiment (DoE) runs (Placket-Burman and Latin Hypercube), proxy modeling and Monte-Carlo analysis to aid selection of high, mid, and low models. More than 400 simulation runs were generated resulting in a wide range of outcomes for key performance indicators, enabling the selection of high, mid, and low model realizations to evaluate future field development decisions. The approach of combining categorical parameters into multiple scenarios followed by DoE runs offered several advantages including full s</w:t>
      </w:r>
    </w:p>
    <w:p>
      <w:pPr/>
      <w:r>
        <w:rPr>
          <w:b/>
        </w:rPr>
        <w:t>POSSIBLE 2022:</w:t>
      </w:r>
      <w:r>
        <w:t xml:space="preserve"> A Bayesian network approach for multi-sectoral flood damage assessment and multi-scenario analysis — https://doi.org/10.1016/j.crm.2022.100410</w:t>
      </w:r>
    </w:p>
    <w:p>
      <w:pPr/>
      <w:r>
        <w:rPr>
          <w:b/>
        </w:rPr>
        <w:t>Shared claim-specific concepts:</w:t>
      </w:r>
      <w:r>
        <w:t xml:space="preserve"> multi-scenario, pathways; EU scope not established. This is a provisional connection, not an outcome finding.</w:t>
      </w:r>
    </w:p>
    <w:p>
      <w:pPr>
        <w:pStyle w:val="SourceNote"/>
      </w:pPr>
      <w:r>
        <w:rPr>
          <w:b/>
        </w:rPr>
        <w:t>Available abstract (not full text):</w:t>
      </w:r>
      <w:r>
        <w:t xml:space="preserve"> Extreme weather and climate related events, from river flooding to droughts and tropical cyclones, are likely to become both more severe and more frequent in the coming decades, and the damages caused by these events will be felt across all sectors of society. In the face of this threat, policy- and decision-makers are increasingly calling for new approaches and tools to support risk management and climate adaptation pathways that can capture the full extent of the impacts. In this frame, a GIS-based Bayesian Network (BN) approach is presented for the capturing and modelling of multi-sectoral flooding damages against future ‘what-if’ scenarios. Building on a risk-based conceptual framework, the BN model was trained and validated by exploiting data collected from the 2014 Secchia River flooding event, as well as other contextual variables. Moreover, a novel approach to defining the structure of the BN was performed, reconfiguring the model according to expert judgment and data-based validation. The model showed a good predictive capacity for damages in the agricultural, industrial and residential sectors, predicting the severity of damages with a classification accuracy of about 60% for each of these assessment endpoints. ‘What-if’ scenario analysis was performed to understand the potential impacts of future changes in i) land use patterns and ii) increasing flood depths resulti</w:t>
      </w:r>
    </w:p>
    <w:p>
      <w:pPr/>
      <w:r>
        <w:rPr>
          <w:b/>
        </w:rPr>
        <w:t>POSSIBLE 2021:</w:t>
      </w:r>
      <w:r>
        <w:t xml:space="preserve"> Simulating Miocene Warmth: Insights From an Opportunistic Multi‐Model Ensemble (MioMIP1) — https://doi.org/10.1029/2020pa004054</w:t>
      </w:r>
    </w:p>
    <w:p>
      <w:pPr/>
      <w:r>
        <w:rPr>
          <w:b/>
        </w:rPr>
        <w:t>Shared claim-specific concepts:</w:t>
      </w:r>
      <w:r>
        <w:t xml:space="preserve"> ensemble, substantial, warming; EU scope not established. This is a provisional connection, not an outcome finding.</w:t>
      </w:r>
    </w:p>
    <w:p>
      <w:pPr>
        <w:pStyle w:val="SourceNote"/>
      </w:pPr>
      <w:r>
        <w:rPr>
          <w:b/>
        </w:rPr>
        <w:t>Available abstract (not full text):</w:t>
      </w:r>
      <w:r>
        <w:t xml:space="preserve"> Abstract The Miocene epoch, spanning 23.03–5.33 Ma, was a dynamic climate of sustained, polar amplified warmth. Miocene atmospheric CO 2 concentrations are typically reconstructed between 300 and 600 ppm and were potentially higher during the Miocene Climatic Optimum (16.75–14.5 Ma). With surface temperature reconstructions pointing to substantial midlatitude and polar warmth, it is unclear what processes maintained the much weaker‐than‐modern equator‐to‐pole temperature difference. Here, we synthesize several Miocene climate modeling efforts together with available terrestrial and ocean surface temperature reconstructions. We evaluate the range of model‐data agreement, highlight robust mechanisms operating across Miocene modeling efforts and regions where differences across experiments result in a large spread in warming responses. Prescribed CO 2 is the primary factor controlling global warming across the ensemble. On average, elements other than CO 2 , such as Miocene paleogeography and ice sheets, raise global mean temperature by ∼2°C, with the spread in warming under a given CO 2 concentration (due to a combination of the spread in imposed boundary conditions and climate feedback strengths) equivalent to ∼1.2 times a CO 2 doubling. This study uses an ensemble of opportunity: models, boundary conditions, and reference data sets represent the state‐of‐art for the Miocene, bu</w:t>
      </w:r>
    </w:p>
    <w:p>
      <w:pPr/>
      <w:r>
        <w:rPr>
          <w:b/>
        </w:rPr>
        <w:t>POSSIBLE 2021:</w:t>
      </w:r>
      <w:r>
        <w:t xml:space="preserve"> Sign Language Recognition via Skeleton-Aware Multi-Model Ensemble — https://doi.org/10.48550/arxiv.2110.06161</w:t>
      </w:r>
    </w:p>
    <w:p>
      <w:pPr/>
      <w:r>
        <w:rPr>
          <w:b/>
        </w:rPr>
        <w:t>Shared claim-specific concepts:</w:t>
      </w:r>
      <w:r>
        <w:t xml:space="preserve"> multi-model, used, ensemble; EU scope not established. This is a provisional connection, not an outcome finding.</w:t>
      </w:r>
    </w:p>
    <w:p>
      <w:pPr>
        <w:pStyle w:val="SourceNote"/>
      </w:pPr>
      <w:r>
        <w:rPr>
          <w:b/>
        </w:rPr>
        <w:t>Available abstract (not full text):</w:t>
      </w:r>
      <w:r>
        <w:t xml:space="preserve"> Sign language is commonly used by deaf or mute people to communicate but requires extensive effort to master. It is usually performed with the fast yet delicate movement of hand gestures, body posture, and even facial expressions. Current Sign Language Recognition (SLR) methods usually extract features via deep neural networks and suffer overfitting due to limited and noisy data. Recently, skeleton-based action recognition has attracted increasing attention due to its subject-invariant and background-invariant nature, whereas skeleton-based SLR is still under exploration due to the lack of hand annotations. Some researchers have tried to use off-line hand pose trackers to obtain hand keypoints and aid in recognizing sign language via recurrent neural networks. Nevertheless, none of them outperforms RGB-based approaches yet. To this end, we propose a novel Skeleton Aware Multi-modal Framework with a Global Ensemble Model (GEM) for isolated SLR (SAM-SLR-v2) to learn and fuse multi-modal feature representations towards a higher recognition rate. Specifically, we propose a Sign Language Graph Convolution Network (SL-GCN) to model the embedded dynamics of skeleton keypoints and a Separable Spatial-Temporal Convolution Network (SSTCN) to exploit skeleton features. The skeleton-based predictions are fused with other RGB and depth based modalities by the proposed late-fusion GEM to pro</w:t>
      </w:r>
    </w:p>
    <w:p>
      <w:pPr>
        <w:pStyle w:val="Heading2"/>
      </w:pPr>
      <w:r>
        <w:t>699. About global forecast of European Parliament TO 2035</w:t>
      </w:r>
    </w:p>
    <w:p>
      <w:pPr>
        <w:pStyle w:val="SourceNote"/>
      </w:pPr>
      <w:r>
        <w:rPr>
          <w:b/>
        </w:rPr>
        <w:t>Original source (2019):</w:t>
      </w:r>
      <w:r>
        <w:t xml:space="preserve"> https://doi.org/10.25634/mirbis.2019.1.3</w:t>
      </w:r>
    </w:p>
    <w:p>
      <w:pPr/>
      <w:r>
        <w:t>Original wording (abstract; indexed_source_text_not_full_document_verified): These forecasts show trends and breakthroughs in development of science and technology, determine possible changes in eco- nomics, social and political life of the world and in its diferent regions, help to determine crisis points.</w:t>
      </w:r>
    </w:p>
    <w:p>
      <w:pPr/>
      <w:r>
        <w:rPr>
          <w:b/>
        </w:rPr>
        <w:t>POSSIBLE 2026:</w:t>
      </w:r>
      <w:r>
        <w:t xml:space="preserve"> FORECASTING DEVELOPMENT TRENDS IN THE IT INDUSTRY IN UKRAINE — https://doi.org/10.32782/2312-7872.1.2026.8</w:t>
      </w:r>
    </w:p>
    <w:p>
      <w:pPr/>
      <w:r>
        <w:rPr>
          <w:b/>
        </w:rPr>
        <w:t>Shared claim-specific concepts:</w:t>
      </w:r>
      <w:r>
        <w:t xml:space="preserve"> trends, technology; EU scope visible. This is a provisional connection, not an outcome finding.</w:t>
      </w:r>
    </w:p>
    <w:p>
      <w:pPr>
        <w:pStyle w:val="SourceNote"/>
      </w:pPr>
      <w:r>
        <w:rPr>
          <w:b/>
        </w:rPr>
        <w:t>Available abstract (not full text):</w:t>
      </w:r>
      <w:r>
        <w:t xml:space="preserve"> The article argues the relevance and necessity of studying the development of the IT sector as one of the key sectors of the Ukrainian economy. The significance and advantages of the IT sector are substantiated. An analysis of recent scientific works on this issue has shown the need for further scientific research into the determinants, trends and prospects for the development of the IT industry of Ukraine in difficult war conditions. The aim of the article is to develop scientific and methodological approaches to forecasting trends and prospects for the development of the IT industry of Ukraine. The article examines the development trends of the Ukrainian IT industry in the context of war and global economic challenges. The main ones are: digital transformation, development of the technological ecosystem, increasing the strategic role in the European digital space, synergy between leading technology companies and a new generation of startups. The characteristics of the Ukrainian IT sector, the main reasons and factors that influenced changes during the analyzed period are determined. The forecast of the development indicators of the Ukrainian IT industry for the period until 2027 is made, taking into account statistical data for previous years, as well as growth dynamics based on global trends in the IT sector. Forecasting the export indicators of IT services in the export of </w:t>
      </w:r>
    </w:p>
    <w:p>
      <w:pPr/>
      <w:r>
        <w:rPr>
          <w:b/>
        </w:rPr>
        <w:t>POSSIBLE 2025:</w:t>
      </w:r>
      <w:r>
        <w:t xml:space="preserve"> Forecasting innovation status and trends with ARIMA analysis and Linear Trend Model in the European Union — https://doi.org/10.1556/1848.2025.00988</w:t>
      </w:r>
    </w:p>
    <w:p>
      <w:pPr/>
      <w:r>
        <w:rPr>
          <w:b/>
        </w:rPr>
        <w:t>Shared claim-specific concepts:</w:t>
      </w:r>
      <w:r>
        <w:t xml:space="preserve"> show, trends; EU scope visible. This is a provisional connection, not an outcome finding.</w:t>
      </w:r>
    </w:p>
    <w:p>
      <w:pPr>
        <w:pStyle w:val="SourceNote"/>
      </w:pPr>
      <w:r>
        <w:rPr>
          <w:b/>
        </w:rPr>
        <w:t>Available abstract (not full text):</w:t>
      </w:r>
      <w:r>
        <w:t xml:space="preserve"> Abstract The European Union's (EU) future will be fundamentally determined by innovation-based competitiveness. The study examines what characterized the EU's innovation status as a whole and its member states between 2017 and 2024. For the situation analysis, the study examines the development of the Summary Innovation Index (SII) values describing the innovation status of the member states using the ARIMA model and K-means clustering. The study estimates the expected innovation status of the EU and its member states in the medium term using the Linear Trend Model. The results show that innovation is the least coordinated area of the EU cohesion policy, as there is a significant gap in the innovation status of the member states. In the case of the two extreme innovation values, the difference is four times greater. By this ratio, the average innovation development of the Scandinavian states is higher than the development level of some Eastern European member states. The extrapolation results show that the innovation gap will likely persist in the medium term despite continuous modernization.</w:t>
      </w:r>
    </w:p>
    <w:p>
      <w:pPr/>
      <w:r>
        <w:rPr>
          <w:b/>
        </w:rPr>
        <w:t>POSSIBLE 2024:</w:t>
      </w:r>
      <w:r>
        <w:t xml:space="preserve"> Parabolic Modeling Forecasts of Space and Time European Hydropower Production — https://doi.org/10.3390/pr12061098</w:t>
      </w:r>
    </w:p>
    <w:p>
      <w:pPr/>
      <w:r>
        <w:rPr>
          <w:b/>
        </w:rPr>
        <w:t>Shared claim-specific concepts:</w:t>
      </w:r>
      <w:r>
        <w:t xml:space="preserve"> forecasts, show, trends, technology; EU scope visible. This is a provisional connection, not an outcome finding.</w:t>
      </w:r>
    </w:p>
    <w:p>
      <w:pPr>
        <w:pStyle w:val="SourceNote"/>
      </w:pPr>
      <w:r>
        <w:rPr>
          <w:b/>
        </w:rPr>
        <w:t>Available abstract (not full text):</w:t>
      </w:r>
      <w:r>
        <w:t xml:space="preserve"> Renewable sources of energy production are some of the main targets today to protect the environment through reduced fossil fuel consumption and CO2 emissions. Alongside wind, solar, marine, biomass and nuclear sources, hydropower is among the oldest but still not fully explored renewable energy sources. Compared with other sources like wind and solar, hydropower is more stable and consistent, offering increased predictability. Even so, it should be analyzed considering water flow, dams capacity, climate change, irrigation, navigation, and so on. The aim of this study is to propose a forecast model of hydropower production capacity and identify long-term trends. The curve fit forecast parabolic model was applied to 33 European countries for time series data from 1990 to 2021. Space-time cube ArcGIS representation in 2D and 3D offers visualization of the prediction and model confidence rate. The quadratic trajectory fit the raw data for 14 countries, validated by visual check, and in 20 countries, validated by FMRSE 10% threshold from the maximal value. The quadratic model choice is good for forecasting future values of hydropower electric capacity in 22 countries, with accuracy confirmed by the VMRSE 10% threshold from the maximal value. Seven local outliers were identified, with only one validated as a global outlier based on the Generalized Extreme Studentized Deviate (GESD) </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forecasts, trends;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Forecasting Sustainable Development Indicators in Romania: A Study in the European Context — https://doi.org/10.3390/su16114534</w:t>
      </w:r>
    </w:p>
    <w:p>
      <w:pPr/>
      <w:r>
        <w:rPr>
          <w:b/>
        </w:rPr>
        <w:t>Shared claim-specific concepts:</w:t>
      </w:r>
      <w:r>
        <w:t xml:space="preserve"> determine, world; EU scope visible. This is a provisional connection, not an outcome finding.</w:t>
      </w:r>
    </w:p>
    <w:p>
      <w:pPr>
        <w:pStyle w:val="SourceNote"/>
      </w:pPr>
      <w:r>
        <w:rPr>
          <w:b/>
        </w:rPr>
        <w:t>Available abstract (not full text):</w:t>
      </w:r>
      <w:r>
        <w:t xml:space="preserve"> Sustainable development is a very important and highly debated concept worldwide, with almost all states around the globe recognizing the importance of supporting a balancing of economic, social and ecological plans to create a more prosperous and equitable world. The purpose of the current study is to identify the current context of the progress achieved by the EU member states regarding the 17 sustainable development objectives. Following the implemented research, it was found that Romania is one of the countries with the lowest performance, so an attempt was made to make a short-term forecast in the case of this country in order to determine its future course. In this sense, the Holt–Winters trend methods were used, which are based on historical data to predict future values. According to the analysis carried out, the predicted values are mainly encouraging, but it is necessary for the competent authorities to become more involved because, in many aspects, Romania is at the bottom of the European Union (EU) ranking regarding the analyzed indicators.</w:t>
      </w:r>
    </w:p>
    <w:p>
      <w:pPr/>
      <w:r>
        <w:rPr>
          <w:b/>
        </w:rPr>
        <w:t>POSSIBLE 2024:</w:t>
      </w:r>
      <w:r>
        <w:t xml:space="preserve"> STUDYING THE APPROACHES OF EUROPEAN COUNTRIES IN FORESIGHT STUDIES OF THE DEVELOPMENT OF SCIENCE AND GREEN TECHNOLOGIES FOR ADOPTING THEIR EXPERIENCE IN THE CONTEXT OF KAZAKHSTAN — https://doi.org/10.52676/1729-7885-2024-1-4-12</w:t>
      </w:r>
    </w:p>
    <w:p>
      <w:pPr/>
      <w:r>
        <w:rPr>
          <w:b/>
        </w:rPr>
        <w:t>Shared claim-specific concepts:</w:t>
      </w:r>
      <w:r>
        <w:t xml:space="preserve"> trends, science, technology, possible; EU scope visible. This is a provisional connection, not an outcome finding.</w:t>
      </w:r>
    </w:p>
    <w:p>
      <w:pPr>
        <w:pStyle w:val="SourceNote"/>
      </w:pPr>
      <w:r>
        <w:rPr>
          <w:b/>
        </w:rPr>
        <w:t>Available abstract (not full text):</w:t>
      </w:r>
      <w:r>
        <w:t xml:space="preserve"> This paper reviews the application of foresight methods in the field of science, especially in the development of green technologies in various European countries, with the aim of identifying the most suitable approaches for future use in Kazakhstan. The analysis shows that green technology forecasting promises to be an effective tool for managing sustainable development. Methods for forecasting green technologies are focused on a systematic approach and integrated solutions, taking into account the environment and social aspects. It is also important to consider both global and local environmental issues to gain a full understanding of future development trends. The article provides a comparison of the Dutch and Danish approaches. Green technology foresight research can play an important role at the national level, especially in integrating sustainability considerations into technology development and innovation processes. They also contribute to the development of more effective and sustainable development strategies for companies and government in Kazakhstan. These studies contribute to increasing environmental awareness and awareness in society regarding the importance of sustainable development. Technology forecasting values the use of Delphi surveys to provide a better understanding of possible future trends. The knowledge gained is the basis for developing strategic plan</w:t>
      </w:r>
    </w:p>
    <w:p>
      <w:pPr/>
      <w:r>
        <w:rPr>
          <w:b/>
        </w:rPr>
        <w:t>POSSIBLE 2024:</w:t>
      </w:r>
      <w:r>
        <w:t xml:space="preserve"> Forecasting and Analysis of Cryptocurrency Trends — https://doi.org/10.55041/ijsrem30241</w:t>
      </w:r>
    </w:p>
    <w:p>
      <w:pPr/>
      <w:r>
        <w:rPr>
          <w:b/>
        </w:rPr>
        <w:t>Shared claim-specific concepts:</w:t>
      </w:r>
      <w:r>
        <w:t xml:space="preserve"> trends, technology; EU scope not established. This is a provisional connection, not an outcome finding.</w:t>
      </w:r>
    </w:p>
    <w:p>
      <w:pPr>
        <w:pStyle w:val="SourceNote"/>
      </w:pPr>
      <w:r>
        <w:rPr>
          <w:b/>
        </w:rPr>
        <w:t>Available abstract (not full text):</w:t>
      </w:r>
      <w:r>
        <w:t xml:space="preserve"> The development of financial technology has given rise to a new class of asset known as cryptocurrency, which has presented a significant potential for study. Forecasting cryptocurrency prices is challenging because of their dynamic and volatile nature. There are hundreds of different cryptocurrencies in circulation today. With prospects in peer-to-peer payments, remittance, e-commerce and retail, and media &amp; entertainment, the cryptocurrency business appears to have a bright future. From 2019 to2024, the worldwide cryptocurrency industry is anticipated to expand at a 32% CAGR. The distributed ledger technology's immutability and transparency, the rise in remittances from poor nations, shifting monetary laws, and a sharp rise in venture capital investments are the main factors propelling this market's growth. We created a short-term prediction (between five and thirty days) for the cryptocurrencies using the ARIMA model. When it came to predicting cryptocurrency time series, we discovered that the suggested method outperformed the ARIMA-ARFIMA models in both periods of gradual rising (falling) and transition dynamics (change of trend). Index Terms: digital currency,cryptocurrency, and ARIMA model.</w:t>
      </w:r>
    </w:p>
    <w:p>
      <w:pPr/>
      <w:r>
        <w:rPr>
          <w:b/>
        </w:rPr>
        <w:t>POSSIBLE 2023:</w:t>
      </w:r>
      <w:r>
        <w:t xml:space="preserve"> Global trends and forecasts of breast cancer incidence and deaths — https://doi.org/10.1038/s41597-023-02253-5</w:t>
      </w:r>
    </w:p>
    <w:p>
      <w:pPr/>
      <w:r>
        <w:rPr>
          <w:b/>
        </w:rPr>
        <w:t>Shared claim-specific concepts:</w:t>
      </w:r>
      <w:r>
        <w:t xml:space="preserve"> forecasts, show, trends, regions; EU scope not established. This is a provisional connection, not an outcome finding.</w:t>
      </w:r>
    </w:p>
    <w:p>
      <w:pPr>
        <w:pStyle w:val="SourceNote"/>
      </w:pPr>
      <w:r>
        <w:rPr>
          <w:b/>
        </w:rPr>
        <w:t>Available abstract (not full text):</w:t>
      </w:r>
      <w:r>
        <w:t xml:space="preserve"> Breast cancer (BC) is one of the major public health challenges worldwide. Studies that address the new evidence on trends of BC are of great importance for preventing and controlling the occurrence and development of diseases and improving health. The aim of this study was to analyze the outcomes for the global burden of disease (GBD), incidence, deaths, and risk factors for BC from 1990 to 2019, and predict the GBD of BC until 2050 to inform global BC control planning efforts. In this study, the results show that the regions with low levels of socio-demographic index (SDI) will have the largest disease burden of BC in the future. The leading global risk factor for death attributable to BC in 2019 was metabolic risks, followed by behavioral risks. This study supports the worldwide urgent need for comprehensive cancer prevention and control strategies to reduce exposure, early screening, and improve treatment to effectively reduce the GBD of BC.</w:t>
      </w:r>
    </w:p>
    <w:p>
      <w:pPr/>
      <w:r>
        <w:rPr>
          <w:b/>
        </w:rPr>
        <w:t>POSSIBLE 2023:</w:t>
      </w:r>
      <w:r>
        <w:t xml:space="preserve"> CUSTOMS POLICY OF THE EUROPEAN UNION: TRENDS, FORECASTS, AND DEVELOPMENT PERSPECTIVES — https://doi.org/10.30970/ves.2023.65.0.6519</w:t>
      </w:r>
    </w:p>
    <w:p>
      <w:pPr/>
      <w:r>
        <w:rPr>
          <w:b/>
        </w:rPr>
        <w:t>Shared claim-specific concepts:</w:t>
      </w:r>
      <w:r>
        <w:t xml:space="preserve"> forecasts, trends; EU scope visible. This is a provisional connection, not an outcome finding.</w:t>
      </w:r>
    </w:p>
    <w:p>
      <w:pPr>
        <w:pStyle w:val="SourceNote"/>
      </w:pPr>
      <w:r>
        <w:rPr>
          <w:b/>
        </w:rPr>
        <w:t>Available abstract (not full text):</w:t>
      </w:r>
      <w:r>
        <w:t xml:space="preserve"> The development of EU customs policy refl ects the state of economic relations within the EU. It is crucial for its ability to effi ciently respond to changes in global trade and infl uence its geopolitical position amidst global challenges and opportunities. The article aims to elucidate the specifi cs of applying customs tariff regulatory instruments in the EU, identify trends, and forecast the volumes of extra- and intra-EU trade for the nearest years. An assortment of scientifi c methods was employed in the article, including systemic, situational, and comparative analysis, to study trends, issues, and prospects of EU customs policy. For forecasting the trade volumes of the European Union, the FORECAST. The ETS function in Microsoft Excel was utilized, based on forecasting using the exponential smoothing algorithm. It is noted that the EU’s normative regulation is based on the Customs Code and bilateral trade agreements, with main tariff rates and product nomenclature defi ned by the EU Customs Tariff . The EU has exclusive competence in customs union matters, common trade policy, and the conclusion of international trade agreements of member countries. Customs tariff regulation regimes and instruments include the Most favored nation regime, anti-dumping and countervailing duties, preferential tariff s, and tariff quotas. The article evaluates EU trade volumes from 2015 to </w:t>
      </w:r>
    </w:p>
    <w:p>
      <w:pPr/>
      <w:r>
        <w:rPr>
          <w:b/>
        </w:rPr>
        <w:t>POSSIBLE 2023:</w:t>
      </w:r>
      <w:r>
        <w:t xml:space="preserve"> Skilful sub‐seasonal forecasts of aggregated temperature over Europe — https://doi.org/10.1002/met.2169</w:t>
      </w:r>
    </w:p>
    <w:p>
      <w:pPr/>
      <w:r>
        <w:rPr>
          <w:b/>
        </w:rPr>
        <w:t>Shared claim-specific concepts:</w:t>
      </w:r>
      <w:r>
        <w:t xml:space="preserve"> forecasts, show, regions; EU scope visible. This is a provisional connection, not an outcome finding.</w:t>
      </w:r>
    </w:p>
    <w:p>
      <w:pPr>
        <w:pStyle w:val="SourceNote"/>
      </w:pPr>
      <w:r>
        <w:rPr>
          <w:b/>
        </w:rPr>
        <w:t>Available abstract (not full text):</w:t>
      </w:r>
      <w:r>
        <w:t xml:space="preserve"> Abstract Subseasonal‐to‐seasonal (S2S) forecasts span the prediction range of weeks to 2–3 months ahead, bridging the gap between medium‐range and seasonal weather forecasts. There has been growing interest in S2S forecasts in recent years, largely because of the many potential uses of forecasts spanning these timescales. However, the skill of S2S forecasts beyond the first 2 weeks or so is poor, potentially limiting the usability of these forecasts. We show in this study that when considering accumulated temperatures, there is in fact good forecasting skill over Europe for accumulation periods up to 30 days ahead. Using a set of S2S hindcasts, we show using both a deterministic and a probabilistic measure of skill that the accumulated 2‐metre temperature forecasts out to 30 days are skilful over most of Europe. In summer, South West Europe has highest skill, while in winter North East Europe has highest skill. As an example application of such forecasts, we also evaluate the skill for summer cooling degree‐days (CDD) and winter heating degree‐days (HDD). For 30‐day winter HDD, there is good skill in all four European regions; for 30‐day summer CDD, the skill is limited in North West Europe, but still good in other regions.</w:t>
      </w:r>
    </w:p>
    <w:p>
      <w:pPr/>
      <w:r>
        <w:rPr>
          <w:b/>
        </w:rPr>
        <w:t>POSSIBLE 2022:</w:t>
      </w:r>
      <w:r>
        <w:t xml:space="preserve"> Trends and gaps in photovoltaic power forecasting with machine learning — https://doi.org/10.1016/j.egyr.2022.11.208</w:t>
      </w:r>
    </w:p>
    <w:p>
      <w:pPr/>
      <w:r>
        <w:rPr>
          <w:b/>
        </w:rPr>
        <w:t>Shared claim-specific concepts:</w:t>
      </w:r>
      <w:r>
        <w:t xml:space="preserve"> trends, world, help; EU scope not established. This is a provisional connection, not an outcome finding.</w:t>
      </w:r>
    </w:p>
    <w:p>
      <w:pPr>
        <w:pStyle w:val="SourceNote"/>
      </w:pPr>
      <w:r>
        <w:rPr>
          <w:b/>
        </w:rPr>
        <w:t>Available abstract (not full text):</w:t>
      </w:r>
      <w:r>
        <w:t xml:space="preserve"> The share of solar energy in the electricity mix increases year after year. Knowing the production of photovoltaic (PV) power at each instant of time is crucial for its integration into the grid. However, due to meteorological phenomena, PV power output can be uncertain and continuously varying, which complicates yield prediction. In recent years, machine learning (ML) techniques have entered the world of PV power forecasting to help increase the accuracy of predictions. Researchers have seen great potential in this approach, creating a vast literature on the topic. This paper intends to identify the most popular approaches and the gaps in this discipline. To do so, a representative part of the literature consisting of 100 publications is classified based on different aspects such as ML family, location of PV systems, number of systems considered, features, etc. Via this classification, the main trends and gaps can be highlighted while offering advice to researchers interested in the topic.</w:t>
      </w:r>
    </w:p>
    <w:p>
      <w:pPr/>
      <w:r>
        <w:rPr>
          <w:b/>
        </w:rPr>
        <w:t>POSSIBLE 2022:</w:t>
      </w:r>
      <w:r>
        <w:t xml:space="preserve"> The Regional Development Trap in Europe — https://doi.org/10.1080/00130095.2022.2080655</w:t>
      </w:r>
    </w:p>
    <w:p>
      <w:pPr/>
      <w:r>
        <w:rPr>
          <w:b/>
        </w:rPr>
        <w:t>Shared claim-specific concepts:</w:t>
      </w:r>
      <w:r>
        <w:t xml:space="preserve"> political, regions; EU scope visible. This is a provisional connection, not an outcome finding.</w:t>
      </w:r>
    </w:p>
    <w:p>
      <w:pPr>
        <w:pStyle w:val="SourceNote"/>
      </w:pPr>
      <w:r>
        <w:rPr>
          <w:b/>
        </w:rPr>
        <w:t>Available abstract (not full text):</w:t>
      </w:r>
      <w:r>
        <w:t xml:space="preserve"> The concept of regional development trap refers to regions that face significant structural challenges in retrieving past dynamism or improving prosperity for their residents. This article introduces and measures the concept of the regional development trap for regions in Europe. The concept draws inspiration from the middle-income trap in international development theory but widens it to shed light on traps in higher-income countries and at the regional scale. We propose indicators—involving the economic, productivity, and employment performance of regions relative to themselves in the immediate past, and to other regions in their respective countries and elsewhere in Europe—to identify regions either in a development trap or at significant near-term risk of falling into it. Regions facing development traps generate economic, social, and political risks at the national scale but also for Europe as a whole.</w:t>
      </w:r>
    </w:p>
    <w:p>
      <w:pPr>
        <w:pStyle w:val="Heading2"/>
      </w:pPr>
      <w:r>
        <w:t>700. Alternative scenarios investigation of 1990..2016 CO 2 emission from Public Electricity and Heat Production sectors in Europe</w:t>
      </w:r>
    </w:p>
    <w:p>
      <w:pPr>
        <w:pStyle w:val="SourceNote"/>
      </w:pPr>
      <w:r>
        <w:rPr>
          <w:b/>
        </w:rPr>
        <w:t>Original source (2019):</w:t>
      </w:r>
      <w:r>
        <w:t xml:space="preserve"> https://doi.org/10.1051/e3sconf/201911600053</w:t>
      </w:r>
    </w:p>
    <w:p>
      <w:pPr/>
      <w:r>
        <w:t>Original wording (abstract; indexed_source_text_not_full_document_verified): Graphical overview of 108 prepared (real and alternatives) emission pathways allow assessing CO 2 emission factors impact, pathways grouping and indicating the dominant pathway of 1990..2016 decarbonisation in EU national PEHP sectors.</w:t>
      </w:r>
    </w:p>
    <w:p>
      <w:pPr/>
      <w:r>
        <w:rPr>
          <w:b/>
        </w:rPr>
        <w:t>POSSIBLE 2026:</w:t>
      </w:r>
      <w:r>
        <w:t xml:space="preserve"> Emission Scenarios for Europe under the CATALYSE Project: Beyond the Green Deal — https://openalex.org/W7125621332</w:t>
      </w:r>
    </w:p>
    <w:p>
      <w:pPr/>
      <w:r>
        <w:rPr>
          <w:b/>
        </w:rPr>
        <w:t>Shared claim-specific concepts:</w:t>
      </w:r>
      <w:r>
        <w:t xml:space="preserve"> emission, pathways, factors, indicating, sectors; EU scope visible. This is a provisional connection, not an outcome finding.</w:t>
      </w:r>
    </w:p>
    <w:p>
      <w:pPr>
        <w:pStyle w:val="SourceNote"/>
      </w:pPr>
      <w:r>
        <w:rPr>
          <w:b/>
        </w:rPr>
        <w:t>Available abstract (not full text):</w:t>
      </w:r>
      <w:r>
        <w:t xml:space="preserve"> The pursuit of net zero emissions in the European Union can deliver significant human health co-benefits. Mitigation actions reduce emissions of air pollutants that contribute to a range of diseases. The Climate Action To Advance HeaLthY Societies in Europe (CATALYSE) project, funded by Horizon Europe, seeks to quantify these climate and health co-benefits within a European context. This multi-dimensional initiative spans fundamental research to identifying optimal communication channels for information dissemination. This report documents the approach, methodology, and results of the development of gridded emission scenarios for air pollutants in Europe until 2050 within the CATALYSE project. The main scenarios include a reference baseline (REF), a scenario achieving Green Deal goals (GD), and a Beyond Green Deal scenario that envisages additional behavioral changes to curb emissions (BGD). A fourth scenario “Beyond Green Deal 90” (BGD90), is a variant that introduces further end-of-pipe air pollution control measures. The activity pathways underlying the scenarios are modeled using the PRIMES and CAPRI models, with assumptions defined collaboratively by modelling team experts in the buildings sector (UCL), active mobility (ISGlobal), and food systems (UOX). Although the projections also include energy and industry sectors, the scenario differentiation emphasizes the buildings</w:t>
      </w:r>
    </w:p>
    <w:p>
      <w:pPr/>
      <w:r>
        <w:rPr>
          <w:b/>
        </w:rPr>
        <w:t>POSSIBLE 2025:</w:t>
      </w:r>
      <w:r>
        <w:t xml:space="preserve"> A graphical analysis of the intellectual structure of The Australian Journal of Indigenous Education — https://doi.org/10.55146/ajie.v54i2.2031</w:t>
      </w:r>
    </w:p>
    <w:p>
      <w:pPr/>
      <w:r>
        <w:rPr>
          <w:b/>
        </w:rPr>
        <w:t>Shared claim-specific concepts:</w:t>
      </w:r>
      <w:r>
        <w:t xml:space="preserve"> graphical, prepared, national; EU scope not established. This is a provisional connection, not an outcome finding.</w:t>
      </w:r>
    </w:p>
    <w:p>
      <w:pPr>
        <w:pStyle w:val="SourceNote"/>
      </w:pPr>
      <w:r>
        <w:rPr>
          <w:b/>
        </w:rPr>
        <w:t>Available abstract (not full text):</w:t>
      </w:r>
      <w:r>
        <w:t xml:space="preserve"> This work represents the second part of a general bibliometric analysis we have prepared for The Australian Journal of Indigenous Education (AJIE), motivated by the first 50 years of the journal. This study develops a graphical analysis of AJIE by using the VOSviewer software, Scopus and the Web of Science database. Utilising bibliometric methods such as co-citation, bibliographic coupling and co-occurrence of keywords in the VOSviewer software, this study reveals AJIE’s impact on key Indigenous education topics, including culturally responsive pedagogy, decolonisation, Indigenous health and teacher education. The analysis highlights AJIE’s strong national presence, supported by substantial contributions from Australian institutions, along with a modest yet notable level of international engagement, particularly from New Zealand, Canada and the United States. The journal’s transition to open access, combined with its inclusion in major academic indexes, has increased its visibility and citation reach, reinforcing its role as a leading publication in the field of Indigenous education.</w:t>
      </w:r>
    </w:p>
    <w:p>
      <w:pPr/>
      <w:r>
        <w:rPr>
          <w:b/>
        </w:rPr>
        <w:t>POSSIBLE 2025:</w:t>
      </w:r>
      <w:r>
        <w:t xml:space="preserve"> Methane Emissions from Mining in the European Union — https://doi.org/10.3390/en18040791</w:t>
      </w:r>
    </w:p>
    <w:p>
      <w:pPr/>
      <w:r>
        <w:rPr>
          <w:b/>
        </w:rPr>
        <w:t>Shared claim-specific concepts:</w:t>
      </w:r>
      <w:r>
        <w:t xml:space="preserve"> emission, national; EU scope visible. This is a provisional connection, not an outcome finding.</w:t>
      </w:r>
    </w:p>
    <w:p>
      <w:pPr>
        <w:pStyle w:val="SourceNote"/>
      </w:pPr>
      <w:r>
        <w:rPr>
          <w:b/>
        </w:rPr>
        <w:t>Available abstract (not full text):</w:t>
      </w:r>
      <w:r>
        <w:t xml:space="preserve"> Methane emissions from coal mining remain a significant environmental challenge in the European Union, particularly in the context of climate change commitments and the ongoing transformation of the energy sector. This article analyses methane emissions from surface and underground coal mining, distinguishing between emissions from mining activities, abandoned underground mines, and post-mining activities. A key aspect of the analysis is the methane emissions per 1000 tonnes of lignite and hard coal mined, which allows a comparison of emission intensities between different mining methods. Between 2009 and 2021, methane emissions from coal mining in the EU decrease, with reductions of 2436 kt CO2 eq. (87 kt CH4) from surface mining and 16,518 kt CO2 eq. (590 kt CH4) from underground mining. However, total methane emissions in 2021 still amount to 25,414 kt CO2 eq. (908 kt CH4), with underground mining contributing 84.7% of the emissions. Discrepancies in national emissions reporting and the lack of transparent data on methane emissions from imported coal make accurate assessments difficult. Strengthening international cooperation, improving data transparency, and exploring methane recovery for energy use are essential steps towards achieving the EU’s climate change objectives.</w:t>
      </w:r>
    </w:p>
    <w:p>
      <w:pPr/>
      <w:r>
        <w:rPr>
          <w:b/>
        </w:rPr>
        <w:t>POSSIBLE 2024:</w:t>
      </w:r>
      <w:r>
        <w:t xml:space="preserve"> Evaluation of Urban Vehicle Emissions Using Traffic and Emission Models - An Overview — https://doi.org/10.21608/eijest.2023.199836.1219</w:t>
      </w:r>
    </w:p>
    <w:p>
      <w:pPr/>
      <w:r>
        <w:rPr>
          <w:b/>
        </w:rPr>
        <w:t>Shared claim-specific concepts:</w:t>
      </w:r>
      <w:r>
        <w:t xml:space="preserve"> overview, alternatives, emission; EU scope not established. This is a provisional connection, not an outcome finding.</w:t>
      </w:r>
    </w:p>
    <w:p>
      <w:pPr>
        <w:pStyle w:val="SourceNote"/>
      </w:pPr>
      <w:r>
        <w:rPr>
          <w:b/>
        </w:rPr>
        <w:t>Available abstract (not full text):</w:t>
      </w:r>
      <w:r>
        <w:t xml:space="preserve"> Due to the country's rapidly growing population and economy, transportation has become an essential part of Egyptian life. Air quality has decreased as a direct result of the rapid increase in urban areas' vehicle use due to human activities. In Egypt, almost 48.1% of all trips are taken by private automobiles, whereas public transportation is utilized only sometimes. Heavy congestion is the direct result of people's reliance on personal automobiles. More than 98% of the world's population in 2019 was located in regions where air quality did not meet World Health Organization (WHO) criteria. About 32% of Egypt's 2019 emissions came from the transportation sector. Different aspects that define the causes and possible alternatives to the air pollution problem at intersections are addressed in this research. Three intersections in Zagazig are the focus of this project, which looks into ways to reduce emissions from moving cars. PTV VISSIM generates a realistic peak-hour traffic simulation of the current traffic situation. Emissions are calculated using the data collected from the vehicles in the traffic simulation as input to the emission modelling software COPERT.</w:t>
      </w:r>
    </w:p>
    <w:p>
      <w:pPr/>
      <w:r>
        <w:rPr>
          <w:b/>
        </w:rPr>
        <w:t>POSSIBLE 2023:</w:t>
      </w:r>
      <w:r>
        <w:t xml:space="preserve"> Anxiety among children and adolescents during the COVID-19 pandemic in Europe: a systematic review protocol — https://doi.org/10.1186/s13643-023-02225-1</w:t>
      </w:r>
    </w:p>
    <w:p>
      <w:pPr/>
      <w:r>
        <w:rPr>
          <w:b/>
        </w:rPr>
        <w:t>Shared claim-specific concepts:</w:t>
      </w:r>
      <w:r>
        <w:t xml:space="preserve"> overview, prepared; EU scope visible. This is a provisional connection, not an outcome finding.</w:t>
      </w:r>
    </w:p>
    <w:p>
      <w:pPr>
        <w:pStyle w:val="SourceNote"/>
      </w:pPr>
      <w:r>
        <w:rPr>
          <w:b/>
        </w:rPr>
        <w:t>Available abstract (not full text):</w:t>
      </w:r>
      <w:r>
        <w:t xml:space="preserve"> BACKGROUND: A growing number of studies point to a high mental health burden among children and adolescents during the COVID-19 pandemic, particularly concerning anxiety. However, the study quality and effect direction are heterogeneous in the existing primary studies with a lacking overview for the European continent. Therefore, this systematic review aims to critically synthesise the evidence regarding the impact of the COVID-19 pandemic on anxiety among children and adolescents in Europe compared to a pre-pandemic baseline. METHODS: A systematic literature search will be performed in six databases (MEDLINE, EMBASE, PsycINFO, Cochrane Central Register of Controlled Trials, Web of Science, and WHO COVID-19 database) with a peer reviewed search strategy according to the evidence-based checklist Peer Review of Electronic Search Strategies (PRESS). Inclusion criteria are children and adolescents ≤ 19 years living in Europe and data report during the COVID-19 pandemic with an appropriate pre-pandemic baseline. Primary outcomes are general anxiety symptoms and clinically relevant anxiety rates. Risk of bias will be assessed using the 'Risk of Bias in Non-randomised Studies of Exposure' (ROBINS-E). Data extraction will systematically include information on study design, population characteristics, COVID-19 determinants, pre-pandemic baseline, diagnostic instruments and outcome. The </w:t>
      </w:r>
    </w:p>
    <w:p>
      <w:pPr/>
      <w:r>
        <w:rPr>
          <w:b/>
        </w:rPr>
        <w:t>POSSIBLE 2023:</w:t>
      </w:r>
      <w:r>
        <w:t xml:space="preserve"> Emissions from Light-Duty Vehicles—From Statistics to Emission Regulations and Vehicle Testing in the European Union — https://doi.org/10.3390/en17010209</w:t>
      </w:r>
    </w:p>
    <w:p>
      <w:pPr/>
      <w:r>
        <w:rPr>
          <w:b/>
        </w:rPr>
        <w:t>Shared claim-specific concepts:</w:t>
      </w:r>
      <w:r>
        <w:t xml:space="preserve"> overview, real, emission, factors; EU scope visible. This is a provisional connection, not an outcome finding.</w:t>
      </w:r>
    </w:p>
    <w:p>
      <w:pPr>
        <w:pStyle w:val="SourceNote"/>
      </w:pPr>
      <w:r>
        <w:rPr>
          <w:b/>
        </w:rPr>
        <w:t>Available abstract (not full text):</w:t>
      </w:r>
      <w:r>
        <w:t xml:space="preserve"> The article offers a comprehensive examination of vehicle emissions, with a specific focus on the European Union’s automotive industry. Its main goal is to provide an in-depth analysis of the factors influencing the emission of microcontaminants from light-duty vehicles and the challenges associated with their removal via exhaust aftertreatment systems. It presents statistical insights into the automotive sector and explores the relationships between vehicle categories, fuel types, and the emission of regulated and nonregulated pollutants, as well as relevant legal regulations such as the European Emission Standard. The article delves into the characteristics of vehicle exhaust, compares exhaust-gas aftertreatment systems, and introduces factors affecting emissions from gasoline engines, including downsizing, fuel composition, and engine operating parameters. It also considers the impact of driving style, start–stop systems, and related factors. Concluding, the article offers an overview of vehicle-testing procedures, including emission tests on dynamometer chassis and real driving emissions. With the growing global vehicle population and international environmental regulations, a focus on solid particles containing microcontaminants is paramount, as they pose significant risks to health and the environment. In summary, this article provides valuable insights into vehicle emiss</w:t>
      </w:r>
    </w:p>
    <w:p>
      <w:pPr/>
      <w:r>
        <w:rPr>
          <w:b/>
        </w:rPr>
        <w:t>POSSIBLE 2023:</w:t>
      </w:r>
      <w:r>
        <w:t xml:space="preserve"> A comprehensive overview of carbon dioxide, including emission sources, capture technologies, and the conversion into value-added products — https://doi.org/10.1007/s10098-023-02599-9</w:t>
      </w:r>
    </w:p>
    <w:p>
      <w:pPr/>
      <w:r>
        <w:rPr>
          <w:b/>
        </w:rPr>
        <w:t>Shared claim-specific concepts:</w:t>
      </w:r>
      <w:r>
        <w:t xml:space="preserve"> graphical, overview, emission; EU scope not established. This is a provisional connection, not an outcome finding.</w:t>
      </w:r>
    </w:p>
    <w:p>
      <w:pPr>
        <w:pStyle w:val="SourceNote"/>
      </w:pPr>
      <w:r>
        <w:rPr>
          <w:b/>
        </w:rPr>
        <w:t>Available abstract (not full text):</w:t>
      </w:r>
      <w:r>
        <w:t xml:space="preserve"> Abstract Carbon dioxide is both the planet’s enemy and friend since it maintains the balance of the planet as this gas retains some of the radiant energy that the planet receives. Thus, it keeps the Earth’s heat, without which the Earth would be unbearably cold. However, the increase in the quantity of CO 2 in the Earth’s atmosphere contributes to the exacerbation of global warming. CO 2 is mainly produced from the processes of combustion of fuel and petroleum, as well as from the breathing process of living organisms. This study aims to provide a comprehensive view of carbon dioxide, including the main sources of emissions that resulted in negative effects, as well as the various ways to control these emissions by conducting a separation process during fuel combustion in power plants and preventing the release of large quantities into the atmosphere. Finally, an objective viewpoint on how to benefit from separated carbon dioxide and turn it into highly valuable products is presented. Given that this is a global problem that affects our planet, this review links other literature that deals with each part separately, and thus it presents a clear and comprehensive vision that enables the reader to be aware of carbon dioxide gas from all perspectives, concluding with future studies that are required to prevent an increase in negative effects in order to preserve the quality of lif</w:t>
      </w:r>
    </w:p>
    <w:p>
      <w:pPr/>
      <w:r>
        <w:rPr>
          <w:b/>
        </w:rPr>
        <w:t>POSSIBLE 2023:</w:t>
      </w:r>
      <w:r>
        <w:t xml:space="preserve"> Projected Reductions in CO2 Emissions by Using Alternative Methanol Fuel to Power a Service Operation Vessel — https://doi.org/10.3390/en16217419</w:t>
      </w:r>
    </w:p>
    <w:p>
      <w:pPr/>
      <w:r>
        <w:rPr>
          <w:b/>
        </w:rPr>
        <w:t>Shared claim-specific concepts:</w:t>
      </w:r>
      <w:r>
        <w:t xml:space="preserve"> assessing; EU scope visible. This is a provisional connection, not an outcome finding.</w:t>
      </w:r>
    </w:p>
    <w:p>
      <w:pPr>
        <w:pStyle w:val="SourceNote"/>
      </w:pPr>
      <w:r>
        <w:rPr>
          <w:b/>
        </w:rPr>
        <w:t>Available abstract (not full text):</w:t>
      </w:r>
      <w:r>
        <w:t xml:space="preserve"> Due to increasingly stringent IMO and European Commission requirements for greenhouse gas emissions, the present study analysed the projected reductions in CO2 emissions achieved by using methanol as an alternative fuel to power custom service operation vessels (SOVs) serving wind platforms in the Baltic Sea. Methanol is a relatively new fuel, approved for use as a safe marine fuel in the late 2020s. In these analyses, reference was made to the current interim guidelines, supplementing the IGF Code in the form of MSC.1/Circ.1621. The SOV type was chosen because of the current growing demand for these ships (the dynamic development of offshore wind power) and the lack of analyses of this type of small craft. The importance of assessing CO2 emissions in this case is due to the specifics of the vessel’s operation in different modes, and thus the variable load on the propulsion system and the area of operation close to the coastline. A computational research method was used to evaluate CO2 emissions, as well as the cost of methanol fuel, using current regulations and technical data. A comparison was also made between conventional MDO and LNG fuels. The first results of the analysis showed that methanol fuel is only competitive with MDO (a few-percent advantage) in terms of the average estimated index value EIV. Economically, it will require a higher investment, despite the favourab</w:t>
      </w:r>
    </w:p>
    <w:p>
      <w:pPr/>
      <w:r>
        <w:rPr>
          <w:b/>
        </w:rPr>
        <w:t>POSSIBLE 2022:</w:t>
      </w:r>
      <w:r>
        <w:t xml:space="preserve"> Going beyond European emission targets: Pathways for an urban energy transition in the city of Riga — https://doi.org/10.1016/j.energy.2022.123352</w:t>
      </w:r>
    </w:p>
    <w:p>
      <w:pPr/>
      <w:r>
        <w:rPr>
          <w:b/>
        </w:rPr>
        <w:t>Shared claim-specific concepts:</w:t>
      </w:r>
      <w:r>
        <w:t xml:space="preserve"> graphical, emission, pathways, factors; EU scope visible. This is a provisional connection, not an outcome finding.</w:t>
      </w:r>
    </w:p>
    <w:p>
      <w:pPr>
        <w:pStyle w:val="SourceNote"/>
      </w:pPr>
      <w:r>
        <w:rPr>
          <w:b/>
        </w:rPr>
        <w:t>Available abstract (not full text):</w:t>
      </w:r>
      <w:r>
        <w:t xml:space="preserve"> The city of Riga, currently updating their energy planning strategy for 2020–2030, surpassed the emission reduction target of the EU for 2030. Suitable targets for Riga are a reduction by 61% (2030) and 70% (2050), respectively, compared to 1990 levels. To achieve these objectives, this paper describes the research work defining pathways and measures in line with the planned actions of Riga, that focus on three thematic areas: green hydrogen, solar engagement, and modern transportation. The characterisation and comparison of the pathways is based on a graphical indicator method and weighting different factors accordingly to the Riga energy framework. The research done shows that production of green hydrogen is economically viable for Riga, achieving a Levelized Cost of Electricity of 0.0395 EUR/kWh and a Levelized Cost of Hydrogen of 3.67 EUR/kgH2. Rooftop photovoltaic systems represent an appealing option for the citizens if a feed-in tariff of 0.1 EUR/kWh is awarded. As additional outcomes, this paper proposes alternative loan schemes such as voucher return packages that can foster citizen engagement in renewable projects and defines strategies to reduce road emissions that could include the development of microalgae carbon capture systems and the creation of a fossil-free last-mile delivery zone.</w:t>
      </w:r>
    </w:p>
    <w:p>
      <w:pPr/>
      <w:r>
        <w:rPr>
          <w:b/>
        </w:rPr>
        <w:t>POSSIBLE 2022:</w:t>
      </w:r>
      <w:r>
        <w:t xml:space="preserve"> Depression and anxiety among children and adolescents during the COVID-19 pandemic in Europe: A systematic review protocol — https://doi.org/10.21203/rs.3.rs-1638547/v1</w:t>
      </w:r>
    </w:p>
    <w:p>
      <w:pPr/>
      <w:r>
        <w:rPr>
          <w:b/>
        </w:rPr>
        <w:t>Shared claim-specific concepts:</w:t>
      </w:r>
      <w:r>
        <w:t xml:space="preserve"> overview, prepared; EU scope visible. This is a provisional connection, not an outcome finding.</w:t>
      </w:r>
    </w:p>
    <w:p>
      <w:pPr>
        <w:pStyle w:val="SourceNote"/>
      </w:pPr>
      <w:r>
        <w:rPr>
          <w:b/>
        </w:rPr>
        <w:t>Available abstract (not full text):</w:t>
      </w:r>
      <w:r>
        <w:t xml:space="preserve"> Abstract Some studies point to a high mental health burden among children and adolescents (CA) during the COVID-19 pandemic, particularly concerning depression and anxiety (DA). However, the quality of existing studies and some results are heterogeneous. Research gaps exist regarding (1) a high-quality summarizing overview on studies with (2) a pre-pandemic baseline on the impact of the COVID-19 pandemic on DA among CA in Europe. Therefore, the planned systematic review (SR) aims to close these gaps. SR was registered in the Prospective Register of Systematic Reviews (PROSPERO) and the protocol was prepared in accordance to the Preferred Reporting Items for Systematic review and Meta-Analysis Protocols (PRISMA-P) statement. Search strategy was peer reviewed. Systematic search was conducted in six databases (MEDLINE, EMBASE, PsycINFO, Cochrane Central Register of Controlled Trials, Web of Science and WHO COVID-19 database). Risk of bias (RoB) will be assessed using the RoB instrument for non-randomized studies of exposures. Certainty of evidence will be evaluated by using the GRADE approach adapted to the use of non-randomized studies. Also, subgroup analysis, sensitivity analysis, and publication bias will be performed.Results of this SR could contribute to determine the actual overall prevalence of DA among CA in European countries with an expert opinion on the clinical releva</w:t>
      </w:r>
    </w:p>
    <w:p>
      <w:pPr/>
      <w:r>
        <w:rPr>
          <w:b/>
        </w:rPr>
        <w:t>POSSIBLE 2022:</w:t>
      </w:r>
      <w:r>
        <w:t xml:space="preserve"> Depression and anxiety among children and adolescents during the COVID-19 pandemic in Europe: A systematic review protocol — https://doi.org/10.21203/rs.3.rs-1638547/v2</w:t>
      </w:r>
    </w:p>
    <w:p>
      <w:pPr/>
      <w:r>
        <w:rPr>
          <w:b/>
        </w:rPr>
        <w:t>Shared claim-specific concepts:</w:t>
      </w:r>
      <w:r>
        <w:t xml:space="preserve"> overview, prepared; EU scope visible. This is a provisional connection, not an outcome finding.</w:t>
      </w:r>
    </w:p>
    <w:p>
      <w:pPr>
        <w:pStyle w:val="SourceNote"/>
      </w:pPr>
      <w:r>
        <w:rPr>
          <w:b/>
        </w:rPr>
        <w:t>Available abstract (not full text):</w:t>
      </w:r>
      <w:r>
        <w:t xml:space="preserve"> Abstract Background: A growing number of studies point to a high mental health burden among children and adolescents during the COVID-19 pandemic, particularly concerning depression and anxiety. However, the study quality and effect direction are heterogeneous in the existing studies with a lacking overview for the European continent. Therefore, research gaps exist particular regarding (1) the impact of the COVID-19 pandemic on depression and anxiety among children and adolescents in European countries with (2) a methodologically high-quality summarizing review of studies. Therefore, the planned systematic review aims to close these gaps. Methods: The systematic review was registered in the Prospective Register of Systematic Reviews (PROSPERO) and the protocol was prepared in accordance to the Preferred Reporting Items for Systematic review and Meta-Analysis Protocols (PRISMA-P) statement. Search strategy was peer reviewed according to the evidence-based checklist Peer Review of Electronic Search Strategies (PRESS). Systematic search was conducted in six databases (MEDLINE, EMBASE, PsycINFO, Cochrane Central Register of Controlled Trials, Web of Science and WHO COVID-19 database). Literature screening will be conducted independent by two authors, disagreement will be solved by a third author. Risk of bias (RoB) will be assessed using the RoB instrument for non-randomized studie</w:t>
      </w:r>
    </w:p>
    <w:p>
      <w:pPr/>
      <w:r>
        <w:rPr>
          <w:b/>
        </w:rPr>
        <w:t>POSSIBLE 2022:</w:t>
      </w:r>
      <w:r>
        <w:t xml:space="preserve"> Hardware-in-the-Loop Simulations: A Historical Overview of Engineering Challenges — https://doi.org/10.3390/electronics11152462</w:t>
      </w:r>
    </w:p>
    <w:p>
      <w:pPr/>
      <w:r>
        <w:rPr>
          <w:b/>
        </w:rPr>
        <w:t>Shared claim-specific concepts:</w:t>
      </w:r>
      <w:r>
        <w:t xml:space="preserve"> overview, real, national; EU scope not established. This is a provisional connection, not an outcome finding.</w:t>
      </w:r>
    </w:p>
    <w:p>
      <w:pPr>
        <w:pStyle w:val="SourceNote"/>
      </w:pPr>
      <w:r>
        <w:rPr>
          <w:b/>
        </w:rPr>
        <w:t>Available abstract (not full text):</w:t>
      </w:r>
      <w:r>
        <w:t xml:space="preserve"> The design of modern industrial products is further improved through the hardware-in-the-loop (HIL) simulation. Realistic simulation is enabled by the closed loop between the hardware under test (HUT) and real-time simulation. Such a system involves a field programmable gate array (FPGA) and digital signal processor (DSP). An HIL model can bypass serious damage to the real object, reduce debugging cost, and, finally, reduce the comprehensive effort during the testing. This paper provides a historical overview of HIL simulations through different engineering challenges, i.e., within automotive, power electronics systems, and different industrial drives. Various platforms, such as National Instruments, dSPACE, Typhoon HIL, or MATLAB Simulink Real-Time toolboxes and Speedgoat hardware systems, offer a powerful tool for efficient and successful investigations in different fields. Therefore, HIL simulation practice must begin already during the university’s education process to prepare the students for professional engagements in the industry, which was also verified experimentally at the end of the paper.</w:t>
      </w:r>
    </w:p>
    <w:p>
      <w:pPr>
        <w:pStyle w:val="Heading2"/>
      </w:pPr>
      <w:r>
        <w:t>701. Demographic change and the European income distribution</w:t>
      </w:r>
    </w:p>
    <w:p>
      <w:pPr>
        <w:pStyle w:val="SourceNote"/>
      </w:pPr>
      <w:r>
        <w:rPr>
          <w:b/>
        </w:rPr>
        <w:t>Original source (2019):</w:t>
      </w:r>
      <w:r>
        <w:t xml:space="preserve"> https://doi.org/10.1007/s10888-019-09411-z</w:t>
      </w:r>
    </w:p>
    <w:p>
      <w:pPr/>
      <w:r>
        <w:t>Original wording (abstract; indexed_source_text_not_full_document_verified): This paper assesses the effect of key demographic changes (population ageing and increasing educational attainment) that are expected by 2030 on the income distribution in the EU-27 and examines the potential of tax-benefit systems to counterbalance negative developments. Our results show that demographic change is likely to lead to increasing inequality while related wage adjustments work mainly in the opposite direction.</w:t>
      </w:r>
    </w:p>
    <w:p>
      <w:pPr/>
      <w:r>
        <w:rPr>
          <w:b/>
        </w:rPr>
        <w:t>POSSIBLE 2025:</w:t>
      </w:r>
      <w:r>
        <w:t xml:space="preserve"> Amplified local cooling effect of forestation in warming Europe — https://doi.org/10.1038/s41467-025-63556-2</w:t>
      </w:r>
    </w:p>
    <w:p>
      <w:pPr/>
      <w:r>
        <w:rPr>
          <w:b/>
        </w:rPr>
        <w:t>Shared claim-specific concepts:</w:t>
      </w:r>
      <w:r>
        <w:t xml:space="preserve"> effect, negative; EU scope visible. This is a provisional connection, not an outcome finding.</w:t>
      </w:r>
    </w:p>
    <w:p>
      <w:pPr>
        <w:pStyle w:val="SourceNote"/>
      </w:pPr>
      <w:r>
        <w:rPr>
          <w:b/>
        </w:rPr>
        <w:t>Available abstract (not full text):</w:t>
      </w:r>
      <w:r>
        <w:t xml:space="preserve"> Abstract Forests exhibit cooling or warming effects compared to adjacent openlands through biophysical processes. The local temperature effects are predicted by earth system models to evolve in response to climate change. However, these temporal dynamic patterns remain unconstrained by observations and have not been detected in historical records. Here, we provide satellite evidence of emergent negative trends in local land surface temperature (LST) effects of European forests from 2003–2023. The daytime cooling effects have significantly intensified in both winter (-0.17 K/decade) and summer (-0.22 K/decade). The enhanced winter cooling is attributed to the reduced shortwave radiative forcing in forests due to decreasing snow cover. In the summertime, the vegetation physiological response to increased atmospheric vapor pressure deficit boosts evaporative cooling in forests. The negative trends in LST effects of European forests are roughly supported by four state-of-the-art earth system models. However, considerable biases and intermodel spread in the representation of underlying biophysical processes. Given the continued climate change, we emphasize the need to consider their impacts on biophysical effect dynamics when comprehensive forest-related climate mitigation policies are formed.</w:t>
      </w:r>
    </w:p>
    <w:p>
      <w:pPr/>
      <w:r>
        <w:rPr>
          <w:b/>
        </w:rPr>
        <w:t>POSSIBLE 2025:</w:t>
      </w:r>
      <w:r>
        <w:t xml:space="preserve"> The key pillars of psychosocial disability: a European perspective on challenges and solutions — https://doi.org/10.3389/fpsyt.2025.1574301</w:t>
      </w:r>
    </w:p>
    <w:p>
      <w:pPr/>
      <w:r>
        <w:rPr>
          <w:b/>
        </w:rPr>
        <w:t>Shared claim-specific concepts:</w:t>
      </w:r>
      <w:r>
        <w:t xml:space="preserve"> effect, key, examines, negative; EU scope visible. This is a provisional connection, not an outcome finding.</w:t>
      </w:r>
    </w:p>
    <w:p>
      <w:pPr>
        <w:pStyle w:val="SourceNote"/>
      </w:pPr>
      <w:r>
        <w:rPr>
          <w:b/>
        </w:rPr>
        <w:t>Available abstract (not full text):</w:t>
      </w:r>
      <w:r>
        <w:t xml:space="preserve"> Psychosocial disabilities refer to a range of mental health conditions that significantly impact an individual's ability to function in daily life and participate fully in society. Across Europe, individuals with these conditions face systemic barriers, including inadequate support services, stigma, and limited healthcare access. This perspective article examines these challenges through the lens of Maslow's hierarchy of needs and Saraceno's community psychiatry framework. By analyzing identified key pillars of psychosocial disability - housing, social inclusion, employment, healthcare access, service organization, and stigma - this article underscores the necessity of targeted interventions to promote dignity, autonomy, and recovery for individuals with psychosocial disabilities across Europe. Stable housing is foundational for recovery, social integration, and employment. Social inclusion and meaningful employment are essential for psychological well-being, though stigma and discrimination remain a major obstacle. Employment programs are crucial for fostering social reintegration. Healthcare access, already fragmented, can be obstacolated by stigma in healthcare settings as an additional barrier. Positive organizational culture in mental health services, emphasizing co-production and shared decision-making, is vital for recovery and healthcare access. This article highlights </w:t>
      </w:r>
    </w:p>
    <w:p>
      <w:pPr/>
      <w:r>
        <w:rPr>
          <w:b/>
        </w:rPr>
        <w:t>POSSIBLE 2025:</w:t>
      </w:r>
      <w:r>
        <w:t xml:space="preserve"> The interplay of climate change, urbanization, and species traits shapes European butterfly population trends — https://doi.org/10.1101/2025.02.13.638066</w:t>
      </w:r>
    </w:p>
    <w:p>
      <w:pPr/>
      <w:r>
        <w:rPr>
          <w:b/>
        </w:rPr>
        <w:t>Shared claim-specific concepts:</w:t>
      </w:r>
      <w:r>
        <w:t xml:space="preserve"> effect, population, increasing; EU scope visible. This is a provisional connection, not an outcome finding.</w:t>
      </w:r>
    </w:p>
    <w:p>
      <w:pPr>
        <w:pStyle w:val="SourceNote"/>
      </w:pPr>
      <w:r>
        <w:rPr>
          <w:b/>
        </w:rPr>
        <w:t>Available abstract (not full text):</w:t>
      </w:r>
      <w:r>
        <w:t xml:space="preserve"> ABSTRACT Species populations naturally fluctuate, yet long-term trend analysis can reveal patterns of success, decline, or stability under global change pressures. While responses to climate change are well-documented, its synergy with another major global driver, urbanization, remains understudied. Here, we analyzed long-term monitoring data from over 8,400 populations of 145 butterfly species across Europe, representing a high diversity of species traits, to assess population trends in response to climate change and urbanization. We examined how population responses vary between urban and rural contexts, providing insights into the influence of site-specific conditions. Climate warming was associated with population declines, which were more pronounced in urban areas. The effect of precipitation varied between environments: increases in precipitation generally benefited populations in rural areas but had detrimental effects in urban ones. Aridity consistently drove population declines across environments, with slightly stronger effects in urban areas. Species with colder climatic niches declined the most in response to warming, increased aridity, and reduced precipitation, while trophic specialists were particularly vulnerable to aridity and precipitation changes in urban environments. Although increasing urbanization did not explain overall population trends, its effects bec</w:t>
      </w:r>
    </w:p>
    <w:p>
      <w:pPr/>
      <w:r>
        <w:rPr>
          <w:b/>
        </w:rPr>
        <w:t>POSSIBLE 2025:</w:t>
      </w:r>
      <w:r>
        <w:t xml:space="preserve"> Assessing the impact of factors on Vietnam's key seafood product exports: A case study of the European Union market — https://doi.org/10.71374/jfar.v25.i1.27</w:t>
      </w:r>
    </w:p>
    <w:p>
      <w:pPr/>
      <w:r>
        <w:rPr>
          <w:b/>
        </w:rPr>
        <w:t>Shared claim-specific concepts:</w:t>
      </w:r>
      <w:r>
        <w:t xml:space="preserve"> effect, key, population; EU scope visible. This is a provisional connection, not an outcome finding.</w:t>
      </w:r>
    </w:p>
    <w:p>
      <w:pPr>
        <w:pStyle w:val="SourceNote"/>
      </w:pPr>
      <w:r>
        <w:rPr>
          <w:b/>
        </w:rPr>
        <w:t>Available abstract (not full text):</w:t>
      </w:r>
      <w:r>
        <w:t xml:space="preserve"> This paper aimed to determine the impact of factors on Vietnam’s key seafood product exports to the European Union. A gravity model was employed to analyze the panel data of 27 EU member nations in the partnership with Vietnam during the period of ten years from 2011 to 2020. After study, the findings showed that the key seafood exports of Vietnam to its European partner countries are determined by GDP, the GDP per capita between Vietnam and EU countries, the population of EU countries, the distance, and the real effective exchange rates. Of which, the GDP per capita is the factor with the strongest impact, followed by the GDP of the member countries. The remaining factors also have an impact but with low coefficients (the highest is only 0.86). Based on the obtained results, the article has made two suggestions to further promote the export of these products to the EU market: Dominating and stabilizing a domestic market; Enhancing product quality to make Vietnamese seafood become a common to high-end product in the EU market to take advantage of the free trade agreement between Vietnam and the EU that has just taken effect.</w:t>
      </w:r>
    </w:p>
    <w:p>
      <w:pPr/>
      <w:r>
        <w:rPr>
          <w:b/>
        </w:rPr>
        <w:t>POSSIBLE 2024:</w:t>
      </w:r>
      <w:r>
        <w:t xml:space="preserve"> Modelling the effect of context-specific greenhouse gas and nitrogen emission mitigation options in key European dairy farming systems — https://doi.org/10.1007/s13593-023-00940-6</w:t>
      </w:r>
    </w:p>
    <w:p>
      <w:pPr/>
      <w:r>
        <w:rPr>
          <w:b/>
        </w:rPr>
        <w:t>Shared claim-specific concepts:</w:t>
      </w:r>
      <w:r>
        <w:t xml:space="preserve"> effect, key, increasing, potential, systems, negative; EU scope visible. This is a provisional connection, not an outcome finding.</w:t>
      </w:r>
    </w:p>
    <w:p>
      <w:pPr>
        <w:pStyle w:val="SourceNote"/>
      </w:pPr>
      <w:r>
        <w:rPr>
          <w:b/>
        </w:rPr>
        <w:t>Available abstract (not full text):</w:t>
      </w:r>
      <w:r>
        <w:t xml:space="preserve"> Abstract Understanding the environmental consequences associated with dairy cattle production systems is crucial for the implementation of targeted strategies for emission reduction. However, few studies have modelled the effect of tailored emission mitigation options across key European dairy production systems. Here, we assess the single and combined effect of six emission mitigation practises on selected case studies across Europe through the Sustainable and Integrated Management System for Dairy Production model. This semi-mechanistic model accounts for the interacting flows from a whole-farm perspective simulating the environmental losses in response to different management strategies and site-specific conditions. The results show how reducing the crude protein content of the purchased fraction of the diet was an adequate strategy to reduce the greenhouse gas and nitrogen emission intensity in all systems. Furthermore, implementing an anaerobic digestion plant reduced the greenhouse gas emissions in all tested case studies while increasing the nitrogen emissions intensity, particularly when slurry was applied using broadcast. Regarding the productivity increase, contrasting effects were observed amongst the case studies modelled. Moreover, shallow slurry injection effectively mitigated the intensity of nitrogen losses from the fields due to strong reductions in ammonia vol</w:t>
      </w:r>
    </w:p>
    <w:p>
      <w:pPr/>
      <w:r>
        <w:rPr>
          <w:b/>
        </w:rPr>
        <w:t>POSSIBLE 2024:</w:t>
      </w:r>
      <w:r>
        <w:t xml:space="preserve"> Assessing Current Coastal Subsidence at Continental Scale: Insights From Europe Using the European Ground Motion Service — https://doi.org/10.1029/2024ef004523</w:t>
      </w:r>
    </w:p>
    <w:p>
      <w:pPr/>
      <w:r>
        <w:rPr>
          <w:b/>
        </w:rPr>
        <w:t>Shared claim-specific concepts:</w:t>
      </w:r>
      <w:r>
        <w:t xml:space="preserve"> systems, show; EU scope visible. This is a provisional connection, not an outcome finding.</w:t>
      </w:r>
    </w:p>
    <w:p>
      <w:pPr>
        <w:pStyle w:val="SourceNote"/>
      </w:pPr>
      <w:r>
        <w:rPr>
          <w:b/>
        </w:rPr>
        <w:t>Available abstract (not full text):</w:t>
      </w:r>
      <w:r>
        <w:t xml:space="preserve"> Abstract Beside climate‐change‐induced sea‐level rise (SLR), land subsidence can strongly amplify coastal risk in flood‐prone areas. Mapping and quantifying contemporary vertical land motion (VLM) at continental scales has long been a challenge due to the absence of gridded observational products covering these large domains. Here, we fill this gap by using the new European Ground Motion Service (EGMS) to assess the current state of coastal VLM in Europe. First, we compare the InSAR‐based EGMS Ortho (Level 3) with nearby global navigation satellite systems (GNSS) vertical velocity estimates and show that the geodetic reference frame used to calibrate EGMS strongly influences coastal vertical land velocity estimates at the millimeter per year level and this needs to be considered with caution. After adjusting the EGMS vertical velocity estimates to a more updated and accurate International Terrestrial Reference Frame (ITRF2014), we performed an assessment of VLM in European low elevation coastal flood plains (CFPs). We find that nearly half of the European CFP area is, on average, subsiding at a rate faster than 1 mm/yr. More importantly, we find that urban areas and populations located in the CFP experience a near −1 mm/yr VLM on average (excluding the uplifting Fennoscandia region). For harbors, the average VLM is even larger and increases to −1.5 mm/yr on average. This demons</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effect, population, potential, show;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2024:</w:t>
      </w:r>
      <w:r>
        <w:t xml:space="preserve"> Assessing the effect of invasive organisms on forests under information uncertainty: The case of pine wood nematode in continental Europe — https://doi.org/10.1016/j.fecs.2024.100226</w:t>
      </w:r>
    </w:p>
    <w:p>
      <w:pPr/>
      <w:r>
        <w:rPr>
          <w:b/>
        </w:rPr>
        <w:t>Shared claim-specific concepts:</w:t>
      </w:r>
      <w:r>
        <w:t xml:space="preserve"> effect, population, expected, potential, likely; EU scope visible. This is a provisional connection, not an outcome finding.</w:t>
      </w:r>
    </w:p>
    <w:p>
      <w:pPr>
        <w:pStyle w:val="SourceNote"/>
      </w:pPr>
      <w:r>
        <w:rPr>
          <w:b/>
        </w:rPr>
        <w:t>Available abstract (not full text):</w:t>
      </w:r>
      <w:r>
        <w:t xml:space="preserve"> Forests worldwide are experiencing increasingly intense biotic disturbances; however, assessing impacts of these disturbances is challenging due to the diverse range of organisms involved and the complex interactions among them. This particularly applies to invasive species, which can greatly alter ecological processes in their invaded territories. Here we focus on the pine wood nematode (PWN, Bursaphelenchus xylophilus), an invasive pathogen that has caused extensive mortality of pines in East Asia and more recently has invaded southern Europe. It is expected to expand its range into continental Europe with heavy impacts possible. Given the unknown dynamics of PWN in continental Europe, we reviewed laboratory and field experiments conducted in Asia and southern Europe to parameterize the main components of PWN biology and host-pathogen interactions in the Biotic Disturbance Engine (BITE), a model designed to implement a variety of forest biotic agents, from fungi to large herbivores. To simulate dynamically changing host availability and conditions, BITE was coupled with the forest landscape model iLand. The potential impacts of introducing PWN were assessed in a Central European forest landscape (40,928 ​ha), likely within PWN’s reach in future decades. A parameter sensitivity analysis indicated a substantial influence of factors related to dispersal, colonization, and vegeta</w:t>
      </w:r>
    </w:p>
    <w:p>
      <w:pPr/>
      <w:r>
        <w:rPr>
          <w:b/>
        </w:rPr>
        <w:t>POSSIBLE 2023:</w:t>
      </w:r>
      <w:r>
        <w:t xml:space="preserve"> Design and application of a key performance indicator (KPI) framework for autonomous shipping in Europe — https://doi.org/10.1016/j.martra.2023.100095</w:t>
      </w:r>
    </w:p>
    <w:p>
      <w:pPr/>
      <w:r>
        <w:rPr>
          <w:b/>
        </w:rPr>
        <w:t>Shared claim-specific concepts:</w:t>
      </w:r>
      <w:r>
        <w:t xml:space="preserve"> effect, key, systems; EU scope visible. This is a provisional connection, not an outcome finding.</w:t>
      </w:r>
    </w:p>
    <w:p>
      <w:pPr>
        <w:pStyle w:val="SourceNote"/>
      </w:pPr>
      <w:r>
        <w:rPr>
          <w:b/>
        </w:rPr>
        <w:t>Available abstract (not full text):</w:t>
      </w:r>
      <w:r>
        <w:t xml:space="preserve"> The European Union (EU) transport policy recognizes the importance of the waterborne transport systems as key elements for sustainable growth in Europe. By 2030, 30% of total road freight over 300 km should shift to rail or waterborne transport, and more than 50% by 2050. Thus far, this ambition has failed but there have been several project initiatives within the EU to address these issues. In one of these projects, we consider a new waterborne transport system for Europe that is green, robust, flexible, more automated and autonomous, and able to connect both rural and urban terminals. The purpose of this paper is to describe work and preliminary results from this project. To that effect, and in order to assess any solutions contemplated, a comprehensive set of Key Performance Indicators (KPIs) has been defined, and three specific use cases within Europe are examined and evaluated according to these KPIs. KPIs represent the criteria under which the set of solutions developed are evaluated, and also compared to non-autonomous solutions. They are grouped under economic, environmental and social KPIs. KPIs have been selected after a consultation process involving project partners and external Advisory Group members. Links to EU transport and other regulatory action are also discussed.</w:t>
      </w:r>
    </w:p>
    <w:p>
      <w:pPr/>
      <w:r>
        <w:rPr>
          <w:b/>
        </w:rPr>
        <w:t>POSSIBLE 2023:</w:t>
      </w:r>
      <w:r>
        <w:t xml:space="preserve"> Farmland practices are driving bird population decline across Europe — https://doi.org/10.1073/pnas.2216573120</w:t>
      </w:r>
    </w:p>
    <w:p>
      <w:pPr/>
      <w:r>
        <w:rPr>
          <w:b/>
        </w:rPr>
        <w:t>Shared claim-specific concepts:</w:t>
      </w:r>
      <w:r>
        <w:t xml:space="preserve"> effect, population, negative; EU scope visible. This is a provisional connection, not an outcome finding.</w:t>
      </w:r>
    </w:p>
    <w:p>
      <w:pPr>
        <w:pStyle w:val="SourceNote"/>
      </w:pPr>
      <w:r>
        <w:rPr>
          <w:b/>
        </w:rPr>
        <w:t>Available abstract (not full text):</w:t>
      </w:r>
      <w:r>
        <w:t xml:space="preserve"> 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w:t>
      </w:r>
    </w:p>
    <w:p>
      <w:pPr/>
      <w:r>
        <w:rPr>
          <w:b/>
        </w:rPr>
        <w:t>POSSIBLE 2023:</w:t>
      </w:r>
      <w:r>
        <w:t xml:space="preserve"> Dealing with disjunct populations of vascular plants: implications for assessing the effect of climate change — https://doi.org/10.1007/s00442-023-05323-y</w:t>
      </w:r>
    </w:p>
    <w:p>
      <w:pPr/>
      <w:r>
        <w:rPr>
          <w:b/>
        </w:rPr>
        <w:t>Shared claim-specific concepts:</w:t>
      </w:r>
      <w:r>
        <w:t xml:space="preserve"> effect, distribution, potential, lead; EU scope not established. This is a provisional connection, not an outcome finding.</w:t>
      </w:r>
    </w:p>
    <w:p>
      <w:pPr>
        <w:pStyle w:val="SourceNote"/>
      </w:pPr>
      <w:r>
        <w:rPr>
          <w:b/>
        </w:rPr>
        <w:t>Available abstract (not full text):</w:t>
      </w:r>
      <w:r>
        <w:t xml:space="preserve"> Species distribution models are the most widely used tool to predict species distributions for species conservation and assessment of climate change impact. However, they usually do not consider intraspecific ecological variation exhibited by many species. Overlooking the potential differentiation among groups of populations may lead to misplacing any conservation actions. This issue may be particularly relevant in species in which few populations with potential local adaptation occur, as in species with disjunct populations. Here, we used ecological niche modeling to analyze how the projections of current and future climatically suitable areas of 12 plant species can be affected using the whole taxa occurrences compared to occurrences from geographically disjunct populations. Niche analyses suggest that usually the disjunct group of populations selects the climatic conditions as similar as possible to the other according to climate availability. Integrating intraspecific variability only slightly increases models' ability to predict species occurrences. However, it results in different predictions of the magnitude of range change. In some species, integrating or not integrating intraspecific variability may lead to opposite trend in projected range change. Our results suggest that integrating intraspecific variability does not strongly improve overall models' accuracy, but it </w:t>
      </w:r>
    </w:p>
    <w:p>
      <w:pPr/>
      <w:r>
        <w:rPr>
          <w:b/>
        </w:rPr>
        <w:t>POSSIBLE 2023:</w:t>
      </w:r>
      <w:r>
        <w:t xml:space="preserve"> Testing the Effect of Relative Pollen Productivity on the REVEALS Model: A Validated Reconstruction of Europe-Wide Holocene Vegetation — https://doi.org/10.3390/land12050986</w:t>
      </w:r>
    </w:p>
    <w:p>
      <w:pPr/>
      <w:r>
        <w:rPr>
          <w:b/>
        </w:rPr>
        <w:t>Shared claim-specific concepts:</w:t>
      </w:r>
      <w:r>
        <w:t xml:space="preserve"> effect, key; EU scope visible. This is a provisional connection, not an outcome finding.</w:t>
      </w:r>
    </w:p>
    <w:p>
      <w:pPr>
        <w:pStyle w:val="SourceNote"/>
      </w:pPr>
      <w:r>
        <w:rPr>
          <w:b/>
        </w:rPr>
        <w:t>Available abstract (not full text):</w:t>
      </w:r>
      <w:r>
        <w:t xml:space="preserve"> Reliable quantitative vegetation reconstructions for Europe during the Holocene are crucial to improving our understanding of landscape dynamics, making it possible to assess the past effects of environmental variables and land-use change on ecosystems and biodiversity, and mitigating their effects in the future. We present here the most spatially extensive and temporally continuous pollen-based reconstructions of plant cover in Europe (at a spatial resolution of 1° × 1°) over the Holocene (last 11.7 ka BP) using the ‘Regional Estimates of VEgetation Abundance from Large Sites’ (REVEALS) model. This study has three main aims. First, to present the most accurate and reliable generation of REVEALS reconstructions across Europe so far. This has been achieved by including a larger number of pollen records compared to former analyses, in particular from the Mediterranean area. Second, to discuss methodological issues in the quantification of past land cover by using alternative datasets of relative pollen productivities (RPPs), one of the key input parameters of REVEALS, to test model sensitivity. Finally, to validate our reconstructions with the global forest change dataset. The results suggest that the RPPs.st1 (31 taxa) dataset is best suited to producing regional vegetation cover estimates for Europe. These reconstructions offer a long-term perspective providing unique possibili</w:t>
      </w:r>
    </w:p>
    <w:p>
      <w:pPr>
        <w:pStyle w:val="Heading2"/>
      </w:pPr>
      <w:r>
        <w:t>702. ECONOMIC GROWTH PROJECTION FOR EUROPEAN UNION BY 2030</w:t>
      </w:r>
    </w:p>
    <w:p>
      <w:pPr>
        <w:pStyle w:val="SourceNote"/>
      </w:pPr>
      <w:r>
        <w:rPr>
          <w:b/>
        </w:rPr>
        <w:t>Original source (2019):</w:t>
      </w:r>
      <w:r>
        <w:t xml:space="preserve"> https://doi.org/10.5755/j01.eis.0.13.23709</w:t>
      </w:r>
    </w:p>
    <w:p>
      <w:pPr/>
      <w:r>
        <w:t>Original wording (abstract; indexed_source_text_not_full_document_verified): The paper contributes to a discussion on developments in output for the EU-27 group over the next 11 years, up to year 2030. A brief study of population-decreasing events in the European historical perspective may represent an inspiring part.</w:t>
      </w:r>
    </w:p>
    <w:p>
      <w:pPr/>
      <w:r>
        <w:rPr>
          <w:b/>
        </w:rPr>
        <w:t>POSSIBLE 2025:</w:t>
      </w:r>
      <w:r>
        <w:t xml:space="preserve"> The Development of Energy Policy in the European Union — https://doi.org/10.4324/9781003298403</w:t>
      </w:r>
    </w:p>
    <w:p>
      <w:pPr/>
      <w:r>
        <w:rPr>
          <w:b/>
        </w:rPr>
        <w:t>Shared claim-specific concepts:</w:t>
      </w:r>
      <w:r>
        <w:t xml:space="preserve"> contributes, developments, over, perspective; EU scope visible. This is a provisional connection, not an outcome finding.</w:t>
      </w:r>
    </w:p>
    <w:p>
      <w:pPr>
        <w:pStyle w:val="SourceNote"/>
      </w:pPr>
      <w:r>
        <w:rPr>
          <w:b/>
        </w:rPr>
        <w:t>Available abstract (not full text):</w:t>
      </w:r>
      <w:r>
        <w:t xml:space="preserve"> This book uniquely details the longer-term integration of energy policy in the EU, from its inception to the contemporary ‘Energy Union’, whilst also bringing it fully up to date regarding its place in current climate discussions, the European Green Deal, REPowerEU, the European Climate Law and the struggle to achieve net zero. Analysing the policy area from a perspective that explains current developments through economic processes, path dependence, and political decisions over time, the book identifies the factors and mechanisms that enable and constrain actors and energy policy development. It contributes to the broader debate about institutional design and (European) integration in the energy sector, examining key legislation, the motives of actors complying with institutional rules, and the idiosyncratic factors that contribute to continuity and account for change. This book will be of key interest to scholars, students and practitioners/policymakers interested in European energy policy and energy/environmental governance, and more broadly to European politics and theories of European integration, international political economy, public policy, international organisations, and global governance.</w:t>
      </w:r>
    </w:p>
    <w:p>
      <w:pPr/>
      <w:r>
        <w:rPr>
          <w:b/>
        </w:rPr>
        <w:t>POSSIBLE 2024:</w:t>
      </w:r>
      <w:r>
        <w:t xml:space="preserve"> Institutional Development of Family-owned Businesses in Japan: A European Perspective — https://doi.org/10.25105/ijsmebs.v1i4.20500</w:t>
      </w:r>
    </w:p>
    <w:p>
      <w:pPr/>
      <w:r>
        <w:rPr>
          <w:b/>
        </w:rPr>
        <w:t>Shared claim-specific concepts:</w:t>
      </w:r>
      <w:r>
        <w:t xml:space="preserve"> contributes, discussion, historical, perspective; EU scope visible. This is a provisional connection, not an outcome finding.</w:t>
      </w:r>
    </w:p>
    <w:p>
      <w:pPr>
        <w:pStyle w:val="SourceNote"/>
      </w:pPr>
      <w:r>
        <w:rPr>
          <w:b/>
        </w:rPr>
        <w:t>Available abstract (not full text):</w:t>
      </w:r>
      <w:r>
        <w:t xml:space="preserve"> From the European perspective the institutional development of family-owned businesses in Japan has come full circle. Beginning in the XVII century with a strong separation of aristocrats, samurais, traders, peasants families, and through to the creation of the zaibatsu and keiretsu to the rise of Japan Inc.- there has been one successful and equal family. Now Japanese families are again separated and unequal in their everyday life. In this context it should be expected to witness a rise of, more innovative and entrepreneurial, family-owned businesses. Both Japan and Europe are family-oriented societies and economies. Demographic changes create challenges to family-owned businesses in Japan as well as in Europe. What we can learn from the institutional development of family-owned businesses in Japan? Answers to this question are especially valid in Poland, which is as nationally homogeneous as is Japan. Both Poland and Japan are also bank-oriented financial systems. Are these financial systems friendly to a familyowned business? In Europe creation the of capital markets are seen as an institutional innovation that is friendly to a family-owned business. In Japan both historical legacy and the social structure limit the development of capital markets. The institutional and comparative perspective on family-owned businesses in Japan contributes towards the discussion of the pheno</w:t>
      </w:r>
    </w:p>
    <w:p>
      <w:pPr/>
      <w:r>
        <w:rPr>
          <w:b/>
        </w:rPr>
        <w:t>POSSIBLE 2024:</w:t>
      </w:r>
      <w:r>
        <w:t xml:space="preserve"> Exploring how Europeans understand solidarity in the EU — https://doi.org/10.4324/9781032690902-3</w:t>
      </w:r>
    </w:p>
    <w:p>
      <w:pPr/>
      <w:r>
        <w:rPr>
          <w:b/>
        </w:rPr>
        <w:t>Shared claim-specific concepts:</w:t>
      </w:r>
      <w:r>
        <w:t xml:space="preserve"> discussion, group, part; EU scope visible. This is a provisional connection, not an outcome finding.</w:t>
      </w:r>
    </w:p>
    <w:p>
      <w:pPr>
        <w:pStyle w:val="SourceNote"/>
      </w:pPr>
      <w:r>
        <w:rPr>
          <w:b/>
        </w:rPr>
        <w:t>Available abstract (not full text):</w:t>
      </w:r>
      <w:r>
        <w:t xml:space="preserve"> This chapter explains the research design and the decisions about the methodology made for the empirical research. It also reflects on the challenges encountered during the research process. It justifies the selection of the nine countries in which the focus group discussions were conducted; explains the rationale of having three sociodemographic groups for each country case involved in the focus group discussions and outlines the criteria for the selection of the participants. Furthermore, it documents how the focus group discussions were prepared and implemented, providing details about the development of the discussion guide, recruitment of the participants, modes of the discussions and other relevant aspects of the fieldwork. The chapter also discusses the process of recording, transcription and translation of the focus group discussions and provides characteristics of the text corpus produced. A substantial part of the chapter is dedicated to an explanation of the analytical approach and the analysis of the translated transcripts of the focus group discussions. It presents the development of the coding frame, coding procedure and assessment of intercoder agreement. It finally outlines the key parameters of the comparative analysis and the forms of its findings.</w:t>
      </w:r>
    </w:p>
    <w:p>
      <w:pPr/>
      <w:r>
        <w:rPr>
          <w:b/>
        </w:rPr>
        <w:t>POSSIBLE 2021:</w:t>
      </w:r>
      <w:r>
        <w:t xml:space="preserve"> Development and integrated assessment of the circular economy in the European Union: the outranking approach — https://doi.org/10.1108/jeim-11-2020-0440</w:t>
      </w:r>
    </w:p>
    <w:p>
      <w:pPr/>
      <w:r>
        <w:rPr>
          <w:b/>
        </w:rPr>
        <w:t>Shared claim-specific concepts:</w:t>
      </w:r>
      <w:r>
        <w:t xml:space="preserve"> contributes, discussion, over; EU scope visible. This is a provisional connection, not an outcome finding.</w:t>
      </w:r>
    </w:p>
    <w:p>
      <w:pPr>
        <w:pStyle w:val="SourceNote"/>
      </w:pPr>
      <w:r>
        <w:rPr>
          <w:b/>
        </w:rPr>
        <w:t>Available abstract (not full text):</w:t>
      </w:r>
      <w:r>
        <w:t xml:space="preserve"> Purpose The Green Deal strategy of the European Union (EU) as well as the increasing concerns over resource scarcity worldwide has put forward such concepts as the circular economy. This paper seeks to compare the progress of the development of the circular economy across the EU Member States. Such analysis is helpful in guiding the circular economy support policies. Design/methodology/approach This paper develops a quantitative framework for analysis of the implementation of the circular economy objectives in the EU Member States. The framework proposed includes three multi-criteria decision making methods representing reference point and outranking approaches. The use of multiple methods allows exploiting the differences in the underlying aggregation principles. Findings Germany, Sweden and the Netherlands appear as the most advanced in the sense of circular economy development. The results indicate that the water-locked small countries and the new EU Member States are among the lowest performing ones. The flows of the waste need to be monitored more tightly in order to increase the circularity. The development of recycling facilities can also increase circularity irrespectively of the economic development level (e.g. the case of Bulgaria). Originality/value The paper contributes to the discussion regarding the circular economy by proposing an indicator system and the multi-c</w:t>
      </w:r>
    </w:p>
    <w:p>
      <w:pPr/>
      <w:r>
        <w:rPr>
          <w:b/>
        </w:rPr>
        <w:t>POSSIBLE 2021:</w:t>
      </w:r>
      <w:r>
        <w:t xml:space="preserve"> Islam, Europe and Democracy. Seeking answers in an ongoing discussion — https://openalex.org/W3189651574</w:t>
      </w:r>
    </w:p>
    <w:p>
      <w:pPr/>
      <w:r>
        <w:rPr>
          <w:b/>
        </w:rPr>
        <w:t>Shared claim-specific concepts:</w:t>
      </w:r>
      <w:r>
        <w:t xml:space="preserve"> discussion, brief, historical; EU scope visible. This is a provisional connection, not an outcome finding.</w:t>
      </w:r>
    </w:p>
    <w:p>
      <w:pPr>
        <w:pStyle w:val="SourceNote"/>
      </w:pPr>
      <w:r>
        <w:rPr>
          <w:b/>
        </w:rPr>
        <w:t>Available abstract (not full text):</w:t>
      </w:r>
      <w:r>
        <w:t xml:space="preserve"> Angeliki Ziaka * Islam, Europe and Democracy.Islam, Europe and Democracy.Seeking answers in an ongoing discussion.Seeking answers in an ongoing discussion.When approaching the discourse on Islam, Europe and Democracy, and laying aside apparent understandings and admissions, we are faced with certain observations and questions.This brief contribution aims at setting them.A first approach of "Islam, Europe, and Democracy" bears with it a certain consensus.That is, that Islam, as a religious system, with more or less apparent theocratic elements -depending on the countries it dominates and where it is applied, as well as due to its "essentialist" religious and political trajectory in time and sociopolitical process -does not carry with it European values and the imperatives of the West, such as Democracy and, consequently, the spirit of Enlightenment.Such values are considered shaped by the European spirit -due to both Christianity and secularism -and produced by the struggles of the French Revolution against religious authority and the tyranny of monarchy 1 .A variety of historical, spiritual, philosophical and political journeys have yielded a unique heritage for the individual, society and humanity as well, thereby safeguarding human rights and protecting the individual from the terms and imperatives of a religiously and politically pre-modern communal * Associate professor on </w:t>
      </w:r>
    </w:p>
    <w:p>
      <w:pPr/>
      <w:r>
        <w:rPr>
          <w:b/>
        </w:rPr>
        <w:t>POSSIBLE 2021:</w:t>
      </w:r>
      <w:r>
        <w:t xml:space="preserve"> Hallmark features of post-socialist urban development in Central Europe — https://doi.org/10.4324/9781003039792-13</w:t>
      </w:r>
    </w:p>
    <w:p>
      <w:pPr/>
      <w:r>
        <w:rPr>
          <w:b/>
        </w:rPr>
        <w:t>Shared claim-specific concepts:</w:t>
      </w:r>
      <w:r>
        <w:t xml:space="preserve"> discussion, brief, represent; EU scope visible. This is a provisional connection, not an outcome finding.</w:t>
      </w:r>
    </w:p>
    <w:p>
      <w:pPr>
        <w:pStyle w:val="SourceNote"/>
      </w:pPr>
      <w:r>
        <w:rPr>
          <w:b/>
        </w:rPr>
        <w:t>Available abstract (not full text):</w:t>
      </w:r>
      <w:r>
        <w:t xml:space="preserve"> Conclusions represent the thirteenth and final chapter of the edited volume focused on the post-socialist transformation of selected cities of various sizes in Central Europe. After a brief recapitulation of the background of transformational predispositions in the model region, the chapter summarises the main findings and results of theoretical assumptions and specific research from all previous parts of the book. The differences and similarities of transformation processes are reflected, the effects of transformation on the socio-economic, demographic and physical environment of cities, the approaches of city representatives, population behaviour, and possible directions of future development are discussed. We believe that the deeper analysis and discussion presented will contribute to the discovery and understanding of three decades of fundamental spatial, economic and social change in the region.</w:t>
      </w:r>
    </w:p>
    <w:p>
      <w:pPr/>
      <w:r>
        <w:rPr>
          <w:b/>
        </w:rPr>
        <w:t>POSSIBLE 2021:</w:t>
      </w:r>
      <w:r>
        <w:t xml:space="preserve"> EUROPEAN AUTONOMOUS EMPLOYEE DEFINITION. A REASON FOR A DISCUSSION OVER DEVELOPMENT OF EMPLOYMENT RIGHTS — https://doi.org/10.5604/01.3001.0015.6077</w:t>
      </w:r>
    </w:p>
    <w:p>
      <w:pPr/>
      <w:r>
        <w:rPr>
          <w:b/>
        </w:rPr>
        <w:t>Shared claim-specific concepts:</w:t>
      </w:r>
      <w:r>
        <w:t xml:space="preserve"> discussion, group, over; EU scope visible. This is a provisional connection, not an outcome finding.</w:t>
      </w:r>
    </w:p>
    <w:p>
      <w:pPr>
        <w:pStyle w:val="SourceNote"/>
      </w:pPr>
      <w:r>
        <w:rPr>
          <w:b/>
        </w:rPr>
        <w:t>Available abstract (not full text):</w:t>
      </w:r>
      <w:r>
        <w:t xml:space="preserve"> For many years, there has been a discussion in the study of Polish labour law on the legitimacy of replacing labour law with employment law as a broader category, including also people who perform paid work on other grounds. The implementation of Directive 2019/1152 on transparent and predictable working conditions in the European Union should also cover a wider group of people performing paid work. The EU legislator, when defining the subjective scope, refers to the autonomous EU definition of an employee created by the CJEU, which is broader than many national definitions. Despite the objections raised against the concept of employment law, the implementation of the directive may be a step towards building a new field of law, just as the extension of the subjective scope of the Act on Trade Unions contributed to the creation of collective employment law.</w:t>
      </w:r>
    </w:p>
    <w:p>
      <w:pPr/>
      <w:r>
        <w:rPr>
          <w:b/>
        </w:rPr>
        <w:t>POSSIBLE 2020:</w:t>
      </w:r>
      <w:r>
        <w:t xml:space="preserve"> Perspectives for German-Polish Relations in the EU-27 — https://doi.org/10.51149/roea.2.2020.3</w:t>
      </w:r>
    </w:p>
    <w:p>
      <w:pPr/>
      <w:r>
        <w:rPr>
          <w:b/>
        </w:rPr>
        <w:t>Shared claim-specific concepts:</w:t>
      </w:r>
      <w:r>
        <w:t xml:space="preserve"> eu-27, group, historical; EU scope visible. This is a provisional connection, not an outcome finding.</w:t>
      </w:r>
    </w:p>
    <w:p>
      <w:pPr>
        <w:pStyle w:val="SourceNote"/>
      </w:pPr>
      <w:r>
        <w:rPr>
          <w:b/>
        </w:rPr>
        <w:t>Available abstract (not full text):</w:t>
      </w:r>
      <w:r>
        <w:t xml:space="preserve"> In recent years the seemingly firm historical ties between Warsaw and Berlin have become increasingly strained. This results from a growing political asymmetry between the two countries. Germany moved into a semi-hegemonial position under the conditions of the triple crisis of banking, economy and sovereign debt in the eurozone. Consequently, German chancellor Angela Merkel was in a strong enough position to implement ordoliberal reforms of the eurozone’s governance architecture, which were promoted as an approach without alternatives. Merkel maintained her uncompromising stance during the migration crisis in the summer of 2015, when she demanded implementation of compulsory migrant distribution quotas across the EU. Poland and the Visegrád countries had initially strongly supported German leadership in resolving the eurozone crisis. The alienation from Germany’s European agenda however became significant under the conditions of the migration crisis. Here the firm opposition of Poland and the rest of the Visegrád Group towards Germany’s preferences shows a strategic mismatch between the EU’s liberal core, which is spearheaded by Germany, and the concept of the “illiberal” state, which Poland has embraced under the PiS government. The willingness to resolve these differences will be crucial in determining the future shape of Polish-German relations.</w:t>
      </w:r>
    </w:p>
    <w:p>
      <w:pPr>
        <w:pStyle w:val="Heading2"/>
      </w:pPr>
      <w:r>
        <w:t>703. Energy Scenario Analysis for the Nordic Transport Sector: A Critical Review</w:t>
      </w:r>
    </w:p>
    <w:p>
      <w:pPr>
        <w:pStyle w:val="SourceNote"/>
      </w:pPr>
      <w:r>
        <w:rPr>
          <w:b/>
        </w:rPr>
        <w:t>Original source (2019):</w:t>
      </w:r>
      <w:r>
        <w:t xml:space="preserve"> https://doi.org/10.3390/en12122232</w:t>
      </w:r>
    </w:p>
    <w:p>
      <w:pPr/>
      <w:r>
        <w:t>Original wording (abstract; indexed_source_text_not_full_document_verified): Relying on a rich and diversified portfolio of renewable sources and expertise, the Nordic countries could benefit from a common mitigation strategy by encompassing a larger variety of solutions and potential synergies.</w:t>
      </w:r>
    </w:p>
    <w:p>
      <w:pPr/>
      <w:r>
        <w:rPr>
          <w:b/>
        </w:rPr>
        <w:t>POSSIBLE 2026:</w:t>
      </w:r>
      <w:r>
        <w:t xml:space="preserve"> Downstream Diversification of Critical Mineral-Rich Countries — https://doi.org/10.1007/978-3-032-06139-3_1</w:t>
      </w:r>
    </w:p>
    <w:p>
      <w:pPr/>
      <w:r>
        <w:rPr>
          <w:b/>
        </w:rPr>
        <w:t>Shared claim-specific concepts:</w:t>
      </w:r>
      <w:r>
        <w:t xml:space="preserve"> countries, strategy, potential; EU scope not established. This is a provisional connection, not an outcome finding.</w:t>
      </w:r>
    </w:p>
    <w:p>
      <w:pPr>
        <w:pStyle w:val="SourceNote"/>
      </w:pPr>
      <w:r>
        <w:rPr>
          <w:b/>
        </w:rPr>
        <w:t>Available abstract (not full text):</w:t>
      </w:r>
      <w:r>
        <w:t xml:space="preserve"> Abstract The transition to a low-carbon economy has intensified global demand for critical minerals, presenting both opportunities and challenges for mineral-rich countries. Expanding beyond raw mineral extraction into mineral processing and component manufacturing, or downstream diversification, has emerged as a potential pathway for economic development, supply chain security, and industrialization. However, this strategy is not universally beneficial and must be carefully evaluated against each country’s comparative advantages, infrastructure, governance capacity, and market conditions. This chapter explores the role of downstream diversification in the energy transition. It highlights the importance of strategic policy design, the risks of unplanned industrialization, and the need for international cooperation. While downstream diversification can enhance value retention and reduce reliance on volatile commodity markets, it is not a guaranteed solution and should be pursued selectively after an evaluation and cost-benefit analysis of other economic development strategies.</w:t>
      </w:r>
    </w:p>
    <w:p>
      <w:pPr/>
      <w:r>
        <w:rPr>
          <w:b/>
        </w:rPr>
        <w:t>POSSIBLE 2026:</w:t>
      </w:r>
      <w:r>
        <w:t xml:space="preserve"> Transition from Fossil Fuels to Renewables: A Comparative Analysis Between Energy-Rich and Energy-Poor Economies — https://doi.org/10.3390/commodities5020009</w:t>
      </w:r>
    </w:p>
    <w:p>
      <w:pPr/>
      <w:r>
        <w:rPr>
          <w:b/>
        </w:rPr>
        <w:t>Shared claim-specific concepts:</w:t>
      </w:r>
      <w:r>
        <w:t xml:space="preserve"> diversified, portfolio, renewable, sources, countries; EU scope not established. This is a provisional connection, not an outcome finding.</w:t>
      </w:r>
    </w:p>
    <w:p>
      <w:pPr>
        <w:pStyle w:val="SourceNote"/>
      </w:pPr>
      <w:r>
        <w:rPr>
          <w:b/>
        </w:rPr>
        <w:t>Available abstract (not full text):</w:t>
      </w:r>
      <w:r>
        <w:t xml:space="preserve"> The transition from non-renewable to renewable energy sources has emerged as a pressing global issue, driven by concerns over climate change, resource depletion, and the need for sustainable development. This study compares Canada, an energy-rich nation, and Bangladesh, an energy-scarce country, to understand the structural, institutional, and market factors driving their respective renewable energy transitions. Using univariate time-series models (ARIMA, ETS, and Prophet) for energy demand forecasting and extensive literature-based policy evaluation, the paper examines trends in energy production, consumption, and trade from 1990 to 2024. Our analysis indicates that Canada’s vast reserves of both renewable and non-renewable energy sources, its diversified energy portfolio, and carbon-pricing framework support a stable decarbonization pathway, with renewables projected to account for more than 20% of total supply by 2030. However, regional disparities and political resistance from the established energy sector continue to delay transition outcomes. On the other hand, Bangladesh has limited renewable and non-renewable energy sources, with its primary energy resource being natural gas reserves. Consequently, its heavy reliance on imports (over 75% of primary energy) and institutional bottlenecks expose its energy system to commodity-price volatility, undermining energy security a</w:t>
      </w:r>
    </w:p>
    <w:p>
      <w:pPr/>
      <w:r>
        <w:rPr>
          <w:b/>
        </w:rPr>
        <w:t>POSSIBLE 2026:</w:t>
      </w:r>
      <w:r>
        <w:t xml:space="preserve"> The Case for Domestic Value Addition and Economic Diversification in Critical Mineral-Rich Developing Countries — https://doi.org/10.1007/978-3-032-06139-3_5</w:t>
      </w:r>
    </w:p>
    <w:p>
      <w:pPr/>
      <w:r>
        <w:rPr>
          <w:b/>
        </w:rPr>
        <w:t>Shared claim-specific concepts:</w:t>
      </w:r>
      <w:r>
        <w:t xml:space="preserve"> countries, benefit, strategy; EU scope not established. This is a provisional connection, not an outcome finding.</w:t>
      </w:r>
    </w:p>
    <w:p>
      <w:pPr>
        <w:pStyle w:val="SourceNote"/>
      </w:pPr>
      <w:r>
        <w:rPr>
          <w:b/>
        </w:rPr>
        <w:t>Available abstract (not full text):</w:t>
      </w:r>
      <w:r>
        <w:t xml:space="preserve"> Abstract This chapter examines the challenges faced by many developing countries with significant reserves of minerals critical for the energy transition, such as cobalt, copper, graphite, lithium, and nickel. The increasing demand for these minerals risks perpetuating the dependence of developing countries on exporting raw materials. The chapter discusses the structural challenges of commodity dependence, which keeps countries exposed to market volatility. It provides an in-depth analysis of trade flows for selected critical energy transition minerals, highlighting the significant market concentration in both export and import markets, with a few countries dominating the different stages of the value chain, from extraction and processing to manufacturing. This concentration increases risks, including supply chain disruptions and price volatility. The chapter emphasizes the urgency of moving away from raw material exports through local value addition and promoting diversification in upstream, midstream, and downstream sectors. In this regard, the chapter advocates for a comprehensive approach, including supportive policies, capacity building, environmental sustainability, regional cooperation, public-private partnerships, and multi-stakeholder engagement. This strategy can help developing countries create more resilient economies and contribute to and benefit from the energy tr</w:t>
      </w:r>
    </w:p>
    <w:p>
      <w:pPr/>
      <w:r>
        <w:rPr>
          <w:b/>
        </w:rPr>
        <w:t>POSSIBLE 2025:</w:t>
      </w:r>
      <w:r>
        <w:t xml:space="preserve"> Rethinking Economic Policies: Diversification and Governance Strategies to Address the Resource Curse in Mineral‐Rich Economies — https://doi.org/10.1111/nrm.70011</w:t>
      </w:r>
    </w:p>
    <w:p>
      <w:pPr/>
      <w:r>
        <w:rPr>
          <w:b/>
        </w:rPr>
        <w:t>Shared claim-specific concepts:</w:t>
      </w:r>
      <w:r>
        <w:t xml:space="preserve"> rich, countries, variety; EU scope not established. This is a provisional connection, not an outcome finding.</w:t>
      </w:r>
    </w:p>
    <w:p>
      <w:pPr>
        <w:pStyle w:val="SourceNote"/>
      </w:pPr>
      <w:r>
        <w:rPr>
          <w:b/>
        </w:rPr>
        <w:t>Available abstract (not full text):</w:t>
      </w:r>
      <w:r>
        <w:t xml:space="preserve"> ABSTRACT The “resource curse,” in which countries rich in specific minerals stagnate economically, is prevalent. This paradox occurs when weak governance, corruption, and overreliance on resource rents limit innovation and variety. To address this issue, this study examines the top 20 natural resource‐rich economies and how economic diversification, governance, and development policies have affected resource management from 2000 to 2022. Regulatory quality and corruption control were used to study how governance affects mining mineral resource rents. For “mining governance,” the research examined how resource‐rich states develop mineral resource rents and how good governance, including effective laws and corruption control, affects this process. Panel fixed‐effects results show that regulatory inefficiency and corruption due to inadequate mining governance worsen the resource curse. However, economic growth and human capital development improve mineral resource governance by increasing workforce knowledge and productivity. High tariffs hinder resource utilization and economic diversification, such as ICT exports and value‐added manufacturing. The study concluded that improving institutional capabilities and ensuring sustainable natural resource management boost economic resilience and growth.</w:t>
      </w:r>
    </w:p>
    <w:p>
      <w:pPr/>
      <w:r>
        <w:rPr>
          <w:b/>
        </w:rPr>
        <w:t>POSSIBLE 2025:</w:t>
      </w:r>
      <w:r>
        <w:t xml:space="preserve"> Autoencoder-Enhanced Ensemble Neural Network for Forced Oscillation Source Location in Renewable-Rich Power Systems — https://doi.org/10.1109/tia.2025.3625890</w:t>
      </w:r>
    </w:p>
    <w:p>
      <w:pPr/>
      <w:r>
        <w:rPr>
          <w:b/>
        </w:rPr>
        <w:t>Shared claim-specific concepts:</w:t>
      </w:r>
      <w:r>
        <w:t xml:space="preserve"> relying, sources, larger; EU scope not established. This is a provisional connection, not an outcome finding.</w:t>
      </w:r>
    </w:p>
    <w:p>
      <w:pPr>
        <w:pStyle w:val="SourceNote"/>
      </w:pPr>
      <w:r>
        <w:rPr>
          <w:b/>
        </w:rPr>
        <w:t>Available abstract (not full text):</w:t>
      </w:r>
      <w:r>
        <w:t xml:space="preserve"> Conventional energy-based methods struggle to determine the origin of Forced Oscillations (FOs) in renewable-rich systems because of their dependency on Dissipating Energy Flow (DEF) calculations. This paper proposes a novel Autoencoder Enhanced Ensemble Neural Network (AEENN) deep learning model for accurately identifying FO sources in power systems having high wind energy penetration without relying on traditional DEF calculations. The methodology incorporates a two-stage framework that enhances the scalability of the proposed method for larger and more practical power systems. It leverages Wavelet Synchrosqueezing Transform (WSST) and Multivariate Empirical Mode Decomposition (MEMD) to extract relevant harmonic components while filtering out noise. A reduced-order WSST matrix is constructed by retaining only FO-related frequency components based on an energy-based threshold. Moreover, an autoencoder effectively learns nonlinear features from PMU data in wind turbine generator (WTG)-dominated grids, enabling robust feature extraction for multivariate time-series classification. To enhance reliability, a$k$-fold ensemble classifier is employed, where multiple models trained on different data folds are combined to improve accuracy and generalisation. The efficacy of the proposed technique is examined on the IEEE 11-bus system and India's Eastern Regional Grid (ERG) model, demon</w:t>
      </w:r>
    </w:p>
    <w:p>
      <w:pPr/>
      <w:r>
        <w:rPr>
          <w:b/>
        </w:rPr>
        <w:t>POSSIBLE 2025:</w:t>
      </w:r>
      <w:r>
        <w:t xml:space="preserve"> Sustainable synthesis of nanomaterials using different renewable sources — https://doi.org/10.1186/s42269-025-01316-4</w:t>
      </w:r>
    </w:p>
    <w:p>
      <w:pPr/>
      <w:r>
        <w:rPr>
          <w:b/>
        </w:rPr>
        <w:t>Shared claim-specific concepts:</w:t>
      </w:r>
      <w:r>
        <w:t xml:space="preserve"> renewable, sources; EU scope not established. This is a provisional connection, not an outcome finding.</w:t>
      </w:r>
    </w:p>
    <w:p>
      <w:pPr>
        <w:pStyle w:val="SourceNote"/>
      </w:pPr>
      <w:r>
        <w:rPr>
          <w:b/>
        </w:rPr>
        <w:t>Available abstract (not full text):</w:t>
      </w:r>
      <w:r>
        <w:t xml:space="preserve"> Abstract Background The synthesis of nanomaterials has traditionally relied on methods that pose significant environmental risks due to high-energy demands, hazardous chemicals, and waste generation. For instance, conventional techniques such as chemical vapor deposition and the sol–gel process are known for their high-energy consumption and the production of toxic by-products. This context emphasizes the importance of sustainability in nanomaterial synthesis, leading to a shift toward more eco-friendly methods that integrate principles of green chemistry to lessen the influence on the environment. This transition addresses the harmful effects associated with traditional approaches and promotes the use of renewable resources, such as biomass and agricultural waste, in nanomaterial production. Main body This review focuses on sustainable nanomaterial synthesis methods that utilize renewable resources, such as biomass, agricultural waste, and natural extracts. These approaches reduce energy consumption, limit waste generation, and enhance recyclability, supporting the principles of the nanocircular economy. Various green synthesis strategies, including hydrothermal methods and green solvents, are examined for their effectiveness in producing nanomaterials with desirable properties. The review also highlights the broad applications of these sustainable nanomaterials in catalysis, </w:t>
      </w:r>
    </w:p>
    <w:p>
      <w:pPr/>
      <w:r>
        <w:rPr>
          <w:b/>
        </w:rPr>
        <w:t>POSSIBLE 2024:</w:t>
      </w:r>
      <w:r>
        <w:t xml:space="preserve"> The Economic Diversification and Sustainability Development in Oil-Rich Countries: A Panel Data Study — https://doi.org/10.1051/e3sconf/202459301001</w:t>
      </w:r>
    </w:p>
    <w:p>
      <w:pPr/>
      <w:r>
        <w:rPr>
          <w:b/>
        </w:rPr>
        <w:t>Shared claim-specific concepts:</w:t>
      </w:r>
      <w:r>
        <w:t xml:space="preserve"> sources, countries, potential; EU scope not established. This is a provisional connection, not an outcome finding.</w:t>
      </w:r>
    </w:p>
    <w:p>
      <w:pPr>
        <w:pStyle w:val="SourceNote"/>
      </w:pPr>
      <w:r>
        <w:rPr>
          <w:b/>
        </w:rPr>
        <w:t>Available abstract (not full text):</w:t>
      </w:r>
      <w:r>
        <w:t xml:space="preserve"> Diversifying income sources in oil-producing countries is necessary for achieving financial sustainability and a pathway to a more prosperous future. Despite the recognized importance of diversification, there remains a research gap in understanding the combined impact of factors like capital formation, oil rents, foreign investment, labor dynamics, rule of law, and CO2 emissions on sustainable growth. This research delves into the nexus between economic diversification and sustainable development in GCC countries, aiming to identify the key factors influencing economic diversification in this region. The study meticulously analyzes the impact of these critical variables on the economic diversification efforts of GCC countries. The findings reveal a robust positive correlation between economic diversification and these influential factors, as measured by GDP. This correlation underscores the potential benefits of economic diversification, such as enhanced sustainability and resilience, reinforcing the importance of this research topic. Also, the study emphasizes the urgent need for GCC countries to invest in non-oil economic sectors.</w:t>
      </w:r>
    </w:p>
    <w:p>
      <w:pPr/>
      <w:r>
        <w:rPr>
          <w:b/>
        </w:rPr>
        <w:t>POSSIBLE 2024:</w:t>
      </w:r>
      <w:r>
        <w:t xml:space="preserve"> ENERGY TRANSITION POLICIES: A GLOBAL REVIEW OF SHIFTS TOWARDS RENEWABLE SOURCES — https://doi.org/10.51594/estj.v5i2.752</w:t>
      </w:r>
    </w:p>
    <w:p>
      <w:pPr/>
      <w:r>
        <w:rPr>
          <w:b/>
        </w:rPr>
        <w:t>Shared claim-specific concepts:</w:t>
      </w:r>
      <w:r>
        <w:t xml:space="preserve"> renewable, sources, countries, common, mitigation; EU scope not established. This is a provisional connection, not an outcome finding.</w:t>
      </w:r>
    </w:p>
    <w:p>
      <w:pPr>
        <w:pStyle w:val="SourceNote"/>
      </w:pPr>
      <w:r>
        <w:rPr>
          <w:b/>
        </w:rPr>
        <w:t>Available abstract (not full text):</w:t>
      </w:r>
      <w:r>
        <w:t xml:space="preserve"> The global landscape of energy production is undergoing a profound transformation as nations grapple with the imperatives of sustainable development and climate change mitigation. This paper encapsulates a comprehensive review of Energy Transition Policies, specifically focusing on the global shift towards renewable energy sources. The paper delves into the myriad policy initiatives adopted by countries worldwide to transition from conventional fossil fuel-based energy systems to cleaner and more sustainable alternatives. The analysis explores the diverse motivations driving these energy transitions, ranging from environmental concerns and climate change imperatives to economic competitiveness and energy security. By examining the unique policy frameworks of different regions, the research provides valuable insights into the challenges and opportunities associated with the adoption of renewable energy sources. It investigates the regulatory mechanisms, financial incentives, and technological advancements that shape the trajectory of energy transition policies on a global scale. Furthermore, the paper sheds light on the impact of energy transition policies on various stakeholders, including governments, industries, and local communities. It examines the socio-economic implications of renewable energy integration, job creation, and the role of international collaborations in fost</w:t>
      </w:r>
    </w:p>
    <w:p>
      <w:pPr/>
      <w:r>
        <w:rPr>
          <w:b/>
        </w:rPr>
        <w:t>POSSIBLE 2024:</w:t>
      </w:r>
      <w:r>
        <w:t xml:space="preserve"> Recent Advances and Challenges of Hydrogen Production Technologies via Renewable Energy Sources — https://doi.org/10.1002/aesr.202300273</w:t>
      </w:r>
    </w:p>
    <w:p>
      <w:pPr/>
      <w:r>
        <w:rPr>
          <w:b/>
        </w:rPr>
        <w:t>Shared claim-specific concepts:</w:t>
      </w:r>
      <w:r>
        <w:t xml:space="preserve"> renewable, sources, potential; EU scope not established. This is a provisional connection, not an outcome finding.</w:t>
      </w:r>
    </w:p>
    <w:p>
      <w:pPr>
        <w:pStyle w:val="SourceNote"/>
      </w:pPr>
      <w:r>
        <w:rPr>
          <w:b/>
        </w:rPr>
        <w:t>Available abstract (not full text):</w:t>
      </w:r>
      <w:r>
        <w:t xml:space="preserve"> Currently, fossil fuels play a major role in meeting the world's energy demand. Fossil fuels, in contrast, threaten the planet's ecosystems and biological processes, contribute to global warming, and result in unfavorable climatic shifts. These energy sources are also finite and will eventually deplete. Thus, energy transition, which is the key from fossil fuels to renewable energy sources, is regarded as an essential course of action for decarbonizing the global economy and reducing the catastrophic and irreversible effects of climate change. Thereby using/consuming green hydrogen energy is a vital solution to meet the world's challenges. Subsequently, the pros and cons of several hydrogen generation methods, such as the conversion of fossil fuels, biomass, water electrolysis, microbial fermentation, and photocatalysis, are then compared and outlined in terms of their technologies, economies, consumption of energy, environmental aspects, and costs. Currently, the chemical industry uses green hydrogen (H 2 ) primarily to produce green emerging fuels methanol and ammonia (NH 3 ), which are regarded as alternate sources of energy. Finally, the current state of energy demands, recent developments in renewable energy sources, and the potential of hydrogen as a future fuel are outlined. Moreover, the discussion concludes with predicted opportunities and challenges.</w:t>
      </w:r>
    </w:p>
    <w:p>
      <w:pPr/>
      <w:r>
        <w:rPr>
          <w:b/>
        </w:rPr>
        <w:t>POSSIBLE 2024:</w:t>
      </w:r>
      <w:r>
        <w:t xml:space="preserve"> A Comparative Life Cycle Assessment of Hydrogen Production &amp; Storage with Renewable Energy Source and Grid Electricity Source — https://doi.org/10.47363/jeast/2024(6)233</w:t>
      </w:r>
    </w:p>
    <w:p>
      <w:pPr/>
      <w:r>
        <w:rPr>
          <w:b/>
        </w:rPr>
        <w:t>Shared claim-specific concepts:</w:t>
      </w:r>
      <w:r>
        <w:t xml:space="preserve"> rich, renewable, sources; EU scope visible. This is a provisional connection, not an outcome finding.</w:t>
      </w:r>
    </w:p>
    <w:p>
      <w:pPr>
        <w:pStyle w:val="SourceNote"/>
      </w:pPr>
      <w:r>
        <w:rPr>
          <w:b/>
        </w:rPr>
        <w:t>Available abstract (not full text):</w:t>
      </w:r>
      <w:r>
        <w:t xml:space="preserve"> The role of electricity is becoming significant in our advancing world. Currently, Ireland’s energy mix heavily relies on carbon-polluting fossil fuels, posing an environmental challenge. As per the Paris Agreement 2015, Ireland is ambitiously targeting to meet net zero carbon dioxide (CO2) emissions by 2050 and a 51% reduction by 2030. The country is shifting towards renewable energy sources to generate power to achieve this target. With abundant wind energy available, Ireland can meet its goal. However, due to the intermittent availability of wind energy, an energy backup for power generation is necessary. The use of curtailed or dedicated wind for producing hydrogen gas through electrolysis, and storing it in underground salt caverns is one approach to the problem. Northern Ireland has a rich source of Permian salt deposits offering a better place to store hydrogen which can be withdrawn for electricity generation, or used as fuel in transportation sectors. The Life Cycle Assessment (LCA) of the hydrogen systems can scrutinise the environmental impact of carbon emissions. This study analyses routes to reduce the environmental impact by evaluating polluting hotspots during the construction and operation phase of the system. This paper compares the impacts of the LCA on a hydrogen system which consists of a wind energy source for hydrogen production through electrolysis, trans</w:t>
      </w:r>
    </w:p>
    <w:p>
      <w:pPr/>
      <w:r>
        <w:rPr>
          <w:b/>
        </w:rPr>
        <w:t>POSSIBLE 2024:</w:t>
      </w:r>
      <w:r>
        <w:t xml:space="preserve"> Issues and Challenges of Grid-Following Converters Interfacing Renewable Energy Sources in Low Inertia Systems: A Review — https://doi.org/10.1109/access.2024.3349630</w:t>
      </w:r>
    </w:p>
    <w:p>
      <w:pPr/>
      <w:r>
        <w:rPr>
          <w:b/>
        </w:rPr>
        <w:t>Shared claim-specific concepts:</w:t>
      </w:r>
      <w:r>
        <w:t xml:space="preserve"> renewable, sources; EU scope not established. This is a provisional connection, not an outcome finding.</w:t>
      </w:r>
    </w:p>
    <w:p>
      <w:pPr>
        <w:pStyle w:val="SourceNote"/>
      </w:pPr>
      <w:r>
        <w:rPr>
          <w:b/>
        </w:rPr>
        <w:t>Available abstract (not full text):</w:t>
      </w:r>
      <w:r>
        <w:t xml:space="preserve"> The integration of renewable energy sources (RESs) is a key objective for energy sector decision-makers worldwide, aiming to establish renewable-rich future power grids. However, transitioning from conventional systems based on synchronous generators (SGs) or systems with a low RESs share presents challenges, particularly when accompanied by decommissioning large central generation units. This is because the reduction in inertia and system strength, traditionally provided by SGs, can lead to a loss of essential system support functions like voltage and frequency. While current converter technologies attempt to compensate for the grid support provided by SGs by enhancing converter capabilities, they still heavily rely on the presence of SGs to function effectively. These converters, known as grid-following (GFL) converters, depend on the grid to operate in a stable and secure manner. As the penetration of RESs increases, the efficacy of GFL converters diminishes, posing stability challenges in low inertia systems and limiting the integration of RESs. Therefore, it is crucial to reassess the existing GFL converter technologies, control mechanisms, and grid codes to understand their status and future requirements. This will shed light on the advancements and limitations of GFL converters, enabling greater RESs integration and grid support independent of SGs. This paper aims to pro</w:t>
      </w:r>
    </w:p>
    <w:p>
      <w:pPr/>
      <w:r>
        <w:rPr>
          <w:b/>
        </w:rPr>
        <w:t>POSSIBLE 2024:</w:t>
      </w:r>
      <w:r>
        <w:t xml:space="preserve"> The impact of renewable energy sources on the environment — https://doi.org/10.46544/ams.v28i4.13</w:t>
      </w:r>
    </w:p>
    <w:p>
      <w:pPr/>
      <w:r>
        <w:rPr>
          <w:b/>
        </w:rPr>
        <w:t>Shared claim-specific concepts:</w:t>
      </w:r>
      <w:r>
        <w:t xml:space="preserve"> renewable, sources; EU scope not established. This is a provisional connection, not an outcome finding.</w:t>
      </w:r>
    </w:p>
    <w:p>
      <w:pPr>
        <w:pStyle w:val="SourceNote"/>
      </w:pPr>
      <w:r>
        <w:rPr>
          <w:b/>
        </w:rPr>
        <w:t>Available abstract (not full text):</w:t>
      </w:r>
      <w:r>
        <w:t xml:space="preserve"> The use of renewable energy sources is becoming a modern phenomenon that saves energy costs and protects the environment in the long term. The contribution is mapping selected energy and environmental aspects and evaluating renewable energy sources' impact on the environment. At present, energy supply is still mostly provided by sources coming from fossil or nuclear reserves. Although the concept of the "upper limit of exhaustibility" of these resources is increasingly used, there are still disagreements between experts in the field of the life expectancy of the reserves. Population growth means higher consumer demands, which also results in higher consumption of energy resources. Environmental degradation has become a global problem that requires the emphasis of recent studies. Non-renewable energy is a significant factor in environmental degradation. Therefore, policymakers have focused on supporting the production and consumption of energy from renewable sources in all economic activities to ensure a low-carbon economy.</w:t>
      </w:r>
    </w:p>
    <w:p>
      <w:pPr>
        <w:pStyle w:val="Heading2"/>
      </w:pPr>
      <w:r>
        <w:t>704. Energy system transition and macroeconomic impacts of a European decarbonization action towards a below 2 °C climate stabilization</w:t>
      </w:r>
    </w:p>
    <w:p>
      <w:pPr>
        <w:pStyle w:val="SourceNote"/>
      </w:pPr>
      <w:r>
        <w:rPr>
          <w:b/>
        </w:rPr>
        <w:t>Original source (2019):</w:t>
      </w:r>
      <w:r>
        <w:t xml:space="preserve"> https://doi.org/10.1007/s10584-019-02440-7</w:t>
      </w:r>
    </w:p>
    <w:p>
      <w:pPr/>
      <w:r>
        <w:t>Original wording (abstract; indexed_source_text_not_full_document_verified): We find that emission reductions in the energy supply sector are dominant up to 2030 while transport takes the lead in 2050. The EU28 NDC includes a commitment for emission reductions in 2030 but also refers to an economy-wide effort towards 2050 so as to contribute effectively to the long-term mitigation of climate change.</w:t>
      </w:r>
    </w:p>
    <w:p>
      <w:pPr/>
      <w:r>
        <w:rPr>
          <w:b/>
        </w:rPr>
        <w:t>POSSIBLE 2026:</w:t>
      </w:r>
      <w:r>
        <w:t xml:space="preserve"> Can a wealth tax reduce CO2 emissions in Europe? — https://doi.org/10.1016/j.ecolecon.2026.109231</w:t>
      </w:r>
    </w:p>
    <w:p>
      <w:pPr/>
      <w:r>
        <w:rPr>
          <w:b/>
        </w:rPr>
        <w:t>Shared claim-specific concepts:</w:t>
      </w:r>
      <w:r>
        <w:t xml:space="preserve"> find, reductions, mitigation, climate; EU scope visible. This is a provisional connection, not an outcome finding.</w:t>
      </w:r>
    </w:p>
    <w:p>
      <w:pPr>
        <w:pStyle w:val="SourceNote"/>
      </w:pPr>
      <w:r>
        <w:rPr>
          <w:b/>
        </w:rPr>
        <w:t>Available abstract (not full text):</w:t>
      </w:r>
      <w:r>
        <w:t xml:space="preserve"> We analyse the potential of wealth taxes to reduce CO2 emissions through two transmission channels: the inequality channel, which links reductions in wealth inequality to lower emissions, and the consumption channel, which analyses how wealth taxes affect consumption by top wealth holders. We simulate the effects of various wealth tax designs over one- and ten-year horizons using harmonised microdata from 22 European countries. Our analysis accounts for survey non-response bias, heterogeneous rates of returns across households, and behavioural responses to taxation. We find that, through the inequality channel, an annual progressive wealth tax could reduce annual CO2 emissions by 7.5%–14.7% after ten years relative to a no-tax scenario, depending on tax progressivity. Through the consumption channel, the average reduction is between 1.5%–3.6%. These findings highlight the potential of wealth taxes to serve a dual purpose: curbing wealth concentration and contributing meaningfully to climate mitigation and justice, by focusing on high-net worth households who account for a disproportionate share of emissions.</w:t>
      </w:r>
    </w:p>
    <w:p>
      <w:pPr/>
      <w:r>
        <w:rPr>
          <w:b/>
        </w:rPr>
        <w:t>POSSIBLE 2026:</w:t>
      </w:r>
      <w:r>
        <w:t xml:space="preserve"> Research and innovation towards zero-emission road transport and European automotive sector competitiveness — https://doi.org/10.2760/4220161</w:t>
      </w:r>
    </w:p>
    <w:p>
      <w:pPr/>
      <w:r>
        <w:rPr>
          <w:b/>
        </w:rPr>
        <w:t>Shared claim-specific concepts:</w:t>
      </w:r>
      <w:r>
        <w:t xml:space="preserve"> sector, transport, but, also; EU scope visible. This is a provisional connection, not an outcome finding.</w:t>
      </w:r>
    </w:p>
    <w:p>
      <w:pPr>
        <w:pStyle w:val="SourceNote"/>
      </w:pPr>
      <w:r>
        <w:rPr>
          <w:b/>
        </w:rPr>
        <w:t>Available abstract (not full text):</w:t>
      </w:r>
      <w:r>
        <w:t xml:space="preserve"> This report assesses how EU-funded research and innovation supports the competitiveness of the European automotive sector during its transition towards clean, digital and resilient mobility. The analysis covers 150 projects, representing around EUR 1.99 billion in total budget and EUR 1.23 billion in EU contribution, across connected and automated mobility, software-defined vehicles, electric-vehicle batteries, zero-emission components and infrastructure, deployment, advanced materials and manufacturing, and workforce transformation. The portfolio is strongly oriented towards clean mobility, while also showing increasing attention to digitalisation, supply-chain resilience, circularity and skills. The report finds that EU R&amp;I contributes to technology validation, demonstration and piloting, but that stronger links are needed between project results, industrial scale-up, certification, infrastructure deployment, skills development and market uptake. The findings support EU transport, research and innovation, and industrial-policy discussions on how to align future R&amp;I programming with automotive competitiveness, decarbonisation and strategic resilience.</w:t>
      </w:r>
    </w:p>
    <w:p>
      <w:pPr/>
      <w:r>
        <w:rPr>
          <w:b/>
        </w:rPr>
        <w:t>POSSIBLE 2025:</w:t>
      </w:r>
      <w:r>
        <w:t xml:space="preserve"> Impacts of Ownership Changes on Emissions and Industrial Production: Evidence from Europe — https://doi.org/10.1086/735858</w:t>
      </w:r>
    </w:p>
    <w:p>
      <w:pPr/>
      <w:r>
        <w:rPr>
          <w:b/>
        </w:rPr>
        <w:t>Shared claim-specific concepts:</w:t>
      </w:r>
      <w:r>
        <w:t xml:space="preserve"> find, reductions; EU scope visible. This is a provisional connection, not an outcome finding.</w:t>
      </w:r>
    </w:p>
    <w:p>
      <w:pPr>
        <w:pStyle w:val="SourceNote"/>
      </w:pPr>
      <w:r>
        <w:rPr>
          <w:b/>
        </w:rPr>
        <w:t>Available abstract (not full text):</w:t>
      </w:r>
      <w:r>
        <w:t xml:space="preserve"> Firm ownership is a major determinant for the economic performance of firms, and emissions of pollutants are often by-products of industrial production. We investigate the impact of ownership on pollutant emissions of firms and their industrial facilities in Europe jointly with their output, productivity, and other key economic outcomes. To disentangle the influence of ownership from other firm characteristics, we analyse the effects of ownership changes in an event-study approach. We find that facilities and firms do not change their emissions and emissions intensity if they remain in operation after a change in ownership. Firms that shut down after acquisition strongly reduce their emissions via reductions in output. The reductions cannot be attributed to the ownership change as they already start before acquisition. There is no evidence for transfers in pollution abatement technologies between target and acquiring parent company. Overall, we do not find environmental benefits from ownership changes.</w:t>
      </w:r>
    </w:p>
    <w:p>
      <w:pPr/>
      <w:r>
        <w:rPr>
          <w:b/>
        </w:rPr>
        <w:t>POSSIBLE 2024:</w:t>
      </w:r>
      <w:r>
        <w:t xml:space="preserve"> Firm's emission reduction effectiveness and the influence of the five institutional dimensions of the quintuple helix model: European evidence — https://doi.org/10.1111/beer.12662</w:t>
      </w:r>
    </w:p>
    <w:p>
      <w:pPr/>
      <w:r>
        <w:rPr>
          <w:b/>
        </w:rPr>
        <w:t>Shared claim-specific concepts:</w:t>
      </w:r>
      <w:r>
        <w:t xml:space="preserve"> find, emission, commitment; EU scope visible. This is a provisional connection, not an outcome finding.</w:t>
      </w:r>
    </w:p>
    <w:p>
      <w:pPr>
        <w:pStyle w:val="SourceNote"/>
      </w:pPr>
      <w:r>
        <w:rPr>
          <w:b/>
        </w:rPr>
        <w:t>Available abstract (not full text):</w:t>
      </w:r>
      <w:r>
        <w:t xml:space="preserve"> Abstract Based upon the quintuple helix model (QHM), this study explores whether the differences in firms' emission reduction effectiveness can be attributed to the five institutional helices related to educational system, economic development, political–legal system, cultural orientation, and the natural capital. Using a set of listed European firms for the 2015–2020 period, we show that firms with better emission reduction effectiveness operate in nations with more public educational expenditure and scientific production, more extensive economic development, and better institutional and governance quality. Moreover, emission reduction strategies are more pronounced in firms located in countries characterized by less masculinity, individualism, power distance, and uncertainty avoidance, and more long‐term orientation and indulgence. In addition, we find that companies with better emission reduction effectiveness are found in countries with more natural capital, characterized by a life in harmony with nature and employing the finite resources available in a sustainable and environmentally conscious manner. Moreover, employing a two‐stage model to identify the most relevant helix, we find that the political–legal system helix is the most pivotal in promoting firms' commitment to reducing environmental emissions.</w:t>
      </w:r>
    </w:p>
    <w:p>
      <w:pPr/>
      <w:r>
        <w:rPr>
          <w:b/>
        </w:rPr>
        <w:t>POSSIBLE 2024:</w:t>
      </w:r>
      <w:r>
        <w:t xml:space="preserve"> Does Pricing Carbon Mitigate Climate Change? Firm-Level Evidence from the European Union Emissions Trading System — https://doi.org/10.1093/restud/rdae055</w:t>
      </w:r>
    </w:p>
    <w:p>
      <w:pPr/>
      <w:r>
        <w:rPr>
          <w:b/>
        </w:rPr>
        <w:t>Shared claim-specific concepts:</w:t>
      </w:r>
      <w:r>
        <w:t xml:space="preserve"> find, reductions, climate; EU scope visible. This is a provisional connection, not an outcome finding.</w:t>
      </w:r>
    </w:p>
    <w:p>
      <w:pPr>
        <w:pStyle w:val="SourceNote"/>
      </w:pPr>
      <w:r>
        <w:rPr>
          <w:b/>
        </w:rPr>
        <w:t>Available abstract (not full text):</w:t>
      </w:r>
      <w:r>
        <w:t xml:space="preserve"> Abstract In theory, market-based regulatory instruments correct market failures at least cost. However, evidence on their efficacy remains scarce. Using administrative data, we estimate that, on average, the European Union Emissions Trading System (EU ETS)—the world’s first and largest market-based climate policy—induced regulated manufacturing firms to reduce carbon dioxide emissions by 14–16% with no detectable contractions in economic activity. We find no evidence of outsourcing to unregulated firms or markets; instead, firms made targeted investments, reducing the emissions intensity of production. These results indicate that the EU ETS induced global emissions reductions, a necessary and sufficient condition for mitigating climate change. We show that the absence of any negative economic effects can be rationalized in a model where pricing the externality induces firms to make fixed-cost investments in energy-saving capital that reduce marginal variable costs.</w:t>
      </w:r>
    </w:p>
    <w:p>
      <w:pPr/>
      <w:r>
        <w:rPr>
          <w:b/>
        </w:rPr>
        <w:t>POSSIBLE 2024:</w:t>
      </w:r>
      <w:r>
        <w:t xml:space="preserve"> Constraining long-term NO x emissions over the United States and Europe using nitrate wet deposition monitoring networks — https://doi.org/10.5194/acp-24-4569-2024</w:t>
      </w:r>
    </w:p>
    <w:p>
      <w:pPr/>
      <w:r>
        <w:rPr>
          <w:b/>
        </w:rPr>
        <w:t>Shared claim-specific concepts:</w:t>
      </w:r>
      <w:r>
        <w:t xml:space="preserve"> find, emission, reductions, transport, but, also; EU scope visible. This is a provisional connection, not an outcome finding.</w:t>
      </w:r>
    </w:p>
    <w:p>
      <w:pPr>
        <w:pStyle w:val="SourceNote"/>
      </w:pPr>
      <w:r>
        <w:rPr>
          <w:b/>
        </w:rPr>
        <w:t>Available abstract (not full text):</w:t>
      </w:r>
      <w:r>
        <w:t xml:space="preserve"> Abstract. Nitrogen oxides (NOx = NO + NO2) play a critical role in regulating tropospheric chemistry, yet NOx emission estimates are subject to large uncertainties, casting doubt on our ability to accurately model secondary pollutants such as ozone. Bottom-up emissions inventories are subject to a number of uncertainties related to estimates of emission activities, scaling factors, and fuel sources. Here, we provide an additional constraint on NOx emissions and trends using nitrate wet deposition (NWD) fluxes from the United States National Atmospheric Deposition Program (NADP) and the European Monitoring and Evaluation Programme (EMEP). We use these NWD measurements to evaluate anthropogenic and total NOx trends and magnitudes in the global Community Emissions Data System (CEDS) emissions inventory and the GEOS-Chem chemical transport model from 1980–2020. Over both the United States and Europe, observed NWD trends track well with anthropogenic NOx emissions from the CEDS inventory until 2010, after which NWD trends level out in contrast to continued decreases in CEDS. After 2010, NWD trends are able to reproduce total NOx emissions trends when the influences of both anthropogenic and background sources are considered. Observed NWD fluxes are also able to capture NOx emissions decreases over the 2020 COVID-19 lockdown period and are consistent with satellite and surface measur</w:t>
      </w:r>
    </w:p>
    <w:p>
      <w:pPr/>
      <w:r>
        <w:rPr>
          <w:b/>
        </w:rPr>
        <w:t>POSSIBLE 2023:</w:t>
      </w:r>
      <w:r>
        <w:t xml:space="preserve"> The Drivers of Emission Reductions in the European Carbon Market — https://openalex.org/W7111538042</w:t>
      </w:r>
    </w:p>
    <w:p>
      <w:pPr/>
      <w:r>
        <w:rPr>
          <w:b/>
        </w:rPr>
        <w:t>Shared claim-specific concepts:</w:t>
      </w:r>
      <w:r>
        <w:t xml:space="preserve"> find, emission, reductions, dominant, also; EU scope visible. This is a provisional connection, not an outcome finding.</w:t>
      </w:r>
    </w:p>
    <w:p>
      <w:pPr>
        <w:pStyle w:val="SourceNote"/>
      </w:pPr>
      <w:r>
        <w:rPr>
          <w:b/>
        </w:rPr>
        <w:t>Available abstract (not full text):</w:t>
      </w:r>
      <w:r>
        <w:t xml:space="preserve"> This paper studies the drivers of emission reductions in the carbon market of the European Union Emission Trading System (EU ETS) since its inception in 2005. We introduce a novel empirical framework that facilitates the joint identification of simultaneous demand and supply shocks underlying the European carbon market. We find that emission supply restrictions of the EU ETS were the dominant driver of emissions reductions, reducing emissions by 46%. However we also find that two opposing emission demand factors also played an important role. Demand from industrial economic activity increased emissions by 15%, while other demand-side factors, primarily reflecting the transition to low-carbon economies, reduced emissions by 21%.</w:t>
      </w:r>
    </w:p>
    <w:p>
      <w:pPr/>
      <w:r>
        <w:rPr>
          <w:b/>
        </w:rPr>
        <w:t>POSSIBLE 2023:</w:t>
      </w:r>
      <w:r>
        <w:t xml:space="preserve"> Emissions savings from equitable energy demand reduction — https://doi.org/10.1038/s41560-023-01283-y</w:t>
      </w:r>
    </w:p>
    <w:p>
      <w:pPr/>
      <w:r>
        <w:rPr>
          <w:b/>
        </w:rPr>
        <w:t>Shared claim-specific concepts:</w:t>
      </w:r>
      <w:r>
        <w:t xml:space="preserve"> reductions, energy, transport, climate; EU scope visible. This is a provisional connection, not an outcome finding.</w:t>
      </w:r>
    </w:p>
    <w:p>
      <w:pPr>
        <w:pStyle w:val="SourceNote"/>
      </w:pPr>
      <w:r>
        <w:rPr>
          <w:b/>
        </w:rPr>
        <w:t>Available abstract (not full text):</w:t>
      </w:r>
      <w:r>
        <w:t xml:space="preserve"> Abstract Energy demand reduction (EDR) will be required to reach climate targets in the Global North. To be compatible with just transitions principles, EDR needs to be equitable. Equitable EDR may involve targeting high energy users while ensuring the satisfaction of needs for all, which could require increasing consumption of low users. Emissions impacts of equitable EDR approaches have not yet been assessed. This Article finds that capping energy use of the top quintile of consumers across 27 European countries can achieve considerable greenhouse gas emissions reductions of 11.4% from domestic energy, 16.8% from transport and 9.7% from total energy consumption. Increasing consumption of low energy users in poverty reduces these savings by only 1.2, 0.9 and 1.4 percentage points, respectively. Additional high annual emissions cuts of 7.3–24.0% would be required for Europe to meet globally equitable 2050 emissions budgets. Equitable EDR could make an important contribution to increasing public acceptance of such transformative action.</w:t>
      </w:r>
    </w:p>
    <w:p>
      <w:pPr/>
      <w:r>
        <w:rPr>
          <w:b/>
        </w:rPr>
        <w:t>POSSIBLE 2023:</w:t>
      </w:r>
      <w:r>
        <w:t xml:space="preserve"> Identifying and Monitoring Priority Areas for Methane Emissions Reduction — https://doi.org/10.1596/1813-9450-10391</w:t>
      </w:r>
    </w:p>
    <w:p>
      <w:pPr/>
      <w:r>
        <w:rPr>
          <w:b/>
        </w:rPr>
        <w:t>Shared claim-specific concepts:</w:t>
      </w:r>
      <w:r>
        <w:t xml:space="preserve"> dominant, but, also; EU scope visible. This is a provisional connection, not an outcome finding.</w:t>
      </w:r>
    </w:p>
    <w:p>
      <w:pPr>
        <w:pStyle w:val="SourceNote"/>
      </w:pPr>
      <w:r>
        <w:rPr>
          <w:b/>
        </w:rPr>
        <w:t>Available abstract (not full text):</w:t>
      </w:r>
      <w:r>
        <w:t xml:space="preserve"> This paper identifies high-priority areas for methane emissions reduction and estimates recent emissions changes in those areas using atmospheric concentration data from the European Space Agency’s Sentinel-5P satellite platform. The modeling approach is illustrated with three case studies: landfills in Spain (Madrid), irrigated rice production in India (Karnal district, Haryana state), and oil production in Iraq (Al Amarah district, Maysan governorate). For each case, the paper estimates two change models by fixed effects: the monthly trend in methane concentration from January 2019 to November 2022, and the difference between mean concentration in 2022 and the previous three years. The paper estimates the change models for 775 high-priority areas and finds that cases with decreasing methane emissions are outnumbered four to one by cases with increasing emissions. The paper also analyzes trends in high-priority areas for seven major methane source sectors (agricultural soils, livestock, gas, oil, coal, landfills, and wastewater) and finds only two where emissions decreases outnumber increases (gas and oil). Among World Bank income groups, decreases outnumber increases in high-income economies but increases are hugely dominant in the other three groups. The paper concludes with a presentation of summary emissions trend reports for all 775 high-priority areas, with accompanying </w:t>
      </w:r>
    </w:p>
    <w:p>
      <w:pPr/>
      <w:r>
        <w:rPr>
          <w:b/>
        </w:rPr>
        <w:t>POSSIBLE 2023:</w:t>
      </w:r>
      <w:r>
        <w:t xml:space="preserve"> The potential role of a hydrogen network in Europe — https://doi.org/10.1016/j.joule.2023.06.016</w:t>
      </w:r>
    </w:p>
    <w:p>
      <w:pPr/>
      <w:r>
        <w:rPr>
          <w:b/>
        </w:rPr>
        <w:t>Shared claim-specific concepts:</w:t>
      </w:r>
      <w:r>
        <w:t xml:space="preserve"> find, reductions, energy, but, also; EU scope visible. This is a provisional connection, not an outcome finding.</w:t>
      </w:r>
    </w:p>
    <w:p>
      <w:pPr>
        <w:pStyle w:val="SourceNote"/>
      </w:pPr>
      <w:r>
        <w:rPr>
          <w:b/>
        </w:rPr>
        <w:t>Available abstract (not full text):</w:t>
      </w:r>
      <w:r>
        <w:t xml:space="preserve"> Europe's electricity transmission expansion suffers many delays, despite its significance for integrating renewable electricity. A hydrogen network reusing the existing gas network could not only help to supply the demand for low-emission fuels but could also balance variations in wind and solar energies across the continent and thus avoid power grid expansion. Our investigation varies the allowed expansion of electricity and hydrogen grids in net-zero CO 2 scenarios for a sector-coupled European energy system, capturing transmission bottlenecks, renewable supply and demand variability, and pipeline retrofitting and geological storage potentials. We find that a hydrogen network connecting regions with low-cost and abundant renewable potentials to demand centers, electrofuel production, and cavern storage sites reduces system costs by up to 26 bn€/a (3.4%). Although expanding both networks together can achieve the largest cost reductions, by 9.9%, the expansion of neither is essential for a net-zero system as long as higher costs can be accepted and flexibility options allow managing transmission bottlenecks.</w:t>
      </w:r>
    </w:p>
    <w:p>
      <w:pPr/>
      <w:r>
        <w:rPr>
          <w:b/>
        </w:rPr>
        <w:t>POSSIBLE 2023:</w:t>
      </w:r>
      <w:r>
        <w:t xml:space="preserve"> The land sector in the low carbon emission strategies in the European Union: role and future expectations — https://doi.org/10.1080/14693062.2023.2273948</w:t>
      </w:r>
    </w:p>
    <w:p>
      <w:pPr/>
      <w:r>
        <w:rPr>
          <w:b/>
        </w:rPr>
        <w:t>Shared claim-specific concepts:</w:t>
      </w:r>
      <w:r>
        <w:t xml:space="preserve"> emission, energy, sector, but, long-term, mitigation; EU scope visible. This is a provisional connection, not an outcome finding.</w:t>
      </w:r>
    </w:p>
    <w:p>
      <w:pPr>
        <w:pStyle w:val="SourceNote"/>
      </w:pPr>
      <w:r>
        <w:rPr>
          <w:b/>
        </w:rPr>
        <w:t>Available abstract (not full text):</w:t>
      </w:r>
      <w:r>
        <w:t xml:space="preserve"> The Land-Use, Land-Use Change and Forestry sector (LULUCF) role is of critical importance in contributing to the ambitious targets set by the European Union (EU) to reduce by 55% net greenhouse gas (GHG) emissions by 2030, compared to 1990 levels, and to become carbon neutral by 2050. The EU LULUCF regulation, approved in 2023, sets out binding targets for each individual Member State to be achieved by 2030, totaling 310 MtCO2e of net removals for the whole EU. However, it remains poorly understood to what extent the EU LULUCF climate target matches with the Member States’ strategies. The alignment between the EU governance and its Member States’ visions for the long-term will determine the achievement of the climate targets. The objective of this study is to understand the LULUCF expected contribution to the EU’s 2030 and 2050 climate goals. In doing so, we explored the European and country-level visions of LULUCF with respect to climate change mitigation and adaptation, as expressed in their Long-Term Strategies (LTSs) and national projections; we evaluated whether national level projections for LULUCF are aligned with the EU short and long term targets. We found that most countries’ LTSs envisage policies and measures in the LULUCF sector, however they are, often general and not comprehensive. Furthermore, the majority of countries’ quantitative future projections of GHG emi</w:t>
      </w:r>
    </w:p>
    <w:p>
      <w:pPr/>
      <w:r>
        <w:rPr>
          <w:b/>
        </w:rPr>
        <w:t>POSSIBLE 2023:</w:t>
      </w:r>
      <w:r>
        <w:t xml:space="preserve"> Investigating pathways to a net-zero emissions building sector in the European Union: what role for the energy efficiency first principle? — https://doi.org/10.1007/s12053-023-10100-0</w:t>
      </w:r>
    </w:p>
    <w:p>
      <w:pPr/>
      <w:r>
        <w:rPr>
          <w:b/>
        </w:rPr>
        <w:t>Shared claim-specific concepts:</w:t>
      </w:r>
      <w:r>
        <w:t xml:space="preserve"> reductions, energy, sector; EU scope visible. This is a provisional connection, not an outcome finding.</w:t>
      </w:r>
    </w:p>
    <w:p>
      <w:pPr>
        <w:pStyle w:val="SourceNote"/>
      </w:pPr>
      <w:r>
        <w:rPr>
          <w:b/>
        </w:rPr>
        <w:t>Available abstract (not full text):</w:t>
      </w:r>
      <w:r>
        <w:t xml:space="preserve"> Abstract European Union (EU) legislation is increasingly embracing the energy efficiency first (EE1st) principle. This principle seeks to prioritise energy efficiency measures whenever these involve lower costs to society than generators, networks and other energy supply options while achieving the same outcomes. This study contributes to the quantitative evidence on the relevance of EE1st by modelling the impact of moderate to ambitious end-use energy efficiency measures on energy supply and the associated system cost under a net-zero greenhouse gas emissions constraint by 2050. These measures focus on the EU building sector and include both building retrofits (e.g. wall insulation) and efficient products (e.g. lighting). The results indicate that implementing more ambitious energy saving measures reduces the total electricity, heat and hydrogen capacities needed to achieve the net-zero target. Reducing energy use in buildings by at least 21% between 2020 and 2050 is essential to avoid excessive energy supply costs. This requires actions that go well beyond business-as-usual trends. Reductions of around 30% could be justified on the grounds of (i) high fossil fuel prices and (ii) multiple impacts (e.g. health benefits). Overall, the outcomes provide reasonable justification for the EE1st principle. To put the principle into practice, policy actions such as doubling building re</w:t>
      </w:r>
    </w:p>
    <w:p>
      <w:pPr>
        <w:pStyle w:val="Heading2"/>
      </w:pPr>
      <w:r>
        <w:t>705. Environmental and resource burdens associated with low carbon, more electric transition pathways to 2050: Footprint components from carbon emissions and land use to waste arisings and water consumption</w:t>
      </w:r>
    </w:p>
    <w:p>
      <w:pPr>
        <w:pStyle w:val="SourceNote"/>
      </w:pPr>
      <w:r>
        <w:rPr>
          <w:b/>
        </w:rPr>
        <w:t>Original source (2019):</w:t>
      </w:r>
      <w:r>
        <w:t xml:space="preserve"> https://doi.org/10.1016/j.glt.2019.01.001</w:t>
      </w:r>
    </w:p>
    <w:p>
      <w:pPr/>
      <w:r>
        <w:t>Original wording (abstract; indexed_source_text_not_full_document_verified): Electricity demand was projected to decrease significantly under the TF pathway by 2050, but its total environmental footprint (EF) was greater than either that under the MR or CC pathways. It has been employed here to estimate the footprints associated with three low carbon, more electric transition pathways for the United Kingdom (UK): described as ‘ Market Rules ’ (MR), ‘ Central Co-ordination ’ (CC) and ‘ Thousand Flowers ’ (TF) respectively.</w:t>
      </w:r>
    </w:p>
    <w:p>
      <w:pPr/>
      <w:r>
        <w:rPr>
          <w:b/>
        </w:rPr>
        <w:t>POSSIBLE 2026:</w:t>
      </w:r>
      <w:r>
        <w:t xml:space="preserve"> Accounting for Income Inequality in Geospatial Electricity Demand Projections under the Shared Socioeconomic Pathways — https://doi.org/10.2139/ssrn.7483169</w:t>
      </w:r>
    </w:p>
    <w:p>
      <w:pPr/>
      <w:r>
        <w:rPr>
          <w:b/>
        </w:rPr>
        <w:t>Shared claim-specific concepts:</w:t>
      </w:r>
      <w:r>
        <w:t xml:space="preserve"> electricity, pathways;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Accounting for Income Inequality in Geospatial Electricity Demand Projections under the Shared Socioeconomic Pathways — https://doi.org/10.5281/zenodo.22078601</w:t>
      </w:r>
    </w:p>
    <w:p>
      <w:pPr/>
      <w:r>
        <w:rPr>
          <w:b/>
        </w:rPr>
        <w:t>Shared claim-specific concepts:</w:t>
      </w:r>
      <w:r>
        <w:t xml:space="preserve"> electricity, pathway, total, pathways, transition; EU scope not established. This is a provisional connection, not an outcome finding.</w:t>
      </w:r>
    </w:p>
    <w:p>
      <w:pPr>
        <w:pStyle w:val="SourceNote"/>
      </w:pPr>
      <w:r>
        <w:rPr>
          <w:b/>
        </w:rPr>
        <w:t>Available abstract (not full text):</w:t>
      </w:r>
      <w:r>
        <w:t xml:space="preserve"> These files represent the output of the Geospatial Residential Electricity Demand under Socioeconomic Inequality (GRED-SI) framework for a case study on Namibia. The output is in the format of GeoPackage files for each Shared Socioeconomic Pathway (SSP), ranging from 1 to 5. Each GeoPackage file contains layers for all modelled transition years, ranging from 2025 to 2050 in 5-year intervals. Each populated cell has the following attributes per scenario and year: Population count [capita] Income level [USD/capita] Electricity access status [True/False] Electrification class [0: unelectrified, 1: previously electrified, 2: newly electrified] Average residential electricity demand [kWh/capita] Total residential electricity demand [kWh] Multi-tier framework access tier [1-5]</w:t>
      </w:r>
    </w:p>
    <w:p>
      <w:pPr/>
      <w:r>
        <w:rPr>
          <w:b/>
        </w:rPr>
        <w:t>POSSIBLE 2026:</w:t>
      </w:r>
      <w:r>
        <w:t xml:space="preserve"> Photovoltaics at home: Current status, future pathways, and impacts on electricity demand — https://doi.org/10.66506/essp.4-187-26</w:t>
      </w:r>
    </w:p>
    <w:p>
      <w:pPr/>
      <w:r>
        <w:rPr>
          <w:b/>
        </w:rPr>
        <w:t>Shared claim-specific concepts:</w:t>
      </w:r>
      <w:r>
        <w:t xml:space="preserve"> electricity, pathways; EU scope visible. This is a provisional connection, not an outcome finding.</w:t>
      </w:r>
    </w:p>
    <w:p>
      <w:pPr>
        <w:pStyle w:val="SourceNote"/>
      </w:pPr>
      <w:r>
        <w:rPr>
          <w:b/>
        </w:rPr>
        <w:t>Available abstract (not full text):</w:t>
      </w:r>
      <w:r>
        <w:t xml:space="preserve"> Peer-reviewed paper 4-187-26 Rooftop photovoltaic (RPV) panels are becoming increasingly common in Europe. Public subsidies, declining technology costs, and attractive feed-in tariffs have helped to leverage this technology. In France, national-level statistics based on peak power are regularly updated by the French distribution system operator and other official bodies. However, they only offer a partial picture, as many variables needed to create accurate models are missing. To address this gap, the Base de Données Photovoltaïque (photovoltaic database) (BDPV), an initiative driven by an association of photovoltaic panel owners, collects comprehensive data on thousands of installations (13,777). While this database offers valuable insights, it relies on a voluntary basis and thus cannot guarantee statistical representativeness. In this paper, we compared and cross-referenced several data sources to create a consolidated representation of the stock of French residential RPV installations, including key variables required for modelling photovoltaic production (peak power, tilt angle, orientation). A photovoltaic model suitable for this level of detail was then developed and validated against the empirical daily production data for a sample of 1,000 RPVs from the BDPV. On average, the model exhibits a bias of 16% (NMBE) and a CVRMSE of 32%. Finally, using an initial prospective </w:t>
      </w:r>
    </w:p>
    <w:p>
      <w:pPr/>
      <w:r>
        <w:rPr>
          <w:b/>
        </w:rPr>
        <w:t>POSSIBLE 2026:</w:t>
      </w:r>
      <w:r>
        <w:t xml:space="preserve"> Pathways to meeting growing electricity demand through expanding customer choice: a review of emerging hybrid power choice policies and practices — https://doi.org/10.3389/fsuep.2026.1766514</w:t>
      </w:r>
    </w:p>
    <w:p>
      <w:pPr/>
      <w:r>
        <w:rPr>
          <w:b/>
        </w:rPr>
        <w:t>Shared claim-specific concepts:</w:t>
      </w:r>
      <w:r>
        <w:t xml:space="preserve"> electricity, pathways, here, estimate, united; EU scope not established. This is a provisional connection, not an outcome finding.</w:t>
      </w:r>
    </w:p>
    <w:p>
      <w:pPr>
        <w:pStyle w:val="SourceNote"/>
      </w:pPr>
      <w:r>
        <w:rPr>
          <w:b/>
        </w:rPr>
        <w:t>Available abstract (not full text):</w:t>
      </w:r>
      <w:r>
        <w:t xml:space="preserve"> State policies determine the degree to which commercial and industrial electricity customers can choose specified power supplies in the United States. Policies that enable customer choice have helped customers to manage electricity costs and achieve sustainability objectives. Customer choice could also mitigate the risk of increasing electricity demand leading to higher retail electricity prices. Here, our objective is to document how state-level policies have resulted in varying degrees of power choice in the United States. Unlike previous work that has focused on nationwide trends or in markets with ample customer choice, we focus on 18 states in the western and southeastern U.S. without wholesale power markets or retail electricity competition. We conducted a narrative review to explore how these states have implemented hybrid policies such as utility green tariffs and direct access provisions that grant customer choice to subsets of commercial and industrial customers. We leverage various public data sources to estimate that commercial and industrial customers procured about 34 million megawatt hours of electricity through hybrid choice pathways in the 18-state sample, representing about 4% of commercial and industrial demand in those states. Hybrid choice enables these customers to achieve sustainability goals, with commercial and industrial customers procuring around 17 m</w:t>
      </w:r>
    </w:p>
    <w:p>
      <w:pPr/>
      <w:r>
        <w:rPr>
          <w:b/>
        </w:rPr>
        <w:t>POSSIBLE 2026:</w:t>
      </w:r>
      <w:r>
        <w:t xml:space="preserve"> Empowering energy consumers in the EU : legal pathways for promoting renewable electricity through demand-side management — https://openalex.org/W7125460656</w:t>
      </w:r>
    </w:p>
    <w:p>
      <w:pPr/>
      <w:r>
        <w:rPr>
          <w:b/>
        </w:rPr>
        <w:t>Shared claim-specific concepts:</w:t>
      </w:r>
      <w:r>
        <w:t xml:space="preserve"> electricity, pathways, associated, three, transition; EU scope visible. This is a provisional connection, not an outcome finding.</w:t>
      </w:r>
    </w:p>
    <w:p>
      <w:pPr>
        <w:pStyle w:val="SourceNote"/>
      </w:pPr>
      <w:r>
        <w:rPr>
          <w:b/>
        </w:rPr>
        <w:t>Available abstract (not full text):</w:t>
      </w:r>
      <w:r>
        <w:t xml:space="preserve"> Facilitating the uptake of renewable electricity (RES-E) is central to advancing the sustainable energy transition and mitigating climate change. Early policy focused on decarbonizing electricity supply, while energy consumers were largely overlooked and cast as passive recipients of energy and prices. In recent years, however, empowering consumers has emerged as a vital step in transitioning towards an electricity system with high penetration of renewables. This book explores how the law on electricity demand-side management (DSM) operationalizes energy consumer empowerment by reshaping electricity consumption patterns. Through DSM measures, consumers are empowered to provide demand flexibility – crucial for integrating variable renewables – and to increase the share of renewables by purchasing RES-E or engaging in renewables generation. Focusing on EU law, this research examines key legal issues associated with developing an implementation framework for consumer empowerment within the context of the low-carbon energy transition. This book is based on Dr. Ting Chen’s PhD dissertation, defended on 19 May 2025. It lies at the intersection of three highly topical issues in EU law: consumer empowerment, electricity market regulation, and the promotion of renewables. Offering a timely contribution to EU energy law scholarship, it also provides valuable insights for other jurisdicti</w:t>
      </w:r>
    </w:p>
    <w:p>
      <w:pPr/>
      <w:r>
        <w:rPr>
          <w:b/>
        </w:rPr>
        <w:t>POSSIBLE 2026:</w:t>
      </w:r>
      <w:r>
        <w:t xml:space="preserve"> National Assessment of Net Zero Energy Building Adoption in India: Scenario-Based Electricity Demand and Carbon Mitigation Pathways toward 2070 — https://doi.org/10.2139/ssrn.7069017</w:t>
      </w:r>
    </w:p>
    <w:p>
      <w:pPr/>
      <w:r>
        <w:rPr>
          <w:b/>
        </w:rPr>
        <w:t>Shared claim-specific concepts:</w:t>
      </w:r>
      <w:r>
        <w:t xml:space="preserve"> electricity, pathways, carbon;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A system-level assessment of geological hydrogen storage, renewable generation and demand prediction for clean electricity pathways: A Great Britain case study — https://doi.org/10.1016/j.apenergy.2026.128171</w:t>
      </w:r>
    </w:p>
    <w:p>
      <w:pPr/>
      <w:r>
        <w:rPr>
          <w:b/>
        </w:rPr>
        <w:t>Shared claim-specific concepts:</w:t>
      </w:r>
      <w:r>
        <w:t xml:space="preserve"> electricity, but, pathways, here, low; EU scope not established. This is a provisional connection, not an outcome finding.</w:t>
      </w:r>
    </w:p>
    <w:p>
      <w:pPr>
        <w:pStyle w:val="SourceNote"/>
      </w:pPr>
      <w:r>
        <w:rPr>
          <w:b/>
        </w:rPr>
        <w:t>Available abstract (not full text):</w:t>
      </w:r>
      <w:r>
        <w:t xml:space="preserve"> High variable renewable energy (VRE) systems require flexibility that can maintain adequacy during multi-day renewable shortfalls while absorbing periods of surplus generation. This study evaluates the role of geological hydrogen storage in future Great Britain electricity pathways using a time-resolved dispatch model that combines historical half-hourly generation and demand data with National Energy System Operator (NESO) aligned capacity, storage and electrified-demand scenarios for 2030–2040. The model explicitly represents electrolysis, underground hydrogen storage, hydrogen storage losses and hydrogen-to-power dispatch, and compares baseline and accelerated deployment pathways. Results show that accelerated hydrogen deployment has a stronger adequacy benefit than accelerated renewable and battery deployment alone. In 2030, all acceleration pathways reduce the unabated gas generation share from 4.61% to approximately 1%. However, by 2040, accelerated hydrogen and electrolysis can reduce the remaining peak unabated gas requirement to zero, whereas accelerated renewables and batteries still leave approximately 15 GW. Hydrogen-system performance is strongly governed by storage availability. Under NESO and Low storage scenarios, storage saturation causes up to 60 TWh of hydrogen production to remain unstored in 2035 across pathways. In contrast, the High storage scenario elimi</w:t>
      </w:r>
    </w:p>
    <w:p>
      <w:pPr/>
      <w:r>
        <w:rPr>
          <w:b/>
        </w:rPr>
        <w:t>POSSIBLE 2026:</w:t>
      </w:r>
      <w:r>
        <w:t xml:space="preserve"> Capturing the Actual Electricity Demand Considering Meteorological Impacts: Electricity Demand Trends in FY2020-2024 — https://doi.org/10.1541/ieejpes.146.205</w:t>
      </w:r>
    </w:p>
    <w:p>
      <w:pPr/>
      <w:r>
        <w:rPr>
          <w:b/>
        </w:rPr>
        <w:t>Shared claim-specific concepts:</w:t>
      </w:r>
      <w:r>
        <w:t xml:space="preserve"> electricity, associated; EU scope not established. This is a provisional connection, not an outcome finding.</w:t>
      </w:r>
    </w:p>
    <w:p>
      <w:pPr>
        <w:pStyle w:val="SourceNote"/>
      </w:pPr>
      <w:r>
        <w:rPr>
          <w:b/>
        </w:rPr>
        <w:t>Available abstract (not full text):</w:t>
      </w:r>
      <w:r>
        <w:t xml:space="preserve"> This study develops a framework to continuously monitor nationwide and regional electricity demand trends after removing weather effects. Using hourly data from April 2019 to March 2025, multiple linear regression models incorporating meteorological and calendar variables estimated “weather-adjusted demand” based on the 30-year climate average (1991-2020). Results show that national demand declined in FY2020 due to COVID-19 impacts, recovered in FY2021, and then declined again from FY2022 onward, with FY2023 and FY2024 both around 3.8% below FY2019 levels. This pattern was consistent with official demand projections and final energy consumption statistics. Regional analysis indicated smaller declines in Kyushu and Okinawa, while most other regions showed decreasing trends compared to FY2019. Regression analysis indicated that weather-adjusted demand was positively associated with the Index of Industrial Production and negatively associated with electricity prices, while a 2023-specific factor also contributed to demand reduction. This study demonstrates the utility of a weather-adjusted demand monitoring framework that enables multi-granular analysis (annual, monthly, hourly) across all supply areas. While the results enhance understanding of recent demand trends, further research and the combination of various insights are needed to fully elucidate the drivers of electricity d</w:t>
      </w:r>
    </w:p>
    <w:p>
      <w:pPr/>
      <w:r>
        <w:rPr>
          <w:b/>
        </w:rPr>
        <w:t>POSSIBLE 2025:</w:t>
      </w:r>
      <w:r>
        <w:t xml:space="preserve"> The duck curve in electricity demand — https://doi.org/10.4337/9781035310371.000120</w:t>
      </w:r>
    </w:p>
    <w:p>
      <w:pPr/>
      <w:r>
        <w:rPr>
          <w:b/>
        </w:rPr>
        <w:t>Shared claim-specific concepts:</w:t>
      </w:r>
      <w:r>
        <w:t xml:space="preserve"> electricity, either, electric, united; EU scope not established. This is a provisional connection, not an outcome finding.</w:t>
      </w:r>
    </w:p>
    <w:p>
      <w:pPr>
        <w:pStyle w:val="SourceNote"/>
      </w:pPr>
      <w:r>
        <w:rPr>
          <w:b/>
        </w:rPr>
        <w:t>Available abstract (not full text):</w:t>
      </w:r>
      <w:r>
        <w:t xml:space="preserve"> The “duck curve” is jargon in the energy industry that refers to a graph having the shape of a duck and showing the amount of power dispatched by the grid across the day. The term appeared in around 2012 and was established by the California Independent System Operator (CAISO) in the United States. It refers to the so-called duck problem that is encountered in economies with high penetration by solar power. Electricity generated from solar power starts decreasing until complete darkness falls, when there is no more sunshine. Unless there are sufficient solar energy storage amendments, the electricity demand at nighttime has to be met with other energy sources, either renewable or nonrenewable ones. The problem with evening times is that at those times demand reaches a peak because household members are at home and in need of electric power to satisfy all household needs.</w:t>
      </w:r>
    </w:p>
    <w:p>
      <w:pPr/>
      <w:r>
        <w:rPr>
          <w:b/>
        </w:rPr>
        <w:t>POSSIBLE 2025:</w:t>
      </w:r>
      <w:r>
        <w:t xml:space="preserve"> Climate crisis, war and pandemic: How weather and global events have shaped UK electricity demand — https://doi.org/10.1016/j.jenvman.2025.126937</w:t>
      </w:r>
    </w:p>
    <w:p>
      <w:pPr/>
      <w:r>
        <w:rPr>
          <w:b/>
        </w:rPr>
        <w:t>Shared claim-specific concepts:</w:t>
      </w:r>
      <w:r>
        <w:t xml:space="preserve"> electricity, carbon; EU scope not established. This is a provisional connection, not an outcome finding.</w:t>
      </w:r>
    </w:p>
    <w:p>
      <w:pPr>
        <w:pStyle w:val="SourceNote"/>
      </w:pPr>
      <w:r>
        <w:rPr>
          <w:b/>
        </w:rPr>
        <w:t>Available abstract (not full text):</w:t>
      </w:r>
      <w:r>
        <w:t xml:space="preserve"> The present study, using high-frequency hourly data from 2009 to 2023, investigates the impacts of weather conditions, carbon prices, COVID-19 pandemic, and the Russia-Ukraine war on electricity demand in the UK. Using a semi-parametric estimation technique - generalised additive models - we find that temperature, carbon prices, and snowfall have a significant non-linear impact on electricity usage. Temperature and electricity demand exhibit a non-linear, U-shaped pattern, with electricity demand decreasing during mild weather and sharply rising during extremely hot or cold weather. Carbon prices moderate the temperature effect on electricity demand, with higher prices reducing this effect. Snowfall and rain increase electricity demand due to additional heating needs. Our analyses also suggest that global events such as the COVID-19 pandemic and the Russia-Ukraine war have strongly affected the trajectory of electricity demand, reflecting broader economic disruptions driven by global and geopolitical events. The results remain consistent after controlling for electricity prices. These findings highlight the importance of adaptive energy policies, including flexible carbon pricing strategies, to effectively manage electricity demand during extreme weather events and geopolitical crises.</w:t>
      </w:r>
    </w:p>
    <w:p>
      <w:pPr/>
      <w:r>
        <w:rPr>
          <w:b/>
        </w:rPr>
        <w:t>POSSIBLE 2025:</w:t>
      </w:r>
      <w:r>
        <w:t xml:space="preserve"> Electricity Demand Characteristics in the Energy Transition Pathway Under the Carbon Neutrality Goal for China — https://doi.org/10.3390/su17041759</w:t>
      </w:r>
    </w:p>
    <w:p>
      <w:pPr/>
      <w:r>
        <w:rPr>
          <w:b/>
        </w:rPr>
        <w:t>Shared claim-specific concepts:</w:t>
      </w:r>
      <w:r>
        <w:t xml:space="preserve"> electricity, decrease, significantly, pathway, pathways, carbon; EU scope not established. This is a provisional connection, not an outcome finding.</w:t>
      </w:r>
    </w:p>
    <w:p>
      <w:pPr>
        <w:pStyle w:val="SourceNote"/>
      </w:pPr>
      <w:r>
        <w:rPr>
          <w:b/>
        </w:rPr>
        <w:t>Available abstract (not full text):</w:t>
      </w:r>
      <w:r>
        <w:t xml:space="preserve"> The energy transition towards achieving carbon neutrality is marked by the decarbonization of the power system and a high degree of electrification in end-use sectors. The decarbonization of the power system primarily relies on large-scale renewable energy, nuclear power, and fossil fuel-based power with carbon capture technologies. This structure of power supply introduces significant uncertainty in electricity supply. Due to the technological progress in end-use sectors and spatial reallocation of industries in China, the load curve and power supply curve is very different today. However, most studies’ analyses of future electricity systems are based on today’s load curve, which could be misleading when seeking to understand future electricity systems. Therefore, it is essential to thoroughly analyze changes in end-use load curves to better align electricity demand with supply. This paper analyzes the characteristics of electricity demand load under China’s future energy transition and economic transformation pathways using the Integrated Energy and Environment Policy Assessment model of China (IPAC). It examines the electricity and energy usage characteristics of various sectors in six typical regions, provides 24-h load curves for two representative days, and evaluates the effectiveness of demand-side response in selected provinces in 2050. The study reveals that, with the </w:t>
      </w:r>
    </w:p>
    <w:p>
      <w:pPr/>
      <w:r>
        <w:rPr>
          <w:b/>
        </w:rPr>
        <w:t>POSSIBLE 2025:</w:t>
      </w:r>
      <w:r>
        <w:t xml:space="preserve"> Supply and Demand Situation and Development Pathway of China's Green Electricity and Green Certificate Markets — https://doi.org/10.1007/978-981-96-2042-5_27</w:t>
      </w:r>
    </w:p>
    <w:p>
      <w:pPr/>
      <w:r>
        <w:rPr>
          <w:b/>
        </w:rPr>
        <w:t>Shared claim-specific concepts:</w:t>
      </w:r>
      <w:r>
        <w:t xml:space="preserve"> electricity, pathway; EU scope not established. This is a provisional connection, not an outcome finding.</w:t>
      </w:r>
    </w:p>
    <w:p>
      <w:pPr>
        <w:pStyle w:val="SourceNote"/>
      </w:pPr>
      <w:r>
        <w:rPr>
          <w:b/>
        </w:rPr>
        <w:t>Available abstract (not full text):</w:t>
      </w:r>
      <w:r>
        <w:t xml:space="preserve"> Unavailable</w:t>
      </w:r>
    </w:p>
    <w:p>
      <w:pPr>
        <w:pStyle w:val="Heading2"/>
      </w:pPr>
      <w:r>
        <w:t>706. European electricity sector decarbonization under different levels of foresight</w:t>
      </w:r>
    </w:p>
    <w:p>
      <w:pPr>
        <w:pStyle w:val="SourceNote"/>
      </w:pPr>
      <w:r>
        <w:rPr>
          <w:b/>
        </w:rPr>
        <w:t>Original source (2019):</w:t>
      </w:r>
      <w:r>
        <w:t xml:space="preserve"> https://doi.org/10.1016/j.renene.2019.02.099</w:t>
      </w:r>
    </w:p>
    <w:p>
      <w:pPr/>
      <w:r>
        <w:t>Original wording (abstract; indexed_source_text_not_full_document_verified): The European Union has set out to reduce the carbon intensity of its electricity generation substantially, as defined in the European Roadmap 2050. Using a CO2 budgetary approach, on the other hand, leads to an even sharper emission reduction in the early periods before 2030, reducing overall costs.</w:t>
      </w:r>
    </w:p>
    <w:p>
      <w:pPr/>
      <w:r>
        <w:rPr>
          <w:b/>
        </w:rPr>
        <w:t>POSSIBLE 2026:</w:t>
      </w:r>
      <w:r>
        <w:t xml:space="preserve"> Carbon reduction commitment, carbon emission intensity, and financial default risk: An empirical analysis of European firms — https://doi.org/10.1177/0958305x261481733</w:t>
      </w:r>
    </w:p>
    <w:p>
      <w:pPr/>
      <w:r>
        <w:rPr>
          <w:b/>
        </w:rPr>
        <w:t>Shared claim-specific concepts:</w:t>
      </w:r>
      <w:r>
        <w:t xml:space="preserve"> union, set, reduce, carbon, intensity, emission; EU scope visible. This is a provisional connection, not an outcome finding.</w:t>
      </w:r>
    </w:p>
    <w:p>
      <w:pPr>
        <w:pStyle w:val="SourceNote"/>
      </w:pPr>
      <w:r>
        <w:rPr>
          <w:b/>
        </w:rPr>
        <w:t>Available abstract (not full text):</w:t>
      </w:r>
      <w:r>
        <w:t xml:space="preserve"> This study uses publicly listed companies headquartered in Europe (including the European Union and the United Kingdom) as a sample of 3299 observations to explore the relationship between corporate carbon reduction commitments, carbon emissions intensity, and financial default risk. Carbon reduction commitment is one of the climate transition risks (CTRs) faced by companies. This study uses a dummy variable representing whether a company has set a carbon reduction target percentage, based on data from the Refinitiv Eikon database, as a proxy for carbon reduction commitment. The data covers the period from 2016 to 2022. The study employs Altman's Z-score, Altman's modified Z’’-score (ZZ model), and Zmijewski's ZM-score models, with variable transformations to measure financial default risk. The empirical results show that higher carbon emissions intensity in Scope 1 and Scope 2 correlates with higher financial default risk. Companies with carbon reduction commitments have lower financial default risk. Further analysis using the interaction term between carbon emissions intensity and carbon reduction commitment reveals that for companies with higher carbon emissions intensity in Scope 1 and Scope 2, carbon reduction commitments have a moderating effect, reducing their financial default risk. This suggests that companies with targets to reduce greenhouse gas emissions can better </w:t>
      </w:r>
    </w:p>
    <w:p>
      <w:pPr/>
      <w:r>
        <w:rPr>
          <w:b/>
        </w:rPr>
        <w:t>POSSIBLE 2026:</w:t>
      </w:r>
      <w:r>
        <w:t xml:space="preserve"> CO2 Emissions Scenarios in the European Union—The Urgency of Carbon Capture and Controlled Economic Growth — https://doi.org/10.3390/su18021043</w:t>
      </w:r>
    </w:p>
    <w:p>
      <w:pPr/>
      <w:r>
        <w:rPr>
          <w:b/>
        </w:rPr>
        <w:t>Shared claim-specific concepts:</w:t>
      </w:r>
      <w:r>
        <w:t xml:space="preserve"> union, set, carbon, intensity, co2, approach; EU scope visible. This is a provisional connection, not an outcome finding.</w:t>
      </w:r>
    </w:p>
    <w:p>
      <w:pPr>
        <w:pStyle w:val="SourceNote"/>
      </w:pPr>
      <w:r>
        <w:rPr>
          <w:b/>
        </w:rPr>
        <w:t>Available abstract (not full text):</w:t>
      </w:r>
      <w:r>
        <w:t xml:space="preserve"> Although greenhouse gas emissions have significantly reduced, the European Union still faces a major challenge in meeting its 2050 net-zero goal set under the European Green Deal. Focusing on the impacts of population, economic output, and carbon intensity of economy, this study employs Index Decomposition Analysis to estimate the reductions in carbon intensity needed to reach this target. The findings show that the extent of the technical effort required for decarbonization is much influenced by economic expansion. Under a 3% annual Gross Domestic Product growth scenario, the EU’s carbon intensity of economy must decline by 11.8% per year, which is a particularly demanding rate given the already low baseline. The decomposition also quantifies the technological challenge: under high growth, up to 5867 MtCO2 in reductions would be needed by 2050 (compared with 1990), with Carbon Capture and Storage (CCS) contributing only 10–15%. In contrast, in zero- or negative-growth scenarios, required reductions fall to 4923–4594 MtCO2, with CCS accounting for up to 50–90%. These results show that decarbonization in EU industrial sectors requires systemic transformations and strategic CCS deployment. A balanced approach, limiting economic growth and increasing innovation, appears essential to achieve the climate neutrality target.</w:t>
      </w:r>
    </w:p>
    <w:p>
      <w:pPr/>
      <w:r>
        <w:rPr>
          <w:b/>
        </w:rPr>
        <w:t>POSSIBLE 2026:</w:t>
      </w:r>
      <w:r>
        <w:t xml:space="preserve"> Land carbon sinks in the European Union are not keeping pace with carbon neutrality expectations — https://doi.org/10.1007/s43979-026-00185-8</w:t>
      </w:r>
    </w:p>
    <w:p>
      <w:pPr/>
      <w:r>
        <w:rPr>
          <w:b/>
        </w:rPr>
        <w:t>Shared claim-specific concepts:</w:t>
      </w:r>
      <w:r>
        <w:t xml:space="preserve"> union, reduce, carbon, substantially, reduction; EU scope visible. This is a provisional connection, not an outcome finding.</w:t>
      </w:r>
    </w:p>
    <w:p>
      <w:pPr>
        <w:pStyle w:val="SourceNote"/>
      </w:pPr>
      <w:r>
        <w:rPr>
          <w:b/>
        </w:rPr>
        <w:t>Available abstract (not full text):</w:t>
      </w:r>
      <w:r>
        <w:t xml:space="preserve"> Abstract The European Union has substantially reduced greenhouse-gas emissions since 1990, yet the land use, land-use change and forestry (LULUCF) sink has not strengthened in parallel. The EU-27 LULUCF balance was approximately −231 MtCO₂e in 2024, while the latest Member State projections indicate a remaining gap of 40–55 MtCO₂e to the binding −310 MtCO₂e target for 2030. Here, we synthesise recent assessments to examine the drivers of this weakening in the land carbon sink and their implications for the effectiveness of climate mitigation policy. Declining forest growth, increased harvesting, climate-driven disturbances, and rising biomass demand reduce net carbon uptake, with one 2040 GLOBIOM sensitivity analysis indicating an approximately 100 MtCO₂e reduction in the LULUCF sink under an additional 20 Mtoe of woody-biomass demand. Concurrently, the EU inventory reported 52.7% uncertainty in the 2022 LULUCF level and 29.4% uncertainty in its trend, while important soil-carbon dynamics remain incompletely represented. These findings indicate that current climate policy frameworks implicitly assume stable, scalable, and rapidly deliverable land-based removals, whereas land carbon sinks are dynamic, disturbance-sensitive, and constrained by biophysical limits. Addressing this mismatch requires land-removal plans to be evaluated through dependable removal capacity, combining ex</w:t>
      </w:r>
    </w:p>
    <w:p>
      <w:pPr/>
      <w:r>
        <w:rPr>
          <w:b/>
        </w:rPr>
        <w:t>POSSIBLE 2026:</w:t>
      </w:r>
      <w:r>
        <w:t xml:space="preserve"> Digital Infrastructure as a Catalyst for Low-Carbon Development: A Panel Data Analysis of the European Union — https://doi.org/10.47852/bonviewglce62029727</w:t>
      </w:r>
    </w:p>
    <w:p>
      <w:pPr/>
      <w:r>
        <w:rPr>
          <w:b/>
        </w:rPr>
        <w:t>Shared claim-specific concepts:</w:t>
      </w:r>
      <w:r>
        <w:t xml:space="preserve"> union, reduce, carbon, intensity, reducing; EU scope visible. This is a provisional connection, not an outcome finding.</w:t>
      </w:r>
    </w:p>
    <w:p>
      <w:pPr>
        <w:pStyle w:val="SourceNote"/>
      </w:pPr>
      <w:r>
        <w:rPr>
          <w:b/>
        </w:rPr>
        <w:t>Available abstract (not full text):</w:t>
      </w:r>
      <w:r>
        <w:t xml:space="preserve"> This study examines how digital infrastructure expansion shaped carbon intensity across the EU-27 member states from 2015 to 2021. Using a Fixed Effects panel model with White Diagonal robust standard errors, the research tests for an Environmental Kuznets Curve (EKC) pattern in digital adoption. The results of the empirical analysis confirm an inverted U-shaped relationship between fixed broadband penetration and carbon intensity, reaching an inflection threshold at approximately 24.8 subscriptions per 100 residents. Initial infrastructure build-outs raise emissions due to added power requirements. Once networks cross this 24.8 threshold, structural efficiency gains and automated energy monitoring reduce overall carbon intensity. These findings indicate that while early-stage digital expansion initially correlates with higher energy demand, advanced digitalization is associated with lower carbon intensity, reflecting structural efficiency and better energy control. Furthermore, the analysis highlights the key contribution of renewable energy and economic development in reducing the EU's environmental impact. Additional channels and heterogeneity analyses indicate that broadband connectivity is positively associated with renewable-energy deployment and that its decarbonization effect is significantly stronger in countries with higher digital maturity. These findings support a c</w:t>
      </w:r>
    </w:p>
    <w:p>
      <w:pPr/>
      <w:r>
        <w:rPr>
          <w:b/>
        </w:rPr>
        <w:t>POSSIBLE 2025:</w:t>
      </w:r>
      <w:r>
        <w:t xml:space="preserve"> Carbon Emission Intensity and Investment Efficiency in the European Union: The Moderating Role of Analyst Coverage and Environmental Innovation — https://doi.org/10.30784/epfad.1723582</w:t>
      </w:r>
    </w:p>
    <w:p>
      <w:pPr/>
      <w:r>
        <w:rPr>
          <w:b/>
        </w:rPr>
        <w:t>Shared claim-specific concepts:</w:t>
      </w:r>
      <w:r>
        <w:t xml:space="preserve"> union, set, carbon, intensity, emission; EU scope visible. This is a provisional connection, not an outcome finding.</w:t>
      </w:r>
    </w:p>
    <w:p>
      <w:pPr>
        <w:pStyle w:val="SourceNote"/>
      </w:pPr>
      <w:r>
        <w:rPr>
          <w:b/>
        </w:rPr>
        <w:t>Available abstract (not full text):</w:t>
      </w:r>
      <w:r>
        <w:t xml:space="preserve"> This study examines the impact of carbon emission intensity (CEI) on investment efficiency (IE) as well as the moderating role of analyst coverage and environmental innovation in this relationship for firms operating in the European Union (EU). A panel data set consisting of 5,501 observations of 931 firms for the period 2008-2023 is used. Empirical analyses conducted using the OLS method estimated with Driscoll-Kraay standard errors show that CEI has an overall negative effect on IE, and this effect is particularly pronounced for firms that over-invest. These main findings are robust to alternative investment efficiency measures and alternative estimation methodologies. In addition, analyst coverage and environmental innovation exacerbate the negative effect of CEI on IE. Last, heterogeneity analyses indicate that the negative effect of CEI on IE is stronger for firms with lower levels of green revenue and those not participating in the Emissions Trading System (ETS). The study reveals that policies to increase IE should be designed by taking into account firm- and sector-level conditions.</w:t>
      </w:r>
    </w:p>
    <w:p>
      <w:pPr/>
      <w:r>
        <w:rPr>
          <w:b/>
        </w:rPr>
        <w:t>POSSIBLE 2025:</w:t>
      </w:r>
      <w:r>
        <w:t xml:space="preserve"> Land-based carbon neutrality efficiency in the European Union — https://doi.org/10.1186/s13021-025-00345-w</w:t>
      </w:r>
    </w:p>
    <w:p>
      <w:pPr/>
      <w:r>
        <w:rPr>
          <w:b/>
        </w:rPr>
        <w:t>Shared claim-specific concepts:</w:t>
      </w:r>
      <w:r>
        <w:t xml:space="preserve"> union, carbon, emission, reduction; EU scope visible. This is a provisional connection, not an outcome finding.</w:t>
      </w:r>
    </w:p>
    <w:p>
      <w:pPr>
        <w:pStyle w:val="SourceNote"/>
      </w:pPr>
      <w:r>
        <w:rPr>
          <w:b/>
        </w:rPr>
        <w:t>Available abstract (not full text):</w:t>
      </w:r>
      <w:r>
        <w:t xml:space="preserve"> The European Union (EU) has promised to achieve net-zero emissions via carbon neutrality by 2050. The aim of this research is to evaluate carbon neutrality efficiencies on forest and agricultural lands in the EU. The study finds that carbon neutrality efficiency can be computed by a multiplication of carbon emissions efficiency, carbon sink efficiency, and the target of carbon neutrality. We further divide the EU countries into a green group with continuous carbon emission reduction, a gray group with a continuous carbon emission increase, and a mixed group without a continuous carbon emission reduction or increase. The findings are as follows. (i) Carbon neutrality management is less of a focus than carbon emission management. (ii) There is a trade-off relationship between forest carbon neutrality efficiency and agricultural land efficiency. (iii) Countries in the green group exhibit great heterogeneity in their GDP than those in the gray and mixed groups. (iv) The green group countries exhibit heterogeneous economic structures, and their carbon neutrality performance reflects the overall pattern observed in the EU. The EU aims for carbon neutrality by 2050. This study assesses the efficiency of forest and agricultural lands in achieving this goal, based on emissions efficiency, carbon sink efficiency, and the target. The EU is divided into three groups: green (emission reduct</w:t>
      </w:r>
    </w:p>
    <w:p>
      <w:pPr/>
      <w:r>
        <w:rPr>
          <w:b/>
        </w:rPr>
        <w:t>POSSIBLE 2025:</w:t>
      </w:r>
      <w:r>
        <w:t xml:space="preserve"> Carbon Policies and Liner Speed Optimization: Comparisons of Carbon Trading and Carbon Tax Combined with the European Union Emissions Trading Scheme — https://doi.org/10.3390/jmse13020204</w:t>
      </w:r>
    </w:p>
    <w:p>
      <w:pPr/>
      <w:r>
        <w:rPr>
          <w:b/>
        </w:rPr>
        <w:t>Shared claim-specific concepts:</w:t>
      </w:r>
      <w:r>
        <w:t xml:space="preserve"> union, reduce, carbon, defined, other, reduction; EU scope visible. This is a provisional connection, not an outcome finding.</w:t>
      </w:r>
    </w:p>
    <w:p>
      <w:pPr>
        <w:pStyle w:val="SourceNote"/>
      </w:pPr>
      <w:r>
        <w:rPr>
          <w:b/>
        </w:rPr>
        <w:t>Available abstract (not full text):</w:t>
      </w:r>
      <w:r>
        <w:t xml:space="preserve"> This paper explores how optimizing vessel speeds can help reduce carbon emissions in the maritime industry. Focusing on liner shipping routes between China and Europe, it examines how carbon pricing mechanisms, including carbon taxes and emissions trading under the European Union Emissions Trading Scheme (EU ETS), impact operational costs and emissions reduction. With the use of advanced optimization methods, such as the Non-dominated Sorting Genetic Algorithm-II (NSGA-II) and the Technique for Order of Preference by Similarity to an Ideal Solution (TOPSIS), this research explores the balance between adjusting vessel speeds and minimizing emissions. The findings show that shipping companies on the China–Europe route can reduce the financial strain of carbon pricing by carefully managing speeds and voyage times. This study compares two scenarios of carbon tax policy and carbon trading rights in terms of voyage costs and carbon emissions. The results of this comparison based on the given parameters indicate a reduction of 1124 tons of carbon emissions with the carbon tax policy scenario, while the carbon trading rights scenario allows for more voyages yearly (5.24 vs. 5.30). This demonstrates one policy being more economical, while the other is also more environmentally efficient. These insights support the development of strategies that align environmental goals with economic pr</w:t>
      </w:r>
    </w:p>
    <w:p>
      <w:pPr/>
      <w:r>
        <w:rPr>
          <w:b/>
        </w:rPr>
        <w:t>POSSIBLE 2025:</w:t>
      </w:r>
      <w:r>
        <w:t xml:space="preserve"> Value Added Tax in European Union — https://doi.org/10.61801/ouaess.2024.2.69</w:t>
      </w:r>
    </w:p>
    <w:p>
      <w:pPr/>
      <w:r>
        <w:rPr>
          <w:b/>
        </w:rPr>
        <w:t>Shared claim-specific concepts:</w:t>
      </w:r>
      <w:r>
        <w:t xml:space="preserve"> union, set, out, approach; EU scope visible. This is a provisional connection, not an outcome finding.</w:t>
      </w:r>
    </w:p>
    <w:p>
      <w:pPr>
        <w:pStyle w:val="SourceNote"/>
      </w:pPr>
      <w:r>
        <w:rPr>
          <w:b/>
        </w:rPr>
        <w:t>Available abstract (not full text):</w:t>
      </w:r>
      <w:r>
        <w:t xml:space="preserve"> EU member states he was trying through reforms to create a system as adaptable as possible to future situations and as much as possible the full.Therefore, we find useful an analysis on the efficiency of collecting value tax added to highlight the yield of the tax mechanism.The approach to this problem started from the recent changes to this type of tax and the importance it has among all citizens of the Member States to bear this tax and because it is the largest source of income from indirect taxes.In our research, we set out to focus more on two indicators of efficiency of the VAT at the member states of the European Union, namely: the indicator for assessment of the efficiency of the VAT (VRR) and the indicator of the VAT collection deficit in percentage treatment (VAT gap).</w:t>
      </w:r>
    </w:p>
    <w:p>
      <w:pPr/>
      <w:r>
        <w:rPr>
          <w:b/>
        </w:rPr>
        <w:t>POSSIBLE 2025:</w:t>
      </w:r>
      <w:r>
        <w:t xml:space="preserve"> Stone on European Union Design Law — https://doi.org/10.1093/9780191880261.001.0001</w:t>
      </w:r>
    </w:p>
    <w:p>
      <w:pPr/>
      <w:r>
        <w:rPr>
          <w:b/>
        </w:rPr>
        <w:t>Shared claim-specific concepts:</w:t>
      </w:r>
      <w:r>
        <w:t xml:space="preserve"> union, set, out, other; EU scope visible. This is a provisional connection, not an outcome finding.</w:t>
      </w:r>
    </w:p>
    <w:p>
      <w:pPr>
        <w:pStyle w:val="SourceNote"/>
      </w:pPr>
      <w:r>
        <w:rPr>
          <w:b/>
        </w:rPr>
        <w:t>Available abstract (not full text):</w:t>
      </w:r>
      <w:r>
        <w:t xml:space="preserve"> Abstract Stone on European Union Design Law: A Practitioners’ Guide provides a detailed and thorough review of EU-wide law protecting the appearance of a product. It sets out the history of the development of the law from the 1960s to the 2024 amendments, examining the provision of EU-wide registered designs (REUDs or previously RCDs) which provide up to 25 years protection from designs which create the same overall impression on the informed user, and the unregistered EU design (previously unregistered Community design) lasting three years for designs first disclosed within the EU (infringement of unregistered EU designs also requires proof of copying). The book examines the definitions of ‘design’ and ‘product’, the requirements for validity (novelty and individual character), as well as the prior designs to be considered. Other bases for invalidity are also considered. Infringement is discussed, as well as defences to infringement and the remedies available under the Design Regulation and the Enforcement Directive. The jurisdiction of EU design courts (formerly Community design courts) is discussed. The differences between the Regulation and the Directive are also set out. The text refers to all the major decisions of the Court of Justice and General Court, as well as significant decisions from the EUIPO and courts in member states.</w:t>
      </w:r>
    </w:p>
    <w:p>
      <w:pPr/>
      <w:r>
        <w:rPr>
          <w:b/>
        </w:rPr>
        <w:t>POSSIBLE 2024:</w:t>
      </w:r>
      <w:r>
        <w:t xml:space="preserve"> The European Union and the Wider Europe — https://doi.org/10.1017/9781009230322.017</w:t>
      </w:r>
    </w:p>
    <w:p>
      <w:pPr/>
      <w:r>
        <w:rPr>
          <w:b/>
        </w:rPr>
        <w:t>Shared claim-specific concepts:</w:t>
      </w:r>
      <w:r>
        <w:t xml:space="preserve"> union, set, out, other; EU scope visible. This is a provisional connection, not an outcome finding.</w:t>
      </w:r>
    </w:p>
    <w:p>
      <w:pPr>
        <w:pStyle w:val="SourceNote"/>
      </w:pPr>
      <w:r>
        <w:rPr>
          <w:b/>
        </w:rPr>
        <w:t>Available abstract (not full text):</w:t>
      </w:r>
      <w:r>
        <w:t xml:space="preserve"> This new edition sets out an account of EU law that includes not only that law's established features, but captures its development in recent years and the challenges facing the European Union. With dedicated new chapters on climate change, data protection, free movement of capital, and the EU's relations with other European States, topics such as the Union's response to covid-19 and the Ukraine crisis are addressed in detail. As with previous editions, the new edition integrates case law, legislation, academic materials and wider policy contributions in a way that broadens students' understanding of the law and prompts greater critical reflection on the limits, challenges, and possibilities of EU law. It seeks to set out EU law not so much as a series of laws to be learned but as something that stimulates heavy debate about some of the most contentious and significant issues of our time.</w:t>
      </w:r>
    </w:p>
    <w:p>
      <w:pPr/>
      <w:r>
        <w:rPr>
          <w:b/>
        </w:rPr>
        <w:t>POSSIBLE 2024:</w:t>
      </w:r>
      <w:r>
        <w:t xml:space="preserve"> European Union Law — https://doi.org/10.1017/9781009230322</w:t>
      </w:r>
    </w:p>
    <w:p>
      <w:pPr/>
      <w:r>
        <w:rPr>
          <w:b/>
        </w:rPr>
        <w:t>Shared claim-specific concepts:</w:t>
      </w:r>
      <w:r>
        <w:t xml:space="preserve"> union, set, out, other; EU scope visible. This is a provisional connection, not an outcome finding.</w:t>
      </w:r>
    </w:p>
    <w:p>
      <w:pPr>
        <w:pStyle w:val="SourceNote"/>
      </w:pPr>
      <w:r>
        <w:rPr>
          <w:b/>
        </w:rPr>
        <w:t>Available abstract (not full text):</w:t>
      </w:r>
      <w:r>
        <w:t xml:space="preserve"> This new edition sets out an account of EU law that includes not only that law's established features, but captures its development in recent years and the challenges facing the European Union. With dedicated new chapters on climate change, data protection, free movement of capital, and the EU's relations with other European States, topics such as the Union's response to covid-19 and the Ukraine crisis are addressed in detail. As with previous editions, the new edition integrates case law, legislation, academic materials and wider policy contributions in a way that broadens students' understanding of the law and prompts greater critical reflection on the limits, challenges, and possibilities of EU law. It seeks to set out EU law not so much as a series of laws to be learned but as something that stimulates heavy debate about some of the most contentious and significant issues of our time.</w:t>
      </w:r>
    </w:p>
    <w:p>
      <w:pPr/>
      <w:r>
        <w:rPr>
          <w:b/>
        </w:rPr>
        <w:t>POSSIBLE 2024:</w:t>
      </w:r>
      <w:r>
        <w:t xml:space="preserve"> European Integration and the Treaties on European Union — https://doi.org/10.1017/9781009230322.008</w:t>
      </w:r>
    </w:p>
    <w:p>
      <w:pPr/>
      <w:r>
        <w:rPr>
          <w:b/>
        </w:rPr>
        <w:t>Shared claim-specific concepts:</w:t>
      </w:r>
      <w:r>
        <w:t xml:space="preserve"> union, set, out, other; EU scope visible. This is a provisional connection, not an outcome finding.</w:t>
      </w:r>
    </w:p>
    <w:p>
      <w:pPr>
        <w:pStyle w:val="SourceNote"/>
      </w:pPr>
      <w:r>
        <w:rPr>
          <w:b/>
        </w:rPr>
        <w:t>Available abstract (not full text):</w:t>
      </w:r>
      <w:r>
        <w:t xml:space="preserve"> This new edition sets out an account of EU law that includes not only that law's established features, but captures its development in recent years and the challenges facing the European Union. With dedicated new chapters on climate change, data protection, free movement of capital, and the EU's relations with other European States, topics such as the Union's response to covid-19 and the Ukraine crisis are addressed in detail. As with previous editions, the new edition integrates case law, legislation, academic materials and wider policy contributions in a way that broadens students' understanding of the law and prompts greater critical reflection on the limits, challenges, and possibilities of EU law. It seeks to set out EU law not so much as a series of laws to be learned but as something that stimulates heavy debate about some of the most contentious and significant issues of our time.</w:t>
      </w:r>
    </w:p>
    <w:p>
      <w:pPr>
        <w:pStyle w:val="Heading2"/>
      </w:pPr>
      <w:r>
        <w:t>707. Flexible electricity generation, grid exchange and storage for the transition to a 100% renewable energy system in Europe</w:t>
      </w:r>
    </w:p>
    <w:p>
      <w:pPr>
        <w:pStyle w:val="SourceNote"/>
      </w:pPr>
      <w:r>
        <w:rPr>
          <w:b/>
        </w:rPr>
        <w:t>Original source (2019):</w:t>
      </w:r>
      <w:r>
        <w:t xml:space="preserve"> https://doi.org/10.1016/j.renene.2019.02.077</w:t>
      </w:r>
    </w:p>
    <w:p>
      <w:pPr/>
      <w:r>
        <w:t>Original wording (abstract; indexed_source_text_not_full_document_verified): Two transition pathways towards a 100% renewable energy (RE) power sector by 2050 are simulated for Europe using the LUT Energy System Transition model. Results of the optimisation suggest that the levelised cost of electricity could fall from the current 69 €/MWh to 56 €/MWh in the Regions scenario and 51 €/MWh in the Area scenario through the adoption of low cost, flexible RE generation and energy storage.</w:t>
      </w:r>
    </w:p>
    <w:p>
      <w:pPr/>
      <w:r>
        <w:rPr>
          <w:b/>
        </w:rPr>
        <w:t>POSSIBLE 2026:</w:t>
      </w:r>
      <w:r>
        <w:t xml:space="preserve"> European Circular Economy Structural Typology Based on Multivariate Analysis of Latent Dimensions and Transition Pathways — https://doi.org/10.1002/sd.71629</w:t>
      </w:r>
    </w:p>
    <w:p>
      <w:pPr/>
      <w:r>
        <w:rPr>
          <w:b/>
        </w:rPr>
        <w:t>Shared claim-specific concepts:</w:t>
      </w:r>
      <w:r>
        <w:t xml:space="preserve"> two, transition, pathways, energy; EU scope visible. This is a provisional connection, not an outcome finding.</w:t>
      </w:r>
    </w:p>
    <w:p>
      <w:pPr>
        <w:pStyle w:val="SourceNote"/>
      </w:pPr>
      <w:r>
        <w:rPr>
          <w:b/>
        </w:rPr>
        <w:t>Available abstract (not full text):</w:t>
      </w:r>
      <w:r>
        <w:t xml:space="preserve"> ABSTRACT Transition towards a circular economy has become a strategic priority for the European Union, although Member States continue to exhibit substantial differences in economic performance, resource efficiency and circular economy implementation. Understanding these structural differences is essential for designing effective policy interventions. This study identifies latent dimensions of circular economy performance and develops a statistically validated structural typology of circular economy transition pathways across the EU‐27. The analysis uses a balanced panel of 378 country‐year observations covering 27 European Union Member States during 2010–2023, based on six harmonised Eurostat indicators. Following logarithmic transformation and Z ‐score standardisation, the analytical framework combines Principal Component Analysis, Horn's Parallel Analysis, K‐means++ clustering, cluster validation criteria (Elbow, Silhouette, Calinski–Harabasz and Davies–Bouldin indices), post hoc statistical tests, and temporal robustness analysis. Two latent dimensions explain 79.53% of total variance, representing economic and resource‐energy performance and circular economy transition intensity. These dimensions identify four statistically distinct country groups, revealing persistent structural differences in the way Member States combine productive efficiency with circular economy imple</w:t>
      </w:r>
    </w:p>
    <w:p>
      <w:pPr/>
      <w:r>
        <w:rPr>
          <w:b/>
        </w:rPr>
        <w:t>POSSIBLE 2026:</w:t>
      </w:r>
      <w:r>
        <w:t xml:space="preserve"> Two universal pathways in demographic transition — https://doi.org/10.1017/ehs.2026.10054</w:t>
      </w:r>
    </w:p>
    <w:p>
      <w:pPr/>
      <w:r>
        <w:rPr>
          <w:b/>
        </w:rPr>
        <w:t>Shared claim-specific concepts:</w:t>
      </w:r>
      <w:r>
        <w:t xml:space="preserve"> two, transition, pathways, regions, low; EU scope not established. This is a provisional connection, not an outcome finding.</w:t>
      </w:r>
    </w:p>
    <w:p>
      <w:pPr>
        <w:pStyle w:val="SourceNote"/>
      </w:pPr>
      <w:r>
        <w:rPr>
          <w:b/>
        </w:rPr>
        <w:t>Available abstract (not full text):</w:t>
      </w:r>
      <w:r>
        <w:t xml:space="preserve"> Abstract Demographic transition, characterised by declines in fertility and mortality, is a global phenomenon associated with modernisation. While typical patterns of fertility decline have been described mainly in Western countries, their applicability to other regions and the underlying mechanisms remain unclear. Using data spanning 1800–2020 from 237 countries and territories, this study identifies two universal pathways in the change in the crude birth rate (births per 1,000 person-years, λ) and period life expectancy at birth (e0). Most countries’ demographic trajectories follow one of these two pathways or shift between them. These pathways define phases governed by different mechanisms. Phase I, conserving λe0, dominated until the mid-20th century and was characterised by high child mortality and steady population growth. By contrast, Phase II, conserving λ exp(e0/17), has prevailed since 1950 and is marked by low child mortality and steady growth in GDP per capita. A theoretical model considering the trade-off between reproduction and education elucidates the transition between these phases. The transition to Phase II is accelerated by declining educational costs, rising social mobility, and cultural transmission linked to modernisation and Westernisation. This study demonstrates quantitative regularities between fertility and longevity during demographic transition and</w:t>
      </w:r>
    </w:p>
    <w:p>
      <w:pPr/>
      <w:r>
        <w:rPr>
          <w:b/>
        </w:rPr>
        <w:t>POSSIBLE 2026:</w:t>
      </w:r>
      <w:r>
        <w:t xml:space="preserve"> GreenPaths project: European knowledge hub on just transition pathway. Deliverable number: D4.3 Discussion paper on the political economy of green transitions — https://openalex.org/W7222857412</w:t>
      </w:r>
    </w:p>
    <w:p>
      <w:pPr/>
      <w:r>
        <w:rPr>
          <w:b/>
        </w:rPr>
        <w:t>Shared claim-specific concepts:</w:t>
      </w:r>
      <w:r>
        <w:t xml:space="preserve"> transition, pathways, power; EU scope visible. This is a provisional connection, not an outcome finding.</w:t>
      </w:r>
    </w:p>
    <w:p>
      <w:pPr>
        <w:pStyle w:val="SourceNote"/>
      </w:pPr>
      <w:r>
        <w:rPr>
          <w:b/>
        </w:rPr>
        <w:t>Available abstract (not full text):</w:t>
      </w:r>
      <w:r>
        <w:t xml:space="preserve"> This discussion paper, on the political economy of just transitions, examines how power relations, economic structures, and political institutions work towards shaping policy outcomes and distributional consequences in the context of just transition. It moves beyond technical or managerial framings to interrogate the costs and benefits – or who might win or lose – from different transition pathways, how capital accumulation patterns are reconfigured or reproduced, and which social forces drive or resist transformation. Hence, the discussion paper adopts a political economy lens to reveal the underlying conflicts and power asymmetries that different stakeholders’ positions reflect, and to assess whether proposed transition frameworks challenge or reinforce existing patterns of inequality and exploitation.</w:t>
      </w:r>
    </w:p>
    <w:p>
      <w:pPr/>
      <w:r>
        <w:rPr>
          <w:b/>
        </w:rPr>
        <w:t>POSSIBLE 2026:</w:t>
      </w:r>
      <w:r>
        <w:t xml:space="preserve"> D8.2: 'Just' transition pathway &amp; intermediate targets — https://doi.org/10.5281/zenodo.20486783</w:t>
      </w:r>
    </w:p>
    <w:p>
      <w:pPr/>
      <w:r>
        <w:rPr>
          <w:b/>
        </w:rPr>
        <w:t>Shared claim-specific concepts:</w:t>
      </w:r>
      <w:r>
        <w:t xml:space="preserve"> two, transition, pathways; EU scope visible. This is a provisional connection, not an outcome finding.</w:t>
      </w:r>
    </w:p>
    <w:p>
      <w:pPr>
        <w:pStyle w:val="SourceNote"/>
      </w:pPr>
      <w:r>
        <w:rPr>
          <w:b/>
        </w:rPr>
        <w:t>Available abstract (not full text):</w:t>
      </w:r>
      <w:r>
        <w:t xml:space="preserve"> This report, developed by the ZeroW Policy Team under Task 8.2: A ‘just’ transition pathway and intermediate targets to near-zero FLW by 2050 (Grant Agreement no. 101036388), examines what a just and realistic pathway for reducing Food Loss and Waste in the European Union could look like by 2030. Building on the modelling simulations presented in D8.1, the report analyses three alternative transition policy pathways, identifies key trade offs and threshold levels, and proposes intermediate targets that balance ambition with feasibility. The findings are validated through stakeholder input gathered during two working group roundtables and further informed by the work of the ZeroW Systemic Innovation Living Labs. The deliverable also presents a set of Just Pathway Actions designed to support policymakers in addressing unintended consequences, enabling fair implementation, and shaping more targeted policy interventions for future EU policy briefs.</w:t>
      </w:r>
    </w:p>
    <w:p>
      <w:pPr/>
      <w:r>
        <w:rPr>
          <w:b/>
        </w:rPr>
        <w:t>POSSIBLE 2026:</w:t>
      </w:r>
      <w:r>
        <w:t xml:space="preserve"> Narrating power: the European Commission and the geopolitics of the energy transition — https://doi.org/10.1080/09662839.2025.2599239</w:t>
      </w:r>
    </w:p>
    <w:p>
      <w:pPr/>
      <w:r>
        <w:rPr>
          <w:b/>
        </w:rPr>
        <w:t>Shared claim-specific concepts:</w:t>
      </w:r>
      <w:r>
        <w:t xml:space="preserve"> transition, energy, power; EU scope visible. This is a provisional connection, not an outcome finding.</w:t>
      </w:r>
    </w:p>
    <w:p>
      <w:pPr>
        <w:pStyle w:val="SourceNote"/>
      </w:pPr>
      <w:r>
        <w:rPr>
          <w:b/>
        </w:rPr>
        <w:t>Available abstract (not full text):</w:t>
      </w:r>
      <w:r>
        <w:t xml:space="preserve"> The European Commission (EC) seeks to position the EU as a global leader in the energy transition by enhancing its geopolitical influence and reducing its dependence on fossil fuels. This paper analyses the EC’s narratives on energy transition and decarbonisation in relation to the EU’s emerging geopolitical actorness. Drawing on a critical geopolitical perspective, it shows how speeches by EC representatives strategically deploy narratives to construct the EU’s identity as a leading global actor in energy transition governance, one that integrates the roles of a competitive economic power, a normative power and a geopolitical power. Furthermore, this paper illustrates that the EC simultaneously reimagines the geopolitical configuration of its energy relations by redefining its international partnerships and dependencies. In doing so, the EC reinforces the EU’s self-image as a centre of values projected onto the energy transition, even though this value framework is applied selectively.</w:t>
      </w:r>
    </w:p>
    <w:p>
      <w:pPr/>
      <w:r>
        <w:rPr>
          <w:b/>
        </w:rPr>
        <w:t>POSSIBLE 2026:</w:t>
      </w:r>
      <w:r>
        <w:t xml:space="preserve"> Editorial: Just energy transitions for Europe and beyond — https://doi.org/10.3389/fpos.2026.1815295</w:t>
      </w:r>
    </w:p>
    <w:p>
      <w:pPr/>
      <w:r>
        <w:rPr>
          <w:b/>
        </w:rPr>
        <w:t>Shared claim-specific concepts:</w:t>
      </w:r>
      <w:r>
        <w:t xml:space="preserve"> two, transition, renewable, energy, regions; EU scope visible. This is a provisional connection, not an outcome finding.</w:t>
      </w:r>
    </w:p>
    <w:p>
      <w:pPr>
        <w:pStyle w:val="SourceNote"/>
      </w:pPr>
      <w:r>
        <w:rPr>
          <w:b/>
        </w:rPr>
        <w:t>Available abstract (not full text):</w:t>
      </w:r>
      <w:r>
        <w:t xml:space="preserve"> examined. In doing so, it treats justice as both an analytical category and a governance problem. Rather than treating justice as an assumed virtue of decarbonisation, the contributions examine how it is constructed, where it is limited, and how it may be re-imagined in light of contemporary transition dynamics. The contributions move across levels of analysis, from conceptual clarification and legal design to social contestation and geopolitical restructuring, revealing how justice is constructed and constrained in practice. The contributions also touch upon various dimensions of environmental and climate justice, including their distributive and procedural dimensions. 4 A first step in this endeavour is not merely to endorse "justice" as a goal, but to understand how it is constructed across the domains that shape transition governance. Chiara et al. approach this by comparing two discursive arenas that do not always speak fluently to one another: institutional texts associated with the EU's Just Transition Mechanism, and a corpus of scientific literature on energy and environmental justice published between 2020 and 2023. Using thematic analysis, they identify three overarching dimensions through which "just transition" is articulated -its focus (including the levels of abstraction at which problems are framed), its justice claims (the forms and dimensions of justice that ar</w:t>
      </w:r>
    </w:p>
    <w:p>
      <w:pPr/>
      <w:r>
        <w:rPr>
          <w:b/>
        </w:rPr>
        <w:t>POSSIBLE 2026:</w:t>
      </w:r>
      <w:r>
        <w:t xml:space="preserve"> Energy systems in transition and post-transition — https://doi.org/10.2298/tsci260105069g</w:t>
      </w:r>
    </w:p>
    <w:p>
      <w:pPr/>
      <w:r>
        <w:rPr>
          <w:b/>
        </w:rPr>
        <w:t>Shared claim-specific concepts:</w:t>
      </w:r>
      <w:r>
        <w:t xml:space="preserve"> two, transition, energy, power, system; EU scope visible. This is a provisional connection, not an outcome finding.</w:t>
      </w:r>
    </w:p>
    <w:p>
      <w:pPr>
        <w:pStyle w:val="SourceNote"/>
      </w:pPr>
      <w:r>
        <w:rPr>
          <w:b/>
        </w:rPr>
        <w:t>Available abstract (not full text):</w:t>
      </w:r>
      <w:r>
        <w:t xml:space="preserve"> The paper aims at providing an overview of the most significant theoretical concepts of transition. It introduces the concept of the energy system as a cluster of structures surrounded by external structures, and develops a corresponding set of indicators for both internal and surrounding (environmental) components. It further reviews and integrates key theoretical concepts of energy transition and out-lines relevant transition indicators. Particular attention is given to the issue of a just energy transition, based on a review of the academic literature. Furthermore, the paper develops a framework for assessing power system competitiveness along energy transition trajectories. Two categories of indicators are considered: one based on costs, CO₂ emissions as well as energy output, and an-other indicating system dispatchability. This concept is applied to real power systems in nine European countries under a hypothetical energy transition scenario and the results are evaluated. Across all cases considered, the results show that power systems exhibit higher competitiveness, according to both indicators on a transition path from solid fossil fuels to nuclear power than on a corresponding path to wind energy. The analysis is extended to issues of secondary and final energy storage in the energy transition and introduces the concept of an energy post-transition. A corresponding fram</w:t>
      </w:r>
    </w:p>
    <w:p>
      <w:pPr/>
      <w:r>
        <w:rPr>
          <w:b/>
        </w:rPr>
        <w:t>POSSIBLE 2026:</w:t>
      </w:r>
      <w:r>
        <w:t xml:space="preserve"> TRANSITION AND POST-TRANSITION OF POWER SYSTEMS — https://doi.org/10.46793/eep25.018g</w:t>
      </w:r>
    </w:p>
    <w:p>
      <w:pPr/>
      <w:r>
        <w:rPr>
          <w:b/>
        </w:rPr>
        <w:t>Shared claim-specific concepts:</w:t>
      </w:r>
      <w:r>
        <w:t xml:space="preserve"> two, transition, energy, power, system; EU scope visible. This is a provisional connection, not an outcome finding.</w:t>
      </w:r>
    </w:p>
    <w:p>
      <w:pPr>
        <w:pStyle w:val="SourceNote"/>
      </w:pPr>
      <w:r>
        <w:rPr>
          <w:b/>
        </w:rPr>
        <w:t>Available abstract (not full text):</w:t>
      </w:r>
      <w:r>
        <w:t xml:space="preserve"> The most significant theoretical concepts of transition are shortly discussed. The concept of the power system as cluster of the internal structures in the environment of external structures is presented and discussed. The indicators that describe the individual structures, as well as some of the surrounding structures are proposed and discussed. An overview of the most significant energy transition’s theoretical concepts is shortly presented. The specific indicators of the energy transition are also presented and discussed. The concept of the power system’s competitiveness on the energy transition trajectory is discussed with the appropriate two types of indicators. First type comprises costs, carbon dioxide emission and energy produced, while the other indicate power system’s dispatchability. The results of the competitiveness analysis of the real power systems in nine European countries in hypothetical energy transition from solid fossil fuels to wind turbines, as well as to nuclear power plants are presented and discussed. The results point out that in each considered country power system is more competitive, on transition trajectory from solid fossil fuels to nuclear power plants than on the trajectory from solid fossil fuels to wind turbines. The problem of the power system’s dispatchability in real transition is discussed. The problems of storing the secondary and the fi</w:t>
      </w:r>
    </w:p>
    <w:p>
      <w:pPr/>
      <w:r>
        <w:rPr>
          <w:b/>
        </w:rPr>
        <w:t>POSSIBLE 2026:</w:t>
      </w:r>
      <w:r>
        <w:t xml:space="preserve"> Transition Pathways Towards Sustainable Maritime Logistics in Europe: A PCA–Cluster Analysis Based on Eurostat Indicators — https://doi.org/10.3390/su18157995</w:t>
      </w:r>
    </w:p>
    <w:p>
      <w:pPr/>
      <w:r>
        <w:rPr>
          <w:b/>
        </w:rPr>
        <w:t>Shared claim-specific concepts:</w:t>
      </w:r>
      <w:r>
        <w:t xml:space="preserve"> transition, pathways, energy; EU scope visible. This is a provisional connection, not an outcome finding.</w:t>
      </w:r>
    </w:p>
    <w:p>
      <w:pPr>
        <w:pStyle w:val="SourceNote"/>
      </w:pPr>
      <w:r>
        <w:rPr>
          <w:b/>
        </w:rPr>
        <w:t>Available abstract (not full text):</w:t>
      </w:r>
      <w:r>
        <w:t xml:space="preserve"> Background: Sustainable maritime logistics has become a strategic priority for achieving the European Green Deal objectives and accelerating the transition towards low-carbon and resource-efficient transport systems. Nevertheless, existing studies mainly focus on isolated sustainability dimensions, providing limited evidence on the heterogeneous transition patterns followed by European countries. This study proposes an integrated analytical framework to identify and characterise longitudinal transition patterns towards sustainable maritime logistics across Europe. Methods: A harmonised database was developed using Eurostat indicators covering European countries for the period 2015–2023. Following data preprocessing, missing-value treatment and standardisation, Principal Component Analysis (PCA) was employed to reduce dimensionality, while cluster analysis was applied to identify groups of countries sharing similar sustainability and logistics transition characteristics. Results: The proposed framework reveals that the transition towards sustainable maritime logistics does not follow a single homogeneous pattern but multiple differentiated pathways. The analysis identifies distinct country profiles associated with energy transition, modal integration, circular economy performance and environmental sustainability, highlighting heterogeneous convergence dynamics throughout the stu</w:t>
      </w:r>
    </w:p>
    <w:p>
      <w:pPr/>
      <w:r>
        <w:rPr>
          <w:b/>
        </w:rPr>
        <w:t>POSSIBLE 2026:</w:t>
      </w:r>
      <w:r>
        <w:t xml:space="preserve"> Energy pathway variety and the progress of the energy transition in European countries — https://doi.org/10.48550/arxiv.2609.09607</w:t>
      </w:r>
    </w:p>
    <w:p>
      <w:pPr/>
      <w:r>
        <w:rPr>
          <w:b/>
        </w:rPr>
        <w:t>Shared claim-specific concepts:</w:t>
      </w:r>
      <w:r>
        <w:t xml:space="preserve"> transition, renewable, energy, system; EU scope visible. This is a provisional connection, not an outcome finding.</w:t>
      </w:r>
    </w:p>
    <w:p>
      <w:pPr>
        <w:pStyle w:val="SourceNote"/>
      </w:pPr>
      <w:r>
        <w:rPr>
          <w:b/>
        </w:rPr>
        <w:t>Available abstract (not full text):</w:t>
      </w:r>
      <w:r>
        <w:t xml:space="preserve"> The integration of new energy forms into existing energy infrastructure has emerged as a critical challenge in the context of the pursuit of a sustainable energy transition. One of the main challenges is understanding how this integration takes place not only from the introduction, but also as energy follows existing paths or creates new ones through which it is transformed and used by different activities. Here we introduce techniques from network science to analyse this process for the case of 29 European countries between 1992 and 2021. We study how new energy forms increase or decrease the variety (heterogeneity) of paths through the system of each country by establishing new ones and replacing or phasing out existing ones. We find that the transition to systems based on renewable energy is characterised by an initial increase in the variety of paths while the heterogeneity of paths decreases at the end of the transition, when the proportion of non-renewables in the system tends to zero. We then demonstrate that greater heterogeneity (complexity) is associated with larger annual fluctuations in the proportion of non-renewable sources in the system, establishing a direct relationship between the progress of the transition and the complexity of the energy system in which it occurs. This contributes to the understanding of general properties of the dynamics of the energy trans</w:t>
      </w:r>
    </w:p>
    <w:p>
      <w:pPr/>
      <w:r>
        <w:rPr>
          <w:b/>
        </w:rPr>
        <w:t>POSSIBLE 2026:</w:t>
      </w:r>
      <w:r>
        <w:t xml:space="preserve"> Dynamically enabled transition pathways in multistable systems — https://doi.org/10.48550/arxiv.2607.24070</w:t>
      </w:r>
    </w:p>
    <w:p>
      <w:pPr/>
      <w:r>
        <w:rPr>
          <w:b/>
        </w:rPr>
        <w:t>Shared claim-specific concepts:</w:t>
      </w:r>
      <w:r>
        <w:t xml:space="preserve"> transition, pathways, system; EU scope not established. This is a provisional connection, not an outcome finding.</w:t>
      </w:r>
    </w:p>
    <w:p>
      <w:pPr>
        <w:pStyle w:val="SourceNote"/>
      </w:pPr>
      <w:r>
        <w:rPr>
          <w:b/>
        </w:rPr>
        <w:t>Available abstract (not full text):</w:t>
      </w:r>
      <w:r>
        <w:t xml:space="preserve"> Systems composed of interacting bistable elements are commonly described by transition graphs that determine which state changes are accessible under an external drive. Under quasistatic loading, accessibility is constrained by the equilibrium structure of the system, often resulting in sparse transition networks and unreachable stable states. Here, we show that dynamic loading of dissipatively-coupled hysteron networks enhances accessibility by enabling transition pathways that are forbidden under quasistatic driving while preserving the underlying equilibrium states. In particular, we consider pulse actuation and derive a control map linking pulse amplitude and duration to state transitions. For suitable dissipative couplings, individual hysterons become independently addressable using a single scalar input, increasing transition-graph connectivity and enabling access to otherwise unreachable states. We validate the framework experimentally using pneumatic hysterons and find good agreement with theory. More generally, the framework applies to dissipatively coupled networks of bistable elements across fluidic, mechanical, and electrical domains.</w:t>
      </w:r>
    </w:p>
    <w:p>
      <w:pPr/>
      <w:r>
        <w:rPr>
          <w:b/>
        </w:rPr>
        <w:t>POSSIBLE 2026:</w:t>
      </w:r>
      <w:r>
        <w:t xml:space="preserve"> Exploring Transitions to Circular Cross-border E-commerce Platforms between China and Europe — https://openalex.org/W7165086123</w:t>
      </w:r>
    </w:p>
    <w:p>
      <w:pPr/>
      <w:r>
        <w:rPr>
          <w:b/>
        </w:rPr>
        <w:t>Shared claim-specific concepts:</w:t>
      </w:r>
      <w:r>
        <w:t xml:space="preserve"> two, transition, pathways, sector, system, current; EU scope visible. This is a provisional connection, not an outcome finding.</w:t>
      </w:r>
    </w:p>
    <w:p>
      <w:pPr>
        <w:pStyle w:val="SourceNote"/>
      </w:pPr>
      <w:r>
        <w:rPr>
          <w:b/>
        </w:rPr>
        <w:t>Available abstract (not full text):</w:t>
      </w:r>
      <w:r>
        <w:t xml:space="preserve"> Chinese cross-border e-commerce platforms have emerged as key intermediaries connecting Chinese suppliers with global consumer markets, with especially rapid growth in Europe’s consumer electronics sector. This expansion has been largely driven by a low-price model, where platforms attract consumers through affordable and diverse product offerings while relying on China’s supply chain efficiency to stay competitive on price. However, this model also comes with sustainability challenges. Consumer electronics sold through cross-border e-commerce follow a linear product journey from low-cost production, impulse-oriented purchase, and eventual disposal. Growing pressure from regulatory compliance, environmental sustainability requirements, and changing consumer expectations is pushing for a shift away from the linear model towards a system centered on lifecycle value and circularity. This thesis investigates how transition pathways can be designed for more sustainable and circular Chinese cross-border e-commerce platforms between China and Europe. The research is structured around two analytical levels: the mechanisms that stabilize the current low-price regime, and the key platform-level actions required to coordinate product quality, consumer behaviour, circular services, and stakeholder responsibility. Key findings highlight that the main barrier to circularity is the misalignme</w:t>
      </w:r>
    </w:p>
    <w:p>
      <w:pPr>
        <w:pStyle w:val="Heading2"/>
      </w:pPr>
      <w:r>
        <w:t>708. Foresight in Higher Education Institutions: Evidence from Poland</w:t>
      </w:r>
    </w:p>
    <w:p>
      <w:pPr>
        <w:pStyle w:val="SourceNote"/>
      </w:pPr>
      <w:r>
        <w:rPr>
          <w:b/>
        </w:rPr>
        <w:t>Original source (2019):</w:t>
      </w:r>
      <w:r>
        <w:t xml:space="preserve"> https://doi.org/10.17323/2500-2597.2019.1.77.89</w:t>
      </w:r>
    </w:p>
    <w:p>
      <w:pPr/>
      <w:r>
        <w:t>Original wording (abstract; indexed_source_text_not_full_document_verified): By analyzing them one can gain valuable knowledge on both preferable and less-favored alternatives, which on the one hand suggest which actions may lead to their realization, but on the other,indicate specific actions that may lead to the abandonment of undesirable paths in favor of the most conducive vision. The paper substantiates the effectiveness of using foresight for these purposes, which is confirmed by the experience of the project on the development of scenarios for the Faculty of Engineering Management (FEM) of Bialystok Technical University (Poland) for the period up to 2035.</w:t>
      </w:r>
    </w:p>
    <w:p>
      <w:pPr/>
      <w:r>
        <w:rPr>
          <w:b/>
        </w:rPr>
        <w:t>POSSIBLE 2026:</w:t>
      </w:r>
      <w:r>
        <w:t xml:space="preserve"> The European Council turns 50: Studying and analyzing a key institution of the European Union — https://doi.org/10.1017/s1682098325100106</w:t>
      </w:r>
    </w:p>
    <w:p>
      <w:pPr/>
      <w:r>
        <w:rPr>
          <w:b/>
        </w:rPr>
        <w:t>Shared claim-specific concepts:</w:t>
      </w:r>
      <w:r>
        <w:t xml:space="preserve"> analyzing, one, other; EU scope visible. This is a provisional connection, not an outcome finding.</w:t>
      </w:r>
    </w:p>
    <w:p>
      <w:pPr>
        <w:pStyle w:val="SourceNote"/>
      </w:pPr>
      <w:r>
        <w:rPr>
          <w:b/>
        </w:rPr>
        <w:t>Available abstract (not full text):</w:t>
      </w:r>
      <w:r>
        <w:t xml:space="preserve"> Abstract The European Council is one, if not the , key institution of the European Union (EU). Coming together for the first time about 50 years ago, in March 1975, the European Council comprises notably the Heads of State or Government of the EU member states, thus linking national and European levels. It takes important decisions in various policy areas and has regularly expanded the EU’s agenda and competences. In recent years, the European Council has acted as the prime crisis manager. At the same time, because of its requirement for consensus and its own small internal capacities, it is vulnerable to blockades and depends on other EU institutions for the preparation and implementation of its decisions. This article analyzes the European Council as key actor in the EU’s multi-level and multi-institutional system of governance. Comparing and bringing together different theoretical perspectives, it critically examines its various roles, functions, and shortcomings. Contrary to the predominant view, the European Council – despite its intergovernmental composition – tends to strengthen the EU’s supranational procedures. With this institution becoming ever more important and visible, the paper also suggests avenues for the further study of the European Council.</w:t>
      </w:r>
    </w:p>
    <w:p>
      <w:pPr/>
      <w:r>
        <w:rPr>
          <w:b/>
        </w:rPr>
        <w:t>POSSIBLE 2026:</w:t>
      </w:r>
      <w:r>
        <w:t xml:space="preserve"> Membership in the Council of Europe Development Bank as a factor of Ukraine’s European integration — https://doi.org/10.24144/2788-6018.2026.03.3.64</w:t>
      </w:r>
    </w:p>
    <w:p>
      <w:pPr/>
      <w:r>
        <w:rPr>
          <w:b/>
        </w:rPr>
        <w:t>Shared claim-specific concepts:</w:t>
      </w:r>
      <w:r>
        <w:t xml:space="preserve"> them, one, but, other; EU scope visible. This is a provisional connection, not an outcome finding.</w:t>
      </w:r>
    </w:p>
    <w:p>
      <w:pPr>
        <w:pStyle w:val="SourceNote"/>
      </w:pPr>
      <w:r>
        <w:rPr>
          <w:b/>
        </w:rPr>
        <w:t>Available abstract (not full text):</w:t>
      </w:r>
      <w:r>
        <w:t xml:space="preserve"> The article analyzes the institutional and legal foundations of Ukraine’s cooperation with the Council of Europe Development Bank (hereinafter, the CEDB). It is found that CEDB was established in 1956 as the Council of Europe Refugee Settlement Fund, is part of the Council of Europe and is under its management, but has a separate legal status and is financially independent. The main goal of CEDB’s activities is to promote social consolidation in Europe by providing financial assistance to European states in solving social problems associated with migration flows (refugees, displaced persons, migrants, victims of natural or environmental disasters, and other forced population displacements). The composition of the CEDB member states has been established. According to the Statute of the CEDB of 16 June 1993, membership in this European financial institution is open to all member states of the Council of Europe; European states that are not members of the Council of Europe and international organizations with a European focus may also be its members or associated participants on agreement. As of 15 June 2025, there are 43 CEDB member states: 26 member states of the European Union that are also members of the Council of Europe; 15 other member states of the Council of Europe (including Ukraine); the Holy See is an observer state of the Council of Europe; a state that is not a membe</w:t>
      </w:r>
    </w:p>
    <w:p>
      <w:pPr/>
      <w:r>
        <w:rPr>
          <w:b/>
        </w:rPr>
        <w:t>POSSIBLE 2025:</w:t>
      </w:r>
      <w:r>
        <w:t xml:space="preserve"> 3 Europe as the Crisis of Play — https://doi.org/10.1515/9781438499819-004</w:t>
      </w:r>
    </w:p>
    <w:p>
      <w:pPr/>
      <w:r>
        <w:rPr>
          <w:b/>
        </w:rPr>
        <w:t>Shared claim-specific concepts:</w:t>
      </w:r>
      <w:r>
        <w:t xml:space="preserve"> them, one, hand, suggest, other, indicate; EU scope visible. This is a provisional connection, not an outcome finding.</w:t>
      </w:r>
    </w:p>
    <w:p>
      <w:pPr>
        <w:pStyle w:val="SourceNote"/>
      </w:pPr>
      <w:r>
        <w:rPr>
          <w:b/>
        </w:rPr>
        <w:t>Available abstract (not full text):</w:t>
      </w:r>
      <w:r>
        <w:t xml:space="preserve"> In this chapter, I try to introduce one hypothesis about the essence of European modernity, namely, that it should be defined as the cultural invention of seriousness.I begin by examining one of the things that we take to be raising questions about the very essence of Modern Europe, namely, the current refugee crisis and its effects on European societies and institutions.I suggest that what this crisis indicates, as it were negatively, is that Europe is to be defined as a social, historical, and existential compound informed by a tension between care and action.I continue by examining the relations between Europe so defined and the more traditional Nietzschean idea of Europe as nihilism.This allows me to make the initial suggestion more palatable as well as to analyze the implications of the tension between care and action in ontological terms.Finally, I suggest that the resulting notion of Europe is most consonant with one offhand remark from Johan Huizinga's Homo Ludens (1938), where he seems to define European modernity as the dismantlement of play.I conclude that the examination of the refugee crisis and nihilism, on the one hand, and of play, on the other, reflect fruitfully on each other.All of this, it goes without saying, is highly speculative and programmatic.Crises indicate essences: in any crisis worthy of the name, what is at stake for the entity facing the crisis i</w:t>
      </w:r>
    </w:p>
    <w:p>
      <w:pPr/>
      <w:r>
        <w:rPr>
          <w:b/>
        </w:rPr>
        <w:t>POSSIBLE 2025:</w:t>
      </w:r>
      <w:r>
        <w:t xml:space="preserve"> Animal Welfare Protocols and Labelling Schemes for Broilers in Europe — https://doi.org/10.3390/poultry4030029</w:t>
      </w:r>
    </w:p>
    <w:p>
      <w:pPr/>
      <w:r>
        <w:rPr>
          <w:b/>
        </w:rPr>
        <w:t>Shared claim-specific concepts:</w:t>
      </w:r>
      <w:r>
        <w:t xml:space="preserve"> them, one, both; EU scope visible. This is a provisional connection, not an outcome finding.</w:t>
      </w:r>
    </w:p>
    <w:p>
      <w:pPr>
        <w:pStyle w:val="SourceNote"/>
      </w:pPr>
      <w:r>
        <w:rPr>
          <w:b/>
        </w:rPr>
        <w:t>Available abstract (not full text):</w:t>
      </w:r>
      <w:r>
        <w:t xml:space="preserve"> Nowadays, consumers are becoming increasingly concerned about the husbandry conditions under which animals are raised, particularly broilers, since broilers are one of the species whose welfare is most impaired in intensive farming systems. One of the primary means of communicating husbandry practices to consumers is through product labelling. Thus, a rising number of animal welfare labelling schemes for broilers are being developed and used across Europe by initiatives of both public and private stakeholders, including NGOs that advocate for animal welfare. This review aims to identify, analyze, and compare these labelling schemes with a focus on the main animal welfare provisions included in them, which contribute to enhanced animal welfare. The schemes were identified through web searches, so that we could visit their official websites, access their standards and regulations and study them in detail. We included in our research only those schemes whose criteria were publicly available. In total, 16 schemes were selected and analyzed. Although these schemes vary in their criteria, they all enhance the welfare standards of broiler production, primarily through incorporating environmental enrichment and/or access to the outdoors. Most schemes define and specify in detail the required animal welfare provisions, setting a clear application frame for the raising period of the bird</w:t>
      </w:r>
    </w:p>
    <w:p>
      <w:pPr/>
      <w:r>
        <w:rPr>
          <w:b/>
        </w:rPr>
        <w:t>POSSIBLE 2025:</w:t>
      </w:r>
      <w:r>
        <w:t xml:space="preserve"> Towards a Digital Europe: Cluster-Based Insights into Technology, Knowledge, and Readiness — https://doi.org/10.56082/jkd.2025.1.64</w:t>
      </w:r>
    </w:p>
    <w:p>
      <w:pPr/>
      <w:r>
        <w:rPr>
          <w:b/>
        </w:rPr>
        <w:t>Shared claim-specific concepts:</w:t>
      </w:r>
      <w:r>
        <w:t xml:space="preserve"> analyzing, them, valuable, knowledge; EU scope visible. This is a provisional connection, not an outcome finding.</w:t>
      </w:r>
    </w:p>
    <w:p>
      <w:pPr>
        <w:pStyle w:val="SourceNote"/>
      </w:pPr>
      <w:r>
        <w:rPr>
          <w:b/>
        </w:rPr>
        <w:t>Available abstract (not full text):</w:t>
      </w:r>
      <w:r>
        <w:t xml:space="preserve"> Digital transformation is an essential process for contemporary economic and social development. This paper aims to explore the evolution and disparities of digital transformation across European Union (EU) member states by analyzing their digital profiles and classifying them into homogeneous groups based on their performance. Thus, the research draws on secondary quantitative data from the World Digital Competitiveness Rankings developed by International Institute for Management Development (IMD), focusing on three critical dimensions: knowledge, technology and futureproofing. These dimensions capture countries' educational and research capacity, digital infrastructure and societal adaptability to digital change. In this research, a cluster analysis was performed using SPSS Two-Step Clustering, supported by visual and statistical tools, to identify clustering patterns among 26 EU countries (excluding Malta due to missing data). The research design includes four steps: time trend analysis, geographical mapping, cluster identification, and testing the significance of inter-cluster differences using Mann-Whitney U-tests. The results show a clear bifurcation between digitally advanced countries (e.g., Denmark, Netherlands, Sweden) and those with lower performance (e.g., Romania, Bulgaria, Greece). Significant statistical differences exist across all three analyzed dimensions. The</w:t>
      </w:r>
    </w:p>
    <w:p>
      <w:pPr/>
      <w:r>
        <w:rPr>
          <w:b/>
        </w:rPr>
        <w:t>POSSIBLE 2024:</w:t>
      </w:r>
      <w:r>
        <w:t xml:space="preserve"> Housing conditions in European one-person households — https://doi.org/10.1371/journal.pone.0303295</w:t>
      </w:r>
    </w:p>
    <w:p>
      <w:pPr/>
      <w:r>
        <w:rPr>
          <w:b/>
        </w:rPr>
        <w:t>Shared claim-specific concepts:</w:t>
      </w:r>
      <w:r>
        <w:t xml:space="preserve"> them, both, actions; EU scope visible. This is a provisional connection, not an outcome finding.</w:t>
      </w:r>
    </w:p>
    <w:p>
      <w:pPr>
        <w:pStyle w:val="SourceNote"/>
      </w:pPr>
      <w:r>
        <w:rPr>
          <w:b/>
        </w:rPr>
        <w:t>Available abstract (not full text):</w:t>
      </w:r>
      <w:r>
        <w:t xml:space="preserve"> This study addresses the satisfaction of housing-related needs in single-person households across European countries. The primary objective is to assess the housing satisfaction of single-person households in European countries, specifically within the Visegrad Group. The study seeks to identify trends in housing conditions, create a ranking of countries based on these conditions, and categorize countries with similar levels of unmet housing needs. The study employs statistical measures and methods to achieve its objectives. Time series are constructed for European countries, and linear trends are analyzed to identify statistically significant changes in selected housing aspects from 2005 to 2022. Various research tasks, including ranking countries and grouping them based on housing conditions, are accomplished using established methods like linear ranking and Ward's cluster analysis. Key findings include significant variations in financial burdens related to housing costs, thermal comfort, environmental pollution, and safety issues across European countries. The study reveals both improvements and challenges in housing conditions from 2005 to 2022 in one-person households. For instance, financial stress due to housing costs decreased in some countries, while thermal comfort issues improved in several nations. The results also highlight the heterogeneity within the Visegrad Gro</w:t>
      </w:r>
    </w:p>
    <w:p>
      <w:pPr/>
      <w:r>
        <w:rPr>
          <w:b/>
        </w:rPr>
        <w:t>POSSIBLE 2024:</w:t>
      </w:r>
      <w:r>
        <w:t xml:space="preserve"> Beyond authorship: Analyzing contributions in PLOS ONE and the challenges of appropriate attribution — https://doi.org/10.2478/jdis-2024-0015</w:t>
      </w:r>
    </w:p>
    <w:p>
      <w:pPr/>
      <w:r>
        <w:rPr>
          <w:b/>
        </w:rPr>
        <w:t>Shared claim-specific concepts:</w:t>
      </w:r>
      <w:r>
        <w:t xml:space="preserve"> analyzing, them, one, specific; EU scope visible. This is a provisional connection, not an outcome finding.</w:t>
      </w:r>
    </w:p>
    <w:p>
      <w:pPr>
        <w:pStyle w:val="SourceNote"/>
      </w:pPr>
      <w:r>
        <w:rPr>
          <w:b/>
        </w:rPr>
        <w:t>Available abstract (not full text):</w:t>
      </w:r>
      <w:r>
        <w:t xml:space="preserve"> Abstract Purpose This study aims to evaluate the accuracy of authorship attributions in scientific publications, focusing on the fairness and precision of individual contributions within academic works. Design/methodology/approach The study analyzes 81,823 publications from the journal PLOS ONE , covering the period from January 2018 to June 2023. It examines the authorship attributions within these publications to try and determine the prevalence of inappropriate authorship. It also investigates the demographic and professional profiles of affected authors, exploring trends and potential factors contributing to inaccuracies in authorship. Findings Surprisingly, 9.14% of articles feature at least one author with inappropriate authorship, affecting over 14,000 individuals (2.56% of the sample). Inappropriate authorship is more concentrated in Asia, Africa, and specific European countries like Italy. Established researchers with significant publication records and those affiliated with companies or nonprofits show higher instances of potential monetary authorship. Research limitations Our findings are based on contributions as declared by the authors, which implies a degree of trust in their transparency. However, this reliance on self-reporting may introduce biases or inaccuracies into the dataset. Further research could employ additional verification methods to enhance the reli</w:t>
      </w:r>
    </w:p>
    <w:p>
      <w:pPr/>
      <w:r>
        <w:rPr>
          <w:b/>
        </w:rPr>
        <w:t>POSSIBLE 2024:</w:t>
      </w:r>
      <w:r>
        <w:t xml:space="preserve"> Analyzing the Volume of Export-Import Activity of the European Union Market — https://doi.org/10.32983/2222-4459-2024-5-26-32</w:t>
      </w:r>
    </w:p>
    <w:p>
      <w:pPr/>
      <w:r>
        <w:rPr>
          <w:b/>
        </w:rPr>
        <w:t>Shared claim-specific concepts:</w:t>
      </w:r>
      <w:r>
        <w:t xml:space="preserve"> analyzing, them, one; EU scope visible. This is a provisional connection, not an outcome finding.</w:t>
      </w:r>
    </w:p>
    <w:p>
      <w:pPr>
        <w:pStyle w:val="SourceNote"/>
      </w:pPr>
      <w:r>
        <w:rPr>
          <w:b/>
        </w:rPr>
        <w:t>Available abstract (not full text):</w:t>
      </w:r>
      <w:r>
        <w:t xml:space="preserve"> The article is devoted to a detailed analysis of the export-import activity of Ukraine in the markets of the European Union (EU), with an emphasis on fat-and-oil products. The full-scale invasion of Ukraine forced to strengthen economic ties with partner countries due to a decline in export-import operations. It is determined that the fat-and-oil industry is one of the key ones in the agro-industrial sector of the EU and plays an important role in ensuring the food security of countries. An analysis of the dynamics of exports and imports of margarine in the following EU countries: Poland, Slovakia, Hungary, Romania, and also taking into account Moldova, is carried out. The difference between the exports and imports of margarine in these countries has been established. As a result of the analysis of the volume of exports and imports of margarine, it is found that Slovakia, Hungary, Romania and Moldova are markets with a high level of import dependence in the margarine segment, which makes them the perspective ones for Ukrainian producers. An analysis of the dynamics of margarine imports in the EU countries for 2013–2021 showed the largest import volumes in the following countries: Great Britain, France, Germany and the Netherlands. To understand the specifics of this market, it is important to consider the numerous factors that affect supply and demand. Practical recommendations</w:t>
      </w:r>
    </w:p>
    <w:p>
      <w:pPr/>
      <w:r>
        <w:rPr>
          <w:b/>
        </w:rPr>
        <w:t>POSSIBLE 2023:</w:t>
      </w:r>
      <w:r>
        <w:t xml:space="preserve"> Fighting depopulation in Europe by analyzing the financial risks of local governments — https://doi.org/10.1177/00208523231158982</w:t>
      </w:r>
    </w:p>
    <w:p>
      <w:pPr/>
      <w:r>
        <w:rPr>
          <w:b/>
        </w:rPr>
        <w:t>Shared claim-specific concepts:</w:t>
      </w:r>
      <w:r>
        <w:t xml:space="preserve"> analyzing, them, one, specific; EU scope visible. This is a provisional connection, not an outcome finding.</w:t>
      </w:r>
    </w:p>
    <w:p>
      <w:pPr>
        <w:pStyle w:val="SourceNote"/>
      </w:pPr>
      <w:r>
        <w:rPr>
          <w:b/>
        </w:rPr>
        <w:t>Available abstract (not full text):</w:t>
      </w:r>
      <w:r>
        <w:t xml:space="preserve"> Throughout Europe, one of the main problems facing policymakers is that of falling rural populations. In many cases, this is aggravated by high levels of local government borrowing. Although researchers have sought to determine the causes of this debt, much remains to be known about the factors influencing the default risk of small- and medium-sized towns, information that would help them formulate policies to combat the loss of population. The aim of our study is to identify factors relevant to this default risk. We analyzed demographic, socioeconomic, and financial factors in a sample of 6456 Spanish local governments by their population size. Our findings show that financial policies applied to reduce this risk should vary according to the population size, as certain factors exert a specific influence on smaller municipalities. Nevertheless, socioeconomic and financial variables have more impact on default risk than demographic factors. Our findings are novel and useful for all concerned in combating the depopulation of rural areas in Europe, owing to the relevance of conclusions for the design of public policies based on the sustainability of public services in small municipalities. Points for practitioners The measurement of the default risk in local governments reveals very relevant information for the design of public policies against depopulation. Socioeconomic and fina</w:t>
      </w:r>
    </w:p>
    <w:p>
      <w:pPr/>
      <w:r>
        <w:rPr>
          <w:b/>
        </w:rPr>
        <w:t>POSSIBLE 2023:</w:t>
      </w:r>
      <w:r>
        <w:t xml:space="preserve"> Leadership styles: a study in Latin America, the United States and Europe — https://doi.org/10.56294/saludcyt2023401</w:t>
      </w:r>
    </w:p>
    <w:p>
      <w:pPr/>
      <w:r>
        <w:rPr>
          <w:b/>
        </w:rPr>
        <w:t>Shared claim-specific concepts:</w:t>
      </w:r>
      <w:r>
        <w:t xml:space="preserve"> them, one, lead; EU scope visible. This is a provisional connection, not an outcome finding.</w:t>
      </w:r>
    </w:p>
    <w:p>
      <w:pPr>
        <w:pStyle w:val="SourceNote"/>
      </w:pPr>
      <w:r>
        <w:rPr>
          <w:b/>
        </w:rPr>
        <w:t>Available abstract (not full text):</w:t>
      </w:r>
      <w:r>
        <w:t xml:space="preserve"> Introduction: leadership styles vary in organizations due to multiple factors, such as policies or organizational culture. Today's globalized world and post-pandemic times require a leader capable of integrating people and motivating them to achieve objectives. Objective: the aim of this study was to analyze leadership styles in organizations in Latin America, the United States and Europe. Method: a sample of eighty-one leaders were administered a questionnaire composed of twenty-one items, in order to evaluate the leadership style with the Blake and Mouton test, in order to identify whether leaders are people-oriented or task-oriented. Results: once the test was applied to the leaders of the study sample, it was found that 1,23 % are social leaders, 4,94 % are authoritarian leaders and 93,83 % are team leaders.Conclusions: today's society demands an integrative leadership style that helps transform the work team. Research on leadership identifies multiple factors that can lead to the selection of a leadership style. In this regard, the results obtained revealed that the team leadership style is the one most used by leaders</w:t>
      </w:r>
    </w:p>
    <w:p>
      <w:pPr/>
      <w:r>
        <w:rPr>
          <w:b/>
        </w:rPr>
        <w:t>POSSIBLE 2023:</w:t>
      </w:r>
      <w:r>
        <w:t xml:space="preserve"> Membership Trends in European Countries — https://doi.org/10.1353/ben.2023.a923758</w:t>
      </w:r>
    </w:p>
    <w:p>
      <w:pPr/>
      <w:r>
        <w:rPr>
          <w:b/>
        </w:rPr>
        <w:t>Shared claim-specific concepts:</w:t>
      </w:r>
      <w:r>
        <w:t xml:space="preserve"> them, one, but; EU scope visible. This is a provisional connection, not an outcome finding.</w:t>
      </w:r>
    </w:p>
    <w:p>
      <w:pPr>
        <w:pStyle w:val="SourceNote"/>
      </w:pPr>
      <w:r>
        <w:rPr>
          <w:b/>
        </w:rPr>
        <w:t>Available abstract (not full text):</w:t>
      </w:r>
      <w:r>
        <w:t xml:space="preserve"> Membership Trends in European Countries Thomas Piazza (bio) Thomas Piazza Thomas Piazza is a retired survey research designer and statistician from the University of California, Berkeley. He was a Benedictine monk of St. Leo Abbey in Florida during the 1960s. Footnotes 1. Thomas Piazza, "Regional Trends in the Benedictine Confederation," American Benedictine Review 73, no. 3 (September 2022): 322–330. The number of monks considered as being in Europe in that article include 16 monks from Australia (rather than simply dropping them from the analysis) and 9 monks mistakenly classified as being in the UK instead of the U.S. Therefore, the current article counts 25 monks fewer in Europe than the earlier one. 2. See Piazza, "Regional Trends," 329–330. 3. Catalogus Monasteriorum O.S.B. Monachorum (Rome: The Benedictine Confederation, 2020). The Catalogus has been published by the Curia of the Abbot Primate in Rome at Sant'Anselmo approximately every five years since 1880 (except during periods of major wars). The Catalogus reports membership statistics for professed monks plus a few claustral oblates. We are grateful to Fr. Patrick Carter, O.S.B., for carrying out the computer work to digitize the 2020 Catalogus and to Fr. Geraldo González y Lima, O.S.B., for facilitating access to the data file. 4. The number of professed monks in the Confederation declined about 20 percent during t</w:t>
      </w:r>
    </w:p>
    <w:p>
      <w:pPr/>
      <w:r>
        <w:rPr>
          <w:b/>
        </w:rPr>
        <w:t>POSSIBLE 2023:</w:t>
      </w:r>
      <w:r>
        <w:t xml:space="preserve"> Knowledge: A Factor for Acceptance of Insects as Food — https://doi.org/10.3390/su15064820</w:t>
      </w:r>
    </w:p>
    <w:p>
      <w:pPr/>
      <w:r>
        <w:rPr>
          <w:b/>
        </w:rPr>
        <w:t>Shared claim-specific concepts:</w:t>
      </w:r>
      <w:r>
        <w:t xml:space="preserve"> analyzing, them, valuable, knowledge; EU scope visible. This is a provisional connection, not an outcome finding.</w:t>
      </w:r>
    </w:p>
    <w:p>
      <w:pPr>
        <w:pStyle w:val="SourceNote"/>
      </w:pPr>
      <w:r>
        <w:rPr>
          <w:b/>
        </w:rPr>
        <w:t>Available abstract (not full text):</w:t>
      </w:r>
      <w:r>
        <w:t xml:space="preserve"> The role that insects will play in a healthier and more sustainable diet has been highlighted in the last years, at the European level. In future, due to environmental concerns and population growth, eating insects might be a solution for many problems. However, populations without the tradition of eating insects are still reluctant in accepting such a food as part of their diet. The present observational study highlights some factors that are influencing the acceptance of insects as food in Romania, in 2022. A number of 496 Romanian adults, 433 women and 63 men, with the mean age 39.3 ± 11 years, completed a validated questionnaire analyzing food behaviors, as well as attitudes and knowledge in relation to insects, including sustainability, nutrition and food safety aspects. Only 6.3% of participants had already eaten insects, while 43.8% claimed their openness to do it in future. Insect-based products were accepted more than insects that can be perceived as such. The most frequent words associated with insects were rather deleterious: disgust, odd, nausea, not to eat, or curiosity. Investigating the factors involved in insect acceptability in Romanians’ diets, we found a statistically significant correlation between openness to eat them and the knowledge about insects as being a valuable, sustainable and safe source of nutrients. Targeted education seems to be an important to</w:t>
      </w:r>
    </w:p>
    <w:p>
      <w:pPr>
        <w:pStyle w:val="Heading2"/>
      </w:pPr>
      <w:r>
        <w:t>709. From bioethanol containing fuels towards a fuel economy that includes methanol derived from renewable sources and the impact on European Union decision-making on transition pathways</w:t>
      </w:r>
    </w:p>
    <w:p>
      <w:pPr>
        <w:pStyle w:val="SourceNote"/>
      </w:pPr>
      <w:r>
        <w:rPr>
          <w:b/>
        </w:rPr>
        <w:t>Original source (2019):</w:t>
      </w:r>
      <w:r>
        <w:t xml:space="preserve"> https://doi.org/10.1016/j.rser.2019.109667</w:t>
      </w:r>
    </w:p>
    <w:p>
      <w:pPr/>
      <w:r>
        <w:t>Original wording (abstract; indexed_source_text_not_full_document_verified): Decision-making on the optimum transition pathway to an energy economy that meets agreed carbon reduction goals in the European Union (EU) by 2050 is challenging, because of the size of the infrastructural legacy, technological uncertainties, affordability and assumptions on future energy demand. Rebalancing three different aspects of the social dimension of sustainability is used to demonstrate that a succession of infrastructures based on liquid fuels, with biofuels as an interlock towards an economy that includes methanol-based eFuel, has the potential to bring continuity, reduce dependence on anticipated technological advances and improve cost management.</w:t>
      </w:r>
    </w:p>
    <w:p>
      <w:pPr/>
      <w:r>
        <w:rPr>
          <w:b/>
        </w:rPr>
        <w:t>POSSIBLE 2026:</w:t>
      </w:r>
      <w:r>
        <w:t xml:space="preserve"> Beyond cost-optimal transitions: behavioural decision-making and policy feedback in shipping decarbonisation — https://doi.org/10.1016/j.jclepro.2026.149608</w:t>
      </w:r>
    </w:p>
    <w:p>
      <w:pPr/>
      <w:r>
        <w:rPr>
          <w:b/>
        </w:rPr>
        <w:t>Shared claim-specific concepts:</w:t>
      </w:r>
      <w:r>
        <w:t xml:space="preserve"> decision-making, transition, assumptions, three; EU scope not established. This is a provisional connection, not an outcome finding.</w:t>
      </w:r>
    </w:p>
    <w:p>
      <w:pPr>
        <w:pStyle w:val="SourceNote"/>
      </w:pPr>
      <w:r>
        <w:rPr>
          <w:b/>
        </w:rPr>
        <w:t>Available abstract (not full text):</w:t>
      </w:r>
      <w:r>
        <w:t xml:space="preserve"> Maritime decarbonisation models commonly assume that shipowners make fully rational investment decisions based on perfect information and lifetime cost optimisation. However, empirical evidence suggests that investment decisions are also shaped by behavioural factors such as bounded foresight, familiarity with emerging technologies and peer influence. This study develops a fleet-evolution model, solved in three-year time steps from 2025 to 2050, for a global fleet representing approximately 32,000 vessels over 5000 GT (covering 88% of global fleet deadweight) grouped into 550 representative ship classes, that differentiates early movers and mass-market actors and integrates empirically grounded behavioural decision-making with endogenous feedback mechanisms linking technology adoption, compliance markets and fuel production. Behavioural assumptions are derived from three semi-structured interview rounds (conducted between October 2025 and May 2026 with 16 shipowners, face-validated with an independent 11-company industry Advisory Group and implemented within a game-theoretic Nash equilibrium to simulate technology adoption under the International Maritime Organization's Net-Zero Framework. The results show that incorporating behavioural decision-making fundamentally alters projected transition pathways. Compared with conventional techno-economic approaches, incorporating behavi</w:t>
      </w:r>
    </w:p>
    <w:p>
      <w:pPr/>
      <w:r>
        <w:rPr>
          <w:b/>
        </w:rPr>
        <w:t>POSSIBLE 2026:</w:t>
      </w:r>
      <w:r>
        <w:t xml:space="preserve"> Towards a decision-making framework for optimal vehicle lightweighting in the European towed caravan sector — https://doi.org/10.82444/warw.33913783</w:t>
      </w:r>
    </w:p>
    <w:p>
      <w:pPr/>
      <w:r>
        <w:rPr>
          <w:b/>
        </w:rPr>
        <w:t>Shared claim-specific concepts:</w:t>
      </w:r>
      <w:r>
        <w:t xml:space="preserve"> decision-making, energy, three; EU scope visible. This is a provisional connection, not an outcome finding.</w:t>
      </w:r>
    </w:p>
    <w:p>
      <w:pPr>
        <w:pStyle w:val="SourceNote"/>
      </w:pPr>
      <w:r>
        <w:rPr>
          <w:b/>
        </w:rPr>
        <w:t>Available abstract (not full text):</w:t>
      </w:r>
      <w:r>
        <w:t xml:space="preserve"> European leisure vehicle manufacturers have long strived to create lightweight towed caravan tourers as they offer many benefits to customers such as less fuel consumption per journey, opportunities for increased payloads and a better towing experience. The need for lightweight caravans is now greater than ever due to the advent of battery electric powertrains in tow cars, due to their limited towing capability and reduced range when towing heavy loads. Currently, there is no formal decision-making framework available for leisure vehicle manufacturers to reach optimal decisions when considering lightweighting initiatives. To address this problem this research has developed a novel decision-making model for leisure vehicle lightweighting, extending and enhancing previous work in the field of complexity management. The model has been created as four discrete steps through which caravan manufacturers can make well-considered and optimal decisions concerning their approach to lightweighting for both existing and future products. The model steps include three initial assessments: (1) product strategy and lifecycle, (2) technical, economical, and environmental benchmarking and (3) a macro environment assessment followed by a final step (4) in which guidelines for action are derived. The research also looked in detail at the key drivers for lightweighting initiatives using a focus gro</w:t>
      </w:r>
    </w:p>
    <w:p>
      <w:pPr/>
      <w:r>
        <w:rPr>
          <w:b/>
        </w:rPr>
        <w:t>POSSIBLE 2026:</w:t>
      </w:r>
      <w:r>
        <w:t xml:space="preserve"> Optimal Energy Transition Planning: Navigating the Trade-Offs between Short-Term and Long-Term Decision-Making — https://doi.org/10.1021/acs.iecr.5c03999</w:t>
      </w:r>
    </w:p>
    <w:p>
      <w:pPr/>
      <w:r>
        <w:rPr>
          <w:b/>
        </w:rPr>
        <w:t>Shared claim-specific concepts:</w:t>
      </w:r>
      <w:r>
        <w:t xml:space="preserve"> decision-making, transition, energy, uncertainties, different; EU scope not established. This is a provisional connection, not an outcome finding.</w:t>
      </w:r>
    </w:p>
    <w:p>
      <w:pPr>
        <w:pStyle w:val="SourceNote"/>
      </w:pPr>
      <w:r>
        <w:rPr>
          <w:b/>
        </w:rPr>
        <w:t>Available abstract (not full text):</w:t>
      </w:r>
      <w:r>
        <w:t xml:space="preserve"> Transforming emission-intensive energy systems into low-carbon configurations requires strategic planning that balances efficiency, costs, and emissions reductions. While many capacity expansion models support long-term investment planning, only a few integrate multiple energy vectors, spatial distribution optimization, and foresight approaches to identify realistic pathways. This work presents a multivector, multinodal optimization model for least-cost capacity expansion and retirement planning, formulated as a mixed-integer linear programming model. The model incorporates different foresight approaches to examine their influences on technology choices, investment timing, technology deployment sites, and system-wide costs and emissions. Applied to a case study in Sarawak, Malaysia, results show that perfect foresight supports smoother transitions with lower costs, whereas myopic foresight risks overshooting emissions and missing long-term targets. Importantly, incorporating intermediate emissions targets under myopic foresight helps align near-term actions with long-term objectives, which is essential when short-term uncertainties make myopic decision-making unavoidable. Although myopic planning raises the capital expenditure by 18.1%, incorporating intermediate emissions targets provides structured transition pathways and prevents capacity overexpansion.</w:t>
      </w:r>
    </w:p>
    <w:p>
      <w:pPr/>
      <w:r>
        <w:rPr>
          <w:b/>
        </w:rPr>
        <w:t>POSSIBLE 2025:</w:t>
      </w:r>
      <w:r>
        <w:t xml:space="preserve"> Simple Decision Making In Renewable Energy Planning — https://doi.org/10.62872/2dtp3r72</w:t>
      </w:r>
    </w:p>
    <w:p>
      <w:pPr/>
      <w:r>
        <w:rPr>
          <w:b/>
        </w:rPr>
        <w:t>Shared claim-specific concepts:</w:t>
      </w:r>
      <w:r>
        <w:t xml:space="preserve"> decision-making, transition, energy; EU scope not established. This is a provisional connection, not an outcome finding.</w:t>
      </w:r>
    </w:p>
    <w:p>
      <w:pPr>
        <w:pStyle w:val="SourceNote"/>
      </w:pPr>
      <w:r>
        <w:rPr>
          <w:b/>
        </w:rPr>
        <w:t>Available abstract (not full text):</w:t>
      </w:r>
      <w:r>
        <w:t xml:space="preserve"> Renewable energy planning is a complex process, involving multiple dimensions, including natural resource availability, government policies, and socio-economic factors. This study emphasizes the importance of a decision-making approach that is not only technically based, but also considers the social and political factors that influence policy implementation. Decision-making in renewable energy planning is often hampered by information inequality between stakeholders, social resistance, and policy instability that can slow down a sustainable energy transition. Multi-Criteria Decision Making (MCDM) methods have been used to help stakeholders choose the best option, but overly technical approaches can be a barrier in developing countries. Therefore, simpler and more data-driven approaches, such as heuristic models, become more relevant in contexts of uncertainty. This research uses a descriptive qualitative approach through case studies to explore the dynamics of decision-making in renewable energy planning. Data were collected through in-depth interviews, focus group discussions (FGDs), and document analysis. The results show that transparency, open communication and stakeholder participation are essential to overcome social and political barriers and support effective and sustainable renewable energy policy implementation.</w:t>
      </w:r>
    </w:p>
    <w:p>
      <w:pPr/>
      <w:r>
        <w:rPr>
          <w:b/>
        </w:rPr>
        <w:t>POSSIBLE 2024:</w:t>
      </w:r>
      <w:r>
        <w:t xml:space="preserve"> Sea Level Rise in Europe: Adaptation measures and decision-making principles — https://doi.org/10.5194/sp-3-slre1-6-2024</w:t>
      </w:r>
    </w:p>
    <w:p>
      <w:pPr/>
      <w:r>
        <w:rPr>
          <w:b/>
        </w:rPr>
        <w:t>Shared claim-specific concepts:</w:t>
      </w:r>
      <w:r>
        <w:t xml:space="preserve"> decision-making, technological, different; EU scope visible. This is a provisional connection, not an outcome finding.</w:t>
      </w:r>
    </w:p>
    <w:p>
      <w:pPr>
        <w:pStyle w:val="SourceNote"/>
      </w:pPr>
      <w:r>
        <w:rPr>
          <w:b/>
        </w:rPr>
        <w:t>Available abstract (not full text):</w:t>
      </w:r>
      <w:r>
        <w:t xml:space="preserve"> Abstract. Sea level rise (SLR) will increasingly impact European countries in the coming decades, posing challenges for coastal decision-making and the design and implementation of adaptation measures to address coastal risks. This chapter aims to provide guidance for the design and implementation of adaptation policies in European basins, and does so by, first, assessing the state-of-the-art of SLR adaptation measures in Europe, and second, presenting approaches suitable for supporting coastal adaptation decision making and addressing uncertainty. Assessment of SLR adaptation in Europe is carried out by developing a typology of measures based on the IPCC classification of accommodate, protect, advance, and retreat responses to SLR, supplemented with sub-types measures socio-economic, physical and technological, nature- and ecosystem-based characteristics. Surveying relevant literature measures being implemented in Europe are identified and characterised according to their effectiveness and location within the European sea basins. We find that adaptation strategies on Europe’s coasts constitute a mix of hard and soft measures, planning measures, policy developments, and stakeholder and community engagements. Across all basins, a common theme is the shift towards a combination of traditional engineering solutions with soft measures, including nature-based solutions, integrating </w:t>
      </w:r>
    </w:p>
    <w:p>
      <w:pPr/>
      <w:r>
        <w:rPr>
          <w:b/>
        </w:rPr>
        <w:t>POSSIBLE 2024:</w:t>
      </w:r>
      <w:r>
        <w:t xml:space="preserve"> Multi-Criteria Decision-Making Approach for Optimal Energy Storage System Selection and Applications in Oman — https://doi.org/10.3390/en17205197</w:t>
      </w:r>
    </w:p>
    <w:p>
      <w:pPr/>
      <w:r>
        <w:rPr>
          <w:b/>
        </w:rPr>
        <w:t>Shared claim-specific concepts:</w:t>
      </w:r>
      <w:r>
        <w:t xml:space="preserve"> decision-making, transition, energy, goals; EU scope not established. This is a provisional connection, not an outcome finding.</w:t>
      </w:r>
    </w:p>
    <w:p>
      <w:pPr>
        <w:pStyle w:val="SourceNote"/>
      </w:pPr>
      <w:r>
        <w:rPr>
          <w:b/>
        </w:rPr>
        <w:t>Available abstract (not full text):</w:t>
      </w:r>
      <w:r>
        <w:t xml:space="preserve"> This research aims to support the goals of Oman Vision 2040 by reducing the dependency on non-renewable energy resources and increasing the utilization of the national natural renewable energy resources. Selecting appropriate energy storage systems (ESSs) will play a key role in achieving this vision by enabling a greater integration of solar and other renewable energy. ESSs allow for solar power generated during daylight hours to be stored for use during peak demand periods. Additionally, the proposed framework provides guidance for large-scale ESS infrastructure planning and investments to support Oman’s renewable energy goals. As the global renewable energy market grows rapidly and Oman implements economic reforms, the ESS market is expected to flourish in Oman. In the near future, ESS is expected to contribute to lower electricity costs and enhance stability compared to traditional energy systems. While ESS technologies have been studied broadly, there is a lack of comprehensive analysis for optimal ESS selection tailored to Oman’s unique geographical, technical, and policy context. The main objective of this study is to provide a comprehensive evaluation of ESS options and identify the type(s) most suitable for integration with Oman’s national grid using a multi-criteria decision-making (MCDM) methodology. This study addresses this gap by applying the Hesitate Fuzzy Analyt</w:t>
      </w:r>
    </w:p>
    <w:p>
      <w:pPr/>
      <w:r>
        <w:rPr>
          <w:b/>
        </w:rPr>
        <w:t>POSSIBLE 2024:</w:t>
      </w:r>
      <w:r>
        <w:t xml:space="preserve"> Renewable Energy Preferences of European Countries and Türkiye: Use of Multi-Criteria Decision Making — https://doi.org/10.1007/s40866-024-00194-5</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Unavailable</w:t>
      </w:r>
    </w:p>
    <w:p>
      <w:pPr/>
      <w:r>
        <w:rPr>
          <w:b/>
        </w:rPr>
        <w:t>POSSIBLE 2023:</w:t>
      </w:r>
      <w:r>
        <w:t xml:space="preserve"> Decision-making in Transition to Sustainable Energy — https://doi.org/10.7250/9789934229091</w:t>
      </w:r>
    </w:p>
    <w:p>
      <w:pPr/>
      <w:r>
        <w:rPr>
          <w:b/>
        </w:rPr>
        <w:t>Shared claim-specific concepts:</w:t>
      </w:r>
      <w:r>
        <w:t xml:space="preserve"> decision-making, transition, energy; EU scope not established. This is a provisional connection, not an outcome finding.</w:t>
      </w:r>
    </w:p>
    <w:p>
      <w:pPr>
        <w:pStyle w:val="SourceNote"/>
      </w:pPr>
      <w:r>
        <w:rPr>
          <w:b/>
        </w:rPr>
        <w:t>Available abstract (not full text):</w:t>
      </w:r>
      <w:r>
        <w:t xml:space="preserve"> The goal of the Thesis is to create an algorithm of decision-making, which takes into account existing knowledge about barriers and policies that hamper or facilitate development of sustainable energy by focusing on identifying and analysing stages and steps of decision-making throughout policy lifecycle, as well as identifying suitable methods of analysis at each stage and step of making decisions to support decision-making about energy and climate policy, and integrating those in the decision-making process with the purpose of ensuring a policy lifecycle leading to sustainable energy system.</w:t>
      </w:r>
    </w:p>
    <w:p>
      <w:pPr/>
      <w:r>
        <w:rPr>
          <w:b/>
        </w:rPr>
        <w:t>POSSIBLE 2023:</w:t>
      </w:r>
      <w:r>
        <w:t xml:space="preserve"> Multiplayer game for decision-making in energy communities — https://doi.org/10.54337/ijsepm.7549</w:t>
      </w:r>
    </w:p>
    <w:p>
      <w:pPr/>
      <w:r>
        <w:rPr>
          <w:b/>
        </w:rPr>
        <w:t>Shared claim-specific concepts:</w:t>
      </w:r>
      <w:r>
        <w:t xml:space="preserve"> decision-making, energy, goals; EU scope not established. This is a provisional connection, not an outcome finding.</w:t>
      </w:r>
    </w:p>
    <w:p>
      <w:pPr>
        <w:pStyle w:val="SourceNote"/>
      </w:pPr>
      <w:r>
        <w:rPr>
          <w:b/>
        </w:rPr>
        <w:t>Available abstract (not full text):</w:t>
      </w:r>
      <w:r>
        <w:t xml:space="preserve"> Energy communities are widely studied from various perspectives, especially in the context of geopolitical events of recent years, when humanity is faced with the need for urgent solutions to promote climate change and alleviate the crisis of energy resources. Although citizens' interest in the use of renewable resources has gradually grown, energy policy support measures for more active participation of society in the implementation of energy efficiency measures are still being implemented with variable success, especially through mutual agreement. Serious games are a rapidly growing tool for awareness and collaboration on a single platform for gamers seeking solutions to energy resource optimization issues. The paper focuses on energy community versus energy use practices, trends, and intervention strategies in multifamily residential blocks, using serious gaming and direct user online feedback. This study uses a multi-player simulation tool to enable the modelling of scenarios for energy efficiency measures for apartment building block residents and energy community target goals for decision-making decisions. User experience and game mechanics were tested on a pre-selected group. The results indicate positive feedback, including a practical application for both energy community and professionals, and provide valuable recommendations for further research and improvement of th</w:t>
      </w:r>
    </w:p>
    <w:p>
      <w:pPr/>
      <w:r>
        <w:rPr>
          <w:b/>
        </w:rPr>
        <w:t>POSSIBLE 2023:</w:t>
      </w:r>
      <w:r>
        <w:t xml:space="preserve"> Digital product passports for a circular economy: Data needs for product life cycle decision-making — https://doi.org/10.1016/j.spc.2023.02.021</w:t>
      </w:r>
    </w:p>
    <w:p>
      <w:pPr/>
      <w:r>
        <w:rPr>
          <w:b/>
        </w:rPr>
        <w:t>Shared claim-specific concepts:</w:t>
      </w:r>
      <w:r>
        <w:t xml:space="preserve"> decision-making, economy, three; EU scope not established. This is a provisional connection, not an outcome finding.</w:t>
      </w:r>
    </w:p>
    <w:p>
      <w:pPr>
        <w:pStyle w:val="SourceNote"/>
      </w:pPr>
      <w:r>
        <w:rPr>
          <w:b/>
        </w:rPr>
        <w:t>Available abstract (not full text):</w:t>
      </w:r>
      <w:r>
        <w:t xml:space="preserve"> Digital product passports have been proposed as a policy instrument to enable decision-making throughout product life cycles in favour of a circular economy. However, due to nascent conceptualisation and weak industrial embeddedness, the contents of such an instrument are a source of uncertainty. Situated in a mechatronics context, this multiple-case study explores the data needs for digital product passports. Extant research reveals seven data clusters: (1) usage and maintenance, (2) product identification, (3) products and materials, (4) guidelines and manuals, (5) supply chain and reverse logistics, (6) environmental data and (7) compliance. To contextualise these clusters, interviews with three original equipment manufacturers (OEMs) as well as their respective customers, service partners, suppliers and third-party recycling companies were conducted. Through a survey, each specific data point was assessed in terms of importance, availability and sensitivity. The findings show differentiating needs for data across these actors, yet the exchange of data and its supporting infrastructure for closing resource loops remain at low maturity. Consequently, policymakers are recommended to roll out digital product passports in gradual stages, while industrial managers should proactively reconfigure data flows to account for decision-making in a reverse supply chain. Future research i</w:t>
      </w:r>
    </w:p>
    <w:p>
      <w:pPr/>
      <w:r>
        <w:rPr>
          <w:b/>
        </w:rPr>
        <w:t>POSSIBLE 2023:</w:t>
      </w:r>
      <w:r>
        <w:t xml:space="preserve"> DanRETwin: A Digital Twin Solution for Optimal Energy Retrofit Decision-Making and Decarbonization of the Danish Building Stock — https://doi.org/10.3390/app13179778</w:t>
      </w:r>
    </w:p>
    <w:p>
      <w:pPr/>
      <w:r>
        <w:rPr>
          <w:b/>
        </w:rPr>
        <w:t>Shared claim-specific concepts:</w:t>
      </w:r>
      <w:r>
        <w:t xml:space="preserve"> decision-making, energy, challenging, assumptions; EU scope not established. This is a provisional connection, not an outcome finding.</w:t>
      </w:r>
    </w:p>
    <w:p>
      <w:pPr>
        <w:pStyle w:val="SourceNote"/>
      </w:pPr>
      <w:r>
        <w:rPr>
          <w:b/>
        </w:rPr>
        <w:t>Available abstract (not full text):</w:t>
      </w:r>
      <w:r>
        <w:t xml:space="preserve"> The current trend in renovating existing buildings is to perform retrofits on a case-by-case basis without a systematic assessment, using static tools with broad assumptions and generic inputs. As a result, only about 1% of the building stock undergoes energy renovations each year. To address this issue, new approaches and modern tools are necessary to enhance and expedite energy retrofits in Danish buildings. While there were a few initiatives and projects exploring the implementation of digital twins in building applications, the focus is primarily on newly constructed, highly energy-efficient buildings with integrated building information models (BIM). Conversely, existing and older buildings often lack any form of digital modeling, making it challenging to implement digital twins in those contexts. This paper presents an innovative digital twin solution, ‘DanRETwin’, which will provide decision-making support, retro-commissioning, and data-driven performance optimization for non-residential existing buildings. The proposed solution will utilize building operational data, employing machine learning and artificial intelligence techniques to develop scalable data-driven models of building energy. Additionally, clamp-on IoT sensors will be used for data collection, enabling a fully automated and flexible solution. By utilizing DanRETwin, building owners will enjoy higher energy</w:t>
      </w:r>
    </w:p>
    <w:p>
      <w:pPr/>
      <w:r>
        <w:rPr>
          <w:b/>
        </w:rPr>
        <w:t>POSSIBLE 2023:</w:t>
      </w:r>
      <w:r>
        <w:t xml:space="preserve"> Identifying the Right Policies for Increasing the Efficiency of the Renewable Energy Transition with a Novel Fuzzy Decision-Making Model — https://doi.org/10.31181/jscda1120234</w:t>
      </w:r>
    </w:p>
    <w:p>
      <w:pPr/>
      <w:r>
        <w:rPr>
          <w:b/>
        </w:rPr>
        <w:t>Shared claim-specific concepts:</w:t>
      </w:r>
      <w:r>
        <w:t xml:space="preserve"> decision-making, transition, energy, technological; EU scope not established. This is a provisional connection, not an outcome finding.</w:t>
      </w:r>
    </w:p>
    <w:p>
      <w:pPr>
        <w:pStyle w:val="SourceNote"/>
      </w:pPr>
      <w:r>
        <w:rPr>
          <w:b/>
        </w:rPr>
        <w:t>Available abstract (not full text):</w:t>
      </w:r>
      <w:r>
        <w:t xml:space="preserve"> Necessary improvements should be made to the determinants of renewable energy transition. However, it is necessary to give priority to the issues that are more important while making improvements to this process since all improvements cause cost increase. Therefore, a new analysis is needed in which the most important ones among these criteria will be determined. The purpose of this study is to identify the most essential items for renewable energy transition. Within this context, five criteria are selected based on the literature review results. Spherical fuzzy (TOPSIS-based DEMATEL) TOP-DEMATEL methodology is taken into consideration to calculate the weights of these indicators. In the second part of the study, alternatives are ranked with Spherical fuzzy ranking technique by geometric mean of similarity ratio to optimal solution (RATGOS). In this context, BRICS countries (Brazil, Russia, India, China, South Africa) are selected as alternatives. The main contribution is that a new method (RATGOS) is created while considering geometric mean in proportional concepts. On the other side, a new methodology (TOP-DEMATEL) is also proposed to overcome criticisms in DEMATEL. It is concluded that technological development plays the most important role for the success of renewable energy transition. Similarly, finding effective financial source is also very important in this condition. </w:t>
      </w:r>
    </w:p>
    <w:p>
      <w:pPr>
        <w:pStyle w:val="Heading2"/>
      </w:pPr>
      <w:r>
        <w:t>710. Future projections of temperature and mixing regime of  European temperate lakes</w:t>
      </w:r>
    </w:p>
    <w:p>
      <w:pPr>
        <w:pStyle w:val="SourceNote"/>
      </w:pPr>
      <w:r>
        <w:rPr>
          <w:b/>
        </w:rPr>
        <w:t>Original source (2019):</w:t>
      </w:r>
      <w:r>
        <w:t xml:space="preserve"> https://doi.org/10.5194/hess-23-1533-2019</w:t>
      </w:r>
    </w:p>
    <w:p>
      <w:pPr/>
      <w:r>
        <w:t>Original wording (abstract; indexed_source_text_not_full_document_verified): By mid-century, the frequency of ice and stratification-free winters was projected to increase by about 20 %, making ice cover rare and shifting the two deeper dimictic lakes to a predominantly monomictic regime. We forced the model with an ensemble of 12 climate projections (RCP4.5) up to 2100.</w:t>
      </w:r>
    </w:p>
    <w:p>
      <w:pPr/>
      <w:r>
        <w:rPr>
          <w:b/>
        </w:rPr>
        <w:t>POSSIBLE 2026:</w:t>
      </w:r>
      <w:r>
        <w:t xml:space="preserve"> Emergent constraint indicates forced decline in European winter windstorm frequency — https://doi.org/10.1088/1748-9326/ae845f</w:t>
      </w:r>
    </w:p>
    <w:p>
      <w:pPr/>
      <w:r>
        <w:rPr>
          <w:b/>
        </w:rPr>
        <w:t>Shared claim-specific concepts:</w:t>
      </w:r>
      <w:r>
        <w:t xml:space="preserve"> frequency, deeper, forced, ensemble, climate, projections; EU scope visible. This is a provisional connection, not an outcome finding.</w:t>
      </w:r>
    </w:p>
    <w:p>
      <w:pPr>
        <w:pStyle w:val="SourceNote"/>
      </w:pPr>
      <w:r>
        <w:rPr>
          <w:b/>
        </w:rPr>
        <w:t>Available abstract (not full text):</w:t>
      </w:r>
      <w:r>
        <w:t xml:space="preserve"> Abstract Windstorms are among the most damaging natural hazards during western Europe winter, yet large inter-model spread limits robust assessment of future frequency changes. We show that the historical Northern Hemisphere mid-latitude meridional pressure gradient, defined as the zonal index (ZI), explains much of the inter-model variability in projected winter windstorm frequency across 20 climate model realizations. Constraining projections using the ZI reduces uncertainty by 29% and lowers the likelihood of increasing windstorm frequency more than threefold. The constrained ensemble indicates a robust decline in pan-European windstorm frequency over the twenty-first century ( − 4.5 % ∘ C − 1 ± 3.4). A plausible mechanism involves coupled atmosphere–ocean feedbacks: more zonal models develop deeper North Atlantic mixed layers and a stronger North Atlantic warming hole, enhancing baroclinicity and promoting a jet extension over Europe. These results suggest extreme increases in windstorm frequency are unlikely, despite projected increases in storm severity, with important implications for future loss and impact assessments.</w:t>
      </w:r>
    </w:p>
    <w:p>
      <w:pPr/>
      <w:r>
        <w:rPr>
          <w:b/>
        </w:rPr>
        <w:t>POSSIBLE 2026:</w:t>
      </w:r>
      <w:r>
        <w:t xml:space="preserve"> Increased Frequency, Duration, and Area of Winter Polynyas North of Greenland in a Warming Climate — https://doi.org/10.1029/2025gl121125</w:t>
      </w:r>
    </w:p>
    <w:p>
      <w:pPr/>
      <w:r>
        <w:rPr>
          <w:b/>
        </w:rPr>
        <w:t>Shared claim-specific concepts:</w:t>
      </w:r>
      <w:r>
        <w:t xml:space="preserve"> frequency, ice, increase, climate, projections; EU scope not established. This is a provisional connection, not an outcome finding.</w:t>
      </w:r>
    </w:p>
    <w:p>
      <w:pPr>
        <w:pStyle w:val="SourceNote"/>
      </w:pPr>
      <w:r>
        <w:rPr>
          <w:b/>
        </w:rPr>
        <w:t>Available abstract (not full text):</w:t>
      </w:r>
      <w:r>
        <w:t xml:space="preserve"> Abstract Polynyas play a crucial role in the polar marine ecosystems and climate system. Four winter polynya events north of Greenland have been observed, but the response of winter polynyas to climate warming remains unknown. This study investigates projected changes in winter polynyas in the Wandel Sea north of Greenland using the AWI‐CM3 climate model, which features 2‐km ocean‐ice resolution in the Arctic. We show that the model successfully simulates the main characteristics of observed polynyas. Future projections indicate that, under continued climate warming, winter polynyas will increase substantially in frequency, duration, and spatial extent once sea ice thickness falls below approximately 1.5 m. By 2100, polynyas could occur up to twice per winter, with a winter total duration exceeding 15 days under the SSP5‐8.5 scenario. Our analysis indicates that sea ice thinning is likely the primary cause of these changes, as it reduces ice strength and enhances ice mobility.</w:t>
      </w:r>
    </w:p>
    <w:p>
      <w:pPr/>
      <w:r>
        <w:rPr>
          <w:b/>
        </w:rPr>
        <w:t>POSSIBLE 2026:</w:t>
      </w:r>
      <w:r>
        <w:t xml:space="preserve"> Simulating global ice volume across the Mid-Pleistocene Transition with a ramp-like increase in the deglaciation threshold — https://doi.org/10.5194/cp-22-675-2026</w:t>
      </w:r>
    </w:p>
    <w:p>
      <w:pPr/>
      <w:r>
        <w:rPr>
          <w:b/>
        </w:rPr>
        <w:t>Shared claim-specific concepts:</w:t>
      </w:r>
      <w:r>
        <w:t xml:space="preserve"> frequency, ice, increase, climate; EU scope not established. This is a provisional connection, not an outcome finding.</w:t>
      </w:r>
    </w:p>
    <w:p>
      <w:pPr>
        <w:pStyle w:val="SourceNote"/>
      </w:pPr>
      <w:r>
        <w:rPr>
          <w:b/>
        </w:rPr>
        <w:t>Available abstract (not full text):</w:t>
      </w:r>
      <w:r>
        <w:t xml:space="preserve"> Abstract. During the Quaternary period, spanning the last 2.6 million years, the characteristic frequency and amplitude of glacial-interglacial cycles evolved from low-amplitude 41,000-year cycles to high-amplitude 100,000-year cycles. This transition occurred around 1.2 to 0.8 million years ago and is referred to as the Mid-Pleistocene Transition (MPT). While the 41 kyr cycles are driven by changes in Earth’s obliquity, which largely affect the incoming solar insolation, no apparent change in external orbital forcing during this period could explain the shift towards 100 kyr cycles. Several theories have been put forward to explain this shift, including scenarios of both gradual and abrupt changes in the internal climate system throughout the Pleistocene. In order to test which theory best matches the observations, we have constructed a conceptual model capable of simulating changes in the global ice volume over the past 2.6 Ma and accurately reconstructing the MPT and its associated change in amplitude and frequency. Four different forcing scenarios are implemented, ranging from a purely orbitally driven model to a ramp-like change in internal forcing. The model is in favour of a ramp-like forcing scenario, where the gradual change in internal forcing is limited in time and started around 2 Ma. These findings imply that the climate system had already undergone major changes i</w:t>
      </w:r>
    </w:p>
    <w:p>
      <w:pPr/>
      <w:r>
        <w:rPr>
          <w:b/>
        </w:rPr>
        <w:t>POSSIBLE 2025:</w:t>
      </w:r>
      <w:r>
        <w:t xml:space="preserve"> Widespread Increase in Atmospheric River Frequency and Impacts Over the 20th Century — https://doi.org/10.1029/2025av001888</w:t>
      </w:r>
    </w:p>
    <w:p>
      <w:pPr/>
      <w:r>
        <w:rPr>
          <w:b/>
        </w:rPr>
        <w:t>Shared claim-specific concepts:</w:t>
      </w:r>
      <w:r>
        <w:t xml:space="preserve"> frequency, increase, about, climate, projections; EU scope not established. This is a provisional connection, not an outcome finding.</w:t>
      </w:r>
    </w:p>
    <w:p>
      <w:pPr>
        <w:pStyle w:val="SourceNote"/>
      </w:pPr>
      <w:r>
        <w:rPr>
          <w:b/>
        </w:rPr>
        <w:t>Available abstract (not full text):</w:t>
      </w:r>
      <w:r>
        <w:t xml:space="preserve"> Abstract Atmospheric rivers (ARs) play a dominant role in water resource availability in many regions, and can cause substantial hazards, including extreme precipitation, flooding, and moist heatwaves. Despite this, there is substantial uncertainty about recent and ongoing changes in AR frequency and impacts. Here, we place recent observed trends in their longer‐term context using AR records extending back to 1940. Our results show that AR frequency has increased broadly across the midlatitudes, bridging the apparent discrepancy between the observed satellite‐era poleward shift and the general increase simulated in climate change projections. This increase in AR frequency enhances AR‐associated precipitation and snowfall across their region of influence in the mid‐ and high‐latitudes. We also find that, despite warmer surface temperatures associated with ARs, there is a decrease in the magnitude of AR‐associated temperature anomalies in high‐latitude regions due to Arctic amplification. An increase in AR‐associated humid heatwaves underscores the societal importance of changing AR activity.</w:t>
      </w:r>
    </w:p>
    <w:p>
      <w:pPr/>
      <w:r>
        <w:rPr>
          <w:b/>
        </w:rPr>
        <w:t>POSSIBLE 2025:</w:t>
      </w:r>
      <w:r>
        <w:t xml:space="preserve"> Increased frequency of planetary wave resonance events over the past half-century — https://doi.org/10.1073/pnas.2504482122</w:t>
      </w:r>
    </w:p>
    <w:p>
      <w:pPr/>
      <w:r>
        <w:rPr>
          <w:b/>
        </w:rPr>
        <w:t>Shared claim-specific concepts:</w:t>
      </w:r>
      <w:r>
        <w:t xml:space="preserve"> frequency, increase, climate; EU scope not established. This is a provisional connection, not an outcome finding.</w:t>
      </w:r>
    </w:p>
    <w:p>
      <w:pPr>
        <w:pStyle w:val="SourceNote"/>
      </w:pPr>
      <w:r>
        <w:rPr>
          <w:b/>
        </w:rPr>
        <w:t>Available abstract (not full text):</w:t>
      </w:r>
      <w:r>
        <w:t xml:space="preserve"> We demonstrate a tripling in the frequency of planetary wave resonance events over the past halfcentury, coinciding with the rise in persistent boreal summer weather extremes. This increase aligns with changes in the underlying climate conditions favoring these events, including amplified Arctic warming and land-sea thermal contrast. We also observe increased prevalence of resonant amplification events following the mature phase of strong El Niño events, suggesting that such events may precondition the mean state conditions in ways that favor large-scale quasi-stationary wave patterns and quasi-resonant wave amplification. Since the impact of anthropogenic warming on quasi-resonant amplification is not well captured by current-generation climate models, it is likely that models are underpredicting the potential increase, indicating even greater risk of persistent extreme summer weather events with ongoing warming.</w:t>
      </w:r>
    </w:p>
    <w:p>
      <w:pPr/>
      <w:r>
        <w:rPr>
          <w:b/>
        </w:rPr>
        <w:t>POSSIBLE 2024:</w:t>
      </w:r>
      <w:r>
        <w:t xml:space="preserve"> Winter thunderstorms in Poland (1951–2020) — https://doi.org/10.2478/environ-2024-0021</w:t>
      </w:r>
    </w:p>
    <w:p>
      <w:pPr/>
      <w:r>
        <w:rPr>
          <w:b/>
        </w:rPr>
        <w:t>Shared claim-specific concepts:</w:t>
      </w:r>
      <w:r>
        <w:t xml:space="preserve"> frequency, increase, rare, climate; EU scope visible. This is a provisional connection, not an outcome finding.</w:t>
      </w:r>
    </w:p>
    <w:p>
      <w:pPr>
        <w:pStyle w:val="SourceNote"/>
      </w:pPr>
      <w:r>
        <w:rPr>
          <w:b/>
        </w:rPr>
        <w:t>Available abstract (not full text):</w:t>
      </w:r>
      <w:r>
        <w:t xml:space="preserve"> Abstract One of the climate changes observed in mid-latitudes is the increase in the frequency of winter thunderstorms. These changes are also observed in Poland. For this reason, this study presents changes in the occurrence of thunderstorms in the cold half of the year and in winter in Poland from 1951 to 2020. The synoptic and thermodynamic conditions in the atmosphere, accompanied by particularly strong thunderstorms at this time of year, were also analysed based on selected cases of winter thun derstorms. The research was carried out on the basis of data from 46 synoptic stations, and the basic indicator was a day with a thunderstorm. Additionally, three cases of dangerous winter thunderstorms that occurred in Poland in the 21st century were analysed. For this purpose, synoptic maps, data from ERA5 reanalyses, aerological data and reports from the European Severe Weather Database were analysed. On this basis, it was found that there was a clear spatial differentiation of thunderstorms occurring in the cold half of the year, which in some regions of the country accounted for even more than 8% of all cases in the year. Although these thunderstorms are extremely rare, there are signs of an increase in their frequency during the studyperiod. The strongest influence on the occurrence of these phenomena in the cold season is air circulation and local conditions. Most of the thun</w:t>
      </w:r>
    </w:p>
    <w:p>
      <w:pPr/>
      <w:r>
        <w:rPr>
          <w:b/>
        </w:rPr>
        <w:t>POSSIBLE 2023:</w:t>
      </w:r>
      <w:r>
        <w:t xml:space="preserve"> The Mid-Pleistocene Climate Transition — https://doi.org/10.1146/annurev-earth-032320-104209</w:t>
      </w:r>
    </w:p>
    <w:p>
      <w:pPr/>
      <w:r>
        <w:rPr>
          <w:b/>
        </w:rPr>
        <w:t>Shared claim-specific concepts:</w:t>
      </w:r>
      <w:r>
        <w:t xml:space="preserve"> ice, about, climate; EU scope not established. This is a provisional connection, not an outcome finding.</w:t>
      </w:r>
    </w:p>
    <w:p>
      <w:pPr>
        <w:pStyle w:val="SourceNote"/>
      </w:pPr>
      <w:r>
        <w:rPr>
          <w:b/>
        </w:rPr>
        <w:t>Available abstract (not full text):</w:t>
      </w:r>
      <w:r>
        <w:t xml:space="preserve"> The timing of ice ages over the past ∼2,600 thousand years (kyr) follows pacing by cyclical changes in three aspects of Earth's orbit that influence the solar energy received as a function of latitude and season. Explaining the large magnitude of the climate changes is challenging, particularly so across the period of time from ∼1,250 to 750 ka—the Mid-Pleistocene Transition or MPT. The average repeat time of ice age cycles changed from an earlier 41-kyr rhythm to longer and more intense glaciations at a spacing of about 100 kyr. Explaining this change is very difficult because there was no corresponding change in the orbital pacing that would trigger a change in timing. While the first generation of hypotheses looked largely to changes in the behavior of Northern Hemisphere ice sheets, more recent work integrates ice behavior with new data capturing the evolution of other important aspects of past climate. A full explanation is still lacking, but attention increasingly focuses on the ocean carbon cycle and atmospheric CO2 levels as the crucial agents involved in the MPT. ▪The pattern of climate changes connected to the ice ages of the past few million years changed radically between about 1,250 and 750 thousand years ago, a time known as the Mid-Pleistocene Transition or MPT.▪While the glacial cycles were ultimately triggered by cyclical changes in Earth's orbit, the changes a</w:t>
      </w:r>
    </w:p>
    <w:p>
      <w:pPr/>
      <w:r>
        <w:rPr>
          <w:b/>
        </w:rPr>
        <w:t>POSSIBLE 2023:</w:t>
      </w:r>
      <w:r>
        <w:t xml:space="preserve"> Winter heavy precipitation events over Northern Europe modulated by a weaker NAO variability by the end of the 21st century — https://doi.org/10.1038/s41612-023-00396-1</w:t>
      </w:r>
    </w:p>
    <w:p>
      <w:pPr/>
      <w:r>
        <w:rPr>
          <w:b/>
        </w:rPr>
        <w:t>Shared claim-specific concepts:</w:t>
      </w:r>
      <w:r>
        <w:t xml:space="preserve"> two, ensemble; EU scope visible. This is a provisional connection, not an outcome finding.</w:t>
      </w:r>
    </w:p>
    <w:p>
      <w:pPr>
        <w:pStyle w:val="SourceNote"/>
      </w:pPr>
      <w:r>
        <w:rPr>
          <w:b/>
        </w:rPr>
        <w:t>Available abstract (not full text):</w:t>
      </w:r>
      <w:r>
        <w:t xml:space="preserve"> Abstract We use an ensemble of models participating in the Coupled Model Intercomparison Project phase 6 (CMIP6) to analyse the number of days with extreme winter precipitation over Northern Europe and its relationship to the North Atlantic Oscillation (NAO), for the historical period 1950–2014 and two future 21st-century scenarios. Here we find that over Northern Europe, the models project twice more extreme precipitation days by the end of the 21st century under the high-emission scenario compared to the historical period. We also find a weakening of the NAO variability in the second half of the 21st century in the high greenhouse gas emission scenario compared to the historical period, as well as an increasing correlation between extreme winter precipitation events and the NAO index in both future scenarios. Models with a projected decrease in the NAO variability across the 21st century show a positive trend in the number of days with extreme winter precipitation over Northern Europe. These results highlight the role played by NAO in modulating extreme winter precipitation events.</w:t>
      </w:r>
    </w:p>
    <w:p>
      <w:pPr/>
      <w:r>
        <w:rPr>
          <w:b/>
        </w:rPr>
        <w:t>POSSIBLE 2023:</w:t>
      </w:r>
      <w:r>
        <w:t xml:space="preserve"> Regional variability in peatland burning at mid-to high-latitudes during the Holocene — https://doi.org/10.1016/j.quascirev.2023.108020</w:t>
      </w:r>
    </w:p>
    <w:p>
      <w:pPr/>
      <w:r>
        <w:rPr>
          <w:b/>
        </w:rPr>
        <w:t>Shared claim-specific concepts:</w:t>
      </w:r>
      <w:r>
        <w:t xml:space="preserve"> frequency, ice, climate; EU scope visible. This is a provisional connection, not an outcome finding.</w:t>
      </w:r>
    </w:p>
    <w:p>
      <w:pPr>
        <w:pStyle w:val="SourceNote"/>
      </w:pPr>
      <w:r>
        <w:rPr>
          <w:b/>
        </w:rPr>
        <w:t>Available abstract (not full text):</w:t>
      </w:r>
      <w:r>
        <w:t xml:space="preserve"> Northern peatlands store globally-important amounts of carbon in the form of partly decomposed plant detritus. Drying associated with climate and land-use change may lead to increased fire frequency and severity in peatlands and the rapid loss of carbon to the atmosphere. However, our understanding of the patterns and drivers of peatland burning on an appropriate decadal to millennial timescale relies heavily on individual site-based reconstructions. For the first time, we synthesise peatland macrocharcoal records from across North America, Europe, and Patagonia to reveal regional variation in peatland burning during the Holocene. We used an existing database of proximal sedimentary charcoal to represent regional burning trends in the wider landscape for each region. Long-term trends in peatland burning appear to be largely climate driven, with human activities likely having an increasing influence in the late Holocene. Warmer conditions during the Holocene Thermal Maximum (∼9–6 cal. ka BP) were associated with greater peatland burning in North America's Atlantic coast, southern Scandinavia and the Baltics, and Patagonia. Since the Little Ice Age, peatland burning has declined across North America and in some areas of Europe. This decline is mirrored by a decrease in wider landscape burning in some, but not all sub-regions, linked to fire-suppression policies, and landscape fra</w:t>
      </w:r>
    </w:p>
    <w:p>
      <w:pPr/>
      <w:r>
        <w:rPr>
          <w:b/>
        </w:rPr>
        <w:t>POSSIBLE 2023:</w:t>
      </w:r>
      <w:r>
        <w:t xml:space="preserve"> Upper-tropospheric slightly ice-subsaturated regions: frequency of occurrence and statistical evidence for the appearance of contrail cirrus — https://doi.org/10.5194/acp-23-2251-2023</w:t>
      </w:r>
    </w:p>
    <w:p>
      <w:pPr/>
      <w:r>
        <w:rPr>
          <w:b/>
        </w:rPr>
        <w:t>Shared claim-specific concepts:</w:t>
      </w:r>
      <w:r>
        <w:t xml:space="preserve"> frequency, ice, increase; EU scope visible. This is a provisional connection, not an outcome finding.</w:t>
      </w:r>
    </w:p>
    <w:p>
      <w:pPr>
        <w:pStyle w:val="SourceNote"/>
      </w:pPr>
      <w:r>
        <w:rPr>
          <w:b/>
        </w:rPr>
        <w:t>Available abstract (not full text):</w:t>
      </w:r>
      <w:r>
        <w:t xml:space="preserve"> Abstract. Microphysical, optical, and environmental properties of contrail cirrus and natural cirrus were investigated by applying a new, statistically based contrail–cirrus separation method to 14.7 hours of cirrus cloud measurements during the airborne campaign ML-CIRRUS in Central Europe and the Northeast Atlantic flight corridor in Spring 2014. We find that pure contrail cirrus appears frequently at the aircraft cruising altitude (CA) range with ambient pressure varying from 200 to 245 hPa. They exhibit a higher median ice particle number concentration (Nice), a smaller median mass mean radius (Rice), and lower median ice water content (IWC) (median: Nice = 0.045 cm-3, Rice = 16.6 µm, IWC = 3.5 ppmv), and they are optically thinner (median extinction coefficient Ext = ~ 0.056 km-1) than the cirrus mixture of contrail cirrus, natural in situ-origin and liquid-origin cirrus found around the CA range (median: Nice = 0.038 cm-3, Rice = 24.1 µm, IWC = 8.3 ppmv, Ext = ~ 0.096 km-1). The lowest and thickest cirrus, consisting of a few large ice particles, are identified as pure natural liquid-origin cirrus (median: Nice = 0.018 cm-3, Rice = 42.4 µm, IWC = 21.7 ppmv, Ext = ~ 0.137 km-1). Furthermore, we observe that, in particular, contrail cirrus occurs more often in slightly ice-subsaturated instead of merely ice saturated to supersaturated air as often assumed, thus indicating t</w:t>
      </w:r>
    </w:p>
    <w:p>
      <w:pPr/>
      <w:r>
        <w:rPr>
          <w:b/>
        </w:rPr>
        <w:t>POSSIBLE 2023:</w:t>
      </w:r>
      <w:r>
        <w:t xml:space="preserve"> The frequency, intensity, and origin of floods in Poland in the 11th–15th centuries based on documentary evidence — https://doi.org/10.1016/j.jhydrol.2023.129778</w:t>
      </w:r>
    </w:p>
    <w:p>
      <w:pPr/>
      <w:r>
        <w:rPr>
          <w:b/>
        </w:rPr>
        <w:t>Shared claim-specific concepts:</w:t>
      </w:r>
      <w:r>
        <w:t xml:space="preserve"> frequency, about, two; EU scope visible. This is a provisional connection, not an outcome finding.</w:t>
      </w:r>
    </w:p>
    <w:p>
      <w:pPr>
        <w:pStyle w:val="SourceNote"/>
      </w:pPr>
      <w:r>
        <w:rPr>
          <w:b/>
        </w:rPr>
        <w:t>Available abstract (not full text):</w:t>
      </w:r>
      <w:r>
        <w:t xml:space="preserve"> Documentary evidence is increasingly being recognized as a precious source for assessing flood records. We have used this type of proxy data to identify the occurrence of floods in Poland from the 11th to the 15th centuries. In addition, we estimated the intensity of each flood event using the best-known classifications for Europe (Barriendos and Coeur, 2004, Brázdil et al., 2006) and assessed their origin based on modified Lambor’s (1954) criteria. The database of floods in Poland contains 166 occurrences in the study period. Most occurred in the 15th century (61.4%). Of the studied regions, Silesia and the Baltic Coast and Pomerania regions were the two most affected by flood events, each accounting for 33–34% of instances. Based on the Brázdil et al. (2006) classification, 77 of the recorded floods are above-average or supra-regional. Also, the indexation of floods based on Barriendos and Coeur (2004) demonstrated that 99 were extraordinary flood events. Rain and its subtypes were the leading causes of floods, with 79 records (47.6%). Flood occurrence in Poland exhibited good spatial coherency with neighboring countries. The updated and most complete inventory of floods in medieval Poland that we present here with a detailed analysis of their frequency, intensity and origin, improves the existing knowledge about this phenomenon in Central Europe. The results of this study, s</w:t>
      </w:r>
    </w:p>
    <w:p>
      <w:pPr/>
      <w:r>
        <w:rPr>
          <w:b/>
        </w:rPr>
        <w:t>POSSIBLE 2022:</w:t>
      </w:r>
      <w:r>
        <w:t xml:space="preserve"> Global wood anatomical perspective on the onset of the Late Antique Little Ice Age (LALIA) in the mid-6th century CE — https://doi.org/10.1016/j.scib.2022.10.019</w:t>
      </w:r>
    </w:p>
    <w:p>
      <w:pPr/>
      <w:r>
        <w:rPr>
          <w:b/>
        </w:rPr>
        <w:t>Shared claim-specific concepts:</w:t>
      </w:r>
      <w:r>
        <w:t xml:space="preserve"> ice, two, climate; EU scope not established. This is a provisional connection, not an outcome finding.</w:t>
      </w:r>
    </w:p>
    <w:p>
      <w:pPr>
        <w:pStyle w:val="SourceNote"/>
      </w:pPr>
      <w:r>
        <w:rPr>
          <w:b/>
        </w:rPr>
        <w:t>Available abstract (not full text):</w:t>
      </w:r>
      <w:r>
        <w:t xml:space="preserve"> Linked to major volcanic eruptions around 536 and 540 CE, the onset of the Late Antique Little Ice Age has been described as the coldest period of the past two millennia. The exact timing and spatial extent of this exceptional cold phase are, however, still under debate because of the limited resolution and geographical distribution of the available proxy archives. Here, we use 106 wood anatomical thin sections from 23 forest sites and 20 tree species in both hemispheres to search for cell-level fingerprints of ephemeral summer cooling between 530 and 550 CE. After cross-dating and double-staining, we identified 89 Blue Rings (lack of cell wall lignification), nine Frost Rings (cell deformation and collapse), and 93 Light Rings (reduced cell wall thickening) in the Northern Hemisphere. Our network reveals evidence for the strongest temperature depression between mid-July and early-August 536 CE across North America and Eurasia, whereas more localised cold spells occurred in the summers of 532, 540-43, and 548 CE. The lack of anatomical signatures in the austral trees suggests limited incursion of stratospheric volcanic aerosol into the Southern Hemisphere extra-tropics, that any forcing was mitigated by atmosphere-ocean dynamical responses and/or concentrated outside the growing season, or a combination of factors. Our findings demonstrate the advantage of wood anatomical inves</w:t>
      </w:r>
    </w:p>
    <w:p>
      <w:pPr>
        <w:pStyle w:val="Heading2"/>
      </w:pPr>
      <w:r>
        <w:t>711. How much can societal turning points affect forecasts’ accuracy in Europe? Case of post-communistic transformation in Slovakia and the Czech Republic</w:t>
      </w:r>
    </w:p>
    <w:p>
      <w:pPr>
        <w:pStyle w:val="SourceNote"/>
      </w:pPr>
      <w:r>
        <w:rPr>
          <w:b/>
        </w:rPr>
        <w:t>Original source (2019):</w:t>
      </w:r>
      <w:r>
        <w:t xml:space="preserve"> https://doi.org/10.1186/s40309-019-0158-z</w:t>
      </w:r>
    </w:p>
    <w:p>
      <w:pPr/>
      <w:r>
        <w:t>Original wording (abstract; indexed_source_text_not_full_document_verified): Here, the alternative future is built and simulated in terms of what the populations would have looked like if the socialist system had not collapsed.</w:t>
      </w:r>
    </w:p>
    <w:p>
      <w:pPr/>
      <w:r>
        <w:rPr>
          <w:b/>
        </w:rPr>
        <w:t>POSSIBLE 2026:</w:t>
      </w:r>
      <w:r>
        <w:t xml:space="preserve"> From Moral Crusade to European Reality: The Rights of Nature “Solution” in Search of a Problem — https://doi.org/10.1017/aju.2026.10088</w:t>
      </w:r>
    </w:p>
    <w:p>
      <w:pPr/>
      <w:r>
        <w:rPr>
          <w:b/>
        </w:rPr>
        <w:t>Shared claim-specific concepts:</w:t>
      </w:r>
      <w:r>
        <w:t xml:space="preserve"> here, alternative, built, not; EU scope visible. This is a provisional connection, not an outcome finding.</w:t>
      </w:r>
    </w:p>
    <w:p>
      <w:pPr>
        <w:pStyle w:val="SourceNote"/>
      </w:pPr>
      <w:r>
        <w:rPr>
          <w:b/>
        </w:rPr>
        <w:t>Available abstract (not full text):</w:t>
      </w:r>
      <w:r>
        <w:t xml:space="preserve"> By what sleight of hand could the simple idea of personifying nature and granting it rights outperform contemporary environmental law, a sophisticated normative edifice built over the last fifty years? This is the question that led me, about a decade ago, to engage critically with rights of nature. 1 In this essay, I focus on the concept from a European standpoint, without claiming to do full justice to the live debate over the concept in other jurisdictions, such as Latin America, New Zealand, and the United States. I challenge the claim that rights of nature offer a meaningful legal alternative to contemporary environmental law in Europe. The arguments advanced here, however, have broader relevance: European law — including under the European Convention on Human Rights — shows that effective protection of nature does not require personification, and the theoretical critiques of rights of nature are also relevant to the international debate. The argument that it might provide such an alternative rests on a form of ancient natural law thinking, and it carries a strong ideological charge that leads to a flawed diagnosis of what environmental law actually is and does. Rather than re-inventing environmental law through personification of nature, the pressing task is to sustain the existing legal framework.</w:t>
      </w:r>
    </w:p>
    <w:p>
      <w:pPr/>
      <w:r>
        <w:rPr>
          <w:b/>
        </w:rPr>
        <w:t>POSSIBLE 2025:</w:t>
      </w:r>
      <w:r>
        <w:t xml:space="preserve"> Population genomics and molecular epidemiology of wheat powdery mildew in Europe — https://doi.org/10.1371/journal.pbio.3003097</w:t>
      </w:r>
    </w:p>
    <w:p>
      <w:pPr/>
      <w:r>
        <w:rPr>
          <w:b/>
        </w:rPr>
        <w:t>Shared claim-specific concepts:</w:t>
      </w:r>
      <w:r>
        <w:t xml:space="preserve"> here, populations, not; EU scope visible. This is a provisional connection, not an outcome finding.</w:t>
      </w:r>
    </w:p>
    <w:p>
      <w:pPr>
        <w:pStyle w:val="SourceNote"/>
      </w:pPr>
      <w:r>
        <w:rPr>
          <w:b/>
        </w:rPr>
        <w:t>Available abstract (not full text):</w:t>
      </w:r>
      <w:r>
        <w:t xml:space="preserve"> Agricultural diseases are a major threat to sustainable food production. Yet, for many pathogens we know exceptionally little about their epidemiological and population dynamics, and this knowledge gap is slowing the development of efficient control strategies. Here we study the population genomics and molecular epidemiology of wheat powdery mildew, a disease caused by the biotrophic fungus Blumeria graminis forma specialis tritici (Bgt). We sampled Bgt across two consecutive years, 2022 and 2023, and compiled a genomic dataset of 415 Bgt isolates from 22 countries in Europe and surrounding regions. We identified a single epidemic unit in the north of Europe, consisting of a highly homogeneous population. Conversely, the south of Europe hosts smaller local populations which are less interconnected. In addition, we show that the population structure can be largely predicted by the prevalent wind patterns. We identified several loci that were under selection in the recent past, including fungicide targets and avirulence genes. Some of these loci are common between populations, while others are not, suggesting different local selective pressures. We reconstructed the evolutionary history of one of these loci, AvrPm17, coding for an effector recognized by the wheat receptor Pm17. We found evidence for a soft sweep on standing genetic variation. Multiple AvrPm17 haplotypes, which ca</w:t>
      </w:r>
    </w:p>
    <w:p>
      <w:pPr/>
      <w:r>
        <w:rPr>
          <w:b/>
        </w:rPr>
        <w:t>POSSIBLE 2025:</w:t>
      </w:r>
      <w:r>
        <w:t xml:space="preserve"> The Presence of Alternative Tree Species in European Beech Forests Drives Change in Functional Diversity and Composition of Forest Floor Plant Communities — https://doi.org/10.1111/jvs.70058</w:t>
      </w:r>
    </w:p>
    <w:p>
      <w:pPr/>
      <w:r>
        <w:rPr>
          <w:b/>
        </w:rPr>
        <w:t>Shared claim-specific concepts:</w:t>
      </w:r>
      <w:r>
        <w:t xml:space="preserve"> here, alternative, built; EU scope visible. This is a provisional connection, not an outcome finding.</w:t>
      </w:r>
    </w:p>
    <w:p>
      <w:pPr>
        <w:pStyle w:val="SourceNote"/>
      </w:pPr>
      <w:r>
        <w:rPr>
          <w:b/>
        </w:rPr>
        <w:t>Available abstract (not full text):</w:t>
      </w:r>
      <w:r>
        <w:t xml:space="preserve"> ABSTRACT Questions The diversity and composition of functional traits within plant communities have repeatedly been shown to be important predictors of overall ecosystem stability and the provision of basic ecosystem services. Admixing alternative tree species to monodominant European beech forests, a common measure of silvicultural climate change adaptation, is known to affect species diversity and composition of forest floor vegetation. Here we studied whether this adaptation measure also affects the functional diversity and composition of understorey plant communities. Location The study was carried out in temperate beech forests of southwest Germany in Central Europe. Methods We used the four key plant traits seed mass (SDM), plant height (PHV), leaf dry‐matter content (LDMC) and specific leaf area (SLA) to calculate the distance‐based functional richness (FRic), functional evenness (FEve), functional divergence (FDiv) and the community‐weighted mean (CWM) plant traits of herb layer plant communities. Generalised mixed models were built to test the effects of gradually admixed Douglas fir (Pseudotsuga menziesii), silver fir (Abies alba), sessile oak (Quercus petraea), red oak (Quercus rubra) and various mixtures of native broadleaves on functional diversity and composition. Results The presence of Douglas fir and silver fir was associated with increased FRic of the understo</w:t>
      </w:r>
    </w:p>
    <w:p>
      <w:pPr/>
      <w:r>
        <w:rPr>
          <w:b/>
        </w:rPr>
        <w:t>POSSIBLE 2023:</w:t>
      </w:r>
      <w:r>
        <w:t xml:space="preserve"> Probiotic-Based Sanitation in the Built Environment—An Alternative to Chemical Disinfectants — https://doi.org/10.3390/applmicrobiol3020038</w:t>
      </w:r>
    </w:p>
    <w:p>
      <w:pPr/>
      <w:r>
        <w:rPr>
          <w:b/>
        </w:rPr>
        <w:t>Shared claim-specific concepts:</w:t>
      </w:r>
      <w:r>
        <w:t xml:space="preserve"> here, alternative, built; EU scope not established. This is a provisional connection, not an outcome finding.</w:t>
      </w:r>
    </w:p>
    <w:p>
      <w:pPr>
        <w:pStyle w:val="SourceNote"/>
      </w:pPr>
      <w:r>
        <w:rPr>
          <w:b/>
        </w:rPr>
        <w:t>Available abstract (not full text):</w:t>
      </w:r>
      <w:r>
        <w:t xml:space="preserve"> The use of conventional chemical disinfectants is a common practice in built environments and has drastically increased in response to the COVID-19 pandemic. While effective for instantaneous disinfection, the application of chemical disinfectants to indoor surfaces is associated with recontamination and is prone to select for antimicrobial-resistant pathogens. In contrast, probiotic-based sanitation (PBS) relies on the premise that probiotic bacteria, namely apathogenic Bacillus spp., when combined with eco-friendly detergents and applied to indoor surfaces can outcompete and exclude pathogens. Recent in situ studies assessing PBS in healthcare settings have demonstrated overwhelmingly positive results, including significant reductions in pathogen burden, antimicrobial-resistant genes and nosocomial infections, yet these studies are limited in duration and scope. Here, we review results of Bacillus-based PBS in practice, identify knowledge gaps and discuss the considerations for the widespread use of PBS in built environments. In a time when indoor cleaning and disinfection has come to the forefront, PBS may offer an attractive, effective and sustainable alternative to conventional chemical disinfectants.</w:t>
      </w:r>
    </w:p>
    <w:p>
      <w:pPr/>
      <w:r>
        <w:rPr>
          <w:b/>
        </w:rPr>
        <w:t>POSSIBLE 2023:</w:t>
      </w:r>
      <w:r>
        <w:t xml:space="preserve"> Ecospirituality in French-Speaking Europe: Linking Ecological Thought with Alternative Spirituality — https://doi.org/10.3390/rel14040510</w:t>
      </w:r>
    </w:p>
    <w:p>
      <w:pPr/>
      <w:r>
        <w:rPr>
          <w:b/>
        </w:rPr>
        <w:t>Shared claim-specific concepts:</w:t>
      </w:r>
      <w:r>
        <w:t xml:space="preserve"> here, alternative, built; EU scope visible. This is a provisional connection, not an outcome finding.</w:t>
      </w:r>
    </w:p>
    <w:p>
      <w:pPr>
        <w:pStyle w:val="SourceNote"/>
      </w:pPr>
      <w:r>
        <w:rPr>
          <w:b/>
        </w:rPr>
        <w:t>Available abstract (not full text):</w:t>
      </w:r>
      <w:r>
        <w:t xml:space="preserve"> Contemporary ecospirituality is built on a double articulation between ecology (science) and spirituality (religion) and can be intertwined with practices and beliefs stemming from neopaganism and, more broadly, an animist vision. The study presented here is anchored in social anthropology, which adds an important empirical dimension that is often underrepresented within the contemporary debates of ecospirituality and the philosophical approaches to science and religion. I therefore propose to begin by describing the methodology I am using. Then, I will outline the sociological (and historical) roots of ecospirituality. Thirdly, I will present the main different currents that make up ecospirituality. Finally, I will end this article by exposing the different types of knowledge produced by ecospiritual actors, reconciling intuitive knowledge and rational knowledge.</w:t>
      </w:r>
    </w:p>
    <w:p>
      <w:pPr/>
      <w:r>
        <w:rPr>
          <w:b/>
        </w:rPr>
        <w:t>POSSIBLE 2023:</w:t>
      </w:r>
      <w:r>
        <w:t xml:space="preserve"> Temporal PROMETHEE II — New multi-criteria approach to sustainable management of alternative fuels consumption — https://doi.org/10.1016/j.jclepro.2023.137445</w:t>
      </w:r>
    </w:p>
    <w:p>
      <w:pPr/>
      <w:r>
        <w:rPr>
          <w:b/>
        </w:rPr>
        <w:t>Shared claim-specific concepts:</w:t>
      </w:r>
      <w:r>
        <w:t xml:space="preserve"> here, alternative, built, like, not; EU scope visible. This is a provisional connection, not an outcome finding.</w:t>
      </w:r>
    </w:p>
    <w:p>
      <w:pPr>
        <w:pStyle w:val="SourceNote"/>
      </w:pPr>
      <w:r>
        <w:rPr>
          <w:b/>
        </w:rPr>
        <w:t>Available abstract (not full text):</w:t>
      </w:r>
      <w:r>
        <w:t xml:space="preserve"> Alternative fuels are the subject of growing interest among both researchers and practitioners. In this aspect, to properly handle the problem of proper evaluating alternative fuels, appropriate methods, and tools are undoubtedly needed. Since the evaluation of sustainable alternative fuels similarly, like most sustainability problems, has a multi-criteria character, multi-criteria methods have the potential to be employed here. Analysis of the alternative fuels domain indicates that classical multi-criteria methods are not exactly suitable for use in cases where, instead of a single matrix for evaluating alternatives, we have a set of them collected for particular periods. Therefore, developing a dedicated approach that considers the specifics of a given problem is necessary. For this purpose, the paper proposes a new Temporal Preference Ranking Organization Method for Enrichment Evaluations II (PROMETHEE II) method for multi-criteria temporal evaluation. Hence, the presented method solves the limitations occurring in previously developed multi-criteria methods. In addition to the classical aspect of evaluating the options under consideration, the proposed method makes it possible to accurately grasp the dynamics of the outcomes and put them into an easy-to-interpret result. A practical contribution of the paper is applying the developed method to a multi-criteria temporal eva</w:t>
      </w:r>
    </w:p>
    <w:p>
      <w:pPr/>
      <w:r>
        <w:rPr>
          <w:b/>
        </w:rPr>
        <w:t>POSSIBLE 2023:</w:t>
      </w:r>
      <w:r>
        <w:t xml:space="preserve"> Farmland practices are driving bird population decline across Europe — https://doi.org/10.1073/pnas.2216573120</w:t>
      </w:r>
    </w:p>
    <w:p>
      <w:pPr/>
      <w:r>
        <w:rPr>
          <w:b/>
        </w:rPr>
        <w:t>Shared claim-specific concepts:</w:t>
      </w:r>
      <w:r>
        <w:t xml:space="preserve"> here, populations, not; EU scope visible. This is a provisional connection, not an outcome finding.</w:t>
      </w:r>
    </w:p>
    <w:p>
      <w:pPr>
        <w:pStyle w:val="SourceNote"/>
      </w:pPr>
      <w:r>
        <w:rPr>
          <w:b/>
        </w:rPr>
        <w:t>Available abstract (not full text):</w:t>
      </w:r>
      <w:r>
        <w:t xml:space="preserve"> 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w:t>
      </w:r>
    </w:p>
    <w:p>
      <w:pPr/>
      <w:r>
        <w:rPr>
          <w:b/>
        </w:rPr>
        <w:t>POSSIBLE 2023:</w:t>
      </w:r>
      <w:r>
        <w:t xml:space="preserve"> Crime and Punishment—Crime Rates and Prison Population in Europe — https://doi.org/10.3390/laws12010019</w:t>
      </w:r>
    </w:p>
    <w:p>
      <w:pPr/>
      <w:r>
        <w:rPr>
          <w:b/>
        </w:rPr>
        <w:t>Shared claim-specific concepts:</w:t>
      </w:r>
      <w:r>
        <w:t xml:space="preserve"> here, terms, populations; EU scope visible. This is a provisional connection, not an outcome finding.</w:t>
      </w:r>
    </w:p>
    <w:p>
      <w:pPr>
        <w:pStyle w:val="SourceNote"/>
      </w:pPr>
      <w:r>
        <w:rPr>
          <w:b/>
        </w:rPr>
        <w:t>Available abstract (not full text):</w:t>
      </w:r>
      <w:r>
        <w:t xml:space="preserve"> This paper presents an attempt at establishing an association between crime levels and prison populations across European countries. We observe that the situation in Central and Eastern European countries differs distinctly from the rest of Europe. Building on this, we offer justification that is methodologically based on correlations and regressions of country incarceration rates on crime rates, with reference to governance indicators. Our cross-sectional analysis uses data on crime and prisoner rates by offence from Eurostat and SPACE for the year 2018. The paper’s empirical analysis is preceded by a discussion of the challenges faced when attempting to compare crime between countries in Europe. A review of research focused on relationships between incarceration and crime follows, with the emphasis on the deterrence effect and the prison paradox. Typically, this stream of research uses microdata covering a single country or limited to a smaller geographic area. International comparisons are rare, and are usually based on time series and trend analyses. The quantitative approach applied here is based on recognizing two clusters of countries: the Central and Eastern European (CEE) cluster and the Western European (WE) cluster. We show that the observation of higher prisoner rates and lower crime rates for CEE countries is confirmed with regression analysis. Our study encompasse</w:t>
      </w:r>
    </w:p>
    <w:p>
      <w:pPr/>
      <w:r>
        <w:rPr>
          <w:b/>
        </w:rPr>
        <w:t>POSSIBLE 2022:</w:t>
      </w:r>
      <w:r>
        <w:t xml:space="preserve"> Financial platforms as alternative financial instrument to crediting in Europe — https://doi.org/10.22616/rrd.28.2022.029</w:t>
      </w:r>
    </w:p>
    <w:p>
      <w:pPr/>
      <w:r>
        <w:rPr>
          <w:b/>
        </w:rPr>
        <w:t>Shared claim-specific concepts:</w:t>
      </w:r>
      <w:r>
        <w:t xml:space="preserve"> alternative, like, system; EU scope visible. This is a provisional connection, not an outcome finding.</w:t>
      </w:r>
    </w:p>
    <w:p>
      <w:pPr>
        <w:pStyle w:val="SourceNote"/>
      </w:pPr>
      <w:r>
        <w:rPr>
          <w:b/>
        </w:rPr>
        <w:t>Available abstract (not full text):</w:t>
      </w:r>
      <w:r>
        <w:t xml:space="preserve"> The significance of financial technologies constantly grows as they have become a part of national economies. Sharing economy or alternative financing includes various digital financial activities outside the traditional banking system like crowdfunding, peer-to-peer lending and other alternatives. The research aim is to evaluate alternative finance trends in Europe. The research results show that peer-to-peer platforms mainly ensuring a high return rate have recently become very popular allowing to invest resources in various projects including real estate, loans, invoice trading and businesses. The main significant drawback of these platforms is that they are risky. The alternative finance market volumes continue to increase steadily year by year reaching USD 22.60 billion in 2020 and the United Kingdom has the largest market share of 59.35% (USD 12.6 billion) in 2020. At the beginning of 2022, there are 315 alternative finance platforms in Europe, the largest number of alternative finance platforms operate in the UK, and peer-to-peer lending (both consumer and business) and invoice trading are three the most widespread types of alternative finance in Europe covering 68% of the entire market size. The rest types of alternative finance occupy considerably lower market shares, i.e. 3-7% each. The decrease in P2P lending volumes in 2020 might be directly related with the Covid p</w:t>
      </w:r>
    </w:p>
    <w:p>
      <w:pPr/>
      <w:r>
        <w:rPr>
          <w:b/>
        </w:rPr>
        <w:t>POSSIBLE 2022:</w:t>
      </w:r>
      <w:r>
        <w:t xml:space="preserve"> Neolithization and Population Replacement in Britain: An Alternative View — https://doi.org/10.1017/s0959774321000639</w:t>
      </w:r>
    </w:p>
    <w:p>
      <w:pPr/>
      <w:r>
        <w:rPr>
          <w:b/>
        </w:rPr>
        <w:t>Shared claim-specific concepts:</w:t>
      </w:r>
      <w:r>
        <w:t xml:space="preserve"> here, alternative, populations; EU scope visible. This is a provisional connection, not an outcome finding.</w:t>
      </w:r>
    </w:p>
    <w:p>
      <w:pPr>
        <w:pStyle w:val="SourceNote"/>
      </w:pPr>
      <w:r>
        <w:rPr>
          <w:b/>
        </w:rPr>
        <w:t>Available abstract (not full text):</w:t>
      </w:r>
      <w:r>
        <w:t xml:space="preserve"> Investigation of British Mesolithic and Neolithic genomes suggests discontinuity between the two and has been interpreted as indicating a significant migration of continental farmers, displacing the indigenous population. These incomers had already acquired some hunter-gatherer genetic heritage before their arrival, and this increased little in Britain. However, the proportion of hunter-gatherer genetic ancestry in British Neolithic genomes is generally greater than for most contemporary examples on the continent, particularly in emerging evidence from northern France, while the ultimate origin of British Neolithic populations in Iberia is open to question. Both the date calculated for the arrival of new people in Britain and their westerly origin are at odds with other aspects of the existing evidence. Here, a two-phase model of Neolithization is proposed. The first appearance of Neolithic things and practices significantly predated a more substantial transfer of population, creating the conditions under which new communities could be brought into being. The rather later establishment of a major migration stream coincided with an acceleration in the spread of Neolithic artefacts and activities, as well as an enrichment of the Neolithic material assemblage.</w:t>
      </w:r>
    </w:p>
    <w:p>
      <w:pPr/>
      <w:r>
        <w:rPr>
          <w:b/>
        </w:rPr>
        <w:t>POSSIBLE 2022:</w:t>
      </w:r>
      <w:r>
        <w:t xml:space="preserve"> Voluntary (NGO) Sector’s Involvement in Health Promotion for Older Population in Europe — https://doi.org/10.2427/12420</w:t>
      </w:r>
    </w:p>
    <w:p>
      <w:pPr/>
      <w:r>
        <w:rPr>
          <w:b/>
        </w:rPr>
        <w:t>Shared claim-specific concepts:</w:t>
      </w:r>
      <w:r>
        <w:t xml:space="preserve"> alternative, system, not; EU scope visible. This is a provisional connection, not an outcome finding.</w:t>
      </w:r>
    </w:p>
    <w:p>
      <w:pPr>
        <w:pStyle w:val="SourceNote"/>
      </w:pPr>
      <w:r>
        <w:rPr>
          <w:b/>
        </w:rPr>
        <w:t>Available abstract (not full text):</w:t>
      </w:r>
      <w:r>
        <w:t xml:space="preserve"> Background and objective: The NGO’s (non-governmental organisations’) role in health promotion is very much praised and encouraged. The basic features of this sector, namely social participation, voluntary activity and self-help, are by default considered as beneficial for health promotion for older people. New policy approaches stimulate NGOs involvement in it. This makes questions about this involvement – its role, context and success – increasingly relevant. Method: The research is based on narrative literature review as well as interviews and consultations with informers (practitioners and experts) in selected European countries. Results: Voluntary/NGO sector increases its role as a complimentary or alternative source of health promotion for older people in Europe. Its involvement, roles and functions as well as actual significance, however, depends on a number of factors. It depends on the sustainability of funding, stability of employment, elderly participation rate and recognized availability of services. Those factors are determined by socio-economic and systemic conditions: a country-specific model of third sector, overall social attitudes towards participation and system of governance in health promotion. Conclusion: The sector’s significance is widely acknowledged, however, its impact is often only assumed rather that sufficiently assessed and proven. By its voluntar</w:t>
      </w:r>
    </w:p>
    <w:p>
      <w:pPr/>
      <w:r>
        <w:rPr>
          <w:b/>
        </w:rPr>
        <w:t>POSSIBLE 2021:</w:t>
      </w:r>
      <w:r>
        <w:t xml:space="preserve"> Alternative Indicators of Population Ageing: An Inventory — https://doi.org/10.1553/0x003d068b</w:t>
      </w:r>
    </w:p>
    <w:p>
      <w:pPr/>
      <w:r>
        <w:rPr>
          <w:b/>
        </w:rPr>
        <w:t>Shared claim-specific concepts:</w:t>
      </w:r>
      <w:r>
        <w:t xml:space="preserve"> alternative, terms, not; EU scope not established. This is a provisional connection, not an outcome finding.</w:t>
      </w:r>
    </w:p>
    <w:p>
      <w:pPr>
        <w:pStyle w:val="SourceNote"/>
      </w:pPr>
      <w:r>
        <w:rPr>
          <w:b/>
        </w:rPr>
        <w:t>Available abstract (not full text):</w:t>
      </w:r>
      <w:r>
        <w:t xml:space="preserve"> The extent, speed and impact of population ageing have often been exaggerated becausestandard indicators such as the Old-Age Dependency Ratio or Support Ratio do not takeproper account of falling mortality, the changing relationship between age and employment,or (usually) both. Neither do such ratios consider the changing composition in terms ofeducational attainment, human capital or other population characteristics. Not surprisingly,over the last decade or so demographers have developed alternatives. This paper provides anoverview of such alternatives and briefly discusses their utility.</w:t>
      </w:r>
    </w:p>
    <w:p>
      <w:pPr>
        <w:pStyle w:val="Heading2"/>
      </w:pPr>
      <w:r>
        <w:t>712. Implementing Dynamics of Immigration Integration in Labor Force Participation Projection in EU28</w:t>
      </w:r>
    </w:p>
    <w:p>
      <w:pPr>
        <w:pStyle w:val="SourceNote"/>
      </w:pPr>
      <w:r>
        <w:rPr>
          <w:b/>
        </w:rPr>
        <w:t>Original source (2019):</w:t>
      </w:r>
      <w:r>
        <w:t xml:space="preserve"> https://doi.org/10.1007/s11113-019-09537-y</w:t>
      </w:r>
    </w:p>
    <w:p>
      <w:pPr/>
      <w:r>
        <w:t>Original wording (abstract; indexed_source_text_not_full_document_verified): Then, the microsimulation model is used to project EU labor force population for the period 2015–2060 under different scenarios illustrating how implementing sex- and country-specific dynamics of immigrants’ integration may affect the future labor force in terms of size, rates, and gender composition. An increase in immigration levels leads obviously to an increase in the total labor force size, but may also widen gender inequalities in labor force participation and has limited impact on the total labor force participation rate.</w:t>
      </w:r>
    </w:p>
    <w:p>
      <w:pPr/>
      <w:r>
        <w:rPr>
          <w:b/>
        </w:rPr>
        <w:t>POSSIBLE 2026:</w:t>
      </w:r>
      <w:r>
        <w:t xml:space="preserve"> A Scoping Review of the Literature on Child and/or Adolescent Health Microsimulation Models — https://doi.org/10.1007/s40258-026-01066-y</w:t>
      </w:r>
    </w:p>
    <w:p>
      <w:pPr/>
      <w:r>
        <w:rPr>
          <w:b/>
        </w:rPr>
        <w:t>Shared claim-specific concepts:</w:t>
      </w:r>
      <w:r>
        <w:t xml:space="preserve"> microsimulation, used; EU scope not established. This is a provisional connection, not an outcome finding.</w:t>
      </w:r>
    </w:p>
    <w:p>
      <w:pPr>
        <w:pStyle w:val="SourceNote"/>
      </w:pPr>
      <w:r>
        <w:rPr>
          <w:b/>
        </w:rPr>
        <w:t>Available abstract (not full text):</w:t>
      </w:r>
      <w:r>
        <w:t xml:space="preserve"> BACKGROUND: Microsimulation models can be used for diverse purposes such as forecasting and undertaking economic evaluations. A review of the literature of existing child and/or adolescent microsimulation models has yet to be undertaken. The aim of this scoping review was to retrieve, synthesise and critically appraise the literature of child and/or adolescent health microsimulation models. METHODS: A scoping review was conducted using PubMed, Embase, CINAHL, PsyclNFO, EconLit and Scopus. Additional searches (snowballing, Google searches, searches of specific journals and websites) were also undertaken to complement database searches. Relevant data on microsimulation models were extracted, and the quality of models was assessed using the Quality Assessment Reporting for Microsimulation Models checklist. Evidence was synthesised by scope of model, type of model and health outcome examined. RESULTS: Forty-eight relevant microsimulation models were found. Most (n = 33) were developed specifically for children and/or adolescents, but there were a few (n = 15) broader models that examined these populations. Many microsimulation models were developed for the USA (n = 14); several were focused on select health conditions, such as obesity/overweight, cancer and human immunodeficiency virus (HIV). Just over half (n = 27) of the models found were classified as medium quality models, whil</w:t>
      </w:r>
    </w:p>
    <w:p>
      <w:pPr/>
      <w:r>
        <w:rPr>
          <w:b/>
        </w:rPr>
        <w:t>POSSIBLE 2025:</w:t>
      </w:r>
      <w:r>
        <w:t xml:space="preserve"> The burden of informal family caregiving in Europe, 2000–2050: a microsimulation modelling study — https://doi.org/10.1016/j.lanepe.2025.101295</w:t>
      </w:r>
    </w:p>
    <w:p>
      <w:pPr/>
      <w:r>
        <w:rPr>
          <w:b/>
        </w:rPr>
        <w:t>Shared claim-specific concepts:</w:t>
      </w:r>
      <w:r>
        <w:t xml:space="preserve"> microsimulation, project, population, dynamics, gender, increase; EU scope visible. This is a provisional connection, not an outcome finding.</w:t>
      </w:r>
    </w:p>
    <w:p>
      <w:pPr>
        <w:pStyle w:val="SourceNote"/>
      </w:pPr>
      <w:r>
        <w:rPr>
          <w:b/>
        </w:rPr>
        <w:t>Available abstract (not full text):</w:t>
      </w:r>
      <w:r>
        <w:t xml:space="preserve"> Background: The demand for informal care in Europe is increasing, with family members often providing essential support. However, the future burden of informal family caregiving remains unclear. This study estimates and projects trends in the burden of family caregiving across 31 European countries from 2000 to 2050. Methods: We developed a demographic microsimulation model to estimate and project family care burden. The model produces virtual populations with realistic kinship networks and health trajectories over time. From these kinship structures, we defined a novel metric - Years Lived Caregiving for older relatives (YLCs). It accounts for care recipients' disability severity, care dynamics within kinship networks, and national institutional care capacity. Model inputs included demographic data from UN World Population Prospects, marital statistics from Eurostat, disease prevalence from the Global Burden of Disease study, and microdata from the SHARE survey. Findings: From 2000 to 2050, in Europe the overall burden for informal care is projected to increase by +49.7% (95% UI 45-53.6), from 7.98 (7.65-8.28) to 11.9 (11.4-12.5) million YLC. Musculoskeletal disorders are the largest cause of care burden, contributing to 2.3 (2.18-2.42) million YLC in 2050. Burden of informal care is disproportionally higher for women, although the gender gap is in a descending trend. Interpre</w:t>
      </w:r>
    </w:p>
    <w:p>
      <w:pPr/>
      <w:r>
        <w:rPr>
          <w:b/>
        </w:rPr>
        <w:t>POSSIBLE 2025:</w:t>
      </w:r>
      <w:r>
        <w:t xml:space="preserve"> Long-term impact of a sugar-sweetened beverage tax and increased physical activity on obesity and diabetes burden in Central and Eastern European Countries: a microsimulation model — https://doi.org/10.1016/j.diabres.2025.113002</w:t>
      </w:r>
    </w:p>
    <w:p>
      <w:pPr/>
      <w:r>
        <w:rPr>
          <w:b/>
        </w:rPr>
        <w:t>Shared claim-specific concepts:</w:t>
      </w:r>
      <w:r>
        <w:t xml:space="preserve"> microsimulation, increase; EU scope visible. This is a provisional connection, not an outcome finding.</w:t>
      </w:r>
    </w:p>
    <w:p>
      <w:pPr>
        <w:pStyle w:val="SourceNote"/>
      </w:pPr>
      <w:r>
        <w:rPr>
          <w:b/>
        </w:rPr>
        <w:t>Available abstract (not full text):</w:t>
      </w:r>
      <w:r>
        <w:t xml:space="preserve"> AIMS: This study models the potential health impacts of combining fiscal and behavioral policies, specifically, sugar-sweetened beverage (SSB) taxation and increases in physical activity (PA), across six Central and Eastern European (CEE) countries. METHODS: We simulated the effects of a 20 % SSB tax combined with a 15 % increase in PA on obesity, type 2 diabetes mellitus (T2DM), and mortality over 30 years in Bulgaria, Czechia, Hungary, Poland, Romania, and Slovakia. Sensitivity analyses examined alternative scenarios, including SSB substitution with water, a 30 % fruit and vegetable subsidy. RESULTS: Combined SSB taxation and PA increases would have a significant impact on low-income adults aged 15-49 in Czechia, Hungary, and Romania, whereas high-income groups benefit most in Bulgaria, Poland, and Slovakia. It could prevent between 7,344 (95 % UI: 4,520, 10,168) T2DM cases in Slovakia and 24,142 (95 % UI: 18,809, 29,474) in Poland. Obesity reductions are projected to peak in the early to mid-2030 s, with T2DM and mortality benefits accruing more gradually. CONCLUSIONS: Integrating fiscal and behavioural policies could reduce the burden of obesity, T2DM, and related inequalities in CEE countries, supporting strategies aligned with the WHO and Sustainable Development Goals.</w:t>
      </w:r>
    </w:p>
    <w:p>
      <w:pPr/>
      <w:r>
        <w:rPr>
          <w:b/>
        </w:rPr>
        <w:t>POSSIBLE 2025:</w:t>
      </w:r>
      <w:r>
        <w:t xml:space="preserve"> UGAMOD-TAX: a microsimulation model of taxation in Uganda: Model and data documentation — https://doi.org/10.35188/unu-wider/isuf5565</w:t>
      </w:r>
    </w:p>
    <w:p>
      <w:pPr/>
      <w:r>
        <w:rPr>
          <w:b/>
        </w:rPr>
        <w:t>Shared claim-specific concepts:</w:t>
      </w:r>
      <w:r>
        <w:t xml:space="preserve"> microsimulation, project; EU scope not established. This is a provisional connection, not an outcome finding.</w:t>
      </w:r>
    </w:p>
    <w:p>
      <w:pPr>
        <w:pStyle w:val="SourceNote"/>
      </w:pPr>
      <w:r>
        <w:rPr>
          <w:b/>
        </w:rPr>
        <w:t>Available abstract (not full text):</w:t>
      </w:r>
      <w:r>
        <w:t xml:space="preserve"> This technical note documents UGAMOD-TAX, a microsimulation model for personal taxation in Uganda, built using administrative tax records from the Uganda Revenue Authority (URA). It complements the standard survey-based UGAMOD model, developed under UNU-WIDER’s SOUTHMOD project, by leveraging detailed PAYE, presumptive tax, and register data. This administrative foundation enables more accurate simulation of specific taxes and their distributional impacts, particularly capturing high-income earners often underrepresented in survey data. This note focuses on the first version of the model, which uses data and tax policy rules from the 2021/2022 financial year. The model enables policymakers to quantitatively evaluate the fiscal and distributional effects of potential tax reforms.</w:t>
      </w:r>
    </w:p>
    <w:p>
      <w:pPr/>
      <w:r>
        <w:rPr>
          <w:b/>
        </w:rPr>
        <w:t>POSSIBLE 2025:</w:t>
      </w:r>
      <w:r>
        <w:t xml:space="preserve"> Microsimulation Modeling for Health Decision Sciences Using C++: A Tutorial — https://doi.org/10.1007/s40273-025-01526-8</w:t>
      </w:r>
    </w:p>
    <w:p>
      <w:pPr/>
      <w:r>
        <w:rPr>
          <w:b/>
        </w:rPr>
        <w:t>Shared claim-specific concepts:</w:t>
      </w:r>
      <w:r>
        <w:t xml:space="preserve"> microsimulation, implementing, terms; EU scope not established. This is a provisional connection, not an outcome finding.</w:t>
      </w:r>
    </w:p>
    <w:p>
      <w:pPr>
        <w:pStyle w:val="SourceNote"/>
      </w:pPr>
      <w:r>
        <w:rPr>
          <w:b/>
        </w:rPr>
        <w:t>Available abstract (not full text):</w:t>
      </w:r>
      <w:r>
        <w:t xml:space="preserve"> Microsimulation models have become increasingly common in the field of decision modeling for health. Because microsimulation models are computationally more demanding than traditional Markov cohort models, the use of computer programming languages in their development has become more common. C++ is a programming language that has gained widespread recognition in computationally intensive fields, including systems modeling and performance-critical applications. It offers powerful tools for building high-performance microsimulation models, outpacing many traditional modeling software solutions, such as native R, in terms of speed and control over memory management. However, there is limited accessible guidance for implementing microsimulation models in C++. This tutorial offers a step-by-step approach to constructing microsimulation models in C++ and demonstrates its application through simplified but adaptable example decision models. We walk the reader through essential steps and provide generic C++ code that is flexible and suitable for adapting to a range of models. Finally, we present the standalone C++ models and their Rcpp counterparts run within R, and compare their performance to equivalent R implementations in terms of speed and memory efficiency.</w:t>
      </w:r>
    </w:p>
    <w:p>
      <w:pPr/>
      <w:r>
        <w:rPr>
          <w:b/>
        </w:rPr>
        <w:t>POSSIBLE 2025:</w:t>
      </w:r>
      <w:r>
        <w:t xml:space="preserve"> SimPaths: An open-source microsimulation model for life course analysis — https://doi.org/10.34196/ijm.00318</w:t>
      </w:r>
    </w:p>
    <w:p>
      <w:pPr/>
      <w:r>
        <w:rPr>
          <w:b/>
        </w:rPr>
        <w:t>Shared claim-specific concepts:</w:t>
      </w:r>
      <w:r>
        <w:t xml:space="preserve"> microsimulation, project; EU scope visible. This is a provisional connection, not an outcome finding.</w:t>
      </w:r>
    </w:p>
    <w:p>
      <w:pPr>
        <w:pStyle w:val="SourceNote"/>
      </w:pPr>
      <w:r>
        <w:rPr>
          <w:b/>
        </w:rPr>
        <w:t>Available abstract (not full text):</w:t>
      </w:r>
      <w:r>
        <w:t xml:space="preserve"> The paper introduces SimPaths, an open-source framework for individual and household life course events.The framework is designed to project life histories through time, building up a detailed picture of career paths, family (inter)relations, health, and financial circumstances.The modular nature of the SimPaths framework is designed to facilitate analysis of alternative assumptions concerning the tax and benefit system, sensitivity to parameter estimates and alternative approaches for projecting labour/leisure and consumption/savings decisions.SimPaths builds upon standardised assumptions and data sources, which facilitates adaptation to alternative countries -models based on the framework currently exist for the UK, Greece, Hungary, Italy, and Poland, and are under development for Germany, Spain and Sweden.Projections for a workhorse model parameterised to the UK context are reported, which closely reflect observed data throughout a validation window between the Financial crisis (2011) and the Covid-19 pandemic (2019).</w:t>
      </w:r>
    </w:p>
    <w:p>
      <w:pPr/>
      <w:r>
        <w:rPr>
          <w:b/>
        </w:rPr>
        <w:t>POSSIBLE 2025:</w:t>
      </w:r>
      <w:r>
        <w:t xml:space="preserve"> A Microsimulation Model for Sustainability and Detailed Adequacy Analysis of the Retirement Pension System — https://doi.org/10.3390/math13030443</w:t>
      </w:r>
    </w:p>
    <w:p>
      <w:pPr/>
      <w:r>
        <w:rPr>
          <w:b/>
        </w:rPr>
        <w:t>Shared claim-specific concepts:</w:t>
      </w:r>
      <w:r>
        <w:t xml:space="preserve"> microsimulation, labor, gender; EU scope visible. This is a provisional connection, not an outcome finding.</w:t>
      </w:r>
    </w:p>
    <w:p>
      <w:pPr>
        <w:pStyle w:val="SourceNote"/>
      </w:pPr>
      <w:r>
        <w:rPr>
          <w:b/>
        </w:rPr>
        <w:t>Available abstract (not full text):</w:t>
      </w:r>
      <w:r>
        <w:t xml:space="preserve"> The sustainability and adequacy of pension systems are central to public policy debates in aging societies. This paper introduces a novel microsimulation model with probabilistic behavior to assess these dual challenges in the Spanish pension system. The model employs a mixed-projection method, integrating a macro approach—using economic and demographic aggregates from official sources such as the Spanish Statistics Office (INE) and Eurostat—with a micro approach based on the Continuous Sample of Working Lives (MCVL) dataset from Spanish Social Security. This framework enables individual-level projections of key labor market variables, including work time, salary, and initial pensions, under diverse reform scenarios. The results demonstrate the model’s ability to predict initial pensions with high accuracy, providing detailed insights into adequacy by age, gender, and income levels, as well as distributional measures such as density functions and quantiles. Sustainability findings indicate that pension expenditures are projected to stabilize at 13.9% of Gross Domestic Product (GDP) by 2050. The proposed model provides a robust and versatile tool for policymakers, offering a comprehensive evaluation of the long-term impacts of pension reforms on both system sustainability and individual adequacy.</w:t>
      </w:r>
    </w:p>
    <w:p>
      <w:pPr/>
      <w:r>
        <w:rPr>
          <w:b/>
        </w:rPr>
        <w:t>POSSIBLE 2025:</w:t>
      </w:r>
      <w:r>
        <w:t xml:space="preserve"> A Scoping Review of Microsimulation Models on Obesity-Related Policy Evaluation — https://doi.org/10.3390/nu18010073</w:t>
      </w:r>
    </w:p>
    <w:p>
      <w:pPr/>
      <w:r>
        <w:rPr>
          <w:b/>
        </w:rPr>
        <w:t>Shared claim-specific concepts:</w:t>
      </w:r>
      <w:r>
        <w:t xml:space="preserve"> microsimulation, used, population, integration; EU scope not established. This is a provisional connection, not an outcome finding.</w:t>
      </w:r>
    </w:p>
    <w:p>
      <w:pPr>
        <w:pStyle w:val="SourceNote"/>
      </w:pPr>
      <w:r>
        <w:rPr>
          <w:b/>
        </w:rPr>
        <w:t>Available abstract (not full text):</w:t>
      </w:r>
      <w:r>
        <w:t xml:space="preserve"> Background/Objectives: Obesity is a major global public health and economic challenge. Governments worldwide have implemented nutrition-focused policies such as sugar-sweetened beverage taxes, front-of-pack labeling, food assistance reforms, and school nutrition standards to improve diet quality and reduce obesity. Because large-scale randomized controlled trials are often infeasible and conventional epidemiologic methods overlook population heterogeneity and behavioral feedback, microsimulation modeling has become a key tool for evaluating long-term and distributional policy impacts. This scoping review examined the application of microsimulation to obesity-related nutrition policies, focusing on model structure, behavioral parameterization, and integration of economic and equity analyses. Methods: Following PRISMA guidelines (PROSPERO CRD42024599769), five databases were searched for peer-reviewed studies. Data were extracted on policy mechanisms, model design, parameterization, and equity analysis. Study quality was assessed using a customized 21-item checklist adapted from CHEERS and NIH tools. Results: Twenty-nine studies met the inclusion criteria, with most policy settings based in the United States. Most employed dynamic, stochastic, individual-level microsimulation models with diverse behavioral assumptions, obesity equations, and calibration approaches. While most stu</w:t>
      </w:r>
    </w:p>
    <w:p>
      <w:pPr/>
      <w:r>
        <w:rPr>
          <w:b/>
        </w:rPr>
        <w:t>POSSIBLE 2025:</w:t>
      </w:r>
      <w:r>
        <w:t xml:space="preserve"> A Microsimulation Model of Behaviour Change Calibrated to Reversal Learning Data — https://doi.org/10.18564/jasss.5637</w:t>
      </w:r>
    </w:p>
    <w:p>
      <w:pPr/>
      <w:r>
        <w:rPr>
          <w:b/>
        </w:rPr>
        <w:t>Shared claim-specific concepts:</w:t>
      </w:r>
      <w:r>
        <w:t xml:space="preserve"> microsimulation, dynamics; EU scope not established. This is a provisional connection, not an outcome finding.</w:t>
      </w:r>
    </w:p>
    <w:p>
      <w:pPr>
        <w:pStyle w:val="SourceNote"/>
      </w:pPr>
      <w:r>
        <w:rPr>
          <w:b/>
        </w:rPr>
        <w:t>Available abstract (not full text):</w:t>
      </w:r>
      <w:r>
        <w:t xml:space="preserve"> Behaviour change lies at the heart of many observable collective phenomena such as the transmission and control of infectious diseases, adoption of public health policies, and migration of animals to new habitats.Representing the process of individual behaviour change in computer simulations of these phenomena remains an open challenge.Often, computational models use phenomenological implementations with limited support from behavioural data.Without a strong connection to observable quantities, such models have limited utility for simulating observed and counterfactual scenarios of emergent phenomena because they cannot be validated or calibrated.Here, we present a simple stochastic microsimulation model of reversal learning that captures fundamental properties of individual behaviour change, namely, the capacity to learn based on accumulated reward signals, and the transient persistence of learned behaviour after rewards are removed or altered.The model has only two parameters, and we use approximate Bayesian computation to demonstrate that they are fully identifiable from empirical reversal learning time series data.Finally, we demonstrate how the model can be extended to account for the increased complexity of behavioural dynamics over longer time scales involving fluctuating stimuli.This work is a step towards the development and evaluation of fully identifiable individual-</w:t>
      </w:r>
    </w:p>
    <w:p>
      <w:pPr/>
      <w:r>
        <w:rPr>
          <w:b/>
        </w:rPr>
        <w:t>POSSIBLE 2024:</w:t>
      </w:r>
      <w:r>
        <w:t xml:space="preserve"> The LOTTE System of Tax Microsimulation Models — https://doi.org/10.34196/ijm.00308</w:t>
      </w:r>
    </w:p>
    <w:p>
      <w:pPr/>
      <w:r>
        <w:rPr>
          <w:b/>
        </w:rPr>
        <w:t>Shared claim-specific concepts:</w:t>
      </w:r>
      <w:r>
        <w:t xml:space="preserve"> microsimulation, used, labor, different; EU scope visible. This is a provisional connection, not an outcome finding.</w:t>
      </w:r>
    </w:p>
    <w:p>
      <w:pPr>
        <w:pStyle w:val="SourceNote"/>
      </w:pPr>
      <w:r>
        <w:rPr>
          <w:b/>
        </w:rPr>
        <w:t>Available abstract (not full text):</w:t>
      </w:r>
      <w:r>
        <w:t xml:space="preserve"> Microsimulation models of the LOTTE system are key tools for tax policy-making in Norway and are extensively used in the budget process.The aim of this paper is to give an overview of the different modules in the LOTTE family -a non-behavioral tax-benefit model for personal income tax (LOTTE-Skatt), a labor supply model (LOTTE-Arbeid), and a model for distributional effects of commodity taxation (LOTTE-Konsum).In addition to providing descriptions of the designs of the three microsimulation models, we give examples of how the models are used in practical and academic work.</w:t>
      </w:r>
    </w:p>
    <w:p>
      <w:pPr/>
      <w:r>
        <w:rPr>
          <w:b/>
        </w:rPr>
        <w:t>POSSIBLE 2024:</w:t>
      </w:r>
      <w:r>
        <w:t xml:space="preserve"> Accounting for Behavioral Effects in Microsimulation: A Reduced Form Approach — https://doi.org/10.34196/ijm.00311</w:t>
      </w:r>
    </w:p>
    <w:p>
      <w:pPr/>
      <w:r>
        <w:rPr>
          <w:b/>
        </w:rPr>
        <w:t>Shared claim-specific concepts:</w:t>
      </w:r>
      <w:r>
        <w:t xml:space="preserve"> microsimulation, used, labor; EU scope not established. This is a provisional connection, not an outcome finding.</w:t>
      </w:r>
    </w:p>
    <w:p>
      <w:pPr>
        <w:pStyle w:val="SourceNote"/>
      </w:pPr>
      <w:r>
        <w:rPr>
          <w:b/>
        </w:rPr>
        <w:t>Available abstract (not full text):</w:t>
      </w:r>
      <w:r>
        <w:t xml:space="preserve"> Microsimulation models are used worldwide to assist in the policy-making of governments. The simulation models may be purely non-behavioral or they may also include modules that simulate labor supply responses to the policy change in question. The present paper demonstrates how the practitioner can employ exogeneously given response estimates to account for behavioral effects in this type of work. Response estimates are combined with individual changes in work incentives at both the extensive and intensive margins. The concepts of the participation tax rate (PTR) and the effective marginal tax rate (EMTR) are employed. In the empirical illustration we discuss distributional and social welfare effects arising from the changes in Finnish taxes and benefits that took effect in 2020.</w:t>
      </w:r>
    </w:p>
    <w:p>
      <w:pPr/>
      <w:r>
        <w:rPr>
          <w:b/>
        </w:rPr>
        <w:t>POSSIBLE 2024:</w:t>
      </w:r>
      <w:r>
        <w:t xml:space="preserve"> Dynamic Microsimulations of Regional Income Inequalities in Germany — https://doi.org/10.34196/ijm.00304</w:t>
      </w:r>
    </w:p>
    <w:p>
      <w:pPr/>
      <w:r>
        <w:rPr>
          <w:b/>
        </w:rPr>
        <w:t>Shared claim-specific concepts:</w:t>
      </w:r>
      <w:r>
        <w:t xml:space="preserve"> project, population, different, dynamics, immigrants, rates; EU scope visible. This is a provisional connection, not an outcome finding.</w:t>
      </w:r>
    </w:p>
    <w:p>
      <w:pPr>
        <w:pStyle w:val="SourceNote"/>
      </w:pPr>
      <w:r>
        <w:rPr>
          <w:b/>
        </w:rPr>
        <w:t>Available abstract (not full text):</w:t>
      </w:r>
      <w:r>
        <w:t xml:space="preserve"> Income is one of the key indicators to measure individual opportunities, regional differences, and societal inequalities.Previous research has shed considerable light on gender-and migration-related disparities at the national level.However, the regional distribution of these inequalities, especially over time, has received less attention.Moreover, how these regional inequalities might develop in the future or under different conditions remains unclear.Regionalized dynamic microsimulations provide a powerful tool to analyze individual, household, as well as local long-term income developments under 'what-if' scenarios.This contribution examines the potential regional dynamics in gender and migrant income gaps across the districts in Germany.We extend the data, model, and infrastructure of the MikroSim project with an income module that accounts for migrant groups.By simulating four independent scenarios, we can isolate and evaluate their unique effects on inequality dynamics within different regions.Specifically, we adjust the full-time employment rates and tertiary education levels for a) women to align with those of men, and b) immigrants to align with those of the majority population, separately for each district.The results show that the scenarios have regionally differing effects on inequality dynamics, highlighting the considerable potential of dynamic microsimulations fo</w:t>
      </w:r>
    </w:p>
    <w:p>
      <w:pPr>
        <w:pStyle w:val="Heading2"/>
      </w:pPr>
      <w:r>
        <w:t>713. Innovation policy and international relations: directions for EU diplomacy</w:t>
      </w:r>
    </w:p>
    <w:p>
      <w:pPr>
        <w:pStyle w:val="SourceNote"/>
      </w:pPr>
      <w:r>
        <w:rPr>
          <w:b/>
        </w:rPr>
        <w:t>Original source (2019):</w:t>
      </w:r>
      <w:r>
        <w:t xml:space="preserve"> https://doi.org/10.1186/s40309-019-0156-1</w:t>
      </w:r>
    </w:p>
    <w:p>
      <w:pPr/>
      <w:r>
        <w:t>Original wording (abstract; indexed_source_text_not_full_document_verified): The final paragraph discusses what Europe can and should do in its external relations to provide adequate answers to the forces outlined in the three scenarios.</w:t>
      </w:r>
    </w:p>
    <w:p>
      <w:pPr/>
      <w:r>
        <w:rPr>
          <w:b/>
        </w:rPr>
        <w:t>POSSIBLE 2025:</w:t>
      </w:r>
      <w:r>
        <w:t xml:space="preserve"> THE ROLE OF EUROPEAN CULTURAL CSOS IN FOSTERING THE EU’S EXTERNAL CULTURAL RELATIONS — https://doi.org/10.25234/eclic/38137</w:t>
      </w:r>
    </w:p>
    <w:p>
      <w:pPr/>
      <w:r>
        <w:rPr>
          <w:b/>
        </w:rPr>
        <w:t>Shared claim-specific concepts:</w:t>
      </w:r>
      <w:r>
        <w:t xml:space="preserve"> external, relations, outlined, three; EU scope visible. This is a provisional connection, not an outcome finding.</w:t>
      </w:r>
    </w:p>
    <w:p>
      <w:pPr>
        <w:pStyle w:val="SourceNote"/>
      </w:pPr>
      <w:r>
        <w:rPr>
          <w:b/>
        </w:rPr>
        <w:t>Available abstract (not full text):</w:t>
      </w:r>
      <w:r>
        <w:t xml:space="preserve"> The main aim of this paper is to explore the role of the European cultural civil society organizations (CSOs) in fostering the EU’s external cultural relations. This paper is obtained in the following way. Firstly, the important role culture plays in contemporary international relations is conceptualized as well as the key concepts such as soft power, cultural diplomacy and international cultural relations are outlined. Secondly, the EU’s external cultural relations are articulated as an emerging cross-sectoral policy field which is extending between the EU’s cultural and external policies. Lastly, the role of the European cultural CSOs in fostering the EU’s external cultural relations is assessed in three following steps: firstly, by conceptualizing civil society organizations from general towards the EU’s perspective; secondly, by identifying the significance of involving the CSOs within the EU’s policy framework for external cultural relations; and thirdly, by providing review and analysis of European cultural CSOs’ actions in the field of the EU’s external cultural relations. Considering that culture represents an important component of contemporary international relations, this paper indicates that within the EU context cultural CSOs play an increasingly significant role in fostering further development of more comprehensive EU’s policy framework for external cultural rela</w:t>
      </w:r>
    </w:p>
    <w:p>
      <w:pPr/>
      <w:r>
        <w:rPr>
          <w:b/>
        </w:rPr>
        <w:t>POSSIBLE 2024:</w:t>
      </w:r>
      <w:r>
        <w:t xml:space="preserve"> An Exploration of Bachelor Level Learners' Experiences in Writing Paragraphs — https://doi.org/10.36948/ijfmr.2024.v06i02.15034</w:t>
      </w:r>
    </w:p>
    <w:p>
      <w:pPr/>
      <w:r>
        <w:rPr>
          <w:b/>
        </w:rPr>
        <w:t>Shared claim-specific concepts:</w:t>
      </w:r>
      <w:r>
        <w:t xml:space="preserve"> paragraph, provide, three; EU scope not established. This is a provisional connection, not an outcome finding.</w:t>
      </w:r>
    </w:p>
    <w:p>
      <w:pPr>
        <w:pStyle w:val="SourceNote"/>
      </w:pPr>
      <w:r>
        <w:rPr>
          <w:b/>
        </w:rPr>
        <w:t>Available abstract (not full text):</w:t>
      </w:r>
      <w:r>
        <w:t xml:space="preserve"> An exploration of Bachelor's level learners' experiences in writing paragraphs aims to investigate how the learners are learning to write paragraphs from their school to university level in the English language. As a university teacher, the author observed his learners often writing less organized paragraphs, and preferred points rather than paragraphs in their assignments and other writing products as well. To explore the curiosity about how the learners are experiencing writing paragraphs, a narrative inquiry was conducted from five purposively selected Bachelor level participants from Surkhet Multiple Campus. Being a teacher, at one level, he informally gathered information on how they experienced writing paragraphs. By taking their oral consent from the informal talk, he managed to take a formal focused interview with the use of guidelines. During the interview, the audio recording was done which was then transcribed. After that, the codes were developed and followed by the categories. Lastly, three main themes were developed as the form of result: the learners felt the input that they got was more focused on writing points rather than a paragraph which encouraged them to write more in points than a paragraph. They also experienced a lack of sufficient input and feedback from teachers during their school as well as college-level learning classes. Similarly, unfamiliarity an</w:t>
      </w:r>
    </w:p>
    <w:p>
      <w:pPr/>
      <w:r>
        <w:rPr>
          <w:b/>
        </w:rPr>
        <w:t>POSSIBLE 2022:</w:t>
      </w:r>
      <w:r>
        <w:t xml:space="preserve"> The Role of Paragraph in the Corpora of Annotated Texts — https://doi.org/10.28995/2075-7182-2022-21-273-283</w:t>
      </w:r>
    </w:p>
    <w:p>
      <w:pPr/>
      <w:r>
        <w:rPr>
          <w:b/>
        </w:rPr>
        <w:t>Shared claim-specific concepts:</w:t>
      </w:r>
      <w:r>
        <w:t xml:space="preserve"> paragraph, relations, three; EU scope not established. This is a provisional connection, not an outcome finding.</w:t>
      </w:r>
    </w:p>
    <w:p>
      <w:pPr>
        <w:pStyle w:val="SourceNote"/>
      </w:pPr>
      <w:r>
        <w:rPr>
          <w:b/>
        </w:rPr>
        <w:t>Available abstract (not full text):</w:t>
      </w:r>
      <w:r>
        <w:t xml:space="preserve"> The paper focuses on the function of paragraph both in text organization and in text annotation from the point of view of coherence. Taking as examples three major types of corpora (the RST, ANNODIS, and PDTB corpora), it shows whether and to what extent the existing approaches account for the paragraph when a discourse relation gets annotated. Then it presents the theoretical principles underlying text annotation in two databases: the Supracorpora database of connectives and the Supracorpora database of hierarchical logical-semantic relations (a new linguistic resource). Text coherence is shown to result from the interaction of various discourse phenomena, acting at the level of local and global structures. In this approach, the paragraph is assigned to the meso-level, positioned between local and global levels. The researcher may analyze the internal organization of the paragraph, limiting oneself to the intersentential level. Yet, to analyze and describe how paragraphs follow one another in the text, it is necessary to operate at the supra-sentential level, adopting a conceptual apparatus fundamentally different from the one for the description of local text structure.</w:t>
      </w:r>
    </w:p>
    <w:p>
      <w:pPr>
        <w:pStyle w:val="Heading2"/>
      </w:pPr>
      <w:r>
        <w:t>714. Life cycle assessment integration into energy system models: An application for Power-to-Methane in the EU</w:t>
      </w:r>
    </w:p>
    <w:p>
      <w:pPr>
        <w:pStyle w:val="SourceNote"/>
      </w:pPr>
      <w:r>
        <w:rPr>
          <w:b/>
        </w:rPr>
        <w:t>Original source (2019):</w:t>
      </w:r>
      <w:r>
        <w:t xml:space="preserve"> https://doi.org/10.1016/j.apenergy.2019.114160</w:t>
      </w:r>
    </w:p>
    <w:p>
      <w:pPr/>
      <w:r>
        <w:t>Original wording (abstract; indexed_source_text_not_full_document_verified): This study does an ex-post LCA analysis of results from JRC-EU-TIMES and estimates the environmental impact indicators across 18 categories in scenarios that achieve 80–95% CO2 emission reduction by 2050.</w:t>
      </w:r>
    </w:p>
    <w:p>
      <w:pPr/>
      <w:r>
        <w:rPr>
          <w:b/>
        </w:rPr>
        <w:t>POSSIBLE 2026:</w:t>
      </w:r>
      <w:r>
        <w:t xml:space="preserve"> Prospective Environmental Assessment of Citric Acid Production: An Integrated Framework of Ex-Ante LCA and Technological Learning — https://doi.org/10.3390/su18062848</w:t>
      </w:r>
    </w:p>
    <w:p>
      <w:pPr/>
      <w:r>
        <w:rPr>
          <w:b/>
        </w:rPr>
        <w:t>Shared claim-specific concepts:</w:t>
      </w:r>
      <w:r>
        <w:t xml:space="preserve"> lca, environmental, categories, co2; EU scope not established. This is a provisional connection, not an outcome finding.</w:t>
      </w:r>
    </w:p>
    <w:p>
      <w:pPr>
        <w:pStyle w:val="SourceNote"/>
      </w:pPr>
      <w:r>
        <w:rPr>
          <w:b/>
        </w:rPr>
        <w:t>Available abstract (not full text):</w:t>
      </w:r>
      <w:r>
        <w:t xml:space="preserve"> Citric acid (CA) necessitates the investigation of the environmental footprint from its production. This study compared three recovery technologies at different readiness levels, industrial calcium hydrogen salt precipitation–ion exchange (CHP-IE), pilot-scale solvent extraction (SE), and laboratory-scale bipolar membrane electrodialysis (BMED), to evaluate the life cycle environmental impacts of CA production when employing each recovery technology. SE and BMED were selected as emerging alternatives, as both are potential candidates to offer environmental or economic advantages over CHP-IE. By modeling the continuous improvement in the key production parameters as cumulative production experience increases, technological learning curves capture the efficiency gains that occur as technologies mature. This study pioneers an integrated ex-ante LCA framework that couples technological learning curves with energy transition scenarios to prospectively compare emerging CA recovery technologies against an industrialized process. Currently, CHP-IE shows the highest profit of 1078 CNY/t CA and the lowest global warming potential (GWP) of 1.79 t CO2 eq/t CA, with the latter advantage projected to persist until 2030. By 2050, under deep decarbonization, BMED becomes the lowest-carbon option with 0.78 t CO2 eq/t CA. Furthermore, with maize as the primary raw material, improved cultivation </w:t>
      </w:r>
    </w:p>
    <w:p>
      <w:pPr/>
      <w:r>
        <w:rPr>
          <w:b/>
        </w:rPr>
        <w:t>POSSIBLE 2026:</w:t>
      </w:r>
      <w:r>
        <w:t xml:space="preserve"> All LCA models are wrong. Are some of them useful? Towards open computational LCA in ICT — https://doi.org/10.1145/3801488.3807497</w:t>
      </w:r>
    </w:p>
    <w:p>
      <w:pPr/>
      <w:r>
        <w:rPr>
          <w:b/>
        </w:rPr>
        <w:t>Shared claim-specific concepts:</w:t>
      </w:r>
      <w:r>
        <w:t xml:space="preserve"> lca, environmental, achieve; EU scope not established. This is a provisional connection, not an outcome finding.</w:t>
      </w:r>
    </w:p>
    <w:p>
      <w:pPr>
        <w:pStyle w:val="SourceNote"/>
      </w:pPr>
      <w:r>
        <w:rPr>
          <w:b/>
        </w:rPr>
        <w:t>Available abstract (not full text):</w:t>
      </w:r>
      <w:r>
        <w:t xml:space="preserve"> Life Cycle Assessment (LCA) is increasingly used to quantify and regulate the environmental impacts of Information and Communication Technology (ICT) systems. Since direct biosphere measurements are complicated to perform, we claim that the environmental impact assessment of ICT relies heavily on models. In this paper, we first revisit the fundamentals of LCA: we emphasize that ICT LCAs effectively form systems of models, and we argue that such systems require an “extra‑high” level of carefulness in construction, calibration, integration, and interpretation. We then document how this level of rigor is challenging to achieve with current practices. This is illustrated with emblematic examples of model misuse and an analysis of structural challenges related to database choice, scope mismatches, opaque aggregation, and model integration. From this analysis, we derive four key requirements for credible ICT LCA: explicit model lineage, clearly defined model scope, end‑to‑end traceability, and managed non‑obsolescence. Finally, we propose a framework that operationalizes these requirements using explicit dependency graphs, an open and versioned LCA-oriented model repository, automatic enforcement of integrity constraints, and a well‑defined model taxonomy.</w:t>
      </w:r>
    </w:p>
    <w:p>
      <w:pPr/>
      <w:r>
        <w:rPr>
          <w:b/>
        </w:rPr>
        <w:t>POSSIBLE 2026:</w:t>
      </w:r>
      <w:r>
        <w:t xml:space="preserve"> Ex-post impact of first- and second-pillar CAP payments on farm structural change — https://doi.org/10.5281/zenodo.19633685</w:t>
      </w:r>
    </w:p>
    <w:p>
      <w:pPr/>
      <w:r>
        <w:rPr>
          <w:b/>
        </w:rPr>
        <w:t>Shared claim-specific concepts:</w:t>
      </w:r>
      <w:r>
        <w:t xml:space="preserve"> does, ex-post, environmental; EU scope visible. This is a provisional connection, not an outcome finding.</w:t>
      </w:r>
    </w:p>
    <w:p>
      <w:pPr>
        <w:pStyle w:val="SourceNote"/>
      </w:pPr>
      <w:r>
        <w:rPr>
          <w:b/>
        </w:rPr>
        <w:t>Available abstract (not full text):</w:t>
      </w:r>
      <w:r>
        <w:t xml:space="preserve"> Abstract The EU has seen a steady decline in farm numbers and agricultural labour, alongside an aging farming population. The present paper uses a non-stationary Markov chain model approach, estimated from farm level FADN data, to assess the impact of first- and second-pillar CAP payments on farm structure and employment in France over the 2004-2021 period. Farms are categorised into five economic size classes measured in euros of standard output. Results indicate that increasing either type of subsidies would have a positive effect on agricultural employment, primarily by supporting labour in farms of smaller economic size. However, the overall employment impact is positive but modest. The relative impact of first-pillar payments appears stronger, but second-pillar payments are more cost-effective per euro spent. The proposed farm-level approach will be extended to other EU member states to test the robustness and consistency of these findings, and avenues for future research are discussed. Funding acknowledgement Funded by the European Union. Grant Agreement No. 101060075. Views and opinions expressed are those of the authors only and do not necessarily reflect those of the European Union or the European Commission. Neither the European Union nor the granting authority can be held responsible for them.UK Research and Innovation Project Code: 10047415 https://gtr.ukri.org/proj</w:t>
      </w:r>
    </w:p>
    <w:p>
      <w:pPr/>
      <w:r>
        <w:rPr>
          <w:b/>
        </w:rPr>
        <w:t>POSSIBLE 2026:</w:t>
      </w:r>
      <w:r>
        <w:t xml:space="preserve"> Sustainability in Rockfall Protection Works: State-of-the-Art and LCA-Based Approaches — https://doi.org/10.68732/a72ad96228a4dcf9</w:t>
      </w:r>
    </w:p>
    <w:p>
      <w:pPr/>
      <w:r>
        <w:rPr>
          <w:b/>
        </w:rPr>
        <w:t>Shared claim-specific concepts:</w:t>
      </w:r>
      <w:r>
        <w:t xml:space="preserve"> lca, environmental, reduction; EU scope not established. This is a provisional connection, not an outcome finding.</w:t>
      </w:r>
    </w:p>
    <w:p>
      <w:pPr>
        <w:pStyle w:val="SourceNote"/>
      </w:pPr>
      <w:r>
        <w:rPr>
          <w:b/>
        </w:rPr>
        <w:t>Available abstract (not full text):</w:t>
      </w:r>
      <w:r>
        <w:t xml:space="preserve"> Starting from the early 2000s, the concept of sustainability has been progressively integrated into the design of civil works, through the reuse of excavation and demolition materials, the reduction of non-renewable resource consumption, the mitigation of landscape impacts, and the improvement of structural durability. Considering the high environmental impact of the construction sector - both in terms of natural resource and energy consumption and in the large volumes of waste generated - it is necessary to orient design practices toward sustainability. Geotechnical engineering can make a significant contribution to sustainable development by promoting environmentally friendly and economically viable solutions. Despite the widespread research on rockfall, it shows a limited correlation between sustainability and rockfall protection structures. Existing studies mainly focus on block trajectory analysis, fragmentation effects or risk assessment, but they don’t systematically address environmental aspects of these structures. At present, no comprehensive environmental evaluations have been conducted to consider the full life cycle of rockfall protection works and to compare alternative design solutions from a sustainability perspective. The only available data come from Environmental Product Declarations (EPD) voluntarily published by some of the leading manufacturers in the sect</w:t>
      </w:r>
    </w:p>
    <w:p>
      <w:pPr/>
      <w:r>
        <w:rPr>
          <w:b/>
        </w:rPr>
        <w:t>POSSIBLE 2025:</w:t>
      </w:r>
      <w:r>
        <w:t xml:space="preserve"> Background report of ex-ante LCAs for CBE JU application IRIS — https://openalex.org/W7112006283</w:t>
      </w:r>
    </w:p>
    <w:p>
      <w:pPr/>
      <w:r>
        <w:rPr>
          <w:b/>
        </w:rPr>
        <w:t>Shared claim-specific concepts:</w:t>
      </w:r>
      <w:r>
        <w:t xml:space="preserve"> lca, environmental, categories, co2, reduction; EU scope visible. This is a provisional connection, not an outcome finding.</w:t>
      </w:r>
    </w:p>
    <w:p>
      <w:pPr>
        <w:pStyle w:val="SourceNote"/>
      </w:pPr>
      <w:r>
        <w:rPr>
          <w:b/>
        </w:rPr>
        <w:t>Available abstract (not full text):</w:t>
      </w:r>
      <w:r>
        <w:t xml:space="preserve"> To assess the environmental sustainability aspects of the IRIS technologies, ex-ante LCAs were carried out, considering a broad range of environmental impact categories like climate, resource efficiency and pollution (emissions to air, soil and water). The overall goal was to quantify the potential environmental effects from upscaling the technologies, in reference to a conventional benchmark considering the potential benefit of the IRIS innovations. A second goal was to identify critical issues of each technology early on, so that risks could be identified and IRIS could steer the development in the right direction. The data availability for the ex-ante LCAs varied greatly for different reasons, so each assessment should be discussed and interpreted separately. Biobased indigo: This ex-ante LCA is based on a recent internal study (2024). The alternative with the highest climate mitigation potential was the 2023 process (50%), followed by the fermentation process (46%) and finally the 2020 process (15%). The overall results from the study indicate that the proposed indigo solution has significant potential for environmental impact mitigation. Microbial dyes derived from atmospheric CO2 :This ex-ante LCA was modelled using specific process data obtained from partner’s pilot production. The results show that the climate impact of the biobased dye (2.5 kg CO2-eq/kg of dye) is 13% </w:t>
      </w:r>
    </w:p>
    <w:p>
      <w:pPr/>
      <w:r>
        <w:rPr>
          <w:b/>
        </w:rPr>
        <w:t>POSSIBLE 2025:</w:t>
      </w:r>
      <w:r>
        <w:t xml:space="preserve"> Anticipating uncertainty in infrastructure LCC, LCA, and S-LCA: A systematic, context-aware early identification framework — https://doi.org/10.1016/j.eiar.2025.108175</w:t>
      </w:r>
    </w:p>
    <w:p>
      <w:pPr/>
      <w:r>
        <w:rPr>
          <w:b/>
        </w:rPr>
        <w:t>Shared claim-specific concepts:</w:t>
      </w:r>
      <w:r>
        <w:t xml:space="preserve"> lca, indicators, across; EU scope not established. This is a provisional connection, not an outcome finding.</w:t>
      </w:r>
    </w:p>
    <w:p>
      <w:pPr>
        <w:pStyle w:val="SourceNote"/>
      </w:pPr>
      <w:r>
        <w:rPr>
          <w:b/>
        </w:rPr>
        <w:t>Available abstract (not full text):</w:t>
      </w:r>
      <w:r>
        <w:t xml:space="preserve"> Uncertainty undermines the reliability of Life Cycle Costing (LCC), Life Cycle Assessment (LCA), and Social Life Cycle Assessment (S-LCA) in Infrastructure Asset Management (IAM). Many methods for uncertainty analysis exist, but practitioners often lack systematic guidance to anticipate how uncertainties will unfold in specific assessments and thereby how to manage them. We propose a pre-emptive framework that anchors uncertainty analysis in the shared modelling structure of product systems, processes, and flows, making it transferable across the three methodologies. The framework links assessment context to uncertainty through three profiling indicators—instance count, intensity level, and prospective needs—and eleven infrastructure-specific dimensions that shape them. Mapping these dimensions across IAM decision-making levels illustrates how uncertainty escalates in the assessment contexts in which individual studies are embedded. A practitioner's checklist translates the framework into an early uncertainty profiling tool, guiding analysts to target rigorous modelling and quantification where it matters most. The discussion highlights the critical interdependencies between dimensions and identifies prospective needs as the dominant driver of uncertainty. Ultimately, by making uncertainty profiles explicit up front, the framework fosters proportionate, transparent, and context</w:t>
      </w:r>
    </w:p>
    <w:p>
      <w:pPr/>
      <w:r>
        <w:rPr>
          <w:b/>
        </w:rPr>
        <w:t>POSSIBLE 2025:</w:t>
      </w:r>
      <w:r>
        <w:t xml:space="preserve"> Monitoring the Environmental Impact of the Bioeconomy: Indicators and Models for Ex-Post and Ex-Ante Evaluation in Agriculture — https://doi.org/10.3390/su172310867</w:t>
      </w:r>
    </w:p>
    <w:p>
      <w:pPr/>
      <w:r>
        <w:rPr>
          <w:b/>
        </w:rPr>
        <w:t>Shared claim-specific concepts:</w:t>
      </w:r>
      <w:r>
        <w:t xml:space="preserve"> ex-post, environmental, indicators; EU scope visible. This is a provisional connection, not an outcome finding.</w:t>
      </w:r>
    </w:p>
    <w:p>
      <w:pPr>
        <w:pStyle w:val="SourceNote"/>
      </w:pPr>
      <w:r>
        <w:rPr>
          <w:b/>
        </w:rPr>
        <w:t>Available abstract (not full text):</w:t>
      </w:r>
      <w:r>
        <w:t xml:space="preserve"> The transformation towards a sustainable bioeconomy presents new challenges and opportunities for the agricultural sector. This paper investigates how the environmental impacts of this transformation can be effectively monitored using existing agricultural models and sustainability indicators. Drawing on comprehensive model and indicator reviews from the SYMOBIO project, we identify a set of suitable models and propose a harmonised set of 21 SMART-aligned indicators for immediate use for national and regional monitoring. The key findings highlight strong capabilities for modelling GHG and nutrient indicators, persistent gaps in biodiversity and water indicators, and the need for improved methods for using biomass as well as for representing scenario-based spatially disaggregated approaches. The findings highlight the importance of having harmonised indicators, quantitative targets, and integrated monitoring systems in place. The results mark an intermediate step in the ongoing development of national bioeconomy monitoring in Germany.</w:t>
      </w:r>
    </w:p>
    <w:p>
      <w:pPr/>
      <w:r>
        <w:rPr>
          <w:b/>
        </w:rPr>
        <w:t>POSSIBLE 2025:</w:t>
      </w:r>
      <w:r>
        <w:t xml:space="preserve"> Material Stories: Assessing Sustainability of Digital Fabrication with Bio-Based Materials Through LCA — https://doi.org/10.1007/978-3-031-69626-8_3</w:t>
      </w:r>
    </w:p>
    <w:p>
      <w:pPr/>
      <w:r>
        <w:rPr>
          <w:b/>
        </w:rPr>
        <w:t>Shared claim-specific concepts:</w:t>
      </w:r>
      <w:r>
        <w:t xml:space="preserve"> ex-post, lca, environmental; EU scope visible. This is a provisional connection, not an outcome finding.</w:t>
      </w:r>
    </w:p>
    <w:p>
      <w:pPr>
        <w:pStyle w:val="SourceNote"/>
      </w:pPr>
      <w:r>
        <w:rPr>
          <w:b/>
        </w:rPr>
        <w:t>Available abstract (not full text):</w:t>
      </w:r>
      <w:r>
        <w:t xml:space="preserve"> Abstract Life-cycle assessment (LCA) stands as a vital tool in gauging the environmental impacts of building endeavors. Extending LCA to emerging research practices like advanced digital manufacturing of bio-based materials becomes pivotal for refining materials, appraising outcomes, and steering architecture toward sustainable development and circularity goals. To outline the main obstacles and to provide a potential methodology, the chapter presents two cases of application of LCA to digital fabrication with bio-based materials in experimental research practice. The application is framed within the ISO and EU standards for LCA and is tested through an ex-post “cradle to construction” analysis of two European Research Council (ERC) funded projects developed by the Center for Information Technology in Architecture (CITA) at the Royal Danish Academy. Specifically, a product LCA is performed for bio-polymeric composited 3D robotic fabrication using a novel collagen-based 3D print material, and a comparative LCA is carried out for Glulam manufacturing optimization connecting data from the timbers source in the forest and sawmill with its design and fabrication. In both cases, the prototypes assembly and exhibition are covered by the analysis. The unavailability of data, difficulties in standard protocols adaptation, and material and energy flows tracing in the research process eme</w:t>
      </w:r>
    </w:p>
    <w:p>
      <w:pPr/>
      <w:r>
        <w:rPr>
          <w:b/>
        </w:rPr>
        <w:t>POSSIBLE 2025:</w:t>
      </w:r>
      <w:r>
        <w:t xml:space="preserve"> Accounting for learning in prospective LCA: Theory and practical guidance — https://doi.org/10.1111/jiec.70002</w:t>
      </w:r>
    </w:p>
    <w:p>
      <w:pPr/>
      <w:r>
        <w:rPr>
          <w:b/>
        </w:rPr>
        <w:t>Shared claim-specific concepts:</w:t>
      </w:r>
      <w:r>
        <w:t xml:space="preserve"> lca, environmental; EU scope not established. This is a provisional connection, not an outcome finding.</w:t>
      </w:r>
    </w:p>
    <w:p>
      <w:pPr>
        <w:pStyle w:val="SourceNote"/>
      </w:pPr>
      <w:r>
        <w:rPr>
          <w:b/>
        </w:rPr>
        <w:t>Available abstract (not full text):</w:t>
      </w:r>
      <w:r>
        <w:t xml:space="preserve"> Abstract Learning is important for the development of industrially deployed technologies, and learning curves have been used to determine future production costs. Although the effect of learning on costs has been extensively studied, little evidence exists for its effect on environmental impacts, and a conceptual underpinning is lacking. Based on a review of theoretical foundations and empirical evidence, this study presents a procedure for assessing learning of industrial processes in ex ante and prospective life cycle assessment (LCA). We argue that learning involves operational or organizational changes, which are motivated by incentives. Therefore, environmental impacts may follow a learning curve trend if the origins of impacts coincide with dominant incentives. A key observation is that the results may vary by impact category, and certain impacts may not decline at all. Therefore, we developed guidelines that consider these differences when evaluating environmental learning effects and rates, as illustrated with examples in an LCA context. Further research is needed to expand the evidence base for environmental learning, by re‐interpreting datasets of existing technologies to determine their learning rates.</w:t>
      </w:r>
    </w:p>
    <w:p>
      <w:pPr/>
      <w:r>
        <w:rPr>
          <w:b/>
        </w:rPr>
        <w:t>POSSIBLE 2025:</w:t>
      </w:r>
      <w:r>
        <w:t xml:space="preserve"> LCA and eco-design between innovation and responsibility Environmental policies and consumer protection — https://doi.org/10.13135/2785-7867/12834</w:t>
      </w:r>
    </w:p>
    <w:p>
      <w:pPr/>
      <w:r>
        <w:rPr>
          <w:b/>
        </w:rPr>
        <w:t>Shared claim-specific concepts:</w:t>
      </w:r>
      <w:r>
        <w:t xml:space="preserve"> lca, environmental, reduction; EU scope not established. This is a provisional connection, not an outcome finding.</w:t>
      </w:r>
    </w:p>
    <w:p>
      <w:pPr>
        <w:pStyle w:val="SourceNote"/>
      </w:pPr>
      <w:r>
        <w:rPr>
          <w:b/>
        </w:rPr>
        <w:t>Available abstract (not full text):</w:t>
      </w:r>
      <w:r>
        <w:t xml:space="preserve"> The evolution of environmental regulation and consumer protection law is driving a profound transformation of production and commercial models, gradually orienting them towards sustainability and social responsibility. This regulatory development raises a structural challenge: how to reconcile the reduction of environmental impacts with the parallel need to strengthen consumer protection. Life Cycle Assessment (LCA) and eco-design emerge as essential tools in this respect: LCA makes it possible to analyse environmental effects throughout a product’s life cycle, thereby providing a scientific basis for policies on responsible consumption and production, while eco-design integrates sustainability criteria at the design stage, fostering durability, repairability and recyclability. This transition is increasingly reflected in binding legal instruments. The Eco-design for Sustainable Products Regulation (ESPR) introduces stricter design requirements; Directive 2019/771 on legal guarantees reinforces the right to durable and repairable goods; and the proposed Green Claims Directive seeks to regulate environmental claims, preventing greenwashing and ensuring that information provided to consumers is verifiable and transparent. International standards such as ISO 14040 and ISO 14044 provide methodological guidance for LCA, while principles like Extended Producer Responsibility (EPR) an</w:t>
      </w:r>
    </w:p>
    <w:p>
      <w:pPr/>
      <w:r>
        <w:rPr>
          <w:b/>
        </w:rPr>
        <w:t>POSSIBLE 2024:</w:t>
      </w:r>
      <w:r>
        <w:t xml:space="preserve"> Ex-ante LCA of magnet recycling: Progressing towards sustainable industrial-scale technology — https://doi.org/10.1016/j.jclepro.2024.142453</w:t>
      </w:r>
    </w:p>
    <w:p>
      <w:pPr/>
      <w:r>
        <w:rPr>
          <w:b/>
        </w:rPr>
        <w:t>Shared claim-specific concepts:</w:t>
      </w:r>
      <w:r>
        <w:t xml:space="preserve"> lca, environmental, categories; EU scope not established. This is a provisional connection, not an outcome finding.</w:t>
      </w:r>
    </w:p>
    <w:p>
      <w:pPr>
        <w:pStyle w:val="SourceNote"/>
      </w:pPr>
      <w:r>
        <w:rPr>
          <w:b/>
        </w:rPr>
        <w:t>Available abstract (not full text):</w:t>
      </w:r>
      <w:r>
        <w:t xml:space="preserve"> To alleviate the pressure on the rare earth supply chain, new technologies are under development for recovering, recycling and remanufacturing NdFeB magnets. In this study, the anticipated environmental performance of large-scale recycling is investigated and compared to the production of primary magnets. To do so, this ex-ante life cycle assessment combines input from measurements of pilot processes, expert technology forecasts, thermodynamic modelling, and equipment data from manufacturers. We examined the effect of four technology developments: process changes, size scaling, internal recycling, and optimization. The results show that at pilot scale, recovered NdFeB powders have lower impacts than primary powders for almost all impact categories. This demonstrates that the recovery of NdFeB alloys is environmentally beneficial. Magnets from anticipated large-scale recycling have over 80% lower impacts than primary magnets in most of the impact categories analyzed. All four investigated types of technology development contributed to this improved performance. The final configuration was validated by comparison with an industrial reference and theoretical optimum configuration. Four magnet manufacturing routes (sintering, extrusion, metal injection molding, bonding) have distinct environmental profiles, but all can progress to similarly low levels of impact. The choice among ro</w:t>
      </w:r>
    </w:p>
    <w:p>
      <w:pPr/>
      <w:r>
        <w:rPr>
          <w:b/>
        </w:rPr>
        <w:t>POSSIBLE 2024:</w:t>
      </w:r>
      <w:r>
        <w:t xml:space="preserve"> Prevention or ex-post forcing? The impact of dual environmental regulation on corporate environmental behavior — https://doi.org/10.1016/j.heliyon.2024.e30850</w:t>
      </w:r>
    </w:p>
    <w:p>
      <w:pPr/>
      <w:r>
        <w:rPr>
          <w:b/>
        </w:rPr>
        <w:t>Shared claim-specific concepts:</w:t>
      </w:r>
      <w:r>
        <w:t xml:space="preserve"> ex-post, environmental; EU scope not established. This is a provisional connection, not an outcome finding.</w:t>
      </w:r>
    </w:p>
    <w:p>
      <w:pPr>
        <w:pStyle w:val="SourceNote"/>
      </w:pPr>
      <w:r>
        <w:rPr>
          <w:b/>
        </w:rPr>
        <w:t>Available abstract (not full text):</w:t>
      </w:r>
      <w:r>
        <w:t xml:space="preserve"> Corporate reactions to environmental regulation are the hottest topics in research on corporate environmental behavior. However, a few studies incorporate other environmental behavior into the same framework. By constructing a comprehensive indicator system of dual environmental regulation, this paper uses a comparative analysis to discuss Chinese A-listed corporations' environmental behavior from 2009 to 2017, which were influenced by dual environmental regulation. The study's results show that formal environmental regulation (FER) has a significant U-shaped effect on pre-emptive environmental behavior (PEB) but an insignificant impact on ex-post environmental behavior (NEB). After categorizing the various forms of FER, this study finds that market-incentive environmental regulation has a significant inverted U-shaped effect on NEB but an insignificant impact on PEB, voluntary-participation regulation have a significant U-shaped effect on PEB and an inverted U-shaped effect on their NEB, and command-control regulation has significant influence on neither PEB nor NEB. In addition, informal environmental regulation (IER) has a significantly positive and negative effect on PEB and NEB. This study shows that corporate perceptions of policies can have a positive impact on the interaction between the FER and PEB but a negative impact on the interaction between the IER and PEB, and n</w:t>
      </w:r>
    </w:p>
    <w:p>
      <w:pPr>
        <w:pStyle w:val="Heading2"/>
      </w:pPr>
      <w:r>
        <w:t>715. Long-Term Projection of Renewable Energy Technology Diffusion</w:t>
      </w:r>
    </w:p>
    <w:p>
      <w:pPr>
        <w:pStyle w:val="SourceNote"/>
      </w:pPr>
      <w:r>
        <w:rPr>
          <w:b/>
        </w:rPr>
        <w:t>Original source (2019):</w:t>
      </w:r>
      <w:r>
        <w:t xml:space="preserve"> https://doi.org/10.3390/en12224261</w:t>
      </w:r>
    </w:p>
    <w:p>
      <w:pPr/>
      <w:r>
        <w:t>Original wording (abstract; indexed_source_text_not_full_document_verified): Projecting the future, in this respect, requires a long-term energy modeling which includes a rate of diffusion of novel technologies into the market and the prediction of their costs. A critical analysis of effects of the commonly applied models for a long-term energy projection (REMIND, WITCH) use has been conducted.</w:t>
      </w:r>
    </w:p>
    <w:p>
      <w:pPr/>
      <w:r>
        <w:rPr>
          <w:b/>
        </w:rPr>
        <w:t>POSSIBLE 2026:</w:t>
      </w:r>
      <w:r>
        <w:t xml:space="preserve"> Respect and Aggression in Intimate Relationships: A Grounded Theory of Relational Responsiveness — https://openalex.org/W7165831090</w:t>
      </w:r>
    </w:p>
    <w:p>
      <w:pPr/>
      <w:r>
        <w:rPr>
          <w:b/>
        </w:rPr>
        <w:t>Shared claim-specific concepts:</w:t>
      </w:r>
      <w:r>
        <w:t xml:space="preserve"> respect, use; EU scope not established. This is a provisional connection, not an outcome finding.</w:t>
      </w:r>
    </w:p>
    <w:p>
      <w:pPr>
        <w:pStyle w:val="SourceNote"/>
      </w:pPr>
      <w:r>
        <w:rPr>
          <w:b/>
        </w:rPr>
        <w:t>Available abstract (not full text):</w:t>
      </w:r>
      <w:r>
        <w:t xml:space="preserve"> The negative effects of aggression in intimate relationships have been well documented through research and clinical literature (Lawrence &amp; Bradbury, 2001; Shortt et al., 2006). Conversely, the positive effects of respectful behavior are well-known (Gottman, 1994; Dew &amp; Wilcox, 2013). This important dimension of relationships is crucial to understanding what makes up healthy and unhealthy relationships. However, little is known about how couples understand the varying types of respect and aggression within intimate relationships, nor how they are lived and experienced relationally. The purpose of this study is to explore the dyadic processes behind respect and aggression as well as their relational outcomes. The data for this project were taken from a larger qualitative study on healthy and unhealthy relationships. Individuals were selected through convenience and theoretical sampling and interviewed using a semi-structured format. Deductive coding was used to sort and organize the data into topics of interest, and inductive grounded theory methods were used to analyze the data that are related to respect and aggression. Clinical implications from this study include theorized interpersonal mechanisms of respect and aggression and suggestions on how therapists can use empirically supported treatments to increase respect and decrease aggression within intimate relationships.</w:t>
      </w:r>
    </w:p>
    <w:p>
      <w:pPr/>
      <w:r>
        <w:rPr>
          <w:b/>
        </w:rPr>
        <w:t>POSSIBLE 2026:</w:t>
      </w:r>
      <w:r>
        <w:t xml:space="preserve"> Cultivating Respect Empathy and Cooperation through Harmonious Living in Elementary Education — https://doi.org/10.21070/acopen.11.2026.14725</w:t>
      </w:r>
    </w:p>
    <w:p>
      <w:pPr/>
      <w:r>
        <w:rPr>
          <w:b/>
        </w:rPr>
        <w:t>Shared claim-specific concepts:</w:t>
      </w:r>
      <w:r>
        <w:t xml:space="preserve"> respect, requires, modeling; EU scope not established. This is a provisional connection, not an outcome finding.</w:t>
      </w:r>
    </w:p>
    <w:p>
      <w:pPr>
        <w:pStyle w:val="SourceNote"/>
      </w:pPr>
      <w:r>
        <w:rPr>
          <w:b/>
        </w:rPr>
        <w:t>Available abstract (not full text):</w:t>
      </w:r>
      <w:r>
        <w:t xml:space="preserve"> General Background Character education emphasizes moral and social intelligence alongside academic knowledge within schools. Specific Background The Harmonious Living Program specifically integrates the core values of respect, empathy, and cooperation into daily elementary school routines, extracurricular activities, and classroom interactions. Knowledge Gap However, the consistent application of these moral values faces persistent constraints due to limited parental involvement, restrictive curriculum loads, and inadequate teacher training in social-emotional learning. Aims This qualitative descriptive study examines the practical implementation, associated challenges, and behavioral outcomes of the Harmonious Living Program at Apuan 1 Public Elementary School. Results Data obtained through observation, interviews, and documentation reveal that integrating character values through teacher role modeling and collaborative learning significantly reduces student conflict. Furthermore, students demonstrate increased social awareness, polite communication, and collective responsibility. Novelty This research demonstrates that ethical values are not effectively acquired through isolated moral instruction, but require an integrated ecosystem where teachers function as continuous behavioral role models within a restorative school climate. Implications Sustaining these positive behavior</w:t>
      </w:r>
    </w:p>
    <w:p>
      <w:pPr/>
      <w:r>
        <w:rPr>
          <w:b/>
        </w:rPr>
        <w:t>POSSIBLE 2024:</w:t>
      </w:r>
      <w:r>
        <w:t xml:space="preserve"> A Novel Fuzzy Model for Knowledge-Driven Process Optimization in Renewable Energy Projects — https://doi.org/10.1007/s13132-024-02074-w</w:t>
      </w:r>
    </w:p>
    <w:p>
      <w:pPr/>
      <w:r>
        <w:rPr>
          <w:b/>
        </w:rPr>
        <w:t>Shared claim-specific concepts:</w:t>
      </w:r>
      <w:r>
        <w:t xml:space="preserve"> respect, energy, novel, technologies, use, conducted; EU scope not established. This is a provisional connection, not an outcome finding.</w:t>
      </w:r>
    </w:p>
    <w:p>
      <w:pPr>
        <w:pStyle w:val="SourceNote"/>
      </w:pPr>
      <w:r>
        <w:rPr>
          <w:b/>
        </w:rPr>
        <w:t>Available abstract (not full text):</w:t>
      </w:r>
      <w:r>
        <w:t xml:space="preserve"> Abstract This study is aimed at identifying key indicators to increase knowledge-based process optimization for renewable energy projects. Within this context, a novel fuzzy decision-making model is introduced that has two different stages. The first stage is related to the weighting of the knowledge-based determinants of process optimization in investment decisions by using quantum picture fuzzy rough sets (QPFR)-based multi-step wise weight assessment ratio analysis (M-SWARA). On the other side, the second stage consists of ranking the investment alternatives for process optimization in renewable energy projects via the QPFR-based technique for order preference by similarity (TOPSIS) methodology. The main contribution of this study is that a priority analysis is conducted for information-based factors affecting the performance of renewable energy projects. This situation provides an opportunity for the investments to implement appropriate strategies to increase the optimization of these investments. It is concluded that quality is the most essential indicator with respect to the process optimization of these projects. It can be possible to increase the efficiency of these projects by using better quality products. Innovation has an important role in ensuring the use of quality products in environmental sustainability. Owing to new technologies, it is easier to use more effect</w:t>
      </w:r>
    </w:p>
    <w:p>
      <w:pPr/>
      <w:r>
        <w:rPr>
          <w:b/>
        </w:rPr>
        <w:t>POSSIBLE 2022:</w:t>
      </w:r>
      <w:r>
        <w:t xml:space="preserve"> Future of solar energy potential in a changing climate across the world: A CMIP6 multi-model ensemble analysis — https://doi.org/10.1016/j.renene.2022.02.023</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Unavailable</w:t>
      </w:r>
    </w:p>
    <w:p>
      <w:pPr/>
      <w:r>
        <w:rPr>
          <w:b/>
        </w:rPr>
        <w:t>POSSIBLE 2021:</w:t>
      </w:r>
      <w:r>
        <w:t xml:space="preserve"> 72 The butterfly project – improving treatment escalation planning in the emergency department — https://doi.org/10.1136/spcare-2021-pcc.90</w:t>
      </w:r>
    </w:p>
    <w:p>
      <w:pPr/>
      <w:r>
        <w:rPr>
          <w:b/>
        </w:rPr>
        <w:t>Shared claim-specific concepts:</w:t>
      </w:r>
      <w:r>
        <w:t xml:space="preserve"> respect, requires, rate; EU scope not established. This is a provisional connection, not an outcome finding.</w:t>
      </w:r>
    </w:p>
    <w:p>
      <w:pPr>
        <w:pStyle w:val="SourceNote"/>
      </w:pPr>
      <w:r>
        <w:rPr>
          <w:b/>
        </w:rPr>
        <w:t>Available abstract (not full text):</w:t>
      </w:r>
      <w:r>
        <w:t xml:space="preserve"> Background The 2017 End of Life Care Hospital Improvement Programme (ELCHIP) audit of deaths at the Leicester Royal Infirmary (LRI) an Emergency Department (ED) attendance may be an opportunity to proactively identify and plan for deterioration. The clinical frailty scale (CFS) can identify older people at increased risk of deterioration or dying and local data suggests a 1 year mortality rate of 50% in the cohort of patients with CFS 7–9. Methods The Butterfly Project is a multidisciplinary quality improvement project aiming to increase the percentage of older people CFS 7–9 dying in their preferred place of care, with additional outcomes based on early identification of uncertain recovery and treatment escalation planning. ED notes were reviewed for all CFS 7–9 patients dying within 30 days of an ED attendance between February 2019 and May 2020. Interventions were broadly within two streams. The first focused on improving treatment escalation planning including verbal and visual prompts and the introduction of the ReSPECT process. The second was based on improving the skillset of ED staff via educational interventions. Results Between May 2019 and May 2020, although there was no change in the percentage of patients dying in their preferred place of care, statistical process control charts showed sustained upward shift in: Identification and communication of uncertain recovery</w:t>
      </w:r>
    </w:p>
    <w:p>
      <w:pPr/>
      <w:r>
        <w:rPr>
          <w:b/>
        </w:rPr>
        <w:t>POSSIBLE 2021:</w:t>
      </w:r>
      <w:r>
        <w:t xml:space="preserve"> ASEAN’s Energy Transition towards Cleaner Energy System: Energy Modelling Scenarios and Policy Implications — https://doi.org/10.3390/su13052819</w:t>
      </w:r>
    </w:p>
    <w:p>
      <w:pPr/>
      <w:r>
        <w:rPr>
          <w:b/>
        </w:rPr>
        <w:t>Shared claim-specific concepts:</w:t>
      </w:r>
      <w:r>
        <w:t xml:space="preserve"> energy, technologies, use; EU scope not established. This is a provisional connection, not an outcome finding.</w:t>
      </w:r>
    </w:p>
    <w:p>
      <w:pPr>
        <w:pStyle w:val="SourceNote"/>
      </w:pPr>
      <w:r>
        <w:rPr>
          <w:b/>
        </w:rPr>
        <w:t>Available abstract (not full text):</w:t>
      </w:r>
      <w:r>
        <w:t xml:space="preserve"> The Association of Southeast Asian Nations (ASEAN) faces tremendous challenges regarding the future energy landscape and how the energy transition will embrace a new architecture—including sound policies and technologies to ensure energy access together with affordability, energy security, and energy sustainability. Given the high share of fossil fuels in ASEAN’s current energy mix (oil, coal, and natural gas comprise almost 80%), the clean use of fossil fuels through the deployment of clean technologies is indispensable for decarbonizing ASEAN’s emissions. The future energy landscape of ASEAN will rely on today’s actions, policies, and investments to change the fossil fuel-based energy system towards a cleaner energy system, but any decisions and energy policy measures to be rolled out during the energy transition need to be weighed against potentially higher energy costs, affordability issues, and energy security risks. This paper employs energy modelling scenarios to seek plausible policy options for ASEAN to achieve more emissions reductions as well as energy savings, and to assess the extent to which the composition of the energy mix will be changed under various energy policy scenarios. The results imply policy recommendations for accelerating the share of renewables, adopting clean technologies and the clean use of fossil fuels, and investing in climate-resilient energy </w:t>
      </w:r>
    </w:p>
    <w:p>
      <w:pPr/>
      <w:r>
        <w:rPr>
          <w:b/>
        </w:rPr>
        <w:t>POSSIBLE 2021:</w:t>
      </w:r>
      <w:r>
        <w:t xml:space="preserve"> Nuclear Energy Model Intercomparison Project — https://openalex.org/W4287197107</w:t>
      </w:r>
    </w:p>
    <w:p>
      <w:pPr/>
      <w:r>
        <w:rPr>
          <w:b/>
        </w:rPr>
        <w:t>Shared claim-specific concepts:</w:t>
      </w:r>
      <w:r>
        <w:t xml:space="preserve"> long-term, energy; EU scope not established. This is a provisional connection, not an outcome finding.</w:t>
      </w:r>
    </w:p>
    <w:p>
      <w:pPr>
        <w:pStyle w:val="SourceNote"/>
      </w:pPr>
      <w:r>
        <w:rPr>
          <w:b/>
        </w:rPr>
        <w:t>Available abstract (not full text):</w:t>
      </w:r>
      <w:r>
        <w:t xml:space="preserve"> This document summarizes the current status and future plans of the Nuclear Model Intercomparison Project. The objectives of this project are to understand how issues central to nuclear energy are modeled in long-term capacity expansion models, to investigate how model structures and input assumptions impact projections for nuclear’s role, to refine model representations of nuclear energy, and to communicate findings to the research community and decision-makers. High-level goals are discussed for each of the four participating model groups: the U.S. Energy Information Administration (EIA), U.S. Environmental Protection Agency (EPA), Electric Power Research Institute (EPRI), and National Renewable Energy Laboratory (NREL). This document summarizes scenarios and assumptions for the model comparison, outcomes from the first workshop, and next steps.</w:t>
      </w:r>
    </w:p>
    <w:p>
      <w:pPr/>
      <w:r>
        <w:rPr>
          <w:b/>
        </w:rPr>
        <w:t>POSSIBLE 2021:</w:t>
      </w:r>
      <w:r>
        <w:t xml:space="preserve"> Collaboration enhanced hybrid fuzzy decision-making approach to analyze the renewable energy investment projects — https://doi.org/10.1016/j.egyr.2021.12.006</w:t>
      </w:r>
    </w:p>
    <w:p>
      <w:pPr/>
      <w:r>
        <w:rPr>
          <w:b/>
        </w:rPr>
        <w:t>Shared claim-specific concepts:</w:t>
      </w:r>
      <w:r>
        <w:t xml:space="preserve"> respect, energy, novel, applied; EU scope not established. This is a provisional connection, not an outcome finding.</w:t>
      </w:r>
    </w:p>
    <w:p>
      <w:pPr>
        <w:pStyle w:val="SourceNote"/>
      </w:pPr>
      <w:r>
        <w:rPr>
          <w:b/>
        </w:rPr>
        <w:t>Available abstract (not full text):</w:t>
      </w:r>
      <w:r>
        <w:t xml:space="preserve"> The aim of this study is to examine the cost management strategies of low-carbon renewable energy projects. This manuscript has important contributions by evaluating different cost-management to increase renewable energy investment projects. Owing to the analysis results of this study, the ways to minimize carbon emission problem can be presented. Additionally, another important contribution of this study is to generate a novel hybrid model based on Pythagorean fuzzy DEMATEL, TOPSIS and Shapley value to find appropriate policies to improve these projects. Furthermore, the accuracy of the proposed model is measured for each cooperative cost management strategy by using the VIKOR method. In addition, sensitivity analysis is also applied with 5 cases for both the TOPSIS and VIKOR methods by changing the weighting results of the criteria consecutively. It is defined that the proposed model is coherent and applicable for the further studies. Moreover, the ranking results of the sensitivity analysis are also consistent with the different cases. The results indicate that internal process has always the lowest costs for the solar energy alternatives. In addition, customer is the lowest cost factor with respect to the wind energy alternative. Thus, it is obvious that improving the qualification of the employees is essential for the improvement of the solar energy projects. Moreover, the</w:t>
      </w:r>
    </w:p>
    <w:p>
      <w:pPr/>
      <w:r>
        <w:rPr>
          <w:b/>
        </w:rPr>
        <w:t>POSSIBLE 2021:</w:t>
      </w:r>
      <w:r>
        <w:t xml:space="preserve"> The Power of Co-Creation in the Energy Transition—DART Model in Citizen Energy Communities Projects — https://doi.org/10.3390/en14175266</w:t>
      </w:r>
    </w:p>
    <w:p>
      <w:pPr/>
      <w:r>
        <w:rPr>
          <w:b/>
        </w:rPr>
        <w:t>Shared claim-specific concepts:</w:t>
      </w:r>
      <w:r>
        <w:t xml:space="preserve"> energy, novel; EU scope visible. This is a provisional connection, not an outcome finding.</w:t>
      </w:r>
    </w:p>
    <w:p>
      <w:pPr>
        <w:pStyle w:val="SourceNote"/>
      </w:pPr>
      <w:r>
        <w:rPr>
          <w:b/>
        </w:rPr>
        <w:t>Available abstract (not full text):</w:t>
      </w:r>
      <w:r>
        <w:t xml:space="preserve"> Successful energy transformation is interconnected with greater citizenry participation as prosumers. The search for novel solutions to implement the transition to renewable energy that will neutralize the barriers to this process, e.g., the reluctance of citizens to get involved, lack of trust in decision-makers and lack of co-ownership of energy projects, is inevitable as a part of the bottom-up process. Energy communities have vast potential to scale up Renewable Energy projects. Due to the fact that in Poland, establishing citizen energy communities in the cities is not allowed, the key success factor of energy transformation is to engage housing cooperatives and other housing communities in this process. A similar legal framework prevents communities from establishing themselves in the Czech Republic and Hungary. The research problem of this paper is to identify determinants of the co-creation process in Renewable Energy project activation at the housing cooperative level. The aim is to identify key conditions that housing cooperatives should establish in order to successfully undertake Renewable Energy project implementation using a co-creation approach. The literature study shows that the term “co-creation” is not often used in energy transition projects, although many local energy transitions are indeed co-created, unfortunately not in a structured methodical manner. In</w:t>
      </w:r>
    </w:p>
    <w:p>
      <w:pPr/>
      <w:r>
        <w:rPr>
          <w:b/>
        </w:rPr>
        <w:t>POSSIBLE 2021:</w:t>
      </w:r>
      <w:r>
        <w:t xml:space="preserve"> Modelling the redistribution of benefits from joint investments in community energy projects — https://doi.org/10.1016/j.apenergy.2021.116575</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Given the widespread adoption of renewable generation, storage and new loads like electric vehicle charging, there has been a growing effort to enhance local energy resilience, particularly at the community level. This has led to increasing interest in the development of local or community energy projects, in which individual prosumers are able to generate, store and trade energy within the community — enabling a shift in market power from large utility companies to individual prosumers. Such schemes often involve a group of consumers investing in community-owned asset such as community-owned wind turbines or shared battery storage. Yet, developing methods to enable efficient control and fair sharing of jointly-owned assets is a key open question, of both research and practical importance. In this paper, we provide a method inspired from game theory concepts to fairly redistribute the benefits from community owned energy-assets such as community wind turbines and storage. We propose a heuristic-based battery control algorithm for maximization of behind-the-meter self-consumption, which considers the effect of battery life degradation. Using real consumption and production data to model a community of two hundred households, we assess and compare technical and economic benefits of investment in individually-owned or community-owned assets such as chemical storage. We show that b</w:t>
      </w:r>
    </w:p>
    <w:p>
      <w:pPr/>
      <w:r>
        <w:rPr>
          <w:b/>
        </w:rPr>
        <w:t>POSSIBLE 2021:</w:t>
      </w:r>
      <w:r>
        <w:t xml:space="preserve"> Renewable Energy Targets and Unintended Storage Cycling: Implications for Energy Modeling — https://doi.org/10.1016/j.isci.2022.104002</w:t>
      </w:r>
    </w:p>
    <w:p>
      <w:pPr/>
      <w:r>
        <w:rPr>
          <w:b/>
        </w:rPr>
        <w:t>Shared claim-specific concepts:</w:t>
      </w:r>
      <w:r>
        <w:t xml:space="preserve"> energy, modeling, use; EU scope not established. This is a provisional connection, not an outcome finding.</w:t>
      </w:r>
    </w:p>
    <w:p>
      <w:pPr>
        <w:pStyle w:val="SourceNote"/>
      </w:pPr>
      <w:r>
        <w:rPr>
          <w:b/>
        </w:rPr>
        <w:t>Available abstract (not full text):</w:t>
      </w:r>
      <w:r>
        <w:t xml:space="preserve"> To decarbonize the economy, many governments have set targets for the use of renewable energy sources. These are often formulated as relative shares of electricity demand or supply. Implementing respective constraints in energy models is a surprisingly delicate issue. They may cause a modeling artifact of excessive electricity storage use. We introduce this phenomenon as 'unintended storage cycling', which can be detected in case of simultaneous storage charging and discharging. In this paper, we provide an analytical representation of different approaches for implementing minimum renewable share constraints in models, and show how these may lead to unintended storage cycling. Using a parsimonious optimization model, we quantify related distortions of optimal dispatch and investment decisions as well as market prices, and identify important drivers of the phenomenon. Finally, we provide recommendations on how to avoid the distorting effects of unintended storage cycling in energy modeling.</w:t>
      </w:r>
    </w:p>
    <w:p>
      <w:pPr/>
      <w:r>
        <w:rPr>
          <w:b/>
        </w:rPr>
        <w:t>POSSIBLE 2021:</w:t>
      </w:r>
      <w:r>
        <w:t xml:space="preserve"> Developing a community of practice around an open source energy modelling tool — https://doi.org/10.1016/j.esr.2021.100650</w:t>
      </w:r>
    </w:p>
    <w:p>
      <w:pPr/>
      <w:r>
        <w:rPr>
          <w:b/>
        </w:rPr>
        <w:t>Shared claim-specific concepts:</w:t>
      </w:r>
      <w:r>
        <w:t xml:space="preserve"> energy, critical; EU scope not established. This is a provisional connection, not an outcome finding.</w:t>
      </w:r>
    </w:p>
    <w:p>
      <w:pPr>
        <w:pStyle w:val="SourceNote"/>
      </w:pPr>
      <w:r>
        <w:rPr>
          <w:b/>
        </w:rPr>
        <w:t>Available abstract (not full text):</w:t>
      </w:r>
      <w:r>
        <w:t xml:space="preserve"> Energy modelling is critical for addressing challenges such as integrating variable renewable energy and addressing climate impacts. This paper describes the updated code management structure and code updates, the revised community forum and the outreach activities that have built a vibrant community of practice around OSeMOSYS. The code management structure has allowed code improvements to be incorporated into the model, the community forum provides users with a place to ask and answer questions, and the outreach activities connect members of the community. Overall, these three pillars show how a community of practice can be built around an open source tool and provides an example for other developers and users of open source software wanting to build a community of practice.</w:t>
      </w:r>
    </w:p>
    <w:p>
      <w:pPr>
        <w:pStyle w:val="Heading2"/>
      </w:pPr>
      <w:r>
        <w:t>716. Low-carbon energy scenarios 2050 in north-west European countries: Towards a more harmonised approach to achieve the EU targets</w:t>
      </w:r>
    </w:p>
    <w:p>
      <w:pPr>
        <w:pStyle w:val="SourceNote"/>
      </w:pPr>
      <w:r>
        <w:rPr>
          <w:b/>
        </w:rPr>
        <w:t>Original source (2019):</w:t>
      </w:r>
      <w:r>
        <w:t xml:space="preserve"> https://doi.org/10.1016/j.enpol.2019.03.047</w:t>
      </w:r>
    </w:p>
    <w:p>
      <w:pPr/>
      <w:r>
        <w:t>Original wording (abstract; indexed_source_text_not_full_document_verified): The analysis has shown that all selected countries have potential for modifying their energy scenarios, which being implemented may help to achieve the joint European targets 2050. The results can be of interest to economists, business and academic representatives, and especially policy makers involved in the long-term energy scenario development on the international, regional and national level.</w:t>
      </w:r>
    </w:p>
    <w:p>
      <w:pPr/>
      <w:r>
        <w:rPr>
          <w:b/>
        </w:rPr>
        <w:t>POSSIBLE 2024:</w:t>
      </w:r>
      <w:r>
        <w:t xml:space="preserve"> Regional cooling potential from expansion of perennial grasses in Europe — https://doi.org/10.1038/s43247-024-01923-5</w:t>
      </w:r>
    </w:p>
    <w:p>
      <w:pPr/>
      <w:r>
        <w:rPr>
          <w:b/>
        </w:rPr>
        <w:t>Shared claim-specific concepts:</w:t>
      </w:r>
      <w:r>
        <w:t xml:space="preserve"> potential, energy, achieve, regional; EU scope visible. This is a provisional connection, not an outcome finding.</w:t>
      </w:r>
    </w:p>
    <w:p>
      <w:pPr>
        <w:pStyle w:val="SourceNote"/>
      </w:pPr>
      <w:r>
        <w:rPr>
          <w:b/>
        </w:rPr>
        <w:t>Available abstract (not full text):</w:t>
      </w:r>
      <w:r>
        <w:t xml:space="preserve"> Abstract Perennial grasses are an option to mitigate global warming, increase energy security, and alleviate environmental pressures within agricultural landscapes. Their cultivation alters near-surface temperature in ways that are still largely unclear. Here, a regional climate model with an enhanced representation of perennial grasses shows that converting today’s cropland areas in Europe induces annual mean temperature reductions in summer and autumn (up to –1 °C), which are primarily driven by a later harvest of perennial grasses relative to annual crops. Cultivation of perennial grasses where they deliver stronger biogeophysical cooling can achieve a similar annual mean temperature reduction on half of the land. This cooling can counteract up to 50% of the projected future warming and it is three times larger than what is achieved via carbon emission reductions. A sustainable deployment of perennial grasses has the potential to link global mitigation objectives with co-benefits for the local climate and environment.</w:t>
      </w:r>
    </w:p>
    <w:p>
      <w:pPr/>
      <w:r>
        <w:rPr>
          <w:b/>
        </w:rPr>
        <w:t>POSSIBLE 2023:</w:t>
      </w:r>
      <w:r>
        <w:t xml:space="preserve"> Impact of COVID-19 pandemic on flu vaccine uptake in healthcare workers in Europe: a systematic review and meta-analysis — https://doi.org/10.1080/14760584.2023.2250437</w:t>
      </w:r>
    </w:p>
    <w:p>
      <w:pPr/>
      <w:r>
        <w:rPr>
          <w:b/>
        </w:rPr>
        <w:t>Shared claim-specific concepts:</w:t>
      </w:r>
      <w:r>
        <w:t xml:space="preserve"> shown, all, selected, countries, potential; EU scope visible. This is a provisional connection, not an outcome finding.</w:t>
      </w:r>
    </w:p>
    <w:p>
      <w:pPr>
        <w:pStyle w:val="SourceNote"/>
      </w:pPr>
      <w:r>
        <w:rPr>
          <w:b/>
        </w:rPr>
        <w:t>Available abstract (not full text):</w:t>
      </w:r>
      <w:r>
        <w:t xml:space="preserve"> INTRODUCTION: Influenza immunization policies in Europe primarily target at-risk and vulnerable subjects. Healthcare workers (HCWs) are a key focus of vaccination campaigns. Our systematic review and meta-analysis aim to evaluate the role of the COVID-19 pandemic on influenza vaccine uptake among HCWs since the 2020/21 influenza season. AREAS COVERED: Fourteen studies were included in the meta-analysis and systematic review, selected from scientific articles available in MEDLINE/PubMed, ISI Web of Knowledge, and Scopus databases between 1 January 2021 and 15 January 2023 The analysis revealed a significant relationship between influenza vaccine uptake and COVID-19 related determinants, such as willingness to receive COVID-19 vaccination, fear of COVID-19, and differentiating between influenza and COVID-19 symptoms (OR = 5.70; 95%CI = 2.08-15.60). Several studies reported higher vaccination coverages in the 2020/21 season compared to previous seasons, with VC values ranging from + 17% to + 38% compared to the 2019/20 season. The included studies identified a shift in HCWs' attitudes toward influenza vaccination, attributed to increased awareness due to the COVID-19 pandemic. EXPERT OPINION: Vaccine hesitancy is common among HCWs in Europe, necessitating mutual strategies across all European countries. So far, mandatory vaccination policies have shown the most potential in achiev</w:t>
      </w:r>
    </w:p>
    <w:p>
      <w:pPr/>
      <w:r>
        <w:rPr>
          <w:b/>
        </w:rPr>
        <w:t>POSSIBLE 2022:</w:t>
      </w:r>
      <w:r>
        <w:t xml:space="preserve"> Natural Fillers as Potential Modifying Agents for Epoxy Composition: A Review — https://doi.org/10.3390/polym14020265</w:t>
      </w:r>
    </w:p>
    <w:p>
      <w:pPr/>
      <w:r>
        <w:rPr>
          <w:b/>
        </w:rPr>
        <w:t>Shared claim-specific concepts:</w:t>
      </w:r>
      <w:r>
        <w:t xml:space="preserve"> potential, modifying, interest; EU scope not established. This is a provisional connection, not an outcome finding.</w:t>
      </w:r>
    </w:p>
    <w:p>
      <w:pPr>
        <w:pStyle w:val="SourceNote"/>
      </w:pPr>
      <w:r>
        <w:rPr>
          <w:b/>
        </w:rPr>
        <w:t>Available abstract (not full text):</w:t>
      </w:r>
      <w:r>
        <w:t xml:space="preserve"> Epoxy resins as important organic matrices, thanks to their chemical structure and the possibility of modification, have unique properties, which contribute to the fact that these materials have been used in many composite industries for many years. Epoxy resins are repeatedly used in exacting applications due to their exquisite mechanical properties, thermal stability, scratch resistance, and chemical resistance. Moreover, epoxy materials also have really strong resistance to solvents, chemical attacks, and climatic aging. The presented features confirm the fact that there is a constant interest of scientists in the modification of resins and understanding its mechanisms, as well as in the development of these materials to obtain systems with the required properties. Most of the recent studies in the literature are focused on green fillers such as post-agricultural waste powder (cashew nuts powder, coconut shell powder, rice husks, date seed), grass fiber (bamboo fibers), bast/leaf fiber (hemp fibers, banana bark fibers, pineapple leaf), and other natural fibers (waste tea fibers, palm ash) as reinforcement for epoxy resins rather than traditional non-biodegradable fillers due to their sustainability, low cost, wide availability, and the use of waste, which is environmentally friendly. Furthermore, the advantages of natural fillers over traditional fillers are acceptable speci</w:t>
      </w:r>
    </w:p>
    <w:p>
      <w:pPr/>
      <w:r>
        <w:rPr>
          <w:b/>
        </w:rPr>
        <w:t>POSSIBLE 2022:</w:t>
      </w:r>
      <w:r>
        <w:t xml:space="preserve"> Status and Prospects of Botanical Biopesticides in Europe and Mediterranean Countries — https://doi.org/10.3390/biom12020311</w:t>
      </w:r>
    </w:p>
    <w:p>
      <w:pPr/>
      <w:r>
        <w:rPr>
          <w:b/>
        </w:rPr>
        <w:t>Shared claim-specific concepts:</w:t>
      </w:r>
      <w:r>
        <w:t xml:space="preserve"> countries, especially; EU scope visible. This is a provisional connection, not an outcome finding.</w:t>
      </w:r>
    </w:p>
    <w:p>
      <w:pPr>
        <w:pStyle w:val="SourceNote"/>
      </w:pPr>
      <w:r>
        <w:rPr>
          <w:b/>
        </w:rPr>
        <w:t>Available abstract (not full text):</w:t>
      </w:r>
      <w:r>
        <w:t xml:space="preserve"> Concerning human and environmental health, safe alternatives to synthetic pesticides are urgently needed. Many of the currently used synthetic pesticides are not authorized for application in organic agriculture. In addition, the developed resistances of various pests against classical pesticides necessitate the urgent demand for efficient and safe products with novel modes of action. Botanical pesticides are assumed to be effective against various crop pests, and they are easily biodegradable and available in high quantities and at a reasonable cost. Many of them may act by diverse yet unexplored mechanisms of action. It is therefore surprising that only few plant species have been developed for commercial usage as biopesticides. This article reviews the status of botanical pesticides, especially in Europe and Mediterranean countries, deepening their active principles and mechanisms of action. Moreover, some constraints and challenges in the development of novel biopesticides are highlighted.</w:t>
      </w:r>
    </w:p>
    <w:p>
      <w:pPr/>
      <w:r>
        <w:rPr>
          <w:b/>
        </w:rPr>
        <w:t>POSSIBLE 2021:</w:t>
      </w:r>
      <w:r>
        <w:t xml:space="preserve"> Potential Effects of a Modified Mediterranean Diet on Body Composition in Lipoedema — https://doi.org/10.3390/nu13020358</w:t>
      </w:r>
    </w:p>
    <w:p>
      <w:pPr/>
      <w:r>
        <w:rPr>
          <w:b/>
        </w:rPr>
        <w:t>Shared claim-specific concepts:</w:t>
      </w:r>
      <w:r>
        <w:t xml:space="preserve"> all, potential, long-term; EU scope visible. This is a provisional connection, not an outcome finding.</w:t>
      </w:r>
    </w:p>
    <w:p>
      <w:pPr>
        <w:pStyle w:val="SourceNote"/>
      </w:pPr>
      <w:r>
        <w:rPr>
          <w:b/>
        </w:rPr>
        <w:t>Available abstract (not full text):</w:t>
      </w:r>
      <w:r>
        <w:t xml:space="preserve"> Lipoedema is a subcutaneous adipose tissue disease characterized by the increase in the amount and structure of fat mass (FM) in specific areas, causing pain and discomfort. 95% of patients fail to lose weight in the lipoedema areas. The study was conducted to evaluate body composition and general health status modification in a group of lipoedema patients (LIPPY) and a control group (CTRL) after four weeks of a modified Mediterranean diet therapy (mMeD). A total of 29 subjects were included in the data analysis, divided in two groups: 14 LIPPY and 15 CTRL. After the mMeD, both groups significantly decreased their weight and body mass index; the CTRL also showed a reduction of all the circumferences and all FM's compartments. LIPPY showed a decrease of FM in upper and lower limbs. No significant differences in Δ% between the groups were observed for the lean mass (LM). In LIPPY, an increase in the patients' ability to perform various daily physical activities related to the loss of arms' and legs' fat was observed. According to the European Quality of Life scale, the possibility for LIPPY subjects to perform simple daily activities with less fatigue, pain and anxiety is highlighted. Further long-term studies are recommended to confirm the mMeD as a good strategy for Lipoedema treatment.</w:t>
      </w:r>
    </w:p>
    <w:p>
      <w:pPr/>
      <w:r>
        <w:rPr>
          <w:b/>
        </w:rPr>
        <w:t>POSSIBLE 2021:</w:t>
      </w:r>
      <w:r>
        <w:t xml:space="preserve"> A modified lightning potential index for numerical models with parameterized deep convection — https://doi.org/10.5194/ems2021-253</w:t>
      </w:r>
    </w:p>
    <w:p>
      <w:pPr/>
      <w:r>
        <w:rPr>
          <w:b/>
        </w:rPr>
        <w:t>Shared claim-specific concepts:</w:t>
      </w:r>
      <w:r>
        <w:t xml:space="preserve"> shown, all, potential, international; EU scope visible. This is a provisional connection, not an outcome finding.</w:t>
      </w:r>
    </w:p>
    <w:p>
      <w:pPr>
        <w:pStyle w:val="SourceNote"/>
      </w:pPr>
      <w:r>
        <w:rPr>
          <w:b/>
        </w:rPr>
        <w:t>Available abstract (not full text):</w:t>
      </w:r>
      <w:r>
        <w:t xml:space="preserve"> A modified lightning potential index (MLPI) for numerical models with parameterized deep convection is presented. It is based on the LPI formula of Lynn and Yair (2010). Following the idea of Lopez (2016), the quantities (e.g. vertical velocity) needed in the LPI formula are derived from the updraft of the Bechtold-Tiedtke parameterization scheme (Bechtold et al., 2014). The formula is further improved by taking into account the vertical equivalent potential temperature gradient. The LPI and MLPI are tested in ICON with 20km resolution (ICON-20) over central Europe. A key component in the LPI is the vertical velocity. To assess its quality, the vertical velocity of the updraft in the convection scheme in ICON-20 is compared to updrafts in the convection-resolving COSMO model with 2.2 km resolution (COSMO-D2). It is shown that in ICON-20 the extension of the vertical velocity is generally broader with the maximum located in higher altitudes. In the charge separation area where the vertical velocity is relevant, the ICON-20 vertical velocity is less than in COSMO-D2. Consequently, the LPI values in ICON-20 are lower by a factor of 2 compared to COSMO-D2. The MLPI is verified against LINET lightning data (Betz et al. 2009) over central Europe for summer 2020 and compared to LPI in COSMO-D2. The MLPI is also compared to the LPI and the lightning flash density (LFD, Lopez, 2016), al</w:t>
      </w:r>
    </w:p>
    <w:p>
      <w:pPr/>
      <w:r>
        <w:rPr>
          <w:b/>
        </w:rPr>
        <w:t>POSSIBLE 2021:</w:t>
      </w:r>
      <w:r>
        <w:t xml:space="preserve"> Personality and Authenticity in Light of the Memory-Modifying Potential of Optogenetics — https://doi.org/10.1080/21507740.2020.1866097</w:t>
      </w:r>
    </w:p>
    <w:p>
      <w:pPr/>
      <w:r>
        <w:rPr>
          <w:b/>
        </w:rPr>
        <w:t>Shared claim-specific concepts:</w:t>
      </w:r>
      <w:r>
        <w:t xml:space="preserve"> shown, potential, interest, especially, long-term; EU scope not established. This is a provisional connection, not an outcome finding.</w:t>
      </w:r>
    </w:p>
    <w:p>
      <w:pPr>
        <w:pStyle w:val="SourceNote"/>
      </w:pPr>
      <w:r>
        <w:rPr>
          <w:b/>
        </w:rPr>
        <w:t>Available abstract (not full text):</w:t>
      </w:r>
      <w:r>
        <w:t xml:space="preserve"> There has been a growing interest in research concerning memory modification technologies (MMTs) in recent years. Neuroscientists and psychologists are beginning to explore the prospect of controllable and intentional modification of human memory. One of the technologies with the greatest potential to this end is optogenetics-an invasive neuromodulation technique involving the use of light to control the activity of individual brain cells. It has recently shown the potential to modify specific long-term memories in animal models in ways not yet possible with other MMTs. As the therapeutic potential of optogenetics has already prompted approval of the first human trials, it is especially important and timely to consider the opportunities and dangers this technology may entail. In this article, we focus on possible consequences of optogenetics as an MMT by analyzing fundamental threats potentially associated with memory modifications: the potential disruption of personality and authenticity.</w:t>
      </w:r>
    </w:p>
    <w:p>
      <w:pPr/>
      <w:r>
        <w:rPr>
          <w:b/>
        </w:rPr>
        <w:t>POSSIBLE 2021:</w:t>
      </w:r>
      <w:r>
        <w:t xml:space="preserve"> Evaluating the potential for exposure to organisms of public health concern in naturally occurring bathing waters in Europe: A scoping review. — https://doi.org/10.1016/j.watres.2021.117711</w:t>
      </w:r>
    </w:p>
    <w:p>
      <w:pPr/>
      <w:r>
        <w:rPr>
          <w:b/>
        </w:rPr>
        <w:t>Shared claim-specific concepts:</w:t>
      </w:r>
      <w:r>
        <w:t xml:space="preserve"> shown, all, countries, potential; EU scope visible. This is a provisional connection, not an outcome finding.</w:t>
      </w:r>
    </w:p>
    <w:p>
      <w:pPr>
        <w:pStyle w:val="SourceNote"/>
      </w:pPr>
      <w:r>
        <w:rPr>
          <w:b/>
        </w:rPr>
        <w:t>Available abstract (not full text):</w:t>
      </w:r>
      <w:r>
        <w:t xml:space="preserve"> Globally, water-based bathing pastimes are important for both mental and physical health. However, exposure to waterborne organisms could present a substantial public health issue. Bathing waters are shown to contribute to the transmission of illness and disease and represent a reservoir and pathway for the dissemination of antimicrobial resistant (AMR) organisms. Current bathing water quality regulations focus on enumeration of faecal indicator organisms and are not designed for detection of specific waterborne organisms of public health concern (WOPHC), such as antimicrobial resistant (AMR)/pathogenic bacteria, or viruses. This investigation presents the first scoping review of the occurrence of waterborne organisms of public health concern (WOPHC) in identified natural bathing waters across the European Union (EU), which aimed to critically evaluate the potential risk of human exposure and to assess the appropriateness of the current EU bathing water regulations for the protection of public health. Accordingly, this review sought to identify and synthesise all literature pertaining to a selection of bacterial (Campylobacter spp., Escherichia coli, Salmonella spp., Shigella spp., Vibrio spp., Pseudomonas spp., AMR bacteria), viral (Hepatitis spp., enteroviruses, rotavirus, adenovirus, norovirus), and protozoan (Giardia spp., and Cryptosporidium spp.) contaminants in EU bathin</w:t>
      </w:r>
    </w:p>
    <w:p>
      <w:pPr/>
      <w:r>
        <w:rPr>
          <w:b/>
        </w:rPr>
        <w:t>POSSIBLE 2020:</w:t>
      </w:r>
      <w:r>
        <w:t xml:space="preserve"> Instrumental Activities of Daily Living (iADL) Limitations in Europe: An Assessment of SHARE Data — https://doi.org/10.3390/ijerph17207387</w:t>
      </w:r>
    </w:p>
    <w:p>
      <w:pPr/>
      <w:r>
        <w:rPr>
          <w:b/>
        </w:rPr>
        <w:t>Shared claim-specific concepts:</w:t>
      </w:r>
      <w:r>
        <w:t xml:space="preserve"> shown, all, selected, countries, potential; EU scope visible. This is a provisional connection, not an outcome finding.</w:t>
      </w:r>
    </w:p>
    <w:p>
      <w:pPr>
        <w:pStyle w:val="SourceNote"/>
      </w:pPr>
      <w:r>
        <w:rPr>
          <w:b/>
        </w:rPr>
        <w:t>Available abstract (not full text):</w:t>
      </w:r>
      <w:r>
        <w:t xml:space="preserve"> This study aims to evaluate the instrumental activities of daily living (iADLs) limitations in Europe and its association with socio-demographic characteristics, economic parameters and physical and mental health status. We used data from the wave 6 of SHARE database. Individuals were classified as having either none or one or more limitations on iADLs. Participants aged 65 or more years who answered all questions for the variables included in this work were selected. A total of 54.8% of participants were female and had a mean age of 74.37 (SD = 7.08) years. A global prevalence of 1 or more iADLs in Europe was shown to be 23.8% and more prevalent in women than in men (27.1% vs. 17.6%) and in people aged 85 years or more (51.5%). Older age, female gender, lower education, physical inactivity, frailty, having two or more chronic diseases, presence of depression, polypharmacy, poor self-perception of health and lower network satisfaction were found to be factors associated with the presence of 1 or more iADLs limitation. This study highlights the burden of iADLs limitations at the European level. These are based on a multidimensional biopsychosocial model and are associated with both health conditions and environmental factors. This intersection between the physical and social world underscores its potential as a health indicator and can, to some extent, explain some of the pronou</w:t>
      </w:r>
    </w:p>
    <w:p>
      <w:pPr/>
      <w:r>
        <w:rPr>
          <w:b/>
        </w:rPr>
        <w:t>POSSIBLE 2020:</w:t>
      </w:r>
      <w:r>
        <w:t xml:space="preserve"> The burden of neurological diseases in Europe: an analysis for the Global Burden of Disease Study 2017 — https://doi.org/10.1016/s2468-2667(20)30190-0</w:t>
      </w:r>
    </w:p>
    <w:p>
      <w:pPr/>
      <w:r>
        <w:rPr>
          <w:b/>
        </w:rPr>
        <w:t>Shared claim-specific concepts:</w:t>
      </w:r>
      <w:r>
        <w:t xml:space="preserve"> shown, all, countries; EU scope visible. This is a provisional connection, not an outcome finding.</w:t>
      </w:r>
    </w:p>
    <w:p>
      <w:pPr>
        <w:pStyle w:val="SourceNote"/>
      </w:pPr>
      <w:r>
        <w:rPr>
          <w:b/>
        </w:rPr>
        <w:t>Available abstract (not full text):</w:t>
      </w:r>
      <w:r>
        <w:t xml:space="preserve"> BACKGROUND: Neurological disorders account for a large and increasing health burden worldwide, as shown in the Global Burden of Diseases (GBD) Study 2016. Unpacking how this burden varies regionally and nationally is important to inform public health policy and prevention strategies. The population in the EU is older than that of the WHO European region (western, central, and eastern Europe) and even older than the global population, suggesting that it might be particularly vulnerable to an increasing burden of age-related neurological disorders. We aimed to compare the burden of neurological disorders in the EU between 1990 and 2017 with those of the WHO European region and worldwide. METHODS: The burden of neurological disorders was calculated for the year 2017 as incidence, prevalence, mortality, disability-adjusted life-years (DALYs), years of life lost, and years lived with disability for the countries in the EU and the WHO European region, totally and, separately. Diseases analysed were Alzheimer's disease and other dementias, epilepsy, headache (migraine and tension-type headache), multiple sclerosis, Parkinson's disease, brain cancer, motor neuron diseases, neuroinfectious diseases, and stroke. Data are presented as totals and by sex, age, year, location and socio-demographic context, and shown as counts and rates. FINDINGS: In 2017, the total number of DALYs attributab</w:t>
      </w:r>
    </w:p>
    <w:p>
      <w:pPr/>
      <w:r>
        <w:rPr>
          <w:b/>
        </w:rPr>
        <w:t>POSSIBLE 2020:</w:t>
      </w:r>
      <w:r>
        <w:t xml:space="preserve"> Flood trends in Europe: are changes in small and big floods different? — https://doi.org/10.5194/hess-24-1805-2020</w:t>
      </w:r>
    </w:p>
    <w:p>
      <w:pPr/>
      <w:r>
        <w:rPr>
          <w:b/>
        </w:rPr>
        <w:t>Shared claim-specific concepts:</w:t>
      </w:r>
      <w:r>
        <w:t xml:space="preserve"> selected, especially, regional; EU scope visible. This is a provisional connection, not an outcome finding.</w:t>
      </w:r>
    </w:p>
    <w:p>
      <w:pPr>
        <w:pStyle w:val="SourceNote"/>
      </w:pPr>
      <w:r>
        <w:rPr>
          <w:b/>
        </w:rPr>
        <w:t>Available abstract (not full text):</w:t>
      </w:r>
      <w:r>
        <w:t xml:space="preserve"> Abstract. Recent studies have revealed evidence of trends in the median or mean flood discharge in Europe over the last five decades, with clear and coherent regional patterns. The aim of this study is to assess whether trends also occurred for larger return periods accounting for the effect of catchment scale. We analyze 2370 flood records, selected from a newly-available pan-European flood database, with record length of at least 40 years over the period 1960–2010 and with contributing catchment area ranging from 5 to 100 000 km2. To estimate regional flood trends, we use a non-stationary regional flood frequency approach consisting of a regional Gumbel distribution, whose median and growth factor can vary in time with different strengths for different catchment sizes. A Bayesian Monte Carlo Markov Chain (MCMC) approach is used for parameter estimation. We quantify regional trends (and the related sample uncertainties), for floods of selected return periods and for selected catchment areas, across Europe and for three regions where coherent flood trends have been identified in previous studies. Results show that, in the Atlantic region, the trends in flood magnitude are generally positive. In small catchments (up to 100 km2), the 100-year flood increases more than the median flood, while the opposite is observed in medium and large catchments, where even some negative trends </w:t>
      </w:r>
    </w:p>
    <w:p>
      <w:pPr/>
      <w:r>
        <w:rPr>
          <w:b/>
        </w:rPr>
        <w:t>POSSIBLE 2020:</w:t>
      </w:r>
      <w:r>
        <w:t xml:space="preserve"> Mapping interventional cardiology in Europe: the European Association of Percutaneous Cardiovascular Interventions (EAPCI) Atlas Project — https://doi.org/10.1093/eurheartj/ehaa475</w:t>
      </w:r>
    </w:p>
    <w:p>
      <w:pPr/>
      <w:r>
        <w:rPr>
          <w:b/>
        </w:rPr>
        <w:t>Shared claim-specific concepts:</w:t>
      </w:r>
      <w:r>
        <w:t xml:space="preserve"> shown, countries, international; EU scope visible. This is a provisional connection, not an outcome finding.</w:t>
      </w:r>
    </w:p>
    <w:p>
      <w:pPr>
        <w:pStyle w:val="SourceNote"/>
      </w:pPr>
      <w:r>
        <w:rPr>
          <w:b/>
        </w:rPr>
        <w:t>Available abstract (not full text):</w:t>
      </w:r>
      <w:r>
        <w:t xml:space="preserve"> AIMS: The European Association of Percutaneous Cardiovascular Interventions (EAPCI) Atlas of Interventional Cardiology has been developed to map interventional practice across European Society of Cardiology (ESC) member countries. Here we present the main findings of a 16-country survey in which we examine the national availability of interventional infrastructure, human resource, and procedure volumes. METHODS AND RESULTS: Sixteen ESC member countries participated in the EAPCI Atlas survey. Interventional data were collected by the National Cardiac Society of each participating country. An annual median of 5131 [interquartile range (IQR) 4013-5801] diagnostic heart procedures per million people were reported, ranging from &lt;2500 in Egypt and Romania to &gt;7000 in Turkey and Germany. Procedure rates showed significant correlation (r = 0.67, P = 0.013) with gross national income (GNI) per capita. An annual median of 2478 (IQR 1690-2633) percutaneous coronary interventions (PCIs) per million people were reported, ranging from &lt;1000 in Egypt and Romania to &gt;3000 in Switzerland, Poland, and Germany. Procedure rates showed significant correlation with GNI per capita (r = 0.62, P = 0.014). An annual median of 48.2 (IQR 29.1-105.2) transcatheter aortic valve implantation procedures per million people were performed, varying from &lt;25 per million people in Egypt, Romania, Turkey, and Polan</w:t>
      </w:r>
    </w:p>
    <w:p>
      <w:pPr>
        <w:pStyle w:val="Heading2"/>
      </w:pPr>
      <w:r>
        <w:t>717. Lyme Disease Risks in Europe under Multiple Uncertain Drivers of Change</w:t>
      </w:r>
    </w:p>
    <w:p>
      <w:pPr>
        <w:pStyle w:val="SourceNote"/>
      </w:pPr>
      <w:r>
        <w:rPr>
          <w:b/>
        </w:rPr>
        <w:t>Original source (2019):</w:t>
      </w:r>
      <w:r>
        <w:t xml:space="preserve"> https://doi.org/10.1289/ehp4615</w:t>
      </w:r>
    </w:p>
    <w:p>
      <w:pPr/>
      <w:r>
        <w:t>Original wording (abstract; indexed_source_text_not_full_document_verified): RESULTS: The model projections suggest that future temperature increases may not always amplify LD risk: Low emissions scenarios (RCP2.6) combined with a sustainability socioeconomic scenario (SSP1) resulted in reduced LD risk. BACKGROUND: Debates over whether climate change could lead to the amplification of Lyme disease (LD) risk in the future have received much attention.</w:t>
      </w:r>
    </w:p>
    <w:p>
      <w:pPr/>
      <w:r>
        <w:rPr>
          <w:b/>
        </w:rPr>
        <w:t>POSSIBLE 2026:</w:t>
      </w:r>
      <w:r>
        <w:t xml:space="preserve"> Model Code and Data for "Future projections of burned area in Europe highlight the importance of human action" — https://doi.org/10.5281/zenodo.18740007</w:t>
      </w:r>
    </w:p>
    <w:p>
      <w:pPr/>
      <w:r>
        <w:rPr>
          <w:b/>
        </w:rPr>
        <w:t>Shared claim-specific concepts:</w:t>
      </w:r>
      <w:r>
        <w:t xml:space="preserve"> projections, increases, not, low, whether, climate; EU scope visible. This is a provisional connection, not an outcome finding.</w:t>
      </w:r>
    </w:p>
    <w:p>
      <w:pPr>
        <w:pStyle w:val="SourceNote"/>
      </w:pPr>
      <w:r>
        <w:rPr>
          <w:b/>
        </w:rPr>
        <w:t>Available abstract (not full text):</w:t>
      </w:r>
      <w:r>
        <w:t xml:space="preserve"> This repository contains the LPJmL-SPITFIRE and LPJmL-BASE model code; R-code and data used to generate figures in the manuscript "Future projections of burned area in Europe highlight the importance of human action" The datasets are licensed under CC-BY. The LPJmL model code is licensed under AGPLv3. The R scripts are released under the BSD-2-Clause license. Manuscript abstract Wildfires are often a natural part of many European ecosystems, but human activities through land-use, other socio-economic factors and climate change have significantly changed how fires behave. Anthropogenic climate change is already intensifying fire prone weather and increasing wildfire risk across Europe with risk expected to grow sharply in coming decades. Past experience suggests that human action, such as fuel management and improved fire suppression capacity, can reduce wildfire spread and intensity. However, whether current or future efforts can counter rising risks under continued climate change remains uncertain. In this study, we assess the role of socio-economic factors and biophysical factors in shaping future fire regimes across Europe. Using two fire models (SPITFIRE and BASE) coupled with the fire-enabled Dynamic Global Vegetation Model LPJmL, we simulate future burned area under two socio-economic and greenhouse gas concentration pathways (SSP1-2.6 and SSP3-7.0). We also run experimen</w:t>
      </w:r>
    </w:p>
    <w:p>
      <w:pPr/>
      <w:r>
        <w:rPr>
          <w:b/>
        </w:rPr>
        <w:t>POSSIBLE 2026:</w:t>
      </w:r>
      <w:r>
        <w:t xml:space="preserve"> Extreme precipitation projections over Europe from the Euro-CORDEX regional climate models — https://doi.org/10.2139/ssrn.7352664</w:t>
      </w:r>
    </w:p>
    <w:p>
      <w:pPr/>
      <w:r>
        <w:rPr>
          <w:b/>
        </w:rPr>
        <w:t>Shared claim-specific concepts:</w:t>
      </w:r>
      <w:r>
        <w:t xml:space="preserve"> projections, over, climate;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Climate &amp; Air Quality projections over Europe for 2030 and 2050 — https://openalex.org/W7213705154</w:t>
      </w:r>
    </w:p>
    <w:p>
      <w:pPr/>
      <w:r>
        <w:rPr>
          <w:b/>
        </w:rPr>
        <w:t>Shared claim-specific concepts:</w:t>
      </w:r>
      <w:r>
        <w:t xml:space="preserve"> projections, increases, emissions, over, climate; EU scope visible. This is a provisional connection, not an outcome finding.</w:t>
      </w:r>
    </w:p>
    <w:p>
      <w:pPr>
        <w:pStyle w:val="SourceNote"/>
      </w:pPr>
      <w:r>
        <w:rPr>
          <w:b/>
        </w:rPr>
        <w:t>Available abstract (not full text):</w:t>
      </w:r>
      <w:r>
        <w:t xml:space="preserve"> Over Europe, air quality has improved in recent years and is expected to continue improving due to further emission reductions. However, climate change also affects air quality, for instance through changes in wash-out processes or increases in biogenic VOC emissions. The magnitude and direction of these climate-induced air quality changes remain uncertain. To investigate how air quality evolves under different emission projections for species relevant to both climate and air quality, we perform consistent chemistry-climate simulations for Europe for the years 2030 and 2050. For these simulations, we use the global-regional chemistry-climate model MECO(n). MECO(n) consists of the global chemistry-climate model EMAC and the regional atmospheric chemistry model COSMO-CLM/MESSy. The EMAC simulations are performed with a global horizontal resolution of around 120 km. Over Europe, we include up to three nested domains: a 22 km domain covering the entire continent, a 7 km domain for Central Europe, and a 2 km domain over Germany. For present-day and future projections, we use historical simulations and SSP projections (SSP1-2.6 and SSP2-4.5) downscaled consistently over Europe. We present a preliminary analysis of the simulated air quality changes, with a particular focus on the role of transport sector emissions. To quantify the effects of these emissions, we apply a source apportio</w:t>
      </w:r>
    </w:p>
    <w:p>
      <w:pPr/>
      <w:r>
        <w:rPr>
          <w:b/>
        </w:rPr>
        <w:t>POSSIBLE 2025:</w:t>
      </w:r>
      <w:r>
        <w:t xml:space="preserve"> Bioclimatic modelling of the spread of Dirofilaria spp. in Europe, with a special focus on Ukraine — https://doi.org/10.32942/x2qd4s</w:t>
      </w:r>
    </w:p>
    <w:p>
      <w:pPr/>
      <w:r>
        <w:rPr>
          <w:b/>
        </w:rPr>
        <w:t>Shared claim-specific concepts:</w:t>
      </w:r>
      <w:r>
        <w:t xml:space="preserve"> projections, temperature, background, climate; EU scope visible. This is a provisional connection, not an outcome finding.</w:t>
      </w:r>
    </w:p>
    <w:p>
      <w:pPr>
        <w:pStyle w:val="SourceNote"/>
      </w:pPr>
      <w:r>
        <w:rPr>
          <w:b/>
        </w:rPr>
        <w:t>Available abstract (not full text):</w:t>
      </w:r>
      <w:r>
        <w:t xml:space="preserve"> Background: The zoonotic disease dirofilariosis, caused by Dirofilaria spp., is expanding geographically in Europe, a phenomenon increasingly linked to climate change. Understanding the environmental drivers of this spread is crucial for surveillance and public health planning. Objective: This study aims to model the ecological niche of Dirofilaria spp. in Europe, identify key climatic drivers, and map areas of high transmission risk, with a specific focus on Ukraine. Methods: We employed a Species Distribution Modeling (SDM) framework, using the Maxent algorithm correlated with high-quality occurrence data and climatic predictors from the CMCC-BioClimInd dataset. Model interpretation was enhanced using SHAP (SHapley Additive exPlanations) to identify and rank influential variables. A complementary Growing Degree Days (GDD) model was used to validate the thermal constraints on parasite development. Results: The model achieved high predictive performance (AUC = 0.75, Boyce index = 0.93). At the European scale, the modified Kira warmth index, a measure of cumulative warmth, was the most important predictor, exhibiting a unimodal response curve that reveals a thermal optimum for transmission. For Ukraine, annual mean temperature and winter cold minima were the dominant drivers, reflecting the country's continental climate. GDD analysis confirmed a significant increase in thermally</w:t>
      </w:r>
    </w:p>
    <w:p>
      <w:pPr/>
      <w:r>
        <w:rPr>
          <w:b/>
        </w:rPr>
        <w:t>POSSIBLE 2025:</w:t>
      </w:r>
      <w:r>
        <w:t xml:space="preserve"> A Small Quarterly Projection Model for a Selected Group of CEE Economies — https://doi.org/10.24425/cejeme.2024.154559</w:t>
      </w:r>
    </w:p>
    <w:p>
      <w:pPr/>
      <w:r>
        <w:rPr>
          <w:b/>
        </w:rPr>
        <w:t>Shared claim-specific concepts:</w:t>
      </w:r>
      <w:r>
        <w:t xml:space="preserve"> suggest, over; EU scope visible. This is a provisional connection, not an outcome finding.</w:t>
      </w:r>
    </w:p>
    <w:p>
      <w:pPr>
        <w:pStyle w:val="SourceNote"/>
      </w:pPr>
      <w:r>
        <w:rPr>
          <w:b/>
        </w:rPr>
        <w:t>Available abstract (not full text):</w:t>
      </w:r>
      <w:r>
        <w:t xml:space="preserve"> The monetary policy decision process is fundamental to achieving price stability and sustainable economic growth over the medium term. In recent years, given the multitude of unprecedented shocks that hit the global economy, many complex models still need to estimate accurately the magnitude of these shocks and their impact on economic activity. This paper proposes a small quarterly projection model to assess the economic outlook for a selected group of Central Eastern European countries with similar economic characteristics. Therefore, we present a comparable analysis between Hungary, Poland and Romania for 2005Q4-2023Q4. Our results suggest a relatively good performance regarding the assessment of the economic downturn from 2020 and a similar recovery pattern in Hungary and Poland, while the recovery in Romania was only partial. A real-time forecasting exercise ensures that the trajectory of macroeconomic indicators is close to the actual data, especially during regular times.</w:t>
      </w:r>
    </w:p>
    <w:p>
      <w:pPr/>
      <w:r>
        <w:rPr>
          <w:b/>
        </w:rPr>
        <w:t>POSSIBLE 2025:</w:t>
      </w:r>
      <w:r>
        <w:t xml:space="preserve"> Phenological Model Predictions and Climate Projections Accuracy: Implications for Spring Frost Risk for Quercus Robur in Central Europe — https://doi.org/10.2139/ssrn.5380178</w:t>
      </w:r>
    </w:p>
    <w:p>
      <w:pPr/>
      <w:r>
        <w:rPr>
          <w:b/>
        </w:rPr>
        <w:t>Shared claim-specific concepts:</w:t>
      </w:r>
      <w:r>
        <w:t xml:space="preserve"> projections, climate;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projections, over, climate;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2024:</w:t>
      </w:r>
      <w:r>
        <w:t xml:space="preserve"> European identity's effect on immigration attitudes: Testing the predictions of the common Ingroup identity model versus ingroup projection model — https://doi.org/10.1111/pops.12970</w:t>
      </w:r>
    </w:p>
    <w:p>
      <w:pPr/>
      <w:r>
        <w:rPr>
          <w:b/>
        </w:rPr>
        <w:t>Shared claim-specific concepts:</w:t>
      </w:r>
      <w:r>
        <w:t xml:space="preserve"> not, always; EU scope visible. This is a provisional connection, not an outcome finding.</w:t>
      </w:r>
    </w:p>
    <w:p>
      <w:pPr>
        <w:pStyle w:val="SourceNote"/>
      </w:pPr>
      <w:r>
        <w:rPr>
          <w:b/>
        </w:rPr>
        <w:t>Available abstract (not full text):</w:t>
      </w:r>
      <w:r>
        <w:t xml:space="preserve"> Abstract A superordinate identity unites different subgroups into an overarching, common one. But does superordinate identification then improve or worsen attitudes towards the former outgroup? The common ingroup identity model (CIIM) asserts that recategorization ameliorates outgroup bias by reducing perceptions of intergroup threat. It predicts that superordinate identification will improve intergroup relations by promoting tolerance and acceptance of diversity. In contrast, the ingroup project model (IPM) asserts that identifying superordinately will actually exacerbate outgroup bias because ingroup members naturally project their own characteristics onto the superordinate category and will more strongly dislike the former outgroup for not fitting the “correct” superordinate prototype. Existing evidence—largely drawn from psychology lab experiments, not real‐world situations—suggests both models can be correct insofar as ingroup projection only occurs under certain conditions. In that case, which model is correct for European identity? Results from original survey data collected in three European countries (Germany, Poland, and the United Kingdom) show that increased identification with Europe is almost always associated with more favorable attitudes towards outgroup immigrants, even among those most likely to engage in ingroup projection. Future research should continue to </w:t>
      </w:r>
    </w:p>
    <w:p>
      <w:pPr/>
      <w:r>
        <w:rPr>
          <w:b/>
        </w:rPr>
        <w:t>POSSIBLE 2024:</w:t>
      </w:r>
      <w:r>
        <w:t xml:space="preserve"> Understanding and simulating cropland and non-cropland burning in Europe using the BASE (Burnt Area Simulator for Europe) model — https://doi.org/10.5194/bg-21-5539-2024</w:t>
      </w:r>
    </w:p>
    <w:p>
      <w:pPr/>
      <w:r>
        <w:rPr>
          <w:b/>
        </w:rPr>
        <w:t>Shared claim-specific concepts:</w:t>
      </w:r>
      <w:r>
        <w:t xml:space="preserve"> projections, suggest, increases, socioeconomic, climate; EU scope visible. This is a provisional connection, not an outcome finding.</w:t>
      </w:r>
    </w:p>
    <w:p>
      <w:pPr>
        <w:pStyle w:val="SourceNote"/>
      </w:pPr>
      <w:r>
        <w:rPr>
          <w:b/>
        </w:rPr>
        <w:t>Available abstract (not full text):</w:t>
      </w:r>
      <w:r>
        <w:t xml:space="preserve"> Abstract. Fire interacts with many parts of the Earth system. However, its drivers are myriad and complex, interacting differently in different regions depending on prevailing climate regimes, vegetation types, socioeconomic development, and land use and management. Europe is facing strong increases in projected meteorological fire danger as a consequence of climate change, and has experienced extreme fire seasons and events in recent years. Here, we focus on understanding and simulating burnt area across a European study domain using remote sensing data and Generalised Linear Models (GLMs). We first examined fire occurrence across land cover types and found that all non-cropland vegetation types (NCV, comprising 26 % of burnt area) burned with similar spatial and temporal patterns, which were very distinct from those in croplands (74 % of burned area). We then used GLMs to predict cropland and NCV burnt area at ~9x9 km and monthly spatial and temporal resolution, respectively, which together we termed BASE (Burnt Area Simulator for Europe). Compared to satellite burned area products, BASE effectively captured the general spatial and temporal patterns of burning, explaining 32 % (NCV) and 36 % (cropland) of the deviance, and gave similar performance of state-of-the-art global fire models. The most important drivers were fire weather and monthly indices derived from gross primar</w:t>
      </w:r>
    </w:p>
    <w:p>
      <w:pPr/>
      <w:r>
        <w:rPr>
          <w:b/>
        </w:rPr>
        <w:t>POSSIBLE 2024:</w:t>
      </w:r>
      <w:r>
        <w:t xml:space="preserve"> Climate-induced mortality projections in Europe: Estimation and valuation of heat-related deaths — https://doi.org/10.1016/j.ijdrr.2024.104692</w:t>
      </w:r>
    </w:p>
    <w:p>
      <w:pPr/>
      <w:r>
        <w:rPr>
          <w:b/>
        </w:rPr>
        <w:t>Shared claim-specific concepts:</w:t>
      </w:r>
      <w:r>
        <w:t xml:space="preserve"> projections, temperature, emissions, climate; EU scope visible. This is a provisional connection, not an outcome finding.</w:t>
      </w:r>
    </w:p>
    <w:p>
      <w:pPr>
        <w:pStyle w:val="SourceNote"/>
      </w:pPr>
      <w:r>
        <w:rPr>
          <w:b/>
        </w:rPr>
        <w:t>Available abstract (not full text):</w:t>
      </w:r>
      <w:r>
        <w:t xml:space="preserve"> Extreme heat is becoming more prevalent in Europe and its localized impacts on human health in urban environments are difficult to project. Our main objective was to develop a local-scale integrated assessment model (IAM) to explore the impacts of global warming on heat-related mortality in Europe, with a focus on urban areas. Using the apparent temperature metric, we develop several risk frameworks to project heat-related deaths and help policymakers evaluate future extreme heat risk. We also compute the monetary impact of expected deaths using the value of statistical life. Our results show that the compliance with the Paris agreement targets would limit the cumulative losses during this century to 2.6 million people, compared to almost 5.5 million under alternative climate scenarios. Our analysis suggests that Europe could save more than €150 billion annually through avoided heat-related mortality. We also focus on the relationship between heath-induced mortality and population concentration in urban areas. Limiting the urban heat island effect in compliance with the Paris agreement emissions reduction would lower the number of deaths by up to 40%.</w:t>
      </w:r>
    </w:p>
    <w:p>
      <w:pPr/>
      <w:r>
        <w:rPr>
          <w:b/>
        </w:rPr>
        <w:t>POSSIBLE 2024:</w:t>
      </w:r>
      <w:r>
        <w:t xml:space="preserve"> Intraspecific niche models for the invasive ambrosia beetle Xylosandrus crassiusculus suggest contrasted responses to climate change — https://doi.org/10.1007/s00442-024-05528-9</w:t>
      </w:r>
    </w:p>
    <w:p>
      <w:pPr/>
      <w:r>
        <w:rPr>
          <w:b/>
        </w:rPr>
        <w:t>Shared claim-specific concepts:</w:t>
      </w:r>
      <w:r>
        <w:t xml:space="preserve"> suggest, climate;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Climate change projections of commercial fish distribution and suitable habitat around north western Europe — https://doi.org/10.1111/faf.12773</w:t>
      </w:r>
    </w:p>
    <w:p>
      <w:pPr/>
      <w:r>
        <w:rPr>
          <w:b/>
        </w:rPr>
        <w:t>Shared claim-specific concepts:</w:t>
      </w:r>
      <w:r>
        <w:t xml:space="preserve"> projections, temperature, climate; EU scope visible. This is a provisional connection, not an outcome finding.</w:t>
      </w:r>
    </w:p>
    <w:p>
      <w:pPr>
        <w:pStyle w:val="SourceNote"/>
      </w:pPr>
      <w:r>
        <w:rPr>
          <w:b/>
        </w:rPr>
        <w:t>Available abstract (not full text):</w:t>
      </w:r>
      <w:r>
        <w:t xml:space="preserve"> Abstract Under future climate change, modification of temperature and salinity are expected to result in distribution shifts of marine organisms, including commercial fish and shellfish. Changes are anticipated everywhere, including in the seas of many important fishing nations. Species turnover will in turn result in both opportunities and threats to fishing industries. To determine the impacts for northwest European shelf fisheries, we project changes for 49 commercially important fish and shellfish species using an ensemble of five ecological niche models and three different downscaled climate change projections. The habitat suitability and latitudinal shifts projected from the recent past (1997–2016) to two futures (2030–2050; 2050–2070) were calculated for waters around the United Kingdom. Of the species examined, around half were projected to have consistently more suitable habitat in the future, including European seabass ( Dicentrarchus labrax , Moronidae), sardine ( Sardina pilchardus , Alosidae) and anchovy ( Engraulis encrasicolus , Engraulidae). Conversely, it is suggested that UK waters will become less suitable for species including Atlantic cod ( Gadus morhua , Gadidae) and saithe ( Pollachius virens , Gadidae). Our comprehensive approach using a number of models and climate change scenarios shows that while there are differences in the magnitude of change betwee</w:t>
      </w:r>
    </w:p>
    <w:p>
      <w:pPr>
        <w:pStyle w:val="Heading2"/>
      </w:pPr>
      <w:r>
        <w:t>718. Nutrient criteria for surface waters under the European Water Framework Directive: Current state-of-the-art, challenges and future outlook</w:t>
      </w:r>
    </w:p>
    <w:p>
      <w:pPr>
        <w:pStyle w:val="SourceNote"/>
      </w:pPr>
      <w:r>
        <w:rPr>
          <w:b/>
        </w:rPr>
        <w:t>Original source (2019):</w:t>
      </w:r>
      <w:r>
        <w:t xml:space="preserve"> https://doi.org/10.1016/j.scitotenv.2019.133888</w:t>
      </w:r>
    </w:p>
    <w:p>
      <w:pPr/>
      <w:r>
        <w:t>Original wording (abstract; indexed_source_text_not_full_document_verified): The aim of European water policy is to achieve good ecological status in all rivers, lakes, coastal and transitional waters by 2027.</w:t>
      </w:r>
    </w:p>
    <w:p>
      <w:pPr/>
      <w:r>
        <w:rPr>
          <w:b/>
        </w:rPr>
        <w:t>POSSIBLE 2026:</w:t>
      </w:r>
      <w:r>
        <w:t xml:space="preserve"> Agriculture Contributions to Water Pollution and Sustainable Policy Solutions in Europe — https://doi.org/10.3390/earth7040115</w:t>
      </w:r>
    </w:p>
    <w:p>
      <w:pPr/>
      <w:r>
        <w:rPr>
          <w:b/>
        </w:rPr>
        <w:t>Shared claim-specific concepts:</w:t>
      </w:r>
      <w:r>
        <w:t xml:space="preserve"> water, achieve, good, ecological, status, waters; EU scope visible. This is a provisional connection, not an outcome finding.</w:t>
      </w:r>
    </w:p>
    <w:p>
      <w:pPr>
        <w:pStyle w:val="SourceNote"/>
      </w:pPr>
      <w:r>
        <w:rPr>
          <w:b/>
        </w:rPr>
        <w:t>Available abstract (not full text):</w:t>
      </w:r>
      <w:r>
        <w:t xml:space="preserve"> Freshwater is essential for sustaining the health of humans, animals, and ecosystems; however, agricultural activities remain a major source of water pollution globally. This review examines how crop production, livestock farming, and aquaculture contribute to water contamination, the effectiveness of current European policies, and the potential of sustainable mitigation strategies. Evidence from the research identified pesticides, herbicides, veterinary antibiotics, nutrient runoff, aquaculture effluents, and microplastics as the primary agricultural pollutants affecting surface and groundwater quality. These contaminants have been linked to ecosystem degradation, biodiversity loss, endocrine disruption, antimicrobial resistance, and adverse human health outcomes. Despite extensive regulatory frameworks, including the Water Framework Directive, Nitrates Directive, Farm to Fork Strategy, and European Green Deal, significant implementation and monitoring challenges remain. Current evidence indicates that only 40% of European surface waters achieve “good” ecological status, highlighting persistent water quality concerns across the region. The review further identified precision irrigation, Internet of Things (IoT)-enabled monitoring, biopesticides, hydroponic systems, and integrated multi-trophic aquaculture as promising solutions for reducing agricultural impacts on water resour</w:t>
      </w:r>
    </w:p>
    <w:p>
      <w:pPr/>
      <w:r>
        <w:rPr>
          <w:b/>
        </w:rPr>
        <w:t>POSSIBLE 2026:</w:t>
      </w:r>
      <w:r>
        <w:t xml:space="preserve"> Good ecological status of the Danube water quality in the function of environmental protection — https://doi.org/10.5937/gu_koret26121t</w:t>
      </w:r>
    </w:p>
    <w:p>
      <w:pPr/>
      <w:r>
        <w:rPr>
          <w:b/>
        </w:rPr>
        <w:t>Shared claim-specific concepts:</w:t>
      </w:r>
      <w:r>
        <w:t xml:space="preserve"> aim, water, achieve, good, ecological, status; EU scope not established. This is a provisional connection, not an outcome finding.</w:t>
      </w:r>
    </w:p>
    <w:p>
      <w:pPr>
        <w:pStyle w:val="SourceNote"/>
      </w:pPr>
      <w:r>
        <w:rPr>
          <w:b/>
        </w:rPr>
        <w:t>Available abstract (not full text):</w:t>
      </w:r>
      <w:r>
        <w:t xml:space="preserve"> The paper analyzes changes in the ecological status of surface water with the aim of achieving the required quality of the Danube's water in order to preserve environmental conditions. The ecological classification of oxygen regime parameters clearly indicates the degree of change in the quality, structure, vitality, and functioning of the Danube's aquatic ecosystem. For surface waters, the general objective of the Water Framework Directive is to achieve "good status," i.e., Class II ecological water quality status, as a condition for meeting the required environmental standards. The relevant values of oxygen consumption indicators for the observed annual periods were compared with the threshold values of quality classes prescribed by the Regulation on limit values of pollutants in surface and groundwater and sediments, and deadlines for their achievement ("Official Gazette of the Republic of Serbia", No. 50/2012). The results for the analyzed years 2015, 2021 and 2022 show a positive change in terms of the number of oxygen regime parameters and the number of profiles that meet the required range of values for achieving a good ecological status of the Danube's water quality along its course through Serbia, in the function of environmental protection.</w:t>
      </w:r>
    </w:p>
    <w:p>
      <w:pPr/>
      <w:r>
        <w:rPr>
          <w:b/>
        </w:rPr>
        <w:t>POSSIBLE 2025:</w:t>
      </w:r>
      <w:r>
        <w:t xml:space="preserve"> Water Security in North America and Europe — https://doi.org/10.1002/9781394176748.ch6</w:t>
      </w:r>
    </w:p>
    <w:p>
      <w:pPr/>
      <w:r>
        <w:rPr>
          <w:b/>
        </w:rPr>
        <w:t>Shared claim-specific concepts:</w:t>
      </w:r>
      <w:r>
        <w:t xml:space="preserve"> water, status; EU scope visible. This is a provisional connection, not an outcome finding.</w:t>
      </w:r>
    </w:p>
    <w:p>
      <w:pPr>
        <w:pStyle w:val="SourceNote"/>
      </w:pPr>
      <w:r>
        <w:rPr>
          <w:b/>
        </w:rPr>
        <w:t>Available abstract (not full text):</w:t>
      </w:r>
      <w:r>
        <w:t xml:space="preserve"> Water security and availability are critical issues affecting societies worldwide, with North America and Europe being no exceptions. This review paper aims to analyze the current status, challenges, and potential solutions regarding water security and availability in these regions. By examining existing literature, policies, and practices, this paper provides insights into the complex interplay of factors influencing water resources management, including climate change, population growth, urbanization, pollution, and governance. In addition, it explores various strategies such as conservation measures, technological innovations, policy frameworks, and international cooperation to address the challenges and ensure sustainable water management in North America and Europe. Through a comprehensive examination of research findings and case studies, this review contributes to understanding the dynamics of water security and availability in these regions and offers recommendations for future actions.</w:t>
      </w:r>
    </w:p>
    <w:p>
      <w:pPr/>
      <w:r>
        <w:rPr>
          <w:b/>
        </w:rPr>
        <w:t>POSSIBLE 2025:</w:t>
      </w:r>
      <w:r>
        <w:t xml:space="preserve"> Comparative analysis of adaptation policies and policy instruments for water management in Europe — https://doi.org/10.1016/j.ejrh.2025.102819</w:t>
      </w:r>
    </w:p>
    <w:p>
      <w:pPr/>
      <w:r>
        <w:rPr>
          <w:b/>
        </w:rPr>
        <w:t>Shared claim-specific concepts:</w:t>
      </w:r>
      <w:r>
        <w:t xml:space="preserve"> water, all; EU scope visible. This is a provisional connection, not an outcome finding.</w:t>
      </w:r>
    </w:p>
    <w:p>
      <w:pPr>
        <w:pStyle w:val="SourceNote"/>
      </w:pPr>
      <w:r>
        <w:rPr>
          <w:b/>
        </w:rPr>
        <w:t>Available abstract (not full text):</w:t>
      </w:r>
      <w:r>
        <w:t xml:space="preserve"> Ten European countries, including Finland, Austria, Switzerland, Belgium, the Netherlands, Denmark, Estonia, Spain, Latvia, and Lithuania Adaptation policies are deeply structured and shaped by contextual climatic, environmental, social, and governance factors, making them inherently sector-specific. Their effective implementation requires integrated, cross-sectoral approaches, strong governmental engagement, and active citizen engagement. This study conducts a content analysis of adaptation strategies and plans in the water sector across European countries, aiming to identify key themes, policy types, and dominant instruments. Two main documents, the National Adaptation Strategy (NAS) and the National Adaptation Plan (NAP), available on the Climate-ADAPT-2023 platform, have been analyzed. All countries in the study use a mix of adaptation strategies, plans, and policy instruments, each focusing on specific instruments. Information-based instruments such as mapping flood risk are the most widely policy instruments by European countries to address adaptation. Many countries rely on infrastructural and technical instruments, particularly for drinking water supply networks, sewage and stormwater systems, irrigation, and flood risk management. Most countries have employed policies such as promoting responsible water use, enhancing water conservation and recycling, assessing flood r</w:t>
      </w:r>
    </w:p>
    <w:p>
      <w:pPr/>
      <w:r>
        <w:rPr>
          <w:b/>
        </w:rPr>
        <w:t>POSSIBLE 2025:</w:t>
      </w:r>
      <w:r>
        <w:t xml:space="preserve"> Establishing Total Phosphorus Boundaries to Support Good Ecological Status of Greek Lakes and Reservoirs in Accordance with the Water Framework Directive — https://doi.org/10.3390/w17233349</w:t>
      </w:r>
    </w:p>
    <w:p>
      <w:pPr/>
      <w:r>
        <w:rPr>
          <w:b/>
        </w:rPr>
        <w:t>Shared claim-specific concepts:</w:t>
      </w:r>
      <w:r>
        <w:t xml:space="preserve"> water, achieve, good, ecological, status, lakes; EU scope visible. This is a provisional connection, not an outcome finding.</w:t>
      </w:r>
    </w:p>
    <w:p>
      <w:pPr>
        <w:pStyle w:val="SourceNote"/>
      </w:pPr>
      <w:r>
        <w:rPr>
          <w:b/>
        </w:rPr>
        <w:t>Available abstract (not full text):</w:t>
      </w:r>
      <w:r>
        <w:t xml:space="preserve"> Eutrophication, driven by nutrient enrichment, represents substantial anthropogenic pressure with harmful consequences for aquatic ecosystems. The Water Framework Directive provides a structured approach to addressing this challenge as it requires European Union Member States to achieve at least good ecological status for their surface waters. The establishment of realistic nutrient boundaries, above which negative effects become pronounced, is essential to guide regulatory intervention aimed at securing long-term water sustainability in Europe. Greece is one of the Member States which should determine nutrient boundaries supporting the good ecological status of lakes. Two statistical approaches, ranged major axis regression and binomial logistic regression, were applied for setting appropriate nutrient boundaries for Greek natural lakes and reservoirs, using datasets of phytoplankton and total phosphorus concentrations, retrieved from the national monitoring program (2016–2023). The predicted boundary values for total phosphorus supporting good ecological status ranged from 32 to 76 μg/L, with stricter boundaries corresponding to deep lakes. Nutrient boundaries that reflect the environmental pressures on Greek natural lakes and reservoirs are fundamental to ensure proper design of lake management strategies.</w:t>
      </w:r>
    </w:p>
    <w:p>
      <w:pPr/>
      <w:r>
        <w:rPr>
          <w:b/>
        </w:rPr>
        <w:t>POSSIBLE 2025:</w:t>
      </w:r>
      <w:r>
        <w:t xml:space="preserve"> Water governance for good ecological status and water quality in south-western Czechia – an interdisciplinary study — https://doi.org/10.1080/00207233.2025.2568342</w:t>
      </w:r>
    </w:p>
    <w:p>
      <w:pPr/>
      <w:r>
        <w:rPr>
          <w:b/>
        </w:rPr>
        <w:t>Shared claim-specific concepts:</w:t>
      </w:r>
      <w:r>
        <w:t xml:space="preserve"> water, good, ecological, status; EU scope visible. This is a provisional connection, not an outcome finding.</w:t>
      </w:r>
    </w:p>
    <w:p>
      <w:pPr>
        <w:pStyle w:val="SourceNote"/>
      </w:pPr>
      <w:r>
        <w:rPr>
          <w:b/>
        </w:rPr>
        <w:t>Available abstract (not full text):</w:t>
      </w:r>
      <w:r>
        <w:t xml:space="preserve"> This study examines stakeholder efforts to meet European targets for raw water quality. Key sources of water quality deterioration include fish farming, agricultural activities, partially treated urban sewage, and forestry. Although the forest sector and municipal wastewater treatment facilities have demonstrated progress, fish farming and agricultural sectors remain reluctant to implement effective measures. Economic considerations, level of environmental literacy, and the strength of knowledge networks emerge as critical factors influencing stakeholder actions. Non-governmental environmental organisations prioritise issues other than water quality, limiting their engagement in this domain. Moreover, the dominant role of the Ministry of Agriculture in water management appears to hinder cross-sectorial coordination and progress towards achieving good raw water quality.</w:t>
      </w:r>
    </w:p>
    <w:p>
      <w:pPr/>
      <w:r>
        <w:rPr>
          <w:b/>
        </w:rPr>
        <w:t>POSSIBLE 2024:</w:t>
      </w:r>
      <w:r>
        <w:t xml:space="preserve"> Ecological Status of Water Quality — https://doi.org/10.5772/intechopen.1003863</w:t>
      </w:r>
    </w:p>
    <w:p>
      <w:pPr/>
      <w:r>
        <w:rPr>
          <w:b/>
        </w:rPr>
        <w:t>Shared claim-specific concepts:</w:t>
      </w:r>
      <w:r>
        <w:t xml:space="preserve"> water, ecological, status, all; EU scope visible. This is a provisional connection, not an outcome finding.</w:t>
      </w:r>
    </w:p>
    <w:p>
      <w:pPr>
        <w:pStyle w:val="SourceNote"/>
      </w:pPr>
      <w:r>
        <w:rPr>
          <w:b/>
        </w:rPr>
        <w:t>Available abstract (not full text):</w:t>
      </w:r>
      <w:r>
        <w:t xml:space="preserve"> This chapter gives an overview of environmental quality standards and water quality elements according to the Water Framework Directive and all related guidance documents, Environmental Quality Standards Directive and Water Information System for Europe – WISE GIS Guidance. The chapter explains the main definitions and principles by which surface water and groundwater quality is assessed; it sets out the concepts and procedures that closely drive the development of the aquatic environment protection strategy for the basins for the purpose of preventing the damage to water bodies, as well as protecting, increasing, and rehabilitating the status of all bodies of water, both surface and groundwater ones.</w:t>
      </w:r>
    </w:p>
    <w:p>
      <w:pPr/>
      <w:r>
        <w:rPr>
          <w:b/>
        </w:rPr>
        <w:t>POSSIBLE 2024:</w:t>
      </w:r>
      <w:r>
        <w:t xml:space="preserve"> Policy coherence for ecosystem-based management: Implementing EU water and marine policies in the Archipelago Sea — https://doi.org/10.1016/j.marpol.2024.106427</w:t>
      </w:r>
    </w:p>
    <w:p>
      <w:pPr/>
      <w:r>
        <w:rPr>
          <w:b/>
        </w:rPr>
        <w:t>Shared claim-specific concepts:</w:t>
      </w:r>
      <w:r>
        <w:t xml:space="preserve"> water, achieve, good, status, coastal, waters; EU scope visible. This is a provisional connection, not an outcome finding.</w:t>
      </w:r>
    </w:p>
    <w:p>
      <w:pPr>
        <w:pStyle w:val="SourceNote"/>
      </w:pPr>
      <w:r>
        <w:rPr>
          <w:b/>
        </w:rPr>
        <w:t>Available abstract (not full text):</w:t>
      </w:r>
      <w:r>
        <w:t xml:space="preserve"> The European Union (EU) Water Framework Directive (WFD) and Marine Strategic Framework Directive (MSFD) call for member states to achieve the good environmental status of coastal waters and marine areas and to create ecosystem-based management plans that cover individual sectors. The Baltic Marine Environment Protection Commission (HELCOM) has listed the Archipelago Sea as an environmental hotspot in the Baltic Sea due to its vulnerability to the impacts of eutrophication. Agricultural runoff is the main source of excess nutrient loading, although aquaculture, tourism, wastewater treatment and internal loading also contribute. In this paper, we focus on the horizontal and vertical policy coherence in the Archipelago Sea region. The research data consist of policy documents and 11 thematic interviews. This paper aims to reveal how European water and marine policies are implemented in the Archipelago Sea and to identify the synergies and coherence challenges exist between policy sectors of agriculture, aquaculture and offshore wind. Evidence from the Archipelago Sea case study shows that a lack of coherence between sectoral policies can create challenges for ecosystem-based management. Moreover, the coherence and synergies in implementing regional and EU marine policy frameworks at the national and local levels can guide sectoral decisions towards strengthening of marine resilien</w:t>
      </w:r>
    </w:p>
    <w:p>
      <w:pPr/>
      <w:r>
        <w:rPr>
          <w:b/>
        </w:rPr>
        <w:t>POSSIBLE 2023:</w:t>
      </w:r>
      <w:r>
        <w:t xml:space="preserve"> The role of urban agriculture in food-energy-water nexus policies: Insights from Europe and the U.S — https://doi.org/10.1016/j.landurbplan.2023.104848</w:t>
      </w:r>
    </w:p>
    <w:p>
      <w:pPr/>
      <w:r>
        <w:rPr>
          <w:b/>
        </w:rPr>
        <w:t>Shared claim-specific concepts:</w:t>
      </w:r>
      <w:r>
        <w:t xml:space="preserve"> water, all; EU scope visible. This is a provisional connection, not an outcome finding.</w:t>
      </w:r>
    </w:p>
    <w:p>
      <w:pPr>
        <w:pStyle w:val="SourceNote"/>
      </w:pPr>
      <w:r>
        <w:rPr>
          <w:b/>
        </w:rPr>
        <w:t>Available abstract (not full text):</w:t>
      </w:r>
      <w:r>
        <w:t xml:space="preserve"> The growth of urban agriculture (UA) has raised the awareness of city officials and civil society organizations of its potential effects on food systems. This has led to various policies to regulate and support UA. This research characterizes existing food, energy and water (FEW nexus) policies based on policy data from five case study cities in Europe and the U.S. (Dortmund, Gorzów Wielkopolski, London, Nantes, and New York City) to analyze their relationships to UA, and to identify policy types that support resource-efficient UA. The paper presents the results of an analysis of 78 policy documents related to UA and the FEW nexus, and the results of a Q-sort ranking by UA policy experts on the effectiveness of 16 generalized UA policies in promoting resource-efficient UA. The number, type, and degree of support for nexus policies vary among the five case studies. The results show that the majority of policies (36) are implemented at the local scale, that few policies (19) incorporate all elements of the nexus, yet many nexus policies include UA indirectly. Regulations are more prevalent and are considered more effective at ensuring resource-efficient UA than incentives or awareness-raising policies. The study offers guidance to policy makers who want to improve resource use in future UA pointing at the increasing importance of local food policies.</w:t>
      </w:r>
    </w:p>
    <w:p>
      <w:pPr/>
      <w:r>
        <w:rPr>
          <w:b/>
        </w:rPr>
        <w:t>POSSIBLE 2023:</w:t>
      </w:r>
      <w:r>
        <w:t xml:space="preserve"> European Union Policy on Climate Change Framework — https://doi.org/10.59168/vrer2863</w:t>
      </w:r>
    </w:p>
    <w:p>
      <w:pPr/>
      <w:r>
        <w:rPr>
          <w:b/>
        </w:rPr>
        <w:t>Shared claim-specific concepts:</w:t>
      </w:r>
      <w:r>
        <w:t xml:space="preserve"> aim, water; EU scope visible. This is a provisional connection, not an outcome finding.</w:t>
      </w:r>
    </w:p>
    <w:p>
      <w:pPr>
        <w:pStyle w:val="SourceNote"/>
      </w:pPr>
      <w:r>
        <w:rPr>
          <w:b/>
        </w:rPr>
        <w:t>Available abstract (not full text):</w:t>
      </w:r>
      <w:r>
        <w:t xml:space="preserve"> The aim of the paper is to study the European policies in the matter of climate change and water resources management, especially Common Agricultural Policy, Environmental Policy, EU Emission Trading System (ETS), climate and energy policies nexus with international agreements in climate action and world global warming, and the way these European policies are settled and applied in national countries. The paper studies the manner these policies are implemented in European Union countries, funding resources for climate action, with impact on decisionmaking level and good-governance.</w:t>
      </w:r>
    </w:p>
    <w:p>
      <w:pPr/>
      <w:r>
        <w:rPr>
          <w:b/>
        </w:rPr>
        <w:t>POSSIBLE 2023:</w:t>
      </w:r>
      <w:r>
        <w:t xml:space="preserve"> A conceptual model for enabling sustainable management of soil-sediment-water ecosystems in support of European policy — https://doi.org/10.14321/aehm.026.02.063</w:t>
      </w:r>
    </w:p>
    <w:p>
      <w:pPr/>
      <w:r>
        <w:rPr>
          <w:b/>
        </w:rPr>
        <w:t>Shared claim-specific concepts:</w:t>
      </w:r>
      <w:r>
        <w:t xml:space="preserve"> water, achieve, all; EU scope visible. This is a provisional connection, not an outcome finding.</w:t>
      </w:r>
    </w:p>
    <w:p>
      <w:pPr>
        <w:pStyle w:val="SourceNote"/>
      </w:pPr>
      <w:r>
        <w:rPr>
          <w:b/>
        </w:rPr>
        <w:t>Available abstract (not full text):</w:t>
      </w:r>
      <w:r>
        <w:t xml:space="preserve"> Abstract The health of soil-sediment-water ecosystems is under pressure from economic activities and a changing climate. This decreases health and hampers the service provision capacity of these ecosystems and thus impacts human well-being. Protecting and where feasible restoring of ecosystem health has currently become the key European environmental policy objective and for this it is needed to take an entire system approach and engage stakeholders. ‘Entire’ means that soil, sediment and water are regarded as closely interlinked environmental matrices that need to be managed by taking a ‘river (or mountain) to sea’ perspective, crossing spatial, discipline, political and cultural boundaries. This paper presents a conceptual model to support that purpose. Essentially, the conceptual model presents an approach for ecosystem-based management aimed to achieve healthy ecosystems, i.e. soil-sediment-water ecosystems that have the continued capacity to support ecosystem services to the benefit of their users. The model proposes a cyclic (iterative, learning-by-doing) approach and integrates soil-sediment-water, ecosystems, ecosystem services, users (stakeholders), pressures, information, management strategy and program of measures as building blocks. To successfully apply the model, it is above all needed to take an entrepreneurial approach, i.e. leave comfort zones, take an adventur</w:t>
      </w:r>
    </w:p>
    <w:p>
      <w:pPr/>
      <w:r>
        <w:rPr>
          <w:b/>
        </w:rPr>
        <w:t>POSSIBLE 2022:</w:t>
      </w:r>
      <w:r>
        <w:t xml:space="preserve"> Prediction of ecological status of surface water bodies with supervised machine learning classifiers — https://doi.org/10.1016/j.scitotenv.2022.159655</w:t>
      </w:r>
    </w:p>
    <w:p>
      <w:pPr/>
      <w:r>
        <w:rPr>
          <w:b/>
        </w:rPr>
        <w:t>Shared claim-specific concepts:</w:t>
      </w:r>
      <w:r>
        <w:t xml:space="preserve"> aim, water, good, ecological, status, all; EU scope visible. This is a provisional connection, not an outcome finding.</w:t>
      </w:r>
    </w:p>
    <w:p>
      <w:pPr>
        <w:pStyle w:val="SourceNote"/>
      </w:pPr>
      <w:r>
        <w:rPr>
          <w:b/>
        </w:rPr>
        <w:t>Available abstract (not full text):</w:t>
      </w:r>
      <w:r>
        <w:t xml:space="preserve"> Ensuring a good ecological status of water bodies is one of the key challenges of communities and one of the objectives of the European Water Framework Directive. Although recent works identified the most significant stressors affecting the ecological quality of rivers, the ability to predict the overall ecological status of rivers based on a limited amount of easily accessible geospatial data has not been investigated so far. Most of the analyses focus on detailed local modelling and measurements which cannot be systematically applied at regional scales for the purposes of water resources management. The aim of this work is to understand the capabilities of five supervised machine learning classifiers of predicting the ecological status of rivers based on land use, climate, morphology, and water management parameters extracted over the river catchments corresponding to the ecological monitoring stations. Moreover, the performances of machine learning classifiers are compared to the results of the canonical correlation analysis. The method is applied to 360 catchments in Tuscany (central Italy) with a median size of 33.6 km2 and a Mediterranean climate. The results show (i) a significant correlation of ecological status with summer climate (i.e., maximum temperatures and minimum precipitation), land use and water exploitation, (ii) an 80 % precision of Random Forest algorithm t</w:t>
      </w:r>
    </w:p>
    <w:p>
      <w:pPr>
        <w:pStyle w:val="Heading2"/>
      </w:pPr>
      <w:r>
        <w:t>719. Overview of Existing Heat-Health Warning Systems in Europe</w:t>
      </w:r>
    </w:p>
    <w:p>
      <w:pPr>
        <w:pStyle w:val="SourceNote"/>
      </w:pPr>
      <w:r>
        <w:rPr>
          <w:b/>
        </w:rPr>
        <w:t>Original source (2019):</w:t>
      </w:r>
      <w:r>
        <w:t xml:space="preserve"> https://doi.org/10.3390/ijerph16152657</w:t>
      </w:r>
    </w:p>
    <w:p>
      <w:pPr/>
      <w:r>
        <w:t>Original wording (abstract; indexed_source_text_not_full_document_verified): Setting long-term planning actions as well as pre-alert levels might prevent and reduce damages due to heat.</w:t>
      </w:r>
    </w:p>
    <w:p>
      <w:pPr/>
      <w:r>
        <w:rPr>
          <w:b/>
        </w:rPr>
        <w:t>POSSIBLE 2025:</w:t>
      </w:r>
      <w:r>
        <w:t xml:space="preserve"> Financial &amp; Legal Planning: Securing Your Child's Future in the US and Europe — https://doi.org/10.5281/zenodo.19032835</w:t>
      </w:r>
    </w:p>
    <w:p>
      <w:pPr/>
      <w:r>
        <w:rPr>
          <w:b/>
        </w:rPr>
        <w:t>Shared claim-specific concepts:</w:t>
      </w:r>
      <w:r>
        <w:t xml:space="preserve"> setting, long-term, planning, reduce; EU scope visible. This is a provisional connection, not an outcome finding.</w:t>
      </w:r>
    </w:p>
    <w:p>
      <w:pPr>
        <w:pStyle w:val="SourceNote"/>
      </w:pPr>
      <w:r>
        <w:rPr>
          <w:b/>
        </w:rPr>
        <w:t>Available abstract (not full text):</w:t>
      </w:r>
      <w:r>
        <w:t xml:space="preserve"> Every parent of a child with autism worries about the future—Who will take care of my child when I’m gone? Financial and legal planning is one of the most important (and most overwhelming) responsibilities for families.This clear, parent-friendly guide helps you navigate financial security, disability benefits, guardianship, and long-term planning— specifically tailored for families in the US and Europe.Inside this book, you’ll discover:✅ How to access disability benefits and support services inthe US and Europe✅ Creating financial safety nets, savings, and emergencyfunds✅ Step-by-step guidance for setting up special needs trusts and ABLE accounts✅ Legal guardianship, conservatorship, and decision-making options for adulthood✅ Estate planning essentials to protect your child’s future✅ Healthcare and insurance planning for therapies and long-term care✅ Housing, employment, and independence options for adulthood✅ Practical checklists for future planning that reduce worry and confusionWritten in simple language with practical examples, this book gives you the tools to plan ahead with confidence—so your child’s future is secure, safe, and supported. ISBN / Edition / Imprint:• ISBN: [978-81-994064-5-2]• Authored By: Dr. Harshvardhan Singh (https://orcid.org/0000-0002-7224-5707), PsyForU Editorial Collective• Series Editor: Dr. Leah, Managing Editor: Dr. Jonathan Reed; Associate Edit</w:t>
      </w:r>
    </w:p>
    <w:p>
      <w:pPr/>
      <w:r>
        <w:rPr>
          <w:b/>
        </w:rPr>
        <w:t>POSSIBLE 2025:</w:t>
      </w:r>
      <w:r>
        <w:t xml:space="preserve"> Strategically Linked Decisions in Long-Term Planning and Reinforcement Learning — https://doi.org/10.48550/arxiv.2505.16833</w:t>
      </w:r>
    </w:p>
    <w:p>
      <w:pPr/>
      <w:r>
        <w:rPr>
          <w:b/>
        </w:rPr>
        <w:t>Shared claim-specific concepts:</w:t>
      </w:r>
      <w:r>
        <w:t xml:space="preserve"> long-term, planning, actions; EU scope not established. This is a provisional connection, not an outcome finding.</w:t>
      </w:r>
    </w:p>
    <w:p>
      <w:pPr>
        <w:pStyle w:val="SourceNote"/>
      </w:pPr>
      <w:r>
        <w:rPr>
          <w:b/>
        </w:rPr>
        <w:t>Available abstract (not full text):</w:t>
      </w:r>
      <w:r>
        <w:t xml:space="preserve"> Long-term planning, as in reinforcement learning (RL), involves finding strategies: actions that collectively work toward a goal rather than individually optimizing their immediate outcomes. As part of a strategy, some actions are taken at the expense of short-term benefit to enable future actions with even greater returns. These actions are only advantageous if followed up by the actions they facilitate, consequently, they would not have been taken if those follow-ups were not available. In this paper, we quantify such dependencies between planned actions with strategic link scores: the drop in the likelihood of one decision under the constraint that a follow-up decision is no longer available. We demonstrate the utility of strategic link scores through three practical applications: (i) explaining black-box RL agents by identifying strategically linked pairs among decisions they make, (ii) improving the worst-case performance of decision support systems by distinguishing whether recommended actions can be adopted as standalone improvements or whether they are strategically linked hence requiring a commitment to a broader strategy to be effective, and (iii) characterizing the planning processes of non-RL agents purely through interventions aimed at measuring strategic link scores - as an example, we consider a realistic traffic simulator and analyze through road closures the ef</w:t>
      </w:r>
    </w:p>
    <w:p>
      <w:pPr/>
      <w:r>
        <w:rPr>
          <w:b/>
        </w:rPr>
        <w:t>POSSIBLE 2025:</w:t>
      </w:r>
      <w:r>
        <w:t xml:space="preserve"> EMTReK Model for Advance Care Planning in Long-Term Care: Qualitative Findings from mySupport Study — https://doi.org/10.3390/geriatrics10060171</w:t>
      </w:r>
    </w:p>
    <w:p>
      <w:pPr/>
      <w:r>
        <w:rPr>
          <w:b/>
        </w:rPr>
        <w:t>Shared claim-specific concepts:</w:t>
      </w:r>
      <w:r>
        <w:t xml:space="preserve"> long-term, planning, actions; EU scope visible. This is a provisional connection, not an outcome finding.</w:t>
      </w:r>
    </w:p>
    <w:p>
      <w:pPr>
        <w:pStyle w:val="SourceNote"/>
      </w:pPr>
      <w:r>
        <w:rPr>
          <w:b/>
        </w:rPr>
        <w:t>Available abstract (not full text):</w:t>
      </w:r>
      <w:r>
        <w:t xml:space="preserve"> Background/Objectives: Conversations about end-of-life care or advance care planning are often difficult and emotionally challenging to initiate. Tailoring messages to the specific audiences can make these sensitive discussions more manageable and effective. The Evidence-based Model for the Transfer and Exchange of Research Knowledge (EMTReK), compromising six core components (message, stakeholders, processes, context, facilitation, and evaluation) offers a structured framework for research dissemination and knowledge transfer in palliative and long-term care settings. Knowledge translation bridges research and practice, with its effectiveness depending on stakeholder engagement, tailored communication, and systematic application of evidence in policy and practice. This study explores stakeholder perspectives on a dementia care intervention, using EMTReK as an analytical framework to examine how knowledge transfer and exchange (KTE) actions were implemented across long-term care settings. Methods: A qualitative analysis was conducted on primary data comprising case narratives from multinational research groups involved in the “Caregiver Decision Support” (mySupport) study (2019–2023). Teams from Canada, the Czech Republic, Ireland, Italy, the Netherlands, and the United Kingdom evaluated the mySupport intervention through interviews, with analysis guided by components of the EM</w:t>
      </w:r>
    </w:p>
    <w:p>
      <w:pPr/>
      <w:r>
        <w:rPr>
          <w:b/>
        </w:rPr>
        <w:t>POSSIBLE 2025:</w:t>
      </w:r>
      <w:r>
        <w:t xml:space="preserve"> Strategic planning for the long-term development of shrinking cities — https://doi.org/10.17877/de290r-26782</w:t>
      </w:r>
    </w:p>
    <w:p>
      <w:pPr/>
      <w:r>
        <w:rPr>
          <w:b/>
        </w:rPr>
        <w:t>Shared claim-specific concepts:</w:t>
      </w:r>
      <w:r>
        <w:t xml:space="preserve"> setting, long-term, planning; EU scope visible. This is a provisional connection, not an outcome finding.</w:t>
      </w:r>
    </w:p>
    <w:p>
      <w:pPr>
        <w:pStyle w:val="SourceNote"/>
      </w:pPr>
      <w:r>
        <w:rPr>
          <w:b/>
        </w:rPr>
        <w:t>Available abstract (not full text):</w:t>
      </w:r>
      <w:r>
        <w:t xml:space="preserve"> Urban shrinkage poses existential challenges to cities and dilemmas for urban policymakers. Over the last two decades, policy innovations and local experiments for dealing with urban shrinkage have been observed at various scales, but they are not without contradictions. Making policies as the symptoms arise is not the same as strategy-making. Focusing on problems risks neglecting essential challenges to the future. Scattered projects may not bring a coherent territorial development. Motivated by these understandings, this research is less about specific solutions for specific problems than it is about the strategy-making that connects the dots and opens new pathways. It aims to understand what shrinkage, as a path of development, means for planning, identify what strategic planning work is needed to steer urban development under shrinkage, and how strategic (spatial) planning can support this strategic work. At the core of this research is an international, comparative, in-depth case study of two medium-sized cities with long-term shrinkage — Den Helder (The Netherlands) and Zwickau (Germany). The case study examined their development strategies over two decades, analysed the spatialisation of the strategies, and identified the local factors contributing to the differences between the two cities, to map and compare their long-term development strategies and the spatial logic b</w:t>
      </w:r>
    </w:p>
    <w:p>
      <w:pPr/>
      <w:r>
        <w:rPr>
          <w:b/>
        </w:rPr>
        <w:t>POSSIBLE 2024:</w:t>
      </w:r>
      <w:r>
        <w:t xml:space="preserve"> How do emergency departments respond to ambulance pre-alert calls? A qualitative exploration of the management of pre-alerts in UK emergency departments — https://doi.org/10.1136/emermed-2023-213854</w:t>
      </w:r>
    </w:p>
    <w:p>
      <w:pPr/>
      <w:r>
        <w:rPr>
          <w:b/>
        </w:rPr>
        <w:t>Shared claim-specific concepts:</w:t>
      </w:r>
      <w:r>
        <w:t xml:space="preserve"> pre-alert, reduce, due; EU scope not established. This is a provisional connection, not an outcome finding.</w:t>
      </w:r>
    </w:p>
    <w:p>
      <w:pPr>
        <w:pStyle w:val="SourceNote"/>
      </w:pPr>
      <w:r>
        <w:rPr>
          <w:b/>
        </w:rPr>
        <w:t>Available abstract (not full text):</w:t>
      </w:r>
      <w:r>
        <w:t xml:space="preserve"> Abstract Background Whilst pre-alerts have been shown to improve outcomes for some patients requiring immediate time-critical treatment (e.g. stroke), little is known about their usefulness for other patients and what processes are used by Emergency Department (EDs) to respond to them. In the current context of high demand, it is important to understand how pre-alerts affect EDs. Methods We undertook non-participation observation (162 hours, 143 pre-alerts) and semi-structured interviews (40 staff) within six UK Emergency Departments (EDs), between August 2022-April 2023. Interview transcripts and observation notes were imported into NVivo™ and analysed using a thematic approach. Results Pre-alert calls involved significant time and resources for ED staff but enabled staff to prepare for patient’s arrival both practically and psychologically, particularly when demand was high. High demand created additional pre-alerts due to advice or ‘heads up’ calls from ambulance clinicians concerned about handover delay. Despite some pre-alert fatigue regarding patients who did not always require a special response (e.g. sepsis), ED clinicians prioritised and valued pre-alerts, perceiving higher risks from under-alerting than over-alerting. Variation in ED processes for a) senior clinical review of pre-alerted patients not brought into resus and b) receiving, documenting and informing other</w:t>
      </w:r>
    </w:p>
    <w:p>
      <w:pPr/>
      <w:r>
        <w:rPr>
          <w:b/>
        </w:rPr>
        <w:t>POSSIBLE 2024:</w:t>
      </w:r>
      <w:r>
        <w:t xml:space="preserve"> Managing heart failure in the longer term — https://doi.org/10.1136/conmed-2024-000013</w:t>
      </w:r>
    </w:p>
    <w:p>
      <w:pPr/>
      <w:r>
        <w:rPr>
          <w:b/>
        </w:rPr>
        <w:t>Shared claim-specific concepts:</w:t>
      </w:r>
      <w:r>
        <w:t xml:space="preserve"> setting, long-term, reduce; EU scope not established. This is a provisional connection, not an outcome finding.</w:t>
      </w:r>
    </w:p>
    <w:p>
      <w:pPr>
        <w:pStyle w:val="SourceNote"/>
      </w:pPr>
      <w:r>
        <w:rPr>
          <w:b/>
        </w:rPr>
        <w:t>Available abstract (not full text):</w:t>
      </w:r>
      <w:r>
        <w:t xml:space="preserve"> After initial diagnosis and treatment, patients presenting to hospital with acute heart failure (HF) are assessed and managed by the hospital HF team. Further investigations are carried out to confirm the diagnosis; existing guideline-directed medical therapies are optimised; and new treatments are initiated to stabilise the condition, manage symptoms, and reduce morbidity and mortality. A wide range of diagnostic tests and therapeutics are established for HF with reduced ejection fraction, while options for HF with preserved ejection fraction have been limited. However, repurposing of drugs originally developed for other conditions (eg, sodium-glucose co-transporter 2 inhibitors and glucagon-like receptor 1 antagonists) for use in people with heart failure and extended use of medications traditionally restricted to reduced ejection fraction, such as mineralocorticoid receptor antagonists (eg, spironolactone) and angiotensin-neprilysin inhibitors (eg, sacubitril–valsartan) in those with an EF&gt;40% is challenging established practice and increasing the options for optimisation of long-term management of patients with HF, across the entire ejection fraction spectrum. Integral to the management of chronic HF is the need to consider approaches to identify deterioration between scheduled visits, including annual electrocardiography and N-terminal pro B-type natriuretic peptide monito</w:t>
      </w:r>
    </w:p>
    <w:p>
      <w:pPr/>
      <w:r>
        <w:rPr>
          <w:b/>
        </w:rPr>
        <w:t>POSSIBLE 2024:</w:t>
      </w:r>
      <w:r>
        <w:t xml:space="preserve"> Scaling Value Iteration Networks to 5000 Layers for Extreme Long-Term Planning — https://doi.org/10.48550/arxiv.2406.08404</w:t>
      </w:r>
    </w:p>
    <w:p>
      <w:pPr/>
      <w:r>
        <w:rPr>
          <w:b/>
        </w:rPr>
        <w:t>Shared claim-specific concepts:</w:t>
      </w:r>
      <w:r>
        <w:t xml:space="preserve"> long-term, planning, due; EU scope not established. This is a provisional connection, not an outcome finding.</w:t>
      </w:r>
    </w:p>
    <w:p>
      <w:pPr>
        <w:pStyle w:val="SourceNote"/>
      </w:pPr>
      <w:r>
        <w:rPr>
          <w:b/>
        </w:rPr>
        <w:t>Available abstract (not full text):</w:t>
      </w:r>
      <w:r>
        <w:t xml:space="preserve"> The Value Iteration Network (VIN) is an end-to-end differentiable neural network architecture for planning. It exhibits strong generalization to unseen domains by incorporating a differentiable planning module that operates on a latent Markov Decision Process (MDP). However, VINs struggle to scale to long-term and large-scale planning tasks, such as navigating a 100x100 maze -- a task that typically requires thousands of planning steps to solve. We observe that this deficiency is due to two issues: the representation capacity of the latent MDP and the planning module's depth. We address these by augmenting the latent MDP with a dynamic transition kernel, dramatically improving its representational capacity, and, to mitigate the vanishing gradient problem, introduce an "adaptive highway loss" that constructs skip connections to improve gradient flow. We evaluate our method on 2D/3D maze navigation environments, continuous control, and the real-world Lunar rover navigation task. We find that our new method, named Dynamic Transition VIN (DT-VIN), scales to 5000 layers and solves challenging versions of the above tasks. Altogether, we believe that DT-VIN represents a concrete step forward in performing long-term large-scale planning in complex environments.</w:t>
      </w:r>
    </w:p>
    <w:p>
      <w:pPr/>
      <w:r>
        <w:rPr>
          <w:b/>
        </w:rPr>
        <w:t>POSSIBLE 2023:</w:t>
      </w:r>
      <w:r>
        <w:t xml:space="preserve"> Reimagining long term care in Europe — https://doi.org/10.5334/ijic.icic23695</w:t>
      </w:r>
    </w:p>
    <w:p>
      <w:pPr/>
      <w:r>
        <w:rPr>
          <w:b/>
        </w:rPr>
        <w:t>Shared claim-specific concepts:</w:t>
      </w:r>
      <w:r>
        <w:t xml:space="preserve"> setting, long-term, planning, actions, levels; EU scope visible. This is a provisional connection, not an outcome finding.</w:t>
      </w:r>
    </w:p>
    <w:p>
      <w:pPr>
        <w:pStyle w:val="SourceNote"/>
      </w:pPr>
      <w:r>
        <w:rPr>
          <w:b/>
        </w:rPr>
        <w:t>Available abstract (not full text):</w:t>
      </w:r>
      <w:r>
        <w:t xml:space="preserve"> Introduction: This 90 minute workshop will be a collaboration between IFICs Ageing and Frailty SIG, Age Platform Europe and a group of experts who supported the government of Bizkaia in developing an empowerment model for long-term care. The session will interest policy makers, researchers, advocates, patients, carers and professionals who plan, commission, fund, provide or regulate long-term care. The European Care Strategy sets out an EU vision on a rights based approach to long-term care with a co-production and preventative approach. It calls for a social protection model for financing care to make it accessible to all. It emphasises the need to integrate and coordinate health and social care, to invest in innovative solutions to improve care and working conditions and to build capacity and skills of the care workforce. The strategy publication coincided with the launch of a report by the Bizkaia council, AGE Platform Europe and a group of European academic experts. The Bay of Care report calls for a stronger commitment to a rights-based approach to long-term care. It proposes a more holistic view of older people’s well-being and quality of life with their goals and preferences central to the design of long term care within a person-centred and integrated system. The model takes a life-course approach to healthy ageing and both gender and social equity. Structure: Welcome a</w:t>
      </w:r>
    </w:p>
    <w:p>
      <w:pPr/>
      <w:r>
        <w:rPr>
          <w:b/>
        </w:rPr>
        <w:t>POSSIBLE 2023:</w:t>
      </w:r>
      <w:r>
        <w:t xml:space="preserve"> A Confluence of Cultures: Advance Care Planning in Long-Term Care Settings — https://doi.org/10.31389/jltc.203</w:t>
      </w:r>
    </w:p>
    <w:p>
      <w:pPr/>
      <w:r>
        <w:rPr>
          <w:b/>
        </w:rPr>
        <w:t>Shared claim-specific concepts:</w:t>
      </w:r>
      <w:r>
        <w:t xml:space="preserve"> long-term, planning, actions; EU scope not established. This is a provisional connection, not an outcome finding.</w:t>
      </w:r>
    </w:p>
    <w:p>
      <w:pPr>
        <w:pStyle w:val="SourceNote"/>
      </w:pPr>
      <w:r>
        <w:rPr>
          <w:b/>
        </w:rPr>
        <w:t>Available abstract (not full text):</w:t>
      </w:r>
      <w:r>
        <w:t xml:space="preserve"> Context: While policies may promote Advance Care Planning (ACP) discussions in long-term care (LTC) settings, practices often result in outcomes different from residents’ wishes. We attribute this to a confluence of cultures: healthcare; LTC settings; mainstream societal; and individuals’ ethno-cultures. This research explores these cultures as reflected in focus group discussions conducted with residents and family-of-residents in two LTC homes: one exclusively Chinese (EC); one multicultural (MC). Method: Fourteen residents and 13 family members participated in the four focus groups. Discussions were audio-recorded, transcribed, and themes were extracted and compared. Results: Four themes characterized residents’ discussions: 1-Variations in Range/Type of ACP Discussions/Actions; 2-Care of Family; 3-Reliance on Staff; and 4-Quality-of-Life at End-of-Life. Exclusively Chinese residents expressed reluctance to speak about ACP, were more likely to state “family would handle it,” less likely to call upon staff, and more acquiescent concerning death. Multicultural residents were more likely to pejoratively mention pull or absence of family and reliance upon staff; also, wanting personal awareness and control at end-of-life. Family themes were 1-Timing/Focus of ACP Discussions, 2-Communication with Family, 3-Care Home and Staff Influences, and 4-Cultural and Religious Issues. Exclu</w:t>
      </w:r>
    </w:p>
    <w:p>
      <w:pPr/>
      <w:r>
        <w:rPr>
          <w:b/>
        </w:rPr>
        <w:t>POSSIBLE 2023:</w:t>
      </w:r>
      <w:r>
        <w:t xml:space="preserve"> Determination of Country-Specific Criteria Weights for Long-Term Energy Planning in Europe — https://doi.org/10.3390/en16134920</w:t>
      </w:r>
    </w:p>
    <w:p>
      <w:pPr/>
      <w:r>
        <w:rPr>
          <w:b/>
        </w:rPr>
        <w:t>Shared claim-specific concepts:</w:t>
      </w:r>
      <w:r>
        <w:t xml:space="preserve"> long-term, planning, well; EU scope visible. This is a provisional connection, not an outcome finding.</w:t>
      </w:r>
    </w:p>
    <w:p>
      <w:pPr>
        <w:pStyle w:val="SourceNote"/>
      </w:pPr>
      <w:r>
        <w:rPr>
          <w:b/>
        </w:rPr>
        <w:t>Available abstract (not full text):</w:t>
      </w:r>
      <w:r>
        <w:t xml:space="preserve"> Energy strategies and decision-making studies rely heavily on a system of criteria and their weights of importance, typically determined through stakeholder involvement or surveys. However, the methodology presented in this study considers a reverse approach, as the importance weights are computed based on historical data of each European country’s prevailing decisions on pre-defined aspects. An in-house-developed model was applied to analyze data from the ENTSO-E database for the determination of optimal criteria weights with combination of a linear programming task and Monte Carlo simulations. Applying the new model, the importance weights of seven selected criteria could be calculated for all European countries. The Eastern European region demonstrated exceptional sensitivity towards investment costs, while countries relying heavily on renewable or nuclear energy sources, such as Denmark, Greece, Norway, Slovenia, Spain, and the United Kingdom, exhibited a dominant influence of environmental factors. Moreover, it was observed that the flexibility criterion aligned well with the installed generation capacities. However, the geopolitical factor and the risk of accidents criteria introduced nuances to the overall rating, indicating a somewhat reduced dependence on production data.</w:t>
      </w:r>
    </w:p>
    <w:p>
      <w:pPr/>
      <w:r>
        <w:rPr>
          <w:b/>
        </w:rPr>
        <w:t>POSSIBLE 2023:</w:t>
      </w:r>
      <w:r>
        <w:t xml:space="preserve"> Are traditional urban greening actions compliant with the European Greening Plans guidance? — https://doi.org/10.1016/j.ufug.2023.128131</w:t>
      </w:r>
    </w:p>
    <w:p>
      <w:pPr/>
      <w:r>
        <w:rPr>
          <w:b/>
        </w:rPr>
        <w:t>Shared claim-specific concepts:</w:t>
      </w:r>
      <w:r>
        <w:t xml:space="preserve"> setting, long-term, actions, levels, due; EU scope visible. This is a provisional connection, not an outcome finding.</w:t>
      </w:r>
    </w:p>
    <w:p>
      <w:pPr>
        <w:pStyle w:val="SourceNote"/>
      </w:pPr>
      <w:r>
        <w:rPr>
          <w:b/>
        </w:rPr>
        <w:t>Available abstract (not full text):</w:t>
      </w:r>
      <w:r>
        <w:t xml:space="preserve"> The Biodiversity Strategy for 2030, embedded in the European Green Deal, is a key policy agenda promoted by the European Commission to protect nature and biodiversity. This strategy sets ambitious goals to protect and restore ecosystems, halt biodiversity decline, and improve monitoring and governance efforts. Notably, municipalities with at least 20,000 inhabitants are now invited to develop comprehensive Urban Greening Plans (UGP). To support this process, the European Commission has recently released a draft guidance document that provides step-by-step assistance in creating long-term UGPs. We conducted semi-structured interviews with 15 European cities to evaluate what kind of UGPs have already been developed and assess compliance with the European guidelines. The findings reveal that many cities have already developed greening or sustainability plans, although certain crucial steps are still lacking to ensure the long-term success of UGPs. These include securing political commitment, establishing a working structure, fostering cross-departmental collaboration, and addressing limitations in human and financial resources. Typically, greening strategies are implemented within broader sustainability initiatives such as climate adaptation or biodiversity strategy. Among the interviewed cities, four cities are in the process of developing a comprehensive greening plan that integ</w:t>
      </w:r>
    </w:p>
    <w:p>
      <w:pPr/>
      <w:r>
        <w:rPr>
          <w:b/>
        </w:rPr>
        <w:t>POSSIBLE 2023:</w:t>
      </w:r>
      <w:r>
        <w:t xml:space="preserve"> A person‐centred approach to enhance the long‐term health and wellbeing of people living with HIV in Europe — https://doi.org/10.1002/jia2.26117</w:t>
      </w:r>
    </w:p>
    <w:p>
      <w:pPr/>
      <w:r>
        <w:rPr>
          <w:b/>
        </w:rPr>
        <w:t>Shared claim-specific concepts:</w:t>
      </w:r>
      <w:r>
        <w:t xml:space="preserve"> long-term, actions, prevent; EU scope visible. This is a provisional connection, not an outcome finding.</w:t>
      </w:r>
    </w:p>
    <w:p>
      <w:pPr>
        <w:pStyle w:val="SourceNote"/>
      </w:pPr>
      <w:r>
        <w:rPr>
          <w:b/>
        </w:rPr>
        <w:t>Available abstract (not full text):</w:t>
      </w:r>
      <w:r>
        <w:t xml:space="preserve"> Person-centred care is a critical attribute of high-quality healthcare, promoting quality of life, improving an individual's interaction with the health system and valuing people's social networks [1]. Lifesaving antiretroviral therapy is now increasingly widely available around the world, although not all countries have reached their coverage targets related to prevention, diagnosis and linkage to care. As a consequence of the enormous progress made, most people living with HIV are able to grow older rather than dying prematurely [2]. Therefore, it is essential that health systems respond to the changing needs of an ageing population living with HIV, who have comparatively higher multimorbidity (both physical and mental) and experience persistent stigma [3, 4]. To achieve this, person-centred care services for people living with HIV must focus on long-term wellbeing by monitoring and managing multimorbidity, health-related quality of life (HRQoL), stigma and discrimination [5]. In line with WHO's global strategy on HIV for 2022–2030 [2] and UNAIDS' targets set in 2021 [6], a people-centred approach is essential to allow for this transformation of health systems. Health services must offer an integrated response to the evolving health needs and choices of people living with HIV—and this is still not the case in most settings, including high-income countries in Europe [7]. The c</w:t>
      </w:r>
    </w:p>
    <w:p>
      <w:pPr>
        <w:pStyle w:val="Heading2"/>
      </w:pPr>
      <w:r>
        <w:t>720. Pathway Analysis of a Zero-Emission Transition in the Nordic-Baltic Region</w:t>
      </w:r>
    </w:p>
    <w:p>
      <w:pPr>
        <w:pStyle w:val="SourceNote"/>
      </w:pPr>
      <w:r>
        <w:rPr>
          <w:b/>
        </w:rPr>
        <w:t>Original source (2019):</w:t>
      </w:r>
      <w:r>
        <w:t xml:space="preserve"> https://doi.org/10.3390/en12173337</w:t>
      </w:r>
    </w:p>
    <w:p>
      <w:pPr/>
      <w:r>
        <w:t>Original wording (abstract; indexed_source_text_not_full_document_verified): The energy system optimizations indicate that most of the investments needed for the zero-emission pathway until 2050 would take place already by 2030. A zero-emission pathway for the Nordic and Baltic region in Europe is described based on the comprehensive policy and scenario analyses, accompanied by energy system modelling.</w:t>
      </w:r>
    </w:p>
    <w:p>
      <w:pPr/>
      <w:r>
        <w:rPr>
          <w:b/>
        </w:rPr>
        <w:t>POSSIBLE 2026:</w:t>
      </w:r>
      <w:r>
        <w:t xml:space="preserve"> Holistic design &amp; optimization of renewable energy systems - an african-european case study — https://doi.org/10.18154/rwth-2026-03350</w:t>
      </w:r>
    </w:p>
    <w:p>
      <w:pPr/>
      <w:r>
        <w:rPr>
          <w:b/>
        </w:rPr>
        <w:t>Shared claim-specific concepts:</w:t>
      </w:r>
      <w:r>
        <w:t xml:space="preserve"> energy, system, based; EU scope visible. This is a provisional connection, not an outcome finding.</w:t>
      </w:r>
    </w:p>
    <w:p>
      <w:pPr>
        <w:pStyle w:val="SourceNote"/>
      </w:pPr>
      <w:r>
        <w:rPr>
          <w:b/>
        </w:rPr>
        <w:t>Available abstract (not full text):</w:t>
      </w:r>
      <w:r>
        <w:t xml:space="preserve"> The global energy transition requires a large-scale shift to renewable energy carriers worldwide. Since renewable resources are distributed unevenly across the world, future renewable energy systems will inevitably rely on energy trade between regions with abundant renewable potential and those with limited resources but high demand. A prominent example frequently discussed in the literature is the African–European energy systems, where Africa’s vast solar and wind resources could both help bridge domestic energy gaps and support Europe’s decarbonization and diversification goals, thereby contributing to the global energy transition. While the global energy transition offers significant opportunities for both energy suppliers and importers, it also introduces new challenges for the design of future energy systems. Addressing these challenges requires a holistic framework to ensure that the energy transition is not only economically affordable but also equitable, sustainable, and secure. These objectives form the four pillars of the energy transition: affordability, equity, environmental sustainability, and security. Although existing frameworks in the literature emphasize the importance of balancing different pillars of the energy transition conceptually, most quantitative energy system optimization studies—particularly in the African-European context—continue to focus primaril</w:t>
      </w:r>
    </w:p>
    <w:p>
      <w:pPr/>
      <w:r>
        <w:rPr>
          <w:b/>
        </w:rPr>
        <w:t>POSSIBLE 2026:</w:t>
      </w:r>
      <w:r>
        <w:t xml:space="preserve"> State policy for stimulating investment in the development of renewable energy under wartime and European integration changes — https://doi.org/10.66556/2663-0117.51.prots-r</w:t>
      </w:r>
    </w:p>
    <w:p>
      <w:pPr/>
      <w:r>
        <w:rPr>
          <w:b/>
        </w:rPr>
        <w:t>Shared claim-specific concepts:</w:t>
      </w:r>
      <w:r>
        <w:t xml:space="preserve"> energy, system; EU scope visible. This is a provisional connection, not an outcome finding.</w:t>
      </w:r>
    </w:p>
    <w:p>
      <w:pPr>
        <w:pStyle w:val="SourceNote"/>
      </w:pPr>
      <w:r>
        <w:rPr>
          <w:b/>
        </w:rPr>
        <w:t>Available abstract (not full text):</w:t>
      </w:r>
      <w:r>
        <w:t xml:space="preserve"> The purpose of the study is to substantiate the theoretical foundations of state policy for stimulating investment in renewable energy development under the simultaneous intensification of wartime and European integration changes, as well as to form a system of instruments capable of combining the need for rapid restoration of energy infrastructure with the long-term investment attractiveness of the sector. The object of the study is the processes of state influence on the formation, attraction and allocation of investment resources for the development of renewable energy sources. It is substantiated that under wartime threats investment incentives cannot be reduced to individual tax, tariff or credit preferences, since an investor's decision increasingly depends on a combination of security, financial, infrastructural, legal and market preconditions. It is determined that European integration changes simultaneously increase requirements for transparency of state support, guarantees of energy origin, market competition, technical compatibility and predictability of rules. State policy for stimulating investment is proposed to be considered as an interconnected system of strategic and target-oriented, financial and economic, guarantee and insurance, infrastructural, organizational, informational and control components. It is proved that the most important result of state influen</w:t>
      </w:r>
    </w:p>
    <w:p>
      <w:pPr/>
      <w:r>
        <w:rPr>
          <w:b/>
        </w:rPr>
        <w:t>POSSIBLE 2026:</w:t>
      </w:r>
      <w:r>
        <w:t xml:space="preserve"> Accounting for economic disparity in designing net-zero European energy systems — https://doi.org/10.1088/2753-3751/ae6b8f</w:t>
      </w:r>
    </w:p>
    <w:p>
      <w:pPr/>
      <w:r>
        <w:rPr>
          <w:b/>
        </w:rPr>
        <w:t>Shared claim-specific concepts:</w:t>
      </w:r>
      <w:r>
        <w:t xml:space="preserve"> energy, system, investments; EU scope visible. This is a provisional connection, not an outcome finding.</w:t>
      </w:r>
    </w:p>
    <w:p>
      <w:pPr>
        <w:pStyle w:val="SourceNote"/>
      </w:pPr>
      <w:r>
        <w:rPr>
          <w:b/>
        </w:rPr>
        <w:t>Available abstract (not full text):</w:t>
      </w:r>
      <w:r>
        <w:t xml:space="preserve"> Abstract High-resolution energy system models, as powerful tools to represent energy systems in detail and assist energy transition planning, rarely account for economic disparity, unlike broader-scale tools such as integrated assessment models. In this study, by analysing net-zero European energy system designs through the lens of national gross domestic product (GDP) and household average income, we find that disparity-unaware high-resolution energy system models can produce results that are technically feasible but largely incompatible with economic realities. The investment in household heating technology may be disproportional to the income level of lower-income countries. Explicitly acknowledging economic disparity in such models reduces the danger of them proposing solutions which burden economically disadvantaged actors. Therefore, here, we explicitly include national GDP and household income disparity in a model for net-zero European energy system designs. We find that disparity-compatible systems are possible with a 1.1% total system cost increase compared to the least-cost ones. Unlike in disparity-unaware system designs, where energy infrastructure investments often reach over 20% of national GDP for some countries, we develop disparity-compatible designs which limit investments to below 5% in each country. Our results show that less affluent European countries may </w:t>
      </w:r>
    </w:p>
    <w:p>
      <w:pPr/>
      <w:r>
        <w:rPr>
          <w:b/>
        </w:rPr>
        <w:t>POSSIBLE 2026:</w:t>
      </w:r>
      <w:r>
        <w:t xml:space="preserve"> Temperature-Aware Heat Pump Modeling for Large-Scale Energy System Optimization — https://doi.org/10.1109/eem68581.2026.11589688</w:t>
      </w:r>
    </w:p>
    <w:p>
      <w:pPr/>
      <w:r>
        <w:rPr>
          <w:b/>
        </w:rPr>
        <w:t>Shared claim-specific concepts:</w:t>
      </w:r>
      <w:r>
        <w:t xml:space="preserve"> energy, system, indicate; EU scope visible. This is a provisional connection, not an outcome finding.</w:t>
      </w:r>
    </w:p>
    <w:p>
      <w:pPr>
        <w:pStyle w:val="SourceNote"/>
      </w:pPr>
      <w:r>
        <w:rPr>
          <w:b/>
        </w:rPr>
        <w:t>Available abstract (not full text):</w:t>
      </w:r>
      <w:r>
        <w:t xml:space="preserve"> Heat pumps are expected to dominate the heating sector, substantially increasing peak electricity demand. At the same time, building thermal inertia enables operational strategies, providing temporal flexibility in heat pump operation and short-term demand response. However, this dynamic behavior is not yet represented in large-scale energy system optimization models. To address this gap, we present an innovative formulation of building thermal inertia. The resulting temperature variable is integrated into a novel conic temperature-aware heat pump efficiency formulation, enabling a more precise emulation of smart control strategies. In a case study of the European energy system, we show that the approach captures operational heating flexibility while remaining computationally efficient. The results indicate substantial untapped flexibility potential, enabling up to a 22% reduction in heating-related electricity costs. This potential can be realized through a suitable energy market design that incentivizes coordinated heat pump control, individually or via aggregators.</w:t>
      </w:r>
    </w:p>
    <w:p>
      <w:pPr/>
      <w:r>
        <w:rPr>
          <w:b/>
        </w:rPr>
        <w:t>POSSIBLE 2025:</w:t>
      </w:r>
      <w:r>
        <w:t xml:space="preserve"> Optimization of Multi-Energy Complementary Building Energy Systems — https://doi.org/10.56028/aetr.14.1.1452.2025</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Under the dual impetus of the global energy crisis and carbon neutrality objectives, the construction sector, as a critical domain of energy consumption and carbon emissions, urgently requires green transformation through multi-energy complementary systems. This paper systematically reviews the coupling mechanisms, integration technologies, and synergistic optimization methodologies of multi-energy complementary building energy systems, elucidating their roles in enhancing energy efficiency, reducing lifecycle carbon emissions, and advancing net-zero energy building development. Research demonstrates that integrating renewable energy technologies, such as building-integrated photovoltaic/thermal (BIPVT) systems and hydrogen complementary systems, effectively addresses energy volatility and intermittency while balancing architectural aesthetics with economic viability. The study underscores that large-scale implementation of multi-energy complementary systems necessitates regionally adaptive design frameworks, long-term performance monitoring protocols, and multi-stakeholder collaboration, thereby offering theoretically innovative and practically actionable solutions for global low-carbon building transitions.</w:t>
      </w:r>
    </w:p>
    <w:p>
      <w:pPr/>
      <w:r>
        <w:rPr>
          <w:b/>
        </w:rPr>
        <w:t>POSSIBLE 2024:</w:t>
      </w:r>
      <w:r>
        <w:t xml:space="preserve"> Autarky penalty versus system cost effects for Europe of large-scale renewable energy imports from North Africa — https://doi.org/10.1016/j.esr.2023.101289</w:t>
      </w:r>
    </w:p>
    <w:p>
      <w:pPr/>
      <w:r>
        <w:rPr>
          <w:b/>
        </w:rPr>
        <w:t>Shared claim-specific concepts:</w:t>
      </w:r>
      <w:r>
        <w:t xml:space="preserve"> energy, system, investments, needed, until, region; EU scope visible. This is a provisional connection, not an outcome finding.</w:t>
      </w:r>
    </w:p>
    <w:p>
      <w:pPr>
        <w:pStyle w:val="SourceNote"/>
      </w:pPr>
      <w:r>
        <w:rPr>
          <w:b/>
        </w:rPr>
        <w:t>Available abstract (not full text):</w:t>
      </w:r>
      <w:r>
        <w:t xml:space="preserve"> We quantify in more detail than earlier studies the cost trade-offs of establishing import-export links between Europe and North Africa for two quintessential energy carriers needed for the energy transition: electricity and hydrogen. Using the TIAM-ECN model, we show under what assumptions Europe will make a net energy system cost gain or, inversely, pay a net price for exploiting such interlinkages. We find that allowing for trade of renewable energy between Europe and North Africa substantially reduces the EU's domestic renewable energy capacity investments needed to implement its Green Deal and Fit for 55 Programme. In addition to creating import-export scenarios for electricity and hydrogen across the Mediterranean and investigating the cost implications of a European-African energy partnership until 2050, we perform a detailed sensitivity analysis regarding possible technological developments and sectoral shifts, as well as vis-à-vis potential cost, sectoral and technical asymmetries between Europe and North Africa. We introduce a new concept in energy analysis, autarky penalty, which is the price paid by a region for restricting energy trade with its neighbors. If domestic hydrogen production from solar and wind energy through electrolysis is constrained, Europe's autarky penalty may increase to 30 billion $ annually by 2050.</w:t>
      </w:r>
    </w:p>
    <w:p>
      <w:pPr/>
      <w:r>
        <w:rPr>
          <w:b/>
        </w:rPr>
        <w:t>POSSIBLE 2024:</w:t>
      </w:r>
      <w:r>
        <w:t xml:space="preserve"> Review of energy investments for strengthening resilience in energy system — https://doi.org/10.31713/m1316</w:t>
      </w:r>
    </w:p>
    <w:p>
      <w:pPr/>
      <w:r>
        <w:rPr>
          <w:b/>
        </w:rPr>
        <w:t>Shared claim-specific concepts:</w:t>
      </w:r>
      <w:r>
        <w:t xml:space="preserve"> energy, system, investments; EU scope not established. This is a provisional connection, not an outcome finding.</w:t>
      </w:r>
    </w:p>
    <w:p>
      <w:pPr>
        <w:pStyle w:val="SourceNote"/>
      </w:pPr>
      <w:r>
        <w:rPr>
          <w:b/>
        </w:rPr>
        <w:t>Available abstract (not full text):</w:t>
      </w:r>
      <w:r>
        <w:t xml:space="preserve"> The provoked shock in the energy system came into a moment in which climate impact is more and more visible and took several types. The rise of prices has determined economic incentives for increasing the offer and for choosing the alternative or more efficient ways to satisfy the demands. The shocks due to energetic security have created strong incentives for politic decisional factors for reducing the dependences and vulnerabilities, but in the same time for a lot of devel-oping countries, the financial resources are depleted. The last years were a period of extreme perturbation for energy sector.</w:t>
      </w:r>
    </w:p>
    <w:p>
      <w:pPr/>
      <w:r>
        <w:rPr>
          <w:b/>
        </w:rPr>
        <w:t>POSSIBLE 2024:</w:t>
      </w:r>
      <w:r>
        <w:t xml:space="preserve"> Integrating material recycling and remanufacturing in energy system optimization modeling: A review and showcase — https://doi.org/10.1016/j.adapen.2024.100198</w:t>
      </w:r>
    </w:p>
    <w:p>
      <w:pPr/>
      <w:r>
        <w:rPr>
          <w:b/>
        </w:rPr>
        <w:t>Shared claim-specific concepts:</w:t>
      </w:r>
      <w:r>
        <w:t xml:space="preserve"> energy, system, until, comprehensive; EU scope visible. This is a provisional connection, not an outcome finding.</w:t>
      </w:r>
    </w:p>
    <w:p>
      <w:pPr>
        <w:pStyle w:val="SourceNote"/>
      </w:pPr>
      <w:r>
        <w:rPr>
          <w:b/>
        </w:rPr>
        <w:t>Available abstract (not full text):</w:t>
      </w:r>
      <w:r>
        <w:t xml:space="preserve"> This paper addresses the currently overlooked yet urgent topic of material recycling and remanufacturing in energy system optimization modeling, making three substantial contributions. First, it presents a comprehensive review of relevant studies on material demand, flows, and recycling from a techno-economic perspective and highlights the critical gap in existing energy system optimization models, in which material recycling and remanufacturing is not yet adequately integrated. Second, the paper introduces a general mathematical framework for incorporating material recycling and remanufacturing as a technology and investment option into typical energy system optimization models. Third, the paper demonstrates the practical application of this framework by examining the material recycling potential within the solar module expansion plan of the European Union. It explores the main drivers under which material recycling becomes economically competitive, considering various global and regional solar market conditions. Specifically, it investigates how different energy policies — such as incentivizing European Union manufacturing, limiting import shares, and implementing a circular economy constraint — affect the optimal remanufacturing capacities and achievable shares of recycling-based additions to meet the expansion targets until 2050. • Review on material recycling and remanufac</w:t>
      </w:r>
    </w:p>
    <w:p>
      <w:pPr/>
      <w:r>
        <w:rPr>
          <w:b/>
        </w:rPr>
        <w:t>POSSIBLE 2024:</w:t>
      </w:r>
      <w:r>
        <w:t xml:space="preserve"> The future role of Carnot batteries in Central Europe: Combining energy system and market perspective — https://doi.org/10.1016/j.est.2024.110959</w:t>
      </w:r>
    </w:p>
    <w:p>
      <w:pPr/>
      <w:r>
        <w:rPr>
          <w:b/>
        </w:rPr>
        <w:t>Shared claim-specific concepts:</w:t>
      </w:r>
      <w:r>
        <w:t xml:space="preserve"> energy, system, zero-emission, based, modelling; EU scope visible. This is a provisional connection, not an outcome finding.</w:t>
      </w:r>
    </w:p>
    <w:p>
      <w:pPr>
        <w:pStyle w:val="SourceNote"/>
      </w:pPr>
      <w:r>
        <w:rPr>
          <w:b/>
        </w:rPr>
        <w:t>Available abstract (not full text):</w:t>
      </w:r>
      <w:r>
        <w:t xml:space="preserve"> Power generation from variable renewable energies is expected to dominate the future energy supply in many countries, which will lead to an increased demand for flexibility options. Carnot batteries offer the technical prerequisites for meeting this flexibility demand and are relatively easy to scale. This paper investigates the future economic potential for Carnot batteries by coupling the energy systems optimization model REMix and the agent-based electricity market model AMIRIS. While REMix evaluates the least-cost infrastructure configuration of the energy system and the role of Carnot batteries in it, AMIRIS focuses on the corresponding profitability of these storage systems. The modelling chain is applied in a case study of a zero-emission energy system in Central Europe for the year 2050. To provide guidance for a promising technology development, a parameter scan for costs and efficiencies of Carnot batteries is performed for this system. We find that from an energy system design perspective the availability of a low-cost storage medium is a key driver for the usage of Carnot batteries. In addition, the combination of Carnot batteries with wind energy provides benefits due to the possibility of longer storage durations compared to electrochemical battery systems. Carnot battery operators can potentially realize positive annual gross profits, based on factors such as the</w:t>
      </w:r>
    </w:p>
    <w:p>
      <w:pPr/>
      <w:r>
        <w:rPr>
          <w:b/>
        </w:rPr>
        <w:t>POSSIBLE 2024:</w:t>
      </w:r>
      <w:r>
        <w:t xml:space="preserve"> TIMES-Europe: An Integrated Energy System Model for Analyzing Europe’s Energy and Climate Challenges — https://doi.org/10.1007/s10666-024-09976-8</w:t>
      </w:r>
    </w:p>
    <w:p>
      <w:pPr/>
      <w:r>
        <w:rPr>
          <w:b/>
        </w:rPr>
        <w:t>Shared claim-specific concepts:</w:t>
      </w:r>
      <w:r>
        <w:t xml:space="preserve"> energy, system, based; EU scope visible. This is a provisional connection, not an outcome finding.</w:t>
      </w:r>
    </w:p>
    <w:p>
      <w:pPr>
        <w:pStyle w:val="SourceNote"/>
      </w:pPr>
      <w:r>
        <w:rPr>
          <w:b/>
        </w:rPr>
        <w:t>Available abstract (not full text):</w:t>
      </w:r>
      <w:r>
        <w:t xml:space="preserve"> Abstract This paper introduces TIMES-Europe, a novel integrated multi-sectoral energy system optimization model for Europe based on the TIMES generator. We describe its main specifications and assumptions as well as its underlying methodology, and summarize the type of policy questions that it can help answering. TIMES-Europe can be used to analyze policy instruments designed for implementing the EU Green Deal and Fit-for-55 program, and to create strategic energy decarbonization and climate change mitigation insights for Europe against the backdrop of its interactions and relations with neighboring countries. Thanks to its technology richness across all main sectors—including power production, transport, industry and the commercial, agricultural and residential sectors—it allows for performing in-depth studies on the role of a large range of low-carbon options in the energy transition of all European countries, both jointly and individually. Three characteristics render TIMES-Europe particularly valuable: (1) it covers the entire European energy system and its main greenhouse gas emissions, (2) it includes all EU member states individually as well as a large set of countries in the EU’s vicinity, and (3) it can be used to generate high-level strategic insights as well as detailed recommendations for both national and EU policies. TIMES-Europe is especially suitable for analyzi</w:t>
      </w:r>
    </w:p>
    <w:p>
      <w:pPr/>
      <w:r>
        <w:rPr>
          <w:b/>
        </w:rPr>
        <w:t>POSSIBLE 2023:</w:t>
      </w:r>
      <w:r>
        <w:t xml:space="preserve"> Long-term optimization of the Norwegian energy system under the influence of the European power market — https://doi.org/10.1109/eem58374.2023.10161972</w:t>
      </w:r>
    </w:p>
    <w:p>
      <w:pPr/>
      <w:r>
        <w:rPr>
          <w:b/>
        </w:rPr>
        <w:t>Shared claim-specific concepts:</w:t>
      </w:r>
      <w:r>
        <w:t xml:space="preserve"> energy, system, indicate, investments, modelling; EU scope visible. This is a provisional connection, not an outcome finding.</w:t>
      </w:r>
    </w:p>
    <w:p>
      <w:pPr>
        <w:pStyle w:val="SourceNote"/>
      </w:pPr>
      <w:r>
        <w:rPr>
          <w:b/>
        </w:rPr>
        <w:t>Available abstract (not full text):</w:t>
      </w:r>
      <w:r>
        <w:t xml:space="preserve"> This paper proposes a novel bidirectional linkage between a national energy system model and a European power market model. The combined modelling framework enables long-term energy system investment strategies at the national level that captures the impact and interaction with the European power system. The linking methodology is demonstrated with two models, 1) IFE-TIMES-Norway, a technology-rich model used to analyze the cost-optimal development of the Norwegian energy system, and 2) EMPIRE, a stochastic capacity expansion model optimizing operation and investments of the European power system. Two convergence criteria are used: electricity generation capacities and prices. The linkage is performed for two future transition pathways, in which convergence is reached after 3 and 4 iterations. Results indicate that the pace of convergence greatly depends on the degree of interaction with neighbouring countries, as the European prices are sensitive to the Norwegian energy mix and vice versa. The linkage also led to changes in production and export volumes in Norway, emphasizing the importance of capturing the price elasticity of Europe when designing national energy systems.</w:t>
      </w:r>
    </w:p>
    <w:p>
      <w:pPr/>
      <w:r>
        <w:rPr>
          <w:b/>
        </w:rPr>
        <w:t>POSSIBLE 2023:</w:t>
      </w:r>
      <w:r>
        <w:t xml:space="preserve"> Energy Systems — https://doi.org/10.1017/9781009157926.008</w:t>
      </w:r>
    </w:p>
    <w:p>
      <w:pPr/>
      <w:r>
        <w:rPr>
          <w:b/>
        </w:rPr>
        <w:t>Shared claim-specific concepts:</w:t>
      </w:r>
      <w:r>
        <w:t xml:space="preserve"> energy, system, investments, take; EU scope not established. This is a provisional connection, not an outcome finding.</w:t>
      </w:r>
    </w:p>
    <w:p>
      <w:pPr>
        <w:pStyle w:val="SourceNote"/>
      </w:pPr>
      <w:r>
        <w:rPr>
          <w:b/>
        </w:rPr>
        <w:t>Available abstract (not full text):</w:t>
      </w:r>
      <w:r>
        <w:t xml:space="preserve"> Warming cannot be limited to well below 2°C without rapid and deep reductions in energy system carbon dioxide (CO 2 ) and greenhouse gas (GHG) emissions.In scenarios limiting warming to 1.5°C (&gt;50%) with no or limited overshoot (2°C (&gt;67%) with action starting in 2020), net energy system CO 2 emissions (interquartile range) fall by 87-97% (60-79%) in 2050.In 2030, in scenarios limiting warming to 1.5°C (&gt;50%) with no or limited overshoot, net CO 2 and GHG emissions fall by 35-51% and 38-52% respectively.In scenarios limiting warming to 1.5°C (&gt;50%) with no or limited overshoot (2°C (&gt;67%)), net electricity sector CO 2 emissions reach zero globally between 2045 and 2055 (2050 and 2080).(high confidence) {6.7} Limiting warming to well below 2°C will require substantial energy system changes over the next 30 years.This includes reduced fossil fuel consumption, increased production from low-and zero-carbon energy sources, and increased use of electricity and alternative energy carriers.Coal consumption without carbon capture and storage (CCS) falls by 67-82% (interquartile range) in 2030 in scenarios limiting warming to 1.5°C (&gt;50%) with no or limited overshoot.Oil and gas consumption fall more slowly.Low-carbon sources produce 93-97% of global electricity by 2050 in scenarios that limit warming to 2°C (&gt;67%) with action starting in 2020.In scenarios limiting warming to 1.5°C (&gt;50%</w:t>
      </w:r>
    </w:p>
    <w:p>
      <w:pPr>
        <w:pStyle w:val="Heading2"/>
      </w:pPr>
      <w:r>
        <w:t>721. Perspectives from 2037—Can Environmental Impact Assessment be the Solution for an Early Consideration of Climate Change-related Impacts?</w:t>
      </w:r>
    </w:p>
    <w:p>
      <w:pPr>
        <w:pStyle w:val="SourceNote"/>
      </w:pPr>
      <w:r>
        <w:rPr>
          <w:b/>
        </w:rPr>
        <w:t>Original source (2019):</w:t>
      </w:r>
      <w:r>
        <w:t xml:space="preserve"> https://doi.org/10.3390/su11154002</w:t>
      </w:r>
    </w:p>
    <w:p>
      <w:pPr/>
      <w:r>
        <w:t>Original wording (abstract; indexed_source_text_not_full_document_verified): Three scenario narratives were elaborated based on nine key impact factors based on literature review, content analysis of EIA documents and interviews with EIA actors.</w:t>
      </w:r>
    </w:p>
    <w:p>
      <w:pPr/>
      <w:r>
        <w:rPr>
          <w:b/>
        </w:rPr>
        <w:t>POSSIBLE 2026:</w:t>
      </w:r>
      <w:r>
        <w:t xml:space="preserve"> Narratives and Narratologies — https://doi.org/10.14361/9783839453773-177</w:t>
      </w:r>
    </w:p>
    <w:p>
      <w:pPr/>
      <w:r>
        <w:rPr>
          <w:b/>
        </w:rPr>
        <w:t>Shared claim-specific concepts:</w:t>
      </w:r>
      <w:r>
        <w:t xml:space="preserve"> narratives, key; EU scope not established. This is a provisional connection, not an outcome finding.</w:t>
      </w:r>
    </w:p>
    <w:p>
      <w:pPr>
        <w:pStyle w:val="SourceNote"/>
      </w:pPr>
      <w:r>
        <w:rPr>
          <w:b/>
        </w:rPr>
        <w:t>Available abstract (not full text):</w:t>
      </w:r>
      <w:r>
        <w:t xml:space="preserve"> Prologue, or: Narratives Matter!One might as well begin with the observation that narratives matter because they do very important cultural and political work.Narratives have always played a key role not only in politics but also in such different domains as the economy, education, law, and society at large.Therefore, the title of this essay should actually be "Narratives Matter," but since the format of the glossary suggests that it is more appropriate to add another word beginning with the letter "n" we decided to choose either the term narratology, i.e. the logic of narratives, or "narratologies" as the umbrella term for the great variety of approaches that have been developed for the study of narratives.We would like to hasten to add that cultures and narratives are closely intertwined, although the complex ways in which narratives shape cultures, just as much as cultures shape narratives, have not yet received as much attention as they deserve.While the developments of "narratology in the age of cross-disciplinary narrative research" (Heinen and Sommer 2009) include debates about the uses and abuses of contextualist approaches like historical, intercultural, and "postcolonial narratologies" as well as programmatic outlines of "cultural narratologies" (Nünning 2009), such approaches have neither been fully developed nor have they had much impact in the field of the study of</w:t>
      </w:r>
    </w:p>
    <w:p>
      <w:pPr/>
      <w:r>
        <w:rPr>
          <w:b/>
        </w:rPr>
        <w:t>POSSIBLE 2025:</w:t>
      </w:r>
      <w:r>
        <w:t xml:space="preserve"> What good is agroecology? Predominant narratives about agroecology in Africa — https://doi.org/10.1016/j.jrurstud.2025.103706</w:t>
      </w:r>
    </w:p>
    <w:p>
      <w:pPr/>
      <w:r>
        <w:rPr>
          <w:b/>
        </w:rPr>
        <w:t>Shared claim-specific concepts:</w:t>
      </w:r>
      <w:r>
        <w:t xml:space="preserve"> three, narratives, based, nine, key, interviews; EU scope not established. This is a provisional connection, not an outcome finding.</w:t>
      </w:r>
    </w:p>
    <w:p>
      <w:pPr>
        <w:pStyle w:val="SourceNote"/>
      </w:pPr>
      <w:r>
        <w:rPr>
          <w:b/>
        </w:rPr>
        <w:t>Available abstract (not full text):</w:t>
      </w:r>
      <w:r>
        <w:t xml:space="preserve"> Agroecology is still a marginal approach to agricultural development in Africa when compared to industrial approaches, despite growing evidence of its potential to address core challenges of food insecurity, poverty, and soil degradation. This paper investigates one possible explanation for this discrepancy: the discursive landscape of African agriculture. Taking inspiration from narrative analysis, we document stories about agroecology as told by key actors in the food system: farmers, pastoralists, NGO workers, extension officers, government officials, and researchers. Based on 208 interviews with key informants (KIs) across nine African case studies, we identified three distinct narratives: Agroecology is: 1) a tool in a toolbox 2) for poor farmers 3) the better path. In addition to these narratives, we report KIs' perceptions of two narrative components, namely their definition of agroecology and the key challenges affecting agriculture in their case study site. We use these problem framings to evaluate how logically agroecology fits as a solution in this story, and thus its discursive potential as an approach to agricultural development. We find that many respondents do not consider agroecology to be an effective or relevant solution to major food system challenges, or that they have a limited understanding of the full breadth of agroecology. We suggest that organizations </w:t>
      </w:r>
    </w:p>
    <w:p>
      <w:pPr/>
      <w:r>
        <w:rPr>
          <w:b/>
        </w:rPr>
        <w:t>POSSIBLE 2025:</w:t>
      </w:r>
      <w:r>
        <w:t xml:space="preserve"> Ketamine’s Therapeutic Role in Substance Use Disorders: A Narrative Review — https://doi.org/10.3390/neurosci6030083</w:t>
      </w:r>
    </w:p>
    <w:p>
      <w:pPr/>
      <w:r>
        <w:rPr>
          <w:b/>
        </w:rPr>
        <w:t>Shared claim-specific concepts:</w:t>
      </w:r>
      <w:r>
        <w:t xml:space="preserve"> three, nine, key, literature, review; EU scope not established. This is a provisional connection, not an outcome finding.</w:t>
      </w:r>
    </w:p>
    <w:p>
      <w:pPr>
        <w:pStyle w:val="SourceNote"/>
      </w:pPr>
      <w:r>
        <w:rPr>
          <w:b/>
        </w:rPr>
        <w:t>Available abstract (not full text):</w:t>
      </w:r>
      <w:r>
        <w:t xml:space="preserve"> Interest in ketamine as a novel treatment for substance use disorders (SUDs) has been increasing due to its N-methyl-D-aspartate (NMDA) glutamate receptor antagonism and mounting evidence that glutamate neurotransmission is involved in the pathogenesis of both depression and addictions. This narrative review provides an outline of clinical evidence reported in the literature from the 1970s to 2025 that examines the efficacy of ketamine for the treatment of SUDs, focusing primarily on randomized blinded controlled trials (RBCTs). Key cohort studies, retrospective studies, secondary analyses, case reports, and relevant basic neuroscience studies are reviewed to complement the more rigorous human controlled trial data. Thus far, ketamine has been tested in nine RBCTs targeting cocaine (three studies), alcohol (three studies), opioid use disorder (two studies), and nicotine (one study), suggesting efficacy for addiction in combination with psychotherapies, and often when doses produce subjectively reported mystical or psychedelic experiences. This review highlights promising preliminary evidence, and the need for more rigorous studies to elucidate the scope of drug addictions ketamine may target, its optimal dosing or route of administration, the importance of concurrent psychotherapies, professional supervision and safety monitoring, and which psychiatric comorbidities or contexts</w:t>
      </w:r>
    </w:p>
    <w:p>
      <w:pPr/>
      <w:r>
        <w:rPr>
          <w:b/>
        </w:rPr>
        <w:t>POSSIBLE 2025:</w:t>
      </w:r>
      <w:r>
        <w:t xml:space="preserve"> Narrative Reflexivity as Leaderful Practice — https://doi.org/10.1080/14697017.2025.2453132</w:t>
      </w:r>
    </w:p>
    <w:p>
      <w:pPr/>
      <w:r>
        <w:rPr>
          <w:b/>
        </w:rPr>
        <w:t>Shared claim-specific concepts:</w:t>
      </w:r>
      <w:r>
        <w:t xml:space="preserve"> three, narratives, literature; EU scope not established. This is a provisional connection, not an outcome finding.</w:t>
      </w:r>
    </w:p>
    <w:p>
      <w:pPr>
        <w:pStyle w:val="SourceNote"/>
      </w:pPr>
      <w:r>
        <w:rPr>
          <w:b/>
        </w:rPr>
        <w:t>Available abstract (not full text):</w:t>
      </w:r>
      <w:r>
        <w:t xml:space="preserve"> This paper reimagines leadership by proposing the practice of narrative reflexivity, where we interrogate the stories we tell ourselves and each other towards an ethical relationality. Using narrative reflexivity, we can deepen our understanding of emergent narrative phenomena in organizational life, where both stories and storytellers can act in leaderful ways. By engaging with collective narratives, we become more aware of hegemonic stories alongside marginalized stories as the practice introduces doubt, curiosity, pause and co-creative tension. We use vignettes from scholarly literature to illustrate how narrative reflexivity can emerge and operate at three levels of narrative activity: individual, group, and organizational. Within the leadership-as-practice movement that reconceptualizes leadership as an emergent and processual activity, narrative reflexivity opens the possibility of evaluating our stories, understanding others’ stories, and coproducing new stories for collective acting.MAD statementNarrative reflexivity is a critical practice in leadership whereby people interrogate stories. This practice activates an awareness of hegemonic stories alongside marginalized stories, introducing doubt, curiosity, pause and co-creative tension into the process of engaging with collective narratives. We use vignettes from scholarly literature to illustrate how narrative reflexiv</w:t>
      </w:r>
    </w:p>
    <w:p>
      <w:pPr/>
      <w:r>
        <w:rPr>
          <w:b/>
        </w:rPr>
        <w:t>POSSIBLE 2024:</w:t>
      </w:r>
      <w:r>
        <w:t xml:space="preserve"> Exploring the Narrative and Aesthetic Aspects of Huanglong Opera in Nong'an County Jilin Province China — https://doi.org/10.60027/ijsasr.2024.3930</w:t>
      </w:r>
    </w:p>
    <w:p>
      <w:pPr/>
      <w:r>
        <w:rPr>
          <w:b/>
        </w:rPr>
        <w:t>Shared claim-specific concepts:</w:t>
      </w:r>
      <w:r>
        <w:t xml:space="preserve"> three, narratives, key; EU scope not established. This is a provisional connection, not an outcome finding.</w:t>
      </w:r>
    </w:p>
    <w:p>
      <w:pPr>
        <w:pStyle w:val="SourceNote"/>
      </w:pPr>
      <w:r>
        <w:rPr>
          <w:b/>
        </w:rPr>
        <w:t>Available abstract (not full text):</w:t>
      </w:r>
      <w:r>
        <w:t xml:space="preserve"> Background and Aims: Huanglong Opera is a traditional Chinese opera form deeply rooted in the cultural tapestry of Nong'an County, Jilin Province, China. The objective of this study is to investigate the narrative and aesthetic aspects of Huanglong Opera in Nong'an County, Jilin Province, China. Materials and Methods: With a multidisciplinary approach drawing from sociology and anthropology. The research site, Nong'an County, was chosen for its historical significance in preserving and promoting this traditional art form. Three key informants played a pivotal role in providing insights into the narrative and aesthetic dimensions of Huanglong Opera. The research tools employed observation forms and interview forms to collect comprehensive data on these aspects, with meticulous data analysis to categorize and identify patterns in the observations. Result: The study unveiled historical storytelling, the delicate balance between authenticity and fiction, universal themes, character development, and cultural preservation embedded in Huanglong Opera's narratives. It also highlighted the musical composition, elaborate costumes and makeup, choreographic precision, stage design, and props that constitute the opera's captivating aesthetics. Conclusion: The study's findings underscore the cultural significance and enduring appeal of Huanglong Opera while suggesting avenues for its preserv</w:t>
      </w:r>
    </w:p>
    <w:p>
      <w:pPr/>
      <w:r>
        <w:rPr>
          <w:b/>
        </w:rPr>
        <w:t>POSSIBLE 2024:</w:t>
      </w:r>
      <w:r>
        <w:t xml:space="preserve"> Narrative inquiry in China — https://doi.org/10.3389/feduc.2023.1327421</w:t>
      </w:r>
    </w:p>
    <w:p>
      <w:pPr/>
      <w:r>
        <w:rPr>
          <w:b/>
        </w:rPr>
        <w:t>Shared claim-specific concepts:</w:t>
      </w:r>
      <w:r>
        <w:t xml:space="preserve"> elaborated, literature, review; EU scope not established. This is a provisional connection, not an outcome finding.</w:t>
      </w:r>
    </w:p>
    <w:p>
      <w:pPr>
        <w:pStyle w:val="SourceNote"/>
      </w:pPr>
      <w:r>
        <w:rPr>
          <w:b/>
        </w:rPr>
        <w:t>Available abstract (not full text):</w:t>
      </w:r>
      <w:r>
        <w:t xml:space="preserve"> Narrative inquiry has been widely used in different disciplines around the world. In this article, we focus on narrative inquiry in China where we start by retelling our first close contact with narrative researchers in China in 2007 when Professor Gang Ding at East China Normal University invited leading Chinese researchers to a three-day narrative inquiry workshop co-planned with us (Connelly and Xu). Second, we review narrative studies published in Chinese to demonstrate how widely narrative inquiry has been adopted in educational studies in the country in the past two decades by Chinese university researchers, graduate students, and schoolteachers. Next, our review of English literature of narrative studies related to education in China has two important components: English literature on narrative inquiry contextualized in China and narrative inquiry for reciprocal learning in teacher education and school education between Canada and China. Both reveal how narrative inquiry has contributed to international cross-cultural educational studies related to Chinese contexts. Finally, in the “Discussion” section, we provide our interpretation of some current dialogs on narrative inquiry among Chinese educational researchers; for example, the differences between yanjiu 研究 (research) and tanjiu 探究 (inquiry). Some heated discussions surrounding narrative inquiry in China are also hig</w:t>
      </w:r>
    </w:p>
    <w:p>
      <w:pPr/>
      <w:r>
        <w:rPr>
          <w:b/>
        </w:rPr>
        <w:t>POSSIBLE 2023:</w:t>
      </w:r>
      <w:r>
        <w:t xml:space="preserve"> Elaborating, sharing, narrating: a narrative analysis of three approaches to health communication — https://doi.org/10.1590/interface.230172</w:t>
      </w:r>
    </w:p>
    <w:p>
      <w:pPr/>
      <w:r>
        <w:rPr>
          <w:b/>
        </w:rPr>
        <w:t>Shared claim-specific concepts:</w:t>
      </w:r>
      <w:r>
        <w:t xml:space="preserve"> three, key, literature; EU scope not established. This is a provisional connection, not an outcome finding.</w:t>
      </w:r>
    </w:p>
    <w:p>
      <w:pPr>
        <w:pStyle w:val="SourceNote"/>
      </w:pPr>
      <w:r>
        <w:rPr>
          <w:b/>
        </w:rPr>
        <w:t>Available abstract (not full text):</w:t>
      </w:r>
      <w:r>
        <w:t xml:space="preserve"> Abstract Communication, despite being considered a key aspect in medical practice, has not received the corresponding attention both on literature and medical training as has the technological and biomedical aspects. As a reaction to this context emerged fields of knowledge proposing to reflect and strengthen aspects of communication between the physician and the patient. In this article, we perform a narrative analysis of the literature of three of such approaches to communication in health: the Balint Groups, the Patient Centered Care and Narrative-Based Medicine. The study highlights the approximations and distances between these approaches, along with the recognition of the potency of each of them in the different contexts of medical practice.</w:t>
      </w:r>
    </w:p>
    <w:p>
      <w:pPr/>
      <w:r>
        <w:rPr>
          <w:b/>
        </w:rPr>
        <w:t>POSSIBLE 2023:</w:t>
      </w:r>
      <w:r>
        <w:t xml:space="preserve"> Elaborating, sharing, narrating: a narrative analysis of three approaches to health communication — https://doi.org/10.6084/m9.figshare.23584934</w:t>
      </w:r>
    </w:p>
    <w:p>
      <w:pPr/>
      <w:r>
        <w:rPr>
          <w:b/>
        </w:rPr>
        <w:t>Shared claim-specific concepts:</w:t>
      </w:r>
      <w:r>
        <w:t xml:space="preserve"> three, key, literature; EU scope not established. This is a provisional connection, not an outcome finding.</w:t>
      </w:r>
    </w:p>
    <w:p>
      <w:pPr>
        <w:pStyle w:val="SourceNote"/>
      </w:pPr>
      <w:r>
        <w:rPr>
          <w:b/>
        </w:rPr>
        <w:t>Available abstract (not full text):</w:t>
      </w:r>
      <w:r>
        <w:t xml:space="preserve"> Abstract Communication, despite being considered a key aspect in medical practice, has not received the corresponding attention both on literature and medical training as has the technological and biomedical aspects. As a reaction to this context emerged fields of knowledge proposing to reflect and strengthen aspects of communication between the physician and the patient. In this article, we perform a narrative analysis of the literature of three of such approaches to communication in health: the Balint Groups, the Patient Centered Care and Narrative-Based Medicine. The study highlights the approximations and distances between these approaches, along with the recognition of the potency of each of them in the different contexts of medical practice.</w:t>
      </w:r>
    </w:p>
    <w:p>
      <w:pPr/>
      <w:r>
        <w:rPr>
          <w:b/>
        </w:rPr>
        <w:t>POSSIBLE 2023:</w:t>
      </w:r>
      <w:r>
        <w:t xml:space="preserve"> Narrative therapy with children: A qualitative interview study with Danish therapists about the application of narrative practices — https://doi.org/10.1002/capr.12656</w:t>
      </w:r>
    </w:p>
    <w:p>
      <w:pPr/>
      <w:r>
        <w:rPr>
          <w:b/>
        </w:rPr>
        <w:t>Shared claim-specific concepts:</w:t>
      </w:r>
      <w:r>
        <w:t xml:space="preserve"> three, nine, key, interviews; EU scope not established. This is a provisional connection, not an outcome finding.</w:t>
      </w:r>
    </w:p>
    <w:p>
      <w:pPr>
        <w:pStyle w:val="SourceNote"/>
      </w:pPr>
      <w:r>
        <w:rPr>
          <w:b/>
        </w:rPr>
        <w:t>Available abstract (not full text):</w:t>
      </w:r>
      <w:r>
        <w:t xml:space="preserve"> Abstract Purpose Therapists' insights into practising narrative therapy (NT) with children can elucidate the strengths and challenges associated with this practice. Aim The aim of this study was to investigate how therapists experience the application of NT with children. Method Nine Danish narrative therapists working with children participated in semi‐structured qualitative interviews. The data were analysed using Braun and Clarke's thematic analysis. Results Three overall themes were identified; “you have to be crazy about children,” “practised ethics” and “practical challenges.” Two subthemes were generated: “acting is the key” and “the importance of the system surrounding the child.” Conclusion The narrative therapists experienced NT as applicable for children due to its potential to facilitate a safe place that integrates the child's current stage of development. NT does not serve to “fit” the child but should be perceived as a practised ethic. Therapists accentuated challenges working with NT, specifically related to outsider‐witnessing and staying in a decentred position. The results are discussed regarding their contribution to the evolvement of the narrative therapy profession and to the training and supervision of novice practitioners.</w:t>
      </w:r>
    </w:p>
    <w:p>
      <w:pPr/>
      <w:r>
        <w:rPr>
          <w:b/>
        </w:rPr>
        <w:t>POSSIBLE 2023:</w:t>
      </w:r>
      <w:r>
        <w:t xml:space="preserve"> Narrative Factuality: A Handbook — https://doi.org/10.1215/03335372-10578555</w:t>
      </w:r>
    </w:p>
    <w:p>
      <w:pPr/>
      <w:r>
        <w:rPr>
          <w:b/>
        </w:rPr>
        <w:t>Shared claim-specific concepts:</w:t>
      </w:r>
      <w:r>
        <w:t xml:space="preserve"> three, narratives, key, literature, review; EU scope not established. This is a provisional connection, not an outcome finding.</w:t>
      </w:r>
    </w:p>
    <w:p>
      <w:pPr>
        <w:pStyle w:val="SourceNote"/>
      </w:pPr>
      <w:r>
        <w:rPr>
          <w:b/>
        </w:rPr>
        <w:t>Available abstract (not full text):</w:t>
      </w:r>
      <w:r>
        <w:t xml:space="preserve"> This handbook is the result of an ambitious, interdisciplinary, and pioneering project, in that it not only opens new horizons for the study of the wide field of factual narratives across disciplines and various media, but it also charts important new trajectories for narrative theory at large. Although narratology has branched out in many interesting and new ways during the past two decades or so, it has traditionally been mainly concerned with literary or narrative fiction rather than with manifestations of narrative in nonfictional domains such as historiography, law, medicine, politics, or sociology. While various domains, forms, and functions of factual or reality-focused narratives have recently received some attention, most notably in a volume entitled Wirklichkeitserzählungen (edited by the German narrative theorists Christian Klein and Matías Martinez in 2009), the wide range of uses of narratives to convey facts and true information have still not been studied as comprehensively and systematically as literary narratives, and as they no doubt deserve to be.Although the present volume was originally conceived of as a “reference work for the PhD students of the graduate school” entitled “Factual and Fictional Narration” (which is situated at the University of Freiburg, from which this project originates), the aims and scope of this handbook are so broad that it can indee</w:t>
      </w:r>
    </w:p>
    <w:p>
      <w:pPr/>
      <w:r>
        <w:rPr>
          <w:b/>
        </w:rPr>
        <w:t>POSSIBLE 2022:</w:t>
      </w:r>
      <w:r>
        <w:t xml:space="preserve"> FRAMING AND NARRATIVES AS ASSISTANTS IN ADVANCING A SCIENCE-ORIENTED MINDSET. THE EXAMPLE OF THE POLICE IN THE BALTICS — https://doi.org/10.17770/acj.v1i93.6492</w:t>
      </w:r>
    </w:p>
    <w:p>
      <w:pPr/>
      <w:r>
        <w:rPr>
          <w:b/>
        </w:rPr>
        <w:t>Shared claim-specific concepts:</w:t>
      </w:r>
      <w:r>
        <w:t xml:space="preserve"> three, narratives, key, factors; EU scope not established. This is a provisional connection, not an outcome finding.</w:t>
      </w:r>
    </w:p>
    <w:p>
      <w:pPr>
        <w:pStyle w:val="SourceNote"/>
      </w:pPr>
      <w:r>
        <w:rPr>
          <w:b/>
        </w:rPr>
        <w:t>Available abstract (not full text):</w:t>
      </w:r>
      <w:r>
        <w:t xml:space="preserve"> Country-specific knowledge offered by police science is a necessary precondition for successful policing. However, cursory data on police science in the Baltic countries raises many questions about the real use of scientific knowledge opportunities in these countries.The paper elaborates on a framework to advance a science-oriented mindset in the police. Principles of narratives and framing were used to overcome a possible conflict between scientists and practitioners, and bridge all the parties related to policing. In this framework, scientists should take the lead. External, internal, and strategic factors, as Alisson’s three key management functions, were used to specify factors of the framework in the research. The framing process that holds a focusing function allows the use of discovered narratives and presents a variety of possible future directions. Creating a metanarrative with beginning, middle, and end grasps all the agents and ties into future developments.</w:t>
      </w:r>
    </w:p>
    <w:p>
      <w:pPr/>
      <w:r>
        <w:rPr>
          <w:b/>
        </w:rPr>
        <w:t>POSSIBLE 2022:</w:t>
      </w:r>
      <w:r>
        <w:t xml:space="preserve"> For a narrative hospital : a training model to narrative medicine at the hospital — https://openalex.org/W4399152333</w:t>
      </w:r>
    </w:p>
    <w:p>
      <w:pPr/>
      <w:r>
        <w:rPr>
          <w:b/>
        </w:rPr>
        <w:t>Shared claim-specific concepts:</w:t>
      </w:r>
      <w:r>
        <w:t xml:space="preserve"> three, narratives, elaborated, based; EU scope not established. This is a provisional connection, not an outcome finding.</w:t>
      </w:r>
    </w:p>
    <w:p>
      <w:pPr>
        <w:pStyle w:val="SourceNote"/>
      </w:pPr>
      <w:r>
        <w:rPr>
          <w:b/>
        </w:rPr>
        <w:t>Available abstract (not full text):</w:t>
      </w:r>
      <w:r>
        <w:t xml:space="preserve"> Today, the Narrative Medicine training of health providers has three main challenges. How to overcome the limitations of individual training? How to promote the spread of Narrative Medicine? How to build narrative environments? This dissertation provides theoretical and pragmatic answers by considering the Narrative Medicine training that we have been carrying out at the Centre Hospitalier Intercommunal de Créteil (CHIC) since 2019.At first, we explain the methodology of this project based on the principles and practice of Narrative Medicine, as Rita Charon has elaborated them at Columbia University. At the CHIC, five interprofessional groups attend a two-hour Narrative Medicine workshop once a month: they read, write, and share texts and narratives of different nature (literary, clinical, artistic, and musical). At least, a «literary consultant» and a health professional provide the facilitation.In the light of experience, we developed an innovative three-phase model (Basic Workshops, Creative Workshops, Cofacilitated Workshops), and we describe it broadly. Our goal is to offer a training device that can be transferable and adaptable to other hospitals.Using an approach based on the dialogical research, as established by Arthur Frank, we provide feedback from participants to evaluate the effects of this training on professional wellbeing, narrative competence, and institutiona</w:t>
      </w:r>
    </w:p>
    <w:p>
      <w:pPr>
        <w:pStyle w:val="Heading2"/>
      </w:pPr>
      <w:r>
        <w:t>722. Policy-based Population Projections for the European Union: A Complementary Approach</w:t>
      </w:r>
    </w:p>
    <w:p>
      <w:pPr>
        <w:pStyle w:val="SourceNote"/>
      </w:pPr>
      <w:r>
        <w:rPr>
          <w:b/>
        </w:rPr>
        <w:t>Original source (2019):</w:t>
      </w:r>
      <w:r>
        <w:t xml:space="preserve"> https://doi.org/10.12765/cpos-2019-14</w:t>
      </w:r>
    </w:p>
    <w:p>
      <w:pPr/>
      <w:r>
        <w:t>Original wording (abstract; indexed_source_text_not_full_document_verified): We present new population projections out to 2100 for the countries of the European Union and for the EU as a whole under a wide range of fertility and migration scenarios. We show that demographic policies have the potential to markedly increase or decrease future populations across the EU.</w:t>
      </w:r>
    </w:p>
    <w:p>
      <w:pPr/>
      <w:r>
        <w:rPr>
          <w:b/>
        </w:rPr>
        <w:t>POSSIBLE 2026:</w:t>
      </w:r>
      <w:r>
        <w:t xml:space="preserve"> Old wine in new bottles: A pan-European regional dataset of population and GDP since 1960 — https://doi.org/10.7163/gpol.0330</w:t>
      </w:r>
    </w:p>
    <w:p>
      <w:pPr/>
      <w:r>
        <w:rPr>
          <w:b/>
        </w:rPr>
        <w:t>Shared claim-specific concepts:</w:t>
      </w:r>
      <w:r>
        <w:t xml:space="preserve"> population, union, demographic, across; EU scope visible. This is a provisional connection, not an outcome finding.</w:t>
      </w:r>
    </w:p>
    <w:p>
      <w:pPr>
        <w:pStyle w:val="SourceNote"/>
      </w:pPr>
      <w:r>
        <w:rPr>
          <w:b/>
        </w:rPr>
        <w:t>Available abstract (not full text):</w:t>
      </w:r>
      <w:r>
        <w:t xml:space="preserve"> This article presents a harmonised procedural framework for constructing a new open-access pan-European regional database covering population, GDP, and derived GDP per capita for 1546 regions over the period 1960-2021; the empirical illustrations presented in the article cover the period 1960-2020. The resulting resource is distributed in three supplementary Excel workbooks, one for each variable. Drawing on national and regional sources, including the Maddison Project Database as the main GDP anchor, ARDECO, the Rosés–Wolf regional GDP database, database.earth, and country-specific sources, it provides continuous annual timeseries coverage and broad cross-country comparability. Its main contribution lies in combining pan-European spatial coverage, a six-decade temporal span, and the systematic harmonisation of heterogeneous national and regional data sources. The resource enables analyses of regional income convergence, spatial dynamics, and long-term demographic and economic polarisation across Europe. By extending beyond the European Union, it fills major spatial and temporal gaps in existing resources and creates new opportunities for spatial economic and regional research.</w:t>
      </w:r>
    </w:p>
    <w:p>
      <w:pPr/>
      <w:r>
        <w:rPr>
          <w:b/>
        </w:rPr>
        <w:t>POSSIBLE 2026:</w:t>
      </w:r>
      <w:r>
        <w:t xml:space="preserve"> Engagement in early childhood education: A systematic review of Gypsy, Roma and Traveller populations in Europe — https://doi.org/10.1002/rev3.70180</w:t>
      </w:r>
    </w:p>
    <w:p>
      <w:pPr/>
      <w:r>
        <w:rPr>
          <w:b/>
        </w:rPr>
        <w:t>Shared claim-specific concepts:</w:t>
      </w:r>
      <w:r>
        <w:t xml:space="preserve"> present, population, potential, populations, across; EU scope visible. This is a provisional connection, not an outcome finding.</w:t>
      </w:r>
    </w:p>
    <w:p>
      <w:pPr>
        <w:pStyle w:val="SourceNote"/>
      </w:pPr>
      <w:r>
        <w:rPr>
          <w:b/>
        </w:rPr>
        <w:t>Available abstract (not full text):</w:t>
      </w:r>
      <w:r>
        <w:t xml:space="preserve"> Abstract This systematic review focuses on engagement in early childhood education (ECE) within Gypsy, Roma and Traveller (GRT) communities. ECE increases lifelong educational success rates along with narrowing poverty and equity gaps. Yet the GRT participation rate in ECE is nearly half that of the majority mainstream population. In an effort to understand the underlying barriers and facilitators of engagement in ECE among GRT populations, two search methods were employed: a search of the academic databases and a grey literature search using a defined and informed search strategy (PRISMA). We included studies that were ECE focused and included GRT individuals from the continent of Europe and surrounding islands. All articles in this review were to be published in English and informed by PRISMA guidelines. Five identified qualitative articles were assessed for quality and underwent data extraction. Data were analysed using Thematic Synthesis through NVivo12. Results identified themes that included: first, external barriers, for example, financial means and prejudice. Second, internal barriers such as negative parent ideals and culture. Third, external facilitators, for example, school support, teacher support and parent participation. Last, internal facilitators such as parent motivation along with parent and educator hopes and experiences. This review has the potential to info</w:t>
      </w:r>
    </w:p>
    <w:p>
      <w:pPr/>
      <w:r>
        <w:rPr>
          <w:b/>
        </w:rPr>
        <w:t>POSSIBLE 2025:</w:t>
      </w:r>
      <w:r>
        <w:t xml:space="preserve"> A New Approach to Understanding Population Change in Central and Eastern Europe — https://doi.org/10.1111/padr.70029</w:t>
      </w:r>
    </w:p>
    <w:p>
      <w:pPr/>
      <w:r>
        <w:rPr>
          <w:b/>
        </w:rPr>
        <w:t>Shared claim-specific concepts:</w:t>
      </w:r>
      <w:r>
        <w:t xml:space="preserve"> population, countries, fertility, migration, across; EU scope visible. This is a provisional connection, not an outcome finding.</w:t>
      </w:r>
    </w:p>
    <w:p>
      <w:pPr>
        <w:pStyle w:val="SourceNote"/>
      </w:pPr>
      <w:r>
        <w:rPr>
          <w:b/>
        </w:rPr>
        <w:t>Available abstract (not full text):</w:t>
      </w:r>
      <w:r>
        <w:t xml:space="preserve"> Abstract This study introduces a novel approach to decomposing population change by identifying the separate contributions of fertility, mortality, net migration, and initial age structure using a stationary population model. The strength of this scenario‐based decomposition method lies in the additivity of the results: the contributions of these factors, along with the interaction effect, sum to equal the total population change. In addition, identifying the direct impact of initial age structure on population change offers new insights into the drivers of population dynamics. Central and Eastern Europe (CEE) was one of the regions hit most by population decline between 1990 and 2020; however, it was marked by significant variation across countries. By decomposing population change, we found that the positive impact of the relatively young initial age structure in the CEE region was as large as the population‐reducing effect of negative net migration, while the positive impact of mortality improvement offset one‐third of the population‐reducing effect of low fertility. On the other hand, the initial age structure had a crucial role in explaining differences in country‐level population change during the study period.</w:t>
      </w:r>
    </w:p>
    <w:p>
      <w:pPr/>
      <w:r>
        <w:rPr>
          <w:b/>
        </w:rPr>
        <w:t>POSSIBLE 2024:</w:t>
      </w:r>
      <w:r>
        <w:t xml:space="preserve"> Population Genetics and Invasion History of the European Starling Across Aotearoa New Zealand — https://doi.org/10.1111/mec.17579</w:t>
      </w:r>
    </w:p>
    <w:p>
      <w:pPr/>
      <w:r>
        <w:rPr>
          <w:b/>
        </w:rPr>
        <w:t>Shared claim-specific concepts:</w:t>
      </w:r>
      <w:r>
        <w:t xml:space="preserve"> present, population, countries, range, demographic, across; EU scope visible. This is a provisional connection, not an outcome finding.</w:t>
      </w:r>
    </w:p>
    <w:p>
      <w:pPr>
        <w:pStyle w:val="SourceNote"/>
      </w:pPr>
      <w:r>
        <w:rPr>
          <w:b/>
        </w:rPr>
        <w:t>Available abstract (not full text):</w:t>
      </w:r>
      <w:r>
        <w:t xml:space="preserve"> The expansion of human settlements over the past few centuries is responsible for an unprecedented number of invasive species introductions globally. An important component of biological invasion management is understanding how introduction history and postintroduction processes have jointly shaped present-day distributions and patterns of population structure, diversity and adaptation. One example of a successful invader is the European starling (Sturnus vulgaris), which was intentionally introduced to numerous countries in the 19th century, including Aotearoa New Zealand, where it has become firmly established. We used reduced representation sequencing to characterise the genetic population structure of the European starling in New Zealand, comparing it to that present in sampling locations in the native range and invasive Australian range. The population structure and genetic diversity patterns we found suggested restricted gene flow from the majority of New Zealand to the northmost sampling location (Auckland). We also profiled genetic bottlenecks and shared outlier genomic regions, which supported historical accounts of translocations between both Australian subpopulations and New Zealand, and provided evidence of which documented translocation events were more likely to have been successful. Using these results as well as historic demographic patterns, we demonstrate how </w:t>
      </w:r>
    </w:p>
    <w:p>
      <w:pPr/>
      <w:r>
        <w:rPr>
          <w:b/>
        </w:rPr>
        <w:t>POSSIBLE 2024:</w:t>
      </w:r>
      <w:r>
        <w:t xml:space="preserve"> Population exposure to multiple air pollutants and its compound episodes in Europe — https://doi.org/10.1038/s41467-024-46103-3</w:t>
      </w:r>
    </w:p>
    <w:p>
      <w:pPr/>
      <w:r>
        <w:rPr>
          <w:b/>
        </w:rPr>
        <w:t>Shared claim-specific concepts:</w:t>
      </w:r>
      <w:r>
        <w:t xml:space="preserve"> population, countries, increase, across; EU scope visible. This is a provisional connection, not an outcome finding.</w:t>
      </w:r>
    </w:p>
    <w:p>
      <w:pPr>
        <w:pStyle w:val="SourceNote"/>
      </w:pPr>
      <w:r>
        <w:rPr>
          <w:b/>
        </w:rPr>
        <w:t>Available abstract (not full text):</w:t>
      </w:r>
      <w:r>
        <w:t xml:space="preserve"> Abstract Air pollution remains as a substantial health problem, particularly regarding the combined health risks arising from simultaneous exposure to multiple air pollutants. However, understanding these combined exposure events over long periods has been hindered by sparse and temporally inconsistent monitoring data. Here we analyze daily ambient PM 2.5 , PM 10 , NO 2 and O 3 concentrations at a 0.1-degree resolution during 2003–2019 across 1426 contiguous regions in 35 European countries, representing 543 million people. We find that PM10 levels decline by 2.72% annually, followed by NO 2 (2.45%) and PM 2.5 (1.72%). In contrast, O 3 increase by 0.58% in southern Europe, leading to a surge in unclean air days. Despite air quality advances, 86.3% of Europeans experience at least one compound event day per year, especially for PM 2.5 -NO 2 and PM 2.5 -O 3 . We highlight the improvements in air quality control but emphasize the need for targeted measures addressing specific pollutants and their compound events, particularly amidst rising temperatures.</w:t>
      </w:r>
    </w:p>
    <w:p>
      <w:pPr/>
      <w:r>
        <w:rPr>
          <w:b/>
        </w:rPr>
        <w:t>POSSIBLE 2023:</w:t>
      </w:r>
      <w:r>
        <w:t xml:space="preserve"> Assessing the energy security of European Union countries from two perspectives – A new integrated approach based on MCDM methods — https://doi.org/10.1016/j.apenergy.2023.121443</w:t>
      </w:r>
    </w:p>
    <w:p>
      <w:pPr/>
      <w:r>
        <w:rPr>
          <w:b/>
        </w:rPr>
        <w:t>Shared claim-specific concepts:</w:t>
      </w:r>
      <w:r>
        <w:t xml:space="preserve"> out, countries, union; EU scope visible. This is a provisional connection, not an outcome finding.</w:t>
      </w:r>
    </w:p>
    <w:p>
      <w:pPr>
        <w:pStyle w:val="SourceNote"/>
      </w:pPr>
      <w:r>
        <w:rPr>
          <w:b/>
        </w:rPr>
        <w:t>Available abstract (not full text):</w:t>
      </w:r>
      <w:r>
        <w:t xml:space="preserve"> The subject of this article concerns a crucial issue of energy security in the European Union countries, especially during the war in Ukraine. The paper presents the results of a study aimed at assessing the level of energy security of EU-27 countries from two perspectives (for two variants of analysis). The first variant assesses the level of energy security of EU-27 countries, which is derived from a traditional approach related to the availability of energy sources at affordable prices (energy and economic factors). The second variant assesses the level of energy security from the perspective of sustainable development, the so-called sustainable energy security, which, in addition to energy and economic factors, also takes into account environmental and social factors. The multi-criteria nature of the subject matter undertaken determined the adoption of methodology based on Multiple-criteria decision-making methods (MCDM) for the study. Also, the author's integrated approach based on indicator weighting methods and MCDM methods was used. The CRiteria Importance Through Intercriteria Correlation (CRITIC) and standard deviation (SD) methods were utilized to determine indicator weights, and the Grey relational analysis (GRA) and the Technique for Order of Preference by Similarity to Ideal Solution (TOPSIS) methods were used for the core part of the research. Based on the propos</w:t>
      </w:r>
    </w:p>
    <w:p>
      <w:pPr/>
      <w:r>
        <w:rPr>
          <w:b/>
        </w:rPr>
        <w:t>POSSIBLE 2023:</w:t>
      </w:r>
      <w:r>
        <w:t xml:space="preserve"> NEW PARADIGM OF THE VOCATIONAL EDUCATIONAL DEVELOPMENT IN EUROPEAN UNION COUNTRIES — https://doi.org/10.30525/978-9934-26-310-1-11</w:t>
      </w:r>
    </w:p>
    <w:p>
      <w:pPr/>
      <w:r>
        <w:rPr>
          <w:b/>
        </w:rPr>
        <w:t>Shared claim-specific concepts:</w:t>
      </w:r>
      <w:r>
        <w:t xml:space="preserve"> out, countries, union; EU scope visible. This is a provisional connection, not an outcome finding.</w:t>
      </w:r>
    </w:p>
    <w:p>
      <w:pPr>
        <w:pStyle w:val="SourceNote"/>
      </w:pPr>
      <w:r>
        <w:rPr>
          <w:b/>
        </w:rPr>
        <w:t>Available abstract (not full text):</w:t>
      </w:r>
      <w:r>
        <w:t xml:space="preserve"> The basic concepts and legal principles of the formation and implementation of a new paradigm of the educational policy of the European Union are presented. It outlines strategic guidelines for the development and modernization of vocational education due to the main challenges of modern civilization. The principles of implementation are defined and the directions of development of continuous vocational education are characterized. The purpose of the paper is to identify and substantiate system-wide trends in the development of vocational education in the European Union in the context of the implementation of the lifelong education strategy. The article shows the specifics of the organization of continuous education in European countries that are currently leaders in this field and the problems that arise in the way of the implementation of the lifelong education strategy. Determination of mechanisms for regulating continuous education and substantiation of laws that determine the current processes of development of continuous vocational education within the framework of European integration. Methodology of the study is based on the use of a set of methods determined by the peculiarity of the research problem: analysis of domestic and foreign scientific literature, synthesis, systematization, generalization, abstraction, and the interpretative-analytical method, which are used </w:t>
      </w:r>
    </w:p>
    <w:p>
      <w:pPr/>
      <w:r>
        <w:rPr>
          <w:b/>
        </w:rPr>
        <w:t>POSSIBLE 2023:</w:t>
      </w:r>
      <w:r>
        <w:t xml:space="preserve"> Cytogeography of Naturalized Solidago canadensis Populations in Europe — https://doi.org/10.3390/plants12051113</w:t>
      </w:r>
    </w:p>
    <w:p>
      <w:pPr/>
      <w:r>
        <w:rPr>
          <w:b/>
        </w:rPr>
        <w:t>Shared claim-specific concepts:</w:t>
      </w:r>
      <w:r>
        <w:t xml:space="preserve"> range, populations; EU scope visible. This is a provisional connection, not an outcome finding.</w:t>
      </w:r>
    </w:p>
    <w:p>
      <w:pPr>
        <w:pStyle w:val="SourceNote"/>
      </w:pPr>
      <w:r>
        <w:rPr>
          <w:b/>
        </w:rPr>
        <w:t>Available abstract (not full text):</w:t>
      </w:r>
      <w:r>
        <w:t xml:space="preserve"> Autopolyploidization has driven the successful invasion of Solidago canadensis in East Asia. However, it was believed that only diploid S. canadensis invaded Europe, whereas polyploids never did. Here, molecular identification, ploidy level, and morphological traits of ten S. canadensis populations collected in Europe were compared with previously identified S. canadensis populations from other continents and S. altissima populations. Furthermore, the ploidy-driven geographical differentiation pattern of S. canadensis in different continents was investigated. All ten European populations were identified as S. canadensis with five diploid and five hexaploid populations. Significant differences in morphological traits existed among diploids and polyploids (tetraploids and hexaploids), rather than between polyploids from different introduced ranges and between S. altissima and polyploidy S. canadensis. The invasive hexaploids and diploids had few differences in latitudinal distributions in Europe, which was similar to the native range but different from a distinct climate-niche differentiation in Asia. This may be attributed to the bigger difference in climate between Asia and Europe and North America. The morphological and molecular evidences proved the invasion of polyploid S. canadensis in Europe and suggest that S. altissima may be merged into a complex of S. canadensis specie</w:t>
      </w:r>
    </w:p>
    <w:p>
      <w:pPr/>
      <w:r>
        <w:rPr>
          <w:b/>
        </w:rPr>
        <w:t>POSSIBLE 2023:</w:t>
      </w:r>
      <w:r>
        <w:t xml:space="preserve"> Farmland practices are driving bird population decline across Europe — https://doi.org/10.1073/pnas.2216573120</w:t>
      </w:r>
    </w:p>
    <w:p>
      <w:pPr/>
      <w:r>
        <w:rPr>
          <w:b/>
        </w:rPr>
        <w:t>Shared claim-specific concepts:</w:t>
      </w:r>
      <w:r>
        <w:t xml:space="preserve"> population, countries, populations, across; EU scope visible. This is a provisional connection, not an outcome finding.</w:t>
      </w:r>
    </w:p>
    <w:p>
      <w:pPr>
        <w:pStyle w:val="SourceNote"/>
      </w:pPr>
      <w:r>
        <w:rPr>
          <w:b/>
        </w:rPr>
        <w:t>Available abstract (not full text):</w:t>
      </w:r>
      <w:r>
        <w:t xml:space="preserve"> 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w:t>
      </w:r>
    </w:p>
    <w:p>
      <w:pPr/>
      <w:r>
        <w:rPr>
          <w:b/>
        </w:rPr>
        <w:t>POSSIBLE 2023:</w:t>
      </w:r>
      <w:r>
        <w:t xml:space="preserve"> The Quality of Life of the European Population: SHARE Data-based Analysis — https://doi.org/10.17713/ajs.v52i1.1101</w:t>
      </w:r>
    </w:p>
    <w:p>
      <w:pPr/>
      <w:r>
        <w:rPr>
          <w:b/>
        </w:rPr>
        <w:t>Shared claim-specific concepts:</w:t>
      </w:r>
      <w:r>
        <w:t xml:space="preserve"> present, population, countries, whole; EU scope visible. This is a provisional connection, not an outcome finding.</w:t>
      </w:r>
    </w:p>
    <w:p>
      <w:pPr>
        <w:pStyle w:val="SourceNote"/>
      </w:pPr>
      <w:r>
        <w:rPr>
          <w:b/>
        </w:rPr>
        <w:t>Available abstract (not full text):</w:t>
      </w:r>
      <w:r>
        <w:t xml:space="preserve"> The quality of life, well-being and deprivation are significant factors affecting the ageing European population. The fifth (2013) wave of the Survey of Health, Ageing and Retirement in Europe (SHARE) covers the two indices of (material and social) deprivation along with various life quality and satisfaction indicators measuring (subjective and objective) well-being. Using the SHARE data, the present paper examines the 50+ population in 13 EU member states and Switzerland, emphasizing the relationships between distinctive characteristics. The gender gap is quantified for both the whole sample and particular age groups. Statistical comparisons between old and new EU countries are limited since only three of the latter (Estonia, Slovenia and the Czech Republic) took part in the 2013 SHARE survey.</w:t>
      </w:r>
    </w:p>
    <w:p>
      <w:pPr/>
      <w:r>
        <w:rPr>
          <w:b/>
        </w:rPr>
        <w:t>POSSIBLE 2023:</w:t>
      </w:r>
      <w:r>
        <w:t xml:space="preserve"> Functional Morphology as an Indicator of European Eel Population Status — https://doi.org/10.3390/d15121223</w:t>
      </w:r>
    </w:p>
    <w:p>
      <w:pPr/>
      <w:r>
        <w:rPr>
          <w:b/>
        </w:rPr>
        <w:t>Shared claim-specific concepts:</w:t>
      </w:r>
      <w:r>
        <w:t xml:space="preserve"> present, population, migration, populations, across; EU scope visible. This is a provisional connection, not an outcome finding.</w:t>
      </w:r>
    </w:p>
    <w:p>
      <w:pPr>
        <w:pStyle w:val="SourceNote"/>
      </w:pPr>
      <w:r>
        <w:rPr>
          <w:b/>
        </w:rPr>
        <w:t>Available abstract (not full text):</w:t>
      </w:r>
      <w:r>
        <w:t xml:space="preserve"> In the area of the Neretva delta in the eastern Adriatic, where the European eel, Anguilla anguilla (Linnaeus, 1758) has been traditionally fished for centuries, a decline in its population has been observed, as in most of Europe. Despite several studies, systematic monitoring was not performed, and the causes of population decline are attributed to anthropogenic stressors, mainly overfishing and interventions that disrupt the migration. With the stock at a low level, there is a need for a detailed assessment of biological data and the determination of the “zero state” of the eel population in the areas where monitoring was not previously performed, such as the Neretva delta. This data would serve as a basis for the development of an appropriate monitoring and eel management plan. One of the under-researched aspects is still the eel’s morphology, which is closely related to all basic life functions. The aim of this work was to analyze in detail the morphological parameters of yellow and silver eels from the mouth of the Neretva River in different seasons and the relationships between the measured morphometric parameters and physiological indicators and to compare them with previously published results for different life stages across Europe. The samples were collected during spring, summer and autumn of 2021, and winter of 2022. Yellow eels were present in the catch throughout </w:t>
      </w:r>
    </w:p>
    <w:p>
      <w:pPr/>
      <w:r>
        <w:rPr>
          <w:b/>
        </w:rPr>
        <w:t>POSSIBLE 2022:</w:t>
      </w:r>
      <w:r>
        <w:t xml:space="preserve"> Prevalence of most common skin diseases in Europe: a population‐based study — https://doi.org/10.1111/jdv.18050</w:t>
      </w:r>
    </w:p>
    <w:p>
      <w:pPr/>
      <w:r>
        <w:rPr>
          <w:b/>
        </w:rPr>
        <w:t>Shared claim-specific concepts:</w:t>
      </w:r>
      <w:r>
        <w:t xml:space="preserve"> population, countries, policies, across; EU scope visible. This is a provisional connection, not an outcome finding.</w:t>
      </w:r>
    </w:p>
    <w:p>
      <w:pPr>
        <w:pStyle w:val="SourceNote"/>
      </w:pPr>
      <w:r>
        <w:rPr>
          <w:b/>
        </w:rPr>
        <w:t>Available abstract (not full text):</w:t>
      </w:r>
      <w:r>
        <w:t xml:space="preserve"> BACKGROUND: The assessment of the prevalence of diseases is of primary importance in planning health policies. No complete data on the prevalence of skin diseases across European countries are available. OBJECTIVE: To estimate the prevalence of the most frequent skin conditions or diseases in 27 European countries (24 EU countries, plus Norway, Switzerland, and the United Kingdom). METHODS: We conducted a population-based study on representative and extrapolable samples of the general population aged 18 years or more in each of the 27 countries surveyed. Participants were selected using stratified, proportional sampling with a replacement design. Data were collected using a web-based online survey. All participants were asked to fill in a questionnaire with sociodemographic data and to declare if they have had one or more skin conditions or diseases during the previous 12 months. RESULTS: A total of 44 689 participants from 27 countries responded to the questionnaire, 21 887 (48.98%) men and 22 802 (51.02%) women. The proportion of participants who reported having suffered from at least one dermatological condition or disease during the previous 12 months was 43.35% (95% CI: 42.89%, 43.81%). The projection in the total population of the 27 countries included in the study resulted in 185 103 774 individuals affected by at least one dermatological condition or disease. Accordingl</w:t>
      </w:r>
    </w:p>
    <w:p>
      <w:pPr>
        <w:pStyle w:val="Heading2"/>
      </w:pPr>
      <w:r>
        <w:t>723. Population Projection Revisions and Their Impact on Economic Growth – The Case of Malta</w:t>
      </w:r>
    </w:p>
    <w:p>
      <w:pPr>
        <w:pStyle w:val="SourceNote"/>
      </w:pPr>
      <w:r>
        <w:rPr>
          <w:b/>
        </w:rPr>
        <w:t>Original source (2019):</w:t>
      </w:r>
      <w:r>
        <w:t xml:space="preserve"> https://doi.org/10.5296/rae.v11i3.15285</w:t>
      </w:r>
    </w:p>
    <w:p>
      <w:pPr/>
      <w:r>
        <w:t>Original wording (abstract; indexed_source_text_not_full_document_verified): Typically, in short-term economic forecasts, population projections, and their related impact on the availability of labour, tend to be the most stable component. Using the standard production function approach to estimate potential output growth, these revisions change very substantially expectations of economic expansion.</w:t>
      </w:r>
    </w:p>
    <w:p>
      <w:pPr/>
      <w:r>
        <w:rPr>
          <w:b/>
        </w:rPr>
        <w:t>POSSIBLE 2026:</w:t>
      </w:r>
      <w:r>
        <w:t xml:space="preserve"> Economic Burden of Physical Inactivity in Europe — https://doi.org/10.71125/sporteconres.25</w:t>
      </w:r>
    </w:p>
    <w:p>
      <w:pPr/>
      <w:r>
        <w:rPr>
          <w:b/>
        </w:rPr>
        <w:t>Shared claim-specific concepts:</w:t>
      </w:r>
      <w:r>
        <w:t xml:space="preserve"> population; EU scope visible. This is a provisional connection, not an outcome finding.</w:t>
      </w:r>
    </w:p>
    <w:p>
      <w:pPr>
        <w:pStyle w:val="SourceNote"/>
      </w:pPr>
      <w:r>
        <w:rPr>
          <w:b/>
        </w:rPr>
        <w:t>Available abstract (not full text):</w:t>
      </w:r>
      <w:r>
        <w:t xml:space="preserve"> Physical inactivity (PI) is a well-established risk factor for the development of several diseases and represents a major public health challenge in Europe. Beyond this clinical impact, PI is associated with a significant economic burden, both in direct and indirect healthcare (HC) costs. This study aims to evaluate the economic burden of PI in Europe, with a particular focus on HC-related costs. A systematic review was conducted by searching PubMed up to March 2025, following PRISMA guidelines. Of the 319 studies initially identified, 17 met the inclusion criteria. The methodologies were diverse, particularly in terms of physical activity assessment, population characteristics, methodology, and the costs analyzed. Overall, the studies indicate that PI is associated with a higher economic burden, primarily impacting direct HC costs (only three studies addressing indirect costs). In addition to costs, four studies evaluated the Disability-Adjusted Life Years attributable to PI. Cardiovascular diseases and cancer were the most studied conditions. Furthermore, several studies highlighted the beneficial economic effects of interventions aimed at increasing physical activity. In conclusion, PI imposes a significant economic burden on HC systems in Europe, reinforcing its relevance as a public health priority. These findings emphasize the urgent need for effective strategies and poli</w:t>
      </w:r>
    </w:p>
    <w:p>
      <w:pPr/>
      <w:r>
        <w:rPr>
          <w:b/>
        </w:rPr>
        <w:t>POSSIBLE 2026:</w:t>
      </w:r>
      <w:r>
        <w:t xml:space="preserve"> Future Urban Heat Risk Assessment in Sydney: Integrating Satellite-Derived UTCI with Population Projections — https://doi.org/10.5194/isprs-annals-xii-4-w2-2026-137-2026</w:t>
      </w:r>
    </w:p>
    <w:p>
      <w:pPr/>
      <w:r>
        <w:rPr>
          <w:b/>
        </w:rPr>
        <w:t>Shared claim-specific concepts:</w:t>
      </w:r>
      <w:r>
        <w:t xml:space="preserve"> population, projections, approach; EU scope not established. This is a provisional connection, not an outcome finding.</w:t>
      </w:r>
    </w:p>
    <w:p>
      <w:pPr>
        <w:pStyle w:val="SourceNote"/>
      </w:pPr>
      <w:r>
        <w:rPr>
          <w:b/>
        </w:rPr>
        <w:t>Available abstract (not full text):</w:t>
      </w:r>
      <w:r>
        <w:t xml:space="preserve"> Urban heat stress poses an intensifying public health challenge in Australian cities, with Sydney facing increasingly severe summer thermal conditions. We present a reproducible framework for metropolitan-scale future heat risk assessment that integrates satellite-derived Universal Thermal Climate Index (UTCI) with demographic projections to 2031. We define the UTCI-Population Index (UPI), a composite indicator that quantifies population-weighted heat exposure at Travel Zone resolution across Sydney. We implemented two complementary satellite-based approaches: (1) trend-based extrapolation of the GloUTCI-M global UTCI dataset within Google Earth Engine to predict 2031 summer UTCI at 1 km resolution, and (2) a high-resolution spatial downscaling that combines ERA5-HEAT physically consistent UTCI at 28 km with Landsat 8/9 land surface temperature at 30 m, further refined by 3D solar radiation modelling and nine-station BOM bias correction to produce a pedestrian-level UTCI surface. The resulting UPI maps highlight priority zones where high projected thermal stress coincides with large future resident populations, supporting targeted heat adaptation planning. Approach 1 enables long-term metropolitan-scale future projection, while Approach 2 provides more than 30-fold higher spatial resolution for precinct-level intervention design. The two approaches are designed for future integ</w:t>
      </w:r>
    </w:p>
    <w:p>
      <w:pPr/>
      <w:r>
        <w:rPr>
          <w:b/>
        </w:rPr>
        <w:t>POSSIBLE 2026:</w:t>
      </w:r>
      <w:r>
        <w:t xml:space="preserve"> Short-Term Costs, Long-Term Gains: The Behavioral Challenge of Sustainability Regulation in the European Union — https://doi.org/10.21818/001c.159849</w:t>
      </w:r>
    </w:p>
    <w:p>
      <w:pPr/>
      <w:r>
        <w:rPr>
          <w:b/>
        </w:rPr>
        <w:t>Shared claim-specific concepts:</w:t>
      </w:r>
      <w:r>
        <w:t xml:space="preserve"> short-term, related; EU scope visible. This is a provisional connection, not an outcome finding.</w:t>
      </w:r>
    </w:p>
    <w:p>
      <w:pPr>
        <w:pStyle w:val="SourceNote"/>
      </w:pPr>
      <w:r>
        <w:rPr>
          <w:b/>
        </w:rPr>
        <w:t>Available abstract (not full text):</w:t>
      </w:r>
      <w:r>
        <w:t xml:space="preserve"> This editorial examines the behavioral and political dynamics that shape sustainability regulation in the European Union. While policy initiatives such as the European Green Deal and related directives reflect ambitious long-term goals, they often encounter resistance during implementation as short-term economic costs become more visible. Drawing on insights from behavioral economics, the analysis highlights how present bias, loss aversion, and political time horizons contribute to the softening or delay of regulatory measures. The editorial argues that effective sustainability governance requires not only strong policy design, but also an understanding of how individuals and institutions respond to temporal trade-offs and uncertainty.</w:t>
      </w:r>
    </w:p>
    <w:p>
      <w:pPr/>
      <w:r>
        <w:rPr>
          <w:b/>
        </w:rPr>
        <w:t>POSSIBLE 2026:</w:t>
      </w:r>
      <w:r>
        <w:t xml:space="preserve"> Government Policy, Financial Deepening and Economic Growth in Central and Eastern Europe — https://openalex.org/W7162059004</w:t>
      </w:r>
    </w:p>
    <w:p>
      <w:pPr/>
      <w:r>
        <w:rPr>
          <w:b/>
        </w:rPr>
        <w:t>Shared claim-specific concepts:</w:t>
      </w:r>
      <w:r>
        <w:t xml:space="preserve"> typically, short-term, availability; EU scope visible. This is a provisional connection, not an outcome finding.</w:t>
      </w:r>
    </w:p>
    <w:p>
      <w:pPr>
        <w:pStyle w:val="SourceNote"/>
      </w:pPr>
      <w:r>
        <w:rPr>
          <w:b/>
        </w:rPr>
        <w:t>Available abstract (not full text):</w:t>
      </w:r>
      <w:r>
        <w:t xml:space="preserve"> One of the questions that must be addressed by any developing country, especially those emerging from communism, is what the government’s role in financial deepening should be. In the years following the collapse of the Soviet Union, the countries of Central and Eastern Europe took quite different paths toward democratization and economic privatization. Several countries privatized immediately despite the imminent short-term economic pain privatization induced. Other countries tried to ease carefully into a privatized economy. It is well understood that there is a relationship between finance and economic growth; however, little literature focuses on the government’s role in financial deepening in the developing world. This research is unique and adds to the growing body of literature on the topic of financial deepening by quantitatively testing the economic impact of government subsidies, credit availability, and political stability on Albania, Bulgaria, Bosnia and Herzegovina, Czechia, Estonia, Croatia, Hungary, Lithuania, Latvia, Moldova, Montenegro, Poland, Romania, Slovak Republic, Russia, Slovenia, and Ukraine from the years 1996 to 2019. Following the quantitative study, the research embarks on case studies of Poland, Russia, Estonia, and the Slovak Republic to determine the impact different levels of governmental intervention has on economic growth. This research adds t</w:t>
      </w:r>
    </w:p>
    <w:p>
      <w:pPr/>
      <w:r>
        <w:rPr>
          <w:b/>
        </w:rPr>
        <w:t>POSSIBLE 2026:</w:t>
      </w:r>
      <w:r>
        <w:t xml:space="preserve"> Classical biological control of invasive aquatic weeds in Great Britain and Europe — https://doi.org/10.3897/aca.9.e204108</w:t>
      </w:r>
    </w:p>
    <w:p>
      <w:pPr/>
      <w:r>
        <w:rPr>
          <w:b/>
        </w:rPr>
        <w:t>Shared claim-specific concepts:</w:t>
      </w:r>
      <w:r>
        <w:t xml:space="preserve"> typically, population, function, approach, potential; EU scope visible. This is a provisional connection, not an outcome finding.</w:t>
      </w:r>
    </w:p>
    <w:p>
      <w:pPr>
        <w:pStyle w:val="SourceNote"/>
      </w:pPr>
      <w:r>
        <w:rPr>
          <w:b/>
        </w:rPr>
        <w:t>Available abstract (not full text):</w:t>
      </w:r>
      <w:r>
        <w:t xml:space="preserve"> Invasive aquatic weeds pose major threats to biodiversity, ecosystem function, economic activity and leisure use of freshwater habitats. Dense infestations alter hydrology, displace native species, impede navigation, and impose substantial management costs on water authorities and land managers. Effective long‑term control is a high priority. Mechanical and manual control approaches are widely used but are typically short term, costly, and must be repeated regularly to maintain suppression. Restrictions on herbicide use in and around water bodies in the EU and Great Britain due to concerns over non‑target impacts and water quality limit the potential role of this management tool. These constraints limit the efficacy and economic viability of conventional management techniques for long term control and intensify the need for alternative solutions. Classical biological control (CBC) offers a highly selective, environmentally benign and self‑sustaining approach to invasive weed management. Following rigorous host‑specificity testing, carefully selected natural enemies from a weed’s native range are released to provide population regulation in perpetuity, often at landscape scales and with minimal ongoing intervention. CBC targeting aquatic weeds has delivered impressive outcomes against numerous targets on multiple continents, with long‑term ecological and economic benefits which </w:t>
      </w:r>
    </w:p>
    <w:p>
      <w:pPr/>
      <w:r>
        <w:rPr>
          <w:b/>
        </w:rPr>
        <w:t>POSSIBLE 2026:</w:t>
      </w:r>
      <w:r>
        <w:t xml:space="preserve"> Arbitrage in Short-Term Electricity Markets: Economic Value of Multidimensional Ensemble Forecasts — https://doi.org/10.37190/ord/217347</w:t>
      </w:r>
    </w:p>
    <w:p>
      <w:pPr/>
      <w:r>
        <w:rPr>
          <w:b/>
        </w:rPr>
        <w:t>Shared claim-specific concepts:</w:t>
      </w:r>
      <w:r>
        <w:t xml:space="preserve"> short-term, forecasts, standard, approach; EU scope not established. This is a provisional connection, not an outcome finding.</w:t>
      </w:r>
    </w:p>
    <w:p>
      <w:pPr>
        <w:pStyle w:val="SourceNote"/>
      </w:pPr>
      <w:r>
        <w:rPr>
          <w:b/>
        </w:rPr>
        <w:t>Available abstract (not full text):</w:t>
      </w:r>
      <w:r>
        <w:t xml:space="preserve"> Generated quantity and market prices are major risk sources for electricity market participants, especially renewable producers with intermittent generation. Before delivery, wind and solar plants must decide their day-ahead bids, which, through deviations from actual generation, determine the direction and volume of intraday trade. We identify an arbitrage opportunity between these short-term markets that increases expected profits and reduces trading risk. To exploit it, we propose a novel multiple-split approach for estimating multidimensional probabilistic forecasts of market fundamentals. This semi-parametric method produces ensembles preserving true error correlations and supports forecasting of linear and nonlinear functions such as price spreads, residual load, or trading income. Using German electricity market data, we demonstrate superior predictive and economic performance over standard benchmarks.</w:t>
      </w:r>
    </w:p>
    <w:p>
      <w:pPr/>
      <w:r>
        <w:rPr>
          <w:b/>
        </w:rPr>
        <w:t>POSSIBLE 2025:</w:t>
      </w:r>
      <w:r>
        <w:t xml:space="preserve"> An Age-Structured Multi-Regional Projection of India's Population: A Leslie Matrix Model for Internal Migration — https://doi.org/10.35629/6734-14103240</w:t>
      </w:r>
    </w:p>
    <w:p>
      <w:pPr/>
      <w:r>
        <w:rPr>
          <w:b/>
        </w:rPr>
        <w:t>Shared claim-specific concepts:</w:t>
      </w:r>
      <w:r>
        <w:t xml:space="preserve"> population, stable, standard; EU scope not established. This is a provisional connection, not an outcome finding.</w:t>
      </w:r>
    </w:p>
    <w:p>
      <w:pPr>
        <w:pStyle w:val="SourceNote"/>
      </w:pPr>
      <w:r>
        <w:rPr>
          <w:b/>
        </w:rPr>
        <w:t>Available abstract (not full text):</w:t>
      </w:r>
      <w:r>
        <w:t xml:space="preserve"> This paper extends previous analyses of India's population dynamics by developing a multi-regional, agestructured projection model based on the Leslie matrix framework. Standard cohort-component models often assume closed populations, which is untenable in the Indian context due to its vast internal migration flows driven by profound regional demographic and economic disparities. This study formulates and parameterizes a two-region (North-South) Leslie-type model, incorporating age-specific fertility, mortality, and inter-regional migration rates derived from Census and National Sample Survey data. We conduct comparative simulations to quantify the demographic impact of migration on the long-term population size, growth rate (λ), and stable age distribution of both sending and receiving regions. The findings reveal that migration acts as a significant demographic rebalancing mechanism, accelerating population aging in the destination states of the South while slowing the youth bulge in the source states of the North. These results have critical implications for the trajectory of the demographic dividend, future labor markets, and the strategic allocation of social sector investments across the nation. The paper concludes with policy recommendations for creating a migrantinclusive framework for sustainable and equitable development.</w:t>
      </w:r>
    </w:p>
    <w:p>
      <w:pPr/>
      <w:r>
        <w:rPr>
          <w:b/>
        </w:rPr>
        <w:t>POSSIBLE 2025:</w:t>
      </w:r>
      <w:r>
        <w:t xml:space="preserve"> Global gridded population projection via spatial econometric model considering rank-size rule — https://doi.org/10.1088/2515-7620/ae0d52</w:t>
      </w:r>
    </w:p>
    <w:p>
      <w:pPr/>
      <w:r>
        <w:rPr>
          <w:b/>
        </w:rPr>
        <w:t>Shared claim-specific concepts:</w:t>
      </w:r>
      <w:r>
        <w:t xml:space="preserve"> population, projections, component, standard; EU scope not established. This is a provisional connection, not an outcome finding.</w:t>
      </w:r>
    </w:p>
    <w:p>
      <w:pPr>
        <w:pStyle w:val="SourceNote"/>
      </w:pPr>
      <w:r>
        <w:rPr>
          <w:b/>
        </w:rPr>
        <w:t>Available abstract (not full text):</w:t>
      </w:r>
      <w:r>
        <w:t xml:space="preserve"> Abstract Global gridded population (GGP) projections that are consistent with shared socioeconomic pathways are widely used. However, existing approaches for generating future GGPs have several limitations, including difficulties in incorporating covariates, a lack of consideration of city-level interactions, and insufficient integration of the empirical rule observed in the distribution of city sizes across years. This study attempts to address this gap by introducing a multiscale GGP projection model consisting of city- and grid-level models. The city-level model comprises a spatial econometric model that models city growth and decline, alongside a rank-size model that introduces the empirical rules as macro-level constraints. A random forest was employed for the grid-level model. For validation, the model was trained on Japanese Grid Square Statistics (approximately 1 km2), based on population census data from 2000 to 2010, and its forecast accuracy was evaluated against 2020 data. The results show a root mean squared percentage error of 1.17% between the observed and predicted values. Moreover, to assess the model’s applicability for projecting GGPs in the distant future, the 2070 forecast was compared with that from a standard cohort component model. The results indicate that the spatial patterns produced by the two models are similar, with an RMSPE of 1.89%. This RMSPE va</w:t>
      </w:r>
    </w:p>
    <w:p>
      <w:pPr/>
      <w:r>
        <w:rPr>
          <w:b/>
        </w:rPr>
        <w:t>POSSIBLE 2025:</w:t>
      </w:r>
      <w:r>
        <w:t xml:space="preserve"> Life-history variation mediates the importance of population structure to the short-term dynamics of plant populations worldwide — https://doi.org/10.32942/x2kd2s</w:t>
      </w:r>
    </w:p>
    <w:p>
      <w:pPr/>
      <w:r>
        <w:rPr>
          <w:b/>
        </w:rPr>
        <w:t>Shared claim-specific concepts:</w:t>
      </w:r>
      <w:r>
        <w:t xml:space="preserve"> short-term, population; EU scope not established. This is a provisional connection, not an outcome finding.</w:t>
      </w:r>
    </w:p>
    <w:p>
      <w:pPr>
        <w:pStyle w:val="SourceNote"/>
      </w:pPr>
      <w:r>
        <w:rPr>
          <w:b/>
        </w:rPr>
        <w:t>Available abstract (not full text):</w:t>
      </w:r>
      <w:r>
        <w:t xml:space="preserve"> A population’s structure (i.e., the distribution of individuals across the life cycle of a species) influences how it responds to environmental changes and recurrent disturbances, and shapes its vulnerability to extinction. Yet, despite compelling evidence that population structures are rarely stationary over time, assessments of population viability have only recently begun to consider how a population’s structure interacts with its vital rates of survival, development, and fecundity to determine its demographic performance. Using 268 comparisons of population dynamics in 56 plant species across differing time periods, locations, and/or experimental treatments, we use transient Life Table Response Experiments (tLTREs) to quantify how changes in population structure and vital rates contribute to observed variation in demographic performance. We illustrate how changes in population structure are major contributors to short-term (i.e. transient) demographic performance, and are just as important as the effects of, more routinely evaluated, changes in survival and fecundity rates for informing population viability assessments. Moreover, these contribution patterns challenge prevailing understanding of the links between plant growth form and population viability. Accordingly, we emphasise how quantifying the effects of population structure on transient population dynamics can revea</w:t>
      </w:r>
    </w:p>
    <w:p>
      <w:pPr/>
      <w:r>
        <w:rPr>
          <w:b/>
        </w:rPr>
        <w:t>POSSIBLE 2024:</w:t>
      </w:r>
      <w:r>
        <w:t xml:space="preserve"> Population projections, the flow of new households and structural housing demand — https://doi.org/10.26504/rs190</w:t>
      </w:r>
    </w:p>
    <w:p>
      <w:pPr/>
      <w:r>
        <w:rPr>
          <w:b/>
        </w:rPr>
        <w:t>Shared claim-specific concepts:</w:t>
      </w:r>
      <w:r>
        <w:t xml:space="preserve"> population, projections, very; EU scope visible. This is a provisional connection, not an outcome finding.</w:t>
      </w:r>
    </w:p>
    <w:p>
      <w:pPr>
        <w:pStyle w:val="SourceNote"/>
      </w:pPr>
      <w:r>
        <w:rPr>
          <w:b/>
        </w:rPr>
        <w:t>Available abstract (not full text):</w:t>
      </w:r>
      <w:r>
        <w:t xml:space="preserve"> This report provides estimates of structural (demographic) housing demand at a regional level. Any assessment of structural future housing demand relies on assumptions around (1) population growth, (2) headship rates (the typical household size) and (3) rates of obsolescence of the housing stock. Each of these key drivers of structural housing demand is subject to uncertainty, therefore a range of alternative assumptions for each key driver is considered and results from a range of scenarios are presented. Ireland has experienced rapid population growth in recent years, both compared to historical experience and relative to the EU. Census 2022 data reveals that the population was 5.184 million, having increased by 422 thousand or by 9 per cent since 2016. The recent data means that many previous population scenarios for Ireland have underestimated population growth over the short term. Net migration is the key driver of population change in Ireland and net migration flows have been very strong in recent years. As in the past, while all regions experienced population growth, the growth has not been evenly dispersed throughout the country. At a national level, the population grew at an annual average growth of 1.4 per cent between 2016 and 2022; the Eastern and Midlands region experienced the strongest growth of 1.6 per cent (driven especially by growth in the Mid-East). At a nat</w:t>
      </w:r>
    </w:p>
    <w:p>
      <w:pPr/>
      <w:r>
        <w:rPr>
          <w:b/>
        </w:rPr>
        <w:t>POSSIBLE 2024:</w:t>
      </w:r>
      <w:r>
        <w:t xml:space="preserve"> Fiscal projections are sensitive to population assumptions — https://doi.org/10.1787/a6ac7397-en</w:t>
      </w:r>
    </w:p>
    <w:p>
      <w:pPr/>
      <w:r>
        <w:rPr>
          <w:b/>
        </w:rPr>
        <w:t>Shared claim-specific concepts:</w:t>
      </w:r>
      <w:r>
        <w:t xml:space="preserve"> population, projections; EU scope not established. This is a provisional connection, not an outcome finding.</w:t>
      </w:r>
    </w:p>
    <w:p>
      <w:pPr>
        <w:pStyle w:val="SourceNote"/>
      </w:pPr>
      <w:r>
        <w:rPr>
          <w:b/>
        </w:rPr>
        <w:t>Available abstract (not full text):</w:t>
      </w:r>
      <w:r>
        <w:t xml:space="preserve"> Japan has navigated the dual shock of the pandemic and the energy crisis well. However, significant headwinds from weak global growth, geopolitical tensions and high inflation highlight the importance of enhancing the Japanese economy’s resilience to shocks. In a context of inflation, which has risen above target, and pressures from divergent monetary policy from peers, adjustments to monetary policy settings have commenced. Given high public debt, fiscal consolidation to rebuild fiscal buffers, underpinned by a credible medium-term fiscal framework to put the debt-to-GDP ratio on a clear downward path, is key. Longer-term sustainability also requires reducing greenhouse gas emissions in line with government targets, calling for green investment, innovation and carbon pricing. Reforms to improve the innovation framework and incentives for start-ups are key to boost productivity and address ageing pressures. Removing obstacles to the employment of women and older persons and making greater use of foreign workers are also essential to counter demographic headwinds. Strengthening the financial position of young people and policies to support families and children, such as improved parental leave, would help to reverse the downward trend in the fertility rate. SPECIAL FEATURE: ADDRESSING DEMOGRAPHIC HEADWINDS</w:t>
      </w:r>
    </w:p>
    <w:p>
      <w:pPr/>
      <w:r>
        <w:rPr>
          <w:b/>
        </w:rPr>
        <w:t>POSSIBLE 2023:</w:t>
      </w:r>
      <w:r>
        <w:t xml:space="preserve"> The Macro Impact of Short‐Termism — https://doi.org/10.3982/ecta15420</w:t>
      </w:r>
    </w:p>
    <w:p>
      <w:pPr/>
      <w:r>
        <w:rPr>
          <w:b/>
        </w:rPr>
        <w:t>Shared claim-specific concepts:</w:t>
      </w:r>
      <w:r>
        <w:t xml:space="preserve"> forecasts, standard, estimate; EU scope not established. This is a provisional connection, not an outcome finding.</w:t>
      </w:r>
    </w:p>
    <w:p>
      <w:pPr>
        <w:pStyle w:val="SourceNote"/>
      </w:pPr>
      <w:r>
        <w:rPr>
          <w:b/>
        </w:rPr>
        <w:t>Available abstract (not full text):</w:t>
      </w:r>
      <w:r>
        <w:t xml:space="preserve"> R&amp;D investment reduces current profits, so short‐term pressure to hit profit targets may distort R&amp;D. In the data, firms just meeting Wall Street forecasts have lower R&amp;D growth and subsequent innovation, while managers just missing receive lower pay. But short‐termist distortions might not quantitatively matter if aggregation or equilibrium dampen their impact. So I build and estimate a quantitative endogenous growth model in which short‐termism arises naturally as discipline on conflicted managers and boosts firm value by about 1%. But short‐termism reduces R&amp;D, and the social return to R&amp;D is higher than the private return due to standard channels including knowledge spillovers and imperfect competition. So at the macro level, short‐termist distortions slow growth by 5 basis points yearly and lower social welfare by about 1%.</w:t>
      </w:r>
    </w:p>
    <w:p>
      <w:pPr>
        <w:pStyle w:val="Heading2"/>
      </w:pPr>
      <w:r>
        <w:t>724. Scenarios for population health inequalities in 2030 in Europe: the EURO-HEALTHY project experience</w:t>
      </w:r>
    </w:p>
    <w:p>
      <w:pPr>
        <w:pStyle w:val="SourceNote"/>
      </w:pPr>
      <w:r>
        <w:rPr>
          <w:b/>
        </w:rPr>
        <w:t>Original source (2019):</w:t>
      </w:r>
      <w:r>
        <w:t xml:space="preserve"> https://doi.org/10.1186/s12939-019-1000-8</w:t>
      </w:r>
    </w:p>
    <w:p>
      <w:pPr/>
      <w:r>
        <w:t>Original wording (abstract; indexed_source_text_not_full_document_verified): OBJECTIVE: This paper describes the three 2030 time-horizon scenarios developed under the EURO-HEALTHY project, depicting the key factors that may affect the evolution of PH inequalities across European regions. METHODS: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organized into coherent scenario structures using the Extreme-World Method; and iii) validation of scenario structures and generation of scenario narratives.</w:t>
      </w:r>
    </w:p>
    <w:p>
      <w:pPr/>
      <w:r>
        <w:rPr>
          <w:b/>
        </w:rPr>
        <w:t>POSSIBLE 2026:</w:t>
      </w:r>
      <w:r>
        <w:t xml:space="preserve"> Landscape Report on Diamond OA Publishing: Europe — https://doi.org/10.5281/zenodo.19236088</w:t>
      </w:r>
    </w:p>
    <w:p>
      <w:pPr/>
      <w:r>
        <w:rPr>
          <w:b/>
        </w:rPr>
        <w:t>Shared claim-specific concepts:</w:t>
      </w:r>
      <w:r>
        <w:t xml:space="preserve"> objective, three, regions; EU scope visible. This is a provisional connection, not an outcome finding.</w:t>
      </w:r>
    </w:p>
    <w:p>
      <w:pPr>
        <w:pStyle w:val="SourceNote"/>
      </w:pPr>
      <w:r>
        <w:rPr>
          <w:b/>
        </w:rPr>
        <w:t>Available abstract (not full text):</w:t>
      </w:r>
      <w:r>
        <w:t xml:space="preserve"> The presentation introduces the Landscape Report on Diamond Open Access Publishing in Africa, Europe, and Latin America and focuses on the findings relating to Europe. The main objective of the report is to describe the systemic conditions and public policies that surround the development of the Diamond OA scholarly publishing model in each country, followed by an analysis of each of the three world regions. The country-level analysis includes a review of legal frameworks, specific policies, funding mechanisms, incentives and recognition systems, digital infrastructures and platforms, institutional support, human resources, the collaboration mechanisms between publishing services and editorial service providers, and editorial quality certification mechanisms. In addition, it includes a set of actions required to develop and strengthen national Diamond OA scholarly publishing systems.</w:t>
      </w:r>
    </w:p>
    <w:p>
      <w:pPr/>
      <w:r>
        <w:rPr>
          <w:b/>
        </w:rPr>
        <w:t>POSSIBLE 2025:</w:t>
      </w:r>
      <w:r>
        <w:t xml:space="preserve"> Europe as a subject and object of epistemic reflection — https://doi.org/10.30574/wjarr.2025.27.1.2547</w:t>
      </w:r>
    </w:p>
    <w:p>
      <w:pPr/>
      <w:r>
        <w:rPr>
          <w:b/>
        </w:rPr>
        <w:t>Shared claim-specific concepts:</w:t>
      </w:r>
      <w:r>
        <w:t xml:space="preserve"> three, key, approach; EU scope visible. This is a provisional connection, not an outcome finding.</w:t>
      </w:r>
    </w:p>
    <w:p>
      <w:pPr>
        <w:pStyle w:val="SourceNote"/>
      </w:pPr>
      <w:r>
        <w:rPr>
          <w:b/>
        </w:rPr>
        <w:t>Available abstract (not full text):</w:t>
      </w:r>
      <w:r>
        <w:t xml:space="preserve"> This study proposes a critical and theoretical approach from the social sciences, particularly anthropology and the philosophy of science, to analyze Europe as a subject and object of epistemic reflection. Through a hermeneutic and postfoundational approach, the author examines the emergence of modern science in Europe, its institutional consolidation, and its subsequent questioning from internal (Foucault, Kuhn, Derrida) and external (postcolonial and global south) perspectives. The analysis identifies three key moments: the constitution of the modern European scientific paradigm based on rationality, empiricism, and objectivity; The critique of these foundations from within European tradition itself and from postcolonial thought; and the emergence of a global need to pluralize science by recognizing other forms of knowledge. The text argues that Europe has played a dual role: creator of modern scientific thought and critique of its own heritage. The article's value lies in its ability to interpret Europe as an "epistemic mirror" where continuity and rupture, creation and deconstruction, converge. It introduces a powerful metaphor—the Ouroboros- to describe the self-reflexive dynamics of European science, and links this process to current debates on epistemologies of the South, the pluriverse, and the vital relevance of knowledge. The text concludes that Europe, in facing its </w:t>
      </w:r>
    </w:p>
    <w:p>
      <w:pPr/>
      <w:r>
        <w:rPr>
          <w:b/>
        </w:rPr>
        <w:t>POSSIBLE 2025:</w:t>
      </w:r>
      <w:r>
        <w:t xml:space="preserve"> Europe as a subject and object of epistemic reflection — https://doi.org/10.5281/zenodo.17519703</w:t>
      </w:r>
    </w:p>
    <w:p>
      <w:pPr/>
      <w:r>
        <w:rPr>
          <w:b/>
        </w:rPr>
        <w:t>Shared claim-specific concepts:</w:t>
      </w:r>
      <w:r>
        <w:t xml:space="preserve"> three, key, approach; EU scope visible. This is a provisional connection, not an outcome finding.</w:t>
      </w:r>
    </w:p>
    <w:p>
      <w:pPr>
        <w:pStyle w:val="SourceNote"/>
      </w:pPr>
      <w:r>
        <w:rPr>
          <w:b/>
        </w:rPr>
        <w:t>Available abstract (not full text):</w:t>
      </w:r>
      <w:r>
        <w:t xml:space="preserve"> This study proposes a critical and theoretical approach from the social sciences, particularly anthropology and the philosophy of science, to analyze Europe as a subject and object of epistemic reflection. Through a hermeneutic and postfoundational approach, the author examines the emergence of modern science in Europe, its institutional consolidation, and its subsequent questioning from internal (Foucault, Kuhn, Derrida) and external (postcolonial and global south) perspectives. The analysis identifies three key moments: the constitution of the modern European scientific paradigm based on rationality, empiricism, and objectivity; The critique of these foundations from within European tradition itself and from postcolonial thought; and the emergence of a global need to pluralize science by recognizing other forms of knowledge. The text argues that Europe has played a dual role: creator of modern scientific thought and critique of its own heritage. The article's value lies in its ability to interpret Europe as an "epistemic mirror" where continuity and rupture, creation and deconstruction, converge. It introduces a powerful metaphor—the Ouroboros- to describe the self-reflexive dynamics of European science, and links this process to current debates on epistemologies of the South, the pluriverse, and the vital relevance of knowledge. The text concludes that Europe, in facing its </w:t>
      </w:r>
    </w:p>
    <w:p>
      <w:pPr/>
      <w:r>
        <w:rPr>
          <w:b/>
        </w:rPr>
        <w:t>POSSIBLE 2025:</w:t>
      </w:r>
      <w:r>
        <w:t xml:space="preserve"> Seroepidemiology of maternal and childhood pathogen exposure in three European mother-child cohorts — https://doi.org/10.1016/j.ijid.2025.107994</w:t>
      </w:r>
    </w:p>
    <w:p>
      <w:pPr/>
      <w:r>
        <w:rPr>
          <w:b/>
        </w:rPr>
        <w:t>Shared claim-specific concepts:</w:t>
      </w:r>
      <w:r>
        <w:t xml:space="preserve"> three, factors, across, methods, expected; EU scope visible. This is a provisional connection, not an outcome finding.</w:t>
      </w:r>
    </w:p>
    <w:p>
      <w:pPr>
        <w:pStyle w:val="SourceNote"/>
      </w:pPr>
      <w:r>
        <w:rPr>
          <w:b/>
        </w:rPr>
        <w:t>Available abstract (not full text):</w:t>
      </w:r>
      <w:r>
        <w:t xml:space="preserve"> OBJECTIVES: To describe the epidemiology of common pathogens and risk factors among pregnant women and their children. METHODS: In three European population-based birth cohorts, we examined 2213 mother-child pairs, contributing 5036 blood samples from pregnancy to 12 years of age. We measured serum immunoglobulin G levels against polyomaviruses (BKPyV, JCPyV, KIPyV, WUPyV, MCPyV), herpesviruses (Epstein-Barr virus [EBV], cytomegalovirus [CMV], varicella-zoster virus), adenovirus 36, Helicobacter pylori, and Toxoplasma gondii with multiplex serology. RESULTS: Among pregnant women, seroprevalence ranged from 18.7% (H. pylori) to 95.7% (EBV); among 4-6-year-old children, seroprevalence ranged from 3.6% (H. pylori) to 88.4% (BKPyV). Although most primary infections occurred in the first 4 years of life, some children had primary infections at later ages. Seropositive mothers were more likely to have seropositive children, but an intergenerational decrease in seroprevalence was evident for herpesviruses and H. pylori. There were sizeable differences between countries for H. pylori and T. gondii. Non-western ethnicity mothers and their children were more likely to be infected. Female sex (WUPyV, MCPyV, CMV), breastfeeding (CMV), early daycare attendance (CMV, H. pylori), and obesity (JCPyV, EBV, Adv-36) were associated with child's seroprevalence. CONCLUSIONS: European children acqui</w:t>
      </w:r>
    </w:p>
    <w:p>
      <w:pPr/>
      <w:r>
        <w:rPr>
          <w:b/>
        </w:rPr>
        <w:t>POSSIBLE 2025:</w:t>
      </w:r>
      <w:r>
        <w:t xml:space="preserve"> Pathway narratives towards a nature-positive European Union land system: operationalising the Nature Futures Framework for policy objectives — https://doi.org/10.1007/s11625-025-01737-0</w:t>
      </w:r>
    </w:p>
    <w:p>
      <w:pPr/>
      <w:r>
        <w:rPr>
          <w:b/>
        </w:rPr>
        <w:t>Shared claim-specific concepts:</w:t>
      </w:r>
      <w:r>
        <w:t xml:space="preserve"> three, developed, across; EU scope visible. This is a provisional connection, not an outcome finding.</w:t>
      </w:r>
    </w:p>
    <w:p>
      <w:pPr>
        <w:pStyle w:val="SourceNote"/>
      </w:pPr>
      <w:r>
        <w:rPr>
          <w:b/>
        </w:rPr>
        <w:t>Available abstract (not full text):</w:t>
      </w:r>
      <w:r>
        <w:t xml:space="preserve"> The Nature Futures Framework (NFF) aims to open up space for plural perspectives on human-nature relationships and to identify visions for people to navigate towards desirable nature-positive futures. Operationalising the NFF offers a way to explore alternative pathways to reach these futures, but such applications are currently underdeveloped. Normative narratives can describe pathways towards nature-positive futures based on environmental policy objectives and the diverse values within and across societies. Here, we review the EU's policy objectives for land systems, biodiversity, climate, and the environment, including the European Green Deal, to identify actions and create pathway narratives at the EU scale that lead to a nature-positive future. Specifically, we developed three pathway narratives along the three NFF value perspectives that are distinct in how they implement actions to achieve EU policy objectives. In Nature for Nature, the restoration of natural processes is prioritised, in Nature as Culture/One with Nature the connection of people with nature is emphasised, and in Nature for Society development focuses on safeguarding ecosystem services. Whilst clear differences in the valuation of nature between the pathway narratives may lead to trade-offs, we also see several potential synergies for meeting policy objectives. These narratives can inform models to quanti</w:t>
      </w:r>
    </w:p>
    <w:p>
      <w:pPr/>
      <w:r>
        <w:rPr>
          <w:b/>
        </w:rPr>
        <w:t>POSSIBLE 2024:</w:t>
      </w:r>
      <w:r>
        <w:t xml:space="preserve"> Soil bulk density assessment in Europe — https://doi.org/10.1016/j.agee.2024.108907</w:t>
      </w:r>
    </w:p>
    <w:p>
      <w:pPr/>
      <w:r>
        <w:rPr>
          <w:b/>
        </w:rPr>
        <w:t>Shared claim-specific concepts:</w:t>
      </w:r>
      <w:r>
        <w:t xml:space="preserve"> three, developed, applied; EU scope visible. This is a provisional connection, not an outcome finding.</w:t>
      </w:r>
    </w:p>
    <w:p>
      <w:pPr>
        <w:pStyle w:val="SourceNote"/>
      </w:pPr>
      <w:r>
        <w:rPr>
          <w:b/>
        </w:rPr>
        <w:t>Available abstract (not full text):</w:t>
      </w:r>
      <w:r>
        <w:t xml:space="preserve"> The topsoil Land Use and Cover Area frame Statistical survey (LUCAS) aims at collecting harmonised data about the state of soil health over the extent of European Union (EU). In the LUCAS 2018 survey, bulk density has been analysed for three depths, i.e., 0–10 cm = 6140 sites; 10–20 cm = 5684 sites and 20–30 cm =139 sites. The laboratory analysis and the assessment of the results conclude that the bulk density at 10–20 cm is 5–10% higher compared to 0–10 cm for all land uses except woodlands (20%). In the 0–20 cm depth, croplands have 1.5 times higher bulk density (mean: 1.26 g cm−3) compared to woodlands (mean: 0.83 g cm−3). The main driver for bulk density variation is the land use which implies that many existing pedotransfer rules have to be developed based on land use. This study applied a methodological framework using an advanced Cubist rule-based regression model to optimize the spatial prediction of bulk density in Europe. We spatialised the circa 6000 LUCAS samples and developed the high-resolution map (100 m) of bulk density for the 0–20 cm depth and the maps at 0–10 and 10–20 cm depth. The modelling results showed a very good prediction (R2: 0.66) of bulk density for the 0–20 cm depth which outperforms previous assessments. The bulk density maps can be used to estimate packing density which is a proxy to estimate soil compaction. Therefore, this work contributes to </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across, regions, methods;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2022:</w:t>
      </w:r>
      <w:r>
        <w:t xml:space="preserve"> Branch-and-bound and objective branching with three or more objectives — https://doi.org/10.1016/j.cor.2022.106012</w:t>
      </w:r>
    </w:p>
    <w:p>
      <w:pPr/>
      <w:r>
        <w:rPr>
          <w:b/>
        </w:rPr>
        <w:t>Shared claim-specific concepts:</w:t>
      </w:r>
      <w:r>
        <w:t xml:space="preserve"> objective, three, inequalities, applied; EU scope not established. This is a provisional connection, not an outcome finding.</w:t>
      </w:r>
    </w:p>
    <w:p>
      <w:pPr>
        <w:pStyle w:val="SourceNote"/>
      </w:pPr>
      <w:r>
        <w:rPr>
          <w:b/>
        </w:rPr>
        <w:t>Available abstract (not full text):</w:t>
      </w:r>
      <w:r>
        <w:t xml:space="preserve"> The recent success of bi-objective Branch-and-Bound (B&amp;B) algorithms heavily relies on the efficient computation of upper and lower bound sets. These bound sets are used as a supplement to the classical dominance test to improve the computational time by imposing inequalities derived from (partial) dominance in the objective space. This process is called objective branching since it is mostly applied when generating child nodes. In this paper, we extend the concept of objective branching to multi-objective integer optimization problems with three or more objective functions. Several difficulties arise in this case, as there is no longer a lexicographic order among non-dominated outcome vectors when there are three or more objectives. We discuss the general concept of objective branching in any number of dimensions and suggest a merging operation of local upper bounds to avoid the generation of redundant sub-problems. Finally, results from extensive experimental studies on several classes of multi-objective optimization problems is reported.</w:t>
      </w:r>
    </w:p>
    <w:p>
      <w:pPr/>
      <w:r>
        <w:rPr>
          <w:b/>
        </w:rPr>
        <w:t>POSSIBLE 2022:</w:t>
      </w:r>
      <w:r>
        <w:t xml:space="preserve"> European Registry of Cardiac Arrest – Study-THREE (EuReCa THREE) – An international, prospective, multi-centre, three-month survey of epidemiology, treatment and outcome of patients with out-of-hospital cardiac arrest in Europe – The study protocol — https://doi.org/10.1016/j.resplu.2022.100314</w:t>
      </w:r>
    </w:p>
    <w:p>
      <w:pPr/>
      <w:r>
        <w:rPr>
          <w:b/>
        </w:rPr>
        <w:t>Shared claim-specific concepts:</w:t>
      </w:r>
      <w:r>
        <w:t xml:space="preserve"> three, project, key, methods; EU scope visible. This is a provisional connection, not an outcome finding.</w:t>
      </w:r>
    </w:p>
    <w:p>
      <w:pPr>
        <w:pStyle w:val="SourceNote"/>
      </w:pPr>
      <w:r>
        <w:rPr>
          <w:b/>
        </w:rPr>
        <w:t>Available abstract (not full text):</w:t>
      </w:r>
      <w:r>
        <w:t xml:space="preserve"> Background: The aim of the European Registry of Cardiac Arrest (EuReCa) network is to provide high quality evidence on epidemiology of out-of-hospital cardiac arrest (OHCA) in Europe by supporting and developing cardiac arrest registries and performing European-wide studies. To date, the EuReCa ONE and EuReCa TWO studies have involved around 28 countries, with population covered increasing from the first to the second study. The aim of the EuReCa THREE study is to build on previous work and to support the promotion of quality data collection on OHCA throughout Europe. Methods/design: EuReCa THREE will be the third prospective cohort study on epidemiology of OHCA and will involve around 30 European countries. The study will be conducted between 1st September and 30th November 2022. Data will be collected on cardiac arrest cases attended, resuscitation attempted, patient and cardiac arrest event characteristics and outcomes (including return of spontaneous circulation, status on hospital arrival and discharge). A particular focus for EuReCa THREE will be to describe key time intervals in OHCA management; time from call to EMS arrival on scene, time from cardiac arrest to start CPR, time from EMS arrival to delivery of patient to hospital.EuReCa THREE was registered with the German Registry of Clinical Trials Registration Number: DRKS00028591 searchable via WHO meta-registry (http</w:t>
      </w:r>
    </w:p>
    <w:p>
      <w:pPr/>
      <w:r>
        <w:rPr>
          <w:b/>
        </w:rPr>
        <w:t>POSSIBLE 2022:</w:t>
      </w:r>
      <w:r>
        <w:t xml:space="preserve"> Meeting the European green deal objective of expanding organic farming — https://doi.org/10.24136/eq.2022.021</w:t>
      </w:r>
    </w:p>
    <w:p>
      <w:pPr/>
      <w:r>
        <w:rPr>
          <w:b/>
        </w:rPr>
        <w:t>Shared claim-specific concepts:</w:t>
      </w:r>
      <w:r>
        <w:t xml:space="preserve"> objective, three, developed, methods, approach; EU scope visible. This is a provisional connection, not an outcome finding.</w:t>
      </w:r>
    </w:p>
    <w:p>
      <w:pPr>
        <w:pStyle w:val="SourceNote"/>
      </w:pPr>
      <w:r>
        <w:rPr>
          <w:b/>
        </w:rPr>
        <w:t>Available abstract (not full text):</w:t>
      </w:r>
      <w:r>
        <w:t xml:space="preserve"> Research background: Economic growth is unsustainable. However, a circular economy has the potential to lead to sustainable development, while decoupling economic growth from the negative consequences of resource depletion and environmental degradation. The EU's strategy of climate neutralization in 2050 developed, inter alia, into a European Green Deal action plan aiming at the efficient use of resources by moving to a cleaner, circular economy. More sustainable EU food system is a cornerstone of the European Green Deal. The European Commission's goal is 25% of agricultural land to be used for organic production in 2030. The question is if it is possible to reach the objective with the use of current incentives. What else may be done to encourage European farmers to convert to organic farming? Purpose of the article: The aim of this research is to review the development of organic agriculture in Europe and the EU and to identify incentives for farmers to convert to organic farming. Methods: First of all, the methodological approach is to iteratively review the existing literature to frame the problem. Secondly, the data on organic agriculture in Europe is to be analyzed to answer the research questions. The analysis is based on international statistics, mainly collected by FiBL, IFOAM, EC Agri-food data portal and Eurostat..Fitting the trend functions to the actual data has be</w:t>
      </w:r>
    </w:p>
    <w:p>
      <w:pPr/>
      <w:r>
        <w:rPr>
          <w:b/>
        </w:rPr>
        <w:t>POSSIBLE 2022:</w:t>
      </w:r>
      <w:r>
        <w:t xml:space="preserve"> COVID-19 in Europe: from outbreak to vaccination — https://doi.org/10.1186/s12889-022-14454-5</w:t>
      </w:r>
    </w:p>
    <w:p>
      <w:pPr/>
      <w:r>
        <w:rPr>
          <w:b/>
        </w:rPr>
        <w:t>Shared claim-specific concepts:</w:t>
      </w:r>
      <w:r>
        <w:t xml:space="preserve"> objective, three, affect, across, methods, approach; EU scope visible. This is a provisional connection, not an outcome finding.</w:t>
      </w:r>
    </w:p>
    <w:p>
      <w:pPr>
        <w:pStyle w:val="SourceNote"/>
      </w:pPr>
      <w:r>
        <w:rPr>
          <w:b/>
        </w:rPr>
        <w:t>Available abstract (not full text):</w:t>
      </w:r>
      <w:r>
        <w:t xml:space="preserve"> BACKGROUND: COVID-19 is a pandemic of unprecedented proportions in recent human history. To date, the world has paid a high toll in terms of human lives lost, and on economic, financial, and social repercussions. In Europe, countries tried to mobilize all resources available to contain the COVID-19 effects, but the outcomes are diverse across countries. There have also been massive efforts geared towards finding safe and effective vaccines and to distribute them massively to the population. The main objective of this paper is to describe the COVID-19 prevalence in Europe. Secondly, it aims to identify epidemiological typologies allowing to distinguish the countries in terms of their response to the pandemic, and finally assess the effect of vaccination on pandemic control. METHODS: The study covers 30 European countries: EU 27 in addition to Norway, Switzerland, and United Kingdom. Four epidemiological variables are analyzed at two distinct moments, at the end of 2020 and at the beginning of 2022: total number of cases per million, total number of deaths per million, total number of tests per thousand, and case fatality rate. In a second step, it uses a fuzzy approach, namely archetypal analysis, to identify epidemiological typologies, and positions countries by their response to the pandemic. Finally, it assesses how vaccination, stringency measures, booster doses and populati</w:t>
      </w:r>
    </w:p>
    <w:p>
      <w:pPr/>
      <w:r>
        <w:rPr>
          <w:b/>
        </w:rPr>
        <w:t>POSSIBLE 2022:</w:t>
      </w:r>
      <w:r>
        <w:t xml:space="preserve"> Collaborative development of composite indices from qualitative value judgements: The EURO-HEALTHY Population Health Index model — https://doi.org/10.1016/j.ejor.2022.05.037</w:t>
      </w:r>
    </w:p>
    <w:p>
      <w:pPr/>
      <w:r>
        <w:rPr>
          <w:b/>
        </w:rPr>
        <w:t>Shared claim-specific concepts:</w:t>
      </w:r>
      <w:r>
        <w:t xml:space="preserve"> developed, euro-healthy, project, key, inequalities, across; EU scope visible. This is a provisional connection, not an outcome finding.</w:t>
      </w:r>
    </w:p>
    <w:p>
      <w:pPr>
        <w:pStyle w:val="SourceNote"/>
      </w:pPr>
      <w:r>
        <w:rPr>
          <w:b/>
        </w:rPr>
        <w:t>Available abstract (not full text):</w:t>
      </w:r>
      <w:r>
        <w:t xml:space="preserve"> Promoting participation and combining evidence with expert knowledge in constructing composite indices that can be meaningfully interpreted are key open challenges identified in performance measurement literature. To address them, this article proposes a sociotechnical decision-aid process, under a collaborative value-modelling framework, rooted in both process consultation and multicriteria value measurement principles. It consists of two phases (structuring and model building), each one developed in a sequence of non-face-to-face (Web-Delphi) and face-to-face (decision conferencing) group processes, designed to allow for increased participation. Performance indicators are selected and structured in a value-tree (phase one), upon which a group hierarchical additive value-function model is built (phase two), supported by the MACBETH multicriteria decision-support system. Collaborative questioning protocols allow to elicit and reconcile individual qualitative value judgements, in a Web-Delphi platform. The collective knowledge thus acquired is used in decision conferencing with a core group to define value functions and weights. Extensive sensitivity and robustness analyses serve to test the requisiteness of the model, giving rise to a shared structure of composite indices. The proposed approach was shaped within the EURO-HEALTHY project, to create a Population Health Index inte</w:t>
      </w:r>
    </w:p>
    <w:p>
      <w:pPr>
        <w:pStyle w:val="Heading2"/>
      </w:pPr>
      <w:r>
        <w:t>725. Seeds of good anthropocenes: developing sustainability scenarios for Northern Europe</w:t>
      </w:r>
    </w:p>
    <w:p>
      <w:pPr>
        <w:pStyle w:val="SourceNote"/>
      </w:pPr>
      <w:r>
        <w:rPr>
          <w:b/>
        </w:rPr>
        <w:t>Original source (2019):</w:t>
      </w:r>
      <w:r>
        <w:t xml:space="preserve"> https://doi.org/10.1007/s11625-019-00714-8</w:t>
      </w:r>
    </w:p>
    <w:p>
      <w:pPr/>
      <w:r>
        <w:t>Original wording (abstract; indexed_source_text_not_full_document_verified): Those that have been developed tend to focus on the role of a few common, large-scale external drivers, such as technology or environmental policy, even though pathways of positive change are often driven by surprising or bottom-up initiatives that most scenarios assume are unchanging. We describe an approach, pioneered in Southern Africa and tested here in a new context in Northern Europe, to developing scenarios using existing bottom-up transformative initiatives to examine plausible transitions towards positive, sustainable futures.</w:t>
      </w:r>
    </w:p>
    <w:p>
      <w:pPr/>
      <w:r>
        <w:rPr>
          <w:b/>
        </w:rPr>
        <w:t>POSSIBLE 2026:</w:t>
      </w:r>
      <w:r>
        <w:t xml:space="preserve"> Hydrological drought but not flood synchronicity increases over Europe — https://doi.org/10.5194/egusphere-egu26-4770</w:t>
      </w:r>
    </w:p>
    <w:p>
      <w:pPr/>
      <w:r>
        <w:rPr>
          <w:b/>
        </w:rPr>
        <w:t>Shared claim-specific concepts:</w:t>
      </w:r>
      <w:r>
        <w:t xml:space="preserve"> those, tend, large-scale, driven; EU scope visible. This is a provisional connection, not an outcome finding.</w:t>
      </w:r>
    </w:p>
    <w:p>
      <w:pPr>
        <w:pStyle w:val="SourceNote"/>
      </w:pPr>
      <w:r>
        <w:rPr>
          <w:b/>
        </w:rPr>
        <w:t>Available abstract (not full text):</w:t>
      </w:r>
      <w:r>
        <w:t xml:space="preserve"> Spatially synchronized drought or flood events, that is the co-occurrence of drought/flood in multiple locations, can have severe impacts that challenge water and emergency management because they require resources in multiple places at once. Climate change can affect the frequency of such compound events because of its influence on drought and flood generation processes. While the impacts of climate change on local hydrological extreme events are well studied, its impact on event synchronicity remains uncertain. Here, we investigate how hydrological drought and flood synchronicities have changed in Europe during the period 1981-2020 using observations from 4299 streamflow stations. Our results show that drought synchronicity has grown significantly, most strongly in Central Europe, and that years with spatially extensive drought tend to follow one another. In contrast, flood synchronicity has remained relatively stable. Regionally, regions of growing drought synchronicity show decreasing flood synchronicity, and vice versa. Synchronicity trends are mostly in line with those of local frequencies suggesting that trends in synchronicity are mainly driven by overall frequencies, rather than by the spatial distribution of events. The observed growth in drought synchronicity highlights the need to develop adaptation measures to more frequent large-scale droughts.</w:t>
      </w:r>
    </w:p>
    <w:p>
      <w:pPr/>
      <w:r>
        <w:rPr>
          <w:b/>
        </w:rPr>
        <w:t>POSSIBLE 2025:</w:t>
      </w:r>
      <w:r>
        <w:t xml:space="preserve"> The European Union’s role in European defence industry policy — https://doi.org/10.1080/14702436.2025.2472694</w:t>
      </w:r>
    </w:p>
    <w:p>
      <w:pPr/>
      <w:r>
        <w:rPr>
          <w:b/>
        </w:rPr>
        <w:t>Shared claim-specific concepts:</w:t>
      </w:r>
      <w:r>
        <w:t xml:space="preserve"> role, often, initiatives; EU scope visible. This is a provisional connection, not an outcome finding.</w:t>
      </w:r>
    </w:p>
    <w:p>
      <w:pPr>
        <w:pStyle w:val="SourceNote"/>
      </w:pPr>
      <w:r>
        <w:rPr>
          <w:b/>
        </w:rPr>
        <w:t>Available abstract (not full text):</w:t>
      </w:r>
      <w:r>
        <w:t xml:space="preserve"> The European Union has often been described as an economic giant but a political dwarf. It has a security and defence policy, but it is not a military alliance. Despite this, the defence industry has been on the EU’s agenda for years. This development reached a new phase in 2021 when the EU budget included almost 8 billion Euro in a European Defence Fund, strengthened when the EU in 2022 acted decisively to supply Ukraine with arms and ammunition, and strengthened yet again in March 2024 when it presented a comprehensive European Defence Industrial Strategy and European Defence Industry Programme. At first glance the developments may seem counterintuitive. What makes a mainly civilian organisation develop into an actor in defence industry policy? Departing from four dilemmas arising from the specific challenges with ownership of the defence industry and efforts to create a European defence market, this article identifies the challenges that different EU initiatives try to solve, analyses economic, political and strategic rationales of the development, analyses the four dilemmas in light of the development, and discusses how it relates to the EU’s raison d’être with regard to European defence.</w:t>
      </w:r>
    </w:p>
    <w:p>
      <w:pPr/>
      <w:r>
        <w:rPr>
          <w:b/>
        </w:rPr>
        <w:t>POSSIBLE 2024:</w:t>
      </w:r>
      <w:r>
        <w:t xml:space="preserve"> Trends and geographic variation in adverse impacts of nitrogen use in Europe on human health, climate, and ecosystems: A review — https://doi.org/10.1016/j.earscirev.2024.104789</w:t>
      </w:r>
    </w:p>
    <w:p>
      <w:pPr/>
      <w:r>
        <w:rPr>
          <w:b/>
        </w:rPr>
        <w:t>Shared claim-specific concepts:</w:t>
      </w:r>
      <w:r>
        <w:t xml:space="preserve"> those, tend, environmental, positive; EU scope visible. This is a provisional connection, not an outcome finding.</w:t>
      </w:r>
    </w:p>
    <w:p>
      <w:pPr>
        <w:pStyle w:val="SourceNote"/>
      </w:pPr>
      <w:r>
        <w:rPr>
          <w:b/>
        </w:rPr>
        <w:t>Available abstract (not full text):</w:t>
      </w:r>
      <w:r>
        <w:t xml:space="preserve"> This paper presents a review of the trends and geographic variation of impacts of reactive nitrogen (N) inputs on in Europe through impacts on air, soil and water quality. It illustrates those impacts, by assessing temporal and spatial variation in air, soil and water quality indicators and their exceedances of critical thresholds in view of impacts on human health, terrestrial and aquatic ecosystems, during 1990-2019. Trends are derived from regular inventory and monitoring data and from simulated trends in air quality using the EMEP model. Well quantified adverse impacts of increased N use are: (i) the effects on human health due to increased tropospheric concentrations of NOx and ozone, and N-induced increases in fine particulate matter, (ii) the contribution of N2O to climate change and stratospheric ozone depletion, (iii) the loss of plant and faunal diversity both in terrestrial and aquatic ecosystems via direct and soil mediated impacts, (iv) the acidification of forest soils, with impacts on tree forest nutrition, tree growth and tree vitality, and (v) the eutrophication of marine ecosystems, and associated biodiversity loss and occurrence of harmful algae blooms. Over the period 1990-2019, N inputs to agriculture stayed relatively constant, but the emissions of ammonia (NH3) decreased by 27%, while emissions of nitrogen oxides (NOx) decreased by 57%. In response to tho</w:t>
      </w:r>
    </w:p>
    <w:p>
      <w:pPr/>
      <w:r>
        <w:rPr>
          <w:b/>
        </w:rPr>
        <w:t>POSSIBLE 2023:</w:t>
      </w:r>
      <w:r>
        <w:t xml:space="preserve"> The role of urban agriculture in food-energy-water nexus policies: Insights from Europe and the U.S — https://doi.org/10.1016/j.landurbplan.2023.104848</w:t>
      </w:r>
    </w:p>
    <w:p>
      <w:pPr/>
      <w:r>
        <w:rPr>
          <w:b/>
        </w:rPr>
        <w:t>Shared claim-specific concepts:</w:t>
      </w:r>
      <w:r>
        <w:t xml:space="preserve"> role, few; EU scope visible. This is a provisional connection, not an outcome finding.</w:t>
      </w:r>
    </w:p>
    <w:p>
      <w:pPr>
        <w:pStyle w:val="SourceNote"/>
      </w:pPr>
      <w:r>
        <w:rPr>
          <w:b/>
        </w:rPr>
        <w:t>Available abstract (not full text):</w:t>
      </w:r>
      <w:r>
        <w:t xml:space="preserve"> The growth of urban agriculture (UA) has raised the awareness of city officials and civil society organizations of its potential effects on food systems. This has led to various policies to regulate and support UA. This research characterizes existing food, energy and water (FEW nexus) policies based on policy data from five case study cities in Europe and the U.S. (Dortmund, Gorzów Wielkopolski, London, Nantes, and New York City) to analyze their relationships to UA, and to identify policy types that support resource-efficient UA. The paper presents the results of an analysis of 78 policy documents related to UA and the FEW nexus, and the results of a Q-sort ranking by UA policy experts on the effectiveness of 16 generalized UA policies in promoting resource-efficient UA. The number, type, and degree of support for nexus policies vary among the five case studies. The results show that the majority of policies (36) are implemented at the local scale, that few policies (19) incorporate all elements of the nexus, yet many nexus policies include UA indirectly. Regulations are more prevalent and are considered more effective at ensuring resource-efficient UA than incentives or awareness-raising policies. The study offers guidance to policy makers who want to improve resource use in future UA pointing at the increasing importance of local food policies.</w:t>
      </w:r>
    </w:p>
    <w:p>
      <w:pPr/>
      <w:r>
        <w:rPr>
          <w:b/>
        </w:rPr>
        <w:t>POSSIBLE 2023:</w:t>
      </w:r>
      <w:r>
        <w:t xml:space="preserve"> Role of Aerosols on Atmospheric Circulation in Regional Climate Experiments over Europe — https://doi.org/10.3390/atmos14030491</w:t>
      </w:r>
    </w:p>
    <w:p>
      <w:pPr/>
      <w:r>
        <w:rPr>
          <w:b/>
        </w:rPr>
        <w:t>Shared claim-specific concepts:</w:t>
      </w:r>
      <w:r>
        <w:t xml:space="preserve"> role, few; EU scope visible. This is a provisional connection, not an outcome finding.</w:t>
      </w:r>
    </w:p>
    <w:p>
      <w:pPr>
        <w:pStyle w:val="SourceNote"/>
      </w:pPr>
      <w:r>
        <w:rPr>
          <w:b/>
        </w:rPr>
        <w:t>Available abstract (not full text):</w:t>
      </w:r>
      <w:r>
        <w:t xml:space="preserve"> Aerosols can strongly influence atmospheric circulation, and categorizing it into circulation types (CTs) helps in understanding the relationship between atmospheric forcing and surface conditions. However, few studies have considered the impact of interactive aerosols on atmospheric dynamics from a climatic perspective. This contribution aims to assess whether simulations with interactive aerosols (online solving of aerosol–radiation interactions, ARI, and aerosol–radiation–cloud interactions, ARCI) significantly impact atmospheric dynamics over Europe during winter compared to conventional regional climate models with prescribed aerosols. For that, Principal Component Analysis (PCA) has been applied to reduce the dimensionality of the problem in order to cluster different weather patterns. Results showed significant differences in the two predominant patterns, characterized by a western zonal flow (CT1) and a low-pressure system centered in Italy (CT2). The ARI experiment revealed a substantial reduction of surface level pressure over central-eastern Europe for CT1, resulting in a southward shift of the flux direction, and an increase in pressure over Scandinavia for CT2. The ARCI experiment exhibited a similar, but weaker effect. Furthermore, the study demonstrated the impact of aerosols on the frequency of different CTs and on the concentration of black and white aerosols. </w:t>
      </w:r>
    </w:p>
    <w:p>
      <w:pPr/>
      <w:r>
        <w:rPr>
          <w:b/>
        </w:rPr>
        <w:t>POSSIBLE 2023:</w:t>
      </w:r>
      <w:r>
        <w:t xml:space="preserve"> The burden of skin disease in Europe — https://doi.org/10.1111/jdv.19390</w:t>
      </w:r>
    </w:p>
    <w:p>
      <w:pPr/>
      <w:r>
        <w:rPr>
          <w:b/>
        </w:rPr>
        <w:t>Shared claim-specific concepts:</w:t>
      </w:r>
      <w:r>
        <w:t xml:space="preserve"> those, role, common, even, often; EU scope visible. This is a provisional connection, not an outcome finding.</w:t>
      </w:r>
    </w:p>
    <w:p>
      <w:pPr>
        <w:pStyle w:val="SourceNote"/>
      </w:pPr>
      <w:r>
        <w:rPr>
          <w:b/>
        </w:rPr>
        <w:t>Available abstract (not full text):</w:t>
      </w:r>
      <w:r>
        <w:t xml:space="preserve"> The term ‘Burden of disease’ was conceived to describe the total, cumulative repercussions of a specific disease or a range of harmful diseases with respect to disabilities in a community. These repercussions include health, social aspects and costs to society. The Global Burden of Disease study, which sets out trends in global health, ranked skin diseases as the fourth leading cause of disability worldwide.1 With a view to gaining detailed insights into the burden of skin diseases in Europe, the European Academy of Dermatology and Venereology (EADV) conducted recently a population-based study on a representative adult population in 27 European countries. This represents the largest-ever epidemiological study undertaken in Europe to assess the prevalence and burden of skin diseases. The Burden of Skin Disease Survey reveals the important impact that skin diseases have on human well-being and the limitations in access to care for patients. These data are important to create awareness and establish the setting for the management of skin diseases. As part of EADV's nascent advocacy programme, it is timely to publish the results in a JEADV supplement that groups vital information on important aspects of the impact of skin diseases. Addressing skin diseases is vital to achieve the United National Sustainable Development Goals (SDGs).2 Understanding the impact of these diseases on in</w:t>
      </w:r>
    </w:p>
    <w:p>
      <w:pPr/>
      <w:r>
        <w:rPr>
          <w:b/>
        </w:rPr>
        <w:t>POSSIBLE 2022:</w:t>
      </w:r>
      <w:r>
        <w:t xml:space="preserve"> Measuring disparities in air transport access across Europe: An inequality, vulnerability and dependence approach — https://doi.org/10.1016/j.tra.2022.11.016</w:t>
      </w:r>
    </w:p>
    <w:p>
      <w:pPr/>
      <w:r>
        <w:rPr>
          <w:b/>
        </w:rPr>
        <w:t>Shared claim-specific concepts:</w:t>
      </w:r>
      <w:r>
        <w:t xml:space="preserve"> those, developed, tend; EU scope visible. This is a provisional connection, not an outcome finding.</w:t>
      </w:r>
    </w:p>
    <w:p>
      <w:pPr>
        <w:pStyle w:val="SourceNote"/>
      </w:pPr>
      <w:r>
        <w:rPr>
          <w:b/>
        </w:rPr>
        <w:t>Available abstract (not full text):</w:t>
      </w:r>
      <w:r>
        <w:t xml:space="preserve"> Air transport networks tend to develop in accordance with underlying economic activity and links. This relationship in Europe has not developed entirely evenly or consistently, however, with some regional population centres having comparatively low levels of access to air transport services and global markets. This study focusses on air transport access inequality across 1,388 regions in Europe using the 20:20 ratio, a commonly used indicator in macroeconomic income inequality studies. For those regions in the bottom 5% in terms of degree centrality (using 2019 baseline data) an in-depth vulnerability, dependence and pandemic impact analysis was performed to determine the regions that may represent strong cases for state intervention to ensure continued access to a base level of essential air services. The stepwise methodological framework developed in this research could be used as a prioritisation tool by industry and policy stakeholders, most notably in the context of scarce public resources, which is a typical characteristic in Europe. The highest levels of inequality, vulnerability, dependence and pandemic impact were found in some Spanish, and Finnish regions.</w:t>
      </w:r>
    </w:p>
    <w:p>
      <w:pPr/>
      <w:r>
        <w:rPr>
          <w:b/>
        </w:rPr>
        <w:t>POSSIBLE 2022:</w:t>
      </w:r>
      <w:r>
        <w:t xml:space="preserve"> Closing the loop on plastics in Europe: The role of data, information and knowledge — https://doi.org/10.1016/j.spc.2022.08.019</w:t>
      </w:r>
    </w:p>
    <w:p>
      <w:pPr/>
      <w:r>
        <w:rPr>
          <w:b/>
        </w:rPr>
        <w:t>Shared claim-specific concepts:</w:t>
      </w:r>
      <w:r>
        <w:t xml:space="preserve"> role, technology; EU scope visible. This is a provisional connection, not an outcome finding.</w:t>
      </w:r>
    </w:p>
    <w:p>
      <w:pPr>
        <w:pStyle w:val="SourceNote"/>
      </w:pPr>
      <w:r>
        <w:rPr>
          <w:b/>
        </w:rPr>
        <w:t>Available abstract (not full text):</w:t>
      </w:r>
      <w:r>
        <w:t xml:space="preserve"> Concerns over plastic waste and support for a plastic circular economy have been growing in recent years. Specific needs to promote re-circulation of plastics in terms of data, information and knowledge are poorly understood. Based on the multi-level perspective on socio-technical transitions and semi-structured interviews with key stakeholders, this paper aims to understand how information and knowledge issues may inhibit or foster the development of secondary plastics markets in Europe. Results highlight that key barriers associated with data-information-knowledge map across, and interact with, policies and standards, market and technology, socio-cultural norms, networks and business models. The packaging sector has drawn more policy attention, and institutions to support information sharing such as labelling and certification are more mature. The automotive and EEE sectors have illustrated knowledge diffusion through supply chain collaboration, while the construction sector appears to have slower practical progress on industry-level knowledge diffusion. This paper contributes to the multi-level perspective on transition studies by focusing the empirical work on a new area of plastic circular economy. The cases playing out across the whole value chain and four different application areas provide insights that are potentially more widely applicable to the circular economy tran</w:t>
      </w:r>
    </w:p>
    <w:p>
      <w:pPr/>
      <w:r>
        <w:rPr>
          <w:b/>
        </w:rPr>
        <w:t>POSSIBLE 2021:</w:t>
      </w:r>
      <w:r>
        <w:t xml:space="preserve"> Electric vehicle charging network in Europe: An accessibility and deployment trends analysis — https://doi.org/10.1016/j.trd.2021.102813</w:t>
      </w:r>
    </w:p>
    <w:p>
      <w:pPr/>
      <w:r>
        <w:rPr>
          <w:b/>
        </w:rPr>
        <w:t>Shared claim-specific concepts:</w:t>
      </w:r>
      <w:r>
        <w:t xml:space="preserve"> developed, large-scale, technology, environmental, bottom-up; EU scope visible. This is a provisional connection, not an outcome finding.</w:t>
      </w:r>
    </w:p>
    <w:p>
      <w:pPr>
        <w:pStyle w:val="SourceNote"/>
      </w:pPr>
      <w:r>
        <w:rPr>
          <w:b/>
        </w:rPr>
        <w:t>Available abstract (not full text):</w:t>
      </w:r>
      <w:r>
        <w:t xml:space="preserve"> If coupled with a low-carbon electricity mix, electric vehicles (EVs) can represent an important technology for transport decarbonization and local pollutants abatement. Yet, to ensure large-scale EVs adoption, an adequate charging stations network must be developed. This paper provides the first comprehensive bottom-up analysis of the EV charging network in Europe. Combining a crowd-sourced database of charging stations with accessibility data and algorithms, we produce maps of the travel time to the most accessible EV charging station across Europe, we evaluate the charging points density and the number of active operators in different areas. We find that although recent years have witnessed a notable expansion of the EV charging network, stark inequalities persist across and within countries, both in terms of accessibility and of the charging points available to users. Our results allow for a better understanding of some of the key challenges ahead for ensuring mass EVs adoption throughout Europe and thus potentially reducing the environmental impact of the transport sector.</w:t>
      </w:r>
    </w:p>
    <w:p>
      <w:pPr/>
      <w:r>
        <w:rPr>
          <w:b/>
        </w:rPr>
        <w:t>POSSIBLE 2021:</w:t>
      </w:r>
      <w:r>
        <w:t xml:space="preserve"> Enough? The role of sufficiency in European energy and climate plans — https://doi.org/10.1016/j.enpol.2021.112483</w:t>
      </w:r>
    </w:p>
    <w:p>
      <w:pPr/>
      <w:r>
        <w:rPr>
          <w:b/>
        </w:rPr>
        <w:t>Shared claim-specific concepts:</w:t>
      </w:r>
      <w:r>
        <w:t xml:space="preserve"> focus, role; EU scope visible. This is a provisional connection, not an outcome finding.</w:t>
      </w:r>
    </w:p>
    <w:p>
      <w:pPr>
        <w:pStyle w:val="SourceNote"/>
      </w:pPr>
      <w:r>
        <w:rPr>
          <w:b/>
        </w:rPr>
        <w:t>Available abstract (not full text):</w:t>
      </w:r>
      <w:r>
        <w:t xml:space="preserve"> Energy sufficiency is one of the three energy sustainability strategies, next to energy efficiency and renewable energies. We analyse to what extent European governments follow this strategy, by conducting a systematic document analysis of all available European National Energy and Climate Plans (NECPs) and Long-Term Strategies (LTSs). We collect and categorise a total of 230 sufficiency-related policy measures, finding large differences between countries. We find most sufficiency policies in the transport sector, when classifying also modal shift policies to change the service quality of transport as sufficiency policies. Types of sufficiency policy instruments vary considerably from sector to sector, for instance the focus on financial incentives and fiscal instruments in the mobility sector, information in the building sector, and financial incentive/tax instruments in cross-sectoral application. Regulatory instruments currently play a minor role for sufficiency policy in the national energy and climate plans of EU member states. Similar to energy efficiency in recent decades, sufficiency still largely referred to as micro-level individual behaviour change or necessary exogenous trends that will need to take place. It is not treated yet as a genuine field of policy action to provide the necessary framework for enabling societal change.</w:t>
      </w:r>
    </w:p>
    <w:p>
      <w:pPr/>
      <w:r>
        <w:rPr>
          <w:b/>
        </w:rPr>
        <w:t>POSSIBLE 2021:</w:t>
      </w:r>
      <w:r>
        <w:t xml:space="preserve"> Digital entrepreneurship in developing countries: The role of institutional voids — https://doi.org/10.1016/j.techfore.2021.120876</w:t>
      </w:r>
    </w:p>
    <w:p>
      <w:pPr/>
      <w:r>
        <w:rPr>
          <w:b/>
        </w:rPr>
        <w:t>Shared claim-specific concepts:</w:t>
      </w:r>
      <w:r>
        <w:t xml:space="preserve"> those, role, positive, often; EU scope not established. This is a provisional connection, not an outcome finding.</w:t>
      </w:r>
    </w:p>
    <w:p>
      <w:pPr>
        <w:pStyle w:val="SourceNote"/>
      </w:pPr>
      <w:r>
        <w:rPr>
          <w:b/>
        </w:rPr>
        <w:t>Available abstract (not full text):</w:t>
      </w:r>
      <w:r>
        <w:t xml:space="preserve"> Entrepreneurship is often considered a key means to tackling the ongoing challenge of poverty among the rural populations in developing countries. We study how drawing on the support of various stakeholders—specifically family, community, and business partners—helps overcome institutional voids and foster entrepreneurship in Indian microenterprises. We also examine how the adoption of digital technologies—e.g., in the form of smartphone apps—can strengthen those relationships. By surveying more than 1,000 microentrepreneurs in rural India, we find that both the families and communities (in particular self-help groups) of entrepreneurs have a positive and significant effect on entrepreneurship that is strengthened when digital technologies are used. Support from business partners, however, is negatively associated with entrepreneurship.</w:t>
      </w:r>
    </w:p>
    <w:p>
      <w:pPr/>
      <w:r>
        <w:rPr>
          <w:b/>
        </w:rPr>
        <w:t>POSSIBLE 2021:</w:t>
      </w:r>
      <w:r>
        <w:t xml:space="preserve"> The Role of the European Education Area in European Union Integration in Times of Crises — https://doi.org/10.1017/s1062798721000016</w:t>
      </w:r>
    </w:p>
    <w:p>
      <w:pPr/>
      <w:r>
        <w:rPr>
          <w:b/>
        </w:rPr>
        <w:t>Shared claim-specific concepts:</w:t>
      </w:r>
      <w:r>
        <w:t xml:space="preserve"> role, few, common, surprising; EU scope visible. This is a provisional connection, not an outcome finding.</w:t>
      </w:r>
    </w:p>
    <w:p>
      <w:pPr>
        <w:pStyle w:val="SourceNote"/>
      </w:pPr>
      <w:r>
        <w:rPr>
          <w:b/>
        </w:rPr>
        <w:t>Available abstract (not full text):</w:t>
      </w:r>
      <w:r>
        <w:t xml:space="preserve"> The European Union has faced many crises, such as populism, xenophobia, economic and political challenges, to name a few. This has resulted in some questioning whether the EU will survive. Herein, the neo-institutionalist perspective on crises in EU integration frames an original and timely inquiry into the role of a new EU initiative – the European Education Area – in supporting EU integration in these challenging times. This inquiry relies on a thematic analysis of relevant key policy materials. The findings highlight that while it is not surprising that the EEA is an example of an education convergence project in the EU, the novelty of other findings is striking. It appears that the crises in the EU inspired the authors of the EEA to utilize its education as a tool for EU deepening, which is an aspect of EU integration related to the strengthening of the relationships amongst its Member States. Specifically, the EEA has been a driver in the development of a common European identity and European economy, the EU as a socially-just society and the continent of progress. These findings address important gaps of our knowledge about the role of education in driving EU integration.</w:t>
      </w:r>
    </w:p>
    <w:p>
      <w:pPr>
        <w:pStyle w:val="Heading2"/>
      </w:pPr>
      <w:r>
        <w:t>726. Soft-linking of a behavioral model for transport with energy system cost optimization applied to hydrogen in EU</w:t>
      </w:r>
    </w:p>
    <w:p>
      <w:pPr>
        <w:pStyle w:val="SourceNote"/>
      </w:pPr>
      <w:r>
        <w:rPr>
          <w:b/>
        </w:rPr>
        <w:t>Original source (2019):</w:t>
      </w:r>
      <w:r>
        <w:t xml:space="preserve"> https://doi.org/10.1016/j.rser.2019.109349</w:t>
      </w:r>
    </w:p>
    <w:p>
      <w:pPr/>
      <w:r>
        <w:t>Original wording (abstract; indexed_source_text_not_full_document_verified): The focus is on an energy system with 95% CO2 reduction by 2050. The policy with the largest impact on FCEV was a purchase subsidy of 5 k€ per vehicle in the 2030–2034 period resulting in 24.3 million FCEV (on top of 67 million without policy) sold up to 2050 with total subsidies of 84 bln€. 5 bln€ of R&amp;D incentives in the 2020–2024 period increased the cumulative sales up to 2050 by 10.5 million FCEV.</w:t>
      </w:r>
    </w:p>
    <w:p>
      <w:pPr/>
      <w:r>
        <w:rPr>
          <w:b/>
        </w:rPr>
        <w:t>POSSIBLE 2026:</w:t>
      </w:r>
      <w:r>
        <w:t xml:space="preserve"> Decentralized Energy Systems in the European Union — https://doi.org/10.4324/9781003781127-4</w:t>
      </w:r>
    </w:p>
    <w:p>
      <w:pPr/>
      <w:r>
        <w:rPr>
          <w:b/>
        </w:rPr>
        <w:t>Shared claim-specific concepts:</w:t>
      </w:r>
      <w:r>
        <w:t xml:space="preserve"> energy, system; EU scope visible. This is a provisional connection, not an outcome finding.</w:t>
      </w:r>
    </w:p>
    <w:p>
      <w:pPr>
        <w:pStyle w:val="SourceNote"/>
      </w:pPr>
      <w:r>
        <w:rPr>
          <w:b/>
        </w:rPr>
        <w:t>Available abstract (not full text):</w:t>
      </w:r>
      <w:r>
        <w:t xml:space="preserve"> This chapter examines the development of decentralized energy systems in the European Union (EU), focusing on electricity markets and the legal, regulatory, and institutional conditions that enable decentralization. It begins by situating EU energy policy within broader concerns relating to energy security, climate change, market liberalization, and geopolitical risk, highlighting the shift from centralized fossil-fuel-based systems toward decentralized, renewable-based models. The chapter explains the emergence of prosumers, energy communities, smart grids, and demand-response mechanisms, and analyzes how these developments challenge traditional roles of transmission and distribution system operators. It then assesses the EU legal framework supporting decentralization, including internal electricity market reforms, consumer rights, and regulatory oversight. Drawing on selected detailed country studies, the chapter evaluates national approaches to decentralization, smart meter deployment, and self-consumption regimes, identifying both progress and persistent barriers. Finally, it explores the role of smart grids, data governance, and cross-border market integration, highlighting the regulatory, technical, and social challenges that must be addressed for decentralized energy systems to function effectively across the EU.</w:t>
      </w:r>
    </w:p>
    <w:p>
      <w:pPr/>
      <w:r>
        <w:rPr>
          <w:b/>
        </w:rPr>
        <w:t>POSSIBLE 2026:</w:t>
      </w:r>
      <w:r>
        <w:t xml:space="preserve"> Climate and Energy Policy — https://doi.org/10.4324/9781003736134-18</w:t>
      </w:r>
    </w:p>
    <w:p>
      <w:pPr/>
      <w:r>
        <w:rPr>
          <w:b/>
        </w:rPr>
        <w:t>Shared claim-specific concepts:</w:t>
      </w:r>
      <w:r>
        <w:t xml:space="preserve"> energy, reduction; EU scope visible. This is a provisional connection, not an outcome finding.</w:t>
      </w:r>
    </w:p>
    <w:p>
      <w:pPr>
        <w:pStyle w:val="SourceNote"/>
      </w:pPr>
      <w:r>
        <w:rPr>
          <w:b/>
        </w:rPr>
        <w:t>Available abstract (not full text):</w:t>
      </w:r>
      <w:r>
        <w:t xml:space="preserve"> This chapter examines the role of AI in climate action and energy policy, focusing on its potential to support energy transition, grid modernisation, energy efficiency, renewable energy deployment, and emissions reduction. Through a comparative analysis of the European Union and Japan, it explores how both jurisdictions integrate AI into broader climate, energy, and industrial strategies. The chapter also considers the regulatory implications of AI in energy governance, including its potential to assist regulators and improve policy implementation. By linking technological innovation with sustainability objectives, the chapter highlights AI’s growing significance in shaping future climate and energy governance frameworks.</w:t>
      </w:r>
    </w:p>
    <w:p>
      <w:pPr/>
      <w:r>
        <w:rPr>
          <w:b/>
        </w:rPr>
        <w:t>POSSIBLE 2026:</w:t>
      </w:r>
      <w:r>
        <w:t xml:space="preserve"> PERSEUS-PtX: European Energy System Model and Dataset — https://doi.org/10.5281/zenodo.19480834</w:t>
      </w:r>
    </w:p>
    <w:p>
      <w:pPr/>
      <w:r>
        <w:rPr>
          <w:b/>
        </w:rPr>
        <w:t>Shared claim-specific concepts:</w:t>
      </w:r>
      <w:r>
        <w:t xml:space="preserve"> focus, energy, system; EU scope visible. This is a provisional connection, not an outcome finding.</w:t>
      </w:r>
    </w:p>
    <w:p>
      <w:pPr>
        <w:pStyle w:val="SourceNote"/>
      </w:pPr>
      <w:r>
        <w:rPr>
          <w:b/>
        </w:rPr>
        <w:t>Available abstract (not full text):</w:t>
      </w:r>
      <w:r>
        <w:t xml:space="preserve"> This repository contains the complete code and dataset of the European energy system model PERSEUS-PtX, a member of the PERSEUS model family. The model enables the analysis of European energy system transformation pathways with a particular focus on hydrogen and reactive metals. All components required for model runs and for the production of results, including processed output diagrams, are included. Background information on the model’s development, key features, and detailed instructions for execution and citation are provided in the accompanying README file. Funding is gratefully acknowledged, including support from the following organizations: Stiftung Energieforschung Baden-Württemberg, European Institute for Energy Research (EIFER), German Federal Ministry of Economic Affairs (BMWi/BMWK/BMWE), German Federal Ministry for the Environment, Climate Protection, Nature Conservation and Nuclear Safety (BMU/BMUB/BMUV/BMUKN), German Federal Ministry of Education and Research (BMBF), Baden-Württemberg Ministry for the Environment, Climate and Energy Sector, VolkswagenStiftung, Helmholtz-Gemeinschaft Deutscher Forschungszentren e.V., European Commission, Interreg, Deutsche Forschungsgemeinschaft (DFG), Projekt- und Studienfonds der schweizerischen Elektrizitätswirtschaft, BKW Energie AG, and Kraftwerke Oberhasli AG.</w:t>
      </w:r>
    </w:p>
    <w:p>
      <w:pPr/>
      <w:r>
        <w:rPr>
          <w:b/>
        </w:rPr>
        <w:t>POSSIBLE 2025:</w:t>
      </w:r>
      <w:r>
        <w:t xml:space="preserve"> A European review of the potential role of industrial clusters in the energy system when leveraging energy synergies — https://doi.org/10.1016/j.egyr.2025.10.019</w:t>
      </w:r>
    </w:p>
    <w:p>
      <w:pPr/>
      <w:r>
        <w:rPr>
          <w:b/>
        </w:rPr>
        <w:t>Shared claim-specific concepts:</w:t>
      </w:r>
      <w:r>
        <w:t xml:space="preserve"> focus, energy, system, increased; EU scope visible. This is a provisional connection, not an outcome finding.</w:t>
      </w:r>
    </w:p>
    <w:p>
      <w:pPr>
        <w:pStyle w:val="SourceNote"/>
      </w:pPr>
      <w:r>
        <w:rPr>
          <w:b/>
        </w:rPr>
        <w:t>Available abstract (not full text):</w:t>
      </w:r>
      <w:r>
        <w:t xml:space="preserve"> Concerns about the competitiveness of European industry led to the publication of the Draghi report. One of his recommendations is to install regional green industrial clusters around energy-intensive companies. The report identifies three benefit categories, each corresponding to typical industrial symbiosis cases: improved investment cases by shared local low-carbon energy generation, improved investment cases by shared infrastructure, and improved energy flows for increased resource efficiency. Industrial clusters hold untapped potential to advance the energy transition and climate neutrality. However, it is still unknown how and if this potential will ever be reached, nor how scalable and replicable the benefits will be. This review paper aims to take a first step in exploring the potential role of industrial clusters in the energy system by exposing the research state of the art in academic literature. A literature review is performed in line with the three benefit categories according to Draghi to understand the enablers and barriers of potential synergies and their impact on the energy system. Afterwards, the scalability is assessed by positioning the European industrial clusters in the larger renewable energy landscape. To illustrate the global interest, a brief reflection is made on references to industrial clusters in the policy of non-European regions. The work concl</w:t>
      </w:r>
    </w:p>
    <w:p>
      <w:pPr/>
      <w:r>
        <w:rPr>
          <w:b/>
        </w:rPr>
        <w:t>POSSIBLE 2025:</w:t>
      </w:r>
      <w:r>
        <w:t xml:space="preserve"> Exploring configurations of a European energy system within the planetary boundaries — https://doi.org/10.1088/1748-9326/ade26b</w:t>
      </w:r>
    </w:p>
    <w:p>
      <w:pPr/>
      <w:r>
        <w:rPr>
          <w:b/>
        </w:rPr>
        <w:t>Shared claim-specific concepts:</w:t>
      </w:r>
      <w:r>
        <w:t xml:space="preserve"> focus, energy, system, reduction, without; EU scope visible. This is a provisional connection, not an outcome finding.</w:t>
      </w:r>
    </w:p>
    <w:p>
      <w:pPr>
        <w:pStyle w:val="SourceNote"/>
      </w:pPr>
      <w:r>
        <w:rPr>
          <w:b/>
        </w:rPr>
        <w:t>Available abstract (not full text):</w:t>
      </w:r>
      <w:r>
        <w:t xml:space="preserve"> Abstract Planetary Boundaries and other carrying capacities define a safe operating space for humanity. However, current energy system models often address sustainability too narrowly with a focus on greenhouse gas emissions during the operational phase, and neglecting other environmental impacts can lead to suboptimal and unsustainable energy systems. This study integrates environmental impacts and planetary boundaries as constraints into a multi-sectoral energy system model to explore sustainable configurations for the European energy system in 2050. Our results indicate that it will not be possible to stay within all allocated carrying capacities without a combined application of energy demand reduction, large-scale deployment of renewable energies, electrification of heating, and technological improvements. Specifically, with the most permissive allocation principle, European electricity and heat demand must be limited to 3550 TWh e and 4655 TWh th to remain within the planetary boundaries, which represents a 22% and 24% reduction compared to 2050 projected final energy demand for the sectors of electricity and heat, excluding transport and fuels demands. Results show that scenario normally considered ‘Net Zero’ would transgress the allocated budget for climate change by 70%, despite a high deployment of renewable energies, when life cycle impacts are considered. All genera</w:t>
      </w:r>
    </w:p>
    <w:p>
      <w:pPr/>
      <w:r>
        <w:rPr>
          <w:b/>
        </w:rPr>
        <w:t>POSSIBLE 2024:</w:t>
      </w:r>
      <w:r>
        <w:t xml:space="preserve"> EU Energy Securitisation: Ukraine's Place in the European Energy System — https://doi.org/10.53317/2786-4774-2024-1-8</w:t>
      </w:r>
    </w:p>
    <w:p>
      <w:pPr/>
      <w:r>
        <w:rPr>
          <w:b/>
        </w:rPr>
        <w:t>Shared claim-specific concepts:</w:t>
      </w:r>
      <w:r>
        <w:t xml:space="preserve"> energy, system, increased; EU scope visible. This is a provisional connection, not an outcome finding.</w:t>
      </w:r>
    </w:p>
    <w:p>
      <w:pPr>
        <w:pStyle w:val="SourceNote"/>
      </w:pPr>
      <w:r>
        <w:rPr>
          <w:b/>
        </w:rPr>
        <w:t>Available abstract (not full text):</w:t>
      </w:r>
      <w:r>
        <w:t xml:space="preserve"> This article focuses on the investigation of the European Union's securitisation policy in the energy sector, in particular, the provision of energy carriers to the Union, which was developed in response to Russia's energy wars of 2006–2007 and 2008–2009 against Ukraine and indirectly against the European Union. The theory of securitisation, formulated by S. Ozkan, B. Buzan and other researchers, focuses not so much on eliminating the consequences of crises as on creating a system of securitisation for the relevant industries with increased stress resistance, diversification of economic and technological ties with partners and strengthening the social orientation of their functioning. The algorithmization of this policy and the changes that led to the institutional response to Russian aggression in the energy sector are investigated. The research is based on the approach of sociological (neo)institutionalism, which allows explaining political processes in terms of not only economic benefits, but also their importance for the development of other spheres of public life and international cooperation. This approach is based on the notion that, first, the institutional environment in which a particular institution operates provides it with the necessary resources, as well as legitimates and regulates its activities. As a result, sociological institutionalism emphasises the role of </w:t>
      </w:r>
    </w:p>
    <w:p>
      <w:pPr/>
      <w:r>
        <w:rPr>
          <w:b/>
        </w:rPr>
        <w:t>POSSIBLE 2024:</w:t>
      </w:r>
      <w:r>
        <w:t xml:space="preserve"> The Effectiveness of the EU ETS Policy in Changing the Energy Mix in Selected European Countries — https://doi.org/10.3390/en17174243</w:t>
      </w:r>
    </w:p>
    <w:p>
      <w:pPr/>
      <w:r>
        <w:rPr>
          <w:b/>
        </w:rPr>
        <w:t>Shared claim-specific concepts:</w:t>
      </w:r>
      <w:r>
        <w:t xml:space="preserve"> energy, co2, reduction; EU scope visible. This is a provisional connection, not an outcome finding.</w:t>
      </w:r>
    </w:p>
    <w:p>
      <w:pPr>
        <w:pStyle w:val="SourceNote"/>
      </w:pPr>
      <w:r>
        <w:rPr>
          <w:b/>
        </w:rPr>
        <w:t>Available abstract (not full text):</w:t>
      </w:r>
      <w:r>
        <w:t xml:space="preserve"> In the field of economic analysis, the study of the EU ETS policy has primarily focused on the impact of renewable energy consumption on economic growth, as well as the role of legal and fiscal instruments in the development of clean energy. This study aimed to evaluate the effectiveness of the EU ETS policy in altering the energy mix of selected European countries, providing both cognitive and applicational value. The evaluation of the effectiveness of this policy focused on the structure of the energy mix and the relationship between rising CO2 emission allowance prices and the decreasing share of coal in the energy mix. The goal was achieved through statistical analysis of secondary sources, primarily sourced from Bloomberg (2016–2024). The research findings indicated that changes in the structure of energy sources varied across the studied European countries, due to the adopted energy source utilization strategy, resource availability, and geopolitical situations. Additionally, different correlation values were noted between rising CO2 emission allowance prices and the expected reduction in fossil fuel use. Therefore, the EU ETS policy does not fulfill its assigned role—its implementation contributes to disparities in the economic situations of European economies and creates conditions for unequal competition.</w:t>
      </w:r>
    </w:p>
    <w:p>
      <w:pPr/>
      <w:r>
        <w:rPr>
          <w:b/>
        </w:rPr>
        <w:t>POSSIBLE 2024:</w:t>
      </w:r>
      <w:r>
        <w:t xml:space="preserve"> The Impact of Deep Decarbonization Policy on the Level of Greenhouse Gas Emissions in the European Union — https://doi.org/10.3390/en17051245</w:t>
      </w:r>
    </w:p>
    <w:p>
      <w:pPr/>
      <w:r>
        <w:rPr>
          <w:b/>
        </w:rPr>
        <w:t>Shared claim-specific concepts:</w:t>
      </w:r>
      <w:r>
        <w:t xml:space="preserve"> focus, energy, reduction; EU scope visible. This is a provisional connection, not an outcome finding.</w:t>
      </w:r>
    </w:p>
    <w:p>
      <w:pPr>
        <w:pStyle w:val="SourceNote"/>
      </w:pPr>
      <w:r>
        <w:rPr>
          <w:b/>
        </w:rPr>
        <w:t>Available abstract (not full text):</w:t>
      </w:r>
      <w:r>
        <w:t xml:space="preserve"> The Green Deal, a cornerstone of the European Union’s climate goals, sets out to achieve a substantial 55% reduction in greenhouse gas emissions by 2030 compared to 1990 levels. The EU’s decarbonization strategies revolve around three pivotal avenues. First, there is a focus on enhancing energy efficiency and decreasing the energy intensity of economies. Second, concerted efforts are made to diminish the reliance on fossil fuels, particularly within industrial sectors. Lastly, there is a deliberate push to augment the share of renewable energy sources in the final energy consumption mix. These measures collectively aim to propel the decarbonization of EU economies, establishing EU member countries as global leaders in implementing these transformative processes. This manuscript seeks to evaluate the efficacy of three primary decarbonization strategies adopted by EU economies, namely the enhancement in energy efficiency, the promotion of renewable energy consumption and the reduction in fossil fuel consumption. The objective is to discern which strategies wield a decisive influence in achieving decarbonization goals across EU countries. The analysis encompasses all 27 member states of the European Union, spanning from 1990 to 2022, with data sourced from reputable outlets, including Eurostat, Our World in Data and the Energy Institute. Research findings underscore that, in the r</w:t>
      </w:r>
    </w:p>
    <w:p>
      <w:pPr/>
      <w:r>
        <w:rPr>
          <w:b/>
        </w:rPr>
        <w:t>POSSIBLE 2024:</w:t>
      </w:r>
      <w:r>
        <w:t xml:space="preserve"> Energy storage and climate impacts on the future renewable European energy system — https://openalex.org/W4412222428</w:t>
      </w:r>
    </w:p>
    <w:p>
      <w:pPr/>
      <w:r>
        <w:rPr>
          <w:b/>
        </w:rPr>
        <w:t>Shared claim-specific concepts:</w:t>
      </w:r>
      <w:r>
        <w:t xml:space="preserve"> focus, energy, system, co2, resulting, without; EU scope visible. This is a provisional connection, not an outcome finding.</w:t>
      </w:r>
    </w:p>
    <w:p>
      <w:pPr>
        <w:pStyle w:val="SourceNote"/>
      </w:pPr>
      <w:r>
        <w:rPr>
          <w:b/>
        </w:rPr>
        <w:t>Available abstract (not full text):</w:t>
      </w:r>
      <w:r>
        <w:t xml:space="preserve"> The world stands before the critical mission of mitigating climate change by reducing greenhouse gas emissions at such a pace that catastrophic repercussions are avoided. A primary step towards this goal is to decarbonize the energy sector. This task involves a massive rollout of renewables to replace the fossil-fueled energy supply and to meet a growing demand for electricity resulting from the transformation of all energy sectors. As variable renewable energy increasingly emerges as the predominant source of electricity, the generation of electricity becomes more volatile. Consequently, future energy systems must be equipped with adequate backup and storage infrastructure to ensure a reliable energy supply. This PhD thesis, written as a compilation of research articles, adopts a bottom-up energy system modeling approach that rely on techno-economic optimization to provide insight into this context. The investigations focus on a future sector-coupled European energy system, encompassing the determination of electricity storage technology requirements to qualify in a competitive market, an exploration of energy-related impacts of climate change and interannual weather variability, and the examination of cost-optimal measures to ensure robustness to interannual weather variability and fuel import disruptions. The first study, presented in Chapter 2, addresses a gap in the litera</w:t>
      </w:r>
    </w:p>
    <w:p>
      <w:pPr/>
      <w:r>
        <w:rPr>
          <w:b/>
        </w:rPr>
        <w:t>POSSIBLE 2024:</w:t>
      </w:r>
      <w:r>
        <w:t xml:space="preserve"> Energy Communities as an Alternative Way of Organizing the Energy System in Europe: Key Societal Aspects — https://doi.org/10.1002/9783527843282.ch11</w:t>
      </w:r>
    </w:p>
    <w:p>
      <w:pPr/>
      <w:r>
        <w:rPr>
          <w:b/>
        </w:rPr>
        <w:t>Shared claim-specific concepts:</w:t>
      </w:r>
      <w:r>
        <w:t xml:space="preserve"> focus, energy, system; EU scope visible. This is a provisional connection, not an outcome finding.</w:t>
      </w:r>
    </w:p>
    <w:p>
      <w:pPr>
        <w:pStyle w:val="SourceNote"/>
      </w:pPr>
      <w:r>
        <w:rPr>
          <w:b/>
        </w:rPr>
        <w:t>Available abstract (not full text):</w:t>
      </w:r>
      <w:r>
        <w:t xml:space="preserve"> The European energy system is undergoing transformation due to the climate crisis, advancing digitalization, and the increasing demand for greater citizen engagement. Energy communities are recognized as crucial catalysts for the transition toward sustainable energy. While the communities have for long focused on collective generation only, recently they are increasingly involved in new activities, such as providing, distributing, and balancing energy and flexibility. By doing so, energy communities are not only becoming a new actor in the energy system, but they also offer an alternative way of organizing it based on the need for independence from the energy suppliers, social cohesion, or support to the local economy. However, the current energy system operates predominantly in a top-down, central way with large power units, transmission, and distribution operators. Market participation is based on high liquidity levels, professionalization, and large volumes that communities do not have and, mostly, do not want. For communities, this implies the necessity to deal with many barriers and challenges. To make space for energy communities, changes are necessary in the organization of the current energy system. In this chapter, we investigate the energy communities as a new form of organizing the European energy system and we analyze how the current energy system provides obstacles</w:t>
      </w:r>
    </w:p>
    <w:p>
      <w:pPr/>
      <w:r>
        <w:rPr>
          <w:b/>
        </w:rPr>
        <w:t>POSSIBLE 2023:</w:t>
      </w:r>
      <w:r>
        <w:t xml:space="preserve"> Power-to-hydrogen and hydrogen-to-X energy systems for the industry of the future in Europe — https://doi.org/10.1016/j.ijhydene.2023.01.194</w:t>
      </w:r>
    </w:p>
    <w:p>
      <w:pPr/>
      <w:r>
        <w:rPr>
          <w:b/>
        </w:rPr>
        <w:t>Shared claim-specific concepts:</w:t>
      </w:r>
      <w:r>
        <w:t xml:space="preserve"> focus, energy; EU scope visible. This is a provisional connection, not an outcome finding.</w:t>
      </w:r>
    </w:p>
    <w:p>
      <w:pPr>
        <w:pStyle w:val="SourceNote"/>
      </w:pPr>
      <w:r>
        <w:rPr>
          <w:b/>
        </w:rPr>
        <w:t>Available abstract (not full text):</w:t>
      </w:r>
      <w:r>
        <w:t xml:space="preserve"> The EU is promoting hydrogen as enabling energy carrier that may account for up to 20% of energy and especially fulfill between 20% and 50% of transportation demands and between 5% and 20% of industrial needs. To ensure the success of this shift, Power-to-Hydrogen and Hydrogen-to-X technologies have attracted significant interest because they transform renewable power directly into green hydrogen, via water electrolysis, which can be stored and transferred more readily than other fuels for several end-uses. The present paper aims to discuss the role of such technologies in the current and future energy systems, with a specific reference to the European scenario. The main energy sectors where hydrogen could play an important role will be discussed, such as transportation, power generation, manufacturing sectors, refining and agriculture, with a focus on potential technological integration and synergies, providing a guideline for industrial players up to 2050 with a discussion about technology maturity by presenting short-term/long-term roadmaps.</w:t>
      </w:r>
    </w:p>
    <w:p>
      <w:pPr/>
      <w:r>
        <w:rPr>
          <w:b/>
        </w:rPr>
        <w:t>POSSIBLE 2023:</w:t>
      </w:r>
      <w:r>
        <w:t xml:space="preserve"> Energy Systems — https://doi.org/10.1017/9781009157926.008</w:t>
      </w:r>
    </w:p>
    <w:p>
      <w:pPr/>
      <w:r>
        <w:rPr>
          <w:b/>
        </w:rPr>
        <w:t>Shared claim-specific concepts:</w:t>
      </w:r>
      <w:r>
        <w:t xml:space="preserve"> energy, system, without, total, increased; EU scope not established. This is a provisional connection, not an outcome finding.</w:t>
      </w:r>
    </w:p>
    <w:p>
      <w:pPr>
        <w:pStyle w:val="SourceNote"/>
      </w:pPr>
      <w:r>
        <w:rPr>
          <w:b/>
        </w:rPr>
        <w:t>Available abstract (not full text):</w:t>
      </w:r>
      <w:r>
        <w:t xml:space="preserve"> Warming cannot be limited to well below 2°C without rapid and deep reductions in energy system carbon dioxide (CO 2 ) and greenhouse gas (GHG) emissions.In scenarios limiting warming to 1.5°C (&gt;50%) with no or limited overshoot (2°C (&gt;67%) with action starting in 2020), net energy system CO 2 emissions (interquartile range) fall by 87-97% (60-79%) in 2050.In 2030, in scenarios limiting warming to 1.5°C (&gt;50%) with no or limited overshoot, net CO 2 and GHG emissions fall by 35-51% and 38-52% respectively.In scenarios limiting warming to 1.5°C (&gt;50%) with no or limited overshoot (2°C (&gt;67%)), net electricity sector CO 2 emissions reach zero globally between 2045 and 2055 (2050 and 2080).(high confidence) {6.7} Limiting warming to well below 2°C will require substantial energy system changes over the next 30 years.This includes reduced fossil fuel consumption, increased production from low-and zero-carbon energy sources, and increased use of electricity and alternative energy carriers.Coal consumption without carbon capture and storage (CCS) falls by 67-82% (interquartile range) in 2030 in scenarios limiting warming to 1.5°C (&gt;50%) with no or limited overshoot.Oil and gas consumption fall more slowly.Low-carbon sources produce 93-97% of global electricity by 2050 in scenarios that limit warming to 2°C (&gt;67%) with action starting in 2020.In scenarios limiting warming to 1.5°C (&gt;50%</w:t>
      </w:r>
    </w:p>
    <w:p>
      <w:pPr>
        <w:pStyle w:val="Heading2"/>
      </w:pPr>
      <w:r>
        <w:t>727. Solar Photovoltaic Electricity Generation: A Lifeline for the European Coal Regions in Transition</w:t>
      </w:r>
    </w:p>
    <w:p>
      <w:pPr>
        <w:pStyle w:val="SourceNote"/>
      </w:pPr>
      <w:r>
        <w:rPr>
          <w:b/>
        </w:rPr>
        <w:t>Original source (2019):</w:t>
      </w:r>
      <w:r>
        <w:t xml:space="preserve"> https://doi.org/10.3390/su11133703</w:t>
      </w:r>
    </w:p>
    <w:p>
      <w:pPr/>
      <w:r>
        <w:t>Original wording (abstract; indexed_source_text_not_full_document_verified): According to the International Energy Agency, these emissions have to be reduced by more than 70% by 2040 to stay on track for the 1.5–2 °C scenario suggested by the Paris Agreement.</w:t>
      </w:r>
    </w:p>
    <w:p>
      <w:pPr/>
      <w:r>
        <w:rPr>
          <w:b/>
        </w:rPr>
        <w:t>POSSIBLE 2026:</w:t>
      </w:r>
      <w:r>
        <w:t xml:space="preserve"> Assessment of Energy Efficiency of the European Union Countries and Their Grouping by Qualimetric Methods — https://doi.org/10.1109/ess70338.2026.11536735</w:t>
      </w:r>
    </w:p>
    <w:p>
      <w:pPr/>
      <w:r>
        <w:rPr>
          <w:b/>
        </w:rPr>
        <w:t>Shared claim-specific concepts:</w:t>
      </w:r>
      <w:r>
        <w:t xml:space="preserve"> according, international, energy; EU scope visible. This is a provisional connection, not an outcome finding.</w:t>
      </w:r>
    </w:p>
    <w:p>
      <w:pPr>
        <w:pStyle w:val="SourceNote"/>
      </w:pPr>
      <w:r>
        <w:rPr>
          <w:b/>
        </w:rPr>
        <w:t>Available abstract (not full text):</w:t>
      </w:r>
      <w:r>
        <w:t xml:space="preserve"> The European Union Green Deal highlights the strategic necessity of enhancing productivity within the energy sectors of member states. The aim of this study is to assess the energy efficiency performance of European Union countries and classify them through the application of a nonlinear functional relationship. Alongside the conventional linear normalisation approach, a nonlinear normalisation method for grouping countries is proposed. This approach is based on establishing a functional dependence between the actual indicator values and their corresponding scores on a dimensionless scale. As a result, the countries were categorised into three groups according to their level of energy efficiency. The developed methodology for country classification is universal and may be applied to a wide range of international comparative analyses.</w:t>
      </w:r>
    </w:p>
    <w:p>
      <w:pPr/>
      <w:r>
        <w:rPr>
          <w:b/>
        </w:rPr>
        <w:t>POSSIBLE 2026:</w:t>
      </w:r>
      <w:r>
        <w:t xml:space="preserve"> Energy security, energy consumption, and stringent climate policy in European Union countries: Is environmental tax effective? — https://doi.org/10.1016/j.esr.2026.102045</w:t>
      </w:r>
    </w:p>
    <w:p>
      <w:pPr/>
      <w:r>
        <w:rPr>
          <w:b/>
        </w:rPr>
        <w:t>Shared claim-specific concepts:</w:t>
      </w:r>
      <w:r>
        <w:t xml:space="preserve"> according, international, energy, agency; EU scope visible. This is a provisional connection, not an outcome finding.</w:t>
      </w:r>
    </w:p>
    <w:p>
      <w:pPr>
        <w:pStyle w:val="SourceNote"/>
      </w:pPr>
      <w:r>
        <w:rPr>
          <w:b/>
        </w:rPr>
        <w:t>Available abstract (not full text):</w:t>
      </w:r>
      <w:r>
        <w:t xml:space="preserve"> According to the International Energy Agency, energy security means that energy sources are always available at an affordable price. However, the 2021 and 2022 energy crises and the current global situation raise concerns about energy availability and affordability. As countries, especially European countries, have started implementing stringent climate policies to prevent climate change and global warming, examining how these policies can mitigate climate change while ensuring energy security is critical. In so doing, we analyze the relationship between energy consumption, stringent climate policies, and energy security by focusing on the role of these policies in this relationship. We found that a 1 % increase in the environmental tax rate increases energy security by 0.01 %. In comparison, a 1 % increase in fossil fuel consumption reduces energy security by 0.05 %, and a 1 % increase in renewable energy reduces energy security by 0.07 %. We also found that stringent climate policies mitigate the negative impact of fossil fuel consumption on energy security in European countries, as a 1 % increase in the combination of environmental tax rate and fossil fuel consumption contributes to energy security by 0.01 %. Finally, the results show that stringent climate policies reduce the negative impact of renewable energy consumption on energy security from 0.07 % to 0.017 %. These fi</w:t>
      </w:r>
    </w:p>
    <w:p>
      <w:pPr/>
      <w:r>
        <w:rPr>
          <w:b/>
        </w:rPr>
        <w:t>POSSIBLE 2025:</w:t>
      </w:r>
      <w:r>
        <w:t xml:space="preserve"> A gridded inventory of anthropogenic hydrogen emissions in Europe — https://doi.org/10.1016/j.isci.2025.114095</w:t>
      </w:r>
    </w:p>
    <w:p>
      <w:pPr/>
      <w:r>
        <w:rPr>
          <w:b/>
        </w:rPr>
        <w:t>Shared claim-specific concepts:</w:t>
      </w:r>
      <w:r>
        <w:t xml:space="preserve"> energy, emissions; EU scope visible. This is a provisional connection, not an outcome finding.</w:t>
      </w:r>
    </w:p>
    <w:p>
      <w:pPr>
        <w:pStyle w:val="SourceNote"/>
      </w:pPr>
      <w:r>
        <w:rPr>
          <w:b/>
        </w:rPr>
        <w:t>Available abstract (not full text):</w:t>
      </w:r>
      <w:r>
        <w:t xml:space="preserve"> /year). However, hydrogen production is expected to increase 5- to 6-fold by 2050. Under such a scenario, hydrogen emissions from the hydrogen value chain can dominate hydrogen emissions in Europe and could undermine the climate benefits of hydrogen as an energy carrier, if not properly managed.</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energy, emissions;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2024:</w:t>
      </w:r>
      <w:r>
        <w:t xml:space="preserve"> Energy in Europe: The influence of uncertainty on biogas development — https://openalex.org/W4397049276</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Driven by the effects of climate change, renewable energy production is growing at a fast pace. Forexample, biogas production using anaerobic digestion holds great potential (78 billion m3) in Europe.There has been a significant increase in the number of biogas plants in Europe, with a 40 percent increasein the number of installations between 2020 and 2021, and other development projects in the pipeline topromote renewable energy at European level, such as in the REPowerEU plan. However, for decadesnow, technical, political, and social uncertainties have limited the development of biogas production inEurope, and especially in France. Methods used to estimate bioCH4 potential showed a wide dispersion,due to the high variability of biomass and microbial communities. Uncertainty arising from changes inlaw and regulation has a negative impact on the economics of biogas projects. Another factor is socialuncertainty, driven in particular by the “Not In My BackYard” (NIMBY) effect and economic costs,incidents due to the operator’s lack of training, insufficient monitoring by the authorities, and inadequatepollution control measures</w:t>
      </w:r>
    </w:p>
    <w:p>
      <w:pPr/>
      <w:r>
        <w:rPr>
          <w:b/>
        </w:rPr>
        <w:t>POSSIBLE 2023:</w:t>
      </w:r>
      <w:r>
        <w:t xml:space="preserve"> UKRAINE IN THE INTERNATIONAL ENERGY COORDINATE SYSTEM — https://doi.org/10.20998/2313-8890.2023.01.04</w:t>
      </w:r>
    </w:p>
    <w:p>
      <w:pPr/>
      <w:r>
        <w:rPr>
          <w:b/>
        </w:rPr>
        <w:t>Shared claim-specific concepts:</w:t>
      </w:r>
      <w:r>
        <w:t xml:space="preserve"> according, international, energy; EU scope visible. This is a provisional connection, not an outcome finding.</w:t>
      </w:r>
    </w:p>
    <w:p>
      <w:pPr>
        <w:pStyle w:val="SourceNote"/>
      </w:pPr>
      <w:r>
        <w:rPr>
          <w:b/>
        </w:rPr>
        <w:t>Available abstract (not full text):</w:t>
      </w:r>
      <w:r>
        <w:t xml:space="preserve"> The conditions of operation of the electric power system of Ukraine are analyzed. According to the results of the analysis, it was found that the presence of electric power equipment, which has already served the period of operation established by the standards, and Russian aggression on the territory of Ukraine led to force majeure situations in the state's electric power sector. It is shown that the existing realities provoke a critical situation both in the electric power system of Ukraine and in its interaction with the united power system of continental Europe ENTSO-E. It is substantiated that even in the event of extraordinary circumstances or force majeure situations, the electricity system of Ukraine ensures balance stability, which meets European requirements for ensuring the efficient operation of Ukrainian electricity networks as part of the unified energy system of continental Europe ENTSO-E. The expediency of intensifying cooperation with the international community through Ukraine's participation in international programs and projects to implement issues of energy security, energy saving and energy efficiency under the conditions of integration of the Ukrainian economy into the world economy on an equal and mutually beneficial basis is proposed.</w:t>
      </w:r>
    </w:p>
    <w:p>
      <w:pPr/>
      <w:r>
        <w:rPr>
          <w:b/>
        </w:rPr>
        <w:t>POSSIBLE 2023:</w:t>
      </w:r>
      <w:r>
        <w:t xml:space="preserve"> Energy Economic Development in Europe — https://doi.org/10.3390/books978-3-0365-7112-6</w:t>
      </w:r>
    </w:p>
    <w:p>
      <w:pPr/>
      <w:r>
        <w:rPr>
          <w:b/>
        </w:rPr>
        <w:t>Shared claim-specific concepts:</w:t>
      </w:r>
      <w:r>
        <w:t xml:space="preserve"> energy, emissions; EU scope visible. This is a provisional connection, not an outcome finding.</w:t>
      </w:r>
    </w:p>
    <w:p>
      <w:pPr>
        <w:pStyle w:val="SourceNote"/>
      </w:pPr>
      <w:r>
        <w:rPr>
          <w:b/>
        </w:rPr>
        <w:t>Available abstract (not full text):</w:t>
      </w:r>
      <w:r>
        <w:t xml:space="preserve"> This reprint explores the challenges faced by Europe as it transitions to renewable energy sources to reduce carbon emissions and enhance energy security. With 10 articles covering various countries and sectors, the book delves into issues such as solar and wind energy intermittency, the role of energy policies, and the integration of energy grids and markets. The collection also includes studies on the impact of energy policies on residential energy efficiency, the use of financial incentives for eco-friendly housing, and the benefits of district heating. The reprint aims to provide policymakers, academics, and practitioners with valuable insights into the current state of renewable energy in Europe and the policies and actions that can be taken to achieve a sustainable energy future.</w:t>
      </w:r>
    </w:p>
    <w:p>
      <w:pPr/>
      <w:r>
        <w:rPr>
          <w:b/>
        </w:rPr>
        <w:t>POSSIBLE 2023:</w:t>
      </w:r>
      <w:r>
        <w:t xml:space="preserve"> Empowering whose future? A European policy analysis of children in energy poverty — https://doi.org/10.1016/j.erss.2023.103328</w:t>
      </w:r>
    </w:p>
    <w:p>
      <w:pPr/>
      <w:r>
        <w:rPr>
          <w:b/>
        </w:rPr>
        <w:t>Shared claim-specific concepts:</w:t>
      </w:r>
      <w:r>
        <w:t xml:space="preserve"> according, international, energy; EU scope visible. This is a provisional connection, not an outcome finding.</w:t>
      </w:r>
    </w:p>
    <w:p>
      <w:pPr>
        <w:pStyle w:val="SourceNote"/>
      </w:pPr>
      <w:r>
        <w:rPr>
          <w:b/>
        </w:rPr>
        <w:t>Available abstract (not full text):</w:t>
      </w:r>
      <w:r>
        <w:t xml:space="preserve"> Children experience distinct impacts on their mental and physical health as well as their educational attainment as a result of living in energy poverty, according to multiple sources. International guidelines, such as the UN Convention on the Rights of the Child, underline the right of every child to an adequate standard of living and the need for all policies to consider the specific needs of children. This paper aims to understand the extent to which energy policies take explicit account of children in energy poverty and endeavour to address their distinct needs and the impacts they experience. The investigation is based on an analysis of EU-SILC data and policy documents across the 28 countries that (at the end of 2019) formed the European Union. The analysis reveals that children are mostly only considered within the wider family context, with larger families tending to receive greater support, despite evidence that single-parent families are at higher risk of energy poverty. Children are characterised as passive subjects in energy policy; their perspectives and needs are not considered in policy development.</w:t>
      </w:r>
    </w:p>
    <w:p>
      <w:pPr/>
      <w:r>
        <w:rPr>
          <w:b/>
        </w:rPr>
        <w:t>POSSIBLE 2023:</w:t>
      </w:r>
      <w:r>
        <w:t xml:space="preserve"> International experience in the use of alternative energy sources (within the European Union) — https://doi.org/10.31548/law/3.2023.46</w:t>
      </w:r>
    </w:p>
    <w:p>
      <w:pPr/>
      <w:r>
        <w:rPr>
          <w:b/>
        </w:rPr>
        <w:t>Shared claim-specific concepts:</w:t>
      </w:r>
      <w:r>
        <w:t xml:space="preserve"> international, energy; EU scope visible. This is a provisional connection, not an outcome finding.</w:t>
      </w:r>
    </w:p>
    <w:p>
      <w:pPr>
        <w:pStyle w:val="SourceNote"/>
      </w:pPr>
      <w:r>
        <w:rPr>
          <w:b/>
        </w:rPr>
        <w:t>Available abstract (not full text):</w:t>
      </w:r>
      <w:r>
        <w:t xml:space="preserve"> The relevance of the chosen subject is due to the problem of the lack of conventional energy resources in the global and Ukrainian energy sectors. This problem is caused by a combination of external factors (outdated technologies, lack of oil, coal, and gas reserves) and internal factors, such as Russia’s military aggression against Ukraine, and its manipulative policy towards other countries, which encourages the European community to look for other options to ensure energy security. This gave a new urgency to the issue of activating the development of alternative energy. The purpose of the study is to analyse international experience in the use of alternative (renewable) energy and formulate conceptual methods and approaches to solving global energy problems. A combination of general scientific methods was used, primarily dialectical, analytical, concrete-sociological, and from special legal methods – comparative legal. The results obtained indicate that the use of alternative energy sources in the European Union countries will continue to develop in the future. Based on data from Regulatory Indicators for Sustainable Energy, it is confirmed that Denmark, Germany, and the Republic of Poland are currently the leaders in the use of renewable energy sources in the EU countries. The study analyses the successful experience of these countries in the use of renewable energy sources</w:t>
      </w:r>
    </w:p>
    <w:p>
      <w:pPr/>
      <w:r>
        <w:rPr>
          <w:b/>
        </w:rPr>
        <w:t>POSSIBLE 2023:</w:t>
      </w:r>
      <w:r>
        <w:t xml:space="preserve"> A Simple and Effective Model for Predicting the Thermal Energy Requirements of Greenhouses in Europe — https://doi.org/10.3390/en16196788</w:t>
      </w:r>
    </w:p>
    <w:p>
      <w:pPr/>
      <w:r>
        <w:rPr>
          <w:b/>
        </w:rPr>
        <w:t>Shared claim-specific concepts:</w:t>
      </w:r>
      <w:r>
        <w:t xml:space="preserve"> according, energy; EU scope visible. This is a provisional connection, not an outcome finding.</w:t>
      </w:r>
    </w:p>
    <w:p>
      <w:pPr>
        <w:pStyle w:val="SourceNote"/>
      </w:pPr>
      <w:r>
        <w:rPr>
          <w:b/>
        </w:rPr>
        <w:t>Available abstract (not full text):</w:t>
      </w:r>
      <w:r>
        <w:t xml:space="preserve"> In this paper, a simple model is proposed for predicting the thermal energy requirements of greenhouses in Europe. The model estimates the annual heating requirements and the maximum required heating power, along with the corresponding heating and zero-energy operating periods. It is based on the greenhouse technical data (the overall heat loss coefficient, cover transmission, sensible absorbance), the cultivation conditions (temperature range), and the meteorological data (solar radiation and ambient temperature) according to the site characteristics (longitude and latitude). The model results can be obtained using a hand calculator. The model results are compared with those of a detailed model simulating a greenhouse’s thermal performance and they agreed with real data from the literature. Moreover, a model sensitivity analysis revealed the effect of various factors on the greenhouse’s energy requirements. The results proved that the most significant factor affecting heating requirements, the maximum heating power, and heating periods is the latitude of the greenhouse site, whereas zero-energy periods are primarily influenced by the plant cultivation temperature range and then by the latitude. According to our findings, in lower latitudes (40 to 50 degrees), heating requirements range from 250 to 430 kWh/m2/y, whereas, in higher latitudes (50 to 60 degrees), heating needs ran</w:t>
      </w:r>
    </w:p>
    <w:p>
      <w:pPr/>
      <w:r>
        <w:rPr>
          <w:b/>
        </w:rPr>
        <w:t>POSSIBLE 2022:</w:t>
      </w:r>
      <w:r>
        <w:t xml:space="preserve"> Does the transition to renewable energy increase inflation in European countries? — https://doi.org/10.21203/rs.3.rs-1408222/v1</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Unavailable</w:t>
      </w:r>
    </w:p>
    <w:p>
      <w:pPr/>
      <w:r>
        <w:rPr>
          <w:b/>
        </w:rPr>
        <w:t>POSSIBLE 2022:</w:t>
      </w:r>
      <w:r>
        <w:t xml:space="preserve"> Review of PV Solar Energy Development 2011–2021 in Central European Countries — https://doi.org/10.3390/en15218307</w:t>
      </w:r>
    </w:p>
    <w:p>
      <w:pPr/>
      <w:r>
        <w:rPr>
          <w:b/>
        </w:rPr>
        <w:t>Shared claim-specific concepts:</w:t>
      </w:r>
      <w:r>
        <w:t xml:space="preserve"> according, international, energy, agency; EU scope visible. This is a provisional connection, not an outcome finding.</w:t>
      </w:r>
    </w:p>
    <w:p>
      <w:pPr>
        <w:pStyle w:val="SourceNote"/>
      </w:pPr>
      <w:r>
        <w:rPr>
          <w:b/>
        </w:rPr>
        <w:t>Available abstract (not full text):</w:t>
      </w:r>
      <w:r>
        <w:t xml:space="preserve"> According to the data collected in 2022 during 5th International Off-Grid Renewable Energy Conference organized in Abu Dhabi by the International Renewable Energy Agency, the global energy requirements show a negative impact on approximately 785 million people facing energy poverty. The long-term energy sustainability solutions should consider off-grid solutions in the planning of an energy mix and be considered as interim both in remote and already urbanized areas. These measures require integrated planning and partnering with local distribution networks. The review presents the development of photovoltaic installations in Central European countries. For more than 40 years, this area belonged to different regimes and joined the European Union at various dates. Hence, the development of energy policies and cultural and social expectations differ even when based on the Green Deal presented by the European Union in 2020. The outcomes prove that even with a variety of policy measures, the strongest boost can be given only by a set of national rules and financial incentives supporting the stakeholders. It should be noted that the advancement of PV often does not rely on climatic conditions, but more on the level of incentives undertaken by each country, as well as the general policy measures undertaken on the EU level.</w:t>
      </w:r>
    </w:p>
    <w:p>
      <w:pPr>
        <w:pStyle w:val="Heading2"/>
      </w:pPr>
      <w:r>
        <w:t>728. The Dutch Public Health Foresight Study 2018: an example of a comprehensive foresight exercise</w:t>
      </w:r>
    </w:p>
    <w:p>
      <w:pPr>
        <w:pStyle w:val="SourceNote"/>
      </w:pPr>
      <w:r>
        <w:rPr>
          <w:b/>
        </w:rPr>
        <w:t>Original source (2019):</w:t>
      </w:r>
      <w:r>
        <w:t xml:space="preserve"> https://doi.org/10.1093/eurpub/ckz200</w:t>
      </w:r>
    </w:p>
    <w:p>
      <w:pPr/>
      <w:r>
        <w:t>Original wording (abstract; indexed_source_text_not_full_document_verified): Conclusions Long-term thinking could be stimulated by using back casting techniques and stronger involvement of policy-makers in the elaboration of options for action. Lessons learned from developing intersectoral policy at the local level could be applied at the national level.</w:t>
      </w:r>
    </w:p>
    <w:p>
      <w:pPr/>
      <w:r>
        <w:rPr>
          <w:b/>
        </w:rPr>
        <w:t>POSSIBLE 2026:</w:t>
      </w:r>
      <w:r>
        <w:t xml:space="preserve"> Conclusions…and Beginnings — https://doi.org/10.4324/9781003733386-7</w:t>
      </w:r>
    </w:p>
    <w:p>
      <w:pPr/>
      <w:r>
        <w:rPr>
          <w:b/>
        </w:rPr>
        <w:t>Shared claim-specific concepts:</w:t>
      </w:r>
      <w:r>
        <w:t xml:space="preserve"> conclusions, long-term, thinking; EU scope not established. This is a provisional connection, not an outcome finding.</w:t>
      </w:r>
    </w:p>
    <w:p>
      <w:pPr>
        <w:pStyle w:val="SourceNote"/>
      </w:pPr>
      <w:r>
        <w:rPr>
          <w:b/>
        </w:rPr>
        <w:t>Available abstract (not full text):</w:t>
      </w:r>
      <w:r>
        <w:t xml:space="preserve"> This concluding chapter reflects on what leadership in sustainability requires in a time shaped by polycrisis, democratic fragility, ecological breakdown, and deep social uncertainty. Drawing together the voices of the authors, it argues that context matters: leadership must be understood not as abstract theory or heroic individualism, but as a situated, relational, and deeply human practice. Across diverse reflections, the chapter explores the need for long-term thinking, collective care, active hope, community, place-based wisdom, and the courage to remain present in discomfort, grief, and ambiguity. It also challenges dominant narratives of control, competition, and market value, suggesting that the leadership most needed now is collaborative, compassionate, creative, and grounded in purpose. Rather than offering a neat resolution, this chapter presents conclusions as openings: invitations to continue the work of becoming more fully human in service of ecological and social flourishing. Revisiting the book’s evolving 6 Cs framework, the authors offer readers a practical and reflective guide for sustaining their own leadership journeys. The chapter closes with a message of care, encouragement, and renewed commitment to the shared work of transformation.</w:t>
      </w:r>
    </w:p>
    <w:p>
      <w:pPr/>
      <w:r>
        <w:rPr>
          <w:b/>
        </w:rPr>
        <w:t>POSSIBLE 2026:</w:t>
      </w:r>
      <w:r>
        <w:t xml:space="preserve"> Short-term thinking, long-term costs: How managerial myopia undermines green innovation — https://doi.org/10.4102/sajbm.v57i1.5337</w:t>
      </w:r>
    </w:p>
    <w:p>
      <w:pPr/>
      <w:r>
        <w:rPr>
          <w:b/>
        </w:rPr>
        <w:t>Shared claim-specific concepts:</w:t>
      </w:r>
      <w:r>
        <w:t xml:space="preserve"> long-term, thinking, stronger, level; EU scope not established. This is a provisional connection, not an outcome finding.</w:t>
      </w:r>
    </w:p>
    <w:p>
      <w:pPr>
        <w:pStyle w:val="SourceNote"/>
      </w:pPr>
      <w:r>
        <w:rPr>
          <w:b/>
        </w:rPr>
        <w:t>Available abstract (not full text):</w:t>
      </w:r>
      <w:r>
        <w:t xml:space="preserve"> Purpose: This study investigates the impact of managerial myopia on green innovation in Chinese listed companies from 2001 to 2021, focusing on how short-termism undermines sustainable innovation at both firm and industry levels. Design/methodology/approach: Utilising Management Discussion and Analysis (MD&amp;A) textual analysis and corporate patent data, we employ high-dimensional fixed-effects and robustness tests to assess the relationship between managerial myopia and green innovation. Heterogeneity analysis and mediation models explore variations across firm types and mediating mechanisms, including R&amp;D investment, digital transformation and environmental, social and governance (ESG) management. Findings/results: Results confirm that managerial myopia significantly inhibits green innovation, with stronger effects in non-state-owned enterprises (non-SOEs), non-heavy polluting firms and non-CEO-duality firms. At the industry level, managerial myopia indirectly suppresses green innovation through reduced R&amp;D investment, limited digital transformation and weaker ESG management, as validated by mediation analysis. Practical implications: The findings offer policymakers and corporate leaders’ insights into aligning managerial incentives with long-term environmental and economic goals. Encouraging sustainable focus in non-SOEs and enhancing R&amp;D and ESG practices could mitigate the a</w:t>
      </w:r>
    </w:p>
    <w:p>
      <w:pPr/>
      <w:r>
        <w:rPr>
          <w:b/>
        </w:rPr>
        <w:t>POSSIBLE 2026:</w:t>
      </w:r>
      <w:r>
        <w:t xml:space="preserve"> Strategic and Long-Term Educational Planning — https://doi.org/10.4018/979-8-3373-7645-5.ch008</w:t>
      </w:r>
    </w:p>
    <w:p>
      <w:pPr/>
      <w:r>
        <w:rPr>
          <w:b/>
        </w:rPr>
        <w:t>Shared claim-specific concepts:</w:t>
      </w:r>
      <w:r>
        <w:t xml:space="preserve"> long-term, thinking; EU scope not established. This is a provisional connection, not an outcome finding.</w:t>
      </w:r>
    </w:p>
    <w:p>
      <w:pPr>
        <w:pStyle w:val="SourceNote"/>
      </w:pPr>
      <w:r>
        <w:rPr>
          <w:b/>
        </w:rPr>
        <w:t>Available abstract (not full text):</w:t>
      </w:r>
      <w:r>
        <w:t xml:space="preserve"> .Long-term and strategic educational planning, therefore, is crucial for guaranteeing sustainability and resilience in higher education. In light of globalisation, technological change, and socio-economic insecurity, universities and colleges such as HBCUs, HSIs, MSIs, and PWIs must all adopt forward-looking models of planning. This chapter explores how strategic planning at universities and colleges can make them more agile, innovative, and inclusive through the application of systems thinking, data-informed decision-making, and foresight modelling to enhance governance, curriculum, faculty development, and student success. A global perspective points out how institutions operating within different policy and cultural settings respond to emerging challenges and opportunities. It provides a roadmap for linking institutional priorities with wider societal goals, including the United Nations' Sustainable Development Goals. The conclusion is that forward-looking planning is a transformative process through which the evolving mission and social purpose of higher education is shaped.</w:t>
      </w:r>
    </w:p>
    <w:p>
      <w:pPr/>
      <w:r>
        <w:rPr>
          <w:b/>
        </w:rPr>
        <w:t>POSSIBLE 2026:</w:t>
      </w:r>
      <w:r>
        <w:t xml:space="preserve"> Redesigning Long-Term Care Policy Using Systems Thinking in the Post-Pandemic Era — https://doi.org/10.3390/systems14010079</w:t>
      </w:r>
    </w:p>
    <w:p>
      <w:pPr/>
      <w:r>
        <w:rPr>
          <w:b/>
        </w:rPr>
        <w:t>Shared claim-specific concepts:</w:t>
      </w:r>
      <w:r>
        <w:t xml:space="preserve"> long-term, thinking, involvement; EU scope not established. This is a provisional connection, not an outcome finding.</w:t>
      </w:r>
    </w:p>
    <w:p>
      <w:pPr>
        <w:pStyle w:val="SourceNote"/>
      </w:pPr>
      <w:r>
        <w:rPr>
          <w:b/>
        </w:rPr>
        <w:t>Available abstract (not full text):</w:t>
      </w:r>
      <w:r>
        <w:t xml:space="preserve"> The COVID-19 pandemic highlighted critical issues in health services and public policy, particularly in long-term care facilities across Canada. Failures in these facilities revolving around chronic underfunding, staffing shortages, inadequate infection control, and inconsistent regulatory oversight, underscore the need to rethink health service interventions, especially considering varying implementation contexts among provinces. The Ontario Long-Term Care COVID-19 Commission Final Report pointed to long-standing systemic issues as the primary causes of the sector’s failures. To explore this issue, a narrative review was conducted with findings indicating that the long-term care crisis in Canada cannot be solved by more privatization, regulation or efficiency measures, as these have contributed to the problem’s root causes. Ontario’s long-term care crisis stems from systemic misalignments in policy, structure and stakeholder dynamics, requiring a shift toward systems thinking and resident-centered care to build an equitable and sustainable long-term care sector. Ultimately, governments must lead a policy redesign that reflects shared responsibility, stakeholder interdependence, and public involvement, offering a model for broader healthcare reform.</w:t>
      </w:r>
    </w:p>
    <w:p>
      <w:pPr/>
      <w:r>
        <w:rPr>
          <w:b/>
        </w:rPr>
        <w:t>POSSIBLE 2025:</w:t>
      </w:r>
      <w:r>
        <w:t xml:space="preserve"> Value-Driven Back casting Technique as a Methodology for designing the Future of Continuous Learning Center Interiors (AI as an Assistive Tool). — https://doi.org/10.21608/aaj.2025.378971.1130</w:t>
      </w:r>
    </w:p>
    <w:p>
      <w:pPr/>
      <w:r>
        <w:rPr>
          <w:b/>
        </w:rPr>
        <w:t>Shared claim-specific concepts:</w:t>
      </w:r>
      <w:r>
        <w:t xml:space="preserve"> long-term, thinking, back, casting, developing; EU scope not established. This is a provisional connection, not an outcome finding.</w:t>
      </w:r>
    </w:p>
    <w:p>
      <w:pPr>
        <w:pStyle w:val="SourceNote"/>
      </w:pPr>
      <w:r>
        <w:rPr>
          <w:b/>
        </w:rPr>
        <w:t>Available abstract (not full text):</w:t>
      </w:r>
      <w:r>
        <w:t xml:space="preserve"> Interior design today faces two significant challenges: a decline in creativity and originality due to an overreliance on digital tools, AI, and online platforms for inspiration, and a lack of alignment with sustainability and the United Nations Sustainable Development Goals (SDGs). This misalignment often occurs because these global visions are not adequately considered during the design process. One of the main reasons for these challenges is the pressure of time and efficiency, which frequently forces designers to prioritize convenience over creativity and innovation. As a result, designs often fail to address long-term societal and environmental impacts.This paper explores various thinking approaches while designing, critically examining their potential to tackle these challenges. It introduces "value-driven back casting" technique as an innovative framework for interior design, emphasizing a future-focused and goal-oriented approach to overcoming these issues. This methodology empowers interior designers to actively shape and define their own future, rather than merely following trends or relying on existing tools and ideas. By developing out-of-the-box thinking and encouraging innovation, this approach enables designers to become leaders in creating forward-thinking and sustainable solutions. To demonstrate its application, the paper presents an experiment that uses this </w:t>
      </w:r>
    </w:p>
    <w:p>
      <w:pPr/>
      <w:r>
        <w:rPr>
          <w:b/>
        </w:rPr>
        <w:t>POSSIBLE 2025:</w:t>
      </w:r>
      <w:r>
        <w:t xml:space="preserve"> The Learning Inquiry with Mnemonic Strategy for the Formation of Long-Term Memory and Creative Thinking Ability — https://doi.org/10.1344/joned.v6i1.49406</w:t>
      </w:r>
    </w:p>
    <w:p>
      <w:pPr/>
      <w:r>
        <w:rPr>
          <w:b/>
        </w:rPr>
        <w:t>Shared claim-specific concepts:</w:t>
      </w:r>
      <w:r>
        <w:t xml:space="preserve"> long-term, thinking, level; EU scope not established. This is a provisional connection, not an outcome finding.</w:t>
      </w:r>
    </w:p>
    <w:p>
      <w:pPr>
        <w:pStyle w:val="SourceNote"/>
      </w:pPr>
      <w:r>
        <w:rPr>
          <w:b/>
        </w:rPr>
        <w:t>Available abstract (not full text):</w:t>
      </w:r>
      <w:r>
        <w:t xml:space="preserve"> Students' understanding of enzyme and metabolism material is relatively low. This is due to the students' low memory. In the latest curriculum, students are expected to understand the function of enzymes and be familiar with the metabolic processes that occur in the body. Another ability that needs to be improved is the ability to think creatively which must be present in 21st century students. This study aims to analyze the impact of the inquiry model with mnemonic strategy on the formation of long-term memory (LTM) and creative thinking and the correlation between the two on metabolic material. The method used was a quasi-experiment with a pretest-posttest control group design on students of class XII SMA Negeri 1 Magelang who obtained phase F of Biology subject. The instruments used include pretest questions, posttest questions, LKPD, student response questionnaire, and an observation sheet of learning implementation. The results showed that this learning model had a significant positive effect on forming LTM and creative thinking skills as indicated by the significance of Mann-Whitney U 0.000 &lt;0.005. Spearman correlation analysis showed a fairly close relationship (r = 0.311) between the two. In addition, the implementation of learning was rated 100% and students' positive responses reached 86%. This study implies that the use of an inquiry learning model with mnemonic stra</w:t>
      </w:r>
    </w:p>
    <w:p>
      <w:pPr/>
      <w:r>
        <w:rPr>
          <w:b/>
        </w:rPr>
        <w:t>POSSIBLE 2025:</w:t>
      </w:r>
      <w:r>
        <w:t xml:space="preserve"> ‘Near-to-Medium Term’ Practices in the European Union’s Governance — https://doi.org/10.38158/apjeus.23.1.3</w:t>
      </w:r>
    </w:p>
    <w:p>
      <w:pPr/>
      <w:r>
        <w:rPr>
          <w:b/>
        </w:rPr>
        <w:t>Shared claim-specific concepts:</w:t>
      </w:r>
      <w:r>
        <w:t xml:space="preserve"> long-term, thinking, policy-makers; EU scope visible. This is a provisional connection, not an outcome finding.</w:t>
      </w:r>
    </w:p>
    <w:p>
      <w:pPr>
        <w:pStyle w:val="SourceNote"/>
      </w:pPr>
      <w:r>
        <w:rPr>
          <w:b/>
        </w:rPr>
        <w:t>Available abstract (not full text):</w:t>
      </w:r>
      <w:r>
        <w:t xml:space="preserve"> Long-term thinking is one of the most difficult tasks that States, and their policy-makers, face, and the European Union (EU) is no exception. This article examines the long-termist literature and the EU’s governance’s practices infused with power. It addresses the following question: does (and how) the practice approach make it possible to capture the practices of the European Union’s governance that give rise to contrasting directions when encroaching on social interactions? The findings highlight how the practices of the EU’s governance lead to different and opposed outcomes when interact with the social sphere, and how the outcomes are connected to the future. The findings might serve policy-makers to remind the importance of considering the effects of their policies on the future. The article fulfils these tasks by applying the practice approach to three short illustrative examples that are inherent within the EU’s governance: the Covid pandemic, Afghanistan, and China. The issue of how the practical implications of this paper might inform the ‘near-to-medium term’ policy-making or international relations strategies is discussed in the conclusion.</w:t>
      </w:r>
    </w:p>
    <w:p>
      <w:pPr/>
      <w:r>
        <w:rPr>
          <w:b/>
        </w:rPr>
        <w:t>POSSIBLE 2025:</w:t>
      </w:r>
      <w:r>
        <w:t xml:space="preserve"> Strategic thinking and psychological security of the individual — https://doi.org/10.17759/epps.2025020201</w:t>
      </w:r>
    </w:p>
    <w:p>
      <w:pPr/>
      <w:r>
        <w:rPr>
          <w:b/>
        </w:rPr>
        <w:t>Shared claim-specific concepts:</w:t>
      </w:r>
      <w:r>
        <w:t xml:space="preserve"> conclusions, long-term, thinking, developing; EU scope not established. This is a provisional connection, not an outcome finding.</w:t>
      </w:r>
    </w:p>
    <w:p>
      <w:pPr>
        <w:pStyle w:val="SourceNote"/>
      </w:pPr>
      <w:r>
        <w:rPr>
          <w:b/>
        </w:rPr>
        <w:t>Available abstract (not full text):</w:t>
      </w:r>
      <w:r>
        <w:t xml:space="preserve"> Context and Relevance. The study examines the concept of “strategic thinking” as a complex ability of an individual, closely tied to long-term planning, critical thinking, and metacognitive capabilities. This, in turn, is directly related to psychological well-being and the psychological safety of the individual. Objective: to explore and substantiate the relationship between the psychological constructs of “strategic thinking” and “psychological safety” of the individual. Hypotheses. “Strategic thinking”, manifested in the ability for long-term planning and risk analysis, contributes to enhancing personal psychological safety by reducing uncertainty and anxiety. Additionally, metacognitive processes, which are part of “strategic thinking”, strengthen personal psychological safety, enabling better management of emotions and reactions in stressful situations. These two directions can influence social representations and social attitudes, and interventions aimed at strengthening the construct of “strategic thinking” can contribute to improving the social situation by reducing anxiety and enhancing adaptive capabilities. Materials and methods. The study employs theoretical methods such as analysis (since “strategic thinking” comprises several interconnected components) and synthesis (to identify common features of the “strategic thinking” construct and psychological safety, and to</w:t>
      </w:r>
    </w:p>
    <w:p>
      <w:pPr/>
      <w:r>
        <w:rPr>
          <w:b/>
        </w:rPr>
        <w:t>POSSIBLE 2025:</w:t>
      </w:r>
      <w:r>
        <w:t xml:space="preserve"> Strategic planning for the long-term development of shrinking cities — https://doi.org/10.17877/de290r-26782</w:t>
      </w:r>
    </w:p>
    <w:p>
      <w:pPr/>
      <w:r>
        <w:rPr>
          <w:b/>
        </w:rPr>
        <w:t>Shared claim-specific concepts:</w:t>
      </w:r>
      <w:r>
        <w:t xml:space="preserve"> long-term, thinking, action, local, level; EU scope visible. This is a provisional connection, not an outcome finding.</w:t>
      </w:r>
    </w:p>
    <w:p>
      <w:pPr>
        <w:pStyle w:val="SourceNote"/>
      </w:pPr>
      <w:r>
        <w:rPr>
          <w:b/>
        </w:rPr>
        <w:t>Available abstract (not full text):</w:t>
      </w:r>
      <w:r>
        <w:t xml:space="preserve"> Urban shrinkage poses existential challenges to cities and dilemmas for urban policymakers. Over the last two decades, policy innovations and local experiments for dealing with urban shrinkage have been observed at various scales, but they are not without contradictions. Making policies as the symptoms arise is not the same as strategy-making. Focusing on problems risks neglecting essential challenges to the future. Scattered projects may not bring a coherent territorial development. Motivated by these understandings, this research is less about specific solutions for specific problems than it is about the strategy-making that connects the dots and opens new pathways. It aims to understand what shrinkage, as a path of development, means for planning, identify what strategic planning work is needed to steer urban development under shrinkage, and how strategic (spatial) planning can support this strategic work. At the core of this research is an international, comparative, in-depth case study of two medium-sized cities with long-term shrinkage — Den Helder (The Netherlands) and Zwickau (Germany). The case study examined their development strategies over two decades, analysed the spatialisation of the strategies, and identified the local factors contributing to the differences between the two cities, to map and compare their long-term development strategies and the spatial logic b</w:t>
      </w:r>
    </w:p>
    <w:p>
      <w:pPr/>
      <w:r>
        <w:rPr>
          <w:b/>
        </w:rPr>
        <w:t>POSSIBLE 2025:</w:t>
      </w:r>
      <w:r>
        <w:t xml:space="preserve"> Knowledge, thinking, and management — https://doi.org/10.7256/2454-0757.2025.12.77357</w:t>
      </w:r>
    </w:p>
    <w:p>
      <w:pPr/>
      <w:r>
        <w:rPr>
          <w:b/>
        </w:rPr>
        <w:t>Shared claim-specific concepts:</w:t>
      </w:r>
      <w:r>
        <w:t xml:space="preserve"> long-term, thinking, developing; EU scope not established. This is a provisional connection, not an outcome finding.</w:t>
      </w:r>
    </w:p>
    <w:p>
      <w:pPr>
        <w:pStyle w:val="SourceNote"/>
      </w:pPr>
      <w:r>
        <w:rPr>
          <w:b/>
        </w:rPr>
        <w:t>Available abstract (not full text):</w:t>
      </w:r>
      <w:r>
        <w:t xml:space="preserve"> The subject of this article's research is three interrelated concepts: knowledge, thinking, and management. A comprehensive analysis of these concepts, the definition of key terms and mechanisms reveals their significant commonality. The study of the knowledge system implies: consideration of methods for constructing the knowledge system, a comparative analysis of these methods, determination of the possibility of forming a meaningful model of knowledge; analysis of thinking – a set of event chains that make up the process of working memory in the cognitive system; managing complex systems, including real-time management of cognitive systems. In conclusion, the social aspect of the development of artificial cognitive systems is examined in the context of the established concepts of the knowledge-thinking-management cycle during the transition of civilization to the stage of cognitive technology civilization, characterized by a sharp increase in the significance of artificial cognitive systems. The research methodology is based on the use of knowledge from many fields: epistemology, general system theory and the methodology of scientific cognition, cognitive systems theory, management theory, and others. Various actor-oriented approaches were used as tools for implementing tasks related to building knowledge systems, developing thinking, and management. The scientific novelty of</w:t>
      </w:r>
    </w:p>
    <w:p>
      <w:pPr/>
      <w:r>
        <w:rPr>
          <w:b/>
        </w:rPr>
        <w:t>POSSIBLE 2024:</w:t>
      </w:r>
      <w:r>
        <w:t xml:space="preserve"> Is Long-Term Thinking a Trap? — https://doi.org/10.1215/22011919-11150043</w:t>
      </w:r>
    </w:p>
    <w:p>
      <w:pPr/>
      <w:r>
        <w:rPr>
          <w:b/>
        </w:rPr>
        <w:t>Shared claim-specific concepts:</w:t>
      </w:r>
      <w:r>
        <w:t xml:space="preserve"> long-term, thinking, stronger; EU scope not established. This is a provisional connection, not an outcome finding.</w:t>
      </w:r>
    </w:p>
    <w:p>
      <w:pPr>
        <w:pStyle w:val="SourceNote"/>
      </w:pPr>
      <w:r>
        <w:rPr>
          <w:b/>
        </w:rPr>
        <w:t>Available abstract (not full text):</w:t>
      </w:r>
      <w:r>
        <w:t xml:space="preserve"> Abstract This provocation critiques the notion of long-term thinking and the claims of its proponents that it will help address failures in dominant conceptions of time, particularly in regard to environmental crises. Drawing on analyses of the Clock of the Long Now and Kim Stanley Robinson’s The Ministry for the Future, the article suggests that we be more wary of the concept’s use in what we might call chronowashing. Like the more familiar greenwashing, where environmental issues are hidden by claims to be addressing the problem, the article explores how these examples of long-term thinking distract from extractivism, racism, and environmental injustice, making it harder to address the complexities involved. In particular, the article discusses examples where long-term thinking provides a veneer of environmental concern that actually disconnects from the work of building more equitable forms of relation. As a contrast, the article’s author asks: What is lost when we diagnose a problem as arising due to short-term thinking and propose long-term thinking as the solution? Against chronowashed environmental time, the author argues for more complex approaches that explicitly take into account the temporalities of inequality, political organization, ethical responsibilities and much else. The article engages with approaches to time that foreground the work needed to create time and</w:t>
      </w:r>
    </w:p>
    <w:p>
      <w:pPr/>
      <w:r>
        <w:rPr>
          <w:b/>
        </w:rPr>
        <w:t>POSSIBLE 2024:</w:t>
      </w:r>
      <w:r>
        <w:t xml:space="preserve"> Retrieval method as a learning intervention for long term retention and creative thinking skills — https://doi.org/10.16920/jeet/2024/v37is2/24102</w:t>
      </w:r>
    </w:p>
    <w:p>
      <w:pPr/>
      <w:r>
        <w:rPr>
          <w:b/>
        </w:rPr>
        <w:t>Shared claim-specific concepts:</w:t>
      </w:r>
      <w:r>
        <w:t xml:space="preserve"> thinking, techniques, level, applied; EU scope not established. This is a provisional connection, not an outcome finding.</w:t>
      </w:r>
    </w:p>
    <w:p>
      <w:pPr>
        <w:pStyle w:val="SourceNote"/>
      </w:pPr>
      <w:r>
        <w:rPr>
          <w:b/>
        </w:rPr>
        <w:t>Available abstract (not full text):</w:t>
      </w:r>
      <w:r>
        <w:t xml:space="preserve"> Abstract— Few key skills among many that are needed in the 21st century are critical thinking, creativity, collaboration, meta cognitive skills, technology literacy and decision making under uncertainty. With the emergence of ChatGPT and other Generative AI tools, there is a dire need for a distinctive way of learning and application of learning to ensure learning effectiveness. Mere content is no longer the most important factor to learn these skills but. what is needed is the ability to retrieve material learnt, in the context of application. For the learner to be able to apply the critical thinking levels and higher learning levels of Blooms taxonomy, the basic first level of remembering forms the basic foundation, particularly when the students are from first generation educated families or with disadvantaged socioeconomic backgrounds. However, when students cram for the exams, they generally get an ‘illusion of learning’, where they think they know, but in reality often they may not be able to recall what they crammed when they need it later. This is a case of inefficient investment of time and effort in learning for the student. For the teacher, it slows down the teaching process and opportunity to engage in higher order thinking level applications. Addressing the frustrations of both teacher and students, the authors applied the concept of Retrieval method for MBA I year</w:t>
      </w:r>
    </w:p>
    <w:p>
      <w:pPr>
        <w:pStyle w:val="Heading2"/>
      </w:pPr>
      <w:r>
        <w:t>729. The biological transformation of industrial manufacturing – Technologies, status and scenarios for a sustainable future of the German manufacturing industry</w:t>
      </w:r>
    </w:p>
    <w:p>
      <w:pPr>
        <w:pStyle w:val="SourceNote"/>
      </w:pPr>
      <w:r>
        <w:rPr>
          <w:b/>
        </w:rPr>
        <w:t>Original source (2019):</w:t>
      </w:r>
      <w:r>
        <w:t xml:space="preserve"> https://doi.org/10.1016/j.jmsy.2019.11.006</w:t>
      </w:r>
    </w:p>
    <w:p>
      <w:pPr/>
      <w:r>
        <w:t>Original wording (abstract; indexed_source_text_not_full_document_verified): We conclude with a summary and recommendations for decision makers in politics, industries and research. In this context, the soaring possibilities of bio- and information technology have recently let few authors develop the vision of a biological transformation of manufacturing, a concept that to date has been barely concrete to politicians, scientists, and managers.</w:t>
      </w:r>
    </w:p>
    <w:p>
      <w:pPr/>
      <w:r>
        <w:rPr>
          <w:b/>
        </w:rPr>
        <w:t>POSSIBLE 2026:</w:t>
      </w:r>
      <w:r>
        <w:t xml:space="preserve"> Summary, Conclusions and Recommendations — https://doi.org/10.1201/9781003759744-14</w:t>
      </w:r>
    </w:p>
    <w:p>
      <w:pPr/>
      <w:r>
        <w:rPr>
          <w:b/>
        </w:rPr>
        <w:t>Shared claim-specific concepts:</w:t>
      </w:r>
      <w:r>
        <w:t xml:space="preserve"> summary, recommendations, information; EU scope not established. This is a provisional connection, not an outcome finding.</w:t>
      </w:r>
    </w:p>
    <w:p>
      <w:pPr>
        <w:pStyle w:val="SourceNote"/>
      </w:pPr>
      <w:r>
        <w:rPr>
          <w:b/>
        </w:rPr>
        <w:t>Available abstract (not full text):</w:t>
      </w:r>
      <w:r>
        <w:t xml:space="preserve"> Under fully controlled laboratory conditions, with constant chemical groundwater quality, one type of collector (quartz grains), a range of Darcy flow velocities, a range of grain sizes, and in columns of limited height, the E. coli concentration decreases logarithmically with the transport distance. Also, there is reasonable agreement between the measured filter coefficients from breakthrough curves and the filter coefficients calculated using the single collector contact efficiency, and assuming a constant sticking efficiency for the E. coli - quartz system. Because the E. coli - quartz grain system behaves according to the classical CFT, as defined in chapter 1 of this thesis, the theory provides a valuable framework for predicting the transport of E. coli in porous media under saturated conditions. This is one of the main outcomes of the work carried out by Matthess et al. (1991a, 1991b) on an extensive set of column experiments. However, based on the research presented in this thesis, this outcome needs to be modified for the following reasons: The conclusions of Matthess et al. (1991a, 1991b), and many other workers, are based on effluent concentrations from column experiments only. As was concluded by Bradford et al (2002 , 2003 ), Tufenkji and Elimelech (2004a, 2005), Li et al. (2004) , Tong and Johnson (2007), and by our work ( Chapter 8 ), such type of experiment does</w:t>
      </w:r>
    </w:p>
    <w:p>
      <w:pPr/>
      <w:r>
        <w:rPr>
          <w:b/>
        </w:rPr>
        <w:t>POSSIBLE 2026:</w:t>
      </w:r>
      <w:r>
        <w:t xml:space="preserve"> Guidance on negative emissions for cities - Summary for Decision Makers — https://doi.org/10.2760/4262978</w:t>
      </w:r>
    </w:p>
    <w:p>
      <w:pPr/>
      <w:r>
        <w:rPr>
          <w:b/>
        </w:rPr>
        <w:t>Shared claim-specific concepts:</w:t>
      </w:r>
      <w:r>
        <w:t xml:space="preserve"> summary, decision, makers, develop; EU scope not established. This is a provisional connection, not an outcome finding.</w:t>
      </w:r>
    </w:p>
    <w:p>
      <w:pPr>
        <w:pStyle w:val="SourceNote"/>
      </w:pPr>
      <w:r>
        <w:rPr>
          <w:b/>
        </w:rPr>
        <w:t>Available abstract (not full text):</w:t>
      </w:r>
      <w:r>
        <w:t xml:space="preserve"> Cities on a net-zero emissions journey are required to navigate the complexities of negative emissions and residual emissions planning and accounting. This Summary for Decision Makers, accompanying the JRC Technical Report "Guidance on negative emissions for cities", provides city decision-makers and practitioners with a concise and accessible roadmap for developing robust and high-integrity residual emissions strategies. It outlines key decision-making points, step-by-step operational approaches, and best practices for cities to advance negative emissions, leveraging carbon removal opportunities and avoiding common pitfalls. The guide highlights the different roles cities can play and the key steps and requirements for residual emissions planning, from defining residual emissions to structuring governance, policy, and funding. By following this guide, cities can develop time- and cost-effective residual emissions strategies, deliver a climate-neutral future, and maximise co-benefits.</w:t>
      </w:r>
    </w:p>
    <w:p>
      <w:pPr/>
      <w:r>
        <w:rPr>
          <w:b/>
        </w:rPr>
        <w:t>POSSIBLE 2025:</w:t>
      </w:r>
      <w:r>
        <w:t xml:space="preserve"> Understanding an Executive Summary: A Guide to Effective Communication and Decision-Making — https://doi.org/10.36948/ijfmr.2025.v07i05.55439</w:t>
      </w:r>
    </w:p>
    <w:p>
      <w:pPr/>
      <w:r>
        <w:rPr>
          <w:b/>
        </w:rPr>
        <w:t>Shared claim-specific concepts:</w:t>
      </w:r>
      <w:r>
        <w:t xml:space="preserve"> conclude, summary, recommendations, decision, context, information; EU scope not established. This is a provisional connection, not an outcome finding.</w:t>
      </w:r>
    </w:p>
    <w:p>
      <w:pPr>
        <w:pStyle w:val="SourceNote"/>
      </w:pPr>
      <w:r>
        <w:rPr>
          <w:b/>
        </w:rPr>
        <w:t>Available abstract (not full text):</w:t>
      </w:r>
      <w:r>
        <w:t xml:space="preserve"> Understanding an Executive Summary: A Guide to Effective Communication and Decision-Making The executive summary is a critical, yet frequently underestimated, component of professional communication in business, academic, and policy contexts. Often perceived as a mere formality or a brief introduction, its true purpose is to serve as a standalone, concise, and comprehensive overview of a larger document. It is designed to empower time-constrained decision-makers, stakeholders, and investors by providing them with the essential information required to grasp the core issues, key findings, and proposed recommendations without needing to read the entire report. A well-crafted executive summary demystifies complex data and extensive analysis, translating intricate details into a clear, compelling narrative that drives action. This abstract delves into the foundational principles of effective executive summary creation, exploring its strategic purpose, essential components, and the common pitfalls writers must navigate to produce a document that is both impactful and informative. At its core, an executive summary is a synthesis of critical information. It is not an introduction; rather, it is a distilled version of the entire report that should be able to stand on its own. Its purpose is to present the problem being addressed, the methodology used to investigate it, the key findings </w:t>
      </w:r>
    </w:p>
    <w:p>
      <w:pPr/>
      <w:r>
        <w:rPr>
          <w:b/>
        </w:rPr>
        <w:t>POSSIBLE 2024:</w:t>
      </w:r>
      <w:r>
        <w:t xml:space="preserve"> The Politics of Platform Regulation — https://doi.org/10.1093/oso/9780197692851.001.0001</w:t>
      </w:r>
    </w:p>
    <w:p>
      <w:pPr/>
      <w:r>
        <w:rPr>
          <w:b/>
        </w:rPr>
        <w:t>Shared claim-specific concepts:</w:t>
      </w:r>
      <w:r>
        <w:t xml:space="preserve"> politics, information, technology; EU scope visible. This is a provisional connection, not an outcome finding.</w:t>
      </w:r>
    </w:p>
    <w:p>
      <w:pPr>
        <w:pStyle w:val="SourceNote"/>
      </w:pPr>
      <w:r>
        <w:rPr>
          <w:b/>
        </w:rPr>
        <w:t>Available abstract (not full text):</w:t>
      </w:r>
      <w:r>
        <w:t xml:space="preserve"> Abstract As digital platforms have become more integral to not just how we live, but also to how we do politics, the rules governing online expression, behavior, and interaction created by large multinational technology firms—popularly termed ‘content moderation,’ ‘platform governance,’ or ‘trust and safety’—have increasingly become the target of government regulatory efforts. This book provides a conceptual and empirical analysis of the important and emerging tech policy terrain of ‘platform regulation.’ How, why, and where exactly is it happening? Why now? And how do we best understand the vast array of strategies being deployed across jurisdictions to tackle this issue? The book outlines three strategies commonly pursued by government actors seeking to combat issues relating to the proliferation of hate speech, disinformation, child abuse imagery, and other forms of harmful content on user-generated content platforms: convincing, collaborating, and contesting. It then outlines a theoretical model for explaining the adoption of these different strategies in different political contexts and regulatory episodes. This model is explored through detailed case study chapters—driven by a combination of stakeholder interviews and new policymaking documents obtained via freedom of information requests—looking at policy development in Germany, Australia and New Zealand, and the United </w:t>
      </w:r>
    </w:p>
    <w:p>
      <w:pPr/>
      <w:r>
        <w:rPr>
          <w:b/>
        </w:rPr>
        <w:t>POSSIBLE 2024:</w:t>
      </w:r>
      <w:r>
        <w:t xml:space="preserve"> Concluding summary and future directions for travel behaviour — https://doi.org/10.4337/9781839105746.00034</w:t>
      </w:r>
    </w:p>
    <w:p>
      <w:pPr/>
      <w:r>
        <w:rPr>
          <w:b/>
        </w:rPr>
        <w:t>Shared claim-specific concepts:</w:t>
      </w:r>
      <w:r>
        <w:t xml:space="preserve"> summary, recommendations, context, date; EU scope not established. This is a provisional connection, not an outcome finding.</w:t>
      </w:r>
    </w:p>
    <w:p>
      <w:pPr>
        <w:pStyle w:val="SourceNote"/>
      </w:pPr>
      <w:r>
        <w:rPr>
          <w:b/>
        </w:rPr>
        <w:t>Available abstract (not full text):</w:t>
      </w:r>
      <w:r>
        <w:t xml:space="preserve"> This chapter is the closing summary of the Handbook of Travel Behaviour and discusses the major emerging themes, which are organised into two categories: 'Conceptual and Analytical' aspects and 'Contextual and Empirical' aspects. Key areas highlighted under these themes include: the profound effects of effects of virtualisation and digital technologies on the where, when and how people travel; the need for greater public participation in all stages of design, collection, and analysis of data as well as the communication of findings; greater understanding of the differing environmental, social and cultural contexts that travel behaviour takes place within, and corresponding impacts. To date, the field is dynamically moving and evolving depending on the geographical context. The best that can be hoped for is to comprehend these differences and do our best to reflect them in the approaches that we take and the recommendations that we make.</w:t>
      </w:r>
    </w:p>
    <w:p>
      <w:pPr/>
      <w:r>
        <w:rPr>
          <w:b/>
        </w:rPr>
        <w:t>POSSIBLE 2023:</w:t>
      </w:r>
      <w:r>
        <w:t xml:space="preserve"> ‘Learning lessons’: discussion, concluding thoughts and recommendations — https://doi.org/10.1332/policypress/9781447363385.003.0007</w:t>
      </w:r>
    </w:p>
    <w:p>
      <w:pPr/>
      <w:r>
        <w:rPr>
          <w:b/>
        </w:rPr>
        <w:t>Shared claim-specific concepts:</w:t>
      </w:r>
      <w:r>
        <w:t xml:space="preserve"> summary, recommendations, authors; EU scope not established. This is a provisional connection, not an outcome finding.</w:t>
      </w:r>
    </w:p>
    <w:p>
      <w:pPr>
        <w:pStyle w:val="SourceNote"/>
      </w:pPr>
      <w:r>
        <w:rPr>
          <w:b/>
        </w:rPr>
        <w:t>Available abstract (not full text):</w:t>
      </w:r>
      <w:r>
        <w:t xml:space="preserve"> This chapter will reflect on the book chapters to provide a summary alongside the authors’ concluding thoughts and recommendations going forwards. The final word will be given over to Louise Powell who wishes to end this book with her own comment and wishes for the future.</w:t>
      </w:r>
    </w:p>
    <w:p>
      <w:pPr/>
      <w:r>
        <w:rPr>
          <w:b/>
        </w:rPr>
        <w:t>POSSIBLE 2023:</w:t>
      </w:r>
      <w:r>
        <w:t xml:space="preserve"> ‘Learning lessons’: discussion, concluding thoughts and recommendations — https://doi.org/10.46692/9781447363408.007</w:t>
      </w:r>
    </w:p>
    <w:p>
      <w:pPr/>
      <w:r>
        <w:rPr>
          <w:b/>
        </w:rPr>
        <w:t>Shared claim-specific concepts:</w:t>
      </w:r>
      <w:r>
        <w:t xml:space="preserve"> conclude, summary, recommendations, authors; EU scope not established. This is a provisional connection, not an outcome finding.</w:t>
      </w:r>
    </w:p>
    <w:p>
      <w:pPr>
        <w:pStyle w:val="SourceNote"/>
      </w:pPr>
      <w:r>
        <w:rPr>
          <w:b/>
        </w:rPr>
        <w:t>Available abstract (not full text):</w:t>
      </w:r>
      <w:r>
        <w:t xml:space="preserve"> ‘It’s not rocket science, don’t send pregnant women to prison for shoplifting.’ Beth, 2017 Introduction All mothers take with them a legacy from their time in prison and/or a prison MBU. Sometimes that legacy is positive; for example, some mothers may have benefited from a safer and intentionally supportive space to begin life as a mother than they might otherwise have had (though most often not without some cost), but often there are negative and complex consequences too. This evidence-based volume has revealed and unpicked some of those realities. We, the authors, have both undertaken multiple research projects that inform our writing here, but the bulk of the evidence for this book came from two main studies, Motherhood Challenged (Baldwin, 2021a) and The Incarcerated Pregnancy (Abbott, 2018). We acknowledge that since our research was undertaken there is more of an appetite and motivation for positive change (in part, stimulated and assisted by our research). This change, although coming on the back of the aforementioned tragedies, is welcome. This chapter incorporates a reflective summary of the takeaway messages of the book while re-stating the current landscape and present commitment to change. Drawing on our own thoughts, research and the women’s voices, we conclude with 21 recommendations, which, if implemented, we feel would go some way towards minimising harm and imp</w:t>
      </w:r>
    </w:p>
    <w:p>
      <w:pPr/>
      <w:r>
        <w:rPr>
          <w:b/>
        </w:rPr>
        <w:t>POSSIBLE 2023:</w:t>
      </w:r>
      <w:r>
        <w:t xml:space="preserve"> PETRO SHELEST IN THE POLITICAL HISTORY OF UKRAINE OF THE 20TH CENTURY – SUMMARY — https://doi.org/10.61097/30717957/csu1/2023/79-83</w:t>
      </w:r>
    </w:p>
    <w:p>
      <w:pPr/>
      <w:r>
        <w:rPr>
          <w:b/>
        </w:rPr>
        <w:t>Shared claim-specific concepts:</w:t>
      </w:r>
      <w:r>
        <w:t xml:space="preserve"> summary, decision, context, concept; EU scope visible. This is a provisional connection, not an outcome finding.</w:t>
      </w:r>
    </w:p>
    <w:p>
      <w:pPr>
        <w:pStyle w:val="SourceNote"/>
      </w:pPr>
      <w:r>
        <w:rPr>
          <w:b/>
        </w:rPr>
        <w:t>Available abstract (not full text):</w:t>
      </w:r>
      <w:r>
        <w:t xml:space="preserve"> nians' sense of separateness, and to what extent it exposed them to the melting of "Cossack" traditions in the ideological conglomerate of the state of the "popular masses of towns and villages."The third of the articles of a historical nature -Oleksandr Shevchenko's text on Bohdan Osadchuk -is a kind of "transition" to the political logic part of the volume.The Author recalls the main theses of his hero's journalism, focusing on Osadchuk's conviction that the shape of mutual relations between Poles and Ukrainians is of fundamental importance for the future of these nations and their states.In this context, he recalls, among other things, the prominent publicist's critical assessment of President Viktor Yushchenko's decision to apotheosize the achievements of Stepan Bandera, which, according to Osadchuk, resulted from a misunderstanding of the essence of political processes in Central and Eastern Europe and the importance of friendly Polish-Ukrainian relations for the future of the two neighboring states.Shevchenko also devotes much attention to his protagonist's reaction to Poland's accession to the "Schengen zone, " which, according to Osadchuk, was supposed to create an undesirable barrier to developing interpersonal contacts between Poles and Ukrainians.Recalling Osadchuk's theses, which go "against the grain" of the prevailing political science trends in Ukraine and Poland</w:t>
      </w:r>
    </w:p>
    <w:p>
      <w:pPr/>
      <w:r>
        <w:rPr>
          <w:b/>
        </w:rPr>
        <w:t>POSSIBLE 2022:</w:t>
      </w:r>
      <w:r>
        <w:t xml:space="preserve"> An Ethical Framework for Presenting Scientific Results to Policy-Makers — https://doi.org/10.1353/ken.2022.0002</w:t>
      </w:r>
    </w:p>
    <w:p>
      <w:pPr/>
      <w:r>
        <w:rPr>
          <w:b/>
        </w:rPr>
        <w:t>Shared claim-specific concepts:</w:t>
      </w:r>
      <w:r>
        <w:t xml:space="preserve"> conclude, summary, information; EU scope not established. This is a provisional connection, not an outcome finding.</w:t>
      </w:r>
    </w:p>
    <w:p>
      <w:pPr>
        <w:pStyle w:val="SourceNote"/>
      </w:pPr>
      <w:r>
        <w:rPr>
          <w:b/>
        </w:rPr>
        <w:t>Available abstract (not full text):</w:t>
      </w:r>
      <w:r>
        <w:t xml:space="preserve"> Scientists have the ability to influence policy in important ways through how they present their results.Surprisingly, existing codes of scientific ethics have little to say about such choices.I propose that we can arrive at a set of ethical guidelines to govern scientists' presentation of information to policymakers by looking to bioethics: roughly, just as a clinician should aim to promote informed decision-making by patients, a scientist should aim to promote informed decisionmaking by policymakers.Though this may sound like a natural proposal, I show it offers guidance that conflicts with standard scientific practices.I conclude by considering one cost of the proposal: that it would prevent scientists from acting as advocates in a way that is currently common in certain fields.I accept that the proposal would restrict scientists' political advocacy rights, but argue that the benefits of adopting it -promoting democratic governance -justify the restriction. I. A PUZZLEThe Global Burden of Diseases, Injuries and Risk Factors Study (GBD) is "the single largest and most detailed scientific effort ever conducted to quantify levels and trends in health."More than 2300 researchers from more than 130 countries collect 1 and analyze data on more than 300 diseases and injuries, aiming to put together a comprehensive picture of global health from 1990 to the present.Not surprisingly, </w:t>
      </w:r>
    </w:p>
    <w:p>
      <w:pPr/>
      <w:r>
        <w:rPr>
          <w:b/>
        </w:rPr>
        <w:t>POSSIBLE 2022:</w:t>
      </w:r>
      <w:r>
        <w:t xml:space="preserve"> Investigating the IoT Security and Privacy Challenges: Summary and Recommendations — https://doi.org/10.4108/eetcs.v7i22.2652</w:t>
      </w:r>
    </w:p>
    <w:p>
      <w:pPr/>
      <w:r>
        <w:rPr>
          <w:b/>
        </w:rPr>
        <w:t>Shared claim-specific concepts:</w:t>
      </w:r>
      <w:r>
        <w:t xml:space="preserve"> summary, recommendations, technology, transformation; EU scope not established. This is a provisional connection, not an outcome finding.</w:t>
      </w:r>
    </w:p>
    <w:p>
      <w:pPr>
        <w:pStyle w:val="SourceNote"/>
      </w:pPr>
      <w:r>
        <w:rPr>
          <w:b/>
        </w:rPr>
        <w:t>Available abstract (not full text):</w:t>
      </w:r>
      <w:r>
        <w:t xml:space="preserve"> With the development of innovative technology transformation like cloud and Internet of Things (IoT), more technology companies are pursuing research in employing such innovations. Smart homes and cities are just two examples of the many systems and technologies that the IoT can endorse. IoT - based smart objects communicate with other parts, such as proxies, portable devices, as well as data collectors. Although these components help to tackle a number of societal issues and offer users new, cutting-edge services, their confined processing power makes them susceptible to well-known privacy and security attacks. This in turn highlights the demand for a strong technical as well as legislative foundation and asserts the significance of validity and reliability in IoT. This paper provides an insight of the IoT, security, as well as privacy challenges, and also discusses the recommendations for IoT solutions. Further we also highlighting some unresolved problems that require further study.</w:t>
      </w:r>
    </w:p>
    <w:p>
      <w:pPr/>
      <w:r>
        <w:rPr>
          <w:b/>
        </w:rPr>
        <w:t>POSSIBLE 2022:</w:t>
      </w:r>
      <w:r>
        <w:t xml:space="preserve"> Key findings and recommendations — https://doi.org/10.1787/f38817d8-en</w:t>
      </w:r>
    </w:p>
    <w:p>
      <w:pPr/>
      <w:r>
        <w:rPr>
          <w:b/>
        </w:rPr>
        <w:t>Shared claim-specific concepts:</w:t>
      </w:r>
      <w:r>
        <w:t xml:space="preserve"> summary, recommendations, context, information; EU scope visible. This is a provisional connection, not an outcome finding.</w:t>
      </w:r>
    </w:p>
    <w:p>
      <w:pPr>
        <w:pStyle w:val="SourceNote"/>
      </w:pPr>
      <w:r>
        <w:rPr>
          <w:b/>
        </w:rPr>
        <w:t>Available abstract (not full text):</w:t>
      </w:r>
      <w:r>
        <w:t xml:space="preserve"> Twenty-first century health systems will be built around data and information. Their success will depend on secure exchange and movement of data to create useful information and knowledge that advance public policy objectives. This chapter brings together the key findings of this review of how health data are managed and used in the Netherlands and the recommendations for creating an integrated national health data infrastructure and health information system. The chapter outlines what is meant by health data and an integrated health information system, and its role in advancing health care, social care, long-term care, public health and biomedical science. It outlines the strengths and challenges of the Dutch health system in the context of using health data to advance the health and well-being of individuals and populations. It concludes with a summary of recommendations to establish a modern, integrated health information system in the Netherlands.</w:t>
      </w:r>
    </w:p>
    <w:p>
      <w:pPr/>
      <w:r>
        <w:rPr>
          <w:b/>
        </w:rPr>
        <w:t>POSSIBLE 2021:</w:t>
      </w:r>
      <w:r>
        <w:t xml:space="preserve"> Summary of evidence and recommendations — https://doi.org/10.4324/9781003048558-14</w:t>
      </w:r>
    </w:p>
    <w:p>
      <w:pPr/>
      <w:r>
        <w:rPr>
          <w:b/>
        </w:rPr>
        <w:t>Shared claim-specific concepts:</w:t>
      </w:r>
      <w:r>
        <w:t xml:space="preserve"> conclude, summary, recommendations, authors; EU scope not established. This is a provisional connection, not an outcome finding.</w:t>
      </w:r>
    </w:p>
    <w:p>
      <w:pPr>
        <w:pStyle w:val="SourceNote"/>
      </w:pPr>
      <w:r>
        <w:rPr>
          <w:b/>
        </w:rPr>
        <w:t>Available abstract (not full text):</w:t>
      </w:r>
      <w:r>
        <w:t xml:space="preserve"> In this final chapter, we bring together recommendations from the experience and research of our expert authors. We have not tried to prioritise our list of key actions for developing countries to implement to enhance mathematical and statistical knowledge, skills and understanding for sustainable economic growth as there are so many variations between countries. What we can conclude though is that future generations of young people will need enhanced mathematical and statistical competency and transferable skills in an increasingly technological and competitive world and that significant investment in education is crucial for long-term economic growth and success.</w:t>
      </w:r>
    </w:p>
    <w:p>
      <w:pPr>
        <w:pStyle w:val="Heading2"/>
      </w:pPr>
      <w:r>
        <w:t>730. The perspectives of development of high-speed rail network in the European Union till</w:t>
        <w:br/>
        <w:t>the year 2050</w:t>
      </w:r>
    </w:p>
    <w:p>
      <w:pPr>
        <w:pStyle w:val="SourceNote"/>
      </w:pPr>
      <w:r>
        <w:rPr>
          <w:b/>
        </w:rPr>
        <w:t>Original source (2019):</w:t>
      </w:r>
      <w:r>
        <w:t xml:space="preserve"> https://doi.org/10.35117/a_eng_19_07_01</w:t>
      </w:r>
    </w:p>
    <w:p>
      <w:pPr/>
      <w:r>
        <w:t>Original wording (abstract; indexed_source_text_not_full_document_verified): As an outcome of the analyses presented in the article there emerged a complete vision of planned development of high-speed rail network in the European Union, which length in 2030 could be estimated for approximetaly 16,5 thousand kilometers.</w:t>
      </w:r>
    </w:p>
    <w:p>
      <w:pPr/>
      <w:r>
        <w:rPr>
          <w:b/>
        </w:rPr>
        <w:t>POSSIBLE 2026:</w:t>
      </w:r>
      <w:r>
        <w:t xml:space="preserve"> Clinical heterogeneity and outcome of acquired PRCA: a multicenter European study — https://doi.org/10.1182/bloodadvances.2025019525</w:t>
      </w:r>
    </w:p>
    <w:p>
      <w:pPr/>
      <w:r>
        <w:rPr>
          <w:b/>
        </w:rPr>
        <w:t>Shared claim-specific concepts:</w:t>
      </w:r>
      <w:r>
        <w:t xml:space="preserve"> outcome, analyses, presented, complete; EU scope visible. This is a provisional connection, not an outcome finding.</w:t>
      </w:r>
    </w:p>
    <w:p>
      <w:pPr>
        <w:pStyle w:val="SourceNote"/>
      </w:pPr>
      <w:r>
        <w:rPr>
          <w:b/>
        </w:rPr>
        <w:t>Available abstract (not full text):</w:t>
      </w:r>
      <w:r>
        <w:t xml:space="preserve"> ABSTRACT: Pure red cell aplasia (PRCA) is a rare single-lineage bone marrow (BM) failure characterized by anemia with profound reticulocytopenia and severe reduction of erythroid precursors. PRCA is heterogeneous, and diagnosis requires extensive evaluation to distinguish primary from secondary causes, such as thymoma, autoimmune diseases, T-cell large granular lymphocyte expansion, and myelodysplastic syndrome (MDS), the differential diagnosis of which is particularly challenging. Evidence guiding management remains limited because of the rarity of the disease and the lack of prospective studies. We analyzed 121 acquired adult PRCA (excluding Parvovirus B19-associated PRCA) cases across 14 European centers. Secondary forms accounted for 78% of diagnoses, mostly thymoma (23%) or MDS (21%). In a subset of patients, BM immunohistochemistry demonstrated significant depositions of C3, C4d, immunoglobulin M (IgM), and IgG, reducing after immunosuppression. Next-generation sequencing was performed in half of the patients, 36% of whom presented mutations predominantly related to clonal hematopoiesis, except in MDS-associated cases, which often carried multiple non-clonal hematopoiesis mutations. Immunosuppression represented the backbone of therapy: cyclosporine A (CyA) was the most effective agent, with 61% overall response rate (47% complete) and better outcomes when initiated earli</w:t>
      </w:r>
    </w:p>
    <w:p>
      <w:pPr/>
      <w:r>
        <w:rPr>
          <w:b/>
        </w:rPr>
        <w:t>POSSIBLE 2022:</w:t>
      </w:r>
      <w:r>
        <w:t xml:space="preserve"> Benefits of future clean air policies in Europe — https://doi.org/10.1097/ee9.0000000000000221</w:t>
      </w:r>
    </w:p>
    <w:p>
      <w:pPr/>
      <w:r>
        <w:rPr>
          <w:b/>
        </w:rPr>
        <w:t>Shared claim-specific concepts:</w:t>
      </w:r>
      <w:r>
        <w:t xml:space="preserve"> analyses, presented, union, estimated; EU scope visible. This is a provisional connection, not an outcome finding.</w:t>
      </w:r>
    </w:p>
    <w:p>
      <w:pPr>
        <w:pStyle w:val="SourceNote"/>
      </w:pPr>
      <w:r>
        <w:rPr>
          <w:b/>
        </w:rPr>
        <w:t>Available abstract (not full text):</w:t>
      </w:r>
      <w:r>
        <w:t xml:space="preserve"> Introduction Health impact assessments (HIA) and cost-benefit analyses (CBA) play a major role in the ongoing revision of the European Union Ambient Air Quality Directive (EU AAQD). HIAs quantify the public health impacts of the air pollution levels a population is exposed to. CBAs quantify the economic costs of achieving lower air pollution levels and the (monetized) benefits for public health that result from these lower air pollution levels. In this commentary, we consider the recent body of evidence on the effects of long-term exposure to fine particulate matter (PM2.5) and nitrogen dioxide (NO2) on total mortality from natural causes and present the rationale for conducting additional analyses within the framework of the HIA conducted for the revision of the EU AAQD, based on the recently published European “Effects of Low-Level Air Pollution: A Study in Europe” (ELAPSE) study. The air pollution-related burden (presented as impact on mortality from natural causes) for Europe has been estimated since 2014 in the annual “Air Quality in Europe” reports published by the European Environment Agency (EEA). EEA in their HIA has used relative risk estimates from meta-analyses by Hoek and colleagues1 in 2013, based on evidence published before January 2013: 1.06 (1.04, 1.08) for PM2.5 and 1.05 (1.03, 1.08) for NO2, both per 10 μg/m3. The EEA, in its latest HIA for 2019, assumed no </w:t>
      </w:r>
    </w:p>
    <w:p>
      <w:pPr/>
      <w:r>
        <w:rPr>
          <w:b/>
        </w:rPr>
        <w:t>POSSIBLE 2022:</w:t>
      </w:r>
      <w:r>
        <w:t xml:space="preserve"> Demographics and treatment outcomes in patients with EBV+ PTLD treated with off-the-shelf EBV-specific CTL under an ongoing expanded access program in Europe: First analyses. — https://doi.org/10.1200/jco.2022.40.16_suppl.7530</w:t>
      </w:r>
    </w:p>
    <w:p>
      <w:pPr/>
      <w:r>
        <w:rPr>
          <w:b/>
        </w:rPr>
        <w:t>Shared claim-specific concepts:</w:t>
      </w:r>
      <w:r>
        <w:t xml:space="preserve"> analyses, presented, complete; EU scope visible. This is a provisional connection, not an outcome finding.</w:t>
      </w:r>
    </w:p>
    <w:p>
      <w:pPr>
        <w:pStyle w:val="SourceNote"/>
      </w:pPr>
      <w:r>
        <w:rPr>
          <w:b/>
        </w:rPr>
        <w:t>Available abstract (not full text):</w:t>
      </w:r>
      <w:r>
        <w:t xml:space="preserve"> 7530 Background: Patients undergoing allogeneic hematopoietic cell transplant (HCT) or solid organ transplant (SOT) are at risk of developing Epstein–Barr virus driven post-transplant lymphoproliferative disorder (EBV+ PTLD), a rare hematologic malignancy, which is often aggressive and life-threatening. Patients with relapsed or refractory (r/r) EBV+ PTLD have few treatment options with poor outcomes, demonstrating a clear unmet medical need. Tabelecleucel is an investigational, off-the-shelf, allogeneic EBV-specific T-cell immunotherapy being studied in patients with serious EBV+ diseases (NCT04554914 &amp; NCT03394365) that has demonstrated clinical benefit and favorable safety profile in the treatment of EBV+ PTLD after failure of rituximab (R) ± chemotherapy (Prockop, EBMT 2021, ATC 2021, ASH 2021). Methods: Atara Biotherapeutics supports an ongoing expanded access program (EAP) in Europe for patients with EBV+ diseases who have no other treatment options. Here we report demographics, efficacy and safety results of r/r EBV+ PTLD patients following SOT or HCT who presented between Jul 2020 and Nov 2021 and consented to research. Results: A total of 48 EAP requests from 9 countries for patients with EBV+ diseases were received. Twenty-two patients from 7 countries consented to this research: 16 EBV+ PTLD and 6 EBV+ non-PTLD. Of the 16 PTLD patients 15 received at least one dose o</w:t>
      </w:r>
    </w:p>
    <w:p>
      <w:pPr/>
      <w:r>
        <w:rPr>
          <w:b/>
        </w:rPr>
        <w:t>POSSIBLE 2021:</w:t>
      </w:r>
      <w:r>
        <w:t xml:space="preserve"> Peri-interventional outcome study in the elderly in Europe — https://doi.org/10.1097/eja.0000000000001639</w:t>
      </w:r>
    </w:p>
    <w:p>
      <w:pPr/>
      <w:r>
        <w:rPr>
          <w:b/>
        </w:rPr>
        <w:t>Shared claim-specific concepts:</w:t>
      </w:r>
      <w:r>
        <w:t xml:space="preserve"> outcome, presented, planned, estimated, thousand; EU scope visible. This is a provisional connection, not an outcome finding.</w:t>
      </w:r>
    </w:p>
    <w:p>
      <w:pPr>
        <w:pStyle w:val="SourceNote"/>
      </w:pPr>
      <w:r>
        <w:rPr>
          <w:b/>
        </w:rPr>
        <w:t>Available abstract (not full text):</w:t>
      </w:r>
      <w:r>
        <w:t xml:space="preserve"> OBJECTIVES: The aim of this study was to describe the 30-day mortality rate of patients aged 80 years and older undergoing surgical and nonsurgical procedures under anaesthesia in Europe and to identify risk factors associated with mortality. DESIGN: A prospective cohort study. SETTING: European multicentre study, performed from October 2017 to December 2018. Centres committed to a 30-day recruitment period within the study period. PATIENTS: Nine thousand four hundred and ninety-seven consecutively recruited patients aged 80 years and older undergoing any kind of surgical or nonsurgical procedures under anaesthesia. MAIN OUTCOME MEASURES: The primary outcome was all-cause mortality within 30 days after procedure described by Kaplan-Meier curves with 95% CI. Risk factors for 30-day mortality were analysed using a Cox regression model with 14 fixed effects and a random centre effect. RESULTS: Data for 9497 patients (median age, 83.0 years; 52.8% women) from 177 academic and nonacademic hospitals in 20 countries were analysed. Patients presented with multimorbidity (77%), frailty (14%) and at least partial functional dependence (38%). The estimated 30-day mortality rate was 4.2% (95% CI 3.8 to 4.7). Among others, independent risk factors for 30-day mortality were multimorbidity, hazard ratio 1.87 (95% CI 1.26 to 2.78), frailty, hazard ratio 2.63 (95% CI 2.10 to 3.30), and limited </w:t>
      </w:r>
    </w:p>
    <w:p>
      <w:pPr/>
      <w:r>
        <w:rPr>
          <w:b/>
        </w:rPr>
        <w:t>POSSIBLE 2021:</w:t>
      </w:r>
      <w:r>
        <w:t xml:space="preserve"> Treatment and Outcome in Children With Tuberculous Meningitis: A Multicenter Pediatric Tuberculosis Network European Trials Group Study — https://doi.org/10.1093/cid/ciab982</w:t>
      </w:r>
    </w:p>
    <w:p>
      <w:pPr/>
      <w:r>
        <w:rPr>
          <w:b/>
        </w:rPr>
        <w:t>Shared claim-specific concepts:</w:t>
      </w:r>
      <w:r>
        <w:t xml:space="preserve"> outcome, analyses, there, complete, network; EU scope visible. This is a provisional connection, not an outcome finding.</w:t>
      </w:r>
    </w:p>
    <w:p>
      <w:pPr>
        <w:pStyle w:val="SourceNote"/>
      </w:pPr>
      <w:r>
        <w:rPr>
          <w:b/>
        </w:rPr>
        <w:t>Available abstract (not full text):</w:t>
      </w:r>
      <w:r>
        <w:t xml:space="preserve"> BACKGROUND: Currently, data on treatment, outcome, and prognostic factors in children with tuberculous meningitis (TBM) in Europe are limited. To date, most existing data on TBM originate from adult studies, or studies conducted in low-resource settings. METHODS: We designed a multicenter, retrospective study involving 27 pediatric healthcare institutions in 9 European countries via an established pediatric TB research network, before and after the 2014 revision of World Health Organization (WHO) dosing recommendations. RESULTS: Of 118 children, 39 (33.1%) had TBM grade 1, 68 (57.6%) grade 2, and 11 (9.3%) grade 3. Fifty-eight (49.1%) children received a standard 4-drug treatment regimen; other commonly used drugs included streptomycin, prothionamide, and amikacin. Almost half of the patients (48.3%; 56/116) were admitted to intensive care unit, with a median stay of 10 (interquartile range [IQR] 4.5-21.0) days. Of 104 children with complete outcome data, 9.6% (10/104) died, and only 47.1% (49/104) recovered fully. Main long-term sequelae included spasticity of 1 or more limbs and developmental delay both in 19.2% (20/104), and seizure disorder in 17.3% (18/104). Multivariate regression analyses identified microbiological confirmation of TBM, the need for neurosurgical intervention, and mechanical ventilation as risk factors for unfavorable outcome. CONCLUSIONS: There was consi</w:t>
      </w:r>
    </w:p>
    <w:p>
      <w:pPr/>
      <w:r>
        <w:rPr>
          <w:b/>
        </w:rPr>
        <w:t>POSSIBLE 2021:</w:t>
      </w:r>
      <w:r>
        <w:t xml:space="preserve"> Selecting and analysing climate change adaptation measures at six research sites across Europe — https://doi.org/10.5194/nhess-21-2145-2021</w:t>
      </w:r>
    </w:p>
    <w:p>
      <w:pPr/>
      <w:r>
        <w:rPr>
          <w:b/>
        </w:rPr>
        <w:t>Shared claim-specific concepts:</w:t>
      </w:r>
      <w:r>
        <w:t xml:space="preserve"> analyses, presented, article; EU scope visible. This is a provisional connection, not an outcome finding.</w:t>
      </w:r>
    </w:p>
    <w:p>
      <w:pPr>
        <w:pStyle w:val="SourceNote"/>
      </w:pPr>
      <w:r>
        <w:rPr>
          <w:b/>
        </w:rPr>
        <w:t>Available abstract (not full text):</w:t>
      </w:r>
      <w:r>
        <w:t xml:space="preserve"> Abstract. As Europe is faced with increasing droughts and extreme precipitation, countries are taking measures to adapt to these changes. It is challenging, however, to navigate through the wide range of possible measures, taking into account the efficacy, economic impact and social justice aspects of these measures, as well as the governance requirements for implementing them. This article describes and evaluates an approach to selecting and analysing climate change adaptation measures that was applied at six research sites across Europe. It describes the steps that were taken in collecting, selecting and analysing adaptation measures, in a process with local stakeholders, with concrete examples from the case studies. The governance analysis focuses on the requirements associated with the measures and the extent to which these requirements are met at the research sites. The socio-economic impact focuses on the efficacy of the measures in reducing the risks and the broad range of tools available to compare the measures on their societal impact. Finally, the social justice analysis focuses on the distributive impacts of the adaptation measures. In the discussion, we identify some key findings with regard to the different kind of measures. In the conclusion we briefly assess the main pros and cons of the different analyses that were conducted. The main conclusion is that although</w:t>
      </w:r>
    </w:p>
    <w:p>
      <w:pPr/>
      <w:r>
        <w:rPr>
          <w:b/>
        </w:rPr>
        <w:t>POSSIBLE 2020:</w:t>
      </w:r>
      <w:r>
        <w:t xml:space="preserve"> The Cyprus Talks 2015–2017: Their Course, the Outcome, and Consequences for the European Union — https://doi.org/10.14746/rie.2020.14.9</w:t>
      </w:r>
    </w:p>
    <w:p>
      <w:pPr/>
      <w:r>
        <w:rPr>
          <w:b/>
        </w:rPr>
        <w:t>Shared claim-specific concepts:</w:t>
      </w:r>
      <w:r>
        <w:t xml:space="preserve"> outcome, article, there, union; EU scope visible. This is a provisional connection, not an outcome finding.</w:t>
      </w:r>
    </w:p>
    <w:p>
      <w:pPr>
        <w:pStyle w:val="SourceNote"/>
      </w:pPr>
      <w:r>
        <w:rPr>
          <w:b/>
        </w:rPr>
        <w:t>Available abstract (not full text):</w:t>
      </w:r>
      <w:r>
        <w:t xml:space="preserve"> The main aim of the article is to present political consequences of the failure of the Cyprus talks 2015–2017 for the European Union. Although its institutions and representatives were engaged in the negotiation process there, the issue seems to be more complex when it comes to defining what their role was. One can find the answer to such a question analysing the course and the final outcome of the negotiation process in Cyprus. The main research question are as follows: What was the course of bicommunal negotiations? What brought the negotiations to a halt in 2017? How did the European Union engage in the process? What are political consequences of the talks failure for the European Union? The selected method is sources analysis and the technique is qualitative content analysis. On this basis one can study, for example, selected speeches, declarations as well as official documents. As regards the main sources, these are selected EU and UN documents, monographs, and academic articles.</w:t>
      </w:r>
    </w:p>
    <w:p>
      <w:pPr/>
      <w:r>
        <w:rPr>
          <w:b/>
        </w:rPr>
        <w:t>POSSIBLE 2020:</w:t>
      </w:r>
      <w:r>
        <w:t xml:space="preserve"> Incidence and outcome of atrial fibrillation: diversity throughout Europe — https://doi.org/10.1093/eurheartj/ehaa1078</w:t>
      </w:r>
    </w:p>
    <w:p>
      <w:pPr/>
      <w:r>
        <w:rPr>
          <w:b/>
        </w:rPr>
        <w:t>Shared claim-specific concepts:</w:t>
      </w:r>
      <w:r>
        <w:t xml:space="preserve"> outcome, presented, there; EU scope visible. This is a provisional connection, not an outcome finding.</w:t>
      </w:r>
    </w:p>
    <w:p>
      <w:pPr>
        <w:pStyle w:val="SourceNote"/>
      </w:pPr>
      <w:r>
        <w:rPr>
          <w:b/>
        </w:rPr>
        <w:t>Available abstract (not full text):</w:t>
      </w:r>
      <w:r>
        <w:t xml:space="preserve"> This editorial refers to ‘Paradoxical impact of socioeconomic factors on outcome of atrial fibrillation in Europe: trends in incidence and mortality from atrial fibrillation’†, by B.M. Al-Khayatt et al., on page 847. The incidence and prevalence of atrial fibrillation (AF) have been increasing over time and are expected to rise further due to extended life expectancy, accumulation of lifestyle-related risk factors such as obesity and diabetes mellitus, and a better survival after myocardial infarction and heart failure (HF). In addition, a better awareness of AF and improved and intensified technology for undiagnosed AF contribute to an increase in AF burden.1–3 In addition to the incidence and prevalence of AF, the AF-associated mortality rate is increasing.1,3 Mortality is the highest early after diagnosis of AF, being 5–6% in the first year after the initial presentation due to as yet undiagnosed underlying cardiovascular diseases and therefore far less well treated AF.4,5 Many associated conditions contribute to incident AF as well as to AF-related mortality including increasing age, hypertension, diabetes mellitus, HF, coronary artery disease, obesity, and chronic kidney disease.4 The incidence of AF is higher in men than in women.3 The moment of onset of AF as well as the associated comorbidities differ between men and women. Women are older, have a higher prevalence of h</w:t>
      </w:r>
    </w:p>
    <w:p>
      <w:pPr>
        <w:pStyle w:val="Heading2"/>
      </w:pPr>
      <w:r>
        <w:t>731. Towards a sustainable European energy system: Linking optimization models with multi-regional input-output analysis</w:t>
      </w:r>
    </w:p>
    <w:p>
      <w:pPr>
        <w:pStyle w:val="SourceNote"/>
      </w:pPr>
      <w:r>
        <w:rPr>
          <w:b/>
        </w:rPr>
        <w:t>Original source (2019):</w:t>
      </w:r>
      <w:r>
        <w:t xml:space="preserve"> https://doi.org/10.1016/j.esr.2019.100391</w:t>
      </w:r>
    </w:p>
    <w:p>
      <w:pPr/>
      <w:r>
        <w:t>Original wording (abstract; indexed_source_text_not_full_document_verified): This study uses two models to analyze the implications of these goals on the European energy system and on the rest of the world, based on several scenarios for the mid and long term. First, using a linear programming optimization model for capacity expansion and unit commitment, we obtain the optimal design of the European power system in 2030 and 2050.</w:t>
      </w:r>
    </w:p>
    <w:p>
      <w:pPr/>
      <w:r>
        <w:rPr>
          <w:b/>
        </w:rPr>
        <w:t>POSSIBLE 2026:</w:t>
      </w:r>
      <w:r>
        <w:t xml:space="preserve"> Assessing invasion risk of two North American Saperda species (Coleoptera, Cerambycidae) in Europe using joint bioclimatic-habitat species distribution models and maritime-inland connectivity — https://doi.org/10.3897/neobiota.109.192296</w:t>
      </w:r>
    </w:p>
    <w:p>
      <w:pPr/>
      <w:r>
        <w:rPr>
          <w:b/>
        </w:rPr>
        <w:t>Shared claim-specific concepts:</w:t>
      </w:r>
      <w:r>
        <w:t xml:space="preserve"> two, based; EU scope visible. This is a provisional connection, not an outcome finding.</w:t>
      </w:r>
    </w:p>
    <w:p>
      <w:pPr>
        <w:pStyle w:val="SourceNote"/>
      </w:pPr>
      <w:r>
        <w:rPr>
          <w:b/>
        </w:rPr>
        <w:t>Available abstract (not full text):</w:t>
      </w:r>
      <w:r>
        <w:t xml:space="preserve"> The introduction and establishment of non-native wood-boring insects pose a significant threat to forest ecosystems, urban trees and agricultural systems worldwide. In this study, we assessed the invasion risk of two North American longhorn beetles, Saperda candida and Saperda tridentata , to Europe by integrating joint bioclimatic–habitat species distribution models with maritime connectivity data. Both species can infest live trees; S. candida is primarily associated with hosts in the Rosaceae, whereas S. tridentata mainly attacks Ulmus species, making both species of primary phytosanitary concern to Europe. We developed ensemble models that separately quantified the effects of broad-scale climatic variables and fine-scale habitat factors, including land cover and host plant availability and then combined them into overall suitability maps. These were further integrated with a proxy of propagule pressure, based on international shipping connectivity to generate spatially explicit invasion risk maps. Both species showed strong model performance and high transferability. Results indicate that large areas of Europe, particularly central and western regions, offer suitable environmental conditions for establishment, although climatic constraints limit suitability in southern and northern extremes. Host plant availability emerged as a key determinant of habitat suitability, while </w:t>
      </w:r>
    </w:p>
    <w:p>
      <w:pPr/>
      <w:r>
        <w:rPr>
          <w:b/>
        </w:rPr>
        <w:t>POSSIBLE 2026:</w:t>
      </w:r>
      <w:r>
        <w:t xml:space="preserve"> Improving Europe-wide windstorm damage modeling using insurance loss data — https://doi.org/10.5194/egusphere-2026-3099</w:t>
      </w:r>
    </w:p>
    <w:p>
      <w:pPr/>
      <w:r>
        <w:rPr>
          <w:b/>
        </w:rPr>
        <w:t>Shared claim-specific concepts:</w:t>
      </w:r>
      <w:r>
        <w:t xml:space="preserve"> two, based; EU scope visible. This is a provisional connection, not an outcome finding.</w:t>
      </w:r>
    </w:p>
    <w:p>
      <w:pPr>
        <w:pStyle w:val="SourceNote"/>
      </w:pPr>
      <w:r>
        <w:rPr>
          <w:b/>
        </w:rPr>
        <w:t>Available abstract (not full text):</w:t>
      </w:r>
      <w:r>
        <w:t xml:space="preserve"> Abstract. Winter windstorms are among Europe’s deadliest and most damaging natural hazards. In a changing climate, reliably estimating and projecting their impacts is essential for effective risk management. Such risk is often modeled as the intersection between hazard, exposure, and vulnerability, which are linked through functional relationships known as vulnerability curves (or damage models). The Schwierz et al. (2010) damage model is a widely used open-source standard for European windstorms, but its original calibration is based on a limited set of historical UK storms. In this study, this model is calibrated against recent loss data from the PERILS database (1999–2024) within the CLIMADA open-source framework, across 12 European countries. Calibration is conducted independently using two cost functions: Root Mean Squared Error (RMSE) and Root Mean Squared Logarithmic Error (RMSLE), enabling a systematic comparison of their influence on the optimised damage parameter and derived risk metrics. The default model is found to systematically underestimate losses across Europe, and a single pan-European model cannot capture the distinct vulnerability profiles of individual countries. By calibrating the model against PERILS losses, a new set of country-specific damage functions is developed, which reflect spatial heterogeneities in vulnerability. In addition, the analysis demons</w:t>
      </w:r>
    </w:p>
    <w:p>
      <w:pPr/>
      <w:r>
        <w:rPr>
          <w:b/>
        </w:rPr>
        <w:t>POSSIBLE 2026:</w:t>
      </w:r>
      <w:r>
        <w:t xml:space="preserve"> Mapping where biodiversity goals meet local values in European land use futures — https://doi.org/10.5194/wbf2026-660</w:t>
      </w:r>
    </w:p>
    <w:p>
      <w:pPr/>
      <w:r>
        <w:rPr>
          <w:b/>
        </w:rPr>
        <w:t>Shared claim-specific concepts:</w:t>
      </w:r>
      <w:r>
        <w:t xml:space="preserve"> uses, two, implications, goals, based; EU scope visible. This is a provisional connection, not an outcome finding.</w:t>
      </w:r>
    </w:p>
    <w:p>
      <w:pPr>
        <w:pStyle w:val="SourceNote"/>
      </w:pPr>
      <w:r>
        <w:rPr>
          <w:b/>
        </w:rPr>
        <w:t>Available abstract (not full text):</w:t>
      </w:r>
      <w:r>
        <w:t xml:space="preserve"> In Europe, spatial planning is being asked to reconcile biodiversity restoration, climate mitigation and social needs at the same time. In practice, however, European scale planning often fails to align with locally defined values and priorities that emerge in participatory processes. In this contribution, we compare a SSP-scenario with a scenario from local visions for future landscapes to explore where spatial planning can create biodiversity positive and socially just transformations. For twelve case studies in Europe, stakeholders co-developed “Possible Landscapes” that articulate place-based visions for vital, biodiverse and liveable landscapes.These two contrasting 2050 land-system scenarios (SSP vs. local visions) are simulated with the CLUMondo model to model land-system futures for Europe. From the resulting land-system maps, spatial indicators are derived for a diverse range of outcomes: high level restoration (nature area, patch size and connectivity including mosaics), agriculture and climate mitigation (changes in emission relevant land uses such as peat soils and forest loss, and food production), local wellbeing (access to green space near cities) and environmental safety (shifts toward green land uses in drought, flood and erosion prone areas).The indicators are then compared with the local needs and values, with data from Eurobarometer surveys that reflect how </w:t>
      </w:r>
    </w:p>
    <w:p>
      <w:pPr/>
      <w:r>
        <w:rPr>
          <w:b/>
        </w:rPr>
        <w:t>POSSIBLE 2026:</w:t>
      </w:r>
      <w:r>
        <w:t xml:space="preserve"> Evaluation of European Air Quality Simulations in 2019 Using the CMAQ–WRF Modeling System — https://doi.org/10.5194/egusphere-egu26-4162</w:t>
      </w:r>
    </w:p>
    <w:p>
      <w:pPr/>
      <w:r>
        <w:rPr>
          <w:b/>
        </w:rPr>
        <w:t>Shared claim-specific concepts:</w:t>
      </w:r>
      <w:r>
        <w:t xml:space="preserve"> two, energy, system, based; EU scope visible. This is a provisional connection, not an outcome finding.</w:t>
      </w:r>
    </w:p>
    <w:p>
      <w:pPr>
        <w:pStyle w:val="SourceNote"/>
      </w:pPr>
      <w:r>
        <w:rPr>
          <w:b/>
        </w:rPr>
        <w:t>Available abstract (not full text):</w:t>
      </w:r>
      <w:r>
        <w:t xml:space="preserve"> Air pollution levels across Europe have declined significantly over the past two decades, largely due to targeted emission controls in the energy, industry, and transport sectors. Recent monitoring data (2023–2024) show that EU air quality standards are met at 99% of stations for PM2.5 and 98% for nitrogen dioxide (NO2). Despite this progress, air pollution remains the leading environmental health risk in Europe. The European Environment Agency (EEA) estimates that annual exposure to PM2.5, ozone (O3), and NO2 caused approximately 239,000, 70,000, and 48,000 premature deaths, respectively, in the EU–27. Therefore, member States are required to prepare National Air Pollution Control Programmes (NAPCPs) and local action plans, with a stronger role for air quality modeling in complementing monitoring, assessing pollutant distributions, and evaluating mitigation pathways. Air quality modeling has become indispensable for understanding pollutant dynamics, quantifying the effects of emission reductions, and designing integrated air–climate policies. Large–scale initiatives such as FAIRMODE, AQMEII, EURODELT, and HTAP have advanced knowledge on model performance and uncertainties, while emphasizing the need for harmonized approaches across Europe. These efforts show that robust policy support requires continent–wide evaluations based on consistent emissions, updated meteorological dri</w:t>
      </w:r>
    </w:p>
    <w:p>
      <w:pPr/>
      <w:r>
        <w:rPr>
          <w:b/>
        </w:rPr>
        <w:t>POSSIBLE 2026:</w:t>
      </w:r>
      <w:r>
        <w:t xml:space="preserve"> Wild ruminant distribution in Europe: occurrence and hunting yield models — https://doi.org/10.5281/zenodo.21977769</w:t>
      </w:r>
    </w:p>
    <w:p>
      <w:pPr/>
      <w:r>
        <w:rPr>
          <w:b/>
        </w:rPr>
        <w:t>Shared claim-specific concepts:</w:t>
      </w:r>
      <w:r>
        <w:t xml:space="preserve"> two, based, first, linear; EU scope visible. This is a provisional connection, not an outcome finding.</w:t>
      </w:r>
    </w:p>
    <w:p>
      <w:pPr>
        <w:pStyle w:val="SourceNote"/>
      </w:pPr>
      <w:r>
        <w:rPr>
          <w:b/>
        </w:rPr>
        <w:t>Available abstract (not full text):</w:t>
      </w:r>
      <w:r>
        <w:t xml:space="preserve"> These are model outputs referring to the ENETwild report "Revised wild ruminant distribution in Europe: occurrence and hunting yield models. Building on previous ENETWILD assessments, we updated continental-scale models for European wild ruminants using harmonised occurrence records from the Global Biodiversity Information Facility (GBIF), environmental predictors, hunting yield data and density estimates. Species distribution occurrence models were developed using Maxent for five widespread species (moose Alces alces, roe deer Capreolus capreolus, red deer Cervus elaphus, fallow deer Dama dama and reindeer Rangifer tarandus), while hunting-yield models based on generalized linear models were developed for roe deer and red deer using harmonised European harvest data. Using these outputs, we also model the density of ruminants across Europe, using updated density estimates provided by the European Observatory of Wildlife (EOW) and recent literature. Species distribution models revealed marked differences among the five ungulate species. Generalist species, particularly Capreolus capreolus and Cervus elaphus, showed widespread suitability across central and northern Europe, driven mainly by productivity and heterogeneous land cover. Although habitat suitability was related to roe deer density, the relationship was insufficiently strong to accurately predict density across Europe.</w:t>
      </w:r>
    </w:p>
    <w:p>
      <w:pPr/>
      <w:r>
        <w:rPr>
          <w:b/>
        </w:rPr>
        <w:t>POSSIBLE 2025:</w:t>
      </w:r>
      <w:r>
        <w:t xml:space="preserve"> Analysis of Two-Side Wood Joints Using the European Yield Model (EYM) Method Referring to SNI 7973:2013 — https://doi.org/10.38124/ijisrt/25dec821</w:t>
      </w:r>
    </w:p>
    <w:p>
      <w:pPr/>
      <w:r>
        <w:rPr>
          <w:b/>
        </w:rPr>
        <w:t>Shared claim-specific concepts:</w:t>
      </w:r>
      <w:r>
        <w:t xml:space="preserve"> two, based, capacity; EU scope visible. This is a provisional connection, not an outcome finding.</w:t>
      </w:r>
    </w:p>
    <w:p>
      <w:pPr>
        <w:pStyle w:val="SourceNote"/>
      </w:pPr>
      <w:r>
        <w:rPr>
          <w:b/>
        </w:rPr>
        <w:t>Available abstract (not full text):</w:t>
      </w:r>
      <w:r>
        <w:t xml:space="preserve"> The connection is the most critical part in a wooden structure because it plays a direct role in transmitting forces between elements. This study analyzed the behavior of two Palapi wood (Heritiera simplicifolia.) joints using a single bolt based on the European Yield Model (EYM) method referring to SNI 7973:2013. The parameters reviewed included the physical properties of wood, mechanical properties, wood bearing strength, bolt flexural strength, and theoretical and experimental connection capacity. The test results showed an average water content of 11.50% and a density of 0.43 g/cm3. The average shear strength parallel to the grain reached 19.21 MPa, the compressive strength parallel to the grain was 25.63 MPa, and the wood bearing strength increased with increasing bolt diameter. Comparison of the theoretical EYM results and the experimental results showed a significant difference, mainly influenced by the failure of the wood bearing and the plastic deflection of the bolt. The results of this study are expected to be a reference in designing wood joints more safely and efficiently, especially for the use of local Palapi wood in construction.</w:t>
      </w:r>
    </w:p>
    <w:p>
      <w:pPr/>
      <w:r>
        <w:rPr>
          <w:b/>
        </w:rPr>
        <w:t>POSSIBLE 2025:</w:t>
      </w:r>
      <w:r>
        <w:t xml:space="preserve"> Preferences, goals and implications for paternalism — https://doi.org/10.1017/s0266267125100436</w:t>
      </w:r>
    </w:p>
    <w:p>
      <w:pPr/>
      <w:r>
        <w:rPr>
          <w:b/>
        </w:rPr>
        <w:t>Shared claim-specific concepts:</w:t>
      </w:r>
      <w:r>
        <w:t xml:space="preserve"> implications, goals; EU scope not established. This is a provisional connection, not an outcome finding.</w:t>
      </w:r>
    </w:p>
    <w:p>
      <w:pPr>
        <w:pStyle w:val="SourceNote"/>
      </w:pPr>
      <w:r>
        <w:rPr>
          <w:b/>
        </w:rPr>
        <w:t>Available abstract (not full text):</w:t>
      </w:r>
      <w:r>
        <w:t xml:space="preserve"> Abstract This paper proposes a conceptual model of decision-making tying specific preferences to broader individual goals. Specifically, we consider terminal goals, representing fundamental objectives, and instrumental goals, serving as complexity-reducing intermediate steps toward achieving terminal goals and determining eventual preferences. Notably, the hierarchical goal structure allows for contextual misalignments between different instrumental goals, which may lead to suboptimal decisions – as evaluated from an outside perspective. Thus, applied to the discussion about nudging and paternalism, the model provides a methodological justification for paternalistic interventions as it is compatible with arguments in favour of interventions aimed to correct such choices.</w:t>
      </w:r>
    </w:p>
    <w:p>
      <w:pPr/>
      <w:r>
        <w:rPr>
          <w:b/>
        </w:rPr>
        <w:t>POSSIBLE 2025:</w:t>
      </w:r>
      <w:r>
        <w:t xml:space="preserve"> Energy efficiency enhancement in two European data centers through CFD modeling — https://doi.org/10.1038/s41598-025-11048-0</w:t>
      </w:r>
    </w:p>
    <w:p>
      <w:pPr/>
      <w:r>
        <w:rPr>
          <w:b/>
        </w:rPr>
        <w:t>Shared claim-specific concepts:</w:t>
      </w:r>
      <w:r>
        <w:t xml:space="preserve"> two, energy, based, design; EU scope visible. This is a provisional connection, not an outcome finding.</w:t>
      </w:r>
    </w:p>
    <w:p>
      <w:pPr>
        <w:pStyle w:val="SourceNote"/>
      </w:pPr>
      <w:r>
        <w:rPr>
          <w:b/>
        </w:rPr>
        <w:t>Available abstract (not full text):</w:t>
      </w:r>
      <w:r>
        <w:t xml:space="preserve"> The new reporting scheme adopted by the European Union focuses on the efficiency assessment of data centers based on key performance indicators (KPIs). This has the potential to lead to further measures for improving energy efficiency of data centers. Consequently, a systematic approach is crucial for assessing and improving data center performance. This study investigates efficiency assessment of two European pilot data centers, located in Denmark and Poland, according to the KPIs calculated through Computational Fluid Dynamics (CFD) simulations of airflow and thermal structures. Two separate experimental approaches were adopted at the pilot sites. One measured airflow and temperatures using external sensors at server inlets and outlets, while the other measured inlet temperatures from embedded server sensors. The good agreement observed between simulated and experimental data confirmed the accuracy of the computational model. The validated CFD model was applied to investigate efficiency improvement opportunities by retrofitting the thermal environment such as rack positioning, containment implementation, and guided airflow control. A series of numerical simulations are performed using the validated numerical model and KPIs are calculated for each design. Numerical simulations demonstrate that the efficiency of an existing data center can be enhanced by up to 75% using the pre</w:t>
      </w:r>
    </w:p>
    <w:p>
      <w:pPr/>
      <w:r>
        <w:rPr>
          <w:b/>
        </w:rPr>
        <w:t>POSSIBLE 2024:</w:t>
      </w:r>
      <w:r>
        <w:t xml:space="preserve"> Climate change impacts on two European crop rotations via an ensemble of models — https://doi.org/10.1016/j.eja.2024.127456</w:t>
      </w:r>
    </w:p>
    <w:p>
      <w:pPr/>
      <w:r>
        <w:rPr>
          <w:b/>
        </w:rPr>
        <w:t>Shared claim-specific concepts:</w:t>
      </w:r>
      <w:r>
        <w:t xml:space="preserve"> two, based; EU scope visible. This is a provisional connection, not an outcome finding.</w:t>
      </w:r>
    </w:p>
    <w:p>
      <w:pPr>
        <w:pStyle w:val="SourceNote"/>
      </w:pPr>
      <w:r>
        <w:rPr>
          <w:b/>
        </w:rPr>
        <w:t>Available abstract (not full text):</w:t>
      </w:r>
      <w:r>
        <w:t xml:space="preserve"> Continuous long-term simulations of an ensemble of nine crop models covering the 1961–2080 period was employed to assess the expected impacts of climate change on the crop yield and water use for distinct crop rotations (CRs) in Europe. In this study, the likelihood of changes in two differently managed CRs (conventional and alternative) involving four important field crops (winter wheat, spring barley, silage maize, and winter oilseed rape) was assessed. The conventional agricultural practice (CR1) included only mineral fertilization with the removal of crop residues after harvest. The alternative agricultural practice (CR2) included cover crops and the application of mineral and organic fertilizers, with crop residues retained in the field. The simulations covered six sites in five European countries (Mühldorf and Müncheberg in Germany, Ukkel in Belgium, Ødum in Denmark, Milhostov in Slovakia and Lednice in Czechia) based on two distinct soil profiles (universal soil and site-specific soils). The universal soil was the same across all the sites, while the site-specific soils were typical of each region. Eight transient climate change scenarios (4 general circulation models (GCMs) under representative concentration pathways (RCPs) 2.6 and 8.5) were used to capture the possible evolution of future climatic conditions. Compared with those during the 1962–1990 period, the ensembl</w:t>
      </w:r>
    </w:p>
    <w:p>
      <w:pPr/>
      <w:r>
        <w:rPr>
          <w:b/>
        </w:rPr>
        <w:t>POSSIBLE 2023:</w:t>
      </w:r>
      <w:r>
        <w:t xml:space="preserve"> Youth Sport Participation Trends Across Europe: Implications for Policy and Practice — https://doi.org/10.1080/02701367.2022.2148623</w:t>
      </w:r>
    </w:p>
    <w:p>
      <w:pPr/>
      <w:r>
        <w:rPr>
          <w:b/>
        </w:rPr>
        <w:t>Shared claim-specific concepts:</w:t>
      </w:r>
      <w:r>
        <w:t xml:space="preserve"> implications, linear; EU scope visible. This is a provisional connection, not an outcome finding.</w:t>
      </w:r>
    </w:p>
    <w:p>
      <w:pPr>
        <w:pStyle w:val="SourceNote"/>
      </w:pPr>
      <w:r>
        <w:rPr>
          <w:b/>
        </w:rPr>
        <w:t>Available abstract (not full text):</w:t>
      </w:r>
      <w:r>
        <w:t xml:space="preserve"> Purpose: Despite the known health and wellbeing benefits of taking part in sport for children and adolescents, it is reported that sports participation declines during adolescence. The purpose of this study was to explore current organized youth sport participation rates across Europe for both males and females and update current understanding. Method: Sport participation registration data was collected for 18 sports from 27 countries. In total, participation data was collected from over 5 million young people from Under 8s (U8s) to Under 18s (U18s). Differences in the participation rates between age categories were investigated using a generalized linear mixed effects model. Results: Overall, males were four times more likely to participate in organised youth sport than females’ participants, with this trend apparent across all age categories and across most sports. There was a significant decrease across sports in participation rates for males during adolescence from U14-U16 and U16-U18. There was a significant decrease in participation rates for females from U14-U16 for most sports except but an increase in participation rates from U16-U18 for 12 out of 18 sports. Soccer (1262%), wrestling (391%) and boxing (209%) were the sports that had greater male sport participation rates. In contrast, dance sports (86%) and volleyball (63%) had more female participants than males. This</w:t>
      </w:r>
    </w:p>
    <w:p>
      <w:pPr/>
      <w:r>
        <w:rPr>
          <w:b/>
        </w:rPr>
        <w:t>POSSIBLE 2023:</w:t>
      </w:r>
      <w:r>
        <w:t xml:space="preserve"> Teachers’ contributions to the school climate and using empathy at work: implications from qualitative research in two European countries — https://doi.org/10.3389/fpsyg.2023.1160546</w:t>
      </w:r>
    </w:p>
    <w:p>
      <w:pPr/>
      <w:r>
        <w:rPr>
          <w:b/>
        </w:rPr>
        <w:t>Shared claim-specific concepts:</w:t>
      </w:r>
      <w:r>
        <w:t xml:space="preserve"> two, implications, based; EU scope visible. This is a provisional connection, not an outcome finding.</w:t>
      </w:r>
    </w:p>
    <w:p>
      <w:pPr>
        <w:pStyle w:val="SourceNote"/>
      </w:pPr>
      <w:r>
        <w:rPr>
          <w:b/>
        </w:rPr>
        <w:t>Available abstract (not full text):</w:t>
      </w:r>
      <w:r>
        <w:t xml:space="preserve"> This research aimed to reveal the factors that, based on their experiences, teachers consider important in their contribution to a positive school climate and in their relationship with students when it comes to using empathy. Teachers from two European countries—Latvia ( n = 83) and Lithuania ( n = 69)—participated in the research. Data were collected through focus group-based interviews and analyzed using latent qualitative content analysis. The results revealed the teachers’ shared understanding of the importance of communication and professional development. However, only Lithuanian teachers emphasized strengthening institutional values and other more collectivistic aspects; the answers of Latvian teachers were specific and suggested more of an individualistic attitude, like allocating personal responsibility to use appropriate instructional strategies. This study draws attention to contextual and cultural factors of teachers’ work and actualizes their educational needs.</w:t>
      </w:r>
    </w:p>
    <w:p>
      <w:pPr/>
      <w:r>
        <w:rPr>
          <w:b/>
        </w:rPr>
        <w:t>POSSIBLE 2023:</w:t>
      </w:r>
      <w:r>
        <w:t xml:space="preserve"> Sustainable development goals: classifying European countries through self-organizing maps — https://doi.org/10.36253/979-12-215-0106-3.17</w:t>
      </w:r>
    </w:p>
    <w:p>
      <w:pPr/>
      <w:r>
        <w:rPr>
          <w:b/>
        </w:rPr>
        <w:t>Shared claim-specific concepts:</w:t>
      </w:r>
      <w:r>
        <w:t xml:space="preserve"> implications, goals, world; EU scope visible. This is a provisional connection, not an outcome finding.</w:t>
      </w:r>
    </w:p>
    <w:p>
      <w:pPr>
        <w:pStyle w:val="SourceNote"/>
      </w:pPr>
      <w:r>
        <w:rPr>
          <w:b/>
        </w:rPr>
        <w:t>Available abstract (not full text):</w:t>
      </w:r>
      <w:r>
        <w:t xml:space="preserve"> Environmental sustainability is one of the main goals of all countries in the world. Sustainable Development Goals (SDGs) have been proposed by the United Nations in 2015. The purpose of this paper is to explore if and how European countries achievethe goals of environmental sustainability (tracked by the SDGs number 13, 14, and 15). In particular, SDG 13 refers to climate change and its impacts; SDG 14 refers to the conservation of water and marine resources while the last one; SDG 15 deals with the preservation of forests. The reference methodology of the paper are the Self-Organizing Maps proposed by Kohonen in 1982 as an unsupervised clustering method in the framework of artificial neural networks. The proposed analysis considers the 23 indicators related to the three SDGs of environmental sustainability and aims to explore and identify groups of countries with similar characteristics through a dimensionality reduction. Such clusters will be visually represented in a two-dimensional map. The proposed analysis considers the most recent data for all the above SDGs, which is 2018, with the aim of classifying the countries in terms of environmental sustainability and highlighting possible implications for policymakers. An analysis of the network accuracy is shown, using appropriate indicators. These results allow us to see which countries have achieved these goals and how they </w:t>
      </w:r>
    </w:p>
    <w:p>
      <w:pPr>
        <w:pStyle w:val="Heading2"/>
      </w:pPr>
      <w:r>
        <w:t>732. Transition pathways to sustainability in greater than 2 °C climate futures of Europe</w:t>
      </w:r>
    </w:p>
    <w:p>
      <w:pPr>
        <w:pStyle w:val="SourceNote"/>
      </w:pPr>
      <w:r>
        <w:rPr>
          <w:b/>
        </w:rPr>
        <w:t>Original source (2019):</w:t>
      </w:r>
      <w:r>
        <w:t xml:space="preserve"> https://doi.org/10.1007/s10113-019-01475-x</w:t>
      </w:r>
    </w:p>
    <w:p>
      <w:pPr/>
      <w:r>
        <w:t>Original wording (abstract; indexed_source_text_not_full_document_verified): The pathways support Europe in moving towards a desirable future vision, through top-down and bottom-up actions that lower greenhouse gas emissions, reduce impacts of and vulnerabilities to climate and socioeconomic changes and enhance well-being. Analysis shows that the pathways that are robust to future scenario uncertainty are those that shift Europe towards sustainable lifestyles, support and strengthen good governance for sustainability and promote adaptive resource management for water, agriculture and energy.</w:t>
      </w:r>
    </w:p>
    <w:p>
      <w:pPr/>
      <w:r>
        <w:rPr>
          <w:b/>
        </w:rPr>
        <w:t>POSSIBLE 2026:</w:t>
      </w:r>
      <w:r>
        <w:t xml:space="preserve"> Electrification pathways for passenger cars: A comparative analysis of China and Europe — https://doi.org/10.1016/j.esr.2026.102369</w:t>
      </w:r>
    </w:p>
    <w:p>
      <w:pPr/>
      <w:r>
        <w:rPr>
          <w:b/>
        </w:rPr>
        <w:t>Shared claim-specific concepts:</w:t>
      </w:r>
      <w:r>
        <w:t xml:space="preserve"> pathways, support, vulnerabilities, shows; EU scope visible. This is a provisional connection, not an outcome finding.</w:t>
      </w:r>
    </w:p>
    <w:p>
      <w:pPr>
        <w:pStyle w:val="SourceNote"/>
      </w:pPr>
      <w:r>
        <w:rPr>
          <w:b/>
        </w:rPr>
        <w:t>Available abstract (not full text):</w:t>
      </w:r>
      <w:r>
        <w:t xml:space="preserve"> China and Europe have made significant progress in the electrification of mobility, but they differ substantially in their policy approaches and institutional frameworks. This paper presents a comparative analysis of their electrification pathways, focusing on the motivations, policy strategies, and challenges associated with scaling up electric-vehicle adoption. The study aims to: (i) examine the policy measures implemented in each region; (ii) assess outcomes in terms of market growth, infrastructure development, and industrial competitiveness; and (iii) identify key similarities and differences while deriving lessons to support transport-sector decarbonization. The comparison of battery electric vehicles (BEVs) and comparable diesel vehicles shows substantial regional differences in economic competitiveness. Based on Total Cost of Ownership analysis, BEVs are approximately 17% cheaper than diesel vehicles in China, while diesel vehicles remain about 25% cheaper than BEVs in Europe, reflecting differences in policy, market, energy, and industrial conditions. China's state-led approach has supported rapid market expansion, cost reductions, and industrial competitiveness, with local governments implementing targeted measures to promote battery-electric-vehicle adoption. In contrast, Europe relies more heavily on cooperation between public and private stakeholders, emphasizing l</w:t>
      </w:r>
    </w:p>
    <w:p>
      <w:pPr/>
      <w:r>
        <w:rPr>
          <w:b/>
        </w:rPr>
        <w:t>POSSIBLE 2026:</w:t>
      </w:r>
      <w:r>
        <w:t xml:space="preserve"> The European Society of Cataract and Refractive Surgeons Cataract Simulation Curriculum: Wet Lab and Virtual Reality Pathways to Competency — https://doi.org/10.1097/j.jcrs.0000000000002036</w:t>
      </w:r>
    </w:p>
    <w:p>
      <w:pPr/>
      <w:r>
        <w:rPr>
          <w:b/>
        </w:rPr>
        <w:t>Shared claim-specific concepts:</w:t>
      </w:r>
      <w:r>
        <w:t xml:space="preserve"> pathways, support, moving; EU scope visible. This is a provisional connection, not an outcome finding.</w:t>
      </w:r>
    </w:p>
    <w:p>
      <w:pPr>
        <w:pStyle w:val="SourceNote"/>
      </w:pPr>
      <w:r>
        <w:rPr>
          <w:b/>
        </w:rPr>
        <w:t>Available abstract (not full text):</w:t>
      </w:r>
      <w:r>
        <w:t xml:space="preserve"> Cataract surgery training across Europe remains heterogeneous despite high procedural demand, and a harmonized simulation pathway is lacking. This Special Report proposes an ESCRS cataract simulation curriculum that national training bodies and educators can adapt to existing programmes. It synthesizes European training surveys, evidence on simulation-related performance and safety benefits, and European Society of Cataract and Refractive Surgery (ESCRS) educational infrastructure. The pathway comprises entry assessment, foundation skills, core phacoemulsification, complication management, supervised operating-room progression, and maintenance of competency. Progression is based on objective virtual reality (VR) metrics or structured wet-lab scoring combined with workplace-based assessments. Model-eye and VR modalities are mapped to complementary stages of training, and implementation is framed around national portfolio integration, regional hubs, the ESCRS Moving Simulator, sustainability metrics, and equity monitoring. A standardized but locally adaptable curriculum may improve readiness for live surgery, support maintenance of competency, and promote safer, more equitable cataract training.</w:t>
      </w:r>
    </w:p>
    <w:p>
      <w:pPr/>
      <w:r>
        <w:rPr>
          <w:b/>
        </w:rPr>
        <w:t>POSSIBLE 2026:</w:t>
      </w:r>
      <w:r>
        <w:t xml:space="preserve"> Competing corporate visions, ambiguous policy proposals: Complexities surrounding the emerging EU hydrogen market — https://doi.org/10.1016/j.enpol.2026.115463</w:t>
      </w:r>
    </w:p>
    <w:p>
      <w:pPr/>
      <w:r>
        <w:rPr>
          <w:b/>
        </w:rPr>
        <w:t>Shared claim-specific concepts:</w:t>
      </w:r>
      <w:r>
        <w:t xml:space="preserve"> support, top-down, gas; EU scope visible. This is a provisional connection, not an outcome finding.</w:t>
      </w:r>
    </w:p>
    <w:p>
      <w:pPr>
        <w:pStyle w:val="SourceNote"/>
      </w:pPr>
      <w:r>
        <w:rPr>
          <w:b/>
        </w:rPr>
        <w:t>Available abstract (not full text):</w:t>
      </w:r>
      <w:r>
        <w:t xml:space="preserve"> This paper explores corporate political activity in the context of the emerging European hydrogen market, with the European Union's (EU) regulatory design as a focal point. The EU's hybrid governance combines top-down, strict regulation with co-creation platforms that give companies structural access to reshape instrument design, thereby formally opening the process to multiple views. Based on a template analysis of 114 feedback documents submitted to two European Commission consultations (yielding 629 initial codes organised into 42 thematic clusters and 10 overarching dimensions) and an examination of documents relevant to EU hydrogen policy, we identify two competing corporate visions: (1) a ‘system preservation’ pathway (i.e., blending and using gas assets), (2) a ‘system creation’ pathway (i.e., dedicated renewable infrastructure). The Hydrogen Strategy has renewable hydrogen at its core; however, it has more recently formalised the concept of ‘low-carbon’ hydrogen, without a binding phase-out timeline or enforcement mechanism. This ambiguity weakens the commercial case for both directions, raises bankability risks, and contributes to the investment impasse affecting large hydrogen projects. Based on the analysis, we explore possible policy options, including: (i) concentrating renewable hydrogen support in hard-to-abate sectors, specifying sectoral timelines, (ii) designi</w:t>
      </w:r>
    </w:p>
    <w:p>
      <w:pPr/>
      <w:r>
        <w:rPr>
          <w:b/>
        </w:rPr>
        <w:t>POSSIBLE 2026:</w:t>
      </w:r>
      <w:r>
        <w:t xml:space="preserve"> Moving forward AKIS research and practice for agroecological transitions in Europe — https://doi.org/10.1080/1389224x.2026.2640918</w:t>
      </w:r>
    </w:p>
    <w:p>
      <w:pPr/>
      <w:r>
        <w:rPr>
          <w:b/>
        </w:rPr>
        <w:t>Shared claim-specific concepts:</w:t>
      </w:r>
      <w:r>
        <w:t xml:space="preserve"> pathways, support, moving; EU scope visible. This is a provisional connection, not an outcome finding.</w:t>
      </w:r>
    </w:p>
    <w:p>
      <w:pPr>
        <w:pStyle w:val="SourceNote"/>
      </w:pPr>
      <w:r>
        <w:rPr>
          <w:b/>
        </w:rPr>
        <w:t>Available abstract (not full text):</w:t>
      </w:r>
      <w:r>
        <w:t xml:space="preserve"> Purpose This paper presents findings from a critical review of European AKIS research, guided by a transformative agroecology perspective, to refine analytical frameworks for assessing their capacity to support systemic change.Design/Methodology/Approach The review followed an original analytical framework developed through a comprehensive synthesis of key agroecological frameworks and work. It was applied to 50 peer-reviewed studies in English, identified through a systematic search in four databases, using directed content analysis.Findings The review highlights growing attention to farmers’ agency, diverse knowledge systems, and informal networks, contributing to a reframing of AKIS as socially embedded and territorially grounded. However, participatory and transdisciplinary approaches are more often cited than implemented, and the political dimensions of AKIS remain underexplored, limiting understanding of the levers and barriers shaping their contribution to systemic change.Practical Implications The findings indicate that advancing AKIS research and policy requires politically informed, systems-based approaches that centre farmers and communities, strengthening collective agencies for systemic change.Theoretical Implications An agroecological perspective highlights the need to strengthen current AKIS theoretical frameworks and thinking to include how knowledge and innovat</w:t>
      </w:r>
    </w:p>
    <w:p>
      <w:pPr/>
      <w:r>
        <w:rPr>
          <w:b/>
        </w:rPr>
        <w:t>POSSIBLE 2026:</w:t>
      </w:r>
      <w:r>
        <w:t xml:space="preserve"> Moving the needle on transforming food systems: What's blocking progress in Europe and the UK and where investments can help — https://doi.org/10.25383/city.34057083</w:t>
      </w:r>
    </w:p>
    <w:p>
      <w:pPr/>
      <w:r>
        <w:rPr>
          <w:b/>
        </w:rPr>
        <w:t>Shared claim-specific concepts:</w:t>
      </w:r>
      <w:r>
        <w:t xml:space="preserve"> pathways, support, moving, climate; EU scope visible. This is a provisional connection, not an outcome finding.</w:t>
      </w:r>
    </w:p>
    <w:p>
      <w:pPr>
        <w:pStyle w:val="SourceNote"/>
      </w:pPr>
      <w:r>
        <w:rPr>
          <w:b/>
        </w:rPr>
        <w:t>Available abstract (not full text):</w:t>
      </w:r>
      <w:r>
        <w:t xml:space="preserve"> Food systems across Europe and the UK are falling short on health, climate and equity outcomes. This study combines interviews and workshops with changemakers across seven countries and the EU level with bibliographic mapping, a researcher survey and a scoping review to identify barriers to transformation and priorities for investment. Findings highlight five recurring barriers: entrenched power, difficult policy environments, polarisation, fragmentation, and evidence that is poorly suited to implementation. We identify four investment priorities: more applied research, stronger links between evidence and decision-making, long-term collaboration, and more effective narratives. These priorities support targeted, longer-term and transformative funding pathways.Suggested citation:Aubert, P-M., Headings, R., Reynolds, C., Zurek, M., Garnett, T., Harding, A. et al. (2026). Moving the needle on transforming food systems: What’s blocking progress in Europe and the UK and where investments can help. Report. doi: 10.25383/city.34057083</w:t>
      </w:r>
    </w:p>
    <w:p>
      <w:pPr/>
      <w:r>
        <w:rPr>
          <w:b/>
        </w:rPr>
        <w:t>POSSIBLE 2025:</w:t>
      </w:r>
      <w:r>
        <w:t xml:space="preserve"> Pathways to a strong Social Europe — https://doi.org/10.31235/osf.io/zgjaf_v1</w:t>
      </w:r>
    </w:p>
    <w:p>
      <w:pPr/>
      <w:r>
        <w:rPr>
          <w:b/>
        </w:rPr>
        <w:t>Shared claim-specific concepts:</w:t>
      </w:r>
      <w:r>
        <w:t xml:space="preserve"> pathways, support, vulnerabilities; EU scope visible. This is a provisional connection, not an outcome finding.</w:t>
      </w:r>
    </w:p>
    <w:p>
      <w:pPr>
        <w:pStyle w:val="SourceNote"/>
      </w:pPr>
      <w:r>
        <w:rPr>
          <w:b/>
        </w:rPr>
        <w:t>Available abstract (not full text):</w:t>
      </w:r>
      <w:r>
        <w:t xml:space="preserve"> As Europe grapples with geopolitical tensions, economic instability, demographic change and rising populism, the role of Social Europe has never been more critical. The COVID-19 pandemic exposed significant vulnerabilities in social protection and health systems across the European Union (EU), but it also accelerated the development of temporary measures like the Support to mitigate Unemployment Risks in an Emergency (SURE) and the Recovery and Resilience Facility (RRF), demonstrating the potential for stronger EU-wide social policies. However, five years later, new crises have emerged, from the war in Ukraine and in the Middle East, which have heightened security concerns across the continent, to escalating natural disasters. Amid these challenges that threaten European welfare models, a crucial question remains: Has Social Europe been reinforced in a lasting and sustainable way, or were these measures merely temporary solutions?This paper highlights the need for strong social policies in the current era of geopolitical volatilities and sets out policy recommendations to ensure a pathway to a stronger social Europe.</w:t>
      </w:r>
    </w:p>
    <w:p>
      <w:pPr/>
      <w:r>
        <w:rPr>
          <w:b/>
        </w:rPr>
        <w:t>POSSIBLE 2025:</w:t>
      </w:r>
      <w:r>
        <w:t xml:space="preserve"> Pathways to Inclusion? Labor Market Entry Trajectories of Persons With Disabilities in Europe — https://doi.org/10.17645/si.9603</w:t>
      </w:r>
    </w:p>
    <w:p>
      <w:pPr/>
      <w:r>
        <w:rPr>
          <w:b/>
        </w:rPr>
        <w:t>Shared claim-specific concepts:</w:t>
      </w:r>
      <w:r>
        <w:t xml:space="preserve"> pathways, support, reduce, those; EU scope visible. This is a provisional connection, not an outcome finding.</w:t>
      </w:r>
    </w:p>
    <w:p>
      <w:pPr>
        <w:pStyle w:val="SourceNote"/>
      </w:pPr>
      <w:r>
        <w:rPr>
          <w:b/>
        </w:rPr>
        <w:t>Available abstract (not full text):</w:t>
      </w:r>
      <w:r>
        <w:t xml:space="preserve"> Almost a fifth of the population in OECD countries report having a disability and the proportion of students classified as having special educational needs (SEN) has steadily increased over recent decades. While this group faces marginalization in schooling and employment everywhere, there are profound differences in disability‐based disadvantages across countries. However, comparative research on the labor market opportunities of persons with disabilities (PwDs) remains limited, especially regarding school‐to‐work transitions (STWT) that are crucial for subsequent labor market opportunities. Thus, lacking comparative knowledge on how institutional contexts shape these transitions also limits opportunities for policy learning and improvement of supports provided. This study addresses these gaps by analysing longitudinal data from the European Statistics on Income and Living Conditions (EU‐SILC). First, using sequence and cluster analysis, we classify these trajectories and provide an in‐depth analysis of labor market entry patterns for PwDs compared to those without disabilities across 31 European countries. Second, we explore whether the timing of first employment, instability during the STWT, as well as inclusionary or exclusionary transitions vary between these groups and how the disparities between persons with and without disabilities regarding these indicators are related</w:t>
      </w:r>
    </w:p>
    <w:p>
      <w:pPr/>
      <w:r>
        <w:rPr>
          <w:b/>
        </w:rPr>
        <w:t>POSSIBLE 2025:</w:t>
      </w:r>
      <w:r>
        <w:t xml:space="preserve"> Moving on to a Pathway of Hope: Stories of Female Persons Deprived of Liberty (PDL) — https://doi.org/10.32996/ijlps.2025.7.7.2</w:t>
      </w:r>
    </w:p>
    <w:p>
      <w:pPr/>
      <w:r>
        <w:rPr>
          <w:b/>
        </w:rPr>
        <w:t>Shared claim-specific concepts:</w:t>
      </w:r>
      <w:r>
        <w:t xml:space="preserve"> support, moving, well-being; EU scope not established. This is a provisional connection, not an outcome finding.</w:t>
      </w:r>
    </w:p>
    <w:p>
      <w:pPr>
        <w:pStyle w:val="SourceNote"/>
      </w:pPr>
      <w:r>
        <w:rPr>
          <w:b/>
        </w:rPr>
        <w:t>Available abstract (not full text):</w:t>
      </w:r>
      <w:r>
        <w:t xml:space="preserve"> The Bureau of Jail Management and Penology in the Philippines is responsible for developing plans, programs, and policies to effectively implement rehabilitation programs for all inmates nationwide. It also collaborates with other government and private organizations to support these programs. The primary goal is to improve the well-being of inmates and prepare them for successful reintegration into society after their release while ensuring humane treatment for all inmates, regardless of their backgrounds and gender. This research study aimed to understand the experiences of female Persons Deprived of Liberty (PDL) within the rehabilitation program through a qualitative research method. The informants of this study were ten (10) resides at the Cebu City Jail Female Dormitory (CCJFD)situated at Barangay Kalunasan Cebu City, Philippines. Four (4) informants were subjected to an in-depth interview and six (6) informants for the Focus Group Discussions (FGD). The findings of this study are articulated in emergent themes. Six (6) emergent themes described the positive and negative experiences of the informants on the rehabilitation program. For the positive experiences, three (3) emergent themes were developed, namely: Jailhouse Jukebox, Cellmate for Change, and From Cell to Success: Skills, Swag, and Savings. For the negative experiences, three (3) emergent themes were also develo</w:t>
      </w:r>
    </w:p>
    <w:p>
      <w:pPr/>
      <w:r>
        <w:rPr>
          <w:b/>
        </w:rPr>
        <w:t>POSSIBLE 2025:</w:t>
      </w:r>
      <w:r>
        <w:t xml:space="preserve"> Air pollution inequalities in Europe: A deeper understating of challenges in Eastern Europe and pathways forward towards closing the gap between East and West — https://doi.org/10.1097/ee9.0000000000000383</w:t>
      </w:r>
    </w:p>
    <w:p>
      <w:pPr/>
      <w:r>
        <w:rPr>
          <w:b/>
        </w:rPr>
        <w:t>Shared claim-specific concepts:</w:t>
      </w:r>
      <w:r>
        <w:t xml:space="preserve"> pathways, actions, lower, emissions, impacts, climate; EU scope visible. This is a provisional connection, not an outcome finding.</w:t>
      </w:r>
    </w:p>
    <w:p>
      <w:pPr>
        <w:pStyle w:val="SourceNote"/>
      </w:pPr>
      <w:r>
        <w:rPr>
          <w:b/>
        </w:rPr>
        <w:t>Available abstract (not full text):</w:t>
      </w:r>
      <w:r>
        <w:t xml:space="preserve"> What this study adds: In this commentary, we address the environmental inequalities in Europe, specifically related to air pollution exposure and related health burden disparities between Western and Eastern Europe. We first, provide a background for the causes of these inequalities and links with socioeconomic and demographic circumstances. We showcase, in more detail, air quality levels, monitoring, health research, and burden situation in four Eastern European countries (Serbia, Poland, Latvia, and Bulgaria), and briefly explain links with road traffic noise and climate change challenges in the region. At the end, we summarize several pathways and recommendations for going forward and overcoming air pollution exposure and the health burden gap in Europe.Background Air pollution is the biggest environmental stressor responsible for over 420,000 premature deaths in Europe in 2022,1 from cardiovascular diseases, chronic and infectious respiratory diseases, lung cancer, and type-2 diabetes.2 Air pollution levels in Europe have declined in the last decades, which has, at least in part, been attributed to successful European Union (EU) legislation. Ambient Air Quality Directive (AAQD)3 in 2008 set air quality standards (annual mean 25 µg/m3 for particulate matter with diameter &lt;2.5 µm [PM2.5] and 40 µg/m3 for nitrogen dioxide [NO2]). These declines are most prominent in Western an</w:t>
      </w:r>
    </w:p>
    <w:p>
      <w:pPr/>
      <w:r>
        <w:rPr>
          <w:b/>
        </w:rPr>
        <w:t>POSSIBLE 2025:</w:t>
      </w:r>
      <w:r>
        <w:t xml:space="preserve"> Pathways to bioeconomy development: A multi-regional perspective from Europe — https://doi.org/10.1007/s13280-025-02297-4</w:t>
      </w:r>
    </w:p>
    <w:p>
      <w:pPr/>
      <w:r>
        <w:rPr>
          <w:b/>
        </w:rPr>
        <w:t>Shared claim-specific concepts:</w:t>
      </w:r>
      <w:r>
        <w:t xml:space="preserve"> pathways, actions, impacts; EU scope visible. This is a provisional connection, not an outcome finding.</w:t>
      </w:r>
    </w:p>
    <w:p>
      <w:pPr>
        <w:pStyle w:val="SourceNote"/>
      </w:pPr>
      <w:r>
        <w:rPr>
          <w:b/>
        </w:rPr>
        <w:t>Available abstract (not full text):</w:t>
      </w:r>
      <w:r>
        <w:t xml:space="preserve"> The transition towards a sustainable future is increasingly understood to rely on further development of the bioeconomy. In this, both public and private sectors play pivotal roles. Government agencies and public institutions are instrumental in shaping the trajectory of the bioeconomy through strategic frameworks, regulatory measures, and policies. These instruments may create a conducive environment by clearing away bureaucratic impediments and establishing favourable conditions. Concurrently, private sector entities, including industry interest groups and companies, have the important task of advocating for these favourable conditions and driving the bioeconomy's growth through active involvement, strategic business decisions, capital investments, and bringing bio-based innovations to market. Throughout these processes, perceptions of the bioeconomy held by actors in both sectors shape the outcomes of their actions. Hence, this study delves into the perceptions of the bioeconomy among stakeholders from both the public and private sectors across nine European regions regarding barriers and supporting conditions impacting its development, particularly important bioeconomy value chains, and the willingness and perceived responsibility to advance the bioeconomy. Findings from 534 online survey responses (288 public sector and 246 private sector) reveal that key factors identifie</w:t>
      </w:r>
    </w:p>
    <w:p>
      <w:pPr/>
      <w:r>
        <w:rPr>
          <w:b/>
        </w:rPr>
        <w:t>POSSIBLE 2024:</w:t>
      </w:r>
      <w:r>
        <w:t xml:space="preserve"> Visions for climate neutrality and opportunities for co-learning in European cities — https://doi.org/10.1016/j.rser.2024.114315</w:t>
      </w:r>
    </w:p>
    <w:p>
      <w:pPr/>
      <w:r>
        <w:rPr>
          <w:b/>
        </w:rPr>
        <w:t>Shared claim-specific concepts:</w:t>
      </w:r>
      <w:r>
        <w:t xml:space="preserve"> support, emissions, reduce, climate; EU scope visible. This is a provisional connection, not an outcome finding.</w:t>
      </w:r>
    </w:p>
    <w:p>
      <w:pPr>
        <w:pStyle w:val="SourceNote"/>
      </w:pPr>
      <w:r>
        <w:rPr>
          <w:b/>
        </w:rPr>
        <w:t>Available abstract (not full text):</w:t>
      </w:r>
      <w:r>
        <w:t xml:space="preserve"> Cities represent unique spaces for climate mitigation where wide-ranging action to reduce emissions meets ambition and collaboration. This research work distils climate neutrality narratives for 362 cities that expressed interest in the European Mission on 100 Climate-Neutral and Smart Cities and focuses on the 112 cities selected to spearhead the process of reaching climate neutrality by 2030 (representing a mitigation potential of 318.3 megatonnes of carbon dioxide equivalent emissions). The method involves steps that profile the characteristics of these cities, enunciate cross-cutting patterns in cities’ visions by thematic groupings, and compare 14 contextual factors with 77 possible main barriers. There are both similarities and differences among the results as a basis for learning together and certain barriers can be relatively more dominant in some thematic groupings, such as fragmentation of responsibilities. As a synthesis of the main findings, the original analyses are used to derive and prioritise nine high-level recommendations based on the cities' visions, contextual factors, and expected main barriers. Opportunities for mobilising transformative change relate to transforming siloed into integrated approaches, inclusive climate governance and collaborations, innovative financing, welfare and just transition as well as planning, implementation, and policy coherence.</w:t>
      </w:r>
    </w:p>
    <w:p>
      <w:pPr/>
      <w:r>
        <w:rPr>
          <w:b/>
        </w:rPr>
        <w:t>POSSIBLE 2024:</w:t>
      </w:r>
      <w:r>
        <w:t xml:space="preserve"> Top-down modulation of the retinal code via histaminergic neurons of the hypothalamus — https://doi.org/10.1126/sciadv.adk4062</w:t>
      </w:r>
    </w:p>
    <w:p>
      <w:pPr/>
      <w:r>
        <w:rPr>
          <w:b/>
        </w:rPr>
        <w:t>Shared claim-specific concepts:</w:t>
      </w:r>
      <w:r>
        <w:t xml:space="preserve"> moving, vision, top-down; EU scope not established. This is a provisional connection, not an outcome finding.</w:t>
      </w:r>
    </w:p>
    <w:p>
      <w:pPr>
        <w:pStyle w:val="SourceNote"/>
      </w:pPr>
      <w:r>
        <w:rPr>
          <w:b/>
        </w:rPr>
        <w:t>Available abstract (not full text):</w:t>
      </w:r>
      <w:r>
        <w:t xml:space="preserve"> The mammalian retina is considered an autonomous circuit, yet work dating back to Ramon y Cajal indicates that it receives inputs from the brain. How such inputs affect retinal processing has remained unknown. We confirmed brain-to-retina projections of histaminergic neurons from the mouse hypothalamus. Histamine application ex vivo altered the activity of various retinal ganglion cells (RGCs), including direction-selective RGCs that gained responses to high motion velocities. These results were reproduced in vivo with optic tract recordings where histaminergic retinopetal axons were activated chemogenetically. Such changes could improve vision of fast-moving objects (e.g., while running), which fits with the known increased activity of histaminergic neurons during arousal. An antihistamine drug reduced optomotor responses to high-speed moving stimuli in freely moving mice. In humans, the same antihistamine nonuniformly modulated visual sensitivity across the visual field, indicating an evolutionary conserved function of the histaminergic system. Our findings expose a previously unappreciated role for brain-to-retina projections in modulating retinal function.</w:t>
      </w:r>
    </w:p>
    <w:p>
      <w:pPr>
        <w:pStyle w:val="Heading2"/>
      </w:pPr>
      <w:r>
        <w:t>733. When will European Muslim population be majority and in which country?</w:t>
      </w:r>
    </w:p>
    <w:p>
      <w:pPr>
        <w:pStyle w:val="SourceNote"/>
      </w:pPr>
      <w:r>
        <w:rPr>
          <w:b/>
        </w:rPr>
        <w:t>Original source (2019):</w:t>
      </w:r>
      <w:r>
        <w:t xml:space="preserve"> https://doi.org/10.1108/prr-12-2018-0034</w:t>
      </w:r>
    </w:p>
    <w:p>
      <w:pPr/>
      <w:r>
        <w:t>Original wording (abstract; indexed_source_text_not_full_document_verified): Findings Among three scenarios, the most likely mid-point migration scenario identifies 13 countries where the Muslim population will be majority between years 2085 and 2215: Cyprus (in year 2085), Sweden (2125), France (2135), Greece (2135), Belgium (2140), Bulgaria (2140), Italy (2175), Luxembourg (2175), the UK (2180), Slovenia (2190), Switzerland (2195), Ireland (2200) and Lithuania (2215). Three scenarios are considered: the zero-migration scenario where the authors assume that the Muslim population has a higher fertility (one child more per woman, on average) than other Europeans, mirroring a global pattern; a 2017 migration scenario: to the Muslim population obtained in the zero-migration scenario, the authors add a continuous flow of migrants every year based on year 2017; the mid-point migration scenario is obtained by averaging the data of the two previous scenarios.</w:t>
      </w:r>
    </w:p>
    <w:p>
      <w:pPr/>
      <w:r>
        <w:rPr>
          <w:b/>
        </w:rPr>
        <w:t>POSSIBLE 2026:</w:t>
      </w:r>
      <w:r>
        <w:t xml:space="preserve"> Exploring the genetic diversity of recent Ralstonia pseudosolanacearum phylotype I findings in Europe — https://doi.org/10.1007/s10658-026-03191-9</w:t>
      </w:r>
    </w:p>
    <w:p>
      <w:pPr/>
      <w:r>
        <w:rPr>
          <w:b/>
        </w:rPr>
        <w:t>Shared claim-specific concepts:</w:t>
      </w:r>
      <w:r>
        <w:t xml:space="preserve"> findings, among, three, countries; EU scope visible. This is a provisional connection, not an outcome finding.</w:t>
      </w:r>
    </w:p>
    <w:p>
      <w:pPr>
        <w:pStyle w:val="SourceNote"/>
      </w:pPr>
      <w:r>
        <w:rPr>
          <w:b/>
        </w:rPr>
        <w:t>Available abstract (not full text):</w:t>
      </w:r>
      <w:r>
        <w:t xml:space="preserve"> Abstract The increasing prevalence of Ralstonia pseudosolanacearum phylotype I (phy I) in agricultural regions across Europe highlights the need for heightened awareness and preventive measures. Recent detections in multiple European countries spam a range of agricultural systems, host plants, and natural aquatic environments. These findings have been linked either to infected plant material at import (interceptions) or to plants cultivated in specific European regions, often after importation of infected plant material. To investigate the genetic diversity of these emerging populations, we analysed whole-genome sequence (WGS) data from a collection of 62 R. pseudosolanacearum phy I isolates, including those recently obtained in various European countries, using average nucleotide analysis (ANI) and and core genome multilocus sequence typing (cgMLST). ANI analysis revealed two distinct major clades: the "rose clade", comprising isolates from rose, potato, surface water, and bittersweet, most closely matching with sequevar 33, and the "ginger clade", including isolates from members of the Zingiberaceae family, with the best match to sequevar 30. A third smaller clade was also identified consisting of two R. pseudosolanacearum phy I isolates from tomato corresponding to sequevar 18 ("tomato clade"). Pathogenicity assays were performed on tomato to deduce information on the biolog</w:t>
      </w:r>
    </w:p>
    <w:p>
      <w:pPr/>
      <w:r>
        <w:rPr>
          <w:b/>
        </w:rPr>
        <w:t>POSSIBLE 2026:</w:t>
      </w:r>
      <w:r>
        <w:t xml:space="preserve"> CSR and cost of debt in three European countries — https://doi.org/10.1007/s43621-026-03822-5</w:t>
      </w:r>
    </w:p>
    <w:p>
      <w:pPr/>
      <w:r>
        <w:rPr>
          <w:b/>
        </w:rPr>
        <w:t>Shared claim-specific concepts:</w:t>
      </w:r>
      <w:r>
        <w:t xml:space="preserve"> findings, among, three, likely, countries, between; EU scope visible. This is a provisional connection, not an outcome finding.</w:t>
      </w:r>
    </w:p>
    <w:p>
      <w:pPr>
        <w:pStyle w:val="SourceNote"/>
      </w:pPr>
      <w:r>
        <w:rPr>
          <w:b/>
        </w:rPr>
        <w:t>Available abstract (not full text):</w:t>
      </w:r>
      <w:r>
        <w:t xml:space="preserve"> Our study examines the impact of Corporate Social Responsibility (CSR) on the weighted average cost of capital and interest-bearing cost of debt to understand how a company's ethical, environmental, and social practices influence its financial performance, particularly the cost of obtaining funds. Our sample includes firms from three major European markets: Germany, France, and Italy. European companies with strong CSR practices are often less risky because they are more likely to avoid environmental fines and reputational damage. Lower risk can lead to a reduced cost of capital. Hence, we want to provide a comparative analysis of these markets. This paper employs an analytical approach grounded in the results of the original research. ESG and its components affect the cost of capital (weighted average cost of capital, cost of debt). Implementing CSR practices will likely reduce firm risk and cost of capital. A firm may attract investors by focusing on sustainable or ethical investments. CSR practices can be viewed more favorably by credit rating agencies and, consequently, lenders, which can improve a company's financial position by implying the ability to raise capital at a lower cost, resulting in better financial outcomes. Corporate social responsibility (CSR) is actively studied today. European countries are among the world's best in terms of Sustainability. We focus on CS</w:t>
      </w:r>
    </w:p>
    <w:p>
      <w:pPr/>
      <w:r>
        <w:rPr>
          <w:b/>
        </w:rPr>
        <w:t>POSSIBLE 2026:</w:t>
      </w:r>
      <w:r>
        <w:t xml:space="preserve"> A multinational exploratory assessment of cancer knowledge among people with intellectual disabilities across European countries — https://doi.org/10.1186/s12939-026-02959-z</w:t>
      </w:r>
    </w:p>
    <w:p>
      <w:pPr/>
      <w:r>
        <w:rPr>
          <w:b/>
        </w:rPr>
        <w:t>Shared claim-specific concepts:</w:t>
      </w:r>
      <w:r>
        <w:t xml:space="preserve"> findings, among, three, countries, population, between; EU scope visible. This is a provisional connection, not an outcome finding.</w:t>
      </w:r>
    </w:p>
    <w:p>
      <w:pPr>
        <w:pStyle w:val="SourceNote"/>
      </w:pPr>
      <w:r>
        <w:rPr>
          <w:b/>
        </w:rPr>
        <w:t>Available abstract (not full text):</w:t>
      </w:r>
      <w:r>
        <w:t xml:space="preserve"> Abstract Background People with intellectual disabilities (ID) experience significant health inequalities, including limited access to cancer-related information and poor cancer outcomes. Cancer knowledge is a key determinant of early detection and prevention; however, evidence from European countries remains limited. This study aimed to assess cancer knowledge among people with (ID) across European countries and to examine associated sociodemographic factors. Methods A cross-sectional, multinational exploratory study was conducted between January 2025 and January 2026 across multiple European countries using a collaborative research network. A total of 896 adults with mild-to-moderate (ID) participated in this study. Cancer knowledge was assessed using an adapted, easy-to-read Cancer Awareness Measure covering three domains: warning signs (9 items), risk factors (11 items), and prevention (7 items). Data were analyzed using descriptive statistics, Spearman’s rank correlation, Mann–Whitney U test, Kruskal–Wallis test, and multiple linear regression. Results All three knowledge domains demonstrated good internal consistency (Cronbach’s α = 0.802–0.929). Significant positive correlations were observed among knowledge of warning signs, risk factors, and prevention (ρ = 0.503–0.772, p &lt; 0.001). Female participants had higher warning sign knowledge than male participants ( p = 0.039</w:t>
      </w:r>
    </w:p>
    <w:p>
      <w:pPr/>
      <w:r>
        <w:rPr>
          <w:b/>
        </w:rPr>
        <w:t>POSSIBLE 2026:</w:t>
      </w:r>
      <w:r>
        <w:t xml:space="preserve"> Barriers and facilitators to healthcare access among Sub-Saharan African migrants in Europe: A scoping review — https://doi.org/10.1371/journal.pone.0351011</w:t>
      </w:r>
    </w:p>
    <w:p>
      <w:pPr/>
      <w:r>
        <w:rPr>
          <w:b/>
        </w:rPr>
        <w:t>Shared claim-specific concepts:</w:t>
      </w:r>
      <w:r>
        <w:t xml:space="preserve"> findings, among, three, population; EU scope visible. This is a provisional connection, not an outcome finding.</w:t>
      </w:r>
    </w:p>
    <w:p>
      <w:pPr>
        <w:pStyle w:val="SourceNote"/>
      </w:pPr>
      <w:r>
        <w:rPr>
          <w:b/>
        </w:rPr>
        <w:t>Available abstract (not full text):</w:t>
      </w:r>
      <w:r>
        <w:t xml:space="preserve"> BACKGROUND: Sub-Saharan African (SSA) migrants represent a significant and growing proportion of Europe's diverse migrant population; yet face substantial barriers in accessing healthcare services. Understanding these barriers is essential for developing equitable healthcare policies and anticipating long-term care needs as these populations age. METHODS: This scoping review systematically mapped and synthesised existing evidence on healthcare access, utilization, barriers, and facilitators among SSA migrants across European settings. The primary review question was: What are the barriers and facilitators to healthcare access and utilization among Sub-Saharan African migrants in Europe? Following Arksey and O'Malley framework and PRISMA-ScR guidelines, we systematically searched Europe PMC, Scopus, Web of Science, PubMed, and Google Scholar. Fourteen studies met inclusion criteria. Data were synthesised using thematic analysis to identify descriptive and analytical themes. RESULTS: Three overarching analytical themes emerged: (1) structural determinants as persistent barriers to care, including health insurance gaps, legal precarity, and administrative complexity; (2) intersectional vulnerabilities shaping healthcare experiences, particularly among undocumented migrants, women, and those living with HIV; and (3) cultural mediation and system misalignment, characterized by langu</w:t>
      </w:r>
    </w:p>
    <w:p>
      <w:pPr/>
      <w:r>
        <w:rPr>
          <w:b/>
        </w:rPr>
        <w:t>POSSIBLE 2025:</w:t>
      </w:r>
      <w:r>
        <w:t xml:space="preserve"> P-529 Fertility knowledge among european adolescents: findings from the “FActs!” serious educational game — https://doi.org/10.1093/humrep/deaf097.835</w:t>
      </w:r>
    </w:p>
    <w:p>
      <w:pPr/>
      <w:r>
        <w:rPr>
          <w:b/>
        </w:rPr>
        <w:t>Shared claim-specific concepts:</w:t>
      </w:r>
      <w:r>
        <w:t xml:space="preserve"> findings, among, three, countries, between, bulgaria; EU scope visible. This is a provisional connection, not an outcome finding.</w:t>
      </w:r>
    </w:p>
    <w:p>
      <w:pPr>
        <w:pStyle w:val="SourceNote"/>
      </w:pPr>
      <w:r>
        <w:rPr>
          <w:b/>
        </w:rPr>
        <w:t>Available abstract (not full text):</w:t>
      </w:r>
      <w:r>
        <w:t xml:space="preserve"> Abstract Study question What is the level of fertility awareness among European adolescents? Summary answer European adolescents show limited fertility knowledge with variations by country, gender, and age. FActs! demonstrated effectiveness in identifying gaps, highlighting the need for timely education. What is known already With rising infertility rates, delayed parenthood trends, and evolving societal norms, fertility education has become a critical component of informed reproductive decisions. Adolescence represents an optimal period for learning, as it can foster realistic reproductive expectations, encourage timely childbearing when desired, and promote early care-seeking for infertility. However, studies suggest that adolescents have limited knowledge, particularly regarding risk factors like age and lifestyle, which may lead to suboptimal reproductive decisions. To address this gap, we assessed the fertility knowledge of 15- to 18-year-old European adolescents using the online serious educational game FActs!-a digital intervention designed to enhance fertility awareness. Study design, size, duration This cross-sectional study was conducted between July 2023 and November 2024 in secondary schools across Bulgaria, Norway, Poland, and Portugal. Participants were introduced to FActs! by representatives of national fertility patient associations affiliated with Fertility Eur</w:t>
      </w:r>
    </w:p>
    <w:p>
      <w:pPr/>
      <w:r>
        <w:rPr>
          <w:b/>
        </w:rPr>
        <w:t>POSSIBLE 2025:</w:t>
      </w:r>
      <w:r>
        <w:t xml:space="preserve"> Migration to Italy and Integration into the European Space from the Point of View of Romanians — https://doi.org/10.3390/genealogy9040109</w:t>
      </w:r>
    </w:p>
    <w:p>
      <w:pPr/>
      <w:r>
        <w:rPr>
          <w:b/>
        </w:rPr>
        <w:t>Shared claim-specific concepts:</w:t>
      </w:r>
      <w:r>
        <w:t xml:space="preserve"> findings, migration, italy; EU scope visible. This is a provisional connection, not an outcome finding.</w:t>
      </w:r>
    </w:p>
    <w:p>
      <w:pPr>
        <w:pStyle w:val="SourceNote"/>
      </w:pPr>
      <w:r>
        <w:rPr>
          <w:b/>
        </w:rPr>
        <w:t>Available abstract (not full text):</w:t>
      </w:r>
      <w:r>
        <w:t xml:space="preserve"> This study investigates the determinants of Romanian workers’ migration intentions towards Italy, integrating economic, social, and psychological perspectives. Based on a sample of 358 respondents, four hypotheses were tested concerning perceived living standards, working conditions, quality of public services, and anticipated integration difficulties. Data were analysed using descriptive statistics, Spearman’s rho correlation, Mann–Whitney U, Chi-square, ANOVA, and ordinal logistic regression. The results confirm that higher perceived living standards and better working conditions in Italy significantly increase the likelihood of expressing migration intentions, while favourable evaluations of healthcare and education act as additional pull factors. Conversely, anticipated integration difficulties, particularly language barriers and cultural adaptation, reduce migration intentions, indicating that socio-psychological obstacles can counterbalance economic incentives. By combining non-parametric and multivariate analyses, the study demonstrates that migration is a multidimensional process shaped not only by structural opportunities but also by behavioural and psychological appraisals. These findings are consistent with recent research on European labour mobility and contribute to the literature by highlighting the role of subjective perceptions in shaping migration decisions. Im</w:t>
      </w:r>
    </w:p>
    <w:p>
      <w:pPr/>
      <w:r>
        <w:rPr>
          <w:b/>
        </w:rPr>
        <w:t>POSSIBLE 2025:</w:t>
      </w:r>
      <w:r>
        <w:t xml:space="preserve"> Mobilising on Migration? Linkages of Migration and European Integration in Four Irish EU Referendums — https://doi.org/10.1002/cep4.70012</w:t>
      </w:r>
    </w:p>
    <w:p>
      <w:pPr/>
      <w:r>
        <w:rPr>
          <w:b/>
        </w:rPr>
        <w:t>Shared claim-specific concepts:</w:t>
      </w:r>
      <w:r>
        <w:t xml:space="preserve"> migration, between, ireland; EU scope visible. This is a provisional connection, not an outcome finding.</w:t>
      </w:r>
    </w:p>
    <w:p>
      <w:pPr>
        <w:pStyle w:val="SourceNote"/>
      </w:pPr>
      <w:r>
        <w:rPr>
          <w:b/>
        </w:rPr>
        <w:t>Available abstract (not full text):</w:t>
      </w:r>
      <w:r>
        <w:t xml:space="preserve"> ABSTRACT In a Europe where contestation over migration and European integration has become increasingly connected, Ireland seems to be an outlier. Whereas European integration has been a politicised issue in Ireland, not least in the context of four consecutive referendums on EU treaties in the early 2000s, politicisation of immigration has traditionally been low in Ireland. But while previous studies suggest that this has also been the case during EU referendums, the debates on the Treaty of Nice seem to be an exception. Ireland's status as an outlier in Western Europe and the variation across referendums makes the Irish referendums an ideal case for exploring the relationship between politicisation of migration and European integration. This article examines and explains to what extent and how migration has been discursively linked to European integration in the four Irish EU referendums in the period 2001–2009. Based on a quantitative and qualitative analysis of political claims in Irish newspapers, I argue that pre‐existing national discourses on migration and European integration, which have been predominantly positive in Ireland, have generally hindered the mobilisation of anti‐immigration sentiments against the EU. The Nice II referendum is an exception, highlighting how not even Ireland is immune to such politicisation. My analysis shows how domestic radical right actor</w:t>
      </w:r>
    </w:p>
    <w:p>
      <w:pPr/>
      <w:r>
        <w:rPr>
          <w:b/>
        </w:rPr>
        <w:t>POSSIBLE 2025:</w:t>
      </w:r>
      <w:r>
        <w:t xml:space="preserve"> Substance use among displaced populations in Europe : structural prevention as a policy imperative — https://openalex.org/W7127551372</w:t>
      </w:r>
    </w:p>
    <w:p>
      <w:pPr/>
      <w:r>
        <w:rPr>
          <w:b/>
        </w:rPr>
        <w:t>Shared claim-specific concepts:</w:t>
      </w:r>
      <w:r>
        <w:t xml:space="preserve"> findings, among, three, countries; EU scope visible. This is a provisional connection, not an outcome finding.</w:t>
      </w:r>
    </w:p>
    <w:p>
      <w:pPr>
        <w:pStyle w:val="SourceNote"/>
      </w:pPr>
      <w:r>
        <w:rPr>
          <w:b/>
        </w:rPr>
        <w:t>Available abstract (not full text):</w:t>
      </w:r>
      <w:r>
        <w:t xml:space="preserve"> Background: Displaced populations in Europe, including applicants for international protection and undocumented individuals, face elevated risks of mental health and substance use related problems due to pre- and post-migration stressors such as war trauma, hazardous journeys, and fragmented reception conditions. While WHO and academics advocate prioritizing mental health in European reception settings, most evidence-based interventions originate from low- and middle-income countries and to not evaluate substance use outcomes, leaving EU-specific strategies underdeveloped. Methods: This mixed-methods study examines gaps in substance use support across reception settings in the EU and across the intervention spectrum. Data derive from: (1) a 2023 questionnaire profiling training and intervention needs among reception workers (n=98) and (2) a 2025 scoping review (Web of Science, targeted surveys) mapping substance use related interventions in European reception contexts. Results: 72% of reception workers did not receive any formal training related to substance use, with over 80% prioritising the need for training on prevention, intoxication assessment, and incident management. Meanwhile, the top priority highlighted by participants was the accessibility of treatment services. The review in turn identified sparse, ad hoc, predominantly unevaluated interventions in EU settings. Som</w:t>
      </w:r>
    </w:p>
    <w:p>
      <w:pPr/>
      <w:r>
        <w:rPr>
          <w:b/>
        </w:rPr>
        <w:t>POSSIBLE 2025:</w:t>
      </w:r>
      <w:r>
        <w:t xml:space="preserve"> Comparative diversity of aquatic plants in three Central European regions — https://doi.org/10.3389/fpls.2025.1536731</w:t>
      </w:r>
    </w:p>
    <w:p>
      <w:pPr/>
      <w:r>
        <w:rPr>
          <w:b/>
        </w:rPr>
        <w:t>Shared claim-specific concepts:</w:t>
      </w:r>
      <w:r>
        <w:t xml:space="preserve"> findings, among, three, slovenia; EU scope visible. This is a provisional connection, not an outcome finding.</w:t>
      </w:r>
    </w:p>
    <w:p>
      <w:pPr>
        <w:pStyle w:val="SourceNote"/>
      </w:pPr>
      <w:r>
        <w:rPr>
          <w:b/>
        </w:rPr>
        <w:t>Available abstract (not full text):</w:t>
      </w:r>
      <w:r>
        <w:t xml:space="preserve"> Freshwaters are among the most threatened ecosystems globally, with biodiversity declining at far greater rates than the biodiversity of the most affected terrestrial ecosystems. There is an urgent need for accurate information on spatial patterns of freshwater biodiversity, a first step in effective conservation planning and management of these ecosystems. We explored patterns of aquatic macrophyte diversity in four waterbody types, rivers, streams, ponds and ditches, across three Central European regions. By analyzing local (α), among-site (β) and regional (γ) diversity, we assessed the roles of these ecosystems as biodiversity hotspots, particularly for red-listed species. Sampling 220 sites across Slovakia and Slovenia, we recorded 113 macrophyte taxa (31% of which were red-listed), with ponds and ditches consistently supporting higher α and γ diversity than running waters. β diversity was primarily driven by species turnover, with ponds displaying high heterogeneity linked to environmental variability. Our findings highlight the conservation value of artificial habitats like ditches and ponds, harbouring significant macrophyte diversity, including unique and threatened species. These results underscore the need to prioritize small waterbodies in biodiversity conservation strategies within agricultural landscapes.</w:t>
      </w:r>
    </w:p>
    <w:p>
      <w:pPr/>
      <w:r>
        <w:rPr>
          <w:b/>
        </w:rPr>
        <w:t>POSSIBLE 2024:</w:t>
      </w:r>
      <w:r>
        <w:t xml:space="preserve"> The Geography of Information Diffusion in Online Discourse on Europe and Migration — https://doi.org/10.1609/icwsm.v18i1.31361</w:t>
      </w:r>
    </w:p>
    <w:p>
      <w:pPr/>
      <w:r>
        <w:rPr>
          <w:b/>
        </w:rPr>
        <w:t>Shared claim-specific concepts:</w:t>
      </w:r>
      <w:r>
        <w:t xml:space="preserve"> migration, majority, between; EU scope visible. This is a provisional connection, not an outcome finding.</w:t>
      </w:r>
    </w:p>
    <w:p>
      <w:pPr>
        <w:pStyle w:val="SourceNote"/>
      </w:pPr>
      <w:r>
        <w:rPr>
          <w:b/>
        </w:rPr>
        <w:t>Available abstract (not full text):</w:t>
      </w:r>
      <w:r>
        <w:t xml:space="preserve"> The online diffusion of information related to Europe and migration has been little investigated from an external point of view. However, this is a very relevant topic, especially if users have had no direct contact with Europe and its perception depends solely on information retrieved online. In this work we analyse the information circulating online about Europe and migration after retrieving a large amount of data from social media (Twitter), to gain new insights into topics, magnitude, and dynamics of their diffusion. We combine retweets and hashtags network analysis with geolocation of users, linking thus data to geography and allowing analysis from an “outside Europe” perspective, with a special focus on Africa. We also introduce a novel approach based on cross-lingual quotes, i.e. when content in a language is commented and retweeted in another language, assuming these interactions are a proxy for connections between very distant communities. Results show how the majority of online discussions occurs at a national level, especially when discussing migration. Language (English) is pivotal for information to become transnational and reach far. Transnational information flow is strongly unbalanced, with content mainly produced in Europe and amplified outside. Conversely Europe-based accounts tend to be self-referential when they discuss migration-related topics. Football is</w:t>
      </w:r>
    </w:p>
    <w:p>
      <w:pPr/>
      <w:r>
        <w:rPr>
          <w:b/>
        </w:rPr>
        <w:t>POSSIBLE 2023:</w:t>
      </w:r>
      <w:r>
        <w:t xml:space="preserve"> Lifetime impact of achondroplasia study in Europe (LIAISE): findings from a multinational observational study — https://doi.org/10.1186/s13023-023-02652-2</w:t>
      </w:r>
    </w:p>
    <w:p>
      <w:pPr/>
      <w:r>
        <w:rPr>
          <w:b/>
        </w:rPr>
        <w:t>Shared claim-specific concepts:</w:t>
      </w:r>
      <w:r>
        <w:t xml:space="preserve"> findings, among, countries, population, between; EU scope visible. This is a provisional connection, not an outcome finding.</w:t>
      </w:r>
    </w:p>
    <w:p>
      <w:pPr>
        <w:pStyle w:val="SourceNote"/>
      </w:pPr>
      <w:r>
        <w:rPr>
          <w:b/>
        </w:rPr>
        <w:t>Available abstract (not full text):</w:t>
      </w:r>
      <w:r>
        <w:t xml:space="preserve"> BACKGROUND: Achondroplasia, caused by a pathogenic variant in the fibroblast growth factor receptor 3 gene, is the most common skeletal dysplasia. The Lifetime Impact of Achondroplasia Study in Europe (LIAISE; NCT03449368) aimed to quantify the burden of achondroplasia among individuals across a broad range of ages, including adults. METHODS: Demographic, clinical and healthcare resource use data were collected from medical records of achondroplasia patients enrolled in 13 sites across six European countries in this retrospective, observational study. Descriptive statistics or event rates per 100 person-years were calculated and compared across age groups as well as by history of limb lengthening. Patient-reported outcomes (quality of life [QoL], pain, functional independence, work productivity and activity impairments) were evaluated using questionnaires at the time of enrolment. An exploratory analysis investigated correlations between height (z-score or centimetres) and patient-reported outcomes. RESULTS: Overall, 186 study patients were included, with a mean age of 21.7 ± 17.3 years (range 5.0-84.4). At least one complication or surgery was reported for 94.6% and 72.0% of patients, respectively, at a rate of 66.6 and 21.5 events per 100 person-years. Diverse medical and surgical complications were reported for all ages in a bimodal distribution, occurring more frequently in</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findings, countries, between;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pStyle w:val="Heading2"/>
      </w:pPr>
      <w:r>
        <w:t>734. Will we reach the Sustainable Development Goals target for tuberculosis in the European Union/European Economic Area by 2030?</w:t>
      </w:r>
    </w:p>
    <w:p>
      <w:pPr>
        <w:pStyle w:val="SourceNote"/>
      </w:pPr>
      <w:r>
        <w:rPr>
          <w:b/>
        </w:rPr>
        <w:t>Original source (2019):</w:t>
      </w:r>
      <w:r>
        <w:t xml:space="preserve"> https://doi.org/10.2807/1560-7917.es.2019.24.12.1900153</w:t>
      </w:r>
    </w:p>
    <w:p>
      <w:pPr/>
      <w:r>
        <w:t>Original wording (abstract; indexed_source_text_not_full_document_verified): With the current average decline in notification rate and number of TB deaths however, the EU/EEA will not reach the targets by 2030.</w:t>
      </w:r>
    </w:p>
    <w:p>
      <w:pPr/>
      <w:r>
        <w:rPr>
          <w:b/>
        </w:rPr>
        <w:t>POSSIBLE 2026:</w:t>
      </w:r>
      <w:r>
        <w:t xml:space="preserve"> Predicted decline in common bird and butterfly species even under conservation policy scenarios in Europe — https://doi.org/10.1038/s41559-026-03139-6</w:t>
      </w:r>
    </w:p>
    <w:p>
      <w:pPr/>
      <w:r>
        <w:rPr>
          <w:b/>
        </w:rPr>
        <w:t>Shared claim-specific concepts:</w:t>
      </w:r>
      <w:r>
        <w:t xml:space="preserve"> current, average, decline, however, not, targets; EU scope visible. This is a provisional connection, not an outcome finding.</w:t>
      </w:r>
    </w:p>
    <w:p>
      <w:pPr>
        <w:pStyle w:val="SourceNote"/>
      </w:pPr>
      <w:r>
        <w:rPr>
          <w:b/>
        </w:rPr>
        <w:t>Available abstract (not full text):</w:t>
      </w:r>
      <w:r>
        <w:t xml:space="preserve"> In response to increasing human pressures on biodiversity, conservation targets have been set to reduce these pressures and halt biodiversity decline. However, consequences of these objectives on common species are rarely studied. We analyse the effect of a range of drivers related to climate, land use and land-use intensity on 265 common bird and 144 common butterfly species from more than 20,000 sites between 2000 and 2021 across 27 European countries. We use land use and land-use intensity scenarios produced previously using the Intergovernmental Science-Policy Platform on Biodiversity and Ecosystem Services (IPBES) Nature Futures Framework and climate change scenarios to project biodiversity drivers in Europe up to 2050. We translate these driver changes into abundance variations for common bird and butterfly species and for multi-species indicators used to monitor common biodiversity status in Europe. The projected trends relatively improve, while still declining for birds, notably farmland species, under the scenarios meeting conservation objectives, with few effects on butterflies. No scenario shows a stop or a reversal in the average decline in abundance of bird and butterfly species. Our results therefore question the common biodiversity future under current conservation policies and highlight the need for other anticipatory frameworks not implicitly based on a growing</w:t>
      </w:r>
    </w:p>
    <w:p>
      <w:pPr/>
      <w:r>
        <w:rPr>
          <w:b/>
        </w:rPr>
        <w:t>POSSIBLE 2025:</w:t>
      </w:r>
      <w:r>
        <w:t xml:space="preserve"> Growth decline in European beech associated with temperature-driven increase in reproductive allocation — https://doi.org/10.1073/pnas.2423181122</w:t>
      </w:r>
    </w:p>
    <w:p>
      <w:pPr/>
      <w:r>
        <w:rPr>
          <w:b/>
        </w:rPr>
        <w:t>Shared claim-specific concepts:</w:t>
      </w:r>
      <w:r>
        <w:t xml:space="preserve"> current, average, decline, not; EU scope visible. This is a provisional connection, not an outcome finding.</w:t>
      </w:r>
    </w:p>
    <w:p>
      <w:pPr>
        <w:pStyle w:val="SourceNote"/>
      </w:pPr>
      <w:r>
        <w:rPr>
          <w:b/>
        </w:rPr>
        <w:t>Available abstract (not full text):</w:t>
      </w:r>
      <w:r>
        <w:t xml:space="preserve"> Climate change is impacting forests in complex ways, with indirect effects arising from interactions between tree growth and reproduction often overlooked. Our 43-year study of European beech (Fagus sylvatica), showed that rising summer temperatures since 2005 have led to more frequent seed production events. This shift increases reproductive effort but depletes the trees' stored resources due to insufficient recovery periods between seed crops. Consequently, annual tree ring increments have declined by 28%, dropping from a stable average of 1.60 mm y⁻¹ between 1980 and 2005 to 1.16 mm y⁻¹ thereafter. Importantly, this growth decline occurred without an accompanying trend in summer drought, indicating that altered reproductive patterns—not moisture stress—are driving the reduction. This creates a "perfect storm": increased reproductive effort drains resources, viable seed output falls due to the loss of mast-seeding benefits via pollination and lower seed predation, and the ongoing growth decline reduces current carbon uptake and future reproductive potential. These compounding factors threaten the sustainability of Europe's most widespread forest tree. Our findings unveil a critical yet underrecognized indirect mechanism by which climate change endangers forest ecosystems, emphasizing the need to consider interactions between demographic processes when assessing species vulner</w:t>
      </w:r>
    </w:p>
    <w:p>
      <w:pPr/>
      <w:r>
        <w:rPr>
          <w:b/>
        </w:rPr>
        <w:t>POSSIBLE 2025:</w:t>
      </w:r>
      <w:r>
        <w:t xml:space="preserve"> European Breeding Bird Declines Associated With Narrower Climatic Niches — https://doi.org/10.1111/jbi.15127</w:t>
      </w:r>
    </w:p>
    <w:p>
      <w:pPr/>
      <w:r>
        <w:rPr>
          <w:b/>
        </w:rPr>
        <w:t>Shared claim-specific concepts:</w:t>
      </w:r>
      <w:r>
        <w:t xml:space="preserve"> average, however, not; EU scope visible. This is a provisional connection, not an outcome finding.</w:t>
      </w:r>
    </w:p>
    <w:p>
      <w:pPr>
        <w:pStyle w:val="SourceNote"/>
      </w:pPr>
      <w:r>
        <w:rPr>
          <w:b/>
        </w:rPr>
        <w:t>Available abstract (not full text):</w:t>
      </w:r>
      <w:r>
        <w:t xml:space="preserve"> ABSTRACT Aim Anthropogenic climate change has increasingly been identified as a major threat to global biodiversity. However, the extent of this threat is likely to be uneven across species, due to differences in life histories or exposure to environmental change. The range of climatic conditions a species experiences across its range extent, known as the realised climatic niche, may be an indicator of species resilience to climate change. Species with large range extents, occurring across diverse climatic conditions, are expected to be less affected by climate change due to lower physiological constraints and tolerance to a wider range of climates. However, this may not be the case if local populations are adapted to specific environmental conditions. In this study, we investigate whether the extent of the species' realised climatic niche, also known as the climatic niche breadth, is linked to their long‐term population trends. Location Europe. Taxon Birds. Methods We extract climate data across the breeding‐only and resident ranges of 159 European bird species and use an ordination method to produce a representation of the species climatic niches. We then relate the niche breadth of each species to their range area and incorporate this relationship, along with the species' diet, main habitat type, migratory status and average body mass, to investigate their relationship with </w:t>
      </w:r>
    </w:p>
    <w:p>
      <w:pPr/>
      <w:r>
        <w:rPr>
          <w:b/>
        </w:rPr>
        <w:t>POSSIBLE 2024:</w:t>
      </w:r>
      <w:r>
        <w:t xml:space="preserve"> Dissecting the Decline in Average Hours Worked in Europe — https://doi.org/10.5089/9798400261183.001</w:t>
      </w:r>
    </w:p>
    <w:p>
      <w:pPr/>
      <w:r>
        <w:rPr>
          <w:b/>
        </w:rPr>
        <w:t>Shared claim-specific concepts:</w:t>
      </w:r>
      <w:r>
        <w:t xml:space="preserve"> average, decline, not; EU scope visible. This is a provisional connection, not an outcome finding.</w:t>
      </w:r>
    </w:p>
    <w:p>
      <w:pPr>
        <w:pStyle w:val="SourceNote"/>
      </w:pPr>
      <w:r>
        <w:rPr>
          <w:b/>
        </w:rPr>
        <w:t>Available abstract (not full text):</w:t>
      </w:r>
      <w:r>
        <w:t xml:space="preserve"> Three years after the COVID-19 crisis, employment and total hours worked in Europe fully recovered, but average hours per worker did not. We analyze the decline in average hours worked across European countries and find that (i) it is not cyclical but predominantly structural, extending a long-term trend that predates COVID-19, (ii) it mainly reflects reduced hours within worker groups, not a compositional shift towards lower-hours jobs and workers, (iii) men—particularly those with young children—and youth drive this drop, (iv) declines in actual hours match declines in desired hours. Policy reforms could help involuntary parttimers and women with young children raise their actual hours towards desired levels, but the aggregate impact on average hours would be limited to 0.5 to 1.5 percent. Overall, there is scant evidence of slack at the intensive margin in European labor markets, and the trend fall in average hours worked seems unlikely to reverse.</w:t>
      </w:r>
    </w:p>
    <w:p>
      <w:pPr/>
      <w:r>
        <w:rPr>
          <w:b/>
        </w:rPr>
        <w:t>POSSIBLE 2024:</w:t>
      </w:r>
      <w:r>
        <w:t xml:space="preserve"> Growth decline in European beech associated with temperature-driven increase in reproductive allocation — https://openalex.org/W7112765388</w:t>
      </w:r>
    </w:p>
    <w:p>
      <w:pPr/>
      <w:r>
        <w:rPr>
          <w:b/>
        </w:rPr>
        <w:t>Shared claim-specific concepts:</w:t>
      </w:r>
      <w:r>
        <w:t xml:space="preserve"> current, average, decline, not; EU scope visible. This is a provisional connection, not an outcome finding.</w:t>
      </w:r>
    </w:p>
    <w:p>
      <w:pPr>
        <w:pStyle w:val="SourceNote"/>
      </w:pPr>
      <w:r>
        <w:rPr>
          <w:b/>
        </w:rPr>
        <w:t>Available abstract (not full text):</w:t>
      </w:r>
      <w:r>
        <w:t xml:space="preserve"> Climate change is impacting forests in complex ways, with indirect effects arising from interactions between tree growth and reproduction often overlooked. Our 43-year study of European beech (Fagus sylvatica), showed that rising summer temperatures since 2005 have led to more frequent seed production events. This shift increases reproductive effort but depletes the trees’ stored resources due to insufficient recovery periods between seed crops. Consequently, annual tree ring increments have declined by 28%, dropping from a stable average of 1.60 mm y-1 between 1980 and 2005 to 1.16 mm y-1 thereafter. Importantly, this growth decline occurred without an accompanying trend in summer drought, indicating that altered reproductive patterns—not moisture stress—are driving the reduction. This creates a "perfect storm": increased reproductive effort drains resources, viable seed output falls due to the loss of mast-seeding benefits via pollination and lower seed predation, and the ongoing growth decline reduces current carbon uptake and future reproductive potential. These compounding factors threaten the sustainability of Europe’s most widespread forest tree. Our findings unveil a critical yet under-recognised indirect mechanism by which climate change endangers forest ecosystems, emphasizing the need to consider interactions between demographic processes when assessing species vulne</w:t>
      </w:r>
    </w:p>
    <w:p>
      <w:pPr/>
      <w:r>
        <w:rPr>
          <w:b/>
        </w:rPr>
        <w:t>POSSIBLE 2024:</w:t>
      </w:r>
      <w:r>
        <w:t xml:space="preserve"> Assessing Current Coastal Subsidence at Continental Scale: Insights From Europe Using the European Ground Motion Service — https://doi.org/10.1029/2024ef004523</w:t>
      </w:r>
    </w:p>
    <w:p>
      <w:pPr/>
      <w:r>
        <w:rPr>
          <w:b/>
        </w:rPr>
        <w:t>Shared claim-specific concepts:</w:t>
      </w:r>
      <w:r>
        <w:t xml:space="preserve"> current, average, rate; EU scope visible. This is a provisional connection, not an outcome finding.</w:t>
      </w:r>
    </w:p>
    <w:p>
      <w:pPr>
        <w:pStyle w:val="SourceNote"/>
      </w:pPr>
      <w:r>
        <w:rPr>
          <w:b/>
        </w:rPr>
        <w:t>Available abstract (not full text):</w:t>
      </w:r>
      <w:r>
        <w:t xml:space="preserve"> Abstract Beside climate‐change‐induced sea‐level rise (SLR), land subsidence can strongly amplify coastal risk in flood‐prone areas. Mapping and quantifying contemporary vertical land motion (VLM) at continental scales has long been a challenge due to the absence of gridded observational products covering these large domains. Here, we fill this gap by using the new European Ground Motion Service (EGMS) to assess the current state of coastal VLM in Europe. First, we compare the InSAR‐based EGMS Ortho (Level 3) with nearby global navigation satellite systems (GNSS) vertical velocity estimates and show that the geodetic reference frame used to calibrate EGMS strongly influences coastal vertical land velocity estimates at the millimeter per year level and this needs to be considered with caution. After adjusting the EGMS vertical velocity estimates to a more updated and accurate International Terrestrial Reference Frame (ITRF2014), we performed an assessment of VLM in European low elevation coastal flood plains (CFPs). We find that nearly half of the European CFP area is, on average, subsiding at a rate faster than 1 mm/yr. More importantly, we find that urban areas and populations located in the CFP experience a near −1 mm/yr VLM on average (excluding the uplifting Fennoscandia region). For harbors, the average VLM is even larger and increases to −1.5 mm/yr on average. This demons</w:t>
      </w:r>
    </w:p>
    <w:p>
      <w:pPr/>
      <w:r>
        <w:rPr>
          <w:b/>
        </w:rPr>
        <w:t>POSSIBLE 2023:</w:t>
      </w:r>
      <w:r>
        <w:t xml:space="preserve"> Farmland practices are driving bird population decline across Europe — https://doi.org/10.1073/pnas.2216573120</w:t>
      </w:r>
    </w:p>
    <w:p>
      <w:pPr/>
      <w:r>
        <w:rPr>
          <w:b/>
        </w:rPr>
        <w:t>Shared claim-specific concepts:</w:t>
      </w:r>
      <w:r>
        <w:t xml:space="preserve"> decline, number, not; EU scope visible. This is a provisional connection, not an outcome finding.</w:t>
      </w:r>
    </w:p>
    <w:p>
      <w:pPr>
        <w:pStyle w:val="SourceNote"/>
      </w:pPr>
      <w:r>
        <w:rPr>
          <w:b/>
        </w:rPr>
        <w:t>Available abstract (not full text):</w:t>
      </w:r>
      <w:r>
        <w:t xml:space="preserve"> 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w:t>
      </w:r>
    </w:p>
    <w:p>
      <w:pPr/>
      <w:r>
        <w:rPr>
          <w:b/>
        </w:rPr>
        <w:t>POSSIBLE 2023:</w:t>
      </w:r>
      <w:r>
        <w:t xml:space="preserve"> Range Contraction and Population Decline of the European Dupont’s Lark Population — https://doi.org/10.3390/d15080928</w:t>
      </w:r>
    </w:p>
    <w:p>
      <w:pPr/>
      <w:r>
        <w:rPr>
          <w:b/>
        </w:rPr>
        <w:t>Shared claim-specific concepts:</w:t>
      </w:r>
      <w:r>
        <w:t xml:space="preserve"> current, decline, reach; EU scope visible. This is a provisional connection, not an outcome finding.</w:t>
      </w:r>
    </w:p>
    <w:p>
      <w:pPr>
        <w:pStyle w:val="SourceNote"/>
      </w:pPr>
      <w:r>
        <w:rPr>
          <w:b/>
        </w:rPr>
        <w:t>Available abstract (not full text):</w:t>
      </w:r>
      <w:r>
        <w:t xml:space="preserve"> The Dupont’s lark (Chersophilus duponti) is an endangered passerine typical of Mediterranean shrub-steppes, whose European distribution is restricted to Spain. Here, we update the population size and distribution range of the species at a European scale and evaluate (i) the current status; (ii) the change in population size and distribution range of the species from 2004 to 2009 to the current period (2017–2022); and (iii) the effectiveness of the current network of special protection areas (SPAs) for protecting the Dupont’s lark. The European Dupont’s lark population showed a decrease of 29.9%, declining from ca. 3267 to 2289 territorial males from 2004 to 2009 to the current period. Moreover, the species has suffered a contraction in its distribution range of 35.9%, with only 39.3% of the species’ territories located within the current network of SPAs. Our findings agree with the previously described decline of the Dupont’s lark in Europe. The population decline was even larger in peripheral regions, which suggests that the species is suffering a centripetal process of contraction and extinction. These results indicate that if there is no change in present-day declining forces, several peripheral populations will reach extinction in a few decades and the overall population size of the species will continue decreasing. Our study should be considered as a last call for action a</w:t>
      </w:r>
    </w:p>
    <w:p>
      <w:pPr/>
      <w:r>
        <w:rPr>
          <w:b/>
        </w:rPr>
        <w:t>POSSIBLE 2023:</w:t>
      </w:r>
      <w:r>
        <w:t xml:space="preserve"> Amphibian decline in a Central European forest and the importance of woody debris for population persistence — https://doi.org/10.1016/j.ecolind.2023.110036</w:t>
      </w:r>
    </w:p>
    <w:p>
      <w:pPr/>
      <w:r>
        <w:rPr>
          <w:b/>
        </w:rPr>
        <w:t>Shared claim-specific concepts:</w:t>
      </w:r>
      <w:r>
        <w:t xml:space="preserve"> current, average, decline; EU scope visible. This is a provisional connection, not an outcome finding.</w:t>
      </w:r>
    </w:p>
    <w:p>
      <w:pPr>
        <w:pStyle w:val="SourceNote"/>
      </w:pPr>
      <w:r>
        <w:rPr>
          <w:b/>
        </w:rPr>
        <w:t>Available abstract (not full text):</w:t>
      </w:r>
      <w:r>
        <w:t xml:space="preserve"> Achieving an understanding of species’ temporal and spatial abundance patterns is a prerequisite for proper conservation and management decisions. Little is known of the ecological indicators of census size or biomass of terrestrial amphibian communities and historical estimates of population size are rare. Here we took advantage of abundance and biomass data collected in 1967/1968 for a leaf-litter amphibian community in Niepołomice Forest (NF) in south-central Poland. Using the same technique (removal sampling), we censused the amphibian community of this forest 50 years later (2016/2017), spatially matching a subset of current plots with the historical sampling sites. Averaged over all plots, we revealed at least a fourfold decline in amphibian abundance from 2817 ± 776 individuals/ha in 1967 to 674 ± 508 individuals/ha currently, paralleled by a decline in biomass from roughly 15.5 ± 1.7 to 3.8 ± 3.1 kg/ha. The decline was more striking (over 15-fold) for current plots placed in the same forest division as the historical plots (mean counts of 157 ± 103 individuals/ha corresponding in biomass to 1.0 ± 0.5 kg/ha). We also recorded a change in species composition between surveys, and propose that conversion of aquatic habitat and forest succession have decreased amphibian diversity and abundance in NF. Further, we estimated densities of anuran amphibians in forest plots differ</w:t>
      </w:r>
    </w:p>
    <w:p>
      <w:pPr/>
      <w:r>
        <w:rPr>
          <w:b/>
        </w:rPr>
        <w:t>POSSIBLE 2022:</w:t>
      </w:r>
      <w:r>
        <w:t xml:space="preserve"> The Current State of Neobanking in the USA and European Countries — https://doi.org/10.32983/2222-4459-2022-7-17-24</w:t>
      </w:r>
    </w:p>
    <w:p>
      <w:pPr/>
      <w:r>
        <w:rPr>
          <w:b/>
        </w:rPr>
        <w:t>Shared claim-specific concepts:</w:t>
      </w:r>
      <w:r>
        <w:t xml:space="preserve"> current, average, number, not, reach; EU scope visible. This is a provisional connection, not an outcome finding.</w:t>
      </w:r>
    </w:p>
    <w:p>
      <w:pPr>
        <w:pStyle w:val="SourceNote"/>
      </w:pPr>
      <w:r>
        <w:rPr>
          <w:b/>
        </w:rPr>
        <w:t>Available abstract (not full text):</w:t>
      </w:r>
      <w:r>
        <w:t xml:space="preserve"> The purpose of the article is to study the current state and trends of neobanking in the United States and European countries. It is noted that the world highest indicator of the number of customers who have bank accounts exclusively in digital format was recorded in the United States. A further increase in the number of such clients is predicted, firstly, due to the existing potential of the population, and secondly, due to the increase in the number of banks that conduct operations exclusively in digital format. In 2022, the value of neobanking transactions in the United States should reach 1.2 trillion U.S. Dollar, and in 2017 it amounted slightly over 9.0 billion U.S. Dollar. The cost of a transaction per user of neobanking in 2021 was on average about 25 thousand U.S. Dollar per year and showed a tendency to grow. At the beginning of 2022, 60 neobanks were registered in the United States. It is noted that in Europe the first neobanks began to appear in 2015, and financial companies in the UK, Germany, France and Finland were the leaders of a new movement – the fintech industry. Over time, this trend has spread to other European countries, where there are now more than 70 neobanks. The positive dynamics of the number of consumers of neobank services is formed due to a number of advantages, including not only online service. Neobanks have the following advantages compared to</w:t>
      </w:r>
    </w:p>
    <w:p>
      <w:pPr/>
      <w:r>
        <w:rPr>
          <w:b/>
        </w:rPr>
        <w:t>POSSIBLE 2022:</w:t>
      </w:r>
      <w:r>
        <w:t xml:space="preserve"> Impact of the first wave of the COVID-19 pandemic on birth rates in Europe: a time series analysis in 24 countries — https://doi.org/10.1093/humrep/deac215</w:t>
      </w:r>
    </w:p>
    <w:p>
      <w:pPr/>
      <w:r>
        <w:rPr>
          <w:b/>
        </w:rPr>
        <w:t>Shared claim-specific concepts:</w:t>
      </w:r>
      <w:r>
        <w:t xml:space="preserve"> average, decline, rate, number, not; EU scope visible. This is a provisional connection, not an outcome finding.</w:t>
      </w:r>
    </w:p>
    <w:p>
      <w:pPr>
        <w:pStyle w:val="SourceNote"/>
      </w:pPr>
      <w:r>
        <w:rPr>
          <w:b/>
        </w:rPr>
        <w:t>Available abstract (not full text):</w:t>
      </w:r>
      <w:r>
        <w:t xml:space="preserve"> STUDY QUESTION: Did the first wave of the COVID-19 pandemic have an impact on monthly birth rates in Europe? SUMMARY ANSWER: Using datasets on live births per month in Europe, collected from the Human Fertility Database, we found a -14.1% decline in live births in January 2021 (i.e. 9-10 months after the epidemic peaks and first lockdowns), compared to the average number of live births in January 2018 and 2019. WHAT IS KNOWN ALREADY: Previous pandemics in the 20th and 21st centuries have been associated with a decline in birth rates 9 months after their peak, and a rebound in births over time. Lockdowns were necessary to control the first wave of the COVID-19 pandemic and may have had an impact on subsequent birth rates. STUDY DESIGN, SIZE, DURATION: Monthly time series data on live births from January 2018 to March 2021 were extracted to provide a time-series analysis of birthrates during and after the first wave of the COVID-19 pandemic in 24 European countries. PARTICIPANTS/MATERIALS, SETTING, METHODS: We conducted a random-effect generalized least squares regression to assess the seasonality of births from January 2018 to March 2021, and to identify potential differences in monthly live births after the first wave of the COVID-19 pandemic, considering the seasonality of births. To quantify these potential differences, we estimated the variation rate between the monthly live</w:t>
      </w:r>
    </w:p>
    <w:p>
      <w:pPr/>
      <w:r>
        <w:rPr>
          <w:b/>
        </w:rPr>
        <w:t>POSSIBLE 2022:</w:t>
      </w:r>
      <w:r>
        <w:t xml:space="preserve"> Geography, gender and smoking in Europe — https://doi.org/10.1183/13993003.congress-2022.1954</w:t>
      </w:r>
    </w:p>
    <w:p>
      <w:pPr/>
      <w:r>
        <w:rPr>
          <w:b/>
        </w:rPr>
        <w:t>Shared claim-specific concepts:</w:t>
      </w:r>
      <w:r>
        <w:t xml:space="preserve"> current, average, decline, however; EU scope visible. This is a provisional connection, not an outcome finding.</w:t>
      </w:r>
    </w:p>
    <w:p>
      <w:pPr>
        <w:pStyle w:val="SourceNote"/>
      </w:pPr>
      <w:r>
        <w:rPr>
          <w:b/>
        </w:rPr>
        <w:t>Available abstract (not full text):</w:t>
      </w:r>
      <w:r>
        <w:t xml:space="preserve"> Over the last 25 years, teenage smoking has been decreasing across Europe, particularly in wealthier countries and those with strong tobacco control legislation and regulation. We examine trends in 30-day smoking among adolescents in Ireland and Europe from 1995-2020. Ireland has participated in 7 data collection waves of ESPAD (European Schools Project for Alcohol and Other Drugs) between 1995 and 2019, during which time more than 500,000 students completed questionnaires on substance use, including cigarette smoking. In 2019, some 100,000 students participated in ESPAD and, in Ireland, 1,967 students, born in 2003, were surveyed from a stratified random sample of 50 Irish schools. We compare prevalence and gender differences in the Irish and European samples at different time points from 1995 to 2019. In Ireland and across Europe, total prevalence of 30-day smoking decreased significantly between 1995 and 2019. Ireland’s decrease (from 41% to 14%) was more dramatic than the European average (32% to 20%). Ireland’s current prevalence is lower than the European average. However, while there was a decline of 5% in the European average between 2015 and 2019, Ireland’s decreasing trend reversed, accounted for by an increase in male smoking from 13% to 14%. Trend analyses of current smoking prevalence between 1995-2019 show that decreases in teenage smoking in Europe during this ti</w:t>
      </w:r>
    </w:p>
    <w:p>
      <w:pPr>
        <w:pStyle w:val="Heading2"/>
      </w:pPr>
      <w:r>
        <w:t>735. A Foresight Study of European East-West Agrifood Trade Options</w:t>
      </w:r>
    </w:p>
    <w:p>
      <w:pPr>
        <w:pStyle w:val="SourceNote"/>
      </w:pPr>
      <w:r>
        <w:rPr>
          <w:b/>
        </w:rPr>
        <w:t>Original source (2018):</w:t>
      </w:r>
      <w:r>
        <w:t xml:space="preserve"> https://doi.org/10.52825/gjae.v67i3.2099</w:t>
      </w:r>
    </w:p>
    <w:p>
      <w:pPr/>
      <w:r>
        <w:t>Original wording (abstract; indexed_source_text_not_full_document_verified): Taking a trade perspective with a focus on agrifood markets, the current foresight study employs a computable general equilibrium simulation model to quantify the implications of different future pathways of European East-West trade relations for the Commonwealth of Independent States (CIS), thereby providing insight on how best to orientate their political and trade strategies. Comparing with a baseline, two optimistic pathways explore greater market access, both within Europe (‘Deep integration’) and globally (‘trade liberalisation’).</w:t>
      </w:r>
    </w:p>
    <w:p>
      <w:pPr/>
      <w:r>
        <w:rPr>
          <w:b/>
        </w:rPr>
        <w:t>POSSIBLE 2026:</w:t>
      </w:r>
      <w:r>
        <w:t xml:space="preserve"> The BRICs and the Global Agrifood System — https://doi.org/10.4324/9781003287100</w:t>
      </w:r>
    </w:p>
    <w:p>
      <w:pPr/>
      <w:r>
        <w:rPr>
          <w:b/>
        </w:rPr>
        <w:t>Shared claim-specific concepts:</w:t>
      </w:r>
      <w:r>
        <w:t xml:space="preserve"> trade, agrifood, relations; EU scope not established. This is a provisional connection, not an outcome finding.</w:t>
      </w:r>
    </w:p>
    <w:p>
      <w:pPr>
        <w:pStyle w:val="SourceNote"/>
      </w:pPr>
      <w:r>
        <w:rPr>
          <w:b/>
        </w:rPr>
        <w:t>Available abstract (not full text):</w:t>
      </w:r>
      <w:r>
        <w:t xml:space="preserve"> The BRICS grouping – Brazil, Russia, India, China, and South Africa – jointly founded the New Development Bank and the Contingent Reserve Arrangement as part of their efforts to constitute a trade, monetary, and geopolitical bloc. Yet the inability to deal collectively with external pressures, intra-group tensions, and ideological divergences has hampered efforts to establish a coherent and articulated strategy. Nevertheless, given their centrality to the production, circulation, and consumption of agricultural commodities and food products; their abundant reserves of labour and natural resources, and the scale of their domestic markets, the development trajectories of the BRICS countries remain crucial to understanding the future not only of the global agrifood system but also of capitalism itself. Engaging with recent debates in comparative capitalism and food regime approaches, this book provides a comparative institutional analysis of the BRICS ‘varieties of capitalism’ and their role in the international reordering of the contemporary ‘food regime’. It is argued that the historically embedded legacy of the agrarian question in the institutional configurations and class relations of each country can help to explain the institutional diversity of capitalism. Conversely, to the extent that the dynamics of the agrifood system have a decisive influence on their overall developm</w:t>
      </w:r>
    </w:p>
    <w:p>
      <w:pPr/>
      <w:r>
        <w:rPr>
          <w:b/>
        </w:rPr>
        <w:t>POSSIBLE 2026:</w:t>
      </w:r>
      <w:r>
        <w:t xml:space="preserve"> Trade Agreements and Trade-Embedded Carbon: An Environmental Provisions Perspective — https://doi.org/10.3390/su18021066</w:t>
      </w:r>
    </w:p>
    <w:p>
      <w:pPr/>
      <w:r>
        <w:rPr>
          <w:b/>
        </w:rPr>
        <w:t>Shared claim-specific concepts:</w:t>
      </w:r>
      <w:r>
        <w:t xml:space="preserve"> trade, perspective, focus, different; EU scope not established. This is a provisional connection, not an outcome finding.</w:t>
      </w:r>
    </w:p>
    <w:p>
      <w:pPr>
        <w:pStyle w:val="SourceNote"/>
      </w:pPr>
      <w:r>
        <w:rPr>
          <w:b/>
        </w:rPr>
        <w:t>Available abstract (not full text):</w:t>
      </w:r>
      <w:r>
        <w:t xml:space="preserve"> Achieving sustainable growth in the global economy and promoting low-carbon development can be achieved by concluding trade agreements that advance trade liberalisation progressively. The study looks at how far environmental rulers go in trade deals between different countries, by examining what these agreements actually say. Combining this analysis with trade-embedded carbon data from 35 sub-sectors across 60 countries from 2009 to 2023, the effect of the depth of environmental rulers in trade deals on trade-embedded carbon is the focus of this empirical study and its underlying mechanisms. Research findings indicate that strengthening environmental clauses significantly reduces carbon emissions embedded in trade. This result remained consistent after undergoing a series of robustness tests and employing instrumental variable methods to address endogeneity issues. Mechanism tests reveal that the carbon reduction effect of environmental clauses can be achieved through two channels: green technology cooperation between countries and increased carbon productivity. Heterogeneity tests indicate that provisions in trade agreements that are more environmentally focused can have a greater effect on reducing embedded carbon in non-technology-intensive areas and pollution-intensive sectors, particularly for developing countries. Provisions relating to the environment in bilateral trade </w:t>
      </w:r>
    </w:p>
    <w:p>
      <w:pPr/>
      <w:r>
        <w:rPr>
          <w:b/>
        </w:rPr>
        <w:t>POSSIBLE 2025:</w:t>
      </w:r>
      <w:r>
        <w:t xml:space="preserve"> The European Union Green Deal and Global Trade: A Constructivist Perspective on Sustainability Norms — https://doi.org/10.22146/jwts.v10i1.18729</w:t>
      </w:r>
    </w:p>
    <w:p>
      <w:pPr/>
      <w:r>
        <w:rPr>
          <w:b/>
        </w:rPr>
        <w:t>Shared claim-specific concepts:</w:t>
      </w:r>
      <w:r>
        <w:t xml:space="preserve"> trade, perspective, focus, pathways; EU scope visible. This is a provisional connection, not an outcome finding.</w:t>
      </w:r>
    </w:p>
    <w:p>
      <w:pPr>
        <w:pStyle w:val="SourceNote"/>
      </w:pPr>
      <w:r>
        <w:rPr>
          <w:b/>
        </w:rPr>
        <w:t>Available abstract (not full text):</w:t>
      </w:r>
      <w:r>
        <w:t xml:space="preserve"> The European Union’s Green Deal (EGD) represents a comprehensive policy initiative targeting climate neutrality by 2050, and its influence is already permeating global trade dynamics. This research examines the EGD as a paradigm-shifting, sustainability-driven policy and explores its ramifications on international trade structures through a constructivist perspective. Two primary research questions guide the analysis: First, how could the EGD influence the global sustainability norms? Second, how do global trade actors respond to the sustainability norms of EGD? To address these questions, the authors use a diverse methodology, combining qualitative analysis, and extensive literature review. The research focus on particular events to mechanisms such as carbon tariffs, the promotion of sustainable trade practices, and the broader set of principles underpinning the EGD. It analyzes the ways in which these elements are either contested or adopted by actors within the global trading system. The findings indicate that, while the EGD poses significant challenges for the European Union, it simultaneously opens pathways for the diffusion of sustainability norms. Increasingly, global trade actors are engaging in processes of socialization, whether to align with or counter the EU’s vision for sustainable trade. In conclusion, this research contributes to the academic discourse on trade a</w:t>
      </w:r>
    </w:p>
    <w:p>
      <w:pPr/>
      <w:r>
        <w:rPr>
          <w:b/>
        </w:rPr>
        <w:t>POSSIBLE 2025:</w:t>
      </w:r>
      <w:r>
        <w:t xml:space="preserve"> Māori Perspectives on Digital Trade — https://doi.org/10.15663/3610366.12jj</w:t>
      </w:r>
    </w:p>
    <w:p>
      <w:pPr/>
      <w:r>
        <w:rPr>
          <w:b/>
        </w:rPr>
        <w:t>Shared claim-specific concepts:</w:t>
      </w:r>
      <w:r>
        <w:t xml:space="preserve"> taking, trade, focus; EU scope not established. This is a provisional connection, not an outcome finding.</w:t>
      </w:r>
    </w:p>
    <w:p>
      <w:pPr>
        <w:pStyle w:val="SourceNote"/>
      </w:pPr>
      <w:r>
        <w:rPr>
          <w:b/>
        </w:rPr>
        <w:t>Available abstract (not full text):</w:t>
      </w:r>
      <w:r>
        <w:t xml:space="preserve"> Māori have engaged in trade for generations, both domestically and internationally (Mika 2014, Spiller et al 2025). As a way to access resources and build or strengthen relationships, trade allowed Māori in the North Island to access pounamu from the South Island and now allows those around the world to experience Whakatōhea mussels, Tai Tokerau mānuka honey and Tohu wines (Tohu Wines 2021, Open Ocean Whakatōhea mussels 2021, Tai Tokerau Honey 2025). With Māori authorities and businesses exporting a combined $1,350 million worth of goods in 20233, Māori international trade is becoming increasingly important to both the national and Māori economies. However, the way we trade, and what we are trading, are rapidly changing. Advances in technology, from improved refrigeration and transportation to the creation of the internet, are expanding flows of trade in goods, services, capital, labour and now data. This new form of trade, in digital assets and on digital channels has “…fundamentally altered the production and consumption of goods and services worldwide over the past two decades (OECD 2023 page 1).” As a growing part of the national economy, Māori are increasingly engaging in digital trade, from utilising online platforms and QR codes for product identification to creating and exporting applications. As Whaanga et al (2015) state, Māori have a long history of “…adopting new te</w:t>
      </w:r>
    </w:p>
    <w:p>
      <w:pPr/>
      <w:r>
        <w:rPr>
          <w:b/>
        </w:rPr>
        <w:t>POSSIBLE 2023:</w:t>
      </w:r>
      <w:r>
        <w:t xml:space="preserve"> Perspectives on trade and structural transformation — https://doi.org/10.1080/13600818.2023.2279665</w:t>
      </w:r>
    </w:p>
    <w:p>
      <w:pPr/>
      <w:r>
        <w:rPr>
          <w:b/>
        </w:rPr>
        <w:t>Shared claim-specific concepts:</w:t>
      </w:r>
      <w:r>
        <w:t xml:space="preserve"> taking, trade, quantify; EU scope not established. This is a provisional connection, not an outcome finding.</w:t>
      </w:r>
    </w:p>
    <w:p>
      <w:pPr>
        <w:pStyle w:val="SourceNote"/>
      </w:pPr>
      <w:r>
        <w:rPr>
          <w:b/>
        </w:rPr>
        <w:t>Available abstract (not full text):</w:t>
      </w:r>
      <w:r>
        <w:t xml:space="preserve"> This paper surveys macroeconomic and microeconomic perspectives on the role of international trade in structural transformation.We start by describing canonical frameworks that have been used to quantify how trade influences sectoral shares of employment and value added.We then pivot to survey micro-empirical evidence on the impact of changes in trade on the allocation of labor across sectors and productivity at the firm level.In this, we put special emphasis on the role of participation in global value chains and inward foreign direct investment in mediating these effects.Next, we evaluate evidence on the barriers to trade faced by lowincome countries, with special attention to recent work that measures these costs taking firm dynamics into account.We conclude by discussing how these micro-perspectives can be integrated into macro models to advance our understanding of structural change.</w:t>
      </w:r>
    </w:p>
    <w:p>
      <w:pPr/>
      <w:r>
        <w:rPr>
          <w:b/>
        </w:rPr>
        <w:t>POSSIBLE 2023:</w:t>
      </w:r>
      <w:r>
        <w:t xml:space="preserve"> Technical Barriers to Trade and China's Agricultural Products Export - Taking Garlic Export as an Example — https://doi.org/10.38007/ijbmet.2023.040105</w:t>
      </w:r>
    </w:p>
    <w:p>
      <w:pPr/>
      <w:r>
        <w:rPr>
          <w:b/>
        </w:rPr>
        <w:t>Shared claim-specific concepts:</w:t>
      </w:r>
      <w:r>
        <w:t xml:space="preserve"> taking, trade, perspective, states; EU scope visible. This is a provisional connection, not an outcome finding.</w:t>
      </w:r>
    </w:p>
    <w:p>
      <w:pPr>
        <w:pStyle w:val="SourceNote"/>
      </w:pPr>
      <w:r>
        <w:rPr>
          <w:b/>
        </w:rPr>
        <w:t>Available abstract (not full text):</w:t>
      </w:r>
      <w:r>
        <w:t xml:space="preserve"> Firstly, this paper analyzes the impact mechanism of TBT on agricultural exports; Secondly, based on the characteristics of technical barriers to trade in the United States, the European Union, Japan and South Korea, this paper analyzes the export situation of China's agricultural products, the number of batches detained and recalled, the types of blocked products, and the reasons for the blocked products.The research finds that the overall situation of China's agricultural products encountering technical barriers to trade has improved, but the situation of encountering green barriers is increasingly serious.Therefore, this paper selects the impact of green trade barriers on garlic export as an example to analyze the reasons for China's garlic export encountering green barriers and propose countermeasures.Finally, from the perspective of actively utilizing the WTO Agreement and the dispute settlement mechanism, taking countermeasures, improving the quality level and innovation ability, and establishing an early warning mechanism, specific suggestions were put forward.</w:t>
      </w:r>
    </w:p>
    <w:p>
      <w:pPr/>
      <w:r>
        <w:rPr>
          <w:b/>
        </w:rPr>
        <w:t>POSSIBLE 2023:</w:t>
      </w:r>
      <w:r>
        <w:t xml:space="preserve"> The role of market concentration in the agrifood industry — https://doi.org/10.2499/p15738coll2.136567</w:t>
      </w:r>
    </w:p>
    <w:p>
      <w:pPr/>
      <w:r>
        <w:rPr>
          <w:b/>
        </w:rPr>
        <w:t>Shared claim-specific concepts:</w:t>
      </w:r>
      <w:r>
        <w:t xml:space="preserve"> agrifood, general, implications; EU scope not established. This is a provisional connection, not an outcome finding.</w:t>
      </w:r>
    </w:p>
    <w:p>
      <w:pPr>
        <w:pStyle w:val="SourceNote"/>
      </w:pPr>
      <w:r>
        <w:rPr>
          <w:b/>
        </w:rPr>
        <w:t>Available abstract (not full text):</w:t>
      </w:r>
      <w:r>
        <w:t xml:space="preserve"> The role of market concentration and potential market power exertion in the agri-food industry is a topic of longstanding interest and concern to policymakers, stakeholders, and researchers. This study provides a comprehensive overview of recent trends in market concentration upstream, midstream, and downstream the agri-food industry at the global, regional, and country level, and assesses how and to what extent concentration could be affecting market conduct and performance of food systems in developed and developing countries. The analysis additionally discusses, to the extent detectable, implications of concentration, including vertical and horizontal integration that favor concentration, for food security and nutrition and environmental sustainability. While market concentration in the agri-food industry has increased across most segments, the evidence on market power exertion is inconclusive. Several knowledge and data gaps are identified and additional research is necessary to derive more general conclusions and policy recommendations.</w:t>
      </w:r>
    </w:p>
    <w:p>
      <w:pPr/>
      <w:r>
        <w:rPr>
          <w:b/>
        </w:rPr>
        <w:t>POSSIBLE 2023:</w:t>
      </w:r>
      <w:r>
        <w:t xml:space="preserve"> A constant market share analysis of the competitiveness of the Czech Republic's agrifood exports (2002-2020) to the European Union — https://doi.org/10.17221/248/2023-agricecon</w:t>
      </w:r>
    </w:p>
    <w:p>
      <w:pPr/>
      <w:r>
        <w:rPr>
          <w:b/>
        </w:rPr>
        <w:t>Shared claim-specific concepts:</w:t>
      </w:r>
      <w:r>
        <w:t xml:space="preserve"> trade, agrifood, current, general, states; EU scope visible. This is a provisional connection, not an outcome finding.</w:t>
      </w:r>
    </w:p>
    <w:p>
      <w:pPr>
        <w:pStyle w:val="SourceNote"/>
      </w:pPr>
      <w:r>
        <w:rPr>
          <w:b/>
        </w:rPr>
        <w:t>Available abstract (not full text):</w:t>
      </w:r>
      <w:r>
        <w:t xml:space="preserve"> We conducted a quantitative ex post analysis of the competitiveness of the Czech Republic’s agrifood exports to other European Union (EU) Member States between 2002 and 2020, using the constant market share (CMS) methodology. The application of this methodology to Czech agrifood exports is novel, as it allows for analysing the export competitiveness variation and its components. Although the findings are consistent with those of previous studies in which the investigators used alternative methodological approaches, we make three contributions to the existing literature. Firstly, the Czech Republic experienced an overall increase in its competitiveness in agrifood exports between 2002 and 2020. Secondly, the high territorial specialisation of Czech agrifood exports to other EU Member States, combined with a general slowdown in the growth of EU markets, has had a significant effect on the growth dynamics of the country’s agricultural exports. Thirdly, there is a problem with the specialisation profile of Czech agrifood exports in terms of commodity and territorial structure. The current composition does not allow the Czech Republic to reach its full potential for agrifood exports. These findings will help industrial, agricultural and trade policymakers to assess the nature of liberalisation and transformation of the Czech Republic’s agricultural sectors, with a view to improving </w:t>
      </w:r>
    </w:p>
    <w:p>
      <w:pPr/>
      <w:r>
        <w:rPr>
          <w:b/>
        </w:rPr>
        <w:t>POSSIBLE 2023:</w:t>
      </w:r>
      <w:r>
        <w:t xml:space="preserve"> From farm to table: Agrifood systems and trade challenges in the Southern Cone — https://doi.org/10.2499/p15738coll2.137016</w:t>
      </w:r>
    </w:p>
    <w:p>
      <w:pPr/>
      <w:r>
        <w:rPr>
          <w:b/>
        </w:rPr>
        <w:t>Shared claim-specific concepts:</w:t>
      </w:r>
      <w:r>
        <w:t xml:space="preserve"> trade, agrifood, current, different; EU scope not established. This is a provisional connection, not an outcome finding.</w:t>
      </w:r>
    </w:p>
    <w:p>
      <w:pPr>
        <w:pStyle w:val="SourceNote"/>
      </w:pPr>
      <w:r>
        <w:rPr>
          <w:b/>
        </w:rPr>
        <w:t>Available abstract (not full text):</w:t>
      </w:r>
      <w:r>
        <w:t xml:space="preserve"> Food production includes a complex and varied set of agricultural and nonagricultural activities, involving a growing number of sectors and actors that influence the way food is produced, processed, distributed, and consumed. Recently, and especially after the 2021 United Nation Food Systems Summit (UNFSS), it has been proposed that this conglomerate of activities and socioeconomic actors be jointly identified as food systems. National food systems, which exist in each country, are interrelated through trade and other factors with regional food systems and finally with the global food system.\nThe concept of food systems has been adopted as a useful tool for understanding the multiple and complex interrelations between different production, distribution, and trade partners and for adjusting policy analysis and design to this complex world. The discussions and documentation prepared during the UNFSS process brought to public attention not only the utility and complexity of this concept but also some of the shortcomings of current food production practices. The summit also highlighted an urgent need to establish processes for identifying such shortcomings, their relative importance, and possible measures that would lead to the transformation of national food systems and the global food system.</w:t>
      </w:r>
    </w:p>
    <w:p>
      <w:pPr/>
      <w:r>
        <w:rPr>
          <w:b/>
        </w:rPr>
        <w:t>POSSIBLE 2023:</w:t>
      </w:r>
      <w:r>
        <w:t xml:space="preserve"> Portuguese Agrifood Sector Resilience: An Analysis Using Structural Breaks Applied to International Trade — https://doi.org/10.3390/agriculture13091699</w:t>
      </w:r>
    </w:p>
    <w:p>
      <w:pPr/>
      <w:r>
        <w:rPr>
          <w:b/>
        </w:rPr>
        <w:t>Shared claim-specific concepts:</w:t>
      </w:r>
      <w:r>
        <w:t xml:space="preserve"> trade, agrifood, different; EU scope visible. This is a provisional connection, not an outcome finding.</w:t>
      </w:r>
    </w:p>
    <w:p>
      <w:pPr>
        <w:pStyle w:val="SourceNote"/>
      </w:pPr>
      <w:r>
        <w:rPr>
          <w:b/>
        </w:rPr>
        <w:t>Available abstract (not full text):</w:t>
      </w:r>
      <w:r>
        <w:t xml:space="preserve"> In the last two decades, Portugal suffered the effects of two global crises, the financial crisis and the COVID-19 pandemic, as well as the Common Agriculture Policy reforms. These crises had a great impact on the Portuguese economy, but it is completely unclear how they affected the dynamics of the Portuguese agrifood sector. This study’s objective is to analyze the resilience of this sector to European and global socks, testing the effects on international trade. Secondary data from the Portuguese Statistics Institute were used for the exports and imports trade series of animal and vegetable products and food industries from 2000 to 2020. The methodology was based on the structural xtbreak model, stability analysis, and tests for structural breaks. Some volatility was observed in the trade series, particularly in imports, without consistency among years, trade sectors, or imports versus exports trade. In the case of exports, one or two structural breaks in the different sectors occurred in different years. The most relevant dynamics occurred after the sovereign debt crisis. It was concluded that CAP reforms and global crises seem to not have caused new relevant dynamics in the Portuguese international agrifood trade. This revealed the resilience of the sector to external shocks.</w:t>
      </w:r>
    </w:p>
    <w:p>
      <w:pPr/>
      <w:r>
        <w:rPr>
          <w:b/>
        </w:rPr>
        <w:t>POSSIBLE 2023:</w:t>
      </w:r>
      <w:r>
        <w:t xml:space="preserve"> Modeling Actions for Transforming Agrifood Systems — https://doi.org/10.1007/978-3-031-15703-5_7</w:t>
      </w:r>
    </w:p>
    <w:p>
      <w:pPr/>
      <w:r>
        <w:rPr>
          <w:b/>
        </w:rPr>
        <w:t>Shared claim-specific concepts:</w:t>
      </w:r>
      <w:r>
        <w:t xml:space="preserve"> agrifood, different; EU scope not established. This is a provisional connection, not an outcome finding.</w:t>
      </w:r>
    </w:p>
    <w:p>
      <w:pPr>
        <w:pStyle w:val="SourceNote"/>
      </w:pPr>
      <w:r>
        <w:rPr>
          <w:b/>
        </w:rPr>
        <w:t>Available abstract (not full text):</w:t>
      </w:r>
      <w:r>
        <w:t xml:space="preserve"> Abstract We modeled six interventions to study the scenarios’ impact on agrifood systems, undernutrition, access to healthy diets, and the environment. We also assessed the interventions as a group to consider the impact of synergies and complementarities. Our baseline showed that 690 million people were undernourished, and 3 billion people could not afford healthy diets in 2019. The first finding confirmed that ending chronic hunger at a 5% level by 2030 is possible, with key structural interventions to ramp up agrifood systems’ efficiency. Through increased farm productivity and reduction of food loss and waste, the number of chronically hungry people could be cut by 314 million. In addition, 568 million people would be able to afford healthy diets by 2030. The cost of ending hunger represents 8% of the size of global food markets, a sum that can be mobilized and invested to generate impact through food value chains, national economies, and social safety nets. Furthermore, the use of well-targeted social safety nets could provide an additional 2.4 billion people with access to healthy diets. The second critical finding was that various interventions could create synergies. This would become apparent through addressing different causes of hunger. Moreover, aiming to minimize the total cost of interventions and seeking, at the same time, the highest return interventions in term</w:t>
      </w:r>
    </w:p>
    <w:p>
      <w:pPr/>
      <w:r>
        <w:rPr>
          <w:b/>
        </w:rPr>
        <w:t>POSSIBLE 2023:</w:t>
      </w:r>
      <w:r>
        <w:t xml:space="preserve"> Trends Shaping the Future of Agrifood — https://doi.org/10.5772/intechopen.111608</w:t>
      </w:r>
    </w:p>
    <w:p>
      <w:pPr/>
      <w:r>
        <w:rPr>
          <w:b/>
        </w:rPr>
        <w:t>Shared claim-specific concepts:</w:t>
      </w:r>
      <w:r>
        <w:t xml:space="preserve"> agrifood, current; EU scope not established. This is a provisional connection, not an outcome finding.</w:t>
      </w:r>
    </w:p>
    <w:p>
      <w:pPr>
        <w:pStyle w:val="SourceNote"/>
      </w:pPr>
      <w:r>
        <w:rPr>
          <w:b/>
        </w:rPr>
        <w:t>Available abstract (not full text):</w:t>
      </w:r>
      <w:r>
        <w:t xml:space="preserve"> In agriculture innovation is the main driver of productivity growth. Innovative technologies and methods have to help increase firms’ productivity in a sustainable way. Technology diffusion is important as developing new technologies for sustainable production processes. Current innovations can lead to define the composition of foods with impoverishment or enrichment of nutritional and sensory characteristics. New technologies play a central role in adapting agricultural practices to environmental change. New agricultural practices help to preserve environmental integrity. Competition for an alternative use of natural resources is increasing and agricultural practices and technologies will have to adapt to climate change and more extreme weather-related conditions. This multifunctional approach needs to be directed towards increasing knowledge about the relationship between microstructure, process, product characteristics and technological innovation to protect the quality and origin of products. Innovations are not enough if they are not accompanied by a regulatory environment conducive to business development. Think first of all about the issues of security, rationalization of controls and the embargo of bureaucracy. But also, to the sustainability of food production and the need for common rules on supply conditions in crucial international commodity markets for the developm</w:t>
      </w:r>
    </w:p>
    <w:p>
      <w:pPr>
        <w:pStyle w:val="Heading2"/>
      </w:pPr>
      <w:r>
        <w:t>736. A forecast of international migration flows into EU countries until 2050</w:t>
      </w:r>
    </w:p>
    <w:p>
      <w:pPr>
        <w:pStyle w:val="SourceNote"/>
      </w:pPr>
      <w:r>
        <w:rPr>
          <w:b/>
        </w:rPr>
        <w:t>Original source (2018):</w:t>
      </w:r>
      <w:r>
        <w:t xml:space="preserve"> https://doi.org/10.14746/pp.2018.23.4.6</w:t>
      </w:r>
    </w:p>
    <w:p>
      <w:pPr/>
      <w:r>
        <w:t>Original wording (abstract; indexed_source_text_not_full_document_verified): The data used for the forecast is UN data on migration flows in 1990-2015, and the UN’s predictions regarding changes in population between now and 2050. The research objective is a quantitative estimation of the volume of international migration flows into European countries and their close neighbors until 2050.</w:t>
      </w:r>
    </w:p>
    <w:p>
      <w:pPr/>
      <w:r>
        <w:rPr>
          <w:b/>
        </w:rPr>
        <w:t>POSSIBLE 2026:</w:t>
      </w:r>
      <w:r>
        <w:t xml:space="preserve"> Data Sources for International Migration in Europe: Categories, Definitions and Policy Uses — https://openalex.org/W7123388283</w:t>
      </w:r>
    </w:p>
    <w:p>
      <w:pPr/>
      <w:r>
        <w:rPr>
          <w:b/>
        </w:rPr>
        <w:t>Shared claim-specific concepts:</w:t>
      </w:r>
      <w:r>
        <w:t xml:space="preserve"> data, migration, international;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Estimating migration and mortality rates for European sea bass ( Dicentrarchus labrax ) using electronic tagging data — https://doi.org/10.1093/icesjms/fsag043</w:t>
      </w:r>
    </w:p>
    <w:p>
      <w:pPr/>
      <w:r>
        <w:rPr>
          <w:b/>
        </w:rPr>
        <w:t>Shared claim-specific concepts:</w:t>
      </w:r>
      <w:r>
        <w:t xml:space="preserve"> data, migration, population, between, international; EU scope visible. This is a provisional connection, not an outcome finding.</w:t>
      </w:r>
    </w:p>
    <w:p>
      <w:pPr>
        <w:pStyle w:val="SourceNote"/>
      </w:pPr>
      <w:r>
        <w:rPr>
          <w:b/>
        </w:rPr>
        <w:t>Available abstract (not full text):</w:t>
      </w:r>
      <w:r>
        <w:t xml:space="preserve"> Abstract As animal movement and migration shape the internal dynamics and structure of populations, quantifying connectivity within populations is crucial for sustainable exploitation and conservation of wild species. New knowledge on individual movements and migrations of the European sea bass recently challenged the current view of the stock delineation. There was a need to extend these results from the individual to population scale by developing a spatially structured population dynamics model of tagged fish to estimate migration rates and mortality. A series of multistate spatial mark-recapture models, discrete in space and time and based on two alternative spatial structures have been developed and compared to analyse reconstructed individual trajectories of European sea bass tagged, from 2010 to 2022, with Data Storage Tags along the coast of France, Belgium, and the UK. The analysis of 328 tagged fish recoveries made from 2010 to 2022 allows the quantification, at population scale and in an integrated tagged-based model of both seasonal movement rates and fishing mortality rates for two of the current stock assessment and fishery regulatory areas: the northern stock area from the Irish Sea, Celtic Sea, English Channel, and southern North Sea (ICES divisions IVb–c and VIIa, d–h) and the Bay of Biscay (or southern) stock area (ICES divisions VIIIa–b). Significant movement</w:t>
      </w:r>
    </w:p>
    <w:p>
      <w:pPr/>
      <w:r>
        <w:rPr>
          <w:b/>
        </w:rPr>
        <w:t>POSSIBLE 2026:</w:t>
      </w:r>
      <w:r>
        <w:t xml:space="preserve"> The Biometric_On: On the (Dual) Use of Biometric Data in Migration and Asylum — https://doi.org/10.4324/9781003748557-17</w:t>
      </w:r>
    </w:p>
    <w:p>
      <w:pPr/>
      <w:r>
        <w:rPr>
          <w:b/>
        </w:rPr>
        <w:t>Shared claim-specific concepts:</w:t>
      </w:r>
      <w:r>
        <w:t xml:space="preserve"> data, migration, international; EU scope visible. This is a provisional connection, not an outcome finding.</w:t>
      </w:r>
    </w:p>
    <w:p>
      <w:pPr>
        <w:pStyle w:val="SourceNote"/>
      </w:pPr>
      <w:r>
        <w:rPr>
          <w:b/>
        </w:rPr>
        <w:t>Available abstract (not full text):</w:t>
      </w:r>
      <w:r>
        <w:t xml:space="preserve"> The European Union has recently reached an agreement on the so called New European Asylum and Migration Pact. Thanks to a new set of common measures Member states will be able to reach relevant reforms in the field of international protection and migration. Such a result will be possible also through the collection of (new) sets of biometric data. This “agreement”, as well as its framework, does not seem to be entirely new in the EU, especially if we look at the previous Pact adopted by Member States confronting the “Refugee crisis”, back in 2015, when more than a 1,000,000 of migrants, refugees, and asylum seekers crossed the European blue and green borders to claim for international protection. Looking at the consolidated texts of the new European Laws, the enforcement of Eurodac II will include not only a fingerprinting database but a new biometrical data system to identify, track, evaluate, repatriate (irregular) migrants as well as to investigate and prosecute terrorists and and/or criminal offenders. A few times after NIS II directive stressed out the attention to the rights of individuals as a primary consideration need, also looking at the use and liability of IoT technologies and challenges, recent declarations of European Data Protection Supervisor outlined concerns on the matter: legal risks in the guarantees foreseen by Article 9 of the GDPR for Europol operations t</w:t>
      </w:r>
    </w:p>
    <w:p>
      <w:pPr/>
      <w:r>
        <w:rPr>
          <w:b/>
        </w:rPr>
        <w:t>POSSIBLE 2026:</w:t>
      </w:r>
      <w:r>
        <w:t xml:space="preserve"> Spatiotemporal variability and uncertainty in wood decay estimates across Europe and Scandinavia using a data-driven moisture content model with multi-scale weather datasets — https://doi.org/10.1016/j.rineng.2026.108983</w:t>
      </w:r>
    </w:p>
    <w:p>
      <w:pPr/>
      <w:r>
        <w:rPr>
          <w:b/>
        </w:rPr>
        <w:t>Shared claim-specific concepts:</w:t>
      </w:r>
      <w:r>
        <w:t xml:space="preserve"> data, used, predictions, regarding; EU scope visible. This is a provisional connection, not an outcome finding.</w:t>
      </w:r>
    </w:p>
    <w:p>
      <w:pPr>
        <w:pStyle w:val="SourceNote"/>
      </w:pPr>
      <w:r>
        <w:rPr>
          <w:b/>
        </w:rPr>
        <w:t>Available abstract (not full text):</w:t>
      </w:r>
      <w:r>
        <w:t xml:space="preserve"> • Reanalysis data driven moisture content model enabled high-resolution wood decay analyses • Point to grid comparing of decay indicated biases variable by micro to macro climate conditions • High-resolution decay hazard maps reveal significant spatiotemporal variability • Vertical boards show higher spatial uncertainty due to wind-driven rain exposure • Uncertainty mapping enables uncertainty propagation for service life assessment The use of remote sensing and reanalysis weather data has not been adequately acknowledged for large-scale built environment applications, primarily regarding engineering analyses that traditionally rely on computationally expensive numerical models. This study employs a parsimonious data-driven approach concerning service life assessment of rain-exposed wooden components, enabling mapping and assessment of related risks across Europe and Scandinavia from gridded data. Wood moisture content is the primary vector for fungal decay and accurate modeling is essential for the design of wooden commodities. Numerical models of moisture flow within woody material provide accuracy but are impractically slow for large-scale applications. We explore high-resolution decay risk assessments using a neural network (NN) trained on existing numerical predictions of moisture content. Specifically, the model used time-lagged gridded weather data as inputs to calculate</w:t>
      </w:r>
    </w:p>
    <w:p>
      <w:pPr/>
      <w:r>
        <w:rPr>
          <w:b/>
        </w:rPr>
        <w:t>POSSIBLE 2026:</w:t>
      </w:r>
      <w:r>
        <w:t xml:space="preserve"> Replication data for "A golden rule for migration? Demographic adjustment and public debt sustainability in the European Union" — https://doi.org/10.5281/zenodo.21946815</w:t>
      </w:r>
    </w:p>
    <w:p>
      <w:pPr/>
      <w:r>
        <w:rPr>
          <w:b/>
        </w:rPr>
        <w:t>Shared claim-specific concepts:</w:t>
      </w:r>
      <w:r>
        <w:t xml:space="preserve"> data, used, migration; EU scope visible. This is a provisional connection, not an outcome finding.</w:t>
      </w:r>
    </w:p>
    <w:p>
      <w:pPr>
        <w:pStyle w:val="SourceNote"/>
      </w:pPr>
      <w:r>
        <w:rPr>
          <w:b/>
        </w:rPr>
        <w:t>Available abstract (not full text):</w:t>
      </w:r>
      <w:r>
        <w:t xml:space="preserve"> This repository contains the processed replication data underlying the empirical application in “A golden rule for migration? Demographic adjustment and public debt sustainability in the European Union”. The dataset covers 26 EU Member States over 2026-2035 and includes the baseline inputs and country-year outputs used in the two counterfactual scenarios analysed in the paper. It also contains the Eurostat demographic data underlying Figures 1 and 2. The underlying data are drawn from the European Commission’s AMECO Autumn 2025 Forecast, the Debt Sustainability Monitor 2025, and Eurostat (demo_gind). The workbook includes a README, parameter settings, a country-year panel, country-level summary results, a data dictionary, and the demographic data used in the descriptive analysis. Potential-output growth is provided as the processed input used in the empirical application.</w:t>
      </w:r>
    </w:p>
    <w:p>
      <w:pPr/>
      <w:r>
        <w:rPr>
          <w:b/>
        </w:rPr>
        <w:t>POSSIBLE 2025:</w:t>
      </w:r>
      <w:r>
        <w:t xml:space="preserve"> Mixed-frequency VAR: a new approach to forecasting migration in Europe using macroeconomic data — https://doi.org/10.1017/dap.2024.82</w:t>
      </w:r>
    </w:p>
    <w:p>
      <w:pPr/>
      <w:r>
        <w:rPr>
          <w:b/>
        </w:rPr>
        <w:t>Shared claim-specific concepts:</w:t>
      </w:r>
      <w:r>
        <w:t xml:space="preserve"> data, used, migration, international, countries; EU scope visible. This is a provisional connection, not an outcome finding.</w:t>
      </w:r>
    </w:p>
    <w:p>
      <w:pPr>
        <w:pStyle w:val="SourceNote"/>
      </w:pPr>
      <w:r>
        <w:rPr>
          <w:b/>
        </w:rPr>
        <w:t>Available abstract (not full text):</w:t>
      </w:r>
      <w:r>
        <w:t xml:space="preserve"> Abstract Forecasting international migration is a challenge that, despite its political and policy salience, has seen a limited success so far. In this proof-of-concept paper, we employ a range of macroeconomic data to represent different drivers of migration. We also take into account the relatively consistent set of migration policies within the European Common Market, with its constituent freedom of movement of labour. Using panel vector autoregressive (VAR) models for mixed-frequency data, we forecast migration in the short- and long-term horizons for 26 of the 32 countries within the Common Market. We demonstrate how the methodology can be used to assess the possible responses of other macroeconomic variables to unforeseen migration events—and vice versa. Our results indicate reasonable in-sample performance of migration forecasts, especially in the short term, although with varying levels of accuracy. They also underline the need for taking country-specific factors into account when constructing forecasting models, with different variables being important across the regions of Europe. For the longer term, the proposed methods, despite high prediction errors, can still be useful as tools for setting coherent migration scenarios and analysing responses to exogenous shocks.</w:t>
      </w:r>
    </w:p>
    <w:p>
      <w:pPr/>
      <w:r>
        <w:rPr>
          <w:b/>
        </w:rPr>
        <w:t>POSSIBLE 2025:</w:t>
      </w:r>
      <w:r>
        <w:t xml:space="preserve"> Amphibious Detention New Bordering Ethnography of Safe Countries of Origin and the Use of Digital Data and Devices in the Governance of Migration in Europe — https://openalex.org/W7111442958</w:t>
      </w:r>
    </w:p>
    <w:p>
      <w:pPr/>
      <w:r>
        <w:rPr>
          <w:b/>
        </w:rPr>
        <w:t>Shared claim-specific concepts:</w:t>
      </w:r>
      <w:r>
        <w:t xml:space="preserve"> data, migration, countries;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Data Sources For International Migration in Europe — https://doi.org/10.4324/9781003395485-45</w:t>
      </w:r>
    </w:p>
    <w:p>
      <w:pPr/>
      <w:r>
        <w:rPr>
          <w:b/>
        </w:rPr>
        <w:t>Shared claim-specific concepts:</w:t>
      </w:r>
      <w:r>
        <w:t xml:space="preserve"> data, migration, international; EU scope visible. This is a provisional connection, not an outcome finding.</w:t>
      </w:r>
    </w:p>
    <w:p>
      <w:pPr>
        <w:pStyle w:val="SourceNote"/>
      </w:pPr>
      <w:r>
        <w:rPr>
          <w:b/>
        </w:rPr>
        <w:t>Available abstract (not full text):</w:t>
      </w:r>
      <w:r>
        <w:t xml:space="preserve"> This chapter critically examines the landscape of international migration data sources in Europe, focusing on categories, definitions and policy uses. Despite Europe&amp;s;s reputation for advanced migration data governance, persistent challenges undermine data quality, comparability and coverage, particularly in Southern and Eastern Europe. The chapter analyses how inconsistent definitions, divergent measurement practices and varying institutional capacities complicate efforts to produce harmonised, reliable migration statistics. Special attention is given to the conceptual and definitional difficulties in measuring both regular and irregular migration, highlighting how these limitations impede both scholarly research and evidence-based policymaking. The chapter also explores the potential of big data as complementary sources for migration statistics, while acknowledging significant legal, ethical and technical barriers to their broader adoption. Through a critical lens, the chapter questions narratives of European exceptionalism, arguing that while Europe leads in certain aspects of data harmonisation, many of its challenges mirror global trends. Drawing on recent research and institutional insights, the chapter offers recommendations for addressing enduring data gaps and promoting more coherent, comprehensive migration data systems. It concludes by emphasising the essential role</w:t>
      </w:r>
    </w:p>
    <w:p>
      <w:pPr/>
      <w:r>
        <w:rPr>
          <w:b/>
        </w:rPr>
        <w:t>POSSIBLE 2025:</w:t>
      </w:r>
      <w:r>
        <w:t xml:space="preserve"> THE EFFECTS OF MIGRATION ON FAMILY DYNAMICS: A CASE STUDY OF IMMIGRANT FAMILIES IN EUROPE — https://openalex.org/W7220292679</w:t>
      </w:r>
    </w:p>
    <w:p>
      <w:pPr/>
      <w:r>
        <w:rPr>
          <w:b/>
        </w:rPr>
        <w:t>Shared claim-specific concepts:</w:t>
      </w:r>
      <w:r>
        <w:t xml:space="preserve"> data, migration, international; EU scope visible. This is a provisional connection, not an outcome finding.</w:t>
      </w:r>
    </w:p>
    <w:p>
      <w:pPr>
        <w:pStyle w:val="SourceNote"/>
      </w:pPr>
      <w:r>
        <w:rPr>
          <w:b/>
        </w:rPr>
        <w:t>Available abstract (not full text):</w:t>
      </w:r>
      <w:r>
        <w:t xml:space="preserve"> This paper examines the impact of migration on family structures and intergenerational relationships among immigrant populations in Europe, with a focus on how family policies and socio-cultural contexts shape these dynamics. Using data from longitudinal surveys and international datasets, the study investigates how migration influences fertility patterns, work-family balance, and the living arrangements of immigrant families. The research reveals that while host-country policies can facilitate the integration of immigrant families, they often present challenges, particularly for women, due to gendered policies and cultural barriers. The study underscores the importance of adapting family policies to the diverse needs of immigrant populations, promoting a more inclusive approach to integration that takes into account the intersection of migration, gender, and cultural norms.</w:t>
      </w:r>
    </w:p>
    <w:p>
      <w:pPr/>
      <w:r>
        <w:rPr>
          <w:b/>
        </w:rPr>
        <w:t>POSSIBLE 2025:</w:t>
      </w:r>
      <w:r>
        <w:t xml:space="preserve"> #3416 Development and validation of a prediction model for progression of CKD in European children — https://doi.org/10.1093/ndt/gfaf116.0556</w:t>
      </w:r>
    </w:p>
    <w:p>
      <w:pPr/>
      <w:r>
        <w:rPr>
          <w:b/>
        </w:rPr>
        <w:t>Shared claim-specific concepts:</w:t>
      </w:r>
      <w:r>
        <w:t xml:space="preserve"> data, used, regarding, objective; EU scope visible. This is a provisional connection, not an outcome finding.</w:t>
      </w:r>
    </w:p>
    <w:p>
      <w:pPr>
        <w:pStyle w:val="SourceNote"/>
      </w:pPr>
      <w:r>
        <w:rPr>
          <w:b/>
        </w:rPr>
        <w:t>Available abstract (not full text):</w:t>
      </w:r>
      <w:r>
        <w:t xml:space="preserve"> Abstract Background and Aims Families and children with chronic kidney disease (CKD) often request prognostic information regarding their child's condition in order to understand its implications and plan for the future. However, prediction of when a child will progress to kidney failure and need kidney replacement therapy (KRT) remains challenging, which complicates planning for dialysis access and transplant. The Kidney Failure Risk Equation (KFRE) has been shown to accurately discriminate risk of progression to kidney failure in children with mild to moderate CKD in the US but has some pitfalls. Our objective was to develop and validate a new easy-to-operate prediction model for progression of CKD in European children. Method We used data from the Cardiovascular Comorbidity in Children with CKD (4C) study for model development and from the ESCAPE trial for model validation. A new model (called « 4C equation ») was developed based on clinically relevant variables and variable selection using Random Survival Forest. The primary predictor was the new model which provides estimates of the risk of KRT over a 1-, 2-, 3-, and 4-year horizon. The model is a super landmark Cox model including 8 variables accounting for the last available value of all predictors at each landmark time (0,1,2,3,4 years). Comparisons were made with the KFRE. AUCs were used to compare discrimination of th</w:t>
      </w:r>
    </w:p>
    <w:p>
      <w:pPr/>
      <w:r>
        <w:rPr>
          <w:b/>
        </w:rPr>
        <w:t>POSSIBLE 2025:</w:t>
      </w:r>
      <w:r>
        <w:t xml:space="preserve"> MIGRATION AS A CATALYST FOR ECONOMIC GROWTH: A PANEL DATA ANALYSIS OF EASTERN EUROPEAN ECONOMIES (2014-2023) — https://doi.org/10.55654/jfs.2025.10.19.11</w:t>
      </w:r>
    </w:p>
    <w:p>
      <w:pPr/>
      <w:r>
        <w:rPr>
          <w:b/>
        </w:rPr>
        <w:t>Shared claim-specific concepts:</w:t>
      </w:r>
      <w:r>
        <w:t xml:space="preserve"> data, migration, flows, regarding, population, between; EU scope visible. This is a provisional connection, not an outcome finding.</w:t>
      </w:r>
    </w:p>
    <w:p>
      <w:pPr>
        <w:pStyle w:val="SourceNote"/>
      </w:pPr>
      <w:r>
        <w:rPr>
          <w:b/>
        </w:rPr>
        <w:t>Available abstract (not full text):</w:t>
      </w:r>
      <w:r>
        <w:t xml:space="preserve"> Migration has become one of the defining forces shaping the economic and social landscape of Europe. While much of the literature has concentrated on Western countries as primary destinations, the role of Central and Eastern Europe as both sending and increasingly receiving regions remains underexplored. This study investigates the impact of migration on economic development in four Eastern European countries—Romania, Bulgaria, Poland, and Hungary—over the period 2014–2023. Using panel data analysis, the research examines the relationship between net migration flows, GDP per capita, unemployment, employment rates, and population dynamics. The results indicate that migration plays a significant role in shaping labour market conditions and contributes to economic growth, particularly through its strong correlation with GDP per capita and employment rates. By applying a fixed-effects panel regression model, the study provides robust evidence on the bidirectional link between migration and economic performance. The findings highlight the structural transformations of these economies and underline the importance of migration in addressing demographic decline and labour shortages. This research contributes to the academic debate by offering updated empirical evidence and by filling the gap in the literature regarding the Eastern European migration-growth nexus.</w:t>
      </w:r>
    </w:p>
    <w:p>
      <w:pPr/>
      <w:r>
        <w:rPr>
          <w:b/>
        </w:rPr>
        <w:t>POSSIBLE 2024:</w:t>
      </w:r>
      <w:r>
        <w:t xml:space="preserve"> Elucidating the migrations of European seabass from the southern north sea using mark-recapture data, acoustic telemetry and data storage tags — https://doi.org/10.1038/s41598-024-63347-7</w:t>
      </w:r>
    </w:p>
    <w:p>
      <w:pPr/>
      <w:r>
        <w:rPr>
          <w:b/>
        </w:rPr>
        <w:t>Shared claim-specific concepts:</w:t>
      </w:r>
      <w:r>
        <w:t xml:space="preserve"> data, migration, population, countries; EU scope visible. This is a provisional connection, not an outcome finding.</w:t>
      </w:r>
    </w:p>
    <w:p>
      <w:pPr>
        <w:pStyle w:val="SourceNote"/>
      </w:pPr>
      <w:r>
        <w:rPr>
          <w:b/>
        </w:rPr>
        <w:t>Available abstract (not full text):</w:t>
      </w:r>
      <w:r>
        <w:t xml:space="preserve"> The movement ecology of European seabass, Dicentrarchus labrax, remains poorly understood, especially in the northern ranges of its distribution. To investigate migration patterns of seabass from the southern North Sea, we combined data from different projects from four countries using various tagging techniques. This resulted in 146 recaptures (out of 5598 externally marked seabass), 138 detected animals (out of 162 seabass fitted with an acoustic transmitter) and 76 archived depth and temperature series (out of 323 seabass with an archival tag). Using geolocation modelling, we distinguished different migration strategies, whereby individual fish migrated to the eastern English Channel (15.1%), the western English Channel (28.3%), the Celtic Sea and the norther part of the Bay of Biscay (17.0%), or stayed in the North Sea (39.6%). A high number of seabass exhibited fidelity to the North Sea (90.5% of recaptures, 55.3% for acoustic transmitters and 44.7% of archival tags). Although seabass are generally considered to migrate southwards in winter, a large number of individuals (n = 62) were observed in the southern North Sea, where spawning might potentially occur in a particular deep location along the coast of Norfolk in the UK. Our results highlight the need to consider fine-scaled population structuring in fisheries assessment, and indicate that current seasonal fisheries cl</w:t>
      </w:r>
    </w:p>
    <w:p>
      <w:pPr>
        <w:pStyle w:val="Heading2"/>
      </w:pPr>
      <w:r>
        <w:t>737. A threat to climate-secure European futures? Exploring racial logics and climate-induced migration in US and EU climate security discourses</w:t>
      </w:r>
    </w:p>
    <w:p>
      <w:pPr>
        <w:pStyle w:val="SourceNote"/>
      </w:pPr>
      <w:r>
        <w:rPr>
          <w:b/>
        </w:rPr>
        <w:t>Original source (2018):</w:t>
      </w:r>
      <w:r>
        <w:t xml:space="preserve"> https://doi.org/10.1016/j.geoforum.2018.08.021</w:t>
      </w:r>
    </w:p>
    <w:p>
      <w:pPr/>
      <w:r>
        <w:t>Original wording (abstract; indexed_source_text_not_full_document_verified): The paper proposes a reconceptualization of ‘racial logics’: a form of discursive construction that connects naturalized assumptions about racialized Others with possible outcomes in conditions of future climate insecurity. Constructed as racialized Others, ‘Muslim’ and ‘African’ migrant populations could face exclusionary containment policies in climate-insecure futures.</w:t>
      </w:r>
    </w:p>
    <w:p>
      <w:pPr/>
      <w:r>
        <w:rPr>
          <w:b/>
        </w:rPr>
        <w:t>POSSIBLE 2026:</w:t>
      </w:r>
      <w:r>
        <w:t xml:space="preserve"> Discursive borders in EUrope — https://doi.org/10.82444/warw.33764785</w:t>
      </w:r>
    </w:p>
    <w:p>
      <w:pPr/>
      <w:r>
        <w:rPr>
          <w:b/>
        </w:rPr>
        <w:t>Shared claim-specific concepts:</w:t>
      </w:r>
      <w:r>
        <w:t xml:space="preserve"> discursive, construction, migrant; EU scope visible. This is a provisional connection, not an outcome finding.</w:t>
      </w:r>
    </w:p>
    <w:p>
      <w:pPr>
        <w:pStyle w:val="SourceNote"/>
      </w:pPr>
      <w:r>
        <w:rPr>
          <w:b/>
        </w:rPr>
        <w:t>Available abstract (not full text):</w:t>
      </w:r>
      <w:r>
        <w:t xml:space="preserve"> This PhD thesis develops a critical account of discursive practices of bordering in the EUropean migration regime. By articulating recent advances from the fields of Critical Migration and Border Studies and Discourse Studies, it develops a theoretical and methodological framework that enables grasping discursive borders in their heterogeneity. On a broader level, it is interested in re-approaching post-structuralist and materialist strands of theory and analysis by going back to their beginnings in structural Marxism and psychoanalysis. EUrope’s discursive borders are scrutinised through the lens of different contexts that allow emphasising the entangled nature of policy, academic, and activist discourse. First, the present research scrutinises a set of practices of discursive bordering with a relatively high stability over time. Adopting a post-colonial, macro-historical perspective, it shows how EUrope’s colonial history infuses the conceptual apparatus of the EU’s contemporary migration policy. This serves as a foundation for the following chapters, that examine practices of discursive bordering from a micro-enunciative and a situated perspective. While the second analysis focuses on the construction and supraversion of the labour / refugee divide in German discourses on EUropean migration, the third shows how discursive borders are turned into a political stake in a migran</w:t>
      </w:r>
    </w:p>
    <w:p>
      <w:pPr/>
      <w:r>
        <w:rPr>
          <w:b/>
        </w:rPr>
        <w:t>POSSIBLE 2025:</w:t>
      </w:r>
      <w:r>
        <w:t xml:space="preserve"> Reconceptualizing Divine Omnipotence: A Decolonial Interpretation of Process Theology — https://doi.org/10.46569/f4752s50f</w:t>
      </w:r>
    </w:p>
    <w:p>
      <w:pPr/>
      <w:r>
        <w:rPr>
          <w:b/>
        </w:rPr>
        <w:t>Shared claim-specific concepts:</w:t>
      </w:r>
      <w:r>
        <w:t xml:space="preserve"> reconceptualization, form, about; EU scope not established. This is a provisional connection, not an outcome finding.</w:t>
      </w:r>
    </w:p>
    <w:p>
      <w:pPr>
        <w:pStyle w:val="SourceNote"/>
      </w:pPr>
      <w:r>
        <w:rPr>
          <w:b/>
        </w:rPr>
        <w:t>Available abstract (not full text):</w:t>
      </w:r>
      <w:r>
        <w:t xml:space="preserve"> This thesis offers a decolonial interpretation of divine omnipotence based on AnibalQuijano's work on the coloniality of power.I intend to bridge the potential gaps between sociopolitical philosophy, the philosophy of religion, and decolonial theory, by drawing parallels between how we conceptualize the characteristics of God and the features of coloniality.I begin the paper by outlining Quijano's framework on the coloniality of power, the colonial matrix of power, and his decoloniality of power.I continue by problematizing the classical theistic conception of God and divine omnipotence as perpetuating colonial standards.Then, I encourage the need for a decolonial reconceptualization of divine omnipotence using historical examples of colonization and Christianization.The second half of the paper focuses on a direct application of Quijano's decolonial approach using process theology.I start with a summary of process metaphysics to describe God's relation to the world and follow with an explanation of the process theological conception of God and divine omnipotence.This section ends with an in-depth argument about how the conception of divine omnipotence within process theology can be interpreted as a decolonial reconceptualization.The paper concludes by reiterating the significance of this interpretation in the development of a decoloniality of power and broader form of decoloni</w:t>
      </w:r>
    </w:p>
    <w:p>
      <w:pPr/>
      <w:r>
        <w:rPr>
          <w:b/>
        </w:rPr>
        <w:t>POSSIBLE 2024:</w:t>
      </w:r>
      <w:r>
        <w:t xml:space="preserve"> Reconceptualizing Interregionalism through Asia-Europe Meeting (ASEM): A Corpus-Assisted Critical Discourse Analysis — https://openalex.org/W4414920263</w:t>
      </w:r>
    </w:p>
    <w:p>
      <w:pPr/>
      <w:r>
        <w:rPr>
          <w:b/>
        </w:rPr>
        <w:t>Shared claim-specific concepts:</w:t>
      </w:r>
      <w:r>
        <w:t xml:space="preserve"> proposes, discursive, possible, outcomes; EU scope visible. This is a provisional connection, not an outcome finding.</w:t>
      </w:r>
    </w:p>
    <w:p>
      <w:pPr>
        <w:pStyle w:val="SourceNote"/>
      </w:pPr>
      <w:r>
        <w:rPr>
          <w:b/>
        </w:rPr>
        <w:t>Available abstract (not full text):</w:t>
      </w:r>
      <w:r>
        <w:t xml:space="preserve"> Asia-Europe Meeting (ASEM) was formed three decades ago to intensify European and Asian relations. Today, it constitutes the widest interregional dialogue mechanism covering 53 countries from Europe to Asia, and it is a special case for regionalism studies. The literature on ASEM discusses its scope, structure, means of cooperation, and possible future scenarios. Yet, the current studies lack an empirical data-based analysis of which themes shape cooperation processes, how regional and international issues reflect upon ASEM, and the extent of change in cooperation themes. In that regard, this study aims to examine ASEM to answer these questions. By using Corpus-Assisted Critical Discourse Analysis (CACDA), this research analyzes the chair’s statements from ASEM Summits between 1996 and 2021 to identify discursive themes, their chronological shifts, and their alignment with ASEM’s three pillars: political, economic, and socio-cultural. The research findings reveal that ASEM functions as an intergovernmental forum facilitating interregional dialogue on shared regional and global issues despite criticisms of lacking enforceable outcomes. The study underlines ASEM’s role in fostering dialogue between Asia and Europe and proposes reconceptualizing interregionalism as an integral component of multilateral governance.</w:t>
      </w:r>
    </w:p>
    <w:p>
      <w:pPr/>
      <w:r>
        <w:rPr>
          <w:b/>
        </w:rPr>
        <w:t>POSSIBLE 2024:</w:t>
      </w:r>
      <w:r>
        <w:t xml:space="preserve"> Dominance, Survivance, and Resistance: Reconceptualizing Childhoods Through Literature — https://openalex.org/W7133010228</w:t>
      </w:r>
    </w:p>
    <w:p>
      <w:pPr/>
      <w:r>
        <w:rPr>
          <w:b/>
        </w:rPr>
        <w:t>Shared claim-specific concepts:</w:t>
      </w:r>
      <w:r>
        <w:t xml:space="preserve"> racial, discursive, construction, about, others; EU scope not established. This is a provisional connection, not an outcome finding.</w:t>
      </w:r>
    </w:p>
    <w:p>
      <w:pPr>
        <w:pStyle w:val="SourceNote"/>
      </w:pPr>
      <w:r>
        <w:rPr>
          <w:b/>
        </w:rPr>
        <w:t>Available abstract (not full text):</w:t>
      </w:r>
      <w:r>
        <w:t xml:space="preserve"> Childhood is a social construction and discursive site of contestation that extends beyond the dominant paradigm of developmental psychology. These constructions of childhood are predominantly projects undertaken by adults through research, educational practice, and artistic endeavors such as the writing of literature. While the field of childhood studies claims to be inter- and multidisciplinary, it continues to be dominated by sociological approaches and is evasive of colonial and racial analytic tools to attend to the histories of Black, Brown, and Indigenous children and childhoods. Beginning from my own history of childhood trauma in the process of dislocation from the postcolonial Caribbean to the settler colonial Canadian nation-state, I turn to literary children who endure the colonial violence of rape to understand ongoing settler colonialism. Drawing on the work of Edward Said and Erica Burman, I construct a contrapuntal child-as-method to trace the figure and rhetorical function of the child across the literatures of dominance, survivance, and resistance. First, I read the state-sanctioned Survivors Speak report of the Truth and Reconciliation Commission of Canada which I understand as a site of Indigenous and settler trauma. Drawing on Cathy Caruth’s literary trauma theory, I argue that the report is a site where settlers reconcile their own lost imperial childhood </w:t>
      </w:r>
    </w:p>
    <w:p>
      <w:pPr/>
      <w:r>
        <w:rPr>
          <w:b/>
        </w:rPr>
        <w:t>POSSIBLE 2023:</w:t>
      </w:r>
      <w:r>
        <w:t xml:space="preserve"> Reconceptualizing Violence in International and Comparative Education: Revisiting Galtung’s Framework — https://doi.org/10.1086/726372</w:t>
      </w:r>
    </w:p>
    <w:p>
      <w:pPr/>
      <w:r>
        <w:rPr>
          <w:b/>
        </w:rPr>
        <w:t>Shared claim-specific concepts:</w:t>
      </w:r>
      <w:r>
        <w:t xml:space="preserve"> proposes, form, about; EU scope not established. This is a provisional connection, not an outcome finding.</w:t>
      </w:r>
    </w:p>
    <w:p>
      <w:pPr>
        <w:pStyle w:val="SourceNote"/>
      </w:pPr>
      <w:r>
        <w:rPr>
          <w:b/>
        </w:rPr>
        <w:t>Available abstract (not full text):</w:t>
      </w:r>
      <w:r>
        <w:t xml:space="preserve"> Outside of a specialist literature, the study of violence occupies a marginal position within comparative and international education scholarship. A key contributing factor is the absence of a holistic conceptual framework that can capture the nature, extent and causes of violence in education. The article proposes such a framework, by updating Johan Galtung’s model of direct, structural and cultural violence and putting it into dialogue with more recent theoretical work from the social sciences and humanities. This dialogue affirms the importance of each form of violence and the interconnections between them but proposes a deeper appreciation of the depth ontology of violence and a reappraisal of Galtung’s ideas about the visibility and invisibilization of violence. The article explores the utility of the framework by using it to explore the so-called learning crisis, which it argues may be more accurately considered a crisis of violence.</w:t>
      </w:r>
    </w:p>
    <w:p>
      <w:pPr/>
      <w:r>
        <w:rPr>
          <w:b/>
        </w:rPr>
        <w:t>POSSIBLE 2023:</w:t>
      </w:r>
      <w:r>
        <w:t xml:space="preserve"> TOWARD A RECONCEPTUALIZATION OF GENTRIFICATION: ASSESSING NEIGHBORHOOD VARIATION BY SOCIOECONOMIC AND ECONOMIC PROCESSES — https://doi.org/10.33915/etd.12101</w:t>
      </w:r>
    </w:p>
    <w:p>
      <w:pPr/>
      <w:r>
        <w:rPr>
          <w:b/>
        </w:rPr>
        <w:t>Shared claim-specific concepts:</w:t>
      </w:r>
      <w:r>
        <w:t xml:space="preserve"> reconceptualization, form, about, racialized; EU scope not established. This is a provisional connection, not an outcome finding.</w:t>
      </w:r>
    </w:p>
    <w:p>
      <w:pPr>
        <w:pStyle w:val="SourceNote"/>
      </w:pPr>
      <w:r>
        <w:rPr>
          <w:b/>
        </w:rPr>
        <w:t>Available abstract (not full text):</w:t>
      </w:r>
      <w:r>
        <w:t xml:space="preserve"> The core conceptualization of gentrification is social class ascension. Researchers and the public have often disagreed about how, when, where, and why gentrification occurs. When there is agreement, researchers often add specifications, such as displacement, that further confuse the concept. Reasons for the confusion include non-integrating theoretical dimensions, methods that assume independent effects, and the context of place. The objective of this study is to conceptualize gentrification in a case study city using two key dimensions, socioeconomic and economic processes, in a spatial context. Using principal component analysis to identify the latent constructs that account for change in Pittsburgh, PA, the history of a racialized industrial economy affected the indicator variables associated with social class change. In Pittsburgh, the population is not ascending from working class to middle class, but the middle class is changing in form from physical to intellectual labor. However, localized patterns of change reflect social and racialized agency to transition into a different form of the middle class. Scholars, journalists, and residents identify Pittsburgh as a gentrifying city, but the classic conceptualization of gentrification does not apply. The implications of this study recommend a deeper analysis of the type of social class ascension that occurs in cities. The h</w:t>
      </w:r>
    </w:p>
    <w:p>
      <w:pPr/>
      <w:r>
        <w:rPr>
          <w:b/>
        </w:rPr>
        <w:t>POSSIBLE 2022:</w:t>
      </w:r>
      <w:r>
        <w:t xml:space="preserve"> The right to a healthy environment: Reconceptualizing human rights in the face of climate change — https://doi.org/10.1111/reel.12430</w:t>
      </w:r>
    </w:p>
    <w:p>
      <w:pPr/>
      <w:r>
        <w:rPr>
          <w:b/>
        </w:rPr>
        <w:t>Shared claim-specific concepts:</w:t>
      </w:r>
      <w:r>
        <w:t xml:space="preserve"> reconceptualization, climate, face; EU scope not established. This is a provisional connection, not an outcome finding.</w:t>
      </w:r>
    </w:p>
    <w:p>
      <w:pPr>
        <w:pStyle w:val="SourceNote"/>
      </w:pPr>
      <w:r>
        <w:rPr>
          <w:b/>
        </w:rPr>
        <w:t>Available abstract (not full text):</w:t>
      </w:r>
      <w:r>
        <w:t xml:space="preserve"> Abstract There is hardly any doubt that climate change threatens the enjoyment of a wide range of human rights. Yet, in the absence of a distinct right to a healthy environment, a victim of climate change impacts would have to rely on existing rights to bring a claim. However, not only are these avenues not always successful or even sufficient to effectively and adequately compensate the victims, but they appear especially problematic in the context of climate change. This article explores the implications of the recognition of a stand‐alone substantive right to a healthy environment in the context of climate change. In doing so, it argues that such a recognition could trigger a paradigm shift that would facilitate the reconceptualization of human rights law to better adapt to the negative impacts of climate change, in particular by incorporating key environmental law principles in the human rights system.</w:t>
      </w:r>
    </w:p>
    <w:p>
      <w:pPr/>
      <w:r>
        <w:rPr>
          <w:b/>
        </w:rPr>
        <w:t>POSSIBLE 2022:</w:t>
      </w:r>
      <w:r>
        <w:t xml:space="preserve"> Reconceptualization of Inclusion through Anti-Bias Curriculum — https://doi.org/10.18357/jcs202220271</w:t>
      </w:r>
    </w:p>
    <w:p>
      <w:pPr/>
      <w:r>
        <w:rPr>
          <w:b/>
        </w:rPr>
        <w:t>Shared claim-specific concepts:</w:t>
      </w:r>
      <w:r>
        <w:t xml:space="preserve"> reconceptualization, discursive, construction; EU scope not established. This is a provisional connection, not an outcome finding.</w:t>
      </w:r>
    </w:p>
    <w:p>
      <w:pPr>
        <w:pStyle w:val="SourceNote"/>
      </w:pPr>
      <w:r>
        <w:rPr>
          <w:b/>
        </w:rPr>
        <w:t>Available abstract (not full text):</w:t>
      </w:r>
      <w:r>
        <w:t xml:space="preserve"> Tensions can arise when biased thoughts and practices are uncovered through discursive events in early years classrooms. This paper challenges the common practice of disregarding childhood curiosities in an attempt to ease tension and remove the risk of discomfort for some adults in caregiving and educating roles. Through a conceptual shift from a futurity of inclusion to an urgent call to action that problematizes the exclusion of nonhuman subjects within the curriculum, the construction and implementation of anti-bias curriculum is offered as a vehicle to the realization of holistically inclusive early learning spaces.</w:t>
      </w:r>
    </w:p>
    <w:p>
      <w:pPr/>
      <w:r>
        <w:rPr>
          <w:b/>
        </w:rPr>
        <w:t>POSSIBLE 2021:</w:t>
      </w:r>
      <w:r>
        <w:t xml:space="preserve"> Reconceptualizing STEM Education in China as Praxis: A Curriculum Turn — https://doi.org/10.3390/su13094961</w:t>
      </w:r>
    </w:p>
    <w:p>
      <w:pPr/>
      <w:r>
        <w:rPr>
          <w:b/>
        </w:rPr>
        <w:t>Shared claim-specific concepts:</w:t>
      </w:r>
      <w:r>
        <w:t xml:space="preserve"> reconceptualization, form, about; EU scope not established. This is a provisional connection, not an outcome finding.</w:t>
      </w:r>
    </w:p>
    <w:p>
      <w:pPr>
        <w:pStyle w:val="SourceNote"/>
      </w:pPr>
      <w:r>
        <w:rPr>
          <w:b/>
        </w:rPr>
        <w:t>Available abstract (not full text):</w:t>
      </w:r>
      <w:r>
        <w:t xml:space="preserve"> STEM education has drawn considerable international attention in recent decades. Current practices of STEM Education in China have shown that STEM is understood primarily as a policy-driven and economic problem. This paper challenges the reduced technical frameworks of STEM education and draws on the theoretical framework of the reconceptualization movement in the curriculum field. It aims to shift scientific or social science paradigms with languages of humanity to reapproach STEM education. STEM education is hence reconceptualized as praxis in its lived, ethical and historical dimensions. It would transform STEM education in China from being targeted for economic growth to attending to lived, nuanced and rich STEM experiences, structured by ethics and threaded by history. STEM teachers and teacher educators are advised to understand anew about STEM in their situatedness. STEM could serve as an opportunity to critically reflect on and research each discipline in greater depth with inter-disciplinary lenses. Instead of integrating science, technology, engineering and mathematics seamlessly to form omnipotent toolsets for the 21st-century workforce in China and on the international landscape, a reconceptualization of STEM as praxis could continue to generate more sustainable STEM education.</w:t>
      </w:r>
    </w:p>
    <w:p>
      <w:pPr/>
      <w:r>
        <w:rPr>
          <w:b/>
        </w:rPr>
        <w:t>POSSIBLE 2020:</w:t>
      </w:r>
      <w:r>
        <w:t xml:space="preserve"> Thinking Europe Otherwise: Lessons from the Caribbean — https://doi.org/10.1177/0011392120931139</w:t>
      </w:r>
    </w:p>
    <w:p>
      <w:pPr/>
      <w:r>
        <w:rPr>
          <w:b/>
        </w:rPr>
        <w:t>Shared claim-specific concepts:</w:t>
      </w:r>
      <w:r>
        <w:t xml:space="preserve"> reconceptualization, discursive, racialized; EU scope visible. This is a provisional connection, not an outcome finding.</w:t>
      </w:r>
    </w:p>
    <w:p>
      <w:pPr>
        <w:pStyle w:val="SourceNote"/>
      </w:pPr>
      <w:r>
        <w:rPr>
          <w:b/>
        </w:rPr>
        <w:t>Available abstract (not full text):</w:t>
      </w:r>
      <w:r>
        <w:t xml:space="preserve"> The article makes a case for Europe as a creolized space, or Europe Otherwise. It argues that, in order to account for both the transregional entanglements and the internal hierarchies that European colonialism and imperialism have produced since at least the sixteenth century, we need to unlearn received notions of Europe as an unmarked category; and that theoretical and empirical lessons from the Caribbean are central to relearning Europe differently. To conceive of Europe as a creolized space thus means to draw attention to the decisive shifts that its colonial possessions operate in both its historical legacies and its present borders when consistently taken into account. Such reconceptualization entails a simultaneous creolization of theory so as to reinscribe into sociological thought the experiences of peoples and regions racialized as non-European, non-Western, and non-White alongside the multiple entanglements between Europe and its colonies. Drawing on Caribbean perspectives on creolization, I first discuss how creolizing Europe contributes to countering the definition power of ahistorical and unmarked categories. Subsequently, I propose to rethink Europe as a political, cultural, economic, and discursive formation from its current colonial borders in South America and the Caribbean Sea. Finally, I argue that focusing on Europe’s colonial possessions in the Caribbean </w:t>
      </w:r>
    </w:p>
    <w:p>
      <w:pPr/>
      <w:r>
        <w:rPr>
          <w:b/>
        </w:rPr>
        <w:t>POSSIBLE 2019:</w:t>
      </w:r>
      <w:r>
        <w:t xml:space="preserve"> Euromodernity's Undertone: On Reconceptualizing Political Speech — https://openalex.org/W2943803555</w:t>
      </w:r>
    </w:p>
    <w:p>
      <w:pPr/>
      <w:r>
        <w:rPr>
          <w:b/>
        </w:rPr>
        <w:t>Shared claim-specific concepts:</w:t>
      </w:r>
      <w:r>
        <w:t xml:space="preserve"> about, racialized, others, conditions; EU scope not established. This is a provisional connection, not an outcome finding.</w:t>
      </w:r>
    </w:p>
    <w:p>
      <w:pPr>
        <w:pStyle w:val="SourceNote"/>
      </w:pPr>
      <w:r>
        <w:rPr>
          <w:b/>
        </w:rPr>
        <w:t>Available abstract (not full text):</w:t>
      </w:r>
      <w:r>
        <w:t xml:space="preserve"> This dissertation contends speech is indispensable to politics. It begins with Aristotle, whose conception of political speech grounds our modern understanding. I argue the Aristotelian position is colonizing insofar as it essentializes speech as sound. The consequence is that speech becomes phonocentric, privileging a particular mode of communication. This raises the issue of Deaf subjects who engage politics in non-phonocentric ways. That is, their speech is seen in what I contend is a visual vernacular. Subsequently, I turn to the issue of race. If Deaf subjects raise questions about what it means to speak, Black subjects, who speak audibly and are still unheard, raise a correspondent question: What does it mean to be heard? Within Euromodernity, I contend political speech becomes essentialized and racialized. Here, particular human beings (whites) are deemed as deserving of being heard, while others (Blacks) are silenced and thus, rendered speechless.\nIn response to these conditions, I argue Black and Deaf subjects do speak and their speech challenges existing hegemonic, colonized forms. Black and Deaf political speech allow for the creation of Black and Deaf lifeworlds, an articulation of their own ways of existing in the social world. The result is a project actualizing freedom. Ultimately, I posit a creolizing of political speech, a mixing of Deaf and Black existential </w:t>
      </w:r>
    </w:p>
    <w:p>
      <w:pPr>
        <w:pStyle w:val="Heading2"/>
      </w:pPr>
      <w:r>
        <w:t>738. Abandonment landscapes: user attitudes, alternative futures and land management in Castro Laboreiro, Portugal</w:t>
      </w:r>
    </w:p>
    <w:p>
      <w:pPr>
        <w:pStyle w:val="SourceNote"/>
      </w:pPr>
      <w:r>
        <w:rPr>
          <w:b/>
        </w:rPr>
        <w:t>Original source (2018):</w:t>
      </w:r>
      <w:r>
        <w:t xml:space="preserve"> https://doi.org/10.1007/s10113-018-1294-x</w:t>
      </w:r>
    </w:p>
    <w:p>
      <w:pPr/>
      <w:r>
        <w:t>Original wording (abstract; indexed_source_text_not_full_document_verified): In a case study in Northern Portugal, we used a combination of statements, photograph rating exercises and open questions to assess the perceptions of local inhabitants, visitors and experts regarding land abandonment and their preferences of different possible trajectories after abandonment. The results show that all user groups have a negative response towards abandonment and associate it mainly with negative emotions and the loss of heritage and traditions.</w:t>
      </w:r>
    </w:p>
    <w:p>
      <w:pPr/>
      <w:r>
        <w:rPr>
          <w:b/>
        </w:rPr>
        <w:t>POSSIBLE 2026:</w:t>
      </w:r>
      <w:r>
        <w:t xml:space="preserve"> Is there space for regional identities in a centralized unitary state? Northern Portugal as case study — https://doi.org/10.1080/1070289x.2026.2614229</w:t>
      </w:r>
    </w:p>
    <w:p>
      <w:pPr/>
      <w:r>
        <w:rPr>
          <w:b/>
        </w:rPr>
        <w:t>Shared claim-specific concepts:</w:t>
      </w:r>
      <w:r>
        <w:t xml:space="preserve"> case, northern, portugal; EU scope visible. This is a provisional connection, not an outcome finding.</w:t>
      </w:r>
    </w:p>
    <w:p>
      <w:pPr>
        <w:pStyle w:val="SourceNote"/>
      </w:pPr>
      <w:r>
        <w:rPr>
          <w:b/>
        </w:rPr>
        <w:t>Available abstract (not full text):</w:t>
      </w:r>
      <w:r>
        <w:t xml:space="preserve"> As European regions gain importance in development planning, regional identities have become increasingly significant for territorial governance and legitimacy. In centralized unitary states, however, their formation and mobilization remain poorly understood. This study examines how regional identities are framed in Northern Portugal, a planning region in Portugal – one of the most centralized countries in the European Union. Through geo-historical analysis and narrative examination of interviews and strategic documents, we found that regional identities can emerge and persist independently of formal regional structures through two mechanisms: maintaining unofficial territorial references in social consciousness and embedding historical regional elements into current official narratives. However, the effectiveness of regional identities as tools for development and decision-making legitimacy is highly dependent on the institutional framework.</w:t>
      </w:r>
    </w:p>
    <w:p>
      <w:pPr/>
      <w:r>
        <w:rPr>
          <w:b/>
        </w:rPr>
        <w:t>POSSIBLE 2024:</w:t>
      </w:r>
      <w:r>
        <w:t xml:space="preserve"> The Influence of Wildfire Climate on Wildfire Incidence: The Case of Portugal — https://doi.org/10.3390/fire7070234</w:t>
      </w:r>
    </w:p>
    <w:p>
      <w:pPr/>
      <w:r>
        <w:rPr>
          <w:b/>
        </w:rPr>
        <w:t>Shared claim-specific concepts:</w:t>
      </w:r>
      <w:r>
        <w:t xml:space="preserve"> case, northern, portugal, different; EU scope visible. This is a provisional connection, not an outcome finding.</w:t>
      </w:r>
    </w:p>
    <w:p>
      <w:pPr>
        <w:pStyle w:val="SourceNote"/>
      </w:pPr>
      <w:r>
        <w:rPr>
          <w:b/>
        </w:rPr>
        <w:t>Available abstract (not full text):</w:t>
      </w:r>
      <w:r>
        <w:t xml:space="preserve"> Although the influence of climate on the fire regime is unanimously recognized, most publications are studies on this influence are at the global scale. Therefore, this study aims to demonstrate the role of climate in the incidence of wildfires at the country and regional scale using statistical analysis and machine learning methods. Mainland Portugal was chosen as a case study due to its climate and because it is the European region most affected by wildfires. Results demonstrate the climate signature in the spatial and temporal distribution of the wildfire incidence. The conclusions of the study include (i) the existence of two pyro-regions, with different types of climate (Csb and Csa) composed of NUTS II regions: the northern region composed of the Norte and Centro regions and the southern region composed of Alentejo and Algarve; (ii) the intra-annual variability in the incidence of wildfires, characterized by two peaks, one in spring and the other in summer, are a consequence of the country's type of climate; and, (iii) how the annual cycle of wildfire incidence varies over the years depends on the weather conditions throughout each year. These results are of fundamental importance for wildfire managers, especially in the context of climate change.</w:t>
      </w:r>
    </w:p>
    <w:p>
      <w:pPr/>
      <w:r>
        <w:rPr>
          <w:b/>
        </w:rPr>
        <w:t>POSSIBLE 2024:</w:t>
      </w:r>
      <w:r>
        <w:t xml:space="preserve"> Motivation and perception of farmers on the benefits and challenges of agroforestry in Sweden (Northern Europe) — https://doi.org/10.1007/s10457-024-00964-1</w:t>
      </w:r>
    </w:p>
    <w:p>
      <w:pPr/>
      <w:r>
        <w:rPr>
          <w:b/>
        </w:rPr>
        <w:t>Shared claim-specific concepts:</w:t>
      </w:r>
      <w:r>
        <w:t xml:space="preserve"> case, northern, used, land, different; EU scope visible. This is a provisional connection, not an outcome finding.</w:t>
      </w:r>
    </w:p>
    <w:p>
      <w:pPr>
        <w:pStyle w:val="SourceNote"/>
      </w:pPr>
      <w:r>
        <w:rPr>
          <w:b/>
        </w:rPr>
        <w:t>Available abstract (not full text):</w:t>
      </w:r>
      <w:r>
        <w:t xml:space="preserve"> Abstract Agroforestry systems provide multiple benefits for human wellbeing and biodiversity; however, their diversity and spatial distribution sharply decline across Europe. This study focuses on agroforestry farms in Sweden. The aim of the study was to explore farmers' motivations to start agroforestry, what benefits farmers attributed to their agroforestry farms and perceived challenges to practicing agroforestry in Sweden. In total, 13 farms that practice various agroforestry forms were selected as case studies. A focus group, semi-structured interviews and field observations were used for data collection. We identified four types of agroforestry systems such as silvopasture, silvoarable, forest farming and forest gardens established on different land such as forested or agricultural land. All studied agroforestry farms were small but had complex spatial and temporal arrangements of crops, trees and animals, which were crucial to generating multiple benefits. Our results show that the multifunctionality of agroforestry systems resulted from farmers' desire to design such systems. Farmers’ intentions to get foods and materials from their farms were always intentionally unified with multiple ecosystem services. We argue that agroforestry farmers are designers of multifunctional landscapes as they deliberately organized their farming activities to get a bundle of ecosystem ser</w:t>
      </w:r>
    </w:p>
    <w:p>
      <w:pPr/>
      <w:r>
        <w:rPr>
          <w:b/>
        </w:rPr>
        <w:t>POSSIBLE 2024:</w:t>
      </w:r>
      <w:r>
        <w:t xml:space="preserve"> Quantifying the role of saltmarsh as a vulnerable carbon sink: A case study from Northern Portugal — https://doi.org/10.1016/j.scitotenv.2024.171443</w:t>
      </w:r>
    </w:p>
    <w:p>
      <w:pPr/>
      <w:r>
        <w:rPr>
          <w:b/>
        </w:rPr>
        <w:t>Shared claim-specific concepts:</w:t>
      </w:r>
      <w:r>
        <w:t xml:space="preserve"> case, northern, portugal;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Measles cluster in Northern Portugal: enhancing surveillance strengths — https://doi.org/10.1093/eurpub/ckae144.1476</w:t>
      </w:r>
    </w:p>
    <w:p>
      <w:pPr/>
      <w:r>
        <w:rPr>
          <w:b/>
        </w:rPr>
        <w:t>Shared claim-specific concepts:</w:t>
      </w:r>
      <w:r>
        <w:t xml:space="preserve"> case, northern, portugal, local; EU scope visible. This is a provisional connection, not an outcome finding.</w:t>
      </w:r>
    </w:p>
    <w:p>
      <w:pPr>
        <w:pStyle w:val="SourceNote"/>
      </w:pPr>
      <w:r>
        <w:rPr>
          <w:b/>
        </w:rPr>
        <w:t>Available abstract (not full text):</w:t>
      </w:r>
      <w:r>
        <w:t xml:space="preserve"> Abstract Although measles was declared eliminated in Portugal in 2015, outbreaks persist, despite high vaccination coverage. The last outbreak in the northern region was in 2017. Portugal has a Surveillance System implemented for mandatory communicable diseases (SINAVE) integrating clinical, epidemiological and laboratory data. In 2021, WHO expressed concern about the low sensitivity of measles surveillance and urged Portugal to strengthen its surveillance practices. Our study aims to describe a measles cluster in northern Portugal during the first trimester of 2024. Data from measles cases from the first trimester of 2024 were collected from SINAVE. Contact tracing and Public Health (PH) intervention data was sent by Local Public Health Authorities through a survey designed for that purpose. A total of 70 suspected cases were reported and investigated: 6 cases were laboratory confirmed and 64 were discarded. The confirmed cases had a mean age of 28 years (all adults), with 50% female. The mean notification time was 0,3 days. The index case was imported (Mauritania) and unvaccinated, leading to 2 secondary cases. Five cases had 2 doses of a measles vaccine, with 1 case being a health professional. Additionally, 1 case was imported from France. For 2 cases the source of infection could not be unequivocally identified and no travel history during incubation period. A total of 851</w:t>
      </w:r>
    </w:p>
    <w:p>
      <w:pPr/>
      <w:r>
        <w:rPr>
          <w:b/>
        </w:rPr>
        <w:t>POSSIBLE 2023:</w:t>
      </w:r>
      <w:r>
        <w:t xml:space="preserve"> The Portuguese Case — https://openalex.org/W7111493077</w:t>
      </w:r>
    </w:p>
    <w:p>
      <w:pPr/>
      <w:r>
        <w:rPr>
          <w:b/>
        </w:rPr>
        <w:t>Shared claim-specific concepts:</w:t>
      </w:r>
      <w:r>
        <w:t xml:space="preserve"> case, portugal, regarding; EU scope visible. This is a provisional connection, not an outcome finding.</w:t>
      </w:r>
    </w:p>
    <w:p>
      <w:pPr>
        <w:pStyle w:val="SourceNote"/>
      </w:pPr>
      <w:r>
        <w:rPr>
          <w:b/>
        </w:rPr>
        <w:t>Available abstract (not full text):</w:t>
      </w:r>
      <w:r>
        <w:t xml:space="preserve"> This article discusses recent historiographical trends regarding the evolution of warfare in Portugal and its overseas empire in the early modern period. It presents a reassessment of the state of art on the Portuguese case in the early modern world (in the kingdom of Portugal in Europe and its overseas empire), followed by some contributions for an ongoing research agenda. It is divided in three parts, presenting overviews of the situation in Europe, overseas and at sea. It concludes that it is difficult to sustain that the Portuguese case supports the case for a link between an alleged military revolution and unilinear state-formation or Western military exceptionalism</w:t>
      </w:r>
    </w:p>
    <w:p>
      <w:pPr/>
      <w:r>
        <w:rPr>
          <w:b/>
        </w:rPr>
        <w:t>POSSIBLE 2023:</w:t>
      </w:r>
      <w:r>
        <w:t xml:space="preserve"> Incidence of Lyme Borreliosis in Europe: A Systematic Review (2005–2020) — https://doi.org/10.1089/vbz.2022.0070</w:t>
      </w:r>
    </w:p>
    <w:p>
      <w:pPr/>
      <w:r>
        <w:rPr>
          <w:b/>
        </w:rPr>
        <w:t>Shared claim-specific concepts:</w:t>
      </w:r>
      <w:r>
        <w:t xml:space="preserve"> case, northern, portugal, used, local; EU scope visible. This is a provisional connection, not an outcome finding.</w:t>
      </w:r>
    </w:p>
    <w:p>
      <w:pPr>
        <w:pStyle w:val="SourceNote"/>
      </w:pPr>
      <w:r>
        <w:rPr>
          <w:b/>
        </w:rPr>
        <w:t>Available abstract (not full text):</w:t>
      </w:r>
      <w:r>
        <w:t xml:space="preserve"> Background: Lyme borreliosis (LB) is the most common tick-borne disease in Europe, but the burden of disease is incompletely described. Methods: We conducted a systematic review across PubMed, EMBASE, and CABI Direct (Global Health) databases, from January 1, 2005, to November 20, 2020, of epidemiological studies reporting incidence of LB in Europe (PROSPERO, CRD42021236906). Results: The systematic review yielded 61 unique articles describing LB incidence (national or subnational) in 25 European countries. Substantial heterogeneity in study designs, populations sampled, and case definitions restricted data comparability. The European Union Concerted Action on Lyme Borreliosis (EUCALB)–published standardized LB case definitions were used by only 13 (21%) of the 61 articles. There were 33 studies that provided national-level LB incidence estimates for 20 countries. Subnational LB incidence was available from an additional four countries (Italy, Lithuania, Norway, and Spain). The highest LB incidences (&gt;100 cases per 100,000 population per year [PPY]) were reported in Belgium, Finland, the Netherlands, and Switzerland. Incidences were 20–40/100,000 PPY in the Czech Republic, Germany, Poland, and Scotland and &lt;20/100,000 PPY in Belarus, Croatia, Denmark, France, Ireland, Portugal, Russia, Slovakia, Sweden, and the United Kingdom (England, Northern Ireland, and Wales); markedly hig</w:t>
      </w:r>
    </w:p>
    <w:p>
      <w:pPr/>
      <w:r>
        <w:rPr>
          <w:b/>
        </w:rPr>
        <w:t>POSSIBLE 2023:</w:t>
      </w:r>
      <w:r>
        <w:t xml:space="preserve"> Ten questions concerning residential overheating in Central and Northern Europe — https://doi.org/10.1016/j.buildenv.2023.110154</w:t>
      </w:r>
    </w:p>
    <w:p>
      <w:pPr/>
      <w:r>
        <w:rPr>
          <w:b/>
        </w:rPr>
        <w:t>Shared claim-specific concepts:</w:t>
      </w:r>
      <w:r>
        <w:t xml:space="preserve"> northern, questions, experts; EU scope visible. This is a provisional connection, not an outcome finding.</w:t>
      </w:r>
    </w:p>
    <w:p>
      <w:pPr>
        <w:pStyle w:val="SourceNote"/>
      </w:pPr>
      <w:r>
        <w:rPr>
          <w:b/>
        </w:rPr>
        <w:t>Available abstract (not full text):</w:t>
      </w:r>
      <w:r>
        <w:t xml:space="preserve"> Rising global temperatures and more frequent heatwaves due to climate change have led to a growing body of research and increased policy focus on how to protect against the adverse effects of heat. In cold and temperate Europe, dwellings have traditionally been designed for cold protection rather than heat mitigation. There is, therefore, a need to understand the mechanisms through which indoor overheating can occur, its effects on occupants and energy consumption, and how we can design, adapt, and operate buildings during warm weather to improve thermal comfort and reduce cooling energy consumption. This paper brings together experts in overheating from across Europe to explore 10 key questions about the causes and risks from overheating in residential settings in Central and Northern Europe, including the way in which we define and measure overheating, its impacts, and its social and policy implications. The focus is not on summarising literature, but rather on identifying the evidence, key challenges and misconceptions, and limitations of current knowledge. Looking ahead, we outline actions needed to adapt, including the (re)design of dwellings, neighbourhoods, and population responses to indoor heat, and the potential shape of these actions. In doing so, we illustrate how heat adaptation is a multi-faceted challenge that requires urgent and coordinated action at multiple le</w:t>
      </w:r>
    </w:p>
    <w:p>
      <w:pPr/>
      <w:r>
        <w:rPr>
          <w:b/>
        </w:rPr>
        <w:t>POSSIBLE 2023:</w:t>
      </w:r>
      <w:r>
        <w:t xml:space="preserve"> Vernacularisation of Documentary Legal Texts in Northern Europe — https://doi.org/10.4312/linguistica.63.1-2.19-39</w:t>
      </w:r>
    </w:p>
    <w:p>
      <w:pPr/>
      <w:r>
        <w:rPr>
          <w:b/>
        </w:rPr>
        <w:t>Shared claim-specific concepts:</w:t>
      </w:r>
      <w:r>
        <w:t xml:space="preserve"> northern, used, questions; EU scope visible. This is a provisional connection, not an outcome finding.</w:t>
      </w:r>
    </w:p>
    <w:p>
      <w:pPr>
        <w:pStyle w:val="SourceNote"/>
      </w:pPr>
      <w:r>
        <w:rPr>
          <w:b/>
        </w:rPr>
        <w:t>Available abstract (not full text):</w:t>
      </w:r>
      <w:r>
        <w:t xml:space="preserve"> At the transition from medieval to early modern Europe, vernaculars became more commonly used in writing in various domain, including administration and law. In the late Middle Ages, vernaculars seem to gain status and start to be regarded as suitable languages for recording municipal matters. But how did this vernacularisation progress in such documentary legal texts? When and why was Latin replaced by vernaculars? To answer these questions, this article presents diachronic quantitative analyses of the language choice in individual entries of two documentary legal sources: the first eight volumes of the Aberdeen Council Registers (1398–1511) and one volume of the Lübecker Niederstadtbuch (1430–1451). The comparative approach to these multilingual texts allows us to trace vernacularisation processes across two language contexts, uncovering similarities and differences between them. In the council registers from Aberdeen, Scots replaced Latin slowly and gradually – a process that took over a century and was far from finished by 1511. In the text from Lübeck, on the other hand, the shift from Latin to Low German was largely completed within about 30 years. In both cases, language practices of the scribes rather than top-down language policies seem to have driven this development. The scribes’ language choices will have been influenced by the use of vernaculars in other texts, inc</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case, northern, used, different;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2023:</w:t>
      </w:r>
      <w:r>
        <w:t xml:space="preserve"> Balancing Electricity Supply and Demand in a Carbon-Neutral Northern Europe — https://doi.org/10.3390/en16083548</w:t>
      </w:r>
    </w:p>
    <w:p>
      <w:pPr/>
      <w:r>
        <w:rPr>
          <w:b/>
        </w:rPr>
        <w:t>Shared claim-specific concepts:</w:t>
      </w:r>
      <w:r>
        <w:t xml:space="preserve"> northern, combination, different, after; EU scope visible. This is a provisional connection, not an outcome finding.</w:t>
      </w:r>
    </w:p>
    <w:p>
      <w:pPr>
        <w:pStyle w:val="SourceNote"/>
      </w:pPr>
      <w:r>
        <w:rPr>
          <w:b/>
        </w:rPr>
        <w:t>Available abstract (not full text):</w:t>
      </w:r>
      <w:r>
        <w:t xml:space="preserve"> This work investigates how to balance the electricity supply and demand in a carbon-neutral northern Europe. Applying a cost-minimizing electricity system model including options to invest in eleven different flexibility measures, cost-efficient combinations of strategies to manage varia-tions are identified. The results of the model are post-processed using a novel method to map the net load before and after flexibility measures are applied to reveal the contribution of each flexi-bility measure. The net load is mapped in the space spanned by the amplitude, duration, and number of occur-rences. The mapping shows that, depending on cost structure, flexibility measures contribute to reduce the net load in three different ways; 1) by reducing variations of long duration but low amplitude, 2) by reducing variations of high amplitude but short duration and low occurrence or 3) by reducing variations of high amplitude, short duration and high occurrence. It is found that cost-efficient variation management is achieved by combining wind and solar power and by combining strategies (1-3) to manage variations. The cost-efficient combination of strategies de-pends on electricity system context where electricity trade, flexible hydrogen and heat production (1) manage the majority of variations in regions with good conditions for wind power while sta-tionary batteries (3) are the main cont</w:t>
      </w:r>
    </w:p>
    <w:p>
      <w:pPr/>
      <w:r>
        <w:rPr>
          <w:b/>
        </w:rPr>
        <w:t>POSSIBLE 2023:</w:t>
      </w:r>
      <w:r>
        <w:t xml:space="preserve"> A Comparison of Analytical Methods for the Determination of Soil pH: Case Study on Burned Soils in Northern Portugal — https://doi.org/10.3390/fire6060227</w:t>
      </w:r>
    </w:p>
    <w:p>
      <w:pPr/>
      <w:r>
        <w:rPr>
          <w:b/>
        </w:rPr>
        <w:t>Shared claim-specific concepts:</w:t>
      </w:r>
      <w:r>
        <w:t xml:space="preserve"> case, northern, portugal, used, after; EU scope visible. This is a provisional connection, not an outcome finding.</w:t>
      </w:r>
    </w:p>
    <w:p>
      <w:pPr>
        <w:pStyle w:val="SourceNote"/>
      </w:pPr>
      <w:r>
        <w:rPr>
          <w:b/>
        </w:rPr>
        <w:t>Available abstract (not full text):</w:t>
      </w:r>
      <w:r>
        <w:t xml:space="preserve"> Wildfires can cause serious imbalances in ecosystems, primarily at the soil level, making it vulnerable to degradation processes such as erosion. During and after a fire, changes occur in soil properties, including pH, which affects the solubility and availability of nutrients. Currently, there is a great diversity of protocols, some involving normalized standards, to determine soil pH, but there is no consensual or universal analytical method for this parameter, especially in burned soils, in which mineral and organic fractions could have been modified. Therefore, the objective of the present work is to evaluate the effect that variations in these analytical protocols may have on pH results. For this, five methods commonly found in the international bibliography for the analysis of pH of soil in water (pHH2O) were selected and compared to propose the most precise procedure. The analytical methods were applied to 43 soil samples, collected in a plot subjected to prescribed burning in the Parque Natural de Montesinho (Northern Portugal). The studied methods differ in the following protocol items: water suspension ratio (1:2.5 or 1:5), mechanical stirring time in the suspension (10 min or 1 h), and in the resting time for the solid particles to settle (15 min or 8 h). The obtained results point to the suitability of the five methods used for soil pH analysis, indicating that ther</w:t>
      </w:r>
    </w:p>
    <w:p>
      <w:pPr>
        <w:pStyle w:val="Heading2"/>
      </w:pPr>
      <w:r>
        <w:t>739. Analysing the potential of integrating wind and solar power in Europe using spatial optimisation under various scenarios</w:t>
      </w:r>
    </w:p>
    <w:p>
      <w:pPr>
        <w:pStyle w:val="SourceNote"/>
      </w:pPr>
      <w:r>
        <w:rPr>
          <w:b/>
        </w:rPr>
        <w:t>Original source (2018):</w:t>
      </w:r>
      <w:r>
        <w:t xml:space="preserve"> https://doi.org/10.1016/j.rser.2018.05.071</w:t>
      </w:r>
    </w:p>
    <w:p>
      <w:pPr/>
      <w:r>
        <w:t>Original wording (abstract; indexed_source_text_not_full_document_verified): We test the potential of this method by modelling several scenarios exploring the effects of vRES penetration, alternative demand profiles, access to wind sites located far offshore, and alternative PV configurations. We find that expanding offshore wind capacity in the North Sea is a ‘no regret’ option, though correlated generation patterns with onshore wind farms in neighbouring countries at high vRES penetration rates may lead to significant surplus generation.</w:t>
      </w:r>
    </w:p>
    <w:p>
      <w:pPr/>
      <w:r>
        <w:rPr>
          <w:b/>
        </w:rPr>
        <w:t>POSSIBLE 2026:</w:t>
      </w:r>
      <w:r>
        <w:t xml:space="preserve"> Exploring QRICH2 as a potential male contraceptive target — https://doi.org/10.1093/reprod/xaaf009</w:t>
      </w:r>
    </w:p>
    <w:p>
      <w:pPr/>
      <w:r>
        <w:rPr>
          <w:b/>
        </w:rPr>
        <w:t>Shared claim-specific concepts:</w:t>
      </w:r>
      <w:r>
        <w:t xml:space="preserve"> potential, exploring, alternative; EU scope not established. This is a provisional connection, not an outcome finding.</w:t>
      </w:r>
    </w:p>
    <w:p>
      <w:pPr>
        <w:pStyle w:val="SourceNote"/>
      </w:pPr>
      <w:r>
        <w:rPr>
          <w:b/>
        </w:rPr>
        <w:t>Available abstract (not full text):</w:t>
      </w:r>
      <w:r>
        <w:t xml:space="preserve"> Today, male contraceptive options remain limited to condoms and vasectomy, highlighting the urgent need for alternative methods. In this context, discovering and characterizing reproductive-tract-specific proteins that can be targeted by natural or chemical molecules is of particular interest. Recent studies on the sperm protein glutamine-rich protein 2 (QRICH2) show that it could represent a promising candidate. Indeed, it has been genetically confirmed to be essential for male fertility in mice, bulls, and humans, with gene knockout and loss-of-function mutations leading to defective sperm and complete infertility without evident accompanying symptoms. However, information on human QRICH2 remains limited. In this study, we aimed to better characterize human QRICH2 to assess its potential as a target for male contraceptive development. Using mass spectrometry, we assessed which of the QRICH2 isoforms described in databases might be expressed in human sperm. Through in silico analyses, we showed that QRICH2 has no paralogs in humans, and is conserved across mammals, particularly in a region containing two functional domains, suggesting their importance for QRICH2 function. Finally, using immunodetection methods and proteomic dataset analyses, we investigated the tissue specificity of QRICH2 by examining its protein expression across 12 human organs. Our results show that QRICH2</w:t>
      </w:r>
    </w:p>
    <w:p>
      <w:pPr/>
      <w:r>
        <w:rPr>
          <w:b/>
        </w:rPr>
        <w:t>POSSIBLE 2024:</w:t>
      </w:r>
      <w:r>
        <w:t xml:space="preserve"> The opportunities and potential of camelina in marginal land in Europe — https://doi.org/10.1016/j.indcrop.2024.118224</w:t>
      </w:r>
    </w:p>
    <w:p>
      <w:pPr/>
      <w:r>
        <w:rPr>
          <w:b/>
        </w:rPr>
        <w:t>Shared claim-specific concepts:</w:t>
      </w:r>
      <w:r>
        <w:t xml:space="preserve"> potential, sites, far, capacity; EU scope visible. This is a provisional connection, not an outcome finding.</w:t>
      </w:r>
    </w:p>
    <w:p>
      <w:pPr>
        <w:pStyle w:val="SourceNote"/>
      </w:pPr>
      <w:r>
        <w:rPr>
          <w:b/>
        </w:rPr>
        <w:t>Available abstract (not full text):</w:t>
      </w:r>
      <w:r>
        <w:t xml:space="preserve"> The European bioeconomy is steadily driving an industrial, economic, and social growth looking for sustainable biobased feedstocks able to replace fossil-based materials. In this scenario, there is an urgent and increasing need to produce locally industrial crops, with multiple applications and broad suitability to different pedo-climates. Furthermore, the actual EU legislation imposes to produce industrial crops not competing with food ones, and one possibility is to grow them on marginal land. Among others, camelina [Camelina sativa (L.) Crantz] has been identified as one of the most suitable options for marginal land in Europe, but so far there is a lack of studies conducted in such conditions able to provide reliable production data, on which it will be possible to build plausible business plans. At this scope different field trials have been established in four European countries, i.e., Italy, Greece, Germany, and Poland, in multiple growing seasons from 2018 to 2021, under different types of marginality. In details, in Italy camelina was tested under steep slopes (25% and 15%), in Greece in a soil with low fertility (pH &lt; 5.5) and adverse terrain conditions (steep slope &gt;12%); in Germany in a soil with limitations in rooting, i.e., rooting depth &lt; 30 cm + stoniness &gt; 15%, and in Poland in two sites one with sand &gt; 40%, and the other with clay &gt; 50% of the texture. Camelin</w:t>
      </w:r>
    </w:p>
    <w:p>
      <w:pPr/>
      <w:r>
        <w:rPr>
          <w:b/>
        </w:rPr>
        <w:t>POSSIBLE 2024:</w:t>
      </w:r>
      <w:r>
        <w:t xml:space="preserve"> Disparities of Central and Eastern European Countries of European Union in innovation potential: A multi-criteria assessment — https://doi.org/10.1016/j.joitmc.2024.100282</w:t>
      </w:r>
    </w:p>
    <w:p>
      <w:pPr/>
      <w:r>
        <w:rPr>
          <w:b/>
        </w:rPr>
        <w:t>Shared claim-specific concepts:</w:t>
      </w:r>
      <w:r>
        <w:t xml:space="preserve"> test, potential, method, capacity; EU scope visible. This is a provisional connection, not an outcome finding.</w:t>
      </w:r>
    </w:p>
    <w:p>
      <w:pPr>
        <w:pStyle w:val="SourceNote"/>
      </w:pPr>
      <w:r>
        <w:rPr>
          <w:b/>
        </w:rPr>
        <w:t>Available abstract (not full text):</w:t>
      </w:r>
      <w:r>
        <w:t xml:space="preserve"> The primary objective of the article is to evaluate the innovation potential of Central and Eastern European Union countries. The Technique for Order of Preference by Similarity to Ideal Solution method was employed to assess and rank this potential. The research was based on 10 indicators that characterize the main areas related to innovation, namely intellectual capital (as a measure of social innovative capacity), financial capital (as a measure of the potential for financing research and development) as well as research and innovation activities. Three objective approaches were used to calculate weights of these evaluation criteria (in the TOPSIS method): Shanon-Entropy, criteria importance through intercriteria correlation and equal weights. As a evaluate of the level of innovation potential of studied CEE countries between 2013-2022, the determined values of the Innovation Potential Index were used to evaluate the studied countries and divide them into four groups. With the use of the two non-parametric test, the relationships of this index with selected parameters were also measured. The research results show that the innovation potential level of CEE countries is highly differentiated. Slovenia, the Czech Republic and Estonia, countries investing in R&amp;D and social development, were found to have a high level of innovation. The remaining countries need to take more decis</w:t>
      </w:r>
    </w:p>
    <w:p>
      <w:pPr/>
      <w:r>
        <w:rPr>
          <w:b/>
        </w:rPr>
        <w:t>POSSIBLE 2023:</w:t>
      </w:r>
      <w:r>
        <w:t xml:space="preserve"> Interactive robots for health in Europe: Technology readiness and adoption potential — https://doi.org/10.3389/fpubh.2023.979225</w:t>
      </w:r>
    </w:p>
    <w:p>
      <w:pPr/>
      <w:r>
        <w:rPr>
          <w:b/>
        </w:rPr>
        <w:t>Shared claim-specific concepts:</w:t>
      </w:r>
      <w:r>
        <w:t xml:space="preserve"> potential, far; EU scope visible. This is a provisional connection, not an outcome finding.</w:t>
      </w:r>
    </w:p>
    <w:p>
      <w:pPr>
        <w:pStyle w:val="SourceNote"/>
      </w:pPr>
      <w:r>
        <w:rPr>
          <w:b/>
        </w:rPr>
        <w:t>Available abstract (not full text):</w:t>
      </w:r>
      <w:r>
        <w:t xml:space="preserve"> Introduction: Social robots are accompanied by high expectations of what they can bring to society and in the healthcare sector. So far, promising assumptions have been presented about how and where social robots are most relevant. We know that the industry has used robots for a long time, but what about social uptake outside industry, specifically, in the healthcare sector? This study discusses what trends are discernible, to better understand the gap between technology readiness and adoption of interactive robots in the welfare and health sectors in Europe. Methods: An assessment of interactive robot applications at the upper levels of the Technology Readiness Level scale is combined with an assessment of adoption potential based on Rogers' theory of diffusion of innovation. Most robot solutions are dedicated to individual rehabilitation or frailty and stress. Fewer solutions are developed for managing welfare services or public healthcare. Results: The results show that while robots are ready from the technological point of view, most of the applications had a low score for demand according to the stakeholders. Discussion: To enhance social uptake, a more initiated discussion, and more studies on the connections between technology readiness and adoption and use are suggested. Applications being available to users does not mean they have an advantage over previous solutions. </w:t>
      </w:r>
    </w:p>
    <w:p>
      <w:pPr/>
      <w:r>
        <w:rPr>
          <w:b/>
        </w:rPr>
        <w:t>POSSIBLE 2022:</w:t>
      </w:r>
      <w:r>
        <w:t xml:space="preserve"> Evaluation of laboratory test methods for assessing the alkali-reactivity potential of aggregates by field site tests — https://doi.org/10.3989/mc.2022.17221</w:t>
      </w:r>
    </w:p>
    <w:p>
      <w:pPr/>
      <w:r>
        <w:rPr>
          <w:b/>
        </w:rPr>
        <w:t>Shared claim-specific concepts:</w:t>
      </w:r>
      <w:r>
        <w:t xml:space="preserve"> test, potential, method, sites; EU scope visible. This is a provisional connection, not an outcome finding.</w:t>
      </w:r>
    </w:p>
    <w:p>
      <w:pPr>
        <w:pStyle w:val="SourceNote"/>
      </w:pPr>
      <w:r>
        <w:rPr>
          <w:b/>
        </w:rPr>
        <w:t>Available abstract (not full text):</w:t>
      </w:r>
      <w:r>
        <w:t xml:space="preserve"> Field site tests were carried out to assess the reliability of the tests developed by RILEM and some regional tests to evaluate the alkali-reactivity potential of aggregates (eight tests were included). One hundred concrete cubes made with 13 different European aggregate combinations were stored on eight different European field sites to compare their expansions with the laboratory test results. All highly reactive aggregate combinations caused significant expansion of concrete cubes within the first six years on all field sites from Norway to Spain. These and the non-reactive aggregate combinations were correctly identified with all laboratory tests. Concrete cubes with moderately reactive aggregate combinations expanded very slowly and mainly in the outdoor exposure sites with warm climate conditions. The RILEM test method AAR-4.1 (60°C accelerated concrete prism test) and the Norwegian concrete prism test at 38°C seem to be best suited to identity the potential reactivity of moderately reactive aggregate combinations.</w:t>
      </w:r>
    </w:p>
    <w:p>
      <w:pPr/>
      <w:r>
        <w:rPr>
          <w:b/>
        </w:rPr>
        <w:t>POSSIBLE 2022:</w:t>
      </w:r>
      <w:r>
        <w:t xml:space="preserve"> Exploring the Potential of Mobile Laser Scanning to Quantify Forest Structural Complexity — https://doi.org/10.3389/frsen.2022.861337</w:t>
      </w:r>
    </w:p>
    <w:p>
      <w:pPr/>
      <w:r>
        <w:rPr>
          <w:b/>
        </w:rPr>
        <w:t>Shared claim-specific concepts:</w:t>
      </w:r>
      <w:r>
        <w:t xml:space="preserve"> potential, several, exploring; EU scope visible. This is a provisional connection, not an outcome finding.</w:t>
      </w:r>
    </w:p>
    <w:p>
      <w:pPr>
        <w:pStyle w:val="SourceNote"/>
      </w:pPr>
      <w:r>
        <w:rPr>
          <w:b/>
        </w:rPr>
        <w:t>Available abstract (not full text):</w:t>
      </w:r>
      <w:r>
        <w:t xml:space="preserve"> Today, creating or maintaining forest structural complexity is a management paradigm in many countries due to the positive relationships between structural complexity and several forest functions and services. In this study, we tested whether the box-dimension (D b ), a holistic and objective measure to describe the structural complexity of trees or forests, can be used to quantify the structural complexity of 14 European beech ( Fagus sylvatica L.) dominated forest plots by means of mobile laser scanning (MLS). The goal of this study was to explore the potential of this approach for quantifying the effect of leaves (summer vs winter) and management (lately unmanaged vs managed) on forest structural complexity. The findings suggest that repeated measurements on the same site and at the same time yielded consistent results if the measuring scheme is standardized. The results also showed that standardized measurement protocols allowed quantifying differences in forest structural complexity due to season. The highest stand structural complexity was found in leaf-on condition during summer, with the complexity being significantly higher than in winter condition. Also, in case of our beech-dominated plots, managed forests were more complex in structure than formerly managed but now unmanaged forests. This study illustrates the potential of MLS for monitoring the changes in forest st</w:t>
      </w:r>
    </w:p>
    <w:p>
      <w:pPr/>
      <w:r>
        <w:rPr>
          <w:b/>
        </w:rPr>
        <w:t>POSSIBLE 2022:</w:t>
      </w:r>
      <w:r>
        <w:t xml:space="preserve"> Giardia duodenalis in Wildlife: Exploring Genotype Diversity in Italy and across Europe — https://doi.org/10.3390/pathogens11010105</w:t>
      </w:r>
    </w:p>
    <w:p>
      <w:pPr/>
      <w:r>
        <w:rPr>
          <w:b/>
        </w:rPr>
        <w:t>Shared claim-specific concepts:</w:t>
      </w:r>
      <w:r>
        <w:t xml:space="preserve"> exploring, far, find; EU scope visible. This is a provisional connection, not an outcome finding.</w:t>
      </w:r>
    </w:p>
    <w:p>
      <w:pPr>
        <w:pStyle w:val="SourceNote"/>
      </w:pPr>
      <w:r>
        <w:rPr>
          <w:b/>
        </w:rPr>
        <w:t>Available abstract (not full text):</w:t>
      </w:r>
      <w:r>
        <w:t xml:space="preserve"> Fragmented data are so far available on genotype diversity of G. duodenalis in wildlife in different countries in Europe, in particular, in Italy. In the present study, G. duodenalis sequences obtained from different Italian wild animals [12 porcupines (Hystrix cristata), 4 wild boars (Sus scrofa), 1 wolf (Canis lupus italicus), 6 Alpine chamois (Rupicapra rupicapra rupicapra)] were compared with those available from wild host species in Europe to add new data on the geographic distribution of Giardia assemblages/sub-assemblages and their transmission patterns among natural hosts. Thirty-eight sequences were obtained by MLG analysis (SSU-rRNA, bg, gdh, and tpi genes) and subsequently compared by phylogenetic and network analyses with those from wild species monitored in the last decades in Europe. The results revealed the presence of potentially zoonotic (A-AI, A-AII from wild boar; B from porcupine) and host-adapted (D from wolf; E, A-AIII from chamois) assemblages and sub-assemblages and represent the first report for Italian wild boar. The analysis did not find any evidence of spatial or host segregation for specific genetic variants, mostly shared between different hosts from different European countries. However, conflicting evidence was found in genotypic assignment, advocating for data improvement and new genomic approaches.</w:t>
      </w:r>
    </w:p>
    <w:p>
      <w:pPr/>
      <w:r>
        <w:rPr>
          <w:b/>
        </w:rPr>
        <w:t>POSSIBLE 2021:</w:t>
      </w:r>
      <w:r>
        <w:t xml:space="preserve"> Testing UNFC as a harmonized supporting tool for resource management in Europe — https://doi.org/10.5194/egusphere-egu21-15566</w:t>
      </w:r>
    </w:p>
    <w:p>
      <w:pPr/>
      <w:r>
        <w:rPr>
          <w:b/>
        </w:rPr>
        <w:t>Shared claim-specific concepts:</w:t>
      </w:r>
      <w:r>
        <w:t xml:space="preserve"> test, potential; EU scope visible. This is a provisional connection, not an outcome finding.</w:t>
      </w:r>
    </w:p>
    <w:p>
      <w:pPr>
        <w:pStyle w:val="SourceNote"/>
      </w:pPr>
      <w:r>
        <w:rPr>
          <w:b/>
        </w:rPr>
        <w:t>Available abstract (not full text):</w:t>
      </w:r>
      <w:r>
        <w:t xml:space="preserve"> With the global increase in raw material demand comes the need for harmonized supporting tools for sustainable resource management in Europe. Europe needs to assess their resource potential, but the European countries do not have a common tool to aggregate information for continent-wide resource inventories. The United Nations Framework Classification for Resources (UNFC) is a system that may be used for this purpose. One of the specific tasks in the MINTELL4EU project under the GeoERA programme is to test if the European geological surveys will be able to use UNFC as a tool to evaluate a country’s known and potential resources across variable levels of knowledge. The project will also show, if the application of UNFC can provide better harmonization of mineral resource data nationally and across Europe. The work on UNFC in MINTELL4EU is based on case studies to gain experience. Based on the knowledge and lessons learned from the case studies, guidelines and recommendations for further work will be given. Preliminary results show that there is a need for a more harmonized system and that stricter guidelines are required. On top of this, there are different levels of experience in UNFC among the European geological surveys, and the approach and methods on UNFC varies between the countries.</w:t>
      </w:r>
    </w:p>
    <w:p>
      <w:pPr/>
      <w:r>
        <w:rPr>
          <w:b/>
        </w:rPr>
        <w:t>POSSIBLE 2021:</w:t>
      </w:r>
      <w:r>
        <w:t xml:space="preserve"> Health Inequality Analysis in Europe: Exploring the Potential of the EQ-5D as Outcome — https://doi.org/10.3389/fpubh.2021.744405</w:t>
      </w:r>
    </w:p>
    <w:p>
      <w:pPr/>
      <w:r>
        <w:rPr>
          <w:b/>
        </w:rPr>
        <w:t>Shared claim-specific concepts:</w:t>
      </w:r>
      <w:r>
        <w:t xml:space="preserve"> potential, exploring; EU scope visible. This is a provisional connection, not an outcome finding.</w:t>
      </w:r>
    </w:p>
    <w:p>
      <w:pPr>
        <w:pStyle w:val="SourceNote"/>
      </w:pPr>
      <w:r>
        <w:rPr>
          <w:b/>
        </w:rPr>
        <w:t>Available abstract (not full text):</w:t>
      </w:r>
      <w:r>
        <w:t xml:space="preserve"> Objective: This study explored the additive value of the multi-item EuroQol 5-Dimension 5-Level (EQ-5D-5L) as an outcome measure in health inequality analyses, relative to the single-item EuroQol visual analog scale (EQ VAS). Methods: A sample comprising the general population from Italy, the Netherlands, and United Kingdom (UK) completed the EQ-5D-5L and the EQ VAS. The level of education was selected as a proxy for socio-economic status (SES). EQ-5D-5L level sum scores (LSS) were compared against EQ VAS scores. Stratified and multivariable analyses were used to study the associations between SES and the LSS/EQ VAS relative to the presence of chronic health conditions. Results: A total of 10,172 people participated in this study. In the UK and Netherlands, the LSS was worst for respondents with a low educational level and better for respondents with middle and high educational levels. For Italy, the LSS was best for respondents with a middle educational level compared to respondents with low and high educational levels. The same patterns were observed for the EQ VAS, but differences were slightly smaller. Multivariable analyses showed generally stronger predictive relations in the UK, and with the LSS. The presence of chronic health conditions and being unable to work were independent strong predictors, canceling out the effects of education. Conclusions: In three different Eu</w:t>
      </w:r>
    </w:p>
    <w:p>
      <w:pPr/>
      <w:r>
        <w:rPr>
          <w:b/>
        </w:rPr>
        <w:t>POSSIBLE 2021:</w:t>
      </w:r>
      <w:r>
        <w:t xml:space="preserve"> Exploring the therapeutic potential of mitochondrial uncouplers in cancer — https://doi.org/10.1016/j.molmet.2021.101222</w:t>
      </w:r>
    </w:p>
    <w:p>
      <w:pPr/>
      <w:r>
        <w:rPr>
          <w:b/>
        </w:rPr>
        <w:t>Shared claim-specific concepts:</w:t>
      </w:r>
      <w:r>
        <w:t xml:space="preserve"> potential, several, exploring; EU scope not established. This is a provisional connection, not an outcome finding.</w:t>
      </w:r>
    </w:p>
    <w:p>
      <w:pPr>
        <w:pStyle w:val="SourceNote"/>
      </w:pPr>
      <w:r>
        <w:rPr>
          <w:b/>
        </w:rPr>
        <w:t>Available abstract (not full text):</w:t>
      </w:r>
      <w:r>
        <w:t xml:space="preserve"> BACKGROUND: Mitochondrial uncouplers are well-known for their ability to treat a myriad of metabolic diseases, including obesity and fatty liver diseases. However, for many years now, mitochondrial uncouplers have also been evaluated in diverse models of cancer in vitro and in vivo. Furthermore, some mitochondrial uncouplers are now in clinical trials for cancer, although none have yet been approved for the treatment of cancer. SCOPE OF REVIEW: In this review we summarise published studies in which mitochondrial uncouplers have been investigated as an anti-cancer therapy in preclinical models. In many cases, mitochondrial uncouplers show strong anti-cancer effects both as single agents, and in combination therapies, and some are more toxic to cancer cells than normal cells. Furthermore, the mitochondrial uncoupling mechanism of action in cancer cells has been described in detail, with consistencies and inconsistencies between different structural classes of uncouplers. For example, many mitochondrial uncouplers decrease ATP levels and disrupt key metabolic signalling pathways such as AMPK/mTOR but have different effects on reactive oxygen species (ROS) production. Many of these effects oppose aberrant phenotypes common in cancer cells that ultimately result in cell death. We also highlight several gaps in knowledge that need to be addressed before we have a clear direction and </w:t>
      </w:r>
    </w:p>
    <w:p>
      <w:pPr/>
      <w:r>
        <w:rPr>
          <w:b/>
        </w:rPr>
        <w:t>POSSIBLE 2021:</w:t>
      </w:r>
      <w:r>
        <w:t xml:space="preserve"> Exploring the potential of coconut shell biomass for charcoal production — https://doi.org/10.1016/j.asej.2021.05.013</w:t>
      </w:r>
    </w:p>
    <w:p>
      <w:pPr/>
      <w:r>
        <w:rPr>
          <w:b/>
        </w:rPr>
        <w:t>Shared claim-specific concepts:</w:t>
      </w:r>
      <w:r>
        <w:t xml:space="preserve"> potential, several, exploring, alternative; EU scope not established. This is a provisional connection, not an outcome finding.</w:t>
      </w:r>
    </w:p>
    <w:p>
      <w:pPr>
        <w:pStyle w:val="SourceNote"/>
      </w:pPr>
      <w:r>
        <w:rPr>
          <w:b/>
        </w:rPr>
        <w:t>Available abstract (not full text):</w:t>
      </w:r>
      <w:r>
        <w:t xml:space="preserve"> Coconut shells are produced in a vast amount around tropical countries that needs to be utilized properly. Thermochemical methods are the main route for converting biomass to charcoal. Percentage of some relative factors in the biomass such as low-density, low caloric value, high ash, SOX, NOX, moisture content, microstructure, and complex elements are its major drawbacks. Nevertheless, no scientific studies were conducted on the carbonization of converting coconut shells to charcoal from local to global scales. Therefore, comprehensive and precise data on its production is limited. To overcome these problems; biomass materials need to be evaluated to assure the suitability of the biomass for the thermochemical process to curtail the yearning of energy demand. For the overall efficiency of the biomass conversion processes into the preference biomass-derived fuel, it is important to understand the physicochemical characteristics of the biomass. The paper aims at understanding the specialties of coconut shell biomass, which is directly used for thermochemical conversion mainly for charcoal production via; chemical structure, energy potential, and morphological analysis. The biomass exhibits a high: density of 412 kg/m3, a calorific value of 19.4 MJ/kg, fixed carbon of 21.8%, a volatile matter of 70.8%, carbon of 40.1%, and low amount moisture of 5.6%, and ash of 1.8%. EDX and XRF</w:t>
      </w:r>
    </w:p>
    <w:p>
      <w:pPr/>
      <w:r>
        <w:rPr>
          <w:b/>
        </w:rPr>
        <w:t>POSSIBLE 2021:</w:t>
      </w:r>
      <w:r>
        <w:t xml:space="preserve"> Regional analysis of multivariate compound coastal flooding potential around Europe and environs: sensitivity analysis and spatial patterns — https://doi.org/10.5194/nhess-21-2021-2021</w:t>
      </w:r>
    </w:p>
    <w:p>
      <w:pPr/>
      <w:r>
        <w:rPr>
          <w:b/>
        </w:rPr>
        <w:t>Shared claim-specific concepts:</w:t>
      </w:r>
      <w:r>
        <w:t xml:space="preserve"> potential, method, several, located, north, sea; EU scope visible. This is a provisional connection, not an outcome finding.</w:t>
      </w:r>
    </w:p>
    <w:p>
      <w:pPr>
        <w:pStyle w:val="SourceNote"/>
      </w:pPr>
      <w:r>
        <w:rPr>
          <w:b/>
        </w:rPr>
        <w:t>Available abstract (not full text):</w:t>
      </w:r>
      <w:r>
        <w:t xml:space="preserve"> Abstract. In coastal regions, floods can arise through a combination of multiple drivers, including direct surface run- off, river discharge, storm surge and waves. In this study, we analyse compound flood potential in Europe caused by these four main flooding sources using state-of-the-art databases with homogenous forcing (i.e., ERA5). First, we perform an analysis to assess the sensitivity of the compound flooding potential to several factors: 1) sampling method; 2) time window to select the concurrent event of the conditioned driver; 3) dependence metrics; 4) wave-driven sea level definition. We observe higher correlation coefficients using annual maxima than peaks over threshold. Regarding the other factors, our results show similar spatial distributions of the compound flooding potential. Second, the dependence between the pairs of drivers using the Kendall's rank correlation coefficient and the joint occurrence are synthesized for coherent patterns of compound flooding potential using a clustering technique. This quantitative multi-driver assessment not only distinguishes where overall compound flooding potential is the highest, but also discriminates which driver combinations are more likely to contribute to compound flooding. We identify hotspots of compound flooding potential located along the southern coast of the North Atlantic Ocean and the northern coast of the Me</w:t>
      </w:r>
    </w:p>
    <w:p>
      <w:pPr>
        <w:pStyle w:val="Heading2"/>
      </w:pPr>
      <w:r>
        <w:t>740. Assessing the Future of Renewable Energy Consumption for United Kingdom, Turkey and Nigeria</w:t>
      </w:r>
    </w:p>
    <w:p>
      <w:pPr>
        <w:pStyle w:val="SourceNote"/>
      </w:pPr>
      <w:r>
        <w:rPr>
          <w:b/>
        </w:rPr>
        <w:t>Original source (2018):</w:t>
      </w:r>
      <w:r>
        <w:t xml:space="preserve"> https://doi.org/10.17323/2500-2597.2018.4.62.77</w:t>
      </w:r>
    </w:p>
    <w:p>
      <w:pPr/>
      <w:r>
        <w:t>Original wording (abstract; indexed_source_text_not_full_document_verified): Then, a prediction model is developed for the year 2030. These findings support the advantages of government policies encouraging the use of RE by implementing RE markets and RE portfolio standards to not only enhance the security and environmental concerns, but also from a macroeconomic point of view (stable economic growth).</w:t>
      </w:r>
    </w:p>
    <w:p>
      <w:pPr/>
      <w:r>
        <w:rPr>
          <w:b/>
        </w:rPr>
        <w:t>POSSIBLE 2026:</w:t>
      </w:r>
      <w:r>
        <w:t xml:space="preserve"> Explainable AI-Based Clinical Decision Support System for Early Prediction of Pathological Findings in Forensic Practice — https://doi.org/10.48175/ijarsct-37846</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Background: The number of cases, subjectivity of the examiner and difficulty of integrating the different modes of evidence are all increasing challenges in forensic pathology. Whilst identification of the cause of death is strongly provided for, and characterization of trauma is a critical unmet need, neither can be achieved early and accurately. Methods: We propose an Explainable Artificial Intelligence Clinical Decision Support System (XAI-CDSS) combining a hybrid ensemble of Random Forest, XGBoost and Long Short-Term Memory (LSTM) networks, three complementary explainability modules: SHapley Additive exPlanations (SHAP), Local Interpretable Model-Agnostic Explanations (LIME), and Gradient-weighted Class Activation Mapping (Grad-CAM). Model training and evaluation were carried out on a subset of a multimodal forensic database 4,872 post-mortem cases collected by five different regional forensic centres which includes clinical data, toxicological data, CT imaging indices and histopathological grades. The class imbalance was addressed by using Bayesian hyperparameter optimisation and Synthetic Minority Over-sampling Technique (SMOTE). Results: The proposed XAI-CDSS outperformed other benchmark models achieved an overall accuracy of 96.2%, AUC-ROC of 0.974, sensitivity of 95.8% and specificity of 96.7% as compared to stand-alone XGBoost (94.1%), Random Forest (93.2%), SVM (90.8</w:t>
      </w:r>
    </w:p>
    <w:p>
      <w:pPr/>
      <w:r>
        <w:rPr>
          <w:b/>
        </w:rPr>
        <w:t>POSSIBLE 2025:</w:t>
      </w:r>
      <w:r>
        <w:t xml:space="preserve"> Breathalyzer as a Remote Monitoring and Support System for AUD: Early Findings on Dropout and Relapse Prediction Using Machine Learning — https://doi.org/10.1007/978-3-032-00656-1_14</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Interpretable (“Explainable”) Machine Learning in Osteoporosis Case Finding: Using SHAP values in clinical decision-support for the FREM Fracture Prediction Algorithm — https://openalex.org/W7113059247</w:t>
      </w:r>
    </w:p>
    <w:p>
      <w:pPr/>
      <w:r>
        <w:rPr>
          <w:b/>
        </w:rPr>
        <w:t>Shared claim-specific concepts:</w:t>
      </w:r>
      <w:r>
        <w:t xml:space="preserve"> prediction, not, only, but, also; EU scope not established. This is a provisional connection, not an outcome finding.</w:t>
      </w:r>
    </w:p>
    <w:p>
      <w:pPr>
        <w:pStyle w:val="SourceNote"/>
      </w:pPr>
      <w:r>
        <w:rPr>
          <w:b/>
        </w:rPr>
        <w:t>Available abstract (not full text):</w:t>
      </w:r>
      <w:r>
        <w:t xml:space="preserve"> We propose to evaluate the FREM -based relative risk estimates to promote osteoporosis case-finding in general practice. Importantly this alerts practitioners not only to the level of risk but also to the personalized factors driving the risk assessment.</w:t>
      </w:r>
    </w:p>
    <w:p>
      <w:pPr/>
      <w:r>
        <w:rPr>
          <w:b/>
        </w:rPr>
        <w:t>POSSIBLE 2025:</w:t>
      </w:r>
      <w:r>
        <w:t xml:space="preserve"> On Support Samples of Next Word Prediction — https://doi.org/10.18653/v1/2025.acl-long.507</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Language models excel in various tasks by making complex decisions, yet understanding the rationale behind these decisions remains a challenge.This paper investigates data-centric interpretability in language models, focusing on the next-word prediction task.Using representer theorem, we identify two types of support samples-those that either promote or deter specific predictions.Our findings reveal that being a support sample is an intrinsic property, predictable even before training begins.Additionally, while non-support samples are less influential in direct predictions, they play a critical role in preventing overfitting and shaping generalization and representation learning.Notably, the importance of non-support samples increases in deeper layers, suggesting their significant role in intermediate representation formation.These insights shed light on the interplay between data and model decisions, offering a new dimension to understanding language model behavior and interpretability. 1 * Equal contribution. 1 Our source code is publicly available at https://github.com/liyuqian44/ On-Support-Samples-of-Next-Word-Prediction.</w:t>
      </w:r>
    </w:p>
    <w:p>
      <w:pPr/>
      <w:r>
        <w:rPr>
          <w:b/>
        </w:rPr>
        <w:t>POSSIBLE 2025:</w:t>
      </w:r>
      <w:r>
        <w:t xml:space="preserve"> Support Vector Machines in Stock Price Prediction — https://doi.org/10.1002/9781394311682.ch22</w:t>
      </w:r>
    </w:p>
    <w:p>
      <w:pPr/>
      <w:r>
        <w:rPr>
          <w:b/>
        </w:rPr>
        <w:t>Shared claim-specific concepts:</w:t>
      </w:r>
      <w:r>
        <w:t xml:space="preserve"> prediction, findings, support, advantages; EU scope not established. This is a provisional connection, not an outcome finding.</w:t>
      </w:r>
    </w:p>
    <w:p>
      <w:pPr>
        <w:pStyle w:val="SourceNote"/>
      </w:pPr>
      <w:r>
        <w:rPr>
          <w:b/>
        </w:rPr>
        <w:t>Available abstract (not full text):</w:t>
      </w:r>
      <w:r>
        <w:t xml:space="preserve"> The current discussion about predicting the stock market demonstrates the vital significance of Support Vector Machines (SVMs) as a powerful analytical tool. Nevertheless, existing work has often overlooked the fundamental limitations of Support Vector Machines (SVMs), including their restricted effectiveness in dealing with skewed data distributions. The current study proposes to fill the gap in academic research by thoroughly evaluating previous findings and methodological methods of 25 papers in stock price prediction using Support Vector Machines (SVMs). This paper thoroughly analyzes previous research to present a new and highly anticipated model that effectively combines oversampling approaches with cost-sensitive learning mechanisms to improve the problem of unbalanced data. This suggested merger leverages the complementary advantages of both methodologies while reducing their limitations resulting in improvements in the accuracy and reliability of SVM-based models in stock market prediction. The study's empirical findings highlight the effectiveness of the suggested framework in providing more reliable forecasts regarding changes in stock prices. Moreover, the conversation includes an examination of the practical consequences, inherent difficulties, and potential directions for future research efforts. This work significantly contributes to the scholarly discourse and p</w:t>
      </w:r>
    </w:p>
    <w:p>
      <w:pPr/>
      <w:r>
        <w:rPr>
          <w:b/>
        </w:rPr>
        <w:t>POSSIBLE 2024:</w:t>
      </w:r>
      <w:r>
        <w:t xml:space="preserve"> Developing clinical prediction models: a step-by-step guide — https://doi.org/10.1136/bmj-2023-078276</w:t>
      </w:r>
    </w:p>
    <w:p>
      <w:pPr/>
      <w:r>
        <w:rPr>
          <w:b/>
        </w:rPr>
        <w:t>Shared claim-specific concepts:</w:t>
      </w:r>
      <w:r>
        <w:t xml:space="preserve"> prediction, also; EU scope not established. This is a provisional connection, not an outcome finding.</w:t>
      </w:r>
    </w:p>
    <w:p>
      <w:pPr>
        <w:pStyle w:val="SourceNote"/>
      </w:pPr>
      <w:r>
        <w:rPr>
          <w:b/>
        </w:rPr>
        <w:t>Available abstract (not full text):</w:t>
      </w:r>
      <w:r>
        <w:t xml:space="preserve"> Predicting future outcomes of patients is essential to clinical practice, with many prediction models published each year. Empirical evidence suggests that published studies often have severe methodological limitations, which undermine their usefulness. This article presents a step-by-step guide to help researchers develop and evaluate a clinical prediction model. The guide covers best practices in defining the aim and users, selecting data sources, addressing missing data, exploring alternative modelling options, and assessing model performance. The steps are illustrated using an example from relapsing-remitting multiple sclerosis. Comprehensive R code is also provided.</w:t>
      </w:r>
    </w:p>
    <w:p>
      <w:pPr/>
      <w:r>
        <w:rPr>
          <w:b/>
        </w:rPr>
        <w:t>POSSIBLE 2024:</w:t>
      </w:r>
      <w:r>
        <w:t xml:space="preserve"> Machine Learning Approaches for Stroke Risk Prediction: Findings from the Suita Study — https://doi.org/10.3390/jcdd11070207</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Stroke constitutes a significant public health concern due to its impact on mortality and morbidity. This study investigates the utility of machine learning algorithms in predicting stroke and identifying key risk factors using data from the Suita study, comprising 7389 participants and 53 variables. Initially, unsupervised k-prototype clustering categorized participants into risk clusters, while five supervised models including Logistic Regression (LR), Random Forest (RF), Support Vector Machine (SVM), Extreme Gradient Boosting (XGBoost), and Light Gradient Boosted Machine (LightGBM) were employed to predict stroke outcomes. Stroke incidence disparities among identified risk clusters using the unsupervised k-prototype clustering method are substantial, according to the findings. Supervised learning, particularly RF, was a preferable option because of the higher levels of performance metrics. The Shapley Additive Explanations (SHAP) method identified age, systolic blood pressure, hypertension, estimated glomerular filtration rate, metabolic syndrome, and blood glucose level as key predictors of stroke, aligning with findings from the unsupervised clustering approach in high-risk groups. Additionally, previously unidentified risk factors such as elbow joint thickness, fructosamine, hemoglobin, and calcium level demonstrate potential for stroke prediction. In conclusion, machine </w:t>
      </w:r>
    </w:p>
    <w:p>
      <w:pPr/>
      <w:r>
        <w:rPr>
          <w:b/>
        </w:rPr>
        <w:t>POSSIBLE 2024:</w:t>
      </w:r>
      <w:r>
        <w:t xml:space="preserve"> Prediction in bilingual sentence processing — https://doi.org/10.1075/lab.22102.mei</w:t>
      </w:r>
    </w:p>
    <w:p>
      <w:pPr/>
      <w:r>
        <w:rPr>
          <w:b/>
        </w:rPr>
        <w:t>Shared claim-specific concepts:</w:t>
      </w:r>
      <w:r>
        <w:t xml:space="preserve"> prediction, findings, support, use, also; EU scope not established. This is a provisional connection, not an outcome finding.</w:t>
      </w:r>
    </w:p>
    <w:p>
      <w:pPr>
        <w:pStyle w:val="SourceNote"/>
      </w:pPr>
      <w:r>
        <w:rPr>
          <w:b/>
        </w:rPr>
        <w:t>Available abstract (not full text):</w:t>
      </w:r>
      <w:r>
        <w:t xml:space="preserve"> Abstract The Unified Competition Model ( MacWhinney, 2012 ) accounts for cross-linguistic differences in thematic role mapping. We investigated production and predictive use of accusative case morphology in Russian-Hebrew bilingual children. We also investigated the role of production in predictive processing testing the Prediction-by-Production Account ( Pickering &amp; Garrod, 2018 ) vs. the Missing Surface Inflection Hypothesis ( Prévost &amp; White, 2000 ). Three groups of children aged 4–8 participated: Russian-Hebrew-speaking bilinguals, Russian-speaking and Hebrew-speaking monolingual controls. All children participated in the accusative case production and Visual-World eye-tracking comprehension experiments. Bilinguals were tested in both of their languages. The results of the study confirmed the predictions of the Unified Competition Model showing typological differences in the strength of the case-marking cue and its predictive use in sentence processing in Russian- and Hebrew-speaking controls. While Russian-speaking monolinguals relied on case marking to predict the upcoming agent/patient, the performance of Hebrew-speaking monolingual children varied. The findings for bilinguals showed that despite their lower production accuracy in both languages, they were either indistinguishable from monolinguals or showed an advantage in the predictive use of case morphology. The find</w:t>
      </w:r>
    </w:p>
    <w:p>
      <w:pPr/>
      <w:r>
        <w:rPr>
          <w:b/>
        </w:rPr>
        <w:t>POSSIBLE 2024:</w:t>
      </w:r>
      <w:r>
        <w:t xml:space="preserve"> Diabetes Prediction Based on Support Vector Machine Model — https://doi.org/10.54097/ygdasy74</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Diabetes is a chronic condition, the symptoms of which may be relatively mild in the initial stages. Consequently, early prediction is of paramount importance for disease management and treatment. This study aims to employ a Support Vector Machine (SVM) model for the prognostication of diabetes risk. In comparison to conventional prediction techniques, SVMs are adept at capturing complex nonlinear relationships, and possess the capability to handle high-dimensional data and model nonlinearities effectively. By leveraging the strengths of SVMs, it is possible to anticipate the risk of diabetes based on various diagnostic indicators, thereby mitigating the severity of the condition and the risk of complications. The findings of this research offer valuable insights for the management and treatment of diabetes, holding significant application potential for the improvement of diagnosis and therapeutic strategies for diabetic patients.</w:t>
      </w:r>
    </w:p>
    <w:p>
      <w:pPr/>
      <w:r>
        <w:rPr>
          <w:b/>
        </w:rPr>
        <w:t>POSSIBLE 2024:</w:t>
      </w:r>
      <w:r>
        <w:t xml:space="preserve"> Illusory generalizability of clinical prediction models — https://doi.org/10.1126/science.adg8538</w:t>
      </w:r>
    </w:p>
    <w:p>
      <w:pPr/>
      <w:r>
        <w:rPr>
          <w:b/>
        </w:rPr>
        <w:t>Shared claim-specific concepts:</w:t>
      </w:r>
      <w:r>
        <w:t xml:space="preserve"> prediction, developed, not, but; EU scope not established. This is a provisional connection, not an outcome finding.</w:t>
      </w:r>
    </w:p>
    <w:p>
      <w:pPr>
        <w:pStyle w:val="SourceNote"/>
      </w:pPr>
      <w:r>
        <w:rPr>
          <w:b/>
        </w:rPr>
        <w:t>Available abstract (not full text):</w:t>
      </w:r>
      <w:r>
        <w:t xml:space="preserve"> It is widely hoped that statistical models can improve decision-making related to medical treatments. Because of the cost and scarcity of medical outcomes data, this hope is typically based on investigators observing a model's success in one or two datasets or clinical contexts. We scrutinized this optimism by examining how well a machine learning model performed across several independent clinical trials of antipsychotic medication for schizophrenia. Models predicted patient outcomes with high accuracy within the trial in which the model was developed but performed no better than chance when applied out-of-sample. Pooling data across trials to predict outcomes in the trial left out did not improve predictions. These results suggest that models predicting treatment outcomes in schizophrenia are highly context-dependent and may have limited generalizability.</w:t>
      </w:r>
    </w:p>
    <w:p>
      <w:pPr/>
      <w:r>
        <w:rPr>
          <w:b/>
        </w:rPr>
        <w:t>POSSIBLE 2024:</w:t>
      </w:r>
      <w:r>
        <w:t xml:space="preserve"> Prediction models for personalized — https://doi.org/10.26481/dis.20250122ft</w:t>
      </w:r>
    </w:p>
    <w:p>
      <w:pPr/>
      <w:r>
        <w:rPr>
          <w:b/>
        </w:rPr>
        <w:t>Shared claim-specific concepts:</w:t>
      </w:r>
      <w:r>
        <w:t xml:space="preserve"> prediction, but; EU scope not established. This is a provisional connection, not an outcome finding.</w:t>
      </w:r>
    </w:p>
    <w:p>
      <w:pPr>
        <w:pStyle w:val="SourceNote"/>
      </w:pPr>
      <w:r>
        <w:rPr>
          <w:b/>
        </w:rPr>
        <w:t>Available abstract (not full text):</w:t>
      </w:r>
      <w:r>
        <w:t xml:space="preserve"> Background: To maximize the likelihood of positive outcome in non-small-cell lung cancer (NSCLC) survivors, potential benefits of treatment modalities have to be weighed against the possibilities of damage to normal tissues, such as the heart.Highquality data-driven evidence regarding appropriate risk stratification strategies is still scarce.The aim of this review is to summarize and appraise available prediction models for treatment-induced cardiac events in patients with NSCLC.Methods: A systematic search of MEDLINE was performed using a Boolean combination of appropriate truncation and indexing terms related to "NSCLC", "prediction models", "cardiac toxicity", and "treatment modalities".The following exclusion criteria were applied: sample-size of less than 100, no significant predictors in multivariate analysis, lack of model specifications, and case-mix studies.The generic inverse variance method was used to pool the summary effect estimate for each predictor.The quality of the papers was assessed using the Prediction model Risk Of Bias Assessment Tool.Results: Of the 3,056 papers retrieved, 28 prediction models were identified, including seven for (chemo-)radiotherapy, one for immunotherapy, and 20 for surgical resection.Forty-one distinct predictors were entered in the prediction models.The pooled effect estimate of the mean heart dose (HR=1.06,95%CI:1.04-1.08)and histo</w:t>
      </w:r>
    </w:p>
    <w:p>
      <w:pPr/>
      <w:r>
        <w:rPr>
          <w:b/>
        </w:rPr>
        <w:t>POSSIBLE 2023:</w:t>
      </w:r>
      <w:r>
        <w:t xml:space="preserve"> There is no such thing as a validated prediction model — https://doi.org/10.1186/s12916-023-02779-w</w:t>
      </w:r>
    </w:p>
    <w:p>
      <w:pPr/>
      <w:r>
        <w:rPr>
          <w:b/>
        </w:rPr>
        <w:t>Shared claim-specific concepts:</w:t>
      </w:r>
      <w:r>
        <w:t xml:space="preserve"> prediction, support, not, but; EU scope not established. This is a provisional connection, not an outcome finding.</w:t>
      </w:r>
    </w:p>
    <w:p>
      <w:pPr>
        <w:pStyle w:val="SourceNote"/>
      </w:pPr>
      <w:r>
        <w:rPr>
          <w:b/>
        </w:rPr>
        <w:t>Available abstract (not full text):</w:t>
      </w:r>
      <w:r>
        <w:t xml:space="preserve"> BACKGROUND: Clinical prediction models should be validated before implementation in clinical practice. But is favorable performance at internal validation or one external validation sufficient to claim that a prediction model works well in the intended clinical context? MAIN BODY: We argue to the contrary because (1) patient populations vary, (2) measurement procedures vary, and (3) populations and measurements change over time. Hence, we have to expect heterogeneity in model performance between locations and settings, and across time. It follows that prediction models are never truly validated. This does not imply that validation is not important. Rather, the current focus on developing new models should shift to a focus on more extensive, well-conducted, and well-reported validation studies of promising models. CONCLUSION: Principled validation strategies are needed to understand and quantify heterogeneity, monitor performance over time, and update prediction models when appropriate. Such strategies will help to ensure that prediction models stay up-to-date and safe to support clinical decision-making.</w:t>
      </w:r>
    </w:p>
    <w:p>
      <w:pPr>
        <w:pStyle w:val="Heading2"/>
      </w:pPr>
      <w:r>
        <w:t>741. Baltic herring for food: Shades of grey in how backcasting recommendations work across exploratory scenarios</w:t>
      </w:r>
    </w:p>
    <w:p>
      <w:pPr>
        <w:pStyle w:val="SourceNote"/>
      </w:pPr>
      <w:r>
        <w:rPr>
          <w:b/>
        </w:rPr>
        <w:t>Original source (2018):</w:t>
      </w:r>
      <w:r>
        <w:t xml:space="preserve"> https://doi.org/10.1016/j.techfore.2018.11.001</w:t>
      </w:r>
    </w:p>
    <w:p>
      <w:pPr/>
      <w:r>
        <w:t>Original wording (abstract; indexed_source_text_not_full_document_verified): The case study: 1) develops recommendations on how the use of Baltic herring as food can be increased based on a participatory backcasting workshop with fisheries experts; 2) identifies four exploratory scenarios on the future of Baltic fisheries governance based on a literature review; 3) assesses how the recommendations work under four alternative plausible futures. Together, these stress the need to analyse simultaneously multiple drivers, stakeholders, exploratory scenarios, normative recommendations, and synergies and frictions between recommendations.</w:t>
      </w:r>
    </w:p>
    <w:p>
      <w:pPr/>
      <w:r>
        <w:rPr>
          <w:b/>
        </w:rPr>
        <w:t>POSSIBLE 2026:</w:t>
      </w:r>
      <w:r>
        <w:t xml:space="preserve"> Emission factors for motorcycles in developing countries: insights and recommendations from a Colombian case study — https://doi.org/10.3389/frsc.2026.1730395</w:t>
      </w:r>
    </w:p>
    <w:p>
      <w:pPr/>
      <w:r>
        <w:rPr>
          <w:b/>
        </w:rPr>
        <w:t>Shared claim-specific concepts:</w:t>
      </w:r>
      <w:r>
        <w:t xml:space="preserve"> case, recommendations, increased, identifies; EU scope not established. This is a provisional connection, not an outcome finding.</w:t>
      </w:r>
    </w:p>
    <w:p>
      <w:pPr>
        <w:pStyle w:val="SourceNote"/>
      </w:pPr>
      <w:r>
        <w:rPr>
          <w:b/>
        </w:rPr>
        <w:t>Available abstract (not full text):</w:t>
      </w:r>
      <w:r>
        <w:t xml:space="preserve"> Motorcycles in Latin America and the Caribbean have increased by nearly 150% since the early 2000s, now accounting for up to 60% of the vehicle fleet in some countries. This surge calls for a comprehensive assessment of their environmental impacts and contributions to local and global pollution. Understanding the role of motorcycles in atmospheric pollution is essential for developing effective mitigation strategies and informed policies. However, there is a significant lack of standardized methods for estimating motorcycle emissions, which hinders air pollution analysis and the development of effective control measures. This Brief Research Report highlights the urgent need for a systematic analysis of emission factors (EFs) for motorcycles used in local inventories. It focuses on developing countries, with a Colombian case study that: (i) examines current EFs used in official local inventories; (ii) identifies criteria for selecting suitable EFs in cities with limited measured data; and (iii) makes recommendations tailored to local conditions to ensure consistency across motorcycle categories, technologies, and pollutants, illustrated with one applied example. The study underscores the importance of improving EFs to establish a stronger foundation for policies aimed at improving air quality management in developing regions.</w:t>
      </w:r>
    </w:p>
    <w:p>
      <w:pPr/>
      <w:r>
        <w:rPr>
          <w:b/>
        </w:rPr>
        <w:t>POSSIBLE 2026:</w:t>
      </w:r>
      <w:r>
        <w:t xml:space="preserve"> Adherence to dietary recommendations and the risk of developing giant cell arteritis: A nested Case-Control study — https://doi.org/10.1016/j.semarthrit.2026.153003</w:t>
      </w:r>
    </w:p>
    <w:p>
      <w:pPr/>
      <w:r>
        <w:rPr>
          <w:b/>
        </w:rPr>
        <w:t>Shared claim-specific concepts:</w:t>
      </w:r>
      <w:r>
        <w:t xml:space="preserve"> case, recommendations, increased, four, review; EU scope not established. This is a provisional connection, not an outcome finding.</w:t>
      </w:r>
    </w:p>
    <w:p>
      <w:pPr>
        <w:pStyle w:val="SourceNote"/>
      </w:pPr>
      <w:r>
        <w:rPr>
          <w:b/>
        </w:rPr>
        <w:t>Available abstract (not full text):</w:t>
      </w:r>
      <w:r>
        <w:t xml:space="preserve"> OBJECTIVES: To investigate the relation between adherence to dietary recommendations, the quantified intake of the components of these recommendations, and the risk of developing giant cell arteritis (GCA). METHODS: Participants in the Malmö Diet and Cancer Study cohort who subsequently developed GCA were identified through register linkage and validated in a structured review. Four controls, matched for age, sex, and year of inclusion, were selected per case. Diet quality was assessed using the Swedish Dietary Guidelines Score (SDGS, range 0-5). The relations for the SDGS, adherence to recommendations for each component and total intake of each component with development of GCA were assessed using logistic regression, adjusted for total energy intake, leisure-time physical activity and alcohol intake. Potential misreporters of total energy intake were excluded. RESULTS: There were 193 incident cases of GCA. High adherence to dietary guidelines (SDGS 4-5 vs 0-1) was associated with subsequent development of GCA (adjusted odds ratio 2.70; 95% CI 1.43-5.10). In adjusted models, adherence to recommended intake of added sugar, fish and shellfish and vegetables and fruit was associated with an increased risk of GCA. A reduced risk was seen with higher quantified consumption of added sugar, and an increased risk with higher intakes of fiber and fish and shellfish. CONCLUSIONS: An ove</w:t>
      </w:r>
    </w:p>
    <w:p>
      <w:pPr/>
      <w:r>
        <w:rPr>
          <w:b/>
        </w:rPr>
        <w:t>POSSIBLE 2026:</w:t>
      </w:r>
      <w:r>
        <w:t xml:space="preserve"> Developing Recommendations to Improve Performance of Employees — https://openalex.org/W7162971626</w:t>
      </w:r>
    </w:p>
    <w:p>
      <w:pPr/>
      <w:r>
        <w:rPr>
          <w:b/>
        </w:rPr>
        <w:t>Shared claim-specific concepts:</w:t>
      </w:r>
      <w:r>
        <w:t xml:space="preserve"> case, recommendations, based, literature; EU scope not established. This is a provisional connection, not an outcome finding.</w:t>
      </w:r>
    </w:p>
    <w:p>
      <w:pPr>
        <w:pStyle w:val="SourceNote"/>
      </w:pPr>
      <w:r>
        <w:rPr>
          <w:b/>
        </w:rPr>
        <w:t>Available abstract (not full text):</w:t>
      </w:r>
      <w:r>
        <w:t xml:space="preserve"> The Nepalese banking sector is highly competitive For KBL to stay competitive. For KBL to stay competitive, among others, employee performance is critical. This is also the case for KBL operation department. To improve employee performance the case company is developing training programs. The objective of this thesis was to provide recommendations on how to improve the performance of employees in operation department of Kumari Bank Limited. This study is based on collecting data at different stages of this study. First, data was collected through a current state analysis (CSA), including interview with operation manager to find the key weaknesses of account opening process. The findings from the CSA then guided the selection of relevant literature, forming the basis of conceptual framework on developing employee training programs. The insights from these phases were utilized to create an initial proposal on developing training programs with operation manager interview through data 2. Finally, the proposed training program development was validated using data 3, gathered through interview with operation manager. The outcome of this thesis is recommendations for employee training programs that help to increase the performance of employees in the operation department of Kumari Bank Limited.</w:t>
      </w:r>
    </w:p>
    <w:p>
      <w:pPr/>
      <w:r>
        <w:rPr>
          <w:b/>
        </w:rPr>
        <w:t>POSSIBLE 2025:</w:t>
      </w:r>
      <w:r>
        <w:t xml:space="preserve"> Mixed Methods Research in the Field of Clinical Practice Guidelines: The Case of Developing a Methodological Model for Good Practice Recommendation — https://doi.org/10.1177/15586898251362907</w:t>
      </w:r>
    </w:p>
    <w:p>
      <w:pPr/>
      <w:r>
        <w:rPr>
          <w:b/>
        </w:rPr>
        <w:t>Shared claim-specific concepts:</w:t>
      </w:r>
      <w:r>
        <w:t xml:space="preserve"> case, use, exploratory; EU scope not established. This is a provisional connection, not an outcome finding.</w:t>
      </w:r>
    </w:p>
    <w:p>
      <w:pPr>
        <w:pStyle w:val="SourceNote"/>
      </w:pPr>
      <w:r>
        <w:rPr>
          <w:b/>
        </w:rPr>
        <w:t>Available abstract (not full text):</w:t>
      </w:r>
      <w:r>
        <w:t xml:space="preserve"> Mixed methods research provides a valuable opportunity to deepen our understanding of phenomena. However, practical guidance on using the method to develop methodological models in clinical practice guidelines (CPGs) field is limited. This article illustrates the use of exploratory sequential mixed methods design to develop a methodological model to standardize the formation of good practice recommendation (GPR) within CPGs in the context of weak evidence or no evidence. It demonstrates how qualitative and quantitative data can be systematically integrated throughout the model construction and validation. The GPR methodological model includes three main themes: connotation , procedure and methods , and reporting guideline . It assists CPGs developers in GPR formulation, aligns researchers’ methodological understanding of GPR, and informs future GPR methodological development.</w:t>
      </w:r>
    </w:p>
    <w:p>
      <w:pPr/>
      <w:r>
        <w:rPr>
          <w:b/>
        </w:rPr>
        <w:t>POSSIBLE 2025:</w:t>
      </w:r>
      <w:r>
        <w:t xml:space="preserve"> DEVELOPING CONFERENCE INTERPRETER TRAINING IN UKRAINE WITHIN THE EU INTEGRATION FRAMEWORK: CASE STUDIES, RESEARCH, AND STRATEGIC RECOMMENDATIONS — https://doi.org/10.34079/2415-3168-2025-18-33-101-106</w:t>
      </w:r>
    </w:p>
    <w:p>
      <w:pPr/>
      <w:r>
        <w:rPr>
          <w:b/>
        </w:rPr>
        <w:t>Shared claim-specific concepts:</w:t>
      </w:r>
      <w:r>
        <w:t xml:space="preserve"> case, recommendations, identifies; EU scope visible. This is a provisional connection, not an outcome finding.</w:t>
      </w:r>
    </w:p>
    <w:p>
      <w:pPr>
        <w:pStyle w:val="SourceNote"/>
      </w:pPr>
      <w:r>
        <w:rPr>
          <w:b/>
        </w:rPr>
        <w:t>Available abstract (not full text):</w:t>
      </w:r>
      <w:r>
        <w:t xml:space="preserve"> This article examines the evolution of conference interpreter training in Ukraine in the context of the country’s European integration and the growing demand for multilingual communication in international institutions. It explores how interpreter education is being reshaped to align with the European Union’s standards, institutional frameworks, and quality assurance mechanisms. Drawing on EU-funded research, comparative case studies from established training systems in EU member states, and recent national reforms and pilot initiatives in Ukraine, the study identifies both successful practices and systemic challenges. Special attention is given to institutional development, the role of professional networks, and the integration of EU-accredited curricula. The article offers strategic recommendations aimed at ensuring sustainable, high-quality interpreter training capable of supporting Ukraine’s participation in the multilingual and multicultural environment of the EU. It argues for greater institutional support, long-term investment,and cross-border cooperation to build a resilient infrastructure for professional conference interpreting that meets European standards. Key words:conference interpreting, interpreter training, EU integration, EMCI standards, Ukraine, multilingualism, European Parliament, higher education reform, accreditation, language policy</w:t>
      </w:r>
    </w:p>
    <w:p>
      <w:pPr/>
      <w:r>
        <w:rPr>
          <w:b/>
        </w:rPr>
        <w:t>POSSIBLE 2025:</w:t>
      </w:r>
      <w:r>
        <w:t xml:space="preserve"> Adaptive introgression from Pacific herring to Atlantic herring in the brackish Baltic Sea — https://doi.org/10.1101/2025.11.02.685776</w:t>
      </w:r>
    </w:p>
    <w:p>
      <w:pPr/>
      <w:r>
        <w:rPr>
          <w:b/>
        </w:rPr>
        <w:t>Shared claim-specific concepts:</w:t>
      </w:r>
      <w:r>
        <w:t xml:space="preserve"> case, baltic, herring; EU scope not established. This is a provisional connection, not an outcome finding.</w:t>
      </w:r>
    </w:p>
    <w:p>
      <w:pPr>
        <w:pStyle w:val="SourceNote"/>
      </w:pPr>
      <w:r>
        <w:rPr>
          <w:b/>
        </w:rPr>
        <w:t>Available abstract (not full text):</w:t>
      </w:r>
      <w:r>
        <w:t xml:space="preserve"> Abstract The genomic era has revealed that interspecific gene flow can play an important role in adaptive evolution. Here, we report a striking case of adaptive introgression from Pacific into Atlantic herring following the colonization of the brackish Baltic Sea. Gene flow likely occurred in the Arctic, where the distributions of the two species overlap. Although introgression affected only 0.29% of the genome, these regions encompass about 10% of the loci showing strong differentiation between Atlantic and Baltic herring, indicating that natural selection has favored introgressed alleles in functionally important parts of the genome. Adaptive introgression may have been facilitated by shared spawning depths and salinity preferences between Pacific and Baltic herring, in contrast to Atlantic herring, which spawn in deeper, fully marine waters. Introgressed genes such as THRB and SEC16B may have enhanced visual acuity and lipid metabolism, respectively, promoting adaptation to the brackish Baltic environment.</w:t>
      </w:r>
    </w:p>
    <w:p>
      <w:pPr/>
      <w:r>
        <w:rPr>
          <w:b/>
        </w:rPr>
        <w:t>POSSIBLE 2025:</w:t>
      </w:r>
      <w:r>
        <w:t xml:space="preserve"> Stock Rebuilding in a Mixed‐Population Fishery Context: The Case of North Sea and Western Baltic Herring — https://doi.org/10.1111/fme.70037</w:t>
      </w:r>
    </w:p>
    <w:p>
      <w:pPr/>
      <w:r>
        <w:rPr>
          <w:b/>
        </w:rPr>
        <w:t>Shared claim-specific concepts:</w:t>
      </w:r>
      <w:r>
        <w:t xml:space="preserve"> case, baltic, herring, fisheries; EU scope not established. This is a provisional connection, not an outcome finding.</w:t>
      </w:r>
    </w:p>
    <w:p>
      <w:pPr>
        <w:pStyle w:val="SourceNote"/>
      </w:pPr>
      <w:r>
        <w:rPr>
          <w:b/>
        </w:rPr>
        <w:t>Available abstract (not full text):</w:t>
      </w:r>
      <w:r>
        <w:t xml:space="preserve"> ABSTRACT Managing and giving advice for mixed‐population fisheries of the same species can be challenging due to difficulties in predicting stock mixing, technical interactions, and in ensuring precautionary stock dynamics. Most fish species consist of several populations all of which need to be sustainably managed to preserve biodiversity and resilience to environmental changes, and to sustain productive fisheries. Mixing of populations of the same species with different productivity represents additional challenges for assessment and management. In such cases, there is a need to develop assessment and advice methods to consider mixed stocks and advise managers on fishing opportunities. In this study, we develop a framework including multifleet multi‐stock assessment models and forecasts where future stock dynamics depend on stock mixing, fleet‐specific fishing opportunities, and management in place. This framework is applied to the large North Sea herring stock and the overexploited western Baltic herring stock, which in part of their distribution areas are found to be mixed in both catches and surveys. The framework is used to investigate the trade‐offs between stock rebuilding and fishing opportunities in a mixed fishery. The study shows that spatial management implying transfer of quotas away from the areas where the stocks mix and towards the stock in good condition could</w:t>
      </w:r>
    </w:p>
    <w:p>
      <w:pPr/>
      <w:r>
        <w:rPr>
          <w:b/>
        </w:rPr>
        <w:t>POSSIBLE 2025:</w:t>
      </w:r>
      <w:r>
        <w:t xml:space="preserve"> Characterizing Project ECHO Autism Case Recommendations and Implementation — https://doi.org/10.5334/ijic.nacic24035</w:t>
      </w:r>
    </w:p>
    <w:p>
      <w:pPr/>
      <w:r>
        <w:rPr>
          <w:b/>
        </w:rPr>
        <w:t>Shared claim-specific concepts:</w:t>
      </w:r>
      <w:r>
        <w:t xml:space="preserve"> case, recommendations, increased, alternative; EU scope not established. This is a provisional connection, not an outcome finding.</w:t>
      </w:r>
    </w:p>
    <w:p>
      <w:pPr>
        <w:pStyle w:val="SourceNote"/>
      </w:pPr>
      <w:r>
        <w:rPr>
          <w:b/>
        </w:rPr>
        <w:t>Available abstract (not full text):</w:t>
      </w:r>
      <w:r>
        <w:t xml:space="preserve"> Background: The Extension for Community Health Outcomes (ECHO) model creates virtual communities to help mitigate the barriers to treating complex conditions, including autism spectrum disorder (ASD; autism). ECHO Ontario Autism was developed to build province-wide capacity to diagnose autism by building community providers' skills; and 2) to improve provider understanding and confidence around autism and available therapies and supports. ECHO Ontario Autism attempts to achieve these goals through multipoint video conferencing that connects community providers with peers and specialists who can offer education, guidance on cases, and support. This study aims to determine the types of recommendations provided through the ECHO Autism Ontario program, identify reasons some recommendations were not enacted, and summarize how recommendations have impacted the practice of clinicians who present cases within ECHO didactic sessions. Approach: To code the types of recommendations provided within the ECHO Ontario Autism cases, two researchers coded deductively with a pre-existing coding guide from a previous evaluation of this program. Two researchers used an inductive approach to developing codes to categorize reasons recommendations were rejected and the impact of ECHO Ontario Autism. A summative content analysis was used to determine the frequencies with which these categories occurre</w:t>
      </w:r>
    </w:p>
    <w:p>
      <w:pPr/>
      <w:r>
        <w:rPr>
          <w:b/>
        </w:rPr>
        <w:t>POSSIBLE 2024:</w:t>
      </w:r>
      <w:r>
        <w:t xml:space="preserve"> Developing a Multi-Criteria Restaurant Recommendation System with MOORA: A Case Study in Gading Serpong — https://doi.org/10.33168/jliss.2024.1128</w:t>
      </w:r>
    </w:p>
    <w:p>
      <w:pPr/>
      <w:r>
        <w:rPr>
          <w:b/>
        </w:rPr>
        <w:t>Shared claim-specific concepts:</w:t>
      </w:r>
      <w:r>
        <w:t xml:space="preserve"> case, recommendations, use, food, based, assesses; EU scope not established. This is a provisional connection, not an outcome finding.</w:t>
      </w:r>
    </w:p>
    <w:p>
      <w:pPr>
        <w:pStyle w:val="SourceNote"/>
      </w:pPr>
      <w:r>
        <w:rPr>
          <w:b/>
        </w:rPr>
        <w:t>Available abstract (not full text):</w:t>
      </w:r>
      <w:r>
        <w:t xml:space="preserve"> The rapid growth of the restaurant industry in Indonesia, particularly in the Gading Serpong area, has led to an increasing variety of dining options.This abundance of choices can often lead to confusion among consumers when selecting a restaurant.To address this issue, this study aims to develop a web-based restaurant recommendation system using the Multi-Objective Optimization by Ratio Analysis (MOORA) method.The system assists users in making informed decisions by providing restaurant recommendations based on their preferences.The MOORA method is employed to rank restaurants considering multiple criteria such as price, operating hours, cleanliness, food variety, and ratings.The system's effectiveness is evaluated using the End-user Computing Satisfaction (EUCS) method, which assesses user satisfaction across five dimensions: content, accuracy, format, ease of use, and timeliness.The results indicate that the developed system achieves an overall user satisfaction rate of 87.53%, demonstrating its potential to assist users in restaurant selection.This research contributes to the application of multi-criteria decision-making methods in recommendation systems and highlights the importance of user satisfaction evaluation in system development.</w:t>
      </w:r>
    </w:p>
    <w:p>
      <w:pPr/>
      <w:r>
        <w:rPr>
          <w:b/>
        </w:rPr>
        <w:t>POSSIBLE 2024:</w:t>
      </w:r>
      <w:r>
        <w:t xml:space="preserve"> Reduced predation and competition from herring may have contributed to the increase of three-spined stickleback in the Baltic Sea — https://doi.org/10.1093/icesjms/fsae168</w:t>
      </w:r>
    </w:p>
    <w:p>
      <w:pPr/>
      <w:r>
        <w:rPr>
          <w:b/>
        </w:rPr>
        <w:t>Shared claim-specific concepts:</w:t>
      </w:r>
      <w:r>
        <w:t xml:space="preserve"> baltic, herring, food, increased; EU scope visible. This is a provisional connection, not an outcome finding.</w:t>
      </w:r>
    </w:p>
    <w:p>
      <w:pPr>
        <w:pStyle w:val="SourceNote"/>
      </w:pPr>
      <w:r>
        <w:rPr>
          <w:b/>
        </w:rPr>
        <w:t>Available abstract (not full text):</w:t>
      </w:r>
      <w:r>
        <w:t xml:space="preserve"> Abstract In many areas of the Baltic Sea, three-spined stickleback (Gasterosteus aculeatus) has increased several fold since the early 2000s. Two major planktivores of the Baltic Sea, Atlantic herring (Clupea harengus) and European sprat (Sprattus sprattus), may interact with stickleback via competition for food and predation, but the potential implications at the population level are still unknown. Here, we explored interactions between stickleback, herring, and sprat using (i) herring diet analyses and (ii) fish biomass estimates from hydroacoustics for 2001–2019 covering the largest Baltic Sea basins—the Central Baltic and the Bothnian Sea. The diet analyses revealed that stickleback is an important prey for large herring along the Swedish Baltic Sea coast, comprising up to 64% of the diet of individuals &gt;22 cm. We found a negative influence of large herring (&gt;18 cm) on stickleback in the Central Baltic, and a negative relationship between sprat and small herring (&lt;18 cm) (pooled) and stickleback in the Bothnian Sea. The decline in herring and sprat population after the mid-1990s could have contributed to the increase in stickleback population via reduced predation and competition. Overall, herring may be an underappreciated piscivore, and high fishing pressure on herring could generate cascading effects on lower trophic levels.</w:t>
      </w:r>
    </w:p>
    <w:p>
      <w:pPr/>
      <w:r>
        <w:rPr>
          <w:b/>
        </w:rPr>
        <w:t>POSSIBLE 2024:</w:t>
      </w:r>
      <w:r>
        <w:t xml:space="preserve"> Workshop 3 on Stock Identification and Allocation of Catches of Herring to Stocks (WKSIDAC3) — https://doi.org/10.17895/ices.pub.27902457</w:t>
      </w:r>
    </w:p>
    <w:p>
      <w:pPr/>
      <w:r>
        <w:rPr>
          <w:b/>
        </w:rPr>
        <w:t>Shared claim-specific concepts:</w:t>
      </w:r>
      <w:r>
        <w:t xml:space="preserve"> case, baltic, herring, based, workshop; EU scope not established. This is a provisional connection, not an outcome finding.</w:t>
      </w:r>
    </w:p>
    <w:p>
      <w:pPr>
        <w:pStyle w:val="SourceNote"/>
      </w:pPr>
      <w:r>
        <w:rPr>
          <w:b/>
        </w:rPr>
        <w:t>Available abstract (not full text):</w:t>
      </w:r>
      <w:r>
        <w:t xml:space="preserve"> Most herring populations are migratory with variable overlap such that catches and surveys often cover a mixture of stocks. To monitor specific stocks, stock composition data based on ver-tebrae, otoliths or genetics have routinely been collected; however, the design of sampling strate-gies has received limited attention for this specific purpose. WKSIDAC3 reviewed current sam-pling strategies and designs. Further, simulation and case studies evaluated different sampling strategies and the effect of different sample sizes. Most institutes are collecting genetic samples from herring in surveys and commercial catches. However, some gaps are still present, particularly in the southwestern North Sea, eastern Baltic Sea, and Icelandic Sea. The number of individual genotypes needed for inference on stock com-positions depends on the genetic difference between stocks, between haul variation, and the sub-sequent analysis. Simulation studies indicated that random sampling strategies should geno-type at least 30–50 individuals per haul and 300 per stratum. For length stratified sampling the minimum number per haul should be 50–70. When possible, increasing the number of hauls is more effective at increasing precision than increasing the number of genotyped individuals. The two case studies have also demonstrated this. However, further studies based on the specific sampling programs are n</w:t>
      </w:r>
    </w:p>
    <w:p>
      <w:pPr/>
      <w:r>
        <w:rPr>
          <w:b/>
        </w:rPr>
        <w:t>POSSIBLE 2024:</w:t>
      </w:r>
      <w:r>
        <w:t xml:space="preserve"> Analysis of recommendations for developing sustainable fishing areas based on geographic information systems: the integrated Center of Marine and Fisheries (SKPT) Mimika case study — https://doi.org/10.1088/1755-1315/1357/1/012035</w:t>
      </w:r>
    </w:p>
    <w:p>
      <w:pPr/>
      <w:r>
        <w:rPr>
          <w:b/>
        </w:rPr>
        <w:t>Shared claim-specific concepts:</w:t>
      </w:r>
      <w:r>
        <w:t xml:space="preserve"> case, recommendations, based, fisheries; EU scope not established. This is a provisional connection, not an outcome finding.</w:t>
      </w:r>
    </w:p>
    <w:p>
      <w:pPr>
        <w:pStyle w:val="SourceNote"/>
      </w:pPr>
      <w:r>
        <w:rPr>
          <w:b/>
        </w:rPr>
        <w:t>Available abstract (not full text):</w:t>
      </w:r>
      <w:r>
        <w:t xml:space="preserve"> Abstract The Integrated Center of Marine and Fisheries (SKPT) is one of the Indonesian government’s steps in developing better management of the fisheries sector. SKPT Mimika has “The golden fishing ground” waters with a capture fisheries potential of 2.64 million tons per year; Arafura waters are one of the most fertile waters in Indonesia. With this potential and the concept of water development, namely the blue economy, where the economy with the axis of the sea must be sustainable, has a high urgency to ensure that there is no excessive exploitation of marine resources. The development of a sustainable blue economy involves many parties, but we consider that the closest community is the answer to the success of this development. Creating the potential fishing zone (PFZ) from Aqua MODIS image data and SWOT Analysis to formulate sustainable recommendations can help the community and stakeholders. Some of the outcomes of our recommendations are 1) Empower and implement an adaptive management approach that considers the needs and situations of each member of society, community, and region; 2) Increase the resilience of fisheries and aquaculture systems through implementing sustainable practices, diversifying fisheries commodities, and increasing access to markets. 3) Increase the ability of fisheries and aquaculture stakeholders to adapt to the impacts of climate change through</w:t>
      </w:r>
    </w:p>
    <w:p>
      <w:pPr>
        <w:pStyle w:val="Heading2"/>
      </w:pPr>
      <w:r>
        <w:t>742. Beyond Futures: Designing Futures by Educating Future Designers</w:t>
      </w:r>
    </w:p>
    <w:p>
      <w:pPr>
        <w:pStyle w:val="SourceNote"/>
      </w:pPr>
      <w:r>
        <w:rPr>
          <w:b/>
        </w:rPr>
        <w:t>Original source (2018):</w:t>
      </w:r>
      <w:r>
        <w:t xml:space="preserve"> https://doi.org/10.1177/1946756718790758</w:t>
      </w:r>
    </w:p>
    <w:p>
      <w:pPr/>
      <w:r>
        <w:t>Original wording (abstract; indexed_source_text_not_full_document_verified): It may increase designers’ sensitivity of the impact their work may have in the future and push their creativity by broadening their view looking at different future scenarios.</w:t>
      </w:r>
    </w:p>
    <w:p>
      <w:pPr/>
      <w:r>
        <w:rPr>
          <w:b/>
        </w:rPr>
        <w:t>POSSIBLE 2023:</w:t>
      </w:r>
      <w:r>
        <w:t xml:space="preserve"> Recent findings and advancements in the detection of designer benzodiazepines: a brief review — https://doi.org/10.2478/aiht-2023-74-3771</w:t>
      </w:r>
    </w:p>
    <w:p>
      <w:pPr/>
      <w:r>
        <w:rPr>
          <w:b/>
        </w:rPr>
        <w:t>Shared claim-specific concepts:</w:t>
      </w:r>
      <w:r>
        <w:t xml:space="preserve"> increase, sensitivity, view; EU scope not established. This is a provisional connection, not an outcome finding.</w:t>
      </w:r>
    </w:p>
    <w:p>
      <w:pPr>
        <w:pStyle w:val="SourceNote"/>
      </w:pPr>
      <w:r>
        <w:rPr>
          <w:b/>
        </w:rPr>
        <w:t>Available abstract (not full text):</w:t>
      </w:r>
      <w:r>
        <w:t xml:space="preserve"> This review article takes a closer look at a new class of psychoactive substances called designer benzodiazepines (DBZs) and the challenges of their detection. These are adinazolam, clonazolam, deschloroetizolam, diclazepam, etizolam, flualprazolam, flubromazepam, flubromazolam, phenazepam, and pyrazolam. They are central nervous system depressants and sedatives that can cause psychomotor impairment and increase the overdose risk when combined with other sedatives. DBZs undergo phase I and II metabolism similar to traditional benzodiazepines, but their specific metabolic pathways and the influence of genetic polymorphisms are yet to be clarified. Advances in liquid chromatography-tandem mass spectrometry (LC-MS/MS) have enhanced the method's sensitivity for DBZs and their metabolites in biological samples and coupled with improved blood sampling methods require less blood for drug monitoring. Further research should focus on elucidating their pharmacokinetic properties and metabolism in humans, especially in view of genetic polymorphisms and drug interactions that could inform clinical treatment choices. Even though we have witnessed important advances in DBZ detection and measurement, further refinements are needed to expand the scope of detectable DBZs and their metabolites. All this should help toxicological research to better identify and characterise the risks of chronic a</w:t>
      </w:r>
    </w:p>
    <w:p>
      <w:pPr/>
      <w:r>
        <w:rPr>
          <w:b/>
        </w:rPr>
        <w:t>POSSIBLE 2022:</w:t>
      </w:r>
      <w:r>
        <w:t xml:space="preserve"> Increasing gender sensitivity with codesign — https://doi.org/10.34190/icgr.5.1.177</w:t>
      </w:r>
    </w:p>
    <w:p>
      <w:pPr/>
      <w:r>
        <w:rPr>
          <w:b/>
        </w:rPr>
        <w:t>Shared claim-specific concepts:</w:t>
      </w:r>
      <w:r>
        <w:t xml:space="preserve"> designers, sensitivity, work, different; EU scope visible. This is a provisional connection, not an outcome finding.</w:t>
      </w:r>
    </w:p>
    <w:p>
      <w:pPr>
        <w:pStyle w:val="SourceNote"/>
      </w:pPr>
      <w:r>
        <w:rPr>
          <w:b/>
        </w:rPr>
        <w:t>Available abstract (not full text):</w:t>
      </w:r>
      <w:r>
        <w:t xml:space="preserve"> The Horizon Europe 2020 TInnGO (Transport Innovation Gender Observatory) project1 aimed to facilitate and empower the inclusion of underrepresented and diverse groups in smart mobility. Women are still considered to be an underrepresented group across the transport sector, forming less than 30% of all employees in the sector. Significantly women’s travel needs are not met by current transport provision, despite widespread evidence that they make different types of journeys and have different mobility concerns. It may hypothesised that even less is known about other minority groups (such as those from the BAME (Black, Asian, Minority and Ethnic community and those with disabilities). The design of future transport services and products is further skewed by the predominance of male undergraduate transport designers and engineers. While there are many noteworthy attempts to attract young women into STEM (Science, Technology, Engineering and Mathematics) careers and provide support for them in the male dominated sector, the work conducted by TInnGO’s Coventry team focussed on developing gender and diversity sensitive smart mobility solutions to highlight everyday mobility issues for women. These have been termed ‘Design provocations,’ 50 such designs were produced over 18 months in conjunction with 4 undergraduate design interns and are available for comment on our Open Innovation </w:t>
      </w:r>
    </w:p>
    <w:p>
      <w:pPr/>
      <w:r>
        <w:rPr>
          <w:b/>
        </w:rPr>
        <w:t>POSSIBLE 2019:</w:t>
      </w:r>
      <w:r>
        <w:t xml:space="preserve"> The Education of Responsible Designers in a Male-oriented Society. — https://openalex.org/W3042680371</w:t>
      </w:r>
    </w:p>
    <w:p>
      <w:pPr/>
      <w:r>
        <w:rPr>
          <w:b/>
        </w:rPr>
        <w:t>Shared claim-specific concepts:</w:t>
      </w:r>
      <w:r>
        <w:t xml:space="preserve"> designers, sensitivity, work; EU scope visible. This is a provisional connection, not an outcome finding.</w:t>
      </w:r>
    </w:p>
    <w:p>
      <w:pPr>
        <w:pStyle w:val="SourceNote"/>
      </w:pPr>
      <w:r>
        <w:rPr>
          <w:b/>
        </w:rPr>
        <w:t>Available abstract (not full text):</w:t>
      </w:r>
      <w:r>
        <w:t xml:space="preserve"> This paper aims to provide a disciplinary contribution concerning the role \nthat Communication Design has and could play in Gender Studies, focusing on \nthe university educational context. The starting point is the issue of the women \nrepresentation in the media and the resulting need to promote actions aimed \nat media alphabetization. From this scenario the urgent need to “focus more on \nvocational training - of the communication designer - and on education activities \nas a vehicle to fight discriminations and promote gender equality” (European \nParliament Resolution, April 2018 - 2017/2210(INI)) emerges. \nThe environment in which we live and form ourselves is full with communicative \nartifacts (advertising, information, web, TV...) that convey and promote degrading \nstereotypes towards women, feeding gender inequalities. Media images act on \nthought, influencing the construction of individual and social biographies and \nconsequently the way they relate to themselves and the community. \nIn this context, the Communication Designer takes on a role of social and \ncultural responsibility and has the duty to act towards a socially “sustainable” \ncommunication. \nThe media message acts in a vicious circle, it draws on and simultaneously \ninfluences social reality by orienting thoughts and behaviors of individuals. \nCommunication Design can therefore operate on this </w:t>
      </w:r>
    </w:p>
    <w:p>
      <w:pPr>
        <w:pStyle w:val="Heading2"/>
      </w:pPr>
      <w:r>
        <w:t>743. Central-East European employees on the labour market of London</w:t>
      </w:r>
    </w:p>
    <w:p>
      <w:pPr>
        <w:pStyle w:val="SourceNote"/>
      </w:pPr>
      <w:r>
        <w:rPr>
          <w:b/>
        </w:rPr>
        <w:t>Original source (2018):</w:t>
      </w:r>
      <w:r>
        <w:t xml:space="preserve"> https://doi.org/10.33605/croma-012018-004</w:t>
      </w:r>
    </w:p>
    <w:p>
      <w:pPr/>
      <w:r>
        <w:t>Original wording (abstract; indexed_source_text_not_full_document_verified): Practical implications – The conclusions of the study provide an adequate framework for the development of a rational economic policy program, which is the basis for future development, for the conscious development of the future of our region.</w:t>
      </w:r>
    </w:p>
    <w:p>
      <w:pPr/>
      <w:r>
        <w:rPr>
          <w:b/>
        </w:rPr>
        <w:t>POSSIBLE 2025:</w:t>
      </w:r>
      <w:r>
        <w:t xml:space="preserve"> Integrating ESG Factors into Institutional Investment Decision-Making: Theoretical Frameworks and Practical Implications — https://doi.org/10.55248/gengpi.6.0725.2410</w:t>
      </w:r>
    </w:p>
    <w:p>
      <w:pPr/>
      <w:r>
        <w:rPr>
          <w:b/>
        </w:rPr>
        <w:t>Shared claim-specific concepts:</w:t>
      </w:r>
      <w:r>
        <w:t xml:space="preserve"> practical, implications; EU scope not established. This is a provisional connection, not an outcome finding.</w:t>
      </w:r>
    </w:p>
    <w:p>
      <w:pPr>
        <w:pStyle w:val="SourceNote"/>
      </w:pPr>
      <w:r>
        <w:rPr>
          <w:b/>
        </w:rPr>
        <w:t>Available abstract (not full text):</w:t>
      </w:r>
      <w:r>
        <w:t xml:space="preserve"> This paper explores the integration of Environmental, Social, and Governance (ESG) factors into institutional investment decision-making by critically examining the theoretical frameworks that underpin such integration, focusing on how traditional financial theories, such as Modern Portfolio Theory (MPT), Stakeholder Theory, and Agency Theory, can be adapted or expanded to accommodate the increasing relevance of non-financial factors in investment strategies; it also delves into the emerging field of sustainable finance, investigating how ESG considerations challenge the risk-return trade-off and fiduciary duty principles traditionally guiding institutional investments, and argues that the application of these frameworks must evolve to address the growing pressure from regulators, market participants, and stakeholders for more responsible and transparent investment practices, which has led to the development of new models, such as impact investing and socially responsible investing (SRI), that integrate both financial and non-financial objectives in portfolio management.The paper identifies significant gaps in the current theoretical models regarding ESG integration, particularly in areas like data standardization, measurement of long-term social and environmental impacts, and the practical difficulties institutional investors face when aligning their strategies with ESG criter</w:t>
      </w:r>
    </w:p>
    <w:p>
      <w:pPr/>
      <w:r>
        <w:rPr>
          <w:b/>
        </w:rPr>
        <w:t>POSSIBLE 2025:</w:t>
      </w:r>
      <w:r>
        <w:t xml:space="preserve"> THE HUMAN RIGHTS CRISIS IN AI DEVELOPMENT AND USE: DOES THE EUROPEAN FRAMEWORK PROVIDE AN ADEQUATE PROTECTION? — https://doi.org/10.70382/caijlphr.v9i6.038</w:t>
      </w:r>
    </w:p>
    <w:p>
      <w:pPr/>
      <w:r>
        <w:rPr>
          <w:b/>
        </w:rPr>
        <w:t>Shared claim-specific concepts:</w:t>
      </w:r>
      <w:r>
        <w:t xml:space="preserve"> provide, adequate, framework; EU scope visible. This is a provisional connection, not an outcome finding.</w:t>
      </w:r>
    </w:p>
    <w:p>
      <w:pPr>
        <w:pStyle w:val="SourceNote"/>
      </w:pPr>
      <w:r>
        <w:rPr>
          <w:b/>
        </w:rPr>
        <w:t>Available abstract (not full text):</w:t>
      </w:r>
      <w:r>
        <w:t xml:space="preserve"> The rapid advancement and pervasive integration of Artificial Intelligence (AI) are fundamentally reshaping economies and societies, yet this technological revolution is creating a global human rights crisis built upon systemic, present-day harms that risk "supercharging" global inequalities. This paper examines the unaddressed human costs embedded throughout the AI lifecycle, arguing that the abstract promises of future benefits are being overshadowed by tangible rights violations. Key issues detailed include labor exploitation in the global supply chain, where a hidden workforce, often in the Global South, performs "psychologically taxing labor" under exploitative conditions such as content moderators paid less than $2 per hour to review traumatic imagery violating fundamental International Labour Organization (ILO) norms. Pervasive privacy infringements occur through the mass scraping of personal data without explicit consent, fueling AI powered mass surveillance systems like integrated facial recognition networks that chill freedom of expression and assembly. Furthermore, AI systems reflect and amplify societal prejudices, leading to systematic algorithmic bias in critical domains like criminal justice (e.g., the COMPAS algorithm) and hiring, which violates the right to equality before the law. The immense computational demands of training large AI models also lead to signi</w:t>
      </w:r>
    </w:p>
    <w:p>
      <w:pPr/>
      <w:r>
        <w:rPr>
          <w:b/>
        </w:rPr>
        <w:t>POSSIBLE 2025:</w:t>
      </w:r>
      <w:r>
        <w:t xml:space="preserve"> Effectiveness of Adjudication Mechanism under the Companies Act 2013: Legal Framework and Practical Implications — https://openalex.org/W7217786929</w:t>
      </w:r>
    </w:p>
    <w:p>
      <w:pPr/>
      <w:r>
        <w:rPr>
          <w:b/>
        </w:rPr>
        <w:t>Shared claim-specific concepts:</w:t>
      </w:r>
      <w:r>
        <w:t xml:space="preserve"> practical, implications, framework; EU scope not established. This is a provisional connection, not an outcome finding.</w:t>
      </w:r>
    </w:p>
    <w:p>
      <w:pPr>
        <w:pStyle w:val="SourceNote"/>
      </w:pPr>
      <w:r>
        <w:rPr>
          <w:b/>
        </w:rPr>
        <w:t>Available abstract (not full text):</w:t>
      </w:r>
      <w:r>
        <w:t xml:space="preserve"> The Companies Act of 2013 set up a full adjudication system to deal with companies and their officers who don't follow the rules in a timely, efficient, and fair way. This mechanism, mainly based on Section 454 of the Act and the Companies (Adjudication of Penalties) Rules, 2014, is a change from the old way of doing things in court to an administrative process that aims to make minor crimes less serious. The current study analyses the legal framework, practical application, and effectiveness of this adjudication mechanism in fostering corporate compliance and good governance. The study underscores the benefits of adjudication, including diminished litigation, expedited case resolution, and increased transparency, while also recognising obstacles such as procedural delays, discrepancies in penalty orders, and insufficient standardisation across jurisdictions. A comparative analysis of international frameworks from the United Kingdom, Singapore, and Australia yields insights into best practices that can be implemented to improve India's system. The study concludes that although the adjudication mechanism has greatly enhanced corporate compliance, additional reforms in procedural uniformity, technological integration, and penalty standardisation are essential to realise its full potential.</w:t>
      </w:r>
    </w:p>
    <w:p>
      <w:pPr/>
      <w:r>
        <w:rPr>
          <w:b/>
        </w:rPr>
        <w:t>POSSIBLE 2025:</w:t>
      </w:r>
      <w:r>
        <w:t xml:space="preserve"> Developing a Systemic Framework to Reduce the Bullwhip Effect in the Construction Industry: Empirical Insights and Practical Implications — https://doi.org/10.12688/f1000research.171946.1</w:t>
      </w:r>
    </w:p>
    <w:p>
      <w:pPr/>
      <w:r>
        <w:rPr>
          <w:b/>
        </w:rPr>
        <w:t>Shared claim-specific concepts:</w:t>
      </w:r>
      <w:r>
        <w:t xml:space="preserve"> practical, implications, framework; EU scope not established. This is a provisional connection, not an outcome finding.</w:t>
      </w:r>
    </w:p>
    <w:p>
      <w:pPr>
        <w:pStyle w:val="SourceNote"/>
      </w:pPr>
      <w:r>
        <w:rPr>
          <w:b/>
        </w:rPr>
        <w:t>Available abstract (not full text):</w:t>
      </w:r>
      <w:r>
        <w:t xml:space="preserve"> Background The construction industry faces systemic inefficiencies and cost overrun. Many of these issues result from demand amplification, known as the Bullwhip Effect (BWE), within supply chains. Aim To investigate the root causes and impacts of the Bullwhip Effect during construction. Establish a foundation for mitigation strategies using a conceptual framework. This framework was validated using a real-world case study to support effective mitigation. Methods This study systematically identified and analyzed twenty-one underlying causes of the Bullwhip Effect in the supply chain. The effect was calculated for the selected construction materials using data from Mostashar United Company-Kuwait. Results The Bullwhip Effect in the construction industry emerges not from a single cause but from a complex interaction of factors that significantly influence the phenomenon and are deeply embedded within the industry’s structural and operational practices. These causes are grouped into three main dimensions: informational, operational, and behavioral factors. BWE can be quantitatively measured and directly escalates production costs and intensifies over time if mitigating strategies are not implemented. Research has identified several strategies that can effectively prevent the occurrence or reduce the bullwhip effect in the construction industry, such as collaboration and teamwork e</w:t>
      </w:r>
    </w:p>
    <w:p>
      <w:pPr/>
      <w:r>
        <w:rPr>
          <w:b/>
        </w:rPr>
        <w:t>POSSIBLE 2025:</w:t>
      </w:r>
      <w:r>
        <w:t xml:space="preserve"> Practical Implications of Obesity for Cardiovascular Diagnostics — https://doi.org/10.1016/j.cjca.2025.07.006</w:t>
      </w:r>
    </w:p>
    <w:p>
      <w:pPr/>
      <w:r>
        <w:rPr>
          <w:b/>
        </w:rPr>
        <w:t>Shared claim-specific concepts:</w:t>
      </w:r>
      <w:r>
        <w:t xml:space="preserve"> practical, implications, provide, framework; EU scope not established. This is a provisional connection, not an outcome finding.</w:t>
      </w:r>
    </w:p>
    <w:p>
      <w:pPr>
        <w:pStyle w:val="SourceNote"/>
      </w:pPr>
      <w:r>
        <w:rPr>
          <w:b/>
        </w:rPr>
        <w:t>Available abstract (not full text):</w:t>
      </w:r>
      <w:r>
        <w:t xml:space="preserve"> Obesity, one of the most prevalent and pressing global health challenges, has significant implications for cardiovascular disease (CVD) morbidity and mortality. Diagnostic testing for CVD is substantially affected by obesity, which affects test selection and execution and complicates the interpretation of diagnostic testing. Structural and metabolic changes in individuals with obesity create both physiological alterations and technical limitations across diagnostic modalities, as obesity alters cardiovascular (CV) structure, function, and diagnostic test accuracy. This review explores the practical implications of obesity for CV diagnostics, including physical examination, electrocardiogram interpretation, echocardiography, nuclear stress imaging, computed tomography, positron emission tomography, coronary calcium scoring, and magnetic resonance imaging. Although each modality faces unique challenges in individuals with obesity, modern techniques, a systematic approach, and individualized protocols can greatly enhance test performance and diagnostic yield. This review aims to provide a comprehensive narrative within a practical framework for optimizing CV diagnostics in patients with obesity to optimize CV testing in this growing population. We deal in detail with each investigative modality, providing an overview of the specific considerations in patients with obesity, along w</w:t>
      </w:r>
    </w:p>
    <w:p>
      <w:pPr/>
      <w:r>
        <w:rPr>
          <w:b/>
        </w:rPr>
        <w:t>POSSIBLE 2024:</w:t>
      </w:r>
      <w:r>
        <w:t xml:space="preserve"> A Dynamical Systems View of Psychiatric Disorders—Practical Implications — https://doi.org/10.1001/jamapsychiatry.2024.0228</w:t>
      </w:r>
    </w:p>
    <w:p>
      <w:pPr/>
      <w:r>
        <w:rPr>
          <w:b/>
        </w:rPr>
        <w:t>Shared claim-specific concepts:</w:t>
      </w:r>
      <w:r>
        <w:t xml:space="preserve"> practical, implications, conclusions; EU scope not established. This is a provisional connection, not an outcome finding.</w:t>
      </w:r>
    </w:p>
    <w:p>
      <w:pPr>
        <w:pStyle w:val="SourceNote"/>
      </w:pPr>
      <w:r>
        <w:rPr>
          <w:b/>
        </w:rPr>
        <w:t>Available abstract (not full text):</w:t>
      </w:r>
      <w:r>
        <w:t xml:space="preserve"> Importance: Dynamical systems theory is widely used to explain tipping points, cycles, and chaos in complex systems ranging from the climate to ecosystems. It has been suggested that the same theory may be used to explain the nature and dynamics of psychiatric disorders, which may come and go with symptoms changing over a lifetime. Here we review evidence for the practical applicability of this theory and its quantitative tools in psychiatry. Observations: Emerging results suggest that time series of mood and behavior may be used to monitor the resilience of patients using the same generic dynamical indicators that are now employed globally to monitor the risks of collapse of complex systems, such as tropical rainforest and tipping elements of the climate system. Other dynamical systems tools used in ecology and climate science open ways to infer personalized webs of causality for patients that may be used to identify targets for intervention. Meanwhile, experiences in ecological restoration help make sense of the occasional long-term success of short interventions. Conclusions and Relevance: Those observations, while promising, evoke follow-up questions on how best to collect dynamic data, infer informative timescales, construct mechanistic models, and measure the effect of interventions on resilience. Done well, monitoring resilience to inform well-timed interventions may be </w:t>
      </w:r>
    </w:p>
    <w:p>
      <w:pPr/>
      <w:r>
        <w:rPr>
          <w:b/>
        </w:rPr>
        <w:t>POSSIBLE 2024:</w:t>
      </w:r>
      <w:r>
        <w:t xml:space="preserve"> Cross‐border dimensions of Arctic climate change impacts and implications for Europe — https://doi.org/10.1002/wcc.905</w:t>
      </w:r>
    </w:p>
    <w:p>
      <w:pPr/>
      <w:r>
        <w:rPr>
          <w:b/>
        </w:rPr>
        <w:t>Shared claim-specific concepts:</w:t>
      </w:r>
      <w:r>
        <w:t xml:space="preserve"> implications, framework, region; EU scope visible. This is a provisional connection, not an outcome finding.</w:t>
      </w:r>
    </w:p>
    <w:p>
      <w:pPr>
        <w:pStyle w:val="SourceNote"/>
      </w:pPr>
      <w:r>
        <w:rPr>
          <w:b/>
        </w:rPr>
        <w:t>Available abstract (not full text):</w:t>
      </w:r>
      <w:r>
        <w:t xml:space="preserve"> Abstract The Arctic has warmed almost four times faster than the rest of the globe during the past four decades. This has led to multiple impacts in the Arctic such as the melting of glaciers and the Greenland ice sheet, sea ice retreat, permafrost thaw, altered species distribution and abundance, changes in hydrology and snow conditions, and altered wildfire regimes. These documented and projected impacts in the region can also propagate across borders, creating risks and opportunities requiring adaptation responses well beyond the Arctic. By undertaking a systematic literature review that uses a conceptual framework for cross‐border climate change impacts, we demonstrate how local impacts of the type described above, which are often analyzed separately in the literature, may initiate knock‐on effects that can be transmitted and transformed across borders. We illustrate examples of six categories of cross‐border risks resulting from this impact transmission and potentially requiring adaptation. These concern biophysical impacts, trade, infrastructure, finance, geopolitical relationships and human security and social justice. We examine potential adaptation options for responding to such cross‐border risks that are of relevance for Europe. The systemic approach taken in this paper promotes improved understanding of trade‐offs between potential benefits and risks, assists priori</w:t>
      </w:r>
    </w:p>
    <w:p>
      <w:pPr/>
      <w:r>
        <w:rPr>
          <w:b/>
        </w:rPr>
        <w:t>POSSIBLE 2024:</w:t>
      </w:r>
      <w:r>
        <w:t xml:space="preserve"> Advice from artificial intelligence: a review and practical implications — https://doi.org/10.3389/fpsyg.2024.1390182</w:t>
      </w:r>
    </w:p>
    <w:p>
      <w:pPr/>
      <w:r>
        <w:rPr>
          <w:b/>
        </w:rPr>
        <w:t>Shared claim-specific concepts:</w:t>
      </w:r>
      <w:r>
        <w:t xml:space="preserve"> practical, implications, provide, framework; EU scope not established. This is a provisional connection, not an outcome finding.</w:t>
      </w:r>
    </w:p>
    <w:p>
      <w:pPr>
        <w:pStyle w:val="SourceNote"/>
      </w:pPr>
      <w:r>
        <w:rPr>
          <w:b/>
        </w:rPr>
        <w:t>Available abstract (not full text):</w:t>
      </w:r>
      <w:r>
        <w:t xml:space="preserve"> Despite considerable behavioral and organizational research on advice from human advisors, and despite the increasing study of artificial intelligence (AI) in organizational research, workplace-related applications, and popular discourse, an interdisciplinary review of advice from AI (vs. human) advisors has yet to be undertaken. We argue that the increasing adoption of AI to augment human decision-making would benefit from a framework that can characterize such interactions. Thus, the current research invokes judgment and decision-making research on advice from human advisors and uses a conceptual "fit"-based model to: (1) summarize how the characteristics of the AI advisor, human decision-maker, and advice environment influence advice exchanges and outcomes (including informed speculation about the durability of such findings in light of rapid advances in AI technology), (2) delineate future research directions (along with specific predictions), and (3) provide practical implications involving the use of AI advice by human decision-makers in applied settings.</w:t>
      </w:r>
    </w:p>
    <w:p>
      <w:pPr/>
      <w:r>
        <w:rPr>
          <w:b/>
        </w:rPr>
        <w:t>POSSIBLE 2023:</w:t>
      </w:r>
      <w:r>
        <w:t xml:space="preserve"> Practical implications of workplace ostracism: a systematic literature review — https://doi.org/10.1108/baj-12-2022-0036</w:t>
      </w:r>
    </w:p>
    <w:p>
      <w:pPr/>
      <w:r>
        <w:rPr>
          <w:b/>
        </w:rPr>
        <w:t>Shared claim-specific concepts:</w:t>
      </w:r>
      <w:r>
        <w:t xml:space="preserve"> practical, implications; EU scope not established. This is a provisional connection, not an outcome finding.</w:t>
      </w:r>
    </w:p>
    <w:p>
      <w:pPr>
        <w:pStyle w:val="SourceNote"/>
      </w:pPr>
      <w:r>
        <w:rPr>
          <w:b/>
        </w:rPr>
        <w:t>Available abstract (not full text):</w:t>
      </w:r>
      <w:r>
        <w:t xml:space="preserve"> Purpose This review analyzes data from research articles published from 2010 to 2022 related to workplace ostracism which include theoretical or empirical practical implications. The primary motive of this review is to identify main themes of practical implications relevant to workplace ostracism. Design/methodology/approach In total, 86 research articles published in 56 journals were retrieved from six well-known management science databases, namely, Science Direct, Emerald Online, Springer Link, Taylor and Francis, Wiley and Sage. The affinity diagram was utilized to organize the practical implications of the studies into meaningful themes. Moreover, in order to prioritize the main themes, the Pareto diagram was utilized. Findings Eleven themes have been used to categorize the practical implications of the reviewed articles, demonstrating various human resource (HR) interventions for avoiding or limiting the feelings of ostracism at work. Specifically, they focus on training and development, culture, formal and informal meetings, interpersonal relationships, task interdependence, monitoring, trust and transparency, proper channel, job autonomy and individual characteristics. Originality/value While many systematic and traditional literature reviews have been undertaken in an attempt to thoroughly organize extant literature on various aspects of workplace ostracism, no study h</w:t>
      </w:r>
    </w:p>
    <w:p>
      <w:pPr/>
      <w:r>
        <w:rPr>
          <w:b/>
        </w:rPr>
        <w:t>POSSIBLE 2023:</w:t>
      </w:r>
      <w:r>
        <w:t xml:space="preserve"> Sex and Gender Differences in Stroke and Their Practical Implications in Acute Care — https://doi.org/10.5853/jos.2022.04077</w:t>
      </w:r>
    </w:p>
    <w:p>
      <w:pPr/>
      <w:r>
        <w:rPr>
          <w:b/>
        </w:rPr>
        <w:t>Shared claim-specific concepts:</w:t>
      </w:r>
      <w:r>
        <w:t xml:space="preserve"> practical, implications, conclusions, provide; EU scope not established. This is a provisional connection, not an outcome finding.</w:t>
      </w:r>
    </w:p>
    <w:p>
      <w:pPr>
        <w:pStyle w:val="SourceNote"/>
      </w:pPr>
      <w:r>
        <w:rPr>
          <w:b/>
        </w:rPr>
        <w:t>Available abstract (not full text):</w:t>
      </w:r>
      <w:r>
        <w:t xml:space="preserve"> There are several controversies regarding the role of sex and gender in the pathophysiology and management of acute stroke. Assessing the role of sex, i.e., biological/pathophysiological factors, and gender, i.e., sociocultural factors, in isolation is often not possible since they are closely intertwined with each other. To complicate matters even more, the functional baseline status of women and men at the time of their first stroke is substantially different, whereby women have, on average, a poorer reported/ascertained baseline function compared to men. These differences in baseline variables account for a large part of the differences in post-stroke outcomes between women and men. Adjusting for these baseline differences is difficult, and in many cases, residual confounding cannot be excluded. Despite these obstacles, a better understanding of how patient sex and gender differences influence acute stroke and stroke care pathways is crucial to avoid biases and allow us to provide the best possible care for all acute stroke patients. Disregarding patient sex and gender on one hand and ignoring potential confounding factors in sex- and gender-stratified analyses on the other hand, may cause researchers to come to erroneous conclusions and physicians to provide suboptimal care. This review outlines sex- and gender-related factors in key aspects of acute stroke, including acute</w:t>
      </w:r>
    </w:p>
    <w:p>
      <w:pPr/>
      <w:r>
        <w:rPr>
          <w:b/>
        </w:rPr>
        <w:t>POSSIBLE 2023:</w:t>
      </w:r>
      <w:r>
        <w:t xml:space="preserve"> Medico-Legal Implications and Regulatory Frameworks of Regenerative Orthopaedics — https://doi.org/10.7759/cureus.42557</w:t>
      </w:r>
    </w:p>
    <w:p>
      <w:pPr/>
      <w:r>
        <w:rPr>
          <w:b/>
        </w:rPr>
        <w:t>Shared claim-specific concepts:</w:t>
      </w:r>
      <w:r>
        <w:t xml:space="preserve"> implications, provide, framework; EU scope visible. This is a provisional connection, not an outcome finding.</w:t>
      </w:r>
    </w:p>
    <w:p>
      <w:pPr>
        <w:pStyle w:val="SourceNote"/>
      </w:pPr>
      <w:r>
        <w:rPr>
          <w:b/>
        </w:rPr>
        <w:t>Available abstract (not full text):</w:t>
      </w:r>
      <w:r>
        <w:t xml:space="preserve"> Regenerative orthopaedics has revolutionized traditional medicine, which represents a giant leap in science and research. The knowledge of the medico-legal implications and regulatory framework of this branch is vital for clinicians and researchers to go forward smoothly. This systematic review of the literature should shed light on these considerations and provide a comprehensive knowledge of the various implications and laws governing practice and research. The wide plethora of knowledge in the use of regenerative orthopaedics should be complemented by updated regulations and clinicians' grasp of knowledge on regenerative medicine. The review focused on peer-reviewed published articles concerned with the topic and outlined common medico-legal issues and the current regulatory frameworks in various countries. The articles suggest that developed nations like the US have faced several lawsuits in this field, and a few countries in Europe like Italy and Germany, which were frontrunners in this field based on research, have fallen back due to emerging legal and regulatory policies. Undoubtedly, regenerative orthopaedics holds the key to future orthopaedics, but the world is skeptical of this concept, and laws and regulatory frameworks can curb it if not guided well. In India, this field has received prime attention, but at a slow pace when compared to the laws. After reviewing 113</w:t>
      </w:r>
    </w:p>
    <w:p>
      <w:pPr/>
      <w:r>
        <w:rPr>
          <w:b/>
        </w:rPr>
        <w:t>POSSIBLE 2023:</w:t>
      </w:r>
      <w:r>
        <w:t xml:space="preserve"> Resilience: Theoretical Framework and Implications for School — https://doi.org/10.5539/ies.v16n2p1</w:t>
      </w:r>
    </w:p>
    <w:p>
      <w:pPr/>
      <w:r>
        <w:rPr>
          <w:b/>
        </w:rPr>
        <w:t>Shared claim-specific concepts:</w:t>
      </w:r>
      <w:r>
        <w:t xml:space="preserve"> implications, provide, framework; EU scope not established. This is a provisional connection, not an outcome finding.</w:t>
      </w:r>
    </w:p>
    <w:p>
      <w:pPr>
        <w:pStyle w:val="SourceNote"/>
      </w:pPr>
      <w:r>
        <w:rPr>
          <w:b/>
        </w:rPr>
        <w:t>Available abstract (not full text):</w:t>
      </w:r>
      <w:r>
        <w:t xml:space="preserve"> The main purpose of this report is to provide a brief yet holistic view of the concept of Resilience. In the following pages the basic aspects of this term are going to be examined so that not only the significance of Resilience in our everyday lives, but also the factors that affect someone’s ability to bounce back and keep making progress in many aspects of life can be understood despite the adversities that may interfere. The above mentioned are widely known as protective and risk factors depending on the way they affect somebody’s life. Another aspect that is going to be briefly analyzed is the role of school and teacher in students’ resilience- how this role can help students maintain their psychosocial and learning progress.</w:t>
      </w:r>
    </w:p>
    <w:p>
      <w:pPr>
        <w:pStyle w:val="Heading2"/>
      </w:pPr>
      <w:r>
        <w:t>744. Climate change mitigation: evidences from the European scenario</w:t>
      </w:r>
    </w:p>
    <w:p>
      <w:pPr>
        <w:pStyle w:val="SourceNote"/>
      </w:pPr>
      <w:r>
        <w:rPr>
          <w:b/>
        </w:rPr>
        <w:t>Original source (2018):</w:t>
      </w:r>
      <w:r>
        <w:t xml:space="preserve"> https://doi.org/10.1504/ijmne.2018.095079</w:t>
      </w:r>
    </w:p>
    <w:p>
      <w:pPr/>
      <w:r>
        <w:t>Original wording (abstract; indexed_source_text_not_full_document_verified): By 2050, the EU aims to reduce its greenhouse gas emissions by 80%-95% compared with 1990 levels. New objectives up to 2030 provide for a 40% reduction of GHG emissions and an increase of 27% for renewables and energy efficiency.</w:t>
      </w:r>
    </w:p>
    <w:p>
      <w:pPr/>
      <w:r>
        <w:rPr>
          <w:b/>
        </w:rPr>
        <w:t>POSSIBLE 2026:</w:t>
      </w:r>
      <w:r>
        <w:t xml:space="preserve"> Changes in greenhouse gas emissions from agriculture in selected European Union countries — https://doi.org/10.14254/2071-8330.2026/19-1/10</w:t>
      </w:r>
    </w:p>
    <w:p>
      <w:pPr/>
      <w:r>
        <w:rPr>
          <w:b/>
        </w:rPr>
        <w:t>Shared claim-specific concepts:</w:t>
      </w:r>
      <w:r>
        <w:t xml:space="preserve"> greenhouse, gas, emissions; EU scope visible. This is a provisional connection, not an outcome finding.</w:t>
      </w:r>
    </w:p>
    <w:p>
      <w:pPr>
        <w:pStyle w:val="SourceNote"/>
      </w:pPr>
      <w:r>
        <w:rPr>
          <w:b/>
        </w:rPr>
        <w:t>Available abstract (not full text):</w:t>
      </w:r>
      <w:r>
        <w:t xml:space="preserve"> The aim of the research was to identify changes in greenhouse gas emissions from EU countries in the years 2008-2022. The research used available Eurostat data from 24 EU countries. Descriptive statistics, the Ward method and shift share analysis were used. The survey shows that in 2021 the agricultural sector was responsible for 15.3% of total greenhouse emissions in EU. Most carbon emissions from farming come from methane (54%), followed by nitrous oxide (28%) and carbon dioxide (18%). The research shows that the largest increases in carbon pollution, creating a carbon footprint in the exploring period, were recorded in Bulgaria, Estonia, Romania, Latvia and Hungary. A different situation occurred in Croatia and Germany, where carbon dioxide and methane emissions from cultivation were reduced. The research confirms that the dynamics of changes in greenhouse gas emissions depend on the intensity of agribusiness. Moreover, the structure of greenhouse emissions varies regionally. Therefore, the European Union's policy on reducing the carbon footprint should consider regional conditions.</w:t>
      </w:r>
    </w:p>
    <w:p>
      <w:pPr/>
      <w:r>
        <w:rPr>
          <w:b/>
        </w:rPr>
        <w:t>POSSIBLE 2026:</w:t>
      </w:r>
      <w:r>
        <w:t xml:space="preserve"> Mapping urban CO2 emission spatiotemporal dynamics in Europe via a nighttime light composite index — https://doi.org/10.1038/s42949-026-00437-7</w:t>
      </w:r>
    </w:p>
    <w:p>
      <w:pPr/>
      <w:r>
        <w:rPr>
          <w:b/>
        </w:rPr>
        <w:t>Shared claim-specific concepts:</w:t>
      </w:r>
      <w:r>
        <w:t xml:space="preserve"> reduce, emissions, compared, provide, reduction, energy; EU scope visible. This is a provisional connection, not an outcome finding.</w:t>
      </w:r>
    </w:p>
    <w:p>
      <w:pPr>
        <w:pStyle w:val="SourceNote"/>
      </w:pPr>
      <w:r>
        <w:rPr>
          <w:b/>
        </w:rPr>
        <w:t>Available abstract (not full text):</w:t>
      </w:r>
      <w:r>
        <w:t xml:space="preserve"> A spatiotemporal inventory of CO₂ emissions is essential for countries aiming to reduce carbon output. However, rising urban industrial activity and daily energy consumption present major challenges. Accurately understanding the spatiotemporal dynamics of urban CO₂ emissions is crucial for identifying sources and enabling targeted mitigation, yet this topic has received limited attention. This study introduces a CO₂ Emission Spatial Index (CESI), developed by integrating MODIS and VIIRS-DNB data, and applies a zonal classification approach to map urban CO₂ emissions across Europe from 2012 to 2021. Results indicate that CESI combined with zonal classification improves spatial estimation accuracy compared with nighttime light data alone, with all R ² values exceeding 0.96. The analysis reveals significant spatiotemporal variation in Europe’s urban CO₂ emissions during the study period. Additionally, a new normalized indicator integrating population, GDP, and land use (PGL index ) is proposed, and its coupling coordination relationship with CESI is examined. The results show that several northeastern European countries experience pronounced imbalances. These findings provide valuable insights for local authorities, supporting more precise spatial analysis and more effective CO₂ reduction policies.</w:t>
      </w:r>
    </w:p>
    <w:p>
      <w:pPr/>
      <w:r>
        <w:rPr>
          <w:b/>
        </w:rPr>
        <w:t>POSSIBLE 2026:</w:t>
      </w:r>
      <w:r>
        <w:t xml:space="preserve"> Association patterns of renewables and greenhouse gas emission reduction in the European Union — https://doi.org/10.2139/ssrn.6144181</w:t>
      </w:r>
    </w:p>
    <w:p>
      <w:pPr/>
      <w:r>
        <w:rPr>
          <w:b/>
        </w:rPr>
        <w:t>Shared claim-specific concepts:</w:t>
      </w:r>
      <w:r>
        <w:t xml:space="preserve"> greenhouse, gas, reduction, renewables;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WAYS OF REDUCING GREENHOUSE GASES — https://doi.org/10.33864/1816-2126.2026.n2.103-107</w:t>
      </w:r>
    </w:p>
    <w:p>
      <w:pPr/>
      <w:r>
        <w:rPr>
          <w:b/>
        </w:rPr>
        <w:t>Shared claim-specific concepts:</w:t>
      </w:r>
      <w:r>
        <w:t xml:space="preserve"> greenhouse, gas, emissions, reduction, energy, efficiency; EU scope not established. This is a provisional connection, not an outcome finding.</w:t>
      </w:r>
    </w:p>
    <w:p>
      <w:pPr>
        <w:pStyle w:val="SourceNote"/>
      </w:pPr>
      <w:r>
        <w:rPr>
          <w:b/>
        </w:rPr>
        <w:t>Available abstract (not full text):</w:t>
      </w:r>
      <w:r>
        <w:t xml:space="preserve"> Greenhouse gas emissions have become a major environmental concern due to their significant contribution to global warming and long-term climate change. Human activities such as industrial development, fossil fuel combustion, rapid urbanization, intensive agriculture, and the loss of forested areas have led to increasing atmospheric concentrations of carbon dioxide (CO₂), methane (CH₄), and nitrous oxide (N₂O). This paper explores the primary sources of greenhouse gas emissions and discusses their environmental, economic, and social consequences. It also reviews current mitigation strategies, including the adoption of renewable energy technologies, improvements in energy efficiency, sustainable transportation systems, low-carbon industrial processes, and forest conservation initiatives. Furthermore, the importance of international climate agreements, environmental regulations, and policy frameworks in achieving emission reduction targets is examined. The findings indicate that effective greenhouse gas mitigation requires an integrated approach combining technological innovation, governmental action, and sustainable development practices to support long-term environmental protection.</w:t>
      </w:r>
    </w:p>
    <w:p>
      <w:pPr/>
      <w:r>
        <w:rPr>
          <w:b/>
        </w:rPr>
        <w:t>POSSIBLE 2025:</w:t>
      </w:r>
      <w:r>
        <w:t xml:space="preserve"> Reducing Greenhouse Gas Emissions in Hungary in Light of the Dynamically Changing Requirements of the European Union — https://doi.org/10.56251/gfga3859</w:t>
      </w:r>
    </w:p>
    <w:p>
      <w:pPr/>
      <w:r>
        <w:rPr>
          <w:b/>
        </w:rPr>
        <w:t>Shared claim-specific concepts:</w:t>
      </w:r>
      <w:r>
        <w:t xml:space="preserve"> aims, greenhouse, gas, emissions; EU scope visible. This is a provisional connection, not an outcome finding.</w:t>
      </w:r>
    </w:p>
    <w:p>
      <w:pPr>
        <w:pStyle w:val="SourceNote"/>
      </w:pPr>
      <w:r>
        <w:rPr>
          <w:b/>
        </w:rPr>
        <w:t>Available abstract (not full text):</w:t>
      </w:r>
      <w:r>
        <w:t xml:space="preserve"> The fight against climate change requires Hungary to develop a common set of principles-based targets and to operate a coherent framework for action, monitoring and feedback in order to meet national and international targets for reducing greenhouse gas emissions. This is highlighted by the analysis of the State Audit Office of Hungary (SAO) concluded in 2024, which audited the measures aimed at reducing greenhouse gas emissions and the strategic framework of Hungary in the light of the dynamically changing requirements of the European Union (EU). Due to greenhouse gas emissions, the effects of global warming affect almost all aspects of life, the natural environment and biodiversity, all sectors of the economy, human habitats and the development of society. The estimated value of economic damages associated with climate change, including projections ranging from the costs of recovery caused by natural disasters to unrealised economic returns, are increasing. Action is of key importance for Europe, as the continent’s average temperature is rising at around twice the global average. A milestone in the fight against climate change was the Paris Agreement adopted in 2015, which set the target of reducing the average temperature rise. The European Union’s Climate Law aims to ensure that climate neutrality, i.e. a balance between greenhouse gas emissions and removals, is achieved by</w:t>
      </w:r>
    </w:p>
    <w:p>
      <w:pPr/>
      <w:r>
        <w:rPr>
          <w:b/>
        </w:rPr>
        <w:t>POSSIBLE 2025:</w:t>
      </w:r>
      <w:r>
        <w:t xml:space="preserve"> THE ROLE OF ENVIRONMENTAL TAXES IN GENERATING TAX REVENUES AND REDUCING GREENHOUSE GAS EMISSIONS IN THE EUROPEAN UNION — https://doi.org/10.55654/jfs.2025.10.sp.19</w:t>
      </w:r>
    </w:p>
    <w:p>
      <w:pPr/>
      <w:r>
        <w:rPr>
          <w:b/>
        </w:rPr>
        <w:t>Shared claim-specific concepts:</w:t>
      </w:r>
      <w:r>
        <w:t xml:space="preserve"> aims, reduce, greenhouse, gas, emissions, objectives; EU scope visible. This is a provisional connection, not an outcome finding.</w:t>
      </w:r>
    </w:p>
    <w:p>
      <w:pPr>
        <w:pStyle w:val="SourceNote"/>
      </w:pPr>
      <w:r>
        <w:rPr>
          <w:b/>
        </w:rPr>
        <w:t>Available abstract (not full text):</w:t>
      </w:r>
      <w:r>
        <w:t xml:space="preserve"> The aim of this study is to examine the role of environmental taxes in generating tax revenues and reducing greenhouse gas emissions in the European Union. The study investigates how these taxes, particularly those on energy and transport, contribute to the EU's climate objectives, such as climate neutrality by 2050. It also assesses differences in their implementation between Member States. In the context of the European Green Pact, the research aims to provide a comprehensive analysis of the effectiveness of these taxes in supporting climate policies and sustainable development. The study uses an econometric analysis applied to a dataset comprising relevant economic and environmental indicators, including taxes on energy, transportation, net greenhouse gas emissions and GDP per capita. This approach makes it possible to assess the relationships between the variables and to measure the impact of each type of tax-on-tax revenues and emission reductions. The analysis also includes descriptive statistics to highlight differences between Member States. The results indicate that energy taxes have a significant and positive impact on revenues from environmental taxes, contributing substantially to the budgets of Member States that implement them in an ambitious way. At the same time, fuel and transport taxes have been found to be under-used in some Member States, thus limiting their</w:t>
      </w:r>
    </w:p>
    <w:p>
      <w:pPr/>
      <w:r>
        <w:rPr>
          <w:b/>
        </w:rPr>
        <w:t>POSSIBLE 2025:</w:t>
      </w:r>
      <w:r>
        <w:t xml:space="preserve"> The Role of Organic Farming in Reducing Greenhouse Gas Emissions from Agriculture in the European Union — https://doi.org/10.3390/agronomy15010198</w:t>
      </w:r>
    </w:p>
    <w:p>
      <w:pPr/>
      <w:r>
        <w:rPr>
          <w:b/>
        </w:rPr>
        <w:t>Shared claim-specific concepts:</w:t>
      </w:r>
      <w:r>
        <w:t xml:space="preserve"> greenhouse, gas, emissions, levels, objectives, ghg; EU scope visible. This is a provisional connection, not an outcome finding.</w:t>
      </w:r>
    </w:p>
    <w:p>
      <w:pPr>
        <w:pStyle w:val="SourceNote"/>
      </w:pPr>
      <w:r>
        <w:rPr>
          <w:b/>
        </w:rPr>
        <w:t>Available abstract (not full text):</w:t>
      </w:r>
      <w:r>
        <w:t xml:space="preserve"> Agriculture remains a key source of greenhouse gas (GHG) emissions within the European Union, posing substantial obstacles to achieving climate objectives and fostering sustainable development. On this background, organic farming stands out as a viable alternative, offering significant potential for reducing emissions. This study explores the impact of expanding organic farming on GHG emissions in the EU agricultural sector. The empirical research examines the connection between organic farming practices and GHG emission levels using structural equation modeling, complemented by Holt and ARIMA forecasting models, to project future trends based on expected growth in organic farmland. The findings highlight a robust negative influence (p &lt; 0.001), demonstrating that organic farming practices are associated with tangible reductions in emissions. Forecasting analyses further reinforce this, predicting considerable declines in GHG emissions (by almost 14 percent below the level of 2008) as organic farming continues to expand for over 23% of agricultural land by 2035, according to the projections in this research. These insights underscore the critical role of organic farming in advancing the EU’s climate ambitions. The study concludes that broader adoption of organic practices offers a practical and impactful pathway for building a more sustainable agricultural system while mitigati</w:t>
      </w:r>
    </w:p>
    <w:p>
      <w:pPr/>
      <w:r>
        <w:rPr>
          <w:b/>
        </w:rPr>
        <w:t>POSSIBLE 2025:</w:t>
      </w:r>
      <w:r>
        <w:t xml:space="preserve"> Analysis of Greenhouse Gas Emissions from Ships Visiting European Ports — https://doi.org/10.3233/pmst250013</w:t>
      </w:r>
    </w:p>
    <w:p>
      <w:pPr/>
      <w:r>
        <w:rPr>
          <w:b/>
        </w:rPr>
        <w:t>Shared claim-specific concepts:</w:t>
      </w:r>
      <w:r>
        <w:t xml:space="preserve"> greenhouse, gas, emissions, compared, levels, reduction; EU scope visible. This is a provisional connection, not an outcome finding.</w:t>
      </w:r>
    </w:p>
    <w:p>
      <w:pPr>
        <w:pStyle w:val="SourceNote"/>
      </w:pPr>
      <w:r>
        <w:rPr>
          <w:b/>
        </w:rPr>
        <w:t>Available abstract (not full text):</w:t>
      </w:r>
      <w:r>
        <w:t xml:space="preserve"> Starting January 1, 2025, shipping companies will be required to monitor and record greenhouse gas (GHG) emissions data for each ship arriving at or departing from a port in the European Union. This requirement is part of the FuelEU Maritime regulation and applies to all vessels with over 5,000 gross tons for transporting passengers or cargo for commercial purposes. The FuelEU regulation includes a calculation scheme and sets limits on GHG intensity, aiming for an 80% reduction in emissions compared to 2020 levels by 2050. Short-sea shipping plays a crucial role in the European Union’s transportation policy. The study’s objective is to analyse the GHG emissions of the containerships registered from 2020 to 2023 vessels, utilising EU-MRV data from 2020 to 2023. Applying the extreme values analysis indicates no consistent trend toward reducing GHG intensity, illustrating the complexities in mitigating the GHG intensity levels requiring additional measures to achieve the proposed reduction by 2050.</w:t>
      </w:r>
    </w:p>
    <w:p>
      <w:pPr/>
      <w:r>
        <w:rPr>
          <w:b/>
        </w:rPr>
        <w:t>POSSIBLE 2025:</w:t>
      </w:r>
      <w:r>
        <w:t xml:space="preserve"> Reducing Carbon Emissions from Transport Sector: Experience and Policy Design Considerations — https://doi.org/10.3390/su17093762</w:t>
      </w:r>
    </w:p>
    <w:p>
      <w:pPr/>
      <w:r>
        <w:rPr>
          <w:b/>
        </w:rPr>
        <w:t>Shared claim-specific concepts:</w:t>
      </w:r>
      <w:r>
        <w:t xml:space="preserve"> reduce, greenhouse, gas, emissions, compared, ghg; EU scope visible. This is a provisional connection, not an outcome finding.</w:t>
      </w:r>
    </w:p>
    <w:p>
      <w:pPr>
        <w:pStyle w:val="SourceNote"/>
      </w:pPr>
      <w:r>
        <w:rPr>
          <w:b/>
        </w:rPr>
        <w:t>Available abstract (not full text):</w:t>
      </w:r>
      <w:r>
        <w:t xml:space="preserve"> Countries aim to reduce fossil fuel usage and related environmental issues through various demand- and supply-side policies. Numerous studies have assessed the policies’ overview. However, analysis of the impacts and effectiveness of these policies in addressing transport-related CO2 emissions is limited globally and in countries like New Zealand, which have a lower CO2 emissions energy intensity compared to Europe, Asia, and Oceania averages. Therefore, this study first analyses the trends in energy consumption and CO2 emissions within the transport sector across the ten largest total CO2-emitting countries, as well as the ten largest transport CO2-emitting OECD countries. It then provides a systematic review of the relevant policies and, finally, estimates two econometric models to explore the effects of these policies on the energy market, aimed at reducing GHG emissions globally from the transport sector, with New Zealand as a case study. The study findings indicate that the transport sector remains a significant contributor to global fossil fuel consumption and CO2 emissions, accounting for 40.4% and 23.3%, respectively, in 2024. The ten largest CO2-emitting countries—China, the United States, India, Russia, Japan, Germany, South Korea, Iran, Canada, and Saudi Arabia—are responsible for 68% of global emissions. Additionally, the ten OECD countries, except the US, with the </w:t>
      </w:r>
    </w:p>
    <w:p>
      <w:pPr/>
      <w:r>
        <w:rPr>
          <w:b/>
        </w:rPr>
        <w:t>POSSIBLE 2025:</w:t>
      </w:r>
      <w:r>
        <w:t xml:space="preserve"> An identification of models to help in the design of national strategies and policies to reduce greenhouse gas emissions. — https://doi.org/10.1016/j.trpro.2024.12.094</w:t>
      </w:r>
    </w:p>
    <w:p>
      <w:pPr/>
      <w:r>
        <w:rPr>
          <w:b/>
        </w:rPr>
        <w:t>Shared claim-specific concepts:</w:t>
      </w:r>
      <w:r>
        <w:t xml:space="preserve"> reduce, greenhouse, gas, emissions, reduction, ghg; EU scope visible. This is a provisional connection, not an outcome finding.</w:t>
      </w:r>
    </w:p>
    <w:p>
      <w:pPr>
        <w:pStyle w:val="SourceNote"/>
      </w:pPr>
      <w:r>
        <w:rPr>
          <w:b/>
        </w:rPr>
        <w:t>Available abstract (not full text):</w:t>
      </w:r>
      <w:r>
        <w:t xml:space="preserve"> In response to the rapid increase in global greenhouse gas (GHG) emissions, 196 countries have made a legal commitment to implement a strategy to decarbonize their economies, under the Paris Agreement, particularly with respect to the transportation sector. As part of their long-term climate actions, these countries are defining various Avoid/Reduce, Shift and Improve (A-S-I) strategies, aimed at reducing or avoiding unnecessary travel, promoting and shifting to public transport and active modes, and improving energy efficiency and vehicle technology. In this paper, we take a closer look at some of the regional and national strategies and policies to reduce GHG emissions in Europe, as well as the models and methods used to assist in policy development. Keeping in mind the limited guidance on concrete avoidance/reduction and transfer strategies mentioned in the climate actions, we list some of the land use and transport interaction (LUTI) models that can be used to improve climate change control at the urban scale. The aim of this paper is to gain a better understanding of how methods and tools can assist in decision making and policy development with respect to GHG emission reduction goals in the transportation sector.</w:t>
      </w:r>
    </w:p>
    <w:p>
      <w:pPr/>
      <w:r>
        <w:rPr>
          <w:b/>
        </w:rPr>
        <w:t>POSSIBLE 2024:</w:t>
      </w:r>
      <w:r>
        <w:t xml:space="preserve"> Reducing greenhouse gases from ruminants: a Korean perspective — https://doi.org/10.5187/ait.2024.11.2.93</w:t>
      </w:r>
    </w:p>
    <w:p>
      <w:pPr/>
      <w:r>
        <w:rPr>
          <w:b/>
        </w:rPr>
        <w:t>Shared claim-specific concepts:</w:t>
      </w:r>
      <w:r>
        <w:t xml:space="preserve"> aims, reduce, greenhouse, gas, provide, energy; EU scope visible. This is a provisional connection, not an outcome finding.</w:t>
      </w:r>
    </w:p>
    <w:p>
      <w:pPr>
        <w:pStyle w:val="SourceNote"/>
      </w:pPr>
      <w:r>
        <w:rPr>
          <w:b/>
        </w:rPr>
        <w:t>Available abstract (not full text):</w:t>
      </w:r>
      <w:r>
        <w:t xml:space="preserve"> Methane, a gas produced during the digestion process of ruminants, is a greenhouse gas that contributes to global warming and also represents energy loss. Therefore, all countries worldwide, including the United States and Europe, are trying to reduce the amount of methane gas generated. There are many research papers and excellent review papers in this regard. However, this review specifically aims to provide some insights on methane measurement methods and consider ways to reduce greenhouse gases under current domestic conditions. Enteric methane from ruminants is mainly measured using a respiration chamber and the GreenFeed system and can also be measured using an laser methane detector and sulfur hexafluoride (SF6) tracer technique. Research priority needs to be focused on measuring the current level of methane produced more accurately from Korea’s perspective, and financial support and research are imperative for this purpose. In terms of mitigation strategies, it is important to adopt and apply various processes proposed by developed countries, still equally, we also actively make efforts to research and support processes that can be implemented in domestic conditions, such as the use of agricultural by-products, food by-products, and home-grown forages in total mixed ration. Additionally, in addition to developing novel additives or substances at a strategic level, if th</w:t>
      </w:r>
    </w:p>
    <w:p>
      <w:pPr/>
      <w:r>
        <w:rPr>
          <w:b/>
        </w:rPr>
        <w:t>POSSIBLE 2024:</w:t>
      </w:r>
      <w:r>
        <w:t xml:space="preserve"> Advancements in Transition to Green Steel in Europe through Direct Reduced Iron Production — https://doi.org/10.32730/mswt.2024.68.2.2</w:t>
      </w:r>
    </w:p>
    <w:p>
      <w:pPr/>
      <w:r>
        <w:rPr>
          <w:b/>
        </w:rPr>
        <w:t>Shared claim-specific concepts:</w:t>
      </w:r>
      <w:r>
        <w:t xml:space="preserve"> reduce, greenhouse, gas, emissions, compared, reduction; EU scope visible. This is a provisional connection, not an outcome finding.</w:t>
      </w:r>
    </w:p>
    <w:p>
      <w:pPr>
        <w:pStyle w:val="SourceNote"/>
      </w:pPr>
      <w:r>
        <w:rPr>
          <w:b/>
        </w:rPr>
        <w:t>Available abstract (not full text):</w:t>
      </w:r>
      <w:r>
        <w:t xml:space="preserve"> This article describes the current situation in Europe regarding methods of steel production and transition to green steel, produced in a sustainable way, i.e. with renewable energy and without fossil fuels, in order to reduce greenhouse gas emissions. The study focuses on direct reduction (DR) as potentially the best technology to eliminate the use of fossil fuels in the steel industry. The main commercial processes of direct reduced iron (DRI) production such as MIDREX, Energiron, PERED, SL/RN, Fastmet and Circored are described and compared in terms of the quality of finished products, operational conditions and efficiency. The article presents recent statistics regarding the production capacity of DRI, comparing Europe with the rest of the world. Plans concerning the construction of DRI plants across Europe are summarised alongside other projects aimed to support the process of transition to green steel by providing environmentally friendly materials or increasing efficiency of already implemented technologies by recycling waste materials.</w:t>
      </w:r>
    </w:p>
    <w:p>
      <w:pPr>
        <w:pStyle w:val="Heading2"/>
      </w:pPr>
      <w:r>
        <w:t>745. Climate change mitigation: evidences from the European scenario</w:t>
      </w:r>
    </w:p>
    <w:p>
      <w:pPr>
        <w:pStyle w:val="SourceNote"/>
      </w:pPr>
      <w:r>
        <w:rPr>
          <w:b/>
        </w:rPr>
        <w:t>Original source (2018):</w:t>
      </w:r>
      <w:r>
        <w:t xml:space="preserve"> https://doi.org/10.1504/ijmne.2018.10016474</w:t>
      </w:r>
    </w:p>
    <w:p>
      <w:pPr/>
      <w:r>
        <w:t>Original wording (abstract; indexed_source_text_not_full_document_verified): By 2050, the EU aims to reduce its greenhouse gas emissions by 80%-95% compared with 1990 levels. New objectives up to 2030 provide for a 40% reduction of GHG emissions and an increase of 27% for renewables and energy efficiency.</w:t>
      </w:r>
    </w:p>
    <w:p>
      <w:pPr/>
      <w:r>
        <w:rPr>
          <w:b/>
        </w:rPr>
        <w:t>POSSIBLE 2026:</w:t>
      </w:r>
      <w:r>
        <w:t xml:space="preserve"> Changes in greenhouse gas emissions from agriculture in selected European Union countries — https://doi.org/10.14254/2071-8330.2026/19-1/10</w:t>
      </w:r>
    </w:p>
    <w:p>
      <w:pPr/>
      <w:r>
        <w:rPr>
          <w:b/>
        </w:rPr>
        <w:t>Shared claim-specific concepts:</w:t>
      </w:r>
      <w:r>
        <w:t xml:space="preserve"> greenhouse, gas, emissions; EU scope visible. This is a provisional connection, not an outcome finding.</w:t>
      </w:r>
    </w:p>
    <w:p>
      <w:pPr>
        <w:pStyle w:val="SourceNote"/>
      </w:pPr>
      <w:r>
        <w:rPr>
          <w:b/>
        </w:rPr>
        <w:t>Available abstract (not full text):</w:t>
      </w:r>
      <w:r>
        <w:t xml:space="preserve"> The aim of the research was to identify changes in greenhouse gas emissions from EU countries in the years 2008-2022. The research used available Eurostat data from 24 EU countries. Descriptive statistics, the Ward method and shift share analysis were used. The survey shows that in 2021 the agricultural sector was responsible for 15.3% of total greenhouse emissions in EU. Most carbon emissions from farming come from methane (54%), followed by nitrous oxide (28%) and carbon dioxide (18%). The research shows that the largest increases in carbon pollution, creating a carbon footprint in the exploring period, were recorded in Bulgaria, Estonia, Romania, Latvia and Hungary. A different situation occurred in Croatia and Germany, where carbon dioxide and methane emissions from cultivation were reduced. The research confirms that the dynamics of changes in greenhouse gas emissions depend on the intensity of agribusiness. Moreover, the structure of greenhouse emissions varies regionally. Therefore, the European Union's policy on reducing the carbon footprint should consider regional conditions.</w:t>
      </w:r>
    </w:p>
    <w:p>
      <w:pPr/>
      <w:r>
        <w:rPr>
          <w:b/>
        </w:rPr>
        <w:t>POSSIBLE 2026:</w:t>
      </w:r>
      <w:r>
        <w:t xml:space="preserve"> Mapping urban CO2 emission spatiotemporal dynamics in Europe via a nighttime light composite index — https://doi.org/10.1038/s42949-026-00437-7</w:t>
      </w:r>
    </w:p>
    <w:p>
      <w:pPr/>
      <w:r>
        <w:rPr>
          <w:b/>
        </w:rPr>
        <w:t>Shared claim-specific concepts:</w:t>
      </w:r>
      <w:r>
        <w:t xml:space="preserve"> reduce, emissions, compared, provide, reduction, energy; EU scope visible. This is a provisional connection, not an outcome finding.</w:t>
      </w:r>
    </w:p>
    <w:p>
      <w:pPr>
        <w:pStyle w:val="SourceNote"/>
      </w:pPr>
      <w:r>
        <w:rPr>
          <w:b/>
        </w:rPr>
        <w:t>Available abstract (not full text):</w:t>
      </w:r>
      <w:r>
        <w:t xml:space="preserve"> A spatiotemporal inventory of CO₂ emissions is essential for countries aiming to reduce carbon output. However, rising urban industrial activity and daily energy consumption present major challenges. Accurately understanding the spatiotemporal dynamics of urban CO₂ emissions is crucial for identifying sources and enabling targeted mitigation, yet this topic has received limited attention. This study introduces a CO₂ Emission Spatial Index (CESI), developed by integrating MODIS and VIIRS-DNB data, and applies a zonal classification approach to map urban CO₂ emissions across Europe from 2012 to 2021. Results indicate that CESI combined with zonal classification improves spatial estimation accuracy compared with nighttime light data alone, with all R ² values exceeding 0.96. The analysis reveals significant spatiotemporal variation in Europe’s urban CO₂ emissions during the study period. Additionally, a new normalized indicator integrating population, GDP, and land use (PGL index ) is proposed, and its coupling coordination relationship with CESI is examined. The results show that several northeastern European countries experience pronounced imbalances. These findings provide valuable insights for local authorities, supporting more precise spatial analysis and more effective CO₂ reduction policies.</w:t>
      </w:r>
    </w:p>
    <w:p>
      <w:pPr/>
      <w:r>
        <w:rPr>
          <w:b/>
        </w:rPr>
        <w:t>POSSIBLE 2026:</w:t>
      </w:r>
      <w:r>
        <w:t xml:space="preserve"> Association patterns of renewables and greenhouse gas emission reduction in the European Union — https://doi.org/10.2139/ssrn.6144181</w:t>
      </w:r>
    </w:p>
    <w:p>
      <w:pPr/>
      <w:r>
        <w:rPr>
          <w:b/>
        </w:rPr>
        <w:t>Shared claim-specific concepts:</w:t>
      </w:r>
      <w:r>
        <w:t xml:space="preserve"> greenhouse, gas, reduction, renewables;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WAYS OF REDUCING GREENHOUSE GASES — https://doi.org/10.33864/1816-2126.2026.n2.103-107</w:t>
      </w:r>
    </w:p>
    <w:p>
      <w:pPr/>
      <w:r>
        <w:rPr>
          <w:b/>
        </w:rPr>
        <w:t>Shared claim-specific concepts:</w:t>
      </w:r>
      <w:r>
        <w:t xml:space="preserve"> greenhouse, gas, emissions, reduction, energy, efficiency; EU scope not established. This is a provisional connection, not an outcome finding.</w:t>
      </w:r>
    </w:p>
    <w:p>
      <w:pPr>
        <w:pStyle w:val="SourceNote"/>
      </w:pPr>
      <w:r>
        <w:rPr>
          <w:b/>
        </w:rPr>
        <w:t>Available abstract (not full text):</w:t>
      </w:r>
      <w:r>
        <w:t xml:space="preserve"> Greenhouse gas emissions have become a major environmental concern due to their significant contribution to global warming and long-term climate change. Human activities such as industrial development, fossil fuel combustion, rapid urbanization, intensive agriculture, and the loss of forested areas have led to increasing atmospheric concentrations of carbon dioxide (CO₂), methane (CH₄), and nitrous oxide (N₂O). This paper explores the primary sources of greenhouse gas emissions and discusses their environmental, economic, and social consequences. It also reviews current mitigation strategies, including the adoption of renewable energy technologies, improvements in energy efficiency, sustainable transportation systems, low-carbon industrial processes, and forest conservation initiatives. Furthermore, the importance of international climate agreements, environmental regulations, and policy frameworks in achieving emission reduction targets is examined. The findings indicate that effective greenhouse gas mitigation requires an integrated approach combining technological innovation, governmental action, and sustainable development practices to support long-term environmental protection.</w:t>
      </w:r>
    </w:p>
    <w:p>
      <w:pPr/>
      <w:r>
        <w:rPr>
          <w:b/>
        </w:rPr>
        <w:t>POSSIBLE 2025:</w:t>
      </w:r>
      <w:r>
        <w:t xml:space="preserve"> Reducing Greenhouse Gas Emissions in Hungary in Light of the Dynamically Changing Requirements of the European Union — https://doi.org/10.56251/gfga3859</w:t>
      </w:r>
    </w:p>
    <w:p>
      <w:pPr/>
      <w:r>
        <w:rPr>
          <w:b/>
        </w:rPr>
        <w:t>Shared claim-specific concepts:</w:t>
      </w:r>
      <w:r>
        <w:t xml:space="preserve"> aims, greenhouse, gas, emissions; EU scope visible. This is a provisional connection, not an outcome finding.</w:t>
      </w:r>
    </w:p>
    <w:p>
      <w:pPr>
        <w:pStyle w:val="SourceNote"/>
      </w:pPr>
      <w:r>
        <w:rPr>
          <w:b/>
        </w:rPr>
        <w:t>Available abstract (not full text):</w:t>
      </w:r>
      <w:r>
        <w:t xml:space="preserve"> The fight against climate change requires Hungary to develop a common set of principles-based targets and to operate a coherent framework for action, monitoring and feedback in order to meet national and international targets for reducing greenhouse gas emissions. This is highlighted by the analysis of the State Audit Office of Hungary (SAO) concluded in 2024, which audited the measures aimed at reducing greenhouse gas emissions and the strategic framework of Hungary in the light of the dynamically changing requirements of the European Union (EU). Due to greenhouse gas emissions, the effects of global warming affect almost all aspects of life, the natural environment and biodiversity, all sectors of the economy, human habitats and the development of society. The estimated value of economic damages associated with climate change, including projections ranging from the costs of recovery caused by natural disasters to unrealised economic returns, are increasing. Action is of key importance for Europe, as the continent’s average temperature is rising at around twice the global average. A milestone in the fight against climate change was the Paris Agreement adopted in 2015, which set the target of reducing the average temperature rise. The European Union’s Climate Law aims to ensure that climate neutrality, i.e. a balance between greenhouse gas emissions and removals, is achieved by</w:t>
      </w:r>
    </w:p>
    <w:p>
      <w:pPr/>
      <w:r>
        <w:rPr>
          <w:b/>
        </w:rPr>
        <w:t>POSSIBLE 2025:</w:t>
      </w:r>
      <w:r>
        <w:t xml:space="preserve"> THE ROLE OF ENVIRONMENTAL TAXES IN GENERATING TAX REVENUES AND REDUCING GREENHOUSE GAS EMISSIONS IN THE EUROPEAN UNION — https://doi.org/10.55654/jfs.2025.10.sp.19</w:t>
      </w:r>
    </w:p>
    <w:p>
      <w:pPr/>
      <w:r>
        <w:rPr>
          <w:b/>
        </w:rPr>
        <w:t>Shared claim-specific concepts:</w:t>
      </w:r>
      <w:r>
        <w:t xml:space="preserve"> aims, reduce, greenhouse, gas, emissions, objectives; EU scope visible. This is a provisional connection, not an outcome finding.</w:t>
      </w:r>
    </w:p>
    <w:p>
      <w:pPr>
        <w:pStyle w:val="SourceNote"/>
      </w:pPr>
      <w:r>
        <w:rPr>
          <w:b/>
        </w:rPr>
        <w:t>Available abstract (not full text):</w:t>
      </w:r>
      <w:r>
        <w:t xml:space="preserve"> The aim of this study is to examine the role of environmental taxes in generating tax revenues and reducing greenhouse gas emissions in the European Union. The study investigates how these taxes, particularly those on energy and transport, contribute to the EU's climate objectives, such as climate neutrality by 2050. It also assesses differences in their implementation between Member States. In the context of the European Green Pact, the research aims to provide a comprehensive analysis of the effectiveness of these taxes in supporting climate policies and sustainable development. The study uses an econometric analysis applied to a dataset comprising relevant economic and environmental indicators, including taxes on energy, transportation, net greenhouse gas emissions and GDP per capita. This approach makes it possible to assess the relationships between the variables and to measure the impact of each type of tax-on-tax revenues and emission reductions. The analysis also includes descriptive statistics to highlight differences between Member States. The results indicate that energy taxes have a significant and positive impact on revenues from environmental taxes, contributing substantially to the budgets of Member States that implement them in an ambitious way. At the same time, fuel and transport taxes have been found to be under-used in some Member States, thus limiting their</w:t>
      </w:r>
    </w:p>
    <w:p>
      <w:pPr/>
      <w:r>
        <w:rPr>
          <w:b/>
        </w:rPr>
        <w:t>POSSIBLE 2025:</w:t>
      </w:r>
      <w:r>
        <w:t xml:space="preserve"> The Role of Organic Farming in Reducing Greenhouse Gas Emissions from Agriculture in the European Union — https://doi.org/10.3390/agronomy15010198</w:t>
      </w:r>
    </w:p>
    <w:p>
      <w:pPr/>
      <w:r>
        <w:rPr>
          <w:b/>
        </w:rPr>
        <w:t>Shared claim-specific concepts:</w:t>
      </w:r>
      <w:r>
        <w:t xml:space="preserve"> greenhouse, gas, emissions, levels, objectives, ghg; EU scope visible. This is a provisional connection, not an outcome finding.</w:t>
      </w:r>
    </w:p>
    <w:p>
      <w:pPr>
        <w:pStyle w:val="SourceNote"/>
      </w:pPr>
      <w:r>
        <w:rPr>
          <w:b/>
        </w:rPr>
        <w:t>Available abstract (not full text):</w:t>
      </w:r>
      <w:r>
        <w:t xml:space="preserve"> Agriculture remains a key source of greenhouse gas (GHG) emissions within the European Union, posing substantial obstacles to achieving climate objectives and fostering sustainable development. On this background, organic farming stands out as a viable alternative, offering significant potential for reducing emissions. This study explores the impact of expanding organic farming on GHG emissions in the EU agricultural sector. The empirical research examines the connection between organic farming practices and GHG emission levels using structural equation modeling, complemented by Holt and ARIMA forecasting models, to project future trends based on expected growth in organic farmland. The findings highlight a robust negative influence (p &lt; 0.001), demonstrating that organic farming practices are associated with tangible reductions in emissions. Forecasting analyses further reinforce this, predicting considerable declines in GHG emissions (by almost 14 percent below the level of 2008) as organic farming continues to expand for over 23% of agricultural land by 2035, according to the projections in this research. These insights underscore the critical role of organic farming in advancing the EU’s climate ambitions. The study concludes that broader adoption of organic practices offers a practical and impactful pathway for building a more sustainable agricultural system while mitigati</w:t>
      </w:r>
    </w:p>
    <w:p>
      <w:pPr/>
      <w:r>
        <w:rPr>
          <w:b/>
        </w:rPr>
        <w:t>POSSIBLE 2025:</w:t>
      </w:r>
      <w:r>
        <w:t xml:space="preserve"> Analysis of Greenhouse Gas Emissions from Ships Visiting European Ports — https://doi.org/10.3233/pmst250013</w:t>
      </w:r>
    </w:p>
    <w:p>
      <w:pPr/>
      <w:r>
        <w:rPr>
          <w:b/>
        </w:rPr>
        <w:t>Shared claim-specific concepts:</w:t>
      </w:r>
      <w:r>
        <w:t xml:space="preserve"> greenhouse, gas, emissions, compared, levels, reduction; EU scope visible. This is a provisional connection, not an outcome finding.</w:t>
      </w:r>
    </w:p>
    <w:p>
      <w:pPr>
        <w:pStyle w:val="SourceNote"/>
      </w:pPr>
      <w:r>
        <w:rPr>
          <w:b/>
        </w:rPr>
        <w:t>Available abstract (not full text):</w:t>
      </w:r>
      <w:r>
        <w:t xml:space="preserve"> Starting January 1, 2025, shipping companies will be required to monitor and record greenhouse gas (GHG) emissions data for each ship arriving at or departing from a port in the European Union. This requirement is part of the FuelEU Maritime regulation and applies to all vessels with over 5,000 gross tons for transporting passengers or cargo for commercial purposes. The FuelEU regulation includes a calculation scheme and sets limits on GHG intensity, aiming for an 80% reduction in emissions compared to 2020 levels by 2050. Short-sea shipping plays a crucial role in the European Union’s transportation policy. The study’s objective is to analyse the GHG emissions of the containerships registered from 2020 to 2023 vessels, utilising EU-MRV data from 2020 to 2023. Applying the extreme values analysis indicates no consistent trend toward reducing GHG intensity, illustrating the complexities in mitigating the GHG intensity levels requiring additional measures to achieve the proposed reduction by 2050.</w:t>
      </w:r>
    </w:p>
    <w:p>
      <w:pPr/>
      <w:r>
        <w:rPr>
          <w:b/>
        </w:rPr>
        <w:t>POSSIBLE 2025:</w:t>
      </w:r>
      <w:r>
        <w:t xml:space="preserve"> Reducing Carbon Emissions from Transport Sector: Experience and Policy Design Considerations — https://doi.org/10.3390/su17093762</w:t>
      </w:r>
    </w:p>
    <w:p>
      <w:pPr/>
      <w:r>
        <w:rPr>
          <w:b/>
        </w:rPr>
        <w:t>Shared claim-specific concepts:</w:t>
      </w:r>
      <w:r>
        <w:t xml:space="preserve"> reduce, greenhouse, gas, emissions, compared, ghg; EU scope visible. This is a provisional connection, not an outcome finding.</w:t>
      </w:r>
    </w:p>
    <w:p>
      <w:pPr>
        <w:pStyle w:val="SourceNote"/>
      </w:pPr>
      <w:r>
        <w:rPr>
          <w:b/>
        </w:rPr>
        <w:t>Available abstract (not full text):</w:t>
      </w:r>
      <w:r>
        <w:t xml:space="preserve"> Countries aim to reduce fossil fuel usage and related environmental issues through various demand- and supply-side policies. Numerous studies have assessed the policies’ overview. However, analysis of the impacts and effectiveness of these policies in addressing transport-related CO2 emissions is limited globally and in countries like New Zealand, which have a lower CO2 emissions energy intensity compared to Europe, Asia, and Oceania averages. Therefore, this study first analyses the trends in energy consumption and CO2 emissions within the transport sector across the ten largest total CO2-emitting countries, as well as the ten largest transport CO2-emitting OECD countries. It then provides a systematic review of the relevant policies and, finally, estimates two econometric models to explore the effects of these policies on the energy market, aimed at reducing GHG emissions globally from the transport sector, with New Zealand as a case study. The study findings indicate that the transport sector remains a significant contributor to global fossil fuel consumption and CO2 emissions, accounting for 40.4% and 23.3%, respectively, in 2024. The ten largest CO2-emitting countries—China, the United States, India, Russia, Japan, Germany, South Korea, Iran, Canada, and Saudi Arabia—are responsible for 68% of global emissions. Additionally, the ten OECD countries, except the US, with the </w:t>
      </w:r>
    </w:p>
    <w:p>
      <w:pPr/>
      <w:r>
        <w:rPr>
          <w:b/>
        </w:rPr>
        <w:t>POSSIBLE 2025:</w:t>
      </w:r>
      <w:r>
        <w:t xml:space="preserve"> An identification of models to help in the design of national strategies and policies to reduce greenhouse gas emissions. — https://doi.org/10.1016/j.trpro.2024.12.094</w:t>
      </w:r>
    </w:p>
    <w:p>
      <w:pPr/>
      <w:r>
        <w:rPr>
          <w:b/>
        </w:rPr>
        <w:t>Shared claim-specific concepts:</w:t>
      </w:r>
      <w:r>
        <w:t xml:space="preserve"> reduce, greenhouse, gas, emissions, reduction, ghg; EU scope visible. This is a provisional connection, not an outcome finding.</w:t>
      </w:r>
    </w:p>
    <w:p>
      <w:pPr>
        <w:pStyle w:val="SourceNote"/>
      </w:pPr>
      <w:r>
        <w:rPr>
          <w:b/>
        </w:rPr>
        <w:t>Available abstract (not full text):</w:t>
      </w:r>
      <w:r>
        <w:t xml:space="preserve"> In response to the rapid increase in global greenhouse gas (GHG) emissions, 196 countries have made a legal commitment to implement a strategy to decarbonize their economies, under the Paris Agreement, particularly with respect to the transportation sector. As part of their long-term climate actions, these countries are defining various Avoid/Reduce, Shift and Improve (A-S-I) strategies, aimed at reducing or avoiding unnecessary travel, promoting and shifting to public transport and active modes, and improving energy efficiency and vehicle technology. In this paper, we take a closer look at some of the regional and national strategies and policies to reduce GHG emissions in Europe, as well as the models and methods used to assist in policy development. Keeping in mind the limited guidance on concrete avoidance/reduction and transfer strategies mentioned in the climate actions, we list some of the land use and transport interaction (LUTI) models that can be used to improve climate change control at the urban scale. The aim of this paper is to gain a better understanding of how methods and tools can assist in decision making and policy development with respect to GHG emission reduction goals in the transportation sector.</w:t>
      </w:r>
    </w:p>
    <w:p>
      <w:pPr/>
      <w:r>
        <w:rPr>
          <w:b/>
        </w:rPr>
        <w:t>POSSIBLE 2024:</w:t>
      </w:r>
      <w:r>
        <w:t xml:space="preserve"> Reducing greenhouse gases from ruminants: a Korean perspective — https://doi.org/10.5187/ait.2024.11.2.93</w:t>
      </w:r>
    </w:p>
    <w:p>
      <w:pPr/>
      <w:r>
        <w:rPr>
          <w:b/>
        </w:rPr>
        <w:t>Shared claim-specific concepts:</w:t>
      </w:r>
      <w:r>
        <w:t xml:space="preserve"> aims, reduce, greenhouse, gas, provide, energy; EU scope visible. This is a provisional connection, not an outcome finding.</w:t>
      </w:r>
    </w:p>
    <w:p>
      <w:pPr>
        <w:pStyle w:val="SourceNote"/>
      </w:pPr>
      <w:r>
        <w:rPr>
          <w:b/>
        </w:rPr>
        <w:t>Available abstract (not full text):</w:t>
      </w:r>
      <w:r>
        <w:t xml:space="preserve"> Methane, a gas produced during the digestion process of ruminants, is a greenhouse gas that contributes to global warming and also represents energy loss. Therefore, all countries worldwide, including the United States and Europe, are trying to reduce the amount of methane gas generated. There are many research papers and excellent review papers in this regard. However, this review specifically aims to provide some insights on methane measurement methods and consider ways to reduce greenhouse gases under current domestic conditions. Enteric methane from ruminants is mainly measured using a respiration chamber and the GreenFeed system and can also be measured using an laser methane detector and sulfur hexafluoride (SF6) tracer technique. Research priority needs to be focused on measuring the current level of methane produced more accurately from Korea’s perspective, and financial support and research are imperative for this purpose. In terms of mitigation strategies, it is important to adopt and apply various processes proposed by developed countries, still equally, we also actively make efforts to research and support processes that can be implemented in domestic conditions, such as the use of agricultural by-products, food by-products, and home-grown forages in total mixed ration. Additionally, in addition to developing novel additives or substances at a strategic level, if th</w:t>
      </w:r>
    </w:p>
    <w:p>
      <w:pPr/>
      <w:r>
        <w:rPr>
          <w:b/>
        </w:rPr>
        <w:t>POSSIBLE 2024:</w:t>
      </w:r>
      <w:r>
        <w:t xml:space="preserve"> Advancements in Transition to Green Steel in Europe through Direct Reduced Iron Production — https://doi.org/10.32730/mswt.2024.68.2.2</w:t>
      </w:r>
    </w:p>
    <w:p>
      <w:pPr/>
      <w:r>
        <w:rPr>
          <w:b/>
        </w:rPr>
        <w:t>Shared claim-specific concepts:</w:t>
      </w:r>
      <w:r>
        <w:t xml:space="preserve"> reduce, greenhouse, gas, emissions, compared, reduction; EU scope visible. This is a provisional connection, not an outcome finding.</w:t>
      </w:r>
    </w:p>
    <w:p>
      <w:pPr>
        <w:pStyle w:val="SourceNote"/>
      </w:pPr>
      <w:r>
        <w:rPr>
          <w:b/>
        </w:rPr>
        <w:t>Available abstract (not full text):</w:t>
      </w:r>
      <w:r>
        <w:t xml:space="preserve"> This article describes the current situation in Europe regarding methods of steel production and transition to green steel, produced in a sustainable way, i.e. with renewable energy and without fossil fuels, in order to reduce greenhouse gas emissions. The study focuses on direct reduction (DR) as potentially the best technology to eliminate the use of fossil fuels in the steel industry. The main commercial processes of direct reduced iron (DRI) production such as MIDREX, Energiron, PERED, SL/RN, Fastmet and Circored are described and compared in terms of the quality of finished products, operational conditions and efficiency. The article presents recent statistics regarding the production capacity of DRI, comparing Europe with the rest of the world. Plans concerning the construction of DRI plants across Europe are summarised alongside other projects aimed to support the process of transition to green steel by providing environmentally friendly materials or increasing efficiency of already implemented technologies by recycling waste materials.</w:t>
      </w:r>
    </w:p>
    <w:p>
      <w:pPr>
        <w:pStyle w:val="Heading2"/>
      </w:pPr>
      <w:r>
        <w:t>746. Current situation and future prospects for beef production in Europe — A review</w:t>
      </w:r>
    </w:p>
    <w:p>
      <w:pPr>
        <w:pStyle w:val="SourceNote"/>
      </w:pPr>
      <w:r>
        <w:rPr>
          <w:b/>
        </w:rPr>
        <w:t>Original source (2018):</w:t>
      </w:r>
      <w:r>
        <w:t xml:space="preserve"> https://doi.org/10.5713/ajas.18.0196</w:t>
      </w:r>
    </w:p>
    <w:p>
      <w:pPr/>
      <w:r>
        <w:t>Original wording (abstract; indexed_source_text_not_full_document_verified): These may affect the whole industry, especially its farmers. Different future scenarios can be written depending on the major driving forces, notably meat consumption, climate change, environmental policies and future organization of the supply chain.</w:t>
      </w:r>
    </w:p>
    <w:p>
      <w:pPr/>
      <w:r>
        <w:rPr>
          <w:b/>
        </w:rPr>
        <w:t>POSSIBLE 2026:</w:t>
      </w:r>
      <w:r>
        <w:t xml:space="preserve"> Industry 5.0 in the European Union — https://doi.org/10.1201/9781003785590</w:t>
      </w:r>
    </w:p>
    <w:p>
      <w:pPr/>
      <w:r>
        <w:rPr>
          <w:b/>
        </w:rPr>
        <w:t>Shared claim-specific concepts:</w:t>
      </w:r>
      <w:r>
        <w:t xml:space="preserve"> industry, climate, environmental; EU scope visible. This is a provisional connection, not an outcome finding.</w:t>
      </w:r>
    </w:p>
    <w:p>
      <w:pPr>
        <w:pStyle w:val="SourceNote"/>
      </w:pPr>
      <w:r>
        <w:rPr>
          <w:b/>
        </w:rPr>
        <w:t>Available abstract (not full text):</w:t>
      </w:r>
      <w:r>
        <w:t xml:space="preserve"> This book explores the transformative shift from Industry 4.0 to Industry 5.0, emphasizing human-centricity, environmental sustainability, and resilience alongside technological innovation. Focusing on the European Union, it examines the readiness of EU-27 countries to adopt Industry 5.0 principles, offering a detailed analysis of the challenges and opportunities in this transition while integrating technological advancements with societal and environmental goals. Industry 5.0 in the European Union: A Paradigm Shift Towards People-Centered and Sustainable Development provides an in-depth analysis of Industry 5.0’s theoretical foundations, its human-centric, technological, and environmental dimensions, and the EU’s strategic role in its implementation. The book introduces a unique Industry 5.0 maturity assessment model, explores labor market implications, and offers evidence-based recommendations for fostering inclusive and sustainable industrial systems. Essential for industrial engineers, policymakers, and researchers focused on sustainable and human-centric industrial systems, this book offers valuable insights into addressing challenges like climate change and social inequality while optimizing systems for the Fifth Industrial Revolution.</w:t>
      </w:r>
    </w:p>
    <w:p>
      <w:pPr/>
      <w:r>
        <w:rPr>
          <w:b/>
        </w:rPr>
        <w:t>POSSIBLE 2026:</w:t>
      </w:r>
      <w:r>
        <w:t xml:space="preserve"> The economic sustainability of farmers’ markets in Europe — https://doi.org/10.1007/s43621-026-04012-z</w:t>
      </w:r>
    </w:p>
    <w:p>
      <w:pPr/>
      <w:r>
        <w:rPr>
          <w:b/>
        </w:rPr>
        <w:t>Shared claim-specific concepts:</w:t>
      </w:r>
      <w:r>
        <w:t xml:space="preserve"> especially, farmers; EU scope visible. This is a provisional connection, not an outcome finding.</w:t>
      </w:r>
    </w:p>
    <w:p>
      <w:pPr>
        <w:pStyle w:val="SourceNote"/>
      </w:pPr>
      <w:r>
        <w:rPr>
          <w:b/>
        </w:rPr>
        <w:t>Available abstract (not full text):</w:t>
      </w:r>
      <w:r>
        <w:t xml:space="preserve"> Abstract Farmers’ markets (FMs) represent one of the oldest and most prevalent forms of short food supply chains (SFSCs), serving as a vital retail outlet for local products. While the broader literature on SFSCs has a strong European focus, quantitative studies examining consumers’ willingness to pay (WTP) at FMs have predominantly focused on the United States. By focusing specifically on FMs, this study extends the existing SFSC literature through a harmonised, cross-country analysis of consumers’ WTP in three European countries, where FMs have rich traditions and cultural significance. We investigated consumer WTP for various points of sale, with a particular emphasis on FMs, utilizing a discrete choice experiment centered around a typical FM product: apples. Data were gathered through an online survey conducted in October–November 2023, involving representative samples from Hungary (n = 614), Italy (n = 600), and the UK (n = 600). Latent class modelling was applied to explore preference heterogeneity and to identify consumer segments with distinct WTP patterns across the three countries. The findings confirm that FMs hold a unique position in the retail market, often commanding a price premium compared to grocery stores and supermarkets. However, the FM premium is not uniform across consumer segments or countries, and product-specific attributes, especially visual quality, </w:t>
      </w:r>
    </w:p>
    <w:p>
      <w:pPr/>
      <w:r>
        <w:rPr>
          <w:b/>
        </w:rPr>
        <w:t>POSSIBLE 2025:</w:t>
      </w:r>
      <w:r>
        <w:t xml:space="preserve"> AGGLOMERATION, NETWORKS &amp; INSTITUTIONAL SUPPORT IN THE INNOVATIVE EUROPEAN AEROSPACE INDUSTRY — https://doi.org/10.31732/2663-2209-2025-80-225-234</w:t>
      </w:r>
    </w:p>
    <w:p>
      <w:pPr/>
      <w:r>
        <w:rPr>
          <w:b/>
        </w:rPr>
        <w:t>Shared claim-specific concepts:</w:t>
      </w:r>
      <w:r>
        <w:t xml:space="preserve"> affect, whole, industry, policies; EU scope visible. This is a provisional connection, not an outcome finding.</w:t>
      </w:r>
    </w:p>
    <w:p>
      <w:pPr>
        <w:pStyle w:val="SourceNote"/>
      </w:pPr>
      <w:r>
        <w:rPr>
          <w:b/>
        </w:rPr>
        <w:t>Available abstract (not full text):</w:t>
      </w:r>
      <w:r>
        <w:t xml:space="preserve"> This article examines the interrelated role of agglomeration, networks and institutional advantages in shaping the competitive dynamics of the European aerospace industry. The interaction of agglomerations, formal and informal networks, and public and private institutions creates the foundation for innovative development, high efficiency and competitiveness of the European aerospace industry. The aim of the article is to analyze such interactions and identify ways to ensure sustainable competitive advantages of enterprises and the industry as a whole in the process of timely response to challenges from the external environment. The aerospace industry is characterized by technological intensity, complex value chains and strong cooperation between the public and private sectors, which provides a unique context for analyzing how spatial concentration, formal and informal networks, collaborative ties and institutional frameworks jointly promote innovation and competitiveness. These principles completely correspond with ESG conception which provides European values. Agglomeration is reflected in aerospace clusters such as Toulouse, Hamburg and Turin, where knowledge sharing, research and development, pools of skilled labour, integration links and proximity to suppliers increase the efficiency of companies and the innovation level of the industry. Networks, both formal and informal, </w:t>
      </w:r>
    </w:p>
    <w:p>
      <w:pPr/>
      <w:r>
        <w:rPr>
          <w:b/>
        </w:rPr>
        <w:t>POSSIBLE 2025:</w:t>
      </w:r>
      <w:r>
        <w:t xml:space="preserve"> The European Union’s role in European defence industry policy — https://doi.org/10.1080/14702436.2025.2472694</w:t>
      </w:r>
    </w:p>
    <w:p>
      <w:pPr/>
      <w:r>
        <w:rPr>
          <w:b/>
        </w:rPr>
        <w:t>Shared claim-specific concepts:</w:t>
      </w:r>
      <w:r>
        <w:t xml:space="preserve"> industry, different; EU scope visible. This is a provisional connection, not an outcome finding.</w:t>
      </w:r>
    </w:p>
    <w:p>
      <w:pPr>
        <w:pStyle w:val="SourceNote"/>
      </w:pPr>
      <w:r>
        <w:rPr>
          <w:b/>
        </w:rPr>
        <w:t>Available abstract (not full text):</w:t>
      </w:r>
      <w:r>
        <w:t xml:space="preserve"> The European Union has often been described as an economic giant but a political dwarf. It has a security and defence policy, but it is not a military alliance. Despite this, the defence industry has been on the EU’s agenda for years. This development reached a new phase in 2021 when the EU budget included almost 8 billion Euro in a European Defence Fund, strengthened when the EU in 2022 acted decisively to supply Ukraine with arms and ammunition, and strengthened yet again in March 2024 when it presented a comprehensive European Defence Industrial Strategy and European Defence Industry Programme. At first glance the developments may seem counterintuitive. What makes a mainly civilian organisation develop into an actor in defence industry policy? Departing from four dilemmas arising from the specific challenges with ownership of the defence industry and efforts to create a European defence market, this article identifies the challenges that different EU initiatives try to solve, analyses economic, political and strategic rationales of the development, analyses the four dilemmas in light of the development, and discusses how it relates to the EU’s raison d’être with regard to European defence.</w:t>
      </w:r>
    </w:p>
    <w:p>
      <w:pPr/>
      <w:r>
        <w:rPr>
          <w:b/>
        </w:rPr>
        <w:t>POSSIBLE 2025:</w:t>
      </w:r>
      <w:r>
        <w:t xml:space="preserve"> The importance of public funding for the European film industry — https://openalex.org/W7115611300</w:t>
      </w:r>
    </w:p>
    <w:p>
      <w:pPr/>
      <w:r>
        <w:rPr>
          <w:b/>
        </w:rPr>
        <w:t>Shared claim-specific concepts:</w:t>
      </w:r>
      <w:r>
        <w:t xml:space="preserve"> affect, industry, especially, different; EU scope visible. This is a provisional connection, not an outcome finding.</w:t>
      </w:r>
    </w:p>
    <w:p>
      <w:pPr>
        <w:pStyle w:val="SourceNote"/>
      </w:pPr>
      <w:r>
        <w:rPr>
          <w:b/>
        </w:rPr>
        <w:t>Available abstract (not full text):</w:t>
      </w:r>
      <w:r>
        <w:t xml:space="preserve"> The creative and cultural industries are continuously facing budget cuts around Europe. In light of these country-level cuts, public funding from institutions like the European Union are becoming more and more valuable. This thesis explores how different EU public funding projects have affected and will continue to affect the European film industry and its success. The study is conducted as a literature review and focuses on economic theoretical literature and academic studies on public funding, EU funding projects and countryspecific examples of film success. The findings show various links between EU based funding and the growing success of European film. Especially economically there is a clear positive correlation between EU public funding and economic growth of the industry. Cultural benefits are also explored while using a critical lense to evaluate potential improvements as well. Based on the evaluation of past country-specific examples, this thesis draws conclusions regarding future outlooks. It explores future trends and initiatives to show that the EU will continue to have a crucial role in the European film industry’s success. This thesis contributes to a deeper understanding of the value of public funding for the film sector. It discusses important and relevant aspects of public funding and reflects on current changes in the industry and their effects. This thesis c</w:t>
      </w:r>
    </w:p>
    <w:p>
      <w:pPr/>
      <w:r>
        <w:rPr>
          <w:b/>
        </w:rPr>
        <w:t>POSSIBLE 2025:</w:t>
      </w:r>
      <w:r>
        <w:t xml:space="preserve"> The Whole Economy: Work and Gender in Early Modern Europe — https://doi.org/10.1215/15476715-11609909</w:t>
      </w:r>
    </w:p>
    <w:p>
      <w:pPr/>
      <w:r>
        <w:rPr>
          <w:b/>
        </w:rPr>
        <w:t>Shared claim-specific concepts:</w:t>
      </w:r>
      <w:r>
        <w:t xml:space="preserve"> whole, consumption, chain; EU scope visible. This is a provisional connection, not an outcome finding.</w:t>
      </w:r>
    </w:p>
    <w:p>
      <w:pPr>
        <w:pStyle w:val="SourceNote"/>
      </w:pPr>
      <w:r>
        <w:rPr>
          <w:b/>
        </w:rPr>
        <w:t>Available abstract (not full text):</w:t>
      </w:r>
      <w:r>
        <w:t xml:space="preserve"> The Whole Economy: Work and Gender in Early Modern Europe, a collection of essays edited by Catriona Macleod, Alexandra Shepard, and Maria Ågren, is a much-needed corrective to male-centered histories of the early modern economy. The book makes no claim that this quest is entirely new. Since the early twentieth century, women’s role in the early modern economy has been reiterated time and again. Alice Clark and Ivy Pinchbeck pioneered studies of women’s work in Britain, and the mantle was later taken up by second-wave feminist scholars. As conversations around gender wage gaps, the value of unpaid work, and female labor opportunities have become regular features in contemporary public discourse, historians of gender and work have turned to parallel issues in the past.The book’s distinctiveness lies in the word whole in its title. The authors systematically challenge assumptions made by early modern economic historians about women’s contribution, placing the labor patterns of all members of early modern European society under the microscope. A recent history of Britain’s economic development between 1270 and 1870 claims that women could only have undertaken about 30 percent of paid work, while men contributed 70 percent. This proportion is based not only on the assumption that women must have done unpaid housework and childcare but also on the equally unfounded belief that this </w:t>
      </w:r>
    </w:p>
    <w:p>
      <w:pPr/>
      <w:r>
        <w:rPr>
          <w:b/>
        </w:rPr>
        <w:t>POSSIBLE 2024:</w:t>
      </w:r>
      <w:r>
        <w:t xml:space="preserve"> The Transformation of the European Car Industry — https://doi.org/10.32559/et.2024.2.6</w:t>
      </w:r>
    </w:p>
    <w:p>
      <w:pPr/>
      <w:r>
        <w:rPr>
          <w:b/>
        </w:rPr>
        <w:t>Shared claim-specific concepts:</w:t>
      </w:r>
      <w:r>
        <w:t xml:space="preserve"> industry, major, climate, environmental, chain; EU scope visible. This is a provisional connection, not an outcome finding.</w:t>
      </w:r>
    </w:p>
    <w:p>
      <w:pPr>
        <w:pStyle w:val="SourceNote"/>
      </w:pPr>
      <w:r>
        <w:rPr>
          <w:b/>
        </w:rPr>
        <w:t>Available abstract (not full text):</w:t>
      </w:r>
      <w:r>
        <w:t xml:space="preserve"> The European automotive industry faces many 21st.century challenges, with sustainability and climate protection as key objectives. Among these, the European Parliament’s decision to mandate zero emission passenger cars and light commercial vehicles from 2035 marks a transformative shift. This cornerstone of the “Fit for 55” climate package carries broad economic, social and political implications, requiring significant adjustments across the automotive value chain and presenting major hurdles for stakeholders.This manuscript explores the sector’s electrification efforts, focusing on the tension between sustainability goals and economic impacts. It highlights disparities in electric vehicle affordability and accessibility across Europe, which risk deepening socio-economic inequalities, and questions the environmental and equity outcomes of weight-based regulatory incentives favouring premium models.Beyond assessing the feasibility of emissions targets, the study critically examines whether the EU’s focus on electric vehicles aligns with broader climate goals or creates new challenges. Addressing these issues aims to illuminate the immediate and long-term implications for the evolution of the automotive industry and Europe’s socio-economic landscape.</w:t>
      </w:r>
    </w:p>
    <w:p>
      <w:pPr/>
      <w:r>
        <w:rPr>
          <w:b/>
        </w:rPr>
        <w:t>POSSIBLE 2024:</w:t>
      </w:r>
      <w:r>
        <w:t xml:space="preserve"> Attributing responsibility to farmers for environmental protection and climate action: insights from the European Union — https://doi.org/10.1007/s13412-024-00981-7</w:t>
      </w:r>
    </w:p>
    <w:p>
      <w:pPr/>
      <w:r>
        <w:rPr>
          <w:b/>
        </w:rPr>
        <w:t>Shared claim-specific concepts:</w:t>
      </w:r>
      <w:r>
        <w:t xml:space="preserve"> farmers, climate, environmental; EU scope visible. This is a provisional connection, not an outcome finding.</w:t>
      </w:r>
    </w:p>
    <w:p>
      <w:pPr>
        <w:pStyle w:val="SourceNote"/>
      </w:pPr>
      <w:r>
        <w:rPr>
          <w:b/>
        </w:rPr>
        <w:t>Available abstract (not full text):</w:t>
      </w:r>
      <w:r>
        <w:t xml:space="preserve"> The attribution of responsibility is an important aspect of democratic government and governance. This study is interested in explaining variation in the responsibility that the public attributes to farmers for tackling climate change and environmental degradation. It analyzes data for respondents based in the 27 member states of the European Union as offered by a special issue of the Eurobarometer. Theoretically, the study postulates that if individuals perceive agriculture as a cause of climate change and environmental degradation, then they are more likely to indicate that it is a responsibility of farmers to take environmental and climate action. It also hypothesizes that individuals with a left-leaning ideology are more likely to attribute responsibility to farmers than right-leaning ones. Empirically, we find that the attribution of responsibility to farmers for mitigating climate change and environmental degradation is highest among Danes and lowest among Estonians. In 19 out of the 27 member states, our hypothesis holds true that individuals who perceive agriculture as a cause of climate change and environmental degradation are also more likely to attribute farmers' responsibility for taking climate and environmental action. And in 11 member states, left-leaning individuals have a significantly higher likelihood of attributing farmers' responsibility for tackling climat</w:t>
      </w:r>
    </w:p>
    <w:p>
      <w:pPr/>
      <w:r>
        <w:rPr>
          <w:b/>
        </w:rPr>
        <w:t>POSSIBLE 2024:</w:t>
      </w:r>
      <w:r>
        <w:t xml:space="preserve"> Supply Chain Resilience in the European Automotive Industry — https://doi.org/10.2478/mspe-2024-0036</w:t>
      </w:r>
    </w:p>
    <w:p>
      <w:pPr/>
      <w:r>
        <w:rPr>
          <w:b/>
        </w:rPr>
        <w:t>Shared claim-specific concepts:</w:t>
      </w:r>
      <w:r>
        <w:t xml:space="preserve"> industry, especially, different, chain; EU scope visible. This is a provisional connection, not an outcome finding.</w:t>
      </w:r>
    </w:p>
    <w:p>
      <w:pPr>
        <w:pStyle w:val="SourceNote"/>
      </w:pPr>
      <w:r>
        <w:rPr>
          <w:b/>
        </w:rPr>
        <w:t>Available abstract (not full text):</w:t>
      </w:r>
      <w:r>
        <w:t xml:space="preserve"> Abstract The transformation of supply chains is an important factor for European Automotive OEMs to compete internationally. But it turns out that these are not as resilient as required. A resilient supply chain requires appropriate risk management measures that minimize internal and external influences. However, in some areas of value creation and supply chains, weaknesses are evident that are determined by a high dependence on international supplier markets. This approach to research in this area investigates whether Automotive OEM internal departments perceive certain risks differently. This was done by means of a survey of European OEMs to reveal different perceptions on important aspects of risk-based factors. Internal resilience would be necessary as a first step towards strengthening the supply chains in order to subsequently position themselves against stronger emerging competition from the Asian and US economies. This requires a strong European centering of supplier and partner networks, for example in the area of physical goods such as semiconductors and batteries. In order to support these necessary developments, networks are being established and promoted by the EU. GAIA-X and especially Catena-X are bases for the Automotive industry to adapt and optimize resilience and compliance regulations to governmental and intranational guidelines. As result of this research, </w:t>
      </w:r>
    </w:p>
    <w:p>
      <w:pPr/>
      <w:r>
        <w:rPr>
          <w:b/>
        </w:rPr>
        <w:t>POSSIBLE 2024:</w:t>
      </w:r>
      <w:r>
        <w:t xml:space="preserve"> The Digitalization in Insurance Broker Industry: How Artificial Intelligence Affect This Industry — https://doi.org/10.52728/ijjm.v5i1.1032</w:t>
      </w:r>
    </w:p>
    <w:p>
      <w:pPr/>
      <w:r>
        <w:rPr>
          <w:b/>
        </w:rPr>
        <w:t>Shared claim-specific concepts:</w:t>
      </w:r>
      <w:r>
        <w:t xml:space="preserve"> affect, industry, especially; EU scope not established. This is a provisional connection, not an outcome finding.</w:t>
      </w:r>
    </w:p>
    <w:p>
      <w:pPr>
        <w:pStyle w:val="SourceNote"/>
      </w:pPr>
      <w:r>
        <w:rPr>
          <w:b/>
        </w:rPr>
        <w:t>Available abstract (not full text):</w:t>
      </w:r>
      <w:r>
        <w:t xml:space="preserve"> This qualitative research explores the impact of digitalization, with a particular focus on artificial intelligence (AI), on the insurance broker industry. In-depth interviews and focus group discussions were conducted with eight senior-level employee and eight younger participants from technology and operations departments, also from client-facing positions. The research aimed to analyze the impact of digitalization, especially artificial intelligence, to the insurance broker industry and to explore whether artificial intelligence is capable to replace an insurance broker role. The findings indicate that digitalization, including the adoption of AI, has brought about significant advancements in the industry. Digitalization efforts have led to streamlined processes, reduced costs, improved data analysis, and enhanced customer experiences. The findings of this research highlight the importance of taking a deliberate and strategic approach to digitalization and AI adoption in the insurance broker industry. Companies should use technology to increase efficiency while maintaining the human-centric elements that are essential for developing strong client relationships and providing tailored insurance solutions.</w:t>
      </w:r>
    </w:p>
    <w:p>
      <w:pPr/>
      <w:r>
        <w:rPr>
          <w:b/>
        </w:rPr>
        <w:t>POSSIBLE 2024:</w:t>
      </w:r>
      <w:r>
        <w:t xml:space="preserve"> In Search of an Electrified Future: The Affective Afterlife of the Extractive Industry in Mitrovica, Kosovo — https://doi.org/10.1515/soeu-2023-0055</w:t>
      </w:r>
    </w:p>
    <w:p>
      <w:pPr/>
      <w:r>
        <w:rPr>
          <w:b/>
        </w:rPr>
        <w:t>Shared claim-specific concepts:</w:t>
      </w:r>
      <w:r>
        <w:t xml:space="preserve"> affect, industry, different; EU scope not established. This is a provisional connection, not an outcome finding.</w:t>
      </w:r>
    </w:p>
    <w:p>
      <w:pPr>
        <w:pStyle w:val="SourceNote"/>
      </w:pPr>
      <w:r>
        <w:rPr>
          <w:b/>
        </w:rPr>
        <w:t>Available abstract (not full text):</w:t>
      </w:r>
      <w:r>
        <w:t xml:space="preserve"> Abstract This article analyses hopes around the promissory potential of mineral resources through the lens of affect. Building on ethnographic fieldwork conducted between 2018 and 2019 in South Mitrovica in Kosovo, it explores how citizens of a de-industrialised and politically unstable city envision the future around and beyond the extractive potential of the Trepça mine. It does so by examining two encounters with two different modes of electricity – a power cut and New Year lights – as instantiations of the mine’s affective force that evoke the historically specific promise of modernity shaped during Yugoslav socialism. Through the motif of electricity, the article demonstrates how this industrial past orients collective hopes towards an extractive future. Retrospectively shaped, these hopes remain intangible, however, and riddled with doubts, friction, and contestation. Divergent visions, then, attempt to ground a viable future amid the uncertainties triggered by postsocialism, the war and its aftermath, and de-industrialisation.</w:t>
      </w:r>
    </w:p>
    <w:p>
      <w:pPr/>
      <w:r>
        <w:rPr>
          <w:b/>
        </w:rPr>
        <w:t>POSSIBLE 2023:</w:t>
      </w:r>
      <w:r>
        <w:t xml:space="preserve"> Farmers’ behavioural determinants of on-farm biodiversity management in Europe: a systematic review — https://doi.org/10.1007/s10460-023-10505-8</w:t>
      </w:r>
    </w:p>
    <w:p>
      <w:pPr/>
      <w:r>
        <w:rPr>
          <w:b/>
        </w:rPr>
        <w:t>Shared claim-specific concepts:</w:t>
      </w:r>
      <w:r>
        <w:t xml:space="preserve"> farmers, major, policies; EU scope visible. This is a provisional connection, not an outcome finding.</w:t>
      </w:r>
    </w:p>
    <w:p>
      <w:pPr>
        <w:pStyle w:val="SourceNote"/>
      </w:pPr>
      <w:r>
        <w:rPr>
          <w:b/>
        </w:rPr>
        <w:t>Available abstract (not full text):</w:t>
      </w:r>
      <w:r>
        <w:t xml:space="preserve"> Abstract Agricultural intensification and landscape homogenisation are major drivers of biodiversity loss in European agricultural landscapes. Improvements require changes in farming practices, but empirical evidence on farmers’ motivations underlying their on-farm biodiversity management remains fragmented. To date, there is no aggregated overview of behavioural determinants that influence European farmers’ decisions to implement biodiversity-friendly farming practices. This study aims to fill this knowledge gap by conducting a systematic literature review of 150 empirical studies published between 2000 and 2022. We identified 108 potential determinants of farmers’ behaviour, which were integrated into a multilevel framework. The results show that the farmers’ decisions are complex and often non-directional processes, shaped by numerous external (at a society, landscape, community, and farm level) and internal factors. These factors are embedded in regional and cultural contexts. However, the analysis of study sites indicates that the spatial coverage of scientific evidence on biodiversity-friendly farming measures is uneven across Europe. Given the diversity of local and socio-cultural conditions, there is a need for public policies, including the European Union’s Common Agricultural Policy, to address more specifically determinants encouraging biodiversity-friendly farm mana</w:t>
      </w:r>
    </w:p>
    <w:p>
      <w:pPr>
        <w:pStyle w:val="Heading2"/>
      </w:pPr>
      <w:r>
        <w:t>747. Delphi Prospection on Additive Manufacturing in 2030: Implications for Education and Employment in Spain</w:t>
      </w:r>
    </w:p>
    <w:p>
      <w:pPr>
        <w:pStyle w:val="SourceNote"/>
      </w:pPr>
      <w:r>
        <w:rPr>
          <w:b/>
        </w:rPr>
        <w:t>Original source (2018):</w:t>
      </w:r>
      <w:r>
        <w:t xml:space="preserve"> https://doi.org/10.3390/ma11091500</w:t>
      </w:r>
    </w:p>
    <w:p>
      <w:pPr/>
      <w:r>
        <w:t>Original wording (abstract; indexed_source_text_not_full_document_verified): The purpose of this paper is to anticipate the main changes that will occur in AM by 2030 as forecast by more than 100 Spanish experts through Delphi prospection performed in 2018. Such changes will enable students to have the profiles foreseen in these job trends.</w:t>
      </w:r>
    </w:p>
    <w:p>
      <w:pPr/>
      <w:r>
        <w:rPr>
          <w:b/>
        </w:rPr>
        <w:t>POSSIBLE 2020:</w:t>
      </w:r>
      <w:r>
        <w:t xml:space="preserve"> Reservoir Governance in World's Water Towers Needs to Anticipate Multi‐purpose Use — https://doi.org/10.1029/2020ef001643</w:t>
      </w:r>
    </w:p>
    <w:p>
      <w:pPr/>
      <w:r>
        <w:rPr>
          <w:b/>
        </w:rPr>
        <w:t>Shared claim-specific concepts:</w:t>
      </w:r>
      <w:r>
        <w:t xml:space="preserve"> purpose, anticipate; EU scope visible. This is a provisional connection, not an outcome finding.</w:t>
      </w:r>
    </w:p>
    <w:p>
      <w:pPr>
        <w:pStyle w:val="SourceNote"/>
      </w:pPr>
      <w:r>
        <w:rPr>
          <w:b/>
        </w:rPr>
        <w:t>Available abstract (not full text):</w:t>
      </w:r>
      <w:r>
        <w:t xml:space="preserve"> Abstract Mountains, said to be the world's water towers, are central for the provision of downstream water demands. This provision service is strongly challenged by climate change associated with changes in runoff amount and seasonality caused by the retreat of glaciers, rising snow lines, and changes in precipitation. One potential adaptation strategy is the construction of new water reservoirs or the adjustment of current reservoir management strategies. These strategies need to account for various water uses originating from sectors and governments with different economic interests. Here, we investigate governance processes leading to reservoir management strategies ignoring downstream water needs in one of the most important water towers of the world, the European Alps. We assess why governance processes can lead to a coordination gap between an upstream reservoir and downstream water needs. We show that downstream water deficits could potentially be covered through an upstream reservoir under mean and partially under extremely low inflow conditions. However, these hydrological conditions were neglected in the governance processes. The decision‐making when issuing the new reservoir concession was influenced by (a) a lack of knowledge and of an appropriate reservoir‐management study, (b) an interest to increase renewable energy production, (c) a focus on environmental agreem</w:t>
      </w:r>
    </w:p>
    <w:p>
      <w:pPr/>
      <w:r>
        <w:rPr>
          <w:b/>
        </w:rPr>
        <w:t>POSSIBLE 2020:</w:t>
      </w:r>
      <w:r>
        <w:t xml:space="preserve"> EUROPEAN LONGITUDE PRIZES. I: LONGITUDE DETERMINATION IN THE SPANISH EMPIRE — https://doi.org/10.3724/sp.j.1440-2807.2020.03.03</w:t>
      </w:r>
    </w:p>
    <w:p>
      <w:pPr/>
      <w:r>
        <w:rPr>
          <w:b/>
        </w:rPr>
        <w:t>Shared claim-specific concepts:</w:t>
      </w:r>
      <w:r>
        <w:t xml:space="preserve"> spanish, performed, enable; EU scope visible. This is a provisional connection, not an outcome finding.</w:t>
      </w:r>
    </w:p>
    <w:p>
      <w:pPr>
        <w:pStyle w:val="SourceNote"/>
      </w:pPr>
      <w:r>
        <w:rPr>
          <w:b/>
        </w:rPr>
        <w:t>Available abstract (not full text):</w:t>
      </w:r>
      <w:r>
        <w:t xml:space="preserve"> Following Columbus' voyages to the Americas, Castilian (Spanish) and Portuguese rulers engaged in heated geopolitical competition, which was eventually reconciled through a number of treaties that divided the world into two unequal hemispheres. However, the early-sixteenth-century papal demarcation line was poorly defined. Expressed in degrees with respect to a vague reference location, determination of longitude at sea became crucial in the nations' quest for expanding spheres of influence. In Spain, King Philip II and his son, Philip III, announced generous rewards for those whose solutions to the longitude problem performed well in sea trials and which were suitable for practical implementation. The potential reward generated significant interest from scientist-scholars and opportunists alike. The solutions proposed and the subset taken to sea provided important physical insights that still resonate today. None of the numerous approaches based on compass readings ('magnetic declination') passed the exacting sea trials, but the brightest sixteenth-century minds already anticipated that lunar distances and the use of marine timepieces would eventually enable more precise navigation. With most emphasis in the English-language literature focused on longitude solutions developed in Britain, France and the Low Countries, the earlier yet ground-breaking Spanish efforts have, undese</w:t>
      </w:r>
    </w:p>
    <w:p>
      <w:pPr/>
      <w:r>
        <w:rPr>
          <w:b/>
        </w:rPr>
        <w:t>POSSIBLE 2020:</w:t>
      </w:r>
      <w:r>
        <w:t xml:space="preserve"> Spain — https://doi.org/10.4324/9780429263736-8</w:t>
      </w:r>
    </w:p>
    <w:p>
      <w:pPr/>
      <w:r>
        <w:rPr>
          <w:b/>
        </w:rPr>
        <w:t>Shared claim-specific concepts:</w:t>
      </w:r>
      <w:r>
        <w:t xml:space="preserve"> purpose, main, spanish; EU scope visible. This is a provisional connection, not an outcome finding.</w:t>
      </w:r>
    </w:p>
    <w:p>
      <w:pPr>
        <w:pStyle w:val="SourceNote"/>
      </w:pPr>
      <w:r>
        <w:rPr>
          <w:b/>
        </w:rPr>
        <w:t>Available abstract (not full text):</w:t>
      </w:r>
      <w:r>
        <w:t xml:space="preserve"> The main purpose of this chapter is to map the principle structural and policy frameworks governing the integration of immigrants in Spain. This case study is a clear example of a practical approach and ‘multiple diversity’, where two frameworks interact: an old, unresolved one, arising from democratic transition and based on what Kymlicka described as plurinational, and a new one due to immigration, described as polyethnic. Spain’s specific geographical location is at the border of Europe. This entrance to the Schengen space has faced important flows of migration from the south. The multilevel governance of integration impacts on the distribution of competences on integration and the fact that multiple integration policy approaches can coexist, with their own intergovernmental tensions. We argue that the volume and intensity of international migratory flows in Spain – which experienced an extraordinary migratory boom at the beginning of the twenty-first century and a severe economic recession from 2008 – together with the construction of European Union architecture, determined a reactive type of migration and integration policy, with notable contrasts according to the different administrative levels contemplated. As we show, the Spanish case makes explicit the multilevel argument that it is at the level of the territorial distribution of competences that most governance tensio</w:t>
      </w:r>
    </w:p>
    <w:p>
      <w:pPr/>
      <w:r>
        <w:rPr>
          <w:b/>
        </w:rPr>
        <w:t>POSSIBLE 2020:</w:t>
      </w:r>
      <w:r>
        <w:t xml:space="preserve"> Trust in the European Central Bank: Using Data Science and predictive Machine Learning Algorithms — https://doi.org/10.1109/acit49673.2020.9208857</w:t>
      </w:r>
    </w:p>
    <w:p>
      <w:pPr/>
      <w:r>
        <w:rPr>
          <w:b/>
        </w:rPr>
        <w:t>Shared claim-specific concepts:</w:t>
      </w:r>
      <w:r>
        <w:t xml:space="preserve"> purpose, anticipate, main; EU scope visible. This is a provisional connection, not an outcome finding.</w:t>
      </w:r>
    </w:p>
    <w:p>
      <w:pPr>
        <w:pStyle w:val="SourceNote"/>
      </w:pPr>
      <w:r>
        <w:rPr>
          <w:b/>
        </w:rPr>
        <w:t>Available abstract (not full text):</w:t>
      </w:r>
      <w:r>
        <w:t xml:space="preserve"> Purpose: This empirical scientific research project aims to apply data science and machine learning tools to determine the influence of different factors on the level of trust in the European Central Bank. This research based on the data from the European Commission's Eurobarometer Survey 89. The paper also aims to represent some predictive analytics techniques to anticipate the level of confidence towards cental bank. Besides that, we build a couple of data visualizing plots, in order to show the main significant impact on the dependent variable. We created the ECB TrustMap Plot, correlation heatmap matrix and Alluvial diagram. Using this plots, we represented changes in network structure over people responses and decision making. Methodology: to calculate the index of trust in the central bank we used Logistic Regressioin, Decision Tree, Random Forrest and Neural Network models. Verify the output and results by using the VIF of the Logistic Model, Cross-validation, Confusion matrix, ROC-curves and accuracy estimations. Main Findings: trust in one-single currency, inflation problems, expectations about the future of EU, indicator of happiness and other indicators has a significant impact on the the level of trust in the central bank.</w:t>
      </w:r>
    </w:p>
    <w:p>
      <w:pPr>
        <w:pStyle w:val="Heading2"/>
      </w:pPr>
      <w:r>
        <w:t>748. Drivers, trends and scenarios for the future of health in Europe. Impressions from the FRESHER project</w:t>
      </w:r>
    </w:p>
    <w:p>
      <w:pPr>
        <w:pStyle w:val="SourceNote"/>
      </w:pPr>
      <w:r>
        <w:rPr>
          <w:b/>
        </w:rPr>
        <w:t>Original source (2018):</w:t>
      </w:r>
      <w:r>
        <w:t xml:space="preserve"> https://doi.org/10.1007/s40309-017-0118-4</w:t>
      </w:r>
    </w:p>
    <w:p>
      <w:pPr/>
      <w:r>
        <w:t>Original wording (abstract; indexed_source_text_not_full_document_verified): In our foresight project FRESHER (FORESIGHT AND MODELLING FOR EUROPEAN HEALTH POLICY AND REGULATION) we discuss policy options with stakeholders from health, research, care, patient organisations, insurances and policy-making that go beyond the usual activities and pose alternatives that promise to be more successful. From an analysis of trends that affect NCD development far beyond the usual determinants of tobacco and alcohol consumption, salt, sugar and fat intake or sedentary behaviour the most relevant and significant trends are combined to four scenarios depicting possible futures.</w:t>
      </w:r>
    </w:p>
    <w:p>
      <w:pPr/>
      <w:r>
        <w:rPr>
          <w:b/>
        </w:rPr>
        <w:t>POSSIBLE 2026:</w:t>
      </w:r>
      <w:r>
        <w:t xml:space="preserve"> A systematic review of foresight methods used in the formulation of futures scenarios: evidence from articles indexed in scopus and web of science (2014–2023) — https://doi.org/10.1186/s40309-026-00298-4</w:t>
      </w:r>
    </w:p>
    <w:p>
      <w:pPr/>
      <w:r>
        <w:rPr>
          <w:b/>
        </w:rPr>
        <w:t>Shared claim-specific concepts:</w:t>
      </w:r>
      <w:r>
        <w:t xml:space="preserve"> foresight, health, beyond; EU scope not established. This is a provisional connection, not an outcome finding.</w:t>
      </w:r>
    </w:p>
    <w:p>
      <w:pPr>
        <w:pStyle w:val="SourceNote"/>
      </w:pPr>
      <w:r>
        <w:rPr>
          <w:b/>
        </w:rPr>
        <w:t>Available abstract (not full text):</w:t>
      </w:r>
      <w:r>
        <w:t xml:space="preserve"> This study presents a systematic literature review of the foresight methods used in the formulation of futures scenarios, analyzing 115 articles indexed in Scopus and Web of Science between 2014 and 2023. Applying the PRISMA methodology, the review identifies a plural methodological ecosystem in which—although qualitative approaches predominate—there are patterns of combination toward methodological triangulation aimed at strengthening plausibility and reducing bias in complex environments. The analysis shows that the most frequently used methods are environmental scanning (PESTEL), participatory workshops, the Delphi method, structural analysis (MICMAC), and Causal Layered Analysis (CLA). A significant expansion of these practices is observed beyond the traditional corporate sphere into sectors such as public health, higher education, governance, and environmental sustainability. The study further highlights an incipient presence of methods that incorporate artificial intelligence, text mining, and computational models, which complement qualitative narratives with quantitative rigor. The article proposes the concept of methodological aggregation capacity to describe the ability of scenario methodologies to coherently incorporate techniques of different epistemic natures. In conclusion, the maturity of the field rests on the systemic convergence between data-driven rigor and na</w:t>
      </w:r>
    </w:p>
    <w:p>
      <w:pPr/>
      <w:r>
        <w:rPr>
          <w:b/>
        </w:rPr>
        <w:t>POSSIBLE 2025:</w:t>
      </w:r>
      <w:r>
        <w:t xml:space="preserve"> Territorialising Resilience: Transforming Europe for an Age of Crisis (TERRES) Case studies Annex 1 of the Final Report — https://openalex.org/W7217109416</w:t>
      </w:r>
    </w:p>
    <w:p>
      <w:pPr/>
      <w:r>
        <w:rPr>
          <w:b/>
        </w:rPr>
        <w:t>Shared claim-specific concepts:</w:t>
      </w:r>
      <w:r>
        <w:t xml:space="preserve"> project, beyond; EU scope visible. This is a provisional connection, not an outcome finding.</w:t>
      </w:r>
    </w:p>
    <w:p>
      <w:pPr>
        <w:pStyle w:val="SourceNote"/>
      </w:pPr>
      <w:r>
        <w:rPr>
          <w:b/>
        </w:rPr>
        <w:t>Available abstract (not full text):</w:t>
      </w:r>
      <w:r>
        <w:t xml:space="preserve"> This report presents the case study annex of the ESPON project “Territorialising Resilience: Transforming Europe for an Age of Crisis (TERRES)”, examining how diverse European territories conceptualise, operationalise, and institutionalise territorial resilience in response to contemporary shocks and long-term stressors. Through a comparative analysis of six regions — Budapest Functional Urban Area (Hungary), Catalonia (Spain), the Central Italy Earthquake Crater, Latgale (Latvia), Teruel (Spain), and Upper Norrland (Sweden) — the study explores how multi-level governance arrangements, socio-economic dynamics, and spatial configurations shape adaptive, absorptive, and transformative capacities. Combining desk research, stakeholder interviews, and participatory Future Workshops, the case studies analyse the interaction between acute shocks (e.g. earthquakes, migration pressures, industrial transition, climate extremes) and structural stressors such as depopulation, governance fragmentation, and territorial inequalities. Particular attention is given to the role of Functional Urban Areas and cross-jurisdictional cooperation in strengthening territorial governance and crisis preparedness. The findings show that resilience extends beyond reactive responses: it is a systemic, place-based process requiring coordinated institutional frameworks, regulatory stability, and long-term stra</w:t>
      </w:r>
    </w:p>
    <w:p>
      <w:pPr/>
      <w:r>
        <w:rPr>
          <w:b/>
        </w:rPr>
        <w:t>POSSIBLE 2025:</w:t>
      </w:r>
      <w:r>
        <w:t xml:space="preserve"> From Reaction to Foresight: EUPHA’s vision for health security in Europe — https://doi.org/10.1093/eurpub/ckaf071</w:t>
      </w:r>
    </w:p>
    <w:p>
      <w:pPr/>
      <w:r>
        <w:rPr>
          <w:b/>
        </w:rPr>
        <w:t>Shared claim-specific concepts:</w:t>
      </w:r>
      <w:r>
        <w:t xml:space="preserve"> foresight, health, care, affect;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Foresight For Digital Health 2030: Scenarios, Barriers, And Enablers for A Sustainable Future — https://doi.org/10.47191/ijsshr/v8-i2-11</w:t>
      </w:r>
    </w:p>
    <w:p>
      <w:pPr/>
      <w:r>
        <w:rPr>
          <w:b/>
        </w:rPr>
        <w:t>Shared claim-specific concepts:</w:t>
      </w:r>
      <w:r>
        <w:t xml:space="preserve"> foresight, project, health, regulation, stakeholders, patient; EU scope visible. This is a provisional connection, not an outcome finding.</w:t>
      </w:r>
    </w:p>
    <w:p>
      <w:pPr>
        <w:pStyle w:val="SourceNote"/>
      </w:pPr>
      <w:r>
        <w:rPr>
          <w:b/>
        </w:rPr>
        <w:t>Available abstract (not full text):</w:t>
      </w:r>
      <w:r>
        <w:t xml:space="preserve"> Digital health is rapidly transforming European healthcare systems, offering opportunities to improve patient outcomes, enhance service delivery, and drive innovation. However, its future is shaped by numerous uncertainties related to regulation, technological advancements, and societal acceptance. The CONNECTINGHEALTH project conducted a structured foresight exercise to explore these dynamics through a series of thematic workshops engaging key stakeholders from across the sector. Four future scenarios were developed, each reflecting different potential directions for digital health in Europe by 2030. These scenarios highlight the critical role of policy development and public empowerment in determining the pace and scope of digital health adoption. This paper presents the methodology, findings, and recommendations derived from the workshops, providing a roadmap for decision-makers aiming to navigate the evolving digital health landscape.</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foresight, project, stakeholders, trends;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2025:</w:t>
      </w:r>
      <w:r>
        <w:t xml:space="preserve"> A scoping review of horizon scanning approaches used to identify emerging research methods — https://doi.org/10.3310/nihropenres.13981.1</w:t>
      </w:r>
    </w:p>
    <w:p>
      <w:pPr/>
      <w:r>
        <w:rPr>
          <w:b/>
        </w:rPr>
        <w:t>Shared claim-specific concepts:</w:t>
      </w:r>
      <w:r>
        <w:t xml:space="preserve"> health, care, trends; EU scope not established. This is a provisional connection, not an outcome finding.</w:t>
      </w:r>
    </w:p>
    <w:p>
      <w:pPr>
        <w:pStyle w:val="SourceNote"/>
      </w:pPr>
      <w:r>
        <w:rPr>
          <w:b/>
        </w:rPr>
        <w:t>Available abstract (not full text):</w:t>
      </w:r>
      <w:r>
        <w:t xml:space="preserve"> Background Horizon scanning is an exploratory research method used to identify, select, and analyse information to detect signals and trends related to new and emerging innovations using pre-defined and explicit methods. It has the potential to play a role in anticipating methodological research trends and innovations, helping to deliver therapies to patients faster. However, the extent to which horizon scanning has been applied to identify emerging research methods is unclear. Objectives This scoping review explores if and how horizon scanning has been used to identify research methods in any field, setting or location. Methods Eligibility was based on the Population, Concept and Context framework: Any information source that used horizon scanning to identify research methods was eligible for inclusion. Two reviewers independently screened titles/abstracts and then full texts. Following a pilot phase, one reviewer extracted data, and three others performed data accuracy checks. Results Five studies published between 2017 and 2024 met the eligibility criteria, and a further 13 partially met the eligibility criteria and are summarised separately. The five fully included studies belonged to the environmental, ecological, and earth science disciplines. Using the horizon scanning system defined by the EuroScan network, the most reported was signal detection. A literature review was</w:t>
      </w:r>
    </w:p>
    <w:p>
      <w:pPr/>
      <w:r>
        <w:rPr>
          <w:b/>
        </w:rPr>
        <w:t>POSSIBLE 2024:</w:t>
      </w:r>
      <w:r>
        <w:t xml:space="preserve"> Foresight in public health: a tutorial on application and insights on challenges from the PHIRI foresight exercise — https://doi.org/10.1093/eurpub/ckae040</w:t>
      </w:r>
    </w:p>
    <w:p>
      <w:pPr/>
      <w:r>
        <w:rPr>
          <w:b/>
        </w:rPr>
        <w:t>Shared claim-specific concepts:</w:t>
      </w:r>
      <w:r>
        <w:t xml:space="preserve"> foresight, health, discuss, trends; EU scope not established. This is a provisional connection, not an outcome finding.</w:t>
      </w:r>
    </w:p>
    <w:p>
      <w:pPr>
        <w:pStyle w:val="SourceNote"/>
      </w:pPr>
      <w:r>
        <w:rPr>
          <w:b/>
        </w:rPr>
        <w:t>Available abstract (not full text):</w:t>
      </w:r>
      <w:r>
        <w:t xml:space="preserve"> BACKGROUND: The application of foresight to the field of public health is limited. There is growing need to anticipate uncertain future trends and to plan for them. Foresight provides tools to experts and policymakers to discuss and plan for possible futures. Hence, the aim of this study is to illustrate how the foresight six-step approach can be applied in public health, and to provide recommendations on dealing with challenges, drawn from the Population Health Information Research Infrastructure (PHIRI) foresight exercise. METHODS: In this tutorial, we describe the six-step approach as part of foresight methodology and give examples of possible challenges. Step 1 comprises the formulation of study objectives. Step 2 focuses on developing a conceptual model and applying the Demographic Economic Sociocultural Technological Ecological and Political-Institutional (DESTEP) framework to identify and prioritize driving forces for the topic of interest. In Step 3, a time horizon and spatial level are defined. Step 4 discusses scenario logics. Steps 5 and 6 discuss different types of scenarios and associated tools for analyses. Possible challenges encountered whilst applying the foresight methodology at each of the steps, were drawn from experiences during PHIRI foresight exercise. RESULTS: Challenges associated with applying the foresight six-step approach included: formulating conci</w:t>
      </w:r>
    </w:p>
    <w:p>
      <w:pPr/>
      <w:r>
        <w:rPr>
          <w:b/>
        </w:rPr>
        <w:t>POSSIBLE 2024:</w:t>
      </w:r>
      <w:r>
        <w:t xml:space="preserve"> Exploring the Need for Medical Futures Studies: Insights From a Scoping Review of Health Care Foresight — https://doi.org/10.2196/57148</w:t>
      </w:r>
    </w:p>
    <w:p>
      <w:pPr/>
      <w:r>
        <w:rPr>
          <w:b/>
        </w:rPr>
        <w:t>Shared claim-specific concepts:</w:t>
      </w:r>
      <w:r>
        <w:t xml:space="preserve"> foresight, health, care, trends; EU scope not established. This is a provisional connection, not an outcome finding.</w:t>
      </w:r>
    </w:p>
    <w:p>
      <w:pPr>
        <w:pStyle w:val="SourceNote"/>
      </w:pPr>
      <w:r>
        <w:rPr>
          <w:b/>
        </w:rPr>
        <w:t>Available abstract (not full text):</w:t>
      </w:r>
      <w:r>
        <w:t xml:space="preserve"> BACKGROUND: The historical development and contemporary instances of futures studies, an interdisciplinary field that focuses on exploring and formulating alternative futures, exemplify the increasing significance of using futures methods in shaping the health care domain. Despite the wide array of these methodologies, there have been limited endeavors to employ them within the medical community thus far. OBJECTIVE: We undertook the first scoping review to date about the application of futures methodologies and published foresight projects in health care. METHODS: Through the use of the PRISMA-ScR (Preferred Reporting Items for Systematic Reviews and Meta-Analyses extension for Scoping Reviews) method, we identified 59 studies that were subsequently categorized into the following 5 distinct themes: national strategies (n=19), strategic health care foresight (n=15), health care policy and workforce dynamics (n=6), pandemic preparedness and response (n=7), and specialized medical domains (n=12). RESULTS: Our scoping review revealed that the application of futures methods and foresight has been successfully demonstrated in a wide range of fields, including national strategies, policy formulation, global threat preparedness, and technological advancements. The results of our review indicate that a total of 8 futures methods have already been used in medicine and health care, while </w:t>
      </w:r>
    </w:p>
    <w:p>
      <w:pPr/>
      <w:r>
        <w:rPr>
          <w:b/>
        </w:rPr>
        <w:t>POSSIBLE 2024:</w:t>
      </w:r>
      <w:r>
        <w:t xml:space="preserve"> Emerging Biotechnologies in Europe: Foresight for Policy — https://doi.org/10.2760/4814109</w:t>
      </w:r>
    </w:p>
    <w:p>
      <w:pPr/>
      <w:r>
        <w:rPr>
          <w:b/>
        </w:rPr>
        <w:t>Shared claim-specific concepts:</w:t>
      </w:r>
      <w:r>
        <w:t xml:space="preserve"> foresight, affect;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Foresight approaches for future health shocks: integration into policy making and accompanying research priorities — https://doi.org/10.1136/bmj-2023-078647</w:t>
      </w:r>
    </w:p>
    <w:p>
      <w:pPr/>
      <w:r>
        <w:rPr>
          <w:b/>
        </w:rPr>
        <w:t>Shared claim-specific concepts:</w:t>
      </w:r>
      <w:r>
        <w:t xml:space="preserve"> foresight, health; EU scope not established. This is a provisional connection, not an outcome finding.</w:t>
      </w:r>
    </w:p>
    <w:p>
      <w:pPr>
        <w:pStyle w:val="SourceNote"/>
      </w:pPr>
      <w:r>
        <w:rPr>
          <w:b/>
        </w:rPr>
        <w:t>Available abstract (not full text):</w:t>
      </w:r>
      <w:r>
        <w:t xml:space="preserve"> Christina Pagel and colleagues argue that foresight approaches are key to preparedness for emergencies such as covid-19 and that these must be integrated within policy making at all levels</w:t>
      </w:r>
    </w:p>
    <w:p>
      <w:pPr/>
      <w:r>
        <w:rPr>
          <w:b/>
        </w:rPr>
        <w:t>POSSIBLE 2023:</w:t>
      </w:r>
      <w:r>
        <w:t xml:space="preserve"> Scenario Development Using Foresight Studies — https://doi.org/10.5281/zenodo.7944509</w:t>
      </w:r>
    </w:p>
    <w:p>
      <w:pPr/>
      <w:r>
        <w:rPr>
          <w:b/>
        </w:rPr>
        <w:t>Shared claim-specific concepts:</w:t>
      </w:r>
      <w:r>
        <w:t xml:space="preserve"> foresight, project, modelling, health, stakeholders, trends; EU scope visible. This is a provisional connection, not an outcome finding.</w:t>
      </w:r>
    </w:p>
    <w:p>
      <w:pPr>
        <w:pStyle w:val="SourceNote"/>
      </w:pPr>
      <w:r>
        <w:rPr>
          <w:b/>
        </w:rPr>
        <w:t>Available abstract (not full text):</w:t>
      </w:r>
      <w:r>
        <w:t xml:space="preserve"> PHIRI (Population Health Information Research Infrastructure) project aims to facilitate and generate the best available evidence for research on health and well-being of populations impacted by COVID19. Work Package 9 (WP9) of the PHIRI project (“Foresight: scenarios and modelling”) aims to gain insights into possible future health impacts of the COVID-19 outbreak by developing scenarios. A scenario is not a prediction, rather a consistent, plausible, and coherent description of the future that reflects on past perspectives, the present, and future developments, which can serve as a basis for action. WP9 follows a stepwise approach that started by learning about the foresight capacity and foresight capacity needs across European Members States (MS) in Task 9.1. Learning about capacity needs led to the development of a capacity building course in Task 9.2. The present task, Task 9.3, builds on Task 9.2 capacity building course to further build capacity by actually developing a foresight study. The present report provides an overview of the development, content, evaluation, and outcomes of ‘Develop your Public Health Foresight Study (PHFS)’ as the leading activity of Task 9.3. This activity aimed at giving participating researchers support and guidance in developing their own public health foresight study, including developing scenarios on different public health issues as well </w:t>
      </w:r>
    </w:p>
    <w:p>
      <w:pPr/>
      <w:r>
        <w:rPr>
          <w:b/>
        </w:rPr>
        <w:t>POSSIBLE 2023:</w:t>
      </w:r>
      <w:r>
        <w:t xml:space="preserve"> Foresight in public health: application and challenges — https://doi.org/10.1093/eurpub/ckad160.1000</w:t>
      </w:r>
    </w:p>
    <w:p>
      <w:pPr/>
      <w:r>
        <w:rPr>
          <w:b/>
        </w:rPr>
        <w:t>Shared claim-specific concepts:</w:t>
      </w:r>
      <w:r>
        <w:t xml:space="preserve"> foresight, project, health, discuss, stakeholders, trends; EU scope not established. This is a provisional connection, not an outcome finding.</w:t>
      </w:r>
    </w:p>
    <w:p>
      <w:pPr>
        <w:pStyle w:val="SourceNote"/>
      </w:pPr>
      <w:r>
        <w:rPr>
          <w:b/>
        </w:rPr>
        <w:t>Available abstract (not full text):</w:t>
      </w:r>
      <w:r>
        <w:t xml:space="preserve"> Abstract Background Foresight studies in the field of public health are limited. However, in the context of increasing uncertainty and complexity, such as with the COVID-19 pandemic, there is growing need to anticipate future trends and to plan for them. Foresight provides the tools to explore possible futures and develop policy strategies. Despite its value, foresight is an underused methodology. Hence, the aim of this study is to illustrate how foresight can be applied in public health, and how to deal with the associated challenges. Methods We describe the six-steps that are part of foresight methodology. In step 1 we discuss how to formulate study objectives. We illustrate in step 2, the application of the conceptual model and the DESTEP tool to identify and rank driving forces. We then discuss time horizon and spatial distribution, in step 3. In step 4, we discuss scenario logics. Finally in steps 5 and 6, we discuss the types of scenarios and tools for analyses. Possible challenges encountered when applying foresight methodology are drawn from the experiences and lessons learnt from the PHIRI project. Results Challenges during application of the foresight six-steps approach included difficulties in formulating research objectives, developing a conceptual model, identifying most important future trends, developing systematic, consistent and plausible scenarios with clear m</w:t>
      </w:r>
    </w:p>
    <w:p>
      <w:pPr>
        <w:pStyle w:val="Heading2"/>
      </w:pPr>
      <w:r>
        <w:t>749. EUHFORIA: European heliospheric forecasting information asset</w:t>
      </w:r>
    </w:p>
    <w:p>
      <w:pPr>
        <w:pStyle w:val="SourceNote"/>
      </w:pPr>
      <w:r>
        <w:rPr>
          <w:b/>
        </w:rPr>
        <w:t>Original source (2018):</w:t>
      </w:r>
      <w:r>
        <w:t xml:space="preserve"> https://doi.org/10.1051/swsc/2018020</w:t>
      </w:r>
    </w:p>
    <w:p>
      <w:pPr/>
      <w:r>
        <w:t>Original wording (abstract; indexed_source_text_not_full_document_verified): The implementation and first results of the new space weather forecasting-targeted inner heliosphere model “European heliospheric forecasting information asset” (EUHFORIA) are presented. The results feature a highly dynamic heliosphere that the model is able to capture in good agreement with in situ observations.</w:t>
      </w:r>
    </w:p>
    <w:p>
      <w:pPr/>
      <w:r>
        <w:rPr>
          <w:b/>
        </w:rPr>
        <w:t>POSSIBLE 2026:</w:t>
      </w:r>
      <w:r>
        <w:t xml:space="preserve"> The implementation of 'new phase' European social dialogue agreements and texts in European member states — https://doi.org/10.82444/warw.33491788</w:t>
      </w:r>
    </w:p>
    <w:p>
      <w:pPr/>
      <w:r>
        <w:rPr>
          <w:b/>
        </w:rPr>
        <w:t>Shared claim-specific concepts:</w:t>
      </w:r>
      <w:r>
        <w:t xml:space="preserve"> implementation, agreement; EU scope visible. This is a provisional connection, not an outcome finding.</w:t>
      </w:r>
    </w:p>
    <w:p>
      <w:pPr>
        <w:pStyle w:val="SourceNote"/>
      </w:pPr>
      <w:r>
        <w:rPr>
          <w:b/>
        </w:rPr>
        <w:t>Available abstract (not full text):</w:t>
      </w:r>
      <w:r>
        <w:t xml:space="preserve"> The research evaluates the implementation of the Framework Agreements on Telework and Work-related Stress in Belgium, Denmark, UK, and Czech Republic and in the banking and local Government sectors within these countries. Further, it evaluates the various factors that explain divergent implementation outcomes in countries and sectors. It develops two benchmarks to assess the efficacy of the Agreements as modes of European social partner ‘soft’ law governance; a benchmark that assesses the procedural implementation of the Agreements, and a benchmark that assess the substantive implementation of the Agreements. A multi-level governance theoretical approach is also adopted. It emerged that ‘effective’ procedural implementation of the Agreements largely occurred in Belgium and Czech Republic, but did not occur to the same degree in Denmark and UK. It also emerged that the substantive effect of the Agreements was patchy and that the substantive impact of the Telework Agreement was greater than that of the Work-related Stress Agreement. Although structural factors were important in explaining divergent implementation outcomes, it also emerged that it was primarily policy and actor related factors that explained divergent national and sectoral implementation outcomes. The research ends with a rather skeptical evaluation of the Agreements as modes of European social partner ‘soft’ law </w:t>
      </w:r>
    </w:p>
    <w:p>
      <w:pPr/>
      <w:r>
        <w:rPr>
          <w:b/>
        </w:rPr>
        <w:t>POSSIBLE 2025:</w:t>
      </w:r>
      <w:r>
        <w:t xml:space="preserve"> An Implementation of European Green Deal into the European Union law — https://openalex.org/W7164873981</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Název rigorózní práce v anglickém jazyce, abstrakt v anglickém jazyce a 3 klíčová slova v anglickém jazyce Title: An implementation of the European Green Deal into the European Union law The European Union sees climate change as a major global issue. Although the EU has been focusing on climate change for many years, it only became an apparent priority with the adoption of the European Green Deal in December 2019, which is set to transform the entire EU economy, from energy produciton and waste management to sustainable consumption, with the aim to reduce EU greenhouse gas emissions by 55% by 2030 compared to 1990 and achieving climate neutrality by 2050. The aim of this rigorous thesis is to provide a comprehensive overview of the current development of climate law in the European Union, which is closely linked to the adoption and implementation of the European Green Deal and the related climate strategies and plans. Attention is paid to the period up to 2030 and the sub-target of a 55% reduction in greenhouse gas emissions compared to 1990, which is to be realised especially through the so-called Fit for 55 package, which proposes the adoption of new and the revision of some existing EU legislation in line with this target. The thesis is divided into an introduction, five parts and a conclusion. The first...</w:t>
      </w:r>
    </w:p>
    <w:p>
      <w:pPr/>
      <w:r>
        <w:rPr>
          <w:b/>
        </w:rPr>
        <w:t>POSSIBLE 2025:</w:t>
      </w:r>
      <w:r>
        <w:t xml:space="preserve"> New Policy in Doctoral Education in Poland. First Conclusions of Implementing Doctoral Schools — https://doi.org/10.1111/hequ.70074</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ABSTRACT In Poland, doctoral education remained outside the mainstream of public policy interest for many years. The 2018 reform is the first major change in the systemic approach to education at this level. Significant deregulation at the national level has introduced new requirements for conducting doctoral education and the need for its new organisation. The reform aimed to decrease the number of doctoral candidates while enhancing the quality and effectiveness of PhD education. For the first time in history, doctoral education has begun to be subject to a real external evaluation of its quality, too. The legal status of PhD candidates was also redefined, aligning them more closely with young researchers. The 2018 Act granted universities considerable autonomy in organising doctoral schools, resulting in diverse structural solutions and management models. Doctoral education is also influenced by the new rules of scientific evaluation and the instability of rules in this area; financing of the science and higher education sector; and first experience in conducting doctoral schools. The paper analyses the adopted system solutions against the background of policy changes in Europe. It also presents the initial conclusions from the implementation of new systemic solutions.</w:t>
      </w:r>
    </w:p>
    <w:p>
      <w:pPr/>
      <w:r>
        <w:rPr>
          <w:b/>
        </w:rPr>
        <w:t>POSSIBLE 2025:</w:t>
      </w:r>
      <w:r>
        <w:t xml:space="preserve"> Towards implementing workflows for essential biodiversity variables at a European scale — https://doi.org/10.1016/j.gecco.2025.e03699</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Biodiversity is declining, prompting new multilateral treaties and environmental legislation. To track the progress of these efforts, a comprehensive monitoring network is essential. For the European Union (EU), the EuropaBON network has proposed a biodiversity observation network (BON) based on 84 Essential Biodiversity Variables (EBVs). These encompass species and habitats in the freshwater, marine, and terrestrial realms. Generating EBVs will require implementing workflows, including data collection, integration, and modelling. Here, we present the first conceptual representation of EBV workflows for guiding the future implementation of EBVs in a European BON based on insights from an EU-wide stakeholder consultation that engaged hundreds of experts in science, policy, and practice. Results suggest that implementing EBV workflows requires to incorporate advanced monitoring methods, enhance geographic, taxonomic, and temporal coverage, harmonize heterogeneous data, apply metadata standards, and develop new spatial models and quantitative indicators. Recommendations include enhancing monitoring techniques such as digital sensors, DNA-based methods and citizen science for species-focused EBVs, as well as satellite and aerial remote sensing for ecosystem-focused EBVs. For operationalizing a European BON, species-focused EBVs require better national, regional, and European data i</w:t>
      </w:r>
    </w:p>
    <w:p>
      <w:pPr/>
      <w:r>
        <w:rPr>
          <w:b/>
        </w:rPr>
        <w:t>POSSIBLE 2024:</w:t>
      </w:r>
      <w:r>
        <w:t xml:space="preserve"> “New” Militarization of Europe? — https://doi.org/10.20542/0131-2227-2024-68-12-14-25</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From the first steps of implementing the policy of NATO expansion to the East – since the first half of the 1990s, official representatives of the alliance have constantly emphasized that these actions would not pose a threat to Russia. Moscow held the exact opposite opinion, but its concerns and objections were not taken into consideration. As military and political relations worsened and disagreements between Russia and the West/NATO grew, the military potential of the alliance was increasingly strengthened, coming close to the Russian borders. Traditionally neutral states – Finland and Sweden – also joined NATO. The beginning of the Special Military Operation (SMO) was used by Brussels as a long-term pretext for the beginning of the active militarization of Europe, the implementation of plans for even a larger-scale strengthening of the military and political structure of the Alliance. The leadership of the USA and NATO, having taken a course for escalation, however, show a certain “restraint”, trying to avoid a direct conflict with Russia. Brussels has repeatedly argued that NATO is not a party to the conflict in Ukraine and has set itself the task of preventing a direct clash Moscow has also repeatedly stated that it is not going to attack NATO countries. The United States and other Western states all the while do not allow Kyiv to use their weapons for strikes deep into R</w:t>
      </w:r>
    </w:p>
    <w:p>
      <w:pPr/>
      <w:r>
        <w:rPr>
          <w:b/>
        </w:rPr>
        <w:t>POSSIBLE 2024:</w:t>
      </w:r>
      <w:r>
        <w:t xml:space="preserve"> The Edinburgh Companion to the New European Humanities — https://doi.org/10.1515/9781399505208</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Assesses the rise of the ‘New’ Humanities alongside the traditional disciplines and inter-disciplinary ‘studies’ areas Takes an original approach in its European scope and institutional representation Focusses on the ‘New’ or ‘Post’ Humanities Incorporates an exceptional degree of inter and trans-disciplinarity, covering areas including the intercultural humanities, post- and decolonial perspectives, digital humanities, medical humanities, environmental humanities and more Draws from many European languages and traditions Combines theoretical speculation with policy-making pragmatism This is the first collection that highlights the strengths and contributions of the Humanities in the European region. The volume stresses the positive and multidimensional impact of the Humanities on core areas of human experience, and their ability to formulate new frames to represent our collective and individual relation to the world. Further, it explores new ethical social imaginaries, gendered scenarios and spaces of decolonial transculturality. This collection also confronts the threats the Humanities face today and proposes ways to respond. These threats include public discourses that question the value of the Humanities; the chronic underfunding of teaching and research at our universities and institutions, and the more fundamental risks to intellectual freedom, democracy and critical disc</w:t>
      </w:r>
    </w:p>
    <w:p>
      <w:pPr/>
      <w:r>
        <w:rPr>
          <w:b/>
        </w:rPr>
        <w:t>POSSIBLE 2023:</w:t>
      </w:r>
      <w:r>
        <w:t xml:space="preserve"> NEW WEATHER FORECASTING APPLICATIONS — https://doi.org/10.21608/ajmris.2023.317449</w:t>
      </w:r>
    </w:p>
    <w:p>
      <w:pPr/>
      <w:r>
        <w:rPr>
          <w:b/>
        </w:rPr>
        <w:t>Shared claim-specific concepts:</w:t>
      </w:r>
      <w:r>
        <w:t xml:space="preserve"> first, weather; EU scope not established. This is a provisional connection, not an outcome finding.</w:t>
      </w:r>
    </w:p>
    <w:p>
      <w:pPr>
        <w:pStyle w:val="SourceNote"/>
      </w:pPr>
      <w:r>
        <w:rPr>
          <w:b/>
        </w:rPr>
        <w:t>Available abstract (not full text):</w:t>
      </w:r>
      <w:r>
        <w:t xml:space="preserve"> Most state-of-the-art approaches for weather and climate modelling are based on physics informed numerical models of the atmosphere. These approaches aim to model the non-linear dynamics and complex interactions between multiple variables, which are challenging to approximate. Additionally, many such numerical models are computationally intensive, especially when modelling the atmospheric phenomenon at a fine-grained spatial and temporal resolution. Recent data-driven approaches based on machine learning instead aim to directly solve a downstream forecasting or projection task by learning a data-driven functional mapping using deep neural networks. However, these networks are trained using curated and homogeneous climate datasets for specific spatiotemporal tasks, and thus lack the generality of numerical models. In this research, the data available on Google for research objectives was used in two different algorithms through neural networks (ANN) and by controlling the design of these networks and training them hard, with the aim of obtaining results with a high degree of accuracy for weather forecasting for a period of up to 365 days in the first proposed model of neural networks and in case of the second algorithm the weather forecasted period is of up to four years (1460 days). All the facilities available in the fifty most used and downloaded weather forecasting applicati</w:t>
      </w:r>
    </w:p>
    <w:p>
      <w:pPr/>
      <w:r>
        <w:rPr>
          <w:b/>
        </w:rPr>
        <w:t>POSSIBLE 2023:</w:t>
      </w:r>
      <w:r>
        <w:t xml:space="preserve"> Perspective Chapter: Implementation of MOOCs for Microcredentials and European University Alliances — https://doi.org/10.5772/intechopen.1001466</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MOOCs are seen as an important measure to open up universities to new target groups. In this chapter, two new variants of the usage of MOOCs in European higher education are highlighted: First, openly licensed MOOCs can be used as part of microcredential offers with university accreditation. Second, openly licensed MOOCs can be made available to other universities as an integrated resource and offer within European University alliances. This chapter discusses legal (such as copyright issues), organizational (such as processes), and technical issues (such as LTI, eduGAIN) for these new developments. An important requirement for this is that MOOCs are available as open educational resources (OER): Open licenses that allow the reuse, modification, and republication of educational resources (“open education resources”) are another opportunity to open up and share university offers. This chapter is based on experiences of the national Austrian MOOC platform iMooX.at, the microcredential implementation of Graz University of Technology, as well as first ideas concerning the integration of openly licensed MOOCs within the unite! University alliance of nine European technical universities.</w:t>
      </w:r>
    </w:p>
    <w:p>
      <w:pPr/>
      <w:r>
        <w:rPr>
          <w:b/>
        </w:rPr>
        <w:t>POSSIBLE 2023:</w:t>
      </w:r>
      <w:r>
        <w:t xml:space="preserve"> An institutional implementation of the new European reform of research assessment — https://doi.org/10.55835/64426bdc67b1730895c01156</w:t>
      </w:r>
    </w:p>
    <w:p>
      <w:pPr/>
      <w:r>
        <w:rPr>
          <w:b/>
        </w:rPr>
        <w:t>Shared claim-specific concepts:</w:t>
      </w:r>
      <w:r>
        <w:t xml:space="preserve"> implementation, agreement; EU scope visible. This is a provisional connection, not an outcome finding.</w:t>
      </w:r>
    </w:p>
    <w:p>
      <w:pPr>
        <w:pStyle w:val="SourceNote"/>
      </w:pPr>
      <w:r>
        <w:rPr>
          <w:b/>
        </w:rPr>
        <w:t>Available abstract (not full text):</w:t>
      </w:r>
      <w:r>
        <w:t xml:space="preserve"> The Agreement on Reforming Research Assessment (Coalition for Advancing Research Assessment, 2022) addresses the assessment of researchers, research proposals, and research performing organizations and units. Our contribution is relevant for the assessment of units within organizations. We describe how the main principles and requirements of the Agreement have inspired a new institutional-level framework at Aalborg University (DK) with the aim to deliver data, statistics, and indicators to support internal strategic development, research assessment and resource allocation. The framework was designed on request from the rectorate and in collaboration with the deans of the four faculties with feedback from their project steering group and the university’s representative bodies.</w:t>
      </w:r>
    </w:p>
    <w:p>
      <w:pPr/>
      <w:r>
        <w:rPr>
          <w:b/>
        </w:rPr>
        <w:t>POSSIBLE 2023:</w:t>
      </w:r>
      <w:r>
        <w:t xml:space="preserve"> European Public Prosecutor‘s Office - A New Beginning ? — https://openalex.org/W7220260034</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The adoption of the Council Regulation 2017/1939 (entered into force on 20 November 2017) implementing enhanced cooperation on the establishment of the European Public Prosecutor's Office‘ (the EPPO) is a turning point in the development of the European Union as an Area of Freedom, Security and Justice, by setting - up of the first european investigating and prosecuting authority. The structure and functioning of the new authority, together with the limited scope of its competence make the EPPO as an authority whose legal environment largely builds on the national legal systems. The founding of the new investigative body is far from fully eradicating in itself the various difficulties of judicial cooperation in criminal matters. Its implementation strongly is putting into evidence the crucial necesity to foster mutual legal understanding and mutual trust that the experience showed is not achieved yet among the member states.</w:t>
      </w:r>
    </w:p>
    <w:p>
      <w:pPr/>
      <w:r>
        <w:rPr>
          <w:b/>
        </w:rPr>
        <w:t>POSSIBLE 2022:</w:t>
      </w:r>
      <w:r>
        <w:t xml:space="preserve"> Implementation of European Drone Regulations - Status Quo and Assessment — https://doi.org/10.1007/s10846-022-01714-0</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Abstract The fast evolution of drone technology as well as the ubiquitous adoption from private and commercial users lead to the necessity to introduce new regulations covering the operations of Unmanned Aircraft Systems (UAS) in European Member states. The regulations implemented rules for multiple scenarios of normal and complex UAS operations as well as the collection of registration data from remote pilots and Operators. This research project tried for the first time to determine the status quo of the adoption of the novel EASA regulations of drones within the European members states. Data from National Aviation Authorities has been collected, accumulated, and analyzed towards qualitative and quantitative features.</w:t>
      </w:r>
    </w:p>
    <w:p>
      <w:pPr/>
      <w:r>
        <w:rPr>
          <w:b/>
        </w:rPr>
        <w:t>POSSIBLE 2022:</w:t>
      </w:r>
      <w:r>
        <w:t xml:space="preserve"> 7.L. Workshop: New roles and innovative skill-mix in nursing across Europe: trends and lessons for implementation — https://doi.org/10.1093/eurpub/ckac129.446</w:t>
      </w:r>
    </w:p>
    <w:p>
      <w:pPr/>
      <w:r>
        <w:rPr>
          <w:b/>
        </w:rPr>
        <w:t>Shared claim-specific concepts:</w:t>
      </w:r>
      <w:r>
        <w:t xml:space="preserve"> implementation, first, presented; EU scope visible. This is a provisional connection, not an outcome finding.</w:t>
      </w:r>
    </w:p>
    <w:p>
      <w:pPr>
        <w:pStyle w:val="SourceNote"/>
      </w:pPr>
      <w:r>
        <w:rPr>
          <w:b/>
        </w:rPr>
        <w:t>Available abstract (not full text):</w:t>
      </w:r>
      <w:r>
        <w:t xml:space="preserve"> Abstract Many countries in Europe are changing the roles and skill-mix of their nursing workforce. A sufficient and well-skilled nursing workforce has shown to be key for population health, most recently demonstrated during the Covid-19 pandemic. An increasing number of countries have introduced Master-level education for nurses to work in advanced practice nursing (APN) roles. These changes in the educational systems have implications on patients, clinical practice, teams and health systems. Moreover, many countries are re-orienting their health services from hospital to primary health care and prevention, driving new roles for nurses. The relevance of high-quality education and upskilling has been exemplified during the Covid-19 pandemic, where nurses had to quickly adapt to new treatment and caregiving situations in challenging work environments. Objectives of the workshop. This workshop will provide an overview of research and policy developments in Europe, drawing on recent research. First, an overview of innovative skill-mix changes in nursing will be presented and evidence on health outcomes, based on a study from the European Observatory on Health Systems and Policies. Second, research from Germany in five innovator hospitals will be presented, a country which is still at an early stage with integrating nurses in advanced roles. The panel discussion will address innovat</w:t>
      </w:r>
    </w:p>
    <w:p>
      <w:pPr>
        <w:pStyle w:val="Heading2"/>
      </w:pPr>
      <w:r>
        <w:t>750. Estimation and Forecasts for the Share of Renewable Energy Consumption in Final Energy Consumption by 2020 in the European Union</w:t>
      </w:r>
    </w:p>
    <w:p>
      <w:pPr>
        <w:pStyle w:val="SourceNote"/>
      </w:pPr>
      <w:r>
        <w:rPr>
          <w:b/>
        </w:rPr>
        <w:t>Original source (2018):</w:t>
      </w:r>
      <w:r>
        <w:t xml:space="preserve"> https://doi.org/10.3390/su10051515</w:t>
      </w:r>
    </w:p>
    <w:p>
      <w:pPr/>
      <w:r>
        <w:t>Original wording (abstract; indexed_source_text_not_full_document_verified): Forecasts of this share for the 2020 horizon were obtained, all showing that the EU target is yet to be reached. Empirical estimations of renewable energy share into the final energy consumption showed increasing trend for all groups, while providing forecasts quite different from the EU ones.</w:t>
      </w:r>
    </w:p>
    <w:p>
      <w:pPr/>
      <w:r>
        <w:rPr>
          <w:b/>
        </w:rPr>
        <w:t>POSSIBLE 2026:</w:t>
      </w:r>
      <w:r>
        <w:t xml:space="preserve"> Horizon-constrained Rashomon sets for chaotic forecasting — https://doi.org/10.1063/5.0325059</w:t>
      </w:r>
    </w:p>
    <w:p>
      <w:pPr/>
      <w:r>
        <w:rPr>
          <w:b/>
        </w:rPr>
        <w:t>Shared claim-specific concepts:</w:t>
      </w:r>
      <w:r>
        <w:t xml:space="preserve"> horizon, providing; EU scope not established. This is a provisional connection, not an outcome finding.</w:t>
      </w:r>
    </w:p>
    <w:p>
      <w:pPr>
        <w:pStyle w:val="SourceNote"/>
      </w:pPr>
      <w:r>
        <w:rPr>
          <w:b/>
        </w:rPr>
        <w:t>Available abstract (not full text):</w:t>
      </w:r>
      <w:r>
        <w:t xml:space="preserve"> Predictive multiplicity and chaotic dynamics represent two fundamental challenges in machine learning that have evolved independently despite their conceptual connections. We bridge this gap by introducing horizon-constrained Rashomon sets, a theoretical framework that characterizes how model multiplicity evolves with prediction horizon in chaotic systems. Unlike static prediction tasks where the Rashomon set remains fixed, chaos induces exponential divergence among initially similar models, fundamentally transforming the nature of predictive equivalence. We prove that the effective Rashomon set contracts exponentially with lead time at a rate determined by the maximum Lyapunov exponent and introduce Lyapunov-weighted metrics that provide tighter bounds on predictive disagreement. Leveraging these insights, we develop decision-aligned selection algorithms that choose among near-optimal models based on downstream utility rather than forecast accuracy alone. Extensive experiments on synthetic chaotic systems (Lorenz-96 and Kuramoto–Sivashinsky) and real-world applications (wind power, traffic, and weather) demonstrate that our framework improves decision quality by 18%–34% while maintaining competitive predictive performance. This work establishes the first rigorous connection between chaos theory and predictive multiplicity, providing principled guidance for deploying machine le</w:t>
      </w:r>
    </w:p>
    <w:p>
      <w:pPr/>
      <w:r>
        <w:rPr>
          <w:b/>
        </w:rPr>
        <w:t>POSSIBLE 2026:</w:t>
      </w:r>
      <w:r>
        <w:t xml:space="preserve"> European Economic Forecast — https://doi.org/10.2765/0071034</w:t>
      </w:r>
    </w:p>
    <w:p>
      <w:pPr/>
      <w:r>
        <w:rPr>
          <w:b/>
        </w:rPr>
        <w:t>Shared claim-specific concepts:</w:t>
      </w:r>
      <w:r>
        <w:t xml:space="preserve"> energy, final, consumption; EU scope visible. This is a provisional connection, not an outcome finding.</w:t>
      </w:r>
    </w:p>
    <w:p>
      <w:pPr>
        <w:pStyle w:val="SourceNote"/>
      </w:pPr>
      <w:r>
        <w:rPr>
          <w:b/>
        </w:rPr>
        <w:t>Available abstract (not full text):</w:t>
      </w:r>
      <w:r>
        <w:t xml:space="preserve"> The period from 2019 to 2024 witnessed an unprecedented decline in energy use, driven by a combination of price signals, policy measures, and structural change. This special issue examines how this reduction was achieved, placing recent developments in a longer-term perspective and distinguishing between adjustments in the transformation sector and changes in final consumption of energy demand across three main sectors: productive, transport and households. Special attention is given to developments in productive sectors—and in particular industry—where most of the adjustment ultimately took place. The analysis shows that the recent period represents the sharpest “leaning-out” phase of the EU economy on record. This adjustment was driven by a combination of efficiency gains and structural reallocation, although demand compression—particularly in energy-intensive industry—also played a role.</w:t>
      </w:r>
    </w:p>
    <w:p>
      <w:pPr/>
      <w:r>
        <w:rPr>
          <w:b/>
        </w:rPr>
        <w:t>POSSIBLE 2026:</w:t>
      </w:r>
      <w:r>
        <w:t xml:space="preserve"> Explaining Time Series Forecasting with Horizon-Resolved Attribution — https://doi.org/10.48550/arxiv.2609.12639</w:t>
      </w:r>
    </w:p>
    <w:p>
      <w:pPr/>
      <w:r>
        <w:rPr>
          <w:b/>
        </w:rPr>
        <w:t>Shared claim-specific concepts:</w:t>
      </w:r>
      <w:r>
        <w:t xml:space="preserve"> horizon, all, yet, different; EU scope not established. This is a provisional connection, not an outcome finding.</w:t>
      </w:r>
    </w:p>
    <w:p>
      <w:pPr>
        <w:pStyle w:val="SourceNote"/>
      </w:pPr>
      <w:r>
        <w:rPr>
          <w:b/>
        </w:rPr>
        <w:t>Available abstract (not full text):</w:t>
      </w:r>
      <w:r>
        <w:t xml:space="preserve"> Recent advances in explaining time series (TS) models have produced methods that identify which past values a prediction depends on. However, most existing methods return a single importance vector, assuming that every predicted step depends on the same past values. In this paper, we show that this assumption does not hold, as different forecast steps depend on different past values. Motivated by this observation, we propose Horizon-Resolved eXplanation (HRX), which adds a horizon axis to the explanation, so that every forecast step receives its own importance map. HRX is a simple yet effective plug-in framework with three components: 1) an estimator that reads these maps out of any differentiable forecaster without modifying the TS backbone, 2) an evaluation protocol that validates the horizon axis by measuring how much a single forecast step changes when the inputs an importance map ranks highest are removed, and 3) a rank criterion that predicts in advance whether the axis is worth resolving on a given TS. We further show that this step-wise dependence is low-dimensional, as the explanations of all steps are built from a few shared maps whose number does not grow with the forecast length. Extensive experiments across various backbones and datasets show that the improvement comes from the horizon axis and holds for estimators of previous explanation methods. Code is available</w:t>
      </w:r>
    </w:p>
    <w:p>
      <w:pPr/>
      <w:r>
        <w:rPr>
          <w:b/>
        </w:rPr>
        <w:t>POSSIBLE 2026:</w:t>
      </w:r>
      <w:r>
        <w:t xml:space="preserve"> Antidepressant drug use in Europe: past consumption, prescribing patterns and forecast until 2030 — https://doi.org/10.1007/s11096-025-02078-9</w:t>
      </w:r>
    </w:p>
    <w:p>
      <w:pPr/>
      <w:r>
        <w:rPr>
          <w:b/>
        </w:rPr>
        <w:t>Shared claim-specific concepts:</w:t>
      </w:r>
      <w:r>
        <w:t xml:space="preserve"> forecasts, share, all, consumption; EU scope visible. This is a provisional connection, not an outcome finding.</w:t>
      </w:r>
    </w:p>
    <w:p>
      <w:pPr>
        <w:pStyle w:val="SourceNote"/>
      </w:pPr>
      <w:r>
        <w:rPr>
          <w:b/>
        </w:rPr>
        <w:t>Available abstract (not full text):</w:t>
      </w:r>
      <w:r>
        <w:t xml:space="preserve"> INTRODUCTION: Mental disorders represent a significant global burden, with a high proportion of depressive disorders. Antidepressants (ADs) are the most prescribed drugs for treating mental disorders, with broad indications, e.g. depression, anxiety disorders, and off-label use. AIM: This study assesses current and historical changes in AD consumption in 25 European countries, predicts future developments, and further analyses ATC subgroup consumption in 13 countries. METHOD: Consumption data for ADs (ATC code N06A) were collected from the OECD Data Explorer. Subgroup data came from publicly available sources. The time span covered is 1980 to 2024. Changes in defined daily doses per 1000 population per day (DID) were analysed, and projections to 2030 were made using Auto Regressive Integrated Moving Average models. Treatment coverage for depressive disorder prevalence was also calculated. RESULTS: In 2023, AD consumption ranged from 26.3 DID (Latvia) to 164.7 DID (Iceland). Use increased in nearly all countries, except Luxembourg (- 0.3 DID between 2013 and 2022). Increases ranged from + 5.9% (Austria) to + 157.8% (Latvia). Forecasts predict further increases in most countries (+ 0.1 to + 80.9%), with decreases projected for Hungary, Austria, the UK, and Luxembourg (- 3.4 to - 21.7%). Selective serotonin reuptake inhibitors (SSRIs) are the most used subgroup, with mixed develop</w:t>
      </w:r>
    </w:p>
    <w:p>
      <w:pPr/>
      <w:r>
        <w:rPr>
          <w:b/>
        </w:rPr>
        <w:t>POSSIBLE 2026:</w:t>
      </w:r>
      <w:r>
        <w:t xml:space="preserve"> Forecasting the Nigerian Exchange Group's All Share Index: application of ARIMA-GARCH hybrid models — https://doi.org/10.33003/fujafr-2026.v4i2.335.21-39</w:t>
      </w:r>
    </w:p>
    <w:p>
      <w:pPr/>
      <w:r>
        <w:rPr>
          <w:b/>
        </w:rPr>
        <w:t>Shared claim-specific concepts:</w:t>
      </w:r>
      <w:r>
        <w:t xml:space="preserve"> share, all, empirical, estimations; EU scope not established. This is a provisional connection, not an outcome finding.</w:t>
      </w:r>
    </w:p>
    <w:p>
      <w:pPr>
        <w:pStyle w:val="SourceNote"/>
      </w:pPr>
      <w:r>
        <w:rPr>
          <w:b/>
        </w:rPr>
        <w:t>Available abstract (not full text):</w:t>
      </w:r>
      <w:r>
        <w:t xml:space="preserve"> Purpose: This study evaluates the predictive accuracy of various econometric models in forecasting stock market returns within the Nigerian Exchange Group (NGX). Given the high volatility and structural breaks inherent in emerging African markets, the research investigates whether linear (ARIMA), volatility-sensitive (GARCH), or hybrid rolling-window frameworks provide the most robust tools for financial forecasting. Methodology: Employing a quantitative design, the study analyses daily All-Share Index (ASI) closing prices (sourced from the NGX official database) from January 1, 2021, to August 30, 2025. The approach utilizes Box-Jenkins formalization for ARIMA parameters and GARCH (1,1) to account for volatility clustering, optimized via a 180-day rolling window. Stationarity was verified via ADF tests, with selection guided by the Akaike Information Criterion (AIC). Results and conclusion: Empirical findings indicate that hybrid ARIMA-GARCH models significantly outperform standalone ARIMA and GARCH models in forecasting the NGX ASI. While linear models fail to account for significant ARCH effects, the hybrid configuration markedly reduces forecast errors, as confirmed by superior MAPE and RMSE metrics. The NGX exhibits high volatility persistence, rendering traditional linear models insufficient. Findings suggest the NGX deviates from the Weak-Form Efficient Market Hypothesis</w:t>
      </w:r>
    </w:p>
    <w:p>
      <w:pPr/>
      <w:r>
        <w:rPr>
          <w:b/>
        </w:rPr>
        <w:t>POSSIBLE 2026:</w:t>
      </w:r>
      <w:r>
        <w:t xml:space="preserve"> Multi-Day Forecasting of Day-Ahead Electricity Prices under Input Forecast Uncertainty — https://doi.org/10.24406/publica-9834</w:t>
      </w:r>
    </w:p>
    <w:p>
      <w:pPr/>
      <w:r>
        <w:rPr>
          <w:b/>
        </w:rPr>
        <w:t>Shared claim-specific concepts:</w:t>
      </w:r>
      <w:r>
        <w:t xml:space="preserve"> forecasts, share, horizon, renewable, increasing; EU scope visible. This is a provisional connection, not an outcome finding.</w:t>
      </w:r>
    </w:p>
    <w:p>
      <w:pPr>
        <w:pStyle w:val="SourceNote"/>
      </w:pPr>
      <w:r>
        <w:rPr>
          <w:b/>
        </w:rPr>
        <w:t>Available abstract (not full text):</w:t>
      </w:r>
      <w:r>
        <w:t xml:space="preserve"> Electricity price forecasts are increasingly important for trading and procurement decisions in European power markets with growing renewable generation and increasing price volatility. When forecasting prices for future delivery periods, key drivers such as load and renewable generation are only available as forecasts rather than realised values.This paper investigates how the use of realised versus forecasted inputs in model training and prediction affects multi-day-ahead forecasts of hourly German day-ahead market prices. A feed-forward neural network is evaluated in a rolling training framework under three input configurations: training on realised inputs and predicting with forecasted inputs, training and predicting with forecasted inputs, and an ex post perfect-input benchmark using realised inputs at prediction time. Forecast errors increase with prediction horizon, and input forecast errors account for a substantial share of overall prediction error. Training on forecasted inputs does not systematically improve forecasting accuracy in this setting.</w:t>
      </w:r>
    </w:p>
    <w:p>
      <w:pPr/>
      <w:r>
        <w:rPr>
          <w:b/>
        </w:rPr>
        <w:t>POSSIBLE 2026:</w:t>
      </w:r>
      <w:r>
        <w:t xml:space="preserve"> Multi-Day Forecasting of Day-Ahead Electricity Prices under Input Forecast Uncertainty — https://doi.org/10.1109/eem68581.2026.11589786</w:t>
      </w:r>
    </w:p>
    <w:p>
      <w:pPr/>
      <w:r>
        <w:rPr>
          <w:b/>
        </w:rPr>
        <w:t>Shared claim-specific concepts:</w:t>
      </w:r>
      <w:r>
        <w:t xml:space="preserve"> forecasts, share, horizon, renewable, increasing; EU scope visible. This is a provisional connection, not an outcome finding.</w:t>
      </w:r>
    </w:p>
    <w:p>
      <w:pPr>
        <w:pStyle w:val="SourceNote"/>
      </w:pPr>
      <w:r>
        <w:rPr>
          <w:b/>
        </w:rPr>
        <w:t>Available abstract (not full text):</w:t>
      </w:r>
      <w:r>
        <w:t xml:space="preserve"> Electricity price forecasts are increasingly important for trading and procurement decisions in European power markets with growing renewable generation and increasing price volatility. When forecasting prices for future delivery periods, key drivers such as load and renewable generation are only available as forecasts rather than realised values.This paper investigates how the use of realised versus forecasted inputs in model training and prediction affects multi-day-ahead forecasts of hourly German day-ahead market prices. A feed-forward neural network is evaluated in a rolling training framework under three input configurations: training on realised inputs and predicting with forecasted inputs, training and predicting with forecasted inputs, and an ex post perfect-input benchmark using realised inputs at prediction time. Forecast errors increase with prediction horizon, and input forecast errors account for a substantial share of overall prediction error. Training on forecasted inputs does not systematically improve forecasting accuracy in this setting.</w:t>
      </w:r>
    </w:p>
    <w:p>
      <w:pPr/>
      <w:r>
        <w:rPr>
          <w:b/>
        </w:rPr>
        <w:t>POSSIBLE 2025:</w:t>
      </w:r>
      <w:r>
        <w:t xml:space="preserve"> Approximating Fixed‐Horizon Forecasts Using Fixed‐Event Forecasts — https://doi.org/10.1002/jae.3114</w:t>
      </w:r>
    </w:p>
    <w:p>
      <w:pPr/>
      <w:r>
        <w:rPr>
          <w:b/>
        </w:rPr>
        <w:t>Shared claim-specific concepts:</w:t>
      </w:r>
      <w:r>
        <w:t xml:space="preserve"> forecasts, horizon, empirical; EU scope not established. This is a provisional connection, not an outcome finding.</w:t>
      </w:r>
    </w:p>
    <w:p>
      <w:pPr>
        <w:pStyle w:val="SourceNote"/>
      </w:pPr>
      <w:r>
        <w:rPr>
          <w:b/>
        </w:rPr>
        <w:t>Available abstract (not full text):</w:t>
      </w:r>
      <w:r>
        <w:t xml:space="preserve"> ABSTRACT Many forecast surveys ask their participants for fixed‐event forecasts. As fixed‐event forecasts have seasonal properties, users often employ an ad hoc approach to approximate fixed‐horizon forecasts based on these fixed‐event forecasts. We derive an optimal approximation for fixed‐horizon forecasts by minimizing the mean‐squared approximation error. Like the ad hoc approach, our approximation employs a weighted average of the fixed‐event forecasts. The optimal weights tend to differ substantially from those of the ad hoc approach. In empirical applications, the gains from using optimal instead of ad hoc weights turn out to be sizeable. The approximation approach proposed can also be useful in other applications.</w:t>
      </w:r>
    </w:p>
    <w:p>
      <w:pPr/>
      <w:r>
        <w:rPr>
          <w:b/>
        </w:rPr>
        <w:t>POSSIBLE 2025:</w:t>
      </w:r>
      <w:r>
        <w:t xml:space="preserve"> A Uncertainty-Calibrated Transformer for Long-Horizon Forecasting with Missing and Irregular Observations — https://doi.org/10.71465/fair538</w:t>
      </w:r>
    </w:p>
    <w:p>
      <w:pPr/>
      <w:r>
        <w:rPr>
          <w:b/>
        </w:rPr>
        <w:t>Shared claim-specific concepts:</w:t>
      </w:r>
      <w:r>
        <w:t xml:space="preserve"> yet, energy, consumption, increasing, providing; EU scope not established. This is a provisional connection, not an outcome finding.</w:t>
      </w:r>
    </w:p>
    <w:p>
      <w:pPr>
        <w:pStyle w:val="SourceNote"/>
      </w:pPr>
      <w:r>
        <w:rPr>
          <w:b/>
        </w:rPr>
        <w:t>Available abstract (not full text):</w:t>
      </w:r>
      <w:r>
        <w:t xml:space="preserve"> The proliferation of Internet of Things (IoT) devices and distributed sensor networks has resulted in an explosion of time-series data, yet the utility of this data is frequently compromised by irregularities, such as missing observations, non-uniform sampling rates, and sensor failures. While Transformer-based architectures have established a new state-of-the-art in sequence modeling, standard implementations rely implicitly on fixed-interval discrete time steps, rendering them suboptimal for irregular temporal environments. Furthermore, long-horizon forecasting inherently involves accumulating errors, necessitating robust uncertainty quantification to support downstream decision-making processes. This paper introduces the Uncertainty-Calibrated Continuous Transformer (UCCT), a novel architecture designed to address these dual challenges simultaneously. We propose a continuous-time positional encoding mechanism that leverages the temporal timestamps directly, decoupling the model from the rigid index-based sequence assumption. Additionally, we integrate a probabilistic decoding head that outputs distributional parameters rather than point estimates, calibrated via a composite loss function balancing accuracy and aleatoric uncertainty estimation. Extensive experiments on real-world datasets, including energy consumption, meteorology, and healthcare telemetry, demonstrate that t</w:t>
      </w:r>
    </w:p>
    <w:p>
      <w:pPr/>
      <w:r>
        <w:rPr>
          <w:b/>
        </w:rPr>
        <w:t>POSSIBLE 2024:</w:t>
      </w:r>
      <w:r>
        <w:t xml:space="preserve"> Evolution of the European offshore renewable energy resource under multiple climate change scenarios and forecasting horizons via CMIP6 — https://doi.org/10.1016/j.enconman.2023.118058</w:t>
      </w:r>
    </w:p>
    <w:p>
      <w:pPr/>
      <w:r>
        <w:rPr>
          <w:b/>
        </w:rPr>
        <w:t>Shared claim-specific concepts:</w:t>
      </w:r>
      <w:r>
        <w:t xml:space="preserve"> horizon, all, renewable, energy, increasing, trend; EU scope visible. This is a provisional connection, not an outcome finding.</w:t>
      </w:r>
    </w:p>
    <w:p>
      <w:pPr>
        <w:pStyle w:val="SourceNote"/>
      </w:pPr>
      <w:r>
        <w:rPr>
          <w:b/>
        </w:rPr>
        <w:t>Available abstract (not full text):</w:t>
      </w:r>
      <w:r>
        <w:t xml:space="preserve"> The design of the different offshore renewable Energy (ORE) technologies greatly depends on the characteristics of the wind/wave resource. However, these characteristics are not stationary. Even more so under the effect of climate change. The present study aims at assessing the evolution of the European offshore wave/wind resource under low- and high-emissions scenarios based on Shared Socioeconomic Pathways, and three forecasting horizons including near- (2023-2032), mid- (2041-2050) and long-term (2091-2100). The novelties lie in (i) combining wind and wave resources, (ii) using data with a 3-hour temporal horizon and (ii) performing a local-scale statistical analysis. Results illustrate that variations along the 21st century are significant, reversing the historical increasing trend by 2030. Overall, all scenarios tend to average wind and wave resource reductions all over Europe. However, extreme conditions follow a different pattern. Considering the 99th percentile, extreme conditions seem to be milder, following the evolution observed with the average resource. Exceptions to this are the Iberian Peninsula and the North Sea. In contrast, the local-scale statistical analysis shows that the most extreme conditions tend to increase even when the 99th percentile decreases. This combination of decreasing average and increasing extremes presents the worst-case scenario for ORE te</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forecasts, horizon, all, groups, different;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Hybrid AI-enhanced lightning flash prediction in the medium-range forecast horizon — https://doi.org/10.1038/s41467-024-44697-2</w:t>
      </w:r>
    </w:p>
    <w:p>
      <w:pPr/>
      <w:r>
        <w:rPr>
          <w:b/>
        </w:rPr>
        <w:t>Shared claim-specific concepts:</w:t>
      </w:r>
      <w:r>
        <w:t xml:space="preserve"> forecasts, horizon, obtained; EU scope visible. This is a provisional connection, not an outcome finding.</w:t>
      </w:r>
    </w:p>
    <w:p>
      <w:pPr>
        <w:pStyle w:val="SourceNote"/>
      </w:pPr>
      <w:r>
        <w:rPr>
          <w:b/>
        </w:rPr>
        <w:t>Available abstract (not full text):</w:t>
      </w:r>
      <w:r>
        <w:t xml:space="preserve"> Traditional fully-deterministic algorithms, which rely on physical equations and mathematical models, are the backbone of many scientific disciplines for decades. These algorithms are based on well-established principles and laws of physics, enabling a systematic and predictable approach to problem-solving. On the other hand, AI-based strategies emerge as a powerful tool for handling vast amounts of data and extracting patterns and relationships that might be challenging to identify through traditional algorithms. Here, we bridge these two realms by using AI to find an optimal mapping of meteorological features predicted two days ahead by the state-of-the-art numerical weather prediction model by the European Centre for Medium-range Weather Forecasts (ECMWF) into lightning flash occurrence. The prediction capability of the resulting AI-enhanced algorithm turns out to be significantly higher than that of the fully-deterministic algorithm employed in the ECMWF model. A remarkable Recall peak of about 95% within the 0-24 h forecast interval is obtained. This performance surpasses the 85% achieved by the ECMWF model at the same Precision of the AI algorithm.</w:t>
      </w:r>
    </w:p>
    <w:p>
      <w:pPr>
        <w:pStyle w:val="Heading2"/>
      </w:pPr>
      <w:r>
        <w:t>751. European Road Safety Policy 2016-2020: A Forecast on Topics and Activities</w:t>
      </w:r>
    </w:p>
    <w:p>
      <w:pPr>
        <w:pStyle w:val="SourceNote"/>
      </w:pPr>
      <w:r>
        <w:rPr>
          <w:b/>
        </w:rPr>
        <w:t>Original source (2018):</w:t>
      </w:r>
      <w:r>
        <w:t xml:space="preserve"> https://doi.org/10.21625/archive.v2i1.237</w:t>
      </w:r>
    </w:p>
    <w:p>
      <w:pPr/>
      <w:r>
        <w:t>Original wording (abstract; indexed_source_text_not_full_document_verified): However, no legislative proposals are expected. - Reducing the number of seriously injured will be a core objective in the future: A reduction goal of 50% has been set by the Council of the European Union for the period 2020-2030.The results show that the developments of the last years point towards a full and active agenda till 2020 and beyond. However, the topics and activities of road safety policy that will determine the next few years are less apparent.</w:t>
      </w:r>
    </w:p>
    <w:p>
      <w:pPr/>
      <w:r>
        <w:rPr>
          <w:b/>
        </w:rPr>
        <w:t>POSSIBLE 2026:</w:t>
      </w:r>
      <w:r>
        <w:t xml:space="preserve"> THE LEGISLATIVE POWER IN THE EUROPEAN UNION — https://doi.org/10.56238/sevened2026.035-019</w:t>
      </w:r>
    </w:p>
    <w:p>
      <w:pPr/>
      <w:r>
        <w:rPr>
          <w:b/>
        </w:rPr>
        <w:t>Shared claim-specific concepts:</w:t>
      </w:r>
      <w:r>
        <w:t xml:space="preserve"> legislative, council, union, full; EU scope visible. This is a provisional connection, not an outcome finding.</w:t>
      </w:r>
    </w:p>
    <w:p>
      <w:pPr>
        <w:pStyle w:val="SourceNote"/>
      </w:pPr>
      <w:r>
        <w:rPr>
          <w:b/>
        </w:rPr>
        <w:t>Available abstract (not full text):</w:t>
      </w:r>
      <w:r>
        <w:t xml:space="preserve"> The process of European integration has been characterized by an institutional structure distinct from that of other international organizations. Moreover, its evolution has brought it closer to the model found in nation-states. This is evident in the distribution of powers —particularly regarding legislative authority— as the system has shifted from a model where the body representing the Member States held full decision-making power to one in which legislative authority is shared between the Council and the European Parliament, featuring characteristics of a bicameral legislative model. The current legal system in the European Union was defined by the Lisbon Treaty. Which enabled the generalization of the codecision procedure, now officially called the ordinary legislative procedure. Through this mechanism, the institution elected by universal and direct suffrage by European citizens fulfils its role as a parliament—namely, exercising legislative power—, although shared with the Council.</w:t>
      </w:r>
    </w:p>
    <w:p>
      <w:pPr/>
      <w:r>
        <w:rPr>
          <w:b/>
        </w:rPr>
        <w:t>POSSIBLE 2026:</w:t>
      </w:r>
      <w:r>
        <w:t xml:space="preserve"> Draghi Plan and Implications for the European Legislative Framework — https://doi.org/10.24818/eblj/2025/4/1.06</w:t>
      </w:r>
    </w:p>
    <w:p>
      <w:pPr/>
      <w:r>
        <w:rPr>
          <w:b/>
        </w:rPr>
        <w:t>Shared claim-specific concepts:</w:t>
      </w:r>
      <w:r>
        <w:t xml:space="preserve"> legislative, proposals, council, union, period, agenda; EU scope visible. This is a provisional connection, not an outcome finding.</w:t>
      </w:r>
    </w:p>
    <w:p>
      <w:pPr>
        <w:pStyle w:val="SourceNote"/>
      </w:pPr>
      <w:r>
        <w:rPr>
          <w:b/>
        </w:rPr>
        <w:t>Available abstract (not full text):</w:t>
      </w:r>
      <w:r>
        <w:t xml:space="preserve"> The paper analyzes the "The Future of European Competitiveness" report (Draghi Plan, September 2024) from a dual perspective—economic and legal-institutional—to assess how its recommendations reconfigure the European Union's (EU) legislative framework for the 2025-2030 period. The research pursues three objectives: (i) mapping the Draghi proposals along the axes of investment-financing, state aid, single market, and economic governance; (ii) identifying the legal instruments through which the Commission and the Council are attempting to transpose these proposals; and (iii) measuring the potential impact on internal market cohesion and fiscal discipline. The methodology combines content analysis of the Draghi report and official documents (proposals for regulations, own resources decisions, state aid guidelines), semi-structured interviews with 22 European decision-makers, and a counterfactual DSGE exercise modeling the effect of introducing a European Competitiveness Fund financed by common debt of 1% of GDP/year. The study's contribution is threefold: it demonstrates the direct link between a technocratic report and an accelerated European legislative agenda; it highlights the tensions between expanding industrial policy and protecting the integrity of the internal market; and it provides an empirical framework to quantify the fiscal trade-offs involved in debt mutualization. </w:t>
      </w:r>
    </w:p>
    <w:p>
      <w:pPr/>
      <w:r>
        <w:rPr>
          <w:b/>
        </w:rPr>
        <w:t>POSSIBLE 2026:</w:t>
      </w:r>
      <w:r>
        <w:t xml:space="preserve"> Common fisheries policy and bycatch: European legislative context and strategies for the valorization of underutilized fish species — https://doi.org/10.4081/ijfs.2026.15141</w:t>
      </w:r>
    </w:p>
    <w:p>
      <w:pPr/>
      <w:r>
        <w:rPr>
          <w:b/>
        </w:rPr>
        <w:t>Shared claim-specific concepts:</w:t>
      </w:r>
      <w:r>
        <w:t xml:space="preserve"> however, legislative, reducing, number, objective; EU scope visible. This is a provisional connection, not an outcome finding.</w:t>
      </w:r>
    </w:p>
    <w:p>
      <w:pPr>
        <w:pStyle w:val="SourceNote"/>
      </w:pPr>
      <w:r>
        <w:rPr>
          <w:b/>
        </w:rPr>
        <w:t>Available abstract (not full text):</w:t>
      </w:r>
      <w:r>
        <w:t xml:space="preserve"> Despite modern fishing being focused on a limited number of fish that are highly valuable on the market, other species, including those of limited commercial value and damaged or undersized specimens, are accidentally caught. These fish, generally identified as "unwanted catches", have significant nutritional potential for human nutrition but are often discarded due to their limited commercial interest or used as category 3 by-products, as specified in Regulation (EC) No 1069/2009. The Common Fisheries Policy (CFP) promotes sustainable fishing and preservation of fish stocks; to this end, unwanted catches should be managed more efficiently. The objective of this review was to analyze the characteristics and critical elements of the European regulatory framework on fisheries, as well as the potential opportunities for valorizing neglected fish species. The main EU legislative reference is Regulation (EU) No 1380/2013, which focuses on the sustainability of fisheries and the prevention of overfishing in marine stocks. By imposing the obligation to land all fish caught, the regulation aims to eliminate discards and minimize unwanted catches. However, de minimis exemptions from the landing obligation for small pelagic and demersal fisheries in the Mediterranean Sea are established by Delegated Regulations (EU) 2023/2460 and 2023/2918. The EU legislative framework is supplemented by</w:t>
      </w:r>
    </w:p>
    <w:p>
      <w:pPr/>
      <w:r>
        <w:rPr>
          <w:b/>
        </w:rPr>
        <w:t>POSSIBLE 2026:</w:t>
      </w:r>
      <w:r>
        <w:t xml:space="preserve"> LEGISLATIVE DEVELOPMENTS AND THE EUROPEAN GREEN DEAL: LESSONS LEARNED — https://doi.org/10.36007/5383.2026.289</w:t>
      </w:r>
    </w:p>
    <w:p>
      <w:pPr/>
      <w:r>
        <w:rPr>
          <w:b/>
        </w:rPr>
        <w:t>Shared claim-specific concepts:</w:t>
      </w:r>
      <w:r>
        <w:t xml:space="preserve"> legislative, union, developments; EU scope visible. This is a provisional connection, not an outcome finding.</w:t>
      </w:r>
    </w:p>
    <w:p>
      <w:pPr>
        <w:pStyle w:val="SourceNote"/>
      </w:pPr>
      <w:r>
        <w:rPr>
          <w:b/>
        </w:rPr>
        <w:t>Available abstract (not full text):</w:t>
      </w:r>
      <w:r>
        <w:t xml:space="preserve"> “Ensuring our industrial renewal and decarbonisation, and allowing the EU to remain an industrial and technological powerhouse” was defined by the Leaders of the European Union in the Budapest Declaration as a top priority for the EU in the future. In order to find the optimal legal solutions to support the reconciliation of climate protection with the striving for a prosperous economy, the results of the European Green Deal (EGD) shall be evaluated. The current paper aims to identify certain legislative developments connected to the EGD and analyze their relationship to the general characteristics of EU law and policy. Thus, the findings might support the development of regulatory solutions tailored to ensure the efficient enforcement of climate policy initiatives, while promoting the implementation of European legal standards, cutting red tape, and respecting the Member States’ competences.</w:t>
      </w:r>
    </w:p>
    <w:p>
      <w:pPr/>
      <w:r>
        <w:rPr>
          <w:b/>
        </w:rPr>
        <w:t>POSSIBLE 2026:</w:t>
      </w:r>
      <w:r>
        <w:t xml:space="preserve"> LEGAL REGULATION OF THE STATUS OF STATELESS PERSONS IN UKRAINE: EUROPEAN STANDARDS AND THE NEED FOR LEGISLATIVE REFORM — https://doi.org/10.26565/2075-1834-2026-41-14</w:t>
      </w:r>
    </w:p>
    <w:p>
      <w:pPr/>
      <w:r>
        <w:rPr>
          <w:b/>
        </w:rPr>
        <w:t>Shared claim-specific concepts:</w:t>
      </w:r>
      <w:r>
        <w:t xml:space="preserve"> however, legislative, proposals, number, reduction, council; EU scope visible. This is a provisional connection, not an outcome finding.</w:t>
      </w:r>
    </w:p>
    <w:p>
      <w:pPr>
        <w:pStyle w:val="SourceNote"/>
      </w:pPr>
      <w:r>
        <w:rPr>
          <w:b/>
        </w:rPr>
        <w:t>Available abstract (not full text):</w:t>
      </w:r>
      <w:r>
        <w:t xml:space="preserve"> Introduction. The legal status of stateless persons represents one of the most acute gaps in Ukrainian migration law. As a successor state to the Soviet Union, Ukraine inherited a combination of competing nationality laws, administrative gaps, and large-scale population displacement that left thousands of people without legal identity. According to official data of the State Migration Service (SMS), as of 30 April 2024, 5,394 stateless persons were registered as permanent residents of Ukraine and 964 as temporary residents. UNHCR, however, estimates the total number of stateless and persons of undetermined nationality at approximately 35,000, indicating the scale of those who remain entirely outside official registration. Summary of the main results of the study. The article examines Ukraine's legal framework for stateless persons against the benchmarks of the 1954 Convention Relating to the Status of Stateless Persons, the 1961 Convention on the Reduction of Statelessness, the European Convention on Nationality, and EU member state practice. Five systemic gaps are identified: a critically low practical recognition rate despite the operationalisation of the Statelessness Determination Procedure (SDP) in 2021; burdensome consular certificate requirements imposed through administrative practice rather than legislative mandate; absence of a dedicated statelessness identity documen</w:t>
      </w:r>
    </w:p>
    <w:p>
      <w:pPr/>
      <w:r>
        <w:rPr>
          <w:b/>
        </w:rPr>
        <w:t>POSSIBLE 2026:</w:t>
      </w:r>
      <w:r>
        <w:t xml:space="preserve"> A LEGISLATIVE REFORM PROPOSAL ON THE USE OF ARTIFICIAL INTELLIGENCE IN INTERNATIONAL COMMERCIAL TRANSACTIONS — https://doi.org/10.5281/zenodo.20807624</w:t>
      </w:r>
    </w:p>
    <w:p>
      <w:pPr/>
      <w:r>
        <w:rPr>
          <w:b/>
        </w:rPr>
        <w:t>Shared claim-specific concepts:</w:t>
      </w:r>
      <w:r>
        <w:t xml:space="preserve"> however, legislative, proposals; EU scope visible. This is a provisional connection, not an outcome finding.</w:t>
      </w:r>
    </w:p>
    <w:p>
      <w:pPr>
        <w:pStyle w:val="SourceNote"/>
      </w:pPr>
      <w:r>
        <w:rPr>
          <w:b/>
        </w:rPr>
        <w:t>Available abstract (not full text):</w:t>
      </w:r>
      <w:r>
        <w:t xml:space="preserve"> Artificial intelligence (AI) systems are increasingly used in international trade to automate the formation, performance, pricing, and risk assessment of cross-border contracts. In November 2025, the Senate of the Republic of Uzbekistan approved a law establishing a legal definition of AI and general rules for its use, while a parallel initiative created a tax-free zone for AI and data-centre projects in the Republic of Karakalpakstan. However, the country’s private-law framework – the Civil Code and the 2022 Law “On Electronic Commerce” – still lacks clear rules on AI-mediated transactions, the legal effect of autonomous digital agents, and the allocation of liability for AI-caused harm. This project proposes a targeted package of amendments: (1) introducing into the Civil Code the category of “transactions concluded with the use of artificial intelligence” and recognising autonomous digital expressions of will under defined conditions; (2) establishing proportionate, distributed liability among the developer, operator, and user of an AI system; and (3) amending the Law “On Electronic Commerce” to require transparency and the logging of AI-driven decisions. The proposals draw on international practice – the EU Artificial Intelligence Act, the UNCITRAL Model Law on Electronic Commerce, and OECD/WTO assessments of AI’s effect on trade – and are intended to reduce legal uncertain</w:t>
      </w:r>
    </w:p>
    <w:p>
      <w:pPr/>
      <w:r>
        <w:rPr>
          <w:b/>
        </w:rPr>
        <w:t>POSSIBLE 2026:</w:t>
      </w:r>
      <w:r>
        <w:t xml:space="preserve"> Germany's Path to a National Kidney Exchange Program: An Assessment of the 2024 Legislative Proposal — https://doi.org/10.1016/j.healthpol.2026.105578</w:t>
      </w:r>
    </w:p>
    <w:p>
      <w:pPr/>
      <w:r>
        <w:rPr>
          <w:b/>
        </w:rPr>
        <w:t>Shared claim-specific concepts:</w:t>
      </w:r>
      <w:r>
        <w:t xml:space="preserve"> however, legislative, expected, goal, full; EU scope visible. This is a provisional connection, not an outcome finding.</w:t>
      </w:r>
    </w:p>
    <w:p>
      <w:pPr>
        <w:pStyle w:val="SourceNote"/>
      </w:pPr>
      <w:r>
        <w:rPr>
          <w:b/>
        </w:rPr>
        <w:t>Available abstract (not full text):</w:t>
      </w:r>
      <w:r>
        <w:t xml:space="preserve"> • The German Federal Parliament plans to amend the Transplantation Act (1997). • The main goal of the reform is to establish a national kidney exchange program. • The draft law follows European best practices in many respects. • However, the law prohibits the participation of compatible donor–recipient pairs, contrary to international evidence. • Germany may join cross-border kidney exchange programs in the future. Kidney exchange programs (KEPs) facilitate organ exchanges among multiple donor–recipient pairs, enabling recipients to obtain immunologically well-matched kidneys through coordinated donor swapping. Despite the demonstrated benefits of such programs, Germany remains the only highly populated EU country in which kidney exchange is permitted only under very restrictive conditions. In July 2024, the German Federal Cabinet approved draft legislation to amend the 1997 Transplantation Act, with the establishment of a national kidney exchange program (KEP) as one of its primary objectives. The Federal Parliament is expected to deliberate on the draft and consider potential revisions in 2026. The proposal is expected to alleviate the shortage of donor organs by mandating full nationwide participation from all transplant centers and by allowing longer exchange cycles as well as chains initiated by non-directed donors. In this paper, we present several international case stud</w:t>
      </w:r>
    </w:p>
    <w:p>
      <w:pPr/>
      <w:r>
        <w:rPr>
          <w:b/>
        </w:rPr>
        <w:t>POSSIBLE 2025:</w:t>
      </w:r>
      <w:r>
        <w:t xml:space="preserve"> Legislative instruments protecting freedom of expression in Europe - an overview — https://doi.org/10.1007/s12027-025-00852-w</w:t>
      </w:r>
    </w:p>
    <w:p>
      <w:pPr/>
      <w:r>
        <w:rPr>
          <w:b/>
        </w:rPr>
        <w:t>Shared claim-specific concepts:</w:t>
      </w:r>
      <w:r>
        <w:t xml:space="preserve"> legislative, council, union; EU scope visible. This is a provisional connection, not an outcome finding.</w:t>
      </w:r>
    </w:p>
    <w:p>
      <w:pPr>
        <w:pStyle w:val="SourceNote"/>
      </w:pPr>
      <w:r>
        <w:rPr>
          <w:b/>
        </w:rPr>
        <w:t>Available abstract (not full text):</w:t>
      </w:r>
      <w:r>
        <w:t xml:space="preserve"> Abstract Freedom of expression is a foundational value shared across European nations, and this is reflected in the regulatory policy of both the European Union and of the Council of Europe. In response to the profound transformations and emerging challenges in public communication over the past decade, the European Union has adopted a comprehensive regulatory framework, which this article outlines in brief. Concurrently, the Council of Europe has contributed through the development of progressive soft law instruments. This article examines the underlying logic and structure of the evolving regulatory landscape, referencing key legal instruments, case law, and other relevant resources.</w:t>
      </w:r>
    </w:p>
    <w:p>
      <w:pPr/>
      <w:r>
        <w:rPr>
          <w:b/>
        </w:rPr>
        <w:t>POSSIBLE 2025:</w:t>
      </w:r>
      <w:r>
        <w:t xml:space="preserve"> Voices heard and unheard: Analizing legislative amendment proposals on underprivileged groups in Spain — https://doi.org/10.1093/pa/gsaf047</w:t>
      </w:r>
    </w:p>
    <w:p>
      <w:pPr/>
      <w:r>
        <w:rPr>
          <w:b/>
        </w:rPr>
        <w:t>Shared claim-specific concepts:</w:t>
      </w:r>
      <w:r>
        <w:t xml:space="preserve"> however, legislative, proposals; EU scope visible. This is a provisional connection, not an outcome finding.</w:t>
      </w:r>
    </w:p>
    <w:p>
      <w:pPr>
        <w:pStyle w:val="SourceNote"/>
      </w:pPr>
      <w:r>
        <w:rPr>
          <w:b/>
        </w:rPr>
        <w:t>Available abstract (not full text):</w:t>
      </w:r>
      <w:r>
        <w:t xml:space="preserve"> Abstract This paper explores the circumstances under which parliamentary groups reference underprivileged groups—specifically, women, immigrants and people with disabilities –in their legislative amendment proposals. Drawing on a comprehensive dataset covering all executive bills passed in Spain between 1996 and 2023, we find that the presence of interest groups in parliamentary hearings significantly increases the visibility of the underprivileged in the amending activity of political parties, thereby enhancing their representation. Similarly, a higher proportion of women Members of Parliament (MPs) in a parliamentary group is associated with more frequent amendments referencing women and people with disabilities, while there is some evidence, albeit less conclusive, of a similar effect for immigrants. Media coverage boosts attention to women and people with disabilities, but has no significant impact on references to immigrants. Surprisingly, partisan preferences have no influence on references to women and immigrants in amendment proposals; however, right-wing parties are more likely to reference people with disabilities. These findings contribute fresh insights into the dynamics of legislative behavior, representation, and the presence of interest groups in parliamentary processes.</w:t>
      </w:r>
    </w:p>
    <w:p>
      <w:pPr/>
      <w:r>
        <w:rPr>
          <w:b/>
        </w:rPr>
        <w:t>POSSIBLE 2025:</w:t>
      </w:r>
      <w:r>
        <w:t xml:space="preserve"> A consensus model in legislative decision‐making: The council of the European Union — https://doi.org/10.1002/epa2.70005</w:t>
      </w:r>
    </w:p>
    <w:p>
      <w:pPr/>
      <w:r>
        <w:rPr>
          <w:b/>
        </w:rPr>
        <w:t>Shared claim-specific concepts:</w:t>
      </w:r>
      <w:r>
        <w:t xml:space="preserve"> legislative, set, council, union; EU scope visible. This is a provisional connection, not an outcome finding.</w:t>
      </w:r>
    </w:p>
    <w:p>
      <w:pPr>
        <w:pStyle w:val="SourceNote"/>
      </w:pPr>
      <w:r>
        <w:rPr>
          <w:b/>
        </w:rPr>
        <w:t>Available abstract (not full text):</w:t>
      </w:r>
      <w:r>
        <w:t xml:space="preserve"> Abstract The culture of consensus influences legislative decision‐making within the Council of the European Union, often leading to broad coalitions in which even the preferences of isolated member states are considered. Nevertheless, despite its significance, this culture has been insufficiently studied through formal models predicting EU legislative outcomes. This paper presents the Consensus model, a mixture of the procedural and bargaining approaches, accounting for the culture of consensus. This iterative model starts from the Commission's ideal stance and persists until no member state challenges a policy position, which then becomes the adopted outcome. The European Parliament contributes to shaping the trajectory from the Commission's proposal to the final result. Using the DEU‐III data set, I assess the Consensus model's predictive ability, demonstrating its superior performance compared to two random outcome models. Notably, the Consensus model performs on par with the Nash bargaining model.</w:t>
      </w:r>
    </w:p>
    <w:p>
      <w:pPr/>
      <w:r>
        <w:rPr>
          <w:b/>
        </w:rPr>
        <w:t>POSSIBLE 2024:</w:t>
      </w:r>
      <w:r>
        <w:t xml:space="preserve"> DIGITALISED WORK OF WOMEN IN THE EUROPEAN UNION AND POLISH REGULATION AND LEGISLATIVE PROPOSALS — https://doi.org/10.31338/2544-3135.si.2024-99.4</w:t>
      </w:r>
    </w:p>
    <w:p>
      <w:pPr/>
      <w:r>
        <w:rPr>
          <w:b/>
        </w:rPr>
        <w:t>Shared claim-specific concepts:</w:t>
      </w:r>
      <w:r>
        <w:t xml:space="preserve"> however, legislative, proposals, union; EU scope visible. This is a provisional connection, not an outcome finding.</w:t>
      </w:r>
    </w:p>
    <w:p>
      <w:pPr>
        <w:pStyle w:val="SourceNote"/>
      </w:pPr>
      <w:r>
        <w:rPr>
          <w:b/>
        </w:rPr>
        <w:t>Available abstract (not full text):</w:t>
      </w:r>
      <w:r>
        <w:t xml:space="preserve"> The article aims to assess if women’s problems are specifically identified in labour legislation relating to digitalisation. Women appear in preparatory phases of legislative procedures (reports, motives), while usually they are not explicitly addressed in final drafts or acts. Digitalisation of work of women as such, referring to biological features of the gender itself is not perceived as a specific problem to be solved. Female workers are not treated as a vulnerable group which should benefit from additional guarantees in the process of digitalisation. It proves that in digitalised work, sex is not a distinctive feature: both sexes are able and skilled to work with digital devices. Criteria used to identify vulnerable groups refer to social situations rather than sex itself (e.g. education and training, caring responsibilities). However, women tend to constitute the majority of such groups. Therefore, respective ‘horizontal’ protective provisions and standards (e.g. working time, right to disconnect, work-life balance or non-discrimination) are particularly important for women.</w:t>
      </w:r>
    </w:p>
    <w:p>
      <w:pPr/>
      <w:r>
        <w:rPr>
          <w:b/>
        </w:rPr>
        <w:t>POSSIBLE 2024:</w:t>
      </w:r>
      <w:r>
        <w:t xml:space="preserve"> The Letta report: a set of proposals for revitalising the European economy — https://doi.org/10.53479/38193</w:t>
      </w:r>
    </w:p>
    <w:p>
      <w:pPr/>
      <w:r>
        <w:rPr>
          <w:b/>
        </w:rPr>
        <w:t>Shared claim-specific concepts:</w:t>
      </w:r>
      <w:r>
        <w:t xml:space="preserve"> however, legislative, proposals, number, set, union; EU scope visible. This is a provisional connection, not an outcome finding.</w:t>
      </w:r>
    </w:p>
    <w:p>
      <w:pPr>
        <w:pStyle w:val="SourceNote"/>
      </w:pPr>
      <w:r>
        <w:rPr>
          <w:b/>
        </w:rPr>
        <w:t>Available abstract (not full text):</w:t>
      </w:r>
      <w:r>
        <w:t xml:space="preserve"> Europe is facing a number of major challenges in the near future, including managing the climate transition, the effects of technological transformations and geopolitical changes. European and national authorities are aware that the tools currently in place are insufficient to address these challenges and that a determined reform drive is therefore needed. At the start of a new European institutional cycle, the set of proposals in the Letta report, aimed at completing the Single Market and adapting it to the new circumstances, constitute a major contribution to the European economic policy debate. The most important initiatives include the revitalisation of the capital markets union, the creation of a pan-European State aid scheme based on national contributions, the promulgation of a European code of commercial law as an alternative to the harmonisation of the 27 existing national systems, the incorporation into the Single Market of sectors that have so far been largely outside it (such as energy and telecommunications) or, in the legislative field, the prioritisation of the use of regulations, which are directly applicable in the Member States, over directives, which require transposition into the legal systems of each country. The report’s diagnosis is largely shared by the various national authorities, who also welcomed the main thrust of the proposals. However, it is not d</w:t>
      </w:r>
    </w:p>
    <w:p>
      <w:pPr>
        <w:pStyle w:val="Heading2"/>
      </w:pPr>
      <w:r>
        <w:t>752. Focused Futures from Finland</w:t>
      </w:r>
    </w:p>
    <w:p>
      <w:pPr>
        <w:pStyle w:val="SourceNote"/>
      </w:pPr>
      <w:r>
        <w:rPr>
          <w:b/>
        </w:rPr>
        <w:t>Original source (2018):</w:t>
      </w:r>
      <w:r>
        <w:t xml:space="preserve"> https://doi.org/10.1177/1946756718754847</w:t>
      </w:r>
    </w:p>
    <w:p>
      <w:pPr/>
      <w:r>
        <w:t>Original wording (abstract; indexed_source_text_not_full_document_verified): At the end of the article, we present four scenarios of the future of the FFRC jointly made by the staff.</w:t>
      </w:r>
    </w:p>
    <w:p>
      <w:pPr/>
      <w:r>
        <w:rPr>
          <w:b/>
        </w:rPr>
        <w:t>POSSIBLE 2022:</w:t>
      </w:r>
      <w:r>
        <w:t xml:space="preserve"> European Union Litigation — https://doi.org/10.1515/ercl-2022-2038</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the most relevant cases decided by the Court of Justice of the European Union concerning contract law. The present issue covers the period between the beginning of June 2021 and the end of December 2021. Out of a total of 329 judgments decided in this period, 55 had a contract law dimension.</w:t>
      </w:r>
    </w:p>
    <w:p>
      <w:pPr/>
      <w:r>
        <w:rPr>
          <w:b/>
        </w:rPr>
        <w:t>POSSIBLE 2022:</w:t>
      </w:r>
      <w:r>
        <w:t xml:space="preserve"> European Union Litigation — https://doi.org/10.1515/ercl-2022-2049</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the most relevant cases decided by the Court of Justice of the European Union concerning contract law. The present issue covers the period between the beginning of January 2022 and the end of June 2022. Out of a total of 270 judgments decided in this period, 52 had a contract law dimension.</w:t>
      </w:r>
    </w:p>
    <w:p>
      <w:pPr/>
      <w:r>
        <w:rPr>
          <w:b/>
        </w:rPr>
        <w:t>POSSIBLE 2022:</w:t>
      </w:r>
      <w:r>
        <w:t xml:space="preserve"> Slavonic and East European Review, 1922–2022 — https://doi.org/10.1353/see.2022.0000</w:t>
      </w:r>
    </w:p>
    <w:p>
      <w:pPr/>
      <w:r>
        <w:rPr>
          <w:b/>
        </w:rPr>
        <w:t>Shared claim-specific concepts:</w:t>
      </w:r>
      <w:r>
        <w:t xml:space="preserve"> end, article, staff; EU scope visible. This is a provisional connection, not an outcome finding.</w:t>
      </w:r>
    </w:p>
    <w:p>
      <w:pPr>
        <w:pStyle w:val="SourceNote"/>
      </w:pPr>
      <w:r>
        <w:rPr>
          <w:b/>
        </w:rPr>
        <w:t>Available abstract (not full text):</w:t>
      </w:r>
      <w:r>
        <w:t xml:space="preserve"> Slavonic and East European Review, 1922–2022 Simon Dixon (bio) This year marks the one-hundredth anniversary of this journal, launched in June 1922 as the Slavonic Review, renamed Slavonic (and East European) Review in 1928, and known since 1931, when the brackets were silently dropped, under its current title, commonly abbreviated to SEER. The centenary offers a natural opportunity to reflect on the journal's achievements and vicissitudes and to glance forward to challenges ahead.1 Except for the war years, 1941–44, when the numeration was maintained but SEER was published without British involvement in the United States, it has been edited in London at the School of Slavonic and East European Studies (SSEES). A constituent part of King's College from 1915 until 1932, when it became an independent Senate Institute, SSEES struck some outsiders as one of the more inward-looking institutions in the British higher education system before its merger with University College London (UCL) in 1999.2 However, both the School and its cosmopolitan staff developed in counterpoint with the turbulent history of the region they studied and with changes in academic life in the world beyond. The same is true of the Review. Conceived as 'the joint product of British and American [End Page 1] Slavonic scholars, and of representative Slavs in every field of intellectual effort',3 the journal relie</w:t>
      </w:r>
    </w:p>
    <w:p>
      <w:pPr/>
      <w:r>
        <w:rPr>
          <w:b/>
        </w:rPr>
        <w:t>POSSIBLE 2021:</w:t>
      </w:r>
      <w:r>
        <w:t xml:space="preserve"> European Union Litigation — https://doi.org/10.1515/ercl-2021-2028</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cases decided by the Court of Justice of the European Union concerning contract law. The present issue covers the period between the beginning of January 2021 and the end of May 2021.</w:t>
      </w:r>
    </w:p>
    <w:p>
      <w:pPr/>
      <w:r>
        <w:rPr>
          <w:b/>
        </w:rPr>
        <w:t>POSSIBLE 2021:</w:t>
      </w:r>
      <w:r>
        <w:t xml:space="preserve"> European Union Litigation — https://doi.org/10.1515/ercl-2021-0005/html</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This article provides an overview of cases decided by the Court of Justice of the European Union concerning contract law. The present issue covers the period between the beginning of July 2020 and the end of December 2020.</w:t>
      </w:r>
    </w:p>
    <w:p>
      <w:pPr/>
      <w:r>
        <w:rPr>
          <w:b/>
        </w:rPr>
        <w:t>POSSIBLE 2021:</w:t>
      </w:r>
      <w:r>
        <w:t xml:space="preserve"> The end of China’s romance with Central and Eastern Europe — https://doi.org/10.1177/2059436421994442</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The 2016 Mandopop hit ‘Prague square’ ushered in a new romance for Central and Eastern Europe (CEE) in China. Such infatuation has resonated not only in popular culture, but was mirrored in China’s newfound boldness on the international stage. Drawing on CEE media accounts, the article demonstrates that China’s romance with the CEE countries was never reciprocated. In fact, the CEE region might present a significant outlier in that media accounts of China have been consistently negative in the decade preceding the Covid-19 pandemic. In other words, the pandemic merely accelerated trends that were already set in motion prior to 2020. In this respect, CEE media accounts of both China and the Covid-19 pandemic reveal an interesting ‘localization of the other’. As such, China has been used to validate specific domestic positions of different political formations. Perceptions of China (what it is assumed to stands for) have been deployed domestically in the CEE region to justify particular visions of the state and its international identity.</w:t>
      </w:r>
    </w:p>
    <w:p>
      <w:pPr/>
      <w:r>
        <w:rPr>
          <w:b/>
        </w:rPr>
        <w:t>POSSIBLE 2021:</w:t>
      </w:r>
      <w:r>
        <w:t xml:space="preserve"> European Union Litigation : EU Case Law — https://doi.org/10.1515/ercl-2021-0005</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This article provides an overview of cases decided by the Court of Justice of the European Union concerning contract law. The present issue covers the period between the beginning of July 2020 and the end of December 2020.</w:t>
      </w:r>
    </w:p>
    <w:p>
      <w:pPr/>
      <w:r>
        <w:rPr>
          <w:b/>
        </w:rPr>
        <w:t>POSSIBLE 2020:</w:t>
      </w:r>
      <w:r>
        <w:t xml:space="preserve"> European Union Litigation — https://doi.org/10.1515/ercl-2020-0012</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cases decided by the Court of Justice of the European Union concerning contract law. The present issue covers the period between the beginning of July 2019 and the end of December 2019.</w:t>
      </w:r>
    </w:p>
    <w:p>
      <w:pPr/>
      <w:r>
        <w:rPr>
          <w:b/>
        </w:rPr>
        <w:t>POSSIBLE 2019:</w:t>
      </w:r>
      <w:r>
        <w:t xml:space="preserve"> European Union Litigation — https://doi.org/10.1515/ercl-2019-0020</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cases decided by the Court of Justice of the European Union concerning contract law. The present issue covers the period between the beginning of February and the end of June 2019.</w:t>
      </w:r>
    </w:p>
    <w:p>
      <w:pPr/>
      <w:r>
        <w:rPr>
          <w:b/>
        </w:rPr>
        <w:t>POSSIBLE 2019:</w:t>
      </w:r>
      <w:r>
        <w:t xml:space="preserve"> European Union Litigation — https://doi.org/10.1515/ercl-2019-0005</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cases decided by the Court of Justice of the European Union concerning contract law. The present issue covers the period between mid-July 2018 and the end of January 2019.</w:t>
      </w:r>
    </w:p>
    <w:p>
      <w:pPr/>
      <w:r>
        <w:rPr>
          <w:b/>
        </w:rPr>
        <w:t>POSSIBLE 2019:</w:t>
      </w:r>
      <w:r>
        <w:t xml:space="preserve"> THE TREATIES OF POŽAREVAC AND THEIR IMPACT ON EUROPE — https://doi.org/10.19090/i.2019.30.87-96</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This article focuses on the three treaties which were signed in 1718 in Požarevac between Vienna, Constantinople and Venice. The reason for this is the large and long impact which can be observed until the present day, not only regarding these three powers or the Balkans, but the whole Europe. Although the political, juridical, economic and social consequences of these treaties ended mostly at the end of the First World War, the communication infrastructure, the knowledge culture and the mental effects have kept their actuality since the 18th century until today.</w:t>
      </w:r>
    </w:p>
    <w:p>
      <w:pPr>
        <w:pStyle w:val="Heading2"/>
      </w:pPr>
      <w:r>
        <w:t>753. Forecasting turbulence in the Asian and European stock market using regime-switching models</w:t>
      </w:r>
    </w:p>
    <w:p>
      <w:pPr>
        <w:pStyle w:val="SourceNote"/>
      </w:pPr>
      <w:r>
        <w:rPr>
          <w:b/>
        </w:rPr>
        <w:t>Original source (2018):</w:t>
      </w:r>
      <w:r>
        <w:t xml:space="preserve"> https://doi.org/10.3934/qfe.2018.2.388</w:t>
      </w:r>
    </w:p>
    <w:p>
      <w:pPr/>
      <w:r>
        <w:t>Original wording (abstract; indexed_source_text_not_full_document_verified): An early warning system to timely forecast turbulences in the Asian and European stock market is proposed. Subsequently, a forecasting model using logistic regression and economic input factors is selected.</w:t>
      </w:r>
    </w:p>
    <w:p>
      <w:pPr/>
      <w:r>
        <w:rPr>
          <w:b/>
        </w:rPr>
        <w:t>POSSIBLE 2026:</w:t>
      </w:r>
      <w:r>
        <w:t xml:space="preserve"> Predicting Healthcare System Stress in the European Union: An Early Warning System Using Panel Data — https://openalex.org/W7221839855</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The COVID-19 pandemic showed how quickly infectious diseases can spread through international travel and place healthcare systems under severe pressure, increasing the need for coordinated surveillance and preparedness in the European Union. This thesis develops a machine learning early warning system (EWS) for predicting healthcare capacity stress across 19 EU countries using weekly panel data from 2020 to 2023. Five models are evaluated using expanding-window out-of-sample cross validation, with XGBoost performing best (AUC = 0.990 and recall = 0.968), closely followed by Random Forest. Predicted probabilities are converted into a three-tier warning system calibrated across EU regions and countries. A decomposition analysis shows that epidemiological signals alone retain 96.7% of the full model’s predictive performance, demonstrating meaningful early warning value beyond past ICU occupancy alone. The findings suggest that publicly available surveillance data can support reliable EU-level healthcare monitoring and preparedness.</w:t>
      </w:r>
    </w:p>
    <w:p>
      <w:pPr/>
      <w:r>
        <w:rPr>
          <w:b/>
        </w:rPr>
        <w:t>POSSIBLE 2026:</w:t>
      </w:r>
      <w:r>
        <w:t xml:space="preserve"> Early warning early action systems for invasive alien species affecting forests in Europe and Central Asia — https://openalex.org/W7164620270</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Early Warning Early Action (EWEA) is a system and set of protocols developed and implemented by the Food and Agriculture Organization (FAO) as part of its disaster risk reduction and resilience work. EWEA provides proactive approaches to predictable shocks by investing in monitoring and disaster management for different humanitarian and ecological crises around the world. As the rate of spread of invasive alien species (IAS) increases and disrupts the vital ecological functions in forests around the world, vigorous phytosanitary protocols are needed to prevent and mitigate their dispersal and adverse impacts. The anticipatory approach of EWEA systems is well-suited for mitigating the detrimental effects of IAS, as preventive measures have proven to be the most effective. In this review of EWEA for forest IAS, papers have been categorized into six themes: a review of EWEA systems, sentinel tree species in plantations and gardens, trapping and detection methods and their application, pathways of IAS introduction, citizen science for early detection, and modeling of EWEA systems. Additionally, a survey was conducted among researchers and forest managers to determine their perspectives in relation to EWEA systems. A total of 96 respondents (58 from Europe and 38 from Central Asia) provided information that complements the review findings. The results indicate that EWEA systems are </w:t>
      </w:r>
    </w:p>
    <w:p>
      <w:pPr/>
      <w:r>
        <w:rPr>
          <w:b/>
        </w:rPr>
        <w:t>POSSIBLE 2026:</w:t>
      </w:r>
      <w:r>
        <w:t xml:space="preserve"> Sentiment as Early Warning: A Systemic Risk Index for the Philippines — https://doi.org/10.3390/jrfm19050302</w:t>
      </w:r>
    </w:p>
    <w:p>
      <w:pPr/>
      <w:r>
        <w:rPr>
          <w:b/>
        </w:rPr>
        <w:t>Shared claim-specific concepts:</w:t>
      </w:r>
      <w:r>
        <w:t xml:space="preserve"> early, warning, system; EU scope not established. This is a provisional connection, not an outcome finding.</w:t>
      </w:r>
    </w:p>
    <w:p>
      <w:pPr>
        <w:pStyle w:val="SourceNote"/>
      </w:pPr>
      <w:r>
        <w:rPr>
          <w:b/>
        </w:rPr>
        <w:t>Available abstract (not full text):</w:t>
      </w:r>
      <w:r>
        <w:t xml:space="preserve"> Systemic risk remains a key concern for financial authorities, especially in emerging economies where traditional, low-frequency balance sheet indicators often lag rapidly changing market conditions. This study develops a high-frequency Systemic Risk Sentiment Index (SRSI) for the Philippines using news headlines from 2011 to 2025 and an ensemble of domain-specific financial sentiment models. Results show that negative sentiment is mainly driven by external-sector developments, market volatility, and equity-related news, with surges aligning with global and domestic stress episodes. Event study analysis demonstrates that the SRSI captures sharp deteriorations in sentiment several weeks before major financial stress events, while Granger causality results indicate modest predictive power for domestic equity market movements. Overall, the SRSI is best viewed as a responsive, real-time barometer that complements conventional systemic risk measures. This study represents one of the initial efforts to construct a sentiment-based systemic risk indicator tailored to the Philippine financial system and offers a scalable, low-cost framework that other central banks may adopt to enhance real-time macro-financial surveillance.</w:t>
      </w:r>
    </w:p>
    <w:p>
      <w:pPr/>
      <w:r>
        <w:rPr>
          <w:b/>
        </w:rPr>
        <w:t>POSSIBLE 2026:</w:t>
      </w:r>
      <w:r>
        <w:t xml:space="preserve"> An eXplainable early warning system to predict systemic financial crises — https://doi.org/10.1016/j.ribaf.2026.103591</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This paper develops an interpretable Early Warning System (EWS) to detect early signals of systemic financial crises one year in advance, combining deep learning techniques with an eXplainable Artificial Intelligence (XAI) framework. Using data from 18 European countries over 2001–2020, we compare multiple Machine Learning models and identify the Long Short-Term Memory (LSTM) neural network as the most effective architecture for capturing cross-country and temporal dependencies. The model is designed to capture temporal dependencies in macro-financial indicators, while interpretability is enhanced through Shapley value analysis, which allows us to identify the variables contributing most to the predicted crisis signals. The results suggest that the inclusion of global market variables improves the model’s forecasting performance and contributes to reducing false alarms. In particular, gold prices, sovereign bond spreads, and treasury rates emerge as the most influential early-warning indicators. These findings provide useful insights for policymakers and financial intermediaries by linking predicted crisis signals to economically interpretable drivers of systemic vulnerability, thereby supporting macroprudential monitoring and preventive policy assessment.</w:t>
      </w:r>
    </w:p>
    <w:p>
      <w:pPr/>
      <w:r>
        <w:rPr>
          <w:b/>
        </w:rPr>
        <w:t>POSSIBLE 2026:</w:t>
      </w:r>
      <w:r>
        <w:t xml:space="preserve"> A review of hydrological monitoring and early warning technologies and equipment for geological hazards — https://doi.org/10.1007/s12665-026-13106-w</w:t>
      </w:r>
    </w:p>
    <w:p>
      <w:pPr/>
      <w:r>
        <w:rPr>
          <w:b/>
        </w:rPr>
        <w:t>Shared claim-specific concepts:</w:t>
      </w:r>
      <w:r>
        <w:t xml:space="preserve"> early, warning, system, factors; EU scope not established. This is a provisional connection, not an outcome finding.</w:t>
      </w:r>
    </w:p>
    <w:p>
      <w:pPr>
        <w:pStyle w:val="SourceNote"/>
      </w:pPr>
      <w:r>
        <w:rPr>
          <w:b/>
        </w:rPr>
        <w:t>Available abstract (not full text):</w:t>
      </w:r>
      <w:r>
        <w:t xml:space="preserve"> Geological hazards are frequent and highly destructive, with hydrological factors acting as the primary triggers. Constructing an efficient and precise hydrological monitoring and early warning system is crucial for active hazard prevention and control. Breaking away from the traditional review model based on technology types, this paper innovatively takes the "equipment development timeline" as the main thread, dividing the evolution of monitoring and early warning technologies into four core stages for in-depth analysis. The germination stage relied on manual inspections and empirical thresholds, suffering from monitoring blind spots and a lack of mechanistic understanding. The development stage achieved electronic automated data collection but was limited by point-based observation and "black box" models. The integration stage relied on "Space-Air-Ground" integration to achieve three-dimensional monitoring, yet faced conflicts between multi-source data fusion and spatiotemporal resolution. The current intelligent stage is evolving towards smart systems driven by the Internet of Things (IoT) and artificial intelligence (AI), but still faces challenges in hardware maintenance, data quality, and model interpretability. Based on the above diachronic analysis, this paper reveals the internal logic of technological iteration and innovatively proposes a next-generation technologica</w:t>
      </w:r>
    </w:p>
    <w:p>
      <w:pPr/>
      <w:r>
        <w:rPr>
          <w:b/>
        </w:rPr>
        <w:t>POSSIBLE 2026:</w:t>
      </w:r>
      <w:r>
        <w:t xml:space="preserve"> Early warning early action systems for invasive alien species affecting forests in Europe and Central Asia: an overview — https://doi.org/10.3389/ffgc.2026.1795394</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Early Warning Early Action (EWEA) is a system and set of protocols developed and implemented by the Food and Agriculture Organization (FAO) as part of its disaster risk reduction and resilience work. EWEA provides proactive approaches to predictable shocks by investing in monitoring and disaster management for different humanitarian and ecological crises around the world. As the rate of spread of invasive alien species (IAS) increases and disrupts the vital ecological functions in forests around the world, vigorous phytosanitary protocols are needed to prevent and mitigate their dispersal and adverse impacts. The anticipatory approach of EWEA systems is well-suited for mitigating the detrimental effects of IAS, as preventive measures have proven to be the most effective. In this review of EWEA for forest IAS, papers have been categorized into six themes: a review of EWEA systems, sentinel tree species in plantations and gardens, trapping and detection methods and their application, pathways of IAS introduction, citizen science for early detection, and modeling of EWEA systems. Additionally, a survey was conducted among researchers and forest managers to determine their perspectives in relation to EWEA systems. A total of 96 respondents (58 from Europe and 38 from Central Asia) provided information that complements the review findings. The results indicate that EWEA systems are </w:t>
      </w:r>
    </w:p>
    <w:p>
      <w:pPr/>
      <w:r>
        <w:rPr>
          <w:b/>
        </w:rPr>
        <w:t>POSSIBLE 2026:</w:t>
      </w:r>
      <w:r>
        <w:t xml:space="preserve"> National and European Cyber Fragility Index (NCFI / ECFI): From National Predictive Surveillance to a European Early Warning System — https://doi.org/10.5281/zenodo.20665602</w:t>
      </w:r>
    </w:p>
    <w:p>
      <w:pPr/>
      <w:r>
        <w:rPr>
          <w:b/>
        </w:rPr>
        <w:t>Shared claim-specific concepts:</w:t>
      </w:r>
      <w:r>
        <w:t xml:space="preserve"> early, warning, system, proposed; EU scope visible. This is a provisional connection, not an outcome finding.</w:t>
      </w:r>
    </w:p>
    <w:p>
      <w:pPr>
        <w:pStyle w:val="SourceNote"/>
      </w:pPr>
      <w:r>
        <w:rPr>
          <w:b/>
        </w:rPr>
        <w:t>Available abstract (not full text):</w:t>
      </w:r>
      <w:r>
        <w:t xml:space="preserve"> The Cyber Fragility Index (CFI), introduced by the authors as a synthetic indicator for predictive governance at the organisational level, can be extended to two higher scales. At the level of a Member State, National Cyber Authorities (NCAs) could aggregate the individual CFIs of NIS2 entities into a National Cyber Fragility Index (NCFI): a predictive surveillance instrument for the national cyberspace, capable of detecting sectors converging towards instability before incidents occur. At the European level, ENISA could aggregate the NCFIs of Member States into a European Cyber Fragility Index (ECFI): the first synthetic indicator of the Union's cyber fragility, comparable across countries and over time. This article introduces the three-tier architecture CFI → NCFI → ECFI, discusses the fundamental distinction between CFI-Local and CFI-National, and proposes a structural analogy with meteorological and civil protection alert systems. The proposed system is not a compliance tool: it is a strategic early warning system — the cyber equivalent of seismic and hydrogeological monitoring networks.</w:t>
      </w:r>
    </w:p>
    <w:p>
      <w:pPr/>
      <w:r>
        <w:rPr>
          <w:b/>
        </w:rPr>
        <w:t>POSSIBLE 2026:</w:t>
      </w:r>
      <w:r>
        <w:t xml:space="preserve"> Mapping the multi-hazard early warning gap: AI-based susceptibility analysis reveals hotspots where Europe needs integrated warning systems — https://doi.org/10.5194/egusphere-egu26-9898</w:t>
      </w:r>
    </w:p>
    <w:p>
      <w:pPr/>
      <w:r>
        <w:rPr>
          <w:b/>
        </w:rPr>
        <w:t>Shared claim-specific concepts:</w:t>
      </w:r>
      <w:r>
        <w:t xml:space="preserve"> early, warning; EU scope visible. This is a provisional connection, not an outcome finding.</w:t>
      </w:r>
    </w:p>
    <w:p>
      <w:pPr>
        <w:pStyle w:val="SourceNote"/>
      </w:pPr>
      <w:r>
        <w:rPr>
          <w:b/>
        </w:rPr>
        <w:t>Available abstract (not full text):</w:t>
      </w:r>
      <w:r>
        <w:t xml:space="preserve"> Across Europe, multiple natural hazards increasingly converge as climate change intensifies the frequency and severity natural hazards, yet early warning systems (EWS) remain organised around single hazards. This institutional and technical fragmentation leaves exposed populations without integrated warnings for compound threats that define contemporary disaster risk. Identifying where multiple hazards converge with high societal exposure is essential for prioritising investments in integrated multi-hazard early warning systems (MHEWS). Here, we present an AI-driven approach combining deep learning-based susceptibility mapping with comprehensive exposure analysis to reveal priority regions where Europe's early warning infrastructure falls short. We address this research gap by adapting a convolutional neural network architecture to European susceptibility mapping of a range of hazards including flood, wildfire, landslide, tsunami, drought, heatwave, extreme wind, volcanic eruption and earthquake. We introduce spatial partitioning to prevent data leakage, generate probabilistic susceptibility outputs, and employ Shapley additive explanations values to interpret model drivers. Our analysis reveals that a quarter of Europeans live in regions susceptible to three or more hazards, with critical exposure hotspots concentrated in coastal and Southern Europe and major river basins wher</w:t>
      </w:r>
    </w:p>
    <w:p>
      <w:pPr/>
      <w:r>
        <w:rPr>
          <w:b/>
        </w:rPr>
        <w:t>POSSIBLE 2026:</w:t>
      </w:r>
      <w:r>
        <w:t xml:space="preserve"> Early warning systems for chemical risks in Europe: methodological components for signal detection, prioritization, uncertainty management and follow-up — https://doi.org/10.1186/s12302-026-01427-3</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Chemical pollution can affect ecosystems and human health, highlighting the need for approaches that identify, evaluate, and prioritize emerging chemical risks before they become established public-health issues requiring regulatory actions. This review and perspective article examines methodological components required for Early Warning Systems (EWSs) for chemical risks, with particular attention to the European policy context. It examines methodological components for chemical EWSs rather than proposing a fully implemented system. It considers how state-of-the-art and emerging methods can support signal generation, signal strengthening, prioritization, uncertainty assessment, communication, and follow-up. The reviewed components include matrices and sampling strategies; chemical monitoring, suspect screening, and non-target screening; effect-based methods, New Approach Methodologies, and effect-directed analysis; exposure and hazard modelling; QSAR, read-across, AI-supported and data-mining tools; expert evaluation; and governance processes that link scientific signals to proportionate follow-up. The conceptual workflow is used as an example of how these components may be organized into a signal-handling process, while EU-level developments provide the broader policy and governance context. The actionable value of a chemical EWS does not depend on any single method, but on st</w:t>
      </w:r>
    </w:p>
    <w:p>
      <w:pPr/>
      <w:r>
        <w:rPr>
          <w:b/>
        </w:rPr>
        <w:t>POSSIBLE 2026:</w:t>
      </w:r>
      <w:r>
        <w:t xml:space="preserve"> Early warning systems for chemical risks in Europe: methodological components for signal detection, prioritization, uncertainty management and follow-up — https://doi.org/10.60810/openumwelt-8751</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Chemical pollution can affect ecosystems and human health, highlighting the need for approaches that identify, evaluate, and prioritize emerging chemical risks before they become established public-health issues requiring regulatory actions. This review and perspective article examines methodological components required for Early Warning Systems (EWSs) for chemical risks, with particular attention to the European policy context. It examines methodological components for chemical EWSs rather than proposing a fully implemented system. It considers how state-of-the-art and emerging methods can support signal generation, signal strengthening, prioritization, uncertainty assessment, communication, and follow-up. The reviewed components include matrices and sampling strategies; chemical monitoring, suspect screening, and non-target screening; effect-based methods, New Approach Methodologies, and effect-directed analysis; exposure and hazard modelling; QSAR, read-across, AI-supported and data-mining tools; expert evaluation; and governance processes that link scientific signals to proportionate follow-up. The conceptual workflow is used as an example of how these components may be organized into a signal-handling process, while EU-level developments provide the broader policy and governance context. The actionable value of a chemical EWS does not depend on any single method, but on st</w:t>
      </w:r>
    </w:p>
    <w:p>
      <w:pPr/>
      <w:r>
        <w:rPr>
          <w:b/>
        </w:rPr>
        <w:t>POSSIBLE 2025:</w:t>
      </w:r>
      <w:r>
        <w:t xml:space="preserve"> Shariah-Integrated Early Warning Framework for Financial Distress in Indonesian Islamic Banks — https://doi.org/10.37641/jiakes.v13i4.3868</w:t>
      </w:r>
    </w:p>
    <w:p>
      <w:pPr/>
      <w:r>
        <w:rPr>
          <w:b/>
        </w:rPr>
        <w:t>Shared claim-specific concepts:</w:t>
      </w:r>
      <w:r>
        <w:t xml:space="preserve"> early, warning, system, proposed, factors; EU scope not established. This is a provisional connection, not an outcome finding.</w:t>
      </w:r>
    </w:p>
    <w:p>
      <w:pPr>
        <w:pStyle w:val="SourceNote"/>
      </w:pPr>
      <w:r>
        <w:rPr>
          <w:b/>
        </w:rPr>
        <w:t>Available abstract (not full text):</w:t>
      </w:r>
      <w:r>
        <w:t xml:space="preserve"> Indonesia’s Islamic banking sector has grown rapidly, driven by Shariah-compliant operations, but faces vulnerabilities from complex governance and regulatory demands. Ensuring financial stability requires effective predictive tools tailored to these unique operational and regulatory conditions. This study aims to develop a structural Early Warning System (EWS) to predict financial distress in Islamic banks, integrating macroeconomic indicators, bank-specific performance variables, and a Shariah Compliance Index, with Islamic corporate governance and risk management as mediators. Data from 14 Islamic commercial banks over 2015–2024 were analyzed using Partial Least Squares Structural Equation Modeling (PLS-SEM) via SmartPLS 4. The results show that internal bank factors and Shariah compliance significantly strengthen governance and risk management, which in turn reduces financial distress, while macroeconomic variables have no direct effect. The findings highlight the central role of internal governance and compliance in resilience. The proposed framework provides a unified, Shariah-aligned predictive system, enabling regulators, Shariah Supervisory Boards, and bank executives to implement evidence-based strategies. This study also lays the groundwork for a Shariah-based Financial Distress Index, enhancing the sector’s ability to manage operational and regulatory complexities e</w:t>
      </w:r>
    </w:p>
    <w:p>
      <w:pPr/>
      <w:r>
        <w:rPr>
          <w:b/>
        </w:rPr>
        <w:t>POSSIBLE 2025:</w:t>
      </w:r>
      <w:r>
        <w:t xml:space="preserve"> Early warning of regime switching in a complex financial system from a spillover network dynamic perspective — https://doi.org/10.1016/j.isci.2025.111924</w:t>
      </w:r>
    </w:p>
    <w:p>
      <w:pPr/>
      <w:r>
        <w:rPr>
          <w:b/>
        </w:rPr>
        <w:t>Shared claim-specific concepts:</w:t>
      </w:r>
      <w:r>
        <w:t xml:space="preserve"> early, warning, system, stock, selected; EU scope not established. This is a provisional connection, not an outcome finding.</w:t>
      </w:r>
    </w:p>
    <w:p>
      <w:pPr>
        <w:pStyle w:val="SourceNote"/>
      </w:pPr>
      <w:r>
        <w:rPr>
          <w:b/>
        </w:rPr>
        <w:t>Available abstract (not full text):</w:t>
      </w:r>
      <w:r>
        <w:t xml:space="preserve"> Early warning of regime switching in a complex financial system is a critical and challenging issue in risk management. Previous research has examined regime switching through analyzing the fluctuation features in a single point in time series; however, it has rarely examined the dynamic spillovers across multivariable time series. This paper develops an early warning model of regime switching that incorporates a spillover network model and a machine learning model. Typical energy prices and stock market indices are selected as the sample data. The key spillover networks can be detected according to the distribution of the network indicators. The early warning signals can be captured by six typical machine learning models, and the random forest model has better performance. The robustness of the model is also discussed. Our study enriches regime switching research and provides important early warning signals for policymakers and market investors.</w:t>
      </w:r>
    </w:p>
    <w:p>
      <w:pPr>
        <w:pStyle w:val="Heading2"/>
      </w:pPr>
      <w:r>
        <w:t>754. Foresight in Public Administration: Methods and Perspectives of Implementation in Ukraine</w:t>
      </w:r>
    </w:p>
    <w:p>
      <w:pPr>
        <w:pStyle w:val="SourceNote"/>
      </w:pPr>
      <w:r>
        <w:rPr>
          <w:b/>
        </w:rPr>
        <w:t>Original source (2018):</w:t>
      </w:r>
      <w:r>
        <w:t xml:space="preserve"> https://doi.org/10.15421/151847</w:t>
      </w:r>
    </w:p>
    <w:p>
      <w:pPr/>
      <w:r>
        <w:t>Original wording (abstract; indexed_source_text_not_full_document_verified): Examples of practical application of foresight methodology and individual technologies of social prediction are given.The author draws attention to the fact that in the field of public administration decisions must be made on the basis of knowledge of long-term trends and opportunities of technology and society. If they are not included in the timetable in time, then all long-term projects may be doomed to failure.Particular attention is needed to new factors and innovations, in conditions when the state is working on changing the ways of development of the country.</w:t>
      </w:r>
    </w:p>
    <w:p>
      <w:pPr/>
      <w:r>
        <w:rPr>
          <w:b/>
        </w:rPr>
        <w:t>POSSIBLE 2026:</w:t>
      </w:r>
      <w:r>
        <w:t xml:space="preserve"> Operational Difference: A Practical Guide to the Methodology — https://doi.org/10.5281/zenodo.22108155</w:t>
      </w:r>
    </w:p>
    <w:p>
      <w:pPr/>
      <w:r>
        <w:rPr>
          <w:b/>
        </w:rPr>
        <w:t>Shared claim-specific concepts:</w:t>
      </w:r>
      <w:r>
        <w:t xml:space="preserve"> examples, practical, methodology, individual, must; EU scope not established. This is a provisional connection, not an outcome finding.</w:t>
      </w:r>
    </w:p>
    <w:p>
      <w:pPr>
        <w:pStyle w:val="SourceNote"/>
      </w:pPr>
      <w:r>
        <w:rPr>
          <w:b/>
        </w:rPr>
        <w:t>Available abstract (not full text):</w:t>
      </w:r>
      <w:r>
        <w:t xml:space="preserve"> Operational Difference: A Practical Guide to the Methodology is a concise teaching companion to the formal mathematical framework developed in Needham (2026), Operational Difference: Quotient Refinement, Structured Residuals, and Holonomic Retention: A Mathematical Theory of Consequence, Reconfiguration, and Achieved Closure (Zenodo DOI: 10.5281/zenodo.21629920). The guide presents Operational Difference as a practical methodology for determining when a distinction must be retained in a scientific representation and when it may safely be discarded. Its central criterion is simple: if a representation identifies two cases that a declared outcome still distinguishes, the representation is too coarse. Mathematically, operational difference appears as an obstruction to factorisation. The methodology proceeds by declaring a domain, operative outcome and observational resolution; identifying the distinctions compressed by a proposed representation; testing whether any discarded distinction remains consequential; interrogating residuals for reproducible structure against matched controls; distinguishing detection, association, recovery, stability and identifiability as separate evidential levels; and, where path dependence is relevant, determining whether retained history or invariants carry additional consequence. The guide also introduces withdrawal and release of operational distin</w:t>
      </w:r>
    </w:p>
    <w:p>
      <w:pPr/>
      <w:r>
        <w:rPr>
          <w:b/>
        </w:rPr>
        <w:t>POSSIBLE 2026:</w:t>
      </w:r>
      <w:r>
        <w:t xml:space="preserve"> Methodological guidelines for practical works in the "System software" academic discipline — https://openalex.org/W7199565614</w:t>
      </w:r>
    </w:p>
    <w:p>
      <w:pPr/>
      <w:r>
        <w:rPr>
          <w:b/>
        </w:rPr>
        <w:t>Shared claim-specific concepts:</w:t>
      </w:r>
      <w:r>
        <w:t xml:space="preserve"> examples, practical, individual, given, attention, must; EU scope not established. This is a provisional connection, not an outcome finding.</w:t>
      </w:r>
    </w:p>
    <w:p>
      <w:pPr>
        <w:pStyle w:val="SourceNote"/>
      </w:pPr>
      <w:r>
        <w:rPr>
          <w:b/>
        </w:rPr>
        <w:t>Available abstract (not full text):</w:t>
      </w:r>
      <w:r>
        <w:t xml:space="preserve"> These methodological guidelines cover basic theoretical concepts regarding system software development for the Windows operating system (OS). Each topic is illustrated with source code examples. The C++ programming language and the Microsoft Visual Studio development environment were chosen as the primary tools for this course. (The code examples for topics 1 –13 were developed and tested using Microsoft Visual Studio 2019 version 16.9 on Windows 1 0). The text covers key mechanisms for process management, GUI creation, synchronization, inter-process communication, and operations with the file system and registry. Significant attention is also given to program optimization. The mechanisms discussed in these topics allow students to acquire practical skills in Windows system programming and serve to reinforce the material taught in the "System Software" course. Review questions are provided after each topic to consolidate theoretical knowledge. A general list of recommended reading is also included. Additionally, the Windows API Index (https://learn.microsoft.com/enus/windows/win32/api/) will be an essential resource for studying the material and developing programs. These topics form the basis of the practical classes for the "System Software" course. A set of individual practical tasks has been designed for each topic to ensure mastery of the material. Reports must be formatte</w:t>
      </w:r>
    </w:p>
    <w:p>
      <w:pPr/>
      <w:r>
        <w:rPr>
          <w:b/>
        </w:rPr>
        <w:t>POSSIBLE 2026:</w:t>
      </w:r>
      <w:r>
        <w:t xml:space="preserve"> Methodology for the formation and practical tools of educational and methodological complexes for training personnel for enterprises of the petrochemical complex — https://doi.org/10.47813/2782-5280-2026-5-1-5039-5046</w:t>
      </w:r>
    </w:p>
    <w:p>
      <w:pPr/>
      <w:r>
        <w:rPr>
          <w:b/>
        </w:rPr>
        <w:t>Shared claim-specific concepts:</w:t>
      </w:r>
      <w:r>
        <w:t xml:space="preserve"> examples, practical, methodology, individual, attention; EU scope not established. This is a provisional connection, not an outcome finding.</w:t>
      </w:r>
    </w:p>
    <w:p>
      <w:pPr>
        <w:pStyle w:val="SourceNote"/>
      </w:pPr>
      <w:r>
        <w:rPr>
          <w:b/>
        </w:rPr>
        <w:t>Available abstract (not full text):</w:t>
      </w:r>
      <w:r>
        <w:t xml:space="preserve"> The article is devoted to a comprehensive analysis of the design process of educational and methodological complexes (EMC) for personnel employed at hazardous petrochemical production facilities. The paper examines the psychological and pedagogical features of adult education for those working under high-risk conditions and their influence on the selection of forms and methods of educational work. Based on a synthesis of theoretical principles of andragogy and an extensive bank of practical developments, a classification and detailed characterization of interactive teaching methods are presented: frontal, individual, pair, and group work. Special attention is paid to the case study method as a tool for forming professional thinking and decision-making skills in emergency situations. A structured approach to the development of EMCs is proposed, including a template for a scenario plan, ensuring the manufacturability and reproducibility of the educational process. The material is illustrated with specific examples of tasks adapted to real technological processes and production situations.</w:t>
      </w:r>
    </w:p>
    <w:p>
      <w:pPr/>
      <w:r>
        <w:rPr>
          <w:b/>
        </w:rPr>
        <w:t>POSSIBLE 2026:</w:t>
      </w:r>
      <w:r>
        <w:t xml:space="preserve"> Rethinking Practical Methodologies — https://doi.org/10.31265/hd16c224</w:t>
      </w:r>
    </w:p>
    <w:p>
      <w:pPr/>
      <w:r>
        <w:rPr>
          <w:b/>
        </w:rPr>
        <w:t>Shared claim-specific concepts:</w:t>
      </w:r>
      <w:r>
        <w:t xml:space="preserve"> practical, application, technologies, given, attention; EU scope not established. This is a provisional connection, not an outcome finding.</w:t>
      </w:r>
    </w:p>
    <w:p>
      <w:pPr>
        <w:pStyle w:val="SourceNote"/>
      </w:pPr>
      <w:r>
        <w:rPr>
          <w:b/>
        </w:rPr>
        <w:t>Available abstract (not full text):</w:t>
      </w:r>
      <w:r>
        <w:t xml:space="preserve"> The implementation of Botswana’s Inclusive Education Policy has encountered numerous inefficiencies and limitations. One of the limitations is the accessibility of vocational institutions to learners with diverse disabilities. In 2012, following the introduction of the Inclusive Education Policy of 2011, the Department of Technical and Vocational Education designated certain brigades (community vocational training centers) and technical colleges to admit learners with different types of disabilities. However, of the 39 vocational institutions, only two enrolled learners with disabilities. While this gesture was significant, existing scholarship in Botswana has primarily focused on policy implementation challenges, with limited attention given to the role of effective methodological strategies in bridging the gap between policy and practice. This study explored practical Afrocentric methodologies that can close the gaps between policy and practice in technical and vocational education. The paper is a secondary analysis of the empirical findings from a study—A Capabilities Approach to an African Inclusive Education in Technical Vocational Education Training in Botswana (2020), which was conducted in two vocational institutions that admitted students with mild intellectual disabilities and hearing impairments. Nineteen one-on-one interviews were conducted from the technical colleg</w:t>
      </w:r>
    </w:p>
    <w:p>
      <w:pPr/>
      <w:r>
        <w:rPr>
          <w:b/>
        </w:rPr>
        <w:t>POSSIBLE 2025:</w:t>
      </w:r>
      <w:r>
        <w:t xml:space="preserve"> Practical application and examples of using the developed approximation methods — https://doi.org/10.1016/b978-0-443-29141-8.00003-2</w:t>
      </w:r>
    </w:p>
    <w:p>
      <w:pPr/>
      <w:r>
        <w:rPr>
          <w:b/>
        </w:rPr>
        <w:t>Shared claim-specific concepts:</w:t>
      </w:r>
      <w:r>
        <w:t xml:space="preserve"> examples, practical, application;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Historical Application of Dovetail Corner Joints with Practical Example — https://doi.org/10.5552/drvind.2025.0231</w:t>
      </w:r>
    </w:p>
    <w:p>
      <w:pPr/>
      <w:r>
        <w:rPr>
          <w:b/>
        </w:rPr>
        <w:t>Shared claim-specific concepts:</w:t>
      </w:r>
      <w:r>
        <w:t xml:space="preserve"> examples, practical, application, attention, made, knowledge; EU scope not established. This is a provisional connection, not an outcome finding.</w:t>
      </w:r>
    </w:p>
    <w:p>
      <w:pPr>
        <w:pStyle w:val="SourceNote"/>
      </w:pPr>
      <w:r>
        <w:rPr>
          <w:b/>
        </w:rPr>
        <w:t>Available abstract (not full text):</w:t>
      </w:r>
      <w:r>
        <w:t xml:space="preserve"> This paper presents the most common traditional dovetail joints used in furniture making in past centuries, which are among the almost forgotten skills, practiced today by only a relatively small number of restoration workshops. The paper deals with the basic joints used in the restoration of furniture and traditional woodworking (houses, churches, temples, etc.) for the purpose of protecting rich cultural heritage. The history of furniture making is also the history of the art of making joints. In restoration, knowledge of these joints facilitates and accelerates the dating of furniture pieces to be restored. For this reason, the aim of this paper is to present an overview of the use of dovetail joints. The decorative effect of these joints and their constructive ingenuity certainly deserve more attention and research. A historical review of the development of traditional dovetail corner joints demonstrates the importance of the skill of crafting joints that stand the test of time and survive to this day. With the development of art, the joints became more and more decorative, but also of higher quality to withstand the various stresses that occur when furniture is used. Practical examples of making traditional dovetail corner joints are used to show how important it is to preserve the craftsmanship of these traditional joints from being forgotten, which is necessary when rest</w:t>
      </w:r>
    </w:p>
    <w:p>
      <w:pPr/>
      <w:r>
        <w:rPr>
          <w:b/>
        </w:rPr>
        <w:t>POSSIBLE 2025:</w:t>
      </w:r>
      <w:r>
        <w:t xml:space="preserve"> Practical Application of Surface Complexation Models: Evolution, Approaches, and Examples — https://doi.org/10.2138/rmg.2025.91a.13</w:t>
      </w:r>
    </w:p>
    <w:p>
      <w:pPr/>
      <w:r>
        <w:rPr>
          <w:b/>
        </w:rPr>
        <w:t>Shared claim-specific concepts:</w:t>
      </w:r>
      <w:r>
        <w:t xml:space="preserve"> examples, practical, application;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EXAMPLES FROM THE QURAN AND HUMAN NATURE: PRACTICAL APPLICATION IN THE MODERN ERA — https://openalex.org/W7220088003</w:t>
      </w:r>
    </w:p>
    <w:p>
      <w:pPr/>
      <w:r>
        <w:rPr>
          <w:b/>
        </w:rPr>
        <w:t>Shared claim-specific concepts:</w:t>
      </w:r>
      <w:r>
        <w:t xml:space="preserve"> examples, practical, application, individual; EU scope not established. This is a provisional connection, not an outcome finding.</w:t>
      </w:r>
    </w:p>
    <w:p>
      <w:pPr>
        <w:pStyle w:val="SourceNote"/>
      </w:pPr>
      <w:r>
        <w:rPr>
          <w:b/>
        </w:rPr>
        <w:t>Available abstract (not full text):</w:t>
      </w:r>
      <w:r>
        <w:t xml:space="preserve"> The parables of the Quran, known as Amthal ul-Quran, are integral elements of divine wisdom, crafted to guide humanity toward spiritual enlightenment and moral rectitude. These parables employ vivid and relatable analogies to elucidate complex spiritual, ethical, and social truths, making them accessible to people of all intellectual capacities and cultural backgrounds. By bridging abstract ideas with tangible realities, they address universal human experiences and dilemmas, offering solutions rooted in timeless principles. This study delves into the profound relevance of Quranic parables in understanding human nature, reflecting on their alignment with contemporary societal challenges, such as rampant materialism, ethical deterioration, and spiritual crises. It examines how these narratives resonate with the human psyche, transcending historical and cultural barriers to provide enduring guidance. The analysis highlights their practical applications in promoting values such as justice, compassion, and self-awareness, which are essential for individual and collective well-being. Key recommendations include incorporating Quranic parables into educational curricula to enhance moral and ethical understanding among students, fostering their practical application through structured community training programs, and encouraging interdisciplinary research to explore their relevance in a</w:t>
      </w:r>
    </w:p>
    <w:p>
      <w:pPr/>
      <w:r>
        <w:rPr>
          <w:b/>
        </w:rPr>
        <w:t>POSSIBLE 2025:</w:t>
      </w:r>
      <w:r>
        <w:t xml:space="preserve"> A Practical Example of How to Apply Constructivist Grounded Theory Methodology: Exploring Patient Experiences During Paramedic Led Healthcare — https://doi.org/10.1002/nur.22468</w:t>
      </w:r>
    </w:p>
    <w:p>
      <w:pPr/>
      <w:r>
        <w:rPr>
          <w:b/>
        </w:rPr>
        <w:t>Shared claim-specific concepts:</w:t>
      </w:r>
      <w:r>
        <w:t xml:space="preserve"> practical, application, methodology, individual, knowledge; EU scope not established. This is a provisional connection, not an outcome finding.</w:t>
      </w:r>
    </w:p>
    <w:p>
      <w:pPr>
        <w:pStyle w:val="SourceNote"/>
      </w:pPr>
      <w:r>
        <w:rPr>
          <w:b/>
        </w:rPr>
        <w:t>Available abstract (not full text):</w:t>
      </w:r>
      <w:r>
        <w:t xml:space="preserve"> Application of qualitative enquiry is necessary to improve the understanding of patient experience during paramedic-led healthcare. Grounded Theory (GT) is acknowledged as a rigorous qualitative methodology useful for exploring social processes present during healthcare, particularly when little existing knowledge or theory exists. Despite wide use of GT in other health disciplines there are few studies that have used this methodology to guide research in paramedicine. This may be due to GT methods appearing complex and disorientating for both novice and experienced researchers. This methodological article provides a practical example of how Kathy Charmaz's "constructivist" approach to grounded theory (GTc) was applied during research that explored how patients experience paramedic-led healthcare during non-conveyance situations. It explains the fundamental tenets required of GTc research and describes how they were employed during the example research. The article aims to demystify the GTc process and improve the rigour of qualitative GTc research in paramedicine and health disciplines. How to apply Constructivist Grounded Theory methodology is described by providing a practical example of research into patient experience. This article informs researchers how to maintain trustworthiness and credibility when applying GTc methodology. This article describes research that explore</w:t>
      </w:r>
    </w:p>
    <w:p>
      <w:pPr/>
      <w:r>
        <w:rPr>
          <w:b/>
        </w:rPr>
        <w:t>POSSIBLE 2025:</w:t>
      </w:r>
      <w:r>
        <w:t xml:space="preserve"> Case Studies and Practical Examples — https://doi.org/10.1201/9781003587545-7</w:t>
      </w:r>
    </w:p>
    <w:p>
      <w:pPr/>
      <w:r>
        <w:rPr>
          <w:b/>
        </w:rPr>
        <w:t>Shared claim-specific concepts:</w:t>
      </w:r>
      <w:r>
        <w:t xml:space="preserve"> examples, practical, application, technologies, field; EU scope not established. This is a provisional connection, not an outcome finding.</w:t>
      </w:r>
    </w:p>
    <w:p>
      <w:pPr>
        <w:pStyle w:val="SourceNote"/>
      </w:pPr>
      <w:r>
        <w:rPr>
          <w:b/>
        </w:rPr>
        <w:t>Available abstract (not full text):</w:t>
      </w:r>
      <w:r>
        <w:t xml:space="preserve"> This chapter explores the practical applications of Brain-Computer Interface (BCI) technologies through detailed case studies that illustrate the challenges and innovations within this dynamic field. Each case study provides a comprehensive analysis of specific BCI projects, from their conception and methodological frameworks to the practical challenges they address and the solutions they employ. These real-world examples span various applications, including assistive technologies for individuals with disabilities, cognitive monitoring, and interaction enhancements through EEG signal processing and classification. The case studies highlight the use of advanced signal processing techniques, machine learning models, and adaptive algorithms that improve the accuracy, usability, and personalization of BCI systems. By examining these specific instances of BCI application, the chapter sheds light on the broader implications of BCI technologies, their potential for future development, and their impact on both clinical and everyday settings. This exploration not only demonstrates the current capabilities of BCIs but also paves the way for future innovations, underlining the importance of interdisciplinary collaboration and ethical considerations in advancing BCI technologies.</w:t>
      </w:r>
    </w:p>
    <w:p>
      <w:pPr/>
      <w:r>
        <w:rPr>
          <w:b/>
        </w:rPr>
        <w:t>POSSIBLE 2025:</w:t>
      </w:r>
      <w:r>
        <w:t xml:space="preserve"> 13 Practical Application of Surface Complexation Models: Evolution, Approaches, and Examples — https://doi.org/10.1515/9781501523762-013</w:t>
      </w:r>
    </w:p>
    <w:p>
      <w:pPr/>
      <w:r>
        <w:rPr>
          <w:b/>
        </w:rPr>
        <w:t>Shared claim-specific concepts:</w:t>
      </w:r>
      <w:r>
        <w:t xml:space="preserve"> examples, practical, application;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Design rules applied to silver nanoparticles synthesis: A practical example of machine learning application. — https://doi.org/10.1016/j.csbj.2024.02.010</w:t>
      </w:r>
    </w:p>
    <w:p>
      <w:pPr/>
      <w:r>
        <w:rPr>
          <w:b/>
        </w:rPr>
        <w:t>Shared claim-specific concepts:</w:t>
      </w:r>
      <w:r>
        <w:t xml:space="preserve"> practical, application, field; EU scope not established. This is a provisional connection, not an outcome finding.</w:t>
      </w:r>
    </w:p>
    <w:p>
      <w:pPr>
        <w:pStyle w:val="SourceNote"/>
      </w:pPr>
      <w:r>
        <w:rPr>
          <w:b/>
        </w:rPr>
        <w:t>Available abstract (not full text):</w:t>
      </w:r>
      <w:r>
        <w:t xml:space="preserve"> The synthesis of silver nanoparticles with controlled physicochemical properties is essential for governing their intended functionalities and safety profiles. However, synthesis process involves multiple parameters that could influence the resulting properties. This challenge could be addressed with the development of predictive models that forecast endpoints based on key synthesis parameters. In this study, we manually extracted synthesis-related data from the literature and leveraged various machine learning algorithms. Data extraction included parameters such as reactant concentrations, experimental conditions, as well as physicochemical properties. The antibacterial efficiencies and toxicological profiles of the synthesized nanoparticles were also extracted. In a second step, based on data completeness, we employed regression algorithms to establish relationships between synthesis parameters and desired endpoints and to build predictive models. The models for core size and antibacterial efficiency were trained and validated using a cross-validation approach. Finally, the features' impact was evaluated via Shapley values to provide insights into the contribution of features to the predictions. Factors such as synthesis duration, scale of synthesis and the choice of capping agents emerged as the most significant predictors. This study demonstrated the potential of machine le</w:t>
      </w:r>
    </w:p>
    <w:p>
      <w:pPr>
        <w:pStyle w:val="Heading2"/>
      </w:pPr>
      <w:r>
        <w:t>755. Future Scenarios of European Forests</w:t>
      </w:r>
    </w:p>
    <w:p>
      <w:pPr>
        <w:pStyle w:val="SourceNote"/>
      </w:pPr>
      <w:r>
        <w:rPr>
          <w:b/>
        </w:rPr>
        <w:t>Original source (2018):</w:t>
      </w:r>
      <w:r>
        <w:t xml:space="preserve"> https://doi.org/10.2478/jlecol-2018-0020</w:t>
      </w:r>
    </w:p>
    <w:p>
      <w:pPr/>
      <w:r>
        <w:t>Original wording (abstract; indexed_source_text_not_full_document_verified): Scenarios based on contrasting storylines can be used as a tool to explore the different ways in which the future may develop and their impacts on the sustainability of European forestry. Here we discuss characteristics of scenario studies forest large scale forest resources in general and focus on a few recent trends and their long term impact on European forests, as e.g. nature oriented management, carbon credits, and extra demand for bioenergy.</w:t>
      </w:r>
    </w:p>
    <w:p>
      <w:pPr/>
      <w:r>
        <w:rPr>
          <w:b/>
        </w:rPr>
        <w:t>POSSIBLE 2026:</w:t>
      </w:r>
      <w:r>
        <w:t xml:space="preserve"> Contrasting mechanisms driving the northward expansion of African raptors in Europe — https://doi.org/10.1111/jzo.70124</w:t>
      </w:r>
    </w:p>
    <w:p>
      <w:pPr/>
      <w:r>
        <w:rPr>
          <w:b/>
        </w:rPr>
        <w:t>Shared claim-specific concepts:</w:t>
      </w:r>
      <w:r>
        <w:t xml:space="preserve"> abstract, based, contrasting, explore, different, few; EU scope visible. This is a provisional connection, not an outcome finding.</w:t>
      </w:r>
    </w:p>
    <w:p>
      <w:pPr>
        <w:pStyle w:val="SourceNote"/>
      </w:pPr>
      <w:r>
        <w:rPr>
          <w:b/>
        </w:rPr>
        <w:t>Available abstract (not full text):</w:t>
      </w:r>
      <w:r>
        <w:t xml:space="preserve"> Abstract The contrasting mechanisms driving the northward expansion of African raptors into Europe provide a unique opportunity to understand how these species overcome substantial geographical barriers and a major biogeographic boundary. To explore these mechanisms, we analysed three species currently expanding across the Afro‐Palaearctic system: the Atlas Long‐legged Buzzard ( Buteo rufinus cirtensis ), Rüppell's Vulture ( Gyps rueppelli ), and White‐backed Vulture ( Gyps africanus ). Using species distribution models based on topo‐climatic predictors, we estimated environmental favourability for breeding across 6203 operational geographic units and compared outputs with breeding records, recent sightings, ecological traits, and evidence of interspecific interactions. Our results reveal contrasting colonization pathways. The Atlas Long‐legged Buzzard shows broad climatic favourability across North Africa and parts of southern Europe, indicating a climate‐driven range expansion facilitated by increasingly favourable environmental conditions. By contrast, African vultures exhibit negligible climatic favourability in Europe, despite multiple field observations, including hybrid breeding attempts with Griffon Vultures ( Gyps fulvus ) in the case of Rüppell's Vultures, while observations of immature White‐backed Vultures remain few and anecdotal per se, yet they have been recorded</w:t>
      </w:r>
    </w:p>
    <w:p>
      <w:pPr/>
      <w:r>
        <w:rPr>
          <w:b/>
        </w:rPr>
        <w:t>POSSIBLE 2026:</w:t>
      </w:r>
      <w:r>
        <w:t xml:space="preserve"> Heatwaves in a 15 °C World: Exploring remote drivers’ influence on Northern Italy with a storyline-based approach — https://doi.org/10.1016/j.wace.2026.100949</w:t>
      </w:r>
    </w:p>
    <w:p>
      <w:pPr/>
      <w:r>
        <w:rPr>
          <w:b/>
        </w:rPr>
        <w:t>Shared claim-specific concepts:</w:t>
      </w:r>
      <w:r>
        <w:t xml:space="preserve"> storylines, used, different, here; EU scope visible. This is a provisional connection, not an outcome finding.</w:t>
      </w:r>
    </w:p>
    <w:p>
      <w:pPr>
        <w:pStyle w:val="SourceNote"/>
      </w:pPr>
      <w:r>
        <w:rPr>
          <w:b/>
        </w:rPr>
        <w:t>Available abstract (not full text):</w:t>
      </w:r>
      <w:r>
        <w:t xml:space="preserve"> Heatwaves (HW) heavily affect several sectors of the economy and society in the European and Mediterranean regions, and particularly in the Po Valley area. Their frequency and intensity are projected to increase, and a thorough understanding of how this occurs in relation to rising global temperatures and to the projected changes in other weather and climate variables is fundamental for developing effective adaptation plans. In this study, developed within the Climate Intelligence (CLINT) project, we propose an application of the storylines technique, empowered by the definition of shared global thermodynamical conditions across the simulations (Common Temperature States, CTS) and by the implementation of an ML-based driver-oriented validation for the used CMIP6 models. This allows us to produce a set of physically sound storylines, where the increase of heatwave-related indices is inspected under specific conditions in the evolution of other drivers, researching proximate drivers and teleconnections. Our results highlight relevant contributions coming from precipitation depletion over three different Euro-Mediterranean domains (Northern Africa, Western and Eastern Europe), which is associated with enhanced sensible heat fluxes and co-occurs with the largest increases in the HW Magnitude Index and the number of HW days. Furthermore, the increase of these indices is found to be </w:t>
      </w:r>
    </w:p>
    <w:p>
      <w:pPr/>
      <w:r>
        <w:rPr>
          <w:b/>
        </w:rPr>
        <w:t>POSSIBLE 2026:</w:t>
      </w:r>
      <w:r>
        <w:t xml:space="preserve"> Worst-case European heat storylines generated using ensemble boosting — https://doi.org/10.1038/s43247-026-03699-2</w:t>
      </w:r>
    </w:p>
    <w:p>
      <w:pPr/>
      <w:r>
        <w:rPr>
          <w:b/>
        </w:rPr>
        <w:t>Shared claim-specific concepts:</w:t>
      </w:r>
      <w:r>
        <w:t xml:space="preserve"> storylines, impacts, large, scale; EU scope visible. This is a provisional connection, not an outcome finding.</w:t>
      </w:r>
    </w:p>
    <w:p>
      <w:pPr>
        <w:pStyle w:val="SourceNote"/>
      </w:pPr>
      <w:r>
        <w:rPr>
          <w:b/>
        </w:rPr>
        <w:t>Available abstract (not full text):</w:t>
      </w:r>
      <w:r>
        <w:t xml:space="preserve"> Abstract Extreme heat poses escalating socio-economic and ecological risks, yet the most severe high-impact heat extremes that would be possible today remain poorly understood. Using thousands of ensemble-boosting storylines, all plausible under current-climate conditions at least within the model world, we reveal the risk of far more intense and unprecedented heatwaves, which surpass historical extremes in both intensity and particularly in persistence by large margins, and greatly exceed levels considered extreme in a 3 °C warmer world. The most extreme heatwaves are preceded by severe soil moisture depletion, both locally and upstream of the region of extreme heat, as well as by strong ocean temperature gradients, with extremely warm anomalies in the nearby basins and cold anomalies in the subpolar North Atlantic region. Furthermore, our storyline simulations reveal an additional risk: worst-case heatwaves occur predominantly after another extreme heatwave. This highlights the potential for aggravated impacts due to decreased recovery times and intensified heat stress on humans, ecosystems and infrastructure made more vulnerable by the first event. Given the scale, intensity, and unprecedented successive and compounding nature of these worst-case heat storylines, we underscore the urgent need for well-informed adaptation strategies that sufficiently reflect these risks.</w:t>
      </w:r>
    </w:p>
    <w:p>
      <w:pPr/>
      <w:r>
        <w:rPr>
          <w:b/>
        </w:rPr>
        <w:t>POSSIBLE 2026:</w:t>
      </w:r>
      <w:r>
        <w:t xml:space="preserve"> Determinants of vaccine hesitancy and interventions aimed at contrasting this issue in Europe: an overview of systematic reviews. — https://doi.org/10.4415/ann_26_01_10</w:t>
      </w:r>
    </w:p>
    <w:p>
      <w:pPr/>
      <w:r>
        <w:rPr>
          <w:b/>
        </w:rPr>
        <w:t>Shared claim-specific concepts:</w:t>
      </w:r>
      <w:r>
        <w:t xml:space="preserve"> contrasting, general, recent; EU scope visible. This is a provisional connection, not an outcome finding.</w:t>
      </w:r>
    </w:p>
    <w:p>
      <w:pPr>
        <w:pStyle w:val="SourceNote"/>
      </w:pPr>
      <w:r>
        <w:rPr>
          <w:b/>
        </w:rPr>
        <w:t>Available abstract (not full text):</w:t>
      </w:r>
      <w:r>
        <w:t xml:space="preserve"> INTRODUCTION: Vaccine hesitancy remains a major public health challenge in Europe, with declining confidence in vaccine safety and efficacy despite high overall acceptance. Evidence on its determinants and effective interventions is fragmented, underscoring the need for a comprehensive synthesis. This overview of systematic reviews aimed to describe the most recent determinants of vaccine acceptance, barriers to vaccination, and effective interventions to reduce hesitancy or increase uptake in Europe. METHODS: The search was conducted in PubMed, Embase, Epistemonikos. Reviews were eligible if they included European data. RESULTS: Of 3,363 papers, 88 reviews were included, classified into children, adolescents, and parents (n=29); pregnant women (n=11); healthcare workers (HCWs) (n=12); and the general population (n=36) reviews. Determinants of vaccine acceptance included high education, socioeconomic status, gender, trust in government/health authorities, and HCW recommendations, with associations that varied across populations, vaccines, and contexts. Emerging determinants such as health engagement and social media were reported. Main barriers included fear of side effects, safety concerns, preference for natural immunity, and logistical challenges. Interventions included educational campaigns, reminders, organizational changes, school-based programs, and digital tools. Active</w:t>
      </w:r>
    </w:p>
    <w:p>
      <w:pPr/>
      <w:r>
        <w:rPr>
          <w:b/>
        </w:rPr>
        <w:t>POSSIBLE 2025:</w:t>
      </w:r>
      <w:r>
        <w:t xml:space="preserve"> A value-based tradeoff to explore AI Tools in the Twin Transition : The case of the Horizon Europe DaCapo project — https://openalex.org/W7131918820</w:t>
      </w:r>
    </w:p>
    <w:p>
      <w:pPr/>
      <w:r>
        <w:rPr>
          <w:b/>
        </w:rPr>
        <w:t>Shared claim-specific concepts:</w:t>
      </w:r>
      <w:r>
        <w:t xml:space="preserve"> tool, explore, ways, develop, sustainability, recent; EU scope visible. This is a provisional connection, not an outcome finding.</w:t>
      </w:r>
    </w:p>
    <w:p>
      <w:pPr>
        <w:pStyle w:val="SourceNote"/>
      </w:pPr>
      <w:r>
        <w:rPr>
          <w:b/>
        </w:rPr>
        <w:t>Available abstract (not full text):</w:t>
      </w:r>
      <w:r>
        <w:t xml:space="preserve"> “While AI could change the world in many unforeseen ways, it’s already having one massive impact: a voracious consumption of energy.” Times Magazine, 2024. (1)Popular AI tools such as ChatGPT, Copilot, and Claude are promising to address sustainability challenges and support Europe’s Twin Transition (i.e. the transition to more digitalization and sustainability at the same time). With the leap in innovation and productivity these tools afford, a topic that is currently receiving increasing attention is the short term impact these tools may have in terms of sustainability (Khowaja et al., 2024; De Vries, 2023). Their innovation &amp; productivity gains versus their requirements in terms of energy and water seem to present a paradox that requires attention: using these tools may help us up the Twin Transition in the long run, but at the same time may harm that very same transition in the short term. At TNO our vision is that “Our economy needs to foster innovation and competitiveness, while embracing sustainability, including circular practices.”(2) In a recent Horizon Europe Project we encountered this seeming contradiction when developing a Digital Circularity Consultant with Popular AI Tools. In this article we reflect on our experiences on how to cope with these developments and provide initial considerations and suggestions on how to navigate this trade off. As new tools and use</w:t>
      </w:r>
    </w:p>
    <w:p>
      <w:pPr/>
      <w:r>
        <w:rPr>
          <w:b/>
        </w:rPr>
        <w:t>POSSIBLE 2024:</w:t>
      </w:r>
      <w:r>
        <w:t xml:space="preserve"> A Climatology of Convective Precipitation over Europe — https://doi.org/10.1175/mwr-d-23-0156.1</w:t>
      </w:r>
    </w:p>
    <w:p>
      <w:pPr/>
      <w:r>
        <w:rPr>
          <w:b/>
        </w:rPr>
        <w:t>Shared claim-specific concepts:</w:t>
      </w:r>
      <w:r>
        <w:t xml:space="preserve"> abstract, used, large; EU scope visible. This is a provisional connection, not an outcome finding.</w:t>
      </w:r>
    </w:p>
    <w:p>
      <w:pPr>
        <w:pStyle w:val="SourceNote"/>
      </w:pPr>
      <w:r>
        <w:rPr>
          <w:b/>
        </w:rPr>
        <w:t>Available abstract (not full text):</w:t>
      </w:r>
      <w:r>
        <w:t xml:space="preserve"> Abstract The annual, seasonal, and diurnal spatiotemporal heavy convective precipitation patterns over a pan-European domain are analyzed in this study using a combination of datasets, including the Integrated Multi-satellitE Retrievals for Global Precipitation Measurement (GPM) (IMERG) precipitation rate product, E-OBS ground-based precipitation gauge data, European climatological gauge-adjusted radar precipitation dataset (EURADCLIM), Operational Programme for the Exchange of Weather Radar Information (OPERA) ground-based radar-derived precipitation rates, and fifth major global reanalysis produced by ECMWF (ERA5) total and convective precipitation products. Arrival Time Difference Network (ATDnet) lightning data are used in conjunction with IMERG and EURADCLIM precipitation rates, with an imposed threshold of 10 mm h−1 to classify precipitation as convective. Annually, the largest convective precipitation accumulations are over the European seas and coastlines. In summer, convective precipitation is more common over the European continent, though relatively large accumulations exist over the northern coastal waters and the southern seas, with a seasonal localized maximum over the northern Adriatic Sea. Activity shifts southward to the Mediterranean and its coastlines in autumn and winter, with maxima over the Ionian Sea, the eastern Adriatic Sea, and the adjacent coastline. </w:t>
      </w:r>
    </w:p>
    <w:p>
      <w:pPr/>
      <w:r>
        <w:rPr>
          <w:b/>
        </w:rPr>
        <w:t>POSSIBLE 2024:</w:t>
      </w:r>
      <w:r>
        <w:t xml:space="preserve"> Use of synanthropic roosts by bats in Europe and North America — https://doi.org/10.1111/mam.12380</w:t>
      </w:r>
    </w:p>
    <w:p>
      <w:pPr/>
      <w:r>
        <w:rPr>
          <w:b/>
        </w:rPr>
        <w:t>Shared claim-specific concepts:</w:t>
      </w:r>
      <w:r>
        <w:t xml:space="preserve"> abstract, based, contrasting, used, ways; EU scope visible. This is a provisional connection, not an outcome finding.</w:t>
      </w:r>
    </w:p>
    <w:p>
      <w:pPr>
        <w:pStyle w:val="SourceNote"/>
      </w:pPr>
      <w:r>
        <w:rPr>
          <w:b/>
        </w:rPr>
        <w:t>Available abstract (not full text):</w:t>
      </w:r>
      <w:r>
        <w:t xml:space="preserve"> ABSTRACT Diurnal roosts are vital to bats and growing evidence suggests that bats increasingly exploit synanthropic structures, such as buildings. The use of synanthropic roosts (SRs) has been explained as a consequence of the decreased availability of natural roosts imposed by habitat destruction, although growing evidence suggests that the use of SRs may be beneficial to bats in many ways, including enabling the expansion of distributional ranges. Based on data from Europe and North America, our study aimed to (1) analyse the proportion of use of synanthropic vs. natural roosts, (2) test the hypothesis that bats are forced to use SRs in response to the destruction of natural habitats, (3) analyse latitudinal variation of the proportion of use of SRs and (4) address the highly contrasting pattern in the proportion of use of SRs between the two continents in the light of historical aspects of coexistence between bats and humans. We compiled published data on day roosts obtained by means of radio‐telemetry, providing unbiased evidence of the proportion of synanthropic and natural roosts. We compared the obtained patterns between the two continents, analysed the relationship between the proportion of use of SRs, land cover and latitude and analysed historical reconstruction of anthropogenic land use. In Europe (n = 3385 roosts), SRs were used by twice more (26) bat species and we</w:t>
      </w:r>
    </w:p>
    <w:p>
      <w:pPr/>
      <w:r>
        <w:rPr>
          <w:b/>
        </w:rPr>
        <w:t>POSSIBLE 2024:</w:t>
      </w:r>
      <w:r>
        <w:t xml:space="preserve"> Event-dependent changes of recent European droughts in a warming climate using event-based storyline simulations. — https://doi.org/10.5194/ems2024-902</w:t>
      </w:r>
    </w:p>
    <w:p>
      <w:pPr/>
      <w:r>
        <w:rPr>
          <w:b/>
        </w:rPr>
        <w:t>Shared claim-specific concepts:</w:t>
      </w:r>
      <w:r>
        <w:t xml:space="preserve"> explore, different, resources, recent; EU scope visible. This is a provisional connection, not an outcome finding.</w:t>
      </w:r>
    </w:p>
    <w:p>
      <w:pPr>
        <w:pStyle w:val="SourceNote"/>
      </w:pPr>
      <w:r>
        <w:rPr>
          <w:b/>
        </w:rPr>
        <w:t>Available abstract (not full text):</w:t>
      </w:r>
      <w:r>
        <w:t xml:space="preserve"> Climate change is increasing the intensity, frequency, and persistence of droughts, as observed by the recent record-breaking events in Europe. Two factors contribute to this intensification: dynamic changes —changes in the likelihood of weather patterns— and thermodynamic changes. While the former are uncertain in future climate projections, the latter are characterized by a high signal-to-noise ratio, as there is a robust and ubiquitous rise in land-surface temperatures.To better analyze the contributions of these factors, we utilize the so-called "event-based storyline approach". This involves nudging our global CMIP6 coupled climate model (AWI-CM1) towards the observed (according to ERA5) large-scale free-troposphere winds using various climate background conditions and initial states. In contrast, the model reproduces the circulation in the atmospheric boundary layer and the rest of the variables. This enables us to simulate the same weather conditions (including jet streams, ridges and blockings) in different climates: preindustrial, present, and 2 °C, 3 °C, and 4 ºC warmer worlds. This method creates an efficient way of showing experts and non-experts the consequences of climate change by describing the storyline of specific extreme events in different plausible climates using moderate computational resources.Focusing on Europe, our simulations successfully replicate rec</w:t>
      </w:r>
    </w:p>
    <w:p>
      <w:pPr/>
      <w:r>
        <w:rPr>
          <w:b/>
        </w:rPr>
        <w:t>POSSIBLE 2024:</w:t>
      </w:r>
      <w:r>
        <w:t xml:space="preserve"> Modulation of Northern Europe near-term anthropogenic warming and wettening assessed through internal variability storylines — https://doi.org/10.1038/s41612-024-00759-2</w:t>
      </w:r>
    </w:p>
    <w:p>
      <w:pPr/>
      <w:r>
        <w:rPr>
          <w:b/>
        </w:rPr>
        <w:t>Shared claim-specific concepts:</w:t>
      </w:r>
      <w:r>
        <w:t xml:space="preserve"> based, storylines, explore, here, large, focus; EU scope visible. This is a provisional connection, not an outcome finding.</w:t>
      </w:r>
    </w:p>
    <w:p>
      <w:pPr>
        <w:pStyle w:val="SourceNote"/>
      </w:pPr>
      <w:r>
        <w:rPr>
          <w:b/>
        </w:rPr>
        <w:t>Available abstract (not full text):</w:t>
      </w:r>
      <w:r>
        <w:t xml:space="preserve"> Internal variability arising from the inherently chaotic nature of the climate system has amplified or obscured human-caused changes, especially at regional scales in the extratropics, where its contribution to climate variability is the largest. It is virtually certain that this will continue in the near-term. We here focus on the Northern Europe region, whose variability is largely controlled by the North Atlantic Oscillation (NAO) and the Atlantic Meridional Overturning Circulation (AMOC) through remote dynamical and thermodynamic processes, and introduce the concept of internal variability storylines (IVS) to explore, understand, and quantify the role of the two combined drivers of internal variability in the modulation of the anthropogenic warming by 2040 in winter. Based on a large ensemble of historical-scenario simulations, we show that the high-impact IVS, characterised by weak AMOC decline and a decadal shift of the NAO toward dominant positive phase, leads faster to warmer-wetter conditions independently of actual and future greenhouse gases emissions. By contrast, amplified AMOC reduction and more recurrent negative NAO can considerably damp both warming and wettening at near-term. In the latter IVS, we provide evidence that winter-severe conditions similar to those in 2010, that had been responsible for widespread socio-economic disruptions, remain almost as likely</w:t>
      </w:r>
    </w:p>
    <w:p>
      <w:pPr/>
      <w:r>
        <w:rPr>
          <w:b/>
        </w:rPr>
        <w:t>POSSIBLE 2024:</w:t>
      </w:r>
      <w:r>
        <w:t xml:space="preserve"> Reconciling risk-based and storyline attribution with Bayes theorem — https://doi.org/10.48550/arxiv.2407.10776</w:t>
      </w:r>
    </w:p>
    <w:p>
      <w:pPr/>
      <w:r>
        <w:rPr>
          <w:b/>
        </w:rPr>
        <w:t>Shared claim-specific concepts:</w:t>
      </w:r>
      <w:r>
        <w:t xml:space="preserve"> based, explore; EU scope visible. This is a provisional connection, not an outcome finding.</w:t>
      </w:r>
    </w:p>
    <w:p>
      <w:pPr>
        <w:pStyle w:val="SourceNote"/>
      </w:pPr>
      <w:r>
        <w:rPr>
          <w:b/>
        </w:rPr>
        <w:t>Available abstract (not full text):</w:t>
      </w:r>
      <w:r>
        <w:t xml:space="preserve"> The question to what extent climate change is responsible for extreme weather events has been at the forefront of public and scholarly discussion for years. Proponents of the "risk-based" approach to attribution attempt to give an unconditional answer based on the probability of some class of events in a world with and without human influences. As an alternative, so-called "storyline" studies investigate the impact of a warmer world on a single, specific weather event. This can be seen as a conditional attribution statement. In this study, we connect conditional to unconditional attribution using Bayes theorem: in essence, the conditional statement is composed of two unconditional statements, one based on all available data (event and conditions) and one based on the conditions alone. We explore the effects of the conditioning in a simple statistical toy model and a real-world attribution of European summer temperatures conditional on blocking. The resulting attribution statement is generally strengthened if the conditions are not affected by climate change. Conversely, if part of the trend is contained in the conditions, a weaker attribution statement may result.</w:t>
      </w:r>
    </w:p>
    <w:p>
      <w:pPr/>
      <w:r>
        <w:rPr>
          <w:b/>
        </w:rPr>
        <w:t>POSSIBLE 2024:</w:t>
      </w:r>
      <w:r>
        <w:t xml:space="preserve"> National storylines and topoi found in the focus group discussions — https://doi.org/10.4324/9781032690902-14</w:t>
      </w:r>
    </w:p>
    <w:p>
      <w:pPr/>
      <w:r>
        <w:rPr>
          <w:b/>
        </w:rPr>
        <w:t>Shared claim-specific concepts:</w:t>
      </w:r>
      <w:r>
        <w:t xml:space="preserve"> storylines, used, focus; EU scope visible. This is a provisional connection, not an outcome finding.</w:t>
      </w:r>
    </w:p>
    <w:p>
      <w:pPr>
        <w:pStyle w:val="SourceNote"/>
      </w:pPr>
      <w:r>
        <w:rPr>
          <w:b/>
        </w:rPr>
        <w:t>Available abstract (not full text):</w:t>
      </w:r>
      <w:r>
        <w:t xml:space="preserve"> This chapter presents the results of a qualitative and interpretive analysis of narrative elements in the focus group discussions. First, it showcases the reconstruction of two distinct country-specific storylines of European integration: a “fado story” about missed opportunities found in Portugal and a “pride and prejudice” story of national achievements found in Finland. Next, the chapter presents a selection of key topoi (or commonplaces), detected across the focus group discussions in the nine selected countries. Such topoi (e.g. “solidarity should not be a one-way street”) were used by participants as commonly understood argumentative shortcuts when reasoning about solidarity in communicative interactions with others.</w:t>
      </w:r>
    </w:p>
    <w:p>
      <w:pPr/>
      <w:r>
        <w:rPr>
          <w:b/>
        </w:rPr>
        <w:t>POSSIBLE 2023:</w:t>
      </w:r>
      <w:r>
        <w:t xml:space="preserve"> Performance-based sub-selection of CMIP6 models for impact assessments in Europe — https://doi.org/10.5194/esd-14-457-2023</w:t>
      </w:r>
    </w:p>
    <w:p>
      <w:pPr/>
      <w:r>
        <w:rPr>
          <w:b/>
        </w:rPr>
        <w:t>Shared claim-specific concepts:</w:t>
      </w:r>
      <w:r>
        <w:t xml:space="preserve"> abstract, based, used, trends; EU scope visible. This is a provisional connection, not an outcome finding.</w:t>
      </w:r>
    </w:p>
    <w:p>
      <w:pPr>
        <w:pStyle w:val="SourceNote"/>
      </w:pPr>
      <w:r>
        <w:rPr>
          <w:b/>
        </w:rPr>
        <w:t>Available abstract (not full text):</w:t>
      </w:r>
      <w:r>
        <w:t xml:space="preserve"> Abstract. We have created a performance-based assessment of CMIP6 models for Europe that can be used to inform the sub-selection of models for this region. Our assessment covers criteria indicative of the ability of individual models to capture a range of large-scale processes that are important for the representation of present-day European climate. We use this study to provide examples of how this performance-based assessment may be applied to multi-model ensemble of CMIP6 models to a) filter the ensemble for performance against these climatological/ processed-based criteria and, b) create a smaller sub-set of models based on performance, that also maintains model diversity and the filtered projection range as far as possible. Filtering by excluding the least realistic models leads to higher sensitivity models remaining in the ensemble as an emergent consequence of the assessment. This results in both the 25th percentile and the median of the projected temperature range being shifted toward greater warming for the filtered set of models. We also weight the unfiltered ensemble against global trends. In contrast this shifts both the distribution of towards less warming. This highlights a tension for regional model selection in terms of selection based on regional climate processes versus the global mean warming trend.</w:t>
      </w:r>
    </w:p>
    <w:p>
      <w:pPr>
        <w:pStyle w:val="Heading2"/>
      </w:pPr>
      <w:r>
        <w:t>756. Future Trajectories of Renewable Energy Consumption in the European Union</w:t>
      </w:r>
    </w:p>
    <w:p>
      <w:pPr>
        <w:pStyle w:val="SourceNote"/>
      </w:pPr>
      <w:r>
        <w:rPr>
          <w:b/>
        </w:rPr>
        <w:t>Original source (2018):</w:t>
      </w:r>
      <w:r>
        <w:t xml:space="preserve"> https://doi.org/10.3390/resources7010010</w:t>
      </w:r>
    </w:p>
    <w:p>
      <w:pPr/>
      <w:r>
        <w:t>Original wording (abstract; indexed_source_text_not_full_document_verified): Starting from historical data reported in the Eurostat database and through a mathematical model, this work proposes future trajectories towards 2020 of the share of energy from renewables (REs) in terms of gross final energy consumption (GFEC). The share of REs in GFEC in EU 28 varies from 19.4% to 21.8% in future trajectories towards 2020.</w:t>
      </w:r>
    </w:p>
    <w:p>
      <w:pPr/>
      <w:r>
        <w:rPr>
          <w:b/>
        </w:rPr>
        <w:t>POSSIBLE 2026:</w:t>
      </w:r>
      <w:r>
        <w:t xml:space="preserve"> Bayesian Indirect Estimation of Historical Fertility in Europe and US Using Online Genealogical Data — https://doi.org/10.1177/00491241261463559</w:t>
      </w:r>
    </w:p>
    <w:p>
      <w:pPr/>
      <w:r>
        <w:rPr>
          <w:b/>
        </w:rPr>
        <w:t>Shared claim-specific concepts:</w:t>
      </w:r>
      <w:r>
        <w:t xml:space="preserve"> historical, data, database; EU scope visible. This is a provisional connection, not an outcome finding.</w:t>
      </w:r>
    </w:p>
    <w:p>
      <w:pPr>
        <w:pStyle w:val="SourceNote"/>
      </w:pPr>
      <w:r>
        <w:rPr>
          <w:b/>
        </w:rPr>
        <w:t>Available abstract (not full text):</w:t>
      </w:r>
      <w:r>
        <w:t xml:space="preserve"> A growing number of social scientists use online genealogical data as an alternative digital census of historical populations to study past demographic dynamics. However, the non-representativeness of this data source requires the development of bias-adjusting methods to obtain accurate demographic estimates. We address this challenge by proposing an indirect estimation framework to investigate fertility trends in seven European countries and the United States of America for the historical period 1751-1910, integrating data from the big genealogical database FamiLinx with more conventional data sources. The proposed methods allow for the indirect estimation of the total fertility rate using the number of women aged 15-49 and children under age 5, while accounting for child mortality, age-specific fertility patterns, and biases. Our methodological approaches demonstrate that, when combined with reliable demographic data, online genealogical data can be fruitfully used to examine fertility patterns in countries and periods lacking well-functioning national civil registration systems.</w:t>
      </w:r>
    </w:p>
    <w:p>
      <w:pPr/>
      <w:r>
        <w:rPr>
          <w:b/>
        </w:rPr>
        <w:t>POSSIBLE 2026:</w:t>
      </w:r>
      <w:r>
        <w:t xml:space="preserve"> European runoff drought event types: From historical classification to projected future changes — https://doi.org/10.5194/egusphere-2026-973</w:t>
      </w:r>
    </w:p>
    <w:p>
      <w:pPr/>
      <w:r>
        <w:rPr>
          <w:b/>
        </w:rPr>
        <w:t>Shared claim-specific concepts:</w:t>
      </w:r>
      <w:r>
        <w:t xml:space="preserve"> historical, data; EU scope visible. This is a provisional connection, not an outcome finding.</w:t>
      </w:r>
    </w:p>
    <w:p>
      <w:pPr>
        <w:pStyle w:val="SourceNote"/>
      </w:pPr>
      <w:r>
        <w:rPr>
          <w:b/>
        </w:rPr>
        <w:t>Available abstract (not full text):</w:t>
      </w:r>
      <w:r>
        <w:t xml:space="preserve"> Abstract. European drought events have intensified in recent decades, raising concerns about water resources, agriculture, and ecosystem health. Most existing continental-scale drought assessments provide limited attribution of drought changes to the processes that generate runoff drought, which constrains understanding of how these processes will evolve in a warming climate. In this study, we provide the first continental-scale assessment of future changes in runoff drought generation processes across Europe, focusing on rainfall deficit, rain-to-snow and wet-to-dry season transitions, and snow-related processes. We used a continental-scale hydrological model in combination with observed meteorological data and climate simulations (GCMs) under a middle-of-the-road emission scenario (i.e., RCP4.5, ≈2 °C global warming by 2100). Unlike widely used aggregated drought index-based studies, our mechanism-specific classification approach distinguishes the physical drivers of drought events by classifying runoff droughts into seven event types based on their severity, duration, and frequency and leverages spatial clustering analysis (Getis–Ord G∗i method) to assess the climate responses. Our analysis reveals considerable regional differences in drought mechanisms and their responses. Historical observations (1971–2000) highlight that Mediterranean Europe experiences the most severe dr</w:t>
      </w:r>
    </w:p>
    <w:p>
      <w:pPr/>
      <w:r>
        <w:rPr>
          <w:b/>
        </w:rPr>
        <w:t>POSSIBLE 2025:</w:t>
      </w:r>
      <w:r>
        <w:t xml:space="preserve"> Claims inflation estimation: a practical guide for historical data — https://doi.org/10.1017/s1357321725100275</w:t>
      </w:r>
    </w:p>
    <w:p>
      <w:pPr/>
      <w:r>
        <w:rPr>
          <w:b/>
        </w:rPr>
        <w:t>Shared claim-specific concepts:</w:t>
      </w:r>
      <w:r>
        <w:t xml:space="preserve"> historical, data, work; EU scope visible. This is a provisional connection, not an outcome finding.</w:t>
      </w:r>
    </w:p>
    <w:p>
      <w:pPr>
        <w:pStyle w:val="SourceNote"/>
      </w:pPr>
      <w:r>
        <w:rPr>
          <w:b/>
        </w:rPr>
        <w:t>Available abstract (not full text):</w:t>
      </w:r>
      <w:r>
        <w:t xml:space="preserve"> Impetus and MotivationClaims inflation is one of the key assumptions used by non-life actuaries.It is relevant to virtually every aspect of their work, whether reserving, pricing, planning or capital modelling.In some instances, an appreciation of past inflation is needed, whereas in other cases, it is the estimation of future inflation rates that is key.Unfortunately, claims inflation is notoriously difficult to measure with any degree of certainty (Sheaf et al., 2005) Over the past three decades, central banks in Western economies have sought to maintain a low and stable level of inflation, as measured by relevant price indices.By and large, this aspiration was successful until the year following the outbreak of the COVID-19 pandemic in 2020.From roughly the second half of 2021, price inflation in Europe, the US, the UK and most other nations exhibited a sharp increase.Although price inflation reached its peak in 2022 (and has since reduced significantly), it remains highly elevated in many economies, vis à vis their central bank targets; as of the time of writing this paper (Q1 2024).With certain exceptions (e.g.general or punitive damages), the aim of a general insurance claim is to rectify a financial loss.As such, general economic or price inflation can be expected to have a significant impact on the level of claim pay outs.This impact, however, can vary markedly between </w:t>
      </w:r>
    </w:p>
    <w:p>
      <w:pPr/>
      <w:r>
        <w:rPr>
          <w:b/>
        </w:rPr>
        <w:t>POSSIBLE 2025:</w:t>
      </w:r>
      <w:r>
        <w:t xml:space="preserve"> Survey of historical databases with longitudinal micro-data: The second questionnaire — https://doi.org/10.34894/wucato</w:t>
      </w:r>
    </w:p>
    <w:p>
      <w:pPr/>
      <w:r>
        <w:rPr>
          <w:b/>
        </w:rPr>
        <w:t>Shared claim-specific concepts:</w:t>
      </w:r>
      <w:r>
        <w:t xml:space="preserve"> historical, data, database; EU scope visible. This is a provisional connection, not an outcome finding.</w:t>
      </w:r>
    </w:p>
    <w:p>
      <w:pPr>
        <w:pStyle w:val="SourceNote"/>
      </w:pPr>
      <w:r>
        <w:rPr>
          <w:b/>
        </w:rPr>
        <w:t>Available abstract (not full text):</w:t>
      </w:r>
      <w:r>
        <w:t xml:space="preserve"> In 2015, the HSNDB sent out surveys to multiple data centers to document their databases on historical persons. The surveys were an upgrade and extension of an earlier effort in 2009, available at https://hdl.handle.net/10622/VUJHAG. The goal was to start a European Historical Population Samples Network (EHPS-Net). EHPS-Net ran from 2011 to 2019 and brought together scholars to create a common format for databases containing non-aggregated information on persons, families and households. The results from the 2015 survey were shown on the EHPS-Net website, which was archived in December 2024. This database contains the original questionnaires, as well as screenshots from the EHPS-Net website to get an impression of the intended functionality.</w:t>
      </w:r>
    </w:p>
    <w:p>
      <w:pPr/>
      <w:r>
        <w:rPr>
          <w:b/>
        </w:rPr>
        <w:t>POSSIBLE 2024:</w:t>
      </w:r>
      <w:r>
        <w:t xml:space="preserve"> HANZE v2.1: an improved database of flood impacts in Europe from 1870 to 2020 — https://doi.org/10.5194/essd-16-5145-2024</w:t>
      </w:r>
    </w:p>
    <w:p>
      <w:pPr/>
      <w:r>
        <w:rPr>
          <w:b/>
        </w:rPr>
        <w:t>Shared claim-specific concepts:</w:t>
      </w:r>
      <w:r>
        <w:t xml:space="preserve"> historical, data, database; EU scope visible. This is a provisional connection, not an outcome finding.</w:t>
      </w:r>
    </w:p>
    <w:p>
      <w:pPr>
        <w:pStyle w:val="SourceNote"/>
      </w:pPr>
      <w:r>
        <w:rPr>
          <w:b/>
        </w:rPr>
        <w:t>Available abstract (not full text):</w:t>
      </w:r>
      <w:r>
        <w:t xml:space="preserve"> Abstract. Assessing long-term trends in flood losses and attributing them to climatic and socio-economic changes requires comprehensive and systematic collection of historical information. Here, we present flood impact data for Europe that is part of the HANZE (Historical Analysis of Natural HaZards) database. The dataset covers riverine, pluvial, coastal and compound floods that have occurred in 42 European countries between 1870 and 2020. The data was obtained by extensive data-collection from more than 800 sources ranging from news reports through government databases to scientific papers. The dataset includes 2521 events characterized by at least one impact statistic: area inundated, fatalities, persons affected or economic loss. Economic losses are presented both in the original currencies and price levels as well as inflation and exchange-rate adjusted to the 2020 value of the euro. The spatial footprint of affected areas is consistently recorded using more than 1400 subnational units corresponding, with minor exceptions, to the European Union’s Nomenclature of Territorial Units for Statistics (NUTS), level 3. Daily start and end dates, information on causes of the event, notes on data quality issues or associated non-flood impacts, and full bibliography of each record supplement the dataset. Apart from the possibility to download the data (https://dx.doi.org/10.5281/zeno</w:t>
      </w:r>
    </w:p>
    <w:p>
      <w:pPr/>
      <w:r>
        <w:rPr>
          <w:b/>
        </w:rPr>
        <w:t>POSSIBLE 2024:</w:t>
      </w:r>
      <w:r>
        <w:t xml:space="preserve"> The Afro-European Energy Diplomacy, a Historical Reconstruction from 1973 to 2007 — https://doi.org/10.59569/jceeas.2023.3.1.137</w:t>
      </w:r>
    </w:p>
    <w:p>
      <w:pPr/>
      <w:r>
        <w:rPr>
          <w:b/>
        </w:rPr>
        <w:t>Shared claim-specific concepts:</w:t>
      </w:r>
      <w:r>
        <w:t xml:space="preserve"> historical, data, energy, terms; EU scope visible. This is a provisional connection, not an outcome finding.</w:t>
      </w:r>
    </w:p>
    <w:p>
      <w:pPr>
        <w:pStyle w:val="SourceNote"/>
      </w:pPr>
      <w:r>
        <w:rPr>
          <w:b/>
        </w:rPr>
        <w:t>Available abstract (not full text):</w:t>
      </w:r>
      <w:r>
        <w:t xml:space="preserve"> The history of international relations has as its main source diplomatic documents, among them treaties and international agreements. As Mario Toscano stated, (Mario Toscano, 1963) diplomatic documents are written statements of facts (actions or simple expressions of thought) coming from institutional bodies acting in inter-state relations. Inside the framework of diplomacy, recently emerged a new branch: energy diplomacy. This latter is a complex topic in the broad framework of the Afro- European diplomatic relations and, over the years, has continuously evolved due to endogenous and exogenous factors. Since up to now, there's no historical rebuilding of how Afro- European diplomatic representors have acted to build energy diplomacy, to start analyzing it, the time-space considered in this research is the following: from the 1973 oil crisis to the 2007 Lisbon Treaty (Joint Africa-EU Strategy). The relevance of this research consists of filling the historical gaps that we have about this topic between the area studies and those in the European Integration, trying to have a more super partes and complete vision as possible.This research even if now in its first stage, will contribute to providing a logical combination of data to rebuild and comprehend the evolution of Afro- European energy diplomatic relations. For this purpose, the literary review indicated may help to define t</w:t>
      </w:r>
    </w:p>
    <w:p>
      <w:pPr/>
      <w:r>
        <w:rPr>
          <w:b/>
        </w:rPr>
        <w:t>POSSIBLE 2024:</w:t>
      </w:r>
      <w:r>
        <w:t xml:space="preserve"> The Legal Governance of Geothermal Energy in Europe: A Historical Review and an Indicator Analysis — https://doi.org/10.4236/blr.2024.152048</w:t>
      </w:r>
    </w:p>
    <w:p>
      <w:pPr/>
      <w:r>
        <w:rPr>
          <w:b/>
        </w:rPr>
        <w:t>Shared claim-specific concepts:</w:t>
      </w:r>
      <w:r>
        <w:t xml:space="preserve"> historical, database, energy; EU scope visible. This is a provisional connection, not an outcome finding.</w:t>
      </w:r>
    </w:p>
    <w:p>
      <w:pPr>
        <w:pStyle w:val="SourceNote"/>
      </w:pPr>
      <w:r>
        <w:rPr>
          <w:b/>
        </w:rPr>
        <w:t>Available abstract (not full text):</w:t>
      </w:r>
      <w:r>
        <w:t xml:space="preserve"> Along with decarbonization, the importance of renewable energy has increased significantly in the European Union (EU) since the turn of the century, and even more during the war in Ukraine. This study is an indication of how legislation making can be more a driver than an obstacle for innovation. The applied methodology includes an in-depth review of ca. 200 pieces of the EU legislation of the last half century, and a text mining exercise in the EU EUR-LEX database to provide a quantitative set of scores independent of the subjective expert judgment. The historical review of the EU law (“acquis”) reveals that many aspects of the geothermal value chain are covered by the acquis. The quantitative text search of EU policy documents and legal pieces indicates how the intensity of policy making correlates with major drivers on energy and on renewable energy. The regulatory environment of exploration and extraction of high enthalpy geothermal energy is similar to that for hydrocarbons, so some EU member states apply the Hydrocarbons Directive (Annex 32) voluntarily. The legislation on low enthalpy geothermal projects is more detailed regarding technical safety, water management, environment and energy efficiency. Because of conflicts with other emerging subsurface resource uses, such as groundwater/gas/carbon storage and urban underground infrastructure, there is a need for coherent </w:t>
      </w:r>
    </w:p>
    <w:p>
      <w:pPr/>
      <w:r>
        <w:rPr>
          <w:b/>
        </w:rPr>
        <w:t>POSSIBLE 2023:</w:t>
      </w:r>
      <w:r>
        <w:t xml:space="preserve"> HANZE database of historical flood impacts in Europe, 1870-2020 — https://doi.org/10.5281/zenodo.8221453</w:t>
      </w:r>
    </w:p>
    <w:p>
      <w:pPr/>
      <w:r>
        <w:rPr>
          <w:b/>
        </w:rPr>
        <w:t>Shared claim-specific concepts:</w:t>
      </w:r>
      <w:r>
        <w:t xml:space="preserve"> historical, data, database, gross; EU scope visible. This is a provisional connection, not an outcome finding.</w:t>
      </w:r>
    </w:p>
    <w:p>
      <w:pPr>
        <w:pStyle w:val="SourceNote"/>
      </w:pPr>
      <w:r>
        <w:rPr>
          <w:b/>
        </w:rPr>
        <w:t>Available abstract (not full text):</w:t>
      </w:r>
      <w:r>
        <w:t xml:space="preserve"> The HANZE dataset covers riverine, pluvial, coastal and compound floods that have occurred in 42 European countries between 1870 and 2020. The data was collected by extensive data-collection from more than 800 sources ranging from news reports through government databases to scientific papers. The dataset includes 2521 events characterized by at least one impact statistic: area inundated, fatalities, persons affected or economic loss. Economic losses are presented both in the original currencies and price levels as well as inflation and exchange-rate adjusted to 2020 value of the euro. The spatial footprint of affected areas is consistently recorded using more than 1400 subnational units corresponding, with minor exceptions, to the European Union’s Nomenclature of Territorial Units for Statistics (NUTS), level 3. Daily start and end dates, information on causes of the event, notes on data quality issues or associated non-flood impacts, and full bibliography of each record supplement the dataset. Apart from the possibility to download the data, the database can be viewed, filtered and visualized online: https://naturalhazards.eu. The dataset is designed to be complimentary to HANZE-Exposure, a high-resolution model of historical exposure changes (such as population and asset value), and be easily usable in statistical and spatial analyses. The dataset contains the following file</w:t>
      </w:r>
    </w:p>
    <w:p>
      <w:pPr/>
      <w:r>
        <w:rPr>
          <w:b/>
        </w:rPr>
        <w:t>POSSIBLE 2023:</w:t>
      </w:r>
      <w:r>
        <w:t xml:space="preserve"> Predicting the Past: Imputation of Historical Data — https://doi.org/10.31234/osf.io/9gpwf</w:t>
      </w:r>
    </w:p>
    <w:p>
      <w:pPr/>
      <w:r>
        <w:rPr>
          <w:b/>
        </w:rPr>
        <w:t>Shared claim-specific concepts:</w:t>
      </w:r>
      <w:r>
        <w:t xml:space="preserve"> historical, data, database; EU scope not established. This is a provisional connection, not an outcome finding.</w:t>
      </w:r>
    </w:p>
    <w:p>
      <w:pPr>
        <w:pStyle w:val="SourceNote"/>
      </w:pPr>
      <w:r>
        <w:rPr>
          <w:b/>
        </w:rPr>
        <w:t>Available abstract (not full text):</w:t>
      </w:r>
      <w:r>
        <w:t xml:space="preserve"> Research using historical data is becoming more common across the social sciences. However, approaches using historical data suffer from a more acute missing data problem than approaches using contemporary data. Complete datasets are required to use many common statistical and machine learning techniques, the majority of which cannot handle missing data. One approach to handling missing data is to impute the missing values. Using the Database of Religious History (DRH), a large historical database, comprised of both quantitative and qualitative data, this research compares the accuracy and bias of 10 imputation methods. k-nearest neighbors (k-NN), missForest, Generalized low rank models (GLRM), Factorial analysis for mixed data (FAMD), DataWig, and five methods implemented in the R package mice (multiple imputation by chained equations). On average, a missForest approach had higher imputation accuracy and among the lowest bias compared to the other methods. The accuracy and bias of different methods implemented in mice were highly variable, highlighting the importance of researchers stating the precise method used for imputation, rather than general phrases such as ‘data were imputed using mice’.</w:t>
      </w:r>
    </w:p>
    <w:p>
      <w:pPr/>
      <w:r>
        <w:rPr>
          <w:b/>
        </w:rPr>
        <w:t>POSSIBLE 2023:</w:t>
      </w:r>
      <w:r>
        <w:t xml:space="preserve"> Normalized power priors always discount historical data — https://doi.org/10.1002/sta4.591</w:t>
      </w:r>
    </w:p>
    <w:p>
      <w:pPr/>
      <w:r>
        <w:rPr>
          <w:b/>
        </w:rPr>
        <w:t>Shared claim-specific concepts:</w:t>
      </w:r>
      <w:r>
        <w:t xml:space="preserve"> historical, data; EU scope not established. This is a provisional connection, not an outcome finding.</w:t>
      </w:r>
    </w:p>
    <w:p>
      <w:pPr>
        <w:pStyle w:val="SourceNote"/>
      </w:pPr>
      <w:r>
        <w:rPr>
          <w:b/>
        </w:rPr>
        <w:t>Available abstract (not full text):</w:t>
      </w:r>
      <w:r>
        <w:t xml:space="preserve"> Power priors are used for incorporating historical data in Bayesian analyses by taking the likelihood of the historical data raised to the power as the prior distribution for the model parameters. The power parameter is typically unknown and assigned a prior distribution, most commonly a beta distribution. Here, we give a novel theoretical result on the resulting marginal posterior distribution of in case of the normal and binomial model. Counterintuitively, when the current data perfectly mirror the historical data and the sample sizes from both data sets become arbitrarily large, the marginal posterior of does not converge to a point mass at but approaches a distribution that hardly differs from the prior. The result implies that a complete pooling of historical and current data is impossible if a power prior with beta prior for is used.</w:t>
      </w:r>
    </w:p>
    <w:p>
      <w:pPr/>
      <w:r>
        <w:rPr>
          <w:b/>
        </w:rPr>
        <w:t>POSSIBLE 2023:</w:t>
      </w:r>
      <w:r>
        <w:t xml:space="preserve"> Historical Population Database of Transylvania. — https://doi.org/10.2307/jj.6445824.16</w:t>
      </w:r>
    </w:p>
    <w:p>
      <w:pPr/>
      <w:r>
        <w:rPr>
          <w:b/>
        </w:rPr>
        <w:t>Shared claim-specific concepts:</w:t>
      </w:r>
      <w:r>
        <w:t xml:space="preserve"> historical, data, database; EU scope visible. This is a provisional connection, not an outcome finding.</w:t>
      </w:r>
    </w:p>
    <w:p>
      <w:pPr>
        <w:pStyle w:val="SourceNote"/>
      </w:pPr>
      <w:r>
        <w:rPr>
          <w:b/>
        </w:rPr>
        <w:t>Available abstract (not full text):</w:t>
      </w:r>
      <w:r>
        <w:t xml:space="preserve"> The Historical Population Database of Transylvania (HPDT) is a research tool for population studies developed since 2014 at the Centre for Population Studies in Cluj-Napoca, financed by an SEE-Norway Grant. HPDT employs a source-oriented approach for recording data from the parish registers kept by the Transylvanian churches, focusing primarily on the main vital events such as births, marriages, and deaths. The data entry process was followed by the standardization of various information, such as names, occupations, locations and causes of death, thus allowing the initiation of a linkage process. The database has already been employed in a wide-ranging series of analyses conducted on datasets extracted from HPDT, which include infant and adult mortality, nuptiality and age at first marriage, social mobility, and the medicalization of childbirth. The wealth of information it includes will enable many more scientific investigations.</w:t>
      </w:r>
    </w:p>
    <w:p>
      <w:pPr/>
      <w:r>
        <w:rPr>
          <w:b/>
        </w:rPr>
        <w:t>POSSIBLE 2023:</w:t>
      </w:r>
      <w:r>
        <w:t xml:space="preserve"> Techno-economic analysis of underground hydrogen storage in Europe — https://doi.org/10.1016/j.isci.2023.108771</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Hydrogen storage is crucial to developing secure renewable energy systems to meet the European Union's 2050 carbon neutrality objectives. However, a knowledge gap exists concerning the site-specific performance and economic viability of utilizing underground gas storage (UGS) sites for hydrogen storage in Europe. We compile information on European UGS sites to assess potential hydrogen storage capacity and evaluate the associated current and future costs. The total hydrogen storage potential in Europe is 349 TWh of working gas energy (WGE), with site-specific capital costs ranging from $10 million to $1 billion. Porous media and salt caverns, boasting a minimum storage capacity of 0.5 TWh WGE, exhibit levelized costs of $1.5 and $0.8 per kilogram of hydrogen, respectively. It is estimated that future levelized costs associated with hydrogen storage can potentially decrease to as low as $0.4 per kilogram after three experience cycles. Leveraging these techno-economic considerations, we identify suitable storage sites.</w:t>
      </w:r>
    </w:p>
    <w:p>
      <w:pPr>
        <w:pStyle w:val="Heading2"/>
      </w:pPr>
      <w:r>
        <w:t>757. Grassland futures in Great Britain – Productivity assessment and scenarios for land use change opportunities</w:t>
      </w:r>
    </w:p>
    <w:p>
      <w:pPr>
        <w:pStyle w:val="SourceNote"/>
      </w:pPr>
      <w:r>
        <w:rPr>
          <w:b/>
        </w:rPr>
        <w:t>Original source (2018):</w:t>
      </w:r>
      <w:r>
        <w:t xml:space="preserve"> https://doi.org/10.1016/j.scitotenv.2018.03.395</w:t>
      </w:r>
    </w:p>
    <w:p>
      <w:pPr/>
      <w:r>
        <w:t>Original wording (abstract; indexed_source_text_not_full_document_verified): The effects of climate change, rising atmospheric [CO 2 ] and technological progress on baseline DMYs were used to estimate future grassland productivities (up to 2050) for low and medium CO 2 emission scenarios of UKCP09. By 2050, productivities under medium emission scenario are predicted to increase to 15.5 and 9.8 t/ha on temporary and permanent grassland, respectively, but not on rough grassland.</w:t>
      </w:r>
    </w:p>
    <w:p>
      <w:pPr/>
      <w:r>
        <w:rPr>
          <w:b/>
        </w:rPr>
        <w:t>POSSIBLE 2026:</w:t>
      </w:r>
      <w:r>
        <w:t xml:space="preserve"> Climate Change Effects and Mechanisms on Nutritional Quality and Technological Performance of Major Agri-Food Products: A Critical Review — https://doi.org/10.1080/87559129.2026.2713621</w:t>
      </w:r>
    </w:p>
    <w:p>
      <w:pPr/>
      <w:r>
        <w:rPr>
          <w:b/>
        </w:rPr>
        <w:t>Shared claim-specific concepts:</w:t>
      </w:r>
      <w:r>
        <w:t xml:space="preserve"> climate, atmospheric, technological, but, not; EU scope not established. This is a provisional connection, not an outcome finding.</w:t>
      </w:r>
    </w:p>
    <w:p>
      <w:pPr>
        <w:pStyle w:val="SourceNote"/>
      </w:pPr>
      <w:r>
        <w:rPr>
          <w:b/>
        </w:rPr>
        <w:t>Available abstract (not full text):</w:t>
      </w:r>
      <w:r>
        <w:t xml:space="preserve"> Climate change is increasingly recognized as a major driver of alterations in food systems, affecting not only production yields but also the composition, nutritional quality, and technological performance of food raw materials. This review provides a critical synthesis of recent advances on the effects of climate change on major food matrices, including milk, cereals, vegetable oils, and fruits and vegetables. Across these systems, climate-induced stresses such as elevated temperatures, altered precipitation patterns, and increased atmospheric CO2 levels have been shown to significantly modify physicochemical and biochemical properties. These changes include reductions in protein content (notably caseins in dairy systems), alterations in lipid profiles (decreased polyunsaturated fatty acids in vegetable oils), and modifications in protein quantity and functionality in cereals, as well as shifts in bioactive compounds and quality attributes in fruits and vegetables. These compositional changes are closely linked to modifications in technological performance, impacting key processing operations including breadmaking and cheesemaking, through alterations in dough rheology and milk coagulation behavior. This review also highlights the underlying mechanisms driving these climate-induced changes, as well as current knowledge gaps and future research directions to better understand a</w:t>
      </w:r>
    </w:p>
    <w:p>
      <w:pPr/>
      <w:r>
        <w:rPr>
          <w:b/>
        </w:rPr>
        <w:t>POSSIBLE 2026:</w:t>
      </w:r>
      <w:r>
        <w:t xml:space="preserve"> Atmospheric methane removal as a third climate intervention: termination risks and air pollutant effects — https://doi.org/10.1038/s44168-026-00398-8</w:t>
      </w:r>
    </w:p>
    <w:p>
      <w:pPr/>
      <w:r>
        <w:rPr>
          <w:b/>
        </w:rPr>
        <w:t>Shared claim-specific concepts:</w:t>
      </w:r>
      <w:r>
        <w:t xml:space="preserve"> climate, atmospheric, not; EU scope not established. This is a provisional connection, not an outcome finding.</w:t>
      </w:r>
    </w:p>
    <w:p>
      <w:pPr>
        <w:pStyle w:val="SourceNote"/>
      </w:pPr>
      <w:r>
        <w:rPr>
          <w:b/>
        </w:rPr>
        <w:t>Available abstract (not full text):</w:t>
      </w:r>
      <w:r>
        <w:t xml:space="preserve"> Abstract Atmospheric Methane Removal (AMR) is a third class of climate intervention, along with Carbon Dioxide Removal (CDR) and Solar Radiation Management (SRM). We show that, unlike CDR, the avoided warming by AMR is not durable due to methane’s short atmospheric lifetime, although its temperature rebound upon termination is less abrupt than that of SRM. AMR’s impact on tropospheric ozone can be further modulated by background pollutant levels.</w:t>
      </w:r>
    </w:p>
    <w:p>
      <w:pPr/>
      <w:r>
        <w:rPr>
          <w:b/>
        </w:rPr>
        <w:t>POSSIBLE 2026:</w:t>
      </w:r>
      <w:r>
        <w:t xml:space="preserve"> Data for "Atmospheric Methane Removal as a Third Climate Intervention: Termination Risks and Air Pollutant Effects" — https://doi.org/10.5281/zenodo.18488978</w:t>
      </w:r>
    </w:p>
    <w:p>
      <w:pPr/>
      <w:r>
        <w:rPr>
          <w:b/>
        </w:rPr>
        <w:t>Shared claim-specific concepts:</w:t>
      </w:r>
      <w:r>
        <w:t xml:space="preserve"> climate, atmospheric; EU scope not established. This is a provisional connection, not an outcome finding.</w:t>
      </w:r>
    </w:p>
    <w:p>
      <w:pPr>
        <w:pStyle w:val="SourceNote"/>
      </w:pPr>
      <w:r>
        <w:rPr>
          <w:b/>
        </w:rPr>
        <w:t>Available abstract (not full text):</w:t>
      </w:r>
      <w:r>
        <w:t xml:space="preserve"> This dataset contains codes, data, tables, and figures related to the following publication: Tanaka, K., W. Xiong, D. A. Hauglustaine, D. J. A. Johansson, N. Bauer, P. Bousquet, P. Ciais, R. de Richter, M. T. Lund, R. Skeie, E. Zusman (2026) Atmospheric Methane Removal as a Third Climate Intervention: Termination Risks and Air Pollutant Effects. Arxiv (preprint). 24 January 2026. https://doi.org/10.48550/arXiv.2601.17462</w:t>
      </w:r>
    </w:p>
    <w:p>
      <w:pPr/>
      <w:r>
        <w:rPr>
          <w:b/>
        </w:rPr>
        <w:t>POSSIBLE 2025:</w:t>
      </w:r>
      <w:r>
        <w:t xml:space="preserve"> The Effects of Climate Change and Technological Advancement on Economic Recovery in Sub‐Saharan Africa — https://doi.org/10.1002/waf2.12075</w:t>
      </w:r>
    </w:p>
    <w:p>
      <w:pPr/>
      <w:r>
        <w:rPr>
          <w:b/>
        </w:rPr>
        <w:t>Shared claim-specific concepts:</w:t>
      </w:r>
      <w:r>
        <w:t xml:space="preserve"> climate, technological, increase, respectively, not; EU scope not established. This is a provisional connection, not an outcome finding.</w:t>
      </w:r>
    </w:p>
    <w:p>
      <w:pPr>
        <w:pStyle w:val="SourceNote"/>
      </w:pPr>
      <w:r>
        <w:rPr>
          <w:b/>
        </w:rPr>
        <w:t>Available abstract (not full text):</w:t>
      </w:r>
      <w:r>
        <w:t xml:space="preserve"> ABSTRACT Sub‐saharan Africa's (SSA) economy is slowly recovering from the COVID‐19 pandemic, which has led to a global economic slowdown. This study aims to investigate whether climate change factors, such as temperature and carbon dioxide (CO 2 ) emissions along with technological innovation (measured by total patent applications) can predict the economic recovery of 19 selected SSA countries from 2000 to 2022. To address this study gap, we use the kernel‐based regularized least squares (KRLS) regression not previously applied in studies examining these relationships. We account for financial development, human capital, and inflation rates in the model to enhance the analysis. KRLS is well‐suited for this study as it can handle nonlinearity, cross‐sectional dependency, reduce misspecification bias, address model overfitting, and consider variable heterogeneity. Our results show that climate change has a negative and considerable effect on SSA's economic recovery. Specifically, a 1% rise on average annual surface temperature change and CO 2 emissions corresponds to a 0.17% and 0.15% decrease in economic recovery, respectively, indicating that climate change is impeding recovery efforts. Conversely, a 1% rise on average technological innovation is linked with a 0.18% increase in economic recovery (GDP). Policy recommendations should focus on reinforcing technological innovation </w:t>
      </w:r>
    </w:p>
    <w:p>
      <w:pPr/>
      <w:r>
        <w:rPr>
          <w:b/>
        </w:rPr>
        <w:t>POSSIBLE 2025:</w:t>
      </w:r>
      <w:r>
        <w:t xml:space="preserve"> The Role Of Atmospheric Chemistry In Shaping Air Quality And Climate Change — https://doi.org/10.64252/kpbqg580</w:t>
      </w:r>
    </w:p>
    <w:p>
      <w:pPr/>
      <w:r>
        <w:rPr>
          <w:b/>
        </w:rPr>
        <w:t>Shared claim-specific concepts:</w:t>
      </w:r>
      <w:r>
        <w:t xml:space="preserve"> climate, atmospheric; EU scope not established. This is a provisional connection, not an outcome finding.</w:t>
      </w:r>
    </w:p>
    <w:p>
      <w:pPr>
        <w:pStyle w:val="SourceNote"/>
      </w:pPr>
      <w:r>
        <w:rPr>
          <w:b/>
        </w:rPr>
        <w:t>Available abstract (not full text):</w:t>
      </w:r>
      <w:r>
        <w:t xml:space="preserve"> Atmospheric chemistry plays a pivotal role in regulating air quality and driving climate change processes. The interactions between chemical species in the atmosphere—such as ozone, volatile organic compounds, nitrogen oxides, and aerosols—profoundly influence the composition, radiative balance, and oxidative capacity of the atmosphere. These chemical transformations affect both short-lived climate forcers and long-lived greenhouse gases, altering regional and global temperature patterns and contributing to extreme weather events. Human activities, particularly fossil fuel combustion, industrial processes, and land use changes, have significantly altered atmospheric chemical pathways, leading to increased concentrations of pollutants and greenhouse gases. Additionally, the feedback mechanisms between atmospheric chemistry and meteorological variables further complicate the prediction of climate and air quality outcomes. Understanding these interactions is essential for developing effective mitigation and adaptation strategies. This paper reviews the key processes of atmospheric chemistry, highlights their implications for air pollution and climate dynamics, and explores emerging research tools, including satellite remote sensing and advanced modeling, which provide deeper insights into atmospheric transformations. Emphasis is placed on the need for integrated policy frameworks </w:t>
      </w:r>
    </w:p>
    <w:p>
      <w:pPr/>
      <w:r>
        <w:rPr>
          <w:b/>
        </w:rPr>
        <w:t>POSSIBLE 2024:</w:t>
      </w:r>
      <w:r>
        <w:t xml:space="preserve"> Effects of climate change on fungal infections — https://doi.org/10.1371/journal.ppat.1012219</w:t>
      </w:r>
    </w:p>
    <w:p>
      <w:pPr/>
      <w:r>
        <w:rPr>
          <w:b/>
        </w:rPr>
        <w:t>Shared claim-specific concepts:</w:t>
      </w:r>
      <w:r>
        <w:t xml:space="preserve"> climate, atmospheric; EU scope not established. This is a provisional connection, not an outcome finding.</w:t>
      </w:r>
    </w:p>
    <w:p>
      <w:pPr>
        <w:pStyle w:val="SourceNote"/>
      </w:pPr>
      <w:r>
        <w:rPr>
          <w:b/>
        </w:rPr>
        <w:t>Available abstract (not full text):</w:t>
      </w:r>
      <w:r>
        <w:t xml:space="preserve"> Climate change significantly impacts atmospheric, ecological, agricultural, and societal systems.Documented increases in global temperature, extreme precipitation, and the frequency and intensity of severe weather events have been linked to a variety of adverse health outcomes, and conditions are expected to worsen [1].Fungi are particularly susceptible to the effects of climate change because the highest diversity and biomass of fungi are found in the top layer of soil, at the forefront of environmental changes.Fungal diseases cause a wide spectrum of illness, ranging from mild skin and mucosal infections to severe respiratory illness and lifethreatening disseminated disease.Evidence suggests that evolving weather patterns have contributed to expanded geographic ranges of endemic fungi, emergence of new pathogens, and increased antifungal resistance [2,3].This review presents an introduction to and discussion of some of the most important potential climate-related mechanisms associated with the proliferation of pathogenic fungi and associated fungal diseases (Fig 1) that could impact human and animal health.</w:t>
      </w:r>
    </w:p>
    <w:p>
      <w:pPr/>
      <w:r>
        <w:rPr>
          <w:b/>
        </w:rPr>
        <w:t>POSSIBLE 2024:</w:t>
      </w:r>
      <w:r>
        <w:t xml:space="preserve"> Understsanding the Effects of UV Radiation on Climate Change: A Comprehensive Review — https://doi.org/10.70436/nuijb.v3i02.303</w:t>
      </w:r>
    </w:p>
    <w:p>
      <w:pPr/>
      <w:r>
        <w:rPr>
          <w:b/>
        </w:rPr>
        <w:t>Shared claim-specific concepts:</w:t>
      </w:r>
      <w:r>
        <w:t xml:space="preserve"> climate, atmospheric, technological; EU scope not established. This is a provisional connection, not an outcome finding.</w:t>
      </w:r>
    </w:p>
    <w:p>
      <w:pPr>
        <w:pStyle w:val="SourceNote"/>
      </w:pPr>
      <w:r>
        <w:rPr>
          <w:b/>
        </w:rPr>
        <w:t>Available abstract (not full text):</w:t>
      </w:r>
      <w:r>
        <w:t xml:space="preserve"> ‌This review paper explores the intricate relationship between ultraviolet (UV) radiation and climate change, delving into its multifaceted effects on atmospheric processes, global temperature dynamics, biological entities, and the intricate feedback mechanisms that shape the Earth's climate. Beginning with an examination of UV radiation's interaction with the atmosphere, we uncover its role in ozone layer dynamics and its potential to influence atmospheric circulation patterns.The discussion extends to the impact of UV radiation on global temperature patterns, emphasizing its contribution to the Earth's energy balance and its interaction with greenhouse gases. Moving beyond climatic elements, we explore the biological impacts of UV radiation, encompassing its effects on human health, plant productivity, and aquatic ecosystems. We unveil the intricate feedback loops, revealing how changes induced by UV radiation can cascade through the atmosphere, ecosystems, and human societies.The technological and policy implications are scrutinized, highlighting innovations in monitoring and mitigation strategies alongside international policies crafted to address UV radiation's impact on climate change. Looking toward the future, the paper offers insights into potential advancements, challenges, and opportunities, emphasizing the need for ongoing research, global collaboration, and sustain</w:t>
      </w:r>
    </w:p>
    <w:p>
      <w:pPr/>
      <w:r>
        <w:rPr>
          <w:b/>
        </w:rPr>
        <w:t>POSSIBLE 2024:</w:t>
      </w:r>
      <w:r>
        <w:t xml:space="preserve"> CHARGED PARTICLES IN ATMOSPHERIC AIR: SIGNIFICANCE, PROPERTIES, AND IMPLICATIONS — https://openalex.org/W7219286878</w:t>
      </w:r>
    </w:p>
    <w:p>
      <w:pPr/>
      <w:r>
        <w:rPr>
          <w:b/>
        </w:rPr>
        <w:t>Shared claim-specific concepts:</w:t>
      </w:r>
      <w:r>
        <w:t xml:space="preserve"> climate, atmospheric, technological; EU scope not established. This is a provisional connection, not an outcome finding.</w:t>
      </w:r>
    </w:p>
    <w:p>
      <w:pPr>
        <w:pStyle w:val="SourceNote"/>
      </w:pPr>
      <w:r>
        <w:rPr>
          <w:b/>
        </w:rPr>
        <w:t>Available abstract (not full text):</w:t>
      </w:r>
      <w:r>
        <w:t xml:space="preserve"> The study of charged particles, or ions, in atmospheric air is of paramount importance in contemporary atmospheric science. These charged particles play a crucial role in various atmospheric processes, influencing cloud formation, precipitation patterns, and even the propagation of lightning. Understanding their properties and interactions is essential for gaining insights into weather phenomena, climate change dynamics, and strategies for mitigating environmental impacts. Charged particles also have significant implications for human activities, technological systems, and public health, making it imperative to examine their effects comprehensively. Moreover, exploring the realm of charged particles in atmospheric air offers opportunities for scientific advancements, providing valuable insights into the Earth's electrical environment and its relationship with solar and cosmic radiation. This manuscript delves into the complexities of charged particles in atmospheric air, highlighting their significance in advancing atmospheric science, weather prediction, climate change mitigation, technological innovations, and public health preservation.</w:t>
      </w:r>
    </w:p>
    <w:p>
      <w:pPr/>
      <w:r>
        <w:rPr>
          <w:b/>
        </w:rPr>
        <w:t>POSSIBLE 2024:</w:t>
      </w:r>
      <w:r>
        <w:t xml:space="preserve"> Effects of climate change on plant pathogens and host-pathogen interactions — https://doi.org/10.1016/j.crope.2024.05.003</w:t>
      </w:r>
    </w:p>
    <w:p>
      <w:pPr/>
      <w:r>
        <w:rPr>
          <w:b/>
        </w:rPr>
        <w:t>Shared claim-specific concepts:</w:t>
      </w:r>
      <w:r>
        <w:t xml:space="preserve"> climate, but, not; EU scope not established. This is a provisional connection, not an outcome finding.</w:t>
      </w:r>
    </w:p>
    <w:p>
      <w:pPr>
        <w:pStyle w:val="SourceNote"/>
      </w:pPr>
      <w:r>
        <w:rPr>
          <w:b/>
        </w:rPr>
        <w:t>Available abstract (not full text):</w:t>
      </w:r>
      <w:r>
        <w:t xml:space="preserve"> Crop production stands as a pivotal pillar of global food security, but its sustainability faces complex challenges from plant diseases, which pose a substantial threat to agricultural productivity. Climate change significantly alters the dynamics of plant pathogens, primarily through changes in temperature, humidity, and precipitation patterns, which can enhance the virulence and spread of various plant diseases. Indeed, the increased frequency of extreme weather events, which is a direct consequence of climate change, creates favorable conditions for outbreaks of plant diseases. As global temperatures rise, the geographic range of many plant pathogens is expanding, exposing new regions and species to diseases previously limited to warmer climates. Climate change not only affects the prevalence and severity of plant diseases but also influences the effectiveness of disease management strategies, necessitating adaptive approaches in agricultural practices. This review presents a thorough examination of the relationship between climate change and plant pathogens and carefully provides an analysis of the interplay between climatic shifts and disease dynamics. In addition to insights into the development of effective strategies for countering the adverse impacts of climate change on plant diseases, these insights hold significant promise for bolstering global crop production resil</w:t>
      </w:r>
    </w:p>
    <w:p>
      <w:pPr/>
      <w:r>
        <w:rPr>
          <w:b/>
        </w:rPr>
        <w:t>POSSIBLE 2024:</w:t>
      </w:r>
      <w:r>
        <w:t xml:space="preserve"> Effects of Climate Change on Insects — https://doi.org/10.1093/oso/9780192864161.001.0001</w:t>
      </w:r>
    </w:p>
    <w:p>
      <w:pPr/>
      <w:r>
        <w:rPr>
          <w:b/>
        </w:rPr>
        <w:t>Shared claim-specific concepts:</w:t>
      </w:r>
      <w:r>
        <w:t xml:space="preserve"> climate, low, but; EU scope not established. This is a provisional connection, not an outcome finding.</w:t>
      </w:r>
    </w:p>
    <w:p>
      <w:pPr>
        <w:pStyle w:val="SourceNote"/>
      </w:pPr>
      <w:r>
        <w:rPr>
          <w:b/>
        </w:rPr>
        <w:t>Available abstract (not full text):</w:t>
      </w:r>
      <w:r>
        <w:t xml:space="preserve"> Abstract Climate change is ten times faster now than in the last global warming event, 56 million years ago, with temperature and extreme weather dramatically increasing due to human activity. This rapid changes in climate affect all levels of biodiversity. However, despite their high global biodiversity, only 3 percent of global climate change literature is based on invertebrates. Evidence from the fossil record has revealed low extinction rates for insect families in past catastrophic global events and omic sciences have allowed a much deeper understanding of the insect physiological and phenological responses to heat and their genetic basis. Insects acclimate and adapt to climate change, but several fail and suffer important reductions in population sizes besides local and global extinctions. The challenge is mainly driven by climate change potentiating the negative effects of other stressful conditions such as deforestation and pollution. Some species, notably pests and vectors, benefit from current climate change and either expand their distribution ranges or invade new environments. Moreover, biotic interactions involving insects and other organisms are threatened by climate change, generating cascading effects and affecting ecosystem functions and human wellbeing. Refugia from climate change across continents are fundamental for insects to withstand climate change and ar</w:t>
      </w:r>
    </w:p>
    <w:p>
      <w:pPr/>
      <w:r>
        <w:rPr>
          <w:b/>
        </w:rPr>
        <w:t>POSSIBLE 2023:</w:t>
      </w:r>
      <w:r>
        <w:t xml:space="preserve"> The effects of climate change on mental health — https://doi.org/10.3238/arztebl.m2022.0403</w:t>
      </w:r>
    </w:p>
    <w:p>
      <w:pPr/>
      <w:r>
        <w:rPr>
          <w:b/>
        </w:rPr>
        <w:t>Shared claim-specific concepts:</w:t>
      </w:r>
      <w:r>
        <w:t xml:space="preserve"> climate, estimate, increase, not; EU scope not established. This is a provisional connection, not an outcome finding.</w:t>
      </w:r>
    </w:p>
    <w:p>
      <w:pPr>
        <w:pStyle w:val="SourceNote"/>
      </w:pPr>
      <w:r>
        <w:rPr>
          <w:b/>
        </w:rPr>
        <w:t>Available abstract (not full text):</w:t>
      </w:r>
      <w:r>
        <w:t xml:space="preserve"> BACKGROUND: All over the world, climate change is exerting negative and complex effects on human living conditions and health. In this narrative review, we summarize the current global evidence regarding the effects of climate change on mental health. METHODS: A systematic literature search concerning the direct effects of acute extreme weather events (floods, storms, fires) and chronic stresses (heat, drought) due to climate change, as well as the indirect effects of climate change (food insecurity, migration), on the diagnoses of mental disorders, psychological distress, and psychiatric emergency admissions was carried out in PubMed and PsychInfo, and supplemented by expert selection. 1017 studies were identified, and 128 were included. RESULTS: The heterogeneity of study methods does not permit any overall estimate of effect strength. The available evidence shows that traumatic experiences due to extreme weather events increase the risk of affective and anxiety disorders, especially the risk of post-traumatic stress disorder. Heat significantly increases the morbidity and mortality attributable to mental illness, as well as the frequency of psychiatric emergencies. Persistent stressors such as drought, food insecurity, and migration owing to climate change can also be major risk factors for mental illness. CONCLUSION: The consequences of climate change are stress factors for</w:t>
      </w:r>
    </w:p>
    <w:p>
      <w:pPr/>
      <w:r>
        <w:rPr>
          <w:b/>
        </w:rPr>
        <w:t>POSSIBLE 2023:</w:t>
      </w:r>
      <w:r>
        <w:t xml:space="preserve"> Effects of Climate Change and Drought Tolerance on Maize Growth — https://doi.org/10.3390/plants12203548</w:t>
      </w:r>
    </w:p>
    <w:p>
      <w:pPr/>
      <w:r>
        <w:rPr>
          <w:b/>
        </w:rPr>
        <w:t>Shared claim-specific concepts:</w:t>
      </w:r>
      <w:r>
        <w:t xml:space="preserve"> climate, increase; EU scope not established. This is a provisional connection, not an outcome finding.</w:t>
      </w:r>
    </w:p>
    <w:p>
      <w:pPr>
        <w:pStyle w:val="SourceNote"/>
      </w:pPr>
      <w:r>
        <w:rPr>
          <w:b/>
        </w:rPr>
        <w:t>Available abstract (not full text):</w:t>
      </w:r>
      <w:r>
        <w:t xml:space="preserve"> Climate change is affecting all regions of the world with different climates, and the scale of damage is increasing due to the occurrence of various natural disasters. In particular, maize production is highly affected by abnormal climate events such as heat waves and droughts. Increasing temperatures can accelerate growth and shorten the growing season, potentially reducing productivity. Additionally, enhanced temperatures during the ripening period can accelerate the process, reducing crop yields. In addition, drought stress due to water deficit can greatly affect seedling formation, early plant growth, photosynthesis, reproductive growth, and yield, so proper water management is critical to maize growth. Maize, in particular, is tall and broad-leaved, so extreme drought stress at planting can cause leaves to curl and stunt growth. It is important to understand that severe drought can have a detrimental effect on the growth and reproduction of maize. In addition, high temperatures caused by drought stress can inhibit the induction of flowering in male flowers and cause factors that interfere with pollen development. It is therefore important to increase the productivity of all food crops, including maize, while maintaining them in the face of persistent drought caused by climate change. This requires a strategy to develop genetically modified crops and drought-tolerant maize </w:t>
      </w:r>
    </w:p>
    <w:p>
      <w:pPr>
        <w:pStyle w:val="Heading2"/>
      </w:pPr>
      <w:r>
        <w:t>758. Implementing exogenous scenarios in a global MRIO model for the estimation of future environmental footprints</w:t>
      </w:r>
    </w:p>
    <w:p>
      <w:pPr>
        <w:pStyle w:val="SourceNote"/>
      </w:pPr>
      <w:r>
        <w:rPr>
          <w:b/>
        </w:rPr>
        <w:t>Original source (2018):</w:t>
      </w:r>
      <w:r>
        <w:t xml:space="preserve"> https://doi.org/10.1186/s40008-018-0118-y</w:t>
      </w:r>
    </w:p>
    <w:p>
      <w:pPr/>
      <w:r>
        <w:t>Original wording (abstract; indexed_source_text_not_full_document_verified): As an additional example, we show that the energy dependency of Europe is reduced in the 2-degree scenario compared to the 6-degree scenario, while the material dependency is higher. This paper introduces a simple approach to implementing existing climate change scenarios, such as the IEA energy technology perspective scenarios, in MRIO models.</w:t>
      </w:r>
    </w:p>
    <w:p>
      <w:pPr/>
      <w:r>
        <w:rPr>
          <w:b/>
        </w:rPr>
        <w:t>POSSIBLE 2026:</w:t>
      </w:r>
      <w:r>
        <w:t xml:space="preserve"> Challenges in digitalization in outdoor recreation: The example of the European pond turtle — https://doi.org/10.1016/j.jort.2026.101095</w:t>
      </w:r>
    </w:p>
    <w:p>
      <w:pPr/>
      <w:r>
        <w:rPr>
          <w:b/>
        </w:rPr>
        <w:t>Shared claim-specific concepts:</w:t>
      </w:r>
      <w:r>
        <w:t xml:space="preserve"> additional, example, show, climate; EU scope visible. This is a provisional connection, not an outcome finding.</w:t>
      </w:r>
    </w:p>
    <w:p>
      <w:pPr>
        <w:pStyle w:val="SourceNote"/>
      </w:pPr>
      <w:r>
        <w:rPr>
          <w:b/>
        </w:rPr>
        <w:t>Available abstract (not full text):</w:t>
      </w:r>
      <w:r>
        <w:t xml:space="preserve"> The use of digital technologies, such as smartphones, GPS, apps, social media, has significantly changed recreational use in landscapes. Not only have the possibilities for route selection, navigation and quality of experience changed, but the possibilities for conservation management have been significantly influenced as well. These changes are illustrated using the example of the European pond turtle ( Emys orbicularis) and its habitat in the Donau-Auen National Park and digital data based on Strava, a popular fitness app. The data show a significant use of paths by outdoor recreationists outside the official trail system and a deterioration of habitats as a consequence. Against this background, challenges for recreational planning and the management of protected areas are discussed. Additional negative influences caused by climate change are likely to worsen the situation. Therefore, the protection of wet habitats of the pond turtle requires adapted visitor management and additional measures to ensure the reproduction of this endangered species close to the Viennese metropolitan area.</w:t>
      </w:r>
    </w:p>
    <w:p>
      <w:pPr/>
      <w:r>
        <w:rPr>
          <w:b/>
        </w:rPr>
        <w:t>POSSIBLE 2025:</w:t>
      </w:r>
      <w:r>
        <w:t xml:space="preserve"> Future evolution of large floods in Europe — https://doi.org/10.5194/egusphere-egu25-9464</w:t>
      </w:r>
    </w:p>
    <w:p>
      <w:pPr/>
      <w:r>
        <w:rPr>
          <w:b/>
        </w:rPr>
        <w:t>Shared claim-specific concepts:</w:t>
      </w:r>
      <w:r>
        <w:t xml:space="preserve"> example, show, reduced, existing, climate; EU scope visible. This is a provisional connection, not an outcome finding.</w:t>
      </w:r>
    </w:p>
    <w:p>
      <w:pPr>
        <w:pStyle w:val="SourceNote"/>
      </w:pPr>
      <w:r>
        <w:rPr>
          <w:b/>
        </w:rPr>
        <w:t>Available abstract (not full text):</w:t>
      </w:r>
      <w:r>
        <w:t xml:space="preserve"> Large floods regularly cause loss of life and substantial economic damage. In a warmer climate, increased precipitation variability and extremes, combined with reduced snowmelt, are expected to alter flood characteristics, but how the dynamics of large floods across Europe will evolve under climate change remains unclear. Many existing grid-based and catchment-based studies lack the capacity to systematically identify widespread floods associated with larger impacts. This study addresses these gaps by identifying large, spatially connected floods in Europe based on the spatio-temporal connectivity of runoff extremes, which is derived from daily routed runoff simulations driven by five CMIP5 models under various warming levels. Further, a comprehensive set of flood metrics—including frequency, timing, extent, and volume—is quantified to assess future flood changes. Additionally, the underlying drivers of these changes are investigated. We show that earlier snowmelt generally leads to earlier floods, while increasing precipitation contributions attenuates flood seasonality. In western and central Europe, projected increases in precipitation amplify flood extents and volumes, particularly for the most extreme floods. In contrast, reduced snowmelt dominates flood changes in northern Europe. Interestingly, floods of different magnitudes exhibit varied responses to global warming. Fo</w:t>
      </w:r>
    </w:p>
    <w:p>
      <w:pPr/>
      <w:r>
        <w:rPr>
          <w:b/>
        </w:rPr>
        <w:t>POSSIBLE 2025:</w:t>
      </w:r>
      <w:r>
        <w:t xml:space="preserve"> Attribution of flood impacts shows strong benefits of adaptation in Europe since 1950 — https://doi.org/10.1126/sciadv.adt7068</w:t>
      </w:r>
    </w:p>
    <w:p>
      <w:pPr/>
      <w:r>
        <w:rPr>
          <w:b/>
        </w:rPr>
        <w:t>Shared claim-specific concepts:</w:t>
      </w:r>
      <w:r>
        <w:t xml:space="preserve"> show, climate; EU scope visible. This is a provisional connection, not an outcome finding.</w:t>
      </w:r>
    </w:p>
    <w:p>
      <w:pPr>
        <w:pStyle w:val="SourceNote"/>
      </w:pPr>
      <w:r>
        <w:rPr>
          <w:b/>
        </w:rPr>
        <w:t>Available abstract (not full text):</w:t>
      </w:r>
      <w:r>
        <w:t xml:space="preserve"> Abstract Flood impacts in Europe are considered to be increasing, especially in connection to climate change. However, attribution of impacts to climatic and societal drivers of past floods has been limited to a selection of recent events. Here, we present an impact attribution study covering 1729 riverine, coastal and compound events that were responsible for the large majority of flood-related impacts in Europe between 1950 and 2020. We show that in most regions the magnitude of flood impacts has been regulated primarily by the opposing direct human actions. On the one hand, the population and economic value at risk have increased, exacerbated by land use change. However, it was compensated by improved risk management, manifested by better flood protection and lower vulnerability. Climate change and human alterations of river catchments were also important drivers in many regions, but ultimately less relevant for trends in total, continental-wide impacts. Overall, our study highlights the need for multidimensional impact attribution of past natural hazards. Attribution results for individual events are available on https://naturalhazards.eu/.</w:t>
      </w:r>
    </w:p>
    <w:p>
      <w:pPr/>
      <w:r>
        <w:rPr>
          <w:b/>
        </w:rPr>
        <w:t>POSSIBLE 2025:</w:t>
      </w:r>
      <w:r>
        <w:t xml:space="preserve"> Reduced pesticide dependency through crop management — https://doi.org/10.1007/s42452-025-07248-y</w:t>
      </w:r>
    </w:p>
    <w:p>
      <w:pPr/>
      <w:r>
        <w:rPr>
          <w:b/>
        </w:rPr>
        <w:t>Shared claim-specific concepts:</w:t>
      </w:r>
      <w:r>
        <w:t xml:space="preserve"> dependency, reduced; EU scope visible. This is a provisional connection, not an outcome finding.</w:t>
      </w:r>
    </w:p>
    <w:p>
      <w:pPr>
        <w:pStyle w:val="SourceNote"/>
      </w:pPr>
      <w:r>
        <w:rPr>
          <w:b/>
        </w:rPr>
        <w:t>Available abstract (not full text):</w:t>
      </w:r>
      <w:r>
        <w:t xml:space="preserve"> The persistent overuse of synthetic pesticides in agriculture has triggered ecological degradation, human health risks, and pest resistance, demanding urgent systemic change. This paper examines how integrated crop management—through agroecological diversification, chemical innovation, and biopesticide adoption—can reduce pesticide dependency while sustaining productivity. We synthesize findings from recent field studies and chemical ecology literature, with case studies from Cambodia, Bangladesh, and Europe. These examples illustrate measurable reductions in pesticide use (up to 61%) and maintenance or improvement of yields. The review highlights plant secondary metabolites, biological signaling compounds, and microbial-based pesticides as key components of environmentally responsive pest management. A conceptual framework is proposed to guide the integration of these strategies within a broader sustainable agriculture agenda. This analysis offers evidence-based pathways to shift from reactive chemical reliance toward ecologically grounded, resilient farming systems.</w:t>
      </w:r>
    </w:p>
    <w:p>
      <w:pPr/>
      <w:r>
        <w:rPr>
          <w:b/>
        </w:rPr>
        <w:t>POSSIBLE 2024:</w:t>
      </w:r>
      <w:r>
        <w:t xml:space="preserve"> Typical earthworm assemblages of European ecosystem types — https://doi.org/10.1111/ejss.13584</w:t>
      </w:r>
    </w:p>
    <w:p>
      <w:pPr/>
      <w:r>
        <w:rPr>
          <w:b/>
        </w:rPr>
        <w:t>Shared claim-specific concepts:</w:t>
      </w:r>
      <w:r>
        <w:t xml:space="preserve"> example, higher, existing; EU scope visible. This is a provisional connection, not an outcome finding.</w:t>
      </w:r>
    </w:p>
    <w:p>
      <w:pPr>
        <w:pStyle w:val="SourceNote"/>
      </w:pPr>
      <w:r>
        <w:rPr>
          <w:b/>
        </w:rPr>
        <w:t>Available abstract (not full text):</w:t>
      </w:r>
      <w:r>
        <w:t xml:space="preserve"> Abstract For nature conservation and planning, terrestrial ecosystems are commonly classified based on their plant communities. Although soils are fundamental to ecosystem functioning, ecosystem classifications based on soil organisms are rare, and it is poorly understood whether their assemblage compositions follow existing classification schemes. We examined whether commonly used ecosystem types capture variation in earthworm (Lumbricidae) assemblages—a crucial biotic component of soil ecosystems. To this end, we created four ecosystem classifications by combining large‐scale climatic classifications (Biogeographic Regions [BGR] and Holdridge Life Zones [HLZ]) with small‐scale land cover classifications (CORINE Land Cover [CLC] and European Nature Information System [EUNIS]). European earthworm assemblage data from the sWORM and Edaphobase databases were analysed for variation in composition within and among ecosystem types, using Permutational Analysis of Variance and Analysis of Similarities. Additionally, we used Typical Species Analysis to establish typical earthworm assemblages (TAs) for each ecosystem type. Ecosystem classifications using the BGR explained more variance than HLZ, but HLZ showed a higher separation of assemblages between ecosystem types. The differentiation between Atlantic and Continental climates in the BGR could explain the superiority over the HLZ, w</w:t>
      </w:r>
    </w:p>
    <w:p>
      <w:pPr/>
      <w:r>
        <w:rPr>
          <w:b/>
        </w:rPr>
        <w:t>POSSIBLE 2024:</w:t>
      </w:r>
      <w:r>
        <w:t xml:space="preserve"> Greece: Time to Reduce the Dependency on Imports — https://openalex.org/W7216647585</w:t>
      </w:r>
    </w:p>
    <w:p>
      <w:pPr/>
      <w:r>
        <w:rPr>
          <w:b/>
        </w:rPr>
        <w:t>Shared claim-specific concepts:</w:t>
      </w:r>
      <w:r>
        <w:t xml:space="preserve"> energy, dependency, higher; EU scope visible. This is a provisional connection, not an outcome finding.</w:t>
      </w:r>
    </w:p>
    <w:p>
      <w:pPr>
        <w:pStyle w:val="SourceNote"/>
      </w:pPr>
      <w:r>
        <w:rPr>
          <w:b/>
        </w:rPr>
        <w:t>Available abstract (not full text):</w:t>
      </w:r>
      <w:r>
        <w:t xml:space="preserve"> Hit by the financial crisis in 2010-2012 and the imposed austerity that followed made prospects for a quick recovery unattainable for Greece and even worsened them by the Covid-19 pandemic hurting its tourism-dependent economy more than any other Euro-member country.To add insult to injury, the inflationary spiral caused to a large extent by the pandemic-related supply chain disruptions further exacerbated by the Ukraine-Russia conflict inflicting more pain for the Greek import-dependent energy and foodstuff economy.Inflation rose at levels seen in the 1990s and only recently the average rate seems to have declined with some exceptions on foodstuff, in particular, that are reminiscent of even higher levels of the 1980s.Despite the difficulties in negotiating the ever-increasing prices of basic goods with</w:t>
      </w:r>
    </w:p>
    <w:p>
      <w:pPr/>
      <w:r>
        <w:rPr>
          <w:b/>
        </w:rPr>
        <w:t>POSSIBLE 2023:</w:t>
      </w:r>
      <w:r>
        <w:t xml:space="preserve"> Additional substitutions in elite European football — https://doi.org/10.1177/17479541231164090</w:t>
      </w:r>
    </w:p>
    <w:p>
      <w:pPr/>
      <w:r>
        <w:rPr>
          <w:b/>
        </w:rPr>
        <w:t>Shared claim-specific concepts:</w:t>
      </w:r>
      <w:r>
        <w:t xml:space="preserve"> additional, show; EU scope visible. This is a provisional connection, not an outcome finding.</w:t>
      </w:r>
    </w:p>
    <w:p>
      <w:pPr>
        <w:pStyle w:val="SourceNote"/>
      </w:pPr>
      <w:r>
        <w:rPr>
          <w:b/>
        </w:rPr>
        <w:t>Available abstract (not full text):</w:t>
      </w:r>
      <w:r>
        <w:t xml:space="preserve"> In 2020, the International Football Association Board (IFAB) introduced a temporary rule amendment of two additional substitutions in regular time. In this study, we assess the impact of this rule change with regard to player relief, tactical influence by the coaches and the development of young players. Data were collected from 3652 matches from the top 5 leagues in the Union of European Football Associations (UEFA) rankings and 659 UEFA club competition matches (Champions League and Europa League) in 2 different seasons (pre-rule amendment: 2018/2019 vs. post-rule amendment: 2020/2021), comparing leagues that introduced two additional substitutions with those that did not. The results show that with two additional substitutions, the reduction in player load was increased by 46%. Despite being used infrequently, the rule change resulted in 45% more substitutions and, therefore, greater tactical influence by the coaches. Furthermore, two additional substitutions benefit young players’ development with an 81% increase in playing time. While the aim of the temporary amendment to the laws of the game was achieved with the additional substitutions by compensating for the increased load on the players, coaches’ substitution behaviour shows potential for improvement.</w:t>
      </w:r>
    </w:p>
    <w:p>
      <w:pPr/>
      <w:r>
        <w:rPr>
          <w:b/>
        </w:rPr>
        <w:t>POSSIBLE 2023:</w:t>
      </w:r>
      <w:r>
        <w:t xml:space="preserve"> Can sediments play a role in river flood risk mapping? Learning from selected European examples — https://doi.org/10.1186/s40677-023-00250-9</w:t>
      </w:r>
    </w:p>
    <w:p>
      <w:pPr/>
      <w:r>
        <w:rPr>
          <w:b/>
        </w:rPr>
        <w:t>Shared claim-specific concepts:</w:t>
      </w:r>
      <w:r>
        <w:t xml:space="preserve"> additional, show, approach, climate, perspective; EU scope visible. This is a provisional connection, not an outcome finding.</w:t>
      </w:r>
    </w:p>
    <w:p>
      <w:pPr>
        <w:pStyle w:val="SourceNote"/>
      </w:pPr>
      <w:r>
        <w:rPr>
          <w:b/>
        </w:rPr>
        <w:t>Available abstract (not full text):</w:t>
      </w:r>
      <w:r>
        <w:t xml:space="preserve"> Abstract Background Climate change and increasing anthropogenic pressure are two of the major drivers of increasing extreme events like droughts and floods. To deal with the increasing number of flooding events hitting Europe in the last few decades, around twenty years ago the European Commission started to develop ad-hoc legislation to reduce flood risk by mapping flood hazard and risk areas, such as the Directive 2007/60/EC on the Assessment and Management of Flood Risk. This Directive looks to identify regions where flood management strategies should be prioritized. Despite this holistic approach, flaws connected to the consideration of sediment transport and morphological changes in rivers exist, leading to potential underestimations of the impact of floods affecting active watercourses or areas subjected to frequent morphological changes. Results By discussing six examples related to European lowland and mountain watercourses affected by significant floods in the last 20 years, the present mini-review aims to provide additional evidence on the need for a rethinking of flood risk mapping, moving from a “clear water” perspective to a more integrated approach, where the interactions between all the fluvial components (water, sediment, biota, and humans) are adequately considered. Conclusions The examples reported here show the importance of considering sediment and wood in f</w:t>
      </w:r>
    </w:p>
    <w:p>
      <w:pPr/>
      <w:r>
        <w:rPr>
          <w:b/>
        </w:rPr>
        <w:t>POSSIBLE 2023:</w:t>
      </w:r>
      <w:r>
        <w:t xml:space="preserve"> Quantifying the effects of nature-based solutions in reducing risks from hydrometeorological hazards: Examples from Europe — https://doi.org/10.1016/j.ijdrr.2023.103771</w:t>
      </w:r>
    </w:p>
    <w:p>
      <w:pPr/>
      <w:r>
        <w:rPr>
          <w:b/>
        </w:rPr>
        <w:t>Shared claim-specific concepts:</w:t>
      </w:r>
      <w:r>
        <w:t xml:space="preserve"> show, approach, climate; EU scope visible. This is a provisional connection, not an outcome finding.</w:t>
      </w:r>
    </w:p>
    <w:p>
      <w:pPr>
        <w:pStyle w:val="SourceNote"/>
      </w:pPr>
      <w:r>
        <w:rPr>
          <w:b/>
        </w:rPr>
        <w:t>Available abstract (not full text):</w:t>
      </w:r>
      <w:r>
        <w:t xml:space="preserve"> The combination of climate change and social and ecological factors will increase risks societies face from hydrometeorological hazards (HMH). Reducing these risks is typically achieved through the deployment of engineered (or grey) infrastructure but increasingly, nature-based solutions (NBS) are being considered. Most risk assessment frameworks do not allow capturing well the role NBS can play in addressing all components of risk, i.e., the hazard characteristics and the exposure and vulnerability of social-ecological systems. Recently, the Vulnerability and Risk assessment framework developed to allow the assessment of risks in the context of NBS implementation (VR-NBS framework) was proposed. Here, we carry out the first implementation of this framework using five case study areas in Europe which are exposed to various HMH. Our results show that we can demonstrate the effect NBS have in terms of risk reduction and that this can be achieved by using a flexible library of indicators that allows to capture the specificities of each case study hazard, social and ecological circumstances. The approach appears to be more effective for larger case study areas, but further testing is required in a broader variety of contexts.</w:t>
      </w:r>
    </w:p>
    <w:p>
      <w:pPr/>
      <w:r>
        <w:rPr>
          <w:b/>
        </w:rPr>
        <w:t>POSSIBLE 2023:</w:t>
      </w:r>
      <w:r>
        <w:t xml:space="preserve"> The role of shared mobility in reducing perceived private car dependency — https://doi.org/10.1016/j.trd.2023.104023</w:t>
      </w:r>
    </w:p>
    <w:p>
      <w:pPr/>
      <w:r>
        <w:rPr>
          <w:b/>
        </w:rPr>
        <w:t>Shared claim-specific concepts:</w:t>
      </w:r>
      <w:r>
        <w:t xml:space="preserve"> show, dependency, existing; EU scope not established. This is a provisional connection, not an outcome finding.</w:t>
      </w:r>
    </w:p>
    <w:p>
      <w:pPr>
        <w:pStyle w:val="SourceNote"/>
      </w:pPr>
      <w:r>
        <w:rPr>
          <w:b/>
        </w:rPr>
        <w:t>Available abstract (not full text):</w:t>
      </w:r>
      <w:r>
        <w:t xml:space="preserve"> Existing contributions have explored the effect of specific shared-mobility services on car ownership reduction, but there is still a lack of analysis regarding the impact of shared-mobility, understood as new mobility concept. To fill this gap, a survey gathering 15,666 responses from residents in the Region of Madrid was conducted. A Multilevel Ordered Logit explored the individual and spatial dimensions of the potential of shared mobility to reduce car ownership. The results show that frequent car users and individuals owning more cars are less likely to believe they could give them up, but the adoption of moped-sharing or carsharing moderates this effect. For those who do not own a car, shared-mobility seems to be effective reducing their perceived need to own one in the future. Finally, the potential reduction of car ownership is more evident in dense urban areas, but a considerable spatial heterogeneity is observed throughout the metropolitan area.</w:t>
      </w:r>
    </w:p>
    <w:p>
      <w:pPr/>
      <w:r>
        <w:rPr>
          <w:b/>
        </w:rPr>
        <w:t>POSSIBLE 2022:</w:t>
      </w:r>
      <w:r>
        <w:t xml:space="preserve"> Models for analysing the dependencies between indicators for bioeconomy in the European Union — https://doi.org/10.1080/1331677x.2021.1997623</w:t>
      </w:r>
    </w:p>
    <w:p>
      <w:pPr/>
      <w:r>
        <w:rPr>
          <w:b/>
        </w:rPr>
        <w:t>Shared claim-specific concepts:</w:t>
      </w:r>
      <w:r>
        <w:t xml:space="preserve"> dependency, higher; EU scope visible. This is a provisional connection, not an outcome finding.</w:t>
      </w:r>
    </w:p>
    <w:p>
      <w:pPr>
        <w:pStyle w:val="SourceNote"/>
      </w:pPr>
      <w:r>
        <w:rPr>
          <w:b/>
        </w:rPr>
        <w:t>Available abstract (not full text):</w:t>
      </w:r>
      <w:r>
        <w:t xml:space="preserve"> In the past decade, bioeconomy has become a main field of interest, especially in terms of innovation, as it was often considered a potential solution to several global sustainability issues, such as environmental challenges. Through the conversion of biomass into value-added products for a full reintegration of used renewable biological resources, this sector has played a significant role in the efforts to transfer from petroleum-based economies to bio-based economies. The present article has the objective of developing panel regression models for determining the dependency between some of the main indicators of the bioeconomy development and sustainability for the European Union in the period 2008–2013. One main interesting finding of the study emphasised that higher gas emissions from agriculture are associated positively with higher turnover in the bioeconomy, implying the fact that the development of the bioeconomy is surprisingly not necessarily associated with sustainability. The relevance of the present study lies in the novelty of the subject, as bioeconomy was mainly researched in terms of theoretical knowledge, but less in terms of statistical analysis. Thus, the article offers a comprehensive research regarding the connection of the bioeconomy quantifying indicators and other selected economic influence factors of the European Union.</w:t>
      </w:r>
    </w:p>
    <w:p>
      <w:pPr/>
      <w:r>
        <w:rPr>
          <w:b/>
        </w:rPr>
        <w:t>POSSIBLE 2021:</w:t>
      </w:r>
      <w:r>
        <w:t xml:space="preserve"> How to reduce the degree of dependency on natural resources? — https://doi.org/10.1016/j.resourpol.2021.102047</w:t>
      </w:r>
    </w:p>
    <w:p>
      <w:pPr/>
      <w:r>
        <w:rPr>
          <w:b/>
        </w:rPr>
        <w:t>Shared claim-specific concepts:</w:t>
      </w:r>
      <w:r>
        <w:t xml:space="preserve"> dependency, reduced, degree; EU scope not established. This is a provisional connection, not an outcome finding.</w:t>
      </w:r>
    </w:p>
    <w:p>
      <w:pPr>
        <w:pStyle w:val="SourceNote"/>
      </w:pPr>
      <w:r>
        <w:rPr>
          <w:b/>
        </w:rPr>
        <w:t>Available abstract (not full text):</w:t>
      </w:r>
      <w:r>
        <w:t xml:space="preserve"> Many natural resources rich countries are characterized by natural resource dependency and lack of economic diversification. They experience lower economic growth due to excessive exploitation of natural resources, high resource price volatility, undermining the competitiveness of the non-natural resources sectors, and weak institutional quality. Economic diversification is viewed as a long-term solution to high economic dependency on natural resources. Although this diversification can take place in every sector of the economy, economic dependency on natural resources can be reduced through both private sector development and public sector reforms. This empirical research examines the factors that may affect a country's degree of dependency on natural resources. A dynamic flexible adjustment model is employed om an unbalanced panel data for 110 countries from 1990 to 2017, to estimate the relationship between private sector development, public sector reforms, taxation systems, and dependency on natural. The findings reveal that the degree of dependency on natural resource revenue will reduce with the development of the public sector including privatization and development of national taxation systems. Institutional quality and human development are crucial for reducing this dependency and the speed at which countries transition towards an optimal level of diversification.</w:t>
      </w:r>
    </w:p>
    <w:p>
      <w:pPr>
        <w:pStyle w:val="Heading2"/>
      </w:pPr>
      <w:r>
        <w:t>759. Multi-Model Projections of River Flood Risk in Europe under Global Warming</w:t>
      </w:r>
    </w:p>
    <w:p>
      <w:pPr>
        <w:pStyle w:val="SourceNote"/>
      </w:pPr>
      <w:r>
        <w:rPr>
          <w:b/>
        </w:rPr>
        <w:t>Original source (2018):</w:t>
      </w:r>
      <w:r>
        <w:t xml:space="preserve"> https://doi.org/10.3390/cli6010006</w:t>
      </w:r>
    </w:p>
    <w:p>
      <w:pPr/>
      <w:r>
        <w:t>Original wording (abstract; indexed_source_text_not_full_document_verified): Knowledge on the costs of natural disasters under climate change is key information for planning adaptation and mitigation strategies of future climate policies. This work compares estimates of river flood risk in Europe from three recent case studies, assuming global warming scenarios of 1.5, 2, and 3 degrees Celsius from pre-industrial levels.</w:t>
      </w:r>
    </w:p>
    <w:p>
      <w:pPr/>
      <w:r>
        <w:rPr>
          <w:b/>
        </w:rPr>
        <w:t>POSSIBLE 2026:</w:t>
      </w:r>
      <w:r>
        <w:t xml:space="preserve"> Systemic barriers and untapped potentials: a SWOT study on the implementation of natural/small water retention measures in Europe — https://doi.org/10.1016/j.jrurstud.2026.104099</w:t>
      </w:r>
    </w:p>
    <w:p>
      <w:pPr/>
      <w:r>
        <w:rPr>
          <w:b/>
        </w:rPr>
        <w:t>Shared claim-specific concepts:</w:t>
      </w:r>
      <w:r>
        <w:t xml:space="preserve"> knowledge, natural, climate, adaptation, mitigation, case; EU scope visible. This is a provisional connection, not an outcome finding.</w:t>
      </w:r>
    </w:p>
    <w:p>
      <w:pPr>
        <w:pStyle w:val="SourceNote"/>
      </w:pPr>
      <w:r>
        <w:rPr>
          <w:b/>
        </w:rPr>
        <w:t>Available abstract (not full text):</w:t>
      </w:r>
      <w:r>
        <w:t xml:space="preserve"> There is strong evidence that ecosystem-based approaches, such as Natural/Small Water Retention Measures (NSWRMs) can be an important solution to problems associated with managing water quality and quantity, soil erosion, and nutrient loss. Moreover, they deliver multiple co-benefits such as increased biodiversity, climate change adaptation and mitigation, alongside aesthetic and recreational functions. However, despite their apparent advantages and significant political momentum for their expanded deployment, implementation of NSWRMs remains slow. This study asks why this is the case and employs a methodologically rigorous variant of the SWOT framework combining qualitative and quantitative (scoring and cluster analysis) elements to assess the exact barriers and potentials for increasing the NSWRMs’ implementation across Europe. The empirical analysis draws on case studies of fourteen small watersheds distributed across twelve European countries to explore the factors affecting the NSWRMs adoption, evaluate their relative importance, and identify necessary intervention areas for their better uptake. Our findings indicate that the main drivers for NSWRMs implementation are high knowledge availability through formal and informal networks, as well as support through advisory services. On the other hand, the main hindrances are inadequate financing schemes but also uncertain socie</w:t>
      </w:r>
    </w:p>
    <w:p>
      <w:pPr/>
      <w:r>
        <w:rPr>
          <w:b/>
        </w:rPr>
        <w:t>POSSIBLE 2025:</w:t>
      </w:r>
      <w:r>
        <w:t xml:space="preserve"> Restoring semi-natural grasslands in Central Europe with plant material transfer – achievements, success factors, and knowledge transfer — https://doi.org/10.22029/jlupub-20455</w:t>
      </w:r>
    </w:p>
    <w:p>
      <w:pPr/>
      <w:r>
        <w:rPr>
          <w:b/>
        </w:rPr>
        <w:t>Shared claim-specific concepts:</w:t>
      </w:r>
      <w:r>
        <w:t xml:space="preserve"> knowledge, climate, information, three; EU scope visible. This is a provisional connection, not an outcome finding.</w:t>
      </w:r>
    </w:p>
    <w:p>
      <w:pPr>
        <w:pStyle w:val="SourceNote"/>
      </w:pPr>
      <w:r>
        <w:rPr>
          <w:b/>
        </w:rPr>
        <w:t>Available abstract (not full text):</w:t>
      </w:r>
      <w:r>
        <w:t xml:space="preserve"> Since the industrial revolution, land use changes and intensification of use have drastically reduced the area of species-rich, semi-natural grasslands in Central Europe. Active restoration of these ecosystems is therefore necessary and increasingly demanded by legislation. One method to (re-)introduce target plant species is the transfer of seed-containing plant material cut from species-rich, semi-natural donor sites. Given the urgency of the restoration task, the aim of this thesis is to contribute to understanding the success factors of this method, particularly in practice. In a first study, 20 recipient sites of floodplain meadow restoration in Hesse, Germany, were revisited and investigated for vegetation composition in comparison to their corresponding donor sites 13-16 years after plant material transfer. To assess the potential for livestock feeding, biomass yield and energy contents were measured, too. In a second study, 41 recipient-donor site pairs from practical grassland restoration projects in different regions of Germany and Luxembourg spanning a broad moisture gradient were investigated. Vegetation was recorded, and soil analyses and information on restoration from the practice partners were used for success factor identification. In a third study, 33 practitioners of grassland restoration with plant material transfer were interviewed to compare their views on</w:t>
      </w:r>
    </w:p>
    <w:p>
      <w:pPr/>
      <w:r>
        <w:rPr>
          <w:b/>
        </w:rPr>
        <w:t>POSSIBLE 2025:</w:t>
      </w:r>
      <w:r>
        <w:t xml:space="preserve"> A Soil Monitoring Law for Europe — https://doi.org/10.1002/gch2.202400336</w:t>
      </w:r>
    </w:p>
    <w:p>
      <w:pPr/>
      <w:r>
        <w:rPr>
          <w:b/>
        </w:rPr>
        <w:t>Shared claim-specific concepts:</w:t>
      </w:r>
      <w:r>
        <w:t xml:space="preserve"> knowledge, natural, climate, estimates; EU scope visible. This is a provisional connection, not an outcome finding.</w:t>
      </w:r>
    </w:p>
    <w:p>
      <w:pPr>
        <w:pStyle w:val="SourceNote"/>
      </w:pPr>
      <w:r>
        <w:rPr>
          <w:b/>
        </w:rPr>
        <w:t>Available abstract (not full text):</w:t>
      </w:r>
      <w:r>
        <w:t xml:space="preserve"> Over 60% of European soils are unhealthy according to the Soil Mission board estimates and the indicators presented in the European Union (EU) Soil degradation dashboard. The situation may worsen if no policy interventions are taken. The unsustainable use of natural resources, in particular the degradation of soils, precipitates biodiversity loss, exacerbated by the climate crisis. In particular, in the EU alone, soil degradation costs over €50 billion per year due to the loss of essential services they provide and to the impact on human health. Here a more precise estimation of the soil degradation cost related to a set of soil degradation processes, ranging between €40.9 and 72.7 billion per year is presented. This newly updated estimate compared to the Impact assessment of the Soil Monitoring Law takes into account the costs of soil erosion, contamination, phosphorus losses, soil carbon losses, nitrogen losses, soil compaction, and soil sealing. However, this estimation might double if it is added to the costs of soil biodiversity loss, floods, droughts, off-site effects of soil erosion, and health consequences of soil contamination. Therefore, further research is needed to address this knowledge gap and estimate the missing costs. Soil degradation is a critical issue with transboundary implications that requires urgent attention and action at the EU level. The costs of soil</w:t>
      </w:r>
    </w:p>
    <w:p>
      <w:pPr/>
      <w:r>
        <w:rPr>
          <w:b/>
        </w:rPr>
        <w:t>POSSIBLE 2023:</w:t>
      </w:r>
      <w:r>
        <w:t xml:space="preserve"> Biological Deterioration and Natural Durability of Wood in Europe — https://doi.org/10.3390/f14020283</w:t>
      </w:r>
    </w:p>
    <w:p>
      <w:pPr/>
      <w:r>
        <w:rPr>
          <w:b/>
        </w:rPr>
        <w:t>Shared claim-specific concepts:</w:t>
      </w:r>
      <w:r>
        <w:t xml:space="preserve"> natural, climate, key, recent; EU scope visible. This is a provisional connection, not an outcome finding.</w:t>
      </w:r>
    </w:p>
    <w:p>
      <w:pPr>
        <w:pStyle w:val="SourceNote"/>
      </w:pPr>
      <w:r>
        <w:rPr>
          <w:b/>
        </w:rPr>
        <w:t>Available abstract (not full text):</w:t>
      </w:r>
      <w:r>
        <w:t xml:space="preserve"> In recent years, the use of wood has gained social interest, leading to a global increase in its demand. Yet, this demand is often covered by the production of woods of low natural durability against biological deterioration. The main biological agents with the potential to attack the structural integrity of wood are wood-decay fungi, saproxylic beetles, termites, and marine molluscs and crustaceans. In most circumstances, fungi are the main wood-deteriorating agents. To attack the cell wall, wood-decay fungi combine a complex enzymatic mechanism with non-enzymatic mechanisms based on low-molecular-weight compounds. In some cases, the larvae of saproxylic beetles can also digest cell wood components, causing serious deterioration to wooden structures. The impact of subterranean termites in Europe is concentrated in the Southern countries, causing important economic losses. However, alien invasive species of voracious subterranean termites are expanding their presence in Europe. Wooden elements in permanent contact with marine water can be readily deteriorated by mollusc and crustacean borers, for which current preservatives lack efficacy. The natural durability of wood is defined as the inherent resistance of wood to catastrophic action by wood-destroying organisms. Besides exposure to the climate, product design and use conditions, the natural durability of wood is key to the </w:t>
      </w:r>
    </w:p>
    <w:p>
      <w:pPr/>
      <w:r>
        <w:rPr>
          <w:b/>
        </w:rPr>
        <w:t>POSSIBLE 2023:</w:t>
      </w:r>
      <w:r>
        <w:t xml:space="preserve"> Costs and benefits of climate services for heat-health adaptation in Europe — https://doi.org/10.1093/eurpub/ckad160.371</w:t>
      </w:r>
    </w:p>
    <w:p>
      <w:pPr/>
      <w:r>
        <w:rPr>
          <w:b/>
        </w:rPr>
        <w:t>Shared claim-specific concepts:</w:t>
      </w:r>
      <w:r>
        <w:t xml:space="preserve"> knowledge, climate, information, adaptation, work; EU scope visible. This is a provisional connection, not an outcome finding.</w:t>
      </w:r>
    </w:p>
    <w:p>
      <w:pPr>
        <w:pStyle w:val="SourceNote"/>
      </w:pPr>
      <w:r>
        <w:rPr>
          <w:b/>
        </w:rPr>
        <w:t>Available abstract (not full text):</w:t>
      </w:r>
      <w:r>
        <w:t xml:space="preserve"> Abstract Background Climate services for health aim to support informed decision-making and enable early action and preparedness. More knowledge is still needed regarding the costs and benefits of climate services, as well as effectiveness, and technical, structural, and societal barriers and facilitators to implementation and use. Aim To map the evidence on the economic assessment and use of climate services for health in reducing heat-associated mortality and morbidity and explore the societal impact of climate services, particularly in Europe. Methods We focus on two methods in this study: 1) a scoping review of literature on the economic assessment and health benefit of climate services 2) a set of interviews with climate service developers and providers in Europe to understand further technical and societal aspects as well as evaluation of such services. Findings From the scoping review, a total of 27 peer-reviewed articles all presenting heat early warning systems (HEWS) that work on a weather timescale were identified. The results from economic assessment studies suggested HEWS can produce health benefits greater than the operational cost, even during future climate change scenarios. While most of the studies assessing health outcomes have suggested that HEWS can help in reducing heat-related mortality and morbidity, some concluded no significant impact and some suggeste</w:t>
      </w:r>
    </w:p>
    <w:p>
      <w:pPr/>
      <w:r>
        <w:rPr>
          <w:b/>
        </w:rPr>
        <w:t>POSSIBLE 2023:</w:t>
      </w:r>
      <w:r>
        <w:t xml:space="preserve"> Does climate change drive up government healthcare costs in the European Union? — https://doi.org/10.3389/fenvs.2023.1286099</w:t>
      </w:r>
    </w:p>
    <w:p>
      <w:pPr/>
      <w:r>
        <w:rPr>
          <w:b/>
        </w:rPr>
        <w:t>Shared claim-specific concepts:</w:t>
      </w:r>
      <w:r>
        <w:t xml:space="preserve"> climate, warming; EU scope visible. This is a provisional connection, not an outcome finding.</w:t>
      </w:r>
    </w:p>
    <w:p>
      <w:pPr>
        <w:pStyle w:val="SourceNote"/>
      </w:pPr>
      <w:r>
        <w:rPr>
          <w:b/>
        </w:rPr>
        <w:t>Available abstract (not full text):</w:t>
      </w:r>
      <w:r>
        <w:t xml:space="preserve"> The continuous growth in average temperature around the world, caused especially by CO2 emissions, generates climate changes significantly impacts not only economic or social domains, but also human health. The previous literature provides evidence of degradation of human health due to climate change and emphasizes pressure on governments to increase government spending on health. The aim of this study is to analyze the impact of climate change, expressed by temperature and CO2 emissions, on healthcare spending in the European Union member states using available data from 2000 to 2020. In addition to prior research, this paper incorporates supplementary control variables such as governance, macroeconomic factors (GDP and inflation) and human development index. To capture the dynamic impact of climate change on healthcare expenditure, we use the Generalized Method of Moments (GMM) technique and the panel VAR Granger causality method. Empirical findings suggest that an increase in temperature and CO2 emissions levels, along with improvements in governance, economic growth, inflation, and human development, contribute to higher healthcare expenditures. Rising temperature and CO2 emissions are directly increasing the health burden on individuals’ health and force governments to enhance health spending. The paper is notable for its comprehensive approach, filling a significant gap i</w:t>
      </w:r>
    </w:p>
    <w:p>
      <w:pPr/>
      <w:r>
        <w:rPr>
          <w:b/>
        </w:rPr>
        <w:t>POSSIBLE 2023:</w:t>
      </w:r>
      <w:r>
        <w:t xml:space="preserve"> Influence of Climate and Geographical Location on the Development of Scientific Knowledge In Europe and Asia — https://openalex.org/W7215669423</w:t>
      </w:r>
    </w:p>
    <w:p>
      <w:pPr/>
      <w:r>
        <w:rPr>
          <w:b/>
        </w:rPr>
        <w:t>Shared claim-specific concepts:</w:t>
      </w:r>
      <w:r>
        <w:t xml:space="preserve"> knowledge, natural, climate; EU scope visible. This is a provisional connection, not an outcome finding.</w:t>
      </w:r>
    </w:p>
    <w:p>
      <w:pPr>
        <w:pStyle w:val="SourceNote"/>
      </w:pPr>
      <w:r>
        <w:rPr>
          <w:b/>
        </w:rPr>
        <w:t>Available abstract (not full text):</w:t>
      </w:r>
      <w:r>
        <w:t xml:space="preserve"> Does this mean that geographical factors determine the fate of a country's development? If yes, to what extent? If not, what measures should be taken to ensure long-term economic growth? We will try to shed light on these and other questions in this article. Geographically isolated countries and their common problems, it is no secret that the development of a country is significantly influenced by its geographical location and natural features.</w:t>
      </w:r>
    </w:p>
    <w:p>
      <w:pPr/>
      <w:r>
        <w:rPr>
          <w:b/>
        </w:rPr>
        <w:t>POSSIBLE 2023:</w:t>
      </w:r>
      <w:r>
        <w:t xml:space="preserve"> Techno-economic analysis of underground hydrogen storage in Europe — https://doi.org/10.1016/j.isci.2023.108771</w:t>
      </w:r>
    </w:p>
    <w:p>
      <w:pPr/>
      <w:r>
        <w:rPr>
          <w:b/>
        </w:rPr>
        <w:t>Shared claim-specific concepts:</w:t>
      </w:r>
      <w:r>
        <w:t xml:space="preserve"> knowledge, information, three; EU scope visible. This is a provisional connection, not an outcome finding.</w:t>
      </w:r>
    </w:p>
    <w:p>
      <w:pPr>
        <w:pStyle w:val="SourceNote"/>
      </w:pPr>
      <w:r>
        <w:rPr>
          <w:b/>
        </w:rPr>
        <w:t>Available abstract (not full text):</w:t>
      </w:r>
      <w:r>
        <w:t xml:space="preserve"> Hydrogen storage is crucial to developing secure renewable energy systems to meet the European Union's 2050 carbon neutrality objectives. However, a knowledge gap exists concerning the site-specific performance and economic viability of utilizing underground gas storage (UGS) sites for hydrogen storage in Europe. We compile information on European UGS sites to assess potential hydrogen storage capacity and evaluate the associated current and future costs. The total hydrogen storage potential in Europe is 349 TWh of working gas energy (WGE), with site-specific capital costs ranging from $10 million to $1 billion. Porous media and salt caverns, boasting a minimum storage capacity of 0.5 TWh WGE, exhibit levelized costs of $1.5 and $0.8 per kilogram of hydrogen, respectively. It is estimated that future levelized costs associated with hydrogen storage can potentially decrease to as low as $0.4 per kilogram after three experience cycles. Leveraging these techno-economic considerations, we identify suitable storage sites.</w:t>
      </w:r>
    </w:p>
    <w:p>
      <w:pPr/>
      <w:r>
        <w:rPr>
          <w:b/>
        </w:rPr>
        <w:t>POSSIBLE 2023:</w:t>
      </w:r>
      <w:r>
        <w:t xml:space="preserve"> SPECIFICATIONS OF THE ACCOUNTING OF HUMAN CAPITAL COSTS IN THE COUNTRIES OF THE EUROPEAN UNION — https://doi.org/10.30525/978-9934-26-268-5-16</w:t>
      </w:r>
    </w:p>
    <w:p>
      <w:pPr/>
      <w:r>
        <w:rPr>
          <w:b/>
        </w:rPr>
        <w:t>Shared claim-specific concepts:</w:t>
      </w:r>
      <w:r>
        <w:t xml:space="preserve"> knowledge, information; EU scope visible. This is a provisional connection, not an outcome finding.</w:t>
      </w:r>
    </w:p>
    <w:p>
      <w:pPr>
        <w:pStyle w:val="SourceNote"/>
      </w:pPr>
      <w:r>
        <w:rPr>
          <w:b/>
        </w:rPr>
        <w:t>Available abstract (not full text):</w:t>
      </w:r>
      <w:r>
        <w:t xml:space="preserve"> The section was published based on the results of the implementation of the state budget research topic “Building a system of accounting and analytical informatio and auditing of the activities of entities at different levels of management” (state registration number 0121U110164). Accounting for costs of human capital in accounting and analytical information takes a thorough position. In the modern economy of knowledge, human capital is the most valuable resource for the harmonious development of national economies. The specifics of human capital expense accounting are determined by the immateriality of the asset and the meaningfulness of its content. The purpose of the study is to reveal the specifics of accounting for human capital costs in general and in the countries of the European Union, in particular. It is appropriate to provide practical recommendations on their accounting, taking into account the specifics. The specifics of accounting for human capital costs are given. A large number of interpretations of the “human capital” category was revealed. Their legal regulation is needed. It was determined that it is advisable to apply “International Financial Reporting Standards” for human capital accounting. It is proposed to develop a comprehensive accounting of costs for human capital in IFRS. An analysis of the budgets of the European Union states was carried out, taking</w:t>
      </w:r>
    </w:p>
    <w:p>
      <w:pPr/>
      <w:r>
        <w:rPr>
          <w:b/>
        </w:rPr>
        <w:t>POSSIBLE 2022:</w:t>
      </w:r>
      <w:r>
        <w:t xml:space="preserve"> Global economic costs and knowledge gaps of invasive gastropods — https://doi.org/10.1016/j.ecolind.2022.109614</w:t>
      </w:r>
    </w:p>
    <w:p>
      <w:pPr/>
      <w:r>
        <w:rPr>
          <w:b/>
        </w:rPr>
        <w:t>Shared claim-specific concepts:</w:t>
      </w:r>
      <w:r>
        <w:t xml:space="preserve"> knowledge, information; EU scope visible. This is a provisional connection, not an outcome finding.</w:t>
      </w:r>
    </w:p>
    <w:p>
      <w:pPr>
        <w:pStyle w:val="SourceNote"/>
      </w:pPr>
      <w:r>
        <w:rPr>
          <w:b/>
        </w:rPr>
        <w:t>Available abstract (not full text):</w:t>
      </w:r>
      <w:r>
        <w:t xml:space="preserve"> Invasive alien gastropods are a particularly pervasive taxonomic group worldwide, often causing substantial impacts on aquatic and terrestrial ecosystems. Yet, much remains unknown about this invasive group’s economic costs to human society. Here, we used the InvaCost database to evaluate the taxonomic, spatial, and temporal patterns of economic costs associated with invasive gastropods on the global scale. In total, 13 species of invasive gastropods caused a cumulative global cost of US$ 3.94 billion over the period 1966–2020, with a majority being attributed to aquatic species ($ 3.72 billion, 94.4 %, concentrated mostly in Asia) and only $ 0.22 billion (5.6 %, concentrated mostly in Europe) to terrestrial species. Among different regions, Asia (3.71 billion) reported the greatest costs, compared to far lower costs reported in Europe (214.50 million), North America (13.80 million), Oceania (2.69 million), South America (&lt;1 million) and Africa (&lt;1 million). The vast majority (94.2 %) of these costs were due to the family Ampullariidae and the genus Pomacea (apple snails) which were largely reported in Asia. Furthermore, 88.4 % of total gastropod-related costs resulted from direct resource damages and losses, being one order of magnitude higher than management related costs (9.0 %). A majority (81.5 %) of total gastropod costs was incurred by agriculture, and relatively little </w:t>
      </w:r>
    </w:p>
    <w:p>
      <w:pPr/>
      <w:r>
        <w:rPr>
          <w:b/>
        </w:rPr>
        <w:t>POSSIBLE 2022:</w:t>
      </w:r>
      <w:r>
        <w:t xml:space="preserve"> Closing the loop on plastics in Europe: The role of data, information and knowledge — https://doi.org/10.1016/j.spc.2022.08.019</w:t>
      </w:r>
    </w:p>
    <w:p>
      <w:pPr/>
      <w:r>
        <w:rPr>
          <w:b/>
        </w:rPr>
        <w:t>Shared claim-specific concepts:</w:t>
      </w:r>
      <w:r>
        <w:t xml:space="preserve"> knowledge, key, information, policies, work, recent; EU scope visible. This is a provisional connection, not an outcome finding.</w:t>
      </w:r>
    </w:p>
    <w:p>
      <w:pPr>
        <w:pStyle w:val="SourceNote"/>
      </w:pPr>
      <w:r>
        <w:rPr>
          <w:b/>
        </w:rPr>
        <w:t>Available abstract (not full text):</w:t>
      </w:r>
      <w:r>
        <w:t xml:space="preserve"> Concerns over plastic waste and support for a plastic circular economy have been growing in recent years. Specific needs to promote re-circulation of plastics in terms of data, information and knowledge are poorly understood. Based on the multi-level perspective on socio-technical transitions and semi-structured interviews with key stakeholders, this paper aims to understand how information and knowledge issues may inhibit or foster the development of secondary plastics markets in Europe. Results highlight that key barriers associated with data-information-knowledge map across, and interact with, policies and standards, market and technology, socio-cultural norms, networks and business models. The packaging sector has drawn more policy attention, and institutions to support information sharing such as labelling and certification are more mature. The automotive and EEE sectors have illustrated knowledge diffusion through supply chain collaboration, while the construction sector appears to have slower practical progress on industry-level knowledge diffusion. This paper contributes to the multi-level perspective on transition studies by focusing the empirical work on a new area of plastic circular economy. The cases playing out across the whole value chain and four different application areas provide insights that are potentially more widely applicable to the circular economy tran</w:t>
      </w:r>
    </w:p>
    <w:p>
      <w:pPr/>
      <w:r>
        <w:rPr>
          <w:b/>
        </w:rPr>
        <w:t>POSSIBLE 2022:</w:t>
      </w:r>
      <w:r>
        <w:t xml:space="preserve"> Global economic costs of mammal invasions — https://doi.org/10.1016/j.scitotenv.2022.159479</w:t>
      </w:r>
    </w:p>
    <w:p>
      <w:pPr/>
      <w:r>
        <w:rPr>
          <w:b/>
        </w:rPr>
        <w:t>Shared claim-specific concepts:</w:t>
      </w:r>
      <w:r>
        <w:t xml:space="preserve"> knowledge, natural; EU scope visible. This is a provisional connection, not an outcome finding.</w:t>
      </w:r>
    </w:p>
    <w:p>
      <w:pPr>
        <w:pStyle w:val="SourceNote"/>
      </w:pPr>
      <w:r>
        <w:rPr>
          <w:b/>
        </w:rPr>
        <w:t>Available abstract (not full text):</w:t>
      </w:r>
      <w:r>
        <w:t xml:space="preserve"> Invasive alien mammals cause huge adverse ecological impact on human society and natural ecosystems. Although studies have estimated economic costs of mammal invasions at regional scales, there is lacking the large-scale comprehensive assessment of currency costs for this taxon. Here, we estimated the economic cost of invasive alien mammals on a global scale using the most comprehensive global database compiling economic costs of invasive species (InvaCost). From 1960 to 2021, mammal invasions caused costs (summing damage costs and management costs) of US$ 462.49 billion to the global economy, while the total amount of robust costs reached US$ 52.49 billion. The majority of the total economic costs corresponded to damage costs (90.27 %), while only 7.43 % were related to management cost. Economic costs showed an increasing trend over time. The distribution of costs was uneven among taxonomic groups and regions, with the global total cost highly biasing toward to 5 species (European rabbit, Domestic cat, Black rat, Wild boar and Coypu), and North America reporting much higher costs (60.78 % of total economic costs) than other regions. The total costs were borne by agriculture, environment, authorities stakeholders and other sectors. Geographic and taxonomic biases suggested that total economic costs caused by invasive alien mammals were underestimated. Integrated research effort</w:t>
      </w:r>
    </w:p>
    <w:p>
      <w:pPr>
        <w:pStyle w:val="Heading2"/>
      </w:pPr>
      <w:r>
        <w:t>760. New European socio-economic scenarios for climate change research: operationalising concepts to extend the shared socio-economic pathways</w:t>
      </w:r>
    </w:p>
    <w:p>
      <w:pPr>
        <w:pStyle w:val="SourceNote"/>
      </w:pPr>
      <w:r>
        <w:rPr>
          <w:b/>
        </w:rPr>
        <w:t>Original source (2018):</w:t>
      </w:r>
      <w:r>
        <w:t xml:space="preserve"> https://doi.org/10.1007/s10113-018-1400-0</w:t>
      </w:r>
    </w:p>
    <w:p>
      <w:pPr/>
      <w:r>
        <w:t>Original wording (abstract; indexed_source_text_not_full_document_verified): Scenarios have been recognised as a useful tool for planning, which have resulted in a strong increase in the number of (multi-scale) scenarios in climate change research. We present a set of four European SSPs until 2100 and a novel method to develop qualitative stories for Europe equivalent to the global SSPs starting from an existing set of European scenarios.</w:t>
      </w:r>
    </w:p>
    <w:p>
      <w:pPr/>
      <w:r>
        <w:rPr>
          <w:b/>
        </w:rPr>
        <w:t>POSSIBLE 2026:</w:t>
      </w:r>
      <w:r>
        <w:t xml:space="preserve"> Ventilator built-in software: is it a useful and reliable tool? — https://doi.org/10.23866/brnrev:2026-0005</w:t>
      </w:r>
    </w:p>
    <w:p>
      <w:pPr/>
      <w:r>
        <w:rPr>
          <w:b/>
        </w:rPr>
        <w:t>Shared claim-specific concepts:</w:t>
      </w:r>
      <w:r>
        <w:t xml:space="preserve"> useful, tool, novel; EU scope not established. This is a provisional connection, not an outcome finding.</w:t>
      </w:r>
    </w:p>
    <w:p>
      <w:pPr>
        <w:pStyle w:val="SourceNote"/>
      </w:pPr>
      <w:r>
        <w:rPr>
          <w:b/>
        </w:rPr>
        <w:t>Available abstract (not full text):</w:t>
      </w:r>
      <w:r>
        <w:t xml:space="preserve"> Home mechanical ventilation devices incorporate built-in software (BIS) that continuously records adherence, leaks, tidal volume, respiratory rate, and the apnea-hypopnea index (AHI), constituting a fundamental pillar in the follow-up of patients with chronic respiratory failure on non-invasive ventilation.Reliability of leak estimation and AHI varies considerably between manufacturers.The predictive use of BIS for early detection of chronic obstructive pulmonary disease (COPD) exacerbations is promising but requires prospective validation.Telemonitoring integrates BIS with cloud platforms, enabling remote adjustment and early warning, although hospitalisation reduction in severe COPD remains unproven.Artificial intelligence and Big Data represent the most novel frontier.Ideal software should provide full access to ventilator parameters and alarms, simultaneous multi-signal visualization, transcutaneous capnography integration, and manual event correction tools.</w:t>
      </w:r>
    </w:p>
    <w:p>
      <w:pPr/>
      <w:r>
        <w:rPr>
          <w:b/>
        </w:rPr>
        <w:t>POSSIBLE 2025:</w:t>
      </w:r>
      <w:r>
        <w:t xml:space="preserve"> Digital design as a tool for teaching primary schools’ students to recognise artistic techniques in texts — https://doi.org/10.1177/20427530251358506</w:t>
      </w:r>
    </w:p>
    <w:p>
      <w:pPr/>
      <w:r>
        <w:rPr>
          <w:b/>
        </w:rPr>
        <w:t>Shared claim-specific concepts:</w:t>
      </w:r>
      <w:r>
        <w:t xml:space="preserve"> tool, increase, develop; EU scope not established. This is a provisional connection, not an outcome finding.</w:t>
      </w:r>
    </w:p>
    <w:p>
      <w:pPr>
        <w:pStyle w:val="SourceNote"/>
      </w:pPr>
      <w:r>
        <w:rPr>
          <w:b/>
        </w:rPr>
        <w:t>Available abstract (not full text):</w:t>
      </w:r>
      <w:r>
        <w:t xml:space="preserve"> The aim of the study was to investigate the potential of digital design for the development of art recognition skills in primary school students. To achieve this goal, methods of analysis were applied, which included a comparative study of global and national educational platforms, an assessment of their potential for building literary skills, and a content analysis of instructional texts. The methodological approach was based on the integration of data on the effectiveness of digital technologies, the use of multimedia and visualisation in educational practice. The study revealed that educational platforms such as Canva, Popplet, Padlet and Book Creator play a key role in the development of creative thinking, analytical and visualisation skills in primary school students. The Kazakh platforms BilimLand, Opiq. kz, Daryn. online and iMektep have demonstrated their effectiveness by adapting to the national context and integrating interactive tasks that facilitate the analysis of literary texts. Digital design incorporating multimedia elements, gamification and interactive presentations was found to significantly increase student engagement and improve their understanding of complex literary devices such as metaphors, hyperbole and epithets. The study also showed that digital competencies are an integral part of the educational process, fostering students’ critical thinking, indep</w:t>
      </w:r>
    </w:p>
    <w:p>
      <w:pPr/>
      <w:r>
        <w:rPr>
          <w:b/>
        </w:rPr>
        <w:t>POSSIBLE 2025:</w:t>
      </w:r>
      <w:r>
        <w:t xml:space="preserve"> Scaling Decision‐Support Tools to Promote Soil Health: Insights From Stakeholders in Europe and Turkey — https://doi.org/10.1111/ejss.70113</w:t>
      </w:r>
    </w:p>
    <w:p>
      <w:pPr/>
      <w:r>
        <w:rPr>
          <w:b/>
        </w:rPr>
        <w:t>Shared claim-specific concepts:</w:t>
      </w:r>
      <w:r>
        <w:t xml:space="preserve"> tool, climate, set, develop; EU scope visible. This is a provisional connection, not an outcome finding.</w:t>
      </w:r>
    </w:p>
    <w:p>
      <w:pPr>
        <w:pStyle w:val="SourceNote"/>
      </w:pPr>
      <w:r>
        <w:rPr>
          <w:b/>
        </w:rPr>
        <w:t>Available abstract (not full text):</w:t>
      </w:r>
      <w:r>
        <w:t xml:space="preserve"> ABSTRACT Soil health and climate change are increasingly impacting agriculture across Europe. Decision support tools (DSTs) have emerged as essential tools to help make accurate, evidence‐based agricultural decisions aimed at enhancing productivity, profitability, and effective soil health management. Nevertheless, the adoption of these tools remains limited among farmers and varies across different regions. The aim of this study was to investigate, through a participatory approach, the challenges and drivers influencing the uptake and adoption of DSTs for sustainable soil management in Europe and Turkey. Our goal was to engage various stakeholders to identify the challenges and drivers associated with this process and collaboratively develop actionable recommendations to expand the application of DSTs. Multi‐stakeholder workshops were conducted in Italy, Latvia, Sweden and Turkey, bringing together end‐users, farmers, advisors, tool developers, researchers and policymakers from diverse agricultural contexts. The discussions during these workshops addressed the current use of DSTs, barriers to adoption, and potential solutions for scaling their use. The findings revealed that the primary barriers to adoption and scaling included costs, tool viability, data complexity, limited access to technical support, compatibility issues and insufficient marketing. To overcome these barrier</w:t>
      </w:r>
    </w:p>
    <w:p>
      <w:pPr/>
      <w:r>
        <w:rPr>
          <w:b/>
        </w:rPr>
        <w:t>POSSIBLE 2024:</w:t>
      </w:r>
      <w:r>
        <w:t xml:space="preserve"> Understanding and simulating cropland and non-cropland burning in Europe using the BASE (Burnt Area Simulator for Europe) model — https://doi.org/10.5194/bg-21-5539-2024</w:t>
      </w:r>
    </w:p>
    <w:p>
      <w:pPr/>
      <w:r>
        <w:rPr>
          <w:b/>
        </w:rPr>
        <w:t>Shared claim-specific concepts:</w:t>
      </w:r>
      <w:r>
        <w:t xml:space="preserve"> useful, tool, strong, climate, novel; EU scope visible. This is a provisional connection, not an outcome finding.</w:t>
      </w:r>
    </w:p>
    <w:p>
      <w:pPr>
        <w:pStyle w:val="SourceNote"/>
      </w:pPr>
      <w:r>
        <w:rPr>
          <w:b/>
        </w:rPr>
        <w:t>Available abstract (not full text):</w:t>
      </w:r>
      <w:r>
        <w:t xml:space="preserve"> Abstract. Fire interacts with many parts of the Earth system. However, its drivers are myriad and complex, interacting differently in different regions depending on prevailing climate regimes, vegetation types, socioeconomic development, and land use and management. Europe is facing strong increases in projected meteorological fire danger as a consequence of climate change, and has experienced extreme fire seasons and events in recent years. Here, we focus on understanding and simulating burnt area across a European study domain using remote sensing data and Generalised Linear Models (GLMs). We first examined fire occurrence across land cover types and found that all non-cropland vegetation types (NCV, comprising 26 % of burnt area) burned with similar spatial and temporal patterns, which were very distinct from those in croplands (74 % of burned area). We then used GLMs to predict cropland and NCV burnt area at ~9x9 km and monthly spatial and temporal resolution, respectively, which together we termed BASE (Burnt Area Simulator for Europe). Compared to satellite burned area products, BASE effectively captured the general spatial and temporal patterns of burning, explaining 32 % (NCV) and 36 % (cropland) of the deviance, and gave similar performance of state-of-the-art global fire models. The most important drivers were fire weather and monthly indices derived from gross primar</w:t>
      </w:r>
    </w:p>
    <w:p>
      <w:pPr/>
      <w:r>
        <w:rPr>
          <w:b/>
        </w:rPr>
        <w:t>POSSIBLE 2024:</w:t>
      </w:r>
      <w:r>
        <w:t xml:space="preserve"> Evolution of Energy Audits and Energy Management Systems: Legislation, Tools and Professionals at the Service of Energy Efficiency — https://doi.org/10.1051/e3sconf/202452304008</w:t>
      </w:r>
    </w:p>
    <w:p>
      <w:pPr/>
      <w:r>
        <w:rPr>
          <w:b/>
        </w:rPr>
        <w:t>Shared claim-specific concepts:</w:t>
      </w:r>
      <w:r>
        <w:t xml:space="preserve"> recognised, useful, tool; EU scope visible. This is a provisional connection, not an outcome finding.</w:t>
      </w:r>
    </w:p>
    <w:p>
      <w:pPr>
        <w:pStyle w:val="SourceNote"/>
      </w:pPr>
      <w:r>
        <w:rPr>
          <w:b/>
        </w:rPr>
        <w:t>Available abstract (not full text):</w:t>
      </w:r>
      <w:r>
        <w:t xml:space="preserve"> For several decades, Energy Audits have been recognised as a key tool for designing and implementing interventions to improve the overall efficiency of systems, sites and fleets. This concept has gained both European and international recognition for understanding and identifying situations that can yield efficiency gains. This has been re-affirmed with the recent publication of the “Directive (EU) 2023/1791 13 09 23 on energy efficiency” As far as regulatory tools are concerned, the European standards UNI CEI EN 16247 Energy Audits: 1,2,3 e 4 have recently been revised, while at internation-al level, the current revision of ISO 50002 “Energy Audits Requirements with guidance for use (1-2-3” aims to replace the European standards for an unambiguous international reference. Regarding the professionals involved, the revision of ’UNI CEI 11339 Energy Management Experts...’ will include the competences of the Energy Auditor, as 16247-5. This contribution aims to illustrate the most recent state of the art at the date of its publication. It will be useful to guide practitioners on how to prepare themselves in the short and medium term to comply with the regulations, enabling them to organise themselves effectively and offer energy efficiency solutions calculated and guaranteed by certified professionals or organisations to their customers and users.</w:t>
      </w:r>
    </w:p>
    <w:p>
      <w:pPr/>
      <w:r>
        <w:rPr>
          <w:b/>
        </w:rPr>
        <w:t>POSSIBLE 2023:</w:t>
      </w:r>
      <w:r>
        <w:t xml:space="preserve"> Nitrogen palaeo-isoscapes: Changing spatial gradients of faunal δ15N in late Pleistocene and early Holocene Europe — https://doi.org/10.1371/journal.pone.0268607</w:t>
      </w:r>
    </w:p>
    <w:p>
      <w:pPr/>
      <w:r>
        <w:rPr>
          <w:b/>
        </w:rPr>
        <w:t>Shared claim-specific concepts:</w:t>
      </w:r>
      <w:r>
        <w:t xml:space="preserve"> recognised, useful, tool, climate, present; EU scope visible. This is a provisional connection, not an outcome finding.</w:t>
      </w:r>
    </w:p>
    <w:p>
      <w:pPr>
        <w:pStyle w:val="SourceNote"/>
      </w:pPr>
      <w:r>
        <w:rPr>
          <w:b/>
        </w:rPr>
        <w:t>Available abstract (not full text):</w:t>
      </w:r>
      <w:r>
        <w:t xml:space="preserve"> Nitrogen isotope ratio analysis (δ15N) of animal tissue is widely used in archaeology and palaeoecology to investigate diet and ecological niche. Data interpretations require an understanding of nitrogen isotope compositions at the base of the food web (baseline δ15N). Significant variation in animal δ15N has been recognised at various spatiotemporal scales and related to changes both in baseline δ15N, linked to environmental and climatic influence on the terrestrial nitrogen cycle, and animal ecology. Isoscapes (models of isotope spatial variation) have proved a useful tool for investigating spatial variability in biogeochemical cycles in present-day marine and terrestrial ecosystems, but so far, their application to palaeo-data has been more limited. Here, we present time-sliced nitrogen isoscapes for late Pleistocene and early Holocene Europe (c. 50,000 to 10,000 years BP) using herbivore collagen δ15N data. This period covers the Last Glacial-Interglacial Transition, during which significant variation in the terrestrial nitrogen cycle occurred. We use generalized linear mixed modelling approaches for interpolation and test models which both include and exclude climate covariate data. Our results show clear changes in spatial gradients of δ15N through time. Prediction of the lowest faunal δ15N values in northern latitudes after, rather than during, the Last Glacial Maximum i</w:t>
      </w:r>
    </w:p>
    <w:p>
      <w:pPr/>
      <w:r>
        <w:rPr>
          <w:b/>
        </w:rPr>
        <w:t>POSSIBLE 2023:</w:t>
      </w:r>
      <w:r>
        <w:t xml:space="preserve"> Birds in Europe 4: the fourth assessment of Species of European Conservation Concern — https://doi.org/10.1017/s0959270923000187</w:t>
      </w:r>
    </w:p>
    <w:p>
      <w:pPr/>
      <w:r>
        <w:rPr>
          <w:b/>
        </w:rPr>
        <w:t>Shared claim-specific concepts:</w:t>
      </w:r>
      <w:r>
        <w:t xml:space="preserve"> number, four; EU scope visible. This is a provisional connection, not an outcome finding.</w:t>
      </w:r>
    </w:p>
    <w:p>
      <w:pPr>
        <w:pStyle w:val="SourceNote"/>
      </w:pPr>
      <w:r>
        <w:rPr>
          <w:b/>
        </w:rPr>
        <w:t>Available abstract (not full text):</w:t>
      </w:r>
      <w:r>
        <w:t xml:space="preserve"> Summary This is the fourth comprehensive assessment of the population status of all wild bird species in Europe. It identifies Species of European Conservation Concern (SPECs) so that action can be taken to improve their status. Species are categorised according to their global extinction risk, the size and trend of their European population and range, and Europe’s global responsibility for them. Of the 546 species assessed, 207 (38%) are SPECs: 74 (14%) of global concern (SPEC 1); 32 (6%) of European concern and concentrated in Europe (SPEC 2); and 101 (18%) of European concern but not concentrated in Europe (SPEC 3). The proportion of SPECs has remained similar (38–43%) across all four assessments since 1994, but the number of SPEC 1 species of global concern has trebled. The 44 species assessed as Non-SPECs in the third assessment (2017) but as SPECs here include multiple waders, raptors and passerines that breed in arctic, boreal or alpine regions, highlighting the growing importance of northern Europe and mountain ecosystems for bird conservation. Conversely, the 62 species assessed as SPECs in 2017 but as Non-SPECs here include various large waterbirds and raptors that are recovering due to conservation action. Since 1994, the number of specially protected species (listed on Annex I of the EU Birds Directive) qualifying as SPECs has fallen by 33%, while the number of hunt</w:t>
      </w:r>
    </w:p>
    <w:p>
      <w:pPr/>
      <w:r>
        <w:rPr>
          <w:b/>
        </w:rPr>
        <w:t>POSSIBLE 2023:</w:t>
      </w:r>
      <w:r>
        <w:t xml:space="preserve"> Split-root system as a useful tool to study woody plant biology — https://doi.org/10.1007/s11104-023-06025-3</w:t>
      </w:r>
    </w:p>
    <w:p>
      <w:pPr/>
      <w:r>
        <w:rPr>
          <w:b/>
        </w:rPr>
        <w:t>Shared claim-specific concepts:</w:t>
      </w:r>
      <w:r>
        <w:t xml:space="preserve"> useful, tool, method; EU scope not established. This is a provisional connection, not an outcome finding.</w:t>
      </w:r>
    </w:p>
    <w:p>
      <w:pPr>
        <w:pStyle w:val="SourceNote"/>
      </w:pPr>
      <w:r>
        <w:rPr>
          <w:b/>
        </w:rPr>
        <w:t>Available abstract (not full text):</w:t>
      </w:r>
      <w:r>
        <w:t xml:space="preserve"> Abstract The split-root system technique has been used to analyse plant biology for several decades, but woody plants have not received enough attention in this experimental approach. Historically, several methods have been developed, ranging from the simplest method of dividing a root into two parts and placing them in separate containers to more complex methods, such as grafting a second root from another plant. Each method has advantages and disadvantages that determine the goals of the experiment. Thus far, research using the split-root system has covered only 62 species of woody plants, mainly to investigate the water shortage effect on water acquisition. Many studies have also considered the significance of functional root-system diversity for plant fertilisation, which allows a better understanding of ion transport regulation mechanisms and some anatomical and functional features of woody plants. Ion uptake and transport have been studied frequently using isotope labelling. The split-root system method also offers interesting possibilities for studying the interactions of plants with other organisms. For example, this method was used to study root colonization strategies by mycorrhizal fungi. The comprehensive analysis of the split-root system technique in this review provides fine-scale information on the future concepts needed to study root-system biology, as the abili</w:t>
      </w:r>
    </w:p>
    <w:p>
      <w:pPr/>
      <w:r>
        <w:rPr>
          <w:b/>
        </w:rPr>
        <w:t>POSSIBLE 2022:</w:t>
      </w:r>
      <w:r>
        <w:t xml:space="preserve"> Integrating nature conservation measures in european forest management – An exploratory study of barriers and drivers in 9 european countries — https://doi.org/10.1016/j.jenvman.2022.116619</w:t>
      </w:r>
    </w:p>
    <w:p>
      <w:pPr/>
      <w:r>
        <w:rPr>
          <w:b/>
        </w:rPr>
        <w:t>Shared claim-specific concepts:</w:t>
      </w:r>
      <w:r>
        <w:t xml:space="preserve"> climate, qualitative; EU scope visible. This is a provisional connection, not an outcome finding.</w:t>
      </w:r>
    </w:p>
    <w:p>
      <w:pPr>
        <w:pStyle w:val="SourceNote"/>
      </w:pPr>
      <w:r>
        <w:rPr>
          <w:b/>
        </w:rPr>
        <w:t>Available abstract (not full text):</w:t>
      </w:r>
      <w:r>
        <w:t xml:space="preserve"> Integrative forest management approaches, aiming to combine the provision of multiple forest ecosystem services in the same forest area, are popular forest management concepts in Europe. Their understanding and application varies, however, across the continent. This paper looks at one dimension of integrative forest management approaches in particular - the integration of nature conservation measures into forest management; focusing on its understanding and application, as well as current and future social, technological, ecological, economic and political factors enabling or hampering this integration. Drawing on 42 qualitative in-depth interviews with national experts and forest practitioners, our study provides insights into the integration of nature conservation measures into forest management systems aimed at wood production and the provision of other forest ecosystem services under various conditions. Across the investigated countries, the main factors perceived to facilitate this integration are the personal motivations and knowledge of forest managers and their long-term economic thinking related to the resilience of the forest in the face of climate and societal change. In turn, the main factors perceived as hampering the integration are current wood-market demands, and a lack of (public) financial incentives. Public pressure is also perceived as an important influenci</w:t>
      </w:r>
    </w:p>
    <w:p>
      <w:pPr/>
      <w:r>
        <w:rPr>
          <w:b/>
        </w:rPr>
        <w:t>POSSIBLE 2022:</w:t>
      </w:r>
      <w:r>
        <w:t xml:space="preserve"> Health at a Glance: Europe 2022 — https://doi.org/10.1787/507433b0-en</w:t>
      </w:r>
    </w:p>
    <w:p>
      <w:pPr/>
      <w:r>
        <w:rPr>
          <w:b/>
        </w:rPr>
        <w:t>Shared claim-specific concepts:</w:t>
      </w:r>
      <w:r>
        <w:t xml:space="preserve"> strong, set; EU scope visible. This is a provisional connection, not an outcome finding.</w:t>
      </w:r>
    </w:p>
    <w:p>
      <w:pPr>
        <w:pStyle w:val="SourceNote"/>
      </w:pPr>
      <w:r>
        <w:rPr>
          <w:b/>
        </w:rPr>
        <w:t>Available abstract (not full text):</w:t>
      </w:r>
      <w:r>
        <w:t xml:space="preserve"> The last two years have seen multiple crises considerably impacting citizens' physical and mental health, as well as posing a significant threat to the global economy and societal well-being.As EU and OECD economies gradually recover from the critical phase of the COVID-19 pandemic, their economic and social outlooks have become more uncertain following Russia's war of aggression against Ukraine.Major hikes in energy and commodity prices have aggravated inflationary pressures at a time when a cost-of-living crisis was already taking a heavy toll on economies and societies everywhere, and especially low-income households.It is in this uncertain geopolitical, economic and public health environment that we are releasing this 2022 edition of Health at a Glance: Europe, a visible output of the continued strong collaboration between the European Commission and the OECD.Promoting better public health and stronger health systems in Europe and around the world remain strategic priorities for both the European Commission and OECD.Moreover, for the first time, this edition of Health at a Glance: Europe reports key indicators of health and health systems for Ukraine and Moldova.The focus of this edition is on:  Strengthening the resilience of health systems, crisis preparedness and response capacity through targeted investments; Promoting better prevention and treatment of cancer and oth</w:t>
      </w:r>
    </w:p>
    <w:p>
      <w:pPr/>
      <w:r>
        <w:rPr>
          <w:b/>
        </w:rPr>
        <w:t>POSSIBLE 2021:</w:t>
      </w:r>
      <w:r>
        <w:t xml:space="preserve"> Logo as a Tool of European Union Countries’ Destination Branding — https://doi.org/10.4467/23540214zm.21.033.14576</w:t>
      </w:r>
    </w:p>
    <w:p>
      <w:pPr/>
      <w:r>
        <w:rPr>
          <w:b/>
        </w:rPr>
        <w:t>Shared claim-specific concepts:</w:t>
      </w:r>
      <w:r>
        <w:t xml:space="preserve"> tool, method; EU scope visible. This is a provisional connection, not an outcome finding.</w:t>
      </w:r>
    </w:p>
    <w:p>
      <w:pPr>
        <w:pStyle w:val="SourceNote"/>
      </w:pPr>
      <w:r>
        <w:rPr>
          <w:b/>
        </w:rPr>
        <w:t>Available abstract (not full text):</w:t>
      </w:r>
      <w:r>
        <w:t xml:space="preserve"> Developing a coherent and comprehensive brand of a country is of vital importance for a destination in the contemporary global world. There seems to be a recognizable gap in the literature regarding the application of visual signs practiced in country branding. The subject of the study: The research identifies the logos of the European Union countries used in place branding. The purpose of the study is the exploration of the logo content from the senders’ perspective, i.e., the structures and organizations responsible for the country branding. There are many reasons why logos are used in place branding practice. The authors decided to focus on the logo as a form of controlled and projected message communicated via media and ICT. Cognitive gap: The research conducted so far has focused on the reception of logos by the recipients. The presented research attempts to examine the visual message contained in logos from the senders’ perspective. Research methods and data collection techniques: The content analysis method was used to study the visual identity of the countries. The authors collected logos and scrutinised them using Beyrow and Vogt as well as Mollerup’s taxonomy. The results of the study illustrate how governmental institutions, which are responsible for country branding, portray countries using visual identity on the Internet, social media, and their own media.</w:t>
      </w:r>
    </w:p>
    <w:p>
      <w:pPr/>
      <w:r>
        <w:rPr>
          <w:b/>
        </w:rPr>
        <w:t>POSSIBLE 2021:</w:t>
      </w:r>
      <w:r>
        <w:t xml:space="preserve"> The EASL–Lancet Liver Commission: protecting the next generation of Europeans against liver disease complications and premature mortality — https://doi.org/10.1016/s0140-6736(21)01701-3</w:t>
      </w:r>
    </w:p>
    <w:p>
      <w:pPr/>
      <w:r>
        <w:rPr>
          <w:b/>
        </w:rPr>
        <w:t>Shared claim-specific concepts:</w:t>
      </w:r>
      <w:r>
        <w:t xml:space="preserve"> increase, present, set; EU scope visible. This is a provisional connection, not an outcome finding.</w:t>
      </w:r>
    </w:p>
    <w:p>
      <w:pPr>
        <w:pStyle w:val="SourceNote"/>
      </w:pPr>
      <w:r>
        <w:rPr>
          <w:b/>
        </w:rPr>
        <w:t>Available abstract (not full text):</w:t>
      </w:r>
      <w:r>
        <w:t xml:space="preserve"> Liver diseases have become a major health threat across Europe, and the face of European hepatology is changing due to the cure of viral hepatitis C and the control of chronic viral hepatitis B, the increasingly widespread unhealthy use of alcohol, the epidemic of obesity, and undiagnosed or untreated liver disease in migrant populations.Consequently, Europe is facing a looming syndemic, in which socioeconomic and health inequities combine to adversely affect liver disease prevalence, outcomes, and opportunities to receive care.In addition, the COVID-19 pandemic has magnified pre-existing challenges to uniform implementation of policies and equity of access to care in Europe, arising from national borders and the cultural and historical heterogeneity of European societies.In following up on work from the Lancet Commission on liver disease in the UK and epidemiological studies led by the European Association for the Study of the Liver (EASL), our multidisciplinary Commission, comprising a wide range of public health, medical, and nursing specialty groups, along with patient representatives, set out to provide a snapshot of the European landscape on liver diseases and to propose a framework for the principal actions required to improve liver health in Europe.We believe that a joint European process of thinking, and construction of uniform policies and action, implementation, and </w:t>
      </w:r>
    </w:p>
    <w:p>
      <w:pPr>
        <w:pStyle w:val="Heading2"/>
      </w:pPr>
      <w:r>
        <w:t>761. Outlook of the European forest-based sector: forest growth, harvest demand, wood-product markets, and forest carbon dynamics implications</w:t>
      </w:r>
    </w:p>
    <w:p>
      <w:pPr>
        <w:pStyle w:val="SourceNote"/>
      </w:pPr>
      <w:r>
        <w:rPr>
          <w:b/>
        </w:rPr>
        <w:t>Original source (2018):</w:t>
      </w:r>
      <w:r>
        <w:t xml:space="preserve"> https://doi.org/10.3832/ifor2636-011</w:t>
      </w:r>
    </w:p>
    <w:p>
      <w:pPr/>
      <w:r>
        <w:t>Original wording (abstract; indexed_source_text_not_full_document_verified): In a business-as-usual (BaU) scenario, European Union harvests increase seven percent by 2030 compared to past levels (485 million m3 on 2000-2012 average and 517 million m3 in 2030). In the HM scenario, harvest increases by 55% (754 million m3 in 2030) compared to the BaU scenario.</w:t>
      </w:r>
    </w:p>
    <w:p>
      <w:pPr/>
      <w:r>
        <w:rPr>
          <w:b/>
        </w:rPr>
        <w:t>POSSIBLE 2026:</w:t>
      </w:r>
      <w:r>
        <w:t xml:space="preserve"> Selective Deconstruction Versus Business-as-Usual Demolition: An LCA-Based Assessment of CDW Management Scenarios — https://doi.org/10.1007/978-3-032-34930-9_58</w:t>
      </w:r>
    </w:p>
    <w:p>
      <w:pPr/>
      <w:r>
        <w:rPr>
          <w:b/>
        </w:rPr>
        <w:t>Shared claim-specific concepts:</w:t>
      </w:r>
      <w:r>
        <w:t xml:space="preserve"> business-as-usual, bau, compared; EU scope not established. This is a provisional connection, not an outcome finding.</w:t>
      </w:r>
    </w:p>
    <w:p>
      <w:pPr>
        <w:pStyle w:val="SourceNote"/>
      </w:pPr>
      <w:r>
        <w:rPr>
          <w:b/>
        </w:rPr>
        <w:t>Available abstract (not full text):</w:t>
      </w:r>
      <w:r>
        <w:t xml:space="preserve"> Pre-demolition audits represent a key instrument for enabling selective deconstruction and improving the environmental performance of construction and demolition waste (CDW) management. This paper presents a life cycle assessment (LCA)–based case study in which a pre-demolition audit and the subsequent real deconstruction of a administrative building were used to systematically map and evaluate alternative CDW management scenarios. The study compares a real deconstruction scenario, implemented on the basis of a detailed pre-demolition audit, with a conventional business-as-usual (BAU) scenario reflecting standard demolition and waste treatment practices. The system boundary covers demolition-related life cycle modules C2–C4 and benefits beyond the system boundary (module D), including transport, processing, disposal, and recycling benefits, in accordance with EN 15804 + A2. Modelling was performed in SimaPro software using the ecoinvent 3.7 database. The results show that the real scenario based on selective deconstruction achieved substantially higher environmental benefits than the BAU scenario. Overall, the selective approach resulted in a net saving of 872 t CO 2 equivalent, corresponding to approximately 15% higher climate benefits compared to conventional demolition practices. Transport impacts were found to be relatively low, while the most significant environmental bene</w:t>
      </w:r>
    </w:p>
    <w:p>
      <w:pPr/>
      <w:r>
        <w:rPr>
          <w:b/>
        </w:rPr>
        <w:t>POSSIBLE 2025:</w:t>
      </w:r>
      <w:r>
        <w:t xml:space="preserve"> Assessing the Air Quality Impacts of Net-Zero GHG Emissions in Europe and Switzerland with ICON-ART — https://doi.org/10.5194/egusphere-egu25-2578</w:t>
      </w:r>
    </w:p>
    <w:p>
      <w:pPr/>
      <w:r>
        <w:rPr>
          <w:b/>
        </w:rPr>
        <w:t>Shared claim-specific concepts:</w:t>
      </w:r>
      <w:r>
        <w:t xml:space="preserve"> business-as-usual, bau, union, levels; EU scope visible. This is a provisional connection, not an outcome finding.</w:t>
      </w:r>
    </w:p>
    <w:p>
      <w:pPr>
        <w:pStyle w:val="SourceNote"/>
      </w:pPr>
      <w:r>
        <w:rPr>
          <w:b/>
        </w:rPr>
        <w:t>Available abstract (not full text):</w:t>
      </w:r>
      <w:r>
        <w:t xml:space="preserve"> The European Union and the Swiss Federal Council have both set the ambitious goal of achieving net-zero greenhouse gas (GHG) emissions by 2050. While reducing fossil fuel use is widely assumed to improve air quality due to the co-emission of air pollutants during fossil fuel combustion, specific choices regarding alternative energy sources and changes in the building, industrial, and agricultural sectors may have very different and potentially detrimental impacts on air quality.In this context, we study the air quality implications of transitioning to a net-zero GHG society in Europe and Switzerland by comparing two distinct scenarios for the year 2050: a net-zero pathway and a business-as-usual (BAU) scenario. The BAU scenario reflects the continuation of current energy policies without additional measures to achieve net-zero emissions. Comparing the BAU and net-zero scenarios allows us to assess how transformations in energy systems and associated changes in anthropogenic emissions shape the levels, composition, and dynamics of air pollutants.Our analysis is based on simulations conducted with the state-of-the-art atmospheric chemistry and transport model ICON-ART. We have incorporated the latest MOZART tropospheric chemistry scheme to accurately represent key oxidation processes involving ozone, nitrogen oxides, and volatile organic compounds. ICON-ART also features advanced</w:t>
      </w:r>
    </w:p>
    <w:p>
      <w:pPr/>
      <w:r>
        <w:rPr>
          <w:b/>
        </w:rPr>
        <w:t>POSSIBLE 2025:</w:t>
      </w:r>
      <w:r>
        <w:t xml:space="preserve"> Gallium: Assessing the Long-Term Future Extraction, Supply, Recycling, and Price of Using WORLD7, in Relation to Future Technology Visions in the European Union — https://doi.org/10.1007/s41247-025-00125-7</w:t>
      </w:r>
    </w:p>
    <w:p>
      <w:pPr/>
      <w:r>
        <w:rPr>
          <w:b/>
        </w:rPr>
        <w:t>Shared claim-specific concepts:</w:t>
      </w:r>
      <w:r>
        <w:t xml:space="preserve"> business-as-usual, bau, union, increase, million, increases; EU scope visible. This is a provisional connection, not an outcome finding.</w:t>
      </w:r>
    </w:p>
    <w:p>
      <w:pPr>
        <w:pStyle w:val="SourceNote"/>
      </w:pPr>
      <w:r>
        <w:rPr>
          <w:b/>
        </w:rPr>
        <w:t>Available abstract (not full text):</w:t>
      </w:r>
      <w:r>
        <w:t xml:space="preserve"> The gallium resources were assessed and used as input to long-term simulations using the WORLD7 model. The content of gallium in different mother ores has been estimated to be about 14.7 million tons of gallium. Much of this is not accessible because of low extraction yields, about 610,000 tons gallium appear to be extractable (4%) with present practices. The gallium content in all source metal refining residuals is about 51,000 ton/yr, but only a production of 1,374 ton/yr appears as the maximum with present technology and conditions. The actual gallium production was about 450 ton/yr in 2023. The gallium price is very sensitive to increases in demand, and production is not very likely to be able to rapidly increase. The simulations show that soft gallium scarcity sets in after 2028 and physical scarcity will occur about 2060. Better gallium extraction and recycling yields may push the scarcity date forward to 2100. 60% of the gallium demand for photovoltaic technology can be satisfied in the long term. To improve the situation and prevent scarcity, extractive access, gallium extraction yields, and recycling yields must be significantly improved to better than 50%. At present, the overall yields are 7-15%. Increasing extraction yields and recycling yields can reduce the shortage. The long-term sustainable extraction is under Business-as-Usual about 300 tons gallium per year, a</w:t>
      </w:r>
    </w:p>
    <w:p>
      <w:pPr/>
      <w:r>
        <w:rPr>
          <w:b/>
        </w:rPr>
        <w:t>POSSIBLE 2025:</w:t>
      </w:r>
      <w:r>
        <w:t xml:space="preserve"> Balancing Climate Change Adaptation and Mitigation Through Forest Management Choices—A Case Study from Hungary — https://doi.org/10.3390/f16111724</w:t>
      </w:r>
    </w:p>
    <w:p>
      <w:pPr/>
      <w:r>
        <w:rPr>
          <w:b/>
        </w:rPr>
        <w:t>Shared claim-specific concepts:</w:t>
      </w:r>
      <w:r>
        <w:t xml:space="preserve"> business-as-usual, bau, union; EU scope visible. This is a provisional connection, not an outcome finding.</w:t>
      </w:r>
    </w:p>
    <w:p>
      <w:pPr>
        <w:pStyle w:val="SourceNote"/>
      </w:pPr>
      <w:r>
        <w:rPr>
          <w:b/>
        </w:rPr>
        <w:t>Available abstract (not full text):</w:t>
      </w:r>
      <w:r>
        <w:t xml:space="preserve"> Climate change is driving the need for forest management strategies that simultaneously enhance ecosystem resilience and contribute to climate change mitigation. Voluntary carbon markets (VCMs), regulated in the European Union by the Carbon Removal Certification Framework (CRCF), offer potential financial incentives for such management, but eligibility criteria—particularly biodiversity requirements—limit the applicability of certain species. This study assessed the ecological and economic outcomes of six alternative management scenarios for a 4.7 ha, 99-year-old Scots pine (Pinus sylvestris) stand in western Hungary, comparing them against a business-as-usual (BAU) regeneration baseline. Using field inventory data, species-specific yield tables, and the Forest Industry Carbon Model, we modelled living and dead biomass carbon stocks for 2025–2050 and calculated potential CO2 credit generation. Economic evaluation employed total discounted contribution margin (TDCM) analyses under varying carbon credit prices (€0–150/tCO2). Results showed that an extended rotation yielded the highest carbon sequestration (958 tCO2 above BAU) and TDCM but was deemed operationally unfeasible due to declining stand health. Black locust (Robinia pseudoacacia) regeneration provided high mitigation potential (690 tCO2) but was ineligible under CRCF rules. Grey poplar (Populus × canescens) regeneration</w:t>
      </w:r>
    </w:p>
    <w:p>
      <w:pPr/>
      <w:r>
        <w:rPr>
          <w:b/>
        </w:rPr>
        <w:t>POSSIBLE 2024:</w:t>
      </w:r>
      <w:r>
        <w:t xml:space="preserve"> Beneficial use of sediments, tools, pilot sites and measuring techniques developed and used within seven European Union INTERREG projects — https://doi.org/10.1007/s11368-024-03811-z</w:t>
      </w:r>
    </w:p>
    <w:p>
      <w:pPr/>
      <w:r>
        <w:rPr>
          <w:b/>
        </w:rPr>
        <w:t>Shared claim-specific concepts:</w:t>
      </w:r>
      <w:r>
        <w:t xml:space="preserve"> bau, union, seven, compared; EU scope visible. This is a provisional connection, not an outcome finding.</w:t>
      </w:r>
    </w:p>
    <w:p>
      <w:pPr>
        <w:pStyle w:val="SourceNote"/>
      </w:pPr>
      <w:r>
        <w:rPr>
          <w:b/>
        </w:rPr>
        <w:t>Available abstract (not full text):</w:t>
      </w:r>
      <w:r>
        <w:t xml:space="preserve"> Abstract Purpose The EU Water Framework Directive (European Union Off J Eur Comm 2000) and EU Waste Framework Directive (European Union Off J Euro Union 2008) impacted the Beneficial Use (BU) of sediments in Europe. INTERREG has supported initiatives to change the perception that sediments are a waste. In this paper we provide an overview of tools, pilot sites and measuring techniques developed and used for the BU of sediments within seven European Union INTERREG projects. We illustrate the lessons learned regarding barriers and enablers for BU of sediments. Materials and methods BU of sediments is a combination of factors. The following aspects are considered. The sediment must be suitable for use and be in engineering compliance. The sediment must also need to meet the end of waste criteria, as well as to be in environmental compliance. To check in the field if engineering and environmental compliance is feasible, on-site analyses and decision support tools are needed. When BU use is possible, there must be a benefit, either in an added socio-economic value or in ecosystem services. To define benefits the impact of Business as Usual (BAU) should also be expressed. Stakeholder perception and spatial restraints determine areas for BU of sediments with spatial consensus. Results and discussion The pilots and case studies described in this paper are examples of different applicat</w:t>
      </w:r>
    </w:p>
    <w:p>
      <w:pPr/>
      <w:r>
        <w:rPr>
          <w:b/>
        </w:rPr>
        <w:t>POSSIBLE 2024:</w:t>
      </w:r>
      <w:r>
        <w:t xml:space="preserve"> Disentangling the effects of management and climate change on habitat suitability for saproxylic species in boreal forests — https://doi.org/10.1007/s11676-023-01678-3</w:t>
      </w:r>
    </w:p>
    <w:p>
      <w:pPr/>
      <w:r>
        <w:rPr>
          <w:b/>
        </w:rPr>
        <w:t>Shared claim-specific concepts:</w:t>
      </w:r>
      <w:r>
        <w:t xml:space="preserve"> business-as-usual, bau, increase, seven, compared, average; EU scope visible. This is a provisional connection, not an outcome finding.</w:t>
      </w:r>
    </w:p>
    <w:p>
      <w:pPr>
        <w:pStyle w:val="SourceNote"/>
      </w:pPr>
      <w:r>
        <w:rPr>
          <w:b/>
        </w:rPr>
        <w:t>Available abstract (not full text):</w:t>
      </w:r>
      <w:r>
        <w:t xml:space="preserve"> Abstract Forest degradation induced by intensive forest management and temperature increase by climate change are resulting in biodiversity decline in boreal forests. Intensive forest management and high-end climate emission scenarios can further reduce the amount and diversity of deadwood, the limiting factor for habitats for saproxylic species in European boreal forests. The magnitude of their combined effects and how changes in forest management can affect deadwood diversity under a range of climate change scenarios are poorly understood. We used forest growth simulations to evaluate how forest management and climate change will individually and jointly affect habitats of red-listed saproxylic species in Finland. We simulated seven forest management regimes and three climate scenarios (reference, RCP4.5 and RCP8.5) over 100 years. Management regimes included set aside, continuous cover forestry, business-as-usual (BAU) and four modifications of BAU. Habitat suitability was assessed using a species-specific habitat suitability index, including 21 fungal and invertebrate species groups. “Winner” and “loser” species were identified based on the modelled impacts of forest management and climate change on their habitat suitability. We found that forest management had a major impact on habitat suitability of saproxylic species compared to climate change. Habitat suitability index </w:t>
      </w:r>
    </w:p>
    <w:p>
      <w:pPr/>
      <w:r>
        <w:rPr>
          <w:b/>
        </w:rPr>
        <w:t>POSSIBLE 2023:</w:t>
      </w:r>
      <w:r>
        <w:t xml:space="preserve"> A Multivariate Meta-Analysis of the Effects of Business-as-Usual Special Education Services in U.S. Schools — https://doi.org/10.31234/osf.io/fs3zg</w:t>
      </w:r>
    </w:p>
    <w:p>
      <w:pPr/>
      <w:r>
        <w:rPr>
          <w:b/>
        </w:rPr>
        <w:t>Shared claim-specific concepts:</w:t>
      </w:r>
      <w:r>
        <w:t xml:space="preserve"> business-as-usual, bau, million; EU scope not established. This is a provisional connection, not an outcome finding.</w:t>
      </w:r>
    </w:p>
    <w:p>
      <w:pPr>
        <w:pStyle w:val="SourceNote"/>
      </w:pPr>
      <w:r>
        <w:rPr>
          <w:b/>
        </w:rPr>
        <w:t>Available abstract (not full text):</w:t>
      </w:r>
      <w:r>
        <w:t xml:space="preserve"> Special education services provided in U.S. schools should be designed to enable students with disabilities (SWD) to make “appropriately ambitious” educational progress (Endrew F., 2017). Yet the field lacks consensus on whether business-as-usual (BAU) special education services effectively support outcomes for SWD. We conducted a moderated multilevel multivariate meta-analysis of 40 studies and 1,721 effect sizes from more than 14 million participants to evaluate the effectiveness of BAU special education services. Effects ranged from null-to-positive (z = -0.07 to 0.12) for achievement and negative-to-null (z = -0.13 to -0.01) for behavior. We observed positive outcomes for educational attainment including graduation outcomes (z = 0.12 to 0.24) and postsecondary outcomes (z = 0.10 to 0.23), as well as for other outcomes (z = 0.21 to 0.38). Studies that used a more rigorous research design or comparison condition reported more positive effects across outcomes. Additional casual work is needed in this field.</w:t>
      </w:r>
    </w:p>
    <w:p>
      <w:pPr/>
      <w:r>
        <w:rPr>
          <w:b/>
        </w:rPr>
        <w:t>POSSIBLE 2023:</w:t>
      </w:r>
      <w:r>
        <w:t xml:space="preserve"> Effects of Circularity Interventions in the European Plastic Packaging Sector — https://doi.org/10.1021/acs.est.2c08202</w:t>
      </w:r>
    </w:p>
    <w:p>
      <w:pPr/>
      <w:r>
        <w:rPr>
          <w:b/>
        </w:rPr>
        <w:t>Shared claim-specific concepts:</w:t>
      </w:r>
      <w:r>
        <w:t xml:space="preserve"> business-as-usual, compared, levels; EU scope visible. This is a provisional connection, not an outcome finding.</w:t>
      </w:r>
    </w:p>
    <w:p>
      <w:pPr>
        <w:pStyle w:val="SourceNote"/>
      </w:pPr>
      <w:r>
        <w:rPr>
          <w:b/>
        </w:rPr>
        <w:t>Available abstract (not full text):</w:t>
      </w:r>
      <w:r>
        <w:t xml:space="preserve"> High Resolution Image Download MS PowerPoint Slide Low levels of plastics circularity today reflect major challenges for the sector to reduce environmental impacts and a need for wider systemic change. In this work, we investigated the potential for climate and socioeconomic benefits of circular economy (CE) interventions in the plastic packaging system. By means of a mixed-unit input–output (IO) model, we performed a comparative scenario analysis for the development of demand and waste management up to 2030 within the EU-28 (EU27 + United Kingdom). We modeled the development of material flows and assessed the effects of both demand-side and end-of-life interventions. Different levels of ambition toward 2030 based on EU circular economy strategies were tested. Results showed that on reaching high levels of circularity, between 14 and 22 Mt CO 2 -eq/year could be reduced by 2030 (20–30% of the total sector impact in 2018) compared to business-as-usual. Demand change (e.g., by decreasing product packaging intensities) showed similar emission-saving potential as achieving the current recycling target of 55%, which emphasizes the role of demand-side actions. Most scenarios displayed moderate employment gains and potential economic losses, pertaining to both direct and indirect activity shifts in the economy. While considering model limitations, the approach is useful in indicating </w:t>
      </w:r>
    </w:p>
    <w:p>
      <w:pPr/>
      <w:r>
        <w:rPr>
          <w:b/>
        </w:rPr>
        <w:t>POSSIBLE 2023:</w:t>
      </w:r>
      <w:r>
        <w:t xml:space="preserve"> European Beech Forests in Austria—Current Distribution and Possible Future Habitat — https://doi.org/10.3390/f14102019</w:t>
      </w:r>
    </w:p>
    <w:p>
      <w:pPr/>
      <w:r>
        <w:rPr>
          <w:b/>
        </w:rPr>
        <w:t>Shared claim-specific concepts:</w:t>
      </w:r>
      <w:r>
        <w:t xml:space="preserve"> business-as-usual, bau, increase, increases; EU scope visible. This is a provisional connection, not an outcome finding.</w:t>
      </w:r>
    </w:p>
    <w:p>
      <w:pPr>
        <w:pStyle w:val="SourceNote"/>
      </w:pPr>
      <w:r>
        <w:rPr>
          <w:b/>
        </w:rPr>
        <w:t>Available abstract (not full text):</w:t>
      </w:r>
      <w:r>
        <w:t xml:space="preserve"> A change in tree species composition in Central Europe to increase the resilience of forests when coping with climate change effects is imminent. We evaluated the present and expected future role of the European beech, (Fagus sylvatica L.), with respect to the expansion of its habitat and its stem. We assessed the current relevance of beech from data of the Austrian Forest Inventory 2007/09, and analyzed forest policies promoting the establishment of beech forests. We simulated forest growth with the model CALDIS, linked with the timber-market model FOHOW2. We used a business-as-usual (BAU) forest management strategy under moderate (RCP 4.5 BAU) or extreme (RCP 8.5 BAU) climate change. We also simulated an extreme climate change scenario with a forced change in the tree species composition (RCP 8.5 Change Species). Beech occurs in Austrian forests over the elevational gradient of 250 to 1600 m a.s.l. In low elevation, it forms beech-dominated forests, often for the supply of the domestic fuelwood demand. In mountain regions, beech enriches the diversity of Norway spruce, (Picea abies (L.) H. Karst.)-dominated forests. In a BAU setting, the habitat of beech increases only slightly in both climate scenarios. The scenario ‘RCP 8.5 Change Species’ increases the habitat of beech in the next 60 years considerably. With progressing warming, other broadleaved tree species gain relevanc</w:t>
      </w:r>
    </w:p>
    <w:p>
      <w:pPr/>
      <w:r>
        <w:rPr>
          <w:b/>
        </w:rPr>
        <w:t>POSSIBLE 2022:</w:t>
      </w:r>
      <w:r>
        <w:t xml:space="preserve"> The joint impact of the European Union emissions trading system on carbon emissions and economic performance — https://doi.org/10.1016/j.jeem.2022.102758</w:t>
      </w:r>
    </w:p>
    <w:p>
      <w:pPr/>
      <w:r>
        <w:rPr>
          <w:b/>
        </w:rPr>
        <w:t>Shared claim-specific concepts:</w:t>
      </w:r>
      <w:r>
        <w:t xml:space="preserve"> union, increase; EU scope visible. This is a provisional connection, not an outcome finding.</w:t>
      </w:r>
    </w:p>
    <w:p>
      <w:pPr>
        <w:pStyle w:val="SourceNote"/>
      </w:pPr>
      <w:r>
        <w:rPr>
          <w:b/>
        </w:rPr>
        <w:t>Available abstract (not full text):</w:t>
      </w:r>
      <w:r>
        <w:t xml:space="preserve"> This paper investigates the impact of the European Union Emissions Trading System (EU ETS) on carbon emissions and economic performance based on a matching methodology exploiting installation-level inclusion criteria combined with difference-in-differences. Installation-level data from national Polluting Emissions Registries in France, Netherlands, Norway and the United Kingdom point to a reduction in carbon emissions in the order of −10% between 2005 and 2012, in line with existing micro and macro evidence. Meanwhile, firm-level data on the 31 ETS-regulated countries shows that the EU ETS had no significant impact on profits and employment, and led to an increase in regulated firms' revenues and fixed assets. We explore various explanations for these findings.</w:t>
      </w:r>
    </w:p>
    <w:p>
      <w:pPr/>
      <w:r>
        <w:rPr>
          <w:b/>
        </w:rPr>
        <w:t>POSSIBLE 2022:</w:t>
      </w:r>
      <w:r>
        <w:t xml:space="preserve"> Comparison of European Union and Korean Applications of the Best Available Technology (BAT) Concept to Environmental Policy Areas in Consideration of BAT Baseline Methodology in the Carbon Market — https://doi.org/10.15531/ksccr.2022.13.1.047</w:t>
      </w:r>
    </w:p>
    <w:p>
      <w:pPr/>
      <w:r>
        <w:rPr>
          <w:b/>
        </w:rPr>
        <w:t>Shared claim-specific concepts:</w:t>
      </w:r>
      <w:r>
        <w:t xml:space="preserve"> business-as-usual, bau, union; EU scope visible. This is a provisional connection, not an outcome finding.</w:t>
      </w:r>
    </w:p>
    <w:p>
      <w:pPr>
        <w:pStyle w:val="SourceNote"/>
      </w:pPr>
      <w:r>
        <w:rPr>
          <w:b/>
        </w:rPr>
        <w:t>Available abstract (not full text):</w:t>
      </w:r>
      <w:r>
        <w:t xml:space="preserve"> Article 6.4 of the Paris Agreement introduces a baseline-and-crediting mechanism, the so-called sustainable development mechanism (SDM), which allows parties to meet their nationally determined contributions (NDCs). Currently, various options for baseline methodologies are being considered and negotiated as a part of the implementation rules of Article 6.4 of the Paris Agreement for greenhouse gas emission reduction projects. The best available technology (BAT) baseline methodology has been increasingly emphasized as an alternative to historical emission, business-as-usual (BAU), and performance-based baseline methodologies. However, the application of the BAT baseline methodology in the international carbon market remains under-explored. Also, the rise of the BAT baseline methodology had attracted attention to the concept of BAT in environmental policies and practices. Therefore, this paper attempts to examine the meaning of the BAT concept and BAT application in related environmental policies to ultimately explore strategic ways that the BAT baseline methodology can be used under the SDM in an integrated manner amongst related policy fields. First, this paper sets three policy areas where the concepts of BAT are applied, and they are the i) integrated pollution and prevention control policy, ii) cap-and-trade policy in the carbon market, and iii) baseline-and-crediting mechan</w:t>
      </w:r>
    </w:p>
    <w:p>
      <w:pPr/>
      <w:r>
        <w:rPr>
          <w:b/>
        </w:rPr>
        <w:t>POSSIBLE 2022:</w:t>
      </w:r>
      <w:r>
        <w:t xml:space="preserve"> Ecosystem-based fisheries management increases catch and carbon sequestration through recovery of exploited stocks: The western Baltic Sea case study — https://doi.org/10.3389/fmars.2022.879998</w:t>
      </w:r>
    </w:p>
    <w:p>
      <w:pPr/>
      <w:r>
        <w:rPr>
          <w:b/>
        </w:rPr>
        <w:t>Shared claim-specific concepts:</w:t>
      </w:r>
      <w:r>
        <w:t xml:space="preserve"> bau, compared, increases; EU scope visible. This is a provisional connection, not an outcome finding.</w:t>
      </w:r>
    </w:p>
    <w:p>
      <w:pPr>
        <w:pStyle w:val="SourceNote"/>
      </w:pPr>
      <w:r>
        <w:rPr>
          <w:b/>
        </w:rPr>
        <w:t>Available abstract (not full text):</w:t>
      </w:r>
      <w:r>
        <w:t xml:space="preserve"> Legal requirement in Europe asks for Ecosystem-Based Fisheries Management (EBFM) in European seas, including consideration of trophic interactions and minimization of negative impacts of fishing on food webs and ecosystem functioning. This study presents the first mass-balanced ecosystem model focused on the western Baltic Sea (WBS). Results show that heavy fishing pressure exerted on the WBS has forced top predators such as harbour porpoise and cod to cover their dietary needs by shifting from forage fish to other prey or find food outside of the model area. The model was then developed to explore the dynamics of four future fishery scenarios: (1) business as usual (BAU), (2) maximum sustainable fishing (F = F MSY ), (3) half of F MSY , and (4) EBFM with F = 0.5 F MSY for forage fish and F = 0.8 F MSY for other fish. Simulations show that BAU would perpetuate low catches from depleted stocks with a high risk of extinction for harbour porpoise. In contrast, the EBFM scenario would allow the recovery of harbour porpoise, forage fish and cod with increases in catch of herring and cod. EBFM promotes ecosystem resilience to eutrophication and ocean warming, and through the rebuilding of commercial stocks increases by more than three times carbon sequestration compared to BAU. The model provides an interrelated assessment of trophic guilds in the WBS, as required by European law to </w:t>
      </w:r>
    </w:p>
    <w:p>
      <w:pPr>
        <w:pStyle w:val="Heading2"/>
      </w:pPr>
      <w:r>
        <w:t>762. PROGNOSTIC MODEL OF THE UKRAINE SYSTEM OF GENERAL SECONDARY EDUCATION DEVELOPMENT: FORECASTING SCENARIOS OF THE DEVELOPMENT</w:t>
      </w:r>
    </w:p>
    <w:p>
      <w:pPr>
        <w:pStyle w:val="SourceNote"/>
      </w:pPr>
      <w:r>
        <w:rPr>
          <w:b/>
        </w:rPr>
        <w:t>Original source (2018):</w:t>
      </w:r>
      <w:r>
        <w:t xml:space="preserve"> https://doi.org/10.32405/2411-1317-2018-4-45-53</w:t>
      </w:r>
    </w:p>
    <w:p>
      <w:pPr/>
      <w:r>
        <w:t>Original wording (abstract; indexed_source_text_not_full_document_verified): The article is presented four forecasting scenarios Ukraine system of general secondary education development (optimistic, first realistic with positive profile characteristics, second realistic with positive background characteristics and pessimistic), described the content of each forecasting scenario, and indicated the main external and internal factors, which will contribute to its implementation.</w:t>
      </w:r>
    </w:p>
    <w:p>
      <w:pPr/>
      <w:r>
        <w:rPr>
          <w:b/>
        </w:rPr>
        <w:t>POSSIBLE 2026:</w:t>
      </w:r>
      <w:r>
        <w:t xml:space="preserve"> Comment on the Previously Published Article “Rare Masqueraders of Pure Neuritic Leprosy: A Report of Four Cases” — https://doi.org/10.4103/idoj.idoj_534_25</w:t>
      </w:r>
    </w:p>
    <w:p>
      <w:pPr/>
      <w:r>
        <w:rPr>
          <w:b/>
        </w:rPr>
        <w:t>Shared claim-specific concepts:</w:t>
      </w:r>
      <w:r>
        <w:t xml:space="preserve"> article, presented, four, described, each; EU scope not established. This is a provisional connection, not an outcome finding.</w:t>
      </w:r>
    </w:p>
    <w:p>
      <w:pPr>
        <w:pStyle w:val="SourceNote"/>
      </w:pPr>
      <w:r>
        <w:rPr>
          <w:b/>
        </w:rPr>
        <w:t>Available abstract (not full text):</w:t>
      </w:r>
      <w:r>
        <w:t xml:space="preserve"> Dear Editor, It was with great interest that we read the article titled “Rare Masqueraders of Pure Neuritic Leprosy: A Report of Four Cases” by Sadhukhan et al.[1] The cases described are quite fascinating, and would enlighten the readers on differentials to consider during the evaluation of likely cases of leprosy. These cases did not have any of the cardinal features of leprosy, of which at least one is essential for a diagnosis of leprosy as per the World Health Organization (WHO): (i) definite loss of sensation in a pale (hypopigmented) or reddish skin patch; (ii) thickened or enlarged peripheral nerve, with loss of sensation and/or weakness of the muscles supplied by that nerve; (iii) microscopic detection of bacilli in a slit-skin smear.[2] Among these, thickened or enlarged peripheral nerves would be the most vital criterion for clinically diagnosing pure neuritic leprosy. Case 1 is a 46-year-old female patient with clawing of both hands with motor weakness, in the absence of sensory loss or thickened nerves. While the authors have stated that the lack of sensory deficit, static weakness after one year of onset, and absent reflexes helped to differentiate it from leprosy, we would like to point out that the absence of thickened nerves would be the most important factor here. Case 2 presented with pure motor neuropathy, which is again not typical of leprosy. Unfortunately</w:t>
      </w:r>
    </w:p>
    <w:p>
      <w:pPr/>
      <w:r>
        <w:rPr>
          <w:b/>
        </w:rPr>
        <w:t>POSSIBLE 2026:</w:t>
      </w:r>
      <w:r>
        <w:t xml:space="preserve"> Précis to Revisionism in Four Views on Free Will, 2e — https://doi.org/10.1007/s11406-026-01043-8</w:t>
      </w:r>
    </w:p>
    <w:p>
      <w:pPr/>
      <w:r>
        <w:rPr>
          <w:b/>
        </w:rPr>
        <w:t>Shared claim-specific concepts:</w:t>
      </w:r>
      <w:r>
        <w:t xml:space="preserve"> article, presented, four, second; EU scope not established. This is a provisional connection, not an outcome finding.</w:t>
      </w:r>
    </w:p>
    <w:p>
      <w:pPr>
        <w:pStyle w:val="SourceNote"/>
      </w:pPr>
      <w:r>
        <w:rPr>
          <w:b/>
        </w:rPr>
        <w:t>Available abstract (not full text):</w:t>
      </w:r>
      <w:r>
        <w:t xml:space="preserve"> Abstract This article provides an overview of Manuel Vargas’ newly reformulated approach to revisionary compatibilism about free will, as presented in the second edition of Four Views on Free Will (2024).</w:t>
      </w:r>
    </w:p>
    <w:p>
      <w:pPr/>
      <w:r>
        <w:rPr>
          <w:b/>
        </w:rPr>
        <w:t>POSSIBLE 2025:</w:t>
      </w:r>
      <w:r>
        <w:t xml:space="preserve"> Four Logics Data — https://doi.org/10.17632/489jnnpsds</w:t>
      </w:r>
    </w:p>
    <w:p>
      <w:pPr/>
      <w:r>
        <w:rPr>
          <w:b/>
        </w:rPr>
        <w:t>Shared claim-specific concepts:</w:t>
      </w:r>
      <w:r>
        <w:t xml:space="preserve"> article, presented, four, system, each; EU scope not established. This is a provisional connection, not an outcome finding.</w:t>
      </w:r>
    </w:p>
    <w:p>
      <w:pPr>
        <w:pStyle w:val="SourceNote"/>
      </w:pPr>
      <w:r>
        <w:rPr>
          <w:b/>
        </w:rPr>
        <w:t>Available abstract (not full text):</w:t>
      </w:r>
      <w:r>
        <w:t xml:space="preserve"> This dataset provides the underlying data, calculations, and visual components necessary to replicate and extend the findings presented in the article "Four Logics of Governance: A Framework for Collective Decision-Making in Complex Systems" (Do Vale &amp; Costa, 2025). The article proposes an integrated analytical framework for studying collective decision-making in governance, combining four adaptive macro-level belief systems (Political, Economic, Scientific, and Moral-Ethical) with network topology analysis. The framework identifies four emergent governance dynamics: Systemic Rigidity, Systemic Fragility, Negotiated Stability, and Elasticity. This dataset has five files: Supplementary_Table_S1; Supplementary_Table_S2; Supplementary_Table_S3; Supplementary_Figure_S1; Supplementary_Figures_S2_IV_Appendix. These files are organized in three folders: - Multi-Criteria Decision Analysis (MCDA) Folder: This folder contains the quantitative backbone of the framework, specifically the raw data, calculations, and sensitivity analyses used to determine the relative influence (weights) of the four governance logics (Political, Economic, Scientific, and Moral-Ethical) across the studied cases. Researchers can use these files to reproduce the weighting process detailed in Appendix I of the paper and to recreate the visual representations of the system dynamics, including the attractor landsc</w:t>
      </w:r>
    </w:p>
    <w:p>
      <w:pPr/>
      <w:r>
        <w:rPr>
          <w:b/>
        </w:rPr>
        <w:t>POSSIBLE 2024:</w:t>
      </w:r>
      <w:r>
        <w:t xml:space="preserve"> Four influential recent Canadian Medical Education Journal articles presented at the International Congress for Medical Education — https://doi.org/10.36834/cmej.79278</w:t>
      </w:r>
    </w:p>
    <w:p>
      <w:pPr/>
      <w:r>
        <w:rPr>
          <w:b/>
        </w:rPr>
        <w:t>Shared claim-specific concepts:</w:t>
      </w:r>
      <w:r>
        <w:t xml:space="preserve"> article, presented, four, education; EU scope not established. This is a provisional connection, not an outcome finding.</w:t>
      </w:r>
    </w:p>
    <w:p>
      <w:pPr>
        <w:pStyle w:val="SourceNote"/>
      </w:pPr>
      <w:r>
        <w:rPr>
          <w:b/>
        </w:rPr>
        <w:t>Available abstract (not full text):</w:t>
      </w:r>
      <w:r>
        <w:t xml:space="preserve"> Four influential recent Canadian Medical Education Journal articles presented at the International Congress for Medical Education. An article from journal Canadian Medical Education Journal / Revue canadienne de l'éducation médicale (Volume 15, Number 2, 2024, pp. 1-115), on Érudit.</w:t>
      </w:r>
    </w:p>
    <w:p>
      <w:pPr/>
      <w:r>
        <w:rPr>
          <w:b/>
        </w:rPr>
        <w:t>POSSIBLE 2024:</w:t>
      </w:r>
      <w:r>
        <w:t xml:space="preserve"> Occasionalism in the general system of the language — https://doi.org/10.46727/c.v3.21-22-03-2024.p53-58</w:t>
      </w:r>
    </w:p>
    <w:p>
      <w:pPr/>
      <w:r>
        <w:rPr>
          <w:b/>
        </w:rPr>
        <w:t>Shared claim-specific concepts:</w:t>
      </w:r>
      <w:r>
        <w:t xml:space="preserve"> article, presented, system, general, content, main; EU scope not established. This is a provisional connection, not an outcome finding.</w:t>
      </w:r>
    </w:p>
    <w:p>
      <w:pPr>
        <w:pStyle w:val="SourceNote"/>
      </w:pPr>
      <w:r>
        <w:rPr>
          <w:b/>
        </w:rPr>
        <w:t>Available abstract (not full text):</w:t>
      </w:r>
      <w:r>
        <w:t xml:space="preserve"> This article deals occasionalisms as creative elements in the general system of the language and points out the main process of their formation by derivation with suffixes. Occasionalisms are not derogatory words that jeopardize communication, but new words that demonstrate the language's ability to create new lexemes. The process of forming these new words, created by speakers, is not new and refers to most languages being determined by the linguistic system, demonstrates and develops semantic lexeme creation and grammatical capabilities of the system, coming with its development tendencies. These occasional units are aimed at restoring the connection between the semantic, cognitive and content elements that are the basis of the integrity of the text, outlining the involvement of certain subjects in some events, delimiting the periods of manifestation of some political formations or presenting the consequences of some processes that the society went through. Being presented as a reflection of lived events, the article highlights the meaning and role of occasional units in journalistic and artistic texts, their application in various contexts and at different stages of the lesson.</w:t>
      </w:r>
    </w:p>
    <w:p>
      <w:pPr/>
      <w:r>
        <w:rPr>
          <w:b/>
        </w:rPr>
        <w:t>POSSIBLE 2024:</w:t>
      </w:r>
      <w:r>
        <w:t xml:space="preserve"> Masonry systems: Past, present and future — https://doi.org/10.1051/matecconf/202440301003</w:t>
      </w:r>
    </w:p>
    <w:p>
      <w:pPr/>
      <w:r>
        <w:rPr>
          <w:b/>
        </w:rPr>
        <w:t>Shared claim-specific concepts:</w:t>
      </w:r>
      <w:r>
        <w:t xml:space="preserve"> article, presented, general; EU scope visible. This is a provisional connection, not an outcome finding.</w:t>
      </w:r>
    </w:p>
    <w:p>
      <w:pPr>
        <w:pStyle w:val="SourceNote"/>
      </w:pPr>
      <w:r>
        <w:rPr>
          <w:b/>
        </w:rPr>
        <w:t>Available abstract (not full text):</w:t>
      </w:r>
      <w:r>
        <w:t xml:space="preserve"> The article presents construction systems and material solutions used in masonry construction, both in European countries and in a broader geographical context covering other continents. Due to the very wide scope of this problem, is presented in necessity in an abbreviated form, the general directions of development and changes in the systems of masonry structures in historical terms, depending on the climatic conditions prevailing in given areas and the development of societies and the level of their economy. Referring to the current state, i.e. the end of the 20th and the beginning of the 21st century, the material and construction solutions most frequently used in various countries with variable climatic requirements and various dominant loads, including seismic ones, were presented. An attempt was also made, to the extent possible, to outline future directions of changes and development of masonry construction in the coming decades, taking into account the principles of the circular economy and sustainable development, as well as reduction of CO2 emissions and maximum use of natural (bio-based materials) and recycled raw materials.</w:t>
      </w:r>
    </w:p>
    <w:p>
      <w:pPr/>
      <w:r>
        <w:rPr>
          <w:b/>
        </w:rPr>
        <w:t>POSSIBLE 2023:</w:t>
      </w:r>
      <w:r>
        <w:t xml:space="preserve"> PAST AND PRESENT PERIOD OF PRESCHOOL EDUCATION SYSTEM — https://openalex.org/W7215196589</w:t>
      </w:r>
    </w:p>
    <w:p>
      <w:pPr/>
      <w:r>
        <w:rPr>
          <w:b/>
        </w:rPr>
        <w:t>Shared claim-specific concepts:</w:t>
      </w:r>
      <w:r>
        <w:t xml:space="preserve"> article, system, general, education, first, second; EU scope not established. This is a provisional connection, not an outcome finding.</w:t>
      </w:r>
    </w:p>
    <w:p>
      <w:pPr>
        <w:pStyle w:val="SourceNote"/>
      </w:pPr>
      <w:r>
        <w:rPr>
          <w:b/>
        </w:rPr>
        <w:t>Available abstract (not full text):</w:t>
      </w:r>
      <w:r>
        <w:t xml:space="preserve"> In this article, the third paragraph entitled "Past and Present of the Preschool Education System" provides general information about the topics discussed throughout the article. First, it illuminates the historical background of preschool education, explaining how it emerged in response to a changing social and economic landscape. Second, various approaches and theories that shaped the development of preschool education, such as Montessori, Froebel, and Reggio Emilia, are discussed.</w:t>
      </w:r>
    </w:p>
    <w:p>
      <w:pPr/>
      <w:r>
        <w:rPr>
          <w:b/>
        </w:rPr>
        <w:t>POSSIBLE 2023:</w:t>
      </w:r>
      <w:r>
        <w:t xml:space="preserve"> GENERAL PRINCIPLES OF LAW FORMED WITHIN THE INTERNATIONAL LEGAL SYSTEM — https://doi.org/10.1017/s0020589323000362</w:t>
      </w:r>
    </w:p>
    <w:p>
      <w:pPr/>
      <w:r>
        <w:rPr>
          <w:b/>
        </w:rPr>
        <w:t>Shared claim-specific concepts:</w:t>
      </w:r>
      <w:r>
        <w:t xml:space="preserve"> article, system, general, first; EU scope not established. This is a provisional connection, not an outcome finding.</w:t>
      </w:r>
    </w:p>
    <w:p>
      <w:pPr>
        <w:pStyle w:val="SourceNote"/>
      </w:pPr>
      <w:r>
        <w:rPr>
          <w:b/>
        </w:rPr>
        <w:t>Available abstract (not full text):</w:t>
      </w:r>
      <w:r>
        <w:t xml:space="preserve"> Abstract In the work of the International Law Commission (ILC) on ‘the general principles of law’ in Article 38(1)(c) of the Statute of the International Court of Justice, one question has given rise to an inordinate amount of controversy: does this category of principles include principles formed within the international legal system or does it embrace only principles derived from national legal systems? In the draft conclusions adopted on first reading in 2023, the ILC accepts the existence of general principles of law formed within the international legal system, but only in a very narrow manner. Prominent commentators have argued that such a narrow approach is correct. It has been contended, furthermore, that the category of general principles of law formed within the international legal system is an innovation of the ILC's, and one that lacks any real support in State practice. These views are based on assumptions to the effect that the traditional view concerning the meaning of Article 38(1)(c) was that it referred only to general principles of law derived from national legal systems. The present article takes issue with these assumptions. It seeks to prove, by an analysis of the position in 1920 when the Statute was drafted, of the practice of States, both before and after 1920, and the writings of leading commentators, that general principles of law formed within the in</w:t>
      </w:r>
    </w:p>
    <w:p>
      <w:pPr/>
      <w:r>
        <w:rPr>
          <w:b/>
        </w:rPr>
        <w:t>POSSIBLE 2023:</w:t>
      </w:r>
      <w:r>
        <w:t xml:space="preserve"> Symbolism of the number “four” in English and Kazakh Languages — https://doi.org/10.31489/2023ph2/89-96</w:t>
      </w:r>
    </w:p>
    <w:p>
      <w:pPr/>
      <w:r>
        <w:rPr>
          <w:b/>
        </w:rPr>
        <w:t>Shared claim-specific concepts:</w:t>
      </w:r>
      <w:r>
        <w:t xml:space="preserve"> article, four, external, internal; EU scope not established. This is a provisional connection, not an outcome finding.</w:t>
      </w:r>
    </w:p>
    <w:p>
      <w:pPr>
        <w:pStyle w:val="SourceNote"/>
      </w:pPr>
      <w:r>
        <w:rPr>
          <w:b/>
        </w:rPr>
        <w:t>Available abstract (not full text):</w:t>
      </w:r>
      <w:r>
        <w:t xml:space="preserve"> The article considers the comparative study of the symbolism of English and Kazakh stable combinations, as well as proverbs and sayings with the numerical component “four”. The study revealed both similarities and differences in the symbolism of the number “four” in English and Kazakh languages, which is explained by the universality of the character of the symbols on the one hand and the fact that there is an ethnocultural specificity in the connotative meaning, which is reflected in the culture and language of the people. The universality of the symbolization of numbers is determined by the anthropocentric worldview and the universalsystem of human development, as well as the desire of a person to explain the structure of the world through the sacred power of numbers. At the end of the article the authors came to conclusion that the numerals with the component four as part of stable combinations in English and Kazakh Languages acquire a symbolic meaning. Stable combinations with the numeral component characterize various aspects of human life: its external qualities and internal properties, behavior, relationships with other people, as well as ideas related to the quantitative and spatial development of the world and the universe.</w:t>
      </w:r>
    </w:p>
    <w:p>
      <w:pPr/>
      <w:r>
        <w:rPr>
          <w:b/>
        </w:rPr>
        <w:t>POSSIBLE 2022:</w:t>
      </w:r>
      <w:r>
        <w:t xml:space="preserve"> Dynamic Quantized Consensus of General Linear Multiagent Systems Under Denial-of-Service Attacks — https://doi.org/10.1109/tcns.2022.3140684</w:t>
      </w:r>
    </w:p>
    <w:p>
      <w:pPr/>
      <w:r>
        <w:rPr>
          <w:b/>
        </w:rPr>
        <w:t>Shared claim-specific concepts:</w:t>
      </w:r>
      <w:r>
        <w:t xml:space="preserve"> article, general, first, main; EU scope not established. This is a provisional connection, not an outcome finding.</w:t>
      </w:r>
    </w:p>
    <w:p>
      <w:pPr>
        <w:pStyle w:val="SourceNote"/>
      </w:pPr>
      <w:r>
        <w:rPr>
          <w:b/>
        </w:rPr>
        <w:t>Available abstract (not full text):</w:t>
      </w:r>
      <w:r>
        <w:t xml:space="preserve"> In this article, we study multiagent consensus problems under Denial-of-Service (DoS) attacks with data rate constraints. We first consider the leaderless consensus problem and after that we briefly present the analysis of leader–follower consensus. The dynamics of the agents take general forms modeled as homogeneous linear time-invariant systems. In our analysis, we derive lower bounds on the data rate for the multiagent systems to achieve leaderless and leader–follower consensus in the presence of DoS attacks, under which the issue of overflow of quantizer is prevented. The main contribution of the article is the characterization of the tradeoff between the tolerable DoS attack levels for leaderless and leader–follower consensus and the required data rates for the quantizers during the communication attempts among the agents. To mitigate the influence of DoS attacks, we employ dynamic quantization with zooming-in and zooming-out capabilities for avoiding quantizer saturation.</w:t>
      </w:r>
    </w:p>
    <w:p>
      <w:pPr/>
      <w:r>
        <w:rPr>
          <w:b/>
        </w:rPr>
        <w:t>POSSIBLE 2022:</w:t>
      </w:r>
      <w:r>
        <w:t xml:space="preserve"> System Stability of Learning-Based Linear Optimal Control With General Discounted Value Iteration — https://doi.org/10.1109/tnnls.2021.3137524</w:t>
      </w:r>
    </w:p>
    <w:p>
      <w:pPr/>
      <w:r>
        <w:rPr>
          <w:b/>
        </w:rPr>
        <w:t>Shared claim-specific concepts:</w:t>
      </w:r>
      <w:r>
        <w:t xml:space="preserve"> article, system, general; EU scope not established. This is a provisional connection, not an outcome finding.</w:t>
      </w:r>
    </w:p>
    <w:p>
      <w:pPr>
        <w:pStyle w:val="SourceNote"/>
      </w:pPr>
      <w:r>
        <w:rPr>
          <w:b/>
        </w:rPr>
        <w:t>Available abstract (not full text):</w:t>
      </w:r>
      <w:r>
        <w:t xml:space="preserve"> For discounted optimal regulation design, the stability of the controlled system is affected by the discount factor. If an inappropriate discount factor is employed, the optimal control policy might be unstabilizing. Therefore, in this article, the effect of the discount factor on the stabilization of control strategies is discussed. We develop the system stability criterion and the selection rules of the discount factor with respect to the linear quadratic regulator problem under the general discounted value iteration algorithm. Based on the monotonicity of the value function sequence, the method to judge the stability of the controlled system is established during the iteration process. In addition, once some stability conditions are satisfied at a certain iteration step, all control policies after this iteration step are stabilizing. Furthermore, combined with the undiscounted optimal control problem, the practical rule of how to select an appropriate discount factor is constructed. Finally, several simulation examples with physical backgrounds are conducted to demonstrate the present theoretical results.</w:t>
      </w:r>
    </w:p>
    <w:p>
      <w:pPr/>
      <w:r>
        <w:rPr>
          <w:b/>
        </w:rPr>
        <w:t>POSSIBLE 2022:</w:t>
      </w:r>
      <w:r>
        <w:t xml:space="preserve"> Article Review: Present Perspectives of Hyperthyroidism During Pregnancy — https://doi.org/10.37506/ijop.v10i1.3214</w:t>
      </w:r>
    </w:p>
    <w:p>
      <w:pPr/>
      <w:r>
        <w:rPr>
          <w:b/>
        </w:rPr>
        <w:t>Shared claim-specific concepts:</w:t>
      </w:r>
      <w:r>
        <w:t xml:space="preserve"> article, four, system, first; EU scope not established. This is a provisional connection, not an outcome finding.</w:t>
      </w:r>
    </w:p>
    <w:p>
      <w:pPr>
        <w:pStyle w:val="SourceNote"/>
      </w:pPr>
      <w:r>
        <w:rPr>
          <w:b/>
        </w:rPr>
        <w:t>Available abstract (not full text):</w:t>
      </w:r>
      <w:r>
        <w:t xml:space="preserve"> Graves’ disease causes inflammatory hyperthyroidism in around 80% of hyperthyroidism cases inwomen of reproductive age. The hormonal changes in the maternal immune system after birth may belinked to the production and expression of diabetes other than gestational and early-onset diabetes. Asa result, in addition to hormonal influences, other anatomical modifications or abnormalities seen inthe body during pregnancy will affect the pregnancy test. Thyroid hormones are critical for a woman’shealth and the commencement of her pregnancy. These hormones are essential for early developmentand play a crucial role in the fetus’s continued growth after conception. Women with untreated orimproperly controlled hyperthyroidism are more likely to have complications during pregnancy. Futurediseases, particularly those that produce a large number of fetuses due to IUGRTH. The treatmentof hyperthyroid pregnant women is extremely difficult, and medical staff engagement is required toguarantee that it is properly monitored and treated. Anti-thyroid drugs are commonly administered topregnant women, and it is the medication of choice for the majority of them (ATDs). Despite the fact thatboth of these drugs are passed through the mother’s bloodstream to the fetus, they are highly effectivein the treatment of maternal hyperthyroidism. Nonetheless, they must exercise caution throughout thesecond half</w:t>
      </w:r>
    </w:p>
    <w:p>
      <w:pPr>
        <w:pStyle w:val="Heading2"/>
      </w:pPr>
      <w:r>
        <w:t>763. Plan Ceibal 2020: future scenarios for technology and education—the case of the Uruguayan public education system</w:t>
      </w:r>
    </w:p>
    <w:p>
      <w:pPr>
        <w:pStyle w:val="SourceNote"/>
      </w:pPr>
      <w:r>
        <w:rPr>
          <w:b/>
        </w:rPr>
        <w:t>Original source (2018):</w:t>
      </w:r>
      <w:r>
        <w:t xml:space="preserve"> https://doi.org/10.1186/s40309-018-0134-z</w:t>
      </w:r>
    </w:p>
    <w:p>
      <w:pPr/>
      <w:r>
        <w:t>Original wording (abstract; indexed_source_text_not_full_document_verified): In the present work, a set of future studies were implemented in order to answer the following question: What will the future scenarios be within the next 5 years regarding new technologies in the public education sector in Uruguay? This approach allowed us to define the possible technological future for the national education and technology policy.</w:t>
      </w:r>
    </w:p>
    <w:p>
      <w:pPr/>
      <w:r>
        <w:rPr>
          <w:b/>
        </w:rPr>
        <w:t>POSSIBLE 2026:</w:t>
      </w:r>
      <w:r>
        <w:t xml:space="preserve"> Live-coding performances: a body of work (2008–present) — https://doi.org/10.5281/zenodo.20743614</w:t>
      </w:r>
    </w:p>
    <w:p>
      <w:pPr/>
      <w:r>
        <w:rPr>
          <w:b/>
        </w:rPr>
        <w:t>Shared claim-specific concepts:</w:t>
      </w:r>
      <w:r>
        <w:t xml:space="preserve"> present, work, set, question, within; EU scope visible. This is a provisional connection, not an outcome finding.</w:t>
      </w:r>
    </w:p>
    <w:p>
      <w:pPr>
        <w:pStyle w:val="SourceNote"/>
      </w:pPr>
      <w:r>
        <w:rPr>
          <w:b/>
        </w:rPr>
        <w:t>Available abstract (not full text):</w:t>
      </w:r>
      <w:r>
        <w:t xml:space="preserve"> Research background. Live coding is a performance practice: the performer writes and edits code on stage, in real time, as the act of making music, with the screen projected for the audience to read. It is transdisciplinary by nature, sitting where live musical performance meets serious systems-level software engineering, a single set demanding both improvisational musicianship and the writing of correct, working code in real time. The practice grew out of the TOPLAP and algorave movements through the 2000s. It raises research questions about how a programming language can serve as a real-time musical instrument, and how the relationship between performer, code and audience shifts once the code becomes visible and mutable. Bound up with both is the question of how liveness and the ever-present risk of on-stage failure shape the performance itself. Research contribution. This is a sustained body of from-scratch live-coded performance, principally my own: each set begins from a blank screen, with no prepared material, the music built and rebuilt in code in front of the audience. The work treats three modes usually held apart, those of performer, researcher and engineer, as a single discipline. The performances are realised in environments designed by Andrew Sorensen: Impromptu in the early years, and Extempore since 2011, a project of which I am a core team member and, since 2025</w:t>
      </w:r>
    </w:p>
    <w:p>
      <w:pPr/>
      <w:r>
        <w:rPr>
          <w:b/>
        </w:rPr>
        <w:t>POSSIBLE 2026:</w:t>
      </w:r>
      <w:r>
        <w:t xml:space="preserve"> On sets of periodic orbit lengths in finitely presented dynamical systems — https://doi.org/10.1017/etds.2026.10313</w:t>
      </w:r>
    </w:p>
    <w:p>
      <w:pPr/>
      <w:r>
        <w:rPr>
          <w:b/>
        </w:rPr>
        <w:t>Shared claim-specific concepts:</w:t>
      </w:r>
      <w:r>
        <w:t xml:space="preserve"> work, set, question; EU scope not established. This is a provisional connection, not an outcome finding.</w:t>
      </w:r>
    </w:p>
    <w:p>
      <w:pPr>
        <w:pStyle w:val="SourceNote"/>
      </w:pPr>
      <w:r>
        <w:rPr>
          <w:b/>
        </w:rPr>
        <w:t>Available abstract (not full text):</w:t>
      </w:r>
      <w:r>
        <w:t xml:space="preserve"> Abstract We classify the sets of natural numbers n for which certain dynamical systems ( X , f ) $(X,f)$ left parenthesis upper X comma f right parenthesis on a compact metric space X have a periodic point of (least) period n . Interest in this question dates back to Sharkovskii’s theorem for continuous maps on intervals of the real line, but it also ties to checkable conditions for Krieger’s embedding theorem for symbolic dynamical systems. Given a system for which the logarithmic derivative of the Artin–Mazur zeta function is rational, we use the Skolem–Mahler–Lech theorem to classify for which n the system has a periodic point of (not necessarily least) period n . Moreover, we build on work on finitely presented (FP) systems and their relationship to symbolic dynamics to classify the set of least periods, that is, periodic orbit lengths, for arbitrary FP systems, extending a known classification for shifts of finite type. We also provide several constructions to realize any such least period sets.</w:t>
      </w:r>
    </w:p>
    <w:p>
      <w:pPr/>
      <w:r>
        <w:rPr>
          <w:b/>
        </w:rPr>
        <w:t>POSSIBLE 2026:</w:t>
      </w:r>
      <w:r>
        <w:t xml:space="preserve"> Order-Invariant Answers, Order-Sensitive Representations in Mathematical Reasoning — https://doi.org/10.48550/arxiv.2609.28442</w:t>
      </w:r>
    </w:p>
    <w:p>
      <w:pPr/>
      <w:r>
        <w:rPr>
          <w:b/>
        </w:rPr>
        <w:t>Shared claim-specific concepts:</w:t>
      </w:r>
      <w:r>
        <w:t xml:space="preserve"> set, answer, question; EU scope not established. This is a provisional connection, not an outcome finding.</w:t>
      </w:r>
    </w:p>
    <w:p>
      <w:pPr>
        <w:pStyle w:val="SourceNote"/>
      </w:pPr>
      <w:r>
        <w:rPr>
          <w:b/>
        </w:rPr>
        <w:t>Available abstract (not full text):</w:t>
      </w:r>
      <w:r>
        <w:t xml:space="preserve"> Reordering a set of mathematical rules without changing its meaning should preserve the correct answer, but must a model's internal representations stay invariant too? We investigate this question using synthetic multi-step function-composition problems, each presented under multiple rule orderings with the same correct answer. We measure accuracy and permutation signal-to-noise ratio (SNR), which quantifies how distinctly ordering patterns are represented relative to variation across problem instances. Across 16 language models ranging from 1B to 8B parameters, we find a pattern: models that solve reordered problems more accurately represent different rule orderings more distinctly. Layer-averaged permutation SNR is positively rank-correlated with accuracy in every synthetic setting we evaluate, with Spearman correlations reaching 0.86. These findings highlight a distinction between answer invariance and representation invariance: successful mathematical rule composition can accompany distinct internal representations between equivalent rule orderings. This motivates distinguishing answer invariance from representation invariance, and offers a representational perspective on mathematical reasoning beyond answer accuracy alone.</w:t>
      </w:r>
    </w:p>
    <w:p>
      <w:pPr/>
      <w:r>
        <w:rPr>
          <w:b/>
        </w:rPr>
        <w:t>POSSIBLE 2026:</w:t>
      </w:r>
      <w:r>
        <w:t xml:space="preserve"> When Is the Present? On the Invariant Now and Temporal Actuality — https://doi.org/10.5281/zenodo.21178453</w:t>
      </w:r>
    </w:p>
    <w:p>
      <w:pPr/>
      <w:r>
        <w:rPr>
          <w:b/>
        </w:rPr>
        <w:t>Shared claim-specific concepts:</w:t>
      </w:r>
      <w:r>
        <w:t xml:space="preserve"> present, work, order, answer; EU scope not established. This is a provisional connection, not an outcome finding.</w:t>
      </w:r>
    </w:p>
    <w:p>
      <w:pPr>
        <w:pStyle w:val="SourceNote"/>
      </w:pPr>
      <w:r>
        <w:rPr>
          <w:b/>
        </w:rPr>
        <w:t>Available abstract (not full text):</w:t>
      </w:r>
      <w:r>
        <w:t xml:space="preserve"> When is the present? The ordinary answer—"now"—conceals an unnoticed ambiguity by treating the present and the Now as the same reality. Building upon the invariance of the Now and the mechanism of condensation developed in previous essays, this work argues that they belong to different ontological levels. The past is redefined as the totality of actualizations condensed into the constitution of a being; the future as the horizon of receptions not yet actualized; and the present as the creature's actuality constituted through inheritance and reception at the invariant Now. Time is then derived as the constitutive order deposited by asymmetric condensation rather than assumed as an independent framework. Finally, the essay distinguishes Eternal Presence, the invariant Now, and the created present, offering a metaphysical account of temporal actuality that integrates ontology, philosophical theology, and the GaitAn Topology.</w:t>
      </w:r>
    </w:p>
    <w:p>
      <w:pPr/>
      <w:r>
        <w:rPr>
          <w:b/>
        </w:rPr>
        <w:t>POSSIBLE 2025:</w:t>
      </w:r>
      <w:r>
        <w:t xml:space="preserve"> Towards True Work-Efficiency in Parallel Derandomization: MIS, Maximal Matching, and Hitting Set — https://doi.org/10.1109/focs63196.2025.00139</w:t>
      </w:r>
    </w:p>
    <w:p>
      <w:pPr/>
      <w:r>
        <w:rPr>
          <w:b/>
        </w:rPr>
        <w:t>Shared claim-specific concepts:</w:t>
      </w:r>
      <w:r>
        <w:t xml:space="preserve"> present, work, set; EU scope not established. This is a provisional connection, not an outcome finding.</w:t>
      </w:r>
    </w:p>
    <w:p>
      <w:pPr>
        <w:pStyle w:val="SourceNote"/>
      </w:pPr>
      <w:r>
        <w:rPr>
          <w:b/>
        </w:rPr>
        <w:t>Available abstract (not full text):</w:t>
      </w:r>
      <w:r>
        <w:t xml:space="preserve"> Derandomization is one of the classic topics studied in the theory of parallel computations, dating back to the early 1980s. Despite much work, all known techniques lead to deterministic algorithms that are not work-efficient. For instance, for the well-studied problem of maximal independent set-e.g., [Karp, Wigderson STOC’84; Luby STOC’ 85; Luby FOCS’88]-state-of-theart deterministic algorithms require at least $m \cdot \operatorname{poly}(\log n)$ work, where m and n denote the number of edges and vertices. Hence, these deterministic algorithms will remain slower than their trivial sequential counterparts unless we have at least poly $(\log n)$ processors. In this paper, we present a generic parallel derandomization technique that moves exponentially closer to work-efficiency. The method iteratively rounds fractional solutions representing the randomized assignments to integral solutions that provide deterministic assignments, while maintaining certain linear or quadratic objective functions, and in an essentially work-efficient manner. As example end-results, we use this technique to obtain deterministic algorithms with $m \cdot \operatorname{poly}(\log \log n)$ work and poly $(\log n)$ depth for problems such as maximal independent set, maximal matching, and hitting set.</w:t>
      </w:r>
    </w:p>
    <w:p>
      <w:pPr/>
      <w:r>
        <w:rPr>
          <w:b/>
        </w:rPr>
        <w:t>POSSIBLE 2025:</w:t>
      </w:r>
      <w:r>
        <w:t xml:space="preserve"> Personal protective equipment set formation during work of buildings major repairs — https://doi.org/10.31659/0044-4472-2025-11-22-28</w:t>
      </w:r>
    </w:p>
    <w:p>
      <w:pPr/>
      <w:r>
        <w:rPr>
          <w:b/>
        </w:rPr>
        <w:t>Shared claim-specific concepts:</w:t>
      </w:r>
      <w:r>
        <w:t xml:space="preserve"> work, set, approach; EU scope not established. This is a provisional connection, not an outcome finding.</w:t>
      </w:r>
    </w:p>
    <w:p>
      <w:pPr>
        <w:pStyle w:val="SourceNote"/>
      </w:pPr>
      <w:r>
        <w:rPr>
          <w:b/>
        </w:rPr>
        <w:t>Available abstract (not full text):</w:t>
      </w:r>
      <w:r>
        <w:t xml:space="preserve"> Formation of a personal protective equipment set (PPE) for workers performing residential buildings major repairs is considered. The regulatory requirements (the Labor Code of the Russian Federation, GOSTs, SNiP) analysis was carried out and the main types of risks during dismantling, roofing, facade, finishing and electrical work were identified. A methodology for selecting PPE on the basis of a risk-based approach and the working conditions assessment results is proposed. Tables and diagrams reflecting the structure of injuries, the PPE compliance with the work types and the cost structure for their provision are presented. The domestic and foreign health and safety standards were compared. The conclusion on the need for systematic approach to the workers PPE kit, taking into account the production processes peculiarities is made. The proposed recommendations implementation allows reducing the injuries level and improving the effectiveness of occupational safety.</w:t>
      </w:r>
    </w:p>
    <w:p>
      <w:pPr/>
      <w:r>
        <w:rPr>
          <w:b/>
        </w:rPr>
        <w:t>POSSIBLE 2025:</w:t>
      </w:r>
      <w:r>
        <w:t xml:space="preserve"> The Foundational Spectrum: Navigating Sets, Classes, and Universes — https://doi.org/10.5281/zenodo.17808862</w:t>
      </w:r>
    </w:p>
    <w:p>
      <w:pPr/>
      <w:r>
        <w:rPr>
          <w:b/>
        </w:rPr>
        <w:t>Shared claim-specific concepts:</w:t>
      </w:r>
      <w:r>
        <w:t xml:space="preserve"> work, set, approach; EU scope not established. This is a provisional connection, not an outcome finding.</w:t>
      </w:r>
    </w:p>
    <w:p>
      <w:pPr>
        <w:pStyle w:val="SourceNote"/>
      </w:pPr>
      <w:r>
        <w:rPr>
          <w:b/>
        </w:rPr>
        <w:t>Available abstract (not full text):</w:t>
      </w:r>
      <w:r>
        <w:t xml:space="preserve"> The landscape of mathematical foundations is intricately structured, built upon increasingly sophisticated notions of collection. This paper explores the foundational spectrum, traversing from the familiar concept of sets, as formalized in Zermelo-Fraenkel Set Theory with the Axiom of Choice (ZFC), to the broader notion of proper classes, and ultimately to the expansive framework of Grothendieck universes. While ZFC provides a robust foundation for most of mathematics, the occurrence of paradoxes in naive set theory necessitated a more rigorous approach. Proper classes emerge as collections too large to be sets, providing a means to discuss significant mathematical totalities without incurring contradictions. Grothendieck universes, often posited by additional axioms, extend this hierarchy further, offering environments suitable for advanced categorical constructions where even proper classes might prove insufficient. This work delves into the historical motivations, formal definitions, and interrelationships of these foundational concepts, highlighting their distinct expressive powers and their collective role in providing a coherent and comprehensive framework for modern mathematics, particularly in areas like category theory and algebraic geometry. By presenting a structured synthesis of these layers and emphasizing their adaptive evolution, the paper aims to elucidate how t</w:t>
      </w:r>
    </w:p>
    <w:p>
      <w:pPr/>
      <w:r>
        <w:rPr>
          <w:b/>
        </w:rPr>
        <w:t>POSSIBLE 2024:</w:t>
      </w:r>
      <w:r>
        <w:t xml:space="preserve"> Presenting Work Via PowerPoint — https://doi.org/10.4324/9781003526001-13</w:t>
      </w:r>
    </w:p>
    <w:p>
      <w:pPr/>
      <w:r>
        <w:rPr>
          <w:b/>
        </w:rPr>
        <w:t>Shared claim-specific concepts:</w:t>
      </w:r>
      <w:r>
        <w:t xml:space="preserve"> work, set; EU scope not established. This is a provisional connection, not an outcome finding.</w:t>
      </w:r>
    </w:p>
    <w:p>
      <w:pPr>
        <w:pStyle w:val="SourceNote"/>
      </w:pPr>
      <w:r>
        <w:rPr>
          <w:b/>
        </w:rPr>
        <w:t>Available abstract (not full text):</w:t>
      </w:r>
      <w:r>
        <w:t xml:space="preserve"> Similar to a poster presentation, an oral presentation—with accompanying slideshow—requires a different writing style than a research paper. This chapter will focus on how to transfer thoughts from a carefully worded paper onto a presentation medium and still retain the message. The chapter author will focus on guiding the reader on how to convert ideas into bullet points and still ensure proper flow as well as being able to extract the most relevant points from the original paper. Sports medicine and kinesiology-based examples and sample problems in this chapter will mimic Chapter 12 in that they will focus on creating an effective bullet point, understanding which concepts to take from a paper, and how and when to develop new material for a presentation to better set up the concept used from the original paper.</w:t>
      </w:r>
    </w:p>
    <w:p>
      <w:pPr/>
      <w:r>
        <w:rPr>
          <w:b/>
        </w:rPr>
        <w:t>POSSIBLE 2024:</w:t>
      </w:r>
      <w:r>
        <w:t xml:space="preserve"> Axiomatization of Non-Recursive Aggregates in First-Order Answer Set Programming — https://doi.org/10.1613/jair.1.15786</w:t>
      </w:r>
    </w:p>
    <w:p>
      <w:pPr/>
      <w:r>
        <w:rPr>
          <w:b/>
        </w:rPr>
        <w:t>Shared claim-specific concepts:</w:t>
      </w:r>
      <w:r>
        <w:t xml:space="preserve"> present, work, set, answer; EU scope not established. This is a provisional connection, not an outcome finding.</w:t>
      </w:r>
    </w:p>
    <w:p>
      <w:pPr>
        <w:pStyle w:val="SourceNote"/>
      </w:pPr>
      <w:r>
        <w:rPr>
          <w:b/>
        </w:rPr>
        <w:t>Available abstract (not full text):</w:t>
      </w:r>
      <w:r>
        <w:t xml:space="preserve"> This paper contributes to the development of theoretical foundations of answer set programming. Groundbreaking work on the SM operator by Ferraris, Lee, and Lifschitz proposed a definition/semantics for logic (answer set) programs based on a syntactic transformation similar to parallel circumscription. That definition radically differed from its predecessors by using classical (second-order) logic and avoiding reference to either grounding or fixpoints. Yet, the work lacked the formalization of crucial and commonly used answer set programming language constructs called aggregates. In this paper, we present a characterization of logic programs with aggregates based on a many-sorted generalization of the SM operator. This characterization introduces new function symbols for aggregate operations and aggregate elements, whose meaning can be fixed by adding appropriate axioms to the result of the SM transformation. We prove that our characterization coincides with the ASP-Core-2 semantics for logic programs and, if we allow non-positive recursion through aggregates, it coincides with the semantics of the answer set solver CLINGO.</w:t>
      </w:r>
    </w:p>
    <w:p>
      <w:pPr/>
      <w:r>
        <w:rPr>
          <w:b/>
        </w:rPr>
        <w:t>POSSIBLE 2024:</w:t>
      </w:r>
      <w:r>
        <w:t xml:space="preserve"> Higher-Order Model Checking of Effect-Handling Programs with Answer-Type Modification — https://doi.org/10.1145/3689805</w:t>
      </w:r>
    </w:p>
    <w:p>
      <w:pPr/>
      <w:r>
        <w:rPr>
          <w:b/>
        </w:rPr>
        <w:t>Shared claim-specific concepts:</w:t>
      </w:r>
      <w:r>
        <w:t xml:space="preserve"> work, implemented, approach; EU scope not established. This is a provisional connection, not an outcome finding.</w:t>
      </w:r>
    </w:p>
    <w:p>
      <w:pPr>
        <w:pStyle w:val="SourceNote"/>
      </w:pPr>
      <w:r>
        <w:rPr>
          <w:b/>
        </w:rPr>
        <w:t>Available abstract (not full text):</w:t>
      </w:r>
      <w:r>
        <w:t xml:space="preserve"> Since the seminal work by Ong, the model checking of higher-order programs—called higher-order model checking , or HOMC for short—has gained attention. It is also crucial for making HOMC applicable to real-world software to address programs involving computational effects. Recently, Dal Lago and Ghyselen considered an extension of HOMC to algebraic effect handlers , which enable programming the semantics of effects. They showed a negative result for HOMC with algebraic effect handlers—it is undecidable. In this work, we explore a restriction on programs with algebraic effect handlers which ensures the decidability of HOMC while allowing implementations of various effects. We identify the crux of the undecidability as the use of an unbounded number of algebraic effect handlers being active at the same time. To prevent it, we introduce answer-type modification (ATM), which can bound the number of algebraic effect handlers that can be active at the same time. We prove that ATM can ensure the decidability of HOMC and show that it accommodates a wide range of effects. To evaluate our approach, we implemented an automated verifier EffCaml based on the presented techniques and confirmed that the program examples discussed in this paper can be automatically verified.</w:t>
      </w:r>
    </w:p>
    <w:p>
      <w:pPr/>
      <w:r>
        <w:rPr>
          <w:b/>
        </w:rPr>
        <w:t>POSSIBLE 2024:</w:t>
      </w:r>
      <w:r>
        <w:t xml:space="preserve"> A systematization of Álvaro Vieira Pinto's philosophical work — https://openalex.org/W7120406114</w:t>
      </w:r>
    </w:p>
    <w:p>
      <w:pPr/>
      <w:r>
        <w:rPr>
          <w:b/>
        </w:rPr>
        <w:t>Shared claim-specific concepts:</w:t>
      </w:r>
      <w:r>
        <w:t xml:space="preserve"> present, work, set, education, national, technology; EU scope not established. This is a provisional connection, not an outcome finding.</w:t>
      </w:r>
    </w:p>
    <w:p>
      <w:pPr>
        <w:pStyle w:val="SourceNote"/>
      </w:pPr>
      <w:r>
        <w:rPr>
          <w:b/>
        </w:rPr>
        <w:t>Available abstract (not full text):</w:t>
      </w:r>
      <w:r>
        <w:t xml:space="preserve"> This work consists of an investigation about the thought of the Brazilian philosopher Álvaro Vieira Pinto. It is a systematical exposition (always interpretative) oriented by the systematic reconstitution of the essential of Álvaro Vieira Pinto’s thought. Our investigation is situated in the context of the works written by the author, chronologically, from the booklet Ideology and National Development (1956) onwards, including later texts that we have available today. We present the thesis that throughout these works, a systematic and unitary philosophical thought unfolds, but whose synthetic exposition must be produced, and this is what our work consists of. As a result, we want, precisely, from the systematic interpretation of his texts, to expose the foundations of this philosophical conception and present how his thought is structured and developed internally. There is no work by the author that is dedicated exclusively and specifically to the systematization we undertake here, which collects elements left over from all the author’s works investigated by us, and that’s why this thesis may shed new light on the set of problems involving the author and his work. The fact that the Brazilian thinker has written about a great variety of themes, such as Work, Nation, Science, Technology, Cybernetics, Education, Politics etc., seems to demand some kind of interpretation that allow</w:t>
      </w:r>
    </w:p>
    <w:p>
      <w:pPr/>
      <w:r>
        <w:rPr>
          <w:b/>
        </w:rPr>
        <w:t>POSSIBLE 2024:</w:t>
      </w:r>
      <w:r>
        <w:t xml:space="preserve"> NLU-V: A Family of Instruction Set Extensions for Efficient Symmetric Cryptography on RISC-V — https://doi.org/10.3390/cryptography8010009</w:t>
      </w:r>
    </w:p>
    <w:p>
      <w:pPr/>
      <w:r>
        <w:rPr>
          <w:b/>
        </w:rPr>
        <w:t>Shared claim-specific concepts:</w:t>
      </w:r>
      <w:r>
        <w:t xml:space="preserve"> present, work, set, implemented; EU scope not established. This is a provisional connection, not an outcome finding.</w:t>
      </w:r>
    </w:p>
    <w:p>
      <w:pPr>
        <w:pStyle w:val="SourceNote"/>
      </w:pPr>
      <w:r>
        <w:rPr>
          <w:b/>
        </w:rPr>
        <w:t>Available abstract (not full text):</w:t>
      </w:r>
      <w:r>
        <w:t xml:space="preserve"> Cryptographic primitives nowadays are not only implemented in high-performance systems but also in small-scale systems, which are increasingly powered by open-source processors, such as RISC-V. In this work, we leverage RISC-V’s modular base instruction set and architecture to propose a generic instruction set extension (ISE) for symmetric cryptography. We adapt the work from Engels et al. in ARITH’13, the non-linear/linear instruction set extension (NLU), which presents a generic hardware/software co-design solution for efficient symmetric crypto implementations through a hardware unit extending the 8-bit AVR instruction set. These new instructions realize non-linear and linear layers, which are widely used to implement the block ciphers in symmetric cryptography. Our proposal modifies and extends the NLU instructions to a 32-bit RISC-V architecture; hence, we call the proposed ISE ‘NLU-V’. The proposed architecture is integrated into the open-source RISC-V implementation ‘Icicle’ and synthesized on a Xilinx Kintex-7 XC7K160T FPGA. The area overhead for the proposed NLU-V ISE is 1088 slice registers and 4520 LUTs. As case studies, the PRESENT and AES block ciphers are implemented using the new ISE on RISC-V in assembly. Our evaluation metric to showcase the performance gain, Z ‘time-area-product (TAP)’ (the execution time in clock cycles times code memory consumption), reflect</w:t>
      </w:r>
    </w:p>
    <w:p>
      <w:pPr>
        <w:pStyle w:val="Heading2"/>
      </w:pPr>
      <w:r>
        <w:t>764. Polish and Ukrainian foresight into the directions for the innovation of power plants</w:t>
      </w:r>
    </w:p>
    <w:p>
      <w:pPr>
        <w:pStyle w:val="SourceNote"/>
      </w:pPr>
      <w:r>
        <w:rPr>
          <w:b/>
        </w:rPr>
        <w:t>Original source (2018):</w:t>
      </w:r>
      <w:r>
        <w:t xml:space="preserve"> https://doi.org/10.5277/ord180404</w:t>
      </w:r>
    </w:p>
    <w:p>
      <w:pPr/>
      <w:r>
        <w:t>Original wording (abstract; indexed_source_text_not_full_document_verified): Such an approach could be used to establish a set of measures aimed at the continuous improvement of technical, technological, socioeconomic and environmental processes in power plants (e.g., the operation of Ukrainian hydroelectric power plants).</w:t>
      </w:r>
    </w:p>
    <w:p>
      <w:pPr/>
      <w:r>
        <w:rPr>
          <w:b/>
        </w:rPr>
        <w:t>POSSIBLE 2026:</w:t>
      </w:r>
      <w:r>
        <w:t xml:space="preserve"> Feasibility Model for Establishing and Implementing Smart Insurance Using a Hybrid Approach — https://openalex.org/W7217145713</w:t>
      </w:r>
    </w:p>
    <w:p>
      <w:pPr/>
      <w:r>
        <w:rPr>
          <w:b/>
        </w:rPr>
        <w:t>Shared claim-specific concepts:</w:t>
      </w:r>
      <w:r>
        <w:t xml:space="preserve"> approach, used, processes; EU scope not established. This is a provisional connection, not an outcome finding.</w:t>
      </w:r>
    </w:p>
    <w:p>
      <w:pPr>
        <w:pStyle w:val="SourceNote"/>
      </w:pPr>
      <w:r>
        <w:rPr>
          <w:b/>
        </w:rPr>
        <w:t>Available abstract (not full text):</w:t>
      </w:r>
      <w:r>
        <w:t xml:space="preserve"> In the past decade, the insurance industry has been influenced by advancements in emerging technologies such as artificial intelligence (AI), blockchain, the Internet of Things (IoT), and big data analytics, leading to a shift toward digital transformation and the implementation of smart insurance practices. This study was conducted with the aim of presenting a comprehensive model for the feasibility assessment and implementation of smart insurance in Dana Insurance Company. The research employed a quantitative methodology. To develop the final model, the Delphi method was utilized. In this stage, the sample consisted of 15 insurance and academic experts. Data were collected using a questionnaire. In the subsequent phase, structural equation modeling (SEM) was applied to examine the validity of the final model. In this phase, the sample comprised 256 individuals, including managers, experts, and insurance representatives across the studied provinces. A researcher-made questionnaire was used for data collection. The validity of the questionnaire was evaluated and confirmed through construct validity, and its reliability was verified using Cronbach’s alpha coefficient. The results of the SEM analysis demonstrated satisfactory construct validity of the final model. Findings from these two phases identified 12 main categories, including smart technologies and tools, information tec</w:t>
      </w:r>
    </w:p>
    <w:p>
      <w:pPr/>
      <w:r>
        <w:rPr>
          <w:b/>
        </w:rPr>
        <w:t>POSSIBLE 2026:</w:t>
      </w:r>
      <w:r>
        <w:t xml:space="preserve"> Establish An Advanced River Flow Prediction Model Using An Artificial Intelligence Approach — https://doi.org/10.51483/ijaiml.6.6s.2026.1293-1301</w:t>
      </w:r>
    </w:p>
    <w:p>
      <w:pPr/>
      <w:r>
        <w:rPr>
          <w:b/>
        </w:rPr>
        <w:t>Shared claim-specific concepts:</w:t>
      </w:r>
      <w:r>
        <w:t xml:space="preserve"> approach, establish, environmental; EU scope not established. This is a provisional connection, not an outcome finding.</w:t>
      </w:r>
    </w:p>
    <w:p>
      <w:pPr>
        <w:pStyle w:val="SourceNote"/>
      </w:pPr>
      <w:r>
        <w:rPr>
          <w:b/>
        </w:rPr>
        <w:t>Available abstract (not full text):</w:t>
      </w:r>
      <w:r>
        <w:t xml:space="preserve"> Accurate river flow predictions are essential for effective management of water resources, flood control, and environmental protection due to the increasing frequency of extreme weather events and shifting hydrological tendencies. An improved river flow prediction method utilizing artificial intelligence (AI) approaches is presented in this research. To advance the method's accuracy and rate of convergence, the raw river flow data is first normalized to decrease the impact of outliers and guarantee consistency across different scales. To raise the convergence speed and predictive performance, the Refined Northern Goshawk Optimized Deep Neural Network (RNGO-DNN), a novel hybrid method, incorporates optimized optimization methods that were influenced by the hunting tactics of the northern goshawk. When associated with conventional prediction approaches, the method's performance shows greater accuracy and dependability. The proposed method is measured against existing approaches, demonstrating larger performance in forecasting river flow by using metrics such as R-squared (R²) of 0.98, Root Mean Square Error (RMSE) of 0.20, and Mean Absolute Error (MAE) of 0.08 in River flow forecast. The outcomes illustrate that the suggested technique achieves significantly better than conventional prediction methods, providing a reliable tool for forecasting river flow and improving resource ma</w:t>
      </w:r>
    </w:p>
    <w:p>
      <w:pPr/>
      <w:r>
        <w:rPr>
          <w:b/>
        </w:rPr>
        <w:t>POSSIBLE 2025:</w:t>
      </w:r>
      <w:r>
        <w:t xml:space="preserve"> Establishing and evaluating approaches for mixed media hybrid prototyping using Lego and additive manufacturing — https://doi.org/10.1017/dsj.2025.10036</w:t>
      </w:r>
    </w:p>
    <w:p>
      <w:pPr/>
      <w:r>
        <w:rPr>
          <w:b/>
        </w:rPr>
        <w:t>Shared claim-specific concepts:</w:t>
      </w:r>
      <w:r>
        <w:t xml:space="preserve"> approach, establish, processes; EU scope not established. This is a provisional connection, not an outcome finding.</w:t>
      </w:r>
    </w:p>
    <w:p>
      <w:pPr>
        <w:pStyle w:val="SourceNote"/>
      </w:pPr>
      <w:r>
        <w:rPr>
          <w:b/>
        </w:rPr>
        <w:t>Available abstract (not full text):</w:t>
      </w:r>
      <w:r>
        <w:t xml:space="preserve"> Abstract Hybrid prototyping (HP) – the combination of mixed prototyping media within a single product design – has shown potential to substantially reduce process cost and fabrication time. However, previous work has not considered how HP processes and fabrication should be aligned with designer intent or activity needs, how these may change the realised savings or good practice guidance for successful implementation. This work proposes three approaches for HP with Lego and additive manufacturing, targeted towards enabling mixed fidelity for prototype flexibility, parallelisation for rapid fabrication and component reuse to minimise material waste. It then establishes good practice guidance and proposes a HP method that accounts for practical and process constraints, then implemented through an automated hybridisation tool. Approaches are compared through a simulation study and a case study to establish relative benefit. Results show potential time and material savings of 56% and 76%, respectively, depending on the approach chosen, demonstrating the substantial and practical scope for savings that HP provides.</w:t>
      </w:r>
    </w:p>
    <w:p>
      <w:pPr/>
      <w:r>
        <w:rPr>
          <w:b/>
        </w:rPr>
        <w:t>POSSIBLE 2024:</w:t>
      </w:r>
      <w:r>
        <w:t xml:space="preserve"> A comprehensive review of planting approaches used to establish willow for environmental applications — https://doi.org/10.1016/j.ecoleng.2024.107288</w:t>
      </w:r>
    </w:p>
    <w:p>
      <w:pPr/>
      <w:r>
        <w:rPr>
          <w:b/>
        </w:rPr>
        <w:t>Shared claim-specific concepts:</w:t>
      </w:r>
      <w:r>
        <w:t xml:space="preserve"> used, establish, environmental, operation; EU scope not established. This is a provisional connection, not an outcome finding.</w:t>
      </w:r>
    </w:p>
    <w:p>
      <w:pPr>
        <w:pStyle w:val="SourceNote"/>
      </w:pPr>
      <w:r>
        <w:rPr>
          <w:b/>
        </w:rPr>
        <w:t>Available abstract (not full text):</w:t>
      </w:r>
      <w:r>
        <w:t xml:space="preserve"> Willow is considered an ideal plant species for environmental applications, including phytoremediation . Improving planting efficiency and reducing the costs of phytoremediation have become key steps for increasing its application. This paper reports the most update-to-date information on frequently used techniques for establishing willow, including plant material, planting methods, and the factors influencing the early establishment of trees in the field. The five main types of planting materials (rods, cuttings, billets, micro-cuttings and single-bud short branches), and the seven main planting techniques, especially different vertical and horizontal planting directions, were assessed. Factors affecting willow establishment were also reviewed, including the characteristics of planting materials (i.e., clones, cutting phenology , propagules size, pre-treatments), operation during planting (i.e., timing, orientation and planting depth) and post-planting management (i.e., soil conditions and weed management). New planting approaches with small-sized cuttings (of about 5 cm in length) have been recently proposed showing promising economical and effectiveness characteristics, especially for the establishment of willows in harsh soil and challenging conditions.</w:t>
      </w:r>
    </w:p>
    <w:p>
      <w:pPr/>
      <w:r>
        <w:rPr>
          <w:b/>
        </w:rPr>
        <w:t>POSSIBLE 2024:</w:t>
      </w:r>
      <w:r>
        <w:t xml:space="preserve"> Ventricular tachycardia mapping and ablation using MIXture of well-established approaches. The MIX-VT study — https://doi.org/10.1093/europace/euae102.532</w:t>
      </w:r>
    </w:p>
    <w:p>
      <w:pPr/>
      <w:r>
        <w:rPr>
          <w:b/>
        </w:rPr>
        <w:t>Shared claim-specific concepts:</w:t>
      </w:r>
      <w:r>
        <w:t xml:space="preserve"> approach, used, improvement; EU scope not established. This is a provisional connection, not an outcome finding.</w:t>
      </w:r>
    </w:p>
    <w:p>
      <w:pPr>
        <w:pStyle w:val="SourceNote"/>
      </w:pPr>
      <w:r>
        <w:rPr>
          <w:b/>
        </w:rPr>
        <w:t>Available abstract (not full text):</w:t>
      </w:r>
      <w:r>
        <w:t xml:space="preserve"> Abstract Introduction Ablation for ventricular tachycardia (VT) is still challenging despite impressive technology development, especially in mid- or low-volume centers. The most frequently used approach is homogenization of scar area responsible for VT, combined with standard electrophysiological (EP) approaches such as VT inducibility and mapping. However, in real life long-term efficacy of VT ablation in such centers does not exceed 50%. We hypothesized that an approach consisting of the mixture of various well-established parameters would be more effective than scar homogenization and VT non-inducibility as the endpoints. Purpose To compare the outcome of VT ablation using the standard approach (scar homogenization) and a more complex approach, called the MIX-VT protocol, using late potential mapping + pace mapping with rapid change of VT morphology to localize the critical isthmus + core isolation. All procedures were performed using the 3D mapping system, Pentaray mapping catheter, Smart-Touch ablation catheter and intracardiac echocardiography (ICE). Methods 48 consecutive patients (41 male, mean age 71.5 years) with ischemic cardiopathy referred for urgent VT ablation were included: 23 patients underwent "standard" VT ablation between December 2018 and December 2019, whereas the next 25 patients underwent ablation using the MIX-VT protocol between January 2020 and Decem</w:t>
      </w:r>
    </w:p>
    <w:p>
      <w:pPr/>
      <w:r>
        <w:rPr>
          <w:b/>
        </w:rPr>
        <w:t>POSSIBLE 2023:</w:t>
      </w:r>
      <w:r>
        <w:t xml:space="preserve"> Establishing Novel Drug Leads For Bubonic Plague Using In-Silico Approach — https://doi.org/10.2991/978-94-6463-294-1_11</w:t>
      </w:r>
    </w:p>
    <w:p>
      <w:pPr/>
      <w:r>
        <w:rPr>
          <w:b/>
        </w:rPr>
        <w:t>Shared claim-specific concepts:</w:t>
      </w:r>
      <w:r>
        <w:t xml:space="preserve"> approach, used, plants; EU scope not established. This is a provisional connection, not an outcome finding.</w:t>
      </w:r>
    </w:p>
    <w:p>
      <w:pPr>
        <w:pStyle w:val="SourceNote"/>
      </w:pPr>
      <w:r>
        <w:rPr>
          <w:b/>
        </w:rPr>
        <w:t>Available abstract (not full text):</w:t>
      </w:r>
      <w:r>
        <w:t xml:space="preserve"> Bubonic plague is an infection spread mostly to humans by infected fleas that feed on rodents which is also known as 'Black death'.It killed millions of Europeans during the middles ages.Bubonic Plague is an infectious disease caused by a specific type of bacterium called Yersinia pestis.Which is also know as Y.pestis can affect humans spread mainly by fleas.Prevention doesn't include a vaccine, but does involve reducing your exposure to mice, rats, squirrels and other animals that may be infected.The deaths exceeded 25 million people during the middle ages.The plague is rare now.Only a few thousand people around the world get it each year most of the cases are in Africa, India.The FASTA sequence of the genes-receptors of the above disease were retrieved from Genbank database.Next, we modelled the 3D structure of the FASTA protein sequence using modeller.The best model was selected using Ramachandran plot.Phytocompounds from medicinal plants is considered Emblica Officinalis, Terminalia Chebula, Terminalia Bellirica, Asphaltum Punjabianum, Azadirachta Indica as considered as novel drug leads is retrieved from PUBCHEM database.The phytocompounds are checked for drug-like properties using molinspiration software.The compounds having no violations was considered for further docking studies.Thannilignan, Ellagic acid, Quercetin, Termilignan docks best with both the receptors.Hence </w:t>
      </w:r>
    </w:p>
    <w:p>
      <w:pPr/>
      <w:r>
        <w:rPr>
          <w:b/>
        </w:rPr>
        <w:t>POSSIBLE 2023:</w:t>
      </w:r>
      <w:r>
        <w:t xml:space="preserve"> Measuring engineering culture: a preliminary approach using perceptions of meritocracy and competition — https://doi.org/10.1109/fie58773.2023.10342907</w:t>
      </w:r>
    </w:p>
    <w:p>
      <w:pPr/>
      <w:r>
        <w:rPr>
          <w:b/>
        </w:rPr>
        <w:t>Shared claim-specific concepts:</w:t>
      </w:r>
      <w:r>
        <w:t xml:space="preserve"> approach, used, measures; EU scope not established. This is a provisional connection, not an outcome finding.</w:t>
      </w:r>
    </w:p>
    <w:p>
      <w:pPr>
        <w:pStyle w:val="SourceNote"/>
      </w:pPr>
      <w:r>
        <w:rPr>
          <w:b/>
        </w:rPr>
        <w:t>Available abstract (not full text):</w:t>
      </w:r>
      <w:r>
        <w:t xml:space="preserve"> This work in progress paper aims to present a first effort in measuring elements of engineering culture that can interact with student well-being. Engineering culture has been under significant scrutiny during the last couple of decades, especially as it has been extensively documented to be exclusionary for marginalized groups. Significant and valuable efforts exist characterizing engineering culture qualitatively, however, less of such efforts have been oriented toward generating a quantitative approach to gauge it. Therefore, studies that aim to measure engineering culture often use established measures for diversity and inclusion as the closest proxies. Derived from our own need to have a quantitative way of measuring engineering culture within a larger longitudinal and multi-institutional project, we embarked on an attempt to do so through two components that have been documented as being part of the engineering ways of thinking and doing, the perceptions of meritocratic beliefs and competitive attitudes. In this paper, we present five items that we have used to measure engineering culture as they relate to competition and meritocracy beliefs. Our research goal was to use Exploratory Factor Analysis (EFA) and Confirmatory Factor Analysis (CFA) to investigate the factorial structure of the proposed items. We report on the results from the EFA and CFA for these items using a</w:t>
      </w:r>
    </w:p>
    <w:p>
      <w:pPr/>
      <w:r>
        <w:rPr>
          <w:b/>
        </w:rPr>
        <w:t>POSSIBLE 2022:</w:t>
      </w:r>
      <w:r>
        <w:t xml:space="preserve"> Identifying Key Elements for Establishing Sustainable Conventions and Exhibitions: Use of the Delphi and AHP Approaches — https://doi.org/10.3390/su14031678</w:t>
      </w:r>
    </w:p>
    <w:p>
      <w:pPr/>
      <w:r>
        <w:rPr>
          <w:b/>
        </w:rPr>
        <w:t>Shared claim-specific concepts:</w:t>
      </w:r>
      <w:r>
        <w:t xml:space="preserve"> approach, establish, continuous; EU scope not established. This is a provisional connection, not an outcome finding.</w:t>
      </w:r>
    </w:p>
    <w:p>
      <w:pPr>
        <w:pStyle w:val="SourceNote"/>
      </w:pPr>
      <w:r>
        <w:rPr>
          <w:b/>
        </w:rPr>
        <w:t>Available abstract (not full text):</w:t>
      </w:r>
      <w:r>
        <w:t xml:space="preserve"> The purpose of this study was to explore, by employing the Delphi method, key indicators and factors for establishing sustainable conventions and exhibitions (C&amp;E) events in a destination in lieu of holding one-off events. In addition, the identified factors for establishing sustainable C&amp;E events were assessed using the analytic hierarchy process (AHP) with a multi-group approach. First, internal and external factors that impact continuous hosting of C&amp;E events in a destination were identified in previous research and reviewed. Second, three stages of Delphi surveys were conducted with three groups of experts in the C&amp;E industry (academic scholars, industry experts, and government agencies in Korea). Third, data were analyzed from 35 and 29 participants in the first and second Delphi rounds, respectively, as well as from 17 panelists in the subsequent AHP analysis. A total of 33 indicators were developed and categorized into five factors for continuity of regional C&amp;E efforts: event contents and capabilities, organizers and support/sponsorship, impacts, facilities in venues and destinations, and the local event environment. Furthermore, all three participant groups reached agreement in rating event contents and capabilities as the most important factor, with the local event environment as the second most important factor in achieving sustainable regional C&amp;E. However, the opin</w:t>
      </w:r>
    </w:p>
    <w:p>
      <w:pPr/>
      <w:r>
        <w:rPr>
          <w:b/>
        </w:rPr>
        <w:t>POSSIBLE 2022:</w:t>
      </w:r>
      <w:r>
        <w:t xml:space="preserve"> Methodological approaches to measuring quality of life — https://doi.org/10.1590/0101-31572022-3256</w:t>
      </w:r>
    </w:p>
    <w:p>
      <w:pPr/>
      <w:r>
        <w:rPr>
          <w:b/>
        </w:rPr>
        <w:t>Shared claim-specific concepts:</w:t>
      </w:r>
      <w:r>
        <w:t xml:space="preserve"> approach, used, measures, aimed; EU scope not established. This is a provisional connection, not an outcome finding.</w:t>
      </w:r>
    </w:p>
    <w:p>
      <w:pPr>
        <w:pStyle w:val="SourceNote"/>
      </w:pPr>
      <w:r>
        <w:rPr>
          <w:b/>
        </w:rPr>
        <w:t>Available abstract (not full text):</w:t>
      </w:r>
      <w:r>
        <w:t xml:space="preserve"> ABSTRACT The ultimate goal of the present work lay in creating a vector methodology for measuring QoL. Application of an integrated approach to the results of the classification analysis and SWOT analysis enabled elaborating a vector methodology of a recommendatory type aimed at improving QoL measurement approaches. It was established that this methodology should include four major updates taking into account the challenges of tomorrow. The study results may be of interest to public authorities responsible for taking measures directed at raising the country’s international ranking as well as be used for reducing contradictions on the part of QoL measuring procedures.</w:t>
      </w:r>
    </w:p>
    <w:p>
      <w:pPr/>
      <w:r>
        <w:rPr>
          <w:b/>
        </w:rPr>
        <w:t>POSSIBLE 2022:</w:t>
      </w:r>
      <w:r>
        <w:t xml:space="preserve"> Methodological approaches to measuring quality of life — https://doi.org/10.6084/m9.figshare.19965475</w:t>
      </w:r>
    </w:p>
    <w:p>
      <w:pPr/>
      <w:r>
        <w:rPr>
          <w:b/>
        </w:rPr>
        <w:t>Shared claim-specific concepts:</w:t>
      </w:r>
      <w:r>
        <w:t xml:space="preserve"> approach, used, measures, aimed; EU scope not established. This is a provisional connection, not an outcome finding.</w:t>
      </w:r>
    </w:p>
    <w:p>
      <w:pPr>
        <w:pStyle w:val="SourceNote"/>
      </w:pPr>
      <w:r>
        <w:rPr>
          <w:b/>
        </w:rPr>
        <w:t>Available abstract (not full text):</w:t>
      </w:r>
      <w:r>
        <w:t xml:space="preserve"> ABSTRACT The ultimate goal of the present work lay in creating a vector methodology for measuring QoL. Application of an integrated approach to the results of the classification analysis and SWOT analysis enabled elaborating a vector methodology of a recommendatory type aimed at improving QoL measurement approaches. It was established that this methodology should include four major updates taking into account the challenges of tomorrow. The study results may be of interest to public authorities responsible for taking measures directed at raising the country’s international ranking as well as be used for reducing contradictions on the part of QoL measuring procedures.</w:t>
      </w:r>
    </w:p>
    <w:p>
      <w:pPr/>
      <w:r>
        <w:rPr>
          <w:b/>
        </w:rPr>
        <w:t>POSSIBLE 2022:</w:t>
      </w:r>
      <w:r>
        <w:t xml:space="preserve"> Measuring human capital in South Africa across socioeconomic subgroups using a latent-variable approach — https://doi.org/10.1007/s11205-022-02973-y</w:t>
      </w:r>
    </w:p>
    <w:p>
      <w:pPr/>
      <w:r>
        <w:rPr>
          <w:b/>
        </w:rPr>
        <w:t>Shared claim-specific concepts:</w:t>
      </w:r>
      <w:r>
        <w:t xml:space="preserve"> approach, used, socioeconomic; EU scope not established. This is a provisional connection, not an outcome finding.</w:t>
      </w:r>
    </w:p>
    <w:p>
      <w:pPr>
        <w:pStyle w:val="SourceNote"/>
      </w:pPr>
      <w:r>
        <w:rPr>
          <w:b/>
        </w:rPr>
        <w:t>Available abstract (not full text):</w:t>
      </w:r>
      <w:r>
        <w:t xml:space="preserve"> Abstract Human capital is a complex concept to measure given it is an unobserved latent construct. Education is a fundamental dimension of human capital and thus an education-based approach is the one most widely used. However, the international literature recommends a latent-variable approach to measuring human capital. This study thus aims to measure human capital in South Africa, a country experiencing extreme earnings and education inequalities, using a latent-variable approach and the National Income Dynamic Study (NIDS) dataset. The findings are that parental education is associated with the largest amount of variance in (latent) human capital, while the health indicator captures the least variance. Furthermore, the (latent) human capital variable provides a valuable measure to profile the distribution of human capital by socioeconomic subgroups.</w:t>
      </w:r>
    </w:p>
    <w:p>
      <w:pPr/>
      <w:r>
        <w:rPr>
          <w:b/>
        </w:rPr>
        <w:t>POSSIBLE 2022:</w:t>
      </w:r>
      <w:r>
        <w:t xml:space="preserve"> A Novel Approach for Establishing Connectivity in Partitioned Mobile Sensor Networks using Beamforming Techniques — https://doi.org/10.52547/jist.16302.10.40.300</w:t>
      </w:r>
    </w:p>
    <w:p>
      <w:pPr/>
      <w:r>
        <w:rPr>
          <w:b/>
        </w:rPr>
        <w:t>Shared claim-specific concepts:</w:t>
      </w:r>
      <w:r>
        <w:t xml:space="preserve"> approach, used, set; EU scope not established. This is a provisional connection, not an outcome finding.</w:t>
      </w:r>
    </w:p>
    <w:p>
      <w:pPr>
        <w:pStyle w:val="SourceNote"/>
      </w:pPr>
      <w:r>
        <w:rPr>
          <w:b/>
        </w:rPr>
        <w:t>Available abstract (not full text):</w:t>
      </w:r>
      <w:r>
        <w:t xml:space="preserve"> Network connectivity is one of the major design issues in the context of mobile sensor networks. Due to diverse communication patterns, some nodes lying in high-traffic zones may consume more energy and eventually die out resulting in network partitioning. This phenomenon may deprive a large number of alive nodes of sending their important time critical data to the sink. The application of data caching in mobile sensor networks is exponentially increasing as a high-speed data storage layer. This paper presents a deep learning-based beamforming approach to find the optimal transmission strategies for cache-enabled backhaul networks. In the proposed scheme, the sensor nodes in isolated partitions work together to form a directional beam which significantly increases their overall communication range to reach out a distant relay node connected to the main part of the network. The proposed methodology of cooperative beamforming-based partition connectivity works efficiently if an isolated cluster gets partitioned with a favorably large number of nodes. We also present a new cross-layer method for link cost that makes a balance between the energy used by the relay. By directly adding the accessible auxiliary nodes to the set of routing links, the algorithm chooses paths which provide maximum dynamic beamforming usage for the intermediate nodes. The proposed approach is then evaluate</w:t>
      </w:r>
    </w:p>
    <w:p>
      <w:pPr>
        <w:pStyle w:val="Heading2"/>
      </w:pPr>
      <w:r>
        <w:t>765. Potential for hydrogen and Power-to-Liquid in a low-carbon EU energy system using cost optimization</w:t>
      </w:r>
    </w:p>
    <w:p>
      <w:pPr>
        <w:pStyle w:val="SourceNote"/>
      </w:pPr>
      <w:r>
        <w:rPr>
          <w:b/>
        </w:rPr>
        <w:t>Original source (2018):</w:t>
      </w:r>
      <w:r>
        <w:t xml:space="preserve"> https://doi.org/10.1016/j.apenergy.2018.09.216</w:t>
      </w:r>
    </w:p>
    <w:p>
      <w:pPr/>
      <w:r>
        <w:t>Original wording (abstract; indexed_source_text_not_full_document_verified): This study assesses the role of these pathways across scenarios that achieve 80–95% CO2 reduction by 2050 (vs. 1990) using the JRC-EU-TIMES model.</w:t>
      </w:r>
    </w:p>
    <w:p>
      <w:pPr/>
      <w:r>
        <w:rPr>
          <w:b/>
        </w:rPr>
        <w:t>POSSIBLE 2026:</w:t>
      </w:r>
      <w:r>
        <w:t xml:space="preserve"> Assessing Plug-in Electric Vehicle Adoption: Methodologies, Policy Effects, and Diverging Market Pathways in China, the U.S., and Europe — https://doi.org/10.4271/2026-01-0455</w:t>
      </w:r>
    </w:p>
    <w:p>
      <w:pPr/>
      <w:r>
        <w:rPr>
          <w:b/>
        </w:rPr>
        <w:t>Shared claim-specific concepts:</w:t>
      </w:r>
      <w:r>
        <w:t xml:space="preserve"> role, pathways; EU scope visible. This is a provisional connection, not an outcome finding.</w:t>
      </w:r>
    </w:p>
    <w:p>
      <w:pPr>
        <w:pStyle w:val="SourceNote"/>
      </w:pPr>
      <w:r>
        <w:rPr>
          <w:b/>
        </w:rPr>
        <w:t>Available abstract (not full text):</w:t>
      </w:r>
      <w:r>
        <w:t xml:space="preserve"> Accurate projection of Plug-in Electric Vehicle (PEV) market sales share is vital for evidence-based policymaking, yet existing studies employ diverse and often fragmented methodologies, creating a need for a systematic review to clarify their analytical foundations and comparative strengths. This study classifies mainstream approaches to market projections into theory-driven and data-driven categories and reviews the merits, limitations, and future directions of five representative models. Analysis reveals that leading approaches increasingly employ cross-scale model coupling, theory-data fusion, and modular design to harness complementary strengths, improving model robustness and predictive accuracy. Furthermore, the study compares PEV policies and market outlooks in China, the United States, and Europe—the world's three largest automotive markets. The findings indicate a strong linkage between projection convergence and policy stability. China demonstrates the highest policy consistency and institutional consensus, with an average projected PEV share of new-vehicle sales of 81.3% by 2030. Europe's projections average 62.8%, driven by binding emissions mandates, whereas the U.S. exhibits greater uncertainty, averaging 31.1% amid fragmented regulations and policy uncertainty. These disparities highlight the decisive role of policy coherence and regulatory predictability in sha</w:t>
      </w:r>
    </w:p>
    <w:p>
      <w:pPr/>
      <w:r>
        <w:rPr>
          <w:b/>
        </w:rPr>
        <w:t>POSSIBLE 2026:</w:t>
      </w:r>
      <w:r>
        <w:t xml:space="preserve"> Assessing urban green roofs for CO2 removal via enhanced rock weathering in Europe — https://doi.org/10.1016/j.envadv.2026.100708</w:t>
      </w:r>
    </w:p>
    <w:p>
      <w:pPr/>
      <w:r>
        <w:rPr>
          <w:b/>
        </w:rPr>
        <w:t>Shared claim-specific concepts:</w:t>
      </w:r>
      <w:r>
        <w:t xml:space="preserve"> co2; EU scope visible. This is a provisional connection, not an outcome finding.</w:t>
      </w:r>
    </w:p>
    <w:p>
      <w:pPr>
        <w:pStyle w:val="SourceNote"/>
      </w:pPr>
      <w:r>
        <w:rPr>
          <w:b/>
        </w:rPr>
        <w:t>Available abstract (not full text):</w:t>
      </w:r>
      <w:r>
        <w:t xml:space="preserve"> Green roofs represent a novel and promising platform for integrating enhanced rock weathering (ERW) as a carbon dioxide removal (CDR) strategy within urban environments. By utilising underused rooftop spaces, rock (feedstock)-amended green roofs for ERW could contribute meaningfully to climate mitigation targets while fitting within existing markets and policy frameworks. Despite this, a comprehensive assessment of opportunities and barriers to deployment is missing. Here, we provide a conceptual assessment, serving as a benchmark for the potential for large-scale ERW green roof deployment in Europe, examining literature from similar applications and estimating theoretical CDR potential at European and global scales, and identifying key opportunities and challenges. Our estimates suggest that, under conditions where 100% reactivity is achieved, green roofs in Europe could theoretically remove tens of millions of tonnes of CO 2 via ERW (in addition to plant uptake) by 2060, assuming expanded rooftop coverage. However, these findings are based on maximum geochemical capacities rather than empirical data from real-world conditions. Globally, theoretical removal potential ranges from tens to hundreds of millions of tonnes CO 2 per year, with major contributions from Central Asia, North America, Latin America and the Pacific. Beyond CDR benefits, ERW green roofs can enhance photovol</w:t>
      </w:r>
    </w:p>
    <w:p>
      <w:pPr/>
      <w:r>
        <w:rPr>
          <w:b/>
        </w:rPr>
        <w:t>POSSIBLE 2026:</w:t>
      </w:r>
      <w:r>
        <w:t xml:space="preserve"> Can a wealth tax reduce CO2 emissions in Europe? — https://doi.org/10.1016/j.ecolecon.2026.109231</w:t>
      </w:r>
    </w:p>
    <w:p>
      <w:pPr/>
      <w:r>
        <w:rPr>
          <w:b/>
        </w:rPr>
        <w:t>Shared claim-specific concepts:</w:t>
      </w:r>
      <w:r>
        <w:t xml:space="preserve"> across, co2, reduction; EU scope visible. This is a provisional connection, not an outcome finding.</w:t>
      </w:r>
    </w:p>
    <w:p>
      <w:pPr>
        <w:pStyle w:val="SourceNote"/>
      </w:pPr>
      <w:r>
        <w:rPr>
          <w:b/>
        </w:rPr>
        <w:t>Available abstract (not full text):</w:t>
      </w:r>
      <w:r>
        <w:t xml:space="preserve"> We analyse the potential of wealth taxes to reduce CO2 emissions through two transmission channels: the inequality channel, which links reductions in wealth inequality to lower emissions, and the consumption channel, which analyses how wealth taxes affect consumption by top wealth holders. We simulate the effects of various wealth tax designs over one- and ten-year horizons using harmonised microdata from 22 European countries. Our analysis accounts for survey non-response bias, heterogeneous rates of returns across households, and behavioural responses to taxation. We find that, through the inequality channel, an annual progressive wealth tax could reduce annual CO2 emissions by 7.5%–14.7% after ten years relative to a no-tax scenario, depending on tax progressivity. Through the consumption channel, the average reduction is between 1.5%–3.6%. These findings highlight the potential of wealth taxes to serve a dual purpose: curbing wealth concentration and contributing meaningfully to climate mitigation and justice, by focusing on high-net worth households who account for a disproportionate share of emissions.</w:t>
      </w:r>
    </w:p>
    <w:p>
      <w:pPr/>
      <w:r>
        <w:rPr>
          <w:b/>
        </w:rPr>
        <w:t>POSSIBLE 2025:</w:t>
      </w:r>
      <w:r>
        <w:t xml:space="preserve"> Regional Pathways to Internationalization: The Role of Erasmus+ in European HEIs — https://doi.org/10.3390/urbansci9050144</w:t>
      </w:r>
    </w:p>
    <w:p>
      <w:pPr/>
      <w:r>
        <w:rPr>
          <w:b/>
        </w:rPr>
        <w:t>Shared claim-specific concepts:</w:t>
      </w:r>
      <w:r>
        <w:t xml:space="preserve"> role, pathways, across; EU scope visible. This is a provisional connection, not an outcome finding.</w:t>
      </w:r>
    </w:p>
    <w:p>
      <w:pPr>
        <w:pStyle w:val="SourceNote"/>
      </w:pPr>
      <w:r>
        <w:rPr>
          <w:b/>
        </w:rPr>
        <w:t>Available abstract (not full text):</w:t>
      </w:r>
      <w:r>
        <w:t xml:space="preserve"> The study examines the geographic distribution of Erasmus+ incoming student mobility across European Higher Education Institutions (HEIs) from 2014 to 2020, highlighting significant regional disparities. It addresses the crucial questions of how regional and institutional factors influence student attractiveness and the emerging hotspots of mobility, which are vital for understanding the dynamics of educational internationalisation and regional development. The primary goal of this work is to identify the regional and institutional determinants of Erasmus student mobility and to propose strategies for enhancing the attractiveness of less favoured regions. Employing hotspot analysis and a two-level random intercept model, this research analyses spatial patterns and the influences of regional characteristics and institutional variables on Erasmus mobility rates. The findings reveal that while Spain, Germany, and the UK are leading recipients of Erasmus students, significant mobility hotspots exist primarily in Spain, Portugal, and southern France, with unexpected clusters emerging in Ireland and Sweden, indicating evolving dynamics in student mobility patterns. The conclusions underscore the importance of targeted regional policies to enhance HEI attractiveness and promote balanced internationalisation across Europe, particularly in underserved areas. These findings call for stra</w:t>
      </w:r>
    </w:p>
    <w:p>
      <w:pPr/>
      <w:r>
        <w:rPr>
          <w:b/>
        </w:rPr>
        <w:t>POSSIBLE 2025:</w:t>
      </w:r>
      <w:r>
        <w:t xml:space="preserve"> Review of Post-Combustion Carbon Capture in Europe: Current Technologies and Future Strategies for Largest CO2-Emitting Industries — https://doi.org/10.3390/en18133539</w:t>
      </w:r>
    </w:p>
    <w:p>
      <w:pPr/>
      <w:r>
        <w:rPr>
          <w:b/>
        </w:rPr>
        <w:t>Shared claim-specific concepts:</w:t>
      </w:r>
      <w:r>
        <w:t xml:space="preserve"> role, across, achieve, co2; EU scope visible. This is a provisional connection, not an outcome finding.</w:t>
      </w:r>
    </w:p>
    <w:p>
      <w:pPr>
        <w:pStyle w:val="SourceNote"/>
      </w:pPr>
      <w:r>
        <w:rPr>
          <w:b/>
        </w:rPr>
        <w:t>Available abstract (not full text):</w:t>
      </w:r>
      <w:r>
        <w:t xml:space="preserve"> Heavy industry is a significant contributor to CO2 global emissions, accounting for approximately 25% of the total. In Europe, the continent’s largest emitting industries, including steel, cement, and power generation, face significant decarbonization challenges due to multiple interrelated factors. Heavy industry must achieve carbon neutrality by 2050, as outlined in the 13th United Nations Sustainable Goals. One strategy to achieve this goal involves Carbon Capture Utilization and Storage (CCUS) with post-combustion carbon capture (PCC) technologies playing a critical role. Key methods include absorption, which uses chemical solvents like amines; adsorption, employing solid sorbents; cyclic CO2 capture, such as calcium looping methods; cryogenic separation, which involves chilling flue gas to liquefy CO2; and membrane separation, leveraging polymeric materials. Each technology offers unique advantages and challenges, necessitating hybrid approaches and policy support for widespread adoption. In this sense, this review provides a comprehensive overview of the existing European pilot and demonstration units and projects, funded by the EU across several industries. It specifically focuses on PCC. This study examines 111 industrial facilities across Europe, documenting the PCC technologies deployed at plants of varying capacities, geographic locations, and operational stakeholder</w:t>
      </w:r>
    </w:p>
    <w:p>
      <w:pPr/>
      <w:r>
        <w:rPr>
          <w:b/>
        </w:rPr>
        <w:t>POSSIBLE 2025:</w:t>
      </w:r>
      <w:r>
        <w:t xml:space="preserve"> H2 and CO2 network strategies for the European energy system — https://doi.org/10.1038/s41560-025-01752-6</w:t>
      </w:r>
    </w:p>
    <w:p>
      <w:pPr/>
      <w:r>
        <w:rPr>
          <w:b/>
        </w:rPr>
        <w:t>Shared claim-specific concepts:</w:t>
      </w:r>
      <w:r>
        <w:t xml:space="preserve"> role, co2; EU scope visible. This is a provisional connection, not an outcome finding.</w:t>
      </w:r>
    </w:p>
    <w:p>
      <w:pPr>
        <w:pStyle w:val="SourceNote"/>
      </w:pPr>
      <w:r>
        <w:rPr>
          <w:b/>
        </w:rPr>
        <w:t>Available abstract (not full text):</w:t>
      </w:r>
      <w:r>
        <w:t xml:space="preserve"> Abstract Hydrogen and carbon dioxide transport can play an essential role in climate-neutral energy systems. Hydrogen networks serve regions with high energy demand, whereas emissions are transported away in carbon dioxide networks. For the synthesis of carbonaceous fuels, it is less clear which input should be transported: hydrogen to carbon point sources or carbon to low-cost hydrogen. Here we explore both networks’ potential synergies and competition in cost-optimal carbon-neutral European energy systems. In direct comparison, a hydrogen network is more cost effective than a carbon network, as it serves to transport hydrogen to demand and to point sources of carbon for utilization. However, in hybrid scenarios where both networks are present, the carbon network effectively complements the hydrogen network, promoting carbon capture from distributed biomass and reducing reliance on direct air capture. The layouts of the hydrogen and carbon dioxide networks are robust if the climate target is tightened to be net negative.</w:t>
      </w:r>
    </w:p>
    <w:p>
      <w:pPr/>
      <w:r>
        <w:rPr>
          <w:b/>
        </w:rPr>
        <w:t>POSSIBLE 2025:</w:t>
      </w:r>
      <w:r>
        <w:t xml:space="preserve"> Pathways to a strong Social Europe — https://doi.org/10.31235/osf.io/zgjaf_v1</w:t>
      </w:r>
    </w:p>
    <w:p>
      <w:pPr/>
      <w:r>
        <w:rPr>
          <w:b/>
        </w:rPr>
        <w:t>Shared claim-specific concepts:</w:t>
      </w:r>
      <w:r>
        <w:t xml:space="preserve"> role, pathways, across; EU scope visible. This is a provisional connection, not an outcome finding.</w:t>
      </w:r>
    </w:p>
    <w:p>
      <w:pPr>
        <w:pStyle w:val="SourceNote"/>
      </w:pPr>
      <w:r>
        <w:rPr>
          <w:b/>
        </w:rPr>
        <w:t>Available abstract (not full text):</w:t>
      </w:r>
      <w:r>
        <w:t xml:space="preserve"> As Europe grapples with geopolitical tensions, economic instability, demographic change and rising populism, the role of Social Europe has never been more critical. The COVID-19 pandemic exposed significant vulnerabilities in social protection and health systems across the European Union (EU), but it also accelerated the development of temporary measures like the Support to mitigate Unemployment Risks in an Emergency (SURE) and the Recovery and Resilience Facility (RRF), demonstrating the potential for stronger EU-wide social policies. However, five years later, new crises have emerged, from the war in Ukraine and in the Middle East, which have heightened security concerns across the continent, to escalating natural disasters. Amid these challenges that threaten European welfare models, a crucial question remains: Has Social Europe been reinforced in a lasting and sustainable way, or were these measures merely temporary solutions?This paper highlights the need for strong social policies in the current era of geopolitical volatilities and sets out policy recommendations to ensure a pathway to a stronger social Europe.</w:t>
      </w:r>
    </w:p>
    <w:p>
      <w:pPr/>
      <w:r>
        <w:rPr>
          <w:b/>
        </w:rPr>
        <w:t>POSSIBLE 2025:</w:t>
      </w:r>
      <w:r>
        <w:t xml:space="preserve"> European Energy Vision 2060: Charting Diverse Pathways for Europe's Energy Transition — https://doi.org/10.48550/arxiv.2501.12993</w:t>
      </w:r>
    </w:p>
    <w:p>
      <w:pPr/>
      <w:r>
        <w:rPr>
          <w:b/>
        </w:rPr>
        <w:t>Shared claim-specific concepts:</w:t>
      </w:r>
      <w:r>
        <w:t xml:space="preserve"> role, pathways; EU scope visible. This is a provisional connection, not an outcome finding.</w:t>
      </w:r>
    </w:p>
    <w:p>
      <w:pPr>
        <w:pStyle w:val="SourceNote"/>
      </w:pPr>
      <w:r>
        <w:rPr>
          <w:b/>
        </w:rPr>
        <w:t>Available abstract (not full text):</w:t>
      </w:r>
      <w:r>
        <w:t xml:space="preserve"> Europe is warming at the fastest rate of all continents, experiencing a temperature increase of about 1°C higher than the corresponding global increase. Aiming to be the first climate-neutral continent by 2050 under the European Green Deal, Europe requires an in-depth understanding of the potential energy transition pathways. In this paper, we develop four qualitative long-term scenarios covering the European energy landscape, considering key uncertainty pillars -- categorized under social, technological, economic, political, and geopolitical aspects. First, we place the scenarios in a three-dimensional space defined by Social dynamics, Innovation, and Geopolitical instabilities. These scenarios are brought to life by defining their narratives and focus areas according to their location in this three-dimensional space. The scenarios envision diverse futures and include distinct features. The EU Trinity scenario pictures how internal divisions among EU member states, in the context of global geopolitical instability, affect the EU climate targets. The REPowerEU++ scenario outlines the steps needed for a self-sufficient, independent European energy system by 2050. The Go RES scenario examines the feasibility of achieving carbon neutrality earlier than 2050 given favourable uncertain factors. The NECP Essentials scenario extends current national energy and climate plans until 2060</w:t>
      </w:r>
    </w:p>
    <w:p>
      <w:pPr/>
      <w:r>
        <w:rPr>
          <w:b/>
        </w:rPr>
        <w:t>POSSIBLE 2024:</w:t>
      </w:r>
      <w:r>
        <w:t xml:space="preserve"> Distinct roles of direct and indirect electrification in pathways to a renewables-dominated European energy system — https://doi.org/10.1016/j.oneear.2024.01.015</w:t>
      </w:r>
    </w:p>
    <w:p>
      <w:pPr/>
      <w:r>
        <w:rPr>
          <w:b/>
        </w:rPr>
        <w:t>Shared claim-specific concepts:</w:t>
      </w:r>
      <w:r>
        <w:t xml:space="preserve"> pathways; EU scope visible. This is a provisional connection, not an outcome finding.</w:t>
      </w:r>
    </w:p>
    <w:p>
      <w:pPr>
        <w:pStyle w:val="SourceNote"/>
      </w:pPr>
      <w:r>
        <w:rPr>
          <w:b/>
        </w:rPr>
        <w:t>Available abstract (not full text):</w:t>
      </w:r>
      <w:r>
        <w:t xml:space="preserve"> Renewable electricity can facilitate climate change mitigation in the buildings, industry and transport sector via direct electrification or indirect electrification, that is, converting electricity to hydrogen-based fuels. While direct electrification is generally energy efficient, indirect electrification can partially build upon existing applications and infrastructure. However, their roles and relative importance have not been well researched in mitigation scenarios. Here, we derive plausible ranges for both strategies based on EU climate neutrality scenarios using the REMIND model. We find that by 2050 direct electrification is the dominant strategy with an electricity share of 42%–60% in final energy, while indirect electrification is necessary in hard-to-electrify sectors and contributes a share of 9%–26%. Our analysis highlights that policy makers should respect the distinct sectoral roles of both strategies by fostering an end-use transformation towards direct electrification while prioritizing hydrogen and synthetic fuels for applications where they are indispensable.</w:t>
      </w:r>
    </w:p>
    <w:p>
      <w:pPr/>
      <w:r>
        <w:rPr>
          <w:b/>
        </w:rPr>
        <w:t>POSSIBLE 2024:</w:t>
      </w:r>
      <w:r>
        <w:t xml:space="preserve"> The role of atmospheric circulation in explaining the summer extreme temperature trends over Europe — https://doi.org/10.5194/ems2024-1069</w:t>
      </w:r>
    </w:p>
    <w:p>
      <w:pPr/>
      <w:r>
        <w:rPr>
          <w:b/>
        </w:rPr>
        <w:t>Shared claim-specific concepts:</w:t>
      </w:r>
      <w:r>
        <w:t xml:space="preserve"> role, pathways; EU scope visible. This is a provisional connection, not an outcome finding.</w:t>
      </w:r>
    </w:p>
    <w:p>
      <w:pPr>
        <w:pStyle w:val="SourceNote"/>
      </w:pPr>
      <w:r>
        <w:rPr>
          <w:b/>
        </w:rPr>
        <w:t>Available abstract (not full text):</w:t>
      </w:r>
      <w:r>
        <w:t xml:space="preserve"> The frequency, duration and intensity of summer extreme temperatures over Europe are increased since the middle of the twentieth century. These trends are expected to further increase in the future due to global warming, which will influence both the thermodynamics and dynamics of these events. In this context, the role played by the thermodynamic changes on trends of extreme temperature events has been largely studied. Differently, the role of dynamic changes in explaining their historical trends as well as their future projections is still under debate.In the present study, we assess the role played by dynamic changes on trends of summer extreme temperatures by assessing the trends in the occurrence of atmospheric circulation patterns (analogs) associated with the most severe heat waves during 1940—2022. Heat wave events are identified adopting the Heat Wave Magnitude Index daily (HWMId) as suggested by Russo et al. (2015). Furthermore, the trends in the number of summer extreme temperatures in the regions of the identified heat waves are decomposed as suggested by Horton et al. (2015), in order to evaluate the relative contribution of dynamic, thermodynamic and interactive terms on the total extreme temperature trends.The analyses are performed using a multi-model initial-condition large ensemble, composed by CMIP5 and CMIP6 models forced with the Representative Concentratio</w:t>
      </w:r>
    </w:p>
    <w:p>
      <w:pPr/>
      <w:r>
        <w:rPr>
          <w:b/>
        </w:rPr>
        <w:t>POSSIBLE 2024:</w:t>
      </w:r>
      <w:r>
        <w:t xml:space="preserve"> Assessing the feasibility of CO2 removal strategies in achieving climate-neutral power systems: Insights from biomass, CO2 capture, and direct air capture in Europe — https://doi.org/10.1016/j.adapen.2024.100166</w:t>
      </w:r>
    </w:p>
    <w:p>
      <w:pPr/>
      <w:r>
        <w:rPr>
          <w:b/>
        </w:rPr>
        <w:t>Shared claim-specific concepts:</w:t>
      </w:r>
      <w:r>
        <w:t xml:space="preserve"> role, achieve, co2; EU scope visible. This is a provisional connection, not an outcome finding.</w:t>
      </w:r>
    </w:p>
    <w:p>
      <w:pPr>
        <w:pStyle w:val="SourceNote"/>
      </w:pPr>
      <w:r>
        <w:rPr>
          <w:b/>
        </w:rPr>
        <w:t>Available abstract (not full text):</w:t>
      </w:r>
      <w:r>
        <w:t xml:space="preserve"> To achieve the European Union's goal of climate neutrality by 2050, negative emissions may be required to compensate for emissions exceeding allocated carbon budgets. Therefore, carbon removal technologies such as bioenergy with carbon capture (BECCS) and direct air capture (DAC) may need to play a pivotal role in the power system. To design carbon removal strategies, more insights are needed into the impact of sustainable biomass availability and the feasibility of carbon capture and storage (CCS), including the expensive and energy-intensive DAC on achieving net-zero and net-negative targets. Therefore, in this study the European power system in 2050 is modelled at an hourly resolution in the cost-minimization PLEXOS modelling platform. Three climate-neutral scenarios with targets of 0, -1, and -3.9 Mt CO2/year (which agree with varying levels of climate justice) are assessed for different biomass levels, and CCS availability. Findings under baseline assumptions reveal that in a climate-neutral power system with biomass and CCS options, it is cost-effective to complement variable renewable energy with a mix of combined cycle natural gas turbines (CCNGT) for flexibility and BECCS as base load to compensate for the CO2 emissions from natural gas and additional carbon removal in the net-negative scenarios. The role of these technologies becomes more prominent, with -3.9 GtCO2/ye</w:t>
      </w:r>
    </w:p>
    <w:p>
      <w:pPr/>
      <w:r>
        <w:rPr>
          <w:b/>
        </w:rPr>
        <w:t>POSSIBLE 2024:</w:t>
      </w:r>
      <w:r>
        <w:t xml:space="preserve"> Utilizing genetics and proteomics to assess the role of antihypertensive drugs in human longevity and the underlying pathways: a Mendelian randomization study — https://doi.org/10.1093/ehjcvp/pvae038</w:t>
      </w:r>
    </w:p>
    <w:p>
      <w:pPr/>
      <w:r>
        <w:rPr>
          <w:b/>
        </w:rPr>
        <w:t>Shared claim-specific concepts:</w:t>
      </w:r>
      <w:r>
        <w:t xml:space="preserve"> role, pathways, reduction; EU scope visible. This is a provisional connection, not an outcome finding.</w:t>
      </w:r>
    </w:p>
    <w:p>
      <w:pPr>
        <w:pStyle w:val="SourceNote"/>
      </w:pPr>
      <w:r>
        <w:rPr>
          <w:b/>
        </w:rPr>
        <w:t>Available abstract (not full text):</w:t>
      </w:r>
      <w:r>
        <w:t xml:space="preserve"> BACKGROUND: Antihypertensive drugs are known to lower cardiovascular mortality, but the role of different types of antihypertensive drugs in lifespan has not been clarified. Moreover, the underlying mechanisms remain unclear. METHODS AND RESULTS: To minimize confounding, we used Mendelian randomization to assess the role of different antihypertensive drug classes in longevity and examined the pathways via proteins. Genetic variants associated with systolic blood pressure (SBP) corresponding to drug-target genes were used as genetic instruments. The genetic associations with lifespan were obtained from a large genome-wide association study including 1 million European participants from UK Biobank and LifeGen. For significant antihypertensive drug classes, we performed sex-specific analysis, drug-target analysis, and colocalization. To examine the mediation pathways, we assessed the associations of 2291 plasma proteins with lifespan, and examined the associations of drug classes with the proteins affecting lifespan. After correcting for multiple testing, genetically proxied beta-blockers (BBs), calcium channel blockers (CCBs), and vasodilators were related to longer life years (BBs: 2.03, 95% CI 0.78-3.28 per 5 mmHg reduction in SBP, CCBs: 3.40, 95% CI 1.47-5.33, and vasodilators: 2.92, 95% CI 1.08-4.77). The beneficial effects of BBs and CCBs were more obvious in men. ADRB1, CAC</w:t>
      </w:r>
    </w:p>
    <w:p>
      <w:pPr>
        <w:pStyle w:val="Heading2"/>
      </w:pPr>
      <w:r>
        <w:t>766. Projecting Drivers of Human Vulnerability under the Shared Socioeconomic Pathways</w:t>
      </w:r>
    </w:p>
    <w:p>
      <w:pPr>
        <w:pStyle w:val="SourceNote"/>
      </w:pPr>
      <w:r>
        <w:rPr>
          <w:b/>
        </w:rPr>
        <w:t>Original source (2018):</w:t>
      </w:r>
      <w:r>
        <w:t xml:space="preserve"> https://doi.org/10.3390/ijerph15030554</w:t>
      </w:r>
    </w:p>
    <w:p>
      <w:pPr/>
      <w:r>
        <w:t>Original wording (abstract; indexed_source_text_not_full_document_verified): The Shared Socioeconomic Pathways (SSPs) are the new set of alternative futures of societal development that inform global and regional climate change research. They have the potential to foster the integration of socioeconomic scenarios within assessments of future climate-related health impacts.</w:t>
      </w:r>
    </w:p>
    <w:p>
      <w:pPr/>
      <w:r>
        <w:rPr>
          <w:b/>
        </w:rPr>
        <w:t>POSSIBLE 2026:</w:t>
      </w:r>
      <w:r>
        <w:t xml:space="preserve"> Pandemic risk in the Shared Socioeconomic Pathways — https://doi.org/10.64898/2026.07.29.26359250</w:t>
      </w:r>
    </w:p>
    <w:p>
      <w:pPr/>
      <w:r>
        <w:rPr>
          <w:b/>
        </w:rPr>
        <w:t>Shared claim-specific concepts:</w:t>
      </w:r>
      <w:r>
        <w:t xml:space="preserve"> shared, socioeconomic, pathways, ssps, climate, health; EU scope not established. This is a provisional connection, not an outcome finding.</w:t>
      </w:r>
    </w:p>
    <w:p>
      <w:pPr>
        <w:pStyle w:val="SourceNote"/>
      </w:pPr>
      <w:r>
        <w:rPr>
          <w:b/>
        </w:rPr>
        <w:t>Available abstract (not full text):</w:t>
      </w:r>
      <w:r>
        <w:t xml:space="preserve"> Abstract For over a decade, the Shared Socioeconomic Pathways (SSPs) have served as the principal framework for quantitative modeling of the socioeconomic dimensions of global environmental change. The SSP scenarios describe many of the ecological and social processes thought to shape pandemic risk, including the emergence of novel pathogens (accelerated by processes such as deforestation, livestock intensification, and land-use change) and their subsequent spread (mediated by factors such as inequality, human mobility, and health system capacity). However, the SSP framework has not been widely incorporated into pandemic risk assessment. Here, we assess how pandemic risk is embedded in the SSP framework, and find that the framework captures most of the social-environmental drivers of pathogen spillover, and many of the social-economic drivers of pandemic spread and impacts. Because climate change and pandemics share many drivers and risk factors—including ecosystem degradation, animal agriculture, and weak governance—SSP scenarios characterized by higher barriers to climate adaptation also generally imply lower chances of outbreak containment, and greater pandemic impacts on vulnerable populations. Pandemic risk is therefore lowest in SSP1 and highest in SSP3, but SSP5 shows that frequent spillover and effective containment can coexist. These findings suggest that pandemic risk</w:t>
      </w:r>
    </w:p>
    <w:p>
      <w:pPr/>
      <w:r>
        <w:rPr>
          <w:b/>
        </w:rPr>
        <w:t>POSSIBLE 2026:</w:t>
      </w:r>
      <w:r>
        <w:t xml:space="preserve"> A new scenario architecture to capture granularity of governance within and across Shared Socioeconomic Pathways — https://doi.org/10.1016/j.landusepol.2026.107926</w:t>
      </w:r>
    </w:p>
    <w:p>
      <w:pPr/>
      <w:r>
        <w:rPr>
          <w:b/>
        </w:rPr>
        <w:t>Shared claim-specific concepts:</w:t>
      </w:r>
      <w:r>
        <w:t xml:space="preserve"> shared, socioeconomic, pathways, ssps, within; EU scope not established. This is a provisional connection, not an outcome finding.</w:t>
      </w:r>
    </w:p>
    <w:p>
      <w:pPr>
        <w:pStyle w:val="SourceNote"/>
      </w:pPr>
      <w:r>
        <w:rPr>
          <w:b/>
        </w:rPr>
        <w:t>Available abstract (not full text):</w:t>
      </w:r>
      <w:r>
        <w:t xml:space="preserve"> Scenario work is a prominent possibility to understand and address pressing socio-environmental sustainability challenges of today and tomorrow. Scenarios depict the possible futures for land-use, and land-use pressures. In this conceptual paper, we propose a novel governance-focused scenario architecture consisting of 1) Shared Socioeconomic Pathways (SSPs), or exploratory scenario archetypes, which explore future uncertainties affected by chosen drivers; 2) Shared Governance Assumptions: governance modes that define the logic of decision-making across the SSPs, and that change the future governance landscapes; and 3) Detailed Governance Assumptions: specific opportunities for agency offered by the varying future governance landscapes defined by SSP – Shared Governance Assumption combinations. We propose a six-step process to employ our scenario architecture, and use the case of land use and Arctic reindeer herding as a brief illustration. We find that our proposed scenario architecture i) offers a structured way to diversify SSP-based scenario sets and to connect SSPs strongly to policy and governance, ii) can be used to explore actor-based trade-offs, and iii) can be used to as a tool for anticipatory governance. Further work is needed to provide empirical applications of our scenario architecture and to innovatively compare and examine implications of different governance m</w:t>
      </w:r>
    </w:p>
    <w:p>
      <w:pPr/>
      <w:r>
        <w:rPr>
          <w:b/>
        </w:rPr>
        <w:t>POSSIBLE 2026:</w:t>
      </w:r>
      <w:r>
        <w:t xml:space="preserve"> Community Scenarios beyond the Shared Socioeconomic Pathways: The Scenario Evolution Process — https://doi.org/10.5194/egusphere-egu26-13481</w:t>
      </w:r>
    </w:p>
    <w:p>
      <w:pPr/>
      <w:r>
        <w:rPr>
          <w:b/>
        </w:rPr>
        <w:t>Shared claim-specific concepts:</w:t>
      </w:r>
      <w:r>
        <w:t xml:space="preserve"> shared, socioeconomic, pathways, ssps, set, regional; EU scope not established. This is a provisional connection, not an outcome finding.</w:t>
      </w:r>
    </w:p>
    <w:p>
      <w:pPr>
        <w:pStyle w:val="SourceNote"/>
      </w:pPr>
      <w:r>
        <w:rPr>
          <w:b/>
        </w:rPr>
        <w:t>Available abstract (not full text):</w:t>
      </w:r>
      <w:r>
        <w:t xml:space="preserve"> The Shared Socioeconomic Pathways (SSPs) have provided a widely adopted foundation for climate-centric research, yet their design increasingly limits applicability in the context of today’s interconnected “polycrisis.” Key challenges include artificial no-policy/no-impact baselines, insufficient and non-fundamental treatment of equity, and narratives that are difficult to translate to regional and local decision-making contexts. To address these limitations, the International Committee on New Climate Change Assessment Scenarios (ICONICS) has started the Scenario Evolution Process (SEP): a community-led initiative to critically reassess, adapt, and potentially transform the SSP framework to better support research on resilient, equitable, and sustainable development and develop socioeconomic scenarios that have a applicability beyond the climate change domain. The Scenario Evolution Process critically reflects on all elements of the existing framework, but also emphasizes evolution, acknowledging that future adaptations may range from incremental refinements to more fundamental changes. Coordinated by ICONICS, the process is set up to be inclusive, transparent, and iterative, engaging a broad and diverse community of researchers, practitioners, and stakeholders across disciplines and regions.The process starts with an information collection phase that consists of four main activ</w:t>
      </w:r>
    </w:p>
    <w:p>
      <w:pPr/>
      <w:r>
        <w:rPr>
          <w:b/>
        </w:rPr>
        <w:t>POSSIBLE 2025:</w:t>
      </w:r>
      <w:r>
        <w:t xml:space="preserve"> Digital transformation in the Shared Socioeconomic Pathways — https://doi.org/10.1038/s44168-025-00283-w</w:t>
      </w:r>
    </w:p>
    <w:p>
      <w:pPr/>
      <w:r>
        <w:rPr>
          <w:b/>
        </w:rPr>
        <w:t>Shared claim-specific concepts:</w:t>
      </w:r>
      <w:r>
        <w:t xml:space="preserve"> shared, socioeconomic, pathways, ssps, set, societal; EU scope not established. This is a provisional connection, not an outcome finding.</w:t>
      </w:r>
    </w:p>
    <w:p>
      <w:pPr>
        <w:pStyle w:val="SourceNote"/>
      </w:pPr>
      <w:r>
        <w:rPr>
          <w:b/>
        </w:rPr>
        <w:t>Available abstract (not full text):</w:t>
      </w:r>
      <w:r>
        <w:t xml:space="preserve"> Digital transformation refers to the widespread use of digital technologies in ways that reshape societal and economic activity, with significant impacts on sustainable development and climate challenges-both for better and for worse. Using statistical models calibrated to historical evidence in 62 countries across 12 world regions, we project future digital transformation within the Shared Socioeconomic Pathways (SSPs), adding contextual richness to this scenario framework used extensively in global climate research. In some scenarios, we find a pervasive and prolonged digital divide with up to 45% of the assessed population by mid-century still residing in countries with relatively low levels of digital transformation despite ever-deepening digitalisation in wealthier countries. We set out six use cases for how our explicit representation of digital transformation within the SSPs enables quantitative assessment of digitalisation's impact on energy, emissions, climate policy, and Sustainable Development Goals. We also discuss challenges with using empirically calibrated models to project digital transformation given its rapid evolution and socioeconomic implications.</w:t>
      </w:r>
    </w:p>
    <w:p>
      <w:pPr/>
      <w:r>
        <w:rPr>
          <w:b/>
        </w:rPr>
        <w:t>POSSIBLE 2025:</w:t>
      </w:r>
      <w:r>
        <w:t xml:space="preserve"> Global terrestrial moisture recycling in Shared Socioeconomic Pathways — https://doi.org/10.5194/esd-16-215-2025</w:t>
      </w:r>
    </w:p>
    <w:p>
      <w:pPr/>
      <w:r>
        <w:rPr>
          <w:b/>
        </w:rPr>
        <w:t>Shared claim-specific concepts:</w:t>
      </w:r>
      <w:r>
        <w:t xml:space="preserve"> shared, socioeconomic, pathways, ssps, regional; EU scope not established. This is a provisional connection, not an outcome finding.</w:t>
      </w:r>
    </w:p>
    <w:p>
      <w:pPr>
        <w:pStyle w:val="SourceNote"/>
      </w:pPr>
      <w:r>
        <w:rPr>
          <w:b/>
        </w:rPr>
        <w:t>Available abstract (not full text):</w:t>
      </w:r>
      <w:r>
        <w:t xml:space="preserve"> Abstract. Many areas across the globe rely on upwind land areas for their precipitation supply through terrestrial precipitation recycling. Global warming and land-use changes may affect the future patterns of terrestrial precipitation recycling, but where and to which extent remains unclear. To study how the global patterns of precipitation recycling may change until the end of the 21st century we present a new forward-tracking version of the three-dimensional atmospheric moisture tracking model UTrack that is forced by output of the Norwegian Earth System model (NorESM2). We simulate global precipitation recycling in four Shared Socioeconomic Pathways (SSPs), which are internally consistent combinations of climate- and land-use scenarios used in the sixth phase of the Coupled Model Intercomparison Project. The scenarios range from mild to severe: SSP1-2.6, SSP2-4.5, SSP3-7.0, and SSP5-8.5. We compare results for the middle of the century (2050–2059) and end of the century (2090–2099) with a 2015–2024 baseline. We similarly also calculate basin precipitation recycling for the 26 major river basins of the world. We find that the global terrestrial moisture recycling ratio decreases with the severity of the SSPs and estimate a decrease in this ratio of 2.1 % with every degree of global warming. However, we find differences among regions and river basins in trends in precipitatio</w:t>
      </w:r>
    </w:p>
    <w:p>
      <w:pPr/>
      <w:r>
        <w:rPr>
          <w:b/>
        </w:rPr>
        <w:t>POSSIBLE 2024:</w:t>
      </w:r>
      <w:r>
        <w:t xml:space="preserve"> A critical utopian shared socioeconomic pathway — https://doi.org/10.1016/j.futures.2024.103437</w:t>
      </w:r>
    </w:p>
    <w:p>
      <w:pPr/>
      <w:r>
        <w:rPr>
          <w:b/>
        </w:rPr>
        <w:t>Shared claim-specific concepts:</w:t>
      </w:r>
      <w:r>
        <w:t xml:space="preserve"> shared, socioeconomic, pathways, ssps, they; EU scope not established. This is a provisional connection, not an outcome finding.</w:t>
      </w:r>
    </w:p>
    <w:p>
      <w:pPr>
        <w:pStyle w:val="SourceNote"/>
      </w:pPr>
      <w:r>
        <w:rPr>
          <w:b/>
        </w:rPr>
        <w:t>Available abstract (not full text):</w:t>
      </w:r>
      <w:r>
        <w:t xml:space="preserve"> The aim of this study is to investigate the utility of speculative, fictional utopian narratives to be used as a comparative and critical tool to expose taken for granted ideas, discourses and norms in the five shared socioeconomic pathways (SSP1–5) that are used by the IPCC to build future scenarios. To achieve this goal, we first invited citizens to write stories about fictional utopian futures, which they perceived as good for “both people and the planet”. We then compared these utopian stories with the SSPs by (1) a semi-quantitative thematic analysis, and (2) a critical literary analysis. Based on the thematic analysis, we found strong similarities between the utopian futures and SSP1 (“Taking the Green Road”) at a superficial level. Based on the literary analysis, we found that this apparent similarity obscured fundamental differences between the implicit mindsets that was found in SSP1 and the utopian futures; with the former underpinned by collective anthropocentrism and the latter by collective ecocentrism. We conclude that speculative utopias, that are not bound by the requirement of perceived plausibility, can provide a powerful tool to scrutinize and extend science-based future scenarios, such as the SSPs, to consider other aspects, such as different mindsets and norm-breaking solutions.</w:t>
      </w:r>
    </w:p>
    <w:p>
      <w:pPr/>
      <w:r>
        <w:rPr>
          <w:b/>
        </w:rPr>
        <w:t>POSSIBLE 2024:</w:t>
      </w:r>
      <w:r>
        <w:t xml:space="preserve"> Chasing artificial intelligence in shared socioeconomic pathways — https://doi.org/10.1016/j.oneear.2023.12.015</w:t>
      </w:r>
    </w:p>
    <w:p>
      <w:pPr/>
      <w:r>
        <w:rPr>
          <w:b/>
        </w:rPr>
        <w:t>Shared claim-specific concepts:</w:t>
      </w:r>
      <w:r>
        <w:t xml:space="preserve"> shared, socioeconomic, pathways;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The IPCC Shared Socioeconomic Pathways (SSPs): Explained, Evaluated, Replaced — https://doi.org/10.3386/w32178</w:t>
      </w:r>
    </w:p>
    <w:p>
      <w:pPr/>
      <w:r>
        <w:rPr>
          <w:b/>
        </w:rPr>
        <w:t>Shared claim-specific concepts:</w:t>
      </w:r>
      <w:r>
        <w:t xml:space="preserve"> shared, socioeconomic, pathways, ssps, alternative; EU scope not established. This is a provisional connection, not an outcome finding.</w:t>
      </w:r>
    </w:p>
    <w:p>
      <w:pPr>
        <w:pStyle w:val="SourceNote"/>
      </w:pPr>
      <w:r>
        <w:rPr>
          <w:b/>
        </w:rPr>
        <w:t>Available abstract (not full text):</w:t>
      </w:r>
      <w:r>
        <w:t xml:space="preserve"> Shared socioeconomic pathways (SSPs) are perhaps the most influential economic policy analyses today.My paper evaluates their development, natural associations, logical consequences, and economic identification.All five SSP baseline scenarios are predicting scenarios that historical time-series analysis would consider empirically highly implausible.This alternative -econometric time-series analysis based on worldwide IPAT componentssuggests alternative emission scenarios, mapping into expected radiative forcing of about RCP 6.5, with a reasonable plausibility range from RCP 4.5 to RCP 7.0.</w:t>
      </w:r>
    </w:p>
    <w:p>
      <w:pPr/>
      <w:r>
        <w:rPr>
          <w:b/>
        </w:rPr>
        <w:t>POSSIBLE 2023:</w:t>
      </w:r>
      <w:r>
        <w:t xml:space="preserve"> The ‘conflict trap’ reduces economic growth in the shared socioeconomic pathways — https://doi.org/10.1088/1748-9326/acb163</w:t>
      </w:r>
    </w:p>
    <w:p>
      <w:pPr/>
      <w:r>
        <w:rPr>
          <w:b/>
        </w:rPr>
        <w:t>Shared claim-specific concepts:</w:t>
      </w:r>
      <w:r>
        <w:t xml:space="preserve"> shared, socioeconomic, pathways, ssps, regional, climate; EU scope not established. This is a provisional connection, not an outcome finding.</w:t>
      </w:r>
    </w:p>
    <w:p>
      <w:pPr>
        <w:pStyle w:val="SourceNote"/>
      </w:pPr>
      <w:r>
        <w:rPr>
          <w:b/>
        </w:rPr>
        <w:t>Available abstract (not full text):</w:t>
      </w:r>
      <w:r>
        <w:t xml:space="preserve"> Abstract Armed conflict and economic growth are inherently coupled; armed conflict substantially reduces economic growth, while economic growth is strongly correlated with a reduction in the propensity of armed conflict. Here, we simulate the incidence of armed conflict and its effect on economic growth simultaneously along the economic pathways defined by the shared socioeconomic pathways (SSPs). We argue that gross domestic product per capita projections through the 21st century currently in use are too optimistic since they disregard the harm to growth caused by conflict. Our analysis indicates that the correction required to account for this is substantial—expected income is 25% lower on average across countries when taking conflict into account. The correction is particularly strong for the more pessimistic SSP3 and SSP4 where expected future incidence of armed conflict is high. There are strong regional patterns with countries with contemporaneous conflicts experiencing much higher conflict burdens and reduced economic growth by the end of the century. The implications of this research indicate that today’s most marginalized societies will be substantially more vulnerable to the impact of climate change than indicated by existing income projections.</w:t>
      </w:r>
    </w:p>
    <w:p>
      <w:pPr/>
      <w:r>
        <w:rPr>
          <w:b/>
        </w:rPr>
        <w:t>POSSIBLE 2023:</w:t>
      </w:r>
      <w:r>
        <w:t xml:space="preserve"> Creating quantitative scenario projections for the UK shared socioeconomic pathways — https://doi.org/10.1016/j.crm.2023.100506</w:t>
      </w:r>
    </w:p>
    <w:p>
      <w:pPr/>
      <w:r>
        <w:rPr>
          <w:b/>
        </w:rPr>
        <w:t>Shared claim-specific concepts:</w:t>
      </w:r>
      <w:r>
        <w:t xml:space="preserve"> shared, socioeconomic, pathways, ssps, set, alternative; EU scope not established. This is a provisional connection, not an outcome finding.</w:t>
      </w:r>
    </w:p>
    <w:p>
      <w:pPr>
        <w:pStyle w:val="SourceNote"/>
      </w:pPr>
      <w:r>
        <w:rPr>
          <w:b/>
        </w:rPr>
        <w:t>Available abstract (not full text):</w:t>
      </w:r>
      <w:r>
        <w:t xml:space="preserve"> The Shared Socioeconomic Pathways (SSPs) were developed as a framework for exploring alternative futures with challenges for climate change mitigation and adaptation. Whilst originally developed at the global scale, the SSPs have been increasingly interpreted at the national scale in order to inform national level climate change policy and impact assessments, including mitigation and adaptation actions. Here, we present a set of quantitative SSP scenario projections, based on narratives and semi-quantitative trends, for the UK (the UK-SSPs) for a wide range of sectors that are relevant to the UK climate research, policy and business communities. We show that a mixed-methods approach that combines computational modelling with an interpretation of stakeholder storylines and empirical data is an effective way of generating a comprehensive range of quantitative indicators across sectors and geographic areas in a specific national context. The global SSP assumptions of low challenges to climate adaptation lead to similar socioeconomic outcomes in UK-SSP1 and UK-SSP5, although based on very different dynamics and underlying drivers. Convergence was also identified in indicators related to more efficient natural resource use in the scenarios with low challenges to climate change mitigation (UK-SSP1 and UK-SSP4). Alternatively, societal inequality played a strong role in scenarios with</w:t>
      </w:r>
    </w:p>
    <w:p>
      <w:pPr/>
      <w:r>
        <w:rPr>
          <w:b/>
        </w:rPr>
        <w:t>POSSIBLE 2023:</w:t>
      </w:r>
      <w:r>
        <w:t xml:space="preserve"> Improving the relevance of the Shared Socioeconomic Pathways for sustainability science — https://doi.org/10.31223/x5dm3g</w:t>
      </w:r>
    </w:p>
    <w:p>
      <w:pPr/>
      <w:r>
        <w:rPr>
          <w:b/>
        </w:rPr>
        <w:t>Shared claim-specific concepts:</w:t>
      </w:r>
      <w:r>
        <w:t xml:space="preserve"> shared, socioeconomic, pathways, ssps, climate, they; EU scope not established. This is a provisional connection, not an outcome finding.</w:t>
      </w:r>
    </w:p>
    <w:p>
      <w:pPr>
        <w:pStyle w:val="SourceNote"/>
      </w:pPr>
      <w:r>
        <w:rPr>
          <w:b/>
        </w:rPr>
        <w:t>Available abstract (not full text):</w:t>
      </w:r>
      <w:r>
        <w:t xml:space="preserve"> Sustainability science is a discipline which is strongly concerned with exploring the achievement of sustainable futures. One way in which this is done is through scenarios. The Shared Socioeconomic Pathways (SSPs), developed for climate science, have been widely adopted by modellers to analyse sustainable futures. We question whether the SSPs are fit-for-purpose for examining sustainable transformative futures. We have identified six challenges and propose aligned opportunities synthesised from existing research. These challenges are: the need for a sustainability context in the scenario space; better representation of sustainability challenges in the driving forces which form the scenarios; narrowed scope of storylines due to coupling the scenarios to modelling; constraint of economic futures to growth-only options; the scenarios are not goal-seeking, nor do they consider deep uncertainty; and the scenarios are insufficiently diverse. The inclusion of different driving forces, degrowth scenarios, and a different scenario space, are some of the proposed improvements suggested. Addressing these challenges and rethinking the use of climate-SSPs should be a priority for the sustainability science community, considering how critical scenario-based research is for policy and practice.</w:t>
      </w:r>
    </w:p>
    <w:p>
      <w:pPr/>
      <w:r>
        <w:rPr>
          <w:b/>
        </w:rPr>
        <w:t>POSSIBLE 2022:</w:t>
      </w:r>
      <w:r>
        <w:t xml:space="preserve"> Updating global urbanization projections under the Shared Socioeconomic Pathways — https://doi.org/10.1038/s41597-022-01209-5</w:t>
      </w:r>
    </w:p>
    <w:p>
      <w:pPr/>
      <w:r>
        <w:rPr>
          <w:b/>
        </w:rPr>
        <w:t>Shared claim-specific concepts:</w:t>
      </w:r>
      <w:r>
        <w:t xml:space="preserve"> shared, socioeconomic, pathways, climate; EU scope not established. This is a provisional connection, not an outcome finding.</w:t>
      </w:r>
    </w:p>
    <w:p>
      <w:pPr>
        <w:pStyle w:val="SourceNote"/>
      </w:pPr>
      <w:r>
        <w:rPr>
          <w:b/>
        </w:rPr>
        <w:t>Available abstract (not full text):</w:t>
      </w:r>
      <w:r>
        <w:t xml:space="preserve"> Urbanization level is an important indicator of socioeconomic development, and projecting its dynamics is fundamental for studies related to global socioeconomic and climate change. This paper aims to update the projections of global urbanization from 2015 to 2100 under the Shared Socioeconomic Pathways by using the logistic fitting model and iteratively identifying reference countries. Based on historical urbanization level database from the World Urbanization Prospects, projected urbanization levels and uncertainties are provided for 204 countries and areas every five years. The 2010-2100 year-by-year projected urbanization levels and uncertainties based on the annual historical data from the World Bank (WB) for 188 of countries and areas are also provided. The projections based on the two datasets were compared and the latter were validated using the historical values of the WB for the years 2010-2018. The updated dataset of urbanization level is relevant for understanding future socioeconomic development, its implications for climate change and policy planning.</w:t>
      </w:r>
    </w:p>
    <w:p>
      <w:pPr>
        <w:pStyle w:val="Heading2"/>
      </w:pPr>
      <w:r>
        <w:t>767. Public health air pollution impacts of pathway options to meet the 2050 UK Climate Change Act target: a modelling study</w:t>
      </w:r>
    </w:p>
    <w:p>
      <w:pPr>
        <w:pStyle w:val="SourceNote"/>
      </w:pPr>
      <w:r>
        <w:rPr>
          <w:b/>
        </w:rPr>
        <w:t>Original source (2018):</w:t>
      </w:r>
      <w:r>
        <w:t xml:space="preserve"> https://doi.org/10.3310/phr06070</w:t>
      </w:r>
    </w:p>
    <w:p>
      <w:pPr/>
      <w:r>
        <w:t>Original wording (abstract; indexed_source_text_not_full_document_verified): Concentrations of PM2.5show a modest decrease by 2050, which would have been larger if it had not been for a significant increase in biomass (wood burning) use in the two CCA scenarios peaking in 2035. Conclusions We have established a system which can be used to explore a wider range of climate policy scenarios, including more European and global scenarios as well as local measures.</w:t>
      </w:r>
    </w:p>
    <w:p>
      <w:pPr/>
      <w:r>
        <w:rPr>
          <w:b/>
        </w:rPr>
        <w:t>POSSIBLE 2026:</w:t>
      </w:r>
      <w:r>
        <w:t xml:space="preserve"> Air Quality Based on the Spatial-Temporal Variations of Particulate Matter (PM2.5 and PM10)Concentrations Using R — https://doi.org/10.22401/anjs.29.2.06</w:t>
      </w:r>
    </w:p>
    <w:p>
      <w:pPr/>
      <w:r>
        <w:rPr>
          <w:b/>
        </w:rPr>
        <w:t>Shared claim-specific concepts:</w:t>
      </w:r>
      <w:r>
        <w:t xml:space="preserve"> concentrations, pm2, show, used; EU scope visible. This is a provisional connection, not an outcome finding.</w:t>
      </w:r>
    </w:p>
    <w:p>
      <w:pPr>
        <w:pStyle w:val="SourceNote"/>
      </w:pPr>
      <w:r>
        <w:rPr>
          <w:b/>
        </w:rPr>
        <w:t>Available abstract (not full text):</w:t>
      </w:r>
      <w:r>
        <w:t xml:space="preserve"> Air pollution is an escalating health problem in Iraq, particularly since dry and semi-dry conditions often exacerbate the loads of airborne dust and particles. We assess the impact of fine particulate matter PM2. with freely available Copernicus Atmosphere Monitoring Service (CAMS) products from the European Centre for Medium-Range Weather forecast (ECMWF) over Iraq. The analyses were performed on the year 2021, with a focus from January to March due to higher pollution levels within this period, it can be expected that particle concentrations are elevated. We also calculated the annual mean PM2. PM2. 5 and PM10 for 2021 are provided for a more global perspective with relevant international air-quality reference level. We used spatial methods in R to apply particulate matter fields to 20 of Iraq’s major cities, which allowed us to map geographic inconsistencies and areas with chronically high pollution. Results show that regional contrasts are considered very strong: PM2. 5 and PH10 than cities situated north or southwest. The observed patterns are in line with the synergistic influences of weather variability, recurrent dust storms, and local emissions associated with oil industry activity and urban stressors. PM2. In the most polluted areas, it was trained to 2023 data. Large portion of fine particles as implied by 5 relative to PM10.In total, mean PM concentrations were abo</w:t>
      </w:r>
    </w:p>
    <w:p>
      <w:pPr/>
      <w:r>
        <w:rPr>
          <w:b/>
        </w:rPr>
        <w:t>POSSIBLE 2026:</w:t>
      </w:r>
      <w:r>
        <w:t xml:space="preserve"> Mortality and long-term exposure to source-specific PM2·5: evidence from a national cohort study in China — https://doi.org/10.1016/j.lanplh.2025.101400</w:t>
      </w:r>
    </w:p>
    <w:p>
      <w:pPr/>
      <w:r>
        <w:rPr>
          <w:b/>
        </w:rPr>
        <w:t>Shared claim-specific concepts:</w:t>
      </w:r>
      <w:r>
        <w:t xml:space="preserve"> concentrations, pm2, show, increase, system, used; EU scope not established. This is a provisional connection, not an outcome finding.</w:t>
      </w:r>
    </w:p>
    <w:p>
      <w:pPr>
        <w:pStyle w:val="SourceNote"/>
      </w:pPr>
      <w:r>
        <w:rPr>
          <w:b/>
        </w:rPr>
        <w:t>Available abstract (not full text):</w:t>
      </w:r>
      <w:r>
        <w:t xml:space="preserve"> Background The hazardous effects of fine particulate matter (PM 2·5 ) could vary by source. However, evidence regarding the long-term effects of source-specific PM 2·5 on mortality is scarce, particularly in countries with high levels of pollution. We aimed to assess the associations between long-term exposure to source-specific PM 2·5 and mortality in China, a low-income and middle-income country with high concentrations of PM 2·5 . Methods This nationwide cohort study used data from the 2010–11 wave of the China Chronic Disease and Risk Factor Surveillance (CCDRFS) project, which surveyed a geographically and socioeconomically representative sample of participants aged 18 years and older across mainland China. Participants were followed up through mortality information from the national Disease Surveillance Point system. Source-specific PM 2·5 concentrations were estimated by combining high-resolution concentration predictions generated by a random forest model with estimates of the proportions contributed by each of six PM 2·5 sources—industry, energy, transportation, residential, agriculture, and other—derived from the Community Multiscale Air Quality model. A Cox proportional hazards model, in which exposures were treated as time-varying covariates, was used to evaluate the associations between long-term exposure to source-specific PM 2·5 and mortality from total non-accid</w:t>
      </w:r>
    </w:p>
    <w:p>
      <w:pPr/>
      <w:r>
        <w:rPr>
          <w:b/>
        </w:rPr>
        <w:t>POSSIBLE 2026:</w:t>
      </w:r>
      <w:r>
        <w:t xml:space="preserve"> Development of an OEE Availability Framework for Maintenance Decision Making on PM1 and PM2 : A case study of Smurfit Westrock Piteå AB — https://openalex.org/W7204503844</w:t>
      </w:r>
    </w:p>
    <w:p>
      <w:pPr/>
      <w:r>
        <w:rPr>
          <w:b/>
        </w:rPr>
        <w:t>Shared claim-specific concepts:</w:t>
      </w:r>
      <w:r>
        <w:t xml:space="preserve"> pm2, not, two, system; EU scope visible. This is a provisional connection, not an outcome finding.</w:t>
      </w:r>
    </w:p>
    <w:p>
      <w:pPr>
        <w:pStyle w:val="SourceNote"/>
      </w:pPr>
      <w:r>
        <w:rPr>
          <w:b/>
        </w:rPr>
        <w:t>Available abstract (not full text):</w:t>
      </w:r>
      <w:r>
        <w:t xml:space="preserve"> Availability loss classification in continuous kraftliner manufacturing remains underdeveloped. At site level,downtime is categorized into broad fault categories, while academic literature has mostly applied top-down,discrete-manufacturing frameworks to continuous processes without an inductively derived, site-specific taxonomy. This thesis develops an inductively derived, multi-layer availability-loss taxonomy for two continuous kraftliner machines, structuring losses by failure category, mechanism sub-layer, machine location,and engineering work-center ownership for Smurfit Westrock Piteå, Europe's largest kraftliner producer.Through content analysis of 183 SAP maintenance work orders, data extracts from automated downtime monitoring system, daily production reports and machine drawings, a three-cycle constant-comparative process yielded 18 unplanned downtime categories and 8 planned maintenance classes which are exhaustive and mutually exclusive across the observed loss event time window. The taxonomy was validated for exhaustiveness and quantification accuracy through reconciliation against the company's separately aggregated company availability report based on the same underlying sensor data, agreeing to 92.4% for PM1 and 96.3%for PM2. Unplanned failure classification consistency was governed by a deterministic decision rulebook that resolved 70.8% of events by explicit r</w:t>
      </w:r>
    </w:p>
    <w:p>
      <w:pPr/>
      <w:r>
        <w:rPr>
          <w:b/>
        </w:rPr>
        <w:t>POSSIBLE 2025:</w:t>
      </w:r>
      <w:r>
        <w:t xml:space="preserve"> Healthful plant-based dietary patterns, PM2·5 exposure and the risk of heart failure: a population-based cohort study — https://doi.org/10.1017/s0007114525000698</w:t>
      </w:r>
    </w:p>
    <w:p>
      <w:pPr/>
      <w:r>
        <w:rPr>
          <w:b/>
        </w:rPr>
        <w:t>Shared claim-specific concepts:</w:t>
      </w:r>
      <w:r>
        <w:t xml:space="preserve"> pm2, use, two; EU scope not established. This is a provisional connection, not an outcome finding.</w:t>
      </w:r>
    </w:p>
    <w:p>
      <w:pPr>
        <w:pStyle w:val="SourceNote"/>
      </w:pPr>
      <w:r>
        <w:rPr>
          <w:b/>
        </w:rPr>
        <w:t>Available abstract (not full text):</w:t>
      </w:r>
      <w:r>
        <w:t xml:space="preserve"> Abstract Fine particulate matter (PM2·5) is a known risk factor for heart failure (HF), while plant-based dietary patterns may help reduce HF risk. This study examined the combined impact of PM2·5 exposure and a plant-based diet on HF incidence. A total of 190 092 participants from the UK Biobank were included in this study. HF cases were identified through linkage to the UK National Health Services register, with follow-up lasting until October 2022 in England, August 2022 in Scotland and May 2022 in Wales. Annual mean PM2·5 concentration was obtained using a land use regression model, while the healthful plant-based diet index (hPDI) was calculated using the Oxford WebQ tool based on two or more 24-hour dietary assessments of seventeen major food groups. Cox proportional hazard models assessed the associations of PM2·5 and hPDI with HF risk, and interactions were evaluated on additive and multiplicative scales. During a median of 13·4-year follow-up, 4351 HF cases were recorded. Participants in the highest PM2·5 tertile had a 23 % increased HF risk (hazard ratio: 1·23, 95 % CI: 1·14, 1·32) compared with those in the lowest tertile. Moderate or high hPDI was associated with reduced HF risk relative to low hPDI. The lowest HF risk was observed in individuals with high hPDI and low PM2·5 exposure, underscoring the protective role of a plant-based diet, particularly in areas with</w:t>
      </w:r>
    </w:p>
    <w:p>
      <w:pPr/>
      <w:r>
        <w:rPr>
          <w:b/>
        </w:rPr>
        <w:t>POSSIBLE 2025:</w:t>
      </w:r>
      <w:r>
        <w:t xml:space="preserve"> Long-term exposure to PM2·5 constituents and incident cancer among Medicare beneficiaries in the USA: a national cohort study — https://doi.org/10.1016/j.lanplh.2025.101334</w:t>
      </w:r>
    </w:p>
    <w:p>
      <w:pPr/>
      <w:r>
        <w:rPr>
          <w:b/>
        </w:rPr>
        <w:t>Shared claim-specific concepts:</w:t>
      </w:r>
      <w:r>
        <w:t xml:space="preserve"> concentrations, pm2, increase; EU scope not established. This is a provisional connection, not an outcome finding.</w:t>
      </w:r>
    </w:p>
    <w:p>
      <w:pPr>
        <w:pStyle w:val="SourceNote"/>
      </w:pPr>
      <w:r>
        <w:rPr>
          <w:b/>
        </w:rPr>
        <w:t>Available abstract (not full text):</w:t>
      </w:r>
      <w:r>
        <w:t xml:space="preserve"> Background The health burden from cancer has markedly increased over the past 20 years. Total PM 2·5 has been identified as an environmental risk factor for cancer. However, how each constituent of PM 2·5 contributes to the development of cancer is largely unknown. We aimed to investigate the association between 15 PM 2·5 constituents, sources of PM 2·5 , and the incidence of five common cancers among adults aged 65 years and older in the USA. Methods For this national cohort study, we included beneficiaries of Medicare in the USA, aged 65 or older, who were followed for various time periods between Jan 1, 2000, and Dec 31, 2018. The concentrations of 15 PM 2·5 constituents in the contiguous USA were estimated using ensemble machine learning models, and the sources of PM 2·5 were identified from the PM 2·5 constituent data using non-negative matrix factorisation. The outcomes were incident lung, colorectal, prostate, breast, and endometrial cancers, for which information was extracted from the Medicare Chronic Conditions Data Warehouse database. Associations between PM 2·5 constituents and the outcomes were investigated using a generalised weighted-quantile sum regression model with the Cox-approximate Poisson method, and associations between PM 2·5 sources and outcomes were investigated using Cox-approximate Poisson regression models. Findings 15 138 652 Medicare beneficiaries</w:t>
      </w:r>
    </w:p>
    <w:p>
      <w:pPr/>
      <w:r>
        <w:rPr>
          <w:b/>
        </w:rPr>
        <w:t>POSSIBLE 2025:</w:t>
      </w:r>
      <w:r>
        <w:t xml:space="preserve"> Nearby Sites Show Similar Upwind Sources and Differing Semivolatile Concentrations in Coastal Aerosol Particles — https://doi.org/10.1021/acsestair.5c00191</w:t>
      </w:r>
    </w:p>
    <w:p>
      <w:pPr/>
      <w:r>
        <w:rPr>
          <w:b/>
        </w:rPr>
        <w:t>Shared claim-specific concepts:</w:t>
      </w:r>
      <w:r>
        <w:t xml:space="preserve"> concentrations, show, two; EU scope not established. This is a provisional connection, not an outcome finding.</w:t>
      </w:r>
    </w:p>
    <w:p>
      <w:pPr>
        <w:pStyle w:val="SourceNote"/>
      </w:pPr>
      <w:r>
        <w:rPr>
          <w:b/>
        </w:rPr>
        <w:t>Available abstract (not full text):</w:t>
      </w:r>
      <w:r>
        <w:t xml:space="preserve"> High Resolution Image Download MS PowerPoint Slide The Eastern Pacific Cloud Aerosol Precipitation Experiment (EPCAPE) characterized aerosol composition using measurements at two sites within 3 km (Scripps Pier and Mt. Soledad) from 15 February 2023 to 14 February 2024. Comparing the two sites shows the strong influence of upwind sources that results in similar monthly compositions at both sites. The seasonal changes in chemical mass concentrations were largely driven by the upwind source regions, with coastal northwesterly back-trajectories occurring 63–65% of the year and bringing submicrometer mass concentrations that were lower than the EPCAPE average for all trajectories at each site. In contrast, refractory black carbon (rBC) and nonrefractory (NR)-organics and nitrate mass concentrations exceeded EPCAPE average concentrations for back-trajectories from urban areas such as Los Angeles-Long Beach. For hourly measurements, NR-organics and non-sea-salt (NSS)-sulfate mass concentrations at Mt. Soledad were correlated strongly ( r = 0.73–0.82) to those measured at Scripps Pier, but NR-nitrate was correlated only moderately ( r = 0.63). The explanation for the lower correlation of NR-nitrate is both emissions between the sites and semivolatility, with semivolatility accounting for site-to-site changes in daily averages of +0.01 μg m –3 per percentage site-to-site difference in </w:t>
      </w:r>
    </w:p>
    <w:p>
      <w:pPr/>
      <w:r>
        <w:rPr>
          <w:b/>
        </w:rPr>
        <w:t>POSSIBLE 2025:</w:t>
      </w:r>
      <w:r>
        <w:t xml:space="preserve"> High resolution assessment of air quality and health in Europe under different climate mitigation scenarios — https://doi.org/10.1038/s41467-025-60449-2</w:t>
      </w:r>
    </w:p>
    <w:p>
      <w:pPr/>
      <w:r>
        <w:rPr>
          <w:b/>
        </w:rPr>
        <w:t>Shared claim-specific concepts:</w:t>
      </w:r>
      <w:r>
        <w:t xml:space="preserve"> concentrations, pm2, not, climate; EU scope visible. This is a provisional connection, not an outcome finding.</w:t>
      </w:r>
    </w:p>
    <w:p>
      <w:pPr>
        <w:pStyle w:val="SourceNote"/>
      </w:pPr>
      <w:r>
        <w:rPr>
          <w:b/>
        </w:rPr>
        <w:t>Available abstract (not full text):</w:t>
      </w:r>
      <w:r>
        <w:t xml:space="preserve"> Climate change mitigation policies lower greenhouse gas emissions and generally reduce fine particulate matter (PM2.5) concentrations, hereby bringing health co-benefits. Yet, the spatial and distributional air quality co-benefits in Europe of such policies are not fully understood. Here, We quantify premature mortality from air pollution in 1366 regions of Europe for different scenarios obtained from the Coupled Model Intercomparison Project Phase 6. We model PM2.5 concentrations at high spatial resolution and then combine it with population data and regional age structure and total mortality, to calculate attributable deaths. We find that the share of the European population meeting WHO (World Health Organization) guideline value for PM2.5 could exceed 90% by 2100 under the most ambitious scenario, while less than 10% under the least ambitious one. Corresponding premature deaths in Europe would total 67,000 (95% CI: 13,000–141,000) per year by the end of the century compared to 282,000 (95% CI: 202,000–364,000). This study quantifies premature mortality from air pollution in 1366 regions of Europe for different scenarios, finding that the share of the European population meeting WHO guideline value for PM2.5 could exceed 90% by 2100 under the most ambitious scenario, while less than 10% under the least ambitious one.</w:t>
      </w:r>
    </w:p>
    <w:p>
      <w:pPr/>
      <w:r>
        <w:rPr>
          <w:b/>
        </w:rPr>
        <w:t>POSSIBLE 2025:</w:t>
      </w:r>
      <w:r>
        <w:t xml:space="preserve"> Quality of indoor air in educational institutions and adverse public health in Europe: A scoping review — https://doi.org/10.29333/ejgm/15962</w:t>
      </w:r>
    </w:p>
    <w:p>
      <w:pPr/>
      <w:r>
        <w:rPr>
          <w:b/>
        </w:rPr>
        <w:t>Shared claim-specific concepts:</w:t>
      </w:r>
      <w:r>
        <w:t xml:space="preserve"> show, use; EU scope visible. This is a provisional connection, not an outcome finding.</w:t>
      </w:r>
    </w:p>
    <w:p>
      <w:pPr>
        <w:pStyle w:val="SourceNote"/>
      </w:pPr>
      <w:r>
        <w:rPr>
          <w:b/>
        </w:rPr>
        <w:t>Available abstract (not full text):</w:t>
      </w:r>
      <w:r>
        <w:t xml:space="preserve"> Indoor air quality (IAQ) at educational institutions has emerged as an important public health issue, affecting the health and cognitive performance of school-aged children, students, and faculty alike. This scoping review study seeks to investigate and synthesize current literature on the factors influencing the current state of research on indoor air quality in educational institutions, as well as its implications for public health. The technique thoroughly investigated peer-reviewed journals, international organizations, and government reports, as well as case studies on IAQ in educational contexts. Using keywords such as "indoor air quality," "educational institutions," "public health," '' Europe, '' and "adverse health outcomes," the study's inclusion and exclusion criteria, as well as the criteria use of quality assessments. The results show that low IAQ is connected with a variety of public health issues, including health difficulties and cognitive impairments, particularly in vulnerable populations such as children and teachers. Inadequate ventilation, the presence of volatile organic compounds, mold growth, and external contaminants are all common causes of poor indoor air quality. Monitoring and management measures are required to improve IAQ in schools, encouraging student's health and academic performance, as well as policy implications of the importance of interdis</w:t>
      </w:r>
    </w:p>
    <w:p>
      <w:pPr/>
      <w:r>
        <w:rPr>
          <w:b/>
        </w:rPr>
        <w:t>POSSIBLE 2024:</w:t>
      </w:r>
      <w:r>
        <w:t xml:space="preserve"> Discussed Poster Abstracts – PM2 — https://doi.org/10.1111/fcp.13016</w:t>
      </w:r>
    </w:p>
    <w:p>
      <w:pPr/>
      <w:r>
        <w:rPr>
          <w:b/>
        </w:rPr>
        <w:t>Shared claim-specific concepts:</w:t>
      </w:r>
      <w:r>
        <w:t xml:space="preserve"> pm2, two, used; EU scope not established. This is a provisional connection, not an outcome finding.</w:t>
      </w:r>
    </w:p>
    <w:p>
      <w:pPr>
        <w:pStyle w:val="SourceNote"/>
      </w:pPr>
      <w:r>
        <w:rPr>
          <w:b/>
        </w:rPr>
        <w:t>Available abstract (not full text):</w:t>
      </w:r>
      <w:r>
        <w:t xml:space="preserve"> Introduction: Acute generalized exanthematous pustulosis (AGEP) is a rare form of severe cutaneous adverse drug reaction.Because of change regarding drug prescription over time, new drugs emerge as causative agents.Our objective was to assess new drugs associated with AGEP such as heterogeneity regarding delays between drug intake and AGEP onset.Material and methods: We used VigiBase, the WHO pharmacovigilance database.Two periods of interest were extracted: period 1 (2007-2012), as control period; and period 2 (2017-2022) to assess newly associated drugs.Overall reports of AGEP recorded in period 1 and period 2 were analyzed.To assess drug associated with AGEP, the information component and the lower limit of its 95% credibility interval (IC025) was used.IC025 ≥ 0 is the statistical threshold used in Vigibase.Additionally, in order to group drugs according to the delay between drug intake and AGEP onset, we performed a clustering analysis.Results: A total of 635 and 3832 reports were recorded in period 1 and 2 respectively.A total of 64 drugs were newly associated during period 2. Period 2 particularly highlighted the new association of antimicrobials, such as meropenem (IC025 3.52), valaciclovir (IC025 3.83) and acyclovir (IC025 2.00), nystatin (IC025 3.76) and itraconazole (IC025 2.67), proton pump inhibitors such as pantoprazole (IC025 1.17), diuretics such as acetazolamide</w:t>
      </w:r>
    </w:p>
    <w:p>
      <w:pPr/>
      <w:r>
        <w:rPr>
          <w:b/>
        </w:rPr>
        <w:t>POSSIBLE 2024:</w:t>
      </w:r>
      <w:r>
        <w:t xml:space="preserve"> Time Series Analysis PM2•5 Concentration for Capital City Dhaka from 2016 to 2023 — https://doi.org/10.11648/sf.20240501.15</w:t>
      </w:r>
    </w:p>
    <w:p>
      <w:pPr/>
      <w:r>
        <w:rPr>
          <w:b/>
        </w:rPr>
        <w:t>Shared claim-specific concepts:</w:t>
      </w:r>
      <w:r>
        <w:t xml:space="preserve"> pm2, significant, biomass, burning, range; EU scope not established. This is a provisional connection, not an outcome finding.</w:t>
      </w:r>
    </w:p>
    <w:p>
      <w:pPr>
        <w:pStyle w:val="SourceNote"/>
      </w:pPr>
      <w:r>
        <w:rPr>
          <w:b/>
        </w:rPr>
        <w:t>Available abstract (not full text):</w:t>
      </w:r>
      <w:r>
        <w:t xml:space="preserve"> Dhaka, as the epicenter of economic, political, and cultural activity, has been actively pursuing urbanization, modernization, and development in line with global trends. The rise in unplanned urbanization, industrialization, and other human activities have led to an escalation in air pollution levels. The quality of air in Dhaka is progressively declining over time. It has become a significant challenge due to its detrimental effects on both human health and the environment. The objectives of the study to analyze the air quality in Dhaka city over eight years, from 2016 to 2023 and to assess the relation between concentration of PM2•5 and meteorological characteristics in Dhaka city. AQI and PM2•5 data has been collected from the website of U.S. Embassy Dhaka and meteorological data from the Bangladesh Meteorological Department (BMD). Data processing and analysis have been conducted by using SPSS and Microsoft Excel. Annual variations indicated that 2023 experienced the highest air pollution levels with an average PM2•5 concentration of 103.67 µg/m³ which is 2.96 times higher than the national ambient air quality standards level. Furthermore, shifting variation analysis demonstrated that air quality deteriorated in the night to morning, reaching an unhealthy level, largely attributed to heavy traffic. Along with that seasonal variations illustrate that winter had the highest P</w:t>
      </w:r>
    </w:p>
    <w:p>
      <w:pPr/>
      <w:r>
        <w:rPr>
          <w:b/>
        </w:rPr>
        <w:t>POSSIBLE 2024:</w:t>
      </w:r>
      <w:r>
        <w:t xml:space="preserve"> Estimates of global mortality burden associated with short-term exposure to fine particulate matter (PM2·5) — https://doi.org/10.1016/s2542-5196(24)00003-2</w:t>
      </w:r>
    </w:p>
    <w:p>
      <w:pPr/>
      <w:r>
        <w:rPr>
          <w:b/>
        </w:rPr>
        <w:t>Shared claim-specific concepts:</w:t>
      </w:r>
      <w:r>
        <w:t xml:space="preserve"> concentrations, pm2, not; EU scope not established. This is a provisional connection, not an outcome finding.</w:t>
      </w:r>
    </w:p>
    <w:p>
      <w:pPr>
        <w:pStyle w:val="SourceNote"/>
      </w:pPr>
      <w:r>
        <w:rPr>
          <w:b/>
        </w:rPr>
        <w:t>Available abstract (not full text):</w:t>
      </w:r>
      <w:r>
        <w:t xml:space="preserve"> Background The acute health effects of short-term (hours to days) exposure to fine particulate matter (PM 2·5 ) have been well documented; however, the global mortality burden attributable to this exposure has not been estimated. We aimed to estimate the global, regional, and urban mortality burden associated with short-term exposure to PM 2·5 and the spatiotemporal variations in this burden from 2000 to 2019. Methods We combined estimated global daily PM 2·5 concentrations, annual population counts, country-level mortality rates, and epidemiologically derived exposure–response functions to estimate the mortality attributable to short-term PM 2·5 exposure from 2000 to 2019, in the continental regions and in 13 189 urban centres worldwide at a spatial resolution of 0·1° × 0·1°. We tested the robustness of our mortality estimates with different theoretical minimum risk exposure levels, lag effects, and exposure–response functions. Findings Approximately 1 million (95% CI 690 000–1·3 million) premature deaths per year from 2000 to 2019 were attributable to short-term PM 2·5 exposure, representing 2·08% (1·41–2·75) of total global deaths or 17 (11–22) premature deaths per 100 000 population. Annually, 0·23 million (0·15 million–0·30 million) deaths attributable to short-term PM 2·5 exposure were in urban areas, constituting 22·74% of the total global deaths attributable to this cau</w:t>
      </w:r>
    </w:p>
    <w:p>
      <w:pPr/>
      <w:r>
        <w:rPr>
          <w:b/>
        </w:rPr>
        <w:t>POSSIBLE 2024:</w:t>
      </w:r>
      <w:r>
        <w:t xml:space="preserve"> Estimating the effect of annual PM2·5 exposure on mortality in India: a difference-in-differences approach — https://doi.org/10.1016/s2542-5196(24)00248-1</w:t>
      </w:r>
    </w:p>
    <w:p>
      <w:pPr/>
      <w:r>
        <w:rPr>
          <w:b/>
        </w:rPr>
        <w:t>Shared claim-specific concepts:</w:t>
      </w:r>
      <w:r>
        <w:t xml:space="preserve"> concentrations, pm2, not, increase, use, system; EU scope not established. This is a provisional connection, not an outcome finding.</w:t>
      </w:r>
    </w:p>
    <w:p>
      <w:pPr>
        <w:pStyle w:val="SourceNote"/>
      </w:pPr>
      <w:r>
        <w:rPr>
          <w:b/>
        </w:rPr>
        <w:t>Available abstract (not full text):</w:t>
      </w:r>
      <w:r>
        <w:t xml:space="preserve"> Background In 2019, the Global Burden of Diseases, Injuries, and Risk Factors Study attributed 0·98 million deaths to ambient air pollution in India based on potentially inappropriate exposure–response functions from countries with low air pollution levels. Instead, using data from India, we investigated long-term exposure to PM 2·5 and all-cause mortality with a causal inference method. Methods We collected national counts of annual mortality from 2009 to 2019 from the Civil Registration System at the district level to calculate annual district-level mortality rate as our main outcome and obtained annual PM 2·5 concentrations from a high-resolution spatiotemporal model. We applied an extended version of the difference-in-differences design by use of generalised additive models with quasi-Poisson distribution, including indicator variables and separate time trends for spatial administrative divisions. PM 2·5 concentrations obtained at 1 km × 1 km spatial resolution across the country were used to calculate annual district-level mean PM 2·5 concentrations. Similarly, we collected confounders at the district level, such as mean and SD of quarterly temperatures, gross domestic product per capita, population aged 60 years or older, clean cooking fuel usage, literacy in women, and median age. The spatial unit of analysis was administrative division. Findings The annual median popula</w:t>
      </w:r>
    </w:p>
    <w:p>
      <w:pPr>
        <w:pStyle w:val="Heading2"/>
      </w:pPr>
      <w:r>
        <w:t>768. Renewable and Sustainable Energy Transitions for Countries with Different Climates and Renewable Energy Sources Potentials</w:t>
      </w:r>
    </w:p>
    <w:p>
      <w:pPr>
        <w:pStyle w:val="SourceNote"/>
      </w:pPr>
      <w:r>
        <w:rPr>
          <w:b/>
        </w:rPr>
        <w:t>Original source (2018):</w:t>
      </w:r>
      <w:r>
        <w:t xml:space="preserve"> https://doi.org/10.3390/en11123523</w:t>
      </w:r>
    </w:p>
    <w:p>
      <w:pPr/>
      <w:r>
        <w:t>Original wording (abstract; indexed_source_text_not_full_document_verified): The outcomes of the new scenarios support the future national plans, showing how decarburization in an energy system can occur in relation to the European Roadmap 2030 and 2050.</w:t>
      </w:r>
    </w:p>
    <w:p>
      <w:pPr/>
      <w:r>
        <w:rPr>
          <w:b/>
        </w:rPr>
        <w:t>POSSIBLE 2026:</w:t>
      </w:r>
      <w:r>
        <w:t xml:space="preserve"> NDICI – Global Europe as a new architecture of the European Union’s financial assistance — https://doi.org/10.17721/2524-048x.2026.34.10</w:t>
      </w:r>
    </w:p>
    <w:p>
      <w:pPr/>
      <w:r>
        <w:rPr>
          <w:b/>
        </w:rPr>
        <w:t>Shared claim-specific concepts:</w:t>
      </w:r>
      <w:r>
        <w:t xml:space="preserve"> support, system; EU scope visible. This is a provisional connection, not an outcome finding.</w:t>
      </w:r>
    </w:p>
    <w:p>
      <w:pPr>
        <w:pStyle w:val="SourceNote"/>
      </w:pPr>
      <w:r>
        <w:rPr>
          <w:b/>
        </w:rPr>
        <w:t>Available abstract (not full text):</w:t>
      </w:r>
      <w:r>
        <w:t xml:space="preserve"> The relevance of this study is determined by the need for a historical and analytical understanding of the transformation of the European Union’s external financing system in the early 21st century, taking place amid global political changes and the russian federation’s war against Ukraine. In this context, particular attention is given to the Neighbourhood, Development and International Cooperation Instrument – Global Europe (NDICI–GE) as a stage in the evolution of the EU’s financial mechanisms and as part of the broader process of institutional development in European integration. The aim of the article is a historical and analytical study of the prerequisites for the formation, institutional and legal design, and practical implementation of NDICI–GE in the context of the evolution of the EU’s external assistance system. The methodological framework is based on the principles of historicism, systematization, and scientific objectivity. The historical-comparative method was used to reconstruct the stages of the development of EU financial instruments, the problem-chronological approach to highlight the sequence of their transformation, and the source analysis method to examine EU legal acts and official documents. The scientific novelty lies in a comprehensive historical and analytical understanding of NDICI–GE as a consistent stage in the institutional evolution of the EU’s </w:t>
      </w:r>
    </w:p>
    <w:p>
      <w:pPr/>
      <w:r>
        <w:rPr>
          <w:b/>
        </w:rPr>
        <w:t>POSSIBLE 2025:</w:t>
      </w:r>
      <w:r>
        <w:t xml:space="preserve"> Using codesign to support the implementation of a midwifery unit in Europe — https://doi.org/10.1016/j.midw.2025.104503</w:t>
      </w:r>
    </w:p>
    <w:p>
      <w:pPr/>
      <w:r>
        <w:rPr>
          <w:b/>
        </w:rPr>
        <w:t>Shared claim-specific concepts:</w:t>
      </w:r>
      <w:r>
        <w:t xml:space="preserve"> outcomes, support; EU scope visible. This is a provisional connection, not an outcome finding.</w:t>
      </w:r>
    </w:p>
    <w:p>
      <w:pPr>
        <w:pStyle w:val="SourceNote"/>
      </w:pPr>
      <w:r>
        <w:rPr>
          <w:b/>
        </w:rPr>
        <w:t>Available abstract (not full text):</w:t>
      </w:r>
      <w:r>
        <w:t xml:space="preserve"> BACKGROUND: Midwifery units (MUs) have demonstrated to be a safe and cost-effective model of maternity care. Several European countries do not offer this model yet but are working towards its implementation to improve perinatal outcomes, service users' and midwives' satisfaction while making effective use of healthcare resources. Few research projects have focused on the implementation aspect. This study observed and supported the process for implementation of a new MU in Italy using participatory action research (PAR) and codesign. METHODS: A 4-stage project was conducted to codesign an implementation plan aimed at supporting the transition from the obstetrically led maternity unit to an integrated model with a MU. The study engaged maternity professionals, managers and service users via online focus groups and eSurveys. FINDINGS: Participants identified ten themes to focus the implementation work on: team vision, creation of a multidisciplinary advisory group, creation of a dedicated group of midwives, implementation of intrapartum guidelines for low-risk women, appropriate risk assessment, integration hospital-community, training, effective communication and information for service users and within the team, and reflective practice. Service users supported the initiatives proposed in the implementation plan and expressed openness towards the model of care and its implementat</w:t>
      </w:r>
    </w:p>
    <w:p>
      <w:pPr/>
      <w:r>
        <w:rPr>
          <w:b/>
        </w:rPr>
        <w:t>POSSIBLE 2024:</w:t>
      </w:r>
      <w:r>
        <w:t xml:space="preserve"> Developing a European Psychotherapy Consortium (EPoC): Towards adopting a single-item self-report outcome measure across European countries — https://doi.org/10.32872/cpe.13827</w:t>
      </w:r>
    </w:p>
    <w:p>
      <w:pPr/>
      <w:r>
        <w:rPr>
          <w:b/>
        </w:rPr>
        <w:t>Shared claim-specific concepts:</w:t>
      </w:r>
      <w:r>
        <w:t xml:space="preserve"> outcomes, support, relation; EU scope visible. This is a provisional connection, not an outcome finding.</w:t>
      </w:r>
    </w:p>
    <w:p>
      <w:pPr>
        <w:pStyle w:val="SourceNote"/>
      </w:pPr>
      <w:r>
        <w:rPr>
          <w:b/>
        </w:rPr>
        <w:t>Available abstract (not full text):</w:t>
      </w:r>
      <w:r>
        <w:t xml:space="preserve"> Background: Complementing the development of evidence-based psychological therapies, practice-based evidence has developed from patient samples collected in routine care, addressing questions relevant to patients and practitioners, and thereby expanding our knowledge of psychological therapies and their impact. Implementation of assessments in routine care allows for timely clinical decision support and the collection of multiple practice-based data sets by addressing the needs of patients and clinicians (e.g., routine outcome monitoring) and the needs of researchers (e.g., identifying the impact of therapist variables on outcomes). Method: In this article we describe an initiative developed in Europe, through the European Chapter of the Society for Psychotherapy Research, aimed at creating a consortium that has the potential for collecting data on tens of thousands of patients per year. Results: A survey identified one of the main problems in the development of a common data set to be the heterogeneity of measures used by members (e.g., 87 different pre-post outcomes). We report on the results of the survey and the initial stage of identifying a single-item - the Emotional and Psychological Outcome (EPO-1) - measure and the process of its translation into multiple European languages. Conclusions: We conclude this first stage of the overall project by discussing the future pote</w:t>
      </w:r>
    </w:p>
    <w:p>
      <w:pPr/>
      <w:r>
        <w:rPr>
          <w:b/>
        </w:rPr>
        <w:t>POSSIBLE 2024:</w:t>
      </w:r>
      <w:r>
        <w:t xml:space="preserve"> Atrial fibrillation burden: a new outcome predictor and therapeutic target — https://doi.org/10.1093/eurheartj/ehae373</w:t>
      </w:r>
    </w:p>
    <w:p>
      <w:pPr/>
      <w:r>
        <w:rPr>
          <w:b/>
        </w:rPr>
        <w:t>Shared claim-specific concepts:</w:t>
      </w:r>
      <w:r>
        <w:t xml:space="preserve"> outcomes, relation; EU scope not established. This is a provisional connection, not an outcome finding.</w:t>
      </w:r>
    </w:p>
    <w:p>
      <w:pPr>
        <w:pStyle w:val="SourceNote"/>
      </w:pPr>
      <w:r>
        <w:rPr>
          <w:b/>
        </w:rPr>
        <w:t>Available abstract (not full text):</w:t>
      </w:r>
      <w:r>
        <w:t xml:space="preserve"> Atrial fibrillation (AF), the most common sustained cardiac arrhythmia, is not a dichotomous disease trait. Technological innovations enable long-term rhythm monitoring in many patients and can estimate AF burden. These technologies are already used to detect and monitor AF. This review describes the relation between AF burden and outcomes and potential effects of AF burden reduction. A lower AF burden is associated with a lower risk of stroke and heart failure in patients with AF: stroke risk without anticoagulation is lower in patients with device-detected AF and a low AF burden (stroke rate 1%/year) than in patients with persistent and permanent AF (stroke rate 3%/year). Paroxysmal AF shows intermediate stroke rates (2%/year). Atrial fibrillation burden-reducing interventions can reduce cardiovascular outcomes in patients with AF: early rhythm control reduces cardiovascular events including stroke and heart failure in patients with recently diagnosed AF and cardiovascular conditions. In patients with heart failure and AF, early rhythm control and AF ablation, interventions that reduce AF burden, reduce mortality and heart failure events. Recent technological innovations allow to estimate AF burden in clinical care, creating opportunities and challenges. While evidence remains limited, the existing data already suggest that AF burden reduction could be a therapeutic goal. In </w:t>
      </w:r>
    </w:p>
    <w:p>
      <w:pPr/>
      <w:r>
        <w:rPr>
          <w:b/>
        </w:rPr>
        <w:t>POSSIBLE 2024:</w:t>
      </w:r>
      <w:r>
        <w:t xml:space="preserve"> Evolving trends in underlying etiologies for lung transplantation in Europe and outcomes — https://doi.org/10.1183/13993003.congress-2024.pa4984</w:t>
      </w:r>
    </w:p>
    <w:p>
      <w:pPr/>
      <w:r>
        <w:rPr>
          <w:b/>
        </w:rPr>
        <w:t>Shared claim-specific concepts:</w:t>
      </w:r>
      <w:r>
        <w:t xml:space="preserve"> outcomes, support; EU scope visible. This is a provisional connection, not an outcome finding.</w:t>
      </w:r>
    </w:p>
    <w:p>
      <w:pPr>
        <w:pStyle w:val="SourceNote"/>
      </w:pPr>
      <w:r>
        <w:rPr>
          <w:b/>
        </w:rPr>
        <w:t>Available abstract (not full text):</w:t>
      </w:r>
      <w:r>
        <w:t xml:space="preserve"> Background: Referring diagnosis to lung transplantation (LTx) impact outcomes concerning overall survival and freedom from chronic lung allograft dysfunction - bronchiolitis obliterans syndrome (CLAD-BOS). This analysis describes trends in aetiologies and outcomes in Europe. Methodology Reports from ISHLT and France and Spain were screened for trends in referring diagnoses LTx and outcomes after LTx. Publications addressing such trends were identified in a PubMed search. Results: Primary diagnoses for LTx evolved over the last two decades. COPD accounts for 33% in both periods, IIP-ILD grew from 21% to 26% and CF decreased from 20% to 18%. Reports from France and Spain support these findings. Survival varies depending on the diagnosis. Global ISHLT data shows median post-Tx survival of 9.9 years in CF, 7.1 in A1ATD, 7.0 in iPAH, 6.7 in non-IPF ILD, 6.0 in COPD and 5.2 in IIP. 5-year freedom from CLAD-BOS shows some differences amongst disease states ranging from 49% in COPD to 54% in CF per ISHLT data, and per French data 5-year CLAD-freedom varies more: 69%, 50% and 37% in CF, COPD and IPF, respectively. Conclusion: Underlying diagnosis for LTx has evolved over the past decades. 5-year freedom from CLAD-BOS is poor for all aetiologies, ranging from 37% to 69%. Those associated with higher CLAD-BOS rates are growing, like IIP-ILD. This emphasizes the urgent need for new treatme</w:t>
      </w:r>
    </w:p>
    <w:p>
      <w:pPr/>
      <w:r>
        <w:rPr>
          <w:b/>
        </w:rPr>
        <w:t>POSSIBLE 2024:</w:t>
      </w:r>
      <w:r>
        <w:t xml:space="preserve"> European guidelines for the treatment of arterial hypertension 2023: new trends — https://doi.org/10.21518/ms2024-090</w:t>
      </w:r>
    </w:p>
    <w:p>
      <w:pPr/>
      <w:r>
        <w:rPr>
          <w:b/>
        </w:rPr>
        <w:t>Shared claim-specific concepts:</w:t>
      </w:r>
      <w:r>
        <w:t xml:space="preserve"> outcomes, support; EU scope visible. This is a provisional connection, not an outcome finding.</w:t>
      </w:r>
    </w:p>
    <w:p>
      <w:pPr>
        <w:pStyle w:val="SourceNote"/>
      </w:pPr>
      <w:r>
        <w:rPr>
          <w:b/>
        </w:rPr>
        <w:t>Available abstract (not full text):</w:t>
      </w:r>
      <w:r>
        <w:t xml:space="preserve"> The treatment strategy for arterial hypertension is aimed at controlling blood pressure levels, as well as preventing serious cardiovascular complications and affecting the prognosis of the disease. Therefore, pharmacotherapy of arterial hypertension is given great importance as a guide to the treatment of patients in real practice. The new 2023 European Society Guidelines for the diagnosis and treatment of hypertension were developed after a thorough analysis of studies in the field of arterial hypertension, and were not limited to RCTs only, but also included realistic studies (observational, cohort, administrative databases). The 2023 Guidelines support the proven value of five major classes of antihypertensive drugs: thiazide/thiazide-like diuretics, ACEIs, ARBs, calcium antagonists, and β-blockers. New data from meta-analyses support the greater clinical relevance of RAS blockers, calcium channel blockers, and thiazide/thiazide-like diuretics in preventing hypertension-related outcomes, leading to their preferred use in the pharmacotherapy of arterial hypertension, including various combinations of drugs. A new trend in the pharmacotherapy of arterial hypertension has been the inclusion of β-blockers among the main antihypertensive drugs, including their preferred use for a number of clinical conditions. New classes of drugs, such as SGLT2 inhibitors and non-steroidal mine</w:t>
      </w:r>
    </w:p>
    <w:p>
      <w:pPr/>
      <w:r>
        <w:rPr>
          <w:b/>
        </w:rPr>
        <w:t>POSSIBLE 2024:</w:t>
      </w:r>
      <w:r>
        <w:t xml:space="preserve"> Roadmap Towards A New European Culture Of Mobility — https://openalex.org/W4400666844</w:t>
      </w:r>
    </w:p>
    <w:p>
      <w:pPr/>
      <w:r>
        <w:rPr>
          <w:b/>
        </w:rPr>
        <w:t>Shared claim-specific concepts:</w:t>
      </w:r>
      <w:r>
        <w:t xml:space="preserve"> outcomes, support, roadmap; EU scope visible. This is a provisional connection, not an outcome finding.</w:t>
      </w:r>
    </w:p>
    <w:p>
      <w:pPr>
        <w:pStyle w:val="SourceNote"/>
      </w:pPr>
      <w:r>
        <w:rPr>
          <w:b/>
        </w:rPr>
        <w:t>Available abstract (not full text):</w:t>
      </w:r>
      <w:r>
        <w:t xml:space="preserve"> Everyday mobility differs from place to place, but it can have certain commonalities. It is influenced or even characterised by an array of spatial, social, economic and even cultural conditions. We have, therefore, started from the assumption that mobility itself can be considered as a ‘culture’ and that in Europe the culture of mobility is currently evolving. In this context, REBALANCE, a Horizon 2020 project, was carried out by 6 participants from 6 European countries until the end of 2022. It aimed to identify the values and culture of future mobility. The project included a foresight exercise aiming at a paradigm shift in transport policy, leading to greater consideration of societal values, which are not fully taken into account in the development of transport policies, and greater alignment with the SDGs.The project initiated a discussion on the foundations of current transport policy paradigms. By reviewing the present, it mobilised a broad network of experts and stakeholders around new cultures and policies to discuss and converge on a common, more sustainable vision and to design a roadmap for a new transport paradigm. What made REBALANCE original was the massive mobilisation of high-level, multidisciplinary thinkers. The project has drawn on contributions from philosophers, sociologists, social psychologists, geographers and lawyers who have not necessarily been invo</w:t>
      </w:r>
    </w:p>
    <w:p>
      <w:pPr/>
      <w:r>
        <w:rPr>
          <w:b/>
        </w:rPr>
        <w:t>POSSIBLE 2023:</w:t>
      </w:r>
      <w:r>
        <w:t xml:space="preserve"> European Consensus Guidelines on the Management of Respiratory Distress Syndrome: 2022 Update — https://doi.org/10.1159/000528914</w:t>
      </w:r>
    </w:p>
    <w:p>
      <w:pPr/>
      <w:r>
        <w:rPr>
          <w:b/>
        </w:rPr>
        <w:t>Shared claim-specific concepts:</w:t>
      </w:r>
      <w:r>
        <w:t xml:space="preserve"> support, system; EU scope visible. This is a provisional connection, not an outcome finding.</w:t>
      </w:r>
    </w:p>
    <w:p>
      <w:pPr>
        <w:pStyle w:val="SourceNote"/>
      </w:pPr>
      <w:r>
        <w:rPr>
          <w:b/>
        </w:rPr>
        <w:t>Available abstract (not full text):</w:t>
      </w:r>
      <w:r>
        <w:t xml:space="preserve"> Respiratory distress syndrome (RDS) care pathways evolve slowly as new evidence emerges. We report the sixth version of "European Guidelines for the Management of RDS" by a panel of experienced European neonatologists and an expert perinatal obstetrician based on available literature up to end of 2022. Optimising outcome for babies with RDS includes prediction of risk of preterm delivery, appropriate maternal transfer to a perinatal centre, and appropriate and timely use of antenatal steroids. Evidence-based lung-protective management includes initiation of non-invasive respiratory support from birth, judicious use of oxygen, early surfactant administration, caffeine therapy, and avoidance of intubation and mechanical ventilation where possible. Methods of ongoing non-invasive respiratory support have been further refined and may help reduce chronic lung disease. As technology for delivering mechanical ventilation improves, the risk of causing lung injury should decrease, although minimising time spent on mechanical ventilation by targeted use of postnatal corticosteroids remains essential. The general care of infants with RDS is also reviewed, including emphasis on appropriate cardiovascular support and judicious use of antibiotics as being important determinants of best outcome. We would like to dedicate this guideline to the memory of Professor Henry Halliday who died on Nov</w:t>
      </w:r>
    </w:p>
    <w:p>
      <w:pPr/>
      <w:r>
        <w:rPr>
          <w:b/>
        </w:rPr>
        <w:t>POSSIBLE 2023:</w:t>
      </w:r>
      <w:r>
        <w:t xml:space="preserve"> Spatial planning systems in Europe — https://doi.org/10.2298/gsgd2302177t</w:t>
      </w:r>
    </w:p>
    <w:p>
      <w:pPr/>
      <w:r>
        <w:rPr>
          <w:b/>
        </w:rPr>
        <w:t>Shared claim-specific concepts:</w:t>
      </w:r>
      <w:r>
        <w:t xml:space="preserve"> national, system; EU scope visible. This is a provisional connection, not an outcome finding.</w:t>
      </w:r>
    </w:p>
    <w:p>
      <w:pPr>
        <w:pStyle w:val="SourceNote"/>
      </w:pPr>
      <w:r>
        <w:rPr>
          <w:b/>
        </w:rPr>
        <w:t>Available abstract (not full text):</w:t>
      </w:r>
      <w:r>
        <w:t xml:space="preserve"> The paper aims to present the most significant classifications of spatial planning systems and territorial management in Europe. After the first attempts, from the end of the last century, at the beginning of the new millennium, extensive analyses of the spatial planning system were carried out through several ESPON projects. Their results were based on the dominance of one of four approaches: urbanism, land use, regional-economic or comprehensive integrated planning. Some countries have a combination of two or three approaches. The second research also refers to the development trends observed in the national systems of territorial management and spatial planning. Recent research include the classification of states according to the way of management, the level of integration of sectoral policies, the degree of adaptability in planning, as well as the degree of engagement of citizens in the planning process. Knowing the basic characteristics of the spatial planning system, as well as the classifications based on them, creates a clearer perspective of spatial planning as a socially important activity and makes it easier for every country to review and improve its planning practice.</w:t>
      </w:r>
    </w:p>
    <w:p>
      <w:pPr/>
      <w:r>
        <w:rPr>
          <w:b/>
        </w:rPr>
        <w:t>POSSIBLE 2023:</w:t>
      </w:r>
      <w:r>
        <w:t xml:space="preserve"> Transition to legume-supported farming in Europe through redesigning cropping systems — https://doi.org/10.1007/s13593-022-00861-w</w:t>
      </w:r>
    </w:p>
    <w:p>
      <w:pPr/>
      <w:r>
        <w:rPr>
          <w:b/>
        </w:rPr>
        <w:t>Shared claim-specific concepts:</w:t>
      </w:r>
      <w:r>
        <w:t xml:space="preserve"> support, energy, system; EU scope visible. This is a provisional connection, not an outcome finding.</w:t>
      </w:r>
    </w:p>
    <w:p>
      <w:pPr>
        <w:pStyle w:val="SourceNote"/>
      </w:pPr>
      <w:r>
        <w:rPr>
          <w:b/>
        </w:rPr>
        <w:t>Available abstract (not full text):</w:t>
      </w:r>
      <w:r>
        <w:t xml:space="preserve"> Abstract Legume-supported cropping systems affect environmental, production, and economic impacts. In Europe, legume production is still marginal with grain legumes covering less than 3% of arable land. A transition towards legume-supported systems could contribute to a higher level of protein self-sufficiency and lower environmental impacts of agriculture. Suitable approaches for designing legume-supported cropping systems are required that go beyond the production of prescriptive solutions. We applied the DEED framework with scientists and advisors in 17 study areas in nine European countries, enabling us to describe, explain, explore, and redesign cropping systems. The results of 31 rotation comparisons showed that legume integration decreased N fertilizer use and nitrous oxide emissions (N2O) in more than 90% of the comparisons with reductions ranging from 6 to 142 kg N ha−1 and from 1 to 6 kg N2O ha−1, respectively. In over 75% of the 24 arable cropping system comparisons, rotations with legumes had lower nitrate leaching and higher protein yield per hectare. The assessment of above-ground biodiversity showed no considerable difference between crop rotations with and without legumes in most comparisons. Energy yields were lower in legume-supported systems in more than 90% of all comparisons. Feasibility and adaptation needs of legume systems were discussed in joint worksho</w:t>
      </w:r>
    </w:p>
    <w:p>
      <w:pPr/>
      <w:r>
        <w:rPr>
          <w:b/>
        </w:rPr>
        <w:t>POSSIBLE 2022:</w:t>
      </w:r>
      <w:r>
        <w:t xml:space="preserve"> Understanding Public Support for European Protected Areas: A Review of the Literature and Proposing a New Approach for Policy Makers — https://doi.org/10.3390/land11050733</w:t>
      </w:r>
    </w:p>
    <w:p>
      <w:pPr/>
      <w:r>
        <w:rPr>
          <w:b/>
        </w:rPr>
        <w:t>Shared claim-specific concepts:</w:t>
      </w:r>
      <w:r>
        <w:t xml:space="preserve"> outcomes, support, system; EU scope visible. This is a provisional connection, not an outcome finding.</w:t>
      </w:r>
    </w:p>
    <w:p>
      <w:pPr>
        <w:pStyle w:val="SourceNote"/>
      </w:pPr>
      <w:r>
        <w:rPr>
          <w:b/>
        </w:rPr>
        <w:t>Available abstract (not full text):</w:t>
      </w:r>
      <w:r>
        <w:t xml:space="preserve"> Protected Areas are the most widely applied policy tool for biodiversity conservation. In Europe, protected areas are expected to significantly increase as the new EU Biodiversity strategy sets an ambitious target of 30% of land and 30% of water to be protected by 2030. Despite the popularity of this environmental policy, understanding variations in the level of public support for protected areas remains underexplored. This is an important area of research, considering that, in order for protected areas to be effective, they need to be supported by most users, including local communities and visitors. In this paper, we reviewed theoretical and empirical evidence explaining the level of support for protected areas and proposed a new approach when designing and designating protected areas in Europe. This approach models the process of the introduction of a new protected area as a policy intervention within a socio-ecological system. Specifically, it models how protected area social outcomes or impacts are conditioned and contextualised by numerous intervening factors relating to the social context and governance and management system to influence local actors’ attitude and active support for the protected area. This new approach aims to assist policy makers, conservation practitioners and scientists to plan actions that assist in increasing the level of public support for protect</w:t>
      </w:r>
    </w:p>
    <w:p>
      <w:pPr/>
      <w:r>
        <w:rPr>
          <w:b/>
        </w:rPr>
        <w:t>POSSIBLE 2022:</w:t>
      </w:r>
      <w:r>
        <w:t xml:space="preserve"> European Registry of Cardiac Arrest – Study-THREE (EuReCa THREE) – An international, prospective, multi-centre, three-month survey of epidemiology, treatment and outcome of patients with out-of-hospital cardiac arrest in Europe – The study protocol — https://doi.org/10.1016/j.resplu.2022.100314</w:t>
      </w:r>
    </w:p>
    <w:p>
      <w:pPr/>
      <w:r>
        <w:rPr>
          <w:b/>
        </w:rPr>
        <w:t>Shared claim-specific concepts:</w:t>
      </w:r>
      <w:r>
        <w:t xml:space="preserve"> outcomes, support; EU scope visible. This is a provisional connection, not an outcome finding.</w:t>
      </w:r>
    </w:p>
    <w:p>
      <w:pPr>
        <w:pStyle w:val="SourceNote"/>
      </w:pPr>
      <w:r>
        <w:rPr>
          <w:b/>
        </w:rPr>
        <w:t>Available abstract (not full text):</w:t>
      </w:r>
      <w:r>
        <w:t xml:space="preserve"> Background: The aim of the European Registry of Cardiac Arrest (EuReCa) network is to provide high quality evidence on epidemiology of out-of-hospital cardiac arrest (OHCA) in Europe by supporting and developing cardiac arrest registries and performing European-wide studies. To date, the EuReCa ONE and EuReCa TWO studies have involved around 28 countries, with population covered increasing from the first to the second study. The aim of the EuReCa THREE study is to build on previous work and to support the promotion of quality data collection on OHCA throughout Europe. Methods/design: EuReCa THREE will be the third prospective cohort study on epidemiology of OHCA and will involve around 30 European countries. The study will be conducted between 1st September and 30th November 2022. Data will be collected on cardiac arrest cases attended, resuscitation attempted, patient and cardiac arrest event characteristics and outcomes (including return of spontaneous circulation, status on hospital arrival and discharge). A particular focus for EuReCa THREE will be to describe key time intervals in OHCA management; time from call to EMS arrival on scene, time from cardiac arrest to start CPR, time from EMS arrival to delivery of patient to hospital.EuReCa THREE was registered with the German Registry of Clinical Trials Registration Number: DRKS00028591 searchable via WHO meta-registry (http</w:t>
      </w:r>
    </w:p>
    <w:p>
      <w:pPr>
        <w:pStyle w:val="Heading2"/>
      </w:pPr>
      <w:r>
        <w:t>769. Renewable jet fuel supply scenarios in the European Union in 2021–2030 in the context of proposed biofuel policy and competing biomass demand</w:t>
      </w:r>
    </w:p>
    <w:p>
      <w:pPr>
        <w:pStyle w:val="SourceNote"/>
      </w:pPr>
      <w:r>
        <w:rPr>
          <w:b/>
        </w:rPr>
        <w:t>Original source (2018):</w:t>
      </w:r>
      <w:r>
        <w:t xml:space="preserve"> https://doi.org/10.1111/gcbb.12525</w:t>
      </w:r>
    </w:p>
    <w:p>
      <w:pPr/>
      <w:r>
        <w:t>Original wording (abstract; indexed_source_text_not_full_document_verified): Model scenarios show nonfood RJF supply could increase from 1 PJ in 2021 to 165–261 PJ /year (3.8–6.1 million tonne (Mt)/year) by 2030, provided advanced biofuel technologies are developed and adequate (policy) incentives are present. Abstract This study presents supply scenarios of nonfood renewable jet fuel ( RJF ) in the European Union ( EU ) toward 2030, based on the anticipated regulatory context, availability of biomass and conversion technologies, and competing biomass demand from other sectors (i.e., transport, heat, power, and chemicals).</w:t>
      </w:r>
    </w:p>
    <w:p>
      <w:pPr/>
      <w:r>
        <w:rPr>
          <w:b/>
        </w:rPr>
        <w:t>POSSIBLE 2026:</w:t>
      </w:r>
      <w:r>
        <w:t xml:space="preserve"> Nonfood Geographical Indications as Collective Sustainability Strategies: Governance as a Strategic Capability for Territorial Competitive Advantage — https://doi.org/10.1002/bse.71040</w:t>
      </w:r>
    </w:p>
    <w:p>
      <w:pPr/>
      <w:r>
        <w:rPr>
          <w:b/>
        </w:rPr>
        <w:t>Shared claim-specific concepts:</w:t>
      </w:r>
      <w:r>
        <w:t xml:space="preserve"> nonfood, abstract, based; EU scope not established. This is a provisional connection, not an outcome finding.</w:t>
      </w:r>
    </w:p>
    <w:p>
      <w:pPr>
        <w:pStyle w:val="SourceNote"/>
      </w:pPr>
      <w:r>
        <w:rPr>
          <w:b/>
        </w:rPr>
        <w:t>Available abstract (not full text):</w:t>
      </w:r>
      <w:r>
        <w:t xml:space="preserve"> ABSTRACT Nonfood geographical indications (GIs) are increasingly emerging as collective sustainability strategies. They enable territories to transform cultural and productive heritage into sources of long‐term competitive advantage. While existing research recognises their regulatory and cultural relevance, limited attention has been paid to how governance configurations activate nonfood GIs as strategic mechanisms for sustainability‐oriented territorial competitiveness. This study consolidates and systematises the literature through a systematic review conducted using the SPAR‐4‐SLR protocol. Fifty‐four peer‐reviewed studies were analysed through bibliometric mapping and in‐depth thematic analysis to identify the dominant conceptual approaches, governance models and strategic outcomes associated with nonfood GIs. Drawing on the systematic review and its interpretative synthesis, the study conceptualises nonfood GIs as heritage‐based collective business strategies. It develops a layered conceptual framework that positions governance as a strategic capability mediating between territorial resources and sustainability‐oriented competitive outcomes. The framework identifies two systemic strategic trade‐offs that recur across studies and contexts: authenticity protection versus market responsiveness and participatory inclusiveness versus decision‐making agility, shaping long‐term </w:t>
      </w:r>
    </w:p>
    <w:p>
      <w:pPr/>
      <w:r>
        <w:rPr>
          <w:b/>
        </w:rPr>
        <w:t>POSSIBLE 2025:</w:t>
      </w:r>
      <w:r>
        <w:t xml:space="preserve"> Harnessing Nonfood Biomass for Biodiesel Production: Integration of Hazardous Waste Treatment into Sustainable Energy Solutions — https://doi.org/10.5772/intechopen.1011460</w:t>
      </w:r>
    </w:p>
    <w:p>
      <w:pPr/>
      <w:r>
        <w:rPr>
          <w:b/>
        </w:rPr>
        <w:t>Shared claim-specific concepts:</w:t>
      </w:r>
      <w:r>
        <w:t xml:space="preserve"> nonfood, advanced; EU scope not established. This is a provisional connection, not an outcome finding.</w:t>
      </w:r>
    </w:p>
    <w:p>
      <w:pPr>
        <w:pStyle w:val="SourceNote"/>
      </w:pPr>
      <w:r>
        <w:rPr>
          <w:b/>
        </w:rPr>
        <w:t>Available abstract (not full text):</w:t>
      </w:r>
      <w:r>
        <w:t xml:space="preserve"> This chapter explores the integration of hazardous waste treatment into biodiesel production using nonfood biomass as a sustainable feedstock. Nonfood biomass—such as agricultural residues, lignocellulosic waste, forestry byproducts, and microalgae—represents a promising alternative to food-based biofuels, enabling energy production without compromising food security. Concurrently, the incorporation of hazardous waste streams, including industrial effluents, contaminated biomass, and organic toxins, into bioenergy pathways offers an innovative approach to environmental remediation. Through advanced pretreatment, bioremediation, and catalytic transesterification processes, these waste materials can be converted into high-quality biodiesel. This integrated framework not only addresses the challenges of waste management but also enhances energy circularity, reduces greenhouse gas emissions, and contributes to carbon neutrality. The chapter highlights recent technological advancements, system efficiencies, and sustainability metrics in waste-to-energy systems, providing a roadmap for implementing closed-loop bioenergy strategies. By aligning with circular economy principles and global climate goals, this approach offers a dual benefit—clean energy generation and effective hazardous waste mitigation.</w:t>
      </w:r>
    </w:p>
    <w:p>
      <w:pPr/>
      <w:r>
        <w:rPr>
          <w:b/>
        </w:rPr>
        <w:t>POSSIBLE 2025:</w:t>
      </w:r>
      <w:r>
        <w:t xml:space="preserve"> Building an Agricultural Biogas Supply Chain in Europe: Organizational Models and Social Challenges — https://doi.org/10.3390/su17135806</w:t>
      </w:r>
    </w:p>
    <w:p>
      <w:pPr/>
      <w:r>
        <w:rPr>
          <w:b/>
        </w:rPr>
        <w:t>Shared claim-specific concepts:</w:t>
      </w:r>
      <w:r>
        <w:t xml:space="preserve"> presents; EU scope visible. This is a provisional connection, not an outcome finding.</w:t>
      </w:r>
    </w:p>
    <w:p>
      <w:pPr>
        <w:pStyle w:val="SourceNote"/>
      </w:pPr>
      <w:r>
        <w:rPr>
          <w:b/>
        </w:rPr>
        <w:t>Available abstract (not full text):</w:t>
      </w:r>
      <w:r>
        <w:t xml:space="preserve"> As Europe is the world’s leading producer of biogas, this article examines how agricultural anaerobic digestion (AD) is organized and governed, and explores the social challenges involved in structuring the sector around a possible “European model”. Following a social science perspective, it presents a systematic review of 64 French- and English-language articles drawn from 16 academic databases. The findings highlight five key dynamics. First, there is a shift from farmer-led to increasingly industrial models of AD. Second, diverse and hybrid business models are emerging, involving new forms of multi-scale coordination. Third, the sector remains structurally dependent on public subsidies and on regulatory frameworks. Fourth, the economic viability of AD for farmers remains uncertain, driving a transition from cogeneration to biomethane injection. Fifth, tensions develop between rural place-based imaginaries and the realities of globalized energy networks. These patterns underscore the complexity of biogas sector-building in Europe and the competing narratives shaping its evolution. We argue that agricultural AD cannot be reduced to a unified trajectory, but reflects ongoing negotiations over energy models, territorial development and socio-technical legitimacy. This paper concludes by discussing the implications of these dynamics for the sustainability and fairness of future b</w:t>
      </w:r>
    </w:p>
    <w:p>
      <w:pPr/>
      <w:r>
        <w:rPr>
          <w:b/>
        </w:rPr>
        <w:t>POSSIBLE 2024:</w:t>
      </w:r>
      <w:r>
        <w:t xml:space="preserve"> Duckweed: Growth factor and applications in nonfood, food, and health — https://doi.org/10.1002/fsh3.12078</w:t>
      </w:r>
    </w:p>
    <w:p>
      <w:pPr/>
      <w:r>
        <w:rPr>
          <w:b/>
        </w:rPr>
        <w:t>Shared claim-specific concepts:</w:t>
      </w:r>
      <w:r>
        <w:t xml:space="preserve"> nonfood, biofuel, abstract; EU scope not established. This is a provisional connection, not an outcome finding.</w:t>
      </w:r>
    </w:p>
    <w:p>
      <w:pPr>
        <w:pStyle w:val="SourceNote"/>
      </w:pPr>
      <w:r>
        <w:rPr>
          <w:b/>
        </w:rPr>
        <w:t>Available abstract (not full text):</w:t>
      </w:r>
      <w:r>
        <w:t xml:space="preserve"> Abstract Duckweeds are aquatic plants and mainly constitute of five genera, Lemna, Spirodela, Wolffia , Wolffiella, and Landoltia. These are the smallest plants yet having a rapid growth rate. Hence, duckweeds are sustainable food sources for humans and animals, as well as sustainable feedstocks for biochemical production. Previously, duckweeds were discovered for their vital role in water purification by metabolizing chemicals and waste. However, many recent studies have discovered that duckweeds have a high amount of nutrients, which makes them a great substitute in human diets and animal feed. Their nutrient composition and growth rate are greatly affected by environmental factors. Hence, this review summarizes the characteristics of duckweeds, growth rate factors, and their applications in nonfood, food, and health. Duckweeds could improve health due to their large amounts of macro‐ and micronutrients. Future studies on the safety measures and duckweed culture are strongly recommended to safeguard the quality of the plants. Besides that, duckweeds have great potential to be used as heavy metals or contaminants absorbent, as well as a sustainable feedstock for biofuel production.</w:t>
      </w:r>
    </w:p>
    <w:p>
      <w:pPr/>
      <w:r>
        <w:rPr>
          <w:b/>
        </w:rPr>
        <w:t>POSSIBLE 2024:</w:t>
      </w:r>
      <w:r>
        <w:t xml:space="preserve"> Effects of different renewable electricity diffusion paths and restricted european cooperation on Europe's hydrogen supply — https://doi.org/10.1016/j.esr.2024.101589</w:t>
      </w:r>
    </w:p>
    <w:p>
      <w:pPr/>
      <w:r>
        <w:rPr>
          <w:b/>
        </w:rPr>
        <w:t>Shared claim-specific concepts:</w:t>
      </w:r>
      <w:r>
        <w:t xml:space="preserve"> show, increase, technologies, renewable, union, based; EU scope visible. This is a provisional connection, not an outcome finding.</w:t>
      </w:r>
    </w:p>
    <w:p>
      <w:pPr>
        <w:pStyle w:val="SourceNote"/>
      </w:pPr>
      <w:r>
        <w:rPr>
          <w:b/>
        </w:rPr>
        <w:t>Available abstract (not full text):</w:t>
      </w:r>
      <w:r>
        <w:t xml:space="preserve"> Today, most hydrogen production is based on natural gas and occurs locally at the demand sites. However, according to many studies, hydrogen generation will shift to greenhouse gas (GHG)-neutral sources and supply, substantially increasing demands to meet ambitious climate protection targets in the European Union. Therefore, the model-based analysis in this paper addresses where hydrogen will come from in a GHG-neutral target system. A scenario study examines different expansion paths of renewable energy generation technologies and variations in European cooperation regarding energy trading. The model results show that a domestic European hydrogen supply strategy is cost-efficient. This result is robust even with higher self-sufficiency shares of individual countries. However, delayed or restricted expansions of renewable electricity generation technologies lead to increased hydrogen demands for power generation and increased pipeline-bound hydrogen imports in winter from the Middle East and North Africa in the model results. Furthermore, scenarios with higher photovoltaic shares exhibit increased demand for hydrogen storage for seasonal energy supply and demand balancing and increased hydrogen demands for power generation. A cost-efficient hydrogen supply strategy should, therefore, particularly focus on the expansion of onshore wind energy and hydrogen supply technologies in </w:t>
      </w:r>
    </w:p>
    <w:p>
      <w:pPr/>
      <w:r>
        <w:rPr>
          <w:b/>
        </w:rPr>
        <w:t>POSSIBLE 2024:</w:t>
      </w:r>
      <w:r>
        <w:t xml:space="preserve"> Bioenergy in Europe is unlikely to make a timely contribution to climate change targets — https://doi.org/10.1088/1748-9326/ad2d11</w:t>
      </w:r>
    </w:p>
    <w:p>
      <w:pPr/>
      <w:r>
        <w:rPr>
          <w:b/>
        </w:rPr>
        <w:t>Shared claim-specific concepts:</w:t>
      </w:r>
      <w:r>
        <w:t xml:space="preserve"> abstract, fuel, union; EU scope visible. This is a provisional connection, not an outcome finding.</w:t>
      </w:r>
    </w:p>
    <w:p>
      <w:pPr>
        <w:pStyle w:val="SourceNote"/>
      </w:pPr>
      <w:r>
        <w:rPr>
          <w:b/>
        </w:rPr>
        <w:t>Available abstract (not full text):</w:t>
      </w:r>
      <w:r>
        <w:t xml:space="preserve"> Abstract Increasing bioenergy production is a significant component of European efforts to mitigate climate change, but has contested potential for reducing emissions. We use an integrated land system model to explore the effects of large-scale bioenergy production within the European Union on carbon balances. We find that increased bioenergy crop production is likely to cause substantial deforestation and a commensurate loss of associated carbon stocks largely due to displacement of food production from other areas. Deforestation would occur either within the EU if European forests were not protected, or in other parts of the world arising from indirect land use change if European forests were protected. The net carbon benefit of bioenergy production is largely negative, or uncertain, even under the most optimistic levels of fossil fuel replacement, and will not offset initial carbon losses over the coming 50 yr. The growth of intensive agriculture required to satisfy the demand for bioenergy and food will have negative impacts on crucial ecosystem services. Overall, we identify substantial disadvantages to increasing bioenergy production relative to freeing land for natural succession. At best, large-scale bioenergy production is likely to be irrelevant to time-sensitive climate targets.</w:t>
      </w:r>
    </w:p>
    <w:p>
      <w:pPr/>
      <w:r>
        <w:rPr>
          <w:b/>
        </w:rPr>
        <w:t>POSSIBLE 2023:</w:t>
      </w:r>
      <w:r>
        <w:t xml:space="preserve"> Impact of Digital Transformation on the Spatial Organization of Nonfood Retail in a Russian City — https://doi.org/10.1134/s2079970523700910</w:t>
      </w:r>
    </w:p>
    <w:p>
      <w:pPr/>
      <w:r>
        <w:rPr>
          <w:b/>
        </w:rPr>
        <w:t>Shared claim-specific concepts:</w:t>
      </w:r>
      <w:r>
        <w:t xml:space="preserve"> nonfood, abstract; EU scope not established. This is a provisional connection, not an outcome finding.</w:t>
      </w:r>
    </w:p>
    <w:p>
      <w:pPr>
        <w:pStyle w:val="SourceNote"/>
      </w:pPr>
      <w:r>
        <w:rPr>
          <w:b/>
        </w:rPr>
        <w:t>Available abstract (not full text):</w:t>
      </w:r>
      <w:r>
        <w:t xml:space="preserve"> Abstract — The objective of this study is to reveal what has changed under the influence of digital transformation in the “physical” spatial structure of the retail/purchase process in connection with the emergence of a choice between online and offline “spaces,” or environments, as well as how e-commerce has changed the “physical” spatial principles of organizing nonfood retail in a Russian city with a case study of St. Petersburg. The principles of placement of new e-commerce facilities were analyzed by comparing various shopping models and spatiotemporal systems formed by them, including specific objects (warehouses-stores, warehouses-distributors, order pickup points and parcel terminals), features of interaction between retail actors and transport and logistics flows in the city. Two opposing trends in the placement of new types of retail facilities are described: towards the transfer of the trading function to non-trading premises and the transfer of the non-trading retail function to retail premises. They create spatial competition with traditional retail as well as a new hierarchical competition with office and warehouse business types. The trend towards retail infrastructure for durable goods to be within walking distance means the rollout of a new type of competition for locations: with FMCG sellers. The fact that in delivery the logistics of the “last mile” passes fr</w:t>
      </w:r>
    </w:p>
    <w:p>
      <w:pPr/>
      <w:r>
        <w:rPr>
          <w:b/>
        </w:rPr>
        <w:t>POSSIBLE 2023:</w:t>
      </w:r>
      <w:r>
        <w:t xml:space="preserve"> Optimization of Media Strategy via Marketing Mix Modeling in Retailing — https://doi.org/10.15388/ekon.2023.102.1.1</w:t>
      </w:r>
    </w:p>
    <w:p>
      <w:pPr/>
      <w:r>
        <w:rPr>
          <w:b/>
        </w:rPr>
        <w:t>Shared claim-specific concepts:</w:t>
      </w:r>
      <w:r>
        <w:t xml:space="preserve"> nonfood, developed, based; EU scope not established. This is a provisional connection, not an outcome finding.</w:t>
      </w:r>
    </w:p>
    <w:p>
      <w:pPr>
        <w:pStyle w:val="SourceNote"/>
      </w:pPr>
      <w:r>
        <w:rPr>
          <w:b/>
        </w:rPr>
        <w:t>Available abstract (not full text):</w:t>
      </w:r>
      <w:r>
        <w:t xml:space="preserve"> The paper describes the marketing mix modeling results for companies in nonfood retailing. The main objectives of the research are to demonstrate the viable way of making effective recommendations for optimizing the media strategy by modeling offline and online traffic to the stores based on econometric modeling and to develop a decision support system, which enhance the effective growth of business KPIs and an effective decision-making process. Econometric modeling, deeper data analysis, decision support were implemented on the data of one of the main retailers in Ukraine in a period before the full-scale Russian invasion. Estimating the impact of different communication channels on business results made basis for ROI calculations and optimization of media investments allocation among media channels by periods, video durations, type of advertising and with optimal weekly media pressure. ROMI calculation was based on the results of regression modeling, which estimate the level of traffic and sales generated by each media channel. The information-analytical decision support system based on an interactive dashboard has been developed for improvement of day-by-day business planning and management. The developed framework of regional strategy selection facilitates to the formation of a strategic vision on a regional scale and improves the quality of a regional media strategy.</w:t>
      </w:r>
    </w:p>
    <w:p>
      <w:pPr/>
      <w:r>
        <w:rPr>
          <w:b/>
        </w:rPr>
        <w:t>POSSIBLE 2022:</w:t>
      </w:r>
      <w:r>
        <w:t xml:space="preserve"> A review of product safety regulations in the European Union — https://doi.org/10.1365/s43439-022-00057-8</w:t>
      </w:r>
    </w:p>
    <w:p>
      <w:pPr/>
      <w:r>
        <w:rPr>
          <w:b/>
        </w:rPr>
        <w:t>Shared claim-specific concepts:</w:t>
      </w:r>
      <w:r>
        <w:t xml:space="preserve"> nonfood, technologies, union, based; EU scope visible. This is a provisional connection, not an outcome finding.</w:t>
      </w:r>
    </w:p>
    <w:p>
      <w:pPr>
        <w:pStyle w:val="SourceNote"/>
      </w:pPr>
      <w:r>
        <w:rPr>
          <w:b/>
        </w:rPr>
        <w:t>Available abstract (not full text):</w:t>
      </w:r>
      <w:r>
        <w:t xml:space="preserve"> Product safety has been a concern in Europe ever since the early 1960s. Despite the long and relatively stable historical lineage of product safety regulations, new technologies, changes in the world economy, and other major transformations have in recent years again brought product safety to the forefront of policy debates. As reforms are also underway, there is a motivation to review the complex safety policy framework in the European Union (EU). Thus, building on deliberative policy analysis and an interpretative literature review, this paper reviews the safety policy for nonfood consumer products in the EU. The review covers the historical background and the main laws, administration and enforcement, standardization and harmonization, laws enacted for specific products, notifications delivered by national safety authorities, recalls of dangerous products, and the liability of these. Based on the review and analysis of these themes and the associated literature, some current policy challenges are further discussed.</w:t>
      </w:r>
    </w:p>
    <w:p>
      <w:pPr/>
      <w:r>
        <w:rPr>
          <w:b/>
        </w:rPr>
        <w:t>POSSIBLE 2022:</w:t>
      </w:r>
      <w:r>
        <w:t xml:space="preserve"> Diversification, concentration and renewability of the energy supply in the European Union — https://doi.org/10.1016/j.energy.2022.124097</w:t>
      </w:r>
    </w:p>
    <w:p>
      <w:pPr/>
      <w:r>
        <w:rPr>
          <w:b/>
        </w:rPr>
        <w:t>Shared claim-specific concepts:</w:t>
      </w:r>
      <w:r>
        <w:t xml:space="preserve"> show, present, renewable, fuel, union; EU scope visible. This is a provisional connection, not an outcome finding.</w:t>
      </w:r>
    </w:p>
    <w:p>
      <w:pPr>
        <w:pStyle w:val="SourceNote"/>
      </w:pPr>
      <w:r>
        <w:rPr>
          <w:b/>
        </w:rPr>
        <w:t>Available abstract (not full text):</w:t>
      </w:r>
      <w:r>
        <w:t xml:space="preserve"> Energy security assessment quantifies the energy supply to a population and the likelihood, or risk, of an energy disruption or shortage and represents an important aspect of national security, economic stability and prosperity. The quantification of the state of energy supply is context-dependent and involves multiple perspectives: infrastructural, technological, environmental, market, social and geopolitical. Among all the different and relevant aspects involved, diversity and dependence of the energy fuel mix are two of the main energy security dimensions. The present paper investigates the diversification of the energy supply in Europe, by analysing import dependence, market concentration and renewable energy resource deployment in the European Union over the last decade. The analysis utilises a set of indicators aimed at measuring the fuel mix diversity, market concentration, geopolitical stability, renewable energy share and stochasticity - both at single country and at aggregated European levels. Results show a stable evolution of the diversity of the fuel mix and a relatively low market concentration of the period examined. However, the import dependency reduces the energy security by approximately 30% due to the high proportion of imports from a limited number of countries. Moreover, an increasing trend in renewable electricity production share is evident over the last</w:t>
      </w:r>
    </w:p>
    <w:p>
      <w:pPr/>
      <w:r>
        <w:rPr>
          <w:b/>
        </w:rPr>
        <w:t>POSSIBLE 2022:</w:t>
      </w:r>
      <w:r>
        <w:t xml:space="preserve"> A Review on Supply Costs and Prices of Residual Biomass in Techno-Economic Models for Europe — https://doi.org/10.3390/su14127473</w:t>
      </w:r>
    </w:p>
    <w:p>
      <w:pPr/>
      <w:r>
        <w:rPr>
          <w:b/>
        </w:rPr>
        <w:t>Shared claim-specific concepts:</w:t>
      </w:r>
      <w:r>
        <w:t xml:space="preserve"> show, provided, based; EU scope visible. This is a provisional connection, not an outcome finding.</w:t>
      </w:r>
    </w:p>
    <w:p>
      <w:pPr>
        <w:pStyle w:val="SourceNote"/>
      </w:pPr>
      <w:r>
        <w:rPr>
          <w:b/>
        </w:rPr>
        <w:t>Available abstract (not full text):</w:t>
      </w:r>
      <w:r>
        <w:t xml:space="preserve"> This review paper aims to investigate the supply costs and prices for biogenic residues, wastes and by-products for Europe that are used as key economic parameters for techno-economic analyses in the relevant literature. The scope of the paper is to show: (i) which information on costs and prices is used in techno-economic models; (ii) which sources these monetary values are based on; and (iii) whether these values are able to be compared and classified. The methodology employed in this review paper is a systematic evaluation of the supply costs and prices for residual biomass used as the basis for techno-economic analyses in the literature. Three evaluation criteria (COST TYPE, TIME PERIOD and COST SCOPE) are used to operationalise the scope of the delivery, the time frame and the spatial resolution of the monetary values. The pricing and cost variables UNIT and BIOMASS are also studied. The results show that the supply costs and pricing differ in terms of the units used, the scope of the delivery and the spatial scale, making it difficult to compare individual studies or transfer the findings to other use cases. The costs and pricing examined range from 0.00 EUR/Mg (dm) for “bio-waste from private households” to a regional value of 1097.02 EUR/Mg (dm) for “woody biomass from vineyards”. They are rarely based on cost calculations or price analyses over a period of several year</w:t>
      </w:r>
    </w:p>
    <w:p>
      <w:pPr/>
      <w:r>
        <w:rPr>
          <w:b/>
        </w:rPr>
        <w:t>POSSIBLE 2021:</w:t>
      </w:r>
      <w:r>
        <w:t xml:space="preserve"> An integrated life cycle and water footprint assessment of nonfood crops based bioenergy production — https://doi.org/10.1038/s41598-021-83061-y</w:t>
      </w:r>
    </w:p>
    <w:p>
      <w:pPr/>
      <w:r>
        <w:rPr>
          <w:b/>
        </w:rPr>
        <w:t>Shared claim-specific concepts:</w:t>
      </w:r>
      <w:r>
        <w:t xml:space="preserve"> nonfood, technologies, based; EU scope not established. This is a provisional connection, not an outcome finding.</w:t>
      </w:r>
    </w:p>
    <w:p>
      <w:pPr>
        <w:pStyle w:val="SourceNote"/>
      </w:pPr>
      <w:r>
        <w:rPr>
          <w:b/>
        </w:rPr>
        <w:t>Available abstract (not full text):</w:t>
      </w:r>
      <w:r>
        <w:t xml:space="preserve"> Biomass gasification, especially distribution to power generation, is considered as a promising way to tackle global energy and environmental challenges. However, previous researches on integrated analysis of the greenhouse gases (GHG) abatement potentials associated with biomass electrification are sparse and few have taken the freshwater utilization into account within a coherent framework, though both energy and water scarcity are lying in the central concerns in China's environmental policy. This study employs a Life cycle assessment (LCA) model to analyse the actual performance combined with water footprint (WF) assessment methods. The inextricable trade-offs between three representative energy-producing technologies are explored based on three categories of non-food crops (maize, sorghum and hybrid pennisetum) cultivated in marginal arable land. WF results demonstrate that the Hybrid pennisetum system has the largest impact on the water resources whereas the other two technology options exhibit the characteristics of environmental sustainability. The large variances in contribution ratio between the four sub-processes in terms of total impacts are reflected by the LCA results. The Anaerobic Digestion process is found to be the main contributor whereas the Digestate management process is shown to be able to effectively mitigate the negative environmental impacts with an ab</w:t>
      </w:r>
    </w:p>
    <w:p>
      <w:pPr>
        <w:pStyle w:val="Heading2"/>
      </w:pPr>
      <w:r>
        <w:t>770. Retirement timing in a future welfare state: a Finnish Delphi study</w:t>
      </w:r>
    </w:p>
    <w:p>
      <w:pPr>
        <w:pStyle w:val="SourceNote"/>
      </w:pPr>
      <w:r>
        <w:rPr>
          <w:b/>
        </w:rPr>
        <w:t>Original source (2018):</w:t>
      </w:r>
      <w:r>
        <w:t xml:space="preserve"> https://doi.org/10.1108/ijssp-04-2018-0067</w:t>
      </w:r>
    </w:p>
    <w:p>
      <w:pPr/>
      <w:r>
        <w:t>Original wording (abstract; indexed_source_text_not_full_document_verified): Design/methodology/approach The study employs the Delphi method by interviewing anonymous experts from a variety of relevant organisations and fields in Finland, then sending them a scaled on-line questionnaire from the initial findings to elicit views on the likelihood of different scenarios influencing retirement timing over the next 20 years. Findings While the experts perceived that a raised state pension age and a removal of early retirement options will inevitably delay retirement on average, multiple scenarios were believe to hinder this trend.</w:t>
      </w:r>
    </w:p>
    <w:p>
      <w:pPr/>
      <w:r>
        <w:rPr>
          <w:b/>
        </w:rPr>
        <w:t>POSSIBLE 2026:</w:t>
      </w:r>
      <w:r>
        <w:t xml:space="preserve"> Urban cooperation for sustainable development in Europe: a co-designed methodology to foster multi-level governance — https://doi.org/10.1108/ijpsm-12-2025-0662</w:t>
      </w:r>
    </w:p>
    <w:p>
      <w:pPr/>
      <w:r>
        <w:rPr>
          <w:b/>
        </w:rPr>
        <w:t>Shared claim-specific concepts:</w:t>
      </w:r>
      <w:r>
        <w:t xml:space="preserve"> design, methodology, approach, relevant, findings; EU scope visible. This is a provisional connection, not an outcome finding.</w:t>
      </w:r>
    </w:p>
    <w:p>
      <w:pPr>
        <w:pStyle w:val="SourceNote"/>
      </w:pPr>
      <w:r>
        <w:rPr>
          <w:b/>
        </w:rPr>
        <w:t>Available abstract (not full text):</w:t>
      </w:r>
      <w:r>
        <w:t xml:space="preserve"> Purpose This paper presents and discusses the process employed to co-design and implement a participatory methodology for fostering multi-stakeholder governance within a European Interreg project, named UrbanCOOP. It aims to show how a stakeholder-oriented approach can be operationalized through co-created tools and routines that help regional and local authorities work with their stakeholders on sustainable urban cooperation. Design/methodology/approach The study adopts an action-research design within the Interreg Europe UrbanCOOP project, involving six European regions. The methodology was developed in two main phases: a co-design phase, leading to the co-construction of a stakeholder assessment template (SAT); a joint implementation phase, including progressive stakeholder mapping. Findings The methodology provides a structured process for organizing stakeholder relationships in multi-level governance. It supports continuous engagement rather than one-off consultations, serves as a legitimation tool, functions as a prioritization mechanism by clarifying which stakeholders must be involved and how and broadens the spectrum of actors considered relevant to urban policies. Research limitations/implications The study is based mainly on self-reported data from project partners and on a single Interreg Europe experience with six regions. Future research could test and adapt the m</w:t>
      </w:r>
    </w:p>
    <w:p>
      <w:pPr/>
      <w:r>
        <w:rPr>
          <w:b/>
        </w:rPr>
        <w:t>POSSIBLE 2026:</w:t>
      </w:r>
      <w:r>
        <w:t xml:space="preserve"> Fuzzy Delphi method for content validation in applied linguistics instrument design: A multi-stakeholder case study — https://doi.org/10.1016/j.rmal.2026.100321</w:t>
      </w:r>
    </w:p>
    <w:p>
      <w:pPr/>
      <w:r>
        <w:rPr>
          <w:b/>
        </w:rPr>
        <w:t>Shared claim-specific concepts:</w:t>
      </w:r>
      <w:r>
        <w:t xml:space="preserve"> design, delphi, method;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Sources of (Dis-)Identification with Europe: A Q-Methodological Approach — https://doi.org/10.1080/15283488.2026.2664567</w:t>
      </w:r>
    </w:p>
    <w:p>
      <w:pPr/>
      <w:r>
        <w:rPr>
          <w:b/>
        </w:rPr>
        <w:t>Shared claim-specific concepts:</w:t>
      </w:r>
      <w:r>
        <w:t xml:space="preserve"> approach, findings, views; EU scope visible. This is a provisional connection, not an outcome finding.</w:t>
      </w:r>
    </w:p>
    <w:p>
      <w:pPr>
        <w:pStyle w:val="SourceNote"/>
      </w:pPr>
      <w:r>
        <w:rPr>
          <w:b/>
        </w:rPr>
        <w:t>Available abstract (not full text):</w:t>
      </w:r>
      <w:r>
        <w:t xml:space="preserve"> Although attachment to Europe has been widely studied, less is known about the motivations underlying identification and disidentification. This article addresses this gap by uncovering these dynamics through an illustrative study in Germany. We argue that the meaning of “Europe” varies among individuals and different aspects of Europe have different influences on (dis-)identification. In a Q-methodological online study, 80 German participants were asked to sort different aspects of Europe according to their perceived strengthening vs. weakening influence on attachment which were complemented by post-sorting interviews. Four perspectives on European (dis-)identification were revealed: (1) Cultural–utilitarian attachment centered on travel, leisure, and cultural exchange, with criticism of EU policies (EU-opportunistic), (2) achievement-based attachment focused on economic and scientific performance, with exclusionary views on belonging (EU-centric), (3) values-driven attachment emphasizing democracy, human rights, and inclusivity, alongside critique of inequality and bureaucracy (EU-values), and (4) unity-oriented attachment stressing internal solidarity and shared values, paired with exclusionary attitudes toward outsiders (EU-unity). The findings suggest the presence of different images of Europe, in which various reasons for attachment are weighed against one another when in</w:t>
      </w:r>
    </w:p>
    <w:p>
      <w:pPr/>
      <w:r>
        <w:rPr>
          <w:b/>
        </w:rPr>
        <w:t>POSSIBLE 2025:</w:t>
      </w:r>
      <w:r>
        <w:t xml:space="preserve"> Design anthropology as a design methodology — https://doi.org/10.4324/9781003343134-15</w:t>
      </w:r>
    </w:p>
    <w:p>
      <w:pPr/>
      <w:r>
        <w:rPr>
          <w:b/>
        </w:rPr>
        <w:t>Shared claim-specific concepts:</w:t>
      </w:r>
      <w:r>
        <w:t xml:space="preserve"> design, methodology, fields; EU scope not established. This is a provisional connection, not an outcome finding.</w:t>
      </w:r>
    </w:p>
    <w:p>
      <w:pPr>
        <w:pStyle w:val="SourceNote"/>
      </w:pPr>
      <w:r>
        <w:rPr>
          <w:b/>
        </w:rPr>
        <w:t>Available abstract (not full text):</w:t>
      </w:r>
      <w:r>
        <w:t xml:space="preserve"> Anthropology, architecture, and design have in common that they observe, describe, and propose. Their orientations, as Ingold argues, are as much towards human futures as towards human pasts: these are futures, however, that are not conjured from thin air but forged in the crucible of contemporary social lives. Here, it is important to challenge conventional thinking regarding the nature of design and creativity that acknowledges the improvisatory skills and perceptual acuity of people. Learning from the successes and failures of design processes and practices requires an understanding of how people are affected and effected by the outputs of design processes and practices. As an anthropologist, my research is concerned with the affects and effects that design processes have on people who engage with products, buildings, and urban landscapes. This has been underpinned by a longer-term aim to understand how people’s sensory experience and perceptual acuity can be involved during architectural and design engineering processes and future-making practices. Central to this inquiry, I argue it is necessary to make partial connections between the movements of designing and movements of ongoing intra-action . In the fields of architectural design and design engineering, I ask what kind of forms and material practices we could imagine being made in the future based on this proposition. </w:t>
      </w:r>
    </w:p>
    <w:p>
      <w:pPr/>
      <w:r>
        <w:rPr>
          <w:b/>
        </w:rPr>
        <w:t>POSSIBLE 2025:</w:t>
      </w:r>
      <w:r>
        <w:t xml:space="preserve"> Determining design thinking elements in chemistry education: A Fuzzy Delphi method — https://doi.org/10.26850/1678-4618.eq.v50.2025.e1566</w:t>
      </w:r>
    </w:p>
    <w:p>
      <w:pPr/>
      <w:r>
        <w:rPr>
          <w:b/>
        </w:rPr>
        <w:t>Shared claim-specific concepts:</w:t>
      </w:r>
      <w:r>
        <w:t xml:space="preserve"> design, delphi, method, experts, findings; EU scope not established. This is a provisional connection, not an outcome finding.</w:t>
      </w:r>
    </w:p>
    <w:p>
      <w:pPr>
        <w:pStyle w:val="SourceNote"/>
      </w:pPr>
      <w:r>
        <w:rPr>
          <w:b/>
        </w:rPr>
        <w:t>Available abstract (not full text):</w:t>
      </w:r>
      <w:r>
        <w:t xml:space="preserve"> Creating a high-quality learning environment where students can solve real-world problems and be receptive is essential for fostering students’ innovation competencies. Using appropriate pedagogical strategies and classroom activities is a crucial aspect of Malaysian education. This article uses the Fuzzy Delphi Method (FDM) to design chemistry classroom teaching strategies based on the design thinking paradigm. This research involves 12 experts in purposive sampling to form a diverse panel encompassing expertise in Chemistry Education, Curriculum, Module Development, Research, and Innovation. Using the Fuzzy Delphi method (FDM), the data were analyzed. Four elements for exploratory constructs, two elements for construct interpretation, four elements for ideation, two elements for execution, and three elements for construct evolution met the FDM requirements, according to the findings. Its threshold value is less than 0.2, the expert consensus is less than 75%, and the average score of the fuzzy number is over 0.5. Encouraging design thinking in chemistry classes and thereby enhancing students’ innovation skills, this research unquestionably induces a paradigm shift in teaching practice.</w:t>
      </w:r>
    </w:p>
    <w:p>
      <w:pPr/>
      <w:r>
        <w:rPr>
          <w:b/>
        </w:rPr>
        <w:t>POSSIBLE 2025:</w:t>
      </w:r>
      <w:r>
        <w:t xml:space="preserve"> The impact of the European Union on graphic design — https://doi.org/10.58534/3eg54v9evz</w:t>
      </w:r>
    </w:p>
    <w:p>
      <w:pPr/>
      <w:r>
        <w:rPr>
          <w:b/>
        </w:rPr>
        <w:t>Shared claim-specific concepts:</w:t>
      </w:r>
      <w:r>
        <w:t xml:space="preserve"> design, methodology, approach; EU scope visible. This is a provisional connection, not an outcome finding.</w:t>
      </w:r>
    </w:p>
    <w:p>
      <w:pPr>
        <w:pStyle w:val="SourceNote"/>
      </w:pPr>
      <w:r>
        <w:rPr>
          <w:b/>
        </w:rPr>
        <w:t>Available abstract (not full text):</w:t>
      </w:r>
      <w:r>
        <w:t xml:space="preserve"> This study investigates the presence of the concept of Europe in the naming of Spanish companies, examining how the word “Europe” and its derivatives are represented in imagotypes, along with the accompanying graphic elements. The methodology employed is known as content analysis, applied with a quantitative approach. The research corpus sample consists of eighteen elements, which are the brand images of private educational institutions in Madrid for the year 2023, according to the website of the Ministry of Education and Vocational Training (educacion.gob.es). The results show recurring patterns in the design of brand images through the imagotypes that evoke the idea of Europe, confirming the cultural and business link between Spain and Europe.</w:t>
      </w:r>
    </w:p>
    <w:p>
      <w:pPr/>
      <w:r>
        <w:rPr>
          <w:b/>
        </w:rPr>
        <w:t>POSSIBLE 2025:</w:t>
      </w:r>
      <w:r>
        <w:t xml:space="preserve"> Exploring the future of Mobility as a Service (MaaS): A co-design approach to scenario planning in European cities — https://doi.org/10.1016/j.urbmob.2025.100133</w:t>
      </w:r>
    </w:p>
    <w:p>
      <w:pPr/>
      <w:r>
        <w:rPr>
          <w:b/>
        </w:rPr>
        <w:t>Shared claim-specific concepts:</w:t>
      </w:r>
      <w:r>
        <w:t xml:space="preserve"> methodology, approach, employs, experts; EU scope visible. This is a provisional connection, not an outcome finding.</w:t>
      </w:r>
    </w:p>
    <w:p>
      <w:pPr>
        <w:pStyle w:val="SourceNote"/>
      </w:pPr>
      <w:r>
        <w:rPr>
          <w:b/>
        </w:rPr>
        <w:t>Available abstract (not full text):</w:t>
      </w:r>
      <w:r>
        <w:t xml:space="preserve"> This article contributes to the discourse on Mobility as a Service (MaaS) by presenting four plausible scenarios for its development in Europe up to 2030. Unlike previous scenario studies, which often relied on desk research or focused on narrow contexts, this study employs a co-design methodology that involved interdisciplinary experts from both public and private sectors across Europe. Their perspectives are integrated throughout the process, from identifying key uncertainties to building the scenario narratives. This approach supports a comprehensive understanding of the challenges and opportunities shaping MaaS futures. The four resulting scenarios (i.e. Mobility Walled Garden, Open Data Power in Standby, Everyone on Their Own , and Open Ecosystem ) reflect how different configurations of market competition and API openness shape the trajectory of MaaS. While open standards and interoperability emerge as key enablers, their impact depends on the presence of supportive governance and institutional coordination. Imbalances, such as strong data frameworks without market diversity, or open competition with fragmented and poorly coordinated services, can weaken long-term system resilience. The scenario framework offers a structured lens for anticipating these tensions and guiding strategic decisions in MaaS development.</w:t>
      </w:r>
    </w:p>
    <w:p>
      <w:pPr/>
      <w:r>
        <w:rPr>
          <w:b/>
        </w:rPr>
        <w:t>POSSIBLE 2024:</w:t>
      </w:r>
      <w:r>
        <w:t xml:space="preserve"> Methodologies for the design of positive energy districts: A scoping literature review and a proposal for a new approach (PlanPED) — https://doi.org/10.1016/j.buildenv.2024.111667</w:t>
      </w:r>
    </w:p>
    <w:p>
      <w:pPr/>
      <w:r>
        <w:rPr>
          <w:b/>
        </w:rPr>
        <w:t>Shared claim-specific concepts:</w:t>
      </w:r>
      <w:r>
        <w:t xml:space="preserve"> design, approach, then; EU scope visible. This is a provisional connection, not an outcome finding.</w:t>
      </w:r>
    </w:p>
    <w:p>
      <w:pPr>
        <w:pStyle w:val="SourceNote"/>
      </w:pPr>
      <w:r>
        <w:rPr>
          <w:b/>
        </w:rPr>
        <w:t>Available abstract (not full text):</w:t>
      </w:r>
      <w:r>
        <w:t xml:space="preserve"> Cities can substantially contribute to European Green Deal targets by accelerating their transition towards smarter, more efficient, and renewable-based energy models. In that context, European cities need to increase their self-sufficiency and the resilience of their energy system especially through the promotion of district and neighbourhood scale energy projects such as positive energy districts (PEDs). Despite the increasing interest for PEDs experienced in the last years, their deployment is currently hindered by the absence of an energy planning culture and the lack of adequately skilled personnel in cities. Indeed, there is a strong need for practical tools and guidelines that support practitioners in the design and implementation of PEDs. In that context, the present paper introduces PlanPED, a framework for the conception of methodologies for PED planning, design, and implementation, to support municipalities in their energy transition. PlanPED aims at providing a multiple perspective approach based on the most important elements from existing methodologies. In that sense, the paper begins with an overview of the state of the art, leading to the identification of trends, gaps, and good practices of current research. Then, based on this analysis, the novel framework PlanPED is introduced. It consists of three interconnected workflows that, if followed, enables to know w</w:t>
      </w:r>
    </w:p>
    <w:p>
      <w:pPr/>
      <w:r>
        <w:rPr>
          <w:b/>
        </w:rPr>
        <w:t>POSSIBLE 2024:</w:t>
      </w:r>
      <w:r>
        <w:t xml:space="preserve"> A Methodology for Intercultural Design — https://doi.org/10.30682/diid8224j</w:t>
      </w:r>
    </w:p>
    <w:p>
      <w:pPr/>
      <w:r>
        <w:rPr>
          <w:b/>
        </w:rPr>
        <w:t>Shared claim-specific concepts:</w:t>
      </w:r>
      <w:r>
        <w:t xml:space="preserve"> design, methodology, approach; EU scope visible. This is a provisional connection, not an outcome finding.</w:t>
      </w:r>
    </w:p>
    <w:p>
      <w:pPr>
        <w:pStyle w:val="SourceNote"/>
      </w:pPr>
      <w:r>
        <w:rPr>
          <w:b/>
        </w:rPr>
        <w:t>Available abstract (not full text):</w:t>
      </w:r>
      <w:r>
        <w:t xml:space="preserve"> Issues concerning integration and the relations between different ethnic groups within a changing contemporary society are becoming increasingly prominent in the social and scientific debate. Design skills can be employed as a tool to systematise this multiplicity, promoting innovation that respects diversity, comparison, and interaction between people and cultures. The purpose of this paper is to provide a synthesis of a research experience, the development of a new Islamic Cultural Centre in the city of Turin (Italy), in which the intercultural design approach constitutes the founding theoretical and methodological basis for the development of the project. Starting from the analysis of experiences developed in the field of national and international research, the authors developed a methodological approach to the theme of designing to promote intercultural dialogue, furthermore establishing collaboration agreements with local authorities for the development of the Cultural Centre.</w:t>
      </w:r>
    </w:p>
    <w:p>
      <w:pPr/>
      <w:r>
        <w:rPr>
          <w:b/>
        </w:rPr>
        <w:t>POSSIBLE 2023:</w:t>
      </w:r>
      <w:r>
        <w:t xml:space="preserve"> Design displacement for lifelines at fault crossings: the code-based approach for Europe — https://doi.org/10.1007/s10518-023-01813-9</w:t>
      </w:r>
    </w:p>
    <w:p>
      <w:pPr/>
      <w:r>
        <w:rPr>
          <w:b/>
        </w:rPr>
        <w:t>Shared claim-specific concepts:</w:t>
      </w:r>
      <w:r>
        <w:t xml:space="preserve"> design, methodology, approach; EU scope visible. This is a provisional connection, not an outcome finding.</w:t>
      </w:r>
    </w:p>
    <w:p>
      <w:pPr>
        <w:pStyle w:val="SourceNote"/>
      </w:pPr>
      <w:r>
        <w:rPr>
          <w:b/>
        </w:rPr>
        <w:t>Available abstract (not full text):</w:t>
      </w:r>
      <w:r>
        <w:t xml:space="preserve"> Abstract The earthquake-resistant design of lifelines, such as pipelines, tunnels and bridges, is based on the reliable representation and estimation of the seismic loading. In the case of lifeline–fault crossings, the design fault displacement is typically derived from estimates based on fault dimensions via empirical fault scaling relations for a given “design” scenario event. This approach comes with an unknown level of safety because the fault productivity and the actual distribution of earthquake events are essentially disregarded. To overcome this challenge, a simplified approach is proposed by statistically analyzing the outcome of probabilistic fault displacement hazard analyses (PFDHAs). A selection of faults from the 2020 European Fault-Source Model is used to build the logic tree and to set the range of parameters considered in the PFDHAs. The methodology allows the (mostly conservative) approximation of the fault displacement corresponding to any given return period based on readily available data, namely fault productivity, fault mechanism, fault length, and lifeline crossing location on the fault. The proposed methodology has been proposed and adopted as an informative Annex in prEN 1998-4:2022.</w:t>
      </w:r>
    </w:p>
    <w:p>
      <w:pPr/>
      <w:r>
        <w:rPr>
          <w:b/>
        </w:rPr>
        <w:t>POSSIBLE 2023:</w:t>
      </w:r>
      <w:r>
        <w:t xml:space="preserve"> A Novel Integrated Design Methodology for Nature-Based Solutions and Soil and Water Bioengineering Interventions: The Tardio&amp;Mickovski Methodology — https://doi.org/10.3390/su15043044</w:t>
      </w:r>
    </w:p>
    <w:p>
      <w:pPr/>
      <w:r>
        <w:rPr>
          <w:b/>
        </w:rPr>
        <w:t>Shared claim-specific concepts:</w:t>
      </w:r>
      <w:r>
        <w:t xml:space="preserve"> design, methodology, approach; EU scope visible. This is a provisional connection, not an outcome finding.</w:t>
      </w:r>
    </w:p>
    <w:p>
      <w:pPr>
        <w:pStyle w:val="SourceNote"/>
      </w:pPr>
      <w:r>
        <w:rPr>
          <w:b/>
        </w:rPr>
        <w:t>Available abstract (not full text):</w:t>
      </w:r>
      <w:r>
        <w:t xml:space="preserve"> A methodology for designing nature-based solutions (NBS) and soil and water bioengineering (SWB) works is proposed which includes the main particularities of this type of intervention. The dynamic nature of NBS/SWB works, their most important changes and possible critical scenarios are reflected in the proposed methodology. A clear and practical time framework for design checks is also defined. Existing structural design routines and plant root reinforcement models are integrated into the proposed time staged scheme. Likewise, the connections with the monitoring stage and the possibilities of continuous improvement are incorporated as an essential characteristic of the approach of this type of intervention. The proposed methodology is validated by means of a practical case study example embracing the whole service life of an SWB/NBS intervention. The obtained results are in good agreement with both the accumulated experience within the European SWB sector and the existing data collected in SWB monitoring works. The proposed methodology can be readily implemented in a wide range of nature restoration projects and works.</w:t>
      </w:r>
    </w:p>
    <w:p>
      <w:pPr/>
      <w:r>
        <w:rPr>
          <w:b/>
        </w:rPr>
        <w:t>POSSIBLE 2023:</w:t>
      </w:r>
      <w:r>
        <w:t xml:space="preserve"> Methodological approach for an Atlas of architectural design in built heritage: contributions of the School of Porto — https://doi.org/10.1108/jchmsd-08-2023-0131</w:t>
      </w:r>
    </w:p>
    <w:p>
      <w:pPr/>
      <w:r>
        <w:rPr>
          <w:b/>
        </w:rPr>
        <w:t>Shared claim-specific concepts:</w:t>
      </w:r>
      <w:r>
        <w:t xml:space="preserve"> design, methodology, approach, findings; EU scope visible. This is a provisional connection, not an outcome finding.</w:t>
      </w:r>
    </w:p>
    <w:p>
      <w:pPr>
        <w:pStyle w:val="SourceNote"/>
      </w:pPr>
      <w:r>
        <w:rPr>
          <w:b/>
        </w:rPr>
        <w:t>Available abstract (not full text):</w:t>
      </w:r>
      <w:r>
        <w:t xml:space="preserve"> Purpose This research seeks to provide methodological bases for the identification, documentation and critical reflection of good practices of architectural design in built heritage. These are applied explicitly to the School of Porto architects, which express a high sense of pedagogy and community practice in this field. The methodological approach defines the selection criteria for a georeferenced inventory and the procedures for in-depth analysis of adaptive reuse strategies. Design/methodology/approach The works included in the inventory were selected according to geographical, chronological, typological, qualitative and quantitative criteria. The cases chosen for in-depth analysis have been studied along four thematic axes to dissect all the intervention processes (previous state, design/construction and final state). This approach is supported by a cross-analysis of different sources (oral, written, graphic) and using drawing as a fundamental research tool. Findings The research has collected and disseminated up to 150 works by 44 architects, providing a comprehensive portrait of heritage intervention by the School of Porto over the past decades. The selection of 22 buildings for in-depth documentation reveals a particular sensibility toward the cultural values through a case-by-case approach based in deep knowledge of the preexisting context and the introduction of conte</w:t>
      </w:r>
    </w:p>
    <w:p>
      <w:pPr>
        <w:pStyle w:val="Heading2"/>
      </w:pPr>
      <w:r>
        <w:t>771. South East Europe electricity roadmap – modelling energy transition in the electricity sectors</w:t>
      </w:r>
    </w:p>
    <w:p>
      <w:pPr>
        <w:pStyle w:val="SourceNote"/>
      </w:pPr>
      <w:r>
        <w:rPr>
          <w:b/>
        </w:rPr>
        <w:t>Original source (2018):</w:t>
      </w:r>
      <w:r>
        <w:t xml:space="preserve"> https://doi.org/10.1080/14693062.2018.1532390</w:t>
      </w:r>
    </w:p>
    <w:p>
      <w:pPr/>
      <w:r>
        <w:t>Original wording (abstract; indexed_source_text_not_full_document_verified): It also explores what are the most important system wide impacts of the high deployment of renewable energy concerning generation adequacy and security of supply.Key policy insights Energy policies in the South East Europe (SEE) region, both at the national and regional level, should focus on enabling renewable energy integration, as this will be a key component of the future energy mix.EU and Energy Community policies should be incorporated into national energy planning to ensure that SEE countries embark on the energy transition process at an early stage.Stranded costs should be carefully considered in decision-making on new fossil-fuel generation and gas network investment in order to avoid lock-in to carbon intensive technologies.If consistent decarbonization policy prevails, with a significant and persistent CO2 price signal, the role of natural gas remains transitory in the region.The SEE region offers relatively cheap decarbonization options: the power sector can reduce GHG emissions above 94% by 2050 in the modelled scenarios.</w:t>
      </w:r>
    </w:p>
    <w:p>
      <w:pPr/>
      <w:r>
        <w:rPr>
          <w:b/>
        </w:rPr>
        <w:t>POSSIBLE 2026:</w:t>
      </w:r>
      <w:r>
        <w:t xml:space="preserve"> Unveiling the environmental impact of earthquakes in Europe — https://doi.org/10.1038/s41467-025-68120-6</w:t>
      </w:r>
    </w:p>
    <w:p>
      <w:pPr/>
      <w:r>
        <w:rPr>
          <w:b/>
        </w:rPr>
        <w:t>Shared claim-specific concepts:</w:t>
      </w:r>
      <w:r>
        <w:t xml:space="preserve"> also, impacts, region; EU scope visible. This is a provisional connection, not an outcome finding.</w:t>
      </w:r>
    </w:p>
    <w:p>
      <w:pPr>
        <w:pStyle w:val="SourceNote"/>
      </w:pPr>
      <w:r>
        <w:rPr>
          <w:b/>
        </w:rPr>
        <w:t>Available abstract (not full text):</w:t>
      </w:r>
      <w:r>
        <w:t xml:space="preserve"> Abstract Environmental impact assessments in the construction sector often overlook the significant effects of natural hazards, in particular earthquakes. These destructive events pose severe sustainability challenges as they frequently require large-scale repairs and replacement for damaged buildings, demanding the production and use of substantial quantities of building materials. Here, we unveil the environmental toll of earthquakes in Europe, presenting essential environmental data on the continent’s building stock. We further generate novel seismic risk maps that quantify the embodied carbon resulting from seismic-damage repair and reconstruction of residential, commercial, and industrial buildings, considering all plausible earthquake scenarios across the region. To this end, we first develop a comprehensive database of material quantities and embodied carbon factors for a broad range of construction materials and building components. This database serves as a crucial input for a continent-wide probabilistic seismic risk model, which estimates the potential environmental impacts of future earthquakes by analysing over 3 million realistic damage scenarios, each with its own probability of occurrence. Our findings reveal that Europe’s earthquake-exposed building stock embodies nearly 13.4 billion tons of carbon dioxide equivalent (CO2e), with seismic damage alone generating</w:t>
      </w:r>
    </w:p>
    <w:p>
      <w:pPr/>
      <w:r>
        <w:rPr>
          <w:b/>
        </w:rPr>
        <w:t>POSSIBLE 2026:</w:t>
      </w:r>
      <w:r>
        <w:t xml:space="preserve"> Exploring adherence to the International Confederation of Midwives’ Essential Competencies in Europe — https://doi.org/10.18332/ejm/224435</w:t>
      </w:r>
    </w:p>
    <w:p>
      <w:pPr/>
      <w:r>
        <w:rPr>
          <w:b/>
        </w:rPr>
        <w:t>Shared claim-specific concepts:</w:t>
      </w:r>
      <w:r>
        <w:t xml:space="preserve"> key, insights, national; EU scope visible. This is a provisional connection, not an outcome finding.</w:t>
      </w:r>
    </w:p>
    <w:p>
      <w:pPr>
        <w:pStyle w:val="SourceNote"/>
      </w:pPr>
      <w:r>
        <w:rPr>
          <w:b/>
        </w:rPr>
        <w:t>Available abstract (not full text):</w:t>
      </w:r>
      <w:r>
        <w:t xml:space="preserve"> INTRODUCTION: Midwives play a critical role in improving maternal and neonatal outcomes, with midwifery-led care proven to reduce unnecessary interventions and empower women. Yet, across Europe, systemic and cultural barriers continue to hinder midwives' ability to fully adhere to global standards such as the International Confederation of Midwives (ICM) essential competencies. METHODS: A qualitative study captured the perspectives of ten midwives from five European countries: UK, Germany, Belgium, Bulgaria, and Italy. Purposive sampling captured diverse representation from midwives working within national regulatory frameworks and practicing independently. Semi-structured interviews provided rich insights into essential competencies adherence, with thematic analysis revealing key trends. RESULTS: Participants identified shared challenges, including societal undervaluation of the midwifery profession, workforce strain, and restrictive legislations, alongside regional differences including governance barriers and lack of regulation of out-of-hospital births. Benefits to adherence to ICM competencies included enhanced autonomy and opportunities for international collaboration. Overarching themes were structural and cultural as external dynamics, and professional as internal dynamics. The former included medicalization, subordinate role of midwives, and regulatory barriers, wherea</w:t>
      </w:r>
    </w:p>
    <w:p>
      <w:pPr/>
      <w:r>
        <w:rPr>
          <w:b/>
        </w:rPr>
        <w:t>POSSIBLE 2025:</w:t>
      </w:r>
      <w:r>
        <w:t xml:space="preserve"> Challenges in the micropropagation of economically important fruit species in Europe — https://doi.org/10.1007/s11240-025-03165-5</w:t>
      </w:r>
    </w:p>
    <w:p>
      <w:pPr/>
      <w:r>
        <w:rPr>
          <w:b/>
        </w:rPr>
        <w:t>Shared claim-specific concepts:</w:t>
      </w:r>
      <w:r>
        <w:t xml:space="preserve"> also, important, high; EU scope visible. This is a provisional connection, not an outcome finding.</w:t>
      </w:r>
    </w:p>
    <w:p>
      <w:pPr>
        <w:pStyle w:val="SourceNote"/>
      </w:pPr>
      <w:r>
        <w:rPr>
          <w:b/>
        </w:rPr>
        <w:t>Available abstract (not full text):</w:t>
      </w:r>
      <w:r>
        <w:t xml:space="preserve"> Commercial micropropagation plays a crucial role in increasing the production of many economically important fruit crops worldwide, including Europe. The focus has been on many woody horticultural species, such as stone and pome fruits, berries, nuts, and palms. This paper presents an updated overview of the European commercial micropropagation landscape, highlighting the countries currently operating in this sector, crop targets, and the distribution of micropropagation companies based on recent survey data. In Europe and the broader Mediterranean basin, Italy, Spain, Türkiye, and Germany emerge as the leading contributors to the large-scale in vitro production of woody fruit species, based on the number of operating commercial companies and efforts to adopt new technology. Despite this progress, several challenges limit the scalability and sustainability of in vitro propagation systems, and their expansion in underrepresented countries. These main issues include species recalcitrance, high labour and infrastructure costs, further improvement of stock maintenance capacity, logistical issues in plantlet shipment, and barriers related to intellectual property rights. To address these challenges, this paper discusses solutions such as utilizing automation and robotics, exploring new compounds to enhance micropropagation rates, and using European funding opportunities. Furthermore</w:t>
      </w:r>
    </w:p>
    <w:p>
      <w:pPr/>
      <w:r>
        <w:rPr>
          <w:b/>
        </w:rPr>
        <w:t>POSSIBLE 2024:</w:t>
      </w:r>
      <w:r>
        <w:t xml:space="preserve"> Exploring the joint probability of precipitation and soil moisture over Europe using copulas — https://doi.org/10.5194/hess-28-103-2024</w:t>
      </w:r>
    </w:p>
    <w:p>
      <w:pPr/>
      <w:r>
        <w:rPr>
          <w:b/>
        </w:rPr>
        <w:t>Shared claim-specific concepts:</w:t>
      </w:r>
      <w:r>
        <w:t xml:space="preserve"> also, high, insights, both; EU scope visible. This is a provisional connection, not an outcome finding.</w:t>
      </w:r>
    </w:p>
    <w:p>
      <w:pPr>
        <w:pStyle w:val="SourceNote"/>
      </w:pPr>
      <w:r>
        <w:rPr>
          <w:b/>
        </w:rPr>
        <w:t>Available abstract (not full text):</w:t>
      </w:r>
      <w:r>
        <w:t xml:space="preserve"> Abstract. The joint probability of precipitation and soil moisture is here investigated over Europe with the goal to extrapolated meaningful insights on the potential joint use of these variables for the detection of agricultural droughts within a probabilistic modeling framework. The use of copulas is explored as a parametric approach often used in hydrological studies for the analysis of bivariate distributions. The analysis is performed for the period 1996–2020 on the ERA5 precipitation and LISFLOOD soil moisture datasets, both available as part of the Copernicus European Drought Observatory. The results show an overall good correlation between the empirical frequency series derived from the two datasets (Kendall’s τ = 0.42±0.1), but also clear spatial patterns in the tail-dependence derived with both non-parametric and parametric approaches. About half of the domain shows symmetric tail-dependences, well reproduced by the Student-t copula, whereas the rest of the domain is almost equally split between low and high tail-dependences (modeled with the Gumbel family of copulas). These spatial patterns are reasonably reproduced by a random forest classifier, suggesting that this outcome is not driven by chance. This study stresses how a joint use of precipitation and soil moisture for agriculture drought characterization may be more beneficial in areas with strong low tail-depen</w:t>
      </w:r>
    </w:p>
    <w:p>
      <w:pPr/>
      <w:r>
        <w:rPr>
          <w:b/>
        </w:rPr>
        <w:t>POSSIBLE 2024:</w:t>
      </w:r>
      <w:r>
        <w:t xml:space="preserve"> Exploring Health Impact Assessment in Europe — https://doi.org/10.2427/5878</w:t>
      </w:r>
    </w:p>
    <w:p>
      <w:pPr/>
      <w:r>
        <w:rPr>
          <w:b/>
        </w:rPr>
        <w:t>Shared claim-specific concepts:</w:t>
      </w:r>
      <w:r>
        <w:t xml:space="preserve"> wide, impacts, key; EU scope visible. This is a provisional connection, not an outcome finding.</w:t>
      </w:r>
    </w:p>
    <w:p>
      <w:pPr>
        <w:pStyle w:val="SourceNote"/>
      </w:pPr>
      <w:r>
        <w:rPr>
          <w:b/>
        </w:rPr>
        <w:t>Available abstract (not full text):</w:t>
      </w:r>
      <w:r>
        <w:t xml:space="preserve"> Background: Health impact assessment (HIA) prospectively judges the potential health impacts of pending decisions and feeds the assessment back into the decision making process. HIA is considered as a key tool for intersectoral collaboration. This article presents selected results of a mapping exercise on HIA in Europe. The mapping exercise is complemented by the presentation of a conceptual framework on the effectiveness of HIA and illustrative examples. Method: Two methodologies are employed in this article: First, the use of HIA across Europe is based on a survey conducted by 21 teams in 19 countries. A semi standardized questionnaire was employed, using a wide variety of sources. Second, for the discussion on the effectiveness of HIA, a conceptual framework using four types of effectiveness was employed. Results: HIA is a common practice only in a handful of European countries. In most of Europe, HIA is at an early developmental stage. The mapping exercise, however, provides evidence that HIA can work across all sectors and at all political level, although there is currently a focus on the local level. HIA is conducted in different countries by different sets of actors and organizations, reflecting the existing setup. The evidence on the effectiveness of HIA is still inconclusive. However, single case studies and upcoming evidence suggests that HIA has the capacity to infor</w:t>
      </w:r>
    </w:p>
    <w:p>
      <w:pPr/>
      <w:r>
        <w:rPr>
          <w:b/>
        </w:rPr>
        <w:t>POSSIBLE 2024:</w:t>
      </w:r>
      <w:r>
        <w:t xml:space="preserve"> Wide challenges encountered in refugees’ education in Europe — https://doi.org/10.35629/8028-13092429</w:t>
      </w:r>
    </w:p>
    <w:p>
      <w:pPr/>
      <w:r>
        <w:rPr>
          <w:b/>
        </w:rPr>
        <w:t>Shared claim-specific concepts:</w:t>
      </w:r>
      <w:r>
        <w:t xml:space="preserve"> also, explores, wide, policies; EU scope visible. This is a provisional connection, not an outcome finding.</w:t>
      </w:r>
    </w:p>
    <w:p>
      <w:pPr>
        <w:pStyle w:val="SourceNote"/>
      </w:pPr>
      <w:r>
        <w:rPr>
          <w:b/>
        </w:rPr>
        <w:t>Available abstract (not full text):</w:t>
      </w:r>
      <w:r>
        <w:t xml:space="preserve"> This research paper explores the different obstacles faced by refugees in accessing a secondary level of education in Europe. Although the EU claims to have introduced in the community space a number of policies aimed at implementing equal educational opportunities, refugees face significant obstacles to their educational advancement, including integration in the host state. The challenges encountered begin with language difficulties and are compounded by inadequate educational infrastructure and potential psychological trauma. Most refugee students experience difficulties with the language of instruction, which hinders their ability to keep up with their peers. Other barriers to their educational experience include overcrowded classrooms and lack of specialized resources. In addition, bureaucracy (due to complex application processes and problems with recognition of previous qualifications) exacerbates these problems. From a psychological perspective, the trauma experienced by most refugees also affects their concentration and motivation. In this context, the research highlights the need to develop complex policy and legislative initiatives, taking into account improved language support.</w:t>
      </w:r>
    </w:p>
    <w:p>
      <w:pPr/>
      <w:r>
        <w:rPr>
          <w:b/>
        </w:rPr>
        <w:t>POSSIBLE 2023:</w:t>
      </w:r>
      <w:r>
        <w:t xml:space="preserve"> Exploring European regional trade — https://doi.org/10.82444/warw.33858340</w:t>
      </w:r>
    </w:p>
    <w:p>
      <w:pPr/>
      <w:r>
        <w:rPr>
          <w:b/>
        </w:rPr>
        <w:t>Shared claim-specific concepts:</w:t>
      </w:r>
      <w:r>
        <w:t xml:space="preserve"> also, important, national; EU scope visible. This is a provisional connection, not an outcome finding.</w:t>
      </w:r>
    </w:p>
    <w:p>
      <w:pPr>
        <w:pStyle w:val="SourceNote"/>
      </w:pPr>
      <w:r>
        <w:rPr>
          <w:b/>
        </w:rPr>
        <w:t>Available abstract (not full text):</w:t>
      </w:r>
      <w:r>
        <w:t xml:space="preserve"> We use the new dataset of trade flows across 269 European regions in 24 countries constructed in Santamaría et al. (2020) to systematically explore for the first time trade patterns within and across country borders. We focus on the differences between home trade, country trade and foreign trade. We document the following facts: (i) European regional trade has a strong home and country bias, (ii) geographic distance and national borders are important determinants of regional trade, but cannot explain the strong regional home bias and (iii) the home bias is heterogeneous across regions and seems to be driven by political regional borders. This paper also appears as CAGE Discussion paper 650</w:t>
      </w:r>
    </w:p>
    <w:p>
      <w:pPr/>
      <w:r>
        <w:rPr>
          <w:b/>
        </w:rPr>
        <w:t>POSSIBLE 2023:</w:t>
      </w:r>
      <w:r>
        <w:t xml:space="preserve"> Exploring the effects of protected area networks on the European land system — https://doi.org/10.1016/j.jenvman.2023.117741</w:t>
      </w:r>
    </w:p>
    <w:p>
      <w:pPr/>
      <w:r>
        <w:rPr>
          <w:b/>
        </w:rPr>
        <w:t>Shared claim-specific concepts:</w:t>
      </w:r>
      <w:r>
        <w:t xml:space="preserve"> also, system, high; EU scope visible. This is a provisional connection, not an outcome finding.</w:t>
      </w:r>
    </w:p>
    <w:p>
      <w:pPr>
        <w:pStyle w:val="SourceNote"/>
      </w:pPr>
      <w:r>
        <w:rPr>
          <w:b/>
        </w:rPr>
        <w:t>Available abstract (not full text):</w:t>
      </w:r>
      <w:r>
        <w:t xml:space="preserve"> The European Union's Biodiversity Strategy for 2030 seeks to protect 30% of land, with 10% under strict protection, while building a transnational nature network. We explore the effects of the Biodiversity Strategy targets for land use and ecosystem services across the European land system. To do so, we propose a novel approach, combining a methodological framework for improving green network connectivity with an EU-wide land system model. We identify an improved network of EU protected areas consistent with the 2030 targets, and explore its effects under different levels of protection and in a range of paired climatic and socio-economic scenarios. The existing network of protected areas is highly fragmented, with more than one third of its nodes being isolated. We find that prioritizing connectivity when implementing new protected areas could achieve the strategy's targets without compromising the future provision of ecosystem services, including food production, in Europe. However, we also find that EU-wide distributions of land uses and ecosystem services are influenced by the protected area network, and that this influence manifests differently in different climatic and socio-economic scenarios. Varying the strength of protection of the network had limited effects. Extractive services (food and timber production) decreased in protected areas, but non-extractive services inc</w:t>
      </w:r>
    </w:p>
    <w:p>
      <w:pPr/>
      <w:r>
        <w:rPr>
          <w:b/>
        </w:rPr>
        <w:t>POSSIBLE 2023:</w:t>
      </w:r>
      <w:r>
        <w:t xml:space="preserve"> Exploring Energy Sufficiency Benefits, Limitations, Deployment, and Opportunities in Europe — https://doi.org/10.51505/ijaemr.2023.8316</w:t>
      </w:r>
    </w:p>
    <w:p>
      <w:pPr/>
      <w:r>
        <w:rPr>
          <w:b/>
        </w:rPr>
        <w:t>Shared claim-specific concepts:</w:t>
      </w:r>
      <w:r>
        <w:t xml:space="preserve"> also, deployment, energy; EU scope visible. This is a provisional connection, not an outcome finding.</w:t>
      </w:r>
    </w:p>
    <w:p>
      <w:pPr>
        <w:pStyle w:val="SourceNote"/>
      </w:pPr>
      <w:r>
        <w:rPr>
          <w:b/>
        </w:rPr>
        <w:t>Available abstract (not full text):</w:t>
      </w:r>
      <w:r>
        <w:t xml:space="preserve"> Following the industrial revolution, greenhouse gases continue to grow, and this increase degrades the ozone layer and accelerates the global warming. The climate change has considerably transformed our way of life and the way we produce, buy, transport, and use energy. To reduce the impact of the energy crisis different levers are activated such as energy efficiency, renewables energy and energy sufficiency. The aim of this article is to explore the benefits, limitation, deployment, and opportunities in Europe of energy sufficiency. The research conducted also includes real case studies on energy sufficiency. Furthermore, Covid-19 pandemic and Ukraine war have negatively impacted energy availability and costs.</w:t>
      </w:r>
    </w:p>
    <w:p>
      <w:pPr/>
      <w:r>
        <w:rPr>
          <w:b/>
        </w:rPr>
        <w:t>POSSIBLE 2023:</w:t>
      </w:r>
      <w:r>
        <w:t xml:space="preserve"> Excess mortality attributed to heat and cold: a health impact assessment study in 854 cities in Europe — https://doi.org/10.1016/s2542-5196(23)00023-2</w:t>
      </w:r>
    </w:p>
    <w:p>
      <w:pPr/>
      <w:r>
        <w:rPr>
          <w:b/>
        </w:rPr>
        <w:t>Shared claim-specific concepts:</w:t>
      </w:r>
      <w:r>
        <w:t xml:space="preserve"> policies, both, national; EU scope visible. This is a provisional connection, not an outcome finding.</w:t>
      </w:r>
    </w:p>
    <w:p>
      <w:pPr>
        <w:pStyle w:val="SourceNote"/>
      </w:pPr>
      <w:r>
        <w:rPr>
          <w:b/>
        </w:rPr>
        <w:t>Available abstract (not full text):</w:t>
      </w:r>
      <w:r>
        <w:t xml:space="preserve"> BACKGROUND: Heat and cold are established environmental risk factors for human health. However, mapping the related health burden is a difficult task due to the complexity of the associations and the differences in vulnerability and demographic distributions. In this study, we did a comprehensive mortality impact assessment due to heat and cold in European urban areas, considering geographical differences and age-specific risks. METHODS: We included urban areas across Europe between Jan 1, 2000, and Dec 12, 2019, using the Urban Audit dataset of Eurostat and adults aged 20 years and older living in these areas. Data were extracted from Eurostat, the Multi-country Multi-city Collaborative Research Network, Moderate Resolution Imaging Spectroradiometer, and Copernicus. We applied a three-stage method to estimate risks of temperature continuously across the age and space dimensions, identifying patterns of vulnerability on the basis of city-specific characteristics and demographic structures. These risks were used to derive minimum mortality temperatures and related percentiles and raw and standardised excess mortality rates for heat and cold aggregated at various geographical levels. FINDINGS: Across the 854 urban areas in Europe, we estimated an annual excess of 203 620 (empirical 95% CI 180 882-224 613) deaths attributed to cold and 20 173 (17 261-22 934) attributed to heat. Th</w:t>
      </w:r>
    </w:p>
    <w:p>
      <w:pPr/>
      <w:r>
        <w:rPr>
          <w:b/>
        </w:rPr>
        <w:t>POSSIBLE 2023:</w:t>
      </w:r>
      <w:r>
        <w:t xml:space="preserve"> HOW IMPORTANT EDUCATION IS? AN EXPLORATIVE ANALYSIS OF THE DROPOUT PHENOMENON IN EASTERN EUROPE — https://doi.org/10.47535/1991auoes32(1)005</w:t>
      </w:r>
    </w:p>
    <w:p>
      <w:pPr/>
      <w:r>
        <w:rPr>
          <w:b/>
        </w:rPr>
        <w:t>Shared claim-specific concepts:</w:t>
      </w:r>
      <w:r>
        <w:t xml:space="preserve"> also, important, system, high, policies, both; EU scope visible. This is a provisional connection, not an outcome finding.</w:t>
      </w:r>
    </w:p>
    <w:p>
      <w:pPr>
        <w:pStyle w:val="SourceNote"/>
      </w:pPr>
      <w:r>
        <w:rPr>
          <w:b/>
        </w:rPr>
        <w:t>Available abstract (not full text):</w:t>
      </w:r>
      <w:r>
        <w:t xml:space="preserve"> Early school leaving is a structural problem related to the socioeconomic environment involving aspects of local culture and customs that characterize a country. If not controlled, with the intent of hindering it, this phenomenon can generate unemployment, social exclusion, poverty, health problems and a slowdown in the country’s economic growth. Since education policies are one of the most important concerns of national governments and international organizations, the UN 2030 Agenda, containing the common ambitions of the signatory countries, proposes 17 sustainable development goals and specifically, among these, inclusive and equitable quality education. In some Eastern European countries, the percentage of young people who decide not to continue their studies is really too high, exceeding 10%. Therefore, the aim of the paper is to study the dropout phenomenon in this context. We employ a panel vector autoregressive model in first differences to test complex dynamic relationships between share of the population aged 18 to 24 not involved in any education or training (as a proxy for the dropout phenomenon), GDP per capita (as a proxy for a country’s wealth and industrial modernity), gross domestic expenditure on R&amp;D in higher education (as a proxy for a country’s effort to improve its education system), and share of people reporting crime, violence or vandalism (as a proxy fo</w:t>
      </w:r>
    </w:p>
    <w:p>
      <w:pPr/>
      <w:r>
        <w:rPr>
          <w:b/>
        </w:rPr>
        <w:t>POSSIBLE 2023:</w:t>
      </w:r>
      <w:r>
        <w:t xml:space="preserve"> Exploring pathways to 100% renewable energy in European industry — https://doi.org/10.1016/j.energy.2023.126687</w:t>
      </w:r>
    </w:p>
    <w:p>
      <w:pPr/>
      <w:r>
        <w:rPr>
          <w:b/>
        </w:rPr>
        <w:t>Shared claim-specific concepts:</w:t>
      </w:r>
      <w:r>
        <w:t xml:space="preserve"> renewable, energy, key, national; EU scope visible. This is a provisional connection, not an outcome finding.</w:t>
      </w:r>
    </w:p>
    <w:p>
      <w:pPr>
        <w:pStyle w:val="SourceNote"/>
      </w:pPr>
      <w:r>
        <w:rPr>
          <w:b/>
        </w:rPr>
        <w:t>Available abstract (not full text):</w:t>
      </w:r>
      <w:r>
        <w:t xml:space="preserve"> Industry poses one of the biggest challenges in the renewable energy transition. In this paper, fossil fuels in the European industrial sector are replaced by renewable energy using a novel tool, IndustryPLAN, a planning tool for the assessment of national industrial sectors. In a bottom-up approach, each industry sub-sector is addressed with energy efficiency and fossil fuel replacement measures based on best available and innovative technologies, and in a top-down approach, the fuel and electricity consumption per country is analysed and decarbonised. The results indicate that: 1. Known technologies can decarbonise most of the industrial sector; 2. Costs and efficiencies are improved by energy savings and electrification; 3. Limiting bioenergy consumption is a critical challenge, emphasising the key role of energy savings and electrification, and the alternative of using hydrogen or hydrogen-based electrofuels will make the transition more expensive and induce energy losses. A full transition to renewable energy and a decarbonised industry sector may be possible before 2050, however, this requires that all investments are sustainable from 2030 onwards and that grid electricity is fully decarbonised. This paper presents several pathways toward 100% renewable energy supply in the European industrial sector and discusses the implications of the outlined scenarios.</w:t>
      </w:r>
    </w:p>
    <w:p>
      <w:pPr>
        <w:pStyle w:val="Heading2"/>
      </w:pPr>
      <w:r>
        <w:t>772. Technology roadmapping in security and defence foresight</w:t>
      </w:r>
    </w:p>
    <w:p>
      <w:pPr>
        <w:pStyle w:val="SourceNote"/>
      </w:pPr>
      <w:r>
        <w:rPr>
          <w:b/>
        </w:rPr>
        <w:t>Original source (2018):</w:t>
      </w:r>
      <w:r>
        <w:t xml:space="preserve"> https://doi.org/10.1108/fs-12-2017-0074</w:t>
      </w:r>
    </w:p>
    <w:p>
      <w:pPr/>
      <w:r>
        <w:t>Original wording (abstract; indexed_source_text_not_full_document_verified): Design/methodology/approach The analysis is based on a content analysis of public domain Spanish Defence National Foresight Exercise, and a study directed to analyse the impact on defence technological and industrial base. Findings Foresight studies on the defence and security environment uses hybrid methodologies, but rarely involve all the stakeholders, and specially the citizens.</w:t>
      </w:r>
    </w:p>
    <w:p>
      <w:pPr/>
      <w:r>
        <w:rPr>
          <w:b/>
        </w:rPr>
        <w:t>POSSIBLE 2026:</w:t>
      </w:r>
      <w:r>
        <w:t xml:space="preserve"> Methodology of architectural brand integration in public space design — https://doi.org/10.30857/2617-0272.2026.3.3</w:t>
      </w:r>
    </w:p>
    <w:p>
      <w:pPr/>
      <w:r>
        <w:rPr>
          <w:b/>
        </w:rPr>
        <w:t>Shared claim-specific concepts:</w:t>
      </w:r>
      <w:r>
        <w:t xml:space="preserve"> design, methodology, approach, based, environment, but; EU scope not established. This is a provisional connection, not an outcome finding.</w:t>
      </w:r>
    </w:p>
    <w:p>
      <w:pPr>
        <w:pStyle w:val="SourceNote"/>
      </w:pPr>
      <w:r>
        <w:rPr>
          <w:b/>
        </w:rPr>
        <w:t>Available abstract (not full text):</w:t>
      </w:r>
      <w:r>
        <w:t xml:space="preserve"> The article examines methods of architectural interpretation of brands in commercial and public spaces. These methods are considered within a contemporary paradigm in which the interior is not only a functional environment but also an effective tool of interaction between a brand and its target user, directly influencing business performance. Based on a generalisation of local and global design practices, a typology and methodology for integrating brands into public interiors are formulated for the first time. As a result, four methods are identified. The method of direct transformation is based on the direct transfer of identity elements into space. The morphological method considers these same identity elements as form-generating components of the spatial environment. The atmospheric method focuses on creating interiors with clear emotional and stylistic references that are inherently tied to a particular brand. The scenario-based method enables visitors to understand the brand through the experience of interacting with the space. The proposed methods reveal the brand through four comprehensive aspects: graphics, form, atmosphere, and user experience. The article analyses the specific features of each method's application, considering each as a distinct approach to translating brand identity: from simple visual identification to the formation of a particular emotional respons</w:t>
      </w:r>
    </w:p>
    <w:p>
      <w:pPr/>
      <w:r>
        <w:rPr>
          <w:b/>
        </w:rPr>
        <w:t>POSSIBLE 2025:</w:t>
      </w:r>
      <w:r>
        <w:t xml:space="preserve"> NEW DESIGN METHODOLOGY APPROACH FOR DESIGNING A HYDRO-MOTOR OF RADIAL PISTONS — https://openalex.org/W7217876663</w:t>
      </w:r>
    </w:p>
    <w:p>
      <w:pPr/>
      <w:r>
        <w:rPr>
          <w:b/>
        </w:rPr>
        <w:t>Shared claim-specific concepts:</w:t>
      </w:r>
      <w:r>
        <w:t xml:space="preserve"> design, methodology, approach, technological, uses, but; EU scope not established. This is a provisional connection, not an outcome finding.</w:t>
      </w:r>
    </w:p>
    <w:p>
      <w:pPr>
        <w:pStyle w:val="SourceNote"/>
      </w:pPr>
      <w:r>
        <w:rPr>
          <w:b/>
        </w:rPr>
        <w:t>Available abstract (not full text):</w:t>
      </w:r>
      <w:r>
        <w:t xml:space="preserve"> This paper presents the work of a Doctoral Thesis on “First stage of the process of development of a hydro-motor of high torque: conceptualisation and analytic prototype” that was defended in November 2004 in Cuba. A new focus of design is discussed. It is convenient for the countries that possess a low technological capacity in industry. This new focus was nominated as "the process of development of new products guided to the available technological capacity", and their distinctive characteristic is that it uses the technological capacity contained in the products normalised to design products to satisfy social necessities, that in another way they are impossible to design for their elaboration demands. In an application of this procedure, a new type of hydro-motor of radial pistons was obtained with competitive benefits that it can be built by the countries of the third world. The objective of this paper is not to give an itemised explanation of the methodology, But showing its existence and the great utility that this it possesses</w:t>
      </w:r>
    </w:p>
    <w:p>
      <w:pPr/>
      <w:r>
        <w:rPr>
          <w:b/>
        </w:rPr>
        <w:t>POSSIBLE 2025:</w:t>
      </w:r>
      <w:r>
        <w:t xml:space="preserve"> Optimising Healthcare Integration: Design Methodology Approach to Developing an Integrated Service Delivery Model for Irish Health Service Executive's Health Regions — https://doi.org/10.5334/ijic.icic24232</w:t>
      </w:r>
    </w:p>
    <w:p>
      <w:pPr/>
      <w:r>
        <w:rPr>
          <w:b/>
        </w:rPr>
        <w:t>Shared claim-specific concepts:</w:t>
      </w:r>
      <w:r>
        <w:t xml:space="preserve"> design, methodology, approach, national, base, methodologies; EU scope visible. This is a provisional connection, not an outcome finding.</w:t>
      </w:r>
    </w:p>
    <w:p>
      <w:pPr>
        <w:pStyle w:val="SourceNote"/>
      </w:pPr>
      <w:r>
        <w:rPr>
          <w:b/>
        </w:rPr>
        <w:t>Available abstract (not full text):</w:t>
      </w:r>
      <w:r>
        <w:t xml:space="preserve"> This abstract outlines the implementation of evidenced-based design methodologies to develop an Integrated Service Delivery (ISD) model for the Irish Health Service Executive (HSE) Health Regions. The initiative is a response to the Sláintecare reform and the Health Regions Implementation Plan, aiming to establish regional and local organisational structures that support and enable integrated care provision for the population of the Republic of Ireland, including health and social care service users, providers, and communities. This initiative, aligned with co-production principles from the Health Services Change Guide and Public Service Design Principles, involves collaboration between the HSE Health Regions Programme Team, HSE Organisation Development and Design Team, and the Department of Health in Ireland. Ninety-eight individuals, comprising HSE staff, managers, partner agencies, policymakers, renowned Integrated Care experts, and patient advocacy groups, participated in a co-design methodology to evaluate high-level structural options for Integrated Service Delivery in Health Regions. The initiative aims to leverage the insights of those receiving and delivering services to inform integrated care practices. The initiative employed evidence-based design methods, primarily guided by People’s Needs Defining Change – Health Services Change Guide (2018) and national government</w:t>
      </w:r>
    </w:p>
    <w:p>
      <w:pPr/>
      <w:r>
        <w:rPr>
          <w:b/>
        </w:rPr>
        <w:t>POSSIBLE 2025:</w:t>
      </w:r>
      <w:r>
        <w:t xml:space="preserve"> Design anthropology as a design methodology — https://doi.org/10.4324/9781003343134-15</w:t>
      </w:r>
    </w:p>
    <w:p>
      <w:pPr/>
      <w:r>
        <w:rPr>
          <w:b/>
        </w:rPr>
        <w:t>Shared claim-specific concepts:</w:t>
      </w:r>
      <w:r>
        <w:t xml:space="preserve"> design, methodology, based, environment, but; EU scope not established. This is a provisional connection, not an outcome finding.</w:t>
      </w:r>
    </w:p>
    <w:p>
      <w:pPr>
        <w:pStyle w:val="SourceNote"/>
      </w:pPr>
      <w:r>
        <w:rPr>
          <w:b/>
        </w:rPr>
        <w:t>Available abstract (not full text):</w:t>
      </w:r>
      <w:r>
        <w:t xml:space="preserve"> Anthropology, architecture, and design have in common that they observe, describe, and propose. Their orientations, as Ingold argues, are as much towards human futures as towards human pasts: these are futures, however, that are not conjured from thin air but forged in the crucible of contemporary social lives. Here, it is important to challenge conventional thinking regarding the nature of design and creativity that acknowledges the improvisatory skills and perceptual acuity of people. Learning from the successes and failures of design processes and practices requires an understanding of how people are affected and effected by the outputs of design processes and practices. As an anthropologist, my research is concerned with the affects and effects that design processes have on people who engage with products, buildings, and urban landscapes. This has been underpinned by a longer-term aim to understand how people’s sensory experience and perceptual acuity can be involved during architectural and design engineering processes and future-making practices. Central to this inquiry, I argue it is necessary to make partial connections between the movements of designing and movements of ongoing intra-action . In the fields of architectural design and design engineering, I ask what kind of forms and material practices we could imagine being made in the future based on this proposition. </w:t>
      </w:r>
    </w:p>
    <w:p>
      <w:pPr/>
      <w:r>
        <w:rPr>
          <w:b/>
        </w:rPr>
        <w:t>POSSIBLE 2025:</w:t>
      </w:r>
      <w:r>
        <w:t xml:space="preserve"> Research Design, Philosophy, and Quantitative Approaches in Scientific Research Methodology — https://doi.org/10.36347/sjet.2025.v13i02.004</w:t>
      </w:r>
    </w:p>
    <w:p>
      <w:pPr/>
      <w:r>
        <w:rPr>
          <w:b/>
        </w:rPr>
        <w:t>Shared claim-specific concepts:</w:t>
      </w:r>
      <w:r>
        <w:t xml:space="preserve"> design, methodology, based, findings; EU scope not established. This is a provisional connection, not an outcome finding.</w:t>
      </w:r>
    </w:p>
    <w:p>
      <w:pPr>
        <w:pStyle w:val="SourceNote"/>
      </w:pPr>
      <w:r>
        <w:rPr>
          <w:b/>
        </w:rPr>
        <w:t>Available abstract (not full text):</w:t>
      </w:r>
      <w:r>
        <w:t xml:space="preserve"> This paper provides a comprehensive review of existing literature on research design, philosophy, and quantitative approaches in scientific research methodology. It explores the theoretical foundations that influence researchers’ choices when developing a research strategy, with particular emphasis on the alignment between research philosophy and methodological choices. By examining key philosophical paradigms such as positivism, interpretivism, and pragmatism, the paper highlights how these frameworks shape the selection of quantitative, qualitative, and mixed-methods research approaches. The Research Onion Model is utilized to demonstrate the sequential layers of research design, from philosophical stance to data collection strategy. Through a review of current research, this paper provides insights into the importance of selecting the appropriate methodology based on the research objectives, questions, and underlying theoretical perspectives. The findings suggest that understanding the interplay between philosophy and methodology is crucial for ensuring a coherent and effective research design. By synthesizing existing theoretical perspectives, this paper contributes to a deeper understanding of the methodological choices available for scientific research.</w:t>
      </w:r>
    </w:p>
    <w:p>
      <w:pPr/>
      <w:r>
        <w:rPr>
          <w:b/>
        </w:rPr>
        <w:t>POSSIBLE 2024:</w:t>
      </w:r>
      <w:r>
        <w:t xml:space="preserve"> Learning Transitions in Studying Development: Design, Methodologies/Approaches, Tools in the Digital and Hybrid Platforms — https://doi.org/10.58887/ijodel.v10i1.254</w:t>
      </w:r>
    </w:p>
    <w:p>
      <w:pPr/>
      <w:r>
        <w:rPr>
          <w:b/>
        </w:rPr>
        <w:t>Shared claim-specific concepts:</w:t>
      </w:r>
      <w:r>
        <w:t xml:space="preserve"> design, hybrid, methodologies, but; EU scope not established. This is a provisional connection, not an outcome finding.</w:t>
      </w:r>
    </w:p>
    <w:p>
      <w:pPr>
        <w:pStyle w:val="SourceNote"/>
      </w:pPr>
      <w:r>
        <w:rPr>
          <w:b/>
        </w:rPr>
        <w:t>Available abstract (not full text):</w:t>
      </w:r>
      <w:r>
        <w:t xml:space="preserve"> Post-pandemic realities paved the way for certain innovative learning approaches to address the risks associated with traditional educational settings, inefficiencies in mobility, limited access to facilities and resources, and vulnerability to disease of student and teaching population, among others. Learning interactions in digital space remain to be further explored, requiring adjustments in the design of courses, pedagogical approaches, methodologies, and tools employed. The adjustments were seen as imperative at all levels of education and across mainstream fields of studies but even more pronounced, in multidisciplinary and interdisciplinary research study areas, such as Development Studies. Development research underwent learning transitions to retain its relevance as an important academic field. The combined online and in-site learning settings still have effective and efficient modalities of studying development, as argued in prevailing literature. This paper aims to find rationality in course design and structure, given the learners’ background and academic program tracks, as well as the teaching tools and instruments necessary in a combined learning modality. The challenge is how learners can be more engaged in discussions and provide participatory feedback. Another objective of this work is to provide documented experience of the issues and challenges in hybrid plat</w:t>
      </w:r>
    </w:p>
    <w:p>
      <w:pPr/>
      <w:r>
        <w:rPr>
          <w:b/>
        </w:rPr>
        <w:t>POSSIBLE 2024:</w:t>
      </w:r>
      <w:r>
        <w:t xml:space="preserve"> Using a co-design methodological approach to optimize perioperative nursing care for older adult patients from ethnically diverse backgrounds: a study protocol — https://doi.org/10.1080/17482631.2024.2349438</w:t>
      </w:r>
    </w:p>
    <w:p>
      <w:pPr/>
      <w:r>
        <w:rPr>
          <w:b/>
        </w:rPr>
        <w:t>Shared claim-specific concepts:</w:t>
      </w:r>
      <w:r>
        <w:t xml:space="preserve"> methodology, approach, findings; EU scope not established. This is a provisional connection, not an outcome finding.</w:t>
      </w:r>
    </w:p>
    <w:p>
      <w:pPr>
        <w:pStyle w:val="SourceNote"/>
      </w:pPr>
      <w:r>
        <w:rPr>
          <w:b/>
        </w:rPr>
        <w:t>Available abstract (not full text):</w:t>
      </w:r>
      <w:r>
        <w:t xml:space="preserve"> This article outlines the use of a co-design methodological approach aimed at optimizing perioperative care experiences for ethnically diverse older adults and their family carers. The research involved three phases. In Phase 1, the foundation was established with the formation of a Core Advisory Group comprising key informants, including health consumers. This initial phase focused on forming relationships and conducting a literature review to inform subsequent stages of the research. Phase 2 progressed to data collection, where a qualitative survey on perioperative experiences was conducted. Semi-structured interviews were held with patients, their family carers, and perioperative staff. Phase 3 advanced the co-design process through a workshop involving patients, family carers, perioperative staff, and key stakeholders. Workshop participants collaborated on potential practice changes, proposing strategies for future clinical implementation. While data analysis and reporting for Phases 2 and 3 are forthcoming, the continued involvement of the Core Advisory Group ensures ongoing consensus-building on health consumer needs. This methodology article adopts a prospective stance, with findings to be presented in subsequent scholarly works. Use of this methodology will help to determine how the use of a co-design approach may impact the development of culturally responsive perioper</w:t>
      </w:r>
    </w:p>
    <w:p>
      <w:pPr/>
      <w:r>
        <w:rPr>
          <w:b/>
        </w:rPr>
        <w:t>POSSIBLE 2024:</w:t>
      </w:r>
      <w:r>
        <w:t xml:space="preserve"> A design methodology based approach for robotic gripper design — https://openalex.org/W4391710302</w:t>
      </w:r>
    </w:p>
    <w:p>
      <w:pPr/>
      <w:r>
        <w:rPr>
          <w:b/>
        </w:rPr>
        <w:t>Shared claim-specific concepts:</w:t>
      </w:r>
      <w:r>
        <w:t xml:space="preserve"> design, methodology, approach, based; EU scope not established. This is a provisional connection, not an outcome finding.</w:t>
      </w:r>
    </w:p>
    <w:p>
      <w:pPr>
        <w:pStyle w:val="SourceNote"/>
      </w:pPr>
      <w:r>
        <w:rPr>
          <w:b/>
        </w:rPr>
        <w:t>Available abstract (not full text):</w:t>
      </w:r>
      <w:r>
        <w:t xml:space="preserve"> Abstract Not Provided</w:t>
      </w:r>
    </w:p>
    <w:p>
      <w:pPr/>
      <w:r>
        <w:rPr>
          <w:b/>
        </w:rPr>
        <w:t>POSSIBLE 2024:</w:t>
      </w:r>
      <w:r>
        <w:t xml:space="preserve"> Exploring a Material-Focused Design Methodology: An Innovative Approach to Pressure Vessel Design — https://doi.org/10.3390/machines12010081</w:t>
      </w:r>
    </w:p>
    <w:p>
      <w:pPr/>
      <w:r>
        <w:rPr>
          <w:b/>
        </w:rPr>
        <w:t>Shared claim-specific concepts:</w:t>
      </w:r>
      <w:r>
        <w:t xml:space="preserve"> design, methodology, approach, based, industrial, methodologies; EU scope not established. This is a provisional connection, not an outcome finding.</w:t>
      </w:r>
    </w:p>
    <w:p>
      <w:pPr>
        <w:pStyle w:val="SourceNote"/>
      </w:pPr>
      <w:r>
        <w:rPr>
          <w:b/>
        </w:rPr>
        <w:t>Available abstract (not full text):</w:t>
      </w:r>
      <w:r>
        <w:t xml:space="preserve"> The design of components and elements comprising industrial machinery, as well as those that are part of an industrial system, has been carried out in recent years using various design methodologies. Currently, the products demanded by customers, as well as the needs of different companies, governments, and individuals, require considerations beyond traditional design, including multidisciplinary aspects such as sustainability, environmental friendliness, and circular economy. The design methodologies considered for this study are the quality function deployment (QFD) methodology, the theory of inventive problem-solving methodology, Ashby’s Materials Selection methodology, and the systematic approach methodology, which are currently the main design methodologies. These methodologies present some disadvantages, such as multidisciplinary requirements not being considered directly, the selection of materials based on standards is not well established, and obtaining technical requirements is ambiguous for the technical purposes of the design or manufacturing, and the designer’s experience in these examples is important to the design process and the development of the product. For these reasons, the traditional design methodologies are presented, next, a new design methodology is proposed and described, then a case study is performed in order to compare the proposed methodology with</w:t>
      </w:r>
    </w:p>
    <w:p>
      <w:pPr/>
      <w:r>
        <w:rPr>
          <w:b/>
        </w:rPr>
        <w:t>POSSIBLE 2024:</w:t>
      </w:r>
      <w:r>
        <w:t xml:space="preserve"> Methodology for Colour Selection with Semantic Content in Product Design — https://doi.org/10.1007/978-3-031-51623-8_64</w:t>
      </w:r>
    </w:p>
    <w:p>
      <w:pPr/>
      <w:r>
        <w:rPr>
          <w:b/>
        </w:rPr>
        <w:t>Shared claim-specific concepts:</w:t>
      </w:r>
      <w:r>
        <w:t xml:space="preserve"> design, methodology, content;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A Methodology for Intercultural Design — https://doi.org/10.30682/diid8224j</w:t>
      </w:r>
    </w:p>
    <w:p>
      <w:pPr/>
      <w:r>
        <w:rPr>
          <w:b/>
        </w:rPr>
        <w:t>Shared claim-specific concepts:</w:t>
      </w:r>
      <w:r>
        <w:t xml:space="preserve"> design, methodology, approach, national; EU scope visible. This is a provisional connection, not an outcome finding.</w:t>
      </w:r>
    </w:p>
    <w:p>
      <w:pPr>
        <w:pStyle w:val="SourceNote"/>
      </w:pPr>
      <w:r>
        <w:rPr>
          <w:b/>
        </w:rPr>
        <w:t>Available abstract (not full text):</w:t>
      </w:r>
      <w:r>
        <w:t xml:space="preserve"> Issues concerning integration and the relations between different ethnic groups within a changing contemporary society are becoming increasingly prominent in the social and scientific debate. Design skills can be employed as a tool to systematise this multiplicity, promoting innovation that respects diversity, comparison, and interaction between people and cultures. The purpose of this paper is to provide a synthesis of a research experience, the development of a new Islamic Cultural Centre in the city of Turin (Italy), in which the intercultural design approach constitutes the founding theoretical and methodological basis for the development of the project. Starting from the analysis of experiences developed in the field of national and international research, the authors developed a methodological approach to the theme of designing to promote intercultural dialogue, furthermore establishing collaboration agreements with local authorities for the development of the Cultural Centre.</w:t>
      </w:r>
    </w:p>
    <w:p>
      <w:pPr/>
      <w:r>
        <w:rPr>
          <w:b/>
        </w:rPr>
        <w:t>POSSIBLE 2024:</w:t>
      </w:r>
      <w:r>
        <w:t xml:space="preserve"> A territorial design toolbox for metropolitan public space — https://doi.org/10.4324/9781003408611-27</w:t>
      </w:r>
    </w:p>
    <w:p>
      <w:pPr/>
      <w:r>
        <w:rPr>
          <w:b/>
        </w:rPr>
        <w:t>Shared claim-specific concepts:</w:t>
      </w:r>
      <w:r>
        <w:t xml:space="preserve"> design, approach, content; EU scope not established. This is a provisional connection, not an outcome finding.</w:t>
      </w:r>
    </w:p>
    <w:p>
      <w:pPr>
        <w:pStyle w:val="SourceNote"/>
      </w:pPr>
      <w:r>
        <w:rPr>
          <w:b/>
        </w:rPr>
        <w:t>Available abstract (not full text):</w:t>
      </w:r>
      <w:r>
        <w:t xml:space="preserve"> This chapter synthesises the prospective and propositive content of MetroPublicNet&amp;s;s research. It is directly linked with the project&amp;s;s central hypothesis that a Metropolitan Public Space Network strategy could be seen as a politically and technically robust tool to address sustainable urban development challenges. For that, a methodological approach to imagine, discuss, and strategically envision such network is outlined as a territorial design toolbox. The chapter is concluded with a selection of forward-looking, design-oriented forays developed at part of MetroPublicNet&amp;s;s academic partnering in urban and landscape design studios, workshops, and curricular units.</w:t>
      </w:r>
    </w:p>
    <w:p>
      <w:pPr>
        <w:pStyle w:val="Heading2"/>
      </w:pPr>
      <w:r>
        <w:t>773. The Public Health Status and Foresight report 2014: Four normative perspectives on a healthier Netherlands in 2040</w:t>
      </w:r>
    </w:p>
    <w:p>
      <w:pPr>
        <w:pStyle w:val="SourceNote"/>
      </w:pPr>
      <w:r>
        <w:rPr>
          <w:b/>
        </w:rPr>
        <w:t>Original source (2018):</w:t>
      </w:r>
      <w:r>
        <w:t xml:space="preserve"> https://doi.org/10.1016/j.healthpol.2018.10.014</w:t>
      </w:r>
    </w:p>
    <w:p>
      <w:pPr/>
      <w:r>
        <w:t>Original wording (abstract; indexed_source_text_not_full_document_verified): We organized meetings with experts to explore how engagement and policy strategies in each scenario would affect the other three societal challenges. Possible synergies and trade-offs between the four scenarios were identified.</w:t>
      </w:r>
    </w:p>
    <w:p>
      <w:pPr/>
      <w:r>
        <w:rPr>
          <w:b/>
        </w:rPr>
        <w:t>POSSIBLE 2026:</w:t>
      </w:r>
      <w:r>
        <w:t xml:space="preserve"> European Cancer Prevention Organization on cancer screening: an expert panel position paper — https://doi.org/10.1097/cej.0000000000001025</w:t>
      </w:r>
    </w:p>
    <w:p>
      <w:pPr/>
      <w:r>
        <w:rPr>
          <w:b/>
        </w:rPr>
        <w:t>Shared claim-specific concepts:</w:t>
      </w:r>
      <w:r>
        <w:t xml:space="preserve"> organized, strategies, each, identified; EU scope visible. This is a provisional connection, not an outcome finding.</w:t>
      </w:r>
    </w:p>
    <w:p>
      <w:pPr>
        <w:pStyle w:val="SourceNote"/>
      </w:pPr>
      <w:r>
        <w:rPr>
          <w:b/>
        </w:rPr>
        <w:t>Available abstract (not full text):</w:t>
      </w:r>
      <w:r>
        <w:t xml:space="preserve"> BACKGROUND: Cancer screening is a cornerstone of cancer control in Europe yet marked disparities persist in access, implementation, and quality assurance among national or regional programs. Building on the EU Council's 2022 recommendations and the European Union's Beating Cancer Plan, the European Consensus Project (ECP) was established to provide harmonized, evidence-based recommendations for major cancer screening programs and to promote a shift toward risk-adapted, technology-enabled, and equitable prevention models. METHODS: A structured expert panel meeting was convened under the auspices of the European Cancer Prevention Organization, integrating systematic literature review and multidisciplinary discussion to formulate validated, evidence-based recommendations. For each primary cancer site (breast, lung, colo-rectum, cervix, prostate, and stomach), systematic literature reviews identified evidence on reductions in mortality, stage distribution, participation, cost-effectiveness, and organizational quality. RESULTS: The consensus reaffirmed the evidence of mortality reduction with organized breast, lung, colorectal, and cervical screening, endorsed structured risk-adapted prostate-specific antigen testing for prostate cancer, and recommended Helicobacter pylori 'screen-and-treat' strategies for gastric cancer in high-incidence regions. Insights into future perspectives o</w:t>
      </w:r>
    </w:p>
    <w:p>
      <w:pPr/>
      <w:r>
        <w:rPr>
          <w:b/>
        </w:rPr>
        <w:t>POSSIBLE 2026:</w:t>
      </w:r>
      <w:r>
        <w:t xml:space="preserve"> Costs of Academic Engagement in Organized Plastic and Reconstructive Surgery in the United States — https://doi.org/10.1055/a-2832-6764</w:t>
      </w:r>
    </w:p>
    <w:p>
      <w:pPr/>
      <w:r>
        <w:rPr>
          <w:b/>
        </w:rPr>
        <w:t>Shared claim-specific concepts:</w:t>
      </w:r>
      <w:r>
        <w:t xml:space="preserve"> organized, meetings, engagement, other, between, identified; EU scope not established. This is a provisional connection, not an outcome finding.</w:t>
      </w:r>
    </w:p>
    <w:p>
      <w:pPr>
        <w:pStyle w:val="SourceNote"/>
      </w:pPr>
      <w:r>
        <w:rPr>
          <w:b/>
        </w:rPr>
        <w:t>Available abstract (not full text):</w:t>
      </w:r>
      <w:r>
        <w:t xml:space="preserve"> Academic engagement in plastic and reconstructive surgery (PRS) has grown substantially, marked by an increasing number of professional societies, annual meetings, and peer-reviewed journals. While this growth has facilitated innovation, collaboration, and knowledge sharing, it has also introduced financial burdens. These costs may limit access to academic involvement, especially for early-career surgeons and those without institutional funding. Despite the implications these financial barriers pose for equity, academic engagement, and innovation within the field, the cumulative cost of academic involvement in PRS remains poorly quantified. A cross-sectional review was conducted to assess the financial costs of academic engagement in PRS in the United States. Between January and April 2025, data were collected from official websites of national and subspecialty PRS societies, journals, continuing medical education (CME) platforms, and board-certifying bodies. Annual dues, meeting fees, CME costs, journal subscription, publishing fees, and board-related expenses were compiled. A comparative analysis with five other surgical subspecialties was conducted. Thirty-two major PRS societies were identified. Membership dues ranged from $150 to $1,299. Meeting registration was $250 to $1,495. Journal subscription costs ranged from $44.90 to $1,518, and open-access (OA) article processing</w:t>
      </w:r>
    </w:p>
    <w:p>
      <w:pPr/>
      <w:r>
        <w:rPr>
          <w:b/>
        </w:rPr>
        <w:t>POSSIBLE 2026:</w:t>
      </w:r>
      <w:r>
        <w:t xml:space="preserve"> Challenges to Grassroots Organization Engagement with AI Policy — https://openalex.org/W7165424158</w:t>
      </w:r>
    </w:p>
    <w:p>
      <w:pPr/>
      <w:r>
        <w:rPr>
          <w:b/>
        </w:rPr>
        <w:t>Shared claim-specific concepts:</w:t>
      </w:r>
      <w:r>
        <w:t xml:space="preserve"> engagement, other, challenges; EU scope not established. This is a provisional connection, not an outcome finding.</w:t>
      </w:r>
    </w:p>
    <w:p>
      <w:pPr>
        <w:pStyle w:val="SourceNote"/>
      </w:pPr>
      <w:r>
        <w:rPr>
          <w:b/>
        </w:rPr>
        <w:t>Available abstract (not full text):</w:t>
      </w:r>
      <w:r>
        <w:t xml:space="preserve"> Public policies are being developed around the world to address privacy, economic, intellectual property, energy, and other risks that AI technologies pose. Involvement from the general public is essential to governance as an accountability and alignment mechanism. However, participating in and impacting policymaking can be challenging for sections of the public that lack extensive networks, lobbying capabilities, and other forms of power. This challenge is especially acute for marginalized communities. In this paper, we present a case study of our organization's efforts to bring participatory design (PD) principles to AI policymaking in the US. We describe our engagements with several US policy bodies, and our participatory development of AI policy for queer people. We highlight challenges with PD practice with marginalized communities, and offer suggestions to alleviate them. We conclude with actionable recommendations for policymakers and other organizers working in marginalized communities.</w:t>
      </w:r>
    </w:p>
    <w:p>
      <w:pPr/>
      <w:r>
        <w:rPr>
          <w:b/>
        </w:rPr>
        <w:t>POSSIBLE 2025:</w:t>
      </w:r>
      <w:r>
        <w:t xml:space="preserve"> Design Policy Mapping in Europe — https://openalex.org/W7215223829</w:t>
      </w:r>
    </w:p>
    <w:p>
      <w:pPr/>
      <w:r>
        <w:rPr>
          <w:b/>
        </w:rPr>
        <w:t>Shared claim-specific concepts:</w:t>
      </w:r>
      <w:r>
        <w:t xml:space="preserve"> strategies, each, other; EU scope visible. This is a provisional connection, not an outcome finding.</w:t>
      </w:r>
    </w:p>
    <w:p>
      <w:pPr>
        <w:pStyle w:val="SourceNote"/>
      </w:pPr>
      <w:r>
        <w:rPr>
          <w:b/>
        </w:rPr>
        <w:t>Available abstract (not full text):</w:t>
      </w:r>
      <w:r>
        <w:t xml:space="preserve"> This study set out to map how design features in national policy frameworks across Europe. The results of the study reveal a striking paradox. On the one hand, explicit design policies are rare: in 2025 only two countries – Latvia and Iceland – maintain government-adopted national strategies dedicated to design. This represents a marked decline from the 2010s, when European Commission initiatives such as the Innovation Union and its Action Plan for Design-driven Innovation inspired more than a dozen national and regional design policies. On the other hand, design is more visible and influential than ever. Our mapping shows that it now appears in a wide range of policy domains. Beyond its traditional home in Cultural and Creative Industries strategies, design has been taken up in innovation policies, industrial competitiveness strategies, circular economy and sustainability plans, digitalisation agendas, and built environment frameworks. In each case, design is framed differently – as a creative sector, a business capability, a sustainability lever, a public-service tool, or a means of shaping places and infrastructure.</w:t>
      </w:r>
    </w:p>
    <w:p>
      <w:pPr/>
      <w:r>
        <w:rPr>
          <w:b/>
        </w:rPr>
        <w:t>POSSIBLE 2025:</w:t>
      </w:r>
      <w:r>
        <w:t xml:space="preserve"> Polytraps in European rural mountainous regions: an expert view — https://doi.org/10.1080/09654313.2025.2473380</w:t>
      </w:r>
    </w:p>
    <w:p>
      <w:pPr/>
      <w:r>
        <w:rPr>
          <w:b/>
        </w:rPr>
        <w:t>Shared claim-specific concepts:</w:t>
      </w:r>
      <w:r>
        <w:t xml:space="preserve"> experts, engagement, challenges; EU scope visible. This is a provisional connection, not an outcome finding.</w:t>
      </w:r>
    </w:p>
    <w:p>
      <w:pPr>
        <w:pStyle w:val="SourceNote"/>
      </w:pPr>
      <w:r>
        <w:rPr>
          <w:b/>
        </w:rPr>
        <w:t>Available abstract (not full text):</w:t>
      </w:r>
      <w:r>
        <w:t xml:space="preserve"> Many territorial and development policies in the European Union recognize that rural mountainous regions suffer from enduring natural and demographic disadvantages. These regions frequently face undesirable, persistent and self-reinforcing challenges, often conceptualized as traps. Through engagement with a panel of experts on mountainous regions, we examined whether the trap concept effectively explains the development challenges in European mountainous areas. We find that the distinguishing feature of these challenges is their multidimensional interrelatedness, which can give rise to multiple, simultaneously occurring traps (e.g. rigidity traps, poverty traps, lock-in traps, and regional development traps). In effect, we find that mountainous regions experience a polytrap – a complex of concurrent traps, maladaptive processes, an absence or severe limitation of bounce-back resilience, and difficulties in achieving bounce-forward resilience, largely due to dependence on external actors and factors. This polytrap concept emphasizes the need for rural policies to acknowledge these multifaceted challenges and both enable and promote place-based approaches for revitalizing left-behind places.</w:t>
      </w:r>
    </w:p>
    <w:p>
      <w:pPr/>
      <w:r>
        <w:rPr>
          <w:b/>
        </w:rPr>
        <w:t>POSSIBLE 2024:</w:t>
      </w:r>
      <w:r>
        <w:t xml:space="preserve"> Editorial: European Optical Society Annual Meeting (EOSAM) 2023 — https://doi.org/10.1051/jeos/2024037</w:t>
      </w:r>
    </w:p>
    <w:p>
      <w:pPr/>
      <w:r>
        <w:rPr>
          <w:b/>
        </w:rPr>
        <w:t>Shared claim-specific concepts:</w:t>
      </w:r>
      <w:r>
        <w:t xml:space="preserve"> organized, meetings, experts, three, challenges, between; EU scope visible. This is a provisional connection, not an outcome finding.</w:t>
      </w:r>
    </w:p>
    <w:p>
      <w:pPr>
        <w:pStyle w:val="SourceNote"/>
      </w:pPr>
      <w:r>
        <w:rPr>
          <w:b/>
        </w:rPr>
        <w:t>Available abstract (not full text):</w:t>
      </w:r>
      <w:r>
        <w:t xml:space="preserve"> The European Optical Society Annual Meeting, EOSAM, covers all aspects of optics and photonics within several topical meetings and sessions.The 11th EOSAM was organized by EOS and SFO onsite in Dijon, France, at the Dijon Exhibition and Convention Center, 11-15 September 2023.It was attended by over 500 researchers, key leaders, students, and industry experts from over 34 different countries all over the world.The event provided a comprehensive overview of cutting-edge research in optics and photonics, from fundamental to applied, and of industrial developments through more than 420 presentations in 10 thematic sessions highlighting the most innovative and emerging research, including: silicon photonics and integrated optics, adaptive and freeform optics, biophotonics, nanophotonics, optical materials, nonlinear and quantum optics, optical frequency combs, ultrafast optics, optoelectronic nanotechnologies and microsystems, and optics applications.Four focused sessions completed the panorama: specialty optical fibers, structured light, chiroptical phenomena, machine-learning for optics and photonic computing for Artificial Intelligence (AI).This annual international congress highlighted the richness and vigor of all the optics sectors in France, Europe and the rest of the world.An industrial session dedicated to technological innovations was complemented by an exhibition area fo</w:t>
      </w:r>
    </w:p>
    <w:p>
      <w:pPr/>
      <w:r>
        <w:rPr>
          <w:b/>
        </w:rPr>
        <w:t>POSSIBLE 2024:</w:t>
      </w:r>
      <w:r>
        <w:t xml:space="preserve"> Biodiversity monitoring in Europe: User and policy needs — https://doi.org/10.1111/conl.13038</w:t>
      </w:r>
    </w:p>
    <w:p>
      <w:pPr/>
      <w:r>
        <w:rPr>
          <w:b/>
        </w:rPr>
        <w:t>Shared claim-specific concepts:</w:t>
      </w:r>
      <w:r>
        <w:t xml:space="preserve"> experts, engagement, challenges, four, identified; EU scope visible. This is a provisional connection, not an outcome finding.</w:t>
      </w:r>
    </w:p>
    <w:p>
      <w:pPr>
        <w:pStyle w:val="SourceNote"/>
      </w:pPr>
      <w:r>
        <w:rPr>
          <w:b/>
        </w:rPr>
        <w:t>Available abstract (not full text):</w:t>
      </w:r>
      <w:r>
        <w:t xml:space="preserve"> Abstract To achieve the goals of the 2030 Global Biodiversity Framework, the European Biodiversity Strategy, and the EU Green Deal, biodiversity monitoring is critical. Monitoring efforts in Europe, however, suffer from gaps and biases in taxonomy, spatial coverage, and temporal resolution, resulting in fragmented and disconnected data. To assess user and policy needs in biodiversity monitoring, we employed a four‐step user‐centered stakeholder engagement process with over 300 stakeholders including a public stakeholder workshop, online survey, interviews, and a meeting with experts from 18 EU member states, the European Commission, and the European Environment Agency. The stakeholders identified policy needs, current challenges, and potential solutions. Based on the policy and stakeholder assessment, we recommend establishing a European Biodiversity Observation Coordinating Centre to optimize existing observation efforts, harmonize data, and enhance our ability to predict and respond to key challenges related to biodiversity loss in Europe.</w:t>
      </w:r>
    </w:p>
    <w:p>
      <w:pPr/>
      <w:r>
        <w:rPr>
          <w:b/>
        </w:rPr>
        <w:t>POSSIBLE 2024:</w:t>
      </w:r>
      <w:r>
        <w:t xml:space="preserve"> Organized violence 1989–2023, and the prevalence of organized crime groups — https://doi.org/10.1177/00223433241262912</w:t>
      </w:r>
    </w:p>
    <w:p>
      <w:pPr/>
      <w:r>
        <w:rPr>
          <w:b/>
        </w:rPr>
        <w:t>Shared claim-specific concepts:</w:t>
      </w:r>
      <w:r>
        <w:t xml:space="preserve"> organized, three, between; EU scope not established. This is a provisional connection, not an outcome finding.</w:t>
      </w:r>
    </w:p>
    <w:p>
      <w:pPr>
        <w:pStyle w:val="SourceNote"/>
      </w:pPr>
      <w:r>
        <w:rPr>
          <w:b/>
        </w:rPr>
        <w:t>Available abstract (not full text):</w:t>
      </w:r>
      <w:r>
        <w:t xml:space="preserve"> Abstract This article examines trends in organized violence based on new data from the Uppsala Conflict Data Program (UCDP). In 2023, fatalities from organized violence decreased for the first time since the rapid increase observed in 2020, dropping from 310,000 in 2022 to 154,000 in 2023. Despite this decline, these figures represent some of the highest fatality rates recorded since the Rwandan genocide in 1994, surpassed only by those of 2022 and 2021. The decrease was primarily attributed to the end of the conflict in Ethiopia’s Tigray region, which accounted for about 60% of battle-related deaths in both 2022 and 2021. Despite this positive development, the number of active state-based armed conflicts increased by three in 2023, reaching the highest level ever recorded by the UCDP, totaling 59. Non-state conflicts and one-sided violence decreased in 2023 when compared to 2022, evident in both the reduction of the active conflicts/actors and the decrease in fatalities attributed to these forms of violence. However, despite this overall decrease, fatalities resulting from non-state conflicts remained at historically high levels in 2023. Analysis of non-state conflict data spanning the past decade reveals that it comprises the ten most violent years on record. Organized crime groups have predominantly fueled this escalation. Unlike rebel groups, organized crime groups typicall</w:t>
      </w:r>
    </w:p>
    <w:p>
      <w:pPr/>
      <w:r>
        <w:rPr>
          <w:b/>
        </w:rPr>
        <w:t>POSSIBLE 2023:</w:t>
      </w:r>
      <w:r>
        <w:t xml:space="preserve"> Update on the clinical use of trabecular bone score (TBS) in the management of osteoporosis: results of an expert group meeting organized by the European Society for Clinical and Economic Aspects of Osteoporosis, Osteoarthritis and Musculoskeletal Diseases (ESCEO), and the International Osteoporosis Foundation (IOF) under the auspices of WHO Collaborating Center for Epidemiology of Musculoskeletal Health and Aging — https://doi.org/10.1007/s00198-023-06817-4</w:t>
      </w:r>
    </w:p>
    <w:p>
      <w:pPr/>
      <w:r>
        <w:rPr>
          <w:b/>
        </w:rPr>
        <w:t>Shared claim-specific concepts:</w:t>
      </w:r>
      <w:r>
        <w:t xml:space="preserve"> organized, strategies, four; EU scope visible. This is a provisional connection, not an outcome finding.</w:t>
      </w:r>
    </w:p>
    <w:p>
      <w:pPr>
        <w:pStyle w:val="SourceNote"/>
      </w:pPr>
      <w:r>
        <w:rPr>
          <w:b/>
        </w:rPr>
        <w:t>Available abstract (not full text):</w:t>
      </w:r>
      <w:r>
        <w:t xml:space="preserve"> PURPOSE: Trabecular bone score (TBS) is a grey-level textural measurement acquired from dual-energy X-ray absorptiometry lumbar spine images and is a validated index of bone microarchitecture. In 2015, a Working Group of the European Society on Clinical and Economic Aspects of Osteoporosis, Osteoarthritis and Musculoskeletal Diseases (ESCEO) published a review of the TBS literature, concluding that TBS predicts hip and major osteoporotic fracture, at least partly independent of bone mineral density (BMD) and clinical risk factors. It was also concluded that TBS is potentially amenable to change as a result of pharmacological therapy. Further evidence on the utility of TBS has since accumulated in both primary and secondary osteoporosis, and the introduction of FRAX and BMD T-score adjustment for TBS has accelerated adoption. This position paper therefore presents a review of the updated scientific literature and provides expert consensus statements and corresponding operational guidelines for the use of TBS. METHODS: An Expert Working Group was convened by the ESCEO and a systematic review of the evidence undertaken, with defined search strategies for four key topics with respect to the potential use of TBS: (1) fracture prediction in men and women; (2) initiating and monitoring treatment in postmenopausal osteoporosis; (3) fracture prediction in secondary osteoporosis; and (4)</w:t>
      </w:r>
    </w:p>
    <w:p>
      <w:pPr/>
      <w:r>
        <w:rPr>
          <w:b/>
        </w:rPr>
        <w:t>POSSIBLE 2023:</w:t>
      </w:r>
      <w:r>
        <w:t xml:space="preserve"> Stakeholder engagement and decarbonization pathways: Meeting the challenges of the COVID-19 pandemic — https://doi.org/10.3389/frsus.2022.1063719</w:t>
      </w:r>
    </w:p>
    <w:p>
      <w:pPr/>
      <w:r>
        <w:rPr>
          <w:b/>
        </w:rPr>
        <w:t>Shared claim-specific concepts:</w:t>
      </w:r>
      <w:r>
        <w:t xml:space="preserve"> organized, meetings, engagement, strategies, other, challenges; EU scope not established. This is a provisional connection, not an outcome finding.</w:t>
      </w:r>
    </w:p>
    <w:p>
      <w:pPr>
        <w:pStyle w:val="SourceNote"/>
      </w:pPr>
      <w:r>
        <w:rPr>
          <w:b/>
        </w:rPr>
        <w:t>Available abstract (not full text):</w:t>
      </w:r>
      <w:r>
        <w:t xml:space="preserve"> Climate change is an extremely complex challenge characterized by its systemic nature and deep uncertainties. Thus, finding solutions requires a continuing and constructive dialogue between the research community and a wide range of stakeholders from governments, non-governmental organizations, civil society, international organizations, industry, businesses and financial institutions. The ENGAGE project ( https://www.engage-climate.org/ ) is advancing knowledge co-production through an iterative process of stakeholder engagement with two main streams: (i) stakeholder co-design and assessment of global decarbonization pathways and (ii) stakeholder dialogues on national policies and pathways. Both the global and national stakeholder processes are designed to inform multiple project activities, including: conceptualization of feasibility and assessing the feasibility of decarbonization policies and strategies; decarbonization pathway development using integrated assessment models and considering both feasibility and equity; and assessment of the relative importance of climate change impacts vis-à-vis potential co-benefits. With the start of the COVID-19 pandemic 6 months after the beginning of the project, all of the stakeholder engagement activities had to be organized as online events. Between March 2020 and April 2022, 5 online workshops were organized, two at the global level</w:t>
      </w:r>
    </w:p>
    <w:p>
      <w:pPr/>
      <w:r>
        <w:rPr>
          <w:b/>
        </w:rPr>
        <w:t>POSSIBLE 2023:</w:t>
      </w:r>
      <w:r>
        <w:t xml:space="preserve"> The External Dimension of the European Migration and Asylum Policy: the EU's Organized Hypocrisy in Cooperation with Southern Neighbor Countries — https://doi.org/10.5281/zenodo.7688211</w:t>
      </w:r>
    </w:p>
    <w:p>
      <w:pPr/>
      <w:r>
        <w:rPr>
          <w:b/>
        </w:rPr>
        <w:t>Shared claim-specific concepts:</w:t>
      </w:r>
      <w:r>
        <w:t xml:space="preserve"> organized, between, identified; EU scope visible. This is a provisional connection, not an outcome finding.</w:t>
      </w:r>
    </w:p>
    <w:p>
      <w:pPr>
        <w:pStyle w:val="SourceNote"/>
      </w:pPr>
      <w:r>
        <w:rPr>
          <w:b/>
        </w:rPr>
        <w:t>Available abstract (not full text):</w:t>
      </w:r>
      <w:r>
        <w:t xml:space="preserve"> The European Union (EU) has reacted to the migration crises of the last decade with growing externalization of migration management to neighbor countries often accused of not respecting human rights and individual liberties. Focusing on EU cooperation with Southern Neighbor Countries (SNCs), this paper investigates the recent developments in the EU’s external migration policies, demonstrating the decoupling between EU discourses and policy instruments such as mobility partnerships, readmission and visa facilitation agreements, identified by the EU as strategic tools of the European migration and asylum policy (MAP). Five SNCs have been selected, Tunisia, Morocco, Egypt, Jordan and Lebanon, to assess the extent to which the EU is delegating to neighboring countries the management of irregular flows, placing international protection at risk instead of playing the role of humanitarian actor in accordance with the ideals and principles it defends, as claimed in EU documents. The research critically analyses the EU’s cooperation with SNCs concerning migration, as codified in association agreements, action plans and mobility partnerships, and explores the incompatibility between the European MAP instruments and international protection. MAP represents a clear mismatch between EU talk and action, outlining another case of organized hypocrisy.</w:t>
      </w:r>
    </w:p>
    <w:p>
      <w:pPr/>
      <w:r>
        <w:rPr>
          <w:b/>
        </w:rPr>
        <w:t>POSSIBLE 2022:</w:t>
      </w:r>
      <w:r>
        <w:t xml:space="preserve"> Feedback from the 8th European Bioanalysis Forum Young Scientist Symposium — https://doi.org/10.4155/bio-2022-0232</w:t>
      </w:r>
    </w:p>
    <w:p>
      <w:pPr/>
      <w:r>
        <w:rPr>
          <w:b/>
        </w:rPr>
        <w:t>Shared claim-specific concepts:</w:t>
      </w:r>
      <w:r>
        <w:t xml:space="preserve"> organized, experts, challenges; EU scope visible. This is a provisional connection, not an outcome finding.</w:t>
      </w:r>
    </w:p>
    <w:p>
      <w:pPr>
        <w:pStyle w:val="SourceNote"/>
      </w:pPr>
      <w:r>
        <w:rPr>
          <w:b/>
        </w:rPr>
        <w:t>Available abstract (not full text):</w:t>
      </w:r>
      <w:r>
        <w:t xml:space="preserve"> After 2 years of COVID-19 restrictions, the 8th Young Scientist Symposium was organized again as a face-to-face meeting covering a broad array of scientific presentations. As in the previous editions, the meeting was organized by young scientists for young scientists under the umbrella of the European Bioanalysis Forum and in collaboration with academia. The traditional Science Café was again included as an interactive round table session. This year, the main focus was on the challenges of communication. New for the 8th edition was a session connecting the young scientists with more seasoned experts in an effort to bridge talent and experience. In this article, we share the feedback of the scientific sessions and the Science Café held at the symposium.</w:t>
      </w:r>
    </w:p>
    <w:p>
      <w:pPr>
        <w:pStyle w:val="Heading2"/>
      </w:pPr>
      <w:r>
        <w:t>774. The implications of demographic and economic projections on public pension spending in the European Union</w:t>
      </w:r>
    </w:p>
    <w:p>
      <w:pPr>
        <w:pStyle w:val="SourceNote"/>
      </w:pPr>
      <w:r>
        <w:rPr>
          <w:b/>
        </w:rPr>
        <w:t>Original source (2018):</w:t>
      </w:r>
      <w:r>
        <w:t xml:space="preserve"> https://doi.org/10.1080/21699763.2017.1411288</w:t>
      </w:r>
    </w:p>
    <w:p>
      <w:pPr/>
      <w:r>
        <w:t>Original wording (abstract; indexed_source_text_not_full_document_verified): This paper analyses the implications that demographic and economic projections have on public pension spending in the European Union (EU). Using some stylised facts, we study the aging trends of the population, as well as labour force and employment projections.</w:t>
      </w:r>
    </w:p>
    <w:p>
      <w:pPr/>
      <w:r>
        <w:rPr>
          <w:b/>
        </w:rPr>
        <w:t>POSSIBLE 2026:</w:t>
      </w:r>
      <w:r>
        <w:t xml:space="preserve"> Australia-European Union Free Trade Agreement negotiations conclude: implications for Australian and EU geographical indications — https://doi.org/10.1093/jiplp/jpag079</w:t>
      </w:r>
    </w:p>
    <w:p>
      <w:pPr/>
      <w:r>
        <w:rPr>
          <w:b/>
        </w:rPr>
        <w:t>Shared claim-specific concepts:</w:t>
      </w:r>
      <w:r>
        <w:t xml:space="preserve"> abstract, analyses, implications, union; EU scope visible. This is a provisional connection, not an outcome finding.</w:t>
      </w:r>
    </w:p>
    <w:p>
      <w:pPr>
        <w:pStyle w:val="SourceNote"/>
      </w:pPr>
      <w:r>
        <w:rPr>
          <w:b/>
        </w:rPr>
        <w:t>Available abstract (not full text):</w:t>
      </w:r>
      <w:r>
        <w:t xml:space="preserve"> Abstract This article analyses the recent conclusion of the Australia-European Union Free Trade Agreement and its significance for the future of geographical indications protection in Australia and the European Union. It examines how the Agreement may shape the development and harmonisation of intellectual property frameworks, particularly in relation to geographical indications regimes. It evaluates the implications of the Agreement for future intellectual policy, regulatory cooperation, and geographical indications protection strategies across both jurisdictions.</w:t>
      </w:r>
    </w:p>
    <w:p>
      <w:pPr/>
      <w:r>
        <w:rPr>
          <w:b/>
        </w:rPr>
        <w:t>POSSIBLE 2026:</w:t>
      </w:r>
      <w:r>
        <w:t xml:space="preserve"> Ageing Europe: Demographic Change, Active Ageing, and EU Legislative Strategies — https://doi.org/10.5281/zenodo.20000812</w:t>
      </w:r>
    </w:p>
    <w:p>
      <w:pPr/>
      <w:r>
        <w:rPr>
          <w:b/>
        </w:rPr>
        <w:t>Shared claim-specific concepts:</w:t>
      </w:r>
      <w:r>
        <w:t xml:space="preserve"> implications, demographic, pension, union, trends, population; EU scope visible. This is a provisional connection, not an outcome finding.</w:t>
      </w:r>
    </w:p>
    <w:p>
      <w:pPr>
        <w:pStyle w:val="SourceNote"/>
      </w:pPr>
      <w:r>
        <w:rPr>
          <w:b/>
        </w:rPr>
        <w:t>Available abstract (not full text):</w:t>
      </w:r>
      <w:r>
        <w:t xml:space="preserve"> Population ageing represents one of the most significant demographic and socio-economic challenges currently facing the European Union. Driven primarily by declining fertility rates and increasing life expectancy, this process has profound implications for labour markets, pension systems, public finances, and social cohesion. The study aims to analyse population ageing within the European Union, with a particular focus on the social position of older persons and the extent to which European Union legislation and strategic initiatives address their needs. Using a three-stage methodological approach—comprising a review of demographic theory and contemporary research, an analysis of demographic ageing trends in the EU, and an examination of selected EU legislative and strategic measures—the article explores key issues related to active ageing, equal treatment, labour market participation, and the coordination of social security systems. Special attention is devoted to anti-discrimination law, notably Council Directive 2000/78/EC, related case law of the Court of Justice of the European Union, and non-legislative initiatives such as the Green Paper on Ageing. The findings highlight both progress and persisting gaps in EU-level responses, underlining the need for more comprehensive and binding legislative action to improve the quality of life and social inclusion of older persons.</w:t>
      </w:r>
    </w:p>
    <w:p>
      <w:pPr/>
      <w:r>
        <w:rPr>
          <w:b/>
        </w:rPr>
        <w:t>POSSIBLE 2025:</w:t>
      </w:r>
      <w:r>
        <w:t xml:space="preserve"> Deprivations Rarely Come Alone. Multidimensional Poverty Dynamics in Europe — https://doi.org/10.1111/roiw.70031</w:t>
      </w:r>
    </w:p>
    <w:p>
      <w:pPr/>
      <w:r>
        <w:rPr>
          <w:b/>
        </w:rPr>
        <w:t>Shared claim-specific concepts:</w:t>
      </w:r>
      <w:r>
        <w:t xml:space="preserve"> abstract, implications, union; EU scope visible. This is a provisional connection, not an outcome finding.</w:t>
      </w:r>
    </w:p>
    <w:p>
      <w:pPr>
        <w:pStyle w:val="SourceNote"/>
      </w:pPr>
      <w:r>
        <w:rPr>
          <w:b/>
        </w:rPr>
        <w:t>Available abstract (not full text):</w:t>
      </w:r>
      <w:r>
        <w:t xml:space="preserve"> ABSTRACT This article proposes a framework to analyse micro‐level dynamics inherent to multidimensional poverty measures. Specifically, I use differences in deprivation transition probabilities between multidimensionally poor and nonpoor people, to analyse how deprivations couple over time. Advantages of this approach include that it (i) summarises relevant mechanisms, (ii) requires only short‐run panel data and (iii) is suitable for monitoring purposes. Using the European Union Statistics on Income and Living Conditions (EU‐SILC) for 20+ countries over 2016–2020, I find that deprivations tend to couple over time. Implications include that coordinated policy programmes seem critical to overcome entrenched and prevent future deprivations.</w:t>
      </w:r>
    </w:p>
    <w:p>
      <w:pPr/>
      <w:r>
        <w:rPr>
          <w:b/>
        </w:rPr>
        <w:t>POSSIBLE 2025:</w:t>
      </w:r>
      <w:r>
        <w:t xml:space="preserve"> Characterisation of the Historic Demographic Decline of the British European Polecat Population — https://doi.org/10.1111/mec.70091</w:t>
      </w:r>
    </w:p>
    <w:p>
      <w:pPr/>
      <w:r>
        <w:rPr>
          <w:b/>
        </w:rPr>
        <w:t>Shared claim-specific concepts:</w:t>
      </w:r>
      <w:r>
        <w:t xml:space="preserve"> analyses, implications, demographic, population; EU scope visible. This is a provisional connection, not an outcome finding.</w:t>
      </w:r>
    </w:p>
    <w:p>
      <w:pPr>
        <w:pStyle w:val="SourceNote"/>
      </w:pPr>
      <w:r>
        <w:rPr>
          <w:b/>
        </w:rPr>
        <w:t>Available abstract (not full text):</w:t>
      </w:r>
      <w:r>
        <w:t xml:space="preserve"> The European polecat (Mustela putorius) has a widespread distribution across many countries of mainland Europe but is documented to be declining within these ranges. In Britain, direct persecution led to a severe decline of the polecat population during the 19th century. Unlike European mainland populations, it is now recovering across much of its former British range. The genomic and conservation implications of such a severe demographic decline, followed by the current recovery, have still to be characterised in the European polecat in Britain. Here we carry out population-level whole-genome analyses of 65 polecats from Britain (Wales and England) and the European mainland. Our analyses reveal that Welsh polecats show genetic variability from both English and European polecats, while British polecats as a whole exhibit signs of genetic isolation from mainland European populations. We also reconstructed the demographic history of the Welsh polecat to quantify the magnitude of the bottleneck. Our analyses confirmed the drastic decline of the Welsh polecat's effective population size, with a severe genetic bottleneck around 30-40 generations ago (1854-894). We investigated whether whole-genome diversity reflected this demographic event and found that Welsh polecats had significantly less genetic diversity than English polecats, but not European polecats. Runs of homozygosity and</w:t>
      </w:r>
    </w:p>
    <w:p>
      <w:pPr/>
      <w:r>
        <w:rPr>
          <w:b/>
        </w:rPr>
        <w:t>POSSIBLE 2025:</w:t>
      </w:r>
      <w:r>
        <w:t xml:space="preserve"> The Demographic Causes of European Sub-National Population Declines — https://doi.org/10.1007/s10680-025-09730-0</w:t>
      </w:r>
    </w:p>
    <w:p>
      <w:pPr/>
      <w:r>
        <w:rPr>
          <w:b/>
        </w:rPr>
        <w:t>Shared claim-specific concepts:</w:t>
      </w:r>
      <w:r>
        <w:t xml:space="preserve"> analyses, demographic, population; EU scope visible. This is a provisional connection, not an outcome finding.</w:t>
      </w:r>
    </w:p>
    <w:p>
      <w:pPr>
        <w:pStyle w:val="SourceNote"/>
      </w:pPr>
      <w:r>
        <w:rPr>
          <w:b/>
        </w:rPr>
        <w:t>Available abstract (not full text):</w:t>
      </w:r>
      <w:r>
        <w:t xml:space="preserve"> Population decline is now established at the continental scale in Europe, occurring in abundance across sub-national areas and outweighing population growth. This represents an unfamiliar pathway of demographic change and is set to present unique challenges to the functioning of societies and economies. The nature of these challenges will be influenced by the demographic cause of population decline. Typically, low fertility is cited as the primary instigator, though it remains unclear of the ways in which unique interactions between fertility, mortality and migration have shaped contemporary population decline outcomes. This study empirically analyses the demographic causes of population decline in 732 sub-national areas extending across 33 European countries. Drawing on data derived from national statistics from 2000-2018, we employ a novel methodological approach consisting of decomposition, multivariate functional principal component analysis, and k-medoid clustering to identify the dominant demographic processes underpinning European depopulation. Our analysis reveals five unique signatures, encoding nuanced contributions from fertility, mortality and migration changes. Population decline is found to be a multi-causal process, with natural deficits and negative rates of net-migration both operating depopulations in most instances. We conclude that natural deficits are ubiqu</w:t>
      </w:r>
    </w:p>
    <w:p>
      <w:pPr/>
      <w:r>
        <w:rPr>
          <w:b/>
        </w:rPr>
        <w:t>POSSIBLE 2025:</w:t>
      </w:r>
      <w:r>
        <w:t xml:space="preserve"> Prevalence of Glaucoma in Europe and Projections to 2050 — https://doi.org/10.1016/j.ophtha.2025.06.002</w:t>
      </w:r>
    </w:p>
    <w:p>
      <w:pPr/>
      <w:r>
        <w:rPr>
          <w:b/>
        </w:rPr>
        <w:t>Shared claim-specific concepts:</w:t>
      </w:r>
      <w:r>
        <w:t xml:space="preserve"> analyses, implications, projections, trends, population; EU scope visible. This is a provisional connection, not an outcome finding.</w:t>
      </w:r>
    </w:p>
    <w:p>
      <w:pPr>
        <w:pStyle w:val="SourceNote"/>
      </w:pPr>
      <w:r>
        <w:rPr>
          <w:b/>
        </w:rPr>
        <w:t>Available abstract (not full text):</w:t>
      </w:r>
      <w:r>
        <w:t xml:space="preserve"> PURPOSE: To provide updated glaucoma prevalence estimates and to quantify the current and future burden of disease in Europe. DESIGN: Two-stage, individual participant data meta-analysis. PARTICIPANTS: We included 55 415 adults ≥40 years of age (mean age, 65.6 years; 53.9% women) from 14 population-based studies (1991-2020) with case ascertainment based on direct ophthalmic examination. METHODS: Within each study, age- and sex-stratified glaucoma prevalence was calculated, before pooling results using random-effects meta-analysis and performing age standardization. Meta-regression and subgroup analyses were used to assess for temporal trends and to investigate heterogeneity across clinically relevant subgroups. Estimates were applied to European population projections to predict the number of individuals with glaucoma. MAIN OUTCOME MEASURES: Age-standardized prevalence (European Standard Population, 2013) of total and previously undiagnosed glaucoma for individuals ≥40 years of age and annual projected number of glaucoma cases (UN World Population Prospects, 2022) in Europe to 2050. RESULTS: Overall, 2021 participants (3.65%) received a diagnosis of glaucoma with an age-standardized European prevalence of 2.99% (95% confidence interval [CI], 2.86%-3.12%). Older age (odds ratio [OR], 1.32 per 5-year increase; 95% CI, 1.29-1.36; P &lt; 0.001) and male sex (OR, 1.18; 95% CI, 1.08-1.3</w:t>
      </w:r>
    </w:p>
    <w:p>
      <w:pPr/>
      <w:r>
        <w:rPr>
          <w:b/>
        </w:rPr>
        <w:t>POSSIBLE 2025:</w:t>
      </w:r>
      <w:r>
        <w:t xml:space="preserve"> Projection in journalists’ perceptions of public opinion — https://doi.org/10.1177/14648849251346198</w:t>
      </w:r>
    </w:p>
    <w:p>
      <w:pPr/>
      <w:r>
        <w:rPr>
          <w:b/>
        </w:rPr>
        <w:t>Shared claim-specific concepts:</w:t>
      </w:r>
      <w:r>
        <w:t xml:space="preserve"> implications, well; EU scope visible. This is a provisional connection, not an outcome finding.</w:t>
      </w:r>
    </w:p>
    <w:p>
      <w:pPr>
        <w:pStyle w:val="SourceNote"/>
      </w:pPr>
      <w:r>
        <w:rPr>
          <w:b/>
        </w:rPr>
        <w:t>Available abstract (not full text):</w:t>
      </w:r>
      <w:r>
        <w:t xml:space="preserve"> Journalists’ perceptions of public opinion influence their reporting. Yet, the factors driving these public opinion perceptions are not well understood. This study examines one such potential factor, namely the impact of journalists’ own policy opinions on their estimations of public opinion. Concretely, we identify which journalists are more susceptible to such so-called social projection . Moreover, we investigate which factors moderate the relationship between own opinion and perceived public opinion. Drawing on unique survey data from political journalists in Belgium, the Netherlands, and Switzerland, we demonstrate that journalists’ own policy opinions are indeed correlated with their public opinion estimations. Moreover, we find that journalists whose political opinions tend to the right are more likely to perceive public opinion in line with their own opinion. Finally, our findings indicate that journalists project less when estimating public opinion on policies within their news beats, and they project less when they perceive public opinion on a policy issue as ambiguous. We discuss the implications of our findings for journalism as a profession.</w:t>
      </w:r>
    </w:p>
    <w:p>
      <w:pPr/>
      <w:r>
        <w:rPr>
          <w:b/>
        </w:rPr>
        <w:t>POSSIBLE 2025:</w:t>
      </w:r>
      <w:r>
        <w:t xml:space="preserve"> Projections of Public Spending on Pharmaceuticals: A Review of Methods — https://doi.org/10.1007/s40273-024-01465-w</w:t>
      </w:r>
    </w:p>
    <w:p>
      <w:pPr/>
      <w:r>
        <w:rPr>
          <w:b/>
        </w:rPr>
        <w:t>Shared claim-specific concepts:</w:t>
      </w:r>
      <w:r>
        <w:t xml:space="preserve"> projections, spending, union, trends; EU scope visible. This is a provisional connection, not an outcome finding.</w:t>
      </w:r>
    </w:p>
    <w:p>
      <w:pPr>
        <w:pStyle w:val="SourceNote"/>
      </w:pPr>
      <w:r>
        <w:rPr>
          <w:b/>
        </w:rPr>
        <w:t>Available abstract (not full text):</w:t>
      </w:r>
      <w:r>
        <w:t xml:space="preserve"> BACKGROUND: Forecasting future public pharmaceutical expenditure is a challenge for healthcare payers, particularly owing to the unpredictability of new market introductions and their economic impact. No best-practice forecasting methods have been established so far. The literature distinguishes between the top-down approach, based on historical trends, and the bottom-up approach, using a combination of historical and horizon scanning data. The objective of this review is to describe the methods for projections of pharmaceutical expenditure that apply the "bottom-up" approach and to synthesize the knowledge of their predictive accuracy. METHODS: Projections of public pharmaceutical expenditure applicable to Western economies including a comprehensive method description and published 2000-2024 were searched in scientific databases (MEDLINE, EMBASE, and EconLit) and in gray literature (websites of international health organizations and national healthcare authorities). The data sources, assumptions about the future market dynamics, analytical approaches, and the projection results are summarized. RESULTS: Twenty-four out of 3492 screened publications were included, associated with nine expenditure projection models. Four models were developed for all reimbursable drugs in the USA, the UK, the Stockholm region (Sweden), and seven European Union (EU) countries: France, Germany, Gre</w:t>
      </w:r>
    </w:p>
    <w:p>
      <w:pPr/>
      <w:r>
        <w:rPr>
          <w:b/>
        </w:rPr>
        <w:t>POSSIBLE 2024:</w:t>
      </w:r>
      <w:r>
        <w:t xml:space="preserve"> Cross‐border dimensions of Arctic climate change impacts and implications for Europe — https://doi.org/10.1002/wcc.905</w:t>
      </w:r>
    </w:p>
    <w:p>
      <w:pPr/>
      <w:r>
        <w:rPr>
          <w:b/>
        </w:rPr>
        <w:t>Shared claim-specific concepts:</w:t>
      </w:r>
      <w:r>
        <w:t xml:space="preserve"> abstract, implications, well; EU scope visible. This is a provisional connection, not an outcome finding.</w:t>
      </w:r>
    </w:p>
    <w:p>
      <w:pPr>
        <w:pStyle w:val="SourceNote"/>
      </w:pPr>
      <w:r>
        <w:rPr>
          <w:b/>
        </w:rPr>
        <w:t>Available abstract (not full text):</w:t>
      </w:r>
      <w:r>
        <w:t xml:space="preserve"> Abstract The Arctic has warmed almost four times faster than the rest of the globe during the past four decades. This has led to multiple impacts in the Arctic such as the melting of glaciers and the Greenland ice sheet, sea ice retreat, permafrost thaw, altered species distribution and abundance, changes in hydrology and snow conditions, and altered wildfire regimes. These documented and projected impacts in the region can also propagate across borders, creating risks and opportunities requiring adaptation responses well beyond the Arctic. By undertaking a systematic literature review that uses a conceptual framework for cross‐border climate change impacts, we demonstrate how local impacts of the type described above, which are often analyzed separately in the literature, may initiate knock‐on effects that can be transmitted and transformed across borders. We illustrate examples of six categories of cross‐border risks resulting from this impact transmission and potentially requiring adaptation. These concern biophysical impacts, trade, infrastructure, finance, geopolitical relationships and human security and social justice. We examine potential adaptation options for responding to such cross‐border risks that are of relevance for Europe. The systemic approach taken in this paper promotes improved understanding of trade‐offs between potential benefits and risks, assists priori</w:t>
      </w:r>
    </w:p>
    <w:p>
      <w:pPr/>
      <w:r>
        <w:rPr>
          <w:b/>
        </w:rPr>
        <w:t>POSSIBLE 2024:</w:t>
      </w:r>
      <w:r>
        <w:t xml:space="preserve"> China’s Trade Surplus – Implications for the World and for Europe — https://doi.org/10.2478/ie-2024-0022</w:t>
      </w:r>
    </w:p>
    <w:p>
      <w:pPr/>
      <w:r>
        <w:rPr>
          <w:b/>
        </w:rPr>
        <w:t>Shared claim-specific concepts:</w:t>
      </w:r>
      <w:r>
        <w:t xml:space="preserve"> abstract, analyses, implications, employment; EU scope visible. This is a provisional connection, not an outcome finding.</w:t>
      </w:r>
    </w:p>
    <w:p>
      <w:pPr>
        <w:pStyle w:val="SourceNote"/>
      </w:pPr>
      <w:r>
        <w:rPr>
          <w:b/>
        </w:rPr>
        <w:t>Available abstract (not full text):</w:t>
      </w:r>
      <w:r>
        <w:t xml:space="preserve"> Abstract China’s merchandise trade surplus has reached an all-time high and is likely to rise further. A key driver appears to be a policy push to further bolster Chinese domestic manufacturing production, implying the danger of significant overcapacities. China’s imbalance between domestic production and consumption implies that China draws on the domestic demand of other countries to sustain its economic growth. It does so at the potential expense of production and employment of those trading partners with high trade deficits with China. As this constellation could be the source of growing trade conflicts, this article analyses China’s growing trade surplus in several dimensions with a focus on Chinas trade relation to the EU.</w:t>
      </w:r>
    </w:p>
    <w:p>
      <w:pPr/>
      <w:r>
        <w:rPr>
          <w:b/>
        </w:rPr>
        <w:t>POSSIBLE 2024:</w:t>
      </w:r>
      <w:r>
        <w:t xml:space="preserve"> Diet Impact Assessment model: an interactive tool for analysing the health, environmental and affordability implications of diets — https://doi.org/10.1093/eurpub/ckae144.032</w:t>
      </w:r>
    </w:p>
    <w:p>
      <w:pPr/>
      <w:r>
        <w:rPr>
          <w:b/>
        </w:rPr>
        <w:t>Shared claim-specific concepts:</w:t>
      </w:r>
      <w:r>
        <w:t xml:space="preserve"> abstract, implications; EU scope visible. This is a provisional connection, not an outcome finding.</w:t>
      </w:r>
    </w:p>
    <w:p>
      <w:pPr>
        <w:pStyle w:val="SourceNote"/>
      </w:pPr>
      <w:r>
        <w:rPr>
          <w:b/>
        </w:rPr>
        <w:t>Available abstract (not full text):</w:t>
      </w:r>
      <w:r>
        <w:t xml:space="preserve"> Abstract Global diets, environmental factors, and health require a holistic approach in public health discourse that takes into account the well-being of both humans and planetary health. Modeling tools have demonstrated being useful to estimate priorities and differences between countries and gain insight into future paths that depend on predetermined priorities. Modeling efforts that include environmental goals indicate the possibility of reducing environmental impacts while both improving food quality and overall health outcomes, especially in high-income settings. The aforementioned forecasts highlight the effectiveness of giving priority to dietary recommendations that lead to better, balanced patterns as the most effective approach to reducing mortality risks and environmental implications. The presentation will introduce the Diet Impact Assessment (DIA) model - a new interactive modelling tool for analysing the health, environmental and affordability implications of diets and dietary change. The tool enables countries to analyse user-specific scenarios of dietary change, and to estimate the health, environmental and cost burden of each scenario in terms of diet costs, avoidable deaths, changes in resource use and compatibility with global environmental targets, including those associated with food-related greenhouse gas emissions, land use, water use and fertilizer appli</w:t>
      </w:r>
    </w:p>
    <w:p>
      <w:pPr/>
      <w:r>
        <w:rPr>
          <w:b/>
        </w:rPr>
        <w:t>POSSIBLE 2024:</w:t>
      </w:r>
      <w:r>
        <w:t xml:space="preserve"> Europe’s Demographic Challenges as Determinants of Security — https://doi.org/10.14746/ps.2024.1.18</w:t>
      </w:r>
    </w:p>
    <w:p>
      <w:pPr/>
      <w:r>
        <w:rPr>
          <w:b/>
        </w:rPr>
        <w:t>Shared claim-specific concepts:</w:t>
      </w:r>
      <w:r>
        <w:t xml:space="preserve"> analyses, implications, demographic, trends, population; EU scope visible. This is a provisional connection, not an outcome finding.</w:t>
      </w:r>
    </w:p>
    <w:p>
      <w:pPr>
        <w:pStyle w:val="SourceNote"/>
      </w:pPr>
      <w:r>
        <w:rPr>
          <w:b/>
        </w:rPr>
        <w:t>Available abstract (not full text):</w:t>
      </w:r>
      <w:r>
        <w:t xml:space="preserve"> The aim of this article is to assess the scale and nature of contemporary demographic trends that determine the security of Europe and identify the main threats to the continent’s military and non-military security resulting from them. This article constitutes an attempt to face a problem whose essence is associated with a key question: how are contemporary demographic trends in Europe shaping up, and on what security levels can we expect their implications? Population processes, which are the cumulative effects of the demographic phenomena that occurred in the near and distant past, run over the long term and are characterised by a low coefficient of uncertainty. Analyses of the UN and Eurostat demographic data show that Europe has seen an intensification and accumulation of negative demographic trends over recent decades. Demographic regression, as experienced by the Old Continent, is a multidimensional phenomenon which has numerous security implications and poses a threat to Europe’s socio-economic development.</w:t>
      </w:r>
    </w:p>
    <w:p>
      <w:pPr>
        <w:pStyle w:val="Heading2"/>
      </w:pPr>
      <w:r>
        <w:t>775. The northern hemisphere circumglobal teleconnection in a seasonal forecast model and its relationship to European summer forecast skill</w:t>
      </w:r>
    </w:p>
    <w:p>
      <w:pPr>
        <w:pStyle w:val="SourceNote"/>
      </w:pPr>
      <w:r>
        <w:rPr>
          <w:b/>
        </w:rPr>
        <w:t>Original source (2018):</w:t>
      </w:r>
      <w:r>
        <w:t xml:space="preserve"> https://doi.org/10.1007/s00382-018-4371-4</w:t>
      </w:r>
    </w:p>
    <w:p>
      <w:pPr/>
      <w:r>
        <w:t>Original wording (abstract; indexed_source_text_not_full_document_verified): Third, the model jet is systematically shifted northwards by several degrees latitude over large parts of the northern hemisphere, which may affect the propagation characteristics of Rossby waves in the model.</w:t>
      </w:r>
    </w:p>
    <w:p>
      <w:pPr/>
      <w:r>
        <w:rPr>
          <w:b/>
        </w:rPr>
        <w:t>POSSIBLE 2025:</w:t>
      </w:r>
      <w:r>
        <w:t xml:space="preserve"> Predicting current and future distribution of the common waxbill using a mechanistic modelling approach — https://doi.org/10.1101/2025.11.16.688699</w:t>
      </w:r>
    </w:p>
    <w:p>
      <w:pPr/>
      <w:r>
        <w:rPr>
          <w:b/>
        </w:rPr>
        <w:t>Shared claim-specific concepts:</w:t>
      </w:r>
      <w:r>
        <w:t xml:space="preserve"> northwards, over, parts; EU scope visible. This is a provisional connection, not an outcome finding.</w:t>
      </w:r>
    </w:p>
    <w:p>
      <w:pPr>
        <w:pStyle w:val="SourceNote"/>
      </w:pPr>
      <w:r>
        <w:rPr>
          <w:b/>
        </w:rPr>
        <w:t>Available abstract (not full text):</w:t>
      </w:r>
      <w:r>
        <w:t xml:space="preserve"> Abstract Biological invasions and climate change are two of the most pressing drivers of biodiversity loss worldwide. Anticipating where invasive species are likely to establish, as well as the potential impact of climate change on their range expansion, is essential for early detection and targeted management. In this study, we use a mechanistic species distribution model (SDM) to evaluate the current and future areas at risk of invasion by the common waxbill ( Estrilda astrild ), a widespread avian invader. Our model accurately predicts the species’ current range in Iberia and identifies additional climatically suitable areas, particularly in southern and western Europe. Under warming scenarios of +2 °C and +4 °C, suitable areas expand northwards, with over two-thirds of Europe classified as suitable under the most extreme scenario. These results suggest that the species is already operating near the cold limits of its thermal niche in parts of its invasive range, and that rising temperatures may remove these constraints, allowing expansion into previously unsuitable areas. Our findings demonstrate the power of mechanistic models in identifying regions at risk of colonisation and underscore the importance of early intervention and targeted monitoring in areas projected to become suitable.</w:t>
      </w:r>
    </w:p>
    <w:p>
      <w:pPr/>
      <w:r>
        <w:rPr>
          <w:b/>
        </w:rPr>
        <w:t>POSSIBLE 2024:</w:t>
      </w:r>
      <w:r>
        <w:t xml:space="preserve"> European hot and dry summers are projected to become more frequent and expand northwards — https://doi.org/10.1038/s43247-024-01575-5</w:t>
      </w:r>
    </w:p>
    <w:p>
      <w:pPr/>
      <w:r>
        <w:rPr>
          <w:b/>
        </w:rPr>
        <w:t>Shared claim-specific concepts:</w:t>
      </w:r>
      <w:r>
        <w:t xml:space="preserve"> northwards, parts; EU scope visible. This is a provisional connection, not an outcome finding.</w:t>
      </w:r>
    </w:p>
    <w:p>
      <w:pPr>
        <w:pStyle w:val="SourceNote"/>
      </w:pPr>
      <w:r>
        <w:rPr>
          <w:b/>
        </w:rPr>
        <w:t>Available abstract (not full text):</w:t>
      </w:r>
      <w:r>
        <w:t xml:space="preserve"> Abstract Heatwaves and dry spells are major climate hazards with far-reaching implications for health, economy, agriculture, and ecosystems. The frequency of compound hot and dry summers in Europe has risen in recent years. Here we present an examination of past extreme summers and compare them to future climate conditions. We use reanalysis data (2001–2022) and model data at three global warming levels: +1.2 °C, +2 °C, and +3 °C for nine selected sub-regions. Key findings indicate a significant increase in the frequency of most extreme past occurrences under 2 °C and 3 °C warming scenarios. For specific summers, the occurrence probability rises by up to 5–6 times from 2 °C to 3 °C. Moreover, our analysis reveals a notable northward shift in the climatology of hot and dry summers under 3 °C warming. The hot and dry climate observed in Eastern Europe under current conditions is anticipated to extend into substantial parts of the Baltic coast, Finland, and Scandinavia.</w:t>
      </w:r>
    </w:p>
    <w:p>
      <w:pPr/>
      <w:r>
        <w:rPr>
          <w:b/>
        </w:rPr>
        <w:t>POSSIBLE 2024:</w:t>
      </w:r>
      <w:r>
        <w:t xml:space="preserve"> Unraveling the roles of jet streams on the unprecedented hot July in Western Europe in 2022 — https://doi.org/10.1038/s41612-024-00880-2</w:t>
      </w:r>
    </w:p>
    <w:p>
      <w:pPr/>
      <w:r>
        <w:rPr>
          <w:b/>
        </w:rPr>
        <w:t>Shared claim-specific concepts:</w:t>
      </w:r>
      <w:r>
        <w:t xml:space="preserve"> jet, over; EU scope visible. This is a provisional connection, not an outcome finding.</w:t>
      </w:r>
    </w:p>
    <w:p>
      <w:pPr>
        <w:pStyle w:val="SourceNote"/>
      </w:pPr>
      <w:r>
        <w:rPr>
          <w:b/>
        </w:rPr>
        <w:t>Available abstract (not full text):</w:t>
      </w:r>
      <w:r>
        <w:t xml:space="preserve"> Abstract Western Europe experienced an unprecedentedly hot July in 2022, which significantly impacted ecosystems and society. Our observational and numerical modeling study reveals that this event was influenced by anomalous North Atlantic and Eurasian jet streams. The northeastward shift of the North Atlantic jet stream, driven by sea surface temperature gradients, and the curving of the Eurasian jet stream, affected by rainfall anomalies in Pakistan, enhanced atmospheric subsidence over western Europe. This research highlights the crucial role of the synergistic behavior of the North Atlantic and Eurasian jet streams in driving extreme heat over Western Europe. Furthermore, CMIP6 climate model projections suggest that under the SSP585 scenario, similar jet stream configurations could lead to even more intense extreme temperatures (~7.02 ± 0.61 °C) compared to the current climatological mean.</w:t>
      </w:r>
    </w:p>
    <w:p>
      <w:pPr/>
      <w:r>
        <w:rPr>
          <w:b/>
        </w:rPr>
        <w:t>POSSIBLE 2023:</w:t>
      </w:r>
      <w:r>
        <w:t xml:space="preserve"> Testing a prediction model for the H-mode density pedestal against JET-ILW pedestals — https://doi.org/10.1088/1741-4326/acc084</w:t>
      </w:r>
    </w:p>
    <w:p>
      <w:pPr/>
      <w:r>
        <w:rPr>
          <w:b/>
        </w:rPr>
        <w:t>Shared claim-specific concepts:</w:t>
      </w:r>
      <w:r>
        <w:t xml:space="preserve"> jet, over; EU scope not established. This is a provisional connection, not an outcome finding.</w:t>
      </w:r>
    </w:p>
    <w:p>
      <w:pPr>
        <w:pStyle w:val="SourceNote"/>
      </w:pPr>
      <w:r>
        <w:rPr>
          <w:b/>
        </w:rPr>
        <w:t>Available abstract (not full text):</w:t>
      </w:r>
      <w:r>
        <w:t xml:space="preserve"> Abstract The neutral ionisation model proposed by Groebner et al (2002 Phys. Plasmas 9 2134) to determine the plasma density profile in the H-mode pedestal, is extended to include charge exchange processes in the pedestal stimulated by the ideas of Mahdavi et al (2003 Phys. Plasmas 10 3984). The model is then tested against JET H-mode pedestal data, both in a ‘standalone’ version using experimental temperature profiles and also by incorporating it in the Europed version of EPED. The model is able to predict the density pedestal over a wide range of conditions with good accuracy. It is also able to predict the experimentally observed isotope effect on the density pedestal that eludes simpler neutral ionization models.</w:t>
      </w:r>
    </w:p>
    <w:p>
      <w:pPr/>
      <w:r>
        <w:rPr>
          <w:b/>
        </w:rPr>
        <w:t>POSSIBLE 2023:</w:t>
      </w:r>
      <w:r>
        <w:t xml:space="preserve"> Overview of interpretive modelling of fusion performance in JET DTE2 discharges with TRANSP — https://doi.org/10.1088/1741-4326/ad0310</w:t>
      </w:r>
    </w:p>
    <w:p>
      <w:pPr/>
      <w:r>
        <w:rPr>
          <w:b/>
        </w:rPr>
        <w:t>Shared claim-specific concepts:</w:t>
      </w:r>
      <w:r>
        <w:t xml:space="preserve"> jet, over, large, characteristics; EU scope not established. This is a provisional connection, not an outcome finding.</w:t>
      </w:r>
    </w:p>
    <w:p>
      <w:pPr>
        <w:pStyle w:val="SourceNote"/>
      </w:pPr>
      <w:r>
        <w:rPr>
          <w:b/>
        </w:rPr>
        <w:t>Available abstract (not full text):</w:t>
      </w:r>
      <w:r>
        <w:t xml:space="preserve"> Abstract In the paper we present an overview of interpretive modelling of a database of JET-ILW 2021 D-T discharges using the TRANSP code. The main aim is to assess our capability of computationally reproducing the fusion performance of various D-T plasma scenarios using different external heating and D-T mixtures, and to understand the performance driving mechanisms. We find that interpretive simulations confirm a general power-law relationship between increasing external heating power and fusion output, which is supported by absolutely calibrated neutron yield measurements. A comparison of measured and computed D-T neutron rates shows that the calculations’ discrepancy depends on the absolute neutron yield. The calculations are found to agree well with measurements for higher performing discharges with external heating power above ∼20 M W , while low-neutron shots display an average discrepancy of around +40% compared to measured neutron yields. A similar trend is found for the ratio between thermal and beam-target fusion, where larger discrepancies are seen in shots with dominant beam-driven performance. We compare the observations to studies of JET-ILW D discharges, to find that on average the fusion performance is well modelled over a range of heating power, although an increased unsystematic deviation for lower-performing shots is observed. The ratio between thermal and b</w:t>
      </w:r>
    </w:p>
    <w:p>
      <w:pPr/>
      <w:r>
        <w:rPr>
          <w:b/>
        </w:rPr>
        <w:t>POSSIBLE 2022:</w:t>
      </w:r>
      <w:r>
        <w:t xml:space="preserve"> Accuracy of numerical wave model results: application to the Atlantic coasts of Europe — https://doi.org/10.5194/os-18-1665-2022</w:t>
      </w:r>
    </w:p>
    <w:p>
      <w:pPr/>
      <w:r>
        <w:rPr>
          <w:b/>
        </w:rPr>
        <w:t>Shared claim-specific concepts:</w:t>
      </w:r>
      <w:r>
        <w:t xml:space="preserve"> propagation, waves; EU scope visible. This is a provisional connection, not an outcome finding.</w:t>
      </w:r>
    </w:p>
    <w:p>
      <w:pPr>
        <w:pStyle w:val="SourceNote"/>
      </w:pPr>
      <w:r>
        <w:rPr>
          <w:b/>
        </w:rPr>
        <w:t>Available abstract (not full text):</w:t>
      </w:r>
      <w:r>
        <w:t xml:space="preserve"> Abstract. Numerical wave models are generally less accurate in the coastal ocean than offshore. It is generally suspected that a number of factors specific to coastal environments can be blamed for these larger model errors: complex shoreline and topography, relatively short fetches, combination of remote swells and local wind seas, less accurate wind fields, presence of strong currents, bottom friction, etc. These factors generally have strong local variations, making it all the more difficult to adapt a particular model setup from one area to another. Here we investigate a wide range of modelling choices including forcing fields, spectral resolution and parameterizations of physical processes in a regional model that covers most of the Atlantic and North Sea coasts. We show that the accurate propagation of waves from offshore is probably the most important factor on exposed shorelines, while other specific effects can be important locally, including winds, currents and bottom friction.</w:t>
      </w:r>
    </w:p>
    <w:p>
      <w:pPr/>
      <w:r>
        <w:rPr>
          <w:b/>
        </w:rPr>
        <w:t>POSSIBLE 2022:</w:t>
      </w:r>
      <w:r>
        <w:t xml:space="preserve"> The evolving story of Borrelia burgdorferi sensu lato transmission in Europe — https://doi.org/10.1007/s00436-022-07445-3</w:t>
      </w:r>
    </w:p>
    <w:p>
      <w:pPr/>
      <w:r>
        <w:rPr>
          <w:b/>
        </w:rPr>
        <w:t>Shared claim-specific concepts:</w:t>
      </w:r>
      <w:r>
        <w:t xml:space="preserve"> several, northern, hemisphere; EU scope visible. This is a provisional connection, not an outcome finding.</w:t>
      </w:r>
    </w:p>
    <w:p>
      <w:pPr>
        <w:pStyle w:val="SourceNote"/>
      </w:pPr>
      <w:r>
        <w:rPr>
          <w:b/>
        </w:rPr>
        <w:t>Available abstract (not full text):</w:t>
      </w:r>
      <w:r>
        <w:t xml:space="preserve"> Beside mosquitoes, ticks are well-known vectors of different human pathogens. In the Northern Hemisphere, Lyme borreliosis (Eurasia, LB) or Lyme disease (North America, LD) is the most commonly occurring vector-borne infectious disease caused by bacteria of the genus Borrelia which are transmitted by hard ticks of the genus Ixodes. The reported incidence of LB in Europe is about 22.6 cases per 100,000 inhabitants annually with a broad range depending on the geographical area analyzed. However, the epidemiological data are largely incomplete, because LB is not notifiable in all European countries. Furthermore, not only differ reporting procedures between countries, there is also variation in case definitions and diagnostic procedures. Lyme borreliosis is caused by several species of the Borrelia (B.) burgdorferi sensu lato (s.l.) complex which are maintained in complex networks including ixodid ticks and different reservoir hosts. Vector and host influence each other and are affected by multiple factors including climate that have a major impact on their habitats and ecology. To classify factors that influence the risk of transmission of B. burgdorferi s.l. to their different vertebrate hosts as well as to humans, we briefly summarize the current knowledge about the pathogens including their astonishing ability to overcome various host immune responses, regarding the main vector</w:t>
      </w:r>
    </w:p>
    <w:p>
      <w:pPr/>
      <w:r>
        <w:rPr>
          <w:b/>
        </w:rPr>
        <w:t>POSSIBLE 2022:</w:t>
      </w:r>
      <w:r>
        <w:t xml:space="preserve"> Species Distribution Modeling Reveals Recent Shifts in Suitable Habitat for Six North American Cypripedium spp. (Orchidaceae) — https://doi.org/10.3390/d14090694</w:t>
      </w:r>
    </w:p>
    <w:p>
      <w:pPr/>
      <w:r>
        <w:rPr>
          <w:b/>
        </w:rPr>
        <w:t>Shared claim-specific concepts:</w:t>
      </w:r>
      <w:r>
        <w:t xml:space="preserve"> shifted, northwards, over; EU scope not established. This is a provisional connection, not an outcome finding.</w:t>
      </w:r>
    </w:p>
    <w:p>
      <w:pPr>
        <w:pStyle w:val="SourceNote"/>
      </w:pPr>
      <w:r>
        <w:rPr>
          <w:b/>
        </w:rPr>
        <w:t>Available abstract (not full text):</w:t>
      </w:r>
      <w:r>
        <w:t xml:space="preserve"> Accelerating climate change is expected to cause range shifts of numerous taxa worldwide. While climatic projections and predicted consequences typically focus on the future (2050 or later), a measurable change in climatic conditions has occurred over recent decades. We investigate whether recent climate change has caused measurable shifts in suitable habitat for six North American species in the highly threatened genus Cypripedium (Orchidaceae). We constructed species distribution models using a maximum entropy approach from species occurrence records, 19 bioclimatic variables, land cover data, and soil data for two decadal time intervals (1980–1989 and 2010–2019). Models were compared between time intervals to assess shifts in locality, size, fragmentation, and mean elevation of suitable habitat. For all six congeners, the centroids of suitable habitat shifted between time intervals, although the directionality varied. There was, however, consistency among species within geographic regions. Consistent with our expectations, the optimal habitat for most species shifted to a higher elevation and for western species it shifted northwards. However, the habitat for one northwestern species shifted southwards and the habitat for eastern species converged on the Great Lakes region from different directions. This work illustrates the somewhat idiosyncratic responses of congeneric spe</w:t>
      </w:r>
    </w:p>
    <w:p>
      <w:pPr/>
      <w:r>
        <w:rPr>
          <w:b/>
        </w:rPr>
        <w:t>POSSIBLE 2022:</w:t>
      </w:r>
      <w:r>
        <w:t xml:space="preserve"> Changes in limiting factors for forager population dynamics in Europe across the last glacial-interglacial transition — https://doi.org/10.1038/s41467-022-32750-x</w:t>
      </w:r>
    </w:p>
    <w:p>
      <w:pPr/>
      <w:r>
        <w:rPr>
          <w:b/>
        </w:rPr>
        <w:t>Shared claim-specific concepts:</w:t>
      </w:r>
      <w:r>
        <w:t xml:space="preserve"> shifted, over, parts; EU scope visible. This is a provisional connection, not an outcome finding.</w:t>
      </w:r>
    </w:p>
    <w:p>
      <w:pPr>
        <w:pStyle w:val="SourceNote"/>
      </w:pPr>
      <w:r>
        <w:rPr>
          <w:b/>
        </w:rPr>
        <w:t>Available abstract (not full text):</w:t>
      </w:r>
      <w:r>
        <w:t xml:space="preserve"> Population dynamics set the framework for human genetic and cultural evolution. For foragers, demographic and environmental changes correlate strongly, although the causal relations between different environmental variables and human responses through time and space likely varied. Building on the notion of limiting factors, namely that at any one time, the scarcest resource caps population size, we present a statistical approach to identify the dominant climatic constraints for hunter-gatherer population densities and then hindcast their changing dynamics in Europe for the period between 21,000 to 8000 years ago. Limiting factors shifted from temperature-related variables (effective temperature) during the Pleistocene to a regional mosaic of limiting factors in the Holocene dominated by temperature seasonality and annual precipitation. This spatiotemporal variation suggests that hunter-gatherers needed to overcome very different adaptive challenges in different parts of Europe and that these challenges varied over time. The signatures of these changing adaptations may be visible archaeologically. In addition, the spatial disaggregation of limiting factors from the Pleistocene to the Holocene coincided with and may partly explain the diversification of the cultural geography at this time.</w:t>
      </w:r>
    </w:p>
    <w:p>
      <w:pPr/>
      <w:r>
        <w:rPr>
          <w:b/>
        </w:rPr>
        <w:t>POSSIBLE 2022:</w:t>
      </w:r>
      <w:r>
        <w:t xml:space="preserve"> Jet Comparison, Trigger, and Sensitivity Studies of Dark Sector Emerging Jet MC Models — https://doi.org/10.22215/etd/2022-14951</w:t>
      </w:r>
    </w:p>
    <w:p>
      <w:pPr/>
      <w:r>
        <w:rPr>
          <w:b/>
        </w:rPr>
        <w:t>Shared claim-specific concepts:</w:t>
      </w:r>
      <w:r>
        <w:t xml:space="preserve"> jet, large; EU scope not established. This is a provisional connection, not an outcome finding.</w:t>
      </w:r>
    </w:p>
    <w:p>
      <w:pPr>
        <w:pStyle w:val="SourceNote"/>
      </w:pPr>
      <w:r>
        <w:rPr>
          <w:b/>
        </w:rPr>
        <w:t>Available abstract (not full text):</w:t>
      </w:r>
      <w:r>
        <w:t xml:space="preserve"> Analysis work is presented as part of an ongoing search for Emerging Jet (EJ) signals within the ATLAS detector at the Large Hadron Collider.These EJ signals arise in models with a hidden valley, QCD-like dark sector, which is linked to the Standard Model (SM) sector via a dark mediator particle, X d , with a mass on the order of a TeV.These X d particles are pair-produced during proton-proton collisions and each quickly decays into a SM quark and a dark quark.These dark quarks hadronize into long-lived dark hadrons.Dark pions are of primary interest and decay back into SM particles with a mean decay length ranging between cτ πd = 0.5mm and 300mm, causing a jet to emerge within the detector.These EJs I would like to thank my supervisor, Jesse Heilman, for your guidance and excellent explanations of physics and ATLAS related topics, which always left me inspired to learn more.A huge thanks to Kevin Graham and Mohsen Naseri as well, for your many hours of guidance, insight, and feedback.</w:t>
      </w:r>
    </w:p>
    <w:p>
      <w:pPr/>
      <w:r>
        <w:rPr>
          <w:b/>
        </w:rPr>
        <w:t>POSSIBLE 2021:</w:t>
      </w:r>
      <w:r>
        <w:t xml:space="preserve"> Extreme windstorms and sting jets in convection-permitting climate simulations over Europe — https://doi.org/10.1007/s00382-021-06011-4</w:t>
      </w:r>
    </w:p>
    <w:p>
      <w:pPr/>
      <w:r>
        <w:rPr>
          <w:b/>
        </w:rPr>
        <w:t>Shared claim-specific concepts:</w:t>
      </w:r>
      <w:r>
        <w:t xml:space="preserve"> over, large; EU scope visible. This is a provisional connection, not an outcome finding.</w:t>
      </w:r>
    </w:p>
    <w:p>
      <w:pPr>
        <w:pStyle w:val="SourceNote"/>
      </w:pPr>
      <w:r>
        <w:rPr>
          <w:b/>
        </w:rPr>
        <w:t>Available abstract (not full text):</w:t>
      </w:r>
      <w:r>
        <w:t xml:space="preserve"> Abstract Extra-tropical windstorms are one of the costliest natural hazards affecting Europe, and windstorms that develop a sting-jet are extremely damaging. A sting-jet is a mesoscale core of very high wind speeds that occurs in Shapiro-Keyser type cyclones, and high-resolution models are required to adequately model sting-jets. Here, we develop a low-cost methodology to automatically detect sting jets, using the characteristic warm seclusion of Shapiro-Keyser cyclones and the slantwise descent of high wind speeds, within pan-European 2.2km convection-permitting climate model (CPM) simulations over Europe. The representation of wind gusts is improved with respect to ERA-Interim reanalysis data compared to observations; this is linked to better representation of cold conveyor belts and sting-jets in the CPM. Our analysis indicates that Shapiro-Keyser cyclones, and those that develop sting-jets, are the most damaging windstorms in present and future climates. The frequency of extreme windstorms is projected to increase by 2100 and a large contribution comes from sting-jet storms. Furthermore, extreme wind speeds and their future changes are underestimated in the GCM compared to the CPM. We conclude that the CPM adds value in the representation of extreme winds and surface wind gusts and can provide improved input for impact models compared to coarser resolution models.</w:t>
      </w:r>
    </w:p>
    <w:p>
      <w:pPr/>
      <w:r>
        <w:rPr>
          <w:b/>
        </w:rPr>
        <w:t>POSSIBLE 2021:</w:t>
      </w:r>
      <w:r>
        <w:t xml:space="preserve"> Experimental validation of an integrated modelling approach to neutron emission studies at JET — https://doi.org/10.1088/1741-4326/ac3021</w:t>
      </w:r>
    </w:p>
    <w:p>
      <w:pPr/>
      <w:r>
        <w:rPr>
          <w:b/>
        </w:rPr>
        <w:t>Shared claim-specific concepts:</w:t>
      </w:r>
      <w:r>
        <w:t xml:space="preserve"> jet, several, characteristics; EU scope not established. This is a provisional connection, not an outcome finding.</w:t>
      </w:r>
    </w:p>
    <w:p>
      <w:pPr>
        <w:pStyle w:val="SourceNote"/>
      </w:pPr>
      <w:r>
        <w:rPr>
          <w:b/>
        </w:rPr>
        <w:t>Available abstract (not full text):</w:t>
      </w:r>
      <w:r>
        <w:t xml:space="preserve"> An integrated modelling methodology for the calculation of realistic plasma neutron sources for the JET tokamak has been developed. The computational chain comprises TRANSP plasma transport and DRESS neutron spectrum calculations, and their coupling to the MCNP neutron transport code, bridging plasma physics and neutronics. In the paper we apply the developed methodology to the analysis of neutron emission properties of deuterium and helium plasmas at JET, and validate individual modelling steps against neutron diagnostic measurements. Two types of JET discharges are modelled—baseline-like and three-ion radio-frequency scenarios—due to their diversity in plasma heating, characteristics of the induced fast ion population, and the imprint of these on neutron emission properties. The neutron emission modelling results are quantitatively compared to the total neutron yield from fission chambers, neutron emissivity profiles from the neutron camera, neutron spectra from the time-of-flight spectrometer, and neutron activation measurements. The agreement between measured and calculated quantities is found to be satisfactory for all four diagnostic systems within the estimated experimental and computational uncertainties. Additionally, the effect of neutrons not originating from the dominating D(D, n) 3 He reactions is studied through modelling of triton burnup DT neutrons, and, in mixe</w:t>
      </w:r>
    </w:p>
    <w:p>
      <w:pPr>
        <w:pStyle w:val="Heading2"/>
      </w:pPr>
      <w:r>
        <w:t>776. Trends and forecast of obesity in Finland</w:t>
      </w:r>
    </w:p>
    <w:p>
      <w:pPr>
        <w:pStyle w:val="SourceNote"/>
      </w:pPr>
      <w:r>
        <w:rPr>
          <w:b/>
        </w:rPr>
        <w:t>Original source (2018):</w:t>
      </w:r>
      <w:r>
        <w:t xml:space="preserve"> https://doi.org/10.1093/eurpub/cky214.146</w:t>
      </w:r>
    </w:p>
    <w:p>
      <w:pPr/>
      <w:r>
        <w:t>Original wording (abstract; indexed_source_text_not_full_document_verified): The increase in the prevalence of obesity is projected to continue: every third adult is expected to be obese in 2028.</w:t>
      </w:r>
    </w:p>
    <w:p>
      <w:pPr/>
      <w:r>
        <w:rPr>
          <w:b/>
        </w:rPr>
        <w:t>POSSIBLE 2026:</w:t>
      </w:r>
      <w:r>
        <w:t xml:space="preserve"> Estimating the hospitalisation burden of obesity in Europe: evidence from the European health interview survey (EHIS) wave 3 — https://doi.org/10.1186/s12889-026-26705-w</w:t>
      </w:r>
    </w:p>
    <w:p>
      <w:pPr/>
      <w:r>
        <w:rPr>
          <w:b/>
        </w:rPr>
        <w:t>Shared claim-specific concepts:</w:t>
      </w:r>
      <w:r>
        <w:t xml:space="preserve"> increase, prevalence, obesity; EU scope visible. This is a provisional connection, not an outcome finding.</w:t>
      </w:r>
    </w:p>
    <w:p>
      <w:pPr>
        <w:pStyle w:val="SourceNote"/>
      </w:pPr>
      <w:r>
        <w:rPr>
          <w:b/>
        </w:rPr>
        <w:t>Available abstract (not full text):</w:t>
      </w:r>
      <w:r>
        <w:t xml:space="preserve"> BACKGROUND: Obesity represents a significant public health and economic challenge across Europe, driving an increased chronic disease burden and increased hospital utilisation. Despite this impact, cross-national evidence quantifying obesity’s hospitalisation burden remains sparse, and there is only a limited understanding of the potential cost savings achievable through obesity prevalence reduction. METHODS: We analysed European Health Interview Survey (EHIS) Wave 3 (2019) data, encompassing adults aged 18 years and older across eight countries (Belgium, the Netherlands, Germany, Luxembourg, Spain, Italy, Portugal and Denmark). Our primary outcome was the number of hospital nights in the preceding 12 months. We employed negative binomial regression models with zero-inflated specifications to estimate the associations between hospitalisation and body mass index (BMI), alongside sociodemographic, health and lifestyle factors. Simulations were used to project the impacts of a 1% obesity prevalence reduction on hospital expenditures. RESULTS: Compared to normal weight, obesity and underweight were strongly associated with increased hospital nights (IRR = 1.19 and 1.92, respectively), while pre-obesity showed no such association. Hospitalisation increased markedly with age, whereas higher education and income provided protective effects in this regard, reducing stays by 7% and 8%, </w:t>
      </w:r>
    </w:p>
    <w:p>
      <w:pPr/>
      <w:r>
        <w:rPr>
          <w:b/>
        </w:rPr>
        <w:t>POSSIBLE 2025:</w:t>
      </w:r>
      <w:r>
        <w:t xml:space="preserve"> Global prevalence of obesity in the older adults: A meta-analysis — https://doi.org/10.1016/j.puhip.2025.100585</w:t>
      </w:r>
    </w:p>
    <w:p>
      <w:pPr/>
      <w:r>
        <w:rPr>
          <w:b/>
        </w:rPr>
        <w:t>Shared claim-specific concepts:</w:t>
      </w:r>
      <w:r>
        <w:t xml:space="preserve"> increase, prevalence, obesity, adult; EU scope visible. This is a provisional connection, not an outcome finding.</w:t>
      </w:r>
    </w:p>
    <w:p>
      <w:pPr>
        <w:pStyle w:val="SourceNote"/>
      </w:pPr>
      <w:r>
        <w:rPr>
          <w:b/>
        </w:rPr>
        <w:t>Available abstract (not full text):</w:t>
      </w:r>
      <w:r>
        <w:t xml:space="preserve"> Objective: Obesity is a chronic and complex disease defined as the excessive accumulation of body fat and is one of the leading public health problems in developed and developing countries. Due to the importance of obesity, this study was conducted to investigate the prevalence of obesity in the older adults. Study design: meta-analysis. Methods: In this study, systematic review and meta-analysis of study data on the prevalence of obesity in the older adults in the world using keywords including: prevalence, outbreak, Body Mass Index, BMI, obesity, Elderly, aged, older adult, in Science Direct databases, Scopus, PubMed, Web of Science, Iran Doc, Mag Iran, SID and Google Scholar search engine were extracted without time limit until August 2020. The target population under study is the world's elderly, and obesity means a BMI≥30. The Random Effects Model was used to perform the analysis and, Comprehensive Meta-Analysis Software version 2.0 was used for data analysis. Results: In review 44 studies with a total sample size of 45,745,944 prevalence of obesity in the older adults of the world; In a meta-analysis of 25.3 % (95 % CI: 21.9-29). It was found that the highest prevalence of obesity in the older adults in South America with 40.4 % (95 % CI: 12.5-76.4). In addition, continental Europe with 33.6 % (95 % confidence interval: 24.1-44.5). The meta-regression results showed an in</w:t>
      </w:r>
    </w:p>
    <w:p>
      <w:pPr/>
      <w:r>
        <w:rPr>
          <w:b/>
        </w:rPr>
        <w:t>POSSIBLE 2024:</w:t>
      </w:r>
      <w:r>
        <w:t xml:space="preserve"> Global trends in prevalence of maternal overweight and obesity: A systematic review and meta-analysis of routinely collected data retrospective cohorts — https://doi.org/10.23889/ijpds.v9i2.2401</w:t>
      </w:r>
    </w:p>
    <w:p>
      <w:pPr/>
      <w:r>
        <w:rPr>
          <w:b/>
        </w:rPr>
        <w:t>Shared claim-specific concepts:</w:t>
      </w:r>
      <w:r>
        <w:t xml:space="preserve"> increase, prevalence, obesity; EU scope visible. This is a provisional connection, not an outcome finding.</w:t>
      </w:r>
    </w:p>
    <w:p>
      <w:pPr>
        <w:pStyle w:val="SourceNote"/>
      </w:pPr>
      <w:r>
        <w:rPr>
          <w:b/>
        </w:rPr>
        <w:t>Available abstract (not full text):</w:t>
      </w:r>
      <w:r>
        <w:t xml:space="preserve"> Pregnant women with obesity are at greater risk of complications during pregnancy, peripartum and post-partum, compared to women with healthy BMI. Worldwide data demonstrating the changes in trends of maternal overweight and obesity prevalence informs service development to address maternal obesity, while directing resources to areas of greatest need. This systematic review and meta-analysis of population level data sought to evaluate global temporal changes in prevalence of maternal obesity and overweight/obesity, and compare trends between regions. Pooled prevalence of obesity and overweight/obesity was estimated using random effects meta-analysis. Temporal and geographical trends in prevalence of obesity and overweight/obesity were examined using linear regression. From 11,684 publications, 94 met inclusion criteria representing 121 study cohorts (Europe n = 71; North America n = 23; Australia/Oceania n = 10; Asia n = 5; South America n = 12), totalling 49,009,168 pregnancies. No studies from Africa met the inclusion criteria. Eighty studies (85.1%) were evaluated as having a low risk of bias and 14 studies (14.9%) moderate. In the most recent full decade (2010-2019), global prevalence of maternal obesity was estimated as 16.3% (95% confidence interval (CI): 15.1-17.5%), or approximately one in six pregnancies. Combined overweight/obesity in pregnancy had a pooled prevalence</w:t>
      </w:r>
    </w:p>
    <w:p>
      <w:pPr/>
      <w:r>
        <w:rPr>
          <w:b/>
        </w:rPr>
        <w:t>POSSIBLE 2024:</w:t>
      </w:r>
      <w:r>
        <w:t xml:space="preserve"> Prevalence and Factors Related to Physical Activity in Spanish Adults with Obesity and Overweight: Analysis of the European Health Surveys for the Years 2014 and 2020 — https://doi.org/10.3390/healthcare12141382</w:t>
      </w:r>
    </w:p>
    <w:p>
      <w:pPr/>
      <w:r>
        <w:rPr>
          <w:b/>
        </w:rPr>
        <w:t>Shared claim-specific concepts:</w:t>
      </w:r>
      <w:r>
        <w:t xml:space="preserve"> increase, prevalence, obesity, adult, obese; EU scope visible. This is a provisional connection, not an outcome finding.</w:t>
      </w:r>
    </w:p>
    <w:p>
      <w:pPr>
        <w:pStyle w:val="SourceNote"/>
      </w:pPr>
      <w:r>
        <w:rPr>
          <w:b/>
        </w:rPr>
        <w:t>Available abstract (not full text):</w:t>
      </w:r>
      <w:r>
        <w:t xml:space="preserve"> (1) Background: To analyze the prevalence of physical activity (PA) according to the presence of overweight or obesity and other sociodemographic factors in the Spanish adult population. (2) Methods: Cross-sectional study using the European Health Interview Surveys for Spain from 2014 and 2020. (3) Results: In overweight and obese people, the percentage of those who reported not performing any type of PA remained constant between 2014 and 2020, while a statistically significant increase was observed in the percentage of people who walked for 10 min a day and exercised at least 2 days a week. The probability of being obese with respect to normal weight was higher in individuals who reported not engaging in PA during leisure time (OR 1.42; 95% CI 1.31-1.53), those who did not walk 10 min a day at least 2 days a week (OR 1.25; 95% CI 1.15-1.35), and those who did not exercise at least 2 days a week (OR 1.42; 95% CI 1.32-1.53). The probability of being overweight was higher in individuals who reported not performing PA during leisure time (OR 1.07; 95% CI 1.02-1.15) and in those who did not exercise at least 2 days per week (OR 1.15; 95% CI 1.09-1.22). (4) Conclusions: Small increases in PA have been observed in both overweight and obese individuals from 2014 to 2020.</w:t>
      </w:r>
    </w:p>
    <w:p>
      <w:pPr/>
      <w:r>
        <w:rPr>
          <w:b/>
        </w:rPr>
        <w:t>POSSIBLE 2023:</w:t>
      </w:r>
      <w:r>
        <w:t xml:space="preserve"> Sarcopenia prevalence and functional outcomes in older men with obesity: Comparing the use of the EWGSOP2 sarcopenia versus ESPEN-EASO sarcopenic obesity consensus definitions — https://doi.org/10.1016/j.clnu.2023.07.014</w:t>
      </w:r>
    </w:p>
    <w:p>
      <w:pPr/>
      <w:r>
        <w:rPr>
          <w:b/>
        </w:rPr>
        <w:t>Shared claim-specific concepts:</w:t>
      </w:r>
      <w:r>
        <w:t xml:space="preserve"> prevalence, obesity, obese; EU scope visible. This is a provisional connection, not an outcome finding.</w:t>
      </w:r>
    </w:p>
    <w:p>
      <w:pPr>
        <w:pStyle w:val="SourceNote"/>
      </w:pPr>
      <w:r>
        <w:rPr>
          <w:b/>
        </w:rPr>
        <w:t>Available abstract (not full text):</w:t>
      </w:r>
      <w:r>
        <w:t xml:space="preserve"> BACKGROUND &amp; AIMS: The potential for older adults with obesity to also have sarcopenia, and the health consequences of 'sarcopenic obesity', may be underappreciated by health professionals. The primary aim of this secondary analysis of a prospective cohort study of older men was to explore the prevalence and functional outcomes of sarcopenic obesity based on different consensus definitions. METHODS: 1416 community-dwelling men aged ≥70 years were classified into sarcopenia categories according to the European Working Group on Sarcopenia in Older People (EWGSOP2) definition, and sarcopenic obesity categories according to the European Society for Clinical Nutrition and Metabolism and the European Association for the Study of Obesity (ESPEN-EASO) definition. Descriptive analyses determined prevalence of sarcopenia in obese and non-obese older men. Multivariable analyses compared associations with functional outcomes including activity of daily living (ADL) and instrumental activity of daily living (IADL) disability and 12-month incident falls. RESULTS: had low muscle strength. Due to low numbers (N = 4) of obese older men with EWGSOP2-confirmed sarcopenia, associations with functional outcomes were not assessed. Men with sarcopenic obesity according to the ESPEN-EASO definition had significantly lower hand grip strength, higher chair-stands time and slower gait speed (all P &lt; 0.05</w:t>
      </w:r>
    </w:p>
    <w:p>
      <w:pPr/>
      <w:r>
        <w:rPr>
          <w:b/>
        </w:rPr>
        <w:t>POSSIBLE 2023:</w:t>
      </w:r>
      <w:r>
        <w:t xml:space="preserve"> Prevalence and variability of depressive symptoms in Europe: update using representative data from the second and third waves of the European Health Interview Survey (EHIS-2 and EHIS-3) — https://doi.org/10.1016/s2468-2667(23)00220-7</w:t>
      </w:r>
    </w:p>
    <w:p>
      <w:pPr/>
      <w:r>
        <w:rPr>
          <w:b/>
        </w:rPr>
        <w:t>Shared claim-specific concepts:</w:t>
      </w:r>
      <w:r>
        <w:t xml:space="preserve"> increase, prevalence, third; EU scope visible. This is a provisional connection, not an outcome finding.</w:t>
      </w:r>
    </w:p>
    <w:p>
      <w:pPr>
        <w:pStyle w:val="SourceNote"/>
      </w:pPr>
      <w:r>
        <w:rPr>
          <w:b/>
        </w:rPr>
        <w:t>Available abstract (not full text):</w:t>
      </w:r>
      <w:r>
        <w:t xml:space="preserve"> BACKGROUND: Assessing the prevalence of clinically relevant depressive symptoms and their possible variation by country and over time could be a valuable resource to inform the development of public health policies and preventive resources to reduce mental health burden. We aimed to assess cross-national differences in the point prevalence of clinically relevant depressive symptoms in Europe in 2018-20, and to evaluate point prevalence differences between countries and over time between 2013-15 and 2018-20. METHODS: In this population-based study, data from participants in the second and third waves of the European Health Interview Survey (EHIS-2 from 2013 to 2015 and EHIS-3 from 2018 to 2020) from 30 European countries were used (n=542 580). From the total sample, 283 692 participants belonging to EHIS-3 were included in the study (52·4% women and 47·5% men). The non-response in EHIS-3 ranged by country, from 12% to 78%. Point prevalence of clinically relevant depressive symptoms was evaluated using a cutoff score of 10 or more for the 8-item version of the Patient Health Questionnaire. Crude prevalence ratios and adjusted prevalence ratios (aPRs) were obtained to assess differences in the prevalence between countries and over time within countries. FINDINGS: The point prevalence of clinically relevant depressive symptoms in Europe in 2018-20 was 6·54% (95% CI 6·34-6·73), rang</w:t>
      </w:r>
    </w:p>
    <w:p>
      <w:pPr/>
      <w:r>
        <w:rPr>
          <w:b/>
        </w:rPr>
        <w:t>POSSIBLE 2023:</w:t>
      </w:r>
      <w:r>
        <w:t xml:space="preserve"> PREVALENCE OF OBESITY AND METABOLIC SYNDROME IN YOUNG PEOPLE: CURRENT STATE OF THE PROBLEM — https://doi.org/10.32782/2522-1795.2023.14.5</w:t>
      </w:r>
    </w:p>
    <w:p>
      <w:pPr/>
      <w:r>
        <w:rPr>
          <w:b/>
        </w:rPr>
        <w:t>Shared claim-specific concepts:</w:t>
      </w:r>
      <w:r>
        <w:t xml:space="preserve"> increase, prevalence, obesity, every; EU scope visible. This is a provisional connection, not an outcome finding.</w:t>
      </w:r>
    </w:p>
    <w:p>
      <w:pPr>
        <w:pStyle w:val="SourceNote"/>
      </w:pPr>
      <w:r>
        <w:rPr>
          <w:b/>
        </w:rPr>
        <w:t>Available abstract (not full text):</w:t>
      </w:r>
      <w:r>
        <w:t xml:space="preserve"> The purpose of the article is to study the current state of the problem related to prevalence of obesity and metabolic syndrome in young people. Research methods. The theoretical analysis of special literature sources involved the use of a number of the following methods: reconstruction, apperception, aspect analysis, hermeneutic analysis and critical analysis. Results. Previously, it was believed that the problem of obesity is relevant for countries with a high living standards, but now the number of young people suffering from excess body weight and obesity is increasing in low- and middle-income countries, especially in urban settings. The prevalence of metabolic syndrome among young people causes concern among specialists. According to the results of numerous studies, every fourth person in the population has signs of metabolic syndrome, the prevalence of which increases over the time. In recent years, the world’s leading health organizations - WHO, National Cholesterol Education Program, International Diabetes Federation – studied the problem of metabolic syndrome emergence, developed approaches to its diagnosis and treatment, as a result of which the concept of metabolic syndrome as a cluster of risk factors for type 2 diabetes type and cardiovascular diseases, underwent a number of evolutionary transformations. In the historical aspect, the most significant identificatio</w:t>
      </w:r>
    </w:p>
    <w:p>
      <w:pPr/>
      <w:r>
        <w:rPr>
          <w:b/>
        </w:rPr>
        <w:t>POSSIBLE 2022:</w:t>
      </w:r>
      <w:r>
        <w:t xml:space="preserve"> Prevalence and Correlates of Overweight and Obesity in 12 European Countries in 2017–2018 — https://doi.org/10.1159/000525792</w:t>
      </w:r>
    </w:p>
    <w:p>
      <w:pPr/>
      <w:r>
        <w:rPr>
          <w:b/>
        </w:rPr>
        <w:t>Shared claim-specific concepts:</w:t>
      </w:r>
      <w:r>
        <w:t xml:space="preserve"> prevalence, obesity, adult, obese; EU scope visible. This is a provisional connection, not an outcome finding.</w:t>
      </w:r>
    </w:p>
    <w:p>
      <w:pPr>
        <w:pStyle w:val="SourceNote"/>
      </w:pPr>
      <w:r>
        <w:rPr>
          <w:b/>
        </w:rPr>
        <w:t>Available abstract (not full text):</w:t>
      </w:r>
      <w:r>
        <w:t xml:space="preserve"> INTRODUCTION: Using data from the TackSHS survey, we aim to provide updated estimates on the prevalence and determinants of overweight and obesity in Europe. METHODS: A face-to-face survey was conducted in 2017-2018 in 12 European countries (Bulgaria, England, France, Germany, Greece, Ireland, Italy, Latvia, Poland, Portugal, Romania, and Spain). Overall, 10,810 participants, representative in each country of the general adult population, provided information on self-reported height and weight. RESULTS: Almost half of participants (48.1%; 95% confidence interval, CI: 47.2-49.1) reported to be overweight or obese (54.1% in men and 42.5% in women) and 12.6% (95% CI: 12.0-13.2) obese (11.3% in men and 13.8% in women). Obesity prevalence was lowest in Italy (7.5%) and France (8.8%) and highest in Greece (19.7%) and Romania (21.1%). Multilevel logistic random-effects analyses showed that prevalence of obesity was related with higher age and lower level of education and socioeconomic status. As compared to northern European countries, Western and Southern European ones showed a significantly lower obesity prevalence. When compared to a companion study conducted in 2010, Eastern and Northern European countries showed an increased trend in obesity prevalence. Conversely, countries with the lowest obesity prevalence (less than 10%), such as Italy and France, showed a decreased trend. CO</w:t>
      </w:r>
    </w:p>
    <w:p>
      <w:pPr/>
      <w:r>
        <w:rPr>
          <w:b/>
        </w:rPr>
        <w:t>POSSIBLE 2022:</w:t>
      </w:r>
      <w:r>
        <w:t xml:space="preserve"> A 2022 update on the epidemiology of obesity and a call to action: as its twin COVID-19 pandemic appears to be receding, the obesity and dysmetabolism pandemic continues to rage on — https://doi.org/10.1016/j.metabol.2022.155217</w:t>
      </w:r>
    </w:p>
    <w:p>
      <w:pPr/>
      <w:r>
        <w:rPr>
          <w:b/>
        </w:rPr>
        <w:t>Shared claim-specific concepts:</w:t>
      </w:r>
      <w:r>
        <w:t xml:space="preserve"> increase, prevalence, obesity, obese; EU scope visible. This is a provisional connection, not an outcome finding.</w:t>
      </w:r>
    </w:p>
    <w:p>
      <w:pPr>
        <w:pStyle w:val="SourceNote"/>
      </w:pPr>
      <w:r>
        <w:rPr>
          <w:b/>
        </w:rPr>
        <w:t>Available abstract (not full text):</w:t>
      </w:r>
      <w:r>
        <w:t xml:space="preserve"> The WHO just released in May 2022 a report on the state of the obesity pandemic in Europe, stating that 60% of citizens in the area of Europe are either overweight or obese, and highlighting the implications of the obesity pandemic, especially as it interacts with the COVID pandemic to create a twin pandemic, to increase morbidity and mortality. Obesity is a complex disease which has reached pandemic dimensions. The worldwide prevalence of obesity has nearly tripled since 1975, mainly due to the adoption of a progressively more sedentary lifestyle and the consumption of less healthy diets. We first report herein updated prevalence rates of overweight and obesity by sex, age, and region first in Europe, per the WHO report, and then worldwide between 1980 and 2019, as we analyze and present herein the data provided by the Global Burden of Disease Study. The prevalence of obesity is higher in women than in men of any age and the prevalence of both overweight and obesity increases with age and has reached their highest point between the ages of 50 to 65 years showing a slight downward trend afterwards. The age-standardized prevalence of obesity has increased from 4.6% in 1980 to 14.0% in 2019. The American and European region have the highest obesity prevalence and the USA and Russia are the countries with the most obese residents. Given dire implications in terms of comorbidities </w:t>
      </w:r>
    </w:p>
    <w:p>
      <w:pPr/>
      <w:r>
        <w:rPr>
          <w:b/>
        </w:rPr>
        <w:t>POSSIBLE 2022:</w:t>
      </w:r>
      <w:r>
        <w:t xml:space="preserve"> Prevalence and Socioeconomic Correlates of Adult Obesity in Europe: The Feel4Diabetes Study — https://doi.org/10.3390/ijerph191912572</w:t>
      </w:r>
    </w:p>
    <w:p>
      <w:pPr/>
      <w:r>
        <w:rPr>
          <w:b/>
        </w:rPr>
        <w:t>Shared claim-specific concepts:</w:t>
      </w:r>
      <w:r>
        <w:t xml:space="preserve"> increase, prevalence, obesity, adult, obese; EU scope visible. This is a provisional connection, not an outcome finding.</w:t>
      </w:r>
    </w:p>
    <w:p>
      <w:pPr>
        <w:pStyle w:val="SourceNote"/>
      </w:pPr>
      <w:r>
        <w:rPr>
          <w:b/>
        </w:rPr>
        <w:t>Available abstract (not full text):</w:t>
      </w:r>
      <w:r>
        <w:t xml:space="preserve"> To effectively tackle obesity, it is necessary to identify all specific socioeconomic factors which contribute to its development. We aimed to highlight the prevalence of adult overweight/obesity in European countries and investigate the association of various socioeconomic factors and their accumulative effect on overweight/obesity status. Cross-sectional data from the Feel4Diabetes study for 24,562 adults residing in low socioeconomic areas were collected, representing Belgium, Finland, Greece, Spain, Bulgaria, and Hungary. Socioeconomic Burden Score (SEBS) was created, accounting for unemployment, financial insecurity, and education ≤ 12 years. Data were analyzed using analysis of variance and logistic regression. In total, 19,063 adults with complete data were included (34.5% overweight and 15.8% obese). The highest overweight/obesity rates occurred in Greece (37.5%/17.8%) and Hungary (35.4%/19.7%). After adjusting for confounders, age of &lt;45 years and female sex were inversely associated with overweight/obesity, while low educational level (≤12 years), unemployment, and financial insecurity were positively associated. The increase in SEBS (clustering of socioeconomic disadvantages) was associated with increased overweight/obesity likelihood. This association of SEBS scores with overweight/obesity was evident for males and females across all examined countries, excluding ma</w:t>
      </w:r>
    </w:p>
    <w:p>
      <w:pPr/>
      <w:r>
        <w:rPr>
          <w:b/>
        </w:rPr>
        <w:t>POSSIBLE 2022:</w:t>
      </w:r>
      <w:r>
        <w:t xml:space="preserve"> Supplementary Material for: Prevalence and correlates of overweight and obesity in 12 European Countries in 2017-2018 — https://doi.org/10.6084/m9.figshare.20417997</w:t>
      </w:r>
    </w:p>
    <w:p>
      <w:pPr/>
      <w:r>
        <w:rPr>
          <w:b/>
        </w:rPr>
        <w:t>Shared claim-specific concepts:</w:t>
      </w:r>
      <w:r>
        <w:t xml:space="preserve"> prevalence, obesity, adult, obese; EU scope visible. This is a provisional connection, not an outcome finding.</w:t>
      </w:r>
    </w:p>
    <w:p>
      <w:pPr>
        <w:pStyle w:val="SourceNote"/>
      </w:pPr>
      <w:r>
        <w:rPr>
          <w:b/>
        </w:rPr>
        <w:t>Available abstract (not full text):</w:t>
      </w:r>
      <w:r>
        <w:t xml:space="preserve"> Introduction: Using data from the TackSHS survey, we aim to provide updated estimates on the prevalence and determinants of overweight and obesity in Europe. Methods: A face-to-face survey was conducted in 2017-2018 in 12 European countries (Bulgaria, England, France, Germany, Greece, Ireland, Italy, Latvia, Poland, Portugal, Romania, and Spain). Overall, 10,810 participants, representative in each country of the general adult population, provided information on self-reported height and weight. Results: Almost half of participants (48.1%; 95% confidence interval, CI: 47.2-49.1) reported to be overweight or obese (54.1% in men and 42.5% in women), and 12.6% (95% CI: 12.0-13.2) obese (11.3% in men and 13.8% in women). Obesity prevalence was lowest in Italy (7.5%) and France (8.8%), and highest in Greece (19.7%) and Romania (21.1%). Multilevel logistic random-effects analyses showed that prevalence of obesity was related with higher age and lower level of education and socioeconomic status. As compared to northern European countries, Western and Southern European ones showed a significantly lower obesity prevalence. When compared to a companion study conducted in 2010, Eastern and Northern European countries showed an increased trend in obesity prevalence. Conversely, countries with the lowest obesity prevalence (less than 10%), such as Italy and France, showed a decreased trend. </w:t>
      </w:r>
    </w:p>
    <w:p>
      <w:pPr/>
      <w:r>
        <w:rPr>
          <w:b/>
        </w:rPr>
        <w:t>POSSIBLE 2022:</w:t>
      </w:r>
      <w:r>
        <w:t xml:space="preserve"> Increased Scabies Incidence at the Beginning of the 21st Century: What Do Reports from Europe and the World Show? — https://doi.org/10.3390/life12101598</w:t>
      </w:r>
    </w:p>
    <w:p>
      <w:pPr/>
      <w:r>
        <w:rPr>
          <w:b/>
        </w:rPr>
        <w:t>Shared claim-specific concepts:</w:t>
      </w:r>
      <w:r>
        <w:t xml:space="preserve"> increase, prevalence, every; EU scope visible. This is a provisional connection, not an outcome finding.</w:t>
      </w:r>
    </w:p>
    <w:p>
      <w:pPr>
        <w:pStyle w:val="SourceNote"/>
      </w:pPr>
      <w:r>
        <w:rPr>
          <w:b/>
        </w:rPr>
        <w:t>Available abstract (not full text):</w:t>
      </w:r>
      <w:r>
        <w:t xml:space="preserve"> Reports from various countries have described increasing numbers of scabies cases, especially in the past two decades. The epidemiological data for various world regions showed prevalence estimates ranging from 0.2% to 71%, with the highest prevalence in the Pacific region and Latin America. Therefore, geographically, scabies occurs more commonly in the developing world, tropical climates, and in areas with a lack of access to water. According to results from specific regions of the world, the greatest burdens from scabies were recorded for East Asia, Southeast Asia, Oceania, tropical Latin America, and South Asia. Among countries with the highest rates, the top 10 were Indonesia, China, Timor-Leste, Vanuatu, Fiji, Cambodia, Laos, Myanmar, Vietnam, and the Seychelles. From Europe, available data shows an increasing trend in scabies infestation, particularly evident among populations with associated contributing factors, such as those who travel frequently, refugees, asylum seekers, those who regularly lack drinking water and appropriate hygiene and are of a younger age, etc. This increase in observed cases in the last 10-20 years has been evidenced by research conducted in Germany, France, Norway, and Croatia, among other countries. In addition, increased scabies transmission was also recorded during the COVID-19 pandemic and may have been the result of increased sexual interco</w:t>
      </w:r>
    </w:p>
    <w:p>
      <w:pPr>
        <w:pStyle w:val="Heading2"/>
      </w:pPr>
      <w:r>
        <w:t>777. UK-EU RELATIONSHIP AFTER BREXIT: AN EXERCISE IN SCENARIO-BUILDING</w:t>
      </w:r>
    </w:p>
    <w:p>
      <w:pPr>
        <w:pStyle w:val="SourceNote"/>
      </w:pPr>
      <w:r>
        <w:rPr>
          <w:b/>
        </w:rPr>
        <w:t>Original source (2018):</w:t>
      </w:r>
      <w:r>
        <w:t xml:space="preserve"> https://doi.org/10.9770/jssi.2018.8.1(3)</w:t>
      </w:r>
    </w:p>
    <w:p>
      <w:pPr/>
      <w:r>
        <w:t>Original wording (abstract; indexed_source_text_not_full_document_verified): In 2010s, the mainstream academic debate slowly but surely shifted towards European Union's internal crisis and the possibility of its disintegration.United Kingdom applying to exit the Union in 2017 is the most recent and arguably the strongest indicator of such possibility."Brexit" (as this process was dubbed) provides an interesting testing ground for latent European disintegration theories proposed by some political scientists.As the withdrawal negotiations have just started, one can only raise causal arguments for the future (if..., then); therefore this article employs scenario-building methodology recently established in political science with an aim to develop a set of scenarios of possible UK-EU relationship after Brexit.Four driving forces are cross-combined: (1) U.S. involvement in European security matters and bilateral relations with UK, (2) German leadership of the integrationist projects within the EU, (3) activism of the European Commission and the European Court of Justice, and (4) the stability of current minority cabinet in UK under Prime Minister May.The three scenarios that logically follow are: (1) UK as member of a nascent European security and defence union, (2) UK's return to the EU, and (3) UK as an independent power in an "anglobal" world.Rarely, however, do any scenarios composed by political scientists ever materialize in full and a mix of all three scenarios is most likely to come to pass over the course of the next five years or so.</w:t>
      </w:r>
    </w:p>
    <w:p>
      <w:pPr/>
      <w:r>
        <w:rPr>
          <w:b/>
        </w:rPr>
        <w:t>POSSIBLE 2026:</w:t>
      </w:r>
      <w:r>
        <w:t xml:space="preserve"> The Marginalisation and Mainstreaming of Feminist Philosophy — https://openalex.org/W7167998293</w:t>
      </w:r>
    </w:p>
    <w:p>
      <w:pPr/>
      <w:r>
        <w:rPr>
          <w:b/>
        </w:rPr>
        <w:t>Shared claim-specific concepts:</w:t>
      </w:r>
      <w:r>
        <w:t xml:space="preserve"> mainstream, academic, but; EU scope not established. This is a provisional connection, not an outcome finding.</w:t>
      </w:r>
    </w:p>
    <w:p>
      <w:pPr>
        <w:pStyle w:val="SourceNote"/>
      </w:pPr>
      <w:r>
        <w:rPr>
          <w:b/>
        </w:rPr>
        <w:t>Available abstract (not full text):</w:t>
      </w:r>
      <w:r>
        <w:t xml:space="preserve"> Feminist philosophy has long been marginalized in philosophy. In response, some feminist philosophers have called for and carried out efforts to mainstream feminist philosophy. In some cases, this mainstreaming has paid off. This paper considers the case of the mainstreaming of feminist philosophy of science, which in the last two decades has assumed an important place in mainstream philosophy of science. Mainstreaming has significant benefits, but it also comes at a cost. I identify two problems: the persistent marginalisation of some strands of feminist research, and a loss of connections to feminist philosophy. By developing an account of disciplinary marginalisation and mainstreaming, this paper contributes to our understanding of the structure of academic disciplines and identifies lessons for the discipline of philosophy.</w:t>
      </w:r>
    </w:p>
    <w:p>
      <w:pPr/>
      <w:r>
        <w:rPr>
          <w:b/>
        </w:rPr>
        <w:t>POSSIBLE 2025:</w:t>
      </w:r>
      <w:r>
        <w:t xml:space="preserve"> Re-imagining a multicultural Europe: the experience of the R.E.D. (Reframing the European Dream) Carpet — https://doi.org/10.4337/9781035310036.00032</w:t>
      </w:r>
    </w:p>
    <w:p>
      <w:pPr/>
      <w:r>
        <w:rPr>
          <w:b/>
        </w:rPr>
        <w:t>Shared claim-specific concepts:</w:t>
      </w:r>
      <w:r>
        <w:t xml:space="preserve"> mainstream, academic, debate; EU scope visible. This is a provisional connection, not an outcome finding.</w:t>
      </w:r>
    </w:p>
    <w:p>
      <w:pPr>
        <w:pStyle w:val="SourceNote"/>
      </w:pPr>
      <w:r>
        <w:rPr>
          <w:b/>
        </w:rPr>
        <w:t>Available abstract (not full text):</w:t>
      </w:r>
      <w:r>
        <w:t xml:space="preserve"> This chapter examines the political and academic debate on multiculturalism and cosmopolitanism, going so far as to argue that a false dichotomy has been drawn between the two. By exploring the narratives through which migration processes – and the mixture of different cultures they promote – are framed in European mainstream media discourse, the authors highlight the ambiguous recognition of difference and respect for the ‘other’ emerging from a cosmopolitanism devoid of multicultural ethos. Taking the art installation R.E.D. (Reframing the European Dream) Carpet – resulting from the collaboration between researchers, migrants, first-line practitioners and artists – as a case study, this chapter reflects on the role of art in challenging both the assimilationist logic and the processes of othering. Aesthetic practices show their potential as critical tools able to re-politicize the role of migration and diversity in a multicultural society while fostering the re-imagination of the political order that enables cosmopolitanism.</w:t>
      </w:r>
    </w:p>
    <w:p>
      <w:pPr/>
      <w:r>
        <w:rPr>
          <w:b/>
        </w:rPr>
        <w:t>POSSIBLE 2024:</w:t>
      </w:r>
      <w:r>
        <w:t xml:space="preserve"> Unsettling mainstream academic debates on community-based energy governance: Exploring the Japanese experience — https://doi.org/10.1016/j.rser.2024.114994</w:t>
      </w:r>
    </w:p>
    <w:p>
      <w:pPr/>
      <w:r>
        <w:rPr>
          <w:b/>
        </w:rPr>
        <w:t>Shared claim-specific concepts:</w:t>
      </w:r>
      <w:r>
        <w:t xml:space="preserve"> mainstream, academic, provides; EU scope visible. This is a provisional connection, not an outcome finding.</w:t>
      </w:r>
    </w:p>
    <w:p>
      <w:pPr>
        <w:pStyle w:val="SourceNote"/>
      </w:pPr>
      <w:r>
        <w:rPr>
          <w:b/>
        </w:rPr>
        <w:t>Available abstract (not full text):</w:t>
      </w:r>
      <w:r>
        <w:t xml:space="preserve"> Community-based energy governance (CEG), in which citizens or communities play a central role, has attracted sufficient attention in the context of efforts to achieve a democratic and just energy transition. Despite this surge of interest, however, a crucial limitation of the CEG literature is that its conceptualisation relies mainly on the analyses of case studies and literature from North Western Europe. To address this geographic bias, this paper conducts a rigorous review of Japanese debates on CEG, shedding new light on how the first-hand experience of the Fukushima nuclear power plant accident in 2011 has led to new dialogues, based on its domestic interdisciplinary traditions to tackle environmental pollution in Japan. The analysis shows that the challenges addressed by CEG can vary across geographical contexts. CEG in Japan has, first and foremost, been understood as an alternative to the “exogenous” or “colonial” regional development underlying the Japanese energy system. Here, community has been approached as a starting point to address the geographical economic disparity that exists in the existing energy system, by attaining “endogenous development” and “energy autonomy”. The analysis, therefore, provides an alternative perspective for the critical scrutiny of dominant approaches towards CEG in “Western” tradition, while pointing to the need for further in-depth inq</w:t>
      </w:r>
    </w:p>
    <w:p>
      <w:pPr/>
      <w:r>
        <w:rPr>
          <w:b/>
        </w:rPr>
        <w:t>POSSIBLE 2022:</w:t>
      </w:r>
      <w:r>
        <w:t xml:space="preserve"> Policy mixes for mainstreaming urban nature-based solutions: An analysis of six European countries and the European Union — https://doi.org/10.1016/j.envsci.2022.10.011</w:t>
      </w:r>
    </w:p>
    <w:p>
      <w:pPr/>
      <w:r>
        <w:rPr>
          <w:b/>
        </w:rPr>
        <w:t>Shared claim-specific concepts:</w:t>
      </w:r>
      <w:r>
        <w:t xml:space="preserve"> mainstream, but, union; EU scope visible. This is a provisional connection, not an outcome finding.</w:t>
      </w:r>
    </w:p>
    <w:p>
      <w:pPr>
        <w:pStyle w:val="SourceNote"/>
      </w:pPr>
      <w:r>
        <w:rPr>
          <w:b/>
        </w:rPr>
        <w:t>Available abstract (not full text):</w:t>
      </w:r>
      <w:r>
        <w:t xml:space="preserve"> Nature-based solutions (NBS) are multifunctional and cost-effective innovations delivering urban sustainability, but they are not yet mainstream in urban development. This can be explained by persistent structural conditions in the urban infrastructure regime, resulting in barriers such as lack of collaborative governance, inadequate knowledge and limited funding availability. In this paper we argue that (supra)national governments could play an important role in breaking down these barriers by employing policy instruments and strategically combining these into policy mixes targeting multiple regime structures. By means of an empirical analysis across six European countries and the European Union (EU), we provide an overview of regulatory, financial and soft (supra)national policy instruments supporting urban NBS mainstreaming and how these are combined in policy mixes across cases. In addition, we investigate policy mix comprehensiveness by mapping the extent to which these target each of the relevant urban infrastructure regime structures underpinning barriers to urban NBS mainstreaming. We demonstrate that, with the exception of the EU, none of the studied cases employs a fully comprehensive policy mix. We conclude that by strategically adopting policy instruments with the aim of crafting a comprehensive policy mix, obstacles in pathways to urban NBS mainstreaming could be o</w:t>
      </w:r>
    </w:p>
    <w:p>
      <w:pPr/>
      <w:r>
        <w:rPr>
          <w:b/>
        </w:rPr>
        <w:t>POSSIBLE 2022:</w:t>
      </w:r>
      <w:r>
        <w:t xml:space="preserve"> Sustainable development in the European Union — https://doi.org/10.4324/9780429262081-25</w:t>
      </w:r>
    </w:p>
    <w:p>
      <w:pPr/>
      <w:r>
        <w:rPr>
          <w:b/>
        </w:rPr>
        <w:t>Shared claim-specific concepts:</w:t>
      </w:r>
      <w:r>
        <w:t xml:space="preserve"> academic, debate, union, process; EU scope visible. This is a provisional connection, not an outcome finding.</w:t>
      </w:r>
    </w:p>
    <w:p>
      <w:pPr>
        <w:pStyle w:val="SourceNote"/>
      </w:pPr>
      <w:r>
        <w:rPr>
          <w:b/>
        </w:rPr>
        <w:t>Available abstract (not full text):</w:t>
      </w:r>
      <w:r>
        <w:t xml:space="preserve"> For many, the definition of sustainable development provided in the Brundtland Report marked the beginning of the era of sustainability. This chapter that there remains much rhetoric, not action, in the sustainability debate in the European Union (EU), undermining the credibility of the brand and the opportunity for sustainability to become ‘the vision’ for the future of the EU. Notions of sustainability transition are prominent in academic literature and influence EU policy frameworks. The Sustainable Development Goals will be at the heart of EU’s policymaking and action. The EU and the Member States share the competence for action on sustainability. The EU is proposing strategies, including measures to be put into operation at the national and sub-national levels. The objective of sustainability has been mainstreamed into EU domestic and external policies. Within the EU, the increased commitment to sustainability resulted in a deepening of the process of European integration from the late 1980s.</w:t>
      </w:r>
    </w:p>
    <w:p>
      <w:pPr/>
      <w:r>
        <w:rPr>
          <w:b/>
        </w:rPr>
        <w:t>POSSIBLE 2022:</w:t>
      </w:r>
      <w:r>
        <w:t xml:space="preserve"> European politics : Crises, fears, and debates — https://doi.org/10.56037/978-2-14-026532-7</w:t>
      </w:r>
    </w:p>
    <w:p>
      <w:pPr/>
      <w:r>
        <w:rPr>
          <w:b/>
        </w:rPr>
        <w:t>Shared claim-specific concepts:</w:t>
      </w:r>
      <w:r>
        <w:t xml:space="preserve"> but, union, disintegration; EU scope visible. This is a provisional connection, not an outcome finding.</w:t>
      </w:r>
    </w:p>
    <w:p>
      <w:pPr>
        <w:pStyle w:val="SourceNote"/>
      </w:pPr>
      <w:r>
        <w:rPr>
          <w:b/>
        </w:rPr>
        <w:t>Available abstract (not full text):</w:t>
      </w:r>
      <w:r>
        <w:t xml:space="preserve"> The European Union has been struggling with a multilevel poly-crisis, weakening popular support for European integration, over the past more than a decade. Political leaders aim to reverse these dynamics through democratising and politicising the Union in order to bring it closer to citizens. However, this runs counter to a trend of increasing political alienation among the same citizens at the national level. This is a book about troubled and troubling transformations in contemporary European societies and politics, which generate fears across the continent. Fears of disintegration at the European level, fears of disorder and instability at the national level, fears of disorientation at the individual level, fears of becoming irrelevant at the global level, and fears of the future that seems to be full of dangers and risks. The authors give an overview of public debates about key challenges – regarding social inequalities, demography, migration, the ecological debt, sustainable development, democracy, communication, populism, or strategic sovereignty – behind these fears, and explain alternative responses offered to them. They address university students in the first place, but also hope to shape awareness in a broader public. Today’s fears, if ignored or left unanswered, have a dangerous potential to evolve into a new political era of anxiety in Europe, with a presumably deva</w:t>
      </w:r>
    </w:p>
    <w:p>
      <w:pPr/>
      <w:r>
        <w:rPr>
          <w:b/>
        </w:rPr>
        <w:t>POSSIBLE 2022:</w:t>
      </w:r>
      <w:r>
        <w:t xml:space="preserve"> On Mainstreaming Philosophy of Science in Psychology Through “Psychological Theoretics — https://doi.org/10.18290/rpsych2022.0002</w:t>
      </w:r>
    </w:p>
    <w:p>
      <w:pPr/>
      <w:r>
        <w:rPr>
          <w:b/>
        </w:rPr>
        <w:t>Shared claim-specific concepts:</w:t>
      </w:r>
      <w:r>
        <w:t xml:space="preserve"> debate, but, surely, crisis; EU scope not established. This is a provisional connection, not an outcome finding.</w:t>
      </w:r>
    </w:p>
    <w:p>
      <w:pPr>
        <w:pStyle w:val="SourceNote"/>
      </w:pPr>
      <w:r>
        <w:rPr>
          <w:b/>
        </w:rPr>
        <w:t>Available abstract (not full text):</w:t>
      </w:r>
      <w:r>
        <w:t xml:space="preserve"> The principal goal of psychological science is not application but theory. This is because a good theory yields accurate predictions and control, two preconditions for applications. Thus, good psychological science is one that produces good theories. Against the background of reproducibility crisis and the apparent non-existence of an integrated subfield of psychology addressing those issues, I submit psychological theoretics (or psycho-theoretics) as a potential solution. The scope of psychological theoretics is outlined and distinguished from other closely related subfields. It was argued that psychological theoretics has the potential to make a unique contribution to the advancement of good psychological science. It is also worth noting that even if the global community of psychologists might not be ready for psychological theoretics as a new subfield, the reforms proposed under its rubrics would still remain relevant today and in the future. Indeed, the question of whether it is completely new will surely be the subject of scientific debate.</w:t>
      </w:r>
    </w:p>
    <w:p>
      <w:pPr/>
      <w:r>
        <w:rPr>
          <w:b/>
        </w:rPr>
        <w:t>POSSIBLE 2022:</w:t>
      </w:r>
      <w:r>
        <w:t xml:space="preserve"> Educational divides and class coalitions: How mainstream party voters divide and unite over immigration issues — https://doi.org/10.1080/1369183x.2022.2134989</w:t>
      </w:r>
    </w:p>
    <w:p>
      <w:pPr/>
      <w:r>
        <w:rPr>
          <w:b/>
        </w:rPr>
        <w:t>Shared claim-specific concepts:</w:t>
      </w:r>
      <w:r>
        <w:t xml:space="preserve"> mainstream, academic, internal; EU scope visible. This is a provisional connection, not an outcome finding.</w:t>
      </w:r>
    </w:p>
    <w:p>
      <w:pPr>
        <w:pStyle w:val="SourceNote"/>
      </w:pPr>
      <w:r>
        <w:rPr>
          <w:b/>
        </w:rPr>
        <w:t>Available abstract (not full text):</w:t>
      </w:r>
      <w:r>
        <w:t xml:space="preserve"> At the extremes of the transnational cleavage in Western European democracies, voters for far-right and green parties tend to hold polarising immigration attitudes. Yet, the extent to which immigration concerns divide mainstream left and right voters, and drive vote-choice at the ballot box for mainstream parties, is under-researched. In this article, I disentangle both immigration attitudes and mainstream electorates to answer these questions. I show that immigration issues divide electorates within the mainstream left and right along educational lines. Yet, the divide between low-educated and highly-educated voters, in particular regarding their cultural immigration concerns, is larger for the mainstream left. Secondly, turning to the drivers of vote choice, I find that cultural immigration issues explain voting for the mainstream right, particularly for lower educated voters, whereas economic concerns are associated with voting for the mainstream left, despite education level. The paper contributes to ongoing debates about immigration issues and voting by recalibrating the academic focus towards mainstream party electorates and internal divisions therein.</w:t>
      </w:r>
    </w:p>
    <w:p>
      <w:pPr/>
      <w:r>
        <w:rPr>
          <w:b/>
        </w:rPr>
        <w:t>POSSIBLE 2020:</w:t>
      </w:r>
      <w:r>
        <w:t xml:space="preserve"> The future of the European Union : demisting the debate — https://openalex.org/W3048134530</w:t>
      </w:r>
    </w:p>
    <w:p>
      <w:pPr/>
      <w:r>
        <w:rPr>
          <w:b/>
        </w:rPr>
        <w:t>Shared claim-specific concepts:</w:t>
      </w:r>
      <w:r>
        <w:t xml:space="preserve"> debate, union, brexit; EU scope visible. This is a provisional connection, not an outcome finding.</w:t>
      </w:r>
    </w:p>
    <w:p>
      <w:pPr>
        <w:pStyle w:val="SourceNote"/>
      </w:pPr>
      <w:r>
        <w:rPr>
          <w:b/>
        </w:rPr>
        <w:t>Available abstract (not full text):</w:t>
      </w:r>
      <w:r>
        <w:t xml:space="preserve"> Does Europe have a collective future, or will the coming years be marked by increasingly incoherent developments within the heterogeneous EU? There is no denying that the second decade of this century has seen a strong mood shift away from the inter-dependence and concerted actions that guided Europe’s national governments since the end of World War II, and then since the fall of the Berlin Wall. What connections, if any, are there between the paroxysms of Brexit in the UK and the varying shades of populism in continental Europe? The common denominator may simply be the painful economic pressures resulting from waning global competitiveness. It is clear that the high ideals of the European project no longer exert the same political pull. The EU’s dreams of progressing almost seamlessly from a trading zone to a shared political economy are not being realised. Where are the convergence policies that would exert centripetal rather than centrifugal forces? Where is the appetite for reforms leading to political union, and whatever happened to the idea of Europeans speaking with one voice? If the EU continues along its present path, the verdict of history may well be that it achieved little more than the welter of regulations needed to ensure trade flows. In geopolitical terms, Europe as a major player on the world stage may have been an illusion largely created by aggregating nation</w:t>
      </w:r>
    </w:p>
    <w:p>
      <w:pPr/>
      <w:r>
        <w:rPr>
          <w:b/>
        </w:rPr>
        <w:t>POSSIBLE 2020:</w:t>
      </w:r>
      <w:r>
        <w:t xml:space="preserve"> The Rise of Green Finance in Europe : Opportunities and Challenges for Issuers, Investors and Marketplaces — https://openalex.org/W3206542167</w:t>
      </w:r>
    </w:p>
    <w:p>
      <w:pPr/>
      <w:r>
        <w:rPr>
          <w:b/>
        </w:rPr>
        <w:t>Shared claim-specific concepts:</w:t>
      </w:r>
      <w:r>
        <w:t xml:space="preserve"> mainstream, academic, debate; EU scope visible. This is a provisional connection, not an outcome finding.</w:t>
      </w:r>
    </w:p>
    <w:p>
      <w:pPr>
        <w:pStyle w:val="SourceNote"/>
      </w:pPr>
      <w:r>
        <w:rPr>
          <w:b/>
        </w:rPr>
        <w:t>Available abstract (not full text):</w:t>
      </w:r>
      <w:r>
        <w:t xml:space="preserve"> This book offers a comprehensive discussion of how green finance has been growing thus far and explores the opportunities and key developments ahead, with particular emphasis on Europe. The main features of the market, the key products, the issue of correctly defining green finance, the main policy actions undertaken, the risk of green washing and the necessary steps to mainstream green finance are discussed in depth. In addition, the book analyses some highly relevant aspects of the market that so far have not been sufficiently explored in the policy, industry and academic debate. This includes the potential role of digitalisation and blockchain in fostering green finance, the crucial role of the effective financing of the agriculture to reach climate and environmental targets and the possible relationship between sustainable finance and other forms of "alternative" finance. This book will be of interest to academics, practitioners, financial institutions and policy makers involved in green finance and to the finance industry in general.</w:t>
      </w:r>
    </w:p>
    <w:p>
      <w:pPr/>
      <w:r>
        <w:rPr>
          <w:b/>
        </w:rPr>
        <w:t>POSSIBLE 2019:</w:t>
      </w:r>
      <w:r>
        <w:t xml:space="preserve"> Course “European Identity Politics”. Academic year2018-2019. Didactic materials — https://openalex.org/W3044140315</w:t>
      </w:r>
    </w:p>
    <w:p>
      <w:pPr/>
      <w:r>
        <w:rPr>
          <w:b/>
        </w:rPr>
        <w:t>Shared claim-specific concepts:</w:t>
      </w:r>
      <w:r>
        <w:t xml:space="preserve"> academic, but, united; EU scope visible. This is a provisional connection, not an outcome finding.</w:t>
      </w:r>
    </w:p>
    <w:p>
      <w:pPr>
        <w:pStyle w:val="SourceNote"/>
      </w:pPr>
      <w:r>
        <w:rPr>
          <w:b/>
        </w:rPr>
        <w:t>Available abstract (not full text):</w:t>
      </w:r>
      <w:r>
        <w:t xml:space="preserve"> Contents Project “European Velues and Identity Studies” ................. 4 Course: “European Identity Politics” ................................... 6 Teachers ................................................................................... 10 Reading Texts: Avraham Rot Constructing Identity and Embracing Boredom in United Europe ............................................................................... 11 Juliette Chevée Constructing a European identity: yes, but how? .................. 25 The manifesto of European patriots Fight for Europe – or the wreckers will destroy it ............................................. 28 Francis Fukuyama Against Identity Politics ......................................................... 31 About Jean Monnet .............................................................. 56 About ERASMUS+ Jean Monnet Programme ................... 58</w:t>
      </w:r>
    </w:p>
    <w:p>
      <w:pPr>
        <w:pStyle w:val="Heading2"/>
      </w:pPr>
      <w:r>
        <w:t>778. Using urban foresight techniques in city visioning: Lessons from the Reading 2050 vision</w:t>
      </w:r>
    </w:p>
    <w:p>
      <w:pPr>
        <w:pStyle w:val="SourceNote"/>
      </w:pPr>
      <w:r>
        <w:rPr>
          <w:b/>
        </w:rPr>
        <w:t>Original source (2018):</w:t>
      </w:r>
      <w:r>
        <w:t xml:space="preserve"> https://doi.org/10.1177/0269094218800677</w:t>
      </w:r>
    </w:p>
    <w:p>
      <w:pPr/>
      <w:r>
        <w:t>Original wording (abstract; indexed_source_text_not_full_document_verified): The emergence of urban (or city) foresight techniques focuses on the need to create coherent city visions to plan and manage for future long-term change and create opportunities for new investment into the local urban economy. The paper critically reviews the development of the vision for a small city (the ‘Reading 2050’ project, linked to the UK Future of Cities Foresight Programme), and the lessons it holds for visioning, foresight and planning, using the ‘quadruple helix’ framework as a conceptual lens for analysis.</w:t>
      </w:r>
    </w:p>
    <w:p>
      <w:pPr/>
      <w:r>
        <w:rPr>
          <w:b/>
        </w:rPr>
        <w:t>POSSIBLE 2026:</w:t>
      </w:r>
      <w:r>
        <w:t xml:space="preserve"> Between Planning and Informality: The Emergence of Hybrid Urbanism in Lebanese Cities — https://doi.org/10.51584/ijrias.2026.11013sp0015</w:t>
      </w:r>
    </w:p>
    <w:p>
      <w:pPr/>
      <w:r>
        <w:rPr>
          <w:b/>
        </w:rPr>
        <w:t>Shared claim-specific concepts:</w:t>
      </w:r>
      <w:r>
        <w:t xml:space="preserve"> emergence, urban; EU scope not established. This is a provisional connection, not an outcome finding.</w:t>
      </w:r>
    </w:p>
    <w:p>
      <w:pPr>
        <w:pStyle w:val="SourceNote"/>
      </w:pPr>
      <w:r>
        <w:rPr>
          <w:b/>
        </w:rPr>
        <w:t>Available abstract (not full text):</w:t>
      </w:r>
      <w:r>
        <w:t xml:space="preserve"> Urban development in Lebanon presents a complex case where formal planning frameworks coexist with widespread informal urban practices. This paper examines the emergence of hybrid urbanism in Lebanese cities by analyzing the interaction between planning institutions, market forces, and informal urban development. The study adopts a qualitative analytical approach based on urban planning literature, institutional analysis, and the examination of urban development patterns in Lebanon. The findings indicate that urban growth in Lebanon is shaped by multiple structural factors, including conflict-induced migration, real estate dynamics, institutional fragmentation, and limited regulatory enforcement. These factors contribute to the formation of hybrid urban systems in which formal planning regulations operate alongside negotiated development practices and informal construction processes. The spatial consequences of this hybrid condition are visible in the fragmented urban morphology of Lebanese cities, characterized by mixed land uses, peri-urban expansion, and coastal urbanization. The study argues that conventional planning models based on strict regulatory control are insufficient to address the realities of urban development in Lebanon. Instead, more adaptive and context-sensitive planning strategies are required to respond to the hybrid nature of urban governance and spatial t</w:t>
      </w:r>
    </w:p>
    <w:p>
      <w:pPr/>
      <w:r>
        <w:rPr>
          <w:b/>
        </w:rPr>
        <w:t>POSSIBLE 2026:</w:t>
      </w:r>
      <w:r>
        <w:t xml:space="preserve"> Exploring the emergence of innovation districts as volumetric urban projects in Taipei City — https://doi.org/10.1080/12265934.2026.2637658</w:t>
      </w:r>
    </w:p>
    <w:p>
      <w:pPr/>
      <w:r>
        <w:rPr>
          <w:b/>
        </w:rPr>
        <w:t>Shared claim-specific concepts:</w:t>
      </w:r>
      <w:r>
        <w:t xml:space="preserve"> emergence, urban, city; EU scope not established. This is a provisional connection, not an outcome finding.</w:t>
      </w:r>
    </w:p>
    <w:p>
      <w:pPr>
        <w:pStyle w:val="SourceNote"/>
      </w:pPr>
      <w:r>
        <w:rPr>
          <w:b/>
        </w:rPr>
        <w:t>Available abstract (not full text):</w:t>
      </w:r>
      <w:r>
        <w:t xml:space="preserve"> Recent studies have often overemphasized the planning of innovation districts (IDs) as an area-based territorial extension that supports localized innovation and entrepreneurship. However, this approach obviously neglects to explore the three-dimensional growth of the volumetric properties that are produced and extracted through spatial governance practices in an ID. This paper addresses that gap with a qualitative case study of Nangang District in Taipei City to investigate how spatial governance practices contribute to the institutionalization of volumetric growth in an ID. While place-based urban development has been strategically referred to as innovation-led economic development, this paper argues that the emergence and evolution of IDs are driven by three urban volumetric strategies for securing volumetric properties: engineering, anchoring, and financialization strategies. These strategies reveal that state-led spatial governance simultaneously pursues the political-economic objectives of achieving urban–industrial upgrading while also generating governance tensions and potential conflicts associated with the vertical expansion of the innovation district. Furthermore, this research suggests that a deeper understanding of the volumetric properties of innovation districts is essential for shaping urban planning and policymaking that are capable of fostering dynamic and res</w:t>
      </w:r>
    </w:p>
    <w:p>
      <w:pPr/>
      <w:r>
        <w:rPr>
          <w:b/>
        </w:rPr>
        <w:t>POSSIBLE 2026:</w:t>
      </w:r>
      <w:r>
        <w:t xml:space="preserve"> Cities As Interfaces of Zoonotic Hazard Emergence: Development of the New York City Tick and Wildlife Urban Surveillance System — https://doi.org/10.3791/69755</w:t>
      </w:r>
    </w:p>
    <w:p>
      <w:pPr/>
      <w:r>
        <w:rPr>
          <w:b/>
        </w:rPr>
        <w:t>Shared claim-specific concepts:</w:t>
      </w:r>
      <w:r>
        <w:t xml:space="preserve"> emergence, urban, city, long-term; EU scope not established. This is a provisional connection, not an outcome finding.</w:t>
      </w:r>
    </w:p>
    <w:p>
      <w:pPr>
        <w:pStyle w:val="SourceNote"/>
      </w:pPr>
      <w:r>
        <w:rPr>
          <w:b/>
        </w:rPr>
        <w:t>Available abstract (not full text):</w:t>
      </w:r>
      <w:r>
        <w:t xml:space="preserve"> Tick-borne hazards in urban landscapes are increasing, yet critical gaps remain in understanding human tick-borne disease risk across urbanization gradients. With the loss of natural habitat globally, urban greenspaces can provide a critical habitat for wildlife with varying consequences for tick-borne disease emergence. The New York City metropolitan area has the highest human population density and geographic footprint of any city in the United States, while containing a vast network of greenspaces. These urban greenspaces vary in surrounding land cover and connectivity, providing important refugia and habitat for hundreds of urban wildlife species, which have been historically understudied. To the best of the authors' knowledge, there are no urban tick surveillance systems in place to monitor how ticks and their wildlife hosts respond to and emerge in urban environments. To address this gap, a long-term urban tick and wildlife surveillance system was developed across an urbanization gradient from New York City through Long Island, NY. Here, we describe the process of working with a diverse group of partners to design, implement, and maintain a paired wildlife camera trapping and tick surveillance system. The process began by the formation of an advisory committee of tick-borne disease experts and wildlife management partners who provided insights and feedback to collaborativ</w:t>
      </w:r>
    </w:p>
    <w:p>
      <w:pPr/>
      <w:r>
        <w:rPr>
          <w:b/>
        </w:rPr>
        <w:t>POSSIBLE 2026:</w:t>
      </w:r>
      <w:r>
        <w:t xml:space="preserve"> Emergence of Wetland Neighbourhoods in Port Harcourt and the Challenge to the Urban Planner — https://openalex.org/W7154801030</w:t>
      </w:r>
    </w:p>
    <w:p>
      <w:pPr/>
      <w:r>
        <w:rPr>
          <w:b/>
        </w:rPr>
        <w:t>Shared claim-specific concepts:</w:t>
      </w:r>
      <w:r>
        <w:t xml:space="preserve"> emergence, urban, techniques, need; EU scope not established. This is a provisional connection, not an outcome finding.</w:t>
      </w:r>
    </w:p>
    <w:p>
      <w:pPr>
        <w:pStyle w:val="SourceNote"/>
      </w:pPr>
      <w:r>
        <w:rPr>
          <w:b/>
        </w:rPr>
        <w:t>Available abstract (not full text):</w:t>
      </w:r>
      <w:r>
        <w:t xml:space="preserve"> Rapid urban expansion and land-use changes have increasingly encroached upon wetland ecosystems, leading to their degradation and loss, particularly in developing regions where planning control is limited. In cities like Port Harcourt, this has resulted in a transition from informal wetland settlements to more structured residential developments, raising critical concerns for sustainable urban planning and environmental management. This study examines the emergence and expansion of wetland neighbourhoods in Port Harcourt, focusing on their spatial patterns, socio-economic characteristics, underlying drivers, and implications for urban planning. Rapid urbanization, rising land values, and increasing housing costs within the formal urban core have intensified pressure on marginal lands, leading to settlement growth in environmentally sensitive wetland areas. A mixed-method approach was adopted, combining 131 structured questionnaires across six purposively selected neighbourhoods with field observations and geospatial analysis. Spatial techniques, including a distance matrix, were used to assess the relationship between settlement location and proximity to major road infrastructure. Findings reveal that wetland neighbourhoods are increasingly occupied by middle-income residents, indicating a transition from traditional low-income informal settlements to more hybrid development fo</w:t>
      </w:r>
    </w:p>
    <w:p>
      <w:pPr/>
      <w:r>
        <w:rPr>
          <w:b/>
        </w:rPr>
        <w:t>POSSIBLE 2026:</w:t>
      </w:r>
      <w:r>
        <w:t xml:space="preserve"> Emergence of Wetland Neighbourhoods in Port Harcourt and the Challenge to the Urban Planner — https://doi.org/10.9734/jgeesi/2026/v30i41039</w:t>
      </w:r>
    </w:p>
    <w:p>
      <w:pPr/>
      <w:r>
        <w:rPr>
          <w:b/>
        </w:rPr>
        <w:t>Shared claim-specific concepts:</w:t>
      </w:r>
      <w:r>
        <w:t xml:space="preserve"> emergence, urban, techniques, need; EU scope not established. This is a provisional connection, not an outcome finding.</w:t>
      </w:r>
    </w:p>
    <w:p>
      <w:pPr>
        <w:pStyle w:val="SourceNote"/>
      </w:pPr>
      <w:r>
        <w:rPr>
          <w:b/>
        </w:rPr>
        <w:t>Available abstract (not full text):</w:t>
      </w:r>
      <w:r>
        <w:t xml:space="preserve"> Rapid urban expansion and land-use changes have increasingly encroached upon wetland ecosystems, leading to their degradation and loss, particularly in developing regions where planning control is limited. In cities like Port Harcourt, this has resulted in a transition from informal wetland settlements to more structured residential developments, raising critical concerns for sustainable urban planning and environmental management. This study examines the emergence and expansion of wetland neighbourhoods in Port Harcourt, focusing on their spatial patterns, socio-economic characteristics, underlying drivers, and implications for urban planning. Rapid urbanization, rising land values, and increasing housing costs within the formal urban core have intensified pressure on marginal lands, leading to settlement growth in environmentally sensitive wetland areas. A mixed-method approach was adopted, combining 131 structured questionnaires across six purposively selected neighbourhoods with field observations and geospatial analysis. Spatial techniques, including a distance matrix, were used to assess the relationship between settlement location and proximity to major road infrastructure. Findings reveal that wetland neighbourhoods are increasingly occupied by middle-income residents, indicating a transition from traditional low-income informal settlements to more hybrid development fo</w:t>
      </w:r>
    </w:p>
    <w:p>
      <w:pPr/>
      <w:r>
        <w:rPr>
          <w:b/>
        </w:rPr>
        <w:t>POSSIBLE 2026:</w:t>
      </w:r>
      <w:r>
        <w:t xml:space="preserve"> Urban historical analysis of the emergence and development of Bishkek — https://doi.org/10.63621/as./1.2025.22</w:t>
      </w:r>
    </w:p>
    <w:p>
      <w:pPr/>
      <w:r>
        <w:rPr>
          <w:b/>
        </w:rPr>
        <w:t>Shared claim-specific concepts:</w:t>
      </w:r>
      <w:r>
        <w:t xml:space="preserve"> emergence, urban, city, plan; EU scope not established. This is a provisional connection, not an outcome finding.</w:t>
      </w:r>
    </w:p>
    <w:p>
      <w:pPr>
        <w:pStyle w:val="SourceNote"/>
      </w:pPr>
      <w:r>
        <w:rPr>
          <w:b/>
        </w:rPr>
        <w:t>Available abstract (not full text):</w:t>
      </w:r>
      <w:r>
        <w:t xml:space="preserve"> Following the Presidential Decree of the Kyrgyz Republic dated 29 December 2023 on the expansion of the administrative-territorial boundaries of Bishkek, by analogy with cities such as Moscow, New Delhi, and Greater London, this territorial enlargement has given rise to numerous urban planning challenges and has exacerbated existing issues affecting the vital interests of the population. With the extension of the urban area, multiple questions emerge regarding the city’s historical reference framework, including the integration of newly incorporated monuments of historical, cultural, landscape, and other significance. The aim of this study was to establish the theoretical foundations for the rational, economically efficient, and anticipatory development of the capital of Kyrgyzstan. The research employed historical-chronological and historical-urban analyses (comparing master plans from 1878 to 2025), a systematic interdisciplinary approach (considering natural, climatic, and seismic factors), a comparative-historical method, and critical analysis of primary sources. The study revealed that the regular rectangular street grid of Pishpek in 1878 established a resilient framework for contemporary Bishkek. It analysed the stages of transformation of the urban layout during the Soviet and post-Soviet periods, and examined the influence of natural and geographical conditions (topogr</w:t>
      </w:r>
    </w:p>
    <w:p>
      <w:pPr/>
      <w:r>
        <w:rPr>
          <w:b/>
        </w:rPr>
        <w:t>POSSIBLE 2026:</w:t>
      </w:r>
      <w:r>
        <w:t xml:space="preserve"> Density as verb: on the emergence and circulation of a category in Swiss urban development — https://doi.org/10.1080/02723638.2026.2699805</w:t>
      </w:r>
    </w:p>
    <w:p>
      <w:pPr/>
      <w:r>
        <w:rPr>
          <w:b/>
        </w:rPr>
        <w:t>Shared claim-specific concepts:</w:t>
      </w:r>
      <w:r>
        <w:t xml:space="preserve"> emergence, urban; EU scope not established. This is a provisional connection, not an outcome finding.</w:t>
      </w:r>
    </w:p>
    <w:p>
      <w:pPr>
        <w:pStyle w:val="SourceNote"/>
      </w:pPr>
      <w:r>
        <w:rPr>
          <w:b/>
        </w:rPr>
        <w:t>Available abstract (not full text):</w:t>
      </w:r>
      <w:r>
        <w:t xml:space="preserve"> This paper examines the emergence and circulation of “density” as an expert category in Swiss urban development, arguing that it operates as a boundary object that shapes planning practices, policies and urban imaginaries. Drawing on policy documents, expert interviews and case studies, the paper traces how “density” has evolved from a technical parameter to a contested and malleable notion mobilized across different planning and political arenas. By analysing its use in planning debates, political arenas, legal frameworks and participatory workshops, I highlight how density functions as a verb: actively structuring urban transformation, mediating conflicts, provoking resistance and legitimizing interventions. The Swiss case illustrates how density, as a flexible yet impactful category, adapts to shifting governance regimes, development imperatives and techno-political negotiations.</w:t>
      </w:r>
    </w:p>
    <w:p>
      <w:pPr/>
      <w:r>
        <w:rPr>
          <w:b/>
        </w:rPr>
        <w:t>POSSIBLE 2025:</w:t>
      </w:r>
      <w:r>
        <w:t xml:space="preserve"> Urban Complexity + Emergence: Procedural Modeling of City Activity and Form — https://doi.org/10.31219/osf.io/uk4ve_v1</w:t>
      </w:r>
    </w:p>
    <w:p>
      <w:pPr/>
      <w:r>
        <w:rPr>
          <w:b/>
        </w:rPr>
        <w:t>Shared claim-specific concepts:</w:t>
      </w:r>
      <w:r>
        <w:t xml:space="preserve"> emergence, urban, city, techniques; EU scope not established. This is a provisional connection, not an outcome finding.</w:t>
      </w:r>
    </w:p>
    <w:p>
      <w:pPr>
        <w:pStyle w:val="SourceNote"/>
      </w:pPr>
      <w:r>
        <w:rPr>
          <w:b/>
        </w:rPr>
        <w:t>Available abstract (not full text):</w:t>
      </w:r>
      <w:r>
        <w:t xml:space="preserve"> Cities are immense and extremely difficult to conceptualize, let alone model, and previousdigitally based efforts have often failed to capture the complexity and indeterminacy of urbanorganizations. Architects and designers have had trouble conceiving of techniques for examiningthese systems due to their large number of interacting micro-parts that evolve over time. We’vealso had difficulty finding workable planning strategies that operate in a more decentralizedmanner to accommodate the multiplicity of (often autonomous) urban decision makers. To thisend, an interdisciplinary team composed of an architect and urban designer, a computer scientist,and a mathematician, educator and learning technologist are researching and formulatingmethods of examining cities using the agent-based digital modeling program NetLogo.</w:t>
      </w:r>
    </w:p>
    <w:p>
      <w:pPr/>
      <w:r>
        <w:rPr>
          <w:b/>
        </w:rPr>
        <w:t>POSSIBLE 2025:</w:t>
      </w:r>
      <w:r>
        <w:t xml:space="preserve"> Beyond Automation: The Emergence of Agentic Urban AI — https://doi.org/10.3390/automation6030029</w:t>
      </w:r>
    </w:p>
    <w:p>
      <w:pPr/>
      <w:r>
        <w:rPr>
          <w:b/>
        </w:rPr>
        <w:t>Shared claim-specific concepts:</w:t>
      </w:r>
      <w:r>
        <w:t xml:space="preserve"> emergence, urban, city, need; EU scope not established. This is a provisional connection, not an outcome finding.</w:t>
      </w:r>
    </w:p>
    <w:p>
      <w:pPr>
        <w:pStyle w:val="SourceNote"/>
      </w:pPr>
      <w:r>
        <w:rPr>
          <w:b/>
        </w:rPr>
        <w:t>Available abstract (not full text):</w:t>
      </w:r>
      <w:r>
        <w:t xml:space="preserve"> Urban systems are transforming as artificial intelligence (AI) evolves from automation to Agentic Urban AI (AI systems with autonomous goal-setting and decision-making capabilities), which independently define and pursue urban objectives. This shift necessitates reassessing governance, planning, and ethics. Using a conceptual-methodological approach, this study integrates urban studies, AI ethics, and governance theory. Through a literature review and case studies of platforms like Alibaba’s City Brain and CityMind AI Agent, it identifies early agency indicators, such as strategic adaptation and goal re-prioritisation. A typology distinguishing automation, autonomy, and agency clarifies AI-driven urban decision-making. Three trajectories are proposed: fully autonomous Agentic AI, collaborative Hybrid Urban Agency, and constrained Non-Agentic AI to mitigate ethical risks. The findings highlight the need for participatory, transparent governance to ensure democratic accountability and social equity in cognitive urban ecosystems.</w:t>
      </w:r>
    </w:p>
    <w:p>
      <w:pPr/>
      <w:r>
        <w:rPr>
          <w:b/>
        </w:rPr>
        <w:t>POSSIBLE 2025:</w:t>
      </w:r>
      <w:r>
        <w:t xml:space="preserve"> The Evolution of Restoration Ideologies: The Emergence, Disappearance, and Revival of the Palatine Gate as an Urban Axis Node — https://doi.org/10.56397/saa.2025.04.01</w:t>
      </w:r>
    </w:p>
    <w:p>
      <w:pPr/>
      <w:r>
        <w:rPr>
          <w:b/>
        </w:rPr>
        <w:t>Shared claim-specific concepts:</w:t>
      </w:r>
      <w:r>
        <w:t xml:space="preserve"> emergence, urban, city, techniques, focuses; EU scope visible. This is a provisional connection, not an outcome finding.</w:t>
      </w:r>
    </w:p>
    <w:p>
      <w:pPr>
        <w:pStyle w:val="SourceNote"/>
      </w:pPr>
      <w:r>
        <w:rPr>
          <w:b/>
        </w:rPr>
        <w:t>Available abstract (not full text):</w:t>
      </w:r>
      <w:r>
        <w:t xml:space="preserve"> This paper focuses on the Porta Palatina in Turin, Italy, analyzing its emergence, disappearance, and revival as a node of the urban axis. Using this as a central thread, it explores the evolution of restoration ideologies in Italy. Constructed in the 1st century BCE, Porta Palatina served as a crucial gateway to the ancient Roman city of Turin, marking the starting point of Caesar’s Gallic Wars and the spread of Roman civilization. Over the course of Turin’s urban transformation, the role of Porta Palatina as a city axis shifted through three distinct phases: from being a military and political center in Roman times, to being abandoned during the Baroque period, and finally, to its revival and rediscovery in modern times. This study delves into the restoration journey of Porta Palatina, spanning from stylistic restoration in the mid-19th century to scientific restoration in the 20th century, and culminating in archaeological park design in the 21st century. It illustrates the transition of Italian restoration ideologies from Romanticism to modern scientific conservation. By examining restoration practices across different eras, this paper uncovers the interactions between restoration theory and culture, history, and technology. It emphasizes that restoration is not only an advancement in architectural techniques but also a respect for and preservation of historical culture. Th</w:t>
      </w:r>
    </w:p>
    <w:p>
      <w:pPr/>
      <w:r>
        <w:rPr>
          <w:b/>
        </w:rPr>
        <w:t>POSSIBLE 2025:</w:t>
      </w:r>
      <w:r>
        <w:t xml:space="preserve"> Urban systems in medium-sized cities: the two forces and the emergence of a flower structure — https://doi.org/10.1016/j.cities.2025.106099</w:t>
      </w:r>
    </w:p>
    <w:p>
      <w:pPr/>
      <w:r>
        <w:rPr>
          <w:b/>
        </w:rPr>
        <w:t>Shared claim-specific concepts:</w:t>
      </w:r>
      <w:r>
        <w:t xml:space="preserve"> emergence, urban, city, need; EU scope visible. This is a provisional connection, not an outcome finding.</w:t>
      </w:r>
    </w:p>
    <w:p>
      <w:pPr>
        <w:pStyle w:val="SourceNote"/>
      </w:pPr>
      <w:r>
        <w:rPr>
          <w:b/>
        </w:rPr>
        <w:t>Available abstract (not full text):</w:t>
      </w:r>
      <w:r>
        <w:t xml:space="preserve"> This article discovers the unique dynamics shaping medium-sized cities (populations between 100,000 and 500,000) and addresses a less explored area: understanding how the balance between centralization and population density creates distinct urban forms. Medium-sized cities often exhibit a predominantly monocentric structure, with central hub concentrating economic activities, government services or cultural institutions. But as they expand, population density begins to shape more localized clusters of amenities in outlying areas, forming what we term a “flower structure.” In this setup, a central hub is surrounded by “petals” or clusters that each offer services close to home while staying connected to the city centre. This research positions medium-sized cities between the polycentricity often observed in larger urban centres and the monocentric patterns typical of smaller towns. Using Košice, Slovakia, as a case study, we employ regression models to trace how distance from the core and population density work together to shape these service clusters. The findings reveal a blend of centralized and decentralized spaces that offer practical accessibility in different parts of the city. This model encourages urban planners to think beyond a single core, opening up new strategies for the 15-minute city concept, which emphasizes self-sufficient neighbourhoods. The study also sugge</w:t>
      </w:r>
    </w:p>
    <w:p>
      <w:pPr/>
      <w:r>
        <w:rPr>
          <w:b/>
        </w:rPr>
        <w:t>POSSIBLE 2025:</w:t>
      </w:r>
      <w:r>
        <w:t xml:space="preserve"> Emergence of urban malaria and the associated risk factors: a case–control study in Mutare city, Zimbabwe — https://doi.org/10.1186/s12936-025-05494-4</w:t>
      </w:r>
    </w:p>
    <w:p>
      <w:pPr/>
      <w:r>
        <w:rPr>
          <w:b/>
        </w:rPr>
        <w:t>Shared claim-specific concepts:</w:t>
      </w:r>
      <w:r>
        <w:t xml:space="preserve"> emergence, urban, city; EU scope not established. This is a provisional connection, not an outcome finding.</w:t>
      </w:r>
    </w:p>
    <w:p>
      <w:pPr>
        <w:pStyle w:val="SourceNote"/>
      </w:pPr>
      <w:r>
        <w:rPr>
          <w:b/>
        </w:rPr>
        <w:t>Available abstract (not full text):</w:t>
      </w:r>
      <w:r>
        <w:t xml:space="preserve"> BACKGROUND: Mutare city of Zimbabwe was considered free of autochthonous malaria, until 2017, when the Ministry of Health and Child Care formally confirmed escalating cases of locally transmitted malaria in the city. The current study examined the risk factors for malaria cases in the city to aid in formulation of targeted intervention packages for helping restore malaria-free status. METHODS: The study employed complementary cross-sectional and case-control designs to ascertain the magnitude and risk factors of urban malaria cases presenting at all eight primary health care facilities of Mutare city from 2022 to 2023. Malaria cases were enrolled as confirmed by RDT or microscopy on presenting all-age symptomatic suspected malaria patients. Controls were similarly enrolled as all-age symptomatic suspected malaria patients found negative by both RDT and microscopy. All cases and controls were enrolled as representative of the presenting population with no matching. Data were analysed for descriptive and prevalence statistics, as well as risk factors, using SPSS Faculty version 27. RESULTS: In a multivariate binary logistic model, significant risk factors for malaria cases found in the city included residential locale (RR [95%CI]: 3 [1.1-5.8], p = 0.029, N = 7,222), household proximity to still surface water pools or unprotected wells (16 [3.8-67.5], p &lt; 0.001) and travel history</w:t>
      </w:r>
    </w:p>
    <w:p>
      <w:pPr>
        <w:pStyle w:val="Heading2"/>
      </w:pPr>
      <w:r>
        <w:t>779. Varying soil moisture–atmosphere feedbacks explain divergent temperature extremes and precipitation projections in central Europe</w:t>
      </w:r>
    </w:p>
    <w:p>
      <w:pPr>
        <w:pStyle w:val="SourceNote"/>
      </w:pPr>
      <w:r>
        <w:rPr>
          <w:b/>
        </w:rPr>
        <w:t>Original source (2018):</w:t>
      </w:r>
      <w:r>
        <w:t xml:space="preserve"> https://doi.org/10.5194/esd-9-1107-2018</w:t>
      </w:r>
    </w:p>
    <w:p>
      <w:pPr/>
      <w:r>
        <w:t>Original wording (abstract; indexed_source_text_not_full_document_verified): Our results suggest that long-term temperature changes in TXx in central Europe are about 20 % lower than those projected by the multi-model median of the full ensemble. We find a divergent behavior in long-term projections of summer precipitation until the end of the 21st century, resulting in a trimodal distribution of precipitation (wet, dry and very dry).</w:t>
      </w:r>
    </w:p>
    <w:p>
      <w:pPr/>
      <w:r>
        <w:rPr>
          <w:b/>
        </w:rPr>
        <w:t>POSSIBLE 2026:</w:t>
      </w:r>
      <w:r>
        <w:t xml:space="preserve"> Civilizational Temperature: A CRTI-Based Heuristic Exploration of Long-Term System Dynamics (1000 BCE–2025 CE) — https://doi.org/10.5281/zenodo.19058865</w:t>
      </w:r>
    </w:p>
    <w:p>
      <w:pPr/>
      <w:r>
        <w:rPr>
          <w:b/>
        </w:rPr>
        <w:t>Shared claim-specific concepts:</w:t>
      </w:r>
      <w:r>
        <w:t xml:space="preserve"> long-term, temperature, divergent; EU scope visible. This is a provisional connection, not an outcome finding.</w:t>
      </w:r>
    </w:p>
    <w:p>
      <w:pPr>
        <w:pStyle w:val="SourceNote"/>
      </w:pPr>
      <w:r>
        <w:rPr>
          <w:b/>
        </w:rPr>
        <w:t>Available abstract (not full text):</w:t>
      </w:r>
      <w:r>
        <w:t xml:space="preserve"> This paper introduces a heuristic application of the Compression-Reorganization Thermodynamic Index (CRTI), defined as T = R / Φ, to long-term civilizational dynamics across four macro-regions: Persia/Iran, China, the Mediterranean Core, and Europe, spanning 1000 BCE to 2025 CE.T (systemic temperature) is operationalized as the ratio between adaptive reorganization capacity (R) and structural compression (Φ). All values are ordinal structural estimates derived from comparative historical scholarship; they are not empirical measurements. T does not measure moral worth, civilizational superiority, or geopolitical power.The analysis suggests recurring compression-reorganization cycles, divergent plateau dynamics, and a sustained high-T anomaly in post-1500 Europe plausibly associated with inter-state pluralism. A formal exploratory hypothesis on civilizational lifecycle dynamics is proposed (H1: integration → expansion → compression → overcompression → reorganization or collapse), along with proxy variables for future quantitative reconstruction.The framework is compatible with panarchy theory (Holling), critical transitions theory (Scheffer, Dakos), stability theory (May), and cliodynamics (Turchin). This manuscript is explicitly pre-formal and hypothesis-generative in character. complexity sciencecivilizational dynamicssystemic temperaturestructural compressionadaptive capacityC</w:t>
      </w:r>
    </w:p>
    <w:p>
      <w:pPr/>
      <w:r>
        <w:rPr>
          <w:b/>
        </w:rPr>
        <w:t>POSSIBLE 2026:</w:t>
      </w:r>
      <w:r>
        <w:t xml:space="preserve"> Vegetation Responses to Climate Extremes Across China: Lagged Effects and Dominant Drivers Revealed by Long-Term kNDVI Observations — https://doi.org/10.3390/atmos17030227</w:t>
      </w:r>
    </w:p>
    <w:p>
      <w:pPr/>
      <w:r>
        <w:rPr>
          <w:b/>
        </w:rPr>
        <w:t>Shared claim-specific concepts:</w:t>
      </w:r>
      <w:r>
        <w:t xml:space="preserve"> long-term, temperature, txx, precipitation; EU scope not established. This is a provisional connection, not an outcome finding.</w:t>
      </w:r>
    </w:p>
    <w:p>
      <w:pPr>
        <w:pStyle w:val="SourceNote"/>
      </w:pPr>
      <w:r>
        <w:rPr>
          <w:b/>
        </w:rPr>
        <w:t>Available abstract (not full text):</w:t>
      </w:r>
      <w:r>
        <w:t xml:space="preserve"> Quantifying the relative roles of climate change and human activities in vegetation change is essential for sustainable restoration planning, yet the impacts of extreme climate events and their time-lagged effects are often overlooked, biasing assessments of climatic controls. Here, we developed an integrated pattern–process–attribution framework to evaluate vegetation dynamics across China’s four major climatic zones using a long-term, high-resolution kernel normalized difference vegetation index (kNDVI) dataset for 2000–2024. Theil–Sen trend estimation and the coefficient of variation (CV) were used to characterize long-term changes and interannual stability. Partial correlation analysis was applied to isolate the independent associations between kNDVI and extreme climate indices while controlling for background mean temperature and precipitation, and lagged correlation analysis with 0–3-month lags was used to quantify delayed responses. A regression-based residual attribution was further used to decompose observed kNDVI changes into a climate-driven component and a human-activity-related component (approximated by the residual not explained by temperature and precipitation). Results show widespread greening with pronounced spatial heterogeneity, with the most extensive improvement in the Tropical and Subtropical Humid Region and the Temperate Humid and Semi-humid Region. Veg</w:t>
      </w:r>
    </w:p>
    <w:p>
      <w:pPr/>
      <w:r>
        <w:rPr>
          <w:b/>
        </w:rPr>
        <w:t>POSSIBLE 2026:</w:t>
      </w:r>
      <w:r>
        <w:t xml:space="preserve"> Long-Term Changes in Temperature Extremes Based on Climate Indices in Different Physical-Geographical Conditions of Georgia, 1961–2020 — https://doi.org/10.3390/atmos17070678</w:t>
      </w:r>
    </w:p>
    <w:p>
      <w:pPr/>
      <w:r>
        <w:rPr>
          <w:b/>
        </w:rPr>
        <w:t>Shared claim-specific concepts:</w:t>
      </w:r>
      <w:r>
        <w:t xml:space="preserve"> long-term, temperature, summer; EU scope not established. This is a provisional connection, not an outcome finding.</w:t>
      </w:r>
    </w:p>
    <w:p>
      <w:pPr>
        <w:pStyle w:val="SourceNote"/>
      </w:pPr>
      <w:r>
        <w:rPr>
          <w:b/>
        </w:rPr>
        <w:t>Available abstract (not full text):</w:t>
      </w:r>
      <w:r>
        <w:t xml:space="preserve"> We studied long-term changes in temperature extremes in Georgia against the backdrop of ongoing global warming within 1961–2020. Using observational data from 20 meteorological stations from different physical-geographic regions of the country, we analyzed the main climate temperature indices recommended by the WMO and the Expert Team on Climate Change Detection and Indices (ETCCDI). Indices characterizing extremely cold and warm conditions (ice days, frost days, summer days, and tropical nights); growing season length; as well as indices of absolute extremes and percentile temperature characteristics were considered. The results show that along the Black Sea coast and the Kolkheti Lowland, changes in temperature indices are less pronounced due to the moderating influence of the sea and humid landscapes; however, a significant increase in the number of tropical nights is observed. In areas with a more continental climate (Eastern Georgia, the South Georgian Highlands, and the mid-mountain zone of the Greater Caucasus), a general decrease in the number of ice days and frost days was observed, along with a simultaneous increase in the number of hot summer days, tropical nights, and growing season length. Tropical nights and percentile temperature indices were found to be the most sensitive to global warming. Overall, the results indicate widespread long-term tendencies consistent</w:t>
      </w:r>
    </w:p>
    <w:p>
      <w:pPr/>
      <w:r>
        <w:rPr>
          <w:b/>
        </w:rPr>
        <w:t>POSSIBLE 2025:</w:t>
      </w:r>
      <w:r>
        <w:t xml:space="preserve"> Analyzing Long-Term Trends in Air Temperature and Precipitation in Bel-Ksiri, Morocco (1980–2024) — https://doi.org/10.22194/jgias/25.1707</w:t>
      </w:r>
    </w:p>
    <w:p>
      <w:pPr/>
      <w:r>
        <w:rPr>
          <w:b/>
        </w:rPr>
        <w:t>Shared claim-specific concepts:</w:t>
      </w:r>
      <w:r>
        <w:t xml:space="preserve"> long-term, temperature, summer, precipitation; EU scope not established. This is a provisional connection, not an outcome finding.</w:t>
      </w:r>
    </w:p>
    <w:p>
      <w:pPr>
        <w:pStyle w:val="SourceNote"/>
      </w:pPr>
      <w:r>
        <w:rPr>
          <w:b/>
        </w:rPr>
        <w:t>Available abstract (not full text):</w:t>
      </w:r>
      <w:r>
        <w:t xml:space="preserve"> The study analyzes climate change in Bel-Ksiri. It provides an understanding of long-term trends (1980-2024) and changes between the last two standard twenty-year climate periods: 1980-2000 and 2001-2020.In this study, we determined the trend of the two variables studied using the Mann-Kendall test and calculated the difference and relative variations in temperature and precipitation. The Kolmogorov-Smirnov test (KS test) was used to compare the two climate periods studied (1980-2000 and 2001-2020). Data analysis was performed using the Python language. Climate trends from 1980 to 2024 reveal a marked warming, particularly in spring and summer, with an increase in daily temperature variations, exacerbating the risk of drought and impacting agriculture, water resources and health. The periods 1980-2000 and 2001-2020 show significant differences, notably an increase in maximum and minimum night-time temperatures, particularly during summer and spring. Analysis of climate indices, such as TX90p and TN90p, shows increases in temperature extremes, with notable rises in hot days and warm nights, underlining gradual warming. The TX30, TX35, TX37 and TX39 indices also show significant increases. Hot spells (WSDI) and cold spells (CSDI) have intensified, although some trends are not statistically significant. These results confirm a marked climate change, with significant impacts on eco</w:t>
      </w:r>
    </w:p>
    <w:p>
      <w:pPr/>
      <w:r>
        <w:rPr>
          <w:b/>
        </w:rPr>
        <w:t>POSSIBLE 2025:</w:t>
      </w:r>
      <w:r>
        <w:t xml:space="preserve"> Regional climate projections using a deep-learning–based model-ranking and downscaling framework: application to European climate zones — https://doi.org/10.1007/s11356-025-36872-9</w:t>
      </w:r>
    </w:p>
    <w:p>
      <w:pPr/>
      <w:r>
        <w:rPr>
          <w:b/>
        </w:rPr>
        <w:t>Shared claim-specific concepts:</w:t>
      </w:r>
      <w:r>
        <w:t xml:space="preserve"> temperature, txx, multi-model, projections; EU scope visible. This is a provisional connection, not an outcome finding.</w:t>
      </w:r>
    </w:p>
    <w:p>
      <w:pPr>
        <w:pStyle w:val="SourceNote"/>
      </w:pPr>
      <w:r>
        <w:rPr>
          <w:b/>
        </w:rPr>
        <w:t>Available abstract (not full text):</w:t>
      </w:r>
      <w:r>
        <w:t xml:space="preserve"> Abstract Accurate regional climate projection calls for high-resolution downscaling of Global Climate Models (GCMs). This work presents a deep-learning-based multi-model evaluation and downscaling framework ranking 32 Coupled Model Intercomparison Project Phase 6 (CMIP6) models using a Deep Learning-TOPSIS (DL-TOPSIS) mechanism and refines outputs using advanced deep-learning models. Using nine performance criteria, five Köppen-Geiger climate zones—Tropical, Arid, Temperate, Continental, and Polar—are investigated over four seasons. While TaiESM1 and CMCC-CM2-SR5 show notable biases, ranking results show that NorESM2-LM, GISS-E2-1-G, and HadGEM3-GC31-LL outperform other models. Four models contribute to downscaling the top-ranked GCMs to 0.1 $$^\circ $$ ∘ resolution (Vision Transformer (ViT), Geospatial Spatiotemporal Transformer with Attention and Imbalance-Aware Network (GeoSTANet), CNN-LSTM, CNN-Long Short-Term Memory (ConvLSTM)). Effectively capturing temperature extremes (TXx, TNn), GeoSTANet achieves the highest accuracy (Root Mean Square Error (RMSE) = 1.57 $$^\circ $$ ∘ C, Kling-Gupta Efficiency (KGE) = 0.89, Nash-Sutcliffe Efficiency (NSE) = 0.85, Correlation (r) = 0.92), so reducing RMSE by 20% over ConvLSTM. CNN-LSTM and ConvLSTM do well in Continental and Temperate zones; ViT finds fine-scale temperature fluctuations difficult. These results confirm that multi-crite</w:t>
      </w:r>
    </w:p>
    <w:p>
      <w:pPr/>
      <w:r>
        <w:rPr>
          <w:b/>
        </w:rPr>
        <w:t>POSSIBLE 2025:</w:t>
      </w:r>
      <w:r>
        <w:t xml:space="preserve"> Near-term Climate Prediction of Agricultural Thermal Conditions in East Asia — https://doi.org/10.1007/s00376-025-4471-0</w:t>
      </w:r>
    </w:p>
    <w:p>
      <w:pPr/>
      <w:r>
        <w:rPr>
          <w:b/>
        </w:rPr>
        <w:t>Shared claim-specific concepts:</w:t>
      </w:r>
      <w:r>
        <w:t xml:space="preserve"> temperature, about, end; EU scope not established. This is a provisional connection, not an outcome finding.</w:t>
      </w:r>
    </w:p>
    <w:p>
      <w:pPr>
        <w:pStyle w:val="SourceNote"/>
      </w:pPr>
      <w:r>
        <w:rPr>
          <w:b/>
        </w:rPr>
        <w:t>Available abstract (not full text):</w:t>
      </w:r>
      <w:r>
        <w:t xml:space="preserve"> Abstract Climate change poses significant risks to agriculture, particularly in East Asia, a major crop-producing region. This study evaluates the effectiveness of near-term climate predictions in forecasting agricultural thermal conditions in East Asia for up to five years. We compare temperature-based agroclimatic indicators from atmospheric reanalysis data with the first-year prediction of the Decadal Prediction System version 4 (DePreSys4), initialized annually from November 1960 to 2024. Our analysis reveals that first-year predictions accurately represent observed spatial climatological patterns, although trends in agroclimatic indicators based on daily maximum temperature are overestimated. High skill scores are observed in predicting the beginning of the growing season, frost-free days, agricultural hot days, and heat intensity in major cropping regions. However, the end of the growing season is less predictable due to longer lead times. Notably, five-year average predictions show higher skill than first-year predictions due to smoothed interannual variability. These improved climate predictions enable farmers and policymakers to make informed decisions about crop selection and agricultural infrastructure.</w:t>
      </w:r>
    </w:p>
    <w:p>
      <w:pPr/>
      <w:r>
        <w:rPr>
          <w:b/>
        </w:rPr>
        <w:t>POSSIBLE 2025:</w:t>
      </w:r>
      <w:r>
        <w:t xml:space="preserve"> Examining the Eastern European extreme summer temperatures of 2023 from a long-term perspective: the role of natural variability vs. anthropogenic factors — https://doi.org/10.5194/egusphere-egu25-15014</w:t>
      </w:r>
    </w:p>
    <w:p>
      <w:pPr/>
      <w:r>
        <w:rPr>
          <w:b/>
        </w:rPr>
        <w:t>Shared claim-specific concepts:</w:t>
      </w:r>
      <w:r>
        <w:t xml:space="preserve"> long-term, temperature, those, find, behavior, summer; EU scope visible. This is a provisional connection, not an outcome finding.</w:t>
      </w:r>
    </w:p>
    <w:p>
      <w:pPr>
        <w:pStyle w:val="SourceNote"/>
      </w:pPr>
      <w:r>
        <w:rPr>
          <w:b/>
        </w:rPr>
        <w:t>Available abstract (not full text):</w:t>
      </w:r>
      <w:r>
        <w:t xml:space="preserve"> Amidst unprecedented rising global temperatures, this study investigates the historical context of heatwave (HW) events in Eastern Europe. The record-breaking 2023 summer, featuring a HW lasting for 19 days in the south-eastern part of Romania, extending up to Ukraine, necessitates a deeper understanding of past extreme events. Utilizing statistical methods on long-term station data spanning from 1885 to 2023, we aim to detect and analyze historical HWs, particularly focusing on events predating 1960. This extended timeframe allows for a more comprehensive assessment of noteworthy extremes compared to recent decades. We used both a percentile-based threshold and a fixed absolute temperature threshold to identify HW events. Our analysis identifies two critical periods with increased HW frequency and intensity: 1920–1965 and 1980–2023, respectively, highlighting the most extreme events in August 1946, August 1952, July 2012, June 2019, and August 2023. Furthermore, reanalysis data shows that historical HWs, similar to the 2023 event, were associated with large-scale European heat extremes linked to high-pressure systems and they were accompanied by extreme drought, thus leading to compound extreme events. We find that while a clear trend emerges towards more frequent HWs from the 1980s onward, the analysis also uncovers substantial HW activity on daily timescales throughout the 1</w:t>
      </w:r>
    </w:p>
    <w:p>
      <w:pPr/>
      <w:r>
        <w:rPr>
          <w:b/>
        </w:rPr>
        <w:t>POSSIBLE 2024:</w:t>
      </w:r>
      <w:r>
        <w:t xml:space="preserve"> Long-term daily water temperatures unveil escalating water warming and intensifying heatwaves in the Odra river Basin, Central Europe — https://doi.org/10.1016/j.gsf.2024.101916</w:t>
      </w:r>
    </w:p>
    <w:p>
      <w:pPr/>
      <w:r>
        <w:rPr>
          <w:b/>
        </w:rPr>
        <w:t>Shared claim-specific concepts:</w:t>
      </w:r>
      <w:r>
        <w:t xml:space="preserve"> long-term, temperature, central, ensemble, summer; EU scope visible. This is a provisional connection, not an outcome finding.</w:t>
      </w:r>
    </w:p>
    <w:p>
      <w:pPr>
        <w:pStyle w:val="SourceNote"/>
      </w:pPr>
      <w:r>
        <w:rPr>
          <w:b/>
        </w:rPr>
        <w:t>Available abstract (not full text):</w:t>
      </w:r>
      <w:r>
        <w:t xml:space="preserve"> Water temperature is a critical indicator and weathervane of aquatic ecosystems. However, the vast majority of rivers lack long-term continuous and complete water temperature datasets. In this study, ensemble models by combining NARX (nonlinear autoregressive network with exogenous inputs) and air2stream were used to reconstruct daily river water temperatures for 27 hydrological stations in the Odra River Basin, one of the largest river systems in Europe. For each hydrological station, both the NARX and air2stream models were calibrated and validated, and the better-performed model was selected to reconstruct daily river water temperatures from 1985 to 2022. The results showed that hybrid modeling by combining NARX and air2stream is promising for reconstructing daily river water temperatures. Based on the reconstructed dataset, annual and seasonal trends of water temperature and characteristics of river heatwaves were evaluated. The results indicated that annual river water temperatures showed a consistent warming trend over the past 40 years with an average warming rate of 0.315 °C/decade. Seasonal river water temperatures indicated that summer warms faster, followed by autumn and spring, and winter river water temperatures showed an insignificant warming trend. River heatwaves are increased in frequency, duration, and intensity in the Odra River Basin, and 6 out of 27 hydrolo</w:t>
      </w:r>
    </w:p>
    <w:p>
      <w:pPr/>
      <w:r>
        <w:rPr>
          <w:b/>
        </w:rPr>
        <w:t>POSSIBLE 2024:</w:t>
      </w:r>
      <w:r>
        <w:t xml:space="preserve"> Examining the Eastern European extreme summer temperatures of 2023 from a long-term perspective: the role of natural variability vs. anthropogenic factors — https://doi.org/10.5194/nhess-24-4683-2024</w:t>
      </w:r>
    </w:p>
    <w:p>
      <w:pPr/>
      <w:r>
        <w:rPr>
          <w:b/>
        </w:rPr>
        <w:t>Shared claim-specific concepts:</w:t>
      </w:r>
      <w:r>
        <w:t xml:space="preserve"> long-term, those, find, behavior, summer; EU scope visible. This is a provisional connection, not an outcome finding.</w:t>
      </w:r>
    </w:p>
    <w:p>
      <w:pPr>
        <w:pStyle w:val="SourceNote"/>
      </w:pPr>
      <w:r>
        <w:rPr>
          <w:b/>
        </w:rPr>
        <w:t>Available abstract (not full text):</w:t>
      </w:r>
      <w:r>
        <w:t xml:space="preserve"> Abstract. Amidst unprecedent rising global temperatures, this study investigates the historical context of heatwave (HW) events in Eastern Europe. The record-breaking 2023 summer, featuring a heatwave lasting for 19 days in the south-eastern part of Romania, extending up to Ukraine, necessitates a deeper understanding of past extreme events. Utilizing statistical methods on long-term station data spanning from 1885 to 2023, we aim to detect and analyze historical heatwaves, particularly focusing on events predating 1960. This extended timeframe allows for a more comprehensive assessment of noteworthy extremes compared to recent decades. Our analysis identifies two critical periods with increased heatwave frequency and intensity: 1920–1965 and 1980–2023, respectively, highlighting the most extreme events in August 1946, August 1952, July 2012, June 2019, and August 2023. Furthermore, reanalysis data shows that historical heatwaves, similar to the 2023 event, were associated with large-scale European heat extremes linked to high-pressure systems and they were accompanied by extreme drought, thus leading to compound extreme events. We find that while a clear trend emerges towards more frequent HWs from the 1980s onward, the analysis also uncovers substantial heatwave activity on daily timescales throughout the 1885–1960 period. Moreover, we highlight the intertwined impacts of cli</w:t>
      </w:r>
    </w:p>
    <w:p>
      <w:pPr/>
      <w:r>
        <w:rPr>
          <w:b/>
        </w:rPr>
        <w:t>POSSIBLE 2024:</w:t>
      </w:r>
      <w:r>
        <w:t xml:space="preserve"> Impact of Extreme Climate Indices on Vegetation Dynamics in the Qinghai–Tibet Plateau: A Comprehensive Analysis Utilizing Long-Term Dataset — https://doi.org/10.3390/ijgi13120457</w:t>
      </w:r>
    </w:p>
    <w:p>
      <w:pPr/>
      <w:r>
        <w:rPr>
          <w:b/>
        </w:rPr>
        <w:t>Shared claim-specific concepts:</w:t>
      </w:r>
      <w:r>
        <w:t xml:space="preserve"> long-term, temperature, txx, central, precipitation, distribution; EU scope not established. This is a provisional connection, not an outcome finding.</w:t>
      </w:r>
    </w:p>
    <w:p>
      <w:pPr>
        <w:pStyle w:val="SourceNote"/>
      </w:pPr>
      <w:r>
        <w:rPr>
          <w:b/>
        </w:rPr>
        <w:t>Available abstract (not full text):</w:t>
      </w:r>
      <w:r>
        <w:t xml:space="preserve"> The Qinghai–Tibet Plateau (QTP) is crucial for global climate regulation and ecological equilibrium. However, the phenomenon of global climate warming has increased the frequency of extreme weather events on the QTP, exerting substantial effects on both regional and global ecological systems. This study utilized long-term series NDVI and extreme climate indices to comprehensively evaluate the impact of extreme climatic changes on diverse vegetation types within the QTP. A variety of analytical methodologies, including trend analysis, a Mann–Kendall test, correlation analysis, and random forest importance ranking, were employed in this study. These methodologies were applied to investigate the distribution patterns and variation trends of diverse vegetation types and extreme climate indices. This comprehensive approach facilitated a detailed analysis of the responses of different vegetation types to interannual variability under extreme climatic conditions and enabled the assessment of the impact of extreme climate indices on these vegetation types. The findings have the following implications: (1) Except for forests, the annual NDVI for overall vegetation, meadows, steppes, deserts, and alpine vegetation in the QTP exhibits a significant upward trend (p &lt; 0.01). Notably, meadows and deserts demonstrate the highest growth rates at 0.007/10y, whereas the annual NDVI of forests is</w:t>
      </w:r>
    </w:p>
    <w:p>
      <w:pPr/>
      <w:r>
        <w:rPr>
          <w:b/>
        </w:rPr>
        <w:t>POSSIBLE 2024:</w:t>
      </w:r>
      <w:r>
        <w:t xml:space="preserve"> Bimodality and Long - Term Trends of the Extreme Values of Air Temperature — https://doi.org/10.29227/im-2024-01-24</w:t>
      </w:r>
    </w:p>
    <w:p>
      <w:pPr/>
      <w:r>
        <w:rPr>
          <w:b/>
        </w:rPr>
        <w:t>Shared claim-specific concepts:</w:t>
      </w:r>
      <w:r>
        <w:t xml:space="preserve"> suggest, temperature, central, lower, those; EU scope visible. This is a provisional connection, not an outcome finding.</w:t>
      </w:r>
    </w:p>
    <w:p>
      <w:pPr>
        <w:pStyle w:val="SourceNote"/>
      </w:pPr>
      <w:r>
        <w:rPr>
          <w:b/>
        </w:rPr>
        <w:t>Available abstract (not full text):</w:t>
      </w:r>
      <w:r>
        <w:t xml:space="preserve"> Histograms of air temperature with a bimodal shape are commonly observed in many regions of the world. In this study, we investigate the causes of bimodality in the histograms of daily temperature series (minimum, average, and maximum) for selected climatological stations in Slovakia. Our findings suggest that in the Central European region, the bimodal shape of air temperature histograms is mainly due to the latent heat of freezing, as the surface of snow and ice and the air are thermally coupled. The asymmetry in the air temperature histograms is due to the lower mass heat capacity of ice compared to water and air. The energy - intensive latent heat of conversion of ice to water (and vice versa) results in the more frequent occurrence of ground - layer air temperatures around the freezing point, leading to the formation of the observed local maximum. This has far - reaching implications, such as the calculation of the annual mean air temperature at climatological stations. When calculating the average air temperature, negative temperatures should be given less weight than positive temperatures. Temperatures around 0 - 6°C should be given higher weight. This may also explain why Arctic regions are experiencing more significant warming than equatorial regions. In the second part of this paper, we analyze the long - term trends of selected temperature indices for the climatologi</w:t>
      </w:r>
    </w:p>
    <w:p>
      <w:pPr/>
      <w:r>
        <w:rPr>
          <w:b/>
        </w:rPr>
        <w:t>POSSIBLE 2024:</w:t>
      </w:r>
      <w:r>
        <w:t xml:space="preserve"> Exploring the paradoxical nature of cold temperature mortality in Europe — https://doi.org/10.1038/s41598-024-53675-z</w:t>
      </w:r>
    </w:p>
    <w:p>
      <w:pPr/>
      <w:r>
        <w:rPr>
          <w:b/>
        </w:rPr>
        <w:t>Shared claim-specific concepts:</w:t>
      </w:r>
      <w:r>
        <w:t xml:space="preserve"> temperature, about, summer; EU scope visible. This is a provisional connection, not an outcome finding.</w:t>
      </w:r>
    </w:p>
    <w:p>
      <w:pPr>
        <w:pStyle w:val="SourceNote"/>
      </w:pPr>
      <w:r>
        <w:rPr>
          <w:b/>
        </w:rPr>
        <w:t>Available abstract (not full text):</w:t>
      </w:r>
      <w:r>
        <w:t xml:space="preserve"> Abstract While low winter temperatures are associated with increased mortality, this phenomenon has been suggested to be most severe in regions with seemingly mild winters. The study aimed to establish a temperature-based formula that could elucidate the previously ambiguous regional differences in vulnerability to low temperature. European weekly mortality data (2000–2019) were matched with meteorological data to determine for each region vulnerability to temperature decrease and the optimal temperature with lowest mortality. Regression models were developed to generalize and explain these findings considering regional temperature characteristics. Optimal temperature could be predicted based on local average summer temperature (R2 = 85.6%). Regional vulnerability to temperature decrease could be explained by combination of winter and summer temperatures (R2 = 86.1%). Regions with warm winters and cold summers showed the highest vulnerability to decrease of temperature during winter. Contrary to theories about economic disparities Eastern Europe exhibited resistance comparable to Scandinavia. The southern edges of Europe demonstrated serious low temperature vulnerability to decreased temperatures, even if temperature was relatively high around 20 °C. This suggests that the observed connection primarily reflects the modulation of the length of respiratory virus infection seasons</w:t>
      </w:r>
    </w:p>
    <w:p>
      <w:pPr>
        <w:pStyle w:val="Heading2"/>
      </w:pPr>
      <w:r>
        <w:t>780. A road map for explorative scenario creation on Belgian rail freight transport development</w:t>
      </w:r>
    </w:p>
    <w:p>
      <w:pPr>
        <w:pStyle w:val="SourceNote"/>
      </w:pPr>
      <w:r>
        <w:rPr>
          <w:b/>
        </w:rPr>
        <w:t>Original source (2017):</w:t>
      </w:r>
      <w:r>
        <w:t xml:space="preserve"> https://doi.org/10.1177/1783591717734792</w:t>
      </w:r>
    </w:p>
    <w:p>
      <w:pPr/>
      <w:r>
        <w:t>Original wording (abstract; indexed_source_text_not_full_document_verified): This interdisciplinary research develops a road map for the creation of three integrated scenarios: a best case, medium case and worst case scenario for rail freight development, based on a detailed SWOT (strength, weakness, opportunities, threats) analysis. The obtained scenarios allow future research to quantify and measure the impact of future developments and decisions towards the Belgian rail freight market.</w:t>
      </w:r>
    </w:p>
    <w:p>
      <w:pPr/>
      <w:r>
        <w:rPr>
          <w:b/>
        </w:rPr>
        <w:t>POSSIBLE 2026:</w:t>
      </w:r>
      <w:r>
        <w:t xml:space="preserve"> An Analysis of Interdisciplinary Thematic Clusters and Evolutionary Paths in Research on AI Music Creation — https://doi.org/10.17548/ksaf.2026.06.30.285</w:t>
      </w:r>
    </w:p>
    <w:p>
      <w:pPr/>
      <w:r>
        <w:rPr>
          <w:b/>
        </w:rPr>
        <w:t>Shared claim-specific concepts:</w:t>
      </w:r>
      <w:r>
        <w:t xml:space="preserve"> interdisciplinary, creation, integrated; EU scope not established. This is a provisional connection, not an outcome finding.</w:t>
      </w:r>
    </w:p>
    <w:p>
      <w:pPr>
        <w:pStyle w:val="SourceNote"/>
      </w:pPr>
      <w:r>
        <w:rPr>
          <w:b/>
        </w:rPr>
        <w:t>Available abstract (not full text):</w:t>
      </w:r>
      <w:r>
        <w:t xml:space="preserve"> With the continuous advancement of artificial intelligence, deep learning, and generative models, AI-driven music creation has emerged as an important interdisciplinary field integrating computer science, musicology, and interactive creative design. To systematically examine its knowledge structure, research hotspots, and evolutionary trends, this study analyzed 1,308 publications indexed in the Web of Science Core Collection from 2000 to 2026. CiteSpace was employed to conduct a visualized bibliometric analysis of publication trends, collaboration networks, keyword co-occurrence, clustering, and burst detection. The results reveal that research on AI-driven music creation demonstrates a clear stage-based developmental trajectory, evolving from gradual accumulation to rapid expansion. The knowledge production landscape has formed a multi-centered structure dominated by China and the United States, although hierarchical characteristics remain evident in global collaboration. Research hotspots gradually developed into a three-layer framework consisting of technological methods, creative mechanisms, and application expansion, with major themes including deep learning, algorithmic composition, music generation, music education, music therapy, and human–computer interaction. In addition, the research frontier shows a transition from a “model-driven” paradigm to a “data-driven” and f</w:t>
      </w:r>
    </w:p>
    <w:p>
      <w:pPr/>
      <w:r>
        <w:rPr>
          <w:b/>
        </w:rPr>
        <w:t>POSSIBLE 2026:</w:t>
      </w:r>
      <w:r>
        <w:t xml:space="preserve"> Integrating Global Knowledge for Dual Value Creation An Interdisciplinary Framework for Practice-Informed Social Entrepreneurship Education — https://doi.org/10.20381/ruor-32260</w:t>
      </w:r>
    </w:p>
    <w:p>
      <w:pPr/>
      <w:r>
        <w:rPr>
          <w:b/>
        </w:rPr>
        <w:t>Shared claim-specific concepts:</w:t>
      </w:r>
      <w:r>
        <w:t xml:space="preserve"> interdisciplinary, creation, three, integrated; EU scope visible. This is a provisional connection, not an outcome finding.</w:t>
      </w:r>
    </w:p>
    <w:p>
      <w:pPr>
        <w:pStyle w:val="SourceNote"/>
      </w:pPr>
      <w:r>
        <w:rPr>
          <w:b/>
        </w:rPr>
        <w:t>Available abstract (not full text):</w:t>
      </w:r>
      <w:r>
        <w:t xml:space="preserve"> Social entrepreneurship (SE) has long demonstrated that social and economic value can be created simultaneously through enterprises generating both community benefit and financial sustainability. Despite the persistence of this practice across cultures, regions, and historical periods, SE scholarship and Social Entrepreneurship Education (SEE) remain fragmented by disciplinary boundaries, competing definitions, and regionally specific models that limit the scaling of SE practice and the development of a coherent and globally applicable SEE approach capable of supporting solutions to complex global problems. This dissertation addresses the absence of an integrated, interdisciplinary, and globally transferable SEE framework aligned with a complementary pedagogical design. Guided by the Interdisciplinary Research Process (IRP) (Repko &amp; Szostak, 2025), the research integrates disciplinary scholarship, regional educational practice, cultural philosophies, and practitioner knowledge. The study was conducted across three research phases, including interdisciplinary theoretical integration, comparative empirical investigation of SEE ecosystems in Manitoba, Prince Edward Island, Croatia, and Slovenia, and iterative implementation and evaluation of the resulting SEE approach across multicultural and multidisciplinary learning environments. The dissertation applies redefinition as an IRP </w:t>
      </w:r>
    </w:p>
    <w:p>
      <w:pPr/>
      <w:r>
        <w:rPr>
          <w:b/>
        </w:rPr>
        <w:t>POSSIBLE 2026:</w:t>
      </w:r>
      <w:r>
        <w:t xml:space="preserve"> The Long Road Back: An Integrative and Interdisciplinary Approach to Care After Traumatic Brain Injury — https://doi.org/10.1097/hrp.0000000000000457</w:t>
      </w:r>
    </w:p>
    <w:p>
      <w:pPr/>
      <w:r>
        <w:rPr>
          <w:b/>
        </w:rPr>
        <w:t>Shared claim-specific concepts:</w:t>
      </w:r>
      <w:r>
        <w:t xml:space="preserve"> interdisciplinary, road, case; EU scope not established. This is a provisional connection, not an outcome finding.</w:t>
      </w:r>
    </w:p>
    <w:p>
      <w:pPr>
        <w:pStyle w:val="SourceNote"/>
      </w:pPr>
      <w:r>
        <w:rPr>
          <w:b/>
        </w:rPr>
        <w:t>Available abstract (not full text):</w:t>
      </w:r>
      <w:r>
        <w:t xml:space="preserve"> Traumatic brain injury (TBI) is frequently associated with significant neuropsychiatric sequelae. Recovery trajectories are highly variable; injury severity is only one influence. Other factors, including preexisting psychiatric or psychological factors and psychosocial contexts also influence recovery. In this clinical challenge, we present the case of a young woman with a history of psychiatric comorbidity who developed complex neuropsychiatric symptoms after sustaining a TBI following a motor vehicle accident. Her clinical presentation included posttraumatic headache, chronic pain, visual disturbances, difficulty returning to work, and prominent anxiety and posttraumatic stress disorder symptoms. These challenges required a coordinated, multidisciplinary approach to treatment, focused both on symptom management and functional recovery. Psychotherapy played a central role, with a modified exposure-based approach augmented by biofeedback tools and pharmacotherapy. Over time, this integrative strategy resulted in meaningful improvement in the patient's neuropsychiatric symptoms and functional recovery. This case highlights the role of collaborative, tailored treatment for patients with overlapping neurological and psychiatric sequelae of TBI. It also underscores the unique contribution of psychotherapy when combined with medication and technology-enabled interventions, demonstr</w:t>
      </w:r>
    </w:p>
    <w:p>
      <w:pPr/>
      <w:r>
        <w:rPr>
          <w:b/>
        </w:rPr>
        <w:t>POSSIBLE 2025:</w:t>
      </w:r>
      <w:r>
        <w:t xml:space="preserve"> Interdisciplinary perspectives on the intersections of roads, sustainable development, and disaster resilience — https://doi.org/10.1016/j.ijdrr.2025.105691</w:t>
      </w:r>
    </w:p>
    <w:p>
      <w:pPr/>
      <w:r>
        <w:rPr>
          <w:b/>
        </w:rPr>
        <w:t>Shared claim-specific concepts:</w:t>
      </w:r>
      <w:r>
        <w:t xml:space="preserve"> interdisciplinary, road; EU scope not established. This is a provisional connection, not an outcome finding.</w:t>
      </w:r>
    </w:p>
    <w:p>
      <w:pPr>
        <w:pStyle w:val="SourceNote"/>
      </w:pPr>
      <w:r>
        <w:rPr>
          <w:b/>
        </w:rPr>
        <w:t>Available abstract (not full text):</w:t>
      </w:r>
      <w:r>
        <w:t xml:space="preserve"> Natural hazard-influenced disasters, sustainable development, and roads are closely intertwined. Governments and funding agencies worldwide are increasingly focused on delivering disaster-resilient road infrastructure. However, the multifaceted, ubiquitous, and contested nature of road networks means that making them resilient to disasters is a complex task. Efforts to build resilient roads generate trade-offs against other policy goals like climate resilience and sustainable development, and always carry political implications. In this paper, we synthesise discussions that took place during a one-day hybrid workshop on the intersections between roads, development and disaster resilience with 50 practitioners, policymakers, and physical and social scientists from around the world with expertise in relevant fields. Two key themes emerged: (i) the political ecology of the resilience of road networks and (ii) the key players and politics surrounding road construction and maintenance. Through synthesising workshop discussions with contemporary literature, we present working definitions of disaster resilience for these two themes to help shape future interdisciplinary research on road disaster resilience.When thinking through the theme of political ecology, road disaster resilience is understood within the context of uneven power dynamics and the political work done by applying a re</w:t>
      </w:r>
    </w:p>
    <w:p>
      <w:pPr/>
      <w:r>
        <w:rPr>
          <w:b/>
        </w:rPr>
        <w:t>POSSIBLE 2025:</w:t>
      </w:r>
      <w:r>
        <w:t xml:space="preserve"> Educational Innovation for Sustainability: An Interdisciplinary Model of Road Decarbonization in Higher Education — https://doi.org/10.20944/preprints202502.0760.v1</w:t>
      </w:r>
    </w:p>
    <w:p>
      <w:pPr/>
      <w:r>
        <w:rPr>
          <w:b/>
        </w:rPr>
        <w:t>Shared claim-specific concepts:</w:t>
      </w:r>
      <w:r>
        <w:t xml:space="preserve"> interdisciplinary, develops, road; EU scope not established. This is a provisional connection, not an outcome finding.</w:t>
      </w:r>
    </w:p>
    <w:p>
      <w:pPr>
        <w:pStyle w:val="SourceNote"/>
      </w:pPr>
      <w:r>
        <w:rPr>
          <w:b/>
        </w:rPr>
        <w:t>Available abstract (not full text):</w:t>
      </w:r>
      <w:r>
        <w:t xml:space="preserve"> This study develops an interdisciplinary pedagogical model for the decarbonization of road infrastructure, integrating teaching, research, and community engagement at the Universidad Estatal del Sur de Manabí. Project-based learning (PBL) was implemented with 120 Civil, Environmental, and Forestry Engineering students to design green corridors along the Jipijapa-Puerto Cayo road. A quasi-experimental design was employed, incorporating a control group and an experimental group, with specific rubrics and statistical analysis used to assess technical and transversal competencies. The results indicated significant improvements (p &lt; 0.05) in skills related to GIS, drones, and life cycle analysis, with an average increase of 40% in the experimental group. Additionally, eight sustainable projects were developed, projecting a 25% reduction in carbon footprint compared to conventional approaches. At the community level, a 30% increase in vegetation cover was observed, along with a positive impact on ecotourism. These findings support the model as an effective strategy for sustainability education, aligning with Sustainable Development Goals (SDGs) 4 and 13, and providing a replicable framework for similar educational and environmental contexts.</w:t>
      </w:r>
    </w:p>
    <w:p>
      <w:pPr/>
      <w:r>
        <w:rPr>
          <w:b/>
        </w:rPr>
        <w:t>POSSIBLE 2025:</w:t>
      </w:r>
      <w:r>
        <w:t xml:space="preserve"> INTERDISCIPLINARY CONNECTIONS IN ACTION: CREATION OF THE STEAM EDUCATIONAL ECOSYSTEM — https://doi.org/10.52301/1684-940x-2025-1-42-47</w:t>
      </w:r>
    </w:p>
    <w:p>
      <w:pPr/>
      <w:r>
        <w:rPr>
          <w:b/>
        </w:rPr>
        <w:t>Shared claim-specific concepts:</w:t>
      </w:r>
      <w:r>
        <w:t xml:space="preserve"> interdisciplinary, creation; EU scope not established. This is a provisional connection, not an outcome finding.</w:t>
      </w:r>
    </w:p>
    <w:p>
      <w:pPr>
        <w:pStyle w:val="SourceNote"/>
      </w:pPr>
      <w:r>
        <w:rPr>
          <w:b/>
        </w:rPr>
        <w:t>Available abstract (not full text):</w:t>
      </w:r>
      <w:r>
        <w:t xml:space="preserve"> This article examines the basic principles of the organization of educational and methodological work, taking into account the implementation of interdisciplinary connections and integration in the context of the STEAM approach. In modern education, the task of combining science, technology, engineering, art and mathematics to ensure the comprehensive development of students is becoming increasingly important.</w:t>
      </w:r>
    </w:p>
    <w:p>
      <w:pPr/>
      <w:r>
        <w:rPr>
          <w:b/>
        </w:rPr>
        <w:t>POSSIBLE 2025:</w:t>
      </w:r>
      <w:r>
        <w:t xml:space="preserve"> Interdisciplinary and interdisciplinary integration in mathematics teaching — https://doi.org/10.56334/sei/8.3.72</w:t>
      </w:r>
    </w:p>
    <w:p>
      <w:pPr/>
      <w:r>
        <w:rPr>
          <w:b/>
        </w:rPr>
        <w:t>Shared claim-specific concepts:</w:t>
      </w:r>
      <w:r>
        <w:t xml:space="preserve"> interdisciplinary, based; EU scope not established. This is a provisional connection, not an outcome finding.</w:t>
      </w:r>
    </w:p>
    <w:p>
      <w:pPr>
        <w:pStyle w:val="SourceNote"/>
      </w:pPr>
      <w:r>
        <w:rPr>
          <w:b/>
        </w:rPr>
        <w:t>Available abstract (not full text):</w:t>
      </w:r>
      <w:r>
        <w:t xml:space="preserve"> Improving the quality of education is always one of the priority issues.High school math teaching and related topics are always relevant.Learning to solve problems increases students' interest in the subject being studied.Various methods and tools are widely used in teaching problem solving in high school mathematics.To analyze the problem and its solution, you can change the data in the problem, find it, replace it with others, which can be viewed as a situation that increases the skill of students.Determining the dependencies between lines of content and their integration is one of the basic learning conditions.Students often have difficulty applying algebraic and geometric content strings at the same time when solving word problems.To overcome this difficulty, consideration should be given to the use of interdisciplinary and interdisciplinary integration.In solving such problems, it is important that students, in addition to theoretical material, have knowledge based on deductive reasoning.Although the teaching approach based on general pedagogical laws is the same for all subjects, each subject has its own characteristics.Given these similarities and differences, the development of interdisciplinary and interdisciplinary relationships should be seen as one of the key factors in improving the quality of education.The high school mathematics course covers many of the subjects</w:t>
      </w:r>
    </w:p>
    <w:p>
      <w:pPr/>
      <w:r>
        <w:rPr>
          <w:b/>
        </w:rPr>
        <w:t>POSSIBLE 2024:</w:t>
      </w:r>
      <w:r>
        <w:t xml:space="preserve"> Explainable Artificial Intelligence (XAI) 2.0: A manifesto of open challenges and interdisciplinary research directions — https://doi.org/10.1016/j.inffus.2024.102301</w:t>
      </w:r>
    </w:p>
    <w:p>
      <w:pPr/>
      <w:r>
        <w:rPr>
          <w:b/>
        </w:rPr>
        <w:t>Shared claim-specific concepts:</w:t>
      </w:r>
      <w:r>
        <w:t xml:space="preserve"> interdisciplinary, road, map, based; EU scope not established. This is a provisional connection, not an outcome finding.</w:t>
      </w:r>
    </w:p>
    <w:p>
      <w:pPr>
        <w:pStyle w:val="SourceNote"/>
      </w:pPr>
      <w:r>
        <w:rPr>
          <w:b/>
        </w:rPr>
        <w:t>Available abstract (not full text):</w:t>
      </w:r>
      <w:r>
        <w:t xml:space="preserve"> Understanding black box models has become paramount as systems based on opaque Artificial Intelligence (AI) continue to flourish in diverse real-world applications. In response, Explainable AI (XAI) has emerged as a field of research with practical and ethical benefits across various domains. This paper highlights the advancements in XAI and its application in real-world scenarios and addresses the ongoing challenges within XAI, emphasizing the need for broader perspectives and collaborative efforts. We bring together experts from diverse fields to identify open problems, striving to synchronize research agendas and accelerate XAI in practical applications. By fostering collaborative discussion and interdisciplinary cooperation, we aim to propel XAI forward, contributing to its continued success. We aim to develop a comprehensive proposal for advancing XAI. To achieve this goal, we present a manifesto of 28 open problems categorized into nine categories. These challenges encapsulate the complexities and nuances of XAI and offer a road map for future research. For each problem, we provide promising research directions in the hope of harnessing the collective intelligence of interested stakeholders.</w:t>
      </w:r>
    </w:p>
    <w:p>
      <w:pPr/>
      <w:r>
        <w:rPr>
          <w:b/>
        </w:rPr>
        <w:t>POSSIBLE 2024:</w:t>
      </w:r>
      <w:r>
        <w:t xml:space="preserve"> Strategic flood impact mitigation in developing countries’ urban road networks: Application to Hanoi — https://doi.org/10.1016/j.ejor.2024.06.035</w:t>
      </w:r>
    </w:p>
    <w:p>
      <w:pPr/>
      <w:r>
        <w:rPr>
          <w:b/>
        </w:rPr>
        <w:t>Shared claim-specific concepts:</w:t>
      </w:r>
      <w:r>
        <w:t xml:space="preserve"> interdisciplinary, road, case; EU scope not established. This is a provisional connection, not an outcome finding.</w:t>
      </w:r>
    </w:p>
    <w:p>
      <w:pPr>
        <w:pStyle w:val="SourceNote"/>
      </w:pPr>
      <w:r>
        <w:rPr>
          <w:b/>
        </w:rPr>
        <w:t>Available abstract (not full text):</w:t>
      </w:r>
      <w:r>
        <w:t xml:space="preserve"> Due to climate change, the frequency and scale of flood events worldwide are increasing dramatically. Flood impacts are especially acute in developing countries, where they often revert years of progress in sustainable development and poverty reduction. This paper introduces an optimization-based decision support tool for selecting cost-efficient flood mitigation investments in developing countries’ urban areas. The core of the tool is a scenario-based, multi-period, bi-objective Mixed Integer Linear Programming model which minimizes infrastructure damage and traffic congestion in urban road networks. The tool was developed in collaboration with Vietnamese stakeholders (e.g., local communities and government authorities), and integrates data and inputs from other disciplines, including social science, transport economics, climatology and hydrology. A metaheuristic, combining a Greedy Randomized Adaptive Search Procedure with a Variable Neighborhood Descent algorithm, is developed to solve large scale problem instances. An extensive computational campaign on randomly generated instances demonstrates the efficiency of the metaheuristic in solving realistic problems with hundreds of interdependent flood mitigation interventions. Finally, the applicability of the interdisciplinary approach is demonstrated on a real case study to generate a 20-year plan of mitigation investments for</w:t>
      </w:r>
    </w:p>
    <w:p>
      <w:pPr/>
      <w:r>
        <w:rPr>
          <w:b/>
        </w:rPr>
        <w:t>POSSIBLE 2024:</w:t>
      </w:r>
      <w:r>
        <w:t xml:space="preserve"> Experience Architecture: Developing an Interdisciplinary UX Undergraduate Degree — https://openalex.org/W7215275235</w:t>
      </w:r>
    </w:p>
    <w:p>
      <w:pPr/>
      <w:r>
        <w:rPr>
          <w:b/>
        </w:rPr>
        <w:t>Shared claim-specific concepts:</w:t>
      </w:r>
      <w:r>
        <w:t xml:space="preserve"> interdisciplinary, creation, three, based; EU scope not established. This is a provisional connection, not an outcome finding.</w:t>
      </w:r>
    </w:p>
    <w:p>
      <w:pPr>
        <w:pStyle w:val="SourceNote"/>
      </w:pPr>
      <w:r>
        <w:rPr>
          <w:b/>
        </w:rPr>
        <w:t>Available abstract (not full text):</w:t>
      </w:r>
      <w:r>
        <w:t xml:space="preserve"> This program showcase discusses the creation of an undergraduate user experience program housed in the Arts and Humanities and shared between two programs: the Department of Art, Art History and Design and the Department of Writing, Rhetoric, and Cultures in the College of Arts and Letters at Michigan State University. The design of the program was grounded in three guiding questions: 1) How do we develop a UX degree that is rooted in Humanities at an R1 land-grant university? 2) How do we develop a curriculum that is interdisciplinary and upholds the values of the Humanities? 3) How can we remain agile and create space for curriculum revision that invites iteration in a way that does not chase industry, but produces graduates who can lead industry towards changes fostered by the work in the Humanities? In reflecting on these questions, the Experience Architecture (XA) Program was developed and deployed in the fall of 2013 and was revised in fall of 2020 to better situate the field under the umbrella of XA to filter conversations about human design thinking in and around a humanities centered approach to problem solving. We are humans building and designing systems for other humans, not ones and zeros building for other ones and zeros - our efforts should be grounded in the ethics, morals, and values of what it means to build, design, and care for humanities based systems, be t</w:t>
      </w:r>
    </w:p>
    <w:p>
      <w:pPr/>
      <w:r>
        <w:rPr>
          <w:b/>
        </w:rPr>
        <w:t>POSSIBLE 2024:</w:t>
      </w:r>
      <w:r>
        <w:t xml:space="preserve"> Interdisciplinary STEM education foundational concepts: Implementation for knowledge creation — https://doi.org/10.29333/ejmste/15471</w:t>
      </w:r>
    </w:p>
    <w:p>
      <w:pPr/>
      <w:r>
        <w:rPr>
          <w:b/>
        </w:rPr>
        <w:t>Shared claim-specific concepts:</w:t>
      </w:r>
      <w:r>
        <w:t xml:space="preserve"> interdisciplinary, creation; EU scope not established. This is a provisional connection, not an outcome finding.</w:t>
      </w:r>
    </w:p>
    <w:p>
      <w:pPr>
        <w:pStyle w:val="SourceNote"/>
      </w:pPr>
      <w:r>
        <w:rPr>
          <w:b/>
        </w:rPr>
        <w:t>Available abstract (not full text):</w:t>
      </w:r>
      <w:r>
        <w:t xml:space="preserve"> Interdisciplinary thinking is essential to understanding and solving real-life problems and requires multiple disciplinary viewpoints. Research into STEM education highlights that it promotes an interdisciplinary learning process integrating science, mathematics, engineering, and mathematics knowledge and skills. However, STEM definitions are varied, and implementation recommendations are scant, resulting in diversity in the development and implementation of the learning process. This study critically analyses the literature to determine the fundamental concepts of STEM education and STEM discipline integration. Our analysis discovers six key components of STEM education, encompassing the integration of discipline, utilization of multiple representations, engagement with realistic and relevant problems, application of the engineering design process, encouragement of active collaboration, and emphasis on student-centered learning approaches. Then, we transform these key components to a practical learning process. The STEM-DTaM (STEM with Design Thinking and Makerspace) learning model consists of seven steps. We then unfold how this proposed learning could facilitate interdisciplinary thinking construction.</w:t>
      </w:r>
    </w:p>
    <w:p>
      <w:pPr/>
      <w:r>
        <w:rPr>
          <w:b/>
        </w:rPr>
        <w:t>POSSIBLE 2024:</w:t>
      </w:r>
      <w:r>
        <w:t xml:space="preserve"> Developing Innovative Interdisciplinary Biomedical Engineering Programs in Nigeria: Lessons Learned — https://doi.org/10.18260/1-2--27241</w:t>
      </w:r>
    </w:p>
    <w:p>
      <w:pPr/>
      <w:r>
        <w:rPr>
          <w:b/>
        </w:rPr>
        <w:t>Shared claim-specific concepts:</w:t>
      </w:r>
      <w:r>
        <w:t xml:space="preserve"> interdisciplinary, creation, three, case; EU scope not established. This is a provisional connection, not an outcome finding.</w:t>
      </w:r>
    </w:p>
    <w:p>
      <w:pPr>
        <w:pStyle w:val="SourceNote"/>
      </w:pPr>
      <w:r>
        <w:rPr>
          <w:b/>
        </w:rPr>
        <w:t>Available abstract (not full text):</w:t>
      </w:r>
      <w:r>
        <w:t xml:space="preserve"> An interdisciplinary team comprising faculty from the medical school, business school and school of engineering at Northwestern University is in its third year of cultivating "locally grown" healthcare solutions in Nigeria through a grant provided by NIH's Fogarty International Center.Through a series of training sessions at multiple sites in multiple countries, faculty at the University of Lagos (UINLAG) and the University of Ibadan (UI) are gaining the expertise and developing the infrastructure necessary to identify, design, and commercialize solutions to their own healthcare issues.The specific aims of the grant are three-fold: 1) Establish new and strengthen existing training programs in biomedical engineering in sub-Saharan Africa; 2) Train biomedical engineers and medical doctors to evaluate newly developed HIV-related and other testing and therapeutic devices; 3) Train post graduates from business schools to scale-up development and launch new healthcare practices.In support of these specific aims we have created four distinct annual training sessions: 1) week-long annual planning meetings hosted by either UNILAG or UI and facilitated by the NU team; 2) ten-week long biomedical engineering training programs at the University of Cape Town (UCT) facilitated by UCT and NU faculty ; 3) participation in twoweek long Kellogg Field Studies in Africa; 4) four-week long mentorin</w:t>
      </w:r>
    </w:p>
    <w:p>
      <w:pPr>
        <w:pStyle w:val="Heading2"/>
      </w:pPr>
      <w:r>
        <w:t>781. Animal Health Surveillance in Scotland in 2030: Using Scenario Planning to Develop Strategies in the Context of “Brexit”</w:t>
      </w:r>
    </w:p>
    <w:p>
      <w:pPr>
        <w:pStyle w:val="SourceNote"/>
      </w:pPr>
      <w:r>
        <w:rPr>
          <w:b/>
        </w:rPr>
        <w:t>Original source (2017):</w:t>
      </w:r>
      <w:r>
        <w:t xml:space="preserve"> https://doi.org/10.3389/fvets.2017.00201</w:t>
      </w:r>
    </w:p>
    <w:p>
      <w:pPr/>
      <w:r>
        <w:t>Original wording (abstract; indexed_source_text_not_full_document_verified): In this paper, we describe the use of scenario planning as an effective tool for the creation and exploration of five plausible long-term futures; we describe prioritization of critical drivers of change (i.e., international trade policy, data-sharing philosophies, and public versus private resourcing of surveillance capacity) that will unpredictably influence the future implementation of animal health surveillance activities. We present 10 participant-developed strategies to support 3 long-term visions to improve future resilience of animal health surveillance and contingency planning for animal and zoonotic disease outbreaks in Scotland.</w:t>
      </w:r>
    </w:p>
    <w:p>
      <w:pPr/>
      <w:r>
        <w:rPr>
          <w:b/>
        </w:rPr>
        <w:t>POSSIBLE 2026:</w:t>
      </w:r>
      <w:r>
        <w:t xml:space="preserve"> What we do in the shadows: Methodologists use a range of synthesis methods when meta-analysis of all results is not possible but describe challenges in planning and selecting methods — https://doi.org/10.64898/2026.07.15.26358140</w:t>
      </w:r>
    </w:p>
    <w:p>
      <w:pPr/>
      <w:r>
        <w:rPr>
          <w:b/>
        </w:rPr>
        <w:t>Shared claim-specific concepts:</w:t>
      </w:r>
      <w:r>
        <w:t xml:space="preserve"> describe, use, planning; EU scope not established. This is a provisional connection, not an outcome finding.</w:t>
      </w:r>
    </w:p>
    <w:p>
      <w:pPr>
        <w:pStyle w:val="SourceNote"/>
      </w:pPr>
      <w:r>
        <w:rPr>
          <w:b/>
        </w:rPr>
        <w:t>Available abstract (not full text):</w:t>
      </w:r>
      <w:r>
        <w:t xml:space="preserve"> Abstract Introduction Systematic review authors commonly encounter situations where the data required for meta-analysis are incompletely reported (e.g. when effect estimates are reported without a measure of precision). In this circumstance, many systematic review authors use a method other than meta-analysis (e.g. vote counting), but rarely describe those methods or the rationale for selecting them. We aimed to investigate what methods authors consider when meta-analysis of all study results is not possible, and what factors influence their decisions. Methods We interviewed 12 experienced systematic review authors, editors and methodologists, presenting four scenarios in which it was not possible to combine all results using meta-analysis. Scenarios varied in the number and size of included studies, available data, and risk of bias. Participants discussed the methods they considered to summarise, synthesise and present the results; whether they would synthesise available results; and how they would draw overall conclusions. Results Factors that informed decisions included participants’ overall purpose in conducting synthesis, existing beliefs about study results and synthesis methods, trust in the available data, and the decision-making needs of end users. Participants differed in which synthesis methods to use, whether they would use multiple synthesis methods, and which stud</w:t>
      </w:r>
    </w:p>
    <w:p>
      <w:pPr/>
      <w:r>
        <w:rPr>
          <w:b/>
        </w:rPr>
        <w:t>POSSIBLE 2025:</w:t>
      </w:r>
      <w:r>
        <w:t xml:space="preserve"> Overview of the Use of Co-creation Tools for the Design of Sustainable Buildings — https://doi.org/10.1007/978-3-032-09040-9_12</w:t>
      </w:r>
    </w:p>
    <w:p>
      <w:pPr/>
      <w:r>
        <w:rPr>
          <w:b/>
        </w:rPr>
        <w:t>Shared claim-specific concepts:</w:t>
      </w:r>
      <w:r>
        <w:t xml:space="preserve"> use, effective, capacity; EU scope not established. This is a provisional connection, not an outcome finding.</w:t>
      </w:r>
    </w:p>
    <w:p>
      <w:pPr>
        <w:pStyle w:val="SourceNote"/>
      </w:pPr>
      <w:r>
        <w:rPr>
          <w:b/>
        </w:rPr>
        <w:t>Available abstract (not full text):</w:t>
      </w:r>
      <w:r>
        <w:t xml:space="preserve"> Abstract The transition toward sustainable building design increasingly emphasizes participatory approaches, where diverse stakeholders contribute to shaping solutions that balance environmental performance, social needs, and economic viability. This study provides an overview of the application of co-creation tools in the design process of sustainable buildings. Drawing on recent literature and practice-based examples, we examine how tools such as participatory design workshops, digital twins, virtual and augmented reality environments, and collaborative BIM platforms enable deeper engagement of users, designers, and decision-makers. The analysis identifies key benefits of co-creation, including improved user satisfaction, enhanced design adaptability, and stronger alignment with sustainability goals. It also explores challenges such as stakeholder coordination, data interoperability, and the need for capacity building in participatory methods. The study synthesizes findings across academic, professional, and policy domains to propose a typology of co-creation tools most relevant to sustainable architecture. The insights aim to inform both practitioners and researchers seeking to implement inclusive and effective design strategies in the built environment.</w:t>
      </w:r>
    </w:p>
    <w:p>
      <w:pPr/>
      <w:r>
        <w:rPr>
          <w:b/>
        </w:rPr>
        <w:t>POSSIBLE 2024:</w:t>
      </w:r>
      <w:r>
        <w:t xml:space="preserve"> Conditions for Co-creation: Lessons from a planning tool for rural facility decline — https://doi.org/10.1016/j.jrurstud.2024.103512</w:t>
      </w:r>
    </w:p>
    <w:p>
      <w:pPr/>
      <w:r>
        <w:rPr>
          <w:b/>
        </w:rPr>
        <w:t>Shared claim-specific concepts:</w:t>
      </w:r>
      <w:r>
        <w:t xml:space="preserve"> use, planning, tool, five, private; EU scope visible. This is a provisional connection, not an outcome finding.</w:t>
      </w:r>
    </w:p>
    <w:p>
      <w:pPr>
        <w:pStyle w:val="SourceNote"/>
      </w:pPr>
      <w:r>
        <w:rPr>
          <w:b/>
        </w:rPr>
        <w:t>Available abstract (not full text):</w:t>
      </w:r>
      <w:r>
        <w:t xml:space="preserve"> Declining levels of facilities and services are a major source of concern in rural areas across Europe. Local facilities can have different individual or communal meanings, and closure can lead to a sense of loss. While many scholars advocate for empowering rural communities in the collective coping process, few studies analyse examples of co-creative planning tools. This paper describes and evaluates the development and implementation of ‘Facility-Wise’, an analogue serious game for co-creative planning and self-organization of facilities and services. The development of Facility-Wise followed an abductive and design-led approach through a participatory process. Five real cases in North-West Fryslân (Netherlands), and one fictional case, were used for prototyping. In the final format a moderator leads participants through various discussion-elements and helps them to explore future scenarios for health care, education, sports, cultural or private facilities. This paper provides a roadmap for how to develop and use co-creative planning tools, and critically reflects on the prerequisites that are needed for successful implementation. Six prerequisites to successfully implement tools for co-creation are discussed. When these conditions are met, it is possible to mitigate negative experiences of rural facility-decline and empower communities in the collective coping process. Howev</w:t>
      </w:r>
    </w:p>
    <w:p>
      <w:pPr/>
      <w:r>
        <w:rPr>
          <w:b/>
        </w:rPr>
        <w:t>POSSIBLE 2024:</w:t>
      </w:r>
      <w:r>
        <w:t xml:space="preserve"> The Tools of Land-Use Planning — https://doi.org/10.4324/9781003291145-11</w:t>
      </w:r>
    </w:p>
    <w:p>
      <w:pPr/>
      <w:r>
        <w:rPr>
          <w:b/>
        </w:rPr>
        <w:t>Shared claim-specific concepts:</w:t>
      </w:r>
      <w:r>
        <w:t xml:space="preserve"> describe, use, planning; EU scope not established. This is a provisional connection, not an outcome finding.</w:t>
      </w:r>
    </w:p>
    <w:p>
      <w:pPr>
        <w:pStyle w:val="SourceNote"/>
      </w:pPr>
      <w:r>
        <w:rPr>
          <w:b/>
        </w:rPr>
        <w:t>Available abstract (not full text):</w:t>
      </w:r>
      <w:r>
        <w:t xml:space="preserve"> Upon completing this chapter, you will be able to: Describe the importance of capital investment in shaping urban forms. Describe capital expenditures, capital budget, and types of municipal bonds. List the main regulations laid down to control land use. Define subdivision regulations. Define the term planned unit development . Distinguish between Euclidean zoning and planned unit development . Explain the term transfer of development rights . Explain the tenets of form-based zoning and contrast it with Euclidean zoning. Explain the process of combining capital investment and land-use controls.</w:t>
      </w:r>
    </w:p>
    <w:p>
      <w:pPr/>
      <w:r>
        <w:rPr>
          <w:b/>
        </w:rPr>
        <w:t>POSSIBLE 2023:</w:t>
      </w:r>
      <w:r>
        <w:t xml:space="preserve"> Designing Corpus-Creation Tools for Language Revitalization — https://doi.org/10.1353/dic.2023.a915069</w:t>
      </w:r>
    </w:p>
    <w:p>
      <w:pPr/>
      <w:r>
        <w:rPr>
          <w:b/>
        </w:rPr>
        <w:t>Shared claim-specific concepts:</w:t>
      </w:r>
      <w:r>
        <w:t xml:space="preserve"> describe, use, tool; EU scope not established. This is a provisional connection, not an outcome finding.</w:t>
      </w:r>
    </w:p>
    <w:p>
      <w:pPr>
        <w:pStyle w:val="SourceNote"/>
      </w:pPr>
      <w:r>
        <w:rPr>
          <w:b/>
        </w:rPr>
        <w:t>Available abstract (not full text):</w:t>
      </w:r>
      <w:r>
        <w:t xml:space="preserve"> ABSTRACT: We have developed a set of corpus-creation tools to support the documentation and revitalization of Isga I?abi (also known as Stoney ), a Siouan language spoken in Alberta. This project has emerged from a collaboration between community language champions and university-based researchers, with the goal of creating a new generation of Stoney speakers. The initial phase of the project has focused on expanding the documentary record of the language by creating a corpus of spoken Isga I?abi, recorded from nearly a dozen fluent speakers. We describe the particular constraints that informed the design of the project and how they led us to create several new tools for elicitation. First was an adaptation of the Summer Institute of Linguistics' Rapid Words Collection method, where, instead of focusing on individual lexemes, we collected thematically organized sentences displaying targeted grammatical properties. Next, we developed a photo prompter tool, which allows speakers to describe what they see in a photo, but also to discuss the photo with other speakers in spontaneous discourse. These simple tools allow the speakers to handle the day-to-day work of language documentation themselves, without needing a linguist to be present during those sessions. The outputs from this process (currently over fifty hours of audio) will find their way into various resources and activitie</w:t>
      </w:r>
    </w:p>
    <w:p>
      <w:pPr/>
      <w:r>
        <w:rPr>
          <w:b/>
        </w:rPr>
        <w:t>POSSIBLE 2022:</w:t>
      </w:r>
      <w:r>
        <w:t xml:space="preserve"> Creation of new tools and their use for analytical-synthetic method of reading — https://openalex.org/W7135751639</w:t>
      </w:r>
    </w:p>
    <w:p>
      <w:pPr/>
      <w:r>
        <w:rPr>
          <w:b/>
        </w:rPr>
        <w:t>Shared claim-specific concepts:</w:t>
      </w:r>
      <w:r>
        <w:t xml:space="preserve"> describe, use, creation; EU scope not established. This is a provisional connection, not an outcome finding.</w:t>
      </w:r>
    </w:p>
    <w:p>
      <w:pPr>
        <w:pStyle w:val="SourceNote"/>
      </w:pPr>
      <w:r>
        <w:rPr>
          <w:b/>
        </w:rPr>
        <w:t>Available abstract (not full text):</w:t>
      </w:r>
      <w:r>
        <w:t xml:space="preserve"> The aim of the diploma thesis is to create new tools for analytical-synthetic method of reading. In the theoretical part, I present mainly the analytical-synthetic method of reading, but also other alternative methods of reading that are used in schools today. I also analyze in detail the individual stages of the analytical-synthetic method of reading and possible evaluation or diagnostics of reading. Based on the literature, I present the benefits but also the problems that may occur in teaching analytical-synthetic method. I also present teaching aids that can be used in teaching, which support this method. For comparison with aids to teaching reading by the analytical-synthetic method, I present typical aids used in the practice of reading by the genetic method. In the practical part I describe the procedures of creating teaching aids and state the appropriate use of aids in practice. I verified the functionality and usability of the aids at the primary and kindergarten school in Božičany in the district of Karlovy Vary. I created a didactic commentary for each aid, which serves as a guide to a specific aid. I consider the overview of specific activities usable in practice to be the most practical and usable for other colleagues. Thanks to this part, my diploma thesis can serve other colleagues...</w:t>
      </w:r>
    </w:p>
    <w:p>
      <w:pPr/>
      <w:r>
        <w:rPr>
          <w:b/>
        </w:rPr>
        <w:t>POSSIBLE 2022:</w:t>
      </w:r>
      <w:r>
        <w:t xml:space="preserve"> Land use planning and regulation — https://doi.org/10.4324/9781003262756-4</w:t>
      </w:r>
    </w:p>
    <w:p>
      <w:pPr/>
      <w:r>
        <w:rPr>
          <w:b/>
        </w:rPr>
        <w:t>Shared claim-specific concepts:</w:t>
      </w:r>
      <w:r>
        <w:t xml:space="preserve"> use, planning, effective; EU scope not established. This is a provisional connection, not an outcome finding.</w:t>
      </w:r>
    </w:p>
    <w:p>
      <w:pPr>
        <w:pStyle w:val="SourceNote"/>
      </w:pPr>
      <w:r>
        <w:rPr>
          <w:b/>
        </w:rPr>
        <w:t>Available abstract (not full text):</w:t>
      </w:r>
      <w:r>
        <w:t xml:space="preserve"> The land use development of a city or county has tremendous implications for not only the amount of greenhouse gases emitted by the community but also the cost of public infrastructure and support of lifestyle choices. In the context of a rapidly urbanizing population, this chapter describes approaches to developing a desirable land use pattern that will positively address global warming and minimize the cost of public infrastructure such as water, wastewater and transportation services as well provide suitable environments for families and other households. The chapter also describes effective methods for managing growth and ensuring that adequate public facilities exist to support new development. Additionally, the importance and value of managers being directly engaged with comprehensive planning and land use controls is described.</w:t>
      </w:r>
    </w:p>
    <w:p>
      <w:pPr/>
      <w:r>
        <w:rPr>
          <w:b/>
        </w:rPr>
        <w:t>POSSIBLE 2022:</w:t>
      </w:r>
      <w:r>
        <w:t xml:space="preserve"> Novel methods for spatial prioritization with applications in conservation, land use planning and ecological impact avoidance — https://doi.org/10.1111/2041-210x.13819</w:t>
      </w:r>
    </w:p>
    <w:p>
      <w:pPr/>
      <w:r>
        <w:rPr>
          <w:b/>
        </w:rPr>
        <w:t>Shared claim-specific concepts:</w:t>
      </w:r>
      <w:r>
        <w:t xml:space="preserve"> describe, use, planning, prioritization, capacity; EU scope not established. This is a provisional connection, not an outcome finding.</w:t>
      </w:r>
    </w:p>
    <w:p>
      <w:pPr>
        <w:pStyle w:val="SourceNote"/>
      </w:pPr>
      <w:r>
        <w:rPr>
          <w:b/>
        </w:rPr>
        <w:t>Available abstract (not full text):</w:t>
      </w:r>
      <w:r>
        <w:t xml:space="preserve"> Abstract Spatial (conservation) prioritization integrates data on the distributions of biodiversity, costs and threats. It produces spatial priority maps that can support ecologically well‐informed land use planning in general, including applications in environmental impact avoidance outside protected areas. Here we describe novel methods that significantly increase the utility of spatial priority ranking in large analyses and with interactive planning. Methodologically, we describe a novel algorithm for implementing spatial priority ranking, novel alternatives for balancing between biodiversity features, fast tiled FFT transforms for connectivity calculations based on dispersal kernels, and a novel analysis output, the flexibility map. Marking by N the number of landscape elements with data, the new prioritization algorithm has time scaling of less than N log 2 N instead of the N 2 of its predecessor. We illustrate feasible computation times with data up to billions of elements in size, implying capacity for global analysis at a resolution higher than 0.25 km 2 , or close to 1‐ha resolution for a continent. The algorithmic improvements described here bring about improved capacity to implement decision support for real‐world spatial conservation planning problems. The methods described here will be at the technical core of forthcoming software releases.</w:t>
      </w:r>
    </w:p>
    <w:p>
      <w:pPr/>
      <w:r>
        <w:rPr>
          <w:b/>
        </w:rPr>
        <w:t>POSSIBLE 2021:</w:t>
      </w:r>
      <w:r>
        <w:t xml:space="preserve"> Using the Systems Engineering Initiative for Patient Safety (SEIPS) model to describe the planning and management of the COVID-19 pandemic in Hong Kong — https://doi.org/10.1093/intqhc/mzab042</w:t>
      </w:r>
    </w:p>
    <w:p>
      <w:pPr/>
      <w:r>
        <w:rPr>
          <w:b/>
        </w:rPr>
        <w:t>Shared claim-specific concepts:</w:t>
      </w:r>
      <w:r>
        <w:t xml:space="preserve"> describe, use, planning, tool, five, private; EU scope not established. This is a provisional connection, not an outcome finding.</w:t>
      </w:r>
    </w:p>
    <w:p>
      <w:pPr>
        <w:pStyle w:val="SourceNote"/>
      </w:pPr>
      <w:r>
        <w:rPr>
          <w:b/>
        </w:rPr>
        <w:t>Available abstract (not full text):</w:t>
      </w:r>
      <w:r>
        <w:t xml:space="preserve"> The COVID-19 pandemic has had massive impact on healthcare systems highlighting that the relatively deficient medical facilities to cater the high patient load and the shortage of personal protective equipment (PPE) to ensure staff safety are the major problems to tackle [1, 2]. Hong Kong public hospitals faced the same challenges. It is crucial for the hospital management to formulate decisive strategies through a systems approach and take swift actions to handle these situations. The Systems Engineering Initiative for Patient Safety (SEIPS) model, consisted of five main domains namely organization, person, tasks, technologies and tools, and environment, is a renowned tool which adopts human factors principles and offers a comprehensive conceptual framework in facilitating hospital management to understand its own system [3, 4]. Evidence showed that this model had been successfully applied in handling the COVID-19 pandemic [5]. The aims of this article are to apply the SEIPS model to systematically describe the strategies and actions taken by the five public hospitals in the New Territories West Cluster (NTWC) of Hong Kong Hospital Authority and examine if the SEIPS model could support organizations in planning for and managing a pandemic. The strategies and actions taken in the NTWC since the COVID-19 pandemic in February 2020 are summarized in Table 1, and the key actions of</w:t>
      </w:r>
    </w:p>
    <w:p>
      <w:pPr/>
      <w:r>
        <w:rPr>
          <w:b/>
        </w:rPr>
        <w:t>POSSIBLE 2021:</w:t>
      </w:r>
      <w:r>
        <w:t xml:space="preserve"> Tools creation for procedural environments — https://openalex.org/W7113654776</w:t>
      </w:r>
    </w:p>
    <w:p>
      <w:pPr/>
      <w:r>
        <w:rPr>
          <w:b/>
        </w:rPr>
        <w:t>Shared claim-specific concepts:</w:t>
      </w:r>
      <w:r>
        <w:t xml:space="preserve"> describe, use, tool, creation; EU scope not established. This is a provisional connection, not an outcome finding.</w:t>
      </w:r>
    </w:p>
    <w:p>
      <w:pPr>
        <w:pStyle w:val="SourceNote"/>
      </w:pPr>
      <w:r>
        <w:rPr>
          <w:b/>
        </w:rPr>
        <w:t>Available abstract (not full text):</w:t>
      </w:r>
      <w:r>
        <w:t xml:space="preserve"> Industry exigencies on AAA video games productions are increasing, times are tightening and it becomes harder to plan a large project. Today procedural generation of content allows to make productions faster and more efficient by shortening the times of tedious processes like worlds creation. With this project we want to demonstrate and explain why big video game companies are focusing their efforts on creating tools for designers, how production times are substantially reduced and how these tools are developed. Specifically, we want to describe how Houdini, a software based on nodal systems, allows us to procedurally create impressive environments, models and tools through which generate thousands of high quality results by modifying a few parameters. Considering that a project of this magnitude may involve a great effort and innumerable resources of a big team, we will focus our efforts on reaching an initial basic prototype with the sufficient quality required by the market in the AAA video game industry on each of the produced tools. The results obtained were very satisfactory and fulfilled all the proposed objectives. We believe that our knowledge of Houdini, procedural tools and Unreal Engine has grown greatly and, moreover, as a fact, has been self-taught. We have also managed to get very close to what we chose as references to follow for the project, a very high-quality</w:t>
      </w:r>
    </w:p>
    <w:p>
      <w:pPr/>
      <w:r>
        <w:rPr>
          <w:b/>
        </w:rPr>
        <w:t>POSSIBLE 2020:</w:t>
      </w:r>
      <w:r>
        <w:t xml:space="preserve"> Reasoning versus Planning — https://doi.org/10.1002/9781119720348.ch5</w:t>
      </w:r>
    </w:p>
    <w:p>
      <w:pPr/>
      <w:r>
        <w:rPr>
          <w:b/>
        </w:rPr>
        <w:t>Shared claim-specific concepts:</w:t>
      </w:r>
      <w:r>
        <w:t xml:space="preserve"> use, planning, tool, versus; EU scope not established. This is a provisional connection, not an outcome finding.</w:t>
      </w:r>
    </w:p>
    <w:p>
      <w:pPr>
        <w:pStyle w:val="SourceNote"/>
      </w:pPr>
      <w:r>
        <w:rPr>
          <w:b/>
        </w:rPr>
        <w:t>Available abstract (not full text):</w:t>
      </w:r>
      <w:r>
        <w:t xml:space="preserve"> In this chapter, the author defends the theory that the ability to use and make tools and build constructions is based on technical-reasoning skills, useful for solving physical problems that humans generate themselves. He proposes a revised version of some of the theses supported by cognitive archaeologists, according to which the development of executive functions during our evolution would be the key to explaining complex Tool behaviors. The author describes three key processes concerning executive functions, namely flexibility, inhibition and updating. He also proposes a theoretical development on the contribution of technical reasoning and the potential role of executive functions. The theoretical development provides an alternative scenario where these schemas are not stored, but rather generated either totally (i.e. total planning) or partially (i.e. partial planning).</w:t>
      </w:r>
    </w:p>
    <w:p>
      <w:pPr/>
      <w:r>
        <w:rPr>
          <w:b/>
        </w:rPr>
        <w:t>POSSIBLE 2020:</w:t>
      </w:r>
      <w:r>
        <w:t xml:space="preserve"> Web 2.0 tools as framework for participation and co-creation — https://doi.org/10.24140/2020-sct-vol.4-2.5</w:t>
      </w:r>
    </w:p>
    <w:p>
      <w:pPr/>
      <w:r>
        <w:rPr>
          <w:b/>
        </w:rPr>
        <w:t>Shared claim-specific concepts:</w:t>
      </w:r>
      <w:r>
        <w:t xml:space="preserve"> use, planning, tool; EU scope visible. This is a provisional connection, not an outcome finding.</w:t>
      </w:r>
    </w:p>
    <w:p>
      <w:pPr>
        <w:pStyle w:val="SourceNote"/>
      </w:pPr>
      <w:r>
        <w:rPr>
          <w:b/>
        </w:rPr>
        <w:t>Available abstract (not full text):</w:t>
      </w:r>
      <w:r>
        <w:t xml:space="preserve"> Web 2.0 has brought a plethora of new tools (such as Twitter, Facebook, Instagram and others) and new functionalities, for instance, the ability to co-create web content.The question that is being asked is whether these applications and online tools can be used as an alternative to non-electronic tools for participation in spatial planning processes.The co-creation process that these tools enable is also participation.Participation in urban planning is an important part of space planning that we share with different users of planned space.The chapter shows how the theory of participation can be associated with participatory methods that are used in spatial planning.And how to use them when choosing and creating electronic Web 2.0 tools of.However, to make the use of electronic tools easier for non-professionals from the field of Information and Communication Technology (ICT), we have selected electronic tools designed for collaboration and participation to be integrated into a generative web framework.Various electronic tools are described in this chapter, with different ways of using in the processes of participation and co-creation.One tool that was developed for the needs of a certain European project from the field of integration of local initiatives in revitalizing urban public spaces of contemporary cities and could be used for other similar purposes will be described in </w:t>
      </w:r>
    </w:p>
    <w:p>
      <w:pPr>
        <w:pStyle w:val="Heading2"/>
      </w:pPr>
      <w:r>
        <w:t>782. Brexit adds to gloom over long‐term growth prospects</w:t>
      </w:r>
    </w:p>
    <w:p>
      <w:pPr>
        <w:pStyle w:val="SourceNote"/>
      </w:pPr>
      <w:r>
        <w:rPr>
          <w:b/>
        </w:rPr>
        <w:t>Original source (2017):</w:t>
      </w:r>
      <w:r>
        <w:t xml:space="preserve"> https://doi.org/10.1111/1468-0319.12257</w:t>
      </w:r>
    </w:p>
    <w:p>
      <w:pPr/>
      <w:r>
        <w:t>Original wording (abstract; indexed_source_text_not_full_document_verified): Our forecasts show potential output growth of just 1.6% a year from 2017–2030.</w:t>
      </w:r>
    </w:p>
    <w:p>
      <w:pPr/>
      <w:r>
        <w:rPr>
          <w:b/>
        </w:rPr>
        <w:t>POSSIBLE 2026:</w:t>
      </w:r>
      <w:r>
        <w:t xml:space="preserve"> Forecasting Quasi-Linear Convective System Tornado Potential Using the Warn-on-Forecast System (WoFS) — https://doi.org/10.1175/waf-d-25-0092.1</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Abstract Accurately forecasting mesovortex tornado potential within quasi-linear convective systems (QLCSs) remains a major challenge. One technique used to support QLCS tornado warning operations is the three ingredients method (3IM), which is based on system balance modulated by line-normal vertical wind shear. However, observational studies examining prolific mesovortex- and tornado-producing QLCSs have identified a substantial line-parallel component of the low-level environmental shear field, which is unaccounted for in the 3IM. Recent numerical studies suggest that line-parallel shear promotes the development of strong, cyclonic mesovortices, thereby increasing the overall likelihood of QLCS tornadoes. Motivated by these recent findings, this proof-of-concept study represents the first attempt to quantify the physical factors comprising the 3IM using a prototype composite forecast parameter QTor. QTor integrates near-storm environmental vertical wind shear components with leading-line geometry to generate system-relative probabilistic forecasts for mesovortex tornado potential. QTor is evaluated using three tornadic QLCS cases and one null case within the Warn-on-Forecast System (WoFS), leveraging object-based methods to identify QLCS structures and isolate their leading lines. Results indicate that QTor forecasts show promise in effectively identifying areas conducive to</w:t>
      </w:r>
    </w:p>
    <w:p>
      <w:pPr/>
      <w:r>
        <w:rPr>
          <w:b/>
        </w:rPr>
        <w:t>POSSIBLE 2023:</w:t>
      </w:r>
      <w:r>
        <w:t xml:space="preserve"> Accurate medium-range global weather forecasting with 3D neural networks — https://doi.org/10.1038/s41586-023-06185-3</w:t>
      </w:r>
    </w:p>
    <w:p>
      <w:pPr/>
      <w:r>
        <w:rPr>
          <w:b/>
        </w:rPr>
        <w:t>Shared claim-specific concepts:</w:t>
      </w:r>
      <w:r>
        <w:t xml:space="preserve"> forecasts, show, potential; EU scope visible. This is a provisional connection, not an outcome finding.</w:t>
      </w:r>
    </w:p>
    <w:p>
      <w:pPr>
        <w:pStyle w:val="SourceNote"/>
      </w:pPr>
      <w:r>
        <w:rPr>
          <w:b/>
        </w:rPr>
        <w:t>Available abstract (not full text):</w:t>
      </w:r>
      <w:r>
        <w:t xml:space="preserve"> Abstract Weather forecasting is important for science and society. At present, the most accurate forecast system is the numerical weather prediction (NWP) method, which represents atmospheric states as discretized grids and numerically solves partial differential equations that describe the transition between those states 1 . However, this procedure is computationally expensive. Recently, artificial-intelligence-based methods 2 have shown potential in accelerating weather forecasting by orders of magnitude, but the forecast accuracy is still significantly lower than that of NWP methods. Here we introduce an artificial-intelligence-based method for accurate, medium-range global weather forecasting. We show that three-dimensional deep networks equipped with Earth-specific priors are effective at dealing with complex patterns in weather data, and that a hierarchical temporal aggregation strategy reduces accumulation errors in medium-range forecasting. Trained on 39 years of global data, our program, Pangu-Weather, obtains stronger deterministic forecast results on reanalysis data in all tested variables when compared with the world’s best NWP system, the operational integrated forecasting system of the European Centre for Medium-Range Weather Forecasts (ECMWF) 3 . Our method also works well with extreme weather forecasts and ensemble forecasts. When initialized with reanalysis dat</w:t>
      </w:r>
    </w:p>
    <w:p>
      <w:pPr/>
      <w:r>
        <w:rPr>
          <w:b/>
        </w:rPr>
        <w:t>POSSIBLE 2023:</w:t>
      </w:r>
      <w:r>
        <w:t xml:space="preserve"> Forecasting Georgia Economic Growth 2020-2030 — https://doi.org/10.62343/cjss.2019.182</w:t>
      </w:r>
    </w:p>
    <w:p>
      <w:pPr/>
      <w:r>
        <w:rPr>
          <w:b/>
        </w:rPr>
        <w:t>Shared claim-specific concepts:</w:t>
      </w:r>
      <w:r>
        <w:t xml:space="preserve"> forecasts, show; EU scope not established. This is a provisional connection, not an outcome finding.</w:t>
      </w:r>
    </w:p>
    <w:p>
      <w:pPr>
        <w:pStyle w:val="SourceNote"/>
      </w:pPr>
      <w:r>
        <w:rPr>
          <w:b/>
        </w:rPr>
        <w:t>Available abstract (not full text):</w:t>
      </w:r>
      <w:r>
        <w:t xml:space="preserve"> Firms, households, government agencies, and non-government organizations rely on forecasts when making decisions regarding the allocation of scarce resources. This paper develops evidence-based forecasts for key macroeconomic variables for the Republic of Georgia. Sources of data include the International Monetary Fund’s World Economic Outlook, The World Bank, and others. We use, primarily, exponential smoothing models generated by the statistical application Forecast Pro 100 to generate forecasts with 95 percent confidence limits. Finally, recognizing the high degree of uncertainty associated with long-term forecasting, we include scenarios to generate high, middle, and low values for the key variables. Our analysis shows population, a key economic resource, to be declining, along with the labor force participation rate, after a considerable rise. Gross fixed capital formation appears to be rising, while total reserves (including gold) is holding steady. With real GDP rising at an average rate of about five percent over the past decade, our forecast shows GDP continuing to increase over the next decade, along with GDP per capita, indicating a rising level of general wellbeing. Georgia’s inflation rate is low, and there is no credible evidence that the rate of inflation will accelerate in the coming years. We develop three scenarios for economic growth for Georgia for the perio</w:t>
      </w:r>
    </w:p>
    <w:p>
      <w:pPr/>
      <w:r>
        <w:rPr>
          <w:b/>
        </w:rPr>
        <w:t>POSSIBLE 2023:</w:t>
      </w:r>
      <w:r>
        <w:t xml:space="preserve"> Forecasting NZ GDP With LSTM Modelling — https://openalex.org/W7131761963</w:t>
      </w:r>
    </w:p>
    <w:p>
      <w:pPr/>
      <w:r>
        <w:rPr>
          <w:b/>
        </w:rPr>
        <w:t>Shared claim-specific concepts:</w:t>
      </w:r>
      <w:r>
        <w:t xml:space="preserve"> forecasts, just; EU scope not established. This is a provisional connection, not an outcome finding.</w:t>
      </w:r>
    </w:p>
    <w:p>
      <w:pPr>
        <w:pStyle w:val="SourceNote"/>
      </w:pPr>
      <w:r>
        <w:rPr>
          <w:b/>
        </w:rPr>
        <w:t>Available abstract (not full text):</w:t>
      </w:r>
      <w:r>
        <w:t xml:space="preserve"> This thesis investigates traditional macroeconomic modelling technique’s forecasting ability of GDP growth rates against a Long Short Term Memory Neural Networks forecasting ability of GDP growth rates for the New Zealand economy. The main forecast time frame is from March 2012 to December 2019 just before Covid-19. The models use an 8-step quarterly time horizon which is two years ahead. The models use pseudo-real time data to train the models in this thesis. I use a Root Mean Squared Error (RMSE) to measure the performance of the models and compare the forecasts with a Diebold-Mariano test (DM test). After the pre-Covid-19 period I use the models to forecast the Covid-19 period from March 2020 to September 2022. Finally, I compare the LSTM models to ANZ forecasts. The research in this thesis shows that the traditional model Vector Autoregression (VAR) has the best performance across all 8-time horizons and the LSTM out performances the VARMAX model for most of the 8-time horizons for the pre-Covid-19 period. The LSTM model performed best over the Covid-19 period but the RMSE results were so high that no meaningful insights could be used from the models. Finally, the LSTM outperforms ANZ forecasting over the Covid-19 period and slightly under performs before Covid-19. This thesis contributes to the research that is just beginning in this area of testing traditional models to n</w:t>
      </w:r>
    </w:p>
    <w:p>
      <w:pPr/>
      <w:r>
        <w:rPr>
          <w:b/>
        </w:rPr>
        <w:t>POSSIBLE 2022:</w:t>
      </w:r>
      <w:r>
        <w:t xml:space="preserve"> Global seasonal forecasts of marine heatwaves — https://doi.org/10.1038/s41586-022-04573-9</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Abstract Marine heatwaves (MHWs)—periods of exceptionally warm ocean temperature lasting weeks to years—are now widely recognized for their capacity to disrupt marine ecosystems1–3. The substantial ecological and socioeconomic impacts of these extreme events present significant challenges to marine resource managers4–7, who would benefit from forewarning of MHWs to facilitate proactive decision-making8–11. However, despite extensive research into the physical drivers of MHWs11,12, there has been no comprehensive global assessment of our ability to predict these events. Here we use a large multimodel ensemble of global climate forecasts13,14 to develop and assess MHW forecasts that cover the world’s oceans with lead times of up to a year. Using 30 years of retrospective forecasts, we show that the onset, intensity and duration of MHWs are often predictable, with skilful forecasts possible from 1 to 12 months in advance depending on region, season and the state of large-scale climate modes, such as the El Niño/Southern Oscillation. We discuss considerations for setting decision thresholds based on the probability that a MHW will occur, empowering stakeholders to take appropriate actions based on their risk profile. These results highlight the potential for operational MHW forecasts, analogous to forecasts of extreme weather phenomena, to promote climate resilience in global marin</w:t>
      </w:r>
    </w:p>
    <w:p>
      <w:pPr/>
      <w:r>
        <w:rPr>
          <w:b/>
        </w:rPr>
        <w:t>POSSIBLE 2022:</w:t>
      </w:r>
      <w:r>
        <w:t xml:space="preserve"> Embedding-Based Potential Sales Forecasting of Bread Product — https://doi.org/10.20965/jaciii.2022.p0236</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In this study, we investigate the potential sales forecasts of unhandled bread products in retail stores based on factory shipment data. An embedding-based forecasting method that uses large-scale information network embedding (LINE) and simultaneously considers first- and second-order proximities is developed to define similar neighboring stores using their product–store relationship and to predict their potential sales volume. LINE is a network-embedding method that transforms network data into a low-dimensional distributed representation and requires a low computation time, even when applied to large networks. The results show that our proposed method outperforms a simple prediction method (Baseline) and t-SNE, a well-known dimensionality reduction method for high-dimensional data, in terms of accurate product sales prediction via simulation experiments. Furthermore, we conduct a sensitivity analysis to verify the applicability of our proposed method when the forecasting target is expanded to products sold in fewer stores and in stores with less product variety.</w:t>
      </w:r>
    </w:p>
    <w:p>
      <w:pPr/>
      <w:r>
        <w:rPr>
          <w:b/>
        </w:rPr>
        <w:t>POSSIBLE 2021:</w:t>
      </w:r>
      <w:r>
        <w:t xml:space="preserve"> Lightning forecasting in Bangladesh based on the lightning potential index and the electric potential — https://doi.org/10.1016/j.atmosres.2021.105973</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This work documents the performances of diagnostic and explicit lightning forecasts for selected high impact weather events over Bangladesh. The lightning flashes are calculated by three methods: (1) a diagnostic lightning parameterization that bases its algorithm on the level of neutral buoyancy from a convective parameterization scheme, (2) lightning potential index (LPI) using local graupel and ice contents, and (3) explicit prediction of electric fields and lightning initiation from WRF-ELEC. Five lightning events that occurred on 02 April 2019, 17 May 2019, 20 April 2020, 26 May 2020, and 20 May 2021 were examined to evaluate the forecasting capability of each scheme for the lightning over a 24-h forecast period. Prior to diagnosing lightning activity, the composite radar reflectivity and the neighborhood score metrics (ETS, FSS) for hourly rainfall were analyzed to determine if the simulated precipitation structure is consistent with the observations. Analyses based on performance diagrams were also included for a better illustration of how simulations perform on predicting precipitation. The spatial distribution of LPI and lightning flashes is compared against the NASA Lightning Imaging Sensor (LIS) dataset. The qualitative results show that in most of the studied cases, there is a good agreement between the observations and the WRF-ELEC-based simulations in terms of det</w:t>
      </w:r>
    </w:p>
    <w:p>
      <w:pPr/>
      <w:r>
        <w:rPr>
          <w:b/>
        </w:rPr>
        <w:t>POSSIBLE 2020:</w:t>
      </w:r>
      <w:r>
        <w:t xml:space="preserve"> Load probability density forecasting by transforming and combining quantile forecasts — https://doi.org/10.1016/j.apenergy.2020.115600</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Compared with traditional deterministic load forecasting, probabilistic load forecasting (PLF) help us understand the potential risks in the power system operation by providing more information about future uncertainties of the loads. Quantile forecasting, as a kind of non-parametric probabilistic forecasting method, has been well developed and widely used in PLF. However, the results of quantile forecasts are discrete, which contain fewer details than density forecasts which provide the most comprehensive information. This paper proposes a novel day-ahead load probability density forecasting method by transforming and combining multiple quantile forecasts. The proposed method includes two main steps: transformation and combination. In the first step, the kernel density estimation method is used to transform the individual quantile forecast into the probability density curve; in the second step, an optimization problem is established to obtain the weighted combination of different probability density forecasts. The perturbation search method is applied to determine the optimal weight of each individual forecast. We demonstrate the effectiveness and superiority of our proposed method using comprehensive case studies on the real-world load data from Guangdong province in China, ISO New England (ISO-NE) in the US and Irish smart meter data. Case studies show that the combined mode</w:t>
      </w:r>
    </w:p>
    <w:p>
      <w:pPr/>
      <w:r>
        <w:rPr>
          <w:b/>
        </w:rPr>
        <w:t>POSSIBLE 2020:</w:t>
      </w:r>
      <w:r>
        <w:t xml:space="preserve"> Forecasting cycles of seizure likelihood — https://doi.org/10.1111/epi.16485</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OBJECTIVE: Seizure unpredictability is rated as one of the most challenging aspects of living with epilepsy. Seizure likelihood can be influenced by a range of environmental and physiological factors that are difficult to measure and quantify. However, some generalizable patterns have been demonstrated in seizure onset. A majority of people with epilepsy exhibit circadian rhythms in their seizure times, and many also show slower, multiday patterns. Seizure cycles can be measured using a range of recording modalities, including self-reported electronic seizure diaries. This study aimed to develop personalized forecasts from a mobile seizure diary app. METHODS: Forecasts based on circadian and multiday seizure cycles were tested pseudoprospectively using data from 50 app users (mean of 109 seizures per subject). Individuals' strongest cycles were estimated from their reported seizure times and used to derive the likelihood of future seizures. The forecasting approach was validated using self-reported events and electrographic seizures from the Neurovista dataset, an existing database of long-term electroencephalography that has been widely used to develop forecasting algorithms. RESULTS: The validation dataset showed that forecasts of seizure likelihood based on self-reported cycles were predictive of electrographic seizures for approximately half the cohort. Forecasts using only</w:t>
      </w:r>
    </w:p>
    <w:p>
      <w:pPr/>
      <w:r>
        <w:rPr>
          <w:b/>
        </w:rPr>
        <w:t>POSSIBLE 2020:</w:t>
      </w:r>
      <w:r>
        <w:t xml:space="preserve"> Potential for Early Forecast of Moroccan Wheat Yields Based on Climatic Drivers — https://doi.org/10.1029/2020gl087516</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Abstract Wheat production plays an important role in Morocco. Current wheat forecast systems use weather and vegetation data during the crop growing phase, thus limiting the earliest possible release date to early spring. However, Morocco ' s wheat production is mostly rainfed and thus strongly tied to fluctuations in rainfall, which in turn depend on slowly evolving climate dynamics. This offers a source of predictability at longer time scales. Using physically guided causal discovery algorithms , we extract climate precursors for wheat yield variability from gridded fields of geopotential height and sea surface temperatures which show potential for accurate yield forecasts already in December, with around 50% explained variance in an out‐of‐sample cross validation. The detected interactions are physically meaningful and consistent with documented ocean‐atmosphere feedbacks. Reliable yield forecasts at such long lead times could provide farmers and policy makers with necessary information for early action and strategic adaptation measurements to support food security.</w:t>
      </w:r>
    </w:p>
    <w:p>
      <w:pPr/>
      <w:r>
        <w:rPr>
          <w:b/>
        </w:rPr>
        <w:t>POSSIBLE 2020:</w:t>
      </w:r>
      <w:r>
        <w:t xml:space="preserve"> In Search of a Job: Forecasting Employment Growth Using Google Trends — https://doi.org/10.1080/07350015.2020.1791133</w:t>
      </w:r>
    </w:p>
    <w:p>
      <w:pPr/>
      <w:r>
        <w:rPr>
          <w:b/>
        </w:rPr>
        <w:t>Shared claim-specific concepts:</w:t>
      </w:r>
      <w:r>
        <w:t xml:space="preserve"> forecasts, show; EU scope not established. This is a provisional connection, not an outcome finding.</w:t>
      </w:r>
    </w:p>
    <w:p>
      <w:pPr>
        <w:pStyle w:val="SourceNote"/>
      </w:pPr>
      <w:r>
        <w:rPr>
          <w:b/>
        </w:rPr>
        <w:t>Available abstract (not full text):</w:t>
      </w:r>
      <w:r>
        <w:t xml:space="preserve"> We show that Google search activity on relevant terms is a strong out-of-sample predictor for future employment growth in the United States over the period 2004–2019 at both short and long horizons. Starting from an initial search term “jobs,” we construct a large panel of 172 variables using Google’s own algorithms to find semantically related search queries. The best Google Trends model achieves an out-of-sample R2 between 29% and 62% at horizons spanning from one month to one year ahead, strongly outperforming benchmarks based on a single search query or a large set of macroeconomic, financial, and sentiment predictors. This strong predictability is due to heterogeneity in search terms and extends to industry-level and state-level employment growth using state-level specific search activity. Encompassing tests indicate that when the Google Trends panel is exploited using a nonlinear model, it fully encompasses the macroeconomic forecasts and provides significant information in excess of those.</w:t>
      </w:r>
    </w:p>
    <w:p>
      <w:pPr/>
      <w:r>
        <w:rPr>
          <w:b/>
        </w:rPr>
        <w:t>POSSIBLE 2020:</w:t>
      </w:r>
      <w:r>
        <w:t xml:space="preserve"> Forecasting COVID-19 — https://doi.org/10.3389/fphy.2020.00127</w:t>
      </w:r>
    </w:p>
    <w:p>
      <w:pPr/>
      <w:r>
        <w:rPr>
          <w:b/>
        </w:rPr>
        <w:t>Shared claim-specific concepts:</w:t>
      </w:r>
      <w:r>
        <w:t xml:space="preserve"> forecasts, show; EU scope not established. This is a provisional connection, not an outcome finding.</w:t>
      </w:r>
    </w:p>
    <w:p>
      <w:pPr>
        <w:pStyle w:val="SourceNote"/>
      </w:pPr>
      <w:r>
        <w:rPr>
          <w:b/>
        </w:rPr>
        <w:t>Available abstract (not full text):</w:t>
      </w:r>
      <w:r>
        <w:t xml:space="preserve"> The World Health Organization declared the coronavirus disease 2019 a pandemic on March 11th, pointing to the over 118,000 cases in over 110 countries and territories around the world at that time. At the time of writing this manuscript, the number of confirmed cases has been surging rapidly past the half-million mark, emphasizing the sustained risk of further global spread. Governments around the world are imposing various containment measures while the healthcare system is bracing itself for tsunamis of infected individuals that will seek treatment. It is therefore important to know what to expect in terms of the growth of the number of cases, and to understand what is needed to arrest the very worrying trends. To that effect, we here show forecasts obtained with a simple iteration method that needs only the daily values of confirmed cases as input. The method takes into account expected recoveries and deaths, and it determines maximally allowed daily growth rates that lead away from exponential increase toward stable and declining numbers. Forecasts show that daily growth rates should be kept at least below 5% if we wish to see plateaus any time soon—unfortunately far from reality in most countries to date. We provide an executable as well as the source code for a straightforward application of the method on data from other countries.</w:t>
      </w:r>
    </w:p>
    <w:p>
      <w:pPr>
        <w:pStyle w:val="Heading2"/>
      </w:pPr>
      <w:r>
        <w:t>783. By 2050 the Mitigation Effects of EU Forests Could Nearly Double through Climate Smart Forestry</w:t>
      </w:r>
    </w:p>
    <w:p>
      <w:pPr>
        <w:pStyle w:val="SourceNote"/>
      </w:pPr>
      <w:r>
        <w:rPr>
          <w:b/>
        </w:rPr>
        <w:t>Original source (2017):</w:t>
      </w:r>
      <w:r>
        <w:t xml:space="preserve"> https://doi.org/10.3390/f8120484</w:t>
      </w:r>
    </w:p>
    <w:p>
      <w:pPr/>
      <w:r>
        <w:t>Original wording (abstract; indexed_source_text_not_full_document_verified): With the right set of incentives in place at EU and Member States levels, we find the current literature supports the view that the EU has the potential to achieve an additional combined mitigation impact through CSF of 441 Mt CO2/year by 2050. In July 2016, the European Commission (EC) published a legislative proposal for incorporating greenhouse gas emissions and removals due to Land Use, Land Use Change and Forestry (LULUCF) into its 2030 Climate and Energy Framework.</w:t>
      </w:r>
    </w:p>
    <w:p>
      <w:pPr/>
      <w:r>
        <w:rPr>
          <w:b/>
        </w:rPr>
        <w:t>POSSIBLE 2025:</w:t>
      </w:r>
      <w:r>
        <w:t xml:space="preserve"> The Right to Abortion – Between the Need for Protection at the European Level and Respect for the Constitutional Traditions of the Member States — https://doi.org/10.54148/eltelj.2025.2.9</w:t>
      </w:r>
    </w:p>
    <w:p>
      <w:pPr/>
      <w:r>
        <w:rPr>
          <w:b/>
        </w:rPr>
        <w:t>Shared claim-specific concepts:</w:t>
      </w:r>
      <w:r>
        <w:t xml:space="preserve"> right, member, states; EU scope visible. This is a provisional connection, not an outcome finding.</w:t>
      </w:r>
    </w:p>
    <w:p>
      <w:pPr>
        <w:pStyle w:val="SourceNote"/>
      </w:pPr>
      <w:r>
        <w:rPr>
          <w:b/>
        </w:rPr>
        <w:t>Available abstract (not full text):</w:t>
      </w:r>
      <w:r>
        <w:t xml:space="preserve"> This article examines the regulation of abortion within the European legal order, highlighting the interaction between the jurisprudence of the European Court of Human Rights (ECHR), the Court of Justice of the European Union (CJEU), and the concept of national constitutional identity. While no explicit right to abortion is enshrined at the EU level, the ECHR has developed an extensive jurisprudence based on Article 8 of the Convention (right to private life), granting states a wide margin of appreciation. At the same time, constitutional identity allows Member States to preserve national traditions, creating tensions with the EU’s common values enshrined in Article 2 TEU. This study analyses relevant case law and doctrinal perspectives, illustrating how abortion regulation exemplifies the dialectic between the preservation of constitutional traditions and the need for uniform protection at the EU level.</w:t>
      </w:r>
    </w:p>
    <w:p>
      <w:pPr/>
      <w:r>
        <w:rPr>
          <w:b/>
        </w:rPr>
        <w:t>POSSIBLE 2024:</w:t>
      </w:r>
      <w:r>
        <w:t xml:space="preserve"> Harmonisation of Corporate Income Tax Incentives in SADC: Addressing the Challenges Posed by the Sovereign Right of SADC Member States to Set Their Own Economic and Tax Policies — https://doi.org/10.25159/2522-3062/15912</w:t>
      </w:r>
    </w:p>
    <w:p>
      <w:pPr/>
      <w:r>
        <w:rPr>
          <w:b/>
        </w:rPr>
        <w:t>Shared claim-specific concepts:</w:t>
      </w:r>
      <w:r>
        <w:t xml:space="preserve"> right, set, incentives, member, states, find; EU scope visible. This is a provisional connection, not an outcome finding.</w:t>
      </w:r>
    </w:p>
    <w:p>
      <w:pPr>
        <w:pStyle w:val="SourceNote"/>
      </w:pPr>
      <w:r>
        <w:rPr>
          <w:b/>
        </w:rPr>
        <w:t>Available abstract (not full text):</w:t>
      </w:r>
      <w:r>
        <w:t xml:space="preserve"> This article examines the challenges to harmonising corporate income tax (CIT) incentives in the Southern African Development Community (SADC). It is a state’s sovereign right to grant CIT incentives, which are often indispensable to encourage foreign direct investment. If the granting of CIT incentives in a regional body is unregulated and unharmonised, it can lead to harmful tax competition. To limit this and to ensure the coordination of CIT incentives in SADC, this article presents the notion of tax harmonisation. However, tax harmonisation could be hindered by SADC member states exercising their sovereign right to set their own economic and tax policies. It is not disputed that SADC member states have the prerogative to do this, but some economic policy-setting decisions can have a direct impact on the harmonisation of CIT incentives. In the quest to find solutions to these challenges, this article carries out a comparative analysis of best practices for enhancing tax harmonisation from two other regional bodies, the East African Community and the European Union. Ultimately, this article provides recommendations to address the challenges to harmonising CIT incentives in the SADC region.</w:t>
      </w:r>
    </w:p>
    <w:p>
      <w:pPr/>
      <w:r>
        <w:rPr>
          <w:b/>
        </w:rPr>
        <w:t>POSSIBLE 2024:</w:t>
      </w:r>
      <w:r>
        <w:t xml:space="preserve"> Stronger Member States for a Stronger European Union — https://doi.org/10.62733/2024.2.143-161</w:t>
      </w:r>
    </w:p>
    <w:p>
      <w:pPr/>
      <w:r>
        <w:rPr>
          <w:b/>
        </w:rPr>
        <w:t>Shared claim-specific concepts:</w:t>
      </w:r>
      <w:r>
        <w:t xml:space="preserve"> member, states, current; EU scope visible. This is a provisional connection, not an outcome finding.</w:t>
      </w:r>
    </w:p>
    <w:p>
      <w:pPr>
        <w:pStyle w:val="SourceNote"/>
      </w:pPr>
      <w:r>
        <w:rPr>
          <w:b/>
        </w:rPr>
        <w:t>Available abstract (not full text):</w:t>
      </w:r>
      <w:r>
        <w:t xml:space="preserve"> When discussing topics such as national sovereignty and the primacy of European Union (EU) law, the main question boils down to the distribution of competences. We must acknowledge both the historical context of the EU and the current trends in its role in the world’s geopolitical structure. This study focuses on identifying the extent of the limitations surrounding the EU’s power in the Hungarian legislature, how sovereignty is defined, and what aspects of constitutional identity are raised in conversations around this issue. Furthermore, the study aims to present relevant national case law related to the principle of the primacy of EU law and its relationship with Hungary’s national sovereignty and compare it with the position of other Member States’ national courts. This is a vital part of the discussion at hand, which will hopefully lead to an open conversation regarding the future of the EU, the possible outcome of a Convent, and what the continent will look like in the future. The study hypothesises that Member States will follow the trend of attempting to maintain as much sovereignty as possible via the decisions of their Constitutional Courts, in addition to contradicting some EU measures and resisting certain aspirations. Despite this phenomenon, integration is undoubtedly necessary; therefore, this conflict requires an urgent resolution, which will hopefully draw a li</w:t>
      </w:r>
    </w:p>
    <w:p>
      <w:pPr/>
      <w:r>
        <w:rPr>
          <w:b/>
        </w:rPr>
        <w:t>POSSIBLE 2023:</w:t>
      </w:r>
      <w:r>
        <w:t xml:space="preserve"> The right to translation in the criminal procedure and the meaning of essential documents – three recent cases of the European Court of Justice in the field of criminal cooperation between Member States — https://doi.org/10.15170/pjiel.2023.1.7</w:t>
      </w:r>
    </w:p>
    <w:p>
      <w:pPr/>
      <w:r>
        <w:rPr>
          <w:b/>
        </w:rPr>
        <w:t>Shared claim-specific concepts:</w:t>
      </w:r>
      <w:r>
        <w:t xml:space="preserve"> right, set, member, states, legislative; EU scope visible. This is a provisional connection, not an outcome finding.</w:t>
      </w:r>
    </w:p>
    <w:p>
      <w:pPr>
        <w:pStyle w:val="SourceNote"/>
      </w:pPr>
      <w:r>
        <w:rPr>
          <w:b/>
        </w:rPr>
        <w:t>Available abstract (not full text):</w:t>
      </w:r>
      <w:r>
        <w:t xml:space="preserve"> The case note concerns three preliminary rulings of the European Court of Justice (hereinafter referred to as ECJ). Case C-242/22 PPU TL, C-338/20 Prokuratura Rejonowa Łódź-Bałuty and case C-278/16 Sleutjes each concerned the right to translation in the criminal procedure and legal remedies in the event of not providing that right. Thus, the basis of adjudication of the cases was Directive 2010/64/EU of the European Parliament and of the Council on the right to interpretation translation and in the criminal proceedings. The case note sheds light on the deficiencies of the Directive which are the consequences of the legislative technique applied in this legislative instrument, namely that Member States retain great discretion in implementing its often-vague regulations on the right to translation. However, through the preliminary ruling procedure, the ECJ clarified the meaning of the essential document which is subject to translation according to the Directive, found that a final decision shall be considered a judgement even if formally it is not, and finally, it set out the essential parts of a judgement or other decision that are subject to translation for the purpose of safeguarding the right to a fair trial.</w:t>
      </w:r>
    </w:p>
    <w:p>
      <w:pPr/>
      <w:r>
        <w:rPr>
          <w:b/>
        </w:rPr>
        <w:t>POSSIBLE 2023:</w:t>
      </w:r>
      <w:r>
        <w:t xml:space="preserve"> The right to education: international standards and their influence on the constitutional legislation of the member states of the Council of Europe — https://doi.org/10.24144/2307-3322.2023.79.2.47</w:t>
      </w:r>
    </w:p>
    <w:p>
      <w:pPr/>
      <w:r>
        <w:rPr>
          <w:b/>
        </w:rPr>
        <w:t>Shared claim-specific concepts:</w:t>
      </w:r>
      <w:r>
        <w:t xml:space="preserve"> right, member, states; EU scope visible. This is a provisional connection, not an outcome finding.</w:t>
      </w:r>
    </w:p>
    <w:p>
      <w:pPr>
        <w:pStyle w:val="SourceNote"/>
      </w:pPr>
      <w:r>
        <w:rPr>
          <w:b/>
        </w:rPr>
        <w:t>Available abstract (not full text):</w:t>
      </w:r>
      <w:r>
        <w:t xml:space="preserve"> The article draws attention to the UN Charter, which proclaims the task of reaffirming faith in basic human rights, in the dignity and value of the human person, in the equality of men and women, and in the equality of rights of large and small nations. Attention is focused on the principle of UN activity - implementation of international cooperation in the promotion and development of respect for human rights and basic freedoms for all, without distinction of race, sex, language and religion. International acts on human rights of a universal nature are characterized, in which for the first time at the international level everyone’s right to education was enshrined: the Universal Declaration of Human Rights, the International Covenant on Economic, Social and Cultural Rights of 1966, the Convention against Discrimination in Education of 1960, the Convention on the rights of the child of 1989. Attention is drawn to the minimum standards of the right to education that the state must ensure. The relationship between the right to education, which was first enshrined at the international level in the Universal Declaration of Human Rights, and human dignity and the value of the human personality is defined. Emphasis is placed on the right to education and criteria for determining the degree of respect and observance of fundamental norms related to this human right throughout the world</w:t>
      </w:r>
    </w:p>
    <w:p>
      <w:pPr/>
      <w:r>
        <w:rPr>
          <w:b/>
        </w:rPr>
        <w:t>POSSIBLE 2023:</w:t>
      </w:r>
      <w:r>
        <w:t xml:space="preserve"> Features of exercising the right to education for persons granted temporary protection in European Union member states — https://doi.org/10.56215/naia-herald/2.2023.71</w:t>
      </w:r>
    </w:p>
    <w:p>
      <w:pPr/>
      <w:r>
        <w:rPr>
          <w:b/>
        </w:rPr>
        <w:t>Shared claim-specific concepts:</w:t>
      </w:r>
      <w:r>
        <w:t xml:space="preserve"> right, member, states, view, july; EU scope visible. This is a provisional connection, not an outcome finding.</w:t>
      </w:r>
    </w:p>
    <w:p>
      <w:pPr>
        <w:pStyle w:val="SourceNote"/>
      </w:pPr>
      <w:r>
        <w:rPr>
          <w:b/>
        </w:rPr>
        <w:t>Available abstract (not full text):</w:t>
      </w:r>
      <w:r>
        <w:t xml:space="preserve"> The Council of the European Union, by an implementing decision on March 4, 2022, put into effect Directive No. 2001/55/EU of July 20, 2001, on minimum standards for the provision of temporary protection in the event of a mass influx of displaced persons and measures promoting the balancing of efforts between member states to receive such persons and solving the consequences thereof. The problems of exercising the right to education as a natural human right by persons granted temporary protection in the European Union are urgent. In view of the above, the purpose of the study was to address the unique aspects of exercising of the right to education by persons who were granted temporary protection in the member states of the European Union. The methodological basis of the research is the dialectical method and methods of analysis, synthesis, comparison, modelling, system and functional approach, statistical, and formal legal. The paper defines that access to education for persons granted temporary protection in the European Union is provided for by Council Directive No. 2001/55/EU, according to which the member states of the European Union provide full access to the education system for all minors who were granted temporary protection status, on an equal basis with their citizens. It is noted that member states of the European Union may provide for restrictions on such access by </w:t>
      </w:r>
    </w:p>
    <w:p>
      <w:pPr/>
      <w:r>
        <w:rPr>
          <w:b/>
        </w:rPr>
        <w:t>POSSIBLE 2023:</w:t>
      </w:r>
      <w:r>
        <w:t xml:space="preserve"> Explaining the Paucity of Migrant Language Valorization Policies in Europe: An Analysis of International and Supranational Constraints and Incentives — https://doi.org/10.1177/01979183231162620</w:t>
      </w:r>
    </w:p>
    <w:p>
      <w:pPr/>
      <w:r>
        <w:rPr>
          <w:b/>
        </w:rPr>
        <w:t>Shared claim-specific concepts:</w:t>
      </w:r>
      <w:r>
        <w:t xml:space="preserve"> incentives, potential; EU scope visible. This is a provisional connection, not an outcome finding.</w:t>
      </w:r>
    </w:p>
    <w:p>
      <w:pPr>
        <w:pStyle w:val="SourceNote"/>
      </w:pPr>
      <w:r>
        <w:rPr>
          <w:b/>
        </w:rPr>
        <w:t>Available abstract (not full text):</w:t>
      </w:r>
      <w:r>
        <w:t xml:space="preserve"> Migration flows in Europe have rendered its population more diverse and resulted in the presence of multiple languages in migrant-hosting countries and their education systems. Despite the potential of this language heritage to be leveraged as a resource, many European countries have been reluctant to adopt active public policies that promote the preservation of migrant languages. This article aims to explain the prevalent absence of policies promoting migrant languages in education in Europe through an analysis of the direction and approach of the external constraints and incentives that influence policymaking at the national level. Thus, the article embarks upon an unprecedented analysis of official documents (e.g., covenants, regulations, directives, etc.) adopted (or not adopted) by the main international and supranational organizations that have an impact on national policies in Europe: the United Nations, the Council of Europe, and the European Union. The analysis identifies the prevalent attitude of such organizations toward migrant languages and classifies it according to an assimilation-pluralism dichotomy and a continuum that sees policy approaches as negative, symbolic, or positive. The findings show that both international and supranational organizations have been reluctant to actively promote the preservation of migrant languages in education, thus explaining the g</w:t>
      </w:r>
    </w:p>
    <w:p>
      <w:pPr/>
      <w:r>
        <w:rPr>
          <w:b/>
        </w:rPr>
        <w:t>POSSIBLE 2022:</w:t>
      </w:r>
      <w:r>
        <w:t xml:space="preserve"> Making Sure That Orphan Incentives Tip the Right Way in Europe — https://doi.org/10.3390/healthcare10091600</w:t>
      </w:r>
    </w:p>
    <w:p>
      <w:pPr/>
      <w:r>
        <w:rPr>
          <w:b/>
        </w:rPr>
        <w:t>Shared claim-specific concepts:</w:t>
      </w:r>
      <w:r>
        <w:t xml:space="preserve"> right, incentives, current; EU scope visible. This is a provisional connection, not an outcome finding.</w:t>
      </w:r>
    </w:p>
    <w:p>
      <w:pPr>
        <w:pStyle w:val="SourceNote"/>
      </w:pPr>
      <w:r>
        <w:rPr>
          <w:b/>
        </w:rPr>
        <w:t>Available abstract (not full text):</w:t>
      </w:r>
      <w:r>
        <w:t xml:space="preserve"> The delicate balance of funding research and development of treatments for rare disease is only imperfectly achieved in Europe, and even the current provisional equilibrium is under a new threat from well-intentioned policy changes now in prospect that could-in addition to the intrinsic complexities of research-reduce the incentives on which commercial activity in this area is dependent. The European Union review of its pharmaceutical legislation, for which proposals are scheduled to appear before the end of 2022, envisages adjusting the decade-old incentives to meet objectives that are more precisely targeted. However, researchers, physicians, patients and industry have expressed concerns that ill-considered modifications could have unintended consequences in disrupting the current balance and could reduce rather than increase the flow of innovative treatments for rare diseases.</w:t>
      </w:r>
    </w:p>
    <w:p>
      <w:pPr/>
      <w:r>
        <w:rPr>
          <w:b/>
        </w:rPr>
        <w:t>POSSIBLE 2022:</w:t>
      </w:r>
      <w:r>
        <w:t xml:space="preserve"> Incentives and constraints: a configurational account of European involvement in the anti-Daesh coalition — https://doi.org/10.1017/s1755773921000333</w:t>
      </w:r>
    </w:p>
    <w:p>
      <w:pPr/>
      <w:r>
        <w:rPr>
          <w:b/>
        </w:rPr>
        <w:t>Shared claim-specific concepts:</w:t>
      </w:r>
      <w:r>
        <w:t xml:space="preserve"> incentives, member, states, literature, legislative; EU scope visible. This is a provisional connection, not an outcome finding.</w:t>
      </w:r>
    </w:p>
    <w:p>
      <w:pPr>
        <w:pStyle w:val="SourceNote"/>
      </w:pPr>
      <w:r>
        <w:rPr>
          <w:b/>
        </w:rPr>
        <w:t>Available abstract (not full text):</w:t>
      </w:r>
      <w:r>
        <w:t xml:space="preserve"> Abstract In 2014, the USA initiated the formation of a multilateral military operation against Daesh in Syria and Iraq. Eventually, more than 70 states joined the anti-Daesh coalition. However, contributions to the military effort have been characterized by great variance, especially among EU member states. While some states took leading roles in the airstrikes, others provided training for Iraqi and Kurdish forces, and still others did not get involved beyond voicing their support for the policy. Against this backdrop, this article makes a two-fold contribution to the literature on military coalitions and security policy. Empirically, the article provides a mapping of the then 28 EU member states’ military engagement in the fight against Daesh in Syria and Iraq. Analytically, fuzzy-set Qualitative Comparative Analysis (fsQCA) is applied to account for the observed pattern of military involvement, using an integrative framework that combines international and domestic factors. The results demonstrate that multiple paths led towards EU military involvement in the anti-Daesh coalition. At the same time, international-level incentives, such as external threat and/or alliance value feature prominently in all three identified paths. The analysis further underscores the value of a configurational perspective, because neither an external threat nor alliance value are sufficient on the</w:t>
      </w:r>
    </w:p>
    <w:p>
      <w:pPr/>
      <w:r>
        <w:rPr>
          <w:b/>
        </w:rPr>
        <w:t>POSSIBLE 2021:</w:t>
      </w:r>
      <w:r>
        <w:t xml:space="preserve"> OPTIMAL INCENTIVES FOR ECONOMIC GROWTH IN CENTRAL EUROPEAN COUNTRIES: A MICRO APPROACH — https://doi.org/10.12775/cjfa.2021.009</w:t>
      </w:r>
    </w:p>
    <w:p>
      <w:pPr/>
      <w:r>
        <w:rPr>
          <w:b/>
        </w:rPr>
        <w:t>Shared claim-specific concepts:</w:t>
      </w:r>
      <w:r>
        <w:t xml:space="preserve"> incentives, view; EU scope visible. This is a provisional connection, not an outcome finding.</w:t>
      </w:r>
    </w:p>
    <w:p>
      <w:pPr>
        <w:pStyle w:val="SourceNote"/>
      </w:pPr>
      <w:r>
        <w:rPr>
          <w:b/>
        </w:rPr>
        <w:t>Available abstract (not full text):</w:t>
      </w:r>
      <w:r>
        <w:t xml:space="preserve"> Financial crisis of 2008 and the ongoing pandemic are continuing to have a negative impact on the economies of all countries even tough interest rates have been decreased significantly. This paper attempted to view the problem from a micro point of view to suggest more effective incentives for growth. The specific objective of the study is to determine and examine the effects of these incentives on economic growth in Central European countries.</w:t>
      </w:r>
    </w:p>
    <w:p>
      <w:pPr/>
      <w:r>
        <w:rPr>
          <w:b/>
        </w:rPr>
        <w:t>POSSIBLE 2021:</w:t>
      </w:r>
      <w:r>
        <w:t xml:space="preserve"> Encouraging the Development of New Antibiotics: Are Financial Incentives the Right Way Forward? A Systematic Review and Case Study — https://doi.org/10.2147/idr.s287792</w:t>
      </w:r>
    </w:p>
    <w:p>
      <w:pPr/>
      <w:r>
        <w:rPr>
          <w:b/>
        </w:rPr>
        <w:t>Shared claim-specific concepts:</w:t>
      </w:r>
      <w:r>
        <w:t xml:space="preserve"> right, incentives, literature; EU scope not established. This is a provisional connection, not an outcome finding.</w:t>
      </w:r>
    </w:p>
    <w:p>
      <w:pPr>
        <w:pStyle w:val="SourceNote"/>
      </w:pPr>
      <w:r>
        <w:rPr>
          <w:b/>
        </w:rPr>
        <w:t>Available abstract (not full text):</w:t>
      </w:r>
      <w:r>
        <w:t xml:space="preserve"> Antibiotic resistance is an urgent public health threat that has received substantial attention from the world's leading health agencies and national governmental bodies alike. However, despite increasing rates of antibiotic resistance, pharmaceutical companies are reluctant to develop new antibiotics due to scientific, regulatory, and financial barriers. Nonetheless, only a handful of countries have addressed this by implementing or proposing financial incentive models to promote antibiotic innovation. This study is comprised of a systematic review that aimed to understand which antibiotic incentive strategies are most recommended within the literature and subsequently analyzed these incentives to determine which are most likely to sustainably revitalize the antibiotic pipeline. Through a case study of Canada, we apply our incentive analysis to the Canadian landscape to provide decision-makers with a possible path forward. Based on our findings, we propose that Canada support the ongoing efforts of other countries by implementing a fully delinked subscription-based market entry reward. This paper seeks to spark action in Canada by shifting the national paradigm to one where antibiotic research and development is prioritized as a key element to addressing antibiotic resistance.</w:t>
      </w:r>
    </w:p>
    <w:p>
      <w:pPr/>
      <w:r>
        <w:rPr>
          <w:b/>
        </w:rPr>
        <w:t>POSSIBLE 2021:</w:t>
      </w:r>
      <w:r>
        <w:t xml:space="preserve"> Openness to Industry 4.0 and performance: The impact of barriers and incentives — https://doi.org/10.1016/j.techfore.2021.120756</w:t>
      </w:r>
    </w:p>
    <w:p>
      <w:pPr/>
      <w:r>
        <w:rPr>
          <w:b/>
        </w:rPr>
        <w:t>Shared claim-specific concepts:</w:t>
      </w:r>
      <w:r>
        <w:t xml:space="preserve"> incentives, literature; EU scope visible. This is a provisional connection, not an outcome finding.</w:t>
      </w:r>
    </w:p>
    <w:p>
      <w:pPr>
        <w:pStyle w:val="SourceNote"/>
      </w:pPr>
      <w:r>
        <w:rPr>
          <w:b/>
        </w:rPr>
        <w:t>Available abstract (not full text):</w:t>
      </w:r>
      <w:r>
        <w:t xml:space="preserve"> The impact of barriers and incentives on the relationship between openness to Industry 4.0 and performance have so far received little scholarly attention. As a result, this paper explores this relationship by employing a mixed methods approach. A qualitative analysis using in-depth interviews and multiple case studies identifies prominent barriers and incentives, whilst a quantitative analysis on a representative sample of 500 local manufacturing units in Piedmont (a region of Northern Italy) is undertaken via an OLS regression-based path analysis. The results of the parallel-serial multiple mediation model show that: (1) greater openness to Industry 4.0 is related to better performance; (2) greater openness to Industry 4.0 leads to a higher perception of barriers; (3) greater knowledge-related and economic and financial barriers improve performance, abstracting from the adoption of incentives; and (4) greater openness to Industry 4.0 drives the adoption of incentives. However, perceived economic and financial barriers are found not to drive firms to adopt more incentives. The study contributes to the Industry 4.0 literature by identifying previously unidentified strengths and weaknesses to barriers and incentives, and highlights the necessity of policies that reflect real firms’ needs.</w:t>
      </w:r>
    </w:p>
    <w:p>
      <w:pPr>
        <w:pStyle w:val="Heading2"/>
      </w:pPr>
      <w:r>
        <w:t>784. Clean Disruption for Abundant Futures - Neo-Carbon Energy Futures Clinique III</w:t>
      </w:r>
    </w:p>
    <w:p>
      <w:pPr>
        <w:pStyle w:val="SourceNote"/>
      </w:pPr>
      <w:r>
        <w:rPr>
          <w:b/>
        </w:rPr>
        <w:t>Original source (2017):</w:t>
      </w:r>
      <w:r>
        <w:t xml:space="preserve"> https://doi.org/10.13140/rg.2.2.25471.87200</w:t>
      </w:r>
    </w:p>
    <w:p>
      <w:pPr/>
      <w:r>
        <w:t>Original wording (abstract; indexed_source_text_not_full_document_verified): The four transformational scenarios of the Neo-Carbon Energy project were used as material for the groups’ foresight work.</w:t>
      </w:r>
    </w:p>
    <w:p>
      <w:pPr/>
      <w:r>
        <w:rPr>
          <w:b/>
        </w:rPr>
        <w:t>POSSIBLE 2026:</w:t>
      </w:r>
      <w:r>
        <w:t xml:space="preserve"> Finance Transformation Is Not an IT Project. It Is a Leadership Decision. — https://doi.org/10.5281/zenodo.23400498</w:t>
      </w:r>
    </w:p>
    <w:p>
      <w:pPr/>
      <w:r>
        <w:rPr>
          <w:b/>
        </w:rPr>
        <w:t>Shared claim-specific concepts:</w:t>
      </w:r>
      <w:r>
        <w:t xml:space="preserve"> four, energy, project; EU scope not established. This is a provisional connection, not an outcome finding.</w:t>
      </w:r>
    </w:p>
    <w:p>
      <w:pPr>
        <w:pStyle w:val="SourceNote"/>
      </w:pPr>
      <w:r>
        <w:rPr>
          <w:b/>
        </w:rPr>
        <w:t>Available abstract (not full text):</w:t>
      </w:r>
      <w:r>
        <w:t xml:space="preserve"> Bilingual (English/German) practitioner article on building an international finance function from the ground up. Drawing on more than fifteen years in international finance, from Big Four audit and advisory to finance leadership in construction, logistics, aviation and energy, the author argues that finance transformation is a leadership decision rather than an IT project. The article covers establishing one financial language across entities and borders (consistent cost classifications, named data owners, harmonised cut-offs), disciplined daily cash and liquidity management, ERP implementation as a process and governance exercise, and the responsible use of AI in finance, with the aim of moving Finance from documenting what happened to helping the business decide what should happen next.</w:t>
      </w:r>
    </w:p>
    <w:p>
      <w:pPr/>
      <w:r>
        <w:rPr>
          <w:b/>
        </w:rPr>
        <w:t>POSSIBLE 2026:</w:t>
      </w:r>
      <w:r>
        <w:t xml:space="preserve"> DRIVERS OF AGILE TRANSFORMATION IN PREDICTIVE PROJECT MANAGEMENT ENVIRONMENTS — https://doi.org/10.32782/bses.100-20</w:t>
      </w:r>
    </w:p>
    <w:p>
      <w:pPr/>
      <w:r>
        <w:rPr>
          <w:b/>
        </w:rPr>
        <w:t>Shared claim-specific concepts:</w:t>
      </w:r>
      <w:r>
        <w:t xml:space="preserve"> four, transformational, project, work; EU scope not established. This is a provisional connection, not an outcome finding.</w:t>
      </w:r>
    </w:p>
    <w:p>
      <w:pPr>
        <w:pStyle w:val="SourceNote"/>
      </w:pPr>
      <w:r>
        <w:rPr>
          <w:b/>
        </w:rPr>
        <w:t>Available abstract (not full text):</w:t>
      </w:r>
      <w:r>
        <w:t xml:space="preserve"> The article reviews the core drivers of Agile transformation within modern organizations that use predictive project management approaches. The purpose of the research is to identify and outline key factors that stimulate enterprises to transition from predictive management methods to the Agile concept of working. In that regard, the article suggests four principal drivers of agile transformation – market volatility, delayed value realization, limited capability to validate business assumptions, and people-related organizational factors related to employee engagement. The obtained results provide an extended theoretical understanding of the transformational drivers that exist within the waterfall paradigm and lead to the integration of Agile approaches into daily work, which may serve as a conceptual foundation for further development in the agile transformation domain, reflecting core business motivators to perform agile transition in general.</w:t>
      </w:r>
    </w:p>
    <w:p>
      <w:pPr/>
      <w:r>
        <w:rPr>
          <w:b/>
        </w:rPr>
        <w:t>POSSIBLE 2026:</w:t>
      </w:r>
      <w:r>
        <w:t xml:space="preserve"> Leading Digital Transformation Project: A Case of NADRA — https://openalex.org/W7213482378</w:t>
      </w:r>
    </w:p>
    <w:p>
      <w:pPr/>
      <w:r>
        <w:rPr>
          <w:b/>
        </w:rPr>
        <w:t>Shared claim-specific concepts:</w:t>
      </w:r>
      <w:r>
        <w:t xml:space="preserve"> four, project, used; EU scope not established. This is a provisional connection, not an outcome finding.</w:t>
      </w:r>
    </w:p>
    <w:p>
      <w:pPr>
        <w:pStyle w:val="SourceNote"/>
      </w:pPr>
      <w:r>
        <w:rPr>
          <w:b/>
        </w:rPr>
        <w:t>Available abstract (not full text):</w:t>
      </w:r>
      <w:r>
        <w:t xml:space="preserve"> Digital transformation in public-sector organizations is not only about the adoption of new technologies, but also about transformations in leadership, organizational practices, employee competencies, and citizen relationships. This thesis explores the interaction between leadership, organizational culture, and societal culture in the digital transformation of the public sector in Pakistan, utilizing the National Database and Registration Authority (NADRA) as a case study of quality. The research is based on constructivist-interpretivist worldview and single-case qualitative study design. Purposive sampling and semi-structured guide were used to select and interview four NADRA employees of 10-15 years organizational experience. Thematic analysis was applied to the interview content. Three themes were identified that interrelated: leadership and institutionalization; organizational adaptation; and societal legitimacy and adaptive implementation. The results indicate that the leadership institutionalized the digitalization into policy, hierarchy, training, procedures, technical expertise, communication and operational problem solving. Formal hierarchy coupled with cooperation, peer learning, service orientation and structured communication were incorporated into organizational culture and assisted employees to adjust in the face of new digital practices that were unfamiliar to th</w:t>
      </w:r>
    </w:p>
    <w:p>
      <w:pPr/>
      <w:r>
        <w:rPr>
          <w:b/>
        </w:rPr>
        <w:t>POSSIBLE 2026:</w:t>
      </w:r>
      <w:r>
        <w:t xml:space="preserve"> Climate Revolution or long march? The politics of low carbon transformation in China (1992-2015) : the power sector as case study — https://doi.org/10.82444/warw.33754987</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This thesis analyses the role of the Chinese state in overseeing the low-carbon transformation of its economy. It looks more particularly at the changing power dynamics surrounding the production of electric power provoked by the combination of market reforms and the rise of environmental concerns since 1978. The Chinese case is not only relevant for global environmental change, but also because it interrogates the classical understanding of developmental and environmental politics. The thesis explores how, in China, the necessity to address environmental issues has transformed the way in which the state exercises power over the economy, particularly over the electric power system. The research method pursues a historical analysis of the normative and distributive struggles involved in the transformation of the Chinese Party-state institutions in relation to economic development and environmental protection, especially the field of energy. This approach stems from a definition of low-carbon transformations as complex processes of change unfolding over long periods of time, involving not only technological innovations, but also contentious confrontations of interests and ideologies. Consequently, in the thesis, environmental goals, as well as different modes of exercising political power in the economy, such as the developmental state and a regulatory state, are taken as ideatio</w:t>
      </w:r>
    </w:p>
    <w:p>
      <w:pPr/>
      <w:r>
        <w:rPr>
          <w:b/>
        </w:rPr>
        <w:t>POSSIBLE 2026:</w:t>
      </w:r>
      <w:r>
        <w:t xml:space="preserve"> Globalization and digital transformation: are impacts on skills and inequality in four future scenarios converging? — https://doi.org/10.1080/13511610.2026.2656886</w:t>
      </w:r>
    </w:p>
    <w:p>
      <w:pPr/>
      <w:r>
        <w:rPr>
          <w:b/>
        </w:rPr>
        <w:t>Shared claim-specific concepts:</w:t>
      </w:r>
      <w:r>
        <w:t xml:space="preserve"> four, project, used, groups; EU scope visible. This is a provisional connection, not an outcome finding.</w:t>
      </w:r>
    </w:p>
    <w:p>
      <w:pPr>
        <w:pStyle w:val="SourceNote"/>
      </w:pPr>
      <w:r>
        <w:rPr>
          <w:b/>
        </w:rPr>
        <w:t>Available abstract (not full text):</w:t>
      </w:r>
      <w:r>
        <w:t xml:space="preserve"> This research examines how varying degrees of globalization and digital transformation affect skill demand, socioeconomic inequality and convergence in the EU by 2030. The study employs a comprehensive scenario-mapping approach using state-of-the-art literature, existing econometric analyses conducted within the GI-NI project used as contextual inputs and expert insights. Four scenarios are developed based on potential trends in digital transformation (stagnation or acceleration) and globalization (further globalization or deglobalization). These scenarios highlight essential changes needed to improve skills and alleviate inequality. In all scenarios, the future labour market demands a rapidly evolving skill set, with persistent risks of skills mismatch across educational groups and a strong focus on digital, technical, analytical and communication skills. Three scenarios suggest worsening inequality, particularly affecting low-skilled workers, women and older individuals, while high-skilled workers adapt more quickly. The study shows that communication technology can drive between-region economic convergence, depending on the interaction with globalization and the pace of digital transformation. However, accelerated digital transformation with deglobalization poses divergence risks, as some EU regions may struggle to adapt quickly. The scenarios underscore the complex interpla</w:t>
      </w:r>
    </w:p>
    <w:p>
      <w:pPr/>
      <w:r>
        <w:rPr>
          <w:b/>
        </w:rPr>
        <w:t>POSSIBLE 2024:</w:t>
      </w:r>
      <w:r>
        <w:t xml:space="preserve"> The Successful Factors for Digital Transformation in Project Management — https://doi.org/10.54254/2754-1169/79/20241858</w:t>
      </w:r>
    </w:p>
    <w:p>
      <w:pPr/>
      <w:r>
        <w:rPr>
          <w:b/>
        </w:rPr>
        <w:t>Shared claim-specific concepts:</w:t>
      </w:r>
      <w:r>
        <w:t xml:space="preserve"> four, project, used; EU scope not established. This is a provisional connection, not an outcome finding.</w:t>
      </w:r>
    </w:p>
    <w:p>
      <w:pPr>
        <w:pStyle w:val="SourceNote"/>
      </w:pPr>
      <w:r>
        <w:rPr>
          <w:b/>
        </w:rPr>
        <w:t>Available abstract (not full text):</w:t>
      </w:r>
      <w:r>
        <w:t xml:space="preserve"> In the era of Industry 4.0, the advent of the digital revolution is reshaping project management processes, and digital transformation is advancing with a heightened focus on its influence on project success. Research on the success factors for digital transformation in project management is limited, particularly in drawing industry-specific conclusions, owing to varying levels of digitization across projects. The exploration of success factors' impact on the digital transformation process and the distinctive characteristics of different industries remains largely uncharted territory. This research aimed to explore key aspects of digital transformation projects, focusing on success factors that significantly influence their outcomes. A Thematic analysis approach was used to draw insights. The analysis delves into four crucial success factors. These key themes included organizational change management, organizational efficiency enhancement, organizational process management, sustainability, and societal management. Each factor is examined for its role in shaping successful digital transformations. The conclusion succinctly summarizes the key findings and emphasizes the importance of these success factors in the context of digital transformation initiatives. These findings go beyond the scope of prior research, delving into the intricacies of industry perspectives, which can driv</w:t>
      </w:r>
    </w:p>
    <w:p>
      <w:pPr/>
      <w:r>
        <w:rPr>
          <w:b/>
        </w:rPr>
        <w:t>POSSIBLE 2024:</w:t>
      </w:r>
      <w:r>
        <w:t xml:space="preserve"> University transformation in evaluations of project team participants — https://doi.org/10.21684/2411-7897-2024-10-2-46-56</w:t>
      </w:r>
    </w:p>
    <w:p>
      <w:pPr/>
      <w:r>
        <w:rPr>
          <w:b/>
        </w:rPr>
        <w:t>Shared claim-specific concepts:</w:t>
      </w:r>
      <w:r>
        <w:t xml:space="preserve"> four, project, used; EU scope not established. This is a provisional connection, not an outcome finding.</w:t>
      </w:r>
    </w:p>
    <w:p>
      <w:pPr>
        <w:pStyle w:val="SourceNote"/>
      </w:pPr>
      <w:r>
        <w:rPr>
          <w:b/>
        </w:rPr>
        <w:t>Available abstract (not full text):</w:t>
      </w:r>
      <w:r>
        <w:t xml:space="preserve"> The format of project activities is firmly rooted in the higher education system. This approach is used intensively in the implementation of strategic changes at the level of higher education institutions. This paper examines the transformation process in Russian universities from the perspective of project team members who are responsible for the result. The empirical basis for the analysis is a questionnaire survey (N = 79) of participants of transformation project teams from four Russian universities of different types (classical / technical). The types of transformation projects being implemented in Russian universities were identified. The results show that the main initiator of such projects is primarily the university itself or its individual units. The hierarchy of success factors of university transformation projects implementation in the understanding of their direct executors was determined, among which the most important are the competence of team members (71%), financial and resource support of the project (63%). The principles of project team formation are analyzed, which is mainly (37%) created based on the functional activity of the university employee outside the project. The most pronounced signs of success of a particular transformation project depending on its type are outlined. In the conclusion, we formulate the areas for further research on this topic.</w:t>
      </w:r>
    </w:p>
    <w:p>
      <w:pPr/>
      <w:r>
        <w:rPr>
          <w:b/>
        </w:rPr>
        <w:t>POSSIBLE 2024:</w:t>
      </w:r>
      <w:r>
        <w:t xml:space="preserve"> The Effect of Transformational Leadership on Team Performance on Construction Projects — https://doi.org/10.35870/ijmsit.v4i1.2679</w:t>
      </w:r>
    </w:p>
    <w:p>
      <w:pPr/>
      <w:r>
        <w:rPr>
          <w:b/>
        </w:rPr>
        <w:t>Shared claim-specific concepts:</w:t>
      </w:r>
      <w:r>
        <w:t xml:space="preserve"> four, transformational, project, work; EU scope not established. This is a provisional connection, not an outcome finding.</w:t>
      </w:r>
    </w:p>
    <w:p>
      <w:pPr>
        <w:pStyle w:val="SourceNote"/>
      </w:pPr>
      <w:r>
        <w:rPr>
          <w:b/>
        </w:rPr>
        <w:t>Available abstract (not full text):</w:t>
      </w:r>
      <w:r>
        <w:t xml:space="preserve"> This research aims to analyze the influence of transformational leadership on team performance in construction projects. In the construction industry, leadership effectiveness is a key factor influencing project success. This study uses a quantitative approach with a descriptive survey design, involving 150 respondents consisting of 30 project managers and 120 team members from various construction projects in Indonesia. Data was collected through a questionnaire that measured four dimensions of transformational leadership: ideal influence, inspirational motivation, intellectual stimulation, and individual consideration, as well as team performance based on timely task completion, quality of work results, and cost efficiency. The regression test results show that transformational leadership has a significant positive influence on team performance. The motivational dimensions of inspiration and ideal influence showed the highest correlation with team performance, with beta coefficients of 0.45 and 0.42, respectively (p &lt; 0.05). The dimensions of intellectual stimulation and individual consideration also showed a positive influence with beta coefficients of 0.32 and 0.30 respectively (p &lt; 0.05). Job satisfaction was found to be a significant intervening variable, where transformational leadership increased job satisfaction which then increased team performance. This research high</w:t>
      </w:r>
    </w:p>
    <w:p>
      <w:pPr/>
      <w:r>
        <w:rPr>
          <w:b/>
        </w:rPr>
        <w:t>POSSIBLE 2024:</w:t>
      </w:r>
      <w:r>
        <w:t xml:space="preserve"> Supply-side climate policy and fossil fuels in developing countries: a neo-Gramscian perspective — https://doi.org/10.1007/s10784-024-09627-z</w:t>
      </w:r>
    </w:p>
    <w:p>
      <w:pPr/>
      <w:r>
        <w:rPr>
          <w:b/>
        </w:rPr>
        <w:t>Shared claim-specific concepts:</w:t>
      </w:r>
      <w:r>
        <w:t xml:space="preserve"> energy, material; EU scope not established. This is a provisional connection, not an outcome finding.</w:t>
      </w:r>
    </w:p>
    <w:p>
      <w:pPr>
        <w:pStyle w:val="SourceNote"/>
      </w:pPr>
      <w:r>
        <w:rPr>
          <w:b/>
        </w:rPr>
        <w:t>Available abstract (not full text):</w:t>
      </w:r>
      <w:r>
        <w:t xml:space="preserve"> Abstract This article examines the perspectives of low- and middle-income countries (LMICs) on climate change mitigation and fossil fuel supply within the UN framework convention on climate change (UNFCCC). Achieving the temperature targets of the Paris Agreement requires leaving fossil fuels underground (LFFU), which presents challenges for LMICs due to their significant fossil fuel reserves. This dilemma raises equity concerns as these countries must balance climate action with their Right to Development (RtD). Against this background, through a content analysis of documents submitted to the UNFCCC and triangulation with ownership structures of extraction projects, this paper explores how ten LMICs define their roles in addressing climate change and LFFU, with a focus on mitigation policies and the energy sector. Drawing on Gramscian concepts such as hegemony, common sense, historical bloc, war of position, passive revolution, andtrasformismo, this paper presents a non-exhaustive neo-Gramscian perspective for the analysis of supply-side climate policy in developing countries. The analysis reveals that LMICs’ development paths have been characterized by fossil fuel expansion, energy addition, and carbon lock-in, grounded on energy security reasons, export dependencies, or equity and responsibility. From these findings, the paper argues that the global energy transition can be </w:t>
      </w:r>
    </w:p>
    <w:p>
      <w:pPr/>
      <w:r>
        <w:rPr>
          <w:b/>
        </w:rPr>
        <w:t>POSSIBLE 2023:</w:t>
      </w:r>
      <w:r>
        <w:t xml:space="preserve"> Impacts of Carbon Emission Trading Markets on Energy Transformation: A Review of the Existing Literature — https://doi.org/10.56397/jwe.2023.06.04</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In the current era, carbon emission trading markets seem to be a booster when the global society vigorously advocates energy transformation. Different scholars mainly focus on analyzing the transmission mechanism of carbon emission trading markets on energy transition, the role of carbon emission trading markets on renewable energy, and the impact of carbon emission trading markets with other policies on energy mix. However, the conclusions on whether carbon emission trading markets can indeed contribute to energy transformation vary. Therefore, this article presents research papers on the impact of carbon emission trading markets on energy structure transformation in recent years through literature review and summarizes hot topics to facilitate future scholars to fill the research gap in this field.</w:t>
      </w:r>
    </w:p>
    <w:p>
      <w:pPr/>
      <w:r>
        <w:rPr>
          <w:b/>
        </w:rPr>
        <w:t>POSSIBLE 2022:</w:t>
      </w:r>
      <w:r>
        <w:t xml:space="preserve"> Goals and benefits of digital transformation projects: Insights into project selection criteria — https://doi.org/10.4102/sajems.v25i1.4158</w:t>
      </w:r>
    </w:p>
    <w:p>
      <w:pPr/>
      <w:r>
        <w:rPr>
          <w:b/>
        </w:rPr>
        <w:t>Shared claim-specific concepts:</w:t>
      </w:r>
      <w:r>
        <w:t xml:space="preserve"> four, project, used; EU scope not established. This is a provisional connection, not an outcome finding.</w:t>
      </w:r>
    </w:p>
    <w:p>
      <w:pPr>
        <w:pStyle w:val="SourceNote"/>
      </w:pPr>
      <w:r>
        <w:rPr>
          <w:b/>
        </w:rPr>
        <w:t>Available abstract (not full text):</w:t>
      </w:r>
      <w:r>
        <w:t xml:space="preserve"> Background: Digital transformation (DT) is an increasingly relevant concept for businesses to remain competitive. As DT projects are disruptive to an organisation and are significantly different from traditional information technology projects, it is important to understand the value that specific DT projects will bring to an organisation before they are implemented, so that DT project portfolios can be optimally managed.Aim: This study aims to determine the key goals and benefits of DT projects, as well as the selection criteria for DT projects in South African businesses. The study also explores the most influential technologies for driving the implementation of DT projects.Setting: South Africa is an emerging economy. The study was performed in the initial phases of nationwide lockdown owing to COVID-19.Methods: Semi-structured interviews were conducted with 11 leaders from South African businesses of varying sizes, but all in significant local markets. Content analysis using CAQDAS was used to analyse the primary data, using both inductive and deductive coding methods.Results: South African businesses use a combination of financial and non-financial project selection criteria across four main goals and benefit categories: customer experience, operational efficiency, business culture, and traditional project evaluation. The fifth proposed goal (new business models) was not u</w:t>
      </w:r>
    </w:p>
    <w:p>
      <w:pPr/>
      <w:r>
        <w:rPr>
          <w:b/>
        </w:rPr>
        <w:t>POSSIBLE 2022:</w:t>
      </w:r>
      <w:r>
        <w:t xml:space="preserve"> Assessing the likelihood for transformational change at the Green Climate Fund: An analysis using self-reported project data — https://doi.org/10.1016/j.crm.2022.100398</w:t>
      </w:r>
    </w:p>
    <w:p>
      <w:pPr/>
      <w:r>
        <w:rPr>
          <w:b/>
        </w:rPr>
        <w:t>Shared claim-specific concepts:</w:t>
      </w:r>
      <w:r>
        <w:t xml:space="preserve"> four, transformational, project; EU scope not established. This is a provisional connection, not an outcome finding.</w:t>
      </w:r>
    </w:p>
    <w:p>
      <w:pPr>
        <w:pStyle w:val="SourceNote"/>
      </w:pPr>
      <w:r>
        <w:rPr>
          <w:b/>
        </w:rPr>
        <w:t>Available abstract (not full text):</w:t>
      </w:r>
      <w:r>
        <w:t xml:space="preserve"> Climate finance institutions have been tasked with effectively and efficiently allocating funds to spur the transition to low-carbon, climate-resilient economies. The Green Climate Fund (GCF) is expected to assist the most vulnerable adapt to and mitigate climate change because of its mandate to contribute to a paradigm shift. To understand if the GCF’s portfolio is on track to achieve this aim, we review the project documents of GCF investments through March 2020 (N = 125 projects). We examine attributes of these investments by applying a framework for potential transformational change, comprised of eight components. We use bivariate statistics and multivariate cluster analysis to examine the GCF’s project portfolio of mitigation, cross-cutting and adaptation projects. Bivariate tests find that adaptation projects show the greater intention to integrate policy change into national planning processes and that both adaptation and cross-cutting projects require a greater need for and expectation of behaviour change. Results from cluster analysis shows how adaptation projects dominate clusters with high and medium potential for transformational change (with 47% and 78% of projects, respectively). However, even the high potential cluster only displays the highest average scores for four of the eight components in our framework of transformational change. These findings present lear</w:t>
      </w:r>
    </w:p>
    <w:p>
      <w:pPr>
        <w:pStyle w:val="Heading2"/>
      </w:pPr>
      <w:r>
        <w:t>785. Conditional forecasts of tourism exports and tourism export prices of the EU-15 within a global vector autoregression framework</w:t>
      </w:r>
    </w:p>
    <w:p>
      <w:pPr>
        <w:pStyle w:val="SourceNote"/>
      </w:pPr>
      <w:r>
        <w:rPr>
          <w:b/>
        </w:rPr>
        <w:t>Original source (2017):</w:t>
      </w:r>
      <w:r>
        <w:t xml:space="preserve"> https://doi.org/10.1108/jtf-01-2017-0001</w:t>
      </w:r>
    </w:p>
    <w:p>
      <w:pPr/>
      <w:r>
        <w:t>Original wording (abstract; indexed_source_text_not_full_document_verified): Purpose The purpose of this paper is to analyze the ex ante projected future trajectories of real tourism exports and relative tourism export prices of the EU-15, conditional on expert real gross domestic product growth forecasts for the global economy provided by the Organisation for Economic Co-operation and Development for the years 2013-2017.</w:t>
      </w:r>
    </w:p>
    <w:p>
      <w:pPr/>
      <w:r>
        <w:rPr>
          <w:b/>
        </w:rPr>
        <w:t>POSSIBLE 2025:</w:t>
      </w:r>
      <w:r>
        <w:t xml:space="preserve"> Is tourism a primary driver of inflation in house prices? The case of European countries — https://doi.org/10.1007/s12232-025-00498-7</w:t>
      </w:r>
    </w:p>
    <w:p>
      <w:pPr/>
      <w:r>
        <w:rPr>
          <w:b/>
        </w:rPr>
        <w:t>Shared claim-specific concepts:</w:t>
      </w:r>
      <w:r>
        <w:t xml:space="preserve"> real, tourism; EU scope visible. This is a provisional connection, not an outcome finding.</w:t>
      </w:r>
    </w:p>
    <w:p>
      <w:pPr>
        <w:pStyle w:val="SourceNote"/>
      </w:pPr>
      <w:r>
        <w:rPr>
          <w:b/>
        </w:rPr>
        <w:t>Available abstract (not full text):</w:t>
      </w:r>
      <w:r>
        <w:t xml:space="preserve"> Abstract In this empirical investigation, the influence of tourism on housing prices was studied for 13 European Union countries from 2005 to 2019 using cs-ARDL and Quantile cs-ARDL econometric approaches. The findings reveal a positive effect running from the tourism sector (represented by tourism revenues and the number of arrivals) to housing price indices, indicating that this industry significantly impacts real estate markets. Moreover, the results show that economic growth, bank credit, and population growth drive house prices. These outcomes have significant implications for policymakers, highlighting the dual nature of tourism’s impact and the need for a careful balance between promoting tourism as an economic strategy and ensuring housing affordability for residents.</w:t>
      </w:r>
    </w:p>
    <w:p>
      <w:pPr/>
      <w:r>
        <w:rPr>
          <w:b/>
        </w:rPr>
        <w:t>POSSIBLE 2025:</w:t>
      </w:r>
      <w:r>
        <w:t xml:space="preserve"> Lagged effect of tourism on environmental pollution: a comparative analysis among sub-Saharan African, European and Asian countries — https://doi.org/10.1007/s43621-025-02058-z</w:t>
      </w:r>
    </w:p>
    <w:p>
      <w:pPr/>
      <w:r>
        <w:rPr>
          <w:b/>
        </w:rPr>
        <w:t>Shared claim-specific concepts:</w:t>
      </w:r>
      <w:r>
        <w:t xml:space="preserve"> purpose, analyze, tourism, economy; EU scope visible. This is a provisional connection, not an outcome finding.</w:t>
      </w:r>
    </w:p>
    <w:p>
      <w:pPr>
        <w:pStyle w:val="SourceNote"/>
      </w:pPr>
      <w:r>
        <w:rPr>
          <w:b/>
        </w:rPr>
        <w:t>Available abstract (not full text):</w:t>
      </w:r>
      <w:r>
        <w:t xml:space="preserve"> Tourism participates in the nation’s economy. However, this activity has environmental consequences, as tourists generate waste that pollutes the environment. The purpose of this paper is to analyze the effect of current and past tourism on environmental pollution using a sample of 124 countries across Africa, Asia, and Europe. Data were collected from the World Bank during 2005–2019 and estimation techniques notably POLS, fixed effects models and FMOLS were applied. Outcomes show that both current and past tourism flows have perverse influences on environmental quality. Policies aimed at protecting the environment through tourist education could help reduce the impact of tourism.</w:t>
      </w:r>
    </w:p>
    <w:p>
      <w:pPr/>
      <w:r>
        <w:rPr>
          <w:b/>
        </w:rPr>
        <w:t>POSSIBLE 2025:</w:t>
      </w:r>
      <w:r>
        <w:t xml:space="preserve"> The economic, agricultural, and food security repercussions of a wild pollinator collapse in Europe — https://doi.org/10.1038/s41467-025-65414-7</w:t>
      </w:r>
    </w:p>
    <w:p>
      <w:pPr/>
      <w:r>
        <w:rPr>
          <w:b/>
        </w:rPr>
        <w:t>Shared claim-specific concepts:</w:t>
      </w:r>
      <w:r>
        <w:t xml:space="preserve"> exports; EU scope visible. This is a provisional connection, not an outcome finding.</w:t>
      </w:r>
    </w:p>
    <w:p>
      <w:pPr>
        <w:pStyle w:val="SourceNote"/>
      </w:pPr>
      <w:r>
        <w:rPr>
          <w:b/>
        </w:rPr>
        <w:t>Available abstract (not full text):</w:t>
      </w:r>
      <w:r>
        <w:t xml:space="preserve"> Biodiversity conservation policies often face resistance, yet the global agri-food system's vulnerability to ecosystem service declines, such as wild pollinator losses, remains poorly understood. Wild pollinators are vital for sustaining crop yields, especially nutrient-rich crops. Declines in their populations could disrupt food production, trade, and global food security. Here, we show that a hypothetical collapse of wild pollinators in Europe by 2030 would reduce European crop yields by 8%, trigger modest cropland expansion, and diminish net exports. Although global market adjustments, through changes in land use and trade, would partially mitigate these impacts, they risk exacerbating food insecurity and undermining biodiversity conservation efforts globally. Prices for pollinator-dependent crops would rise globally, with Europe seeing the steepest increases. While producers may benefit from higher prices, consumers bear the brunt. Global annual welfare losses would reach €34 billion in 2030, with Europe and the EU accounting for €24 billion and €12 billion, disproportionately impacting EU member-states resistant to biodiversity-friendly policies.</w:t>
      </w:r>
    </w:p>
    <w:p>
      <w:pPr/>
      <w:r>
        <w:rPr>
          <w:b/>
        </w:rPr>
        <w:t>POSSIBLE 2023:</w:t>
      </w:r>
      <w:r>
        <w:t xml:space="preserve"> Financial Integration and European Tourism Stocks — https://doi.org/10.2139/ssrn.4359373</w:t>
      </w:r>
    </w:p>
    <w:p>
      <w:pPr/>
      <w:r>
        <w:rPr>
          <w:b/>
        </w:rPr>
        <w:t>Shared claim-specific concepts:</w:t>
      </w:r>
      <w:r>
        <w:t xml:space="preserve"> real, tourism; EU scope visible. This is a provisional connection, not an outcome finding.</w:t>
      </w:r>
    </w:p>
    <w:p>
      <w:pPr>
        <w:pStyle w:val="SourceNote"/>
      </w:pPr>
      <w:r>
        <w:rPr>
          <w:b/>
        </w:rPr>
        <w:t>Available abstract (not full text):</w:t>
      </w:r>
      <w:r>
        <w:t xml:space="preserve"> This study examines the macro drivers of the time-varying (dynamic) connectedness between 11 European tourism sectors. Financial integration between the travel and leisure markets, measured by their dynamic correlations or co-movement, is explained by common global fundamentals. The empirical results provide new evidence on the counter-cyclical behavior of the correlations; in particular, stronger cross-country interdependence can be attributed to economic slowdowns characterized by higher uncertainty and geopolitical risk, tighter credit and liquidity conditions, and sluggish economic and real estate activity. Further, economic and political uncertainty is found to intensify the macro effects on tourism correlations. Finally, crises such as the 2008 financial turmoil, the subsequent European debt crisis, and the recent Covid-19 pandemic crash also magnify the impact of macro drivers on the evolution of co-movement and integration in the tourism sector.</w:t>
      </w:r>
    </w:p>
    <w:p>
      <w:pPr/>
      <w:r>
        <w:rPr>
          <w:b/>
        </w:rPr>
        <w:t>POSSIBLE 2023:</w:t>
      </w:r>
      <w:r>
        <w:t xml:space="preserve"> Google and Apple mobility data as predictors for European tourism during the COVID-19 pandemic: A neural network approach — https://doi.org/10.24136/eq.2023.013</w:t>
      </w:r>
    </w:p>
    <w:p>
      <w:pPr/>
      <w:r>
        <w:rPr>
          <w:b/>
        </w:rPr>
        <w:t>Shared claim-specific concepts:</w:t>
      </w:r>
      <w:r>
        <w:t xml:space="preserve"> purpose, tourism, domestic; EU scope visible. This is a provisional connection, not an outcome finding.</w:t>
      </w:r>
    </w:p>
    <w:p>
      <w:pPr>
        <w:pStyle w:val="SourceNote"/>
      </w:pPr>
      <w:r>
        <w:rPr>
          <w:b/>
        </w:rPr>
        <w:t>Available abstract (not full text):</w:t>
      </w:r>
      <w:r>
        <w:t xml:space="preserve"> Research background: The COVID-19 pandemic has caused unprecedented disruptions to the global tourism industry, resulting in significant impacts on both human and economic activities. Travel restrictions, border closures, and quarantine measures have led to a sharp decline in tourism demand, causing businesses to shut down, jobs to be lost, and economies to suffer. Purpose of the article: This study aims to examine the correlation and causal relationship between real-time mobility data and statistical data on tourism, specifically tourism overnights, across eleven European countries during the first 14 months of the pandemic. We analyzed the short longitudinal connections between two dimensions of tourism and related activities. Methods: Our method is to use Google and Apple's observational data to link with tourism statistical data, enabling the development of early predictive models and econometric models for tourism overnights (or other tourism indices). This approach leverages the more timely and more reliable mobility data from Google and Apple, which is published with less delay than tourism statistical data. Findings &amp; value added: Our findings indicate statistically significant correlations between specific mobility dimensions, such as recreation and retail, parks, and tourism statistical data, but poor or insignificant relations with workplace and transit dimensions. W</w:t>
      </w:r>
    </w:p>
    <w:p>
      <w:pPr/>
      <w:r>
        <w:rPr>
          <w:b/>
        </w:rPr>
        <w:t>POSSIBLE 2022:</w:t>
      </w:r>
      <w:r>
        <w:t xml:space="preserve"> SMART-TECHNOLOGIES IN THE TOURISM INDUSTRY OF EUROPE — https://doi.org/10.31651/2076-5843-2022-3-4-109-117</w:t>
      </w:r>
    </w:p>
    <w:p>
      <w:pPr/>
      <w:r>
        <w:rPr>
          <w:b/>
        </w:rPr>
        <w:t>Shared claim-specific concepts:</w:t>
      </w:r>
      <w:r>
        <w:t xml:space="preserve"> purpose, real, tourism, expert, product; EU scope visible. This is a provisional connection, not an outcome finding.</w:t>
      </w:r>
    </w:p>
    <w:p>
      <w:pPr>
        <w:pStyle w:val="SourceNote"/>
      </w:pPr>
      <w:r>
        <w:rPr>
          <w:b/>
        </w:rPr>
        <w:t>Available abstract (not full text):</w:t>
      </w:r>
      <w:r>
        <w:t xml:space="preserve"> Introduction. Today, the tourism sector needs to adapt to a changing environment and strengthen competitiveness. The introduction of smart technologies characterizes the current stage of tourism development, which is influenced by the evolution of information technology and becomes a promising way to confront new market conditions. Travel smart technologies include the automation of travel and related processes, saving time, reducing costs and creating a more seamless travel experience for tourists. These technologies can be applied to improve the customer experience: before, during and after the trip itself. Smart technologies provide an opportunity in tourism activities to streamline and automate processes that traditionally require active human involvement. This can potentially help businesses reduce the need for staff, cut costs and increase revenue, leading to improved financial results. The application of smart technologies and the concept of smart tourism in destinations can strengthen countries' competitiveness and lead to better satisfaction of tourists' needs. Europe is one of the leaders in the development of smart technologies and experience in their application in tourism activities. Purpose. Analysis of the development of smart technologies in the tourism sector of leading European countries, in particular in the most famous tourist destinations. Methods. The arti</w:t>
      </w:r>
    </w:p>
    <w:p>
      <w:pPr/>
      <w:r>
        <w:rPr>
          <w:b/>
        </w:rPr>
        <w:t>POSSIBLE 2022:</w:t>
      </w:r>
      <w:r>
        <w:t xml:space="preserve"> Digital accessibility of smart cities - tourism for all and reducing inequalities: Tourism Agenda 2030 — https://doi.org/10.1108/tr-02-2022-0091</w:t>
      </w:r>
    </w:p>
    <w:p>
      <w:pPr/>
      <w:r>
        <w:rPr>
          <w:b/>
        </w:rPr>
        <w:t>Shared claim-specific concepts:</w:t>
      </w:r>
      <w:r>
        <w:t xml:space="preserve"> purpose, analyze, tourism; EU scope visible. This is a provisional connection, not an outcome finding.</w:t>
      </w:r>
    </w:p>
    <w:p>
      <w:pPr>
        <w:pStyle w:val="SourceNote"/>
      </w:pPr>
      <w:r>
        <w:rPr>
          <w:b/>
        </w:rPr>
        <w:t>Available abstract (not full text):</w:t>
      </w:r>
      <w:r>
        <w:t xml:space="preserve"> Purpose There is widespread agreement that the tourism sector should address the issue of sustainability. The purpose of this study is to analyze the digital accessibility of the cities awarded as European Capitals of Smart Tourism for their innovative, accessible and sustainable practices by the European Commission. Design/methodology/approach An analysis of the digital level of accessibility of 50 uniform resource locator (URL) of European cities was undertaken. The analysis followed the international evaluation requirements of the World Wide Web (W3C). Findings The results show that none of the official Web pages analyzed obtained 100% in relation to the digital accessibility requirements. The main factors that pose barriers to communication and interaction were identified. Practical implications The paper encourages smart tourism destinations to overcome the challenge of matching both dimensions of accessibility to obtain barrier-free information to ensure cities are inclusive and sustainable in line with Agenda 2030 (sustainable development goal [SDG] 11). Originality/value The concept of tourism for all receives special attention in the sector, and this notion is reflected in the UN SDGs. However, accessibility has not been extensively analyzed in relation to the cohesion between the digital and the physical dimension. Tourism research tends to focus on accessible experie</w:t>
      </w:r>
    </w:p>
    <w:p>
      <w:pPr/>
      <w:r>
        <w:rPr>
          <w:b/>
        </w:rPr>
        <w:t>POSSIBLE 2021:</w:t>
      </w:r>
      <w:r>
        <w:t xml:space="preserve"> PROVING THE IMPORTANCE OF SEA TOURISM FOR THE EUROPE'S ECONOMY — https://doi.org/10.32843/bses.64-18</w:t>
      </w:r>
    </w:p>
    <w:p>
      <w:pPr/>
      <w:r>
        <w:rPr>
          <w:b/>
        </w:rPr>
        <w:t>Shared claim-specific concepts:</w:t>
      </w:r>
      <w:r>
        <w:t xml:space="preserve"> purpose, real, tourism, economy; EU scope visible. This is a provisional connection, not an outcome finding.</w:t>
      </w:r>
    </w:p>
    <w:p>
      <w:pPr>
        <w:pStyle w:val="SourceNote"/>
      </w:pPr>
      <w:r>
        <w:rPr>
          <w:b/>
        </w:rPr>
        <w:t>Available abstract (not full text):</w:t>
      </w:r>
      <w:r>
        <w:t xml:space="preserve"> The article emphasizes that the dynamic development of maritime tourism is especially important for all industries and its importance is constantly growing. Where to direct such development, how to ensure the conditions for its sustainable development are the main issues for countries at the regional level. It is noted that the demand in the European maritime tourism market has specific development factors that need to be studied. The main areas in which maritime tourism contributes to the European economy are highlighted. Indirect effects of maritime tourism, which are manifested as a driving force in the development of other ancillary activities. Peculiarities of legislative regulation of maritime tourism in European countries with developed and transition economies are considered. Their features and examples are given. Resource-based and tourism-based models of maritime tourism development are described. Various classifications of the tourist market in general and the maritime tourism market in particular are presented and analyzed. It is emphasized that all classifications have their specific real purpose and purpose. For effective marketing management of tourist destinations it is necessary to identify and assess its potential. The question of the concept of "new market", which is of particular importance for the development of the maritime tourism industry. It is emphasiz</w:t>
      </w:r>
    </w:p>
    <w:p>
      <w:pPr/>
      <w:r>
        <w:rPr>
          <w:b/>
        </w:rPr>
        <w:t>POSSIBLE 2020:</w:t>
      </w:r>
      <w:r>
        <w:t xml:space="preserve"> Virtual reality and modern tourism — https://doi.org/10.1108/jtf-01-2020-0004</w:t>
      </w:r>
    </w:p>
    <w:p>
      <w:pPr/>
      <w:r>
        <w:rPr>
          <w:b/>
        </w:rPr>
        <w:t>Shared claim-specific concepts:</w:t>
      </w:r>
      <w:r>
        <w:t xml:space="preserve"> purpose, analyze, tourism; EU scope not established. This is a provisional connection, not an outcome finding.</w:t>
      </w:r>
    </w:p>
    <w:p>
      <w:pPr>
        <w:pStyle w:val="SourceNote"/>
      </w:pPr>
      <w:r>
        <w:rPr>
          <w:b/>
        </w:rPr>
        <w:t>Available abstract (not full text):</w:t>
      </w:r>
      <w:r>
        <w:t xml:space="preserve"> Purpose The purpose of this paper is to provide an insight as to how recent trends in virtual reality (VR) have changed the way tourism and hospitality industry communicates their offerings and meets the tourists’ needs. Design/methodology/approach The approach is based on systematic literature review, where the relations between focal concepts are given to analyze potential future developments concerning VR. Findings The paper identifies and analyzes how VR technology affected tourism and hospitality industry through three main touch points – future tourism planning and management, technology-based marketing of tourism destinations and VR potential in changing consumer requirements. These concepts were analyzed to identify changing forces and suggest potential paradigm shifts that tourism and hospitality suppliers and marketers need to consider. These included realistic virtual travel replacements, the importance of interactive experiences and innovation in future tourism systems. Originality/value While there has been increasingly larger number of discussions on how tourists and tourism and hospitality industry have been using information and communication technology recently, there is little evidence of scholars and practitioners applying such methods. This paper used systematic literature review to illustrate means in which VR could be ingrained into tourism and hospitality</w:t>
      </w:r>
    </w:p>
    <w:p>
      <w:pPr/>
      <w:r>
        <w:rPr>
          <w:b/>
        </w:rPr>
        <w:t>POSSIBLE 2020:</w:t>
      </w:r>
      <w:r>
        <w:t xml:space="preserve"> Aspects of Digitalization and Related Impact on Green Tourism in European Countries — https://doi.org/10.3390/info11110507</w:t>
      </w:r>
    </w:p>
    <w:p>
      <w:pPr/>
      <w:r>
        <w:rPr>
          <w:b/>
        </w:rPr>
        <w:t>Shared claim-specific concepts:</w:t>
      </w:r>
      <w:r>
        <w:t xml:space="preserve"> analyze, tourism; EU scope visible. This is a provisional connection, not an outcome finding.</w:t>
      </w:r>
    </w:p>
    <w:p>
      <w:pPr>
        <w:pStyle w:val="SourceNote"/>
      </w:pPr>
      <w:r>
        <w:rPr>
          <w:b/>
        </w:rPr>
        <w:t>Available abstract (not full text):</w:t>
      </w:r>
      <w:r>
        <w:t xml:space="preserve"> The digital world requires the implementation of new technologies and customer-driven business transformation. As the tourism sector may experience unanticipated ways of developing new technologies due to the current global health crisis, the standard travel experience could be changed. The main aim of this study was to analyze the influence of digitalization and tourists’ preferences in terms of accommodation and economic well-being implying sustainability. This paper applied a regression analysis and principal component analysis to achieve the above objective. Research exposed the fact that tourists’ preferences towards green destinations and ecological accommodation establishments, as well as Internet use in travel planning, may have a significant influence on the sustainability of tourism. This study identified behavioral models of 30 European countries from the sustainable tourism and digitalization perspective and made recommendations on economic and social policy measures to ensure the sustainable nature of tourism activity.</w:t>
      </w:r>
    </w:p>
    <w:p>
      <w:pPr/>
      <w:r>
        <w:rPr>
          <w:b/>
        </w:rPr>
        <w:t>POSSIBLE 2020:</w:t>
      </w:r>
      <w:r>
        <w:t xml:space="preserve"> Innovative Tools for Tourism and Cultural Tourism Impact Assessment — https://doi.org/10.3390/su12187470</w:t>
      </w:r>
    </w:p>
    <w:p>
      <w:pPr/>
      <w:r>
        <w:rPr>
          <w:b/>
        </w:rPr>
        <w:t>Shared claim-specific concepts:</w:t>
      </w:r>
      <w:r>
        <w:t xml:space="preserve"> real, tourism, economy; EU scope visible. This is a provisional connection, not an outcome finding.</w:t>
      </w:r>
    </w:p>
    <w:p>
      <w:pPr>
        <w:pStyle w:val="SourceNote"/>
      </w:pPr>
      <w:r>
        <w:rPr>
          <w:b/>
        </w:rPr>
        <w:t>Available abstract (not full text):</w:t>
      </w:r>
      <w:r>
        <w:t xml:space="preserve"> The importance of data and evidence has increased considerably in policy planning, implementation, and evaluation. There is unprecedented availability of open and big data, and there are rapid developments in intelligence gathering and the application of analytical tools. While cultural heritage holds many tangible and intangible values for local communities and society in general, there is a knowledge gap regarding suitable methods and data sources to measure the impacts and develop data-driven policies of cultural tourism. In the tourism sector, rapid developments are particularly taking place around novel uses of mobile positioning data, web scraping, and open application programming interface (API) data, data on sharing, and collaborative economy and passenger data. Based on feedback from 15 European cultural tourism regions, recommendations are developed regarding the use of innovative tools and data sources in tourism management. In terms of potential analytical depth, it is especially advisable to explore the use of mobile positioning data. Yet, there are considerable barriers, especially in terms of privacy protection and ethics, in using such data. User-generated big data from social media, web searches, and website visits constitute another promising data source as it is often publicly available in real time and has low usage barriers. Due to the emergence of new plat</w:t>
      </w:r>
    </w:p>
    <w:p>
      <w:pPr/>
      <w:r>
        <w:rPr>
          <w:b/>
        </w:rPr>
        <w:t>POSSIBLE 2018:</w:t>
      </w:r>
      <w:r>
        <w:t xml:space="preserve"> EUROPEAN TOURISM MANAGEMENT COMPETITIVENESS AND PECULIARITIES — https://doi.org/10.31410/tmt.2018.473</w:t>
      </w:r>
    </w:p>
    <w:p>
      <w:pPr/>
      <w:r>
        <w:rPr>
          <w:b/>
        </w:rPr>
        <w:t>Shared claim-specific concepts:</w:t>
      </w:r>
      <w:r>
        <w:t xml:space="preserve"> analyze, tourism; EU scope visible. This is a provisional connection, not an outcome finding.</w:t>
      </w:r>
    </w:p>
    <w:p>
      <w:pPr>
        <w:pStyle w:val="SourceNote"/>
      </w:pPr>
      <w:r>
        <w:rPr>
          <w:b/>
        </w:rPr>
        <w:t>Available abstract (not full text):</w:t>
      </w:r>
      <w:r>
        <w:t xml:space="preserve"> The scope of this research paper is to analyze the tourism sector and the tourism competitiveness in the frame of European Union (EU-28). The methodology of the paper is classic based on comparative analysis between EU-28 countries, using the analysis, the comparisons and the synthesis of available information.The main source of the data used is Eurostat database.The methodology of the paper is based on the data collected from numerous official, and semi-official published reports, research journals, newspaper reports, research articles, websites and works of the individual scholars : The Travel &amp; Tourism Competitiveness Report 2017 from World Economic Forum, Travel &amp; Tourism Economic Impact 2018 from World Travel &amp; Tourism Council.Finally, the paper concludes and aims recommendation and solution for tourism management in order to increase the European tourism efficiency and competitiveness facing worldwide major challenges regarding resources scarcity, climate change and world security.</w:t>
      </w:r>
    </w:p>
    <w:p>
      <w:pPr>
        <w:pStyle w:val="Heading2"/>
      </w:pPr>
      <w:r>
        <w:t>786. Decarbonizing Sweden’s energy and transportation system by 2050</w:t>
      </w:r>
    </w:p>
    <w:p>
      <w:pPr>
        <w:pStyle w:val="SourceNote"/>
      </w:pPr>
      <w:r>
        <w:rPr>
          <w:b/>
        </w:rPr>
        <w:t>Original source (2017):</w:t>
      </w:r>
      <w:r>
        <w:t xml:space="preserve"> https://doi.org/10.5278/ijsepm.2017.14.2</w:t>
      </w:r>
    </w:p>
    <w:p>
      <w:pPr/>
      <w:r>
        <w:t>Original wording (abstract; indexed_source_text_not_full_document_verified): Decarbonizing Sweden’s transportation sector is necessary to realize its long-term vision of eliminating net greenhouse gas (GHG) emissions from the energy system by 2050. Within this context, this study develops two scenarios for the transportation sector: one with high electrification (EVS) and the other with high biofuel and biomethane utilization (BIOS).</w:t>
      </w:r>
    </w:p>
    <w:p>
      <w:pPr/>
      <w:r>
        <w:rPr>
          <w:b/>
        </w:rPr>
        <w:t>POSSIBLE 2026:</w:t>
      </w:r>
      <w:r>
        <w:t xml:space="preserve"> Decarbonizing transportation with intelligent transportation systems: a systematic review of mechanisms, constraints and deployment pathways — https://doi.org/10.1016/j.apenergy.2026.128493</w:t>
      </w:r>
    </w:p>
    <w:p>
      <w:pPr/>
      <w:r>
        <w:rPr>
          <w:b/>
        </w:rPr>
        <w:t>Shared claim-specific concepts:</w:t>
      </w:r>
      <w:r>
        <w:t xml:space="preserve"> decarbonizing, transportation, net, emissions, energy, system; EU scope not established. This is a provisional connection, not an outcome finding.</w:t>
      </w:r>
    </w:p>
    <w:p>
      <w:pPr>
        <w:pStyle w:val="SourceNote"/>
      </w:pPr>
      <w:r>
        <w:rPr>
          <w:b/>
        </w:rPr>
        <w:t>Available abstract (not full text):</w:t>
      </w:r>
      <w:r>
        <w:t xml:space="preserve"> Transportation decarbonization is increasingly constrained by the diminishing returns of conventional technological measures, prompting growing interest in Intelligent Transportation Systems (ITS) as a means of improving transport efficiency and sustainability. However, prior studies and reviews have largely focused on individual technologies, localized efficiency gains, or specific application scenarios, without adequately explaining whether and through what mechanisms such gains translate into net transportation decarbonization at the system level. This omission is consequential because ITS may simultaneously reduce operational emissions, reshape travel demand, shift emissions across sectors, and generate additional energy consumption through digital infrastructure. To address this gap, this paper systematically reviews the mechanisms through which ITS influences net transportation decarbonization, the constraints on its deployment, and cross-practice variation in its low-carbon effects. Drawing on a core set of 206 English-language publications identified through database searches covering 1990–2025 in the Web of Science Core Collection and IEEE Xplore and reviewed through a PRISMA-informed process, the study identifies three pathways through which ITS contributes to decarbonization: direct technological effects, structural reconfiguration effects, and adjustment and correct</w:t>
      </w:r>
    </w:p>
    <w:p>
      <w:pPr/>
      <w:r>
        <w:rPr>
          <w:b/>
        </w:rPr>
        <w:t>POSSIBLE 2026:</w:t>
      </w:r>
      <w:r>
        <w:t xml:space="preserve"> A Review of Pricing Strategies for Decarbonizing Transportation — https://doi.org/10.7922/g2wm1bsd</w:t>
      </w:r>
    </w:p>
    <w:p>
      <w:pPr/>
      <w:r>
        <w:rPr>
          <w:b/>
        </w:rPr>
        <w:t>Shared claim-specific concepts:</w:t>
      </w:r>
      <w:r>
        <w:t xml:space="preserve"> decarbonizing, transportation, system; EU scope not established. This is a provisional connection, not an outcome finding.</w:t>
      </w:r>
    </w:p>
    <w:p>
      <w:pPr>
        <w:pStyle w:val="SourceNote"/>
      </w:pPr>
      <w:r>
        <w:rPr>
          <w:b/>
        </w:rPr>
        <w:t>Available abstract (not full text):</w:t>
      </w:r>
      <w:r>
        <w:t xml:space="preserve"> California’s ability to achieve its climate and mobility goals depends on addressing the growing gap between transportation infrastructure needs and the declining effectiveness of traditional fuel tax revenues. As electric vehicle adoption rises, fuel efficiency improves, and demands for resilient, multimodal systems expand, new approaches to transportation funding and demand management are required. This paper examines a range of mobility pricing strategies—including tolling, managed lanes, congestion charges, vehicle-based fees and feebates, distance-based user charges, and parking pricing—to evaluate their potential for enhancing financial sustainability, reducing congestion, and internalizing the environmental and social costs of driving. Particular attention is given to dynamic pricing, which can flexibly manage demand for both road and parking space, and to distance-based charges that offer a more equitable and efficient alternative to fuel taxes. The analysis highlights the importance of revenue allocation to ensure that pricingstrategies not only generate funds but also support equitable investments in sustainable mobility options. While some approaches are well established, others require pilot testing and policy innovation. Given its policy leadership and commitment to climate action, California is well positioned to advance and integrate these strategies, shaping a c</w:t>
      </w:r>
    </w:p>
    <w:p>
      <w:pPr/>
      <w:r>
        <w:rPr>
          <w:b/>
        </w:rPr>
        <w:t>POSSIBLE 2026:</w:t>
      </w:r>
      <w:r>
        <w:t xml:space="preserve"> Decarbonizing the Swedish Welfare State? A Comparative Analysis of Social-Democratic and Sweden-Democratic Climate Policy Framing between 2014 and 2024 — https://openalex.org/W7214516494</w:t>
      </w:r>
    </w:p>
    <w:p>
      <w:pPr/>
      <w:r>
        <w:rPr>
          <w:b/>
        </w:rPr>
        <w:t>Shared claim-specific concepts:</w:t>
      </w:r>
      <w:r>
        <w:t xml:space="preserve"> decarbonizing, sweden, vision; EU scope visible. This is a provisional connection, not an outcome finding.</w:t>
      </w:r>
    </w:p>
    <w:p>
      <w:pPr>
        <w:pStyle w:val="SourceNote"/>
      </w:pPr>
      <w:r>
        <w:rPr>
          <w:b/>
        </w:rPr>
        <w:t>Available abstract (not full text):</w:t>
      </w:r>
      <w:r>
        <w:t xml:space="preserve"> This study examines how climate policy is discursively constructed in Sweden through a qualitative document analysis of electoral manifestos from the Social Democratic Party (SAP) and the Sweden Democrats (SD) between 2014 and 2024. The study finds that Swedish climate policy is increasingly shaped by competing discursive frames, where the Social Democrats continue to promote a vision of EU cooperation, climate leadership, and green growth grounded in welfare-state continuity, while the Sweden Democrats gain influence by reframing climate policy as economically burdensome, socially uneven, and constrained by international agreements. This shift reflects the broader rise of the far-right in Swedish politics, which does not primarily deny climate change but instead redefines its relevance through protection of rural interests, criticism of environmental regulations, and emphasis on national sovereignty, contributing to a gradual weakening and fragmentation of ambitious climate governance. Engaging with Sweden’s welfare-state ideology, the findings suggest that climate policy has shifted from a focus on green welfare framing toward a more contested policy field, where discursive struggles over national priorities, security, and international cooperation obstruct transformative climate action.</w:t>
      </w:r>
    </w:p>
    <w:p>
      <w:pPr/>
      <w:r>
        <w:rPr>
          <w:b/>
        </w:rPr>
        <w:t>POSSIBLE 2026:</w:t>
      </w:r>
      <w:r>
        <w:t xml:space="preserve"> Decarbonization of European Industry: Modelling and Open Science (DEIMOS) — https://doi.org/10.5445/ir/1000196316</w:t>
      </w:r>
    </w:p>
    <w:p>
      <w:pPr/>
      <w:r>
        <w:rPr>
          <w:b/>
        </w:rPr>
        <w:t>Shared claim-specific concepts:</w:t>
      </w:r>
      <w:r>
        <w:t xml:space="preserve"> energy, two, electrification; EU scope visible. This is a provisional connection, not an outcome finding.</w:t>
      </w:r>
    </w:p>
    <w:p>
      <w:pPr>
        <w:pStyle w:val="SourceNote"/>
      </w:pPr>
      <w:r>
        <w:rPr>
          <w:b/>
        </w:rPr>
        <w:t>Available abstract (not full text):</w:t>
      </w:r>
      <w:r>
        <w:t xml:space="preserve"> The DEIMOS project developed and applied two complementary open-source modeling frameworks, FORECAST-Sites Extended and iSTEDS, together with openly accessible industrial datasets. These resources enable transparent and reproducible analysis of industrial decarbonization pathways across sectors, technologies, and locations. FORECAST-Sites Extended captures site-specific investment decisions, including asset vintages, reinvestment timing, technology costs, and infrastructure access, while iSTEDS assesses industrial electrification and demand-side flexibility. Applied in three case studies, the models highlighted the roles of hydrogen, carbon capture, and electrification in industrial transformation. Together, the models and datasets provide an open-science foundation for analyzing industrial transition and supporting future energy and climate policy.</w:t>
      </w:r>
    </w:p>
    <w:p>
      <w:pPr/>
      <w:r>
        <w:rPr>
          <w:b/>
        </w:rPr>
        <w:t>POSSIBLE 2026:</w:t>
      </w:r>
      <w:r>
        <w:t xml:space="preserve"> Decarbonization, Dematerialization, and Economic Gains in Circular Economy for Construction and Demolition Waste Management in Europe — https://doi.org/10.1021/acs.est.6c02401</w:t>
      </w:r>
    </w:p>
    <w:p>
      <w:pPr/>
      <w:r>
        <w:rPr>
          <w:b/>
        </w:rPr>
        <w:t>Shared claim-specific concepts:</w:t>
      </w:r>
      <w:r>
        <w:t xml:space="preserve"> realize, emissions, energy; EU scope visible. This is a provisional connection, not an outcome finding.</w:t>
      </w:r>
    </w:p>
    <w:p>
      <w:pPr>
        <w:pStyle w:val="SourceNote"/>
      </w:pPr>
      <w:r>
        <w:rPr>
          <w:b/>
        </w:rPr>
        <w:t>Available abstract (not full text):</w:t>
      </w:r>
      <w:r>
        <w:t xml:space="preserve"> Abstract Construction and demolition waste (CDW) offers opportunities for decarbonization, dematerialization, and economic gains through high-value-added circular management. Yet, most of this material is downcycled. This study assesses different CDW circularity strategies in the EU27 + 4 from 2010 to 2050. Results show that continuing current trends in waste management could reduce cumulative carbon emissions by ∼2 Gt CO2-eq, material use by ∼24 Gt, and costs by ∼€680 billion compared with virgin material use. Implementing advanced circularity measures could further reduce emissions by 38–48%, material use by 7–8%, and costs by 21%. Germany, the UK, France, and Italy contribute over 70% of these benefits due to their large building stocks. While metals represent only 6% of CDW mass, they drive up to 90% of decarbonization and economic value; minerals enable over 70% of dematerialization across all scenarios. Clean energy transitions may reduce circular economy's carbon advantage as primary production also decarbonizes. Coordinated policies integrating data, technology, incentives, and holistic targets are essential to realize systemic circularity.</w:t>
      </w:r>
    </w:p>
    <w:p>
      <w:pPr/>
      <w:r>
        <w:rPr>
          <w:b/>
        </w:rPr>
        <w:t>POSSIBLE 2026:</w:t>
      </w:r>
      <w:r>
        <w:t xml:space="preserve"> Decarbonization Pathways in the European Union: Sectoral Contributions to CO2 Emissions Reductions (2000–2022) — https://doi.org/10.3390/environments13030163</w:t>
      </w:r>
    </w:p>
    <w:p>
      <w:pPr/>
      <w:r>
        <w:rPr>
          <w:b/>
        </w:rPr>
        <w:t>Shared claim-specific concepts:</w:t>
      </w:r>
      <w:r>
        <w:t xml:space="preserve"> sector, emissions, energy; EU scope visible. This is a provisional connection, not an outcome finding.</w:t>
      </w:r>
    </w:p>
    <w:p>
      <w:pPr>
        <w:pStyle w:val="SourceNote"/>
      </w:pPr>
      <w:r>
        <w:rPr>
          <w:b/>
        </w:rPr>
        <w:t>Available abstract (not full text):</w:t>
      </w:r>
      <w:r>
        <w:t xml:space="preserve"> In the European Union, decarbonization has progressed unevenly across sectors and member states. This study examines sectoral CO2 trajectories in the EU-27 during 2000–2022 using a harmonized annual panel built primarily from the European Commission’s Energy Statistical Country Datasheets and complemented with EDGAR/JRC sectoral emissions data. The empirical strategy combines descriptive analysis with OLS, fixed-effects, log-linear, and exploratory difference-in-differences specifications to assess conditional associations among per capita CO2 emissions, the renewable energy share, GDP per capita, and the carbon price. EU-wide CO2 emissions declined by 26.4% over the study period, with the largest contraction in the energy sector, while transport emissions remained comparatively stable. Across specifications, renewable energy share is consistently associated with lower emissions, although its magnitude weakens after controlling for time-invariant country heterogeneity. Carbon price is negatively associated with emissions in the baseline and log-linear models. In contrast, the exploratory DiD interaction is not statistically informative in the main treatment specification and yields negligible effect sizes in regional split models. The sign reversal in GDP between the pooled and within-country models indicates that cross-country differences and within-country dynamics should not</w:t>
      </w:r>
    </w:p>
    <w:p>
      <w:pPr/>
      <w:r>
        <w:rPr>
          <w:b/>
        </w:rPr>
        <w:t>POSSIBLE 2025:</w:t>
      </w:r>
      <w:r>
        <w:t xml:space="preserve"> Decarbonizing road transportation: Barriers and drivers in an emerging economy context — https://doi.org/10.1016/j.trd.2025.104723</w:t>
      </w:r>
    </w:p>
    <w:p>
      <w:pPr/>
      <w:r>
        <w:rPr>
          <w:b/>
        </w:rPr>
        <w:t>Shared claim-specific concepts:</w:t>
      </w:r>
      <w:r>
        <w:t xml:space="preserve"> decarbonizing, transportation, sector, greenhouse, gas, emissions; EU scope not established. This is a provisional connection, not an outcome finding.</w:t>
      </w:r>
    </w:p>
    <w:p>
      <w:pPr>
        <w:pStyle w:val="SourceNote"/>
      </w:pPr>
      <w:r>
        <w:rPr>
          <w:b/>
        </w:rPr>
        <w:t>Available abstract (not full text):</w:t>
      </w:r>
      <w:r>
        <w:t xml:space="preserve"> The transportation sector ranks as the second-largest contributor to global greenhouse gas emissions , primarily owing to its heavy reliance on fossil fuels . Consequently, the imperative to decarbonize transportation is paramount in the pursuit of sustainable development goals . However, despite its critical importance, research on decarbonization in transportation remains significantly limited. This gap in research is particularly glaring in developing countries, where there is a notable absence of studies addressing the decarbonization challenges within the transport sector. Addressing this research gap, this study aims to investigate the barriers and drivers influencing the decarbonization of the passenger transport sector in an emerging economy context, particularly for Bangladesh. The top three barriers identified include the ’Lack of concrete transportation policy’, ’Lack of decarbonization strategy/policy’, and ’Lack of biofuel refueling station/EV charging station’. These barriers are comprehensively analyzed based on various stakeholder perspectives. In terms of categorical barriers, policy barriers and technical barriers are predominant over other barriers. Despite these challenges, there is a growing interest in decarbonizing the transportation sector, albeit with some limitations. The primary drivers to decarbonize the transport sector include ‘Profitable return on</w:t>
      </w:r>
    </w:p>
    <w:p>
      <w:pPr/>
      <w:r>
        <w:rPr>
          <w:b/>
        </w:rPr>
        <w:t>POSSIBLE 2025:</w:t>
      </w:r>
      <w:r>
        <w:t xml:space="preserve"> Decarbonizing road freight transportation: recent advances and future trends — https://doi.org/10.1080/01605682.2024.2446655</w:t>
      </w:r>
    </w:p>
    <w:p>
      <w:pPr/>
      <w:r>
        <w:rPr>
          <w:b/>
        </w:rPr>
        <w:t>Shared claim-specific concepts:</w:t>
      </w:r>
      <w:r>
        <w:t xml:space="preserve"> decarbonizing, transportation, energy; EU scope not established. This is a provisional connection, not an outcome finding.</w:t>
      </w:r>
    </w:p>
    <w:p>
      <w:pPr>
        <w:pStyle w:val="SourceNote"/>
      </w:pPr>
      <w:r>
        <w:rPr>
          <w:b/>
        </w:rPr>
        <w:t>Available abstract (not full text):</w:t>
      </w:r>
      <w:r>
        <w:t xml:space="preserve"> This is a survey of decarbonization for road freight transportation. It offers a focused overview of planning models and presents a narrative that contextualizes the journey and evolution of decarbonization efforts. It first reports on recent advances in the field under the classification of operational tactical and strategic planning. It then identifies future trends in the areas of technology, infrastructure, market, behaviour, energy and regulations. The paper closes with a discussion on emerging models and presents a methodological outlook.</w:t>
      </w:r>
    </w:p>
    <w:p>
      <w:pPr/>
      <w:r>
        <w:rPr>
          <w:b/>
        </w:rPr>
        <w:t>POSSIBLE 2025:</w:t>
      </w:r>
      <w:r>
        <w:t xml:space="preserve"> The legal development of ENTSO-E as a tool for energy security and decarbonization of the European Union — https://doi.org/10.24144/2307-3322.2025.90.5.25</w:t>
      </w:r>
    </w:p>
    <w:p>
      <w:pPr/>
      <w:r>
        <w:rPr>
          <w:b/>
        </w:rPr>
        <w:t>Shared claim-specific concepts:</w:t>
      </w:r>
      <w:r>
        <w:t xml:space="preserve"> realize, vision, energy, system, within; EU scope visible. This is a provisional connection, not an outcome finding.</w:t>
      </w:r>
    </w:p>
    <w:p>
      <w:pPr>
        <w:pStyle w:val="SourceNote"/>
      </w:pPr>
      <w:r>
        <w:rPr>
          <w:b/>
        </w:rPr>
        <w:t>Available abstract (not full text):</w:t>
      </w:r>
      <w:r>
        <w:t xml:space="preserve"> The article examines the institutional and legal evolution of the European Network of Transmission System Operators for Electricity (ENTSO-E) within the broader framework of the European Union’s climate policy and its strategic vision of a climate-neutral Europe by 2050. It explores how key legislative instruments – including Regulation (EU) 2019/943, Directive (EU) 2019/944, the network codes, and the Third Energy Package – have progressively transformed ENTSO-E from a primarily technical coordination platform into a central institutional actor in the EU’s green energy transition. Particular attention is paid to the legal framework that governs the integration of renewable energy sources into the grid, the phase-out of fossil fuel-based generation, the development of advanced balancing mechanisms, and the expansion of regional coordination centers (RCCs). These developments reflect the EU’s commitment to a decarbonized, interconnected, and resilient energy system. The article further examines the impact of the legal principle of unbundling, which aims to ensure non-discriminatory access to energy networks and promote competitive electricity markets. In addition, the study addresses the external and geopolitical dimension of ENTSO-E’s role, notably the emergency synchronization of Ukraine and Moldova with the Continental European electricity grid in March 2022. This synchroniza</w:t>
      </w:r>
    </w:p>
    <w:p>
      <w:pPr/>
      <w:r>
        <w:rPr>
          <w:b/>
        </w:rPr>
        <w:t>POSSIBLE 2025:</w:t>
      </w:r>
      <w:r>
        <w:t xml:space="preserve"> Renewable Energy, Sustainable Business Models, and Decarbonization in the European Union: Comparative Analysis of Corporate Sustainability Reports — https://doi.org/10.3390/su17083646</w:t>
      </w:r>
    </w:p>
    <w:p>
      <w:pPr/>
      <w:r>
        <w:rPr>
          <w:b/>
        </w:rPr>
        <w:t>Shared claim-specific concepts:</w:t>
      </w:r>
      <w:r>
        <w:t xml:space="preserve"> sector, net, greenhouse, gas, emissions, energy; EU scope visible. This is a provisional connection, not an outcome finding.</w:t>
      </w:r>
    </w:p>
    <w:p>
      <w:pPr>
        <w:pStyle w:val="SourceNote"/>
      </w:pPr>
      <w:r>
        <w:rPr>
          <w:b/>
        </w:rPr>
        <w:t>Available abstract (not full text):</w:t>
      </w:r>
      <w:r>
        <w:t xml:space="preserve"> The purpose of this article is to investigate the development of sustainable business models (SBMs) of renewable energy companies. To assess the degree of alignment with the European Union Taxonomy for sustainable activities (Regulation 2020/852), the European Green Deal, and the Sustainable Development Goals of five renewable energy companies—Ørsted, Engie, Vattenfall, Iberdrola, and Enel—we have used their sustainability reports from 2023. We have analyzed how each company contributes to the EU climate targets and strategy to achieve a 55% reduction in greenhouse gas emissions by 2030 and net zero by 2050. The results showed the challenges faced by each company in switching from traditional fossil fuel models to renewable models. Due to regulatory constraints and different organizational structures, each company has adopted a specific SBM with respect to power generation and the green transition. The advantages and disadvantages of these SBMs were identified and described comparatively to help regulators, policymakers, and industry associations improve sustainability reporting for the energy sector.</w:t>
      </w:r>
    </w:p>
    <w:p>
      <w:pPr/>
      <w:r>
        <w:rPr>
          <w:b/>
        </w:rPr>
        <w:t>POSSIBLE 2025:</w:t>
      </w:r>
      <w:r>
        <w:t xml:space="preserve"> Decarbonizing Transportation: Cross-Country Evidence on Electric Vehicle Sales and Carbon Dioxide Emissions — https://doi.org/10.3390/wevj16120660</w:t>
      </w:r>
    </w:p>
    <w:p>
      <w:pPr/>
      <w:r>
        <w:rPr>
          <w:b/>
        </w:rPr>
        <w:t>Shared claim-specific concepts:</w:t>
      </w:r>
      <w:r>
        <w:t xml:space="preserve"> decarbonizing, transportation, long-term, greenhouse, gas, emissions; EU scope not established. This is a provisional connection, not an outcome finding.</w:t>
      </w:r>
    </w:p>
    <w:p>
      <w:pPr>
        <w:pStyle w:val="SourceNote"/>
      </w:pPr>
      <w:r>
        <w:rPr>
          <w:b/>
        </w:rPr>
        <w:t>Available abstract (not full text):</w:t>
      </w:r>
      <w:r>
        <w:t xml:space="preserve"> The increasing atmospheric carbon dioxide (CO2) emissions are widely recognized as the primary driving force behind the phenomenon of global warming. Considering environmental concerns and the depletion of fossil fuel reserves, the use of electric vehicles (EVs) in transportation has emerged as one of the most promising technological alternatives to conventional gasoline-powered cars. Compared to their gasoline counterparts, EVs significantly reduce the costs associated with air pollution and mitigate adverse effects on human health. Owing to these characteristics, EVs have become one of the key components of the transition toward a sustainable future, while also steering the transformation of the global automotive industry. This transition is reshaping the structure of the global automobile industry. Many countries aim to achieve their greenhouse gas reduction targets by promoting the adoption of EVs. This study aims to empirically examine the effects of electric vehicles on CO2 emissions in 15 high-income countries during the period 2010–2023, highlighting both short- and long-term environmental impacts. The analysis also considers economic and socio-demographic variables such as gross domestic product (GDP), urbanization, and fossil fuel consumption. The findings indicate that the share of EVs significantly reduces CO2 emissions, whereas sales have a short-term increasing ef</w:t>
      </w:r>
    </w:p>
    <w:p>
      <w:pPr/>
      <w:r>
        <w:rPr>
          <w:b/>
        </w:rPr>
        <w:t>POSSIBLE 2024:</w:t>
      </w:r>
      <w:r>
        <w:t xml:space="preserve"> DECARBONIZING FREIGHT TRANSPORTATION IN BRAZIL: METHODOLOGIES, RESULTS AND PRACTICAL IMPLICATIONS — https://doi.org/10.26668/businessreview/2024.v9i10.4667</w:t>
      </w:r>
    </w:p>
    <w:p>
      <w:pPr/>
      <w:r>
        <w:rPr>
          <w:b/>
        </w:rPr>
        <w:t>Shared claim-specific concepts:</w:t>
      </w:r>
      <w:r>
        <w:t xml:space="preserve"> decarbonizing, transportation, ghg, emissions, two; EU scope not established. This is a provisional connection, not an outcome finding.</w:t>
      </w:r>
    </w:p>
    <w:p>
      <w:pPr>
        <w:pStyle w:val="SourceNote"/>
      </w:pPr>
      <w:r>
        <w:rPr>
          <w:b/>
        </w:rPr>
        <w:t>Available abstract (not full text):</w:t>
      </w:r>
      <w:r>
        <w:t xml:space="preserve"> Objective: The objective of this technological article is to present a practical tool for calculating CO2 emissions based on fuel consumption applied in a small road freight transport company. Theoretical Framework: There are 4 methods available in the literature for calculating CO2 emissions produced during cargo transport, which stand out for their applicability: (1) GHG Procol; (2) MNT; (3) DEFRA; and (4) GLEC. The authors (Leonardi &amp; Baumgartner, 2004; Lewis et al., 2016) have methodologies for calculating emissions from freight transport, which currently present significant variability in the approaches and databases recommended. The main methodologies in this area are based on two main foundations: (1) fuel-based methodologies; (2) activity-based methodologies. Method: The calculation methodology used is based on fuel consumption (bottom-up), which considered the characteristics of the target fleet, the number of vehicles and their technological phase, the actual intensity of fleet use in operation, and real fuel consumption. Results and Discussion: From this initial information, it was possible to obtain the volume of CO2 emissions specific to the fleet, considering vehicles using regular diesel and biodiesel (S10). The results indicated a fleet CO2 emission of 1,643 tons per year with the use of biodiesel (S10), representing a 10.5% reduction compared to the total CO2 e</w:t>
      </w:r>
    </w:p>
    <w:p>
      <w:pPr>
        <w:pStyle w:val="Heading2"/>
      </w:pPr>
      <w:r>
        <w:t>787. Development and transport implications of automated vehicles in the Netherlands: scenarios for 2030 and 2050</w:t>
      </w:r>
    </w:p>
    <w:p>
      <w:pPr>
        <w:pStyle w:val="SourceNote"/>
      </w:pPr>
      <w:r>
        <w:rPr>
          <w:b/>
        </w:rPr>
        <w:t>Original source (2017):</w:t>
      </w:r>
      <w:r>
        <w:t xml:space="preserve"> https://doi.org/10.18757/ejtir.2017.17.1.3180</w:t>
      </w:r>
    </w:p>
    <w:p>
      <w:pPr/>
      <w:r>
        <w:t>Original wording (abstract; indexed_source_text_not_full_document_verified): Penetration rates are expected to vary among different scenarios between 1% and 11% (mainly conditionally automated vehicles) in 2030 and between 7% and 61% (mainly fully automated vehicles) in 2050. This study uses scenario analysis to identify plausible future development paths of automated vehicles in the Netherlands and to estimate potential implications for traffic, travel behaviour and transport planning on a time horizon up to 2030 and 2050.</w:t>
      </w:r>
    </w:p>
    <w:p>
      <w:pPr/>
      <w:r>
        <w:rPr>
          <w:b/>
        </w:rPr>
        <w:t>POSSIBLE 2026:</w:t>
      </w:r>
      <w:r>
        <w:t xml:space="preserve"> Electric Vehicle Fleet Penetration and Air Pollution Mortality in Europe — https://doi.org/10.32388/vkflrm</w:t>
      </w:r>
    </w:p>
    <w:p>
      <w:pPr/>
      <w:r>
        <w:rPr>
          <w:b/>
        </w:rPr>
        <w:t>Shared claim-specific concepts:</w:t>
      </w:r>
      <w:r>
        <w:t xml:space="preserve"> penetration, rates, expected, between, vehicles; EU scope visible. This is a provisional connection, not an outcome finding.</w:t>
      </w:r>
    </w:p>
    <w:p>
      <w:pPr>
        <w:pStyle w:val="SourceNote"/>
      </w:pPr>
      <w:r>
        <w:rPr>
          <w:b/>
        </w:rPr>
        <w:t>Available abstract (not full text):</w:t>
      </w:r>
      <w:r>
        <w:t xml:space="preserve"> The transition to electric vehicles is widely promoted as contributing to the reduction of urban air pollution and climate change. This study examines the correlation between electric vehicle fleet penetration and premature deaths from air pollution (PM2.5 exposure) across 28 European countries. Using 2023-2024 data on actual vehicle fleet composition (not sales), we find a statistically significant negative correlation (r = -0.465, p = 0.013). Nordic countries show high EV penetration (Norway 28%, Denmark 12.1%) with low mortality rates (6.6 and 18.3 deaths per 100,000 respectively), while Eastern European countries exhibit &lt;1% EV penetration with 70-145 deaths per 100,000. This result was expected for several reasons, the main one being that car exhaust is a major factor in air pollution in urban areas, but not the only one. In addition, geographic and meteorological factors dominate pollution patterns, while many countries bundle vehicle electrification with comprehensive policies addressing all emission sources. These findings, however, prove that electric vehicles have a positive effect on air quality and reduce mortality. The replacement of internal combustion engine vehicles with electric ones must proceed as fast as possible in order to reduce pollution-related mortality, but it must be coupled with other pollution abatement measures.</w:t>
      </w:r>
    </w:p>
    <w:p>
      <w:pPr/>
      <w:r>
        <w:rPr>
          <w:b/>
        </w:rPr>
        <w:t>POSSIBLE 2026:</w:t>
      </w:r>
      <w:r>
        <w:t xml:space="preserve"> Electric Vehicle Fleet Penetration and Air Pollution Mortality in Europe — https://doi.org/10.32388/vkflrm.2</w:t>
      </w:r>
    </w:p>
    <w:p>
      <w:pPr/>
      <w:r>
        <w:rPr>
          <w:b/>
        </w:rPr>
        <w:t>Shared claim-specific concepts:</w:t>
      </w:r>
      <w:r>
        <w:t xml:space="preserve"> penetration, rates, expected, between, vehicles; EU scope visible. This is a provisional connection, not an outcome finding.</w:t>
      </w:r>
    </w:p>
    <w:p>
      <w:pPr>
        <w:pStyle w:val="SourceNote"/>
      </w:pPr>
      <w:r>
        <w:rPr>
          <w:b/>
        </w:rPr>
        <w:t>Available abstract (not full text):</w:t>
      </w:r>
      <w:r>
        <w:t xml:space="preserve"> The transition to electric vehicles is widely promoted as contributing to the reduction of urban air pollution and climate change. This study examines the correlation between electric vehicle fleet penetration and premature deaths from air pollution (PM2.5 exposure) across 28 European countries. Using 2023-2024 data on actual vehicle fleet composition, we find a statistically significant negative correlation (r = -0.465, p = 0.013). Nordic countries show high EV penetration (Norway 28%, Denmark 12.1%) with low mortality rates (6.6 and 18.3 deaths per 100,000 respectively), while Eastern European countries exhibit &lt;1% EV penetration with 70-145 deaths per 100,000. This result was expected for several reasons, the main one being that car exhaust is a major factor in air pollution in urban areas. These findings are consistent with the hypothesis that higher electric vehicle fleet penetration is associated with lower air pollution mortality, even though there are other factors that influence the trend.</w:t>
      </w:r>
    </w:p>
    <w:p>
      <w:pPr/>
      <w:r>
        <w:rPr>
          <w:b/>
        </w:rPr>
        <w:t>POSSIBLE 2025:</w:t>
      </w:r>
      <w:r>
        <w:t xml:space="preserve"> Effect of Different Sealer Placement and Activation Techniques on Sealer Penetration Depth and Penetration Area — https://doi.org/10.1002/jemt.70007</w:t>
      </w:r>
    </w:p>
    <w:p>
      <w:pPr/>
      <w:r>
        <w:rPr>
          <w:b/>
        </w:rPr>
        <w:t>Shared claim-specific concepts:</w:t>
      </w:r>
      <w:r>
        <w:t xml:space="preserve"> penetration, different, between; EU scope not established. This is a provisional connection, not an outcome finding.</w:t>
      </w:r>
    </w:p>
    <w:p>
      <w:pPr>
        <w:pStyle w:val="SourceNote"/>
      </w:pPr>
      <w:r>
        <w:rPr>
          <w:b/>
        </w:rPr>
        <w:t>Available abstract (not full text):</w:t>
      </w:r>
      <w:r>
        <w:t xml:space="preserve"> This study evaluated the effect of different activation methods (no activation, sonic, ultrasonic, and XP-Endo Finisher) on the penetration depth and area of AH Plus and MTA Fillapex sealers. Two hundred single-rooted teeth were prepared and randomly divided into eight groups (n = 25). Sealers stained with rhodamine B were inserted and activated as follows: Group 1 (control, no activation, G1A, G1M), Group 2 (sonic: G2A, G2M), Group 3 (ultrasonic: G3A, G3M), and Group 4 (XP-Endo Finisher: G4A, G4M). The single cone technique was used for filling, and specimens were sectioned perpendicularly. Confocal laser scanning microscopy (CLSM) measured penetration depth, while penetration area was calculated as the sealer's penetration relative to the canal area. Two-way ANOVA was used for statistical analysis. Ultrasonic and XP-Endo Finisher activation significantly increased the penetration depth of MTA Fillapex compared to the control group (p &lt; 0.05), while no significant difference was found for AH Plus (p &gt; 0.05). MTA Fillapex also demonstrated a significantly greater penetration area than AH Plus when ultrasonic and XP-Endo Finisher activation were applied (p &lt; 0.05). No significant differences were observed between sealers in the control and sonic groups (p &gt; 0.05). Activation methods did not significantly affect the penetration area of AH Plus (p &gt; 0.05). XP-Endo Finisher and ult</w:t>
      </w:r>
    </w:p>
    <w:p>
      <w:pPr/>
      <w:r>
        <w:rPr>
          <w:b/>
        </w:rPr>
        <w:t>POSSIBLE 2025:</w:t>
      </w:r>
      <w:r>
        <w:t xml:space="preserve"> Impact of ADAS and V2X Penetration Rates on Cooperative Active Safety — https://doi.org/10.1109/fnwf66845.2025.11317364</w:t>
      </w:r>
    </w:p>
    <w:p>
      <w:pPr/>
      <w:r>
        <w:rPr>
          <w:b/>
        </w:rPr>
        <w:t>Shared claim-specific concepts:</w:t>
      </w:r>
      <w:r>
        <w:t xml:space="preserve"> penetration, rates, automated, vehicles, traffic; EU scope not established. This is a provisional connection, not an outcome finding.</w:t>
      </w:r>
    </w:p>
    <w:p>
      <w:pPr>
        <w:pStyle w:val="SourceNote"/>
      </w:pPr>
      <w:r>
        <w:rPr>
          <w:b/>
        </w:rPr>
        <w:t>Available abstract (not full text):</w:t>
      </w:r>
      <w:r>
        <w:t xml:space="preserve"> A major driver of connected and automated driving is cooperative active safety. The effectiveness of cooperative safety applications depends on the ability of vehicles to detect traffic safety risks in advance. Such risks can be identified either through ADAS (Advanced Driving Assistance Systems) or via V2X (Vehicle to Everything) communications. More vehicles are gradually being deployed with ADAS, but ADAS sensors can be limited by their sensing range and field of view. On the other hand, V2X can experience communication ranges beyond the ADAS sensing range, but its impact is highly dependent on the V2X penetration rate. This paper analyzes the impact of ADAS and V2X penetration rates on the effectiveness of cooperative active safety applications considering an emergency braking maneuver use case in a highway scenario. Results show that while ADAS and V2X each enhance traffic safety, their combined deployment further amplifies these gains, with the effect becoming more pronounced as V2X is deployed more rapidly.</w:t>
      </w:r>
    </w:p>
    <w:p>
      <w:pPr/>
      <w:r>
        <w:rPr>
          <w:b/>
        </w:rPr>
        <w:t>POSSIBLE 2025:</w:t>
      </w:r>
      <w:r>
        <w:t xml:space="preserve"> DEVELOPMENT EMPIRICAL MODELS FOR ESTIMATING TBM PENETRATION RATE IN ROCK MASS — https://openalex.org/W7197569428</w:t>
      </w:r>
    </w:p>
    <w:p>
      <w:pPr/>
      <w:r>
        <w:rPr>
          <w:b/>
        </w:rPr>
        <w:t>Shared claim-specific concepts:</w:t>
      </w:r>
      <w:r>
        <w:t xml:space="preserve"> penetration, rates, between, estimate; EU scope not established. This is a provisional connection, not an outcome finding.</w:t>
      </w:r>
    </w:p>
    <w:p>
      <w:pPr>
        <w:pStyle w:val="SourceNote"/>
      </w:pPr>
      <w:r>
        <w:rPr>
          <w:b/>
        </w:rPr>
        <w:t>Available abstract (not full text):</w:t>
      </w:r>
      <w:r>
        <w:t xml:space="preserve"> Estimating the Rate of Penetration (ROP) of Tunnel Boring Machines (TBMs) is crucial in rock excavation and boreability, as it serves as a key input for scheduling and executing tunneling projects. Despite advancements in tunneling technologies, achieving a reliable ROP estimate remains challenging. In present one of the difficult tasks is to quantifying the properties of rock discontinuities to be use as input for the TBM performance models. Another issue is that utilizing the combination of intact rock, rock mass properties and TBM specification into the TBM performance prediction models. This thesis aims to develop several empirical models using intact rock, rock mass, disc cutter and TBM specifications for predicting TBM penetration rates in hard rock conditions. In order to achieve this goal, extensive field and laboratory tests were conducted across six TBM projects, including the Queens Water Tunnel (USA), Manapouri hydropower tunnel (New Zealand), Miryang dam tunnel (South Korea), and three Iranian water tunnels (Karaj, Zagros and Ghomrood), resulting in a database of more than 550 cases. Each case consists of the intact rock, rock mass properties and TBM field parameters. The collected data underwent preprocessing and analysis. The raw data were thoroughly examined with the literature to ensure the research output was valuable and acceptable. Common TBM performance mod</w:t>
      </w:r>
    </w:p>
    <w:p>
      <w:pPr/>
      <w:r>
        <w:rPr>
          <w:b/>
        </w:rPr>
        <w:t>POSSIBLE 2024:</w:t>
      </w:r>
      <w:r>
        <w:t xml:space="preserve"> Future electricity demand for Europe: Unraveling the dynamics of the Temperature Response Function — https://doi.org/10.1016/j.apenergy.2024.123387</w:t>
      </w:r>
    </w:p>
    <w:p>
      <w:pPr/>
      <w:r>
        <w:rPr>
          <w:b/>
        </w:rPr>
        <w:t>Shared claim-specific concepts:</w:t>
      </w:r>
      <w:r>
        <w:t xml:space="preserve"> penetration, rates, expected; EU scope visible. This is a provisional connection, not an outcome finding.</w:t>
      </w:r>
    </w:p>
    <w:p>
      <w:pPr>
        <w:pStyle w:val="SourceNote"/>
      </w:pPr>
      <w:r>
        <w:rPr>
          <w:b/>
        </w:rPr>
        <w:t>Available abstract (not full text):</w:t>
      </w:r>
      <w:r>
        <w:t xml:space="preserve"> Electricity demand is a crucial factor in energy system planning. Understanding future electricity demand is vital for developing effective energy and climate policies, as well as establishing a resilient and sustainable energy system. In light of these considerations, the escalating challenges posed by climate change are anticipated to have a substantial impact on electricity demand. This study, therefore, provides a comprehensive analysis delving into the dynamic nature of Temperature Response Functions (TRFs) of electricity demand across Europe. By examining various factors influencing electricity demand in residential buildings, such as thermal insulation, heating electrification, space cooling, and passive cooling, we aim to understand their collective impact on shaping future TRFs. To project electricity demand, our study incorporates these factors into our scenario assumptions. Through a comprehensive investigation of these scenarios, our findings reveal distinctive regional influences of these factors. In regions where heating demand prevails, an initial increase in electricity demand is anticipated due to increased electrification rates. However, improved building thermal insulation is expected to substantially reduce winter electricity demand in the long run. Conversely, in regions with pronounced cooling demand, a notable escalation in electricity demand is foreseen </w:t>
      </w:r>
    </w:p>
    <w:p>
      <w:pPr/>
      <w:r>
        <w:rPr>
          <w:b/>
        </w:rPr>
        <w:t>POSSIBLE 2024:</w:t>
      </w:r>
      <w:r>
        <w:t xml:space="preserve"> Multi-V2X: A Large Scale Multi-modal Multi-penetration-rate Dataset for Cooperative Perception — https://doi.org/10.48550/arxiv.2409.04980</w:t>
      </w:r>
    </w:p>
    <w:p>
      <w:pPr/>
      <w:r>
        <w:rPr>
          <w:b/>
        </w:rPr>
        <w:t>Shared claim-specific concepts:</w:t>
      </w:r>
      <w:r>
        <w:t xml:space="preserve"> penetration, rates, vehicles, potential; EU scope not established. This is a provisional connection, not an outcome finding.</w:t>
      </w:r>
    </w:p>
    <w:p>
      <w:pPr>
        <w:pStyle w:val="SourceNote"/>
      </w:pPr>
      <w:r>
        <w:rPr>
          <w:b/>
        </w:rPr>
        <w:t>Available abstract (not full text):</w:t>
      </w:r>
      <w:r>
        <w:t xml:space="preserve"> Cooperative perception through vehicle-to-everything (V2X) has garnered significant attention in recent years due to its potential to overcome occlusions and enhance long-distance perception. Great achievements have been made in both datasets and algorithms. However, existing real-world datasets are limited by the presence of few communicable agents, while synthetic datasets typically cover only vehicles. More importantly, the penetration rate of connected and autonomous vehicles (CAVs) , a critical factor for the deployment of cooperative perception technologies, has not been adequately addressed. To tackle these issues, we introduce Multi-V2X, a large-scale, multi-modal, multi-penetration-rate dataset for V2X perception. By co-simulating SUMO and CARLA, we equip a substantial number of cars and roadside units (RSUs) in simulated towns with sensor suites, and collect comprehensive sensing data. Datasets with specified CAV penetration rates can be obtained by masking some equipped cars as normal vehicles. In total, our Multi-V2X dataset comprises 549k RGB frames, 146k LiDAR frames, and 4,219k annotated 3D bounding boxes across six categories. The highest possible CAV penetration rate reaches 86.21%, with up to 31 agents in communication range, posing new challenges in selecting agents to collaborate with. We provide comprehensive benchmarks for cooperative 3D object detection t</w:t>
      </w:r>
    </w:p>
    <w:p>
      <w:pPr/>
      <w:r>
        <w:rPr>
          <w:b/>
        </w:rPr>
        <w:t>POSSIBLE 2024:</w:t>
      </w:r>
      <w:r>
        <w:t xml:space="preserve"> Socioeconomic Burden of Pulmonary Embolism in Europe: Shifting Priorities and Challenges for Novel Reperfusion Strategies — https://doi.org/10.1055/a-2505-8711</w:t>
      </w:r>
    </w:p>
    <w:p>
      <w:pPr/>
      <w:r>
        <w:rPr>
          <w:b/>
        </w:rPr>
        <w:t>Shared claim-specific concepts:</w:t>
      </w:r>
      <w:r>
        <w:t xml:space="preserve"> penetration, rates, among, different, potential; EU scope visible. This is a provisional connection, not an outcome finding.</w:t>
      </w:r>
    </w:p>
    <w:p>
      <w:pPr>
        <w:pStyle w:val="SourceNote"/>
      </w:pPr>
      <w:r>
        <w:rPr>
          <w:b/>
        </w:rPr>
        <w:t>Available abstract (not full text):</w:t>
      </w:r>
      <w:r>
        <w:t xml:space="preserve"> In-hospital case fatality related to acute pulmonary embolism (PE) has been falling since the beginning of this century. However, annual incidence rates continue to climb, and an increasing number of PE survivors need long-term follow-up, chronic anticoagulation treatment, and readmission(s) to the hospital. In European countries, median reimbursed hospital costs for acute PE are still moderate compared with the United States but can increase several-fold in patients with comorbidities and those necessitating potentially life-saving reperfusion treatment. The use of catheter-directed treatment (CDT) has constantly increased in the United States since the past decade, and it has now entered a rapid growth phase in Europe as well, estimated to reach an annual penetration rate of up to 31% among patients with intermediate-high- or high-risk PE by 2030. Ongoing randomised controlled trials are currently investigating the clinical efficacy and safety of these devices. In addition, they will deliver data permitting calculation of their cost-effectiveness in different health care reimbursement systems, by revealing the extent to which they can reduce complications and consequently the need for intensive care and the overall length of hospital stay. After discharge, key cost drivers are related to chronic cardiopulmonary diseases (other than PE itself) leading to frequent readmissions,</w:t>
      </w:r>
    </w:p>
    <w:p>
      <w:pPr/>
      <w:r>
        <w:rPr>
          <w:b/>
        </w:rPr>
        <w:t>POSSIBLE 2024:</w:t>
      </w:r>
      <w:r>
        <w:t xml:space="preserve"> A Survey on Penetration Path Planning in Automated Penetration Testing — https://doi.org/10.3390/app14188355</w:t>
      </w:r>
    </w:p>
    <w:p>
      <w:pPr/>
      <w:r>
        <w:rPr>
          <w:b/>
        </w:rPr>
        <w:t>Shared claim-specific concepts:</w:t>
      </w:r>
      <w:r>
        <w:t xml:space="preserve"> penetration, automated, identify, paths; EU scope not established. This is a provisional connection, not an outcome finding.</w:t>
      </w:r>
    </w:p>
    <w:p>
      <w:pPr>
        <w:pStyle w:val="SourceNote"/>
      </w:pPr>
      <w:r>
        <w:rPr>
          <w:b/>
        </w:rPr>
        <w:t>Available abstract (not full text):</w:t>
      </w:r>
      <w:r>
        <w:t xml:space="preserve"> Penetration Testing (PT) is an effective proactive security technique that simulates hacker attacks to identify vulnerabilities in networks or systems. However, traditional PT relies on specialized experience and costs extraordinary time and effort. With the advancement of artificial intelligence technologies, automated PT has emerged as a promising solution, attracting attention from researchers increasingly. In automated PT, penetration path planning is a core task that involves selecting the optimal attack paths to maximize the overall efficiency and success rate of the testing process. Recent years have seen significant progress in the field of penetration path planning, with diverse methods being proposed. This survey aims to comprehensively examine and summarize the research findings in this domain. Our work first outlines the background and challenges of penetration path planning and establishes the framework for research methods. It then provides a detailed analysis of existing studies from three key aspects: penetration path planning models, penetration path planning methods, and simulation environments. Finally, this survey offers insights into the future development trends of penetration path planning in PT. This paper aims to provide comprehensive references for academia and industry, promoting further research and application of automated PT path planning methods.</w:t>
      </w:r>
    </w:p>
    <w:p>
      <w:pPr/>
      <w:r>
        <w:rPr>
          <w:b/>
        </w:rPr>
        <w:t>POSSIBLE 2024:</w:t>
      </w:r>
      <w:r>
        <w:t xml:space="preserve"> The effect of temperature on birth rates in Europe — https://doi.org/10.1007/s11111-024-00450-x</w:t>
      </w:r>
    </w:p>
    <w:p>
      <w:pPr/>
      <w:r>
        <w:rPr>
          <w:b/>
        </w:rPr>
        <w:t>Shared claim-specific concepts:</w:t>
      </w:r>
      <w:r>
        <w:t xml:space="preserve"> rates, expected, between; EU scope visible. This is a provisional connection, not an outcome finding.</w:t>
      </w:r>
    </w:p>
    <w:p>
      <w:pPr>
        <w:pStyle w:val="SourceNote"/>
      </w:pPr>
      <w:r>
        <w:rPr>
          <w:b/>
        </w:rPr>
        <w:t>Available abstract (not full text):</w:t>
      </w:r>
      <w:r>
        <w:t xml:space="preserve"> Abstract Using data from 32 European countries for nearly 244 million live births between 1969 and 2021, this paper examines the effects of temperatures on birth rates. The results show that exposure to hot days slightly reduces birth rates five to eight months later, while much stronger negative effects are observed nine to ten months after exposure to hot temperatures. Thereafter, a partial recovery is observed, with slightly increased birth rates. This study also shows that the effect of high-humidity hot days is much stronger than that of hot days with low humidity. Besides, the effect of heatwave days has been found to be more severe than that of hot days that are not preceded by other hot days. This study finds that some adaptation to heat might be expected only in the long run.</w:t>
      </w:r>
    </w:p>
    <w:p>
      <w:pPr/>
      <w:r>
        <w:rPr>
          <w:b/>
        </w:rPr>
        <w:t>POSSIBLE 2023:</w:t>
      </w:r>
      <w:r>
        <w:t xml:space="preserve"> Investigation into Factors Affecting Penetration Rate and Favorable Ground Types of Pipe Jacking — https://doi.org/10.2174/18748368-v17-2305300-2022-24</w:t>
      </w:r>
    </w:p>
    <w:p>
      <w:pPr/>
      <w:r>
        <w:rPr>
          <w:b/>
        </w:rPr>
        <w:t>Shared claim-specific concepts:</w:t>
      </w:r>
      <w:r>
        <w:t xml:space="preserve"> penetration, among, identify; EU scope not established. This is a provisional connection, not an outcome finding.</w:t>
      </w:r>
    </w:p>
    <w:p>
      <w:pPr>
        <w:pStyle w:val="SourceNote"/>
      </w:pPr>
      <w:r>
        <w:rPr>
          <w:b/>
        </w:rPr>
        <w:t>Available abstract (not full text):</w:t>
      </w:r>
      <w:r>
        <w:t xml:space="preserve"> Introduction: Improper assessment of the penetration rate (PR) of pipe jacking (PJ) may lead to serious schedule delays and cost overruns. In the current practice, PR is estimated on the basis of the experience of practitioners. This has resulted in predicted PR values that are not consistent with the actual ones. A guideline that can be used to reliably predict PR and account for the effects of the significantly controlling factors is not available. This negatively affects the estimated project time and cost. The problems stem from the many factors that affect PR such as the ground conditions, installation depth, machine type, operator experience, and pipe diameter. Little research has been made in this regard. So this research will focus on two main objectives; the first is to identify, categorize and rank the factors that affect PR, and the second is to investigate the common types of ground and PJ machines in Egypt and the Middle East to determine the favorable ground types for PJ machines. Methods: To determine the factors that affect the PR of PJ and their relative importance, interviews were made with 17 PJ experts in Egypt. Then, a questionnaire was sent to 149 PJ experts in Egypt and the Middle East. The obtained responses were analyzed and the relative importance of all factors was determined. Based on the interviews with experts and the questionnaire survey, the favo</w:t>
      </w:r>
    </w:p>
    <w:p>
      <w:pPr/>
      <w:r>
        <w:rPr>
          <w:b/>
        </w:rPr>
        <w:t>POSSIBLE 2023:</w:t>
      </w:r>
      <w:r>
        <w:t xml:space="preserve"> Evaluation of macroscopic fundamental diagram characteristics for a quantified penetration rate of autonomous vehicles — https://doi.org/10.1186/s12544-023-00579-0</w:t>
      </w:r>
    </w:p>
    <w:p>
      <w:pPr/>
      <w:r>
        <w:rPr>
          <w:b/>
        </w:rPr>
        <w:t>Shared claim-specific concepts:</w:t>
      </w:r>
      <w:r>
        <w:t xml:space="preserve"> penetration, rates, vehicles, traffic, travel, behaviour; EU scope not established. This is a provisional connection, not an outcome finding.</w:t>
      </w:r>
    </w:p>
    <w:p>
      <w:pPr>
        <w:pStyle w:val="SourceNote"/>
      </w:pPr>
      <w:r>
        <w:rPr>
          <w:b/>
        </w:rPr>
        <w:t>Available abstract (not full text):</w:t>
      </w:r>
      <w:r>
        <w:t xml:space="preserve"> Abstract Background The availability of private vehicles with autonomous features is widespread nowadays. Various car manufacturers are providing attributes like collision warning, city automatic emergency braking, adaptive cruise control, pedestrian detection, lane-keeping assistance and lane departure warning, rear cross-traffic and blind-spot warning in their high-end models. Purpose Such features can automatically manage the macroscopic fundamental traffic parameters such as speed, headway, etc adaptively. Consequently leading to a heterogeneous traffic stream with diverse car-following behaviour comprising completely manual/traditional (TVs) and autonomous vehicles (AVs). This questions the applicability of classic traffic flow theory relationships on such heterogeneous traffic streams. Methodology This paper focuses on developing the macroscopic fundamental diagram for such heterogeneous traffic streams based on the quantified penetration rate (QPR) for autonomous vehicles. The penetration rate is devised by taking into account user demographics, land usage and road network properties. QPR is used as an input for heterogeneous urban traffic stream scenarios to calculate the aggregated urban traffic network dynamics of flow and density for the same network. Travel time versus flow characteristics is evaluated based on calibrated hyperbolic urban link travel time function f</w:t>
      </w:r>
    </w:p>
    <w:p>
      <w:pPr>
        <w:pStyle w:val="Heading2"/>
      </w:pPr>
      <w:r>
        <w:t>788. European human‐dominated landscapes provide ample space for the recolonization of large carnivore populations under future land change scenarios</w:t>
      </w:r>
    </w:p>
    <w:p>
      <w:pPr>
        <w:pStyle w:val="SourceNote"/>
      </w:pPr>
      <w:r>
        <w:rPr>
          <w:b/>
        </w:rPr>
        <w:t>Original source (2017):</w:t>
      </w:r>
      <w:r>
        <w:t xml:space="preserve"> https://doi.org/10.1111/ecog.02223</w:t>
      </w:r>
    </w:p>
    <w:p>
      <w:pPr/>
      <w:r>
        <w:t>Original wording (abstract; indexed_source_text_not_full_document_verified): Third, we projected permanent occurrences into the future across a range of land‐use change scenarios.</w:t>
      </w:r>
    </w:p>
    <w:p>
      <w:pPr/>
      <w:r>
        <w:rPr>
          <w:b/>
        </w:rPr>
        <w:t>POSSIBLE 2025:</w:t>
      </w:r>
      <w:r>
        <w:t xml:space="preserve"> Continuing recovery of wolves in Europe — https://doi.org/10.1371/journal.pstr.0000158</w:t>
      </w:r>
    </w:p>
    <w:p>
      <w:pPr/>
      <w:r>
        <w:rPr>
          <w:b/>
        </w:rPr>
        <w:t>Shared claim-specific concepts:</w:t>
      </w:r>
      <w:r>
        <w:t xml:space="preserve"> across, land, use; EU scope visible. This is a provisional connection, not an outcome finding.</w:t>
      </w:r>
    </w:p>
    <w:p>
      <w:pPr>
        <w:pStyle w:val="SourceNote"/>
      </w:pPr>
      <w:r>
        <w:rPr>
          <w:b/>
        </w:rPr>
        <w:t>Available abstract (not full text):</w:t>
      </w:r>
      <w:r>
        <w:t xml:space="preserve"> The recovery of wolves ( Canis lupus ) across Europe is a notable conservation success in a region with extensive human alteration of landscapes and high human population densities. We provide a comprehensive update on wolf populations in Europe, estimated at over 21,500 individuals by 2022, representing a 58% increase over the past decade. Despite the challenges of high human densities and significant land use for agriculture, industry, and urbanization, wolves have demonstrated remarkable adaptability and increasing population trends in most European countries. Improved monitoring techniques, although varying in quality and scope, have played a crucial role in tracking this recovery. Annually, wolves kill approximately 56,000 domestic animals in the EU, a risk unevenly distributed and differently handled across regions. Damage compensation costs 17 million EUR every year to European countries. Positive economic impacts from wolf presence, such as those related to reducing traffic accidents with wild ungulates or supporting wildlife tourism, remain under studied. Wolf recovery in Europe is supported by diverse policy and legal instruments such as LIFE programs, stakeholder platforms, as well as the EU Habitats Directive and the Bern Convention. Coexisting with newly established wolf populations in Europe entails managing impacts on human activities, including livestock depreda</w:t>
      </w:r>
    </w:p>
    <w:p>
      <w:pPr/>
      <w:r>
        <w:rPr>
          <w:b/>
        </w:rPr>
        <w:t>POSSIBLE 2024:</w:t>
      </w:r>
      <w:r>
        <w:t xml:space="preserve"> Tipping points and farmer decision-making in European permanent grassland (PG) agricultural systems — https://doi.org/10.1016/j.jrurstud.2024.103364</w:t>
      </w:r>
    </w:p>
    <w:p>
      <w:pPr/>
      <w:r>
        <w:rPr>
          <w:b/>
        </w:rPr>
        <w:t>Shared claim-specific concepts:</w:t>
      </w:r>
      <w:r>
        <w:t xml:space="preserve"> permanent, across, land, use; EU scope visible. This is a provisional connection, not an outcome finding.</w:t>
      </w:r>
    </w:p>
    <w:p>
      <w:pPr>
        <w:pStyle w:val="SourceNote"/>
      </w:pPr>
      <w:r>
        <w:rPr>
          <w:b/>
        </w:rPr>
        <w:t>Available abstract (not full text):</w:t>
      </w:r>
      <w:r>
        <w:t xml:space="preserve"> Permanent grasslands (PG) provide multifunctional ecosystem services (ES) in Europe and globally, which are threatened by both increased farming intensity and land use change in marginal areas. Farm management decisions can represent critical thresholds, or behavioural “tipping points”, in the agricultural system. Decisions are influenced by a combination of agronomic, policy and social factors. Transformation of PG systems can be facilitated through positive tipping points and relevant policy implementation to ensure sustainable PG systems. The aim of this research was to understand the drivers of decisions regarding land use changes and management towards critical positive and negative tipping points across five biogeographic zones in Europe. Interview methodology assessed farmers’ preferences and priorities regarding the adoption of sustainable PG systems. Participants were selected from five case study countries, each representing a different biogeographic zone in Europe (Continental/Pannonian: Czech Republic, Boreal: Sweden, Mediterranean: Spain, Alpine: Switzerland, and Atlantic: UK). The sample also covered three farming intensity types within these biogeographic zones: high input/intensive conventional farms (≥1.0 LU/ha); low input/extensive conventional farms (&lt;1.0 LU/ha); and certified organic farms. In total, 373 farm interviews were obtained from the case study coun</w:t>
      </w:r>
    </w:p>
    <w:p>
      <w:pPr/>
      <w:r>
        <w:rPr>
          <w:b/>
        </w:rPr>
        <w:t>POSSIBLE 2024:</w:t>
      </w:r>
      <w:r>
        <w:t xml:space="preserve"> Twenty Years of Land Accounts in Europe — https://doi.org/10.3390/land13091350</w:t>
      </w:r>
    </w:p>
    <w:p>
      <w:pPr/>
      <w:r>
        <w:rPr>
          <w:b/>
        </w:rPr>
        <w:t>Shared claim-specific concepts:</w:t>
      </w:r>
      <w:r>
        <w:t xml:space="preserve"> land, use; EU scope visible. This is a provisional connection, not an outcome finding.</w:t>
      </w:r>
    </w:p>
    <w:p>
      <w:pPr>
        <w:pStyle w:val="SourceNote"/>
      </w:pPr>
      <w:r>
        <w:rPr>
          <w:b/>
        </w:rPr>
        <w:t>Available abstract (not full text):</w:t>
      </w:r>
      <w:r>
        <w:t xml:space="preserve"> Land use and its change impact food security, carbon cycling, biodiversity, and, hence, the condition of ecosystems to mitigate and adapt to climate change, support economic prosperity, and human well-being. To support and guide policy actions between the economy and the environment, harmonized time series datasets, transparent methodologies, and easily interpretable statistics are needed. Therefore, monitoring of the function and condition of lands and their change, along with properly agreed methodologies and freely accessible data, are essential. The Copernicus Land Monitoring Service has produced over 20 years of Corine Land Cover datasets for 39 countries in Europe, which allows continental-wide harmonized and comparable monitoring and accounting of land cover and land use change at a high thematic resolution and in a long time series (2000–2018). With the upcoming 2024 update, the time series will reach a unique product worldwide in terms of time series length, spatial resolution, extent, and thematic detail, enabling policymakers and the scientific community to address the main anthropogenic drivers of land and ecosystem degradation. This paper describes a unified approach for producing continental-wide land accounts that aligns with internationally agreed-upon standards for measuring the environment and its relationship with the economy. Furthermore, the study provides </w:t>
      </w:r>
    </w:p>
    <w:p>
      <w:pPr/>
      <w:r>
        <w:rPr>
          <w:b/>
        </w:rPr>
        <w:t>POSSIBLE 2024:</w:t>
      </w:r>
      <w:r>
        <w:t xml:space="preserve"> Land surface phenology for the characterization of Mediterranean permanent grasslands — https://doi.org/10.1007/s11119-024-10215-z</w:t>
      </w:r>
    </w:p>
    <w:p>
      <w:pPr/>
      <w:r>
        <w:rPr>
          <w:b/>
        </w:rPr>
        <w:t>Shared claim-specific concepts:</w:t>
      </w:r>
      <w:r>
        <w:t xml:space="preserve"> permanent, across, land; EU scope visible. This is a provisional connection, not an outcome finding.</w:t>
      </w:r>
    </w:p>
    <w:p>
      <w:pPr>
        <w:pStyle w:val="SourceNote"/>
      </w:pPr>
      <w:r>
        <w:rPr>
          <w:b/>
        </w:rPr>
        <w:t>Available abstract (not full text):</w:t>
      </w:r>
      <w:r>
        <w:t xml:space="preserve"> The provision of ecosystem services from Mediterranean permanent grasslands is threatened due to shifting management practices and environmental pressures. This observational study tested the hypothesis that Land Surface Phenology (LSP) parameters from high-resolution satellite data can characterize various permanent grasslands to support conservation and improvement practices. The potential of LSP derived from Sentinel-2 data in identifying the multi-layer mixed vegetation of Mediterranean grasslands, including silvopastoral systems, that were well-characterized from an agronomic and ecological perspective through field surveys, was assessed. Forty-nine polygons, representing eleven sites characterized by different grassland vegetation, soil, climate and management, were identified in Sardinia (Italy). Sentinel-2 satellite images from 2017 to 2023 were processed to derive NDVI, and LSP parameters were calculated using TIMESAT 3.3 software. The Canonical Correspondence Analysis showed a significant association ( p &lt; 0.05) between a combination of LSP metrics used as proxies of a set of relevant agronomical indicators. It was then possible to differentiate managed vs. abandoned grasslands (e.g., start and peak of the season significantly later under unmanaged grasslands, p &lt; 0.0001), wooded grasslands vs. open grasslands(e.g., base value significantly higher in woodlands and woo</w:t>
      </w:r>
    </w:p>
    <w:p>
      <w:pPr/>
      <w:r>
        <w:rPr>
          <w:b/>
        </w:rPr>
        <w:t>POSSIBLE 2022:</w:t>
      </w:r>
      <w:r>
        <w:t xml:space="preserve"> The European Registry for Patients with Mechanical Circulatory Support of the European Association for Cardio-Thoracic Surgery: third report — https://doi.org/10.1093/ejcts/ezac032</w:t>
      </w:r>
    </w:p>
    <w:p>
      <w:pPr/>
      <w:r>
        <w:rPr>
          <w:b/>
        </w:rPr>
        <w:t>Shared claim-specific concepts:</w:t>
      </w:r>
      <w:r>
        <w:t xml:space="preserve"> third, range; EU scope visible. This is a provisional connection, not an outcome finding.</w:t>
      </w:r>
    </w:p>
    <w:p>
      <w:pPr>
        <w:pStyle w:val="SourceNote"/>
      </w:pPr>
      <w:r>
        <w:rPr>
          <w:b/>
        </w:rPr>
        <w:t>Available abstract (not full text):</w:t>
      </w:r>
      <w:r>
        <w:t xml:space="preserve"> OBJECTIVES: In the third report of the European Registry for Patients with Mechanical Circulatory Support of the European Association for Cardio-Thoracic Surgery, outcomes of patients receiving mechanical circulatory support are reviewed in relation to implant era. METHODS: Procedures in adult patients (January 2011-June 2020) were included. Patients from centres with &lt;60% follow-ups completed were excluded. Outcomes were stratified into 3 eras (2011-2013, 2014-2017 and 2018-2020). Adverse event rates (AERs) were calculated and stratified into early phase (&lt;3 months) and late phase (&gt;3 months). Risk factors for death were explored using univariable Cox regression with a stepwise time-varying hazard ratio (&lt;3 vs &gt;3 months). RESULTS: In total, 4834 procedures in 4486 individual patients (72 hospitals) were included, with a median follow-up of 1.1 (interquartile range: 0.3-2.6) years. The annual number of implants (range: 346-600) did not significantly change (P = 0.41). Both Interagency Registry for Mechanically Assisted Circulatory Support class (classes 4-7: 23, 25 and 33%; P &lt; 0.001) and in-hospital deaths (18.5, 17.2 and 11.2; P &lt; 0.001) decreased significantly between eras. Overall, mortality, transplants and the probability of weaning were 55, 25 and 2% at 5 years after the implant, respectively. Major infections were mainly noted early after the implant occurred (AER&lt;3 mon</w:t>
      </w:r>
    </w:p>
    <w:p>
      <w:pPr/>
      <w:r>
        <w:rPr>
          <w:b/>
        </w:rPr>
        <w:t>POSSIBLE 2022:</w:t>
      </w:r>
      <w:r>
        <w:t xml:space="preserve"> Permanent grasslands in Europe: Land use change and intensification decrease their multifunctionality — https://doi.org/10.1016/j.agee.2022.107891</w:t>
      </w:r>
    </w:p>
    <w:p>
      <w:pPr/>
      <w:r>
        <w:rPr>
          <w:b/>
        </w:rPr>
        <w:t>Shared claim-specific concepts:</w:t>
      </w:r>
      <w:r>
        <w:t xml:space="preserve"> permanent, land, use; EU scope visible. This is a provisional connection, not an outcome finding.</w:t>
      </w:r>
    </w:p>
    <w:p>
      <w:pPr>
        <w:pStyle w:val="SourceNote"/>
      </w:pPr>
      <w:r>
        <w:rPr>
          <w:b/>
        </w:rPr>
        <w:t>Available abstract (not full text):</w:t>
      </w:r>
      <w:r>
        <w:t xml:space="preserve"> Permanent grasslands cover 34% of the European Union’s agricultural area and are vital for a wide variety of ecosystem services essential for our society. Over recent decades, the permanent grassland area has declined and land use change continues to threaten its extent. Simultaneously, the management intensity of permanent grasslands increased. We performed a systematic literature review on the multifunctionality of permanent grasslands in Europe, examining the effects of land use and management on 19 grassland ecosystem service indicators. Based on the evidence in 696 out of 70,456 screened papers, published since 1980, we found that both land use change and intensification of management decreased multifunctionality. In particular, preventing conversion of permanent grasslands to croplands secured the delivery of multiple ecosystem services. A lower management intensity was associated with benefits for biodiversity, climate regulation and water purification, but impacted the provision of high-quality animal feed. Increasing the number of species in the sward enhanced multifunctionality of permanent grassland without significant trade-offs such as losses in production. Our review covered many aspects of land use, management and ecosystem services, but we also identified areas with no or only few studies. The most prominent gaps were related to comparisons between permanent and</w:t>
      </w:r>
    </w:p>
    <w:p>
      <w:pPr/>
      <w:r>
        <w:rPr>
          <w:b/>
        </w:rPr>
        <w:t>POSSIBLE 2022:</w:t>
      </w:r>
      <w:r>
        <w:t xml:space="preserve"> Climate drove the fire cycle and humans influenced fire occurrence in the East European boreal forest — https://doi.org/10.1002/ecm.1530</w:t>
      </w:r>
    </w:p>
    <w:p>
      <w:pPr/>
      <w:r>
        <w:rPr>
          <w:b/>
        </w:rPr>
        <w:t>Shared claim-specific concepts:</w:t>
      </w:r>
      <w:r>
        <w:t xml:space="preserve"> across, land, use; EU scope visible. This is a provisional connection, not an outcome finding.</w:t>
      </w:r>
    </w:p>
    <w:p>
      <w:pPr>
        <w:pStyle w:val="SourceNote"/>
      </w:pPr>
      <w:r>
        <w:rPr>
          <w:b/>
        </w:rPr>
        <w:t>Available abstract (not full text):</w:t>
      </w:r>
      <w:r>
        <w:t xml:space="preserve"> Abstract Understanding long‐term forest fire histories of boreal landscapes is instrumental for parameterizing climate–fire interactions and the role of humans affecting natural fire regimes. The eastern sections of the European boreal zone currently lack a network of annually resolved and centuries‐long forest fire histories. To fill in this knowledge gap, we dendrochronologically reconstructed the 600‐year fire history of a middle boreal pine‐dominated landscape of the southern part of the Republic of Komi, Russia. We combined the reconstruction of fire cycle (FC) and fire occurrence with the data on the village establishment and climate proxies and discussed the relative contribution of climate versus human land use in shaping historic fire regimes. Over the 1340–1610 ce period, the territory had a FC of 66 years (with the 90% confidence envelope of 56.8 and 78.6 years). Fire activity increased during the 1620–1730 ce period, with the FC reaching 32 years (31.0–34.7 years). Between 1740–1950, the FC increased to 47 years (41.9–52.0). The most recent period, 1960–2010, marks FC's historic maximum, with the mean of 153 years (102.5–270.3). Establishment of the villages, often as small harbors on the Pechora River, was associated with a non‐significant increase in fire occurrence in the sites nearest the villages (p = 0.07–0.20). We, however, observed a temporal association bet</w:t>
      </w:r>
    </w:p>
    <w:p>
      <w:pPr/>
      <w:r>
        <w:rPr>
          <w:b/>
        </w:rPr>
        <w:t>POSSIBLE 2021:</w:t>
      </w:r>
      <w:r>
        <w:t xml:space="preserve"> ERA5-Land: a state-of-the-art global reanalysis dataset for land applications — https://doi.org/10.5194/essd-13-4349-2021</w:t>
      </w:r>
    </w:p>
    <w:p>
      <w:pPr/>
      <w:r>
        <w:rPr>
          <w:b/>
        </w:rPr>
        <w:t>Shared claim-specific concepts:</w:t>
      </w:r>
      <w:r>
        <w:t xml:space="preserve"> land, use; EU scope visible. This is a provisional connection, not an outcome finding.</w:t>
      </w:r>
    </w:p>
    <w:p>
      <w:pPr>
        <w:pStyle w:val="SourceNote"/>
      </w:pPr>
      <w:r>
        <w:rPr>
          <w:b/>
        </w:rPr>
        <w:t>Available abstract (not full text):</w:t>
      </w:r>
      <w:r>
        <w:t xml:space="preserve"> Abstract. Framed within the Copernicus Climate Change Service of the European Commission, the European Centre for Medium-Range Weather Forecasts (ECMWF) is producing an enhanced global dataset for the land component of the 5th generation of European ReAnalysis (ERA5), hereafter named as ERA5-Land. Once completed, the period covered will span from 1950 to present, with continuous updates to support land monitoring applications. ERA5-Land describes the evolution of the water and energy cycles over land in a consistent manner over the production period, enabling the characterisation of trends and anomalies. This is achieved through global high resolution numerical integrations of the ECMWF land surface model driven by the downscaled meteorological forcing from the ERA5 climate reanalysis, including an elevation correction for the thermodynamic near-surface state. ERA5-Land shares with ERA5 most of the parametrizations that guarantees the use of the state-of-the-art land surface modeling applied to Numerical Weather Prediction (NWP) models. A main advantage of ERA5-Land compared to ERA5 and the older ERA-Interim is the horizontal resolution, which is enhanced globally to 9 km compared to 31 km (ERA5) or 80 km (ERA-Interim), whereas the temporal resolution is hourly as in ERA5. Evaluation against independent in situ observations and global model or satellite-based reference datasets</w:t>
      </w:r>
    </w:p>
    <w:p>
      <w:pPr/>
      <w:r>
        <w:rPr>
          <w:b/>
        </w:rPr>
        <w:t>POSSIBLE 2021:</w:t>
      </w:r>
      <w:r>
        <w:t xml:space="preserve"> A new European land systems representation accounting for landscape characteristics — https://doi.org/10.1007/s10980-021-01227-5</w:t>
      </w:r>
    </w:p>
    <w:p>
      <w:pPr/>
      <w:r>
        <w:rPr>
          <w:b/>
        </w:rPr>
        <w:t>Shared claim-specific concepts:</w:t>
      </w:r>
      <w:r>
        <w:t xml:space="preserve"> land, use; EU scope visible. This is a provisional connection, not an outcome finding.</w:t>
      </w:r>
    </w:p>
    <w:p>
      <w:pPr>
        <w:pStyle w:val="SourceNote"/>
      </w:pPr>
      <w:r>
        <w:rPr>
          <w:b/>
        </w:rPr>
        <w:t>Available abstract (not full text):</w:t>
      </w:r>
      <w:r>
        <w:t xml:space="preserve"> Abstract Context While land use change is the main driver of biodiversity loss, most biodiversity assessments either ignore it or use a simple land cover representation. Land cover representations lack the representation of land use and landscape characteristics relevant to biodiversity modeling. Objectives We developed a comprehensive and high-resolution representation of European land systems on a 1-km2 grid integrating important land use and landscape characteristics. Methods Combining the recent data on land cover and land use intensities, we applied an expert-based hierarchical classification approach and identified land systems that are common in Europe and meaningful for studying biodiversity. We tested the benefits of using this map as compared to land cover information to predict the distribution of bird species having different vulnerability to landscape and land use change. Results Next to landscapes dominated by one land cover, mosaic landscapes cover 14.5% of European terrestrial surface. When using the land system map, species distribution models demonstrate substantially higher predictive ability (up to 19% higher) as compared to models based on land cover maps. Our map consistently contributes more to the spatial distribution of the tested species than the use of land cover data (3.9 to 39.1% higher). Conclusions A land systems classification including essential</w:t>
      </w:r>
    </w:p>
    <w:p>
      <w:pPr/>
      <w:r>
        <w:rPr>
          <w:b/>
        </w:rPr>
        <w:t>POSSIBLE 2021:</w:t>
      </w:r>
      <w:r>
        <w:t xml:space="preserve"> Sentinel-2 Time Series Analysis for Identification of Underutilized Land in Europe — https://doi.org/10.3390/rs13234920</w:t>
      </w:r>
    </w:p>
    <w:p>
      <w:pPr/>
      <w:r>
        <w:rPr>
          <w:b/>
        </w:rPr>
        <w:t>Shared claim-specific concepts:</w:t>
      </w:r>
      <w:r>
        <w:t xml:space="preserve"> across, land, use; EU scope visible. This is a provisional connection, not an outcome finding.</w:t>
      </w:r>
    </w:p>
    <w:p>
      <w:pPr>
        <w:pStyle w:val="SourceNote"/>
      </w:pPr>
      <w:r>
        <w:rPr>
          <w:b/>
        </w:rPr>
        <w:t>Available abstract (not full text):</w:t>
      </w:r>
      <w:r>
        <w:t xml:space="preserve"> Biomass and bioenergy play a central role in Europe’s Green Transition. Currently, biomass is representing half of the renewable energy sources used. While the role of renewables in the energy mix is undisputed, there have been many controversial discussions on the use of biomass for energy due to the “food versus fuel” debate. Using previously underutilized lands for bioenergy is one possibility to prevent this discussion. This study supports the attempts to increase biomass for bioenergy through the provision of improved methods to identify underutilized lands in Europe. We employ advanced analysis methods based on time series modelling using Sentinel-2 (S2) data from 2017 to 2019 in order to distinguish utilized from underutilized land in twelve study areas in different bio-geographical regions (BGR) across Europe. The calculated parameters of the computed model function combined with temporal statistics were used to train a random forest classifier (RF). The achieved overall accuracies (OA) per study area vary between 80.25 and 96.76%, with confidence intervals (CI) ranging between 1.77% and 6.28% at a 95% confidence level. All in all, nearly 500,000 ha of underutilized land potentially available for agricultural bioenergy production were identified in this study, with the greatest amount mapped in Eastern Europe.</w:t>
      </w:r>
    </w:p>
    <w:p>
      <w:pPr/>
      <w:r>
        <w:rPr>
          <w:b/>
        </w:rPr>
        <w:t>POSSIBLE 2021:</w:t>
      </w:r>
      <w:r>
        <w:t xml:space="preserve"> Large variability in response to projected climate and land‐use changes among European bumblebee species — https://doi.org/10.1111/gcb.15780</w:t>
      </w:r>
    </w:p>
    <w:p>
      <w:pPr/>
      <w:r>
        <w:rPr>
          <w:b/>
        </w:rPr>
        <w:t>Shared claim-specific concepts:</w:t>
      </w:r>
      <w:r>
        <w:t xml:space="preserve"> across, range, land, use; EU scope visible. This is a provisional connection, not an outcome finding.</w:t>
      </w:r>
    </w:p>
    <w:p>
      <w:pPr>
        <w:pStyle w:val="SourceNote"/>
      </w:pPr>
      <w:r>
        <w:rPr>
          <w:b/>
        </w:rPr>
        <w:t>Available abstract (not full text):</w:t>
      </w:r>
      <w:r>
        <w:t xml:space="preserve"> Bumblebees (Bombus ssp.) are among the most important wild pollinators, but many species have suffered from range declines. Land-use change, agricultural intensification, and the associated loss of habitat have been identified as drivers of the observed dynamics, amplifying pressures from a changing climate. However, these drivers are still underrepresented in continental-scale species distribution modeling. Here, we project the potential distribution of 47 European bumblebee species in 2050 and 2080 from existing European-scale distribution maps, based on a set of climate and land-use futures simulated through a regional integrated assessment model and consistent with the RCP-SSP scenario framework. We compare projections including (1) dynamic climate and constant land use (CLIM); (2) constant climate and dynamic land use (LU); and (3) dynamic climate and dynamic land use (COMB) to disentangle the effects of land use and climate change on future habitat suitability, providing the first rigorous continental-scale assessment of linked climate-land-use futures for bumblebees. We find that direct climate impacts, although variable across species, dominate responses for most species, especially under high-end climate change scenarios (up to 99% range loss). Land-use impacts are highly variable across species and scenarios, ranging from severe losses (up to 75% loss) to considerable</w:t>
      </w:r>
    </w:p>
    <w:p>
      <w:pPr/>
      <w:r>
        <w:rPr>
          <w:b/>
        </w:rPr>
        <w:t>POSSIBLE 2021:</w:t>
      </w:r>
      <w:r>
        <w:t xml:space="preserve"> Deep Chlorophyll Maxima in the Global Ocean: Occurrences, Drivers and Characteristics — https://doi.org/10.1029/2020gb006759</w:t>
      </w:r>
    </w:p>
    <w:p>
      <w:pPr/>
      <w:r>
        <w:rPr>
          <w:b/>
        </w:rPr>
        <w:t>Shared claim-specific concepts:</w:t>
      </w:r>
      <w:r>
        <w:t xml:space="preserve"> permanent, occurrences, use; EU scope not established. This is a provisional connection, not an outcome finding.</w:t>
      </w:r>
    </w:p>
    <w:p>
      <w:pPr>
        <w:pStyle w:val="SourceNote"/>
      </w:pPr>
      <w:r>
        <w:rPr>
          <w:b/>
        </w:rPr>
        <w:t>Available abstract (not full text):</w:t>
      </w:r>
      <w:r>
        <w:t xml:space="preserve"> Stratified oceanic systems are characterized by the presence of a so-called Deep Chlorophyll a Maximum (DCM) not detectable by ocean color satellites. A DCM can either be a phytoplankton (carbon) biomass maximum (Deep Biomass Maximum, DBM), or the consequence of photoacclimation processes (Deep photoAcclimation Maximum, DAM) resulting in the increase of chlorophyll a per phytoplankton carbon. Even though these DCM (further qualified as either DBMs or DAMs) have long been studied, no global-scale assessment has yet been undertaken and large knowledge gaps still remain in relation to the environmental drivers responsible for their formation and maintenance. In order to investigate their spatial and temporal variability in the open ocean, we use a global data set acquired by more than 500 Biogeochemical-Argo floats given that DCMs can be detected from the comparative vertical distribution of chlorophyll a concentrations and particulate backscattering coefficients. Our findings show that the seasonal dynamics of the DCMs are clearly region-dependent. High-latitude environments are characterized by a low occurrence of intense DBMs, restricted to summer. Meanwhile, oligotrophic regions host permanent DAMs, occasionally replaced by DBMs in summer, while subequatorial waters are characterized by permanent DBMs benefiting from favorable conditions in terms of both light and nutrients. O</w:t>
      </w:r>
    </w:p>
    <w:p>
      <w:pPr>
        <w:pStyle w:val="Heading2"/>
      </w:pPr>
      <w:r>
        <w:t>789. Exploring scenario guided pathways for food assistance in Tuscany</w:t>
      </w:r>
    </w:p>
    <w:p>
      <w:pPr>
        <w:pStyle w:val="SourceNote"/>
      </w:pPr>
      <w:r>
        <w:rPr>
          <w:b/>
        </w:rPr>
        <w:t>Original source (2017):</w:t>
      </w:r>
      <w:r>
        <w:t xml:space="preserve"> https://doi.org/10.13128/bae-18520</w:t>
      </w:r>
    </w:p>
    <w:p>
      <w:pPr/>
      <w:r>
        <w:t>Original wording (abstract; indexed_source_text_not_full_document_verified): We combine the strengths of back-casted planning, which develops desirable pathways for the future, and explorative scenarios that describe plausible future contexts.</w:t>
      </w:r>
    </w:p>
    <w:p>
      <w:pPr/>
      <w:r>
        <w:rPr>
          <w:b/>
        </w:rPr>
        <w:t>POSSIBLE 2018:</w:t>
      </w:r>
      <w:r>
        <w:t xml:space="preserve"> Experimental measurement of the residual strength of particulate materials — https://doi.org/10.1201/9780203743317-22</w:t>
      </w:r>
    </w:p>
    <w:p>
      <w:pPr/>
      <w:r>
        <w:rPr>
          <w:b/>
        </w:rPr>
        <w:t>Shared claim-specific concepts:</w:t>
      </w:r>
      <w:r>
        <w:t xml:space="preserve"> combine, strengths, desirable; EU scope not established. This is a provisional connection, not an outcome finding.</w:t>
      </w:r>
    </w:p>
    <w:p>
      <w:pPr>
        <w:pStyle w:val="SourceNote"/>
      </w:pPr>
      <w:r>
        <w:rPr>
          <w:b/>
        </w:rPr>
        <w:t>Available abstract (not full text):</w:t>
      </w:r>
      <w:r>
        <w:t xml:space="preserve"> Several different approaches to the estimation of residual strength have been proposed. The earliest geotechnical approach was based on laboratory experiments. Later, geotechnical approaches based on insitu testing coupled with the backcalculation of apparent shear strengths from actual flow failures have been developed. However, very high uncertainties are associated with the residual strengths estimated using each of these approaches. The residual strength of particulate materials is important in other fields outside of mainstream geotechnical engineering. Evaluation of debris flow behavior has led to fundamental research on the flow behavior of particulates. The rheology of concentrated suspensions of particles in liquids is also important in industrial processes such as the hydraulic transport of materials such as coal, powders, minerals, and animal feeds. Experimental and analytical research in those fields have produced results that could be of use in evaluating residual strength of liquefied soil. A review of past experimental approaches to the measurement of residual strength, including approaches developed outside the field of geotechnical engineering, is presented. The strengths and weaknesses of each experimental approach are discussed. The desirable characteristics of an experimental apparatus that would combine the strengths, and minimize the weaknesses, of existin</w:t>
      </w:r>
    </w:p>
    <w:p>
      <w:pPr>
        <w:pStyle w:val="Heading2"/>
      </w:pPr>
      <w:r>
        <w:t>790. Future life expectancy in 35 industrialised countries: projections with a Bayesian model ensemble</w:t>
      </w:r>
    </w:p>
    <w:p>
      <w:pPr>
        <w:pStyle w:val="SourceNote"/>
      </w:pPr>
      <w:r>
        <w:rPr>
          <w:b/>
        </w:rPr>
        <w:t>Original source (2017):</w:t>
      </w:r>
      <w:r>
        <w:t xml:space="preserve"> https://doi.org/10.1016/s0140-6736(16)32381-9</w:t>
      </w:r>
    </w:p>
    <w:p>
      <w:pPr/>
      <w:r>
        <w:t>Original wording (abstract; indexed_source_text_not_full_document_verified): The female life expectancy advantage over men is likely to shrink by 2030 in every country except Mexico, where female life expectancy is predicted to increase more than male life expectancy, and in Chile, France, and Greece where the two sexes will see similar gains. We applied this approach to project age-specific mortality to 2030 in 35 industrialised countries with high-quality vital statistics data.</w:t>
      </w:r>
    </w:p>
    <w:p>
      <w:pPr/>
      <w:r>
        <w:rPr>
          <w:b/>
        </w:rPr>
        <w:t>POSSIBLE 2024:</w:t>
      </w:r>
      <w:r>
        <w:t xml:space="preserve"> Deciphering the sex gap in global life expectancy: the impact of female-specific cancers 1990-2019 — https://doi.org/10.1093/jnci/djae191</w:t>
      </w:r>
    </w:p>
    <w:p>
      <w:pPr/>
      <w:r>
        <w:rPr>
          <w:b/>
        </w:rPr>
        <w:t>Shared claim-specific concepts:</w:t>
      </w:r>
      <w:r>
        <w:t xml:space="preserve"> female, life, expectancy, advantage, over, country; EU scope visible. This is a provisional connection, not an outcome finding.</w:t>
      </w:r>
    </w:p>
    <w:p>
      <w:pPr>
        <w:pStyle w:val="SourceNote"/>
      </w:pPr>
      <w:r>
        <w:rPr>
          <w:b/>
        </w:rPr>
        <w:t>Available abstract (not full text):</w:t>
      </w:r>
      <w:r>
        <w:t xml:space="preserve"> BACKGROUND: Females live longer than males, which results in a sex gap in life expectancy. This study examines the contribution of female cancers to this differential by world region and country over the period 1990-2019 with special focus to the 15-69 years age group. METHODS: Cause-specific mortality data for 30 cancers, including 4 female-specific cancers from 238 countries and territories, were retrieved from the Global Burden of Disease Study 2019. Using life table techniques and demographic decomposition analysis, we estimated the contribution of cancer deaths to the sex gap in life expectancy by age and calendar period. RESULTS: At ages 15-69 years, females had a higher life expectancy than males in 2019. Countries with the largest sex gaps or the largest female advantage in life expectancy were in Eastern Europe and Northern Asia, Latin America, and Southern Africa. In contrast, countries with the smallest sex gaps were mainly located in Northern Africa, Northern America, and Northern Europe. The contribution of female-specific cancers to sex gaps in life expectancy were largely negative, ranging from -0.15 years in the Western Pacific to -0.26 years in the Eastern Mediterranean region, implying that the disproportionately higher premature cancer mortality among females contributed to a reduction in the female life expectancy advantage. CONCLUSION: Female-specific cance</w:t>
      </w:r>
    </w:p>
    <w:p>
      <w:pPr/>
      <w:r>
        <w:rPr>
          <w:b/>
        </w:rPr>
        <w:t>POSSIBLE 2024:</w:t>
      </w:r>
      <w:r>
        <w:t xml:space="preserve"> Seasonality in mortality and its impact on life expectancy levels and trends across Europe — https://doi.org/10.1136/jech-2024-223050</w:t>
      </w:r>
    </w:p>
    <w:p>
      <w:pPr/>
      <w:r>
        <w:rPr>
          <w:b/>
        </w:rPr>
        <w:t>Shared claim-specific concepts:</w:t>
      </w:r>
      <w:r>
        <w:t xml:space="preserve"> life, expectancy, approach; EU scope visible. This is a provisional connection, not an outcome finding.</w:t>
      </w:r>
    </w:p>
    <w:p>
      <w:pPr>
        <w:pStyle w:val="SourceNote"/>
      </w:pPr>
      <w:r>
        <w:rPr>
          <w:b/>
        </w:rPr>
        <w:t>Available abstract (not full text):</w:t>
      </w:r>
      <w:r>
        <w:t xml:space="preserve"> Background Seasonal fluctuations in mortality affect annual life expectancy at birth (e 0 ). Nevertheless, evidence on the impact of seasonal mortality on longevity is very limited and mainly restricted to assessing season-specific mortality levels due to shocks (e.g., heatwaves and influenza epidemics). We investigated the influence of seasonality in mortality on life expectancy levels and temporal trends across 20 European countries during 2000–2019. Data and methods We used harmonised weekly population-level mortality data from the Human Mortality Database. Seasonal contributions to life expectancy at birth and age 65, by sex, were estimated using the excess mortality approach and decomposition analysis. Time-series analysis was used to evaluate the impact on long-term mortality trends. Results Seasonal mortality had a substantial but stable impact on e 0 between 2000 and 2019. On average, we found an annual reduction in life expectancy due to seasonal excess mortality of 1.14 years for males and 0.80 years for females. Deaths in the elderly population (65+) were the main driver of this impact: around 70% and 90% of these reductions in life expectancy were attributable to older ages. Excess mortality in winter had the strongest impact on annual life expectancy, especially in Portugal and Bulgaria (around 0.8-year loss on e 0 ). Conclusions The study revealed significant cros</w:t>
      </w:r>
    </w:p>
    <w:p>
      <w:pPr/>
      <w:r>
        <w:rPr>
          <w:b/>
        </w:rPr>
        <w:t>POSSIBLE 2024:</w:t>
      </w:r>
      <w:r>
        <w:t xml:space="preserve"> Influence of social determinants of health in the evolution of the quality of life of older adults in Europe: A comparative analysis between men and women — https://doi.org/10.1057/s41599-024-02899-5</w:t>
      </w:r>
    </w:p>
    <w:p>
      <w:pPr/>
      <w:r>
        <w:rPr>
          <w:b/>
        </w:rPr>
        <w:t>Shared claim-specific concepts:</w:t>
      </w:r>
      <w:r>
        <w:t xml:space="preserve"> female, life, expectancy, men, approach; EU scope visible. This is a provisional connection, not an outcome finding.</w:t>
      </w:r>
    </w:p>
    <w:p>
      <w:pPr>
        <w:pStyle w:val="SourceNote"/>
      </w:pPr>
      <w:r>
        <w:rPr>
          <w:b/>
        </w:rPr>
        <w:t>Available abstract (not full text):</w:t>
      </w:r>
      <w:r>
        <w:t xml:space="preserve"> Abstract Population aging is a global phenomenon due to declining birth rates and increased life expectancy. This demographic shift poses a challenge to society, requiring adaptation of policies, economies, and healthcare systems to safeguard the well-being of older individuals. Health inequalities, influenced by social determinants such as education, economic status, and place of residence, impact this population group, with notable differences between men and women. Several studies have demonstrated that social determinants of health (SDH) affect the quality of life (QoL) of older individuals, especially women. In general, women report lower quality of life indicators, lower educational levels, and poorer health compared to men. This study aims to examine how social determinants of health can influence the quality of life of the population aged 50 or older in different European countries, from a sex perspective, through a longitudinal approach. The main SDHs associated with poorer QoL were female sex advanced age, economic hardship, educational level, and geographic location within Europe. Depression in women and men in Southern Europe was associated with a decrease in QoL scores.</w:t>
      </w:r>
    </w:p>
    <w:p>
      <w:pPr/>
      <w:r>
        <w:rPr>
          <w:b/>
        </w:rPr>
        <w:t>POSSIBLE 2024:</w:t>
      </w:r>
      <w:r>
        <w:t xml:space="preserve"> Inequalities in regional excess mortality and life expectancy during the COVID-19 pandemic in Europe — https://doi.org/10.1038/s41598-024-54366-5</w:t>
      </w:r>
    </w:p>
    <w:p>
      <w:pPr/>
      <w:r>
        <w:rPr>
          <w:b/>
        </w:rPr>
        <w:t>Shared claim-specific concepts:</w:t>
      </w:r>
      <w:r>
        <w:t xml:space="preserve"> life, expectancy, over, increase; EU scope visible. This is a provisional connection, not an outcome finding.</w:t>
      </w:r>
    </w:p>
    <w:p>
      <w:pPr>
        <w:pStyle w:val="SourceNote"/>
      </w:pPr>
      <w:r>
        <w:rPr>
          <w:b/>
        </w:rPr>
        <w:t>Available abstract (not full text):</w:t>
      </w:r>
      <w:r>
        <w:t xml:space="preserve"> Using data for 201 regions (NUTS 2) in Europe, we examine the mortality burden of the COVID-19 pandemic and how the mortality inequalities between regions changed between 2020 and 2022. We show that over the three years of the pandemic, not only did the level of excess mortality rate change considerably, but also its geographical distribution. Focusing on life expectancy as a summary measure of mortality conditions, we find that the variance of regional life expectancy increased sharply in 2021 but returned to the pre-pandemic level in 2022. The 2021 increase was due to a much higher-than-average excess mortality in regions with lower pre-pandemic life expectancy. While the life expectancy inequality has returned to its pre-pandemic level in 2022, the observed life expectancy in almost all regions is far below that expected without the pandemic.</w:t>
      </w:r>
    </w:p>
    <w:p>
      <w:pPr/>
      <w:r>
        <w:rPr>
          <w:b/>
        </w:rPr>
        <w:t>POSSIBLE 2024:</w:t>
      </w:r>
      <w:r>
        <w:t xml:space="preserve"> Disability free life expectancy decomposition: a comparative analysis across European countries — https://doi.org/10.71014/sieds.v78i2.264</w:t>
      </w:r>
    </w:p>
    <w:p>
      <w:pPr/>
      <w:r>
        <w:rPr>
          <w:b/>
        </w:rPr>
        <w:t>Shared claim-specific concepts:</w:t>
      </w:r>
      <w:r>
        <w:t xml:space="preserve"> female, life, expectancy, men, increase, male; EU scope visible. This is a provisional connection, not an outcome finding.</w:t>
      </w:r>
    </w:p>
    <w:p>
      <w:pPr>
        <w:pStyle w:val="SourceNote"/>
      </w:pPr>
      <w:r>
        <w:rPr>
          <w:b/>
        </w:rPr>
        <w:t>Available abstract (not full text):</w:t>
      </w:r>
      <w:r>
        <w:t xml:space="preserve"> Life expectancies (LE) at birth and at adult ages have progressively increased in recent decades in Europe. LE is a quantitative indicator and therefore it provides a limited view of the status of the population, ignoring the weight and the effects that the health condition has on the years that remain to live. To address this issue, we refer to Disability Free Life Expectancy (DFLE) indicating the average number of years a person of a given age x expects to live in good health. In this paper we analyse the change in LE and DFLE at age 65 from 2004 to 2016 for a set of the most long-lived European countries, as well as for male and female populations in order to highlight gender differences. Then we quantify the extent by which age specific mortality and morbidity contribute to changes in DFLE for understanding whether the trends observed are due to compression/expansion of morbidity or to variation in mortality patterns. This goal is important both for health policies planning and for sustainability of socio-economic and social security systems. DFLE is calculated using the Sullivan method, measuring disability in terms of the Global Activity Limitation Indicator (GALI). We refer both to step-wise and continuous change techniques for DFLE decomposition. Data sources are Human Mortality Database (HMD) for mortality rates and the European Health Life Expectancy Information Syste</w:t>
      </w:r>
    </w:p>
    <w:p>
      <w:pPr/>
      <w:r>
        <w:rPr>
          <w:b/>
        </w:rPr>
        <w:t>POSSIBLE 2024:</w:t>
      </w:r>
      <w:r>
        <w:t xml:space="preserve"> Social and Economic Determinants of Life Expectancy at Birth in Eastern Europe — https://doi.org/10.3390/healthcare12111148</w:t>
      </w:r>
    </w:p>
    <w:p>
      <w:pPr/>
      <w:r>
        <w:rPr>
          <w:b/>
        </w:rPr>
        <w:t>Shared claim-specific concepts:</w:t>
      </w:r>
      <w:r>
        <w:t xml:space="preserve"> life, expectancy, over, every, country, increase; EU scope visible. This is a provisional connection, not an outcome finding.</w:t>
      </w:r>
    </w:p>
    <w:p>
      <w:pPr>
        <w:pStyle w:val="SourceNote"/>
      </w:pPr>
      <w:r>
        <w:rPr>
          <w:b/>
        </w:rPr>
        <w:t>Available abstract (not full text):</w:t>
      </w:r>
      <w:r>
        <w:t xml:space="preserve"> Life expectancy at birth is considered a parameter of the social development, health system, or economic development of a country. We aimed to investigate the effects of GDP per capita (as the economic factor), health care expenditure, the number of medical doctors (as social factors), and CO2 emissions (as the environmental factor) on life expectancy. We used panel data analysis for 13 Eastern European countries over the 2000–2020 period. After performing the analysis, we used a cross-country fixed-effects panel (GLS with SUR weights). According to our model, a one percent increase in health expenditure (as % of GDP) increases life expectancy at birth by 0.376 years, whereas each additional medical doctor per 10,000 inhabitants increases life expectancy at birth by 0.088 years on average. At the same time, each additional 10,000 USD per capita each year would increase life expectancy at birth by 1.8 years on average. If CO2 emissions increase by 1 metric ton per capita, life expectancy at birth would decrease by 0.24 years, suggesting that higher carbon emissions are capable of reducing longevity. Every European country has to make special efforts to increase the life expectancy of its inhabitants by applying economic and health policies focused on the well-being of the population.</w:t>
      </w:r>
    </w:p>
    <w:p>
      <w:pPr/>
      <w:r>
        <w:rPr>
          <w:b/>
        </w:rPr>
        <w:t>POSSIBLE 2023:</w:t>
      </w:r>
      <w:r>
        <w:t xml:space="preserve"> Stalling life expectancy trends in Europe and decomposition analysis of mortality data — https://doi.org/10.1093/eurpub/ckad160.919</w:t>
      </w:r>
    </w:p>
    <w:p>
      <w:pPr/>
      <w:r>
        <w:rPr>
          <w:b/>
        </w:rPr>
        <w:t>Shared claim-specific concepts:</w:t>
      </w:r>
      <w:r>
        <w:t xml:space="preserve"> life, expectancy, over, increase, two, similar; EU scope visible. This is a provisional connection, not an outcome finding.</w:t>
      </w:r>
    </w:p>
    <w:p>
      <w:pPr>
        <w:pStyle w:val="SourceNote"/>
      </w:pPr>
      <w:r>
        <w:rPr>
          <w:b/>
        </w:rPr>
        <w:t>Available abstract (not full text):</w:t>
      </w:r>
      <w:r>
        <w:t xml:space="preserve"> Abstract Background Life expectancy (LE) is an important population health metric over the life course. LE has increased significantly, over the past two centuries but has showed signs of slowing recently in Europe, the United Kingdom, and the United States. Several drivers have been suggested to be causing the slowdown, including slowing improvements in cardiovascular mortality. We set out to investigate trends in LE across Europe from 1990-2019, and how deaths from different causes have contributed to annual average change in LE across two time periods: 2007-2009 to 2012-2014 and 2012-2014 to 2017-2019. Methods Data were obtained from the Global Burden of Disease (GBD) Study 2019, which are in public domain. The GBD Study is a comprehensive global epidemiologic data resource employing standardized methodology for comparability. Joinpoint regression analysis was utilised to identify trends. The Arriaga decomposition method was applied to produce estimates of the contribution of different age groups and underlying causes of death to changes in LE at birth for the two periods. Results Overall, LE in Europe was 72.6 years in 1990- increasing to 78.3 years in 2019, with significant variations within EU countries. However, LE showed a slower pace from 2012 onwards in Europe- much slower in Western Europe, and more pronounced among females. LE in females fell from an annual increase</w:t>
      </w:r>
    </w:p>
    <w:p>
      <w:pPr/>
      <w:r>
        <w:rPr>
          <w:b/>
        </w:rPr>
        <w:t>POSSIBLE 2023:</w:t>
      </w:r>
      <w:r>
        <w:t xml:space="preserve"> Global Trends in Life Expectancy and Healthy Life Expectancy — https://doi.org/10.1093/acrefore/9780190632366.013.384</w:t>
      </w:r>
    </w:p>
    <w:p>
      <w:pPr/>
      <w:r>
        <w:rPr>
          <w:b/>
        </w:rPr>
        <w:t>Shared claim-specific concepts:</w:t>
      </w:r>
      <w:r>
        <w:t xml:space="preserve"> life, expectancy, likely, country, increase, see; EU scope visible. This is a provisional connection, not an outcome finding.</w:t>
      </w:r>
    </w:p>
    <w:p>
      <w:pPr>
        <w:pStyle w:val="SourceNote"/>
      </w:pPr>
      <w:r>
        <w:rPr>
          <w:b/>
        </w:rPr>
        <w:t>Available abstract (not full text):</w:t>
      </w:r>
      <w:r>
        <w:t xml:space="preserve"> Abstract In the known history of humanity, life expectancy scarcely exceeded 30 years, with half of newborns dying before age five, up to the 18th century. However, from the 18th century onward, major epidemics were combatted more efficiently, famines became less frequent, and life expectancy thus began to increase, first in Northwest Europe, then spreading to North America, Australia, Japan, and to the rest of Europe. The health transition reached Latin America, the rest of Asia, and Africa only in the 20th century. In 2015–2020, worldwide life expectancy at birth reached 72.5 years. However, differences remained large between regions and countries. The Japanese experienced the highest level at 84.4 years, thanks to their increasingly effective noncommunicable disease (NCD) control and an especially dramatic decrease in cardiovascular mortality. On average, life expectancy was 80.9 years in high income countries, 71.4 in middle income countries and 63.4 in low income countries. It was only 60 years in sub-Saharan Africa, with some countries barely exceeding 50. High mortality countries suffer a heavy burden from both infectious and NCDs. Due to increasing life expectancy, deaths shifting to older ages, and changing cause-of-death patterns, questions arise concerning the health of populations. The health expectancies made available mainly in high income countries are indicators</w:t>
      </w:r>
    </w:p>
    <w:p>
      <w:pPr/>
      <w:r>
        <w:rPr>
          <w:b/>
        </w:rPr>
        <w:t>POSSIBLE 2023:</w:t>
      </w:r>
      <w:r>
        <w:t xml:space="preserve"> LIFE STRATEGIES OF RUSSIAN AND EUROPEAN FEMALE STUDENTS: — https://doi.org/10.18316/rcd.v15i38.11034</w:t>
      </w:r>
    </w:p>
    <w:p>
      <w:pPr/>
      <w:r>
        <w:rPr>
          <w:b/>
        </w:rPr>
        <w:t>Shared claim-specific concepts:</w:t>
      </w:r>
      <w:r>
        <w:t xml:space="preserve"> female, life, men; EU scope visible. This is a provisional connection, not an outcome finding.</w:t>
      </w:r>
    </w:p>
    <w:p>
      <w:pPr>
        <w:pStyle w:val="SourceNote"/>
      </w:pPr>
      <w:r>
        <w:rPr>
          <w:b/>
        </w:rPr>
        <w:t>Available abstract (not full text):</w:t>
      </w:r>
      <w:r>
        <w:t xml:space="preserve"> Contemporary society provides people with various ways of personality development. Young people are most susceptible to changes that occur in economics, politics, and technology. Different types of life strategies are formed and realized by young women and men, and they eventually transform public consciousness in general. The article is devoted to the analysis of life strategies and scenarios of female students living in Russia and European countries. For this purpose, a series of in-depth interviews with girls was conducted, as well as a visual analysis of the accounts of young women on the social network Instagram. Today, the process of westernization is observable – the adoption of Western European structures, practices, and lifestyles by non-European societies and countries has become a significant cultural phenomenon. Thus, based on the data obtained, it is possible to define a life strategy as a system of ideas and guidelines of the individual, aimed at the conscious design of the future. It determines and directs the behavior of individuals, reflecting the idea of the future and life path. A life strategy includes not only orientations, but also ways to achieve and realize certain goals and expectations.</w:t>
      </w:r>
    </w:p>
    <w:p>
      <w:pPr/>
      <w:r>
        <w:rPr>
          <w:b/>
        </w:rPr>
        <w:t>POSSIBLE 2023:</w:t>
      </w:r>
      <w:r>
        <w:t xml:space="preserve"> Influence of Social Determinants of Health on the Quality of Life of Older Adults in Europe: A Sex Analysis — https://doi.org/10.21203/rs.3.rs-3401316/v1</w:t>
      </w:r>
    </w:p>
    <w:p>
      <w:pPr/>
      <w:r>
        <w:rPr>
          <w:b/>
        </w:rPr>
        <w:t>Shared claim-specific concepts:</w:t>
      </w:r>
      <w:r>
        <w:t xml:space="preserve"> female, life, over, men; EU scope visible. This is a provisional connection, not an outcome finding.</w:t>
      </w:r>
    </w:p>
    <w:p>
      <w:pPr>
        <w:pStyle w:val="SourceNote"/>
      </w:pPr>
      <w:r>
        <w:rPr>
          <w:b/>
        </w:rPr>
        <w:t>Available abstract (not full text):</w:t>
      </w:r>
      <w:r>
        <w:t xml:space="preserve"> Introduction: The global aging population poses challenges for society such as health inequalities among older persons and between genders. Objectives: To determine how Social Determinants of Health (SDH) influence the quality of life (QoL) of individuals over 50 years old in various European countries, taking a gender perspective in a longitudinal study. Materials and methods: Sample of 11,493 individuals from 13 European countries from Waves 5 (2013), 6 (2015), and 7 (2017) of the SHARE study. Instruments: CASP-12 (QoL), EURO-D (depression), SDH: gender, age, educational level, socioeconomic status, ethnicity, place of residence, and European region. Sociodemographic and clinical variables. Statistical analysis: Bivariate and multivariate mixed linear models. Results: The bivariate analysis showed higher economic hardship and lower education in women compared to men. The CASP-12 score was higher in men than in women. In the multivariate analysis, the variables associated with lower QoL scores among men and women from Wave 5 to Wave 7 were: (β:-0.196, 95% CI: -0.345; -0.047) vs (β:0.038, 95% CI: -0.122; 0.197); economic hardship; and the European region between South and North (β: 2.709, 95% CI: 2.403; 3.015) vs men (β: 2.224, 95% CI: 1.896; 2.551). Conclusions: The main SDH associated with poorer QoL were female gender, advanced age, economic hardship, educational level, and </w:t>
      </w:r>
    </w:p>
    <w:p>
      <w:pPr/>
      <w:r>
        <w:rPr>
          <w:b/>
        </w:rPr>
        <w:t>POSSIBLE 2023:</w:t>
      </w:r>
      <w:r>
        <w:t xml:space="preserve"> Gains in life expectancy from decreasing cardiovascular disease and cancer mortality – an analysis of 28 European countries 1995–2019 — https://doi.org/10.1007/s10654-023-01039-8</w:t>
      </w:r>
    </w:p>
    <w:p>
      <w:pPr/>
      <w:r>
        <w:rPr>
          <w:b/>
        </w:rPr>
        <w:t>Shared claim-specific concepts:</w:t>
      </w:r>
      <w:r>
        <w:t xml:space="preserve"> female, life, expectancy, over, men, country; EU scope visible. This is a provisional connection, not an outcome finding.</w:t>
      </w:r>
    </w:p>
    <w:p>
      <w:pPr>
        <w:pStyle w:val="SourceNote"/>
      </w:pPr>
      <w:r>
        <w:rPr>
          <w:b/>
        </w:rPr>
        <w:t>Available abstract (not full text):</w:t>
      </w:r>
      <w:r>
        <w:t xml:space="preserve"> BACKGROUND: Life expectancy (LE) is an indicator of societal progress among rapidly aging populations. In recent decades, the displacement of deaths from cardiovascular disease (CVD) and cancer have been key drivers in further extending LE on the continent, though improvements vary markedly by country, sex, and over time. This study provides a comparative overview of the age-specific contributions of CVD and cancer to increasing LE in the 27 European Union member states, plus the U.K. METHODS: Cause-by-age decompositions of national changes in LE were conducted for the years 1995-1999 and 2015-2019 based on the standard approach of multiple decrement life tables to quantify the relative impact over time. The contributions of CVD and cancer mortality changes to differences in LE were computed by sex and age for each of the 28 countries. We examine the difference between the member states before 2004 ("founding countries") and those which accessed the EU after 2004 ("A10 countries"). RESULTS: Among men, declines in CVD mortality in the founding countries of the EU were larger contributors to increasing LE over the last decades than malignant neoplasms: 2.26 years were gained by CVD declines versus 1.07 years for cancer, with 2.23 and 0.84 years gained in A10 countries, respectively. Among women in founding countries, 1.81 and 0.54 additional life years were attributable to CVD an</w:t>
      </w:r>
    </w:p>
    <w:p>
      <w:pPr/>
      <w:r>
        <w:rPr>
          <w:b/>
        </w:rPr>
        <w:t>POSSIBLE 2023:</w:t>
      </w:r>
      <w:r>
        <w:t xml:space="preserve"> The underwhelming German life expectancy — https://doi.org/10.1007/s10654-023-00995-5</w:t>
      </w:r>
    </w:p>
    <w:p>
      <w:pPr/>
      <w:r>
        <w:rPr>
          <w:b/>
        </w:rPr>
        <w:t>Shared claim-specific concepts:</w:t>
      </w:r>
      <w:r>
        <w:t xml:space="preserve"> life, expectancy, france; EU scope visible. This is a provisional connection, not an outcome finding.</w:t>
      </w:r>
    </w:p>
    <w:p>
      <w:pPr>
        <w:pStyle w:val="SourceNote"/>
      </w:pPr>
      <w:r>
        <w:rPr>
          <w:b/>
        </w:rPr>
        <w:t>Available abstract (not full text):</w:t>
      </w:r>
      <w:r>
        <w:t xml:space="preserve"> This article contributes to the discussion on the determinants of diverging life expectancy in high-income countries, with a focus on Germany. To date, much of this discourse has centered around the social determinants of health, issues of healthcare equity, poverty and income inequality, and new epidemics of opioids and violence. Yet despite doing well on all of these metrics and having numerous advantages such as comparatively strong economic performance, generous social security, and an equitable and well-resourced health care system, Germany has been a long-time life expectancy laggard among the high-income countries. Using aggregated population-level mortality data for Germany and selected six high-income countries (Switzerland, France, Japan, Spain, the United Kingdom, and the United States) from the Human Mortality Database and WHO Mortality Database, we find that the German longevity shortfall is mainly explained by a longstanding disadvantage in survival among older adults and adults nearing statutory retirement age, which mainly stems from sustained excess cardiovascular disease mortality, even when compared to other laggard countries such as the US and the UK. Patchy contextual data suggests that the unfavorable pattern of cardiovascular mortality may be driven by underperforming primary care and disease prevention. More systematic and representative data on risk fac</w:t>
      </w:r>
    </w:p>
    <w:p>
      <w:pPr>
        <w:pStyle w:val="Heading2"/>
      </w:pPr>
      <w:r>
        <w:t>791. Futures of robotics. Human work in digital transformation</w:t>
      </w:r>
    </w:p>
    <w:p>
      <w:pPr>
        <w:pStyle w:val="SourceNote"/>
      </w:pPr>
      <w:r>
        <w:rPr>
          <w:b/>
        </w:rPr>
        <w:t>Original source (2017):</w:t>
      </w:r>
      <w:r>
        <w:t xml:space="preserve"> https://doi.org/10.1504/ijtm.2017.083074</w:t>
      </w:r>
    </w:p>
    <w:p>
      <w:pPr/>
      <w:r>
        <w:t>Original wording (abstract; indexed_source_text_not_full_document_verified): We evaluate key future trends in the field of robotics and analyse different scenarios regarding the futures of human beings and work life.</w:t>
      </w:r>
    </w:p>
    <w:p>
      <w:pPr/>
      <w:r>
        <w:rPr>
          <w:b/>
        </w:rPr>
        <w:t>POSSIBLE 2026:</w:t>
      </w:r>
      <w:r>
        <w:t xml:space="preserve"> Evaluating rainfall trend in four key stations of the Northwestern Himalayan region, Uttarakhand: utilizing innovative graphical approaches for trend assessment — https://doi.org/10.54302/mausam.v77i2.6492</w:t>
      </w:r>
    </w:p>
    <w:p>
      <w:pPr/>
      <w:r>
        <w:rPr>
          <w:b/>
        </w:rPr>
        <w:t>Shared claim-specific concepts:</w:t>
      </w:r>
      <w:r>
        <w:t xml:space="preserve"> evaluate, key, trends; EU scope not established. This is a provisional connection, not an outcome finding.</w:t>
      </w:r>
    </w:p>
    <w:p>
      <w:pPr>
        <w:pStyle w:val="SourceNote"/>
      </w:pPr>
      <w:r>
        <w:rPr>
          <w:b/>
        </w:rPr>
        <w:t>Available abstract (not full text):</w:t>
      </w:r>
      <w:r>
        <w:t xml:space="preserve"> Comprehending rainfall patterns is a multifaceted endeavor, both in terms of spatial and temporal dimensions. Gaining insight into these patterns necessitates a close examination of trends within rainfall time series data. The main focus of this research is to evaluate the variations in annual and seasonal precipitation characteristics within the Kosi River Basin (KRB) of Uttarakhand using globally recommended method such as., Innovative Trend Analysis (ITA), Mann-Kendall (MK) test and linear regression (LR) analysis. Through ITA, both monotonic and non-monotonic trends were discerned, irrespective of serial correlation, dataset size, or distribution characteristics. This technique proves valuable in identifying diverse trends in rainfall data. In contrast to MK tests, ITA exhibited greater efficacy in trend detection, yielding distinct results across various seasons. For instance, during the monsoon season, MK tests failed to detect trends, while ITA successfully identified them. Conversely, post-monsoon season trends were identified using all three techniques. In sum, ITA emerged as a more dependable method for trend identification in rainfall data. This insight can be instrumental in formulating strategies for sustainable water resource management and addressing potential challenges posed by climate change on water availability. The findings of this study hold significant re</w:t>
      </w:r>
    </w:p>
    <w:p>
      <w:pPr/>
      <w:r>
        <w:rPr>
          <w:b/>
        </w:rPr>
        <w:t>POSSIBLE 2026:</w:t>
      </w:r>
      <w:r>
        <w:t xml:space="preserve"> Closed-Loop Electrical Control Systems for Agricultural Machinery: State of the Art and Future Trends in Key Technologies, Typical Applications, and Performance Evaluation — https://doi.org/10.3390/pr14203366</w:t>
      </w:r>
    </w:p>
    <w:p>
      <w:pPr/>
      <w:r>
        <w:rPr>
          <w:b/>
        </w:rPr>
        <w:t>Shared claim-specific concepts:</w:t>
      </w:r>
      <w:r>
        <w:t xml:space="preserve"> key, trends, field, work; EU scope not established. This is a provisional connection, not an outcome finding.</w:t>
      </w:r>
    </w:p>
    <w:p>
      <w:pPr>
        <w:pStyle w:val="SourceNote"/>
      </w:pPr>
      <w:r>
        <w:rPr>
          <w:b/>
        </w:rPr>
        <w:t>Available abstract (not full text):</w:t>
      </w:r>
      <w:r>
        <w:t xml:space="preserve"> Control of agricultural machinery is shifting from direct operator input toward closed-loop regulation coordinated by sensors, controllers, and actuators. This transition places greater demands on real-time performance, reliability, and practical deployability because field environments are complex and operating loads vary continuously. Existing reviews generally address automated navigation, electrohydraulic control, electrification, or control algorithms in isolation; few systematically compare coupling among all elements of the electrical control loop or the strength of the supporting evidence. This study therefore combines a topic-oriented structured narrative review with evidence mapping and critical synthesis for field agricultural machinery and implements. The proposed framework comprises five functional domains: sensing and state estimation, controllers and control hardware, control methods, actuation and drives, and communication and power supply. These domains are mapped to representative applications, including tractor–implement coordination, seeding and fertilization, crop protection, harvesting, and autonomous operation. Current closed-loop applications predominantly regulate vehicle motion, actuators, and process states. By contrast, operation-quality loops that directly use agronomic outcomes, such as seed placement quality, spray deposition, or harvest loss, as </w:t>
      </w:r>
    </w:p>
    <w:p>
      <w:pPr/>
      <w:r>
        <w:rPr>
          <w:b/>
        </w:rPr>
        <w:t>POSSIBLE 2025:</w:t>
      </w:r>
      <w:r>
        <w:t xml:space="preserve"> Financial Trends and Performance in the Food Industry: An Evaluation of Key Indicators — https://doi.org/10.15414/2024.9788055228167.479-487</w:t>
      </w:r>
    </w:p>
    <w:p>
      <w:pPr/>
      <w:r>
        <w:rPr>
          <w:b/>
        </w:rPr>
        <w:t>Shared claim-specific concepts:</w:t>
      </w:r>
      <w:r>
        <w:t xml:space="preserve"> evaluate, key, trends; EU scope visible. This is a provisional connection, not an outcome finding.</w:t>
      </w:r>
    </w:p>
    <w:p>
      <w:pPr>
        <w:pStyle w:val="SourceNote"/>
      </w:pPr>
      <w:r>
        <w:rPr>
          <w:b/>
        </w:rPr>
        <w:t>Available abstract (not full text):</w:t>
      </w:r>
      <w:r>
        <w:t xml:space="preserve"> Paper's objective(s) and research backgroundThe food industry plays a crucial role in shaping cultural practices, consumer trends, and economic development.It continually adapts to changes in technology, consumer preferences, and societal demands, making it a dynamic and influential sector.The food industry has a long tradition in Slovakia, although it has undergone a significant and complicated restructuring since 1990.A significant milestone in the development of the food industry was Slovakia's accession to the EU in the context of adapting to European markets not only in terms of production but also in terms of legislation.In addition to the harmonisation of legislation, accession to the EU also brought about an increase in the share of foreign capital in food companies and their integration into international business structures.In addition, the food industry has also seen changes in terms of technical and technological innovations and organisational changes in the production, distribution and sale of food commodities. Data/MethodsThe aim of the paper is to evaluate the financial trends and performance of the food industry in the time period 2016-2022 based on selected key indicators.The analysis includes data within SK NACE Section C, Division 10.In addition to general theoretical scientific methods, we used time analysis methods. Results/Conclusions/Value addedThe analys</w:t>
      </w:r>
    </w:p>
    <w:p>
      <w:pPr/>
      <w:r>
        <w:rPr>
          <w:b/>
        </w:rPr>
        <w:t>POSSIBLE 2024:</w:t>
      </w:r>
      <w:r>
        <w:t xml:space="preserve"> Analysis and Evaluation of Trends in Natural Disasters — https://doi.org/10.38146/bsz.2024.2.7</w:t>
      </w:r>
    </w:p>
    <w:p>
      <w:pPr/>
      <w:r>
        <w:rPr>
          <w:b/>
        </w:rPr>
        <w:t>Shared claim-specific concepts:</w:t>
      </w:r>
      <w:r>
        <w:t xml:space="preserve"> key, trends, work; EU scope not established. This is a provisional connection, not an outcome finding.</w:t>
      </w:r>
    </w:p>
    <w:p>
      <w:pPr>
        <w:pStyle w:val="SourceNote"/>
      </w:pPr>
      <w:r>
        <w:rPr>
          <w:b/>
        </w:rPr>
        <w:t>Available abstract (not full text):</w:t>
      </w:r>
      <w:r>
        <w:t xml:space="preserve"> Aim: The aim of this article is to examine the terminology behind natural disasters and to group them together to give readers an insight into the world of natural hazards. The author also aims to describe the quantitative changes that have occurred in recent years.Methodology: The definitions are based on the presentation of concepts used by key authorities. Categorisation and trend analysis is based on international discourse, databases and reports from relevant bodies and organisations.Findings: The security environment is changing dramatically. One reason for this is that there is a clear increase in a number of categories of natural events (disasters). As regards definitions, there is no uniform concept, but disasters are exceptional events with significant material damage.Value: Through the author’s analytical and evaluative work, the reader will gain insight into the world of natural disasters, a broad knowledge of the relevant literature, and valuable insights into global vulnerability and changing trends.</w:t>
      </w:r>
    </w:p>
    <w:p>
      <w:pPr/>
      <w:r>
        <w:rPr>
          <w:b/>
        </w:rPr>
        <w:t>POSSIBLE 2024:</w:t>
      </w:r>
      <w:r>
        <w:t xml:space="preserve"> Principles and Guidelines for Evaluating Social Robot Navigation Algorithms — https://doi.org/10.1145/3700599</w:t>
      </w:r>
    </w:p>
    <w:p>
      <w:pPr/>
      <w:r>
        <w:rPr>
          <w:b/>
        </w:rPr>
        <w:t>Shared claim-specific concepts:</w:t>
      </w:r>
      <w:r>
        <w:t xml:space="preserve"> evaluate, field, different, human; EU scope not established. This is a provisional connection, not an outcome finding.</w:t>
      </w:r>
    </w:p>
    <w:p>
      <w:pPr>
        <w:pStyle w:val="SourceNote"/>
      </w:pPr>
      <w:r>
        <w:rPr>
          <w:b/>
        </w:rPr>
        <w:t>Available abstract (not full text):</w:t>
      </w:r>
      <w:r>
        <w:t xml:space="preserve"> A major challenge to deploying robots widely is navigation in human-populated environments, commonly referred to as social robot navigation . While the field of social navigation has advanced tremendously in recent years, the fair evaluation of algorithms that tackle social navigation remains hard because it involves not just robotic agents moving in static environments but also dynamic human agents and their perceptions of the appropriateness of robot behavior. In contrast, clear, repeatable, and accessible benchmarks have accelerated progress in fields like computer vision, natural language processing and traditional robot navigation by enabling researchers to fairly compare algorithms, revealing limitations of existing solutions and illuminating promising new directions. We believe the same approach can benefit social navigation. In this article, we pave the road toward common, widely accessible, and repeatable benchmarking criteria to evaluate social robot navigation. Our contributions include (a) a definition of a socially navigating robot as one that respects the principles of safety, comfort, legibility, politeness, social competency, agent understanding, proactivity, and responsiveness to context, (b) guidelines for the use of metrics, development of scenarios, benchmarks, datasets, and simulators to evaluate social navigation, and (c) a design of a social navigation me</w:t>
      </w:r>
    </w:p>
    <w:p>
      <w:pPr/>
      <w:r>
        <w:rPr>
          <w:b/>
        </w:rPr>
        <w:t>POSSIBLE 2024:</w:t>
      </w:r>
      <w:r>
        <w:t xml:space="preserve"> Artificial Intelligence for Predictive Maintenance Applications: Key Components, Trustworthiness, and Future Trends — https://doi.org/10.3390/app14020898</w:t>
      </w:r>
    </w:p>
    <w:p>
      <w:pPr/>
      <w:r>
        <w:rPr>
          <w:b/>
        </w:rPr>
        <w:t>Shared claim-specific concepts:</w:t>
      </w:r>
      <w:r>
        <w:t xml:space="preserve"> key, trends, human; EU scope not established. This is a provisional connection, not an outcome finding.</w:t>
      </w:r>
    </w:p>
    <w:p>
      <w:pPr>
        <w:pStyle w:val="SourceNote"/>
      </w:pPr>
      <w:r>
        <w:rPr>
          <w:b/>
        </w:rPr>
        <w:t>Available abstract (not full text):</w:t>
      </w:r>
      <w:r>
        <w:t xml:space="preserve"> Predictive maintenance (PdM) is a policy applying data and analytics to predict when one of the components in a real system has been destroyed, and some anomalies appear so that maintenance can be performed before a breakdown takes place. Using cutting-edge technologies like data analytics and artificial intelligence (AI) enhances the performance and accuracy of predictive maintenance systems and increases their autonomy and adaptability in complex and dynamic working environments. This paper reviews the recent developments in AI-based PdM, focusing on key components, trustworthiness, and future trends. The state-of-the-art (SOTA) techniques, challenges, and opportunities associated with AI-based PdM are first analyzed. The integration of AI technologies into PdM in real-world applications, the human–robot interaction, the ethical issues emerging from using AI, and the testing and validation abilities of the developed policies are later discussed. This study exhibits the potential working areas for future research, such as digital twin, metaverse, generative AI, collaborative robots (cobots), blockchain technology, trustworthy AI, and Industrial Internet of Things (IIoT), utilizing a comprehensive survey of the current SOTA techniques, opportunities, and challenges allied with AI-based PdM.</w:t>
      </w:r>
    </w:p>
    <w:p>
      <w:pPr/>
      <w:r>
        <w:rPr>
          <w:b/>
        </w:rPr>
        <w:t>POSSIBLE 2024:</w:t>
      </w:r>
      <w:r>
        <w:t xml:space="preserve"> Conclusion: key trends shaping the field — https://doi.org/10.4337/9781803928289.00045</w:t>
      </w:r>
    </w:p>
    <w:p>
      <w:pPr/>
      <w:r>
        <w:rPr>
          <w:b/>
        </w:rPr>
        <w:t>Shared claim-specific concepts:</w:t>
      </w:r>
      <w:r>
        <w:t xml:space="preserve"> key, trends, field; EU scope not established. This is a provisional connection, not an outcome finding.</w:t>
      </w:r>
    </w:p>
    <w:p>
      <w:pPr>
        <w:pStyle w:val="SourceNote"/>
      </w:pPr>
      <w:r>
        <w:rPr>
          <w:b/>
        </w:rPr>
        <w:t>Available abstract (not full text):</w:t>
      </w:r>
      <w:r>
        <w:t xml:space="preserve"> The conclusion provides a review of overarching themes and emerging trends across the chapters, outlines a research agenda for further advancement of the field, and predicts future directions. The chapter focuses on three themes and trends: evaluation’s potential role in addressing urgent global challenges; the rapid proliferation of data and advancement of technology available to evaluators; and the imperative that evaluators actively and intentionally advocate for social justice, including through working to decolonize the practice of evaluation itself. The editors end with a call for reflection, research on evaluation, and action to push the evaluation field towards a collectively desired future.</w:t>
      </w:r>
    </w:p>
    <w:p>
      <w:pPr/>
      <w:r>
        <w:rPr>
          <w:b/>
        </w:rPr>
        <w:t>POSSIBLE 2023:</w:t>
      </w:r>
      <w:r>
        <w:t xml:space="preserve"> A Comprehensive Evaluation of Factors Influencing Acceptance of Robotic Assistants in Field Construction Work — https://doi.org/10.1061/jmenea.meeng-5227</w:t>
      </w:r>
    </w:p>
    <w:p>
      <w:pPr/>
      <w:r>
        <w:rPr>
          <w:b/>
        </w:rPr>
        <w:t>Shared claim-specific concepts:</w:t>
      </w:r>
      <w:r>
        <w:t xml:space="preserve"> evaluate, key, field, human, work; EU scope not established. This is a provisional connection, not an outcome finding.</w:t>
      </w:r>
    </w:p>
    <w:p>
      <w:pPr>
        <w:pStyle w:val="SourceNote"/>
      </w:pPr>
      <w:r>
        <w:rPr>
          <w:b/>
        </w:rPr>
        <w:t>Available abstract (not full text):</w:t>
      </w:r>
      <w:r>
        <w:t xml:space="preserve"> The adoption of human–robot collaboration (HRC) in various forms is widely expected to help improve productivity, reduce human physical workload, and alleviate the issues created by a skilled labor shortage in the construction industry. One potential deterrent to adoption of such collaborative work methods often cited by industry stakeholders is resistance by workers stemming from their fear of losing their jobs or having to learn new approaches and methods of performing construction work. Although significant prior studies have used path analyses to statistically evaluate hypotheses about technology adoption models by estimating the relationships in the models, no research has specifically investigated the intention to work in HRC through such an approach. This study addresses this knowledge gap and empirically investigates the factors affecting construction personnel’s behavioral intention to accept HRC. HRC in this study is envisioned as robotic assistants performing the physically demanding repetitive work while construction personnel focus on cognitive tasks necessary to plan and supervise the work. An HRC adoption model based on the technology acceptance model (TAM) and innovation diffusion theory (IDT) is presented. This study expands a TAM-IDT model with new constructs such as job satisfaction and openness to training to explore an improved model that increases the unde</w:t>
      </w:r>
    </w:p>
    <w:p>
      <w:pPr/>
      <w:r>
        <w:rPr>
          <w:b/>
        </w:rPr>
        <w:t>POSSIBLE 2022:</w:t>
      </w:r>
      <w:r>
        <w:t xml:space="preserve"> Evaluating Research Trends Using Key Term Occurrences and Multivariate Mann-Kendall Test — https://doi.org/10.1109/isetc56213.2022.10010222</w:t>
      </w:r>
    </w:p>
    <w:p>
      <w:pPr/>
      <w:r>
        <w:rPr>
          <w:b/>
        </w:rPr>
        <w:t>Shared claim-specific concepts:</w:t>
      </w:r>
      <w:r>
        <w:t xml:space="preserve"> key, trends, field; EU scope not established. This is a provisional connection, not an outcome finding.</w:t>
      </w:r>
    </w:p>
    <w:p>
      <w:pPr>
        <w:pStyle w:val="SourceNote"/>
      </w:pPr>
      <w:r>
        <w:rPr>
          <w:b/>
        </w:rPr>
        <w:t>Available abstract (not full text):</w:t>
      </w:r>
      <w:r>
        <w:t xml:space="preserve"> This paper offers a quantifiable means for assessing the trend in the interest of scientific community in a particular research theme. Representing the research theme as a set of key terms, we investigate its trend within the scientific literature, using a corpus of paper metadata belonging to flagship journals and conferences that are relevant for the encompassing domain. Our method employs a multivariate version of the Mann-Kendall test that is applied to a multivariate time series of key term occurrences in order to discover if the trend of the research theme is ascending, descending or if there is no monotonic trend. Finally, an illustrative case study, examining the effectiveness of the proposed method for three research themes from Electronic Design Automation field, is presented.</w:t>
      </w:r>
    </w:p>
    <w:p>
      <w:pPr/>
      <w:r>
        <w:rPr>
          <w:b/>
        </w:rPr>
        <w:t>POSSIBLE 2022:</w:t>
      </w:r>
      <w:r>
        <w:t xml:space="preserve"> EVALUATING QUALITY OF GOVERNMENT REGULATORY ENFORCEMENT AND INSPECTION ACTIVITY FROM THE VIEWPOINT OF PRIVAT BUSINESS: KEY TRENDS — https://doi.org/10.5281/zenodo.7333284</w:t>
      </w:r>
    </w:p>
    <w:p>
      <w:pPr/>
      <w:r>
        <w:rPr>
          <w:b/>
        </w:rPr>
        <w:t>Shared claim-specific concepts:</w:t>
      </w:r>
      <w:r>
        <w:t xml:space="preserve"> evaluate, key, trends, regarding; EU scope not established. This is a provisional connection, not an outcome finding.</w:t>
      </w:r>
    </w:p>
    <w:p>
      <w:pPr>
        <w:pStyle w:val="SourceNote"/>
      </w:pPr>
      <w:r>
        <w:rPr>
          <w:b/>
        </w:rPr>
        <w:t>Available abstract (not full text):</w:t>
      </w:r>
      <w:r>
        <w:t xml:space="preserve"> Enhancing the government’s regulatory enforcement and oversight performance has been considered among critical measures aimed at improving the business environment in Russia; this makes the study relevant for the current governance agenda. The objective of this paper is to evaluate the dynamics of private businesses’ perceptions regarding the justified nature, efficacy, and efficiency of state oversight measures in 2017 – 2021. The subject of the study is the quality of state regulatory enforcement and oversight, including its rationality, efficacy, and efficiency. The key method used in this study is a representative sociological survey of private business entities conducted in 2021. The findings were then compared with those from similar surveys carried out in 2017 and 2020. The results presented in this paper include the analysis of businesses’ perceptions regarding all quality parameters of state regulatory and oversight interference (how justified, effective, and efficient it is). The study concludes that so far, the state regulatory system reform in Russia has not resulted in its performance being more effective (i.e., carrying lower risk of damage to the public values) or more justified. Notably, administrative costs borne by businesses due to state inspections have decreased due to a lower average cost per inspection as well as a reduction in the total number of inspect</w:t>
      </w:r>
    </w:p>
    <w:p>
      <w:pPr/>
      <w:r>
        <w:rPr>
          <w:b/>
        </w:rPr>
        <w:t>POSSIBLE 2022:</w:t>
      </w:r>
      <w:r>
        <w:t xml:space="preserve"> Human–robot collaboration and machine learning: A systematic review of recent research — https://doi.org/10.1016/j.rcim.2022.102432</w:t>
      </w:r>
    </w:p>
    <w:p>
      <w:pPr/>
      <w:r>
        <w:rPr>
          <w:b/>
        </w:rPr>
        <w:t>Shared claim-specific concepts:</w:t>
      </w:r>
      <w:r>
        <w:t xml:space="preserve"> key, trends, different, human, life; EU scope not established. This is a provisional connection, not an outcome finding.</w:t>
      </w:r>
    </w:p>
    <w:p>
      <w:pPr>
        <w:pStyle w:val="SourceNote"/>
      </w:pPr>
      <w:r>
        <w:rPr>
          <w:b/>
        </w:rPr>
        <w:t>Available abstract (not full text):</w:t>
      </w:r>
      <w:r>
        <w:t xml:space="preserve"> Technological progress increasingly envisions the use of robots interacting with people in everyday life. Human–robot collaboration (HRC) is the approach that explores the interaction between a human and a robot, during the completion of a common objective, at the cognitive and physical level. In HRC works, a cognitive model is typically built, which collects inputs from the environment and from the user, elaborates and translates these into information that can be used by the robot itself. Machine learning is a recent approach to build the cognitive model and behavioural block, with high potential in HRC. Consequently, this paper proposes a thorough literature review of the use of machine learning techniques in the context of human–robot collaboration. 45 key papers were selected and analysed, and a clustering of works based on the type of collaborative tasks, evaluation metrics and cognitive variables modelled is proposed. Then, a deep analysis on different families of machine learning algorithms and their properties, along with the sensing modalities used, is carried out. Among the observations, it is outlined the importance of the machine learning algorithms to incorporate time dependencies. The salient features of these works are then cross-analysed to show trends in HRC and give guidelines for future works, comparing them with other aspects of HRC not appeared in the revi</w:t>
      </w:r>
    </w:p>
    <w:p>
      <w:pPr/>
      <w:r>
        <w:rPr>
          <w:b/>
        </w:rPr>
        <w:t>POSSIBLE 2022:</w:t>
      </w:r>
      <w:r>
        <w:t xml:space="preserve"> A RAPID REVIEW ON ROBOTIC (EXOSKELETON) TO EVALUATE BALANCED, STANDING AND WALKING — https://doi.org/10.47750/pnr.2022.13.s06.383</w:t>
      </w:r>
    </w:p>
    <w:p>
      <w:pPr/>
      <w:r>
        <w:rPr>
          <w:b/>
        </w:rPr>
        <w:t>Shared claim-specific concepts:</w:t>
      </w:r>
      <w:r>
        <w:t xml:space="preserve"> evaluate, key, human; EU scope not established. This is a provisional connection, not an outcome finding.</w:t>
      </w:r>
    </w:p>
    <w:p>
      <w:pPr>
        <w:pStyle w:val="SourceNote"/>
      </w:pPr>
      <w:r>
        <w:rPr>
          <w:b/>
        </w:rPr>
        <w:t>Available abstract (not full text):</w:t>
      </w:r>
      <w:r>
        <w:t xml:space="preserve"> Balance evaluation during standing and walking is efficient chiefly in people with neural compensations. Rehabilitation robots, on the other hand, might make evaluation processes easier and increase their clinical usefulness. We analysed the possible use of robotic instruments for such assessments based on this overview. The uniqueness and presumed key benefits of utilising robots for assessment include their capacity to assess severely afflicted patients by offering assistance-when-needed, as well as their ability to give constant perturbations while standing and walking while recording the patient's reactions. We classify robotic devices based on three factors that are significant to their potential application in balance assessment: 1) the device's interaction with the human body; 2) on what surface the individual stands or walks when using the gadget, and 3) To what extent the wearable devices are. Also, robotic support was easy to use with no undesirable effects of skin abrasions or soreness.</w:t>
      </w:r>
    </w:p>
    <w:p>
      <w:pPr>
        <w:pStyle w:val="Heading2"/>
      </w:pPr>
      <w:r>
        <w:t>792. Futures of robotics. Human work in digital transformation</w:t>
      </w:r>
    </w:p>
    <w:p>
      <w:pPr>
        <w:pStyle w:val="SourceNote"/>
      </w:pPr>
      <w:r>
        <w:rPr>
          <w:b/>
        </w:rPr>
        <w:t>Original source (2017):</w:t>
      </w:r>
      <w:r>
        <w:t xml:space="preserve"> https://doi.org/10.1504/ijtm.2017.10004003</w:t>
      </w:r>
    </w:p>
    <w:p>
      <w:pPr/>
      <w:r>
        <w:t>Original wording (abstract; indexed_source_text_not_full_document_verified): We evaluate key future trends in the field of robotics and analyse different scenarios regarding the futures of human beings and work life.</w:t>
      </w:r>
    </w:p>
    <w:p>
      <w:pPr/>
      <w:r>
        <w:rPr>
          <w:b/>
        </w:rPr>
        <w:t>POSSIBLE 2026:</w:t>
      </w:r>
      <w:r>
        <w:t xml:space="preserve"> Evaluating rainfall trend in four key stations of the Northwestern Himalayan region, Uttarakhand: utilizing innovative graphical approaches for trend assessment — https://doi.org/10.54302/mausam.v77i2.6492</w:t>
      </w:r>
    </w:p>
    <w:p>
      <w:pPr/>
      <w:r>
        <w:rPr>
          <w:b/>
        </w:rPr>
        <w:t>Shared claim-specific concepts:</w:t>
      </w:r>
      <w:r>
        <w:t xml:space="preserve"> evaluate, key, trends; EU scope not established. This is a provisional connection, not an outcome finding.</w:t>
      </w:r>
    </w:p>
    <w:p>
      <w:pPr>
        <w:pStyle w:val="SourceNote"/>
      </w:pPr>
      <w:r>
        <w:rPr>
          <w:b/>
        </w:rPr>
        <w:t>Available abstract (not full text):</w:t>
      </w:r>
      <w:r>
        <w:t xml:space="preserve"> Comprehending rainfall patterns is a multifaceted endeavor, both in terms of spatial and temporal dimensions. Gaining insight into these patterns necessitates a close examination of trends within rainfall time series data. The main focus of this research is to evaluate the variations in annual and seasonal precipitation characteristics within the Kosi River Basin (KRB) of Uttarakhand using globally recommended method such as., Innovative Trend Analysis (ITA), Mann-Kendall (MK) test and linear regression (LR) analysis. Through ITA, both monotonic and non-monotonic trends were discerned, irrespective of serial correlation, dataset size, or distribution characteristics. This technique proves valuable in identifying diverse trends in rainfall data. In contrast to MK tests, ITA exhibited greater efficacy in trend detection, yielding distinct results across various seasons. For instance, during the monsoon season, MK tests failed to detect trends, while ITA successfully identified them. Conversely, post-monsoon season trends were identified using all three techniques. In sum, ITA emerged as a more dependable method for trend identification in rainfall data. This insight can be instrumental in formulating strategies for sustainable water resource management and addressing potential challenges posed by climate change on water availability. The findings of this study hold significant re</w:t>
      </w:r>
    </w:p>
    <w:p>
      <w:pPr/>
      <w:r>
        <w:rPr>
          <w:b/>
        </w:rPr>
        <w:t>POSSIBLE 2026:</w:t>
      </w:r>
      <w:r>
        <w:t xml:space="preserve"> Closed-Loop Electrical Control Systems for Agricultural Machinery: State of the Art and Future Trends in Key Technologies, Typical Applications, and Performance Evaluation — https://doi.org/10.3390/pr14203366</w:t>
      </w:r>
    </w:p>
    <w:p>
      <w:pPr/>
      <w:r>
        <w:rPr>
          <w:b/>
        </w:rPr>
        <w:t>Shared claim-specific concepts:</w:t>
      </w:r>
      <w:r>
        <w:t xml:space="preserve"> key, trends, field, work; EU scope not established. This is a provisional connection, not an outcome finding.</w:t>
      </w:r>
    </w:p>
    <w:p>
      <w:pPr>
        <w:pStyle w:val="SourceNote"/>
      </w:pPr>
      <w:r>
        <w:rPr>
          <w:b/>
        </w:rPr>
        <w:t>Available abstract (not full text):</w:t>
      </w:r>
      <w:r>
        <w:t xml:space="preserve"> Control of agricultural machinery is shifting from direct operator input toward closed-loop regulation coordinated by sensors, controllers, and actuators. This transition places greater demands on real-time performance, reliability, and practical deployability because field environments are complex and operating loads vary continuously. Existing reviews generally address automated navigation, electrohydraulic control, electrification, or control algorithms in isolation; few systematically compare coupling among all elements of the electrical control loop or the strength of the supporting evidence. This study therefore combines a topic-oriented structured narrative review with evidence mapping and critical synthesis for field agricultural machinery and implements. The proposed framework comprises five functional domains: sensing and state estimation, controllers and control hardware, control methods, actuation and drives, and communication and power supply. These domains are mapped to representative applications, including tractor–implement coordination, seeding and fertilization, crop protection, harvesting, and autonomous operation. Current closed-loop applications predominantly regulate vehicle motion, actuators, and process states. By contrast, operation-quality loops that directly use agronomic outcomes, such as seed placement quality, spray deposition, or harvest loss, as </w:t>
      </w:r>
    </w:p>
    <w:p>
      <w:pPr/>
      <w:r>
        <w:rPr>
          <w:b/>
        </w:rPr>
        <w:t>POSSIBLE 2025:</w:t>
      </w:r>
      <w:r>
        <w:t xml:space="preserve"> Financial Trends and Performance in the Food Industry: An Evaluation of Key Indicators — https://doi.org/10.15414/2024.9788055228167.479-487</w:t>
      </w:r>
    </w:p>
    <w:p>
      <w:pPr/>
      <w:r>
        <w:rPr>
          <w:b/>
        </w:rPr>
        <w:t>Shared claim-specific concepts:</w:t>
      </w:r>
      <w:r>
        <w:t xml:space="preserve"> evaluate, key, trends; EU scope visible. This is a provisional connection, not an outcome finding.</w:t>
      </w:r>
    </w:p>
    <w:p>
      <w:pPr>
        <w:pStyle w:val="SourceNote"/>
      </w:pPr>
      <w:r>
        <w:rPr>
          <w:b/>
        </w:rPr>
        <w:t>Available abstract (not full text):</w:t>
      </w:r>
      <w:r>
        <w:t xml:space="preserve"> Paper's objective(s) and research backgroundThe food industry plays a crucial role in shaping cultural practices, consumer trends, and economic development.It continually adapts to changes in technology, consumer preferences, and societal demands, making it a dynamic and influential sector.The food industry has a long tradition in Slovakia, although it has undergone a significant and complicated restructuring since 1990.A significant milestone in the development of the food industry was Slovakia's accession to the EU in the context of adapting to European markets not only in terms of production but also in terms of legislation.In addition to the harmonisation of legislation, accession to the EU also brought about an increase in the share of foreign capital in food companies and their integration into international business structures.In addition, the food industry has also seen changes in terms of technical and technological innovations and organisational changes in the production, distribution and sale of food commodities. Data/MethodsThe aim of the paper is to evaluate the financial trends and performance of the food industry in the time period 2016-2022 based on selected key indicators.The analysis includes data within SK NACE Section C, Division 10.In addition to general theoretical scientific methods, we used time analysis methods. Results/Conclusions/Value addedThe analys</w:t>
      </w:r>
    </w:p>
    <w:p>
      <w:pPr/>
      <w:r>
        <w:rPr>
          <w:b/>
        </w:rPr>
        <w:t>POSSIBLE 2024:</w:t>
      </w:r>
      <w:r>
        <w:t xml:space="preserve"> Analysis and Evaluation of Trends in Natural Disasters — https://doi.org/10.38146/bsz.2024.2.7</w:t>
      </w:r>
    </w:p>
    <w:p>
      <w:pPr/>
      <w:r>
        <w:rPr>
          <w:b/>
        </w:rPr>
        <w:t>Shared claim-specific concepts:</w:t>
      </w:r>
      <w:r>
        <w:t xml:space="preserve"> key, trends, work; EU scope not established. This is a provisional connection, not an outcome finding.</w:t>
      </w:r>
    </w:p>
    <w:p>
      <w:pPr>
        <w:pStyle w:val="SourceNote"/>
      </w:pPr>
      <w:r>
        <w:rPr>
          <w:b/>
        </w:rPr>
        <w:t>Available abstract (not full text):</w:t>
      </w:r>
      <w:r>
        <w:t xml:space="preserve"> Aim: The aim of this article is to examine the terminology behind natural disasters and to group them together to give readers an insight into the world of natural hazards. The author also aims to describe the quantitative changes that have occurred in recent years.Methodology: The definitions are based on the presentation of concepts used by key authorities. Categorisation and trend analysis is based on international discourse, databases and reports from relevant bodies and organisations.Findings: The security environment is changing dramatically. One reason for this is that there is a clear increase in a number of categories of natural events (disasters). As regards definitions, there is no uniform concept, but disasters are exceptional events with significant material damage.Value: Through the author’s analytical and evaluative work, the reader will gain insight into the world of natural disasters, a broad knowledge of the relevant literature, and valuable insights into global vulnerability and changing trends.</w:t>
      </w:r>
    </w:p>
    <w:p>
      <w:pPr/>
      <w:r>
        <w:rPr>
          <w:b/>
        </w:rPr>
        <w:t>POSSIBLE 2024:</w:t>
      </w:r>
      <w:r>
        <w:t xml:space="preserve"> Principles and Guidelines for Evaluating Social Robot Navigation Algorithms — https://doi.org/10.1145/3700599</w:t>
      </w:r>
    </w:p>
    <w:p>
      <w:pPr/>
      <w:r>
        <w:rPr>
          <w:b/>
        </w:rPr>
        <w:t>Shared claim-specific concepts:</w:t>
      </w:r>
      <w:r>
        <w:t xml:space="preserve"> evaluate, field, different, human; EU scope not established. This is a provisional connection, not an outcome finding.</w:t>
      </w:r>
    </w:p>
    <w:p>
      <w:pPr>
        <w:pStyle w:val="SourceNote"/>
      </w:pPr>
      <w:r>
        <w:rPr>
          <w:b/>
        </w:rPr>
        <w:t>Available abstract (not full text):</w:t>
      </w:r>
      <w:r>
        <w:t xml:space="preserve"> A major challenge to deploying robots widely is navigation in human-populated environments, commonly referred to as social robot navigation . While the field of social navigation has advanced tremendously in recent years, the fair evaluation of algorithms that tackle social navigation remains hard because it involves not just robotic agents moving in static environments but also dynamic human agents and their perceptions of the appropriateness of robot behavior. In contrast, clear, repeatable, and accessible benchmarks have accelerated progress in fields like computer vision, natural language processing and traditional robot navigation by enabling researchers to fairly compare algorithms, revealing limitations of existing solutions and illuminating promising new directions. We believe the same approach can benefit social navigation. In this article, we pave the road toward common, widely accessible, and repeatable benchmarking criteria to evaluate social robot navigation. Our contributions include (a) a definition of a socially navigating robot as one that respects the principles of safety, comfort, legibility, politeness, social competency, agent understanding, proactivity, and responsiveness to context, (b) guidelines for the use of metrics, development of scenarios, benchmarks, datasets, and simulators to evaluate social navigation, and (c) a design of a social navigation me</w:t>
      </w:r>
    </w:p>
    <w:p>
      <w:pPr/>
      <w:r>
        <w:rPr>
          <w:b/>
        </w:rPr>
        <w:t>POSSIBLE 2024:</w:t>
      </w:r>
      <w:r>
        <w:t xml:space="preserve"> Artificial Intelligence for Predictive Maintenance Applications: Key Components, Trustworthiness, and Future Trends — https://doi.org/10.3390/app14020898</w:t>
      </w:r>
    </w:p>
    <w:p>
      <w:pPr/>
      <w:r>
        <w:rPr>
          <w:b/>
        </w:rPr>
        <w:t>Shared claim-specific concepts:</w:t>
      </w:r>
      <w:r>
        <w:t xml:space="preserve"> key, trends, human; EU scope not established. This is a provisional connection, not an outcome finding.</w:t>
      </w:r>
    </w:p>
    <w:p>
      <w:pPr>
        <w:pStyle w:val="SourceNote"/>
      </w:pPr>
      <w:r>
        <w:rPr>
          <w:b/>
        </w:rPr>
        <w:t>Available abstract (not full text):</w:t>
      </w:r>
      <w:r>
        <w:t xml:space="preserve"> Predictive maintenance (PdM) is a policy applying data and analytics to predict when one of the components in a real system has been destroyed, and some anomalies appear so that maintenance can be performed before a breakdown takes place. Using cutting-edge technologies like data analytics and artificial intelligence (AI) enhances the performance and accuracy of predictive maintenance systems and increases their autonomy and adaptability in complex and dynamic working environments. This paper reviews the recent developments in AI-based PdM, focusing on key components, trustworthiness, and future trends. The state-of-the-art (SOTA) techniques, challenges, and opportunities associated with AI-based PdM are first analyzed. The integration of AI technologies into PdM in real-world applications, the human–robot interaction, the ethical issues emerging from using AI, and the testing and validation abilities of the developed policies are later discussed. This study exhibits the potential working areas for future research, such as digital twin, metaverse, generative AI, collaborative robots (cobots), blockchain technology, trustworthy AI, and Industrial Internet of Things (IIoT), utilizing a comprehensive survey of the current SOTA techniques, opportunities, and challenges allied with AI-based PdM.</w:t>
      </w:r>
    </w:p>
    <w:p>
      <w:pPr/>
      <w:r>
        <w:rPr>
          <w:b/>
        </w:rPr>
        <w:t>POSSIBLE 2024:</w:t>
      </w:r>
      <w:r>
        <w:t xml:space="preserve"> Conclusion: key trends shaping the field — https://doi.org/10.4337/9781803928289.00045</w:t>
      </w:r>
    </w:p>
    <w:p>
      <w:pPr/>
      <w:r>
        <w:rPr>
          <w:b/>
        </w:rPr>
        <w:t>Shared claim-specific concepts:</w:t>
      </w:r>
      <w:r>
        <w:t xml:space="preserve"> key, trends, field; EU scope not established. This is a provisional connection, not an outcome finding.</w:t>
      </w:r>
    </w:p>
    <w:p>
      <w:pPr>
        <w:pStyle w:val="SourceNote"/>
      </w:pPr>
      <w:r>
        <w:rPr>
          <w:b/>
        </w:rPr>
        <w:t>Available abstract (not full text):</w:t>
      </w:r>
      <w:r>
        <w:t xml:space="preserve"> The conclusion provides a review of overarching themes and emerging trends across the chapters, outlines a research agenda for further advancement of the field, and predicts future directions. The chapter focuses on three themes and trends: evaluation’s potential role in addressing urgent global challenges; the rapid proliferation of data and advancement of technology available to evaluators; and the imperative that evaluators actively and intentionally advocate for social justice, including through working to decolonize the practice of evaluation itself. The editors end with a call for reflection, research on evaluation, and action to push the evaluation field towards a collectively desired future.</w:t>
      </w:r>
    </w:p>
    <w:p>
      <w:pPr/>
      <w:r>
        <w:rPr>
          <w:b/>
        </w:rPr>
        <w:t>POSSIBLE 2023:</w:t>
      </w:r>
      <w:r>
        <w:t xml:space="preserve"> A Comprehensive Evaluation of Factors Influencing Acceptance of Robotic Assistants in Field Construction Work — https://doi.org/10.1061/jmenea.meeng-5227</w:t>
      </w:r>
    </w:p>
    <w:p>
      <w:pPr/>
      <w:r>
        <w:rPr>
          <w:b/>
        </w:rPr>
        <w:t>Shared claim-specific concepts:</w:t>
      </w:r>
      <w:r>
        <w:t xml:space="preserve"> evaluate, key, field, human, work; EU scope not established. This is a provisional connection, not an outcome finding.</w:t>
      </w:r>
    </w:p>
    <w:p>
      <w:pPr>
        <w:pStyle w:val="SourceNote"/>
      </w:pPr>
      <w:r>
        <w:rPr>
          <w:b/>
        </w:rPr>
        <w:t>Available abstract (not full text):</w:t>
      </w:r>
      <w:r>
        <w:t xml:space="preserve"> The adoption of human–robot collaboration (HRC) in various forms is widely expected to help improve productivity, reduce human physical workload, and alleviate the issues created by a skilled labor shortage in the construction industry. One potential deterrent to adoption of such collaborative work methods often cited by industry stakeholders is resistance by workers stemming from their fear of losing their jobs or having to learn new approaches and methods of performing construction work. Although significant prior studies have used path analyses to statistically evaluate hypotheses about technology adoption models by estimating the relationships in the models, no research has specifically investigated the intention to work in HRC through such an approach. This study addresses this knowledge gap and empirically investigates the factors affecting construction personnel’s behavioral intention to accept HRC. HRC in this study is envisioned as robotic assistants performing the physically demanding repetitive work while construction personnel focus on cognitive tasks necessary to plan and supervise the work. An HRC adoption model based on the technology acceptance model (TAM) and innovation diffusion theory (IDT) is presented. This study expands a TAM-IDT model with new constructs such as job satisfaction and openness to training to explore an improved model that increases the unde</w:t>
      </w:r>
    </w:p>
    <w:p>
      <w:pPr/>
      <w:r>
        <w:rPr>
          <w:b/>
        </w:rPr>
        <w:t>POSSIBLE 2022:</w:t>
      </w:r>
      <w:r>
        <w:t xml:space="preserve"> Evaluating Research Trends Using Key Term Occurrences and Multivariate Mann-Kendall Test — https://doi.org/10.1109/isetc56213.2022.10010222</w:t>
      </w:r>
    </w:p>
    <w:p>
      <w:pPr/>
      <w:r>
        <w:rPr>
          <w:b/>
        </w:rPr>
        <w:t>Shared claim-specific concepts:</w:t>
      </w:r>
      <w:r>
        <w:t xml:space="preserve"> key, trends, field; EU scope not established. This is a provisional connection, not an outcome finding.</w:t>
      </w:r>
    </w:p>
    <w:p>
      <w:pPr>
        <w:pStyle w:val="SourceNote"/>
      </w:pPr>
      <w:r>
        <w:rPr>
          <w:b/>
        </w:rPr>
        <w:t>Available abstract (not full text):</w:t>
      </w:r>
      <w:r>
        <w:t xml:space="preserve"> This paper offers a quantifiable means for assessing the trend in the interest of scientific community in a particular research theme. Representing the research theme as a set of key terms, we investigate its trend within the scientific literature, using a corpus of paper metadata belonging to flagship journals and conferences that are relevant for the encompassing domain. Our method employs a multivariate version of the Mann-Kendall test that is applied to a multivariate time series of key term occurrences in order to discover if the trend of the research theme is ascending, descending or if there is no monotonic trend. Finally, an illustrative case study, examining the effectiveness of the proposed method for three research themes from Electronic Design Automation field, is presented.</w:t>
      </w:r>
    </w:p>
    <w:p>
      <w:pPr/>
      <w:r>
        <w:rPr>
          <w:b/>
        </w:rPr>
        <w:t>POSSIBLE 2022:</w:t>
      </w:r>
      <w:r>
        <w:t xml:space="preserve"> EVALUATING QUALITY OF GOVERNMENT REGULATORY ENFORCEMENT AND INSPECTION ACTIVITY FROM THE VIEWPOINT OF PRIVAT BUSINESS: KEY TRENDS — https://doi.org/10.5281/zenodo.7333284</w:t>
      </w:r>
    </w:p>
    <w:p>
      <w:pPr/>
      <w:r>
        <w:rPr>
          <w:b/>
        </w:rPr>
        <w:t>Shared claim-specific concepts:</w:t>
      </w:r>
      <w:r>
        <w:t xml:space="preserve"> evaluate, key, trends, regarding; EU scope not established. This is a provisional connection, not an outcome finding.</w:t>
      </w:r>
    </w:p>
    <w:p>
      <w:pPr>
        <w:pStyle w:val="SourceNote"/>
      </w:pPr>
      <w:r>
        <w:rPr>
          <w:b/>
        </w:rPr>
        <w:t>Available abstract (not full text):</w:t>
      </w:r>
      <w:r>
        <w:t xml:space="preserve"> Enhancing the government’s regulatory enforcement and oversight performance has been considered among critical measures aimed at improving the business environment in Russia; this makes the study relevant for the current governance agenda. The objective of this paper is to evaluate the dynamics of private businesses’ perceptions regarding the justified nature, efficacy, and efficiency of state oversight measures in 2017 – 2021. The subject of the study is the quality of state regulatory enforcement and oversight, including its rationality, efficacy, and efficiency. The key method used in this study is a representative sociological survey of private business entities conducted in 2021. The findings were then compared with those from similar surveys carried out in 2017 and 2020. The results presented in this paper include the analysis of businesses’ perceptions regarding all quality parameters of state regulatory and oversight interference (how justified, effective, and efficient it is). The study concludes that so far, the state regulatory system reform in Russia has not resulted in its performance being more effective (i.e., carrying lower risk of damage to the public values) or more justified. Notably, administrative costs borne by businesses due to state inspections have decreased due to a lower average cost per inspection as well as a reduction in the total number of inspect</w:t>
      </w:r>
    </w:p>
    <w:p>
      <w:pPr/>
      <w:r>
        <w:rPr>
          <w:b/>
        </w:rPr>
        <w:t>POSSIBLE 2022:</w:t>
      </w:r>
      <w:r>
        <w:t xml:space="preserve"> Human–robot collaboration and machine learning: A systematic review of recent research — https://doi.org/10.1016/j.rcim.2022.102432</w:t>
      </w:r>
    </w:p>
    <w:p>
      <w:pPr/>
      <w:r>
        <w:rPr>
          <w:b/>
        </w:rPr>
        <w:t>Shared claim-specific concepts:</w:t>
      </w:r>
      <w:r>
        <w:t xml:space="preserve"> key, trends, different, human, life; EU scope not established. This is a provisional connection, not an outcome finding.</w:t>
      </w:r>
    </w:p>
    <w:p>
      <w:pPr>
        <w:pStyle w:val="SourceNote"/>
      </w:pPr>
      <w:r>
        <w:rPr>
          <w:b/>
        </w:rPr>
        <w:t>Available abstract (not full text):</w:t>
      </w:r>
      <w:r>
        <w:t xml:space="preserve"> Technological progress increasingly envisions the use of robots interacting with people in everyday life. Human–robot collaboration (HRC) is the approach that explores the interaction between a human and a robot, during the completion of a common objective, at the cognitive and physical level. In HRC works, a cognitive model is typically built, which collects inputs from the environment and from the user, elaborates and translates these into information that can be used by the robot itself. Machine learning is a recent approach to build the cognitive model and behavioural block, with high potential in HRC. Consequently, this paper proposes a thorough literature review of the use of machine learning techniques in the context of human–robot collaboration. 45 key papers were selected and analysed, and a clustering of works based on the type of collaborative tasks, evaluation metrics and cognitive variables modelled is proposed. Then, a deep analysis on different families of machine learning algorithms and their properties, along with the sensing modalities used, is carried out. Among the observations, it is outlined the importance of the machine learning algorithms to incorporate time dependencies. The salient features of these works are then cross-analysed to show trends in HRC and give guidelines for future works, comparing them with other aspects of HRC not appeared in the revi</w:t>
      </w:r>
    </w:p>
    <w:p>
      <w:pPr/>
      <w:r>
        <w:rPr>
          <w:b/>
        </w:rPr>
        <w:t>POSSIBLE 2022:</w:t>
      </w:r>
      <w:r>
        <w:t xml:space="preserve"> A RAPID REVIEW ON ROBOTIC (EXOSKELETON) TO EVALUATE BALANCED, STANDING AND WALKING — https://doi.org/10.47750/pnr.2022.13.s06.383</w:t>
      </w:r>
    </w:p>
    <w:p>
      <w:pPr/>
      <w:r>
        <w:rPr>
          <w:b/>
        </w:rPr>
        <w:t>Shared claim-specific concepts:</w:t>
      </w:r>
      <w:r>
        <w:t xml:space="preserve"> evaluate, key, human; EU scope not established. This is a provisional connection, not an outcome finding.</w:t>
      </w:r>
    </w:p>
    <w:p>
      <w:pPr>
        <w:pStyle w:val="SourceNote"/>
      </w:pPr>
      <w:r>
        <w:rPr>
          <w:b/>
        </w:rPr>
        <w:t>Available abstract (not full text):</w:t>
      </w:r>
      <w:r>
        <w:t xml:space="preserve"> Balance evaluation during standing and walking is efficient chiefly in people with neural compensations. Rehabilitation robots, on the other hand, might make evaluation processes easier and increase their clinical usefulness. We analysed the possible use of robotic instruments for such assessments based on this overview. The uniqueness and presumed key benefits of utilising robots for assessment include their capacity to assess severely afflicted patients by offering assistance-when-needed, as well as their ability to give constant perturbations while standing and walking while recording the patient's reactions. We classify robotic devices based on three factors that are significant to their potential application in balance assessment: 1) the device's interaction with the human body; 2) on what surface the individual stands or walks when using the gadget, and 3) To what extent the wearable devices are. Also, robotic support was easy to use with no undesirable effects of skin abrasions or soreness.</w:t>
      </w:r>
    </w:p>
    <w:p>
      <w:pPr>
        <w:pStyle w:val="Heading2"/>
      </w:pPr>
      <w:r>
        <w:t>793. Governance barriers to sustainable energy transitions – Assessing Ireland's capacity towards marine energy futures</w:t>
      </w:r>
    </w:p>
    <w:p>
      <w:pPr>
        <w:pStyle w:val="SourceNote"/>
      </w:pPr>
      <w:r>
        <w:rPr>
          <w:b/>
        </w:rPr>
        <w:t>Original source (2017):</w:t>
      </w:r>
      <w:r>
        <w:t xml:space="preserve"> https://doi.org/10.1016/j.enpol.2017.11.020</w:t>
      </w:r>
    </w:p>
    <w:p>
      <w:pPr/>
      <w:r>
        <w:t>Original wording (abstract; indexed_source_text_not_full_document_verified): We observe that ME governance is complex, as development offshore involves engagement and may often result in conflict.</w:t>
      </w:r>
    </w:p>
    <w:p>
      <w:pPr/>
      <w:r>
        <w:rPr>
          <w:b/>
        </w:rPr>
        <w:t>POSSIBLE 2026:</w:t>
      </w:r>
      <w:r>
        <w:t xml:space="preserve"> Beyond the surface: diagnosing the origins of institutional barriers in the governance of floating offshore wind — https://doi.org/10.1007/s40152-026-00499-4</w:t>
      </w:r>
    </w:p>
    <w:p>
      <w:pPr/>
      <w:r>
        <w:rPr>
          <w:b/>
        </w:rPr>
        <w:t>Shared claim-specific concepts:</w:t>
      </w:r>
      <w:r>
        <w:t xml:space="preserve"> governance, offshore, often, result; EU scope not established. This is a provisional connection, not an outcome finding.</w:t>
      </w:r>
    </w:p>
    <w:p>
      <w:pPr>
        <w:pStyle w:val="SourceNote"/>
      </w:pPr>
      <w:r>
        <w:rPr>
          <w:b/>
        </w:rPr>
        <w:t>Available abstract (not full text):</w:t>
      </w:r>
      <w:r>
        <w:t xml:space="preserve"> The expansion of floating offshore wind in the UK's Celtic Sea presents a major opportunity to accelerate the low-carbon transition while supporting regional economic development. However, its implementation is unfolding within a fragmented governance landscape, which constrains the development of new governance approaches that can deliver on multiple policy objectives, including net-zero, nature recovery, and economic growth. Fragmentation is a well-documented feature of marine governance systems and is commonly associated with institutional barriers such as path dependency, policy layering, and institutional inertia. However, few studies have examined the underlying causes of these barriers, meaning that resulting recommendations often fail to tackle foundational institutional design issues. Drawing on institutional theory and using a diagnostic analytical approach, this study identifies multiple institutional barriers that hinder the development of floating wind in the Celtic Sea. The barriers are traced to underlying institutional attributes, including those that regulate actor roles and responsibilities, structure social networks, and distribute power and authority. The paper concludes that the governance challenges observed in the UK's Celtic Sea arise from systemic and synergistic institutional barriers rather than as a result of isolated policy failures. Therefore, over</w:t>
      </w:r>
    </w:p>
    <w:p>
      <w:pPr/>
      <w:r>
        <w:rPr>
          <w:b/>
        </w:rPr>
        <w:t>POSSIBLE 2026:</w:t>
      </w:r>
      <w:r>
        <w:t xml:space="preserve"> Establishing Meta-Governance to Resolve Public Conflicts in Offshore Wind Power Projects in Korea — https://doi.org/10.3390/su18041711</w:t>
      </w:r>
    </w:p>
    <w:p>
      <w:pPr/>
      <w:r>
        <w:rPr>
          <w:b/>
        </w:rPr>
        <w:t>Shared claim-specific concepts:</w:t>
      </w:r>
      <w:r>
        <w:t xml:space="preserve"> governance, offshore; EU scope not established. This is a provisional connection, not an outcome finding.</w:t>
      </w:r>
    </w:p>
    <w:p>
      <w:pPr>
        <w:pStyle w:val="SourceNote"/>
      </w:pPr>
      <w:r>
        <w:rPr>
          <w:b/>
        </w:rPr>
        <w:t>Available abstract (not full text):</w:t>
      </w:r>
      <w:r>
        <w:t xml:space="preserve"> The Korean government has established a goal of ‘carbon neutrality by 2050’ to prepare for an era of energy and carbon transition. As one of the measures to achieve the goal, the Korean government is also focusing on expanding offshore wind power generation. However, throughout the power generation project, delays and interruptions frequently occur due to public conflicts that arise between key stakeholders such as local residents, developers, and the government. The existing liberal governance model used to resolve public conflicts is revealing limitations due to the power imbalance between stakeholders and the uncertainty of the responsibility structure. In response, this study proposes a meta-governance model in which the government takes on the coordinating and mediating role among stakeholders as a meta-governor. Through qualitative research methods such as categorizing cases of offshore wind conflicts that have occurred in Korea and analyzing prior studies and policy reports, the analysis demonstrates that this framework can be more effective in resolving public conflicts between stakeholders. Notably, this article integrates the government’s roles as legislator, facilitator, provider, and enforcer mentioned individually in existing meta-governance model research. And it proposes an implementation system designed to manage public conflicts and increase project acceptance </w:t>
      </w:r>
    </w:p>
    <w:p>
      <w:pPr/>
      <w:r>
        <w:rPr>
          <w:b/>
        </w:rPr>
        <w:t>POSSIBLE 2024:</w:t>
      </w:r>
      <w:r>
        <w:t xml:space="preserve"> The social science of offshore aquaculture: uncertainties, challenges and solution-oriented governance needs — https://doi.org/10.3389/faquc.2024.1384037</w:t>
      </w:r>
    </w:p>
    <w:p>
      <w:pPr/>
      <w:r>
        <w:rPr>
          <w:b/>
        </w:rPr>
        <w:t>Shared claim-specific concepts:</w:t>
      </w:r>
      <w:r>
        <w:t xml:space="preserve"> governance, offshore; EU scope not established. This is a provisional connection, not an outcome finding.</w:t>
      </w:r>
    </w:p>
    <w:p>
      <w:pPr>
        <w:pStyle w:val="SourceNote"/>
      </w:pPr>
      <w:r>
        <w:rPr>
          <w:b/>
        </w:rPr>
        <w:t>Available abstract (not full text):</w:t>
      </w:r>
      <w:r>
        <w:t xml:space="preserve"> Aquaculture technology is on the move, enabling production in more open and exposed ocean environments around the world. These new systems offer solutions to environmental challenges facing conventional aquaculture, yet new technologies also create new social challenges while potentially exacerbating, or at minimum recreating, others. Offshore aquaculture research and governance are still in early stages, as is our understanding of the social repercussions and challenges associated with development. This paper provides an evaluation and reflection on offshore aquaculture from a social science perspective and is based on findings from a modified World Café group discussion method including the thoughts and experiences of social science experts. Key challenges and uncertainties including a lack of an appropriate regulatory framework, societal perceptions of offshore aquaculture, and offshore aquaculture’s contribution to society were identified. The governance implications of these challenges are discussed as well as the need for social sciences to address these challenges through transformative and transdisciplinary approaches that bridge science and society.</w:t>
      </w:r>
    </w:p>
    <w:p>
      <w:pPr/>
      <w:r>
        <w:rPr>
          <w:b/>
        </w:rPr>
        <w:t>POSSIBLE 2024:</w:t>
      </w:r>
      <w:r>
        <w:t xml:space="preserve"> Practices within the European Union’s Governance — https://doi.org/10.38158/apjeus.22.1.1</w:t>
      </w:r>
    </w:p>
    <w:p>
      <w:pPr/>
      <w:r>
        <w:rPr>
          <w:b/>
        </w:rPr>
        <w:t>Shared claim-specific concepts:</w:t>
      </w:r>
      <w:r>
        <w:t xml:space="preserve"> governance, complex, often; EU scope visible. This is a provisional connection, not an outcome finding.</w:t>
      </w:r>
    </w:p>
    <w:p>
      <w:pPr>
        <w:pStyle w:val="SourceNote"/>
      </w:pPr>
      <w:r>
        <w:rPr>
          <w:b/>
        </w:rPr>
        <w:t>Available abstract (not full text):</w:t>
      </w:r>
      <w:r>
        <w:t xml:space="preserve"> The European Union’s (EU) governance’s practices are infused with power dynamics. When the power dynamics confront the social dialectic, complex effects are generated that often point in opposite directions. For example, such effects may call for integration and also fragmentation. This empirical paper explores whether or how the practice approach allows a focus on the EU’s governance’s practices, imbued with power, leading in opposite directions when confronted by social interactions. It deals with this question by means of three illustrative short cases representing broad-spectrum practices within contemporary European politics: power politics and Covid-19; the EU in Afghanistan after August 2021; and the Micro Communities of Practice and the EU’s foreign policy regarding China’s Belt and Road Initiative. By directing attention towards the power dynamics of one process and its opposite while facing the social context, we show the contribution of the practice approach to the unpacking of the informal practices that are inherent within the EU’s governance.</w:t>
      </w:r>
    </w:p>
    <w:p>
      <w:pPr/>
      <w:r>
        <w:rPr>
          <w:b/>
        </w:rPr>
        <w:t>POSSIBLE 2024:</w:t>
      </w:r>
      <w:r>
        <w:t xml:space="preserve"> Governance networks for agroecology transitions in rural Europe — https://doi.org/10.1016/j.jrurstud.2024.103482</w:t>
      </w:r>
    </w:p>
    <w:p>
      <w:pPr/>
      <w:r>
        <w:rPr>
          <w:b/>
        </w:rPr>
        <w:t>Shared claim-specific concepts:</w:t>
      </w:r>
      <w:r>
        <w:t xml:space="preserve"> governance, conflict; EU scope visible. This is a provisional connection, not an outcome finding.</w:t>
      </w:r>
    </w:p>
    <w:p>
      <w:pPr>
        <w:pStyle w:val="SourceNote"/>
      </w:pPr>
      <w:r>
        <w:rPr>
          <w:b/>
        </w:rPr>
        <w:t>Available abstract (not full text):</w:t>
      </w:r>
      <w:r>
        <w:t xml:space="preserve"> Governance networks, made of diversified and multidisciplinary actors, have a prominent role in the development and implementation of actions for agri-food system transformation that foster both farm-level and societal change, as in the case of agroecology transitions. This article aims at delivering a typology of governance networks, building on evidence from across Europe. By adopting a governance network theory perspective, a multiple case study is developed through participatory research, by characterising the emerging governance networks from transition actions at different levels in the pathway towards agroecological redesign. Three types of governance networks are identified. Adoption networks develop from early-stage actions in the agroecology transition pathway, to facilitate the shift from conventional to more sustainable farming practices. Positioning networks emerge from actions to create a demand for agroecologically produced food, through the development of marketing strategies and the creation of market channels. Amplification networks are the closest to agroecological redesign, originating from actions structured towards participatory planning and the development and reinforcement of diversity and transdisciplinarity. Advisory services play a key role in all three types, by fostering knowledge diffusion and exchange, as well as by developing trust among farmers </w:t>
      </w:r>
    </w:p>
    <w:p>
      <w:pPr/>
      <w:r>
        <w:rPr>
          <w:b/>
        </w:rPr>
        <w:t>POSSIBLE 2023:</w:t>
      </w:r>
      <w:r>
        <w:t xml:space="preserve"> The Regime Complexes for Global Climate Governance — https://doi.org/10.3390/su15119077</w:t>
      </w:r>
    </w:p>
    <w:p>
      <w:pPr/>
      <w:r>
        <w:rPr>
          <w:b/>
        </w:rPr>
        <w:t>Shared claim-specific concepts:</w:t>
      </w:r>
      <w:r>
        <w:t xml:space="preserve"> governance, complex; EU scope not established. This is a provisional connection, not an outcome finding.</w:t>
      </w:r>
    </w:p>
    <w:p>
      <w:pPr>
        <w:pStyle w:val="SourceNote"/>
      </w:pPr>
      <w:r>
        <w:rPr>
          <w:b/>
        </w:rPr>
        <w:t>Available abstract (not full text):</w:t>
      </w:r>
      <w:r>
        <w:t xml:space="preserve"> Climate change is a major challenge for human society in the 21st century and an important issue in the context of sustainable development governance. As the density of institutions in global climate governance increases, so does the potential for overlap and interaction between the various elements of institutions. The current global climate governance issue is no longer solely a state-centric governance model but presents a complex manifestation of a complex of mechanisms. Taking a global climate governance perspective, this paper finds that the institutional complex of global climate governance is shaped by internal factors, such as self-attribution, rights, and interest linkages. External factors include the rapid development of globalization and the non-governmental state of the international community. The internal logic of the institutional complex is based on the institutional fragmentation of multiple interested parties involved in the governance process and the interaction patterns of internal actors. The institutional complex of global climate governance has the following implications for policy-making: the strength of the institutional complex refers to the framework of decision-making; the flexibility of the arguments provides stakeholders with demands related to their interests and inspires different countries to join in the governance of global climate change.</w:t>
      </w:r>
    </w:p>
    <w:p>
      <w:pPr/>
      <w:r>
        <w:rPr>
          <w:b/>
        </w:rPr>
        <w:t>POSSIBLE 2023:</w:t>
      </w:r>
      <w:r>
        <w:t xml:space="preserve"> Climate Governance and Federalism in the European Union — https://doi.org/10.1017/9781009249676.008</w:t>
      </w:r>
    </w:p>
    <w:p>
      <w:pPr/>
      <w:r>
        <w:rPr>
          <w:b/>
        </w:rPr>
        <w:t>Shared claim-specific concepts:</w:t>
      </w:r>
      <w:r>
        <w:t xml:space="preserve"> governance, complex; EU scope visible. This is a provisional connection, not an outcome finding.</w:t>
      </w:r>
    </w:p>
    <w:p>
      <w:pPr>
        <w:pStyle w:val="SourceNote"/>
      </w:pPr>
      <w:r>
        <w:rPr>
          <w:b/>
        </w:rPr>
        <w:t>Available abstract (not full text):</w:t>
      </w:r>
      <w:r>
        <w:t xml:space="preserve"> Building on its climate change mitigation policies and associated greenhouse gas emissions reductions, the EU aims to become the world’s first climate-neutral economy by 2050. However, meeting the climate change challenge appears complex in the process of European differentiated integration, the (still) problematic 2004 enlargement to include former communist countries, as well as Brexit and the economic downturn caused by the Covid-19 pandemic. The EU offers an interesting combination of different federal features although it has not yet been recognized as a federation. Also, EU climate governance development is the product of peculiar federal dynamics and characteristics, namely: the favourable context for decentralized and experimental policymaking; the enhanced prospects for triggering dynamic processes of policy diffusion; and the availability of multiple levels and forums for policymaking. In this realm, however, a number of knots still need to be disentangled, as Member States’ diverging priorities on energy and sometimes conflicting positions on mitigation targets make intergovernmental decision-making in climate policy increasingly difficult. In addition, policy fragmentation and poor or delayed implementation of EU legislation by Member States remain a critical issue.</w:t>
      </w:r>
    </w:p>
    <w:p>
      <w:pPr/>
      <w:r>
        <w:rPr>
          <w:b/>
        </w:rPr>
        <w:t>POSSIBLE 2022:</w:t>
      </w:r>
      <w:r>
        <w:t xml:space="preserve"> The Governance Context for Adaptive Heritage Reuse: A Review and Typology of Fifteen European Countries — https://doi.org/10.1080/17567505.2022.2153201</w:t>
      </w:r>
    </w:p>
    <w:p>
      <w:pPr/>
      <w:r>
        <w:rPr>
          <w:b/>
        </w:rPr>
        <w:t>Shared claim-specific concepts:</w:t>
      </w:r>
      <w:r>
        <w:t xml:space="preserve"> governance, complex, engagement; EU scope visible. This is a provisional connection, not an outcome finding.</w:t>
      </w:r>
    </w:p>
    <w:p>
      <w:pPr>
        <w:pStyle w:val="SourceNote"/>
      </w:pPr>
      <w:r>
        <w:rPr>
          <w:b/>
        </w:rPr>
        <w:t>Available abstract (not full text):</w:t>
      </w:r>
      <w:r>
        <w:t xml:space="preserve"> Recent years have seen growing international interest in the practice of ‘adaptive reuse’ of heritage buildings, promoted as a financially more viable and environmentally sustainable way to achieve both regeneration and conservation. In parallel, adaptive reuse has emerged as an aim in national policy frameworks and EU governance. Much of the writing on adaptive reuse reflects its nature as a design practice and concentrates on the material form intervention may take. This paper has a different approach, considering the institutional factors that support adaptive reuse occurring, as part of a multi-faceted and complex conservation-planning assemblage, across fifteen European countries. Focusing on regulatory systems for heritage and planning, governance systems, human and financial resources and policies on civic engagement and participation, thematic analysis is used to generate a typology of approaches across the continent, grouping the countries considered into three clusters. The typology proposed is not fixed, but a way to conceptualise the similarities and differences in institutional and policy-contexts that facilitate or restrict adaptive reuse. It contributes to a more informed overview of the context for adaptive reuse and the possibilities of learning from different policy contexts.</w:t>
      </w:r>
    </w:p>
    <w:p>
      <w:pPr/>
      <w:r>
        <w:rPr>
          <w:b/>
        </w:rPr>
        <w:t>POSSIBLE 2022:</w:t>
      </w:r>
      <w:r>
        <w:t xml:space="preserve"> Transformative or piecemeal? Changes in green space planning and governance in eleven European cities — https://doi.org/10.1080/09654313.2022.2139594</w:t>
      </w:r>
    </w:p>
    <w:p>
      <w:pPr/>
      <w:r>
        <w:rPr>
          <w:b/>
        </w:rPr>
        <w:t>Shared claim-specific concepts:</w:t>
      </w:r>
      <w:r>
        <w:t xml:space="preserve"> governance, complex, often; EU scope visible. This is a provisional connection, not an outcome finding.</w:t>
      </w:r>
    </w:p>
    <w:p>
      <w:pPr>
        <w:pStyle w:val="SourceNote"/>
      </w:pPr>
      <w:r>
        <w:rPr>
          <w:b/>
        </w:rPr>
        <w:t>Available abstract (not full text):</w:t>
      </w:r>
      <w:r>
        <w:t xml:space="preserve"> Green (and blue) spaces receive attention as important components of cities that can help to mitigate the effects of climate change, support biodiversity and improve public health. Green space planning aims to transform cities towards urban sustainability and resilience. In a longitudinal study, representatives from eleven European municipalities that had previously been interviewed in 2014 were re-interviewed in 2020–2021 on changes in urban greening and related practices. The interviewees reported mainly advancements in dealing with ecological issues, such as new plans, strategies, regulations or funding programmes for climate adaptation or biodiversity support, as well as some progress in co-governance with non-governmental stakeholders. Promising developments include breaking professional silos by creating new units that can better deal with complex urban issues. In a few cases, high-level local politicians induced profound changes. These changes stimulated the development of new planning and governance cultures, resulting in more co-creation of urban green spaces. However, from a transformation studies perspective, incremental strategies dominate, and even when municipal representatives are aware that substantive changes are needed, they often lack the means to act. For more radical system change, significant extra efforts are needed.</w:t>
      </w:r>
    </w:p>
    <w:p>
      <w:pPr/>
      <w:r>
        <w:rPr>
          <w:b/>
        </w:rPr>
        <w:t>POSSIBLE 2021:</w:t>
      </w:r>
      <w:r>
        <w:t xml:space="preserve"> Ordering global governance complexes: The evolution of the governance complex for international civil aviation — https://doi.org/10.1007/s11558-020-09411-z</w:t>
      </w:r>
    </w:p>
    <w:p>
      <w:pPr/>
      <w:r>
        <w:rPr>
          <w:b/>
        </w:rPr>
        <w:t>Shared claim-specific concepts:</w:t>
      </w:r>
      <w:r>
        <w:t xml:space="preserve"> governance, complex, often, conflict; EU scope not established. This is a provisional connection, not an outcome finding.</w:t>
      </w:r>
    </w:p>
    <w:p>
      <w:pPr>
        <w:pStyle w:val="SourceNote"/>
      </w:pPr>
      <w:r>
        <w:rPr>
          <w:b/>
        </w:rPr>
        <w:t>Available abstract (not full text):</w:t>
      </w:r>
      <w:r>
        <w:t xml:space="preserve"> Many observers worry that growing numbers of international institutions with overlapping functions undermine governance effectiveness via duplication, inconsistency and conflict. Such pessimistic assessments may undervalue the mechanisms available to states and other political agents to reduce conflictual overlap and enhance inter-institutional synergy. Drawing on historical data I examine how states can mitigate conflict within Global Governance Complexes (GGCs) by dissolving or merging existing institutions or by re-configuring their mandates. I further explore how "order in complexity" can emerge through bottom-up processes of adaptation in lieu of state-led reform. My analysis supports three theoretical claims: (1) states frequently refashion governance complexes "top-down" in order to reduce conflictual overlap; (2) "top-down" restructuring and "bottom-up" adaptation present alternative mechanisms for ordering relations among component institutions of GGCs; (3) these twin mechanisms ensure that GGCs tend to (re)produce elements of order over time-albeit often temporarily. Rather than evolving towards ever-greater fragmentation and disorder, complex governance systems thus tend to fluctuate between greater or lesser integration and (dis)order.</w:t>
      </w:r>
    </w:p>
    <w:p>
      <w:pPr/>
      <w:r>
        <w:rPr>
          <w:b/>
        </w:rPr>
        <w:t>POSSIBLE 2021:</w:t>
      </w:r>
      <w:r>
        <w:t xml:space="preserve"> Offshore outsourcing of innovation by SMEs: a 4F perspective of governance — https://doi.org/10.1108/scm-09-2020-0486</w:t>
      </w:r>
    </w:p>
    <w:p>
      <w:pPr/>
      <w:r>
        <w:rPr>
          <w:b/>
        </w:rPr>
        <w:t>Shared claim-specific concepts:</w:t>
      </w:r>
      <w:r>
        <w:t xml:space="preserve"> governance, complex, offshore; EU scope visible. This is a provisional connection, not an outcome finding.</w:t>
      </w:r>
    </w:p>
    <w:p>
      <w:pPr>
        <w:pStyle w:val="SourceNote"/>
      </w:pPr>
      <w:r>
        <w:rPr>
          <w:b/>
        </w:rPr>
        <w:t>Available abstract (not full text):</w:t>
      </w:r>
      <w:r>
        <w:t xml:space="preserve"> Purpose This study aims to investigate how contract complexity and relational trust could impact offshore outsourcing innovation (OOI) performance of small and medium enterprises (SMEs). This study further examines the moderating effects of knowledge routines and joint actions on the relationships between contract complexity, as well as relational trust and OOI performance. Design/methodology/approach The empirical investigation extends transaction cost economics and the relational view of buyer-supplier dyads in the context of offshore outsourcing SMEs. To test the hypotheses, the authors collected and analysed survey data from 200 European manufacturing SMEs that have existing offshore supplier relationships. Findings The results suggest that both complex contracts and relational trust as governance structures positively affect SMEs’ OOI performance. Additionally, while both formal knowledge routines and joint actions help strengthen the relationship between complex contracts and OOI, they showed no significant moderating effect on the relationship between relational trust and OOI. Furthermore, based on the results, the authors also develop a governance framework covering four configurations – fit, firm, flexible and fragile (4F). Originality/value The 4F governance scenarios – fit, firm, flexible and fragile – introduced in this study emphasise the need for a combination of </w:t>
      </w:r>
    </w:p>
    <w:p>
      <w:pPr/>
      <w:r>
        <w:rPr>
          <w:b/>
        </w:rPr>
        <w:t>POSSIBLE 2021:</w:t>
      </w:r>
      <w:r>
        <w:t xml:space="preserve"> Agency and governance in European Union international development — https://doi.org/10.1080/01436597.2021.1979955</w:t>
      </w:r>
    </w:p>
    <w:p>
      <w:pPr/>
      <w:r>
        <w:rPr>
          <w:b/>
        </w:rPr>
        <w:t>Shared claim-specific concepts:</w:t>
      </w:r>
      <w:r>
        <w:t xml:space="preserve"> governance, complex; EU scope visible. This is a provisional connection, not an outcome finding.</w:t>
      </w:r>
    </w:p>
    <w:p>
      <w:pPr>
        <w:pStyle w:val="SourceNote"/>
      </w:pPr>
      <w:r>
        <w:rPr>
          <w:b/>
        </w:rPr>
        <w:t>Available abstract (not full text):</w:t>
      </w:r>
      <w:r>
        <w:t xml:space="preserve"> The European Union’s actorness in international development has been mainly approached from the perspective of EU foreign policy studies, by accounting for the type of power that the EU institutions have aimed to project around the world. Turning this theoretical puzzle upside down and starting from an analysis of indirect governance in EU aid policies, the current article unveils additional instances of EU agency, such as the EU as a policy facilitator and as a policy interpreter. The theoretical argument builds on indirect governance theories, a novel theoretical tool that has not been previously used for analysing EU international development actorness. Empirical examples include regional programmes in Latin America and show how delegation and orchestration as mechanisms of indirect governance have been used by the European Commission in order to continue playing a relevant role in a complex and changing international development context.</w:t>
      </w:r>
    </w:p>
    <w:p>
      <w:pPr>
        <w:pStyle w:val="Heading2"/>
      </w:pPr>
      <w:r>
        <w:t>794. How much does climate change threaten European forest tree species distributions?</w:t>
      </w:r>
    </w:p>
    <w:p>
      <w:pPr>
        <w:pStyle w:val="SourceNote"/>
      </w:pPr>
      <w:r>
        <w:rPr>
          <w:b/>
        </w:rPr>
        <w:t>Original source (2017):</w:t>
      </w:r>
      <w:r>
        <w:t xml:space="preserve"> https://doi.org/10.1111/gcb.13925</w:t>
      </w:r>
    </w:p>
    <w:p>
      <w:pPr/>
      <w:r>
        <w:t>Original wording (abstract; indexed_source_text_not_full_document_verified): We aimed to quantify changes in projected ranges and threat level by the years 2061-2080, for 12 European forest tree species under three climate change scenarios. Models were developed for three climate change scenarios-optimistic (RCP2.6), moderate (RCP4.5), and pessimistic (RPC8.5)-using three General Circulation Models, for the period 2061-2080.</w:t>
      </w:r>
    </w:p>
    <w:p>
      <w:pPr/>
      <w:r>
        <w:rPr>
          <w:b/>
        </w:rPr>
        <w:t>POSSIBLE 2026:</w:t>
      </w:r>
      <w:r>
        <w:t xml:space="preserve"> Shamonda virus in Europe: an emerging threat, the potential role of Culicoides and the need for preparedness. — https://doi.org/10.12834/vetit.4095.42263.1</w:t>
      </w:r>
    </w:p>
    <w:p>
      <w:pPr/>
      <w:r>
        <w:rPr>
          <w:b/>
        </w:rPr>
        <w:t>Shared claim-specific concepts:</w:t>
      </w:r>
      <w:r>
        <w:t xml:space="preserve"> aimed, quantify, threat, three, circulation; EU scope visible. This is a provisional connection, not an outcome finding.</w:t>
      </w:r>
    </w:p>
    <w:p>
      <w:pPr>
        <w:pStyle w:val="SourceNote"/>
      </w:pPr>
      <w:r>
        <w:rPr>
          <w:b/>
        </w:rPr>
        <w:t>Available abstract (not full text):</w:t>
      </w:r>
      <w:r>
        <w:t xml:space="preserve"> The emergence of Shamonda virus (SHAV) in Europe during the summer of 2026 is a timely reminder that the epidemiological boundaries of vector-borne animal viruses are neither fixed nor readily predictable. Shamonda virus is an enveloped, negative-sense, single-stranded RNA virus with three genome segments (L, M and S), belonging to the genus Orthobunyavirus, family Peribunyaviridae, and the Simbu serogroup. Its segmented genome is epidemiologically important because related viruses infecting the same host or vector may exchange genome segments through reassortment, potentially altering antigenicity, host range or pathogenicity. Shamonda virus was first isolated from cattle in Ibadan, Nigeria, in 1965 and was subsequently detected in cattle and Culicoides biting midges in Japan. Its veterinary relevance became clearer after infection was associated with congenital disease in southern Japan: 15 calves exposed in utero during 2015-2016 showed arthrogryposis, torticollis, spinal curvature and central nervous system lesions, and six were stillborn (Hirashima et al., 2017). In South Africa, SHAV RNA was identified retrospectively in Culicoides pools collected between 2012 and 2017 and, in 2021, in the brain and lung of an aborted goat foetus (van der Walt et al., 2023). More recent genomic work also identified a Shuni/SHAV reassortant in a fatal neurological case in a horse, illustra</w:t>
      </w:r>
    </w:p>
    <w:p>
      <w:pPr/>
      <w:r>
        <w:rPr>
          <w:b/>
        </w:rPr>
        <w:t>POSSIBLE 2026:</w:t>
      </w:r>
      <w:r>
        <w:t xml:space="preserve"> How do land-use changes shape future extreme temperatures across Europe? — https://doi.org/10.5194/egusphere-egu26-15125</w:t>
      </w:r>
    </w:p>
    <w:p>
      <w:pPr/>
      <w:r>
        <w:rPr>
          <w:b/>
        </w:rPr>
        <w:t>Shared claim-specific concepts:</w:t>
      </w:r>
      <w:r>
        <w:t xml:space="preserve"> quantify, ranges, climate; EU scope visible. This is a provisional connection, not an outcome finding.</w:t>
      </w:r>
    </w:p>
    <w:p>
      <w:pPr>
        <w:pStyle w:val="SourceNote"/>
      </w:pPr>
      <w:r>
        <w:rPr>
          <w:b/>
        </w:rPr>
        <w:t>Available abstract (not full text):</w:t>
      </w:r>
      <w:r>
        <w:t xml:space="preserve"> In recent decades, Europe has experienced a clear increase in the frequency and intensity of heatwaves, a trend projected to intensify under future climate change. Understanding the processes that modulate extreme heat is therefore critical. While land-use and land-cover changes (LULC) strongly affect surface energy and water exchanges, their role in shaping extreme temperatures at regional scales remains insufficiently explored, particularly under future climate scenarios.Here, we investigate how LUC modulates extreme temperatures and heatwaves over Europe under the SSP3-7.0 scenario using high-resolution regional climate simulations performed with the Weather Research and Forecasting (WRF v4.5.1.4) model. The simulations analyzed contribute to both the EURO-CORDEX framework and the Flagship Pilot Study LUCAS (Land Use and Climate Across Scales). A standard EURO-CORDEX future experiment with fixed LULC is compared with a corresponding simulation following LUCAS Phase 2, in which LULC evolves annually, allowing the assessment of transient LULC effects under future climate conditions.Extreme temperature days are identified using percentile-based thresholds of daily maximum temperature, and heatwaves are defined as periods of consecutive exceedances with varying durations. To enable a consistent comparison of event intensity across experiments, temperature and land-surface variab</w:t>
      </w:r>
    </w:p>
    <w:p>
      <w:pPr/>
      <w:r>
        <w:rPr>
          <w:b/>
        </w:rPr>
        <w:t>POSSIBLE 2024:</w:t>
      </w:r>
      <w:r>
        <w:t xml:space="preserve"> A scoping review of human health co-benefits of forest-based climate change mitigation in Europe — https://doi.org/10.1016/j.envint.2024.108593</w:t>
      </w:r>
    </w:p>
    <w:p>
      <w:pPr/>
      <w:r>
        <w:rPr>
          <w:b/>
        </w:rPr>
        <w:t>Shared claim-specific concepts:</w:t>
      </w:r>
      <w:r>
        <w:t xml:space="preserve"> aimed, forest, climate, developed; EU scope visible. This is a provisional connection, not an outcome finding.</w:t>
      </w:r>
    </w:p>
    <w:p>
      <w:pPr>
        <w:pStyle w:val="SourceNote"/>
      </w:pPr>
      <w:r>
        <w:rPr>
          <w:b/>
        </w:rPr>
        <w:t>Available abstract (not full text):</w:t>
      </w:r>
      <w:r>
        <w:t xml:space="preserve"> Climate change is a pressing global challenge with profound implications for human health. Forest-based climate change mitigation strategies, such as afforestation, reforestation, and sustainable forest management, offer promising solutions to mitigate climate change and simultaneously yield substantial co-benefits for human health. The objective of this scoping review was to examine research trends related to the interdisciplinary nexus between forests as carbon sinks and human health co-benefits. We developed a conceptual framework model, supporting the inclusion of exposure pathways, such as recreational opportunities or aesthetic experiences, in the co-benefit context. We used a scoping review methodology to identify the proportion of European research on forest-based mitigation strategies that acknowledge the interconnection between mitigation strategies and human impacts. We also aimed to assess whether synergies and trade-offs between forest-based carbon sink capacity and human co-benefits has been analysed and quantified. From the initial 4,062 records retrieved, 349 reports analysed European forest management principles and factors related to climate change mitigation capacity. Of those, 97 studies acknowledged human co-benefits and 13 studies quantified the impacts on exposure pathways or health co-benefits and were included for full review. Our analysis demonstrates </w:t>
      </w:r>
    </w:p>
    <w:p>
      <w:pPr/>
      <w:r>
        <w:rPr>
          <w:b/>
        </w:rPr>
        <w:t>POSSIBLE 2024:</w:t>
      </w:r>
      <w:r>
        <w:t xml:space="preserve"> Vulnerability of terrestrial vertebrate food webs to anthropogenic threats in Europe — https://doi.org/10.1111/gcb.17253</w:t>
      </w:r>
    </w:p>
    <w:p>
      <w:pPr/>
      <w:r>
        <w:rPr>
          <w:b/>
        </w:rPr>
        <w:t>Shared claim-specific concepts:</w:t>
      </w:r>
      <w:r>
        <w:t xml:space="preserve"> threat, species, climate; EU scope visible. This is a provisional connection, not an outcome finding.</w:t>
      </w:r>
    </w:p>
    <w:p>
      <w:pPr>
        <w:pStyle w:val="SourceNote"/>
      </w:pPr>
      <w:r>
        <w:rPr>
          <w:b/>
        </w:rPr>
        <w:t>Available abstract (not full text):</w:t>
      </w:r>
      <w:r>
        <w:t xml:space="preserve"> Vertebrate species worldwide are currently facing significant declines in many populations. Although we have gained substantial knowledge about the direct threats that affect individual species, these threats only represent a fraction of the broader vertebrate threat profile, which is also shaped by species interactions. For example, threats faced by prey species can jeopardize the survival of their predators due to food resource scarcity. Yet, indirect threats arising from species interactions have received limited investigation thus far. In this study, we investigate the indirect consequences of anthropogenic threats on biodiversity in the context of European vertebrate food webs. We integrated data on trophic interactions among over 800 terrestrial vertebrates, along with their associated human-induced threats. We quantified and mapped the vulnerability of various components of the food web, including species, interactions, and trophic groups to six major threats: pollution, agricultural intensification, climate change, direct exploitation, urbanization, and invasive alien species and diseases. Direct exploitation and agricultural intensification were two major threats for terrestrial vertebrate food webs: affecting 34% and 31% of species, respectively, they threaten 85% and 69% of interactions in Europe. By integrating network ecology with threat impact assessments, our stu</w:t>
      </w:r>
    </w:p>
    <w:p>
      <w:pPr/>
      <w:r>
        <w:rPr>
          <w:b/>
        </w:rPr>
        <w:t>POSSIBLE 2024:</w:t>
      </w:r>
      <w:r>
        <w:t xml:space="preserve"> Zoonotic Threats: The (Re)emergence of Cercarial Dermatitis, Its Dynamics, and Impact in Europe — https://doi.org/10.3390/pathogens13040282</w:t>
      </w:r>
    </w:p>
    <w:p>
      <w:pPr/>
      <w:r>
        <w:rPr>
          <w:b/>
        </w:rPr>
        <w:t>Shared claim-specific concepts:</w:t>
      </w:r>
      <w:r>
        <w:t xml:space="preserve"> species, climate; EU scope visible. This is a provisional connection, not an outcome finding.</w:t>
      </w:r>
    </w:p>
    <w:p>
      <w:pPr>
        <w:pStyle w:val="SourceNote"/>
      </w:pPr>
      <w:r>
        <w:rPr>
          <w:b/>
        </w:rPr>
        <w:t>Available abstract (not full text):</w:t>
      </w:r>
      <w:r>
        <w:t xml:space="preserve"> Cercarial dermatitis (CD), or "Swimmer's itch" as it is also known, is a waterborne illness caused by a blood fluke from the family Schistosomatidae. It occurs when cercariae of trematode species that do not have humans as their definitive host accidentally penetrate human skin (in an aquatic environment) and trigger allergic symptoms at the site of contact. It is an emerging zoonosis that occurs through water and is often overlooked during differential diagnosis. Some of the factors contributing to the emergence of diseases like CD are related to global warming, which brings about climate change, water eutrophication, the colonization of ponds by snails susceptible to the parasite, and sunlight exposure in the summer, associated with migratory bird routes. Therefore, with the increase in tourism, especially at fluvial beaches, it is relevant to analyze the current epidemiological scenario of CD in European countries and the potential regions at risk.</w:t>
      </w:r>
    </w:p>
    <w:p>
      <w:pPr/>
      <w:r>
        <w:rPr>
          <w:b/>
        </w:rPr>
        <w:t>POSSIBLE 2024:</w:t>
      </w:r>
      <w:r>
        <w:t xml:space="preserve"> Quantifying tree canopy nitrification across European forests — https://doi.org/10.5194/egusphere-egu24-17028</w:t>
      </w:r>
    </w:p>
    <w:p>
      <w:pPr/>
      <w:r>
        <w:rPr>
          <w:b/>
        </w:rPr>
        <w:t>Shared claim-specific concepts:</w:t>
      </w:r>
      <w:r>
        <w:t xml:space="preserve"> forest, tree, species, climate; EU scope visible. This is a provisional connection, not an outcome finding.</w:t>
      </w:r>
    </w:p>
    <w:p>
      <w:pPr>
        <w:pStyle w:val="SourceNote"/>
      </w:pPr>
      <w:r>
        <w:rPr>
          <w:b/>
        </w:rPr>
        <w:t>Available abstract (not full text):</w:t>
      </w:r>
      <w:r>
        <w:t xml:space="preserve"> Fluxes and chemical composition of precipitation is substantially changed after passing through tree canopies, particularly in the case of atmospheric nitrogen compounds, with important implications on forest nitrogen cycling. The causes of these changes, however, have mostly focused on the passive role of foliar surfaces to scavenge pollutants from the atmosphere and to ion exchange processes, while biological processes involving microbes hidden in the phyllosphere have been less investigated. We combined triple oxygen isotopes approach and molecular analyses with the aim of quantifying canopy nitrification and identify microbes responsible for it, respectively. Ten sites included in the European ICP Forests monitoring network, chosen along climate and nitrogen deposition gradients, were selected to include the two most dominant tree species in Europe (Fagus sylvatica L. and Pinus sylvestris L.). Specifically, in this study we: 1) estimated the relative contribution of nitrate derived from biological canopy nitrification vs. atmospheric deposition by using δ18O and Δ17O of nitrate collected in water samples, i.e., in the open field (bulk deposition) and underneath tree canopies (throughfall); 2) quantified the functional genes related to nitrification for the two dominant tree species in European forests by using next-generation sequence analyses. Based on the isotope approach</w:t>
      </w:r>
    </w:p>
    <w:p>
      <w:pPr/>
      <w:r>
        <w:rPr>
          <w:b/>
        </w:rPr>
        <w:t>POSSIBLE 2024:</w:t>
      </w:r>
      <w:r>
        <w:t xml:space="preserve"> Shifts in native tree species distributions in Europe under climate change — https://doi.org/10.1016/j.jenvman.2024.123504</w:t>
      </w:r>
    </w:p>
    <w:p>
      <w:pPr/>
      <w:r>
        <w:rPr>
          <w:b/>
        </w:rPr>
        <w:t>Shared claim-specific concepts:</w:t>
      </w:r>
      <w:r>
        <w:t xml:space="preserve"> aimed, quantify, ranges, threat, forest, tree; EU scope visible. This is a provisional connection, not an outcome finding.</w:t>
      </w:r>
    </w:p>
    <w:p>
      <w:pPr>
        <w:pStyle w:val="SourceNote"/>
      </w:pPr>
      <w:r>
        <w:rPr>
          <w:b/>
        </w:rPr>
        <w:t>Available abstract (not full text):</w:t>
      </w:r>
      <w:r>
        <w:t xml:space="preserve"> Key European tree species are expected to contract their ranges under changing climate, thus there is a need to assess range shifts for other native tree species that could fill their forest niche. Recent studies have focused on economically important species, revealing a wide range of shifts in their distribution worldwide and highlighting several pathways for potential future changes. We aimed to quantify changes in projected ranges and threat levels by the years 2041-60 and 2061-80, for 20 European temperate forest tree species under four climate change scenarios. We compared ten standard stock tree species with ten alternative stock species, that are less frequent and less preferred by managers. We combined distribution data from several sources for each tree species and developed species distribution models using MaxEnt and seven bioclimatic variables. We applied these models to projections of future climate from four global circulation models, under four Shared Socioeconomic Pathways and for near and middle terms: 2041-60 and 2061-80. We also assessed the relationships between predicted range contraction and their functional traits. Analysis of MaxEnt models divided the studied tree species into three groups: non-threatened (Sorbus torminalis, Ulmus minor, Tilia platyphyllos, Acer pseudoplatanus, Prunus avium, and Carpinus betulus), partially threatened (U. laevis, Betula</w:t>
      </w:r>
    </w:p>
    <w:p>
      <w:pPr/>
      <w:r>
        <w:rPr>
          <w:b/>
        </w:rPr>
        <w:t>POSSIBLE 2023:</w:t>
      </w:r>
      <w:r>
        <w:t xml:space="preserve"> Tracking climate change and health in Europe — https://doi.org/10.1289/isee.2023.op-169</w:t>
      </w:r>
    </w:p>
    <w:p>
      <w:pPr/>
      <w:r>
        <w:rPr>
          <w:b/>
        </w:rPr>
        <w:t>Shared claim-specific concepts:</w:t>
      </w:r>
      <w:r>
        <w:t xml:space="preserve"> quantify, climate, developed; EU scope visible. This is a provisional connection, not an outcome finding.</w:t>
      </w:r>
    </w:p>
    <w:p>
      <w:pPr>
        <w:pStyle w:val="SourceNote"/>
      </w:pPr>
      <w:r>
        <w:rPr>
          <w:b/>
        </w:rPr>
        <w:t>Available abstract (not full text):</w:t>
      </w:r>
      <w:r>
        <w:t xml:space="preserve"> BACKGROUND AND AIM: Climate change impacts health through complex multidimensional pathways. However, whilst evidence and awareness of the health implications of climate change are increasing, there is a need for accessible information allowing effective communication of complex climate-health trends. Responding to this need in Europe, the Lancet Countdown in Europe (LCDE) developed indicators that monitor and quantify the health-climate change nexus since the 1950s. METHOD: 33 indicators act as summary measures representing the heterogenous climate-health relationships across (1) impact, exposure, and vulnerability; (2) adaption, planning and resilience; (3) mitigation actions and health co-benefits; (4) economics and finance; and (5) politics and governance. RESULTS: Health risks (1) for almost all indicators have been increasing; clinically relevant pollen seasons are starting 10-20 days earlier each year (1981-2020), the climatic suitability for climate-sensitive infectious diseases have been rapidly increasing (1951-2020), and heat exposure is estimated to have increased by 57% between the first and second half of the 21st century. Some encouraging trends for adaptation (2) could be observed. Yet, despite progress in the reduction of the carbon intensity of energy systems and phasing out coal for electricity generation, mitigation efforts remain inadequate to meet reductio</w:t>
      </w:r>
    </w:p>
    <w:p>
      <w:pPr/>
      <w:r>
        <w:rPr>
          <w:b/>
        </w:rPr>
        <w:t>POSSIBLE 2023:</w:t>
      </w:r>
      <w:r>
        <w:t xml:space="preserve"> Antimicrobial resistance in Germany and Europe – A systematic review on the increasing threat accelerated by climate change — https://doi.org/10.25646/11404</w:t>
      </w:r>
    </w:p>
    <w:p>
      <w:pPr/>
      <w:r>
        <w:rPr>
          <w:b/>
        </w:rPr>
        <w:t>Shared claim-specific concepts:</w:t>
      </w:r>
      <w:r>
        <w:t xml:space="preserve"> threat, climate; EU scope visible. This is a provisional connection, not an outcome finding.</w:t>
      </w:r>
    </w:p>
    <w:p>
      <w:pPr>
        <w:pStyle w:val="SourceNote"/>
      </w:pPr>
      <w:r>
        <w:rPr>
          <w:b/>
        </w:rPr>
        <w:t>Available abstract (not full text):</w:t>
      </w:r>
      <w:r>
        <w:t xml:space="preserve"> Background: Antimicrobial Resistance (AMR) is one of the top ten global public health threats facing humanity, alongside climate change. Here, we aim to summarise the effects of climate change (i.e. raise of temperature, change in humidity or precipitation) on spread of antibiotic resistance and on infections with antibiotic-resistant bacteria in Germany. Methods: We conducted a literature search with articles published between January 2012 and July 2022. Two authors screened titles, abstracts and full texts and extracted the data systematically. Results: From originally 2,389 titles, we identified six studies, which met our inclusion criteria. These studies show that an increase in temperature may lead to higher antibiotic resistance rates and an increased risk of colonisation as well as spread of pathogens. Furthermore, the number of healthcare-associated infections increases with increased temperature. Data indicate that higher antibiotic use is present in areas with warmer mean temperature. Conclusions: European data are scarce, but all studies identified point towards an increasing AMR burden due to climate change. However, further studies are needed to draw attention to the links between climatic factors and AMR and develop targeted preventive measures.</w:t>
      </w:r>
    </w:p>
    <w:p>
      <w:pPr/>
      <w:r>
        <w:rPr>
          <w:b/>
        </w:rPr>
        <w:t>POSSIBLE 2023:</w:t>
      </w:r>
      <w:r>
        <w:t xml:space="preserve"> The threat posed by the invasive fungal pathogen of pines Heterobasidion irregulare in Europe: observations and predictions — https://openalex.org/W7216753626</w:t>
      </w:r>
    </w:p>
    <w:p>
      <w:pPr/>
      <w:r>
        <w:rPr>
          <w:b/>
        </w:rPr>
        <w:t>Shared claim-specific concepts:</w:t>
      </w:r>
      <w:r>
        <w:t xml:space="preserve"> aimed, threat, forest, species, climate; EU scope visible. This is a provisional connection, not an outcome finding.</w:t>
      </w:r>
    </w:p>
    <w:p>
      <w:pPr>
        <w:pStyle w:val="SourceNote"/>
      </w:pPr>
      <w:r>
        <w:rPr>
          <w:b/>
        </w:rPr>
        <w:t>Available abstract (not full text):</w:t>
      </w:r>
      <w:r>
        <w:t xml:space="preserve"> Heterobasidion irregulare is a destructive fungal pathogen of pines native to North America and currently recommended for regulation by EPPO. This basidiomycete was introduced during WWII in central Italy, where the native congener H. annosum is also present. In this talk we review the findings that could help to predict the future trajectory of this alien fungal plant pathogen in Italy and in the European continent. While H. irregulare showed a greater sporulation potential, a faster growth rate in wood and a broader host range than the native H. annosum, precise predictions of future impacts of H. irregulare have been hampered by both the high fragmentation of conifer stands and the low incidence of H. annosum in central Italy. Population genetics studies allowed to predict that as the fragmentation of conifer stands decreases, the spread rate of H. irregulare will increase. Unexpectedly, experiments showed that the presence of the native H. annosum may accelerate and not slow down the spread of H. irregulare. Both results paint a troublesome scenario for areas in central and northern Europe characterized by large contiguous forest stands infested by H. annosum. Are these predicted scenarios likely to be true? In order to answer this question, we have studied the interaction between the two pathogens in central Italy. Field evidence shows not only that H. irregulare is truly </w:t>
      </w:r>
    </w:p>
    <w:p>
      <w:pPr/>
      <w:r>
        <w:rPr>
          <w:b/>
        </w:rPr>
        <w:t>POSSIBLE 2023:</w:t>
      </w:r>
      <w:r>
        <w:t xml:space="preserve"> Testing the Effect of Relative Pollen Productivity on the REVEALS Model: A Validated Reconstruction of Europe-Wide Holocene Vegetation — https://doi.org/10.3390/land12050986</w:t>
      </w:r>
    </w:p>
    <w:p>
      <w:pPr/>
      <w:r>
        <w:rPr>
          <w:b/>
        </w:rPr>
        <w:t>Shared claim-specific concepts:</w:t>
      </w:r>
      <w:r>
        <w:t xml:space="preserve"> forest, three; EU scope visible. This is a provisional connection, not an outcome finding.</w:t>
      </w:r>
    </w:p>
    <w:p>
      <w:pPr>
        <w:pStyle w:val="SourceNote"/>
      </w:pPr>
      <w:r>
        <w:rPr>
          <w:b/>
        </w:rPr>
        <w:t>Available abstract (not full text):</w:t>
      </w:r>
      <w:r>
        <w:t xml:space="preserve"> Reliable quantitative vegetation reconstructions for Europe during the Holocene are crucial to improving our understanding of landscape dynamics, making it possible to assess the past effects of environmental variables and land-use change on ecosystems and biodiversity, and mitigating their effects in the future. We present here the most spatially extensive and temporally continuous pollen-based reconstructions of plant cover in Europe (at a spatial resolution of 1° × 1°) over the Holocene (last 11.7 ka BP) using the ‘Regional Estimates of VEgetation Abundance from Large Sites’ (REVEALS) model. This study has three main aims. First, to present the most accurate and reliable generation of REVEALS reconstructions across Europe so far. This has been achieved by including a larger number of pollen records compared to former analyses, in particular from the Mediterranean area. Second, to discuss methodological issues in the quantification of past land cover by using alternative datasets of relative pollen productivities (RPPs), one of the key input parameters of REVEALS, to test model sensitivity. Finally, to validate our reconstructions with the global forest change dataset. The results suggest that the RPPs.st1 (31 taxa) dataset is best suited to producing regional vegetation cover estimates for Europe. These reconstructions offer a long-term perspective providing unique possibili</w:t>
      </w:r>
    </w:p>
    <w:p>
      <w:pPr/>
      <w:r>
        <w:rPr>
          <w:b/>
        </w:rPr>
        <w:t>POSSIBLE 2022:</w:t>
      </w:r>
      <w:r>
        <w:t xml:space="preserve"> Forest-based climate change mitigation and adaptation in Europe — https://doi.org/10.36333/fs14</w:t>
      </w:r>
    </w:p>
    <w:p>
      <w:pPr/>
      <w:r>
        <w:rPr>
          <w:b/>
        </w:rPr>
        <w:t>Shared claim-specific concepts:</w:t>
      </w:r>
      <w:r>
        <w:t xml:space="preserve"> forest, climate; EU scope visible. This is a provisional connection, not an outcome finding.</w:t>
      </w:r>
    </w:p>
    <w:p>
      <w:pPr>
        <w:pStyle w:val="SourceNote"/>
      </w:pPr>
      <w:r>
        <w:rPr>
          <w:b/>
        </w:rPr>
        <w:t>Available abstract (not full text):</w:t>
      </w:r>
      <w:r>
        <w:t xml:space="preserve"> From Science to Policy 14 2. Forest-based mitigation potential 2.1 The roles of forests and the forest sector in climate change mitigation Forests provide many benefits to society and one such benefit is forests' role in regulating the climate through their role in the global carbon cycle.This role is the result of photosynthesis in which trees remove CO 2 from the atmosphere and emit it back to the atmosphere via the decomposition of litter and dead trees or (in case of wildfires) combustion.If this cycle was left to follow its natural course, it would result in a long-term balance between CO 2 removals and emissions despite the short-term variations inherent to it.The management of forests by humans can have a profound impact on CO 2 emissions and removals, both immediately and over time.Rising concentrations of CO 2 and the related climate change can influence the growth and development of forests both positively and negatively, with further consequent impacts on CO 2 emissions and removals in forests (see Chapter 3).From Science to Policy 14 -150 -100 -50 0 50 100 150 200 250 300 350 400 450 Increased efficiency (2;5) Cascading (1;4) Shifts in wood uses (9;23) Afforestation/Reforestation (2;5) Forest restoration (peatlands) (2;5) Forest harvesting (increased) (1;1) Forest harvesting (decreased) (6;13) Other active management (7;14) Avoiding deforestation (1;1) Forest conser</w:t>
      </w:r>
    </w:p>
    <w:p>
      <w:pPr>
        <w:pStyle w:val="Heading2"/>
      </w:pPr>
      <w:r>
        <w:t>795. Improved Consistency of Climate Projections over Europe after Accounting for Atmospheric Circulation Variability</w:t>
      </w:r>
    </w:p>
    <w:p>
      <w:pPr>
        <w:pStyle w:val="SourceNote"/>
      </w:pPr>
      <w:r>
        <w:rPr>
          <w:b/>
        </w:rPr>
        <w:t>Original source (2017):</w:t>
      </w:r>
      <w:r>
        <w:t xml:space="preserve"> https://doi.org/10.1175/jcli-d-16-0695.1</w:t>
      </w:r>
    </w:p>
    <w:p>
      <w:pPr/>
      <w:r>
        <w:t>Original wording (abstract; indexed_source_text_not_full_document_verified): The differences in atmospheric circulation as simulated by different models in their control runs and under the historical and representative concentration pathway 8.5 (RCP8.5) forcing scenarios are investigated. A statistically significant response of sea level pressure to anthropogenic forcing is identified in the multimodel ensemble under the RCP8.5 scenario.</w:t>
      </w:r>
    </w:p>
    <w:p>
      <w:pPr/>
      <w:r>
        <w:rPr>
          <w:b/>
        </w:rPr>
        <w:t>POSSIBLE 2026:</w:t>
      </w:r>
      <w:r>
        <w:t xml:space="preserve"> A Comprehensive NMVOC Speciation Database for European Atmospheric Modelling — https://doi.org/10.1038/s41597-026-07538-z</w:t>
      </w:r>
    </w:p>
    <w:p>
      <w:pPr/>
      <w:r>
        <w:rPr>
          <w:b/>
        </w:rPr>
        <w:t>Shared claim-specific concepts:</w:t>
      </w:r>
      <w:r>
        <w:t xml:space="preserve"> atmospheric, anthropogenic; EU scope visible. This is a provisional connection, not an outcome finding.</w:t>
      </w:r>
    </w:p>
    <w:p>
      <w:pPr>
        <w:pStyle w:val="SourceNote"/>
      </w:pPr>
      <w:r>
        <w:rPr>
          <w:b/>
        </w:rPr>
        <w:t>Available abstract (not full text):</w:t>
      </w:r>
      <w:r>
        <w:t xml:space="preserve"> Speciated non-methane volatile organic compound (NMVOC) emissions are essential for air quality modelling, as they underpin atmospheric oxidation processes, secondary pollutant formation, and the evaluation of mitigation strategies. Yet, these emissions remains poorly quantified in Europe. Here, we introduce a new database of NMVOC speciation profiles that prioritises European-specific data consistent with present-day technologies, fuels, and regulatory frameworks, and covers all anthropogenic emission sources reported by European countries. The database includes 130 chemical speciation profiles and over 900 individual NMVOC species, systematically compiled and harmonised from the literature. To facilitate integration within official emission inventories, the profiles are mapped to the Selected Nomenclature for Air Pollution (SNAP) and Nomenclature for Reporting (NFR) sector classifications. Each profile provides species-level mass fractions and their aggregation into the 25 Global Emissions Inventory Activity (GEIA) NMVOC groups, enabling straightforward integration with chemical mechanisms used in contemporary air quality models. In addition, a ready-to-use file compatible with the Copernicus Atmosphere Monitoring Service European regional emission inventory (CAMS-REG) is provided.</w:t>
      </w:r>
    </w:p>
    <w:p>
      <w:pPr/>
      <w:r>
        <w:rPr>
          <w:b/>
        </w:rPr>
        <w:t>POSSIBLE 2026:</w:t>
      </w:r>
      <w:r>
        <w:t xml:space="preserve"> Evaluating effects of the terrain on modelled winds in multiple atmospheric model datasets — https://doi.org/10.5194/wes-2026-24</w:t>
      </w:r>
    </w:p>
    <w:p>
      <w:pPr/>
      <w:r>
        <w:rPr>
          <w:b/>
        </w:rPr>
        <w:t>Shared claim-specific concepts:</w:t>
      </w:r>
      <w:r>
        <w:t xml:space="preserve"> differences, atmospheric, different; EU scope visible. This is a provisional connection, not an outcome finding.</w:t>
      </w:r>
    </w:p>
    <w:p>
      <w:pPr>
        <w:pStyle w:val="SourceNote"/>
      </w:pPr>
      <w:r>
        <w:rPr>
          <w:b/>
        </w:rPr>
        <w:t>Available abstract (not full text):</w:t>
      </w:r>
      <w:r>
        <w:t xml:space="preserve"> Abstract. Numerical atmospheric models are widely used as a meteorological data source when planning the locations of new wind farms. However, before relying on model output for decision-making, it must be verified against observations. Due to commercial restrictions on the availability of observation data, previous studies on atmospheric model validation for wind energy applications are often limited to a single model or a small geographical region. This work performs a large-scale validation of modelled winds at wind turbine heights from seven model datasets against data from more than 500 observation campaigns across Europe. Principal component analysis is used to identify spatial, diurnal, and seasonal patterns of wind speed and direction biases. The results of the analysis show that all seven models exhibit similar spatial and temporal patterns of wind speed bias. Models generally show a more positive wind-speed bias in the Central European Plain and a more negative bias in mountainous regions, namely Southern Europe and the Scandinavian Mountains. Moreover, the temporal patterns of biases also differ between these regions, and wind direction bias shows the same temporal and spatial patterns as the wind speed bias. We show that these wind speed and direction biases can be explained by differences in terrain height between the models and the real world. The magnitude of the</w:t>
      </w:r>
    </w:p>
    <w:p>
      <w:pPr/>
      <w:r>
        <w:rPr>
          <w:b/>
        </w:rPr>
        <w:t>POSSIBLE 2026:</w:t>
      </w:r>
      <w:r>
        <w:t xml:space="preserve"> Climatological Characteristics and Atmospheric Circulation Associated With Three‐Dimensional Heat Wave Types in Middle Europe — https://doi.org/10.1029/2025ea004784</w:t>
      </w:r>
    </w:p>
    <w:p>
      <w:pPr/>
      <w:r>
        <w:rPr>
          <w:b/>
        </w:rPr>
        <w:t>Shared claim-specific concepts:</w:t>
      </w:r>
      <w:r>
        <w:t xml:space="preserve"> differences, atmospheric, circulation, different, pressure; EU scope visible. This is a provisional connection, not an outcome finding.</w:t>
      </w:r>
    </w:p>
    <w:p>
      <w:pPr>
        <w:pStyle w:val="SourceNote"/>
      </w:pPr>
      <w:r>
        <w:rPr>
          <w:b/>
        </w:rPr>
        <w:t>Available abstract (not full text):</w:t>
      </w:r>
      <w:r>
        <w:t xml:space="preserve"> Abstract A novel classification of three‐dimensional heat wave types is applied to Middle Europe over 1979–2022. Heat waves are classified according to their vertical structure of temperature anomalies in the ERA5 reanalysis into near‐surface (HWG), lower‐tropospheric (HWL), higher‐tropospheric (HWH), and omnipresent (HWO). Jenkinson–Collison classification is used to link circulation types (CTs) to individual heat wave types, and their climatological characteristics are studied in station‐based E‐OBS data. We show that the surface temperature anomalies are largest during HWG, which also are characterized by the driest conditions before onset. In all heat wave types, CTs with southerly flow are more common compared to the June–September climatology, but differences among the heat wave types are found for other CTs. In HWG, the CT occurring most frequently is indeterminate flow, corresponding to a little pronounced pressure field with no clear role of anticyclonic vorticity or flow direction. The expected pattern of increased anticyclonic and decreased cyclonic flow is clearly manifest only for HWH, while it is reversed during HWG. An important role of anticyclonic circulation supporting gradual warming is found before the onset of most heat wave types, except for HWH. The differences in circulation characteristics among the heat wave types are smaller after their termination, w</w:t>
      </w:r>
    </w:p>
    <w:p>
      <w:pPr/>
      <w:r>
        <w:rPr>
          <w:b/>
        </w:rPr>
        <w:t>POSSIBLE 2026:</w:t>
      </w:r>
      <w:r>
        <w:t xml:space="preserve"> Trends in short-term precipitation variability and their connection to atmospheric circulation — https://doi.org/10.5194/ems2026-287</w:t>
      </w:r>
    </w:p>
    <w:p>
      <w:pPr/>
      <w:r>
        <w:rPr>
          <w:b/>
        </w:rPr>
        <w:t>Shared claim-specific concepts:</w:t>
      </w:r>
      <w:r>
        <w:t xml:space="preserve"> differences, atmospheric, circulation, pressure; EU scope visible. This is a provisional connection, not an outcome finding.</w:t>
      </w:r>
    </w:p>
    <w:p>
      <w:pPr>
        <w:pStyle w:val="SourceNote"/>
      </w:pPr>
      <w:r>
        <w:rPr>
          <w:b/>
        </w:rPr>
        <w:t>Available abstract (not full text):</w:t>
      </w:r>
      <w:r>
        <w:t xml:space="preserve"> Long-term changes in precipitation occurrence and short-term variability influence drought and flood risk and therefore represent an important aspect of climate change assessment. In this study, we analyse trends in wet-day probability and precipitation persistence across Europe and evaluate their consistency across three widely used datasets: station observations (ECA&amp;D), gridded observations (E-OBS), and the ERA5 reanalysis. Wet-day probability is defined as the seasonal probability of daily precipitation exceeding 1 mm. Short-term variability is characterized by (i) transition probabilities between dry and wet days (dry-to-wet and wet-to-wet), assuming a two-state first-order Markov process, and (ii) persistence of precipitation quantified as the lag-1 autocorrelation of this process.The analysis covers the period 1961–2020 and is conducted separately for seasons, with particular focus on winter and summer. Trends are estimated using non-parametric (Mann-Kendall test, Kendall statistic). To interpret spatial patterns and assess potential drivers, precipitation characteristics are related to atmospheric circulation types derived from sea-level pressure using the Jenkinson–Collison classification, which describes daily flow direction, strength, and vorticity. Circulation types are further categorized as conducive or non-conducive to wet days based on their relative wet-day fre</w:t>
      </w:r>
    </w:p>
    <w:p>
      <w:pPr/>
      <w:r>
        <w:rPr>
          <w:b/>
        </w:rPr>
        <w:t>POSSIBLE 2026:</w:t>
      </w:r>
      <w:r>
        <w:t xml:space="preserve"> Day-to-day temperature variability, atmospheric fronts, and circulation types: How they fit together? — https://doi.org/10.5194/ems2026-367</w:t>
      </w:r>
    </w:p>
    <w:p>
      <w:pPr/>
      <w:r>
        <w:rPr>
          <w:b/>
        </w:rPr>
        <w:t>Shared claim-specific concepts:</w:t>
      </w:r>
      <w:r>
        <w:t xml:space="preserve"> differences, atmospheric, circulation, sea, level, pressure; EU scope visible. This is a provisional connection, not an outcome finding.</w:t>
      </w:r>
    </w:p>
    <w:p>
      <w:pPr>
        <w:pStyle w:val="SourceNote"/>
      </w:pPr>
      <w:r>
        <w:rPr>
          <w:b/>
        </w:rPr>
        <w:t>Available abstract (not full text):</w:t>
      </w:r>
      <w:r>
        <w:t xml:space="preserve"> This preliminary study builds on previous work on the climatology of atmospheric fronts over Europe and their relationship with day-to-day near-surface air temperature variability. Earlier analyses have shown that temperature responses to frontal passages exhibit substantial spatial and seasonal variability, suggesting the influence of multiple interacting atmospheric processes.The present contribution focuses on the role of large-scale circulation in modulating day-to-day temperature differences (DTD) associated with atmospheric fronts. Fronts are identified using an objective detection method applied to ERA5 reanalysis data for the period 1961–2020 over Europe. The synoptic-scale circulation is characterized by the Jenkinson–Collison classification derived from sea level pressure fields and aggregated into a reduced set of circulation types.The analysis considers both warm and cold fronts during winter and summer seasons. In addition to temperature changes, the relationship between circulation types and frontal occurrence is examined using conditional probabilities, which quantify how strongly individual circulation types favour the occurrence of a given front type relative to its climatological frequency. This framework enables a systematic assessment of the links between frontal passages, temperature variability, and large-scale circulation.Preliminary results indicate that</w:t>
      </w:r>
    </w:p>
    <w:p>
      <w:pPr/>
      <w:r>
        <w:rPr>
          <w:b/>
        </w:rPr>
        <w:t>POSSIBLE 2025:</w:t>
      </w:r>
      <w:r>
        <w:t xml:space="preserve"> Climatological characteristics and atmospheric circulation associated with 3D heat wave types in European regions — https://doi.org/10.5194/egusphere-egu25-9748</w:t>
      </w:r>
    </w:p>
    <w:p>
      <w:pPr/>
      <w:r>
        <w:rPr>
          <w:b/>
        </w:rPr>
        <w:t>Shared claim-specific concepts:</w:t>
      </w:r>
      <w:r>
        <w:t xml:space="preserve"> differences, atmospheric, circulation, different, sea, level; EU scope visible. This is a provisional connection, not an outcome finding.</w:t>
      </w:r>
    </w:p>
    <w:p>
      <w:pPr>
        <w:pStyle w:val="SourceNote"/>
      </w:pPr>
      <w:r>
        <w:rPr>
          <w:b/>
        </w:rPr>
        <w:t>Available abstract (not full text):</w:t>
      </w:r>
      <w:r>
        <w:t xml:space="preserve"> We evaluate climatological characteristics (temperature anomalies, mean precipitation, and the Climatic Water balance index defined as the difference between potential evapotranspiration and precipitation) and links to atmospheric circulation for three-dimensional (3D) heat wave types in several European regions. Heat waves are classified according to their 3D structure of positive temperature anomalies in ERA5 over 1979–2022 (the satellite period) into near-surface, lower-tropospheric, higher-tropospheric, and omnipresent types (Lhotka &amp; Kyselý 2024, https://www.nature.com/articles/s43247-024-01497-2). The Jenkinson–Collison classification of daily mean sea level pressure patterns is used to identify circulation types with increased frequency during the individual heat wave types compared to the June–September climatology. We show large differences in surface temperature anomalies and dryness among the heat wave types, as well as different links to circulation patterns. The differences are most pronounced between near-surface and higher-tropospheric heat waves and point to processes important for their onset and development. The analysis contributes to better understanding the interrelationships between heat waves, atmospheric circulation, and other driving mechanisms.</w:t>
      </w:r>
    </w:p>
    <w:p>
      <w:pPr/>
      <w:r>
        <w:rPr>
          <w:b/>
        </w:rPr>
        <w:t>POSSIBLE 2025:</w:t>
      </w:r>
      <w:r>
        <w:t xml:space="preserve"> Links to atmospheric circulation vary for individual heat wave types in Middle Europe — https://doi.org/10.5194/egusphere-egu25-9815</w:t>
      </w:r>
    </w:p>
    <w:p>
      <w:pPr/>
      <w:r>
        <w:rPr>
          <w:b/>
        </w:rPr>
        <w:t>Shared claim-specific concepts:</w:t>
      </w:r>
      <w:r>
        <w:t xml:space="preserve"> differences, atmospheric, circulation, sea, level, pressure; EU scope visible. This is a provisional connection, not an outcome finding.</w:t>
      </w:r>
    </w:p>
    <w:p>
      <w:pPr>
        <w:pStyle w:val="SourceNote"/>
      </w:pPr>
      <w:r>
        <w:rPr>
          <w:b/>
        </w:rPr>
        <w:t>Available abstract (not full text):</w:t>
      </w:r>
      <w:r>
        <w:t xml:space="preserve"> We evaluate links to atmospheric circulation for three-dimensional heat wave types in Middle Europe over 1979–2022. Heat waves are classified according to their vertical structures of temperature anomalies in ERA5 into near-surface (HWG), lower-tropospheric (HWL), higher-tropospheric (HWH), and omnipresent (HWO) types. Jenkinson–Collison classification of daily mean sea level pressure patterns is used to identify circulation types (CTs) with increased frequency for the individual heat wave types. In all heat wave types, CTs with southerly flow are more common compared to the June–September climatology but differences are found for other groups of CTs. In HWG, the CT occurring most frequently is indeterminate flow, corresponding to a little pronounced pressure field with no clear role of anticyclonic vorticity or flow direction. The expected pattern of increased anticyclonic and decreased cyclonic flow is clearly manifest only for HWH, while it is reversed during HWG. The role of warm advection increases for the other two heat wave types, HWL and HWO. Anticyclonic circulation supporting gradual warming is important mainly before the onset of most heat wave types, except for HWH. The reported differences reflect diverse processes leading to the various heat wave types, with the dominant roles of anticyclonic vorticity for HWH and land–atmosphere coupling under little pronounced c</w:t>
      </w:r>
    </w:p>
    <w:p>
      <w:pPr/>
      <w:r>
        <w:rPr>
          <w:b/>
        </w:rPr>
        <w:t>POSSIBLE 2025:</w:t>
      </w:r>
      <w:r>
        <w:t xml:space="preserve"> Using different TROPOMI XCH4 retrieval products in atmospheric inversions of CH4: a comparison and reconciliation over Europe — https://doi.org/10.5194/egusphere-egu25-9567</w:t>
      </w:r>
    </w:p>
    <w:p>
      <w:pPr/>
      <w:r>
        <w:rPr>
          <w:b/>
        </w:rPr>
        <w:t>Shared claim-specific concepts:</w:t>
      </w:r>
      <w:r>
        <w:t xml:space="preserve"> differences, atmospheric, different; EU scope visible. This is a provisional connection, not an outcome finding.</w:t>
      </w:r>
    </w:p>
    <w:p>
      <w:pPr>
        <w:pStyle w:val="SourceNote"/>
      </w:pPr>
      <w:r>
        <w:rPr>
          <w:b/>
        </w:rPr>
        <w:t>Available abstract (not full text):</w:t>
      </w:r>
      <w:r>
        <w:t xml:space="preserve"> Retrievals of column average methane mixing ratio (XCH4) from satellites can provide a wealth of information on the fluxes of CH4. The TROPOMI instrument onboard the satellite Sentinel-5P is particularly interesting for flux estimation using atmospheric inversions as it provides global coverage with relatively high-resolution ground pixels of 5.5 × 7.5 km2 (at nadir). Furthermore, there are several different retrieval products available for TROPOMI XCH4, making it possible to compare these and quantify the effect that differences between them have on CH4 fluxes from atmospheric inversions.In this study, we have compared XCH4 from three retrieval products: i) the official ESA product provided by SRON, ii) the Weighting Function Modified Differential (WFMD) product from the University of Bremen, and iii) the blended TROPOMI-GOSAT product (S5P-BLND) from Harvard University, in atmospheric inversions over Europe for the year 2020. In addition, we compare fluxes from each of these with those derived with an inversion using ground-based observations from the ICOS atmospheric network. For flux estimation, we use the Bayesian inversion framework, FLEXINVERT, and the Lagrangian atmospheric transport model, FLEXPART, driven by ECMWF ERA5 meteorological reanalysis data.We find that the fluxes derived using WFMD and S5P-BLND products agree better with those derived using ICOS data. The dif</w:t>
      </w:r>
    </w:p>
    <w:p>
      <w:pPr/>
      <w:r>
        <w:rPr>
          <w:b/>
        </w:rPr>
        <w:t>POSSIBLE 2025:</w:t>
      </w:r>
      <w:r>
        <w:t xml:space="preserve"> Historical (2005-2019) reconstruction of regional scale climate and atmospheric composition over Europe — https://doi.org/10.5194/ems2025-484</w:t>
      </w:r>
    </w:p>
    <w:p>
      <w:pPr/>
      <w:r>
        <w:rPr>
          <w:b/>
        </w:rPr>
        <w:t>Shared claim-specific concepts:</w:t>
      </w:r>
      <w:r>
        <w:t xml:space="preserve"> differences, atmospheric, different, historical, concentration, significant; EU scope visible. This is a provisional connection, not an outcome finding.</w:t>
      </w:r>
    </w:p>
    <w:p>
      <w:pPr>
        <w:pStyle w:val="SourceNote"/>
      </w:pPr>
      <w:r>
        <w:rPr>
          <w:b/>
        </w:rPr>
        <w:t>Available abstract (not full text):</w:t>
      </w:r>
      <w:r>
        <w:t xml:space="preserve"> The main objective of the Horizon Europe project FOCI (non-CO2 Forcers and their Climate, Weather, Air Quality and Health Impacts) is to improve our knowledge of individual and cumulative contribution of non-CO2 radiative forcers and their precursors on climate and air quality. Due to their short lifetime and their non-uniform emission footprint, the short-lived climate forcers (SLCF) are expected to have different impacts at regional scale. To describe and assess the impact of SLCF, we have developed a framework of coupling global climate model, EC-Earth3, to regional climate models (RCMs), to conduct historical simulations over Europe using CEDS SLCF emissions and LUCAS land cover to maintain consistency with CMIP6 simulations. During the first phase of the project RCMs, consisting of meteorological and chemical transport models WRF+CMAQ and WRF+FARM, have been applied over the CORDEX European domain for years 2005 -19 driven by ERA5 meteorological and CAMS global atmospheric composition reanalyses to provide an historical baseline simulation to be compared and verified versus observations and existing meteorological and tracers’ concentration reanalyses. The verification of the modelling systems performances reconstructing meteorological variables, pollutants’ concentration and their variability observed during the historical period is necessary to validate their planned dow</w:t>
      </w:r>
    </w:p>
    <w:p>
      <w:pPr/>
      <w:r>
        <w:rPr>
          <w:b/>
        </w:rPr>
        <w:t>POSSIBLE 2025:</w:t>
      </w:r>
      <w:r>
        <w:t xml:space="preserve"> Robust Assessment of Atmospheric Circulation Trends over Central Europe Using a Multi-Classification Approach — https://doi.org/10.5194/ems2025-600</w:t>
      </w:r>
    </w:p>
    <w:p>
      <w:pPr/>
      <w:r>
        <w:rPr>
          <w:b/>
        </w:rPr>
        <w:t>Shared claim-specific concepts:</w:t>
      </w:r>
      <w:r>
        <w:t xml:space="preserve"> differences, atmospheric, circulation; EU scope visible. This is a provisional connection, not an outcome finding.</w:t>
      </w:r>
    </w:p>
    <w:p>
      <w:pPr>
        <w:pStyle w:val="SourceNote"/>
      </w:pPr>
      <w:r>
        <w:rPr>
          <w:b/>
        </w:rPr>
        <w:t>Available abstract (not full text):</w:t>
      </w:r>
      <w:r>
        <w:t xml:space="preserve"> Changes in atmospheric circulation are key drivers of regional climate variability and long-term trends in the midlatitudes, particularly across Europe. This study investigates the concurrence and temporal trends in the frequency and persistence of atmospheric circulation types (CTs) over Central Europe for the period 1951–2020. We apply five distinct classifications: the large-scale Grosswetterlagen (GWL), and four regional-scale schemes—Lityński (LIT), Niedźwiedź (TN), Péczely (PEC), and the objective Jenkinson–Collinson (JCT) classification adapted to the study area.The analysis is conducted year-round as well as for the four meteorological seasons, offering a comprehensive perspective on synoptic-scale variability and its evolution over time. Results show substantial methodological differences between individual classification schemes. To assess the consistency and co-occurrence of CTs across methods, we employ a suite of statistical measures including contingency tables, mutual probabilities, Cramér’s V, Adjusted Rand Index (ARI), and Normalized Mutual Information (NMI). These measures highlight both areas of agreement and systematic discrepancies, underscoring the risk of overinterpretation when relying on a single classification.Despite differences, some robust trends emerge: notably, a consistent increase in westerly types and decline in meridional flow patterns during </w:t>
      </w:r>
    </w:p>
    <w:p>
      <w:pPr/>
      <w:r>
        <w:rPr>
          <w:b/>
        </w:rPr>
        <w:t>POSSIBLE 2024:</w:t>
      </w:r>
      <w:r>
        <w:t xml:space="preserve"> Warm‐Season Drying Across Europe and Its Links to Atmospheric Circulation — https://doi.org/10.1029/2023ea003434</w:t>
      </w:r>
    </w:p>
    <w:p>
      <w:pPr/>
      <w:r>
        <w:rPr>
          <w:b/>
        </w:rPr>
        <w:t>Shared claim-specific concepts:</w:t>
      </w:r>
      <w:r>
        <w:t xml:space="preserve"> differences, atmospheric, circulation, sea, level, pressure; EU scope visible. This is a provisional connection, not an outcome finding.</w:t>
      </w:r>
    </w:p>
    <w:p>
      <w:pPr>
        <w:pStyle w:val="SourceNote"/>
      </w:pPr>
      <w:r>
        <w:rPr>
          <w:b/>
        </w:rPr>
        <w:t>Available abstract (not full text):</w:t>
      </w:r>
      <w:r>
        <w:t xml:space="preserve"> Abstract We study drying trends across the central latitude strip of Europe (47.5–52.5°N and 2.5–27.5°E) during 1980–2019 and their links to atmospheric circulation. Daily differences between potential evapotranspiration and precipitation (PET–P) calculated from the E–OBS data are used to characterize dryness, and atmospheric circulation is represented by circulation types classified using daily sea level pressure patterns from the NCEP/NCAR reanalysis. Circulation types favoring dry conditions in vegetation season (April–September) are identified based on daily PET–P, and their temporal changes, seasonal variations, and links to trends in dryness in individual European regions are analyzed. In the early vegetation season (AMJ), drying trends are observed mainly in Western and Central Europe while in the late vegetation season (JAS), they are located predominantly in Eastern Europe. The dry circulation types include all anticyclonic types in all regions, as well as northeast to south (southwest in Eastern Europe) directional types. Trends of the dry circulation types correspond to those of dryness: the largest increase is found during AMJ in Western and Central Europe but during JAS in Eastern Europe. The results show that trends in dryness in the central latitude strip of Europe in the warm half‐year were associated with changes in atmospheric circulation, as the largest incre</w:t>
      </w:r>
    </w:p>
    <w:p>
      <w:pPr/>
      <w:r>
        <w:rPr>
          <w:b/>
        </w:rPr>
        <w:t>POSSIBLE 2024:</w:t>
      </w:r>
      <w:r>
        <w:t xml:space="preserve"> Atmospheric circulation associated with 3D heat wave types in Middle Europe — https://doi.org/10.5194/ems2024-343</w:t>
      </w:r>
    </w:p>
    <w:p>
      <w:pPr/>
      <w:r>
        <w:rPr>
          <w:b/>
        </w:rPr>
        <w:t>Shared claim-specific concepts:</w:t>
      </w:r>
      <w:r>
        <w:t xml:space="preserve"> differences, atmospheric, circulation, pressure; EU scope visible. This is a provisional connection, not an outcome finding.</w:t>
      </w:r>
    </w:p>
    <w:p>
      <w:pPr>
        <w:pStyle w:val="SourceNote"/>
      </w:pPr>
      <w:r>
        <w:rPr>
          <w:b/>
        </w:rPr>
        <w:t>Available abstract (not full text):</w:t>
      </w:r>
      <w:r>
        <w:t xml:space="preserve"> Heat waves are phenomena associated with large negative impacts on society and environment. We evaluate links between atmospheric circulation and three-dimensional (3D) heat wave types in Middle Europe (one of the PRUDENCE regions) over 1979–2022. Heat waves are classified according to their 3D structure of positive temperature anomalies in ERA5 into near-surface (HWG), lower-tropospheric (HWL), higher-tropospheric (HWH), and omnipresent (HWO) types. The Jenkinson–Collison classification is used to identify circulation types (CTs) with increased frequency during the individual heat wave types, and their climatological characteristics (including mean temperature anomaly, precipitation, and Climatic Water Balance index defined as potential evapotranspiration minus precipitation) are studied in station-based E-OBS data. We show that the surface temperature anomalies are largest during HWG (+7.1 °C), while HWL are the driest heat wave type according to mean daily precipitation (0.4 mm). At the same time, HWG types show the driest conditions before HW onset. In all heat wave types there is a large increase in the frequency of southern CTs compared to the June–September climatology, but differences among the heat wave types are found for other CTs. In HWG, the most frequent CT is U (undefined), corresponding to little pronounced pressure pattern over Middle Europe with no clear role </w:t>
      </w:r>
    </w:p>
    <w:p>
      <w:pPr>
        <w:pStyle w:val="Heading2"/>
      </w:pPr>
      <w:r>
        <w:t>796. Improving the use of crop models for risk assessment and climate change adaptation</w:t>
      </w:r>
    </w:p>
    <w:p>
      <w:pPr>
        <w:pStyle w:val="SourceNote"/>
      </w:pPr>
      <w:r>
        <w:rPr>
          <w:b/>
        </w:rPr>
        <w:t>Original source (2017):</w:t>
      </w:r>
      <w:r>
        <w:t xml:space="preserve"> https://doi.org/10.1016/j.agsy.2017.07.010</w:t>
      </w:r>
    </w:p>
    <w:p>
      <w:pPr/>
      <w:r>
        <w:t>Original wording (abstract; indexed_source_text_not_full_document_verified): The analysis highlights the limitations of focussing only on projections of future impacts and adaptation options using pre-determined time slices.</w:t>
      </w:r>
    </w:p>
    <w:p>
      <w:pPr/>
      <w:r>
        <w:rPr>
          <w:b/>
        </w:rPr>
        <w:t>POSSIBLE 2025:</w:t>
      </w:r>
      <w:r>
        <w:t xml:space="preserve"> Plastic and Reconstructive Surgery Highlights: Plastic Surgery Focus — https://doi.org/10.1097/prs.0000000000012139</w:t>
      </w:r>
    </w:p>
    <w:p>
      <w:pPr/>
      <w:r>
        <w:rPr>
          <w:b/>
        </w:rPr>
        <w:t>Shared claim-specific concepts:</w:t>
      </w:r>
      <w:r>
        <w:t xml:space="preserve"> highlights, limitations, only, projections; EU scope not established. This is a provisional connection, not an outcome finding.</w:t>
      </w:r>
    </w:p>
    <w:p>
      <w:pPr>
        <w:pStyle w:val="SourceNote"/>
      </w:pPr>
      <w:r>
        <w:rPr>
          <w:b/>
        </w:rPr>
        <w:t>Available abstract (not full text):</w:t>
      </w:r>
      <w:r>
        <w:t xml:space="preserve"> The Plastic Surgery Focus section of Plastic and Reconstructive Surgery, formerly known as Special Topics before 2018, is a unique collection of articles that cover many of the critical aspects of clinical practice, education, and research in plastic surgery. These areas do not necessarily fit neatly into the traditional anatomic subspecialties of the discipline, but instead cover a broad spectrum of important topics, including business, education, global health, technology, and wellness. Now more than ever, plastic surgeons must focus not only on the technical aspects of the specialty but also on the way they are delivered within today’s health care system. As the field, and its surrounding environment, continues to evolve rapidly, the Plastic Surgery Focus section provides the ability to stay up to date with the cutting-edge advancements that continue to shape the specialty. This Plastic and Reconstructive Surgery Highlights article reviews 10 of the most notable Plastic Surgery Focus articles from 2024. While all of the articles from 2024’s section offered important contributions, several were distinguished by their topic, design, and conclusions, providing pivotal information on certain themes, including technology, business, and practice management; health care policy and outcomes; and pharmacotherapeutics in plastic surgery. TECHNOLOGY Artificial Intelligence Technology a</w:t>
      </w:r>
    </w:p>
    <w:p>
      <w:pPr>
        <w:pStyle w:val="Heading2"/>
      </w:pPr>
      <w:r>
        <w:t>797. Institutional issues in planning for more uncertain futures</w:t>
      </w:r>
    </w:p>
    <w:p>
      <w:pPr>
        <w:pStyle w:val="SourceNote"/>
      </w:pPr>
      <w:r>
        <w:rPr>
          <w:b/>
        </w:rPr>
        <w:t>Original source (2017):</w:t>
      </w:r>
      <w:r>
        <w:t xml:space="preserve"> https://doi.org/10.1007/s11116-017-9805-z</w:t>
      </w:r>
    </w:p>
    <w:p>
      <w:pPr/>
      <w:r>
        <w:t>Original wording (abstract; indexed_source_text_not_full_document_verified): In contrast to the changing ideas around what mobility in the future will look like and the types of demand it may need to service, the practice of forecasting future travel demand remains largely unchanged as do the decision-making processes which flow from this. Alternative approaches to thinking about futures such as scenario planning exist but have had more limited deployment in the transport sector.</w:t>
      </w:r>
    </w:p>
    <w:p>
      <w:pPr/>
      <w:r>
        <w:rPr>
          <w:b/>
        </w:rPr>
        <w:t>POSSIBLE 2025:</w:t>
      </w:r>
      <w:r>
        <w:t xml:space="preserve"> Shaping institutional change in skill formation: the role of background ideas in growth strategies — https://doi.org/10.1080/13501763.2025.2490188</w:t>
      </w:r>
    </w:p>
    <w:p>
      <w:pPr/>
      <w:r>
        <w:rPr>
          <w:b/>
        </w:rPr>
        <w:t>Shared claim-specific concepts:</w:t>
      </w:r>
      <w:r>
        <w:t xml:space="preserve"> contrast, ideas, about; EU scope visible. This is a provisional connection, not an outcome finding.</w:t>
      </w:r>
    </w:p>
    <w:p>
      <w:pPr>
        <w:pStyle w:val="SourceNote"/>
      </w:pPr>
      <w:r>
        <w:rPr>
          <w:b/>
        </w:rPr>
        <w:t>Available abstract (not full text):</w:t>
      </w:r>
      <w:r>
        <w:t xml:space="preserve"> States are taking on an increasingly prominent role in shaping policy across advanced capitalist democracies. This paper conducts a comparative study of state intervention in skill formation between 2014 and 2022 and explores why state intervention was deployed for opposite goals: it increased deregulation, underlining skill formation's subordinate role in the French educational system while it strengthened collective governance and the social inclusion potential of the German system. Using a mixed-methods approach that combines process tracing and discourse network analysis of public media debates, this study argues that the non-functionalist background ideas of the actors employing skill formation in growth strategies inform this process. In Germany, beliefs about the complementarity between skill formation and economic growth tie coalitions of state actors and employers that promote institutional reproduction of skill formation even by unusual means, such as state intervention. In contrast, in France, where the skill formation system is perceived as a social policy tool, a coalition of business and state actors aims at increasing the economic potential of the system and reforming its governance according to market principles. This paper calls for more attention to the role of the ideas in influencing trajectories of institutional change.</w:t>
      </w:r>
    </w:p>
    <w:p>
      <w:pPr/>
      <w:r>
        <w:rPr>
          <w:b/>
        </w:rPr>
        <w:t>POSSIBLE 2023:</w:t>
      </w:r>
      <w:r>
        <w:t xml:space="preserve"> On Changing the Subject: ‘Secularity’, ‘Religion’, and the Idea of the Human — https://doi.org/10.3390/rel14040466</w:t>
      </w:r>
    </w:p>
    <w:p>
      <w:pPr/>
      <w:r>
        <w:rPr>
          <w:b/>
        </w:rPr>
        <w:t>Shared claim-specific concepts:</w:t>
      </w:r>
      <w:r>
        <w:t xml:space="preserve"> changing, ideas, need, about; EU scope visible. This is a provisional connection, not an outcome finding.</w:t>
      </w:r>
    </w:p>
    <w:p>
      <w:pPr>
        <w:pStyle w:val="SourceNote"/>
      </w:pPr>
      <w:r>
        <w:rPr>
          <w:b/>
        </w:rPr>
        <w:t>Available abstract (not full text):</w:t>
      </w:r>
      <w:r>
        <w:t xml:space="preserve"> The ‘religion/secular’ frame should be retired as a way of characterizing contemporary northern European cultures. The concepts of ‘secularity’ and ‘religion’ are both falsifying and question begging. They invisibly and unhelpfully predetermine the conversation about who and where we are now. Further, they are terms which increasingly lack salience in these cultures. If we seek to locate and articulate, in order to reflectively engage, the horizons within which contemporary northern Europeans generally live, the goods that orient people’s lives, the ideas and values that move and motivate them, we need to talk not about ‘religion’ and the lack of it, but about the idea of the human. Within the concept of the human is nested today the sense of orientation, meaning, goodness and importance that notions of ‘religion’ used to express. This is the conceptual territory on which arguments about ‘what really matters’ are now conducted. If one wishes to have salience in contemporary culture, one needs to speak to this.</w:t>
      </w:r>
    </w:p>
    <w:p>
      <w:pPr/>
      <w:r>
        <w:rPr>
          <w:b/>
        </w:rPr>
        <w:t>POSSIBLE 2022:</w:t>
      </w:r>
      <w:r>
        <w:t xml:space="preserve"> Mobility in pandemic times: Exploring changes and long-term effects of COVID-19 on urban mobility behavior — https://doi.org/10.1016/j.trip.2022.100668</w:t>
      </w:r>
    </w:p>
    <w:p>
      <w:pPr/>
      <w:r>
        <w:rPr>
          <w:b/>
        </w:rPr>
        <w:t>Shared claim-specific concepts:</w:t>
      </w:r>
      <w:r>
        <w:t xml:space="preserve"> contrast, changing, mobility, travel; EU scope not established. This is a provisional connection, not an outcome finding.</w:t>
      </w:r>
    </w:p>
    <w:p>
      <w:pPr>
        <w:pStyle w:val="SourceNote"/>
      </w:pPr>
      <w:r>
        <w:rPr>
          <w:b/>
        </w:rPr>
        <w:t>Available abstract (not full text):</w:t>
      </w:r>
      <w:r>
        <w:t xml:space="preserve"> The COVID-19 pandemic marked a global disruption of unprecedented scale which was closely associated with human mobility. Since mobility acts as a facilitator for spreading the virus, individuals were forced to reconsider their respective behaviors. Despite numerous studies having detected behavioral changes during the first lockdown period (spring 2020), there is a lack of longitudinal perspectives that can provide insights into the intra-pandemic dynamics and potential long-term effects. This article investigates COVID-19-induced mobility-behavioral transformations by analyzing travel patterns of Berlin residents during a 20-month pandemic period and comparing them to the pre-pandemic situation. Based on quantitative analysis of almost 800,000 recorded trips, our longitudinal examination revealed individuals having reduced average monthly travel distances by ∼20%, trip frequencies by ∼11%, and having switched to individual modes. Public transportation has suffered a continual regression, with trip frequencies experiencing a relative long-term reduction of ∼50%, and a respective decrease of traveled distances by ∼43%. In contrast, the bicycle (rather than the car) was the central beneficiary, indicated by bicycle-related trip frequencies experiencing a relative long-term increase of ∼53%, and travel distances increasing by ∼117%. Comparing behavioral responses to three pandemi</w:t>
      </w:r>
    </w:p>
    <w:p>
      <w:pPr/>
      <w:r>
        <w:rPr>
          <w:b/>
        </w:rPr>
        <w:t>POSSIBLE 2021:</w:t>
      </w:r>
      <w:r>
        <w:t xml:space="preserve"> The changing map of international student mobility — https://doi.org/10.46786/ac21.7444</w:t>
      </w:r>
    </w:p>
    <w:p>
      <w:pPr/>
      <w:r>
        <w:rPr>
          <w:b/>
        </w:rPr>
        <w:t>Shared claim-specific concepts:</w:t>
      </w:r>
      <w:r>
        <w:t xml:space="preserve"> changing, ideas, mobility; EU scope not established. This is a provisional connection, not an outcome finding.</w:t>
      </w:r>
    </w:p>
    <w:p>
      <w:pPr>
        <w:pStyle w:val="SourceNote"/>
      </w:pPr>
      <w:r>
        <w:rPr>
          <w:b/>
        </w:rPr>
        <w:t>Available abstract (not full text):</w:t>
      </w:r>
      <w:r>
        <w:t xml:space="preserve"> This article presents fifteen essays following a prompt on the changing map of international student mobility through three disruptions, namely Brexit, America First and COVID-19. These essays written by postgraduate students at Beijing Normal University were collected during the Spring semester of 2020 and edited by Stephanie Hollings and Zhang Man under the supervision of Professor Michael Peters. The fifteen texts, written in the midst of the COVID-19 pandemic, highlight the many factors and faces of the changing map of international student mobility from fifteen different perspectives. The world map is a key aspect of these essays as it is not only important as a geographical concept but as a discourse of knowledge, power, identity and ideas that will be reflected in each student’s interpretation of international student mobility. Each student draws on their own diverse background and lived experiences, some as Chinese students and some as international students in China, to give light to these disruptions through the eyes of ‘globally mobile’ students, making an important contribution to global discussions on international student mobility. These students, reflecting on being in the midst of a pandemic spreading across the world map, imagine the future post-COVID-19 and how that will interplay with the other two major student mobility disruptions of recent years (Brexit an</w:t>
      </w:r>
    </w:p>
    <w:p>
      <w:pPr/>
      <w:r>
        <w:rPr>
          <w:b/>
        </w:rPr>
        <w:t>POSSIBLE 2021:</w:t>
      </w:r>
      <w:r>
        <w:t xml:space="preserve"> A Trainable Monogenic ConvNet Layer Robust in Front of Large Contrast Changes in Image Classification — https://doi.org/10.1109/access.2021.3128552</w:t>
      </w:r>
    </w:p>
    <w:p>
      <w:pPr/>
      <w:r>
        <w:rPr>
          <w:b/>
        </w:rPr>
        <w:t>Shared claim-specific concepts:</w:t>
      </w:r>
      <w:r>
        <w:t xml:space="preserve"> contrast, ideas, types; EU scope not established. This is a provisional connection, not an outcome finding.</w:t>
      </w:r>
    </w:p>
    <w:p>
      <w:pPr>
        <w:pStyle w:val="SourceNote"/>
      </w:pPr>
      <w:r>
        <w:rPr>
          <w:b/>
        </w:rPr>
        <w:t>Available abstract (not full text):</w:t>
      </w:r>
      <w:r>
        <w:t xml:space="preserve"> Convolutional Neural Networks (ConvNets) at present achieve remarkable performance in image classification tasks. However, current ConvNets cannot guarantee the capabilities of the mammalian visual systems such as invariance to contrast and illumination changes. Some ideas to overcome the illumination and contrast variations usually have to be tuned manually and tend to fail when tested with other types of data degradation. In this context, we present a new bio-inspired entry layer, M6, which detects low-level geometric features (lines, edges, and orientations) which are similar to patterns detected by the V1 visual cortex. This new trainable layer is capable of coping with image classification even with large contrast variations. The explanation for this behavior is the monogenic signal geometry, which represents each pixel value in a 3D space using quaternions, a fact that confers a degree of explainability to the networks. We compare M6 with a conventional convolutional layer (C) and a deterministic quaternion local phase layer (Q9). The experimental setup is designed to evaluate the robustness of our M6 enriched ConvNet model and includes three architectures, four datasets, three types of contrast degradation (including non-uniform haze degradations). The numerical results reveal that the models with M6 are the most robust in front of any kind of contrast variations. This a</w:t>
      </w:r>
    </w:p>
    <w:p>
      <w:pPr/>
      <w:r>
        <w:rPr>
          <w:b/>
        </w:rPr>
        <w:t>POSSIBLE 2021:</w:t>
      </w:r>
      <w:r>
        <w:t xml:space="preserve"> The Idea of Mismatch in Evolutionary Medicine — https://doi.org/10.1086/716543</w:t>
      </w:r>
    </w:p>
    <w:p>
      <w:pPr/>
      <w:r>
        <w:rPr>
          <w:b/>
        </w:rPr>
        <w:t>Shared claim-specific concepts:</w:t>
      </w:r>
      <w:r>
        <w:t xml:space="preserve"> contrast, ideas, need, largely, about; EU scope not established. This is a provisional connection, not an outcome finding.</w:t>
      </w:r>
    </w:p>
    <w:p>
      <w:pPr>
        <w:pStyle w:val="SourceNote"/>
      </w:pPr>
      <w:r>
        <w:rPr>
          <w:b/>
        </w:rPr>
        <w:t>Available abstract (not full text):</w:t>
      </w:r>
      <w:r>
        <w:t xml:space="preserve"> Mismatch is a prominent concept in evolutionary medicine, and a number of philosophers have published analyses of this concept. The word ‘mismatch’ has been used in a diversity of ways across a range of sciences, leading these authors to regard it as a vague concept in need of philosophical clarification. Here, in contrast, we concentrate on the use of mismatch in modelling and experimentation in evolutionary medicine. This reveals a rigorous theory of mismatch within which the term ‘mismatch’ is indeed used in several ways, not because it is ill defined but because different forms of mismatch are distinguished within the theory. Contemporary evolutionary medicine has unified the idea of ‘evolutionary mismatch’, derived from the older idea of ‘adaptive lag’ in evolution, with ideas about mismatch in development and physiology derived from the developmental origins of health and disease (DOHaD) paradigm. A number of publications in evolutionary medicine have tried to make this theoretical framework explicit. We build on these to present the theory in as simple and general a form as possible. We introduce terminology, largely drawn from the existing literature, to distinguish the different forms of mismatch. This integrative theory of mismatch captures how organisms track environments across space and time on multiple scales in order to maintain an adaptive match to the environme</w:t>
      </w:r>
    </w:p>
    <w:p>
      <w:pPr/>
      <w:r>
        <w:rPr>
          <w:b/>
        </w:rPr>
        <w:t>POSSIBLE 2020:</w:t>
      </w:r>
      <w:r>
        <w:t xml:space="preserve"> How ideas matter in public policy: a review of concepts, mechanisms, and methods — https://doi.org/10.4000/irpp.1343</w:t>
      </w:r>
    </w:p>
    <w:p>
      <w:pPr/>
      <w:r>
        <w:rPr>
          <w:b/>
        </w:rPr>
        <w:t>Shared claim-specific concepts:</w:t>
      </w:r>
      <w:r>
        <w:t xml:space="preserve"> ideas, decision-making, processes, approaches; EU scope not established. This is a provisional connection, not an outcome finding.</w:t>
      </w:r>
    </w:p>
    <w:p>
      <w:pPr>
        <w:pStyle w:val="SourceNote"/>
      </w:pPr>
      <w:r>
        <w:rPr>
          <w:b/>
        </w:rPr>
        <w:t>Available abstract (not full text):</w:t>
      </w:r>
      <w:r>
        <w:t xml:space="preserve"> The recent ideational turn in political science and public administration implies that ideas matter. Ideas are an essential explanatory concept for understanding policy changes and decision-making processes. The aim of the paper is to specify how ideas matter as a variable in public policy research, providing students and scholars of public policy with a stock take of the current state-of-the-art literature on ideas in political science and public administration. The paper first identifies three approaches to ideas as a variable in the policy process. It then discusses where ideas come from and the dynamics and drivers of ideational change to shed light on the ideational mechanisms underpinning policy processes. Furthermore, it taps into different research methods that can be used to study ideas. Finally, the paper concludes with five lessons for future research endeavours on the study of ideas in public policy.</w:t>
      </w:r>
    </w:p>
    <w:p>
      <w:pPr/>
      <w:r>
        <w:rPr>
          <w:b/>
        </w:rPr>
        <w:t>POSSIBLE 2020:</w:t>
      </w:r>
      <w:r>
        <w:t xml:space="preserve"> Smart Roads: An Overview of What Future Mobility Will Look Like — https://doi.org/10.3390/infrastructures5120107</w:t>
      </w:r>
    </w:p>
    <w:p>
      <w:pPr/>
      <w:r>
        <w:rPr>
          <w:b/>
        </w:rPr>
        <w:t>Shared claim-specific concepts:</w:t>
      </w:r>
      <w:r>
        <w:t xml:space="preserve"> mobility, look, like; EU scope not established. This is a provisional connection, not an outcome finding.</w:t>
      </w:r>
    </w:p>
    <w:p>
      <w:pPr>
        <w:pStyle w:val="SourceNote"/>
      </w:pPr>
      <w:r>
        <w:rPr>
          <w:b/>
        </w:rPr>
        <w:t>Available abstract (not full text):</w:t>
      </w:r>
      <w:r>
        <w:t xml:space="preserve"> Transport engineering has recently undergone several significant changes and innovations, one of which is the appearance and spread of autonomous vehicles; with this technology becoming more common and ordinary by the day, it is now necessary to implement some systems and contexts to facilitate autonomous vehicle operations. Consequently, a different perspective is now arising when dealing with road infrastructures, aiming to simplify and improve efficiency and maintenance of the existing roads, increase the life cycle of newly built ones, and minimize the economic and financial impact at the same time. Roadway pavements are one of the primary factors affecting vehicle operations; over time, this distinctive aspect has gone through various mechanical and physical changes due to the adoption of new materials or design methods. Consequently, to the spread of autonomous vehicles, scientific research has begun to study and develop systems to make road pavements and platforms not exclusively aimed at bearing loads, but rather at considering them as a means of communication and information exchange, if not even as a source of energy. This new approach introduces the so-called “Smart Roads,” i.e., road infrastructures capable of communicating with vehicles and self-monitoring fundamental perspectives concerning driverless vehicles and the roadway platform life cycle. This paper examin</w:t>
      </w:r>
    </w:p>
    <w:p>
      <w:pPr/>
      <w:r>
        <w:rPr>
          <w:b/>
        </w:rPr>
        <w:t>POSSIBLE 2020:</w:t>
      </w:r>
      <w:r>
        <w:t xml:space="preserve"> Changing Mobility Lifestyle — https://doi.org/10.4018/ijepr.20210401.oa6</w:t>
      </w:r>
    </w:p>
    <w:p>
      <w:pPr/>
      <w:r>
        <w:rPr>
          <w:b/>
        </w:rPr>
        <w:t>Shared claim-specific concepts:</w:t>
      </w:r>
      <w:r>
        <w:t xml:space="preserve"> changing, mobility, service, about; EU scope not established. This is a provisional connection, not an outcome finding.</w:t>
      </w:r>
    </w:p>
    <w:p>
      <w:pPr>
        <w:pStyle w:val="SourceNote"/>
      </w:pPr>
      <w:r>
        <w:rPr>
          <w:b/>
        </w:rPr>
        <w:t>Available abstract (not full text):</w:t>
      </w:r>
      <w:r>
        <w:t xml:space="preserve"> The article is focused on a detailed micro-study describing changes in the behaviour of the authors in three months before and during the COVID-19 pandemic. The study is based on data from Google Location Service. Despite the fact it evaluates only three people and the study cannot be sufficiently representative, it is a unique example of possible data processing at such a level of accuracy. The most significant changes in the behaviour of authors before and during the COVID-19 quarantine are described and interpreted in detail. Another purpose of the article is to point out the possibilities of analytical processing of Google Location while being aware of personal data protection issues. The authors recognize that by visualizing the real motion data, one partially discloses their privacy, but one considers it very valuable to show how detailed data Google collects about the population and how such data can be used effectively.</w:t>
      </w:r>
    </w:p>
    <w:p>
      <w:pPr/>
      <w:r>
        <w:rPr>
          <w:b/>
        </w:rPr>
        <w:t>POSSIBLE 2020:</w:t>
      </w:r>
      <w:r>
        <w:t xml:space="preserve"> Millionaire mobility and the sale of citizenship — https://doi.org/10.1080/1369183x.2020.1758554</w:t>
      </w:r>
    </w:p>
    <w:p>
      <w:pPr/>
      <w:r>
        <w:rPr>
          <w:b/>
        </w:rPr>
        <w:t>Shared claim-specific concepts:</w:t>
      </w:r>
      <w:r>
        <w:t xml:space="preserve"> contrast, mobility; EU scope not established. This is a provisional connection, not an outcome finding.</w:t>
      </w:r>
    </w:p>
    <w:p>
      <w:pPr>
        <w:pStyle w:val="SourceNote"/>
      </w:pPr>
      <w:r>
        <w:rPr>
          <w:b/>
        </w:rPr>
        <w:t>Available abstract (not full text):</w:t>
      </w:r>
      <w:r>
        <w:t xml:space="preserve"> Why do wealthy people purchase citizenship in peripheral countries? This article investigates the demand for citizenship by investment programmes, which enable naturalisation based on a donation or financial investment. Extending research on long-distance naturalisation among the middle class and on residence by investment programmes, I examine the motives of the wealthy using citizenship by investment options. Based on over one hundred interviews with rich naturalisers and intermediaries in the citizenship industry, I find that mobility, both in the present and as a future hedge, is a strong driver, followed by business advantages. Often it is privileges in third countries – not the place granting the citizenship – that are sought. In contrast to middle-class strategic naturalisers, quality of life, education options, and job prospects were not important, though navigating geopolitical barriers and risks were. Many naturalisers were not compensating for the failures of their citizenship at birth, but manoeuvering within a world of state competition. Finally, some individuals inverted the citizenship hierarchy and downgraded from ‘first tier’ memberships when, after years of living abroad, their nationality became a liability. The conclusion elaborates on the duplex structure of intra-state and inter-state inequality that channels demand, and the implications for citizenship mo</w:t>
      </w:r>
    </w:p>
    <w:p>
      <w:pPr/>
      <w:r>
        <w:rPr>
          <w:b/>
        </w:rPr>
        <w:t>POSSIBLE 2020:</w:t>
      </w:r>
      <w:r>
        <w:t xml:space="preserve"> The Politics of Mobility: Study Abroad in an Era of Climate Change — https://openalex.org/W3029188850</w:t>
      </w:r>
    </w:p>
    <w:p>
      <w:pPr/>
      <w:r>
        <w:rPr>
          <w:b/>
        </w:rPr>
        <w:t>Shared claim-specific concepts:</w:t>
      </w:r>
      <w:r>
        <w:t xml:space="preserve"> mobility, types, travel, about, exist; EU scope not established. This is a provisional connection, not an outcome finding.</w:t>
      </w:r>
    </w:p>
    <w:p>
      <w:pPr>
        <w:pStyle w:val="SourceNote"/>
      </w:pPr>
      <w:r>
        <w:rPr>
          <w:b/>
        </w:rPr>
        <w:t>Available abstract (not full text):</w:t>
      </w:r>
      <w:r>
        <w:t xml:space="preserve"> This paper explores the fundamental tension between mobility and the environmental consequences of the transportation that allows for that movement, zeroing in on the paradox of studying abroad in order to learn about climate or environmental sciences. With this, I consider what makes students feel justified in participating in such programs, whether the perceived benefits of these experiences outweigh the environmental costs, and how these programs play into the larger discourse of sustainability and tourism. By framing travel —air travel in particular— as technology embedded with political and cultural ideals, I analyze how and why concepts of mobility influence student choices, as well as how these tensions are navigated by its participants. Through exploring the history and objectives of these types of travel-intensive programs in conjunction with the historical purposes of travel and study abroad, considering the climate impact of air travel, and relating concepts of “Academic Flying” to study abroad, I question why students feel entitled to the privilege of embarking on such an environmentally detrimental journey, and whether such programs should even exist. My research culminates in surveying over 200 School for International Training (SIT) and School for Field Studies (SFS) study abroad alumni about how the climate impact of their travel abroad impacted their decision t</w:t>
      </w:r>
    </w:p>
    <w:p>
      <w:pPr/>
      <w:r>
        <w:rPr>
          <w:b/>
        </w:rPr>
        <w:t>POSSIBLE 2020:</w:t>
      </w:r>
      <w:r>
        <w:t xml:space="preserve"> Changing environments — https://doi.org/10.4324/9781003041573-16</w:t>
      </w:r>
    </w:p>
    <w:p>
      <w:pPr/>
      <w:r>
        <w:rPr>
          <w:b/>
        </w:rPr>
        <w:t>Shared claim-specific concepts:</w:t>
      </w:r>
      <w:r>
        <w:t xml:space="preserve"> changing, mobility, look; EU scope not established. This is a provisional connection, not an outcome finding.</w:t>
      </w:r>
    </w:p>
    <w:p>
      <w:pPr>
        <w:pStyle w:val="SourceNote"/>
      </w:pPr>
      <w:r>
        <w:rPr>
          <w:b/>
        </w:rPr>
        <w:t>Available abstract (not full text):</w:t>
      </w:r>
      <w:r>
        <w:t xml:space="preserve"> This chapter begins Elements of (re)connection, learning and mobility are evident in the experiences of Murilo – the 15-year-old Brazilian boy whose reflections on solar irrigators and other technologies. It seeks to add complexity and to look otherwise (and elsewhere) at children’s changing environments, this does not mean that issues of (re)connection, learning and mobility are usurped by other issues. The chapter includes but extends beyond these kinds of concerns to prompt reflection upon what else matters in, and what else is constitutive of, the many ways in which childhoods–natures might relate. It highlights, this might mean unpicking assumptions that children are separate from and therefore ‘relate with’ the environment. The chapter explores how it might be possible to consider the complexity of environmental issues through the concept of the nexus. It looks at forms of action by children – contrasting forms of (globalised) protest with the apparently banal experimentation that took place at Murilo’s school.</w:t>
      </w:r>
    </w:p>
    <w:p>
      <w:pPr>
        <w:pStyle w:val="Heading2"/>
      </w:pPr>
      <w:r>
        <w:t>798. Long-Term Hydrocarbon Trade Options for the Maghreb Region and Europe—Renewable Energy Based Synthetic Fuels for a Net Zero Emissions World</w:t>
      </w:r>
    </w:p>
    <w:p>
      <w:pPr>
        <w:pStyle w:val="SourceNote"/>
      </w:pPr>
      <w:r>
        <w:rPr>
          <w:b/>
        </w:rPr>
        <w:t>Original source (2017):</w:t>
      </w:r>
      <w:r>
        <w:t xml:space="preserve"> https://doi.org/10.3390/su9020306</w:t>
      </w:r>
    </w:p>
    <w:p>
      <w:pPr/>
      <w:r>
        <w:t>Original wording (abstract; indexed_source_text_not_full_document_verified): Results show that, for 7% weighted average cost of capital (WACC), renewable energy based synthetic natural gas (RE-SNG) and RE-diesel can be produced in 2030 for a minimum cost of 76 €/MWhHHV (0.78 €/m3SNG) and 88 €/MWhHHV (0.85 €/L), respectively. While in 2040, these production costs can drop to 66 €/MWhHHV (0.68 €/m3SNG) and 83 €/MWhHHV (0.80 €/L), respectively.</w:t>
      </w:r>
    </w:p>
    <w:p>
      <w:pPr/>
      <w:r>
        <w:rPr>
          <w:b/>
        </w:rPr>
        <w:t>POSSIBLE 2026:</w:t>
      </w:r>
      <w:r>
        <w:t xml:space="preserve"> Dynamic Weighted Average Cost of Capital (DWACC) — https://doi.org/10.15396/eres2026_298</w:t>
      </w:r>
    </w:p>
    <w:p>
      <w:pPr/>
      <w:r>
        <w:rPr>
          <w:b/>
        </w:rPr>
        <w:t>Shared claim-specific concepts:</w:t>
      </w:r>
      <w:r>
        <w:t xml:space="preserve"> weighted, average, capital, based; EU scope not established. This is a provisional connection, not an outcome finding.</w:t>
      </w:r>
    </w:p>
    <w:p>
      <w:pPr>
        <w:pStyle w:val="SourceNote"/>
      </w:pPr>
      <w:r>
        <w:rPr>
          <w:b/>
        </w:rPr>
        <w:t>Available abstract (not full text):</w:t>
      </w:r>
      <w:r>
        <w:t xml:space="preserve"> The determination of discount rate is strategic in property valuation and consulting. Whilst in the counseling the determination of discount rate relies on the target rate of return that a specific investory tries to achieve, in the valuation process the task is more complicate because the valuer should include in the discount rate determination the market participant’s view of risk. Among the different models indicated in literature and professional standards discount rate can be calculate using weight average cost of capital based on the general accepted theory of capital structure (Modigliani Miller, 1958;1961;1963). In real estate literature a former version of weight average of capital can be considered the band of investment analysis in his version mortgage equity (Kazdin, 1944). Recently introduced cylical capitalization (d’Amato, 2013; d’Amato, 2015; d’Amato et al., 2024) offers a different approach to discount rate determination taking into account future variation along time. In this paper is proposed the definition of the dynamic weight average cost of capital as a possible alternative to the traditional one.</w:t>
      </w:r>
    </w:p>
    <w:p>
      <w:pPr/>
      <w:r>
        <w:rPr>
          <w:b/>
        </w:rPr>
        <w:t>POSSIBLE 2025:</w:t>
      </w:r>
      <w:r>
        <w:t xml:space="preserve"> Ordered Weighted Average Support Vector Regression — https://doi.org/10.1016/j.eswa.2025.126882</w:t>
      </w:r>
    </w:p>
    <w:p>
      <w:pPr/>
      <w:r>
        <w:rPr>
          <w:b/>
        </w:rPr>
        <w:t>Shared claim-specific concepts:</w:t>
      </w:r>
      <w:r>
        <w:t xml:space="preserve"> weighted, average, based, synthetic; EU scope not established. This is a provisional connection, not an outcome finding.</w:t>
      </w:r>
    </w:p>
    <w:p>
      <w:pPr>
        <w:pStyle w:val="SourceNote"/>
      </w:pPr>
      <w:r>
        <w:rPr>
          <w:b/>
        </w:rPr>
        <w:t>Available abstract (not full text):</w:t>
      </w:r>
      <w:r>
        <w:t xml:space="preserve"> This paper introduces a novel Support Vector Regression (SVR) model that incorporates Ordered Weighted Average (OWA) operators to differently penalize deviations of observations from the ɛ -strip. The penalty is determined based on the position of each deviation in the ordered vector of all deviations. A key contribution of this work is the development of two nonlinear formulations: a continuous formulation for non-decreasing monotone weight vectors and a mixed-integer formulation for general weight vectors. By leveraging dual approaches associated with these formulations, the model accommodates nonlinear kernel functions. To enhance computational efficiency, two heuristic approaches are proposed for deriving suitable regression hyperplanes in reduced computation times, as compared to exact methods. Additionally, a third heuristic approach is developed to handle nonlinear kernel functions effectively. Computational experiments conducted on both real and synthetic datasets demonstrate that the exact formulations yield remarkable regression functions with respect to the following standard metrics: mean absolute errors (MAE) and mean squared errors (MSE). The heuristic approaches are shown to be particularly efficient for larger datasets, striking a balance between solution quality and computational effort.</w:t>
      </w:r>
    </w:p>
    <w:p>
      <w:pPr/>
      <w:r>
        <w:rPr>
          <w:b/>
        </w:rPr>
        <w:t>POSSIBLE 2025:</w:t>
      </w:r>
      <w:r>
        <w:t xml:space="preserve"> Capital efficiency and organizational performance: A dynamic panel analysis of Weighted Average Cost of Capital (WACC) and ROA in Indonesia’s healthcare sector — https://doi.org/10.31940/jasafint.v8i1.26-40</w:t>
      </w:r>
    </w:p>
    <w:p>
      <w:pPr/>
      <w:r>
        <w:rPr>
          <w:b/>
        </w:rPr>
        <w:t>Shared claim-specific concepts:</w:t>
      </w:r>
      <w:r>
        <w:t xml:space="preserve"> weighted, average, capital, wacc; EU scope not established. This is a provisional connection, not an outcome finding.</w:t>
      </w:r>
    </w:p>
    <w:p>
      <w:pPr>
        <w:pStyle w:val="SourceNote"/>
      </w:pPr>
      <w:r>
        <w:rPr>
          <w:b/>
        </w:rPr>
        <w:t>Available abstract (not full text):</w:t>
      </w:r>
      <w:r>
        <w:t xml:space="preserve"> The healthcare sector in Indonesia faces challenges in managing capital efficiency and organizational performance due to high operational costs and the need for continuous investment in health technology and infrastructure. As a key driver of economic growth, especially post-COVID-19, optimal capital management is crucial for sustaining operations and creating stakeholder value. This study examines the relationship between the Weighted Average Cost of Capital (WACC) and Return on Assets (ROA) in Indonesia’s healthcare sector using a quantitative dynamic panel analysis approach. Financial data from healthcare companies listed on the Indonesia Stock Exchange were analyzed using the Generalized Method of Moments (GMM). The findings indicate that WACC negatively affects ROA, but the relationship is not statistically significant. Leverage, measured through the Debt to Asset Ratio and Debt to Equity Ratio, strengthens this relationship positively. Meanwhile, cash holdings and firm size have a negative moderating effect, whereas Net Working Capital (NWC) reinforces the relationship positively. These results highlight the importance of effective debt and liquidity management in optimizing profitability in the healthcare sector. The study contributes theoretically to capital efficiency discussions and offers practical insights for industry stakeholders, including decision-makers and inv</w:t>
      </w:r>
    </w:p>
    <w:p>
      <w:pPr/>
      <w:r>
        <w:rPr>
          <w:b/>
        </w:rPr>
        <w:t>POSSIBLE 2025:</w:t>
      </w:r>
      <w:r>
        <w:t xml:space="preserve"> Sustainability and Capital Costs: The Impact of ESG Performance, Efficiency, and Firm Characteristics on WACC — https://doi.org/10.4108/eai.30-7-2025.2360573</w:t>
      </w:r>
    </w:p>
    <w:p>
      <w:pPr/>
      <w:r>
        <w:rPr>
          <w:b/>
        </w:rPr>
        <w:t>Shared claim-specific concepts:</w:t>
      </w:r>
      <w:r>
        <w:t xml:space="preserve"> capital, wacc; EU scope not established. This is a provisional connection, not an outcome finding.</w:t>
      </w:r>
    </w:p>
    <w:p>
      <w:pPr>
        <w:pStyle w:val="SourceNote"/>
      </w:pPr>
      <w:r>
        <w:rPr>
          <w:b/>
        </w:rPr>
        <w:t>Available abstract (not full text):</w:t>
      </w:r>
      <w:r>
        <w:t xml:space="preserve"> ESG practices being widely promoted with the objectives of increasing sustainability-related transparency, demonstrating stronger performance, and reduce perceived risk. This study examines the relationship between ESG score and DEA into cost of capital as a critical indicator in assessing company p</w:t>
      </w:r>
    </w:p>
    <w:p>
      <w:pPr/>
      <w:r>
        <w:rPr>
          <w:b/>
        </w:rPr>
        <w:t>POSSIBLE 2025:</w:t>
      </w:r>
      <w:r>
        <w:t xml:space="preserve"> Implementation of the WACC Notice and challenges in determining the VHCN risk premium — https://openalex.org/W7124128098</w:t>
      </w:r>
    </w:p>
    <w:p>
      <w:pPr/>
      <w:r>
        <w:rPr>
          <w:b/>
        </w:rPr>
        <w:t>Shared claim-specific concepts:</w:t>
      </w:r>
      <w:r>
        <w:t xml:space="preserve"> weighted, average, capital, wacc; EU scope visible. This is a provisional connection, not an outcome finding.</w:t>
      </w:r>
    </w:p>
    <w:p>
      <w:pPr>
        <w:pStyle w:val="SourceNote"/>
      </w:pPr>
      <w:r>
        <w:rPr>
          <w:b/>
        </w:rPr>
        <w:t>Available abstract (not full text):</w:t>
      </w:r>
      <w:r>
        <w:t xml:space="preserve"> In 2019, the European Commission published the WACC Notice that sets out a methodology for estimating the weighted average costs of capital (WACC) used by national regulatory authorities in the cost regulation of the telecommunication sector. The Notice is explicitly limited to legacy infrastructure and does not address Very High Capacity Networks. The Commission's Recommendation on the regulatory promotion of gigabit connectivity advises that NRAs may apply a VHCN risk premium in addition to the applicable WACC, but provides less methodological guidance for its calculation. This paper provides an overview of current regulatory practices for determining the WACC for both legacy networks and VHCNs in Europe. It examines the implementation of the WACC Notice across Member States, assessing its impact and identifying notable deviations from the prescribed methodology. It further examines Member States' approaches to determining a risk premium for VHCN investments. The analysis draws on an extensive literature review and interviews with five national regulatory authorities. Findings indicate that the WACC Notice has largely standardised the methodology for calculating the regulated WACC for legacy infrastructure, although differences remain in the frequency of WACC updates. Overall, WACC values across Member States have declined since the Notice's introduction. Several NRAs adjuste</w:t>
      </w:r>
    </w:p>
    <w:p>
      <w:pPr/>
      <w:r>
        <w:rPr>
          <w:b/>
        </w:rPr>
        <w:t>POSSIBLE 2025:</w:t>
      </w:r>
      <w:r>
        <w:t xml:space="preserve"> Ser ISE impacta o WACC e o endividamento? — https://doi.org/10.9790/487x-2707010109</w:t>
      </w:r>
    </w:p>
    <w:p>
      <w:pPr/>
      <w:r>
        <w:rPr>
          <w:b/>
        </w:rPr>
        <w:t>Shared claim-specific concepts:</w:t>
      </w:r>
      <w:r>
        <w:t xml:space="preserve"> weighted, average, capital, wacc, based; EU scope not established. This is a provisional connection, not an outcome finding.</w:t>
      </w:r>
    </w:p>
    <w:p>
      <w:pPr>
        <w:pStyle w:val="SourceNote"/>
      </w:pPr>
      <w:r>
        <w:rPr>
          <w:b/>
        </w:rPr>
        <w:t>Available abstract (not full text):</w:t>
      </w:r>
      <w:r>
        <w:t xml:space="preserve"> Background: This article aims to evaluate the impact of adherence to the Corporate Sustainability Index (ISE) on the weighted average cost of capital (WACC) and debt (DE) of Brazilian companies listed on B3 (Brasil, Bolsa, Balcão). Materials and Methods: Data were collected from 332 publicly traded non-financial Brazilian companies, 85 of which belonged to the ISE for at least one year, in the period from 2010 to 2023. A descriptive and quantitative research was developed, based on secondary data, which were subjected to robust OLS regressions using unbalanced panel data. Results: In the analysis of the results, the regression model for WACC showed good explanatory capacity (R² of 57.85%), indicating that sustainable companies tend to have a lower cost of capital, a result in line with the Stakeholder, Signaling and Agency theories, which highlight the reduction in risk perceived by investors and the improvement in corporate governance. The debt model, with high explanatory power (R² of 92.13%), revealed that companies in the ISE have a higher level of debt, a result contrary to the second hypothesis of the study, but consistent with the Trade-Off Theory, suggesting that sustainable companies have greater access to credit because they are seen as less risky. Conclusion: It was found that companies belonging to the ISE have a reduction in their weighted average cost of capital. </w:t>
      </w:r>
    </w:p>
    <w:p>
      <w:pPr/>
      <w:r>
        <w:rPr>
          <w:b/>
        </w:rPr>
        <w:t>POSSIBLE 2024:</w:t>
      </w:r>
      <w:r>
        <w:t xml:space="preserve"> The Influence of Environmental, Social, and Governance Disclosure on Capital Structure: An Investigation of Leverage and WACC — https://doi.org/10.3390/jrfm17120570</w:t>
      </w:r>
    </w:p>
    <w:p>
      <w:pPr/>
      <w:r>
        <w:rPr>
          <w:b/>
        </w:rPr>
        <w:t>Shared claim-specific concepts:</w:t>
      </w:r>
      <w:r>
        <w:t xml:space="preserve"> show, weighted, average, capital, wacc; EU scope not established. This is a provisional connection, not an outcome finding.</w:t>
      </w:r>
    </w:p>
    <w:p>
      <w:pPr>
        <w:pStyle w:val="SourceNote"/>
      </w:pPr>
      <w:r>
        <w:rPr>
          <w:b/>
        </w:rPr>
        <w:t>Available abstract (not full text):</w:t>
      </w:r>
      <w:r>
        <w:t xml:space="preserve"> This paper seeks to examine the extent to which environmental, social, and governance (ESG) disclosure affects capital structure and cost of capital for non-financial Fortune 500 firms. With a sample period from 2007 to 2022 and a system (Generalized Method of Moments) GMM estimation method, we investigate the linkage between ESG disclosure scores and both leverage and the weighted average cost of capital (WACC). Thus, we find that firms with stronger ESG performance have higher ESG disclosure and lower leverage ratios and WACC, highlighting that firms with good ESG outcomes have better equity financing facilities and are perceived to be less risky. We also find the moderation effect where the effects of ESG disclosure depend on the level of ESG disclosure. The empirical results thus show that the environmental and social factors have significant influences on leverage and WACC than the governance factors. Furthermore, we show that firm size affects these relationships in that larger firms are more affected by the variables. These findings extend the literature on ESG, and provide relevant information for corporate financial managers, investors, and policymakers about the financial effects of ESG disclosure. This paper therefore provides evidence of the relevance of ESG factors in decisions on capital structure and cost of capital especially for large firms.</w:t>
      </w:r>
    </w:p>
    <w:p>
      <w:pPr/>
      <w:r>
        <w:rPr>
          <w:b/>
        </w:rPr>
        <w:t>POSSIBLE 2024:</w:t>
      </w:r>
      <w:r>
        <w:t xml:space="preserve"> An analysis of the effect of employee tenure on WACC — https://doi.org/10.1080/01559982.2024.2352671</w:t>
      </w:r>
    </w:p>
    <w:p>
      <w:pPr/>
      <w:r>
        <w:rPr>
          <w:b/>
        </w:rPr>
        <w:t>Shared claim-specific concepts:</w:t>
      </w:r>
      <w:r>
        <w:t xml:space="preserve"> show, capital, wacc, based; EU scope not established. This is a provisional connection, not an outcome finding.</w:t>
      </w:r>
    </w:p>
    <w:p>
      <w:pPr>
        <w:pStyle w:val="SourceNote"/>
      </w:pPr>
      <w:r>
        <w:rPr>
          <w:b/>
        </w:rPr>
        <w:t>Available abstract (not full text):</w:t>
      </w:r>
      <w:r>
        <w:t xml:space="preserve"> No international accounting policy exists to mandate that firms must report employee/workforce-level human capital information on a structured basis. Thus, the link between employee/workforce human capital and firm risk is not demonstrated in the literature. South Korea is a rare instance where human capital information, such as employee tenure is disclosed on Annual Reports as a rule. Therefore, we invoke resource-based theory, a human resource policy assertion, and a business ethics/sustainability inference to show whether capital providers differentiate between firms that are able/unable to retain employees, thus adjusting WACC accordingly. Using OLS regression analysis, from 2011-2020, empirical results show that firms with the ability to retain employees enjoy economically significantly lower levels of WACC. The results infer that equity/debt providers associate workforce tenure and firm risk/returns expectations. Empirical results also show that capital providers are nuanced when impounding employment information into risk/return assessments, based on incrementally different associations for investment-grade/non-investment-grade firms. The study contributes to the literature by providing evidence that management should develop strategies to retain employees to enjoy economic advantages. Because structured employee/workforce human capital information is rare internationall</w:t>
      </w:r>
    </w:p>
    <w:p>
      <w:pPr/>
      <w:r>
        <w:rPr>
          <w:b/>
        </w:rPr>
        <w:t>POSSIBLE 2024:</w:t>
      </w:r>
      <w:r>
        <w:t xml:space="preserve"> The relationship between the application of corporate sustainability policy and the weighted average cost of capital: examples of European countries — https://doi.org/10.29119/1641-3466.2024.202.8</w:t>
      </w:r>
    </w:p>
    <w:p>
      <w:pPr/>
      <w:r>
        <w:rPr>
          <w:b/>
        </w:rPr>
        <w:t>Shared claim-specific concepts:</w:t>
      </w:r>
      <w:r>
        <w:t xml:space="preserve"> weighted, average, capital, wacc; EU scope visible. This is a provisional connection, not an outcome finding.</w:t>
      </w:r>
    </w:p>
    <w:p>
      <w:pPr>
        <w:pStyle w:val="SourceNote"/>
      </w:pPr>
      <w:r>
        <w:rPr>
          <w:b/>
        </w:rPr>
        <w:t>Available abstract (not full text):</w:t>
      </w:r>
      <w:r>
        <w:t xml:space="preserve"> Purpose: This publication aims to verify whether Van Horne coefficient model affects company growth, as expressed by the WACC. Design/methodology/approach: The study was conducted on a group of nonfinancial companies listed on: the Warsaw Stock Exchange (WIG index), The Frankfurt Stock Exchange (DAX index), The Paris Stock Exchange (CAC index) and the Stockholm Stock Exchange (OMX Stockholm index) from 01/01/2000 - 31/12/2021. Van Horne's SGR model was used as an indicator of the sustainable growth of the firm. The analysis related to WACC and condition assessment of analysed companies is presented as OLS and panel models parameter estimations. The study was carried out using cross-sectional regression analysis and panel data. Several models were estimated using the OLS method, including different sets of independent variables. Findings: In the analysis, it was found that the VSGR coefficient has a negative impact on the WACC for companies from all the analysed markets, i.e. the better the implementation of the company's sustainable development policy measured by the VSGR index, the lower the WACC of the company may record. These results were also not confirmed in panel studies with fixed effects, which allows us to conclude that these relationships are very weak. Research limitations/implications: Further research should expand the analysis of firms by size and stage of develo</w:t>
      </w:r>
    </w:p>
    <w:p>
      <w:pPr/>
      <w:r>
        <w:rPr>
          <w:b/>
        </w:rPr>
        <w:t>POSSIBLE 2024:</w:t>
      </w:r>
      <w:r>
        <w:t xml:space="preserve"> Research on the refinement of atmospheric weighted average temperature model in Xi’an based on machine learning — https://doi.org/10.1016/j.asr.2024.09.045</w:t>
      </w:r>
    </w:p>
    <w:p>
      <w:pPr/>
      <w:r>
        <w:rPr>
          <w:b/>
        </w:rPr>
        <w:t>Shared claim-specific concepts:</w:t>
      </w:r>
      <w:r>
        <w:t xml:space="preserve"> weighted, average, based;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weighted, average, capital, renewable, production;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2023:</w:t>
      </w:r>
      <w:r>
        <w:t xml:space="preserve"> A novel approach to calculate weighted average cost of capital (WACC) considering debt and firm's cash flow durations — https://doi.org/10.1002/mde.4042</w:t>
      </w:r>
    </w:p>
    <w:p>
      <w:pPr/>
      <w:r>
        <w:rPr>
          <w:b/>
        </w:rPr>
        <w:t>Shared claim-specific concepts:</w:t>
      </w:r>
      <w:r>
        <w:t xml:space="preserve"> weighted, average, capital, wacc, based; EU scope not established. This is a provisional connection, not an outcome finding.</w:t>
      </w:r>
    </w:p>
    <w:p>
      <w:pPr>
        <w:pStyle w:val="SourceNote"/>
      </w:pPr>
      <w:r>
        <w:rPr>
          <w:b/>
        </w:rPr>
        <w:t>Available abstract (not full text):</w:t>
      </w:r>
      <w:r>
        <w:t xml:space="preserve"> Abstract This paper presents a novel approach to calculate the weighted average cost of capital (WACC) but considering additional relevant variables to be applied to a specific cash flow, free cash flow to firm (FCFF), or capital cash flow (CCF), in order to value an asset. The analytical expressions deduced for this approach, one for each case, are based not only on the ratio debt to the value of the asset and the cost of debt and equity, as in the usual expression, but also includes the debt and firm's cash flow durations. The proposed novel approach to cost of capital has key advantages in comparison to the usual expression for WACC: It is an analytical expression that could be applied to whatever kind of debt or capital structure, not only perpetual debt or permanent capital structure. It is a single discount rate, and for its calculation, it is not necessary to recalculate financial factors involved, which makes easier its application. The additional financial variables involved, debt and firm's cash flow duration, allow to obtain better results for the right discount rate and for the value of an asset in the sense that the discount rate for the asset effectively will permit to reach the required level for the profitability for the investor and to cover the cost of debt.</w:t>
      </w:r>
    </w:p>
    <w:p>
      <w:pPr>
        <w:pStyle w:val="Heading2"/>
      </w:pPr>
      <w:r>
        <w:t>799. Modeling the climatic suitability of leishmaniasis vector species in Europe</w:t>
      </w:r>
    </w:p>
    <w:p>
      <w:pPr>
        <w:pStyle w:val="SourceNote"/>
      </w:pPr>
      <w:r>
        <w:rPr>
          <w:b/>
        </w:rPr>
        <w:t>Original source (2017):</w:t>
      </w:r>
      <w:r>
        <w:t xml:space="preserve"> https://doi.org/10.1038/s41598-017-13822-1</w:t>
      </w:r>
    </w:p>
    <w:p>
      <w:pPr/>
      <w:r>
        <w:t>Original wording (abstract; indexed_source_text_not_full_document_verified): Climate change will affect the geographical distribution of many species in the future. An increased number of vector species, or a higher abundance of a single species, might result in a higher transmission risk of leishmaniasis, provided that the pathogens follow the projected range shifts.</w:t>
      </w:r>
    </w:p>
    <w:p>
      <w:pPr/>
      <w:r>
        <w:rPr>
          <w:b/>
        </w:rPr>
        <w:t>POSSIBLE 2026:</w:t>
      </w:r>
      <w:r>
        <w:t xml:space="preserve"> How will climate change affect future European forest productivity by 2100 ? — https://openalex.org/W7205234882</w:t>
      </w:r>
    </w:p>
    <w:p>
      <w:pPr/>
      <w:r>
        <w:rPr>
          <w:b/>
        </w:rPr>
        <w:t>Shared claim-specific concepts:</w:t>
      </w:r>
      <w:r>
        <w:t xml:space="preserve"> climate, affect; EU scope visible. This is a provisional connection, not an outcome finding.</w:t>
      </w:r>
    </w:p>
    <w:p>
      <w:pPr>
        <w:pStyle w:val="SourceNote"/>
      </w:pPr>
      <w:r>
        <w:rPr>
          <w:b/>
        </w:rPr>
        <w:t>Available abstract (not full text):</w:t>
      </w:r>
      <w:r>
        <w:t xml:space="preserve"> International audience</w:t>
      </w:r>
    </w:p>
    <w:p>
      <w:pPr/>
      <w:r>
        <w:rPr>
          <w:b/>
        </w:rPr>
        <w:t>POSSIBLE 2025:</w:t>
      </w:r>
      <w:r>
        <w:t xml:space="preserve"> Ash dieback and hydrology affect tree growth patterns under climate change in European floodplain forests — https://doi.org/10.1038/s41598-025-92079-5</w:t>
      </w:r>
    </w:p>
    <w:p>
      <w:pPr/>
      <w:r>
        <w:rPr>
          <w:b/>
        </w:rPr>
        <w:t>Shared claim-specific concepts:</w:t>
      </w:r>
      <w:r>
        <w:t xml:space="preserve"> climate, affect, species, increased, pathogens; EU scope visible. This is a provisional connection, not an outcome finding.</w:t>
      </w:r>
    </w:p>
    <w:p>
      <w:pPr>
        <w:pStyle w:val="SourceNote"/>
      </w:pPr>
      <w:r>
        <w:rPr>
          <w:b/>
        </w:rPr>
        <w:t>Available abstract (not full text):</w:t>
      </w:r>
      <w:r>
        <w:t xml:space="preserve"> Floodplain forests are currently undergoing substantial reorganization processes due to the combined effects of management-induced altered hydrological conditions, climate change and novel invasive pathogens. Nowadays, the ash dieback is one of the most concerning diseases affecting European floodplain forests, causing substantial tree mortality and threatening the loss of the dominant key tree species of the hardwood floodplain forest, Fraxinus excelsior. Understanding how the increased light availability caused by pathogen-driven mortality in combination with altered hydrological conditions and climate change affects growth responses in a diverse forest community is of crucial importance for conservation efforts. Thus, we examined growth of the main tree species in response to ash dieback and how it depended on altered hydrological conditions under novel climatic conditions for the lower and upper canopy in the floodplain forest of Leipzig, Germany. Our study period encompassed the consecutive drought years from 2018 to 2020. We found that tree growth responded mostly positively to increased light availability, but only on moist sites, while tree growth largely declined on dry sites, suggesting that water availability is a critical factor for tree species to be able to benefit from increased light availability due to canopy disturbances caused by ash dieback. This hydrologica</w:t>
      </w:r>
    </w:p>
    <w:p>
      <w:pPr/>
      <w:r>
        <w:rPr>
          <w:b/>
        </w:rPr>
        <w:t>POSSIBLE 2025:</w:t>
      </w:r>
      <w:r>
        <w:t xml:space="preserve"> How will climate change affect future European forest productivity by year 2100?: analysis of European species — https://openalex.org/W7138825369</w:t>
      </w:r>
    </w:p>
    <w:p>
      <w:pPr/>
      <w:r>
        <w:rPr>
          <w:b/>
        </w:rPr>
        <w:t>Shared claim-specific concepts:</w:t>
      </w:r>
      <w:r>
        <w:t xml:space="preserve"> climate, affect, species; EU scope visible. This is a provisional connection, not an outcome finding.</w:t>
      </w:r>
    </w:p>
    <w:p>
      <w:pPr>
        <w:pStyle w:val="SourceNote"/>
      </w:pPr>
      <w:r>
        <w:rPr>
          <w:b/>
        </w:rPr>
        <w:t>Available abstract (not full text):</w:t>
      </w:r>
      <w:r>
        <w:t xml:space="preserve"> BES annual meeting, Edinburgh 18th December 2025</w:t>
      </w:r>
    </w:p>
    <w:p>
      <w:pPr/>
      <w:r>
        <w:rPr>
          <w:b/>
        </w:rPr>
        <w:t>POSSIBLE 2025:</w:t>
      </w:r>
      <w:r>
        <w:t xml:space="preserve"> How Can Climate Change Conditions and Environmental Regulation with the Presence of COVID-19 Pandemic Affect the Human Health in the European Union countries? — https://doi.org/10.1007/s13132-025-02778-7</w:t>
      </w:r>
    </w:p>
    <w:p>
      <w:pPr/>
      <w:r>
        <w:rPr>
          <w:b/>
        </w:rPr>
        <w:t>Shared claim-specific concepts:</w:t>
      </w:r>
      <w:r>
        <w:t xml:space="preserve"> climate, affect;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Implications for the distributional range of the European bark beetles under future climate change — https://doi.org/10.1038/s41598-025-15546-z</w:t>
      </w:r>
    </w:p>
    <w:p>
      <w:pPr/>
      <w:r>
        <w:rPr>
          <w:b/>
        </w:rPr>
        <w:t>Shared claim-specific concepts:</w:t>
      </w:r>
      <w:r>
        <w:t xml:space="preserve"> climate, affect, distribution, many, species, higher; EU scope visible. This is a provisional connection, not an outcome finding.</w:t>
      </w:r>
    </w:p>
    <w:p>
      <w:pPr>
        <w:pStyle w:val="SourceNote"/>
      </w:pPr>
      <w:r>
        <w:rPr>
          <w:b/>
        </w:rPr>
        <w:t>Available abstract (not full text):</w:t>
      </w:r>
      <w:r>
        <w:t xml:space="preserve"> The European continent is rich in forest resources, with bark beetles being the most significant biological disturbance impacting European forest ecosystems. Over the past few decades, many trees have died due to bark beetle infestations, causing considerable economic damage to forestry. It is estimated that climate change will affect the distributional range of bark beetles, increasing the risk of outbreaks. However, the ability of different beetle populations to respond to climate change remains unknown. For this purpose, we selected nine species of bark beetles commonly found in Europe and constructed the MaxEnt model to simulate the distribution pattern of bark beetles under climatic conditions based on 21 environmental variables. Modeling projected changes in the distribution of different species of bark beetles under four climate scenarios for 2081-2100 using future climate variables and testing the hypothesis that narrow-ranged species are more vulnerable to climate change than wide-ranged species. The results show that the distribution of most bark beetles is influenced by temperature-related variables. With climate change, the suitable distribution areas for most species will expand and gradually shift to higher latitudes. Furthermore, most of northern Europe will be invaded by multiple bark beetle species in the future. These findings contribute to understanding the d</w:t>
      </w:r>
    </w:p>
    <w:p>
      <w:pPr/>
      <w:r>
        <w:rPr>
          <w:b/>
        </w:rPr>
        <w:t>POSSIBLE 2025:</w:t>
      </w:r>
      <w:r>
        <w:t xml:space="preserve"> Vectors on the Move: How Climate Change Fuels the Spread of Arboviruses in Europe — https://doi.org/10.3390/microorganisms13092034</w:t>
      </w:r>
    </w:p>
    <w:p>
      <w:pPr/>
      <w:r>
        <w:rPr>
          <w:b/>
        </w:rPr>
        <w:t>Shared claim-specific concepts:</w:t>
      </w:r>
      <w:r>
        <w:t xml:space="preserve"> climate, distribution, many, species, vector, transmission; EU scope visible. This is a provisional connection, not an outcome finding.</w:t>
      </w:r>
    </w:p>
    <w:p>
      <w:pPr>
        <w:pStyle w:val="SourceNote"/>
      </w:pPr>
      <w:r>
        <w:rPr>
          <w:b/>
        </w:rPr>
        <w:t>Available abstract (not full text):</w:t>
      </w:r>
      <w:r>
        <w:t xml:space="preserve"> Climate change is increasingly recognized as a major driver of emerging infectious diseases, particularly vector-borne diseases (VBDs), which are expanding in range and intensity worldwide. Europe, traditionally considered low-risk for many arboviral infections, is now experiencing autochthonous transmission of pathogens such as dengue, chikungunya, Zika virus, West Nile virus, malaria, and leishmaniasis. Rising temperatures, altered precipitation patterns, and milder winters have facilitated the establishment and spread of competent vectors, including Aedes, Anopheles, Phlebotomus, and Culex species, in previously non-endemic areas. These climatic shifts not only impact vector survival and distribution but also influence vector competence and pathogen development, ultimately increasing transmission potential. This narrative review explores the complex relationship between climate change and VBDs, with a particular focus on pediatric populations. It highlights how children may experience distinct clinical manifestations and complications, and how current data on pediatric burden remain limited for several emerging infections. Through an analysis of existing literature and reported outbreaks in Europe, this review underscores the urgent need for enhanced surveillance, integrated vector control strategies, and climate-adapted public health policies. Finally, it outlines research </w:t>
      </w:r>
    </w:p>
    <w:p>
      <w:pPr/>
      <w:r>
        <w:rPr>
          <w:b/>
        </w:rPr>
        <w:t>POSSIBLE 2025:</w:t>
      </w:r>
      <w:r>
        <w:t xml:space="preserve"> Many Plant Species in Europe Have Limited Capacity to Track Climate Change — https://doi.org/10.1111/ddi.70115</w:t>
      </w:r>
    </w:p>
    <w:p>
      <w:pPr/>
      <w:r>
        <w:rPr>
          <w:b/>
        </w:rPr>
        <w:t>Shared claim-specific concepts:</w:t>
      </w:r>
      <w:r>
        <w:t xml:space="preserve"> climate, distribution, many, species, result, range; EU scope visible. This is a provisional connection, not an outcome finding.</w:t>
      </w:r>
    </w:p>
    <w:p>
      <w:pPr>
        <w:pStyle w:val="SourceNote"/>
      </w:pPr>
      <w:r>
        <w:rPr>
          <w:b/>
        </w:rPr>
        <w:t>Available abstract (not full text):</w:t>
      </w:r>
      <w:r>
        <w:t xml:space="preserve"> ABSTRACT Aim No or unlimited dispersal capacities of species are commonly assumed in species distribution models ( SDMs ) used to assess potential impacts of climate change on biodiversity. However, these assumptions may lead to overly pessimistic or optimistic predictions. We aim to assess how outputs of broad‐scale SDMs of plants based on species‐specific dispersal estimates compare to outputs based on no and unlimited dispersal assumptions under climate change. Location Europe. Method We developed SDMs using occurrence records of 1318 vascular plant species in Europe and predictor variables representative of climate, soil and topographic conditions. We used the SDMs to project species to 2071–2100 for two climate scenarios (mild and severe climate change) combined with three dispersal assumptions: species‐specific, no dispersal, and unlimited dispersal. We then calculated the range sizes, species richness, and changes in both for each combination. Results Range size changes and species richness changes based on species‐specific dispersal estimates generally approximated those under the no dispersal assumption in both climate scenarios. This reflects that the majority of the species in our sample have a limited capacity to disperse. Only for the minority of species dispersed by wind or animals did the incorporation of species‐specific dispersal estimates result in clearly sma</w:t>
      </w:r>
    </w:p>
    <w:p>
      <w:pPr/>
      <w:r>
        <w:rPr>
          <w:b/>
        </w:rPr>
        <w:t>POSSIBLE 2025:</w:t>
      </w:r>
      <w:r>
        <w:t xml:space="preserve"> Climate change and the health of older adults in Europe: a call for a geriatric climate medicine framework — https://doi.org/10.1007/s41999-025-01336-3</w:t>
      </w:r>
    </w:p>
    <w:p>
      <w:pPr/>
      <w:r>
        <w:rPr>
          <w:b/>
        </w:rPr>
        <w:t>Shared claim-specific concepts:</w:t>
      </w:r>
      <w:r>
        <w:t xml:space="preserve"> climate, range; EU scope visible. This is a provisional connection, not an outcome finding.</w:t>
      </w:r>
    </w:p>
    <w:p>
      <w:pPr>
        <w:pStyle w:val="SourceNote"/>
      </w:pPr>
      <w:r>
        <w:rPr>
          <w:b/>
        </w:rPr>
        <w:t>Available abstract (not full text):</w:t>
      </w:r>
      <w:r>
        <w:t xml:space="preserve"> PURPOSE: Climate change is a critical determinant of health that disproportionately affects older adults. This review synthesises recent evidence on climate-related health risks in older Europeans and proposes a geriatric climate medicine framework to guide clinical practice, health system preparedness and policy action. METHODS: Narrative review of scientific literature and policy documents published between 2019 and 2025, with emphasis on European epidemiological data and adaptation frameworks. Studies were included if they reported health impacts or adaptation/mitigation strategies relevant to adults aged ≥ 65 years. RESULTS: Heatwaves, chronic and acute exposure to air pollutants, flooding and the expanding range of climate-sensitive infectious diseases increase hospitalisation, cognitive decline, and mortality in older adults, especially in women, those aged ≥ 80 years, and individuals with comorbidities or frailty. These risks remain insufficiently addressed in geriatric clinical practice and health policy. CONCLUSIONS: In a Europe warming at twice the global rate, urgent integration of climate risk assessment into geriatric care, enhanced resilience of health and social care infrastructure and climate policies that prioritise older adults are essential to reduce inequities and improve health outcomes.</w:t>
      </w:r>
    </w:p>
    <w:p>
      <w:pPr/>
      <w:r>
        <w:rPr>
          <w:b/>
        </w:rPr>
        <w:t>POSSIBLE 2024:</w:t>
      </w:r>
      <w:r>
        <w:t xml:space="preserve"> Climate change and human rights: how a landmark legal victory in Europe could affect NZ — https://doi.org/10.64628/aa.w393n9fmr</w:t>
      </w:r>
    </w:p>
    <w:p>
      <w:pPr/>
      <w:r>
        <w:rPr>
          <w:b/>
        </w:rPr>
        <w:t>Shared claim-specific concepts:</w:t>
      </w:r>
      <w:r>
        <w:t xml:space="preserve"> climate, affect;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Does Climate Change and Energy Consumption Affect the Food Security of European Union Countries? Empirical Evidence from a Panel Study — https://doi.org/10.3390/en17133237</w:t>
      </w:r>
    </w:p>
    <w:p>
      <w:pPr/>
      <w:r>
        <w:rPr>
          <w:b/>
        </w:rPr>
        <w:t>Shared claim-specific concepts:</w:t>
      </w:r>
      <w:r>
        <w:t xml:space="preserve"> climate, affect, increased; EU scope visible. This is a provisional connection, not an outcome finding.</w:t>
      </w:r>
    </w:p>
    <w:p>
      <w:pPr>
        <w:pStyle w:val="SourceNote"/>
      </w:pPr>
      <w:r>
        <w:rPr>
          <w:b/>
        </w:rPr>
        <w:t>Available abstract (not full text):</w:t>
      </w:r>
      <w:r>
        <w:t xml:space="preserve"> This study aims to provide empirical evidence on whether using renewable and non-renewable energy, CO₂ emissions and the resulting changes in temperature and precipitation can alter cereal yields in European Union countries. To this end, a panel data set covering 1992-2021 has been used to analyse the impact of climate change and economic factors on cereal production in European Union countries. The study employed various analytical techniques to understand better the relationship between climate change, energy consumption, and economic growth. These included using annual average temperature and rainfall to measure climate change and energy consumption and economic growth to analyse the economic aspects. To achieve the objective, feasible generalised least squares (FGLS) models with robust standard errors and bootstrap and a quantile regression (QR) model with marginal analysis were employed. The Westerlund cointegration test confirmed the presence of cointegration between cereal production and climate variables, economic growth, and energy consumption. The results indicate that increases in temperature and precipitation may contribute to increased cereal production in European Union countries. In contrast, energy consumption, including renewable energy and CO₂ emissions, may have a nonlinear effect on cereal production. Quantile regression analysis suggests climate change may </w:t>
      </w:r>
    </w:p>
    <w:p>
      <w:pPr/>
      <w:r>
        <w:rPr>
          <w:b/>
        </w:rPr>
        <w:t>POSSIBLE 2024:</w:t>
      </w:r>
      <w:r>
        <w:t xml:space="preserve"> Will climate change affect the proportion of melanistic northern vipers Vipera berus in a western European population with an exceptionally high rate of melanism? — https://doi.org/10.33256/hb168.2931</w:t>
      </w:r>
    </w:p>
    <w:p>
      <w:pPr/>
      <w:r>
        <w:rPr>
          <w:b/>
        </w:rPr>
        <w:t>Shared claim-specific concepts:</w:t>
      </w:r>
      <w:r>
        <w:t xml:space="preserve"> climate, affect;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Environmental Investments and Climate Change: How Environmental Protection Expenditure and Gross Domestic Product Affect Emissions in the European Union — https://doi.org/10.13044/j.sdewes.d12.0528</w:t>
      </w:r>
    </w:p>
    <w:p>
      <w:pPr/>
      <w:r>
        <w:rPr>
          <w:b/>
        </w:rPr>
        <w:t>Shared claim-specific concepts:</w:t>
      </w:r>
      <w:r>
        <w:t xml:space="preserve"> climate, affect, many, increased; EU scope visible. This is a provisional connection, not an outcome finding.</w:t>
      </w:r>
    </w:p>
    <w:p>
      <w:pPr>
        <w:pStyle w:val="SourceNote"/>
      </w:pPr>
      <w:r>
        <w:rPr>
          <w:b/>
        </w:rPr>
        <w:t>Available abstract (not full text):</w:t>
      </w:r>
      <w:r>
        <w:t xml:space="preserve"> This study analyses the relationships between economic development, environmental investments, and greenhouse gas emissions in the European Union for the period 2008-2022. Using correlation and regression analysis of data from Eurostat, the study assesses the impact of environmental protection expenditure and gross domestic product on greenhouse gas emissions. The results reveal a stable upward trend in environmental protection expenditure, especially in recent years, reflecting the European Union's growing commitment to sustainable development. At the same time, greenhouse gas emissions show an overall downward trend, with the sharpest decline between 2019 and 2020, likely due to the impact of the coronavirus disease pandemic. The correlation analysis confirms a significant inverse relationship between environmental investments and emissions, demonstrating the positive effect of "green" spending on reducing the carbon footprint. An important observation is that in many years, environmental expenditure grows at a faster rate than the European Union's gross domestic product, emphasizing the increased commitment to environmental issues even in conditions of economic growth. The regression analysis shows a strong relationship between the predictors (gross domestic product and environmental expenditure) and greenhouse gas emissions. Despite the expectation that economic growth woul</w:t>
      </w:r>
    </w:p>
    <w:p>
      <w:pPr>
        <w:pStyle w:val="Heading2"/>
      </w:pPr>
      <w:r>
        <w:t>800. Multi-model ensemble simulations of olive pollen distribution in Europe in 2014: current status and outlook</w:t>
      </w:r>
    </w:p>
    <w:p>
      <w:pPr>
        <w:pStyle w:val="SourceNote"/>
      </w:pPr>
      <w:r>
        <w:rPr>
          <w:b/>
        </w:rPr>
        <w:t>Original source (2017):</w:t>
      </w:r>
      <w:r>
        <w:t xml:space="preserve"> https://doi.org/10.5194/acp-17-12341-2017</w:t>
      </w:r>
    </w:p>
    <w:p>
      <w:pPr/>
      <w:r>
        <w:t>Original wording (abstract; indexed_source_text_not_full_document_verified): The best skill scores were obtained with data fusion, which used the previous-days observations to identify the optimal weighting coefficients of the individual model forecasts. Such combinations were tested for the forecasting period up to 4 days and shown to remain nearly optimal throughout the whole period.</w:t>
      </w:r>
    </w:p>
    <w:p>
      <w:pPr/>
      <w:r>
        <w:rPr>
          <w:b/>
        </w:rPr>
        <w:t>POSSIBLE 2026:</w:t>
      </w:r>
      <w:r>
        <w:t xml:space="preserve"> AI-Driven Weather Data Superresolution via Data Fusion for Precision Agriculture — https://doi.org/10.3390/s26041297</w:t>
      </w:r>
    </w:p>
    <w:p>
      <w:pPr/>
      <w:r>
        <w:rPr>
          <w:b/>
        </w:rPr>
        <w:t>Shared claim-specific concepts:</w:t>
      </w:r>
      <w:r>
        <w:t xml:space="preserve"> data, fusion, observations, period, remain; EU scope not established. This is a provisional connection, not an outcome finding.</w:t>
      </w:r>
    </w:p>
    <w:p>
      <w:pPr>
        <w:pStyle w:val="SourceNote"/>
      </w:pPr>
      <w:r>
        <w:rPr>
          <w:b/>
        </w:rPr>
        <w:t>Available abstract (not full text):</w:t>
      </w:r>
      <w:r>
        <w:t xml:space="preserve"> Accurate field-scale meteorological information is required for precision agriculture, but operational numerical weather prediction products remain spatially coarse and cannot resolve local microclimate variability. This study proposes a data fusion superresolution workflow that combines global GFS predictors (0.25°), regional station observations from Southern Moravia (Czech Republic), and static physiographic descriptors (elevation and terrain gradients) to predict the 2 m air temperature 24 h ahead and to generate spatially continuous high-resolution temperature fields. Several model families (LightGBM, TabPFN, Transformer, and Bayesian neural fields) are evaluated under spatiotemporal splits designed to test generalization to unseen time periods and unseen stations; spatial mapping is implemented via a KNN interpolation layer in the physiographic feature space. All learned configurations reduce the mean absolute error relative to raw GFS across splits. In the most operationally relevant regime (unseen stations and unseen future period), TabPFN-KNN achieves the lowest MAE (1.26 °C), corresponding to an ≈24% reduction versus GFS (1.66 °C). The results support the feasibility of an operational, sensor-infrastructure-compatible pipeline for high-resolution temperature superresolution in agricultural landscapes.</w:t>
      </w:r>
    </w:p>
    <w:p>
      <w:pPr/>
      <w:r>
        <w:rPr>
          <w:b/>
        </w:rPr>
        <w:t>POSSIBLE 2026:</w:t>
      </w:r>
      <w:r>
        <w:t xml:space="preserve"> HOSPITALITY SECTOR SKILLS – COMPARING CROATIA TO SOUTH EUROPEAN COUNTRIES — https://doi.org/10.20867/thi.28.06</w:t>
      </w:r>
    </w:p>
    <w:p>
      <w:pPr/>
      <w:r>
        <w:rPr>
          <w:b/>
        </w:rPr>
        <w:t>Shared claim-specific concepts:</w:t>
      </w:r>
      <w:r>
        <w:t xml:space="preserve"> skill, scores, used, individual; EU scope visible. This is a provisional connection, not an outcome finding.</w:t>
      </w:r>
    </w:p>
    <w:p>
      <w:pPr>
        <w:pStyle w:val="SourceNote"/>
      </w:pPr>
      <w:r>
        <w:rPr>
          <w:b/>
        </w:rPr>
        <w:t>Available abstract (not full text):</w:t>
      </w:r>
      <w:r>
        <w:t xml:space="preserve"> Purpose – The paper aims to comparatively analyse general skills differences among employed in the hospitality sector across South European (SE) economies. Methodology/Design/Approach – The individual responses from the Survey of Adult Skills were used to assess objective skill levels (literacy, numeracy, adaptive problem-solving) and selfperceived skill deficiencies. Descriptive comparisons across the countries and Oaxaca-Blinder decomposition were applied. Findings – The results show a relatively strong position for Croatia in literacy and numeracy, but a lower score in adaptive problem-solving. The difference in average scores between the countries is due to a compositional effect, mostly related to individuals with lower educational attainment and those of foreign origin. Originality of the research – The analysis provides objective measures of general skills in the hospitality sector in Croatia and SE economies, complementing previous findings focused on a single country.</w:t>
      </w:r>
    </w:p>
    <w:p>
      <w:pPr/>
      <w:r>
        <w:rPr>
          <w:b/>
        </w:rPr>
        <w:t>POSSIBLE 2025:</w:t>
      </w:r>
      <w:r>
        <w:t xml:space="preserve"> Factors explaining adolescents’ digital skills in Europe — https://doi.org/10.1057/s41599-025-05241-9</w:t>
      </w:r>
    </w:p>
    <w:p>
      <w:pPr/>
      <w:r>
        <w:rPr>
          <w:b/>
        </w:rPr>
        <w:t>Shared claim-specific concepts:</w:t>
      </w:r>
      <w:r>
        <w:t xml:space="preserve"> skill, scores, data; EU scope visible. This is a provisional connection, not an outcome finding.</w:t>
      </w:r>
    </w:p>
    <w:p>
      <w:pPr>
        <w:pStyle w:val="SourceNote"/>
      </w:pPr>
      <w:r>
        <w:rPr>
          <w:b/>
        </w:rPr>
        <w:t>Available abstract (not full text):</w:t>
      </w:r>
      <w:r>
        <w:t xml:space="preserve"> Information and Communication Technologies (ICTs) play a pivotal role in the everyday lives of children and adolescents, shaping their educational experiences, leisure pursuits, and well-being. Thus, it is imperative for young individuals to have the capacity to employ digital skills adeptly, leading to tangible advantages for their personal growth and development. Yet, despite being born and brought up in a digital era and surrounded by digital devices, children and young people may lack the necessary knowledge and digital skills essential for leveraging ICTs effectively and preparing for a life in a digital society. This challenge is closely linked to the concept of the digital divide, which highlights disparities in access to and effective use of digital technologies based on socio-economic and demographic factors. The present paper utilizes raw data from the latest PISA 2022 survey to examine factors explaining digital skill scores of 15-year-old students in Europe in connection with several socio-demographic variables, namely gender, parental education, and migration background, as well as interest toward ICT, distraction from digital devices, and time spent on the internet. The results reveal significant differences amongst countries, and potential predictors of digital skills are provided for each European country separately. Overall life satisfaction was also examined a</w:t>
      </w:r>
    </w:p>
    <w:p>
      <w:pPr/>
      <w:r>
        <w:rPr>
          <w:b/>
        </w:rPr>
        <w:t>POSSIBLE 2025:</w:t>
      </w:r>
      <w:r>
        <w:t xml:space="preserve"> Design of a framework for skill assessment and performance analysis of soccer players based on multimodal data fusion — https://doi.org/10.70517/ijhsa463280</w:t>
      </w:r>
    </w:p>
    <w:p>
      <w:pPr/>
      <w:r>
        <w:rPr>
          <w:b/>
        </w:rPr>
        <w:t>Shared claim-specific concepts:</w:t>
      </w:r>
      <w:r>
        <w:t xml:space="preserve"> skill, data, fusion, tested; EU scope not established. This is a provisional connection, not an outcome finding.</w:t>
      </w:r>
    </w:p>
    <w:p>
      <w:pPr>
        <w:pStyle w:val="SourceNote"/>
      </w:pPr>
      <w:r>
        <w:rPr>
          <w:b/>
        </w:rPr>
        <w:t>Available abstract (not full text):</w:t>
      </w:r>
      <w:r>
        <w:t xml:space="preserve"> The author in order to realize the skill assessment of soccer players and analyze the athletes' performance on the field.Based on the extraction of multimodal data of soccer players and the fusion of multistream data with adaptive multiscale differential graph convolutional network, the athlete action recognition model is constructed.Next, the PC-CNN skill assessment model is constructed to assess and analyze the skills of soccer players.The performance performance of the assessment model in this paper is tested through comparative experiments.Finally, analyze the performance of the soccer team in the shooting mode and shooting area.The accuracy of this paper's PC-CNN assessment model is more than 90% in the assessment of three levels of skills of soccer players, and the accuracy of the assessment of high-level skills reaches 100%, which is more accurate than other models.Among the multimodal data of athletes' physiology, joint movements had the greatest influence on the assessment accuracy of the assessment model, which reached 78.17%.The soccer teams A, B, and C had the highest success rate in the item of penalty kick shooting skill, with success rates of 75%, 66.7%, and 66.7%, respectively.Teams A and C had the highest success rate in Zone 1.Team B had the highest success rate in Zone 4.</w:t>
      </w:r>
    </w:p>
    <w:p>
      <w:pPr/>
      <w:r>
        <w:rPr>
          <w:b/>
        </w:rPr>
        <w:t>POSSIBLE 2025:</w:t>
      </w:r>
      <w:r>
        <w:t xml:space="preserve"> Personalized nutrition: perspectives on challenges, opportunities, and guiding principles for data use and fusion — https://doi.org/10.1080/10408398.2025.2461237</w:t>
      </w:r>
    </w:p>
    <w:p>
      <w:pPr/>
      <w:r>
        <w:rPr>
          <w:b/>
        </w:rPr>
        <w:t>Shared claim-specific concepts:</w:t>
      </w:r>
      <w:r>
        <w:t xml:space="preserve"> data, fusion, individual, remain; EU scope not established. This is a provisional connection, not an outcome finding.</w:t>
      </w:r>
    </w:p>
    <w:p>
      <w:pPr>
        <w:pStyle w:val="SourceNote"/>
      </w:pPr>
      <w:r>
        <w:rPr>
          <w:b/>
        </w:rPr>
        <w:t>Available abstract (not full text):</w:t>
      </w:r>
      <w:r>
        <w:t xml:space="preserve"> Personalized nutrition (PN) delivers tailored dietary guidance by integrating health, lifestyle, and behavioral data to improve individual health outcomes. Recent technological advances have enhanced access to diverse data sources, yet challenges remain in collecting, integrating, and analyzing complex datasets. To address these, the Personalized Nutrition Initiative at Illinois organized a workshop titled "Personalized Nutrition Data: Challenges &amp; Opportunities," which gathered experts to explore three essential data domains in PN: 1) health and biological, 2) social, behavioral, and environmental, and 3) consumer purchasing data. Discussions underscored the importance of cross-disciplinary collaboration to standardize data collection, enable secure data sharing, and develop data fusion techniques that respect privacy and build trust. Participants emphasized the need for representative datasets that include underserved populations, ensuring that PN services are accessible and equitable. Key principles for responsible data integration were proposed, alongside strategies to overcome barriers to effective data use. By addressing these challenges, PN can enhance health outcomes through precise, personalized recommendations tailored to diverse population needs.</w:t>
      </w:r>
    </w:p>
    <w:p>
      <w:pPr/>
      <w:r>
        <w:rPr>
          <w:b/>
        </w:rPr>
        <w:t>POSSIBLE 2024:</w:t>
      </w:r>
      <w:r>
        <w:t xml:space="preserve"> Triple Collocation-Based Uncertainty Analysis and Data Fusion of Multi-Source Evapotranspiration Data Across China — https://doi.org/10.3390/atmos15121410</w:t>
      </w:r>
    </w:p>
    <w:p>
      <w:pPr/>
      <w:r>
        <w:rPr>
          <w:b/>
        </w:rPr>
        <w:t>Shared claim-specific concepts:</w:t>
      </w:r>
      <w:r>
        <w:t xml:space="preserve"> best, data, fusion, individual, nearly; EU scope visible. This is a provisional connection, not an outcome finding.</w:t>
      </w:r>
    </w:p>
    <w:p>
      <w:pPr>
        <w:pStyle w:val="SourceNote"/>
      </w:pPr>
      <w:r>
        <w:rPr>
          <w:b/>
        </w:rPr>
        <w:t>Available abstract (not full text):</w:t>
      </w:r>
      <w:r>
        <w:t xml:space="preserve"> Accurate estimation of evapotranspiration (ET) is critical for understanding land-atmospheric interactions. Despite the advancement in ET measurement, a single ET estimate still suffers from inherent uncertainties. Data fusion provides a viable option for improving ET estimation by leveraging the strengths of individual ET products, especially the triple collocation (TC) method, which has a prominent advantage in not relying on the availability of “ground truth” data. In this work, we proposed a framework for uncertainty analysis and data fusion based on the extended TC (ETC) and multiple TC (MTC) variants. Three different sources of ET products, i.e., the Global Land Evaporation and Amsterdam Model (GLEAM), the fifth generation of European Reanalysis-Land (ERA5-Land), and the complementary relationship model (CR), were selected as the TC triplet. The analyses were conducted based on different climate zones and land cover types across China. Results show that ETC presents outstanding performance as most areas conform to the zero-error correlations assumption, while nearly half of the areas violate this assumption when using MTC. In addition, the ETC method derives a lower root mean square error (RMSE) and higher correlation coefficient (Corr) than the MTC one over most climate zones and land cover types. Among the ET products, GLEAM performs the best, while CR performs the wors</w:t>
      </w:r>
    </w:p>
    <w:p>
      <w:pPr/>
      <w:r>
        <w:rPr>
          <w:b/>
        </w:rPr>
        <w:t>POSSIBLE 2024:</w:t>
      </w:r>
      <w:r>
        <w:t xml:space="preserve"> Fusion of Soccer and Sipa and Tumbang Lata Skills in Developing a Recreational Game — https://doi.org/10.36948/ijfmr.2024.v06i03.23700</w:t>
      </w:r>
    </w:p>
    <w:p>
      <w:pPr/>
      <w:r>
        <w:rPr>
          <w:b/>
        </w:rPr>
        <w:t>Shared claim-specific concepts:</w:t>
      </w:r>
      <w:r>
        <w:t xml:space="preserve"> best, fusion, used; EU scope not established. This is a provisional connection, not an outcome finding.</w:t>
      </w:r>
    </w:p>
    <w:p>
      <w:pPr>
        <w:pStyle w:val="SourceNote"/>
      </w:pPr>
      <w:r>
        <w:rPr>
          <w:b/>
        </w:rPr>
        <w:t>Available abstract (not full text):</w:t>
      </w:r>
      <w:r>
        <w:t xml:space="preserve"> Traditional games are seen as the best platform for "promoting peace, harmony, goodwill and camaraderie" in various Philippine communities especially since today’s generation is different, most kids are stuck on their phones, iPods, and PSPs while sitting in a corner. This study highlighted a newly developed game derived from the two (2) recreational games, Sipa and Tumba Lata called Patada Lata. A game development approach that blends personalization and innovation, customized to the specific requirements of various groups. The respondents were 5 coaches of each sport (soccer and futsal) and teachers from Mindanao State University- General Santos City. The descriptive qualitative design was used following the Successive Approximation Model in deriving the development of the recreational game. A researcher-made interview guide question was utilized to obtain the feedback, comments, and suggestions of the validators, experts, and the student's experiences in playing Patada Lata. Based on the results of the study, positive feedback on the feasibility and adaptability of the game was received from participants. It is concluded that Patada Lata is playable, valid, and suitable and is highly accepted by the respondents. It recommends massive implementation to further normalize the mechanics of the recreational game Patada Lata.</w:t>
      </w:r>
    </w:p>
    <w:p>
      <w:pPr/>
      <w:r>
        <w:rPr>
          <w:b/>
        </w:rPr>
        <w:t>POSSIBLE 2024:</w:t>
      </w:r>
      <w:r>
        <w:t xml:space="preserve"> Feeding Assistance Skill Score: development and verification of reliability and validity — https://doi.org/10.1007/s41999-024-01016-8</w:t>
      </w:r>
    </w:p>
    <w:p>
      <w:pPr/>
      <w:r>
        <w:rPr>
          <w:b/>
        </w:rPr>
        <w:t>Shared claim-specific concepts:</w:t>
      </w:r>
      <w:r>
        <w:t xml:space="preserve"> skill, scores, individual; EU scope not established. This is a provisional connection, not an outcome finding.</w:t>
      </w:r>
    </w:p>
    <w:p>
      <w:pPr>
        <w:pStyle w:val="SourceNote"/>
      </w:pPr>
      <w:r>
        <w:rPr>
          <w:b/>
        </w:rPr>
        <w:t>Available abstract (not full text):</w:t>
      </w:r>
      <w:r>
        <w:t xml:space="preserve"> Abstract Purpose Feeding assistance should be safe and improve the assisted individual’s ability to feed, yet objective tools for evaluating these skills are lacking. This study focuses on developing a tool for assessing feeding assistance skills. Methods A group consisting of 25 experts employed the Delphi method to achieve a consensus on the essential items necessary for assessing feeding assistance skills. Subsequently, a draft score using a three-point scale was developed. To test the reliability of the draft scores, a group of 20 patients and 20 nurses was matched to record a meal assistance scene, which were independently evaluated by three raters. We computed the AC 1 statistic to assess both intra- and inter-rater reliability, and further examined correlations between the Feeding Assistance Skill Score (FASS) scores and outcome items to verify validity. Results Initially, an 18-item draft score was generated using the Delphi method. Subsequently, seven items were omitted from the intra- or inter-rater reliability analysis. Furthermore, after discussion, researchers removed one item that assessed food cognition, because the agreement score between the two items was 91%. Finally, the 10-item FASS was developed, showing a correlation with dietary intake upon validation. Conclusions We successfully developed a scoring system for peer evaluation of feeding assistance skills.</w:t>
      </w:r>
    </w:p>
    <w:p>
      <w:pPr/>
      <w:r>
        <w:rPr>
          <w:b/>
        </w:rPr>
        <w:t>POSSIBLE 2024:</w:t>
      </w:r>
      <w:r>
        <w:t xml:space="preserve"> Latent profiles of adolescents’ digital skills across six European countries — https://doi.org/10.1177/14614448241258704</w:t>
      </w:r>
    </w:p>
    <w:p>
      <w:pPr/>
      <w:r>
        <w:rPr>
          <w:b/>
        </w:rPr>
        <w:t>Shared claim-specific concepts:</w:t>
      </w:r>
      <w:r>
        <w:t xml:space="preserve"> best, skill, data; EU scope visible. This is a provisional connection, not an outcome finding.</w:t>
      </w:r>
    </w:p>
    <w:p>
      <w:pPr>
        <w:pStyle w:val="SourceNote"/>
      </w:pPr>
      <w:r>
        <w:rPr>
          <w:b/>
        </w:rPr>
        <w:t>Available abstract (not full text):</w:t>
      </w:r>
      <w:r>
        <w:t xml:space="preserve"> Digital skills are considered critical for functioning in contemporary society, yet there are differences between adolescents’ skills depending on demographic and socioeconomic variables. This study, utilising data from six EU countries ( N = 6221; M age = 14.5; SD = 1.4), takes a person-oriented approach to examine adolescents digital skill profiles and associations with socioeconomic, digital activity, and socioemotional antecedents. Using latent profile analyses with tests of similarity across countries, we identified five profiles: All-rounders, Informationists, Content Creators, Communicators, and No high skills. The All-rounders reported the highest proportions of skills at a high level (~77–87%) across all dimensions and performed best across digital knowledge items, but Communicators were the largest profile across countries which showed adept acquisition (~67%) of high skills only regarding communication and interaction skills. Among the most important antecedents predicting high digital skills were being male, using computers, and having strong self-efficacy.</w:t>
      </w:r>
    </w:p>
    <w:p>
      <w:pPr/>
      <w:r>
        <w:rPr>
          <w:b/>
        </w:rPr>
        <w:t>POSSIBLE 2023:</w:t>
      </w:r>
      <w:r>
        <w:t xml:space="preserve"> Ionospheric irregularity reconstruction using multisource data fusion via deep learning — https://doi.org/10.5194/acp-23-13413-2023</w:t>
      </w:r>
    </w:p>
    <w:p>
      <w:pPr/>
      <w:r>
        <w:rPr>
          <w:b/>
        </w:rPr>
        <w:t>Shared claim-specific concepts:</w:t>
      </w:r>
      <w:r>
        <w:t xml:space="preserve"> data, fusion, used, observations; EU scope not established. This is a provisional connection, not an outcome finding.</w:t>
      </w:r>
    </w:p>
    <w:p>
      <w:pPr>
        <w:pStyle w:val="SourceNote"/>
      </w:pPr>
      <w:r>
        <w:rPr>
          <w:b/>
        </w:rPr>
        <w:t>Available abstract (not full text):</w:t>
      </w:r>
      <w:r>
        <w:t xml:space="preserve"> Abstract. The ionospheric sporadic E (Es) layer is the intense plasma irregularities between 80 and 130 km in altitude, which is generally unpredictable. Reconstructing the morphology of sporadic E layer is not only essential for understanding the nature of ionospheric irregularities and many other atmospheric coupling systems, but also useful to solve a broad range of demands for reliable radio communication of many sectors reliant on ionosphere-dependent decision-making. Despite the efforts of many empirical and theoretical models, a predictive algorithm with both high accuracy and high efficiency is still lacking. Here we introduce a new approach for Sporadic E Layer Forecast using Artificial Neural Networks (SELF-ANN). The prediction engine is trained by fusing observational data from multiple sources, including high-resolution ERA5 reanalysis dataset, COSMIC RO measurements, and integrated data from OMNI. The results show that the model can effectively reconstruct the morphology of the ionospheric E layer with intraseasonal variability by learning complex patterns. The model obtains good performance and generalization capability by applying multiple evaluation criteria. The random forest algorithm used for preliminary pro- cessing shows that local time, altitude, longitude, and latitude are significantly essential for forecasting the E-layer region. Extensive evaluations b</w:t>
      </w:r>
    </w:p>
    <w:p>
      <w:pPr/>
      <w:r>
        <w:rPr>
          <w:b/>
        </w:rPr>
        <w:t>POSSIBLE 2023:</w:t>
      </w:r>
      <w:r>
        <w:t xml:space="preserve"> Modelling Skills Mismatch Evolution in the European Union — https://doi.org/10.5281/zenodo.7822460</w:t>
      </w:r>
    </w:p>
    <w:p>
      <w:pPr/>
      <w:r>
        <w:rPr>
          <w:b/>
        </w:rPr>
        <w:t>Shared claim-specific concepts:</w:t>
      </w:r>
      <w:r>
        <w:t xml:space="preserve"> data, used; EU scope visible. This is a provisional connection, not an outcome finding.</w:t>
      </w:r>
    </w:p>
    <w:p>
      <w:pPr>
        <w:pStyle w:val="SourceNote"/>
      </w:pPr>
      <w:r>
        <w:rPr>
          <w:b/>
        </w:rPr>
        <w:t>Available abstract (not full text):</w:t>
      </w:r>
      <w:r>
        <w:t xml:space="preserve"> Ensuring, that the supply of skills matches their demand in the labour market is a persistent policy concern. As a consequence, there are regular efforts to estimate skills supply-demand imbalances and project their evolution over time. However, such projections may not always take into account the complex dynamic effects, present in education and labour market systems. System dynamics (SD) modelling is well-placed to take into account such effects. Therefore, this paper attempts to model the evolution of supply, demand and imbalances of skills in the European Union, also taking into account dynamic factors, such as policy choices (e.g., education financing) and/or socio-economic tendencies (e.g., the attractiveness of higher education). The modelling exercise demonstrates that SD may be used to model skills supply-demand systems and that it can be calibrated to perform in line with historical data. Using this model, the future projection of skills mismatch evolution indicates, that by the mid-2030s an over-supply of high-skilled labour may appear in the EU. This may also happen much earlier if post-secondary VET qualifications would be considered well-matched with some of the jobs requiring a high level of skills, as has been argued to be the case by some authors earlier. There is a potential for further refining and extending this analysis with a more detailed definition of m</w:t>
      </w:r>
    </w:p>
    <w:p>
      <w:pPr/>
      <w:r>
        <w:rPr>
          <w:b/>
        </w:rPr>
        <w:t>POSSIBLE 2023:</w:t>
      </w:r>
      <w:r>
        <w:t xml:space="preserve"> Latent profiles of adolescents’ digital skills across six European countries — https://doi.org/10.31219/osf.io/xb4uj</w:t>
      </w:r>
    </w:p>
    <w:p>
      <w:pPr/>
      <w:r>
        <w:rPr>
          <w:b/>
        </w:rPr>
        <w:t>Shared claim-specific concepts:</w:t>
      </w:r>
      <w:r>
        <w:t xml:space="preserve"> best, skill, data; EU scope visible. This is a provisional connection, not an outcome finding.</w:t>
      </w:r>
    </w:p>
    <w:p>
      <w:pPr>
        <w:pStyle w:val="SourceNote"/>
      </w:pPr>
      <w:r>
        <w:rPr>
          <w:b/>
        </w:rPr>
        <w:t>Available abstract (not full text):</w:t>
      </w:r>
      <w:r>
        <w:t xml:space="preserve"> Digital skills are considered critical for functioning in contemporary society, yet there are differences between adolescents’ skills depending on demographic and socioeconomic variables. This study, ulizing data from six EU-countries (N=6221; Mage=14.5; SD=1.4), takes a person-oriented approach to examine adolescents digital skill profiles and associations with socio-economic, digital activity, and socio-emotional antecedents. Using latent profile analyses with tests of similarity across countries, we identified five profiles: Allrounders, Informationists, Content Creators, Communicators, and No high skills. The Allrounders reported the highest proportions of skills at a high level (~77-87%) across all dimensions and performed best across digital knowledge items, whereas Communicators were the largest profile across countries and showed adept aqcuisition (~67%) of high skills only regarding communication and interaction skills. Support from friends, using computers and utilizing digital media to follow news, learn something new, create content or communicate with friends predicted reflecting the Allrounders compared to the Communicators.</w:t>
      </w:r>
    </w:p>
    <w:p>
      <w:pPr>
        <w:pStyle w:val="Heading2"/>
      </w:pPr>
      <w:r>
        <w:t>801. New EU-scale environmental scenarios until 2050 – Scenario process and initial scenario applications</w:t>
      </w:r>
    </w:p>
    <w:p>
      <w:pPr>
        <w:pStyle w:val="SourceNote"/>
      </w:pPr>
      <w:r>
        <w:rPr>
          <w:b/>
        </w:rPr>
        <w:t>Original source (2017):</w:t>
      </w:r>
      <w:r>
        <w:t xml:space="preserve"> https://doi.org/10.1016/j.ecoser.2017.08.006</w:t>
      </w:r>
    </w:p>
    <w:p>
      <w:pPr/>
      <w:r>
        <w:t>Original wording (abstract; indexed_source_text_not_full_document_verified): In a participatory iterative approach four scenarios were developed for the period to 2050, involving regional and EU-level users and stakeholders. Understanding uncertainties and risks can be considered to be the main motivation behind environmental scenario studies to assess potential economic, environmental, social or technical developments and their expected consequences for society and environment.</w:t>
      </w:r>
    </w:p>
    <w:p>
      <w:pPr/>
      <w:r>
        <w:rPr>
          <w:b/>
        </w:rPr>
        <w:t>POSSIBLE 2026:</w:t>
      </w:r>
      <w:r>
        <w:t xml:space="preserve"> Mapping Participatory Approaches in Health Care Provision for Older Immigrants in Europe: A Scoping Review — https://doi.org/10.1007/s10903-026-01923-x</w:t>
      </w:r>
    </w:p>
    <w:p>
      <w:pPr/>
      <w:r>
        <w:rPr>
          <w:b/>
        </w:rPr>
        <w:t>Shared claim-specific concepts:</w:t>
      </w:r>
      <w:r>
        <w:t xml:space="preserve"> participatory, regional, potential; EU scope visible. This is a provisional connection, not an outcome finding.</w:t>
      </w:r>
    </w:p>
    <w:p>
      <w:pPr>
        <w:pStyle w:val="SourceNote"/>
      </w:pPr>
      <w:r>
        <w:rPr>
          <w:b/>
        </w:rPr>
        <w:t>Available abstract (not full text):</w:t>
      </w:r>
      <w:r>
        <w:t xml:space="preserve"> Europe faces the dual challenges of population ageing and increasing migration, resulting in a growing demographic of older immigrants with complex healthcare needs. Despite extensive research on ageing and migration, regional evidence on healthcare provision for older immigrants remains fragmented. Participatory approaches that integrate the voices and experiences of older immigrants can improve cultural sensitivity, accessibility, and health equity, ultimately leading to better outcomes. This scoping review seeks to contribute to filling the existing knowledge gap by systematically mapping the literature on healthcare provision using participatory approaches for older immigrants in Europe. This scoping review followed Arksey and O'Malley's methodological framework and the PRISMA-ScR reporting guidelines. A comprehensive search of five electronic databases was conducted in February 2025. Eligible studies included empirical research focusing on immigrants aged 60 years and older in Europe that used participatory approaches to healthcare provision. Data were charted and synthesized thematically to identify barriers and facilitators of healthcare utilization discussed in the context of participatory approaches, as well as gaps in the literature. From 2,411 records, 23 studies published between 2011 and 2025 met the inclusion criteria. Most were conducted in the United Kingdom, De</w:t>
      </w:r>
    </w:p>
    <w:p>
      <w:pPr/>
      <w:r>
        <w:rPr>
          <w:b/>
        </w:rPr>
        <w:t>POSSIBLE 2026:</w:t>
      </w:r>
      <w:r>
        <w:t xml:space="preserve"> Envisioning the future of European mountain value chains: a participatory foresight approach — https://doi.org/10.1007/s10113-025-02454-1</w:t>
      </w:r>
    </w:p>
    <w:p>
      <w:pPr/>
      <w:r>
        <w:rPr>
          <w:b/>
        </w:rPr>
        <w:t>Shared claim-specific concepts:</w:t>
      </w:r>
      <w:r>
        <w:t xml:space="preserve"> participatory, approach, four, regional, understanding; EU scope visible. This is a provisional connection, not an outcome finding.</w:t>
      </w:r>
    </w:p>
    <w:p>
      <w:pPr>
        <w:pStyle w:val="SourceNote"/>
      </w:pPr>
      <w:r>
        <w:rPr>
          <w:b/>
        </w:rPr>
        <w:t>Available abstract (not full text):</w:t>
      </w:r>
      <w:r>
        <w:t xml:space="preserve"> Abstract Mountain regions, vital socio-ecological systems covering 36% of Europe, face intensifying challenges from climate change, demographic shifts, and economic transformations, necessitating strategic long-term planning. This study presents a multi-regional participatory foresight exercise conducted across 22 European mountain areas to explore future scenarios and strategic pathways for sustainable development by 2050. Through stakeholder-driven workshops, key long-term forces shaping mountain value chains were identified, leading to the development of four archetypal futures based on their respective Theories of Change: Economic, Nature, Niche &amp; Diversification, and Knowledge &amp; Innovation, which serve as tools for understanding diverse regional trajectories and guiding strategic interventions. Findings emphasize the need for integrated, stakeholder-inclusive foresight approaches that go beyond traditional policy frameworks. The research highlights the importance of embedding value chain decisions within broader societal concerns and territorial sustainability strategies. By structuring long-term projections through archetypes, the research facilitates proactive thinking beyond short-term horizons, preventing maladaptation and fostering resilience. This research contributes to foresight methodologies by integrating participatory scenario-building with strategic thinking, s</w:t>
      </w:r>
    </w:p>
    <w:p>
      <w:pPr/>
      <w:r>
        <w:rPr>
          <w:b/>
        </w:rPr>
        <w:t>POSSIBLE 2026:</w:t>
      </w:r>
      <w:r>
        <w:t xml:space="preserve"> Mediating heritage through design: Participatory approaches to post-digital transformation — https://doi.org/10.21606/drs.2026.2338</w:t>
      </w:r>
    </w:p>
    <w:p>
      <w:pPr/>
      <w:r>
        <w:rPr>
          <w:b/>
        </w:rPr>
        <w:t>Shared claim-specific concepts:</w:t>
      </w:r>
      <w:r>
        <w:t xml:space="preserve"> participatory, iterative, approach; EU scope visible. This is a provisional connection, not an outcome finding.</w:t>
      </w:r>
    </w:p>
    <w:p>
      <w:pPr>
        <w:pStyle w:val="SourceNote"/>
      </w:pPr>
      <w:r>
        <w:rPr>
          <w:b/>
        </w:rPr>
        <w:t>Available abstract (not full text):</w:t>
      </w:r>
      <w:r>
        <w:t xml:space="preserve"> This research explores how design mediates the digital transformation of cultural heritage through hybrid and multisensory installations in archaeological contexts. Using the Case Romane del Celio in Rome as a pilot site for the European project HeritAdapt, it aims to redistribute visitor flows and promote sustainable tourism by enhancing the intangible value of minor sites. The study contributes to the post-digital museology debate by framing design as a critical, participatory practice operating across physical and virtual dimensions, fostering collaboration among engineering, management and restoration. Combining Service Design, Extended Reality and Artificial Intelligence technologies, qualitative research and iterative prototyping guided the creation of an integrated experience along the entire visitor journey. The approach seeks symbiotic interventions that ensure long-term sustainability, stakeholder involvement, storytelling-based engagement, heritage preservation and promotion. Following a testing phase, the project will develop toolkits and guidelines for GLAMs, enabling adaptable, accessible, and context-grounded digital interventions in heritage scenarios.</w:t>
      </w:r>
    </w:p>
    <w:p>
      <w:pPr/>
      <w:r>
        <w:rPr>
          <w:b/>
        </w:rPr>
        <w:t>POSSIBLE 2026:</w:t>
      </w:r>
      <w:r>
        <w:t xml:space="preserve"> Developing evidence-based health education resources: a participatory and iterative approach applied to the one health concept — https://doi.org/10.3389/fpubh.2026.1912836</w:t>
      </w:r>
    </w:p>
    <w:p>
      <w:pPr/>
      <w:r>
        <w:rPr>
          <w:b/>
        </w:rPr>
        <w:t>Shared claim-specific concepts:</w:t>
      </w:r>
      <w:r>
        <w:t xml:space="preserve"> participatory, iterative, approach, involving, users, stakeholders; EU scope not established. This is a provisional connection, not an outcome finding.</w:t>
      </w:r>
    </w:p>
    <w:p>
      <w:pPr>
        <w:pStyle w:val="SourceNote"/>
      </w:pPr>
      <w:r>
        <w:rPr>
          <w:b/>
        </w:rPr>
        <w:t>Available abstract (not full text):</w:t>
      </w:r>
      <w:r>
        <w:t xml:space="preserve"> Introduction: The development of health education resources frequently relies on a top-down approach centered on scientific or institutional expertise, which may not always reflect the needs of end users. In a context marked by the emergence of the One Health concept and its forthcoming integration into French school curricula, the development of appropriate educational resources represents a major challenge. This study aimed to describe a participatory, iterative and co-constructive approach to the development of evidence-based educational resources within the e-Bug program. Methods: Resource development followed a five-step process: needs assessment based on an evidence and context review, curriculum analysis and focus groups with teachers; resource design; prototype optimization through a second series of focus groups; scientific and institutional validation; and school-based piloting. Findings from the school-based evaluation are not reported in the present methodological study and will be presented separately. Qualitative data guided successive adaptations of the resources throughout the development process. Results: The identified needs led to the development of modular educational resources, adapted to different educational levels and readily usable in the classroom. Teacher feedback primarily concerned active learning approaches, content contextualization, activity modu</w:t>
      </w:r>
    </w:p>
    <w:p>
      <w:pPr/>
      <w:r>
        <w:rPr>
          <w:b/>
        </w:rPr>
        <w:t>POSSIBLE 2026:</w:t>
      </w:r>
      <w:r>
        <w:t xml:space="preserve"> From Engagement to Empowerment: Iterative Participatory Urbanism and Community Spatial Agency in the ECHO Project — https://doi.org/10.3390/architecture6030104</w:t>
      </w:r>
    </w:p>
    <w:p>
      <w:pPr/>
      <w:r>
        <w:rPr>
          <w:b/>
        </w:rPr>
        <w:t>Shared claim-specific concepts:</w:t>
      </w:r>
      <w:r>
        <w:t xml:space="preserve"> participatory, iterative, approach; EU scope not established. This is a provisional connection, not an outcome finding.</w:t>
      </w:r>
    </w:p>
    <w:p>
      <w:pPr>
        <w:pStyle w:val="SourceNote"/>
      </w:pPr>
      <w:r>
        <w:rPr>
          <w:b/>
        </w:rPr>
        <w:t>Available abstract (not full text):</w:t>
      </w:r>
      <w:r>
        <w:t xml:space="preserve"> Public housing in the Global South often prioritises the physical delivery of shelter at the expense of the social infrastructures needed to sustain collective life. In Malaysia’s Program Perumahan Rakyat (PPR), participatory efforts are frequently treated as brief consultative exercises that rarely reshape governance relations. This paper reconceptualises iterative participatory urbanism as a process through which community spatial agency is progressively formed through repeated engagement rather than isolated events. Unlike conventional participatory planning or co-production models centred on discrete consultation or project delivery, this approach frames participation as an evolving governance ecology. Drawing on a 12-month embedded case study of the ECHO Project at PPR Sri Cempaka, Kuala Lumpur, the study combines focus group discussions, participatory mapping, co-design workshops, and longitudinal facilitation observations to examine how residents’ relationship to shared space changed over time. Findings reveal a shift from passive expectations of state-led provision toward collective coordination, informal stewardship, and emerging shared governance practices. Spatial agency emerged not through design interventions alone but through relational continuity, visible responsiveness, and evolving shared responsibility. The study contributes to participatory urbanism and spati</w:t>
      </w:r>
    </w:p>
    <w:p>
      <w:pPr/>
      <w:r>
        <w:rPr>
          <w:b/>
        </w:rPr>
        <w:t>POSSIBLE 2026:</w:t>
      </w:r>
      <w:r>
        <w:t xml:space="preserve"> A participatory framework for assessing climate neutrality transition readiness — https://doi.org/10.5281/zenodo.22777820</w:t>
      </w:r>
    </w:p>
    <w:p>
      <w:pPr/>
      <w:r>
        <w:rPr>
          <w:b/>
        </w:rPr>
        <w:t>Shared claim-specific concepts:</w:t>
      </w:r>
      <w:r>
        <w:t xml:space="preserve"> participatory, iterative, developed, involving, regional, stakeholders; EU scope visible. This is a provisional connection, not an outcome finding.</w:t>
      </w:r>
    </w:p>
    <w:p>
      <w:pPr>
        <w:pStyle w:val="SourceNote"/>
      </w:pPr>
      <w:r>
        <w:rPr>
          <w:b/>
        </w:rPr>
        <w:t>Available abstract (not full text):</w:t>
      </w:r>
      <w:r>
        <w:t xml:space="preserve"> Climate neutrality transitions require not only technical planning but also collaborative governance ecosystems capable of ‘injecting’ strategic objectives into real implementation. Despite the increasing availability of European policy frameworks and funding mechanisms, many regional and local authorities continue to face institutional, organizational and participatory barriers limiting their transition capacity. In this context, Living Lab-oriented approaches can support stakeholder engagement, collaborative learning and evidence-informed governance. This paper proposes a participatory framework for assessing climate neutrality transition readiness across eight European areas participating in the Interreg Europe 2021–2027 SMARTFORM project. The methodology was developed through a Living Lab and Design Thinking co-creation process involving municipalities, regional authorities, academia and civil society and business stakeholders (in total 103 actors). Through iterative stakeholder engagement, the framework identified three core dimensions related to governance and planning, future readiness and gaps and barriers affecting climate neutrality transitions. The findings suggest that governance coordination, participatory capacity and institutional collaboration are perceived as critical enabling conditions for climate neutrality transitions, while implementation barriers remain s</w:t>
      </w:r>
    </w:p>
    <w:p>
      <w:pPr/>
      <w:r>
        <w:rPr>
          <w:b/>
        </w:rPr>
        <w:t>POSSIBLE 2025:</w:t>
      </w:r>
      <w:r>
        <w:t xml:space="preserve"> An Iterative and Participatory Method for Mapping Inuit Knowledge of the Ice and Ocean in Nunatsiavut — https://doi.org/10.1007/s10745-025-00631-8</w:t>
      </w:r>
    </w:p>
    <w:p>
      <w:pPr/>
      <w:r>
        <w:rPr>
          <w:b/>
        </w:rPr>
        <w:t>Shared claim-specific concepts:</w:t>
      </w:r>
      <w:r>
        <w:t xml:space="preserve"> participatory, iterative, approach; EU scope not established. This is a provisional connection, not an outcome finding.</w:t>
      </w:r>
    </w:p>
    <w:p>
      <w:pPr>
        <w:pStyle w:val="SourceNote"/>
      </w:pPr>
      <w:r>
        <w:rPr>
          <w:b/>
        </w:rPr>
        <w:t>Available abstract (not full text):</w:t>
      </w:r>
      <w:r>
        <w:t xml:space="preserve"> In 2019 and 2021, we held participatory mapping workshops in Nain, Hopedale, Postville, Makkovik, and Rigolet (Nunatsiavut, Canada) to document Labrador Inuit’s knowledge of the sea ice and ocean environment. We provide an overview of the iterative and adaptable methodological approach we used to support collaborative and transcultural marine research, emphasizing participants’ experiences during the process. The participatory mapping method created a space that encouraged participants to recall journeys across different times and places. Sharing these journeys provided essential contextual details connecting social and cultural values to the marine environment, while also conveying information about ice and ocean conditions. This approach resulted in collecting spatial and qualitative narrative data related to the marine environment that reflected local climate patterns and snapshots of unusual events or conditions observed at specific times and locations. We highlight that maps mainly facilitate knowledge-sharing rather than generating knowledge itself. This is evident in how Inuit participants interacted with the maps as objects that evoked memories and prompted movement across land-, sea-, and ice-scapes.</w:t>
      </w:r>
    </w:p>
    <w:p>
      <w:pPr/>
      <w:r>
        <w:rPr>
          <w:b/>
        </w:rPr>
        <w:t>POSSIBLE 2024:</w:t>
      </w:r>
      <w:r>
        <w:t xml:space="preserve"> Sustainable transitions in age-friendly communities in Europe: a participatory approach — https://doi.org/10.14311/app.2024.46.0001</w:t>
      </w:r>
    </w:p>
    <w:p>
      <w:pPr/>
      <w:r>
        <w:rPr>
          <w:b/>
        </w:rPr>
        <w:t>Shared claim-specific concepts:</w:t>
      </w:r>
      <w:r>
        <w:t xml:space="preserve"> participatory, approach, involving, stakeholders, environmental, potential; EU scope visible. This is a provisional connection, not an outcome finding.</w:t>
      </w:r>
    </w:p>
    <w:p>
      <w:pPr>
        <w:pStyle w:val="SourceNote"/>
      </w:pPr>
      <w:r>
        <w:rPr>
          <w:b/>
        </w:rPr>
        <w:t>Available abstract (not full text):</w:t>
      </w:r>
      <w:r>
        <w:t xml:space="preserve"> The ageing European population is driving the demand for age-friendly communities that support older individuals’ health and well-being. As communities navigate this transition, Transition Design emerges as a promising approach for addressing complex social and environmental challenges. This study explores the potential of Transition Design to create age-friendly communities in Europe. Drawing on examples from several European countries, this paper describes the key principles of Transition Design and how they can be applied to the development of age-friendly communities. This article highlights the importance of participatory processes in involving older people and other stakeholders in the design process, and discusses the role of technology in creating more accessible and inclusive environments. It also considers some of the challenges of implementing a transition design approach in a European context. In conclusion, this study asserts that Transition Design offers a promising approach for creating sustainable, inclusive, and responsive age-friendly communities.</w:t>
      </w:r>
    </w:p>
    <w:p>
      <w:pPr/>
      <w:r>
        <w:rPr>
          <w:b/>
        </w:rPr>
        <w:t>POSSIBLE 2024:</w:t>
      </w:r>
      <w:r>
        <w:t xml:space="preserve"> Participatory approach for specifying user requirements for maritime border surveillance system — https://doi.org/10.54941/ahfe1005558</w:t>
      </w:r>
    </w:p>
    <w:p>
      <w:pPr/>
      <w:r>
        <w:rPr>
          <w:b/>
        </w:rPr>
        <w:t>Shared claim-specific concepts:</w:t>
      </w:r>
      <w:r>
        <w:t xml:space="preserve"> participatory, iterative, approach, users; EU scope visible. This is a provisional connection, not an outcome finding.</w:t>
      </w:r>
    </w:p>
    <w:p>
      <w:pPr>
        <w:pStyle w:val="SourceNote"/>
      </w:pPr>
      <w:r>
        <w:rPr>
          <w:b/>
        </w:rPr>
        <w:t>Available abstract (not full text):</w:t>
      </w:r>
      <w:r>
        <w:t xml:space="preserve"> Maritime safety and security in European waters constitute of organizationally multi-layered activities, also including cooperation, coordination and information exchange between numerous civilian and military authorities and European agencies. Risks and threats at sea are multifaceted with increasing complexity over time and managing them requires increased collaboration at various levels for achieving comprehensive situational awareness and operational efficiency. A multitasking platform integrating new sensing capabilities from coastal, low-altitude and high-altitude platforms with different external data sources and exploiting novel AI supported risk assessment and visualization capabilities may support national authorities in reaching these objectives. This paper reports a user requirements development process for such a system implementing participatory, iterative design approach. Security-critical development context may severely constrain requirements process in a multi-stakeholder environment. However, in-depth interaction between users and developers does ensure consistent, holistic, and unambiguous requirements process, thus increasing technology acceptance and project success.</w:t>
      </w:r>
    </w:p>
    <w:p>
      <w:pPr/>
      <w:r>
        <w:rPr>
          <w:b/>
        </w:rPr>
        <w:t>POSSIBLE 2024:</w:t>
      </w:r>
      <w:r>
        <w:t xml:space="preserve"> Sea Level Rise in Europe: Knowledge gaps identified through a participatory approach — https://doi.org/10.5194/sp-3-slre1-3-2024</w:t>
      </w:r>
    </w:p>
    <w:p>
      <w:pPr/>
      <w:r>
        <w:rPr>
          <w:b/>
        </w:rPr>
        <w:t>Shared claim-specific concepts:</w:t>
      </w:r>
      <w:r>
        <w:t xml:space="preserve"> participatory, approach, four, regional, users, understanding; EU scope visible. This is a provisional connection, not an outcome finding.</w:t>
      </w:r>
    </w:p>
    <w:p>
      <w:pPr>
        <w:pStyle w:val="SourceNote"/>
      </w:pPr>
      <w:r>
        <w:rPr>
          <w:b/>
        </w:rPr>
        <w:t>Available abstract (not full text):</w:t>
      </w:r>
      <w:r>
        <w:t xml:space="preserve"> Abstract. The Intergovernmental Panel on Climate Change (IPCC) plays a pivotal role in delivering information and knowledge on sea level rise (SLR), a global threat impacting coastlines worldwide. However, considerable disparities still persist in Europe in understanding and applying sea level science, evaluating its repercussions, and devising effective adaptation strategies. These are influenced by local factors such as diverse environments, socioeconomic conditions, policy contexts, and diversity in stakeholder involvement, producing in turn varying knowledge gaps and information needs across European sea basins. In this context, this paper presents the findings of a comprehensive scoping process carried out by the European Knowledge Hub on Sea Level Rise (KH-SLR) to define the outline of the first KH-SLR Assessment Report. It consists of the analysis of stakeholder responses to an online survey and insights shared during four regional workshops, aiming to pinpoint critical gaps in available information on SLR and its potential consequences in European basins, both from a scientific and policy perspective. The analysis was divided into three categories: i) SLR science and information, ii) SLR impacts, and iii) SLR adaptation policies and decision-making. Regarding SLR science and information, many respondents found that significant gaps exist in regional SLR projections and </w:t>
      </w:r>
    </w:p>
    <w:p>
      <w:pPr/>
      <w:r>
        <w:rPr>
          <w:b/>
        </w:rPr>
        <w:t>POSSIBLE 2024:</w:t>
      </w:r>
      <w:r>
        <w:t xml:space="preserve"> Participatory approaches to developing sustainable futures: a global perspective — https://openalex.org/W7214139289</w:t>
      </w:r>
    </w:p>
    <w:p>
      <w:pPr/>
      <w:r>
        <w:rPr>
          <w:b/>
        </w:rPr>
        <w:t>Shared claim-specific concepts:</w:t>
      </w:r>
      <w:r>
        <w:t xml:space="preserve"> participatory, approach, potential; EU scope not established. This is a provisional connection, not an outcome finding.</w:t>
      </w:r>
    </w:p>
    <w:p>
      <w:pPr>
        <w:pStyle w:val="SourceNote"/>
      </w:pPr>
      <w:r>
        <w:rPr>
          <w:b/>
        </w:rPr>
        <w:t>Available abstract (not full text):</w:t>
      </w:r>
      <w:r>
        <w:t xml:space="preserve"> This chapter provides a brief overview of the use of participatory processes for developing sustainable futures around the world, with a particular focus on the emergence of participatory methods in the late 1960s and early 1970s. It also reflects on the diversity of current participatory methods. The influences and perspectives of CoOPLAGE in the light of the global context are reflected on, including how its underlying methods stem from a cybernetic, complex systems and engaged political approach. The chapter concludes with potential evolutions and innovations of CoOPLAGE, such as opportunities for integration of emerging technologies and more creative envisioning methods</w:t>
      </w:r>
    </w:p>
    <w:p>
      <w:pPr/>
      <w:r>
        <w:rPr>
          <w:b/>
        </w:rPr>
        <w:t>POSSIBLE 2024:</w:t>
      </w:r>
      <w:r>
        <w:t xml:space="preserve"> Participatory Budgeting as an Inclusive Placemaking Driver: Different European and American Practices — https://doi.org/10.1163/9789004691919_005</w:t>
      </w:r>
    </w:p>
    <w:p>
      <w:pPr/>
      <w:r>
        <w:rPr>
          <w:b/>
        </w:rPr>
        <w:t>Shared claim-specific concepts:</w:t>
      </w:r>
      <w:r>
        <w:t xml:space="preserve"> participatory, four, understanding, considered; EU scope visible. This is a provisional connection, not an outcome finding.</w:t>
      </w:r>
    </w:p>
    <w:p>
      <w:pPr>
        <w:pStyle w:val="SourceNote"/>
      </w:pPr>
      <w:r>
        <w:rPr>
          <w:b/>
        </w:rPr>
        <w:t>Available abstract (not full text):</w:t>
      </w:r>
      <w:r>
        <w:t xml:space="preserve"> Participatory budgeting (PB) is a paradigm that empowers residents to directly decide how a portion of the public budget is spent.Specifically, residents deliberate over spending priorities and vote over how the budget should be allocated to different public projects.As such it is a mechanism of top-down transfer of decisions on the part of budgetary expenditure to citizens.In recent years, PB has become a central topic of discussion and an important field of innovation for those involved in local development, considered one of the most successful democratic innovations of the last 25 years.Participatory budgeting contributes significantly to participatory democracy, inclusiveness processes and placemaking, but some factors limit the scale of these aspects.However, a relatively simple idea -that "ordinary citizens" should have a direct say in public budgets that impact them -has travelled the world by the most unexpected routes and landed in unlikely sites.There is no precise model for PB programmes.While there are similar tenets and institutional mechanisms, PB programmes are structured in response to each city or state's particular political, social and economic environment.Therefore, it is necessary to consider to what extent PB strengthens the discussed processes, whether it allows reaching new, inactive groups of citizens and includes them in the decision-making process re</w:t>
      </w:r>
    </w:p>
    <w:p>
      <w:pPr>
        <w:pStyle w:val="Heading2"/>
      </w:pPr>
      <w:r>
        <w:t>802. Occupational Structure in European Countries: What do Forecasts Predict?</w:t>
      </w:r>
    </w:p>
    <w:p>
      <w:pPr>
        <w:pStyle w:val="SourceNote"/>
      </w:pPr>
      <w:r>
        <w:rPr>
          <w:b/>
        </w:rPr>
        <w:t>Original source (2017):</w:t>
      </w:r>
      <w:r>
        <w:t xml:space="preserve"> https://doi.org/10.17323/1996-7845-2017-04-109</w:t>
      </w:r>
    </w:p>
    <w:p>
      <w:pPr/>
      <w:r>
        <w:t>Original wording (abstract; indexed_source_text_not_full_document_verified): The paper demonstrates that the main occupational trend over the next decade will consist in the increasing importance of professionals, as well as technicians and associate professionals. The increase in demand for health professionals and representatives of occupations providing scientific and technological innovation will be most significant.</w:t>
      </w:r>
    </w:p>
    <w:p>
      <w:pPr/>
      <w:r>
        <w:rPr>
          <w:b/>
        </w:rPr>
        <w:t>POSSIBLE 2026:</w:t>
      </w:r>
      <w:r>
        <w:t xml:space="preserve"> Digital communication and occupational well-being in 25 European countries — https://doi.org/10.1007/s10111-026-00902-4</w:t>
      </w:r>
    </w:p>
    <w:p>
      <w:pPr/>
      <w:r>
        <w:rPr>
          <w:b/>
        </w:rPr>
        <w:t>Shared claim-specific concepts:</w:t>
      </w:r>
      <w:r>
        <w:t xml:space="preserve"> occupational, over, well; EU scope visible. This is a provisional connection, not an outcome finding.</w:t>
      </w:r>
    </w:p>
    <w:p>
      <w:pPr>
        <w:pStyle w:val="SourceNote"/>
      </w:pPr>
      <w:r>
        <w:rPr>
          <w:b/>
        </w:rPr>
        <w:t>Available abstract (not full text):</w:t>
      </w:r>
      <w:r>
        <w:t xml:space="preserve"> Abstract This paper examines the association between digital communication at work and employee well-being, moderated by occupational status and the fulfillment of basic psychological needs. Two studies were conducted to investigate these relationships. Study 1 utilized data from the European Social Survey, encompassing 25 countries ( N = 24,331). Study 2 involved a longitudinal survey of Finnish workers ( N = 1817) collected at nine time points over 6-month intervals from 2019 to 2023. Multilevel regression models were employed to analyze the data. Study 1 found that digital communication positively correlates with job satisfaction in Europe, with a stronger effect observed among lower-position workers. Study 2 revealed that the use of digital platforms was associated with higher work engagement and women reported significantly higher work engagement than men. However, for higher-position office workers, particularly those in supervisory roles, increased use of organizational social media platforms and excessive social media use were linked to decreased work engagement. Several interaction effects indicated that the association between digital communication as well as digital tool use and work engagement and job satisfaction is contingent on basic psychological need satisfaction and occupational status. Organizations should tailor their digital communication strategies to acco</w:t>
      </w:r>
    </w:p>
    <w:p>
      <w:pPr/>
      <w:r>
        <w:rPr>
          <w:b/>
        </w:rPr>
        <w:t>POSSIBLE 2026:</w:t>
      </w:r>
      <w:r>
        <w:t xml:space="preserve"> A survey on occupational medicine residency programs across european countries — https://doi.org/10.1186/s12909-026-09587-9</w:t>
      </w:r>
    </w:p>
    <w:p>
      <w:pPr/>
      <w:r>
        <w:rPr>
          <w:b/>
        </w:rPr>
        <w:t>Shared claim-specific concepts:</w:t>
      </w:r>
      <w:r>
        <w:t xml:space="preserve"> occupational, health, representatives, scientific; EU scope visible. This is a provisional connection, not an outcome finding.</w:t>
      </w:r>
    </w:p>
    <w:p>
      <w:pPr>
        <w:pStyle w:val="SourceNote"/>
      </w:pPr>
      <w:r>
        <w:rPr>
          <w:b/>
        </w:rPr>
        <w:t>Available abstract (not full text):</w:t>
      </w:r>
      <w:r>
        <w:t xml:space="preserve"> BACKGROUND: The European Union of Medical Specialists aims at improving post-graduate training in different disciplines developing European Training Requirements (ETRs) that reflect scientific progress. The study assessed the completeness, coherence, and applicability of the current Occupational Medicine (OM) ETR document and identified areas requiring revision and implementation. METHODS: An online survey was conducted among 22 European specialty training representatives to address specific items concerning the training of the OM specialists, including requirements for trainees, trainers and Institutions. RESULTS: An OM specialty was present in all the countries investigated, with universities responsible for training in 56% cases. In every country theoretical knowledge and practical skills covered the following areas: framework for practice; clinical practice; hazard recognition, evaluation and control of risk; epidemiology and preventive health. Other topics, e.g., effective teaching and educational supervision; research methods; leadership, policy development and professionalism; business continuity, disaster preparedness and emergency management were not consistently covered, with gaps reported in 19-31.8% of countries. Suggested additions to the OM curriculum included disability, protection of conditions of susceptibility, future of work, ethics, interprofessional trainin</w:t>
      </w:r>
    </w:p>
    <w:p>
      <w:pPr/>
      <w:r>
        <w:rPr>
          <w:b/>
        </w:rPr>
        <w:t>POSSIBLE 2026:</w:t>
      </w:r>
      <w:r>
        <w:t xml:space="preserve"> Occupational pension schemes in Germany: Learning from other European countries — https://doi.org/10.7190/shu-thesis-00843</w:t>
      </w:r>
    </w:p>
    <w:p>
      <w:pPr/>
      <w:r>
        <w:rPr>
          <w:b/>
        </w:rPr>
        <w:t>Shared claim-specific concepts:</w:t>
      </w:r>
      <w:r>
        <w:t xml:space="preserve"> main, occupational, over, significant; EU scope visible. This is a provisional connection, not an outcome finding.</w:t>
      </w:r>
    </w:p>
    <w:p>
      <w:pPr>
        <w:pStyle w:val="SourceNote"/>
      </w:pPr>
      <w:r>
        <w:rPr>
          <w:b/>
        </w:rPr>
        <w:t>Available abstract (not full text):</w:t>
      </w:r>
      <w:r>
        <w:t xml:space="preserve"> The objective of the present doctoral thesis is to explore the possibility of a more sustainable and acceptable occupational pension system (OPS) for Germany and how this might be promoted and implemented in the future. Based on the researcher’s work as a practitioner in various roles in the area of occupational pension schemes in Germany over approximately 15 years, several weaknesses in the system were identified, which is supported by existing literature. The research objective of the present doctoral thesis is to explore these weaknesses further and to reflect on a system that could be more effective in the German context. The research applies a pragmatic philosophical standpoint using mixed methods to answer the research questions. The qualitative part follows the quantitative one, whereby the qualitative part comprises the main component of the research. The quantitative part is a macroeconomic comparison between Germany, France and the United Kingdom, serving to show the gaps Germany might have in terms of OPS. Additionally, four regression analyses with constructed datasets were conducted, focusing on Germany only, to simulate what might happen if things remain unchanged. The qualitative part is a case study on OPS in the German chemistry sector and analyses semi-structured interviews (SSIs) which have been conducted with stakeholders (employee, employer and trade union</w:t>
      </w:r>
    </w:p>
    <w:p>
      <w:pPr/>
      <w:r>
        <w:rPr>
          <w:b/>
        </w:rPr>
        <w:t>POSSIBLE 2026:</w:t>
      </w:r>
      <w:r>
        <w:t xml:space="preserve"> European Code Against Cancer, 5th edition – occupational exposures and cancer — https://doi.org/10.1002/1878-0261.70174</w:t>
      </w:r>
    </w:p>
    <w:p>
      <w:pPr/>
      <w:r>
        <w:rPr>
          <w:b/>
        </w:rPr>
        <w:t>Shared claim-specific concepts:</w:t>
      </w:r>
      <w:r>
        <w:t xml:space="preserve"> occupational, increasing, health; EU scope visible. This is a provisional connection, not an outcome finding.</w:t>
      </w:r>
    </w:p>
    <w:p>
      <w:pPr>
        <w:pStyle w:val="SourceNote"/>
      </w:pPr>
      <w:r>
        <w:rPr>
          <w:b/>
        </w:rPr>
        <w:t>Available abstract (not full text):</w:t>
      </w:r>
      <w:r>
        <w:t xml:space="preserve"> Occupational exposure to cancer-causing agents is a major, yet preventable, contributor to cancer in Europe and globally. In the European Union (EU), cancer is responsible for nearly half of all work-related deaths, underscoring the critical need for prevention measures. Effective strategies typically involve regulatory and workplace measures aimed at reducing or eliminating exposure risks. Raising awareness of hazardous workplace exposures is essential to empower individuals, foster a culture of prevention, and support effective regulation. The 5th edition of the European Code Against Cancer (ECAC5) includes a recommendation on how individuals can minimize their cancer risk and highlights the shared responsibilities of workers and employers for occupational safety and health: 'Inform yourself about cancer-causing factors at work and call on your employer to protect you against them. Always follow health and safety instructions at your workplace'. Key to ECAC5 is the addition of policy pointers at the governance level to support employers in taking preventive action and improving worker awareness. Strengthening regulatory frameworks and increasing awareness are crucial steps toward reducing the burden of occupational cancer.</w:t>
      </w:r>
    </w:p>
    <w:p>
      <w:pPr/>
      <w:r>
        <w:rPr>
          <w:b/>
        </w:rPr>
        <w:t>POSSIBLE 2025:</w:t>
      </w:r>
      <w:r>
        <w:t xml:space="preserve"> Telework and Occupational Segregation in Europe — https://doi.org/10.3390/economies13100292</w:t>
      </w:r>
    </w:p>
    <w:p>
      <w:pPr/>
      <w:r>
        <w:rPr>
          <w:b/>
        </w:rPr>
        <w:t>Shared claim-specific concepts:</w:t>
      </w:r>
      <w:r>
        <w:t xml:space="preserve"> occupational, well, occupations; EU scope visible. This is a provisional connection, not an outcome finding.</w:t>
      </w:r>
    </w:p>
    <w:p>
      <w:pPr>
        <w:pStyle w:val="SourceNote"/>
      </w:pPr>
      <w:r>
        <w:rPr>
          <w:b/>
        </w:rPr>
        <w:t>Available abstract (not full text):</w:t>
      </w:r>
      <w:r>
        <w:t xml:space="preserve"> Occupational segregation between men and women and between rural and urban areas is a persistent driver of labor market inequality in Europe. Women and rural workers are often overrepresented in lower-paid and lower-status occupations, reflecting structural barriers to occupational mobility. This paper investigates how occupational segregation varies across gender, space, and telework status and examines the potential of telework to reduce these inequalities. Using microdata from the 2023 European Labor Force Survey, we calculate segregation indices to measure occupational segregation and monetary gains, as well as losses due to segregation. We further analyze the relationship of segregation and telework. We find the highest segregation and economic disadvantages due to segregation for rural men. Female teleworkers are less clustered in feminized roles compared to non-teleworking women, suggesting that remote work can broaden occupational opportunities. Telework shows reduced segregation when primarily working remotely, but not in hybrid settings. Our findings contribute to a better understanding of spatial and gendered labor market disparities. We further identify the potential of telework to promote a more equitable occupational integration across gender and space.</w:t>
      </w:r>
    </w:p>
    <w:p>
      <w:pPr/>
      <w:r>
        <w:rPr>
          <w:b/>
        </w:rPr>
        <w:t>POSSIBLE 2025:</w:t>
      </w:r>
      <w:r>
        <w:t xml:space="preserve"> INTEGRATION OF EUROPEAN STANDARDS OF OCCUPATIONAL HEALTH AND SAFETY, ENVIRONMENTAL MANAGEMENTAND SOCIAL SUSTAINABILITY INTO THE MANAGEMENT SYSTEMOF MARITIME INFRASTRUCTURE IN UKRAINE — https://doi.org/10.15589/smi2025.2(21).12</w:t>
      </w:r>
    </w:p>
    <w:p>
      <w:pPr/>
      <w:r>
        <w:rPr>
          <w:b/>
        </w:rPr>
        <w:t>Shared claim-specific concepts:</w:t>
      </w:r>
      <w:r>
        <w:t xml:space="preserve"> demonstrates, main, occupational, health; EU scope visible. This is a provisional connection, not an outcome finding.</w:t>
      </w:r>
    </w:p>
    <w:p>
      <w:pPr>
        <w:pStyle w:val="SourceNote"/>
      </w:pPr>
      <w:r>
        <w:rPr>
          <w:b/>
        </w:rPr>
        <w:t>Available abstract (not full text):</w:t>
      </w:r>
      <w:r>
        <w:t xml:space="preserve"> This article explores the pressing issues surrounding the integration of European approaches to occupational health and safety, environmental protection, and social responsibility into the management systems of maritime infrastructure enterprises in Ukraine.It is emphasized that the implementation of a comprehensive, integrated approach based on international standards ISO 14001, ISO 45001, and ISO 26000 is a necessary condition for ensuring the effective functioning and sustainable development of the sector.An analysis of the current state of Ukraine's seaport system enterprises is conducted, along with a review of key strategic documents and regulatory acts that define the main directions of them reform on the example of the State Enterprise "Ukrainian Sea Ports Authority".Particular attention is paid to the positive dynamics in the functioning of seaports under martial law, which demonstrates their resilience and adaptability to external challenges.The study substantiates the application of the PDCA (Plan-Do-Check-Act) cycle as a mechanism for continuous improvement of occupational health and safety management, environmental management, and social responsibility within maritime infrastructure enterprises.The proposed PDCA implementation model facilitates the integration of relevant processes and standards into a unified management system, enabling timely Iryna V. Remeshevska</w:t>
      </w:r>
    </w:p>
    <w:p>
      <w:pPr/>
      <w:r>
        <w:rPr>
          <w:b/>
        </w:rPr>
        <w:t>POSSIBLE 2025:</w:t>
      </w:r>
      <w:r>
        <w:t xml:space="preserve"> Occupational Infections Among Workers in Europe: Protocol for a Scoping Review — https://doi.org/10.2196/59606</w:t>
      </w:r>
    </w:p>
    <w:p>
      <w:pPr/>
      <w:r>
        <w:rPr>
          <w:b/>
        </w:rPr>
        <w:t>Shared claim-specific concepts:</w:t>
      </w:r>
      <w:r>
        <w:t xml:space="preserve"> occupational, increasing, scientific; EU scope visible. This is a provisional connection, not an outcome finding.</w:t>
      </w:r>
    </w:p>
    <w:p>
      <w:pPr>
        <w:pStyle w:val="SourceNote"/>
      </w:pPr>
      <w:r>
        <w:rPr>
          <w:b/>
        </w:rPr>
        <w:t>Available abstract (not full text):</w:t>
      </w:r>
      <w:r>
        <w:t xml:space="preserve"> BACKGROUND: Workers may be exposed to different infectious agents, putting them at risk of developing occupational diseases. This can occur in many ways, through deliberate use of speciﬁc microorganisms or through potential exposure from close contact with biological material. Infection prevention and control measures against biohazards can reduce the risk of infection among workers. During the last few decades, an increasing proportion of workers in Europe have been exposed to infectious biological agents in their workplace. Knowledge gaps on this topic in Europe have limited our understanding of the overall phenomenon in occupational settings. OBJECTIVE: This study aims to understand the extent and type of evidence on the epidemiology of occupational or work-related infections caused by bacterial, viral, fungal, and parasitical agents in European countries, the factors affecting their occurrence among workers, and the burden of disease among workers due to occupational risk. METHODS: The review will be conducted following the Joanna Briggs Institute methodology for scoping reviews and the PRISMA-ScR (Preferred Reporting Items for Systematic Reviews and Meta-Analyses extension for Scoping Reviews) guidelines. This review will consider studies that include data on the epidemiology of occupational infections, risk factors and determinants, and burden of disease among workers emp</w:t>
      </w:r>
    </w:p>
    <w:p>
      <w:pPr/>
      <w:r>
        <w:rPr>
          <w:b/>
        </w:rPr>
        <w:t>POSSIBLE 2025:</w:t>
      </w:r>
      <w:r>
        <w:t xml:space="preserve"> Gender Differences in Intergenerational Occupational Persistence and Mobility in Central Europe — https://doi.org/10.13060/csr.2024.041</w:t>
      </w:r>
    </w:p>
    <w:p>
      <w:pPr/>
      <w:r>
        <w:rPr>
          <w:b/>
        </w:rPr>
        <w:t>Shared claim-specific concepts:</w:t>
      </w:r>
      <w:r>
        <w:t xml:space="preserve"> occupational, trend, well, occupations; EU scope visible. This is a provisional connection, not an outcome finding.</w:t>
      </w:r>
    </w:p>
    <w:p>
      <w:pPr>
        <w:pStyle w:val="SourceNote"/>
      </w:pPr>
      <w:r>
        <w:rPr>
          <w:b/>
        </w:rPr>
        <w:t>Available abstract (not full text):</w:t>
      </w:r>
      <w:r>
        <w:t xml:space="preserve"> This article investigates intergenerational occupational persistence and mobility across Central Europe (Austria, Czech Republic, Hungary, Poland, and Slovakia) on the basis of EU-SILC survey data from 2005, 2011, and 2019. Social Stratification in Eastern Europe survey data from 1993 is also used as a historical comparison. These surveys are uniquely suited for the analysis of occupational mobility due to their large sample sizes and inclusion of detailed parental occupation data. I report gender differences in total and net mobility rates based on the analysis of 7x7 occupational mobility tables, as well as predicted probabilities (derived from log odds from multinomial regression) of attaining specific occupational destinations based on parental occupational origins. The reproduction of occupational status is particularly strong in professional occupations (for both men and women), trade and crafts (for men), and sales/clerical occupations (for women), which seem to be in dynamic equilibrium. Compared to men, women’s increases in social fluidity (and higher rates of upward mobility) are shaped much more strongly by changes in occupational structure, though this has weakened in both the Czech Republic and Slovakia. Lastly, I find that women have much greater chances than men in upward mobility in attaining professional occupations from lower family origins, and that this tren</w:t>
      </w:r>
    </w:p>
    <w:p>
      <w:pPr/>
      <w:r>
        <w:rPr>
          <w:b/>
        </w:rPr>
        <w:t>POSSIBLE 2025:</w:t>
      </w:r>
      <w:r>
        <w:t xml:space="preserve"> Occupational Autonomy and Wage Divergence: Evidence From European Survey Data — https://doi.org/10.1111/bjir.70003</w:t>
      </w:r>
    </w:p>
    <w:p>
      <w:pPr/>
      <w:r>
        <w:rPr>
          <w:b/>
        </w:rPr>
        <w:t>Shared claim-specific concepts:</w:t>
      </w:r>
      <w:r>
        <w:t xml:space="preserve"> occupational, trend, over, well, occupations, technological; EU scope visible. This is a provisional connection, not an outcome finding.</w:t>
      </w:r>
    </w:p>
    <w:p>
      <w:pPr>
        <w:pStyle w:val="SourceNote"/>
      </w:pPr>
      <w:r>
        <w:rPr>
          <w:b/>
        </w:rPr>
        <w:t>Available abstract (not full text):</w:t>
      </w:r>
      <w:r>
        <w:t xml:space="preserve"> ABSTRACT Wages across occupations in Western Europe have diverged, resulting in increased wage inequality. However, existing theories such as routine‐biased technological change (RBTC) or task offshoring fail to explain this trend. We propose a new explanation based on occupational autonomy. Autonomy measures workers' control and influence over their work process based on the tasks required in an occupation. Analysing individual‐level data from the EU Survey of Income and Living Conditions, we reveal a rising autonomy wage premium, that is, higher wage growth for occupations with higher autonomy, which accurately predicts the observed occupational wage divergence. We also find that the autonomy premium increases more rapidly in countries and industries with greater employee monitoring and outsourcing, as well as in countries with declining minimum wages. These findings imply that low‐autonomy occupations have been disadvantaged by recent socioeconomic trends that have altered power relations in the workplace. Notably, our analysis does not support previous explanations for occupational wage trends based on RBTC or task offshoring.</w:t>
      </w:r>
    </w:p>
    <w:p>
      <w:pPr/>
      <w:r>
        <w:rPr>
          <w:b/>
        </w:rPr>
        <w:t>POSSIBLE 2024:</w:t>
      </w:r>
      <w:r>
        <w:t xml:space="preserve"> Immigration and Occupational Shortage in Western European Countries — https://openalex.org/W7200861707</w:t>
      </w:r>
    </w:p>
    <w:p>
      <w:pPr/>
      <w:r>
        <w:rPr>
          <w:b/>
        </w:rPr>
        <w:t>Shared claim-specific concepts:</w:t>
      </w:r>
      <w:r>
        <w:t xml:space="preserve"> occupational, over, increase, occupations; EU scope visible. This is a provisional connection, not an outcome finding.</w:t>
      </w:r>
    </w:p>
    <w:p>
      <w:pPr>
        <w:pStyle w:val="SourceNote"/>
      </w:pPr>
      <w:r>
        <w:rPr>
          <w:b/>
        </w:rPr>
        <w:t>Available abstract (not full text):</w:t>
      </w:r>
      <w:r>
        <w:t xml:space="preserve"> In Western European countries where immigration rates are rising and labour shortages persist, the former could potentially serve as a solution to the latter. We examine the impact of an exogenous increase in migrant workers on occupational shortages in 14 Western European countries over the period 2006- 2018. We construct an occupational shortage indicator that includes five components representing supply and demand for each country and occupation at the 2-digit level each year. In our model, which assesses the influence of the migrant share on the occupational shortage index and identifies occupations facing shortages, we show that immigration flows reduce occupational shortages, with a more pronounced effect observed for migrants from non-EU countries. By recognising the contribution of migrants to addressing occupational shortages, policymakers can implement more effective strategies for managing migration flows and harnessing the potential of migrant workers not only in the EU but globally. Note:</w:t>
      </w:r>
    </w:p>
    <w:p>
      <w:pPr/>
      <w:r>
        <w:rPr>
          <w:b/>
        </w:rPr>
        <w:t>POSSIBLE 2024:</w:t>
      </w:r>
      <w:r>
        <w:t xml:space="preserve"> Positions of the Leading European Parties on the Eve of the European Parliament Elections 2024 — https://doi.org/10.31857/s0201708324030069</w:t>
      </w:r>
    </w:p>
    <w:p>
      <w:pPr/>
      <w:r>
        <w:rPr>
          <w:b/>
        </w:rPr>
        <w:t>Shared claim-specific concepts:</w:t>
      </w:r>
      <w:r>
        <w:t xml:space="preserve"> demonstrates, main, over, next, increasing, well; EU scope visible. This is a provisional connection, not an outcome finding.</w:t>
      </w:r>
    </w:p>
    <w:p>
      <w:pPr>
        <w:pStyle w:val="SourceNote"/>
      </w:pPr>
      <w:r>
        <w:rPr>
          <w:b/>
        </w:rPr>
        <w:t>Available abstract (not full text):</w:t>
      </w:r>
      <w:r>
        <w:t xml:space="preserve"> The article analyses the main trends in the transformation of the party and political system of the European Union on the eve of the next elections to the European Parliament in June 2024. The article examines the main events of recent years that had the main impact on the process of this transformation. New trends in the change of this system were noted, which included strengthening the popularity and influence of Eurosceptic parties, increasing internal tension concerning relations between old and new members of the European Union. The research demonstrates that following the results of the national parliamentary elections held over the past five years in almost all EU member states, the influence of the leading political parties, which for many years occupied dominant positions in the executive and representative authorities of these countries, has significantly decreased. The phenomenon of increasing representation of women in the bodies of the EU and its member states and its impact on their formation is considered. The influence of changes in the social structure of the European community and their impact on the electoral preferences of Europeans is analysed. The preelection positions of all leading European parties that currently have their factions in the European Parliament are presented, including their election manifestos and candidacies for the post of the President</w:t>
      </w:r>
    </w:p>
    <w:p>
      <w:pPr/>
      <w:r>
        <w:rPr>
          <w:b/>
        </w:rPr>
        <w:t>POSSIBLE 2024:</w:t>
      </w:r>
      <w:r>
        <w:t xml:space="preserve"> The Struggle over Law in Europe — https://doi.org/10.4324/9781003302094</w:t>
      </w:r>
    </w:p>
    <w:p>
      <w:pPr/>
      <w:r>
        <w:rPr>
          <w:b/>
        </w:rPr>
        <w:t>Shared claim-specific concepts:</w:t>
      </w:r>
      <w:r>
        <w:t xml:space="preserve"> over, next, well; EU scope visible. This is a provisional connection, not an outcome finding.</w:t>
      </w:r>
    </w:p>
    <w:p>
      <w:pPr>
        <w:pStyle w:val="SourceNote"/>
      </w:pPr>
      <w:r>
        <w:rPr>
          <w:b/>
        </w:rPr>
        <w:t>Available abstract (not full text):</w:t>
      </w:r>
      <w:r>
        <w:t xml:space="preserve"> This book examines the role of law in Europe at a time when economic policies have become dominant not only on this continent but globally. Can law be seen as a mere infrastructure? Or does it contribute to defining the social and legal order through its own inherent rules? If the second hypothesis is true, what might these rules be, and how may they be identified? Lastly, to what extent can agreeing a definition of the role of law affect the future of Europe? With the Next Generation European Union, the EU has introduced an unprecedented investment plan for economic recovery and resilience. In doing so, it has become the most important financial intermediary on the continent. But is this simply the prelude to a European economic and financial revival, or does it also aim to strengthen the European legal order in social, political, and constitutional terms? This book argues that the role of law in Europe should be to achieve a balanced relationship between freedom and solidarity; encouraging economic competition, but also social cohesion. Analyzing the role of law in the project of European integration, it maintains that law should be more than an infrastructure for finance and economics, showing how it can act as a guide and a binding force to achieve a more balanced relationship between economics, politics, and law. This book will be of interest to scholars in the fields of p</w:t>
      </w:r>
    </w:p>
    <w:p>
      <w:pPr>
        <w:pStyle w:val="Heading2"/>
      </w:pPr>
      <w:r>
        <w:t>803. Pathways to Decarbonise the European Car Fleet: A Scenario Analysis Using the Backcasting Approach</w:t>
      </w:r>
    </w:p>
    <w:p>
      <w:pPr>
        <w:pStyle w:val="SourceNote"/>
      </w:pPr>
      <w:r>
        <w:rPr>
          <w:b/>
        </w:rPr>
        <w:t>Original source (2017):</w:t>
      </w:r>
      <w:r>
        <w:t xml:space="preserve"> https://doi.org/10.3390/en11010020</w:t>
      </w:r>
    </w:p>
    <w:p>
      <w:pPr/>
      <w:r>
        <w:t>Original wording (abstract; indexed_source_text_not_full_document_verified): This paper analyses decarbonisation scenarios for the European passenger car fleet in 2050. The analysis showed that if car mobility and ownership continue to increase as expected in a ‘business as usual’ case, a share of 97% plug-in hybrid or battery electric vehicles might be required by 2050, together with a substantial decrease in greenhouse gas emission from electricity production.</w:t>
      </w:r>
    </w:p>
    <w:p>
      <w:pPr/>
      <w:r>
        <w:rPr>
          <w:b/>
        </w:rPr>
        <w:t>POSSIBLE 2026:</w:t>
      </w:r>
      <w:r>
        <w:t xml:space="preserve"> An Integrated Approach to Assessing Road Passenger Transport Decarbonisation Pathways — https://doi.org/10.7250/9789934373589</w:t>
      </w:r>
    </w:p>
    <w:p>
      <w:pPr/>
      <w:r>
        <w:rPr>
          <w:b/>
        </w:rPr>
        <w:t>Shared claim-specific concepts:</w:t>
      </w:r>
      <w:r>
        <w:t xml:space="preserve"> analyses, decarbonisation, passenger; EU scope not established. This is a provisional connection, not an outcome finding.</w:t>
      </w:r>
    </w:p>
    <w:p>
      <w:pPr>
        <w:pStyle w:val="SourceNote"/>
      </w:pPr>
      <w:r>
        <w:rPr>
          <w:b/>
        </w:rPr>
        <w:t>Available abstract (not full text):</w:t>
      </w:r>
      <w:r>
        <w:t xml:space="preserve"> The Doctoral Thesis develops an integrated approach to assessing road passenger transport decarbonisation pathways by combining technological, behavioural, and multi-level policy implementation factors. Using system dynamics modelling and other assessment methods, the study analyses the deployment of alternative technologies, factors influencing transport mode choice, and interactions between national and municipal policy measures. The developed approach enables a more comprehensive assessment of decarbonisation pathways and supports coordinated transport decarbonisation planning.</w:t>
      </w:r>
    </w:p>
    <w:p>
      <w:pPr/>
      <w:r>
        <w:rPr>
          <w:b/>
        </w:rPr>
        <w:t>POSSIBLE 2026:</w:t>
      </w:r>
      <w:r>
        <w:t xml:space="preserve"> Global trajectories for urban passenger transport decarbonisation: a policy-based modelling approach — https://doi.org/10.1038/s44333-026-00092-6</w:t>
      </w:r>
    </w:p>
    <w:p>
      <w:pPr/>
      <w:r>
        <w:rPr>
          <w:b/>
        </w:rPr>
        <w:t>Shared claim-specific concepts:</w:t>
      </w:r>
      <w:r>
        <w:t xml:space="preserve"> decarbonisation, passenger, hybrid; EU scope not established. This is a provisional connection, not an outcome finding.</w:t>
      </w:r>
    </w:p>
    <w:p>
      <w:pPr>
        <w:pStyle w:val="SourceNote"/>
      </w:pPr>
      <w:r>
        <w:rPr>
          <w:b/>
        </w:rPr>
        <w:t>Available abstract (not full text):</w:t>
      </w:r>
      <w:r>
        <w:t xml:space="preserve"> Abstract Understanding the impact of public policy measures on urban transport outcomes is essential for the development of evidence-based transport decarbonisation strategies. This paper presents a modelling framework to estimate the evolution of urban passenger travel and related social externalities for each of the 9234 urban areas in the world. It builds on a hybrid four-step model and systems dynamic modelling approach considering socio-economic projections and forecasts of urban growth, transport supply provision and policy assumptions to estimate transport outcomes for 19 world regions. As a result of its detailed representation of 18 transport modes and 20 policy measures, the model can be used to identify effective levers for reducing carbon emissions while improving urban public health, safety, and access to opportunities. An Increased Ambition policy scenario explores the impact of greater climate ambition on global carbon emissions from transport and other transport externalities relative to the status quo.</w:t>
      </w:r>
    </w:p>
    <w:p>
      <w:pPr/>
      <w:r>
        <w:rPr>
          <w:b/>
        </w:rPr>
        <w:t>POSSIBLE 2026:</w:t>
      </w:r>
      <w:r>
        <w:t xml:space="preserve"> The military green transition: Decarbonisation as warfighting opportunity — https://doi.org/10.1016/j.polgeo.2026.103573</w:t>
      </w:r>
    </w:p>
    <w:p>
      <w:pPr/>
      <w:r>
        <w:rPr>
          <w:b/>
        </w:rPr>
        <w:t>Shared claim-specific concepts:</w:t>
      </w:r>
      <w:r>
        <w:t xml:space="preserve"> decarbonisation, business, electric, together; EU scope visible. This is a provisional connection, not an outcome finding.</w:t>
      </w:r>
    </w:p>
    <w:p>
      <w:pPr>
        <w:pStyle w:val="SourceNote"/>
      </w:pPr>
      <w:r>
        <w:rPr>
          <w:b/>
        </w:rPr>
        <w:t>Available abstract (not full text):</w:t>
      </w:r>
      <w:r>
        <w:t xml:space="preserve"> Amid rising concern for the operational implications of climate change and industrial decarbonisation, European military sectors are preparing for a military green transition. Rather than constitute a meaningful form of ecological stewardship, this article argues that said transition is best understood as militarism's greening through which war making, preparation and profiteering are normalised and facilitated in the name of climate action and environmental sustainability. The article unfolds over three sections. First, I identify military and green technological supply chains' entangled geopolitical ecologies, connecting the people and places implicated in both war's violence and ecological modernisation. Second, drawing on policy analysis, interviews and visits to military trade shows, I demonstrate how the military green transition materialises through the electric, digital, lower-carbon and alternative fuel transformation of war – initiatives that warp socio-ecological care into a battlefield and business opportunity. Third, I trace the socio-ecological harms that the greening of European military capabilities risk exacerbating – linking weapons production and use with the toxic geographies of ‘renewable’ energy infrastructure, mineral extraction, e-waste processing, data centre expansion, nuclear proliferation, biofuel development and beyond. Together, the three sections </w:t>
      </w:r>
    </w:p>
    <w:p>
      <w:pPr/>
      <w:r>
        <w:rPr>
          <w:b/>
        </w:rPr>
        <w:t>POSSIBLE 2026:</w:t>
      </w:r>
      <w:r>
        <w:t xml:space="preserve"> Electrification pathways for passenger cars: A comparative analysis of China and Europe — https://doi.org/10.1016/j.esr.2026.102369</w:t>
      </w:r>
    </w:p>
    <w:p>
      <w:pPr/>
      <w:r>
        <w:rPr>
          <w:b/>
        </w:rPr>
        <w:t>Shared claim-specific concepts:</w:t>
      </w:r>
      <w:r>
        <w:t xml:space="preserve"> passenger, mobility, ownership, battery, electric, vehicles; EU scope visible. This is a provisional connection, not an outcome finding.</w:t>
      </w:r>
    </w:p>
    <w:p>
      <w:pPr>
        <w:pStyle w:val="SourceNote"/>
      </w:pPr>
      <w:r>
        <w:rPr>
          <w:b/>
        </w:rPr>
        <w:t>Available abstract (not full text):</w:t>
      </w:r>
      <w:r>
        <w:t xml:space="preserve"> China and Europe have made significant progress in the electrification of mobility, but they differ substantially in their policy approaches and institutional frameworks. This paper presents a comparative analysis of their electrification pathways, focusing on the motivations, policy strategies, and challenges associated with scaling up electric-vehicle adoption. The study aims to: (i) examine the policy measures implemented in each region; (ii) assess outcomes in terms of market growth, infrastructure development, and industrial competitiveness; and (iii) identify key similarities and differences while deriving lessons to support transport-sector decarbonization. The comparison of battery electric vehicles (BEVs) and comparable diesel vehicles shows substantial regional differences in economic competitiveness. Based on Total Cost of Ownership analysis, BEVs are approximately 17% cheaper than diesel vehicles in China, while diesel vehicles remain about 25% cheaper than BEVs in Europe, reflecting differences in policy, market, energy, and industrial conditions. China's state-led approach has supported rapid market expansion, cost reductions, and industrial competitiveness, with local governments implementing targeted measures to promote battery-electric-vehicle adoption. In contrast, Europe relies more heavily on cooperation between public and private stakeholders, emphasizing l</w:t>
      </w:r>
    </w:p>
    <w:p>
      <w:pPr/>
      <w:r>
        <w:rPr>
          <w:b/>
        </w:rPr>
        <w:t>POSSIBLE 2025:</w:t>
      </w:r>
      <w:r>
        <w:t xml:space="preserve"> Battery electric vehicles show the lowest carbon footprints among passenger cars across 1.5–3.0 °C energy decarbonisation pathways — https://doi.org/10.1038/s43247-025-02447-2</w:t>
      </w:r>
    </w:p>
    <w:p>
      <w:pPr/>
      <w:r>
        <w:rPr>
          <w:b/>
        </w:rPr>
        <w:t>Shared claim-specific concepts:</w:t>
      </w:r>
      <w:r>
        <w:t xml:space="preserve"> decarbonisation, passenger, car, plug-in, hybrid, battery; EU scope not established. This is a provisional connection, not an outcome finding.</w:t>
      </w:r>
    </w:p>
    <w:p>
      <w:pPr>
        <w:pStyle w:val="SourceNote"/>
      </w:pPr>
      <w:r>
        <w:rPr>
          <w:b/>
        </w:rPr>
        <w:t>Available abstract (not full text):</w:t>
      </w:r>
      <w:r>
        <w:t xml:space="preserve"> Passenger car carbon footprints are highly sensitive to future energy systems, a factor often overlooked in life cycle assessment. We use a time-dependent prospective life cycle assessment to enhance carbon footprints under four 1.5-3.0 °C decarbonisation pathways for electricity, fuel, and hydrogen from an energy-based integrated assessment model. Across 5000 comparative cases, battery electric vehicles consistently have the lowest carbon footprints compared to hybrid, plug-in hybrid, and fuel-cell vehicles. For example, battery electric vehicles show an average 32 to 47% lower footprint than hybrid combustion in 3.0 °C and 1.5 °C climate-compatible futures, respectively. This is driven by greater projected decarbonisation of electricity compared to fossil-dominated fuels and hydrogen. Battery electric vehicles meaningfully retain their advantage for mileages over 100,000 km, even in regions with carbon-intensive electricity since these are anticipated to decarbonise the most. Although our study supports battery electric vehicles as the most reliable climate-mitigation option for passenger cars, reducing their high manufacturing footprint remains important.</w:t>
      </w:r>
    </w:p>
    <w:p>
      <w:pPr/>
      <w:r>
        <w:rPr>
          <w:b/>
        </w:rPr>
        <w:t>POSSIBLE 2025:</w:t>
      </w:r>
      <w:r>
        <w:t xml:space="preserve"> An Online Tool for Guiding Bus Fleet Decarbonisation Through Green Hydrogen and Electrification — https://doi.org/10.1007/978-3-031-89444-2_92</w:t>
      </w:r>
    </w:p>
    <w:p>
      <w:pPr/>
      <w:r>
        <w:rPr>
          <w:b/>
        </w:rPr>
        <w:t>Shared claim-specific concepts:</w:t>
      </w:r>
      <w:r>
        <w:t xml:space="preserve"> decarbonisation, fleet, battery, electric, required; EU scope not established. This is a provisional connection, not an outcome finding.</w:t>
      </w:r>
    </w:p>
    <w:p>
      <w:pPr>
        <w:pStyle w:val="SourceNote"/>
      </w:pPr>
      <w:r>
        <w:rPr>
          <w:b/>
        </w:rPr>
        <w:t>Available abstract (not full text):</w:t>
      </w:r>
      <w:r>
        <w:t xml:space="preserve"> Abstract The transition to zero emission bus (ZEB) fleets is accelerating. Two prevalent ZEB options that are often compared to each other are battery electric buses (BEBs) and fuel cell electric buses (FCEBs) fueled by green hydrogen. Hydrogen is labelled as green when it is produced by electrolysis powered by renewable electricity. From the perspective of a bus fleet operator or regional authority interested in replacing a conventional diesel bus fleet with one of these new technologies, it can be unclear which combinations of BEBs and FCEBs are most suitable in terms of cost, emission reduction, and capability to maintain regular operation of the bus fleet. This work develops the Enabling Support Tool (EST), an easy-to-use model that can assess the trade-offs between BEBs and FCEBs in terms of their technical performance, required infrastructure, cost, and emissions reduction potential. Using a novel input process that does not require complex drive-cycle data, the EST allows the user to quickly investigate the feasibility of a mixed fleet of BEBs and FCEBs, considering the effects of local climate conditions, road gradient, and varying bus payload on the daily range of BEBs. This enables users to explore the feasibility of different combinations of BEBs and FCEBs and thus guide cost-effective full fleet decarbonisation.</w:t>
      </w:r>
    </w:p>
    <w:p>
      <w:pPr/>
      <w:r>
        <w:rPr>
          <w:b/>
        </w:rPr>
        <w:t>POSSIBLE 2025:</w:t>
      </w:r>
      <w:r>
        <w:t xml:space="preserve"> Mixes of Policy Instruments for the Full Decarbonisation of Energy Systems: A Review — https://doi.org/10.3390/en18010148</w:t>
      </w:r>
    </w:p>
    <w:p>
      <w:pPr/>
      <w:r>
        <w:rPr>
          <w:b/>
        </w:rPr>
        <w:t>Shared claim-specific concepts:</w:t>
      </w:r>
      <w:r>
        <w:t xml:space="preserve"> decarbonisation, greenhouse; EU scope visible. This is a provisional connection, not an outcome finding.</w:t>
      </w:r>
    </w:p>
    <w:p>
      <w:pPr>
        <w:pStyle w:val="SourceNote"/>
      </w:pPr>
      <w:r>
        <w:rPr>
          <w:b/>
        </w:rPr>
        <w:t>Available abstract (not full text):</w:t>
      </w:r>
      <w:r>
        <w:t xml:space="preserve"> Stand-alone carbon pricing is still predominantly advanced as the policy instrument of choice for abating greenhouse gas emissions, although it has enjoyed limited support in practice. Against this background, the current paper investigates whether combinations of climate policy measures constitute a promising avenue for reaching zero emissions in the power, transport, buildings, and industry sectors. Adopting a sectoral approach, we review the international literature on instrument mixes and consolidate previous findings according to four widely employed evaluation criteria, namely environmental effectiveness, economic efficiency, social equity, and political feasibility. The performance of mixes along these dimensions is critically assessed by studying the inter-relationships between decarbonisation levers, decarbonisation barriers, and policy instrument characteristics. Our analysis suggests that carefully designed combinations of measures may perform better than stand-alone instruments in many instances, although trade-offs between policy objectives are inevitable. We show evidence that desirable instrument mixes should be tailored to the characteristics of targeted agents and technologies, but argue that some level of carbon pricing typically offers high potential for synergies with complementary measures in all sectors. The study focuses on Switzerland for illustrative pu</w:t>
      </w:r>
    </w:p>
    <w:p>
      <w:pPr/>
      <w:r>
        <w:rPr>
          <w:b/>
        </w:rPr>
        <w:t>POSSIBLE 2024:</w:t>
      </w:r>
      <w:r>
        <w:t xml:space="preserve"> EU Railways: Contribution to Decarbonisation Solution — https://doi.org/10.31857/s0201708324020062</w:t>
      </w:r>
    </w:p>
    <w:p>
      <w:pPr/>
      <w:r>
        <w:rPr>
          <w:b/>
        </w:rPr>
        <w:t>Shared claim-specific concepts:</w:t>
      </w:r>
      <w:r>
        <w:t xml:space="preserve"> analyses, decarbonisation, passenger, increase, greenhouse; EU scope visible. This is a provisional connection, not an outcome finding.</w:t>
      </w:r>
    </w:p>
    <w:p>
      <w:pPr>
        <w:pStyle w:val="SourceNote"/>
      </w:pPr>
      <w:r>
        <w:rPr>
          <w:b/>
        </w:rPr>
        <w:t>Available abstract (not full text):</w:t>
      </w:r>
      <w:r>
        <w:t xml:space="preserve"> The EU transport system is entering the next phase of fundamental transformation. The railways are becoming one of the key tools for implementing the Green Deal and solving ecological problems for the period up to 2050. A range of documents aimed at advancing the realisation of the Trans-European Transport Network (TEN-T) was adopted at the Union level in recent years. Transfer a large proportion of transport from road and aviation to rail, multimodal transportation, advanced construction and modernisation of high-speed railway lines (HSR) are the priorities of the policy. This article has a twofold objective. First, it analyses the condition and market environment of the railways. Second, it investigates the possibilities of implementing the TEN-T program to reduce greenhouse gas (GHG) emissions, increase multimodal transportation and the construction/upgrading new HSR. The results suggest that a set of obstacles impede GHG emissions reduction in the shifting of transport from road and aviation to rail, multimodal transportation and the construction of HSR. The main trend is that rail transport activity in the EU remained almost constant from 2010 to 2022 with a slight increase in passenger transport and some structural changes. Within the next 25 years, the most tangible impact for the EU economy, ecology and society of all modes of transport can be provided by HSR expansion.</w:t>
      </w:r>
    </w:p>
    <w:p>
      <w:pPr/>
      <w:r>
        <w:rPr>
          <w:b/>
        </w:rPr>
        <w:t>POSSIBLE 2024:</w:t>
      </w:r>
      <w:r>
        <w:t xml:space="preserve"> Models and methods for transport demand and decarbonisation: a review — https://doi.org/10.1088/1748-9326/ad6b3a</w:t>
      </w:r>
    </w:p>
    <w:p>
      <w:pPr/>
      <w:r>
        <w:rPr>
          <w:b/>
        </w:rPr>
        <w:t>Shared claim-specific concepts:</w:t>
      </w:r>
      <w:r>
        <w:t xml:space="preserve"> decarbonisation, greenhouse; EU scope not established. This is a provisional connection, not an outcome finding.</w:t>
      </w:r>
    </w:p>
    <w:p>
      <w:pPr>
        <w:pStyle w:val="SourceNote"/>
      </w:pPr>
      <w:r>
        <w:rPr>
          <w:b/>
        </w:rPr>
        <w:t>Available abstract (not full text):</w:t>
      </w:r>
      <w:r>
        <w:t xml:space="preserve"> Abstract Rising global greenhouse gas emissions from the transport sector pose a major challenge to meeting the targets of the Paris Agreement. This raises questions of how technology, infrastructure and societal trends and policies can influence transport demand and thus also emissions, energy demand and service levels. Here, we review the literature on factors relevant to shifting total transport activity and mode shares, categorised into exogenous drivers, socio-behavioural, infrastructural and technological aspects. For each factor, we summarise current approaches to modelling and measuring the impact of each factor on transport systems, resulting in a proposed taxonomy to classify transport demand modelling approaches. We then comment on the suitability and sufficiency of existing modelling approaches for representing scenarios consistent with the Paris Agreement targets in models of the entire global energy system. Factors that affect transport demand are currently insufficiently represented in integrated assessment modelling approaches and thus emission reduction pathways. Improving the comprehension and representation of diverse factors that affect transport demand in global energy systems models, by incorporating features of complementary models with high resolution representations of transport, holds promise for generating well informed policy recommendations. Accordi</w:t>
      </w:r>
    </w:p>
    <w:p>
      <w:pPr/>
      <w:r>
        <w:rPr>
          <w:b/>
        </w:rPr>
        <w:t>POSSIBLE 2024:</w:t>
      </w:r>
      <w:r>
        <w:t xml:space="preserve"> Optimal decarbonisation pathway for mining truck fleets — https://doi.org/10.1016/j.jai.2024.03.003</w:t>
      </w:r>
    </w:p>
    <w:p>
      <w:pPr/>
      <w:r>
        <w:rPr>
          <w:b/>
        </w:rPr>
        <w:t>Shared claim-specific concepts:</w:t>
      </w:r>
      <w:r>
        <w:t xml:space="preserve"> analyses, decarbonisation, case; EU scope not established. This is a provisional connection, not an outcome finding.</w:t>
      </w:r>
    </w:p>
    <w:p>
      <w:pPr>
        <w:pStyle w:val="SourceNote"/>
      </w:pPr>
      <w:r>
        <w:rPr>
          <w:b/>
        </w:rPr>
        <w:t>Available abstract (not full text):</w:t>
      </w:r>
      <w:r>
        <w:t xml:space="preserve"> The decarbonisation of fossil fuel powered mine truck fleets, which can contribute up to 80% of total emissions in open pit mines, is critical for the mining industry. This study investigates the optimal decarbonisation framework for mining truck fleets to determine the optimal decarbonisation pathway to minimise the life cycle costs during the planning period. Notably, our proposed framework incorporates power generation, negative carbon technologies, and carbon trading. Technical, financial, and environmental models of decarbonisation technologies are established, capturing regional variations and dynamic characteristics such as cost trends and carbon capture efficiency. The dynamic natures of these characteristics pose challenges for using the cost-effective analyses approach to find the optimal decarbonisation pathway. To address this, we introduce a mixed-integer programming optimisation based framework designed to optimise the decarbonisation pathway. A case study for the optimal decarbonisation pathway of truck fleets in a South African coal mine is conducted to illustrate the applicability of the proposed model. Results indicate that the optimal decarbonisation pathway is significantly influenced by factors such as land cost, annual budget, and carbon trading prices. The proposed method provides invaluable guidance for transitioning towards a cleaner and more sustainabl</w:t>
      </w:r>
    </w:p>
    <w:p>
      <w:pPr/>
      <w:r>
        <w:rPr>
          <w:b/>
        </w:rPr>
        <w:t>POSSIBLE 2024:</w:t>
      </w:r>
      <w:r>
        <w:t xml:space="preserve"> Accelerating Light-Duty Fleet Decarbonisation through Energy Efficiency Audits: Results and Methodology Assessment — https://doi.org/10.1051/e3sconf/202448702001</w:t>
      </w:r>
    </w:p>
    <w:p>
      <w:pPr/>
      <w:r>
        <w:rPr>
          <w:b/>
        </w:rPr>
        <w:t>Shared claim-specific concepts:</w:t>
      </w:r>
      <w:r>
        <w:t xml:space="preserve"> decarbonisation, fleet, mobility; EU scope visible. This is a provisional connection, not an outcome finding.</w:t>
      </w:r>
    </w:p>
    <w:p>
      <w:pPr>
        <w:pStyle w:val="SourceNote"/>
      </w:pPr>
      <w:r>
        <w:rPr>
          <w:b/>
        </w:rPr>
        <w:t>Available abstract (not full text):</w:t>
      </w:r>
      <w:r>
        <w:t xml:space="preserve"> The transport sector is responsible for 37% of the energy consumption in Portugal (70% of it due to road transportation), supplied almost completely by fossil fuels. Portugal must reduce these sector’s emissions by 98% to achieve carbon neutrality by 2050, thus making transportation a crucial sector for a successful decarbonisation of the economy. This scenario sparked action at ADENE – the Portuguese Energy Agency to create MOVE+, an auditing methodology that incentivises and guides a broad group of stakeholders to act on the decarbonisation of mobility, starting with light duty and freight fleets. It comprises a framework to rate fleets on energy efficiency which enables regular implementation and monitoring of decarbonisation measures in areas such as vehicle technology, telematics, driver training, tyre selection, and maintenance. This paper shows that the application of the MOVE+ methodology helped identify an electrification potential of 24% on average per fleet, according to the Best-in-Class (whereas the analysed sample shows 20% of electrification). A multiple linear regression model validates the correlation between MOVE+ obtained scores, in the evaluated dimensions, and the fleet’s specific CO2 emissions. The methodology also allows us to assess that Portugal is lagging to meet the carbon neutrality target for the transport sector by 2050. Such assessment allows us t</w:t>
      </w:r>
    </w:p>
    <w:p>
      <w:pPr/>
      <w:r>
        <w:rPr>
          <w:b/>
        </w:rPr>
        <w:t>POSSIBLE 2024:</w:t>
      </w:r>
      <w:r>
        <w:t xml:space="preserve"> Decarbonisation pathways for UK transport — https://doi.org/10.1111/newe.12410</w:t>
      </w:r>
    </w:p>
    <w:p>
      <w:pPr/>
      <w:r>
        <w:rPr>
          <w:b/>
        </w:rPr>
        <w:t>Shared claim-specific concepts:</w:t>
      </w:r>
      <w:r>
        <w:t xml:space="preserve"> decarbonisation, passenger, fleet, increase, battery, electric; EU scope not established. This is a provisional connection, not an outcome finding.</w:t>
      </w:r>
    </w:p>
    <w:p>
      <w:pPr>
        <w:pStyle w:val="SourceNote"/>
      </w:pPr>
      <w:r>
        <w:rPr>
          <w:b/>
        </w:rPr>
        <w:t>Available abstract (not full text):</w:t>
      </w:r>
      <w:r>
        <w:t xml:space="preserve"> W hile other sectors of the UK economy have made some progress in reducing their greenhouse gas emissions 1 since 1990, the transport sector, taken to include both air and surface modes as well as domestic and international movements from the UK, has yet to do so (figure 1).In 2019, emissions were 11 per cent above 1990 levels compared to the 53 per cent reduction achieved by the rest of the economic sectors. 2 Emissions from transport finally fell below the baseline level in 2020, due to the impacts on travel activity posed by the Covid-19 pandemic, only to bounce back again since.The latest figures (2023) show transport, including international movements, standing at 151 MtCO 2 e, essentially still at the 1990 baseline.Without some specific policy instruments used over recent decades, the situation would have been even worse.The mandatory CO 2 vehicle emissions performance standards for cars and vans since 2009 4 and the Renewable Transport Fuels Obligation since 2008 5 brought continuous attention to the carbon intensity of the light duty vehicle fleet in use.However, the benefits achieved by these efforts have been more than negated by the cumulative impact of a combination of trends, many of which still prevail today.These include discrepancies between vehicle test-cycle and real-world performance, the growth in the size and weight of new cars, the slow uptake of pure batt</w:t>
      </w:r>
    </w:p>
    <w:p>
      <w:pPr>
        <w:pStyle w:val="Heading2"/>
      </w:pPr>
      <w:r>
        <w:t>804. Policy insights and modelling challenges: The case of passenger car powertrain technology transition in the European Union</w:t>
      </w:r>
    </w:p>
    <w:p>
      <w:pPr>
        <w:pStyle w:val="SourceNote"/>
      </w:pPr>
      <w:r>
        <w:rPr>
          <w:b/>
        </w:rPr>
        <w:t>Original source (2017):</w:t>
      </w:r>
      <w:r>
        <w:t xml:space="preserve"> https://doi.org/10.1007/s12544-017-0252-x</w:t>
      </w:r>
    </w:p>
    <w:p>
      <w:pPr/>
      <w:r>
        <w:t>Original wording (abstract; indexed_source_text_not_full_document_verified): We then transfer the policy scenarios to other EU member states and assess the transferability of the policies.</w:t>
      </w:r>
    </w:p>
    <w:p>
      <w:pPr/>
      <w:r>
        <w:rPr>
          <w:b/>
        </w:rPr>
        <w:t>POSSIBLE 2026:</w:t>
      </w:r>
      <w:r>
        <w:t xml:space="preserve"> Media Policy Transfer in Europe — https://doi.org/10.1017/9781009568159.013</w:t>
      </w:r>
    </w:p>
    <w:p>
      <w:pPr/>
      <w:r>
        <w:rPr>
          <w:b/>
        </w:rPr>
        <w:t>Shared claim-specific concepts:</w:t>
      </w:r>
      <w:r>
        <w:t xml:space="preserve"> transfer, member, states, policies; EU scope visible. This is a provisional connection, not an outcome finding.</w:t>
      </w:r>
    </w:p>
    <w:p>
      <w:pPr>
        <w:pStyle w:val="SourceNote"/>
      </w:pPr>
      <w:r>
        <w:rPr>
          <w:b/>
        </w:rPr>
        <w:t>Available abstract (not full text):</w:t>
      </w:r>
      <w:r>
        <w:t xml:space="preserve"> The Audiovisual Media Services Directive (AVMSD) serves as a cornerstone of the EU’s efforts to align audiovisual media policies across Member States and candidate countries. Central to the Europeanisation process, the AVMSD aims to safeguard media freedom, pluralism, and cultural diversity while addressing emerging challenges in the digital landscape. However, the transfer of EU media policy has faced significant hurdles, particularly in candidate countries such as Serbia, Ukraine, and Georgia. These challenges include weak institutional capacity, limited independence of national regulatory authorities (NRAs), and the misalignment of EU policies with local contexts. The 2018 AVMSD revision introduced rules extending regulatory frameworks to video-sharing platforms and reinforced NRA independence. Yet enforcement remains inconsistent within the EU, complicating its transfer to countries grappling with systemic political and economic pressures. Furthermore, geopolitical tensions, disinformation, and internal governance failures amplify the risks of exporting untested or problematic EU practices. This chapter critically examines the EU’s media policy transfer mechanisms, highlighting their inadequacies in fostering resilient governance structures. It underscores the need for reciprocal feedback during the accession process, advocating for reforms that integrate diverse cultural a</w:t>
      </w:r>
    </w:p>
    <w:p>
      <w:pPr/>
      <w:r>
        <w:rPr>
          <w:b/>
        </w:rPr>
        <w:t>POSSIBLE 2026:</w:t>
      </w:r>
      <w:r>
        <w:t xml:space="preserve"> Transfer of Green Policies from European Union to its Member States — https://openalex.org/W7165424889</w:t>
      </w:r>
    </w:p>
    <w:p>
      <w:pPr/>
      <w:r>
        <w:rPr>
          <w:b/>
        </w:rPr>
        <w:t>Shared claim-specific concepts:</w:t>
      </w:r>
      <w:r>
        <w:t xml:space="preserve"> transfer, member, states, policies; EU scope visible. This is a provisional connection, not an outcome finding.</w:t>
      </w:r>
    </w:p>
    <w:p>
      <w:pPr>
        <w:pStyle w:val="SourceNote"/>
      </w:pPr>
      <w:r>
        <w:rPr>
          <w:b/>
        </w:rPr>
        <w:t>Available abstract (not full text):</w:t>
      </w:r>
      <w:r>
        <w:t xml:space="preserve"> The environmental degradation and climate change are among the most threatening issues to the humanity of 21st century. EU is among the most capable actors on the stage of international politics to tackle these issues effectively. The most important initiative from EU green policy framework is the European Green Deal as it includes the most ambitious goals and robust systems for implementation and monitoring. Policies from EGD however have some issues with implementation in EU member states and academic studies showed numerous times that rural areas face many hinderances with implementation. To fill in the research gap of successful EU green policy implementation this work studies EU policy documents with qualitative content analysis methodology while utilizing theories form the field of policy transfer and urban studies. The findings from EU policy documents show solid green policy transfer framework.</w:t>
      </w:r>
    </w:p>
    <w:p>
      <w:pPr/>
      <w:r>
        <w:rPr>
          <w:b/>
        </w:rPr>
        <w:t>POSSIBLE 2026:</w:t>
      </w:r>
      <w:r>
        <w:t xml:space="preserve"> The Europeanization of constitutions: experience of European Union Member States in the context of Ukraine’s candidate status — https://doi.org/10.33663/0869-2491-2026-37-660-676</w:t>
      </w:r>
    </w:p>
    <w:p>
      <w:pPr/>
      <w:r>
        <w:rPr>
          <w:b/>
        </w:rPr>
        <w:t>Shared claim-specific concepts:</w:t>
      </w:r>
      <w:r>
        <w:t xml:space="preserve"> transfer, member, states; EU scope visible. This is a provisional connection, not an outcome finding.</w:t>
      </w:r>
    </w:p>
    <w:p>
      <w:pPr>
        <w:pStyle w:val="SourceNote"/>
      </w:pPr>
      <w:r>
        <w:rPr>
          <w:b/>
        </w:rPr>
        <w:t>Available abstract (not full text):</w:t>
      </w:r>
      <w:r>
        <w:t xml:space="preserve"> Introduction. This study analyses the Europeanisation of the supreme laws of European Union Member States in the context of Ukraine’s acquisition of candidate country status for accession to the European Union (hereinafter referred to as the EU). It highlights contemporary approaches, theoretical differences and existing practices in the field of the Europeanisation of constitutions, reflecting the specific features of European integration. Particular attention is paid to the potential impact of the process of European integration on the Constitution of Ukraine. The aim of the article. It should be noted that, in scientific literature, there has been no comprehensive analysis of the Europeanisation of the constitutions of EU Member States, nor of the need to take this into account in view of Ukraine’s candidate status. This determines the purpose of the study and its theoretical and methodological basis, emphasising the relevance and importance of systematically analysing the selected issues for practical purposes. Results. The research highlights systemic priorities, core elements, defining parameters, legal factors, existing gaps and conflicts, unresolved issues, the current state of affairs, the latest approaches and established / different practices in the context of the issues outlined (such as the recognition and consolidation at the constitutional level of the primacy of</w:t>
      </w:r>
    </w:p>
    <w:p>
      <w:pPr/>
      <w:r>
        <w:rPr>
          <w:b/>
        </w:rPr>
        <w:t>POSSIBLE 2026:</w:t>
      </w:r>
      <w:r>
        <w:t xml:space="preserve"> National AI development and adult lifelong-learning participation: Evidence for knowledge-transfer policy in European countries — https://doi.org/10.21511/kpm.10(2).2026.09</w:t>
      </w:r>
    </w:p>
    <w:p>
      <w:pPr/>
      <w:r>
        <w:rPr>
          <w:b/>
        </w:rPr>
        <w:t>Shared claim-specific concepts:</w:t>
      </w:r>
      <w:r>
        <w:t xml:space="preserve"> transfer, policies; EU scope visible. This is a provisional connection, not an outcome finding.</w:t>
      </w:r>
    </w:p>
    <w:p>
      <w:pPr>
        <w:pStyle w:val="SourceNote"/>
      </w:pPr>
      <w:r>
        <w:rPr>
          <w:b/>
        </w:rPr>
        <w:t>Available abstract (not full text):</w:t>
      </w:r>
      <w:r>
        <w:t xml:space="preserve"> Type of the article: Research ArticleArtificial intelligence has become a driver of knowledge transformation, skills renewal, and institutional change, making lifelong learning increasingly important for adapting to AI-driven labor markets and societies. This study aims to examine whether national AI development indicators are associated with realized participation in education and training across different adult age groups in European countries, and to discuss what these associations may imply for lifelong learning and knowledge transfer policies. The analysis is based on a panel of 18 European countries for 2017–2024 and applies two-way fixed-effects models with country and year effects, contemporaneous, one-year, and two-year lag specifications, and Driscoll–Kraay robustness checks. The results show that the total AI Vibrancy Score is not a statistically significant predictor of participation in education and training: the contemporaneous coefficients are 0.4822 for adults aged 18-74, 0.1054 for those aged 45-54, and 0.5006 for those aged 50-74. Descriptive statistics indicate that average lifelong-learning participation declines with age, from 20.09% among adults aged 18-74 to 14.82% among those aged 45-54, and 9.34% among those aged 50-74. The lagged structural models show that AI-related R&amp;D is negatively associated with subsequent participation, with one-year lag coeffic</w:t>
      </w:r>
    </w:p>
    <w:p>
      <w:pPr/>
      <w:r>
        <w:rPr>
          <w:b/>
        </w:rPr>
        <w:t>POSSIBLE 2025:</w:t>
      </w:r>
      <w:r>
        <w:t xml:space="preserve"> Minding the Gaps: Solidaristic Transfers and Burden‐Sharing in the European Union and Its Member States' Pandemic Response — https://doi.org/10.1111/jcms.13726</w:t>
      </w:r>
    </w:p>
    <w:p>
      <w:pPr/>
      <w:r>
        <w:rPr>
          <w:b/>
        </w:rPr>
        <w:t>Shared claim-specific concepts:</w:t>
      </w:r>
      <w:r>
        <w:t xml:space="preserve"> other, member, states; EU scope visible. This is a provisional connection, not an outcome finding.</w:t>
      </w:r>
    </w:p>
    <w:p>
      <w:pPr>
        <w:pStyle w:val="SourceNote"/>
      </w:pPr>
      <w:r>
        <w:rPr>
          <w:b/>
        </w:rPr>
        <w:t>Available abstract (not full text):</w:t>
      </w:r>
      <w:r>
        <w:t xml:space="preserve"> Abstract The paper offers a hitherto‐lacking comprehensive appraisal of solidaristic transfers by European Union Member States (EUMS) during the first year of the COVID‐19 pandemic. These transfers include bilateral assistance, collective burden‐sharing on the EU level and even external EU aid. The article uses data on inter‐EUMS solidarity actions collected by the European Solidarity Tracker (EST), a widely referenced dataset on pandemic‐related actions of solidarity. It cleans these data to address its deficiencies, including by filtering out symbolic and tokenistic actions, to focus on instances of truly meaningful assistance between EUMS. The EST is complemented by two further sets of data: an overview of EU‐level measures, as examples of institutionalized and institutionally enabled forms of solidarity; and, given the global connectedness of the EU, data on pandemic assistance to developing countries. Based on this broad understanding of solidaristic transfers, the EU's response is found to have been significant but insufficient overall to fill the gaps in pandemic response. The gaps identified have inevitably fed into the pandemic, contributing to permissive conditions for its resurgence. EU‐level measures mattered, but practical manifestations of bilateral solidarity between EUMS have been haphazard. Furthermore, although the EU increased its external health and other de</w:t>
      </w:r>
    </w:p>
    <w:p>
      <w:pPr/>
      <w:r>
        <w:rPr>
          <w:b/>
        </w:rPr>
        <w:t>POSSIBLE 2025:</w:t>
      </w:r>
      <w:r>
        <w:t xml:space="preserve"> POLICY TRANSFER IN AI GOVERNANCE: ADAPTING THE EUROPEAN UNION AI ACT TO PAKISTAN’S REGULATORY LANDSCAPE — https://openalex.org/W7220082439</w:t>
      </w:r>
    </w:p>
    <w:p>
      <w:pPr/>
      <w:r>
        <w:rPr>
          <w:b/>
        </w:rPr>
        <w:t>Shared claim-specific concepts:</w:t>
      </w:r>
      <w:r>
        <w:t xml:space="preserve"> transfer, states, transferability; EU scope visible. This is a provisional connection, not an outcome finding.</w:t>
      </w:r>
    </w:p>
    <w:p>
      <w:pPr>
        <w:pStyle w:val="SourceNote"/>
      </w:pPr>
      <w:r>
        <w:rPr>
          <w:b/>
        </w:rPr>
        <w:t>Available abstract (not full text):</w:t>
      </w:r>
      <w:r>
        <w:t xml:space="preserve"> The rapid diffusion of artificial intelligence (AI) regulation worldwide has placed the European Union’s Artificial Intelligence Act (Regulation (EU) 2024/1689) at the centre of global regulatory discourse. It has prompted developing states to consider whether, and how, its provisions can be transplanted into different legal and administrative environments. This paper applies Policy Transfer Theory to examine the transferability of the EU AI Act to Pakistan. The paper employs qualitative comparative policy analysis of primary legal texts and secondary policy documents including Pakistan’s National Artificial Intelligence Policy 2025 to develop an original analytical tool termed as the Pakistan AI Regulatory Adaptation Framework (PARAF). It classifies EU AI Act provisions into three categories; Directly Transferable, Transferable with Adaptation, and Not Currently Transferable. The analysis indicates that transparency obligations and risk-tiering principles are comparatively easier to adapt to Pakistan's regulatory context. In contrast, the enforcement architecture and conformity assessment mechanisms require substantial modification to align with Pakistan's federal and administrative structure. It further suggests that provisions dependent on comprehensive data protection legislation and independent regulatory authorities are not presently transferable because Pakistan lacks co</w:t>
      </w:r>
    </w:p>
    <w:p>
      <w:pPr/>
      <w:r>
        <w:rPr>
          <w:b/>
        </w:rPr>
        <w:t>POSSIBLE 2024:</w:t>
      </w:r>
      <w:r>
        <w:t xml:space="preserve"> Social transfer policies and child poverty in European countries: Evaluating policy alternatives through a multiobjective programming model — https://doi.org/10.1016/j.seps.2024.101892</w:t>
      </w:r>
    </w:p>
    <w:p>
      <w:pPr/>
      <w:r>
        <w:rPr>
          <w:b/>
        </w:rPr>
        <w:t>Shared claim-specific concepts:</w:t>
      </w:r>
      <w:r>
        <w:t xml:space="preserve"> transfer, assess, policies; EU scope visible. This is a provisional connection, not an outcome finding.</w:t>
      </w:r>
    </w:p>
    <w:p>
      <w:pPr>
        <w:pStyle w:val="SourceNote"/>
      </w:pPr>
      <w:r>
        <w:rPr>
          <w:b/>
        </w:rPr>
        <w:t>Available abstract (not full text):</w:t>
      </w:r>
      <w:r>
        <w:t xml:space="preserve"> Child poverty remains a significant concern across Europe and citizens regard policy interventions that effectively address this issue to be of utmost importance. In this work, we analyse the potential of social transfer policy alternatives to alleviate child and overall poverty simultaneously in European countries. Using a logistic regression to define the objective functions and constraints, we rely on multiobjective programming to assess key features of national social transfer systems that can minimize child and overall poverty and tend to equal both levels downwards. Taking into account the starting levels of each country, the results underline the importance of finding an adequate combination of pro-child and pro-poor targeting of social transfer policies. For most European countries, an increase in the level of cash benefits for children is advisable – particularly universal benefits – except in Croatia, the Netherlands, and Norway. Nonetheless, in France, Greece, Italy, Ireland, the Netherlands, and Spain, the recommended proportion of GDP allocated to universal cash benefits is lower than the proportion allocated to means-tested benefits. In this regard, our research provides an innovative approach for policymakers to optimize poverty reduction strategies by contributing valuable insights for the design and implementation of effective social transfer policies to combat</w:t>
      </w:r>
    </w:p>
    <w:p>
      <w:pPr/>
      <w:r>
        <w:rPr>
          <w:b/>
        </w:rPr>
        <w:t>POSSIBLE 2024:</w:t>
      </w:r>
      <w:r>
        <w:t xml:space="preserve"> Stronger Member States for a Stronger European Union — https://doi.org/10.62733/2024.2.143-161</w:t>
      </w:r>
    </w:p>
    <w:p>
      <w:pPr/>
      <w:r>
        <w:rPr>
          <w:b/>
        </w:rPr>
        <w:t>Shared claim-specific concepts:</w:t>
      </w:r>
      <w:r>
        <w:t xml:space="preserve"> other, member, states; EU scope visible. This is a provisional connection, not an outcome finding.</w:t>
      </w:r>
    </w:p>
    <w:p>
      <w:pPr>
        <w:pStyle w:val="SourceNote"/>
      </w:pPr>
      <w:r>
        <w:rPr>
          <w:b/>
        </w:rPr>
        <w:t>Available abstract (not full text):</w:t>
      </w:r>
      <w:r>
        <w:t xml:space="preserve"> When discussing topics such as national sovereignty and the primacy of European Union (EU) law, the main question boils down to the distribution of competences. We must acknowledge both the historical context of the EU and the current trends in its role in the world’s geopolitical structure. This study focuses on identifying the extent of the limitations surrounding the EU’s power in the Hungarian legislature, how sovereignty is defined, and what aspects of constitutional identity are raised in conversations around this issue. Furthermore, the study aims to present relevant national case law related to the principle of the primacy of EU law and its relationship with Hungary’s national sovereignty and compare it with the position of other Member States’ national courts. This is a vital part of the discussion at hand, which will hopefully lead to an open conversation regarding the future of the EU, the possible outcome of a Convent, and what the continent will look like in the future. The study hypothesises that Member States will follow the trend of attempting to maintain as much sovereignty as possible via the decisions of their Constitutional Courts, in addition to contradicting some EU measures and resisting certain aspirations. Despite this phenomenon, integration is undoubtedly necessary; therefore, this conflict requires an urgent resolution, which will hopefully draw a li</w:t>
      </w:r>
    </w:p>
    <w:p>
      <w:pPr/>
      <w:r>
        <w:rPr>
          <w:b/>
        </w:rPr>
        <w:t>POSSIBLE 2024:</w:t>
      </w:r>
      <w:r>
        <w:t xml:space="preserve"> COMPARATIVE ANALYSIS OF TRANSFER PRICING LEGISLATION IN THE REGULATORY FRAMEWORK OF EU MEMBER STATES — https://doi.org/10.32782/2707-8019/2024-2-2</w:t>
      </w:r>
    </w:p>
    <w:p>
      <w:pPr/>
      <w:r>
        <w:rPr>
          <w:b/>
        </w:rPr>
        <w:t>Shared claim-specific concepts:</w:t>
      </w:r>
      <w:r>
        <w:t xml:space="preserve"> transfer, other, member, states; EU scope visible. This is a provisional connection, not an outcome finding.</w:t>
      </w:r>
    </w:p>
    <w:p>
      <w:pPr>
        <w:pStyle w:val="SourceNote"/>
      </w:pPr>
      <w:r>
        <w:rPr>
          <w:b/>
        </w:rPr>
        <w:t>Available abstract (not full text):</w:t>
      </w:r>
      <w:r>
        <w:t xml:space="preserve"> The article carries out a comparative analysis and assessment of the adequacy of legal regulation of transfer pricing in the EU Member States. The necessity and importance of studying foreign experience in building and improving the legal framework for transfer pricing is substantiated. The authors determine that the relevance of transfer pricing and related issues both in terms of ensuring the proper functioning of the single market and eliminating base erosion and profit shifting is confirmed by the existence of a special advisory body under the European Commission - the Joint Transfer Pricing Forum (JTPF), which advises the European Commission on transfer pricing taxation. The article identifies the main aspects of transfer pricing regulation in the EU Member States with a view to a detailed analysis of the regulatory framework. The criteria of related parties in the EU transfer pricing legislation are studied. It is found that a common feature in the definition of related parties is the direct or indirect influence of one person on another. The author examines and compares the grounds for conducting an audit in the EU transfer pricing legislation and finds that in the vast majority of EU Member States there is a so-called "self-assessment" regime for companies, according to which the taxpayer must ensure compliance with the transfer pricing rules; the risk factors that are </w:t>
      </w:r>
    </w:p>
    <w:p>
      <w:pPr/>
      <w:r>
        <w:rPr>
          <w:b/>
        </w:rPr>
        <w:t>POSSIBLE 2024:</w:t>
      </w:r>
      <w:r>
        <w:t xml:space="preserve"> The genesis of pardon in Ukraine and the European Union Member States — https://doi.org/10.24144/2307-3322.2024.84.3.45</w:t>
      </w:r>
    </w:p>
    <w:p>
      <w:pPr/>
      <w:r>
        <w:rPr>
          <w:b/>
        </w:rPr>
        <w:t>Shared claim-specific concepts:</w:t>
      </w:r>
      <w:r>
        <w:t xml:space="preserve"> transfer, other, member, states; EU scope visible. This is a provisional connection, not an outcome finding.</w:t>
      </w:r>
    </w:p>
    <w:p>
      <w:pPr>
        <w:pStyle w:val="SourceNote"/>
      </w:pPr>
      <w:r>
        <w:rPr>
          <w:b/>
        </w:rPr>
        <w:t>Available abstract (not full text):</w:t>
      </w:r>
      <w:r>
        <w:t xml:space="preserve"> This article is devoted to the historical and legal study of the origin and evolution of the institution of pardon in Ukraine and the European Union Member States. The author analyses the emergence of pardon in ancient Rome, its social and political role. The author points to the existence of three main forms of pardon in the Roman Empire: abolition, intercession and indulgence. The author emphasises the impact of the reception of Roman law and the growing role of the Roman Catholic Church on the establishment of the right of pardon as an element of the absolute power of the monarch in medieval Europe. Attention is drawn to the established tradition of pardoning convicted persons on the occasion of significant religious or state events. The author points out that the right to pardon is legally enshrined in the legislative collection ‘Siete Partidas’ in the Kingdom of Spain and to the modern subjects of pardon in the said State. The author analyses the evolution of the pardon procedure, in particular, with regard to the participation of not only the head of state, but also other subjects, including the Minister of Justice, in order to ensure a greater level of political neutrality. The features of pardon in medieval Italy, the transfer of this right from the city councils to the monarch along with the establishment of the seigniorial regime are highlighted. The author also descr</w:t>
      </w:r>
    </w:p>
    <w:p>
      <w:pPr/>
      <w:r>
        <w:rPr>
          <w:b/>
        </w:rPr>
        <w:t>POSSIBLE 2024:</w:t>
      </w:r>
      <w:r>
        <w:t xml:space="preserve"> Researching policy transfer of vocational education and training across the European Union: a systematic literature review — https://doi.org/10.1080/13636820.2024.2442030</w:t>
      </w:r>
    </w:p>
    <w:p>
      <w:pPr/>
      <w:r>
        <w:rPr>
          <w:b/>
        </w:rPr>
        <w:t>Shared claim-specific concepts:</w:t>
      </w:r>
      <w:r>
        <w:t xml:space="preserve"> transfer, member, states, policies; EU scope visible. This is a provisional connection, not an outcome finding.</w:t>
      </w:r>
    </w:p>
    <w:p>
      <w:pPr>
        <w:pStyle w:val="SourceNote"/>
      </w:pPr>
      <w:r>
        <w:rPr>
          <w:b/>
        </w:rPr>
        <w:t>Available abstract (not full text):</w:t>
      </w:r>
      <w:r>
        <w:t xml:space="preserve"> Various academic fields have focused on the transfer of Vocational Education and Training (VET) policies and practices, and the research base on VET policy transfer is broadly scattered. Recognising this deficit, researchers have sought to organise the current research. However, VET policy transfer studies carried out in European Union (EU) member states have made no such synthesising attempts. I conducted this systematic literature review to analyse the research methodology in this context. I searched for publications on the Scopus, Academic Search Ultimate (EBSCO), and ERIC databases, identifying a total of 577 publications, finding a total of 35 publications that met the inclusion criteria and that I subsequently analysed in detail. This review argues that research on VET policy transfer in the EU has particular gaps. It outlines four key areas that require attention: the lack of methodological diversity; the data collection from specific policy transfer actors and the exclusion of others; the geographical spaces that remain unexamined; and the focus on particular VET practices at the centre of policy transfer. The results identify lacunas in the current methodological practice of research on VET policy transfer in the EU and provide recommendations for future research.</w:t>
      </w:r>
    </w:p>
    <w:p>
      <w:pPr/>
      <w:r>
        <w:rPr>
          <w:b/>
        </w:rPr>
        <w:t>POSSIBLE 2023:</w:t>
      </w:r>
      <w:r>
        <w:t xml:space="preserve"> Agents and Impacts of Interorganizational Transfers between the Council of Europe and the European Union in the Area of Cultural Policy — https://doi.org/10.4000/bssg.3433</w:t>
      </w:r>
    </w:p>
    <w:p>
      <w:pPr/>
      <w:r>
        <w:rPr>
          <w:b/>
        </w:rPr>
        <w:t>Shared claim-specific concepts:</w:t>
      </w:r>
      <w:r>
        <w:t xml:space="preserve"> transfer, other; EU scope visible. This is a provisional connection, not an outcome finding.</w:t>
      </w:r>
    </w:p>
    <w:p>
      <w:pPr>
        <w:pStyle w:val="SourceNote"/>
      </w:pPr>
      <w:r>
        <w:rPr>
          <w:b/>
        </w:rPr>
        <w:t>Available abstract (not full text):</w:t>
      </w:r>
      <w:r>
        <w:t xml:space="preserve"> This article analyses the transfer dynamics between the Council of Europe and the European Community/Union in the domain of cultural policy. The analysis is based on two case studies. One centres on audiovisual policy (1980s), and the other on the development of cultural programmes within the European Union in the wake of the Maastricht Treaty (1990s-2000s). In the 1980s, when relations between the Council of Europe and the European Community were only very weakly institutionalized, the circulation of norms between the two institutions was facilitated by informal exchanges on the margins of negotiations between senior officials mandated by their governments. In the 1990s and 2000s, although the circulation of norms and practices had been institutionalized through agreements, it was nevertheless the multipositioning of government delegates and the mobility of some high-level officials between the two organizations and between the institutional and cultural management spheres that opened up key channels for the transfer of norms and practices between the Council of Europe and the European Union.</w:t>
      </w:r>
    </w:p>
    <w:p>
      <w:pPr>
        <w:pStyle w:val="Heading2"/>
      </w:pPr>
      <w:r>
        <w:t>805. Pressures on soil functions from soil management in Germany. A foresight review</w:t>
      </w:r>
    </w:p>
    <w:p>
      <w:pPr>
        <w:pStyle w:val="SourceNote"/>
      </w:pPr>
      <w:r>
        <w:rPr>
          <w:b/>
        </w:rPr>
        <w:t>Original source (2017):</w:t>
      </w:r>
      <w:r>
        <w:t xml:space="preserve"> https://doi.org/10.1007/s13593-017-0473-3</w:t>
      </w:r>
    </w:p>
    <w:p>
      <w:pPr/>
      <w:r>
        <w:t>Original wording (abstract; indexed_source_text_not_full_document_verified): We analyzed socio-economic, biophysical and technological drivers and identified two types of future management changes: (1) Quantitative changes, i.e., more or less of the same input factors, such as fertilizers, as part of a moderate intensification. Positive practices may be reinforced by a behavioral trend towards sustainable soil management, driven by increasing awareness, knowledge, and consumer demand.</w:t>
      </w:r>
    </w:p>
    <w:p>
      <w:pPr/>
      <w:r>
        <w:rPr>
          <w:b/>
        </w:rPr>
        <w:t>POSSIBLE 2025:</w:t>
      </w:r>
      <w:r>
        <w:t xml:space="preserve"> Socio-economic and Biophysical Resource Characterization in Gur Watershed, Girar Jarso District, North Shewa Zone, Oromia — https://doi.org/10.11648/j.ijema.20251303.14</w:t>
      </w:r>
    </w:p>
    <w:p>
      <w:pPr/>
      <w:r>
        <w:rPr>
          <w:b/>
        </w:rPr>
        <w:t>Shared claim-specific concepts:</w:t>
      </w:r>
      <w:r>
        <w:t xml:space="preserve"> analyzed, socio-economic, biophysical, management; EU scope not established. This is a provisional connection, not an outcome finding.</w:t>
      </w:r>
    </w:p>
    <w:p>
      <w:pPr>
        <w:pStyle w:val="SourceNote"/>
      </w:pPr>
      <w:r>
        <w:rPr>
          <w:b/>
        </w:rPr>
        <w:t>Available abstract (not full text):</w:t>
      </w:r>
      <w:r>
        <w:t xml:space="preserve"> Socio-economic and biophysical resource characterization builds necessary foundation for the plan and obtains proper information for elective planning, implementation and monitoring of the research in the field of natural resources. The objective of the study was to identify and characterize existing socio-economic and biophysical resources and document baseline information on socio-economic and biophysical aspects used as benchmark for planning and impact monitoring in the watershed. The site was selected depending on agro-ecological representation, prevalence of resource management and land degradation problems. The data were collected through field observations, HH survey, FGD and KII’s and the collected data were analyzed using SPSS software. Results of study indicated that, decline of soil fertility, soil erosion, and shortage of agricultural inputs are the major crop production constraints in the watershed. According to the results, the farmers majorly implemented physical SWC measures such as stone bund, stone faced soil bund, water ways. About 97.7%, of the sample farmers in the Gur watershed were participating in construction of SWC measures by their own interest respectively. Analysis of the result shows that the major constraints in practicing of physical SWC structures were serves as breed and hiding places of rodents, it requires large number of labors and lack of </w:t>
      </w:r>
    </w:p>
    <w:p>
      <w:pPr/>
      <w:r>
        <w:rPr>
          <w:b/>
        </w:rPr>
        <w:t>POSSIBLE 2025:</w:t>
      </w:r>
      <w:r>
        <w:t xml:space="preserve"> ADVANCEMENTS AND INTEGRATION OF BIOPHYSICAL, SOCIO-ECONOMIC, AND LOCAL KNOWLEDGE IN AGRICULTURAL LAND SUITABILITY ASSESSMENTS: A SYSTEMATIC LITERATURE REVIEW — https://doi.org/10.33899/mja.2025.156944.1531</w:t>
      </w:r>
    </w:p>
    <w:p>
      <w:pPr/>
      <w:r>
        <w:rPr>
          <w:b/>
        </w:rPr>
        <w:t>Shared claim-specific concepts:</w:t>
      </w:r>
      <w:r>
        <w:t xml:space="preserve"> socio-economic, biophysical, identified, management, factors, practices; EU scope not established. This is a provisional connection, not an outcome finding.</w:t>
      </w:r>
    </w:p>
    <w:p>
      <w:pPr>
        <w:pStyle w:val="SourceNote"/>
      </w:pPr>
      <w:r>
        <w:rPr>
          <w:b/>
        </w:rPr>
        <w:t>Available abstract (not full text):</w:t>
      </w:r>
      <w:r>
        <w:t xml:space="preserve"> Land suitability assessments are pivotal for sustainable land use planning, agricultural productivity, and environmental management. Despite substantial advancements, a comprehensive understanding of methodologies, applications, and sustainability challenges across diverse contexts remains limited. This systematic literature review aims to address these gaps by examining advancements, regional practices, and adaptation strategies in land suitability assessments. Using the PRISMA framework, an advanced search of Scopus and Web of Science databases identified 34 eligible studies (n=34) for analysis. These studies were categorized into three key themes: (1) advancements in methodologies, including GIS-based multi-criteria decision-making (MCDM), machine learning, and hybrid models; (2) applications of land suitability for specific crops and regions, highlighting varying ecological and socio-economic factors influencing implementation; and (3) sustainability and adaptation in land use planning, focusing on the integration of climate resilience and resource conservation. Results indicate that GIS-MCDM approaches dominate, representing 65% of the studies, with machine learning and hybrid methods contributing 20% and 15%, respectively. The review underscores the increasing role of advanced technologies such as remote sensing and IoT in improving precision, yet challenges persist in pa</w:t>
      </w:r>
    </w:p>
    <w:p>
      <w:pPr/>
      <w:r>
        <w:rPr>
          <w:b/>
        </w:rPr>
        <w:t>POSSIBLE 2025:</w:t>
      </w:r>
      <w:r>
        <w:t xml:space="preserve"> GOVERNANCE OF HOUSING SPATIAL PLANNING OF SEMARANG CITY IN LANDSLIDE MITIGATION AND THE INFLUENCE OF BIOPHYSICAL, CLIMATIC, AND SOCIO-ECONOMIC FACTORS — https://doi.org/10.21837/pm.v23i38.1783</w:t>
      </w:r>
    </w:p>
    <w:p>
      <w:pPr/>
      <w:r>
        <w:rPr>
          <w:b/>
        </w:rPr>
        <w:t>Shared claim-specific concepts:</w:t>
      </w:r>
      <w:r>
        <w:t xml:space="preserve"> socio-economic, biophysical, factors; EU scope not established. This is a provisional connection, not an outcome finding.</w:t>
      </w:r>
    </w:p>
    <w:p>
      <w:pPr>
        <w:pStyle w:val="SourceNote"/>
      </w:pPr>
      <w:r>
        <w:rPr>
          <w:b/>
        </w:rPr>
        <w:t>Available abstract (not full text):</w:t>
      </w:r>
      <w:r>
        <w:t xml:space="preserve"> The highland areas of Semarang City are vulnerable to landslide disasters. This study investigated the governance of Semarang's spatial planning and the factors that influence the mitigation of landslide disasters. We used spatial and descriptive analysis to evaluate the data. This study found that most of the designated housing areas in highland areas of Semarang City are laid on vulnerable landslides. Biophysical factors such as steepness levels of up to 40 percent, volcanic rock formations that are susceptible to landslides, and the changes in rainfall intensity due to climatic change have caused vulnerability to landslides. Poor mitigation governance such as land use conversion, unsuitability of spatial plans, huge extraction of groundwater, and weak evaluation and monitoring of spatial planning also increase landslide disasters and risk in Semarang. Incorporating hazard assessment into spatial planning and tightening the implementation of spatial plans are very important to be noticed by the government to reduce landslides.</w:t>
      </w:r>
    </w:p>
    <w:p>
      <w:pPr/>
      <w:r>
        <w:rPr>
          <w:b/>
        </w:rPr>
        <w:t>POSSIBLE 2025:</w:t>
      </w:r>
      <w:r>
        <w:t xml:space="preserve"> Addressing socio-economic drivers of management style evolution — https://openalex.org/W7219528483</w:t>
      </w:r>
    </w:p>
    <w:p>
      <w:pPr/>
      <w:r>
        <w:rPr>
          <w:b/>
        </w:rPr>
        <w:t>Shared claim-specific concepts:</w:t>
      </w:r>
      <w:r>
        <w:t xml:space="preserve"> socio-economic, drivers, management, factors, practices; EU scope not established. This is a provisional connection, not an outcome finding.</w:t>
      </w:r>
    </w:p>
    <w:p>
      <w:pPr>
        <w:pStyle w:val="SourceNote"/>
      </w:pPr>
      <w:r>
        <w:rPr>
          <w:b/>
        </w:rPr>
        <w:t>Available abstract (not full text):</w:t>
      </w:r>
      <w:r>
        <w:t xml:space="preserve"> Background: The information age has ushered in a novel economic model known as the information economy, challenging traditional bureaucratic mechanisms that were primarily seen as tools to mitigate uncertainty. Within this context, complex leadership emerges as a paradigm that thrives on systemic interactions and intricate dynamics. Here, the onus lies on establishing the framework and conditions that empower the adaptive essence of leadership to flourish. Purpose: The aim of this research is to establish a framework for optimal leadership management, uncovering previously unexplored factors shaping employee work behavior. By identifying and defining key components within management mechanisms that greatly enhance employee performance, the objective is to cultivate rooted and effective management practices. Study design/methodology/approach: The research involved 480 respondents from diverse sociodemographic backgrounds and companies. Complexity leadership was assessed using the Complexity Leadership Scale, measuring Generative and Administrative leadership. Employee cooperation was evaluated with the Scala Supportive and Non-Controlling Supervision. Statistical methods included multiple regression, Pearson correlation, t-tests, and MANOVA. Findings/conclusions: The evaluation shows that both Generative and Administrative leadership are moderately expressed. Generative leadersh</w:t>
      </w:r>
    </w:p>
    <w:p>
      <w:pPr/>
      <w:r>
        <w:rPr>
          <w:b/>
        </w:rPr>
        <w:t>POSSIBLE 2025:</w:t>
      </w:r>
      <w:r>
        <w:t xml:space="preserve"> Socio-Economic Drivers and Sustainability Challenges of Urban Green Space Distribution in Jinan, China — https://doi.org/10.3390/su17135993</w:t>
      </w:r>
    </w:p>
    <w:p>
      <w:pPr/>
      <w:r>
        <w:rPr>
          <w:b/>
        </w:rPr>
        <w:t>Shared claim-specific concepts:</w:t>
      </w:r>
      <w:r>
        <w:t xml:space="preserve"> socio-economic, drivers, two, types, factors; EU scope not established. This is a provisional connection, not an outcome finding.</w:t>
      </w:r>
    </w:p>
    <w:p>
      <w:pPr>
        <w:pStyle w:val="SourceNote"/>
      </w:pPr>
      <w:r>
        <w:rPr>
          <w:b/>
        </w:rPr>
        <w:t>Available abstract (not full text):</w:t>
      </w:r>
      <w:r>
        <w:t xml:space="preserve"> Urban green spaces (UGSs), including parks, forests, and community gardens, play a critical role in enhancing public health and well-being by providing essential ecosystem services such as improving air quality, reducing surface temperatures, and mitigating harmful substances. As urbanization accelerates, especially in rapidly growing cities like Jinan, China, the demand for UGSs is intensifying, necessitating careful urban planning to balance development and environmental protection. While previous studies have often focused on city-level green coverage, this study shifts the analytical focus from UGS as a whole to urban functional units (UFUs), allowing for a more detailed examination of how green space is distributed across different land use types. We investigate UGS changes in Jinan over the past two decades and assess the influence of socio-economic factors—such as housing prices, land use types, and building age—on UGS distribution within UFUs. Remote sensing technology was employed to analyze the spatiotemporal dynamics of UGS and its correlation with these variables. Our findings reveal a significant shift in UGS distribution, with parks and leisure areas becoming primary drivers of UGS expansion. This study also highlights the growing influence of economic factors, particularly housing prices, on UGS distribution in more affluent UFUs. Additionally, while UGS in Jinan</w:t>
      </w:r>
    </w:p>
    <w:p>
      <w:pPr/>
      <w:r>
        <w:rPr>
          <w:b/>
        </w:rPr>
        <w:t>POSSIBLE 2025:</w:t>
      </w:r>
      <w:r>
        <w:t xml:space="preserve"> Public Acceptance and Socio-Economic Drivers of Renewable District Heating: Evidence from Italy — https://doi.org/10.3390/en19010096</w:t>
      </w:r>
    </w:p>
    <w:p>
      <w:pPr/>
      <w:r>
        <w:rPr>
          <w:b/>
        </w:rPr>
        <w:t>Shared claim-specific concepts:</w:t>
      </w:r>
      <w:r>
        <w:t xml:space="preserve"> socio-economic, technological, drivers, factors; EU scope visible. This is a provisional connection, not an outcome finding.</w:t>
      </w:r>
    </w:p>
    <w:p>
      <w:pPr>
        <w:pStyle w:val="SourceNote"/>
      </w:pPr>
      <w:r>
        <w:rPr>
          <w:b/>
        </w:rPr>
        <w:t>Available abstract (not full text):</w:t>
      </w:r>
      <w:r>
        <w:t xml:space="preserve"> District heating (DH) is increasingly recognised as a crucial solution for urban energy needs, contributing to energy efficiency and the reduction of greenhouse gas emissions. However, the transition towards adopting renewable energy sources (RES) in DH poses several challenges. The success of such a transition depends on technological innovation, acceptance, and public perception as well as a range of socio-economic, regulatory, and behavioural factors. This study investigates how these key dimensions influence public attitudes towards renewable DH systems in Italy. Based on a survey of 1,200 citizens in Turin we examine how public attitudes towards decarbonised heating options, the integration of renewables and demand-side flexibility are influenced by socio-economic characteristics. These characteristics include income, education, age, housing tenure, eco-awareness, trust in institutions, and technological affinity. Results show widespread support for efficiency and comfort benefits of DH. However, the results also show a limited willingness to pay more for renewable heat, particularly among economically vulnerable groups. The study has important implications for strategies that can facilitate the transition towards adopting RES in DH. In particular, the study points to the relevance of economic incentives, institutional trust, and clarity about benefits, as well as communit</w:t>
      </w:r>
    </w:p>
    <w:p>
      <w:pPr/>
      <w:r>
        <w:rPr>
          <w:b/>
        </w:rPr>
        <w:t>POSSIBLE 2023:</w:t>
      </w:r>
      <w:r>
        <w:t xml:space="preserve"> Climate policy must account for community-specific socio-economic, health, and biophysical conditions—evidence from coastal Alaska — https://doi.org/10.1007/s10113-023-02080-9</w:t>
      </w:r>
    </w:p>
    <w:p>
      <w:pPr/>
      <w:r>
        <w:rPr>
          <w:b/>
        </w:rPr>
        <w:t>Shared claim-specific concepts:</w:t>
      </w:r>
      <w:r>
        <w:t xml:space="preserve"> socio-economic, biophysical, management, factors, moderate; EU scope not established. This is a provisional connection, not an outcome finding.</w:t>
      </w:r>
    </w:p>
    <w:p>
      <w:pPr>
        <w:pStyle w:val="SourceNote"/>
      </w:pPr>
      <w:r>
        <w:rPr>
          <w:b/>
        </w:rPr>
        <w:t>Available abstract (not full text):</w:t>
      </w:r>
      <w:r>
        <w:t xml:space="preserve"> Abstract Climate warming, sea level rise, and extreme weather events are creating intensifying and more frequent hazards for human populations inhabiting the coast. In Alaska’s remote coastal communities, flooding and erosion are rapidly increasing due to the combined effect of sea level rise, more frequent storm surges, and increasingly powerful wave action from lack of sea ice. This paper presents survey results documenting socio-economic and psychological livelihood impacts and relocation preferences as reported by residents of a remote coastal Indigenous community. We quantified direct costs of lost or damaged private property, affected community infrastructure, and interruption of public services and found that the resulting financial hardship adds to existing economic challenges and climate stressors. Findings underline a community-level preoccupation with coastal climate threats that manifests primarily in intrusive and distressing thoughts of consequences from storms and other destructive climatic events. We highlight the need to monitor more broadly livelihood impacts to inform the design of innovative risk management tools to moderate financial hardship and strengthen community-driven action. We conclude that new policy responding to the needs of remote Indigenous communities affected by repetitive environmental disasters needs to account for a complex array of commun</w:t>
      </w:r>
    </w:p>
    <w:p>
      <w:pPr/>
      <w:r>
        <w:rPr>
          <w:b/>
        </w:rPr>
        <w:t>POSSIBLE 2023:</w:t>
      </w:r>
      <w:r>
        <w:t xml:space="preserve"> Integration matters: Combining socio-cultural and biophysical methods for mapping ecosystem service bundles — https://doi.org/10.1007/s13280-023-01830-7</w:t>
      </w:r>
    </w:p>
    <w:p>
      <w:pPr/>
      <w:r>
        <w:rPr>
          <w:b/>
        </w:rPr>
        <w:t>Shared claim-specific concepts:</w:t>
      </w:r>
      <w:r>
        <w:t xml:space="preserve"> biophysical, two, management, sustainable; EU scope visible. This is a provisional connection, not an outcome finding.</w:t>
      </w:r>
    </w:p>
    <w:p>
      <w:pPr>
        <w:pStyle w:val="SourceNote"/>
      </w:pPr>
      <w:r>
        <w:rPr>
          <w:b/>
        </w:rPr>
        <w:t>Available abstract (not full text):</w:t>
      </w:r>
      <w:r>
        <w:t xml:space="preserve"> Ecosystem services (ESs) play an important role in sustainable landscape management. People value ESs in diverse ways encompassing social and ecological domains and we need to bring these different values together. We used social-cultural and biophysical methods to map a diverse set of ESs at two spatial scales in a UNESCO Biosphere Reserve in Norway. The ESs bundled into three distinct social-ecological system archetypes which were similar in their distribution and relative ES values at both spatial scales. The bundles were also well matched to relative ESs values of the Biosphere Reserve zones (core, buffer, and transition) indicating that the bundles capture the social-ecological systems of the zones. We argue that it is important to consider the social-ecological context of the zones to provide sufficient knowledge to inform management. Our work has the capacity to contribute to sustainable land management that takes biocultural values into consideration.</w:t>
      </w:r>
    </w:p>
    <w:p>
      <w:pPr/>
      <w:r>
        <w:rPr>
          <w:b/>
        </w:rPr>
        <w:t>POSSIBLE 2023:</w:t>
      </w:r>
      <w:r>
        <w:t xml:space="preserve"> Working in (Slow) Progress: Socio-Environmental and Economic Dynamics in the Forestry Sector and the Contribution to Sustainable Development in Europe — https://doi.org/10.3390/su151310271</w:t>
      </w:r>
    </w:p>
    <w:p>
      <w:pPr/>
      <w:r>
        <w:rPr>
          <w:b/>
        </w:rPr>
        <w:t>Shared claim-specific concepts:</w:t>
      </w:r>
      <w:r>
        <w:t xml:space="preserve"> management, same, practices, sustainable; EU scope visible. This is a provisional connection, not an outcome finding.</w:t>
      </w:r>
    </w:p>
    <w:p>
      <w:pPr>
        <w:pStyle w:val="SourceNote"/>
      </w:pPr>
      <w:r>
        <w:rPr>
          <w:b/>
        </w:rPr>
        <w:t>Available abstract (not full text):</w:t>
      </w:r>
      <w:r>
        <w:t xml:space="preserve"> Forest ecosystems are increasingly subject to disturbances, such as extreme (climate) events, fires and pathological outbreaks, which exert significant (and still poorly quantified) economic impacts, despite their intrinsic resilience. How forest management addresses these challenges will have profound effects on human health, environmental diversity, (ecological and economic) productivity and the ability of forest ecosystems to recovery from exogenous shocks. Assuming forests as ensuring ecosystem services that are vital to society and human well-being, in addition to providing wood material, a better knowledge of forest ecosystems appears a key requirement to delineate a developmental strategy that guarantees environmental protection objectives and achievement of climate and energy targets. In the context of Sustainable Development Goals of the United Nations 2030 Agenda, the information available on forest management practices in Europe still seems not completely suitable to provide a comprehensive overview of ecosystem conditions, their economic value, and their biodiversity. Based on a literature review, the present contribution focuses on recent dynamics of the forestry sector in Europe, delineating the inherent complexity in the environmental-economic nexus. Additionally, the extensive use of a key natural resource such as wood exerts social implications for local distri</w:t>
      </w:r>
    </w:p>
    <w:p>
      <w:pPr/>
      <w:r>
        <w:rPr>
          <w:b/>
        </w:rPr>
        <w:t>POSSIBLE 2023:</w:t>
      </w:r>
      <w:r>
        <w:t xml:space="preserve"> Detecting the socio-economic drivers of confidence in government with eXplainable Artificial Intelligence — https://doi.org/10.1038/s41598-023-28020-5</w:t>
      </w:r>
    </w:p>
    <w:p>
      <w:pPr/>
      <w:r>
        <w:rPr>
          <w:b/>
        </w:rPr>
        <w:t>Shared claim-specific concepts:</w:t>
      </w:r>
      <w:r>
        <w:t xml:space="preserve"> socio-economic, drivers, two, quantitative, factors, positive; EU scope visible. This is a provisional connection, not an outcome finding.</w:t>
      </w:r>
    </w:p>
    <w:p>
      <w:pPr>
        <w:pStyle w:val="SourceNote"/>
      </w:pPr>
      <w:r>
        <w:rPr>
          <w:b/>
        </w:rPr>
        <w:t>Available abstract (not full text):</w:t>
      </w:r>
      <w:r>
        <w:t xml:space="preserve"> The European Quality of Government Index (EQI) measures the perceived level of government quality by European Union citizens, combining surveys on corruption, impartiality and quality of provided services. It is, thus, an index based on individual subjective evaluations. Understanding the most relevant objective factors affecting the EQI outcomes is important for both evaluators and policy makers, especially in view of the fact that perception of government integrity contributes to determine the level of civic engagement. In our research, we employ methods of Artificial Intelligence and complex systems physics to measure the impact on the perceived government quality of multifaceted variables, describing territorial development and citizen well-being, from an economic, social and environmental viewpoint. Our study, focused on a set of regions in European Union at a subnational scale, leads to identifying the territorial and demographic drivers of citizens' confidence in government institutions. In particular, we find that the 2021 EQI values are significantly related to two indicators: the first one is the difference between female and male labour participation rates, and the second one is a proxy of wealth and welfare such as the average number of rooms per inhabitant. This result corroborates the idea of a central role played by labour gender equity and housing policies in go</w:t>
      </w:r>
    </w:p>
    <w:p>
      <w:pPr/>
      <w:r>
        <w:rPr>
          <w:b/>
        </w:rPr>
        <w:t>POSSIBLE 2022:</w:t>
      </w:r>
      <w:r>
        <w:t xml:space="preserve"> Innovating European Long-Term Care Policies through the Socio-Economic Support of Families: A Lesson from Practices — https://doi.org/10.3390/su14074097</w:t>
      </w:r>
    </w:p>
    <w:p>
      <w:pPr/>
      <w:r>
        <w:rPr>
          <w:b/>
        </w:rPr>
        <w:t>Shared claim-specific concepts:</w:t>
      </w:r>
      <w:r>
        <w:t xml:space="preserve"> socio-economic, drivers, two, practices, sustainable; EU scope visible. This is a provisional connection, not an outcome finding.</w:t>
      </w:r>
    </w:p>
    <w:p>
      <w:pPr>
        <w:pStyle w:val="SourceNote"/>
      </w:pPr>
      <w:r>
        <w:rPr>
          <w:b/>
        </w:rPr>
        <w:t>Available abstract (not full text):</w:t>
      </w:r>
      <w:r>
        <w:t xml:space="preserve"> LTC and socio-economic deprivation of families are two relevant issues in international debate. The economic or time investment made by families in caregiving has an impact on the socio-economic status of family members in terms of economic means and social inclusion. This study analyzes the practices that are supported by home LTC, examining their characteristics, identifying their strengths, weaknesses, drivers, and barriers, as well as identifying social innovation aspects. The study provides a qualitative interpretative comparison of 22 practices from eight countries, representing the four LTC care models existing in Europe. Cross-studies aid in the development of sustainable policies. The study highlights the differences and similarities between selected practices. The results indicate the effectiveness of integrative and coordination strategies at the macro, meso, and micro levels for the development of supportive policies for family members with burdens of care. Nevertheless, the results underline the lack of a genuine focus on families’ socio-economic support for providing care. The partial support provided by compensatory cash benefits or unpaid care leave schemes partially addresses the difficulties of familial burden of care. The study recommends that fair economic compensation and social security benefits be incorporated into innovative and sustainable strategies fo</w:t>
      </w:r>
    </w:p>
    <w:p>
      <w:pPr/>
      <w:r>
        <w:rPr>
          <w:b/>
        </w:rPr>
        <w:t>POSSIBLE 2022:</w:t>
      </w:r>
      <w:r>
        <w:t xml:space="preserve"> Windstorm Impacts on Forest-Related Socio-Ecological Systems: An Analysis from a Socio-Economic and Institutional Perspective — https://doi.org/10.3390/f13060939</w:t>
      </w:r>
    </w:p>
    <w:p>
      <w:pPr/>
      <w:r>
        <w:rPr>
          <w:b/>
        </w:rPr>
        <w:t>Shared claim-specific concepts:</w:t>
      </w:r>
      <w:r>
        <w:t xml:space="preserve"> analyzed, socio-economic, drivers, positive, sustainable; EU scope visible. This is a provisional connection, not an outcome finding.</w:t>
      </w:r>
    </w:p>
    <w:p>
      <w:pPr>
        <w:pStyle w:val="SourceNote"/>
      </w:pPr>
      <w:r>
        <w:rPr>
          <w:b/>
        </w:rPr>
        <w:t>Available abstract (not full text):</w:t>
      </w:r>
      <w:r>
        <w:t xml:space="preserve"> Windstorms are considered among the most impacting natural events for European forests and related Socio-Ecological Systems (SES). Given that their intensity and frequency are increasing, an in-depth understanding of their impacts is crucial to mitigate risks and potential negative effects. However, so far, scientific research on windstorm impacts has mainly focused on environmental dimensions, while socio-economic and institutional ones are rarely taken into consideration. Our analysis aims at enriching the current scientific knowledge on windstorm impacts on forest SES by providing an overview of the state-of-the-art academic investigations on windstorm impacts on socio-economic and institutional dimensions. Overall, 46 papers were reviewed to identify the most recurrent post-windstorm dynamics and drivers that influence resilience and adaptation of socio-economic, institutional and related governance dimensions of European forest SES. Results show that the current scientific knowledge on socio-economic impacts of windstorms mainly concentrates on forest-related stakeholders and sectors, paying little attention to the broader social, cultural and institutional drivers that contribute to forest SES resilience. Further, cascade effects linking environmental, social and institutional dimensions are poorly analyzed. This restricted focus could lead to an incomplete understanding </w:t>
      </w:r>
    </w:p>
    <w:p>
      <w:pPr>
        <w:pStyle w:val="Heading2"/>
      </w:pPr>
      <w:r>
        <w:t>806. Projections of Future Precipitation Extremes Over Europe: A Multimodel Assessment of Climate Simulations</w:t>
      </w:r>
    </w:p>
    <w:p>
      <w:pPr>
        <w:pStyle w:val="SourceNote"/>
      </w:pPr>
      <w:r>
        <w:rPr>
          <w:b/>
        </w:rPr>
        <w:t>Original source (2017):</w:t>
      </w:r>
      <w:r>
        <w:t xml:space="preserve"> https://doi.org/10.1002/2017jd027176</w:t>
      </w:r>
    </w:p>
    <w:p>
      <w:pPr/>
      <w:r>
        <w:t>Original wording (abstract; indexed_source_text_not_full_document_verified): Projections of precipitation and its extremes over the European continent are analyzed in an extensive multimodel ensemble of 12 and 50 km resolution EURO‐CORDEX Regional Climate Models (RCMs) forced by RCP2.6, RCP4.5, and RCP8.5 (Representative Concentration Pathway) aerosol and greenhouse gas emission scenarios. The projected changes of the European hydrological cycle may have substantial impact on environmental and anthropogenic systems.</w:t>
      </w:r>
    </w:p>
    <w:p>
      <w:pPr/>
      <w:r>
        <w:rPr>
          <w:b/>
        </w:rPr>
        <w:t>POSSIBLE 2026:</w:t>
      </w:r>
      <w:r>
        <w:t xml:space="preserve"> European summer precipitation — https://doi.org/10.5194/acp-26-2041-2026</w:t>
      </w:r>
    </w:p>
    <w:p>
      <w:pPr/>
      <w:r>
        <w:rPr>
          <w:b/>
        </w:rPr>
        <w:t>Shared claim-specific concepts:</w:t>
      </w:r>
      <w:r>
        <w:t xml:space="preserve"> abstract, projections, precipitation, over, regional, climate; EU scope visible. This is a provisional connection, not an outcome finding.</w:t>
      </w:r>
    </w:p>
    <w:p>
      <w:pPr>
        <w:pStyle w:val="SourceNote"/>
      </w:pPr>
      <w:r>
        <w:rPr>
          <w:b/>
        </w:rPr>
        <w:t>Available abstract (not full text):</w:t>
      </w:r>
      <w:r>
        <w:t xml:space="preserve"> Abstract. Observations indicate that parts of Europe have experienced summer drying over recent decades. There is, however, substantial uncertainty in terms of precipitation changes projected by global climate models, underscoring the need for improved understanding to guide adaptation. Here, we analyse changes in European summer precipitation with global warming in 35 CMIP6 Earth system Models using a regional atmospheric energy budget framework. Over the historical period we compare these models to two reanalysis datasets, ERA5 and MERRA-2, as well as the E-OBS daily gridded observational dataset. Although ERA5 and MERRA-2 compares well to observed precipitation, both reanalysis datasets exhibit large discrepancies with the CMIP6 models when evaluating other terms in the atmospheric energy. In future projections, the model spread is increased compared to historical diversity for the change in precipitation, sensible heat and the dry static energy flux divergence, highlighting the uncertainties in the magnitude of these terms. Nevertheless, the models show consistent agreement on the projection of summer drying over continental Europe with anthropogenic forcing over time.</w:t>
      </w:r>
    </w:p>
    <w:p>
      <w:pPr/>
      <w:r>
        <w:rPr>
          <w:b/>
        </w:rPr>
        <w:t>POSSIBLE 2026:</w:t>
      </w:r>
      <w:r>
        <w:t xml:space="preserve"> Persisting Modulation of Interdecadal Pacific Oscillation on Near‐Future Winter Precipitation Projections in Northern Europe — https://doi.org/10.1029/2025gl119484</w:t>
      </w:r>
    </w:p>
    <w:p>
      <w:pPr/>
      <w:r>
        <w:rPr>
          <w:b/>
        </w:rPr>
        <w:t>Shared claim-specific concepts:</w:t>
      </w:r>
      <w:r>
        <w:t xml:space="preserve"> abstract, projections, precipitation, ensemble, regional, climate; EU scope visible. This is a provisional connection, not an outcome finding.</w:t>
      </w:r>
    </w:p>
    <w:p>
      <w:pPr>
        <w:pStyle w:val="SourceNote"/>
      </w:pPr>
      <w:r>
        <w:rPr>
          <w:b/>
        </w:rPr>
        <w:t>Available abstract (not full text):</w:t>
      </w:r>
      <w:r>
        <w:t xml:space="preserve"> Abstract European winter precipitation profoundly influences regional hydroclimate, yet the relative roles of internal variability and external forcing in its decadal changes remain elusive. Using large‐ensemble climate simulations, we identify the Interdecadal Pacific Oscillation (IPO) as a potential driver of interdecadal changes in winter northern European precipitation. During the 1980–2014 IPO phase transition, internal variability induced a drying trend of −0.07 mm day −1 (35 years) −1 , offsetting a concurrent externally forced wetting trend of +0.19 mm day −1 (35 years) −1 . This influence arises from IPO‐related modulation of atmospheric circulation and moisture transport. The persistence of IPO–WNEP linkages into 2015–2050 suggests that internal variability may continue to shape near‐future hydroclimate. Accounting for IPO‐related influences reduces projection uncertainty by 30% historically and 20% in the near future. These results highlight the critical role of internal variability in long‐term European precipitation trends and emphasize its relevance for regional water resource planning.</w:t>
      </w:r>
    </w:p>
    <w:p>
      <w:pPr/>
      <w:r>
        <w:rPr>
          <w:b/>
        </w:rPr>
        <w:t>POSSIBLE 2026:</w:t>
      </w:r>
      <w:r>
        <w:t xml:space="preserve"> Extreme precipitation projections over Europe from the Euro-CORDEX regional climate models — https://doi.org/10.2139/ssrn.7352664</w:t>
      </w:r>
    </w:p>
    <w:p>
      <w:pPr/>
      <w:r>
        <w:rPr>
          <w:b/>
        </w:rPr>
        <w:t>Shared claim-specific concepts:</w:t>
      </w:r>
      <w:r>
        <w:t xml:space="preserve"> projections, precipitation, over, regional, climate;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Too‐stable North Atlantic climate system in CMIP6 experiments undermines precipitation projections in Europe — https://doi.org/10.1002/qj.4999</w:t>
      </w:r>
    </w:p>
    <w:p>
      <w:pPr/>
      <w:r>
        <w:rPr>
          <w:b/>
        </w:rPr>
        <w:t>Shared claim-specific concepts:</w:t>
      </w:r>
      <w:r>
        <w:t xml:space="preserve"> abstract, projections, precipitation, over, analyzed, climate; EU scope visible. This is a provisional connection, not an outcome finding.</w:t>
      </w:r>
    </w:p>
    <w:p>
      <w:pPr>
        <w:pStyle w:val="SourceNote"/>
      </w:pPr>
      <w:r>
        <w:rPr>
          <w:b/>
        </w:rPr>
        <w:t>Available abstract (not full text):</w:t>
      </w:r>
      <w:r>
        <w:t xml:space="preserve"> Abstract This study investigates fluctuations in the spatial pattern of the North Atlantic Oscillation (NAO) during the Industrial Era. NAO variability was analyzed over successive 30‐year periods, clustering its spatial patterns using two metrics: the gradient (g) between its action centres and flux direction (fd). Three distinct NAO patterns were identified, each exhibiting significant implications for NAO–precipitation modulation in the North Atlantic region. Coupled Model Intercomparison Project (CMIP6) climate models were evaluated for their ability to replicate these observed patterns. While many models accurately reproduce all three patterns, they frequently misinterpret their frequencies, favouring a disproportionately stable NAO. This bias, consistent across historical, natural‐only, and greenhouse gas forcings (GHG only), as well as piControl simulations, appears intrinsic to the models. This misinterpretation is significantly reduced in ssp585 scenarios, suggesting a potential link between forcing levels and improved multidecadal NAO variability in models. The occurrence of those different NAO patterns introduces uncertainty in precipitation projections, as this bias can persist in future scenarios. These findings highlight the need for improved model representation of NAO spatial variability to enhance the reliability of precipitation projections, particularly for E</w:t>
      </w:r>
    </w:p>
    <w:p>
      <w:pPr/>
      <w:r>
        <w:rPr>
          <w:b/>
        </w:rPr>
        <w:t>POSSIBLE 2025:</w:t>
      </w:r>
      <w:r>
        <w:t xml:space="preserve"> Decadal predictions outperform climate projections in forecasting Mediterranean wintertime precipitation — https://doi.org/10.1088/1748-9326/adb59e</w:t>
      </w:r>
    </w:p>
    <w:p>
      <w:pPr/>
      <w:r>
        <w:rPr>
          <w:b/>
        </w:rPr>
        <w:t>Shared claim-specific concepts:</w:t>
      </w:r>
      <w:r>
        <w:t xml:space="preserve"> abstract, projections, precipitation, over, ensemble, climate; EU scope visible. This is a provisional connection, not an outcome finding.</w:t>
      </w:r>
    </w:p>
    <w:p>
      <w:pPr>
        <w:pStyle w:val="SourceNote"/>
      </w:pPr>
      <w:r>
        <w:rPr>
          <w:b/>
        </w:rPr>
        <w:t>Available abstract (not full text):</w:t>
      </w:r>
      <w:r>
        <w:t xml:space="preserve"> Abstract The Mediterranean region is highly sensitive to climate change, having experienced an intense warming and drying trend in recent decades. In the context of decision-making processes, there is growing interest in understanding the near-term climate evolution of this region. Climate change projections consistently indicate that Southern Europe and the Mediterranean region will undergo significantly drier conditions in the latter half of the 21st century. However, in considering the upcoming decade, a critical question arises: Are climate change projections the best product for understanding climate evolution in the near future? This is a matter of great importance for numerous stakeholders and decision-makers. In this study, using retrospective forecasts from eight decadal prediction systems contributing to the CMIP6 Decadal Climate Prediction Project and the corresponding ensemble of non-initialized simulations (historical and projections), we compare the capabilities of the state-of-the-art climate models in predicting the near-term climate anomalies of the wintertime Mediterranean region for some key quantities, also assessing the added value of initialization. Our findings indicate the superior performance of the decadal predictions, exhibiting higher skill than uninitialized historical simulations and projections, particularly over the North Atlantic subpolar gyre f</w:t>
      </w:r>
    </w:p>
    <w:p>
      <w:pPr/>
      <w:r>
        <w:rPr>
          <w:b/>
        </w:rPr>
        <w:t>POSSIBLE 2024:</w:t>
      </w:r>
      <w:r>
        <w:t xml:space="preserve"> Reversal of Projected European Summer Precipitation Decline in a Stabilizing Climate — https://doi.org/10.1029/2023gl107448</w:t>
      </w:r>
    </w:p>
    <w:p>
      <w:pPr/>
      <w:r>
        <w:rPr>
          <w:b/>
        </w:rPr>
        <w:t>Shared claim-specific concepts:</w:t>
      </w:r>
      <w:r>
        <w:t xml:space="preserve"> abstract, projections, precipitation, over, climate; EU scope visible. This is a provisional connection, not an outcome finding.</w:t>
      </w:r>
    </w:p>
    <w:p>
      <w:pPr>
        <w:pStyle w:val="SourceNote"/>
      </w:pPr>
      <w:r>
        <w:rPr>
          <w:b/>
        </w:rPr>
        <w:t>Available abstract (not full text):</w:t>
      </w:r>
      <w:r>
        <w:t xml:space="preserve"> Abstract Precipitation projections in transient climate change scenarios have been extensively studied over multiple climate model generations. Although these simulations have also been used to make projections at specific Global Warming Levels (GWLs), dedicated simulations are more appropriate to study changes in a stabilizing climate. Here, we analyze precipitation projections in six multi‐century experiments with fixed atmospheric concentrations of greenhouse gases, conducted with the UK Earth System Model and which span a range of GWLs between 1.5 and 5°C of warming. Regions are identified where the sign of precipitation trends in high‐emission transient projections is reversed in the stabilization experiments. For example, stabilization reverses a summertime precipitation decline across Europe. This precipitation recovery occurs concurrently with changes in the pattern of Atlantic sea surface temperature trends due to a slow recovery of the Atlantic Meridional Overturning Circulation in the stabilization experiments, along with changes in humidity and atmospheric circulation.</w:t>
      </w:r>
    </w:p>
    <w:p>
      <w:pPr/>
      <w:r>
        <w:rPr>
          <w:b/>
        </w:rPr>
        <w:t>POSSIBLE 2024:</w:t>
      </w:r>
      <w:r>
        <w:t xml:space="preserve"> Constraints on regional projections of mean and extreme precipitation under warming — https://doi.org/10.1073/pnas.2312400121</w:t>
      </w:r>
    </w:p>
    <w:p>
      <w:pPr/>
      <w:r>
        <w:rPr>
          <w:b/>
        </w:rPr>
        <w:t>Shared claim-specific concepts:</w:t>
      </w:r>
      <w:r>
        <w:t xml:space="preserve"> projections, precipitation, over, regional, climate; EU scope not established. This is a provisional connection, not an outcome finding.</w:t>
      </w:r>
    </w:p>
    <w:p>
      <w:pPr>
        <w:pStyle w:val="SourceNote"/>
      </w:pPr>
      <w:r>
        <w:rPr>
          <w:b/>
        </w:rPr>
        <w:t>Available abstract (not full text):</w:t>
      </w:r>
      <w:r>
        <w:t xml:space="preserve"> The projected changes in the hydrological cycle under global warming remain highly uncertain across current climate models. Here, we demonstrate that the observational past warming trend can be utilized to effectively co1nstrain future projections in mean and extreme precipitation on both global and regional scales. The physical basis for such constraints relies on the relatively constant climate sensitivity in individual models and the reasonable consistency of regional hydrological sensitivity among the models, which is dominated and regulated by the increases in atmospheric moisture. For the high-emission scenario, on the global average, the projected changes in mean precipitation are lowered from 6.9 to 5.2% and those in extreme precipitation from 24.5 to 18.1%, with the inter-model variances reduced by 31.0 and 22.7%, respectively. Moreover, the constraint can be applied to regions in middle-to-high latitudes, particularly over land. These constraints result in spatially resolved corrections that deviate substantially and inhomogeneously from the global mean corrections. This study provides regionally constrained hydrological responses over the globe, with direct implications for climate adaptation in specific areas.</w:t>
      </w:r>
    </w:p>
    <w:p>
      <w:pPr/>
      <w:r>
        <w:rPr>
          <w:b/>
        </w:rPr>
        <w:t>POSSIBLE 2024:</w:t>
      </w:r>
      <w:r>
        <w:t xml:space="preserve"> Spatial Modeling and Future Projection of Extreme Precipitation Extents — https://doi.org/10.1080/01621459.2024.2408045</w:t>
      </w:r>
    </w:p>
    <w:p>
      <w:pPr/>
      <w:r>
        <w:rPr>
          <w:b/>
        </w:rPr>
        <w:t>Shared claim-specific concepts:</w:t>
      </w:r>
      <w:r>
        <w:t xml:space="preserve"> projections, precipitation, extremes, climate; EU scope not established. This is a provisional connection, not an outcome finding.</w:t>
      </w:r>
    </w:p>
    <w:p>
      <w:pPr>
        <w:pStyle w:val="SourceNote"/>
      </w:pPr>
      <w:r>
        <w:rPr>
          <w:b/>
        </w:rPr>
        <w:t>Available abstract (not full text):</w:t>
      </w:r>
      <w:r>
        <w:t xml:space="preserve"> Extreme precipitation events with large spatial extents may have more severe impacts than localized events as they can lead to widespread flooding. It is debated how climate change may affect the spatial extent of precipitation extremes, whose investigation often directly relies on simulations of precipitation from climate models. Here, we use a different strategy to investigate how future changes in spatial extents of precipitation extremes differ across climate zones and seasons in two river basins (Danube and Mississippi). We rely on observed precipitation extremes while exploiting a physics-based average-temperature covariate, enabling us to project future precipitation extents based on projected temperatures. We include the covariate into newly developed time-varying r-Pareto processes using suitably chosen spatial risk functionals r. This model captures temporal non-stationarity in the spatial dependence structure of precipitation extremes by linking it to the temperature covariate, derived from reanalysis data (ERA5-Land) for model calibration and from bias-corrected climate simulations (CMIP6) for projections. Our results show an increasing trend in the margins, with both significantly positive or negative trend coefficients depending on season and river (sub-)basin. During major rainy seasons, the significant trends indicate that future spatial extreme events will beco</w:t>
      </w:r>
    </w:p>
    <w:p>
      <w:pPr/>
      <w:r>
        <w:rPr>
          <w:b/>
        </w:rPr>
        <w:t>POSSIBLE 2023:</w:t>
      </w:r>
      <w:r>
        <w:t xml:space="preserve"> Historical assessment and future projection of extreme precipitation in CMIP6 models: Global and continental — https://doi.org/10.1002/joc.8077</w:t>
      </w:r>
    </w:p>
    <w:p>
      <w:pPr/>
      <w:r>
        <w:rPr>
          <w:b/>
        </w:rPr>
        <w:t>Shared claim-specific concepts:</w:t>
      </w:r>
      <w:r>
        <w:t xml:space="preserve"> abstract, precipitation, over, ensemble, climate, pathway; EU scope visible. This is a provisional connection, not an outcome finding.</w:t>
      </w:r>
    </w:p>
    <w:p>
      <w:pPr>
        <w:pStyle w:val="SourceNote"/>
      </w:pPr>
      <w:r>
        <w:rPr>
          <w:b/>
        </w:rPr>
        <w:t>Available abstract (not full text):</w:t>
      </w:r>
      <w:r>
        <w:t xml:space="preserve"> Abstract In this study, the new gridded daily precipitation dataset REGEN (Rainfall Estimates on a Gridded Network) was used to verify the performance of 23 global climate models participating in the 6th phase of the Coupled Model Intercomparison Project (CMIP6) in terms of extreme precipitation over global and continents during 1950–2014. Projected changes were also evaluated using CMIP6 multi‐model ensemble (MME) under different Shared Socioeconomic Pathway (SSP) by the end of the 21st century. Although positive biases exist in the climatology of most extreme precipitation indices simulated by the CMIP6 MME compared with observations, most of the CMIP6 models can reproduce the spatial distribution characteristics and temporal evolution trends of global extreme precipitation. The simulation is improved by using the CMIP6 MME, relative to the results from individual models. The projected results showed that in most regions of the world, extreme precipitation will significantly increase in the future, with more significant increase under higher SSPs. By the end of the 21st century, total precipitation of wet days (PRCPTOT), simple daily intensity (SDII), the number of very heavy rain days (R20mm), maximum 1‐day precipitation (Rx1day) and maximum consecutive 5‐day precipitation (Rx5day) over the global will increase by up to 50%, 20%, 70%, 50% and 50%, respectively, under the SSP</w:t>
      </w:r>
    </w:p>
    <w:p>
      <w:pPr/>
      <w:r>
        <w:rPr>
          <w:b/>
        </w:rPr>
        <w:t>POSSIBLE 2023:</w:t>
      </w:r>
      <w:r>
        <w:t xml:space="preserve"> An assessment of CMIP6 climate signals and biases in temperature, precipitation and soil moisture over Europe — https://doi.org/10.1002/joc.8169</w:t>
      </w:r>
    </w:p>
    <w:p>
      <w:pPr/>
      <w:r>
        <w:rPr>
          <w:b/>
        </w:rPr>
        <w:t>Shared claim-specific concepts:</w:t>
      </w:r>
      <w:r>
        <w:t xml:space="preserve"> abstract, projections, precipitation, over, ensemble, regional; EU scope visible. This is a provisional connection, not an outcome finding.</w:t>
      </w:r>
    </w:p>
    <w:p>
      <w:pPr>
        <w:pStyle w:val="SourceNote"/>
      </w:pPr>
      <w:r>
        <w:rPr>
          <w:b/>
        </w:rPr>
        <w:t>Available abstract (not full text):</w:t>
      </w:r>
      <w:r>
        <w:t xml:space="preserve"> Abstract The CMIP6 projections constitute the basis of our latest understanding of the climate response to anthropogenic forcing. However, there is still considerable uncertainty in the projections, especially at the regional scale. One way to constrain the uncertainty is by comparing the models historical climate change signals against observations and investigate the physical reasons for divergences. Here, we assess the signal‐to‐noise ratio (S/N) of surface air temperature (SAT), precipitation (PREC) and soil moisture (SM) over Europe for a set of CMIP6 historical simulations and compare them against the E‐OBS observational product and the ERA5 reanalysis. We found considerable divergences between the CMIP6 ensemble mean S/N and that of E‐OBS and ERA5, as well as between ERA5 and E‐OBS. The latter indicates that the S/N is affected by data coverage. We show that the differences among model signals are associated with different atmospheric circulation responses. We also investigate the potential relationships between the models' signals and climatological biases, and we found evidence that the models with a warm climatological bias in southern Europe tend to have smaller SAT signals (warm less). Finally, we found no apparent relationship between SM biases and the warming signal, suggesting that the mechanism by which SM–atmosphere interactions affect climate variability does </w:t>
      </w:r>
    </w:p>
    <w:p>
      <w:pPr/>
      <w:r>
        <w:rPr>
          <w:b/>
        </w:rPr>
        <w:t>POSSIBLE 2023:</w:t>
      </w:r>
      <w:r>
        <w:t xml:space="preserve"> Assessment of Precipitation and Hydrological Droughts in South America through Statistically Downscaled CMIP6 Projections — https://doi.org/10.3390/cli11080166</w:t>
      </w:r>
    </w:p>
    <w:p>
      <w:pPr/>
      <w:r>
        <w:rPr>
          <w:b/>
        </w:rPr>
        <w:t>Shared claim-specific concepts:</w:t>
      </w:r>
      <w:r>
        <w:t xml:space="preserve"> projections, precipitation, over, continent, climate; EU scope not established. This is a provisional connection, not an outcome finding.</w:t>
      </w:r>
    </w:p>
    <w:p>
      <w:pPr>
        <w:pStyle w:val="SourceNote"/>
      </w:pPr>
      <w:r>
        <w:rPr>
          <w:b/>
        </w:rPr>
        <w:t>Available abstract (not full text):</w:t>
      </w:r>
      <w:r>
        <w:t xml:space="preserve"> Drought events are critical environmental threats that yield several socioeconomic impacts. Such effects are even more relevant for South America (SA) since different activities essential for the continent, such as agriculture and energy generation, depend highly on water resources. Thus, this study aimed to evaluate future changes in precipitation and hydrological drought occurrence in SA through climate projections from eight global climate models (GCMs) of CMIP6. To this end, statistical downscaling was applied to the projections obtained using the quantile delta mapping technique, and the method proved to be efficient in reducing systematic biases and preserving GCMs’ trends. For the following decades, the results show considerable and statistically significant reductions in precipitation over most of SA, especially during the austral spring, with the most intense signal under the SSP5-8.5 forcing scenario. Furthermore, GCMs showed mixed signals about projections of the frequency and intensity of drought events. Still, they indicated agreement regarding the increased duration and severity of events over the continent and a substantial proportion of moderate and severe events over most of Brazil during the 21st century. These results can be helpful for better management of water resources by decision-makers and energy planners.</w:t>
      </w:r>
    </w:p>
    <w:p>
      <w:pPr/>
      <w:r>
        <w:rPr>
          <w:b/>
        </w:rPr>
        <w:t>POSSIBLE 2022:</w:t>
      </w:r>
      <w:r>
        <w:t xml:space="preserve"> The Role of the North Atlantic Oscillation for Projections of Winter Mean Precipitation in Europe — https://doi.org/10.1029/2022gl099083</w:t>
      </w:r>
    </w:p>
    <w:p>
      <w:pPr/>
      <w:r>
        <w:rPr>
          <w:b/>
        </w:rPr>
        <w:t>Shared claim-specific concepts:</w:t>
      </w:r>
      <w:r>
        <w:t xml:space="preserve"> abstract, projections, precipitation, extremes, multimodel, ensemble; EU scope visible. This is a provisional connection, not an outcome finding.</w:t>
      </w:r>
    </w:p>
    <w:p>
      <w:pPr>
        <w:pStyle w:val="SourceNote"/>
      </w:pPr>
      <w:r>
        <w:rPr>
          <w:b/>
        </w:rPr>
        <w:t>Available abstract (not full text):</w:t>
      </w:r>
      <w:r>
        <w:t xml:space="preserve"> Abstract Climate models generally project an increase in the winter North Atlantic Oscillation (NAO) index under a future high‐emissions scenario, alongside an increase in winter precipitation in northern Europe and a decrease in southern Europe. The extent to which future forced NAO trends are important for European winter precipitation trends and their uncertainty remains unclear. We show using the Multimodel Large Ensemble Archive that the NAO plays a small role in northern European mean winter precipitation projections for 2080–2099. Conversely, half of the model uncertainty in southern European mean winter precipitation projections is potentially reducible through improved understanding of the NAO projections. Extreme positive NAO winters increase in frequency in most models as a consequence of mean NAO changes. These extremes also have more severe future precipitation impacts, largely because of mean precipitation changes. This has implications for future resilience to extreme positive NAO winters, which frequently have severe societal impacts.</w:t>
      </w:r>
    </w:p>
    <w:p>
      <w:pPr>
        <w:pStyle w:val="Heading2"/>
      </w:pPr>
      <w:r>
        <w:t>807. Realising transition pathways for a more electric, low-carbon energy system in the United Kingdom: Challenges, insights and opportunities</w:t>
      </w:r>
    </w:p>
    <w:p>
      <w:pPr>
        <w:pStyle w:val="SourceNote"/>
      </w:pPr>
      <w:r>
        <w:rPr>
          <w:b/>
        </w:rPr>
        <w:t>Original source (2017):</w:t>
      </w:r>
      <w:r>
        <w:t xml:space="preserve"> https://doi.org/10.1177/0957650917695448</w:t>
      </w:r>
    </w:p>
    <w:p>
      <w:pPr/>
      <w:r>
        <w:t>Original wording (abstract; indexed_source_text_not_full_document_verified): The United Kingdom has placed itself on a transition towards a low-carbon economy and society, through the imposition of a legally-binding goal aimed at reducing its ‘greenhouse gas’ emissions by 80% by 2050 against a 1990 baseline. This provided a basis for integrating the analysis within a whole systems framework of electricity system development, together with the evaluation of future economic benefits, costs and uncertainties.</w:t>
      </w:r>
    </w:p>
    <w:p>
      <w:pPr/>
      <w:r>
        <w:rPr>
          <w:b/>
        </w:rPr>
        <w:t>POSSIBLE 2026:</w:t>
      </w:r>
      <w:r>
        <w:t xml:space="preserve"> Open-Source AI and Market Competition: Why the United Kingdom Is Well Placed to Promote Openness as Competition Policy — https://doi.org/10.2139/ssrn.7431620</w:t>
      </w:r>
    </w:p>
    <w:p>
      <w:pPr/>
      <w:r>
        <w:rPr>
          <w:b/>
        </w:rPr>
        <w:t>Shared claim-specific concepts:</w:t>
      </w:r>
      <w:r>
        <w:t xml:space="preserve"> united, kingdom, placed;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The Law of Treaty Withdrawal in the United Kingdom — https://doi.org/10.4324/9781003712633-7</w:t>
      </w:r>
    </w:p>
    <w:p>
      <w:pPr/>
      <w:r>
        <w:rPr>
          <w:b/>
        </w:rPr>
        <w:t>Shared claim-specific concepts:</w:t>
      </w:r>
      <w:r>
        <w:t xml:space="preserve"> united, kingdom, placed, framework; EU scope visible. This is a provisional connection, not an outcome finding.</w:t>
      </w:r>
    </w:p>
    <w:p>
      <w:pPr>
        <w:pStyle w:val="SourceNote"/>
      </w:pPr>
      <w:r>
        <w:rPr>
          <w:b/>
        </w:rPr>
        <w:t>Available abstract (not full text):</w:t>
      </w:r>
      <w:r>
        <w:t xml:space="preserve"> Constitutional law in the United Kingdom has traditionally placed processes relating to international treaties in the hands of the executive. Although there has been considerable political pressure and reform of the process surrounding the ratification of treaties, until R (Miller) v Secretary of State for Exiting the European Union , the process surrounding treaty withdrawal had not been given as much attention. This chapter analyses the approach in UK constitutional law to treaty withdrawal and assesses how this interacts with the law of treaty withdrawal on the international plane. Drawing on comparative case studies from other jurisdictions, international case law, and the experience of the Brexit process, it is shown how treaty withdrawal should not simply be treated as the inverse of treaty ratification in domestic law. The first section of this chapter assesses how the decision to denounce a treaty on the international plane is made. The second section looks at the domestic legal framework on treaties, which highlights the paucity of controls in respect of treaty withdrawal. The final part of this chapter sets out the case for reforming domestic law in relation to treaty withdrawal, in relation to both incorporated and unincorporated treaties, highlighting the gaps in relation to the protection of rights and the tensions that this could raise with the devolved parliament</w:t>
      </w:r>
    </w:p>
    <w:p>
      <w:pPr/>
      <w:r>
        <w:rPr>
          <w:b/>
        </w:rPr>
        <w:t>POSSIBLE 2025:</w:t>
      </w:r>
      <w:r>
        <w:t xml:space="preserve"> United Kingdom — https://doi.org/10.1093/9780197758847.003.0031</w:t>
      </w:r>
    </w:p>
    <w:p>
      <w:pPr/>
      <w:r>
        <w:rPr>
          <w:b/>
        </w:rPr>
        <w:t>Shared claim-specific concepts:</w:t>
      </w:r>
      <w:r>
        <w:t xml:space="preserve"> united, kingdom, placed, within; EU scope not established. This is a provisional connection, not an outcome finding.</w:t>
      </w:r>
    </w:p>
    <w:p>
      <w:pPr>
        <w:pStyle w:val="SourceNote"/>
      </w:pPr>
      <w:r>
        <w:rPr>
          <w:b/>
        </w:rPr>
        <w:t>Available abstract (not full text):</w:t>
      </w:r>
      <w:r>
        <w:t xml:space="preserve"> Abstract Improving outcomes for care leavers has been high on the policy agenda across the United Kingdom. This chapter provides a synopsis of these developments, which are oriented toward facilitating more extended and gradual transitions into adulthood and include statutory duties to assess youth’s support needs, allocate a personal adviser (aftercare worker) to provide or coordinate support, offer extended foster care post-18 (and extended residential placements in Scotland), and offer access to aftercare support up to 25 (or 26 years in Scotland). Drawing on a rich body of research in each nation, including participatory and coproduced studies with care experienced youth, findings illuminate significant gaps in implementation of reforms and the persistence of inequalities in outcomes within the care experienced community, and compared to the general population. Barriers to implementation include budget constraints, a shortage of suitable accommodation, high thresholds for access to services;, and limited investment to support implementation of reforms and to facilitate a cultural shift away from practice focused on preparing youth to be “independent” and toward broader support for interdependence in early adulthood. The situation in the United Kingdom highlights that legislation and policy guidance are not sufficient in themselves. At the micro level greater emphasis needs </w:t>
      </w:r>
    </w:p>
    <w:p>
      <w:pPr/>
      <w:r>
        <w:rPr>
          <w:b/>
        </w:rPr>
        <w:t>POSSIBLE 2025:</w:t>
      </w:r>
      <w:r>
        <w:t xml:space="preserve"> The United Kingdom — https://doi.org/10.1017/9781009665872.008</w:t>
      </w:r>
    </w:p>
    <w:p>
      <w:pPr/>
      <w:r>
        <w:rPr>
          <w:b/>
        </w:rPr>
        <w:t>Shared claim-specific concepts:</w:t>
      </w:r>
      <w:r>
        <w:t xml:space="preserve"> united, kingdom, within; EU scope not established. This is a provisional connection, not an outcome finding.</w:t>
      </w:r>
    </w:p>
    <w:p>
      <w:pPr>
        <w:pStyle w:val="SourceNote"/>
      </w:pPr>
      <w:r>
        <w:rPr>
          <w:b/>
        </w:rPr>
        <w:t>Available abstract (not full text):</w:t>
      </w:r>
      <w:r>
        <w:t xml:space="preserve"> This chapter explores the pronounced divide in England’s environmental and social policy implementation, painting a highly diverse picture of policy triage across organizations. The Environment Agency, initially envisaged as an integrated “one-stop shop,” now exemplifies frequent and severe triage. Chronic underfunding, staff attrition, and politically induced blame-shifting in combination with ever-increasing workloads undermine its monitoring, enforcement, and crisis-preparedness functions. In contrast, most local authorities sustain only moderate triage levels, where increasing implementations tasks are mitigated by a broader range of financing avenues and political networks. In the social sector, the Department for Work and Pensions displays striking levels of triage despite minimal formal policy growth, as unrelenting welfare reforms, departmental downsizing, and inadequate cross-agency collaboration spur severe and frequent trade-offs. Meanwhile, The Pensions Regulator remains a near-anomaly, effectively managing regulatory expansion. The English case study thus underscores how variation in blame-shifting, opportunities for resource mobilization, and organizational overload compensation can yield a highly diverse triage scenario — even within a country.</w:t>
      </w:r>
    </w:p>
    <w:p>
      <w:pPr/>
      <w:r>
        <w:rPr>
          <w:b/>
        </w:rPr>
        <w:t>POSSIBLE 2025:</w:t>
      </w:r>
      <w:r>
        <w:t xml:space="preserve"> New developments in optometric training in the United Kingdom — https://doi.org/10.1080/08164622.2024.2448242</w:t>
      </w:r>
    </w:p>
    <w:p>
      <w:pPr/>
      <w:r>
        <w:rPr>
          <w:b/>
        </w:rPr>
        <w:t>Shared claim-specific concepts:</w:t>
      </w:r>
      <w:r>
        <w:t xml:space="preserve"> united, kingdom, placed, systems, framework; EU scope not established. This is a provisional connection, not an outcome finding.</w:t>
      </w:r>
    </w:p>
    <w:p>
      <w:pPr>
        <w:pStyle w:val="SourceNote"/>
      </w:pPr>
      <w:r>
        <w:rPr>
          <w:b/>
        </w:rPr>
        <w:t>Available abstract (not full text):</w:t>
      </w:r>
      <w:r>
        <w:t xml:space="preserve"> With optometrists well placed to address the challenges and opportunities faced by contemporary eye care systems, it is ever more important to understand the genesis and development of the profession, so that optometrists can continue to build on this legacy for patient benefit. While the optometry profession of optometry in the United Kingdom can arguably trace its foundation back to 1629 and the Royal Charter gifted by Charles I to the Worshipful Company of Spectacle Makers to establish the 60th Livery Company of the City of London, the genesis of optometry as an independent profession (initially known as ‘ophthalmic optics’) can perhaps best be attributed to the formation of the British Optical Association in 1895. This paper reviews the current legal framework and recent changes that dictates how the optometry profession are trained and practice, along with clinical and educational innovations that are shaping the future role of the profession.</w:t>
      </w:r>
    </w:p>
    <w:p>
      <w:pPr/>
      <w:r>
        <w:rPr>
          <w:b/>
        </w:rPr>
        <w:t>POSSIBLE 2024:</w:t>
      </w:r>
      <w:r>
        <w:t xml:space="preserve"> Teaching-Track Economists in the United Kingdom — https://doi.org/10.1257/pandp.20241034</w:t>
      </w:r>
    </w:p>
    <w:p>
      <w:pPr/>
      <w:r>
        <w:rPr>
          <w:b/>
        </w:rPr>
        <w:t>Shared claim-specific concepts:</w:t>
      </w:r>
      <w:r>
        <w:t xml:space="preserve"> united, kingdom, placed; EU scope not established. This is a provisional connection, not an outcome finding.</w:t>
      </w:r>
    </w:p>
    <w:p>
      <w:pPr>
        <w:pStyle w:val="SourceNote"/>
      </w:pPr>
      <w:r>
        <w:rPr>
          <w:b/>
        </w:rPr>
        <w:t>Available abstract (not full text):</w:t>
      </w:r>
      <w:r>
        <w:t xml:space="preserve"> In this companion paper to Arico et al (2024), we use a mixed-methods approach to characterize teaching-track faculty positions in the United Kingdom. We find these roles are more prevalent in the United Kingdom compared to the United States or Canada, and notably more oriented toward scholarship and administration duties. A high value is placed by role holders on the existence of formal networks that connect teaching-track economists across universities. We provide some context to help understand these findings, which will be relevant for academics considering these roles as well as department and university leaders.</w:t>
      </w:r>
    </w:p>
    <w:p>
      <w:pPr/>
      <w:r>
        <w:rPr>
          <w:b/>
        </w:rPr>
        <w:t>POSSIBLE 2024:</w:t>
      </w:r>
      <w:r>
        <w:t xml:space="preserve"> Racialization and Sexual Modernity in the United Kingdom — https://doi.org/10.1215/10642684-11331018</w:t>
      </w:r>
    </w:p>
    <w:p>
      <w:pPr/>
      <w:r>
        <w:rPr>
          <w:b/>
        </w:rPr>
        <w:t>Shared claim-specific concepts:</w:t>
      </w:r>
      <w:r>
        <w:t xml:space="preserve"> united, kingdom, placed, against, systems; EU scope visible. This is a provisional connection, not an outcome finding.</w:t>
      </w:r>
    </w:p>
    <w:p>
      <w:pPr>
        <w:pStyle w:val="SourceNote"/>
      </w:pPr>
      <w:r>
        <w:rPr>
          <w:b/>
        </w:rPr>
        <w:t>Available abstract (not full text):</w:t>
      </w:r>
      <w:r>
        <w:t xml:space="preserve"> Sita Balani's first single-authored monograph, Deadly and Slick: Sexual Modernity and the Making of Race, is an exploration of the co-constitution of race and sexuality primarily based on the British Empire and contemporary United Kingdom. The title derives from the description by Cedric J. Robinson (2007: 4) that “race is mercurial—deadly and slick” in the book Forgeries of Memory and Meaning. Grounded in the tradition of British cultural studies, the book is divided into eight chapters, arguing that it is the co-imbrication of the development and management of sexual modernity and racialization that gives race its “slickness” and durability. Many scholars like Kimberlé Crenshaw (1991), Anjali Arondekar (2009), Ann Laura Stoler (2010), and Maria Lugones (2007) have argued that gender and race are co-constitutive in their productions and should not be taken as discrete categories of analysis, so this work seems to be a contribution to a well-established field of feminist scholarship. Deadly and Slick is well suited for undergraduate curriculums as an introduction to questions of gender, sexual modernity, and racialization.Balani relies on literary fiction, Netflix series, and secondary historical texts to present a cultural critique of shifting racial-gendered formations, swiftly moving across different sites and time periods. The book begins with sexual modernity as rooted in </w:t>
      </w:r>
    </w:p>
    <w:p>
      <w:pPr/>
      <w:r>
        <w:rPr>
          <w:b/>
        </w:rPr>
        <w:t>POSSIBLE 2023:</w:t>
      </w:r>
      <w:r>
        <w:t xml:space="preserve"> FORWARD Study of GORE VIABAHN Balloon-Expandable Endoprostheses and Bare Metal Stents in the United States, European Union, United Kingdom, Australia, and New Zealand When Placed to Treat Complex Iliac Occlusive Disease: Protocol for a Randomized Superiority Trial — https://doi.org/10.2196/51480</w:t>
      </w:r>
    </w:p>
    <w:p>
      <w:pPr/>
      <w:r>
        <w:rPr>
          <w:b/>
        </w:rPr>
        <w:t>Shared claim-specific concepts:</w:t>
      </w:r>
      <w:r>
        <w:t xml:space="preserve"> united, kingdom, placed, baseline; EU scope visible. This is a provisional connection, not an outcome finding.</w:t>
      </w:r>
    </w:p>
    <w:p>
      <w:pPr>
        <w:pStyle w:val="SourceNote"/>
      </w:pPr>
      <w:r>
        <w:rPr>
          <w:b/>
        </w:rPr>
        <w:t>Available abstract (not full text):</w:t>
      </w:r>
      <w:r>
        <w:t xml:space="preserve"> BACKGROUND: The recommendations for the use of and selection of covered stent grafts in patients with aortoiliac occlusive disease are limited. OBJECTIVE: The GORE VBX FORWARD clinical study aims to demonstrate the superiority of the GORE VIABAHN VBX Balloon Expandable Endoprosthesis (VBX device) for primary patency when compared to bare metal stenting (BMS) for the treatment of complex iliac artery occlusive disease. METHODS: A prospective, multicenter, randomized control study in the United States, European Union, United Kingdom, Australia, and New Zealand will enroll patients with symptomatic, complex iliac artery occlusive disease. In this study, iliac artery occlusive disease is defined as a unilateral or bilateral disease with single or multiple lesions (with &gt;50% stenosis or chronic total occlusion) each between 4 and 11 cm in length. In an attempt to more closely match real-world practices, patients with minor tissue loss (Rutherford class 5) and patients requiring hemodialysis will be included. Baseline aortoiliac angiography will be performed to assess target lesion characteristics and determine final patient eligibility. Once the patient is confirmed and guidewires are in place across the target lesions, the patient will be randomized in a 1:1 format to treatment with either the VBX device or a BMS. The BMS can be balloon- or self-expanding and must be approved for t</w:t>
      </w:r>
    </w:p>
    <w:p>
      <w:pPr/>
      <w:r>
        <w:rPr>
          <w:b/>
        </w:rPr>
        <w:t>POSSIBLE 2023:</w:t>
      </w:r>
      <w:r>
        <w:t xml:space="preserve"> Hybrid warfare management of the United Kingdom — https://doi.org/10.5937/nabepo28-43140</w:t>
      </w:r>
    </w:p>
    <w:p>
      <w:pPr/>
      <w:r>
        <w:rPr>
          <w:b/>
        </w:rPr>
        <w:t>Shared claim-specific concepts:</w:t>
      </w:r>
      <w:r>
        <w:t xml:space="preserve"> united, kingdom, placed, within; EU scope not established. This is a provisional connection, not an outcome finding.</w:t>
      </w:r>
    </w:p>
    <w:p>
      <w:pPr>
        <w:pStyle w:val="SourceNote"/>
      </w:pPr>
      <w:r>
        <w:rPr>
          <w:b/>
        </w:rPr>
        <w:t>Available abstract (not full text):</w:t>
      </w:r>
      <w:r>
        <w:t xml:space="preserve"> The United Kingdom achieves national security by acting in accordance with the Fusion Doctrine, as a new approach to national security that should ensure the integration of all resources of national power. The Fusion Doctrine was officially accepted in 2021 within the new national security strategy. The new strategy integrated defence, security and foreign policies into a single act which reflects the Fusion Doctrine in the best manner. The new approach to security led to organizational changes of the entire state administration system, as well as within individual departments. Special emphasis was placed on the efficient coordination of the complex state apparatus.</w:t>
      </w:r>
    </w:p>
    <w:p>
      <w:pPr/>
      <w:r>
        <w:rPr>
          <w:b/>
        </w:rPr>
        <w:t>POSSIBLE 2023:</w:t>
      </w:r>
      <w:r>
        <w:t xml:space="preserve"> United Kingdom — https://doi.org/10.5089/9798400248627.002</w:t>
      </w:r>
    </w:p>
    <w:p>
      <w:pPr/>
      <w:r>
        <w:rPr>
          <w:b/>
        </w:rPr>
        <w:t>Shared claim-specific concepts:</w:t>
      </w:r>
      <w:r>
        <w:t xml:space="preserve"> united, kingdom, transition, against; EU scope not established. This is a provisional connection, not an outcome finding.</w:t>
      </w:r>
    </w:p>
    <w:p>
      <w:pPr>
        <w:pStyle w:val="SourceNote"/>
      </w:pPr>
      <w:r>
        <w:rPr>
          <w:b/>
        </w:rPr>
        <w:t>Available abstract (not full text):</w:t>
      </w:r>
      <w:r>
        <w:t xml:space="preserve"> The 2023 Article IV Consultation with the United Kingdom discusses that market stress following the September 2022 “mini-budget” has dissipated, in the context of a successful financial stability intervention by the Bank of England (BoE) and two prudent budgets. The post-pandemic recovery was disrupted by the sharp energy price shock due to Russia’s war in Ukraine; labor force participation has declined, mainly because of rising long-term illness; and large policy rate increases—needed to arrest high and sticky inflation—have tightened financial conditions. The overarching policy objectives are price and financial stability, while reforming the fiscal and financial frameworks, and boosting sustainable, medium-term growth. Monetary Policy will need to be tightened further to arrest inflationary pressures, which have shown greater-than-expected persistence, and durably bring inflation to the 2 percent target. Fiscal Policy should remain aligned with monetary policy in the fight against inflation and account for very significant medium-term pressures related to service delivery (especially healthcare), and needed investments in skills, innovation, infrastructure, and the green transition.</w:t>
      </w:r>
    </w:p>
    <w:p>
      <w:pPr/>
      <w:r>
        <w:rPr>
          <w:b/>
        </w:rPr>
        <w:t>POSSIBLE 2023:</w:t>
      </w:r>
      <w:r>
        <w:t xml:space="preserve"> Carbon footprint of low-energy buildings in the United Kingdom: Effects of mitigating technological pathways and decarbonization strategies — https://doi.org/10.1016/j.scitotenv.2023.163490</w:t>
      </w:r>
    </w:p>
    <w:p>
      <w:pPr/>
      <w:r>
        <w:rPr>
          <w:b/>
        </w:rPr>
        <w:t>Shared claim-specific concepts:</w:t>
      </w:r>
      <w:r>
        <w:t xml:space="preserve"> united, kingdom, greenhouse, gas, emissions, baseline; EU scope not established. This is a provisional connection, not an outcome finding.</w:t>
      </w:r>
    </w:p>
    <w:p>
      <w:pPr>
        <w:pStyle w:val="SourceNote"/>
      </w:pPr>
      <w:r>
        <w:rPr>
          <w:b/>
        </w:rPr>
        <w:t>Available abstract (not full text):</w:t>
      </w:r>
      <w:r>
        <w:t xml:space="preserve"> There is a limited comprehensive analysis of the effectiveness of adopted carbon mitigation strategies for buildings over their life cycle, that are concerned with temporal perspectives of emissions. Accordingly, this paper explores a life cycle assessment (LCA) to address the concerns regarding mitigating the carbon footprint of a UK timber-frame low-energy dwelling. In particular, it aims to investigate the potential greenhouse gas (GHG) emission reduction in terms of three different heating and ventilation options, and to analyze the influence of decarbonization of electricity production as well as the technological progress of the waste treatment of timber on the building's environmental performance. Thus, the whole life‑carbon of the building case studies was evaluated for a total of eight investigated prospective scenarios, and they were compared to the LCA results of the baseline scenario, where the existing technology and context remained constant over time. Results show that using a compact heat pump would lead to a significant whole life-cycle emission reduction of the dwelling, by 19 %; while GHG emission savings can be reinforced if the assessed systems are employed simultaneously with grid decarbonization, exhibiting a 25 %-60 % reduction compared to the baseline scenario. Moreover, technological changes in the waste treatments of timber products could substantiall</w:t>
      </w:r>
    </w:p>
    <w:p>
      <w:pPr/>
      <w:r>
        <w:rPr>
          <w:b/>
        </w:rPr>
        <w:t>POSSIBLE 2023:</w:t>
      </w:r>
      <w:r>
        <w:t xml:space="preserve"> Determinants of public preferences on low-carbon energy sources: Evidence from the United Kingdom — https://doi.org/10.1016/j.energy.2023.128704</w:t>
      </w:r>
    </w:p>
    <w:p>
      <w:pPr/>
      <w:r>
        <w:rPr>
          <w:b/>
        </w:rPr>
        <w:t>Shared claim-specific concepts:</w:t>
      </w:r>
      <w:r>
        <w:t xml:space="preserve"> united, kingdom, low-carbon; EU scope not established. This is a provisional connection, not an outcome finding.</w:t>
      </w:r>
    </w:p>
    <w:p>
      <w:pPr>
        <w:pStyle w:val="SourceNote"/>
      </w:pPr>
      <w:r>
        <w:rPr>
          <w:b/>
        </w:rPr>
        <w:t>Available abstract (not full text):</w:t>
      </w:r>
      <w:r>
        <w:t xml:space="preserve"> Unavailable</w:t>
      </w:r>
    </w:p>
    <w:p>
      <w:pPr>
        <w:pStyle w:val="Heading2"/>
      </w:pPr>
      <w:r>
        <w:t>808. Scenarios for Chemistry Teacher Training and Practice in Romania in 2030: Views of Chemistry Students</w:t>
      </w:r>
    </w:p>
    <w:p>
      <w:pPr>
        <w:pStyle w:val="SourceNote"/>
      </w:pPr>
      <w:r>
        <w:rPr>
          <w:b/>
        </w:rPr>
        <w:t>Original source (2017):</w:t>
      </w:r>
      <w:r>
        <w:t xml:space="preserve"> https://doi.org/10.13187/ejced.2017.4.797</w:t>
      </w:r>
    </w:p>
    <w:p>
      <w:pPr/>
      <w:r>
        <w:t>Original wording (abstract; indexed_source_text_not_full_document_verified): Four scenarios regarding Chemistry teacher training and practice in Romania in 2030 were developed by using the 2x2 matrix design for scenario writing.The two driving forces taken in account for the design of scenarios were migration and consumerism.In two of the proposed scenarios teachers are trained to teach socioscientific courses at class.One aim of this study was to collect Chemistry students' views on the developed scenarios for Chemistry teacher training and practice in Romania in 2030.From the N=111 students tested, 51.35 % of students selected the most auspicious scenario as the scenario for teacher training and practice in 2030, a scenario which did not include teaching socioscientific courses at class.This result was confirmed to be statistically significant by the Kruskal-Wallis test (p&lt;0.01)and the Mann-Whitney U test (p &lt; 0.01).This made us wonder if the students are aware of the consequences in time of migration and consumerism and if a more comprehensive study was necessary, to identify the predictors for their selection of scenarios.</w:t>
      </w:r>
    </w:p>
    <w:p>
      <w:pPr/>
      <w:r>
        <w:rPr>
          <w:b/>
        </w:rPr>
        <w:t>POSSIBLE 2026:</w:t>
      </w:r>
      <w:r>
        <w:t xml:space="preserve"> The Current Landscape of Ophthalmology Training in Europe — https://doi.org/10.7759/cureus.103487</w:t>
      </w:r>
    </w:p>
    <w:p>
      <w:pPr/>
      <w:r>
        <w:rPr>
          <w:b/>
        </w:rPr>
        <w:t>Shared claim-specific concepts:</w:t>
      </w:r>
      <w:r>
        <w:t xml:space="preserve"> four, training, practice, two; EU scope visible. This is a provisional connection, not an outcome finding.</w:t>
      </w:r>
    </w:p>
    <w:p>
      <w:pPr>
        <w:pStyle w:val="SourceNote"/>
      </w:pPr>
      <w:r>
        <w:rPr>
          <w:b/>
        </w:rPr>
        <w:t>Available abstract (not full text):</w:t>
      </w:r>
      <w:r>
        <w:t xml:space="preserve"> Ophthalmology training across Europe has undergone a significant transformation over the last two decades. Although individual countries retain distinct systems for resident recruitment, training structure, and surgical exposure, the overarching goal has been to converge toward competency-based education guided by the European Board of Ophthalmology (EBO) and the European Union of Medical Specialists (UEMS). This narrative review draws on official EBO and UEMS policy documents, recent peer-reviewed literature, national curricula, and surveys of residents and educators. It examines the structure and duration of training, curriculum reforms, surgical exposure, simulation, fellowship opportunities, and the influence of European legislation on professional mobility. Residency programs in Europe vary in length from four to six years, with considerable heterogeneity in surgical case volume, fellowship opportunities, and access to simulation. The 2024 European Training Requirements (ETR) introduced Entrustable Professional Activities (EPAs), programmatic assessment, and e-portfolios, providing a common reference for national curricula. The EBO Diploma (EBOD) serves as a recognized benchmark for harmonization. Simulation-based cataract training has moved from optional to integral, though adoption remains inconsistent. Pressures such as the European Working Time Directive (EWTD) and the</w:t>
      </w:r>
    </w:p>
    <w:p>
      <w:pPr/>
      <w:r>
        <w:rPr>
          <w:b/>
        </w:rPr>
        <w:t>POSSIBLE 2026:</w:t>
      </w:r>
      <w:r>
        <w:t xml:space="preserve"> The 11th European variety in university chemistry education (EuroVariety) 2025 conference in Kraków, Poland — https://doi.org/10.1515/cti-2026-0058</w:t>
      </w:r>
    </w:p>
    <w:p>
      <w:pPr/>
      <w:r>
        <w:rPr>
          <w:b/>
        </w:rPr>
        <w:t>Shared claim-specific concepts:</w:t>
      </w:r>
      <w:r>
        <w:t xml:space="preserve"> four, chemistry, two; EU scope visible. This is a provisional connection, not an outcome finding.</w:t>
      </w:r>
    </w:p>
    <w:p>
      <w:pPr>
        <w:pStyle w:val="SourceNote"/>
      </w:pPr>
      <w:r>
        <w:rPr>
          <w:b/>
        </w:rPr>
        <w:t>Available abstract (not full text):</w:t>
      </w:r>
      <w:r>
        <w:t xml:space="preserve"> Since the inaugural EuroVariety (European Variety in University Chemistry Education) conference (Figure 1) organised by the European Chemical Society Division of Chemical Education, was held in Kraków in 2005, chemistry educators and chemistry education researchers from across Europe and beyond have convened biennially to discuss emerging issues and developments in higher chemistry education.Each EuroVariety conference provides a collaborative forum for the exchange of ideas, experiences, and innovative pedagogical approaches.A defining characteristic of the this conference has been its strong emphasis on practice-informed chemistry teaching and learning at tertiary level, highlighting effective strategies that have been successfully implemented in diverse academic settings.Over the past two decades, EuroVariety has become an important platform for disseminating educational innovations and fostering dialogue on approaches that extend beyond traditional models of chemistry instruction.Through oral presentations, poster sessions, workshops, and networking opportunities, the conference promotes both the sharing of educational research and the adoption of evidence-based teaching practices that enhance student learning and engagement.In 2025, marking the 20th anniversary of the conference series, EuroVariety returned to its birthplace at the Faculty of Chemistry, Jagiellonian Univer</w:t>
      </w:r>
    </w:p>
    <w:p>
      <w:pPr/>
      <w:r>
        <w:rPr>
          <w:b/>
        </w:rPr>
        <w:t>POSSIBLE 2024:</w:t>
      </w:r>
      <w:r>
        <w:t xml:space="preserve"> Envisioning chemistry education in the anthropocene — https://doi.org/10.24834/isbn.9789178775132</w:t>
      </w:r>
    </w:p>
    <w:p>
      <w:pPr/>
      <w:r>
        <w:rPr>
          <w:b/>
        </w:rPr>
        <w:t>Shared claim-specific concepts:</w:t>
      </w:r>
      <w:r>
        <w:t xml:space="preserve"> four, regarding, chemistry, teacher, developed, two; EU scope visible. This is a provisional connection, not an outcome finding.</w:t>
      </w:r>
    </w:p>
    <w:p>
      <w:pPr>
        <w:pStyle w:val="SourceNote"/>
      </w:pPr>
      <w:r>
        <w:rPr>
          <w:b/>
        </w:rPr>
        <w:t>Available abstract (not full text):</w:t>
      </w:r>
      <w:r>
        <w:t xml:space="preserve"> The urgent and contemporary challenges of the Anthropocene declare humanity’s vulnerability through complex entanglements and uncertainty. The cause-and-effect relationships and temporality are disturbed; and human-decentred views and materiality come to the fore. Consequently, it becomes challenging to find a “common answer” for how to educate. This thesis engages with this challenge as a prospective-generating project and adopts the concept of Anthropocene as a framing in science education research. More specifically, this thesis focuses on school chemistry content and science teachers. The overarching aim of this thesis is to problematise school chemistry knowledge through the perspective of the Anthropocene. The ambition is to create knowledge about school chemistry knowledge when it is situated in the intersection of content, purposes, and relationships, framed by the challenges of the Anthropocene. Therefore, approaches to school chemistry knowledge in the Anthropocene were explored in this research. This overarching aim is addressed through two research purposes. These research purposes are addressed in four individual studies. Each study has its own theoretical and analytical focus and its own set of research questions. The first purpose is to theoretically elaborate desired school chemistry knowledge areas (Articles I and II). The second purpose is to empirically study</w:t>
      </w:r>
    </w:p>
    <w:p>
      <w:pPr/>
      <w:r>
        <w:rPr>
          <w:b/>
        </w:rPr>
        <w:t>POSSIBLE 2024:</w:t>
      </w:r>
      <w:r>
        <w:t xml:space="preserve"> A Focus Group Study on Participatory Practices in Early Childhood Education and Care Across Four European Countries — https://doi.org/10.1080/10409289.2024.2360868</w:t>
      </w:r>
    </w:p>
    <w:p>
      <w:pPr/>
      <w:r>
        <w:rPr>
          <w:b/>
        </w:rPr>
        <w:t>Shared claim-specific concepts:</w:t>
      </w:r>
      <w:r>
        <w:t xml:space="preserve"> four, regarding, practice, teachers; EU scope visible. This is a provisional connection, not an outcome finding.</w:t>
      </w:r>
    </w:p>
    <w:p>
      <w:pPr>
        <w:pStyle w:val="SourceNote"/>
      </w:pPr>
      <w:r>
        <w:rPr>
          <w:b/>
        </w:rPr>
        <w:t>Available abstract (not full text):</w:t>
      </w:r>
      <w:r>
        <w:t xml:space="preserve"> Participation in educational settings is a universal right of every child, consigned by the United Nations Convention on the Rights of the Child. This right encompasses the need to protect and encourage young children´s active participation and decision-making in early childhood education and care. Research Findings: This qualitative study, inspired by the Lundy model (2007), examined ECEC teachers’ (n = 25) and coordinators’ (n = 25) perceptions about participation practices, collected through focus groups conducted in Belgium, Greece, Poland, and Portugal. Participants were previously referred as implementing participatory practices. Results showed that the four dimensions of the Lundy model emerged in teachers’ and coordinators’ group discussions: Participative space, Children’s voice, Audience of children’s perspectives, and Influence. Furthermore, a number of subcategories in each dimension reflected different orientations toward participatory pedagogy. Practice or Policy: This study contributes to informing and inspiring participation practices in ECEC across Europe and to enriching policy discussions regarding children´s participation rights, particularly in the early years. Promising participatory practices were identified in the various dimensions of participation, though some challenges remain, requiring in-depth knowledge about pedagogical practices and the promotion</w:t>
      </w:r>
    </w:p>
    <w:p>
      <w:pPr/>
      <w:r>
        <w:rPr>
          <w:b/>
        </w:rPr>
        <w:t>POSSIBLE 2024:</w:t>
      </w:r>
      <w:r>
        <w:t xml:space="preserve"> Recommendations for the training and practice of fetal cardiology from the Association of European Paediatric Cardiology — https://doi.org/10.1017/s1047951124025885</w:t>
      </w:r>
    </w:p>
    <w:p>
      <w:pPr/>
      <w:r>
        <w:rPr>
          <w:b/>
        </w:rPr>
        <w:t>Shared claim-specific concepts:</w:t>
      </w:r>
      <w:r>
        <w:t xml:space="preserve"> regarding, training, practice, developed; EU scope visible. This is a provisional connection, not an outcome finding.</w:t>
      </w:r>
    </w:p>
    <w:p>
      <w:pPr>
        <w:pStyle w:val="SourceNote"/>
      </w:pPr>
      <w:r>
        <w:rPr>
          <w:b/>
        </w:rPr>
        <w:t>Available abstract (not full text):</w:t>
      </w:r>
      <w:r>
        <w:t xml:space="preserve"> Prenatal detection of cardiac abnormalities has increased significantly over the past few decades, such that fetal cardiology has developed into a sub-specialty of paediatric and congenital cardiology. As this speciality develops further and extends across Europe and more globally, it is important to standardize the requirements for training and subsequent practice, to optimize prenatal diagnosis and perinatal care. In addition to the knowledge and technical skills required to make a correct diagnosis, the counseling of families after diagnosis and the planning of appropriate perinatal management is equally important. The aim of these recommendations is to provide a framework for both basic and advanced training for paediatric cardiologists wishing to practice as fetal cardiologists, as well as highlighting requisites for a fetal cardiology service. All aspects regarding training in fetal cardiology and service provision are addressed including diagnosis, counseling and management.</w:t>
      </w:r>
    </w:p>
    <w:p>
      <w:pPr/>
      <w:r>
        <w:rPr>
          <w:b/>
        </w:rPr>
        <w:t>POSSIBLE 2023:</w:t>
      </w:r>
      <w:r>
        <w:t xml:space="preserve"> Team Chemistry and COVID in European Football — https://doi.org/10.2174/1875399x-v16-e230510-2022-37</w:t>
      </w:r>
    </w:p>
    <w:p>
      <w:pPr/>
      <w:r>
        <w:rPr>
          <w:b/>
        </w:rPr>
        <w:t>Shared claim-specific concepts:</w:t>
      </w:r>
      <w:r>
        <w:t xml:space="preserve"> four, chemistry, two; EU scope visible. This is a provisional connection, not an outcome finding.</w:t>
      </w:r>
    </w:p>
    <w:p>
      <w:pPr>
        <w:pStyle w:val="SourceNote"/>
      </w:pPr>
      <w:r>
        <w:rPr>
          <w:b/>
        </w:rPr>
        <w:t>Available abstract (not full text):</w:t>
      </w:r>
      <w:r>
        <w:t xml:space="preserve"> Objective: This research investigates the influence of team chemistry and COVID on football matches. Methods: This is done by estimating the effect of both chemistryand COVID on match results and analysing the performance of prediction models where both effects are included and threshold intervals are usedfor classification. Four different chemistry measures are introduced and all are evaluated. Results: Chemistry has the expected positive effect on performance only for the top teams in the estimations where interaction effects are included for two different chemistry measures. COVID has the expected mitigating effect on home advantage. The inclusion of both effects in prediction models does not increase prediction accuracy consistently, although for various symmetric threshold intervals the prediction models with chemistry and COVID included outperforming the baseline models. Conclusion: Chemistry can have a positive influence on the perfomrance of a team and empty stadiums due to COVID mitigate the effect of home advantage. Including COVID and chemistry measures based on region in predictions is highly recommended.</w:t>
      </w:r>
    </w:p>
    <w:p>
      <w:pPr/>
      <w:r>
        <w:rPr>
          <w:b/>
        </w:rPr>
        <w:t>POSSIBLE 2023:</w:t>
      </w:r>
      <w:r>
        <w:t xml:space="preserve"> Behavior Analysts’ Training and Practice Regarding Trauma-Informed Care — https://doi.org/10.1007/s40617-023-00836-7</w:t>
      </w:r>
    </w:p>
    <w:p>
      <w:pPr/>
      <w:r>
        <w:rPr>
          <w:b/>
        </w:rPr>
        <w:t>Shared claim-specific concepts:</w:t>
      </w:r>
      <w:r>
        <w:t xml:space="preserve"> regarding, training, practice;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Chemistry, structure and function of approved oligonucleotide therapeutics — https://doi.org/10.1093/nar/gkad067</w:t>
      </w:r>
    </w:p>
    <w:p>
      <w:pPr/>
      <w:r>
        <w:rPr>
          <w:b/>
        </w:rPr>
        <w:t>Shared claim-specific concepts:</w:t>
      </w:r>
      <w:r>
        <w:t xml:space="preserve"> chemistry, two, account, class; EU scope not established. This is a provisional connection, not an outcome finding.</w:t>
      </w:r>
    </w:p>
    <w:p>
      <w:pPr>
        <w:pStyle w:val="SourceNote"/>
      </w:pPr>
      <w:r>
        <w:rPr>
          <w:b/>
        </w:rPr>
        <w:t>Available abstract (not full text):</w:t>
      </w:r>
      <w:r>
        <w:t xml:space="preserve"> Eighteen nucleic acid therapeutics have been approved for treatment of various diseases in the last 25 years. Their modes of action include antisense oligonucleotides (ASOs), splice-switching oligonucleotides (SSOs), RNA interference (RNAi) and an RNA aptamer against a protein. Among the diseases targeted by this new class of drugs are homozygous familial hypercholesterolemia, spinal muscular atrophy, Duchenne muscular dystrophy, hereditary transthyretin-mediated amyloidosis, familial chylomicronemia syndrome, acute hepatic porphyria, and primary hyperoxaluria. Chemical modification of DNA and RNA was central to making drugs out of oligonucleotides. Oligonucleotide therapeutics brought to market thus far contain just a handful of first- and second-generation modifications, among them 2'-fluoro-RNA, 2'-O-methyl RNA and the phosphorothioates that were introduced over 50 years ago. Two other privileged chemistries are 2'-O-(2-methoxyethyl)-RNA (MOE) and the phosphorodiamidate morpholinos (PMO). Given their importance in imparting oligonucleotides with high target affinity, metabolic stability and favorable pharmacokinetic and -dynamic properties, this article provides a review of these chemistries and their use in nucleic acid therapeutics. Breakthroughs in lipid formulation and GalNAc conjugation of modified oligonucleotides have paved the way to efficient delivery and robust, lo</w:t>
      </w:r>
    </w:p>
    <w:p>
      <w:pPr/>
      <w:r>
        <w:rPr>
          <w:b/>
        </w:rPr>
        <w:t>POSSIBLE 2022:</w:t>
      </w:r>
      <w:r>
        <w:t xml:space="preserve"> Reticular Chemistry for Highly Porous Metal–Organic Frameworks: The Chemistry and Applications — https://doi.org/10.1021/acs.accounts.1c00707</w:t>
      </w:r>
    </w:p>
    <w:p>
      <w:pPr/>
      <w:r>
        <w:rPr>
          <w:b/>
        </w:rPr>
        <w:t>Shared claim-specific concepts:</w:t>
      </w:r>
      <w:r>
        <w:t xml:space="preserve"> four, chemistry, developed, design, two, account; EU scope not established. This is a provisional connection, not an outcome finding.</w:t>
      </w:r>
    </w:p>
    <w:p>
      <w:pPr>
        <w:pStyle w:val="SourceNote"/>
      </w:pPr>
      <w:r>
        <w:rPr>
          <w:b/>
        </w:rPr>
        <w:t>Available abstract (not full text):</w:t>
      </w:r>
      <w:r>
        <w:t xml:space="preserve"> Conspectus Current global crises related to clean energy and the environment entail the development of materials that are capable of addressing these challenges. Metal–organic frameworks (MOFs), a class of functional materials assembled from metal-containing nodes and organic ligands via coordination bonds, have been successfully developed for various applications, including catalysis, toxic chemical removal, and gas storage and separation, as a result of their highly tailorable nature and precisely engineered pore structures. In particular, the exceptionally high surface areas and porosities of MOFs are two of their most attractive characteristics and place them among the best porous materials for the storage of clean energy gases, such as hydrogen and methane. Reticular chemistry stands out as a prominent approach to the design of MOFs as this strategy allows for the rational top-down design of frameworks guided by topological nets to afford extended framework structures with precise architectural arrangements at the molecular level. Bridging the gap between reticular chemistry design strategies and highly porous MOFs can facilitate the development of next-generation high-performance materials through state-of-the-art chemical design. In this Account, we summarize our group’s efforts over the past few years toward the synthesis and applications of highly porous MOFs inspired </w:t>
      </w:r>
    </w:p>
    <w:p>
      <w:pPr/>
      <w:r>
        <w:rPr>
          <w:b/>
        </w:rPr>
        <w:t>POSSIBLE 2022:</w:t>
      </w:r>
      <w:r>
        <w:t xml:space="preserve"> Police Training in Practice: Organization and Delivery According to European Law Enforcement Agencies — https://doi.org/10.3389/fpsyg.2021.798067</w:t>
      </w:r>
    </w:p>
    <w:p>
      <w:pPr/>
      <w:r>
        <w:rPr>
          <w:b/>
        </w:rPr>
        <w:t>Shared claim-specific concepts:</w:t>
      </w:r>
      <w:r>
        <w:t xml:space="preserve"> training, practice, two; EU scope visible. This is a provisional connection, not an outcome finding.</w:t>
      </w:r>
    </w:p>
    <w:p>
      <w:pPr>
        <w:pStyle w:val="SourceNote"/>
      </w:pPr>
      <w:r>
        <w:rPr>
          <w:b/>
        </w:rPr>
        <w:t>Available abstract (not full text):</w:t>
      </w:r>
      <w:r>
        <w:t xml:space="preserve"> Police training plays a crucial role in the development of police officers. Because the training of police officers combines various educational components and is governed by organizational guidelines, police training is a complex, multifaceted topic. The current study investigates training at six European law enforcement agencies and aims to identify strengths and challenges of current training organization and practice. We interviewed a total of 16 police instructors and seven police coordinators with conceptual training tasks. A thematic analysis (Braun and Clarke, 2006; Terry et al., 2017) was conducted and results organized in the two main themes evident across all six law enforcement agencies: organization of training and delivery of training. Results show that governmental structures and police executive boards are seen as the primary authorities that define the training framework in which police instructors operate. These administrative structures regulate distant and immediate resources, such as available training time, training facilities, equipment, and personnel. Within the confines of available resources and predetermined training frameworks, results indicate that police instructors thoroughly enjoy teaching, creating supportive and motivating learning environments, and applying their personal learning perspectives to training. Nonetheless, police instructors are c</w:t>
      </w:r>
    </w:p>
    <w:p>
      <w:pPr/>
      <w:r>
        <w:rPr>
          <w:b/>
        </w:rPr>
        <w:t>POSSIBLE 2021:</w:t>
      </w:r>
      <w:r>
        <w:t xml:space="preserve"> The cybersecurity labour shortage in Europe: Moving to a new concept for education and training — https://doi.org/10.1016/j.techsoc.2021.101769</w:t>
      </w:r>
    </w:p>
    <w:p>
      <w:pPr/>
      <w:r>
        <w:rPr>
          <w:b/>
        </w:rPr>
        <w:t>Shared claim-specific concepts:</w:t>
      </w:r>
      <w:r>
        <w:t xml:space="preserve"> training, taken, proposed, courses; EU scope visible. This is a provisional connection, not an outcome finding.</w:t>
      </w:r>
    </w:p>
    <w:p>
      <w:pPr>
        <w:pStyle w:val="SourceNote"/>
      </w:pPr>
      <w:r>
        <w:rPr>
          <w:b/>
        </w:rPr>
        <w:t>Available abstract (not full text):</w:t>
      </w:r>
      <w:r>
        <w:t xml:space="preserve"> Recruiting, retaining and maintaining sufficient numbers of cybersecurity professionals in the workplace is a constant battle, not only for the technical side of cybersecurity, but also for the overlooked area of non-technical, managerial-related jobs in the cyber sector. This paper addresses the lack of cybersecurity skills in the European labour force market and the actions taken to improve the education in cybersecurity for meeting the identified needs. The paper analyses what kind of topics are missing within the cybersecurity curricula of the high-level educational institutions in Europe and in the courses provided by the cybersecurity trainers on the market. The findings are based on the data collected by the surveys carried out by the European competence centres on cybersecurity and the European CyberSecurity organization. These findings show that there are missing topics in the context of higher education cybersecurity programmes and within the private courses offered on the market. The problem of common programme accreditation of European higher education institutes (HEI) and the competence certifications for different work profiles in the area of cybersecurity are briefly presented and discussed as well. The actions undertaken to improve the education in both sectors are presented and the emerging educational landscape is proposed based on our findings. Recommendation</w:t>
      </w:r>
    </w:p>
    <w:p>
      <w:pPr/>
      <w:r>
        <w:rPr>
          <w:b/>
        </w:rPr>
        <w:t>POSSIBLE 2021:</w:t>
      </w:r>
      <w:r>
        <w:t xml:space="preserve"> The Current Perceptions of Practicing Audiologists Regarding the State of Teleaudiology Education and Training — https://openalex.org/W3159985972</w:t>
      </w:r>
    </w:p>
    <w:p>
      <w:pPr/>
      <w:r>
        <w:rPr>
          <w:b/>
        </w:rPr>
        <w:t>Shared claim-specific concepts:</w:t>
      </w:r>
      <w:r>
        <w:t xml:space="preserve"> regarding, training, practice, developed, courses; EU scope not established. This is a provisional connection, not an outcome finding.</w:t>
      </w:r>
    </w:p>
    <w:p>
      <w:pPr>
        <w:pStyle w:val="SourceNote"/>
      </w:pPr>
      <w:r>
        <w:rPr>
          <w:b/>
        </w:rPr>
        <w:t>Available abstract (not full text):</w:t>
      </w:r>
      <w:r>
        <w:t xml:space="preserve"> Telemedicine is the practice of providing medical care remotely, when the patient and the clinician are not meeting face to face (Krumm &amp; Syms, 2012). The practice of telemedicine in audiology is teleaudiology. The purpose of the current study was to determine the current perceptions and experiences audiologists have about teleaudiology practices, education, and training. A 16-question survey was developed using Qualtrics and distributed to audiologists via various social media groups for audiologists online and it consisted of 16 questions. There were 352 respondents. Overall, a large percentage of audiologists do perform teleaudiology services, and most reported their training for teleaudiology was on the job or through workshops. The vast majority of participants (93%) reported that they felt there was a need for teleaudiology education and training, while only about 30% of respondents reported there was adequate teleaudiology education and training in their area. Results were further analyzed for the entire group as well as by various demographic factors such as years of experience, practice setting, etc. to see if those factors influenced responses. The results were highly consistent across subgroups such that the factors did not appear to influence the overall perceptions or practices of participants. The respondents had a chance to make additional comments at the end of </w:t>
      </w:r>
    </w:p>
    <w:p>
      <w:pPr>
        <w:pStyle w:val="Heading2"/>
      </w:pPr>
      <w:r>
        <w:t>809. THE EUROPEAN MIGRATION CRISIS – ECONOMIC AND POLITICAL FACTORS AND CHALLENGES FOR THE FUTURE</w:t>
      </w:r>
    </w:p>
    <w:p>
      <w:pPr>
        <w:pStyle w:val="SourceNote"/>
      </w:pPr>
      <w:r>
        <w:rPr>
          <w:b/>
        </w:rPr>
        <w:t>Original source (2017):</w:t>
      </w:r>
      <w:r>
        <w:t xml:space="preserve"> https://doi.org/10.5755/j01.eis.0.11.18958</w:t>
      </w:r>
    </w:p>
    <w:p>
      <w:pPr/>
      <w:r>
        <w:t>Original wording (abstract; indexed_source_text_not_full_document_verified): The need for tight cooperation and support for the countries affected must lead to the development of a long-term strategy for the future. In 2015 alone, over a million migrants arrived in the EU, creating an urgent need to develop adequate solutions and mechanisms that would help to manage this influx and prevent its negative effects.</w:t>
      </w:r>
    </w:p>
    <w:p>
      <w:pPr/>
      <w:r>
        <w:rPr>
          <w:b/>
        </w:rPr>
        <w:t>POSSIBLE 2026:</w:t>
      </w:r>
      <w:r>
        <w:t xml:space="preserve"> Between North and Europe : A case study of Nordic cooperation during the pandemic — https://openalex.org/W7154931280</w:t>
      </w:r>
    </w:p>
    <w:p>
      <w:pPr/>
      <w:r>
        <w:rPr>
          <w:b/>
        </w:rPr>
        <w:t>Shared claim-specific concepts:</w:t>
      </w:r>
      <w:r>
        <w:t xml:space="preserve"> cooperation, countries, mechanisms; EU scope visible. This is a provisional connection, not an outcome finding.</w:t>
      </w:r>
    </w:p>
    <w:p>
      <w:pPr>
        <w:pStyle w:val="SourceNote"/>
      </w:pPr>
      <w:r>
        <w:rPr>
          <w:b/>
        </w:rPr>
        <w:t>Available abstract (not full text):</w:t>
      </w:r>
      <w:r>
        <w:t xml:space="preserve"> The thesis looks into what the COVID‑19 pandemic reveals about the character of regional order and institutions of the Nordic regional international society. The main argument is that the choice of policy instruments and cooperation practices between the Nordic countries reflects the underlying institutional architecture. The thesis uses the pandemic as a lens to reveal that Nordic cooperation operates within, and is constrained by, a wider European and EU framework. The study adopts an English School perspective, focusing on Nordic regional international society and the primary and secondary institutions within it. The starting point is an established framework of the Scandinavian international society by Laust Schouenborg. In this thesis, secondary institutions and their respective organizational subunits are systematically incorporated in this framework and treated as key to understanding a possible change from Schouenborg’s earlier notions about the regional international society in question. In doing so, the thesis advances English School debates by showing how secondary institutions and their subunits can be analytically integrated into the study of institutional evolution within a regional international society. The institutional change is mostly based on Tonny Brems Knudsen and Kalevi Holsti’s theorizations. Methodologically, the study uses Ludvig Norman’s Interpretive </w:t>
      </w:r>
    </w:p>
    <w:p>
      <w:pPr/>
      <w:r>
        <w:rPr>
          <w:b/>
        </w:rPr>
        <w:t>POSSIBLE 2025:</w:t>
      </w:r>
      <w:r>
        <w:t xml:space="preserve"> Bibliographic Review on Transnational Cooperation in Environmental Issues in European Countries (2010–2025) — https://doi.org/10.3390/earth7010002</w:t>
      </w:r>
    </w:p>
    <w:p>
      <w:pPr/>
      <w:r>
        <w:rPr>
          <w:b/>
        </w:rPr>
        <w:t>Shared claim-specific concepts:</w:t>
      </w:r>
      <w:r>
        <w:t xml:space="preserve"> need, cooperation, countries; EU scope visible. This is a provisional connection, not an outcome finding.</w:t>
      </w:r>
    </w:p>
    <w:p>
      <w:pPr>
        <w:pStyle w:val="SourceNote"/>
      </w:pPr>
      <w:r>
        <w:rPr>
          <w:b/>
        </w:rPr>
        <w:t>Available abstract (not full text):</w:t>
      </w:r>
      <w:r>
        <w:t xml:space="preserve"> Europe is dealing with environmental problems that require cooperation beyond national and regional borders. Air pollution, water pollution, biodiversity loss, and waste management are the major issues that are not only complex but also cross borders. Therefore, it is necessary to provide collaborative responses that go beyond the capacity of individual countries. This inquiry centers on the question of what the best way is to set up and govern the transnational cooperation in Europe to confront these major environmental challenges. A systematic bibliographic review of the research conducted between 2010 and 2025 forms the basis of this work. The research combines semantic analysis and Latent Dirichlet Allocation (LDA) modeling to study 80 selected publications to find the tenets of the themes discussed. The identified topics are urban climate change adaptation and mitigation, climate policy and management, adaptation and vulnerability frameworks, land use and biodiversity impacts, and future climate projections and assessment. The findings show that there are strong synergies between biodiversity and climate adaptation, resilience, and environmental governance, as well as the great influence of climate change on the water management sector. The study has unveiled the significance of institutional policy frameworks in bringing about environmental cooperation across borders. In </w:t>
      </w:r>
    </w:p>
    <w:p>
      <w:pPr/>
      <w:r>
        <w:rPr>
          <w:b/>
        </w:rPr>
        <w:t>POSSIBLE 2024:</w:t>
      </w:r>
      <w:r>
        <w:t xml:space="preserve"> China-Central and Eastern European Countries Cooperation: Challenges and Restart — https://doi.org/10.18485/iipe_dijalozi_kina.2024.4.2.ch20</w:t>
      </w:r>
    </w:p>
    <w:p>
      <w:pPr/>
      <w:r>
        <w:rPr>
          <w:b/>
        </w:rPr>
        <w:t>Shared claim-specific concepts:</w:t>
      </w:r>
      <w:r>
        <w:t xml:space="preserve"> cooperation, countries, must, over; EU scope visible. This is a provisional connection, not an outcome finding.</w:t>
      </w:r>
    </w:p>
    <w:p>
      <w:pPr>
        <w:pStyle w:val="SourceNote"/>
      </w:pPr>
      <w:r>
        <w:rPr>
          <w:b/>
        </w:rPr>
        <w:t>Available abstract (not full text):</w:t>
      </w:r>
      <w:r>
        <w:t xml:space="preserve"> The cooperation mechanism between China and Central and Eastern European countries has achieved significant results over the past 12 years.However, it now faces challenges and adjustments due to changes in the international landscape and factors such as the Russia-Ukraine conflict.The United States' geopolitical influence, various crises within and outside Europe, and the diverse interests of CEEC countries have all had an impact on the cooperation mechanism.At the same time, there is immense potential and opportunity for cooperation in areas such as trade, cultural exchange, and green cooperation.Future cooperation must be revitalised to achieve a win-win outcome through high-level leadership, economic and trade collaboration, and local partnerships.</w:t>
      </w:r>
    </w:p>
    <w:p>
      <w:pPr/>
      <w:r>
        <w:rPr>
          <w:b/>
        </w:rPr>
        <w:t>POSSIBLE 2024:</w:t>
      </w:r>
      <w:r>
        <w:t xml:space="preserve"> Reflections on Economic Governance in the Central European Countries — https://doi.org/10.54237/profnet.2024.znecogov_37</w:t>
      </w:r>
    </w:p>
    <w:p>
      <w:pPr/>
      <w:r>
        <w:rPr>
          <w:b/>
        </w:rPr>
        <w:t>Shared claim-specific concepts:</w:t>
      </w:r>
      <w:r>
        <w:t xml:space="preserve"> need, countries, must, mechanisms; EU scope visible. This is a provisional connection, not an outcome finding.</w:t>
      </w:r>
    </w:p>
    <w:p>
      <w:pPr>
        <w:pStyle w:val="SourceNote"/>
      </w:pPr>
      <w:r>
        <w:rPr>
          <w:b/>
        </w:rPr>
        <w:t>Available abstract (not full text):</w:t>
      </w:r>
      <w:r>
        <w:t xml:space="preserve"> The integration of the European Union is constantly evolving and changing.The economic integration process is becoming increasingly extensive.However, linking national economies to a single system through economic integration involves economic and regulatory problems.1 Coordinating fiscal and monetary policies raises many problems for national, macroeconomic, and European Union (EU) economic policies.These conflicts are reflected in the regulatory level.As economic and social processes change, the integration processes are also in flux.The strengthening or weakening of national sovereignty influences both the deepening and weakening of conflict.However, integration processes must achieve the objective that the primary goal of integration is to ensure security, efficiency, and prosperity for the societies involved.2 The European Council defines what economic governance means.Economic governance is a system of institutions and procedures established to coordinate economic policies and achieve the objectives of the European Union.Therefore, for the EU to maintain a balanced economic situation, Member States' economies must also be free from imbalances.The fundamental aim is to ensure the regulatory framework is conducive to economic growth and low unemployment.This requires ensuring sustainable public finance management and economic growth.The regulatory framework that ensures thi</w:t>
      </w:r>
    </w:p>
    <w:p>
      <w:pPr/>
      <w:r>
        <w:rPr>
          <w:b/>
        </w:rPr>
        <w:t>POSSIBLE 2024:</w:t>
      </w:r>
      <w:r>
        <w:t xml:space="preserve"> Understanding Cooperation in an Intertemporal Context — https://doi.org/10.1287/mnsc.2020.03757</w:t>
      </w:r>
    </w:p>
    <w:p>
      <w:pPr/>
      <w:r>
        <w:rPr>
          <w:b/>
        </w:rPr>
        <w:t>Shared claim-specific concepts:</w:t>
      </w:r>
      <w:r>
        <w:t xml:space="preserve"> cooperation, support, strategy, mechanisms; EU scope visible. This is a provisional connection, not an outcome finding.</w:t>
      </w:r>
    </w:p>
    <w:p>
      <w:pPr>
        <w:pStyle w:val="SourceNote"/>
      </w:pPr>
      <w:r>
        <w:rPr>
          <w:b/>
        </w:rPr>
        <w:t>Available abstract (not full text):</w:t>
      </w:r>
      <w:r>
        <w:t xml:space="preserve"> Cooperation between individuals, a critical component of organizational and societal success, typically involves costs and benefits that accrue at different points in time. Using a series of controlled experiments, this paper provides a comprehensive analysis of the determinants of cooperation in an intertemporal context. Our findings demonstrate that cooperation is significantly reduced when the benefits of cooperation are shifted into the future, whereas delaying costs leads to an increase in cooperation. Our analysis of the underlying behavioral mechanisms reveals that the change in the level of cooperation can be explained by three factors: (i) a shift in the beliefs about others’ efforts, (ii) a shift in the willingness to conditionally cooperate, and (iii) an individual’s degree of impatience. We further find that injunctive norms of cooperation are unaffected by the timing of consequences, indicating that changes in behavior are due to a change in norm compliance rather than the norm itself. Implications for management practices are discussed. This paper was accepted by Yan Chen, behavioral economics and decision analysis. Funding: Financial support from the Center for Social and Economic Behavior at the University of Cologne and the Deutsche Forschungsgemeinschaft (German Research Foundation) under Germany’s Excellence Strategy [Grant EXC 2126/1- 390838866] is gratefull</w:t>
      </w:r>
    </w:p>
    <w:p>
      <w:pPr/>
      <w:r>
        <w:rPr>
          <w:b/>
        </w:rPr>
        <w:t>POSSIBLE 2023:</w:t>
      </w:r>
      <w:r>
        <w:t xml:space="preserve"> Do tight environmental regulations cause economic contraction? Panel evidence from the European countries — https://doi.org/10.1111/1477-8947.12322</w:t>
      </w:r>
    </w:p>
    <w:p>
      <w:pPr/>
      <w:r>
        <w:rPr>
          <w:b/>
        </w:rPr>
        <w:t>Shared claim-specific concepts:</w:t>
      </w:r>
      <w:r>
        <w:t xml:space="preserve"> need, tight, countries, affected, develop; EU scope visible. This is a provisional connection, not an outcome finding.</w:t>
      </w:r>
    </w:p>
    <w:p>
      <w:pPr>
        <w:pStyle w:val="SourceNote"/>
      </w:pPr>
      <w:r>
        <w:rPr>
          <w:b/>
        </w:rPr>
        <w:t>Available abstract (not full text):</w:t>
      </w:r>
      <w:r>
        <w:t xml:space="preserve"> Abstract Developed countries have long tried to increase their environmental standards to mitigate the negative effects of economic activities. For this purpose, they impose environmental taxes, energy taxes, and emission limits. In the last decade, a new measurement technique for environmental policy was introduced: the Environmental Policy Stringency Index (EPS index). This index takes values from 0.00 to 6.00, and higher values refer to more stringent environmental policies, whereas lower values suggest lax policies. This study aims to explore the impact of the EPS index on economic activities at the aggregate and sectoral levels for 20 European countries covering the period 1995–2020. For this purpose, this study utilizes the dynamic panel data approach, the two‐step system generalized method of moments (GMM) estimation method. The empirical findings show that an increase in the EPS index causes a decline in economic growth at the aggregate level. At the sectoral level, it was found that the industry sector is negatively affected by increases in environmental standards. In addition to the system GMM results, this study employs the Dumitrescu–Hurlin panel non‐causality test to detect causal linkages between variables. The empirical findings show that the EPS index Granger causes economic activity in almost all sectors. The empirical results indicate that environmental regula</w:t>
      </w:r>
    </w:p>
    <w:p>
      <w:pPr/>
      <w:r>
        <w:rPr>
          <w:b/>
        </w:rPr>
        <w:t>POSSIBLE 2023:</w:t>
      </w:r>
      <w:r>
        <w:t xml:space="preserve"> Impact of COVID-19 on labour force and recovery peculiarities in selected countries of Europe — https://doi.org/10.9770/jesi.2023.10.3(20)</w:t>
      </w:r>
    </w:p>
    <w:p>
      <w:pPr/>
      <w:r>
        <w:rPr>
          <w:b/>
        </w:rPr>
        <w:t>Shared claim-specific concepts:</w:t>
      </w:r>
      <w:r>
        <w:t xml:space="preserve"> need, countries, affected; EU scope visible. This is a provisional connection, not an outcome finding.</w:t>
      </w:r>
    </w:p>
    <w:p>
      <w:pPr>
        <w:pStyle w:val="SourceNote"/>
      </w:pPr>
      <w:r>
        <w:rPr>
          <w:b/>
        </w:rPr>
        <w:t>Available abstract (not full text):</w:t>
      </w:r>
      <w:r>
        <w:t xml:space="preserve"> In this paper, we have examined the impact of COVID-19 on labour force and recovery peculiarities in selected countries of Europe.Our goal has been to reach patients with post-COVID-19 or long-COVID-19 symptoms who were treated since 2020 and latest 2021 in different medical spas around Europe.Our research focused on whether work affects any aspect of life during illness and whether complaints experienced during post-COVID-19 treatments affect any aspect of life during illness.To achieve our results, we used quantitative research and tested two hypotheses.Our primary survey was conducted in May-June 2022.A total of 110 valid responses were received.The data collected through the questionnaire was examined using statistical analysis and calculationsdescriptive statistics, oneway ANOVA, linear regression analysis.All the respondents had COVID-19 positive test results in their life and attended post-COVID treatments in different medical spas in Europe.The results showed that coronavirus symptoms (post-or long-COVID-19 syndrome) were most likely to interfere with social and leisure activities and work.Well-being and pain need improvement.Improvement is possible with spa rehabilitation packages offering complex interventions such as balneotherapy (which uses local natural resources such as natural healing water, peloids, mofette), climatotherapy, physiotherapy, occupational therapy,</w:t>
      </w:r>
    </w:p>
    <w:p>
      <w:pPr/>
      <w:r>
        <w:rPr>
          <w:b/>
        </w:rPr>
        <w:t>POSSIBLE 2022:</w:t>
      </w:r>
      <w:r>
        <w:t xml:space="preserve"> European IoT International Cooperation in Research and Innovation — https://doi.org/10.1201/9781003337966-10</w:t>
      </w:r>
    </w:p>
    <w:p>
      <w:pPr/>
      <w:r>
        <w:rPr>
          <w:b/>
        </w:rPr>
        <w:t>Shared claim-specific concepts:</w:t>
      </w:r>
      <w:r>
        <w:t xml:space="preserve"> cooperation, countries, solutions; EU scope visible. This is a provisional connection, not an outcome finding.</w:t>
      </w:r>
    </w:p>
    <w:p>
      <w:pPr>
        <w:pStyle w:val="SourceNote"/>
      </w:pPr>
      <w:r>
        <w:rPr>
          <w:b/>
        </w:rPr>
        <w:t>Available abstract (not full text):</w:t>
      </w:r>
      <w:r>
        <w:t xml:space="preserve"> The IoT is now a global happening that is requiring cooperation at international level to address its key challenges. Europe has established as a priority the international cooperation on IoT research and innovation. The work revolves around aligning strategies and plans for IoT globalisation but also exploring differentiations, and specificities for local exploitation of IoT. Notice: EU is cooperating with African countries on cost-effective open IoT innovation; Europe is supporting Brazil to build-up its IoT ecosystem supported onEUbest practices; the EU-China IoT Advisory Group is active on pushing global IoT standards while developing competitive IoT solutions; the EU-Japan joint cooperation follows-on on the integration/federation of IoT with Big Data and Cloud; and the EU-Korea engagement is looking at major global IoT standardisation activities; EU-US cooperation is active especially via the respective global IoT initiative frameworks, the AIOTI and IIC. And cooperation is expected to start with India on the vision of a connected and smart IoT based system for their economy, society, environment and global needs. This chapter reports on EU international cooperation activities with partner countries and regions on the Internet of Things (IoT) .</w:t>
      </w:r>
    </w:p>
    <w:p>
      <w:pPr/>
      <w:r>
        <w:rPr>
          <w:b/>
        </w:rPr>
        <w:t>POSSIBLE 2022:</w:t>
      </w:r>
      <w:r>
        <w:t xml:space="preserve"> China and the transatlantic relationship: obstacles to deeper European–US cooperation — https://doi.org/10.55317/9781784135287</w:t>
      </w:r>
    </w:p>
    <w:p>
      <w:pPr/>
      <w:r>
        <w:rPr>
          <w:b/>
        </w:rPr>
        <w:t>Shared claim-specific concepts:</w:t>
      </w:r>
      <w:r>
        <w:t xml:space="preserve"> cooperation, countries, over; EU scope visible. This is a provisional connection, not an outcome finding.</w:t>
      </w:r>
    </w:p>
    <w:p>
      <w:pPr>
        <w:pStyle w:val="SourceNote"/>
      </w:pPr>
      <w:r>
        <w:rPr>
          <w:b/>
        </w:rPr>
        <w:t>Available abstract (not full text):</w:t>
      </w:r>
      <w:r>
        <w:t xml:space="preserve"> The rise of China is one of the greatest challenges for the transatlantic relationship. European countries and the US have similar concerns over China, but fundamental obstacles hinder a more joined-up approach. Although no longer aiming for decoupling as under the Trump administration, the US under President Joe Biden still sees itself in ‘strategic competition’ with China, while the European Commission has identified China as a ‘systemic rival’. However, differences remain between Europe and US on the scale of the challenge, and also within the EU over the desired level of economic and political engagement with China and over policy responses on the national, bilateral and global levels. This paper presents results from a two-year joint research project by Chatham House and the Royal United Services Institute on a Transatlantic Dialogue on China. The project examined the transatlantic relationship in the context of the China challenge by looking at four different policy areas – trade and investment, digital technology, climate change and the global commons.</w:t>
      </w:r>
    </w:p>
    <w:p>
      <w:pPr/>
      <w:r>
        <w:rPr>
          <w:b/>
        </w:rPr>
        <w:t>POSSIBLE 2021:</w:t>
      </w:r>
      <w:r>
        <w:t xml:space="preserve"> The relationship between cultural tightness–looseness and COVID-19 cases and deaths: a global analysis — https://doi.org/10.1016/s2542-5196(20)30301-6</w:t>
      </w:r>
    </w:p>
    <w:p>
      <w:pPr/>
      <w:r>
        <w:rPr>
          <w:b/>
        </w:rPr>
        <w:t>Shared claim-specific concepts:</w:t>
      </w:r>
      <w:r>
        <w:t xml:space="preserve"> tight, countries, million, help; EU scope not established. This is a provisional connection, not an outcome finding.</w:t>
      </w:r>
    </w:p>
    <w:p>
      <w:pPr>
        <w:pStyle w:val="SourceNote"/>
      </w:pPr>
      <w:r>
        <w:rPr>
          <w:b/>
        </w:rPr>
        <w:t>Available abstract (not full text):</w:t>
      </w:r>
      <w:r>
        <w:t xml:space="preserve"> BACKGROUND: The COVID-19 pandemic is a global health crisis, yet certain countries have had far more success in limiting COVID-19 cases and deaths. We suggest that collective threats require a tremendous amount of coordination, and that strict adherence to social norms is a key mechanism that enables groups to do so. Here we examine how the strength of social norms-or cultural tightness-looseness-was associated with countries' success in limiting cases and deaths by October, 2020. We expected that tight cultures, which have strict norms and punishments for deviance, would have fewer cases and deaths per million as compared with loose cultures, which have weaker norms and are more permissive. METHODS: We estimated the relationship between cultural tightness-looseness and COVID-19 case and mortality rates as of Oct 16, 2020, using ordinary least squares regression. We fit a series of stepwise models to capture whether cultural tightness-looseness explained variation in case and death rates controlling for under-reporting, demographics, geopolitical factors, other cultural dimensions, and climate. FINDINGS: The results indicated that, compared with nations with high levels of cultural tightness, nations with high levels of cultural looseness are estimated to have had 4·99 times the number of cases (7132 per million vs 1428 per million, respectively) and 8·71 times the number of de</w:t>
      </w:r>
    </w:p>
    <w:p>
      <w:pPr/>
      <w:r>
        <w:rPr>
          <w:b/>
        </w:rPr>
        <w:t>POSSIBLE 2020:</w:t>
      </w:r>
      <w:r>
        <w:t xml:space="preserve"> Interdependence and cooperation in daily life. — https://doi.org/10.1037/pspi0000253</w:t>
      </w:r>
    </w:p>
    <w:p>
      <w:pPr/>
      <w:r>
        <w:rPr>
          <w:b/>
        </w:rPr>
        <w:t>Shared claim-specific concepts:</w:t>
      </w:r>
      <w:r>
        <w:t xml:space="preserve"> cooperation, affected, over; EU scope not established. This is a provisional connection, not an outcome finding.</w:t>
      </w:r>
    </w:p>
    <w:p>
      <w:pPr>
        <w:pStyle w:val="SourceNote"/>
      </w:pPr>
      <w:r>
        <w:rPr>
          <w:b/>
        </w:rPr>
        <w:t>Available abstract (not full text):</w:t>
      </w:r>
      <w:r>
        <w:t xml:space="preserve"> Philosophers and scientists have long debated the nature of human social interactions and the prevalence of mutual dependence, conflict of interests, and power asymmetry in social situations. Yet, there is surprisingly little empirical work documenting the patterns of interdependence that people experience in daily life. We use experience sampling to study how people think about three dimensions of interdependence in daily life and how these dimensions relate to cooperation. In Study 1, 139 romantic couples (n = 278) reported on situations experienced with their partner (k = 6,766); in Study 2, individuals (n = 284) reported on situations experienced with any other person (k = 7,248), over the course of one week. Across both samples, we found that most social interactions were perceived as containing moderate mutual dependence, equal power, and corresponding interests. When couples reported on the same situation (Study 1), they largely agreed on their experienced interdependence and cooperation, suggesting that their reports reflect an underlying shared reality. In daily interactions across both samples, higher mutual dependence and lower conflict of interests were associated with more cooperation, whereas relative power was not directly related to cooperation. These associations replicated in laboratory experiments (Study 2). In daily life, high mutual dependence and high rela</w:t>
      </w:r>
    </w:p>
    <w:p>
      <w:pPr/>
      <w:r>
        <w:rPr>
          <w:b/>
        </w:rPr>
        <w:t>POSSIBLE 2020:</w:t>
      </w:r>
      <w:r>
        <w:t xml:space="preserve"> Migrant women’s experiences of pregnancy, childbirth and maternity care in European countries: A systematic review — https://doi.org/10.1371/journal.pone.0228378</w:t>
      </w:r>
    </w:p>
    <w:p>
      <w:pPr/>
      <w:r>
        <w:rPr>
          <w:b/>
        </w:rPr>
        <w:t>Shared claim-specific concepts:</w:t>
      </w:r>
      <w:r>
        <w:t xml:space="preserve"> need, countries, strategy, migrants; EU scope visible. This is a provisional connection, not an outcome finding.</w:t>
      </w:r>
    </w:p>
    <w:p>
      <w:pPr>
        <w:pStyle w:val="SourceNote"/>
      </w:pPr>
      <w:r>
        <w:rPr>
          <w:b/>
        </w:rPr>
        <w:t>Available abstract (not full text):</w:t>
      </w:r>
      <w:r>
        <w:t xml:space="preserve"> BACKGROUND: Across Europe there are increasing numbers of migrant women who are of childbearing age. Migrant women are at risk of poorer pregnancy outcomes. Models of maternity care need to be designed to meet the needs of all women in society to ensure equitable access to services and to address health inequalities. OBJECTIVE: To provide up-to-date systematic evidence on migrant women's experiences of pregnancy, childbirth and maternity care in their destination European country. SEARCH STRATEGY: CINAHL, MEDLINE, PubMed, PsycINFO and Scopus were searched for peer-reviewed articles published between 2007 and 2017. SELECTION CRITERIA: Qualitative and mixed-methods studies with a relevant qualitative component were considered for inclusion if they explored any aspect of migrant women's experiences of maternity care in Europe. DATA COLLECTION AND ANALYSIS: Qualitative data were extracted and analysed using thematic synthesis. RESULTS: The search identified 7472 articles, of which 51 were eligible and included. Studies were conducted in 14 European countries and focused on women described as migrants, refugees or asylum seekers. Four overarching themes emerged: 'Finding the way-the experience of navigating the system in a new place', 'We don't understand each other', 'The way you treat me matters', and 'My needs go beyond being pregnant'. CONCLUSIONS: Migrant women need culturally-</w:t>
      </w:r>
    </w:p>
    <w:p>
      <w:pPr>
        <w:pStyle w:val="Heading2"/>
      </w:pPr>
      <w:r>
        <w:t>810. THREE INVESTMENT SCENARIOS FOR  FUTURE NUCLEAR REACTORS IN EUROPE</w:t>
      </w:r>
    </w:p>
    <w:p>
      <w:pPr>
        <w:pStyle w:val="SourceNote"/>
      </w:pPr>
      <w:r>
        <w:rPr>
          <w:b/>
        </w:rPr>
        <w:t>Original source (2017):</w:t>
      </w:r>
      <w:r>
        <w:t xml:space="preserve"> https://doi.org/10.15173/esr.v23i1.3312</w:t>
      </w:r>
    </w:p>
    <w:p>
      <w:pPr/>
      <w:r>
        <w:t>Original wording (abstract; indexed_source_text_not_full_document_verified): While nuclear power may experience a technological breakthrough in Europe with Generation IV nuclear reactors within a few decades (2040), several events and drivers could question this possibility, e.g. the Fukushima accident, climate issues and liberalization of the electricity market.This article analyzes how the conditions necessary for their industrial development from now up to 2040 can be either favorable or detrimental to future nuclear reactors compared with other technologies and according to four main investment drivers: 1) technical change, 2) policy, 3) market, and 4) power company drivers.Twenty-four scenarios have been identified through structural analysis, with only three proving to be favorable to the development of future nuclear reactors.</w:t>
      </w:r>
    </w:p>
    <w:p>
      <w:pPr/>
      <w:r>
        <w:rPr>
          <w:b/>
        </w:rPr>
        <w:t>POSSIBLE 2026:</w:t>
      </w:r>
      <w:r>
        <w:t xml:space="preserve"> Assessment of beryllium use in nuclear power generation — https://doi.org/10.1038/s43246-026-01295-7</w:t>
      </w:r>
    </w:p>
    <w:p>
      <w:pPr/>
      <w:r>
        <w:rPr>
          <w:b/>
        </w:rPr>
        <w:t>Shared claim-specific concepts:</w:t>
      </w:r>
      <w:r>
        <w:t xml:space="preserve"> nuclear, power, generation, reactors; EU scope not established. This is a provisional connection, not an outcome finding.</w:t>
      </w:r>
    </w:p>
    <w:p>
      <w:pPr>
        <w:pStyle w:val="SourceNote"/>
      </w:pPr>
      <w:r>
        <w:rPr>
          <w:b/>
        </w:rPr>
        <w:t>Available abstract (not full text):</w:t>
      </w:r>
      <w:r>
        <w:t xml:space="preserve"> Abstract Beryllium has extraordinary physical, mechanical, and nuclear properties that make it an ideal material for improving nuclear reactor physics, particularly for compact and high-performance reactors such as fission microreactors and fusion reactors. However, beryllium and its useful oxide have been excluded from commercial power reactors because they are expensive. This review discusses why beryllium is disproportionately more expensive than other metals and presents current opportunities to reduce costs for implementation in advanced nuclear reactors. The cost is primarily caused by the health hazards of beryllium which require extensive infrastructure and procedures to keep personnel safe throughout the entire supply chain and lifecycle. The hazards of beryllium have been discussed elsewhere and are only summarized before discussing practical hazard mitigation strategies. Detection of beryllium contamination is identified as a major challenge that inflates costs of research and industry. Additional costs arise from the supply chain, fabrication, and a relatively small market share for nuclear applications. Available beryllium material forms and manufacturing methods are discussed to assess their potential value to reactor designers along with corrosion and irradiation constraints. Aluminum-beryllium composites and additive manufacturing of beryllium are identified as </w:t>
      </w:r>
    </w:p>
    <w:p>
      <w:pPr/>
      <w:r>
        <w:rPr>
          <w:b/>
        </w:rPr>
        <w:t>POSSIBLE 2026:</w:t>
      </w:r>
      <w:r>
        <w:t xml:space="preserve"> Nuclear Technology Transition Towards SMR and Generation-IV — https://doi.org/10.1007/978-3-032-15512-2_15</w:t>
      </w:r>
    </w:p>
    <w:p>
      <w:pPr/>
      <w:r>
        <w:rPr>
          <w:b/>
        </w:rPr>
        <w:t>Shared claim-specific concepts:</w:t>
      </w:r>
      <w:r>
        <w:t xml:space="preserve"> nuclear, power, reactors, climate; EU scope visible. This is a provisional connection, not an outcome finding.</w:t>
      </w:r>
    </w:p>
    <w:p>
      <w:pPr>
        <w:pStyle w:val="SourceNote"/>
      </w:pPr>
      <w:r>
        <w:rPr>
          <w:b/>
        </w:rPr>
        <w:t>Available abstract (not full text):</w:t>
      </w:r>
      <w:r>
        <w:t xml:space="preserve"> Concern about climate warming is a strong driving force for reduced fossil fuel consumption. European leaders want to reduce greenhouse gas releases to nearly zero by 2050 and extend the electrification of final energy use as much as possible. Nuclear energy should be a primary choice in this perspective. Unfortunately, hostility towards nuclear energy persists despite past successful achievements. The arguments of deniers are based on economic viability, risks of accidents and long-lived nuclear wastes. None of these arguments—partially justified for today’s light-water technology—is a showstopper in the long term. Technologies have something in common with the living world: they are in constant evolution. The process is slow, taking almost a century to produce disruptive changes. Starting in 1950, nuclear technology should be very different in 2050 as a result of current R&amp;D. Factory-made modules with reduced power sizes known as SMR ( Small Modular Reactors ), will address some of the economic and safety concerns. Emergent technologies dubbed Generation-IV will considerably enlarge the applications towards water desalination, high temperature heat and naval propulsion. Adoption of different reactor coolant fluids (helium gas, liquid heavy metals or molten salts) instead of water should reduce the safety concerns. Combining specific choices of reactor fuels with adequate neut</w:t>
      </w:r>
    </w:p>
    <w:p>
      <w:pPr/>
      <w:r>
        <w:rPr>
          <w:b/>
        </w:rPr>
        <w:t>POSSIBLE 2025:</w:t>
      </w:r>
      <w:r>
        <w:t xml:space="preserve"> Atomic rivers. The (Un)sustainability of nuclear power in an age of climate change — https://doi.org/10.1016/j.enpol.2025.114631</w:t>
      </w:r>
    </w:p>
    <w:p>
      <w:pPr/>
      <w:r>
        <w:rPr>
          <w:b/>
        </w:rPr>
        <w:t>Shared claim-specific concepts:</w:t>
      </w:r>
      <w:r>
        <w:t xml:space="preserve"> nuclear, power, climate, electricity, conditions; EU scope visible. This is a provisional connection, not an outcome finding.</w:t>
      </w:r>
    </w:p>
    <w:p>
      <w:pPr>
        <w:pStyle w:val="SourceNote"/>
      </w:pPr>
      <w:r>
        <w:rPr>
          <w:b/>
        </w:rPr>
        <w:t>Available abstract (not full text):</w:t>
      </w:r>
      <w:r>
        <w:t xml:space="preserve"> The sustainability of nuclear energy amidst climate change and environmental regulations poses critical challenges, particularly in European contexts where major rivers like the Rhine, the Danube, and the Rhône are experiencing declining water levels and rising temperatures. We scrutinise the operational difficulties nuclear power plants encounter, arising from insufficient cooling water and environmental mandates that prevent the discharge of overly warm cooling water into rivers. These conditions have led to partial or full shutdowns of nuclear facilities across France, Germany, Switzerland, Belgium, Spain, Romania, and other countries, emphasising the tension between nuclear energy as a low-carbon solution and its environmental impacts. We explore the concept of sustainability in the context of riverine nuclear energy from three angles: technical challenges posed by water scarcity, regulatory constraints on cooling water temperatures, and the ecological impacts of thermal discharges on riverine ecosystems. Our analysis reveals an emerging contradiction between ensuring electricity supply and adhering to environmental protection, highlighting the need for a reevaluation of nuclear energy's role in a future sustainable energy landscape. • The sustainability of riverine nuclear power plants is questionable. • Extreme weather, like heatwaves combined with water scarcity, threate</w:t>
      </w:r>
    </w:p>
    <w:p>
      <w:pPr/>
      <w:r>
        <w:rPr>
          <w:b/>
        </w:rPr>
        <w:t>POSSIBLE 2025:</w:t>
      </w:r>
      <w:r>
        <w:t xml:space="preserve"> Nuclear nostalgia – Unveiling the sociotechnical imaginary of new nuclear power in Sweden — https://doi.org/10.5194/safend2025-64</w:t>
      </w:r>
    </w:p>
    <w:p>
      <w:pPr/>
      <w:r>
        <w:rPr>
          <w:b/>
        </w:rPr>
        <w:t>Shared claim-specific concepts:</w:t>
      </w:r>
      <w:r>
        <w:t xml:space="preserve"> nuclear, power, experience, reactors, within, several; EU scope visible. This is a provisional connection, not an outcome finding.</w:t>
      </w:r>
    </w:p>
    <w:p>
      <w:pPr>
        <w:pStyle w:val="SourceNote"/>
      </w:pPr>
      <w:r>
        <w:rPr>
          <w:b/>
        </w:rPr>
        <w:t>Available abstract (not full text):</w:t>
      </w:r>
      <w:r>
        <w:t xml:space="preserve"> Recently, interest in nuclear power has surged. Several countries are either planning for or have already begun constructing new nuclear power plants. The European Union now includes nuclear in its green taxonomy (EU 2022/1214). Coupled with recent technical development, most notably 4th generation- and Small Modular Reactor technology, there are even talks of a renaissance of nuclear power.In Sweden, this phenomenon has manifested in plans to again build nuclear power plants. The government has launched a new nuclear program (Busch et al, 2023), laws are being changed (Andersson, 2023) and investigations are ongoing to facilitate the financing of new power plants (Dillén, 2024).In the past, Sweden was at the forefront of civil nuclear technology by building twelve reactors between 1971 and 1985 (IAEA, 2021). Thereafter followed, however, a period of decommissioning where six reactors were phased out (ibid, 2021). With recent plans to build new nuclear plants, Sweden has once again changed paths.According to theoretical insights of sociotechnical imaginaries (STI) this development can be understood as informed by visions of how nuclear power will aid in achieving a beneficial future (Jasanoff &amp; Kim, 2015; 2009). Within this field of research, several papers have studied different nations’ constructions of (un)desirable futures of nuclear power (e.g., Felt, 2015; Jasanoff &amp; Kim,</w:t>
      </w:r>
    </w:p>
    <w:p>
      <w:pPr/>
      <w:r>
        <w:rPr>
          <w:b/>
        </w:rPr>
        <w:t>POSSIBLE 2024:</w:t>
      </w:r>
      <w:r>
        <w:t xml:space="preserve"> Can the European nuclear power industry compete with the Chinese nuclear power industry? — https://doi.org/10.24294/jipd.v8i11.8715</w:t>
      </w:r>
    </w:p>
    <w:p>
      <w:pPr/>
      <w:r>
        <w:rPr>
          <w:b/>
        </w:rPr>
        <w:t>Shared claim-specific concepts:</w:t>
      </w:r>
      <w:r>
        <w:t xml:space="preserve"> nuclear, power, generation; EU scope visible. This is a provisional connection, not an outcome finding.</w:t>
      </w:r>
    </w:p>
    <w:p>
      <w:pPr>
        <w:pStyle w:val="SourceNote"/>
      </w:pPr>
      <w:r>
        <w:rPr>
          <w:b/>
        </w:rPr>
        <w:t>Available abstract (not full text):</w:t>
      </w:r>
      <w:r>
        <w:t xml:space="preserve"> European commissioner for the Internal Market, Thierry Breton, told Le Journal du Dimanche in January 2022, “Existing nuclear plants alone will need 50 billion euros of investment from now until 2030. And new generation ones will need 500 billion”. This paper considers whether these values are realistic. Further, it asks whether these investments would yield an internationally competitive European nuclear power infrastructure given that the nuclear power industries in the Organization for Economic Cooperation and Development member countries have lost global nuclear market share to Russian and Chinese firms since 1995.The paper investigates whether the European nuclear industry even with massive investment can compete with the Chinese nuclear industries. It concludes that the European (in particular, the French) nuclear power industry will be unlikely to be cost competitive with the Chinese nuclear power industry unless financing and new plant orders are immediately forthcoming. To achieve carbon neutrality, the issue becomes whether European Union countries can afford indigenous nuclear technologies or will need to import nuclear power plants from Asia.</w:t>
      </w:r>
    </w:p>
    <w:p>
      <w:pPr/>
      <w:r>
        <w:rPr>
          <w:b/>
        </w:rPr>
        <w:t>POSSIBLE 2024:</w:t>
      </w:r>
      <w:r>
        <w:t xml:space="preserve"> Towards strategic agenda for European nuclear education, training, and knowledge management — https://doi.org/10.1016/j.nucengdes.2024.113001</w:t>
      </w:r>
    </w:p>
    <w:p>
      <w:pPr/>
      <w:r>
        <w:rPr>
          <w:b/>
        </w:rPr>
        <w:t>Shared claim-specific concepts:</w:t>
      </w:r>
      <w:r>
        <w:t xml:space="preserve"> nuclear, power, experience, generation, within, decades; EU scope visible. This is a provisional connection, not an outcome finding.</w:t>
      </w:r>
    </w:p>
    <w:p>
      <w:pPr>
        <w:pStyle w:val="SourceNote"/>
      </w:pPr>
      <w:r>
        <w:rPr>
          <w:b/>
        </w:rPr>
        <w:t>Available abstract (not full text):</w:t>
      </w:r>
      <w:r>
        <w:t xml:space="preserve"> The key elements of the EU-wide strategic agenda for nuclear education, training, and knowledge management are proposed in this paper. They were developed partly within the ENEN+ and ENEN# projects, to support and consolidate the efforts of the nuclear stakeholders to attract, develop, and retain new talents. The paper considers the projections of needs developed by the European Human Resources Observatory-Nuclear (EHRO-N). It builds on the existing national nuclear education strategies in the EU and beyond and more than two decades of experience with the European Nuclear Education Network (ENEN). The paper outlines and substantiates the most important actions and risks related to human resources, which need to be managed successfully for the EU to contribute to the tripling of the nuclear power generation capacity on the planet by 2050 (as announced in COP28) and to retain its leading role in the nuclear power and non-power applications. The sheer complexity of this challenge calls for high-level strategic support, coordination, and partnership between all nuclear stakeholders, especially those involved in the decision-making. The present situation calls for urgent strategic actions with long-term sustainability.</w:t>
      </w:r>
    </w:p>
    <w:p>
      <w:pPr/>
      <w:r>
        <w:rPr>
          <w:b/>
        </w:rPr>
        <w:t>POSSIBLE 2024:</w:t>
      </w:r>
      <w:r>
        <w:t xml:space="preserve"> Nuclear industry experiences in radiation exposures — https://doi.org/10.1177/01466453241283931q</w:t>
      </w:r>
    </w:p>
    <w:p>
      <w:pPr/>
      <w:r>
        <w:rPr>
          <w:b/>
        </w:rPr>
        <w:t>Shared claim-specific concepts:</w:t>
      </w:r>
      <w:r>
        <w:t xml:space="preserve"> nuclear, power, generation, climate; EU scope not established. This is a provisional connection, not an outcome finding.</w:t>
      </w:r>
    </w:p>
    <w:p>
      <w:pPr>
        <w:pStyle w:val="SourceNote"/>
      </w:pPr>
      <w:r>
        <w:rPr>
          <w:b/>
        </w:rPr>
        <w:t>Available abstract (not full text):</w:t>
      </w:r>
      <w:r>
        <w:t xml:space="preserve"> The ‘As Low As Reasonably Achievable’ (ALARA) principle is one of the 3 fundamental elements of radiation protection. Noting that ionising radiation is both encountered naturally in the environment as part of everyday life, and artificially as part of a range of practices, the ALARA principle aims to provide a means of optimising radiation exposures. Since the introduction of the principle the nuclear industry has had a good track record of progressively reducing occupational and environmental exposures across the nuclear fuel cycle. However, recent industry feedback has highlighted that as the exposures continue to decline, there is evidence that its application in the purest sense can result in a disproportionate outcome in terms of wider non-radiological hazards, and / or use of resources both physical and human. This is leading to a general push for day-to-day exposures in nuclear power generation to be far lower than other forms of energy generation, sectors such as medical or minerals refinement, or compared to exposures we get from natural sources of radioactivity. This is at great cost for what is a negligible improvement in public protection. With the ongoing concerns of climate change, many countries have made a commitment to embrace low carbon energy systems. In support of this ambition new nuclear power has been identified as a key part of the energy mix, highlighti</w:t>
      </w:r>
    </w:p>
    <w:p>
      <w:pPr/>
      <w:r>
        <w:rPr>
          <w:b/>
        </w:rPr>
        <w:t>POSSIBLE 2024:</w:t>
      </w:r>
      <w:r>
        <w:t xml:space="preserve"> Sustaining regional Nuclear Human Capacity Building in Europe — https://doi.org/10.1016/j.nucengdes.2024.112916</w:t>
      </w:r>
    </w:p>
    <w:p>
      <w:pPr/>
      <w:r>
        <w:rPr>
          <w:b/>
        </w:rPr>
        <w:t>Shared claim-specific concepts:</w:t>
      </w:r>
      <w:r>
        <w:t xml:space="preserve"> nuclear, power, experience, within; EU scope visible. This is a provisional connection, not an outcome finding.</w:t>
      </w:r>
    </w:p>
    <w:p>
      <w:pPr>
        <w:pStyle w:val="SourceNote"/>
      </w:pPr>
      <w:r>
        <w:rPr>
          <w:b/>
        </w:rPr>
        <w:t>Available abstract (not full text):</w:t>
      </w:r>
      <w:r>
        <w:t xml:space="preserve"> Nuclear science, a pillar of human advancement in the last century, contributes significantly to clean energy and advanced medical care worldwide. This work highlights the critical importance of preserving nuclear human capacity in Europe to maintain a robust pool of expertise and nuclear Education and Training (E&amp;T) infrastructure. Since 2000, the Organization for Economic Co-operation and Development - Nuclear Energy Agency (OECD-NEA) has expressed deep concern regarding the potential shortage of human resources in the field of nuclear science. The European Human Resources Observatory for Nuclear (EHRO-N) provided insight into the actual human resource levels needed in the nuclear industry in Europe, and this concern remains prevalent in the international community as of the year 2023, especially considering the projected nuclear power capacity by 2050. Given the distinctive and diverse challenges encountered within Europe, a novel quadrangular analysis model is introduced to facilitate the understanding of the diverse Nuclear Human Capacity Building (NHCB) development scenarios in the region. In the European Union (EU), concerted efforts were initiated in 2003 to establish regional networking activities dedicated to nuclear E&amp;T. Since then, a wide range of nuclear stakeholders, including universities, research centers, industry representatives, technical support organization</w:t>
      </w:r>
    </w:p>
    <w:p>
      <w:pPr/>
      <w:r>
        <w:rPr>
          <w:b/>
        </w:rPr>
        <w:t>POSSIBLE 2024:</w:t>
      </w:r>
      <w:r>
        <w:t xml:space="preserve"> Investigating the role of nuclear power and battery storage in Hungary's energy transition using hourly resolution electricity market simulations — https://doi.org/10.1016/j.heliyon.2024.e29841</w:t>
      </w:r>
    </w:p>
    <w:p>
      <w:pPr/>
      <w:r>
        <w:rPr>
          <w:b/>
        </w:rPr>
        <w:t>Shared claim-specific concepts:</w:t>
      </w:r>
      <w:r>
        <w:t xml:space="preserve"> nuclear, power, experience, generation, electricity; EU scope visible. This is a provisional connection, not an outcome finding.</w:t>
      </w:r>
    </w:p>
    <w:p>
      <w:pPr>
        <w:pStyle w:val="SourceNote"/>
      </w:pPr>
      <w:r>
        <w:rPr>
          <w:b/>
        </w:rPr>
        <w:t>Available abstract (not full text):</w:t>
      </w:r>
      <w:r>
        <w:t xml:space="preserve"> Electricity supply in European countries faces a number of challenges, such as achieving carbon neutrality, tackling rising prices, reducing dependence on fossil fuels, including fossil fuel imports. To achieve these goals, the electricity systems of all European countries will have to undergo major changes, while taking into account technical, environmental, economic and social objectives. Our simulations provide essential data for this transition by analyzing different power plant portfolios and electricity consumption scenarios. The analyses focus on the cooperation of nuclear power and weather-dependent renewables, and on the possible role that battery-based electricity storage can play in the Hungarian electricity system. In this paper, we present the experience gained in setting up an electricity market model and the results of running the model on the electricity systems of Hungary and its six neighboring countries (Slovakia, Romania, Serbia, Croatia, Slovenia and Austria), taking into account the constraints of the cross-border capacities. The results of the sensitivity analysis for the 2030 power plant portfolios, battery capacities and renewables analyzed in this paper cover Hungary's import/export position, the energy source structure of its electricity generation, battery operation, CO2 emissions from electricity generation, expected prices in the system and the uti</w:t>
      </w:r>
    </w:p>
    <w:p>
      <w:pPr/>
      <w:r>
        <w:rPr>
          <w:b/>
        </w:rPr>
        <w:t>POSSIBLE 2023:</w:t>
      </w:r>
      <w:r>
        <w:t xml:space="preserve"> Democracy and Nuclear Power in the Czech Republic — https://doi.org/10.4324/9781003421368-17</w:t>
      </w:r>
    </w:p>
    <w:p>
      <w:pPr/>
      <w:r>
        <w:rPr>
          <w:b/>
        </w:rPr>
        <w:t>Shared claim-specific concepts:</w:t>
      </w:r>
      <w:r>
        <w:t xml:space="preserve"> nuclear, power, experience; EU scope visible. This is a provisional connection, not an outcome finding.</w:t>
      </w:r>
    </w:p>
    <w:p>
      <w:pPr>
        <w:pStyle w:val="SourceNote"/>
      </w:pPr>
      <w:r>
        <w:rPr>
          <w:b/>
        </w:rPr>
        <w:t>Available abstract (not full text):</w:t>
      </w:r>
      <w:r>
        <w:t xml:space="preserve"> This chapter explores the construction of the one-thousand megawatt Temelin nuclear power plant in the Czech Republic. The Czech Republic is in the first group of candidates in central and eastern Europe to join both the European Union and the North Atlantic Treaty Organization. The Czech experience with nuclear power is a test case that will affect the viability and future marketability of nuclear power in central and eastern Europe. Nuclear power advocates saw the opportunity and accepted the challenge. The former Soviet Union, with compliance or agreement from the states of central and eastern Europe, had planned dozens of nuclear power plants for the region. The most widely used definition of sustainable development is “development that meets the needs of the present without compromising the ability of future generations to meet their own needs”. Under communism, environmentalists were labeled right wing because they were accused of trying to destroy socialist dreams by imposing costly demands on the government.</w:t>
      </w:r>
    </w:p>
    <w:p>
      <w:pPr/>
      <w:r>
        <w:rPr>
          <w:b/>
        </w:rPr>
        <w:t>POSSIBLE 2023:</w:t>
      </w:r>
      <w:r>
        <w:t xml:space="preserve"> Historical diffusion of nuclear, wind and solar power in different national contexts: implications for climate mitigation pathways — https://doi.org/10.1088/1748-9326/acf47a</w:t>
      </w:r>
    </w:p>
    <w:p>
      <w:pPr/>
      <w:r>
        <w:rPr>
          <w:b/>
        </w:rPr>
        <w:t>Shared claim-specific concepts:</w:t>
      </w:r>
      <w:r>
        <w:t xml:space="preserve"> nuclear, power, climate, electricity; EU scope visible. This is a provisional connection, not an outcome finding.</w:t>
      </w:r>
    </w:p>
    <w:p>
      <w:pPr>
        <w:pStyle w:val="SourceNote"/>
      </w:pPr>
      <w:r>
        <w:rPr>
          <w:b/>
        </w:rPr>
        <w:t>Available abstract (not full text):</w:t>
      </w:r>
      <w:r>
        <w:t xml:space="preserve"> Abstract Climate change mitigation requires rapid expansion of low-carbon electricity but there is a disagreement on whether available technologies such as renewables and nuclear power can be scaled up sufficiently fast. Here we analyze the diffusion of nuclear (from the 1960s), as well as wind and solar (from the 1980–90s) power. We show that all these technologies have been adopted in most large economies except major energy exporters, but solar and wind have diffused across countries faster and wider than nuclear. After the initial adoption, the maximum annual growth for nuclear power has been 2.6% of national electricity supply (IQR 1.3%–6%), for wind − 1.1% (0.6%–1.7%), and for solar − 0.8% (0.5%–1.3%). The fastest growth of nuclear power occurred in Western Europe in the 1980s, a response by industrialized democracies to the energy supply crises of the 1970s. The European Union (EU), currently experiencing a similar energy supply shock, is planning to expand wind and solar at similarly fast rates. This illustrates that national contexts can impact the speed of technology diffusion at least as much as technology characteristics like cost, granularity, and complexity. In the Intergovernmental Panel on Climate Change mitigation pathways, renewables grow much faster than nuclear due to their lower projected costs, though empirical evidence does not show that the cost is the s</w:t>
      </w:r>
    </w:p>
    <w:p>
      <w:pPr/>
      <w:r>
        <w:rPr>
          <w:b/>
        </w:rPr>
        <w:t>POSSIBLE 2023:</w:t>
      </w:r>
      <w:r>
        <w:t xml:space="preserve"> The Economy of the Countries of the World is Experiencing the Need for Nuclear Power Plants — https://openalex.org/W7219353948</w:t>
      </w:r>
    </w:p>
    <w:p>
      <w:pPr/>
      <w:r>
        <w:rPr>
          <w:b/>
        </w:rPr>
        <w:t>Shared claim-specific concepts:</w:t>
      </w:r>
      <w:r>
        <w:t xml:space="preserve"> nuclear, power, electricity, article; EU scope not established. This is a provisional connection, not an outcome finding.</w:t>
      </w:r>
    </w:p>
    <w:p>
      <w:pPr>
        <w:pStyle w:val="SourceNote"/>
      </w:pPr>
      <w:r>
        <w:rPr>
          <w:b/>
        </w:rPr>
        <w:t>Available abstract (not full text):</w:t>
      </w:r>
      <w:r>
        <w:t xml:space="preserve"> This scientific article examines the sources on the need for nuclear power plants in the economies of the countries of the world. The existing nuclear power plants in the countries of the world, their capacity, the disadvantages and advantages of nuclear power plants, the role of nuclear power plants in the production of electricity, differences in the prices of electricity generated by them, the possibilities of achieving economic and social goals of low-cost sustainable development in the production of electricity using nuclear power are analyzed.</w:t>
      </w:r>
    </w:p>
    <w:p>
      <w:pPr>
        <w:pStyle w:val="Heading2"/>
      </w:pPr>
      <w:r>
        <w:t>811. The European Union and Africa towards 2030: perspectives from transnational civil society organisations</w:t>
      </w:r>
    </w:p>
    <w:p>
      <w:pPr>
        <w:pStyle w:val="SourceNote"/>
      </w:pPr>
      <w:r>
        <w:rPr>
          <w:b/>
        </w:rPr>
        <w:t>Original source (2017):</w:t>
      </w:r>
      <w:r>
        <w:t xml:space="preserve"> https://doi.org/10.4000/151gv</w:t>
      </w:r>
    </w:p>
    <w:p>
      <w:pPr/>
      <w:r>
        <w:t>Original wording (abstract; indexed_source_text_not_full_document_verified): SDG17 sets the legal (morally binding) framework under which supranational actors, among others, are warmly invited to contribute to reach Sustainable Development by 2030. The rhetoric of aid as redeeming for the poor and redemptive for the rich, in line with an updated ‘white man’s burden’, might be transubstantiated in the narrative of a new EU-AU ‘equal partnership’.</w:t>
      </w:r>
    </w:p>
    <w:p>
      <w:pPr/>
      <w:r>
        <w:rPr>
          <w:b/>
        </w:rPr>
        <w:t>POSSIBLE 2026:</w:t>
      </w:r>
      <w:r>
        <w:t xml:space="preserve"> In Search of a Global Approach to Air Pollution: Some Legal Reflections on the Role of the SDGs — https://doi.org/10.1177/18785395261435146</w:t>
      </w:r>
    </w:p>
    <w:p>
      <w:pPr/>
      <w:r>
        <w:rPr>
          <w:b/>
        </w:rPr>
        <w:t>Shared claim-specific concepts:</w:t>
      </w:r>
      <w:r>
        <w:t xml:space="preserve"> legal, framework, actors, contribute, sustainable, poor; EU scope not established. This is a provisional connection, not an outcome finding.</w:t>
      </w:r>
    </w:p>
    <w:p>
      <w:pPr>
        <w:pStyle w:val="SourceNote"/>
      </w:pPr>
      <w:r>
        <w:rPr>
          <w:b/>
        </w:rPr>
        <w:t>Available abstract (not full text):</w:t>
      </w:r>
      <w:r>
        <w:t xml:space="preserve"> Air pollution is a major environmental problem, yet existing international legal responses fall short of adequately addressing the problem on a global scale. This article investigates if and how the Sustainable Development Goals (SDGs) fill the current legal and regulatory gap, and whether they can contribute to problem-solving. The SDGs do not have a separate goal that covers addressing poor air quality in its scope; however, they include several targets and indicators specific to the problem. The SDG framework is still far from offering a comprehensive approach to air pollution. Nonetheless, even in this limited capacity, the SDGs contribute meaningfully to legal responses to air pollution. First, the SDGs frame air pollution as a global development concern, given its impacts on health, the environment and economy worldwide. Second, the SDG framework proposes relatively precise targets and indicators on air quality that are globally applicable, which is significant given the absence of a global legal agreement on preventing air pollution. Third, the SDGs exhibit strong transnational legal characteristics and broadly define their norm addressees, thereby opening opportunities for a range of actors - nation-states, international organizations, and various stakeholders - to foster multi-stakeholder, multi-level cooperation to implement the Goals. Thus, the SDGs lay an important </w:t>
      </w:r>
    </w:p>
    <w:p>
      <w:pPr/>
      <w:r>
        <w:rPr>
          <w:b/>
        </w:rPr>
        <w:t>POSSIBLE 2026:</w:t>
      </w:r>
      <w:r>
        <w:t xml:space="preserve"> Critical Success Factors and a Modus Operandi Framework for Managing Multi‐Actor Research Partnerships for Sustainable Food Systems — https://doi.org/10.1002/sd.70930</w:t>
      </w:r>
    </w:p>
    <w:p>
      <w:pPr/>
      <w:r>
        <w:rPr>
          <w:b/>
        </w:rPr>
        <w:t>Shared claim-specific concepts:</w:t>
      </w:r>
      <w:r>
        <w:t xml:space="preserve"> framework, sustainable; EU scope not established. This is a provisional connection, not an outcome finding.</w:t>
      </w:r>
    </w:p>
    <w:p>
      <w:pPr>
        <w:pStyle w:val="SourceNote"/>
      </w:pPr>
      <w:r>
        <w:rPr>
          <w:b/>
        </w:rPr>
        <w:t>Available abstract (not full text):</w:t>
      </w:r>
      <w:r>
        <w:t xml:space="preserve"> ABSTRACT This paper investigates critical success factors for managing multi‐actor research partnerships for sustainable food systems along their lifecycle. Such partnerships coordinate both internal activities and manage externally funded projects. Drawing on evidence from case studies and workshops with diverse experts, the study identifies critical success factors for distinguishable development and operational phases, core pillars, and management categories for supported research projects. Guiding principles like adaptability, trust, transparency, consensus, and proactiveness are essential for ensuring inclusiveness and sustainability‐orientation. Additionally, successful partnership management depends on key performance indicators, in critical success factor represented areas, for continuous coordination and management, monitoring and reporting, and coherent communication, dissemination, and exploitation. Based on these unique expert‐driven insights, a novel conceptual Modus Operandi framework is developed, contributing to knowledge on research partnership management. Once validated in different contexts, this framework can support project managers and policymakers in effectively managing and guiding food system research partnerships.</w:t>
      </w:r>
    </w:p>
    <w:p>
      <w:pPr/>
      <w:r>
        <w:rPr>
          <w:b/>
        </w:rPr>
        <w:t>POSSIBLE 2026:</w:t>
      </w:r>
      <w:r>
        <w:t xml:space="preserve"> Navigating the 2030 Agenda: A Holistic Evaluation of Global Progress and Systemic Barriers Across All 17 Sustainable Development Goals — https://doi.org/10.65326/u7y.specsdg10010</w:t>
      </w:r>
    </w:p>
    <w:p>
      <w:pPr/>
      <w:r>
        <w:rPr>
          <w:b/>
        </w:rPr>
        <w:t>Shared claim-specific concepts:</w:t>
      </w:r>
      <w:r>
        <w:t xml:space="preserve"> sets, binding, sustainable; EU scope not established. This is a provisional connection, not an outcome finding.</w:t>
      </w:r>
    </w:p>
    <w:p>
      <w:pPr>
        <w:pStyle w:val="SourceNote"/>
      </w:pPr>
      <w:r>
        <w:rPr>
          <w:b/>
        </w:rPr>
        <w:t>Available abstract (not full text):</w:t>
      </w:r>
      <w:r>
        <w:t xml:space="preserve"> With five years remaining before the 2030 deadline, the United Nations reports that 35% of assessable Sustainable Development Goal targets are on track or advancing moderately and that 18% have regressed below their 2015 baseline. Explanations for the shortfall divide into three diagnoses that are rarely tested against one another: an investment gap now estimated near four trillion dollars a year, a governance architecture that sets goals without binding anyone to them, and a measurement system that cannot see roughly half of what it is meant to track. This policy analysis appraises the progress record against the monitoring infrastructure that produces it, then examines the four constraints that the literature treats as parallel obstacles: commitment design, measurement and visibility, selective national implementation, and financing. The analysis finds the constraints are causally coupled rather than additive. Indicator selection removed the distributional and environmental content of several goals; the goals that lost measurability were subsequently deprioritised in national reviews; weak accountability then permitted the shortfall to be attributed to insufficient finance; and financing responses concentrated on the goals that remained visible. Shocks act on this cycle as an amplifier rather than an independent cause. The paper sets out three feedback loops that sustain the </w:t>
      </w:r>
    </w:p>
    <w:p>
      <w:pPr/>
      <w:r>
        <w:rPr>
          <w:b/>
        </w:rPr>
        <w:t>POSSIBLE 2026:</w:t>
      </w:r>
      <w:r>
        <w:t xml:space="preserve"> Reimagining SDG 17 in Africa Through the Marshall Plan Paradigm: A Conceptual Framework for Equitable and Sustainable Global Partnerships — https://doi.org/10.3390/su18083688</w:t>
      </w:r>
    </w:p>
    <w:p>
      <w:pPr/>
      <w:r>
        <w:rPr>
          <w:b/>
        </w:rPr>
        <w:t>Shared claim-specific concepts:</w:t>
      </w:r>
      <w:r>
        <w:t xml:space="preserve"> framework, actors, sustainable; EU scope not established. This is a provisional connection, not an outcome finding.</w:t>
      </w:r>
    </w:p>
    <w:p>
      <w:pPr>
        <w:pStyle w:val="SourceNote"/>
      </w:pPr>
      <w:r>
        <w:rPr>
          <w:b/>
        </w:rPr>
        <w:t>Available abstract (not full text):</w:t>
      </w:r>
      <w:r>
        <w:t xml:space="preserve"> This study develops a conceptual framework for reimagining Sustainable Development Goal 17 (SDG 17) in Africa through a reinterpretation of the Marshall Plan’s governance logic. The primary focus is to address persistent failures in development partnerships—namely, fragmentation, weak coordination, power asymmetries, and limited institutional capacity—by proposing a structured model of partnership governance. Using a theory-building methodology grounded in historical analysis and documentary evidence, the study applies a systematic adaptation logic in which core governance mechanisms from the Marshall Plan are re-specified to reflect African institutional realities. These mechanisms—coordination, mutual accountability, collective action, state capacity, and trust—are translated into eight operational pillars: co-development, institutional strengthening, structural transformation, regional integration, blended finance, digital public infrastructure, knowledge co-production, and resilience. The framework conceptualizes SDG 17 as a meta-governance system that aligns actors, institutions, and resources across sectors. By moving from historical abstraction to context-sensitive application, the study contributes a coherent, Africa-centered governance model that enhances partnership effectiveness and informs post-2030 development policy.</w:t>
      </w:r>
    </w:p>
    <w:p>
      <w:pPr/>
      <w:r>
        <w:rPr>
          <w:b/>
        </w:rPr>
        <w:t>POSSIBLE 2025:</w:t>
      </w:r>
      <w:r>
        <w:t xml:space="preserve"> Do European Social Funds Matter in Achieving the Sustainable Development Goals? — https://doi.org/10.3390/su17020381</w:t>
      </w:r>
    </w:p>
    <w:p>
      <w:pPr/>
      <w:r>
        <w:rPr>
          <w:b/>
        </w:rPr>
        <w:t>Shared claim-specific concepts:</w:t>
      </w:r>
      <w:r>
        <w:t xml:space="preserve"> sdg17, sustainable; EU scope visible. This is a provisional connection, not an outcome finding.</w:t>
      </w:r>
    </w:p>
    <w:p>
      <w:pPr>
        <w:pStyle w:val="SourceNote"/>
      </w:pPr>
      <w:r>
        <w:rPr>
          <w:b/>
        </w:rPr>
        <w:t>Available abstract (not full text):</w:t>
      </w:r>
      <w:r>
        <w:t xml:space="preserve"> The aim and novelty of this study lie in analyzing the role of the European Social Fund (ESF) in supporting the implementation of the Sustainable Development Goals (SDGs) within European Union (EU) countries over the 2015–2023 period. EU Member States were grouped into two clusters: Cluster A (15 lower-income states) and Cluster B (12 higher-income states). The study used ESF payments as the explanatory variable and 17 SDG indicators as dependent variables. The methodology combined exploratory factor analysis (EFA) and robust regression to analyze the relationship between the ESF and the SDGs. The ESF has a significant impact on reducing poverty (SDG1), fostering economic growth (SDG8), and enhancing industry and innovation (SDG9), particularly in less-developed regions where its interventions address structural challenges through vocational training, job creation, and infrastructure development. However, its contributions to sustainability goals (SDGs 7, 12, and 13) are limited or even negative in some cases, as economic priorities often overshadow environmental objectives, especially in more-developed regions where climate and energy transitions rely on other funding sources. The ESF excels in fostering partnerships (SDG17) in less-developed regions by mobilizing resources and promoting collaboration, but its role is less impactful in developed regions where institutional fra</w:t>
      </w:r>
    </w:p>
    <w:p>
      <w:pPr/>
      <w:r>
        <w:rPr>
          <w:b/>
        </w:rPr>
        <w:t>POSSIBLE 2025:</w:t>
      </w:r>
      <w:r>
        <w:t xml:space="preserve"> Sustainable Development Goal‐Related Innovations and Financial Performance: Evidence From European Grocery Retailers — https://doi.org/10.1002/csr.70013</w:t>
      </w:r>
    </w:p>
    <w:p>
      <w:pPr/>
      <w:r>
        <w:rPr>
          <w:b/>
        </w:rPr>
        <w:t>Shared claim-specific concepts:</w:t>
      </w:r>
      <w:r>
        <w:t xml:space="preserve"> sustainable, line; EU scope visible. This is a provisional connection, not an outcome finding.</w:t>
      </w:r>
    </w:p>
    <w:p>
      <w:pPr>
        <w:pStyle w:val="SourceNote"/>
      </w:pPr>
      <w:r>
        <w:rPr>
          <w:b/>
        </w:rPr>
        <w:t>Available abstract (not full text):</w:t>
      </w:r>
      <w:r>
        <w:t xml:space="preserve"> ABSTRACT The grocery retail industry is of great economic importance, with millions of people employed in the sector and billions of customers served. Consequently, the sustainability initiatives undertaken by retailers have a substantial impact. This paper explores the impact of innovations related to the Sustainable Development Goals (SDGs) on retailers' financial performance. The findings of this study indicate that the 18 largest European grocery retailers introduced 2701 innovations between 2007 and 2021, of which 783 were SDG‐related. Furthermore, these SDG‐related innovations impacted financial performance positively. Innovations related to SDG2 (zero hunger), SDG9 (industry, innovation and infrastructure), and SDG12 (responsible consumption and production) had a significant and positive effect on the financial performance of grocery retailers, thereby inspiring a new wave of sustainability‐related practices in the industry. The present study contributes to the extant literature by demonstrating that profitable SDG‐related innovations have been identified in all three areas of the triple bottom line approach.</w:t>
      </w:r>
    </w:p>
    <w:p>
      <w:pPr/>
      <w:r>
        <w:rPr>
          <w:b/>
        </w:rPr>
        <w:t>POSSIBLE 2025:</w:t>
      </w:r>
      <w:r>
        <w:t xml:space="preserve"> Globalization, glocalization, and Internationalization at Home from a Chinese perspective: case studies of China–Europe higher education cooperation — https://doi.org/10.1177/17454999251325120</w:t>
      </w:r>
    </w:p>
    <w:p>
      <w:pPr/>
      <w:r>
        <w:rPr>
          <w:b/>
        </w:rPr>
        <w:t>Shared claim-specific concepts:</w:t>
      </w:r>
      <w:r>
        <w:t xml:space="preserve"> framework, sustainable; EU scope visible. This is a provisional connection, not an outcome finding.</w:t>
      </w:r>
    </w:p>
    <w:p>
      <w:pPr>
        <w:pStyle w:val="SourceNote"/>
      </w:pPr>
      <w:r>
        <w:rPr>
          <w:b/>
        </w:rPr>
        <w:t>Available abstract (not full text):</w:t>
      </w:r>
      <w:r>
        <w:t xml:space="preserve"> In a dynamic global environment, higher education cooperation is a driving force behind the advancement of scientific knowledge that offers potential solutions to world problems and global challenges. China and Europe have a long history of higher education exchange. In the literature, most papers on China–Europe higher education cooperation have focused on the development prior to the latest dramatic period of change. To fill this significant gap in knowledge and evidence, we develop a unified conceptual framework that links the modes of contemporary higher education cooperation in the context of China (globalization, glocalization, and Internationalization at Home), with the models of internationalized higher education institutions in the literature (classical, satellite, and co-founded). We then apply our analytical framework and examine three case studies: China Europe International Business School (CEIBS), Hainan Bielefeld University of Applied Sciences (BiUH), and Zhejiang University – University of Edinburgh Institute (ZJE). Overall, our paper sheds light on how each China–Europe higher education cooperation model can tackle the global challenges faced by global society as in the UN Sustainable Development Goals (SDGs).</w:t>
      </w:r>
    </w:p>
    <w:p>
      <w:pPr/>
      <w:r>
        <w:rPr>
          <w:b/>
        </w:rPr>
        <w:t>POSSIBLE 2025:</w:t>
      </w:r>
      <w:r>
        <w:t xml:space="preserve"> Driving SDG15 : The Role of HEIs in Biodiversity Conservation Through Digitalization and Reporting — https://doi.org/10.1002/sd.3504</w:t>
      </w:r>
    </w:p>
    <w:p>
      <w:pPr/>
      <w:r>
        <w:rPr>
          <w:b/>
        </w:rPr>
        <w:t>Shared claim-specific concepts:</w:t>
      </w:r>
      <w:r>
        <w:t xml:space="preserve"> sdg17, sustainable; EU scope visible. This is a provisional connection, not an outcome finding.</w:t>
      </w:r>
    </w:p>
    <w:p>
      <w:pPr>
        <w:pStyle w:val="SourceNote"/>
      </w:pPr>
      <w:r>
        <w:rPr>
          <w:b/>
        </w:rPr>
        <w:t>Available abstract (not full text):</w:t>
      </w:r>
      <w:r>
        <w:t xml:space="preserve"> ABSTRACT Education, research, and public engagement are key strategies guiding European higher education institutions (HEIs) in advancing the United Nations Sustainable Development Goals (SDGs). Through stakeholder, legitimacy, and resource‐based view theories, this study examines the contributions of HEIs to saving Life on Land (SDG15), focusing on the role of digital technologies and Partnerships (SDG17) in biodiversity conservation. Despite interest in biodiversity conservation and the adoption of digital technologies in HEIs, knowledge about SDG15 issues is still limited. A double‐level content analysis through Leximancer v.5 and manual analysis was performed on 653 documents (191 sustainability reports and 462 website pages) from 50 European HEIs published between 2018 and 2024. The results highlight the key role of SDG17 and digital technologies in supporting biodiversity conservation efforts but also reveal a lack of standardized reporting frameworks, underscoring the need for a unified European approach to biodiversity disclosure to ensure more consistent and impactful contributions toward the SDGs. To the best of the authors' knowledge, this is the first study to address knowledge gaps on biodiversity practices supported by digitalization and partnerships, as adopted and shared through sustainability reporting by the top 50 universities leading in land conservation in </w:t>
      </w:r>
    </w:p>
    <w:p>
      <w:pPr/>
      <w:r>
        <w:rPr>
          <w:b/>
        </w:rPr>
        <w:t>POSSIBLE 2025:</w:t>
      </w:r>
      <w:r>
        <w:t xml:space="preserve"> From Goals to Action: A Targeted Framework for Sustainable Development Goals in Higher Education — https://doi.org/10.5772/intechopen.1010565</w:t>
      </w:r>
    </w:p>
    <w:p>
      <w:pPr/>
      <w:r>
        <w:rPr>
          <w:b/>
        </w:rPr>
        <w:t>Shared claim-specific concepts:</w:t>
      </w:r>
      <w:r>
        <w:t xml:space="preserve"> framework, sustainable; EU scope not established. This is a provisional connection, not an outcome finding.</w:t>
      </w:r>
    </w:p>
    <w:p>
      <w:pPr>
        <w:pStyle w:val="SourceNote"/>
      </w:pPr>
      <w:r>
        <w:rPr>
          <w:b/>
        </w:rPr>
        <w:t>Available abstract (not full text):</w:t>
      </w:r>
      <w:r>
        <w:t xml:space="preserve"> In recent years, the accelerating trend of digital transformation has compelled Higher Education Institutions (HEIs) to redefine their role and contribution to individual learners’ lives. This study builds on our previous work undertaken on Widening Participation (WP) and international students under current education 4.0 paradigms and ongoing digital transformation. We propose a practical framework to make the integration of Sustainable Development Goals (SDGs) more targeted and actionable for effective accessibility, inclusivity, and sustainability within the UK Higher Education sector. Critical inquiries have established a clear aim for HEIs to meet these indicators, although obstacles were identified within the subsequent gap analysis of the “2015 UN SDG Agenda” in their execution. Our chapter focuses primarily on the strategic alignment of SDG 4 (Quality Education), SDG 5 (Gender Equality), SDG 10 (Reduced Inequalities), and SDG 17 (Partnerships for the Goals) with institutional practices and graduate employability pathways. Furthermore, the discourse responds to criticisms that SDG implementation has been too broad or perceived as a “box-ticking” exercise, rather than a thoughtfully designed initiative that delivers measurable outcomes. The SDG Prism Framework essentially transforms the broad ambitions of SDGs through the process of “refraction” for realistic implementati</w:t>
      </w:r>
    </w:p>
    <w:p>
      <w:pPr/>
      <w:r>
        <w:rPr>
          <w:b/>
        </w:rPr>
        <w:t>POSSIBLE 2025:</w:t>
      </w:r>
      <w:r>
        <w:t xml:space="preserve"> The Future of Sustainable Development Goals and Culture: Addressing Missing Dimensions from Four Cosmovisions African Ubuntu, Latin-American Buen Vivir, Buddhist Happiness and Nordic Sami Arbediehtu — https://doi.org/10.1057/s41287-025-00708-6</w:t>
      </w:r>
    </w:p>
    <w:p>
      <w:pPr/>
      <w:r>
        <w:rPr>
          <w:b/>
        </w:rPr>
        <w:t>Shared claim-specific concepts:</w:t>
      </w:r>
      <w:r>
        <w:t xml:space="preserve"> sdg17, others, sustainable; EU scope not established. This is a provisional connection, not an outcome finding.</w:t>
      </w:r>
    </w:p>
    <w:p>
      <w:pPr>
        <w:pStyle w:val="SourceNote"/>
      </w:pPr>
      <w:r>
        <w:rPr>
          <w:b/>
        </w:rPr>
        <w:t>Available abstract (not full text):</w:t>
      </w:r>
      <w:r>
        <w:t xml:space="preserve"> Abstract The SDGs miss crucial dimensions when viewed from the cosmovisions of Ubuntu, Buen Vivir, Buddhist Happiness and Sami Arbediehtu. What principles can be derived from these cosmovisions to guide discussions after 2030? As methodology we use a dialogical intercultural philosophical reflection and a decolonial stance addressing planetary survival instead of sustainable development, to develop principles for after 2030, for example to be included in a Culture Goal using the transformative power of culture. After analysing and comparing the four cosmovisions, we suggest ‘Harmony with Nature’ as an umbrella planetary wellbeing concept. Other principles could be: (social SDGs:) harmony with oneself, others and nature; interculturality and epistemic diversity; community flourishing; balance of masculine and feminine values; intertwinement of spiritual, emotional, physical, communal health; serving others as educational goal; (green SDGs:) intrinsic value of nature as part of the community; recognizing ancestorial legacy and future generations’ needs; (economic SDGs:) economics of collective well-being, earth governance and society-oriented businesses; (SDG16:) participatory, ‘deep’ consensus oriented democracy; collective dignity, restorative justice; (SDG17 global partnership:) interdependence of all life.</w:t>
      </w:r>
    </w:p>
    <w:p>
      <w:pPr/>
      <w:r>
        <w:rPr>
          <w:b/>
        </w:rPr>
        <w:t>POSSIBLE 2025:</w:t>
      </w:r>
      <w:r>
        <w:t xml:space="preserve"> Bridging Regional Development and Sustainability: The Contribution of the European Regional Development Fund to Sustainable Development Goals Progress in the EU — https://doi.org/10.3390/su17083665</w:t>
      </w:r>
    </w:p>
    <w:p>
      <w:pPr/>
      <w:r>
        <w:rPr>
          <w:b/>
        </w:rPr>
        <w:t>Shared claim-specific concepts:</w:t>
      </w:r>
      <w:r>
        <w:t xml:space="preserve"> contribute, sustainable; EU scope visible. This is a provisional connection, not an outcome finding.</w:t>
      </w:r>
    </w:p>
    <w:p>
      <w:pPr>
        <w:pStyle w:val="SourceNote"/>
      </w:pPr>
      <w:r>
        <w:rPr>
          <w:b/>
        </w:rPr>
        <w:t>Available abstract (not full text):</w:t>
      </w:r>
      <w:r>
        <w:t xml:space="preserve"> The primary focus and innovation of this study lie in examining the role of the European Regional Development Fund (ERDF) in advancing the implementation of the Sustainable Development Goals (SDGs) across the EU member states during the 2015–2023 period. For this purpose, the EU member states were categorized into two groups: Group A (lower-income states) and Group B (higher-income states). This study utilized ERDF payments as the independent variable, while 17 SDG indicators were treated as the dependent variables. The methodology combined an Exploratory Factor Analysis (EFA) with robust regression techniques to explore the relationships between ERDF allocations and SDGs. This study highlights that the associations between ERDF allocations and SDGs progress are shaped by variations in the socio-economic contexts, institutional capacities, and developmental priorities across the different clusters. While tailored strategies reflecting these distinctions have been increasingly adopted to ensure that investments address immediate challenges and foster long-term sustainability, this analysis underscores the need for the continuous refinement of these approaches to maximize their effectiveness. In less developed regions, a focus on capacity-building initiatives and targeted administrative support is essential. Conversely, in more developed regions, prioritizing innovation, green te</w:t>
      </w:r>
    </w:p>
    <w:p>
      <w:pPr/>
      <w:r>
        <w:rPr>
          <w:b/>
        </w:rPr>
        <w:t>POSSIBLE 2025:</w:t>
      </w:r>
      <w:r>
        <w:t xml:space="preserve"> An Approach for Identifying a Global Core Indicator Set for Post-2030 International Development Goals — https://doi.org/10.3390/su17157076</w:t>
      </w:r>
    </w:p>
    <w:p>
      <w:pPr/>
      <w:r>
        <w:rPr>
          <w:b/>
        </w:rPr>
        <w:t>Shared claim-specific concepts:</w:t>
      </w:r>
      <w:r>
        <w:t xml:space="preserve"> framework, contribute, sustainable; EU scope not established. This is a provisional connection, not an outcome finding.</w:t>
      </w:r>
    </w:p>
    <w:p>
      <w:pPr>
        <w:pStyle w:val="SourceNote"/>
      </w:pPr>
      <w:r>
        <w:rPr>
          <w:b/>
        </w:rPr>
        <w:t>Available abstract (not full text):</w:t>
      </w:r>
      <w:r>
        <w:t xml:space="preserve"> The global indicator framework for monitoring the progress of the United Nations Sustainable Development Goals (SDGs) faces challenges such as insufficient data availability and comparability. However, fundamental changes to the SDG indicator framework are unlikely to occur by the SDG target year of 2030. An opportunity for improvements lies in the development of post-2030 international development goals. To contribute to future discussions on the post-2030 indicator framework, this study investigates how to address data availability and comparability issues. A suggested improvement is to develop a relatively small set of indicators, named “core indicators,” which are intended to reduce the data compilation burden for countries while enabling the monitoring of the overall progress of goals. To examine the feasibility of identifying the core indicators, this study undertook an analysis of official SDG data from 2000 to 2023, and selected 47 disaggregated indicators (DIs) utilizing statistical correlations between DI pairs. The analysis revealed that the 47 core DIs could produce country SDG progress scores similar to those calculated with a much larger dataset of 1112 DIs. The results indicated the usefulness of the proposed approach in selecting the core indicators for the post-2030 international development goals.</w:t>
      </w:r>
    </w:p>
    <w:p>
      <w:pPr>
        <w:pStyle w:val="Heading2"/>
      </w:pPr>
      <w:r>
        <w:t>812. The European forest sector: past and future carbon budget and fluxes under different management scenarios</w:t>
      </w:r>
    </w:p>
    <w:p>
      <w:pPr>
        <w:pStyle w:val="SourceNote"/>
      </w:pPr>
      <w:r>
        <w:rPr>
          <w:b/>
        </w:rPr>
        <w:t>Original source (2017):</w:t>
      </w:r>
      <w:r>
        <w:t xml:space="preserve"> https://doi.org/10.5194/bg-14-2387-2017</w:t>
      </w:r>
    </w:p>
    <w:p>
      <w:pPr/>
      <w:r>
        <w:t>Original wording (abstract; indexed_source_text_not_full_document_verified): Under the constant harvest rate scenario, our findings show an incipient aging process of the forests existing in 1990: although NPP increases (+7 %), heterotrophic respiration increases at a greater rate (+13 %) and this leads to a decrease in the sink in the forest pools (−6 %) in 2030 compared to the historical period.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w:t>
      </w:r>
    </w:p>
    <w:p>
      <w:pPr/>
      <w:r>
        <w:rPr>
          <w:b/>
        </w:rPr>
        <w:t>POSSIBLE 2025:</w:t>
      </w:r>
      <w:r>
        <w:t xml:space="preserve"> Understanding Europe's Forest Harvesting Regimes — https://doi.org/10.1029/2024ef005225</w:t>
      </w:r>
    </w:p>
    <w:p>
      <w:pPr/>
      <w:r>
        <w:rPr>
          <w:b/>
        </w:rPr>
        <w:t>Shared claim-specific concepts:</w:t>
      </w:r>
      <w:r>
        <w:t xml:space="preserve"> harvest, forests, forest; EU scope visible. This is a provisional connection, not an outcome finding.</w:t>
      </w:r>
    </w:p>
    <w:p>
      <w:pPr>
        <w:pStyle w:val="SourceNote"/>
      </w:pPr>
      <w:r>
        <w:rPr>
          <w:b/>
        </w:rPr>
        <w:t>Available abstract (not full text):</w:t>
      </w:r>
      <w:r>
        <w:t xml:space="preserve"> Abstract European forests are being shaped by active human use and management, and by harvesting of wood in particular. Yet, our understanding of how forests are harvested across Europe is limited, as the real harvest regimes are not well described by currently available data. Here, we analyse recent harvests, as observed in permanent plots of forest inventories in 11 European countries, totaling to 182,649 plots and covering all major forest types. We (a) characterize harvest regimes through the frequency and intensity of harvest events spatially across Europe, and (b) build models for the probability and intensity of harvest events at the plot‐level and examine the links to potential drivers of harvest, including the pre‐harvest forest structure and composition, climatic, topographic and socio‐economic factors, and past natural disturbances. The results revealed notable variation in harvest regimes across Europe, ranging from high‐frequency and low‐intensity harvests in eastern Central Europe to low‐frequency and high‐intensity harvests in the north, with different strategies emerging in regions with similar total harvest rates. The harvest regimes were strongly driven by country‐level variation, emphasizing the role of national‐level factors. Pre‐harvest forest properties were important drivers for the intensity of harvest, whereas the probability of harvest was more related</w:t>
      </w:r>
    </w:p>
    <w:p>
      <w:pPr/>
      <w:r>
        <w:rPr>
          <w:b/>
        </w:rPr>
        <w:t>POSSIBLE 2024:</w:t>
      </w:r>
      <w:r>
        <w:t xml:space="preserve"> Evaluation of Pencycuron Residue Dynamics in Eggplant Using LC-MS/MS and Establishment of Pre-Harvest Residue Limits — https://doi.org/10.3390/foods13233754</w:t>
      </w:r>
    </w:p>
    <w:p>
      <w:pPr/>
      <w:r>
        <w:rPr>
          <w:b/>
        </w:rPr>
        <w:t>Shared claim-specific concepts:</w:t>
      </w:r>
      <w:r>
        <w:t xml:space="preserve"> constant, harvest, rate, period; EU scope visible. This is a provisional connection, not an outcome finding.</w:t>
      </w:r>
    </w:p>
    <w:p>
      <w:pPr>
        <w:pStyle w:val="SourceNote"/>
      </w:pPr>
      <w:r>
        <w:rPr>
          <w:b/>
        </w:rPr>
        <w:t>Available abstract (not full text):</w:t>
      </w:r>
      <w:r>
        <w:t xml:space="preserve"> Pencycuron is a fungicide whose maximum residue limit (MRL) in eggplant is either set at very low levels (0.02 mg/kg in European Union) or remains unestablished in many countries, necessitating stringent pesticide management. To enable timely interventions by farmers and regulators, pre-harvest residue limits (PHRLs) propose maximum allowable pesticide concentrations for each day during the pre-harvest period. An analytical method was developed to conduct residue determination trials, demonstrating that graphitized carbon black (GCB) effectively removes eggplant matrices during sample preparation. The LC-MS/MS method was established with a limit of quantification (LOQ) of 0.005 mg/kg, recovery rates ranging from 102.6% to 106.1% with relative standard deviation (RSD; 2.3–6.4%), and a matrix effect (%ME) of +8.1%. Residue analysis revealed a concentration of 0.045 mg/kg at 0 days after treatment (DAT), decreasing to 0.006 mg/kg at 14 DAT. The residue dynamics followed a first-order kinetic model, as confirmed by the F-test, with a rate constant of 0.1405. Therefore, the half-life was determined to be 4.9 d. Based on the MRL value of 0.02 mg/kg at 0 days before harvest (DBH), the PHRL was determined using both k and kmin, resulting in values of 0.04 mg/kg and 0.02 mg/kg at 5 days and 0.08 mg/kg and 0.03 mg/kg at 10 DBH, respectively. Using kmin yields more conservative results, w</w:t>
      </w:r>
    </w:p>
    <w:p>
      <w:pPr/>
      <w:r>
        <w:rPr>
          <w:b/>
        </w:rPr>
        <w:t>POSSIBLE 2024:</w:t>
      </w:r>
      <w:r>
        <w:t xml:space="preserve"> Preliminary results of dandelion cultivation under different seeding rates and harvest regimes — https://doi.org/10.1002/agg2.20521</w:t>
      </w:r>
    </w:p>
    <w:p>
      <w:pPr/>
      <w:r>
        <w:rPr>
          <w:b/>
        </w:rPr>
        <w:t>Shared claim-specific concepts:</w:t>
      </w:r>
      <w:r>
        <w:t xml:space="preserve"> harvest, rate, compared; EU scope visible. This is a provisional connection, not an outcome finding.</w:t>
      </w:r>
    </w:p>
    <w:p>
      <w:pPr>
        <w:pStyle w:val="SourceNote"/>
      </w:pPr>
      <w:r>
        <w:rPr>
          <w:b/>
        </w:rPr>
        <w:t>Available abstract (not full text):</w:t>
      </w:r>
      <w:r>
        <w:t xml:space="preserve"> Abstract In the past, several wild plants were widely consumed as food by humans. Dandelion [Taraxacum officinale (L.) Weber ex F.H. Wigg] is a wild species with remarkable nutritional and medicinal properties. Many studies have investigated the chemical components of the plant for human health. Nonetheless, little research has been carried out on the cultivation and related production of this species. With this study, we intend to investigate some cultural practices to start defining an efficient protocol for dandelion cultivation in northern Italy. Two seeding rates (0.14 and 0.55 g m−2) and two harvest regimes (when leaves reached a length of 20 cm and 1 week later) were compared. Leaf fresh weight yield was determined at each harvest, and the following morphological parameters were measured: plant height, number of plants per square meter, number of leaves per square meter, leaf area index, number of leaves per plant, leaf weight, and specific leaf weight. The productivity of dandelion was found to be unaffected by the seeding rate, and no significant differences were found between harvest regimes. The delayed harvest regime was only advantageous at the first cut as it allowed for a longer establishment phase, resulting in a higher yield. The nitrate content in the leaves differed between the first two cuts and the third and fourth cuts with both harvest regimes and both so</w:t>
      </w:r>
    </w:p>
    <w:p>
      <w:pPr/>
      <w:r>
        <w:rPr>
          <w:b/>
        </w:rPr>
        <w:t>POSSIBLE 2023:</w:t>
      </w:r>
      <w:r>
        <w:t xml:space="preserve"> The carbon costs of global wood harvests — https://doi.org/10.1038/s41586-023-06187-1</w:t>
      </w:r>
    </w:p>
    <w:p>
      <w:pPr/>
      <w:r>
        <w:rPr>
          <w:b/>
        </w:rPr>
        <w:t>Shared claim-specific concepts:</w:t>
      </w:r>
      <w:r>
        <w:t xml:space="preserve"> harvest, forests, although, forest; EU scope not established. This is a provisional connection, not an outcome finding.</w:t>
      </w:r>
    </w:p>
    <w:p>
      <w:pPr>
        <w:pStyle w:val="SourceNote"/>
      </w:pPr>
      <w:r>
        <w:rPr>
          <w:b/>
        </w:rPr>
        <w:t>Available abstract (not full text):</w:t>
      </w:r>
      <w:r>
        <w:t xml:space="preserve"> Abstract After agriculture, wood harvest is the human activity that has most reduced the storage of carbon in vegetation and soils 1,2 . Although felled wood releases carbon to the atmosphere in various steps, the fact that growing trees absorb carbon has led to different carbon-accounting approaches for wood use, producing widely varying estimates of carbon costs. Many approaches give the impression of low, zero or even negative greenhouse gas emissions from wood harvests because, in different ways, they offset carbon losses from new harvests with carbon sequestration from growth of broad forest areas 3,4 . Attributing this sequestration to new harvests is inappropriate because this other forest growth would occur regardless of new harvests and typically results from agricultural abandonment, recovery from previous harvests and climate change itself. Nevertheless some papers count gross emissions annually, which assigns no value to the capacity of newly harvested forests to regrow and approach the carbon stocks of unharvested forests. Here we present results of a new model that uses time discounting to estimate the present and future carbon costs of global wood harvests under different scenarios. We find that forest harvests between 2010 and 2050 will probably have annualized carbon costs of 3.5–4.2 Gt CO 2 e yr −1 , which approach common estimates of annual emissions from lan</w:t>
      </w:r>
    </w:p>
    <w:p>
      <w:pPr/>
      <w:r>
        <w:rPr>
          <w:b/>
        </w:rPr>
        <w:t>POSSIBLE 2023:</w:t>
      </w:r>
      <w:r>
        <w:t xml:space="preserve"> Response of forage maize yield and quality to mulch film and harvest time in Northern Europe — https://doi.org/10.23986/afsci.125326</w:t>
      </w:r>
    </w:p>
    <w:p>
      <w:pPr/>
      <w:r>
        <w:rPr>
          <w:b/>
        </w:rPr>
        <w:t>Shared claim-specific concepts:</w:t>
      </w:r>
      <w:r>
        <w:t xml:space="preserve"> harvest, rate, although; EU scope visible. This is a provisional connection, not an outcome finding.</w:t>
      </w:r>
    </w:p>
    <w:p>
      <w:pPr>
        <w:pStyle w:val="SourceNote"/>
      </w:pPr>
      <w:r>
        <w:rPr>
          <w:b/>
        </w:rPr>
        <w:t>Available abstract (not full text):</w:t>
      </w:r>
      <w:r>
        <w:t xml:space="preserve"> Forage maize (Zea mays L.) yield and nutritional quality fluctuate markedly in Northern Europe due to weather conditions. A field experiment was conducted in Southern Finland (Helsinki, 2018–2020) and in Central Finland (Maaninka, Kuopio, 2019–2020) to study the effect of harvest time and use of mulch film, in order to optimize the dry matter (DM) yield and quality. Treatments included oxo-biodegradable mulch film and no mulch, and three harvest times (the latter only in Helsinki). Mulch film increased DM yield on average by 2.3 Mg ha-1 in Helsinki and by 3.8 Mg ha-1 in Maaninka. Mulch film had a minor effect on the quality, and overall, the quality improved, although DM yield accumulation had already ceased. Nevertheless, the starch contents fluctuated and remained mostly below the target rate – 300 g kg-1 DM – especially in Central Finland. The results indicate that mulch film improves forage maize yield, but a late harvest is still required to improve forage quality. However, climate conditions still restrict starch accumulation to ears in Northern European climate conditions, especially in the important milk production area in Central Finland.</w:t>
      </w:r>
    </w:p>
    <w:p>
      <w:pPr/>
      <w:r>
        <w:rPr>
          <w:b/>
        </w:rPr>
        <w:t>POSSIBLE 2023:</w:t>
      </w:r>
      <w:r>
        <w:t xml:space="preserve"> A Model for Predicting Forest Growth and Harvesting Level — https://doi.org/10.21275/sr23718231315</w:t>
      </w:r>
    </w:p>
    <w:p>
      <w:pPr/>
      <w:r>
        <w:rPr>
          <w:b/>
        </w:rPr>
        <w:t>Shared claim-specific concepts:</w:t>
      </w:r>
      <w:r>
        <w:t xml:space="preserve"> harvest, rate, forests, forest; EU scope not established. This is a provisional connection, not an outcome finding.</w:t>
      </w:r>
    </w:p>
    <w:p>
      <w:pPr>
        <w:pStyle w:val="SourceNote"/>
      </w:pPr>
      <w:r>
        <w:rPr>
          <w:b/>
        </w:rPr>
        <w:t>Available abstract (not full text):</w:t>
      </w:r>
      <w:r>
        <w:t xml:space="preserve"> The study of forest dynamics is concerned with the changes in forest structure and composition over time,and it is obvious that forests managed in a sustainable manner are able to produce both high quality wood products and other ecological goods and services which include water purification, wildlife habitat and carbon sequestration.Similarly, forest management practices that protect aquatic systems, minimise soil disturbance and erosion, and promote rapid forest regeneration are all components of sustainable forestry.These factors have therefore necessitated this study of modelling forest growth and its associated harvesting policy for determining future sequence in order not to compromise its benefits.A number of growth models such as The Malthusian Growth Model, The Logistic Growth Model, Verhulst Logistic Growth Scaled with a 'Delaying' Factor   1 1 c N K     , and Richard's Growth Equation were some of the growth models mentioned in this study of the dynamics of the forest stand.The two possible equilibrium values for the solution of the model are 0 e P  and   1000 1 5 e Ph  .Whenever hr  , this will lead to extinction of the population and therefore as 0.2 hr  , the population size will settle down to the stable equilibrium 15 e Ph  .Hence for as long as 0 0.2 h  one can be confident that, the population won't die out.Again, 0.1 h  which is one-half </w:t>
      </w:r>
    </w:p>
    <w:p>
      <w:pPr/>
      <w:r>
        <w:rPr>
          <w:b/>
        </w:rPr>
        <w:t>POSSIBLE 2023:</w:t>
      </w:r>
      <w:r>
        <w:t xml:space="preserve"> Power Gain from Energy Harvesting Sources at High MPPT Sampling Rates — https://doi.org/10.3390/s23094388</w:t>
      </w:r>
    </w:p>
    <w:p>
      <w:pPr/>
      <w:r>
        <w:rPr>
          <w:b/>
        </w:rPr>
        <w:t>Shared claim-specific concepts:</w:t>
      </w:r>
      <w:r>
        <w:t xml:space="preserve"> constant, rate, process, increases, period; EU scope not established. This is a provisional connection, not an outcome finding.</w:t>
      </w:r>
    </w:p>
    <w:p>
      <w:pPr>
        <w:pStyle w:val="SourceNote"/>
      </w:pPr>
      <w:r>
        <w:rPr>
          <w:b/>
        </w:rPr>
        <w:t>Available abstract (not full text):</w:t>
      </w:r>
      <w:r>
        <w:t xml:space="preserve"> Energy harvesting (EH) sources require the tracking of their maximum power point (MPP) to ensure that maximum energy is captured. This tracking process, performed by an MPP tracker (MPPT), is performed by periodically measuring the EH transducer's output at a given sampling rate. The harvested power as a function of the sampling parameters has been analyzed in a few works, but the power gain achieved with respect to the case of a much slower sampling rate than the EH source's frequency has not been assessed so far. In this work, simple expressions are obtained that predict this gain assuming a Thévenin equivalent for the EH transducer. It is shown that the power gain depends on the relationship between the square of AC to DC open circuit voltage of the EH transducer. On the other hand, it is proven that harvested power increases, using a suitable constant signal for the MPP voltage instead of tracking the MPP at a low sampling rate. Experimental results confirmed the theoretical predictions. First, a function generator with a series resistor of 1 kΩ was used, emulating a generic Thévenin equivalent EH. Three waveform types were used (sinus, square, and triangular) with a DC voltage of 2.5 V and AC rms voltage of 0.83 V. A commercial MPPT with a fixed sampling rate of 3 Hz was used and the frequency of the waveforms was changed from 50 mHz to 50 Hz, thus effectively emulating di</w:t>
      </w:r>
    </w:p>
    <w:p>
      <w:pPr/>
      <w:r>
        <w:rPr>
          <w:b/>
        </w:rPr>
        <w:t>POSSIBLE 2023:</w:t>
      </w:r>
      <w:r>
        <w:t xml:space="preserve"> Single-Pass Grain Corn Harvest and Stubble Shredding: Performance of Three Corn Header Configurations as Effected by Harvesting Speed and Cutting Height — https://doi.org/10.3390/agriculture13040833</w:t>
      </w:r>
    </w:p>
    <w:p>
      <w:pPr/>
      <w:r>
        <w:rPr>
          <w:b/>
        </w:rPr>
        <w:t>Shared claim-specific concepts:</w:t>
      </w:r>
      <w:r>
        <w:t xml:space="preserve"> harvest, show, compared; EU scope not established. This is a provisional connection, not an outcome finding.</w:t>
      </w:r>
    </w:p>
    <w:p>
      <w:pPr>
        <w:pStyle w:val="SourceNote"/>
      </w:pPr>
      <w:r>
        <w:rPr>
          <w:b/>
        </w:rPr>
        <w:t>Available abstract (not full text):</w:t>
      </w:r>
      <w:r>
        <w:t xml:space="preserve"> This study aims to evaluate the efficiency of a new type of corn header equipped with flail knives that shreds corn stubble close to the ground. A field trial was carried out to quantify the influence of the shredding tool design (flail knives, standard knives, horizontal choppers disengaged), harvesting speed (1.5, 3.0, 4.5, 6.0 km/h) and cutting height (approx. 20 cm variation, 4 levels) on the power consumption of the corn header, engine load and fuel consumption of the combine harvester. The regression analyses revealed that modifications of the shredding tool assembly have significant effects on the parameters of the functional relationships. The power consumption of the flail knives configuration was 15 kW/row unit at 6 km/h at the lowest cutting height setting, making it compatible with most current combine harvester models. The additional power demand and fuel consumption that arise when switching to the new shredding tool design (flail knives) show a wide range, depending on the initial situation. Compared to the standard knives at 6 km/h, the additional power consumption was 3.6–5.5 kW/row unit and the additional fuel consumption was 2.6–3.9 L/ha. Compared to the configuration with disengaged horizontal choppers, it was 5.3–6.6 kW/row unit and 3.9–5.1 L/ha, respectively. At 90% engine load the additional power requirement was 1.6–3.1 kW/row unit and the additional fue</w:t>
      </w:r>
    </w:p>
    <w:p>
      <w:pPr/>
      <w:r>
        <w:rPr>
          <w:b/>
        </w:rPr>
        <w:t>POSSIBLE 2022:</w:t>
      </w:r>
      <w:r>
        <w:t xml:space="preserve"> Exploring a relative harvest rate strategy for moderately data-limited fisheries management — https://doi.org/10.1093/icesjms/fsac103</w:t>
      </w:r>
    </w:p>
    <w:p>
      <w:pPr/>
      <w:r>
        <w:rPr>
          <w:b/>
        </w:rPr>
        <w:t>Shared claim-specific concepts:</w:t>
      </w:r>
      <w:r>
        <w:t xml:space="preserve"> harvest, rate, historical; EU scope not established. This is a provisional connection, not an outcome finding.</w:t>
      </w:r>
    </w:p>
    <w:p>
      <w:pPr>
        <w:pStyle w:val="SourceNote"/>
      </w:pPr>
      <w:r>
        <w:rPr>
          <w:b/>
        </w:rPr>
        <w:t>Available abstract (not full text):</w:t>
      </w:r>
      <w:r>
        <w:t xml:space="preserve"> Abstract Moderately data-limited fisheries can be managed with simple empirical management procedures without analytical stock assessments. Often, control rules adjust advised catches by the trend of an abundance index. We explored an alternative approach where a relative harvest rate, defined by the catch relative to a biomass index, is used and the target level derived from analysing historical catch length data. This harvest rate rule was tested generically with management strategy evaluation. A genetic algorithm was deployed as an optimisation procedure to tune the parameters of the control rule to meet maximum sustainable yield and precautionary management objectives. Results indicated that this method could outperform trend-based strategies, particularly when optimised, achieving higher long-term yields while remaining precautionary. However, optimum harvest rate levels can be narrow and challenging to find because they depend on historical exploitation and life history characteristics. Misspecification of target levels can have a detrimental impact on management. Nevertheless, harvest rates appear to be a suitable management option for moderately data-limited resources, and their application has modest data requirements. Harvest rate strategies are especially suitable for stocks for which case-specific analyses can be conducted.</w:t>
      </w:r>
    </w:p>
    <w:p>
      <w:pPr/>
      <w:r>
        <w:rPr>
          <w:b/>
        </w:rPr>
        <w:t>POSSIBLE 2021:</w:t>
      </w:r>
      <w:r>
        <w:t xml:space="preserve"> Short Term Impacts of Harvesting 0perations on Soil Chemical Properties in a Mediterranean Oak Ecosystem — https://doi.org/10.5552/crojfe.2021.1100</w:t>
      </w:r>
    </w:p>
    <w:p>
      <w:pPr/>
      <w:r>
        <w:rPr>
          <w:b/>
        </w:rPr>
        <w:t>Shared claim-specific concepts:</w:t>
      </w:r>
      <w:r>
        <w:t xml:space="preserve"> forest, compared, period; EU scope visible. This is a provisional connection, not an outcome finding.</w:t>
      </w:r>
    </w:p>
    <w:p>
      <w:pPr>
        <w:pStyle w:val="SourceNote"/>
      </w:pPr>
      <w:r>
        <w:rPr>
          <w:b/>
        </w:rPr>
        <w:t>Available abstract (not full text):</w:t>
      </w:r>
      <w:r>
        <w:t xml:space="preserve"> Soil physical and chemical properties can be seriously affected by forest operations. There is a knowledge gap on this topic for oak ecosystems, which can play a significant role in the context of multiple-use forestry. The main objective of this study was to analyse forest floor and topsoil changes (0–10 cm) two years after the application of small-scale thinning (50% reduction of basal area) and clear-cut operations using mules to carry harvested material in a Northern Greece oak (Quercus frainetto Ten)ecosystem. The total amount of forest floor (O1+O2 horizons) was reduced by 37.8% in the thinned and 30.8% in the clear-cut plots compared to control plots. These large reductions are mainly due to reduction in the O2 horizon in the treated plots. Decomposition was reduced in the treated plots, possibly due to the new drier conditions. Treatments increased the soil pH but not to a significant extent. No evidence of erosion was found in the experimental plots due to the protective function of the forest floor and the use of designated mule trails. The areal extent of soil compaction was limited to only 3% of the total area mainly due to the careful planning and implementation of animal skidding. Small differences in C (%) and Ν (%) were found among control, thinned and clear-cut plots. The limiting growth factors in Mediterranean oak ecosystems are soil depth and the seasonal ch</w:t>
      </w:r>
    </w:p>
    <w:p>
      <w:pPr/>
      <w:r>
        <w:rPr>
          <w:b/>
        </w:rPr>
        <w:t>POSSIBLE 2020:</w:t>
      </w:r>
      <w:r>
        <w:t xml:space="preserve"> Does harvest of the European grayling, Thymallus thymallus (Actinopterygii: Salmoniformes: Salmonidae), change over time with different intensity of fish stocking and fishing effort? — https://doi.org/10.3750/aiep/02643</w:t>
      </w:r>
    </w:p>
    <w:p>
      <w:pPr/>
      <w:r>
        <w:rPr>
          <w:b/>
        </w:rPr>
        <w:t>Shared claim-specific concepts:</w:t>
      </w:r>
      <w:r>
        <w:t xml:space="preserve"> constant, harvest, period; EU scope visible. This is a provisional connection, not an outcome finding.</w:t>
      </w:r>
    </w:p>
    <w:p>
      <w:pPr>
        <w:pStyle w:val="SourceNote"/>
      </w:pPr>
      <w:r>
        <w:rPr>
          <w:b/>
        </w:rPr>
        <w:t>Available abstract (not full text):</w:t>
      </w:r>
      <w:r>
        <w:t xml:space="preserve"> Background. The European grayling, Thymallus thymallus (Linnaeus, 1758), is a fish species of high value in recreational fishing. The monitoring of changes in grayling populations is a high priority in fisheries. Data on the harvest of recreational anglers can potentially serve as an easy and inexpensive way to monitor changes in fish populations. This study aimed to assess spatio-temporal trends in catches of grayling in a larger geographical area. Materials and methods. This study analysed harvest rates of grayling by recreational anglers on 241 fishing grounds, in the Czech Republic, within 1986–2015 (30 years). Data from individual angling logbooks were used. The data were collected by individual anglers and processed by the Czech Fishing Union (Český rybářský svaz). Results. Over the period of 30 years, Czech anglers harvested a total of 9 928 grayling specimens weighing altogether 3 357 kg. Within the period surveyed, both parameters (the grayling biomass harvested and the representation of grayling in overall fish harvest) decreased to 10% of the initial values. The percentage of fishing grounds with a harvest of grayling decreased to 30% of the initial values. Harvest per effort decreased to 20% of the initial values over 11 years. There was only a weak correlation between fish stocking and fish harvest. There was a negative relation between the number of angler fishing</w:t>
      </w:r>
    </w:p>
    <w:p>
      <w:pPr/>
      <w:r>
        <w:rPr>
          <w:b/>
        </w:rPr>
        <w:t>POSSIBLE 2020:</w:t>
      </w:r>
      <w:r>
        <w:t xml:space="preserve"> Harvesting reflective knowledge exchange for inbound open innovation in complex collaborative networks: an empirical verification in Europe — https://doi.org/10.1108/jkm-04-2020-0300</w:t>
      </w:r>
    </w:p>
    <w:p>
      <w:pPr/>
      <w:r>
        <w:rPr>
          <w:b/>
        </w:rPr>
        <w:t>Shared claim-specific concepts:</w:t>
      </w:r>
      <w:r>
        <w:t xml:space="preserve"> findings, process, period; EU scope visible. This is a provisional connection, not an outcome finding.</w:t>
      </w:r>
    </w:p>
    <w:p>
      <w:pPr>
        <w:pStyle w:val="SourceNote"/>
      </w:pPr>
      <w:r>
        <w:rPr>
          <w:b/>
        </w:rPr>
        <w:t>Available abstract (not full text):</w:t>
      </w:r>
      <w:r>
        <w:t xml:space="preserve"> Purpose This study aims to investigate the effects of open innovation (OI) and big data analytics (BDA) on reflective knowledge exchange (RKE) within the context of complex collaborative networks. Specifically, it considers the relationships between sourcing knowledge from an external environment, transferring knowledge to an external environment and adopting solutions that are useful to appropriate returns from innovation. Design/methodology/approach This study analyzes the connection between the number of patent applications and the amount of OI, as well as the association between the number of patent applications and the use of BDA. Data from firms in the 27 European Union countries were retrieved from the Eurostat database for the period 2014–2019 and were investigated using an ordinary least squares regression analysis. Findings Because of its twofold lens based on both knowledge management and OI, this study sheds light on OI collaboration modes and highlights the crucial role they could play in innovation. In particular, the results suggest that OI collaboration modes have a strong effect on innovation performance, stimulating the search for RKE. Originality/value This study furthers a deeper understanding of RKE, which is shown to be an important mechanism that incentivizes firms to increase their efforts in the innovation process. Further, RKE supports firms in taking </w:t>
      </w:r>
    </w:p>
    <w:p>
      <w:pPr>
        <w:pStyle w:val="Heading2"/>
      </w:pPr>
      <w:r>
        <w:t>813. The European pulp and paper industry in transition to a bio-economy: A Delphi study</w:t>
      </w:r>
    </w:p>
    <w:p>
      <w:pPr>
        <w:pStyle w:val="SourceNote"/>
      </w:pPr>
      <w:r>
        <w:rPr>
          <w:b/>
        </w:rPr>
        <w:t>Original source (2017):</w:t>
      </w:r>
      <w:r>
        <w:t xml:space="preserve"> https://doi.org/10.1016/j.futures.2017.02.002</w:t>
      </w:r>
    </w:p>
    <w:p>
      <w:pPr/>
      <w:r>
        <w:t>Original wording (abstract; indexed_source_text_not_full_document_verified): This study adopts a three-round dissensus-based Delphi approach in order to explore our key research question of how the pulp and paper industry may change strategically, and what is the potential for value creation in the year 2030. According to our expert panel, the main drivers of competitiveness in 2030 will include energy and material efficiency, sustainability, as well as new innovations in products to serve customer needs better.</w:t>
      </w:r>
    </w:p>
    <w:p>
      <w:pPr/>
      <w:r>
        <w:rPr>
          <w:b/>
        </w:rPr>
        <w:t>POSSIBLE 2025:</w:t>
      </w:r>
      <w:r>
        <w:t xml:space="preserve"> Climate change skepticism of European farmers and implications for effective policy actions — https://doi.org/10.1038/s43247-025-02304-2</w:t>
      </w:r>
    </w:p>
    <w:p>
      <w:pPr/>
      <w:r>
        <w:rPr>
          <w:b/>
        </w:rPr>
        <w:t>Shared claim-specific concepts:</w:t>
      </w:r>
      <w:r>
        <w:t xml:space="preserve"> key, according; EU scope visible. This is a provisional connection, not an outcome finding.</w:t>
      </w:r>
    </w:p>
    <w:p>
      <w:pPr>
        <w:pStyle w:val="SourceNote"/>
      </w:pPr>
      <w:r>
        <w:rPr>
          <w:b/>
        </w:rPr>
        <w:t>Available abstract (not full text):</w:t>
      </w:r>
      <w:r>
        <w:t xml:space="preserve"> European farmers struggle with mitigating global emissions of greenhouse gases effectively and to cope with climate change. European regulators and national governments encounter obstacles in implementing environmental policies, feeding frustration amongst farmers. We hypothesize that these issues relate to climate change skepticism within the farming community and dissensus with non-farmers and between countries. To test this hypothesis, we analyzed climate attribution and impact skepticism amongst farmers and the rest of the working population using the Eurobarometer and the European Social Survey, and national data about gross domestic product (GDP), innovativeness, share of agricultural land, and climate damage risk for agriculture. Impact skepticism of farmers increases with decreasing risk of climate damage and increasing GDP, causing a South-North gradient in Europe. The majority of farmers in the EU countries were more skeptical than non-farmers. Understanding and reducing this skepticism provides a key to more effective mitigation and adaptation. The majority of farmers in European Union countries are more skeptical about climate change impact and attribution than the general population, and more so in more innovative and higher-income countries, according to an analysis of European-level surveys.</w:t>
      </w:r>
    </w:p>
    <w:p>
      <w:pPr/>
      <w:r>
        <w:rPr>
          <w:b/>
        </w:rPr>
        <w:t>POSSIBLE 2025:</w:t>
      </w:r>
      <w:r>
        <w:t xml:space="preserve"> Game Changers: National Referendums and the Politicization of Europe — https://doi.org/10.17645/pag.9261</w:t>
      </w:r>
    </w:p>
    <w:p>
      <w:pPr/>
      <w:r>
        <w:rPr>
          <w:b/>
        </w:rPr>
        <w:t>Shared claim-specific concepts:</w:t>
      </w:r>
      <w:r>
        <w:t xml:space="preserve"> key, question, include; EU scope visible. This is a provisional connection, not an outcome finding.</w:t>
      </w:r>
    </w:p>
    <w:p>
      <w:pPr>
        <w:pStyle w:val="SourceNote"/>
      </w:pPr>
      <w:r>
        <w:rPr>
          <w:b/>
        </w:rPr>
        <w:t>Available abstract (not full text):</w:t>
      </w:r>
      <w:r>
        <w:t xml:space="preserve"> How do national referendums shape political contestation? This article explores this question by examining the politicization of European integration, a key “cleavage issue” restructuring political conflict across Europe. While national referendums are often assumed to intensify public contestation over European integration, systematic comparative evidence remains limited. This study contributes to the debate by analyzing 87 public debates on European integration across six Western European countries (Austria, Britain, France, Germany, Sweden, and Switzerland), including 12 debates with national referendums. The analysis draws on the PolDem dataset (Hutter et al., 2016), updated to include the Brexit referendum. Through comprehensive across-debate and within-debate analyses, the findings show that referendums are associated with heightened politicization, particularly by expanding actor participation and increasing issue salience. Civil society and other non-executive actors gain visibility in referendum contexts, reinforcing the view that referendums level the political playing field. Although referendums increase framing diversity, they do not consistently lead to more polarized or identity-focused debates involving radical parties, challenging the notion that referendums inherently drive cultural conflict. This study advances our understanding of how direct democracy shapes </w:t>
      </w:r>
    </w:p>
    <w:p>
      <w:pPr/>
      <w:r>
        <w:rPr>
          <w:b/>
        </w:rPr>
        <w:t>POSSIBLE 2024:</w:t>
      </w:r>
      <w:r>
        <w:t xml:space="preserve"> Radical devices: Rethinking Art and Architecture as Forms of Dissensus in Urban Environments — https://doi.org/10.14198/uou.2024.8.12</w:t>
      </w:r>
    </w:p>
    <w:p>
      <w:pPr/>
      <w:r>
        <w:rPr>
          <w:b/>
        </w:rPr>
        <w:t>Shared claim-specific concepts:</w:t>
      </w:r>
      <w:r>
        <w:t xml:space="preserve"> explore, potential, creation; EU scope not established. This is a provisional connection, not an outcome finding.</w:t>
      </w:r>
    </w:p>
    <w:p>
      <w:pPr>
        <w:pStyle w:val="SourceNote"/>
      </w:pPr>
      <w:r>
        <w:rPr>
          <w:b/>
        </w:rPr>
        <w:t>Available abstract (not full text):</w:t>
      </w:r>
      <w:r>
        <w:t xml:space="preserve"> The aim of this paper is to investigate the possibilities opened up by radical interventions in public space: is it possible to foster reflection and create a critical methodology for analysing the topic of Commons in the urban context? Presenting the project “Stente: Residual Zones” as an example, the aim is to explore these questions using Umeå School of Architecture as a case study. Through the creation of an art/architectural object, the project seeks to use artistic and architectural practices as tools to engage city residents in an active dialogue about Common spaces. Starting with a theoretical framework for situating the critical potential of art and architectural objects in public spaces, in this paper the project is seen as an example of a temporary critical moving device, gathering and amplifying the voices of the inhabitants through the city: it aims to represent an open-ended invitation to reinterpret the boundaries between nature and the city, posing itself as a radical (from the latin radicalis) form of dissensus (Rancière 2010) The experiment was conducted at the Umeå School of Architecture between March and May 2024 within the research group “Designing the Contemporary City” at Umeå University.</w:t>
      </w:r>
    </w:p>
    <w:p>
      <w:pPr/>
      <w:r>
        <w:rPr>
          <w:b/>
        </w:rPr>
        <w:t>POSSIBLE 2024:</w:t>
      </w:r>
      <w:r>
        <w:t xml:space="preserve"> Arming Europe — https://doi.org/10.33540/2454</w:t>
      </w:r>
    </w:p>
    <w:p>
      <w:pPr/>
      <w:r>
        <w:rPr>
          <w:b/>
        </w:rPr>
        <w:t>Shared claim-specific concepts:</w:t>
      </w:r>
      <w:r>
        <w:t xml:space="preserve"> industry, potential, according; EU scope visible. This is a provisional connection, not an outcome finding.</w:t>
      </w:r>
    </w:p>
    <w:p>
      <w:pPr>
        <w:pStyle w:val="SourceNote"/>
      </w:pPr>
      <w:r>
        <w:rPr>
          <w:b/>
        </w:rPr>
        <w:t>Available abstract (not full text):</w:t>
      </w:r>
      <w:r>
        <w:t xml:space="preserve"> This articles-based dissertation assesses the constitutional effectiveness of the European Commission’s defence-industrial policy in the wake of the 2016 European Defence Action Plan (EDAP). This plan focused on developing and integrating the defence industry of the European Union (EU) through defence industry subsidies and arms trade liberalisation. The dissertation studies the EDAP against the background of the EU’s constitution, formed by the Treaty on European Union (TEU) and Treaty on the Functioning of the European Union (TFEU). That constitution is characterised by purpose-driven functionalism: it grants the EU functionally-defined competences to pursue specified objectives. Among those competences, a separation must be made between economic policy (which is supranational) and defence policy (which is intergovernmental). The EU Treaties thus form a dual constitution, of which the two parts function according to distinct logics and governance structures while standing in service to shared objectives. For the EDAP to be considered constitutionally effective, it must simultaneously respect this constitutional separation of powers and contribute to the EU’s objectives of promoting peace, its values, and the wellbeing of its peoples. Arms controls are now regulated in part through the internal market, but fall primarily within the remit of the Common Foreign and Security Poli</w:t>
      </w:r>
    </w:p>
    <w:p>
      <w:pPr/>
      <w:r>
        <w:rPr>
          <w:b/>
        </w:rPr>
        <w:t>POSSIBLE 2023:</w:t>
      </w:r>
      <w:r>
        <w:t xml:space="preserve"> The expected speed and impacts of vehicle automation in passenger and freight transport: A Dissensus Delphi study among UK professionals — https://doi.org/10.1016/j.rtbm.2023.100973</w:t>
      </w:r>
    </w:p>
    <w:p>
      <w:pPr/>
      <w:r>
        <w:rPr>
          <w:b/>
        </w:rPr>
        <w:t>Shared claim-specific concepts:</w:t>
      </w:r>
      <w:r>
        <w:t xml:space="preserve"> adopts, delphi, approach, potential; EU scope not established. This is a provisional connection, not an outcome finding.</w:t>
      </w:r>
    </w:p>
    <w:p>
      <w:pPr>
        <w:pStyle w:val="SourceNote"/>
      </w:pPr>
      <w:r>
        <w:rPr>
          <w:b/>
        </w:rPr>
        <w:t>Available abstract (not full text):</w:t>
      </w:r>
      <w:r>
        <w:t xml:space="preserve"> Vehicle automation is one of the most researched topics in transport studies but much remains uncertain about the speed of adoption and potential impacts, including if and how it can contribute to greater environmental sustainability. This study adopts a Delphi approach to examine the speed with which 15% of new vehicles will be automated (SAE-3, SAE-4 or SAE-5) and what impacts automation may have on motility, mobility, resource use and externalities in both passenger and freight transport. Although challenges with recruitment mean that all findings must be caveated and seen as exploratory, the analysis demonstrates considerable dissensus regarding the expected speed and impacts of vehicle automation in both passenger and freight transport among the participants. For both aspects, a diversity of views remains once participants were informed about the expectations of other panellists. The range of views is organised around the axes of optimism and certainty about what may happen. Considerable differences between passenger and freight transport can be identified for potential impacts of vehicle automation but not for speed of adoption.</w:t>
      </w:r>
    </w:p>
    <w:p>
      <w:pPr/>
      <w:r>
        <w:rPr>
          <w:b/>
        </w:rPr>
        <w:t>POSSIBLE 2022:</w:t>
      </w:r>
      <w:r>
        <w:t xml:space="preserve"> Perceived drivers and barriers in the governance of wastewater treatment and reuse in India: Insights from a two-round Delphi study — https://doi.org/10.1016/j.resconrec.2022.106285</w:t>
      </w:r>
    </w:p>
    <w:p>
      <w:pPr/>
      <w:r>
        <w:rPr>
          <w:b/>
        </w:rPr>
        <w:t>Shared claim-specific concepts:</w:t>
      </w:r>
      <w:r>
        <w:t xml:space="preserve"> delphi, key, drivers; EU scope not established. This is a provisional connection, not an outcome finding.</w:t>
      </w:r>
    </w:p>
    <w:p>
      <w:pPr>
        <w:pStyle w:val="SourceNote"/>
      </w:pPr>
      <w:r>
        <w:rPr>
          <w:b/>
        </w:rPr>
        <w:t>Available abstract (not full text):</w:t>
      </w:r>
      <w:r>
        <w:t xml:space="preserve"> Wastewater treatment and reuse practices are limited in India despite the known benefits of preventing water resources pollution and contributing to sustainable production and consumption systems. We identify the perceived key drivers and barriers to wastewater treatment and reuse governance in a two-round Delphi study, including literature and case study analyses and consultation with 75 panelists. Panelists indicated that the most significant driver for wastewater treatment and water reuse is persistent water scarcity that necessitates diversification to alternative water supplies. In contrast, the most significant barriers are the lack of enforcement of pollution monitoring and control, the lack of an umbrella directive for integrated water resources management, and insufficient collaboration between responsible governmental organizations, central and state water authorities. Given the absence of central guidelines, only a few Indian states such as Maharashtra, Gujarat or Punjab have adopted effective governance structures. These states showcase that defined reuse standards can create successful wastewater treatment and reuse practices but require target-based regulations which are enforced and regularly monitored and financing mechanisms for their long-term operation. The new effluent discharge standards by the National Green Tribunal, the government support programmes, and</w:t>
      </w:r>
    </w:p>
    <w:p>
      <w:pPr/>
      <w:r>
        <w:rPr>
          <w:b/>
        </w:rPr>
        <w:t>POSSIBLE 2022:</w:t>
      </w:r>
      <w:r>
        <w:t xml:space="preserve"> Organizational readiness to adopt artificial intelligence in the exhibition sector in Western Europe — https://doi.org/10.1016/j.ijinfomgt.2022.102497</w:t>
      </w:r>
    </w:p>
    <w:p>
      <w:pPr/>
      <w:r>
        <w:rPr>
          <w:b/>
        </w:rPr>
        <w:t>Shared claim-specific concepts:</w:t>
      </w:r>
      <w:r>
        <w:t xml:space="preserve"> approach, industry, competitiveness; EU scope visible. This is a provisional connection, not an outcome finding.</w:t>
      </w:r>
    </w:p>
    <w:p>
      <w:pPr>
        <w:pStyle w:val="SourceNote"/>
      </w:pPr>
      <w:r>
        <w:rPr>
          <w:b/>
        </w:rPr>
        <w:t>Available abstract (not full text):</w:t>
      </w:r>
      <w:r>
        <w:t xml:space="preserve"> This exploratory study explores perceptions of Artificial Intelligence (AI) and organizational readiness to adopt AI, in the exhibition sector of the events industry. A theoretical framework synthesizing the Technology - Organization - Environment framework and the Technology Readiness Index was developed to guide this qualitative study. Seventeen senior managerial representatives from exhibition organizations across nine Western European countries were interviewed, and a reflexive thematic approach was adopted to analyse the data. The findings suggest that the European exhibition industry is a slow adopter of AI, which may impact its future competitiveness, despite the stimulus provided to AI adoption during the COVID-19 pandemic. The degree of confidence in organizational technological practices, financial resources, the size of the organization, and issues of data management and protection, as well as the impacts of the COVID-19 pandemic, motivate or inhibit readiness for AI adoption in the event industry. A new Exhibition Sector Readiness for AI Adoption Model is presented in this research that managers and researchers can use to analyze inhibitors and motivations for AI adoption, which is contextualized for the current challenges facing the exhibitions sector.</w:t>
      </w:r>
    </w:p>
    <w:p>
      <w:pPr/>
      <w:r>
        <w:rPr>
          <w:b/>
        </w:rPr>
        <w:t>POSSIBLE 2019:</w:t>
      </w:r>
      <w:r>
        <w:t xml:space="preserve"> Unravelling the Scientific Debate on How to Address Wolf-Dog Hybridization in Europe — https://doi.org/10.3389/fevo.2019.00175</w:t>
      </w:r>
    </w:p>
    <w:p>
      <w:pPr/>
      <w:r>
        <w:rPr>
          <w:b/>
        </w:rPr>
        <w:t>Shared claim-specific concepts:</w:t>
      </w:r>
      <w:r>
        <w:t xml:space="preserve"> three-round, delphi, according; EU scope visible. This is a provisional connection, not an outcome finding.</w:t>
      </w:r>
    </w:p>
    <w:p>
      <w:pPr>
        <w:pStyle w:val="SourceNote"/>
      </w:pPr>
      <w:r>
        <w:rPr>
          <w:b/>
        </w:rPr>
        <w:t>Available abstract (not full text):</w:t>
      </w:r>
      <w:r>
        <w:t xml:space="preserve"> Anthropogenic hybridisation is widely perceived as a threat to the conservation of biodiversity. Nevertheless, to date, relevant policy and management interventions are unresolved and highly convoluted. While this is due to the inherent complexity of the issue, we hereby hypothesise that lack of agreement concerning management goals and approaches, within the scientific community, may explain the lack of social awareness on this phenomenon, and the absence of effective pressure on decision-makers. By focusing on wolf x dog hybridisation in Europe, we hereby (a) assess the state of the art of issues on wolf x dog hybridisation within the scientific community, (b) assess the conceptual bases for different viewpoints, and (c) provide a conceptual framework aiming at reducing the disagreement. We adopted the Delphi technique, involving a three-round iterative survey addressed to a selected sample of experts who published on Web of Science listed journals, in the last ten years on wolf x dog hybridisation and related topics. Consensus was reached that admixed individuals should always be defined according to their genetic profile, and that a reference threshold for admixture (i.e., q-value in assignment tests) should be formally adopted for their identification. To mitigate hybridisation, experts agreed on adopting preventive, proactive and, when concerning small and recovering wolf</w:t>
      </w:r>
    </w:p>
    <w:p>
      <w:pPr/>
      <w:r>
        <w:rPr>
          <w:b/>
        </w:rPr>
        <w:t>POSSIBLE 2019:</w:t>
      </w:r>
      <w:r>
        <w:t xml:space="preserve"> Overview of the DEMO staged design approach in Europe — https://doi.org/10.1088/1741-4326/ab1178</w:t>
      </w:r>
    </w:p>
    <w:p>
      <w:pPr/>
      <w:r>
        <w:rPr>
          <w:b/>
        </w:rPr>
        <w:t>Shared claim-specific concepts:</w:t>
      </w:r>
      <w:r>
        <w:t xml:space="preserve"> approach, industry, main; EU scope visible. This is a provisional connection, not an outcome finding.</w:t>
      </w:r>
    </w:p>
    <w:p>
      <w:pPr>
        <w:pStyle w:val="SourceNote"/>
      </w:pPr>
      <w:r>
        <w:rPr>
          <w:b/>
        </w:rPr>
        <w:t>Available abstract (not full text):</w:t>
      </w:r>
      <w:r>
        <w:t xml:space="preserve"> This paper describes the status of the pre-conceptual design activities in Europe to advance the technical basis of the design of a DEMOnstration Fusion Power Plant (DEMO) to come in operation around the middle of this century with the main aims of demonstrating the production of few hundred MWs of net electricity, the feasibility of operation with a closed-tritium fuel cycle, and maintenance systems capable of achieving adequate plant availability. This is expected to benefit as much as possible from the ITER experience, in terms of design, licensing, and construction. Emphasis is on an integrated design approach, based on system engineering, which provides a clear path for urgent R&amp;D and addresses the main design integration issues by taking account critical systems interdependencies and inherent uncertainties of important design assumptions (physics and technology). A design readiness evaluation, together with a technology maturation and down selection strategy are planned through structured and transparent Gate Reviews. By embedding industry experience in the design from the beginning it will ensure that early attention is given to technology readiness and industrial feasibility, costs, maintenance, power conversion, nuclear safety and licensing aspects.</w:t>
      </w:r>
    </w:p>
    <w:p>
      <w:pPr/>
      <w:r>
        <w:rPr>
          <w:b/>
        </w:rPr>
        <w:t>POSSIBLE 2018:</w:t>
      </w:r>
      <w:r>
        <w:t xml:space="preserve"> Adopting a models-based approach to teaching physical education — https://doi.org/10.1080/17408989.2018.1429588</w:t>
      </w:r>
    </w:p>
    <w:p>
      <w:pPr/>
      <w:r>
        <w:rPr>
          <w:b/>
        </w:rPr>
        <w:t>Shared claim-specific concepts:</w:t>
      </w:r>
      <w:r>
        <w:t xml:space="preserve"> approach, key, value; EU scope not established. This is a provisional connection, not an outcome finding.</w:t>
      </w:r>
    </w:p>
    <w:p>
      <w:pPr>
        <w:pStyle w:val="SourceNote"/>
      </w:pPr>
      <w:r>
        <w:rPr>
          <w:b/>
        </w:rPr>
        <w:t>Available abstract (not full text):</w:t>
      </w:r>
      <w:r>
        <w:t xml:space="preserve"> Background: The popularised notion of models-based practice (MBP) is one that focuses on the delivery of a model, e.g. Cooperative Learning, Sport Education, Teaching Personal and Social Responsibility, Teaching Games for Understanding. Indeed, while an abundance of research studies have examined the delivery of a single model and some have explored hybrid models, few have sought to meaningfully and purposefully connect different models in a school's curriculum (see Kirk, D. 2013. ‘Educational Value and Models-based Practice in Physical Education.’ Educational Philosophy and Theory 45 (9): 973–986.; Lund, J., and D. Tannehill. 2015. Standards-based Physical Education Curriculum Development. 3rd ed. Burlington, MA: Jones &amp; Bartlett.; Quay, J., and J. Peters. 2008. ‘Skills, Strategies, Sport, and Social Responsibility: Reconnecting Physical Education.’ Journal of Curriculum Studies 40 (5): 601–626.). Significantly none, to date, have empirically investigated broader notions of MBP that make use of a range of different pedagogical models in/through the PE curriculum (Kirk, D. 2013. ‘Educational Value and Models-based Practice in Physical Education.’ Educational Philosophy and Theory 45 (9): 973–986.).Aim: To provide a first empirical insight into using a MBP approach involving several models to teach physical education. At its heart, this paper presents the reader with the realist</w:t>
      </w:r>
    </w:p>
    <w:p>
      <w:pPr/>
      <w:r>
        <w:rPr>
          <w:b/>
        </w:rPr>
        <w:t>POSSIBLE 2018:</w:t>
      </w:r>
      <w:r>
        <w:t xml:space="preserve"> Unintended Side Effects of the Digital Transition: European Scientists’ Messages from a Proposition-Based Expert Round Table — https://doi.org/10.3390/su10062001</w:t>
      </w:r>
    </w:p>
    <w:p>
      <w:pPr/>
      <w:r>
        <w:rPr>
          <w:b/>
        </w:rPr>
        <w:t>Shared claim-specific concepts:</w:t>
      </w:r>
      <w:r>
        <w:t xml:space="preserve"> key, industry, value, expert, main; EU scope visible. This is a provisional connection, not an outcome finding.</w:t>
      </w:r>
    </w:p>
    <w:p>
      <w:pPr>
        <w:pStyle w:val="SourceNote"/>
      </w:pPr>
      <w:r>
        <w:rPr>
          <w:b/>
        </w:rPr>
        <w:t>Available abstract (not full text):</w:t>
      </w:r>
      <w:r>
        <w:t xml:space="preserve"> We present the main messages of a European Expert Round Table (ERT) on the unintended side effects (unseens) of the digital transition. Seventeen experts provided 42 propositions from ten different perspectives as input for the ERT. A full-day ERT deliberated communalities and relationships among these unseens and provided suggestions on (i) what the major unseens are; (ii) how rebound effects of digital transitioning may become the subject of overarching research; and (iii) what unseens should become subjects of transdisciplinary theory and practice processes for developing socially robust orientations. With respect to the latter, the experts suggested that the “ownership, economic value, use and access of data” and, related to this, algorithmic decision-making call for transdisciplinary processes that may provide guidelines for key stakeholder groups on how the responsible use of digital data can be developed. A cluster-based content analysis of the propositions, the discussion and inputs of the ERT, and a theoretical analysis of major changes to levels of human systems and the human–environment relationship resulted in the following greater picture: The digital transition calls for redefining economy, labor, democracy, and humanity. Artificial Intelligence (AI)-based machines may take over major domains of human labor, reorganize supply chains, induce platform economics, and</w:t>
      </w:r>
    </w:p>
    <w:p>
      <w:pPr>
        <w:pStyle w:val="Heading2"/>
      </w:pPr>
      <w:r>
        <w:t>814. The Future of Rural Poland: the Main Trends and Possible Scenarios.</w:t>
      </w:r>
    </w:p>
    <w:p>
      <w:pPr>
        <w:pStyle w:val="SourceNote"/>
      </w:pPr>
      <w:r>
        <w:rPr>
          <w:b/>
        </w:rPr>
        <w:t>Original source (2017):</w:t>
      </w:r>
      <w:r>
        <w:t xml:space="preserve"> https://doi.org/10.1515/eec-2017-0004</w:t>
      </w:r>
    </w:p>
    <w:p>
      <w:pPr/>
      <w:r>
        <w:t>Original wording (abstract; indexed_source_text_not_full_document_verified): The objective of the report is to attempt the identification of the most significant factors that will shape Polish countryside until the year 2050 and to outline the feasible scenarios of changes in rural areas. The image of the Polish countryside in the perspective of the decades to come will most probably not undergo radical shifts.</w:t>
      </w:r>
    </w:p>
    <w:p>
      <w:pPr/>
      <w:r>
        <w:rPr>
          <w:b/>
        </w:rPr>
        <w:t>POSSIBLE 2025:</w:t>
      </w:r>
      <w:r>
        <w:t xml:space="preserve"> Abstracts of the 19th European Congress of Psychology — https://doi.org/10.1024/2673-8627/a000085</w:t>
      </w:r>
    </w:p>
    <w:p>
      <w:pPr/>
      <w:r>
        <w:rPr>
          <w:b/>
        </w:rPr>
        <w:t>Shared claim-specific concepts:</w:t>
      </w:r>
      <w:r>
        <w:t xml:space="preserve"> significant, shape, not; EU scope visible. This is a provisional connection, not an outcome finding.</w:t>
      </w:r>
    </w:p>
    <w:p>
      <w:pPr>
        <w:pStyle w:val="SourceNote"/>
      </w:pPr>
      <w:r>
        <w:rPr>
          <w:b/>
        </w:rPr>
        <w:t>Available abstract (not full text):</w:t>
      </w:r>
      <w:r>
        <w:t xml:space="preserve"> Psychology plays a crucial role in addressing the diverse challenges facing Europe.Its interdisciplinary nature allows it to connect with various sciences and professions.Despite differences in how individual countries are both affected by and handle these challenges, there's a shared framework provided by the United Nations Sustainable Development Goals (SDGs).Mental health and wellbeing have become a core human concern, underscored by recent events like the COVID-19 pandemic and the war in Ukraine.Climate change has significant psychological implications.The workplace also faces mental health challenges, with one-quarter of the EU workforce experiencing mental health issues.Digitalisation proceeding at pace has implications across the board.Psychology is increasingly involved in social discourses across Europe.Psychology collaborates at the international organizations like the United Nations and the World Health Organization.It is significantly engaged with the European Union institutions of the Parliament and Commission, and more widely across EU candidate countries and those on the continent of Europe but outside of the EU.This work is fostering a European-level approach.In times of fundamental change, it is important to take stock.Questions about the 'where from' are linked to the search for solutions and sustainable perspectives for the future.By realigning education and </w:t>
      </w:r>
    </w:p>
    <w:p>
      <w:pPr/>
      <w:r>
        <w:rPr>
          <w:b/>
        </w:rPr>
        <w:t>POSSIBLE 2025:</w:t>
      </w:r>
      <w:r>
        <w:t xml:space="preserve"> A DIGITAL MATURITY OF INSTITUTIONS IN POLAND – AN ATTEMPT AT IDENTIFICATION — https://doi.org/10.29119/1641-3466.2025.228.13</w:t>
      </w:r>
    </w:p>
    <w:p>
      <w:pPr/>
      <w:r>
        <w:rPr>
          <w:b/>
        </w:rPr>
        <w:t>Shared claim-specific concepts:</w:t>
      </w:r>
      <w:r>
        <w:t xml:space="preserve"> attempt, identification, significant, factors, polish, areas; EU scope visible. This is a provisional connection, not an outcome finding.</w:t>
      </w:r>
    </w:p>
    <w:p>
      <w:pPr>
        <w:pStyle w:val="SourceNote"/>
      </w:pPr>
      <w:r>
        <w:rPr>
          <w:b/>
        </w:rPr>
        <w:t>Available abstract (not full text):</w:t>
      </w:r>
      <w:r>
        <w:t xml:space="preserve"> Purpose: The purpose of this article is to identify and assess the level of digital maturity among institutions in Poland, with a focus on distinguishing patterns between public and private sector organizations. Design/methodology/approach: The study combines a systematic literature review with an empirical survey conducted among representatives of Polish institutions. The survey, based on a 7-point Likert scale, examined eight dimensions of digital maturity. Findings: The results indicate a moderate level of digital maturity across both public and private institutions, with notable differences in specific areas. While public institutions demonstrate higher maturity in regulated areas such as data management and infrastructure, private institutions score higher in digital leadership and cultural readiness. However, both sectors exhibit insufficient levels of innovation and agility, confirming that technological development alone does not ensure comprehensive digital transformation. Research limitations/implications: This study is limited to the Polish context and uses self reported data, which may be subject to bias. Future research could incorporate comparative studies across different countries or sectors, and expand with qualitative methods to explore internal organizational factors that support or hinder digital maturity. Practical implications: The findings offer practical</w:t>
      </w:r>
    </w:p>
    <w:p>
      <w:pPr/>
      <w:r>
        <w:rPr>
          <w:b/>
        </w:rPr>
        <w:t>POSSIBLE 2025:</w:t>
      </w:r>
      <w:r>
        <w:t xml:space="preserve"> The role of social, policy and economic forces in shaping forest restoration practices in Europe — https://doi.org/10.1016/j.landusepol.2025.107876</w:t>
      </w:r>
    </w:p>
    <w:p>
      <w:pPr/>
      <w:r>
        <w:rPr>
          <w:b/>
        </w:rPr>
        <w:t>Shared claim-specific concepts:</w:t>
      </w:r>
      <w:r>
        <w:t xml:space="preserve"> factors, rural; EU scope visible. This is a provisional connection, not an outcome finding.</w:t>
      </w:r>
    </w:p>
    <w:p>
      <w:pPr>
        <w:pStyle w:val="SourceNote"/>
      </w:pPr>
      <w:r>
        <w:rPr>
          <w:b/>
        </w:rPr>
        <w:t>Available abstract (not full text):</w:t>
      </w:r>
      <w:r>
        <w:t xml:space="preserve"> Forest restoration in Europe has a complex history strongly influenced by various social, policy and economic factors. Understanding these influences is essential for shaping effective restoration strategies and avoiding past mistakes, particularly in light of meeting ambitious targets outlined in initiatives such as the EU Nature Restoration Regulation. Here we identify the key social, policy and economic drivers, barriers and enablers that have historically shaped forest restoration across Europe. We analyzed and synthesized detailed information from historical national narratives on forest restoration provided by experts from 18 European countries. Our work details how wars, changes in governance (centralization vs. decentralization) and forest tenure (privatization vs. nationalization), different policy instruments (regulatory, financial, persuasive and organizational), market fluctuations and sociodemographic changes (e.g., rural abandonment, changes in public opinion) have driven the development of forest restoration in Europe. The findings underscore the need to use inclusive and innovative governance mechanisms to reconcile diverging societal paradigms (e.g., rural vs. urban, conservation vs. forestry) partly reflected in incoherent forest-related policies, as well as to address the fragmentation resulting from forest privatization. Ensuring stable funding mechanisms (e</w:t>
      </w:r>
    </w:p>
    <w:p>
      <w:pPr/>
      <w:r>
        <w:rPr>
          <w:b/>
        </w:rPr>
        <w:t>POSSIBLE 2025:</w:t>
      </w:r>
      <w:r>
        <w:t xml:space="preserve"> Shaping the Doctrine of European and Constitutional Identity into the Context of the European Integration of Ukraine — https://doi.org/10.62733/2025.2.89-121</w:t>
      </w:r>
    </w:p>
    <w:p>
      <w:pPr/>
      <w:r>
        <w:rPr>
          <w:b/>
        </w:rPr>
        <w:t>Shared claim-specific concepts:</w:t>
      </w:r>
      <w:r>
        <w:t xml:space="preserve"> perspective, not; EU scope visible. This is a provisional connection, not an outcome finding.</w:t>
      </w:r>
    </w:p>
    <w:p>
      <w:pPr>
        <w:pStyle w:val="SourceNote"/>
      </w:pPr>
      <w:r>
        <w:rPr>
          <w:b/>
        </w:rPr>
        <w:t>Available abstract (not full text):</w:t>
      </w:r>
      <w:r>
        <w:t xml:space="preserve"> The concept of constitutional identity is a fundamental idea that was developed into the jurisprudence of the Federal Constitutional Court of Germany and other European constitutional courts. It reflects the trends that have developed into the national constitutional law of the EU Member States as a result of determining the role and significance of national constitutions in the process of European integration. As a rule, national constitutions have the highest legal force within national legal systems, which in turn is closely related to the principle of state sovereignty and the priority of the constituent power of the people. The modern concept of constitutional identity defines the boundaries of state sovereignty and the need for national constitutional control over the state powers delegated to European institutions. In addition, national European constitutions have their own special nature, core and eternal values that cannot be replaced or abolished even in the process of constitutional changes. Fundamental rights and freedoms also retain their identity, their essential content, which must be protected from laws, politicians and European institutions by CJEU and national judiciary (constitutional courts). Ukraine not only announced its desire to join the EU, but also established in the Preamble to the Constitution its European geopolitical choice and the European identit</w:t>
      </w:r>
    </w:p>
    <w:p>
      <w:pPr/>
      <w:r>
        <w:rPr>
          <w:b/>
        </w:rPr>
        <w:t>POSSIBLE 2023:</w:t>
      </w:r>
      <w:r>
        <w:t xml:space="preserve"> Organizational Models in European Forestry: An Attempt of Conceptualization and Categorization — https://doi.org/10.3390/f14050905</w:t>
      </w:r>
    </w:p>
    <w:p>
      <w:pPr/>
      <w:r>
        <w:rPr>
          <w:b/>
        </w:rPr>
        <w:t>Shared claim-specific concepts:</w:t>
      </w:r>
      <w:r>
        <w:t xml:space="preserve"> attempt, decades; EU scope visible. This is a provisional connection, not an outcome finding.</w:t>
      </w:r>
    </w:p>
    <w:p>
      <w:pPr>
        <w:pStyle w:val="SourceNote"/>
      </w:pPr>
      <w:r>
        <w:rPr>
          <w:b/>
        </w:rPr>
        <w:t>Available abstract (not full text):</w:t>
      </w:r>
      <w:r>
        <w:t xml:space="preserve"> The changes and challenges that are tackling the forest sector in recent decades have prompted governments and foresters to work hard to find innovative solutions. Research in the forestry domain has focused on product and process innovation, and more recently on business systems and social innovation. In addition, organizational innovation is recognized and documented. However, while consistent conceptualization work has been conducted for business models and social innovation, the organizational domain in forestry seems less clear, characterized by multiple actors and often overlapping in literature, while a clear framework to describe it is missing. This work proposes a conceptualization of the “organizational model”, a concept embracing different approaches to build an analytical framework used to describe and characterize organizations in the forestry sector. The framework is drafted referring to existing theories, then tested (and further developed) through a semi-systematic literature review on organizations operating in forest management in Europe that are identified, categorized, and characterized. This exercise confirms that forest management organizations can be described with several diverse arrangements and can be complex entities: a holistic and comprehensive approach is more likely to be used by policy initiatives addressing improvement of forest management.</w:t>
      </w:r>
    </w:p>
    <w:p>
      <w:pPr/>
      <w:r>
        <w:rPr>
          <w:b/>
        </w:rPr>
        <w:t>POSSIBLE 2023:</w:t>
      </w:r>
      <w:r>
        <w:t xml:space="preserve"> Dream of European Army: Is It a Feasible Objective or Not? — https://doi.org/10.37880/cumuiibf.1334315</w:t>
      </w:r>
    </w:p>
    <w:p>
      <w:pPr/>
      <w:r>
        <w:rPr>
          <w:b/>
        </w:rPr>
        <w:t>Shared claim-specific concepts:</w:t>
      </w:r>
      <w:r>
        <w:t xml:space="preserve"> objective, attempt, significant, feasible, areas, decades; EU scope visible. This is a provisional connection, not an outcome finding.</w:t>
      </w:r>
    </w:p>
    <w:p>
      <w:pPr>
        <w:pStyle w:val="SourceNote"/>
      </w:pPr>
      <w:r>
        <w:rPr>
          <w:b/>
        </w:rPr>
        <w:t>Available abstract (not full text):</w:t>
      </w:r>
      <w:r>
        <w:t xml:space="preserve"> The European Union’s (EU) defense initiatives have changed over time, reflecting both the pursuit of security and defense goals and the shifting dynamics of European integration. To improve defense cooperation and create a common defense strategy for the EU, several initiatives have been made. The EU’s Common Security and Defense Policy (CSDP), which strives to strengthen its capacity to handle security concerns and preserve stability, has a significant influence on defense-related operations. We have witnessed new security and military efforts from the EU in the first two decades of the 2000s, such as the European Security Strategy, EU’s Global Strategy and Security Compass. 2013 marked a turning point when the USA deployed its new nuclear weapons in Europe. The announcement of the creation of the European army was made on November 13, 2017. Europe should be able to act independently in areas of defense and security rather than merely relying on the US or NATO. Because of these kinds of reservations, desires to pursue more advanced capabilities on their own have been raised. There has been a lot of debate and analysis around the reasons for and against the formation of a European army. Numerous parties have expressed interest in and influence over the notion of a European army. The development of a European army has been heavily debated over the past several years. Why is the </w:t>
      </w:r>
    </w:p>
    <w:p>
      <w:pPr/>
      <w:r>
        <w:rPr>
          <w:b/>
        </w:rPr>
        <w:t>POSSIBLE 2023:</w:t>
      </w:r>
      <w:r>
        <w:t xml:space="preserve"> Determining factors in shaping the sustainable behavior of the generation Z consumer — https://doi.org/10.3389/fenvs.2023.1096183</w:t>
      </w:r>
    </w:p>
    <w:p>
      <w:pPr/>
      <w:r>
        <w:rPr>
          <w:b/>
        </w:rPr>
        <w:t>Shared claim-specific concepts:</w:t>
      </w:r>
      <w:r>
        <w:t xml:space="preserve"> identification, factors, perspective; EU scope not established. This is a provisional connection, not an outcome finding.</w:t>
      </w:r>
    </w:p>
    <w:p>
      <w:pPr>
        <w:pStyle w:val="SourceNote"/>
      </w:pPr>
      <w:r>
        <w:rPr>
          <w:b/>
        </w:rPr>
        <w:t>Available abstract (not full text):</w:t>
      </w:r>
      <w:r>
        <w:t xml:space="preserve"> Introduction: Organizations currently emphasize green marketing strategies by implementing marketing practices, aiming to design, produce, promote and sell green products. Thus, both consumers and producers have turned their attention to the category of environmental friendly products, taking into account that the concept of green marketing is now being given greater importance. Responsible organizations have begun to adapt their strategies in production, promotion and interaction activities with consumers or potential consumers of organic products in the context we are going through, when environmental protection becomes an imperative. Analysis of the sustainable behavior of Generation Z is a determining factor from the perspective of the task that this generation will naturally take on, in terms of environmental responsibility. Methods: The research aims to determine the profile of the Generation Z consumer, in order to adapt the strategic actions of the government or organizations to direct and educate as objectively and efficiently as possible towards adopting the principles of ecological, sustainable and responsible consumption. Based on the data collected through a survey, we analyzed the sustainable behavior of Generation Z consumers studying at Romanian universities where there are specializations in this field. The research is quantitative, using structural equation mo</w:t>
      </w:r>
    </w:p>
    <w:p>
      <w:pPr/>
      <w:r>
        <w:rPr>
          <w:b/>
        </w:rPr>
        <w:t>POSSIBLE 2021:</w:t>
      </w:r>
      <w:r>
        <w:t xml:space="preserve"> Identification of Suicide Attempt Risk Factors in a National US Survey Using Machine Learning — https://doi.org/10.1001/jamapsychiatry.2020.4165</w:t>
      </w:r>
    </w:p>
    <w:p>
      <w:pPr/>
      <w:r>
        <w:rPr>
          <w:b/>
        </w:rPr>
        <w:t>Shared claim-specific concepts:</w:t>
      </w:r>
      <w:r>
        <w:t xml:space="preserve"> objective, attempt, identification, factors, not; EU scope not established. This is a provisional connection, not an outcome finding.</w:t>
      </w:r>
    </w:p>
    <w:p>
      <w:pPr>
        <w:pStyle w:val="SourceNote"/>
      </w:pPr>
      <w:r>
        <w:rPr>
          <w:b/>
        </w:rPr>
        <w:t>Available abstract (not full text):</w:t>
      </w:r>
      <w:r>
        <w:t xml:space="preserve"> Importance: Because more than one-third of people making nonfatal suicide attempts do not receive mental health treatment, it is essential to extend suicide attempt risk factors beyond high-risk clinical populations to the general adult population. Objective: To identify future suicide attempt risk factors in the general population using a data-driven machine learning approach including more than 2500 questions from a large, nationally representative survey of US adults. Design, Setting, and Participants: Data came from wave 1 (2001 to 2002) and wave 2 (2004 to 2005) of the National Epidemiologic Survey on Alcohol and Related Conditions (NESARC). NESARC is a face-to-face longitudinal survey conducted with a national representative sample of noninstitutionalized civilian population 18 years and older in the US. The cumulative response rate across both waves was 70.2% resulting in 34 653 wave 2 interviews. A balanced random forest was trained using cross-validation to develop a suicide attempt risk model. Out-of-fold model prediction was used to assess model performance, including the area under the receiver operator curve, sensitivity, and specificity. Survey design and nonresponse weights allowed estimates to be representative of the US civilian population based on the 2000 census. Analyses were performed between May 15, 2019, and June 10, 2020. Main Outcomes and Measures: Atte</w:t>
      </w:r>
    </w:p>
    <w:p>
      <w:pPr/>
      <w:r>
        <w:rPr>
          <w:b/>
        </w:rPr>
        <w:t>POSSIBLE 2021:</w:t>
      </w:r>
      <w:r>
        <w:t xml:space="preserve"> Social Enterprise in Western Europe — https://doi.org/10.4324/9780429055140</w:t>
      </w:r>
    </w:p>
    <w:p>
      <w:pPr/>
      <w:r>
        <w:rPr>
          <w:b/>
        </w:rPr>
        <w:t>Shared claim-specific concepts:</w:t>
      </w:r>
      <w:r>
        <w:t xml:space="preserve"> objective, attempt, identification, decades; EU scope visible. This is a provisional connection, not an outcome finding.</w:t>
      </w:r>
    </w:p>
    <w:p>
      <w:pPr>
        <w:pStyle w:val="SourceNote"/>
      </w:pPr>
      <w:r>
        <w:rPr>
          <w:b/>
        </w:rPr>
        <w:t>Available abstract (not full text):</w:t>
      </w:r>
      <w:r>
        <w:t xml:space="preserve"> In the last two decades, the quest for a widely accepted definition of social enterprise has been a central issue in a great number of publications.The main objective of the ICSEM Project on which this book is based was to show that the social enterprise field would benefit much more from linking conceptualisation efforts to the huge diversity of social enterprises than from an additional and ambitious attempt at providing an encompassing definition. Starting from a hypothesis that could be termed "the impossibility of a unified definition", the ICSEM research strategy relied on bottom-up approaches to capture the social enterprise phenomenon in its local and national contexts. This strategy made it possible to take into account and give legitimacy to locally embedded approaches, while simultaneously allowing for the identification of major social enterprise models to delineate the field on common grounds at the international level.Social Enterprise in Western Europe –the third volume in a series of four ICSEM-based books on social enterprise worldwide – will serve as a key reference and resource for teachers, researchers, students, experts, policy makers, journalists and others who want to acquire a broad understanding of the social enterprise and social entrepreneurship phenomena as they emerge and develop in this region.</w:t>
      </w:r>
    </w:p>
    <w:p>
      <w:pPr/>
      <w:r>
        <w:rPr>
          <w:b/>
        </w:rPr>
        <w:t>POSSIBLE 2021:</w:t>
      </w:r>
      <w:r>
        <w:t xml:space="preserve"> Factors associated with abstinence after a recent smoking cessation attempt across 28 European Union member states — https://doi.org/10.18332/tpc/132123</w:t>
      </w:r>
    </w:p>
    <w:p>
      <w:pPr/>
      <w:r>
        <w:rPr>
          <w:b/>
        </w:rPr>
        <w:t>Shared claim-specific concepts:</w:t>
      </w:r>
      <w:r>
        <w:t xml:space="preserve"> attempt, factors, not; EU scope visible. This is a provisional connection, not an outcome finding.</w:t>
      </w:r>
    </w:p>
    <w:p>
      <w:pPr>
        <w:pStyle w:val="SourceNote"/>
      </w:pPr>
      <w:r>
        <w:rPr>
          <w:b/>
        </w:rPr>
        <w:t>Available abstract (not full text):</w:t>
      </w:r>
      <w:r>
        <w:t xml:space="preserve"> INTRODUCTION: There is a lack of information regarding factors associated with successful smoking cessation on a population and European Union (EU)-wide level. Our study seeks to explore individual and country-level factors associated with abstinence after a recent smoking cessation attempt across the EU. METHODS: We obtained data from the March 2017 Special Eurobarometer 87.1 (n=27901). Regression analysis was performed on a subset of 1472 individuals who made quit attempts in the past 12 months. Sociodemographic, policy and country-level factors were assessed using logistic regression among smokers and ex-smokers who attempted to quit approximately 12 months before the survey date. We defined and examined the Cessation Ratio (ratio of number of recent quitters to those who did not succeed) across 28 EU Member States. RESULTS: In all, 14.9% (n=1018) of current smokers and 8.80% (n=454) of ex-smokers attempted to quit in approximately the last 12 months (n=1472). Cessation Ratios ranged from 0.182 (95% CI: 0.045-0.319) in Estonia to 1.060 (95% CI: 0.262-1.860) in Sweden. There is a quadratic, U-shaped relationship between odds of quitting and smoking prevalence. The lowest odds of cessation were observed at a prevalence of 26.3%, with higher odds of cessation observed above and below this point. Respondents who reported financial difficulties were less likely to quit (AOR=0.66;</w:t>
      </w:r>
    </w:p>
    <w:p>
      <w:pPr/>
      <w:r>
        <w:rPr>
          <w:b/>
        </w:rPr>
        <w:t>POSSIBLE 2020:</w:t>
      </w:r>
      <w:r>
        <w:t xml:space="preserve"> Subjective or Objective? How Objective Measures Relate to Subjective Life Satisfaction in Europe — https://doi.org/10.3390/ijgi9050320</w:t>
      </w:r>
    </w:p>
    <w:p>
      <w:pPr/>
      <w:r>
        <w:rPr>
          <w:b/>
        </w:rPr>
        <w:t>Shared claim-specific concepts:</w:t>
      </w:r>
      <w:r>
        <w:t xml:space="preserve"> objective, significant, factors; EU scope visible. This is a provisional connection, not an outcome finding.</w:t>
      </w:r>
    </w:p>
    <w:p>
      <w:pPr>
        <w:pStyle w:val="SourceNote"/>
      </w:pPr>
      <w:r>
        <w:rPr>
          <w:b/>
        </w:rPr>
        <w:t>Available abstract (not full text):</w:t>
      </w:r>
      <w:r>
        <w:t xml:space="preserve"> Quality of life and life satisfaction are topics that currently receive a great deal of attention across the globe. Many approaches exist, which use both qualitative and quantitative methods, to capture these phenomena. Historically, quality of life was measured exclusively by economic indicators. However, it is indisputable that other factors influence people’s life satisfaction, which is captured by subjective survey-based data. By contrast, objective data can easily be obtained and cover a wider range, in terms of population and area. In this research, the multiple fuzzy linear regression model is applied in order to explain the relationship between subjective life satisfaction and selected objective indicators used to evaluate quality of life. The great advantage of the fuzzy model lies in its ability to capture uncertainty, which is undoubtedly associated with the vague concept of subjective life satisfaction. The main outcome of the paper is the detection of indicators that have a statistically significant relationship with life satisfaction. Subsequently, a pan-European sub-national prediction of life satisfaction after the consideration of the most relevant input indicators was proposed, including the uncertainty associated with the prediction of such a phenomenon. The study revealed significant regional differences and similarities between the originally reported satis</w:t>
      </w:r>
    </w:p>
    <w:p>
      <w:pPr/>
      <w:r>
        <w:rPr>
          <w:b/>
        </w:rPr>
        <w:t>POSSIBLE 2020:</w:t>
      </w:r>
      <w:r>
        <w:t xml:space="preserve"> SUBJECTIVE AND OBJECTIVE IN THE NATIONAL SELF-IDENTIFICATION OF MACEDONIANS IN BULGARIA — https://doi.org/10.46763/bssr2016227b</w:t>
      </w:r>
    </w:p>
    <w:p>
      <w:pPr/>
      <w:r>
        <w:rPr>
          <w:b/>
        </w:rPr>
        <w:t>Shared claim-specific concepts:</w:t>
      </w:r>
      <w:r>
        <w:t xml:space="preserve"> objective, decades, not; EU scope visible. This is a provisional connection, not an outcome finding.</w:t>
      </w:r>
    </w:p>
    <w:p>
      <w:pPr>
        <w:pStyle w:val="SourceNote"/>
      </w:pPr>
      <w:r>
        <w:rPr>
          <w:b/>
        </w:rPr>
        <w:t>Available abstract (not full text):</w:t>
      </w:r>
      <w:r>
        <w:t xml:space="preserve"> Through the prism of “subjective” and “objective” criteria, this paper analyses the theoretical and practical problems associated with the self-identification of the Macedonians and the non-recognition of the Macedonian minority by the Bulgarian state. Realization of the fundamental natural subjective human right to independent and free national self-identification is extremely difficult in the absence of objective conditions, such as state guarantees aimed at the development of specific national minorities. The Bulgarian state not only does not provide any guarantees for the development of the Macedonian minority, but for many decades has denied the very fact of its existence in Bulgaria, which is consistently implemented in the lawmaking and enforcement activities of this state. In result Macedonians cannot even register their own NGOs, which led to numerous decisions of ECHR against Bulgaria.The authors of the paper critically assess the Bulgarian state national ideology and politics, devoid of any signs of tolerance and not based on real, internationally recognized objective facts confirming the centuries-old existence of the Macedonian minority, the Macedonian language and culture on the territory of modern Bulgaria. In addition, the official state myths that the citizens of Bulgaria who identify themselves with the Macedonian national minority are enemies of theBulgarian </w:t>
      </w:r>
    </w:p>
    <w:p>
      <w:pPr>
        <w:pStyle w:val="Heading2"/>
      </w:pPr>
      <w:r>
        <w:t>815. Towards the European Union's Foreign Policy 2025 – Taking Stock of the Dahrendorf Foresight Project</w:t>
      </w:r>
    </w:p>
    <w:p>
      <w:pPr>
        <w:pStyle w:val="SourceNote"/>
      </w:pPr>
      <w:r>
        <w:rPr>
          <w:b/>
        </w:rPr>
        <w:t>Original source (2017):</w:t>
      </w:r>
      <w:r>
        <w:t xml:space="preserve"> https://doi.org/10.1111/1758-5899.12438</w:t>
      </w:r>
    </w:p>
    <w:p>
      <w:pPr/>
      <w:r>
        <w:t>Original wording (abstract; indexed_source_text_not_full_document_verified): Based on an analysis of the current state of the Union, this paper takes stock of the outcomes of the Dahrendorf Foresight Project and looks ahead at the EU 's role in the world of 2025.</w:t>
      </w:r>
    </w:p>
    <w:p>
      <w:pPr/>
      <w:r>
        <w:rPr>
          <w:b/>
        </w:rPr>
        <w:t>POSSIBLE 2026:</w:t>
      </w:r>
      <w:r>
        <w:t xml:space="preserve"> Current state and potential of hospitals for automated healthcare-associated infection surveillance: data from 24 European countries, 2022 to 2023 — https://doi.org/10.2807/1560-7917.es.2026.31.19.2500736</w:t>
      </w:r>
    </w:p>
    <w:p>
      <w:pPr/>
      <w:r>
        <w:rPr>
          <w:b/>
        </w:rPr>
        <w:t>Shared claim-specific concepts:</w:t>
      </w:r>
      <w:r>
        <w:t xml:space="preserve"> based, current, state; EU scope visible. This is a provisional connection, not an outcome finding.</w:t>
      </w:r>
    </w:p>
    <w:p>
      <w:pPr>
        <w:pStyle w:val="SourceNote"/>
      </w:pPr>
      <w:r>
        <w:rPr>
          <w:b/>
        </w:rPr>
        <w:t>Available abstract (not full text):</w:t>
      </w:r>
      <w:r>
        <w:t xml:space="preserve"> BACKGROUND Although electronic health records are increasingly used for automated surveillance (AS) of healthcare-associated infections (HAIs), implementation is still a challenge. To develop more targeted implementation initiatives across Europe, knowledge about the current state of AS and potential to implement AS systems is needed. AIM To assess the adoption and feasibility of AS based on the 2022–2023 European Centre for Disease Prevention and Control (ECDC) Point Prevalence Survey (PPS). METHODS The 2022–2023 ECDC PPS included questions on the degree of AS and digital data storage for seven HAIs. Descriptive analyses of the responses were performed and stratified by geographic region and hospital characteristics. Categorical variables were analysed as such and converted to ordinal scales. RESULTS Overall, 992 hospitals from 24 European countries participated. Across all seven HAIs, fully manual surveillance was the most common method (from healthcare-associated pneumonia (HAP) 38.8% to Clostridioides difficile infection (CDI) 45.4%). A considerable proportion, i.e. 19.3% (HAP) to 29.8% (CDI), employed some form of automation (automated denominator 5.3–11.3%; semi-automated 12.2–16.9%; fully automated 1.8–2.9%). Many hospitals not employing AS had required source data digitally stored. Generally, tertiary hospitals had higher levels of automation and digital data storage co</w:t>
      </w:r>
    </w:p>
    <w:p>
      <w:pPr/>
      <w:r>
        <w:rPr>
          <w:b/>
        </w:rPr>
        <w:t>POSSIBLE 2025:</w:t>
      </w:r>
      <w:r>
        <w:t xml:space="preserve"> Analysis of the current state of sewage sludge treatment from the perspective of current European directives — https://doi.org/10.1186/s12302-025-01097-7</w:t>
      </w:r>
    </w:p>
    <w:p>
      <w:pPr/>
      <w:r>
        <w:rPr>
          <w:b/>
        </w:rPr>
        <w:t>Shared claim-specific concepts:</w:t>
      </w:r>
      <w:r>
        <w:t xml:space="preserve"> based, current, state; EU scope visible. This is a provisional connection, not an outcome finding.</w:t>
      </w:r>
    </w:p>
    <w:p>
      <w:pPr>
        <w:pStyle w:val="SourceNote"/>
      </w:pPr>
      <w:r>
        <w:rPr>
          <w:b/>
        </w:rPr>
        <w:t>Available abstract (not full text):</w:t>
      </w:r>
      <w:r>
        <w:t xml:space="preserve"> Due to its produced quantity, sewage sludge is a serious environmental problem not only in Slovakia, but also on a global scale. The submitted study deals with the current state of sewage sludge treatment with a focus on assessing the advantages and disadvantages of selected technologies. The main objective of the review study is to evaluate the advantages and limitations of individual sewage sludge processing technologies. Based on the evaluation of the advantages and limitations, another objective of the study was to determine the most suitable, less suitable, or unsuitable technologies for sewage sludge processing. Another objective of the study was to evaluate innovative technologies (not only commonly used ones). The purpose of this objective was to monitor the most current trends in sewage sludge processing technologies and, by evaluating them, to expand knowledge in this scientific field. The presented analysis of sewage sludge treatment was carried out in accordance with current European directives. The main novelty of the review study is a comprehensive assessment of sludge processing technologies with a focus on their main advantages and limitations. Another novelty is the focus of the study on innovative methods of sewage sludge processing. As part of the analysis, the evaluated sludge treatment technologies were divided into three categories: conventional, alternati</w:t>
      </w:r>
    </w:p>
    <w:p>
      <w:pPr/>
      <w:r>
        <w:rPr>
          <w:b/>
        </w:rPr>
        <w:t>POSSIBLE 2024:</w:t>
      </w:r>
      <w:r>
        <w:t xml:space="preserve"> Obesity: current state of the problem, multidisciplinary approach. (based on the consensus of the World Gastroenterological Organization “Obesity 2023” and the European guideline on obesity care in patients with gastrointestinal and liver diseases, 2022) — https://doi.org/10.31146/1682-8658-ecg-218-10-5-47</w:t>
      </w:r>
    </w:p>
    <w:p>
      <w:pPr/>
      <w:r>
        <w:rPr>
          <w:b/>
        </w:rPr>
        <w:t>Shared claim-specific concepts:</w:t>
      </w:r>
      <w:r>
        <w:t xml:space="preserve"> based, current, state, world; EU scope visible. This is a provisional connection, not an outcome finding.</w:t>
      </w:r>
    </w:p>
    <w:p>
      <w:pPr>
        <w:pStyle w:val="SourceNote"/>
      </w:pPr>
      <w:r>
        <w:rPr>
          <w:b/>
        </w:rPr>
        <w:t>Available abstract (not full text):</w:t>
      </w:r>
      <w:r>
        <w:t xml:space="preserve"> Obesity is the largest pandemic in the world, and its prevalence continues to increase. The purpose of the presented publication is to raise awareness of doctors about modern methods of diagnosing obesity and approaches to therapy, using an interdisciplinary team approach similar to that used in other chronic diseases, such as diabetes, heart disease and cancer. The article presents data from the World Gastroenterological Organization (2023) and the European Guidelines for the Treatment of Obesity in patients with diseases of the gastrointestinal tract and liver (2022). According to modern approaches, obesity should be considered as a chronic recurrent progressive disease, the treatment of which requires a comprehensive interdisciplinary approach involving psychologists and psychiatrists, nutritionists/nutritionists, therapists, endoscopists and surgeons, including lifestyle changes, a well-defined diet and exercise regimen, drug therapy, endoscopic or surgical methods of treatment. Conclusions. In order to stop the growing wave of obesity and its many complications and costs, doctors, insurance companies and health authorities should make systematic efforts to raise public awareness of both the adverse health risks associated with obesity and the potential reduction of risks through a comprehensive approach to therapy.</w:t>
      </w:r>
    </w:p>
    <w:p>
      <w:pPr/>
      <w:r>
        <w:rPr>
          <w:b/>
        </w:rPr>
        <w:t>POSSIBLE 2024:</w:t>
      </w:r>
      <w:r>
        <w:t xml:space="preserve"> Assessing Current Coastal Subsidence at Continental Scale: Insights From Europe Using the European Ground Motion Service — https://doi.org/10.1029/2024ef004523</w:t>
      </w:r>
    </w:p>
    <w:p>
      <w:pPr/>
      <w:r>
        <w:rPr>
          <w:b/>
        </w:rPr>
        <w:t>Shared claim-specific concepts:</w:t>
      </w:r>
      <w:r>
        <w:t xml:space="preserve"> based, current, state; EU scope visible. This is a provisional connection, not an outcome finding.</w:t>
      </w:r>
    </w:p>
    <w:p>
      <w:pPr>
        <w:pStyle w:val="SourceNote"/>
      </w:pPr>
      <w:r>
        <w:rPr>
          <w:b/>
        </w:rPr>
        <w:t>Available abstract (not full text):</w:t>
      </w:r>
      <w:r>
        <w:t xml:space="preserve"> Abstract Beside climate‐change‐induced sea‐level rise (SLR), land subsidence can strongly amplify coastal risk in flood‐prone areas. Mapping and quantifying contemporary vertical land motion (VLM) at continental scales has long been a challenge due to the absence of gridded observational products covering these large domains. Here, we fill this gap by using the new European Ground Motion Service (EGMS) to assess the current state of coastal VLM in Europe. First, we compare the InSAR‐based EGMS Ortho (Level 3) with nearby global navigation satellite systems (GNSS) vertical velocity estimates and show that the geodetic reference frame used to calibrate EGMS strongly influences coastal vertical land velocity estimates at the millimeter per year level and this needs to be considered with caution. After adjusting the EGMS vertical velocity estimates to a more updated and accurate International Terrestrial Reference Frame (ITRF2014), we performed an assessment of VLM in European low elevation coastal flood plains (CFPs). We find that nearly half of the European CFP area is, on average, subsiding at a rate faster than 1 mm/yr. More importantly, we find that urban areas and populations located in the CFP experience a near −1 mm/yr VLM on average (excluding the uplifting Fennoscandia region). For harbors, the average VLM is even larger and increases to −1.5 mm/yr on average. This demons</w:t>
      </w:r>
    </w:p>
    <w:p>
      <w:pPr/>
      <w:r>
        <w:rPr>
          <w:b/>
        </w:rPr>
        <w:t>POSSIBLE 2023:</w:t>
      </w:r>
      <w:r>
        <w:t xml:space="preserve"> Area-based conservation: Taking stock and looking ahead — https://doi.org/10.1016/j.oneear.2023.01.012</w:t>
      </w:r>
    </w:p>
    <w:p>
      <w:pPr/>
      <w:r>
        <w:rPr>
          <w:b/>
        </w:rPr>
        <w:t>Shared claim-specific concepts:</w:t>
      </w:r>
      <w:r>
        <w:t xml:space="preserve"> stock, outcomes, ahead, world; EU scope not established. This is a provisional connection, not an outcome finding.</w:t>
      </w:r>
    </w:p>
    <w:p>
      <w:pPr>
        <w:pStyle w:val="SourceNote"/>
      </w:pPr>
      <w:r>
        <w:rPr>
          <w:b/>
        </w:rPr>
        <w:t>Available abstract (not full text):</w:t>
      </w:r>
      <w:r>
        <w:t xml:space="preserve"> Area-based conservation, particularly of protected areas, is the primary approach used globally to address biodiversity decline and currently covers 8% of the world's oceans and 17% of its lands. In the wake of the adoption of the Kunming-Montreal Global Biodiversity Framework under the Convention on Biological Diversity, area-based conservation (including protected areas and other effective area-based conservation measures [OECMs]) is set to diversify and rapidly expand as mandated by the 30x30 target to protect 30% of the planet by 2030. At this pivotal point, we take stock of the approach, including its history in global conservation policy and performance to date. We outline the following priority directions to ensure area-based conservation contributes to securing a sustainable and just future: (1) embracing a diverse area-based conservation toolbox to stem biodiversity loss, (2) centering social equity in area-based conservation, and (3) adopting robust monitoring and review processes to ensure effective and equitable outcomes.</w:t>
      </w:r>
    </w:p>
    <w:p>
      <w:pPr/>
      <w:r>
        <w:rPr>
          <w:b/>
        </w:rPr>
        <w:t>POSSIBLE 2023:</w:t>
      </w:r>
      <w:r>
        <w:t xml:space="preserve"> CURRENT STATE OF BURNOUT SYNDROME FREQUENCY IN EUROPEAN MEDICAL PROFESSIONALS — https://doi.org/10.32689/2663-0672-2023-1-2</w:t>
      </w:r>
    </w:p>
    <w:p>
      <w:pPr/>
      <w:r>
        <w:rPr>
          <w:b/>
        </w:rPr>
        <w:t>Shared claim-specific concepts:</w:t>
      </w:r>
      <w:r>
        <w:t xml:space="preserve"> based, current, state, world; EU scope visible. This is a provisional connection, not an outcome finding.</w:t>
      </w:r>
    </w:p>
    <w:p>
      <w:pPr>
        <w:pStyle w:val="SourceNote"/>
      </w:pPr>
      <w:r>
        <w:rPr>
          <w:b/>
        </w:rPr>
        <w:t>Available abstract (not full text):</w:t>
      </w:r>
      <w:r>
        <w:t xml:space="preserve"> Formulation of the problem. The article is devoted to study the issues related to current state of burnout syndrome frequency in European medical professionals which are important not only for domestic and foreign psychology, but also for clinical medicine in particular, due to its increased social significance and worldwide prevalence, while therefore there is a need for more detailed research. Analysis of recent research and publications. Burnout syndrome among medical professionals is common and usually may associate with negative consequences that can lead to poor patient’s care. According to the World Health Organization (ICD-11: Burnout QD85), burnout syndrome is understood as an occupational phenomenon that contains 3 components: emotional exhaustion/EE, depersonalization/DP, and also reduced personal accomplishment/PA. Formulation of the aim of an article. Article aimed to determine the current state of burnout syndrome frequency in European medical professionals. Presenting main material. The article includes the scientific studies of researchers who explored burnout syndrome among medical professionals (including family doctors) by using the Maslach Burnout Inventory/MBI and Copenhagen Burnout Inventory/CBI. Conclusions and prospects for additional research. Based on our study, we consider it necessary to conclude the following: the majority of research on the investi</w:t>
      </w:r>
    </w:p>
    <w:p>
      <w:pPr/>
      <w:r>
        <w:rPr>
          <w:b/>
        </w:rPr>
        <w:t>POSSIBLE 2023:</w:t>
      </w:r>
      <w:r>
        <w:t xml:space="preserve"> Risk categorisation of abattoirs in Europe: Current state of play — https://doi.org/10.1016/j.foodcont.2023.109863</w:t>
      </w:r>
    </w:p>
    <w:p>
      <w:pPr/>
      <w:r>
        <w:rPr>
          <w:b/>
        </w:rPr>
        <w:t>Shared claim-specific concepts:</w:t>
      </w:r>
      <w:r>
        <w:t xml:space="preserve"> based, current, state, outcomes; EU scope visible. This is a provisional connection, not an outcome finding.</w:t>
      </w:r>
    </w:p>
    <w:p>
      <w:pPr>
        <w:pStyle w:val="SourceNote"/>
      </w:pPr>
      <w:r>
        <w:rPr>
          <w:b/>
        </w:rPr>
        <w:t>Available abstract (not full text):</w:t>
      </w:r>
      <w:r>
        <w:t xml:space="preserve"> In the last decades, a risk-based approach has been identified as a step forward in modernising meat safety system in Europe. Risk categorisation of abattoirs based on their process hygiene and the appropriate use of harmonised epidemiological indicators (HEIs) has been suggested as one essential component of the risk-based meat safety assurance system. However, to date, only a limited number of papers have investigated abattoir risk categorisation. Therefore, the objectives of this study were to (i) provide an overview of the use of risk categorisation systems in poultry, pig, cattle and small ruminant abattoirs in Europe and (ii) explore the criteria, relevance and applicability of risk categorisation systems for competent authorities (CAs). To that aim, a questionnaire was designed and sent to representatives of 35 European CAs. Of the 18/35 respondents (51%), 14 (78%) indicated that abattoirs in their country are categorised according to their food safety risk in a systematic way, whilst four countries (22%) do not categorise abattoirs according to their food safety risk. The main reported purpose of categorising abattoirs is to adapt the frequency of official controls. Major differences in the described categorisation systems were found between countries, particularly in their complexity and the criteria used. The number of included criteria ranged from 1 to 10, the main o</w:t>
      </w:r>
    </w:p>
    <w:p>
      <w:pPr/>
      <w:r>
        <w:rPr>
          <w:b/>
        </w:rPr>
        <w:t>POSSIBLE 2022:</w:t>
      </w:r>
      <w:r>
        <w:t xml:space="preserve"> Comparative Multidimensional Analysis of the Current State of European Economies Based on the Complex of Macroeconomic Indicators — https://doi.org/10.3390/math10050847</w:t>
      </w:r>
    </w:p>
    <w:p>
      <w:pPr/>
      <w:r>
        <w:rPr>
          <w:b/>
        </w:rPr>
        <w:t>Shared claim-specific concepts:</w:t>
      </w:r>
      <w:r>
        <w:t xml:space="preserve"> based, current, state; EU scope visible. This is a provisional connection, not an outcome finding.</w:t>
      </w:r>
    </w:p>
    <w:p>
      <w:pPr>
        <w:pStyle w:val="SourceNote"/>
      </w:pPr>
      <w:r>
        <w:rPr>
          <w:b/>
        </w:rPr>
        <w:t>Available abstract (not full text):</w:t>
      </w:r>
      <w:r>
        <w:t xml:space="preserve"> The stability of the economy of any country is primarily determined by the totality of macroeconomic indicators that describe the current economic state. This article provides a multi-dimensional analysis of the macroeconomic situation in Europe according to the data of 2020. The purpose of the article is to give a clear idea of the relative position of the economies of European countries, their proximity or the significance of their differences to determine each country’s place in the overall European economic system. Research objectives: (1) to identify the necessary macroeconomic indicators for the research; (2) to determine the direction of the impact of these indicators on the economic situation of European countries; (3) to carry out a cluster division of the studied countries with the identification of the main characteristics of each cluster; (4) to identify the main macroeconomic indicators that determine the level of welfare of European countries, (5) to reduce the dimension of the multi-dimensional economic space using integrated latent factors, (6) to build a fuzzy mathematical model to predict the level of welfare of the country when the specified values of latent factors are achieved. The methodological basis of the analysis is the methods of processing multi-dimensional information, such as multi-dimensional scaling, cluster analysis, factor analysis, multivariat</w:t>
      </w:r>
    </w:p>
    <w:p>
      <w:pPr/>
      <w:r>
        <w:rPr>
          <w:b/>
        </w:rPr>
        <w:t>POSSIBLE 2022:</w:t>
      </w:r>
      <w:r>
        <w:t xml:space="preserve"> The Current State of the “Green” Parties: Russia, Europe, the World — https://doi.org/10.22394/1726-1139-2022-8-15-27</w:t>
      </w:r>
    </w:p>
    <w:p>
      <w:pPr/>
      <w:r>
        <w:rPr>
          <w:b/>
        </w:rPr>
        <w:t>Shared claim-specific concepts:</w:t>
      </w:r>
      <w:r>
        <w:t xml:space="preserve"> current, state, world; EU scope visible. This is a provisional connection, not an outcome finding.</w:t>
      </w:r>
    </w:p>
    <w:p>
      <w:pPr>
        <w:pStyle w:val="SourceNote"/>
      </w:pPr>
      <w:r>
        <w:rPr>
          <w:b/>
        </w:rPr>
        <w:t>Available abstract (not full text):</w:t>
      </w:r>
      <w:r>
        <w:t xml:space="preserve"> The article is devoted to the study of the current state of the «green» parties in the world as a whole, as well as in Europe and the Russian Federation in particular. The history of the formation of the «green» parties is also revealed and their common features are analyzed. In addition, the difference between the European «green» parties and the Russian ones is considered there. An important part of the study is the analysis of the percentage of representatives of «green» parties in the legislative authorities in the countries. As a result of the research, the author comes to several conclusions: currently, «green» parties exist in almost half of the countries where the existence of parties is possible as such. In a quarter of these countries, representatives of these parties are in the government, and about 4% of them are in the ruling coalitions. Nevertheless, for half a century, this is quite a great achievement for parties that were once considered oppositional. Most of these parties are represented in the European parliaments, but they have a number of differences from the «green» parties of the Russian Federation, which is also noted in this article.</w:t>
      </w:r>
    </w:p>
    <w:p>
      <w:pPr/>
      <w:r>
        <w:rPr>
          <w:b/>
        </w:rPr>
        <w:t>POSSIBLE 2021:</w:t>
      </w:r>
      <w:r>
        <w:t xml:space="preserve"> Marine Citizen Science: Current State in Europe and New Technological Developments — https://doi.org/10.3389/fmars.2021.621472</w:t>
      </w:r>
    </w:p>
    <w:p>
      <w:pPr/>
      <w:r>
        <w:rPr>
          <w:b/>
        </w:rPr>
        <w:t>Shared claim-specific concepts:</w:t>
      </w:r>
      <w:r>
        <w:t xml:space="preserve"> based, current, state, project; EU scope visible. This is a provisional connection, not an outcome finding.</w:t>
      </w:r>
    </w:p>
    <w:p>
      <w:pPr>
        <w:pStyle w:val="SourceNote"/>
      </w:pPr>
      <w:r>
        <w:rPr>
          <w:b/>
        </w:rPr>
        <w:t>Available abstract (not full text):</w:t>
      </w:r>
      <w:r>
        <w:t xml:space="preserve"> Marine citizen science is emerging with promising opportunities for science, policy and public but there is still no comprehensive overview of the current state in Europe. Based on 127 projects identified for the North Sea area we estimate there might be as much as 500 marine and coastal citizen science projects running in Europe, i.e., one marine citizen science project per ∼85 km of coastline, with an exponential growth since 1990. Beach-based projects are more accessible and hence most popular (60% of the projects), and the mean duration of the projects is 18–20 years. Current trends, topics, organizers, aims, and types of programme in terms of participation are presented in this overview. Progress in marine citizen science is specially enabled and promoted through technological developments. Recent technological advances and best practise examples are provided here, untapping the potential of smart mobile apps, do-it-yourself (DIY) technologies, drones, and artificial intelligence (AI) web services.</w:t>
      </w:r>
    </w:p>
    <w:p>
      <w:pPr/>
      <w:r>
        <w:rPr>
          <w:b/>
        </w:rPr>
        <w:t>POSSIBLE 2021:</w:t>
      </w:r>
      <w:r>
        <w:t xml:space="preserve"> Addressing underwater noise in Europe: Current state of knowledge and future priorities — https://doi.org/10.5281/zenodo.5534223</w:t>
      </w:r>
    </w:p>
    <w:p>
      <w:pPr/>
      <w:r>
        <w:rPr>
          <w:b/>
        </w:rPr>
        <w:t>Shared claim-specific concepts:</w:t>
      </w:r>
      <w:r>
        <w:t xml:space="preserve"> current, state, world; EU scope visible. This is a provisional connection, not an outcome finding.</w:t>
      </w:r>
    </w:p>
    <w:p>
      <w:pPr>
        <w:pStyle w:val="SourceNote"/>
      </w:pPr>
      <w:r>
        <w:rPr>
          <w:b/>
        </w:rPr>
        <w:t>Available abstract (not full text):</w:t>
      </w:r>
      <w:r>
        <w:t xml:space="preserve"> The Ocean presents a cacophony of sounds originating from natural as well as anthropogenic sources. Marine organisms heavily rely on sound to communicate and understand the world around them, and are therefore potentially impacted by anthropogenic sound. However, in developing our Blue Economy and in advancing our knowledge of marine environments and ecosystems, anthropogenic noise is sometimes unavoidable. Understanding the potential effects of anthropogenic noise is therefore integral to addressing this conflict, as it is needed to develop proportionate mitigation strategies and effective regulation. Next to providing an overview of our current knowledge about underwater noise, this publication highlights the priority areas for further research addressing the remaining knowledge gaps about the effects of anthropogenic noise. Furthermore, it points out the relevant actions needed to take in order to ensure ecosystem-based and precautionary legislation.</w:t>
      </w:r>
    </w:p>
    <w:p>
      <w:pPr/>
      <w:r>
        <w:rPr>
          <w:b/>
        </w:rPr>
        <w:t>POSSIBLE 2021:</w:t>
      </w:r>
      <w:r>
        <w:t xml:space="preserve"> Accuracy of European Stock Target Prices — https://doi.org/10.3390/jrfm14090443</w:t>
      </w:r>
    </w:p>
    <w:p>
      <w:pPr/>
      <w:r>
        <w:rPr>
          <w:b/>
        </w:rPr>
        <w:t>Shared claim-specific concepts:</w:t>
      </w:r>
      <w:r>
        <w:t xml:space="preserve"> based, current, stock; EU scope visible. This is a provisional connection, not an outcome finding.</w:t>
      </w:r>
    </w:p>
    <w:p>
      <w:pPr>
        <w:pStyle w:val="SourceNote"/>
      </w:pPr>
      <w:r>
        <w:rPr>
          <w:b/>
        </w:rPr>
        <w:t>Available abstract (not full text):</w:t>
      </w:r>
      <w:r>
        <w:t xml:space="preserve"> Equity researches are conducted by professionals, who also provide buy/hold/sell recommendations to investors. Nowadays, target prices determined by financial analysts are publicly available to investors, who may decide to use them for investment purposes. Studying the accuracy of such analysts' forecasts is, thus, of paramount importance. Based upon empirical data on 50 of the biggest (larger capitalisation) European stocks over a 15 year period, from 2004 to 2019 and using a panel data approach, this is the first study looking at overall accuracy in European stock markets. We find that Bloomberg's 12-month consensus target prices have no predictive over future market prices. Panel results are robust to company fixed effects and sub-period analysis. These results are in line with the (mostly US-based) evidence in the literature. Extending common practice, we perform a comparative accuracy analysis, comparing the accuracy of target prices with that of simple capitalisations of current prices. It turns out target prices are not better in forecasting, than simple capitalisations. More interestingly, by analysing also the relationship between both measures – target prices and capitalised prices – we find evidence that capitalised prices partially explain how target prices are determined. Even when considering individual regressions, accuracy is still very low, but varies considera</w:t>
      </w:r>
    </w:p>
    <w:p>
      <w:pPr>
        <w:pStyle w:val="Heading2"/>
      </w:pPr>
      <w:r>
        <w:t>816. Transition pathways for a UK low-carbon electricity system: Comparing scenarios and technology implications</w:t>
      </w:r>
    </w:p>
    <w:p>
      <w:pPr>
        <w:pStyle w:val="SourceNote"/>
      </w:pPr>
      <w:r>
        <w:rPr>
          <w:b/>
        </w:rPr>
        <w:t>Original source (2017):</w:t>
      </w:r>
      <w:r>
        <w:t xml:space="preserve"> https://doi.org/10.1016/j.rser.2017.10.007</w:t>
      </w:r>
    </w:p>
    <w:p>
      <w:pPr/>
      <w:r>
        <w:t>Original wording (abstract; indexed_source_text_not_full_document_verified): This can aid an informed debate on the technical feasibility and social acceptability of realising transition pathways for decarbonising the UK energy sector by 2050. The United Kingdom (UK) has placed itself on a transition towards a low-carbon economy and society, through the imposition of a goal of reducing its ‘greenhouse’ gas emissions by 80% by 2050.</w:t>
      </w:r>
    </w:p>
    <w:p>
      <w:pPr/>
      <w:r>
        <w:rPr>
          <w:b/>
        </w:rPr>
        <w:t>POSSIBLE 2025:</w:t>
      </w:r>
      <w:r>
        <w:t xml:space="preserve"> Forms of autonomy and dependence in food aid: unravelling how they are related and perceived by recipients — https://doi.org/10.1007/s10460-025-10715-2</w:t>
      </w:r>
    </w:p>
    <w:p>
      <w:pPr/>
      <w:r>
        <w:rPr>
          <w:b/>
        </w:rPr>
        <w:t>Shared claim-specific concepts:</w:t>
      </w:r>
      <w:r>
        <w:t xml:space="preserve"> aid, informed, society; EU scope visible. This is a provisional connection, not an outcome finding.</w:t>
      </w:r>
    </w:p>
    <w:p>
      <w:pPr>
        <w:pStyle w:val="SourceNote"/>
      </w:pPr>
      <w:r>
        <w:rPr>
          <w:b/>
        </w:rPr>
        <w:t>Available abstract (not full text):</w:t>
      </w:r>
      <w:r>
        <w:t xml:space="preserve"> Abstract Dependence is an inherent aspect of human existence, yet independence and autonomy are powerful ideals, especially where they seem lacking. In the case of food aid, the dependence that it signifies is often experienced as shameful. Food justice scholars and practitioners advocate that people with low incomes should have greater autonomy in exercising their right to food, for example by receiving cash transfers instead of food donations. In this paper, we challenge an understanding of autonomy defined in opposition to dependence. Using a relational autonomy lens, we unravel how practices of autonomy are interrelated with forms of dependence in a food aid initiative. By better understanding these interrelations, and how forms of autonomy and dependence are experienced by recipients, it becomes possible to have more informed debates about desirable and undesirable ways of doing food aid. Our analysis is rooted in an ethnographic case study of a pilot program for money-based food aid in the Netherlands. This program gave food-insecure households a weekly budget to buy healthy groceries at regular stores. We unravel how this form of food aid shifted dependencies compared to the parcel-based aid it replaced, and how this reshaped practices of autonomy for recipients. Through the themes ‘concealing and revealing charity’, ‘upholding norms and caring through food choices’, and</w:t>
      </w:r>
    </w:p>
    <w:p>
      <w:pPr/>
      <w:r>
        <w:rPr>
          <w:b/>
        </w:rPr>
        <w:t>POSSIBLE 2025:</w:t>
      </w:r>
      <w:r>
        <w:t xml:space="preserve"> Psychological First Aid Manual — https://doi.org/10.5281/zenodo.19708751</w:t>
      </w:r>
    </w:p>
    <w:p>
      <w:pPr/>
      <w:r>
        <w:rPr>
          <w:b/>
        </w:rPr>
        <w:t>Shared claim-specific concepts:</w:t>
      </w:r>
      <w:r>
        <w:t xml:space="preserve"> aid, reducing; EU scope visible. This is a provisional connection, not an outcome finding.</w:t>
      </w:r>
    </w:p>
    <w:p>
      <w:pPr>
        <w:pStyle w:val="SourceNote"/>
      </w:pPr>
      <w:r>
        <w:rPr>
          <w:b/>
        </w:rPr>
        <w:t>Available abstract (not full text):</w:t>
      </w:r>
      <w:r>
        <w:t xml:space="preserve"> From the outset, it is essential to define what is meant by Psychological First Aid (PFA). Although this concept will be explored in greater detail in Chapter Four, we wish to emphasize that PFA should not be considered as a clinical or therapeutic intervention. Instead, it refers to a series of evidence-informed actions based on fundamental psychological principles aimed at reducing initial distress and supporting the short- and medium-term recovery of individuals affected by acute stress. Therefore, it is not necessarily delivered by mental health professionals, yet can be implemented by trained personnel across diverse settings, including education, social care, and humanitarian response.This manual advocates for the use of creative practices as tools within PFA. As we will see in the following chapters, we recognize that immediately following acute traumatic events creative interventions may not be appropriate for a number of reasons. However, some time later, when the initial stress has subsided but remains at a high level and carries the risk of becoming chronic (for example, generalized anxiety and hypervigilance weeks after an earthquake), creative practices developed in educational or social settings can serve as highly useful preventive tools. In this sense, and with a flexible approach, we understand them as instruments of PFA.Stress and change are closely interconne</w:t>
      </w:r>
    </w:p>
    <w:p>
      <w:pPr/>
      <w:r>
        <w:rPr>
          <w:b/>
        </w:rPr>
        <w:t>POSSIBLE 2024:</w:t>
      </w:r>
      <w:r>
        <w:t xml:space="preserve"> Assessing the Feasibility of Using Parents’ Social Media Conversations to Inform Burn First Aid Interventions: Mixed Methods Study — https://doi.org/10.2196/48695</w:t>
      </w:r>
    </w:p>
    <w:p>
      <w:pPr/>
      <w:r>
        <w:rPr>
          <w:b/>
        </w:rPr>
        <w:t>Shared claim-specific concepts:</w:t>
      </w:r>
      <w:r>
        <w:t xml:space="preserve"> aid, feasibility; EU scope not established. This is a provisional connection, not an outcome finding.</w:t>
      </w:r>
    </w:p>
    <w:p>
      <w:pPr>
        <w:pStyle w:val="SourceNote"/>
      </w:pPr>
      <w:r>
        <w:rPr>
          <w:b/>
        </w:rPr>
        <w:t>Available abstract (not full text):</w:t>
      </w:r>
      <w:r>
        <w:t xml:space="preserve"> BACKGROUND: Burns are common childhood injuries, which can lead to serious physical and psychological outcomes. Appropriate first aid is essential in managing the pain and severity of these injuries; hence, parents who need timely access to such information often seek it from the web. In particular, social media allow them to reach other parents, hence these conversations may provide insight to aid the design and evaluation of burn first aid interventions for parents. OBJECTIVE: This study aims to determine the feasibility of finding, accessing, and analyzing parent burn first aid conversations on social media to inform intervention research. METHODS: The initial choice of the relevant social media was made based on the results of a parent focus group and survey. We considered Facebook (Meta Platforms, Inc), Mumsnet (Mumsnet Limited), Netmums (Aufeminin Group), Twitter (subsequently rebranded as "X"; X Corp), Reddit (Reddit, Inc), and YouTube (Google LLC). To locate the relevant data on these platforms, we collated a taxonomy of search terms and designed a search strategy. A combination of natural language processing and manual inspection was used to filter out irrelevant data. The remaining data were analyzed manually to determine the length of conversations, the number of participants, the purpose of the initial post (eg, asking for or offering advice), burn types, and distri</w:t>
      </w:r>
    </w:p>
    <w:p>
      <w:pPr/>
      <w:r>
        <w:rPr>
          <w:b/>
        </w:rPr>
        <w:t>POSSIBLE 2024:</w:t>
      </w:r>
      <w:r>
        <w:t xml:space="preserve"> A Gender-Informed Smoking Cessation App for Women: Protocol for an Acceptability and Feasibility Study — https://doi.org/10.2196/60677</w:t>
      </w:r>
    </w:p>
    <w:p>
      <w:pPr/>
      <w:r>
        <w:rPr>
          <w:b/>
        </w:rPr>
        <w:t>Shared claim-specific concepts:</w:t>
      </w:r>
      <w:r>
        <w:t xml:space="preserve"> informed, feasibility, acceptability, goal; EU scope not established. This is a provisional connection, not an outcome finding.</w:t>
      </w:r>
    </w:p>
    <w:p>
      <w:pPr>
        <w:pStyle w:val="SourceNote"/>
      </w:pPr>
      <w:r>
        <w:rPr>
          <w:b/>
        </w:rPr>
        <w:t>Available abstract (not full text):</w:t>
      </w:r>
      <w:r>
        <w:t xml:space="preserve"> BACKGROUND: Tobacco smoking remains the leading preventable cause of death and disease among women. Quitting smoking offers numerous health benefits; however, women tend to have less success than men when attempting to quit. This discrepancy is partly due to sex- and gender-related factors, including the lower effectiveness of smoking cessation medication and the presence of unique motives for smoking and barriers to quitting among women. Despite the gendered nature of smoking, most smoking cessation apps are gender-neutral and fail to address women's specific needs. OBJECTIVE: This study aims to test the acceptability and feasibility of a smartphone app that delivers gender-informed content to support women in quitting smoking. METHODS: We co-developed a smoking cessation app specifically tailored for women, named My Change Plan-Women (MCP-W). This app builds upon our previous gender-neutral app, MCP, by retaining its content grounded in behavioral change techniques aimed at supporting tobacco reduction and cessation. This includes goal setting for quitting, identifying triggers to smoking, creating coping strategies, tracking cigarettes and cravings, and assessing financial savings from quitting smoking. The MCP-W app contains additional gender-informed content that acknowledges barriers to quitting, such as coping with stress, having smokers in one's social circle, and manag</w:t>
      </w:r>
    </w:p>
    <w:p>
      <w:pPr/>
      <w:r>
        <w:rPr>
          <w:b/>
        </w:rPr>
        <w:t>POSSIBLE 2024:</w:t>
      </w:r>
      <w:r>
        <w:t xml:space="preserve"> Social workers in schools: A feasibility study of three local authorities — https://doi.org/10.1177/14680173241258927</w:t>
      </w:r>
    </w:p>
    <w:p>
      <w:pPr/>
      <w:r>
        <w:rPr>
          <w:b/>
        </w:rPr>
        <w:t>Shared claim-specific concepts:</w:t>
      </w:r>
      <w:r>
        <w:t xml:space="preserve"> feasibility, acceptability, reducing; EU scope not established. This is a provisional connection, not an outcome finding.</w:t>
      </w:r>
    </w:p>
    <w:p>
      <w:pPr>
        <w:pStyle w:val="SourceNote"/>
      </w:pPr>
      <w:r>
        <w:rPr>
          <w:b/>
        </w:rPr>
        <w:t>Available abstract (not full text):</w:t>
      </w:r>
      <w:r>
        <w:t xml:space="preserve"> Summary This study evaluated the feasibility of ‘Social Workers in Schools’, an intervention that involved social workers being based within schools across three local authorities in England (SWIS). Schools make a large number of referrals to Children's Social Care and play an important role in recognizing risks to children and protecting them from harm, but it is unusual for social workers to be based in schools in the U.K. and to do statutory work. We evaluated the pilots on the basis of the feasibility of implementing SWIS, how promising it was in terms of reducing the need for statutory intervention, and the extent to which it be scaled. We used a mixed methods approach, with a process evaluation and a difference in differences analysis of indicative impact on key social care outcomes. In addition, we estimated the cost of implementing and maintaining SWIS. Findings We found high levels of acceptability among those involved, and examples of how SWIS enhances the way safeguarding issues are addressed. There was also some evidence that it may reduce the need for social care interventions, though this needs ratifying with more and better data. Applications The study suggests that SWIS is a promising intervention. Both the qualitative and quantitative findings suggest it may have the intended policy impact, but this needs to be tested on a larger scale and with a more rigorous </w:t>
      </w:r>
    </w:p>
    <w:p>
      <w:pPr/>
      <w:r>
        <w:rPr>
          <w:b/>
        </w:rPr>
        <w:t>POSSIBLE 2024:</w:t>
      </w:r>
      <w:r>
        <w:t xml:space="preserve"> On race, equity and aid — https://doi.org/10.4337/9781800886810.00032</w:t>
      </w:r>
    </w:p>
    <w:p>
      <w:pPr/>
      <w:r>
        <w:rPr>
          <w:b/>
        </w:rPr>
        <w:t>Shared claim-specific concepts:</w:t>
      </w:r>
      <w:r>
        <w:t xml:space="preserve"> aid, informed, sector; EU scope not established. This is a provisional connection, not an outcome finding.</w:t>
      </w:r>
    </w:p>
    <w:p>
      <w:pPr>
        <w:pStyle w:val="SourceNote"/>
      </w:pPr>
      <w:r>
        <w:rPr>
          <w:b/>
        </w:rPr>
        <w:t>Available abstract (not full text):</w:t>
      </w:r>
      <w:r>
        <w:t xml:space="preserve"> Development assistance and development as ideology has long been criticized, first, for being guided by the same exploitative and often violent quest for maintaining asymmetrical power relationships inherent in the colonial project, but second, for being deeply imbued with the same structural racism and racist ideologies that underpinned it. This chapter takes a look at ongoing conversations within the international development sector about how to address legacies of racism that continue to condition practices and perceptions. It begins with an exploration of the different ways in which race as ideology was constructed and leveraged to sustain the colonial project and how it has subsequently informed the construction of development as ideology and practice, ever since. The chapter then explores the different ways questions of race and anti-racism are informing debates about ‘decolonizing’ the sector. The chapter concludes with a discussion of possible ways forward.</w:t>
      </w:r>
    </w:p>
    <w:p>
      <w:pPr/>
      <w:r>
        <w:rPr>
          <w:b/>
        </w:rPr>
        <w:t>POSSIBLE 2024:</w:t>
      </w:r>
      <w:r>
        <w:t xml:space="preserve"> 097 Interpersonal decision-making processes on aid in dying: an international scoping review — https://doi.org/10.1136/bmjebm-2024-sdc.96</w:t>
      </w:r>
    </w:p>
    <w:p>
      <w:pPr/>
      <w:r>
        <w:rPr>
          <w:b/>
        </w:rPr>
        <w:t>Shared claim-specific concepts:</w:t>
      </w:r>
      <w:r>
        <w:t xml:space="preserve"> aid, informed, debate; EU scope not established. This is a provisional connection, not an outcome finding.</w:t>
      </w:r>
    </w:p>
    <w:p>
      <w:pPr>
        <w:pStyle w:val="SourceNote"/>
      </w:pPr>
      <w:r>
        <w:rPr>
          <w:b/>
        </w:rPr>
        <w:t>Available abstract (not full text):</w:t>
      </w:r>
      <w:r>
        <w:t xml:space="preserve"> Introduction Aid in dying (AID) means supporting a person in hastening their death voluntarily. Decision-making on this existential, very personal, and ethically complex issue is a major challenge and communication between people seeking AID and health care professionals is an important aspect. Thus, we aimed to explore the current state regarding interpersonal AID decision-making processes from multiple perspectives. Methods For this scoping review, we searched Web of Science, PubMed, and CINAHL. We sought records on AID in a professional healthcare context that reported on interpersonal aspects of decision- making processes. Results We included n=109. Records showed a great variety of participants in AID decision-making processes and mentioned professionalized and/or team approaches. Several, possibly iterative process phases (e.g. beginning, assessment, preparation, realization, aftercare) and overarching themes such as coordination, patient-centered care, and multidisciplinary teamwork were described. A range of decisions that need to be made by different stakeholders was found. This complex process requires appropriate communication skills. For example, going from vague requests to informed decisions in a shared process and fulfilling patient-centered care needs and procedural requirements simultaneously. Examples of facilitators for such processes were a trusting pre-exis</w:t>
      </w:r>
    </w:p>
    <w:p>
      <w:pPr/>
      <w:r>
        <w:rPr>
          <w:b/>
        </w:rPr>
        <w:t>POSSIBLE 2023:</w:t>
      </w:r>
      <w:r>
        <w:t xml:space="preserve"> Foreign Aid — https://doi.org/10.4324/9781003265320</w:t>
      </w:r>
    </w:p>
    <w:p>
      <w:pPr/>
      <w:r>
        <w:rPr>
          <w:b/>
        </w:rPr>
        <w:t>Shared claim-specific concepts:</w:t>
      </w:r>
      <w:r>
        <w:t xml:space="preserve"> aid, informed, debate; EU scope not established. This is a provisional connection, not an outcome finding.</w:t>
      </w:r>
    </w:p>
    <w:p>
      <w:pPr>
        <w:pStyle w:val="SourceNote"/>
      </w:pPr>
      <w:r>
        <w:rPr>
          <w:b/>
        </w:rPr>
        <w:t>Available abstract (not full text):</w:t>
      </w:r>
      <w:r>
        <w:t xml:space="preserve"> Foreign Aid: Policy and Practice offers a complete overview of the basics of foreign aid. Who is it for? Who pays for it? Why does it exist? What is it spent on? How much is it? And most important, does it work? The aid debate has been flooded by academic studies and popular books that either challenge or champion the effectiveness of aid. Most presume that the reader already knows the basic facts and characteristics of the aid industry. This book provides readers with a comprehensive summary of the background, actors, core principles and policies, and intended (and unintended) outcomes of foreign aid, followed by a more informed and balanced treatment of the key controversies and trends in aid today. Drawing on the author’s 25 years’ experience in development practice and 15 years in teaching, the book reflects on recent efforts to accelerate aid’s impact and concludes by taking a look at the future of aid and the headwinds it will face in the first half of the 21st century. Perfect for university teaching at advanced undergraduate and graduate levels, this book will also encourage development practitioners, policy makers, and members of the public to engage in more informed debates about aid and development finance.</w:t>
      </w:r>
    </w:p>
    <w:p>
      <w:pPr/>
      <w:r>
        <w:rPr>
          <w:b/>
        </w:rPr>
        <w:t>POSSIBLE 2023:</w:t>
      </w:r>
      <w:r>
        <w:t xml:space="preserve"> Working Conditions in Legal Aid — https://doi.org/10.5040/9781509957835.ch-004</w:t>
      </w:r>
    </w:p>
    <w:p>
      <w:pPr/>
      <w:r>
        <w:rPr>
          <w:b/>
        </w:rPr>
        <w:t>Shared claim-specific concepts:</w:t>
      </w:r>
      <w:r>
        <w:t xml:space="preserve"> aid, informed; EU scope visible. This is a provisional connection, not an outcome finding.</w:t>
      </w:r>
    </w:p>
    <w:p>
      <w:pPr>
        <w:pStyle w:val="SourceNote"/>
      </w:pPr>
      <w:r>
        <w:rPr>
          <w:b/>
        </w:rPr>
        <w:t>Available abstract (not full text):</w:t>
      </w:r>
      <w:r>
        <w:t xml:space="preserve"> Robert K Merton , ' On Sociological Th eories of the Middle Range ' , in Robert K Merton , On Th eoretical Sociology: Five Essays, Old and New ( Free Press , 1967 ) as cited by Martha A Fineman , ' Vulnerability and Social Justice ' ( 2019 ) 53 Valparaiso University Law Review 341 .18 Of course, it is entirely possible to consider the working conditions of legal aid lawyers through the kind of grand theory that is the apotheosis of a middle range theory.For example, Newman (2016) has elsewhere considered criminal legal aid lawyers applying perhaps the most famous grand theory of all, Marx and Engels ' historical materialism, particularly drawing out the notion of alienation.Powerful as a grand theory approach such as Marxism might be in providing impactful accounts of the issues faced by these lawyers in their practice, this chapter is informed by an approach that foregrounds the experiences of the lawyers to help give a fl avour of the reality of their working conditions.In doing so, it is hoped that an understanding of this lived reality will be valuable in informing broader debates, both later in this book and more widely amongst those who read it.See further Daniel Newman , ' Are Lawyers Alienated Workers ?' ( 2016 ) 22 European Journal of Current Legal Issues 1 .However, they go on to note that: Austerity justice under-funding key institutions such as the police and legal </w:t>
      </w:r>
    </w:p>
    <w:p>
      <w:pPr/>
      <w:r>
        <w:rPr>
          <w:b/>
        </w:rPr>
        <w:t>POSSIBLE 2023:</w:t>
      </w:r>
      <w:r>
        <w:t xml:space="preserve"> The Ethics of Food Aid and Famine Relief — https://doi.org/10.1093/oso/9780197744727.003.0004</w:t>
      </w:r>
    </w:p>
    <w:p>
      <w:pPr/>
      <w:r>
        <w:rPr>
          <w:b/>
        </w:rPr>
        <w:t>Shared claim-specific concepts:</w:t>
      </w:r>
      <w:r>
        <w:t xml:space="preserve"> aid, informed, debate; EU scope not established. This is a provisional connection, not an outcome finding.</w:t>
      </w:r>
    </w:p>
    <w:p>
      <w:pPr>
        <w:pStyle w:val="SourceNote"/>
      </w:pPr>
      <w:r>
        <w:rPr>
          <w:b/>
        </w:rPr>
        <w:t>Available abstract (not full text):</w:t>
      </w:r>
      <w:r>
        <w:t xml:space="preserve"> Abstract Peter Singer’s 1972 article “Famine, Affluence and Morality” set the stage for philosophical debate over food security and international development policy for a half century. Paired with articles criticizing the impact of food aid programs, philosophy professors approached the problem in terms of whether better-off people have an obligation to give aid. Though initially focused on food aid, the trend has been to subsume Singer’s original focus on famine relief with a more general emphasis on ending poverty. These analyses ignore aspects of hunger that are ethically significant, as well as facts about the structure and operation of international assistance operations and their use of agricultural commodities. As argued in From Field to Fork, food aid can be damaging to local producers, who are often among the most vulnerable members of their respective societies. However, this does not subvert Singer’s original argument, which was focused on a food emergency, rather than poverty relief. Indeed, we should maintain Singer’s early focus on food, supporting food aid in response to both natural and human-caused emergencies. Programs to promote economic and social development are more complex and must be subjected to more extensive and empirically informed ethical analysis.</w:t>
      </w:r>
    </w:p>
    <w:p>
      <w:pPr/>
      <w:r>
        <w:rPr>
          <w:b/>
        </w:rPr>
        <w:t>POSSIBLE 2023:</w:t>
      </w:r>
      <w:r>
        <w:t xml:space="preserve"> The Feasibility and Impact of a Computer-Aided Genetics Education Module in an Obstetrics Clinic: A Randomized Controlled Trial — https://doi.org/10.1080/19325037.2023.2209616</w:t>
      </w:r>
    </w:p>
    <w:p>
      <w:pPr/>
      <w:r>
        <w:rPr>
          <w:b/>
        </w:rPr>
        <w:t>Shared claim-specific concepts:</w:t>
      </w:r>
      <w:r>
        <w:t xml:space="preserve"> aid, informed, feasibility, acceptability; EU scope not established. This is a provisional connection, not an outcome finding.</w:t>
      </w:r>
    </w:p>
    <w:p>
      <w:pPr>
        <w:pStyle w:val="SourceNote"/>
      </w:pPr>
      <w:r>
        <w:rPr>
          <w:b/>
        </w:rPr>
        <w:t>Available abstract (not full text):</w:t>
      </w:r>
      <w:r>
        <w:t xml:space="preserve"> Background Rapid advances in prenatal genetic testing highlight the need for technology-based tools to assist in informed decision-making.Purpose This study evaluates the feasibility, acceptability, and efficacy of a Computer-Aided Genetics Education Module (CAGEM) as an e-counseling tool and decision aid in a busy obstetric clinic among a socially disadvantaged patient population.Methods A randomized controlled trial with patients randomized (1:1) to receive the intervention in addition to standard of care or standard of care only. Participants responded to pre- and posttest questionnaires.Results Although limited in recruitment by the COVID-19 pandemic, this tool scored 81.0% acceptability and 91.0% feasibility among 88 participants. No statistically significant difference was detected between the overall improvement in knowledge scores and the total posttest knowledge scores among the intervention and control groups. However, the intervention group scored significantly higher on the posttest questions regarding NIPT interpretation (61.7 ± 49.1 vs 80.9 ± 39.8, p = .049), Down syndrome (78.7 ± 41.4 vs 93.6 ± 24.7, p = .016), and inheritance of recessive conditions (59.6 ± 49.6 vs 91.4 ± 28.2, p &lt; .001). The intervention group also showed a greater improvement in knowledge scores for inheritance of recessive conditions (31.9 ± 8.1 vs 0 ± 7.8, p = .006) and a protective effect i</w:t>
      </w:r>
    </w:p>
    <w:p>
      <w:pPr/>
      <w:r>
        <w:rPr>
          <w:b/>
        </w:rPr>
        <w:t>POSSIBLE 2023:</w:t>
      </w:r>
      <w:r>
        <w:t xml:space="preserve"> A feasibility study of psychological first aid as a supportive intervention among police officers exposed to traumatic events — https://doi.org/10.3389/fpsyg.2023.1149597</w:t>
      </w:r>
    </w:p>
    <w:p>
      <w:pPr/>
      <w:r>
        <w:rPr>
          <w:b/>
        </w:rPr>
        <w:t>Shared claim-specific concepts:</w:t>
      </w:r>
      <w:r>
        <w:t xml:space="preserve"> aid, feasibility, acceptability; EU scope not established. This is a provisional connection, not an outcome finding.</w:t>
      </w:r>
    </w:p>
    <w:p>
      <w:pPr>
        <w:pStyle w:val="SourceNote"/>
      </w:pPr>
      <w:r>
        <w:rPr>
          <w:b/>
        </w:rPr>
        <w:t>Available abstract (not full text):</w:t>
      </w:r>
      <w:r>
        <w:t xml:space="preserve"> Introduction: Police officers are often exposed to traumatic events, which can induce psychological distress and increase the risk of developing post-traumatic stress injuries. To date, little is known about support and prevention of traumatic events in police organizations. Psychological first aid (PFA) has been promoted as a promising solution to prevent psychological distress following exposure to a traumatic event. However, PFA has not yet been adapted to policing reality, let alone to the frequent exposure to traumatic events faced by this population. This study aimed to evaluate the feasibility of PFA as an early intervention for the prevention of post-traumatic stress injuries among police officers in Quebec, Canada. Specifically, the objectives were to evaluate: (1) the demand. (2) the practicality, and (3) the acceptability of PFA in a police organization. Methods: = 6). Interviews were transcribed, coded, and evaluated according to a thematic analysis. Results: Eleven themes emerged from participants' responses. Results suggested that PFA met individual and organizational needs. References were also made regarding the impacts of this intervention. Moreover, participants provided feedback for improving the implementation and sustainability of a PFA program. All three groups of participants shared similar thematic content. Discussion: Findings revealed that implementati</w:t>
      </w:r>
    </w:p>
    <w:p>
      <w:pPr>
        <w:pStyle w:val="Heading2"/>
      </w:pPr>
      <w:r>
        <w:t>817. An exploratory policy analysis of electric vehicle sales competition and sensitivity to infrastructure in Europe</w:t>
      </w:r>
    </w:p>
    <w:p>
      <w:pPr>
        <w:pStyle w:val="SourceNote"/>
      </w:pPr>
      <w:r>
        <w:rPr>
          <w:b/>
        </w:rPr>
        <w:t>Original source (2016):</w:t>
      </w:r>
      <w:r>
        <w:t xml:space="preserve"> https://doi.org/10.1016/j.techfore.2016.08.007</w:t>
      </w:r>
    </w:p>
    <w:p>
      <w:pPr/>
      <w:r>
        <w:t>Original wording (abstract; indexed_source_text_not_full_document_verified): Infrastructure provision is important for improving the utility of a PiEV, but we find that in the early market it may have a weaker correlation with uptake than other policy options, until the PiEV stock share is over around 5%. Furthermore, an attempt to install a ratio of much more than one charge point per 10 PiEV may lead to little gains and high costs.</w:t>
      </w:r>
    </w:p>
    <w:p>
      <w:pPr/>
      <w:r>
        <w:rPr>
          <w:b/>
        </w:rPr>
        <w:t>POSSIBLE 2026:</w:t>
      </w:r>
      <w:r>
        <w:t xml:space="preserve"> Public Charging Infrastructure and Electrification Dynamics in Europe: A Descriptive Assessment of Infrastructure Strain — https://doi.org/10.3390/en19092063</w:t>
      </w:r>
    </w:p>
    <w:p>
      <w:pPr/>
      <w:r>
        <w:rPr>
          <w:b/>
        </w:rPr>
        <w:t>Shared claim-specific concepts:</w:t>
      </w:r>
      <w:r>
        <w:t xml:space="preserve"> infrastructure, but, uptake, share, over; EU scope visible. This is a provisional connection, not an outcome finding.</w:t>
      </w:r>
    </w:p>
    <w:p>
      <w:pPr>
        <w:pStyle w:val="SourceNote"/>
      </w:pPr>
      <w:r>
        <w:rPr>
          <w:b/>
        </w:rPr>
        <w:t>Available abstract (not full text):</w:t>
      </w:r>
      <w:r>
        <w:t xml:space="preserve"> The transition to low-emission road transport in Europe depends not only on the growth of plug-in electric vehicle (PEV) uptake, but also on the timely expansion of publicly accessible charging infrastructure. This article provides a descriptive and diagnostic assessment of the relationship between electrification dynamics and public charging infrastructure development in Europe. The analysis combines a long-run descriptive window (2015–2024, with 2025 treated separately as a scenario observation) and a core diagnostic window (2020–2024) for which a consistent proxy of potential infrastructure strain—plug-in vehicles per public recharging point (VPP)—is available. The results show a strong increase in PEV share in new registrations, from 1.0% in 2015 to 20.92% in 2024, while the number of public recharging points rose from 67,064 to 900,000 over the same period. In the core sample, VPP declined from 15.24 in 2020 to 13.92 in 2024, which is consistent with a catch-up phase in infrastructure deployment after 2021. At the same time, the short-window relationship between PEV share, infrastructure scale and average CO2 emissions of newly registered cars remains weak and unstable, indicating the role of additional structural factors. The article contributes a transparent, replicable indicator-based framework for describing infrastructure strain in aggregate European data. In policy t</w:t>
      </w:r>
    </w:p>
    <w:p>
      <w:pPr/>
      <w:r>
        <w:rPr>
          <w:b/>
        </w:rPr>
        <w:t>POSSIBLE 2026:</w:t>
      </w:r>
      <w:r>
        <w:t xml:space="preserve"> Mapping school food provision models in European cities: Operational, infrastructural, and financial insights — https://doi.org/10.1016/j.ypmed.2026.108515</w:t>
      </w:r>
    </w:p>
    <w:p>
      <w:pPr/>
      <w:r>
        <w:rPr>
          <w:b/>
        </w:rPr>
        <w:t>Shared claim-specific concepts:</w:t>
      </w:r>
      <w:r>
        <w:t xml:space="preserve"> infrastructure, provision; EU scope visible. This is a provisional connection, not an outcome finding.</w:t>
      </w:r>
    </w:p>
    <w:p>
      <w:pPr>
        <w:pStyle w:val="SourceNote"/>
      </w:pPr>
      <w:r>
        <w:rPr>
          <w:b/>
        </w:rPr>
        <w:t>Available abstract (not full text):</w:t>
      </w:r>
      <w:r>
        <w:t xml:space="preserve"> OBJECTIVE: This study aims to provide a comparative overview of school food provision models in 17 cities across 12 European countries. It explores the operational, infrastructural, and financial dimensions of these models, identifying key trade-offs, challenges and opportunities for promoting healthy and sustainable school food environments. METHODS: Data were collected via an electronic questionnaire administered to SchoolFood4Change project partners in 2022. The questionnaire covered meal types and costs, operational and manufacturing models, and kitchen infrastructure. Supplementary desk research was conducted to clarify responses and gain a deeper understanding of the findings' context. RESULTS: The analysis reveals that school food provision models are more influenced by institutional, historical, and policy contexts than by city size. Contract catering dominates, yet in-house systems persist where welfare traditions and nutrition education policies emphasise child health and learning. Centralised kitchens often reflect historical planning or socialist legacies, while mixed systems arise in decentralised governance contexts. CONCLUSIONS: Organisational diversity stems from the interaction of governance structures, policy priorities, and infrastructure, illustrating how Europe's school food systems balance economic efficiency with social and educational goals for children'</w:t>
      </w:r>
    </w:p>
    <w:p>
      <w:pPr/>
      <w:r>
        <w:rPr>
          <w:b/>
        </w:rPr>
        <w:t>POSSIBLE 2024:</w:t>
      </w:r>
      <w:r>
        <w:t xml:space="preserve"> Dynamics of Legal Framework for Public-Private Partnership (PPP) in Infrastructure Provision — https://openalex.org/W7219943541</w:t>
      </w:r>
    </w:p>
    <w:p>
      <w:pPr/>
      <w:r>
        <w:rPr>
          <w:b/>
        </w:rPr>
        <w:t>Shared claim-specific concepts:</w:t>
      </w:r>
      <w:r>
        <w:t xml:space="preserve"> infrastructure, provision, but, other; EU scope not established. This is a provisional connection, not an outcome finding.</w:t>
      </w:r>
    </w:p>
    <w:p>
      <w:pPr>
        <w:pStyle w:val="SourceNote"/>
      </w:pPr>
      <w:r>
        <w:rPr>
          <w:b/>
        </w:rPr>
        <w:t>Available abstract (not full text):</w:t>
      </w:r>
      <w:r>
        <w:t xml:space="preserve"> The increasing demand for public infrastructure in Indonesia, coupled with national budget limitations, has elevated the importance of the Public-Private Partnership (PPP) scheme as an alternative financing mechanism. This study aims to analyze the legal framework and challenges associated with the implementation of PPP in infrastructure provision. Using a qualitative approach, the research examines existing regulations, including Presidential Regulation No. 38 of 2015, as well as other supporting policies that form the basis of PPP implementation in Indonesia. The findings reveal two critical aspects: first, the current legal framework for PPP provides a foundation for collaboration but requires enhancement to address gaps in clarity and effectiveness; second, significant challenges, including risk allocation, dispute resolution, and legal protection for parties, hinder the execution of PPP projects. The study concludes that an improved and accountable legal framework is essential to attract private sector investment and ensure the success of PPP projects. Strengthening regulatory certainty and addressing legal challenges are pivotal for fostering sustainable infrastructure development in Indonesia.</w:t>
      </w:r>
    </w:p>
    <w:p>
      <w:pPr/>
      <w:r>
        <w:rPr>
          <w:b/>
        </w:rPr>
        <w:t>POSSIBLE 2024:</w:t>
      </w:r>
      <w:r>
        <w:t xml:space="preserve"> Aerosol, Clouds and Trace Gases Research Infrastructure (ACTRIS): The European Research Infrastructure Supporting Atmospheric Science — https://doi.org/10.1175/bams-d-23-0064.1</w:t>
      </w:r>
    </w:p>
    <w:p>
      <w:pPr/>
      <w:r>
        <w:rPr>
          <w:b/>
        </w:rPr>
        <w:t>Shared claim-specific concepts:</w:t>
      </w:r>
      <w:r>
        <w:t xml:space="preserve"> infrastructure, provision, over; EU scope visible. This is a provisional connection, not an outcome finding.</w:t>
      </w:r>
    </w:p>
    <w:p>
      <w:pPr>
        <w:pStyle w:val="SourceNote"/>
      </w:pPr>
      <w:r>
        <w:rPr>
          <w:b/>
        </w:rPr>
        <w:t>Available abstract (not full text):</w:t>
      </w:r>
      <w:r>
        <w:t xml:space="preserve"> Abstract The Aerosol, Clouds and Trace Gases Research Infrastructure (ACTRIS) officially became the 33rd European Research Infrastructure Consortium (ERIC) on 25 April 2023 with the support of 17 founding member and observer countries. As a pan-European legal organization, ACTRIS ERIC will coordinate the provision of data and data products on short-lived atmospheric constituents and clouds relevant to climate and air pollution over the next 15–20 years. ACTRIS was designed more than a decade ago, and its development was funded at national and European levels. It was included in the European Strategy Forum on Research Infrastructures (ESFRI) roadmap in 2016 and, subsequently, in the national infrastructure roadmaps of European countries. It became a landmark of the ESFRI roadmap in 2021. The purpose of this paper is to describe the mission of ACTRIS, its added value to the community of atmospheric scientists, providing services to academia as well as the public and private sectors, and to summarize its main achievements. The present publication serves as a reference document for ACTRIS, its users, and the scientific community as a whole. It provides the reader with relevant information and an overview on ACTRIS governance and services, as well as a summary of the main scientific achievements of the last 20 years. The paper concludes with an outlook on the upcoming challenges for</w:t>
      </w:r>
    </w:p>
    <w:p>
      <w:pPr/>
      <w:r>
        <w:rPr>
          <w:b/>
        </w:rPr>
        <w:t>POSSIBLE 2023:</w:t>
      </w:r>
      <w:r>
        <w:t xml:space="preserve"> Social Infrastructure and the Alleviation of Loneliness in Europe — https://doi.org/10.1007/s11577-023-00883-6</w:t>
      </w:r>
    </w:p>
    <w:p>
      <w:pPr/>
      <w:r>
        <w:rPr>
          <w:b/>
        </w:rPr>
        <w:t>Shared claim-specific concepts:</w:t>
      </w:r>
      <w:r>
        <w:t xml:space="preserve"> infrastructure, provision, other; EU scope visible. This is a provisional connection, not an outcome finding.</w:t>
      </w:r>
    </w:p>
    <w:p>
      <w:pPr>
        <w:pStyle w:val="SourceNote"/>
      </w:pPr>
      <w:r>
        <w:rPr>
          <w:b/>
        </w:rPr>
        <w:t>Available abstract (not full text):</w:t>
      </w:r>
      <w:r>
        <w:t xml:space="preserve"> In Europe, individualist societies, in which people more highly value independence, have fewer people who are lonely. Yet these societies also have more people who live alone, a strong determinant of loneliness. Evidence suggests that some unrecognized societal-level resources or characteristics can explain this. We uncover multiple pathways toward a lower degree of loneliness among European societies using an ideal method for this purpose, fuzzy-set qualitative comparative analysis. Using data from the 2014 wave of the European Social Survey and other sources, we analyzed loneliness outcomes among 26 European societies. Our findings suggest two necessary conditions for a low degree of loneliness: high internet access and high association participation. Further, three pathways are sufficient for achieving less loneliness at the societal level. Most societies that have less loneliness follow both the welfare support and cultural support pathways. The third path, commercial provision, is mutually exclusive with welfare support because the former requires a weak welfare state. The surest policy for building societies that have lower rates of loneliness includes the expansion of internet accessibility, the fostering of civil society through association participation and volunteering, and a welfare state that protects potentially vulnerable populations while funding opportunities fo</w:t>
      </w:r>
    </w:p>
    <w:p>
      <w:pPr/>
      <w:r>
        <w:rPr>
          <w:b/>
        </w:rPr>
        <w:t>POSSIBLE 2022:</w:t>
      </w:r>
      <w:r>
        <w:t xml:space="preserve"> Technology Adoption and Early Network Infrastructure Provision in the Market for Electric Vehicles — https://doi.org/10.1007/s10640-022-00703-z</w:t>
      </w:r>
    </w:p>
    <w:p>
      <w:pPr/>
      <w:r>
        <w:rPr>
          <w:b/>
        </w:rPr>
        <w:t>Shared claim-specific concepts:</w:t>
      </w:r>
      <w:r>
        <w:t xml:space="preserve"> infrastructure, provision, early, stock; EU scope not established. This is a provisional connection, not an outcome finding.</w:t>
      </w:r>
    </w:p>
    <w:p>
      <w:pPr>
        <w:pStyle w:val="SourceNote"/>
      </w:pPr>
      <w:r>
        <w:rPr>
          <w:b/>
        </w:rPr>
        <w:t>Available abstract (not full text):</w:t>
      </w:r>
      <w:r>
        <w:t xml:space="preserve"> We document non-linear stock effects in the relationship linking emerging technology adoption and network infrastructure increments. We exploit 2010-2017 data covering nascent to mature electric vehicle (EV) markets across 422 Norwegian municipalities together with two complementary identification strategies: control function regressions of EV sales on flexible polynomials in the stock of charging stations and charging points, and synthetic control methods to quantify the impact of initial infrastructure provision in municipalities that previously had none. Our results are consistent with indirect network effects and the behavioral bias called "range anxiety," and support policies targeting early infrastructure provision to incentivize EV adoption.</w:t>
      </w:r>
    </w:p>
    <w:p>
      <w:pPr/>
      <w:r>
        <w:rPr>
          <w:b/>
        </w:rPr>
        <w:t>POSSIBLE 2022:</w:t>
      </w:r>
      <w:r>
        <w:t xml:space="preserve"> The Politics Of Infrastructural Provision in Rural Areas of Oyo State Nigeria — https://doi.org/10.57054/asr.v26i1.3992</w:t>
      </w:r>
    </w:p>
    <w:p>
      <w:pPr/>
      <w:r>
        <w:rPr>
          <w:b/>
        </w:rPr>
        <w:t>Shared claim-specific concepts:</w:t>
      </w:r>
      <w:r>
        <w:t xml:space="preserve"> infrastructure, provision, over; EU scope not established. This is a provisional connection, not an outcome finding.</w:t>
      </w:r>
    </w:p>
    <w:p>
      <w:pPr>
        <w:pStyle w:val="SourceNote"/>
      </w:pPr>
      <w:r>
        <w:rPr>
          <w:b/>
        </w:rPr>
        <w:t>Available abstract (not full text):</w:t>
      </w:r>
      <w:r>
        <w:t xml:space="preserve"> Over the years, rural service delivery is often subjected to political players and less of the rural public interest. The study examined rural people experiences of local government rural LGAs of Oyo state, Nigeria. The concept of governance provides the conceptual balance for this study. The study made use of a mixed approach for data collection, qualitative and quantitative tools of questionnaire and in-depth interview respectively. Two hundred and fifty (250) rural households across six (6) LGAs were administered questionnaire randomly from the purposively identified rural local government areas. Study revealed that infrastructure politicking is a challenge that limits sustainable rural facility delivery. This is because infrastructures such as water infrastructure, school buildings and drainage construction were provided based on political affiliation. Over half of the respondents consider rural governance not to be participatory and inclusive towards rural development. The study recommends that democratic local government autonomy remains the feasible and responsive solution to efficient service delivery in the local space.</w:t>
      </w:r>
    </w:p>
    <w:p>
      <w:pPr/>
      <w:r>
        <w:rPr>
          <w:b/>
        </w:rPr>
        <w:t>POSSIBLE 2022:</w:t>
      </w:r>
      <w:r>
        <w:t xml:space="preserve"> ORGANIZATIONAL AND ECONOMIC ENSURING THE PROVISION OF DIGITAL SERVICES: EUROPEAN EXPERIENCE — https://doi.org/10.25140/2411-5215-2022-4(32)-79-86</w:t>
      </w:r>
    </w:p>
    <w:p>
      <w:pPr/>
      <w:r>
        <w:rPr>
          <w:b/>
        </w:rPr>
        <w:t>Shared claim-specific concepts:</w:t>
      </w:r>
      <w:r>
        <w:t xml:space="preserve"> infrastructure, provision, important; EU scope visible. This is a provisional connection, not an outcome finding.</w:t>
      </w:r>
    </w:p>
    <w:p>
      <w:pPr>
        <w:pStyle w:val="SourceNote"/>
      </w:pPr>
      <w:r>
        <w:rPr>
          <w:b/>
        </w:rPr>
        <w:t>Available abstract (not full text):</w:t>
      </w:r>
      <w:r>
        <w:t xml:space="preserve"> The article examines the current state of development of digital services in the countries of the European Union. Key infrastructure components have been formed. The importance of each of them in the conditions of the current state of development of digitalization is substantiated. The experience of organizational and economic support for the provision of digital services of the EU countries in terms of the relevant institutional and legal aspects, implemented at the national level of the leading countries in this field, is considered. A conceptual model of organizational and economic support for the provision of digital services in the regions of Ukraine based on the implementation of the EU experience is proposed, which will cover structural and management components.Summarizing the results of the research, the author formed a conceptual approach to the organizational and economic provision of digital services in the regions of Ukraine based on the implementation of EU experience, covering structural and management components.The structural component of the model will include the organizational basis of the process of providing digital services, determining the object and subject composition of the process, the classification of types of digital services according to content, the key principles of providing digital services in modern conditions, and a list of the most importa</w:t>
      </w:r>
    </w:p>
    <w:p>
      <w:pPr/>
      <w:r>
        <w:rPr>
          <w:b/>
        </w:rPr>
        <w:t>POSSIBLE 2021:</w:t>
      </w:r>
      <w:r>
        <w:t xml:space="preserve"> The sustainability of infrastructure provision of Montongsari Tourism Village Kendal — https://doi.org/10.1088/1755-1315/871/1/012010</w:t>
      </w:r>
    </w:p>
    <w:p>
      <w:pPr/>
      <w:r>
        <w:rPr>
          <w:b/>
        </w:rPr>
        <w:t>Shared claim-specific concepts:</w:t>
      </w:r>
      <w:r>
        <w:t xml:space="preserve"> infrastructure, provision, improving; EU scope not established. This is a provisional connection, not an outcome finding.</w:t>
      </w:r>
    </w:p>
    <w:p>
      <w:pPr>
        <w:pStyle w:val="SourceNote"/>
      </w:pPr>
      <w:r>
        <w:rPr>
          <w:b/>
        </w:rPr>
        <w:t>Available abstract (not full text):</w:t>
      </w:r>
      <w:r>
        <w:t xml:space="preserve"> Montongsari is one of the pilot tourism villages in the superior program of Kendal Regency to create village independence through tourism activities. However, the available infrastructure is still limited. This article aims to identify the sustainability of the provision of infrastructure as the main factor in tourism village development. Qualitative methods are used in this research, with data collection techniques through in-depth interviews and observation. In-depth interviews were carried out by asking village officials, and community leaders to gather information from tourism actors on the problems related to infrastructure and prioritizing infrastructure provision physically and spatially. Additionally, observations are conducted simultaneously to confirm the data. This research found that access to the tourism area is the most significant factor, followed by the provision of drainage to prevent flood hazards in tourist areas. The result also shows the strong role of community participation in the construction of bridges as the main access to improving the community's economy. The role and collaboration of stakeholders are needed in providing infrastructure to support the economic improvement of residents in the form of tourism activities.</w:t>
      </w:r>
    </w:p>
    <w:p>
      <w:pPr/>
      <w:r>
        <w:rPr>
          <w:b/>
        </w:rPr>
        <w:t>POSSIBLE 2021:</w:t>
      </w:r>
      <w:r>
        <w:t xml:space="preserve"> The state of play in electric vehicle charging services – A review of infrastructure provision, players, and policies — https://doi.org/10.1016/j.rser.2021.111733</w:t>
      </w:r>
    </w:p>
    <w:p>
      <w:pPr/>
      <w:r>
        <w:rPr>
          <w:b/>
        </w:rPr>
        <w:t>Shared claim-specific concepts:</w:t>
      </w:r>
      <w:r>
        <w:t xml:space="preserve"> infrastructure, provision, find, uptake; EU scope not established. This is a provisional connection, not an outcome finding.</w:t>
      </w:r>
    </w:p>
    <w:p>
      <w:pPr>
        <w:pStyle w:val="SourceNote"/>
      </w:pPr>
      <w:r>
        <w:rPr>
          <w:b/>
        </w:rPr>
        <w:t>Available abstract (not full text):</w:t>
      </w:r>
      <w:r>
        <w:t xml:space="preserve"> This paper reviews the market for electric vehicle (EV) charging infrastructure; it focuses on the types of existing charging, the main functions and actors in the market and the future policy actions required for widespread expansion. Electric vehicles represent a key technology in the mitigation of transportation greenhouse gas emissions and ambitious EV adoption targets have been set by many governments by 2030 and beyond. The rollout of EV charging infrastructure is vital in achieving this goal, as the uptake of EVs is linked to the level of coverage of EV chargers. To date, both the public and private sectors have been involved in the provision of charging stations and it is timely to consider the roles of the different actors in this market. We consider whether EV charging infrastructure is a public good or private asset and address the issues of the location of future chargers, the deployment models needed to develop, operate and own charging infrastructure, and finally the policy context for the development of charging infrastructure. We find that clear roles should be assigned to the individual public and private actors and funders, in order to achieve efficient development of the required infrastructure for large-scale EV deployment.</w:t>
      </w:r>
    </w:p>
    <w:p>
      <w:pPr/>
      <w:r>
        <w:rPr>
          <w:b/>
        </w:rPr>
        <w:t>POSSIBLE 2021:</w:t>
      </w:r>
      <w:r>
        <w:t xml:space="preserve"> Urban heat island mitigation by green infrastructure in European Functional Urban Areas — https://doi.org/10.1016/j.scs.2021.103564</w:t>
      </w:r>
    </w:p>
    <w:p>
      <w:pPr/>
      <w:r>
        <w:rPr>
          <w:b/>
        </w:rPr>
        <w:t>Shared claim-specific concepts:</w:t>
      </w:r>
      <w:r>
        <w:t xml:space="preserve"> infrastructure, but, furthermore; EU scope visible. This is a provisional connection, not an outcome finding.</w:t>
      </w:r>
    </w:p>
    <w:p>
      <w:pPr>
        <w:pStyle w:val="SourceNote"/>
      </w:pPr>
      <w:r>
        <w:rPr>
          <w:b/>
        </w:rPr>
        <w:t>Available abstract (not full text):</w:t>
      </w:r>
      <w:r>
        <w:t xml:space="preserve"> The Urban Heat Island (UHI) effect is one of the most harmful environmental hazards for urban dwellers. Climate change is expected to increase the intensity of the UHI effect. In this context, the implementation of Urban Green Infrastructure (UGI) can partially reduce UHI intensity, promoting a resilient urban environment and contributing to climate change adaptation and mitigation. In order to achieve this result, there is a need to systematically integrate UGI into urban planning and legislation, but this process is subject to the availability of widely applicable, easily accessible and quantitative evidence. To offer a big picture of urban heat intensity and opportunities to mitigate high temperatures, we developed a model that reports the Ecosystem Service (ES) of microclimate regulation of UGI in 601 European cities. The model simulates the temperature difference between a baseline and a no-vegetation scenario, extrapolating the role of UGI in mitigating UHI in different urban contexts. Finally, a practical, quantitative indicator that can be applied by policymakers and city administrations has been elaborated, allowing to estimate the amount of urban vegetation that is needed to cool summer temperatures by a certain degree. UGI is found to cool European cities by 1.07 °C on average, and up to 2.9 °C, but in order to achieve a 1 °C drop in urban temperatures, a tree cover </w:t>
      </w:r>
    </w:p>
    <w:p>
      <w:pPr/>
      <w:r>
        <w:rPr>
          <w:b/>
        </w:rPr>
        <w:t>POSSIBLE 2020:</w:t>
      </w:r>
      <w:r>
        <w:t xml:space="preserve"> INFRASTRUCTURE PROVISION OF THE AGRARIAN MARKET IN THE GLOBALIZED ENVIRONMENT — https://doi.org/10.30525/2256-0742/2019-5-5-39-46</w:t>
      </w:r>
    </w:p>
    <w:p>
      <w:pPr/>
      <w:r>
        <w:rPr>
          <w:b/>
        </w:rPr>
        <w:t>Shared claim-specific concepts:</w:t>
      </w:r>
      <w:r>
        <w:t xml:space="preserve"> infrastructure, provision; EU scope not established. This is a provisional connection, not an outcome finding.</w:t>
      </w:r>
    </w:p>
    <w:p>
      <w:pPr>
        <w:pStyle w:val="SourceNote"/>
      </w:pPr>
      <w:r>
        <w:rPr>
          <w:b/>
        </w:rPr>
        <w:t>Available abstract (not full text):</w:t>
      </w:r>
      <w:r>
        <w:t xml:space="preserve"> The main results of the research, which consist in determining the essence and features of the infrastructure provision of the agrarian market in the globalized environment, are formed. The priority of approaches in the development of logistics activities in the context of guaranteeing food security of regions and countries of the world is determined. The essence of the logistic process, strengthening the influence of the global market on the quality of agrarian products, is determined. The influence of the infrastructure provision of the agrarian market on the competitive positions of commodity producers is generalized, advantages and disadvantages in development are determined. The essence of informational logistics, its influence on the development of infrastructure provision of agricultural products market, satisfaction of consumers’ needs is investigated. The urgency of the introduction of e-commerce, which allows commodity producers to combine marketing activities with optimization of advertising costs, to ensure the efficiency and convenience of carrying out operations for the sale of agricultural products, its transportation, manage all logistics processes. It is proved that improvement of the infrastructure provision of the agrarian market of the world countries that adapts to the global market should be based on the dissemination of information opportunities, and the </w:t>
      </w:r>
    </w:p>
    <w:p>
      <w:pPr>
        <w:pStyle w:val="Heading2"/>
      </w:pPr>
      <w:r>
        <w:t>818. Argentinian Energy Landscapes - Case Study of the Neo-Carbon Energy Project</w:t>
      </w:r>
    </w:p>
    <w:p>
      <w:pPr>
        <w:pStyle w:val="SourceNote"/>
      </w:pPr>
      <w:r>
        <w:rPr>
          <w:b/>
        </w:rPr>
        <w:t>Original source (2016):</w:t>
      </w:r>
      <w:r>
        <w:t xml:space="preserve"> https://doi.org/10.13140/rg.2.2.13727.82088</w:t>
      </w:r>
    </w:p>
    <w:p>
      <w:pPr/>
      <w:r>
        <w:t>Original wording (abstract; indexed_source_text_not_full_document_verified): Therefore, it is important to explore different scenarios of how neo-carbon energy system can affect a society, businesses, individual’s lives and relationships.</w:t>
      </w:r>
    </w:p>
    <w:p>
      <w:pPr/>
      <w:r>
        <w:rPr>
          <w:b/>
        </w:rPr>
        <w:t>POSSIBLE 2026:</w:t>
      </w:r>
      <w:r>
        <w:t xml:space="preserve"> Exploring learners — https://doi.org/10.4324/9781003588924-6</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Exploring learners is very important and the foremost requirement of an effective teaching-learning process. As a beginner teacher, one needs to be aware that everything cannot be learned solely in the class. Therefore, exploring students gives an opportunity to see the real-life challenges in actual teaching-learning situations in the classrooms. For a trainee teacher, the focus should be to understand and experience the general pedagogical knowledge. This includes all aspects of the teaching-learning process such as rapport with the class, classroom management, instructional strategies, inclusive nature of the class, and assessment techniques. We humans are forever reflecting and making decisions, but as teachers when we explore learners, we tend to improve simultaneously as a teacher. This means that exploring learners is important not only during my period as a trainee teacher but also at every stage of my teaching career. We need to explore every learner in detail so that we can guide, teach and educate them to bring the best in them. This chapter deals with all these things including the naïve concept, how to negotiate and mediate learning in science and how to encourage learners for their best learning and development.</w:t>
      </w:r>
    </w:p>
    <w:p>
      <w:pPr/>
      <w:r>
        <w:rPr>
          <w:b/>
        </w:rPr>
        <w:t>POSSIBLE 2023:</w:t>
      </w:r>
      <w:r>
        <w:t xml:space="preserve"> HOW IMPORTANT EDUCATION IS? AN EXPLORATIVE ANALYSIS OF THE DROPOUT PHENOMENON IN EASTERN EUROPE — https://doi.org/10.47535/1991auoes32(1)005</w:t>
      </w:r>
    </w:p>
    <w:p>
      <w:pPr/>
      <w:r>
        <w:rPr>
          <w:b/>
        </w:rPr>
        <w:t>Shared claim-specific concepts:</w:t>
      </w:r>
      <w:r>
        <w:t xml:space="preserve"> therefore, important, system, relationships; EU scope visible. This is a provisional connection, not an outcome finding.</w:t>
      </w:r>
    </w:p>
    <w:p>
      <w:pPr>
        <w:pStyle w:val="SourceNote"/>
      </w:pPr>
      <w:r>
        <w:rPr>
          <w:b/>
        </w:rPr>
        <w:t>Available abstract (not full text):</w:t>
      </w:r>
      <w:r>
        <w:t xml:space="preserve"> Early school leaving is a structural problem related to the socioeconomic environment involving aspects of local culture and customs that characterize a country. If not controlled, with the intent of hindering it, this phenomenon can generate unemployment, social exclusion, poverty, health problems and a slowdown in the country’s economic growth. Since education policies are one of the most important concerns of national governments and international organizations, the UN 2030 Agenda, containing the common ambitions of the signatory countries, proposes 17 sustainable development goals and specifically, among these, inclusive and equitable quality education. In some Eastern European countries, the percentage of young people who decide not to continue their studies is really too high, exceeding 10%. Therefore, the aim of the paper is to study the dropout phenomenon in this context. We employ a panel vector autoregressive model in first differences to test complex dynamic relationships between share of the population aged 18 to 24 not involved in any education or training (as a proxy for the dropout phenomenon), GDP per capita (as a proxy for a country’s wealth and industrial modernity), gross domestic expenditure on R&amp;D in higher education (as a proxy for a country’s effort to improve its education system), and share of people reporting crime, violence or vandalism (as a proxy fo</w:t>
      </w:r>
    </w:p>
    <w:p>
      <w:pPr/>
      <w:r>
        <w:rPr>
          <w:b/>
        </w:rPr>
        <w:t>POSSIBLE 2023:</w:t>
      </w:r>
      <w:r>
        <w:t xml:space="preserve"> Did We Miss Something Important? Studying and Exploring Variable-Aware Log Abstraction — https://doi.org/10.1109/icse48619.2023.00078</w:t>
      </w:r>
    </w:p>
    <w:p>
      <w:pPr/>
      <w:r>
        <w:rPr>
          <w:b/>
        </w:rPr>
        <w:t>Shared claim-specific concepts:</w:t>
      </w:r>
      <w:r>
        <w:t xml:space="preserve"> important, explore, different; EU scope not established. This is a provisional connection, not an outcome finding.</w:t>
      </w:r>
    </w:p>
    <w:p>
      <w:pPr>
        <w:pStyle w:val="SourceNote"/>
      </w:pPr>
      <w:r>
        <w:rPr>
          <w:b/>
        </w:rPr>
        <w:t>Available abstract (not full text):</w:t>
      </w:r>
      <w:r>
        <w:t xml:space="preserve"> Due to the sheer size of software logs, developers rely on automated techniques for log analysis. One of the first and most important steps of automated log analysis is log abstraction, which parses the raw logs into a structured format. Prior log abstraction techniques aim to identify and abstract all the dynamic variables in logs and output a static log template for automated log analysis. However, these abstracted dynamic variables may also contain important information that is useful to different tasks in log analysis. In this paper, we investigate the characteristics of dynamic variables and their importance in practice, and explore the potential of a variable-aware log abstraction technique. Through manual investigations and surveys with practitioners, we find that different categories of dynamic variables record various information that can be important depending on the given tasks, the distinction of dynamic variables in log abstraction can further assist in log analysis. We then propose a deep learning based log abstraction approach, named VALB, which can identify different categories of dynamic variables and preserve the value of specified categories of dynamic variables along with the log templates (i.e., variable-aware log abstraction). Through the evaluation on a widely used log abstraction benchmark, we find that VALB outperforms other state-of-the-art log abstrac</w:t>
      </w:r>
    </w:p>
    <w:p>
      <w:pPr/>
      <w:r>
        <w:rPr>
          <w:b/>
        </w:rPr>
        <w:t>POSSIBLE 2022:</w:t>
      </w:r>
      <w:r>
        <w:t xml:space="preserve"> ‘Reflexology: Exploring the mechanism of action’ — https://doi.org/10.1016/j.ctcp.2022.101606</w:t>
      </w:r>
    </w:p>
    <w:p>
      <w:pPr/>
      <w:r>
        <w:rPr>
          <w:b/>
        </w:rPr>
        <w:t>Shared claim-specific concepts:</w:t>
      </w:r>
      <w:r>
        <w:t xml:space="preserve"> therefore, important, individual; EU scope not established. This is a provisional connection, not an outcome finding.</w:t>
      </w:r>
    </w:p>
    <w:p>
      <w:pPr>
        <w:pStyle w:val="SourceNote"/>
      </w:pPr>
      <w:r>
        <w:rPr>
          <w:b/>
        </w:rPr>
        <w:t>Available abstract (not full text):</w:t>
      </w:r>
      <w:r>
        <w:t xml:space="preserve"> Reflexology is a complementary therapy focusing mainly on the application of pressure on the feet, hands and ears. A small but growing evidence base suggests that positive outcomes can be gained in the management and improvement of symptoms across a range of conditions. Biological plausibility is a key concept in the determination of the usefulness of therapies. Research which tests for safety and efficacy alongside the underpinning mechanism of action are therefore important. This paper explores the potential mechanism of action for the outcomes associated with reflexology treatment as reflected in the current evidence. The influences of therapeutic touch, relaxation, placebo effects and the similarities with other therapeutic methods of structural manipulation are considered. The lack of clarity around the precise definition of reflexology and the challenges of researching the therapy as a treatment tailored to individual need are discussed. A deeper understanding of the mechanism of action for reflexology may help to further develop research into safety and efficacy. Such an understanding may lead to the integration of knowledge which may provide both symptomatic support and longer term preventative health benefits.</w:t>
      </w:r>
    </w:p>
    <w:p>
      <w:pPr/>
      <w:r>
        <w:rPr>
          <w:b/>
        </w:rPr>
        <w:t>POSSIBLE 2022:</w:t>
      </w:r>
      <w:r>
        <w:t xml:space="preserve"> Does Value Lead to Loyalty? Exploring the Important Role of the Tourist–Destination Relationship — https://doi.org/10.3390/bs12050136</w:t>
      </w:r>
    </w:p>
    <w:p>
      <w:pPr/>
      <w:r>
        <w:rPr>
          <w:b/>
        </w:rPr>
        <w:t>Shared claim-specific concepts:</w:t>
      </w:r>
      <w:r>
        <w:t xml:space="preserve"> therefore, important, affect; EU scope not established. This is a provisional connection, not an outcome finding.</w:t>
      </w:r>
    </w:p>
    <w:p>
      <w:pPr>
        <w:pStyle w:val="SourceNote"/>
      </w:pPr>
      <w:r>
        <w:rPr>
          <w:b/>
        </w:rPr>
        <w:t>Available abstract (not full text):</w:t>
      </w:r>
      <w:r>
        <w:t xml:space="preserve"> The perceived value of a tourist's trip, representing a trade-off between costs and benefits of travelling to a destination, can exert a significant influence on tourists' loyalty, which is a main concern for managers of tourist destinations. However, the mechanism between the destination value and tourist loyalty remains unexplored, especially in the new context of relationship marketing. To advance the understanding of the mechanism, we introduced 3 variables of "tourist-destination relationship", namely place attachment (PA), destination trust (DT) and tourist satisfaction (TS), combined with perceived value (PV) and tourist loyalty (TL), and therefore constructed the conceptual model. Taking the Hangzhou City of China as an example, the conceptual model was fitted and tested using the structural equation model (SEM). The results show that: (1) PV can directly and positively affect TS and DT respectively, while there was no significant effect of PV on PA; (2) TS and DT can directly and positively influence TL, but the effect of PA on TL has not been supported empirically; (3) PV has a significant positive effect on TL; and (4) there are internal relationship among the 3 variables measuring the tourist-destination relationship, in other words, TS can significantly affects PA, DT respectively, and DT has a significant positive effect on PA. The findings of this study provide e</w:t>
      </w:r>
    </w:p>
    <w:p>
      <w:pPr/>
      <w:r>
        <w:rPr>
          <w:b/>
        </w:rPr>
        <w:t>POSSIBLE 2022:</w:t>
      </w:r>
      <w:r>
        <w:t xml:space="preserve"> Considering sustainability in projects: exploring the perspective of suppliers — https://doi.org/10.12821/ijispm060201</w:t>
      </w:r>
    </w:p>
    <w:p>
      <w:pPr/>
      <w:r>
        <w:rPr>
          <w:b/>
        </w:rPr>
        <w:t>Shared claim-specific concepts:</w:t>
      </w:r>
      <w:r>
        <w:t xml:space="preserve"> therefore, important, explore, different, society; EU scope not established. This is a provisional connection, not an outcome finding.</w:t>
      </w:r>
    </w:p>
    <w:p>
      <w:pPr>
        <w:pStyle w:val="SourceNote"/>
      </w:pPr>
      <w:r>
        <w:rPr>
          <w:b/>
        </w:rPr>
        <w:t>Available abstract (not full text):</w:t>
      </w:r>
      <w:r>
        <w:t xml:space="preserve"> Projects play an important role in the development towards a more sustainable society. Companies are integrating sustainability in their strategies, processes and actions. In the implementation of strategies, projects play an essential role. The relationship between sustainability and project management is therefore being addressed in a growing number of studies and publications and sustainability can be considered one of the recent trends in project management. However, there is still a gap between the literature on sustainability in project management and what is carried out in practice. A logical enabler for the consideration of sustainability in projects may be the demand of the client in the project, although the supplier’s strategy may also be an enabler of sustainability. This article therefore reports a study into the enablers of the integration of sustainability in projects as perceived by project suppliers. The study used Qmethodology to explore different subjective patterns of perceived enablers. Based on the factor analysis of 19 Q-sorts, we discovered three distinct patterns of enablers of the integration of sustainability, that we labelled as “Benefits driven”, “Demand and intrinsic motivation driven” and “Demand and Strategy driven”. As expected, the study found that for project suppliers, integrating sustainability in projects is strongly dependent on the demand</w:t>
      </w:r>
    </w:p>
    <w:p>
      <w:pPr/>
      <w:r>
        <w:rPr>
          <w:b/>
        </w:rPr>
        <w:t>POSSIBLE 2021:</w:t>
      </w:r>
      <w:r>
        <w:t xml:space="preserve"> Exploring Sparsity in Image Super-Resolution for Efficient Inference — https://doi.org/10.1109/cvpr46437.2021.00488</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Current CNN-based super-resolution (SR) methods process all locations equally with computational resources being uniformly assigned in space. However, since missing details in low-resolution (LR) images mainly exist in regions of edges and textures, less computational resources are required for those flat regions. Therefore, existing CNN-based methods involve redundant computation in flat regions, which increases their computational cost and limits their applications on mobile devices. In this paper, we explore the sparsity in image SR to improve inference efficiency of SR networks. Specifically, we develop a Sparse Mask SR (SMSR) network to learn sparse masks to prune redundant computation. Within our SMSR, spatial masks learn to identify "important" regions while channel masks learn to mark redundant channels in those "unimportant" regions. Consequently, redundant computation can be accurately localized and skipped while maintaining comparable performance. It is demonstrated that our SMSR achieves state-of-the-art performance with 41%/33%/27% FLOPs being reduced for ×2/3/4 SR. Code is available at: https://github.com/LongguangWang/SMSR.</w:t>
      </w:r>
    </w:p>
    <w:p>
      <w:pPr/>
      <w:r>
        <w:rPr>
          <w:b/>
        </w:rPr>
        <w:t>POSSIBLE 2021:</w:t>
      </w:r>
      <w:r>
        <w:t xml:space="preserve"> Exploring Maieutic Instruction — https://doi.org/10.4018/978-1-7998-7172-9.ch006</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General views of the Socratic Method consist of it being a dialectical exchange based on probing questions concerning a topic. While this definition may prove practical, it may not do justice to the broad nature and practice of the instructional strategy. It is, therefore, equally important to explore how maieutic questioning grounds the Socratic Method as a viable instructional strategy. By realizing the maieutic process as giving birth to discoveries, educationists and students are given a clearer framework in implementing the Socratic Method in educational experiences. In further elucidating this claim, this chapter first draws from the maieutic practice found in Plato's dialogues. Second, the chapter explores research on maieutic questioning in teaching and learning experiences. Lastly, a recognition of both Socrates' original maieutic practice and the modern conception of it are advanced as strategies educationists can implement in their courses.</w:t>
      </w:r>
    </w:p>
    <w:p>
      <w:pPr/>
      <w:r>
        <w:rPr>
          <w:b/>
        </w:rPr>
        <w:t>POSSIBLE 2021:</w:t>
      </w:r>
      <w:r>
        <w:t xml:space="preserve"> Role of Biofuels in Energy Transition, Green Economy and Carbon Neutrality — https://doi.org/10.3390/su132212374</w:t>
      </w:r>
    </w:p>
    <w:p>
      <w:pPr/>
      <w:r>
        <w:rPr>
          <w:b/>
        </w:rPr>
        <w:t>Shared claim-specific concepts:</w:t>
      </w:r>
      <w:r>
        <w:t xml:space="preserve"> different, energy; EU scope not established. This is a provisional connection, not an outcome finding.</w:t>
      </w:r>
    </w:p>
    <w:p>
      <w:pPr>
        <w:pStyle w:val="SourceNote"/>
      </w:pPr>
      <w:r>
        <w:rPr>
          <w:b/>
        </w:rPr>
        <w:t>Available abstract (not full text):</w:t>
      </w:r>
      <w:r>
        <w:t xml:space="preserve"> Modern civilization is heavily reliant on petroleum-based fuels to meet the energy demand of the transportation sector. However, burning fossil fuels in engines emits greenhouse gas emissions that harm the environment. Biofuels are commonly regarded as an alternative for sustainable transportation and economic development. Algal-based fuels, solar fuels, e-fuels, and CO2-to-fuels are marketed as next-generation sources that address the shortcomings of first-generation and second-generation biofuels. This article investigates the benefits, limitations, and trends in different generations of biofuels through a review of the literature. The study also addresses the newer generation of biofuels highlighting the social, economic, and environmental aspects, providing the reader with information on long-term sustainability. The use of nanoparticles in the commercialization of biofuel is also highlighted. Finally, the paper discusses the recent advancements that potentially enable a sustainable energy transition, green economy, and carbon neutrality in the biofuel sector.</w:t>
      </w:r>
    </w:p>
    <w:p>
      <w:pPr/>
      <w:r>
        <w:rPr>
          <w:b/>
        </w:rPr>
        <w:t>POSSIBLE 2021:</w:t>
      </w:r>
      <w:r>
        <w:t xml:space="preserve"> Low-carbon energy democracy in the Global South? — https://doi.org/10.4324/9780429402302-41</w:t>
      </w:r>
    </w:p>
    <w:p>
      <w:pPr/>
      <w:r>
        <w:rPr>
          <w:b/>
        </w:rPr>
        <w:t>Shared claim-specific concepts:</w:t>
      </w:r>
      <w:r>
        <w:t xml:space="preserve"> energy, businesses; EU scope not established. This is a provisional connection, not an outcome finding.</w:t>
      </w:r>
    </w:p>
    <w:p>
      <w:pPr>
        <w:pStyle w:val="SourceNote"/>
      </w:pPr>
      <w:r>
        <w:rPr>
          <w:b/>
        </w:rPr>
        <w:t>Available abstract (not full text):</w:t>
      </w:r>
      <w:r>
        <w:t xml:space="preserve"> Social science tools and practitioner experiences help to understand relations of democratic processes to low-carbon energy transitions in the Global South. This requires interrogating Euro-centric assumptions about participation, national development, and infrastructure models in conditions of inequality and state capture. Issues of historical extractive energy injustice and the asymmetries of Southern climate vulnerability, as compared to Northern GHG emission sources, drag this topic into political focus for questioning the models of mass consumption that have driven economic development for over two centuries. Can democracy be reinvented with renewables? The UK Low Carbon Energy for Development Network (LCEDN) has since 2012 pooled expertise across disciplines involved in energy research in the developing world in order to enhance the ability of renewable energy systems to address poverty and gender inequality issues off-grid. The LCEDN has come to constitute an overarching community of practice linked to other communities of practice formed by the NGOs, businesses, and policy community committed to low-carbon transitions and centered on energy development justice. The LCEDN and associate communities have determined to widen an agenda of acquiring evidence from case studies, critical participatory approaches, and research into grassroots and municipal initiatives, thereby i</w:t>
      </w:r>
    </w:p>
    <w:p>
      <w:pPr/>
      <w:r>
        <w:rPr>
          <w:b/>
        </w:rPr>
        <w:t>POSSIBLE 2021:</w:t>
      </w:r>
      <w:r>
        <w:t xml:space="preserve"> Exploring biometric identification in FinTech applications based on the modified TAM — https://doi.org/10.1186/s40854-021-00260-2</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Abstract In recent years, biometric technologies have been widely embedded in mobile devices; these technologies were originally employed to enhance the security of mobile devices. With the rise of financial technology (FinTech), which uses mobile devices and applications as promotional platforms, biometrics has the important role of strengthening the identification of such applications for security. However, users still have privacy and trust concerns about biometrics. Previous studies have demonstrated that the technology acceptance model (TAM) can rigorously explain and predict user acceptance of new technologies. This study therefore modifies the TAM as a basic research architecture. Based on a literature review, we add two new variables, namely, “perceived privacy” and “perceived trust,” to extend the traditional TAM to examine user acceptance of biometric identification in FinTech applications. First, we apply the analytic hierarchy process (AHP) to evaluate the defined objects and relevant criteria of the research framework. Second, we use the AHP results in the scenario analysis to explore biometric identification methods that correspond to objects and criteria. The results indicate that face and voice recognition are the two most preferred identification methods in FinTech applications. In addition, there are significant changes in the results of the perceived trust an</w:t>
      </w:r>
    </w:p>
    <w:p>
      <w:pPr/>
      <w:r>
        <w:rPr>
          <w:b/>
        </w:rPr>
        <w:t>POSSIBLE 2021:</w:t>
      </w:r>
      <w:r>
        <w:t xml:space="preserve"> Exploring long-term effects of biochar on mitigating methane emissions from paddy soil: a review — https://doi.org/10.1007/s42773-021-00096-0</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Abstract Biochar has been reported to mitigate short-term methane (CH 4 ) emissions from paddy soil. Currently, CH 4 mitigation by biochar has primarily focused on the abundance and variations of methanogens and methanotrophs, and changes in their activities during methane production and consumption. However, long-term effects of biochar on methane mitigation from paddy soil remain controversial. This review overviewed the existing mechanisms for CH 4 mitigation as a result of biochar application. In addition, the two existing opinions on the long-term CH 4 mitigation effect upon biochar application were highlighted. Combining the already explored mechanisms of fresh biochar on CH 4 mitigation from paddy soil and a novel discovery, the potential mechanisms of biochar on long-term methane emission response were proposed. This review also revealed the uncertain responses of biochar on long-term CH 4 mitigation. Therefore, to achieve carbon neutral goal, it is important to further explore the mechanisms of long-term CH 4 mitigation under biochar application.</w:t>
      </w:r>
    </w:p>
    <w:p>
      <w:pPr>
        <w:pStyle w:val="Heading2"/>
      </w:pPr>
      <w:r>
        <w:t>819. Assessing the desirability and feasibility of scenarios on eco-efficient transport: a heuristic for efficient stakeholder involvement during foresight processes</w:t>
      </w:r>
    </w:p>
    <w:p>
      <w:pPr>
        <w:pStyle w:val="SourceNote"/>
      </w:pPr>
      <w:r>
        <w:rPr>
          <w:b/>
        </w:rPr>
        <w:t>Original source (2016):</w:t>
      </w:r>
      <w:r>
        <w:t xml:space="preserve"> https://doi.org/10.1108/fs-05-2014-0034</w:t>
      </w:r>
    </w:p>
    <w:p>
      <w:pPr/>
      <w:r>
        <w:t>Original wording (abstract; indexed_source_text_not_full_document_verified): Purpose – The purpose of this paper is to illustrate and discuss how stakeholder assessment of scenarios can be used to trigger a structured and, therefore, more efficient debate amongst stakeholders about future options for achieving a more eco-efficient transport system in Europe.</w:t>
      </w:r>
    </w:p>
    <w:p>
      <w:pPr/>
      <w:r>
        <w:rPr>
          <w:b/>
        </w:rPr>
        <w:t>POSSIBLE 2026:</w:t>
      </w:r>
      <w:r>
        <w:t xml:space="preserve"> EDUCATION AND EUROPEAN INTEGRATION — https://doi.org/10.82444/warw.33551740</w:t>
      </w:r>
    </w:p>
    <w:p>
      <w:pPr/>
      <w:r>
        <w:rPr>
          <w:b/>
        </w:rPr>
        <w:t>Shared claim-specific concepts:</w:t>
      </w:r>
      <w:r>
        <w:t xml:space="preserve"> purpose, illustrate, discuss, used; EU scope visible. This is a provisional connection, not an outcome finding.</w:t>
      </w:r>
    </w:p>
    <w:p>
      <w:pPr>
        <w:pStyle w:val="SourceNote"/>
      </w:pPr>
      <w:r>
        <w:rPr>
          <w:b/>
        </w:rPr>
        <w:t>Available abstract (not full text):</w:t>
      </w:r>
      <w:r>
        <w:t xml:space="preserve"> The main purpose of this article is to discuss the implications for education and training of the movement towards integration in Europe in the historic context of the creation of a single market within the European Community (EC) and the end of the Communist regimes in Central and Eastern Europe. The experience of the EC is used to illustrate trends and problems in the development of international cooperation in education and training. Common concerns and priorities throughout the new Europe are then identified and discussed. These include the pursuit of quality in schooling, efforts to serve the interests of disadvantaged learners, and the treatment of European Studies in the curriculum, including the improvement of the teaching of foreign languages.</w:t>
      </w:r>
    </w:p>
    <w:p>
      <w:pPr/>
      <w:r>
        <w:rPr>
          <w:b/>
        </w:rPr>
        <w:t>POSSIBLE 2021:</w:t>
      </w:r>
      <w:r>
        <w:t xml:space="preserve"> Assessment of Trends and Uncertainties in the Atmospheric Boundary Layer Height Estimated Using Radiosounding Observations over Europe — https://doi.org/10.3390/atmos12030301</w:t>
      </w:r>
    </w:p>
    <w:p>
      <w:pPr/>
      <w:r>
        <w:rPr>
          <w:b/>
        </w:rPr>
        <w:t>Shared claim-specific concepts:</w:t>
      </w:r>
      <w:r>
        <w:t xml:space="preserve"> assessment, used, about; EU scope visible. This is a provisional connection, not an outcome finding.</w:t>
      </w:r>
    </w:p>
    <w:p>
      <w:pPr>
        <w:pStyle w:val="SourceNote"/>
      </w:pPr>
      <w:r>
        <w:rPr>
          <w:b/>
        </w:rPr>
        <w:t>Available abstract (not full text):</w:t>
      </w:r>
      <w:r>
        <w:t xml:space="preserve"> Trends in atmospheric boundary layer height may represent an indication of climate changes. The related modified interaction between the surface and free atmosphere affects both thermodynamics variables and dilution of chemical constituents. Boundary layer is also a major player in various feedback mechanisms of interest for climate models. This paper investigates trends in the nocturnal and convective boundary layer height at mid-latitudes in Europe using radiosounding profiles from the Integrated Global Radiosounding Archive (IGRA). Atmospheric data from the European Centre for Medium-Range Weather Forecasts (ECMWF) ReAnalysis v5 (ERA5) and from the GCOS Reference Upper-Air Network (GRUAN) Lindenberg station are used as intercomparison datasets for the study of structural and parametric uncertainties in the trend analysis. Trends are calculated after the removal of the lag-1 autocorrelation term for each time series. The study confirms the large differences reported in literature between the boundary layer height estimates obtained with the two different algorithms used for IGRA and ERA5 data: ERA5 shows a density distribution with median values of 350 m and 1150 m for the night and the daytime data, respectively, while the corresponding IGRA median values are of 1150 m and 1750 m. An overall good agreement between the estimated trends is found for nighttime data, while dayti</w:t>
      </w:r>
    </w:p>
    <w:p>
      <w:pPr/>
      <w:r>
        <w:rPr>
          <w:b/>
        </w:rPr>
        <w:t>POSSIBLE 2021:</w:t>
      </w:r>
      <w:r>
        <w:t xml:space="preserve"> Stakeholder perspectives and requirements on cybersecurity in Europe — https://doi.org/10.1016/j.jisa.2021.102916</w:t>
      </w:r>
    </w:p>
    <w:p>
      <w:pPr/>
      <w:r>
        <w:rPr>
          <w:b/>
        </w:rPr>
        <w:t>Shared claim-specific concepts:</w:t>
      </w:r>
      <w:r>
        <w:t xml:space="preserve"> stakeholder, stakeholders, achieving, transport; EU scope visible. This is a provisional connection, not an outcome finding.</w:t>
      </w:r>
    </w:p>
    <w:p>
      <w:pPr>
        <w:pStyle w:val="SourceNote"/>
      </w:pPr>
      <w:r>
        <w:rPr>
          <w:b/>
        </w:rPr>
        <w:t>Available abstract (not full text):</w:t>
      </w:r>
      <w:r>
        <w:t xml:space="preserve"> This article presents an overview and analysis of the key cybersecurity problems, challenges and requirements to be addressed in the future, which we derived through 63 interviews with European stakeholders from security-critical sectors including Open Banking, Supply Chain, Privacy-preserving Identity Management, Security Incident Reporting, Maritime Transport, Medical Data Exchange, and Smart Cities. We show that common problems, challenges and requirements across these sectors exist in relation to building trust, implementing privacy and identity management including secure and useable authentication, building resilient systems, standardisation and certification, achieving security and privacy by design, secure and privacy-compliant data and information sharing, and government regulations. Our results also indicate cybersecurity trends and allow to derive directions for future research and innovation activities that will be of high importance for Europe.</w:t>
      </w:r>
    </w:p>
    <w:p>
      <w:pPr/>
      <w:r>
        <w:rPr>
          <w:b/>
        </w:rPr>
        <w:t>POSSIBLE 2020:</w:t>
      </w:r>
      <w:r>
        <w:t xml:space="preserve"> Loess landscapes of Europe – Mapping, geomorphology, and zonal differentiation — https://doi.org/10.1016/j.earscirev.2020.103496</w:t>
      </w:r>
    </w:p>
    <w:p>
      <w:pPr/>
      <w:r>
        <w:rPr>
          <w:b/>
        </w:rPr>
        <w:t>Shared claim-specific concepts:</w:t>
      </w:r>
      <w:r>
        <w:t xml:space="preserve"> discuss, used, therefore, transport; EU scope visible. This is a provisional connection, not an outcome finding.</w:t>
      </w:r>
    </w:p>
    <w:p>
      <w:pPr>
        <w:pStyle w:val="SourceNote"/>
      </w:pPr>
      <w:r>
        <w:rPr>
          <w:b/>
        </w:rPr>
        <w:t>Available abstract (not full text):</w:t>
      </w:r>
      <w:r>
        <w:t xml:space="preserve"> Paleoenvironmental reconstructions on a (supra-)regional scale have gained attention in Quaternary sciences during the last decades. In terrestrial realms, loess deposits and especially intercalations of loess and buried soils, so called loess-paleosol sequences (LPS) are important archives to unravel the terrestrial response to e.g. climatic fluctuations and reconstruct paleoenvironments during the Pleistocene. The analysis of LPS requires the knowledge of several key factors, such as the distribution of the aeolian sediments, their location relative to (potential) source areas, the climate conditions that led to their emplacement and the topography of the sink area. These factors strongly influence the sedimentological and paleoenvironmental characteristics of LPS and show broad variations throughout Europe, leading to a distinct distribution pattern throughout the continent. We present a new map of the distribution of aeolian sediments (mainly loess) and major potential source areas for Europe. The map was compiled combining geodata of different mapping approaches. Most of the used geodata stems from accurate national maps of 27 different countries. Problematic aspects such as different nomenclatures across administrative borders were carefully investigated and revised. The result is a seamless map, which comprises pedological, geological, and geomorphological data and can b</w:t>
      </w:r>
    </w:p>
    <w:p>
      <w:pPr/>
      <w:r>
        <w:rPr>
          <w:b/>
        </w:rPr>
        <w:t>POSSIBLE 2020:</w:t>
      </w:r>
      <w:r>
        <w:t xml:space="preserve"> Application of the World Café method to discuss the efficiency of African swine fever control strategies in European wild boar (Sus scrofa) populations — https://doi.org/10.1016/j.prevetmed.2020.105178</w:t>
      </w:r>
    </w:p>
    <w:p>
      <w:pPr/>
      <w:r>
        <w:rPr>
          <w:b/>
        </w:rPr>
        <w:t>Shared claim-specific concepts:</w:t>
      </w:r>
      <w:r>
        <w:t xml:space="preserve"> discuss, stakeholder, efficient; EU scope visible. This is a provisional connection, not an outcome finding.</w:t>
      </w:r>
    </w:p>
    <w:p>
      <w:pPr>
        <w:pStyle w:val="SourceNote"/>
      </w:pPr>
      <w:r>
        <w:rPr>
          <w:b/>
        </w:rPr>
        <w:t>Available abstract (not full text):</w:t>
      </w:r>
      <w:r>
        <w:t xml:space="preserve"> In the current epidemic of African swine fever (ASF) in Europe, the maintenance and spread of the disease among wild boar populations remains the most important epidemiological challenge. Affected and at-risk countries have addressed this situation using a diversity of wild boar management methods with varying levels of success. The methods applied range from conventional animal disease intervention measures (zoning, stakeholder awareness campaigns, increased surveillance and biosecurity measures) to measures aimed at reducing wild boar population movements (fencing and baiting/feeding) or population numbers (intensive hunting). To assess the perceived efficiency and acceptance of such measures in the context of a focal introduction of ASF, the authors organised a participatory workshop inviting experts from the fields of wildlife management, wild boar ecology, sociology, epidemiology and animal disease management to discuss the advantages and disadvantages of various control approaches. The discussions between professionals from different countries took place using the World Café method. This paper documents the World Café method as a tool for increasing the level of participation in multi-stakeholder group discussions, and describes the outputs of the workshop pertaining to the control measures. In summary, the World Café method was perceived as an efficient tool for quickly </w:t>
      </w:r>
    </w:p>
    <w:p>
      <w:pPr/>
      <w:r>
        <w:rPr>
          <w:b/>
        </w:rPr>
        <w:t>POSSIBLE 2020:</w:t>
      </w:r>
      <w:r>
        <w:t xml:space="preserve"> An assessment of attitudes towards plastics and bioplastics in Europe — https://doi.org/10.1016/j.scitotenv.2020.142732</w:t>
      </w:r>
    </w:p>
    <w:p>
      <w:pPr/>
      <w:r>
        <w:rPr>
          <w:b/>
        </w:rPr>
        <w:t>Shared claim-specific concepts:</w:t>
      </w:r>
      <w:r>
        <w:t xml:space="preserve"> assessment, used, therefore, about; EU scope visible. This is a provisional connection, not an outcome finding.</w:t>
      </w:r>
    </w:p>
    <w:p>
      <w:pPr>
        <w:pStyle w:val="SourceNote"/>
      </w:pPr>
      <w:r>
        <w:rPr>
          <w:b/>
        </w:rPr>
        <w:t>Available abstract (not full text):</w:t>
      </w:r>
      <w:r>
        <w:t xml:space="preserve"> Over the last 50 years, conventional fossil-based plastics have become an integral part of our everyday lives. Apart from their low production costs, this is due to a number of their unique properties, including durability, strength, lightness, electrical and thermal insulation, resistance to chemicals and corrosion. The production of plastics has increased from 1.5 million metric tons in 1950 to 359 million metric tons in 2018. Of this total, 61.8 million metric tons were produced in Europe. There are various problems associated with plastic use and disposal that pose a serious threat to both the physical environment and human health. Since public behaviour plays a key role when it comes to the use of plastic, this paper reports on a study that focused on an assessment of attitudes towards plastics and bioplastics in Europe. The results showed that packaging is the most frequent modality of plastic used among participants. In addition, majority of participants are aware that plastic waste can affect environment and human health and therefore segregate and properly dispose plastics. Also, even though most respondents were aware of the environmental problems related to plastic use and showed a positive inclination towards using bioplastic materials, their limited availability and lack of relevant information about bioplastics pose a problem for wider use. Departing from the assu</w:t>
      </w:r>
    </w:p>
    <w:p>
      <w:pPr/>
      <w:r>
        <w:rPr>
          <w:b/>
        </w:rPr>
        <w:t>POSSIBLE 2020:</w:t>
      </w:r>
      <w:r>
        <w:t xml:space="preserve"> Integrated assessment projections for the impact of innovation on CCS deployment in Europe — https://doi.org/10.1016/j.ijggc.2020.103133</w:t>
      </w:r>
    </w:p>
    <w:p>
      <w:pPr/>
      <w:r>
        <w:rPr>
          <w:b/>
        </w:rPr>
        <w:t>Shared claim-specific concepts:</w:t>
      </w:r>
      <w:r>
        <w:t xml:space="preserve"> assessment, about, achieving, system; EU scope visible. This is a provisional connection, not an outcome finding.</w:t>
      </w:r>
    </w:p>
    <w:p>
      <w:pPr>
        <w:pStyle w:val="SourceNote"/>
      </w:pPr>
      <w:r>
        <w:rPr>
          <w:b/>
        </w:rPr>
        <w:t>Available abstract (not full text):</w:t>
      </w:r>
      <w:r>
        <w:t xml:space="preserve"> CCS is expected to play a sizeable role over the next several decades to drastically abate greenhouse gas emissions in the energy system by 2050. With the integrated assessment model TIAM-ECN we project how large its contribution could be in Europe in the power sector and industry, and analyze how this contribution may be affected by cost decline (driven by technological innovation) and ambitious greenhouse gas emission reduction targets. If Europe stays on track of achieving zero net emissions by mid-century, we find that CO2 capture activities in Europe may grow to a total amount of some 1700 MtCO2/yr in 2050. We project that by 2050 power plants equipped with CCS could contribute by approximately 25 % to total electricity generation, in competition with low-carbon alternatives such as nuclear energy and renewables like solar photovoltaic and wind power. CCS in association with the use of natural gas could account for about 35 % of energy use in industrial applications, while the use of biomass and coal combined with CCS could be employed for the production of hydrogen. We find that stringent climate policy measures constitute a bigger driver of broad CCS diffusion than CCS technology cost reductions. We project that under stringent climate policy targeting zero net emissions by 2050, a 30 % CCS capital cost reduction as a result of technological advancement could proffer Eur</w:t>
      </w:r>
    </w:p>
    <w:p>
      <w:pPr/>
      <w:r>
        <w:rPr>
          <w:b/>
        </w:rPr>
        <w:t>POSSIBLE 2020:</w:t>
      </w:r>
      <w:r>
        <w:t xml:space="preserve"> European biodiversity assessments in livestock science: A review of research characteristics and indicators — https://doi.org/10.1016/j.ecolind.2019.105902</w:t>
      </w:r>
    </w:p>
    <w:p>
      <w:pPr/>
      <w:r>
        <w:rPr>
          <w:b/>
        </w:rPr>
        <w:t>Shared claim-specific concepts:</w:t>
      </w:r>
      <w:r>
        <w:t xml:space="preserve"> used, therefore, about; EU scope visible. This is a provisional connection, not an outcome finding.</w:t>
      </w:r>
    </w:p>
    <w:p>
      <w:pPr>
        <w:pStyle w:val="SourceNote"/>
      </w:pPr>
      <w:r>
        <w:rPr>
          <w:b/>
        </w:rPr>
        <w:t>Available abstract (not full text):</w:t>
      </w:r>
      <w:r>
        <w:t xml:space="preserve"> Developments in agriculture are a main driver for biodiversity loss, in which livestock play a major role through pastures and feed crop cultivation. Addressing biodiversity loss is challenging due to the broad definition of and the multitude of indicators for biodiversity. We reviewed scientific literature assessing effects of livestock on biodiversity in Europe, to provide an overview of general characteristics of these studies and their indicators for biodiversity. The search was performed in SCOPUS and Web of Science and yielded 857 records after deduplication, which was narrowed down to 131 articles that assessed biodiversity impacts of livestock in Europe. Analysis of these articles focused on general characteristics of the research (i.e. context, scale, species, function of livestock, approach), indicators used, and the general conclusion regarding the impact of livestock on biodiversity. The majority of articles studied biodiversity in France, UK, Italy, Germany and Spain; and studied the direct impact of grazing cattle and sheep on biodiversity at field scale. Indirect impacts of livestock on biodiversity through feed production were assessed in few studies. In about one third of the studies, the function of livestock was not related to food production, but to conservation of open landscapes through grazing. We found a large variety of indicators used to assess the imp</w:t>
      </w:r>
    </w:p>
    <w:p>
      <w:pPr/>
      <w:r>
        <w:rPr>
          <w:b/>
        </w:rPr>
        <w:t>POSSIBLE 2019:</w:t>
      </w:r>
      <w:r>
        <w:t xml:space="preserve"> Plantation forests in Europe: challenges and opportunities — https://doi.org/10.36333/fs09</w:t>
      </w:r>
    </w:p>
    <w:p>
      <w:pPr/>
      <w:r>
        <w:rPr>
          <w:b/>
        </w:rPr>
        <w:t>Shared claim-specific concepts:</w:t>
      </w:r>
      <w:r>
        <w:t xml:space="preserve"> stakeholder, therefore, about, options, achieving; EU scope visible. This is a provisional connection, not an outcome finding.</w:t>
      </w:r>
    </w:p>
    <w:p>
      <w:pPr>
        <w:pStyle w:val="SourceNote"/>
      </w:pPr>
      <w:r>
        <w:rPr>
          <w:b/>
        </w:rPr>
        <w:t>Available abstract (not full text):</w:t>
      </w:r>
      <w:r>
        <w:t xml:space="preserve"> The Sustainable Development Goals, Paris Climate Agreement, the Forest Europe process, and EU targets and policies set new demands for European forests. These include helping to mitigate climate change, providing goods and services, gen-erating jobs and acting as a source of fuel and mate-rials. The development of an innovative, sustainable bioeconomy is a key strategy, and in Europe forestry is expected to play a major part in supplying the feed-stock and services required. Plantation forests can play a key role in meeting these objectives. Globally forest area continues to decline, from 4.3 billion hectares to 4 billion hectares during the period 1990 to 2015. However, over the same timeframe the area of planted forests has in-creased, and they now comprise 7% of the total glob-al forest area and provide about 33% of the world’s roundwood.In Europe, the area of plantation forestry is also in-creasing, together with the proportion of roundwood and other services provided by plantation forests. There is new evidence that the sustainable manage-ment of plantations, particularly as part of a land-scape-scale mosaic, has strong potential to deliver against Europe’s emerging policy priorities. The scientific evidence on how best to achieve these targets, while achieving multifunctionality and maxi-mizing the synergies between ecosystem services is key to the success of future fores</w:t>
      </w:r>
    </w:p>
    <w:p>
      <w:pPr/>
      <w:r>
        <w:rPr>
          <w:b/>
        </w:rPr>
        <w:t>POSSIBLE 2019:</w:t>
      </w:r>
      <w:r>
        <w:t xml:space="preserve"> A climatological assessment of balancing effects and shortfall risks of photovoltaics and wind energy in Germany and Europe — https://doi.org/10.5194/asr-16-119-2019</w:t>
      </w:r>
    </w:p>
    <w:p>
      <w:pPr/>
      <w:r>
        <w:rPr>
          <w:b/>
        </w:rPr>
        <w:t>Shared claim-specific concepts:</w:t>
      </w:r>
      <w:r>
        <w:t xml:space="preserve"> illustrate, assessment, system; EU scope visible. This is a provisional connection, not an outcome finding.</w:t>
      </w:r>
    </w:p>
    <w:p>
      <w:pPr>
        <w:pStyle w:val="SourceNote"/>
      </w:pPr>
      <w:r>
        <w:rPr>
          <w:b/>
        </w:rPr>
        <w:t>Available abstract (not full text):</w:t>
      </w:r>
      <w:r>
        <w:t xml:space="preserve"> Abstract. With an increased share of solar and wind energy e.g. in the German and European energy systems it is becoming increasingly important to analyze the impact of weather variability on the reliability of the energy production. In this study, we calculate solar PV and wind power capacity factors using two recently developed climatological datasets that provide information with high spatial and temporal details on the continental (European) scale and are of sufficient length for assessments at climatological time scales: Surface radiation derived from meteorological satellites (SARAH-2) and wind speed from a high-resolution regional reanalysis (COSMO-REA6). Balancing effects are analysed: On average, the seasonal cycles of PV and wind power production complement each other in Germany as well as in Europe. The frequency of events with a risk of low electricity generation is analyzed under different assumptions. When using wind energy over German land areas as a reference case, the results illustrate that the number of low production events is reduced when Germany's Exclusive Economic Zone is included into the analysis, or when a combined system of PV and wind energy is considered. A European-wide analysis also leads to a distinct reduction of such events.</w:t>
      </w:r>
    </w:p>
    <w:p>
      <w:pPr/>
      <w:r>
        <w:rPr>
          <w:b/>
        </w:rPr>
        <w:t>POSSIBLE 2019:</w:t>
      </w:r>
      <w:r>
        <w:t xml:space="preserve"> Is the nitrogen footprint fit for purpose? An assessment of models and proposed uses — https://doi.org/10.1016/j.jenvman.2019.03.083</w:t>
      </w:r>
    </w:p>
    <w:p>
      <w:pPr/>
      <w:r>
        <w:rPr>
          <w:b/>
        </w:rPr>
        <w:t>Shared claim-specific concepts:</w:t>
      </w:r>
      <w:r>
        <w:t xml:space="preserve"> purpose, assessment, used, therefore, debate, options; EU scope not established. This is a provisional connection, not an outcome finding.</w:t>
      </w:r>
    </w:p>
    <w:p>
      <w:pPr>
        <w:pStyle w:val="SourceNote"/>
      </w:pPr>
      <w:r>
        <w:rPr>
          <w:b/>
        </w:rPr>
        <w:t>Available abstract (not full text):</w:t>
      </w:r>
      <w:r>
        <w:t xml:space="preserve"> The nitrogen footprint has been proposed as an environmental indicator to quantify and highlight how individuals, organizations, or countries contribute to nitrogen pollution. While some footprint indicators have been successful in raising awareness of environmental pressures among the public and policy-makers, they have also attracted criticism from members of the life cycle assessment (LCA) community who find some footprints confusing and misleading as they measure substance and energy flows without considering their environmental impacts. However, there are also legitimate reasons to defend footprints as a useful class of indicators despite their incompatibility with LCA principles. Here, in light of this previous research and debate, we critically assess models and proposed uses for the nitrogen footprint, and explore options for further development. As the nitrogen footprint merely quantifies gross nitrogen emissions irrespective of time, location, and chemical form, it is a crude proxy of environmental and health impacts compared to other, more sophisticated environmental impact indicators. However, developing the nitrogen footprint toward LCA-compatible impact assessment would imply more uncertainty, more complexity, and more work. Furthermore, we emphasize that impact assessment has an unavoidable subjective dimension that should be recognized in any development toward </w:t>
      </w:r>
    </w:p>
    <w:p>
      <w:pPr/>
      <w:r>
        <w:rPr>
          <w:b/>
        </w:rPr>
        <w:t>POSSIBLE 2018:</w:t>
      </w:r>
      <w:r>
        <w:t xml:space="preserve"> Are advisory services “fit for purpose” to support sustainable soil management? An assessment of advice in Europe — https://doi.org/10.1111/sum.12452</w:t>
      </w:r>
    </w:p>
    <w:p>
      <w:pPr/>
      <w:r>
        <w:rPr>
          <w:b/>
        </w:rPr>
        <w:t>Shared claim-specific concepts:</w:t>
      </w:r>
      <w:r>
        <w:t xml:space="preserve"> purpose, assessment, structured, about, achieving; EU scope visible. This is a provisional connection, not an outcome finding.</w:t>
      </w:r>
    </w:p>
    <w:p>
      <w:pPr>
        <w:pStyle w:val="SourceNote"/>
      </w:pPr>
      <w:r>
        <w:rPr>
          <w:b/>
        </w:rPr>
        <w:t>Available abstract (not full text):</w:t>
      </w:r>
      <w:r>
        <w:t xml:space="preserve"> Abstract This assessment examines the extent to which advisory services are able to address current and emerging knowledge needs of practitioners (primarily farmers) about sustainable soil management ( SSM ) in Europe. The assessment is structured around the following components: the context of advice (policy, market, socio‐economic conditions, privatization of advisory systems); the challenges that SSM presents for advice; the current and emerging practitioner knowledge needs; and the existing structure and function of advisory services for SSM . The analysis reveals fragmented policy and advisory services, paralleled by the multi‐scale character of SSM and a diverse audience for advice. The challenges and opportunities this complex arena presents are analysed, and suggestions made for achieving more effective advisory services for SSM , together with examples of existing approaches.</w:t>
      </w:r>
    </w:p>
    <w:p>
      <w:pPr>
        <w:pStyle w:val="Heading2"/>
      </w:pPr>
      <w:r>
        <w:t>820. Bioenergy futures in Sweden – Modeling integration scenarios for biofuel production</w:t>
      </w:r>
    </w:p>
    <w:p>
      <w:pPr>
        <w:pStyle w:val="SourceNote"/>
      </w:pPr>
      <w:r>
        <w:rPr>
          <w:b/>
        </w:rPr>
        <w:t>Original source (2016):</w:t>
      </w:r>
      <w:r>
        <w:t xml:space="preserve"> https://doi.org/10.1016/j.energy.2016.04.044</w:t>
      </w:r>
    </w:p>
    <w:p>
      <w:pPr/>
      <w:r>
        <w:t>Original wording (abstract; indexed_source_text_not_full_document_verified): However, even though biomass is a renewable resource, the potential is limited, and efficient use of available biomass resources will become increasingly important.</w:t>
      </w:r>
    </w:p>
    <w:p>
      <w:pPr/>
      <w:r>
        <w:rPr>
          <w:b/>
        </w:rPr>
        <w:t>POSSIBLE 2025:</w:t>
      </w:r>
      <w:r>
        <w:t xml:space="preserve"> Increased Holocene Diversity in Europe Linked to Human‐Associated Vegetation Change — https://doi.org/10.1111/geb.70166</w:t>
      </w:r>
    </w:p>
    <w:p>
      <w:pPr/>
      <w:r>
        <w:rPr>
          <w:b/>
        </w:rPr>
        <w:t>Shared claim-specific concepts:</w:t>
      </w:r>
      <w:r>
        <w:t xml:space="preserve"> however, though, use, increasingly; EU scope visible. This is a provisional connection, not an outcome finding.</w:t>
      </w:r>
    </w:p>
    <w:p>
      <w:pPr>
        <w:pStyle w:val="SourceNote"/>
      </w:pPr>
      <w:r>
        <w:rPr>
          <w:b/>
        </w:rPr>
        <w:t>Available abstract (not full text):</w:t>
      </w:r>
      <w:r>
        <w:t xml:space="preserve"> ABSTRACT Aim It is widely reported that aspects of present‐day global biodiversity are declining, with humans largely to blame. However—perhaps paradoxically—in Europe, floristic diversity and human populations have grown in tandem for millennia. Disturbance intensity and habitat heterogeneity potentially explain this phenomenon, though we lack understanding of how human land use intensity affected biodiversity at numerous spatial scales over the Holocene. Here, we examine the relationships between anthropogenic vegetation change and floristic diversity over the last 12 millennia in Europe, at multiple spatial scales. Location Europe. Time Period The Holocene (11,700–100 cal yr BP). Major Taxa Studied Plants. Methods We examined the spatio‐temporal dynamics of, and relationships between, floristic richness, evenness and compositional turnover with an index of anthropogenic vegetation change since 11,700 cal yr. BP, analysing 7853 pollen samples from 213 records (sites). We evaluated how changes to the proportional site occupancies of human‐associated and other taxa related to diversity patterns. Results (1) Floristic richness, evenness, and compositional turnover increased from 9000 years ago to 1850 CE. (2) Temporal increases in richness and evenness were positively associated with the anthropogenic vegetation index in the majority of vegetation zones and sites, whereas compos</w:t>
      </w:r>
    </w:p>
    <w:p>
      <w:pPr/>
      <w:r>
        <w:rPr>
          <w:b/>
        </w:rPr>
        <w:t>POSSIBLE 2024:</w:t>
      </w:r>
      <w:r>
        <w:t xml:space="preserve"> Investigating the heterogeneity within Wild bird indices in Europe — https://doi.org/10.1016/j.biocon.2024.110452</w:t>
      </w:r>
    </w:p>
    <w:p>
      <w:pPr/>
      <w:r>
        <w:rPr>
          <w:b/>
        </w:rPr>
        <w:t>Shared claim-specific concepts:</w:t>
      </w:r>
      <w:r>
        <w:t xml:space="preserve"> however, even, though, potential, important; EU scope visible. This is a provisional connection, not an outcome finding.</w:t>
      </w:r>
    </w:p>
    <w:p>
      <w:pPr>
        <w:pStyle w:val="SourceNote"/>
      </w:pPr>
      <w:r>
        <w:rPr>
          <w:b/>
        </w:rPr>
        <w:t>Available abstract (not full text):</w:t>
      </w:r>
      <w:r>
        <w:t xml:space="preserve"> Biodiversity decline is monitored through a multitude of proxies. One of the most common proxies are aggregate indices constructed from time-series of species. Because of their standardised construction and simplicity of interpretation, these indices are often used as official indicators for biodiversity monitoring. However, aggregate indices hide variability among species dynamics from which they are built. Understanding this diversity is essential to interpret indices and avoid missing particular subsets of species with strong dynamics or groups of species with opposing dynamics that may result in little change in the overall index. In this study, we analyse heterogeneity within the most widely used Wild bird indices in Europe, Farmland Bird Index (FaBI) and Forest Bird Index (FoBI) in 20 European countries between 2000 and 2017. We analyse potential heterogeneity in dynamics within FaBI and FoBI of each country. We show that there is structural heterogeneity in dynamics among species as well as clusters of species with differing dynamics co-existing within aggregated indices in most countries studied. This was the case for farmland birds, even though this group shows strong general declines across Europe, and for forest birds that have less coherent long-term dynamics. We further explored whether clusters may be distinctly linked to major ecological traits, habitat specialis</w:t>
      </w:r>
    </w:p>
    <w:p>
      <w:pPr/>
      <w:r>
        <w:rPr>
          <w:b/>
        </w:rPr>
        <w:t>POSSIBLE 2024:</w:t>
      </w:r>
      <w:r>
        <w:t xml:space="preserve"> THE FAILURE OF EUROPEAN CONSTITUTION — https://doi.org/10.62792/ut.jus.v12.i21-22.p2754</w:t>
      </w:r>
    </w:p>
    <w:p>
      <w:pPr/>
      <w:r>
        <w:rPr>
          <w:b/>
        </w:rPr>
        <w:t>Shared claim-specific concepts:</w:t>
      </w:r>
      <w:r>
        <w:t xml:space="preserve"> however, even, though; EU scope visible. This is a provisional connection, not an outcome finding.</w:t>
      </w:r>
    </w:p>
    <w:p>
      <w:pPr>
        <w:pStyle w:val="SourceNote"/>
      </w:pPr>
      <w:r>
        <w:rPr>
          <w:b/>
        </w:rPr>
        <w:t>Available abstract (not full text):</w:t>
      </w:r>
      <w:r>
        <w:t xml:space="preserve"> The debate about the failure of the European Constitution has tended to polarize many scholars regarding the reasons why the European Constitution failed. However, having looked backwards into history in order to receive a more general overview a remaining puzzle is still there. In constitutional scholarship many efforts have been spent in trying to detach the concept of constitution from the nation-state framework and put it into a transnational concept even though in legal and political rhetoric the constitution appears to be linked with the nation-state only. The process in establishing a constitution for Europe encountered a debacle when the Netherlands and France refused the proposal. Scholars have debated this issue more than enough but still many questions remain unanswered regarding the failure of the European Constitution. From the documents and articles consulted no single narrative fully explains the failure of the constitutional project that’s why the paper is striving to bridge this gap and give another perspective in this direction, even though there is an arsenal of reasons that explains the failure.</w:t>
      </w:r>
    </w:p>
    <w:p>
      <w:pPr/>
      <w:r>
        <w:rPr>
          <w:b/>
        </w:rPr>
        <w:t>POSSIBLE 2024:</w:t>
      </w:r>
      <w:r>
        <w:t xml:space="preserve"> Evolution of the European offshore renewable energy resource under multiple climate change scenarios and forecasting horizons via CMIP6 — https://doi.org/10.1016/j.enconman.2023.118058</w:t>
      </w:r>
    </w:p>
    <w:p>
      <w:pPr/>
      <w:r>
        <w:rPr>
          <w:b/>
        </w:rPr>
        <w:t>Shared claim-specific concepts:</w:t>
      </w:r>
      <w:r>
        <w:t xml:space="preserve"> however, even, renewable, resource, resources; EU scope visible. This is a provisional connection, not an outcome finding.</w:t>
      </w:r>
    </w:p>
    <w:p>
      <w:pPr>
        <w:pStyle w:val="SourceNote"/>
      </w:pPr>
      <w:r>
        <w:rPr>
          <w:b/>
        </w:rPr>
        <w:t>Available abstract (not full text):</w:t>
      </w:r>
      <w:r>
        <w:t xml:space="preserve"> The design of the different offshore renewable Energy (ORE) technologies greatly depends on the characteristics of the wind/wave resource. However, these characteristics are not stationary. Even more so under the effect of climate change. The present study aims at assessing the evolution of the European offshore wave/wind resource under low- and high-emissions scenarios based on Shared Socioeconomic Pathways, and three forecasting horizons including near- (2023-2032), mid- (2041-2050) and long-term (2091-2100). The novelties lie in (i) combining wind and wave resources, (ii) using data with a 3-hour temporal horizon and (ii) performing a local-scale statistical analysis. Results illustrate that variations along the 21st century are significant, reversing the historical increasing trend by 2030. Overall, all scenarios tend to average wind and wave resource reductions all over Europe. However, extreme conditions follow a different pattern. Considering the 99th percentile, extreme conditions seem to be milder, following the evolution observed with the average resource. Exceptions to this are the Iberian Peninsula and the North Sea. In contrast, the local-scale statistical analysis shows that the most extreme conditions tend to increase even when the 99th percentile decreases. This combination of decreasing average and increasing extremes presents the worst-case scenario for ORE te</w:t>
      </w:r>
    </w:p>
    <w:p>
      <w:pPr/>
      <w:r>
        <w:rPr>
          <w:b/>
        </w:rPr>
        <w:t>POSSIBLE 2023:</w:t>
      </w:r>
      <w:r>
        <w:t xml:space="preserve"> The potential impact of climate change on European renewable energy droughts — https://doi.org/10.1016/j.rser.2023.114011</w:t>
      </w:r>
    </w:p>
    <w:p>
      <w:pPr/>
      <w:r>
        <w:rPr>
          <w:b/>
        </w:rPr>
        <w:t>Shared claim-specific concepts:</w:t>
      </w:r>
      <w:r>
        <w:t xml:space="preserve"> renewable, potential; EU scope visible. This is a provisional connection, not an outcome finding.</w:t>
      </w:r>
    </w:p>
    <w:p>
      <w:pPr>
        <w:pStyle w:val="SourceNote"/>
      </w:pPr>
      <w:r>
        <w:rPr>
          <w:b/>
        </w:rPr>
        <w:t>Available abstract (not full text):</w:t>
      </w:r>
      <w:r>
        <w:t xml:space="preserve"> Unavailable</w:t>
      </w:r>
    </w:p>
    <w:p>
      <w:pPr/>
      <w:r>
        <w:rPr>
          <w:b/>
        </w:rPr>
        <w:t>POSSIBLE 2023:</w:t>
      </w:r>
      <w:r>
        <w:t xml:space="preserve"> Risk aversion in renewable resource harvesting — https://doi.org/10.1016/j.jeem.2023.102855</w:t>
      </w:r>
    </w:p>
    <w:p>
      <w:pPr/>
      <w:r>
        <w:rPr>
          <w:b/>
        </w:rPr>
        <w:t>Shared claim-specific concepts:</w:t>
      </w:r>
      <w:r>
        <w:t xml:space="preserve"> renewable, resource, use; EU scope not established. This is a provisional connection, not an outcome finding.</w:t>
      </w:r>
    </w:p>
    <w:p>
      <w:pPr>
        <w:pStyle w:val="SourceNote"/>
      </w:pPr>
      <w:r>
        <w:rPr>
          <w:b/>
        </w:rPr>
        <w:t>Available abstract (not full text):</w:t>
      </w:r>
      <w:r>
        <w:t xml:space="preserve"> We study optimal harvesting of a renewable resource with stochastic dynamics. To focus on the effect of risk aversion, we consider a resource user who is indifferent with respect to intertemporal variability. We find that a constant escapement strategy is optimal, i.e. the stock after harvesting is constant. Under common specifications of risk aversion, increas ing risk and risk aversion increase current resource use, the reason being a substitution effect, i.e. the resource user substitutes assets away from the risky resource stock. We apply the model to the case of the Eastern Baltic cod fishery and, in contrast to the previous literature, find a strong effect of risk and risk aversion on optimal harvesting.</w:t>
      </w:r>
    </w:p>
    <w:p>
      <w:pPr/>
      <w:r>
        <w:rPr>
          <w:b/>
        </w:rPr>
        <w:t>POSSIBLE 2023:</w:t>
      </w:r>
      <w:r>
        <w:t xml:space="preserve"> Exploring pathways to 100% renewable energy in European industry — https://doi.org/10.1016/j.energy.2023.126687</w:t>
      </w:r>
    </w:p>
    <w:p>
      <w:pPr/>
      <w:r>
        <w:rPr>
          <w:b/>
        </w:rPr>
        <w:t>Shared claim-specific concepts:</w:t>
      </w:r>
      <w:r>
        <w:t xml:space="preserve"> however, renewable, available; EU scope visible. This is a provisional connection, not an outcome finding.</w:t>
      </w:r>
    </w:p>
    <w:p>
      <w:pPr>
        <w:pStyle w:val="SourceNote"/>
      </w:pPr>
      <w:r>
        <w:rPr>
          <w:b/>
        </w:rPr>
        <w:t>Available abstract (not full text):</w:t>
      </w:r>
      <w:r>
        <w:t xml:space="preserve"> Industry poses one of the biggest challenges in the renewable energy transition. In this paper, fossil fuels in the European industrial sector are replaced by renewable energy using a novel tool, IndustryPLAN, a planning tool for the assessment of national industrial sectors. In a bottom-up approach, each industry sub-sector is addressed with energy efficiency and fossil fuel replacement measures based on best available and innovative technologies, and in a top-down approach, the fuel and electricity consumption per country is analysed and decarbonised. The results indicate that: 1. Known technologies can decarbonise most of the industrial sector; 2. Costs and efficiencies are improved by energy savings and electrification; 3. Limiting bioenergy consumption is a critical challenge, emphasising the key role of energy savings and electrification, and the alternative of using hydrogen or hydrogen-based electrofuels will make the transition more expensive and induce energy losses. A full transition to renewable energy and a decarbonised industry sector may be possible before 2050, however, this requires that all investments are sustainable from 2030 onwards and that grid electricity is fully decarbonised. This paper presents several pathways toward 100% renewable energy supply in the European industrial sector and discusses the implications of the outlined scenarios.</w:t>
      </w:r>
    </w:p>
    <w:p>
      <w:pPr/>
      <w:r>
        <w:rPr>
          <w:b/>
        </w:rPr>
        <w:t>POSSIBLE 2023:</w:t>
      </w:r>
      <w:r>
        <w:t xml:space="preserve"> The COVID-19 pandemic and the European Union: politics, policies and institutions — https://doi.org/10.1080/13501763.2022.2141305</w:t>
      </w:r>
    </w:p>
    <w:p>
      <w:pPr/>
      <w:r>
        <w:rPr>
          <w:b/>
        </w:rPr>
        <w:t>Shared claim-specific concepts:</w:t>
      </w:r>
      <w:r>
        <w:t xml:space="preserve"> however, even, though, limited, become, increasingly; EU scope visible. This is a provisional connection, not an outcome finding.</w:t>
      </w:r>
    </w:p>
    <w:p>
      <w:pPr>
        <w:pStyle w:val="SourceNote"/>
      </w:pPr>
      <w:r>
        <w:rPr>
          <w:b/>
        </w:rPr>
        <w:t>Available abstract (not full text):</w:t>
      </w:r>
      <w:r>
        <w:t xml:space="preserve"> The COVID-19 pandemic posed unprecedented challenges to the European Union (EU) and its member states. In the EU, health policy competence has been and remains largely with member states. However, faced with a major external crisis, which more or less affected all member states at the same time, the EU developed a framework within which the member states (and their subnational units) could respond together to the crisis. This introductory article to the Special Issue ‘The COVID-19 Pandemic and the European Union,’ briefly examines how EU institutions, policies and politics were affected by the crisis. Contrary to earlier crises, the EU responded speedily and effectively this time around. The EU has become increasingly important in crisis management, in part due to the nature of transboundary crises. The EU proved itself to be a good crisis manager on some dimensions, but certainly not on all. The crisis created momentum for collective action and for fast decision-making, even though the legitimacy of some these actions has been subject to limited public scrutiny.</w:t>
      </w:r>
    </w:p>
    <w:p>
      <w:pPr/>
      <w:r>
        <w:rPr>
          <w:b/>
        </w:rPr>
        <w:t>POSSIBLE 2022:</w:t>
      </w:r>
      <w:r>
        <w:t xml:space="preserve"> Assessment of the 2021 summer flood in Central Europe — https://doi.org/10.1186/s12302-022-00685-1</w:t>
      </w:r>
    </w:p>
    <w:p>
      <w:pPr/>
      <w:r>
        <w:rPr>
          <w:b/>
        </w:rPr>
        <w:t>Shared claim-specific concepts:</w:t>
      </w:r>
      <w:r>
        <w:t xml:space="preserve"> however, even, though, become; EU scope visible. This is a provisional connection, not an outcome finding.</w:t>
      </w:r>
    </w:p>
    <w:p>
      <w:pPr>
        <w:pStyle w:val="SourceNote"/>
      </w:pPr>
      <w:r>
        <w:rPr>
          <w:b/>
        </w:rPr>
        <w:t>Available abstract (not full text):</w:t>
      </w:r>
      <w:r>
        <w:t xml:space="preserve"> Abstract The flood event in July 2021 in the uplands of the Eifel-Ardennes mountains in Germany, Belgium and The Netherlands and their foreland was caused by heavy rainfall and resulted in one of the largest flood disasters in Western Europe for decades. Due to climate change, it can be assumed that such events will become more frequent in future. Even though such extreme flood can happen at any time, the consequences and impacts can be significantly reduced by appropriate technical and non-technical measures. However, such measures always require a comprehensive understanding and knowledge of previous events and comparable processes. Therefore, this special issue aims at collecting the scientific evaluation and its implications of the 2021 extreme summer flood. This editorial serves as an introduction for an article collection published in the journal Environmental Sciences Europe, providing an overview of the current state of integrative assessment of the 2021 summer flood in Central Europe.</w:t>
      </w:r>
    </w:p>
    <w:p>
      <w:pPr/>
      <w:r>
        <w:rPr>
          <w:b/>
        </w:rPr>
        <w:t>POSSIBLE 2022:</w:t>
      </w:r>
      <w:r>
        <w:t xml:space="preserve"> A copula-based assessment of renewable energy droughts across Europe — https://doi.org/10.1016/j.renene.2022.10.091</w:t>
      </w:r>
    </w:p>
    <w:p>
      <w:pPr/>
      <w:r>
        <w:rPr>
          <w:b/>
        </w:rPr>
        <w:t>Shared claim-specific concepts:</w:t>
      </w:r>
      <w:r>
        <w:t xml:space="preserve"> renewable; EU scope visible. This is a provisional connection, not an outcome finding.</w:t>
      </w:r>
    </w:p>
    <w:p>
      <w:pPr>
        <w:pStyle w:val="SourceNote"/>
      </w:pPr>
      <w:r>
        <w:rPr>
          <w:b/>
        </w:rPr>
        <w:t>Available abstract (not full text):</w:t>
      </w:r>
      <w:r>
        <w:t xml:space="preserve"> Meeting carbon-reduction targets will require thorough consideration of climate variability and climate change due to the increasing share of climate-sensitive renewable energy sources (RES). One of the main concerns arises from situations of low renewable production and high demand, which can hinder the power system. We analysed energy droughts, defined as periods of low energy production (wind plus solar generation) or high residual load (demand minus production), in terms of two main properties: duration and severity. We estimated the joint return periods associated with energy droughts of residual load and power production. We showed that moderate winter energy droughts of both low renewable production and high residual load occur every half a year, while summer events occur every 3.6 and 2.4 years (on average). As expected, the occurrence of energy droughts tends to decrease with the degree of the severity of the energy drought, and moderate and extreme energy droughts showed longer return periods for most countries. In general, we found a large variability across Europe in summer, with some countries (e.g. Italy) being more sensitive to energy droughts. Our results highlight the relevance of sharing RES during prolonged periods of low production and high demand.</w:t>
      </w:r>
    </w:p>
    <w:p>
      <w:pPr/>
      <w:r>
        <w:rPr>
          <w:b/>
        </w:rPr>
        <w:t>POSSIBLE 2021:</w:t>
      </w:r>
      <w:r>
        <w:t xml:space="preserve"> Malignant mesothelioma and asbestos exposure in Europe: Evidence of spatial clustering — https://doi.org/10.4081/gh.2021.951</w:t>
      </w:r>
    </w:p>
    <w:p>
      <w:pPr/>
      <w:r>
        <w:rPr>
          <w:b/>
        </w:rPr>
        <w:t>Shared claim-specific concepts:</w:t>
      </w:r>
      <w:r>
        <w:t xml:space="preserve"> however, even, though, use; EU scope visible. This is a provisional connection, not an outcome finding.</w:t>
      </w:r>
    </w:p>
    <w:p>
      <w:pPr>
        <w:pStyle w:val="SourceNote"/>
      </w:pPr>
      <w:r>
        <w:rPr>
          <w:b/>
        </w:rPr>
        <w:t>Available abstract (not full text):</w:t>
      </w:r>
      <w:r>
        <w:t xml:space="preserve"> Exposure to asbestos causes a wide range of diseases, such as asbestosis, malignant mesothelioma (MM) and other types of cancer. Many European countries have reduced production and use of asbestos and some have banned it altogether. Based on data derived from the World Health Organisation (WHO) Cancer Mortality Database, we investigated whether some regions in Europe could have a higher relative risk of MM incidence than others. The data were compared, including the number of MM deaths per million inhabitants and aged-standardized mortality rates. Applying Moran's I and Getis-Ord Gi statistic on the agedstandardized mortality rates of MM cases assisted the spatial analysis of the occurrence of health events leading to an assessment of the heterogeneity of distribution and cluster detection of MM. We found a statistically significant positive autocorrelation for the male population and also the general population, while there was no statistically significant positive one for the female population. Hotspots of relative risk of developing MM were found in northwestern Europe. For the general population, Great Britain and the Netherlands stood out with high levels at the 99% and 95% confidence levels, respectively. For the male population, the results were similar, but with addition of risk also in Belgium and Switzerland. However, in many European countries with high asbestos use </w:t>
      </w:r>
    </w:p>
    <w:p>
      <w:pPr/>
      <w:r>
        <w:rPr>
          <w:b/>
        </w:rPr>
        <w:t>POSSIBLE 2021:</w:t>
      </w:r>
      <w:r>
        <w:t xml:space="preserve"> The Expiry of Humira® Market Exclusivity and the Entry of Adalimumab Biosimilars in Europe: An Overview of Pricing and National Policy Measures — https://doi.org/10.3389/fphar.2020.591134</w:t>
      </w:r>
    </w:p>
    <w:p>
      <w:pPr/>
      <w:r>
        <w:rPr>
          <w:b/>
        </w:rPr>
        <w:t>Shared claim-specific concepts:</w:t>
      </w:r>
      <w:r>
        <w:t xml:space="preserve"> however, even, though, use, available; EU scope visible. This is a provisional connection, not an outcome finding.</w:t>
      </w:r>
    </w:p>
    <w:p>
      <w:pPr>
        <w:pStyle w:val="SourceNote"/>
      </w:pPr>
      <w:r>
        <w:rPr>
          <w:b/>
        </w:rPr>
        <w:t>Available abstract (not full text):</w:t>
      </w:r>
      <w:r>
        <w:t xml:space="preserve"> Background: From October 2018, adalimumab biosimilars could enter the European market. However, in some countries, such as Netherlands, high discounts reported for the originator product may have influenced biosimilar entry. Objectives: The aim of this paper is to provide a European overview of (list) prices of originator adalimumab, before and after loss of exclusivity; to report changes in the reimbursement status of adalimumab products; and discuss relevant policy measures. Methods: Experts in European countries received a survey consisting of three parts: 1) general financing/co-payment of medicines, 2) reimbursement status and prices of originator adalimumab, and availability of biosimilars, and 3) policy measures related to the use of adalimumab. Results: In May 2019, adalimumab biosimilars were available in 24 of the 30 countries surveyed. Following introduction of adalimumab biosimilars, a number of countries have made changes in relation to the reimbursement status of adalimumab products. Originator adalimumab list prices varied between countries by a factor of 2.8 before and 4.1 after loss of exclusivity. Overall, list prices of originator adalimumab decreased after loss of exclusivity, although for 13 countries list prices were unchanged. When reported, discounts/rebates on originator adalimumab after loss of exclusivity ranged from 0% to approximately 26% (Romania),</w:t>
      </w:r>
    </w:p>
    <w:p>
      <w:pPr>
        <w:pStyle w:val="Heading2"/>
      </w:pPr>
      <w:r>
        <w:t>821. Changing knowledge, changing technology: implications for teacher education futures</w:t>
      </w:r>
    </w:p>
    <w:p>
      <w:pPr>
        <w:pStyle w:val="SourceNote"/>
      </w:pPr>
      <w:r>
        <w:rPr>
          <w:b/>
        </w:rPr>
        <w:t>Original source (2016):</w:t>
      </w:r>
      <w:r>
        <w:t xml:space="preserve"> https://doi.org/10.1080/02607476.2015.1125432</w:t>
      </w:r>
    </w:p>
    <w:p>
      <w:pPr/>
      <w:r>
        <w:t>Original wording (abstract; indexed_source_text_not_full_document_verified): Data from these interviews were analysed to stimulate the construction of four future teacher education scenarios.</w:t>
      </w:r>
    </w:p>
    <w:p>
      <w:pPr/>
      <w:r>
        <w:rPr>
          <w:b/>
        </w:rPr>
        <w:t>POSSIBLE 2026:</w:t>
      </w:r>
      <w:r>
        <w:t xml:space="preserve"> Digital Story 2. Visual timeline creation as a reflexive practice - an experiential approach to designing interview guides and analysing multimedia data — https://doi.org/10.6084/m9.figshare.31353376</w:t>
      </w:r>
    </w:p>
    <w:p>
      <w:pPr/>
      <w:r>
        <w:rPr>
          <w:b/>
        </w:rPr>
        <w:t>Shared claim-specific concepts:</w:t>
      </w:r>
      <w:r>
        <w:t xml:space="preserve"> data, interviews, analysed, four, teacher, education; EU scope not established. This is a provisional connection, not an outcome finding.</w:t>
      </w:r>
    </w:p>
    <w:p>
      <w:pPr>
        <w:pStyle w:val="SourceNote"/>
      </w:pPr>
      <w:r>
        <w:rPr>
          <w:b/>
        </w:rPr>
        <w:t>Available abstract (not full text):</w:t>
      </w:r>
      <w:r>
        <w:t xml:space="preserve"> This digital story was published as part of an Environmental Education Research journal article titled: Co-developing professional learning practices in support of a whole school approach to sustainability-oriented education. This digital story illustrates how the creation of visual timelines (representing individual and collective professional learning journeys) became a key analysis stage in the study and were used as visual interview guides in interviews with teacher participants that took place post continuing professional development.Article AbstractThis multimedia article explores a Norwegian Continuing Professional Development (CPD) programme co-developing professional learning practices concerning a Whole School Approach (WSA) to sustainability-oriented education. Eleven teachers from four upper-secondary schools participated as co-developers in a year-long CPD and research combined programme, which also involved multiple school leaders, university-based educators, and researchers. Conventional CPD and data collection methods, including interviews, questionnaires, academic lectures, and research-informed activities, were combined with experiential approaches and the introduction of participatory methods such as photo-elicitation, world café events, and arts-based activities. Multiple data sources were gathered and analysed through iterative phases of CPD design, enactme</w:t>
      </w:r>
    </w:p>
    <w:p>
      <w:pPr/>
      <w:r>
        <w:rPr>
          <w:b/>
        </w:rPr>
        <w:t>POSSIBLE 2026:</w:t>
      </w:r>
      <w:r>
        <w:t xml:space="preserve"> Towards a harmonised data framework for design for disassembly in construction — https://doi.org/10.5281/zenodo.22679835</w:t>
      </w:r>
    </w:p>
    <w:p>
      <w:pPr/>
      <w:r>
        <w:rPr>
          <w:b/>
        </w:rPr>
        <w:t>Shared claim-specific concepts:</w:t>
      </w:r>
      <w:r>
        <w:t xml:space="preserve"> data, interviews, construction; EU scope not established. This is a provisional connection, not an outcome finding.</w:t>
      </w:r>
    </w:p>
    <w:p>
      <w:pPr>
        <w:pStyle w:val="SourceNote"/>
      </w:pPr>
      <w:r>
        <w:rPr>
          <w:b/>
        </w:rPr>
        <w:t>Available abstract (not full text):</w:t>
      </w:r>
      <w:r>
        <w:t xml:space="preserve"> The construction industry's transition to a circular economy requires robust, standardised data management to support Design for Disassembly (DfD). This paper presents a two-phase research project developing a harmonised DfD data requirements framework for the built environment. Phase 1 synthesised 688 explicit data-level requirements from 42 literature sources, consolidated into 128 harmonised data points across 12 thematic clusters through a manual three-pass harmonisation process. Phase 2 extended and validated this framework through seven semi-structured interviews with sustainability engineers, architects, manufacturers, contractors, material data platform engineers, and a digital construction research scientist. Interview analysis produced 92 additional data points, 18 modifications, and identified a new thirteenth cluster on Stakeholder and Organisation dimensions, resulting in a revised framework of 211 substantive data points across 13 clusters. Key practitioner insights challenge assumptions prevalent in the literature, including the economic trade-off in connection reversibility, the primacy of short-lifecycle fit-out components for DfD impact, and the critical role of demolition contractors as knowledge holders. The framework serves as a foundation of data requirements to inform the development of a formal DfD ontology, supporting semantic interoperability for circu</w:t>
      </w:r>
    </w:p>
    <w:p>
      <w:pPr/>
      <w:r>
        <w:rPr>
          <w:b/>
        </w:rPr>
        <w:t>POSSIBLE 2025:</w:t>
      </w:r>
      <w:r>
        <w:t xml:space="preserve"> WORKWELL process evaluation: qualitative data analyses of the participant interviews at 12- and 36-month follow-ups — https://doi.org/10.1093/rap/rkaf034</w:t>
      </w:r>
    </w:p>
    <w:p>
      <w:pPr/>
      <w:r>
        <w:rPr>
          <w:b/>
        </w:rPr>
        <w:t>Shared claim-specific concepts:</w:t>
      </w:r>
      <w:r>
        <w:t xml:space="preserve"> data, interviews, four; EU scope not established. This is a provisional connection, not an outcome finding.</w:t>
      </w:r>
    </w:p>
    <w:p>
      <w:pPr>
        <w:pStyle w:val="SourceNote"/>
      </w:pPr>
      <w:r>
        <w:rPr>
          <w:b/>
        </w:rPr>
        <w:t>Available abstract (not full text):</w:t>
      </w:r>
      <w:r>
        <w:t xml:space="preserve"> Objectives: This study aimed to qualitatively examine the delivery of the WORKWELL trial, a job retention vocational rehabilitation (JRVR) programme designed to help individuals with inflammatory arthritis (IA) maintain employment. A qualitative process evaluation used the Normalization Process Theory (NPT) to understand participant experiences and identify factors influencing implementation and outcomes. Methods: Data were collected via one-to-one telephone interviews with trial participants at 12 and 36 months. An inductive reflexive thematic analysis was followed by a deductive analysis based on NPT's four constructs (coherence, cognitive participation, collective action and reflexive monitoring). Results: Sixty-two participants (mean age 51.0; 82.3% female) were interviewed, most diagnosed with RA (75.8%). Four secondary themes were generated under NPT constructs. For 'Coherence', themes included 'Exploring the Purpose and Impact of Taking Part in WORKWELL' and 'Questionnaires as Instrument for Reflection'. In 'Cognitive Participation', the theme was 'Commitment and Investment to WORKWELL'. For 'Collective Action', we identified 'Key Actions for Successful WORKWELL', and under 'Reflexive Monitoring', the theme was 'Suggestions for Improving WORKWELL'. These themes reflected participants' mixed feelings about the intervention, finding value in the intervention but highlighti</w:t>
      </w:r>
    </w:p>
    <w:p>
      <w:pPr/>
      <w:r>
        <w:rPr>
          <w:b/>
        </w:rPr>
        <w:t>POSSIBLE 2025:</w:t>
      </w:r>
      <w:r>
        <w:t xml:space="preserve"> Chatbots for Data Collection in Surveys: A Comparison of Four Theory-Based Interview Probes — https://doi.org/10.1145/3706598.3714128</w:t>
      </w:r>
    </w:p>
    <w:p>
      <w:pPr/>
      <w:r>
        <w:rPr>
          <w:b/>
        </w:rPr>
        <w:t>Shared claim-specific concepts:</w:t>
      </w:r>
      <w:r>
        <w:t xml:space="preserve"> data, interviews, four; EU scope not established. This is a provisional connection, not an outcome finding.</w:t>
      </w:r>
    </w:p>
    <w:p>
      <w:pPr>
        <w:pStyle w:val="SourceNote"/>
      </w:pPr>
      <w:r>
        <w:rPr>
          <w:b/>
        </w:rPr>
        <w:t>Available abstract (not full text):</w:t>
      </w:r>
      <w:r>
        <w:t xml:space="preserve"> Surveys are a widespread method for collecting data at scale, but their rigid structure often limits the depth of qualitative insights obtained. While interviews naturally yield richer responses, they are challenging to conduct across diverse locations and large participant pools. To partially bridge this gap, we investigate the potential of using LLM-based chatbots to support qualitative data collection through interview probes embedded in surveys. We assess four theory-based interview probes: descriptive, idiographic, clarifying, and explanatory. Through a split-plot study design (N=64), we compare the probes' impact on response quality and user experience across three key stages of HCI research: exploration, requirements gathering, and evaluation. Our results show that probes facilitate the collection of high-quality survey data, with specific probes proving effective at different research stages. We contribute practical and methodological implications for using chatbots as research tools to enrich qualitative data collection.</w:t>
      </w:r>
    </w:p>
    <w:p>
      <w:pPr/>
      <w:r>
        <w:rPr>
          <w:b/>
        </w:rPr>
        <w:t>POSSIBLE 2025:</w:t>
      </w:r>
      <w:r>
        <w:t xml:space="preserve"> HOW TO DEVELOP A FRAMEWORK MANUALLY FROM QUALITATIVE INTERVIEW DATA — https://doi.org/10.55197/qjssh.v6i4.767</w:t>
      </w:r>
    </w:p>
    <w:p>
      <w:pPr/>
      <w:r>
        <w:rPr>
          <w:b/>
        </w:rPr>
        <w:t>Shared claim-specific concepts:</w:t>
      </w:r>
      <w:r>
        <w:t xml:space="preserve"> data, interviews, construction, four; EU scope not established. This is a provisional connection, not an outcome finding.</w:t>
      </w:r>
    </w:p>
    <w:p>
      <w:pPr>
        <w:pStyle w:val="SourceNote"/>
      </w:pPr>
      <w:r>
        <w:rPr>
          <w:b/>
        </w:rPr>
        <w:t>Available abstract (not full text):</w:t>
      </w:r>
      <w:r>
        <w:t xml:space="preserve"> Framework development in qualitative research is the systematic categorisation and interpretation of information or data to construct a conceptual structure which can be presented to explain relationships between emerging themes. However, the prevailing trend to use advanced software tools to analyse qualitative data poses several challenges for many researchers, especially those who consider those tools nonintuitive, resource-consuming, or not well-suited for their specific depth of inquiry. The objective of this review is to outline a structured, manual process for developing a conceptual framework grounded in interview data, highlighting each analytical stage from data familiarisation to thematic synthesis and framework construction. This review is a narrative review that discusses the processes involved in manually constructing a conceptual framework using the interview data in qualitative research. In qualitative research, especially in research where interviews are methods for data collection, the formation of a conceptual framework is a systematic process of inquiry that is rooted in the experiences of the participants and reflects the aggregated data. The process typically unfolds in four sequential but iterative steps: (a) data familiarisation; (b) initial coding and categorisation; (c) theme development; and (d) framework construction. In conclusion, the manual proces</w:t>
      </w:r>
    </w:p>
    <w:p>
      <w:pPr/>
      <w:r>
        <w:rPr>
          <w:b/>
        </w:rPr>
        <w:t>POSSIBLE 2025:</w:t>
      </w:r>
      <w:r>
        <w:t xml:space="preserve"> A Study on the Construction of Living Lab in Hospital Using Focus Group Interview (FGI) — https://doi.org/10.34264/jkafa.2025.17.2.23</w:t>
      </w:r>
    </w:p>
    <w:p>
      <w:pPr/>
      <w:r>
        <w:rPr>
          <w:b/>
        </w:rPr>
        <w:t>Shared claim-specific concepts:</w:t>
      </w:r>
      <w:r>
        <w:t xml:space="preserve"> data, interviews, construction, education; EU scope not established. This is a provisional connection, not an outcome finding.</w:t>
      </w:r>
    </w:p>
    <w:p>
      <w:pPr>
        <w:pStyle w:val="SourceNote"/>
      </w:pPr>
      <w:r>
        <w:rPr>
          <w:b/>
        </w:rPr>
        <w:t>Available abstract (not full text):</w:t>
      </w:r>
      <w:r>
        <w:t xml:space="preserve"> Objective: The purpose of this study is to analyze specific measures related to the construction of living labs for experts for the “AI-Robot-Based Digital Twin Platform” project in the hospital and present practical grounds for the construction of living labs through this. Methods: This study selected seven experts with experience related to living labs and care robots at home and abroad and conducted focus group interviews. The research was conducted in six stages: expert selection, preliminary preparation, interview, transcription, analysis, and result derivation, and the core subjects were derived through open coding, axial coding, and selective coding using Kryger (1998)'s four-stage analysis process. Results: As a result of the analysis, five key elements were identified to build a living lab in the hospital. First, space and environmental design that reflects the specificity of medical institutions such as infection management, patient safety, hospital room structure, and mobility of equipment are needed. Second, it is important to actively participate not only in management but also in working-level officials such as nurses and caregivers and to cooperate with stakeholders through feedback sharing. Third, data management and security are essential, such as pseudonymizing sensitive medical data, limiting access rights, and establishing a storage system in the hospital. F</w:t>
      </w:r>
    </w:p>
    <w:p>
      <w:pPr/>
      <w:r>
        <w:rPr>
          <w:b/>
        </w:rPr>
        <w:t>POSSIBLE 2024:</w:t>
      </w:r>
      <w:r>
        <w:t xml:space="preserve"> Experience in applying large language models to analyse sociological data obtained as a result of interviews on students’ perception of entrepreneurial activity — https://doi.org/10.26425/2658-347x-2024-7-3-4-14</w:t>
      </w:r>
    </w:p>
    <w:p>
      <w:pPr/>
      <w:r>
        <w:rPr>
          <w:b/>
        </w:rPr>
        <w:t>Shared claim-specific concepts:</w:t>
      </w:r>
      <w:r>
        <w:t xml:space="preserve"> data, interviews, construction; EU scope not established. This is a provisional connection, not an outcome finding.</w:t>
      </w:r>
    </w:p>
    <w:p>
      <w:pPr>
        <w:pStyle w:val="SourceNote"/>
      </w:pPr>
      <w:r>
        <w:rPr>
          <w:b/>
        </w:rPr>
        <w:t>Available abstract (not full text):</w:t>
      </w:r>
      <w:r>
        <w:t xml:space="preserve"> Modern society is experiencing a digital transformation of various spheres associated with the development of artificial intelligence and big data. The introduction of large language models (hereinafter referred to as LLM) into scientific research opens new opportunities, but also raises a number of questions, which makes it relevant to study the peculiarities of their application for qualitative data analysis in sociology. The purpose of this article is to explore how LLM can influence the methodology and practice of sociological research, and to identify the advantages and disadvantages of their application. The authors rely on the use of the Calude-3 LLM to qualitatively analyse empirical data from a sociological study of students’ perception of ­entrepreneurship. The possibilities of LLM in the analysis of qualitative data are revealed: analysis of sentiment, construction of logical conclusions, classification, clustering, and formation of typologies. The advantages of using LLM are shown: increased data processing speed, saving time and resources. The application of LLM becomes a tool to optimise the research process in sociology, allowing to deepen the analysis of qualitative data, but it also has a number of limitations: social and political bias, difficulties with hallucinations. It is necessary to increase the transparency of models, improve their interpretability and </w:t>
      </w:r>
    </w:p>
    <w:p>
      <w:pPr/>
      <w:r>
        <w:rPr>
          <w:b/>
        </w:rPr>
        <w:t>POSSIBLE 2024:</w:t>
      </w:r>
      <w:r>
        <w:t xml:space="preserve"> DELAY RED FLAG CONSTRUCTION COMPANY: CONTROL ANALYSIS WITH FOUR LEVER OF CONTROL — https://doi.org/10.37641/riset.v6i2.2118</w:t>
      </w:r>
    </w:p>
    <w:p>
      <w:pPr/>
      <w:r>
        <w:rPr>
          <w:b/>
        </w:rPr>
        <w:t>Shared claim-specific concepts:</w:t>
      </w:r>
      <w:r>
        <w:t xml:space="preserve"> data, interviews, construction, four; EU scope not established. This is a provisional connection, not an outcome finding.</w:t>
      </w:r>
    </w:p>
    <w:p>
      <w:pPr>
        <w:pStyle w:val="SourceNote"/>
      </w:pPr>
      <w:r>
        <w:rPr>
          <w:b/>
        </w:rPr>
        <w:t>Available abstract (not full text):</w:t>
      </w:r>
      <w:r>
        <w:t xml:space="preserve"> Despite extensive research on construction delays, this persistent issue continues to challenge the global construction industry. This case study aims to enhance the theoretical and practical understanding of management control systems (MCS) in construction firms by identifying the primary causes of project delays and examining the MCS components involved. A qualitative case study was conducted at a national private construction company (Jakons) to identify delay factors and propose solutions by linking them to MCS. The study focused on two Jakons projects that experienced delays, with primary data collected through interviews with five key informants directly engaged in MCS for the projects. Analysis of the interviews revealed common delay causes related to the project owner, consultants, labor, and materials. These causes were then connected to MCS practices and assessed using the four Levers of Control (LoC) framework, including Belief, Boundary, Diagnostic, and Interactive control systems. The study identified areas for improvement in MCS related to communication management, coordination, competence, and risk management that impact schedule delays. These findings provide valuable guidance for construction practitioners in planning and managing projects and offer insights to reassess MCS strategies to mitigate delays and achieve timely project completion.</w:t>
      </w:r>
    </w:p>
    <w:p>
      <w:pPr/>
      <w:r>
        <w:rPr>
          <w:b/>
        </w:rPr>
        <w:t>POSSIBLE 2022:</w:t>
      </w:r>
      <w:r>
        <w:t xml:space="preserve"> Analysis of the Drivers of Highway Construction Companies Adopting Smart Construction Technology — https://doi.org/10.3390/su15010703</w:t>
      </w:r>
    </w:p>
    <w:p>
      <w:pPr/>
      <w:r>
        <w:rPr>
          <w:b/>
        </w:rPr>
        <w:t>Shared claim-specific concepts:</w:t>
      </w:r>
      <w:r>
        <w:t xml:space="preserve"> data, interviews, construction, four; EU scope not established. This is a provisional connection, not an outcome finding.</w:t>
      </w:r>
    </w:p>
    <w:p>
      <w:pPr>
        <w:pStyle w:val="SourceNote"/>
      </w:pPr>
      <w:r>
        <w:rPr>
          <w:b/>
        </w:rPr>
        <w:t>Available abstract (not full text):</w:t>
      </w:r>
      <w:r>
        <w:t xml:space="preserve"> In this study, we aimed to identify the influencing factors that drive highway construction companies to adopt smart construction technologies. Using expert interviews and expert scoring, we collected interview data from 25 experts in the field and we proposed the TOSE framework based on the TOE framework, identifying four dimensions and fourteen influencing factors. We analyzed the results using the Fuzzy DEMATEL-ISM method, and we then summarized the findings according to the evaluation criteria to determine the validity of the fourteen hypotheses and the extent to which they drive highway construction companies to adopt smart construction technologies. The findings of this paper are of high value to decision makers and participants in highway construction companies, as well as to other companies in the construction industry, in their decision to adopt smart construction technologies.</w:t>
      </w:r>
    </w:p>
    <w:p>
      <w:pPr/>
      <w:r>
        <w:rPr>
          <w:b/>
        </w:rPr>
        <w:t>POSSIBLE 2022:</w:t>
      </w:r>
      <w:r>
        <w:t xml:space="preserve"> Construction Path of Smart City Under Mobile Big Data — https://doi.org/10.1109/icerect56837.2022.10060717</w:t>
      </w:r>
    </w:p>
    <w:p>
      <w:pPr/>
      <w:r>
        <w:rPr>
          <w:b/>
        </w:rPr>
        <w:t>Shared claim-specific concepts:</w:t>
      </w:r>
      <w:r>
        <w:t xml:space="preserve"> data, construction, four; EU scope not established. This is a provisional connection, not an outcome finding.</w:t>
      </w:r>
    </w:p>
    <w:p>
      <w:pPr>
        <w:pStyle w:val="SourceNote"/>
      </w:pPr>
      <w:r>
        <w:rPr>
          <w:b/>
        </w:rPr>
        <w:t>Available abstract (not full text):</w:t>
      </w:r>
      <w:r>
        <w:t xml:space="preserve"> Establishing a new model of smart city is one of the significant work of urban development and construction, and the built of the smart city is inseparable with the support of big data technology. Through literature reading and interview method, this paper studies the smart city construction in Wuhan with the support of mobile big data technology, analyzes some current situation of Wuhan smart city construction, discusses the experience and shortcomings of smart construction under mobile big data, and analyzes four aspects about system, technology, management and personnel, then innovative construction methods are proposed. In the conclusion, firstly strengthen the overall integration of smart city construction, secondly broaden the channels and ways for citizens to participate, thirdly strengthen the construction of information security, lastly strengthen the construction of relevant systems. This paper suggests jointly promoting the development the new smart city of new technologies under the mobile big data, further promoting the realization of the harmonious society.</w:t>
      </w:r>
    </w:p>
    <w:p>
      <w:pPr/>
      <w:r>
        <w:rPr>
          <w:b/>
        </w:rPr>
        <w:t>POSSIBLE 2022:</w:t>
      </w:r>
      <w:r>
        <w:t xml:space="preserve"> Factoring construction and demolition waste in the Zambian construction industry — https://doi.org/10.30574/gjeta.2022.11.2.0089</w:t>
      </w:r>
    </w:p>
    <w:p>
      <w:pPr/>
      <w:r>
        <w:rPr>
          <w:b/>
        </w:rPr>
        <w:t>Shared claim-specific concepts:</w:t>
      </w:r>
      <w:r>
        <w:t xml:space="preserve"> data, interviews, construction, four; EU scope not established. This is a provisional connection, not an outcome finding.</w:t>
      </w:r>
    </w:p>
    <w:p>
      <w:pPr>
        <w:pStyle w:val="SourceNote"/>
      </w:pPr>
      <w:r>
        <w:rPr>
          <w:b/>
        </w:rPr>
        <w:t>Available abstract (not full text):</w:t>
      </w:r>
      <w:r>
        <w:t xml:space="preserve"> The Zambian Construction Industry (ZCI) is one of the fastest growing sectors in Zambia arising from increased infrastructure development. The ZCI, like elsewhere, is composed of many players including designers, contractors, regulators, manufacturers and suppliers of construction materials. The country has seen an upsurge in Construction and Demolition Waste (CDW) generation due to increased construction activities. However, opportunities for utilizing CDW for sustainable construction and management have been minimal. Most research in developing countries has focused on Municipal Waste Management (MWM) rather CDW. In Zambia, CDW is a challenge in the absence of legislation, guidelines and regulation. In the developed countries, guidelines, legislation and regulation, exist. Sustainable utilization of CDW in Zambia is limited due to inadequate policy guidelines and legislation. The research aimed at estimating the levels of CDW waste generation and utilization, and proposing a framework for sustainable utilization and management of CDW. The research required both qualitative and quantitative data. Primary data was collected through questionnaires, interviews and site visits whilst secondary data was obtained through literature review. The research, conducted in four provinces of Zambia, established that CDW generation rates were mainly in the 1-10% levels and utilization was lo</w:t>
      </w:r>
    </w:p>
    <w:p>
      <w:pPr/>
      <w:r>
        <w:rPr>
          <w:b/>
        </w:rPr>
        <w:t>POSSIBLE 2022:</w:t>
      </w:r>
      <w:r>
        <w:t xml:space="preserve"> Four Themes About Construction of Histograms — https://doi.org/10.52041/iase.icots11.t14i3</w:t>
      </w:r>
    </w:p>
    <w:p>
      <w:pPr/>
      <w:r>
        <w:rPr>
          <w:b/>
        </w:rPr>
        <w:t>Shared claim-specific concepts:</w:t>
      </w:r>
      <w:r>
        <w:t xml:space="preserve"> data, construction, four; EU scope not established. This is a provisional connection, not an outcome finding.</w:t>
      </w:r>
    </w:p>
    <w:p>
      <w:pPr>
        <w:pStyle w:val="SourceNote"/>
      </w:pPr>
      <w:r>
        <w:rPr>
          <w:b/>
        </w:rPr>
        <w:t>Available abstract (not full text):</w:t>
      </w:r>
      <w:r>
        <w:t xml:space="preserve"> This article reports findings from a multi-year mixed-method study that explored the challenges students encountered while answering fundamental histogram questions. In the first stage in 2017, an exploratory study was conducted using think-aloud protocols. In the second stage in 2019, an online survey was developed to confirm the preliminary themes. Four themes were identified. The themes are as follows: (a) identify the correct type of graph to explore the center and variability of one quantitative variable; (b) realize data has its own expressed shape; (c) lose concrete identifiers; and (d) create bins and count individual values. These themes will add to the current knowledge of students' difficulty with interpreting and describing histograms. This knowledge can help teachers prepare activities to promote understanding of histograms.</w:t>
      </w:r>
    </w:p>
    <w:p>
      <w:pPr>
        <w:pStyle w:val="Heading2"/>
      </w:pPr>
      <w:r>
        <w:t>822. Consistent economic cross-sectoral climate change impact scenario analysis: Method and application to Austria</w:t>
      </w:r>
    </w:p>
    <w:p>
      <w:pPr>
        <w:pStyle w:val="SourceNote"/>
      </w:pPr>
      <w:r>
        <w:rPr>
          <w:b/>
        </w:rPr>
        <w:t>Original source (2016):</w:t>
      </w:r>
      <w:r>
        <w:t xml:space="preserve"> https://doi.org/10.1016/j.cliser.2016.02.003</w:t>
      </w:r>
    </w:p>
    <w:p>
      <w:pPr/>
      <w:r>
        <w:t>Original wording (abstract; indexed_source_text_not_full_document_verified): Thus, we develop here an approach which applies climate and socioeconomic scenario analysis, harmonized economic costing, and sector explicit bandwidth analysis in a coupled framework of eleven (bio)physical impact assessment models and a uniform multi-sectoral computable general equilibrium model.</w:t>
      </w:r>
    </w:p>
    <w:p>
      <w:pPr/>
      <w:r>
        <w:rPr>
          <w:b/>
        </w:rPr>
        <w:t>POSSIBLE 2024:</w:t>
      </w:r>
      <w:r>
        <w:t xml:space="preserve"> Climate resilience of European wine regions — https://doi.org/10.1038/s41467-024-50549-w</w:t>
      </w:r>
    </w:p>
    <w:p>
      <w:pPr/>
      <w:r>
        <w:rPr>
          <w:b/>
        </w:rPr>
        <w:t>Shared claim-specific concepts:</w:t>
      </w:r>
      <w:r>
        <w:t xml:space="preserve"> thus, here, climate, socioeconomic, sector, assessment; EU scope visible. This is a provisional connection, not an outcome finding.</w:t>
      </w:r>
    </w:p>
    <w:p>
      <w:pPr>
        <w:pStyle w:val="SourceNote"/>
      </w:pPr>
      <w:r>
        <w:rPr>
          <w:b/>
        </w:rPr>
        <w:t>Available abstract (not full text):</w:t>
      </w:r>
      <w:r>
        <w:t xml:space="preserve"> Over centuries, European vintners have developed a profound knowledge about grapes, environment, and techniques that yield the most distinguishable wines. In many regions, this knowledge is reflected in the system of wine geographical indications (GI), but climate change is challenging this historical union. Here, we present a climate change vulnerability assessment of 1085 wine GIs across Europe and propose climate-resilient development pathways using an ensemble of biophysical and socioeconomic indicators. Results indicate that wine regions in Southern Europe are among the most vulnerable, with high levels also found in Eastern Europe. Vulnerability is influenced by the rigidity of the GI system, which restricts grape variety diversity and thus contributes to an increased sensitivity to climate change. Contextual deficiencies, such as limited socioeconomic resources, may further contribute to increased vulnerability. Building a climate-resilient wine sector will require rethinking the GI system by allowing innovation to compensate for the negative effects of climate change.</w:t>
      </w:r>
    </w:p>
    <w:p>
      <w:pPr/>
      <w:r>
        <w:rPr>
          <w:b/>
        </w:rPr>
        <w:t>POSSIBLE 2024:</w:t>
      </w:r>
      <w:r>
        <w:t xml:space="preserve"> The impact of lakes on the European climate as simulated by a regional climate model — https://doi.org/10.60910/3pj6-v2hf</w:t>
      </w:r>
    </w:p>
    <w:p>
      <w:pPr/>
      <w:r>
        <w:rPr>
          <w:b/>
        </w:rPr>
        <w:t>Shared claim-specific concepts:</w:t>
      </w:r>
      <w:r>
        <w:t xml:space="preserve"> climate, coupled; EU scope visible. This is a provisional connection, not an outcome finding.</w:t>
      </w:r>
    </w:p>
    <w:p>
      <w:pPr>
        <w:pStyle w:val="SourceNote"/>
      </w:pPr>
      <w:r>
        <w:rPr>
          <w:b/>
        </w:rPr>
        <w:t>Available abstract (not full text):</w:t>
      </w:r>
      <w:r>
        <w:t xml:space="preserve"> The impact of lakes on the European climate is considered by analysing two 30-year regional climate model (RCM) simulations.The RCM applied is the Rossby Centre regional climate model RCA3.5.A simulation where all lakes in the model domain are replaced by land surface is compared with a simulation where the effect of lakes is accounted for through the use of the lake model FLake coupled to RCA.The difference in 2m open-land air temperature between the two simulations shows that lakes induce a warming on the European climate for all seasons.The greatest impact is seen during autumn and winter over southern Finland and western Russia where the warming exceeds 1 °C.Locally, e.g. over southern Finland and over Lake Ladoga, the convective precipitation is enhanced by 20%-40% during late summer and early autumn while it is reduced by more than 70% over Lake Ladoga during early summer.</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here, climate;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2024:</w:t>
      </w:r>
      <w:r>
        <w:t xml:space="preserve"> In temperate Europe, fire is already here: The case of The Netherlands — https://doi.org/10.1007/s13280-023-01960-y</w:t>
      </w:r>
    </w:p>
    <w:p>
      <w:pPr/>
      <w:r>
        <w:rPr>
          <w:b/>
        </w:rPr>
        <w:t>Shared claim-specific concepts:</w:t>
      </w:r>
      <w:r>
        <w:t xml:space="preserve"> here, climate, framework; EU scope visible. This is a provisional connection, not an outcome finding.</w:t>
      </w:r>
    </w:p>
    <w:p>
      <w:pPr>
        <w:pStyle w:val="SourceNote"/>
      </w:pPr>
      <w:r>
        <w:rPr>
          <w:b/>
        </w:rPr>
        <w:t>Available abstract (not full text):</w:t>
      </w:r>
      <w:r>
        <w:t xml:space="preserve"> Abstract Landscape fires are usually not associated with temperate Europe, yet not all temperate countries record statistics indicating that actual risks remain unknown. Here we introduce new wildfire statistics for The Netherlands, and summarize significant events and fatalities. The period 2017–2022 saw 611 wildfires and 405 ha burned per year, which Copernicus’ European Forest Fire Information System satellite data vastly underestimate. Fires burned more heathland than forest, were small (mean fire size 1.5 ha), were caused by people, and often burned simultaneously, in Spring and in Summer drought. Suppression, restoration and traffic delays cost 3 M€ year−1. Dozens of significant events illustrate fire has never been away and has major societal impact amidst grave concerns for firefighter safety. Since 1833, 31 fatalities were reported. A legal framework is needed to ensure continuity of recordkeeping, as the core foundation of integrated fire management, to create a baseline for climate change, and to fulfill international reporting requirements.</w:t>
      </w:r>
    </w:p>
    <w:p>
      <w:pPr/>
      <w:r>
        <w:rPr>
          <w:b/>
        </w:rPr>
        <w:t>POSSIBLE 2023:</w:t>
      </w:r>
      <w:r>
        <w:t xml:space="preserve"> The first map of crop sequence types in Europe over 2012–2018 — https://doi.org/10.5194/essd-15-5651-2023</w:t>
      </w:r>
    </w:p>
    <w:p>
      <w:pPr/>
      <w:r>
        <w:rPr>
          <w:b/>
        </w:rPr>
        <w:t>Shared claim-specific concepts:</w:t>
      </w:r>
      <w:r>
        <w:t xml:space="preserve"> thus, here, approach; EU scope visible. This is a provisional connection, not an outcome finding.</w:t>
      </w:r>
    </w:p>
    <w:p>
      <w:pPr>
        <w:pStyle w:val="SourceNote"/>
      </w:pPr>
      <w:r>
        <w:rPr>
          <w:b/>
        </w:rPr>
        <w:t>Available abstract (not full text):</w:t>
      </w:r>
      <w:r>
        <w:t xml:space="preserve"> Abstract. Crop diversification is considered a key element of agroecological transition, whereas current dominant cropping systems are known to rely on only a few crop species – like cereals in Europe. To assess the benefits of crop diversification at a large scale, an accurate description of current crop sequences is required as a baseline. However, such a description is lacking at the scale of Europe. Here, we developed the first map of dominant crop sequences in Europe for the period 2012–2018. We used the Land Use Cover Area frame statistical Survey (LUCAS) dataset that provides temporally incomplete (2012, 2015 and 2018) land cover information from a stable grid of points covering Europe. Eight crop sequence types were identified using hierarchical clustering implemented on LUCAS data and mapped over Europe. We show, in France, that the relative importance of these eight crop sequence types (as estimated from LUCAS data) was highly consistent with those derived from an almost spatially exhaustive temporally complete national dataset (the French Land Parcel Identification System) for the same period, thus validating the method and typology for this country. Land use (i.e. crop production area) derived from our map of dominant crop sequences was also highly consistent with land use reported by official statistics at both national and European levels, validating the approach </w:t>
      </w:r>
    </w:p>
    <w:p>
      <w:pPr/>
      <w:r>
        <w:rPr>
          <w:b/>
        </w:rPr>
        <w:t>POSSIBLE 2023:</w:t>
      </w:r>
      <w:r>
        <w:t xml:space="preserve"> The Future of HSR Program Evaluation: A European Perspective — https://doi.org/10.1093/eurpub/ckad160.052</w:t>
      </w:r>
    </w:p>
    <w:p>
      <w:pPr/>
      <w:r>
        <w:rPr>
          <w:b/>
        </w:rPr>
        <w:t>Shared claim-specific concepts:</w:t>
      </w:r>
      <w:r>
        <w:t xml:space="preserve"> thus, here, approach, framework; EU scope visible. This is a provisional connection, not an outcome finding.</w:t>
      </w:r>
    </w:p>
    <w:p>
      <w:pPr>
        <w:pStyle w:val="SourceNote"/>
      </w:pPr>
      <w:r>
        <w:rPr>
          <w:b/>
        </w:rPr>
        <w:t>Available abstract (not full text):</w:t>
      </w:r>
      <w:r>
        <w:t xml:space="preserve"> Abstract There is a long tradition of program evaluation in public health, due to the influence of medical approaches and the development of evidence-based medicine. Health services research have thus provided substantial evidence and built itself partially on the evaluation of organizational innovations over time in various international healthcare settings. What is new here? What is the future of HSR from an evaluation perspective? Since the turn of the century, two main shifts in the resources and methods available to public health researchers could provide a significant leap for HSR research in Europe, and in France especially. First, more data are being produced and made available to researchers. Most healthcare systems in Europe have implemented DRGs and for doing so, information systems have been developed incidentally. This led to the routine production of data initially used for payment schemes, that are now increasingly being used for research. Although this is similar to what happened in the US, the main difference with European healthcare systems lies in the generalized approach of the welfare system to the whole population. Second, evaluation methods recently evolved towards the framework of what is known as “realist evaluation” based on the causal analysis of programs or public policies while incorporating contextual effects and a theoretical perspective to explai</w:t>
      </w:r>
    </w:p>
    <w:p>
      <w:pPr/>
      <w:r>
        <w:rPr>
          <w:b/>
        </w:rPr>
        <w:t>POSSIBLE 2022:</w:t>
      </w:r>
      <w:r>
        <w:t xml:space="preserve"> Developing context-specific frameworks for integrated sustainability assessment of agricultural intensity change: An application for Europe — https://doi.org/10.1016/j.envsci.2022.08.014</w:t>
      </w:r>
    </w:p>
    <w:p>
      <w:pPr/>
      <w:r>
        <w:rPr>
          <w:b/>
        </w:rPr>
        <w:t>Shared claim-specific concepts:</w:t>
      </w:r>
      <w:r>
        <w:t xml:space="preserve"> thus, approach, framework, assessment, general; EU scope visible. This is a provisional connection, not an outcome finding.</w:t>
      </w:r>
    </w:p>
    <w:p>
      <w:pPr>
        <w:pStyle w:val="SourceNote"/>
      </w:pPr>
      <w:r>
        <w:rPr>
          <w:b/>
        </w:rPr>
        <w:t>Available abstract (not full text):</w:t>
      </w:r>
      <w:r>
        <w:t xml:space="preserve"> Agriculture plays a central role in achieving most Sustainable Development Goals (SDGs). Sustainable intensification (SI) of agriculture has been proposed as a promising concept for safeguarding global food security, while simultaneously protecting the environment and promoting good quality of life. However, SI often leads to context-specific sustainability trade-offs. Operationalising SI thus needs to be supported by transparent sustainability assessments. In this article, we propose a general systematic approach to developing context-specific frameworks for integrated sustainability assessment of agricultural intensity change. Firstly, we specify a comprehensive system representation for analysing how changes in agricultural intensity lead to a multitude of sustainability outcomes affecting different societal groups across geographical scales. We then introduce a procedure for identifying the attributes that are relevant for assessment within particular contexts, and respective indicator metrics. Finally, we illustrate the proposed approach by developing an assessment framework for evaluating a wide range of intensification pathways in Europe. The application of the approach revealed processes and effects that are relevant for the European context but are rarely considered in SI assessments. These include farmers’ health, workers’ living conditions, cultural heritage and sens</w:t>
      </w:r>
    </w:p>
    <w:p>
      <w:pPr/>
      <w:r>
        <w:rPr>
          <w:b/>
        </w:rPr>
        <w:t>POSSIBLE 2022:</w:t>
      </w:r>
      <w:r>
        <w:t xml:space="preserve"> Forest-based climate change mitigation and adaptation in Europe — https://doi.org/10.36333/fs14</w:t>
      </w:r>
    </w:p>
    <w:p>
      <w:pPr/>
      <w:r>
        <w:rPr>
          <w:b/>
        </w:rPr>
        <w:t>Shared claim-specific concepts:</w:t>
      </w:r>
      <w:r>
        <w:t xml:space="preserve"> climate, sector; EU scope visible. This is a provisional connection, not an outcome finding.</w:t>
      </w:r>
    </w:p>
    <w:p>
      <w:pPr>
        <w:pStyle w:val="SourceNote"/>
      </w:pPr>
      <w:r>
        <w:rPr>
          <w:b/>
        </w:rPr>
        <w:t>Available abstract (not full text):</w:t>
      </w:r>
      <w:r>
        <w:t xml:space="preserve"> From Science to Policy 14 2. Forest-based mitigation potential 2.1 The roles of forests and the forest sector in climate change mitigation Forests provide many benefits to society and one such benefit is forests' role in regulating the climate through their role in the global carbon cycle.This role is the result of photosynthesis in which trees remove CO 2 from the atmosphere and emit it back to the atmosphere via the decomposition of litter and dead trees or (in case of wildfires) combustion.If this cycle was left to follow its natural course, it would result in a long-term balance between CO 2 removals and emissions despite the short-term variations inherent to it.The management of forests by humans can have a profound impact on CO 2 emissions and removals, both immediately and over time.Rising concentrations of CO 2 and the related climate change can influence the growth and development of forests both positively and negatively, with further consequent impacts on CO 2 emissions and removals in forests (see Chapter 3).From Science to Policy 14 -150 -100 -50 0 50 100 150 200 250 300 350 400 450 Increased efficiency (2;5) Cascading (1;4) Shifts in wood uses (9;23) Afforestation/Reforestation (2;5) Forest restoration (peatlands) (2;5) Forest harvesting (increased) (1;1) Forest harvesting (decreased) (6;13) Other active management (7;14) Avoiding deforestation (1;1) Forest conser</w:t>
      </w:r>
    </w:p>
    <w:p>
      <w:pPr/>
      <w:r>
        <w:rPr>
          <w:b/>
        </w:rPr>
        <w:t>POSSIBLE 2022:</w:t>
      </w:r>
      <w:r>
        <w:t xml:space="preserve"> Central European forest–steppe: An ecosystem shaped by climate, topography and disturbances — https://doi.org/10.1111/jbi.14364</w:t>
      </w:r>
    </w:p>
    <w:p>
      <w:pPr/>
      <w:r>
        <w:rPr>
          <w:b/>
        </w:rPr>
        <w:t>Shared claim-specific concepts:</w:t>
      </w:r>
      <w:r>
        <w:t xml:space="preserve"> develop, here, climate, framework, general; EU scope visible. This is a provisional connection, not an outcome finding.</w:t>
      </w:r>
    </w:p>
    <w:p>
      <w:pPr>
        <w:pStyle w:val="SourceNote"/>
      </w:pPr>
      <w:r>
        <w:rPr>
          <w:b/>
        </w:rPr>
        <w:t>Available abstract (not full text):</w:t>
      </w:r>
      <w:r>
        <w:t xml:space="preserve"> Abstract The occurrence and origin of dry grasslands and their rich biota in the moderately humid Central‐European climate have fascinated scientists for over a century. Modern palaeoecological and phylogeographical data support earlier hypotheses that these grasslands are late Pleistocene relicts and can therefore be considered part of the Eurasian forest–steppe biome. However, it is still unclear which factors fostered the maintenance of steppe patches in Central Europe throughout the Holocene. Here, we provide an overview of the main hypotheses, which stress, respectively, the effects of climate, edaphic conditions and disturbances. We then develop a general conceptual framework on how these three factors interact to form forest–steppe mosaics. We thereby emphasize the role of topography as a crucial control on forest–steppe patterns at the landscape scale. Topography is related to several mechanistic drivers that influence vegetation processes, such as near‐surface microclimate and soil formation. Consequently, topographic variation allows both forest and steppe patches to occur beyond their macroclimatic niche, favouring the development of forest–steppe mosaics. To illustrate our framework, we demonstrate the interactive effect of macroclimate and topography on the occurrence of steppe patches at 108 selected Central European forest–steppe sites. Although we developed our </w:t>
      </w:r>
    </w:p>
    <w:p>
      <w:pPr/>
      <w:r>
        <w:rPr>
          <w:b/>
        </w:rPr>
        <w:t>POSSIBLE 2022:</w:t>
      </w:r>
      <w:r>
        <w:t xml:space="preserve"> The 2018–2020 Multi‐Year Drought Sets a New Benchmark in Europe — https://doi.org/10.1029/2021ef002394</w:t>
      </w:r>
    </w:p>
    <w:p>
      <w:pPr/>
      <w:r>
        <w:rPr>
          <w:b/>
        </w:rPr>
        <w:t>Shared claim-specific concepts:</w:t>
      </w:r>
      <w:r>
        <w:t xml:space="preserve"> thus, here, climate, socioeconomic, coupled, assessment; EU scope visible. This is a provisional connection, not an outcome finding.</w:t>
      </w:r>
    </w:p>
    <w:p>
      <w:pPr>
        <w:pStyle w:val="SourceNote"/>
      </w:pPr>
      <w:r>
        <w:rPr>
          <w:b/>
        </w:rPr>
        <w:t>Available abstract (not full text):</w:t>
      </w:r>
      <w:r>
        <w:t xml:space="preserve"> Abstract During the period 2018–2020, Europe experienced a series of hot and dry weather conditions with significant socioeconomic and environmental consequences. Yet, the extremity of these multi‐year dry conditions is not recognized. Here, we provide a comprehensive spatio‐temporal assessment of the drought hazard over Europe by benchmarking past exceptional events during the period from 1766 to 2020. We identified the 2018–2020 drought event as a new benchmark having an unprecedented intensity that persisted for more than 2 years, exhibiting a mean areal coverage of 35.6% and an average duration of 12.2 months. What makes this event truly exceptional compared with past events is its near‐surface air temperature anomaly reaching +2.8 K, which constitutes a further evidence that the ongoing global warming is exacerbating present drought events. Furthermore, future events based on climate model simulations Coupled Model Intercomparison Project v5 suggest that Europe should be prepared for events of comparable intensity as the 2018–2020 event but with durations longer than any of those experienced in the last 250 years. Our study thus emphasizes the urgent need for adaption and mitigation strategies to cope with such multi‐year drought events across Europe.</w:t>
      </w:r>
    </w:p>
    <w:p>
      <w:pPr/>
      <w:r>
        <w:rPr>
          <w:b/>
        </w:rPr>
        <w:t>POSSIBLE 2021:</w:t>
      </w:r>
      <w:r>
        <w:t xml:space="preserve"> Gastrointestinal cancers in China, the USA, and Europe — https://doi.org/10.1093/gastro/goab010</w:t>
      </w:r>
    </w:p>
    <w:p>
      <w:pPr/>
      <w:r>
        <w:rPr>
          <w:b/>
        </w:rPr>
        <w:t>Shared claim-specific concepts:</w:t>
      </w:r>
      <w:r>
        <w:t xml:space="preserve"> thus, here; EU scope visible. This is a provisional connection, not an outcome finding.</w:t>
      </w:r>
    </w:p>
    <w:p>
      <w:pPr>
        <w:pStyle w:val="SourceNote"/>
      </w:pPr>
      <w:r>
        <w:rPr>
          <w:b/>
        </w:rPr>
        <w:t>Available abstract (not full text):</w:t>
      </w:r>
      <w:r>
        <w:t xml:space="preserve"> Gastrointestinal (GI) cancers, including colorectal cancer, gastric cancer, and esophageal cancer, are a major medical and economic burden worldwide and have the largest number of new cancer cases and cancer deaths each year. Esophageal and gastric cancers are most common in developing countries, while colorectal cancer forms the major GI malignancy in Western countries. However, a great shift in the predominant GI-cancer type is happening in countries under economically transitioning and, at the same time, esophageal and gastric cancers are reigniting in Western countries due to the higher exposure to certain risk factors. The development of all GI cancers is highly associated with lifestyle habits and all can be detected by identified precancerous diseases. Thus, they are all suitable for cancer screening. Here, we review the epidemiological status of GI cancers in China, the USA, and Europe; the major risk factors and their distribution in these regions; and the current screening strategies.</w:t>
      </w:r>
    </w:p>
    <w:p>
      <w:pPr/>
      <w:r>
        <w:rPr>
          <w:b/>
        </w:rPr>
        <w:t>POSSIBLE 2021:</w:t>
      </w:r>
      <w:r>
        <w:t xml:space="preserve"> Current and projected regional economic impacts of heatwaves in Europe — https://doi.org/10.1038/s41467-021-26050-z</w:t>
      </w:r>
    </w:p>
    <w:p>
      <w:pPr/>
      <w:r>
        <w:rPr>
          <w:b/>
        </w:rPr>
        <w:t>Shared claim-specific concepts:</w:t>
      </w:r>
      <w:r>
        <w:t xml:space="preserve"> thus, here; EU scope visible. This is a provisional connection, not an outcome finding.</w:t>
      </w:r>
    </w:p>
    <w:p>
      <w:pPr>
        <w:pStyle w:val="SourceNote"/>
      </w:pPr>
      <w:r>
        <w:rPr>
          <w:b/>
        </w:rPr>
        <w:t>Available abstract (not full text):</w:t>
      </w:r>
      <w:r>
        <w:t xml:space="preserve"> Extreme heat undermines the working capacity of individuals, resulting in lower productivity, and thus economic output. Here we analyse the present and future economic damages due to reduced labour productivity caused by extreme heat in Europe. For the analysis of current impacts, we focused on heatwaves occurring in four recent anomalously hot years (2003, 2010, 2015, and 2018) and compared our findings to the historical period 1981-2010. In the selected years, the total estimated damages attributed to heatwaves amounted to 0.3-0.5% of European gross domestic product (GDP). However, the identified losses were largely heterogeneous across space, consistently showing GDP impacts beyond 1% in more vulnerable regions. Future projections indicate that by 2060 impacts might increase in Europe by a factor of almost five compared to the historical period 1981-2010 if no further mitigation or adaptation actions are taken, suggesting the presence of more pronounced effects in the regions where these damages are already acute.</w:t>
      </w:r>
    </w:p>
    <w:p>
      <w:pPr>
        <w:pStyle w:val="Heading2"/>
      </w:pPr>
      <w:r>
        <w:t>823. Decarbonizing the EU energy system by 2050: an important role for BECCS</w:t>
      </w:r>
    </w:p>
    <w:p>
      <w:pPr>
        <w:pStyle w:val="SourceNote"/>
      </w:pPr>
      <w:r>
        <w:rPr>
          <w:b/>
        </w:rPr>
        <w:t>Original source (2016):</w:t>
      </w:r>
      <w:r>
        <w:t xml:space="preserve"> https://doi.org/10.1080/14693062.2016.1242058</w:t>
      </w:r>
    </w:p>
    <w:p>
      <w:pPr/>
      <w:r>
        <w:t>Original wording (abstract; indexed_source_text_not_full_document_verified): The key conclusions are as follows: (a) the achievement of negative emissions in the power sector via the use of biomass with carbon capture and storage (BECCS) allows for much more limited decarbonization in the buildings and transport sectors; (b) CCS is also extensively used for decarbonization of the industrial sector; (c) because of the absence in the model of options for transport mode-switching and building fabric efficiency improvements, the transport and buildings sectors achieve relatively little abatement by 2050 – the inclusion of these options could considerably reduce the need for BECCS and the cost of abatement; (d) decarbonization of the EU’s energy system by 2050 would increase energy system costs by 14% compared to a Reference scenario with no CO2 constraints; and (e) average EU-wide marginal CO2 abatement costs in Policy Success reach $300/tCO2 in 2050.</w:t>
      </w:r>
    </w:p>
    <w:p>
      <w:pPr/>
      <w:r>
        <w:rPr>
          <w:b/>
        </w:rPr>
        <w:t>POSSIBLE 2026:</w:t>
      </w:r>
      <w:r>
        <w:t xml:space="preserve"> Guidance on negative emissions for cities — https://doi.org/10.2760/5398979</w:t>
      </w:r>
    </w:p>
    <w:p>
      <w:pPr/>
      <w:r>
        <w:rPr>
          <w:b/>
        </w:rPr>
        <w:t>Shared claim-specific concepts:</w:t>
      </w:r>
      <w:r>
        <w:t xml:space="preserve"> key, negative, emissions, use, carbon; EU scope not established. This is a provisional connection, not an outcome finding.</w:t>
      </w:r>
    </w:p>
    <w:p>
      <w:pPr>
        <w:pStyle w:val="SourceNote"/>
      </w:pPr>
      <w:r>
        <w:rPr>
          <w:b/>
        </w:rPr>
        <w:t>Available abstract (not full text):</w:t>
      </w:r>
      <w:r>
        <w:t xml:space="preserve"> This “Guidance on negative emissions for cities” primarily addresses cities involved in the 100 Climate-Neutral and Smart Cities Mission but can be used as a conceptual and practical reference by any city targeting net-zero emissions. The main objectives are to offer precise directions for negative emissions strategies and accounting, distil key principles and create a conceptual framework around the use of emissions compensation mechanisms (local carbon removals and carbon credits). The focus is on guaranteeing high climate and environmental integrity, managed through a transparent and ethical process, aligned with international best practices. Key recommendations include ensuring clarity in target boundary definitions, reporting separately each term of the net emissions equation (gross emissions, in-boundary removals, sold and retired credits), and avoiding double counting or claiming. This guidance underscores the importance of delivering a compelling set of co-benefits and diversifying compensation strategies while providing practical advice for cities to develop time- and cost-effective residual emissions strategies. It does not shift the attention away from the key objective of a climate neutrality target: priority is always on emissions reduction at source. A “Summary for Decision Makers” is published alongside this guidance to provide a concise and actionable roadmap fo</w:t>
      </w:r>
    </w:p>
    <w:p>
      <w:pPr/>
      <w:r>
        <w:rPr>
          <w:b/>
        </w:rPr>
        <w:t>POSSIBLE 2025:</w:t>
      </w:r>
      <w:r>
        <w:t xml:space="preserve"> Cancer burden in Europe: a systematic analysis of the GLOBOCAN database (2022) — https://doi.org/10.1186/s12885-025-13862-1</w:t>
      </w:r>
    </w:p>
    <w:p>
      <w:pPr/>
      <w:r>
        <w:rPr>
          <w:b/>
        </w:rPr>
        <w:t>Shared claim-specific concepts:</w:t>
      </w:r>
      <w:r>
        <w:t xml:space="preserve"> key, conclusions, limited, also; EU scope visible. This is a provisional connection, not an outcome finding.</w:t>
      </w:r>
    </w:p>
    <w:p>
      <w:pPr>
        <w:pStyle w:val="SourceNote"/>
      </w:pPr>
      <w:r>
        <w:rPr>
          <w:b/>
        </w:rPr>
        <w:t>Available abstract (not full text):</w:t>
      </w:r>
      <w:r>
        <w:t xml:space="preserve"> BACKGROUND: Cancer remains a significant public health challenge in Europe, with substantial regional disparities in incidence, mortality, and access to healthcare. This study analyses cancer patterns across Eastern, Northern, Southern, and Western Europe in 2022, highlighting key public health implications and gaps in prevention and treatment. METHODS: Using data from GLOBOCAN 2022, this study assessed total new cancer cases, age-standardized incidence and mortality rates (ASRs) per 100,000, and cumulative cancer risk at age 75. The top three cancers by sex and region were also analysed to identify trends and disparities. RESULTS: In 2022, Europe recorded 4,471,422 new cancer cases (ASR 280 per 100,000), with a cumulative risk of 27.9% by age 75. Males accounted for 2,359,303 cases (ASR 319.6, cumulative risk 31.9%), while females had 2,112,119 cases (ASR 253.4, cumulative risk 24.7%). Northern and Western Europe had the highest incidence rates, with Denmark leading at 374.7 per 100,000 (cumulative risk 34.9%), likely due to advanced screening and healthcare. Conversely, Eastern Europe had the highest mortality, with 1,091,871 deaths (ASR 135.3), reflecting late diagnoses and limited access of treatment. Hungary exhibited the highest mortality rate (ASR 143.7, cumulative risk 15.8%), followed by Poland (ASR 133.1). Prostate and breast cancers were the most common in males and </w:t>
      </w:r>
    </w:p>
    <w:p>
      <w:pPr/>
      <w:r>
        <w:rPr>
          <w:b/>
        </w:rPr>
        <w:t>POSSIBLE 2025:</w:t>
      </w:r>
      <w:r>
        <w:t xml:space="preserve"> Conclusions on Land Policies in Europe — https://doi.org/10.1007/978-3-031-83725-8_17</w:t>
      </w:r>
    </w:p>
    <w:p>
      <w:pPr/>
      <w:r>
        <w:rPr>
          <w:b/>
        </w:rPr>
        <w:t>Shared claim-specific concepts:</w:t>
      </w:r>
      <w:r>
        <w:t xml:space="preserve"> key, conclusions, sector, use; EU scope visible. This is a provisional connection, not an outcome finding.</w:t>
      </w:r>
    </w:p>
    <w:p>
      <w:pPr>
        <w:pStyle w:val="SourceNote"/>
      </w:pPr>
      <w:r>
        <w:rPr>
          <w:b/>
        </w:rPr>
        <w:t>Available abstract (not full text):</w:t>
      </w:r>
      <w:r>
        <w:t xml:space="preserve"> Abstract This concluding chapter presents four main conclusions based on the 12 cases and the reflections on land policy in European countries (AT, BE, CH, CZ, DE, ENG, FI, FR, NL, NO, PL, SE): Although land policy closely relates to spatial planning, it differs in two dimensions: (1) in its allocative and distributive perspective and (2) at strategic and operational levels of public policy. Based on this distinction four elements of land policy emerge: land use policy, land use planning, land tenure policy, and land management. Land policies comprise intentional decisions or activities led by public actors, sometimes with private sector cooperation. Land policy strategies stem from different interpretations of landowners’ roles, which are often more decisive than specific instruments. Public actors conceptualise the relationship between property rights and land policy: To one end, landowners are key stakeholders; at the other end, they are partners in spatial projects. The chapter concludes that the international comparative analysis can deepen the understanding of land-use planning, property rights, and spatial development.</w:t>
      </w:r>
    </w:p>
    <w:p>
      <w:pPr/>
      <w:r>
        <w:rPr>
          <w:b/>
        </w:rPr>
        <w:t>POSSIBLE 2025:</w:t>
      </w:r>
      <w:r>
        <w:t xml:space="preserve"> Key elements of follow-up care after acute pulmonary embolism focusing on long-term sequelae: a Delphi study among European experts — https://doi.org/10.1093/ehjqcco/qcaf053</w:t>
      </w:r>
    </w:p>
    <w:p>
      <w:pPr/>
      <w:r>
        <w:rPr>
          <w:b/>
        </w:rPr>
        <w:t>Shared claim-specific concepts:</w:t>
      </w:r>
      <w:r>
        <w:t xml:space="preserve"> key, limited, also; EU scope visible. This is a provisional connection, not an outcome finding.</w:t>
      </w:r>
    </w:p>
    <w:p>
      <w:pPr>
        <w:pStyle w:val="SourceNote"/>
      </w:pPr>
      <w:r>
        <w:rPr>
          <w:b/>
        </w:rPr>
        <w:t>Available abstract (not full text):</w:t>
      </w:r>
      <w:r>
        <w:t xml:space="preserve"> AIMS: A considerable proportion of patients develop long-term sequelae after an acute pulmonary embolism (PE). Beyond chronic thrombo-embolic pulmonary hypertension (CTEPH), current guidelines provide limited guidance regarding a structured approach for assessment and management of these patients. This study aimed to establish a framework of multidisciplinary follow-up care of PE-survivors. METHODS AND RESULTS: A Delphi study was conducted among a multidisciplinary panel of PE specialists from across Europe to gather expert opinions, and where possible reach consensus, on key aspects of PE follow-up care. Two rounds of surveys were distributed among 45 venous thromboembolism (VTE) experts, with 39 completing both rounds. Consensus was reached that follow-up of PE survivors should address the entire spectrum of post-PE sequelae, i.e. CTEPH, chronic thromboembolic pulmonary disease, but also all other presentations of the post-PE syndrome. Routine assessment at 3 months should involve patient-reported outcome measures, including quality of life. A single, uniform protocol was preferred over locally adapted approaches. Earlier follow-up, prior to the 3-month mark, to detect post-PE sequelae was not considered necessary for most patient subgroups. Right heart catheterization to confirm CTEPH should be reserved for specialized pulmonary hypertension centres, while other diagnostic m</w:t>
      </w:r>
    </w:p>
    <w:p>
      <w:pPr/>
      <w:r>
        <w:rPr>
          <w:b/>
        </w:rPr>
        <w:t>POSSIBLE 2024:</w:t>
      </w:r>
      <w:r>
        <w:t xml:space="preserve"> Carbon farming, overestimated negative emissions and the limits to emissions trading in land-use governance: the EU carbon removal certification proposal — https://doi.org/10.1186/s12302-024-00892-y</w:t>
      </w:r>
    </w:p>
    <w:p>
      <w:pPr/>
      <w:r>
        <w:rPr>
          <w:b/>
        </w:rPr>
        <w:t>Shared claim-specific concepts:</w:t>
      </w:r>
      <w:r>
        <w:t xml:space="preserve"> key, negative, emissions, use, carbon; EU scope visible. This is a provisional connection, not an outcome finding.</w:t>
      </w:r>
    </w:p>
    <w:p>
      <w:pPr>
        <w:pStyle w:val="SourceNote"/>
      </w:pPr>
      <w:r>
        <w:rPr>
          <w:b/>
        </w:rPr>
        <w:t>Available abstract (not full text):</w:t>
      </w:r>
      <w:r>
        <w:t xml:space="preserve"> Abstract This article conducts a qualitative governance analysis of the European Commission’s 2022 proposal for a certification framework for carbon removals (CRCF). It highlights potential challenges and legal implications—with a specific focus on carbon farming. While the European Union (EU) acknowledges carbon farming as an important strategy to offset residual emissions, such carbon removal activities are prone to reversals and models often overestimate their sequestration potential. The CRCF aims to account for these issues, but the analysis shows that the proposal may, in part, undermine international climate and biodiversity goals set by the Paris Agreement and the Convention on Biological Diversity. Key concerns include its failure to consider the normative hierarchy between emission reductions and removals mandated by EU and international law, the introduction of a temporary removal crediting system, the extensive delegation of powers to the Commission, the possibility that it may incentivise shifting effects, and its lack of alignment with other EU environmental policies. Additionally, the CRCF’s failure to restrict the use of carbon credits after certification increases the risk of double claiming of removal activities—and the proposal may open the door for to future integration of carbon removals into the EU’s emission trading scheme, which should be avoided for var</w:t>
      </w:r>
    </w:p>
    <w:p>
      <w:pPr/>
      <w:r>
        <w:rPr>
          <w:b/>
        </w:rPr>
        <w:t>POSSIBLE 2023:</w:t>
      </w:r>
      <w:r>
        <w:t xml:space="preserve"> Unveiling the Carbon Footprint of Europe and Central Asia: Insights into the Impact of Key Factors on CO2 Emissions — https://doi.org/10.5281/zenodo.7669782</w:t>
      </w:r>
    </w:p>
    <w:p>
      <w:pPr/>
      <w:r>
        <w:rPr>
          <w:b/>
        </w:rPr>
        <w:t>Shared claim-specific concepts:</w:t>
      </w:r>
      <w:r>
        <w:t xml:space="preserve"> key, negative, emissions, carbon; EU scope visible. This is a provisional connection, not an outcome finding.</w:t>
      </w:r>
    </w:p>
    <w:p>
      <w:pPr>
        <w:pStyle w:val="SourceNote"/>
      </w:pPr>
      <w:r>
        <w:rPr>
          <w:b/>
        </w:rPr>
        <w:t>Available abstract (not full text):</w:t>
      </w:r>
      <w:r>
        <w:t xml:space="preserve"> This study delves into the intricate relationship between carbon dioxide (CO2) emissions and crucial variables in Europe and Central Asia from 1990-2021. By examining the impact of renewable energy, industry value added, foreign direct investment (FDI), gross domestic product (GDP) per capita, and population density on CO2 emissions using the autoregressive distributed lag (ARDL) method, the study uncovers intriguing findings. The study reveals a significant negative correlation between linear per capita income and CO2 emissions in both the short and long run. Moreover, it confirms the inverted N-shaped environmental Kuznets curve (EKC) relationship between the variables. The study further highlights the unfavorable impact of renewable energy and industry value added on CO2 emissions, pointing to the fact that their growth increases CO2 emissions. On the other hand, population density is found to be a vital factor in reducing CO2 emissions. FDI is identified to have a negative and insignificant impact on CO2 emissions, suggesting that it may not be an effective tool for reducing carbon emissions in the region. The insights from this study have significant implications for policymakers in the region to design and implement effective strategies to reduce CO2 emissions.</w:t>
      </w:r>
    </w:p>
    <w:p>
      <w:pPr/>
      <w:r>
        <w:rPr>
          <w:b/>
        </w:rPr>
        <w:t>POSSIBLE 2023:</w:t>
      </w:r>
      <w:r>
        <w:t xml:space="preserve"> Conclusion — https://doi.org/10.1017/9781009103862.010</w:t>
      </w:r>
    </w:p>
    <w:p>
      <w:pPr/>
      <w:r>
        <w:rPr>
          <w:b/>
        </w:rPr>
        <w:t>Shared claim-specific concepts:</w:t>
      </w:r>
      <w:r>
        <w:t xml:space="preserve"> key, power, also; EU scope visible. This is a provisional connection, not an outcome finding.</w:t>
      </w:r>
    </w:p>
    <w:p>
      <w:pPr>
        <w:pStyle w:val="SourceNote"/>
      </w:pPr>
      <w:r>
        <w:rPr>
          <w:b/>
        </w:rPr>
        <w:t>Available abstract (not full text):</w:t>
      </w:r>
      <w:r>
        <w:t xml:space="preserve"> The conclusion identifies the key turning points in the Court’s jurisprudence in light of the established theoretical framework and presents several key findings that further the debate on judicial politics and on the backlash. The main takeaway is that international courts may not always attempt to expand their power. On the contrary, concern for institutional survival or public image may compel them to under-utilize their power. Courts will follow forbearing or selectively forbearing policies to prevent or mitigate political pushback or backlash. They will reserve audacity or selective audacity for moments when they feel safe from political repercussions. Drawing upon my analysis of the Court over five decades, I call for historicizing the current instances of backlash against international courts and liberal institutions. At least in the context of the European Court, an important lesson is that the backlash is not unique to today’s political climate. The Court has seen different episodes of backlash and, as a result, it has forged a resilience strategy to fend off or pre-empt backlash. Such strategies can also be traced in other courts and institutions with delegated authority.</w:t>
      </w:r>
    </w:p>
    <w:p>
      <w:pPr/>
      <w:r>
        <w:rPr>
          <w:b/>
        </w:rPr>
        <w:t>POSSIBLE 2022:</w:t>
      </w:r>
      <w:r>
        <w:t xml:space="preserve"> Key factors for successful uptake of biosimilars: Europe and the US — https://doi.org/10.5639/gabij.2022.1103.018</w:t>
      </w:r>
    </w:p>
    <w:p>
      <w:pPr/>
      <w:r>
        <w:rPr>
          <w:b/>
        </w:rPr>
        <w:t>Shared claim-specific concepts:</w:t>
      </w:r>
      <w:r>
        <w:t xml:space="preserve"> key, via, also; EU scope visible. This is a provisional connection, not an outcome finding.</w:t>
      </w:r>
    </w:p>
    <w:p>
      <w:pPr>
        <w:pStyle w:val="SourceNote"/>
      </w:pPr>
      <w:r>
        <w:rPr>
          <w:b/>
        </w:rPr>
        <w:t>Available abstract (not full text):</w:t>
      </w:r>
      <w:r>
        <w:t xml:space="preserve"> Introduction: Biosimilars were first introduced in Europe in 2006 and then in the US in 2015. An online webinar on the successful uptake in Europe and the US was held to discuss measures taken for improving biosimilar uptake, and trends in uptake. Methods: The webinar was held by the Alliance for Safe Biologic Medicines (ASBM) in collaboration with Generics and Biosimilars Initiative (GaBI) on 29 June 2022. It consisted of a number of expert speaker presentations followed by a Q&amp;A with the panel and the audience also had the opportunity to ask questions online throughout the webinar. Results: Presentations discussed key elements contributing to the wide uptake of biosimilars in Europe and the US and physicians’ trust in prescribing and switching of biosimilars. Further details of the presentations were discussed during the Q&amp;A and clarifications made via the concurrent online Q&amp;A. Conclusion: The webinar enabled in-depth discussion of the current status of biosimilar adoption in Europe and the US. It was highlighted that, although the US adopted biosimilars at a later date, their uptake is starting to rival that of Europe. Aspects of forced switching policies in Canada and Australia were also discussed.</w:t>
      </w:r>
    </w:p>
    <w:p>
      <w:pPr/>
      <w:r>
        <w:rPr>
          <w:b/>
        </w:rPr>
        <w:t>POSSIBLE 2022:</w:t>
      </w:r>
      <w:r>
        <w:t xml:space="preserve"> Environmental sustainability of negative emissions technologies: A review — https://doi.org/10.1016/j.spc.2022.06.028</w:t>
      </w:r>
    </w:p>
    <w:p>
      <w:pPr/>
      <w:r>
        <w:rPr>
          <w:b/>
        </w:rPr>
        <w:t>Shared claim-specific concepts:</w:t>
      </w:r>
      <w:r>
        <w:t xml:space="preserve"> negative, emissions, use, biomass, carbon, capture; EU scope not established. This is a provisional connection, not an outcome finding.</w:t>
      </w:r>
    </w:p>
    <w:p>
      <w:pPr>
        <w:pStyle w:val="SourceNote"/>
      </w:pPr>
      <w:r>
        <w:rPr>
          <w:b/>
        </w:rPr>
        <w:t>Available abstract (not full text):</w:t>
      </w:r>
      <w:r>
        <w:t xml:space="preserve"> Negative emissions technologies (NETs) are expected to play a significant role in mitigating climate change. However, there are also concerns that a large scale deployment of NETs may cause various environmental impacts due to the use of land, water and energy resources. A number of studies have assessed the environmental performance of various NETs; however, a comprehensive review comparing a range of different NETs is not available in the literature. To address this research gap, this paper compares life cycle assessment (LCA) studies of the following options for which the data were available in the literature: bioenergy with carbon capture and storage (BECCS), biochar incorporation into soil, afforestation and reforestation, soil carbon sequestration, building with biomass, direct air carbon capture and storage (DACCS), enhanced weathering and mineral carbonation. It is evident from this review that these technologies can have net negative life cycle GHG emissions, ranging from −603 kg CO 2 eq./t CO 2 removed for building with biomass to −1173 kg CO 2 eq./t CO 2 removed for biochar incorporation into soil. However, the estimates of GHG removal potentials vary widely among the studies for each technology as well as among the NETs owing to technological differences, methodological choices and differing assumptions. For example, the net global warming potential (GWP) of biochar</w:t>
      </w:r>
    </w:p>
    <w:p>
      <w:pPr/>
      <w:r>
        <w:rPr>
          <w:b/>
        </w:rPr>
        <w:t>POSSIBLE 2022:</w:t>
      </w:r>
      <w:r>
        <w:t xml:space="preserve"> Perspective on the hydrogen economy as a pathway to reach net-zero CO 2 emissions in Europe — https://doi.org/10.1039/d1ee02118d</w:t>
      </w:r>
    </w:p>
    <w:p>
      <w:pPr/>
      <w:r>
        <w:rPr>
          <w:b/>
        </w:rPr>
        <w:t>Shared claim-specific concepts:</w:t>
      </w:r>
      <w:r>
        <w:t xml:space="preserve"> emissions; EU scope visible. This is a provisional connection, not an outcome finding.</w:t>
      </w:r>
    </w:p>
    <w:p>
      <w:pPr>
        <w:pStyle w:val="SourceNote"/>
      </w:pPr>
      <w:r>
        <w:rPr>
          <w:b/>
        </w:rPr>
        <w:t>Available abstract (not full text):</w:t>
      </w:r>
      <w:r>
        <w:t xml:space="preserve"> The envisioned role of hydrogen in the energy transition – or the concept of a hydrogen economy – has varied through the years.</w:t>
      </w:r>
    </w:p>
    <w:p>
      <w:pPr/>
      <w:r>
        <w:rPr>
          <w:b/>
        </w:rPr>
        <w:t>POSSIBLE 2021:</w:t>
      </w:r>
      <w:r>
        <w:t xml:space="preserve"> Carbon capture and biomass in industry: A techno-economic analysis and comparison of negative emission options — https://doi.org/10.1016/j.rser.2021.111028</w:t>
      </w:r>
    </w:p>
    <w:p>
      <w:pPr/>
      <w:r>
        <w:rPr>
          <w:b/>
        </w:rPr>
        <w:t>Shared claim-specific concepts:</w:t>
      </w:r>
      <w:r>
        <w:t xml:space="preserve"> negative, emissions, sector, use, biomass, carbon; EU scope not established. This is a provisional connection, not an outcome finding.</w:t>
      </w:r>
    </w:p>
    <w:p>
      <w:pPr>
        <w:pStyle w:val="SourceNote"/>
      </w:pPr>
      <w:r>
        <w:rPr>
          <w:b/>
        </w:rPr>
        <w:t>Available abstract (not full text):</w:t>
      </w:r>
      <w:r>
        <w:t xml:space="preserve"> Meeting the Paris Agreement will most likely require the combination of CO2 capture and biomass in the industrial sector, resulting in net negative emissions. CO2 capture within the industry has been extensively investigated. However, biomass options have been poorly explored, with literature alluding to technical and economic barriers. In addition, a lack of consistency among studies makes comparing the performance of CO2 capture and/or biomass use between studies and sectors difficult. These inconsistencies include differences in methodology, system boundaries, level of integration, costs, greenhouse gas intensity of feedstock and energy carriers, and capital cost estimations. Therefore, an integrated evaluation of the techno-economic performance regarding CO2 capture and biomass use was performed for five energy-intensive industrial sub-sectors. Harmonization results indicate that CO2 mitigation potentials vary for each sub-sector, resulting in reductions of 1.4–2.7 t CO2/t steel (77%–149%), 0.7 t CO2/t cement (92%), 0.2 t CO2/t crude oil (68%), 1.9 t CO2/t pulp (1663%–2548%), and 34.9 t CO2/t H2 (313%). Negative emissions can be reached in the steel, paper and H2 sectors. Novel bio-based production routes might enable net negative emissions in the cement and (petro)chemical sectors as well. All the above-mentioned potentials can be reached for 100 €/t CO2 or less. Implement</w:t>
      </w:r>
    </w:p>
    <w:p>
      <w:pPr/>
      <w:r>
        <w:rPr>
          <w:b/>
        </w:rPr>
        <w:t>POSSIBLE 2021:</w:t>
      </w:r>
      <w:r>
        <w:t xml:space="preserve"> Time-resolved emission reductions for atmospheric chemistry modelling in Europe during the COVID-19 lockdowns — https://doi.org/10.5194/acp-21-773-2021</w:t>
      </w:r>
    </w:p>
    <w:p>
      <w:pPr/>
      <w:r>
        <w:rPr>
          <w:b/>
        </w:rPr>
        <w:t>Shared claim-specific concepts:</w:t>
      </w:r>
      <w:r>
        <w:t xml:space="preserve"> emissions, power, sector, transport, sectors, also; EU scope visible. This is a provisional connection, not an outcome finding.</w:t>
      </w:r>
    </w:p>
    <w:p>
      <w:pPr>
        <w:pStyle w:val="SourceNote"/>
      </w:pPr>
      <w:r>
        <w:rPr>
          <w:b/>
        </w:rPr>
        <w:t>Available abstract (not full text):</w:t>
      </w:r>
      <w:r>
        <w:t xml:space="preserve"> Abstract. We quantify the reductions in primary emissions due to the COVID-19 lockdowns in Europe. Our estimates are provided in the form of a dataset of reduction factors varying per country and day that will allow modelling and identifying the associated impacts upon air quality. The country- and daily-resolved reduction factors are provided for each of the following source categories: energy industry (power plants), manufacturing industry, road traffic and aviation (landing and take-off cycle). We computed the reduction factors based on open access and near-real time measured activity data from a wide range of information sources. We also trained a machine learning model with meteorological data to derive weather-normalised electricity consumption reductions. The time period covered is from 21 February, when the first European localised lockdown was implemented in the region of Lombardy (Italy), until 26 April 2020. This period includes five weeks (23 March until 26 April) with the most severe and relatively unchanged restrictions upon mobility and socio-economic activities across Europe. The computed reduction factors were combined with the Copernicus Atmosphere Monitoring Service's European emission inventory using adjusted emission temporal profiles in order to derive time-resolved emission reductions per country and pollutant sector. During the most severe lockdown perio</w:t>
      </w:r>
    </w:p>
    <w:p>
      <w:pPr>
        <w:pStyle w:val="Heading2"/>
      </w:pPr>
      <w:r>
        <w:t>824. Developed Foresight for Borders Model Predicts the Amount of Borders Traffic in Finland</w:t>
      </w:r>
    </w:p>
    <w:p>
      <w:pPr>
        <w:pStyle w:val="SourceNote"/>
      </w:pPr>
      <w:r>
        <w:rPr>
          <w:b/>
        </w:rPr>
        <w:t>Original source (2016):</w:t>
      </w:r>
      <w:r>
        <w:t xml:space="preserve"> https://doi.org/10.30958/ajt.3-2-3</w:t>
      </w:r>
    </w:p>
    <w:p>
      <w:pPr/>
      <w:r>
        <w:t>Original wording (abstract; indexed_source_text_not_full_document_verified): This paper describes the factors which have an influence on travelling and presents the forecast model to Finnish-Russian land border.The number of border traffic between Finland and the Russian Federation's border stations has been an upward trend through the 2000s.A significant part of growth is due to increased travelling of the Russian Federation's citizens to the European Union.Forecasting of cross-border traffic and tourism in Finnish-Russian land border has been based on the official statistics.Laurea University of Applied Sciences carried out a study which generates information on the factors that influence on border traffic.The research study is based on qualitative methods and co-creation tools.As a finding, the key structural factors are tourist's motivations, service and infrastructure in border station, and travelling documents.Foresight for Borders model predicts the amount of border traffic which are based on the key structural factors.Foresight for Borders model will improve service at the border stations by providing information of the traffic amounts that are anticipated to cross the border during specified time periods.As a conclusion, the study can be stated to be necessary in terms of creating new approaches to border service, security and tourism studies.</w:t>
      </w:r>
    </w:p>
    <w:p>
      <w:pPr/>
      <w:r>
        <w:rPr>
          <w:b/>
        </w:rPr>
        <w:t>POSSIBLE 2025:</w:t>
      </w:r>
      <w:r>
        <w:t xml:space="preserve"> Factors Influencing the Perception of Corruption in the Countries of the European Union — https://doi.org/10.28991/esj-2025-09-03-03</w:t>
      </w:r>
    </w:p>
    <w:p>
      <w:pPr/>
      <w:r>
        <w:rPr>
          <w:b/>
        </w:rPr>
        <w:t>Shared claim-specific concepts:</w:t>
      </w:r>
      <w:r>
        <w:t xml:space="preserve"> factors, between, significant, part, citizens, union; EU scope visible. This is a provisional connection, not an outcome finding.</w:t>
      </w:r>
    </w:p>
    <w:p>
      <w:pPr>
        <w:pStyle w:val="SourceNote"/>
      </w:pPr>
      <w:r>
        <w:rPr>
          <w:b/>
        </w:rPr>
        <w:t>Available abstract (not full text):</w:t>
      </w:r>
      <w:r>
        <w:t xml:space="preserve"> Objectives: The European Union regularly publishes reports on corruption as part of its Eurobarometer surveys. These report on the opinions of European citizens regarding corruption and the presence of corruption they perceive. Based on survey data from 2008-2022, this study examines the perception of corruption in EU member states. Methods: As a method, the authors use statistical tests. They examine the differences between geographical regions and created country clusters to examine the effect of geographical location on the perception of corruption. They managed to show a difference between north and south. Findings: Based on the results, the role of the cultural and historical background is the most significant in the perception of corruption. Other influences, such as democratization, play a role in shaping opinions. However, the impact of the anti-corruption fight is evaluated independently of the region. It is also a common opinion that corruption cannot be eradicated. Novelty: This study provides a structured approach to analysing corruption perception across regions, emphasizing statistical validation. The findings contribute to understanding the persistence of corruption perception and highlight key influencing factors.</w:t>
      </w:r>
    </w:p>
    <w:p>
      <w:pPr/>
      <w:r>
        <w:rPr>
          <w:b/>
        </w:rPr>
        <w:t>POSSIBLE 2025:</w:t>
      </w:r>
      <w:r>
        <w:t xml:space="preserve"> Factors influencing internationalization of micro-enterprises and SMEs in Central Europe — https://doi.org/10.14254/2071-8330.2025/18-1/11</w:t>
      </w:r>
    </w:p>
    <w:p>
      <w:pPr/>
      <w:r>
        <w:rPr>
          <w:b/>
        </w:rPr>
        <w:t>Shared claim-specific concepts:</w:t>
      </w:r>
      <w:r>
        <w:t xml:space="preserve"> factors, influence, between, significant, due; EU scope visible. This is a provisional connection, not an outcome finding.</w:t>
      </w:r>
    </w:p>
    <w:p>
      <w:pPr>
        <w:pStyle w:val="SourceNote"/>
      </w:pPr>
      <w:r>
        <w:rPr>
          <w:b/>
        </w:rPr>
        <w:t>Available abstract (not full text):</w:t>
      </w:r>
      <w:r>
        <w:t xml:space="preserve"> Internationalizing a company is particularly challenging for micro-enterprises and SMEs due to the limited resources available for managing strategic activities. This paper aimed to create a model of the factors influencing the internationalization process of micro-enterprises and SMEs from Central Europe. The study employed principal component analysis to identify latent components of the model, namely innovation, strategic management (SM), and barriers. The factors and their relationships were analyzed using Logit regression and ANOVA. Additionally, the influence of two control variables on the selected factors and barriers to internationalization was examined. The research findings indicate that the most significant barrier to internationalization is the difference in tax policies. Furthermore, a significant correlation exists between innovation and strategic management barriers, while the strategies for innovation depend on the size and age of the company.</w:t>
      </w:r>
    </w:p>
    <w:p>
      <w:pPr/>
      <w:r>
        <w:rPr>
          <w:b/>
        </w:rPr>
        <w:t>POSSIBLE 2024:</w:t>
      </w:r>
      <w:r>
        <w:t xml:space="preserve"> Structured factor copulas for modeling the systemic risk of European and United States banks — https://doi.org/10.1016/j.irfa.2024.103621</w:t>
      </w:r>
    </w:p>
    <w:p>
      <w:pPr/>
      <w:r>
        <w:rPr>
          <w:b/>
        </w:rPr>
        <w:t>Shared claim-specific concepts:</w:t>
      </w:r>
      <w:r>
        <w:t xml:space="preserve"> factors, between; EU scope visible. This is a provisional connection, not an outcome finding.</w:t>
      </w:r>
    </w:p>
    <w:p>
      <w:pPr>
        <w:pStyle w:val="SourceNote"/>
      </w:pPr>
      <w:r>
        <w:rPr>
          <w:b/>
        </w:rPr>
        <w:t>Available abstract (not full text):</w:t>
      </w:r>
      <w:r>
        <w:t xml:space="preserve"> In this paper, we employ Credit Default Swaps (CDS) to model the joint and conditional distress probabilities of banks in Europe and the U.S. using factor copulas. We propose multi-factor, structured factor, and factor-vine models where the banks in the sample are clustered according to their geographic location. We find that within each region, the co-dependence between banks is best described using both, systematic and idiosyncratic, financial contagion channels. However, if we consider the banking system as a whole, then the systematic contagion channel prevails, meaning that the distress probabilities are driven by a latent global factor and region-specific factors. In all cases, the co-dependence structure of bank CDS spreads is highly correlated in the tail. The out-of-sample forecasts of several measures of systemic risk allow us to identify the periods of distress in the banking sector over the recent years including the COVID-19 pandemic, the interest rate hikes in 2022, and the banking crisis in 2023. • We identify the systematic and idiosyncratic sources of financial contagion – global and local – through factor copula models. • We employ the Variational Bayes (VB) method for estimating the multi-factor, structured factor, and factor-vine copulas. • Within each region, the co-dependence between banks is best described using both, systematic and idiosyncratic, financi</w:t>
      </w:r>
    </w:p>
    <w:p>
      <w:pPr/>
      <w:r>
        <w:rPr>
          <w:b/>
        </w:rPr>
        <w:t>POSSIBLE 2024:</w:t>
      </w:r>
      <w:r>
        <w:t xml:space="preserve"> Determinants of Financial Security of European Union Farms—A Factor Analysis Model Approach — https://doi.org/10.3390/agriculture14010119</w:t>
      </w:r>
    </w:p>
    <w:p>
      <w:pPr/>
      <w:r>
        <w:rPr>
          <w:b/>
        </w:rPr>
        <w:t>Shared claim-specific concepts:</w:t>
      </w:r>
      <w:r>
        <w:t xml:space="preserve"> factors, number, between, union; EU scope visible. This is a provisional connection, not an outcome finding.</w:t>
      </w:r>
    </w:p>
    <w:p>
      <w:pPr>
        <w:pStyle w:val="SourceNote"/>
      </w:pPr>
      <w:r>
        <w:rPr>
          <w:b/>
        </w:rPr>
        <w:t>Available abstract (not full text):</w:t>
      </w:r>
      <w:r>
        <w:t xml:space="preserve"> The objective of this study was to assess the level of financial security of farms and identify its determinants based on factor analysis. The data used in this research were obtained from the European FADN (Farm Accountancy Data Network). Factor analysis (FA) was employed to reduce the number of variables that potentially determine the financial security of farms. The results indicate that the surveyed entities maintained financial security between 2014 and 2021. This study suggests that it is necessary to examine these factors separately for farms engaged in crop farming and animal production. The results obtained for all farms were less satisfactory than those that took into account the specifics of agricultural production. This study addresses a gap in the literature by including highly correlated variables in the analysis of the determinants of financial security. Factor analysis is used to reduce the number of variables without losing important information. Firstly, seventeen variables related to the financial security of all farms were assigned to six factors. These were income and self-financing of operations; area and subsidies; long-term investments and financial decisions consequences; economic size, taxes, and non-breeding livestocks; investment activity; and inputs, stock, short-term loans, and labor. Then, the determinants of the financial security of farms were e</w:t>
      </w:r>
    </w:p>
    <w:p>
      <w:pPr/>
      <w:r>
        <w:rPr>
          <w:b/>
        </w:rPr>
        <w:t>POSSIBLE 2024:</w:t>
      </w:r>
      <w:r>
        <w:t xml:space="preserve"> Factors influencing the reimbursement of cancer drugs in Europe: A scoping review — https://doi.org/10.1111/jep.14080</w:t>
      </w:r>
    </w:p>
    <w:p>
      <w:pPr/>
      <w:r>
        <w:rPr>
          <w:b/>
        </w:rPr>
        <w:t>Shared claim-specific concepts:</w:t>
      </w:r>
      <w:r>
        <w:t xml:space="preserve"> factors, influence, between; EU scope visible. This is a provisional connection, not an outcome finding.</w:t>
      </w:r>
    </w:p>
    <w:p>
      <w:pPr>
        <w:pStyle w:val="SourceNote"/>
      </w:pPr>
      <w:r>
        <w:rPr>
          <w:b/>
        </w:rPr>
        <w:t>Available abstract (not full text):</w:t>
      </w:r>
      <w:r>
        <w:t xml:space="preserve"> RATIONALE: Reimbursement process of oncology drugs in Europe occurs within a complex decision-making process that varies between Member States. Distinctions between the States trigger societal debates since it is necessary to balance access to medicines and health systems sustainability. AIMS AND OBJECTIVES: We aimed to review the evidence concerning factors associated with the reimbursement decision or Health Technology Agency recommendation of oncology drugs in Europe. METHODS: A systematic literature search was performed in two databases from inception to august 2023. Screening and data extraction were performed by pairs. RESULTS: Thirteen articles were included and encompassed data from 11 nations. Seven articles showed that cost-effective (C-E) drugs and lower Incremental Cost-Effectiveness Ratios (ICERs) had higher likelihood of reimbursement. Disease severity might influence the reimbursement decision with financial agreements. Improvement in clinical outcomes, substantial clinical benefit (p &lt; 0.01) or overall survival gains (p &lt; 0.05) were positively associated. Orphan drug designation impact varies between countries but positive decisions are usually achieved under specific conditions. Clinical and C-E uncertainty frequently led to reimbursement with financial agreements or outcomes-based conditions. Sociodemographic factors as: social health insurance system, higher </w:t>
      </w:r>
    </w:p>
    <w:p>
      <w:pPr/>
      <w:r>
        <w:rPr>
          <w:b/>
        </w:rPr>
        <w:t>POSSIBLE 2023:</w:t>
      </w:r>
      <w:r>
        <w:t xml:space="preserve"> A systematic review of environmental factors related to WNV circulation in European and Mediterranean countries — https://doi.org/10.1016/j.onehlt.2022.100478</w:t>
      </w:r>
    </w:p>
    <w:p>
      <w:pPr/>
      <w:r>
        <w:rPr>
          <w:b/>
        </w:rPr>
        <w:t>Shared claim-specific concepts:</w:t>
      </w:r>
      <w:r>
        <w:t xml:space="preserve"> factors, influence, between, significant, due; EU scope visible. This is a provisional connection, not an outcome finding.</w:t>
      </w:r>
    </w:p>
    <w:p>
      <w:pPr>
        <w:pStyle w:val="SourceNote"/>
      </w:pPr>
      <w:r>
        <w:rPr>
          <w:b/>
        </w:rPr>
        <w:t>Available abstract (not full text):</w:t>
      </w:r>
      <w:r>
        <w:t xml:space="preserve"> Introduction/objective: spp. are the main vectors, and birds its main vertebrate hosts. It can occasionally infect mammals, including humans. Different environmental factors can influence its distribution and transmission through its effects on vector or host populations. Our objective was to determine environmental factors associated with changes in vector distribution and WNV transmission in Europe and MR. Material &amp; methods: Systematic peer review of articles published between 2000 and 2020. We selected studies on WNV, and its vectors carried out in Europe and MR. The search included terms referring to climatic and environmental factors. Results: spp. was studied in 26 papers (40%), humans in 19 papers (29%) and host animals (mainly horses) in 16 papers (25%), whereas bird reservoirs were addressed in 5 studies (8%). A significant positive relationship was observed between changes in temperature and precipitation patterns and the epidemiology of WNV, although contrasting results were found among studies. Other factors positively related to WNV dynamics were the normalized difference vegetation index (NDVI] and expansion of anthropized habitats. Conclusion: The epidemiology of WNV seems to be related to climatic factors that are changing globally due to ongoing climate change. Unfortunately, the complete zoonotic cycle was not analyzed in most papers, making it difficult to d</w:t>
      </w:r>
    </w:p>
    <w:p>
      <w:pPr/>
      <w:r>
        <w:rPr>
          <w:b/>
        </w:rPr>
        <w:t>POSSIBLE 2023:</w:t>
      </w:r>
      <w:r>
        <w:t xml:space="preserve"> The Direct and Indirect Influences of Interrelated Regional-Level Sociodemographic Factors on Heat-Attributable Mortality in Europe: Insights for Adaptation Strategies — https://doi.org/10.1289/ehp11766</w:t>
      </w:r>
    </w:p>
    <w:p>
      <w:pPr/>
      <w:r>
        <w:rPr>
          <w:b/>
        </w:rPr>
        <w:t>Shared claim-specific concepts:</w:t>
      </w:r>
      <w:r>
        <w:t xml:space="preserve"> factors, between, significant; EU scope visible. This is a provisional connection, not an outcome finding.</w:t>
      </w:r>
    </w:p>
    <w:p>
      <w:pPr>
        <w:pStyle w:val="SourceNote"/>
      </w:pPr>
      <w:r>
        <w:rPr>
          <w:b/>
        </w:rPr>
        <w:t>Available abstract (not full text):</w:t>
      </w:r>
      <w:r>
        <w:t xml:space="preserve"> BACKGROUND: Heat is a significant cause of mortality, but impact patterns are heterogenous. Previous studies assessing such heterogeneity focused exclusively on risk rather than heat-attributable mortality burdens and assume predictors are independent. OBJECTIVES: We assessed how four interrelated regional-level sociodemographic predictors-education, life expectancy, the ratio of older to younger people (aging index), and relative income-influence heterogeneity in heat-attributable mortality burdens in Europe and then derived insights into adaptation strategies. METHODS: We extracted four outcomes from a temperature-mortality study covering 16 European countries: the rate of increase in mortality risk at moderate and extreme temperatures (moderate and extreme slope, respectively), the minimum mortality temperature percentile (MMTP), and the underlying mortality rate. We used structural equation modeling with country-level random effects to quantify the direct and indirect influences of the predictors on the outcomes. RESULTS: ). Relative income had relatively small, mixed influences. DISCUSSION: Our novel approach provided insights into actions for reducing the health impacts of heat. First, the results show the interrelations between possible vulnerability-generating mechanisms and suggest future research directions. Second, the findings point to the need for a dual approach t</w:t>
      </w:r>
    </w:p>
    <w:p>
      <w:pPr/>
      <w:r>
        <w:rPr>
          <w:b/>
        </w:rPr>
        <w:t>POSSIBLE 2022:</w:t>
      </w:r>
      <w:r>
        <w:t xml:space="preserve"> Factors influencing antimicrobial resistance in the European food system and potential leverage points for intervention: A participatory, One Health study — https://doi.org/10.1371/journal.pone.0263914</w:t>
      </w:r>
    </w:p>
    <w:p>
      <w:pPr/>
      <w:r>
        <w:rPr>
          <w:b/>
        </w:rPr>
        <w:t>Shared claim-specific concepts:</w:t>
      </w:r>
      <w:r>
        <w:t xml:space="preserve"> factors, number, between; EU scope visible. This is a provisional connection, not an outcome finding.</w:t>
      </w:r>
    </w:p>
    <w:p>
      <w:pPr>
        <w:pStyle w:val="SourceNote"/>
      </w:pPr>
      <w:r>
        <w:rPr>
          <w:b/>
        </w:rPr>
        <w:t>Available abstract (not full text):</w:t>
      </w:r>
      <w:r>
        <w:t xml:space="preserve"> INTRODUCTION: Antimicrobial resistance (AMR) is a global crisis that evolves from a complex system of factors. Understanding what factors interact is key to finding solutions. Our objective was to identify the factors influencing AMR in the European food system and places to intervene. MATERIALS AND METHODS: We conducted two workshops involving participants with diverse perspectives to identify the factors influencing AMR and leverage points (places) to target interventions. Transcripts were open coded for factors and connections, then transcribed into Vensim 8.0.4 to develop a causal loop diagram (CLD) and compute the number of feedback loops. Thematic analysis followed to describe AMR dynamics in Europe's food system and places for intervention. The CLD and themes were confirmed via participant feedback. RESULTS: Seventeen participants representing human, animal and agricultural sectors identified 91 CLD factors and 331 connections. Seven themes (e.g., social and economic conditions) describing AMR dynamics in Europe's food system, five 'overarching factors' that impact the entire CLD system (e.g., leadership) and fourteen places for intervention (e.g., consumer demand) emerged from workshop discussions. Most leverage points fell on highly networked feedback loops suggesting that intervening at these places may create unpredictable consequences. CONCLUSIONS: Our study produce</w:t>
      </w:r>
    </w:p>
    <w:p>
      <w:pPr/>
      <w:r>
        <w:rPr>
          <w:b/>
        </w:rPr>
        <w:t>POSSIBLE 2022:</w:t>
      </w:r>
      <w:r>
        <w:t xml:space="preserve"> INFLUENCE OF THE EUROPEAN INTEGRATION ON LINGUISTIC ASPECTS — https://doi.org/10.52058/2786-6165-2022-4(4)-8-21</w:t>
      </w:r>
    </w:p>
    <w:p>
      <w:pPr/>
      <w:r>
        <w:rPr>
          <w:b/>
        </w:rPr>
        <w:t>Shared claim-specific concepts:</w:t>
      </w:r>
      <w:r>
        <w:t xml:space="preserve"> factors, influence, between, federation, significant, union; EU scope visible. This is a provisional connection, not an outcome finding.</w:t>
      </w:r>
    </w:p>
    <w:p>
      <w:pPr>
        <w:pStyle w:val="SourceNote"/>
      </w:pPr>
      <w:r>
        <w:rPr>
          <w:b/>
        </w:rPr>
        <w:t>Available abstract (not full text):</w:t>
      </w:r>
      <w:r>
        <w:t xml:space="preserve"> The article deals with factors of linguistic integration and the role of the European Union in these processes.The issue of the influence of English loanwords on the Ukrainian linguistic picture of the world is under consideration.Linguistic policy aimed at preserving national identity acts as an opposition to integration.The European choice of Ukraine is conditioned by the awareness of integration as a factor contributing to state independence, national security, political stability, economic development, intellectual progress, and restoration of the country's European essence.The topic of language in modern conditions is significant and interesting within various disciplines of social and humanitarian knowledge: linguistics, sociolinguistics, ethnolinguistics, pedagogy and psychology, sociology, political science, ethnopolitical science.Language is a dominant factor in the development of any society.Ukraine's acquisition of associate membership in the European Federation of National Language Institutes (EFNIL) will significantly strengthen the position of the Ukrainian language as the state language and contribute to its prospective use as a mandatory language in EU countries.The main importance of linguistic identity is one of the key factors in the formation of a single political community capable of developing a common national course, the clear and consistent observance o</w:t>
      </w:r>
    </w:p>
    <w:p>
      <w:pPr/>
      <w:r>
        <w:rPr>
          <w:b/>
        </w:rPr>
        <w:t>POSSIBLE 2022:</w:t>
      </w:r>
      <w:r>
        <w:t xml:space="preserve"> Modelling site response at regional scale for the 2020 European Seismic Risk Model (ESRM20) — https://doi.org/10.1007/s10518-022-01526-5</w:t>
      </w:r>
    </w:p>
    <w:p>
      <w:pPr/>
      <w:r>
        <w:rPr>
          <w:b/>
        </w:rPr>
        <w:t>Shared claim-specific concepts:</w:t>
      </w:r>
      <w:r>
        <w:t xml:space="preserve"> influence, stations; EU scope visible. This is a provisional connection, not an outcome finding.</w:t>
      </w:r>
    </w:p>
    <w:p>
      <w:pPr>
        <w:pStyle w:val="SourceNote"/>
      </w:pPr>
      <w:r>
        <w:rPr>
          <w:b/>
        </w:rPr>
        <w:t>Available abstract (not full text):</w:t>
      </w:r>
      <w:r>
        <w:t xml:space="preserve"> Abstract Quantitative estimation of seismic risk over a region requires both an underlying probabilistic seismic hazard model and a means to characterise shallow site response over a large scale. The 2020 European Seismic Risk Model (ESRM20) builds on the 2020 European Seismic Hazard Model (ESHM20), requiring additional information to firstly parameterise the local site condition across all of Europe, and subsequently determine its influence on the prediction of seismic ground motion. Initially, a harmonised digital geological database for Europe is compiled, alongside a model of topographic/bathymetric elevation and a database of 30 m averaged shearwave velocity measurements ( $$V_{S30}$$ VS30 ), in order to produce separate 30 arc-second maps of inferred $$V_{S30}$$ VS30 based on topography and on geology. We then capitalise on a large database of seismic recording stations in Europe for which site-to-site ground motion residuals ( $$\delta S2S_{S}$$ δS2SS ) have been determined with respect to the shallow crustal ground motion model used in the ESHM20. These residuals allow us to incorporate site amplification functions into the European GMM calibrated upon either observed or inferred $$V_{S30}$$ VS30 , or on the European geology and topography models. We present the resulting pan-European seismic site amplification model and assess its impact on seismic hazard and risk comp</w:t>
      </w:r>
    </w:p>
    <w:p>
      <w:pPr/>
      <w:r>
        <w:rPr>
          <w:b/>
        </w:rPr>
        <w:t>POSSIBLE 2022:</w:t>
      </w:r>
      <w:r>
        <w:t xml:space="preserve"> Rural Specificity as a Factor Influencing Energy Poverty in European Union Countries — https://doi.org/10.3390/en15155463</w:t>
      </w:r>
    </w:p>
    <w:p>
      <w:pPr/>
      <w:r>
        <w:rPr>
          <w:b/>
        </w:rPr>
        <w:t>Shared claim-specific concepts:</w:t>
      </w:r>
      <w:r>
        <w:t xml:space="preserve"> influence, between, union; EU scope visible. This is a provisional connection, not an outcome finding.</w:t>
      </w:r>
    </w:p>
    <w:p>
      <w:pPr>
        <w:pStyle w:val="SourceNote"/>
      </w:pPr>
      <w:r>
        <w:rPr>
          <w:b/>
        </w:rPr>
        <w:t>Available abstract (not full text):</w:t>
      </w:r>
      <w:r>
        <w:t xml:space="preserve"> This study focuses on the empirical verification of the influence of rural specificity on energy poverty across European Union countries, in the period 2010–2020. The research aimed at specifying the role of the agricultural character of a country, as well as economic disparities between rural and urban areas, in inducing problems of energy affordability. Based on the literature consensus about the most important determinants of energy poverty, namely income, energy prices, energy productivity, quality of dwellings, and climate conditions, a standard model was constructed concerning the role of the rural character of an economy, with its traditional features such as agricultural employment, and indices of rural–urban divide, in terms of median income and material poverty. Models for panel data with fixed effects were estimated. The results indicate agricultural employment as a factor increasing the subjective energy poverty of households. However, the scale of rural settlement cannot be specified as a factor determining energy poverty, neither concerning energy consumption nor self-reported difficulties. This suggests that only the traditional agricultural character of rural areas negatively influences energy poverty. The processes of gentrification of rural areas observable in many EU countries changes the typical pattern of the identification of villagers with the most exclud</w:t>
      </w:r>
    </w:p>
    <w:p>
      <w:pPr/>
      <w:r>
        <w:rPr>
          <w:b/>
        </w:rPr>
        <w:t>POSSIBLE 2022:</w:t>
      </w:r>
      <w:r>
        <w:t xml:space="preserve"> The status of implementation of photovoltaic systems and its influencing factors in European countries — https://doi.org/10.1002/pip.3613</w:t>
      </w:r>
    </w:p>
    <w:p>
      <w:pPr/>
      <w:r>
        <w:rPr>
          <w:b/>
        </w:rPr>
        <w:t>Shared claim-specific concepts:</w:t>
      </w:r>
      <w:r>
        <w:t xml:space="preserve"> factors, number, between, significant, due; EU scope visible. This is a provisional connection, not an outcome finding.</w:t>
      </w:r>
    </w:p>
    <w:p>
      <w:pPr>
        <w:pStyle w:val="SourceNote"/>
      </w:pPr>
      <w:r>
        <w:rPr>
          <w:b/>
        </w:rPr>
        <w:t>Available abstract (not full text):</w:t>
      </w:r>
      <w:r>
        <w:t xml:space="preserve"> Abstract This paper gives an overview of the status of implementation of photovoltaic (PV) systems among 34 member countries involved in the COST Action PEARL PV in the year 2018. Besides this, influencing factors that have an impact on the implementation of PV systems in each country have been assessed. The implementation of PV systems varies in European countries due to differences in solar irradiation and weather conditions, electricity consumption, national economic situation, and governmental approaches to promote PV. For this paper, data sets covering, among others, numbers installed PV systems, and the variables mentioned above, were collected, processed, and synchronized. Subsequently, relations between data were analyzed by geographic mapping and mutual correlations. The 34 countries evaluated produced together 120 TWh of PV electricity in 2018. It was notable that Germany produced the highest amount (45 TWh) and has the highest share (8.4%) of PV in its electricity generation. Weak correlations were found between the different variables and the gross domestic product, annual global irradiation, number of subsidy schemes, cumulative installed capacity, annual electricity generated by PV, the share of RE, and share of PV. Logically, as expected, strong correlations (R2 = 0.9) were found between the number of inhabitants and the annual electricity production and consumpt</w:t>
      </w:r>
    </w:p>
    <w:p>
      <w:pPr>
        <w:pStyle w:val="Heading2"/>
      </w:pPr>
      <w:r>
        <w:t>825. Dynamics of the land use, land use change, and forestry sink in the European Union: the impacts of energy and climate targets for 2030</w:t>
      </w:r>
    </w:p>
    <w:p>
      <w:pPr>
        <w:pStyle w:val="SourceNote"/>
      </w:pPr>
      <w:r>
        <w:rPr>
          <w:b/>
        </w:rPr>
        <w:t>Original source (2016):</w:t>
      </w:r>
      <w:r>
        <w:t xml:space="preserve"> https://doi.org/10.1007/s10584-016-1729-7</w:t>
      </w:r>
    </w:p>
    <w:p>
      <w:pPr/>
      <w:r>
        <w:t>Original wording (abstract; indexed_source_text_not_full_document_verified): We show that implementing a 40 % GHG emission reduction target by 2030 may only have a small negative impact on the domestic LULUCF sink if the additional biomass demand for energy is mostly met through ligno-cellulosic energy crops rather than forest removals. However, if the increased biomass demand were met through higher rates of forest harvest removals, a more negative impact on the LULUCF sink could be expected.</w:t>
      </w:r>
    </w:p>
    <w:p>
      <w:pPr/>
      <w:r>
        <w:rPr>
          <w:b/>
        </w:rPr>
        <w:t>POSSIBLE 2026:</w:t>
      </w:r>
      <w:r>
        <w:t xml:space="preserve"> European environmental sustainability through unraveling the nexus of total energy consumption, value addition, and GHG emissions in agriculture — https://doi.org/10.1177/0958305x261438604</w:t>
      </w:r>
    </w:p>
    <w:p>
      <w:pPr/>
      <w:r>
        <w:rPr>
          <w:b/>
        </w:rPr>
        <w:t>Shared claim-specific concepts:</w:t>
      </w:r>
      <w:r>
        <w:t xml:space="preserve"> show, implementing, ghg, emission, negative, domestic; EU scope visible. This is a provisional connection, not an outcome finding.</w:t>
      </w:r>
    </w:p>
    <w:p>
      <w:pPr>
        <w:pStyle w:val="SourceNote"/>
      </w:pPr>
      <w:r>
        <w:rPr>
          <w:b/>
        </w:rPr>
        <w:t>Available abstract (not full text):</w:t>
      </w:r>
      <w:r>
        <w:t xml:space="preserve"> Agriculture is a critical sector contributing significantly to greenhouse gas (GHG) emissions in Europe, primarily through land-use change, fertilizer application, and energy-intensive practices. This study provides an in-depth exploration of the factors influencing GHG emissions from agriculture in Europe (30 countries) from 1995 to 2022, utilizing a diverse range of variables, including agricultural value added (AVA), cereal yield (CY), total agricultural land (TAL), and total energy consumption agriculture (EGYTA). By implementing a composite index derived from principal component analysis and two interaction terms (AVA*CY and AVA*EGYTA), the study provides a comprehensive understanding of the relationships between these variables. The cross-sectionally augmented autoregressive distributed lag technique elucidates the dynamics influencing agricultural GHG (A-GHG) emissions. Key findings indicate that in the long run, a 1% increase in AVA is associated with approximately a 0.07% decrease in A-GHG emissions, while TAL exhibits a positive elasticity of 0.334. CY, EGYTA, and AVA*CY also positively correlate with A-GHG emissions, contributing to elevated GHG emission levels in the sector. It implies that increasing reliance on fertilizers and escalating energy consumption in modern farming are identified as significant concerns. Conversely, AVA, gross domestic product, and AVA*EG</w:t>
      </w:r>
    </w:p>
    <w:p>
      <w:pPr/>
      <w:r>
        <w:rPr>
          <w:b/>
        </w:rPr>
        <w:t>POSSIBLE 2026:</w:t>
      </w:r>
      <w:r>
        <w:t xml:space="preserve"> Decarbonizing European refineries: GHG accounting framework and potential assessment for co-processed biofuels — https://doi.org/10.1016/j.enconman.2026.122090</w:t>
      </w:r>
    </w:p>
    <w:p>
      <w:pPr/>
      <w:r>
        <w:rPr>
          <w:b/>
        </w:rPr>
        <w:t>Shared claim-specific concepts:</w:t>
      </w:r>
      <w:r>
        <w:t xml:space="preserve"> ghg, reduction, energy; EU scope visible. This is a provisional connection, not an outcome finding.</w:t>
      </w:r>
    </w:p>
    <w:p>
      <w:pPr>
        <w:pStyle w:val="SourceNote"/>
      </w:pPr>
      <w:r>
        <w:rPr>
          <w:b/>
        </w:rPr>
        <w:t>Available abstract (not full text):</w:t>
      </w:r>
      <w:r>
        <w:t xml:space="preserve"> Co-processing of biogenic feedstocks in existing crude oil refineries is a promising, near-term option to decarbonize transport fuels by using existing fossil conversion infrastructure. This study quantifies the life cycle greenhouse gas (GHG) emissions of co-processed biofuels under an average European refinery configuration, using a policy-compliant approach consistent with the EU Renewable Energy Directive (RED), which has been integrated with a refinery-wide mass and energy balance model. Four case studies were selected: used cooking oil (UCO) co-processing in hydrotreating (HT) and hydrocracking (HC) conversion routes, and fast pyrolysis oil (FPO) and stabilized/hydrotreated pyrolysis oil (SPO/HDO) co-processing in fluid catalytic cracking (FCC) conversion pathways. Biogenic feed shares of 5–20 wt% at the conversion unit inlet were modelled, together with a full mass and energy balance for all pathways, derived to develop a comprehensive LCI for each pathway. Considered products comprised biogenic diesel, biogenic gasoline and biogenic kerosene. All pathways achieved substantial GHG savings relative to fossil fuels, with carbon intensities ranging from 3.9 to 25.8 g CO 2 e MJ −1 and GHG emissions savings of 73–96 %, thus remaining well above the 65 % RED minimum GHG emissions reduction threshold. UCO hydroprocessing delivered the lowest carbon intensities, while FCC pathwa</w:t>
      </w:r>
    </w:p>
    <w:p>
      <w:pPr/>
      <w:r>
        <w:rPr>
          <w:b/>
        </w:rPr>
        <w:t>POSSIBLE 2025:</w:t>
      </w:r>
      <w:r>
        <w:t xml:space="preserve"> Implementing the GHG Protocol - advantages of implementation — https://doi.org/10.57263/jmq.04.01.20252</w:t>
      </w:r>
    </w:p>
    <w:p>
      <w:pPr/>
      <w:r>
        <w:rPr>
          <w:b/>
        </w:rPr>
        <w:t>Shared claim-specific concepts:</w:t>
      </w:r>
      <w:r>
        <w:t xml:space="preserve"> implementing, ghg; EU scope not established. This is a provisional connection, not an outcome finding.</w:t>
      </w:r>
    </w:p>
    <w:p>
      <w:pPr>
        <w:pStyle w:val="SourceNote"/>
      </w:pPr>
      <w:r>
        <w:rPr>
          <w:b/>
        </w:rPr>
        <w:t>Available abstract (not full text):</w:t>
      </w:r>
      <w:r>
        <w:t xml:space="preserve"> Climate change has become a major global concern, and companies across all industries are facing increasing pressure to reduce their greenhouse gas (GHG) emissions. The Greenhouse Gas Protocol is a voluntary international standard widely used to measure and report organizations’ GHG emissions. Essentially, the GHG Protocol provides a “common language” and a set of clear methodologies by which companies can calculate their carbon footprint consistently and transparently, dividing emissions into Scope 1 (direct, from owned/operated sources), Scope 2 (indirect from purchased electricity and heating and cooling) and Scope 3 (all other indirect emissions in the value chain). This seemingly bureaucratic reporting standard can become a valuable tool for corporate efficiency, innovation and sustainability.</w:t>
      </w:r>
    </w:p>
    <w:p>
      <w:pPr/>
      <w:r>
        <w:rPr>
          <w:b/>
        </w:rPr>
        <w:t>POSSIBLE 2024:</w:t>
      </w:r>
      <w:r>
        <w:t xml:space="preserve"> Transformation of Peatland Management Toward Climate Targets in Europe — https://doi.org/10.34133/ehs.0239</w:t>
      </w:r>
    </w:p>
    <w:p>
      <w:pPr/>
      <w:r>
        <w:rPr>
          <w:b/>
        </w:rPr>
        <w:t>Shared claim-specific concepts:</w:t>
      </w:r>
      <w:r>
        <w:t xml:space="preserve"> implementing, emission, reduction, target, however; EU scope visible. This is a provisional connection, not an outcome finding.</w:t>
      </w:r>
    </w:p>
    <w:p>
      <w:pPr>
        <w:pStyle w:val="SourceNote"/>
      </w:pPr>
      <w:r>
        <w:rPr>
          <w:b/>
        </w:rPr>
        <w:t>Available abstract (not full text):</w:t>
      </w:r>
      <w:r>
        <w:t xml:space="preserve"> Agriculture and forestry on drained peatlands contribute substantial amounts of anthropogenic greenhouse gas emissions. The transformation of peatland management toward “wet” land use takes on an increasingly critical role in achieving zero net carbon emissions by 2050. Yet, the translation of European Union climate target ambitions into peatland relevancy on emission reduction remains unclear. The study presents an analysis of the current status and future pathways of peatland transformation in European countries. Our data are collected by a survey with 60 experts in 8 countries and a workshop with 16 experts in 3 countries. The analysis shows expected trends for drained peatlands, indicating a shift from drainage-based cropland to grassland or wetland use. Although these trends support emission reduction, nations with lucrative peatland areas are likely to resist shifting to less profitable land uses. Three categories of management practices were identified based on water level. Among them, grassland paludiculture and grassland with elevated water tables are appreciated by experts. The transition pathways for Finland, Germany, and the Netherlands reflect the consensus that peatland emissions have to be reduced drastically. However, differences in soil types, geoclimatic zones, and diverse management approaches among countries pose a challenge when assessing and implementing t</w:t>
      </w:r>
    </w:p>
    <w:p>
      <w:pPr/>
      <w:r>
        <w:rPr>
          <w:b/>
        </w:rPr>
        <w:t>POSSIBLE 2024:</w:t>
      </w:r>
      <w:r>
        <w:t xml:space="preserve"> A commentary comparing the GHG Protocol and E-liability approaches to corporate GHG accounting and reporting — https://doi.org/10.1080/17583004.2024.2397498</w:t>
      </w:r>
    </w:p>
    <w:p>
      <w:pPr/>
      <w:r>
        <w:rPr>
          <w:b/>
        </w:rPr>
        <w:t>Shared claim-specific concepts:</w:t>
      </w:r>
      <w:r>
        <w:t xml:space="preserve"> implementing, ghg, emission, target, however; EU scope not established. This is a provisional connection, not an outcome finding.</w:t>
      </w:r>
    </w:p>
    <w:p>
      <w:pPr>
        <w:pStyle w:val="SourceNote"/>
      </w:pPr>
      <w:r>
        <w:rPr>
          <w:b/>
        </w:rPr>
        <w:t>Available abstract (not full text):</w:t>
      </w:r>
      <w:r>
        <w:t xml:space="preserve"> E-liability is a GHG data management approach that has been proposed as an alternative to the GHG Protocol corporate standards, already widely adopted by businesses and voluntary and regulatory programs. E-liability resembles the GHG Protocol in its methods for calculating and allocating emissions from suppliers. But while the GHG Protocol takes a cradle-to-grave approach to corporate inventories, E-liability focuses narrowly on cradle-to-gate and direct emissions. Leaving out information on downstream emissions could misinform GHG management decisions, limiting E-liability’s usefulness for comprehensive corporate GHG management, target setting, risk assessments and disclosures. The E-liability approach offloads emission liabilities to downstream customers potentially leaving them responsible for the burden of managing them. E-liability aims to deliver mutually exclusive emissions data so that organizations do not multi-count emissions across value chains. But whether multi-counting matters depends on the goal: whether it is to produce a mutually exclusive corporate GHG liabilities report, or to strategically manage and reduce emissions across value chains. E-liability’s use of primary data and mutually exclusive emissions accounting could improve data quality and support carbon pricing and tariffs. However, implementing E-liability would require broad adoption and that would l</w:t>
      </w:r>
    </w:p>
    <w:p>
      <w:pPr/>
      <w:r>
        <w:rPr>
          <w:b/>
        </w:rPr>
        <w:t>POSSIBLE 2023:</w:t>
      </w:r>
      <w:r>
        <w:t xml:space="preserve"> Impact of Key Drivers on Energy Intensity and GHG Emissions in Manufacturing in the Baltic States — https://doi.org/10.3390/su15043330</w:t>
      </w:r>
    </w:p>
    <w:p>
      <w:pPr/>
      <w:r>
        <w:rPr>
          <w:b/>
        </w:rPr>
        <w:t>Shared claim-specific concepts:</w:t>
      </w:r>
      <w:r>
        <w:t xml:space="preserve"> ghg, energy; EU scope visible. This is a provisional connection, not an outcome finding.</w:t>
      </w:r>
    </w:p>
    <w:p>
      <w:pPr>
        <w:pStyle w:val="SourceNote"/>
      </w:pPr>
      <w:r>
        <w:rPr>
          <w:b/>
        </w:rPr>
        <w:t>Available abstract (not full text):</w:t>
      </w:r>
      <w:r>
        <w:t xml:space="preserve"> The improvement in energy efficiency (EE) and increasing consumption of renewable energy sources (RES) in manufacturing play an important role in pursuing sustainable development in the Baltic States and contribute to the transition to a low-carbon economy. This paper presents the results of a detailed analysis of the channel through which EE, along with structural activity changes, passes energy intensity and total energy savings and in combination with other key drivers results in reductions in greenhouse gas (GHG) emissions in manufacturing in Estonia, Latvia, and Lithuania during the period 2010–2020, taking into account the role of transformations in the energy and climate framework of the European Union (EU). The Fisher Ideal Index, the Kaya identity, the Logarithmic Mean Divisia Index (LMDI), and comparative analysis methods are used. The results of the impact analysis of key drivers on energy intensity showed different contributions towards improvements in EE and structural activity changes to changes in energy intensity in manufacturing, which decreased by 53.1% in Estonia, by 30.5% in Lithuania, and by 16.5% in Latvia. The dominant role of EE improvements on total energy savings is identified. The results of the GHG decomposition analysis showed that because of improvements in energy intensity, reductions in the share of fossil fuels, and increases in labour productiv</w:t>
      </w:r>
    </w:p>
    <w:p>
      <w:pPr/>
      <w:r>
        <w:rPr>
          <w:b/>
        </w:rPr>
        <w:t>POSSIBLE 2023:</w:t>
      </w:r>
      <w:r>
        <w:t xml:space="preserve"> Empirical Assessment of Carbon Reduction and Energy Transition Targets of European Companies — https://doi.org/10.2478/picbe-2023-0067</w:t>
      </w:r>
    </w:p>
    <w:p>
      <w:pPr/>
      <w:r>
        <w:rPr>
          <w:b/>
        </w:rPr>
        <w:t>Shared claim-specific concepts:</w:t>
      </w:r>
      <w:r>
        <w:t xml:space="preserve"> show, reduction, energy; EU scope visible. This is a provisional connection, not an outcome finding.</w:t>
      </w:r>
    </w:p>
    <w:p>
      <w:pPr>
        <w:pStyle w:val="SourceNote"/>
      </w:pPr>
      <w:r>
        <w:rPr>
          <w:b/>
        </w:rPr>
        <w:t>Available abstract (not full text):</w:t>
      </w:r>
      <w:r>
        <w:t xml:space="preserve"> Abstract The paper presents an analysis of the carbon reduction and energy transition targets set by all companies included in the STOXX All Europe 100 index. This is an emerging topic, and the scientific literature is scarce. We employ a quantitative research method, as we extract by hand the targets from various sources: corporate annual reports, Refinitiv Database, Science Based Targets etc. The research question is: Which are the directions of corporate European strategies regarding carbon emissions and reduction targets? The total number of emissions reduction targets in the sample is 427, while renewable energy targets are 89, efficiency targets are 33, and electric vehicle adoption targets are 29. The analysis reveals that most of the targets are set for a short or medium time frame. Also, most of them are expressed in absolute terms and some of them have already been achieved. The research has implications for policy setting, as we show that the regulations should be an incentive for companies to strive to achieve meaningful targets. Thus, the results show that longer term targets are more difficult to track, and progress is less disclosed in the annual reports. The countries in which the sample companies are headquartered are not yet on track to achieve the goals of the Paris Agreement, which means that environmental and disclosure policies need to be improved.</w:t>
      </w:r>
    </w:p>
    <w:p>
      <w:pPr/>
      <w:r>
        <w:rPr>
          <w:b/>
        </w:rPr>
        <w:t>POSSIBLE 2023:</w:t>
      </w:r>
      <w:r>
        <w:t xml:space="preserve"> Assessing WHO2021 air quality guideline levels in Europe: Population exposure and PM2.5 reduction potential — https://doi.org/10.5194/egusphere-egu23-15917</w:t>
      </w:r>
    </w:p>
    <w:p>
      <w:pPr/>
      <w:r>
        <w:rPr>
          <w:b/>
        </w:rPr>
        <w:t>Shared claim-specific concepts:</w:t>
      </w:r>
      <w:r>
        <w:t xml:space="preserve"> implementing, emission, reduction, however; EU scope visible. This is a provisional connection, not an outcome finding.</w:t>
      </w:r>
    </w:p>
    <w:p>
      <w:pPr>
        <w:pStyle w:val="SourceNote"/>
      </w:pPr>
      <w:r>
        <w:rPr>
          <w:b/>
        </w:rPr>
        <w:t>Available abstract (not full text):</w:t>
      </w:r>
      <w:r>
        <w:t xml:space="preserve"> Although anthropogenic emissions have decreased during the last two decades, air pollution is still problematic in many regions in Europe. In 2021, the World Health Organisation has released updated air quality guideline levels that base on newest medical research and have drastically decreased in comparison to the previous levels, except for SO2. These levels reflect the minimum concentration for which evidence of adverse health effects have been found. This study analyses the air quality in Europe using simulations by EURAD-IM for the year 2016 with optimized emissions to evaluate guideline exceedances for PM2.5, NO2, and O3. All air pollutant concentrations in Europe exceed the WHO2021 annual guideline levels by a large amount. High PM2.5 and O3 concentrations are homogeneously distributed across Europe with 99 % and 100 % of the EU38 population (European Union and eleven other European states) exposed to concentrations above the guideline levels. High NO2 concentrations are linked to densely populated areas. However, 61% of the EU38 population is exposed to concentrations above the guideline level. For PM2.5, the effect of different aerosol classes on the bulk mass and different PM reduction scenarios are analysed. NO3- shows the largest contribution to total PM2.5 while primary anthropogenic aerosols are mainly responsible for extremely high PM2.5 concentrations of up to 3</w:t>
      </w:r>
    </w:p>
    <w:p>
      <w:pPr/>
      <w:r>
        <w:rPr>
          <w:b/>
        </w:rPr>
        <w:t>POSSIBLE 2022:</w:t>
      </w:r>
      <w:r>
        <w:t xml:space="preserve"> How COVID-19 Affected GHG Emissions of Ferries in Europe — https://doi.org/10.3390/su14095287</w:t>
      </w:r>
    </w:p>
    <w:p>
      <w:pPr/>
      <w:r>
        <w:rPr>
          <w:b/>
        </w:rPr>
        <w:t>Shared claim-specific concepts:</w:t>
      </w:r>
      <w:r>
        <w:t xml:space="preserve"> ghg, reduction, additional; EU scope visible. This is a provisional connection, not an outcome finding.</w:t>
      </w:r>
    </w:p>
    <w:p>
      <w:pPr>
        <w:pStyle w:val="SourceNote"/>
      </w:pPr>
      <w:r>
        <w:rPr>
          <w:b/>
        </w:rPr>
        <w:t>Available abstract (not full text):</w:t>
      </w:r>
      <w:r>
        <w:t xml:space="preserve"> Unprecedented socioeconomic conditions during the COVID-19 pandemic impacted shipping. We combined ferry CO2 emissions in Europe (from the EU-MRV) with port call data and vessel parameters, and analysed them using mixed-effects linear models with interactions. We found a generalized reduction in unitary emissions in 2020, confirming its causal relation with COVID-19. Furthermore, for larger ferries, additional and COVID-19-related reductions between 14% and 31% occurred, with the larger reductions for those built before 1999. Ferries operating in the Baltic and Mediterranean Seas experienced comparable reductions in their unitary emissions, but in the North Sea per-ship emissions decreased by an additional 18%. Per-ship emissions at berth, while showing increases or decreases depending on ferry type, did not significantly change at the fleet level. We believe that our methodology may help assess the progress of shipping toward decarbonisation in the presence of external shocks.</w:t>
      </w:r>
    </w:p>
    <w:p>
      <w:pPr/>
      <w:r>
        <w:rPr>
          <w:b/>
        </w:rPr>
        <w:t>POSSIBLE 2022:</w:t>
      </w:r>
      <w:r>
        <w:t xml:space="preserve"> Literature review on policies to mitigate GHG emissions for cement and concrete — https://doi.org/10.1016/j.resconrec.2022.106278</w:t>
      </w:r>
    </w:p>
    <w:p>
      <w:pPr/>
      <w:r>
        <w:rPr>
          <w:b/>
        </w:rPr>
        <w:t>Shared claim-specific concepts:</w:t>
      </w:r>
      <w:r>
        <w:t xml:space="preserve"> ghg, emission, reduction, energy; EU scope not established. This is a provisional connection, not an outcome finding.</w:t>
      </w:r>
    </w:p>
    <w:p>
      <w:pPr>
        <w:pStyle w:val="SourceNote"/>
      </w:pPr>
      <w:r>
        <w:rPr>
          <w:b/>
        </w:rPr>
        <w:t>Available abstract (not full text):</w:t>
      </w:r>
      <w:r>
        <w:t xml:space="preserve"> The production and use of cement, the binding agent in concrete, emits seven percent of global greenhouse gas emissions annually. Achieving climate change mitigation targets, such as those proposed in the Paris Agreement, requires emission reductions from this sector. The body of research on technical solutions to cement and concrete decarbonization is wide, but technical measures must be coupled with effective policy to achieve decarbonization. This study undertakes a review of previous research on cement and concrete decarbonization and analyzes the most common proposed measures along their level of action, involved stakeholders, barriers to implementation, and coordinated policy actions. The review yielded 37 studies from peer-reviewed articles and technical reports. Analysis showed consensus on the primary technical measures to decarbonize. For cement production, measures include (I) improved energy efficiency, (II) fuel switching, (III) carbon capture utilization and storage, and (IV) reduction of the clinker-to-cement ratio. For concrete production and its end-uses common proposed measures include (V) alternative binders, (VI) material and construction efficiency and (VII) CO2 uptake by concrete. While the literature shows an emerging consensus around technical solutions for decarbonization, there was less clarity about preferred policy solutions and key barriers. The rev</w:t>
      </w:r>
    </w:p>
    <w:p>
      <w:pPr/>
      <w:r>
        <w:rPr>
          <w:b/>
        </w:rPr>
        <w:t>POSSIBLE 2022:</w:t>
      </w:r>
      <w:r>
        <w:t xml:space="preserve"> Balancing GHG mitigation and land-use conflicts: Alternative Northern European energy system scenarios — https://doi.org/10.1016/j.apenergy.2022.118557</w:t>
      </w:r>
    </w:p>
    <w:p>
      <w:pPr/>
      <w:r>
        <w:rPr>
          <w:b/>
        </w:rPr>
        <w:t>Shared claim-specific concepts:</w:t>
      </w:r>
      <w:r>
        <w:t xml:space="preserve"> show, ghg, target, energy, however; EU scope visible. This is a provisional connection, not an outcome finding.</w:t>
      </w:r>
    </w:p>
    <w:p>
      <w:pPr>
        <w:pStyle w:val="SourceNote"/>
      </w:pPr>
      <w:r>
        <w:rPr>
          <w:b/>
        </w:rPr>
        <w:t>Available abstract (not full text):</w:t>
      </w:r>
      <w:r>
        <w:t xml:space="preserve"> Long-term power market outlooks suggest a rapid increase in renewable energy deployment as a main solution to greenhouse gas mitigation in the Northern European energy system. However, the consequential area requirement is a non-techno-economic aspect that currently is omitted by many energy system optimization models. This study applies modeling to generate alternatives (MGA) technique to the Balmorel energy system model to address spatial conflicts related to increased renewable energy deployment. The approach searches for alternative solutions that minimize land-use conflicts while meeting the low-carbon target, by allowing a 1% to 15% increase in system costs compared to the least-cost solution. Two alternative objectives are defined to reflect various aspects of spatial impact. The results show that the least-cost solution requires 1.2%–3.6% of the land in the modeled countries in 2040 for onshore wind and solar PV installations. A 10% increase in costs can reduce the required land area by 58% by relying more on offshore wind. Nuclear energy may also be an option if both onshore and offshore areas are to be reduced, or in a less flexible system. Both offshore wind and nuclear energy technologies are associated with higher risks and pose uncertainties in terms of reaching the climate targets in time. The changes in costs and required land areas imply significantly higher an</w:t>
      </w:r>
    </w:p>
    <w:p>
      <w:pPr/>
      <w:r>
        <w:rPr>
          <w:b/>
        </w:rPr>
        <w:t>POSSIBLE 2022:</w:t>
      </w:r>
      <w:r>
        <w:t xml:space="preserve"> Targeted, Implementable, and Practical Energy Relief Measures for Households in Europe — https://doi.org/10.5089/9798400227400.001</w:t>
      </w:r>
    </w:p>
    <w:p>
      <w:pPr/>
      <w:r>
        <w:rPr>
          <w:b/>
        </w:rPr>
        <w:t>Shared claim-specific concepts:</w:t>
      </w:r>
      <w:r>
        <w:t xml:space="preserve"> energy, however; EU scope visible. This is a provisional connection, not an outcome finding.</w:t>
      </w:r>
    </w:p>
    <w:p>
      <w:pPr>
        <w:pStyle w:val="SourceNote"/>
      </w:pPr>
      <w:r>
        <w:rPr>
          <w:b/>
        </w:rPr>
        <w:t>Available abstract (not full text):</w:t>
      </w:r>
      <w:r>
        <w:t xml:space="preserve"> The recommended way of helping households during the ongoing European energy crisis is to allow price signals to operate freely while providing targeted compensation to the vulnerable. In practice, however, institutional, political, and technical constraints have led many European governments to adopt broad, price-suppressing measures, which impede the adjustment in demand, have high fiscal costs, and widen cross-country gaps in prices. This paper focuses on easy-to-implement, second-best policies. Bonuses or rebates on energy bills (that are not linked to the current volume of consumption) or block tariffs are simple options which would improve on the current policy design in many countries. To avoid stoking inflation, fiscal policy should not add to aggregate demand, so relief for energy bills should be targeted and coupled with offsetting fiscal measures. One option is to reclaim the relief from the better-off through income taxation, which would also make support more progressive.</w:t>
      </w:r>
    </w:p>
    <w:p>
      <w:pPr>
        <w:pStyle w:val="Heading2"/>
      </w:pPr>
      <w:r>
        <w:t>826. Electromobility Scenarios: Research Findings to Inform Policy</w:t>
      </w:r>
    </w:p>
    <w:p>
      <w:pPr>
        <w:pStyle w:val="SourceNote"/>
      </w:pPr>
      <w:r>
        <w:rPr>
          <w:b/>
        </w:rPr>
        <w:t>Original source (2016):</w:t>
      </w:r>
      <w:r>
        <w:t xml:space="preserve"> https://doi.org/10.1016/j.trpro.2016.05.346</w:t>
      </w:r>
    </w:p>
    <w:p>
      <w:pPr/>
      <w:r>
        <w:t>Original wording (abstract; indexed_source_text_not_full_document_verified): We also present the cost-benefit-analysis of the modelling results to assess the different scenarios and to show variation between regions regarding profitability of alternative technological or political support and interventions. The model allows calculating the market diffusion of alternative powertrain technologies to the European market until 2030, taking into account different taxation schemes, incentives and other country-specific characteristics.</w:t>
      </w:r>
    </w:p>
    <w:p>
      <w:pPr/>
      <w:r>
        <w:rPr>
          <w:b/>
        </w:rPr>
        <w:t>POSSIBLE 2024:</w:t>
      </w:r>
      <w:r>
        <w:t xml:space="preserve"> Assessing pesticide residues occurrence and risks in water systems: A Pan-European and Argentina perspective — https://doi.org/10.1016/j.watres.2024.121419</w:t>
      </w:r>
    </w:p>
    <w:p>
      <w:pPr/>
      <w:r>
        <w:rPr>
          <w:b/>
        </w:rPr>
        <w:t>Shared claim-specific concepts:</w:t>
      </w:r>
      <w:r>
        <w:t xml:space="preserve"> present, between, regions; EU scope visible. This is a provisional connection, not an outcome finding.</w:t>
      </w:r>
    </w:p>
    <w:p>
      <w:pPr>
        <w:pStyle w:val="SourceNote"/>
      </w:pPr>
      <w:r>
        <w:rPr>
          <w:b/>
        </w:rPr>
        <w:t>Available abstract (not full text):</w:t>
      </w:r>
      <w:r>
        <w:t xml:space="preserve"> Freshwater ecosystems face a particularly high risk of biodiversity loss compared to marine and terrestrial systems. The use of pesticides in agricultural fields is recognized as a relevant stressor for freshwater environments, exerting a negative impact worldwide on the overall status and health of the freshwater communities. In the present work, part of the Horizon 2020 funded SPRINT project, the occurrence of 193 pesticide residues was investigated in 64 small water bodies of distinct typology (creeks, streams, channels, ditches, rivers, lakes, ponds and reservoirs), located in regions with high agricultural activity in 10 European countries and in Argentina. Mixtures of pesticide residues were detected in all water bodies (20, median; 8-40 min-max). Total pesticide levels found ranged between 6.89 and 5860 ng/L, highlighting herbicides as the dominant type of pesticides. Glyphosate was the compound with the highest median concentration followed by 2,4-D and MCPA, and in a lower degree by dimethomorph, fluopicolide, prothioconazole and metolachlor(-S). Argentina was the site with the highest total pesticide concentration in water bodies followed by The Netherlands, Portugal and France. One or more pesticides exceeded the threshold values established in the European Water Framework Directive for surface water in 9 out of 11 case study sites (CSS), and the total pesticide conc</w:t>
      </w:r>
    </w:p>
    <w:p>
      <w:pPr/>
      <w:r>
        <w:rPr>
          <w:b/>
        </w:rPr>
        <w:t>POSSIBLE 2024:</w:t>
      </w:r>
      <w:r>
        <w:t xml:space="preserve"> Geodiversity data for Europe — https://doi.org/10.1098/rsta.2023.0173</w:t>
      </w:r>
    </w:p>
    <w:p>
      <w:pPr/>
      <w:r>
        <w:rPr>
          <w:b/>
        </w:rPr>
        <w:t>Shared claim-specific concepts:</w:t>
      </w:r>
      <w:r>
        <w:t xml:space="preserve"> also, present, assess, different, between, regions; EU scope visible. This is a provisional connection, not an outcome finding.</w:t>
      </w:r>
    </w:p>
    <w:p>
      <w:pPr>
        <w:pStyle w:val="SourceNote"/>
      </w:pPr>
      <w:r>
        <w:rPr>
          <w:b/>
        </w:rPr>
        <w:t>Available abstract (not full text):</w:t>
      </w:r>
      <w:r>
        <w:t xml:space="preserve"> Geodiversity is an essential part of nature's diversity. However, geodiversity is insufficiently understood in terms of its spatial distribution and its relationship to biodiversity over large spatial extents. Here, we present European geodiversity data at resolutions of 1 km and 10 km. We assess terrestrial geodiversity quantitatively as a richness variable (georichness) using a commonly employed grid-based approach. The data incorporate aspects of geological, pedological, geomorphological and hydrological diversity, which are also available as separate richness variables. To evaluate the data, we correlated European georichness with empirically tested national georichness data from Finland, revealing a positive correlation at both 1 km ( r p = 0.37, p &lt; 0.001) and 10 km ( r p = 0.59, p &lt; 0.001) resolutions. We also demonstrate potential uses of the European data by correlating georichness with vascular plant species richness in two contrasting example areas: Finland and Switzerland. The positive correlations between georichness and species richness in Finland ( r p = 0.34, p &lt; 0.001) and Switzerland ( r p = 0.26, p &lt; 0.001) further support the use of our data in geodiversity–biodiversity research. Moreover, there is great potential beyond geodiversity–biodiversity questions, as the data can be exploited across different regions, ecosystems and scales. These geodiversity data </w:t>
      </w:r>
    </w:p>
    <w:p>
      <w:pPr/>
      <w:r>
        <w:rPr>
          <w:b/>
        </w:rPr>
        <w:t>POSSIBLE 2023:</w:t>
      </w:r>
      <w:r>
        <w:t xml:space="preserve"> Comparative cost-benefit analysis of upgrading existing office buildings in European climates — https://doi.org/10.26868/25222708.2023.1461</w:t>
      </w:r>
    </w:p>
    <w:p>
      <w:pPr/>
      <w:r>
        <w:rPr>
          <w:b/>
        </w:rPr>
        <w:t>Shared claim-specific concepts:</w:t>
      </w:r>
      <w:r>
        <w:t xml:space="preserve"> also, present, different, between, regarding, interventions; EU scope visible. This is a provisional connection, not an outcome finding.</w:t>
      </w:r>
    </w:p>
    <w:p>
      <w:pPr>
        <w:pStyle w:val="SourceNote"/>
      </w:pPr>
      <w:r>
        <w:rPr>
          <w:b/>
        </w:rPr>
        <w:t>Available abstract (not full text):</w:t>
      </w:r>
      <w:r>
        <w:t xml:space="preserve"> *Aim and Approach*Geographical locations can significantly impact the economic viability of building upgrading strategies. Previous research into environmental and economic assessments has yielded conflicting results regarding whether decarbonization measures result in additional expenditures or cost savings. To address this issue, the cost-benefit analysis (CBA) approach is applied to different climatic conditions representing the three European climate zones Nordic, Continental, and Mediterranean. A case study representative for existing European office buildings is placed in the respective locations to generate an in-depth understanding of results in real-life conditions. The physical properties of the building’s skins are modified to align with the regional characteristics of each location. To represent the main available active and passive intervention scenarios, the addition of photovoltaic panels and the replacement of windows are evaluated. By integrating energy simulation and life-cycle analysis, this paper calculates the environmental and financial costs and benefits of these strategies and discusses how the economic viability would change if different climatic conditions, building typologies, and financial indicators were considered. To this end, the net present value and benefit-to-cost ratio (BCR) are calculated using the results of energy and radiation analysis. T</w:t>
      </w:r>
    </w:p>
    <w:p>
      <w:pPr/>
      <w:r>
        <w:rPr>
          <w:b/>
        </w:rPr>
        <w:t>POSSIBLE 2023:</w:t>
      </w:r>
      <w:r>
        <w:t xml:space="preserve"> Cost benefit analysis of diversified farming systems across Europe: Incorporating non-market benefits of ecosystem services — https://doi.org/10.1016/j.scitotenv.2023.169272</w:t>
      </w:r>
    </w:p>
    <w:p>
      <w:pPr/>
      <w:r>
        <w:rPr>
          <w:b/>
        </w:rPr>
        <w:t>Shared claim-specific concepts:</w:t>
      </w:r>
      <w:r>
        <w:t xml:space="preserve"> assess, different, show, regions; EU scope visible. This is a provisional connection, not an outcome finding.</w:t>
      </w:r>
    </w:p>
    <w:p>
      <w:pPr>
        <w:pStyle w:val="SourceNote"/>
      </w:pPr>
      <w:r>
        <w:rPr>
          <w:b/>
        </w:rPr>
        <w:t>Available abstract (not full text):</w:t>
      </w:r>
      <w:r>
        <w:t xml:space="preserve"> Crop diversification can enhance farm economic sustainability while reducing the negative impact on the environment and ecosystem services related. Despite the market and non-market benefits of crop diversification, monocropping is a widely used dominant practice in Europe. In this context, this works aims to assess the overall economic impact of several crop diversification systems across Europe and compared it to the monocropping system. For this purpose, an economic valuation by integrating market and non-market values for eight case studies distributed across three different European pedoclimatic regions (Southern Mediterranean, Northern Mediterranean and Boreal) is proposed. The economic valuation was conducted both in the short and medium-long term. For the short-term we conducted a social gross margin analysis, while for the medium-long term a cost-benefit analysis is developed. The results show an improvement in social gross margins for most of the diversification scenarios assessed when environmental and socio-cultural benefits are considered in the short-term. In the medium and long-term the transformation of cropping towards a more diversified agriculture is encouraged by greater economic benefits. These results provide a first insight in global economic performance of diversified cropping systems, whose main contribution relies on the integration of market and non-m</w:t>
      </w:r>
    </w:p>
    <w:p>
      <w:pPr/>
      <w:r>
        <w:rPr>
          <w:b/>
        </w:rPr>
        <w:t>POSSIBLE 2023:</w:t>
      </w:r>
      <w:r>
        <w:t xml:space="preserve"> Metaverse applications in education: a systematic review and a cost-benefit analysis — https://doi.org/10.1108/itse-01-2023-0017</w:t>
      </w:r>
    </w:p>
    <w:p>
      <w:pPr/>
      <w:r>
        <w:rPr>
          <w:b/>
        </w:rPr>
        <w:t>Shared claim-specific concepts:</w:t>
      </w:r>
      <w:r>
        <w:t xml:space="preserve"> also, different, technologies; EU scope not established. This is a provisional connection, not an outcome finding.</w:t>
      </w:r>
    </w:p>
    <w:p>
      <w:pPr>
        <w:pStyle w:val="SourceNote"/>
      </w:pPr>
      <w:r>
        <w:rPr>
          <w:b/>
        </w:rPr>
        <w:t>Available abstract (not full text):</w:t>
      </w:r>
      <w:r>
        <w:t xml:space="preserve"> Purpose Many educators are increasingly acquainting themselves and becoming adept with interactive technologies like augmented reality and virtual reality. Some of them are also looking forward to using Metaverse applications, as they want to benefit from its immersive three-dimensional capabilities. Therefore, the purpose of this study is to critically review the extant literature to investigate how, why, where and when the Metaverse can be used for educational purposes. This study also discusses opportunities, challenges and risks related to this disruptive technology. Design/methodology/approach A Preferred Reporting Items for Systematic Reviews and Meta-Analyses rigorous protocol is used to search, extract, scrutinize and synthesize content from high-impact articles focused on the use of the Metaverse technology in the realms of education. Afterwards, this study theorizes on the costs and benefits of using this interactive technology with students. Findings A number of researchers are already experimenting with virtual technologies that are very similar to the Metaverse, in different contexts. This research indicates that most students are lured by immersive multi-sensory three-dimensional environments as well as by virtual reality applications that could simulate real-life situations and provide engaging experiences with virtual representations of people, places and object</w:t>
      </w:r>
    </w:p>
    <w:p>
      <w:pPr/>
      <w:r>
        <w:rPr>
          <w:b/>
        </w:rPr>
        <w:t>POSSIBLE 2023:</w:t>
      </w:r>
      <w:r>
        <w:t xml:space="preserve"> Assessing the Potential of Artificial Intelligence in Advancing Clean Energy Technologies in Europe: A Systematic Review — https://doi.org/10.3390/en16227633</w:t>
      </w:r>
    </w:p>
    <w:p>
      <w:pPr/>
      <w:r>
        <w:rPr>
          <w:b/>
        </w:rPr>
        <w:t>Shared claim-specific concepts:</w:t>
      </w:r>
      <w:r>
        <w:t xml:space="preserve"> also, different, technologies; EU scope visible. This is a provisional connection, not an outcome finding.</w:t>
      </w:r>
    </w:p>
    <w:p>
      <w:pPr>
        <w:pStyle w:val="SourceNote"/>
      </w:pPr>
      <w:r>
        <w:rPr>
          <w:b/>
        </w:rPr>
        <w:t>Available abstract (not full text):</w:t>
      </w:r>
      <w:r>
        <w:t xml:space="preserve"> This systematic review investigates the role of artificial intelligence (AI) in advancing clean energy technologies within Europe, based on a literature survey from 2006 to 2023. The assessment reveals that AI, particularly through deep learning and neural networks, enhances the efficiency, optimization, and management of clean energy systems. Noteworthy is AI’s capacity to improve short-term energy forecasts, essential for smart cities and IoT applications. Our findings indicate that AI drives innovation in renewable energy, contributing to the development of smart grids and enabling collaborative energy-sharing models. While the research underscores AI’s substantial influence in Europe’s energy sector, it also identifies gaps, such as varied AI algorithm applications in different renewable energy sectors. The study emphasizes the need for integrating AI with emerging clean energy innovations, advocating for interdisciplinary research to navigate the socio-economic, environmental, and policy dimensions. This approach is crucial for guiding a sustainable and balanced advancement in the clean energy landscape, signifying AI’s pivotal role in Europe’s energy transition.</w:t>
      </w:r>
    </w:p>
    <w:p>
      <w:pPr/>
      <w:r>
        <w:rPr>
          <w:b/>
        </w:rPr>
        <w:t>POSSIBLE 2021:</w:t>
      </w:r>
      <w:r>
        <w:t xml:space="preserve"> Wind resource evolution in Europe under different scenarios of climate change characterised by the novel Shared Socioeconomic Pathways — https://doi.org/10.1016/j.enconman.2021.113961</w:t>
      </w:r>
    </w:p>
    <w:p>
      <w:pPr/>
      <w:r>
        <w:rPr>
          <w:b/>
        </w:rPr>
        <w:t>Shared claim-specific concepts:</w:t>
      </w:r>
      <w:r>
        <w:t xml:space="preserve"> also, different, regions, political; EU scope visible. This is a provisional connection, not an outcome finding.</w:t>
      </w:r>
    </w:p>
    <w:p>
      <w:pPr>
        <w:pStyle w:val="SourceNote"/>
      </w:pPr>
      <w:r>
        <w:rPr>
          <w:b/>
        </w:rPr>
        <w:t>Available abstract (not full text):</w:t>
      </w:r>
      <w:r>
        <w:t xml:space="preserve"> Wind energy is a fundamental pillar of the energy mix in Europe – hence the need for understanding the evolution of the wind energy resource under climate change. For this purpose, near-, mid- and long-term wind speed projections from 18 global climate models are considered and a multi-model ensemble is constructed with the ones found to best reproduce past-present conditions. The evolution and temporal variability of wind power is investigated considering different climate change scenarios through the novel Shared Socioeconomic Pathways (SSPs). More specifically, two SSPs are considered, each corresponding to its own socio-economic and political environment and, therefore, its own level of greenhouse emissions: SSP5-8.5 (highest emissions scenario) and SSP2-4.5 (intermediate emissions scenario). Both scenarios lead to a significant reduction (up to 35%) in wind power density in northern Continental Europe and the Central Mediterranean, and an increase of similar magnitude in West Finland. Over the Atlantic Ocean, Ireland and Britain the resource is also projected to decrease significantly. In other regions, however, the general trend (positive or negative) depends on the SSP scenario. This is the case, notably, of Central Europe, with considerable growth in SSP2-4.5 but some reduction in SSP5-8.5. Thus, in the intermediate emissions scenario (SSP2-4.5) both growth and decline </w:t>
      </w:r>
    </w:p>
    <w:p>
      <w:pPr/>
      <w:r>
        <w:rPr>
          <w:b/>
        </w:rPr>
        <w:t>POSSIBLE 2021:</w:t>
      </w:r>
      <w:r>
        <w:t xml:space="preserve"> Assessing the Distribution of Exotic Egg Parasitoids of Halyomorpha halys in Europe with a Large-Scale Monitoring Program — https://doi.org/10.3390/insects12040316</w:t>
      </w:r>
    </w:p>
    <w:p>
      <w:pPr/>
      <w:r>
        <w:rPr>
          <w:b/>
        </w:rPr>
        <w:t>Shared claim-specific concepts:</w:t>
      </w:r>
      <w:r>
        <w:t xml:space="preserve"> also, present, assess; EU scope visible. This is a provisional connection, not an outcome finding.</w:t>
      </w:r>
    </w:p>
    <w:p>
      <w:pPr>
        <w:pStyle w:val="SourceNote"/>
      </w:pPr>
      <w:r>
        <w:rPr>
          <w:b/>
        </w:rPr>
        <w:t>Available abstract (not full text):</w:t>
      </w:r>
      <w:r>
        <w:t xml:space="preserve"> The brown marmorated stink bug Halyomorpha halys is an invasive agricultural pest with a worldwide distribution. Classical biological control has been identified as the most promising method to reduce the populations of H. halys. Adventive populations of two candidates for releases, Trissolcus japonicus and Trissolcus mitsukurii, have recently been detected in Europe. To assess their distribution and abundance, a large-scale survey was performed. From May to September 2019, a wide area covering northern Italy and parts of Switzerland was surveyed, highlighting the expanding distribution of both Tr. japonicus and Tr. mitsukurii. Within four years after their first detection in Europe, both species have rapidly spread into all types of habitats where H. halys is present, showing a wide distribution and continuous expansion. Both exotic Trissolcus showed high levels of parasitism rate towards H. halys, while parasitization of non-target species was a rare event. The generalist Anastatus bifasciatus was the predominant native parasitoid of H. halys, while the emergence of native scelionids from H. halys eggs was rarely observed. The presence of the hyperparasitoid Acroclisoides sinicus was also recorded. This study provided fundamental data that supported the development of the first inoculative release program of Tr. japonicus in Europe.</w:t>
      </w:r>
    </w:p>
    <w:p>
      <w:pPr/>
      <w:r>
        <w:rPr>
          <w:b/>
        </w:rPr>
        <w:t>POSSIBLE 2021:</w:t>
      </w:r>
      <w:r>
        <w:t xml:space="preserve"> European Stroke Organisation and European Society for Swallowing Disorders guideline for the diagnosis and treatment of post-stroke dysphagia — https://doi.org/10.1177/23969873211039721</w:t>
      </w:r>
    </w:p>
    <w:p>
      <w:pPr/>
      <w:r>
        <w:rPr>
          <w:b/>
        </w:rPr>
        <w:t>Shared claim-specific concepts:</w:t>
      </w:r>
      <w:r>
        <w:t xml:space="preserve"> also, present, different, interventions; EU scope visible. This is a provisional connection, not an outcome finding.</w:t>
      </w:r>
    </w:p>
    <w:p>
      <w:pPr>
        <w:pStyle w:val="SourceNote"/>
      </w:pPr>
      <w:r>
        <w:rPr>
          <w:b/>
        </w:rPr>
        <w:t>Available abstract (not full text):</w:t>
      </w:r>
      <w:r>
        <w:t xml:space="preserve"> Post-stroke dysphagia (PSD) is present in more than 50% of acute stroke patients, increases the risk of complications, in particular aspiration pneumonia, malnutrition and dehydration, and is linked to poor outcome and mortality. The aim of this guideline is to assist all members of the multidisciplinary team in their management of patients with PSD. These guidelines were developed based on the European Stroke Organisation (ESO) standard operating procedure and followed the Grading of Recommendations, Assessment, Development and Evaluation (GRADE) approach. An interdisciplinary working group identified 20 relevant questions, performed systematic reviews and meta-analyses of the literature, assessed the quality of the available evidence and wrote evidence-based recommendations. Expert opinion was provided if not enough evidence was available to provide recommendations based on the GRADE approach. We found moderate quality of evidence to recommend dysphagia screening in all stroke patients to prevent post-stroke pneumonia and to early mortality and low quality of evidence to suggest dysphagia assessment in stroke patients having been identified at being at risk of PSD. We found low to moderate quality of evidence for a variety of treatment options to improve swallowing physiology and swallowing safety. These options include dietary interventions, behavioural swallowing treatment </w:t>
      </w:r>
    </w:p>
    <w:p>
      <w:pPr/>
      <w:r>
        <w:rPr>
          <w:b/>
        </w:rPr>
        <w:t>POSSIBLE 2021:</w:t>
      </w:r>
      <w:r>
        <w:t xml:space="preserve"> Assessing Nearly Zero Energy Buildings (NZEBs) development in Europe — https://doi.org/10.1016/j.esr.2021.100680</w:t>
      </w:r>
    </w:p>
    <w:p>
      <w:pPr/>
      <w:r>
        <w:rPr>
          <w:b/>
        </w:rPr>
        <w:t>Shared claim-specific concepts:</w:t>
      </w:r>
      <w:r>
        <w:t xml:space="preserve"> also, different, diffusion, technologies; EU scope visible. This is a provisional connection, not an outcome finding.</w:t>
      </w:r>
    </w:p>
    <w:p>
      <w:pPr>
        <w:pStyle w:val="SourceNote"/>
      </w:pPr>
      <w:r>
        <w:rPr>
          <w:b/>
        </w:rPr>
        <w:t>Available abstract (not full text):</w:t>
      </w:r>
      <w:r>
        <w:t xml:space="preserve"> Decarbonising the energy sector is crucial to reach future climate and energy goals. As established by the Energy Performance of Building Directive recast, Nearly Zero Energy Buildings (NZEBs) are the mandatory building target in Europe for all new buildings from 2021 onwards. In the light of the approaching deadline, this paper assesses the development of NZEBs in Europe based on the most recent collected data and information. This paper provides an overview of the implementation of national definitions and energy performance values for new, existing, residential, and non-residential buildings in Member States. It evaluates the differences with the established European benchmark and cost-optimal levels. An overview of the most commonly implemented technologies in NZEBs is given together with costs and the relative projections over next decades. Finally, quantitative data on the NZEBs diffusion in Member States are given as recently assessed. The evolution of the NZEB concept and the future NZEBs role is also forecasted. The results assume a strategic value in the light of future targets for the building sector, showing the progress made by Member States in relation to different NZEBs aspects. They provide a comprehensive analysis of the European NZEBs implementation depicting a positive overall progress improvement for NZEBs definitions, uptake, technology development, and ene</w:t>
      </w:r>
    </w:p>
    <w:p>
      <w:pPr/>
      <w:r>
        <w:rPr>
          <w:b/>
        </w:rPr>
        <w:t>POSSIBLE 2020:</w:t>
      </w:r>
      <w:r>
        <w:t xml:space="preserve"> Economic analysis of BIPV systems as a building envelope material for building skins in Europe — https://doi.org/10.1016/j.energy.2020.117931</w:t>
      </w:r>
    </w:p>
    <w:p>
      <w:pPr/>
      <w:r>
        <w:rPr>
          <w:b/>
        </w:rPr>
        <w:t>Shared claim-specific concepts:</w:t>
      </w:r>
      <w:r>
        <w:t xml:space="preserve"> also, present, alternative; EU scope visible. This is a provisional connection, not an outcome finding.</w:t>
      </w:r>
    </w:p>
    <w:p>
      <w:pPr>
        <w:pStyle w:val="SourceNote"/>
      </w:pPr>
      <w:r>
        <w:rPr>
          <w:b/>
        </w:rPr>
        <w:t>Available abstract (not full text):</w:t>
      </w:r>
      <w:r>
        <w:t xml:space="preserve"> The main purpose of this study is to evaluate the economic feasibility of the BIPV system as a building envelope material for the whole building skins. The paper is dealing with the lifecycle cost analysis (LCCA) of BIPV system in the capitals of all the European Union member states (EU) as well as the capitals of Norway and Switzerland. The results revealed that by a discount rate of zero, BIPV system could refund all the investment even on the north facades while in terms of traditional building envelope materials as an alternative option for building skins, there would be rarely added benefits after investment. Furthermore, the societal and environmental benefits of a BIPV system in Europe have its greatest impact on the south façade. Moreover, for all the studied directions of building skins with a discount rate of five present in Europe except the north facade, just the quantified amount of societal and environmental advantages of BIPV systems could almost reimburse all the invested money. The results illustrated that the BIPV system as a building envelope material for the whole building skins could reimburse not only all the investment costs but also become a source of income for the building.</w:t>
      </w:r>
    </w:p>
    <w:p>
      <w:pPr/>
      <w:r>
        <w:rPr>
          <w:b/>
        </w:rPr>
        <w:t>POSSIBLE 2020:</w:t>
      </w:r>
      <w:r>
        <w:t xml:space="preserve"> Flood trends in Europe: are changes in small and big floods different? — https://doi.org/10.5194/hess-24-1805-2020</w:t>
      </w:r>
    </w:p>
    <w:p>
      <w:pPr/>
      <w:r>
        <w:rPr>
          <w:b/>
        </w:rPr>
        <w:t>Shared claim-specific concepts:</w:t>
      </w:r>
      <w:r>
        <w:t xml:space="preserve"> also, assess, different, show, regions; EU scope visible. This is a provisional connection, not an outcome finding.</w:t>
      </w:r>
    </w:p>
    <w:p>
      <w:pPr>
        <w:pStyle w:val="SourceNote"/>
      </w:pPr>
      <w:r>
        <w:rPr>
          <w:b/>
        </w:rPr>
        <w:t>Available abstract (not full text):</w:t>
      </w:r>
      <w:r>
        <w:t xml:space="preserve"> Abstract. Recent studies have revealed evidence of trends in the median or mean flood discharge in Europe over the last five decades, with clear and coherent regional patterns. The aim of this study is to assess whether trends also occurred for larger return periods accounting for the effect of catchment scale. We analyze 2370 flood records, selected from a newly-available pan-European flood database, with record length of at least 40 years over the period 1960–2010 and with contributing catchment area ranging from 5 to 100 000 km2. To estimate regional flood trends, we use a non-stationary regional flood frequency approach consisting of a regional Gumbel distribution, whose median and growth factor can vary in time with different strengths for different catchment sizes. A Bayesian Monte Carlo Markov Chain (MCMC) approach is used for parameter estimation. We quantify regional trends (and the related sample uncertainties), for floods of selected return periods and for selected catchment areas, across Europe and for three regions where coherent flood trends have been identified in previous studies. Results show that, in the Atlantic region, the trends in flood magnitude are generally positive. In small catchments (up to 100 km2), the 100-year flood increases more than the median flood, while the opposite is observed in medium and large catchments, where even some negative trends </w:t>
      </w:r>
    </w:p>
    <w:p>
      <w:pPr>
        <w:pStyle w:val="Heading2"/>
      </w:pPr>
      <w:r>
        <w:t>827. Environmental Implications of Dynamic Policies on Food Consumption and Waste Handling in the European Union</w:t>
      </w:r>
    </w:p>
    <w:p>
      <w:pPr>
        <w:pStyle w:val="SourceNote"/>
      </w:pPr>
      <w:r>
        <w:rPr>
          <w:b/>
        </w:rPr>
        <w:t>Original source (2016):</w:t>
      </w:r>
      <w:r>
        <w:t xml:space="preserve"> https://doi.org/10.3390/su8030282</w:t>
      </w:r>
    </w:p>
    <w:p>
      <w:pPr/>
      <w:r>
        <w:t>Original wording (abstract; indexed_source_text_not_full_document_verified): The implications are reviewed using a number of scenarios for the years 2030 and 2050 assuming policy instruments are fully effective.</w:t>
      </w:r>
    </w:p>
    <w:p>
      <w:pPr/>
      <w:r>
        <w:rPr>
          <w:b/>
        </w:rPr>
        <w:t>POSSIBLE 2025:</w:t>
      </w:r>
      <w:r>
        <w:t xml:space="preserve"> Mixes of Policy Instruments for the Full Decarbonisation of Energy Systems: A Review — https://doi.org/10.3390/en18010148</w:t>
      </w:r>
    </w:p>
    <w:p>
      <w:pPr/>
      <w:r>
        <w:rPr>
          <w:b/>
        </w:rPr>
        <w:t>Shared claim-specific concepts:</w:t>
      </w:r>
      <w:r>
        <w:t xml:space="preserve"> implications, instruments; EU scope visible. This is a provisional connection, not an outcome finding.</w:t>
      </w:r>
    </w:p>
    <w:p>
      <w:pPr>
        <w:pStyle w:val="SourceNote"/>
      </w:pPr>
      <w:r>
        <w:rPr>
          <w:b/>
        </w:rPr>
        <w:t>Available abstract (not full text):</w:t>
      </w:r>
      <w:r>
        <w:t xml:space="preserve"> Stand-alone carbon pricing is still predominantly advanced as the policy instrument of choice for abating greenhouse gas emissions, although it has enjoyed limited support in practice. Against this background, the current paper investigates whether combinations of climate policy measures constitute a promising avenue for reaching zero emissions in the power, transport, buildings, and industry sectors. Adopting a sectoral approach, we review the international literature on instrument mixes and consolidate previous findings according to four widely employed evaluation criteria, namely environmental effectiveness, economic efficiency, social equity, and political feasibility. The performance of mixes along these dimensions is critically assessed by studying the inter-relationships between decarbonisation levers, decarbonisation barriers, and policy instrument characteristics. Our analysis suggests that carefully designed combinations of measures may perform better than stand-alone instruments in many instances, although trade-offs between policy objectives are inevitable. We show evidence that desirable instrument mixes should be tailored to the characteristics of targeted agents and technologies, but argue that some level of carbon pricing typically offers high potential for synergies with complementary measures in all sectors. The study focuses on Switzerland for illustrative pu</w:t>
      </w:r>
    </w:p>
    <w:p>
      <w:pPr/>
      <w:r>
        <w:rPr>
          <w:b/>
        </w:rPr>
        <w:t>POSSIBLE 2023:</w:t>
      </w:r>
      <w:r>
        <w:t xml:space="preserve"> Investigating local policy instruments for different types of urban agriculture in four European cities: A case study analysis on the use and effectiveness of the applied policy instruments — https://doi.org/10.1016/j.landusepol.2023.106695</w:t>
      </w:r>
    </w:p>
    <w:p>
      <w:pPr/>
      <w:r>
        <w:rPr>
          <w:b/>
        </w:rPr>
        <w:t>Shared claim-specific concepts:</w:t>
      </w:r>
      <w:r>
        <w:t xml:space="preserve"> reviewed, instruments; EU scope visible. This is a provisional connection, not an outcome finding.</w:t>
      </w:r>
    </w:p>
    <w:p>
      <w:pPr>
        <w:pStyle w:val="SourceNote"/>
      </w:pPr>
      <w:r>
        <w:rPr>
          <w:b/>
        </w:rPr>
        <w:t>Available abstract (not full text):</w:t>
      </w:r>
      <w:r>
        <w:t xml:space="preserve"> Over the last decades, urban agriculture (UA) and controlled environmental agriculture (CEA) have been growing in many urban areas of the world to supply fresh food locally and to provide multiple benefits for the sustainable development of urban landscapes. Municipal policies and regulatory tools are increasingly employed to support UA/CEA and minimize practical challenges. However, especially in Europe, there is a lack of systematic reviews that evaluate the impacts of city-level food policies for UA/CEA and their effectiveness as perceived by local responsible actors. To address this gap, this study presents a qualitative overview of municipal policies that affect UA/CEA. We reviewed more than 83 policy documents and manuscripts and performed an online structured survey targeting key local managers or employees of UA and innovative CEA systems in four EU cities – Barcelona (Spain), Lyon (France), Trieste and Udine (Italy). We assessed policy tools, especially for three identified types of UA (allotment gardens, community gardens and closed spaces using CEA) by mainly focusing on public and private institutions and including aspects concerning land use planning, health and environmental policies. The findings demonstrate how the four cities’ municipal governments specifically designed and combined a multiplicity of policy instruments to enable, regulate and acknowledge UA/CEA</w:t>
      </w:r>
    </w:p>
    <w:p>
      <w:pPr/>
      <w:r>
        <w:rPr>
          <w:b/>
        </w:rPr>
        <w:t>POSSIBLE 2021:</w:t>
      </w:r>
      <w:r>
        <w:t xml:space="preserve"> Double materiality and the shift from non-financial to European sustainability reporting: review, outlook and implications — https://doi.org/10.1108/jaar-04-2021-0114</w:t>
      </w:r>
    </w:p>
    <w:p>
      <w:pPr/>
      <w:r>
        <w:rPr>
          <w:b/>
        </w:rPr>
        <w:t>Shared claim-specific concepts:</w:t>
      </w:r>
      <w:r>
        <w:t xml:space="preserve"> implications, number, fully; EU scope visible. This is a provisional connection, not an outcome finding.</w:t>
      </w:r>
    </w:p>
    <w:p>
      <w:pPr>
        <w:pStyle w:val="SourceNote"/>
      </w:pPr>
      <w:r>
        <w:rPr>
          <w:b/>
        </w:rPr>
        <w:t>Available abstract (not full text):</w:t>
      </w:r>
      <w:r>
        <w:t xml:space="preserve"> Purpose This paper outlines the development of the principle of materiality in the European accounting framework, from the Modernization Directive (2003/51/EC) to the NFI Directive (2014/95/EU) and on to the proposals for a Corporate Sustainability Reporting (CSR) Directive (2021/0104 (COD)). The authors highlight how the requirements for corporate reporting in terms of sustainability matters have changed, underlining the main issues that require further attention by practitioners, researchers and legislators. Design/methodology/approach This paper is based upon a historic analysis of European Union (EU) regulations in the field of non-financial and sustainability reporting and how these have changed over time. A conceptual comparison of different reporting concepts is presented, and changes in their relevance to the EU accounting framework are discussed as part of the historic analysis. Implications from corporate practice are derived from previous empirical findings from the EU Commission's consultations. Findings The proposed change from non-financial to sustainability reporting within the EU affects more than simply the terminology used. It implies that a different understanding is needed of both the purposes of company reporting on sustainability matters and the aims of carrying out such reporting. This change was driven by the need and desire to appropriately interpret th</w:t>
      </w:r>
    </w:p>
    <w:p>
      <w:pPr/>
      <w:r>
        <w:rPr>
          <w:b/>
        </w:rPr>
        <w:t>POSSIBLE 2020:</w:t>
      </w:r>
      <w:r>
        <w:t xml:space="preserve"> European environment policy for the circular economy: Implications for business and industry stakeholders — https://doi.org/10.1002/sd.2113</w:t>
      </w:r>
    </w:p>
    <w:p>
      <w:pPr/>
      <w:r>
        <w:rPr>
          <w:b/>
        </w:rPr>
        <w:t>Shared claim-specific concepts:</w:t>
      </w:r>
      <w:r>
        <w:t xml:space="preserve"> implications, number; EU scope visible. This is a provisional connection, not an outcome finding.</w:t>
      </w:r>
    </w:p>
    <w:p>
      <w:pPr>
        <w:pStyle w:val="SourceNote"/>
      </w:pPr>
      <w:r>
        <w:rPr>
          <w:b/>
        </w:rPr>
        <w:t>Available abstract (not full text):</w:t>
      </w:r>
      <w:r>
        <w:t xml:space="preserve"> Abstract European Union (EU) institutions and agencies are increasingly raising awareness on the circular economy agenda. They are encouraging marketplace stakeholders to engage in sustainable production and consumption behaviors by reducing, reusing, restoring, refurbishing, and recycling resources in all stages of their value chain. Therefore, this research evaluates the latest European environmental policies including its “new circular economy plans for a cleaner and more competitive Europe.” Afterwards, it presents a systematic literature review that is focused on the circular economy in the EU context. The findings suggest that there are a number of opportunities as well as challenges for the successful planning, organization, implementation, and measurement of circular economy practices for sustainable supply chains in Europe. This contribution identifies key implications and provides reasonable recommendations to policy makers and industry practitioners.</w:t>
      </w:r>
    </w:p>
    <w:p>
      <w:pPr/>
      <w:r>
        <w:rPr>
          <w:b/>
        </w:rPr>
        <w:t>POSSIBLE 2020:</w:t>
      </w:r>
      <w:r>
        <w:t xml:space="preserve"> Mapping the evidence of climate change adaptation policy instruments in Europe — https://doi.org/10.1088/1748-9326/ab8fd1</w:t>
      </w:r>
    </w:p>
    <w:p>
      <w:pPr/>
      <w:r>
        <w:rPr>
          <w:b/>
        </w:rPr>
        <w:t>Shared claim-specific concepts:</w:t>
      </w:r>
      <w:r>
        <w:t xml:space="preserve"> number, instruments; EU scope visible. This is a provisional connection, not an outcome finding.</w:t>
      </w:r>
    </w:p>
    <w:p>
      <w:pPr>
        <w:pStyle w:val="SourceNote"/>
      </w:pPr>
      <w:r>
        <w:rPr>
          <w:b/>
        </w:rPr>
        <w:t>Available abstract (not full text):</w:t>
      </w:r>
      <w:r>
        <w:t xml:space="preserve"> Abstract With climate change impacts being felt across Europe, governments have started to invest in designing and implementing adaptation actions. The means through which governments adapt is generally referred to as policy instruments. Although there is a large body of adaptation policy literature emerging, our comprehensive understanding of policy instruments is limited nor do we know much about how scholarship on adaptation is addressing critical questions about policy instrument choice and effectiveness to support policy practice. In this article we map academic scholarship on climate change adaptation policy instruments in Europe. Using systematic approaches, we identify 184 relevant articles published 2014–2019. Our findings show that research is heavily concentrated on a limited number of western-European countries, with hardly any insights from eastern Europe and smaller countries. Most studies do not connect climate change impacts and risks with policy instruments, making assessment of policy effectiveness difficult, if not impossible. We argue that expanding the geographical scope of future research and enhancing the diversity of study types across Europe is critical for advancing theories on climate change adaptation policy, as well as providing useful recommendations for policy makers to strengthen the solution space and accelerate climate change adaptation.</w:t>
      </w:r>
    </w:p>
    <w:p>
      <w:pPr/>
      <w:r>
        <w:rPr>
          <w:b/>
        </w:rPr>
        <w:t>POSSIBLE 2020:</w:t>
      </w:r>
      <w:r>
        <w:t xml:space="preserve"> Basel IV implementation: a review of the case of the European Union — https://doi.org/10.1108/jcms-04-2020-0006</w:t>
      </w:r>
    </w:p>
    <w:p>
      <w:pPr/>
      <w:r>
        <w:rPr>
          <w:b/>
        </w:rPr>
        <w:t>Shared claim-specific concepts:</w:t>
      </w:r>
      <w:r>
        <w:t xml:space="preserve"> implications, number; EU scope visible. This is a provisional connection, not an outcome finding.</w:t>
      </w:r>
    </w:p>
    <w:p>
      <w:pPr>
        <w:pStyle w:val="SourceNote"/>
      </w:pPr>
      <w:r>
        <w:rPr>
          <w:b/>
        </w:rPr>
        <w:t>Available abstract (not full text):</w:t>
      </w:r>
      <w:r>
        <w:t xml:space="preserve"> Purpose Introducing radical changes to the methodologies for the determination of capital requirements, the final stage of the Basel III standards, which is referred to as “Basel IV” by the industry, will be a significant challenge for the global banking sector. This article reviews the main components of the new framework, analyses its ongoing implementation in the European Union and discusses its potential impact on banks, putting forward policy recommendations. Design/methodology/approach This article uses primary sources such as the publications by the Basel Committee for Banking Supervision and the European Commission. It also reviews the secondary sources, including both academic articles and analyses by various stakeholders. However, this article does not undertake any empirical analysis. Findings This article discusses that Basel IV will introduce strategic, operational and regulatory challenges for banks in scope. It also identifies a number of areas which are subject to further debate in the European Union such as the enhanced due diligence requirements under the new credit risk framework; governance, reporting and control rules under the operational risk framework; exemptions for certain derivative transactions under the credit valuation adjustment framework and the level of application of the capital floors within banking groups. This article concludes that the glob</w:t>
      </w:r>
    </w:p>
    <w:p>
      <w:pPr/>
      <w:r>
        <w:rPr>
          <w:b/>
        </w:rPr>
        <w:t>POSSIBLE 2018:</w:t>
      </w:r>
      <w:r>
        <w:t xml:space="preserve"> Regional inequality in Europe: evidence, theory and policy implications — https://doi.org/10.1093/jeg/lby021</w:t>
      </w:r>
    </w:p>
    <w:p>
      <w:pPr/>
      <w:r>
        <w:rPr>
          <w:b/>
        </w:rPr>
        <w:t>Shared claim-specific concepts:</w:t>
      </w:r>
      <w:r>
        <w:t xml:space="preserve"> implications, effective; EU scope visible. This is a provisional connection, not an outcome finding.</w:t>
      </w:r>
    </w:p>
    <w:p>
      <w:pPr>
        <w:pStyle w:val="SourceNote"/>
      </w:pPr>
      <w:r>
        <w:rPr>
          <w:b/>
        </w:rPr>
        <w:t>Available abstract (not full text):</w:t>
      </w:r>
      <w:r>
        <w:t xml:space="preserve"> Regional economic divergence has become a threat to economic progress, social cohesion and political stability in Europe. Market processes and policies that are supposed to spread prosperity and opportunity are no longer sufficiently effective. The evidence points to the existence of several different modes of regional economic performance in Europe, responding to different development challenges and opportunities. Both mainstream and heterodox theories have gaps in their ability to explain the existence of these different regional trajectories and the weakness of the convergence processes among them. Therefore, a different approach is required, one that strengthens Europe’s strongest regions but develops new approaches to promote opportunity in industrial declining and less-developed regions. There is ample new theory and evidence to support such an approach, which we have labelled ‘place-sensitive distributed development policy’.</w:t>
      </w:r>
    </w:p>
    <w:p>
      <w:pPr/>
      <w:r>
        <w:rPr>
          <w:b/>
        </w:rPr>
        <w:t>POSSIBLE 2018:</w:t>
      </w:r>
      <w:r>
        <w:t xml:space="preserve"> Review: Beef-eating quality: a European journey — https://doi.org/10.1017/s1751731118001672</w:t>
      </w:r>
    </w:p>
    <w:p>
      <w:pPr/>
      <w:r>
        <w:rPr>
          <w:b/>
        </w:rPr>
        <w:t>Shared claim-specific concepts:</w:t>
      </w:r>
      <w:r>
        <w:t xml:space="preserve"> implications, number, effective; EU scope visible. This is a provisional connection, not an outcome finding.</w:t>
      </w:r>
    </w:p>
    <w:p>
      <w:pPr>
        <w:pStyle w:val="SourceNote"/>
      </w:pPr>
      <w:r>
        <w:rPr>
          <w:b/>
        </w:rPr>
        <w:t>Available abstract (not full text):</w:t>
      </w:r>
      <w:r>
        <w:t xml:space="preserve"> This paper reviews recent research into predicting the eating qualities of beef. A range of instrumental and grading approaches have been discussed, highlighting implications for the European beef industry. Studies incorporating a number of instrumental and spectroscopic techniques illustrate the potential for online systems to non-destructively measure muscle pH, colour, fat and moisture content of beef with R 2 (coefficient of determination) values &gt;0.90. Direct predictions of eating quality (tenderness, flavour, juiciness) and fatty acid content using these methods are also discussed though success is greatly variable. R 2 values for instrumental measures of tenderness have been quoted as high as 0.85 though R 2 values for sensory tenderness values can be as low as 0.01. Discriminant analysis models can improve prediction of variables such as pH and shear force, correctly classifying beef samples into categorical groups with &gt;90% accuracy. Prediction of beef flavour continues to challenge researchers and the industry alike, with R 2 values rarely quoted above 0.50, regardless of instrumental or statistical analysis used. Beef grading systems such as EUROP and United States Department of Agriculture systems provide carcase classification and some indication of yield. Other systems attempt to classify the whole carcase according to expected eating quality. These are being supp</w:t>
      </w:r>
    </w:p>
    <w:p>
      <w:pPr>
        <w:pStyle w:val="Heading2"/>
      </w:pPr>
      <w:r>
        <w:t>828. European Water Footprint Scenarios for 2050</w:t>
      </w:r>
    </w:p>
    <w:p>
      <w:pPr>
        <w:pStyle w:val="SourceNote"/>
      </w:pPr>
      <w:r>
        <w:rPr>
          <w:b/>
        </w:rPr>
        <w:t>Original source (2016):</w:t>
      </w:r>
      <w:r>
        <w:t xml:space="preserve"> https://doi.org/10.3390/w8060226</w:t>
      </w:r>
    </w:p>
    <w:p>
      <w:pPr/>
      <w:r>
        <w:t>Original wording (abstract; indexed_source_text_not_full_document_verified): This study develops water footprint scenarios for Europe for 2050, at the country level, based on projections regarding population and economic growth, production and trade patterns, consumption patterns (diets and bioenergy use) and technological development. We develop four scenarios, considering globalization versus regional self-sufficiency, and development driven by economic objectives versus development driven by social and environmental objectives.</w:t>
      </w:r>
    </w:p>
    <w:p>
      <w:pPr/>
      <w:r>
        <w:rPr>
          <w:b/>
        </w:rPr>
        <w:t>POSSIBLE 2026:</w:t>
      </w:r>
      <w:r>
        <w:t xml:space="preserve"> The water–agriculture–food nexus in Europe: a governance perspective — https://openalex.org/W7205710043</w:t>
      </w:r>
    </w:p>
    <w:p>
      <w:pPr/>
      <w:r>
        <w:rPr>
          <w:b/>
        </w:rPr>
        <w:t>Shared claim-specific concepts:</w:t>
      </w:r>
      <w:r>
        <w:t xml:space="preserve"> water, use, four; EU scope visible. This is a provisional connection, not an outcome finding.</w:t>
      </w:r>
    </w:p>
    <w:p>
      <w:pPr>
        <w:pStyle w:val="SourceNote"/>
      </w:pPr>
      <w:r>
        <w:rPr>
          <w:b/>
        </w:rPr>
        <w:t>Available abstract (not full text):</w:t>
      </w:r>
      <w:r>
        <w:t xml:space="preserve"> Achieving water use within planetary boundaries requires greater alignment among the actors governing water use in food systems. These systems involve multiple actors with diverse and sometimes competing interests, increasing the complexity of understanding how institutional arrangements shape user decisions. This study analyses the water–agriculture–food (WAF) nexus in Europe and proposes a framework, grounded in the Institutional Analysis and Development (IAD) framework, to classify key actors and governance instruments across four institutional levels, from global agenda-setting to local implementation.The findings show that literature remains predominantly water-centered and sectorally fragmented. While water–agriculture linkages are relatively well developed, food-system dimensions and user behavior are less consistently integrated into institutional analyses. Coordination gaps across governance levels further limit the operationalization of nexus-based water conservation strategies. The study also identifies structural economic challenges -including unpriced externalities, information failures, and market power asymmetries- that constrain effective cross-sector governance, and points toward a future research agenda for integrated WAF nexus governance.</w:t>
      </w:r>
    </w:p>
    <w:p>
      <w:pPr/>
      <w:r>
        <w:rPr>
          <w:b/>
        </w:rPr>
        <w:t>POSSIBLE 2025:</w:t>
      </w:r>
      <w:r>
        <w:t xml:space="preserve"> Blue and Green Water Footprint disparities of European households: A spatial structural decomposition analysis approach — https://doi.org/10.5194/egusphere-egu25-18436</w:t>
      </w:r>
    </w:p>
    <w:p>
      <w:pPr/>
      <w:r>
        <w:rPr>
          <w:b/>
        </w:rPr>
        <w:t>Shared claim-specific concepts:</w:t>
      </w:r>
      <w:r>
        <w:t xml:space="preserve"> water, footprint, patterns, consumption; EU scope visible. This is a provisional connection, not an outcome finding.</w:t>
      </w:r>
    </w:p>
    <w:p>
      <w:pPr>
        <w:pStyle w:val="SourceNote"/>
      </w:pPr>
      <w:r>
        <w:rPr>
          <w:b/>
        </w:rPr>
        <w:t>Available abstract (not full text):</w:t>
      </w:r>
      <w:r>
        <w:t xml:space="preserve"> Water is an essential resource for the development of any economy as well as for human well-being. However, recent environmental crises, such as long periods of drought, are increasingly jeopardising the availability of this resource. The water footprint is caused not only by productive activity but also by household consumption. Thus, households also have a responsibility to be aware of their consumption, as their consumption patterns will produce a certain water footprint.It is in this context that we propose this article. Using a socially (different income groups) as well as environmentally (blue and green water footprint) extended multi-regional and multi-sectoral input-output model, we aim to analyse the per capita blue water footprint of European households for the year 2021. Not only that, but through a spatial structural decomposition analysis, we aim to investigate the disparities in the water footprint of European households, trying to find out what factors lie behind these differences. We intend to do this research not only for the total number of European households, but also for their income quintiles.The first results show that households in the most developed European economies have the largest per capita blue water footprint. Behind this footprint is the fact that the intensity effect distances these powers from the European average. On the other hand, the consu</w:t>
      </w:r>
    </w:p>
    <w:p>
      <w:pPr/>
      <w:r>
        <w:rPr>
          <w:b/>
        </w:rPr>
        <w:t>POSSIBLE 2024:</w:t>
      </w:r>
      <w:r>
        <w:t xml:space="preserve"> The water footprint of hydrogen production — https://doi.org/10.1016/j.scitotenv.2024.172384</w:t>
      </w:r>
    </w:p>
    <w:p>
      <w:pPr/>
      <w:r>
        <w:rPr>
          <w:b/>
        </w:rPr>
        <w:t>Shared claim-specific concepts:</w:t>
      </w:r>
      <w:r>
        <w:t xml:space="preserve"> water, footprint, production;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The Domestic Water Footprint of the Inhabitants of Iași Municipality. Preliminary results — https://doi.org/10.47743/lsgdc.v52i2.01</w:t>
      </w:r>
    </w:p>
    <w:p>
      <w:pPr/>
      <w:r>
        <w:rPr>
          <w:b/>
        </w:rPr>
        <w:t>Shared claim-specific concepts:</w:t>
      </w:r>
      <w:r>
        <w:t xml:space="preserve"> water, footprint, based, consumption; EU scope visible. This is a provisional connection, not an outcome finding.</w:t>
      </w:r>
    </w:p>
    <w:p>
      <w:pPr>
        <w:pStyle w:val="SourceNote"/>
      </w:pPr>
      <w:r>
        <w:rPr>
          <w:b/>
        </w:rPr>
        <w:t>Available abstract (not full text):</w:t>
      </w:r>
      <w:r>
        <w:t xml:space="preserve"> The water footprint is an essential indicator reflecting water usage across human activities, encompassing blue, green, and grey footprints. It raises awareness of direct and indirect water consumption and its environmental impacts. In our research, we developed a methodology based on bibliographic analysis, focusing specifically on the residential component of water usage. The results are based on average values of evaluated parameters, which provide suggestive insights. To gather data, we distributed a quantitative questionnaire to residents of the Iași metropolitan area. The preliminary findings, based on 175 anonymous responses, reveal an average water footprint of 7,999.277 liters per day per person. By comparison, the average daily water footprint is 3,397 liters globally, 3,287 liters in Europe and 4,627 liters in Romania. The highest footprint (11,536.22 liters per day) was found in Moara de Vânt-Țicău, while the lowest (6,293.57 liters per day) was in Centru. Statistical analyses were conducted to examine the relationship between water consumption and various demographic, educational and social factors (for instance, higher water usage among more educated individuals could be attributed to their habits or social influences). The study faced limitations, including poor questionnaire response rates, age restrictions, partial water footprint analysis, and uneven neighborh</w:t>
      </w:r>
    </w:p>
    <w:p>
      <w:pPr/>
      <w:r>
        <w:rPr>
          <w:b/>
        </w:rPr>
        <w:t>POSSIBLE 2023:</w:t>
      </w:r>
      <w:r>
        <w:t xml:space="preserve"> Advancing water footprint assessments: Combining the impacts of water pollution and scarcity — https://doi.org/10.1016/j.scitotenv.2023.161910</w:t>
      </w:r>
    </w:p>
    <w:p>
      <w:pPr/>
      <w:r>
        <w:rPr>
          <w:b/>
        </w:rPr>
        <w:t>Shared claim-specific concepts:</w:t>
      </w:r>
      <w:r>
        <w:t xml:space="preserve"> water, footprint, level, consumption, use; EU scope visible. This is a provisional connection, not an outcome finding.</w:t>
      </w:r>
    </w:p>
    <w:p>
      <w:pPr>
        <w:pStyle w:val="SourceNote"/>
      </w:pPr>
      <w:r>
        <w:rPr>
          <w:b/>
        </w:rPr>
        <w:t>Available abstract (not full text):</w:t>
      </w:r>
      <w:r>
        <w:t xml:space="preserve"> Several water footprint indicators have been developed to curb freshwater stress. Volumetric footprints support water allocation decisions and strive to increase water productivity in all sectors. In contrast, impact-oriented footprints are used to minimize the impacts of water use on human health, ecosystems, and freshwater resources. Efforts to combine both perspectives in a harmonized framework have been undertaken, but common challenges remain, such as pollution and ecosystems impacts modelling. To address these knowledge gaps, we build upon a water footprint assessment framework proposed at conceptual level to expand and operationalize relevant features. We propose two regionalized indicators, namely the water biodiversity footprint and the water resource footprint, that aggregate all impacts from toxic chemicals, nutrients, and water scarcity. The first impact indicator represents the impacts on freshwater ecosystems. The second one models the competition for freshwater resources and its consequences on freshwater availability. As part of the framework, we complement the two indicators with a sustainability assessment representing the levels above which ecological and human freshwater needs are no longer sustained. We test our approach assessing the sustainability of water use in the European Union in 2010. Water stress hampers 15 % of domestic, agricultural and industria</w:t>
      </w:r>
    </w:p>
    <w:p>
      <w:pPr/>
      <w:r>
        <w:rPr>
          <w:b/>
        </w:rPr>
        <w:t>POSSIBLE 2023:</w:t>
      </w:r>
      <w:r>
        <w:t xml:space="preserve"> Gone with the clouds: Estimating the electricity and water footprint of digital data services in Europe — https://doi.org/10.1016/j.enconman.2023.117225</w:t>
      </w:r>
    </w:p>
    <w:p>
      <w:pPr/>
      <w:r>
        <w:rPr>
          <w:b/>
        </w:rPr>
        <w:t>Shared claim-specific concepts:</w:t>
      </w:r>
      <w:r>
        <w:t xml:space="preserve"> water, footprint, population, consumption, technological; EU scope visible. This is a provisional connection, not an outcome finding.</w:t>
      </w:r>
    </w:p>
    <w:p>
      <w:pPr>
        <w:pStyle w:val="SourceNote"/>
      </w:pPr>
      <w:r>
        <w:rPr>
          <w:b/>
        </w:rPr>
        <w:t>Available abstract (not full text):</w:t>
      </w:r>
      <w:r>
        <w:t xml:space="preserve"> Cloud and data services have experienced a constant increase in demand ever since their availability. Whether for computing of complex models, digital data storage, blockchain transactions or digital service hosting, digital data is having an increasingly important role in society. However, with the increasing presence of data centers, not only the availability and quality of cloud and data services increases, but also the demand for electricity and water by the digital services industry. This work aims to provide an estimation for the current and future water consumption of digital data services in Europe from 2022 to 2030. The projection considers European trends for population, data services consumption, technological development, data transmission and energy consumption among other factors. Publicly available data was combined with literature research to extrapolate the development of digital data usage in Europe until 2030. The results demonstrate that from 273.4 to 820.1 million cubic meters of water and from 56.3 to 169 Terawatt-hour of electricity will be consumed yearly in Europe in 2030 for internet usage.</w:t>
      </w:r>
    </w:p>
    <w:p>
      <w:pPr/>
      <w:r>
        <w:rPr>
          <w:b/>
        </w:rPr>
        <w:t>POSSIBLE 2023:</w:t>
      </w:r>
      <w:r>
        <w:t xml:space="preserve"> European Union Regulation of Water Stress Risks — https://doi.org/10.1017/err.2023.76</w:t>
      </w:r>
    </w:p>
    <w:p>
      <w:pPr/>
      <w:r>
        <w:rPr>
          <w:b/>
        </w:rPr>
        <w:t>Shared claim-specific concepts:</w:t>
      </w:r>
      <w:r>
        <w:t xml:space="preserve"> water, level, based; EU scope visible. This is a provisional connection, not an outcome finding.</w:t>
      </w:r>
    </w:p>
    <w:p>
      <w:pPr>
        <w:pStyle w:val="SourceNote"/>
      </w:pPr>
      <w:r>
        <w:rPr>
          <w:b/>
        </w:rPr>
        <w:t>Available abstract (not full text):</w:t>
      </w:r>
      <w:r>
        <w:t xml:space="preserve"> Abstract Water stress is a growing concern in Europe, partly due to the changing climate context. Despite the cross-cutting impacts that water availability has on different areas under the competence of the European Union (EU), there is not currently a comprehensive and systematic legal framework addressing this issue. The purpose of this article is therefore to examine the EU legislation that concerns the measures aimed at mitigating these risks. To this purpose, it is first examined how droughts and water scarcity are framed within EU legal acts. Based on such an overview, the analysis is directed to the mechanisms developed at the EU level for monitoring, identifying and forecasting water stress risks, as well as the legal provisions relating to the planning tools. The remainder of the article is devoted to the regulation of preventative measures for water scarcity and drought risk reduction, following the water hierarchy resulting from COM(2007) 414.</w:t>
      </w:r>
    </w:p>
    <w:p>
      <w:pPr/>
      <w:r>
        <w:rPr>
          <w:b/>
        </w:rPr>
        <w:t>POSSIBLE 2022:</w:t>
      </w:r>
      <w:r>
        <w:t xml:space="preserve"> Analysis of the Water Footprint of Central and Eastern Europe Countries — https://doi.org/10.21697/seb.2022.27</w:t>
      </w:r>
    </w:p>
    <w:p>
      <w:pPr/>
      <w:r>
        <w:rPr>
          <w:b/>
        </w:rPr>
        <w:t>Shared claim-specific concepts:</w:t>
      </w:r>
      <w:r>
        <w:t xml:space="preserve"> water, footprint, production; EU scope visible. This is a provisional connection, not an outcome finding.</w:t>
      </w:r>
    </w:p>
    <w:p>
      <w:pPr>
        <w:pStyle w:val="SourceNote"/>
      </w:pPr>
      <w:r>
        <w:rPr>
          <w:b/>
        </w:rPr>
        <w:t>Available abstract (not full text):</w:t>
      </w:r>
      <w:r>
        <w:t xml:space="preserve"> The article presents an analysis of the water footprint of five Central and Eastern European countries, i.e. Poland, Slovakia, Lithuania, Ukraine and Belarus. The first three are members of the European Union, the other two are not. These countries also differ in terms of climate. The green, blue and grey water footprints of crop production, grazing, animal water supply, industrial production and domestic water supply are analysed. The per capita water footprint is also calculated. It is the highest for the countries of the former Soviet Union, that is Ukraine, Belarus and Lithuania, and half as low for Poland and Slovakia. In the case of virtual water, Poland dominates in the area of import, and Ukraine in export. The index of the net import of virtual water is unfavourable for Ukraine and Lithuania and is much more positive for Poland and Belarus. When calculated per capita, the net import of green virtual water is the highest for Belarus (340 m3/person/year) and Poland (148 m3/person/year). A positive value of this index was also recorded for Slovakia and negative for Lithuania and Ukraine (-282 m3/person/year). Taking into account the exposure of the southern Ukraine steppe to water stress, this is not a favourable situation for greater export of virtual water than its import.</w:t>
      </w:r>
    </w:p>
    <w:p>
      <w:pPr/>
      <w:r>
        <w:rPr>
          <w:b/>
        </w:rPr>
        <w:t>POSSIBLE 2022:</w:t>
      </w:r>
      <w:r>
        <w:t xml:space="preserve"> IoT-Based Solutions to Monitor Water Level, Leakage, and Motor Control for Smart Water Tanks — https://doi.org/10.3390/w14030309</w:t>
      </w:r>
    </w:p>
    <w:p>
      <w:pPr/>
      <w:r>
        <w:rPr>
          <w:b/>
        </w:rPr>
        <w:t>Shared claim-specific concepts:</w:t>
      </w:r>
      <w:r>
        <w:t xml:space="preserve"> water, level, population; EU scope not established. This is a provisional connection, not an outcome finding.</w:t>
      </w:r>
    </w:p>
    <w:p>
      <w:pPr>
        <w:pStyle w:val="SourceNote"/>
      </w:pPr>
      <w:r>
        <w:rPr>
          <w:b/>
        </w:rPr>
        <w:t>Available abstract (not full text):</w:t>
      </w:r>
      <w:r>
        <w:t xml:space="preserve"> Today, a large portion of the human population around the globe has no access to freshwater for drinking, cooking, and other domestic applications. Water resources in numerous countries are becoming scarce due to over urbanization, rapid industrial growth, and current global warming. Water is often stored in the aboveground or underground tanks. In developing countries, these tanks are maintained manually, and in some cases, water is wasted due to human negligence. In addition, water could also leak out from tanks and supply pipes due to the decayed infrastructure. To address these issues, researchers worldwide turned to the Internet-of-Things (IoT) technology to efficiently monitor water levels, detect leakage, and auto refill tanks whenever needed. Notably, this technology can also supply real-time feedback to end-users and other experts through a webpage or a smartphone. Literature reveals a plethora of review articles on smart water monitoring, including water quality, supply pipes leakage, and water waste recycling. However, none of the reviews focus on the IoT-based solution to monitor water level, detect water leakage, and auto control water pumps, especially at the induvial level that form a vast proportion of water consumers worldwide. To fill this gap in the literature, this study presents a review of IoT-controlled water storage tanks (IoT-WST). Some important contri</w:t>
      </w:r>
    </w:p>
    <w:p>
      <w:pPr/>
      <w:r>
        <w:rPr>
          <w:b/>
        </w:rPr>
        <w:t>POSSIBLE 2022:</w:t>
      </w:r>
      <w:r>
        <w:t xml:space="preserve"> A Water Level Measurement Approach Based on YOLOv5s — https://doi.org/10.3390/s22103714</w:t>
      </w:r>
    </w:p>
    <w:p>
      <w:pPr/>
      <w:r>
        <w:rPr>
          <w:b/>
        </w:rPr>
        <w:t>Shared claim-specific concepts:</w:t>
      </w:r>
      <w:r>
        <w:t xml:space="preserve"> water, level, based; EU scope not established. This is a provisional connection, not an outcome finding.</w:t>
      </w:r>
    </w:p>
    <w:p>
      <w:pPr>
        <w:pStyle w:val="SourceNote"/>
      </w:pPr>
      <w:r>
        <w:rPr>
          <w:b/>
        </w:rPr>
        <w:t>Available abstract (not full text):</w:t>
      </w:r>
      <w:r>
        <w:t xml:space="preserve"> Existing water gauge reading approaches based on image analysis have problems such as poor scene adaptability and weak robustness. Here, we proposed a novel water level measurement method based on deep learning (YOLOv5s, convolutional neural network) to overcome these problems. The proposed method uses the YOLOv5s to extract the water gauge area and all scale character areas in the original video image, uses image processing technology to identify the position of the water surface line, and then calculates the actual water level elevation. The proposed method is validated with a video monitoring station on a river in Beijing, and the results show that the systematic error of the proposed method is only 7.7 mm, the error is within 1 cm/the error is between 1 cm and 3 cm, and the proportion of the number of images is 95%/5% (daylight), 98%/2% (infrared lighting at night), 97%/2% (strong light), 45%/44% (transparent water body), 91%/9% (rainfall), and 90%/10% (water gauge is slightly dirty). The results demonstrate that the proposed method shows good performance in different scenes, and its effectiveness has been confirmed. At the same time, it has a strong robustness and provides a certain reference for the application of deep learning in the field of hydrological monitoring.</w:t>
      </w:r>
    </w:p>
    <w:p>
      <w:pPr/>
      <w:r>
        <w:rPr>
          <w:b/>
        </w:rPr>
        <w:t>POSSIBLE 2022:</w:t>
      </w:r>
      <w:r>
        <w:t xml:space="preserve"> Historical simulation of maize water footprints with a new global gridded crop model ACEA — https://doi.org/10.5194/hess-26-923-2022</w:t>
      </w:r>
    </w:p>
    <w:p>
      <w:pPr/>
      <w:r>
        <w:rPr>
          <w:b/>
        </w:rPr>
        <w:t>Shared claim-specific concepts:</w:t>
      </w:r>
      <w:r>
        <w:t xml:space="preserve"> water, footprint, production, develop; EU scope visible. This is a provisional connection, not an outcome finding.</w:t>
      </w:r>
    </w:p>
    <w:p>
      <w:pPr>
        <w:pStyle w:val="SourceNote"/>
      </w:pPr>
      <w:r>
        <w:rPr>
          <w:b/>
        </w:rPr>
        <w:t>Available abstract (not full text):</w:t>
      </w:r>
      <w:r>
        <w:t xml:space="preserve"> Abstract. Crop water productivity is a key element of water and food security in the world and can be quantified by the water footprint (WF). Previous studies have looked at the spatially explicit distribution of crop WFs but little is known about the temporal dynamics. We develop a new global gridded crop model – AquaCrop-Earth@lternatives (ACEA) – that can simulate three consumptive WF components: green (WFg), blue from irrigation (WFbi), and blue from capillary rise (WFbc) at high temporal and spatial resolutions. The model is applied to analyse global maize production during 1986–2016 at 5 × 5 arc minute grid. Our results show that in 2012–2016, the global average unit WF of maize is 723.2 m3 t−1 y−1 (89.5 % WFg, 8.3 % WFbi, 2.2 % WFbc) with values varying greatly around the world. Regions characterised by high agricultural development generally show a small unit WF and its interannual variation, such as Western Europe and Northern America (WF &lt; 500 m3 t−1 y−1, CV &lt; 15 %). On the contrary, regions with low agricultural development show opposite outcomes, such as Middle and Eastern Africa (WF &gt; 2500 m3 t−1 y−1, CV &gt; 40 %). Since 1986, the global unit WF of maize has reduced by 34.6 % mainly due to the historical decrease in yield gaps. However, due to the rapid expansion of rainfed and irrigated cropland, the global WF of maize production has increased by 48.8 % peaking at 7</w:t>
      </w:r>
    </w:p>
    <w:p>
      <w:pPr/>
      <w:r>
        <w:rPr>
          <w:b/>
        </w:rPr>
        <w:t>POSSIBLE 2022:</w:t>
      </w:r>
      <w:r>
        <w:t xml:space="preserve"> Food Recommendations for Reducing Water Footprint — https://doi.org/10.3390/su14073833</w:t>
      </w:r>
    </w:p>
    <w:p>
      <w:pPr/>
      <w:r>
        <w:rPr>
          <w:b/>
        </w:rPr>
        <w:t>Shared claim-specific concepts:</w:t>
      </w:r>
      <w:r>
        <w:t xml:space="preserve"> water, footprint, production; EU scope not established. This is a provisional connection, not an outcome finding.</w:t>
      </w:r>
    </w:p>
    <w:p>
      <w:pPr>
        <w:pStyle w:val="SourceNote"/>
      </w:pPr>
      <w:r>
        <w:rPr>
          <w:b/>
        </w:rPr>
        <w:t>Available abstract (not full text):</w:t>
      </w:r>
      <w:r>
        <w:t xml:space="preserve"> Most existing food-related research efforts focus on recipe retrieval, user preference-based food recommendation, kitchen assistance, or nutritional and caloric estimation of dishes, ignoring personalized and conscious food recommendations resources of the planet. Therefore, in this work, we present a personalized food recommendation scheme, mapping the ingredients to the most resource-friendly dishes on the planet and in particular, selecting recipes that contain ingredients that consume as little water as possible for their production. The system proposed here is able to understand the user’s behavior and to suggest tailor-made recipes with lower water quantity used in production. By continuously using the system, the user can gradually reduce their water footprint and benefit from a healthier diet. The proposed recommendation system was compared with the results of two papers available in the literature that represent the state of the art, obtaining similar results. Therefore, the results of the presented recommendation system can be considered reliable.</w:t>
      </w:r>
    </w:p>
    <w:p>
      <w:pPr>
        <w:pStyle w:val="Heading2"/>
      </w:pPr>
      <w:r>
        <w:t>829. Financing Innovations for the Renewable Energy Transition in Europe</w:t>
      </w:r>
    </w:p>
    <w:p>
      <w:pPr>
        <w:pStyle w:val="SourceNote"/>
      </w:pPr>
      <w:r>
        <w:rPr>
          <w:b/>
        </w:rPr>
        <w:t>Original source (2016):</w:t>
      </w:r>
      <w:r>
        <w:t xml:space="preserve"> https://doi.org/10.3390/en9120990</w:t>
      </w:r>
    </w:p>
    <w:p>
      <w:pPr/>
      <w:r>
        <w:t>Original wording (abstract; indexed_source_text_not_full_document_verified): Results indicate that Member States in Europe currently tend to fund renewables more than the European Commission, but funding from both sources is expected to increase in the future. Both scenarios are compared to the European 2030 climate and energy framework target sets.</w:t>
      </w:r>
    </w:p>
    <w:p>
      <w:pPr/>
      <w:r>
        <w:rPr>
          <w:b/>
        </w:rPr>
        <w:t>POSSIBLE 2026:</w:t>
      </w:r>
      <w:r>
        <w:t xml:space="preserve"> The Budgetary and Economic Impact of Taxation in the Member States of the European Union — https://openalex.org/W7169690466</w:t>
      </w:r>
    </w:p>
    <w:p>
      <w:pPr/>
      <w:r>
        <w:rPr>
          <w:b/>
        </w:rPr>
        <w:t>Shared claim-specific concepts:</w:t>
      </w:r>
      <w:r>
        <w:t xml:space="preserve"> member, states, framework; EU scope visible. This is a provisional connection, not an outcome finding.</w:t>
      </w:r>
    </w:p>
    <w:p>
      <w:pPr>
        <w:pStyle w:val="SourceNote"/>
      </w:pPr>
      <w:r>
        <w:rPr>
          <w:b/>
        </w:rPr>
        <w:t>Available abstract (not full text):</w:t>
      </w:r>
      <w:r>
        <w:t xml:space="preserve"> Fiscal policy is a key strategic instrument in the European macroeconomic framework, serving a dual role: as the primary source of public revenue and as a mechanism for countercyclical intervention, redistribution, and the correction of market failures. This research proposes an integrated, theoretical-empirical examination of the budgetary and macroeconomic repercussions of taxation in European Union member states, emphasizing the mechanisms through which the level and composition of tax revenues influence GDP growth, fiscal balance, employment, and living standards. Conceptually, the study is based on the classical and contemporary paradigms of public finance and on approaches regarding the nonlinear relationships between tax pressure and tax revenue. Methodologically, the study employs a comparative structural approach combined with descriptive analyses of time series and econometric inference – including higher-order polynomial regressions to test the empirical form of the Laffer Curve – based on official statistical data (EUROSTAT, AMECO). The main findings highlight persistent heterogeneity in fiscal positions across EU, a robust relationship between employment and the level of tax revenue collected, and a complex correlation between the tax burden and living standards, mediated by the tax base and productivity. The Romania case study indicates high elasticity of tax reve</w:t>
      </w:r>
    </w:p>
    <w:p>
      <w:pPr/>
      <w:r>
        <w:rPr>
          <w:b/>
        </w:rPr>
        <w:t>POSSIBLE 2026:</w:t>
      </w:r>
      <w:r>
        <w:t xml:space="preserve"> Maritime Passenger Mobility in the European Union: Trends, Recovery and a Typology of Member States — https://doi.org/10.35808/ersj/4439</w:t>
      </w:r>
    </w:p>
    <w:p>
      <w:pPr/>
      <w:r>
        <w:rPr>
          <w:b/>
        </w:rPr>
        <w:t>Shared claim-specific concepts:</w:t>
      </w:r>
      <w:r>
        <w:t xml:space="preserve"> indicate, member, states, both, increase; EU scope visible. This is a provisional connection, not an outcome finding.</w:t>
      </w:r>
    </w:p>
    <w:p>
      <w:pPr>
        <w:pStyle w:val="SourceNote"/>
      </w:pPr>
      <w:r>
        <w:rPr>
          <w:b/>
        </w:rPr>
        <w:t>Available abstract (not full text):</w:t>
      </w:r>
      <w:r>
        <w:t xml:space="preserve"> Purpose: The aim of this article is to identify and assess the differentiated recovery trajectories of maritime passenger mobility in European Union Member States following the disruption caused by the COVID-19 pandemic.The study focuses on determining the extent to which individual countries restored passenger traffic levels and whether groups of countries characterised by similar recovery patterns can be distinguished over the period 2019-2024.Design/MethodologyApproach: The study covers European Union Member States for which comparable statistical data on maritime passenger transport were available for 2019-2024.Eurostat data on the number of passengers handled in seaports were used.Changes were assessed using growth indices, the Recovery Index and the average post-pandemic recovery growth rate.To identify countries with similar trajectories, hierarchical cluster analysis using Ward's method was applied after standardisation of the variables. Findings:The results indicate that the recovery of maritime passenger mobility in the European Union was clearly heterogeneous.Despite an overall increase in passenger numbers after 2020, both the pace and scale of recovery differed substantially across Member States.Cluster analysis identified distinct recovery trajectories, ranging from countries that rapidly returned to or exceeded pre-pandemic passenger levels to cases of persistent</w:t>
      </w:r>
    </w:p>
    <w:p>
      <w:pPr/>
      <w:r>
        <w:rPr>
          <w:b/>
        </w:rPr>
        <w:t>POSSIBLE 2025:</w:t>
      </w:r>
      <w:r>
        <w:t xml:space="preserve"> Comparison of Excise Duties in the Member States of the European Union — https://openalex.org/W7128985412</w:t>
      </w:r>
    </w:p>
    <w:p>
      <w:pPr/>
      <w:r>
        <w:rPr>
          <w:b/>
        </w:rPr>
        <w:t>Shared claim-specific concepts:</w:t>
      </w:r>
      <w:r>
        <w:t xml:space="preserve"> indicate, member, states, both, framework; EU scope visible. This is a provisional connection, not an outcome finding.</w:t>
      </w:r>
    </w:p>
    <w:p>
      <w:pPr>
        <w:pStyle w:val="SourceNote"/>
      </w:pPr>
      <w:r>
        <w:rPr>
          <w:b/>
        </w:rPr>
        <w:t>Available abstract (not full text):</w:t>
      </w:r>
      <w:r>
        <w:t xml:space="preserve"> This thesis focuses on the regulation of excise duties in the member states of the European Union, their harmonization, legislative framework, and application across individual EU countries. It analyses the overall tax burden, tax rates, and revenues from excise duties. Both qualitative methods, such as data collection and observation, and quantitative methods, including cluster analysis, trend analysis, and data comparison, are used. The results show a high level of similarity among member states' tax systems, confirming the significant impact of harmonization. Exceptions occur infrequently. The findings also indicate that increasing tax rates as part of the harmonization process contributes in most countries to reducing the consumption of harmful commodities and provides stable public revenue. Thus, the harmonization of excise duties within the EU fulfils its role both fiscally and in terms of public health.</w:t>
      </w:r>
    </w:p>
    <w:p>
      <w:pPr/>
      <w:r>
        <w:rPr>
          <w:b/>
        </w:rPr>
        <w:t>POSSIBLE 2025:</w:t>
      </w:r>
      <w:r>
        <w:t xml:space="preserve"> The Governance and Funding of European Rearmament — https://doi.org/10.2478/ie-2025-0041</w:t>
      </w:r>
    </w:p>
    <w:p>
      <w:pPr/>
      <w:r>
        <w:rPr>
          <w:b/>
        </w:rPr>
        <w:t>Shared claim-specific concepts:</w:t>
      </w:r>
      <w:r>
        <w:t xml:space="preserve"> states, fund, but, funding, both, increase; EU scope visible. This is a provisional connection, not an outcome finding.</w:t>
      </w:r>
    </w:p>
    <w:p>
      <w:pPr>
        <w:pStyle w:val="SourceNote"/>
      </w:pPr>
      <w:r>
        <w:rPr>
          <w:b/>
        </w:rPr>
        <w:t>Available abstract (not full text):</w:t>
      </w:r>
      <w:r>
        <w:t xml:space="preserve"> Europe faces a grave security threat. Gaps in European military equipment are substantial compared to Russia's military build-up. The European defence market is fragmented and weakened by home bias in procurement, low order numbers and technological gaps. These problems reflect the combination of past reliance on the United States and Europe's nationally-based defence governance. With the US now retreating from its role of European guardian, greater cooperation is essential to close technological gaps and reduce rearmament costs. Unless procurement is pooled and fragmentation reduced, additional demand for defence goods will mainly drive up prices. Better-integrated defence markets would both increase competition and facilitate entry of new defence technology firms. The combination of integrated markets and scaled-up procurement could lead to a halving of unit costs. European Union measures including the European Defence Fund, the Act in Support of Ammunition Production, the European Defence Industry Reinforcement through Common Procurement Act and ReArm Europe represent progress towards strengthening the supply of military goods but the incentives offered are too small to address the home bias in procurement or to coordinate the provision of 'strategic enablers' such as military satellites. To go further, the EU and its European allies have two options. First, the role of the </w:t>
      </w:r>
    </w:p>
    <w:p>
      <w:pPr/>
      <w:r>
        <w:rPr>
          <w:b/>
        </w:rPr>
        <w:t>POSSIBLE 2025:</w:t>
      </w:r>
      <w:r>
        <w:t xml:space="preserve"> Settling the debate: does digitalisation impact the economic growth in the European Union Member States? — https://doi.org/10.3846/tede.2025.22576</w:t>
      </w:r>
    </w:p>
    <w:p>
      <w:pPr/>
      <w:r>
        <w:rPr>
          <w:b/>
        </w:rPr>
        <w:t>Shared claim-specific concepts:</w:t>
      </w:r>
      <w:r>
        <w:t xml:space="preserve"> indicate, member, states; EU scope visible. This is a provisional connection, not an outcome finding.</w:t>
      </w:r>
    </w:p>
    <w:p>
      <w:pPr>
        <w:pStyle w:val="SourceNote"/>
      </w:pPr>
      <w:r>
        <w:rPr>
          <w:b/>
        </w:rPr>
        <w:t>Available abstract (not full text):</w:t>
      </w:r>
      <w:r>
        <w:t xml:space="preserve"> This research analyses the influence of digitalisation (Digitalisation Composite Indicator (ITC)) on economic growth (GDP per capita) by scrutinising the progression of digitalisation intensity and its impact. Digital technology has the potential to exert a substantial influence on various facets of the national economy, significantly impacting economic growth, innovation, and overall quality of life. Given the disparities among European Union Member States concerning governance quality, the imperative of digitalisation becomes evident in advancing economic prosperity, irrespective of a country’s development status. Specifically, our study aims to evaluate the effects of the implementation of digital tools on economic growth in the Member States of the European Union (EU-27) from 2017 to 2021. Two advanced methods, Principal Component Analysis (PCA) and the Ordinary Least Square model (OLS), were employed to conduct the empirical research. The findings indicate that before the pandemic, the level of digitalisation was subpar, marked by limited technological advancement. Nations exhibiting a heightened degree of digitalisation also demonstrate elevated levels of economic development. These results underscore countries’ need to realign and reconfigure their digital transformation strategies, emphasising incorporating digital technologies and cultivating ongoing innovation to bols</w:t>
      </w:r>
    </w:p>
    <w:p>
      <w:pPr/>
      <w:r>
        <w:rPr>
          <w:b/>
        </w:rPr>
        <w:t>POSSIBLE 2025:</w:t>
      </w:r>
      <w:r>
        <w:t xml:space="preserve"> Small and Medium-Sized Central European Member States vs. EU Reform — https://doi.org/10.1007/978-94-6265-718-2_16</w:t>
      </w:r>
    </w:p>
    <w:p>
      <w:pPr/>
      <w:r>
        <w:rPr>
          <w:b/>
        </w:rPr>
        <w:t>Shared claim-specific concepts:</w:t>
      </w:r>
      <w:r>
        <w:t xml:space="preserve"> member, states, commission; EU scope visible. This is a provisional connection, not an outcome finding.</w:t>
      </w:r>
    </w:p>
    <w:p>
      <w:pPr>
        <w:pStyle w:val="SourceNote"/>
      </w:pPr>
      <w:r>
        <w:rPr>
          <w:b/>
        </w:rPr>
        <w:t>Available abstract (not full text):</w:t>
      </w:r>
      <w:r>
        <w:t xml:space="preserve"> The process of the next constitutional reform of the European Union (EU), of which the publication of the report of the German–French working group (2023), as well as the adoption by the European Parliament of the proposal to amend the EU’s treaty basis in November 2023, was an important milestone, as announced by the old-new President of the European Commission, U. von der Leyen will be continued. The directions of this reform indicated in multiple EU documents, including also the current practice of applying EU law, call for an in-depth reflection on the present status of medium and small-sized Member States from Central Europe and the consequences of the proposed solutions for them. Having in mind the title of the volume “The European Union 2004–2024: Twenty Years of Legal Experience, Challenges and Growth after Unprecedented EU Enlargement”, the chapter will be definitely focused on experiences and challenges from the perspective of Member States which acceded to the EU respectively in 2004, 2007 and 2013, and which belong to small and medium-sized countries and are located in Central Europe. The overall assessment of 20 years of membership is positive, although the process of integration of these countries has been completed neither at the economic level, reaching 51% of the EU average real GDP, nor at the institutional level, i.e. the omission of representatives of these </w:t>
      </w:r>
    </w:p>
    <w:p>
      <w:pPr/>
      <w:r>
        <w:rPr>
          <w:b/>
        </w:rPr>
        <w:t>POSSIBLE 2024:</w:t>
      </w:r>
      <w:r>
        <w:t xml:space="preserve"> Stronger Member States for a Stronger European Union — https://doi.org/10.62733/2024.2.143-161</w:t>
      </w:r>
    </w:p>
    <w:p>
      <w:pPr/>
      <w:r>
        <w:rPr>
          <w:b/>
        </w:rPr>
        <w:t>Shared claim-specific concepts:</w:t>
      </w:r>
      <w:r>
        <w:t xml:space="preserve"> member, states, both; EU scope visible. This is a provisional connection, not an outcome finding.</w:t>
      </w:r>
    </w:p>
    <w:p>
      <w:pPr>
        <w:pStyle w:val="SourceNote"/>
      </w:pPr>
      <w:r>
        <w:rPr>
          <w:b/>
        </w:rPr>
        <w:t>Available abstract (not full text):</w:t>
      </w:r>
      <w:r>
        <w:t xml:space="preserve"> When discussing topics such as national sovereignty and the primacy of European Union (EU) law, the main question boils down to the distribution of competences. We must acknowledge both the historical context of the EU and the current trends in its role in the world’s geopolitical structure. This study focuses on identifying the extent of the limitations surrounding the EU’s power in the Hungarian legislature, how sovereignty is defined, and what aspects of constitutional identity are raised in conversations around this issue. Furthermore, the study aims to present relevant national case law related to the principle of the primacy of EU law and its relationship with Hungary’s national sovereignty and compare it with the position of other Member States’ national courts. This is a vital part of the discussion at hand, which will hopefully lead to an open conversation regarding the future of the EU, the possible outcome of a Convent, and what the continent will look like in the future. The study hypothesises that Member States will follow the trend of attempting to maintain as much sovereignty as possible via the decisions of their Constitutional Courts, in addition to contradicting some EU measures and resisting certain aspirations. Despite this phenomenon, integration is undoubtedly necessary; therefore, this conflict requires an urgent resolution, which will hopefully draw a li</w:t>
      </w:r>
    </w:p>
    <w:p>
      <w:pPr/>
      <w:r>
        <w:rPr>
          <w:b/>
        </w:rPr>
        <w:t>POSSIBLE 2024:</w:t>
      </w:r>
      <w:r>
        <w:t xml:space="preserve"> Conservation needs and opportunities drive LIFE funding allocation for European birds — https://doi.org/10.1016/j.biocon.2024.110833</w:t>
      </w:r>
    </w:p>
    <w:p>
      <w:pPr/>
      <w:r>
        <w:rPr>
          <w:b/>
        </w:rPr>
        <w:t>Shared claim-specific concepts:</w:t>
      </w:r>
      <w:r>
        <w:t xml:space="preserve"> member, tend, but, funding, expected; EU scope visible. This is a provisional connection, not an outcome finding.</w:t>
      </w:r>
    </w:p>
    <w:p>
      <w:pPr>
        <w:pStyle w:val="SourceNote"/>
      </w:pPr>
      <w:r>
        <w:rPr>
          <w:b/>
        </w:rPr>
        <w:t>Available abstract (not full text):</w:t>
      </w:r>
      <w:r>
        <w:t xml:space="preserve"> Conservation resources are unevenly distributed among species and this can hamper conservation efforts. Previous research indicates that species popularity can be strongly associated with conservation funding allocation, suggesting conservation outcomes can be partly influenced by subjective human perceptions. We assessed the allocation of European Union LIFE projects targeting species conservation among European birds (548 species) and how it associates with species' conservation priorities, scientific knowledge availability, distribution, popularity and visual aesthetic attractiveness. We modelled how these factors relate to the probability that a species has received EU LIFE funding, and how many projects have targeted it. As expected given LIFE funding regulations, species listed in the EU Birds Directive Annex I are more likely to receive funding than non-listed species, and receive more projects. We also found that knowledge availability, presence in more EU member countries with access to LIFE funding, and higher conservation priority in Europe are positively associated with the probability of receiving funding, and the number of projects received. More popular species are less likely to receive conservation funding, but tend to receive more projects when allocated funding. Visual attractiveness was not associated with funding. These results suggest that pragmatic factor</w:t>
      </w:r>
    </w:p>
    <w:p>
      <w:pPr/>
      <w:r>
        <w:rPr>
          <w:b/>
        </w:rPr>
        <w:t>POSSIBLE 2024:</w:t>
      </w:r>
      <w:r>
        <w:t xml:space="preserve"> THE INFLUENCE OF EUROPEAN FISCAL POLICIES ON STRATEGIES FOR ATTRACTING EUROPEAN FUNDS – A COMPARATIVE ANALYSIS — https://doi.org/10.61846/cuji-ssh.2024.4.08</w:t>
      </w:r>
    </w:p>
    <w:p>
      <w:pPr/>
      <w:r>
        <w:rPr>
          <w:b/>
        </w:rPr>
        <w:t>Shared claim-specific concepts:</w:t>
      </w:r>
      <w:r>
        <w:t xml:space="preserve"> member, states, fund, commission, funding, framework; EU scope visible. This is a provisional connection, not an outcome finding.</w:t>
      </w:r>
    </w:p>
    <w:p>
      <w:pPr>
        <w:pStyle w:val="SourceNote"/>
      </w:pPr>
      <w:r>
        <w:rPr>
          <w:b/>
        </w:rPr>
        <w:t>Available abstract (not full text):</w:t>
      </w:r>
      <w:r>
        <w:t xml:space="preserve"> European fiscal policies significantly shape member states' strategies for attracting and utilising European funds, influencing the allocation of resources, compliance requirements, and fund accessibility. This article explores the comparative impact of these policies on fund attraction strategies across EU member states, focusing on how fiscal regulations either facilitate or restrict effective fund utilisation. Using a legislative comparative analysis alongside cause-effect methodology, this study examines variations in fiscal policy frameworks, compliance dynamics, and administrative capacities. Findings suggest that while aligned fiscal policies can foster efficiency and transparency, variations in national frameworks create disparities in fund attraction success, requiring adaptive strategies tailored to each member state. KEYWORDS: comparative analysis, european fiscal policies, EU member states, fiscal strategy, fund attraction, legislative impact. J.E.L. CLASSIFICATION: H77, H87, E62 1. INTRODUCTION European fiscal policies play a pivotal role in shaping the ability of member states to attract and utilise European funds, which are essential for financing local development, infrastructure, and economic growth. By setting overarching regulatory frameworks, the European Union (EU) aims to standardise fund accessibility and encourage fiscal responsibility across its member </w:t>
      </w:r>
    </w:p>
    <w:p>
      <w:pPr/>
      <w:r>
        <w:rPr>
          <w:b/>
        </w:rPr>
        <w:t>POSSIBLE 2023:</w:t>
      </w:r>
      <w:r>
        <w:t xml:space="preserve"> The impact of the European social fund on youth education and employment — https://doi.org/10.1016/j.seps.2023.101650</w:t>
      </w:r>
    </w:p>
    <w:p>
      <w:pPr/>
      <w:r>
        <w:rPr>
          <w:b/>
        </w:rPr>
        <w:t>Shared claim-specific concepts:</w:t>
      </w:r>
      <w:r>
        <w:t xml:space="preserve"> fund, funding, both; EU scope visible. This is a provisional connection, not an outcome finding.</w:t>
      </w:r>
    </w:p>
    <w:p>
      <w:pPr>
        <w:pStyle w:val="SourceNote"/>
      </w:pPr>
      <w:r>
        <w:rPr>
          <w:b/>
        </w:rPr>
        <w:t>Available abstract (not full text):</w:t>
      </w:r>
      <w:r>
        <w:t xml:space="preserve"> The effectiveness of the European Union's Cohesion Policy in reducing regional socio-economic gaps remains an open empirical issue, while evidence as to how the policy is affected by specific territorial factors and which social groups benefit most from it remains sparse. This article seeks to address this gap by disentangling the impact of the European Social Fund (ESF) on youth education and employment prospects. Drawing on macro-level data for the European NUTS-2 regions, we assess the impact that this fund has on different education-specific youth population shares and employment rates. In the case of education, we find that the receipt of funding is associated with a human capital polarization of regional populations. Specifically, we identify a positive impact of the ESF on population shares with lower-secondary and tertiary education, and a simultaneous negative impact on the share of those with upper-secondary education. In the case of employment, we find a positive response for youth of all education levels. A heterogeneity analysis indicates that both the education and employment responses of the youth population to the receipt of the ESF are strongly influenced by local specialization in high-skilled activities.</w:t>
      </w:r>
    </w:p>
    <w:p>
      <w:pPr/>
      <w:r>
        <w:rPr>
          <w:b/>
        </w:rPr>
        <w:t>POSSIBLE 2023:</w:t>
      </w:r>
      <w:r>
        <w:t xml:space="preserve"> Environmental Assessment of Residential Space Heating and Cooling Technologies in Europe: A Review of 11 European Member States — https://doi.org/10.3390/su15054288</w:t>
      </w:r>
    </w:p>
    <w:p>
      <w:pPr/>
      <w:r>
        <w:rPr>
          <w:b/>
        </w:rPr>
        <w:t>Shared claim-specific concepts:</w:t>
      </w:r>
      <w:r>
        <w:t xml:space="preserve"> member, states, climate, energy; EU scope visible. This is a provisional connection, not an outcome finding.</w:t>
      </w:r>
    </w:p>
    <w:p>
      <w:pPr>
        <w:pStyle w:val="SourceNote"/>
      </w:pPr>
      <w:r>
        <w:rPr>
          <w:b/>
        </w:rPr>
        <w:t>Available abstract (not full text):</w:t>
      </w:r>
      <w:r>
        <w:t xml:space="preserve"> Greenhouse gas emissions have reached critical levels and climate change is threatening the globe. Thus, the space heating and cooling sector is striving to decarbonize assets through higher efficiency and renewable energy adoption for 2030 and 2050. This article reviewed data about the environmental impact and the primary energy consumption of 27 space heating and cooling technologies for the residential sector as if they were adopted in 11 different European member states: Austria, Cyprus, Denmark, Estonia, France, Germany, Italy, Poland, Romania, Spain, and Sweden. Direct emissions from the machineries and upstream indirect emissions from the energy carriers were considered. The analysis indicates that the adoption of renewable energy-powered technologies should be prioritized due to the significantly lower emissions related to these technologies. Notably, the emissions of electricity-powered technologies, if not driven by the direct self-consumption of renewable energy systems, highly depend on the region of adoption: in specific cases, such as in Poland, Cyprus, and Estonia, they can even exceed the emissions of coal-powered technologies. These countries should speed up the adoption of decarbonization policies regarding the residential sector to close the gap with the other EU member states and provide their contribution to the EU climate change goals.</w:t>
      </w:r>
    </w:p>
    <w:p>
      <w:pPr/>
      <w:r>
        <w:rPr>
          <w:b/>
        </w:rPr>
        <w:t>POSSIBLE 2023:</w:t>
      </w:r>
      <w:r>
        <w:t xml:space="preserve"> The European Union and within‐country income inequalities. The case of the new member states — https://doi.org/10.1111/twec.13388</w:t>
      </w:r>
    </w:p>
    <w:p>
      <w:pPr/>
      <w:r>
        <w:rPr>
          <w:b/>
        </w:rPr>
        <w:t>Shared claim-specific concepts:</w:t>
      </w:r>
      <w:r>
        <w:t xml:space="preserve"> indicate, member, states; EU scope visible. This is a provisional connection, not an outcome finding.</w:t>
      </w:r>
    </w:p>
    <w:p>
      <w:pPr>
        <w:pStyle w:val="SourceNote"/>
      </w:pPr>
      <w:r>
        <w:rPr>
          <w:b/>
        </w:rPr>
        <w:t>Available abstract (not full text):</w:t>
      </w:r>
      <w:r>
        <w:t xml:space="preserve"> Abstract Although addressing income inequalities is one of the main challenges in the European Union (EU), whether the EU has influenced income distributions, possibly causing a rise in inequalities, is still a heavily underexplored topic. Using the newest methodological developments associated with the counterfactual estimations, I assessed the distributional effects of the 2004 EU enlargement. The results indicate that EU accession cannot be held responsible for any significant changes in income inequalities in the New Member States. That finding is robust to changes in the method of estimation, and it is also supported by dynamic panel data methods.</w:t>
      </w:r>
    </w:p>
    <w:p>
      <w:pPr>
        <w:pStyle w:val="Heading2"/>
      </w:pPr>
      <w:r>
        <w:t>830. First-mover advantages of the European Union's climate change mitigation strategy</w:t>
      </w:r>
    </w:p>
    <w:p>
      <w:pPr>
        <w:pStyle w:val="SourceNote"/>
      </w:pPr>
      <w:r>
        <w:rPr>
          <w:b/>
        </w:rPr>
        <w:t>Original source (2016):</w:t>
      </w:r>
      <w:r>
        <w:t xml:space="preserve"> https://doi.org/10.1002/er.3487</w:t>
      </w:r>
    </w:p>
    <w:p>
      <w:pPr/>
      <w:r>
        <w:t>Original wording (abstract; indexed_source_text_not_full_document_verified): Assuming that strong climate mitigation action will be undertaken only after 2030, the scenarios compare two main strategies for the EU: pursuing strong emission reduction unilaterally until 2030 versus deferring action for the period after 2030. The model-based projections show clear advantages for the EU as a first mover in climate change mitigation compared with a delaying of climate action until 2030.</w:t>
      </w:r>
    </w:p>
    <w:p>
      <w:pPr/>
      <w:r>
        <w:rPr>
          <w:b/>
        </w:rPr>
        <w:t>POSSIBLE 2026:</w:t>
      </w:r>
      <w:r>
        <w:t xml:space="preserve"> Climate change will increase forest disturbances in Europe throughout the 21st century — https://doi.org/10.1126/science.adx6329</w:t>
      </w:r>
    </w:p>
    <w:p>
      <w:pPr/>
      <w:r>
        <w:rPr>
          <w:b/>
        </w:rPr>
        <w:t>Shared claim-specific concepts:</w:t>
      </w:r>
      <w:r>
        <w:t xml:space="preserve"> climate, main, show; EU scope visible. This is a provisional connection, not an outcome finding.</w:t>
      </w:r>
    </w:p>
    <w:p>
      <w:pPr>
        <w:pStyle w:val="SourceNote"/>
      </w:pPr>
      <w:r>
        <w:rPr>
          <w:b/>
        </w:rPr>
        <w:t>Available abstract (not full text):</w:t>
      </w:r>
      <w:r>
        <w:t xml:space="preserve"> Wildfires, insect outbreaks, and storms cause large pulses of tree mortality. Climate change amplifies these forest disturbances, yet their future magnitude and extent remain uncertain. Here, we simulated future forest disturbance regimes at 100-meter resolution across Europe using a deep learning-based simulation framework. Our results show that forest disturbances will continue to increase throughout the 21st century, with disturbed areas more than doubling relative to the recent past under an unabated continuation of climate change. Wildfires are the main agent driving future disturbance change. Changing disturbances result in an increase in young forests, substantially altering Europe's forest demography. Because of their profound implications for forest carbon storage and the habitat value of forest ecosystems, disturbances should be a priority of forest policy and management.</w:t>
      </w:r>
    </w:p>
    <w:p>
      <w:pPr/>
      <w:r>
        <w:rPr>
          <w:b/>
        </w:rPr>
        <w:t>POSSIBLE 2025:</w:t>
      </w:r>
      <w:r>
        <w:t xml:space="preserve"> Outpacing climate change: adaptation to heatwaves in Europe — https://doi.org/10.1007/s00484-025-02872-0</w:t>
      </w:r>
    </w:p>
    <w:p>
      <w:pPr/>
      <w:r>
        <w:rPr>
          <w:b/>
        </w:rPr>
        <w:t>Shared claim-specific concepts:</w:t>
      </w:r>
      <w:r>
        <w:t xml:space="preserve"> assuming, climate, reduction, period; EU scope visible. This is a provisional connection, not an outcome finding.</w:t>
      </w:r>
    </w:p>
    <w:p>
      <w:pPr>
        <w:pStyle w:val="SourceNote"/>
      </w:pPr>
      <w:r>
        <w:rPr>
          <w:b/>
        </w:rPr>
        <w:t>Available abstract (not full text):</w:t>
      </w:r>
      <w:r>
        <w:t xml:space="preserve"> Current predictions of climate change impacts rely on conservative assumptions about a lack of adaptation, projecting significantly increased heatwave mortality. However, long-term studies have shown a decline in actual heatwave deaths, raising questions about the underlying mechanisms. We combined Eurostat weekly mortality data (baseline extracted via Seasonal-Trend decomposition by Loess and smoothed through Principal Component Analysis dimension reduction and reconstruction) with economic indicators, Copernicus temperature data since 1950, and ENTSO-E electricity demand data. Panel regression analyzed mortality patterns during weeks with daily temperatures exceeding 22 °C for 2000-2022. During the analyzed period, Europe outpaced climate change, with the capacity to tolerate an additional 1 °C rise every 17.9 years [95% CI 15.3-22.7]. Extending the temperature indicators beyond the prior 3 years did not enhance predictive accuracy, suggesting swift adaptations and historical climate lacked any predictive value. Additionally, increasing economic output, likely driven by infrastructural improvements, especially greater affordability of air conditioning, enabled tolerating each additional 1 °C due to a per capita GDP increase of 19.7 thousand euros [95% CI 14.6-30.3]. Consistently, the increase in cooling energy demand was the strongest in eastern Europe. The findings shed ligh</w:t>
      </w:r>
    </w:p>
    <w:p>
      <w:pPr/>
      <w:r>
        <w:rPr>
          <w:b/>
        </w:rPr>
        <w:t>POSSIBLE 2024:</w:t>
      </w:r>
      <w:r>
        <w:t xml:space="preserve"> Climate Obstruction across Europe — https://doi.org/10.1093/oso/9780197762042.001.0001</w:t>
      </w:r>
    </w:p>
    <w:p>
      <w:pPr/>
      <w:r>
        <w:rPr>
          <w:b/>
        </w:rPr>
        <w:t>Shared claim-specific concepts:</w:t>
      </w:r>
      <w:r>
        <w:t xml:space="preserve"> climate, action, strategies; EU scope visible. This is a provisional connection, not an outcome finding.</w:t>
      </w:r>
    </w:p>
    <w:p>
      <w:pPr>
        <w:pStyle w:val="SourceNote"/>
      </w:pPr>
      <w:r>
        <w:rPr>
          <w:b/>
        </w:rPr>
        <w:t>Available abstract (not full text):</w:t>
      </w:r>
      <w:r>
        <w:t xml:space="preserve"> Abstract Understanding climate obstruction is foundational to advancing effective action on the issue. Starting in the late 1980s, a broad range of actors, including corporations and trade associations, acting in coordination with conservative think tanks, foundations, and public relations firms, mounted a long-term effort to oppose action to mitigate carbon emissions responsible for climate change. Many portrayals of this effort focus on the United States; Climate Obstruction across Europe for the first time documents the development and nature of these activities across the Continent and the United Kingdom. Leading teams of experts examine case studies of eleven nations and the European Union (EU). Each team documents the historic development of climate obstruction in a country, the principal organizations involved in these efforts, the strategies and tactics utilized, and the nature of the arguments made to slow or stop climate action. Noting significant differences between countries, the book concludes with ten lessons on climate obstruction across Europe which emerge from the studies. National economies and histories are foundational in shaping obstruction and shaping the actors, lobbies, and the places for think tanks to operate. The public relations industry pushes climate delay into the public and policymaking arenas, providing fodder for a media already inclined to sup</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climate, mitigation, projections;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2023:</w:t>
      </w:r>
      <w:r>
        <w:t xml:space="preserve"> Famines in medieval and early modern Europe—Connecting climate and society — https://doi.org/10.1002/wcc.859</w:t>
      </w:r>
    </w:p>
    <w:p>
      <w:pPr/>
      <w:r>
        <w:rPr>
          <w:b/>
        </w:rPr>
        <w:t>Shared claim-specific concepts:</w:t>
      </w:r>
      <w:r>
        <w:t xml:space="preserve"> strong, climate, main, period; EU scope visible. This is a provisional connection, not an outcome finding.</w:t>
      </w:r>
    </w:p>
    <w:p>
      <w:pPr>
        <w:pStyle w:val="SourceNote"/>
      </w:pPr>
      <w:r>
        <w:rPr>
          <w:b/>
        </w:rPr>
        <w:t>Available abstract (not full text):</w:t>
      </w:r>
      <w:r>
        <w:t xml:space="preserve"> Abstract The article evaluates recent scholarship on famines in Europe during the medieval and early modern periods (c. 700–1800), synthesizing the state‐of‐the‐art knowledge and identifying both research gaps and interdisciplinary potentials. Particular focus is placed on how, and to what extent, climatic change and variability is given explanatory power in famine causation. Current research, supported by recent advances in palaeoclimatology, reveals that anomalous cold conditions constituted the main environmental backdrop for severe food production crises that could result in famines in pre‐industrial Europe. Such food crises occurred most frequently between c. 1550 and 1710, during the climax of the Little Ice Age cooling, and can be connected to the strong dependency on grain in Europe during this period. The available body of scholarship demonstrates that famines in medieval and early modern Europe best can be understood as the result of the interactions of climatic and societal stressors responding to pre‐existing vulnerabilities. Recent research has shown that societal responses to these famines, and the appropriation of their consequences, have been much more comprehensive, dynamic, and substantial than previously assumed. The article concludes by providing recommendations for future studies on historical famines. This article is categorized under: Climate, History, So</w:t>
      </w:r>
    </w:p>
    <w:p>
      <w:pPr/>
      <w:r>
        <w:rPr>
          <w:b/>
        </w:rPr>
        <w:t>POSSIBLE 2023:</w:t>
      </w:r>
      <w:r>
        <w:t xml:space="preserve"> Climate-trait relationships exhibit strong habitat specificity in plant communities across Europe — https://doi.org/10.1038/s41467-023-36240-6</w:t>
      </w:r>
    </w:p>
    <w:p>
      <w:pPr/>
      <w:r>
        <w:rPr>
          <w:b/>
        </w:rPr>
        <w:t>Shared claim-specific concepts:</w:t>
      </w:r>
      <w:r>
        <w:t xml:space="preserve"> assuming, strong, climate, only; EU scope visible. This is a provisional connection, not an outcome finding.</w:t>
      </w:r>
    </w:p>
    <w:p>
      <w:pPr>
        <w:pStyle w:val="SourceNote"/>
      </w:pPr>
      <w:r>
        <w:rPr>
          <w:b/>
        </w:rPr>
        <w:t>Available abstract (not full text):</w:t>
      </w:r>
      <w:r>
        <w:t xml:space="preserve"> Ecological theory predicts close relationships between macroclimate and functional traits. Yet, global climatic gradients correlate only weakly with the trait composition of local plant communities, suggesting that important factors have been ignored. Here, we investigate the consistency of climate-trait relationships for plant communities in European habitats. Assuming that local factors are better accounted for in more narrowly defined habitats, we assigned &gt; 300,000 vegetation plots to hierarchically classified habitats and modelled the effects of climate on the community-weighted means of four key functional traits using generalized additive models. We found that the predictive power of climate increased from broadly to narrowly defined habitats for specific leaf area and root length, but not for plant height and seed mass. Although macroclimate generally predicted the distribution of all traits, its effects varied, with habitat-specificity increasing toward more narrowly defined habitats. We conclude that macroclimate is an important determinant of terrestrial plant communities, but future predictions of climatic effects must consider how habitats are defined.</w:t>
      </w:r>
    </w:p>
    <w:p>
      <w:pPr/>
      <w:r>
        <w:rPr>
          <w:b/>
        </w:rPr>
        <w:t>POSSIBLE 2022:</w:t>
      </w:r>
      <w:r>
        <w:t xml:space="preserve"> 21st Century alpine climate change — https://doi.org/10.1007/s00382-022-06303-3</w:t>
      </w:r>
    </w:p>
    <w:p>
      <w:pPr/>
      <w:r>
        <w:rPr>
          <w:b/>
        </w:rPr>
        <w:t>Shared claim-specific concepts:</w:t>
      </w:r>
      <w:r>
        <w:t xml:space="preserve"> strong, climate, two, main, emission, show; EU scope visible. This is a provisional connection, not an outcome finding.</w:t>
      </w:r>
    </w:p>
    <w:p>
      <w:pPr>
        <w:pStyle w:val="SourceNote"/>
      </w:pPr>
      <w:r>
        <w:rPr>
          <w:b/>
        </w:rPr>
        <w:t>Available abstract (not full text):</w:t>
      </w:r>
      <w:r>
        <w:t xml:space="preserve"> Abstract A comprehensive assessment of twenty-first century climate change in the European Alps is presented. The analysis is based on the EURO-CORDEX regional climate model ensemble available at two grid spacings (12.5 and 50 km) and for three different greenhouse gas emission scenarios (RCPs 2.6, 4.5 and 8.5). The core simulation ensemble has been subject to a dedicated evaluation exercise carried out in the frame of the CH2018 Climate Scenarios for Switzerland. Results reveal that the entire Alpine region will face a warmer climate in the course of the twenty-first century for all emission scenarios considered. Strongest warming is projected for the summer season, for regions south of the main Alpine ridge and for the high-end RCP 8.5 scenario. Depending on the season, medium to high elevations might experience an amplified warming. Model uncertainty can be considerable, but the major warming patterns are consistent across the ensemble. For precipitation, a seasonal shift of precipitation amounts from summer to winter over most parts of the domain is projected. However, model uncertainty is high and individual simulations can show change signals of opposite sign. Daily precipitation intensity is projected to increase in all seasons and all sub-domains, while the wet-day frequency will decrease in the summer season. The projected temperature change in summer is negatively cor</w:t>
      </w:r>
    </w:p>
    <w:p>
      <w:pPr/>
      <w:r>
        <w:rPr>
          <w:b/>
        </w:rPr>
        <w:t>POSSIBLE 2021:</w:t>
      </w:r>
      <w:r>
        <w:t xml:space="preserve"> Assessing the Economic Structure, Climate Change and Decarbonisation in Europe — https://doi.org/10.1007/s41748-021-00232-7</w:t>
      </w:r>
    </w:p>
    <w:p>
      <w:pPr/>
      <w:r>
        <w:rPr>
          <w:b/>
        </w:rPr>
        <w:t>Shared claim-specific concepts:</w:t>
      </w:r>
      <w:r>
        <w:t xml:space="preserve"> assuming, strong, climate, mitigation, emission, reduction; EU scope visible. This is a provisional connection, not an outcome finding.</w:t>
      </w:r>
    </w:p>
    <w:p>
      <w:pPr>
        <w:pStyle w:val="SourceNote"/>
      </w:pPr>
      <w:r>
        <w:rPr>
          <w:b/>
        </w:rPr>
        <w:t>Available abstract (not full text):</w:t>
      </w:r>
      <w:r>
        <w:t xml:space="preserve"> Abstract Anthropogenic greenhouse gas (GHG) emissions coming mainly from fossil fuel combustion for energy use are causing air temperature increases resulting in climate change. This study employs an environmentally extended input–output model to conduct an economy-wide assessment of GHG emissions in the European Union (EU). Model results indicate that the assumed growth of economic activity by 2030 will lead to a large increase in GHG emissions by 89%, assuming no technological change and no additional policy mitigation efforts. The electricity sector and agriculture create the highest direct and indirect GHG emissions per unit of economic output across the 27 EU member states (EU-27); for every 1-million-euro-increase in the final demand for the products and services of the electricity sector and agriculture, 2198 and 1410 additional tons of GHG emit, respectively. Regional climate projections under a low-decarbonisation pathway (RCP8.5), in accordance with our economic analysis, indicate a further increase of regional warming, combined with pronounced changes in the hydrological cycle. Contrariwise, following a strong mitigation pathway (RCP2.6) will result in warming levels lower than 1.5 °C with respect to the 1986–2005 reference period. Our findings reveal the importance of both direct and indirect contribution of economic sectors in the generation of GHG emissions, takin</w:t>
      </w:r>
    </w:p>
    <w:p>
      <w:pPr/>
      <w:r>
        <w:rPr>
          <w:b/>
        </w:rPr>
        <w:t>POSSIBLE 2021:</w:t>
      </w:r>
      <w:r>
        <w:t xml:space="preserve"> Emergent vulnerability to climate-driven disturbances in European forests — https://doi.org/10.1038/s41467-021-21399-7</w:t>
      </w:r>
    </w:p>
    <w:p>
      <w:pPr/>
      <w:r>
        <w:rPr>
          <w:b/>
        </w:rPr>
        <w:t>Shared claim-specific concepts:</w:t>
      </w:r>
      <w:r>
        <w:t xml:space="preserve"> climate, mitigation, strategies, reduction, period, show; EU scope visible. This is a provisional connection, not an outcome finding.</w:t>
      </w:r>
    </w:p>
    <w:p>
      <w:pPr>
        <w:pStyle w:val="SourceNote"/>
      </w:pPr>
      <w:r>
        <w:rPr>
          <w:b/>
        </w:rPr>
        <w:t>Available abstract (not full text):</w:t>
      </w:r>
      <w:r>
        <w:t xml:space="preserve"> Forest disturbance regimes are expected to intensify as Earth's climate changes. Quantifying forest vulnerability to disturbances and understanding the underlying mechanisms is crucial to develop mitigation and adaptation strategies. However, observational evidence is largely missing at regional to continental scales. Here, we quantify the vulnerability of European forests to fires, windthrows and insect outbreaks during the period 1979-2018 by integrating machine learning with disturbance data and satellite products. We show that about 33.4 billion tonnes of forest biomass could be seriously affected by these disturbances, with higher relative losses when exposed to windthrows (40%) and fires (34%) compared to insect outbreaks (26%). The spatial pattern in vulnerability is strongly controlled by the interplay between forest characteristics and background climate. Hotspot regions for vulnerability are located at the borders of the climate envelope, in both southern and northern Europe. There is a clear trend in overall forest vulnerability that is driven by a warming-induced reduction in plant defence mechanisms to insect outbreaks, especially at high latitudes.</w:t>
      </w:r>
    </w:p>
    <w:p>
      <w:pPr/>
      <w:r>
        <w:rPr>
          <w:b/>
        </w:rPr>
        <w:t>POSSIBLE 2021:</w:t>
      </w:r>
      <w:r>
        <w:t xml:space="preserve"> Climate change impacts on solar power generation and its spatial variability in Europe based on CMIP6 — https://doi.org/10.5194/esd-12-1099-2021</w:t>
      </w:r>
    </w:p>
    <w:p>
      <w:pPr/>
      <w:r>
        <w:rPr>
          <w:b/>
        </w:rPr>
        <w:t>Shared claim-specific concepts:</w:t>
      </w:r>
      <w:r>
        <w:t xml:space="preserve"> climate, mitigation, only; EU scope visible. This is a provisional connection, not an outcome finding.</w:t>
      </w:r>
    </w:p>
    <w:p>
      <w:pPr>
        <w:pStyle w:val="SourceNote"/>
      </w:pPr>
      <w:r>
        <w:rPr>
          <w:b/>
        </w:rPr>
        <w:t>Available abstract (not full text):</w:t>
      </w:r>
      <w:r>
        <w:t xml:space="preserve"> Abstract. Solar photovoltaics (PV) plays an essential role in decarbonizing the European energy system. However, climate change affects surface solar radiation and thereby will directly influence future PV power generation. We use scenarios from the sixth phase of the Coupled Model Intercomparison Project (CMIP6) for a mitigation (SSP1-2.6) and a fossil-fuel dependent (SSP5-8.5) pathway, to quantify climate risk for solar PV in Europe simulated by the Global Solar Energy Estimator (GSEE). We find that PV potential increases by around 5 % in the mitigation scenario, suggesting a positive feedback loop between climate change mitigation and PV potential. While increased clear-sky radiation and reduced cloud cover go hand in hand in SSP1-2.6, a decrease in clear-sky radiation is overcompensated by a decrease in cloud cover in SSP5-8.5, resulting in an increase of all-sky radiation. Moreover, we find that the seasonal cycle of PV generation changes in most places as generation grows more strongly in winter than in summer (SSP1-2.6) or increases in summer and declines in winter (SSP5-8.5). We further analyze climate change impacts on the spatial variability of PV power generation. Similar to effects anticipated for wind energy, we report an increase of the spatial correlations of daily PV production with large inter-model agreement yet relatively small amplitude, implying that PV pow</w:t>
      </w:r>
    </w:p>
    <w:p>
      <w:pPr/>
      <w:r>
        <w:rPr>
          <w:b/>
        </w:rPr>
        <w:t>POSSIBLE 2021:</w:t>
      </w:r>
      <w:r>
        <w:t xml:space="preserve"> Extreme wind projections over Europe from the Euro-CORDEX regional climate models — https://doi.org/10.1016/j.wace.2021.100363</w:t>
      </w:r>
    </w:p>
    <w:p>
      <w:pPr/>
      <w:r>
        <w:rPr>
          <w:b/>
        </w:rPr>
        <w:t>Shared claim-specific concepts:</w:t>
      </w:r>
      <w:r>
        <w:t xml:space="preserve"> strong, climate, period, projections, show, clear; EU scope visible. This is a provisional connection, not an outcome finding.</w:t>
      </w:r>
    </w:p>
    <w:p>
      <w:pPr>
        <w:pStyle w:val="SourceNote"/>
      </w:pPr>
      <w:r>
        <w:rPr>
          <w:b/>
        </w:rPr>
        <w:t>Available abstract (not full text):</w:t>
      </w:r>
      <w:r>
        <w:t xml:space="preserve"> Extreme weather events represent one of the most visible and immediate hazards to society. Many of these types of phenomena are projected to increase in intensity, duration or frequency as the climate warms. Of these extreme winds are among the most damaging historically over Europe yet assessments of their future changes remain fraught with uncertainty. This uncertainty arises due to both the rare nature of extreme wind events and the fact that most model are unable to faithfully represent them. Here we take advantage of a 15 member ensemble of high resolution Euro-CORDEX simulations (∼12 km) and investigate projected changes in extreme winds using a peaks-over-threshold approach. Additionally we show that – despite lingering model deficiencies and inadequate observational coverage – there is clear added value of the higher resolution simulations over coarser resolution counterparts. Further, the spatial heterogeneity and highly localised nature is well captured. Effects such as orographic interactions, drag due to urban areas, and even individual storm tracks over the oceans are clearly visible. As such future changes also exhibit strong spatial heterogeneity. These results emphasise the need for careful case-by-case treatment of extreme wind analysis, especially when done in a climate adaptation or decision making context. However, for more general assessments the picture is</w:t>
      </w:r>
    </w:p>
    <w:p>
      <w:pPr/>
      <w:r>
        <w:rPr>
          <w:b/>
        </w:rPr>
        <w:t>POSSIBLE 2021:</w:t>
      </w:r>
      <w:r>
        <w:t xml:space="preserve"> Socioeconomic geography of climate change views in Europe — https://doi.org/10.1016/j.gloenvcha.2021.102453</w:t>
      </w:r>
    </w:p>
    <w:p>
      <w:pPr/>
      <w:r>
        <w:rPr>
          <w:b/>
        </w:rPr>
        <w:t>Shared claim-specific concepts:</w:t>
      </w:r>
      <w:r>
        <w:t xml:space="preserve"> climate, mitigation, show; EU scope visible. This is a provisional connection, not an outcome finding.</w:t>
      </w:r>
    </w:p>
    <w:p>
      <w:pPr>
        <w:pStyle w:val="SourceNote"/>
      </w:pPr>
      <w:r>
        <w:rPr>
          <w:b/>
        </w:rPr>
        <w:t>Available abstract (not full text):</w:t>
      </w:r>
      <w:r>
        <w:t xml:space="preserve"> Climate change views have their socioeconomic foundations but also specific geographies. In merging these perspectives, this analysis uses ESS Round 8 data from 23 European countries to examine whether climate change scepticism and concern, pro-environmental personal norm and a willingness to engage in energy-saving behaviour exhibit, first, urban–rural and/or regional differences, and second, if these attitudes can be explained at individual level by socioeconomic position and wellbeing resources. We find that climate change scepticism and concern do exhibit urban–rural differences, where living in a country village is associated with greater climate scepticism and lower concern compared to living in a big city. Also, higher climate change concern and pro-environmental norms are associated with living in a region with constant population growth. These geographical differences are independent of individual-level socioeconomic attributes as well as one’s political orientation. Additionally, the results show that both climate change attitudes and reporting energy-saving behaviour are strongly stratified by level of education and reveal that those in lower income deciles feel less pro-environmental norm but nonetheless report greater engagement with energy-saving behaviour. In sum, the results highlight that climate change mitigation is not a uniform project either spatially or wi</w:t>
      </w:r>
    </w:p>
    <w:p>
      <w:pPr>
        <w:pStyle w:val="Heading2"/>
      </w:pPr>
      <w:r>
        <w:t>831. Foresighting organizational learning equilibrium in European universities</w:t>
      </w:r>
    </w:p>
    <w:p>
      <w:pPr>
        <w:pStyle w:val="SourceNote"/>
      </w:pPr>
      <w:r>
        <w:rPr>
          <w:b/>
        </w:rPr>
        <w:t>Original source (2016):</w:t>
      </w:r>
      <w:r>
        <w:t xml:space="preserve"> https://doi.org/10.1007/s40309-016-0108-y</w:t>
      </w:r>
    </w:p>
    <w:p>
      <w:pPr/>
      <w:r>
        <w:t>Original wording (abstract; indexed_source_text_not_full_document_verified): Presently, the rate of change (and especially exogenous change) have reached a level that has given researchers and managers alike reason to reflect upon and be concerned about whether this balance could or should be maintained in the future. In this article, we use a classical organizational learning model to envision and simulate how a primary driver (mutual learning) in the balance between exploration and exploitation of knowledge in universities may evolve over time.</w:t>
      </w:r>
    </w:p>
    <w:p>
      <w:pPr/>
      <w:r>
        <w:rPr>
          <w:b/>
        </w:rPr>
        <w:t>POSSIBLE 2024:</w:t>
      </w:r>
      <w:r>
        <w:t xml:space="preserve"> Tools for pathogen genetic surveillance: Lessons from the ash dieback invasion of Europe — https://doi.org/10.1371/journal.ppat.1012182</w:t>
      </w:r>
    </w:p>
    <w:p>
      <w:pPr/>
      <w:r>
        <w:rPr>
          <w:b/>
        </w:rPr>
        <w:t>Shared claim-specific concepts:</w:t>
      </w:r>
      <w:r>
        <w:t xml:space="preserve"> presently, rate, upon, use; EU scope visible. This is a provisional connection, not an outcome finding.</w:t>
      </w:r>
    </w:p>
    <w:p>
      <w:pPr>
        <w:pStyle w:val="SourceNote"/>
      </w:pPr>
      <w:r>
        <w:rPr>
          <w:b/>
        </w:rPr>
        <w:t>Available abstract (not full text):</w:t>
      </w:r>
      <w:r>
        <w:t xml:space="preserve"> Human movement and climate change are exposing new environments to pathogens and increasing the rate of invasions [1].Presently, most pathogens are studied independently, requiring species-specific expertise, particularly at the sampling stage.Genomic surveillance strategies can be applied to identify species presence/absence but also within-species diversity, which may not currently be capitalised upon.Here, we use the ash dieback invasion of Europe [2] to frame a discussion on the significance of different types of genomic variation to invasion biology and review the application of developing microbiome sequencing technologies to pathogen surveillance.</w:t>
      </w:r>
    </w:p>
    <w:p>
      <w:pPr/>
      <w:r>
        <w:rPr>
          <w:b/>
        </w:rPr>
        <w:t>POSSIBLE 2023:</w:t>
      </w:r>
      <w:r>
        <w:t xml:space="preserve"> Effects of Climate Change on Areas Suitable for Maize Cultivation and Aflatoxin Contamination in Europe — https://doi.org/10.3390/toxins15100599</w:t>
      </w:r>
    </w:p>
    <w:p>
      <w:pPr/>
      <w:r>
        <w:rPr>
          <w:b/>
        </w:rPr>
        <w:t>Shared claim-specific concepts:</w:t>
      </w:r>
      <w:r>
        <w:t xml:space="preserve"> presently, especially, about, use; EU scope visible. This is a provisional connection, not an outcome finding.</w:t>
      </w:r>
    </w:p>
    <w:p>
      <w:pPr>
        <w:pStyle w:val="SourceNote"/>
      </w:pPr>
      <w:r>
        <w:rPr>
          <w:b/>
        </w:rPr>
        <w:t>Available abstract (not full text):</w:t>
      </w:r>
      <w:r>
        <w:t xml:space="preserve"> The climate is changing in Europe: average temperatures are increasing, and so is the frequency of extreme weather events. Climate change has a severe impact on areas suitable for growing certain crops and on food safety, for example, affecting the occurrence of the aflatoxin contamination of maize. The aim of this study was to obtain insights into the impact of climate change on possible changes in land use in Europe, particularly in areas suitable for maize cultivation, and on the probability of the mycotoxin contamination of maize in order to give directions for long-term adaptation to climate change. By combining a land use model and a mycotoxin prediction model, the suitability of land for maize cultivation and the probability of aflatoxin contamination were estimated for suitable areas in Europe, comparing the current climate with the 2050 scenario. In 2050, the occurrence of aflatoxin contamination in Europe is predicted to severely increase, especially in Central and Southern Europe. More northern regions, presently unsuitable for maize cultivation, will become suitable for maize cultivation in 2050. In the baseline scenario, most regions suitable for maize cultivation have a low probability of aflatoxin contamination, whereas in 2050, about half of the regions suitable for maize cultivation have a medium to high probability of aflatoxin contamination. Regions for safel</w:t>
      </w:r>
    </w:p>
    <w:p>
      <w:pPr/>
      <w:r>
        <w:rPr>
          <w:b/>
        </w:rPr>
        <w:t>POSSIBLE 2022:</w:t>
      </w:r>
      <w:r>
        <w:t xml:space="preserve"> What should European nephrology do with the new CKD-EPI equation? — https://doi.org/10.1093/ndt/gfac254</w:t>
      </w:r>
    </w:p>
    <w:p>
      <w:pPr/>
      <w:r>
        <w:rPr>
          <w:b/>
        </w:rPr>
        <w:t>Shared claim-specific concepts:</w:t>
      </w:r>
      <w:r>
        <w:t xml:space="preserve"> rate, especially, exogenous, level, about, use; EU scope visible. This is a provisional connection, not an outcome finding.</w:t>
      </w:r>
    </w:p>
    <w:p>
      <w:pPr>
        <w:pStyle w:val="SourceNote"/>
      </w:pPr>
      <w:r>
        <w:rPr>
          <w:b/>
        </w:rPr>
        <w:t>Available abstract (not full text):</w:t>
      </w:r>
      <w:r>
        <w:t xml:space="preserve"> Knowledge about a patient’s glomerular filtration rate (GFR) is central to the practice of medicine. It is needed to diagnose and classify chronic kidney disease (CKD), and helpful to establish prognosis [1]. In addition, it is used to decide when to start specific medication, how to dose medication and when to refer patients for specialist nephrology care or when to start kidney function replacement treatment. GFR can best be measured (mGFR) by injection of exogenous tracers, such as iothalamate and iohexol, and serial blood sampling. This is a relatively cumbersome and expensive technique, and is therefore only used in specific cases. In clinical practice, equations are used to estimate GFR (Fig. 1 and Table 1). These equations use readily available information about patient characteristics, such as age and sex, and about creatinine as an endogenous filtration marker. The oldest equation is the one developed by Cockcroft and Gault in 1976 [2]. It should be noted that their equation does not estimate GFR, but creatinine clearance. Creatinine clearance is determined not only by glomerular filtration of creatinine, but also by tubular secretion of creatinine. Tubular creatinine clearance can amount to up to 50% of total creatinine clearance, especially in subjects with impaired kidney function and obesity [3]. Consequently, the Cockcroft–Gault equation should not be used to esti</w:t>
      </w:r>
    </w:p>
    <w:p>
      <w:pPr/>
      <w:r>
        <w:rPr>
          <w:b/>
        </w:rPr>
        <w:t>POSSIBLE 2019:</w:t>
      </w:r>
      <w:r>
        <w:t xml:space="preserve"> Heat stress risk in European dairy cattle husbandry under different climate change scenarios – uncertainties and potential impacts — https://doi.org/10.5194/esd-10-859-2019</w:t>
      </w:r>
    </w:p>
    <w:p>
      <w:pPr/>
      <w:r>
        <w:rPr>
          <w:b/>
        </w:rPr>
        <w:t>Shared claim-specific concepts:</w:t>
      </w:r>
      <w:r>
        <w:t xml:space="preserve"> presently, rate, about, balance; EU scope visible. This is a provisional connection, not an outcome finding.</w:t>
      </w:r>
    </w:p>
    <w:p>
      <w:pPr>
        <w:pStyle w:val="SourceNote"/>
      </w:pPr>
      <w:r>
        <w:rPr>
          <w:b/>
        </w:rPr>
        <w:t>Available abstract (not full text):</w:t>
      </w:r>
      <w:r>
        <w:t xml:space="preserve"> Abstract. In the last decades, an exceptional global warming trend was observed. Along with the temperature increase, modifications in the humidity and wind regime amplify the regional and local impacts on livestock husbandry. Direct impacts include the occurrence of climatic stress conditions. In Europe, cows are economically highly relevant and are mainly kept in naturally ventilated buildings that are most susceptible to climate change. The high-yielding cows are particularly vulnerable to heat stress. Modifications in housing management are the main measures taken to improve the ability of livestock to cope with these conditions. Measures are, however, typically taken in direct reaction to uncomfortable conditions instead of in anticipation of a long term risk for climatic stress. Moreover, measures that balance welfare, environmental and economic issues are barely investigated in the context of climate change and are thus almost not available for commercial farms. Quantitative analysis of the climate change impacts on the animal welfare and linked economic and environmental factors are rare. Therefore, we used a numerical modeling approach to estimate the future heat stress risk in such dairy cattle husbandry systems. The indoor climate was monitored inside three reference barns in Central Europe and in the Mediterranean region. An artificial neuronal network (ANN) was tra</w:t>
      </w:r>
    </w:p>
    <w:p>
      <w:pPr/>
      <w:r>
        <w:rPr>
          <w:b/>
        </w:rPr>
        <w:t>POSSIBLE 2019:</w:t>
      </w:r>
      <w:r>
        <w:t xml:space="preserve"> Control of hospital acquired infections and antimicrobial resistance in Europe: the way to go — https://doi.org/10.1007/s10354-018-0676-5</w:t>
      </w:r>
    </w:p>
    <w:p>
      <w:pPr/>
      <w:r>
        <w:rPr>
          <w:b/>
        </w:rPr>
        <w:t>Shared claim-specific concepts:</w:t>
      </w:r>
      <w:r>
        <w:t xml:space="preserve"> level, reflect, use, classical; EU scope visible. This is a provisional connection, not an outcome finding.</w:t>
      </w:r>
    </w:p>
    <w:p>
      <w:pPr>
        <w:pStyle w:val="SourceNote"/>
      </w:pPr>
      <w:r>
        <w:rPr>
          <w:b/>
        </w:rPr>
        <w:t>Available abstract (not full text):</w:t>
      </w:r>
      <w:r>
        <w:t xml:space="preserve"> One of the major challenges for modern medicine is our ageing society and an increased level of immunocompromised hosts. More invasive and intensive medical interventions will increase the number of healthcare-associated infections (HCAI), which means infection that occur because of or in concomitance, but in any case, during or after healthcare interventions. Such infections are caused usually endogenously from microbial components of the patient's own microbiome. Usually, the microorganisms of the microbiome show a natural resistance against a few antibiotics. Due to selection processes and epidemic transmission of specific clones, microorganisms that have become resistant to multiple antibiotics become part of the patient's microbiome and can subsequently cause infections that are difficult or even impossible to treat. The kind of infections that will occur depends on diverse factors. Already today, according to Cassini et al., 2,609,911 new cases of HCAI occur every year in the European Union and European Economic Area (EU/EEA). The cumulative burden of the six HAIs was estimated at 501 disability-adjusted life years (DALYs) per 100,000 general population each year in the EU/EEA. In a recent publication, 426,277 healthcare-associated infections caused by antimicrobial resistant microorganisms were calculated to occur in the EU every year. Attributable deaths in the EU due t</w:t>
      </w:r>
    </w:p>
    <w:p>
      <w:pPr/>
      <w:r>
        <w:rPr>
          <w:b/>
        </w:rPr>
        <w:t>POSSIBLE 2019:</w:t>
      </w:r>
      <w:r>
        <w:t xml:space="preserve"> Europe as an Idea, Will, and Profanation — https://doi.org/10.17265/2159-5313/2019.11.001</w:t>
      </w:r>
    </w:p>
    <w:p>
      <w:pPr/>
      <w:r>
        <w:rPr>
          <w:b/>
        </w:rPr>
        <w:t>Shared claim-specific concepts:</w:t>
      </w:r>
      <w:r>
        <w:t xml:space="preserve"> reason, upon, about; EU scope visible. This is a provisional connection, not an outcome finding.</w:t>
      </w:r>
    </w:p>
    <w:p>
      <w:pPr>
        <w:pStyle w:val="SourceNote"/>
      </w:pPr>
      <w:r>
        <w:rPr>
          <w:b/>
        </w:rPr>
        <w:t>Available abstract (not full text):</w:t>
      </w:r>
      <w:r>
        <w:t xml:space="preserve"> Author reflects on Europe as an idea, will and profanation. He argues that Europe has never crossed the threshold of sheer imagination, i.e. it has never been realized and it is for this reason that it remains a fantasy haunting the modern politics. The phantasm that Europe is – the author claims – turned out to be too weak to allow for the translation of the symbolic into a material dimension of Europe. The author ponders upon the reasons of this weakness to conclude that Europe is not only devoid of imagination, but it is also devoid of will (power) in its preference of the forms of as-if existence (a type of le bovarisme) which exercise the ability to imitate and to consider one as a different self. Following Agamben, the author arrives at the conclusion that the only remaining way of thinking about Europe is in terms of profanation whereby the contents of what was previously ascribed to the realm of the sacred is now accessible to all within the community. Yet, without desecration the original phantasm that Europe is would remain unchallenged and it would resist any attempts of its reconfiguration. Profanation should therefore be conceived as the necessary solicitation in order to create and construe a sort of “anti-device” or “anti-Europe”. Such despoliation of Europe restores the otherwise lost child’s seriousness, the seriousness observed in children playing war games. T</w:t>
      </w:r>
    </w:p>
    <w:p>
      <w:pPr/>
      <w:r>
        <w:rPr>
          <w:b/>
        </w:rPr>
        <w:t>POSSIBLE 2019:</w:t>
      </w:r>
      <w:r>
        <w:t xml:space="preserve"> Get It Right This Time? Leaving the Periphery of the European Economic Development — https://doi.org/10.1007/978-3-030-11361-2_4</w:t>
      </w:r>
    </w:p>
    <w:p>
      <w:pPr/>
      <w:r>
        <w:rPr>
          <w:b/>
        </w:rPr>
        <w:t>Shared claim-specific concepts:</w:t>
      </w:r>
      <w:r>
        <w:t xml:space="preserve"> presently, rate, level; EU scope visible. This is a provisional connection, not an outcome finding.</w:t>
      </w:r>
    </w:p>
    <w:p>
      <w:pPr>
        <w:pStyle w:val="SourceNote"/>
      </w:pPr>
      <w:r>
        <w:rPr>
          <w:b/>
        </w:rPr>
        <w:t>Available abstract (not full text):</w:t>
      </w:r>
      <w:r>
        <w:t xml:space="preserve"> Abstract In 1990, the Central and East European countries started, at approximately the same level, the race to change their economic systems from communism to capitalism, which in turn was undergoing full-fledged mutations. Almost three decades later, the gap between Romania and other ex-communist, presently EU member states, is wider. Moreover, after joining the European Union, Romania did not surmount the inequalities, so in 2016 it was a paradoxical country, enjoying the highest rate of economic growth in the UE but, at the same time, ranking systematically low in welfare and development ratings. How can one explain such a meandering evolution? How is it that a country of significant natural resources and a development level like the others’ in the region, is behind three decades later? What can still be done, in the context of a globalized economy, undergoing higher and higher and unexpected pressure, where the big tend to become ever bigger? Decision makers might answer that the economy needed to be systemically changed to contain high value, ripple-effect activities. Yet this would involve structural investments in education and R&amp;D and attracting funds for production capacities that do not rely only on cheap labour at a time when Romania is facing a constant demographic decline, a lack of domestic capital and a deterioration in the systems of education, research and tra</w:t>
      </w:r>
    </w:p>
    <w:p>
      <w:pPr/>
      <w:r>
        <w:rPr>
          <w:b/>
        </w:rPr>
        <w:t>POSSIBLE 2018:</w:t>
      </w:r>
      <w:r>
        <w:t xml:space="preserve"> Molecular Epidemiology and Evolution of European Bat Lyssavirus 2 — https://doi.org/10.3390/ijms19010156</w:t>
      </w:r>
    </w:p>
    <w:p>
      <w:pPr/>
      <w:r>
        <w:rPr>
          <w:b/>
        </w:rPr>
        <w:t>Shared claim-specific concepts:</w:t>
      </w:r>
      <w:r>
        <w:t xml:space="preserve"> presently, rate, level; EU scope visible. This is a provisional connection, not an outcome finding.</w:t>
      </w:r>
    </w:p>
    <w:p>
      <w:pPr>
        <w:pStyle w:val="SourceNote"/>
      </w:pPr>
      <w:r>
        <w:rPr>
          <w:b/>
        </w:rPr>
        <w:t>Available abstract (not full text):</w:t>
      </w:r>
      <w:r>
        <w:t xml:space="preserve"> Bat rabies cases in Europe are mainly attributed to two lyssaviruses, namely European Bat Lyssavirus 1 (EBLV-1) and European Bat Lyssavirus 2 (EBLV-2). Prior to the death of a bat worker in Finland in 1985, very few bat rabies cases were reported. Enhanced surveillance in the two subsequent years (1986–1987) identified 263 cases (more than a fifth of all reported cases to date). Between 1977 and 2016, 1183 cases of bat rabies were reported, with the vast majority (&gt;97%) being attributed to EBLV-1. In contrast, there have been only 39 suspected cases of EBLV-2, of which 34 have been confirmed by virus typing and presently restricted to just two bat species; Myotis daubentonii and Myotis dasycneme. The limited number of EBLV-2 cases in Europe prompted the establishment of a network of European reference laboratories to collate all available viruses and data. Despite the relatively low number of EBLV-2 cases, a large amount of anomalous data has been published in the scientific literature, which we have here reviewed and clarified. In this review, 29 EBLV-2 full genome sequences have been analysed to further our understanding of the diversity and molecular evolution of EBLV-2 in Europe. Analysis of the 29 complete EBLV-2 genome sequences clearly corroborated geographical relationships with all EBLV-2 sequences clustering at the country level irrespective of the gene studied. Furth</w:t>
      </w:r>
    </w:p>
    <w:p>
      <w:pPr/>
      <w:r>
        <w:rPr>
          <w:b/>
        </w:rPr>
        <w:t>POSSIBLE 2018:</w:t>
      </w:r>
      <w:r>
        <w:t xml:space="preserve"> Examining the Effects of Exogenous Ketones on Exercise Metabolism and Performance in Male Varsity Athletes — https://openalex.org/W2811360614</w:t>
      </w:r>
    </w:p>
    <w:p>
      <w:pPr/>
      <w:r>
        <w:rPr>
          <w:b/>
        </w:rPr>
        <w:t>Shared claim-specific concepts:</w:t>
      </w:r>
      <w:r>
        <w:t xml:space="preserve"> exogenous, reached, maintained; EU scope not established. This is a provisional connection, not an outcome finding.</w:t>
      </w:r>
    </w:p>
    <w:p>
      <w:pPr>
        <w:pStyle w:val="SourceNote"/>
      </w:pPr>
      <w:r>
        <w:rPr>
          <w:b/>
        </w:rPr>
        <w:t>Available abstract (not full text):</w:t>
      </w:r>
      <w:r>
        <w:t xml:space="preserve"> Previous research has shown that administration of exogenous acetoacetate (AcAc), beta-hydroxybutyrate (BHB) and glucose in a perfused rodent heart model can increase cardiac output while reducing oxygen uptake compared with glucose alone. With this apparent improvement in mechanical efficiency induced by AcAc and BHB, there is speculation that they may also enhance exercise performance in athletes. Although AcAc and BHB can be produced endogenously, exogenous BHB supplements have recently become commercially available in the form of ketone mineral salts (KS). Research to date has not found any performance enhancing effects of an acute dose of KS but the effects of more regular KS supplementation on whole body metabolism and exercise performance are unknown. Furthermore, medium-chain triglycerides (MCT) have recently been added to KS supplements, as the administration of KS plus MCT in rodents has been shown to increase blood BHB concentrations compared to KS administration alone. Therefore, the overall purpose of this study was to examine the hypotheses that a twice-daily KS plus MCT supplementation protocol would increase mechanical efficiency and improve exercise performance during a submaximal time to exhaustion (TTE) cycling protocol and a time trial (TT) cycling protocol in male varsity athletes. A single-blinded placebo-controlled crossover design was employed where part</w:t>
      </w:r>
    </w:p>
    <w:p>
      <w:pPr>
        <w:pStyle w:val="Heading2"/>
      </w:pPr>
      <w:r>
        <w:t>832. Futures of science with and for society: towards transformative policy orientations</w:t>
      </w:r>
    </w:p>
    <w:p>
      <w:pPr>
        <w:pStyle w:val="SourceNote"/>
      </w:pPr>
      <w:r>
        <w:rPr>
          <w:b/>
        </w:rPr>
        <w:t>Original source (2016):</w:t>
      </w:r>
      <w:r>
        <w:t xml:space="preserve"> https://doi.org/10.1108/fs-10-2014-0063</w:t>
      </w:r>
    </w:p>
    <w:p>
      <w:pPr/>
      <w:r>
        <w:t>Original wording (abstract; indexed_source_text_not_full_document_verified): This paper analyzes methodological and content issues of five future scenarios of transformed R&amp;I systems. Design/methodology/approach The paper elaborates a four-step methodology to assess the scenario’s policy implications: first, by articulating the scenario implications for six core dimensions of R&amp;I systems; second, an RRI assessment framework is developed to assess in each scenario opportunities and limitations for transforming R&amp;I systems towards responsibility goals; the third involves a cross-scenario analysis of similarities and differences between the scenarios, allowing the identification of robust policy options that make sense in more than one scenario.</w:t>
      </w:r>
    </w:p>
    <w:p>
      <w:pPr/>
      <w:r>
        <w:rPr>
          <w:b/>
        </w:rPr>
        <w:t>POSSIBLE 2026:</w:t>
      </w:r>
      <w:r>
        <w:t xml:space="preserve"> The Methodological Essence and Content of the Concept of Cultural Development — https://openalex.org/W7219340893</w:t>
      </w:r>
    </w:p>
    <w:p>
      <w:pPr/>
      <w:r>
        <w:rPr>
          <w:b/>
        </w:rPr>
        <w:t>Shared claim-specific concepts:</w:t>
      </w:r>
      <w:r>
        <w:t xml:space="preserve"> methodological, content, dimensions; EU scope not established. This is a provisional connection, not an outcome finding.</w:t>
      </w:r>
    </w:p>
    <w:p>
      <w:pPr>
        <w:pStyle w:val="SourceNote"/>
      </w:pPr>
      <w:r>
        <w:rPr>
          <w:b/>
        </w:rPr>
        <w:t>Available abstract (not full text):</w:t>
      </w:r>
      <w:r>
        <w:t xml:space="preserve"> This article examines the methodological essence and substantive content of the concept of “cultural development” in contemporary social and humanitarian sciences. Cultural development is interpreted as a complex social process that reflects qualitative transformations in the spiritual life of society. The paper elucidates its key dimensions, including the transformation of values, the development of social consciousness, the growth of knowledge and educational attainment, the expansion of creative potential, the stability of cultural institutions, and the strengthening of intercultural communication.The study provides a substantive justification of the systemic, historical, institutional, and axiological approaches to the study of cultural development and demonstrates their analytical potential. It is concluded that analyzing cultural development on a comprehensive methodological basis contributes to a deeper understanding of the moral criteria of social progress and supports the improvement of cultural policy as well as educational and critical-reflective thinking practices.</w:t>
      </w:r>
    </w:p>
    <w:p>
      <w:pPr/>
      <w:r>
        <w:rPr>
          <w:b/>
        </w:rPr>
        <w:t>POSSIBLE 2026:</w:t>
      </w:r>
      <w:r>
        <w:t xml:space="preserve"> AI in research methodology — https://openalex.org/W7160366582</w:t>
      </w:r>
    </w:p>
    <w:p>
      <w:pPr/>
      <w:r>
        <w:rPr>
          <w:b/>
        </w:rPr>
        <w:t>Shared claim-specific concepts:</w:t>
      </w:r>
      <w:r>
        <w:t xml:space="preserve"> methodological, five, methodology, approach; EU scope visible. This is a provisional connection, not an outcome finding.</w:t>
      </w:r>
    </w:p>
    <w:p>
      <w:pPr>
        <w:pStyle w:val="SourceNote"/>
      </w:pPr>
      <w:r>
        <w:rPr>
          <w:b/>
        </w:rPr>
        <w:t>Available abstract (not full text):</w:t>
      </w:r>
      <w:r>
        <w:t xml:space="preserve"> This paper explores the transformative impact of Generative Artificial Intelligence (GenAI) on scientific research methodology. It contrasts the traditional linear research approach with emerging AI-driven paradigms, highlighting the closed-loop automation demonstrated by frameworks like DOLPHIN. We identify five primary use cases for GenAI in science—Literature Review, Gap Finding, Hypothesis Generation, Research Question Refinement, and the Socratic Opponent—and analyze four key tools (Elicit, ResearchRabbit, Scite, Consensus) facilitating these tasks. Finally, we address critical risks such as hallucinations and methodological monoculture, alongside the strategic perspective of the European Commission regarding AI in science.</w:t>
      </w:r>
    </w:p>
    <w:p>
      <w:pPr/>
      <w:r>
        <w:rPr>
          <w:b/>
        </w:rPr>
        <w:t>POSSIBLE 2026:</w:t>
      </w:r>
      <w:r>
        <w:t xml:space="preserve"> Innovations in Methodology for Analyzing Automotive Engine Vibration Signals Based on Wavelet Transform Techniques to Determine Maintenance Needs — https://doi.org/10.70917/ijcisim-2026-0063</w:t>
      </w:r>
    </w:p>
    <w:p>
      <w:pPr/>
      <w:r>
        <w:rPr>
          <w:b/>
        </w:rPr>
        <w:t>Shared claim-specific concepts:</w:t>
      </w:r>
      <w:r>
        <w:t xml:space="preserve"> analyzes, methodological, methodology; EU scope not established. This is a provisional connection, not an outcome finding.</w:t>
      </w:r>
    </w:p>
    <w:p>
      <w:pPr>
        <w:pStyle w:val="SourceNote"/>
      </w:pPr>
      <w:r>
        <w:rPr>
          <w:b/>
        </w:rPr>
        <w:t>Available abstract (not full text):</w:t>
      </w:r>
      <w:r>
        <w:t xml:space="preserve"> This paper takes automotive engine vibration signals as its research object, proposes a wavelet transform analysis of automotive engine vibration signals, and further calculates the maintenance requirements of automotive engine vibration signals. It also analyzes the various operational status information contained in complex vibration signals. For engine vibration signals, traditional signal analysis techniques such as the Fourier transform have limitations in their analysis capabilities, particularly when dealing with non-stationary and nonlinear vibration signals. However, the wavelet analysis method, with its time-frequency locality characteristics, can completely avoid such contradictions. Under such circumstances, the analysis of engine vibration signals has a solid foundation and possesses fundamental functional significance. Based on this understanding, this paper conducts a specific and scientific study, establishing a scientifically reasonable signal analysis model. Using specific techniques such as wavelet packet decomposition and reconstruction, the paper performs a more in-depth and detailed analysis of the vibration signals of the Cummins KTA50 engine. Finally, the signal analysis process is validated through practical examples. The results demonstrate that wavelet transform technology can be used for the detection and analysis of engine fault information. Under c</w:t>
      </w:r>
    </w:p>
    <w:p>
      <w:pPr/>
      <w:r>
        <w:rPr>
          <w:b/>
        </w:rPr>
        <w:t>POSSIBLE 2026:</w:t>
      </w:r>
      <w:r>
        <w:t xml:space="preserve"> Beyond the "black box": Neil Postman's concept as a methodological basis for analyzing the ethical issues of artificial intelligence — https://doi.org/10.18287/2782-2966-2026-6-1-8-15</w:t>
      </w:r>
    </w:p>
    <w:p>
      <w:pPr/>
      <w:r>
        <w:rPr>
          <w:b/>
        </w:rPr>
        <w:t>Shared claim-specific concepts:</w:t>
      </w:r>
      <w:r>
        <w:t xml:space="preserve"> analyzes, methodological, content, issues, five, approach; EU scope not established. This is a provisional connection, not an outcome finding.</w:t>
      </w:r>
    </w:p>
    <w:p>
      <w:pPr>
        <w:pStyle w:val="SourceNote"/>
      </w:pPr>
      <w:r>
        <w:rPr>
          <w:b/>
        </w:rPr>
        <w:t>Available abstract (not full text):</w:t>
      </w:r>
      <w:r>
        <w:t xml:space="preserve"> The article analyzes the problem of finding adequate methodological and conceptual foundations for the ethics of artificial intelligence (AI), considering the gap between theoretical propositions and their practical implementation, as well as the predominance of the instrumental approach over humanitarian analysis. The author substantiates the possibility of applying Neil Postman’s media ecology to construct a critical approach to AI ethics. The study analyzes existing approaches: the principle-based approach (flexible but susceptible to manipulation) and the person-oriented approach (facing the problem of the "responsibility gap" due to the "opacity" of algorithms). It is noted that these approaches treat AI as a neutral tool and do not question the profound transformations caused by the technology. Through Postman’s five theses, the key risks of AI implementation are identified: the loss of human agency and the degradation of cognitive skills in exchange for convenience; increasing inequality between tech giants and disadvantaged parties; the risk of the disappearance of wisdom and truth, replaced by content generation; the "ecological" nature of technological changes transforming social institutions; and the mythologization of technologies leading to "algorithmic idolatry" and loss of control. It is argued that the goal of a critical approach should be the identification and</w:t>
      </w:r>
    </w:p>
    <w:p>
      <w:pPr/>
      <w:r>
        <w:rPr>
          <w:b/>
        </w:rPr>
        <w:t>POSSIBLE 2026:</w:t>
      </w:r>
      <w:r>
        <w:t xml:space="preserve"> INCREASING THE EFFECTIVENESS OF METHODOLOGICAL EDUCATION IN THE CONTEXT OF UPDATING THE CONTENT OF PRIMARY EDUCATION — https://openalex.org/W7220097868</w:t>
      </w:r>
    </w:p>
    <w:p>
      <w:pPr/>
      <w:r>
        <w:rPr>
          <w:b/>
        </w:rPr>
        <w:t>Shared claim-specific concepts:</w:t>
      </w:r>
      <w:r>
        <w:t xml:space="preserve"> analyzes, methodological, content, issues; EU scope not established. This is a provisional connection, not an outcome finding.</w:t>
      </w:r>
    </w:p>
    <w:p>
      <w:pPr>
        <w:pStyle w:val="SourceNote"/>
      </w:pPr>
      <w:r>
        <w:rPr>
          <w:b/>
        </w:rPr>
        <w:t>Available abstract (not full text):</w:t>
      </w:r>
      <w:r>
        <w:t xml:space="preserve"> This article discusses the issues of increasing the effectiveness of methodological education in the context of updating the content of primary education. It analyzes the methodological training of primary school teachers based on modern educational requirements, the role of new generation textbooks and innovative pedagogical technologies. It also considers the use of interactive methods in organizing the educational process, methodological approaches aimed at developing independent and creative thinking of students. The results of the article will serve to improve the quality of primary education and develop the professional competencies of teachers.</w:t>
      </w:r>
    </w:p>
    <w:p>
      <w:pPr/>
      <w:r>
        <w:rPr>
          <w:b/>
        </w:rPr>
        <w:t>POSSIBLE 2025:</w:t>
      </w:r>
      <w:r>
        <w:t xml:space="preserve"> An innovative methodology in analyzing certain pendulum oscillators — https://doi.org/10.1038/s41598-025-99645-x</w:t>
      </w:r>
    </w:p>
    <w:p>
      <w:pPr/>
      <w:r>
        <w:rPr>
          <w:b/>
        </w:rPr>
        <w:t>Shared claim-specific concepts:</w:t>
      </w:r>
      <w:r>
        <w:t xml:space="preserve"> issues, methodology, approach, assess; EU scope not established. This is a provisional connection, not an outcome finding.</w:t>
      </w:r>
    </w:p>
    <w:p>
      <w:pPr>
        <w:pStyle w:val="SourceNote"/>
      </w:pPr>
      <w:r>
        <w:rPr>
          <w:b/>
        </w:rPr>
        <w:t>Available abstract (not full text):</w:t>
      </w:r>
      <w:r>
        <w:t xml:space="preserve"> Pendulum oscillators study harmonic motion, energy conservation, and nonlinear dynamics, providing insights into mechanical vibrations, wave phenomena, weather patterns, and quantum mechanics, with real-world applications in engineering, seismology, and clock mechanisms. The present study addresses three distinct issues related to SPs; a charged magnetic spherical simple pendulum (SP), and a SP composed of heavy cylinders that roll freely in a horizontal plane, and a nonlinear model depicting the motion of a damped SP in a fluid flow. The SPs are analyzed via an innovative technology known as the non-perturbative approach (NPA), which is based on He's frequency formula (HFF). This advanced approach linearizes a nonlinear ordinary differential equation (ODE), enabling more straightforward analysis and solution. As-well known, implementing the NPA has several advantages, chief among them the removal of the constraints associated with managing Taylor expansions. Consequently, there have been no augmentations to the current restorative forces. Secondly, the novel method enables us to assess the stability criteria of the system away from the traditional perturbation techniques. The numerical comparison of nonlinear ODEs into linear ones using Mathematica Software (MS) is conducted to validate this innovative method. An analysis of the two responses demonstrates a strong concordance,</w:t>
      </w:r>
    </w:p>
    <w:p>
      <w:pPr/>
      <w:r>
        <w:rPr>
          <w:b/>
        </w:rPr>
        <w:t>POSSIBLE 2025:</w:t>
      </w:r>
      <w:r>
        <w:t xml:space="preserve"> METHODOLOGICAL BASIS FOR DEVELOPING DIGITAL ASTRONOMY CONTENT IN PEDAGOGICAL UNIVERSITIES — https://openalex.org/W7220225929</w:t>
      </w:r>
    </w:p>
    <w:p>
      <w:pPr/>
      <w:r>
        <w:rPr>
          <w:b/>
        </w:rPr>
        <w:t>Shared claim-specific concepts:</w:t>
      </w:r>
      <w:r>
        <w:t xml:space="preserve"> analyzes, methodological, content; EU scope not established. This is a provisional connection, not an outcome finding.</w:t>
      </w:r>
    </w:p>
    <w:p>
      <w:pPr>
        <w:pStyle w:val="SourceNote"/>
      </w:pPr>
      <w:r>
        <w:rPr>
          <w:b/>
        </w:rPr>
        <w:t>Available abstract (not full text):</w:t>
      </w:r>
      <w:r>
        <w:t xml:space="preserve"> This article analyzes methodological foundations for developing digital astronomy content in pedagogical higher education institutions. Stages of development of digital materials, their organization based on didactic principles, and the use of visual and interactive software are considered. Particular attention is attended to the role of digital content in improving the effectiveness of education and supporting of students’ independent cognitive activity.</w:t>
      </w:r>
    </w:p>
    <w:p>
      <w:pPr/>
      <w:r>
        <w:rPr>
          <w:b/>
        </w:rPr>
        <w:t>POSSIBLE 2025:</w:t>
      </w:r>
      <w:r>
        <w:t xml:space="preserve"> FROM THE EXPERIENCE OF DEVELOPING HISTORICAL-METHODOLOGICAL DIDACTIC CONTENT ON THEORY OF RELATIVITY — https://doi.org/10.48081/wjyr5545</w:t>
      </w:r>
    </w:p>
    <w:p>
      <w:pPr/>
      <w:r>
        <w:rPr>
          <w:b/>
        </w:rPr>
        <w:t>Shared claim-specific concepts:</w:t>
      </w:r>
      <w:r>
        <w:t xml:space="preserve"> methodological, content, systems, methodology, approach, first; EU scope not established. This is a provisional connection, not an outcome finding.</w:t>
      </w:r>
    </w:p>
    <w:p>
      <w:pPr>
        <w:pStyle w:val="SourceNote"/>
      </w:pPr>
      <w:r>
        <w:rPr>
          <w:b/>
        </w:rPr>
        <w:t>Available abstract (not full text):</w:t>
      </w:r>
      <w:r>
        <w:t xml:space="preserve"> The relevance of this research is determined by the fact that the quality of training specialists in physics for science and education depends not only on their level of specialized knowledge but also on their cognitive thinking and metacognitive skills. In the digital era, the development of educational content for specialized courses aligned with modern constructivist didactic systems remains a pressing challenge. These systems aim to enhance the learning process through the integration of historical and methodological material. However, in the current practice of scientific and professional education, the application of metacognitive learning technologies is rare due to the lack of systematized historical-methodological content based on primary sources and methodological literature. The study aims to develop historical-methodological didactic content for a specialized course section on “Einstein’s Theory of Relativity.” The theoretical basis of the research involves the analysis of primary sources on the topic using a cognitive approach. Research Results: 1) based on a review and analysis of events from the first half of the 20th century, which saw a revolutionary leap in the development of physics content and methodology, historical facts concerning the emergence, development, and formulation of the fundamental principles of Einstein’s theory of relativity were selected and</w:t>
      </w:r>
    </w:p>
    <w:p>
      <w:pPr/>
      <w:r>
        <w:rPr>
          <w:b/>
        </w:rPr>
        <w:t>POSSIBLE 2025:</w:t>
      </w:r>
      <w:r>
        <w:t xml:space="preserve"> THE CONTENT OF FOREIGN LANGUAGE TEACHING IN THE METHODOLOGY OF TEACHING LANGUAGES AND EDUCATION TECHNOLOGIES — https://doi.org/10.5281/zenodo.17967534</w:t>
      </w:r>
    </w:p>
    <w:p>
      <w:pPr/>
      <w:r>
        <w:rPr>
          <w:b/>
        </w:rPr>
        <w:t>Shared claim-specific concepts:</w:t>
      </w:r>
      <w:r>
        <w:t xml:space="preserve"> content, design, methodology, framework; EU scope not established. This is a provisional connection, not an outcome finding.</w:t>
      </w:r>
    </w:p>
    <w:p>
      <w:pPr>
        <w:pStyle w:val="SourceNote"/>
      </w:pPr>
      <w:r>
        <w:rPr>
          <w:b/>
        </w:rPr>
        <w:t>Available abstract (not full text):</w:t>
      </w:r>
      <w:r>
        <w:t xml:space="preserve"> This article examines the essential components of foreign language teaching within the framework of modern language teaching methodology and educational technologies. It explores theoretical foundations, principles, and practical aspects that shape the design of foreign language curricula. The integration of communicative, cognitive, sociocultural, and technological approaches is analyzed in order to define how content is selected, organized, and delivered in contemporary classrooms. Particular attention is given to the development of linguistic and communicative competence, the role of cultural knowledge, the incorporation of digital tools, and the importance of learner-centered instruction. By synthesizing current research and best practices, the article provides insights into how foreign language teaching content can be optimized to meet the needs of 21st-century learners.</w:t>
      </w:r>
    </w:p>
    <w:p>
      <w:pPr/>
      <w:r>
        <w:rPr>
          <w:b/>
        </w:rPr>
        <w:t>POSSIBLE 2025:</w:t>
      </w:r>
      <w:r>
        <w:t xml:space="preserve"> Methodology for studying images of the future and the place in it of sociolinguistic analysis of digital content — https://doi.org/10.17223/15617793/510/8</w:t>
      </w:r>
    </w:p>
    <w:p>
      <w:pPr/>
      <w:r>
        <w:rPr>
          <w:b/>
        </w:rPr>
        <w:t>Shared claim-specific concepts:</w:t>
      </w:r>
      <w:r>
        <w:t xml:space="preserve"> methodological, content, methodology, developed; EU scope not established. This is a provisional connection, not an outcome finding.</w:t>
      </w:r>
    </w:p>
    <w:p>
      <w:pPr>
        <w:pStyle w:val="SourceNote"/>
      </w:pPr>
      <w:r>
        <w:rPr>
          <w:b/>
        </w:rPr>
        <w:t>Available abstract (not full text):</w:t>
      </w:r>
      <w:r>
        <w:t xml:space="preserve"> The authors of the article aim to present existing methodological approaches to the study of images of the future, to analyze their connection with the research objectives and the materials used. The authors introduce readers to the developed and tested methodology of a sociolinguistic analysis of information flows on the Internet, thematically oriented to the image of the future. The article presents the results of a study conducted in November, 2023, and January, 2024. The database included 50,036,592 tokens. The results of the study revealed both positive and negative semantic accents, which turned out to be the most significant for the participants in the discussions. The research strategy aimed at fixing the "information waves" and the reaction to them allows us to identify the main content orientations of the idea of the future. In addition, this strategy makes possible to reveal the actors of these ideas, on the one hand, and to track their reaction to the proposed models of the future, on the other hand. Thus, according to the authors, this method makes it possible to get closer to the solution of the issue of the principles of the emergence of images of the future as phenomena of public consciousness. The presented methods have advantages such as the possibility of significantly reducing the number of analysis units by isolating information waves, as well as the abilit</w:t>
      </w:r>
    </w:p>
    <w:p>
      <w:pPr/>
      <w:r>
        <w:rPr>
          <w:b/>
        </w:rPr>
        <w:t>POSSIBLE 2025:</w:t>
      </w:r>
      <w:r>
        <w:t xml:space="preserve"> METHODOLOGY FOR ANALYZING AND EVALUATING LESSONS — https://doi.org/10.33514/1694-7851-2025-4/2-200-209</w:t>
      </w:r>
    </w:p>
    <w:p>
      <w:pPr/>
      <w:r>
        <w:rPr>
          <w:b/>
        </w:rPr>
        <w:t>Shared claim-specific concepts:</w:t>
      </w:r>
      <w:r>
        <w:t xml:space="preserve"> methodological, content, methodology, framework; EU scope not established. This is a provisional connection, not an outcome finding.</w:t>
      </w:r>
    </w:p>
    <w:p>
      <w:pPr>
        <w:pStyle w:val="SourceNote"/>
      </w:pPr>
      <w:r>
        <w:rPr>
          <w:b/>
        </w:rPr>
        <w:t>Available abstract (not full text):</w:t>
      </w:r>
      <w:r>
        <w:t xml:space="preserve"> One of the main goals of the education system is to provide students with deep, solid, and meaningful knowledge, as well as to develop a structured system of skills and competencies through the study of each subject. This process creates the conditions necessary for students’ intellectual, social, and spiritual development. The implementation of this goal requires well-thoughtout lesson content, proper planning, methodological consistency, and diversity in teaching forms and methods. Therefore, along with organizing the lesson effectively, an important aspect of a teacher’s professional activity is the analysis of the lesson’s progress and effectiveness. This article briefly examines the objectives of lesson analysis, an approximate plan of questions for teachers’ selfassessment of their lessons, the stages of lesson analysis, and a suggested framework for a comprehensive psychological and pedagogical analysis. In the modern educational process, the lesson remains the primary form of active interaction between teacher and student. Each lesson integrates the goals of education, upbringing, and personal development in close interrelation. However, achieving these goals requires a deep and comprehensive analysis of the lesson.</w:t>
      </w:r>
    </w:p>
    <w:p>
      <w:pPr/>
      <w:r>
        <w:rPr>
          <w:b/>
        </w:rPr>
        <w:t>POSSIBLE 2024:</w:t>
      </w:r>
      <w:r>
        <w:t xml:space="preserve"> The essence and content of scientific research methodology — https://doi.org/10.12775/jehs.2024.63.020</w:t>
      </w:r>
    </w:p>
    <w:p>
      <w:pPr/>
      <w:r>
        <w:rPr>
          <w:b/>
        </w:rPr>
        <w:t>Shared claim-specific concepts:</w:t>
      </w:r>
      <w:r>
        <w:t xml:space="preserve"> analyzes, content, methodology; EU scope not established. This is a provisional connection, not an outcome finding.</w:t>
      </w:r>
    </w:p>
    <w:p>
      <w:pPr>
        <w:pStyle w:val="SourceNote"/>
      </w:pPr>
      <w:r>
        <w:rPr>
          <w:b/>
        </w:rPr>
        <w:t>Available abstract (not full text):</w:t>
      </w:r>
      <w:r>
        <w:t xml:space="preserve"> The article analyzes the essence and content of the concepts "methodology", "methods of scientific research". The content of general and special methods of conducting scientific research is disclosed. It has been established that the methodology of scientific research is a conceptual statement of the content, purpose, and methods of research that allow obtaining the most objective, systematized and accurate information about phenomena and processes. The methodology systematizes the methods, methods and methods of learning objective reality, ensuring the reliability of the obtained knowledge about the object of research, their compliance with the subject of research, and is also a means of substantiating the results and conclusions of the conducted scientific research. The methods of scientific research mean a set of cognitive rules and techniques, implemented in the form of interconnected operations, designed to obtain new knowledge, consisting of three stages: research, proof and explanation. Methods are a set of techniques and methods of activity that allow a person or organization to achieve set goals. The choice of methods depends on the nature and content of the problem, the terms and resources allocated for its study, the amount and quality of available information. The authors characterized the content of empirical, theoretical and special methods of scientific research.</w:t>
      </w:r>
    </w:p>
    <w:p>
      <w:pPr>
        <w:pStyle w:val="Heading2"/>
      </w:pPr>
      <w:r>
        <w:t>833. Futuribles of learning 2030 - Delphi supports the reform of the core curricula in Finland</w:t>
      </w:r>
    </w:p>
    <w:p>
      <w:pPr>
        <w:pStyle w:val="SourceNote"/>
      </w:pPr>
      <w:r>
        <w:rPr>
          <w:b/>
        </w:rPr>
        <w:t>Original source (2016):</w:t>
      </w:r>
      <w:r>
        <w:t xml:space="preserve"> https://doi.org/10.1007/s40309-016-0096-y</w:t>
      </w:r>
    </w:p>
    <w:p>
      <w:pPr/>
      <w:r>
        <w:t>Original wording (abstract; indexed_source_text_not_full_document_verified): The aim of the Barometer is to acknowledge the futuribles of learning and take into consideration the possibilities and challenges that may affect the development of school, teaching and learning.</w:t>
      </w:r>
    </w:p>
    <w:p>
      <w:pPr/>
      <w:r>
        <w:rPr>
          <w:b/>
        </w:rPr>
        <w:t>POSSIBLE 2024:</w:t>
      </w:r>
      <w:r>
        <w:t xml:space="preserve"> Prevalence and epidemiological characteristics of chronic pain in the Spanish population. Results from the pain barometer — https://doi.org/10.1002/ejp.4705</w:t>
      </w:r>
    </w:p>
    <w:p>
      <w:pPr/>
      <w:r>
        <w:rPr>
          <w:b/>
        </w:rPr>
        <w:t>Shared claim-specific concepts:</w:t>
      </w:r>
      <w:r>
        <w:t xml:space="preserve"> aim, barometer, consideration; EU scope not established. This is a provisional connection, not an outcome finding.</w:t>
      </w:r>
    </w:p>
    <w:p>
      <w:pPr>
        <w:pStyle w:val="SourceNote"/>
      </w:pPr>
      <w:r>
        <w:rPr>
          <w:b/>
        </w:rPr>
        <w:t>Available abstract (not full text):</w:t>
      </w:r>
      <w:r>
        <w:t xml:space="preserve"> BACKGROUND: Chronic pain (CP) is a public health problem worldwide. AIM: To update the prevalence of CP and compare the clinical and social characteristics of people with CP with those with non-chronic continuous pain and a group without pain. METHODS: An observational cross-sectional study was carried out in a representative sample of 7058 adults from the Spanish population. Sociodemographic data, the presence of CP and non-chronic continuous pain, characteristics of pain, limitations on activities of daily living (ADL), the presence and level of anxiety and depression (HADS), quality of life (SF-12v2) and social support (DUKE) were collected. Descriptive and bivariate analyses were performed. RESULTS: The prevalence of CP was 25.9% (95% CI;24.8-26.9) and that of non-chronic continuous pain was 7.7% (95% CI;7.1-8.3). Women presented a higher prevalence of both CP (30.5% vs. 21.3%) and non-chronic continuous pain (8.8% vs. 6.6%). CP was more common in the group between 55 and 75 years old (30.6%, 95% CI = 28.6-32.6%), non-chronic continuous pain affected most the population between 18 and 34 years old (11.2%, 95% CI = 9.6-12.7%). The median duration of CP was 4 years. The lumbar was the most frequent pain site (58.1%), and 27.1% did not know the cause. A greater frequency of limitations on ADL, more anxiety and depression, and worse quality of life were shown among the subjects</w:t>
      </w:r>
    </w:p>
    <w:p>
      <w:pPr/>
      <w:r>
        <w:rPr>
          <w:b/>
        </w:rPr>
        <w:t>POSSIBLE 2023:</w:t>
      </w:r>
      <w:r>
        <w:t xml:space="preserve"> A Review of the AGE Barometer 2023: EU Good Practices and Barriers in the Empowerment of Elderly in the Labour Market - The Case of Hungary — https://doi.org/10.47225/mg/15/42/14315</w:t>
      </w:r>
    </w:p>
    <w:p>
      <w:pPr/>
      <w:r>
        <w:rPr>
          <w:b/>
        </w:rPr>
        <w:t>Shared claim-specific concepts:</w:t>
      </w:r>
      <w:r>
        <w:t xml:space="preserve"> barometer, consideration, challenges; EU scope visible. This is a provisional connection, not an outcome finding.</w:t>
      </w:r>
    </w:p>
    <w:p>
      <w:pPr>
        <w:pStyle w:val="SourceNote"/>
      </w:pPr>
      <w:r>
        <w:rPr>
          <w:b/>
        </w:rPr>
        <w:t>Available abstract (not full text):</w:t>
      </w:r>
      <w:r>
        <w:t xml:space="preserve"> The 2023 edition of the AGE Barometer was released by the Age Platform Europe, aimed at consolidating data from European statistics and national-level sources and enriched by feedback from 19 European countries, including Hungary. The publication aimed at empowering older people in the labour market and promoting sustainable and high-quality working lives for them. The Barometer revealed that the European Union (EU) is far from reaching its 78% employment target for adults aged 20 to 64 with its current state of just 62.3%. This could be due to various barriers to the integration of older people in the labour market, which include inadequate supportive policies, ageism, and unfavourable workplace conditions. Conversely, these are broadly stated in the context of the EU; hence, a deeper analysis of these results, with a special focus on the case of a single country, such as Hungary, is relevant to establish a clearer understanding of the national and local framework of these findings and in determining facilitating policies and programmes as well as gaps in promoting elderly inclusion in the labour sector. Using various methods such as critical analysis, desk and literature review, and thematic analysis, this article examined the Barometer report and other relevant publications. The Barometer 2023 effectively provided general issues and actionable areas in supporting older peopl</w:t>
      </w:r>
    </w:p>
    <w:p>
      <w:pPr/>
      <w:r>
        <w:rPr>
          <w:b/>
        </w:rPr>
        <w:t>POSSIBLE 2020:</w:t>
      </w:r>
      <w:r>
        <w:t xml:space="preserve"> COVID-19 and schooling: evaluation, assessment and accountability in times of crises—reacting quickly to explore key issues for policy, practice and research with the school barometer — https://doi.org/10.1007/s11092-020-09322-y</w:t>
      </w:r>
    </w:p>
    <w:p>
      <w:pPr/>
      <w:r>
        <w:rPr>
          <w:b/>
        </w:rPr>
        <w:t>Shared claim-specific concepts:</w:t>
      </w:r>
      <w:r>
        <w:t xml:space="preserve"> aim, barometer, challenges, school; EU scope visible. This is a provisional connection, not an outcome finding.</w:t>
      </w:r>
    </w:p>
    <w:p>
      <w:pPr>
        <w:pStyle w:val="SourceNote"/>
      </w:pPr>
      <w:r>
        <w:rPr>
          <w:b/>
        </w:rPr>
        <w:t>Available abstract (not full text):</w:t>
      </w:r>
      <w:r>
        <w:t xml:space="preserve"> The crisis caused by the COVID-19 virus has far-reaching effects in the field of education, as schools were closed in March 2020 in many countries around the world. In this article, we present and discuss the School Barometer, a fast survey (in terms of reaction time, time to answer and dissemination time) that was conducted in Germany, Austria and Switzerland during the early weeks of the school lockdown to assess and evaluate the current school situation caused by COVID-19. Later, the School Barometer was extended to an international survey, and some countries conducted the survey in their own languages. In Germany, Austria and Switzerland, 7116 persons participated in the German language version: 2222 parents, 2152 students, 1949 school staff, 655 school leaders, 58 school authority and 80 members of the school support system. The aim was to gather, analyse and present data in an exploratory way to inform policy, practice and further research. In this article, we present some exemplary first results and possible implications for policy, practice and research. Furthermore, we reflect on the strengths and limitations of the School Barometer and fast surveys as well as the methodological options for data collection and analysis when using a short monitoring survey approach. Specifically, we discuss the methodological challenges associated with survey data of this kind, includin</w:t>
      </w:r>
    </w:p>
    <w:p>
      <w:pPr/>
      <w:r>
        <w:rPr>
          <w:b/>
        </w:rPr>
        <w:t>POSSIBLE 2018:</w:t>
      </w:r>
      <w:r>
        <w:t xml:space="preserve"> Seabird sentinels: The barometer for island conservation in a changing world — https://openalex.org/W2810691331</w:t>
      </w:r>
    </w:p>
    <w:p>
      <w:pPr/>
      <w:r>
        <w:rPr>
          <w:b/>
        </w:rPr>
        <w:t>Shared claim-specific concepts:</w:t>
      </w:r>
      <w:r>
        <w:t xml:space="preserve"> barometer, take, consideration, affect; EU scope not established. This is a provisional connection, not an outcome finding.</w:t>
      </w:r>
    </w:p>
    <w:p>
      <w:pPr>
        <w:pStyle w:val="SourceNote"/>
      </w:pPr>
      <w:r>
        <w:rPr>
          <w:b/>
        </w:rPr>
        <w:t>Available abstract (not full text):</w:t>
      </w:r>
      <w:r>
        <w:t xml:space="preserve"> Seabirds are the most threatened group of marine animals, 53% of Procellariiformes (albatrosses, petrels, storm petrels, shearwaters, fulmars, and prions) are experiencing population declines; thus, their protection is a global conservation priority. On land, seabirds are vulnerable to invasive mammalian predators, due to physiological, behavioural and demographic traits, such as extended immaturity, low reproductive output and colonial nesting habits. At-sea, seabirds are impacted by human activities; suffering increasing levels of mortality from fisheries bycatch, pollution, and climate change. Land-based conservation actions, such as predator eradication have been the focus of conservation efforts. Currently, gaps remain in our understanding about the recovery of seabirds on islands following predator eradication. Moreover, little is known about the population level impacts of extrinsic stressors. In this thesis, I am to contribute to understanding if invasive predator control will deliver enduring benefits for seabirds and their island ecosystems. To do this, I investigate the factors that influence seabirds returning to islands after predator eradication, how island ecosystems are recovering, new ways of measuring the abundance and recovery of seabirds to islands, and how seabird recovery is affected by intensifying marine threats. In chapter 2, I evaluate the recovery of </w:t>
      </w:r>
    </w:p>
    <w:p>
      <w:pPr>
        <w:pStyle w:val="Heading2"/>
      </w:pPr>
      <w:r>
        <w:t>834. Futuring European industry: assessing the ManuFuture road towards EU re-industrialization</w:t>
      </w:r>
    </w:p>
    <w:p>
      <w:pPr>
        <w:pStyle w:val="SourceNote"/>
      </w:pPr>
      <w:r>
        <w:rPr>
          <w:b/>
        </w:rPr>
        <w:t>Original source (2016):</w:t>
      </w:r>
      <w:r>
        <w:t xml:space="preserve"> https://doi.org/10.1007/s40309-016-0100-6</w:t>
      </w:r>
    </w:p>
    <w:p>
      <w:pPr/>
      <w:r>
        <w:t>Original wording (abstract; indexed_source_text_not_full_document_verified): Based on a systemic assessment of the multi-actor, multi-governance-level and multi-sector policy approach, success factors are elaborated as guiding principles and framework for the upcoming Vision 2030 process.</w:t>
      </w:r>
    </w:p>
    <w:p>
      <w:pPr/>
      <w:r>
        <w:rPr>
          <w:b/>
        </w:rPr>
        <w:t>POSSIBLE 2026:</w:t>
      </w:r>
      <w:r>
        <w:t xml:space="preserve"> A network analysis of systemic risk in the European banking sector — https://doi.org/10.1007/s10203-026-00600-w</w:t>
      </w:r>
    </w:p>
    <w:p>
      <w:pPr/>
      <w:r>
        <w:rPr>
          <w:b/>
        </w:rPr>
        <w:t>Shared claim-specific concepts:</w:t>
      </w:r>
      <w:r>
        <w:t xml:space="preserve"> based, systemic, assessment; EU scope visible. This is a provisional connection, not an outcome finding.</w:t>
      </w:r>
    </w:p>
    <w:p>
      <w:pPr>
        <w:pStyle w:val="SourceNote"/>
      </w:pPr>
      <w:r>
        <w:rPr>
          <w:b/>
        </w:rPr>
        <w:t>Available abstract (not full text):</w:t>
      </w:r>
      <w:r>
        <w:t xml:space="preserve"> Abstract In this paper, we adopt a conditional tail risk network methodology for the assessment of transmission channels of risk. In particular, we employ weighted and directed networks to model the mutual influence between banks, with the weights being linked to tail risk measures. More specifically, in the empirical comparison we focus on MES-based pairwise dependence networks and on the parametric $$\Delta $$ Δ CoVaR network estimated on ARMA(1,1)-GARCH(1,1) residuals through SCAD-penalized quantile regression. We use different network indicators to investigate the importance of a bank’s role in both spreading and absorbing risk from other financial institutions. Our analysis focuses on a sample based on banks included in the European Banking Authority 2023 stress test, complemented by two additional systemically relevant European institutions and we consider daily data for the period 2015–2024. The analyses are conducted over four economically meaningful subperiods in order to evaluate the evolution of systemic interconnections across different macro-financial regimes. We find that the choice of tail risk measure leads to substantial differences in network topology, centrality rankings, and community composition. The empirical results demonstrate significant variations in the structural characteristics of the networks through time.</w:t>
      </w:r>
    </w:p>
    <w:p>
      <w:pPr/>
      <w:r>
        <w:rPr>
          <w:b/>
        </w:rPr>
        <w:t>POSSIBLE 2026:</w:t>
      </w:r>
      <w:r>
        <w:t xml:space="preserve"> Institutional Transformations of Multi-Level Governance in Ukraine under the Conditions of European Integration and Wartime Challenges — https://openalex.org/W7213573513</w:t>
      </w:r>
    </w:p>
    <w:p>
      <w:pPr/>
      <w:r>
        <w:rPr>
          <w:b/>
        </w:rPr>
        <w:t>Shared claim-specific concepts:</w:t>
      </w:r>
      <w:r>
        <w:t xml:space="preserve"> based, systemic, principles, framework; EU scope visible. This is a provisional connection, not an outcome finding.</w:t>
      </w:r>
    </w:p>
    <w:p>
      <w:pPr>
        <w:pStyle w:val="SourceNote"/>
      </w:pPr>
      <w:r>
        <w:rPr>
          <w:b/>
        </w:rPr>
        <w:t>Available abstract (not full text):</w:t>
      </w:r>
      <w:r>
        <w:t xml:space="preserve"> Abstract. The article examines the institutional transformations of multi-level governance in Ukraine in the context of European integration and wartime challenges. The study focuses on the structural changes in the territorial organization of public authority resulting from decentralization reform and assesses their compliance with the principles of the European multi-level governance (MLG) model. It is argued that decentralization has created institutional prerequisites for a polycentric system of public authority, particularly at the local level, by expanding the powers, resources, and decision-making autonomy of territorial communities. At the same time, the absence of synchronized institutional transformations at the subregional and regional levels has resulted in structural asymmetry and institutional inconsistency within the territorial organization of public authority. Particular attention is paid to the incomplete institutional transformation of regional governance, the limited role of oblast councils, the preservation of centralized administrative practices, and the uncertain institutional status of the subregional level. The article also examines how wartime conditions have intensified the tension between the need for centralized decision-making in the security sphere and the principles of decentralization and local autonomy. The analysis demonstrates that Ukraine ha</w:t>
      </w:r>
    </w:p>
    <w:p>
      <w:pPr/>
      <w:r>
        <w:rPr>
          <w:b/>
        </w:rPr>
        <w:t>POSSIBLE 2026:</w:t>
      </w:r>
      <w:r>
        <w:t xml:space="preserve"> Industrial energy transformation and multi-level governance: evidence from Germany — https://doi.org/10.32846/2306-9716/2026.eco.3-66.30</w:t>
      </w:r>
    </w:p>
    <w:p>
      <w:pPr/>
      <w:r>
        <w:rPr>
          <w:b/>
        </w:rPr>
        <w:t>Shared claim-specific concepts:</w:t>
      </w:r>
      <w:r>
        <w:t xml:space="preserve"> based, systemic, success, framework, process; EU scope visible. This is a provisional connection, not an outcome finding.</w:t>
      </w:r>
    </w:p>
    <w:p>
      <w:pPr>
        <w:pStyle w:val="SourceNote"/>
      </w:pPr>
      <w:r>
        <w:rPr>
          <w:b/>
        </w:rPr>
        <w:t>Available abstract (not full text):</w:t>
      </w:r>
      <w:r>
        <w:t xml:space="preserve"> This paper investigates the energy sector transformation in the German federal state of North Rhine-Westphalia as a process of systemic industrial restructuring within one of Europe's historically most carbon-intensive production regions.Drawing on an integrated analytical framework that combines legislative analysis with comparative empirical case studies, the study examines how climate-neutral transformation ambitions are operationalised in practice at the regional level.The analysis situates contemporary decarbonisation strategies within the long-term economic-historical pathway of the Ruhr industrial complex, characterised by strong path dependencies in fossil-fuel-based infrastructures, spatial industrial clustering, and high energy intensity.The findings demonstrate that energy transition in advanced manufacturing regions unfolds as a multidimensional reconfiguration of technological systems, infrastructure networks and governance arrangements, rather than as a linear substitution of energy carriers.The empirical analysis is based on six industrial transition case studies -Thyssenkrupp Steel tkH₂Steel, Carbon2Chem, STEAG / Iqony HydrOxy Hub Walsum, HyCologne regional hydrogen initiative, LyondellBasell MoReTec, and the Dortmund district heating modernisation -complemented by one municipal modernisation example, namely the renewable electricity procurement and public build</w:t>
      </w:r>
    </w:p>
    <w:p>
      <w:pPr/>
      <w:r>
        <w:rPr>
          <w:b/>
        </w:rPr>
        <w:t>POSSIBLE 2026:</w:t>
      </w:r>
      <w:r>
        <w:t xml:space="preserve"> Multi-Level Governance Through Public-Sector Intermediaries: Integration Versus Disintegration — https://doi.org/10.31083/mrev58329</w:t>
      </w:r>
    </w:p>
    <w:p>
      <w:pPr/>
      <w:r>
        <w:rPr>
          <w:b/>
        </w:rPr>
        <w:t>Shared claim-specific concepts:</w:t>
      </w:r>
      <w:r>
        <w:t xml:space="preserve"> based, process; EU scope not established. This is a provisional connection, not an outcome finding.</w:t>
      </w:r>
    </w:p>
    <w:p>
      <w:pPr>
        <w:pStyle w:val="SourceNote"/>
      </w:pPr>
      <w:r>
        <w:rPr>
          <w:b/>
        </w:rPr>
        <w:t>Available abstract (not full text):</w:t>
      </w:r>
      <w:r>
        <w:t xml:space="preserve"> This study investigates how public-sector intermediaries integrate their goals and functions across macro, meso, and micro system levels to support industry development, using the Swedish tourism sector as an empirical context. Drawing on the Three-Cycle Model of Innovation Efforts and a stakeholder–goal–function–outcome lens, the research conceptualizes public-sector intermediation as a dynamic, multi-scalar process shaped by institutional mandates, stakeholder expectations, and contextual constraints. Based on 15 semi-structured interviews, agenda-setting meetings, and document analysis across seven Swedish regions, the findings show that while intermediary goals often center on resource mobilization, networking, and development, their enacted functions are fluid and highly context-dependent. Integration across levels is frequently challenged by misaligned information structures, regulatory rigidity, fragmented digital infrastructures, and competing institutional logics, yet is enabled by adaptive mechanisms such as cross-sectoral networking, bidirectional translation work, and reflexive governance practices. The study contributes to theory by offering an extended conceptual model of goal–function integration, positioning public-sector intermediaries as boundary-spanning actors engaged in both downward policy translation and the upward articulation of situated knowledge. This</w:t>
      </w:r>
    </w:p>
    <w:p>
      <w:pPr/>
      <w:r>
        <w:rPr>
          <w:b/>
        </w:rPr>
        <w:t>POSSIBLE 2026:</w:t>
      </w:r>
      <w:r>
        <w:t xml:space="preserve"> Systemic Failure of Judicial Protection in Latvian Enforcement Proceedings: A Legal Assessment — https://doi.org/10.5281/zenodo.21709610</w:t>
      </w:r>
    </w:p>
    <w:p>
      <w:pPr/>
      <w:r>
        <w:rPr>
          <w:b/>
        </w:rPr>
        <w:t>Shared claim-specific concepts:</w:t>
      </w:r>
      <w:r>
        <w:t xml:space="preserve"> based, systemic, assessment, principles, process; EU scope visible. This is a provisional connection, not an outcome finding.</w:t>
      </w:r>
    </w:p>
    <w:p>
      <w:pPr>
        <w:pStyle w:val="SourceNote"/>
      </w:pPr>
      <w:r>
        <w:rPr>
          <w:b/>
        </w:rPr>
        <w:t>Available abstract (not full text):</w:t>
      </w:r>
      <w:r>
        <w:t xml:space="preserve"> Description This report presents an independent legal assessment of enforcement proceedings conducted in Latvia, examining whether the procedural actions and decisions taken during the enforcement process comply with Latvian law, the Charter of Fundamental Rights of the European Union, the European Convention on Human Rights, and internationally recognised principles of the rule of law. The analysis is based exclusively on official procedural documents, court decisions, enforcement records and other documentary evidence. Each procedural step is examined chronologically to evaluate its legality, procedural fairness, proportionality, reasoning, consistency and compliance with the principle of effective judicial protection. Particular attention is given to: procedural legality of enforcement measures; protection of property rights; access to justice and effective judicial protection; proportionality of enforcement actions; procedural fairness and equality of arms; assessment of evidence submitted by the debtor; duty to provide reasoned decisions; compliance with Articles 17, 41 and 47 of the Charter of Fundamental Rights of the European Union; compliance with Articles 6 and 13 of the European Convention on Human Rights. The report also examines whether the enforcement proceedings reveal systemic deficiencies affecting effective judicial protection, including situations in which pr</w:t>
      </w:r>
    </w:p>
    <w:p>
      <w:pPr/>
      <w:r>
        <w:rPr>
          <w:b/>
        </w:rPr>
        <w:t>POSSIBLE 2026:</w:t>
      </w:r>
      <w:r>
        <w:t xml:space="preserve"> A Scoping Review of Systemic Assessment for Clients Presenting in Adults with Traumatic Brain Injuries: Integrating Biopsychosocial and Family Systems Perspectives — https://doi.org/10.47772/ijriss.2026.100900136</w:t>
      </w:r>
    </w:p>
    <w:p>
      <w:pPr/>
      <w:r>
        <w:rPr>
          <w:b/>
        </w:rPr>
        <w:t>Shared claim-specific concepts:</w:t>
      </w:r>
      <w:r>
        <w:t xml:space="preserve"> based, systemic, assessment; EU scope visible. This is a provisional connection, not an outcome finding.</w:t>
      </w:r>
    </w:p>
    <w:p>
      <w:pPr>
        <w:pStyle w:val="SourceNote"/>
      </w:pPr>
      <w:r>
        <w:rPr>
          <w:b/>
        </w:rPr>
        <w:t>Available abstract (not full text):</w:t>
      </w:r>
      <w:r>
        <w:t xml:space="preserve"> The complexity of traumatic brain injury (TBI) requires coordination across professional disciplines and across stages of recovery. Further, the multidimensional consequences of TBI demand an appraisal method that extends beyond neurological and physical impairment. In spite of the recognition that TBI affects interconnected biological, psychological, social, functional and family domains, it remains unclear how these domains are brought together during assessment. This scoping review maps and synthesises the existing evidence on assessment across biological, cognitive, psychological, social, functional, family, caregiver and relational domains; establishes the extent of family and inter-disciplinary involvement; and determines integration gaps. The review was conducted within the context of adult TBI care and rehabilitation. A total of 26 publications were included in the study. The inclusion criteria was articles based on primary research and published between January 2000 to September 2026 involving adults with TBI, The studies selected were published in English language. The search strategy involved a systematic, comprehensive search of PubMed/MEDLINE, Europe PubMed Central, and Director of Open Access Journals (DOAJ). Thematic analysis was then utilized to identify common categories and patterns across the extracted information, undertaking narrative content analysis to ca</w:t>
      </w:r>
    </w:p>
    <w:p>
      <w:pPr/>
      <w:r>
        <w:rPr>
          <w:b/>
        </w:rPr>
        <w:t>POSSIBLE 2025:</w:t>
      </w:r>
      <w:r>
        <w:t xml:space="preserve"> Potential systemic availability classification of chemicals for safety assessment — https://doi.org/10.1016/j.envint.2025.109636</w:t>
      </w:r>
    </w:p>
    <w:p>
      <w:pPr/>
      <w:r>
        <w:rPr>
          <w:b/>
        </w:rPr>
        <w:t>Shared claim-specific concepts:</w:t>
      </w:r>
      <w:r>
        <w:t xml:space="preserve"> based, systemic, assessment, approach, framework; EU scope visible. This is a provisional connection, not an outcome finding.</w:t>
      </w:r>
    </w:p>
    <w:p>
      <w:pPr>
        <w:pStyle w:val="SourceNote"/>
      </w:pPr>
      <w:r>
        <w:rPr>
          <w:b/>
        </w:rPr>
        <w:t>Available abstract (not full text):</w:t>
      </w:r>
      <w:r>
        <w:t xml:space="preserve"> The assessment of chemical safety is essential for protecting human health, yet current approaches have severe limitations. They are unable to address the rapidly growing number of substances requiring evaluation and further rely on animal testing, which the public expects to be phased out for ethical reasons. To address this, the European Partnership for Alternative Approaches to Animal Testing (EPAA) proposed the use of a novel framework for the classification of systemic toxicity based on new approach methodologies. One dimension of this framework is the grouping of substances into different classes of Potential Systemic Availability (PSA) concern (low, medium, high). But so far it remained conceptually and practically unclear how this classification can be achieved. Here, we outline the theoretical considerations for a health-protective definition of PSA concern classes and present a method for the quantitative evaluation of this property. Using high-throughput physiologically based kinetic modelling, we are able to classify the PSA concerns of 139 out of 150 EPAA NAM Designathon compounds. Further, we manually annotate these compounds to evaluate the plausibility of predicted classifications against expert judgement. Our results outline under which circumstances it is appropriate to prioritise or deprioritise chemicals due to their toxicokinetic properties. However, we fin</w:t>
      </w:r>
    </w:p>
    <w:p>
      <w:pPr/>
      <w:r>
        <w:rPr>
          <w:b/>
        </w:rPr>
        <w:t>POSSIBLE 2025:</w:t>
      </w:r>
      <w:r>
        <w:t xml:space="preserve"> The Opinions of Chemistry Teachers and Chemistry Teaching Students on Systemic Assessment — https://doi.org/10.1088/1742-6596/3037/1/012018</w:t>
      </w:r>
    </w:p>
    <w:p>
      <w:pPr/>
      <w:r>
        <w:rPr>
          <w:b/>
        </w:rPr>
        <w:t>Shared claim-specific concepts:</w:t>
      </w:r>
      <w:r>
        <w:t xml:space="preserve"> based, systemic, assessment, approach; EU scope not established. This is a provisional connection, not an outcome finding.</w:t>
      </w:r>
    </w:p>
    <w:p>
      <w:pPr>
        <w:pStyle w:val="SourceNote"/>
      </w:pPr>
      <w:r>
        <w:rPr>
          <w:b/>
        </w:rPr>
        <w:t>Available abstract (not full text):</w:t>
      </w:r>
      <w:r>
        <w:t xml:space="preserve"> Abstract The paper deals with the education strategy referred to as SATL (Systemic Approach in Teaching and Learning). This approach involves systemic assessment. It is based on systemic tasks in which students are supposed to consider multiple concepts at once and apply them in a new situation, which requires synthesis to formulate a complex answer. The research goal was to collect the opinions of chemistry teachers and chemistry teaching students on the implementation of systemic tasks in teaching. For this purpose, worksheets with different types of systemic tasks were created (e.g. systemic synthesis, systemic analysis, multiple choice, true/false, matching, arranging) for the selected topics of inorganic (sodium and its compounds, calcium and its compounds) and organic (e.g. hydrocarbons, hydroxy derivatives, carboxylic acids) chemistry. 89 teachers implemented the worksheets in their teaching over two school years (2019 – 2021) with a sample of 2136 2nd-year grammar school students. Subsequently, these teachers expressed their views and attitudes towards this type of task in a questionnaire. 40 chemistry teaching students were learning about systemic tasks and performing them during the Chemistry Didactics course over two academic years (2019 – 2021). Subsequently, they expressed their opinions on and attitudes to these tasks in a questionnaire developed by the authors. T</w:t>
      </w:r>
    </w:p>
    <w:p>
      <w:pPr/>
      <w:r>
        <w:rPr>
          <w:b/>
        </w:rPr>
        <w:t>POSSIBLE 2025:</w:t>
      </w:r>
      <w:r>
        <w:t xml:space="preserve"> Polycrisis and Systemic Risk: Assessment, Governance, and Communication — https://doi.org/10.1007/s13753-025-00636-3</w:t>
      </w:r>
    </w:p>
    <w:p>
      <w:pPr/>
      <w:r>
        <w:rPr>
          <w:b/>
        </w:rPr>
        <w:t>Shared claim-specific concepts:</w:t>
      </w:r>
      <w:r>
        <w:t xml:space="preserve"> based, systemic, assessment; EU scope not established. This is a provisional connection, not an outcome finding.</w:t>
      </w:r>
    </w:p>
    <w:p>
      <w:pPr>
        <w:pStyle w:val="SourceNote"/>
      </w:pPr>
      <w:r>
        <w:rPr>
          <w:b/>
        </w:rPr>
        <w:t>Available abstract (not full text):</w:t>
      </w:r>
      <w:r>
        <w:t xml:space="preserve"> Abstract The emphasis of integrated disaster and risk research has shifted from topical analysis, such as dealing with natural hazard-related disasters, technological accidents, or environmental crises, to a comprehensive analysis of interconnected and mutually interactive risk sources and crises. This interaction has often been framed in the language of “polycrisis” indicating the potentially amplifying and cascading effects of each crisis from one domain to the next. At the same time, the literature on systemic risk also includes the effects of multiple, interacting risks on the functionality and survivability of entire systems such as climate stability, cybersecurity, or energy production. This review article provides first a summary of the literature on both concepts, explicates the commonalities and differences and develops a risk and crisis concept that builds a bridge between the two research traditions. Based on this concept, the review delineates the implementations of a joint understanding of polycrisis and systemic risk for risk assessment, risk and crisis governance, and effective communication to different audiences.</w:t>
      </w:r>
    </w:p>
    <w:p>
      <w:pPr/>
      <w:r>
        <w:rPr>
          <w:b/>
        </w:rPr>
        <w:t>POSSIBLE 2024:</w:t>
      </w:r>
      <w:r>
        <w:t xml:space="preserve"> Evaluation of the European Society of Cardiology Risk Assessment Score in Incident Systemic Sclerosis‐Associated Pulmonary Arterial Hypertension — https://doi.org/10.1002/acr.25328</w:t>
      </w:r>
    </w:p>
    <w:p>
      <w:pPr/>
      <w:r>
        <w:rPr>
          <w:b/>
        </w:rPr>
        <w:t>Shared claim-specific concepts:</w:t>
      </w:r>
      <w:r>
        <w:t xml:space="preserve"> based, systemic, assessment; EU scope visible. This is a provisional connection, not an outcome finding.</w:t>
      </w:r>
    </w:p>
    <w:p>
      <w:pPr>
        <w:pStyle w:val="SourceNote"/>
      </w:pPr>
      <w:r>
        <w:rPr>
          <w:b/>
        </w:rPr>
        <w:t>Available abstract (not full text):</w:t>
      </w:r>
      <w:r>
        <w:t xml:space="preserve"> OBJECTIVE: Patients with pulmonary arterial hypertension (PAH) may be stratified as low, intermediate, or high risk of 1-year mortality. In 2022, the European Society of Cardiology (ESC) updated and simplified its risk stratification tool, based on three variables: World Health Organization functional class, serum N-terminal pro-brain type natriuretic peptide and six-minute walk distance, applied at follow-up visits, intended to guide therapy over time. METHODS: We applied the 2022 ESC risk assessment tool at baseline and follow-up (within 2 years) to a multinational incident cohort of systemic sclerosis-associated PAH (SSc-PAH). Kaplan-Meier curves, Cox hazards regression, and accelerated failure time models were used to evaluate survival by risk score. RESULTS: At baseline (n = 260), the majority of SSc-PAH (72.2%) were graded as intermediate risk of death according to the 2022 tool. At follow-up, according to 2022 tool, half (55.5%) of the cohort were classified as low or intermediate-low risk. The 2022 risk model at follow-up was able to differentiate survival between risk strata. All three individual parameters (World Health Organization functional class, N-terminal pro-brain type natriuretic peptide, six-minute walk distance) were significantly associated with mortality at baseline and/or follow-up. CONCLUSION: The 2022 ESC risk assessment strategy applied at baseline and</w:t>
      </w:r>
    </w:p>
    <w:p>
      <w:pPr/>
      <w:r>
        <w:rPr>
          <w:b/>
        </w:rPr>
        <w:t>POSSIBLE 2024:</w:t>
      </w:r>
      <w:r>
        <w:t xml:space="preserve"> Multi-level learning for systemic transformation: Experiences from an expedition in North Mid Sweden — https://doi.org/10.1016/j.envsci.2024.103740</w:t>
      </w:r>
    </w:p>
    <w:p>
      <w:pPr/>
      <w:r>
        <w:rPr>
          <w:b/>
        </w:rPr>
        <w:t>Shared claim-specific concepts:</w:t>
      </w:r>
      <w:r>
        <w:t xml:space="preserve"> based, systemic, approach; EU scope visible. This is a provisional connection, not an outcome finding.</w:t>
      </w:r>
    </w:p>
    <w:p>
      <w:pPr>
        <w:pStyle w:val="SourceNote"/>
      </w:pPr>
      <w:r>
        <w:rPr>
          <w:b/>
        </w:rPr>
        <w:t>Available abstract (not full text):</w:t>
      </w:r>
      <w:r>
        <w:t xml:space="preserve"> Learning is often a component, and sometimes an explicit goal, of sustainability transition projects. Despite a growing interest in designing, facilitating, and evaluating such exploratory initiatives with respect to their systemic, less work has focused on how such initiatives support learning and capacity-building among its partaking actors and institutions including building experimental governance capacity. In this paper, we aim to better understand how exploratory and experimental initiatives with transformative sustainability ambitions relate to and influence their partaking actors and institutions. We draw from the North Mid Sweden Challenge Lab, an initiative to adapt, test and learn a governance approach to navigate complex sustainability challenges and transformations. It was part of a high impact action within a pilot for regional industrial transition framed around experiments in governance and policy by the European Commission and Organisation for Economic Co-operation and Development, where peer-learnings by and between regions was stated as an explicit goal. We focus on the kind of learning and knowledge creation processes that occur in these open-ended and multi-levelled social interaction processes. In this paper, we empirically engage with such learning processes with a focus on governance capacity, based on direct experiences from its participating actors and</w:t>
      </w:r>
    </w:p>
    <w:p>
      <w:pPr/>
      <w:r>
        <w:rPr>
          <w:b/>
        </w:rPr>
        <w:t>POSSIBLE 2024:</w:t>
      </w:r>
      <w:r>
        <w:t xml:space="preserve"> Challenges in assessing and managing multi-hazard risks: A European stakeholders perspective — https://doi.org/10.1016/j.envsci.2024.103774</w:t>
      </w:r>
    </w:p>
    <w:p>
      <w:pPr/>
      <w:r>
        <w:rPr>
          <w:b/>
        </w:rPr>
        <w:t>Shared claim-specific concepts:</w:t>
      </w:r>
      <w:r>
        <w:t xml:space="preserve"> based, assessment, guiding, framework; EU scope visible. This is a provisional connection, not an outcome finding.</w:t>
      </w:r>
    </w:p>
    <w:p>
      <w:pPr>
        <w:pStyle w:val="SourceNote"/>
      </w:pPr>
      <w:r>
        <w:rPr>
          <w:b/>
        </w:rPr>
        <w:t>Available abstract (not full text):</w:t>
      </w:r>
      <w:r>
        <w:t xml:space="preserve"> The latest evidence suggests that multi-hazards and their interrelationships (e.g., triggering, compound, and consecutive hazards) are becoming more frequent across Europe, underlying a need for resilience building by moving from single-hazard-focused to multi-hazard risk assessment and management. Although significant advancements were made in our understanding of these events, mainstream practice is still focused on risks due to single hazards (e.g., flooding, earthquakes, droughts), with a limited understanding of the stakeholder needs on the ground. To overcome this limitation, this paper sets out to understand the challenges for moving towards multi-hazard risk management through the perspective of European stakeholders. Based on five workshops across different European pilots (Danube Region, Veneto Region, Scandinavia, North Sea, and Canary Islands) and an expert workshop, we identify five prime challenges: i) governance, ii) knowledge of multi-hazards and multi-risks, iii) existing approaches to disaster risk management, iv) translation of science to policy and practice, and v) lack of data. These challenges are inherently linked and cannot be tackled in isolation with path dependency posing a significant hurdle in transitioning from single- to multi-hazard risk management. Going forward, we identify promising approaches for overcoming some of the challenges, including e</w:t>
      </w:r>
    </w:p>
    <w:p>
      <w:pPr>
        <w:pStyle w:val="Heading2"/>
      </w:pPr>
      <w:r>
        <w:t>835. GLOBAL FORECAST OF US NATIONAL INTELLIGENCE COUNCIL</w:t>
      </w:r>
    </w:p>
    <w:p>
      <w:pPr>
        <w:pStyle w:val="SourceNote"/>
      </w:pPr>
      <w:r>
        <w:rPr>
          <w:b/>
        </w:rPr>
        <w:t>Original source (2016):</w:t>
      </w:r>
      <w:r>
        <w:t xml:space="preserve"> https://doi.org/10.20542/0131-2227-2016-60-11-5-13</w:t>
      </w:r>
    </w:p>
    <w:p>
      <w:pPr/>
      <w:r>
        <w:t>Original wording (abstract; indexed_source_text_not_full_document_verified): The paper gives an analysis of the background, main trends, scenarios and factors of the long-term development of the world till 2030 which are exposed in forecasts of the National Intelligence Council (NIC) in its report of 2012.</w:t>
      </w:r>
    </w:p>
    <w:p>
      <w:pPr/>
      <w:r>
        <w:rPr>
          <w:b/>
        </w:rPr>
        <w:t>POSSIBLE 2026:</w:t>
      </w:r>
      <w:r>
        <w:t xml:space="preserve"> Factors Influencing Long-term Home Care for Patients with Tracheostomy from the Perspectives of their Family Members — https://doi.org/10.4103/ijnmr.ijnmr_379_24</w:t>
      </w:r>
    </w:p>
    <w:p>
      <w:pPr/>
      <w:r>
        <w:rPr>
          <w:b/>
        </w:rPr>
        <w:t>Shared claim-specific concepts:</w:t>
      </w:r>
      <w:r>
        <w:t xml:space="preserve"> background, main, factors, long-term; EU scope not established. This is a provisional connection, not an outcome finding.</w:t>
      </w:r>
    </w:p>
    <w:p>
      <w:pPr>
        <w:pStyle w:val="SourceNote"/>
      </w:pPr>
      <w:r>
        <w:rPr>
          <w:b/>
        </w:rPr>
        <w:t>Available abstract (not full text):</w:t>
      </w:r>
      <w:r>
        <w:t xml:space="preserve"> Background: Family caregivers are the principal caregivers of patients with tracheostomy and can reduce the risk of re-hospitalization through giving quality care to their patients. Caregiving to patients with tracheostomy is a complex process influenced by many different factors. However, there are inadequate data about these factors, and hence, this study aimed at exploring the factors influencing long-term home care for patients with tracheostomy from the perspectives of their family caregivers. Materials and Methods: We conducted this descriptive qualitative study in 2023-2024. Participants were nine family caregivers, one patient with a tracheostomy history of three years, a home care nurse, and an anesthesiologist purposefully selected from Mazandaran, Iran. Data were collected through 12 in-depth semi-structured interviews and were analyzed through conventional content analysis. The criteria proposed by Lincoln and Guba were used to ensure trustworthiness. Results: The three main categories of the factors influencing long-term home care for patients with tracheostomy were healthcare system dysfunction, challenges of tracheostomy care, and effective management of tracheostomy care. These three categories had 13 subcategories. Conclusions: Careful attention to the special needs of patients with tracheostomy, close collaboration among healthcare professionals and family car</w:t>
      </w:r>
    </w:p>
    <w:p>
      <w:pPr/>
      <w:r>
        <w:rPr>
          <w:b/>
        </w:rPr>
        <w:t>POSSIBLE 2025:</w:t>
      </w:r>
      <w:r>
        <w:t xml:space="preserve"> Factors Affecting Long-Term Outcomes for Patients with Inflammatory Bowel Disease—A Cross-Sectional Design — https://doi.org/10.3390/nursrep15070231</w:t>
      </w:r>
    </w:p>
    <w:p>
      <w:pPr/>
      <w:r>
        <w:rPr>
          <w:b/>
        </w:rPr>
        <w:t>Shared claim-specific concepts:</w:t>
      </w:r>
      <w:r>
        <w:t xml:space="preserve"> background, factors, long-term; EU scope visible. This is a provisional connection, not an outcome finding.</w:t>
      </w:r>
    </w:p>
    <w:p>
      <w:pPr>
        <w:pStyle w:val="SourceNote"/>
      </w:pPr>
      <w:r>
        <w:rPr>
          <w:b/>
        </w:rPr>
        <w:t>Available abstract (not full text):</w:t>
      </w:r>
      <w:r>
        <w:t xml:space="preserve"> Background: Symptoms of and treatments for inflammatory bowel disease have an impact on patients’ health-related quality of life and result in a need for self-care strategies. Little is known about factors affecting long-term outcomes and the types of coping strategies used by adult patients with inflammatory bowel disease to better cope with their chronic illness. Objective: This study aims to explore coping strategies, social support, and health-related quality of life and describe factors affecting long-term outcomes for patients with inflammatory bowel disease. Methods: A cross-sectional design was used, with a consecutive sample of 206 patients with inflammatory bowel disease who were recruited at three gastroenterology clinics in Sweden and given surveys consisting of patient characteristics, the Brief COPE, and a social support questionnaire. Descriptive statistics were used to analyze the data. This study was guided by Strengthening the Reporting of Observational Studies in Epidemiology (STROBE) guidelines. Results: The sample was 53% women and included 206 patients with a median age of 48 years. The coping mechanisms often used were active coping methods (problem-focused). Most of the patients had someone special by whom they felt supported (89%). Gender differences were shown for emotional support and whether the patients had someone they felt close to. According to t</w:t>
      </w:r>
    </w:p>
    <w:p>
      <w:pPr/>
      <w:r>
        <w:rPr>
          <w:b/>
        </w:rPr>
        <w:t>POSSIBLE 2024:</w:t>
      </w:r>
      <w:r>
        <w:t xml:space="preserve"> INDUSTRIAL TOURISM OF ORENBURG REGION: BACKGROUND OF DEVELOPMENT AND MAIN CENTERS — https://doi.org/10.34660/inf.2019.18.38833</w:t>
      </w:r>
    </w:p>
    <w:p>
      <w:pPr/>
      <w:r>
        <w:rPr>
          <w:b/>
        </w:rPr>
        <w:t>Shared claim-specific concepts:</w:t>
      </w:r>
      <w:r>
        <w:t xml:space="preserve"> background, main; EU scope not established. This is a provisional connection, not an outcome finding.</w:t>
      </w:r>
    </w:p>
    <w:p>
      <w:pPr>
        <w:pStyle w:val="SourceNote"/>
      </w:pPr>
      <w:r>
        <w:rPr>
          <w:b/>
        </w:rPr>
        <w:t>Available abstract (not full text):</w:t>
      </w:r>
      <w:r>
        <w:t xml:space="preserve"> 这些会议文集结合了会议的材料 -研究论文和科学工作 者的论文报告。 它考察了职业化人格的技术和社会学问题。 一些文章涉及人格职业化研究问题的理论和方法论方法和原 则。 作者对所引用的出版物，事实，数字，引用，统计数据，专 有名称和其他信息的准确性负责 These Conference Proceedings combine materials of the conference -research papers and thesis reports of scientific workers.They examines tecnical and sociological issues of research issues.Some articles deal with theoretical and methodological approaches and principles of research questions of personality professionalization.Authors are responsible for the accuracy of cited publications, facts, figures, quotations, statistics, proper names and other information.</w:t>
      </w:r>
    </w:p>
    <w:p>
      <w:pPr/>
      <w:r>
        <w:rPr>
          <w:b/>
        </w:rPr>
        <w:t>POSSIBLE 2023:</w:t>
      </w:r>
      <w:r>
        <w:t xml:space="preserve"> Predictive factors of long‐term follow‐up attendance in very long‐term childhood cancer survivors — https://doi.org/10.1002/cncr.34944</w:t>
      </w:r>
    </w:p>
    <w:p>
      <w:pPr/>
      <w:r>
        <w:rPr>
          <w:b/>
        </w:rPr>
        <w:t>Shared claim-specific concepts:</w:t>
      </w:r>
      <w:r>
        <w:t xml:space="preserve"> background, factors, long-term; EU scope not established. This is a provisional connection, not an outcome finding.</w:t>
      </w:r>
    </w:p>
    <w:p>
      <w:pPr>
        <w:pStyle w:val="SourceNote"/>
      </w:pPr>
      <w:r>
        <w:rPr>
          <w:b/>
        </w:rPr>
        <w:t>Available abstract (not full text):</w:t>
      </w:r>
      <w:r>
        <w:t xml:space="preserve"> BACKGROUND: Long-term follow-up (LTFU) clinics have been developed but only some childhood cancer survivors (CCS) attend long-term follow-up (LTFU). OBJECTIVE: To identify factors that influence LTFU attendance. METHODS: Five-year CCS treated for a solid tumor or lymphoma in Gustave Roussy before 2000, included in the FCCSS cohort (French Childhood Cancer Survivor Study), aged &gt;18 years and alive at the date of the LTFU Clinic opening (January 2012) were invited to a LTFU visit. Factors associated with attendance at the LTFU clinic between 2012 and 2020 were estimated using logistic regression analyses. Analyses included different types of factors: clinical (tumor characteristics, cancer treatments, late effects), medical (medical expenses were used as a proxy of survivor's health status), social (deprivation index based on census-tract data relating to income, educational level, proportion of blue-collar workers, and unemployed people living in the area of residence), and spatial (distance to the LTFU clinic). RESULTS: Among 2341 CCS contacted (55% males, mean age at study, 45 years; SD ± 10 years; mean age at diagnosis, 6 years; SD ± 5 years), 779 (33%) attended at least one LTFU visit. Initial cancer-related factors associated with LTFU visit attendance were: treatment with both radiotherapy and chemotherapy (odds ratio [OR], 4.02; 95% CI, 2.11-7.70), bone sarcoma (OR, 2.43;</w:t>
      </w:r>
    </w:p>
    <w:p>
      <w:pPr/>
      <w:r>
        <w:rPr>
          <w:b/>
        </w:rPr>
        <w:t>POSSIBLE 2022:</w:t>
      </w:r>
      <w:r>
        <w:t xml:space="preserve"> Long-Term Effects in Structures: background and recent developments — https://doi.org/10.21203/rs.3.rs-2009060/v1</w:t>
      </w:r>
    </w:p>
    <w:p>
      <w:pPr/>
      <w:r>
        <w:rPr>
          <w:b/>
        </w:rPr>
        <w:t>Shared claim-specific concepts:</w:t>
      </w:r>
      <w:r>
        <w:t xml:space="preserve"> background, main, long-term; EU scope not established. This is a provisional connection, not an outcome finding.</w:t>
      </w:r>
    </w:p>
    <w:p>
      <w:pPr>
        <w:pStyle w:val="SourceNote"/>
      </w:pPr>
      <w:r>
        <w:rPr>
          <w:b/>
        </w:rPr>
        <w:t>Available abstract (not full text):</w:t>
      </w:r>
      <w:r>
        <w:t xml:space="preserve"> Abstract The article presents overview of selected long-term effects in civil-engineering structures. Those effects are usually neglected in standard engineering practice, but in some cases can be very important for mechanical resistance and safety of the structures. Main aspects of these phenomena are discussed, with three illustrative examples which accentuated why is important to take them into account.</w:t>
      </w:r>
    </w:p>
    <w:p>
      <w:pPr/>
      <w:r>
        <w:rPr>
          <w:b/>
        </w:rPr>
        <w:t>POSSIBLE 2022:</w:t>
      </w:r>
      <w:r>
        <w:t xml:space="preserve"> Active methodologies and ICT to prevent bullying. Main study background and contributions — https://doi.org/10.46661/ijeri.5222</w:t>
      </w:r>
    </w:p>
    <w:p>
      <w:pPr/>
      <w:r>
        <w:rPr>
          <w:b/>
        </w:rPr>
        <w:t>Shared claim-specific concepts:</w:t>
      </w:r>
      <w:r>
        <w:t xml:space="preserve"> gives, background, main, world; EU scope not established. This is a provisional connection, not an outcome finding.</w:t>
      </w:r>
    </w:p>
    <w:p>
      <w:pPr>
        <w:pStyle w:val="SourceNote"/>
      </w:pPr>
      <w:r>
        <w:rPr>
          <w:b/>
        </w:rPr>
        <w:t>Available abstract (not full text):</w:t>
      </w:r>
      <w:r>
        <w:t xml:space="preserve"> Bullying is a widespread problem that has caused great social alarm in recent years because of its serious effects on children. In the educational context it is one of the most common expressions of peer violence along with cyber-bullying. The aim of this research has been to analyse the scientific production about the prevention of school bullying through active methodologies and the use of ICTs in formal educational contexts. This study derives from a research project financed through the Ministry of Science, Innovation and Universities (FPU18/00676) and is the result of a bibliometric study, in which various current articles have been analysed through the application of different indicators. The results show that scientific productivity on this subject has proliferated in recent years, which gives a glimpse of the relevance given to these issues in the scientific community. Among the conclusions of this work, the advantages of the use of gamification and the use of digital applications such as Kahoot or digital comics, which allow students to simulate experiences that would occur in the real world in order to develop new skills, critical self-reflection and greater awareness of the problem, should be highlighted. In the same way, it is essential that teachers, through the use of these teaching strategies, promote the students' protagonism, their expectations towards learning</w:t>
      </w:r>
    </w:p>
    <w:p>
      <w:pPr/>
      <w:r>
        <w:rPr>
          <w:b/>
        </w:rPr>
        <w:t>POSSIBLE 2022:</w:t>
      </w:r>
      <w:r>
        <w:t xml:space="preserve"> Background* — https://doi.org/10.4324/9781003343653-2</w:t>
      </w:r>
    </w:p>
    <w:p>
      <w:pPr/>
      <w:r>
        <w:rPr>
          <w:b/>
        </w:rPr>
        <w:t>Shared claim-specific concepts:</w:t>
      </w:r>
      <w:r>
        <w:t xml:space="preserve"> background, main; EU scope not established. This is a provisional connection, not an outcome finding.</w:t>
      </w:r>
    </w:p>
    <w:p>
      <w:pPr>
        <w:pStyle w:val="SourceNote"/>
      </w:pPr>
      <w:r>
        <w:rPr>
          <w:b/>
        </w:rPr>
        <w:t>Available abstract (not full text):</w:t>
      </w:r>
      <w:r>
        <w:t xml:space="preserve"> Methods of personality screening based on psychological tests arose in part from the attempt to exclude from combat those who might break down under its most severe stresses; the measurement of motivation was allied to the selection of suitable persons for promotion; the development of role theory to the need for an impersonal system of command and obedience. From the early 1950s onwards the systematic study of values began to gain momentum. To a few theorists it appeared, indeed, that insight into values might be the fundamental key to the understanding of human behaviour. In the natural sciences there have been two main views about the function of models. For positivists they serve simply as heuristic aids, and that is the end of matter. Realists, on the other hand, give them a more substantial function. In the social sciences, however, the function of models is more problematic. Even an approximate ‘fit’ between theory and fact is much harder to obtain.</w:t>
      </w:r>
    </w:p>
    <w:p>
      <w:pPr/>
      <w:r>
        <w:rPr>
          <w:b/>
        </w:rPr>
        <w:t>POSSIBLE 2020:</w:t>
      </w:r>
      <w:r>
        <w:t xml:space="preserve"> Adapting the Multilingual Assessment Instrument for Narratives (MAIN) to Torwali — https://doi.org/10.21248/zaspil.64.2020.583</w:t>
      </w:r>
    </w:p>
    <w:p>
      <w:pPr/>
      <w:r>
        <w:rPr>
          <w:b/>
        </w:rPr>
        <w:t>Shared claim-specific concepts:</w:t>
      </w:r>
      <w:r>
        <w:t xml:space="preserve"> gives, background, main; EU scope not established. This is a provisional connection, not an outcome finding.</w:t>
      </w:r>
    </w:p>
    <w:p>
      <w:pPr>
        <w:pStyle w:val="SourceNote"/>
      </w:pPr>
      <w:r>
        <w:rPr>
          <w:b/>
        </w:rPr>
        <w:t>Available abstract (not full text):</w:t>
      </w:r>
      <w:r>
        <w:t xml:space="preserve"> Torwali, a Dardic language of the Indo-Aryan family spoken in the District Swat in Pakistan, is an endangered language that lacks a literary tradition. This paper gives a background on the Torwali language and people, and describes the development of an orthography for Torwali and the establishment of Torwali-medium schools by the local organization Idara Baraye Taleem-o-Taraqi ‘institute for education and development’ (IBT). Finally, the process of adapting the Multilingual Assessment Instruments for Narratives (MAIN) to Torwali is outlined.</w:t>
      </w:r>
    </w:p>
    <w:p>
      <w:pPr/>
      <w:r>
        <w:rPr>
          <w:b/>
        </w:rPr>
        <w:t>POSSIBLE 2020:</w:t>
      </w:r>
      <w:r>
        <w:t xml:space="preserve"> Digital transformation: theoretical backgrounds of digital change — https://doi.org/10.15611/ms.2019.4.05</w:t>
      </w:r>
    </w:p>
    <w:p>
      <w:pPr/>
      <w:r>
        <w:rPr>
          <w:b/>
        </w:rPr>
        <w:t>Shared claim-specific concepts:</w:t>
      </w:r>
      <w:r>
        <w:t xml:space="preserve"> gives, background, main, trends, world; EU scope not established. This is a provisional connection, not an outcome finding.</w:t>
      </w:r>
    </w:p>
    <w:p>
      <w:pPr>
        <w:pStyle w:val="SourceNote"/>
      </w:pPr>
      <w:r>
        <w:rPr>
          <w:b/>
        </w:rPr>
        <w:t>Available abstract (not full text):</w:t>
      </w:r>
      <w:r>
        <w:t xml:space="preserve"> The purpose of this paper is a review of the existing deﬁnitions of digital transformation (abbrev. DT) and to structure its implications for new business models and implementation activities. This article was inspired by literature review whose main aim was to provide insight into the understanding of the theoretical background of digital transformation by means of the digitization and current megatrends in the VUCA world. The author gives examples, completes the literature research and shows the theoretical aspects of concepts, as well briefly analyzes the trends concerning DT. The article starts from definitions of DT, through digital readiness, to efficiency in the DT area. The main findings are that the approach for the structured digitization of business models is expanding, several excellence models have been developed over the past few years, and the implementation model for DT becomes a widely known concept. The author offers a clear deﬁnition, which corresponds to phases for DT of business models using a Digital Capability Maturity Models overview. Moreover, this paper is the author’s declaration of further DT’s research in its practical dimension</w:t>
      </w:r>
    </w:p>
    <w:p>
      <w:pPr/>
      <w:r>
        <w:rPr>
          <w:b/>
        </w:rPr>
        <w:t>POSSIBLE 2020:</w:t>
      </w:r>
      <w:r>
        <w:t xml:space="preserve"> Theoretical background — https://doi.org/10.4324/9781003018353-2</w:t>
      </w:r>
    </w:p>
    <w:p>
      <w:pPr/>
      <w:r>
        <w:rPr>
          <w:b/>
        </w:rPr>
        <w:t>Shared claim-specific concepts:</w:t>
      </w:r>
      <w:r>
        <w:t xml:space="preserve"> gives, background, main, factors; EU scope visible. This is a provisional connection, not an outcome finding.</w:t>
      </w:r>
    </w:p>
    <w:p>
      <w:pPr>
        <w:pStyle w:val="SourceNote"/>
      </w:pPr>
      <w:r>
        <w:rPr>
          <w:b/>
        </w:rPr>
        <w:t>Available abstract (not full text):</w:t>
      </w:r>
      <w:r>
        <w:t xml:space="preserve"> This chapter gives an overview of the main literature used to form the theoretical background of this book. Being a small state, Lithuania is guided by a foreign policy that is characteristic to this category of states. The typical security and foreign policy strategies of small states discussed in this chapter will later serve to analyse the extent to which Lithuania’s foreign policy has conformed to the typical role of small states in international politics. Also discussed are the classic and modern dilemmas of structure and agent in international politics. These concepts help us to understand the role of the agent (President Grybauskaitė) and the opportunities to operate in the international system. Finally, this chapter examines the importance of leaders in international politics. The psychological factors and the behaviour of political leaders are embedded in foreign policy analysis, as it can assist in clarifying why certain agents make particular decisions, and how that may change a state’s foreign policy course and even international structures.</w:t>
      </w:r>
    </w:p>
    <w:p>
      <w:pPr/>
      <w:r>
        <w:rPr>
          <w:b/>
        </w:rPr>
        <w:t>POSSIBLE 2020:</w:t>
      </w:r>
      <w:r>
        <w:t xml:space="preserve"> Long-Term Characterization of Submicron Atmospheric Particles in an Urban Background Site in Southern Italy — https://doi.org/10.3390/atmos11040334</w:t>
      </w:r>
    </w:p>
    <w:p>
      <w:pPr/>
      <w:r>
        <w:rPr>
          <w:b/>
        </w:rPr>
        <w:t>Shared claim-specific concepts:</w:t>
      </w:r>
      <w:r>
        <w:t xml:space="preserve"> background, main, trends, long-term; EU scope visible. This is a provisional connection, not an outcome finding.</w:t>
      </w:r>
    </w:p>
    <w:p>
      <w:pPr>
        <w:pStyle w:val="SourceNote"/>
      </w:pPr>
      <w:r>
        <w:rPr>
          <w:b/>
        </w:rPr>
        <w:t>Available abstract (not full text):</w:t>
      </w:r>
      <w:r>
        <w:t xml:space="preserve"> Continuous measurements of particle number size distributions in the size range from 10 nm to 800 nm were performed from 2015 to 2019 at the ECO Environmental-Climate Observatory of Lecce (Global Atmosphere Watch Programme/Aerosol, Clouds and Trace Gases Research Infrastructure (GAW/ACTRIS) regional station). The main objectives of this work were to investigate the daily, weekly and seasonal trends of particle number concentrations and their dependence on meteorological parameters gathering information on potential sources. The highest total number concentrations were observed during autumn-winter with average values nearly twice as high as in summer. More than 52% of total particle number concentration consisted of Aitken mode (20 nm &lt; particle diameter (Dp) &lt; 100 nm) particles followed by accumulation (100 nm &lt; Dp &lt; 800 nm) and nucleation (10 nm &lt; Dp &lt; 20 nm) modes representing, respectively, 27% and 21% of particles. The total number concentration was usually significantly higher during workdays than during weekends/holidays in all years, showing a trend likely correlated with local traffic activities. The number concentration of each particle mode showed a characteristic daily variation that was different in cold and warm seasons. The highest concentrations of the Aitken and accumulation particle mode were observed in the morning and the late evening, during typical rush ho</w:t>
      </w:r>
    </w:p>
    <w:p>
      <w:pPr/>
      <w:r>
        <w:rPr>
          <w:b/>
        </w:rPr>
        <w:t>POSSIBLE 2020:</w:t>
      </w:r>
      <w:r>
        <w:t xml:space="preserve"> Downscaling of Long-Term Global Scenarios to Regions with a Forest Sector Model — https://doi.org/10.3390/f11050500</w:t>
      </w:r>
    </w:p>
    <w:p>
      <w:pPr/>
      <w:r>
        <w:rPr>
          <w:b/>
        </w:rPr>
        <w:t>Shared claim-specific concepts:</w:t>
      </w:r>
      <w:r>
        <w:t xml:space="preserve"> background, factors, long-term, national; EU scope not established. This is a provisional connection, not an outcome finding.</w:t>
      </w:r>
    </w:p>
    <w:p>
      <w:pPr>
        <w:pStyle w:val="SourceNote"/>
      </w:pPr>
      <w:r>
        <w:rPr>
          <w:b/>
        </w:rPr>
        <w:t>Available abstract (not full text):</w:t>
      </w:r>
      <w:r>
        <w:t xml:space="preserve"> Research Highlights: Long-term global scenarios give insights on how social and economic developments and international agreements may impact land use, trade, product markets, and carbon balances. They form a valuable basis for forming national forest policies. Many aspects related to long-term management of forests and consequences for biodiversity and ecosystem services can only be addressed at regional and landscape levels. In order to be attended to in the policy process, there is a need for a method that downscales national scenarios to these finer levels. Background and Objectives: Regional framework conditions depend on management activities in the country as a whole. The aim of this study is to evaluate the use of a forest sector model (FSM) as a method for downscaling national scenarios results to regional level. The national FSM takes the global scenario data (e.g., harvest level and market prices over time) and solves the national problem. The result for the region of interest is taken as framework conditions for the regional study. Materials and Methods: Two different specifications are tested. One lets product volumes and prices represent endogenous variables in the FSM model. The other takes volumes and prices from the global scenario as exogenous parameters. The first specification attains a maximum net social payoff whereas the second specification means that ne</w:t>
      </w:r>
    </w:p>
    <w:p>
      <w:pPr>
        <w:pStyle w:val="Heading2"/>
      </w:pPr>
      <w:r>
        <w:t>836. Global food security: assessing trends in view of guiding future EU policies</w:t>
      </w:r>
    </w:p>
    <w:p>
      <w:pPr>
        <w:pStyle w:val="SourceNote"/>
      </w:pPr>
      <w:r>
        <w:rPr>
          <w:b/>
        </w:rPr>
        <w:t>Original source (2016):</w:t>
      </w:r>
      <w:r>
        <w:t xml:space="preserve"> https://doi.org/10.1108/fs-07-2015-0040</w:t>
      </w:r>
    </w:p>
    <w:p>
      <w:pPr/>
      <w:r>
        <w:t>Original wording (abstract; indexed_source_text_not_full_document_verified): The structure of the foresight was designed based on the following five objectives: envision the future of food systems, agree on the most crucial drivers of change affecting food security, reach a consensus on a likely vision for 2030, challenge this vision and analyse current policies and policy needs in terms of responsiveness and resilience to food security future challenges. A new paradigm shift is proposed: securing “regular” access to adequate food for the majority of the 8-9 billion people who will live on earth in the period 2030-2050, while addressing the food insecurity of a fraction of that total, is how a future European food security policy should be approached.</w:t>
      </w:r>
    </w:p>
    <w:p>
      <w:pPr/>
      <w:r>
        <w:rPr>
          <w:b/>
        </w:rPr>
        <w:t>POSSIBLE 2026:</w:t>
      </w:r>
      <w:r>
        <w:t xml:space="preserve"> Foresight on spatial mobility during green and digital transitions: insights from five European regions — https://doi.org/10.1080/09654313.2026.2698851</w:t>
      </w:r>
    </w:p>
    <w:p>
      <w:pPr/>
      <w:r>
        <w:rPr>
          <w:b/>
        </w:rPr>
        <w:t>Shared claim-specific concepts:</w:t>
      </w:r>
      <w:r>
        <w:t xml:space="preserve"> foresight, five; EU scope visible. This is a provisional connection, not an outcome finding.</w:t>
      </w:r>
    </w:p>
    <w:p>
      <w:pPr>
        <w:pStyle w:val="SourceNote"/>
      </w:pPr>
      <w:r>
        <w:rPr>
          <w:b/>
        </w:rPr>
        <w:t>Available abstract (not full text):</w:t>
      </w:r>
      <w:r>
        <w:t xml:space="preserve"> The paper advances an anticipatory approach to European regional policy by integrating foresight analysis within the framework of the green and digital transitions, focusing on the changing nature of spatial mobility and its impact on demographics. Building on the MOBI-TWIN project, it develops a foresight scenario archetype framework, structured around two empirically derived axes of regional transformation, adaptiveness and momentum, drawn from quantitative analysis of regional attractiveness and mobility flows, and applies it through a harmonized methodology across five heterogeneous pilot regions to explore how digitalisation and green transitions interact with mobility dynamics. The resulting scenarios, elaborated and regionally articulated through participatory co-creation workshops and validated through an expert survey and local stakeholder workshops, capture distinct combinations of transition capacity, governance quality and resilience. The findings reveal that most regions are expected to remain in low-pace trajectories of incremental adaptation, constrained by institutional inertia, demographic decline and fragmented policy coordination. However, innovation niches and anticipatory governance practices in some of the pilot regions illustrate how peripherality can evolve into renewal through coordinated foresight and stakeholder collaboration. The comparative analysis</w:t>
      </w:r>
    </w:p>
    <w:p>
      <w:pPr/>
      <w:r>
        <w:rPr>
          <w:b/>
        </w:rPr>
        <w:t>POSSIBLE 2025:</w:t>
      </w:r>
      <w:r>
        <w:t xml:space="preserve"> From Reaction to Foresight: EUPHA’s vision for health security in Europe — https://doi.org/10.1093/eurpub/ckaf071</w:t>
      </w:r>
    </w:p>
    <w:p>
      <w:pPr/>
      <w:r>
        <w:rPr>
          <w:b/>
        </w:rPr>
        <w:t>Shared claim-specific concepts:</w:t>
      </w:r>
      <w:r>
        <w:t xml:space="preserve"> foresight, designed, based, systems, security, reach;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Foresight in heritage: fostering future consciousness to proactively face change — https://doi.org/10.1108/jchmsd-12-2024-0298</w:t>
      </w:r>
    </w:p>
    <w:p>
      <w:pPr/>
      <w:r>
        <w:rPr>
          <w:b/>
        </w:rPr>
        <w:t>Shared claim-specific concepts:</w:t>
      </w:r>
      <w:r>
        <w:t xml:space="preserve"> foresight, drivers, current; EU scope visible. This is a provisional connection, not an outcome finding.</w:t>
      </w:r>
    </w:p>
    <w:p>
      <w:pPr>
        <w:pStyle w:val="SourceNote"/>
      </w:pPr>
      <w:r>
        <w:rPr>
          <w:b/>
        </w:rPr>
        <w:t>Available abstract (not full text):</w:t>
      </w:r>
      <w:r>
        <w:t xml:space="preserve"> Purpose This paper introduces Foresight as a structured approach that is increasingly employed across industries and disciplines for anticipating future change and proposes its utility for the heritage sector. We illustrate how integrating greater Foresight into heritage practice can encourage proactive engagement with emerging trends; develop resilient strategies for heritage research, planning and management; and locate where heritage-based actions can bring transformative change for both communities and societies. Design/methodology/approach This paper presents research undertaken as part of the Alliance for Cultural Heritage Research in Europe (ARCHE) to inform a new Strategic Research and Innovation Agenda. We analysed foresight and future-oriented publications from a range of disciplines to consolidate insights on current and emerging trends across sectors and global regions and to understand the heritage sector's engagement with Foresight approaches thus far. Findings The analysis identifies several drivers shaping our existing and future landscape and their implications for heritage research and practice. It also highlights opportunities for action where heritage can have a vital role in shaping futures and catalysing societal benefits. To conclude, the paper discusses gaps in the current body of heritage foresight research and identifies avenues to produce a more robus</w:t>
      </w:r>
    </w:p>
    <w:p>
      <w:pPr/>
      <w:r>
        <w:rPr>
          <w:b/>
        </w:rPr>
        <w:t>POSSIBLE 2025:</w:t>
      </w:r>
      <w:r>
        <w:t xml:space="preserve"> The Need for Synergy in Foresight Research for Healthcare and Medical Sciences — https://doi.org/10.36401/iddb-25-1</w:t>
      </w:r>
    </w:p>
    <w:p>
      <w:pPr/>
      <w:r>
        <w:rPr>
          <w:b/>
        </w:rPr>
        <w:t>Shared claim-specific concepts:</w:t>
      </w:r>
      <w:r>
        <w:t xml:space="preserve"> foresight, systems, drivers, security, consensus, policies; EU scope visible. This is a provisional connection, not an outcome finding.</w:t>
      </w:r>
    </w:p>
    <w:p>
      <w:pPr>
        <w:pStyle w:val="SourceNote"/>
      </w:pPr>
      <w:r>
        <w:rPr>
          <w:b/>
        </w:rPr>
        <w:t>Available abstract (not full text):</w:t>
      </w:r>
      <w:r>
        <w:t xml:space="preserve"> The rapid integration of artificial intelligence (AI) and machine learning (ML) technologies into healthcare represents a transformative opportunity. These technologies can interrogate and interpret complex medical datasets, thereby offering the potential for enhanced diagnostics, better patient outcomes, and optimized resource allocation.[1,2] We propose combining AI and ML with foresight methods, in synergy with medical expertise, and respecting the principles of responsible research and innovation (RRI) to guide research and support decision-making in the context of future challenges.[3] The core principles of foresight methods are to explore uncertainty over longer horizons by combining future-oriented, knowledge-based creativity, interaction, expertise, and evidence, enabling stakeholders to anticipate potential scenarios and develop proactive strategies.[4–6]The RRI paradigm incorporates reflexivity, responsiveness, deliberation, and anticipation to make scientific and technological progress more aligned with societal needs and values.[7] By incorporating foresight into AI and ML development in a more global context, the healthcare sector can address upcoming challenges, creating a more sustainable, inclusive, and ethical future for healthcare. By leveraging advanced predictive analytics, these technologies can identify critical issues, like drivers, barriers, opportuniti</w:t>
      </w:r>
    </w:p>
    <w:p>
      <w:pPr/>
      <w:r>
        <w:rPr>
          <w:b/>
        </w:rPr>
        <w:t>POSSIBLE 2024:</w:t>
      </w:r>
      <w:r>
        <w:t xml:space="preserve"> Emerging Biotechnologies in Europe: Foresight for Policy — https://doi.org/10.2760/4814109</w:t>
      </w:r>
    </w:p>
    <w:p>
      <w:pPr/>
      <w:r>
        <w:rPr>
          <w:b/>
        </w:rPr>
        <w:t>Shared claim-specific concepts:</w:t>
      </w:r>
      <w:r>
        <w:t xml:space="preserve"> foresight, policies;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What future for EU foresight? A critical perspective on the institutionalisation of foresight — https://doi.org/10.1111/eulj.12528</w:t>
      </w:r>
    </w:p>
    <w:p>
      <w:pPr/>
      <w:r>
        <w:rPr>
          <w:b/>
        </w:rPr>
        <w:t>Shared claim-specific concepts:</w:t>
      </w:r>
      <w:r>
        <w:t xml:space="preserve"> foresight, crucial, current; EU scope visible. This is a provisional connection, not an outcome finding.</w:t>
      </w:r>
    </w:p>
    <w:p>
      <w:pPr>
        <w:pStyle w:val="SourceNote"/>
      </w:pPr>
      <w:r>
        <w:rPr>
          <w:b/>
        </w:rPr>
        <w:t>Available abstract (not full text):</w:t>
      </w:r>
      <w:r>
        <w:t xml:space="preserve"> Abstract What are the potential strengths and weaknesses in the current reconstruction of foresight at the EU level? In questioning foresight's institutionalisation processes from both a historical and a political sociology perspective, the article claims that charting the future is an issue of political power and that, hence, foresight's institutionalisation can never be taken for granted. More precisely, we identify two factors that determine how such process plays out. First, it depends on the definition and importance of the future according to specific contexts (war, economic or health crisis, periods of growth, etc.). Second, this changing definition intertwines with socio‐institutional structures and agents that are crucial for this institutionalisation to be sustainable. The analysis is twofold. First, we provide an overview of past international experiences of projections into the future (both foresight and forecast). Second, we illustrate how these issues may resurface and rebound within the EU’s unique power context.</w:t>
      </w:r>
    </w:p>
    <w:p>
      <w:pPr/>
      <w:r>
        <w:rPr>
          <w:b/>
        </w:rPr>
        <w:t>POSSIBLE 2024:</w:t>
      </w:r>
      <w:r>
        <w:t xml:space="preserve"> Design Futures: Cultivating Strategic Foresight Competencies in Design Education — https://doi.org/10.5772/intechopen.1007696</w:t>
      </w:r>
    </w:p>
    <w:p>
      <w:pPr/>
      <w:r>
        <w:rPr>
          <w:b/>
        </w:rPr>
        <w:t>Shared claim-specific concepts:</w:t>
      </w:r>
      <w:r>
        <w:t xml:space="preserve"> foresight, crucial, current; EU scope not established. This is a provisional connection, not an outcome finding.</w:t>
      </w:r>
    </w:p>
    <w:p>
      <w:pPr>
        <w:pStyle w:val="SourceNote"/>
      </w:pPr>
      <w:r>
        <w:rPr>
          <w:b/>
        </w:rPr>
        <w:t>Available abstract (not full text):</w:t>
      </w:r>
      <w:r>
        <w:t xml:space="preserve"> Future thinking and speculation practices can be seen as a crucial premise to approach solving a problem in an innovative way. It is profitable at circumstances in which challenges are complex. Future thinking incorporates two particular approaches: diverging and converging. It requires a flexible way of understanding, to come with different thoughts. This chapter reviews the literature crossing Strategic Foresight and Design disciplines with the accentuation put on how innovation design students, educators and design practitioners may engage with the future. Combining Foresight and Design, as part of Strategic Planning processes, can help the emergence of new possibilities, cultivate the incorporation of diverse stakeholders, and provide for continuous learning through experimentation by utilizing design approaches to attain more profound knowledge and arrangement around current reality. A framework was presented to integrate speculation in design education highlighting the significance of the strategic foresight approach and explaining the theoretical background behind creating the framework. A participatory design workshop was conducted to explain methods used to validate the results of the theoretical background in order to further develop the framework. This framework can be adopted in the design field in order to facilitate the process and to support practitioners’ decisi</w:t>
      </w:r>
    </w:p>
    <w:p>
      <w:pPr/>
      <w:r>
        <w:rPr>
          <w:b/>
        </w:rPr>
        <w:t>POSSIBLE 2024:</w:t>
      </w:r>
      <w:r>
        <w:t xml:space="preserve"> European foresight (1950–2020): A history of contrasts. Intellectual inspirations and the political conditions for success — https://doi.org/10.1111/eulj.12524</w:t>
      </w:r>
    </w:p>
    <w:p>
      <w:pPr/>
      <w:r>
        <w:rPr>
          <w:b/>
        </w:rPr>
        <w:t>Shared claim-specific concepts:</w:t>
      </w:r>
      <w:r>
        <w:t xml:space="preserve"> foresight, based, policies; EU scope visible. This is a provisional connection, not an outcome finding.</w:t>
      </w:r>
    </w:p>
    <w:p>
      <w:pPr>
        <w:pStyle w:val="SourceNote"/>
      </w:pPr>
      <w:r>
        <w:rPr>
          <w:b/>
        </w:rPr>
        <w:t>Available abstract (not full text):</w:t>
      </w:r>
      <w:r>
        <w:t xml:space="preserve"> Abstract Although foresight has played a central role in the history of European integration since its inception in the 1950s, it has not always had the same meaning, nor has it always been used in the same political way. This article looks at the genesis and development of foresight on a European scale between 1950 and 2020, analysing it as a specific public policy: such a perspective aims to highlight the differentiated relationships to time and future, the different conceptions of the respective roles of administration, politics and science, and the forms of competence on which successive foresight policies are based. It also enables us to identify the institutional and political factors that explain its development, and the particular forms it takes.</w:t>
      </w:r>
    </w:p>
    <w:p>
      <w:pPr/>
      <w:r>
        <w:rPr>
          <w:b/>
        </w:rPr>
        <w:t>POSSIBLE 2023:</w:t>
      </w:r>
      <w:r>
        <w:t xml:space="preserve"> Design Thinking for Innovation in Sustainable Built Environments and the Integration of an Inclusive Foresight and Design Thinking Framework — https://doi.org/10.18280/ijsdp.180314</w:t>
      </w:r>
    </w:p>
    <w:p>
      <w:pPr/>
      <w:r>
        <w:rPr>
          <w:b/>
        </w:rPr>
        <w:t>Shared claim-specific concepts:</w:t>
      </w:r>
      <w:r>
        <w:t xml:space="preserve"> foresight, based, following; EU scope not established. This is a provisional connection, not an outcome finding.</w:t>
      </w:r>
    </w:p>
    <w:p>
      <w:pPr>
        <w:pStyle w:val="SourceNote"/>
      </w:pPr>
      <w:r>
        <w:rPr>
          <w:b/>
        </w:rPr>
        <w:t>Available abstract (not full text):</w:t>
      </w:r>
      <w:r>
        <w:t xml:space="preserve"> The search for new methods and tools to successfully address sustainability challenges is gaining momentum, due to the growing awareness of sustainability issues.Over the past two decades, design thinking (DT) has become a phenomenon in a wide range of contexts, and has recently drawn research attention as an innovative approach for handling complex socioecological problems.This review paper analyzes DT processes covered in sustainable built environment (SBE) articles that focus specifically on DT and innovation, with a view to suggesting/developing an affective new model for sustainability research.The research design was developed following Denyer and Tranfield's method.The author reviewed documents using the evidence from all open access English language articles related to this issue between 2000 and 2022 identified using a Scopus database search in order to clearly identify and analyze the challenges and opportunities for innovation growth in SBE using a DT and innovation framework, 50 articles were selected based on the PRISMA statement and plotted on a modified Ansoff Matrix.This systematic literature review indicates that research regarding DT for innovation in SBE is challenged by the matter of how to identify new contexts and new solutions for future-oriented sustainability.It is also proposed that a wider range of stakeholders are required to help optimize the soluti</w:t>
      </w:r>
    </w:p>
    <w:p>
      <w:pPr/>
      <w:r>
        <w:rPr>
          <w:b/>
        </w:rPr>
        <w:t>POSSIBLE 2022:</w:t>
      </w:r>
      <w:r>
        <w:t xml:space="preserve"> Unsettling the Coloniality of Foresight — https://doi.org/10.4324/9781003199816-10</w:t>
      </w:r>
    </w:p>
    <w:p>
      <w:pPr/>
      <w:r>
        <w:rPr>
          <w:b/>
        </w:rPr>
        <w:t>Shared claim-specific concepts:</w:t>
      </w:r>
      <w:r>
        <w:t xml:space="preserve"> foresight, designed, systems; EU scope not established. This is a provisional connection, not an outcome finding.</w:t>
      </w:r>
    </w:p>
    <w:p>
      <w:pPr>
        <w:pStyle w:val="SourceNote"/>
      </w:pPr>
      <w:r>
        <w:rPr>
          <w:b/>
        </w:rPr>
        <w:t>Available abstract (not full text):</w:t>
      </w:r>
      <w:r>
        <w:t xml:space="preserve"> The practice of foresight is not neutral. It is conditioned by society’s cultural values, its economic systems, and its capacity for collective imagination. Pursuing rigid frames of progress forces people to bend their choices, their perspectives, and their sense of selves to fit those rigid frames, and therefore reduce the breadth of their collective humanity to templates that are designed and understood by a privileged few. This chapter discusses the practice of decoloniality in foresight that interrogates and repairs the deep systemic levels of oppressions that have marginalised and minoritised so many. It requires a consideration of justice in the governance of futures so that we are not locking those that are excluded from these conversations into future indebtedness or inequity. It ensures the responsibilities of intended and unintended consequences of actions in the short and long term are embedded in design, decision-making and governance processes.</w:t>
      </w:r>
    </w:p>
    <w:p>
      <w:pPr/>
      <w:r>
        <w:rPr>
          <w:b/>
        </w:rPr>
        <w:t>POSSIBLE 2022:</w:t>
      </w:r>
      <w:r>
        <w:t xml:space="preserve"> Analysis and foresight of the European Union - Mercosur Association Agreement — https://doi.org/10.33960/issn-e.1885-9119.dtff04en</w:t>
      </w:r>
    </w:p>
    <w:p>
      <w:pPr/>
      <w:r>
        <w:rPr>
          <w:b/>
        </w:rPr>
        <w:t>Shared claim-specific concepts:</w:t>
      </w:r>
      <w:r>
        <w:t xml:space="preserve"> foresight, following, current; EU scope visible. This is a provisional connection, not an outcome finding.</w:t>
      </w:r>
    </w:p>
    <w:p>
      <w:pPr>
        <w:pStyle w:val="SourceNote"/>
      </w:pPr>
      <w:r>
        <w:rPr>
          <w:b/>
        </w:rPr>
        <w:t>Available abstract (not full text):</w:t>
      </w:r>
      <w:r>
        <w:t xml:space="preserve"> After a negotiation that has been ongoing for more than two decades, the “agreement in principle” between the European Union and Mercosur regarding the trade pillar, announced in June 2019, has not been confirmed. Moreover, in the current context, the perspectives that are outlined in both blocks are not auspicious, for various reasons that are analyzed. In this context, the text will analyzes the following points: i) in the absence of a specific Treaty in progress of application, it informs about the negotiations of the trade pillar, its current status, the contents of the principle of agreement signed in 2019, the possibilities of closure and ratification by the two parties and the main expected impacts; ii) the potential implications of this agreement for both the European Union and Mercosur, in particular with regard to its foreseeable consequences for the strategic autonomy of both regions and for the strengthening of multilateralism at present; and iii) the expected impacts of the COVID-19 pandemic and the eventual contribution of this Association Agreement in the new scenarios. The text closes with a brief overview.</w:t>
      </w:r>
    </w:p>
    <w:p>
      <w:pPr/>
      <w:r>
        <w:rPr>
          <w:b/>
        </w:rPr>
        <w:t>POSSIBLE 2022:</w:t>
      </w:r>
      <w:r>
        <w:t xml:space="preserve"> Emerging smart city, transport and energy trends in urban settings: Results of a pan-European foresight exercise with 120 experts — https://doi.org/10.1016/j.techfore.2022.121915</w:t>
      </w:r>
    </w:p>
    <w:p>
      <w:pPr/>
      <w:r>
        <w:rPr>
          <w:b/>
        </w:rPr>
        <w:t>Shared claim-specific concepts:</w:t>
      </w:r>
      <w:r>
        <w:t xml:space="preserve"> foresight, policies; EU scope visible. This is a provisional connection, not an outcome finding.</w:t>
      </w:r>
    </w:p>
    <w:p>
      <w:pPr>
        <w:pStyle w:val="SourceNote"/>
      </w:pPr>
      <w:r>
        <w:rPr>
          <w:b/>
        </w:rPr>
        <w:t>Available abstract (not full text):</w:t>
      </w:r>
      <w:r>
        <w:t xml:space="preserve"> Forecasting future trends constitutes a key process for supporting urban and territorial policy making in general. In this work, we explore how the domains of smart cities, smart transport, and smart energy will evolve until 2030 from a scientific and technological perspective, as a means to inform future policies for urban development in Europe. We started our work with an extensive review of recent and relevant research, covering policy and market reports, scientific journal articles, and other scientific publications. Then, a two-round Delphi survey with 120 field experts was conducted to assess the plausibility of the literature review findings to materialize until 2030. According to our empirical findings, there will be several speedy and structural changes in the three domains: we were able to identify a set of 18 statements that are highly probable to become reality in the next decade, whereas 17 statements were classified as plausible but not highly probable, and three statements raised controversiality. This work provides significant added value in supporting territorial policymakers' and stakeholders' decision making under uncertainty, as well as in designing highly relevant research agendas, attuned to contemporary and emerging trends.</w:t>
      </w:r>
    </w:p>
    <w:p>
      <w:pPr>
        <w:pStyle w:val="Heading2"/>
      </w:pPr>
      <w:r>
        <w:t>837. Imaginary scenarios: Literature and Democracy in Europe</w:t>
      </w:r>
    </w:p>
    <w:p>
      <w:pPr>
        <w:pStyle w:val="SourceNote"/>
      </w:pPr>
      <w:r>
        <w:rPr>
          <w:b/>
        </w:rPr>
        <w:t>Original source (2016):</w:t>
      </w:r>
      <w:r>
        <w:t xml:space="preserve"> https://doi.org/10.25071/2369-7326.40256</w:t>
      </w:r>
    </w:p>
    <w:p>
      <w:pPr/>
      <w:r>
        <w:t>Original wording (abstract; indexed_source_text_not_full_document_verified): The concept ‘imaginary scenario’ will be implemented to investigate imaginative scripts and settings constructed by authors to visualize democratic structures, as such commenting on political and social events and ideas. Tavares (Learning to pray in the age of technique) build their novels around a Vorstellung of how (future) individuals and people in power could act and speak.</w:t>
      </w:r>
    </w:p>
    <w:p>
      <w:pPr/>
      <w:r>
        <w:rPr>
          <w:b/>
        </w:rPr>
        <w:t>POSSIBLE 2025:</w:t>
      </w:r>
      <w:r>
        <w:t xml:space="preserve"> Co-creating Gen-AI imaginaries — https://doi.org/10.34190/ecel.24.1.3950</w:t>
      </w:r>
    </w:p>
    <w:p>
      <w:pPr/>
      <w:r>
        <w:rPr>
          <w:b/>
        </w:rPr>
        <w:t>Shared claim-specific concepts:</w:t>
      </w:r>
      <w:r>
        <w:t xml:space="preserve"> concept, imaginative, learning; EU scope not established. This is a provisional connection, not an outcome finding.</w:t>
      </w:r>
    </w:p>
    <w:p>
      <w:pPr>
        <w:pStyle w:val="SourceNote"/>
      </w:pPr>
      <w:r>
        <w:rPr>
          <w:b/>
        </w:rPr>
        <w:t>Available abstract (not full text):</w:t>
      </w:r>
      <w:r>
        <w:t xml:space="preserve"> Educational futures are often shaped by techno-utopian narratives. Moving beyond technology-pedagogy dichotomies, this paper adopts the concept of entangled pedagogy to explore how GenAI and large language models (LLMs) can reshape inclusive language education. Using a speculative and scenario-based participatory design approach, we engaged pre-service and in-service teachers in envisioning future classrooms. Through imaginative case studies and recursive scenario development, we examine how imaginaries inform practical design for postdigital learning environments. The study focuses on teachers meaning making when given concrete and pedagogical scenarios of GenAI use cases co-created by human-AI interaction. The results reveal tensions between imagination and the imaginable, hope and caution, underscoring the crucial role of the sociocultural context, as well as the importance of human mediation in GenAI-driven futures.</w:t>
      </w:r>
    </w:p>
    <w:p>
      <w:pPr/>
      <w:r>
        <w:rPr>
          <w:b/>
        </w:rPr>
        <w:t>POSSIBLE 2025:</w:t>
      </w:r>
      <w:r>
        <w:t xml:space="preserve"> Shaping the future: A conceptual review of sociotechnical imaginaries — https://doi.org/10.1016/j.futures.2025.103607</w:t>
      </w:r>
    </w:p>
    <w:p>
      <w:pPr/>
      <w:r>
        <w:rPr>
          <w:b/>
        </w:rPr>
        <w:t>Shared claim-specific concepts:</w:t>
      </w:r>
      <w:r>
        <w:t xml:space="preserve"> concept, investigate, political, build, around; EU scope not established. This is a provisional connection, not an outcome finding.</w:t>
      </w:r>
    </w:p>
    <w:p>
      <w:pPr>
        <w:pStyle w:val="SourceNote"/>
      </w:pPr>
      <w:r>
        <w:rPr>
          <w:b/>
        </w:rPr>
        <w:t>Available abstract (not full text):</w:t>
      </w:r>
      <w:r>
        <w:t xml:space="preserve"> The literature around sociotechnical imaginaries has proliferated since the seminal publications of Jasanoff and Kim (2009, 2015). In this conceptual review, we examine the evolution of the concept and engagement with it across disciplines. To investigate this, we develop and analyse a corpus of 306 papers that deal with, build on or develop the concept. We provide a description of the citation trends, the journals in which papers are published, and the empirical topics that are covered in the literature. Building on Jasanoff’s foundational insights about political differences, time, space, and collective identity, our evaluation examines how scholars have both elaborated and extended these dimensions. Our analysis focuses on four key areas of conceptual development: (1) how the future has been engaged with, (2) how the concept is used to trace changes over time, (3) the forms of comparison employed in research, and (4) the ways in which the spatio-material emphasis is manifested. Our analysis highlights how the concept has evolved through diverse encounters with other fields, and underscores how the concept can be useful for further research. We suggest focusing on the relations between imaginaries and adjacent concepts, the endurance of imaginaries, and the mediums through which imaginaries are channelled for further conceptual development with and through the concept. • Soci</w:t>
      </w:r>
    </w:p>
    <w:p>
      <w:pPr/>
      <w:r>
        <w:rPr>
          <w:b/>
        </w:rPr>
        <w:t>POSSIBLE 2024:</w:t>
      </w:r>
      <w:r>
        <w:t xml:space="preserve"> Navigating the transition: Unraveling the EU's different imaginaries for a just future — https://doi.org/10.1016/j.futures.2024.103483</w:t>
      </w:r>
    </w:p>
    <w:p>
      <w:pPr/>
      <w:r>
        <w:rPr>
          <w:b/>
        </w:rPr>
        <w:t>Shared claim-specific concepts:</w:t>
      </w:r>
      <w:r>
        <w:t xml:space="preserve"> concept, imaginary; EU scope visible. This is a provisional connection, not an outcome finding.</w:t>
      </w:r>
    </w:p>
    <w:p>
      <w:pPr>
        <w:pStyle w:val="SourceNote"/>
      </w:pPr>
      <w:r>
        <w:rPr>
          <w:b/>
        </w:rPr>
        <w:t>Available abstract (not full text):</w:t>
      </w:r>
      <w:r>
        <w:t xml:space="preserve"> The European Union has translated the imperative of Just Transition into a comprehensive mix of instruments. In this way, the EU formulates its future visions of a just and sustainable European society. However, researchers have not yet examined the mix of instruments as an object of “making of futures”. To understand these future visions and the practical implications for the implementation of the instrument mix, our paper draws on the concept of imaginaries. Through a typological content analysis of the instruments, we reveal that the instruments are rooted in two distinct imaginaries. The Impact Mitigation Imaginary conservatively seeks to mitigate the negative impacts of transition on the socio-economic status quo. The Social Justice Imaginary, by contrast, progressively aims for a more equitable society during the transition. Considering also the implementation aspects of the instruments, we show that the instrument mix is inconsistent and only partially credible. We conclude that the implementation of the mix shifts the negotiation between progressive and conservative visions of a just and sustainable future to the national level with its own (power) interests. In this process, several implementation challenges may arise.</w:t>
      </w:r>
    </w:p>
    <w:p>
      <w:pPr/>
      <w:r>
        <w:rPr>
          <w:b/>
        </w:rPr>
        <w:t>POSSIBLE 2023:</w:t>
      </w:r>
      <w:r>
        <w:t xml:space="preserve"> European Constitutional Imaginaries — https://doi.org/10.1093/oso/9780192855480.003.0001</w:t>
      </w:r>
    </w:p>
    <w:p>
      <w:pPr/>
      <w:r>
        <w:rPr>
          <w:b/>
        </w:rPr>
        <w:t>Shared claim-specific concepts:</w:t>
      </w:r>
      <w:r>
        <w:t xml:space="preserve"> concept, imaginary, political; EU scope visible. This is a provisional connection, not an outcome finding.</w:t>
      </w:r>
    </w:p>
    <w:p>
      <w:pPr>
        <w:pStyle w:val="SourceNote"/>
      </w:pPr>
      <w:r>
        <w:rPr>
          <w:b/>
        </w:rPr>
        <w:t>Available abstract (not full text):</w:t>
      </w:r>
      <w:r>
        <w:t xml:space="preserve"> Abstract This chapter acts as an introduction to the whole volume. It first defines the concept of constitutional imaginary and sets it in the wider context of political theory and philosophy. Next, it explains what is missing from a number of recent publications that deal with European constitutionalism at a more reflexive and theoretical level and how the approach taken in this volume can enrich our understanding of the EU’s present predicament. Two perspectives are particularly important: that of history and that of political economy. The conclusion presents the broader project of which this volume is part and gives a brief overview of each chapter’s contents.</w:t>
      </w:r>
    </w:p>
    <w:p>
      <w:pPr/>
      <w:r>
        <w:rPr>
          <w:b/>
        </w:rPr>
        <w:t>POSSIBLE 2023:</w:t>
      </w:r>
      <w:r>
        <w:t xml:space="preserve"> A Rocket to Protect? Sociotechnical Imaginaries of Strategic Autonomy in Controversies About the European Rocket Program — https://doi.org/10.1080/14650045.2023.2177157</w:t>
      </w:r>
    </w:p>
    <w:p>
      <w:pPr/>
      <w:r>
        <w:rPr>
          <w:b/>
        </w:rPr>
        <w:t>Shared claim-specific concepts:</w:t>
      </w:r>
      <w:r>
        <w:t xml:space="preserve"> political, age; EU scope visible. This is a provisional connection, not an outcome finding.</w:t>
      </w:r>
    </w:p>
    <w:p>
      <w:pPr>
        <w:pStyle w:val="SourceNote"/>
      </w:pPr>
      <w:r>
        <w:rPr>
          <w:b/>
        </w:rPr>
        <w:t>Available abstract (not full text):</w:t>
      </w:r>
      <w:r>
        <w:t xml:space="preserve"> When we think about European integration practices, we rarely consider how they may extend to outer space. Yet, a new global space race is in full swing, in which commercial and government actors worldwide are putting forward bold visions of human futures in outer space. Europe is at the cusp of deciding which role to play in this new Space Age, with the European rocket program Ariane being at the centre of many debates about the future of Europe in space. Controversies about the future of the jointly built and heavily subsidised rocket entangle questions of innovation, in/security, and geopolitical power constellations. This paper traces which kind of space futures are projected onto and realised through Ariane, how the current geopolitical dynamics in the accelerating New Space Age are co-constitutive of how European strategic autonomy is envisioned, and how these futures relate to ideals and tensions of European integration. Mobilising work in science and technology studies (STS) on sociotechnical imaginaries and insights from the emerging social studies of outer space (SSOS), the paper offers unique and timely insights into how future visions of space shape forms of European collaboration in the present and how, conversely, geopolitical relations on Earth shape how and by whom these futures are imagined. The empirical part builds on two years of fieldwork in the European sp</w:t>
      </w:r>
    </w:p>
    <w:p>
      <w:pPr/>
      <w:r>
        <w:rPr>
          <w:b/>
        </w:rPr>
        <w:t>POSSIBLE 2022:</w:t>
      </w:r>
      <w:r>
        <w:t xml:space="preserve"> (Re)making hydrosocial territories: Materializing and contesting imaginaries and subjectivities through hydraulic infrastructure — https://doi.org/10.1016/j.polgeo.2022.102698</w:t>
      </w:r>
    </w:p>
    <w:p>
      <w:pPr/>
      <w:r>
        <w:rPr>
          <w:b/>
        </w:rPr>
        <w:t>Shared claim-specific concepts:</w:t>
      </w:r>
      <w:r>
        <w:t xml:space="preserve"> political, ideas, build, around; EU scope not established. This is a provisional connection, not an outcome finding.</w:t>
      </w:r>
    </w:p>
    <w:p>
      <w:pPr>
        <w:pStyle w:val="SourceNote"/>
      </w:pPr>
      <w:r>
        <w:rPr>
          <w:b/>
        </w:rPr>
        <w:t>Available abstract (not full text):</w:t>
      </w:r>
      <w:r>
        <w:t xml:space="preserve"> Infrastructures and their roles and connections to and in territories and territorialization processes have increasingly become objects of study in political geography scholarship. In this contribution, we build on these emerging insights and advance them by further conceptually disentangling the agential role of infrastructure. We bring together the notions of territory, governmentality, imaginaries and subjectivities, to clarify how exactly hydraulic infrastructure acts to transform relations between space, people and materiality. We start by introducing territorialization as a process of ‘ordering things’ in a certain space and time through different techniques of government. We then show how, at the base of such territorialization processes, are imaginaries that contain normative ideas about how space and socio-territorial relations should be ordered. Imaginaries are consequently materialized through hydraulic infrastructure through the inscription of morals, values and norms in infrastructure design, construction and operation. This set of materialities and relations embedded in infrastructure brings changes to the existing relations between space, water and people. In particular, we highlight the repercussions of infrastructure for how people understand and relate to each other, the environment, water, technology and space: in other words, how subjectivities change as an </w:t>
      </w:r>
    </w:p>
    <w:p>
      <w:pPr/>
      <w:r>
        <w:rPr>
          <w:b/>
        </w:rPr>
        <w:t>POSSIBLE 2022:</w:t>
      </w:r>
      <w:r>
        <w:t xml:space="preserve"> Introduction to the Imaginary of Precision Oncology — https://doi.org/10.1007/978-3-030-92612-0_2</w:t>
      </w:r>
    </w:p>
    <w:p>
      <w:pPr/>
      <w:r>
        <w:rPr>
          <w:b/>
        </w:rPr>
        <w:t>Shared claim-specific concepts:</w:t>
      </w:r>
      <w:r>
        <w:t xml:space="preserve"> imaginary, ideas, around; EU scope not established. This is a provisional connection, not an outcome finding.</w:t>
      </w:r>
    </w:p>
    <w:p>
      <w:pPr>
        <w:pStyle w:val="SourceNote"/>
      </w:pPr>
      <w:r>
        <w:rPr>
          <w:b/>
        </w:rPr>
        <w:t>Available abstract (not full text):</w:t>
      </w:r>
      <w:r>
        <w:t xml:space="preserve"> Abstract Ideas about precision medicine found its way into cancer research around the turn of the twentieth century and resulted in the imaginary of precision oncology. This chapter presents the emergence of the imaginary as well as its historical background. It furthermore argues that the imaginary is not well suited to take full biological complexity into account. This gives rise to conceptual limitations as well as practical risks as ambitions of precision are translated into practice.</w:t>
      </w:r>
    </w:p>
    <w:p>
      <w:pPr/>
      <w:r>
        <w:rPr>
          <w:b/>
        </w:rPr>
        <w:t>POSSIBLE 2022:</w:t>
      </w:r>
      <w:r>
        <w:t xml:space="preserve"> Towards the imaginary of collective prosperity in the European Union (EU): reorienting the corporation — https://doi.org/10.1017/elo.2023.5</w:t>
      </w:r>
    </w:p>
    <w:p>
      <w:pPr/>
      <w:r>
        <w:rPr>
          <w:b/>
        </w:rPr>
        <w:t>Shared claim-specific concepts:</w:t>
      </w:r>
      <w:r>
        <w:t xml:space="preserve"> concept, imaginary, political; EU scope visible. This is a provisional connection, not an outcome finding.</w:t>
      </w:r>
    </w:p>
    <w:p>
      <w:pPr>
        <w:pStyle w:val="SourceNote"/>
      </w:pPr>
      <w:r>
        <w:rPr>
          <w:b/>
        </w:rPr>
        <w:t>Available abstract (not full text):</w:t>
      </w:r>
      <w:r>
        <w:t xml:space="preserve"> Abstract In February 2022, the European Commission published the ‘Proposal for a Directive on Sustainable Due Diligence’. This proposal appears a first tentative step to move the European Union (EU) away from a neoliberal conception of corporation. It replaces the wholesale trust in shareholders as the drivers of social progress with a greater reliance on public intervention that, via law, should expand the purposes pursued by corporations and set more sustainable rules for their action. This intended shift towards a more socially responsible, ‘collectivist’ understanding of corporation, I argue, should be seen as part of a broader change in perception of the desirable relationship between the market, government and law in the EU, forced by the many unfolding crises. In this paper I develop the concept of ‘imaginaries of prosperity’ as an analytical category that should enable us to grasp deep changes in the conception of political economy that the EU is currently undergoing. I use the Commission’s attempt to transform one of the core institutions of the deeply entrenched imaginary of privatised prosperity – the neoliberal corporation – to identify shifts in our background understanding of the economy, politics, government, nature and law which are pointing to the emergence of a more collective imaginary of prosperity in the EU. However, even if Commission’s due diligence propo</w:t>
      </w:r>
    </w:p>
    <w:p>
      <w:pPr/>
      <w:r>
        <w:rPr>
          <w:b/>
        </w:rPr>
        <w:t>POSSIBLE 2022:</w:t>
      </w:r>
      <w:r>
        <w:t xml:space="preserve"> A Further Conversation on Social Imaginaries — https://doi.org/10.1163/27727866-bja00007</w:t>
      </w:r>
    </w:p>
    <w:p>
      <w:pPr/>
      <w:r>
        <w:rPr>
          <w:b/>
        </w:rPr>
        <w:t>Shared claim-specific concepts:</w:t>
      </w:r>
      <w:r>
        <w:t xml:space="preserve"> imaginary, political; EU scope not established. This is a provisional connection, not an outcome finding.</w:t>
      </w:r>
    </w:p>
    <w:p>
      <w:pPr>
        <w:pStyle w:val="SourceNote"/>
      </w:pPr>
      <w:r>
        <w:rPr>
          <w:b/>
        </w:rPr>
        <w:t>Available abstract (not full text):</w:t>
      </w:r>
      <w:r>
        <w:t xml:space="preserve"> Abstract The conversation begins with a discussion of political philosophy, a critique of a priori normativist approaches to that field, and reflections on the distinction between politics and the political. It moves on to clarify the place of the political within an ontology of the social-historical; while the pioneering contribution of Castoriadis to such an ontology is acknowledged, the need for a more elaborate theory of creative action, with due allowance for its involvement in historical processes, is emphasized. After some considerations on the role of ideology and utopia within the social-historical context, the conversation moves back to the questions of autonomy, creativity and the imaginary, and underlines the need to theorize autonomy as an imaginary signification in its own right, rather than merely a new attitude to imaginary significations. Implications of that view for the idea of reflective autonomy are discussed, with particular emphasis on confronting the omnipresent temptation of hubris, the condition of value pluralism and the fundamental fact of uncertainty about the future. The conversation concludes with some comments on diagnoses of our times, and a critique of various “postisms” as well as of the attempts to reduce contemporary societies to a single denominator.</w:t>
      </w:r>
    </w:p>
    <w:p>
      <w:pPr/>
      <w:r>
        <w:rPr>
          <w:b/>
        </w:rPr>
        <w:t>POSSIBLE 2021:</w:t>
      </w:r>
      <w:r>
        <w:t xml:space="preserve"> Popular imaginative geographies and Brexit: Evidence from Mass Observation — https://doi.org/10.1111/tran.12444</w:t>
      </w:r>
    </w:p>
    <w:p>
      <w:pPr/>
      <w:r>
        <w:rPr>
          <w:b/>
        </w:rPr>
        <w:t>Shared claim-specific concepts:</w:t>
      </w:r>
      <w:r>
        <w:t xml:space="preserve"> imaginative, political, events; EU scope visible. This is a provisional connection, not an outcome finding.</w:t>
      </w:r>
    </w:p>
    <w:p>
      <w:pPr>
        <w:pStyle w:val="SourceNote"/>
      </w:pPr>
      <w:r>
        <w:rPr>
          <w:b/>
        </w:rPr>
        <w:t>Available abstract (not full text):</w:t>
      </w:r>
      <w:r>
        <w:t xml:space="preserve"> The EU Referendum of 2016 was one of the most significant events in recent British political history. It is widely recognised that citizens engaged with the referendum through understandings of Britain, the EU, the world, and their place in it. This study complements existing research where such understandings have been inferred from citizens’ demographic characteristics, the characteristics of their localities/regions, or elite discourses. It builds on existing research where a more direct engagement with citizens’ understandings has been achieved through interviews or focus groups, allowing the content of understandings to be thickly described. To these latter studies, this paper makes three main contributions. First, it focuses on popular imaginative geographies, which are conceptualised drawing on literatures in Geography and Political Science as fast‐thinking heuristics. Second, it brings new evidence to the conversation in the form of volunteer writing for Mass Observation. Third, the focus is on the content of popular imaginative geographies, but also how and why such geographies were used by voters in the referendum. The main findings include that many Leave supporters imagined Britain as an island – either a once great military and imperial power, an island separate from Europe, needing freedom from Europe to engage in the wider world; or a small island, a full contain</w:t>
      </w:r>
    </w:p>
    <w:p>
      <w:pPr/>
      <w:r>
        <w:rPr>
          <w:b/>
        </w:rPr>
        <w:t>POSSIBLE 2021:</w:t>
      </w:r>
      <w:r>
        <w:t xml:space="preserve"> The meaning of convenience in smart home imaginaries: tech industry insights — https://doi.org/10.5334/bc.93</w:t>
      </w:r>
    </w:p>
    <w:p>
      <w:pPr/>
      <w:r>
        <w:rPr>
          <w:b/>
        </w:rPr>
        <w:t>Shared claim-specific concepts:</w:t>
      </w:r>
      <w:r>
        <w:t xml:space="preserve"> concept, imaginary, ideas; EU scope visible. This is a provisional connection, not an outcome finding.</w:t>
      </w:r>
    </w:p>
    <w:p>
      <w:pPr>
        <w:pStyle w:val="SourceNote"/>
      </w:pPr>
      <w:r>
        <w:rPr>
          <w:b/>
        </w:rPr>
        <w:t>Available abstract (not full text):</w:t>
      </w:r>
      <w:r>
        <w:t xml:space="preserve"> Smart home technology (SHT) is being promoted for the enhancement of occupants’ convenience, as well as more efficient and sustainable energy consumption. However, recent research indicates that convenience often takes precedence over energy reduction, threatening to affect inhabitants’ everyday practices in a non-sustainable way. In order to understand the social and environmental consequences of SHT, the meaning of convenience is investigated. How is the concept of convenience developed in concert with technological development? Presenting SHT imaginaries from the industry, the paper builds on qualitative interviews with 11 SHT professionals. By exploring the practices, roles, and relations at play in SHT development, it is demonstrated how the vision to enhance convenience in everyday life is related to a user imaginary characterized by passivity and disengagement from energy savings. Furthermore, convenience is enabled and enforced through the notion of interoperability. Interoperability refers to not only technologies ‘speaking together’ but also a strong interdependency between professional actors. By exploring the practices at play in SHT development, the meaning of convenience is revealed to be an outcome of this interdependency as well as the collectively shaped ideas, and technological standards embedded in the industry. Policy relevance SHT is shaping our domestic fu</w:t>
      </w:r>
    </w:p>
    <w:p>
      <w:pPr/>
      <w:r>
        <w:rPr>
          <w:b/>
        </w:rPr>
        <w:t>POSSIBLE 2020:</w:t>
      </w:r>
      <w:r>
        <w:t xml:space="preserve"> Law, biomedical technoscience, and imaginaries — https://doi.org/10.1093/jlb/lsaa088</w:t>
      </w:r>
    </w:p>
    <w:p>
      <w:pPr/>
      <w:r>
        <w:rPr>
          <w:b/>
        </w:rPr>
        <w:t>Shared claim-specific concepts:</w:t>
      </w:r>
      <w:r>
        <w:t xml:space="preserve"> concept, imaginary, investigate, constructed; EU scope visible. This is a provisional connection, not an outcome finding.</w:t>
      </w:r>
    </w:p>
    <w:p>
      <w:pPr>
        <w:pStyle w:val="SourceNote"/>
      </w:pPr>
      <w:r>
        <w:rPr>
          <w:b/>
        </w:rPr>
        <w:t>Available abstract (not full text):</w:t>
      </w:r>
      <w:r>
        <w:t xml:space="preserve"> This special issue advances understanding of the way in which imaginaries underpin law’s engagement with biomedical technologies and science. It is the first collection of law-led interdisciplinary accounts of imaginaries. The articles draw upon examples from biomedical technoscience to illuminate the hitherto unseen or underappreciated roles of imaginaries in the relationships between law and biomedical technoscience. We have conceptualized ‘law’, ‘biomedical technoscience’, and ‘imaginaries’ in broad, inclusive, and dynamic ways. ‘Law’ and ‘biomedical technoscience’ (biomedical technology and science) require no further clarification. ‘Imaginaries’, though, is a relatively novel concept within legal, socio-legal, and regulatory studies scholarship,1 and as such it requires an introduction. In the following, we introduce imaginaries before explaining how this special issue aims to address the dearth of legal scholarship on them. Subsequently, we note the conceptualizations of imaginaries in the articles, where imaginaries can be found in law and legal discourse, and finally what it is that imaginaries do and why they matter for law. Conceptualizations of imaginaries are found in several disciplines. Beckert, working within economics, formulates imaginaries as ‘imagined futures’.2 Jasanoff and Kim, from science and technology studies (STS), conceive sociotechnical imaginaries a</w:t>
      </w:r>
    </w:p>
    <w:p>
      <w:pPr>
        <w:pStyle w:val="Heading2"/>
      </w:pPr>
      <w:r>
        <w:t>838. Interpreting long-term energy scenarios and the role of bioenergy in Germany</w:t>
      </w:r>
    </w:p>
    <w:p>
      <w:pPr>
        <w:pStyle w:val="SourceNote"/>
      </w:pPr>
      <w:r>
        <w:rPr>
          <w:b/>
        </w:rPr>
        <w:t>Original source (2016):</w:t>
      </w:r>
      <w:r>
        <w:t xml:space="preserve"> https://doi.org/10.1016/j.rser.2016.02.016</w:t>
      </w:r>
    </w:p>
    <w:p>
      <w:pPr/>
      <w:r>
        <w:t>Original wording (abstract; indexed_source_text_not_full_document_verified): This article aims to provide with information for better understanding energy scenarios and to interpret the expectations of the role that bioenergy can play in 2050. The results for the four indicators show a high uncertainty and a wide range of potential bioenergy development futures in Germany by 2050 – e.g. the sustainable domestic biomass potential ranges from 350 to 1700 PJ, the share of biomass in final energy consumption lies between 5 and 28% – principally due to the different key questions and methods and heterogeneous driving forces.</w:t>
      </w:r>
    </w:p>
    <w:p>
      <w:pPr/>
      <w:r>
        <w:rPr>
          <w:b/>
        </w:rPr>
        <w:t>POSSIBLE 2025:</w:t>
      </w:r>
      <w:r>
        <w:t xml:space="preserve"> The Securitization of Islam in the Context of European Identityand the Attitudes of Europeans Towards Muslim Immigrants and Refugees — https://doi.org/10.34739/dsd.2024.02.02</w:t>
      </w:r>
    </w:p>
    <w:p>
      <w:pPr/>
      <w:r>
        <w:rPr>
          <w:b/>
        </w:rPr>
        <w:t>Shared claim-specific concepts:</w:t>
      </w:r>
      <w:r>
        <w:t xml:space="preserve"> article, aims, better, understanding, show; EU scope visible. This is a provisional connection, not an outcome finding.</w:t>
      </w:r>
    </w:p>
    <w:p>
      <w:pPr>
        <w:pStyle w:val="SourceNote"/>
      </w:pPr>
      <w:r>
        <w:rPr>
          <w:b/>
        </w:rPr>
        <w:t>Available abstract (not full text):</w:t>
      </w:r>
      <w:r>
        <w:t xml:space="preserve"> This article aims to present selected dimensions of the securitization of Islam in Europe in the context of European identity, and to show the impact of this process on the attitudes of Europeans towards Muslim migrants. The first part of the article focuses on the issue of European identity. This theoretical introduction allows for a better understanding of the dimensions of the securitization of Islam in Europe and their impact on the attitudes of citizens of selected the European Union (EU) and European Free Trade Association (EFTA) states towards migrants. The method used to conduct the research in this article is desk research and the qualitative method of analyzing written sources, both qualitative and quantitative data. The analysis uses numerous public opinion surveys, including the report “Trends in attitudes towards migration in Europe. A comparative analysis”, prepared on the basis of the European Social Survey from 2018.</w:t>
      </w:r>
    </w:p>
    <w:p>
      <w:pPr/>
      <w:r>
        <w:rPr>
          <w:b/>
        </w:rPr>
        <w:t>POSSIBLE 2025:</w:t>
      </w:r>
      <w:r>
        <w:t xml:space="preserve"> A systematic literature review focusing on luxury hotels in Europe and Asia — https://doi.org/10.15170/tvt.2025.10.01.05</w:t>
      </w:r>
    </w:p>
    <w:p>
      <w:pPr/>
      <w:r>
        <w:rPr>
          <w:b/>
        </w:rPr>
        <w:t>Shared claim-specific concepts:</w:t>
      </w:r>
      <w:r>
        <w:t xml:space="preserve"> article, role, play; EU scope visible. This is a provisional connection, not an outcome finding.</w:t>
      </w:r>
    </w:p>
    <w:p>
      <w:pPr>
        <w:pStyle w:val="SourceNote"/>
      </w:pPr>
      <w:r>
        <w:rPr>
          <w:b/>
        </w:rPr>
        <w:t>Available abstract (not full text):</w:t>
      </w:r>
      <w:r>
        <w:t xml:space="preserve"> Following the significant impact of the pandemic on the hotel industry, hotels continue to play a key role in the economy sector. However, maintaining financial stability is a major challenge for them. Luxury and sustainability may seem like contradictory concepts, but there are “best practices” that refer to the coexistence of these two concepts (Peng &amp; Chen, 2019). The aim is to systematically review the literature on luxury hotels in Europe and Asia, after formulating a unique definition of the term luxury. Few studies are available on this topic, despite the rapid and global growth of the sector (Moore, 2024). This article provides a comprehensive overview of the characteristics of luxury hotels, drawing key correlations from European and Asian publications.</w:t>
      </w:r>
    </w:p>
    <w:p>
      <w:pPr/>
      <w:r>
        <w:rPr>
          <w:b/>
        </w:rPr>
        <w:t>POSSIBLE 2024:</w:t>
      </w:r>
      <w:r>
        <w:t xml:space="preserve"> A Mapping of Textile Waste Recycling Technologies in Europe and Spain — https://doi.org/10.3390/textiles4030022</w:t>
      </w:r>
    </w:p>
    <w:p>
      <w:pPr/>
      <w:r>
        <w:rPr>
          <w:b/>
        </w:rPr>
        <w:t>Shared claim-specific concepts:</w:t>
      </w:r>
      <w:r>
        <w:t xml:space="preserve"> article, aims, provide; EU scope visible. This is a provisional connection, not an outcome finding.</w:t>
      </w:r>
    </w:p>
    <w:p>
      <w:pPr>
        <w:pStyle w:val="SourceNote"/>
      </w:pPr>
      <w:r>
        <w:rPr>
          <w:b/>
        </w:rPr>
        <w:t>Available abstract (not full text):</w:t>
      </w:r>
      <w:r>
        <w:t xml:space="preserve"> Textiles are composed of different types of fibers; thus, different processes for end-of-life recovery are currently applied. After collection, a prior sorting process is essential to classify the textiles and assess their quality in order to ensure that the best available technology is selected, with mechanical recycling being the most widespread and mature. Nevertheless, it still has important limitations as it is not suitable for the treatment of all fibers, especially those of non-organic origin and blends. On the other hand, chemical recycling appears to be a necessary technology to valorize the fibers that cannot be reused or mechanically recycled and to avoid landfilling. This article aims to provide an overview of the available technologies in the field of textile waste recycling, including collection, pretreatment, and mechanical and chemical recycling processes. Each technology is described identifying pros and cons, and a techno-economical assessment is presented including technology readiness levels (TRLs), investments, and costs. European and Spanish regulations and policies on textile waste are analyzed to identify the trends and directions the sector is moving towards.</w:t>
      </w:r>
    </w:p>
    <w:p>
      <w:pPr/>
      <w:r>
        <w:rPr>
          <w:b/>
        </w:rPr>
        <w:t>POSSIBLE 2024:</w:t>
      </w:r>
      <w:r>
        <w:t xml:space="preserve"> Towards a better uptake of home dialysis in Europe: understanding the present and looking to the future — https://doi.org/10.1093/ckj/sfae082</w:t>
      </w:r>
    </w:p>
    <w:p>
      <w:pPr/>
      <w:r>
        <w:rPr>
          <w:b/>
        </w:rPr>
        <w:t>Shared claim-specific concepts:</w:t>
      </w:r>
      <w:r>
        <w:t xml:space="preserve"> aims, better, understanding; EU scope visible. This is a provisional connection, not an outcome finding.</w:t>
      </w:r>
    </w:p>
    <w:p>
      <w:pPr>
        <w:pStyle w:val="SourceNote"/>
      </w:pPr>
      <w:r>
        <w:rPr>
          <w:b/>
        </w:rPr>
        <w:t>Available abstract (not full text):</w:t>
      </w:r>
      <w:r>
        <w:t xml:space="preserve"> Use of peritoneal dialysis and home haemodialysis remains low in Europe, with the highest use in Scandinavian countries and the lowest in Eastern and Central Europe despite the advantages for people on dialysis and economic advantages for healthcare systems. This is partly due to the impact of the haemodialysis industry resulting in proliferation of haemodialysis units and nephrologist reimbursement related to use of haemodialysis. Equally important is the bias against home dialysis at both clinician and healthcare system levels. The underlying causes of this bias are discussed in relation to a mechanistic view of the human body, lack of compassion, failure to adjust dialysis provision for older age and frailty, proliferation of small dialysis centres, and complexity of decision-making and clinical care. For home dialysis to flourish, we need to foster a change in attitude to and vision of the aims of healthcare so that enabling meaningful activities of people requiring dialysis, as explored in the Standardized Outcomes in Nephrology initiative, rather than achieving biological numbers become the focus of care delivery.</w:t>
      </w:r>
    </w:p>
    <w:p>
      <w:pPr/>
      <w:r>
        <w:rPr>
          <w:b/>
        </w:rPr>
        <w:t>POSSIBLE 2024:</w:t>
      </w:r>
      <w:r>
        <w:t xml:space="preserve"> LITERATURE REVIEW AND ANALYSIS OF RESEARCH CONDUCTED IN EUROPE ON HEALTH LITERACY — https://doi.org/10.34739/zn.2023.61.13</w:t>
      </w:r>
    </w:p>
    <w:p>
      <w:pPr/>
      <w:r>
        <w:rPr>
          <w:b/>
        </w:rPr>
        <w:t>Shared claim-specific concepts:</w:t>
      </w:r>
      <w:r>
        <w:t xml:space="preserve"> article, information, better, understanding, high; EU scope visible. This is a provisional connection, not an outcome finding.</w:t>
      </w:r>
    </w:p>
    <w:p>
      <w:pPr>
        <w:pStyle w:val="SourceNote"/>
      </w:pPr>
      <w:r>
        <w:rPr>
          <w:b/>
        </w:rPr>
        <w:t>Available abstract (not full text):</w:t>
      </w:r>
      <w:r>
        <w:t xml:space="preserve"> According to World Health Organization, Health Literacy encompasses the cognitive and social skills that determine the motivation and ability of individuals to access, understand and use information in a way that promotes and maintains good health. The aim of this article is to present the concept of “health literacy”, its determinants and consequences, as well as to review research conducted in Europe using the European Health Literacy Survey Questionnaire – HLS-EU-Q16 indicator. For this purpose, a literature review was conducted, to incorporate analysis and criticism. The article determines the scope of research on health literacy in Europe using the European Health Literacy Survey Questionnaire – HLS-EU-Q16, based on literature analysis. The greater people’s health literacy, the better their understanding of prevention and treatment. Low health awareness means financial losses, both personal and global. High Health Literacy enables good prevention, which is the best and cheapest method in every health system.</w:t>
      </w:r>
    </w:p>
    <w:p>
      <w:pPr/>
      <w:r>
        <w:rPr>
          <w:b/>
        </w:rPr>
        <w:t>POSSIBLE 2024:</w:t>
      </w:r>
      <w:r>
        <w:t xml:space="preserve"> EUROPEAN SECURITY AND DEFENCE – KEY ELEMENTS OF DEEP INTEGRATION AT THE LEVEL OF THE EUROPEAN UNION — https://doi.org/10.53477/2784-2487-24-01</w:t>
      </w:r>
    </w:p>
    <w:p>
      <w:pPr/>
      <w:r>
        <w:rPr>
          <w:b/>
        </w:rPr>
        <w:t>Shared claim-specific concepts:</w:t>
      </w:r>
      <w:r>
        <w:t xml:space="preserve"> article, aims, provide, better, understanding; EU scope visible. This is a provisional connection, not an outcome finding.</w:t>
      </w:r>
    </w:p>
    <w:p>
      <w:pPr>
        <w:pStyle w:val="SourceNote"/>
      </w:pPr>
      <w:r>
        <w:rPr>
          <w:b/>
        </w:rPr>
        <w:t>Available abstract (not full text):</w:t>
      </w:r>
      <w:r>
        <w:t xml:space="preserve"> The purpose of this article is to highlight the key elements in European security and defence that enables a deeper integration within the European Union. The security and defence represent a fundamental domain in the European architecture, a benchmark, and a challenge regarding the loyal cooperation between Member States.The methodology used is represented by a synthetic qualitative documentary analysis with an additional quantitative support.The research hypothesis is related to the correlation of key elements in the field of security and defence with the development of a deeper integration of Member States into the European project. As their own defence and security policies belong to the Member States, the research question will provide the answer to whether key elements in European security and defence generate better cooperation between Member States and deeper integration.This article aims to provide a profound understanding of the obligations, challenges, and the impact on the Member States policy on common defence. Following the latest developments in implementing the Strategic Compass for Security and Defence, new steps should be taken to achieve the common defence goal.The presentation will also seek to highlight whether the coherence of Member States policies on achieving the common goal is linked to their deeper integration into the European project.</w:t>
      </w:r>
    </w:p>
    <w:p>
      <w:pPr/>
      <w:r>
        <w:rPr>
          <w:b/>
        </w:rPr>
        <w:t>POSSIBLE 2024:</w:t>
      </w:r>
      <w:r>
        <w:t xml:space="preserve"> The European green deal, retail investors and sustainable investments: A perspective article covering economic, behavioral, and regulatory insights — https://doi.org/10.1016/j.crsust.2024.100241</w:t>
      </w:r>
    </w:p>
    <w:p>
      <w:pPr/>
      <w:r>
        <w:rPr>
          <w:b/>
        </w:rPr>
        <w:t>Shared claim-specific concepts:</w:t>
      </w:r>
      <w:r>
        <w:t xml:space="preserve"> article, provide, information, sustainable; EU scope visible. This is a provisional connection, not an outcome finding.</w:t>
      </w:r>
    </w:p>
    <w:p>
      <w:pPr>
        <w:pStyle w:val="SourceNote"/>
      </w:pPr>
      <w:r>
        <w:rPr>
          <w:b/>
        </w:rPr>
        <w:t>Available abstract (not full text):</w:t>
      </w:r>
      <w:r>
        <w:t xml:space="preserve"> The purpose of the European Green Deal and the regulation associated with the so-called EU Taxonomy for Sustainable Activities is to lead capital flows towards sustainable investments. According to the European Commission this is necessary to finance solutions for the immense challenges ahead, such as climate change, social inequality, and loss of biodiversity. However, academic research raises concerns that sustainable investments may earn lower risk-adjusted returns in the long run. The European Supervisory Authorities identify greenwashing risks and pronounce the limited ability of retail investors to make informed investment decisions. The aim of this perspective article is to provide suggestions for a regulation on relevant information on sustainable investments provided by financial service providers to retail investors. Therefore, the existing regulations are put in relation with recent research on investments considering ESG issues. To enable retail investors' self-determined decision-making, financial service providers such as banks, mutual funds, and financial advisors must provide easily accessible, clear, and easily understandable information regarding the ESG-conformity of the offered financial products. In addition, financial service providers must inform retail investors about some specific risks that can arise from a narrow focus on ESG assets such as under-dive</w:t>
      </w:r>
    </w:p>
    <w:p>
      <w:pPr/>
      <w:r>
        <w:rPr>
          <w:b/>
        </w:rPr>
        <w:t>POSSIBLE 2023:</w:t>
      </w:r>
      <w:r>
        <w:t xml:space="preserve"> The European Universities Initiative and European spatial imaginaries — https://doi.org/10.1080/14767724.2023.2210515</w:t>
      </w:r>
    </w:p>
    <w:p>
      <w:pPr/>
      <w:r>
        <w:rPr>
          <w:b/>
        </w:rPr>
        <w:t>Shared claim-specific concepts:</w:t>
      </w:r>
      <w:r>
        <w:t xml:space="preserve"> article, role, range; EU scope visible. This is a provisional connection, not an outcome finding.</w:t>
      </w:r>
    </w:p>
    <w:p>
      <w:pPr>
        <w:pStyle w:val="SourceNote"/>
      </w:pPr>
      <w:r>
        <w:rPr>
          <w:b/>
        </w:rPr>
        <w:t>Available abstract (not full text):</w:t>
      </w:r>
      <w:r>
        <w:t xml:space="preserve"> The European Universities Initiative (EUI), launched in 2019, fosters the development of networks of universities across Europe with the aim of enabling students to obtain a degree by combining studies in several countries and strengthening collaboration in both teaching and research, and by extension, the international competitiveness of European universities. As well as constituting one of the European Commission’s most significant policies with respect to higher education, over recent years, the initiative also provides a useful lens to explore how European higher education is understood by a range of social actors. Indeed, drawing on relevant policy documents and interviews with key policy actors, this article examines what broader messages about the European higher education space (actual and ideal) are conveyed by public discussions about EUI networks. The analysis reveals significantly different perspectives about: the geographical boundaries of the European higher education space; the extent to which European higher education should be inclusive and/or aim to promote excellence; whether higher education constitutes a vehicle for further Europeanisation; and the role of nation-states in a changing Europe.</w:t>
      </w:r>
    </w:p>
    <w:p>
      <w:pPr/>
      <w:r>
        <w:rPr>
          <w:b/>
        </w:rPr>
        <w:t>POSSIBLE 2023:</w:t>
      </w:r>
      <w:r>
        <w:t xml:space="preserve"> The Impact of COVID-19 in Europe: A Comprehensive Analysis — https://doi.org/10.54783/ijsoc.v5i4.787</w:t>
      </w:r>
    </w:p>
    <w:p>
      <w:pPr/>
      <w:r>
        <w:rPr>
          <w:b/>
        </w:rPr>
        <w:t>Shared claim-specific concepts:</w:t>
      </w:r>
      <w:r>
        <w:t xml:space="preserve"> article, aims, provide; EU scope visible. This is a provisional connection, not an outcome finding.</w:t>
      </w:r>
    </w:p>
    <w:p>
      <w:pPr>
        <w:pStyle w:val="SourceNote"/>
      </w:pPr>
      <w:r>
        <w:rPr>
          <w:b/>
        </w:rPr>
        <w:t>Available abstract (not full text):</w:t>
      </w:r>
      <w:r>
        <w:t xml:space="preserve"> The COVID-19 pandemic, caused by the novel coronavirus SARS-CoV-2, has had a profound impact on the European continent. This scientific journal article aims to provide a comprehensive analysis of the spread, healthcare response, socio-economic consequences, and lessons learned from the COVID-19 pandemic in Europe. It combines data-driven insights with a review of relevant scientific literature to present a holistic view of the situation in Europe</w:t>
      </w:r>
    </w:p>
    <w:p>
      <w:pPr/>
      <w:r>
        <w:rPr>
          <w:b/>
        </w:rPr>
        <w:t>POSSIBLE 2023:</w:t>
      </w:r>
      <w:r>
        <w:t xml:space="preserve"> A Study on the Interpretation and Application of Article 2 of the European Convention on Human Rights: Focusing on the Case Law of the European Court of Human Rights — https://doi.org/10.21592/eucj.2023.42.99</w:t>
      </w:r>
    </w:p>
    <w:p>
      <w:pPr/>
      <w:r>
        <w:rPr>
          <w:b/>
        </w:rPr>
        <w:t>Shared claim-specific concepts:</w:t>
      </w:r>
      <w:r>
        <w:t xml:space="preserve"> article, aims, provide, understanding, role; EU scope visible. This is a provisional connection, not an outcome finding.</w:t>
      </w:r>
    </w:p>
    <w:p>
      <w:pPr>
        <w:pStyle w:val="SourceNote"/>
      </w:pPr>
      <w:r>
        <w:rPr>
          <w:b/>
        </w:rPr>
        <w:t>Available abstract (not full text):</w:t>
      </w:r>
      <w:r>
        <w:t xml:space="preserve"> This study examines the interpretation and application of Article 2, the right to life, which is one of the most central rights guaranteed by the European Convention on Human Rights. It is universally recognized that the right to life represents a fundamental right of all human beings and that its proper understanding and protection is a fundamental basis for individual freedom and respect for human rights. The European Convention on Human Rights is an important document that ensures that individuals in Europe are guaranteed their fundamental rights and freedoms as human beings. Article 2, the right to life, is at the heart of the Convention and guarantees one of the most fundamental rights that every human being has. However, the understanding and application of this right to life can raise complex issues in different social and political contexts. For this reason, this study aims to provide an in-depth examination of the complexities of the right to life. The aim is to examine the role of the right to life in ensuring human dignity and promoting social justice through the case law of the European Court of Human Rights. Based on this, the general concept of the right to life and the interpretation of the right to life by the European Court of Human Rights will be introduced in the next chapter, followed by an analysis of the Court's main decisions, with the aim of bridging the</w:t>
      </w:r>
    </w:p>
    <w:p>
      <w:pPr/>
      <w:r>
        <w:rPr>
          <w:b/>
        </w:rPr>
        <w:t>POSSIBLE 2023:</w:t>
      </w:r>
      <w:r>
        <w:t xml:space="preserve"> The Impact of COVID-19 in Europe: An Overview of the Pandemic's Challenges and Responses — https://openalex.org/W7217768397</w:t>
      </w:r>
    </w:p>
    <w:p>
      <w:pPr/>
      <w:r>
        <w:rPr>
          <w:b/>
        </w:rPr>
        <w:t>Shared claim-specific concepts:</w:t>
      </w:r>
      <w:r>
        <w:t xml:space="preserve"> article, aims, provide; EU scope visible. This is a provisional connection, not an outcome finding.</w:t>
      </w:r>
    </w:p>
    <w:p>
      <w:pPr>
        <w:pStyle w:val="SourceNote"/>
      </w:pPr>
      <w:r>
        <w:rPr>
          <w:b/>
        </w:rPr>
        <w:t>Available abstract (not full text):</w:t>
      </w:r>
      <w:r>
        <w:t xml:space="preserve"> The COVID-19 pandemic has emerged as one of the most significant global health crises in recent history, affecting nearly every corner of the world, including Europe. This article aims to provide a comprehensive overview of the impact of COVID-19 in Europe, focusing on the challenges faced by the region and the responses adopted by various countries to combat the spread of the virus. By examining the epidemiological trends, healthcare infrastructure, socio-economic implications, and public health strategies, this study aims to shed light on the lessons learned from the pandemic and the way forward for Europe's health systems.</w:t>
      </w:r>
    </w:p>
    <w:p>
      <w:pPr/>
      <w:r>
        <w:rPr>
          <w:b/>
        </w:rPr>
        <w:t>POSSIBLE 2023:</w:t>
      </w:r>
      <w:r>
        <w:t xml:space="preserve"> Current Understanding of Polyphenols to Enhance Bioavailability for Better Therapies — https://doi.org/10.3390/biomedicines11072078</w:t>
      </w:r>
    </w:p>
    <w:p>
      <w:pPr/>
      <w:r>
        <w:rPr>
          <w:b/>
        </w:rPr>
        <w:t>Shared claim-specific concepts:</w:t>
      </w:r>
      <w:r>
        <w:t xml:space="preserve"> better, understanding; EU scope not established. This is a provisional connection, not an outcome finding.</w:t>
      </w:r>
    </w:p>
    <w:p>
      <w:pPr>
        <w:pStyle w:val="SourceNote"/>
      </w:pPr>
      <w:r>
        <w:rPr>
          <w:b/>
        </w:rPr>
        <w:t>Available abstract (not full text):</w:t>
      </w:r>
      <w:r>
        <w:t xml:space="preserve"> In recent years, plant polyphenols have become a popular focus for the development of novel functional foods. Polyphenols, a class of bioactive compounds, including flavonoids, phenolic acids, and lignans, are commonly found in plant-based diets with a variety of biological actions, including antioxidant, anti-inflammatory, and anticancer effects. Unfortunately, polyphenols are not widely used in nutraceuticals since many of the chemicals in polyphenols possess poor oral bioavailability. Thankfully, polyphenols can be encapsulated and transported using bio-based nanocarriers, thereby increasing their bioavailability. Polyphenols' limited water solubility and low bioavailability are limiting factors for their practical usage, but this issue can be resolved if suitable delivery vehicles are developed for encapsulating and delivering polyphenolic compounds. This paper provides an overview of the study of nanocarriers for the enhancement of polyphenol oral bioavailability, as well as a summary of the health advantages of polyphenols in the prevention and treatment of several diseases.</w:t>
      </w:r>
    </w:p>
    <w:p>
      <w:pPr>
        <w:pStyle w:val="Heading2"/>
      </w:pPr>
      <w:r>
        <w:t>839. Long-term outlook for wood construction in Europe</w:t>
      </w:r>
    </w:p>
    <w:p>
      <w:pPr>
        <w:pStyle w:val="SourceNote"/>
      </w:pPr>
      <w:r>
        <w:rPr>
          <w:b/>
        </w:rPr>
        <w:t>Original source (2016):</w:t>
      </w:r>
      <w:r>
        <w:t xml:space="preserve"> https://doi.org/10.14214/df.211</w:t>
      </w:r>
    </w:p>
    <w:p>
      <w:pPr/>
      <w:r>
        <w:t>Original wording (abstract; indexed_source_text_not_full_document_verified): The aim of the study is to examine the factors affecting the market potential of wood construction in Europe towards 2030.The study takes three complementary perspectives: Past trends and current structures, future trends and uncertainties and measures required to meet the long-term targets of the industries.The methodological framework builds on combining quantitative, descriptive and participative research approaches.By adopting methods and approaches from the field of foresight, the study aims to contribute also to the methodology development for long-term forest sector outlook studies.The trends and pressures in the operating environment of construction were found to primarily relate to the need for reducing the environmental impact of construction and improving the quality and productivity of construction.However, few of the trends would appear to have decisive impact on the diffusion of wood construction.That is, the positive drivers might not translate into improved competitive advantage for wood construction to the extent often expected, due to the lack of willingness or ability to pay for the attributes exceeding the requirements posed by the building regulations.Instead, the cultural and structural hindrances culminating to the fragmented structure and risk-averse characteristics of the construction and wood products industries seem to create significant inertia for the diffusion of wood construction.Based on scenario analysis, the outlook would appear to be dependent on the possible regulatory push for green building and on the possible changes in the strategic orientations of the industries.However, the empirical part indicated that the short-term strategy and policy measures suggested by experts are regarded either as unlikely or as unattractive by the industry stakeholders.The results therefore suggest that the diffusion of wood construction in Europe is likely to be a gradual process, subject to significant inertia, and restricted to a few niche sub-sectors and regions towards 2030.</w:t>
      </w:r>
    </w:p>
    <w:p>
      <w:pPr/>
      <w:r>
        <w:rPr>
          <w:b/>
        </w:rPr>
        <w:t>POSSIBLE 2026:</w:t>
      </w:r>
      <w:r>
        <w:t xml:space="preserve"> Value creation and competitiveness in small European markets — https://doi.org/10.5281/zenodo.19133639</w:t>
      </w:r>
    </w:p>
    <w:p>
      <w:pPr/>
      <w:r>
        <w:rPr>
          <w:b/>
        </w:rPr>
        <w:t>Shared claim-specific concepts:</w:t>
      </w:r>
      <w:r>
        <w:t xml:space="preserve"> examine, factors, potential, industries, framework; EU scope visible. This is a provisional connection, not an outcome finding.</w:t>
      </w:r>
    </w:p>
    <w:p>
      <w:pPr>
        <w:pStyle w:val="SourceNote"/>
      </w:pPr>
      <w:r>
        <w:rPr>
          <w:b/>
        </w:rPr>
        <w:t>Available abstract (not full text):</w:t>
      </w:r>
      <w:r>
        <w:t xml:space="preserve"> This report examines the competitive dynamics of small European film ecosystems through the lens of the Small European Film Ecosystem Model (SEFEM). SEFEM identifies four key avenues—production services, cultural resonance, exports, and cinematic arts—pursued by these ecosystems in varying ways, with different levels of intensity and in different constellations. The model differentiates these avenues based on factors such as legitimacy, success criteria, policy frameworks, financing logic, primary challenges, exposure to external competition, and key competitive factors. While SEFEM is rooted in the context of small European film ecosystems, its framework holds broader potential applicability. The report builds on data from Small European Film Markets: Portraits and Comparisons, enriched with updated data from for instance the European Audiovisual Observatory and Eurostat. New case-specific data from CresCine markets provide deeper insights into the challenges and dynamics of small film ecosystems. Empirical findings are drawn from diverse case studies that examine different avenues and markets. These chapters investigate topics such as production incentives, cultural resonance, film distribution, Video-on-Demand (VoD), and the concept of “collective agility” as a competitive advantage for small markets. Key insights: The report highlights that small film industries are highly </w:t>
      </w:r>
    </w:p>
    <w:p>
      <w:pPr/>
      <w:r>
        <w:rPr>
          <w:b/>
        </w:rPr>
        <w:t>POSSIBLE 2026:</w:t>
      </w:r>
      <w:r>
        <w:t xml:space="preserve"> Market analysis for Superhood Oy's European expansion — https://openalex.org/W7162354352</w:t>
      </w:r>
    </w:p>
    <w:p>
      <w:pPr/>
      <w:r>
        <w:rPr>
          <w:b/>
        </w:rPr>
        <w:t>Shared claim-specific concepts:</w:t>
      </w:r>
      <w:r>
        <w:t xml:space="preserve"> aim, potential, framework; EU scope visible. This is a provisional connection, not an outcome finding.</w:t>
      </w:r>
    </w:p>
    <w:p>
      <w:pPr>
        <w:pStyle w:val="SourceNote"/>
      </w:pPr>
      <w:r>
        <w:rPr>
          <w:b/>
        </w:rPr>
        <w:t>Available abstract (not full text):</w:t>
      </w:r>
      <w:r>
        <w:t xml:space="preserve"> This thesis examined the international market strategy for a Finnish Tech company Superhood Oy based in Finland, which operates a hyper local digital platform and is seeking to expand its operations into European markets. The aim of the thesis was to identify and evaluate most suitable European markets for entry as previously, formal market research had not been conducted by the company. In this thesis, a multi-stage screening process was utilized as the research methodology to evaluate potential countries. The first stage involved quantitative screening of European countries using English proficiency, national digital skill levels and urbanization rates. The second stage involved qualitative analysis using a focused PESTEL framework and initial competitor scan to identify the market saturation. The findings were collected using secondary data sources and the informal communication conducted with the commissioning company. The final results indicated that Norway, Sweden, Denmark, the Netherlands and the United Kingdom met the criteria. Further findings confirmed that all of these countries have highly urbanized markets therefore national digital literacy rates provide a reliable reflection of urban readiness. This study identified Norway as the first entry point due to its high level of social trust and lack of dominant competitor, while Sweden and Denmark were given the medium</w:t>
      </w:r>
    </w:p>
    <w:p>
      <w:pPr/>
      <w:r>
        <w:rPr>
          <w:b/>
        </w:rPr>
        <w:t>POSSIBLE 2026:</w:t>
      </w:r>
      <w:r>
        <w:t xml:space="preserve"> Public acceptance of geothermal energy in Europe: Factors and strategies — https://doi.org/10.1016/j.nxener.2026.100711</w:t>
      </w:r>
    </w:p>
    <w:p>
      <w:pPr/>
      <w:r>
        <w:rPr>
          <w:b/>
        </w:rPr>
        <w:t>Shared claim-specific concepts:</w:t>
      </w:r>
      <w:r>
        <w:t xml:space="preserve"> examine, factors, potential, three, framework; EU scope visible. This is a provisional connection, not an outcome finding.</w:t>
      </w:r>
    </w:p>
    <w:p>
      <w:pPr>
        <w:pStyle w:val="SourceNote"/>
      </w:pPr>
      <w:r>
        <w:rPr>
          <w:b/>
        </w:rPr>
        <w:t>Available abstract (not full text):</w:t>
      </w:r>
      <w:r>
        <w:t xml:space="preserve"> The transition to a climate-neutral economy in Europe, as mandated by the EU Green Deal and the Fit for 55 package, necessitates a rapid and diversified deployment of renewable energy sources. Geothermal energy, with its potential for baseload power and heating, is a critical component of this strategy. However, its deployment is often hindered by challenges related to social acceptance, which are distinct from those faced by other renewables. This systematic literature review (SLR) aims to examine the determinants of social acceptance of geothermal energy across the European context. Employing the PRISMA protocol, a comprehensive search was conducted across major databases (Scopus and Web of Science) for peer-reviewed literature published between 2015 and 2025. The review identified 40 highly relevant studies for in-depth synthesis. Key findings reveal that acceptance is primarily driven by three interlinked factors : trust in institutions , the perception of procedural and distributional justice , and the management of perceived risks, particularly induced seismicity. The paper critically examines the interplay of these sociopolitical, economic, and psychological factors. The primary contribution is a synthesized framework of effective mitigation strategies, including participatory decision-making, transparent risk communication, and local benefit-sharing mechanisms. This fra</w:t>
      </w:r>
    </w:p>
    <w:p>
      <w:pPr/>
      <w:r>
        <w:rPr>
          <w:b/>
        </w:rPr>
        <w:t>POSSIBLE 2025:</w:t>
      </w:r>
      <w:r>
        <w:t xml:space="preserve"> European initiatives to support labor mobility and Ukraine’s integration into the European labor market — https://doi.org/10.24144/2788-6018.2025.03.1.84</w:t>
      </w:r>
    </w:p>
    <w:p>
      <w:pPr/>
      <w:r>
        <w:rPr>
          <w:b/>
        </w:rPr>
        <w:t>Shared claim-specific concepts:</w:t>
      </w:r>
      <w:r>
        <w:t xml:space="preserve"> potential, current; EU scope visible. This is a provisional connection, not an outcome finding.</w:t>
      </w:r>
    </w:p>
    <w:p>
      <w:pPr>
        <w:pStyle w:val="SourceNote"/>
      </w:pPr>
      <w:r>
        <w:rPr>
          <w:b/>
        </w:rPr>
        <w:t>Available abstract (not full text):</w:t>
      </w:r>
      <w:r>
        <w:t xml:space="preserve"> As a result of the full-scale criminal invasion of the Russian Federation into Ukraine, a large number of Ukrainians were forced to leave their homes and seek refuge in EU countries. On the one hand, the war creates additional challenges, such as mass migration, economic destruction and instability, on the other hand, it emphasizes the need to integrate the Ukrainian labor market into the European one to support the economy and provide opportunities for Ukrainians. The article examines key current European initiatives aimed at integrating Ukraine into the European labor market, especially in the context of unprecedented migration of Ukrainians caused by the war. Support programs and projects, such as temporary protection, initiatives for the recognition of qualifications, retraining programs and employment opportunities, are analyzed. Special attention is paid to the review of regional initiatives to support labor mobility on the example of individual EU countries, as an important tool for Ukraine’s integration into the European labor market. Examples of successful initiatives and projects (including information support, vocational training, assistance in legalizing employment and adaptation to a new workplace) are given, aimed at facilitating Ukrainian citizens’ access to employment in other countries of the European Union. Special attention is paid to the study of the effecti</w:t>
      </w:r>
    </w:p>
    <w:p>
      <w:pPr/>
      <w:r>
        <w:rPr>
          <w:b/>
        </w:rPr>
        <w:t>POSSIBLE 2025:</w:t>
      </w:r>
      <w:r>
        <w:t xml:space="preserve"> Aging workforce and labour market trends in the European Union — https://doi.org/10.18045/zbefri.2025.1.7</w:t>
      </w:r>
    </w:p>
    <w:p>
      <w:pPr/>
      <w:r>
        <w:rPr>
          <w:b/>
        </w:rPr>
        <w:t>Shared claim-specific concepts:</w:t>
      </w:r>
      <w:r>
        <w:t xml:space="preserve"> potential, takes, trends; EU scope visible. This is a provisional connection, not an outcome finding.</w:t>
      </w:r>
    </w:p>
    <w:p>
      <w:pPr>
        <w:pStyle w:val="SourceNote"/>
      </w:pPr>
      <w:r>
        <w:rPr>
          <w:b/>
        </w:rPr>
        <w:t>Available abstract (not full text):</w:t>
      </w:r>
      <w:r>
        <w:t xml:space="preserve"> This study examines the main consequences of Europe’s ageing population, including its effects on the labour market, employment dynamics, education, and socio-economic inequalities. It aims to identify and analyse trends and thematic priorities of these challenges, as well as regional differences within the EU (European Union). We used VOSviewer to perform a bibliometric analysis to analyse the publications indexed in the Web of Science Core Collection. The general overview of this area was based on the scientific fields of economics, business and demography. The results show a clear difference in thematic focus between Central and Eastern European (CEE) countries and Western European (WE) countries. The main emphasis in research in CEE countries concerning the challenges of an ageing workforce is on (un)employment. This research takes an optimistic view of the potential benefits of migration. In contrast, research in WE countries focuses primarily on the social impacts of migration, socio-economic inequalities and policy interventions. Moreover, WE studies are cited more frequently and have more influence, indicating their central role in shaping EUwide discussions and policies. This research led to the conclusion that while ageing remains a challenge for Europe as a whole, regional priorities and the heterogeneity of scientific results reflect different socio-economic context</w:t>
      </w:r>
    </w:p>
    <w:p>
      <w:pPr/>
      <w:r>
        <w:rPr>
          <w:b/>
        </w:rPr>
        <w:t>POSSIBLE 2024:</w:t>
      </w:r>
      <w:r>
        <w:t xml:space="preserve"> Community Mental Health in Türkiye and Europe: Data and Influencing Factors — https://doi.org/10.18863/pgy.1392348</w:t>
      </w:r>
    </w:p>
    <w:p>
      <w:pPr/>
      <w:r>
        <w:rPr>
          <w:b/>
        </w:rPr>
        <w:t>Shared claim-specific concepts:</w:t>
      </w:r>
      <w:r>
        <w:t xml:space="preserve"> aim, examine, factors, affecting, three; EU scope visible. This is a provisional connection, not an outcome finding.</w:t>
      </w:r>
    </w:p>
    <w:p>
      <w:pPr>
        <w:pStyle w:val="SourceNote"/>
      </w:pPr>
      <w:r>
        <w:rPr>
          <w:b/>
        </w:rPr>
        <w:t>Available abstract (not full text):</w:t>
      </w:r>
      <w:r>
        <w:t xml:space="preserve"> Human is an entity that can be completed with the combination of biological, psychological and social factors. The concept of health is defined as being in a state of complete mental, social and physical well-being. The term "community mental health" defines mental health care in relation to the individual and the environment in which the individual interacts. If the factors affecting mental health are known and intervened, it is predicted that community mental health will make positive progress. The aim of this study is to examine and compare the factors affecting community mental health by analysing community mental health data in Türkiye and Europe. The World Health Organisation (WHO) examines these factors in three groups as individual, family and community and structural factors. In order to analyse the degree to which these factors affect mental health, data from Türkiye and Europe were analysed by examining the reports of the World Health Organization, European Commission, European Parliament, OECD, Institute for Health Metrics and Evaluation and Turkish Statistical Institute. It is seen that community mental health is affected by the community's understanding of health and illness, access to mental health services, gender, age, education, the concept of loneliness, unemployment, diseases affecting the world such as pandemics and the economy. As a result of mental health</w:t>
      </w:r>
    </w:p>
    <w:p>
      <w:pPr/>
      <w:r>
        <w:rPr>
          <w:b/>
        </w:rPr>
        <w:t>POSSIBLE 2024:</w:t>
      </w:r>
      <w:r>
        <w:t xml:space="preserve"> Examining the Market Potential for Smart Intelligent Packaging: A Focus on Italian Consumers — https://doi.org/10.34021/ve.2024.07.02(5)</w:t>
      </w:r>
    </w:p>
    <w:p>
      <w:pPr/>
      <w:r>
        <w:rPr>
          <w:b/>
        </w:rPr>
        <w:t>Shared claim-specific concepts:</w:t>
      </w:r>
      <w:r>
        <w:t xml:space="preserve"> factors, potential, meet; EU scope not established. This is a provisional connection, not an outcome finding.</w:t>
      </w:r>
    </w:p>
    <w:p>
      <w:pPr>
        <w:pStyle w:val="SourceNote"/>
      </w:pPr>
      <w:r>
        <w:rPr>
          <w:b/>
        </w:rPr>
        <w:t>Available abstract (not full text):</w:t>
      </w:r>
      <w:r>
        <w:t xml:space="preserve"> This study addresses the effect of smart intelligent packaging on consumers’ perceptions and aims to explore new market opportunities for smart intelligent packaging. Based on a quantitative research methodology, this study is exploratory in nature and aims to determine consumer attitudes toward smart, intelligent food packaging. The research findings show that smart packaging offers new technologies that better satisfy consumers’ needs. Italian respondents appreciate the monitoring and tracking functions of food packaging. In addition, different factors of food packaging that lead consumers to purchase are emphasized in our findings. This study confirms that packaging affects consumer purchase decisions. According to the results, although consumers’ knowledge of smart packaging technologies was low, their interest in obtaining more information related to smart intelligent packaging was high. Findings indicate that integrating smart packaging with advanced storage systems and technologies designed to prolong product shelf life is a sought-after technological approach for reducing food wastage. However, the research highlights a lack of consumer awareness and understanding concerning intelligent active packaging, hindering its widespread adoption. Therefore, it is recommended to ascertain consumer preferences regarding packaging characteristics to uncover effective marketing str</w:t>
      </w:r>
    </w:p>
    <w:p>
      <w:pPr/>
      <w:r>
        <w:rPr>
          <w:b/>
        </w:rPr>
        <w:t>POSSIBLE 2023:</w:t>
      </w:r>
      <w:r>
        <w:t xml:space="preserve"> Market and Market Potential: A Conceptual Paper — https://doi.org/10.61739/tbf.2023.12.2.341</w:t>
      </w:r>
    </w:p>
    <w:p>
      <w:pPr/>
      <w:r>
        <w:rPr>
          <w:b/>
        </w:rPr>
        <w:t>Shared claim-specific concepts:</w:t>
      </w:r>
      <w:r>
        <w:t xml:space="preserve"> factors, potential, trends, industries, framework; EU scope not established. This is a provisional connection, not an outcome finding.</w:t>
      </w:r>
    </w:p>
    <w:p>
      <w:pPr>
        <w:pStyle w:val="SourceNote"/>
      </w:pPr>
      <w:r>
        <w:rPr>
          <w:b/>
        </w:rPr>
        <w:t>Available abstract (not full text):</w:t>
      </w:r>
      <w:r>
        <w:t xml:space="preserve"> This paper focuses on an important aspect of marketing upon which all the concepts of marketing depend like segmentation, targeting, positioning, distribution, pricing, etc.This conceptual research paper delves into the fundamental concepts of markets and market potential.As essential drivers of economic activity, markets serve as pivotal arenas where buyers and sellers interact to exchange goods, services, and information.The paper explores the multifaceted dimensions of markets, and types of demand, elucidating their characteristics, classi ications, and functions in diverse industries and sectors.The market plays an important role in all the sectors like primary (Agriculture), secondary, and tertiary sector.Central to this study is the exploration of market potential, a crucial aspect that determines the growth prospects and pro itability of businesses and the agricultural sector.By delving into market potential analysis, this paper examines the underlying factors that in luence market attractiveness, including consumer demographics, purchasing power, demand trends, and competitive landscapes.Through a comprehensive review of existing literature, this research seeks to provide a conceptual framework that deepens the understanding of markets, types of demand, and market potential.</w:t>
      </w:r>
    </w:p>
    <w:p>
      <w:pPr/>
      <w:r>
        <w:rPr>
          <w:b/>
        </w:rPr>
        <w:t>POSSIBLE 2023:</w:t>
      </w:r>
      <w:r>
        <w:t xml:space="preserve"> Factors affecting prevalence of pain among European population — https://openalex.org/W7135870697</w:t>
      </w:r>
    </w:p>
    <w:p>
      <w:pPr/>
      <w:r>
        <w:rPr>
          <w:b/>
        </w:rPr>
        <w:t>Shared claim-specific concepts:</w:t>
      </w:r>
      <w:r>
        <w:t xml:space="preserve"> aim, factors, affecting; EU scope visible. This is a provisional connection, not an outcome finding.</w:t>
      </w:r>
    </w:p>
    <w:p>
      <w:pPr>
        <w:pStyle w:val="SourceNote"/>
      </w:pPr>
      <w:r>
        <w:rPr>
          <w:b/>
        </w:rPr>
        <w:t>Available abstract (not full text):</w:t>
      </w:r>
      <w:r>
        <w:t xml:space="preserve"> Pain is a part of many people's lives and can also affect them in significant ways. This paper examined various factors that are related to the prevalence of pain in the European population. The aim was to identify these factors and describe the differences between the population groups. The analyses involved individuals aged 20 years and older who participated in the 2019 European Health Interview Survey. The association between selected demographic, sociodemographic and socioeconomic factors, as well as between lifestyle factors and pain prevalence, was analyzed using chi-square tests and binary logistic regression. Attention was also paid to the relationship between mental health and pain prevalence. It was found that women are more prone to the occurrence of pain as well as persons of advanced age. Although married people show a lower risk of suffering from pain, the impact of living with a partner on the incidence of pain is quite contradictory. The association between this variable and pain prevalence varies depending on control variables. More educated persons are less likely to report prevalence of pain. In turn, unhealthy lifestyle activities, other than alcohol consumption, are considered to be risk factors. Also, individuals with severe symptoms of depression have a higher likelihood of...</w:t>
      </w:r>
    </w:p>
    <w:p>
      <w:pPr/>
      <w:r>
        <w:rPr>
          <w:b/>
        </w:rPr>
        <w:t>POSSIBLE 2022:</w:t>
      </w:r>
      <w:r>
        <w:t xml:space="preserve"> Hydrogen in Grid Balancing: The European Market Potential for Pressurized Alkaline Electrolyzers — https://doi.org/10.3390/en15020637</w:t>
      </w:r>
    </w:p>
    <w:p>
      <w:pPr/>
      <w:r>
        <w:rPr>
          <w:b/>
        </w:rPr>
        <w:t>Shared claim-specific concepts:</w:t>
      </w:r>
      <w:r>
        <w:t xml:space="preserve"> aim, potential; EU scope visible. This is a provisional connection, not an outcome finding.</w:t>
      </w:r>
    </w:p>
    <w:p>
      <w:pPr>
        <w:pStyle w:val="SourceNote"/>
      </w:pPr>
      <w:r>
        <w:rPr>
          <w:b/>
        </w:rPr>
        <w:t>Available abstract (not full text):</w:t>
      </w:r>
      <w:r>
        <w:t xml:space="preserve"> To limit the global temperature change to no more than 2 °C by reducing global emissions, the European Union (EU) set up a goal of a 20% improvement on energy efficiency, a 20% cut of greenhouse gas emissions, and a 20% share of energy from renewable sources by 2020 (10% share of renewable energy (RE), specifically in the transport sector). By 2030, the goal is a 27% improvement in energy efficiency, a 40% cut of greenhouse gas emissions, and a 27% share of RE. However, the integration of RE in energy system faces multiple challenges. The geographical distribution of energy supply changes significantly the availability of the primary energy source (wind, solar, water) and is the determining factor, rather than where the consumers are. This leads to an increasing demand to match supply and demand for power. Especially intermittent RE like wind and solar power face the issue of energy production unrelated to demand (issue of excess energy production beyond demand and/or grid capacity) and forecast errors leading to an increasing demand for grid services like balancing power. Megawatt electrolyzer units (beyond 3 MW) can provide a technical solution to convert large amounts of excess electricity into hydrogen for industrial applications, substitute for natural gas, or the decarbonization of the mobility sector. The demonstration of successful MW electrolyzer operation providing gr</w:t>
      </w:r>
    </w:p>
    <w:p>
      <w:pPr/>
      <w:r>
        <w:rPr>
          <w:b/>
        </w:rPr>
        <w:t>POSSIBLE 2022:</w:t>
      </w:r>
      <w:r>
        <w:t xml:space="preserve"> Russia–Ukraine crisis: The effects on the European stock market — https://doi.org/10.1111/eufm.12386</w:t>
      </w:r>
    </w:p>
    <w:p>
      <w:pPr/>
      <w:r>
        <w:rPr>
          <w:b/>
        </w:rPr>
        <w:t>Shared claim-specific concepts:</w:t>
      </w:r>
      <w:r>
        <w:t xml:space="preserve"> examine, industries; EU scope visible. This is a provisional connection, not an outcome finding.</w:t>
      </w:r>
    </w:p>
    <w:p>
      <w:pPr>
        <w:pStyle w:val="SourceNote"/>
      </w:pPr>
      <w:r>
        <w:rPr>
          <w:b/>
        </w:rPr>
        <w:t>Available abstract (not full text):</w:t>
      </w:r>
      <w:r>
        <w:t xml:space="preserve"> Abstract We examine the effect of the Russia–Ukraine crisis on the European stock markets. Because of increased political uncertainty, geographic proximity and the ramifications of the fresh sanctions imposed on Russia, the European stock markets tended to react negatively to this crisis. We find that on 21 February 2022, when Russia recognized two Ukrainian states as autonomous regions, European stocks incurred a significant negative abnormal return. Moreover, the negative stock price reactions continued in the post‐event period. The magnitude of the stock price reactions to this crisis exhibits considerable variation across industries, countries and size of the company.</w:t>
      </w:r>
    </w:p>
    <w:p>
      <w:pPr/>
      <w:r>
        <w:rPr>
          <w:b/>
        </w:rPr>
        <w:t>POSSIBLE 2022:</w:t>
      </w:r>
      <w:r>
        <w:t xml:space="preserve"> Factors impacting university–industry collaboration in European countries — https://doi.org/10.1186/s13731-022-00226-3</w:t>
      </w:r>
    </w:p>
    <w:p>
      <w:pPr/>
      <w:r>
        <w:rPr>
          <w:b/>
        </w:rPr>
        <w:t>Shared claim-specific concepts:</w:t>
      </w:r>
      <w:r>
        <w:t xml:space="preserve"> examine, factors, three; EU scope visible. This is a provisional connection, not an outcome finding.</w:t>
      </w:r>
    </w:p>
    <w:p>
      <w:pPr>
        <w:pStyle w:val="SourceNote"/>
      </w:pPr>
      <w:r>
        <w:rPr>
          <w:b/>
        </w:rPr>
        <w:t>Available abstract (not full text):</w:t>
      </w:r>
      <w:r>
        <w:t xml:space="preserve"> Abstract This paper aims to examine the links between university-industry collaboration (UIC) predictors (inputs), and the results of UIC cooperation (outputs). The focus of the research is UIC within the European Union member states and the Western Balkan countries.The analysis was conducted using the partial least squares structural equation modeling (PLS-SEM). This method enabled examining the links between variables that are not directly observable. The authors used data for the period of three years, 2015–2018. The results prove that countries investing in UIC predictors (inputs) have better UIC performance (outputs). Based on the statistical analysis, the authors identified the investments in knowledge, networking, and research and development (R&amp;D), in general, as the most significant that impact UIC performance.</w:t>
      </w:r>
    </w:p>
    <w:p>
      <w:pPr>
        <w:pStyle w:val="Heading2"/>
      </w:pPr>
      <w:r>
        <w:t>840. New opportunities for future tourism after 25 years of political and socioeconomic transformation – foresight in Poland’s tourism planning</w:t>
      </w:r>
    </w:p>
    <w:p>
      <w:pPr>
        <w:pStyle w:val="SourceNote"/>
      </w:pPr>
      <w:r>
        <w:rPr>
          <w:b/>
        </w:rPr>
        <w:t>Original source (2016):</w:t>
      </w:r>
      <w:r>
        <w:t xml:space="preserve"> https://doi.org/10.1108/jtf-05-2015-0031</w:t>
      </w:r>
    </w:p>
    <w:p>
      <w:pPr/>
      <w:r>
        <w:t>Original wording (abstract; indexed_source_text_not_full_document_verified): Since one of the main foresight goals is to identify trends, the paper takes attempt to verify trends that occurred in Poland after 1989 and if they have now and will have in the near future influence on Polish tourism. Findings The analysis of the political and economic changes that have taken place in Poland over the last 25 years shows that they were positive for the development of tourism base.</w:t>
      </w:r>
    </w:p>
    <w:p>
      <w:pPr/>
      <w:r>
        <w:rPr>
          <w:b/>
        </w:rPr>
        <w:t>POSSIBLE 2026:</w:t>
      </w:r>
      <w:r>
        <w:t xml:space="preserve"> From the Single European Act to the One Europe, One Market Agenda. — https://doi.org/10.22370/pe.2026.20.5851</w:t>
      </w:r>
    </w:p>
    <w:p>
      <w:pPr/>
      <w:r>
        <w:rPr>
          <w:b/>
        </w:rPr>
        <w:t>Shared claim-specific concepts:</w:t>
      </w:r>
      <w:r>
        <w:t xml:space="preserve"> since, one, main, political; EU scope visible. This is a provisional connection, not an outcome finding.</w:t>
      </w:r>
    </w:p>
    <w:p>
      <w:pPr>
        <w:pStyle w:val="SourceNote"/>
      </w:pPr>
      <w:r>
        <w:rPr>
          <w:b/>
        </w:rPr>
        <w:t>Available abstract (not full text):</w:t>
      </w:r>
      <w:r>
        <w:t xml:space="preserve"> This article traces the main stages that have characterized the construction of the current European Union. To do this, we outlined the relationship among law, politics, public policies. In particular, through a rigorous methodological approach based on the comparison of sources and the search for technical aspects investigated through the specific categories of multiple disciplines to have the broadest possible vision of the phenomenon, the historical stages that led the European elites to pursue a common idea of Europe that exists and live the challenges of contemporaneity to ensure a solid peace through a transversal involvement of institutions are retraced public and private on the basis of economic interests. The common thread of this work is the theme of European competitiveness and the position that Europe assumes on the geopolitical chessboard: from the entry into force of the Single European Act in 1986 to the presentation of the One Europe, One Market Agenda in 2026. The research is aimed at showing the importance of choral choices in the path of integration and Europeanization, highliting the limits and potential that the Old Continent has faced since the dawn of the project of a united Europe and what prospects remain open in the current scenarios according to the agenda of leaders who see in a systemic approach the way to compete with other global technological and</w:t>
      </w:r>
    </w:p>
    <w:p>
      <w:pPr/>
      <w:r>
        <w:rPr>
          <w:b/>
        </w:rPr>
        <w:t>POSSIBLE 2026:</w:t>
      </w:r>
      <w:r>
        <w:t xml:space="preserve"> Scrutinising European land-use planning: Identifying the priorities and goals of building regulations — https://doi.org/10.1016/j.landusepol.2025.107916</w:t>
      </w:r>
    </w:p>
    <w:p>
      <w:pPr/>
      <w:r>
        <w:rPr>
          <w:b/>
        </w:rPr>
        <w:t>Shared claim-specific concepts:</w:t>
      </w:r>
      <w:r>
        <w:t xml:space="preserve"> goals, they, findings; EU scope visible. This is a provisional connection, not an outcome finding.</w:t>
      </w:r>
    </w:p>
    <w:p>
      <w:pPr>
        <w:pStyle w:val="SourceNote"/>
      </w:pPr>
      <w:r>
        <w:rPr>
          <w:b/>
        </w:rPr>
        <w:t>Available abstract (not full text):</w:t>
      </w:r>
      <w:r>
        <w:t xml:space="preserve"> The rapid growth and increasing complexity of European cities highlight the need for urban planning and governance in creating sustainable urban environments. Specifically, regulations on building form and location are key to designing efficient and equitable cities. However, these regulations vary widely among municipalities across European countries and are not well understood. Notably, there is no comprehensive overview of the prevailing regulations and their objectives. This study fills this gap by analysing how European countries prioritise local building regulations and whether they pursue efficiency, i.e. making the best use of space, or equity, i.e. promoting fair and inclusive distribution of urban benefits. We examine regulations related to building height, volume, density, outlook, design coherence, value capacity, and hazard prevention. Through an online survey of planning experts in 30 countries, we found that regulations on height and density are prioritised the most and are primarily efficiency-oriented. While some regulations of lesser priority exhibited a more balanced pursuit of both goals, overall, building regulations in Europe pursue efficiency more than equity. The findings from this study are expected to enhance knowledge exchange in planning practice and foster better cooperation between countries. Furthermore, they provide an important empirical basis f</w:t>
      </w:r>
    </w:p>
    <w:p>
      <w:pPr/>
      <w:r>
        <w:rPr>
          <w:b/>
        </w:rPr>
        <w:t>POSSIBLE 2024:</w:t>
      </w:r>
      <w:r>
        <w:t xml:space="preserve"> The Main Concerns towards the European Union that Led the British to Vote for Brexit — https://doi.org/10.2478/eustu-2024-0008</w:t>
      </w:r>
    </w:p>
    <w:p>
      <w:pPr/>
      <w:r>
        <w:rPr>
          <w:b/>
        </w:rPr>
        <w:t>Shared claim-specific concepts:</w:t>
      </w:r>
      <w:r>
        <w:t xml:space="preserve"> since, one, main; EU scope visible. This is a provisional connection, not an outcome finding.</w:t>
      </w:r>
    </w:p>
    <w:p>
      <w:pPr>
        <w:pStyle w:val="SourceNote"/>
      </w:pPr>
      <w:r>
        <w:rPr>
          <w:b/>
        </w:rPr>
        <w:t>Available abstract (not full text):</w:t>
      </w:r>
      <w:r>
        <w:t xml:space="preserve"> Summary Brexit is one of the main international events of the twenty-first century. Although as a process it was finalized in 2021, there is still curiosity about its causes. The purpose of this article is to specify the main concerns towards the European Union that led the Britons to vote for Brexit. For realization of the research were used qualitative methods, characterized by the collection of data from the bibliography and internet sources related to the United Kingdom, the EU and the Brexit process. The research results show that since its membership in the European Economic Community in 1973, the UK has had contradictions with certain EU policies. But, immigration was the biggest concern and the main factor that led the British people to vote for Brexit. The conclusions aim to increase information about the Brexit process and factors that had a great impact on the British people’s vote for Brexit.</w:t>
      </w:r>
    </w:p>
    <w:p>
      <w:pPr/>
      <w:r>
        <w:rPr>
          <w:b/>
        </w:rPr>
        <w:t>POSSIBLE 2024:</w:t>
      </w:r>
      <w:r>
        <w:t xml:space="preserve"> The role of universities in accelerating the sustainable development goals in Europe — https://doi.org/10.1038/s41598-024-65820-9</w:t>
      </w:r>
    </w:p>
    <w:p>
      <w:pPr/>
      <w:r>
        <w:rPr>
          <w:b/>
        </w:rPr>
        <w:t>Shared claim-specific concepts:</w:t>
      </w:r>
      <w:r>
        <w:t xml:space="preserve"> goals, they; EU scope visible. This is a provisional connection, not an outcome finding.</w:t>
      </w:r>
    </w:p>
    <w:p>
      <w:pPr>
        <w:pStyle w:val="SourceNote"/>
      </w:pPr>
      <w:r>
        <w:rPr>
          <w:b/>
        </w:rPr>
        <w:t>Available abstract (not full text):</w:t>
      </w:r>
      <w:r>
        <w:t xml:space="preserve"> The process of implementation of the UN Sustainable Development Goals (SDGs) which were approved by the UN General Assembly in 2015 has not been simple, being influenced by variety of social, economic, and logistical problems. It has also been negatively affected by the COVID-19 pandemic. There are to date no specific studies aimed at assessing the extent to which higher universities institutions in Europe are active in the SDGs implementation process. Departing from this research need, this paper reports on a study aimed at examining the current degree of engagement of European universities in the implementing the SDGs. By using a multi-methods approach, which entails a review of existing documents, a survey involving participants from 22 countries and case studies, the paper maps, documents and disseminates examples of what European universities are doing to implement the SDGs, the challenges they face, and the solutions being deployed to overcome them.</w:t>
      </w:r>
    </w:p>
    <w:p>
      <w:pPr/>
      <w:r>
        <w:rPr>
          <w:b/>
        </w:rPr>
        <w:t>POSSIBLE 2024:</w:t>
      </w:r>
      <w:r>
        <w:t xml:space="preserve"> The impacts of decarbonization pathways on Sustainable Development Goals in the European Union — https://doi.org/10.1038/s43247-024-01309-7</w:t>
      </w:r>
    </w:p>
    <w:p>
      <w:pPr/>
      <w:r>
        <w:rPr>
          <w:b/>
        </w:rPr>
        <w:t>Shared claim-specific concepts:</w:t>
      </w:r>
      <w:r>
        <w:t xml:space="preserve"> goals, trends; EU scope visible. This is a provisional connection, not an outcome finding.</w:t>
      </w:r>
    </w:p>
    <w:p>
      <w:pPr>
        <w:pStyle w:val="SourceNote"/>
      </w:pPr>
      <w:r>
        <w:rPr>
          <w:b/>
        </w:rPr>
        <w:t>Available abstract (not full text):</w:t>
      </w:r>
      <w:r>
        <w:t xml:space="preserve"> Abstract Climate action to achieve the Paris Agreement should respect the United Nations Sustainable Development Goals. Here, we use an integrated assessment modelling framework comprising nine climate policy models and quantify the impacts of decarbonisation pathways on Sustainable Development Goals in the European Union at regional and national levels. We show that scenario-consistent assumptions of future socio-economic trends and current climate policies would improve energy- and carbon-related aspects of sustainability and reduce inequalities. Ambitious net-zero emissions pathways would further improve health and agricultural productivity. Furthermore, countries currently lagging in achieving sustainable development goals would see the greatest benefits from ambitious climate action. Negative socio-economic impacts from climate action on poverty, hunger, and economic growth will require specific corrective policies. While our analysis does not quantify the negative effects of less ambitious climate policy, it demonstrates where co-benefits and trade-offs of greenhouse gas mitigation and sustainable development agenda exist and can guide policy formulation.</w:t>
      </w:r>
    </w:p>
    <w:p>
      <w:pPr/>
      <w:r>
        <w:rPr>
          <w:b/>
        </w:rPr>
        <w:t>POSSIBLE 2023:</w:t>
      </w:r>
      <w:r>
        <w:t xml:space="preserve"> Genomic epidemiology of West Nile virus in Europe — https://doi.org/10.1016/j.onehlt.2023.100664</w:t>
      </w:r>
    </w:p>
    <w:p>
      <w:pPr/>
      <w:r>
        <w:rPr>
          <w:b/>
        </w:rPr>
        <w:t>Shared claim-specific concepts:</w:t>
      </w:r>
      <w:r>
        <w:t xml:space="preserve"> since, one, main, occurred; EU scope visible. This is a provisional connection, not an outcome finding.</w:t>
      </w:r>
    </w:p>
    <w:p>
      <w:pPr>
        <w:pStyle w:val="SourceNote"/>
      </w:pPr>
      <w:r>
        <w:rPr>
          <w:b/>
        </w:rPr>
        <w:t>Available abstract (not full text):</w:t>
      </w:r>
      <w:r>
        <w:t xml:space="preserve"> West Nile virus is one of the most widespread mosquito-borne zoonotic viruses, with unique transmission dynamics in various parts of the world. Genomic surveillance has provided important insights in the global patterns of West Nile virus emergence and spread. In Europe, multiple West Nile virus lineages have been isolated, with lineage 1a and 2 being the main lineages responsible for human infections. In contrast to North America, where a single introduction of lineage 1a resulted in the virus establishing itself in a new continent, at least 13 introductions of lineages 1a and 2 have occurred into Europe, which is likely a vast underestimation of the true number of introductions. Historically, lineage 1a was the main lineage circulating in Europe, but since the emergence of lineage 2 in the early 2000s, the latter has become the predominant lineage. This shift in West Nile virus lineage prevalence has been broadly linked to the expansion of the virus into northerly temperate regions, where autochthonous cases in animals and humans have been reported in Germany and The Netherlands. Here, we discuss how genomic analysis has increased our understanding of the epidemiology of West Nile virus in Europe, and we present a global Nextstrain build consisting of publicly available West Nile virus genomes (https://nextstrain.org/community/grubaughlab/WNV-Global). Our results elucidate re</w:t>
      </w:r>
    </w:p>
    <w:p>
      <w:pPr/>
      <w:r>
        <w:rPr>
          <w:b/>
        </w:rPr>
        <w:t>POSSIBLE 2023:</w:t>
      </w:r>
      <w:r>
        <w:t xml:space="preserve"> The World Order Challenges and the Main Risks of European Integration — https://openalex.org/W4414693906</w:t>
      </w:r>
    </w:p>
    <w:p>
      <w:pPr/>
      <w:r>
        <w:rPr>
          <w:b/>
        </w:rPr>
        <w:t>Shared claim-specific concepts:</w:t>
      </w:r>
      <w:r>
        <w:t xml:space="preserve"> since, one, main, after, influence; EU scope visible. This is a provisional connection, not an outcome finding.</w:t>
      </w:r>
    </w:p>
    <w:p>
      <w:pPr>
        <w:pStyle w:val="SourceNote"/>
      </w:pPr>
      <w:r>
        <w:rPr>
          <w:b/>
        </w:rPr>
        <w:t>Available abstract (not full text):</w:t>
      </w:r>
      <w:r>
        <w:t xml:space="preserve"> This paper is dedicated to the World Economic Order and to its evolution since the end of the Second World War, while showing its influence on the European Union's position as one of the key global actors. The author highlights also the new phase of the Global Order and the main forces that drive a new system of international relations under the strength of regionalization. At the same time, the position of the EU under the pressure of the main challenging forces has been analysed by the author, after more than 15 years since the eruption and spreading of the deepest financial international crises of the last century. The 2008 international financial crash and the post-crisis period embodied a seismic shock to the world economy in the form of a deep economic recession. It is important in the rapidly changing world that the EU Member States take the necessary measures to increase their competitiveness position in the world.</w:t>
      </w:r>
    </w:p>
    <w:p>
      <w:pPr/>
      <w:r>
        <w:rPr>
          <w:b/>
        </w:rPr>
        <w:t>POSSIBLE 2023:</w:t>
      </w:r>
      <w:r>
        <w:t xml:space="preserve"> TRENDS AND MAIN WAYS OF UPGRADING EUROPEAN EDUCATION — https://doi.org/10.32342/2522-4115-2023-1-25-13</w:t>
      </w:r>
    </w:p>
    <w:p>
      <w:pPr/>
      <w:r>
        <w:rPr>
          <w:b/>
        </w:rPr>
        <w:t>Shared claim-specific concepts:</w:t>
      </w:r>
      <w:r>
        <w:t xml:space="preserve"> since, one, main, goals, identify, trends; EU scope visible. This is a provisional connection, not an outcome finding.</w:t>
      </w:r>
    </w:p>
    <w:p>
      <w:pPr>
        <w:pStyle w:val="SourceNote"/>
      </w:pPr>
      <w:r>
        <w:rPr>
          <w:b/>
        </w:rPr>
        <w:t>Available abstract (not full text):</w:t>
      </w:r>
      <w:r>
        <w:t xml:space="preserve"> In the modern socio-economic context of the development of educational systems, the processes of globalization and internationalization play an important role, which determine the reformation of higher education. Competition and cooperation between educational and scientific organizations are intensifying all over the world, the exchange of students, teachers, graduate students and researchers is intensifying, distance education is becoming widespread, and the role of continuing education is growing. The purpose of the research is to identify and justify system-wide trends in the renewal of European education. The main task of this research is to determine the mechanisms and characterize the orientation of the renewal of the European education system under the conditions of internationalization and globalization. The methodological basis of the research consists of: the general scientific principle of objectivity; the principle of historical and logical unity; systemic and contextual approach, principle of interconnection; sociological, cultural and pedagogical concepts. It is determined that today the European Union is one of the world leaders in research and innovation. It is scientific knowledge, experience, high standards of the research, developed research infrastructure that guarantee many years of successful cooperation between the EU and other countries. At the present </w:t>
      </w:r>
    </w:p>
    <w:p>
      <w:pPr/>
      <w:r>
        <w:rPr>
          <w:b/>
        </w:rPr>
        <w:t>POSSIBLE 2023:</w:t>
      </w:r>
      <w:r>
        <w:t xml:space="preserve"> A Review of Herbal Regulations and Approval Process in India and Europe — https://doi.org/10.22270/ijdra.v11i4.629</w:t>
      </w:r>
    </w:p>
    <w:p>
      <w:pPr/>
      <w:r>
        <w:rPr>
          <w:b/>
        </w:rPr>
        <w:t>Shared claim-specific concepts:</w:t>
      </w:r>
      <w:r>
        <w:t xml:space="preserve"> since, main, they; EU scope visible. This is a provisional connection, not an outcome finding.</w:t>
      </w:r>
    </w:p>
    <w:p>
      <w:pPr>
        <w:pStyle w:val="SourceNote"/>
      </w:pPr>
      <w:r>
        <w:rPr>
          <w:b/>
        </w:rPr>
        <w:t>Available abstract (not full text):</w:t>
      </w:r>
      <w:r>
        <w:t xml:space="preserve"> The main suppliers of herbal plants and medications are India and Europe. People prefer using plants and herbs as remedies over synthetic ones since they have fewer adverse effects. In India, AYUSH, CDSCO (Central Drugs Standard Control Organization), AND D&amp;C Act 1940 &amp; 1945(amendment) all control herbal medications. In India, AYUSH systems have been developed to house almost 8000 herbal medications. While in Europe, the European Medicines Agency (EMA) and the Herbal Medicinal Products Committee (HMPC) are in charge of overseeing herbal medications. The regulation of herbal goods in India and Europe is the subject of this essay.</w:t>
      </w:r>
    </w:p>
    <w:p>
      <w:pPr/>
      <w:r>
        <w:rPr>
          <w:b/>
        </w:rPr>
        <w:t>POSSIBLE 2022:</w:t>
      </w:r>
      <w:r>
        <w:t xml:space="preserve"> Seropositivity of main vector-borne pathogens in dogs across Europe — https://doi.org/10.1186/s13071-022-05316-5</w:t>
      </w:r>
    </w:p>
    <w:p>
      <w:pPr/>
      <w:r>
        <w:rPr>
          <w:b/>
        </w:rPr>
        <w:t>Shared claim-specific concepts:</w:t>
      </w:r>
      <w:r>
        <w:t xml:space="preserve"> main, identify; EU scope visible. This is a provisional connection, not an outcome finding.</w:t>
      </w:r>
    </w:p>
    <w:p>
      <w:pPr>
        <w:pStyle w:val="SourceNote"/>
      </w:pPr>
      <w:r>
        <w:rPr>
          <w:b/>
        </w:rPr>
        <w:t>Available abstract (not full text):</w:t>
      </w:r>
      <w:r>
        <w:t xml:space="preserve"> BACKGROUND: Canine vector-borne disease (CVBD) has been an area of increasing interest in Europe over the last few decades, and there have been changes in the prevalence and distribution of many of these diseases. Monitoring CVBD infections in Europe is often done by individual countries, but aggregated data for the European countries are helpful to understand the distribution of CVBDs. METHODS: We used an extensive retrospective database of results from point-of-care rapid enzyme-linked immunosorbent assay (ELISA) tests on dogs across Europe to identify distribution and seropositivity in animals tested for selected CVBDs (Anaplasma spp., Ehrlichia spp., Borrelia burgdorferi, Leishmania spp., and Dirofilaria immitis) from 2016 through 2020. Geographic distribution of positive tests and relative percent positive values were mapped by the Nomenclature of Territorial Units for Statistics classification for regions with sufficient test results for reporting. RESULTS: A total of 404,617 samples corresponding to 1,134,648 canine results were available from dogs tested in 35 countries over the 5-year study period. Over this period the number of test results per year increased whereas test positivity decreased. Leishmania spp. had the largest increase in total test results from 25,000 results in 2016 to over 60,000 results in 2020. Test positivity for Leishmania spp. fell from 13.9% in</w:t>
      </w:r>
    </w:p>
    <w:p>
      <w:pPr/>
      <w:r>
        <w:rPr>
          <w:b/>
        </w:rPr>
        <w:t>POSSIBLE 2021:</w:t>
      </w:r>
      <w:r>
        <w:t xml:space="preserve"> The European Union's fishing activity outside of European waters and the Sustainable Development Goals — https://doi.org/10.1111/faf.12533</w:t>
      </w:r>
    </w:p>
    <w:p>
      <w:pPr/>
      <w:r>
        <w:rPr>
          <w:b/>
        </w:rPr>
        <w:t>Shared claim-specific concepts:</w:t>
      </w:r>
      <w:r>
        <w:t xml:space="preserve"> goals, identify; EU scope visible. This is a provisional connection, not an outcome finding.</w:t>
      </w:r>
    </w:p>
    <w:p>
      <w:pPr>
        <w:pStyle w:val="SourceNote"/>
      </w:pPr>
      <w:r>
        <w:rPr>
          <w:b/>
        </w:rPr>
        <w:t>Available abstract (not full text):</w:t>
      </w:r>
      <w:r>
        <w:t xml:space="preserve"> Abstract The EU's fishing fleet engages in extensive fishing activities in the Exclusive Economic Zones of non‐EU countries as well as in areas beyond national jurisdiction. These activities are regulated by an external dimension in the EU's Common Fisheries Policy (CFP). We review the relationship between the CFP, including regulations for the Sustainable Management of External Fishing Fleets (SMEFF) and the role of Sustainable Fisheries Partnership Agreements (SFPAs) and Regional Fisheries Management Organisations (RFMOs), and the internationally agreed aims and definitions of sustainability provided by the United Nations Sustainable Development Goals (SDGs). The SDG that most directly relates to fish and fisheries is goal 14, to "conserve and sustainably use the oceans." This paper, however, focuses on relationships between the CFP and SDGs that target social and economic dimensions, including those aiming to eliminate poverty (1) and hunger (2), improve health (3), provide decent work and economic growth (8), and achieve gender equality (5) and peaceful institutions (16). We identify several areas where the EU's external fishing fleet interacts with different facets of those goals, and suggest some important improvements that can be made to support the development of the EU’s external fleet into a contributor, rather than counterforce, to sustainable development in line wit</w:t>
      </w:r>
    </w:p>
    <w:p>
      <w:pPr/>
      <w:r>
        <w:rPr>
          <w:b/>
        </w:rPr>
        <w:t>POSSIBLE 2021:</w:t>
      </w:r>
      <w:r>
        <w:t xml:space="preserve"> Alignment of the European Green Deal, the Sustainable Development Goals and the European Semester Process: Method and Application — https://doi.org/10.4236/tel.2021.114049</w:t>
      </w:r>
    </w:p>
    <w:p>
      <w:pPr/>
      <w:r>
        <w:rPr>
          <w:b/>
        </w:rPr>
        <w:t>Shared claim-specific concepts:</w:t>
      </w:r>
      <w:r>
        <w:t xml:space="preserve"> main, goals, after, taken; EU scope visible. This is a provisional connection, not an outcome finding.</w:t>
      </w:r>
    </w:p>
    <w:p>
      <w:pPr>
        <w:pStyle w:val="SourceNote"/>
      </w:pPr>
      <w:r>
        <w:rPr>
          <w:b/>
        </w:rPr>
        <w:t>Available abstract (not full text):</w:t>
      </w:r>
      <w:r>
        <w:t xml:space="preserve"> The Agenda 2030 with its 17 Sustainable Development Goals (SDGs) along with the European Green Deal and its 9 Policy Areas, are the key strategic frameworks for the transformation of Europe into a climate-neutral continent in the future decades. Thus, the mandates derived from these contexts must be taken into consideration by the European countries. This report aims to suggest a methodology for the co-integration of the Sustainable Development Goals (SDGs) and the European Green Deal (EGD), with the Country-specific recommendations (CSRs) made by the European Commission as part of the Semester process. At the same time, all these should be aligned with the EU Recovery Plan, to supply applicable strategies to the European policymakers and strengthen the national recovery Plans of the Member States, which are driven by the above-mentioned EU-driven packs, in line with the superior UN Agenda for the Sustainable Development. For the alignment of CSRs, the SDGs, and the EGD a 3D-mapping approach is proposed. After the Introduction in Section 1, the framework of the applicable Policies is presented in Section 2 and our Methodology is described in Section 3. In Section 4 our results are demonstrated for the EU and in Section 5 the main conclusions are listed along with a discussion for future directions. Our analysis shows that overall, the EU has sufficiently incorporated the SDGs i</w:t>
      </w:r>
    </w:p>
    <w:p>
      <w:pPr>
        <w:pStyle w:val="Heading2"/>
      </w:pPr>
      <w:r>
        <w:t>841. Pathways to Deep Decarbonization in Italy</w:t>
      </w:r>
    </w:p>
    <w:p>
      <w:pPr>
        <w:pStyle w:val="SourceNote"/>
      </w:pPr>
      <w:r>
        <w:rPr>
          <w:b/>
        </w:rPr>
        <w:t>Original source (2016):</w:t>
      </w:r>
      <w:r>
        <w:t xml:space="preserve"> https://doi.org/10.22004/ag.econ.230582</w:t>
      </w:r>
    </w:p>
    <w:p>
      <w:pPr/>
      <w:r>
        <w:t>Original wording (abstract; indexed_source_text_not_full_document_verified): These 16 countries are: Australia, Brazil, Canada, China, France, Germany, India, Indonesia, Italy, Japan, Mexico, Russia, South Africa, South Korea, the United Kingdom, and the United States. “Pathways to Deep Carbonization in Italy” contributes to the national debate on climate-change mitigation, and the importance of deep decarbonization, by examining three alternative pathways that could reduce Italian CO2 emissions by at least 40% in 2030 and 80% in 2050, compared to 1990. It analyzes the challenges the Italian energy system faces, and possible future technological developments that will need to be pursued.</w:t>
      </w:r>
    </w:p>
    <w:p>
      <w:pPr/>
      <w:r>
        <w:rPr>
          <w:b/>
        </w:rPr>
        <w:t>POSSIBLE 2026:</w:t>
      </w:r>
      <w:r>
        <w:t xml:space="preserve"> BOOK REVIEW: OPEN AND DISTANCE EDUCATION IN AUSTRALIA, EUROPE AND THE AMERICAS: NATIONAL PERSPECTIVES IN A DIGITAL AGE — https://openalex.org/W7167292450</w:t>
      </w:r>
    </w:p>
    <w:p>
      <w:pPr/>
      <w:r>
        <w:rPr>
          <w:b/>
        </w:rPr>
        <w:t>Shared claim-specific concepts:</w:t>
      </w:r>
      <w:r>
        <w:t xml:space="preserve"> australia, brazil, canada, germany, united, kingdom; EU scope visible. This is a provisional connection, not an outcome finding.</w:t>
      </w:r>
    </w:p>
    <w:p>
      <w:pPr>
        <w:pStyle w:val="SourceNote"/>
      </w:pPr>
      <w:r>
        <w:rPr>
          <w:b/>
        </w:rPr>
        <w:t>Available abstract (not full text):</w:t>
      </w:r>
      <w:r>
        <w:t xml:space="preserve"> This book review examines Open and Distance Education in Australia, Europe and the Americas: National Perspectives in a Digital Age, edited by Adnan Qayyum and Olaf Zawacki-Richter, offers a comparative analysis of open and distance education within diverse national higher education systems. Moving beyond technology-centered explanations, the book situates distance education within historical, political, regulatory, and socio-economic contexts. Through country-based chapters covering Brazil, Canada, Germany, the United Kingdom, and the United States, the volumes illustrate how open and distance education has evolved from marginal and experimental practices into institutionally recognized—though unevenly integrated—components of higher education. The book highlights differing governance structures, public–private dynamics, quality assurance mechanisms, and policy frameworks shaping digital and distance learning across regions. By foregrounding national trajectories rather than universal models, the work contributes to a nuanced understanding of digital transformation in higher education. Overall, the book provides a valuable resource for researchers, policymakers, and practitioners seeking to understand the structural conditions, opportunities, and limitations of open and distance education in a global yet nationally embedded context.</w:t>
      </w:r>
    </w:p>
    <w:p>
      <w:pPr/>
      <w:r>
        <w:rPr>
          <w:b/>
        </w:rPr>
        <w:t>POSSIBLE 2026:</w:t>
      </w:r>
      <w:r>
        <w:t xml:space="preserve"> Cellular agriculture in the media: newspaper coverage in Australia, Brazil, Germany, and India — https://doi.org/10.5194/gh-81-255-2026</w:t>
      </w:r>
    </w:p>
    <w:p>
      <w:pPr/>
      <w:r>
        <w:rPr>
          <w:b/>
        </w:rPr>
        <w:t>Shared claim-specific concepts:</w:t>
      </w:r>
      <w:r>
        <w:t xml:space="preserve"> countries, australia, brazil, germany, india; EU scope visible. This is a provisional connection, not an outcome finding.</w:t>
      </w:r>
    </w:p>
    <w:p>
      <w:pPr>
        <w:pStyle w:val="SourceNote"/>
      </w:pPr>
      <w:r>
        <w:rPr>
          <w:b/>
        </w:rPr>
        <w:t>Available abstract (not full text):</w:t>
      </w:r>
      <w:r>
        <w:t xml:space="preserve"> Cellular agriculture (CellAg) emerges as a technology aiming to address critical issues within the food system by offering an alternative to conventional meat. The dissemination of information about it to non-scientific communities faces challenges regarding the translation of complex technical developments, with the public reliant on the coverage from media outlets. We developed a collaborative approach to contribute to this discussion, focusing on four cases: Brazil, India, Australia, and Germany. Newspapers from these countries were analyzed using a qualitative content analysis and a subsequent joint interpretation. A major finding was the striking similarity in the main topics covered by the media in the studied countries. In addition, a large proportion of newspaper articles adopted a positive and market-oriented perspective. Germany stands out for its emphasis on research and development news. Australia is characterized by its focus on market and consumption elements. India is notable for its prioritization of food security. Brazil highlights market factors and brings to light concerns about market barriers. The results deserve further studies as they reveal that societies across geographical areas are receiving mostly superficial positive news instead of perspectives with higher-quality analyses of all impacts that may occur.</w:t>
      </w:r>
    </w:p>
    <w:p>
      <w:pPr/>
      <w:r>
        <w:rPr>
          <w:b/>
        </w:rPr>
        <w:t>POSSIBLE 2025:</w:t>
      </w:r>
      <w:r>
        <w:t xml:space="preserve"> The Brazilian and Australian political-institutional scenario concerning water resources management — https://doi.org/10.5585/2025.25216</w:t>
      </w:r>
    </w:p>
    <w:p>
      <w:pPr/>
      <w:r>
        <w:rPr>
          <w:b/>
        </w:rPr>
        <w:t>Shared claim-specific concepts:</w:t>
      </w:r>
      <w:r>
        <w:t xml:space="preserve"> countries, australia, brazil, states; EU scope not established. This is a provisional connection, not an outcome finding.</w:t>
      </w:r>
    </w:p>
    <w:p>
      <w:pPr>
        <w:pStyle w:val="SourceNote"/>
      </w:pPr>
      <w:r>
        <w:rPr>
          <w:b/>
        </w:rPr>
        <w:t>Available abstract (not full text):</w:t>
      </w:r>
      <w:r>
        <w:t xml:space="preserve"> Aim: This research aims to analytically compare the functioning of the institutional procedures concerning water resources management in Brazil and Australia. Method: Through a literature review and document analysis, this paper presents a characterization of the Brazilian and Australian political-institutional water management scenarios based on both direct and indirect information sources. It then compares the institutional processes of these two countries using a SWOT matrix analysis, highlighting their strengths, weaknesses, opportunities, and threats. Novelty/Relevance: This research seeks to fill a scientific information gap by examining how actors in both developing and developed countries' influence decision-making toward more sustainable environmental management, using water management as a case study. Results: The results show that both countries have legislation prescribing decentralized and participatory decision-making processes. However, the implementation of this legislation does not guarantee democratic management of hydric resources. Moreover, the stages and scopes of legislative implementation and execution differ between Brazil and Australia. The Brazilian institutional scenario demonstrates a weaker capacity for implementing and enforcing water legislation compared to Australia, where a more developed water management system exists, and society shows greater</w:t>
      </w:r>
    </w:p>
    <w:p>
      <w:pPr/>
      <w:r>
        <w:rPr>
          <w:b/>
        </w:rPr>
        <w:t>POSSIBLE 2024:</w:t>
      </w:r>
      <w:r>
        <w:t xml:space="preserve"> THE RELEVANCE OF THE BRAZILIAN AMAZON FOR THE RELATIONSHIP BETWEEN BRAZIL AND THE EUROPEAN UNION — https://openalex.org/W7119374139</w:t>
      </w:r>
    </w:p>
    <w:p>
      <w:pPr/>
      <w:r>
        <w:rPr>
          <w:b/>
        </w:rPr>
        <w:t>Shared claim-specific concepts:</w:t>
      </w:r>
      <w:r>
        <w:t xml:space="preserve"> countries, brazil, national; EU scope visible. This is a provisional connection, not an outcome finding.</w:t>
      </w:r>
    </w:p>
    <w:p>
      <w:pPr>
        <w:pStyle w:val="SourceNote"/>
      </w:pPr>
      <w:r>
        <w:rPr>
          <w:b/>
        </w:rPr>
        <w:t>Available abstract (not full text):</w:t>
      </w:r>
      <w:r>
        <w:t xml:space="preserve"> There is plentiful scientific literature about the importance of the Amazon Forest to climate regulation and biological diversity drawing from analytical frameworks such as the Anthropocene, “planetary boundaries” and “Earth System Governance”. In the Brazilian case, the forest is part of the Legal Amazon region, which comprises other biomes also threatened by the recent and predatory expansion of the agricultural frontiers, as well as other illegal activities. They violate the rights of more than thirty-eight million local inhabitants, especially indigenous communities (Fellows et al, 2023). In this context, we raise the question: how is the Legal Amazon important for the relationship between Brasilia and Brussels? We contend Brazilians keep the national approach on the Legal Amazon, while the Europeans have a more global view, but focusing on the forest. From an international political economy perspective, the two tipping points chosen were the signature of the trade agreement between the European Union (EU) and Brazil in 2019, and the European Regulation on Deforestation-free products of 2022. In this context of valorization of the standing forest and the ecosystem services it provides, this article aims to analyse the relevance of the Legal Amazon to the relationship between the EU and Brazil, based on the concept of “deforestation-free value chains”, which is the basis of </w:t>
      </w:r>
    </w:p>
    <w:p>
      <w:pPr/>
      <w:r>
        <w:rPr>
          <w:b/>
        </w:rPr>
        <w:t>POSSIBLE 2024:</w:t>
      </w:r>
      <w:r>
        <w:t xml:space="preserve"> Engagement of European Countries in the Implementation of the US Indo-Pacific Strategy (Part 2) — https://doi.org/10.22394/1726-1139-2023-12-9-33</w:t>
      </w:r>
    </w:p>
    <w:p>
      <w:pPr/>
      <w:r>
        <w:rPr>
          <w:b/>
        </w:rPr>
        <w:t>Shared claim-specific concepts:</w:t>
      </w:r>
      <w:r>
        <w:t xml:space="preserve"> countries, australia, china, france, germany, russia; EU scope visible. This is a provisional connection, not an outcome finding.</w:t>
      </w:r>
    </w:p>
    <w:p>
      <w:pPr>
        <w:pStyle w:val="SourceNote"/>
      </w:pPr>
      <w:r>
        <w:rPr>
          <w:b/>
        </w:rPr>
        <w:t>Available abstract (not full text):</w:t>
      </w:r>
      <w:r>
        <w:t xml:space="preserve"> Globalization has contributed to the development of economic relations between Europe and the Indo-Pacific. However, after 2011 they were influenced by the American “pivot to Asia” and the shift of US attention from countering international terrorism to rivalry with the “revisionist” powers — Russia and China. In 2019, with the adoption of the US Indo-Pacific Strategy, China became their main regional rival. The rivalry with him provided for the Americans to unite their Asian allies in a network of managed formal alliances, as well as to connect Great Britain and France to solving strategic tasks. On February 11, 2022, a new Indo-Pacific strategy of the United States appeared. This document emphasized the strategic value and increasing role of Great Britain, France, the EU and NATO in Indo-Pacific and set the task of building bridges between the Indo-Pacific and Euro-Atlantic regions. The main role in its solution was assigned to AUKUS, a trilateral military alliance of the United States, Great Britain and Australia, created on September 15, 2021. At about the same time, France, Germany, the Netherlands and the European Union approved their own strategies in Indo-Pacific. They had in common an unwillingness to see China as the main opponent in the context of the US-Chinese rivalry. At the same time, the documents did not indicate that Europe was equidistant from global rivals. </w:t>
      </w:r>
    </w:p>
    <w:p>
      <w:pPr/>
      <w:r>
        <w:rPr>
          <w:b/>
        </w:rPr>
        <w:t>POSSIBLE 2023:</w:t>
      </w:r>
      <w:r>
        <w:t xml:space="preserve"> Cross-cultural Communication of Traditional Chinese Medicine under the Background of the Belt and Road Initiative —A Case Study of Central and Eastern European countries — https://doi.org/10.22158/jecs.v7n4p25</w:t>
      </w:r>
    </w:p>
    <w:p>
      <w:pPr/>
      <w:r>
        <w:rPr>
          <w:b/>
        </w:rPr>
        <w:t>Shared claim-specific concepts:</w:t>
      </w:r>
      <w:r>
        <w:t xml:space="preserve"> countries, australia, canada, france, japan, united; EU scope visible. This is a provisional connection, not an outcome finding.</w:t>
      </w:r>
    </w:p>
    <w:p>
      <w:pPr>
        <w:pStyle w:val="SourceNote"/>
      </w:pPr>
      <w:r>
        <w:rPr>
          <w:b/>
        </w:rPr>
        <w:t>Available abstract (not full text):</w:t>
      </w:r>
      <w:r>
        <w:t xml:space="preserve"> With the effective implementation of the Belt and Road Initiative, Chinese culture has been accepted by more and more Central and Eastern European countries, and has further promoted political, economic and cultural exchanges and cooperation among these countries. As an important part of Chinese culture, traditional Chinese medicine (TCM) has become a channel of cultural exchange, and has been paid more and more attention. However, in general, the development and scale of traditional Chinese medicine in central and Eastern Europe are far smaller than that of the United States, Canada and Japan, and Australia as well as Western European countries, such as the United Kingdom, France and the Netherlands. Therefore, it is necessary to promote traditional Chinese medicine to CEE in order to further spread traditional Chinese medicine culture and open up more opportunities for cooperation.</w:t>
      </w:r>
    </w:p>
    <w:p>
      <w:pPr/>
      <w:r>
        <w:rPr>
          <w:b/>
        </w:rPr>
        <w:t>POSSIBLE 2023:</w:t>
      </w:r>
      <w:r>
        <w:t xml:space="preserve"> Engagement of European Countries in the Implementation of the US Indo-Pacific Strategy (Part 1) — https://doi.org/10.22394/1726-1139-2023-11-25-45</w:t>
      </w:r>
    </w:p>
    <w:p>
      <w:pPr/>
      <w:r>
        <w:rPr>
          <w:b/>
        </w:rPr>
        <w:t>Shared claim-specific concepts:</w:t>
      </w:r>
      <w:r>
        <w:t xml:space="preserve"> countries, australia, china, france, germany, russia; EU scope visible. This is a provisional connection, not an outcome finding.</w:t>
      </w:r>
    </w:p>
    <w:p>
      <w:pPr>
        <w:pStyle w:val="SourceNote"/>
      </w:pPr>
      <w:r>
        <w:rPr>
          <w:b/>
        </w:rPr>
        <w:t>Available abstract (not full text):</w:t>
      </w:r>
      <w:r>
        <w:t xml:space="preserve"> Globalization has contributed to the development of economic relations between Europe and the Indo-Pacific. However, after 2011 they were influenced by the American “pivot to Asia” and the shift of US attention from countering international terrorism to rivalry with the “revisionist” powers — Russia and China. In 2019, with the adoption of the US Indo-Pacific Strategy, China became their main regional rival. The rivalry with him provided for the Americans to unite their Asian allies in a network of managed formal alliances, as well as to connect Great Britain and France to solving strategic tasks. On February 11, 2022, a new Indo-Pacific strategy of the United States appeared. This document emphasized the strategic value and increasing role of Great Britain, France, the EU and NATO in Indo-Pacific and set the task of building bridges between the Indo-Pacific and Euro-Atlantic regions. The main role in its solution was assigned to AUKUS, a trilateral military alliance of the United States, Great Britain and Australia, created on September 15, 2021. At about the same time, France, Germany, the Netherlands and the European Union approved their own strategies in Indo-Pacific. They had in common an unwillingness to see China as the main opponent in the context of the US-Chinese rivalry. At the same time, the documents did not indicate that Europe was equidistant from global rivals. </w:t>
      </w:r>
    </w:p>
    <w:p>
      <w:pPr/>
      <w:r>
        <w:rPr>
          <w:b/>
        </w:rPr>
        <w:t>POSSIBLE 2022:</w:t>
      </w:r>
      <w:r>
        <w:t xml:space="preserve"> Systematic literature review and meta-analysis of the prevalence of secondary progressive multiple sclerosis in the USA, Europe, Canada, Australia, and Brazil — https://doi.org/10.1186/s12883-022-02820-0</w:t>
      </w:r>
    </w:p>
    <w:p>
      <w:pPr/>
      <w:r>
        <w:rPr>
          <w:b/>
        </w:rPr>
        <w:t>Shared claim-specific concepts:</w:t>
      </w:r>
      <w:r>
        <w:t xml:space="preserve"> countries, australia, brazil, canada, united, states; EU scope visible. This is a provisional connection, not an outcome finding.</w:t>
      </w:r>
    </w:p>
    <w:p>
      <w:pPr>
        <w:pStyle w:val="SourceNote"/>
      </w:pPr>
      <w:r>
        <w:rPr>
          <w:b/>
        </w:rPr>
        <w:t>Available abstract (not full text):</w:t>
      </w:r>
      <w:r>
        <w:t xml:space="preserve"> BACKGROUND: Secondary progressive multiple sclerosis (SPMS) is a subtype of multiple sclerosis (MS), which is a chronic neurological disease, characterised by inflammation of the central nervous system. Most of MS patients eventually progress to SPMS. This study estimates the prevalence of SPMS in the United States of America, Europe, Canada, Australia, and Brazil. METHODS: A systematic literature search of the Medline and Embase databases was performed using the OVID™ SP platform to identify MS epidemiological studies published in English from database inception to September 22, 2020. Studies reporting the prevalence of MS and proportion of SPMS patients in the included population were selected. The pooled prevalence of SPMS was calculated based on the proportion of SPMS patients. The Loney quality assessment checklist was used for quality grading. A meta-analysis of the proportions was conducted in RStudio. RESULTS: A total of 4754 articles were retrieved, and prevalence was calculated from 97 relevant studies. Overall, 86 medium- and high-quality studies were included in the meta-analysis. Most studies were conducted in European countries (84 studies). The estimated pooled prevalence of SPMS was 22.42 (99% confidence interval: 18.30, 26.95)/100,000. The prevalence of SPMS was more in the North European countries, highest in Sweden and lowest in Brazil. A decline in SPMS prev</w:t>
      </w:r>
    </w:p>
    <w:p>
      <w:pPr/>
      <w:r>
        <w:rPr>
          <w:b/>
        </w:rPr>
        <w:t>POSSIBLE 2022:</w:t>
      </w:r>
      <w:r>
        <w:t xml:space="preserve"> Potential Distribution of and Sensitivity Analysis for Urochloa panicoides Weed Using Modeling: An Implication of Invasion Risk Analysis for China and Europe — https://doi.org/10.3390/plants11131761</w:t>
      </w:r>
    </w:p>
    <w:p>
      <w:pPr/>
      <w:r>
        <w:rPr>
          <w:b/>
        </w:rPr>
        <w:t>Shared claim-specific concepts:</w:t>
      </w:r>
      <w:r>
        <w:t xml:space="preserve"> countries, australia, brazil, china, india, mexico; EU scope visible. This is a provisional connection, not an outcome finding.</w:t>
      </w:r>
    </w:p>
    <w:p>
      <w:pPr>
        <w:pStyle w:val="SourceNote"/>
      </w:pPr>
      <w:r>
        <w:rPr>
          <w:b/>
        </w:rPr>
        <w:t>Available abstract (not full text):</w:t>
      </w:r>
      <w:r>
        <w:t xml:space="preserve"> Urochloapanicoides P. Beauv. is considered one of the most harmful weeds in the United States and Australia. It is invasive in Pakistan, Mexico, and Brazil, but its occurrence is hardly reported in China and European countries. Species distribution models enable the measurement of the impact of climate change on plant growth, allowing for risk analysis, effective management, and invasion prevention. The objective of this study was to develop current and future climate models of suitable locations for U. panicoides and to determine the most influential climatic parameters. Occurrence data and biological information on U. panicoides were collected, and climatic parameters were used to generate the Ecoclimatic Index (EI) and to perform sensitivity analysis. The future projections for 2050, 2080, and 2100 were modeled under the A2 SRES scenario using the Global Climate Model, CSIRO-Mk3.0 (CS). The potential distribution of U. panicoides coincided with the data collected, and the reliability of the final model was demonstrated. The generated model identified regions where the occurrence was favorable, despite few records of the species. Sensitivity analysis showed that the most sensitive parameters of the model were related to temperature, humidity, and cold stress. Future projections predict reductions in climate suitability for U. panicoides in Brazil, Australia, India, and Africa</w:t>
      </w:r>
    </w:p>
    <w:p>
      <w:pPr/>
      <w:r>
        <w:rPr>
          <w:b/>
        </w:rPr>
        <w:t>POSSIBLE 2021:</w:t>
      </w:r>
      <w:r>
        <w:t xml:space="preserve"> Relevant aspects of carbon storage activities’ liability in paradigmatic countries: Australia, Brazil, Canada, European Union, Japan, Norway, United Kingdom, and United States — https://doi.org/10.1016/b978-0-323-85250-0.00013-x</w:t>
      </w:r>
    </w:p>
    <w:p>
      <w:pPr/>
      <w:r>
        <w:rPr>
          <w:b/>
        </w:rPr>
        <w:t>Shared claim-specific concepts:</w:t>
      </w:r>
      <w:r>
        <w:t xml:space="preserve"> countries, australia, brazil, canada, japan, united; EU scope visible. This is a provisional connection, not an outcome finding.</w:t>
      </w:r>
    </w:p>
    <w:p>
      <w:pPr>
        <w:pStyle w:val="SourceNote"/>
      </w:pPr>
      <w:r>
        <w:rPr>
          <w:b/>
        </w:rPr>
        <w:t>Available abstract (not full text):</w:t>
      </w:r>
      <w:r>
        <w:t xml:space="preserve"> Unavailable</w:t>
      </w:r>
    </w:p>
    <w:p>
      <w:pPr/>
      <w:r>
        <w:rPr>
          <w:b/>
        </w:rPr>
        <w:t>POSSIBLE 2021:</w:t>
      </w:r>
      <w:r>
        <w:t xml:space="preserve"> Comparison of Prices and Affordability of Cancer Medicines in 16 Countries in Europe and Latin America — https://doi.org/10.1007/s40258-021-00670-4</w:t>
      </w:r>
    </w:p>
    <w:p>
      <w:pPr/>
      <w:r>
        <w:rPr>
          <w:b/>
        </w:rPr>
        <w:t>Shared claim-specific concepts:</w:t>
      </w:r>
      <w:r>
        <w:t xml:space="preserve"> countries, brazil, france, germany, mexico, national; EU scope visible. This is a provisional connection, not an outcome finding.</w:t>
      </w:r>
    </w:p>
    <w:p>
      <w:pPr>
        <w:pStyle w:val="SourceNote"/>
      </w:pPr>
      <w:r>
        <w:rPr>
          <w:b/>
        </w:rPr>
        <w:t>Available abstract (not full text):</w:t>
      </w:r>
      <w:r>
        <w:t xml:space="preserve"> BACKGROUND: There are concerns that high prices of cancer medicines may limit patient access. Since information on prices for cancer medicines and their impact on affordability is lacking for several countries, particularly for lower income countries, this study surveys prices of originator cancer medicines in Europe and Latin America and assesses their affordability. METHODS: For 19 cancer medicines, public procurement and ex-factory prices, as of 2017, were surveyed in five Latin American (LATAM) countries (Brazil, Chile, Colombia, Mexico, and Peru) and 11 European countries (Austria, France, Germany, Greece, Hungary, the Netherlands, Poland, Romania, Spain, Sweden, and the UK). Price data (public procurement prices in LATAM and ex-factory prices in Europe) in US dollar purchasing power parities (PPP) were analyzed per defined daily dose. Affordability was measured by setting medicines prices in relation to national minimum wages. RESULTS: The prices of cancer medicines varied considerably between countries. In European countries with higher levels of income, PPP-adjusted prices tended to be lower than in European countries of lower income and LATAM countries. Except for one medicine, all surveyed medicines were considered unaffordable in most countries. In European countries of lower income and LATAM countries, more than 15 days' worth of minimum wages would be required by a</w:t>
      </w:r>
    </w:p>
    <w:p>
      <w:pPr/>
      <w:r>
        <w:rPr>
          <w:b/>
        </w:rPr>
        <w:t>POSSIBLE 2021:</w:t>
      </w:r>
      <w:r>
        <w:t xml:space="preserve"> Clinical practices related to high-flow nasal cannulas in pediatric critical care in Brazil compared to other countries: a Brazilian survey — https://doi.org/10.5935/0103-507x.20210055</w:t>
      </w:r>
    </w:p>
    <w:p>
      <w:pPr/>
      <w:r>
        <w:rPr>
          <w:b/>
        </w:rPr>
        <w:t>Shared claim-specific concepts:</w:t>
      </w:r>
      <w:r>
        <w:t xml:space="preserve"> countries, australia, brazil, canada, india, south; EU scope visible. This is a provisional connection, not an outcome finding.</w:t>
      </w:r>
    </w:p>
    <w:p>
      <w:pPr>
        <w:pStyle w:val="SourceNote"/>
      </w:pPr>
      <w:r>
        <w:rPr>
          <w:b/>
        </w:rPr>
        <w:t>Available abstract (not full text):</w:t>
      </w:r>
      <w:r>
        <w:t xml:space="preserve"> OBJECTIVE: To describe current clinical practices related to the use of high-flow nasal cannula therapy by Brazilian pediatric intensivists and compare them with those in other countries. METHODS: A questionnaire was administered to pediatric intensivists in North and South America, Asia, Europe, and Australia/New Zealand for the main study. We compared the Brazilian cohort with cohorts in the United States of America, Canada, the United Kingdom, and India. RESULTS: Overall, 501 physicians responded, 127 of which were in Brazil. Only 63.8% of respondents in Brazil had a high-flow nasal cannula available, in contrast to 100% of respondents in the United Kingdom, Canada, and the United States. The attending physician was responsible for the decision to start a high-flow nasal cannula according to 61.2% respondents in Brazil, 95.5% in the United Kingdom, 96.6% in the United States, 96.8% in Canada, and 84.7% in India. A total of 62% of respondents in Brazil, 96.3% in the United Kingdom, 96.6% in the United States, 96.8% in Canada, and 84.7% in India reported that the attending physician was responsible for the decision to wean or modify the high-flow nasal cannula settings. When high-flow nasal cannula therapy failed due to respiratory distress/failure, 82% of respondents in Brazil would consider a trial of noninvasive ventilation before endotracheal intubation, compared to 93% in</w:t>
      </w:r>
    </w:p>
    <w:p>
      <w:pPr>
        <w:pStyle w:val="Heading2"/>
      </w:pPr>
      <w:r>
        <w:t>842. Possible Futures towards a Wood-Based Bioeconomy: A Scenario Analysis for Germany</w:t>
      </w:r>
    </w:p>
    <w:p>
      <w:pPr>
        <w:pStyle w:val="SourceNote"/>
      </w:pPr>
      <w:r>
        <w:rPr>
          <w:b/>
        </w:rPr>
        <w:t>Original source (2016):</w:t>
      </w:r>
      <w:r>
        <w:t xml:space="preserve"> https://doi.org/10.3390/su8010098</w:t>
      </w:r>
    </w:p>
    <w:p>
      <w:pPr/>
      <w:r>
        <w:t>Original wording (abstract; indexed_source_text_not_full_document_verified): Driven by the growing awareness of the finite nature of fossil raw materials and the need for sustainable pathways of industrial production, the bio-based economy is expected to expand worldwide. We conclude that the wood-based bioeconomy has a certain potential to develop further, if adequate political framework conditions are implemented and meet voter support, if consumers exhibit an enhanced willingness to pay for bio-based products, and if among companies, a chance-oriented advocacy coalition of bioeconomy supporters dominates over proponents of fossil pathways.</w:t>
      </w:r>
    </w:p>
    <w:p>
      <w:pPr/>
      <w:r>
        <w:rPr>
          <w:b/>
        </w:rPr>
        <w:t>POSSIBLE 2025:</w:t>
      </w:r>
      <w:r>
        <w:t xml:space="preserve"> Europe Lawn Care Products Market Overview — https://doi.org/10.5281/zenodo.17897377</w:t>
      </w:r>
    </w:p>
    <w:p>
      <w:pPr/>
      <w:r>
        <w:rPr>
          <w:b/>
        </w:rPr>
        <w:t>Shared claim-specific concepts:</w:t>
      </w:r>
      <w:r>
        <w:t xml:space="preserve"> driven, growing, awareness, sustainable; EU scope visible. This is a provisional connection, not an outcome finding.</w:t>
      </w:r>
    </w:p>
    <w:p>
      <w:pPr>
        <w:pStyle w:val="SourceNote"/>
      </w:pPr>
      <w:r>
        <w:rPr>
          <w:b/>
        </w:rPr>
        <w:t>Available abstract (not full text):</w:t>
      </w:r>
      <w:r>
        <w:t xml:space="preserve"> The Europe Lawn Care Products Market was valued at USD 11.53 billion in 2023 and is projected to reach USD 17.46 billion by 2030, growing at a CAGR of 5.7%. Demand is driven by rising homeowner interest in outdoor aesthetics, increased urbanization, and growing awareness of lawn health. Consumers are also leaning toward organic and eco-friendly products, boosting innovation in sustainable lawn care solutions. For more information visit: https://www.nextmsc.com/report/europe-lawn-care-products-market</w:t>
      </w:r>
    </w:p>
    <w:p>
      <w:pPr/>
      <w:r>
        <w:rPr>
          <w:b/>
        </w:rPr>
        <w:t>POSSIBLE 2025:</w:t>
      </w:r>
      <w:r>
        <w:t xml:space="preserve"> Europe Electric Vehicle Charging Market: Accelerating Infrastructure for a Sustainable Mobility Future — https://doi.org/10.5281/zenodo.18081601</w:t>
      </w:r>
    </w:p>
    <w:p>
      <w:pPr/>
      <w:r>
        <w:rPr>
          <w:b/>
        </w:rPr>
        <w:t>Shared claim-specific concepts:</w:t>
      </w:r>
      <w:r>
        <w:t xml:space="preserve"> driven, growing, awareness, sustainable; EU scope visible. This is a provisional connection, not an outcome finding.</w:t>
      </w:r>
    </w:p>
    <w:p>
      <w:pPr>
        <w:pStyle w:val="SourceNote"/>
      </w:pPr>
      <w:r>
        <w:rPr>
          <w:b/>
        </w:rPr>
        <w:t>Available abstract (not full text):</w:t>
      </w:r>
      <w:r>
        <w:t xml:space="preserve"> The Europe Electric Vehicle (EV) Charging Market is witnessing strong expansion, driven by rapid electrification of transportation and increasing commitments toward carbon neutrality. Governments, utility providers, and private stakeholders are investing heavily in charging networks to address infrastructure gaps and range anxiety among EV users. The market benefits from a well-established automotive ecosystem, strong policy alignment, and growing consumer awareness regarding environmental sustainability. Access Full Report- https://www.nextmsc.com/report/europe-electric-vehicle-ev-charging-market</w:t>
      </w:r>
    </w:p>
    <w:p>
      <w:pPr/>
      <w:r>
        <w:rPr>
          <w:b/>
        </w:rPr>
        <w:t>POSSIBLE 2025:</w:t>
      </w:r>
      <w:r>
        <w:t xml:space="preserve"> Europe Pet Food Ingredients Market: Growth Dynamics, Trends, and Regional Insights — https://doi.org/10.5281/zenodo.17731410</w:t>
      </w:r>
    </w:p>
    <w:p>
      <w:pPr/>
      <w:r>
        <w:rPr>
          <w:b/>
        </w:rPr>
        <w:t>Shared claim-specific concepts:</w:t>
      </w:r>
      <w:r>
        <w:t xml:space="preserve"> driven, growing, awareness, sustainable, expected; EU scope visible. This is a provisional connection, not an outcome finding.</w:t>
      </w:r>
    </w:p>
    <w:p>
      <w:pPr>
        <w:pStyle w:val="SourceNote"/>
      </w:pPr>
      <w:r>
        <w:rPr>
          <w:b/>
        </w:rPr>
        <w:t>Available abstract (not full text):</w:t>
      </w:r>
      <w:r>
        <w:t xml:space="preserve"> The Europe Pet Food Ingredients Market has witnessed significant growth, driven by rising pet ownership, increasing consumer awareness of pet nutrition, and growing sustainability concerns. Valued at USD 11.67 billion in 2023, the market is projected to reach USD 21.98 billion by 2030, growing at a CAGR of 9.0% from 2024 to 2030. In terms of volume, the market stood at 1,804.21 kilotons in 2023 and is expected to reach 2,756.01 kilotons by 2030, at a CAGR of 5.9%. This manuscript provides a comprehensive overview of the European market, analyzing key growth drivers, restraints, opportunities, regional dynamics, and competitive landscape. It also highlights emerging trends such as sustainable protein adoption and consumer preference for ethically sourced pet food ingredients.</w:t>
      </w:r>
    </w:p>
    <w:p>
      <w:pPr/>
      <w:r>
        <w:rPr>
          <w:b/>
        </w:rPr>
        <w:t>POSSIBLE 2025:</w:t>
      </w:r>
      <w:r>
        <w:t xml:space="preserve"> What Factors Drive a Sustainable Energy Transition in Europe? A Data-Driven Exploration of Economic and Policy Influences — https://doi.org/10.22541/au.175883292.27456920/v1</w:t>
      </w:r>
    </w:p>
    <w:p>
      <w:pPr/>
      <w:r>
        <w:rPr>
          <w:b/>
        </w:rPr>
        <w:t>Shared claim-specific concepts:</w:t>
      </w:r>
      <w:r>
        <w:t xml:space="preserve"> driven, growing, awareness, fossil, sustainable, further; EU scope visible. This is a provisional connection, not an outcome finding.</w:t>
      </w:r>
    </w:p>
    <w:p>
      <w:pPr>
        <w:pStyle w:val="SourceNote"/>
      </w:pPr>
      <w:r>
        <w:rPr>
          <w:b/>
        </w:rPr>
        <w:t>Available abstract (not full text):</w:t>
      </w:r>
      <w:r>
        <w:t xml:space="preserve"> The global transition to cleaner energy is accelerating, driven by government policies, technological advances, financial support, and growing public demand for sustainable solutions. Policies aimed at reducing greenhouse gas emissions and encouraging renewable adoption, combined with technological investments, are central to this shift. At the same time, public awareness, international collaboration, and economic incentives further strengthen the momentum. Despite significant progress, comparative studies that examine how different countries approach energy use remain limited. This study analyzes global energy trends with a particular focus on Europe, investigating whether higher investments in renewable energy sources such as wind and hydropower are associated with lower reliance on fossil fuels. To explore this relationship, we apply statistical techniques including linear regression, logistic regression, multicollinearity testing, and exploratory factor analysis to assess the influence of economic, policy, and technological factors on the transition to clean energy. The results highlight key drivers of successful energy transitions and provide insights for Norway and other European nations to identify effective strategies that can be adapted and scaled in pursuit of a sustainable green transition.</w:t>
      </w:r>
    </w:p>
    <w:p>
      <w:pPr/>
      <w:r>
        <w:rPr>
          <w:b/>
        </w:rPr>
        <w:t>POSSIBLE 2025:</w:t>
      </w:r>
      <w:r>
        <w:t xml:space="preserve"> Economic Analysis of Fossil CO2 Emissions: A European Perspective on Sustainable Development — https://doi.org/10.3390/en18082106</w:t>
      </w:r>
    </w:p>
    <w:p>
      <w:pPr/>
      <w:r>
        <w:rPr>
          <w:b/>
        </w:rPr>
        <w:t>Shared claim-specific concepts:</w:t>
      </w:r>
      <w:r>
        <w:t xml:space="preserve"> driven, fossil, need, sustainable, economy; EU scope visible. This is a provisional connection, not an outcome finding.</w:t>
      </w:r>
    </w:p>
    <w:p>
      <w:pPr>
        <w:pStyle w:val="SourceNote"/>
      </w:pPr>
      <w:r>
        <w:rPr>
          <w:b/>
        </w:rPr>
        <w:t>Available abstract (not full text):</w:t>
      </w:r>
      <w:r>
        <w:t xml:space="preserve"> The economic assessment of CO2 emissions from fossil fuels is gaining importance in the context of sustainable development. Climate change, driven by excessive greenhouse gas emissions, poses a significant threat to humanity, requiring an integrated approach that considers both environmental and economic factors. The European Union (EU) plays a key role in global efforts to reduce CO2 emissions and promote sustainability. This study explores economic approaches to analyzing CO2 emissions in Europe, focusing on trends in fossil fuel use and their economic drivers. The research highlights the connection between economic activity, energy consumption, and emissions, contributing to a better understanding of climate change mitigation strategies. The findings emphasize the strong influence of demographic factors on carbon emissions, stressing the need for targeted policies to address the environmental impact of population growth. This study presents a literature-based assessment of CO2 emissions from fossil fuel consumption in the context of sustainable development, with a focus on Europe. Recognizing the urgent threat posed by climate change, the paper explores how economic and demographic factors influence emissions trends and energy consumption. Through the synthesis of recent research and statistical data, it examines the relationship between economic activity and CO2 emissions a</w:t>
      </w:r>
    </w:p>
    <w:p>
      <w:pPr/>
      <w:r>
        <w:rPr>
          <w:b/>
        </w:rPr>
        <w:t>POSSIBLE 2025:</w:t>
      </w:r>
      <w:r>
        <w:t xml:space="preserve"> AI Driven Defense in Europe: Shaping the Future of Military — https://doi.org/10.47205/jdss.2025(6-iii)17</w:t>
      </w:r>
    </w:p>
    <w:p>
      <w:pPr/>
      <w:r>
        <w:rPr>
          <w:b/>
        </w:rPr>
        <w:t>Shared claim-specific concepts:</w:t>
      </w:r>
      <w:r>
        <w:t xml:space="preserve"> driven, growing, need, worldwide; EU scope visible. This is a provisional connection, not an outcome finding.</w:t>
      </w:r>
    </w:p>
    <w:p>
      <w:pPr>
        <w:pStyle w:val="SourceNote"/>
      </w:pPr>
      <w:r>
        <w:rPr>
          <w:b/>
        </w:rPr>
        <w:t>Available abstract (not full text):</w:t>
      </w:r>
      <w:r>
        <w:t xml:space="preserve"> This research examines the way Artificial Intelligence (AI) is revolutionizing defense strategies among prominent European players France, Germany, the UK, Italy, Spain, and the EU, with a focus on its military uses. The research confines its examination to state-level and EU-level. AI integration within European defense reflects evolving geopolitical priorities, ethical challenges, and new regulatory demands. Employing qualitative case study approach grounded in Regional Security Complex Theory (RSCT), the research draws on official policy briefs and reports. Results show Germany and France dominating AI defense innovation, while the UK emphasizes ethical AI and NATO interoperability. Italy and Spain are emerging powers with growing public-private partnerships. The EU, lacking military capability, exerts normative influence through regulatory tools like the AI Act. These dynamics reshape regional defense cohesion and power relations. Future efforts will have to be focused on cooperative regulatory strategies, ethically sound innovation, and collective defense policies to optimize ethical AI militarization and strategic autonomy in Europe. Cooperative European defense initiatives and testing regulation frameworks need to be investigated in future research. Comparative analysis with Asia or North America like regional complexes would better convey how regional systems determine </w:t>
      </w:r>
    </w:p>
    <w:p>
      <w:pPr/>
      <w:r>
        <w:rPr>
          <w:b/>
        </w:rPr>
        <w:t>POSSIBLE 2024:</w:t>
      </w:r>
      <w:r>
        <w:t xml:space="preserve"> Ancillary services in power system transition toward a 100% non-fossil future: Market design challenges in the United States and Europe — https://doi.org/10.1016/j.epsr.2024.110885</w:t>
      </w:r>
    </w:p>
    <w:p>
      <w:pPr/>
      <w:r>
        <w:rPr>
          <w:b/>
        </w:rPr>
        <w:t>Shared claim-specific concepts:</w:t>
      </w:r>
      <w:r>
        <w:t xml:space="preserve"> driven, need, industrial, potential; EU scope visible. This is a provisional connection, not an outcome finding.</w:t>
      </w:r>
    </w:p>
    <w:p>
      <w:pPr>
        <w:pStyle w:val="SourceNote"/>
      </w:pPr>
      <w:r>
        <w:rPr>
          <w:b/>
        </w:rPr>
        <w:t>Available abstract (not full text):</w:t>
      </w:r>
      <w:r>
        <w:t xml:space="preserve"> The expansion of variable generation has driven a transition toward a 100% non-fossil power system. New system needs are challenging system stability and suggesting the need for a redesign of the ancillary service (AS) markets. This paper presents a comprehensive and broad review for industrial practitioners and academic researchers regarding the challenges and potential solutions to accommodate high shares of variable renewable energy (VRE) generation levels. We detail the main drivers enabling the energy transition and facilitating the provision of ASs. A systematic review of the United States and European AS markets is conducted. We clearly organize the main ASs in a standard taxonomy, identifying current practices and initiatives to support the increasing VRE share. Furthermore, we envision the future of modern AS markets, proposing potential solutions for some remaining fundamental technical and market design challenges.</w:t>
      </w:r>
    </w:p>
    <w:p>
      <w:pPr/>
      <w:r>
        <w:rPr>
          <w:b/>
        </w:rPr>
        <w:t>POSSIBLE 2023:</w:t>
      </w:r>
      <w:r>
        <w:t xml:space="preserve"> Bedrock geological map predictions for Phanerozoic fossil occurrences — https://doi.org/10.1017/pab.2022.46</w:t>
      </w:r>
    </w:p>
    <w:p>
      <w:pPr/>
      <w:r>
        <w:rPr>
          <w:b/>
        </w:rPr>
        <w:t>Shared claim-specific concepts:</w:t>
      </w:r>
      <w:r>
        <w:t xml:space="preserve"> fossil, need, expected; EU scope visible. This is a provisional connection, not an outcome finding.</w:t>
      </w:r>
    </w:p>
    <w:p>
      <w:pPr>
        <w:pStyle w:val="SourceNote"/>
      </w:pPr>
      <w:r>
        <w:rPr>
          <w:b/>
        </w:rPr>
        <w:t>Available abstract (not full text):</w:t>
      </w:r>
      <w:r>
        <w:t xml:space="preserve"> Abstract Geographically explicit, taxonomically resolved fossil occurrences are necessary for reconstructing macroevolutionary patterns and for testing a wide range of hypotheses in the Earth and life sciences. Heterogeneity in the spatial and temporal distribution of fossil occurrences in the Paleobiology Database (PBDB) is attributable to several different factors, including turnover among biological communities, socioeconomic disparities in the intensity of paleontological research, and geological controls on the distribution and fossil yield of sedimentary deposits. Here we use the intersection of global geological map data from Macrostrat and fossil collections in the PBDB to assess the extent to which the potentially fossil-bearing, surface-expressed sedimentary record has yielded fossil occurrences. We find a significant and moderately strong positive correlation between geological map area and the number of fossil occurrences. This correlation is consistent regardless of map unit age and binning protocol, except at period level; the Neogene and Quaternary have non-marine map units covering large areas and yielding fewer occurrences than expected. The sedimentary record of North America and Europe yields significantly more fossil occurrences per sedimentary area than similarly aged deposits in most of the rest of the world. However, geographic differences in area and age</w:t>
      </w:r>
    </w:p>
    <w:p>
      <w:pPr/>
      <w:r>
        <w:rPr>
          <w:b/>
        </w:rPr>
        <w:t>POSSIBLE 2023:</w:t>
      </w:r>
      <w:r>
        <w:t xml:space="preserve"> Assessing the energy trap of industrial agriculture in North America and Europe: 82 balances from 1830 to 2012 — https://doi.org/10.1007/s13593-023-00925-5</w:t>
      </w:r>
    </w:p>
    <w:p>
      <w:pPr/>
      <w:r>
        <w:rPr>
          <w:b/>
        </w:rPr>
        <w:t>Shared claim-specific concepts:</w:t>
      </w:r>
      <w:r>
        <w:t xml:space="preserve"> driven, growing, industrial, production, conclude; EU scope visible. This is a provisional connection, not an outcome finding.</w:t>
      </w:r>
    </w:p>
    <w:p>
      <w:pPr>
        <w:pStyle w:val="SourceNote"/>
      </w:pPr>
      <w:r>
        <w:rPr>
          <w:b/>
        </w:rPr>
        <w:t>Available abstract (not full text):</w:t>
      </w:r>
      <w:r>
        <w:t xml:space="preserve"> Early energy analyses of agriculture revealed that behind higher labor and land productivity of industrial farming, there was a decrease in energy returns on energy (EROI) invested, in comparison to more traditional organic agricultural systems. Studies on recent trends show that efficiency gains in production and use of inputs have again somewhat improved energy returns. However, most of these agricultural energy studies have focused only on external inputs at the crop level, concealing the important role of internal biomass flows that livestock and forestry recirculate within agroecosystems. Here, we synthesize the results of 82 farm systems in North America and Europe from 1830 to 2012 that for the first time show the changing energy profiles of agroecosystems, including livestock and forestry, with a multi-EROI approach that accounts for the energy returns on external inputs, on internal biomass reuses, and on all inputs invested. With this historical circular bioeconomic approach, we found a general trend towards much lower external returns, little or no increases in internal returns, and almost no improvement in total returns. This "energy trap" was driven by shifts towards a growing dependence of crop production on fossil-fueled external inputs, much more intensive livestock production based on feed grains, less forestry, and a structural disintegration of agroecosystem </w:t>
      </w:r>
    </w:p>
    <w:p>
      <w:pPr/>
      <w:r>
        <w:rPr>
          <w:b/>
        </w:rPr>
        <w:t>POSSIBLE 2023:</w:t>
      </w:r>
      <w:r>
        <w:t xml:space="preserve"> Potential impacts of rapidly changing european use of fossil fuels on global warming — https://doi.org/10.1088/2515-7620/acf3d7</w:t>
      </w:r>
    </w:p>
    <w:p>
      <w:pPr/>
      <w:r>
        <w:rPr>
          <w:b/>
        </w:rPr>
        <w:t>Shared claim-specific concepts:</w:t>
      </w:r>
      <w:r>
        <w:t xml:space="preserve"> fossil, pathways, potential; EU scope visible. This is a provisional connection, not an outcome finding.</w:t>
      </w:r>
    </w:p>
    <w:p>
      <w:pPr>
        <w:pStyle w:val="SourceNote"/>
      </w:pPr>
      <w:r>
        <w:rPr>
          <w:b/>
        </w:rPr>
        <w:t>Available abstract (not full text):</w:t>
      </w:r>
      <w:r>
        <w:t xml:space="preserve"> Abstract The balance of primary energy sources for Europe has been changing rapidly over recent decades, shifting towards more renewables and using fossil fuels with lower carbon emissions. However, the latter is being impacted by the Russia-Ukraine conflict. Here, we determine the potential bounds of how this may affect global warming, based on whether the European use of Russian gas and oil is replaced with either less efficient burning of coal (with and without the gas and oil then used in new markets elsewhere) or with renewables. We perform calculations as perturbations from a baseline carbon dioxide (CO2) trajectory associated with ‘middle range’ and ‘low’ Shared Socioeconomic Pathways (SSP), SSP2-45 and SSP1-26. We calculate the CO2 perturbations as a simulated step change in emissions for the year 2023, which then decays linearly to zero by 2043. The emission profiles drive the FaIR simple climate model. FaIR links greenhouse gas emissions to global warming levels and includes a representation of warming uncertainty based on projections made using more complex Earth system models. We find that the direct impact of the conflict on the global mean temperature is likely to be relatively small, amounting to the worst case of nearly one-hundredth of a degree. This warming is equivalent to approximately an extra half year of current global CO2 emissions. However, we suggest t</w:t>
      </w:r>
    </w:p>
    <w:p>
      <w:pPr/>
      <w:r>
        <w:rPr>
          <w:b/>
        </w:rPr>
        <w:t>POSSIBLE 2023:</w:t>
      </w:r>
      <w:r>
        <w:t xml:space="preserve"> Uncertainty-aware data-driven predictive control in a stochastic setting — https://doi.org/10.1016/j.ifacol.2023.10.878</w:t>
      </w:r>
    </w:p>
    <w:p>
      <w:pPr/>
      <w:r>
        <w:rPr>
          <w:b/>
        </w:rPr>
        <w:t>Shared claim-specific concepts:</w:t>
      </w:r>
      <w:r>
        <w:t xml:space="preserve"> finite, need, potential; EU scope not established. This is a provisional connection, not an outcome finding.</w:t>
      </w:r>
    </w:p>
    <w:p>
      <w:pPr>
        <w:pStyle w:val="SourceNote"/>
      </w:pPr>
      <w:r>
        <w:rPr>
          <w:b/>
        </w:rPr>
        <w:t>Available abstract (not full text):</w:t>
      </w:r>
      <w:r>
        <w:t xml:space="preserve"> Data-Driven Predictive Control (DDPC) has been recently proposed as an effective alternative to traditional Model Predictive Control (MPC), in that the same constrained optimization problem can be addressed without the need to explicitly identify a full model of the plant. However, DDPC is built upon input/output trajectories. Therefore, the finite sample effect of stochastic data, due to, e.g., measurement noise, may have a detrimental impact on closed-loop performance. Exploiting a formal statistical analysis of the prediction error, in this paper we propose the first systematic approach to deal with uncertainty due to finite sample effects. To this end, we introduce two regularization strategies for which, differently from existing regularization-based DDPC techniques, we propose a tuning rationale allowing us to select the regularization hyper-parameters before closing the loop and without additional experiments. Simulation results confirm the potential of the proposed strategy when closing the loop.</w:t>
      </w:r>
    </w:p>
    <w:p>
      <w:pPr/>
      <w:r>
        <w:rPr>
          <w:b/>
        </w:rPr>
        <w:t>POSSIBLE 2021:</w:t>
      </w:r>
      <w:r>
        <w:t xml:space="preserve"> Growing environmental footprint of plastics driven by coal combustion — https://doi.org/10.1038/s41893-021-00807-2</w:t>
      </w:r>
    </w:p>
    <w:p>
      <w:pPr/>
      <w:r>
        <w:rPr>
          <w:b/>
        </w:rPr>
        <w:t>Shared claim-specific concepts:</w:t>
      </w:r>
      <w:r>
        <w:t xml:space="preserve"> driven, growing, sustainable, production; EU scope visible. This is a provisional connection, not an outcome finding.</w:t>
      </w:r>
    </w:p>
    <w:p>
      <w:pPr>
        <w:pStyle w:val="SourceNote"/>
      </w:pPr>
      <w:r>
        <w:rPr>
          <w:b/>
        </w:rPr>
        <w:t>Available abstract (not full text):</w:t>
      </w:r>
      <w:r>
        <w:t xml:space="preserve"> Abstract Research on the environmental impacts from the global value chain of plastics has typically focused on the disposal phase, considered most harmful to the environment and human health. However, the production of plastics is also responsible for substantial environmental, health and socioeconomic impacts. We show that the carbon and particulate-matter-related health footprint of plastics has doubled since 1995, due mainly to growth in plastics production in coal-based economies. Coal-based emissions have quadrupled since 1995, causing almost half of the plastics-related carbon and particulate-matter-related health footprint in 2015. Plastics-related carbon footprints of China’s transportation, Indonesia’s electronics industry and India’s construction sector have increased more than 50-fold since 1995. In 2015, plastics caused 4.5% of global greenhouse gas emissions. Moreover, 6% of global coal electricity is used for plastics production. The European Union and the United States have increasingly consumed plastics produced in coal-based economies. In 2015, 85% of the workforce required for plastics consumed by the European Union and the United States was employed abroad, but 80% of the related value added was generated domestically. As high-income regions have outsourced the energy-intensive steps of plastics production to coal-based economies, renewable energy investment</w:t>
      </w:r>
    </w:p>
    <w:p>
      <w:pPr>
        <w:pStyle w:val="Heading2"/>
      </w:pPr>
      <w:r>
        <w:t>843. Prediction of population with Alzheimer's disease in the European Union using a system dynamics model</w:t>
      </w:r>
    </w:p>
    <w:p>
      <w:pPr>
        <w:pStyle w:val="SourceNote"/>
      </w:pPr>
      <w:r>
        <w:rPr>
          <w:b/>
        </w:rPr>
        <w:t>Original source (2016):</w:t>
      </w:r>
      <w:r>
        <w:t xml:space="preserve"> https://doi.org/10.2147/ndt.s107969</w:t>
      </w:r>
    </w:p>
    <w:p>
      <w:pPr/>
      <w:r>
        <w:t>Original wording (abstract; indexed_source_text_not_full_document_verified): In this research, population growth of the European Union (EU) until the year 2080 and the number of patients with AD are modeled.</w:t>
      </w:r>
    </w:p>
    <w:p>
      <w:pPr/>
      <w:r>
        <w:rPr>
          <w:b/>
        </w:rPr>
        <w:t>POSSIBLE 2026:</w:t>
      </w:r>
      <w:r>
        <w:t xml:space="preserve"> Assessment of the impact of population ageing on economic growth in European Union countries — https://openalex.org/W7161216025</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Visuomenės senėjimas yra vienas svarbiausių šiuolaikinių demografinių procesų, darantis reikšmingą įtaką ekonominiam augimui Europos Sąjungos (ES) šalyse. Tyrimo problema – kokį poveikį visuomenės senėjimas daro ekonominiam augimui ES šalyse? Darbo objektas – visuomenės senėjimo poveikis ekonominiam augimui ES šalyse. Darbo tikslas – įvertinti visuomenės senėjimo poveikį ekonominiam augimui ES šalyse, remiantis 2015-2024 m. laikotarpio duomenimis. Tyrimo metodai – mokslinės literatūros analizė, aprašomoji statistinė analizė, koreliacinė analizė ir panelinių duomenų regresijos metodas. Tyrime analizuojamas visuomenės senėjimo poveikis ekonominiam augimui ES šalyse, taikant panelinių duomenų regresijos modelį. Pagrindinis aiškinamasis kintamasis – senatvės priklausomybės koeficientas. Į modelį taip pat įtraukti kontroliniai kintamieji: investicijos (bendrojo pagrindinio kapitalo formavimas, proc. nuo BVP), nedarbo lygis, infliacija, švietimo lygis, eksportas, importas, institucinės aplinkos kokybė bei ekonominio išsivystymo lygį atspindintis logaritmuotas BVP vienam gyventojui rodiklis. Išvados – visuomenės senėjimas daro teigiamą ir statistiškai reikšmingą poveikį ekonominiam augimui ES šalyse. Taip pat nustatyta, kad investicijos ir eksportas daro teigiamą poveikį ekonominiam augimui, o nedarbo lygis ir importas – neigiamą. Švietimo ir institucinės aplinkos kokybės poveikis sta</w:t>
      </w:r>
    </w:p>
    <w:p>
      <w:pPr/>
      <w:r>
        <w:rPr>
          <w:b/>
        </w:rPr>
        <w:t>POSSIBLE 2026:</w:t>
      </w:r>
      <w:r>
        <w:t xml:space="preserve"> CO2 Emissions Scenarios in the European Union—The Urgency of Carbon Capture and Controlled Economic Growth — https://doi.org/10.3390/su18021043</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Although greenhouse gas emissions have significantly reduced, the European Union still faces a major challenge in meeting its 2050 net-zero goal set under the European Green Deal. Focusing on the impacts of population, economic output, and carbon intensity of economy, this study employs Index Decomposition Analysis to estimate the reductions in carbon intensity needed to reach this target. The findings show that the extent of the technical effort required for decarbonization is much influenced by economic expansion. Under a 3% annual Gross Domestic Product growth scenario, the EU’s carbon intensity of economy must decline by 11.8% per year, which is a particularly demanding rate given the already low baseline. The decomposition also quantifies the technological challenge: under high growth, up to 5867 MtCO2 in reductions would be needed by 2050 (compared with 1990), with Carbon Capture and Storage (CCS) contributing only 10–15%. In contrast, in zero- or negative-growth scenarios, required reductions fall to 4923–4594 MtCO2, with CCS accounting for up to 50–90%. These results show that decarbonization in EU industrial sectors requires systemic transformations and strategic CCS deployment. A balanced approach, limiting economic growth and increasing innovation, appears essential to achieve the climate neutrality target.</w:t>
      </w:r>
    </w:p>
    <w:p>
      <w:pPr/>
      <w:r>
        <w:rPr>
          <w:b/>
        </w:rPr>
        <w:t>POSSIBLE 2025:</w:t>
      </w:r>
      <w:r>
        <w:t xml:space="preserve"> Effect of Population Aging on Economic Growth in countries of the European Union — https://openalex.org/W7135768500</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CHARLES UNIVERSITY FACULTY OF SOCIAL SCIENCES Institute of Economic Studies Abstract - English 2025 Maximilián Demko CHARLES UNIVERSITY FACULTY OF SOCIAL SCIENCES Institute of Economic Studies Effect of Population Aging on Economic Growth in countries of the European Union Bachelor's Thesis Author of the Thesis: Maximilián Demko Study programme: Economics and Finance Supervisor: Mgr. Barbara Pertold-Gebicka, M.A., Ph.D. Year of the defence: 2025 8 Abstract The thesis examines the impact of aging on economic growth in countries of the European Union, by examining the relationship between the changes in the old-age dependency ratio, defined as the proportion of individuals aged 65 and over to those aged 20 to 64, and economic growth in all current 27 countries of the European Union in the period from 1980 to 2020. By utilising econometric methods, this thesis presents conclusive evidence, that an increase in this ratio has a negative impact on economic growth in the countries of the Union. According to the main estimate, a one percentage point increase in the old-age dependency ratio is associated with a 0,95% decrease in GDP per capita growth over a 5-year period. Subsample analysis revealed that effect of changes in old-age dependency is more pronounced in the core member countries of the European union,...</w:t>
      </w:r>
    </w:p>
    <w:p>
      <w:pPr/>
      <w:r>
        <w:rPr>
          <w:b/>
        </w:rPr>
        <w:t>POSSIBLE 2025:</w:t>
      </w:r>
      <w:r>
        <w:t xml:space="preserve"> Europeans support large carnivore recovery while opposing both further population growth and hunting — https://doi.org/10.1038/s41559-025-02914-1</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After centuries of persecution in Europe, large carnivores are now recovering. Whether this conservation success continues depends in part on public support. Here we show, using a survey of 10,000 respondents across European Union Member States, that while support for the recovery of wolves, bears and lynx remains strong, most respondents oppose both further population growth and hunting-particularly of wolves. Attitudes are remarkably consistent across rural and urban populations, and many respondents express no strong position, suggesting that large carnivores are less polarizing than often portrayed. The recent amendment to the Habitats Directive, which grants Member States greater flexibility to manage their wolf populations, appears broadly aligned with public opinion, as long as its implementation does not lead to population declines. However, the presence of views in tension-rejecting both population growth and hunting- may pose challenges for designing policies that are both science based and supported by the public.</w:t>
      </w:r>
    </w:p>
    <w:p>
      <w:pPr/>
      <w:r>
        <w:rPr>
          <w:b/>
        </w:rPr>
        <w:t>POSSIBLE 2025:</w:t>
      </w:r>
      <w:r>
        <w:t xml:space="preserve"> Economic recovery and resilience in post-pandemic Europe: evidence from eleven European Union economies — https://doi.org/10.1007/s11135-025-02194-8</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Abstract This study examines the economic recovery and resilience of eleven European Union member states after the COVID-19 pandemic, using annual data from 1990 to 2022. It applies a multi-method approach, combining the Pooled Mean Group (PMG) estimator, Nonlinear Autoregressive Distributed Lag (NARDL) model, and Common Correlated Effects Estimator to analyze long- and short-run relationships. The findings show that, in the long run, inflation and mobile cellular subscriptions slow growth, while greenhouse gas emissions have a positive effect. Youth unemployment, labor force participation, trade openness, population growth, and foreign direct investment (FDI) do not show significant effects. In the short run, inflation and mobile subscriptions remain negative, while emissions continue to support growth. PMG results confirm that labor force participation, inflation, and mobile subscriptions reduce long-term growth, whereas population growth, trade openness, and emissions contribute positively. The NARDL model finds uneven effects of FDI, inflation, population growth, and trade openness, with short-run imbalances in inflation and trade openness. Causality analysis shows two-way links between inflation, trade openness, youth unemployment, and GDP growth, while one-way effects are observed for greenhouse gas emissions, population growth, and mobile subscriptions. These results hel</w:t>
      </w:r>
    </w:p>
    <w:p>
      <w:pPr/>
      <w:r>
        <w:rPr>
          <w:b/>
        </w:rPr>
        <w:t>POSSIBLE 2024:</w:t>
      </w:r>
      <w:r>
        <w:t xml:space="preserve"> TRANSPORT INFRASTRUCTURE DEVELOPMENT AND ECONOMIC GROWTH IN THE EUROPEAN UNION — https://doi.org/10.47535/1991auoes33(1)007</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Transport infrastructure has a strategic importance in the social and economic development of countries. From Antiquity to the present day, transport infrastructure has aimed to facilitate freedom of movement, and access to goods, services, and information. Investments in the development of transport infrastructure led to economic growth, the development of trade, the increase of national and regional competitiveness, as well as the increase of the well-being of the population. The purpose of this article is to analyze the contribution that transport infrastructure manifests to the economic growth of European Union countries. Through this article we aim to explore the correlation between public expenditures on transport infrastructure and economic growth, using the data available in the Eurostat database. The obtained results confirm the hypothesis that, indeed, public spending on transport infrastructure contributes significantly to the economic growth of EU states. The main conclusion of the study carried out in this article supports the need for investments in the modernization and maintenance of the transport infrastructure to enhance sustainable economic growth and the well-being of the population.</w:t>
      </w:r>
    </w:p>
    <w:p>
      <w:pPr/>
      <w:r>
        <w:rPr>
          <w:b/>
        </w:rPr>
        <w:t>POSSIBLE 2024:</w:t>
      </w:r>
      <w:r>
        <w:t xml:space="preserve"> Government Expenditure, Education, and Productivity in the European Union: Effects on Economic Growth — https://doi.org/10.1515/econ-2022-0081</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Abstract In this article, we will analyse the effects of public spending on education on productivity, wages, and growth at European Union level. We are trying to find out to what extent education expenditures and human capital contribute to improving productivity, achieving higher wages, and enhancing the standard of living of the population, as measured by per capita growth. Our results do not show a clear and direct relationship between public expenditure on education and productivity, but an indirect relationship through the acquisition of a higher level of human capital and technological skills, which leads to output increases.</w:t>
      </w:r>
    </w:p>
    <w:p>
      <w:pPr/>
      <w:r>
        <w:rPr>
          <w:b/>
        </w:rPr>
        <w:t>POSSIBLE 2023:</w:t>
      </w:r>
      <w:r>
        <w:t xml:space="preserve"> Zero population growth rate and eldercare hours: Are both optimal for some European Union countries?# — https://doi.org/10.1111/1468-0106.12418</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Abstract As zero population growth rates have existed for approximately 30 years in many European Union countries, one wonders whether this is optimal in these countries, considering differences in consumer preferences and wages. In this paper, we construct a framework to examine this issue, in particular incorporating both eldercare and immigration. Our theoretical and empirical analyses show that zero population growth rates are optimal, population growth rates and eldercare hours are determined separately, and eldercare hours may be optimal because of added support with public long‐term care spending of each country.</w:t>
      </w:r>
    </w:p>
    <w:p>
      <w:pPr/>
      <w:r>
        <w:rPr>
          <w:b/>
        </w:rPr>
        <w:t>POSSIBLE 2023:</w:t>
      </w:r>
      <w:r>
        <w:t xml:space="preserve"> Solving the stochastic dynamics of population growth — https://doi.org/10.1002/ece3.10295</w:t>
      </w:r>
    </w:p>
    <w:p>
      <w:pPr/>
      <w:r>
        <w:rPr>
          <w:b/>
        </w:rPr>
        <w:t>Shared claim-specific concepts:</w:t>
      </w:r>
      <w:r>
        <w:t xml:space="preserve"> population, number; EU scope not established. This is a provisional connection, not an outcome finding.</w:t>
      </w:r>
    </w:p>
    <w:p>
      <w:pPr>
        <w:pStyle w:val="SourceNote"/>
      </w:pPr>
      <w:r>
        <w:rPr>
          <w:b/>
        </w:rPr>
        <w:t>Available abstract (not full text):</w:t>
      </w:r>
      <w:r>
        <w:t xml:space="preserve"> Population growth is a fundamental process in ecology and evolution. The population size dynamics during growth are often described by deterministic equations derived from kinetic models. Here, we simulate several population growth models and compare the size averaged over many stochastic realizations with the deterministic predictions. We show that these deterministic equations are generically bad predictors of the average stochastic population dynamics. Specifically, deterministic predictions overestimate the simulated population sizes, especially those of populations starting with a small number of individuals. Describing population growth as a stochastic birth process, we prove that the discrepancy between deterministic predictions and simulated data is due to unclosed-moment dynamics. In other words, the deterministic approach does not consider the variability of birth times, which is particularly important with small population sizes. We show that some moment-closure approximations describe the growth dynamics better than the deterministic prediction. However, they do not reduce the error satisfactorily and only apply to some population growth models. We explicitly solve the stochastic growth dynamics, and our solution applies to any population growth model. We show that our solution exactly quantifies the dynamics of a community composed of different strains and correctl</w:t>
      </w:r>
    </w:p>
    <w:p>
      <w:pPr/>
      <w:r>
        <w:rPr>
          <w:b/>
        </w:rPr>
        <w:t>POSSIBLE 2023:</w:t>
      </w:r>
      <w:r>
        <w:t xml:space="preserve"> Environmental taxation as a boost mechanism for European Union green growth: The Greek response — https://doi.org/10.22495/rgcv13i1p1</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Before the early negative effects of human activity on the environment and nature became apparent, there was no particular concern. The consequences of exponential population growth over the years brought a negative impact, increasing the risk and concern for the future. In recent decades, there has been an admittedly large, joint, and ambitious effort at the international and European levels to promote and implement the values and rules of green development and growth. Green growth is crucial regarding the policy implemented by the European Union (EU). Therefore, it calls on all its member states to participate in this effort concerning the environment and natural resources, having as its main tool environmental taxation. This paper primarily aims in proving that environmental taxation facilitates, through the proper implementation of European Union rules, the achievement of green growth. The research methodology followed, was the study of the environmental indexes of the European Union countries from 2002 to 2020, including Greece. They were analyzed and compared to the European Union average indexes (Eurostat, 2020). The study results highlighted that environmental taxation is crucial in enhancing green growth by increasing the revenues of state funds and reducing environmental problems at European and international levels.</w:t>
      </w:r>
    </w:p>
    <w:p>
      <w:pPr/>
      <w:r>
        <w:rPr>
          <w:b/>
        </w:rPr>
        <w:t>POSSIBLE 2022:</w:t>
      </w:r>
      <w:r>
        <w:t xml:space="preserve"> Effects of Immigrants, Health, and Ageing on Economic Growth in the European Union — https://doi.org/10.3390/ijerph20010224</w:t>
      </w:r>
    </w:p>
    <w:p>
      <w:pPr/>
      <w:r>
        <w:rPr>
          <w:b/>
        </w:rPr>
        <w:t>Shared claim-specific concepts:</w:t>
      </w:r>
      <w:r>
        <w:t xml:space="preserve"> population, union, number, modeled; EU scope visible. This is a provisional connection, not an outcome finding.</w:t>
      </w:r>
    </w:p>
    <w:p>
      <w:pPr>
        <w:pStyle w:val="SourceNote"/>
      </w:pPr>
      <w:r>
        <w:rPr>
          <w:b/>
        </w:rPr>
        <w:t>Available abstract (not full text):</w:t>
      </w:r>
      <w:r>
        <w:t xml:space="preserve"> Population ageing and low birth rates are two problems of the EU that have an impact on employment, production, and economic growth. Against this background, immigration, health expenditure, and the health of migrants must become a key element of European policy. For this reason, this paper focused on identifying the effect of immigration, health, and ageing on economic growth in order to highlight their importance from an economic perspective. We constructed different econometric models with Eurostat data for 27 countries and 13 years (2008-2020), whose dependent variable was gross domestic product. Independent variables were the number of immigrants by gender and age, health expenditure per capita (total and by function), immigrants' perception of their health as very good, and the proportion of the population aged 65 years and over. The model selected to analyze the results was Prais-Winsten regression heteroskedastic panels corrected standard errors modeled by applying the option (ar1) to correct for autocorrelation, using Stata software (version 16). The results show that health expenditure has a significant positive effect on economic growth, higher in hospital services, followed by medical products; immigrants' perception as very good is only significant in some models. The number of immigrants has a (positive) effect, although less significant than public expenditure on</w:t>
      </w:r>
    </w:p>
    <w:p>
      <w:pPr/>
      <w:r>
        <w:rPr>
          <w:b/>
        </w:rPr>
        <w:t>POSSIBLE 2022:</w:t>
      </w:r>
      <w:r>
        <w:t xml:space="preserve"> Projected number of osteoarthritis patients in Austria for the next decades – quantifying the necessity of treatment and prevention strategies in Europe — https://doi.org/10.1186/s12891-022-05091-5</w:t>
      </w:r>
    </w:p>
    <w:p>
      <w:pPr/>
      <w:r>
        <w:rPr>
          <w:b/>
        </w:rPr>
        <w:t>Shared claim-specific concepts:</w:t>
      </w:r>
      <w:r>
        <w:t xml:space="preserve"> population, number, patients; EU scope visible. This is a provisional connection, not an outcome finding.</w:t>
      </w:r>
    </w:p>
    <w:p>
      <w:pPr>
        <w:pStyle w:val="SourceNote"/>
      </w:pPr>
      <w:r>
        <w:rPr>
          <w:b/>
        </w:rPr>
        <w:t>Available abstract (not full text):</w:t>
      </w:r>
      <w:r>
        <w:t xml:space="preserve"> BACKGROUND: The present study aimed to predict the expected number of patients with osteoarthritis (OA) in Austria up to the year 2080. METHODS: Demographic data and population projections between 2019 and 2080 were obtained from European authorities. Information about recent age- and sex-stratified prevalence of patients with self-reported physician-diagnosed OA was obtained from the Austrian Health Interview Survey (n = 15,771). Projections were stratified by age and sex; sensitivity analyses were performed based on aging, main (most likely), and growth scenarios of the population. RESULTS: Based on the projection, the overall increase in the total number of patients with OA from 2019 to 2080 will be 38% for men and women. In 2019, the highest number of OA-patients nested in the groups of persons aged 70-79 (n = 238,749) and 60-69 (n = 237,729) years. In 2080, the 80+ age group is predicted to have the highest number of OA with 421,548 individuals (i.e. factor 3.45 and factor 2.48 increase in the male and female group, respectively, compared to 2019), followed by the group aged 70-79 with 314,617 individuals (factor 1.45 and factor 1.28 increase in the male and female group, respectively, compared to 2019). Similar trends were found in the ageing and growing scenarios. CONCLUSIONS: The projected increase in the occurrence of OA will likely lead to a substantial socioeconomic </w:t>
      </w:r>
    </w:p>
    <w:p>
      <w:pPr>
        <w:pStyle w:val="Heading2"/>
      </w:pPr>
      <w:r>
        <w:t>844. Problem of “Dinosauring” of European Union and Mapping of Its Future</w:t>
      </w:r>
    </w:p>
    <w:p>
      <w:pPr>
        <w:pStyle w:val="SourceNote"/>
      </w:pPr>
      <w:r>
        <w:rPr>
          <w:b/>
        </w:rPr>
        <w:t>Original source (2016):</w:t>
      </w:r>
      <w:r>
        <w:t xml:space="preserve"> https://doi.org/10.11114/smc.v4i1.1617</w:t>
      </w:r>
    </w:p>
    <w:p>
      <w:pPr/>
      <w:r>
        <w:t>Original wording (abstract; indexed_source_text_not_full_document_verified): The popular European vision of its future can be called The Davos World - simple scenario based of the economic benefits, predicting that the driving force for ruling the world will be the endless economic interest.</w:t>
      </w:r>
    </w:p>
    <w:p>
      <w:pPr/>
      <w:r>
        <w:rPr>
          <w:b/>
        </w:rPr>
        <w:t>POSSIBLE 2026:</w:t>
      </w:r>
      <w:r>
        <w:t xml:space="preserve"> Filbert’s Vision | La visión de Filiberto — https://doi.org/10.25740/rn519df7423</w:t>
      </w:r>
    </w:p>
    <w:p>
      <w:pPr/>
      <w:r>
        <w:rPr>
          <w:b/>
        </w:rPr>
        <w:t>Shared claim-specific concepts:</w:t>
      </w:r>
      <w:r>
        <w:t xml:space="preserve"> popular, vision, called; EU scope visible. This is a provisional connection, not an outcome finding.</w:t>
      </w:r>
    </w:p>
    <w:p>
      <w:pPr>
        <w:pStyle w:val="SourceNote"/>
      </w:pPr>
      <w:r>
        <w:rPr>
          <w:b/>
        </w:rPr>
        <w:t>Available abstract (not full text):</w:t>
      </w:r>
      <w:r>
        <w:t xml:space="preserve"> The Visión de Filiberto, “Filbert’s Vision,” is a fictional debate witnessed by a holy man called Filbert between the body and the soul of a recently deceased person. The body-soul debate was an extremely popular genre across Europe from the twelth to the fifteenth century CE, and reflects medieval Christian concerns with the different parts of human nature, and with the impact that actions committed during life might have after death. In this text, the body and the soul discuss their own natures and debate the blame that each of them should receive for the sins that the person they belonged to committed during his lifetime. Shocked by the debate that he has witnessed, Filbert devotes himself to religion with renewed zeal. This text is a reworking in Old Castilian (an earlier form of Spanish) of a thirteenth-century Latin text, the Visio Philiberti, of which more than 130 copies survive – an extremely high number by medieval standards. The popularity of this text was such that almost every major European language has at least one surviving manuscript version. The Middle English reworking, entitled “þe Desputisioun bitween þe Bodi and þe Soule,” has seven!</w:t>
      </w:r>
    </w:p>
    <w:p>
      <w:pPr/>
      <w:r>
        <w:rPr>
          <w:b/>
        </w:rPr>
        <w:t>POSSIBLE 2023:</w:t>
      </w:r>
      <w:r>
        <w:t xml:space="preserve"> The European Rural Development Vision in Romanian Context — https://doi.org/10.15835/buasvmcn-hort:2022.0034</w:t>
      </w:r>
    </w:p>
    <w:p>
      <w:pPr/>
      <w:r>
        <w:rPr>
          <w:b/>
        </w:rPr>
        <w:t>Shared claim-specific concepts:</w:t>
      </w:r>
      <w:r>
        <w:t xml:space="preserve"> vision, based; EU scope visible. This is a provisional connection, not an outcome finding.</w:t>
      </w:r>
    </w:p>
    <w:p>
      <w:pPr>
        <w:pStyle w:val="SourceNote"/>
      </w:pPr>
      <w:r>
        <w:rPr>
          <w:b/>
        </w:rPr>
        <w:t>Available abstract (not full text):</w:t>
      </w:r>
      <w:r>
        <w:t xml:space="preserve"> Rural areas need our implication more than ever, in Romania, we identify a large percentage of people leaving behind their homes. Without a strategy to support and create opportunities, we will lose the heartbeat of our economy and an important part of our identity. This paper aims to study ways to develop self-sustained communities and achieve economic potential by investing in our rural areas’ future through good policies. Based on debate between 25 participants from various professional backgrounds for 5 days, the focus group investigated the study cases of their nations to better grasp the future steps. The focus group is a dynamic mix of youth from European countries such as Greece, Ireland, Croatia, Ireland, and Romania with different educational backgrounds who took the opportunity to study the High value and rural areas in their countries. They identify the needs of different village stockholders and bring all the knowledge together. A great lack of trust in collaboration between farmers and the need for more practical policies was found, in addition to the need for education and a better understanding of how they can round their income. The objectives of this vision will be accomplished with the aid of a Rural Pact and an EU Rural Action Plan with concrete flagship projects and innovative tools.</w:t>
      </w:r>
    </w:p>
    <w:p>
      <w:pPr/>
      <w:r>
        <w:rPr>
          <w:b/>
        </w:rPr>
        <w:t>POSSIBLE 2023:</w:t>
      </w:r>
      <w:r>
        <w:t xml:space="preserve"> Fool Your (Vision and) Language Model With Embarrassingly Simple Permutations — https://doi.org/10.48550/arxiv.2310.01651</w:t>
      </w:r>
    </w:p>
    <w:p>
      <w:pPr/>
      <w:r>
        <w:rPr>
          <w:b/>
        </w:rPr>
        <w:t>Shared claim-specific concepts:</w:t>
      </w:r>
      <w:r>
        <w:t xml:space="preserve"> popular, vision, simple; EU scope not established. This is a provisional connection, not an outcome finding.</w:t>
      </w:r>
    </w:p>
    <w:p>
      <w:pPr>
        <w:pStyle w:val="SourceNote"/>
      </w:pPr>
      <w:r>
        <w:rPr>
          <w:b/>
        </w:rPr>
        <w:t>Available abstract (not full text):</w:t>
      </w:r>
      <w:r>
        <w:t xml:space="preserve"> Large language and vision-language models are rapidly being deployed in practice thanks to their impressive capabilities in instruction following, in-context learning, and so on. This raises an urgent need to carefully analyse their robustness so that stakeholders can understand if and when such models are trustworthy enough to be relied upon in any given application. In this paper, we highlight a specific vulnerability in popular models, namely permutation sensitivity in multiple-choice question answering (MCQA). Specifically, we show empirically that popular models are vulnerable to adversarial permutation in answer sets for multiple-choice prompting, which is surprising as models should ideally be as invariant to prompt permutation as humans are. These vulnerabilities persist across various model sizes, and exist in very recent language and vision-language models. Code is available at https://github.com/ys-zong/FoolyourVLLMs.</w:t>
      </w:r>
    </w:p>
    <w:p>
      <w:pPr/>
      <w:r>
        <w:rPr>
          <w:b/>
        </w:rPr>
        <w:t>POSSIBLE 2020:</w:t>
      </w:r>
      <w:r>
        <w:t xml:space="preserve"> European Strategic Autonomy - chances and challenges for Europe — https://openalex.org/W3129001693</w:t>
      </w:r>
    </w:p>
    <w:p>
      <w:pPr/>
      <w:r>
        <w:rPr>
          <w:b/>
        </w:rPr>
        <w:t>Shared claim-specific concepts:</w:t>
      </w:r>
      <w:r>
        <w:t xml:space="preserve"> popular, vision, based; EU scope visible. This is a provisional connection, not an outcome finding.</w:t>
      </w:r>
    </w:p>
    <w:p>
      <w:pPr>
        <w:pStyle w:val="SourceNote"/>
      </w:pPr>
      <w:r>
        <w:rPr>
          <w:b/>
        </w:rPr>
        <w:t>Available abstract (not full text):</w:t>
      </w:r>
      <w:r>
        <w:t xml:space="preserve"> The thesis explores the use of the term European Strategic Autonomy in the Common Security and Defence Policy (CFSP) of the European Union. The security environment around Europe has become increasingly unstable in the last 15 years. The EU Commission has tried to take account of the deteriorating geopolitical landscape by publishing an EU Global Strategy document in 2016 to share its vision for a stronger Europe. The document calls for strategic autonomy without properly defining it. Since then, many policy papers have captured the term and used it as a popular buzzword. Because it has not been properly defined on the political level, European Strategy Autonomy (ESA) was subject to speculations and national interpretations which did not help to advance the debate. Based on an extensive literature review the paper provides a comprehensive understanding by giving an historic overview and presenting different configurations of ESA in the contemporary context. A comparative case study, including France, Germany, and the Czech Republic has been conducted to assess their interpretation of the notion. The result of the case studies showed inherently different perceptions underlaid by different motivations and identifies the political layer to be the biggest challenge for moving forward with the topic....</w:t>
      </w:r>
    </w:p>
    <w:p>
      <w:pPr/>
      <w:r>
        <w:rPr>
          <w:b/>
        </w:rPr>
        <w:t>POSSIBLE 2019:</w:t>
      </w:r>
      <w:r>
        <w:t xml:space="preserve"> Conan Fischer. A Vision of Europe: Franco-German Relations during the Great Depression, 1929–1932. — https://doi.org/10.1093/ahr/rhz1012</w:t>
      </w:r>
    </w:p>
    <w:p>
      <w:pPr/>
      <w:r>
        <w:rPr>
          <w:b/>
        </w:rPr>
        <w:t>Shared claim-specific concepts:</w:t>
      </w:r>
      <w:r>
        <w:t xml:space="preserve"> popular, vision, world; EU scope visible. This is a provisional connection, not an outcome finding.</w:t>
      </w:r>
    </w:p>
    <w:p>
      <w:pPr>
        <w:pStyle w:val="SourceNote"/>
      </w:pPr>
      <w:r>
        <w:rPr>
          <w:b/>
        </w:rPr>
        <w:t>Available abstract (not full text):</w:t>
      </w:r>
      <w:r>
        <w:t xml:space="preserve"> With the one hundredth anniversary of the signing of the Treaty of Versailles (June 28, 1919), historians have lined up to have their say on what went wrong in post–World War I Europe. Two rather entrenched narratives usually parse the Paris Peace Conference of 1919. On the one hand, the conference is lauded for creating a world system in the League of Nations, which was ultimately betrayed and hobbled by the depredations of the dictators in the 1930s. The second interpretation is more specifically related to the Treaty of Versailles, which brought a formal end to World War I between Germany and the Entente Powers. In A Vision of Europe: Franco-German Relations during the Great Depression, 1929–1932, Conan Fischer calls it “a treaty too benign to guarantee French security and too severe to secure German goodwill” (14); Versailles is linked in the popular and scholarly minds with the advent...</w:t>
      </w:r>
    </w:p>
    <w:p>
      <w:pPr/>
      <w:r>
        <w:rPr>
          <w:b/>
        </w:rPr>
        <w:t>POSSIBLE 2019:</w:t>
      </w:r>
      <w:r>
        <w:t xml:space="preserve"> The Church in a Pluralistic World: The Public Vision of Ressourcement — https://doi.org/10.3390/rel10110594</w:t>
      </w:r>
    </w:p>
    <w:p>
      <w:pPr/>
      <w:r>
        <w:rPr>
          <w:b/>
        </w:rPr>
        <w:t>Shared claim-specific concepts:</w:t>
      </w:r>
      <w:r>
        <w:t xml:space="preserve"> vision, world, based; EU scope visible. This is a provisional connection, not an outcome finding.</w:t>
      </w:r>
    </w:p>
    <w:p>
      <w:pPr>
        <w:pStyle w:val="SourceNote"/>
      </w:pPr>
      <w:r>
        <w:rPr>
          <w:b/>
        </w:rPr>
        <w:t>Available abstract (not full text):</w:t>
      </w:r>
      <w:r>
        <w:t xml:space="preserve"> The dual concern of this article is to present the vision of the church articulated by the renowned generation of Catholic ressourcement thinkers in the mid-twentieth century, and to demonstrate its continued fecundity in the pluralist, multi-cultural context of contemporary western society. It seeks to contribute primarily to ecclesiology, while also providing historical and social commentary with respectful suggestions for its relevance to present-day ecclesiology. The article provides an interpretative framework for understanding ressourcement with reference to its philosophical foundations and the vision of its founders. Its aims are, first, to articulate the role of ressourcement in the modern context and, secondly, to document the genesis and emergence of that movement’s perception of the church’s mandate in the world, based on an essential return to the sources of Christianity. The paper presents the public vision of ressourcement ecclesiology in two parts, drawing principally, though not exclusively, on the work of the two leading intellectual orders of the Catholic Church at the time of its formulation, namely, the Dominicans and the Jesuits of France. In this paper, I limit myself to the French-speaking Jesuits and Dominicans and do not refer to Rahner, Semmelroth, Schillebeeckx or Schoonenberg.</w:t>
      </w:r>
    </w:p>
    <w:p>
      <w:pPr/>
      <w:r>
        <w:rPr>
          <w:b/>
        </w:rPr>
        <w:t>POSSIBLE 2019:</w:t>
      </w:r>
      <w:r>
        <w:t xml:space="preserve"> H.C. ANDERSEN’S TRAVEL BOOKS – A FAIRY-TALE VISION OF EUROPE — https://doi.org/10.2307/j.ctvggx29s.22</w:t>
      </w:r>
    </w:p>
    <w:p>
      <w:pPr/>
      <w:r>
        <w:rPr>
          <w:b/>
        </w:rPr>
        <w:t>Shared claim-specific concepts:</w:t>
      </w:r>
      <w:r>
        <w:t xml:space="preserve"> vision, world, based; EU scope visible. This is a provisional connection, not an outcome finding.</w:t>
      </w:r>
    </w:p>
    <w:p>
      <w:pPr>
        <w:pStyle w:val="SourceNote"/>
      </w:pPr>
      <w:r>
        <w:rPr>
          <w:b/>
        </w:rPr>
        <w:t>Available abstract (not full text):</w:t>
      </w:r>
      <w:r>
        <w:t xml:space="preserve"> Hans Christian Andersen is well known as a writer of fairy tales, but a corpus of travel books also constitutes a large part of his literary heritage. Influenced by the poetics of the novel, the focus of travel books shifted from images of foreign countries, landscapes and descriptions of unusual situations, to the inner world of the traveller, which might be more interesting for a reader than the external world. The narrator thus becomes the protagonist of the tale, bringing such travel books closer to fiction. It is argued that Andersen's fairy tale poetics has its roots in his travel books. These books include many stories, each of which could be considered a separate text. The first book, Skyggebillede (1831), was based on his trip to Germany and contains a number of small narratives similar to fairy tales published after 1835. Here, Andersen transformed the traditional form of travel book, with his poetic vision of Germany more important than reality, which was only the background for the author's fantasy. His later travel books, En digters bazar (1842) and I Sverige (1849), contain texts which were included in Andersen's collections of fairy tales and stories. Here, his images of European cities, nature and other famous sites are not mere descriptions but also romantic pictures where fairy tale fantasy plays a very important role.</w:t>
      </w:r>
    </w:p>
    <w:p>
      <w:pPr/>
      <w:r>
        <w:rPr>
          <w:b/>
        </w:rPr>
        <w:t>POSSIBLE 2017:</w:t>
      </w:r>
      <w:r>
        <w:t xml:space="preserve"> MobileNets: Efficient Convolutional Neural Networks for Mobile Vision Applications — https://doi.org/10.48550/arxiv.1704.04861</w:t>
      </w:r>
    </w:p>
    <w:p>
      <w:pPr/>
      <w:r>
        <w:rPr>
          <w:b/>
        </w:rPr>
        <w:t>Shared claim-specific concepts:</w:t>
      </w:r>
      <w:r>
        <w:t xml:space="preserve"> popular, vision, called, simple, based; EU scope not established. This is a provisional connection, not an outcome finding.</w:t>
      </w:r>
    </w:p>
    <w:p>
      <w:pPr>
        <w:pStyle w:val="SourceNote"/>
      </w:pPr>
      <w:r>
        <w:rPr>
          <w:b/>
        </w:rPr>
        <w:t>Available abstract (not full text):</w:t>
      </w:r>
      <w:r>
        <w:t xml:space="preserve"> We present a class of efficient models called MobileNets for mobile and embedded vision applications. MobileNets are based on a streamlined architecture that uses depth-wise separable convolutions to build light weight deep neural networks. We introduce two simple global hyper-parameters that efficiently trade off between latency and accuracy. These hyper-parameters allow the model builder to choose the right sized model for their application based on the constraints of the problem. We present extensive experiments on resource and accuracy tradeoffs and show strong performance compared to other popular models on ImageNet classification. We then demonstrate the effectiveness of MobileNets across a wide range of applications and use cases including object detection, finegrain classification, face attributes and large scale geo-localization.</w:t>
      </w:r>
    </w:p>
    <w:p>
      <w:pPr>
        <w:pStyle w:val="Heading2"/>
      </w:pPr>
      <w:r>
        <w:t>845. Prospects of labour migration pressure in Algeria, Morocco, Tunisia and Turkey</w:t>
      </w:r>
    </w:p>
    <w:p>
      <w:pPr>
        <w:pStyle w:val="SourceNote"/>
      </w:pPr>
      <w:r>
        <w:rPr>
          <w:b/>
        </w:rPr>
        <w:t>Original source (2016):</w:t>
      </w:r>
      <w:r>
        <w:t xml:space="preserve"> https://doi.org/10.1186/s41118-016-0015-x</w:t>
      </w:r>
    </w:p>
    <w:p>
      <w:pPr/>
      <w:r>
        <w:t>Original wording (abstract; indexed_source_text_not_full_document_verified): This model is then used as framework for deriving storylines for three different scenarios of economic and demographic change up to 2035. Subsequently, storylines are operationalized, leading to scenario estimates of migration pressure up to 2035.</w:t>
      </w:r>
    </w:p>
    <w:p>
      <w:pPr/>
      <w:r>
        <w:rPr>
          <w:b/>
        </w:rPr>
        <w:t>POSSIBLE 2026:</w:t>
      </w:r>
      <w:r>
        <w:t xml:space="preserve"> Deriving Character Logic from Storyline as Codified Decision Trees — https://doi.org/10.18653/v1/2026.acl-long.568</w:t>
      </w:r>
    </w:p>
    <w:p>
      <w:pPr/>
      <w:r>
        <w:rPr>
          <w:b/>
        </w:rPr>
        <w:t>Shared claim-specific concepts:</w:t>
      </w:r>
      <w:r>
        <w:t xml:space="preserve"> framework, deriving, leading; EU scope not established. This is a provisional connection, not an outcome finding.</w:t>
      </w:r>
    </w:p>
    <w:p>
      <w:pPr>
        <w:pStyle w:val="SourceNote"/>
      </w:pPr>
      <w:r>
        <w:rPr>
          <w:b/>
        </w:rPr>
        <w:t>Available abstract (not full text):</w:t>
      </w:r>
      <w:r>
        <w:t xml:space="preserve"> Role-playing (RP) agents rely on behavioral profiles to act consistently across diverse narrative contexts, yet existing profiles are largely unstructured, non-executable, and weakly validated, leading to brittle agent behavior.We propose Codified Decision Trees (CDT), a datadriven framework that induces an executable and interpretable decision structure from largescale narrative data.CDT represents behavioral profiles as a tree of conditional rules, where internal nodes correspond to validated scene conditions and leaves encode grounded behavioral statements, enabling deterministic retrieval of context-appropriate rules at execution time.The tree is learned by iteratively inducing candidate scene-action rules, validating them against data, and refining them through hierarchical specialization, yielding profiles that support transparent inspection and principled updates.Across multiple benchmarks, CDT substantially outperforms human-written profiles and prior profile induction methods on 85 characters across 16 artifacts, indicating that codified and validated behavioral representations lead to more reliable agent grounding.1</w:t>
      </w:r>
    </w:p>
    <w:p>
      <w:pPr/>
      <w:r>
        <w:rPr>
          <w:b/>
        </w:rPr>
        <w:t>POSSIBLE 2026:</w:t>
      </w:r>
      <w:r>
        <w:t xml:space="preserve"> Probabilistic storyline attribution using machine learning — https://doi.org/10.1088/3049-4753/aea4b7</w:t>
      </w:r>
    </w:p>
    <w:p>
      <w:pPr/>
      <w:r>
        <w:rPr>
          <w:b/>
        </w:rPr>
        <w:t>Shared claim-specific concepts:</w:t>
      </w:r>
      <w:r>
        <w:t xml:space="preserve"> deriving, storylines, different; EU scope visible. This is a provisional connection, not an outcome finding.</w:t>
      </w:r>
    </w:p>
    <w:p>
      <w:pPr>
        <w:pStyle w:val="SourceNote"/>
      </w:pPr>
      <w:r>
        <w:rPr>
          <w:b/>
        </w:rPr>
        <w:t>Available abstract (not full text):</w:t>
      </w:r>
      <w:r>
        <w:t xml:space="preserve"> A fundamental goal in climate attribution is to estimate how forced climate change contributes to observed extreme weather events. The storyline attribution method compares an observed weather event, conditional on its atmospheric dynamic state (i.e., atmospheric circulation), in the current, 'factual' climate to an event with very similar circulation conditions in a hypothetical, 'counterfactual' climate. However, simulating these storylines with physical climate models across different climate forcing states is computationally costly, allowing only a limited number of storyline realizations. Statistical and machine learning techniques may overcome this limitation; yet, emulating circulation-conditional extreme events under different climate states is challenging. Here, we demonstrate distributional autoencoders (DAEs) as a versatile method for generating climate counterfactuals. They model the distribution of spatially resolved European temperature fields conditional on the atmospheric circulation state and the mean global warming level. These distributions allow for deriving meaningful conditional probability ratios, which is a particular advantage of the DAE-based storyline approach. We train DAEs on fully coupled climate model simulations and we evaluate the modelled distributions across different factual and storyline-based counterfactual climate model simulations. In an </w:t>
      </w:r>
    </w:p>
    <w:p>
      <w:pPr/>
      <w:r>
        <w:rPr>
          <w:b/>
        </w:rPr>
        <w:t>POSSIBLE 2026:</w:t>
      </w:r>
      <w:r>
        <w:t xml:space="preserve"> Storyline Trees: Hierarchical Representations for Long-Form Narratives — https://doi.org/10.48550/arxiv.2606.20900</w:t>
      </w:r>
    </w:p>
    <w:p>
      <w:pPr/>
      <w:r>
        <w:rPr>
          <w:b/>
        </w:rPr>
        <w:t>Shared claim-specific concepts:</w:t>
      </w:r>
      <w:r>
        <w:t xml:space="preserve"> then, storylines, three; EU scope not established. This is a provisional connection, not an outcome finding.</w:t>
      </w:r>
    </w:p>
    <w:p>
      <w:pPr>
        <w:pStyle w:val="SourceNote"/>
      </w:pPr>
      <w:r>
        <w:rPr>
          <w:b/>
        </w:rPr>
        <w:t>Available abstract (not full text):</w:t>
      </w:r>
      <w:r>
        <w:t xml:space="preserve"> Long-form narratives are challenging for long-context models because their structure is implicit: events, characters, and plotlines interact across hundreds of pages without the explicit cues that guide navigation in structured documents. We address this by constructing storyline trees, hierarchical representations that organize narratives from global themes and major plotlines to fine-grained events. We first segment chapters into contiguous narrative segments, or scenes, and use them as the basic units for tree construction. We then infer storyline trees through complementary top-down and bottom-up procedures that derive, refine, cluster, and summarize storylines at multiple levels of abstraction. We showcase the utility of this representation for question answering: storyline trees enable adaptive retrieval, allowing models to iteratively inspect high-level narrative structure and retrieve scene-level evidence on demand. Experiments on three long-context narrative QA benchmarks show that adaptive retrieval outperforms strong baselines, including post-trained long-context models and agentic chunk-based methods. Ablations confirm that scenes are more effective basic units than chapters or generic segmentation, and that gains persist under matched retrieval budgets</w:t>
      </w:r>
    </w:p>
    <w:p>
      <w:pPr/>
      <w:r>
        <w:rPr>
          <w:b/>
        </w:rPr>
        <w:t>POSSIBLE 2025:</w:t>
      </w:r>
      <w:r>
        <w:t xml:space="preserve"> Exploring AI-Driven Event-based Storylines — https://doi.org/10.5194/egusphere-egu25-8169</w:t>
      </w:r>
    </w:p>
    <w:p>
      <w:pPr/>
      <w:r>
        <w:rPr>
          <w:b/>
        </w:rPr>
        <w:t>Shared claim-specific concepts:</w:t>
      </w:r>
      <w:r>
        <w:t xml:space="preserve"> framework, storylines; EU scope not established. This is a provisional connection, not an outcome finding.</w:t>
      </w:r>
    </w:p>
    <w:p>
      <w:pPr>
        <w:pStyle w:val="SourceNote"/>
      </w:pPr>
      <w:r>
        <w:rPr>
          <w:b/>
        </w:rPr>
        <w:t>Available abstract (not full text):</w:t>
      </w:r>
      <w:r>
        <w:t xml:space="preserve"> Artificial Intelligence-based Numerical Weather Prediction (AI-NWP) models have recently emerged as powerful tools for weather forecasting, offering computational efficiency and high accuracy. This study explores the extreme weather events simulated by the Artificial Intelligence Forecasting System (AIFS), initialised with conditions derived from kilometer-scale storyline experiments using the IFS-FESOM model ─ where the atmospheric circulation is constrained to observations. We present two case studies: the 2023 South Asian humid heatwave and the 2024 Storm Boris. These two events are reproduced in the present climate, but also simulated if they were to unfold in pre-industrial and +2K future climates, effectively creating AI-driven storylines. The methodology we employ offers a complementary framework, where the use of AI-driven ensembles provides a scalable and rapid way to assess the potential uncertainty and variability associated with such events, by enabling us to explore a broader range of plausible outcomes at very low computational costs. By combining the strengths of physics-based modelling with the efficiency and flexibility of AI-driven simulations, this dual approach offers a pathway to operationalise ensemble-based extreme weather storylines.</w:t>
      </w:r>
    </w:p>
    <w:p>
      <w:pPr/>
      <w:r>
        <w:rPr>
          <w:b/>
        </w:rPr>
        <w:t>POSSIBLE 2023:</w:t>
      </w:r>
      <w:r>
        <w:t xml:space="preserve"> Modeling hadronization using machine learning — https://doi.org/10.21468/scipostphys.14.3.027</w:t>
      </w:r>
    </w:p>
    <w:p>
      <w:pPr/>
      <w:r>
        <w:rPr>
          <w:b/>
        </w:rPr>
        <w:t>Shared claim-specific concepts:</w:t>
      </w:r>
      <w:r>
        <w:t xml:space="preserve"> then, used; EU scope not established. This is a provisional connection, not an outcome finding.</w:t>
      </w:r>
    </w:p>
    <w:p>
      <w:pPr>
        <w:pStyle w:val="SourceNote"/>
      </w:pPr>
      <w:r>
        <w:rPr>
          <w:b/>
        </w:rPr>
        <w:t>Available abstract (not full text):</w:t>
      </w:r>
      <w:r>
        <w:t xml:space="preserve"> We present the first steps in the development of a new class of hadronization models utilizing machine learning techniques. We successfully implement, validate, and train a conditional sliced-Wasserstein autoencoder to replicate the Pythia generated kinematic distributions of first-hadron emissions, when the Lund string model of hadronization implemented in Pythia is restricted to the emissions of pions only. The trained models are then used to generate the full hadronization chains, with an IR cutoff energy imposed externally. The hadron multiplicities and cumulative kinematic distributions are shown to match the Pythia generated ones. We also discuss possible future generalizations of our results.</w:t>
      </w:r>
    </w:p>
    <w:p>
      <w:pPr/>
      <w:r>
        <w:rPr>
          <w:b/>
        </w:rPr>
        <w:t>POSSIBLE 2022:</w:t>
      </w:r>
      <w:r>
        <w:t xml:space="preserve"> Geo-Storylines: Integrating Maps Into Storyline Visualizations — https://doi.org/10.1109/tvcg.2022.3209480</w:t>
      </w:r>
    </w:p>
    <w:p>
      <w:pPr/>
      <w:r>
        <w:rPr>
          <w:b/>
        </w:rPr>
        <w:t>Shared claim-specific concepts:</w:t>
      </w:r>
      <w:r>
        <w:t xml:space="preserve"> used, storylines, three, different; EU scope not established. This is a provisional connection, not an outcome finding.</w:t>
      </w:r>
    </w:p>
    <w:p>
      <w:pPr>
        <w:pStyle w:val="SourceNote"/>
      </w:pPr>
      <w:r>
        <w:rPr>
          <w:b/>
        </w:rPr>
        <w:t>Available abstract (not full text):</w:t>
      </w:r>
      <w:r>
        <w:t xml:space="preserve"> Storyline visualizations are a powerful way to compactly visualize how the relationships between people evolve over time. Real-world relationships often also involve space, for example the cities that two political rivals visited together or alone over the years. By default, Storyline visualizations only show implicitly geospatial co-occurrence between people (drawn as lines), by bringing their lines together. Even the few designs that do explicitly show geographic locations only do so in abstract ways (e.g., annotations) and do not communicate geospatial information, such as the direction or extent of their political campains. We introduce Geo-Storylines, a collection of visualisation designs that integrate geospatial context into Storyline visualizations, using different strategies for compositing time and space. Our contribution is twofold. First, we present the results of a sketching workshop with 11 participants, that we used to derive a design space for integrating maps into Storylines. Second, by analyzing the strengths and weaknesses of the potential designs of the design space in terms of legibility and ability to scale to multiple relationships, we extract the three most promising: Time Glyphs, Coordinated Views, and Map Glyphs. We compare these three techniques first in a controlled study with 18 participants, under five different geospatial tasks and two maps of dif</w:t>
      </w:r>
    </w:p>
    <w:p>
      <w:pPr/>
      <w:r>
        <w:rPr>
          <w:b/>
        </w:rPr>
        <w:t>POSSIBLE 2022:</w:t>
      </w:r>
      <w:r>
        <w:t xml:space="preserve"> Regionalization of hydrological model parameters using gradient boosting machine — https://doi.org/10.5194/hess-26-505-2022</w:t>
      </w:r>
    </w:p>
    <w:p>
      <w:pPr/>
      <w:r>
        <w:rPr>
          <w:b/>
        </w:rPr>
        <w:t>Shared claim-specific concepts:</w:t>
      </w:r>
      <w:r>
        <w:t xml:space="preserve"> used, deriving; EU scope not established. This is a provisional connection, not an outcome finding.</w:t>
      </w:r>
    </w:p>
    <w:p>
      <w:pPr>
        <w:pStyle w:val="SourceNote"/>
      </w:pPr>
      <w:r>
        <w:rPr>
          <w:b/>
        </w:rPr>
        <w:t>Available abstract (not full text):</w:t>
      </w:r>
      <w:r>
        <w:t xml:space="preserve"> Abstract. Regionalization of hydrological model parameters is key to hydrological predictions in ungauged basins. The commonly used multiple linear regression (MLR) method may not be applicable in complex and nonlinear relationships between model parameters and watershed properties. Moreover, most regionalization methods assume lumped parameters for each catchment without considering within-catchment heterogeneity. Here we incorporated the Penman-Monteith-Leuning (PML) equation into the Distributed Time-Variant Gain Model (DTVGM) to improve the mechanistic representation of the evapotranspiration process. We calibrated six key model parameters grid-by-grid across China using a multivariable calibration strategy, which incorporates spatiotemporal runoff and evapotranspiration (ET) datasets (0.25°, monthly) as reference. In addition, we used the gradient boosting machine (GBM), a machine learning technique, to portray the dependence of model parameters on soil and terrain attributes in four distinct climatic zones across China. We show that the modified DTVGM could reasonably estimate the runoff and ET over China using the calibrated parameters, but performed better in humid than arid regions for the validation period. The regionalized parameters by the GBM method exhibited better spatial coherence relative to the calibrated grid-by-grid parameters. In addition, GBM outperformed </w:t>
      </w:r>
    </w:p>
    <w:p>
      <w:pPr/>
      <w:r>
        <w:rPr>
          <w:b/>
        </w:rPr>
        <w:t>POSSIBLE 2021:</w:t>
      </w:r>
      <w:r>
        <w:t xml:space="preserve"> Large ensemble climate modelling time series for the Rhine catchment, including drought2018 storylines — https://doi.org/10.5281/zenodo.5083159</w:t>
      </w:r>
    </w:p>
    <w:p>
      <w:pPr/>
      <w:r>
        <w:rPr>
          <w:b/>
        </w:rPr>
        <w:t>Shared claim-specific concepts:</w:t>
      </w:r>
      <w:r>
        <w:t xml:space="preserve"> storylines, three; EU scope visible. This is a provisional connection, not an outcome finding.</w:t>
      </w:r>
    </w:p>
    <w:p>
      <w:pPr>
        <w:pStyle w:val="SourceNote"/>
      </w:pPr>
      <w:r>
        <w:rPr>
          <w:b/>
        </w:rPr>
        <w:t>Available abstract (not full text):</w:t>
      </w:r>
      <w:r>
        <w:t xml:space="preserve"> Dataset associated with Van der Wiel, Lenderink, De Vries (2021): Physical storylines of future European drought events like 2018 based on ensemble climate modelling, Weather and Climate Extremes, DOI 10.1016/j.wace.2021.100350. Large ensemble climate modelling time series for the Rhine catchment. The dataset contains three ensembles (present-day, pre-industrial + 2C-warming, pre-industrial + 3C-warming) of 2000 years each, various variables related to drought are included. All data is derived from the EC-Earth global climate model (v2, Hazeleger et al. 2012, DOI 10.1007/s00382-011-1228-5). Descriptions of large ensemble experimental setup can be found in Van der Wiel et al. (2019, DOI 10.1029/2019GL081967). Files: *_d_ECEarth_??_Rhine.tar.gz Additionally, three sets of storylines of droughts similar to the western European drought of 2018 are included. These are the simulated events selected from the large ensembles, using metrics 1, 2 and 3 of Van der Wiel et al. (2021, DOI 10.1016/j.wace.2021.100350). Files: drought18_m[123]_Rhine.tar.gz</w:t>
      </w:r>
    </w:p>
    <w:p>
      <w:pPr/>
      <w:r>
        <w:rPr>
          <w:b/>
        </w:rPr>
        <w:t>POSSIBLE 2020:</w:t>
      </w:r>
      <w:r>
        <w:t xml:space="preserve"> A primer on model selection using the Akaike Information Criterion — https://doi.org/10.1016/j.idm.2019.12.010</w:t>
      </w:r>
    </w:p>
    <w:p>
      <w:pPr/>
      <w:r>
        <w:rPr>
          <w:b/>
        </w:rPr>
        <w:t>Shared claim-specific concepts:</w:t>
      </w:r>
      <w:r>
        <w:t xml:space="preserve"> then, different; EU scope not established. This is a provisional connection, not an outcome finding.</w:t>
      </w:r>
    </w:p>
    <w:p>
      <w:pPr>
        <w:pStyle w:val="SourceNote"/>
      </w:pPr>
      <w:r>
        <w:rPr>
          <w:b/>
        </w:rPr>
        <w:t>Available abstract (not full text):</w:t>
      </w:r>
      <w:r>
        <w:t xml:space="preserve"> A powerful investigative tool in biology is to consider not a single mathematical model but a collection of models designed to explore different working hypotheses and select the best model in that collection. In these lecture notes, the usual workflow of the use of mathematical models to investigate a biological problem is described and the use of a collection of model is motivated. Models depend on parameters that must be estimated using observations; and when a collection of models is considered, the best model has then to be identified based on available observations. Hence, model calibration and selection, which are intrinsically linked, are essential steps of the workflow. Here, some procedures for model calibration and a criterion, the Akaike Information Criterion, of model selection based on experimental data are described. Rough derivation, practical technique of computation and use of this criterion are detailed.</w:t>
      </w:r>
    </w:p>
    <w:p>
      <w:pPr/>
      <w:r>
        <w:rPr>
          <w:b/>
        </w:rPr>
        <w:t>POSSIBLE 2020:</w:t>
      </w:r>
      <w:r>
        <w:t xml:space="preserve"> Positioning of systemic intermediaries in sustainability transitions: Between storylines and speech acts — https://doi.org/10.1016/j.eist.2020.02.006</w:t>
      </w:r>
    </w:p>
    <w:p>
      <w:pPr/>
      <w:r>
        <w:rPr>
          <w:b/>
        </w:rPr>
        <w:t>Shared claim-specific concepts:</w:t>
      </w:r>
      <w:r>
        <w:t xml:space="preserve"> storylines, three, different; EU scope not established. This is a provisional connection, not an outcome finding.</w:t>
      </w:r>
    </w:p>
    <w:p>
      <w:pPr>
        <w:pStyle w:val="SourceNote"/>
      </w:pPr>
      <w:r>
        <w:rPr>
          <w:b/>
        </w:rPr>
        <w:t>Available abstract (not full text):</w:t>
      </w:r>
      <w:r>
        <w:t xml:space="preserve"> How do systemic intermediaries obtain legitimate roles for themselves in innovation systems and transition processes? This is still an understudied question in the study of systemic intermediaries. We start from the observation that roles, or positions, are not given, but emerge in interactions as a negotiated set of rights and obligations. Inspired by positioning theory, which has its roots in symbolic interactionism, we analyse how positions are invoked in the actors’ various actions and statements (‘speech acts’) and how they draw from the mutually constructed narratives (‘storylines’) that enable and constrain the range of possible positions. We analyse, over time, the positioning of three Dutch systemic intermediaries in agriculture, energy production, and healthcare. We conclude that systemic intermediaries move together with the promise of the field and, as a consequence, have to reposition themselves. In different phases, they both profit and suffer from the dilemma between initiating and sustaining innovative systemic changes.</w:t>
      </w:r>
    </w:p>
    <w:p>
      <w:pPr/>
      <w:r>
        <w:rPr>
          <w:b/>
        </w:rPr>
        <w:t>POSSIBLE 2020:</w:t>
      </w:r>
      <w:r>
        <w:t xml:space="preserve"> The role of spatial and temporal model resolution in a flood event storyline approach in western Norway — https://doi.org/10.1016/j.wace.2020.100259</w:t>
      </w:r>
    </w:p>
    <w:p>
      <w:pPr/>
      <w:r>
        <w:rPr>
          <w:b/>
        </w:rPr>
        <w:t>Shared claim-specific concepts:</w:t>
      </w:r>
      <w:r>
        <w:t xml:space="preserve"> used, different, leading; EU scope visible. This is a provisional connection, not an outcome finding.</w:t>
      </w:r>
    </w:p>
    <w:p>
      <w:pPr>
        <w:pStyle w:val="SourceNote"/>
      </w:pPr>
      <w:r>
        <w:rPr>
          <w:b/>
        </w:rPr>
        <w:t>Available abstract (not full text):</w:t>
      </w:r>
      <w:r>
        <w:t xml:space="preserve"> We apply a physical climate storyline approach to an autumn flood event in the West Coast of Norway caused by an atmospheric river to demonstrate the value and challenges of higher spatial and temporal resolution in simulating flood impacts. We use a modelling chain whose outputs are familiar and used operationally, for example to issue flood warnings. With two different versions of a hydrological model, we show that (1) the higher spatial resolution between the global and regional climate model is necessary to realistically simulate the high spatial variability of precipitation in this mountainous region and (2) only with hourly data are we able to capture the fast flood-generating processes leading to the peak streamflow. The higher resolution regional atmospheric model captures the fact that with the passage of an atmospheric river, some valleys receive high amounts of precipitation and others not, while the coarser resolution global model shows uniform precipitation in the whole region. Translating the event into the future leads to similar results: while in some catchments, a future flood might be much larger than a present one, in others no event occurs as the atmospheric river simply does not hit that catchment. The use of an operational flood warning system for future events is expected to facilitate stakeholder engagement.</w:t>
      </w:r>
    </w:p>
    <w:p>
      <w:pPr/>
      <w:r>
        <w:rPr>
          <w:b/>
        </w:rPr>
        <w:t>POSSIBLE 2019:</w:t>
      </w:r>
      <w:r>
        <w:t xml:space="preserve"> A note on model selection using information criteria for general linear models estimated using REML — https://doi.org/10.1111/anzs.12254</w:t>
      </w:r>
    </w:p>
    <w:p>
      <w:pPr/>
      <w:r>
        <w:rPr>
          <w:b/>
        </w:rPr>
        <w:t>Shared claim-specific concepts:</w:t>
      </w:r>
      <w:r>
        <w:t xml:space="preserve"> then, used, different, estimates; EU scope not established. This is a provisional connection, not an outcome finding.</w:t>
      </w:r>
    </w:p>
    <w:p>
      <w:pPr>
        <w:pStyle w:val="SourceNote"/>
      </w:pPr>
      <w:r>
        <w:rPr>
          <w:b/>
        </w:rPr>
        <w:t>Available abstract (not full text):</w:t>
      </w:r>
      <w:r>
        <w:t xml:space="preserve"> It is common practice to compare the fit of non‐nested models using the Akaike (AIC) or Bayesian (BIC) information criteria. The basis of these criteria is the log‐likelihood evaluated at the maximum likelihood estimates of the unknown parameters. For the general linear model (and the linear mixed model, which is a special case), estimation is usually carried out using residual or restricted maximum likelihood (REML). However, for models with different fixed effects, the residual likelihoods are not comparable and hence information criteria based on the residual likelihood cannot be used. For model selection, it is often suggested that the models are refitted using maximum likelihood to enable the criteria to be used. The first aim of this paper is to highlight that both the AIC and BIC can be used for the general linear model by using the full log‐likelihood evaluated at the REML estimates. The second aim is to provide a derivation of the criteria under REML estimation. This aim is achieved by noting that the full likelihood can be decomposed into a marginal (residual) and conditional likelihood and this decomposition then incorporates aspects of both the fixed effects and variance parameters. Using this decomposition, the appropriate information criteria for model selection of models which differ in their fixed effects specification can be derived. An example is presented to </w:t>
      </w:r>
    </w:p>
    <w:p>
      <w:pPr>
        <w:pStyle w:val="Heading2"/>
      </w:pPr>
      <w:r>
        <w:t>846. Record dry summer in 2015 challenges precipitation projections in Central Europe</w:t>
      </w:r>
    </w:p>
    <w:p>
      <w:pPr>
        <w:pStyle w:val="SourceNote"/>
      </w:pPr>
      <w:r>
        <w:rPr>
          <w:b/>
        </w:rPr>
        <w:t>Original source (2016):</w:t>
      </w:r>
      <w:r>
        <w:t xml:space="preserve"> https://doi.org/10.1038/srep28334</w:t>
      </w:r>
    </w:p>
    <w:p>
      <w:pPr/>
      <w:r>
        <w:t>Original wording (abstract; indexed_source_text_not_full_document_verified): Climate change projections suggest that climate in this area will shift towards warmer temperatures by the end of the 21 st century, while projected precipitation changes are highly uncertain. Even though the models best capturing past droughts are not necessarily generally more reliable in the future, the 2015 drought event illustrates that potential future drying trends have severe implications and could be stronger than commonly assumed from the entire IPCC AR5 model ensemble.</w:t>
      </w:r>
    </w:p>
    <w:p>
      <w:pPr/>
      <w:r>
        <w:rPr>
          <w:b/>
        </w:rPr>
        <w:t>POSSIBLE 2026:</w:t>
      </w:r>
      <w:r>
        <w:t xml:space="preserve"> Mopo pan-European VRE data: Climate change projections — https://doi.org/10.5281/zenodo.18549864</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This dataset provides simulated hourly wind and solar PV generation time series used in the Mopo project for pan‑European energy system modeling. The modeling framework follows https://doi.org/10.5281/zenodo.17950647 (validated in Nayak et al. (2025)), extended here to run on climate projections. Climate inputs come from two models from the Copernicus Climate Change Service (2024): MPI‑ESM1‑2‑HR (MEHR)and EC‑Earth3 (ECE3). For each model, two scenarios are simulated: SSP2‑4.5, representing an intermediate “middle‑of‑the‑road” pathway, and SSP5‑8.5, representing a very high‑emission pathway. This yields four climate projections covering 2015–2100 at hourly resolution. Following Luzia (2023), wind speeds in all projections are scaled using GWA2. Each climate projection includes: Solar PV: 3 simulated PV technologies. Offshore wind: 4 specific technologies (2 bottom‑fixed (FB) and 2 floating (FO)) plus an “existing” configuration. Onshore wind: 9 specific technologies plus an “existing” configuration. “Existing” runs represent installations characteristic of 2020 in the analyzed regions, while “specific technology” runs represent possible future VRE installations. See https://doi.org/10.5281/zenodo.17950647 for more details about the simulated VRE technologies and regions.</w:t>
      </w:r>
    </w:p>
    <w:p>
      <w:pPr/>
      <w:r>
        <w:rPr>
          <w:b/>
        </w:rPr>
        <w:t>POSSIBLE 2026:</w:t>
      </w:r>
      <w:r>
        <w:t xml:space="preserve"> Hydrological drought projections across Europe under climate change — https://doi.org/10.1038/s44304-025-00152-w</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Abstract Although drought is a natural hazard, growing global concern surrounds its increasing frequency and severity due to climate change. Projections indicate that drought conditions are expected to intensify worldwide in the future, and Europe is no exception. Therefore, understanding the pattern and characteristics of future drought is crucial to developing region-specific adaptation strategies to enhance resilience. This study presents a comprehensive assessment of future hydrological drought dynamics across Europe using the standardized runoff index (SRI). SRI was calculated at 1- and 3-month timescales for the historical period (1990–2014) and near-future period (2015–2049) based on downscaled climate data from Coupled Model Intercomparison Project Phase 6 (CMIP6) under two emission scenarios: SSP1-2.6 and SSP5-8.5, where SSP stands for shared socioeconomic pathways. The findings reveal an intensification of hydrological drought conditions, particularly in southern Europe. Notable increases in the frequency, severity, and spatial extent of drought events are observed, especially in countries such as France, Spain, and the Balkans. Seasonal analysis highlights spring as the most drought-prone season under both scenarios. These results underscore the urgent need for seasonally adaptive water management strategies to better anticipate future drought risks and strengthen re</w:t>
      </w:r>
    </w:p>
    <w:p>
      <w:pPr/>
      <w:r>
        <w:rPr>
          <w:b/>
        </w:rPr>
        <w:t>POSSIBLE 2026:</w:t>
      </w:r>
      <w:r>
        <w:t xml:space="preserve"> Exploiting km-scale climate projections to provide new insights into changing convective hazards in UK, Europe and Africa — https://doi.org/10.5194/egusphere-egu26-3880</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At the UK Met Office, recent advances in km-scale climate modelling include the first continuous 100-year ensemble projections at 2.2km resolution over the UK ( ‘UKCP Local’), and 4.5km ensemble projections over Africa. In this talk I will highlight new understanding of changes in heavy rainfall, convective storm hazards and tropical cyclones, with implications for flooding and adaptation planning. This includes insights into the interplay between natural variability and climate change, and the factors leading to apparent rapid transitions in the occurrence of local rainfall extremes through time. Over Europe, new understanding includes changes in severe convective storms and hail, that contrast with previous studies based on environmental proxies from coarser resolution climate models. Over Africa, km-scale models are able to capture the most intense tropical cyclones, providing a key advance in our modelling capability. This is showing that we need to be prepared for Category 5 tropical cyclones making landfall over Africa and the potential for landfall at southerly latitudes, both of which are unprecedented in the historical record.</w:t>
      </w:r>
    </w:p>
    <w:p>
      <w:pPr/>
      <w:r>
        <w:rPr>
          <w:b/>
        </w:rPr>
        <w:t>POSSIBLE 2026:</w:t>
      </w:r>
      <w:r>
        <w:t xml:space="preserve"> Agrometeorological risk of Epitrix papa in Europe under climate change using ERA5-land and EURO-CORDEX projections — https://doi.org/10.1016/j.scitotenv.2026.181366</w:t>
      </w:r>
    </w:p>
    <w:p>
      <w:pPr/>
      <w:r>
        <w:rPr>
          <w:b/>
        </w:rPr>
        <w:t>Shared claim-specific concepts:</w:t>
      </w:r>
      <w:r>
        <w:t xml:space="preserve"> climate, projections, shift, past; EU scope visible. This is a provisional connection, not an outcome finding.</w:t>
      </w:r>
    </w:p>
    <w:p>
      <w:pPr>
        <w:pStyle w:val="SourceNote"/>
      </w:pPr>
      <w:r>
        <w:rPr>
          <w:b/>
        </w:rPr>
        <w:t>Available abstract (not full text):</w:t>
      </w:r>
      <w:r>
        <w:t xml:space="preserve"> The European distribution range of the recently described potentially threatening potato flea beetle Epitrix papa remain unknown. Understanding its potential range and future spread dynamics requires a host-specific thermal niche assessment. We developed an Epitrix Suitability Index (ESI) by combining a potato Host Suitability Index (HSI), proxied by July mean air temperature with, a Climate Suitability Index (CSI),derived from degree-day accumulation between 1 March and30 September (base 8.1 °C, 625 °Cday per generation). Past conditions were reconstructed from ERA5-Land for 1990–2024; whilefuture projections based on CORDEX-CORE (EUR-22) RegCM4 downscaling of three GCMs under RCP2.6 / SSP1–2.6-TYPE LOW FORCING and RCP8.5 / SSP5–8.5-TYPE HIGH FORCING for 2041–2070 and 2071–2099. Present-day patterns reproduce known potato belts and show high model-agreement across Western and Central Europe, with greater spread across complex terrains such as Alps, the Carpathians, and Fennoscandia, as well as at transition zones. Projections indicate a possible northward shift of suitability of the host and pest, with the strongest shift under RCP8.5 / SSP5–8.5-TYPE HIGH FORCING during 2071–2099. This shift is accompanied by an increasing ESI across the British Isles, southern Scandinavia and the Baltic region, while parts of the Mediterranean may become less suitableas a result of heat stres</w:t>
      </w:r>
    </w:p>
    <w:p>
      <w:pPr/>
      <w:r>
        <w:rPr>
          <w:b/>
        </w:rPr>
        <w:t>POSSIBLE 2025:</w:t>
      </w:r>
      <w:r>
        <w:t xml:space="preserve"> Projections of streamflow intermittence under climate change in European drying river networks — https://doi.org/10.5194/hess-29-1615-2025</w:t>
      </w:r>
    </w:p>
    <w:p>
      <w:pPr/>
      <w:r>
        <w:rPr>
          <w:b/>
        </w:rPr>
        <w:t>Shared claim-specific concepts:</w:t>
      </w:r>
      <w:r>
        <w:t xml:space="preserve"> climate, projections, shift, end, century, past; EU scope visible. This is a provisional connection, not an outcome finding.</w:t>
      </w:r>
    </w:p>
    <w:p>
      <w:pPr>
        <w:pStyle w:val="SourceNote"/>
      </w:pPr>
      <w:r>
        <w:rPr>
          <w:b/>
        </w:rPr>
        <w:t>Available abstract (not full text):</w:t>
      </w:r>
      <w:r>
        <w:t xml:space="preserve"> Abstract. Climate and land use changes, as well as human water use and flow alterations, are causing worldwide shifts in river flow dynamics. During the last decades, low-flows, flow intermittence, and drying have increased in many regions of the world, including Europe. This trend is projected to continue and exacerbate in the future, resulting in more frequent and intense hydrological droughts. However, due to a lack of data and studies on temporary rivers in the past, little is known about the processes governing the development of flow intermittence and drying, their timing and frequency, as well as their long-term evolution under climate change. Moreover, understanding the impact of climate change on the drying up of rivers is crucial to assess the impact of climate change on aquatic ecosystems, biodiversity and functional integrity of freshwater systems. This study is one of the first to present future projections of drying in intermittent river networks, and to analyze future changes in the drying patterns at high resolution spatial and temporal scale. The flow intermittence projections were produced using a hybrid hydrological model forced with climate projection data from 1985 until 2100 under three climate scenarios in six European drying river networks. The watersheds areas are situated in different biogeographic regions, located in Spain, France, Croatia, Hungary, C</w:t>
      </w:r>
    </w:p>
    <w:p>
      <w:pPr/>
      <w:r>
        <w:rPr>
          <w:b/>
        </w:rPr>
        <w:t>POSSIBLE 2025:</w:t>
      </w:r>
      <w:r>
        <w:t xml:space="preserve"> The Accelerating Exposure of European Protected Areas to Climate Change — https://doi.org/10.1111/gcb.70261</w:t>
      </w:r>
    </w:p>
    <w:p>
      <w:pPr/>
      <w:r>
        <w:rPr>
          <w:b/>
        </w:rPr>
        <w:t>Shared claim-specific concepts:</w:t>
      </w:r>
      <w:r>
        <w:t xml:space="preserve"> climate, area, highly; EU scope visible. This is a provisional connection, not an outcome finding.</w:t>
      </w:r>
    </w:p>
    <w:p>
      <w:pPr>
        <w:pStyle w:val="SourceNote"/>
      </w:pPr>
      <w:r>
        <w:rPr>
          <w:b/>
        </w:rPr>
        <w:t>Available abstract (not full text):</w:t>
      </w:r>
      <w:r>
        <w:t xml:space="preserve"> All ecosystems are affected by climate change, but differences in the pace of change will render some areas more exposed than others. Such spatial patterns of risk are important when assessing the continued functionality of protected area (PA) networks or planning for their expansion. Europe is undertaking an expansion of the PA network to cover 30% of its land and sea surface by 2030, but this must account for climate risk. Here, we estimate four metrics of future climate risk across Europe: local velocity, analog velocity, magnitude, and residence time, and assess the level of climate exposure of European PAs vs. nonprotected control sites. We also evaluate the intensity of climate risks on &gt; 1000 European species of conservation concern associated with Natura 2000 sites. Our results show large spatial differences in climate change exposure across Europe, with a faster pace and farther shifts in the Boreal, Steppic, and Pannonian regions but slower changes in the Mediterranean, Alpine, Arctic, and Macaronesia regions. The magnitude of climate change was higher for the Arctic, Alpine, and Mediterranean regions, implying large local differences between present and future climate. These spatial risk patterns were largely consistent across scenarios, but with up to three times higher risk under the most pessimistic vs. the most optimistic scenario. Large variation in climate expo</w:t>
      </w:r>
    </w:p>
    <w:p>
      <w:pPr/>
      <w:r>
        <w:rPr>
          <w:b/>
        </w:rPr>
        <w:t>POSSIBLE 2025:</w:t>
      </w:r>
      <w:r>
        <w:t xml:space="preserve"> Functional bat diversity and the role of the protected areas against climate change projections across Europe — https://doi.org/10.1016/j.scitotenv.2025.180567</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Assessment of the monthly risk of dirofilariosis infection in Europe and its projection to 2100 under climate change from a One Health perspective — https://doi.org/10.1186/s13071-025-07148-5</w:t>
      </w:r>
    </w:p>
    <w:p>
      <w:pPr/>
      <w:r>
        <w:rPr>
          <w:b/>
        </w:rPr>
        <w:t>Shared claim-specific concepts:</w:t>
      </w:r>
      <w:r>
        <w:t xml:space="preserve"> climate, temperatures; EU scope visible. This is a provisional connection, not an outcome finding.</w:t>
      </w:r>
    </w:p>
    <w:p>
      <w:pPr>
        <w:pStyle w:val="SourceNote"/>
      </w:pPr>
      <w:r>
        <w:rPr>
          <w:b/>
        </w:rPr>
        <w:t>Available abstract (not full text):</w:t>
      </w:r>
      <w:r>
        <w:t xml:space="preserve"> BACKGROUND: Dirofilariosis is a vector-borne zoonotic disease primarily caused by the parasitic nematodes Dirofilaria immitis and D. repens. In Europe, the disease has expanded from traditionally endemic southern countries to central and northeastern regions, many of which are now also considered endemic. This study aimed to generate infection risk maps for dirofilariosis in Europe using ecoinformatic tools, at both annual and monthly scales, to serve as a prevention tool and contribute to more effective control of the disease, as well as helping to stop its spread. METHODS: A habitat suitability map was generated for the two most important and widely distributed culicid vectors in Europe (Culex pipiens and Aedes albopictus). This map was weighted with the number of D. immitis generations in the vectors, both annually and monthly. The resulting annual risk map was validated with georeferenced records of D. immitis- and D. repens-infected dogs and cats. In addition, a future habitat suitability projection for both vector species was performed for the year 2100 under the Representative Concentration Pathway (RCP) 8.5 climate change scenario. RESULTS: Dirofilariosis infection risk in Europe is highest in southern countries, where favorable climatic conditions and increased vector activity coincide. Central Europe showed medium- to high-risk values, while northern latitudes exhibit</w:t>
      </w:r>
    </w:p>
    <w:p>
      <w:pPr/>
      <w:r>
        <w:rPr>
          <w:b/>
        </w:rPr>
        <w:t>POSSIBLE 2025:</w:t>
      </w:r>
      <w:r>
        <w:t xml:space="preserve"> What do warming-adjusted CORDEX RCM projections tell us about climate change in central Europe? — https://doi.org/10.5194/egusphere-egu25-15870</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The majority of CORDEX RCMs show an underestimation of historical warming compared to observations, as well as an underestimation of projected warming compared to global climate models. This is in part due to a lack of consideration of changing aerosol concentrations, with a particularly strong effect in Europe leading to a delayed warming. We have developed a new method to address this issue and present the results of the warming-adjusted data. The method adjusts the CORDEX RCM simulations by using a mapping based on large scale warming with only few parameters and minimal interventions, preserving time monotony. The impact of the method is strongest for high emission scenarios but can be demonstrated for all emission scenarios.An application is shown for a central European region and within this framework we analyze adjusted climate projections. Compared to global climate model experiments, warming-adjusted RCM simulations better capture fine-scale details such as complex orography, yet – by design – feature the same overall temperature evolution across Western Europe. The presented method could also be useful for CORDEX projections for other regions and can provide information for upcoming assessment reports.</w:t>
      </w:r>
    </w:p>
    <w:p>
      <w:pPr/>
      <w:r>
        <w:rPr>
          <w:b/>
        </w:rPr>
        <w:t>POSSIBLE 2025:</w:t>
      </w:r>
      <w:r>
        <w:t xml:space="preserve"> Assessment of the monthly risk of dirofilariosis infection in Europe and its projection to 2100 under climate change from a One Health perspective — https://doi.org/10.6084/m9.figshare.c.8225063</w:t>
      </w:r>
    </w:p>
    <w:p>
      <w:pPr/>
      <w:r>
        <w:rPr>
          <w:b/>
        </w:rPr>
        <w:t>Shared claim-specific concepts:</w:t>
      </w:r>
      <w:r>
        <w:t xml:space="preserve"> climate, temperatures; EU scope visible. This is a provisional connection, not an outcome finding.</w:t>
      </w:r>
    </w:p>
    <w:p>
      <w:pPr>
        <w:pStyle w:val="SourceNote"/>
      </w:pPr>
      <w:r>
        <w:rPr>
          <w:b/>
        </w:rPr>
        <w:t>Available abstract (not full text):</w:t>
      </w:r>
      <w:r>
        <w:t xml:space="preserve"> Abstract Background Dirofilariosis is a vector-borne zoonotic disease primarily caused by the parasitic nematodes Dirofilaria immitis and D. repens. In Europe, the disease has expanded from traditionally endemic southern countries to central and northeastern regions, many of which are now also considered endemic. This study aimed to generate infection risk maps for dirofilariosis in Europe using ecoinformatic tools, at both annual and monthly scales, to serve as a prevention tool and contribute to more effective control of the disease, as well as helping to stop its spread. Methods A habitat suitability map was generated for the two most important and widely distributed culicid vectors in Europe (Culex pipiens and Aedes albopictus). This map was weighted with the number of D. immitis generations in the vectors, both annually and monthly. The resulting annual risk map was validated with georeferenced records of D. immitis- and D. repens-infected dogs and cats. In addition, a future habitat suitability projection for both vector species was performed for the year 2100 under the Representative Concentration Pathway (RCP) 8.5 climate change scenario. Results Dirofilariosis infection risk in Europe is highest in southern countries, where favorable climatic conditions and increased vector activity coincide. Central Europe showed medium- to high-risk values, while northern latitudes e</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climate, projections, highly, uncertain;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2024:</w:t>
      </w:r>
      <w:r>
        <w:t xml:space="preserve"> Changes in universal thermal climate index from regional climate model projections over European beaches — https://doi.org/10.1016/j.cliser.2024.100447</w:t>
      </w:r>
    </w:p>
    <w:p>
      <w:pPr/>
      <w:r>
        <w:rPr>
          <w:b/>
        </w:rPr>
        <w:t>Shared claim-specific concepts:</w:t>
      </w:r>
      <w:r>
        <w:t xml:space="preserve"> climate, projections, end, century; EU scope visible. This is a provisional connection, not an outcome finding.</w:t>
      </w:r>
    </w:p>
    <w:p>
      <w:pPr>
        <w:pStyle w:val="SourceNote"/>
      </w:pPr>
      <w:r>
        <w:rPr>
          <w:b/>
        </w:rPr>
        <w:t>Available abstract (not full text):</w:t>
      </w:r>
      <w:r>
        <w:t xml:space="preserve"> Millions of people travel to European beaches making beach tourism the largest tourism sector. Understanding how person’s thermal comfort changes with projected climate change, which is paramount in deciding where and when to visit, can help the tourism sector mitigate risk and identify opportunities. Sustainable adaptation strategies for coastal tourism can be developed for different regional changes. This work calculates the Universal Thermal Comfort Index (UTCI), a comprehensive assessment of the human physiological response to the thermal environment, from an ensemble of regional climate models participating in EURO-CORDEX. Under Representative Concentration Pathways (RCP) 8.5, the ensemble’s projections of the UTCI in the near- and far-future, compared to a historical reference period, show a robust and statistically significant increase across the entire EURO-CORDEX domain. Four popular beach regions in Germany, Italy, France, and Spain show the beach season can be extended - starting earlier and ending later each year. Across the Mediterranean, July and August exhibit, on average, 4 more days of ‘very strong’ heat stress and 1 day of ‘extreme’ heat stress at the end of the century. In accordance with FAIR data science principles, the UTCI calculation is available in the xclim open-source python library.</w:t>
      </w:r>
    </w:p>
    <w:p>
      <w:pPr>
        <w:pStyle w:val="Heading2"/>
      </w:pPr>
      <w:r>
        <w:t>847. STRATEGIC DIRECTIONS OF DEVELOPMENT OF THE POLISH POWER SECTOR IN THE LIGHT OF CLIMATE AND ENERGY POLICY OF THE EUROPEAN UNION</w:t>
      </w:r>
    </w:p>
    <w:p>
      <w:pPr>
        <w:pStyle w:val="SourceNote"/>
      </w:pPr>
      <w:r>
        <w:rPr>
          <w:b/>
        </w:rPr>
        <w:t>Original source (2016):</w:t>
      </w:r>
      <w:r>
        <w:t xml:space="preserve"> https://doi.org/10.7862/rz.2016.hss.18</w:t>
      </w:r>
    </w:p>
    <w:p>
      <w:pPr/>
      <w:r>
        <w:t>Original wording (abstract; indexed_source_text_not_full_document_verified): The paper analyzes the possible directions of development of the Polish electricity sector by 2050 in terms of its adaptation to the EU requirements.The analysis was performed for different scenarios of development of CCS technology, nuclear energy development conditions and forecasted fuel prices on the domestic market, assuming the EU's targets for energy and climate policy.Strategic directions of sector development, taking into account investments in gas-fired and nuclear power plants were considered.Position of coal in the future fuel structure of Polish electricity generation and its conditions were discussed.The costs of electricity production in the analyzed scenarios are set out.The areas of government activityessential for strategic decisions determining the direction of development of the energy sector in Poland are presented.The presented studies assumed equal preferences for all types of fuels and technologies while assuming the market prices of fuels.The Government, determining the desired directions of development of the sector, can stimulate their development by creating preferences, such as preferential tax treatment.Essential is active participation of the Polish government in setting the specific targets valid for European countries in future.Without denying the need to reduce emissions, Poland should have an impact on the choice of quantity and quality of indicative targets, which will have to be met.A target to reduce emissions should not be accompanied by further objectives.For example, a target to increase share of renewable energy sources limits the development of energy mix.</w:t>
      </w:r>
    </w:p>
    <w:p>
      <w:pPr/>
      <w:r>
        <w:rPr>
          <w:b/>
        </w:rPr>
        <w:t>POSSIBLE 2026:</w:t>
      </w:r>
      <w:r>
        <w:t xml:space="preserve"> On Possibility of Converting Electricity Generation System Based on Fossil Fuels to Fully Renewable—Polish Case — https://doi.org/10.3390/en19020483</w:t>
      </w:r>
    </w:p>
    <w:p>
      <w:pPr/>
      <w:r>
        <w:rPr>
          <w:b/>
        </w:rPr>
        <w:t>Shared claim-specific concepts:</w:t>
      </w:r>
      <w:r>
        <w:t xml:space="preserve"> polish, electricity, sector, energy, conditions, fuel; EU scope visible. This is a provisional connection, not an outcome finding.</w:t>
      </w:r>
    </w:p>
    <w:p>
      <w:pPr>
        <w:pStyle w:val="SourceNote"/>
      </w:pPr>
      <w:r>
        <w:rPr>
          <w:b/>
        </w:rPr>
        <w:t>Available abstract (not full text):</w:t>
      </w:r>
      <w:r>
        <w:t xml:space="preserve"> The energy sector in all countries around the world is undergoing a transformation, with the main trend being the increasing share of renewable sources. Some countries, such as those in the European Union, have set themselves the goal of completely phasing out fossil fuels by 2050. Currently, the energy systems of European countries are far from this goal, and fossil fuels play a key role in balancing energy systems. This article presents a one-year simulation of a hypothetical Polish energy system based solely on renewable sources and utilizing biomethane, synthetic ammonia, and solid biomass as sources to ensure energy supply in the event of unfavorable weather conditions, which means a lack of wind and solar radiation. Six variants of these systems were analyzed, demonstrating the feasibility of such a system using only biogas as a stabilizing fuel. The required generating capacities of wind turbines, photovoltaic panels, and installations for converting biomethane, ammonia, and solid biomass into electricity were determined. Calculations were based on historical data recorded in 2024 in the Polish energy system. It was found that by increasing currently installed PV and wind turbines by a factor of 4.8 and installing 24 GW of ICE engines fueled with biomethane and an additional 10 GW of ORC modules, current electricity demand would be covered 100% by renewable energy source</w:t>
      </w:r>
    </w:p>
    <w:p>
      <w:pPr/>
      <w:r>
        <w:rPr>
          <w:b/>
        </w:rPr>
        <w:t>POSSIBLE 2026:</w:t>
      </w:r>
      <w:r>
        <w:t xml:space="preserve"> Analysis of Demand-Driven Operation in an Existing Biogas Plant Under Polish Electricity Market Conditions — https://doi.org/10.3390/en19133119</w:t>
      </w:r>
    </w:p>
    <w:p>
      <w:pPr/>
      <w:r>
        <w:rPr>
          <w:b/>
        </w:rPr>
        <w:t>Shared claim-specific concepts:</w:t>
      </w:r>
      <w:r>
        <w:t xml:space="preserve"> polish, electricity, energy, conditions; EU scope visible. This is a provisional connection, not an outcome finding.</w:t>
      </w:r>
    </w:p>
    <w:p>
      <w:pPr>
        <w:pStyle w:val="SourceNote"/>
      </w:pPr>
      <w:r>
        <w:rPr>
          <w:b/>
        </w:rPr>
        <w:t>Available abstract (not full text):</w:t>
      </w:r>
      <w:r>
        <w:t xml:space="preserve"> This study addresses the increasing need for flexibility in the Polish Power System (PPS), particularly in the context of growing price volatility on the Day-Ahead Market (DAM) resulting from the rising share of renewable energy sources (RESs). The aim of the study was to assess the feasibility of implementing demand-driven operation in an existing linear biogas plant in Poland and to develop a Decision-Making Model (DMM) for optimizing its operation based on electricity price forecasts. A machine learning model based on Extreme Gradient Boosting (XGBoost) was developed using historical electricity price, demand and weather data and integrated into the DMM to generate hourly operating schedules. The model achieved high predictive accuracy, with a Mean Absolute Error (MAE) of approximately 51 PLN/MWh, and effectively captured nonlinear price dynamics. Based on predefined decision thresholds—biogas production rate, current biogas storage level, upper and lower limits of pressure in biogas storage capacity, maximum biogas storage duration, power quotient (PQ) and electricity price levels—optimal operating strategies were determined. The results indicate that while demand-driven operation is technically feasible and enables better alignment with market signals, its economic viability remains limited under current market and regulatory conditions. Investment in additional cogenerati</w:t>
      </w:r>
    </w:p>
    <w:p>
      <w:pPr/>
      <w:r>
        <w:rPr>
          <w:b/>
        </w:rPr>
        <w:t>POSSIBLE 2025:</w:t>
      </w:r>
      <w:r>
        <w:t xml:space="preserve"> Forecasting electricity prices in the Polish Day-Ahead Market using machine learning models — https://doi.org/10.33223/epj/207197</w:t>
      </w:r>
    </w:p>
    <w:p>
      <w:pPr/>
      <w:r>
        <w:rPr>
          <w:b/>
        </w:rPr>
        <w:t>Shared claim-specific concepts:</w:t>
      </w:r>
      <w:r>
        <w:t xml:space="preserve"> polish, electricity, energy; EU scope not established. This is a provisional connection, not an outcome finding.</w:t>
      </w:r>
    </w:p>
    <w:p>
      <w:pPr>
        <w:pStyle w:val="SourceNote"/>
      </w:pPr>
      <w:r>
        <w:rPr>
          <w:b/>
        </w:rPr>
        <w:t>Available abstract (not full text):</w:t>
      </w:r>
      <w:r>
        <w:t xml:space="preserve"> Given the constantly changing market situation for electricity prices, driven by shifts in the energy mix, regulatory reforms, and broader socio-economic factors, it is necessary to reassess the understanding of price forecasting periodically.Traditional statistical methods may struggle when faced with heightened volatility, nonlinear dependencies, and rapidly changing input features.In contrast, machine learning models, particularly Artificial Neural Networks (ANNs), can adapt more effectively to complex, non-stationary patterns in price time series.In this study, six distinct artificial neural network (ANN) architectures were developed and trained using eight years of historical Polish Day-Ahead Market electricity price data (2016-2024).Four of these were plain deep learning models: a Multilayer Perceptron (MLP), a Convolutional Neural Network (CNN), a Long Short-Term Memory (LSTM) model, and a Gated Recurrent Unit (GRU) model.Two others were hybrid models combining convolutional layers with recurrent layers.The hybrid architectures, namely CNN+LSTM and CNN+GRU, were designed to leverage the capacity of CNN to automatically extract features from narrower sliding windows of past prices and the LSTM/GRU layers' ability to capture long-term temporal dependencies.The models' performances were evaluated using three metrics: Mean Absolute Error (MAE), Root Mean Squared Error (RMSE)</w:t>
      </w:r>
    </w:p>
    <w:p>
      <w:pPr/>
      <w:r>
        <w:rPr>
          <w:b/>
        </w:rPr>
        <w:t>POSSIBLE 2025:</w:t>
      </w:r>
      <w:r>
        <w:t xml:space="preserve"> How to Mitigate the Risk of Late Payments? The Case of the Largest Polish Companies Selling Electricity in 2018–2023 — https://doi.org/10.3390/en18081918</w:t>
      </w:r>
    </w:p>
    <w:p>
      <w:pPr/>
      <w:r>
        <w:rPr>
          <w:b/>
        </w:rPr>
        <w:t>Shared claim-specific concepts:</w:t>
      </w:r>
      <w:r>
        <w:t xml:space="preserve"> analyzes, polish, electricity, terms, energy; EU scope visible. This is a provisional connection, not an outcome finding.</w:t>
      </w:r>
    </w:p>
    <w:p>
      <w:pPr>
        <w:pStyle w:val="SourceNote"/>
      </w:pPr>
      <w:r>
        <w:rPr>
          <w:b/>
        </w:rPr>
        <w:t>Available abstract (not full text):</w:t>
      </w:r>
      <w:r>
        <w:t xml:space="preserve"> Companies operating in the energy market in Poland conduct business activity on the basis of special regulations applicable to this type of entity. However, they are, like any other entrepreneur, exposed to the risk of delays in payments, non-payment, restructuring, or even bankruptcy of their contractor. Appropriate instruments should be used to mitigate these risks. There are many methods available today to deal with trading risks. However, they should be tailored to the individual needs of each entrepreneur based on an in-depth analysis of its contractors. This article analyzes the five largest companies selling electricity in Poland in terms of the risk of late payments in the period 2018–2023. It turned out that in the surveyed companies in the period 2018–2013, the amount of receivables was constantly increasing, and the average recovery term was longer than the average payment term in enterprises in general. The real impact of delayed payments on the profitability of the surveyed companies was also calculated. Then, the available methods of transaction risk mitigation (tangible collateral, personal collateral, form of paying, other legal, banking and insurance instruments) were analyzed and described, and whether and to what extent they are used in the surveyed companies. The conducted research also allowed the author to conclude that, unfortunately, despite the existenc</w:t>
      </w:r>
    </w:p>
    <w:p>
      <w:pPr/>
      <w:r>
        <w:rPr>
          <w:b/>
        </w:rPr>
        <w:t>POSSIBLE 2025:</w:t>
      </w:r>
      <w:r>
        <w:t xml:space="preserve"> A Possible Way to Enhance European Competitiveness — https://doi.org/10.34190/ecie.20.1.3930</w:t>
      </w:r>
    </w:p>
    <w:p>
      <w:pPr/>
      <w:r>
        <w:rPr>
          <w:b/>
        </w:rPr>
        <w:t>Shared claim-specific concepts:</w:t>
      </w:r>
      <w:r>
        <w:t xml:space="preserve"> possible, directions; EU scope visible. This is a provisional connection, not an outcome finding.</w:t>
      </w:r>
    </w:p>
    <w:p>
      <w:pPr>
        <w:pStyle w:val="SourceNote"/>
      </w:pPr>
      <w:r>
        <w:rPr>
          <w:b/>
        </w:rPr>
        <w:t>Available abstract (not full text):</w:t>
      </w:r>
      <w:r>
        <w:t xml:space="preserve"> In our Conference presentation, we would like to present a possible way to enhance European Competitiveness, which is registered in the Hungarian Intellectual Property Office under the name of the “IK &amp; International Innovation Center” Project. (Voluntary registration number: Y2500012). In the introductory part, our previous research results – primarily related to Library Innovation, generating creativity and startups and the associated social media platform – will be briefly presented. In our presentation, we will also discuss the results of university students’ responses to online questionnaires related to this topic. The International Innovation Center Project (IICP) aims to increase the competitiveness of the EU by establishing an International Innovation Center, which would be implemented in the capital of an EU member state, with the participation of all EU countries. Some main parameters: in the 27-story “Metropolis”, each EU member state would have its own floor – research lab, mini innovative exhibition area, luxury apartment – ​​as well as a “common” innovative Startup centre (permanent interactive exhibition open to both professionals and the general public), a common, high-tech equipped, ergonomic, library research and development lab including Coworking elements, an international conference centre, a cultural and sports centre, an Innovation Park with a helipad. Th</w:t>
      </w:r>
    </w:p>
    <w:p>
      <w:pPr/>
      <w:r>
        <w:rPr>
          <w:b/>
        </w:rPr>
        <w:t>POSSIBLE 2024:</w:t>
      </w:r>
      <w:r>
        <w:t xml:space="preserve"> Study of directions of unification of technology transfer in ukraine with the regulation of the European Union — https://doi.org/10.37772/2518-1718-2024-3(47)-2</w:t>
      </w:r>
    </w:p>
    <w:p>
      <w:pPr/>
      <w:r>
        <w:rPr>
          <w:b/>
        </w:rPr>
        <w:t>Shared claim-specific concepts:</w:t>
      </w:r>
      <w:r>
        <w:t xml:space="preserve"> possible, directions, requirements, technology, conditions; EU scope visible. This is a provisional connection, not an outcome finding.</w:t>
      </w:r>
    </w:p>
    <w:p>
      <w:pPr>
        <w:pStyle w:val="SourceNote"/>
      </w:pPr>
      <w:r>
        <w:rPr>
          <w:b/>
        </w:rPr>
        <w:t>Available abstract (not full text):</w:t>
      </w:r>
      <w:r>
        <w:t xml:space="preserve"> Problem setting. In modern economic conditions, the key to effective economic development of any country is the development of the production sphere of the national economy. At the same time, its level depends on the penetration of knowledge-intensive, advanced and breakthrough technologies. Most economically developed countries even implement integrated state policies aimed at stimulating and scaling technology transfer processes. Thanks to this, the number of those technologies that are implemented in the sphere of public production increases, and the share of highly competitive products increases significantly. The economic system of Ukraine is no exception to this rule. Thus, since 2006, Ukraine has had a special official document the Law of Ukraine “On State Regulation of Activities in the Field of Technology Transfer”. Its main task is to determine the requirements of how the state (in the form of authorized bodies) will contribute to the scaling process of technology transfer. The course announced by Ukraine for joining the European Union (hereinafter referred to as “the EU”) imposes on it special obligations regarding the unification of regulatory approaches to the identification of technology transfer with EU requirements. The specified situation determines, on the one hand, the relevance of scientific research on this topic, and places on scientists the task of formin</w:t>
      </w:r>
    </w:p>
    <w:p>
      <w:pPr/>
      <w:r>
        <w:rPr>
          <w:b/>
        </w:rPr>
        <w:t>POSSIBLE 2024:</w:t>
      </w:r>
      <w:r>
        <w:t xml:space="preserve"> THE POLISH ENERGY SECTOR CHARACTERISTICS IN COMPARISON TO EUROPEAN UNION COUNTRIES IN TERMS OF SUSTAINABLE DEVELOPMENT — https://doi.org/10.64758/6drf3g79</w:t>
      </w:r>
    </w:p>
    <w:p>
      <w:pPr/>
      <w:r>
        <w:rPr>
          <w:b/>
        </w:rPr>
        <w:t>Shared claim-specific concepts:</w:t>
      </w:r>
      <w:r>
        <w:t xml:space="preserve"> analyzes, possible, polish, electricity, sector, terms; EU scope visible. This is a provisional connection, not an outcome finding.</w:t>
      </w:r>
    </w:p>
    <w:p>
      <w:pPr>
        <w:pStyle w:val="SourceNote"/>
      </w:pPr>
      <w:r>
        <w:rPr>
          <w:b/>
        </w:rPr>
        <w:t>Available abstract (not full text):</w:t>
      </w:r>
      <w:r>
        <w:t xml:space="preserve"> In every country, the energy sector plays a very important role - from its efficient operation electricity and heat supplies depend on. Moreover, its level of efficiency can measurably affect the condition of the natural and the social environment. Therefore, the purpose of this article was to examine to what extent the Polish energy sector fulfills the framework of sustainable development conception. In order to achieve the adopted objective, comparative analyzes have been carried out among all European Union countries. It allowed to identify areas in which the Polish energy sector fully implements the principles and objectives of this concept, as well as areas where still there is a lot need to be dome. The analyzes concerned several key issues: the level of energy generated from renewable energy sources (RES), the structure of sources of raw materials for energy production, the values of regulatory indicators for sustainable energy, level of greenhouse gas and pollutants emissions by energy sector, environmental taxes paid by energy sector, environmental protection expenditure of energy sector, environmental investments and wastewater management and, last but not least, innovations expenditures of energy sector. Examining these issues makes it possible to determine the so-called “level of sustainability" or the sustainability in energy sector degree’s determination for Polan</w:t>
      </w:r>
    </w:p>
    <w:p>
      <w:pPr/>
      <w:r>
        <w:rPr>
          <w:b/>
        </w:rPr>
        <w:t>POSSIBLE 2024:</w:t>
      </w:r>
      <w:r>
        <w:t xml:space="preserve"> Perspectives of Electricity Production from Biogas in the European Union — https://doi.org/10.3390/en17051169</w:t>
      </w:r>
    </w:p>
    <w:p>
      <w:pPr/>
      <w:r>
        <w:rPr>
          <w:b/>
        </w:rPr>
        <w:t>Shared claim-specific concepts:</w:t>
      </w:r>
      <w:r>
        <w:t xml:space="preserve"> electricity, different, technology, energy; EU scope visible. This is a provisional connection, not an outcome finding.</w:t>
      </w:r>
    </w:p>
    <w:p>
      <w:pPr>
        <w:pStyle w:val="SourceNote"/>
      </w:pPr>
      <w:r>
        <w:rPr>
          <w:b/>
        </w:rPr>
        <w:t>Available abstract (not full text):</w:t>
      </w:r>
      <w:r>
        <w:t xml:space="preserve"> Biogas is a renewable energy source (RES). The aim of this research was to analyze the perspectives of electricity production from biogas in the European Union. The main source of information was data from Eurostat. We analyzed electricity production from biogas in the European Union (EU). The scope of this research was data from 2012 to 2021. First, we presented biogas production by feedstock type across the world. Then, we presented changes in electricity production from biogas in the EU. We used different methods to evaluate the changes in biogas production. First, we used the ARiMA (Autoregressive Moving Average) model to evaluate the stationarity of the time series. Our electricity production from biogas data proved to be stationary. Second, we elaborated on the prognosis of future changes in electricity production from biogas. The largest producer of biogas is the EU, and it is produced from crops, animal manure, and municipal solid waste. Our research found that the largest production from biogas in 2021 took place in Germany, Italy, and France. These countries have the greatest potential for electricity production from biogas, and they have spent significant funds on facilities and technology. Such countries as Ireland, Greece, Spain, France, Croatia, Poland, Portugal, Romania, Finland, and Sweden increased their electricity production from biogas in 2021 compared to 20</w:t>
      </w:r>
    </w:p>
    <w:p>
      <w:pPr/>
      <w:r>
        <w:rPr>
          <w:b/>
        </w:rPr>
        <w:t>POSSIBLE 2024:</w:t>
      </w:r>
      <w:r>
        <w:t xml:space="preserve"> Changes in Gross Nuclear Electricity Production in the European Union — https://doi.org/10.3390/en17143554</w:t>
      </w:r>
    </w:p>
    <w:p>
      <w:pPr/>
      <w:r>
        <w:rPr>
          <w:b/>
        </w:rPr>
        <w:t>Shared claim-specific concepts:</w:t>
      </w:r>
      <w:r>
        <w:t xml:space="preserve"> electricity, terms, nuclear, energy, fuel; EU scope visible. This is a provisional connection, not an outcome finding.</w:t>
      </w:r>
    </w:p>
    <w:p>
      <w:pPr>
        <w:pStyle w:val="SourceNote"/>
      </w:pPr>
      <w:r>
        <w:rPr>
          <w:b/>
        </w:rPr>
        <w:t>Available abstract (not full text):</w:t>
      </w:r>
      <w:r>
        <w:t xml:space="preserve"> Economic development requires a constant supply of energy. The utilization of fossil fuels causes environmental pollution and greenhouse gas emissions. The effects of fossil fuel use have impacted global warming, which may affect the world. The problem of environmental degradation can be decreased by using renewable energy sources and nuclear energy. The role of nuclear energy is increasing. More than 10% of electric energy is now produced from nuclear energy worldwide. However, the share varies by country. For example, in France, it is 70%, in Slovakia, it is 55%, and in Ukraine, it is 53%. Many countries do not have nuclear energy at all. This study aims to investigate the development of gross nuclear electricity production both in the world and in the European Union (EU) in terms of stationarity and prognosis. To achieve the goal of this study, the authors utilized descriptive statistics. The time range included the period 1990–2022. This long time period enabled us to conduct the ADF (Augmented Dickey Fuller) test. According to our analysis, gross nuclear electricity production in the European Union (EU) was stationary. We also evaluated future prognosis using the ARIMA (Autoregressive Moving Average) model. We also used the Vector Autoregressive (VAR) model to evaluate changes within nuclear electricity production. Based on our research, we can conclude that the data were </w:t>
      </w:r>
    </w:p>
    <w:p>
      <w:pPr/>
      <w:r>
        <w:rPr>
          <w:b/>
        </w:rPr>
        <w:t>POSSIBLE 2024:</w:t>
      </w:r>
      <w:r>
        <w:t xml:space="preserve"> Recombination of Porcine Reproductive and Respiratory Syndrome Virus: Features, Possible Mechanisms, and Future Directions — https://doi.org/10.3390/v16060929</w:t>
      </w:r>
    </w:p>
    <w:p>
      <w:pPr/>
      <w:r>
        <w:rPr>
          <w:b/>
        </w:rPr>
        <w:t>Shared claim-specific concepts:</w:t>
      </w:r>
      <w:r>
        <w:t xml:space="preserve"> possible, directions, different; EU scope not established. This is a provisional connection, not an outcome finding.</w:t>
      </w:r>
    </w:p>
    <w:p>
      <w:pPr>
        <w:pStyle w:val="SourceNote"/>
      </w:pPr>
      <w:r>
        <w:rPr>
          <w:b/>
        </w:rPr>
        <w:t>Available abstract (not full text):</w:t>
      </w:r>
      <w:r>
        <w:t xml:space="preserve"> Recombination is a pervasive phenomenon in RNA viruses and an important strategy for accelerating the evolution of RNA virus populations. Recombination in the porcine reproductive and respiratory syndrome virus (PRRSV) was first reported in 1999, and many case reports have been published in recent years. In this review, all the existing reports on PRRSV recombination events were collected, and the genotypes, parental strains, and locations of the recombination breakpoints have been summarized and analyzed. The results showed that the recombination pattern constantly changes; whether inter- or intra-lineage recombination, the recombination hotspots vary in different recombination patterns. The virulence of recombinant PRRSVs was higher than that of the parental strains, and the emergence of virulence reversion was caused by recombination after using MLV vaccines. This could be attributed to the enhanced adaptability of recombinant PRRSV for entry and replication, facilitating their rapid propagation. The aim of this paper was to identify common features of recombinant PRRSV strains, reduce the recombination risk, and provide a foundation for future research into the mechanism of PRRSV recombination.</w:t>
      </w:r>
    </w:p>
    <w:p>
      <w:pPr/>
      <w:r>
        <w:rPr>
          <w:b/>
        </w:rPr>
        <w:t>POSSIBLE 2023:</w:t>
      </w:r>
      <w:r>
        <w:t xml:space="preserve"> Decoding ChatGPT: A taxonomy of existing research, current challenges, and possible future directions — https://doi.org/10.1016/j.jksuci.2023.101675</w:t>
      </w:r>
    </w:p>
    <w:p>
      <w:pPr/>
      <w:r>
        <w:rPr>
          <w:b/>
        </w:rPr>
        <w:t>Shared claim-specific concepts:</w:t>
      </w:r>
      <w:r>
        <w:t xml:space="preserve"> possible, directions; EU scope not established. This is a provisional connection, not an outcome finding.</w:t>
      </w:r>
    </w:p>
    <w:p>
      <w:pPr>
        <w:pStyle w:val="SourceNote"/>
      </w:pPr>
      <w:r>
        <w:rPr>
          <w:b/>
        </w:rPr>
        <w:t>Available abstract (not full text):</w:t>
      </w:r>
      <w:r>
        <w:t xml:space="preserve"> Chat Generative Pre-trained Transformer (ChatGPT) has gained significant interest and attention since its launch in November 2022. It has shown impressive performance in various domains, including passing exams and creative writing. However, challenges and concerns related to biases and trust persist. In this work, we present a comprehensive review of over 100 Scopus-indexed publications on ChatGPT, aiming to provide a taxonomy of ChatGPT research and explore its applications. We critically analyze the existing literature, identifying common approaches employed in the studies. Additionally, we investigate diverse application areas where ChatGPT has found utility, such as healthcare, marketing and financial services, software engineering, academic and scientific writing, research and education, environmental science, and natural language processing. Through examining these applications, we gain valuable insights into the potential of ChatGPT in addressing real-world challenges. We also discuss crucial issues related to ChatGPT, including biases and trustworthiness, emphasizing the need for further research and development in these areas. Furthermore, we identify potential future directions for ChatGPT research, proposing solutions to current challenges and speculating on expected advancements. By fully leveraging the capabilities of ChatGPT, we can unlock its potential across va</w:t>
      </w:r>
    </w:p>
    <w:p>
      <w:pPr/>
      <w:r>
        <w:rPr>
          <w:b/>
        </w:rPr>
        <w:t>POSSIBLE 2023:</w:t>
      </w:r>
      <w:r>
        <w:t xml:space="preserve"> Directions and risks for the recovery of Ukraine in the context of European integration during the recovery period — https://doi.org/10.24144/2788-6018.2023.03.15</w:t>
      </w:r>
    </w:p>
    <w:p>
      <w:pPr/>
      <w:r>
        <w:rPr>
          <w:b/>
        </w:rPr>
        <w:t>Shared claim-specific concepts:</w:t>
      </w:r>
      <w:r>
        <w:t xml:space="preserve"> analyzes, possible, directions, terms, adaptation, domestic; EU scope visible. This is a provisional connection, not an outcome finding.</w:t>
      </w:r>
    </w:p>
    <w:p>
      <w:pPr>
        <w:pStyle w:val="SourceNote"/>
      </w:pPr>
      <w:r>
        <w:rPr>
          <w:b/>
        </w:rPr>
        <w:t>Available abstract (not full text):</w:t>
      </w:r>
      <w:r>
        <w:t xml:space="preserve"> The work highlights directions for the restoration of Ukraine in the modern and post-war period. The main principles of the country’s recovery plan have been defined and analyzed, including the immediate start and gradual development of building up fair welfare, integration into the EU, restoration and building up of the economy for, the fight against corruption, and the stimulation of private investments. It has been determined that the institutional reforms discussed at the domestic and international level in Ukraine will become prerequisites for economic development, but appropriate measures aimed at the development of international trade and the attraction of direct foreign investment, the creation of a favorable business climate and an inclusive and sustainable financial system will also be required. For example, war risk insurance (similar to what is done by the World Bank-run Multilateral Investment Guarantee Agency (MIGA)) will be necessary to address security concerns that Ukrainian and foreign investors may have. While the process of preparation for the negotiations on Ukraine’s accession to the European Union continues, our country must carry out extensive preparatory work, including in terms of adapting national legislation to the norms of the Union, which, by the way, are also constantly changing, and prevent the occurrence of numerous risks along the way. Of cours</w:t>
      </w:r>
    </w:p>
    <w:p>
      <w:pPr>
        <w:pStyle w:val="Heading2"/>
      </w:pPr>
      <w:r>
        <w:t>848. Scenario planning as communicative action: Lessons from participatory exercises conducted for the Scottish livestock industry</w:t>
      </w:r>
    </w:p>
    <w:p>
      <w:pPr>
        <w:pStyle w:val="SourceNote"/>
      </w:pPr>
      <w:r>
        <w:rPr>
          <w:b/>
        </w:rPr>
        <w:t>Original source (2016):</w:t>
      </w:r>
      <w:r>
        <w:t xml:space="preserve"> https://doi.org/10.1016/j.techfore.2016.07.034</w:t>
      </w:r>
    </w:p>
    <w:p>
      <w:pPr/>
      <w:r>
        <w:t>Original wording (abstract; indexed_source_text_not_full_document_verified): The paper considers the extent to which the case study approximates the conditions for ‘ideal speech situations’ and how these conditions could be applied more widely in participatory scenario planning. The authors explore the rationale for participatory scenario planning within the science–policy interface with critical reference to the corporate context in which scenario planning has evolved.</w:t>
      </w:r>
    </w:p>
    <w:p>
      <w:pPr/>
      <w:r>
        <w:rPr>
          <w:b/>
        </w:rPr>
        <w:t>POSSIBLE 2026:</w:t>
      </w:r>
      <w:r>
        <w:t xml:space="preserve"> Modelling the frequency and extent of waterlogging: a case study — https://doi.org/10.36334/modsim2025.j10.beverly</w:t>
      </w:r>
    </w:p>
    <w:p>
      <w:pPr/>
      <w:r>
        <w:rPr>
          <w:b/>
        </w:rPr>
        <w:t>Shared claim-specific concepts:</w:t>
      </w:r>
      <w:r>
        <w:t xml:space="preserve"> extent, case, conditions, applied, within; EU scope not established. This is a provisional connection, not an outcome finding.</w:t>
      </w:r>
    </w:p>
    <w:p>
      <w:pPr>
        <w:pStyle w:val="SourceNote"/>
      </w:pPr>
      <w:r>
        <w:rPr>
          <w:b/>
        </w:rPr>
        <w:t>Available abstract (not full text):</w:t>
      </w:r>
      <w:r>
        <w:t xml:space="preserve"> Waterlogging in soils due to the formation of perched water tables is a significant issue within the Australian landscape, resulting in annual crop losses of $300M.The ability to predict the timing and extent of waterlogging enables the formulation of adaptation and mitigation strategies, including land forming, surface and sub-soil drainage, soil management, crop selection and management, genetic breeding and combinations thereof for enhanced waterlogging tolerance.Assessing these options to increase agricultural production under varying agroclimatic conditions requires the creation and application of a spatiotemporal modelling framework that accounts for the complex interactions between landscape hydrology, soil properties and plant dynamics.To assess the frequency and duration of waterlogging, a pseudo three-dimensional modelling framework was developed that accounts for landscape position and hydrological connectivity whereby upslope management units connect to adjacent downslope units.The novel aspect of the framework is the integration of farming system models that simulate daily soil-water-crop interactions with a hydrologically connected surface element network, enabling application across varying scales, from farm to sub-catchment to basin.The current study aimed to evaluate the impact of landscape position on the establishment of perched water tables and the influence</w:t>
      </w:r>
    </w:p>
    <w:p>
      <w:pPr/>
      <w:r>
        <w:rPr>
          <w:b/>
        </w:rPr>
        <w:t>POSSIBLE 2026:</w:t>
      </w:r>
      <w:r>
        <w:t xml:space="preserve"> Extent of Underemployment among Government Service Employees in Kerala — https://openalex.org/W7218043265</w:t>
      </w:r>
    </w:p>
    <w:p>
      <w:pPr/>
      <w:r>
        <w:rPr>
          <w:b/>
        </w:rPr>
        <w:t>Shared claim-specific concepts:</w:t>
      </w:r>
      <w:r>
        <w:t xml:space="preserve"> extent, case, context; EU scope not established. This is a provisional connection, not an outcome finding.</w:t>
      </w:r>
    </w:p>
    <w:p>
      <w:pPr>
        <w:pStyle w:val="SourceNote"/>
      </w:pPr>
      <w:r>
        <w:rPr>
          <w:b/>
        </w:rPr>
        <w:t>Available abstract (not full text):</w:t>
      </w:r>
      <w:r>
        <w:t xml:space="preserve"> Underemployment in the public sector is defined as a situation in which government employees are employed below their education or skill level, or their availability. It is a social problem that affects job growth, career growth and the emotional health of underemployed workers. The study checked the extent of underemployment among Kerala government service employees in the context of their education, age and gender wise analysis. The result revealed that age matters in the perception of employees on underemployment and is negatively related to underemployment. In the case of lower age people, they consider them as underemployed while aged people do not bother about it. Gender and qualification do not play a role in the employee’s perception of feeling on underemployment.</w:t>
      </w:r>
    </w:p>
    <w:p>
      <w:pPr/>
      <w:r>
        <w:rPr>
          <w:b/>
        </w:rPr>
        <w:t>POSSIBLE 2025:</w:t>
      </w:r>
      <w:r>
        <w:t xml:space="preserve"> 7. Using cases — https://doi.org/10.1093/he/9780198924722.003.0007</w:t>
      </w:r>
    </w:p>
    <w:p>
      <w:pPr/>
      <w:r>
        <w:rPr>
          <w:b/>
        </w:rPr>
        <w:t>Shared claim-specific concepts:</w:t>
      </w:r>
      <w:r>
        <w:t xml:space="preserve"> considers, extent, case; EU scope visible. This is a provisional connection, not an outcome finding.</w:t>
      </w:r>
    </w:p>
    <w:p>
      <w:pPr>
        <w:pStyle w:val="SourceNote"/>
      </w:pPr>
      <w:r>
        <w:rPr>
          <w:b/>
        </w:rPr>
        <w:t>Available abstract (not full text):</w:t>
      </w:r>
      <w:r>
        <w:t xml:space="preserve"> This chapter explains how to use cases. It first looks at the ‘anatomy’ of a law report, before considering how the key legal principles can be extracted from the case. Once the legal principles are known, it considers the extent to which those principles are binding on other courts via the doctrine of judicial precedent. Finally, it examines the impact of both the Human Rights Act 1998 and EU law on the operation of precedent. The ability to use cases and knowledge of the operation of precedent are both vital legal skills. Equally, when charting the development of particular areas of law, it is necessary to understand how the decisions given in cases have changed the law over time.</w:t>
      </w:r>
    </w:p>
    <w:p>
      <w:pPr/>
      <w:r>
        <w:rPr>
          <w:b/>
        </w:rPr>
        <w:t>POSSIBLE 2024:</w:t>
      </w:r>
      <w:r>
        <w:t xml:space="preserve"> Extent of Corporate Sustainability Adoption in the Hospitality Industry: A Case Study of Tourist Hotels in Sri Lanka — https://doi.org/10.47772/ijriss.2024.809007</w:t>
      </w:r>
    </w:p>
    <w:p>
      <w:pPr/>
      <w:r>
        <w:rPr>
          <w:b/>
        </w:rPr>
        <w:t>Shared claim-specific concepts:</w:t>
      </w:r>
      <w:r>
        <w:t xml:space="preserve"> considers, extent, case, corporate; EU scope not established. This is a provisional connection, not an outcome finding.</w:t>
      </w:r>
    </w:p>
    <w:p>
      <w:pPr>
        <w:pStyle w:val="SourceNote"/>
      </w:pPr>
      <w:r>
        <w:rPr>
          <w:b/>
        </w:rPr>
        <w:t>Available abstract (not full text):</w:t>
      </w:r>
      <w:r>
        <w:t xml:space="preserve"> The hospitality industry, particularly in emerging tourism destinations, faces increasing pressure to adopt sustainable practices that align with global environmental and social standards. This study investigate the existing level of corporate sustainability adoption by tourist hotels in Sri Lanka. Through a case study approach, the research investigates the extent to which these hotels have integrated sustainable practices into their operations, including economic, socio-cultural and environmental practices. Quantitative method was employed as the research method and questionnaire survey method has been utilized to collect the required data. 247 questionnaires were distributed among the registered tourist hotels &amp; a representative of the top management was invited to fill the questionnaire from each hotel. 213 questionnaires received and 207 completed questionnaires were used for data analysis and the mean ranking technique was employed by using the SPSS software. The findings revealed a significant emphasis on environmental sustainability initiatives by these tourist hotels. This prioritization aligns with broader trends observed in developing nations, where businesses tend to focus more on environmental aspects than on socio-cultural and economic dimensions. The dominance of environmental practices in the sustainability efforts of Sri Lanka’s tourist hotels underscores the s</w:t>
      </w:r>
    </w:p>
    <w:p>
      <w:pPr/>
      <w:r>
        <w:rPr>
          <w:b/>
        </w:rPr>
        <w:t>POSSIBLE 2024:</w:t>
      </w:r>
      <w:r>
        <w:t xml:space="preserve"> Relationship Between Working Memory, Compression, and Beamformers in Ideal Conditions — https://doi.org/10.1097/aud.0000000000001605</w:t>
      </w:r>
    </w:p>
    <w:p>
      <w:pPr/>
      <w:r>
        <w:rPr>
          <w:b/>
        </w:rPr>
        <w:t>Shared claim-specific concepts:</w:t>
      </w:r>
      <w:r>
        <w:t xml:space="preserve"> conditions, ideal, speech; EU scope not established. This is a provisional connection, not an outcome finding.</w:t>
      </w:r>
    </w:p>
    <w:p>
      <w:pPr>
        <w:pStyle w:val="SourceNote"/>
      </w:pPr>
      <w:r>
        <w:rPr>
          <w:b/>
        </w:rPr>
        <w:t>Available abstract (not full text):</w:t>
      </w:r>
      <w:r>
        <w:t xml:space="preserve"> OBJECTIVES: Previous research has shown that speech recognition with different wide dynamic range compression (WDRC) time-constants (fast-acting or Fast and slow-acting or Slow) is associated with individual working memory ability, especially in adverse listening conditions. Until recently, much of this research has been limited to omnidirectional hearing aid settings and colocated speech and noise, whereas most hearing aids are fit with directional processing that may improve the listening environment in spatially separated conditions and interact with WDRC processing. The primary objective of this study was to determine whether there is an association between individual working memory ability and speech recognition in noise with different WDRC time-constants, with and without microphone directionality (binaural beamformer or Beam versus omnidirectional or Omni) in a spatial condition ideal for the beamformer (speech at 0 , noise at 180 ). The hypothesis was that the relationship between speech recognition ability and different WDRC time-constants would depend on working memory in the Omni mode, whereas the relationship would diminish in the Beam mode. The study also examined whether this relationship is different from the effects of working memory on speech recognition with WDRC time-constants previously studied in colocated conditions. DESIGN: Twenty-one listeners with bilat</w:t>
      </w:r>
    </w:p>
    <w:p>
      <w:pPr/>
      <w:r>
        <w:rPr>
          <w:b/>
        </w:rPr>
        <w:t>POSSIBLE 2024:</w:t>
      </w:r>
      <w:r>
        <w:t xml:space="preserve"> Case 7: Acne — https://doi.org/10.1201/9781003449737-8</w:t>
      </w:r>
    </w:p>
    <w:p>
      <w:pPr/>
      <w:r>
        <w:rPr>
          <w:b/>
        </w:rPr>
        <w:t>Shared claim-specific concepts:</w:t>
      </w:r>
      <w:r>
        <w:t xml:space="preserve"> extent, case, conditions; EU scope not established. This is a provisional connection, not an outcome finding.</w:t>
      </w:r>
    </w:p>
    <w:p>
      <w:pPr>
        <w:pStyle w:val="SourceNote"/>
      </w:pPr>
      <w:r>
        <w:rPr>
          <w:b/>
        </w:rPr>
        <w:t>Available abstract (not full text):</w:t>
      </w:r>
      <w:r>
        <w:t xml:space="preserve"> This chapter looks at the case of a young boy who is troubled by what may be considered to be mild acne. It explores the mismatch that may exist between the clinician and the patient in terms of understanding the extent of the condition. It encourages the reader to consider the psychological impact of dermatological conditions. The various treatment regimens available for acne and their efficacy are discussed. The learning tip revolves around the importance of developing skills to appropriately manage the expectations of patients. The AKT questions further look at other skin conditions and their management.</w:t>
      </w:r>
    </w:p>
    <w:p>
      <w:pPr/>
      <w:r>
        <w:rPr>
          <w:b/>
        </w:rPr>
        <w:t>POSSIBLE 2024:</w:t>
      </w:r>
      <w:r>
        <w:t xml:space="preserve"> Exploring empathy of nursing students and the extent of their clinical experiences: a cross-case analysis — https://doi.org/10.20473/jn.v19i4.56238</w:t>
      </w:r>
    </w:p>
    <w:p>
      <w:pPr/>
      <w:r>
        <w:rPr>
          <w:b/>
        </w:rPr>
        <w:t>Shared claim-specific concepts:</w:t>
      </w:r>
      <w:r>
        <w:t xml:space="preserve"> extent, case, conditions; EU scope not established. This is a provisional connection, not an outcome finding.</w:t>
      </w:r>
    </w:p>
    <w:p>
      <w:pPr>
        <w:pStyle w:val="SourceNote"/>
      </w:pPr>
      <w:r>
        <w:rPr>
          <w:b/>
        </w:rPr>
        <w:t>Available abstract (not full text):</w:t>
      </w:r>
      <w:r>
        <w:t xml:space="preserve"> Introduction: Empathy is the ability of a nurse to understand the circumstances, experiences, and feelings of the patients. It is a vital component of a nurse as this enables the nurse to respond therapeutically to the needs of the clients, thereby providing quality nursing care. This study explored the development of empathy among nursing students based on their hospital exposure and other factors that provide a more in-depth understanding of the phenomenon investigated. Methods: Using the intrinsic case study method, the study interviewed six nursing students as informants, selected based on their extent of clinical exposure through purposive sampling. A standardized Jefferson Scale of Empathy (JSE) was also used to provide information on empathy. A cross-case analysis was used to generate the findings of this study. Results: Findings generated five themes: maintaining empathy level across different conditions, prior clinical experiences affect empathy levels, empathy increases with knowledge, expression of empathy is hindered by academic workload and mismatch between perceived and objectively measured empathy levels. Conclusions: Empathy was more developed by nursing students when they were exposed to patient care experiences. The extent of knowledge and the continued experience in the clinical field are major factors that contribute to their increased empathy levels of nurs</w:t>
      </w:r>
    </w:p>
    <w:p>
      <w:pPr/>
      <w:r>
        <w:rPr>
          <w:b/>
        </w:rPr>
        <w:t>POSSIBLE 2023:</w:t>
      </w:r>
      <w:r>
        <w:t xml:space="preserve"> 7. Using cases — https://doi.org/10.1093/he/9780192873088.003.0007</w:t>
      </w:r>
    </w:p>
    <w:p>
      <w:pPr/>
      <w:r>
        <w:rPr>
          <w:b/>
        </w:rPr>
        <w:t>Shared claim-specific concepts:</w:t>
      </w:r>
      <w:r>
        <w:t xml:space="preserve"> considers, extent, case; EU scope visible. This is a provisional connection, not an outcome finding.</w:t>
      </w:r>
    </w:p>
    <w:p>
      <w:pPr>
        <w:pStyle w:val="SourceNote"/>
      </w:pPr>
      <w:r>
        <w:rPr>
          <w:b/>
        </w:rPr>
        <w:t>Available abstract (not full text):</w:t>
      </w:r>
      <w:r>
        <w:t xml:space="preserve"> This chapter explains how to use cases. It first looks at the ‘anatomy’ of a law report, before considering how the key legal principles can be extracted from the case. Once the legal principles are known it considers the extent to which those principles are binding on other courts via the doctrine of judicial precedent. Finally, it examines the impact of both the Human Rights Act 1998 and EU law on the operation of precedent.</w:t>
      </w:r>
    </w:p>
    <w:p>
      <w:pPr/>
      <w:r>
        <w:rPr>
          <w:b/>
        </w:rPr>
        <w:t>POSSIBLE 2023:</w:t>
      </w:r>
      <w:r>
        <w:t xml:space="preserve"> Climate change and ideal thermal transmittance of residential buildings in Iran — https://doi.org/10.1016/j.jobe.2023.106919</w:t>
      </w:r>
    </w:p>
    <w:p>
      <w:pPr/>
      <w:r>
        <w:rPr>
          <w:b/>
        </w:rPr>
        <w:t>Shared claim-specific concepts:</w:t>
      </w:r>
      <w:r>
        <w:t xml:space="preserve"> extent, conditions, ideal; EU scope not established. This is a provisional connection, not an outcome finding.</w:t>
      </w:r>
    </w:p>
    <w:p>
      <w:pPr>
        <w:pStyle w:val="SourceNote"/>
      </w:pPr>
      <w:r>
        <w:rPr>
          <w:b/>
        </w:rPr>
        <w:t>Available abstract (not full text):</w:t>
      </w:r>
      <w:r>
        <w:t xml:space="preserve"> Climate change will make the Iranian climate hotter and drier. This increase in the harshness of the boundary conditions poses a new question of whether today's high-performance buildings, whose envelope thermophysical properties are optimized for the current climate, will underperform. Therefore, it is important to (i) identify the regions in Iran that will lead to such underperformance and (ii) determine to what extent the thermophysical properties will need to change to remain optimal. This paper determines and compares the ideal thermal transmittances (U-value) of residential building envelopes for current and future climate scenarios. The EPSAP generative design method created twelve thousand buildings with random geometries to evaluate their energy demand for heating and cooling in EnergyPlus. The U-values of the envelop elements for these buildings were randomly assigned and simulated for 21 locations in Iran for the current period and two future timeframes (2050 and 2080). The future weather was created using the Future Weather Generator tool to morph today's typical meteorological weather to match the EC-Earth3 data for the SSP5-8.5 scenario. The results confirm that climate change will significantly impact the energy performance of a building. However, consequences and mitigation actions will differ depending on the region. Future ideal U-values will be higher or lowe</w:t>
      </w:r>
    </w:p>
    <w:p>
      <w:pPr/>
      <w:r>
        <w:rPr>
          <w:b/>
        </w:rPr>
        <w:t>POSSIBLE 2023:</w:t>
      </w:r>
      <w:r>
        <w:t xml:space="preserve"> Family education as a process of translation of ideals and values of culture — https://doi.org/10.25136/2409-7144.2023.9.43635</w:t>
      </w:r>
    </w:p>
    <w:p>
      <w:pPr/>
      <w:r>
        <w:rPr>
          <w:b/>
        </w:rPr>
        <w:t>Shared claim-specific concepts:</w:t>
      </w:r>
      <w:r>
        <w:t xml:space="preserve"> extent, conditions, authors; EU scope not established. This is a provisional connection, not an outcome finding.</w:t>
      </w:r>
    </w:p>
    <w:p>
      <w:pPr>
        <w:pStyle w:val="SourceNote"/>
      </w:pPr>
      <w:r>
        <w:rPr>
          <w:b/>
        </w:rPr>
        <w:t>Available abstract (not full text):</w:t>
      </w:r>
      <w:r>
        <w:t xml:space="preserve"> In the article, the authors consider issues related to the family as a social institution of society, which through the education system is a carrier, keeper and translator of cultural ideals. The subject of the study is family education, interpreted as the process of translating the ideals and values of culture. The article examines the concept and functions of the family as a leading social institution, sacred and profane ideals of culture and their mutual influence, types of family education, distinguished depending on the characteristics of the transmitted cultural values. When writing the work, such general scientific and private scientific research methods as analysis, synthesis, classification, generalization, comparison, historical method, analysis of empirical and sociological data on the studied problem were used. The general methodology of the work was compiled by scientific works of both domestic and foreign scientists devoted to the family as a carrier of cultural values. The analysis of scientific literature on research issues has shown that the modern family performs not only reproductive functions, but also the functions of preserving and reproducing cultural values, allowing society and the state to maintain stability and develop in the conditions of globalization and active influence on society through the imposition of new cultural values. The scientific nove</w:t>
      </w:r>
    </w:p>
    <w:p>
      <w:pPr/>
      <w:r>
        <w:rPr>
          <w:b/>
        </w:rPr>
        <w:t>POSSIBLE 2023:</w:t>
      </w:r>
      <w:r>
        <w:t xml:space="preserve"> Towards Ideal Understanding — https://doi.org/10.3998/ergo.4651</w:t>
      </w:r>
    </w:p>
    <w:p>
      <w:pPr/>
      <w:r>
        <w:rPr>
          <w:b/>
        </w:rPr>
        <w:t>Shared claim-specific concepts:</w:t>
      </w:r>
      <w:r>
        <w:t xml:space="preserve"> extent, conditions, ideal; EU scope not established. This is a provisional connection, not an outcome finding.</w:t>
      </w:r>
    </w:p>
    <w:p>
      <w:pPr>
        <w:pStyle w:val="SourceNote"/>
      </w:pPr>
      <w:r>
        <w:rPr>
          <w:b/>
        </w:rPr>
        <w:t>Available abstract (not full text):</w:t>
      </w:r>
      <w:r>
        <w:t xml:space="preserve"> What does it take to understand a phenomenon ideally, or to the highest conceivable extent? In this paper, we answer this question by arguing for five necessary conditions for ideal understanding: (i) sufficient representational accuracy, (ii) intelligibility, (iii) sufficient truth, (iv) reasonable endorsement, and (v) fit. Even if one disagrees that there is some form of ideal understanding, these five conditions can be regarded as sufficient conditions for a particularly deep level of understanding. We then argue that grasping, novel predictions, and transparency are not reasonable conditions for ideal understanding.</w:t>
      </w:r>
    </w:p>
    <w:p>
      <w:pPr/>
      <w:r>
        <w:rPr>
          <w:b/>
        </w:rPr>
        <w:t>POSSIBLE 2023:</w:t>
      </w:r>
      <w:r>
        <w:t xml:space="preserve"> Building for tomorrow: Analyzing ideal thermal transmittances in the face of climate change in Brazil — https://doi.org/10.1016/j.apenergy.2023.122360</w:t>
      </w:r>
    </w:p>
    <w:p>
      <w:pPr/>
      <w:r>
        <w:rPr>
          <w:b/>
        </w:rPr>
        <w:t>Shared claim-specific concepts:</w:t>
      </w:r>
      <w:r>
        <w:t xml:space="preserve"> extent, conditions, ideal; EU scope not established. This is a provisional connection, not an outcome finding.</w:t>
      </w:r>
    </w:p>
    <w:p>
      <w:pPr>
        <w:pStyle w:val="SourceNote"/>
      </w:pPr>
      <w:r>
        <w:rPr>
          <w:b/>
        </w:rPr>
        <w:t>Available abstract (not full text):</w:t>
      </w:r>
      <w:r>
        <w:t xml:space="preserve"> The climate will become hotter, and buildings will perform differently as outdoor conditions evolve. If the lowest energy demand is desired, it is crucial to determine the ideal thermophysical properties of the envelope over the buildings' life span. However, the scientific literature is still scarce in providing a compelling answer. Therefore, this study (i) determines ideal thermal transmittance values (U-values) for present-day and future climates, (ii) determines to what extent the thermophysical properties will need to change to remain ideal, (iii) identifies different trends of U-values over time, (iv) establishes a relationship between outdoor air temperatures, cooling and heating setpoints, and ideal U-values, and (v) proposes a set of design strategies according to each trend. The EPSAP generative design method was used to create a large dataset of residential buildings with random geometries and U-values to evaluate their energy demand for heating and cooling in EnergyPlus. The thermal performance of each building was evaluated for 30 locations in Brazil for the current period and two future timeframes (2050 and 2080). The Future Weather Generator tool was used to morph today's typical meteorological weather to match the EC-Earth3 data for the SSP5–8.5 scenario. Although climate change has a similar relative impact, its consequences differ over time in each location. </w:t>
      </w:r>
    </w:p>
    <w:p>
      <w:pPr>
        <w:pStyle w:val="Heading2"/>
      </w:pPr>
      <w:r>
        <w:t>849. Secular stagnation – are we stuck in Summers' long winter?</w:t>
      </w:r>
    </w:p>
    <w:p>
      <w:pPr>
        <w:pStyle w:val="SourceNote"/>
      </w:pPr>
      <w:r>
        <w:rPr>
          <w:b/>
        </w:rPr>
        <w:t>Original source (2016):</w:t>
      </w:r>
      <w:r>
        <w:t xml:space="preserve"> https://doi.org/10.1111/1468-0319.12197</w:t>
      </w:r>
    </w:p>
    <w:p>
      <w:pPr/>
      <w:r>
        <w:t>Original wording (abstract; indexed_source_text_not_full_document_verified): Growth could be stronger were it not for the sizeable drag from fiscal consolidation over the next four years and the dampening effect that this will have on activity. Usually this would drive a period of strong economic growth, but we expect GDP growth to average a relatively underwhelming 2.4% a year over this period, largely due to the drag from aggressive fiscal consolidation.</w:t>
      </w:r>
    </w:p>
    <w:p>
      <w:pPr/>
      <w:r>
        <w:rPr>
          <w:b/>
        </w:rPr>
        <w:t>POSSIBLE 2026:</w:t>
      </w:r>
      <w:r>
        <w:t xml:space="preserve"> Sensselo Male Enhancement Device | Safe Size Growth &amp; Stronger Erections — https://doi.org/10.5281/zenodo.18785338</w:t>
      </w:r>
    </w:p>
    <w:p>
      <w:pPr/>
      <w:r>
        <w:rPr>
          <w:b/>
        </w:rPr>
        <w:t>Shared claim-specific concepts:</w:t>
      </w:r>
      <w:r>
        <w:t xml:space="preserve"> stronger, over; EU scope not established. This is a provisional connection, not an outcome finding.</w:t>
      </w:r>
    </w:p>
    <w:p>
      <w:pPr>
        <w:pStyle w:val="SourceNote"/>
      </w:pPr>
      <w:r>
        <w:rPr>
          <w:b/>
        </w:rPr>
        <w:t>Available abstract (not full text):</w:t>
      </w:r>
      <w:r>
        <w:t xml:space="preserve"> When it comes to male confidence, performance and satisfaction matter. Many men today are searching for safe, effective, and reliable solutions to enhance their size and improve stamina. Sensselo is designed to meet that demand with cutting-edge engineering, premium medical-grade materials, and innovative vacuum seal technology that supports natural enlargement and longer-lasting erections. If you’re looking for a trusted male enhancement solution that delivers visible results and lasting performance, Sensselo is quickly becoming a top choice. 🛒Buy Sensselo Now and Transform Your Performance Today 🔥 What Is Sensselo? Sensselo is a premium male enhancement device engineered to help increase size by up to 2x while promoting stronger, firmer, and longer-lasting erections. Unlike risky supplements or invasive procedures, Sensselo uses a controlled vacuum seal system to naturally stimulate blood flow and expansion. The result? Improved girth, enhanced length, and greater confidence in the bedroom — all without harmful chemicals or unsafe methods. How Sensselo Works At the core of Sensselo is its innovative vacuum seal technology. This system creates a secure, controlled suction environment that encourages increased blood circulation to the penile tissues. Here’s how it benefits you: Encourages natural tissue expansion Promotes stronger blood flow Supports firmer, longer-lasting erec</w:t>
      </w:r>
    </w:p>
    <w:p>
      <w:pPr/>
      <w:r>
        <w:rPr>
          <w:b/>
        </w:rPr>
        <w:t>POSSIBLE 2026:</w:t>
      </w:r>
      <w:r>
        <w:t xml:space="preserve"> Population Ageing: Implications for Economic Growth and Fiscal Sustainability — https://doi.org/10.1111/1467-8454.70029</w:t>
      </w:r>
    </w:p>
    <w:p>
      <w:pPr/>
      <w:r>
        <w:rPr>
          <w:b/>
        </w:rPr>
        <w:t>Shared claim-specific concepts:</w:t>
      </w:r>
      <w:r>
        <w:t xml:space="preserve"> stronger, drag, fiscal, gdp; EU scope not established. This is a provisional connection, not an outcome finding.</w:t>
      </w:r>
    </w:p>
    <w:p>
      <w:pPr>
        <w:pStyle w:val="SourceNote"/>
      </w:pPr>
      <w:r>
        <w:rPr>
          <w:b/>
        </w:rPr>
        <w:t>Available abstract (not full text):</w:t>
      </w:r>
      <w:r>
        <w:t xml:space="preserve"> ABSTRACT Population ageing poses significant challenges to economic growth and fiscal sustainability in advanced economies. This study examines how fiscal sustainability and labour force participation moderate the impact of ageing on gross domestic product (GDP) growth across 37 Organisation for Economic Co‐operation and Development member countries from 1995 to 2023. We introduce a novel composite fiscal sustainability index that captures fiscal health through nine macro‐fiscal indicators, integrating expenditure control, revenue adequacy, macroeconomic stability, and debt management. Employing a dynamic panel data approach with system generalised method of moments estimation, we address endogeneity and unobserved heterogeneity to derive robust causal inferences. Our findings reveal that a 1% increase in the share of the older adult population reduces short‐run GDP growth by 0.31% and long‐run GDP growth by 0.37%. Stronger fiscal discipline significantly attenuates the negative growth impact of ageing, mitigating the growth drag by approximately 0.077 percentage points in the short run. Moreover, higher labour force participation cushions the adverse effects of demographic shifts and positively contributes to growth in both the short and long run. These results underscore the crucial roles of sound fiscal governance and inclusive labour market policies in sustaining economic v</w:t>
      </w:r>
    </w:p>
    <w:p>
      <w:pPr/>
      <w:r>
        <w:rPr>
          <w:b/>
        </w:rPr>
        <w:t>POSSIBLE 2026:</w:t>
      </w:r>
      <w:r>
        <w:t xml:space="preserve"> Impact of fiscal sustainability on economic growth in Kenya — https://doi.org/10.65748/fiqf-2026-0001</w:t>
      </w:r>
    </w:p>
    <w:p>
      <w:pPr/>
      <w:r>
        <w:rPr>
          <w:b/>
        </w:rPr>
        <w:t>Shared claim-specific concepts:</w:t>
      </w:r>
      <w:r>
        <w:t xml:space="preserve"> fiscal, over, effect; EU scope not established. This is a provisional connection, not an outcome finding.</w:t>
      </w:r>
    </w:p>
    <w:p>
      <w:pPr>
        <w:pStyle w:val="SourceNote"/>
      </w:pPr>
      <w:r>
        <w:rPr>
          <w:b/>
        </w:rPr>
        <w:t>Available abstract (not full text):</w:t>
      </w:r>
      <w:r>
        <w:t xml:space="preserve"> Fiscal sustainability refers to a government's capacity to generate sufficient revenue to cover its expenses and repay its debts without accumulating excessive liabilities or creating new money. Recent observations indicate that Kenya's economic growth has slowed, prompting concerns about its fiscal sustainability. This study investigates the long-term relationship between Kenya's economic growth and certain budgetary sustainability indicators, specifically the public primary budget balance and external debt. Two control variables-trade balance and inflation-were also considered, with data sourced from the IMF and World Bank. Utilizing time series annual data spanning from 1990 to 2023, the study employed the autoregressive distributed lag (ARDL) bounds test and error correction model to analyze the data through three stages: unit root testing, F-bounds cointegration testing, and estimating the ARDL error correction model. The findings reveal a long-term relationship between fiscal sustainability indicators and economic growth in Kenya. Notably, the primary budget balance, which serves as a proxy for fiscal sustainability, as well as inflation and trade balance, were found to negatively and significantly impact economic growth in the country. Conversely, external debt, another proxy for fiscal sustainability, exhibited a positive effect on economic growth over the long term. To</w:t>
      </w:r>
    </w:p>
    <w:p>
      <w:pPr/>
      <w:r>
        <w:rPr>
          <w:b/>
        </w:rPr>
        <w:t>POSSIBLE 2026:</w:t>
      </w:r>
      <w:r>
        <w:t xml:space="preserve"> Taxes, Growth, and Equity: The Illusions of Fiscal Policy — https://doi.org/10.3390/ijfs14020030</w:t>
      </w:r>
    </w:p>
    <w:p>
      <w:pPr/>
      <w:r>
        <w:rPr>
          <w:b/>
        </w:rPr>
        <w:t>Shared claim-specific concepts:</w:t>
      </w:r>
      <w:r>
        <w:t xml:space="preserve"> fiscal, over; EU scope not established. This is a provisional connection, not an outcome finding.</w:t>
      </w:r>
    </w:p>
    <w:p>
      <w:pPr>
        <w:pStyle w:val="SourceNote"/>
      </w:pPr>
      <w:r>
        <w:rPr>
          <w:b/>
        </w:rPr>
        <w:t>Available abstract (not full text):</w:t>
      </w:r>
      <w:r>
        <w:t xml:space="preserve"> For over a century now, one of the central debates of economic policy has been around fiscal policy. Taxation and government spending have been a feature of most political campaigns, with one (more vocal) side claiming that taxation chokes economic growth and benefits special interests, while leaving a legacy of debt. Another side sees taxation as a necessary tool for creating equal opportunity and ensuring adequate investment in collective public goods, including human capital. Using newly constructed datasets that we will make available, we take a fresh look at fiscal policy on the global level and across U.S. states, measuring its effects on growth and equity. We utilize a new technique, functional data analysis (FDA). We find limited evidence for both the conservative and progressive arguments around fiscal policy in the short term. Rather, the data suggest persistent fiscal patterns across space and time that reflect long-term social value choices around the tradeoffs of growth vs. public investment and equity.</w:t>
      </w:r>
    </w:p>
    <w:p>
      <w:pPr/>
      <w:r>
        <w:rPr>
          <w:b/>
        </w:rPr>
        <w:t>POSSIBLE 2026:</w:t>
      </w:r>
      <w:r>
        <w:t xml:space="preserve"> Fiscal Policy, Debt Management and Economic Growth in Nigeria — https://doi.org/10.47772/ijriss.2026.100500380</w:t>
      </w:r>
    </w:p>
    <w:p>
      <w:pPr/>
      <w:r>
        <w:rPr>
          <w:b/>
        </w:rPr>
        <w:t>Shared claim-specific concepts:</w:t>
      </w:r>
      <w:r>
        <w:t xml:space="preserve"> stronger, fiscal, effect, strong, gdp, largely; EU scope not established. This is a provisional connection, not an outcome finding.</w:t>
      </w:r>
    </w:p>
    <w:p>
      <w:pPr>
        <w:pStyle w:val="SourceNote"/>
      </w:pPr>
      <w:r>
        <w:rPr>
          <w:b/>
        </w:rPr>
        <w:t>Available abstract (not full text):</w:t>
      </w:r>
      <w:r>
        <w:t xml:space="preserve"> This study examines fiscal policy, debt management, and economic growth in Nigeria using annual data from 1990 to 2023 within an Autoregressive Distributed Lag (ARDL) framework. The results show that in the short run, government revenue to GDP has a negative and marginal effect on economic growth (β = –0.335, p≈0.055), while debt service payments significantly reduce economic growth (β = –3.70, p = 0.0120). External debt to GDP also exerts a delayed negative effect on growth (β = –0.932, p = 0.0068), whereas regulatory quality positively influences growth in the short run (β = 0.268, p = 0.0229). Foreign direct investment shows limited short run impact, while the error correction term is negative and highly significant (β = –0.889973, p = 0.0010), indicating a strong adjustment speed of about 89 percent toward long run equilibrium. In the long run, external debt to GDP positively affects economic growth (β = 1.68, p = 0.0001), alongside regulatory quality which also shows a significant positive effect (β = 1.31, p = 0.0006), suggesting that well managed borrowing and strong institutions support growth performance. However, government revenue to GDP (β = –1.49, p = 0.0134) and debt service payments (β = –1.01, p = 0.0013) exert significant negative effects on economic growth, indicating fiscal inefficiencies and crowding out of productive expenditure. The model explains about 70</w:t>
      </w:r>
    </w:p>
    <w:p>
      <w:pPr/>
      <w:r>
        <w:rPr>
          <w:b/>
        </w:rPr>
        <w:t>POSSIBLE 2026:</w:t>
      </w:r>
      <w:r>
        <w:t xml:space="preserve"> Fiscal Imbalances and Economic Growth: Evidence from India — https://doi.org/10.37622/ijhss/14.2.2025.173-181</w:t>
      </w:r>
    </w:p>
    <w:p>
      <w:pPr/>
      <w:r>
        <w:rPr>
          <w:b/>
        </w:rPr>
        <w:t>Shared claim-specific concepts:</w:t>
      </w:r>
      <w:r>
        <w:t xml:space="preserve"> fiscal, over, effect, period; EU scope not established. This is a provisional connection, not an outcome finding.</w:t>
      </w:r>
    </w:p>
    <w:p>
      <w:pPr>
        <w:pStyle w:val="SourceNote"/>
      </w:pPr>
      <w:r>
        <w:rPr>
          <w:b/>
        </w:rPr>
        <w:t>Available abstract (not full text):</w:t>
      </w:r>
      <w:r>
        <w:t xml:space="preserve"> A fiscal deficit plays a crucial role in a nation's macroeconomic framework, as it enables the government to finance infrastructure, support economic growth, and counter-economic emergencies or crises effectively.However, its effective management is essential for long-term fiscal sustainability.Owing to its dynamic nature, the contribution of fiscal deficit to economic performance varies across countries due to structural and institutional factors.Against this backdrop, the present study investigates the impact of deficit on India's economic growth in India over the period 1990-2024.The "Autoregressive Distributed Lag (ARDL)" approach is used to capture both short-run and longrun dynamics of the model.Empirical results signify that fiscal deficit has a contractionary effect on economic growth in short run, highlighting inefficiencies and crowding-out effects associated with deficit financing.Furthermore, COVID-19 caused a significant and measurable drop in economic performance in the short-run.</w:t>
      </w:r>
    </w:p>
    <w:p>
      <w:pPr/>
      <w:r>
        <w:rPr>
          <w:b/>
        </w:rPr>
        <w:t>POSSIBLE 2025:</w:t>
      </w:r>
      <w:r>
        <w:t xml:space="preserve"> Survivorship therapy needs after radiotherapy for head and neck cancer: surveying opportunities for growth (STRONG) — https://doi.org/10.1007/s00520-025-09429-2</w:t>
      </w:r>
    </w:p>
    <w:p>
      <w:pPr/>
      <w:r>
        <w:rPr>
          <w:b/>
        </w:rPr>
        <w:t>Shared claim-specific concepts:</w:t>
      </w:r>
      <w:r>
        <w:t xml:space="preserve"> not, strong; EU scope not established. This is a provisional connection, not an outcome finding.</w:t>
      </w:r>
    </w:p>
    <w:p>
      <w:pPr>
        <w:pStyle w:val="SourceNote"/>
      </w:pPr>
      <w:r>
        <w:rPr>
          <w:b/>
        </w:rPr>
        <w:t>Available abstract (not full text):</w:t>
      </w:r>
      <w:r>
        <w:t xml:space="preserve"> INTRODUCTION: Patients with head and neck squamous cell carcinoma (HNSCC) are at risk for long-term side effects and require thorough survivorship care following completion of radiation therapy (RT). We aimed to identify survivorship interest and needs following RT. METHODS: Patients with HNSCC who completed RT from Jan 2013 to April 2023 completed questions based on the five-domain Cancer Survivorship Framework (physical effects, psychosocial effects, cancer screening, chronic conditions, health promotion) and the Consolidated Framework for Implementation Research (interest, knowledge, barriers). RESULTS: Of 1,123 patients, 317 participated (response rate 28%). Patients were 64% (n = 203) male with a mean age of 64 years (SD 12), with 66% (n = 209) finishing treatment &gt; 2-years prior. 36% (n = 115) were interested in, 34% (n = 108) prioritized, and 28% (n = 88) had information related to survivorship. For survivorship domains, within physical effects, dry mouth (40%, n = 126) and trouble swallowing (24%, n = 75) were most bothersome. For psychosocial, 15% (n = 46) reported current depression (mean PHQ2 score ≥ 3) and 71% (n = 226) felt mental health needs were not addressed during treatment. Forty-two percent felt that diet, exercise, and smoking were not addressed (n = 134). Seventy-six percent (n = 240) understood the importance of cancer screening. Most patients wished to a</w:t>
      </w:r>
    </w:p>
    <w:p>
      <w:pPr/>
      <w:r>
        <w:rPr>
          <w:b/>
        </w:rPr>
        <w:t>POSSIBLE 2024:</w:t>
      </w:r>
      <w:r>
        <w:t xml:space="preserve"> Fiscal drag: the heterogeneous impact of inflation on personal income tax revenue — https://doi.org/10.53479/37393</w:t>
      </w:r>
    </w:p>
    <w:p>
      <w:pPr/>
      <w:r>
        <w:rPr>
          <w:b/>
        </w:rPr>
        <w:t>Shared claim-specific concepts:</w:t>
      </w:r>
      <w:r>
        <w:t xml:space="preserve"> not, drag, fiscal, effect, strong, gdp; EU scope not established. This is a provisional connection, not an outcome finding.</w:t>
      </w:r>
    </w:p>
    <w:p>
      <w:pPr>
        <w:pStyle w:val="SourceNote"/>
      </w:pPr>
      <w:r>
        <w:rPr>
          <w:b/>
        </w:rPr>
        <w:t>Available abstract (not full text):</w:t>
      </w:r>
      <w:r>
        <w:t xml:space="preserve"> In recent years, personal income tax collection has shown strong dynamism. Part of this increase is due to household income growth, while another part is due to the “fiscal drag” effect, which results in an increase in average effective rates when the parameters that determine the tax (brackets and tax benefits) are not fully updated with inflation. This paper uses a tax microsimulation tool based on tax filers’ administrative data to study the magnitude of the fiscal drag effect, its heterogeneity across the income distribution, its mechanisms and its impact on tax collection and on average effective tax rates in recent years and in the future. It is estimated that, in the absence of indexation of the nominally defined parameters of the tax, a homogeneous increase in household income of 1% would lead to an increase in income tax revenue of 1.85%, in line with the average elasticity estimated for OECD countries. This effect is greater for middle and upper-middle incomes and produces an increase in effective tax rates across the entire distribution of tax filers, leading to a reduction in net income inequality. It is estimated that around half of the increase in the personal income tax-to-GDP ratio observed between 2019 and 2023 can be explained by the fiscal drag effect. Going forward, in the absence of changes in tax parameters, the ratio of personal income tax revenue to GDP </w:t>
      </w:r>
    </w:p>
    <w:p>
      <w:pPr/>
      <w:r>
        <w:rPr>
          <w:b/>
        </w:rPr>
        <w:t>POSSIBLE 2023:</w:t>
      </w:r>
      <w:r>
        <w:t xml:space="preserve"> Morocco’s Quest for Stronger and Inclusive Growth — https://doi.org/10.5089/9798400225406.071</w:t>
      </w:r>
    </w:p>
    <w:p>
      <w:pPr/>
      <w:r>
        <w:rPr>
          <w:b/>
        </w:rPr>
        <w:t>Shared claim-specific concepts:</w:t>
      </w:r>
      <w:r>
        <w:t xml:space="preserve"> stronger, not, but; EU scope not established. This is a provisional connection, not an outcome finding.</w:t>
      </w:r>
    </w:p>
    <w:p>
      <w:pPr>
        <w:pStyle w:val="SourceNote"/>
      </w:pPr>
      <w:r>
        <w:rPr>
          <w:b/>
        </w:rPr>
        <w:t>Available abstract (not full text):</w:t>
      </w:r>
      <w:r>
        <w:t xml:space="preserve"> Throughout the past two decades, Morocco has faced several external and domestic shocks, including large swings in international oil prices, regional geopolitical tensions, severe droughts, and most recently the impact of the pandemic and the economic fallout from Russia’s invasion of Ukraine. Despite rough waters, the government stayed the course and remained focused not only on immediate stability, but also on the long-term needs of the Moroccan economy. This involved the adoption of a series of difficult measures, like the elimination of energy subsidies, and a strategy aimed at improving the country’s infrastructure, diversifying the production and export bases by attracting foreign investment, and modernizing the governance structure of the public administration. The road to higher and more inclusive growth, however, remains steep. Despite gains in poverty reduction, literacy and lifespans, Morocco economy continues to face a high share of inactive youth, large gaps in economic opportunities for women, a fragmented social protection system, and remaining barriers to private sector development. An ambitious reform agenda is needed to better meet the aspirations of Moroccans, by making economic growth stronger, more resilient and more inclusive, particularly to provide greater opportunities for young, women, and entrepreneurs. Morocco appears well positioned to address these</w:t>
      </w:r>
    </w:p>
    <w:p>
      <w:pPr/>
      <w:r>
        <w:rPr>
          <w:b/>
        </w:rPr>
        <w:t>POSSIBLE 2023:</w:t>
      </w:r>
      <w:r>
        <w:t xml:space="preserve"> Strong Inhibition of Ice Growth by Biomimetic Crowding Coacervates — https://doi.org/10.1002/anie.202311047</w:t>
      </w:r>
    </w:p>
    <w:p>
      <w:pPr/>
      <w:r>
        <w:rPr>
          <w:b/>
        </w:rPr>
        <w:t>Shared claim-specific concepts:</w:t>
      </w:r>
      <w:r>
        <w:t xml:space="preserve"> not, activity, strong, but; EU scope not established. This is a provisional connection, not an outcome finding.</w:t>
      </w:r>
    </w:p>
    <w:p>
      <w:pPr>
        <w:pStyle w:val="SourceNote"/>
      </w:pPr>
      <w:r>
        <w:rPr>
          <w:b/>
        </w:rPr>
        <w:t>Available abstract (not full text):</w:t>
      </w:r>
      <w:r>
        <w:t xml:space="preserve"> The freezing of biological fluids is intensively studied but remains elusive as it is affected not only by the various components but also by the crowding nature of the biological fluids. Herein, we constructed spherical crowders, fibrous crowders, and coacervates by various components ranging from surfactants to polymers and proteins, to mimic three typical crowders in biological fluids, i.e., globular proteins, fibrous networks, and condensates of biomolecules. It is elucidated that the three crowders exhibit low, moderate, and strong ice growth inhibition activity, respectively, resulting from their different abilities in slowing down water dynamics. Intriguingly, the coacervate consisting of molecules without obvious ice growth inhibition activity strongly inhibits ice growth, which is firstly employed as a highly-potent cryoprotectant. This work provides new insights into the survival of freezing-tolerant organisms and opens an avenue for the design of ice-controlling materials.</w:t>
      </w:r>
    </w:p>
    <w:p>
      <w:pPr/>
      <w:r>
        <w:rPr>
          <w:b/>
        </w:rPr>
        <w:t>POSSIBLE 2023:</w:t>
      </w:r>
      <w:r>
        <w:t xml:space="preserve"> Africa-In Pursuit of Stronger Growth and Resilience — https://doi.org/10.5089/9798400254772.086.ch001</w:t>
      </w:r>
    </w:p>
    <w:p>
      <w:pPr/>
      <w:r>
        <w:rPr>
          <w:b/>
        </w:rPr>
        <w:t>Shared claim-specific concepts:</w:t>
      </w:r>
      <w:r>
        <w:t xml:space="preserve"> stronger, fiscal, four, activity; EU scope not established. This is a provisional connection, not an outcome finding.</w:t>
      </w:r>
    </w:p>
    <w:p>
      <w:pPr>
        <w:pStyle w:val="SourceNote"/>
      </w:pPr>
      <w:r>
        <w:rPr>
          <w:b/>
        </w:rPr>
        <w:t>Available abstract (not full text):</w:t>
      </w:r>
      <w:r>
        <w:t xml:space="preserve"> On the occasion of the World Bank-IMF Annual Meetings’ return to the African continent after 50 years—specifically to Marrakech, Morocco—this Special Issue on Africa discusses economic developments for the entire continent. After four years of crises and at the close of another difficult year, recent events, including the devastating earthquake in Morocco, severe floods in Libya, and the impact of Cyclone Freddy in Malawi, have underscored the continent’s ongoing vulnerability to natural disasters and the need to build resilience. In the near term, there are tentative signs that the outlook in many countries in Africa is improving. Inflation is generally easing, economic activity is starting to pick up, and fiscal imbalances are gradually moderating. However, significant challenges remain, and it is too early to celebrate. For too many countries, inflation is still too high, debt vulnerabilities remain elevated, and medium-term growth rates are too low. Recent episodes of political instability also underscore the fragility of conflict-affected states. Against this background, Africa’s policymakers should prioritize efforts to boost resilience by ensuring macroeconomic stability and accel-erating structural reforms to foster stronger, more inclusive growth. The international community should maintain and enhance a cooperative approach to the provision of global public goods. In </w:t>
      </w:r>
    </w:p>
    <w:p>
      <w:pPr/>
      <w:r>
        <w:rPr>
          <w:b/>
        </w:rPr>
        <w:t>POSSIBLE 2022:</w:t>
      </w:r>
      <w:r>
        <w:t xml:space="preserve"> Global growth on life support? The contributions of fiscal and monetary policy since the global financial crisis — https://doi.org/10.1002/ijfe.2675</w:t>
      </w:r>
    </w:p>
    <w:p>
      <w:pPr/>
      <w:r>
        <w:rPr>
          <w:b/>
        </w:rPr>
        <w:t>Shared claim-specific concepts:</w:t>
      </w:r>
      <w:r>
        <w:t xml:space="preserve"> drag, fiscal, consolidation, strong, but, gdp; EU scope not established. This is a provisional connection, not an outcome finding.</w:t>
      </w:r>
    </w:p>
    <w:p>
      <w:pPr>
        <w:pStyle w:val="SourceNote"/>
      </w:pPr>
      <w:r>
        <w:rPr>
          <w:b/>
        </w:rPr>
        <w:t>Available abstract (not full text):</w:t>
      </w:r>
      <w:r>
        <w:t xml:space="preserve"> Abstract This paper compares the role of monetary and fiscal policy shocks in advanced and emerging economies. Using a model with a hierarchical structure, we capture the variability of GDP response to policy shocks both between and within the groups of advanced and emerging countries. Our results show that the effects of fiscal stimulus are higher in advanced economies compared to emerging markets, while monetary policy is found to have more homogeneous effects on GDP. We quantify the policy contribution on GDP growth in the decade that followed the global financial crisis by means of a structural counterfactual analysis based on conditional forecasts. We find that global GDP growth benefited from substantial policy support during the global financial crisis but policy tightening thereafter, particularly fiscal consolidation, acted as a significant drag on the subsequent global recovery. In addition, we show that the role of policy has differed across countries. Specifically, in advanced economies, highly accommodative monetary policy has been counteracted by strong fiscal consolidation. By contrast, in emerging economies, monetary policy has been less accommodative since the global recession.</w:t>
      </w:r>
    </w:p>
    <w:p>
      <w:pPr>
        <w:pStyle w:val="Heading2"/>
      </w:pPr>
      <w:r>
        <w:t>850. Shaping the ‘Energy Union': between national positions and governance innovation in EU energy and climate policy</w:t>
      </w:r>
    </w:p>
    <w:p>
      <w:pPr>
        <w:pStyle w:val="SourceNote"/>
      </w:pPr>
      <w:r>
        <w:rPr>
          <w:b/>
        </w:rPr>
        <w:t>Original source (2016):</w:t>
      </w:r>
      <w:r>
        <w:t xml:space="preserve"> https://doi.org/10.1080/14693062.2015.1135100</w:t>
      </w:r>
    </w:p>
    <w:p>
      <w:pPr/>
      <w:r>
        <w:t>Original wording (abstract; indexed_source_text_not_full_document_verified): We sketch two possible scenarios for the future of EU energy policy, as suggested by the intergovernmentalist and supranationalist approaches and emphasize the potential impact of the governance mechanism of the Energy Union, which could reach far beyond what is expected and provide welcome coherence in Europe's energy and climate policy.Policy relevanceThe article structures the policy debate on the Energy Union, discussing the different elements and instruments proposed by key EU actors and provides a useful overview of national interests of some important players, set in the context of their wider systemic conditions and policy goals.</w:t>
      </w:r>
    </w:p>
    <w:p>
      <w:pPr/>
      <w:r>
        <w:rPr>
          <w:b/>
        </w:rPr>
        <w:t>POSSIBLE 2026:</w:t>
      </w:r>
      <w:r>
        <w:t xml:space="preserve"> European Media Policy Grounded in Fundamental Rights — https://doi.org/10.1017/9781009568159.005</w:t>
      </w:r>
    </w:p>
    <w:p>
      <w:pPr/>
      <w:r>
        <w:rPr>
          <w:b/>
        </w:rPr>
        <w:t>Shared claim-specific concepts:</w:t>
      </w:r>
      <w:r>
        <w:t xml:space="preserve"> sketch, two, union, provide; EU scope visible. This is a provisional connection, not an outcome finding.</w:t>
      </w:r>
    </w:p>
    <w:p>
      <w:pPr>
        <w:pStyle w:val="SourceNote"/>
      </w:pPr>
      <w:r>
        <w:rPr>
          <w:b/>
        </w:rPr>
        <w:t>Available abstract (not full text):</w:t>
      </w:r>
      <w:r>
        <w:t xml:space="preserve"> This chapter explores the evolving interplay between the Council of Europe (CoE) and the European Union (EU) in safeguarding fundamental rights in the context of media policy. Both organisations have a long history in media policy, and both have extensively adapted their standards to counter recent threats resulting from digitisation and democratic backsliding. In this process the EU has significantly expanded its safeguards for fundamental rights, traditionally the CoE’s main focus. This convergence raises the possibility of conflict but also that of mutual reinforcement. In this chapter we first sketch the history of increasing convergence between EU and CoE media policy and provide an overview of each institution’s recent overlapping activities. We then argue for a closer relationship between the two institutions in the context of fundamental rights in media policy, focusing on the need for consistency between their respective standards, the normative guidance CoE standards can provide to the EU, and the practical implementation of fundamental rights standards EU enforcement can ensure. We close by suggesting ways in which a mutually reinforcing relationship between the two institutions can be operationalised through closer legal and organisational ties.</w:t>
      </w:r>
    </w:p>
    <w:p>
      <w:pPr/>
      <w:r>
        <w:rPr>
          <w:b/>
        </w:rPr>
        <w:t>POSSIBLE 2026:</w:t>
      </w:r>
      <w:r>
        <w:t xml:space="preserve"> Policy Dynamics in the European Union — https://doi.org/10.1017/9781009410274</w:t>
      </w:r>
    </w:p>
    <w:p>
      <w:pPr/>
      <w:r>
        <w:rPr>
          <w:b/>
        </w:rPr>
        <w:t>Shared claim-specific concepts:</w:t>
      </w:r>
      <w:r>
        <w:t xml:space="preserve"> governance, union; EU scope visible. This is a provisional connection, not an outcome finding.</w:t>
      </w:r>
    </w:p>
    <w:p>
      <w:pPr>
        <w:pStyle w:val="SourceNote"/>
      </w:pPr>
      <w:r>
        <w:rPr>
          <w:b/>
        </w:rPr>
        <w:t>Available abstract (not full text):</w:t>
      </w:r>
      <w:r>
        <w:t xml:space="preserve"> In multilevel governance systems, member states work together to address cross-border problems, yet people still lack a clear understanding of how and why their policies differ or converge. Existing research offers many explanations but often treats them separately or overstates the EU's independent influence. This Element brings these perspectives together in a single framework of policy dynamics. It distinguishes policy areas shaped mainly by EU institutions or member states, or by their interaction. It introduces an actor-centered typology of policy dynamics – stable patterns of actors, incentives, and mechanisms that shape policy over time. The Element shows that these dynamics matter only when governments, interest groups, and NGOs have the incentives, capacity, and leverage to build coalitions and pursue goals. The policy dynamics framework helps learners identify likely causal mechanisms and supports clearer comparison, explanation, and teaching of EU policymaking. This title is also available as Open Access on Cambridge Core.</w:t>
      </w:r>
    </w:p>
    <w:p>
      <w:pPr/>
      <w:r>
        <w:rPr>
          <w:b/>
        </w:rPr>
        <w:t>POSSIBLE 2023:</w:t>
      </w:r>
      <w:r>
        <w:t xml:space="preserve"> Two and a Half Tales of Europe: How the European Commission Narrates Peoplehood in Migration and Citizenship Policy — https://doi.org/10.1111/jcms.13479</w:t>
      </w:r>
    </w:p>
    <w:p>
      <w:pPr/>
      <w:r>
        <w:rPr>
          <w:b/>
        </w:rPr>
        <w:t>Shared claim-specific concepts:</w:t>
      </w:r>
      <w:r>
        <w:t xml:space="preserve"> two, article; EU scope visible. This is a provisional connection, not an outcome finding.</w:t>
      </w:r>
    </w:p>
    <w:p>
      <w:pPr>
        <w:pStyle w:val="SourceNote"/>
      </w:pPr>
      <w:r>
        <w:rPr>
          <w:b/>
        </w:rPr>
        <w:t>Available abstract (not full text):</w:t>
      </w:r>
      <w:r>
        <w:t xml:space="preserve"> Abstract Since 2019, the European Commission has had a vice president for ‘promoting our European way of life’, but whether a European ‘we’ exists at all is disputed. This article investigates whether and how the Commission has constructed this ‘we’ through narratives of peoplehood. Analysing official communications in migration and citizenship policy between 2007 and 2020, it traces three narrative elements: characters, plot and main theme. The article argues, first, that the Commission's narrative of ‘realizing European citizenship’ creates a sense of peoplehood more than its narrative of ‘achieving a comprehensive migration policy’ and, second, that it has largely repeated its citizenship narrative while adapting its migration narrative. The findings suggest that the Commission is a rather subtle narrator of peoplehood and call into question whether it has a clear idea of the ‘we’ whose ‘way of life’ it seeks to promote.</w:t>
      </w:r>
    </w:p>
    <w:p>
      <w:pPr/>
      <w:r>
        <w:rPr>
          <w:b/>
        </w:rPr>
        <w:t>POSSIBLE 2022:</w:t>
      </w:r>
      <w:r>
        <w:t xml:space="preserve"> Facial-sketch Synthesis: A New Challenge — https://doi.org/10.1007/s11633-022-1349-9</w:t>
      </w:r>
    </w:p>
    <w:p>
      <w:pPr/>
      <w:r>
        <w:rPr>
          <w:b/>
        </w:rPr>
        <w:t>Shared claim-specific concepts:</w:t>
      </w:r>
      <w:r>
        <w:t xml:space="preserve"> sketch, two, approaches; EU scope not established. This is a provisional connection, not an outcome finding.</w:t>
      </w:r>
    </w:p>
    <w:p>
      <w:pPr>
        <w:pStyle w:val="SourceNote"/>
      </w:pPr>
      <w:r>
        <w:rPr>
          <w:b/>
        </w:rPr>
        <w:t>Available abstract (not full text):</w:t>
      </w:r>
      <w:r>
        <w:t xml:space="preserve"> Abstract This paper aims to conduct a comprehensive study on facial-sketch synthesis (FSS). However, due to the high cost of obtaining hand-drawn sketch datasets, there is a lack of a complete benchmark for assessing the development of FSS algorithms over the last decade. We first introduce a high-quality dataset for FSS, named FS2K, which consists of 2 104 image-sketch pairs spanning three types of sketch styles, image backgrounds, lighting conditions, skin colors, and facial attributes. FS2K differs from previous FSS datasets in difficulty, diversity, and scalability and should thus facilitate the progress of FSS research. Second, we present the largest-scale FSS investigation by reviewing 89 classic methods, including 25 handcrafted feature-based facial-sketch synthesis approaches, 29 general translation methods, and 35 image-to-sketch approaches. In addition, we elaborate comprehensive experiments on the existing 19 cutting-edge models. Third, we present a simple baseline for FSS, named FSGAN. With only two straightforward components, i.e., facial-aware masking and style-vector expansion, our FSGAN surpasses the performance of all previous state-of-the-art models on the proposed FS2K dataset by a large margin. Finally, we conclude with lessons learned over the past years and point out several unsolved challenges. Our code is available at https://github.com/DengPingFan/FSGAN</w:t>
      </w:r>
    </w:p>
    <w:p>
      <w:pPr/>
      <w:r>
        <w:rPr>
          <w:b/>
        </w:rPr>
        <w:t>POSSIBLE 2022:</w:t>
      </w:r>
      <w:r>
        <w:t xml:space="preserve"> A sketch grammar of Seletar — https://doi.org/10.32657/10356/165162</w:t>
      </w:r>
    </w:p>
    <w:p>
      <w:pPr/>
      <w:r>
        <w:rPr>
          <w:b/>
        </w:rPr>
        <w:t>Shared claim-specific concepts:</w:t>
      </w:r>
      <w:r>
        <w:t xml:space="preserve"> sketch, two, climate; EU scope not established. This is a provisional connection, not an outcome finding.</w:t>
      </w:r>
    </w:p>
    <w:p>
      <w:pPr>
        <w:pStyle w:val="SourceNote"/>
      </w:pPr>
      <w:r>
        <w:rPr>
          <w:b/>
        </w:rPr>
        <w:t>Available abstract (not full text):</w:t>
      </w:r>
      <w:r>
        <w:t xml:space="preserve"> language and share their stories.I am also extremely grateful to my interpreter and point of contact, M, for giving me a chance to meet your extended family.Also to my two Seletar interpreters that I met in Singapore (virtually) during the pandemic, without your help, I would never have completed this work.I am glad that the borders are now open and we can all go home and visit our families regularly.Currently, the times are hard for the Orang Seletar with depleting catch due to climate change, and I sincerely hope the best for the entire Orang Seletar community</w:t>
      </w:r>
    </w:p>
    <w:p>
      <w:pPr/>
      <w:r>
        <w:rPr>
          <w:b/>
        </w:rPr>
        <w:t>POSSIBLE 2021:</w:t>
      </w:r>
      <w:r>
        <w:t xml:space="preserve"> A New Idea(l) for Europe: Report on the Future of Cosmopolitanism in Europe — https://doi.org/10.17185/duepublico/74426</w:t>
      </w:r>
    </w:p>
    <w:p>
      <w:pPr/>
      <w:r>
        <w:rPr>
          <w:b/>
        </w:rPr>
        <w:t>Shared claim-specific concepts:</w:t>
      </w:r>
      <w:r>
        <w:t xml:space="preserve"> sketch, two, possible, emphasize, union; EU scope visible. This is a provisional connection, not an outcome finding.</w:t>
      </w:r>
    </w:p>
    <w:p>
      <w:pPr>
        <w:pStyle w:val="SourceNote"/>
      </w:pPr>
      <w:r>
        <w:rPr>
          <w:b/>
        </w:rPr>
        <w:t>Available abstract (not full text):</w:t>
      </w:r>
      <w:r>
        <w:t xml:space="preserve"> While designing its migration policies, the European Union must carefully weigh two conflicting considerations. On the one hand, the Union has set some normative standards for itself in its Charter of Fundamental Rights. On the other hand, after the sudden influx of asylum seekers over the summer of 2015, several member states signalled that their reception facilities could not cope with the tide of new arrivals, while some populations voted into power or confirmed national governments committed to restricting immigration into Europe. This report aims to offer some constructive criticisms and to present various solutions that would reconcile the Union’s normative commitments with its migration practices. To that end, we will proceed in four major steps. To begin with, we present a thorough diagnostic of the current situation of the Union’s migration policies and of its adequation to its self-assigned values and norms. Then, we introduce three possible scenarios for the future of the Union’s migration policies. In our first scenario, we suggest that the current status quo is unstable and that its perpetuation is likely to come at a political cost. We then sketch two alternative options. In the second scenario, the Union takes a step back in the management of its external borders, hands over most of the operational responsibilities to its member states and limits itself to a supe</w:t>
      </w:r>
    </w:p>
    <w:p>
      <w:pPr/>
      <w:r>
        <w:rPr>
          <w:b/>
        </w:rPr>
        <w:t>POSSIBLE 2021:</w:t>
      </w:r>
      <w:r>
        <w:t xml:space="preserve"> The Grand Tour of Europe — https://doi.org/10.7146/nts.v32i2.124349</w:t>
      </w:r>
    </w:p>
    <w:p>
      <w:pPr/>
      <w:r>
        <w:rPr>
          <w:b/>
        </w:rPr>
        <w:t>Shared claim-specific concepts:</w:t>
      </w:r>
      <w:r>
        <w:t xml:space="preserve"> two, possible, article; EU scope visible. This is a provisional connection, not an outcome finding.</w:t>
      </w:r>
    </w:p>
    <w:p>
      <w:pPr>
        <w:pStyle w:val="SourceNote"/>
      </w:pPr>
      <w:r>
        <w:rPr>
          <w:b/>
        </w:rPr>
        <w:t>Available abstract (not full text):</w:t>
      </w:r>
      <w:r>
        <w:t xml:space="preserve"> This article investigates the artistic Grand Tour of the nineteenth-century Danish theatre painter C.F. Christensen made between the spring of 1838 and the fall of 1839, and how it influenced his later scenographic work at the Royal Danish Theatre. Using a variety of archival sources, his Grand Tour is reconstructed. His travels through Germany, Bohemia, Moravia, Switzerland, France, Italy, and the Tyrol exposed him to some of the greatest art and most innovative theatre Europe had to offer. Through the sketches done on his trip, it is possible to see the seeds of inspiration that took root in his scenography upon his return to Copenhagen. Scenography for two August Bournonville ballets that Christensen created after his return will be analyzed: The Festival in Albano and Acts 2 and 3 of Napoli.</w:t>
      </w:r>
    </w:p>
    <w:p>
      <w:pPr/>
      <w:r>
        <w:rPr>
          <w:b/>
        </w:rPr>
        <w:t>POSSIBLE 2020:</w:t>
      </w:r>
      <w:r>
        <w:t xml:space="preserve"> Public Policy during COVID-19: Challenges for Public Administration and Policy Research in Central and Eastern Europe — https://doi.org/10.2478/nispa-2020-0011</w:t>
      </w:r>
    </w:p>
    <w:p>
      <w:pPr/>
      <w:r>
        <w:rPr>
          <w:b/>
        </w:rPr>
        <w:t>Shared claim-specific concepts:</w:t>
      </w:r>
      <w:r>
        <w:t xml:space="preserve"> suggested, article; EU scope visible. This is a provisional connection, not an outcome finding.</w:t>
      </w:r>
    </w:p>
    <w:p>
      <w:pPr>
        <w:pStyle w:val="SourceNote"/>
      </w:pPr>
      <w:r>
        <w:rPr>
          <w:b/>
        </w:rPr>
        <w:t>Available abstract (not full text):</w:t>
      </w:r>
      <w:r>
        <w:t xml:space="preserve"> Abstract The authors of this text decided to prepare a short article, with the aim to induce further discussion and to orient ongoing and future research efforts in Central and Eastern Europe but also worldwide. The article uses the method of a multi-country case study as the basis for proposing several critical research (and policy) challenges for our region – but many of them of a world-wide character. Four countries are covered by our thumbnail informative sketches – the Czech Republic, Estonia, Hungary and the Slovak Republic. The final part of this article proposes a set of questions suggested by the CEE experience with COVID-19 for future research. Such research will both be necessary and interesting for scholarship and policy in the region, and – as a particularly interesting context and area – helpful, one hopes, for questions and answers globally, concerning the pandemic, as well as public administration and policy as a whole.</w:t>
      </w:r>
    </w:p>
    <w:p>
      <w:pPr/>
      <w:r>
        <w:rPr>
          <w:b/>
        </w:rPr>
        <w:t>POSSIBLE 2019:</w:t>
      </w:r>
      <w:r>
        <w:t xml:space="preserve"> Innovators in the Crossfire: A Policy Sketch for Unknowable Risks in European and United States Product Liability Law — https://doi.org/10.37381/tds8a957</w:t>
      </w:r>
    </w:p>
    <w:p>
      <w:pPr/>
      <w:r>
        <w:rPr>
          <w:b/>
        </w:rPr>
        <w:t>Shared claim-specific concepts:</w:t>
      </w:r>
      <w:r>
        <w:t xml:space="preserve"> sketch, possible, union, far, article; EU scope visible. This is a provisional connection, not an outcome finding.</w:t>
      </w:r>
    </w:p>
    <w:p>
      <w:pPr>
        <w:pStyle w:val="SourceNote"/>
      </w:pPr>
      <w:r>
        <w:rPr>
          <w:b/>
        </w:rPr>
        <w:t>Available abstract (not full text):</w:t>
      </w:r>
      <w:r>
        <w:t xml:space="preserve"> hrrRopucroNA product defect results from an unknowable innovation riskl when available scientific testing procedures could not have permitted discovery of the defect prior to the product's initial manufacture.Such product defects occur rather commonly in innovative or newly developed products and materials2 typically found in the pharmaceutical, medico- technical, nuclear, aviation, and biochemical engineering industries.Irgal treatment of product innovation risks has significant economic implications, which this Article addresses.Although strict liabilityincluding liability for innovation risks-has expanded for the last twenty years,3 it now seems to have started to contract on both sides of the Atlantic.4The role of innovation risks in product liability law is currently attracting attention from both lawyers and government administrators.Although cunently on the European Union's agenda, the subject of innovation risk has thus far beon addressed only tentatively in Council Directive 85/374 of July 25, 1985, concerning the member states'l.This term excludes losses occurring after the risk has been detected because such lesses result from failure to forewam a user of its consequences, not from the innovation risk itself.James A. Henderson, h., Coping with the Time Dimension in Products linbility,69 Cru-.L. REV.919, 922 n.5 (1981).Because these cases do not pose special problems </w:t>
      </w:r>
    </w:p>
    <w:p>
      <w:pPr/>
      <w:r>
        <w:rPr>
          <w:b/>
        </w:rPr>
        <w:t>POSSIBLE 2019:</w:t>
      </w:r>
      <w:r>
        <w:t xml:space="preserve"> European Union social policy — https://doi.org/10.4324/9780429290510-30</w:t>
      </w:r>
    </w:p>
    <w:p>
      <w:pPr/>
      <w:r>
        <w:rPr>
          <w:b/>
        </w:rPr>
        <w:t>Shared claim-specific concepts:</w:t>
      </w:r>
      <w:r>
        <w:t xml:space="preserve"> two, potential, union; EU scope visible. This is a provisional connection, not an outcome finding.</w:t>
      </w:r>
    </w:p>
    <w:p>
      <w:pPr>
        <w:pStyle w:val="SourceNote"/>
      </w:pPr>
      <w:r>
        <w:rPr>
          <w:b/>
        </w:rPr>
        <w:t>Available abstract (not full text):</w:t>
      </w:r>
      <w:r>
        <w:t xml:space="preserve"> This chapter presents quantitative and qualitative developments of EU social policy over the last two decades. It differentiates between instrument types (spending, regulatory, and coordinating) and areas of EU social policy (freedom of movement, unemployment, old age, and health) to show that overall continuity prevails. Economic integration continues to dominate over social integration, developments are incremental and frequently take place in form of soft, non-binding rather than binding instruments. This is astonishing as deepening economic integration, austerity policies, and hardship of the economic and financial crisis create demand for more or for a different EU social policy. Turning to potential explanations for this paradox, the chapter finishes by discussing the heterogeneity of member states and their interests as well as EU politics.</w:t>
      </w:r>
    </w:p>
    <w:p>
      <w:pPr/>
      <w:r>
        <w:rPr>
          <w:b/>
        </w:rPr>
        <w:t>POSSIBLE 2019:</w:t>
      </w:r>
      <w:r>
        <w:t xml:space="preserve"> Energy Policy and European Union Politics — https://doi.org/10.1093/acrefore/9780190228637.013.1079</w:t>
      </w:r>
    </w:p>
    <w:p>
      <w:pPr/>
      <w:r>
        <w:rPr>
          <w:b/>
        </w:rPr>
        <w:t>Shared claim-specific concepts:</w:t>
      </w:r>
      <w:r>
        <w:t xml:space="preserve"> energy, governance, union, beyond, coherence; EU scope visible. This is a provisional connection, not an outcome finding.</w:t>
      </w:r>
    </w:p>
    <w:p>
      <w:pPr>
        <w:pStyle w:val="SourceNote"/>
      </w:pPr>
      <w:r>
        <w:rPr>
          <w:b/>
        </w:rPr>
        <w:t>Available abstract (not full text):</w:t>
      </w:r>
      <w:r>
        <w:t xml:space="preserve"> Abstract Energy policy has been considered as a “special case of Europeanization,” due to its tardy and patchy development as a domain of EU activity as well as its important but highly contested external dimension. Divergent energy pathways across Member States and the sensitivity of this policy domain have militated against a unified European Energy Policy. And yet, since the mid-2000s cooperation in this policy area has picked up speed, leading to the adoption of the Energy Union, presented by the European Commission as the most ambitious energy initiative since the European Coal and Steel Community. This dynamism has attracted growing scholarly attention, seeking to determine whether, why and how European Energy Policy has consolidated against all odds during a particularly critical moment for European integration. The underlying question that emerges in this context is whether the Energy Union represents a step forward towards a more homogenous and joined-up energy policy or, rather a strategy to manage heterogeneity through greater flexibility and differentiated integration. Given the multilevel and multisectoral characteristics of energy policy, answering these questions requires a three-fold analysis of (1) the degree of centralization of European Energy Policy (vertical integration), (2) the coherence between energy sub-sectors (cross-sectoral integration), and (3) the</w:t>
      </w:r>
    </w:p>
    <w:p>
      <w:pPr/>
      <w:r>
        <w:rPr>
          <w:b/>
        </w:rPr>
        <w:t>POSSIBLE 2018:</w:t>
      </w:r>
      <w:r>
        <w:t xml:space="preserve"> Institutional Economics: A Sketch of Economic Growth Policy — https://openalex.org/W2785147937</w:t>
      </w:r>
    </w:p>
    <w:p>
      <w:pPr/>
      <w:r>
        <w:rPr>
          <w:b/>
        </w:rPr>
        <w:t>Shared claim-specific concepts:</w:t>
      </w:r>
      <w:r>
        <w:t xml:space="preserve"> sketch, possible; EU scope not established. This is a provisional connection, not an outcome finding.</w:t>
      </w:r>
    </w:p>
    <w:p>
      <w:pPr>
        <w:pStyle w:val="SourceNote"/>
      </w:pPr>
      <w:r>
        <w:rPr>
          <w:b/>
        </w:rPr>
        <w:t>Available abstract (not full text):</w:t>
      </w:r>
      <w:r>
        <w:t xml:space="preserve"> In the postwar period until today the call for more intensive economic growth, again and again, enjoyed a substantial popularity in the world of politics, in particular with reference to possible current solutions of given economic problems. Here growth considerations and decisions in the past concentrating on some few years will be critically evaluated and found to be inadequate. Since economic growth is a long-term phenomenon, pertaining institutional and organizational precautions for formulating policies must be taken that will embody the preconditions of growth, the infrastructure of the market economy. In this context a proposal will be made on the basis of a wellknown constitutional model.</w:t>
      </w:r>
    </w:p>
    <w:p>
      <w:pPr>
        <w:pStyle w:val="Heading2"/>
      </w:pPr>
      <w:r>
        <w:t>851. Situational analysis of EU renewable energy legislation</w:t>
      </w:r>
    </w:p>
    <w:p>
      <w:pPr>
        <w:pStyle w:val="SourceNote"/>
      </w:pPr>
      <w:r>
        <w:rPr>
          <w:b/>
        </w:rPr>
        <w:t>Original source (2016):</w:t>
      </w:r>
      <w:r>
        <w:t xml:space="preserve"> https://doi.org/10.1080/14693062.2015.1135412</w:t>
      </w:r>
    </w:p>
    <w:p>
      <w:pPr/>
      <w:r>
        <w:t>Original wording (abstract; indexed_source_text_not_full_document_verified): It next seeks to identify relationships between internal weaknesses and strengths and external threats and opportunities, resulting in four sets of policy options.Policy relevanceIn October 2014, the EU Heads of State and Government agreed to increase the EU's greenhouse gas reduction target to -40% by 2030. This article applies a situational analysis tool to help answer the question of how EU renewable energy policy could be reshaped after 2020 to further enhance renewable energy deployment in the EU.</w:t>
      </w:r>
    </w:p>
    <w:p>
      <w:pPr/>
      <w:r>
        <w:rPr>
          <w:b/>
        </w:rPr>
        <w:t>POSSIBLE 2025:</w:t>
      </w:r>
      <w:r>
        <w:t xml:space="preserve"> Scenario-Building Papers for Europe 2030 - INTERNAL AND EXTERNAL DYNAMICS OF EUROPEAN INTEGRATION (DEBUE). — https://doi.org/10.5281/zenodo.17566447</w:t>
      </w:r>
    </w:p>
    <w:p>
      <w:pPr/>
      <w:r>
        <w:rPr>
          <w:b/>
        </w:rPr>
        <w:t>Shared claim-specific concepts:</w:t>
      </w:r>
      <w:r>
        <w:t xml:space="preserve"> next, seeks, between, internal, external, threats; EU scope visible. This is a provisional connection, not an outcome finding.</w:t>
      </w:r>
    </w:p>
    <w:p>
      <w:pPr>
        <w:pStyle w:val="SourceNote"/>
      </w:pPr>
      <w:r>
        <w:rPr>
          <w:b/>
        </w:rPr>
        <w:t>Available abstract (not full text):</w:t>
      </w:r>
      <w:r>
        <w:t xml:space="preserve"> This report presents papers from scenario-building exercises carried out in the context of the Jean Monnet DEBUE module. Beginning with a brief overview of scenario-building methodologies some of the most insightful student papers based on the ‘best’, ‘worst’ and ‘wildcard’ future scenarios for the European Union (EU) in 2030 are presented. Student-written scenario papers represent creative outputs from the DEBUE Jean Monnet Module. Scenario-building is central to DEBUE’s high-impact pedagogy which seeks to move learning away from the classroom towards real-world foresight when it comes to EU studies. Using the Turning Point and Matrix methods described above, students were encouraged to think strategically about how Europe might evolve by 2030, by identifying key variables, shocks, trends and policy choices that could potentially drive and shape Europe and its role in the world over the next decade. The scenarios presented below suggest that students approach the European project with a mixture of critical optimism and realism in that they recognise the Union’s fragility and limitations but also its transformative potential and power of attraction. Across the best-case, worst-case and wild-card scenarios, a coherent picture emerges of what matters most. Democracy, equality, climate security and solidarity are consistently seen as the cornerstones of Europe’s future. Conversely</w:t>
      </w:r>
    </w:p>
    <w:p>
      <w:pPr/>
      <w:r>
        <w:rPr>
          <w:b/>
        </w:rPr>
        <w:t>POSSIBLE 2024:</w:t>
      </w:r>
      <w:r>
        <w:t xml:space="preserve"> Internal mobility of international migrants in Europe: A critical literature review and research agenda — https://doi.org/10.1002/psp.2822</w:t>
      </w:r>
    </w:p>
    <w:p>
      <w:pPr/>
      <w:r>
        <w:rPr>
          <w:b/>
        </w:rPr>
        <w:t>Shared claim-specific concepts:</w:t>
      </w:r>
      <w:r>
        <w:t xml:space="preserve"> between, internal, state; EU scope visible. This is a provisional connection, not an outcome finding.</w:t>
      </w:r>
    </w:p>
    <w:p>
      <w:pPr>
        <w:pStyle w:val="SourceNote"/>
      </w:pPr>
      <w:r>
        <w:rPr>
          <w:b/>
        </w:rPr>
        <w:t>Available abstract (not full text):</w:t>
      </w:r>
      <w:r>
        <w:t xml:space="preserve"> Abstract This paper reviews the literature on the internal mobility of international migrants and their descendants in Europe from an interdisciplinary perspective. Europe is becoming increasingly diverse. Where international migrants live and move to after arriving in their destination country influences both individual life courses and macro‐level population compositions. So far, a comprehensive overview of internal mobility patterns and drivers among migrants is missing. The aim of this paper is threefold: first, to discuss the development of the field across disciplines; second, to present and reflect on the current state of knowledge of internal mobility of migrants in Europe, and third, to conclude by setting an agenda for future research. This paper stresses the importance of studying the internal mobility of migrant populations over their life courses, testing theories across migrant generations, doing more justice to population diversity, strengthening the link between the literature on internal and international migration, and finally, emphasises the need for comparative research.</w:t>
      </w:r>
    </w:p>
    <w:p>
      <w:pPr/>
      <w:r>
        <w:rPr>
          <w:b/>
        </w:rPr>
        <w:t>POSSIBLE 2024:</w:t>
      </w:r>
      <w:r>
        <w:t xml:space="preserve"> The EU Internal Market in the Next Decade – Quo Vadis? — https://doi.org/10.1163/9789004712119</w:t>
      </w:r>
    </w:p>
    <w:p>
      <w:pPr/>
      <w:r>
        <w:rPr>
          <w:b/>
        </w:rPr>
        <w:t>Shared claim-specific concepts:</w:t>
      </w:r>
      <w:r>
        <w:t xml:space="preserve"> next, between, internal; EU scope visible. This is a provisional connection, not an outcome finding.</w:t>
      </w:r>
    </w:p>
    <w:p>
      <w:pPr>
        <w:pStyle w:val="SourceNote"/>
      </w:pPr>
      <w:r>
        <w:rPr>
          <w:b/>
        </w:rPr>
        <w:t>Available abstract (not full text):</w:t>
      </w:r>
      <w:r>
        <w:t xml:space="preserve"> In this chapter, the author explores the role which translation of legal texts plays as a tool of harmonisation and the techniques involved in securing uniformity between texts, which uniformity is vital to ensure legal certainty.</w:t>
      </w:r>
    </w:p>
    <w:p>
      <w:pPr/>
      <w:r>
        <w:rPr>
          <w:b/>
        </w:rPr>
        <w:t>POSSIBLE 2024:</w:t>
      </w:r>
      <w:r>
        <w:t xml:space="preserve"> Climate Policy Priorities for the Next European Commission — https://openalex.org/W4392885355</w:t>
      </w:r>
    </w:p>
    <w:p>
      <w:pPr/>
      <w:r>
        <w:rPr>
          <w:b/>
        </w:rPr>
        <w:t>Shared claim-specific concepts:</w:t>
      </w:r>
      <w:r>
        <w:t xml:space="preserve"> next, external, increase; EU scope visible. This is a provisional connection, not an outcome finding.</w:t>
      </w:r>
    </w:p>
    <w:p>
      <w:pPr>
        <w:pStyle w:val="SourceNote"/>
      </w:pPr>
      <w:r>
        <w:rPr>
          <w:b/>
        </w:rPr>
        <w:t>Available abstract (not full text):</w:t>
      </w:r>
      <w:r>
        <w:t xml:space="preserve"> From the earliest announcement of the European Green Deal, the current EU political cycle has been defined by an unprecedented acceleration in the scale and pace of climate policy. Under difficult conditions that sometimes tested the ability to engage stakeholders, including various external shocks, the EU has put forward and largely passed an unprecedented legislative agenda, which was meant to have, and is having, deep impacts on the EU economy and society at large. Much has changed in the world since the European Green Deal and the 'Fit for 55' packages were conceived, including a dramatic increase in industrial policy actions by Europe's trade partners, a deteriorating geopolitical landscape, and an energy crisis that has been aggravated by these factors, all of which has led to persistent fiscal and economic pressures. Given this reality, both the climate policy objectives and instruments pursued over the course of the last five years may need to be scrutinized in the coming political cycle, to ensure that they respond to evolving circumstances, concerns, and above all the reaction of European society to the political and economic consequences. Based on interviews and feedback from the members of a high-level Advisory Group as well as consultations with approximately 200 stakeholders from the public and private sectors, civil society, and research and academia convened in </w:t>
      </w:r>
    </w:p>
    <w:p>
      <w:pPr/>
      <w:r>
        <w:rPr>
          <w:b/>
        </w:rPr>
        <w:t>POSSIBLE 2021:</w:t>
      </w:r>
      <w:r>
        <w:t xml:space="preserve"> The EASL–Lancet Liver Commission: protecting the next generation of Europeans against liver disease complications and premature mortality — https://doi.org/10.1016/s0140-6736(21)01701-3</w:t>
      </w:r>
    </w:p>
    <w:p>
      <w:pPr/>
      <w:r>
        <w:rPr>
          <w:b/>
        </w:rPr>
        <w:t>Shared claim-specific concepts:</w:t>
      </w:r>
      <w:r>
        <w:t xml:space="preserve"> next, opportunities, increase; EU scope visible. This is a provisional connection, not an outcome finding.</w:t>
      </w:r>
    </w:p>
    <w:p>
      <w:pPr>
        <w:pStyle w:val="SourceNote"/>
      </w:pPr>
      <w:r>
        <w:rPr>
          <w:b/>
        </w:rPr>
        <w:t>Available abstract (not full text):</w:t>
      </w:r>
      <w:r>
        <w:t xml:space="preserve"> Liver diseases have become a major health threat across Europe, and the face of European hepatology is changing due to the cure of viral hepatitis C and the control of chronic viral hepatitis B, the increasingly widespread unhealthy use of alcohol, the epidemic of obesity, and undiagnosed or untreated liver disease in migrant populations.Consequently, Europe is facing a looming syndemic, in which socioeconomic and health inequities combine to adversely affect liver disease prevalence, outcomes, and opportunities to receive care.In addition, the COVID-19 pandemic has magnified pre-existing challenges to uniform implementation of policies and equity of access to care in Europe, arising from national borders and the cultural and historical heterogeneity of European societies.In following up on work from the Lancet Commission on liver disease in the UK and epidemiological studies led by the European Association for the Study of the Liver (EASL), our multidisciplinary Commission, comprising a wide range of public health, medical, and nursing specialty groups, along with patient representatives, set out to provide a snapshot of the European landscape on liver diseases and to propose a framework for the principal actions required to improve liver health in Europe.We believe that a joint European process of thinking, and construction of uniform policies and action, implementation, and </w:t>
      </w:r>
    </w:p>
    <w:p>
      <w:pPr/>
      <w:r>
        <w:rPr>
          <w:b/>
        </w:rPr>
        <w:t>POSSIBLE 2021:</w:t>
      </w:r>
      <w:r>
        <w:t xml:space="preserve"> Seeking Proxies for Internal States as a Possible Alternative for Rationality and Experientiality — https://doi.org/10.1177/2158244020986533</w:t>
      </w:r>
    </w:p>
    <w:p>
      <w:pPr/>
      <w:r>
        <w:rPr>
          <w:b/>
        </w:rPr>
        <w:t>Shared claim-specific concepts:</w:t>
      </w:r>
      <w:r>
        <w:t xml:space="preserve"> between, internal, external; EU scope not established. This is a provisional connection, not an outcome finding.</w:t>
      </w:r>
    </w:p>
    <w:p>
      <w:pPr>
        <w:pStyle w:val="SourceNote"/>
      </w:pPr>
      <w:r>
        <w:rPr>
          <w:b/>
        </w:rPr>
        <w:t>Available abstract (not full text):</w:t>
      </w:r>
      <w:r>
        <w:t xml:space="preserve"> The Cognitive–Experiential Self-Theory (CEST) proposes rationality and experientiality as independent personality constructs explaining how people process information. Recent empirical studies show that some people have low scores on both of these dimensions (the so-called disengaged profile). Another model, Seeking Proxies for Internal States (SPIS), primarily proposed to explain obsessive-compulsive tendencies, provides a framework under which both rationality and experientiality can be understood as internal resources of a person. Low rationality and experientiality could thus be overcome by seeking external clues. In two subsequent studies on independent nonclinical samples (psychology students N = 268 and technical sciences students N = 549), we examined the relationship between constructs from CEST and SPIS models, and in addition, explored their patterns of interoceptive awareness (IA) in Study 2. A latent profile analysis showed that the disengaged profile was related to high SPIS and OC tendencies in both samples. In addition, rationality and experientiality had similar and more positive correlations with some IA dimensions, compared to SPIS (and OCI)—IA correlations. Thus, impaired connection to internal states together with OC tendencies might contribute to the understanding of the specific thinking style of those who do not primarily rely on either rationality or ex</w:t>
      </w:r>
    </w:p>
    <w:p>
      <w:pPr/>
      <w:r>
        <w:rPr>
          <w:b/>
        </w:rPr>
        <w:t>POSSIBLE 2021:</w:t>
      </w:r>
      <w:r>
        <w:t xml:space="preserve"> DIAGNOSIS OF THREATS TO THE EUROPEAN UNION’S INTERNAL SECURITY — https://doi.org/10.7862/rz.2021.hss.19</w:t>
      </w:r>
    </w:p>
    <w:p>
      <w:pPr/>
      <w:r>
        <w:rPr>
          <w:b/>
        </w:rPr>
        <w:t>Shared claim-specific concepts:</w:t>
      </w:r>
      <w:r>
        <w:t xml:space="preserve"> identify, internal, threats, state; EU scope visible. This is a provisional connection, not an outcome finding.</w:t>
      </w:r>
    </w:p>
    <w:p>
      <w:pPr>
        <w:pStyle w:val="SourceNote"/>
      </w:pPr>
      <w:r>
        <w:rPr>
          <w:b/>
        </w:rPr>
        <w:t>Available abstract (not full text):</w:t>
      </w:r>
      <w:r>
        <w:t xml:space="preserve"> There is a common belief that despite the many legal, practical, and supportive solutions that the EU has introduced in recent years in the area of internal security, its citizens still lack assurance.In order to obtain the desired state of security, it is necessary to improve the existing solutions and create completely new ones.This need is associated with a deep awareness of threats, as well as knowledge of the mechanisms of their emergence and functioning.The aim of this article is to identify threats selected by scientists and experts that cause the greatest fear and anxiety in all the EU states and their citizens using theoretical methods such as analysis, synthesis, generalization, and inference.These findings highlight the opportunity to learn about the essence of threats to the internal security of the EU states that arise from contradictions and antagonisms on political, economic, and social bases and are caused not only by human activities but also by natural phenomena, the effects of which may be immediate or anticipated and very severe.</w:t>
      </w:r>
    </w:p>
    <w:p>
      <w:pPr/>
      <w:r>
        <w:rPr>
          <w:b/>
        </w:rPr>
        <w:t>POSSIBLE 2020:</w:t>
      </w:r>
      <w:r>
        <w:t xml:space="preserve"> Shadow Education in Europe: Growing Prevalence, Underlying Forces, and Policy Implications — https://doi.org/10.1177/2096531119890142</w:t>
      </w:r>
    </w:p>
    <w:p>
      <w:pPr/>
      <w:r>
        <w:rPr>
          <w:b/>
        </w:rPr>
        <w:t>Shared claim-specific concepts:</w:t>
      </w:r>
      <w:r>
        <w:t xml:space="preserve"> four, government; EU scope visible. This is a provisional connection, not an outcome finding.</w:t>
      </w:r>
    </w:p>
    <w:p>
      <w:pPr>
        <w:pStyle w:val="SourceNote"/>
      </w:pPr>
      <w:r>
        <w:rPr>
          <w:b/>
        </w:rPr>
        <w:t>Available abstract (not full text):</w:t>
      </w:r>
      <w:r>
        <w:t xml:space="preserve"> Purpose: Private supplementary tutoring, widely known as shadow education, has long been visible in East Asia, and now has spread to other parts of the world including Europe. This article maps the phenomenon, showing variations within Europe and analyzing its growth, underlying forces, and policy implications. Design/Approach/Methods: The article assembles a regional picture from available national sources. It focuses on the 28 members of the European Union. Findings: Within Europe, four subregions may be identified. Most prominent for the longest duration has been Southern Europe, pushed by political forces and cultural factors. In Eastern Europe, shadow education became prominent following the collapse of the Soviet Union and accompanying economic and social structures during which teachers and others had to earn extra incomes. In Western Europe, the advent of marketization alongside government schooling has fueled the growth of shadow education. Only in Northern Europe does shadow education remain modest in scale, but it is growing there too. Originality/Value: The article identifies forces underlying the growth of shadow education in Europe and highlights policy implications. By contributing this regional perspective to the wider literature on shadow education, the article permits juxtaposition with patterns in East Asia and elsewhere.</w:t>
      </w:r>
    </w:p>
    <w:p>
      <w:pPr/>
      <w:r>
        <w:rPr>
          <w:b/>
        </w:rPr>
        <w:t>POSSIBLE 2020:</w:t>
      </w:r>
      <w:r>
        <w:t xml:space="preserve"> People in transitions: Energy citizenship, prosumerism and social movements in Europe — https://doi.org/10.1016/j.erss.2020.101718</w:t>
      </w:r>
    </w:p>
    <w:p>
      <w:pPr/>
      <w:r>
        <w:rPr>
          <w:b/>
        </w:rPr>
        <w:t>Shared claim-specific concepts:</w:t>
      </w:r>
      <w:r>
        <w:t xml:space="preserve"> relationships, between; EU scope visible. This is a provisional connection, not an outcome finding.</w:t>
      </w:r>
    </w:p>
    <w:p>
      <w:pPr>
        <w:pStyle w:val="SourceNote"/>
      </w:pPr>
      <w:r>
        <w:rPr>
          <w:b/>
        </w:rPr>
        <w:t>Available abstract (not full text):</w:t>
      </w:r>
      <w:r>
        <w:t xml:space="preserve"> Active energy citizens are leading energy transitions, co-producing new cultures, practices and structures of production and consumption. This article aims to understand if prosumerism – the collective participation of prosumers in energy projects with social, economic and environmental benefits to society – can be referred to as a social movement. The article draws on a review of Social Movements Theory and applies thematic analysis to characterize 46 prosumer initiatives in Europe. The collective identities, socio-political opponents, knowledge-making activities, collective learning, and collective action aspects of these prosumers are described. The results show that prosumer initiatives converge towards a transformative social movement. This movement upholds decentralized renewable energy production and consumption, and presents itself as a socially inclusive, transparent and participatory energy model, replicable across the globe, in what can be described as a collective action towards a decentralized democratic energy model. The discussion highlights relationships between prosumerism and framings such as energy justice (including energy poverty and gender issues), energy democracy, climate change action and anti-nuclear movements, to reach a conclusion considering the relevance of calling prosumerism a social movement, while opening up some avenues for future research.</w:t>
      </w:r>
    </w:p>
    <w:p>
      <w:pPr/>
      <w:r>
        <w:rPr>
          <w:b/>
        </w:rPr>
        <w:t>POSSIBLE 2019:</w:t>
      </w:r>
      <w:r>
        <w:t xml:space="preserve"> Achievements of the European Union Countries in Seeking a Sustainable Electricity Sector — https://doi.org/10.3390/en12122254</w:t>
      </w:r>
    </w:p>
    <w:p>
      <w:pPr/>
      <w:r>
        <w:rPr>
          <w:b/>
        </w:rPr>
        <w:t>Shared claim-specific concepts:</w:t>
      </w:r>
      <w:r>
        <w:t xml:space="preserve"> seeks, identify, increase; EU scope visible. This is a provisional connection, not an outcome finding.</w:t>
      </w:r>
    </w:p>
    <w:p>
      <w:pPr>
        <w:pStyle w:val="SourceNote"/>
      </w:pPr>
      <w:r>
        <w:rPr>
          <w:b/>
        </w:rPr>
        <w:t>Available abstract (not full text):</w:t>
      </w:r>
      <w:r>
        <w:t xml:space="preserve"> The electricity production sector has a significant share of final energy consumption and has a huge potential to use more renewable energy sources. Over the last two decades, the European Union (EU) reform of electricity markets has had positive results, and market liberalization acts as a stimulus for energy efficiency, lower prices, and technological progress. Today’s EU policy for the development of electricity and the entire energy sector seeks to provide system modernization, stability, reinforcement of the single market, and implementation of climate change policy with an emphasis on the decarbonization of energy sources and the increase of energy efficiency. After all of the EU efforts to form an electricity sector in member states, it is necessary to assess the efficiency of the policy implemented and to identify the results achieved in shaping a sustainable electricity sector. The purpose of this article is to carry out a sustainability assessment of the electricity sector in the EU countries. A set of eight indicators designed to assess the sustainability of the electricity sector of different EU countries in 2017 has been drawn up. The assessment is made using the multi-criteria decision-making method (MCDM) Technique for Order Preference (TOPSIS). The assessment shows that the electricity market of Slovenia is the most sustainable, with Luxembourg in the second pos</w:t>
      </w:r>
    </w:p>
    <w:p>
      <w:pPr/>
      <w:r>
        <w:rPr>
          <w:b/>
        </w:rPr>
        <w:t>POSSIBLE 2019:</w:t>
      </w:r>
      <w:r>
        <w:t xml:space="preserve"> Social Innovation in Community Energy in Europe: A Review of the Evidence — https://doi.org/10.3389/fenrg.2019.00031</w:t>
      </w:r>
    </w:p>
    <w:p>
      <w:pPr/>
      <w:r>
        <w:rPr>
          <w:b/>
        </w:rPr>
        <w:t>Shared claim-specific concepts:</w:t>
      </w:r>
      <w:r>
        <w:t xml:space="preserve"> identify, opportunities, government; EU scope visible. This is a provisional connection, not an outcome finding.</w:t>
      </w:r>
    </w:p>
    <w:p>
      <w:pPr>
        <w:pStyle w:val="SourceNote"/>
      </w:pPr>
      <w:r>
        <w:rPr>
          <w:b/>
        </w:rPr>
        <w:t>Available abstract (not full text):</w:t>
      </w:r>
      <w:r>
        <w:t xml:space="preserve"> Citizen-driven Renewable Energy (RE) projects of various kinds, known collectively as community energy (CE), have an important part to play in the worldwide transition to cleaner energy systems. On the basis of evidence from 8 European countries, we investigate CE, over approximately the last 50 years (c.1970-2018), through the lens of Social Innovation (SI). We carry out a detailed review of literature around the social dimension of renewable energy; we collect, describe and map CE initiatives from Belgium, France, Germany, Italy, Poland, Spain, Sweden and the UK; and we unpack the SI concept into 4 operational criteria which we suggest are essential to recognising SI in CE. These are: 1) Crises and opportunities; 2) the agency of civil society; 3) reconfiguration of social practices, institutions and networks; 4) new ways of working. We identify three main phases of SI in CE. The environmental movements of the 1960s and the “oil shocks” of the 1970s provided the catalyst for a series of innovative societal responses around energy and self-sufficiency. A second wave of SI relates to the mainstreaming of RE and associated government support mechanisms. In this phase, with some important exceptions, successful CE initiatives were mainly confined to those countries where they were already embedded as innovators in the previous phase. The third phase of CE innovation relates to th</w:t>
      </w:r>
    </w:p>
    <w:p>
      <w:pPr/>
      <w:r>
        <w:rPr>
          <w:b/>
        </w:rPr>
        <w:t>POSSIBLE 2019:</w:t>
      </w:r>
      <w:r>
        <w:t xml:space="preserve"> The populist citizen: Empirical evidence from Europe and Latin America — https://doi.org/10.1017/s1755773919000262</w:t>
      </w:r>
    </w:p>
    <w:p>
      <w:pPr/>
      <w:r>
        <w:rPr>
          <w:b/>
        </w:rPr>
        <w:t>Shared claim-specific concepts:</w:t>
      </w:r>
      <w:r>
        <w:t xml:space="preserve"> identify, between, government; EU scope visible. This is a provisional connection, not an outcome finding.</w:t>
      </w:r>
    </w:p>
    <w:p>
      <w:pPr>
        <w:pStyle w:val="SourceNote"/>
      </w:pPr>
      <w:r>
        <w:rPr>
          <w:b/>
        </w:rPr>
        <w:t>Available abstract (not full text):</w:t>
      </w:r>
      <w:r>
        <w:t xml:space="preserve"> Abstract Scholars are increasingly interested in ‘populist attitudes’, which – studies show – can explain party support and vote choice. However, current research has not yet analyzed in detail the characteristics of those individuals with populist proclivities, or so-called populist citizens . To address this research gap, we harmonize survey data on populist attitudes for nine European countries, five Latin American countries, and Turkey in order to uncover shared or distinct features of populist citizens. Our findings are threefold. First, we identify differences in the sociodemographic characteristics of populist citizens, notably between Europe and Latin America. Second, we find similar patterns of heterogeneity in the political features of populist citizens. Third, we show that populist citizens across all countries have the same democratic profile. They systematically support democracy over other forms of government, while being dissatisfied with its implementation. This suggests populist attitudes are intrinsic to the political culture of contemporary democracies.</w:t>
      </w:r>
    </w:p>
    <w:p>
      <w:pPr>
        <w:pStyle w:val="Heading2"/>
      </w:pPr>
      <w:r>
        <w:t>852. Society in need of transformation. Citizen-Foresight as a method to co-create urban future</w:t>
      </w:r>
    </w:p>
    <w:p>
      <w:pPr>
        <w:pStyle w:val="SourceNote"/>
      </w:pPr>
      <w:r>
        <w:rPr>
          <w:b/>
        </w:rPr>
        <w:t>Original source (2016):</w:t>
      </w:r>
      <w:r>
        <w:t xml:space="preserve"> https://doi.org/10.14746/fped.2016.5.2.21</w:t>
      </w:r>
    </w:p>
    <w:p>
      <w:pPr/>
      <w:r>
        <w:t>Original wording (abstract; indexed_source_text_not_full_document_verified): Third, we show how this can work in reality by shortly outlining two Citizen-Foresight cases with elderlies and, fourth, we derive selection-criteria for methods aiming at transforming mental images, maps and behaviour.</w:t>
      </w:r>
    </w:p>
    <w:p>
      <w:pPr/>
      <w:r>
        <w:rPr>
          <w:b/>
        </w:rPr>
        <w:t>POSSIBLE 2026:</w:t>
      </w:r>
      <w:r>
        <w:t xml:space="preserve"> Work as a Third Pathway to New Longevity — https://doi.org/10.12660/gvexec.v25n1.2026.98714</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Objective: To show how work, when redesigned for longer lives and multigenerational teams, can turn population aging into a strategic opportunity for organizations, economic development, and social resilience. State of the Art: Contemporary debates on aging have emphasized pressures on health and pension systems. Responses have largely focused on telemedicine and pension reforms. Recent evidence, however, indicates that lifelong contribution—such as work, learning, and social participation—improves health, purpose, and resilience, generating positive individual and macroeconomic effects. Originality: The article proposes a third pathway beyond the health-pension debate by positioning work as a pillar of longevity. It articulates cultural, organizational, and economic dimensions and presents examples of companies, governments, social entrepreneurs and social innovators that are redesigning practices and models for longer lives. Impacts: The article offers a strategic view of longevity as an opportunity, provides examples applicable to management and public policy, and proposes a conceptual framework for redesigning more inclusive and resilient models of work. SDGs: 3 – Good health and well-being; 8 – Decent work and economic growth; 10 – Reduced inequalities.</w:t>
      </w:r>
    </w:p>
    <w:p>
      <w:pPr/>
      <w:r>
        <w:rPr>
          <w:b/>
        </w:rPr>
        <w:t>POSSIBLE 2026:</w:t>
      </w:r>
      <w:r>
        <w:t xml:space="preserve"> Unmasking the spatial-temporal characteristics of knowledge workers’ third-place remote work — https://doi.org/10.1177/27541231261444208</w:t>
      </w:r>
    </w:p>
    <w:p>
      <w:pPr/>
      <w:r>
        <w:rPr>
          <w:b/>
        </w:rPr>
        <w:t>Shared claim-specific concepts:</w:t>
      </w:r>
      <w:r>
        <w:t xml:space="preserve"> third, show, work, methods; EU scope not established. This is a provisional connection, not an outcome finding.</w:t>
      </w:r>
    </w:p>
    <w:p>
      <w:pPr>
        <w:pStyle w:val="SourceNote"/>
      </w:pPr>
      <w:r>
        <w:rPr>
          <w:b/>
        </w:rPr>
        <w:t>Available abstract (not full text):</w:t>
      </w:r>
      <w:r>
        <w:t xml:space="preserve"> Knowledge workers tend to choose third places as alternatives for remote work. Since previous studies lack high-precision spatial-temporal data collection approaches and analysis for third-place remote workers, this study aims to investigate the spatial-temporal characteristics of knowledge workers engaging in remote work at third places using refined data collection methods. We recruited 20 knowledge workers in Beijing, China, collected their spatial-temporal data using activity diaries and wearable devices, including Global Positioning System (GPS) trackers and wearable cameras, for seven days, and visualized their spatial-temporal characteristics, encompassing work time allocation, commute duration, and spatial distribution of various workplaces. The results show that: (1) Temporally, in addition to heterogeneity in work rhythms such as fragmented versus continuous sessions and weekday-weekend contrasts, these workers work an average of 6.3 hours daily for 6.6 days a week, with 46.7% of their work time spent in third places and a 34-minute commute. (2) Spatially, most third places are located close to home with some suburban–center movements, and workers typically use 4.5 different third places for remote work and prefer third places within 5 kilometers or beyond 15 kilometers from home.</w:t>
      </w:r>
    </w:p>
    <w:p>
      <w:pPr/>
      <w:r>
        <w:rPr>
          <w:b/>
        </w:rPr>
        <w:t>POSSIBLE 2026:</w:t>
      </w:r>
      <w:r>
        <w:t xml:space="preserve"> From non-places to third places. The potential of railway stations for mobile work — https://openalex.org/W7221284877</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Purpose: Advances in mobile tech and optimising commuting time now allow work across various locations, including transient 'non-places".Yet, workplace research often ignores the experiences and needs in these environments.This paper explores mobile workers' needs and whether temporary workplaces in railway premises can meet these needs. Research Goal(s):This study aims to identify the needs of mobile workers and to understand whether these needs could fit temporary workplaces within underutilised railway premises. Theoretical Background:The literature on non-places and third places provides a theoretical basis for conceptualising underutilised railway stations as places of work.Design/Methodology: The paper adopts a multi-step methodology.First, a survey was administered to a sample of Italian mobile workers to collect their needs and habits while on the move, including a willingness-to-pay inquiry.Second, seven case studies of temporary workplaces, both within and outside railway stations, are examined to identify alternative spatial models of productive environments.Findings: Findings show that most users spend short periods there, mainly making phone calls, and would value quiet, safe, and equipped workspaces.Many are willing to pay for such amenities, suggesting a missed opportunity in stations compared to other contexts.The case study analysis shows that existing temporar</w:t>
      </w:r>
    </w:p>
    <w:p>
      <w:pPr/>
      <w:r>
        <w:rPr>
          <w:b/>
        </w:rPr>
        <w:t>POSSIBLE 2026:</w:t>
      </w:r>
      <w:r>
        <w:t xml:space="preserve"> Work and Leisure Oriented Time Use Pattern among Male, Female and Third Gender — https://doi.org/10.1007/s41027-026-00631-2</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One of the long-standing social issues extending to everyday activity is gender-based inequality. An appropriate method to study gender inequality would be to observe how different genders spend their time on various activities. The core purpose of the study is to check whether there is a significant difference in how different genders allocate their time to various activities. Another purpose of the study is to emphasise the time spent on work and leisure by different genders and to identify factors that impact an individual’s work–life balance. The study used the unit-level data from National Sample Survey Organisation's (NSSO) first Time Use Survey 2019. The study sample is restricted to a population aged 15 years and above, comprising 382,228 persons: 192,266 males, 189,854 females and 108 of the third gender. Work-oriented and leisure-oriented time allocation has been defined as the population above one standard deviation of the mean time spent on the activities. Stratified logistic regressions based on gender have been used to understand the influence of factors on work and leisure time allocation. Results show that males spent substantially more time on employment and related activities, while females spent substantially more time on unpaid domestic and caregiving services. Consuming meals constitutes the second most time-intensive activity for males and the third gender</w:t>
      </w:r>
    </w:p>
    <w:p>
      <w:pPr/>
      <w:r>
        <w:rPr>
          <w:b/>
        </w:rPr>
        <w:t>POSSIBLE 2025:</w:t>
      </w:r>
      <w:r>
        <w:t xml:space="preserve"> Reputation on the Line: How the Third-Party Dilemma Shapes Trust in High-Risk Work — https://doi.org/10.1177/00018392251387673</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Despite scholars’ increasing acknowledgment of the role third parties can play in others’ trust decisions, we know very little about what motivates these parties’ information sharing. Our research examines this process via a qualitative, inductive study of linemen: the men and women who work on power lines. We show how features of their work context give rise to a strong reliance on third-party information for trust and strong accountability for third parties who share reputational information. These conditions cultivate what we call the “third-party dilemma”: Linemen feel trapped between desires to keep trustors safe and desires to protect their own reputations. We further explain how the information-sharing practices by which they manage this dilemma ultimately affect the trust triad by allowing third parties to partially safeguard their reputations, encouraging trustors to provisionally grant or withhold trust, and subjecting trustees to either sticky negative reputations or fragile positive reputations. These dynamics encourage lower trust within the triad. We conclude by highlighting the importance of the work context in shaping third-party motives, discussing the trust-related implications of how the third-party dilemma is managed, and redirecting trust research beyond dyadic (trustor–trustee) models of trust.</w:t>
      </w:r>
    </w:p>
    <w:p>
      <w:pPr/>
      <w:r>
        <w:rPr>
          <w:b/>
        </w:rPr>
        <w:t>POSSIBLE 2025:</w:t>
      </w:r>
      <w:r>
        <w:t xml:space="preserve"> Rethinking Automation and the Future of Work with Hannah Arendt — https://doi.org/10.1007/s10551-025-05991-1</w:t>
      </w:r>
    </w:p>
    <w:p>
      <w:pPr/>
      <w:r>
        <w:rPr>
          <w:b/>
        </w:rPr>
        <w:t>Shared claim-specific concepts:</w:t>
      </w:r>
      <w:r>
        <w:t xml:space="preserve"> third, show, work, fourth; EU scope not established. This is a provisional connection, not an outcome finding.</w:t>
      </w:r>
    </w:p>
    <w:p>
      <w:pPr>
        <w:pStyle w:val="SourceNote"/>
      </w:pPr>
      <w:r>
        <w:rPr>
          <w:b/>
        </w:rPr>
        <w:t>Available abstract (not full text):</w:t>
      </w:r>
      <w:r>
        <w:t xml:space="preserve"> Abstract Recent technological developments have given rise to debates about automation and the future of work. These debates touch on concerns about the availability, nature, and meaningfulness of jobs in the present and near future. The aim of this article is to show that Hannah Arendt’s phenomenology of labor, work, and action can improve current debates about automation and the future of work. First of all, an analysis of Arendt’s critique of modern society and the more recent notion of ‘immaterial labor’ demonstrates that we (still) live in a society dominated by labor and consumption. Second, a conceptual distinction between labor, work, and action can add relevant nuances to contemporary debates about automation and the future of work. Third, Arendt’s warning for a society of laborers without labor inspires to add over-consumption to the list of problems arising from automation. Fourth, Arendt’s description of the human condition can give clarity to contemporary worries about automation’s impact on meaning. It is concluded, finally, that a revaluation of work and action can counter the threats associated with the automation of labor.</w:t>
      </w:r>
    </w:p>
    <w:p>
      <w:pPr/>
      <w:r>
        <w:rPr>
          <w:b/>
        </w:rPr>
        <w:t>POSSIBLE 2025:</w:t>
      </w:r>
      <w:r>
        <w:t xml:space="preserve"> The Division of Domestic Labor and the Invisible Work of the Third Shift Among Parents in Norway – A Mixed-Methods Study — https://doi.org/10.1080/08038740.2025.2518958</w:t>
      </w:r>
    </w:p>
    <w:p>
      <w:pPr/>
      <w:r>
        <w:rPr>
          <w:b/>
        </w:rPr>
        <w:t>Shared claim-specific concepts:</w:t>
      </w:r>
      <w:r>
        <w:t xml:space="preserve"> third, show, work, two; EU scope visible. This is a provisional connection, not an outcome finding.</w:t>
      </w:r>
    </w:p>
    <w:p>
      <w:pPr>
        <w:pStyle w:val="SourceNote"/>
      </w:pPr>
      <w:r>
        <w:rPr>
          <w:b/>
        </w:rPr>
        <w:t>Available abstract (not full text):</w:t>
      </w:r>
      <w:r>
        <w:t xml:space="preserve"> Over the last few decades, mothers and fathers in Norway have increasingly been approaching each other in terms of time spent on the first shift (paid work), and time spent on the second shift (unpaid domestic work). However, the so called third shift (the invisible, emotional and cognitive administration of a family) is still unevenly distributed between mothers and fathers, even in an egalitarian country like Norway. In this article we explore how the distribution of domestic tasks and practices and experiences of the third shift may be a possible source of gender differentiated experiences of everyday life. The article builds on mixed-methods, using representative survey data (N = 602) among parents with children under 18, and two rounds of qualitative interviews with 35 families. Findings show that a gendered division of invisible third shift tasks is present even among couples who express strong ideals of gender equality and share household chores equally among them. Analyzed against an emerging cultural and social norm of intensive parenting the findings suggest that the third shift may contribute to preserve gender inequality within families with children. Findings also show that even with equal distribution of household chores, mothers experience more everyday life stress than fathers.</w:t>
      </w:r>
    </w:p>
    <w:p>
      <w:pPr/>
      <w:r>
        <w:rPr>
          <w:b/>
        </w:rPr>
        <w:t>POSSIBLE 2024:</w:t>
      </w:r>
      <w:r>
        <w:t xml:space="preserve"> The impact of Finnish politics on third-sector organizations’ human trafficking work — https://openalex.org/W7132975241</w:t>
      </w:r>
    </w:p>
    <w:p>
      <w:pPr/>
      <w:r>
        <w:rPr>
          <w:b/>
        </w:rPr>
        <w:t>Shared claim-specific concepts:</w:t>
      </w:r>
      <w:r>
        <w:t xml:space="preserve"> third, show, work; EU scope visible. This is a provisional connection, not an outcome finding.</w:t>
      </w:r>
    </w:p>
    <w:p>
      <w:pPr>
        <w:pStyle w:val="SourceNote"/>
      </w:pPr>
      <w:r>
        <w:rPr>
          <w:b/>
        </w:rPr>
        <w:t>Available abstract (not full text):</w:t>
      </w:r>
      <w:r>
        <w:t xml:space="preserve"> Human trafficking is an increasingly recognized phenomenon. It is global and diverse in nature, and hence, different sectors of society participate in combating it and helping those affected. One of these actors is the third sector, which this thesis examines. The potential of third-sector organizations (TSOs) in human trafficking work has been recognized nationally and internationally, but is not fully utilized. This study aimed to shed light on the political and governmental factors in Finland that impact TSOs’ human trafficking work. I used the resource dependence theory and the political feedback theory as the theoretical background of this thesis. Based on them, I created a theoretical framework that visualizes TSOs’ dependence on the resources of governmental actors. The theoretical framework also considers how TSOs’ operations change as a result of political changes, and the feedback effects that can be created through this process. I collected data by interviewing representatives of six Finnish TSOs who encounter human trafficking. I asked interviewees, for example, about how the organization has been affected by political changes and what they would change in the organization's external environment to conduct human trafficking work more successfully. I analyzed the data using thematic analysis. I deductively divided the results into five thematic categories, which prov</w:t>
      </w:r>
    </w:p>
    <w:p>
      <w:pPr/>
      <w:r>
        <w:rPr>
          <w:b/>
        </w:rPr>
        <w:t>POSSIBLE 2024:</w:t>
      </w:r>
      <w:r>
        <w:t xml:space="preserve"> Nonlinear Influence of the Built Environment on the Attraction of the Third Activity: A Comparative Analysis of Inflow from Home and Work — https://doi.org/10.3390/ijgi13090337</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Gaining an understanding of the intricate mechanisms between human activity and the built environment can help in promoting sustainable urban development. However, most scholars have focused on residents’ life and work behavior and have ignored the third activity (e.g., shopping, eating, and entertainment). In this study, a random forest algorithm and SHapley Additive exPlanation model were utilized to explore the nonlinear influence of the built environment on the attraction of the third activity (other than home and work). A comparative analysis of the inflow of the third activity from home and work was also carried out. The results show that the contributions of all built environment variables to the attraction of the third activity differ between home–other flow (HO) and work–other flow (WO) at the global scale, but their local effects are significantly similar. Furthermore, the nonlinear influence of the built environment on the attractions of the third activity can vary from one factor to another. A significant spatial heterogeneity can be observed on the built environment variables’ local effects on the attractions of the third activity. These findings can provide urban planners with insights that will help in the planning and optimization of communities for pursuing the third activity.</w:t>
      </w:r>
    </w:p>
    <w:p>
      <w:pPr/>
      <w:r>
        <w:rPr>
          <w:b/>
        </w:rPr>
        <w:t>POSSIBLE 2023:</w:t>
      </w:r>
      <w:r>
        <w:t xml:space="preserve"> THE HALF AND THE THIRD – BINARY CONTINUITY LESSON IN THIRD AND FIFTH GRADES — https://doi.org/10.26883/2010.232.5592</w:t>
      </w:r>
    </w:p>
    <w:p>
      <w:pPr/>
      <w:r>
        <w:rPr>
          <w:b/>
        </w:rPr>
        <w:t>Shared claim-specific concepts:</w:t>
      </w:r>
      <w:r>
        <w:t xml:space="preserve"> third, show, work, two; EU scope not established. This is a provisional connection, not an outcome finding.</w:t>
      </w:r>
    </w:p>
    <w:p>
      <w:pPr>
        <w:pStyle w:val="SourceNote"/>
      </w:pPr>
      <w:r>
        <w:rPr>
          <w:b/>
        </w:rPr>
        <w:t>Available abstract (not full text):</w:t>
      </w:r>
      <w:r>
        <w:t xml:space="preserve"> This is a binary mathematics lesson to reinforce the concepts of halves and the thirds. The new knowledge that third graders gain in the lesson is their introduction to the appropriate notation of halves and thirds with fractions. This is also the continuity between third and fifth grade. The lesson combines knowledge and skills in mathematics, Bulgarian language and literature, fine arts, technology, and entrepreneurship. The pre-project activity „The Half and the third“ gives a visual image of these concepts. Hands-on teamwork activities in a lesson are a great way to represent the concepts with real objects and a way to work with units of measurement that have been learned. Students should present what they have already learned about halves and thirds with a paper and cardboard presentation in the shape of flowers. They present drawn geometric shapes that are divided into two or three equal parts. In some of the shapes one of the two /three/ equal parts is colored. This is the problem situation – how to label this part in the presentation? The task of the fifth-grade teacher is to introduce fractions one-half and one-third of something whole through demonstration and with mathematical expression that is understandable to third graders. To show, explain and write down the fractions 1/2 and 1/3. The lesson ends with an emotional story about the symbolism of flowers by the scho</w:t>
      </w:r>
    </w:p>
    <w:p>
      <w:pPr/>
      <w:r>
        <w:rPr>
          <w:b/>
        </w:rPr>
        <w:t>POSSIBLE 2022:</w:t>
      </w:r>
      <w:r>
        <w:t xml:space="preserve"> Eliciting third person perspectives in social work case discussions: A device for reflective supervision? — https://doi.org/10.1177/14733250221124206</w:t>
      </w:r>
    </w:p>
    <w:p>
      <w:pPr/>
      <w:r>
        <w:rPr>
          <w:b/>
        </w:rPr>
        <w:t>Shared claim-specific concepts:</w:t>
      </w:r>
      <w:r>
        <w:t xml:space="preserve"> third, show, work, two, methods; EU scope not established. This is a provisional connection, not an outcome finding.</w:t>
      </w:r>
    </w:p>
    <w:p>
      <w:pPr>
        <w:pStyle w:val="SourceNote"/>
      </w:pPr>
      <w:r>
        <w:rPr>
          <w:b/>
        </w:rPr>
        <w:t>Available abstract (not full text):</w:t>
      </w:r>
      <w:r>
        <w:t xml:space="preserve"> Reflective supervision is widely recommended as an effective way to support social workers to think about their practice and to make better decisions. Although previous research has proposed methods of pursuing reflective supervision, little is known about how supervisors attempt this in actual supervision meetings. One proposed method for supervisors is to elicit third person perspectives so that social workers can consider a situation from different points of view. In this article, we examine this method by analysing audio recordings of 12 supervision meetings from one local authority Children and Families Social Work team. Using Conversation Analysis (CA), we explore supervisors’ attempts to elicit other people’s perspectives, focusing on how such requests were formed and how the social worker responded. We found 35 instances of supervisors attempting to elicit third person perspectives and identified four different ways that supervisors designed these enquiries. Supervisors oriented to two concerns, based on whether they enquired about a perspective that was currently established or projected into the future, and whether the information was verifiable through speech or actions, or imagined based on the other person’s thoughts or understanding. We draw on CA work on epistemics and stance to show how these different approaches have implications for what the social worker is e</w:t>
      </w:r>
    </w:p>
    <w:p>
      <w:pPr/>
      <w:r>
        <w:rPr>
          <w:b/>
        </w:rPr>
        <w:t>POSSIBLE 2022:</w:t>
      </w:r>
      <w:r>
        <w:t xml:space="preserve"> Berry connection polarizability tensor and third-order Hall effect — https://doi.org/10.1103/physrevb.105.045118</w:t>
      </w:r>
    </w:p>
    <w:p>
      <w:pPr/>
      <w:r>
        <w:rPr>
          <w:b/>
        </w:rPr>
        <w:t>Shared claim-specific concepts:</w:t>
      </w:r>
      <w:r>
        <w:t xml:space="preserve"> show, work, derive; EU scope not established. This is a provisional connection, not an outcome finding.</w:t>
      </w:r>
    </w:p>
    <w:p>
      <w:pPr>
        <w:pStyle w:val="SourceNote"/>
      </w:pPr>
      <w:r>
        <w:rPr>
          <w:b/>
        </w:rPr>
        <w:t>Available abstract (not full text):</w:t>
      </w:r>
      <w:r>
        <w:t xml:space="preserve"> One big achievement in modern condensed matter physics is the recognition of the importance of various band geometric quantities in physical effects. As prominent examples, Berry curvature and the Berry curvature dipole are connected to the linear and the second-order Hall effects, respectively. Here, we show that the Berry connection polarizability (BCP) tensor, as another intrinsic band geometric quantity, plays a key role in the third-order Hall effect. Based on the extended semiclassical formalism, we develop a theory for the third-order charge transport and derive explicit formulas for the third-order conductivity. Our theory is applied to the two-dimensional (2D) Dirac model to investigate the essential features of the BCP and the third-order Hall response. We further demonstrate the combination of our theory with the first-principles calculations to study a concrete material system, the monolayer FeSe. Our work establishes a foundation for the study of third-order transport effects, and reveals the third-order Hall effect as a tool for characterizing a large class of materials and for probing the BCP in band structure.</w:t>
      </w:r>
    </w:p>
    <w:p>
      <w:pPr>
        <w:pStyle w:val="Heading2"/>
      </w:pPr>
      <w:r>
        <w:t>853. Strategies for emerging research and innovation futures</w:t>
      </w:r>
    </w:p>
    <w:p>
      <w:pPr>
        <w:pStyle w:val="SourceNote"/>
      </w:pPr>
      <w:r>
        <w:rPr>
          <w:b/>
        </w:rPr>
        <w:t>Original source (2016):</w:t>
      </w:r>
      <w:r>
        <w:t xml:space="preserve"> https://doi.org/10.1108/fs-07-2014-0048</w:t>
      </w:r>
    </w:p>
    <w:p>
      <w:pPr/>
      <w:r>
        <w:t>Original wording (abstract; indexed_source_text_not_full_document_verified): In the light of the scenarios developed for the year 2030, a set of strategic options are identified and assessed for each stakeholder group. The analysis of scenarios indicated that their feasibility and desirability differ across different sectors of industry, and research areas within the research landscape.</w:t>
      </w:r>
    </w:p>
    <w:p>
      <w:pPr/>
      <w:r>
        <w:rPr>
          <w:b/>
        </w:rPr>
        <w:t>POSSIBLE 2026:</w:t>
      </w:r>
      <w:r>
        <w:t xml:space="preserve"> Summary report - Multisite-light dosimetry data set — https://doi.org/10.5281/zenodo.21238932</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This is a summary report on the multisite data sets obtained during the EPM 22NRM05 MeLiDos light dosimetry data collection campaign (https://doi.org/10.5281/zenodo.20445052), following the protocol developed beforehand by the project's participants (https://doi.org/10.1186/s12889-024-20206-4). The datasets include contributions from collaborators outside the proejct's consortium.</w:t>
      </w:r>
    </w:p>
    <w:p>
      <w:pPr/>
      <w:r>
        <w:rPr>
          <w:b/>
        </w:rPr>
        <w:t>POSSIBLE 2025:</w:t>
      </w:r>
      <w:r>
        <w:t xml:space="preserve"> Light is Calling — https://doi.org/10.5117/9789089649966_ch06</w:t>
      </w:r>
    </w:p>
    <w:p>
      <w:pPr/>
      <w:r>
        <w:rPr>
          <w:b/>
        </w:rPr>
        <w:t>Shared claim-specific concepts:</w:t>
      </w:r>
      <w:r>
        <w:t xml:space="preserve"> light, set, different; EU scope not established. This is a provisional connection, not an outcome finding.</w:t>
      </w:r>
    </w:p>
    <w:p>
      <w:pPr>
        <w:pStyle w:val="SourceNote"/>
      </w:pPr>
      <w:r>
        <w:rPr>
          <w:b/>
        </w:rPr>
        <w:t>Available abstract (not full text):</w:t>
      </w:r>
      <w:r>
        <w:t xml:space="preserve"> Like all films, the films of Bill Morrison rely on two main media. On the one hand, the specific film stock that carries the images, on the other, the light that makes the images possible in the first place and thus, albeit in a different manner, might also be said to ‘carry’ the images. This essay attempts to set up a more complex relation between these various forms of media. Drawing on scientific, philosophical, and artistic theories of light and mediality, such as those of Fritz Heider, Gilles Deleuze, and Niklas Luhman, this essay not only develops the notion of ‘media milieus’, but address the technologics, the aesthetics, and the poetics of Morrison’s movie.</w:t>
      </w:r>
    </w:p>
    <w:p>
      <w:pPr/>
      <w:r>
        <w:rPr>
          <w:b/>
        </w:rPr>
        <w:t>POSSIBLE 2025:</w:t>
      </w:r>
      <w:r>
        <w:t xml:space="preserve"> Quantum state engineering of light using intensity measurements and postselection — https://doi.org/10.1103/11vz-9gcz</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Quantum state engineering of light is of great interest for quantum technologies, particularly generating non-classical states of light, and is often studied through quantum conditioning approaches. Recently, we demonstrated that such approaches can be applied in intense laser-atom interactions to generate optical "cat" states by using intensity measurements and classical post-selection of the measurement data. Post-processing of the sampled data set allows to select specific events corresponding to measurement statistics as if there would be non-classical states of light leading to these measurement outcomes. However, to fully realize the potential of this method for quantum state engineering, it is crucial to thoroughly investigate the role of the involved measurements and the specifications of the post-selection scheme. We illustrate this by analyzing post-selection schemes recently developed for the process of high harmonic generation, which enables generating optical cat states bright enough to induce non-linear phenomena. These findings provide significant guidance for quantum light engineering and the generation of high-quality, intense optical cat states for applications in non-linear optics and quantum information science.</w:t>
      </w:r>
    </w:p>
    <w:p>
      <w:pPr/>
      <w:r>
        <w:rPr>
          <w:b/>
        </w:rPr>
        <w:t>POSSIBLE 2024:</w:t>
      </w:r>
      <w:r>
        <w:t xml:space="preserve"> การพฒนารปแบบการจดการเรยนรวชาโครงการ 2 เพอสรางชดควบคมความดนลบสำหรบผปวยวกฤตโรคตดตอรายแรงดวยแสงยวซ โดยใชขนตอนการเรยนรแบบ STEM รวมกบ MIAP ของนกศกษาชนประกาศนยบตรวชาชพชนสง ชนปท 2 ชางไฟฟา วทยาลยเทคนคพจตร: DEVELOP of LEARNING MANAGEMENT MODE for PROJECT 2 TO CREATE A NEGATIVE PRESSURE CONTROL SET FOR PATIENTS WITH PESTIENCE ALSO UVC LIGHT USING STEM IN CONJUNDTION EITH MIAP OF 2ND YEAR DIPLOMA STUDENTS IN ELECTRICIAN, PHICHIT TECHNICAL COLLEGE — https://openalex.org/W7215168090</w:t>
      </w:r>
    </w:p>
    <w:p>
      <w:pPr/>
      <w:r>
        <w:rPr>
          <w:b/>
        </w:rPr>
        <w:t>Shared claim-specific concepts:</w:t>
      </w:r>
      <w:r>
        <w:t xml:space="preserve"> light, developed, set, each; EU scope not established. This is a provisional connection, not an outcome finding.</w:t>
      </w:r>
    </w:p>
    <w:p>
      <w:pPr>
        <w:pStyle w:val="SourceNote"/>
      </w:pPr>
      <w:r>
        <w:rPr>
          <w:b/>
        </w:rPr>
        <w:t>Available abstract (not full text):</w:t>
      </w:r>
      <w:r>
        <w:t xml:space="preserve"> The purpose of this research was to develop a teaching style. to the quality and satisfaction in developing a learning management model for project subject 2 to create a negative pressure control set for ill patients with severe communicable diseases by UVC light. By using the STEM learning process together with MIAP of 17 second year Diploma students in electrician Phichit Technical College to have efficiency 80/80 by selecting a purposive sampling. The students learned from the learning management model in project subject 2 developed by the researcher. After completing each course, the knowledge and practical competencies will be assesse from activity sheets, work assignments, research tools such as performance quiz quality assessment form achievement measurement satisfaction questionnaire analyze the data forpercentage, mean, standard deviation. The results showed that the analytical results of intra-learning performance assessment and post-learning achievement scores are 82.42/82.35. The results of the analysis of the effectiveness index of the critical thinking scores on the pre- and post-test tests. Their post-learning scores were higher than before by more than 80 percent and the learning development effectiveness index was more than .60 The satisfaction analysis of students in all aspects is the highest, with an average of 4.61.</w:t>
      </w:r>
    </w:p>
    <w:p>
      <w:pPr/>
      <w:r>
        <w:rPr>
          <w:b/>
        </w:rPr>
        <w:t>POSSIBLE 2024:</w:t>
      </w:r>
      <w:r>
        <w:t xml:space="preserve"> AIRR-C IG Reference Sets: curated sets of immunoglobulin heavy and light chain germline genes — https://doi.org/10.3389/fimmu.2023.1330153</w:t>
      </w:r>
    </w:p>
    <w:p>
      <w:pPr/>
      <w:r>
        <w:rPr>
          <w:b/>
        </w:rPr>
        <w:t>Shared claim-specific concepts:</w:t>
      </w:r>
      <w:r>
        <w:t xml:space="preserve"> light, developed, set, each; EU scope not established. This is a provisional connection, not an outcome finding.</w:t>
      </w:r>
    </w:p>
    <w:p>
      <w:pPr>
        <w:pStyle w:val="SourceNote"/>
      </w:pPr>
      <w:r>
        <w:rPr>
          <w:b/>
        </w:rPr>
        <w:t>Available abstract (not full text):</w:t>
      </w:r>
      <w:r>
        <w:t xml:space="preserve"> Introduction: Analysis of an individual's immunoglobulin (IG) gene repertoire requires the use of high-quality germline gene reference sets. When sets only contain alleles supported by strong evidence, AIRR sequencing (AIRR-seq) data analysis is more accurate and studies of the evolution of IG genes, their allelic variants and the expressed immune repertoire is therefore facilitated. Methods: The Adaptive Immune Receptor Repertoire Community (AIRR-C) IG Reference Sets have been developed by including only human IG heavy and light chain alleles that have been confirmed by evidence from multiple high-quality sources. To further improve AIRR-seq analysis, some alleles have been extended to deal with short 3' or 5' truncations that can lead them to be overlooked by alignment utilities. To avoid other challenges for analysis programs, exact paralogs (e.g. IGHV1-69*01 and IGHV1-69D*01) are only represented once in each set, though alternative sequence names are noted in accompanying metadata. Results and discussion: The Reference Sets include less than half the previously recognised IG alleles (e.g. just 198 IGHV sequences), and also include a number of novel alleles: 8 IGHV alleles, 2 IGKV alleles and 5 IGLV alleles. Despite their smaller sizes, erroneous calls were eliminated, and excellent coverage was achieved when a set of repertoires comprising over 4 million V(D)J rearrangemen</w:t>
      </w:r>
    </w:p>
    <w:p>
      <w:pPr/>
      <w:r>
        <w:rPr>
          <w:b/>
        </w:rPr>
        <w:t>POSSIBLE 2024:</w:t>
      </w:r>
      <w:r>
        <w:t xml:space="preserve"> Visible‐Light‐Promoted Difluoromethylation/Cyclization of 1‐Acryloyl‐2‐cyanoindole for Construction of Difluoromethylated Pyrrolo[1,2‐a]indolediones — https://doi.org/10.1002/adsc.202301173</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Abstract A visible‐light‐promoted cascade difluoromethylation/cyclization reaction to access various difluoromethylated pyrrolo[1,2‐a]indolediones was developed using difluoromethyltriphenylphosphonium bromide salt as the difluoromethylating reagent. A possible radical mechanism has been investigated and proven as a single electron transfer (SET) procedure.</w:t>
      </w:r>
    </w:p>
    <w:p>
      <w:pPr/>
      <w:r>
        <w:rPr>
          <w:b/>
        </w:rPr>
        <w:t>POSSIBLE 2024:</w:t>
      </w:r>
      <w:r>
        <w:t xml:space="preserve"> Multilayered Computational Framework for Designing Peptide Inhibitors of HVEM-LIGHT Interaction — https://doi.org/10.1021/acs.jpcb.4c02255</w:t>
      </w:r>
    </w:p>
    <w:p>
      <w:pPr/>
      <w:r>
        <w:rPr>
          <w:b/>
        </w:rPr>
        <w:t>Shared claim-specific concepts:</w:t>
      </w:r>
      <w:r>
        <w:t xml:space="preserve"> light, identified, assessed, different; EU scope not established. This is a provisional connection, not an outcome finding.</w:t>
      </w:r>
    </w:p>
    <w:p>
      <w:pPr>
        <w:pStyle w:val="SourceNote"/>
      </w:pPr>
      <w:r>
        <w:rPr>
          <w:b/>
        </w:rPr>
        <w:t>Available abstract (not full text):</w:t>
      </w:r>
      <w:r>
        <w:t xml:space="preserve"> The herpesvirus entry mediator (HVEM) and its ligand LIGHT play crucial roles in immune system regulation, including T-cell proliferation, B-cell differentiation, and immunoglobulin secretion. However, excessive T-cell activation can lead to chronic inflammation and autoimmune diseases. Thus, inhibiting the HVEM-LIGHT interaction emerges as a promising therapeutic strategy for these conditions and in preventing adverse reactions in organ transplantation. This study focused on designing peptide inhibitors, targeting the HVEM-LIGHT interaction, using molecular dynamics (MD) simulations of 65 peptides derived from HVEM. These peptides varied in length and disulfide-bond configurations, crucial for their interaction with the LIGHT trimer. By simulating 31 HVEM domain variants, including the full-length protein, we assessed conformational changes upon LIGHT binding to understand the influence of HVEM segments and disulfide bonds on the binding mechanism. Employing multitrajectory microsecond-scale, all-atom MD simulations and molecular mechanics with generalized Born and surface area (MM-GBSA) binding energy estimation, we identified promising CRD2 domain variants with high LIGHT affinity. Notably, point mutations in these variants led to a peptide with a single disulfide bond (C58-C73) and a K54E substitution, exhibiting the highest binding affinity. The importance of the CRD2 doma</w:t>
      </w:r>
    </w:p>
    <w:p>
      <w:pPr/>
      <w:r>
        <w:rPr>
          <w:b/>
        </w:rPr>
        <w:t>POSSIBLE 2023:</w:t>
      </w:r>
      <w:r>
        <w:t xml:space="preserve"> Visible Light Induced EDA‐mediated Deaminative C‐2 Alkylation of Heterocyclic‐ N ‐Oxides using Katritzky salts — https://doi.org/10.1002/adsc.202300723</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Abstract Herein, a direct C‐2 alkylation of Heterocyclic‐ N ‐oxides with alkyl amines as Katritzky salts via visible‐light induced deaminative approach was developed. Mechanistic studies revealed that Katritzky salts and base were involved to generate an EDA complex, which underwent intermolecular single electron transfer ( SET ) to give an alkyl radical intermediate. Finally, the alkyl radical intermediate further underwent‐addition with heterocyclic‐ N ‐oxide substrates to access the desired products with 63–94% yield. The method worked well with quinoline‐ N ‐oxides, pyridine‐ N ‐oxides, and benzopyrazine‐ N ‐oxides.</w:t>
      </w:r>
    </w:p>
    <w:p>
      <w:pPr/>
      <w:r>
        <w:rPr>
          <w:b/>
        </w:rPr>
        <w:t>POSSIBLE 2022:</w:t>
      </w:r>
      <w:r>
        <w:t xml:space="preserve"> Colour, Light, and Materiality: Biophilic Interior Design Presence in Research and Practice — https://doi.org/10.7454/in.v5i1.189</w:t>
      </w:r>
    </w:p>
    <w:p>
      <w:pPr/>
      <w:r>
        <w:rPr>
          <w:b/>
        </w:rPr>
        <w:t>Shared claim-specific concepts:</w:t>
      </w:r>
      <w:r>
        <w:t xml:space="preserve"> light, developed, identified; EU scope not established. This is a provisional connection, not an outcome finding.</w:t>
      </w:r>
    </w:p>
    <w:p>
      <w:pPr>
        <w:pStyle w:val="SourceNote"/>
      </w:pPr>
      <w:r>
        <w:rPr>
          <w:b/>
        </w:rPr>
        <w:t>Available abstract (not full text):</w:t>
      </w:r>
      <w:r>
        <w:t xml:space="preserve"> The biophilic design hypothesis uses nature-based environmental design for optimising people’s health and well-being. Stephen Kellert in 2008 developed a list of biophilic attributes that was further refined in the Biophilic Interior Design Matrix (BID-M) to specifically support the interior application of biophilic design for health and well-being. The present study further investigates biophilic interior design using the BID-M language and the key interior design components colour, light, and materiality. The first part of the study reviewed four decades of literature related to biophilia and colour, light, and materiality to investigate a total of 19 publications. The second part of the study explored the perceptions of 23 design practitioners' and the use of biophilia related to colour, light, and materiality in their practice. For the first time, evidence was identified about colour, light, and materiality being linked to biophilic design and the attributes in the BID-M. The study results showed colour preferences were the most frequently identified theme, and practitioners used a variety of biophilic attributes in their practice. The top attributes shared by both the literature review and practitioners were the abstraction of nature, composition, natural light, and natural materials. This finding shows that there is a focus on biophilic attributes in both research and pra</w:t>
      </w:r>
    </w:p>
    <w:p>
      <w:pPr/>
      <w:r>
        <w:rPr>
          <w:b/>
        </w:rPr>
        <w:t>POSSIBLE 2022:</w:t>
      </w:r>
      <w:r>
        <w:t xml:space="preserve"> Light‐Promoted Chlorine‐Radical‐Mediated Oxidation of Benzylic C(sp3)−H Bonds utilizing Air as Oxidant — https://doi.org/10.1002/adsc.202201076</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Abstract A photocatalyzed metal‐free method for benzylic C(sp3)−H bond oxidation has been developed. Achieved under the mild conditions, a variety of methylarenes and benzyl derivatives could be converted into corresponding carboxylic acids and ketones, and isolated yields of 31–98% are obtained. The mechanistic investigations showed that chlorine radical could be generated via the direct single electron transfer (SET) between chloride anion and excited heteroarene under light irradiation, which could be used as hydrogen atom transfer agent to facilitate benzylic C(sp3)−H bond oxygenation. The merits of this catalytic system could be further demonstrated by the degradation of plastic to form benzoic acids. magnified image</w:t>
      </w:r>
    </w:p>
    <w:p>
      <w:pPr/>
      <w:r>
        <w:rPr>
          <w:b/>
        </w:rPr>
        <w:t>POSSIBLE 2020:</w:t>
      </w:r>
      <w:r>
        <w:t xml:space="preserve"> Light opens a new window for N-heterocyclic carbene catalysis — https://doi.org/10.1039/d0sc03595e</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N-Heterocyclic carbenes (NHCs) are efficient Lewis basic catalysts for the umpolung of various polarized unsaturated compounds usually including aldehydes, imines, acyl chlorides and activated esters. NHC catalysis involving electron pair transfer steps has been extensively studied; however, NHC catalysis through single-electron transfer (SET) processes, despite having the potential to achieve chemical transformations of inert chemical bonds and using green reagents, has long been a challenging task in organic synthesis. In parallel, visible-light-induced photocatalysis and photoexcitation have been established as powerful tools to facilitate sustainable organic synthesis, as they enable the generation of various reactive radical intermediates under extremely mild conditions. Recently, a number of elegant visible-light-induced, NHC-catalyzed transformations were developed for accessing valuable organic compounds. As a result, this minireview will highlight the recent advances in this field.</w:t>
      </w:r>
    </w:p>
    <w:p>
      <w:pPr/>
      <w:r>
        <w:rPr>
          <w:b/>
        </w:rPr>
        <w:t>POSSIBLE 2020:</w:t>
      </w:r>
      <w:r>
        <w:t xml:space="preserve"> Exploration of Emerging Microreactors, and Investigation into the Size Options of Light Water Nuclear Reactors for Prospective Microreactor Designs — https://openalex.org/W3111435069</w:t>
      </w:r>
    </w:p>
    <w:p>
      <w:pPr/>
      <w:r>
        <w:rPr>
          <w:b/>
        </w:rPr>
        <w:t>Shared claim-specific concepts:</w:t>
      </w:r>
      <w:r>
        <w:t xml:space="preserve"> light, developed, options, identified; EU scope not established. This is a provisional connection, not an outcome finding.</w:t>
      </w:r>
    </w:p>
    <w:p>
      <w:pPr>
        <w:pStyle w:val="SourceNote"/>
      </w:pPr>
      <w:r>
        <w:rPr>
          <w:b/>
        </w:rPr>
        <w:t>Available abstract (not full text):</w:t>
      </w:r>
      <w:r>
        <w:t xml:space="preserve"> In response to the economic realities of the American nuclear market, numerous corporations have formed with the goal of bringing new types of nuclear reactor designs to market. A survey was undertaken of these emerging small modular reactor and microreactor designs, with the NuScale Power Module (NPM) identified as a technological forerunner. A neutronics model of this reactor was developed and used to characterize and explore miniaturization alternatives for the development of a light water microreactor based on the proposed reduced size NPM. This model was characterized and the design iterated to arrive at a potential candidate light water micro reactor. Available literature on proposed nuclear reactor designs was reviewed. Government documentation, NRC applications, and company released technical details were collected to present an overview of design alternatives. Of these designs the NuScale reactor alternative was found to have the greatest technological readiness and availability of engineering detail. Using these details, a monte carlo N-particle (MCNP) neutronics model was developed and used to explore options by which this core could be miniaturized. Using a reduced number of assemblies with graphite reflectors, a reactor model was developed that offered the same performance of the proposed reduced size NPM. \nThis design has a two and three quarter year lifespan pro</w:t>
      </w:r>
    </w:p>
    <w:p>
      <w:pPr>
        <w:pStyle w:val="Heading2"/>
      </w:pPr>
      <w:r>
        <w:t>854. Testing Scenarios to Achieve Workplace Sustainability Goals Using Backcasting and Agent-Based Modeling</w:t>
      </w:r>
    </w:p>
    <w:p>
      <w:pPr>
        <w:pStyle w:val="SourceNote"/>
      </w:pPr>
      <w:r>
        <w:rPr>
          <w:b/>
        </w:rPr>
        <w:t>Original source (2016):</w:t>
      </w:r>
      <w:r>
        <w:t xml:space="preserve"> https://doi.org/10.1177/0013916516673869</w:t>
      </w:r>
    </w:p>
    <w:p>
      <w:pPr/>
      <w:r>
        <w:t>Original wording (abstract; indexed_source_text_not_full_document_verified): Future scenarios were developed using a participatory backcasting scenario development methodology, and policy tracks were derived.</w:t>
      </w:r>
    </w:p>
    <w:p>
      <w:pPr/>
      <w:r>
        <w:rPr>
          <w:b/>
        </w:rPr>
        <w:t>POSSIBLE 2026:</w:t>
      </w:r>
      <w:r>
        <w:t xml:space="preserve"> Backcasting intergenerational energy justice — https://openalex.org/W7165503411</w:t>
      </w:r>
    </w:p>
    <w:p>
      <w:pPr/>
      <w:r>
        <w:rPr>
          <w:b/>
        </w:rPr>
        <w:t>Shared claim-specific concepts:</w:t>
      </w:r>
      <w:r>
        <w:t xml:space="preserve"> participatory, backcasting; EU scope not established. This is a provisional connection, not an outcome finding.</w:t>
      </w:r>
    </w:p>
    <w:p>
      <w:pPr>
        <w:pStyle w:val="SourceNote"/>
      </w:pPr>
      <w:r>
        <w:rPr>
          <w:b/>
        </w:rPr>
        <w:t>Available abstract (not full text):</w:t>
      </w:r>
      <w:r>
        <w:t xml:space="preserve"> A just energy transition requires political engagement with diverse voices in the processes of environmental and industrial change, ensuring the fair distribution of risks and benefits between empowered and vulnerable communities. One key challenge is ensuring intergenerational equity within such processes: defining our collective obligations to protect the environmental, economic, and social well-being of future generations and then translating this into present-day policy and commercial decision-making. In this proposed workshop, we will showcase participatory backcasting methods to address intergenerational equity challenges. Backcasting analysis engages stakeholders in envisioning and defining long-term intra- and intergenerational interests, and here we blend qualitative social science and normative analysis to explore backcasting as an “ethical tool” for energy futures planning. Through structured participatory dialogue, we will examine the ethical dimensions of energy futures to identify desirable, feasible, and sustainable pathways – starting with the identification of normatively desirable futures and then working backwards to the present to determine the necessary steps to achieve them and the barriers they experience in doing so. The backcasting analysis offers valuable insights into the intergenerational justice dimensions of contemporary energy policymaking and dem</w:t>
      </w:r>
    </w:p>
    <w:p>
      <w:pPr/>
      <w:r>
        <w:rPr>
          <w:b/>
        </w:rPr>
        <w:t>POSSIBLE 2026:</w:t>
      </w:r>
      <w:r>
        <w:t xml:space="preserve"> Bibliometric Analysis of Methodologies and Trends in Participatory Planning Using a Dual Strategy Approach — https://doi.org/10.51983/ijiss-2026.16.3.12</w:t>
      </w:r>
    </w:p>
    <w:p>
      <w:pPr/>
      <w:r>
        <w:rPr>
          <w:b/>
        </w:rPr>
        <w:t>Shared claim-specific concepts:</w:t>
      </w:r>
      <w:r>
        <w:t xml:space="preserve"> participatory, methodology; EU scope not established. This is a provisional connection, not an outcome finding.</w:t>
      </w:r>
    </w:p>
    <w:p>
      <w:pPr>
        <w:pStyle w:val="SourceNote"/>
      </w:pPr>
      <w:r>
        <w:rPr>
          <w:b/>
        </w:rPr>
        <w:t>Available abstract (not full text):</w:t>
      </w:r>
      <w:r>
        <w:t xml:space="preserve"> Participatory planning has emerged as an important tool for democratic decision-making in the fields of urban planning, public policies, and social development through involving citizens in governance processes and ensuring transparency and social sustainability. However, its efficient use faces problems related to the colonial past, political centralism, and threats of superficial consensus. The present article discusses the following research problem: In spite of the current scientific interest in participatory planning, there is no systematic bibliometric study of the methodology trends, leadership of institutions, and theme evolution in various temporal and search-strategy settings. To solve the problem, the study performs a bibliometric analysis of the literature on participatory planning identified in the Scopus database with the help of two alternative search strategies. Strategy 1 identified 77 articles (1995-2024) based on the Boolean search query "participatory AND planning" with Social Sciences filtering. Strategy 2 identified 953 articles (2020-2025) with additional filters of open access and English language. The data were analyzed using RStudio and Bibliometrix tools in order to study the dynamics of scientific production, international cooperation, major institutions, authorship, and theme dynamics. Strategy 1 showed low yearly growth (1.41%), but high citation i</w:t>
      </w:r>
    </w:p>
    <w:p>
      <w:pPr/>
      <w:r>
        <w:rPr>
          <w:b/>
        </w:rPr>
        <w:t>POSSIBLE 2026:</w:t>
      </w:r>
      <w:r>
        <w:t xml:space="preserve"> Participatory foresight in subnational policy processes: two experiences in Peru — https://doi.org/10.1108/fs-08-2025-0177</w:t>
      </w:r>
    </w:p>
    <w:p>
      <w:pPr/>
      <w:r>
        <w:rPr>
          <w:b/>
        </w:rPr>
        <w:t>Shared claim-specific concepts:</w:t>
      </w:r>
      <w:r>
        <w:t xml:space="preserve"> participatory, methodology; EU scope not established. This is a provisional connection, not an outcome finding.</w:t>
      </w:r>
    </w:p>
    <w:p>
      <w:pPr>
        <w:pStyle w:val="SourceNote"/>
      </w:pPr>
      <w:r>
        <w:rPr>
          <w:b/>
        </w:rPr>
        <w:t>Available abstract (not full text):</w:t>
      </w:r>
      <w:r>
        <w:t xml:space="preserve"> Purpose This paper aims to illustrate the challenges faced by efforts to institutionalize participatory foresight as a regular component of policymaking processes in a developing country, based on the analysis of a country case (Peru) where national-level rules and guidelines have incorporated participatory foresight in policymaking and planning processes at the subnational level. Design/methodology/approach Exploratory research on the challenges faced when institutionalizing participatory foresight in policy processes, carried out as a case study of two relevant, official experiences at the subnational level in Peru. In-depth interviews, a survey of regional officials and literature review are used. Findings There have been significant regulatory advances; national officials seem committed to strengthening participatory foresight; and rules are being applied in regional planning processes and educational policy frameworks. However, the broader institutionalization of participatory foresight in a democratic context is incipient. Significant challenges are found within the operation of the national planning system, which sets rules and guidelines for incorporating participatory foresight, and also pertaining to participatory practices in general and the state–society relationship. Research limitations/implications This exploratory research, while addressing the early stages of i</w:t>
      </w:r>
    </w:p>
    <w:p>
      <w:pPr/>
      <w:r>
        <w:rPr>
          <w:b/>
        </w:rPr>
        <w:t>POSSIBLE 2026:</w:t>
      </w:r>
      <w:r>
        <w:t xml:space="preserve"> Intersectionality in participatory methodologies: systematic review and evaluation framework — https://doi.org/10.1108/qrj-01-2026-0021</w:t>
      </w:r>
    </w:p>
    <w:p>
      <w:pPr/>
      <w:r>
        <w:rPr>
          <w:b/>
        </w:rPr>
        <w:t>Shared claim-specific concepts:</w:t>
      </w:r>
      <w:r>
        <w:t xml:space="preserve"> participatory, methodology; EU scope not established. This is a provisional connection, not an outcome finding.</w:t>
      </w:r>
    </w:p>
    <w:p>
      <w:pPr>
        <w:pStyle w:val="SourceNote"/>
      </w:pPr>
      <w:r>
        <w:rPr>
          <w:b/>
        </w:rPr>
        <w:t>Available abstract (not full text):</w:t>
      </w:r>
      <w:r>
        <w:t xml:space="preserve"> Purpose This systematic review examines how an intersectional perspective is integrated into participatory methodologies and what it contributes when applied from the outset of the research process. Design/methodology/approach Forty-six studies (2018–2024), identified through systematic searches in regional and international databases, were analyzed. Deductive–inductive coding was guided by seven dimensions: (1) social demand for research, (2) participation in definition of the problem, (3) epistemological plurality in conceptualization, (4) population and territorial heterogeneity, (5) redistribution of epistemic power, (6) relationality and (7) affectivity, situated reflexivity and decentralization of the universal subject. A complementary content analysis enabled the derivation and operationalization of eleven criteria that capture the benefits of integrating an intersectional perspective into participatory methodologies for researchers, professionals and participants. Findings The results reveal uneven integration of these dimensions: social demand and co-definition of the problem are frequent, while epistemological plurality and territorial adaptability appear less often. Methodological families demonstrating a stronger intersectional orientation show a higher concentration of benefits. An evaluative framework of intersectional coherence and a checklist of twenty-one indic</w:t>
      </w:r>
    </w:p>
    <w:p>
      <w:pPr/>
      <w:r>
        <w:rPr>
          <w:b/>
        </w:rPr>
        <w:t>POSSIBLE 2026:</w:t>
      </w:r>
      <w:r>
        <w:t xml:space="preserve"> Backcasting: An innovative approach to conflict management for transformative innovation projects — https://doi.org/10.1016/j.techfore.2026.124851</w:t>
      </w:r>
    </w:p>
    <w:p>
      <w:pPr/>
      <w:r>
        <w:rPr>
          <w:b/>
        </w:rPr>
        <w:t>Shared claim-specific concepts:</w:t>
      </w:r>
      <w:r>
        <w:t xml:space="preserve"> participatory, backcasting; EU scope visible. This is a provisional connection, not an outcome finding.</w:t>
      </w:r>
    </w:p>
    <w:p>
      <w:pPr>
        <w:pStyle w:val="SourceNote"/>
      </w:pPr>
      <w:r>
        <w:rPr>
          <w:b/>
        </w:rPr>
        <w:t>Available abstract (not full text):</w:t>
      </w:r>
      <w:r>
        <w:t xml:space="preserve"> Environmental issues and sustainability transition are nowadays among the most contentious arenas, as they entail complexity, uncertainty and a multiplicity of different interests and visions. Transformative innovation projects, that attempt to address the key challenges that our society is currently facing, have increased rapidly over the last decade as a solution to wicked problems, including sustainability. Yet, the development of these projects does not occur without difficulties. Transitioning to a more sustainable system is a significantly controversial and conflictual issue, as different actors have diverse perspectives on what sustainability means and how to achieve it. Studies on how to manage conflict in innovative and transformative contexts are scarce and methodologically limited. This paper conceptualises participatory backcasting as a conflict management approach for transformative innovation projects and investigates the key mechanisms through which backcasting supports the management of stakeholder conflicts. The article draws on an intervention research aiming at co-experimenting participatory backcasting with 24 transformative innovation projects engaged in fostering agroecological transition in France. This approach engages project participants in a collective visioning exercise to define the desired future to which the project aims to contribute. The case st</w:t>
      </w:r>
    </w:p>
    <w:p>
      <w:pPr/>
      <w:r>
        <w:rPr>
          <w:b/>
        </w:rPr>
        <w:t>POSSIBLE 2025:</w:t>
      </w:r>
      <w:r>
        <w:t xml:space="preserve"> Backcasting Future Human Autonomy and Ethics Protection in Smart Health Environments: A Case Study — https://doi.org/10.1109/ethics65148.2025.11098357</w:t>
      </w:r>
    </w:p>
    <w:p>
      <w:pPr/>
      <w:r>
        <w:rPr>
          <w:b/>
        </w:rPr>
        <w:t>Shared claim-specific concepts:</w:t>
      </w:r>
      <w:r>
        <w:t xml:space="preserve"> participatory, backcasting, methodology; EU scope not established. This is a provisional connection, not an outcome finding.</w:t>
      </w:r>
    </w:p>
    <w:p>
      <w:pPr>
        <w:pStyle w:val="SourceNote"/>
      </w:pPr>
      <w:r>
        <w:rPr>
          <w:b/>
        </w:rPr>
        <w:t>Available abstract (not full text):</w:t>
      </w:r>
      <w:r>
        <w:t xml:space="preserve"> Anticipating ethical risks in smart health-IoT (H-IoT) ensures safer solutions that protect human autonomy and privacy from intrusive surveillance. Previous research involving vulnerable groups has not had a significant emphasis on exploring alternative scenarios that prioritize the ethical criteria of human autonomy that can safeguard against external control and surveillance. In this paper, we concentrate on challenges related to the need for ethical protection of human autonomy in Internet of Things-based health-monitoring. More concretely, we present a case study focusing on older adults. We used a participatory ethical foresight methodology, involving various relevant stakeholders, to develop scenarios paired with roadmaps via “backcasting” techniques. Educational capacity, institutional transparency, gaining control over communication channels, and confronting commercial narratives are actionable measures with consensus. To succeed and to ensure adequate actions to bridge the gap between present and future, additional efforts to shift engineers' perspectives toward relevant ethical risks are needed.</w:t>
      </w:r>
    </w:p>
    <w:p>
      <w:pPr/>
      <w:r>
        <w:rPr>
          <w:b/>
        </w:rPr>
        <w:t>POSSIBLE 2024:</w:t>
      </w:r>
      <w:r>
        <w:t xml:space="preserve"> Exploring Backcasting as a Tool to Co-create a Vision for a Circular Economy: A Case Study of the Polyurethane Foam Industry — https://doi.org/10.55845/uzxq5070</w:t>
      </w:r>
    </w:p>
    <w:p>
      <w:pPr/>
      <w:r>
        <w:rPr>
          <w:b/>
        </w:rPr>
        <w:t>Shared claim-specific concepts:</w:t>
      </w:r>
      <w:r>
        <w:t xml:space="preserve"> developed, participatory, backcasting; EU scope not established. This is a provisional connection, not an outcome finding.</w:t>
      </w:r>
    </w:p>
    <w:p>
      <w:pPr>
        <w:pStyle w:val="SourceNote"/>
      </w:pPr>
      <w:r>
        <w:rPr>
          <w:b/>
        </w:rPr>
        <w:t>Available abstract (not full text):</w:t>
      </w:r>
      <w:r>
        <w:t xml:space="preserve"> The pursuit of Circular Economy (CE) principles in industrial activities is crucial for mitigating environmental impacts, particularly in relation to plastic consumption and waste. While desirable, such a transition is incredibly challenging for many industries. Using the polyurethane (PU) foam industry as a starting point, a participatory planning process called backcasting was used to engage diverse stakeholders and explore the potential for CE implementation and transition. Usually applied in policy-making contexts, this study used a particular approach (“ABCD-method”) to facilitate a workshop of industry representatives from across the PU foam value chain: recyclers, chemical suppliers, manufacturers, academia, and governments. Through the process, participants discussed, developed and agreed upon 78 CE Pathways, categorizing these as short-, mid-, and/or long-term priorities, and assigning them to respective and appropriate PU foam value chain members. These co-created CE Pathway priorities, such as the development of industry-wide material specifications, simplified chemical formulations, and innovation in feedstock sourcing, may contribute to increased industry awareness about potential opportunities for transition to the CE within PU foam value chain. CE Pathway priorities from this work are informing the strategic roadmap for the PU foam industry’s transition to CE. Fu</w:t>
      </w:r>
    </w:p>
    <w:p>
      <w:pPr/>
      <w:r>
        <w:rPr>
          <w:b/>
        </w:rPr>
        <w:t>POSSIBLE 2024:</w:t>
      </w:r>
      <w:r>
        <w:t xml:space="preserve"> Participatory backcasting towards desirable co-produced mobility futures: A case study of MaaS in Greater Manchester — https://doi.org/10.1016/j.futures.2024.103463</w:t>
      </w:r>
    </w:p>
    <w:p>
      <w:pPr/>
      <w:r>
        <w:rPr>
          <w:b/>
        </w:rPr>
        <w:t>Shared claim-specific concepts:</w:t>
      </w:r>
      <w:r>
        <w:t xml:space="preserve"> participatory, backcasting, methodology; EU scope not established. This is a provisional connection, not an outcome finding.</w:t>
      </w:r>
    </w:p>
    <w:p>
      <w:pPr>
        <w:pStyle w:val="SourceNote"/>
      </w:pPr>
      <w:r>
        <w:rPr>
          <w:b/>
        </w:rPr>
        <w:t>Available abstract (not full text):</w:t>
      </w:r>
      <w:r>
        <w:t xml:space="preserve"> Mobility-as-a-Service (MaaS) has emerged as a model supported by popular discourse on achieving greener, more efficient and equitable future mobility. While technological change is a primary driver for models of development, the policy pathways, implementation and implications of MaaS are complex and unclear. In this paper, we explore the implications and limitations of a participatory approach to co-produced MaaS futures in Greater Manchester (GM). We adapt a backcasting methodology involving two stakeholder workshops to develop shared future visions and action pathways. Our methodology includes a participatory approach to pluralistic vision development and the use of a Three Horizons method for backcasting. This approach provides the opportunity to explore multiple desirable futures and the formulation of action pathways without negating plausible future possibilities. The research identifies multiple policy and collaborative action areas while also revealing limitations in MaaS user agency and unaddressed sustainability concerns related to wider Smart City criticisms. Findings also suggest a lack of adequate theory within current MaaS frameworks to engage with uncertainty, change and adaptive capacity. Future areas of research include the expansion of current frameworks to incorporate alternative framings from planning and complexity theories already attempting to address th</w:t>
      </w:r>
    </w:p>
    <w:p>
      <w:pPr/>
      <w:r>
        <w:rPr>
          <w:b/>
        </w:rPr>
        <w:t>POSSIBLE 2023:</w:t>
      </w:r>
      <w:r>
        <w:t xml:space="preserve"> Advancing participatory backcasting for climate change adaptation planning using 10 cases from 3 continents — https://doi.org/10.1016/j.crm.2023.100559</w:t>
      </w:r>
    </w:p>
    <w:p>
      <w:pPr/>
      <w:r>
        <w:rPr>
          <w:b/>
        </w:rPr>
        <w:t>Shared claim-specific concepts:</w:t>
      </w:r>
      <w:r>
        <w:t xml:space="preserve"> developed, participatory, backcasting; EU scope visible. This is a provisional connection, not an outcome finding.</w:t>
      </w:r>
    </w:p>
    <w:p>
      <w:pPr>
        <w:pStyle w:val="SourceNote"/>
      </w:pPr>
      <w:r>
        <w:rPr>
          <w:b/>
        </w:rPr>
        <w:t>Available abstract (not full text):</w:t>
      </w:r>
      <w:r>
        <w:t xml:space="preserve"> In the face of climate change, a major challenge is to inform and guide long-term climate change adaptation planning under deep uncertainty, while aiming at transformative change. Normative futures studies approaches, such as participatory backcasting, visioning and transition management, are increasingly applied, but their potential for climate change adaptation research and practice remains undervalued. This paper aims to advance the potential of backcasting in climate adaptation, by comparing various climate change adaptation studies that have used backcasting or visioning approaches. A framework has been further developed and applied to evaluate 10 cases in Africa, Europe and North America, using four dimensions: (i) inputs and settings; (ii) process and methods (iii) results, and (iv), impact. Our evaluation provides key insights into the use and further development of backcasting for climate adaptation. Key elements to add are advanced system modeling, robust elements, pathway switching and hybrid pathways, enhancing participation of marginal groups, and contributing to impact by facilitating the utilization of results and knowledge in practice and decision making.</w:t>
      </w:r>
    </w:p>
    <w:p>
      <w:pPr/>
      <w:r>
        <w:rPr>
          <w:b/>
        </w:rPr>
        <w:t>POSSIBLE 2023:</w:t>
      </w:r>
      <w:r>
        <w:t xml:space="preserve"> How to Create Serious Games? Proposal for a Participatory Methodology — https://doi.org/10.17083/ijsg.v10i4.642</w:t>
      </w:r>
    </w:p>
    <w:p>
      <w:pPr/>
      <w:r>
        <w:rPr>
          <w:b/>
        </w:rPr>
        <w:t>Shared claim-specific concepts:</w:t>
      </w:r>
      <w:r>
        <w:t xml:space="preserve"> developed, participatory, methodology; EU scope not established. This is a provisional connection, not an outcome finding.</w:t>
      </w:r>
    </w:p>
    <w:p>
      <w:pPr>
        <w:pStyle w:val="SourceNote"/>
      </w:pPr>
      <w:r>
        <w:rPr>
          <w:b/>
        </w:rPr>
        <w:t>Available abstract (not full text):</w:t>
      </w:r>
      <w:r>
        <w:t xml:space="preserve"> The demand for practical, engaging, and enjoyable learning experiences has led to a shift in student preferences. Students now seek active learning approaches that prioritize their involvement and utilize technology. In response to this demand, simulators and serious games have emerged as effective strategies in education. Serious games offer numerous benefits, including the promotion of critical thinking, creativity, problem-solving skills, and improved knowledge retention. However, it is crucial to ensure that serious games are well-designed to maintain their appeal and playful nature. Inadequate requirements definition during the initial stages of development can lead to issues in game design. This article emphasizes the importance of establishing clear requirements and objectives in the creation of serious games for educational purposes. By doing so, effective serious games can be developed that meet the needs of students and align with educational goals. This systematic approach to game development ensures that the games are engaging, effective, and conducive to learning.</w:t>
      </w:r>
    </w:p>
    <w:p>
      <w:pPr/>
      <w:r>
        <w:rPr>
          <w:b/>
        </w:rPr>
        <w:t>POSSIBLE 2023:</w:t>
      </w:r>
      <w:r>
        <w:t xml:space="preserve"> Bridging scenario planning and backcasting: A Q‐analysis of divergent stakeholder priorities for future landscapes — https://doi.org/10.1002/pan3.10441</w:t>
      </w:r>
    </w:p>
    <w:p>
      <w:pPr/>
      <w:r>
        <w:rPr>
          <w:b/>
        </w:rPr>
        <w:t>Shared claim-specific concepts:</w:t>
      </w:r>
      <w:r>
        <w:t xml:space="preserve"> participatory, backcasting, methodology; EU scope not established. This is a provisional connection, not an outcome finding.</w:t>
      </w:r>
    </w:p>
    <w:p>
      <w:pPr>
        <w:pStyle w:val="SourceNote"/>
      </w:pPr>
      <w:r>
        <w:rPr>
          <w:b/>
        </w:rPr>
        <w:t>Available abstract (not full text):</w:t>
      </w:r>
      <w:r>
        <w:t xml:space="preserve"> Abstract Many landscapes in sub‐Saharan Africa have undergone rapid changes, often with negative social and ecological impacts. Avoiding (or reversing) such negative impacts requires proactive landscape planning. Scenario planning, a participatory approach that generates narratives of plausible landscape change trajectories in the future, has been widely used to support landscape planning and decisions. However, not least because of challenges arising from group dynamics, few examples exist where backcasting—the collective envisioning of a desirable future landscape and the identification of pathways to reach that future—has been applied in landscape planning. In this study, building on past scenario planning work in southwestern Ethiopia, we begin to fill this empirical and methodological gap. Specifically, we used the Q‐methodology to elucidate stakeholders' divergent landscape aspirations in a case study in southwestern Ethiopia. Our results show that many stakeholders share a similar vision of building a future landscape that supports smallholder‐based development. However, details in the envisaged pathways differ between stakeholders. Three distinct pathways were prioritized by different stakeholders: (1) Agroecological production, (2) Coffee investment and (3) Intensive food crop production. Accounting for these divergent aspirations is important when taking further steps</w:t>
      </w:r>
    </w:p>
    <w:p>
      <w:pPr/>
      <w:r>
        <w:rPr>
          <w:b/>
        </w:rPr>
        <w:t>POSSIBLE 2022:</w:t>
      </w:r>
      <w:r>
        <w:t xml:space="preserve"> Computer‐aided scenario design using participatory backcasting: A case study of sustainable vision creation in a Japanese city — https://doi.org/10.1002/ffo2.141</w:t>
      </w:r>
    </w:p>
    <w:p>
      <w:pPr/>
      <w:r>
        <w:rPr>
          <w:b/>
        </w:rPr>
        <w:t>Shared claim-specific concepts:</w:t>
      </w:r>
      <w:r>
        <w:t xml:space="preserve"> developed, participatory, backcasting; EU scope not established. This is a provisional connection, not an outcome finding.</w:t>
      </w:r>
    </w:p>
    <w:p>
      <w:pPr>
        <w:pStyle w:val="SourceNote"/>
      </w:pPr>
      <w:r>
        <w:rPr>
          <w:b/>
        </w:rPr>
        <w:t>Available abstract (not full text):</w:t>
      </w:r>
      <w:r>
        <w:t xml:space="preserve"> Abstract Designing backcasting scenarios is a powerful approach to the development of sustainable visions and pathways for governments or enterprises in the early stage of their policy‐making or strategic decision‐making process. To date, a number of scholars have proposed various backcasting methods, in which workshops are often used to reflect the voices of stakeholders. However, it is still a challenge to test the validity of scenarios because the process of designing backcasting scenarios is not transparent or shared among involved stakeholders. This also prevents reusing knowledge and intermediate outputs generated during the scenario design process. To solve these problems, this paper aims to develop a method for supporting a backcasting scenario design by introducing computational assistance. A scenario design support system called the sustainable society scenario (3S) simulator is used to visualize a scenario's logical sequence of the scenario in graph format. To demonstrate the proposed method, a case study for the city of Toyama, a Japanese municipality, was performed using three workshops with citizen participation. The results showed that two different scenarios, involving future visions and associated pathways, were developed by reflecting the diversified values of local citizens. The usage of the 3S simulator visualized the logical relations of the described scena</w:t>
      </w:r>
    </w:p>
    <w:p>
      <w:pPr>
        <w:pStyle w:val="Heading2"/>
      </w:pPr>
      <w:r>
        <w:t>855. The Deliberative Practice of Vision Mobility 2050: Vision-making for Sustainable Mobility in the Region of Munich?</w:t>
      </w:r>
    </w:p>
    <w:p>
      <w:pPr>
        <w:pStyle w:val="SourceNote"/>
      </w:pPr>
      <w:r>
        <w:rPr>
          <w:b/>
        </w:rPr>
        <w:t>Original source (2016):</w:t>
      </w:r>
      <w:r>
        <w:t xml:space="preserve"> https://doi.org/10.1016/j.trpro.2016.12.096</w:t>
      </w:r>
    </w:p>
    <w:p>
      <w:pPr/>
      <w:r>
        <w:t>Original wording (abstract; indexed_source_text_not_full_document_verified): It specifically looks at a recent visioning process where this network of actors developed ideas on the future of mobility, particularly in the context of growth and development in one of the most powerful, economic Metropolitan Regions in Europe. The network propels the mobilities of ideas, concepts and perspectives on the future of mobility and transport in Munich.</w:t>
      </w:r>
    </w:p>
    <w:p>
      <w:pPr/>
      <w:r>
        <w:rPr>
          <w:b/>
        </w:rPr>
        <w:t>POSSIBLE 2026:</w:t>
      </w:r>
      <w:r>
        <w:t xml:space="preserve"> Monitoring the Screens: Current Challenges of Minority Language Media in the Context of the Council of Europe — https://doi.org/10.1163/15718115-bja10260</w:t>
      </w:r>
    </w:p>
    <w:p>
      <w:pPr/>
      <w:r>
        <w:rPr>
          <w:b/>
        </w:rPr>
        <w:t>Shared claim-specific concepts:</w:t>
      </w:r>
      <w:r>
        <w:t xml:space="preserve"> specifically, looks, recent, particularly, context; EU scope visible. This is a provisional connection, not an outcome finding.</w:t>
      </w:r>
    </w:p>
    <w:p>
      <w:pPr>
        <w:pStyle w:val="SourceNote"/>
      </w:pPr>
      <w:r>
        <w:rPr>
          <w:b/>
        </w:rPr>
        <w:t>Available abstract (not full text):</w:t>
      </w:r>
      <w:r>
        <w:t xml:space="preserve"> Abstract The rapidly changing media landscape affects all areas of society, but minoritized groups and media in minority languages can be particularly precarious. Therefore, after a short outlook on the relevant regulation and case-law in the context of the UN, the Council of Europe, the OSCE and the EU, this paper unpacks media trends and challenges minority language media faces in a post-Covid-19 era, then looks at how international monitoring handles the most recent challenges. Specifically, monitoring materials under the Framework Convention for the Protection of National Minorities and the European Charter for Regional or Minority Languages from the past five years are analysed with the aim to ascertain to what extent the Advisory Committee and the Committee of Experts are prepared to interpret media provisions in a way that satisfies the needs of changing times. Finally, the paper outlines precisely where Council of Europe monitoring could be strengthened.</w:t>
      </w:r>
    </w:p>
    <w:p>
      <w:pPr/>
      <w:r>
        <w:rPr>
          <w:b/>
        </w:rPr>
        <w:t>POSSIBLE 2024:</w:t>
      </w:r>
      <w:r>
        <w:t xml:space="preserve"> Un/seeing race:Articulating differences in governing people in Europe through multimodal methods — https://openalex.org/W7135537615</w:t>
      </w:r>
    </w:p>
    <w:p>
      <w:pPr/>
      <w:r>
        <w:rPr>
          <w:b/>
        </w:rPr>
        <w:t>Shared claim-specific concepts:</w:t>
      </w:r>
      <w:r>
        <w:t xml:space="preserve"> specifically, ideas, mobility; EU scope visible. This is a provisional connection, not an outcome finding.</w:t>
      </w:r>
    </w:p>
    <w:p>
      <w:pPr>
        <w:pStyle w:val="SourceNote"/>
      </w:pPr>
      <w:r>
        <w:rPr>
          <w:b/>
        </w:rPr>
        <w:t>Available abstract (not full text):</w:t>
      </w:r>
      <w:r>
        <w:t xml:space="preserve"> This dissertation examines ways in which technologies of vision used in governance enact race and racial otherness in Europe. Specifically, it focuses on how physical appearances, such as phenotypic markers, clothing, hairstyle, as well as smell, dialect, modes of travelling, databases and statistics play a role in knowing people and governing their mobility. Vision here refers not only to practices of identification but also to the production of physical appearances—a know-how of diverse kinds of markers of difference. Consequently, technologies of vision also refer to what the phenotype does and how it is produced as a conjunction between subject, technology and see-er. The first part of this dissertation examines the ways in which knowing “the Roma” in everyday bureaucratic and border police practices in Romania enacts racialised categories of people. The second part draws on empirical cases from the Netherlands and Greece to examine more broadly the enactments of race in practices of identification. The last three chapters of the dissertation are written in a multimodal format where I intertwine written and filmic paragraphs. Vision itself becomes a technology, this time not to produce or reinforce but to disturb and perhaps even undo ideas of racial otherness. By actively engaging the eyes of the viewer, I demonstrate that vision is always relational and partial and theref</w:t>
      </w:r>
    </w:p>
    <w:p>
      <w:pPr/>
      <w:r>
        <w:rPr>
          <w:b/>
        </w:rPr>
        <w:t>POSSIBLE 2024:</w:t>
      </w:r>
      <w:r>
        <w:t xml:space="preserve"> Sustainability and competition policy in Europe: recent developments — https://doi.org/10.1093/jeclap/lpae063</w:t>
      </w:r>
    </w:p>
    <w:p>
      <w:pPr/>
      <w:r>
        <w:rPr>
          <w:b/>
        </w:rPr>
        <w:t>Shared claim-specific concepts:</w:t>
      </w:r>
      <w:r>
        <w:t xml:space="preserve"> looks, recent, network, one; EU scope visible. This is a provisional connection, not an outcome finding.</w:t>
      </w:r>
    </w:p>
    <w:p>
      <w:pPr>
        <w:pStyle w:val="SourceNote"/>
      </w:pPr>
      <w:r>
        <w:rPr>
          <w:b/>
        </w:rPr>
        <w:t>Available abstract (not full text):</w:t>
      </w:r>
      <w:r>
        <w:t xml:space="preserve"> In the last year or so, further progress has been made integrating sustainability considerations into competition policy and enforcement in Europe. On sustainability co-operation agreements we have seen more guidelines being published (notably the UK with its ‘more permissive approach’ to ‘climate change agreements’) with many competition authorities providing quick, light touch, informal guidance for specific projects. Conversely, anti-competitive arrangements harmful to a sustainable future have been punished as cartels or an abuse of dominant position. This survey looks at the emerging thinking on sustainability and abuse of dominance and mergers before looking at the key challengers for the future. In last year’s survey1 I reported the amazing progress that had been made in integrating climate change and sustainability considerations into competition policy in recent years with most European competition authorities focused on it and bringing out policy statements and guidelines (and draft guidelines). This progress has continued with more guidelines being produced or finalized and cases being decided. We have also seen more competition authorities around the world emulating the progress made in Europe (with the notable exception of the US). That said, the last year has in some ways being one of consolidation in the area of sustainability cooperation agreements as authoritie</w:t>
      </w:r>
    </w:p>
    <w:p>
      <w:pPr/>
      <w:r>
        <w:rPr>
          <w:b/>
        </w:rPr>
        <w:t>POSSIBLE 2024:</w:t>
      </w:r>
      <w:r>
        <w:t xml:space="preserve"> Learning in European Administrative Networks: a process to all or only to a few? — https://doi.org/10.1017/s0143814x24000011</w:t>
      </w:r>
    </w:p>
    <w:p>
      <w:pPr/>
      <w:r>
        <w:rPr>
          <w:b/>
        </w:rPr>
        <w:t>Shared claim-specific concepts:</w:t>
      </w:r>
      <w:r>
        <w:t xml:space="preserve"> process, network, actors; EU scope visible. This is a provisional connection, not an outcome finding.</w:t>
      </w:r>
    </w:p>
    <w:p>
      <w:pPr>
        <w:pStyle w:val="SourceNote"/>
      </w:pPr>
      <w:r>
        <w:rPr>
          <w:b/>
        </w:rPr>
        <w:t>Available abstract (not full text):</w:t>
      </w:r>
      <w:r>
        <w:t xml:space="preserve"> Abstract Through the pooling and exchange of resources such as expertise and knowledge between network participants, European Administrative Networks (EANs) are expected to play a significant role in enhancing policy learning. Yet, scarce empirical evidence has been presented concerning the learning process taking place within EANs. This paper addresses this gap through the analysis of the Network of the Heads of European Environmental Protection Agencies (EPA Network). Based on a unique survey dataset, social network analysis and exponential random graph models are used to trace the interaction patterns within the network and test which factors shape them. The analysis highlights the relevance of national political factors – i.e. the preferences of national governments and ministries – in shaping the learning processes taking place in the EPA Network. While the network is an important venue for disseminating knowledge between directly and indirectly connected actors, learning processes are mainly limited to like-minded peers.</w:t>
      </w:r>
    </w:p>
    <w:p>
      <w:pPr/>
      <w:r>
        <w:rPr>
          <w:b/>
        </w:rPr>
        <w:t>POSSIBLE 2024:</w:t>
      </w:r>
      <w:r>
        <w:t xml:space="preserve"> Understanding and simulating cropland and non-cropland burning in Europe using the BASE (Burnt Area Simulator for Europe) model — https://doi.org/10.5194/bg-21-5539-2024</w:t>
      </w:r>
    </w:p>
    <w:p>
      <w:pPr/>
      <w:r>
        <w:rPr>
          <w:b/>
        </w:rPr>
        <w:t>Shared claim-specific concepts:</w:t>
      </w:r>
      <w:r>
        <w:t xml:space="preserve"> recent, regions; EU scope visible. This is a provisional connection, not an outcome finding.</w:t>
      </w:r>
    </w:p>
    <w:p>
      <w:pPr>
        <w:pStyle w:val="SourceNote"/>
      </w:pPr>
      <w:r>
        <w:rPr>
          <w:b/>
        </w:rPr>
        <w:t>Available abstract (not full text):</w:t>
      </w:r>
      <w:r>
        <w:t xml:space="preserve"> Abstract. Fire interacts with many parts of the Earth system. However, its drivers are myriad and complex, interacting differently in different regions depending on prevailing climate regimes, vegetation types, socioeconomic development, and land use and management. Europe is facing strong increases in projected meteorological fire danger as a consequence of climate change, and has experienced extreme fire seasons and events in recent years. Here, we focus on understanding and simulating burnt area across a European study domain using remote sensing data and Generalised Linear Models (GLMs). We first examined fire occurrence across land cover types and found that all non-cropland vegetation types (NCV, comprising 26 % of burnt area) burned with similar spatial and temporal patterns, which were very distinct from those in croplands (74 % of burned area). We then used GLMs to predict cropland and NCV burnt area at ~9x9 km and monthly spatial and temporal resolution, respectively, which together we termed BASE (Burnt Area Simulator for Europe). Compared to satellite burned area products, BASE effectively captured the general spatial and temporal patterns of burning, explaining 32 % (NCV) and 36 % (cropland) of the deviance, and gave similar performance of state-of-the-art global fire models. The most important drivers were fire weather and monthly indices derived from gross primar</w:t>
      </w:r>
    </w:p>
    <w:p>
      <w:pPr/>
      <w:r>
        <w:rPr>
          <w:b/>
        </w:rPr>
        <w:t>POSSIBLE 2023:</w:t>
      </w:r>
      <w:r>
        <w:t xml:space="preserve"> Sensor Networks, Data Processing, and Inference: The Hydrology Challenge — https://doi.org/10.1109/access.2023.3318739</w:t>
      </w:r>
    </w:p>
    <w:p>
      <w:pPr/>
      <w:r>
        <w:rPr>
          <w:b/>
        </w:rPr>
        <w:t>Shared claim-specific concepts:</w:t>
      </w:r>
      <w:r>
        <w:t xml:space="preserve"> specifically, concepts; EU scope visible. This is a provisional connection, not an outcome finding.</w:t>
      </w:r>
    </w:p>
    <w:p>
      <w:pPr>
        <w:pStyle w:val="SourceNote"/>
      </w:pPr>
      <w:r>
        <w:rPr>
          <w:b/>
        </w:rPr>
        <w:t>Available abstract (not full text):</w:t>
      </w:r>
      <w:r>
        <w:t xml:space="preserve"> In the last years, many European countries have experienced the effects of climate change, in the form of a scarcity of drinking water resources, prolonged periods of drought, and extremely heavy rainfall, with unprecedented dramatic environmental, economic, and social costs. Therefore, understanding, modeling, and predicting the movement and distribution of water on Earth, and effectively managing water resources are problems of paramount importance. In this article, we discuss the fundamental role that sensing technologies, data processing algorithms, and inference based on machine learning techniques can have in modern hydrology and the many challenges that still need to be addressed to improve the accuracy and reduce the complexity of current hydrology models. More specifically, we overview the main solutions proposed in the literature to monitor, analyze and predict hydrological processes, and present a selection of results obtained from empirical data sets to ground the main concepts and substantiate the dissertation. Finally, we conclude our article by discussing open problems and possible avenues for future research.</w:t>
      </w:r>
    </w:p>
    <w:p>
      <w:pPr/>
      <w:r>
        <w:rPr>
          <w:b/>
        </w:rPr>
        <w:t>POSSIBLE 2023:</w:t>
      </w:r>
      <w:r>
        <w:t xml:space="preserve"> An analytic strategy for data processing of multimode networks — https://doi.org/10.1007/s11634-023-00556-4</w:t>
      </w:r>
    </w:p>
    <w:p>
      <w:pPr/>
      <w:r>
        <w:rPr>
          <w:b/>
        </w:rPr>
        <w:t>Shared claim-specific concepts:</w:t>
      </w:r>
      <w:r>
        <w:t xml:space="preserve"> network, actors, mobility, context, concepts; EU scope visible. This is a provisional connection, not an outcome finding.</w:t>
      </w:r>
    </w:p>
    <w:p>
      <w:pPr>
        <w:pStyle w:val="SourceNote"/>
      </w:pPr>
      <w:r>
        <w:rPr>
          <w:b/>
        </w:rPr>
        <w:t>Available abstract (not full text):</w:t>
      </w:r>
      <w:r>
        <w:t xml:space="preserve"> Abstract Complex network data structures are considered to capture the richness of social phenomena and real-life data settings. Multipartite networks are an example in which various scenarios are represented by different types of relations, actors, or modes. Within this context, the present contribution aims at discussing an analytic strategy for simplifying multipartite networks in which different sets of nodes are linked. By considering the connection of multimode networks and hypergraphs as theoretical concepts, a three-step procedure is introduced to simplify, normalize, and filter network data structures. Thus, a model-based approach is introduced for derived bipartite weighted networks in order to extract statistically significant links. The usefulness of the strategy is demonstrated in handling two application fields, that is, intranational student mobility in higher education and research collaboration in European framework programs. Finally, both examples are explored using community detection algorithms to determine the presence of groups by mixing up different modes.</w:t>
      </w:r>
    </w:p>
    <w:p>
      <w:pPr/>
      <w:r>
        <w:rPr>
          <w:b/>
        </w:rPr>
        <w:t>POSSIBLE 2022:</w:t>
      </w:r>
      <w:r>
        <w:t xml:space="preserve"> Recent trends in publications of economic historians in Europe and North America (1980–2019): an empirical analysis — https://doi.org/10.1007/s11698-022-00245-w</w:t>
      </w:r>
    </w:p>
    <w:p>
      <w:pPr/>
      <w:r>
        <w:rPr>
          <w:b/>
        </w:rPr>
        <w:t>Shared claim-specific concepts:</w:t>
      </w:r>
      <w:r>
        <w:t xml:space="preserve"> recent, network; EU scope visible. This is a provisional connection, not an outcome finding.</w:t>
      </w:r>
    </w:p>
    <w:p>
      <w:pPr>
        <w:pStyle w:val="SourceNote"/>
      </w:pPr>
      <w:r>
        <w:rPr>
          <w:b/>
        </w:rPr>
        <w:t>Available abstract (not full text):</w:t>
      </w:r>
      <w:r>
        <w:t xml:space="preserve"> Abstract This article analyses the integration of economic history into economics using a unique dataset containing 11,143 articles written by 919 economic historians and published between 1980 and 2019 in leading journals; we also analyzed the authors’ biographical information. Using a probit regression, we find that since 1980, economic historians have increased their likelihood of publishing in Economics or Finance Journals (EFJs) by 12 points. This integration is more marked in North America than in Europe because North American economic historians are more likely to be trained in the discipline of economics. In contrast, a significant share of scholars in Europe are trained in the discipline of economic history. Network visualizations confirm these regional differences: citations to EFJs are much more central in North American scholars’ work. Our findings support Robert Margo’s claim that economic history is currently integrated into economics more often in publications in North America than in Europe.</w:t>
      </w:r>
    </w:p>
    <w:p>
      <w:pPr/>
      <w:r>
        <w:rPr>
          <w:b/>
        </w:rPr>
        <w:t>POSSIBLE 2022:</w:t>
      </w:r>
      <w:r>
        <w:t xml:space="preserve"> Integrating nature conservation measures in european forest management – An exploratory study of barriers and drivers in 9 european countries — https://doi.org/10.1016/j.jenvman.2022.116619</w:t>
      </w:r>
    </w:p>
    <w:p>
      <w:pPr/>
      <w:r>
        <w:rPr>
          <w:b/>
        </w:rPr>
        <w:t>Shared claim-specific concepts:</w:t>
      </w:r>
      <w:r>
        <w:t xml:space="preserve"> looks, one, concepts; EU scope visible. This is a provisional connection, not an outcome finding.</w:t>
      </w:r>
    </w:p>
    <w:p>
      <w:pPr>
        <w:pStyle w:val="SourceNote"/>
      </w:pPr>
      <w:r>
        <w:rPr>
          <w:b/>
        </w:rPr>
        <w:t>Available abstract (not full text):</w:t>
      </w:r>
      <w:r>
        <w:t xml:space="preserve"> Integrative forest management approaches, aiming to combine the provision of multiple forest ecosystem services in the same forest area, are popular forest management concepts in Europe. Their understanding and application varies, however, across the continent. This paper looks at one dimension of integrative forest management approaches in particular - the integration of nature conservation measures into forest management; focusing on its understanding and application, as well as current and future social, technological, ecological, economic and political factors enabling or hampering this integration. Drawing on 42 qualitative in-depth interviews with national experts and forest practitioners, our study provides insights into the integration of nature conservation measures into forest management systems aimed at wood production and the provision of other forest ecosystem services under various conditions. Across the investigated countries, the main factors perceived to facilitate this integration are the personal motivations and knowledge of forest managers and their long-term economic thinking related to the resilience of the forest in the face of climate and societal change. In turn, the main factors perceived as hampering the integration are current wood-market demands, and a lack of (public) financial incentives. Public pressure is also perceived as an important influenci</w:t>
      </w:r>
    </w:p>
    <w:p>
      <w:pPr/>
      <w:r>
        <w:rPr>
          <w:b/>
        </w:rPr>
        <w:t>POSSIBLE 2021:</w:t>
      </w:r>
      <w:r>
        <w:t xml:space="preserve"> Mediatization Of Electoral Processes In Europe — https://doi.org/10.15405/epsbs.2021.05.02.150</w:t>
      </w:r>
    </w:p>
    <w:p>
      <w:pPr/>
      <w:r>
        <w:rPr>
          <w:b/>
        </w:rPr>
        <w:t>Shared claim-specific concepts:</w:t>
      </w:r>
      <w:r>
        <w:t xml:space="preserve"> network, ideas, one; EU scope visible. This is a provisional connection, not an outcome finding.</w:t>
      </w:r>
    </w:p>
    <w:p>
      <w:pPr>
        <w:pStyle w:val="SourceNote"/>
      </w:pPr>
      <w:r>
        <w:rPr>
          <w:b/>
        </w:rPr>
        <w:t>Available abstract (not full text):</w:t>
      </w:r>
      <w:r>
        <w:t xml:space="preserve"> The material considers political manipulation in social networks, which is one of the important political aspects of communication in election campaigns. The aim of the study is to identify the features of the use of political manipulation technologies in European social networks based on an analysis of the presidential elections in France. The material demonstrates the different uses of social networks (Facebook, Twitter, Telegram and others) in the presidential election campaigns in France in 2012 and 2017 with an emphasis on the younger generation, due to the greatest susceptibility to hidden management, because they are more impulsive and do not have distinct life landmarks. Social networks and platforms are considered as a tool for changing and complementing traditional media. Political programs are considered as a start to the stream of comments on the social network Twitter on television; joining a TV audience to a social network for a detailed analysis of the biography of politicians; considered television as a mediator of ideas in this case. The material also provides an example of an analysis of the digitalization risks of the election campaign in France during the presidential election, the use of specially created computer games, as well as bots during election campaigns. The material in some cases compares the use of social networks in France and Russia, a forecast</w:t>
      </w:r>
    </w:p>
    <w:p>
      <w:pPr/>
      <w:r>
        <w:rPr>
          <w:b/>
        </w:rPr>
        <w:t>POSSIBLE 2021:</w:t>
      </w:r>
      <w:r>
        <w:t xml:space="preserve"> AI Hubs: Europe and CANZUK — https://doi.org/10.51593/20200061</w:t>
      </w:r>
    </w:p>
    <w:p>
      <w:pPr/>
      <w:r>
        <w:rPr>
          <w:b/>
        </w:rPr>
        <w:t>Shared claim-specific concepts:</w:t>
      </w:r>
      <w:r>
        <w:t xml:space="preserve"> looks, regions; EU scope visible. This is a provisional connection, not an outcome finding.</w:t>
      </w:r>
    </w:p>
    <w:p>
      <w:pPr>
        <w:pStyle w:val="SourceNote"/>
      </w:pPr>
      <w:r>
        <w:rPr>
          <w:b/>
        </w:rPr>
        <w:t>Available abstract (not full text):</w:t>
      </w:r>
      <w:r>
        <w:t xml:space="preserve"> U.S. policymakers need to understand the landscape of artificial intelligence talent and investment as AI becomes increasingly important to national and economic security. This knowledge is critical as leaders develop new alliances and work to curb China’s growing influence. As an initial effort, an earlier CSET report, “AI Hubs in the United States,” examined the domestic AI ecosystem by mapping where U.S. AI talent is produced, where it is concentrated, and where AI private equity funding goes. Given the global nature of the AI ecosystem and the importance of international talent flows, this paper looks for the centers of AI talent and investment in regions and countries that are key U.S. partners: Europe and the CANZUK countries (Canada, Australia, New Zealand, and the United Kingdom).</w:t>
      </w:r>
    </w:p>
    <w:p>
      <w:pPr/>
      <w:r>
        <w:rPr>
          <w:b/>
        </w:rPr>
        <w:t>POSSIBLE 2020:</w:t>
      </w:r>
      <w:r>
        <w:t xml:space="preserve"> Recent Evolutions of Gender, State Feminism and Care Models in Latin America and Europe — https://doi.org/10.1007/978-3-030-48442-2_12</w:t>
      </w:r>
    </w:p>
    <w:p>
      <w:pPr/>
      <w:r>
        <w:rPr>
          <w:b/>
        </w:rPr>
        <w:t>Shared claim-specific concepts:</w:t>
      </w:r>
      <w:r>
        <w:t xml:space="preserve"> recent, process, one; EU scope visible. This is a provisional connection, not an outcome finding.</w:t>
      </w:r>
    </w:p>
    <w:p>
      <w:pPr>
        <w:pStyle w:val="SourceNote"/>
      </w:pPr>
      <w:r>
        <w:rPr>
          <w:b/>
        </w:rPr>
        <w:t>Available abstract (not full text):</w:t>
      </w:r>
      <w:r>
        <w:t xml:space="preserve"> Abstract This chapter presents and characterises the way in which, in the twenty-first century, after years of feminist struggles inside and outside of institutions, gender relations are organised in the different countries of the INCASI project (on the European side, Spain, Italy, Finland, France and the United Kingdom, on the side of the South American Southern Cone, Argentina, Brazil, Chile and Uruguay). It pays special attention to the implementation of feminist issues on political agendas, and in particular the assignment of women to unpaid care work—an aspect of the power continuum that we look to relate to other aspects. Gradually and for almost a century all countries in both continents have granted women the status of subjects, citizens and employees. However, the conditions, challenges and timelines of this process differ considerably from one continent to another, so they need to be addressed separately. The neoliberal era did not have the same impact in Europe as it did in South America (nor was it exactly the same between particular European countries or among South American ones).</w:t>
      </w:r>
    </w:p>
    <w:p>
      <w:pPr>
        <w:pStyle w:val="Heading2"/>
      </w:pPr>
      <w:r>
        <w:t>856. The Future of European Labour Law and the Right to Employability</w:t>
      </w:r>
    </w:p>
    <w:p>
      <w:pPr>
        <w:pStyle w:val="SourceNote"/>
      </w:pPr>
      <w:r>
        <w:rPr>
          <w:b/>
        </w:rPr>
        <w:t>Original source (2016):</w:t>
      </w:r>
      <w:r>
        <w:t xml:space="preserve"> https://doi.org/10.1177/201395251600700311</w:t>
      </w:r>
    </w:p>
    <w:p>
      <w:pPr/>
      <w:r>
        <w:t>Original wording (abstract; indexed_source_text_not_full_document_verified): In view of an evaluation of the impact of the Council's Recommendation of December 2012 on the validation of informal and non-formal learning (as well as its possible review expected for 2019), the paper offers some preliminary elements for evaluating the relevance, the efficacy, and the consistency of European action in this field and speculates about the likely direction of future developments.</w:t>
      </w:r>
    </w:p>
    <w:p>
      <w:pPr/>
      <w:r>
        <w:rPr>
          <w:b/>
        </w:rPr>
        <w:t>POSSIBLE 2025:</w:t>
      </w:r>
      <w:r>
        <w:t xml:space="preserve"> Recommendations for digital inclusion in the use of European digital public services — https://doi.org/10.1057/s41599-025-04576-7</w:t>
      </w:r>
    </w:p>
    <w:p>
      <w:pPr/>
      <w:r>
        <w:rPr>
          <w:b/>
        </w:rPr>
        <w:t>Shared claim-specific concepts:</w:t>
      </w:r>
      <w:r>
        <w:t xml:space="preserve"> review, evaluating; EU scope visible. This is a provisional connection, not an outcome finding.</w:t>
      </w:r>
    </w:p>
    <w:p>
      <w:pPr>
        <w:pStyle w:val="SourceNote"/>
      </w:pPr>
      <w:r>
        <w:rPr>
          <w:b/>
        </w:rPr>
        <w:t>Available abstract (not full text):</w:t>
      </w:r>
      <w:r>
        <w:t xml:space="preserve"> This study examines digital public services within the European Union, focusing on digital inclusion and the barriers preventing widespread e-government adoption. A significant knowledge gap exists in understanding the interaction between citizens and digital public services, particularly for vulnerable groups, and in evaluating the impact of regional and sector-specific factors. The research employs a mixed-methods approach, including a systematic review based on PRISMA methodology, a document analysis of the digital and programs of the European Union and the Member States, 33 semi-structured expert interviews, and a survey targeting Spanish intermediate leaders, to explore digital divides in access, skills, and outcomes. Key findings reveal that barriers such as limited digital skills, access to technology, and inadequate service design disproportionately affect the elderly, low-income populations, and those with minimal education. Eighteen recommendations have been proposed, associated to five indicators of the model proposed to evaluate the key dimensions of e- government adoption and digital inclusion: internet access, digital skills, user interaction, social drivers and barriers, and outcomes. The recommendations include, among others, enhancing digital skills through tailored training programs, involving the third sector, simplifying service interfaces, and promoting a h</w:t>
      </w:r>
    </w:p>
    <w:p>
      <w:pPr/>
      <w:r>
        <w:rPr>
          <w:b/>
        </w:rPr>
        <w:t>POSSIBLE 2025:</w:t>
      </w:r>
      <w:r>
        <w:t xml:space="preserve"> Guiding AI in radiology: ESR’s recommendations for effective implementation of the European AI Act — https://doi.org/10.1186/s13244-025-01905-x</w:t>
      </w:r>
    </w:p>
    <w:p>
      <w:pPr/>
      <w:r>
        <w:rPr>
          <w:b/>
        </w:rPr>
        <w:t>Shared claim-specific concepts:</w:t>
      </w:r>
      <w:r>
        <w:t xml:space="preserve"> offers, relevance, field; EU scope visible. This is a provisional connection, not an outcome finding.</w:t>
      </w:r>
    </w:p>
    <w:p>
      <w:pPr>
        <w:pStyle w:val="SourceNote"/>
      </w:pPr>
      <w:r>
        <w:rPr>
          <w:b/>
        </w:rPr>
        <w:t>Available abstract (not full text):</w:t>
      </w:r>
      <w:r>
        <w:t xml:space="preserve"> This statement has been produced within the European Society of Radiology AI Working Group and identifies the key policies of the EU AI Act as they pertain to medical imaging. It offers specific recommendations to policymakers and the professional community for the effective implementation of the legislation, addressing potential gaps and uncertainties. Key areas include AI literacy, classification rules for high-risk AI systems, data governance, transparency, human oversight, quality management, deployer obligations, regulatory sandboxes, post-market monitoring, information sharing, and market surveillance. By proposing actionable solutions, the statement highlights ESR's readiness in supporting appropriate application of the AI Act in the field, promoting clarity and the effective integration of AI technologies to ensure their impactful and safe use for the benefit of Europe's patients. CRITICAL RELEVANCE STATEMENT: With the impending arrival of the EU AI Act, it is critical for stakeholders to provide timely input on its key areas. This statement offers expert feedback on the aspects of the EU AI Act that will affect medical imaging. KEY POINTS: The AI Act will significantly impact the field of medical imaging, shaping how AI technologies are used and regulated. The ESR is committed to develop guidelines and best practices, collaborating on the implementation process. This s</w:t>
      </w:r>
    </w:p>
    <w:p>
      <w:pPr/>
      <w:r>
        <w:rPr>
          <w:b/>
        </w:rPr>
        <w:t>POSSIBLE 2025:</w:t>
      </w:r>
      <w:r>
        <w:t xml:space="preserve"> Impact of insomnia: Cultural and societal aspects from a European survey — https://doi.org/10.1016/j.encep.2025.01.004</w:t>
      </w:r>
    </w:p>
    <w:p>
      <w:pPr/>
      <w:r>
        <w:rPr>
          <w:b/>
        </w:rPr>
        <w:t>Shared claim-specific concepts:</w:t>
      </w:r>
      <w:r>
        <w:t xml:space="preserve"> elements, about; EU scope visible. This is a provisional connection, not an outcome finding.</w:t>
      </w:r>
    </w:p>
    <w:p>
      <w:pPr>
        <w:pStyle w:val="SourceNote"/>
      </w:pPr>
      <w:r>
        <w:rPr>
          <w:b/>
        </w:rPr>
        <w:t>Available abstract (not full text):</w:t>
      </w:r>
      <w:r>
        <w:t xml:space="preserve"> This European study explored the cultural and societal aspects of chronic insomnia by means of a survey undertaken in France, Germany, Italy, Spain, and the United Kingdom. The primary objectives were to understand the impact of insomnia on the daily lives of patients, both personally and professionally, and to evaluate the patients’ perceptions and coping strategies thus identifying cultural differences in the management of this disorder. Based on online panels targeting insomnia sufferers, the survey included 755 patients aged 35 to 65 years with moderate to severe insomnia for at least three months, occurring at least three times per week (DSM-5 criteria for insomnia disorder, ISI score 15–28). Topics covered included the impact of insomnia on daily life, strategies for coping and managing insomnia, and patients’ perceptions and views of insomnia. A total of 755 patients completed the questionnaire. Most respondents were women (70%) and between 35 and 49 years of age (50%). About half of the patients (49%) had severe insomnia, with 49% experiencing it for over three years. Nearly 70% did not initially consider their insomnia serious, and 73% believed their condition would improve over time. Stress (39%), difficulty relaxing in the evening (37%), and a rapid flow of thoughts (37%) were identified as the main causes of insomnia. Insomnia was shown to significantly affect daily</w:t>
      </w:r>
    </w:p>
    <w:p>
      <w:pPr/>
      <w:r>
        <w:rPr>
          <w:b/>
        </w:rPr>
        <w:t>POSSIBLE 2024:</w:t>
      </w:r>
      <w:r>
        <w:t xml:space="preserve"> More (of) Democracy: European Citizens’ Views and Evaluations of Democracy — https://doi.org/10.46630/gsoc.32.2024.01</w:t>
      </w:r>
    </w:p>
    <w:p>
      <w:pPr/>
      <w:r>
        <w:rPr>
          <w:b/>
        </w:rPr>
        <w:t>Shared claim-specific concepts:</w:t>
      </w:r>
      <w:r>
        <w:t xml:space="preserve"> view, well, elements; EU scope visible. This is a provisional connection, not an outcome finding.</w:t>
      </w:r>
    </w:p>
    <w:p>
      <w:pPr>
        <w:pStyle w:val="SourceNote"/>
      </w:pPr>
      <w:r>
        <w:rPr>
          <w:b/>
        </w:rPr>
        <w:t>Available abstract (not full text):</w:t>
      </w:r>
      <w:r>
        <w:t xml:space="preserve"> Social and political theory recognizes several conjunctural, as well as long-term factors that shape how citizens conceptualize democracy and what they expect from it. Based on Round 10 of the European Social Survey, we analyse how Europeans view and evaluate democracy, distinguishing liberal (basic) model and several additions, such as social-democratic, participatory and populist models (that we analyse integrated as alternative model of democracy). We explore whether liberal and alternative models of democracy are mutually complementary or exclusionary, and which model prevails, but also to what extent there are discrepancies between the normative elements and evaluated outcomes. The paper examines whether and how the length of historical experience with democracy (operationalized through different waves of democratization) influences the predominant normative of democracy, as well as evaluations of the implemented standards. Finally, in the last section, the aim of the analysis is to draw conclusions on the profile of both proponents of liberal and alternative models of democracy but also of critical citizens, who value democracy as an ideal, while remaining wary in terms of its empirical manifestations.</w:t>
      </w:r>
    </w:p>
    <w:p>
      <w:pPr/>
      <w:r>
        <w:rPr>
          <w:b/>
        </w:rPr>
        <w:t>POSSIBLE 2024:</w:t>
      </w:r>
      <w:r>
        <w:t xml:space="preserve"> Evaluation of the quality and impact of online learning through the SAFE EUROPE webinars — https://doi.org/10.1016/j.radi.2024.03.011</w:t>
      </w:r>
    </w:p>
    <w:p>
      <w:pPr/>
      <w:r>
        <w:rPr>
          <w:b/>
        </w:rPr>
        <w:t>Shared claim-specific concepts:</w:t>
      </w:r>
      <w:r>
        <w:t xml:space="preserve"> evaluation, learning; EU scope visible. This is a provisional connection, not an outcome finding.</w:t>
      </w:r>
    </w:p>
    <w:p>
      <w:pPr>
        <w:pStyle w:val="SourceNote"/>
      </w:pPr>
      <w:r>
        <w:rPr>
          <w:b/>
        </w:rPr>
        <w:t>Available abstract (not full text):</w:t>
      </w:r>
      <w:r>
        <w:t xml:space="preserve"> INTRODUCTION: The SAFE EUROPE project, a European-funded project, addressed educational gaps of Therapeutic Radiographers/Radiation Therapists (TR/RTTs) by offering a series of free webinars. This study aimed to assess the quality of these webinars and their impact on professional practice. METHODS: Data collection involved two methods: an automated feedback form administered after each webinar, supplemented by a survey disseminated through social media. The collected data encompassed attendance statistics, participants' professions and geographic locations, webinar quality assessment, the acquisition of new knowledge and skills, the application of this newfound knowledge in practice, and the likelihood of recommending these webinars. Descriptive statistics and thematic analysis were used to analyse the quantitative and qualitative data, respectively. Ethical approval for the study was obtained. RESULTS: 11,286 individuals from 107 countries participated in 18 webinars. Despite 72.7% being radiographers, a diverse array of professionals attended the webinars, including medical physicists, oncologists, radiologists, and academics. Remarkably, 98.7% of respondents rated the webinar quality as either good or excellent. The average rating for the likelihood of recommending these webinars to colleagues was 8.96/10. A substantial proportion of respondents expressed agreement or stron</w:t>
      </w:r>
    </w:p>
    <w:p>
      <w:pPr/>
      <w:r>
        <w:rPr>
          <w:b/>
        </w:rPr>
        <w:t>POSSIBLE 2023:</w:t>
      </w:r>
      <w:r>
        <w:t xml:space="preserve"> European expert recommendations on clinical investigation and evaluation of high‐risk medical devices for children — https://doi.org/10.1111/apa.16919</w:t>
      </w:r>
    </w:p>
    <w:p>
      <w:pPr/>
      <w:r>
        <w:rPr>
          <w:b/>
        </w:rPr>
        <w:t>Shared claim-specific concepts:</w:t>
      </w:r>
      <w:r>
        <w:t xml:space="preserve"> evaluation, review, evaluating; EU scope visible. This is a provisional connection, not an outcome finding.</w:t>
      </w:r>
    </w:p>
    <w:p>
      <w:pPr>
        <w:pStyle w:val="SourceNote"/>
      </w:pPr>
      <w:r>
        <w:rPr>
          <w:b/>
        </w:rPr>
        <w:t>Available abstract (not full text):</w:t>
      </w:r>
      <w:r>
        <w:t xml:space="preserve"> Several high-risk medical devices for children have become unavailable in the European Union (EU), since requirements and costs for device certification increased markedly due to the EU Medical Device Regulation. The EU-funded CORE-MD project held a workshop in January 2023 with experts from various child health specialties, representatives of European paediatric associations, a regulatory authority and the European Commission Directorate General Health and Food Safety. A virtual follow-up meeting took place in March 2023. We developed recommendations for investigation of high-risk medical devices for children building on participants' expertise and results of a scoping review of clinical trials on high-risk medical devices in children. Approaches for evaluating and certifying high-risk medical devices for market introduction are proposed.</w:t>
      </w:r>
    </w:p>
    <w:p>
      <w:pPr/>
      <w:r>
        <w:rPr>
          <w:b/>
        </w:rPr>
        <w:t>POSSIBLE 2023:</w:t>
      </w:r>
      <w:r>
        <w:t xml:space="preserve"> Three years of COVID-19 and life satisfaction in Europe: A macro view — https://doi.org/10.1073/pnas.2300717120</w:t>
      </w:r>
    </w:p>
    <w:p>
      <w:pPr/>
      <w:r>
        <w:rPr>
          <w:b/>
        </w:rPr>
        <w:t>Shared claim-specific concepts:</w:t>
      </w:r>
      <w:r>
        <w:t xml:space="preserve"> view, about; EU scope visible. This is a provisional connection, not an outcome finding.</w:t>
      </w:r>
    </w:p>
    <w:p>
      <w:pPr>
        <w:pStyle w:val="SourceNote"/>
      </w:pPr>
      <w:r>
        <w:rPr>
          <w:b/>
        </w:rPr>
        <w:t>Available abstract (not full text):</w:t>
      </w:r>
      <w:r>
        <w:t xml:space="preserve"> Every country in Europe experienced an adverse impact from the COVID-19 pandemic on life satisfaction, though on average, satisfaction with life in the summer of 2022 is about the same as the pre-pandemic value in the autumn of 2019. Typically, an upsurge in the severity of the pandemic (measured by the number of COVID-related deaths) is associated with declining life satisfaction and an ebbing, with increasing life satisfaction. Of the three waves of the pandemic between March 2020 and the autumn of 2022, the most severe impact typically occurred in 2021 during the second wave; in the third wave, the response declined due to the spread of effective vaccines and the takeover of omicron variants.</w:t>
      </w:r>
    </w:p>
    <w:p>
      <w:pPr/>
      <w:r>
        <w:rPr>
          <w:b/>
        </w:rPr>
        <w:t>POSSIBLE 2022:</w:t>
      </w:r>
      <w:r>
        <w:t xml:space="preserve"> A critical perspective on the European Commission’s publications ‘Evaluating the impact of nature-based solutions’ — https://doi.org/10.1016/j.nbsj.2022.100027</w:t>
      </w:r>
    </w:p>
    <w:p>
      <w:pPr/>
      <w:r>
        <w:rPr>
          <w:b/>
        </w:rPr>
        <w:t>Shared claim-specific concepts:</w:t>
      </w:r>
      <w:r>
        <w:t xml:space="preserve"> view, evaluation, review, evaluating, relevance, field; EU scope visible. This is a provisional connection, not an outcome finding.</w:t>
      </w:r>
    </w:p>
    <w:p>
      <w:pPr>
        <w:pStyle w:val="SourceNote"/>
      </w:pPr>
      <w:r>
        <w:rPr>
          <w:b/>
        </w:rPr>
        <w:t>Available abstract (not full text):</w:t>
      </w:r>
      <w:r>
        <w:t xml:space="preserve"> The European Commission’s (EC) double publication ‘Evaluating the impact of nature-based solutions’ (NBS) can be considered as a milestone for the adoption and evaluation of these solutions, which reportedly have a significant potential for climate change mitigation or the improvement of social justice. This optimistic view, however, is not equally held by everyone: a widespread scepticism over the NBS concept makes clear that the debate about the potential and convenience of NBS is far from over. Here we review some of this criticism and put this EC double document (handbook + appendix) under deep scrutiny, with the aim of proposing improvements for it and as an opportunity to discuss general aspects of the NBS field. In particular, we base our criticism on four perspectives: climate emergency, economy-driven ideology, ecolinguistics and the presence of logic pitfalls. The general aim of this article is to discuss the relevance of the NBS concepts present in the EC texts in relation to the climate crisis.</w:t>
      </w:r>
    </w:p>
    <w:p>
      <w:pPr/>
      <w:r>
        <w:rPr>
          <w:b/>
        </w:rPr>
        <w:t>POSSIBLE 2022:</w:t>
      </w:r>
      <w:r>
        <w:t xml:space="preserve"> The expected impact of cultivated and plant-based meats on jobs: the views of experts from Brazil, the United States and Europe — https://doi.org/10.1057/s41599-022-01316-z</w:t>
      </w:r>
    </w:p>
    <w:p>
      <w:pPr/>
      <w:r>
        <w:rPr>
          <w:b/>
        </w:rPr>
        <w:t>Shared claim-specific concepts:</w:t>
      </w:r>
      <w:r>
        <w:t xml:space="preserve"> view, expected, about; EU scope visible. This is a provisional connection, not an outcome finding.</w:t>
      </w:r>
    </w:p>
    <w:p>
      <w:pPr>
        <w:pStyle w:val="SourceNote"/>
      </w:pPr>
      <w:r>
        <w:rPr>
          <w:b/>
        </w:rPr>
        <w:t>Available abstract (not full text):</w:t>
      </w:r>
      <w:r>
        <w:t xml:space="preserve"> Abstract Cultivated and plant-based meats are substitutes for conventional animal meat products. As radical innovations, they may trigger profound social and economic changes. Despite the many benefits of alternative meats, such as environmental sustainability, animal welfare, human health and food safety, some unintended consequences remain unexplored in the literature. In this paper, we studied the potential impact of the meat production system transition on jobs. Using a survey, we compared opinions regarding the impact on jobs in Brazil, the United States and Europe, according to alternative protein experts. Our results showed the potential of plant-based and cultivated meat production to create new and higher-skilled jobs. The data analysis also suggested that the impact of novel food production systems on jobs in conventional meat production may be different for each stage of the value chain. In particular, the results showed a pressure point on animal farmers, who may be most affected in a fast transition scenario. Considering the studied geographical contexts, Brazilian professionals were more optimistic about the potential of plant-based and cultivated meat production to create new jobs. Our findings may provide new insights for the development of policies, measures and strategies that promote job creation, skills and income in view of the ongoing transition.</w:t>
      </w:r>
    </w:p>
    <w:p>
      <w:pPr/>
      <w:r>
        <w:rPr>
          <w:b/>
        </w:rPr>
        <w:t>POSSIBLE 2022:</w:t>
      </w:r>
      <w:r>
        <w:t xml:space="preserve"> CoAct D7.4 Final Impact Assessment Report: Evaluation results, overall impact assessment and final reflections on co-evaluation — https://doi.org/10.5281/zenodo.7468545</w:t>
      </w:r>
    </w:p>
    <w:p>
      <w:pPr/>
      <w:r>
        <w:rPr>
          <w:b/>
        </w:rPr>
        <w:t>Shared claim-specific concepts:</w:t>
      </w:r>
      <w:r>
        <w:t xml:space="preserve"> view, evaluation, well, review; EU scope visible. This is a provisional connection, not an outcome finding.</w:t>
      </w:r>
    </w:p>
    <w:p>
      <w:pPr>
        <w:pStyle w:val="SourceNote"/>
      </w:pPr>
      <w:r>
        <w:rPr>
          <w:b/>
        </w:rPr>
        <w:t>Available abstract (not full text):</w:t>
      </w:r>
      <w:r>
        <w:t xml:space="preserve"> The aim of the evaluation and impact assessment activities in the CoAct project has been twofold. On the one hand, a process-oriented view should help to reflect on how the participatory research process is implemented across all relevant stakeholders and what can be learned and adapted from the collected feedback and insights. This formative evaluation led to insights on the Citizen Social Science co-research process as well as drivers and drivers for participation. Concrete findings have been discussed regularly in the project consortium and have been documented in detail in D7.2 (Kieslinger et al. 2021). On the other hand, the impact assessment activities - or summative evaluation - were aimed to bring evidence of the impact that the project’s Citizen Social Science activities have on the involved actors, such as Co-Researcher s, citizen scientists, Knowledge Coalition members, and professional researchers, as well as on their socio-cultural contexts, and the scientific discourse at large, in a collaborative and participatory manner. This document focuses on the latter, the impact achieved during the project and beyond. DISCLAIMER: The present Project Deliverable has been submitted to the European Commission for review. The information and views set out in this report are those of the author(s) and do not necessarily reflect the official opinion of the European Union. Neithe</w:t>
      </w:r>
    </w:p>
    <w:p>
      <w:pPr/>
      <w:r>
        <w:rPr>
          <w:b/>
        </w:rPr>
        <w:t>POSSIBLE 2021:</w:t>
      </w:r>
      <w:r>
        <w:t xml:space="preserve"> Evaluating the systematic risk and its impact on profitability and liquidity; evidence from European countries — https://doi.org/10.1504/ijesb.2021.117342</w:t>
      </w:r>
    </w:p>
    <w:p>
      <w:pPr/>
      <w:r>
        <w:rPr>
          <w:b/>
        </w:rPr>
        <w:t>Shared claim-specific concepts:</w:t>
      </w:r>
      <w:r>
        <w:t xml:space="preserve"> view, evaluation, expected, evaluating; EU scope visible. This is a provisional connection, not an outcome finding.</w:t>
      </w:r>
    </w:p>
    <w:p>
      <w:pPr>
        <w:pStyle w:val="SourceNote"/>
      </w:pPr>
      <w:r>
        <w:rPr>
          <w:b/>
        </w:rPr>
        <w:t>Available abstract (not full text):</w:t>
      </w:r>
      <w:r>
        <w:t xml:space="preserve"> The purpose of this research study is to establish if there is systematic risk and if it has impact on profitability, liquidity of the banks in Europe. This study used various financial performance ratios of 100 banks operating in different European countries to investigate if such relationship exists over a five-year period (2012 to 2016). Before working on systematic risk evaluation, we need to know that in order to shape up the financial structure of any firm the operating performance has importance. It is expected that the outcomes of this research are very important in both perspective of investors and bank managers, as these findings will help them to fully analyse the effects of various strategic choices keeping in view related to risk profile of banks. Some implications of the potential policy which are based on the new capital requirements in view of the risk-leverage relationship have also been discussed in this study.</w:t>
      </w:r>
    </w:p>
    <w:p>
      <w:pPr/>
      <w:r>
        <w:rPr>
          <w:b/>
        </w:rPr>
        <w:t>POSSIBLE 2021:</w:t>
      </w:r>
      <w:r>
        <w:t xml:space="preserve"> Evaluating the systematic risk and its impact on profitability and liquidity; evidence from European countries — https://doi.org/10.1504/ijesb.2021.10040605</w:t>
      </w:r>
    </w:p>
    <w:p>
      <w:pPr/>
      <w:r>
        <w:rPr>
          <w:b/>
        </w:rPr>
        <w:t>Shared claim-specific concepts:</w:t>
      </w:r>
      <w:r>
        <w:t xml:space="preserve"> view, evaluation, expected, evaluating; EU scope visible. This is a provisional connection, not an outcome finding.</w:t>
      </w:r>
    </w:p>
    <w:p>
      <w:pPr>
        <w:pStyle w:val="SourceNote"/>
      </w:pPr>
      <w:r>
        <w:rPr>
          <w:b/>
        </w:rPr>
        <w:t>Available abstract (not full text):</w:t>
      </w:r>
      <w:r>
        <w:t xml:space="preserve"> The purpose of this research study is to establish if there is systematic risk and if it has impact on profitability, liquidity of the banks in Europe. This study used various financial performance ratios of 100 banks operating in different European countries to investigate if such relationship exists over a five-year period (2012 to 2016). Before working on systematic risk evaluation, we need to know that in order to shape up the financial structure of any firm the operating performance has importance. It is expected that the outcomes of this research are very important in both perspective of investors and bank managers, as these findings will help them to fully analyse the effects of various strategic choices keeping in view related to risk profile of banks. Some implications of the potential policy which are based on the new capital requirements in view of the risk-leverage relationship have also been discussed in this study.</w:t>
      </w:r>
    </w:p>
    <w:p>
      <w:pPr>
        <w:pStyle w:val="Heading2"/>
      </w:pPr>
      <w:r>
        <w:t>857. The state of democracy in the European Union in scenarios: federation, empire and Europe à la carte</w:t>
      </w:r>
    </w:p>
    <w:p>
      <w:pPr>
        <w:pStyle w:val="SourceNote"/>
      </w:pPr>
      <w:r>
        <w:rPr>
          <w:b/>
        </w:rPr>
        <w:t>Original source (2016):</w:t>
      </w:r>
      <w:r>
        <w:t xml:space="preserve"> https://doi.org/10.31338/1641-2478pe.4.15.5</w:t>
      </w:r>
    </w:p>
    <w:p>
      <w:pPr/>
      <w:r>
        <w:t>Original wording (abstract; indexed_source_text_not_full_document_verified): The aim of the article is to present possible scenarios on maintaining democracy in the EU, while assuming different hypothetical directions in which it could develop as a federation, empire and Europe à la carte. The abovementioned objective of scenario development is achieved through distinguishing the notions of policy, politics and polity in the research.</w:t>
      </w:r>
    </w:p>
    <w:p>
      <w:pPr/>
      <w:r>
        <w:rPr>
          <w:b/>
        </w:rPr>
        <w:t>POSSIBLE 2026:</w:t>
      </w:r>
      <w:r>
        <w:t xml:space="preserve"> The Communion of Protestant Churches in Europe and European integration — https://doi.org/10.31261/ssht.2025.58.1.05</w:t>
      </w:r>
    </w:p>
    <w:p>
      <w:pPr/>
      <w:r>
        <w:rPr>
          <w:b/>
        </w:rPr>
        <w:t>Shared claim-specific concepts:</w:t>
      </w:r>
      <w:r>
        <w:t xml:space="preserve"> aim, article, present; EU scope visible. This is a provisional connection, not an outcome finding.</w:t>
      </w:r>
    </w:p>
    <w:p>
      <w:pPr>
        <w:pStyle w:val="SourceNote"/>
      </w:pPr>
      <w:r>
        <w:rPr>
          <w:b/>
        </w:rPr>
        <w:t>Available abstract (not full text):</w:t>
      </w:r>
      <w:r>
        <w:t xml:space="preserve"> The Communion of Protestant Churches in Europe (CPCE) is currently a communion of 96 Protestant Churches of various traditions from over 30 European countries, representing over 50 million Christians in Europe and beyond, including South America. In its founding document – the Leuenberg Agreement – it declared the realization of the Church communion, in three areas: continuing theological conversation, ecumenical, witness and service. The aim of this article is to present how the topic of European integration is being reflected on in these three areas of CPCE work. The analysis will be supplemented by a review of the references to European integration in the programmatic documents adopted by the highest governing body of the CPCE – its general assemblies.</w:t>
      </w:r>
    </w:p>
    <w:p>
      <w:pPr/>
      <w:r>
        <w:rPr>
          <w:b/>
        </w:rPr>
        <w:t>POSSIBLE 2026:</w:t>
      </w:r>
      <w:r>
        <w:t xml:space="preserve"> Beyond dualism: the hybridization of technocracy and democracy in Europe — https://doi.org/10.1017/s1755773926100514</w:t>
      </w:r>
    </w:p>
    <w:p>
      <w:pPr/>
      <w:r>
        <w:rPr>
          <w:b/>
        </w:rPr>
        <w:t>Shared claim-specific concepts:</w:t>
      </w:r>
      <w:r>
        <w:t xml:space="preserve"> article, democracy, develop; EU scope visible. This is a provisional connection, not an outcome finding.</w:t>
      </w:r>
    </w:p>
    <w:p>
      <w:pPr>
        <w:pStyle w:val="SourceNote"/>
      </w:pPr>
      <w:r>
        <w:rPr>
          <w:b/>
        </w:rPr>
        <w:t>Available abstract (not full text):</w:t>
      </w:r>
      <w:r>
        <w:t xml:space="preserve"> Abstract This article investigates the structural hybridization of technocracy and democracy in European governance. Moving beyond normative and binary accounts that frame the two as mutually exclusive, we conceptualize their relationship as a systemic, relational, internal, and processual dynamic. Building on this framework, we develop a typology of four ideal-type governance configurations – techno-dominant, demo-dominant, high-intensity hybrid, and low-intensity hybrid – which captures the co-evolution and institutional entanglement of democratic and technocratic logics. Empirically, we construct original composite indices of technocracy and democracy using V-Dem data, and apply them to 893 country-year observations across the EU27 and the United Kingdom (1989–2024). The findings reveal significant regional variation and temporally differentiated trajectories of hybrid governance, shaped in part by major crises. Our typology offers a replicable tool for classifying governance regimes and invites further inquiry into how hybrid forms condition democratic legitimacy, institutional resilience, and the evolving architecture of political authority in the twenty-first century.</w:t>
      </w:r>
    </w:p>
    <w:p>
      <w:pPr/>
      <w:r>
        <w:rPr>
          <w:b/>
        </w:rPr>
        <w:t>POSSIBLE 2026:</w:t>
      </w:r>
      <w:r>
        <w:t xml:space="preserve"> Freedom of Expression and speech threatened in Europe — https://doi.org/10.52224/21845263/rev45a4</w:t>
      </w:r>
    </w:p>
    <w:p>
      <w:pPr/>
      <w:r>
        <w:rPr>
          <w:b/>
        </w:rPr>
        <w:t>Shared claim-specific concepts:</w:t>
      </w:r>
      <w:r>
        <w:t xml:space="preserve"> article, present, democracy; EU scope visible. This is a provisional connection, not an outcome finding.</w:t>
      </w:r>
    </w:p>
    <w:p>
      <w:pPr>
        <w:pStyle w:val="SourceNote"/>
      </w:pPr>
      <w:r>
        <w:rPr>
          <w:b/>
        </w:rPr>
        <w:t>Available abstract (not full text):</w:t>
      </w:r>
      <w:r>
        <w:t xml:space="preserve"> Freedom of expression and speech were one of the most important assets of the Western liberal democracies. Europe was proud to expand these values around the world. However, in recent years, they have been deteriorating. The present text raises the question on why freedom of expression and speech are losing ground. The text aims to study their decline in Europe and also in the UK in the last decade. The text is guided by the assumption that they have been limited by political elites and corporate interests. The article is divided in three sections. The first presents a brief historical debate. The second offers some examples that expose the attacks on freedom of expression and speech in Europe. The third describes the intrinsic relation between freedom of expression and democracy and their mutual interconnection. Finally, some comments are offered to wrap up the discussion.</w:t>
      </w:r>
    </w:p>
    <w:p>
      <w:pPr/>
      <w:r>
        <w:rPr>
          <w:b/>
        </w:rPr>
        <w:t>POSSIBLE 2025:</w:t>
      </w:r>
      <w:r>
        <w:t xml:space="preserve"> Battleground Europe: the rise of anti-woke movements and their threat to democracy — https://doi.org/10.3389/fpos.2025.1568816</w:t>
      </w:r>
    </w:p>
    <w:p>
      <w:pPr/>
      <w:r>
        <w:rPr>
          <w:b/>
        </w:rPr>
        <w:t>Shared claim-specific concepts:</w:t>
      </w:r>
      <w:r>
        <w:t xml:space="preserve"> democracy, politics; EU scope visible. This is a provisional connection, not an outcome finding.</w:t>
      </w:r>
    </w:p>
    <w:p>
      <w:pPr>
        <w:pStyle w:val="SourceNote"/>
      </w:pPr>
      <w:r>
        <w:rPr>
          <w:b/>
        </w:rPr>
        <w:t>Available abstract (not full text):</w:t>
      </w:r>
      <w:r>
        <w:t xml:space="preserve"> In 2003, within Black communities, the term "woke" served as a vital reminder to remain alert to the systemic police brutality targeting Black people in the United States (Allen, 2023). It symbolised the commitment of those dedicated to social justice and remaining vigilant. During the resurgence of the Black Lives Matter (BLM) movement in 2020-sparked by the murder of George Floyd, a Black American man who was fatally asphyxiated in Minneapolis on 25 May 2020 after police officer Derek Chauvin knelt on his neck and back for more than nine minutes-the term regained prominence, reinforcing its original meaning (Madrid Gil, 2023).Since then, the word has spread rapidly, demonstrating how digital activism has globalised the language of social justice while intertwining with Europe's historical and contemporary challenges with racism, colonialism, and identity politics. Its evolution has expanded well beyond its American origins, moulding European political and cultural discourse (Madrid Gil, 2023) even as it has encountered significant resistance. Conservative actors increasingly adopt the so-called "antiwoke" rhetoric to attack issues they deem incompatible with societal norms, often invoking free speech as justification (Steel, 2023). This stance has resulted in efforts to marginalise LGBTQ+ rights, restrict migration, and condemn Islam, with some of these views frequently accom</w:t>
      </w:r>
    </w:p>
    <w:p>
      <w:pPr/>
      <w:r>
        <w:rPr>
          <w:b/>
        </w:rPr>
        <w:t>POSSIBLE 2025:</w:t>
      </w:r>
      <w:r>
        <w:t xml:space="preserve"> Polarization and Democracy in Central Europe — https://doi.org/10.17645/pag.9560</w:t>
      </w:r>
    </w:p>
    <w:p>
      <w:pPr/>
      <w:r>
        <w:rPr>
          <w:b/>
        </w:rPr>
        <w:t>Shared claim-specific concepts:</w:t>
      </w:r>
      <w:r>
        <w:t xml:space="preserve"> article, democracy, distinguishing; EU scope visible. This is a provisional connection, not an outcome finding.</w:t>
      </w:r>
    </w:p>
    <w:p>
      <w:pPr>
        <w:pStyle w:val="SourceNote"/>
      </w:pPr>
      <w:r>
        <w:rPr>
          <w:b/>
        </w:rPr>
        <w:t>Available abstract (not full text):</w:t>
      </w:r>
      <w:r>
        <w:t xml:space="preserve"> This article examines the dual role of polarization in fostering political mobilization for and against democracy in Central and Eastern Europe. Populist movements in this region often drive democratic decline, yet, notable cases, such as electoral victories in Czechia (2021) and Poland (2023), suggest that civil society can counter these trends. Following Schedler (2023), we perceive polarization as a fundamental democratic conflict about democratic norms and values. This study investigated how varying forms of polarization— ideological, affective, intransigent, and partisan sorting—affected the mobilization dynamics for and against democracy. We highlight that polarization affected mobilization for democracy more strongly than mobilization for autocracy—i.e., civil society successfully mobilized against populism. In a critical case study of limited polarized pluralism in the 2023 Czechia presidential election between populist and anti‐populist candidates, affective and partisan sorting polarization were the strongest predictors of populist support, with anger at the political situation boosting votes for the populist candidate. At the same time, pro‐Ukrainian stances drove support for the anti‐populist candidate. Our findings revealed that affective polarization and partisan sorting significantly shaped mobilization outcomes, thereby impacting democratic resilience and decay.</w:t>
      </w:r>
    </w:p>
    <w:p>
      <w:pPr/>
      <w:r>
        <w:rPr>
          <w:b/>
        </w:rPr>
        <w:t>POSSIBLE 2025:</w:t>
      </w:r>
      <w:r>
        <w:t xml:space="preserve"> DEMOCRACY AND PROMOTING A DIALOGUE BETWEEN EUROPE AND AMERICA — https://doi.org/10.21134/czz5t890</w:t>
      </w:r>
    </w:p>
    <w:p>
      <w:pPr/>
      <w:r>
        <w:rPr>
          <w:b/>
        </w:rPr>
        <w:t>Shared claim-specific concepts:</w:t>
      </w:r>
      <w:r>
        <w:t xml:space="preserve"> article, democracy, notions; EU scope visible. This is a provisional connection, not an outcome finding.</w:t>
      </w:r>
    </w:p>
    <w:p>
      <w:pPr>
        <w:pStyle w:val="SourceNote"/>
      </w:pPr>
      <w:r>
        <w:rPr>
          <w:b/>
        </w:rPr>
        <w:t>Available abstract (not full text):</w:t>
      </w:r>
      <w:r>
        <w:t xml:space="preserve"> Although it is difficult to identify a clear concept of Democracy at an international level, and the relationship between Europe and Latin America is complex, promoting Democracy has been a factor that has fostered dialogue between the two regions. It might be interesting to understand if there is a common notion of Democracy. Firstly, the paper will examine the concept of Democracy at the international level from the UN Charter to Resolution 62/7. Secondly, the paper will compare this concept with notions emerging within the Council of Europe and the Organization of American States (OAS). The concept emerging at the international level is reflected in Article 3 of the Additional Protocol to the European Convention on Human Rights (ECHR), which was opened for signature by member states on March 20, 1952, in Paris, and in Article 23 of the American Convention on Human Rights. It was adopted within the framework of the Organization of American States (OAS) in San José, Costa Rica, in 1969, and it entered into force in 1978. Thirdly, the proposal will examine the interpretations offered by the European and Inter-American Courts of Human Rights.</w:t>
      </w:r>
    </w:p>
    <w:p>
      <w:pPr/>
      <w:r>
        <w:rPr>
          <w:b/>
        </w:rPr>
        <w:t>POSSIBLE 2024:</w:t>
      </w:r>
      <w:r>
        <w:t xml:space="preserve"> A Mapping of Textile Waste Recycling Technologies in Europe and Spain — https://doi.org/10.3390/textiles4030022</w:t>
      </w:r>
    </w:p>
    <w:p>
      <w:pPr/>
      <w:r>
        <w:rPr>
          <w:b/>
        </w:rPr>
        <w:t>Shared claim-specific concepts:</w:t>
      </w:r>
      <w:r>
        <w:t xml:space="preserve"> article, different, directions; EU scope visible. This is a provisional connection, not an outcome finding.</w:t>
      </w:r>
    </w:p>
    <w:p>
      <w:pPr>
        <w:pStyle w:val="SourceNote"/>
      </w:pPr>
      <w:r>
        <w:rPr>
          <w:b/>
        </w:rPr>
        <w:t>Available abstract (not full text):</w:t>
      </w:r>
      <w:r>
        <w:t xml:space="preserve"> Textiles are composed of different types of fibers; thus, different processes for end-of-life recovery are currently applied. After collection, a prior sorting process is essential to classify the textiles and assess their quality in order to ensure that the best available technology is selected, with mechanical recycling being the most widespread and mature. Nevertheless, it still has important limitations as it is not suitable for the treatment of all fibers, especially those of non-organic origin and blends. On the other hand, chemical recycling appears to be a necessary technology to valorize the fibers that cannot be reused or mechanically recycled and to avoid landfilling. This article aims to provide an overview of the available technologies in the field of textile waste recycling, including collection, pretreatment, and mechanical and chemical recycling processes. Each technology is described identifying pros and cons, and a techno-economical assessment is presented including technology readiness levels (TRLs), investments, and costs. European and Spanish regulations and policies on textile waste are analyzed to identify the trends and directions the sector is moving towards.</w:t>
      </w:r>
    </w:p>
    <w:p>
      <w:pPr/>
      <w:r>
        <w:rPr>
          <w:b/>
        </w:rPr>
        <w:t>POSSIBLE 2024:</w:t>
      </w:r>
      <w:r>
        <w:t xml:space="preserve"> Democracy and Media in Europe — https://doi.org/10.4324/9781003485438</w:t>
      </w:r>
    </w:p>
    <w:p>
      <w:pPr/>
      <w:r>
        <w:rPr>
          <w:b/>
        </w:rPr>
        <w:t>Shared claim-specific concepts:</w:t>
      </w:r>
      <w:r>
        <w:t xml:space="preserve"> democracy, different, politics; EU scope visible. This is a provisional connection, not an outcome finding.</w:t>
      </w:r>
    </w:p>
    <w:p>
      <w:pPr>
        <w:pStyle w:val="SourceNote"/>
      </w:pPr>
      <w:r>
        <w:rPr>
          <w:b/>
        </w:rPr>
        <w:t>Available abstract (not full text):</w:t>
      </w:r>
      <w:r>
        <w:t xml:space="preserve"> Democracy and Media in Europe: A Discursive-Material Approach is a theoretical reflection on the intersection of democracy and media through a constructionist lens. This focus allows us to understand current political struggles over democracy, and over media’s democratic roles, with the latter ranging from the traditional support for an informed citizenry and the watchdog role, to the organization of agonistic debate and generating fair and dignified representations of society and its many (sub)groups, to the facilitation of maximalist participation in institutionalized politics and media. Moreover, the book’s reconciliation of democratic theory and media theory brings out a detailed theoretical analysis of the core characteristics of the assemblages of democracy and media, their conditions of possibility and the threats to both democracy and media’s democratic roles. This short book provides in-depth reflections on the different positions that can be taken when it comes to the performance of democracy as it intersects with the multitude of media in the 21st century. As such, the volume will be of interest to scholars of media and communication and related fields in the social sciences. The Open Access version of this book, available at https://www.taylorfrancis.com, has been made available under a Creative Commons Attribution-Non Commercial-No Derivatives (CC-BY-NC-ND) 4.0 lic</w:t>
      </w:r>
    </w:p>
    <w:p>
      <w:pPr/>
      <w:r>
        <w:rPr>
          <w:b/>
        </w:rPr>
        <w:t>POSSIBLE 2024:</w:t>
      </w:r>
      <w:r>
        <w:t xml:space="preserve"> Democracy and Media in Europe — https://openalex.org/W7137605746</w:t>
      </w:r>
    </w:p>
    <w:p>
      <w:pPr/>
      <w:r>
        <w:rPr>
          <w:b/>
        </w:rPr>
        <w:t>Shared claim-specific concepts:</w:t>
      </w:r>
      <w:r>
        <w:t xml:space="preserve"> democracy, different, politics; EU scope visible. This is a provisional connection, not an outcome finding.</w:t>
      </w:r>
    </w:p>
    <w:p>
      <w:pPr>
        <w:pStyle w:val="SourceNote"/>
      </w:pPr>
      <w:r>
        <w:rPr>
          <w:b/>
        </w:rPr>
        <w:t>Available abstract (not full text):</w:t>
      </w:r>
      <w:r>
        <w:t xml:space="preserve"> Democracy and Media in Europe: A Discursive-Material Approach is a theoretical reflection on the intersection of democracy and media through a constructionist lens. This focus allows us to understand current political struggles over democracy, and over media’s democratic roles, with the latter ranging from the traditional support for an informed citizenry and the watchdog role, to the organization of agonistic debate and generating fair and dignified representations of society and its many (sub)groups, to the facilitation of maximalist participation in institutionalized politics and media. Moreover, the book’s reconciliation of democratic theory and media theory brings out a detailed theoretical analysis of the core characteristics of the assemblages of democracy and media, their conditions of possibility and the threats to both democracy and media’s democratic roles. This short book provides in-depth reflections on the different positions that can be taken when it comes to the performance of democracy as it intersects with the multitude of media in the 21st century. As such, the volume will be of interest to scholars of media and communication and related fields in the social sciences. The Open Access version of this book, available at http://www.taylorfrancis.com, has been made available under a Creative Commons Attribution-Non Commercial-No Derivatives (CC-BY-NC-ND) 4.0 lice</w:t>
      </w:r>
    </w:p>
    <w:p>
      <w:pPr/>
      <w:r>
        <w:rPr>
          <w:b/>
        </w:rPr>
        <w:t>POSSIBLE 2024:</w:t>
      </w:r>
      <w:r>
        <w:t xml:space="preserve"> LITERATURE REVIEW AND ANALYSIS OF RESEARCH CONDUCTED IN EUROPE ON HEALTH LITERACY — https://doi.org/10.34739/zn.2023.61.13</w:t>
      </w:r>
    </w:p>
    <w:p>
      <w:pPr/>
      <w:r>
        <w:rPr>
          <w:b/>
        </w:rPr>
        <w:t>Shared claim-specific concepts:</w:t>
      </w:r>
      <w:r>
        <w:t xml:space="preserve"> aim, article, present; EU scope visible. This is a provisional connection, not an outcome finding.</w:t>
      </w:r>
    </w:p>
    <w:p>
      <w:pPr>
        <w:pStyle w:val="SourceNote"/>
      </w:pPr>
      <w:r>
        <w:rPr>
          <w:b/>
        </w:rPr>
        <w:t>Available abstract (not full text):</w:t>
      </w:r>
      <w:r>
        <w:t xml:space="preserve"> According to World Health Organization, Health Literacy encompasses the cognitive and social skills that determine the motivation and ability of individuals to access, understand and use information in a way that promotes and maintains good health. The aim of this article is to present the concept of “health literacy”, its determinants and consequences, as well as to review research conducted in Europe using the European Health Literacy Survey Questionnaire – HLS-EU-Q16 indicator. For this purpose, a literature review was conducted, to incorporate analysis and criticism. The article determines the scope of research on health literacy in Europe using the European Health Literacy Survey Questionnaire – HLS-EU-Q16, based on literature analysis. The greater people’s health literacy, the better their understanding of prevention and treatment. Low health awareness means financial losses, both personal and global. High Health Literacy enables good prevention, which is the best and cheapest method in every health system.</w:t>
      </w:r>
    </w:p>
    <w:p>
      <w:pPr/>
      <w:r>
        <w:rPr>
          <w:b/>
        </w:rPr>
        <w:t>POSSIBLE 2023:</w:t>
      </w:r>
      <w:r>
        <w:t xml:space="preserve"> THE PROBLEM OF THE “DEFICIT OF DEMOCRACY” AS A THREAT TO THE VALUES OF THE EUROPEAN UNION — https://doi.org/10.32782/2524-0374/2023-4/158</w:t>
      </w:r>
    </w:p>
    <w:p>
      <w:pPr/>
      <w:r>
        <w:rPr>
          <w:b/>
        </w:rPr>
        <w:t>Shared claim-specific concepts:</w:t>
      </w:r>
      <w:r>
        <w:t xml:space="preserve"> article, democracy; EU scope visible. This is a provisional connection, not an outcome finding.</w:t>
      </w:r>
    </w:p>
    <w:p>
      <w:pPr>
        <w:pStyle w:val="SourceNote"/>
      </w:pPr>
      <w:r>
        <w:rPr>
          <w:b/>
        </w:rPr>
        <w:t>Available abstract (not full text):</w:t>
      </w:r>
      <w:r>
        <w:t xml:space="preserve"> Асірян С.Р., к.ю.н., асистент кафедри права Європейського Союзу Національний юридичний університет імені Ярослава Мудрого Бухова Д.М., студентка ІІІ курсу факультету прокуратури Національний юридичний університет імені Ярослава Мудрого Кречик А.С., студент ІІІ курсу факультету прокуратури Національний юридичний університет імені Ярослава Мудрого Статтю присвячено аналізу проблеми "дефіциту демократії" в Європейському Союзі.Розглянуто основні положення Договору про ЄС щодо демократичних принципів, зокрема дотримання принципу рівності громадян, принцип представницької демократії, вимоги до демократичності діяльності установ Союзу.Проаналізовано історію виникнення терміну "дефіцит демократії" та підходи до його визначення.Виділено основні причини існування даної проблеми в Європейському Союзі, такі як: нерівномірний розподіл влади, складні процеси прийняття рішень, менші повноваження Парламенту ЄС у сфері законотворчості порівняно з Європейською Комісією, брак прозорості, зростання абсентеїзму, технократичне управління та інші.Приділено увагу Лісабонському договору, що набрав чинності у 2009 році, положення якого внесли зміни в інституційні механізми з метою мінімізації проблеми демократичного дефіциту в Європейському Союзі: збільшення повноважень Європейського Парламенту, посилення ролі національних парламентів, підвищення прозорості процесів прийняття рішень та формування механі</w:t>
      </w:r>
    </w:p>
    <w:p>
      <w:pPr/>
      <w:r>
        <w:rPr>
          <w:b/>
        </w:rPr>
        <w:t>POSSIBLE 2023:</w:t>
      </w:r>
      <w:r>
        <w:t xml:space="preserve"> RETRACTED ARTICLE: Sustainable development economy and the development of green economy in the European Union — https://doi.org/10.1186/s13705-023-00410-7</w:t>
      </w:r>
    </w:p>
    <w:p>
      <w:pPr/>
      <w:r>
        <w:rPr>
          <w:b/>
        </w:rPr>
        <w:t>Shared claim-specific concepts:</w:t>
      </w:r>
      <w:r>
        <w:t xml:space="preserve"> article, present; EU scope visible. This is a provisional connection, not an outcome finding.</w:t>
      </w:r>
    </w:p>
    <w:p>
      <w:pPr>
        <w:pStyle w:val="SourceNote"/>
      </w:pPr>
      <w:r>
        <w:rPr>
          <w:b/>
        </w:rPr>
        <w:t>Available abstract (not full text):</w:t>
      </w:r>
      <w:r>
        <w:t xml:space="preserve"> Abstract Background This study aims to explain the policies implemented by the European Union in transitioning to a green economy. It examines the period from the adoption of sustainable development within the Union to the present, focusing on the EU's strategies for sustainable development and the green economy. Main text The study reveals that the European Union has long recognized environmental problems and the impacts of climate change, starting from the 1990s. In response to the global crisis in 2008, the EU embraced the opportunity to build a dynamic, low-carbon, resource-efficient, knowledge-based, and socially inclusive society. Green investments were included in the EU's rescue plan, initiating the green transformation. The study explains the concepts of sustainable development, the green economy, and green growth. It discusses how the European Union implemented its green transformation, particularly through the examination of the European Green Deal. Furthermore, it explores the developments related to climate change and the green economy within the framework of the European 2020 strategy. Conclusions The findings highlight the European Union's commitment to addressing environmental challenges and transitioning to a green economy. Future research should focus on assessing the effectiveness of implemented policies and strategies in achieving sustainable development goa</w:t>
      </w:r>
    </w:p>
    <w:p>
      <w:pPr>
        <w:pStyle w:val="Heading2"/>
      </w:pPr>
      <w:r>
        <w:t>858. Towards an assessment of adaptive capacity of the European agricultural sector to droughts</w:t>
      </w:r>
    </w:p>
    <w:p>
      <w:pPr>
        <w:pStyle w:val="SourceNote"/>
      </w:pPr>
      <w:r>
        <w:rPr>
          <w:b/>
        </w:rPr>
        <w:t>Original source (2016):</w:t>
      </w:r>
      <w:r>
        <w:t xml:space="preserve"> https://doi.org/10.1016/j.cliser.2016.10.003</w:t>
      </w:r>
    </w:p>
    <w:p>
      <w:pPr/>
      <w:r>
        <w:t>Original wording (abstract; indexed_source_text_not_full_document_verified): We create a set of indicators which highlight areas of high or low AC, forecast to estimated times the world will reach 2° of warming using Shared Socioeconomic Pathway (SSP) and Representative Concentration Pathway (RCP) scenarios to drive AC indicator projections based on a fixed effects model.</w:t>
      </w:r>
    </w:p>
    <w:p>
      <w:pPr/>
      <w:r>
        <w:rPr>
          <w:b/>
        </w:rPr>
        <w:t>POSSIBLE 2025:</w:t>
      </w:r>
      <w:r>
        <w:t xml:space="preserve"> Creating a data processing warehouse to support performance monitoring of cancer screening programmes in Europe using a common set of indicators — https://doi.org/10.1093/eurpub/ckaf119</w:t>
      </w:r>
    </w:p>
    <w:p>
      <w:pPr/>
      <w:r>
        <w:rPr>
          <w:b/>
        </w:rPr>
        <w:t>Shared claim-specific concepts:</w:t>
      </w:r>
      <w:r>
        <w:t xml:space="preserve"> create, set, indicators, based; EU scope visible. This is a provisional connection, not an outcome finding.</w:t>
      </w:r>
    </w:p>
    <w:p>
      <w:pPr>
        <w:pStyle w:val="SourceNote"/>
      </w:pPr>
      <w:r>
        <w:rPr>
          <w:b/>
        </w:rPr>
        <w:t>Available abstract (not full text):</w:t>
      </w:r>
      <w:r>
        <w:t xml:space="preserve"> The CanScreen-ECIS project implemented by International Agency for Research on Cancer aimed to define indicators to monitor, breast, cervical, colorectal, and lung cancer screening and create a validated mechanism for the European screening programmes to be able to systematically collect and submit performance data for public dissemination through European Cancer Information System (ECIS). Indicators were developed through a stepwise process of literature review, Delphi survey followed by face-to-face interaction. A survey questionnaire to report policies, protocols, and organization of screening programmes and a data collection tool to estimate indicators across the screening continuum were designed. These were integrated into a data warehouse to permit programme managers to access the tools, undergo training, submit data, and estimate the indicators. The same warehouse would allow peer-reviewing of submitted information and data and will ultimately be connected to ECIS for data visualization. Functionalities of the tools and the warehouse were pilot tested through data collection from several European countries. Total 23 indicators were selected based on priority and feasibility. Programme managers from 23 European countries completed the surveys and submitted data from national/regional screening programmes. Data to estimate the indicators were obtained from 17, 13, and 15 b</w:t>
      </w:r>
    </w:p>
    <w:p>
      <w:pPr/>
      <w:r>
        <w:rPr>
          <w:b/>
        </w:rPr>
        <w:t>POSSIBLE 2025:</w:t>
      </w:r>
      <w:r>
        <w:t xml:space="preserve"> High resolution maps of European agricultural indicators — https://doi.org/10.5194/egusphere-egu25-16510</w:t>
      </w:r>
    </w:p>
    <w:p>
      <w:pPr/>
      <w:r>
        <w:rPr>
          <w:b/>
        </w:rPr>
        <w:t>Shared claim-specific concepts:</w:t>
      </w:r>
      <w:r>
        <w:t xml:space="preserve"> create, indicators, highlight, areas, high, estimated; EU scope visible. This is a provisional connection, not an outcome finding.</w:t>
      </w:r>
    </w:p>
    <w:p>
      <w:pPr>
        <w:pStyle w:val="SourceNote"/>
      </w:pPr>
      <w:r>
        <w:rPr>
          <w:b/>
        </w:rPr>
        <w:t>Available abstract (not full text):</w:t>
      </w:r>
      <w:r>
        <w:t xml:space="preserve"> The last European agricultural census, organized by Eurostat, took place in 2020, collecting more than 300 variables on agriculture and farm structure from 9.03 million farmers in the EU (and EFTA countries Iceland, Switzerland and Norway). Data are aggregated to NUTS 2, NUTS 1 or national levels before they are publicly released on the Eurostat website due to confidentiality regulations that do not allow individual data to be disclosed.With a newly developed methodology, it is now possible to create multi-resolution grids of these variables, where the size of the grid cells depend on the spatial density of the data. All grid cells respect a series of confidentiality rules, such as a minimum number of farms per grid cell (at least 10) a dominance rule (the largest contributes cannot have more than 85% of the total production in a grid cell) and a quality rule (estimates must have an estimated coefficient of variation less than 35%).We will here present a range of thematic maps based on the 2020 European agricultural census to highlight regional and country differences, giving a new insight in the geographical patterns of agriculture in Europe, some expected, some more unexpected. All of them correspond to contextual indicators for the Common Agricultural Policy (CAP) and are divided into three broad categories: structural components (i.e., agricultural holdings, land use, lives</w:t>
      </w:r>
    </w:p>
    <w:p>
      <w:pPr/>
      <w:r>
        <w:rPr>
          <w:b/>
        </w:rPr>
        <w:t>POSSIBLE 2025:</w:t>
      </w:r>
      <w:r>
        <w:t xml:space="preserve"> EMULATION OF A NUMERICAL URBAN MODEL TO CREATE HIGH-RESOLUTION NEAR SURFACE AIR TEMPERATURE OVER EUROPEAN CITIES — https://doi.org/10.22541/essoar.173671231.11835703/v1</w:t>
      </w:r>
    </w:p>
    <w:p>
      <w:pPr/>
      <w:r>
        <w:rPr>
          <w:b/>
        </w:rPr>
        <w:t>Shared claim-specific concepts:</w:t>
      </w:r>
      <w:r>
        <w:t xml:space="preserve"> create, set, areas; EU scope visible. This is a provisional connection, not an outcome finding.</w:t>
      </w:r>
    </w:p>
    <w:p>
      <w:pPr>
        <w:pStyle w:val="SourceNote"/>
      </w:pPr>
      <w:r>
        <w:rPr>
          <w:b/>
        </w:rPr>
        <w:t>Available abstract (not full text):</w:t>
      </w:r>
      <w:r>
        <w:t xml:space="preserve"> Sub-kilometer climate data over a limited amount of cities are currently available or being produced by numerical models. Using numerical models to resolve processes at such a fine resolution is computationally very expensive, which complicates the generation of high-resolution data for long periods and large areas. Statistical models, including machine learning techniques, built on data-driven relationships are a cost-effective alternative. Current statistical models for urban climate simulations are typically tuned for a single city or limited region, resulting in poor performance for cities with different characteristics. Therefore, we explored the potential to simulate near surface temperature over European cities with the newly developed machine learning model European Random Forest Urban Climate Emulator (Eu-RaFUCE). As visualized in the figure below, the Eu-RaFUCE model uses both spatial and temporal variables as input and was trained on hectometer 2 m-temperature output of the urban climate model UrbClim, which is developed and maintained by the Flemish Institute for Technological Research (VITO) \cite{Lauwaet_2024} . Next, hourly ERA5 reanalysis data with a horizontal resolution of about 30 km by 30 km was directly downscaled to 100 m by 100 m with Eu-RaFUCE for unseen cities and unseen years during the training. Validation shows that downscaled 2 m-temperatures with E</w:t>
      </w:r>
    </w:p>
    <w:p>
      <w:pPr/>
      <w:r>
        <w:rPr>
          <w:b/>
        </w:rPr>
        <w:t>POSSIBLE 2025:</w:t>
      </w:r>
      <w:r>
        <w:t xml:space="preserve"> Evaluating sustainability in Europe with composite indicators — https://doi.org/10.1007/s43621-025-02129-1</w:t>
      </w:r>
    </w:p>
    <w:p>
      <w:pPr/>
      <w:r>
        <w:rPr>
          <w:b/>
        </w:rPr>
        <w:t>Shared claim-specific concepts:</w:t>
      </w:r>
      <w:r>
        <w:t xml:space="preserve"> indicators, high, based; EU scope visible. This is a provisional connection, not an outcome finding.</w:t>
      </w:r>
    </w:p>
    <w:p>
      <w:pPr>
        <w:pStyle w:val="SourceNote"/>
      </w:pPr>
      <w:r>
        <w:rPr>
          <w:b/>
        </w:rPr>
        <w:t>Available abstract (not full text):</w:t>
      </w:r>
      <w:r>
        <w:t xml:space="preserve"> Abstract Sustainability is a fundamental global challenge that requires an integrated approach capable of balancing economic, environmental, and social dimensions. In recent years, a wide range of indicators has been proposed in the literature to evaluate progress toward the Sustainable Development Goals (SDGs). To effectively monitor and manage this progress, the application of robust and reliable analytical models is essential. This study employs two established methods—min–max normalization and the Technique for Order of Preference by Similarity to Ideal Solution (TOPSIS)—to assess the performance of European countries based on 76 SDG indicators provided by Eurostat for the year 2022. The analysis shows strong consistency between the two methodologies when all indicators are assigned equal weight. Sweden ranks first in both assessments, followed by Denmark and the Netherlands, with Ireland and Belgium also achieving high scores. In contrast, Greece, Cyprus, and Bulgaria consistently rank at the bottom according to both methods. The study also disaggregates the results by dimension, highlighting Germany’s leading performance in the environmental category, Sweden’s dominance in the social dimension, and its strong performance across all three. Denmark also excels in the social dimension, while the Netherlands stands out in the economic category. Three key recommendations emerg</w:t>
      </w:r>
    </w:p>
    <w:p>
      <w:pPr/>
      <w:r>
        <w:rPr>
          <w:b/>
        </w:rPr>
        <w:t>POSSIBLE 2024:</w:t>
      </w:r>
      <w:r>
        <w:t xml:space="preserve"> Towards a sustainable set of European Core Health Indicators (ECHI) — https://doi.org/10.25646/12918</w:t>
      </w:r>
    </w:p>
    <w:p>
      <w:pPr/>
      <w:r>
        <w:rPr>
          <w:b/>
        </w:rPr>
        <w:t>Shared claim-specific concepts:</w:t>
      </w:r>
      <w:r>
        <w:t xml:space="preserve"> set, indicators, indicator, based; EU scope visible. This is a provisional connection, not an outcome finding.</w:t>
      </w:r>
    </w:p>
    <w:p>
      <w:pPr>
        <w:pStyle w:val="SourceNote"/>
      </w:pPr>
      <w:r>
        <w:rPr>
          <w:b/>
        </w:rPr>
        <w:t>Available abstract (not full text):</w:t>
      </w:r>
      <w:r>
        <w:t xml:space="preserve"> Background: The European Core Health Indicators (ECHI) are a set of 88 indicators that provide a compact overview of the extensive field of European public health and healthcare. The ECHI set adds value to European Union health information systems (HIS) for both Member States and EU-associated countries and the European Commission by providing a solid, comparable information base on national public health and healthcare trends and developments. The indicators allow for learning by comparison and the list supports the organisation of national health information systems. As the ECHI set was defined more than ten years ago, it is time to review its current needs and readiness for the future. Methods: In this article, we reflect on the sustainability of the ECHI set and explore directions for improving future use, based on the activities in the Joint Action on Health Information (2018 - 2021). There, we looked into ECHI governance and reviewed the set's metadata, content and link with other indicator sets in the wider European health information landscape. Conclusions: We conclude that in order to remain relevant and keep up with technical and policy developments, the ECHI set needs maintenance and updates. This cannot be achieved in a non-systematic project-based manner; it requires sustainable funding, governance and formalised activities in a permanent structure. We call on the </w:t>
      </w:r>
    </w:p>
    <w:p>
      <w:pPr/>
      <w:r>
        <w:rPr>
          <w:b/>
        </w:rPr>
        <w:t>POSSIBLE 2024:</w:t>
      </w:r>
      <w:r>
        <w:t xml:space="preserve"> Building a Set of Indicators to Assess Migrant Children's Integration in Europe: A Co-Creation Approach — https://doi.org/10.1007/s12187-024-10165-y</w:t>
      </w:r>
    </w:p>
    <w:p>
      <w:pPr/>
      <w:r>
        <w:rPr>
          <w:b/>
        </w:rPr>
        <w:t>Shared claim-specific concepts:</w:t>
      </w:r>
      <w:r>
        <w:t xml:space="preserve"> set, indicators, indicator; EU scope visible. This is a provisional connection, not an outcome finding.</w:t>
      </w:r>
    </w:p>
    <w:p>
      <w:pPr>
        <w:pStyle w:val="SourceNote"/>
      </w:pPr>
      <w:r>
        <w:rPr>
          <w:b/>
        </w:rPr>
        <w:t>Available abstract (not full text):</w:t>
      </w:r>
      <w:r>
        <w:t xml:space="preserve"> Abstract The integration of refugee and migrant children, one of Europe’s most vulnerable populations, is a crucial challenge for EU societies and their present and future social cohesion. Despite extensive knowledge on migrant integration, we still lack specific instruments to measure children's integration and set goal-oriented targets to promote it. Our research responds to this need by presenting and discussing a new child-centered system of indicators with a twofold purpose: (1) to assess and monitor the integration of refugee and migrant children across European countries and (2) to guide policymakers and relevant stakeholders. The indicator system's holistic and transversal nature marks an improvement over previous measurement attempts by considering different dimensions of integration; subjective and objective perspectives, as well as contextual factors; and indicators relevant for and comparable across different European countries. The research uses a co-creative methodology that ensures both scientific rigor and relevance for stakeholders and policymakers. A child-centered perspective, active participation of children throughout the research process, and an iterative co-creation design contribute to the system's added value. First-hand experiences, ongoing dialogues, and an ecological approach involving stakeholders at micro, meso, and macro levels (children, families</w:t>
      </w:r>
    </w:p>
    <w:p>
      <w:pPr/>
      <w:r>
        <w:rPr>
          <w:b/>
        </w:rPr>
        <w:t>POSSIBLE 2023:</w:t>
      </w:r>
      <w:r>
        <w:t xml:space="preserve"> Spatial indicators of digital economy in Russia and Еurope — https://doi.org/10.35595/2414-9179-2023-1-29-5-19</w:t>
      </w:r>
    </w:p>
    <w:p>
      <w:pPr/>
      <w:r>
        <w:rPr>
          <w:b/>
        </w:rPr>
        <w:t>Shared claim-specific concepts:</w:t>
      </w:r>
      <w:r>
        <w:t xml:space="preserve"> set, indicators, socioeconomic, concentration, based; EU scope visible. This is a provisional connection, not an outcome finding.</w:t>
      </w:r>
    </w:p>
    <w:p>
      <w:pPr>
        <w:pStyle w:val="SourceNote"/>
      </w:pPr>
      <w:r>
        <w:rPr>
          <w:b/>
        </w:rPr>
        <w:t>Available abstract (not full text):</w:t>
      </w:r>
      <w:r>
        <w:t xml:space="preserve"> Despite its significant socioeconomic impact, quantitative evaluation of the digital economy faces several obstacles. Spatial aspects of the digital economy and the relationship between digitization and well-being require further study for a full understanding of the socioeconomic impact on regional and local development. In light of this, the authors of the study aim to select socioeconomic indicators for assessing the development of the digital economy in regions of Russia and European countries, using an overlapping set of initial indicators. The study identified criteria for selecting indicators that characterize the geographic distribution of digital economic activity. Selected indicators include concentration of digital business and startups in specific regions, availability of high-speed internet and mobile networks, level of e-commerce activity, population computer skills, and business digitalization. The study also identified issues with the lack of some important indicators for assessing the digital economy at the regional level in Russia. Based on the collected database, a series of maps were created to assess the spatial development of the digital economy in Russia and Europe. Results show significant differences in the development of the digital economy in Russia and Europe, as well as some limitations in the evaluation methodology, such as data availability and di</w:t>
      </w:r>
    </w:p>
    <w:p>
      <w:pPr/>
      <w:r>
        <w:rPr>
          <w:b/>
        </w:rPr>
        <w:t>POSSIBLE 2023:</w:t>
      </w:r>
      <w:r>
        <w:t xml:space="preserve"> THE MODELING OF STARTUP ECOSYSTEMS IN CENTRAL AND EASTERN EUROPE BASED ON SOCIO-ECONOMIC INDICATORS — https://doi.org/10.32342/2074-5354-2023-2-59-21</w:t>
      </w:r>
    </w:p>
    <w:p>
      <w:pPr/>
      <w:r>
        <w:rPr>
          <w:b/>
        </w:rPr>
        <w:t>Shared claim-specific concepts:</w:t>
      </w:r>
      <w:r>
        <w:t xml:space="preserve"> create, set, indicators, low, world, based; EU scope visible. This is a provisional connection, not an outcome finding.</w:t>
      </w:r>
    </w:p>
    <w:p>
      <w:pPr>
        <w:pStyle w:val="SourceNote"/>
      </w:pPr>
      <w:r>
        <w:rPr>
          <w:b/>
        </w:rPr>
        <w:t>Available abstract (not full text):</w:t>
      </w:r>
      <w:r>
        <w:t xml:space="preserve"> The article is devoted to solving the problem of the development of startup ecosystems in the countries of Central and Eastern Europe (including Ukrainian entrepreneurship since Ukraine gained independence) by reorienting their economy to a market economy and conducting it based on sustainable development, ethics, and social responsibility. It has been found that in the countries a large number of mechanisms and procedures are not fully adapted to the implementation of entrepreneurial activity based on systematicity, complexity, and interaction; only point elements are present, and the effectiveness of their interaction in the process of entrepreneurial activity is quite low. At the same time, the rapid development of startup ecosystems is observed. The definition of this concept in the article is considered from the point of view of scientists as “a combination of localized cultural views, social networks, investment capital, universities, and active economic policies that create an environment that supports innovative business” and Startup Genome. This allows for the interpreting of a startup ecosystem as “a set of resources (policies, accelerators, incubators, co-working spaces, educational institutions, and funding groups) that are mostly located within a radius of 100 kilometers around a central point in a given region, with a few exceptions based on local realities”. It h</w:t>
      </w:r>
    </w:p>
    <w:p>
      <w:pPr/>
      <w:r>
        <w:rPr>
          <w:b/>
        </w:rPr>
        <w:t>POSSIBLE 2022:</w:t>
      </w:r>
      <w:r>
        <w:t xml:space="preserve"> Ellenberg‐type indicator values for European vascular plant species — https://doi.org/10.1111/jvs.13168</w:t>
      </w:r>
    </w:p>
    <w:p>
      <w:pPr/>
      <w:r>
        <w:rPr>
          <w:b/>
        </w:rPr>
        <w:t>Shared claim-specific concepts:</w:t>
      </w:r>
      <w:r>
        <w:t xml:space="preserve"> create, set, indicator, based; EU scope visible. This is a provisional connection, not an outcome finding.</w:t>
      </w:r>
    </w:p>
    <w:p>
      <w:pPr>
        <w:pStyle w:val="SourceNote"/>
      </w:pPr>
      <w:r>
        <w:rPr>
          <w:b/>
        </w:rPr>
        <w:t>Available abstract (not full text):</w:t>
      </w:r>
      <w:r>
        <w:t xml:space="preserve"> Abstract Aims Ellenberg‐type indicator values are expert‐based rankings of plant species according to their ecological optima on main environmental gradients. Here we extend the indicator‐value system proposed by Heinz Ellenberg and co‐authors for Central Europe by incorporating other systems of Ellenberg‐type indicator values (i.e., those using scales compatible with Ellenberg values) developed for other European regions. Our aim is to create a harmonized data set of Ellenberg‐type indicator values applicable at the European scale. Methods We collected European data sets of indicator values for vascular plants and selected 13 data sets that used the nine‐, ten‐ or twelve‐degree scales defined by Ellenberg for light, temperature, moisture, reaction, nutrients and salinity. We compared these values with the original Ellenberg values and used those that showed consistent trends in regression slope and coefficient of determination. We calculated the average value for each combination of species and indicator values from these data sets. Based on species’ co‐occurrences in European vegetation plots, we also calculated new values for species that were not assigned an indicator value. Results We provide a new data set of Ellenberg‐type indicator values for 8908 European vascular plant species (8168 for light, 7400 for temperature, 8030 for moisture, 7282 for reaction, 7193 for nutrie</w:t>
      </w:r>
    </w:p>
    <w:p>
      <w:pPr/>
      <w:r>
        <w:rPr>
          <w:b/>
        </w:rPr>
        <w:t>POSSIBLE 2022:</w:t>
      </w:r>
      <w:r>
        <w:t xml:space="preserve"> The indicator-based measurement of the circular economy in the countries of the European Union — https://doi.org/10.17649/tet.36.2.3374</w:t>
      </w:r>
    </w:p>
    <w:p>
      <w:pPr/>
      <w:r>
        <w:rPr>
          <w:b/>
        </w:rPr>
        <w:t>Shared claim-specific concepts:</w:t>
      </w:r>
      <w:r>
        <w:t xml:space="preserve"> create, set, indicators, areas, high, based; EU scope visible. This is a provisional connection, not an outcome finding.</w:t>
      </w:r>
    </w:p>
    <w:p>
      <w:pPr>
        <w:pStyle w:val="SourceNote"/>
      </w:pPr>
      <w:r>
        <w:rPr>
          <w:b/>
        </w:rPr>
        <w:t>Available abstract (not full text):</w:t>
      </w:r>
      <w:r>
        <w:t xml:space="preserve"> The circular economy is an integral part of sustainable development as a new economic model, which is the opposite of the linear economy that is still in force today. In terms of its basics, we can speak of a sustainable economic system in which economic growth is completely decoupled from the use of resources, in order to reduce the use of natural resources and recycle them. In the study, the authors present the possibility of measuring the circular economy and establish a ranking for the 28 Member States of the European Union based on the created composite indicators measuring the circular economy. The values of the created CCEI index were compared with rankings produced by other researchers in similar and different ways. The goodness of the presented methodology is examined by comparing previous similar research results. The primary objective of the study is to create composite indicators and to analyse their comparability. Further aim is to characterise the leading and the tail-ender countries from which conclusions can be drawn regarding ranking and thus make them comparable. The research objective is achieved by using secondary data based on different Eurostat databases related to a sub-sector of the circular economy for the year 2018. The indicators of the circular economy were grouped according to four areas: production and consumption, waste management secondary raw ma</w:t>
      </w:r>
    </w:p>
    <w:p>
      <w:pPr/>
      <w:r>
        <w:rPr>
          <w:b/>
        </w:rPr>
        <w:t>POSSIBLE 2022:</w:t>
      </w:r>
      <w:r>
        <w:t xml:space="preserve"> The 2018–2020 Multi‐Year Drought Sets a New Benchmark in Europe — https://doi.org/10.1029/2021ef002394</w:t>
      </w:r>
    </w:p>
    <w:p>
      <w:pPr/>
      <w:r>
        <w:rPr>
          <w:b/>
        </w:rPr>
        <w:t>Shared claim-specific concepts:</w:t>
      </w:r>
      <w:r>
        <w:t xml:space="preserve"> warming, socioeconomic, based; EU scope visible. This is a provisional connection, not an outcome finding.</w:t>
      </w:r>
    </w:p>
    <w:p>
      <w:pPr>
        <w:pStyle w:val="SourceNote"/>
      </w:pPr>
      <w:r>
        <w:rPr>
          <w:b/>
        </w:rPr>
        <w:t>Available abstract (not full text):</w:t>
      </w:r>
      <w:r>
        <w:t xml:space="preserve"> Abstract During the period 2018–2020, Europe experienced a series of hot and dry weather conditions with significant socioeconomic and environmental consequences. Yet, the extremity of these multi‐year dry conditions is not recognized. Here, we provide a comprehensive spatio‐temporal assessment of the drought hazard over Europe by benchmarking past exceptional events during the period from 1766 to 2020. We identified the 2018–2020 drought event as a new benchmark having an unprecedented intensity that persisted for more than 2 years, exhibiting a mean areal coverage of 35.6% and an average duration of 12.2 months. What makes this event truly exceptional compared with past events is its near‐surface air temperature anomaly reaching +2.8 K, which constitutes a further evidence that the ongoing global warming is exacerbating present drought events. Furthermore, future events based on climate model simulations Coupled Model Intercomparison Project v5 suggest that Europe should be prepared for events of comparable intensity as the 2018–2020 event but with durations longer than any of those experienced in the last 250 years. Our study thus emphasizes the urgent need for adaption and mitigation strategies to cope with such multi‐year drought events across Europe.</w:t>
      </w:r>
    </w:p>
    <w:p>
      <w:pPr/>
      <w:r>
        <w:rPr>
          <w:b/>
        </w:rPr>
        <w:t>POSSIBLE 2022:</w:t>
      </w:r>
      <w:r>
        <w:t xml:space="preserve"> A comprehensive indicator set for measuring the sustainable energy performance in the European Union — https://doi.org/10.1201/9781003259954-2</w:t>
      </w:r>
    </w:p>
    <w:p>
      <w:pPr/>
      <w:r>
        <w:rPr>
          <w:b/>
        </w:rPr>
        <w:t>Shared claim-specific concepts:</w:t>
      </w:r>
      <w:r>
        <w:t xml:space="preserve"> set, indicators, indicator; EU scope visible. This is a provisional connection, not an outcome finding.</w:t>
      </w:r>
    </w:p>
    <w:p>
      <w:pPr>
        <w:pStyle w:val="SourceNote"/>
      </w:pPr>
      <w:r>
        <w:rPr>
          <w:b/>
        </w:rPr>
        <w:t>Available abstract (not full text):</w:t>
      </w:r>
      <w:r>
        <w:t xml:space="preserve"> Clean energy transition is the key for sustainable energy. In spite of the positive tendencies, the Covid-19 has also raised many issues and highlighted the importance of the topic. The Sustainable Development Goal 7 and 13 may serve as a basis to achieve affordable and clean energy and to combat global climate change. Meeting these objectives needs well-designed energy and environmental policy with a strong holistic approach. This study aims to build a comprehensive indicator set for measuring the sustainable energy performance of the European Union Member States. To determine the indicator set we follow rigorous steps, the methodology of which is described in detail. Finally, we present the list of eight selected indicators, from which a composite indicator can be built. Additionally, the overall structure of the dataset is analyzed through correlation analysis, stationarity and normality tests. Standardization is carried out to make the variables comparable with different units. Respecting the main dimensions of the theory of sustainable development, we also determine the weighting factors and we put them up for discussion.</w:t>
      </w:r>
    </w:p>
    <w:p>
      <w:pPr>
        <w:pStyle w:val="Heading2"/>
      </w:pPr>
      <w:r>
        <w:t>859. Using Scenarios to Assess Policy Mixes for Resource Efficiency and Eco-Innovation in Different Fiscal Policy Frameworks</w:t>
      </w:r>
    </w:p>
    <w:p>
      <w:pPr>
        <w:pStyle w:val="SourceNote"/>
      </w:pPr>
      <w:r>
        <w:rPr>
          <w:b/>
        </w:rPr>
        <w:t>Original source (2016):</w:t>
      </w:r>
      <w:r>
        <w:t xml:space="preserve"> https://doi.org/10.3390/su8040309</w:t>
      </w:r>
    </w:p>
    <w:p>
      <w:pPr/>
      <w:r>
        <w:t>Original wording (abstract; indexed_source_text_not_full_document_verified): The purpose of the JRC foresight study “2035: Paths towards a sustainable EU economy” was to explore how this could be possible. The scenarios were used in an original way to help experts identify which policy mixes would be best adapted to push each scenario towards a more sustainable future, while respecting its own logic and constraints.</w:t>
      </w:r>
    </w:p>
    <w:p>
      <w:pPr/>
      <w:r>
        <w:rPr>
          <w:b/>
        </w:rPr>
        <w:t>POSSIBLE 2026:</w:t>
      </w:r>
      <w:r>
        <w:t xml:space="preserve"> The enrichment of post-growth future alternatives for Europe using an online integral foresight methodology — https://doi.org/10.1186/s40309-026-00282-y</w:t>
      </w:r>
    </w:p>
    <w:p>
      <w:pPr/>
      <w:r>
        <w:rPr>
          <w:b/>
        </w:rPr>
        <w:t>Shared claim-specific concepts:</w:t>
      </w:r>
      <w:r>
        <w:t xml:space="preserve"> foresight, sustainable, possible, experts, identify; EU scope visible. This is a provisional connection, not an outcome finding.</w:t>
      </w:r>
    </w:p>
    <w:p>
      <w:pPr>
        <w:pStyle w:val="SourceNote"/>
      </w:pPr>
      <w:r>
        <w:rPr>
          <w:b/>
        </w:rPr>
        <w:t>Available abstract (not full text):</w:t>
      </w:r>
      <w:r>
        <w:t xml:space="preserve"> Abstract The article explores trends, weak signals, and possible pathways for the feasibility of the post-growth concept in Europe, based on an integrated foresight process. The proper formulation of comprehensive future alternatives or scenarios depends on the ability to identify visible and perceptible changes on the horizon and the possible futures that can be derived from these elements. The integral foresight method combines the processing of literature on possible futures from a post-growth and from a sustainable development perspective with horizon scanning and scenario building methods. The main features of the methodology are online interactivity, a multi-round discussion and learning process between the researchers, experts and futurists working in different fields and dealing with the topic of post-growth or sustainability. The result of the future-shaping collaboration process is a list of filtered, refined, and categorized futures statements covering different STEEPLED dimensions and scenarios in which the vision of post-growth was developed under different assumptions. The findings show that according to the experts’ expectations, many of the current trends hinder European society to achieve strong sustainability, but there are opportunities for intervention, the desirable alternatives are not out of sight, and humanity’s flourishing within planetary boundaries ca</w:t>
      </w:r>
    </w:p>
    <w:p>
      <w:pPr/>
      <w:r>
        <w:rPr>
          <w:b/>
        </w:rPr>
        <w:t>POSSIBLE 2026:</w:t>
      </w:r>
      <w:r>
        <w:t xml:space="preserve"> Circular futures of the cement and concrete industry in the European Union: enriching prospective life cycle assessment with participatory foresight — https://doi.org/10.1007/s11367-026-02699-w</w:t>
      </w:r>
    </w:p>
    <w:p>
      <w:pPr/>
      <w:r>
        <w:rPr>
          <w:b/>
        </w:rPr>
        <w:t>Shared claim-specific concepts:</w:t>
      </w:r>
      <w:r>
        <w:t xml:space="preserve"> purpose, foresight, economy, identify; EU scope visible. This is a provisional connection, not an outcome finding.</w:t>
      </w:r>
    </w:p>
    <w:p>
      <w:pPr>
        <w:pStyle w:val="SourceNote"/>
      </w:pPr>
      <w:r>
        <w:rPr>
          <w:b/>
        </w:rPr>
        <w:t>Available abstract (not full text):</w:t>
      </w:r>
      <w:r>
        <w:t xml:space="preserve"> Abstract Purpose Given the urgency of the cement and concrete industry to decarbonise by 2050, circular economy (CE) strategies are becoming more eminent. This study aims to identify how CE practices can contribute to lowering environmental impacts and in particular greenhouse gas (GHG) emissions in the European Union. As future developments of our socio-economic systems are inherently uncertain, the analysis also considers the effectiveness of CE measures in different types of decarbonised futures. Methods As part of a prospective LCA (pLCA), the study defines a status quo, a future baseline scenario with a decarbonised energy system and an ambitious circular economy scenario. These are then assessed using the Environmental Footprint (EF 3.1) method for the years 2030 and 2050. To account for the inherently higher epistemic uncertainty in 2050, the ambitious CE scenario is subjected to a sensitivity analysis consisting of four normative socio-economic scenarios on the green transition. The quantification of these alternative future narratives is achieved by means of a stakeholder workshop and sensemaking session. In a final step, the results of the pLCA following the historical trajectory and the ones of the alternative futures are compared and contextualised with the agency of the involved actors. Results and discussion Results indicate that the ambitious CE scenario saves up</w:t>
      </w:r>
    </w:p>
    <w:p>
      <w:pPr/>
      <w:r>
        <w:rPr>
          <w:b/>
        </w:rPr>
        <w:t>POSSIBLE 2026:</w:t>
      </w:r>
      <w:r>
        <w:t xml:space="preserve"> Evidence for the future? Strategic foresight as a source of evidence for policymaking — https://doi.org/10.1093/polsoc/puag009</w:t>
      </w:r>
    </w:p>
    <w:p>
      <w:pPr/>
      <w:r>
        <w:rPr>
          <w:b/>
        </w:rPr>
        <w:t>Shared claim-specific concepts:</w:t>
      </w:r>
      <w:r>
        <w:t xml:space="preserve"> jrc, foresight; EU scope not established. This is a provisional connection, not an outcome finding.</w:t>
      </w:r>
    </w:p>
    <w:p>
      <w:pPr>
        <w:pStyle w:val="SourceNote"/>
      </w:pPr>
      <w:r>
        <w:rPr>
          <w:b/>
        </w:rPr>
        <w:t>Available abstract (not full text):</w:t>
      </w:r>
      <w:r>
        <w:t xml:space="preserve"> Abstract This article examines the integration of strategic foresight (SF) as a source of evidence for policymaking. As with past-oriented evidence, SF faces challenges related to its reliability and usability; yet, because it addresses uncertainty and long-term change, these issues take distinctive forms that warrant dedicated consideration. To advance this debate, we specify the conditions under which SF can be recognized as a legitimate and effective form of evidence. Through a comparative analysis of two policy-focused cases, the UK Government Office for Science’s Net Zero Society: Scenarios and Pathways report and the JRC’s Policy Lab and the ESPAS Horizon Scanning exercise, we develop a conceptual framework based on three enablers that enhance SF’s evidential value: robustness, appropriateness, and inclusivity. When SF outputs are designed with these factors in mind, they can meaningfully complement other forms of evidence within a broader, pluralistic knowledge ecosystem. We conclude in favor of integrating SF with established evidence practices under clearly articulated enabling conditions and limitations.</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foresight, sustainable, possible, experts;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2024:</w:t>
      </w:r>
      <w:r>
        <w:t xml:space="preserve"> Foresight: Fifty Years to Think Your Futures — https://doi.org/10.1007/978-3-031-66100-6_4</w:t>
      </w:r>
    </w:p>
    <w:p>
      <w:pPr/>
      <w:r>
        <w:rPr>
          <w:b/>
        </w:rPr>
        <w:t>Shared claim-specific concepts:</w:t>
      </w:r>
      <w:r>
        <w:t xml:space="preserve"> foresight, explore, possible, used; EU scope visible. This is a provisional connection, not an outcome finding.</w:t>
      </w:r>
    </w:p>
    <w:p>
      <w:pPr>
        <w:pStyle w:val="SourceNote"/>
      </w:pPr>
      <w:r>
        <w:rPr>
          <w:b/>
        </w:rPr>
        <w:t>Available abstract (not full text):</w:t>
      </w:r>
      <w:r>
        <w:t xml:space="preserve"> Abstract Foresight started with the notion of (Science and) Technology Foresight as a part of Technology Assessment (TA) but is now an independent scientific area. For a long time, Foresight mainly aimed at detecting determined futures but has developed into different directions under different headings. Most processes make use of a combination of methods to explore and develop different possible, probable or desirable futures. Foresight is more and more embedded in different institutions. There, it is carried out together with clients, and serves their specific purposes in the preparation of decision-making or science, technology and innovation policies. It offers the space to bring the different actors in the respective innovation system together. Foresight concepts are more and more accepted, and the results are distributed and used—in companies, ministries, associations, NGOs or the European Commission. Our contribution describes how Foresight has changed during the last 50 years and explains some of the aspects researchers have addressed. We conclude by highlighting two crosscutting emerging dimensions of change in Foresight, i.e. the engagement with transformative, mission-oriented agendas and the meaningful integration of machine-based approaches. Foresighters have to be aware that not only the results of their projects change but also the methods and the actors who work</w:t>
      </w:r>
    </w:p>
    <w:p>
      <w:pPr/>
      <w:r>
        <w:rPr>
          <w:b/>
        </w:rPr>
        <w:t>POSSIBLE 2024:</w:t>
      </w:r>
      <w:r>
        <w:t xml:space="preserve"> The “Safe and Sustainable by Design” Concept – A Regulatory Approach for a More Sustainable Circular Economy in the European Union? — https://doi.org/10.1017/err.2024.29</w:t>
      </w:r>
    </w:p>
    <w:p>
      <w:pPr/>
      <w:r>
        <w:rPr>
          <w:b/>
        </w:rPr>
        <w:t>Shared claim-specific concepts:</w:t>
      </w:r>
      <w:r>
        <w:t xml:space="preserve"> sustainable, economy, explore; EU scope visible. This is a provisional connection, not an outcome finding.</w:t>
      </w:r>
    </w:p>
    <w:p>
      <w:pPr>
        <w:pStyle w:val="SourceNote"/>
      </w:pPr>
      <w:r>
        <w:rPr>
          <w:b/>
        </w:rPr>
        <w:t>Available abstract (not full text):</w:t>
      </w:r>
      <w:r>
        <w:t xml:space="preserve"> Abstract The creation of a more sustainable economy is one of the main targets of the European Green Deal and the new Circular Economy Action Plan. Technological innovation is needed, among other things, to render materials, products, and production processes more sustainable. Given the goals of the European Green Deal, the regulatory concept of “Safe and Sustainable by Design” is increasingly receiving attention. The concept is (arguably) a precautionary and preventative measure that is implemented at the early stages of the design of a technology. Therefore, it is often described as a tool for lowering the risks that follow from efforts to create a more circular economy. The concept was included in the European Chemicals Strategy of the European Commission. The aim of the strategy is to accelerate progress towards the discovery of more sustainable chemicals and towards a toxicity-free environment. In this paper, we will explore the benefits and disadvantages of integrating the “Safe and Sustainable by Design” concept into the regulation of technology. As a form of regulation by technology, this concept can enhance sustainability. We will first describe the origins of the concept and its current use. Then, we will analyse its implications for the circular economy.</w:t>
      </w:r>
    </w:p>
    <w:p>
      <w:pPr/>
      <w:r>
        <w:rPr>
          <w:b/>
        </w:rPr>
        <w:t>POSSIBLE 2023:</w:t>
      </w:r>
      <w:r>
        <w:t xml:space="preserve"> Supporting decision making with strategic foresight — https://doi.org/10.1787/1d78c791-en</w:t>
      </w:r>
    </w:p>
    <w:p>
      <w:pPr/>
      <w:r>
        <w:rPr>
          <w:b/>
        </w:rPr>
        <w:t>Shared claim-specific concepts:</w:t>
      </w:r>
      <w:r>
        <w:t xml:space="preserve"> purpose, foresight, help, best, each; EU scope not established. This is a provisional connection, not an outcome finding.</w:t>
      </w:r>
    </w:p>
    <w:p>
      <w:pPr>
        <w:pStyle w:val="SourceNote"/>
      </w:pPr>
      <w:r>
        <w:rPr>
          <w:b/>
        </w:rPr>
        <w:t>Available abstract (not full text):</w:t>
      </w:r>
      <w:r>
        <w:t xml:space="preserve"> This working paper discusses strategic foresight initiatives and methodologies that support decision making and process design. It highlights case studies, international benchmarks, and best practices, as well as methodological recommendations and options for promoting the adoption and use of strategic foresight in government. The paper has four sections, each centred on a critical action to improve decision making through strategic foresight: (i) framing strategic foresight, (ii) building its fundamental components in governments, (iii) fine-tuning foresight interventions to specific contexts, and (iv) undertaking concrete activities to solve specific policy challenges. Given its exploratory nature, this working paper and its proposals should be seen as contributing to ongoing debates about the use of strategic foresight for decision making in government. The ultimate purpose of this paper is to help governments become more proactive and prospective.</w:t>
      </w:r>
    </w:p>
    <w:p>
      <w:pPr/>
      <w:r>
        <w:rPr>
          <w:b/>
        </w:rPr>
        <w:t>POSSIBLE 2023:</w:t>
      </w:r>
      <w:r>
        <w:t xml:space="preserve"> D3.4 Foresight prospects for the future of EU rural areas — https://doi.org/10.5281/zenodo.8370467</w:t>
      </w:r>
    </w:p>
    <w:p>
      <w:pPr/>
      <w:r>
        <w:rPr>
          <w:b/>
        </w:rPr>
        <w:t>Shared claim-specific concepts:</w:t>
      </w:r>
      <w:r>
        <w:t xml:space="preserve"> jrc, foresight, identify; EU scope visible. This is a provisional connection, not an outcome finding.</w:t>
      </w:r>
    </w:p>
    <w:p>
      <w:pPr>
        <w:pStyle w:val="SourceNote"/>
      </w:pPr>
      <w:r>
        <w:rPr>
          <w:b/>
        </w:rPr>
        <w:t>Available abstract (not full text):</w:t>
      </w:r>
      <w:r>
        <w:t xml:space="preserve"> This report is an overview of a sample of existing foresight and scenarios studies carried out at European and global level to identify plausible futures and scenarios for rural areas for time periods up to 2050. It provides an extended update of the SHERPA Working Document ‘Overview of a sample of existing foresight and scenario studies carried out at EU and global levels’ (Brunori and Mazzocchi, 2020), which encompassed a set of foresight studies from approximately between 2009-2019. Though not exclusively focused on rural areas, the potential for significant impacts on the latter was acknowledged in these studies and the report provided important insights in view to the then forthcoming process of the Long-Term Vision for Rural Areas of the EU. A most recent set of studies have been appraised, carried out in the period from 2020 onwards. Amongst them, we pay specific attention to the Long-Term Vision for Rural Areas of the European Union – and H2020 projects contributing to this consultation –, the JRC ‘Scenarios for EU Rural Areas 2040’, as well as other foresight studies not exclusively targeting rural areas, but addressing mega-trends and delivering outcomes of relevance to the future of rural areas.</w:t>
      </w:r>
    </w:p>
    <w:p>
      <w:pPr/>
      <w:r>
        <w:rPr>
          <w:b/>
        </w:rPr>
        <w:t>POSSIBLE 2023:</w:t>
      </w:r>
      <w:r>
        <w:t xml:space="preserve"> Foresight for sustainable development and well‑being governance in Wales — https://doi.org/10.5281/zenodo.21641559</w:t>
      </w:r>
    </w:p>
    <w:p>
      <w:pPr/>
      <w:r>
        <w:rPr>
          <w:b/>
        </w:rPr>
        <w:t>Shared claim-specific concepts:</w:t>
      </w:r>
      <w:r>
        <w:t xml:space="preserve"> foresight, sustainable; EU scope not established. This is a provisional connection, not an outcome finding.</w:t>
      </w:r>
    </w:p>
    <w:p>
      <w:pPr>
        <w:pStyle w:val="SourceNote"/>
      </w:pPr>
      <w:r>
        <w:rPr>
          <w:b/>
        </w:rPr>
        <w:t>Available abstract (not full text):</w:t>
      </w:r>
      <w:r>
        <w:t xml:space="preserve"> This research, funded by the ESRC Policy Fellowship scheme that ran between February 2022 and August 2023, explores the challenges and opportunities of integrating long‑term thinking through foresight in policymaking and provides the Welsh Government with the evidence base to further develop its foresight functions. The inception phase of the Fellowship was dedicated to the research co‑design. During the delivery phase, thirty‑five interviews focussed on the challenges and opportunities of using foresight for policymaking as well as generating insights into different foresight organisational arrangements in other selected governments. Pilots with three Welsh Government policy teams provided a granular perspective on what foresight could look like in the context of the Welsh Government, while two final stakeholder workshops were organised to review the research findings and discuss enabling mechanisms to develop long‑term decision‑making in the context of the Well‑being of Future Generations (Wales) Act 2015 (WFGA).</w:t>
      </w:r>
    </w:p>
    <w:p>
      <w:pPr/>
      <w:r>
        <w:rPr>
          <w:b/>
        </w:rPr>
        <w:t>POSSIBLE 2022:</w:t>
      </w:r>
      <w:r>
        <w:t xml:space="preserve"> Advanced materials foresight: research and innovation indicators related to advanced and smart nanomaterials — https://doi.org/10.12688/f1000research.127810.1</w:t>
      </w:r>
    </w:p>
    <w:p>
      <w:pPr/>
      <w:r>
        <w:rPr>
          <w:b/>
        </w:rPr>
        <w:t>Shared claim-specific concepts:</w:t>
      </w:r>
      <w:r>
        <w:t xml:space="preserve"> foresight, possible, used, identify, each; EU scope visible. This is a provisional connection, not an outcome finding.</w:t>
      </w:r>
    </w:p>
    <w:p>
      <w:pPr>
        <w:pStyle w:val="SourceNote"/>
      </w:pPr>
      <w:r>
        <w:rPr>
          <w:b/>
        </w:rPr>
        <w:t>Available abstract (not full text):</w:t>
      </w:r>
      <w:r>
        <w:t xml:space="preserve"> Background: Advanced materials are most likely to bring future economic, environmental and social benefits. At the same time, they may pose challenges regarding their safety and sustainability along the entire lifecycle. This needs to be timely addressed by the stakeholders (industry, research, policy, funding and regulatory bodies). As part of a larger foresight project, this study aimed to identify areas of scientific research and technological development related to advanced materials, in particular advanced nanomaterials and the sub-group of smart nanomaterials. The study identified and collected data to build relevant research and innovation indicators and analyse trends, impact and other implications. Methods: This study consisted of an iterative process including a documentation phase followed by the identification, description and development of a set of core research and innovation indicators regarding scientific publications, EU projects and patents. The data was extracted mainly from SCOPUS, CORDIS and PATSTAT databases using a predefined search string that included representative keywords. The trends, distributions and other aspects reflected in the final version of the indicators were analysed, e.g. the number of items in a period of time, geographical distribution, organisations involved, categories of journals, funding programmes, costs and technology areas. Resu</w:t>
      </w:r>
    </w:p>
    <w:p>
      <w:pPr/>
      <w:r>
        <w:rPr>
          <w:b/>
        </w:rPr>
        <w:t>POSSIBLE 2021:</w:t>
      </w:r>
      <w:r>
        <w:t xml:space="preserve"> Deep aspirations: towards a sustainable offshore Blue Economy — https://doi.org/10.1007/s11160-020-09628-6</w:t>
      </w:r>
    </w:p>
    <w:p>
      <w:pPr/>
      <w:r>
        <w:rPr>
          <w:b/>
        </w:rPr>
        <w:t>Shared claim-specific concepts:</w:t>
      </w:r>
      <w:r>
        <w:t xml:space="preserve"> sustainable, economy, possible, identify; EU scope not established. This is a provisional connection, not an outcome finding.</w:t>
      </w:r>
    </w:p>
    <w:p>
      <w:pPr>
        <w:pStyle w:val="SourceNote"/>
      </w:pPr>
      <w:r>
        <w:rPr>
          <w:b/>
        </w:rPr>
        <w:t>Available abstract (not full text):</w:t>
      </w:r>
      <w:r>
        <w:t xml:space="preserve"> Abstract: The ocean economy is experiencing rapid growth that will provide benefits but will also pose environmental and social risks. With limited space and degraded resources in coastal areas, offshore waters will be a particular focus of Blue Economy expansion over the next decade. When emerging and established economic sectors expand in offshore waters (within national Exclusive Economic Zones), different potential Blue Economy opportunities and challenges will arise. Following a series of interdisciplinary workshops, we imagine two technically possible futures for the offshore Blue Economy and we identify the actions required to achieve the more sustainable outcome. Under a business as usual scenario the focus will remain on economic growth, the commodification of nature, the dominance of private over public and cultural interests, and prioritisation of the interests of current over future generations. A more sustainable scenario would meet multiple UN Sustainable Development Goals and ensure inclusive economic developments, environmental sustainability, and fair and equitable access to resources and technologies across users, nations, and generations. Challenges to this more sustainable future are a lack of infrastructure and technology to support emerging offshore sectors, limited understanding of environmental impacts, inequitable outcomes, and a lack of planning and go</w:t>
      </w:r>
    </w:p>
    <w:p>
      <w:pPr/>
      <w:r>
        <w:rPr>
          <w:b/>
        </w:rPr>
        <w:t>POSSIBLE 2021:</w:t>
      </w:r>
      <w:r>
        <w:t xml:space="preserve"> Foresight as a tool of public administration in the field of science, technology and innovation — https://doi.org/10.23939/eem2021.01.090</w:t>
      </w:r>
    </w:p>
    <w:p>
      <w:pPr/>
      <w:r>
        <w:rPr>
          <w:b/>
        </w:rPr>
        <w:t>Shared claim-specific concepts:</w:t>
      </w:r>
      <w:r>
        <w:t xml:space="preserve"> foresight, experts, each; EU scope not established. This is a provisional connection, not an outcome finding.</w:t>
      </w:r>
    </w:p>
    <w:p>
      <w:pPr>
        <w:pStyle w:val="SourceNote"/>
      </w:pPr>
      <w:r>
        <w:rPr>
          <w:b/>
        </w:rPr>
        <w:t>Available abstract (not full text):</w:t>
      </w:r>
      <w:r>
        <w:t xml:space="preserve"> Given the growing role of technological foresight as a tool for reconciling visions, goals and ways of STI development in an era of rapid technological change and global challenges, the approach to foresight research to select priorities for science and innovation in Ukraine for 2022–2026 has been improved. It takes into account a wide range of national targets for achieving SDGs by 2030. The developed Methodological recommendations provided a thorough analysis of more than 3,000 potentially acceptable technological and innovative proposals. The approach to setting STI priorities is new for Ukraine and involves a consistent process of selecting the top 30 most acceptable proposals in each of the seven thematic areas through five stages of discussions and evaluations. The result was the formation of a database of technology passports and developments on the experts’ proposals, their selection by practitioners, ranking, evaluation in terms of the potential of Ukrainian science and relevance in terms of world science and new technologies using international databases. They are the basis for decisions by the Expert Councils and the High-Level Working Group on key thematic areas and the preparation of a relevant draft government decision. Despite the conditions of quarantine, for the first time more than 2,500 experts from science, business, state and public organizations took part </w:t>
      </w:r>
    </w:p>
    <w:p>
      <w:pPr>
        <w:pStyle w:val="Heading2"/>
      </w:pPr>
      <w:r>
        <w:t>860. A Transport Policy Tool for Reduction of Co2 Emissions in Finland – Visions, Scenarios and Pathways using Pluralistic Backcasting Method</w:t>
      </w:r>
    </w:p>
    <w:p>
      <w:pPr>
        <w:pStyle w:val="SourceNote"/>
      </w:pPr>
      <w:r>
        <w:rPr>
          <w:b/>
        </w:rPr>
        <w:t>Original source (2015):</w:t>
      </w:r>
      <w:r>
        <w:t xml:space="preserve"> https://doi.org/10.1016/j.trpro.2015.12.016</w:t>
      </w:r>
    </w:p>
    <w:p>
      <w:pPr/>
      <w:r>
        <w:t>Original wording (abstract; indexed_source_text_not_full_document_verified): The reduction of greenhouse gas emission was the basis of a Delphi study where expert opinions about future development were asked and used to form visions of the future, and further elaborated to scenarios using a pluralistic backcasting method. A new innovative approach on how to use and combine methods and data from various disciplines in scenario modelling, on transport policy packaging and determining pathways to reach the desired futures, is presented for two of the visions analysed in detail.</w:t>
      </w:r>
    </w:p>
    <w:p>
      <w:pPr/>
      <w:r>
        <w:rPr>
          <w:b/>
        </w:rPr>
        <w:t>POSSIBLE 2026:</w:t>
      </w:r>
      <w:r>
        <w:t xml:space="preserve"> SECTORAL GREENHOUSE GAS EMISSION REDUCTIONS IN THE EUROPEAN UNION – THE ROLE OF AGRICULTURE — https://doi.org/10.5604/01.3001.0055.6722</w:t>
      </w:r>
    </w:p>
    <w:p>
      <w:pPr/>
      <w:r>
        <w:rPr>
          <w:b/>
        </w:rPr>
        <w:t>Shared claim-specific concepts:</w:t>
      </w:r>
      <w:r>
        <w:t xml:space="preserve"> reduction, greenhouse, gas, emission, further; EU scope visible. This is a provisional connection, not an outcome finding.</w:t>
      </w:r>
    </w:p>
    <w:p>
      <w:pPr>
        <w:pStyle w:val="SourceNote"/>
      </w:pPr>
      <w:r>
        <w:rPr>
          <w:b/>
        </w:rPr>
        <w:t>Available abstract (not full text):</w:t>
      </w:r>
      <w:r>
        <w:t xml:space="preserve"> This study analyzes the role of agriculture in achieving the European Union’s climate objectives, with particular emphasis on greenhouse gas (GHG) emission reduction targets over the period 1990-2023. The study combines a review of EU legislation and strategic policy documents with a statistical analysis of GHG emission trends based on data from the European Environment Agency (EEA). The empirical analysis focuses on the dynamics and structure of emissions, with particular attention to key emission categories in the agricultural sector. The results indicate that total GHG emissions in the EU decreased by 36.6% in 2023 compared with 1990 levels, while emissions from agriculture declined by only 25.5%, making this sector the slowest in terms of emission reduction progress. In 2023, agriculture accounted for 12% of total EU GHG emissions, with livestock production responsible for 66% of sectoral emissions. The stability of the emission structure over the past three decades indicates similar mitigation efforts in both livestock and crop production, while also highlighting the challenges associated with achieving the EU’s target of a 55% emission reduction by 2030. The findings underline the need to intensify the implementation of climate-friendly agricultural practices, strengthen financial support mechanisms, and further integrate carbon sequestration measures into agricultural po</w:t>
      </w:r>
    </w:p>
    <w:p>
      <w:pPr/>
      <w:r>
        <w:rPr>
          <w:b/>
        </w:rPr>
        <w:t>POSSIBLE 2026:</w:t>
      </w:r>
      <w:r>
        <w:t xml:space="preserve"> Association patterns of renewables and greenhouse gas emission reduction in the European Union — https://doi.org/10.2139/ssrn.6144181</w:t>
      </w:r>
    </w:p>
    <w:p>
      <w:pPr/>
      <w:r>
        <w:rPr>
          <w:b/>
        </w:rPr>
        <w:t>Shared claim-specific concepts:</w:t>
      </w:r>
      <w:r>
        <w:t xml:space="preserve"> reduction, greenhouse, gas, emission;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Driving product innovation for greenhouse gas reduction: insights from European manufacturing — https://doi.org/10.1017/pds.2026.10526</w:t>
      </w:r>
    </w:p>
    <w:p>
      <w:pPr/>
      <w:r>
        <w:rPr>
          <w:b/>
        </w:rPr>
        <w:t>Shared claim-specific concepts:</w:t>
      </w:r>
      <w:r>
        <w:t xml:space="preserve"> reduction, greenhouse, gas; EU scope visible. This is a provisional connection, not an outcome finding.</w:t>
      </w:r>
    </w:p>
    <w:p>
      <w:pPr>
        <w:pStyle w:val="SourceNote"/>
      </w:pPr>
      <w:r>
        <w:rPr>
          <w:b/>
        </w:rPr>
        <w:t>Available abstract (not full text):</w:t>
      </w:r>
      <w:r>
        <w:t xml:space="preserve"> ABSTRACT: This paper aims to explore and categorize the product innovation initiatives that European manufacturing companies with science-based greenhouse gas (GHG) reduction targets are adopting to advance toward their decarbonization goals. An inductive analysis was conducted on climate change management reports from 326 European manufacturing companies. Two main categories of strategies emerged from the analysis: the development of new low-carbon products and the improvement of existing products. Within these categories, the study highlights specific initiatives adopted by companies.</w:t>
      </w:r>
    </w:p>
    <w:p>
      <w:pPr/>
      <w:r>
        <w:rPr>
          <w:b/>
        </w:rPr>
        <w:t>POSSIBLE 2026:</w:t>
      </w:r>
      <w:r>
        <w:t xml:space="preserve"> Increase in European summer heatwaves driven by greenhouse gases and amplified by aerosol emission reductions — https://doi.org/10.1088/1748-9326/ae6d18</w:t>
      </w:r>
    </w:p>
    <w:p>
      <w:pPr/>
      <w:r>
        <w:rPr>
          <w:b/>
        </w:rPr>
        <w:t>Shared claim-specific concepts:</w:t>
      </w:r>
      <w:r>
        <w:t xml:space="preserve"> reduction, greenhouse, emission, about, further, method; EU scope visible. This is a provisional connection, not an outcome finding.</w:t>
      </w:r>
    </w:p>
    <w:p>
      <w:pPr>
        <w:pStyle w:val="SourceNote"/>
      </w:pPr>
      <w:r>
        <w:rPr>
          <w:b/>
        </w:rPr>
        <w:t>Available abstract (not full text):</w:t>
      </w:r>
      <w:r>
        <w:t xml:space="preserve"> Abstract More frequent heatwaves in Europe are posing considerable risks to human health, infrastructure, and ecosystems. However, the contributions of external forcing factors such as well-mixed greenhouse gases (GHGs) and aerosols remain to be better quantified. Here, using model outputs from the Large Ensemble Single Forcing Model Intercomparison Project (LESFMIP), a recent atmospheric reanalysis and a machine learning method—self-organising maps (SOMs), we attribute European heatwave trends during 1940–2020 to various external forcings. The Europe-averaged heatwave trend during 1940–2020 (0.87 days per decade) is well captured by the multi-model mean (MMM) response with GHGs dominating the trend. The positive heatwave trend in GHGs and ozone is offset by the effects of aerosols during 1940–1979, leading to weak negative heatwave trends. In contrast, the increase in GHGs has driven about half (53 ± 17%; MMM and model-spread) of the strong heatwave trends in 1980–2020 (2.5 days per decade), amplified by the reduction in aerosols (23 ± 15%). This highlights the increasing risk of more frequent heatwaves in Europe if GHG emissions continue to rise without significant mitigation measures. Analysis of atmospheric circulation by SOMs reveals that four major atmospheric circulation patterns, dominated by a blocking high anomaly, are linked to the most spatially-intense European sum</w:t>
      </w:r>
    </w:p>
    <w:p>
      <w:pPr/>
      <w:r>
        <w:rPr>
          <w:b/>
        </w:rPr>
        <w:t>POSSIBLE 2026:</w:t>
      </w:r>
      <w:r>
        <w:t xml:space="preserve"> The greenhouse gas reduction gap in manufacturing companies: An action-research framework for European reporting requirements — https://doi.org/10.1016/j.cesys.2026.100406</w:t>
      </w:r>
    </w:p>
    <w:p>
      <w:pPr/>
      <w:r>
        <w:rPr>
          <w:b/>
        </w:rPr>
        <w:t>Shared claim-specific concepts:</w:t>
      </w:r>
      <w:r>
        <w:t xml:space="preserve"> reduction, greenhouse, gas, use; EU scope visible. This is a provisional connection, not an outcome finding.</w:t>
      </w:r>
    </w:p>
    <w:p>
      <w:pPr>
        <w:pStyle w:val="SourceNote"/>
      </w:pPr>
      <w:r>
        <w:rPr>
          <w:b/>
        </w:rPr>
        <w:t>Available abstract (not full text):</w:t>
      </w:r>
      <w:r>
        <w:t xml:space="preserve"> The Corporate Sustainability Reporting Directive (CSRD) and its reporting standard ESRS E1 impose detailed greenhouse gas (GHG) disclosure and reduction requirements that many manufacturing SMEs struggle to operationalize. However, little empirical evidence exists on the gap between European reporting ambitions and the realistically achievable GHG reductions in manufacturing SMEs. This study reports on an eight-month action-research collaboration with two Austrian SMEs to co-develop a five-stage GHG accounting and reduction framework that guides SMEs from initially encountered lack of knowledge, resources, and data, over a baseline balance sheet to ESRS-aligned actionable decarbonization plans. In case 1, a full Scope 1–3 baseline of 9.200 tCO 2 eq was compiled, leading to a 2030 forecast of 10.817 tCO 2 eq. Planned engineering measures and anticipated supply chain improvements reduced this by 44%, meeting near-term science-based targets. In case 2, overcoming accounting complexities, gaps in data systems, and unknown product-use emissions, a 2023 baseline of 62.990 tCO 2 eq was calculated, with 85% from downstream product use. Despite internal energy and logistics measures and supply chain gains totaling 2.549 tCO 2 eq, projected 2030 emissions (84.216 tCO 2 eq) remain well above Scope 3 reduction targets. The cross-case comparison reveals a persistent “GHG reduction gap” betw</w:t>
      </w:r>
    </w:p>
    <w:p>
      <w:pPr/>
      <w:r>
        <w:rPr>
          <w:b/>
        </w:rPr>
        <w:t>POSSIBLE 2026:</w:t>
      </w:r>
      <w:r>
        <w:t xml:space="preserve"> Reducing embodied carbon in buildings: A Delphi-based assessment of expert evaluated measures and future scalability — https://doi.org/10.1016/j.cesys.2026.100497</w:t>
      </w:r>
    </w:p>
    <w:p>
      <w:pPr/>
      <w:r>
        <w:rPr>
          <w:b/>
        </w:rPr>
        <w:t>Shared claim-specific concepts:</w:t>
      </w:r>
      <w:r>
        <w:t xml:space="preserve"> reduction, greenhouse, gas, delphi, expert, used; EU scope visible. This is a provisional connection, not an outcome finding.</w:t>
      </w:r>
    </w:p>
    <w:p>
      <w:pPr>
        <w:pStyle w:val="SourceNote"/>
      </w:pPr>
      <w:r>
        <w:rPr>
          <w:b/>
        </w:rPr>
        <w:t>Available abstract (not full text):</w:t>
      </w:r>
      <w:r>
        <w:t xml:space="preserve"> The building sector accounts for roughly 21% of global greenhouse gas emissions and 34% of European energy-related emissions, with embodied carbon emerging as a potential leverage point for a climate-neutral construction sector. Although numerous decarbonization concepts exist, their translation into industry practice remains limited, and expert judgment has rarely been used to jointly quantify reduction potential and future scalability. This study applies a two-round Delphi method to collect and consolidate practitioner insights on fifteen embodied carbon reduction measures in the Austrian building sector. Thirty-two experts participated in Round 1 and twenty-six in Round 2, evaluating each measure on a 5-point Likert scale, providing optional percentage reduction estimates, and projecting mid- and long-term scalability for 2035 and 2050. Results show a consistent positive correlation between ordinal and quantified assessments, and identify renewable energy supply for material production, improved cement production, intensified use of recycled materials, and wood and timber construction as priority levers aligned with long-term scalability potential. Life cycle thinking emerged as a systemic transformation enabler despite persistent uncertainty, whereas prefabrication, clay construction, natural insulation, and optimized glazing showed more moderate or context-dependent potent</w:t>
      </w:r>
    </w:p>
    <w:p>
      <w:pPr/>
      <w:r>
        <w:rPr>
          <w:b/>
        </w:rPr>
        <w:t>POSSIBLE 2026:</w:t>
      </w:r>
      <w:r>
        <w:t xml:space="preserve"> The Determinants of Greenhouse Gas Emissions (GHE) in European Economies — https://doi.org/10.2478/picbe-2026-0132</w:t>
      </w:r>
    </w:p>
    <w:p>
      <w:pPr/>
      <w:r>
        <w:rPr>
          <w:b/>
        </w:rPr>
        <w:t>Shared claim-specific concepts:</w:t>
      </w:r>
      <w:r>
        <w:t xml:space="preserve"> reduction, greenhouse, gas, used, method, use; EU scope visible. This is a provisional connection, not an outcome finding.</w:t>
      </w:r>
    </w:p>
    <w:p>
      <w:pPr>
        <w:pStyle w:val="SourceNote"/>
      </w:pPr>
      <w:r>
        <w:rPr>
          <w:b/>
        </w:rPr>
        <w:t>Available abstract (not full text):</w:t>
      </w:r>
      <w:r>
        <w:t xml:space="preserve"> Abstract The European Commission targets to achieve zero gas emissions by 2050. However, there is no single element or policy that allows us to achieve this target. Greenhouse emissions (GHE) are largely influenced by economic dynamics and energy use, as well as strategic positioning of businesses and technological advancement in renewable energy consumption. Against this background, our research aims to analyze the influence of foreign direct investment, renewable energy and economic growth on greenhouse gas emissions and how important and statistically significant these influences are. The paper analyses the determinants of the decrease in gas emissions in European economies over the period 1990-2023. In a quantitative panel data analysis, we examined the impact of renewable energy, labor force, gross domestic product growth per capita, and foreign investment inflows on greenhouse gas emissions. The Pooled Ordinary Least Squares method, with fixed and random effects, was used in our empirical analysis. The study’s findings suggest that economic growth continues to be a significant contributor to emissions. The use of green energies influences the decrease of greenhouse gas emissions. More precisely, 1% increase in the use of green energy results in a 0.19% annual reduction in greenhouse gas emissions. To better understand the results reported for the group of EU countries, ga</w:t>
      </w:r>
    </w:p>
    <w:p>
      <w:pPr/>
      <w:r>
        <w:rPr>
          <w:b/>
        </w:rPr>
        <w:t>POSSIBLE 2025:</w:t>
      </w:r>
      <w:r>
        <w:t xml:space="preserve"> A Group Delphi on economic perspectives on climate policy measures. A basis for informing a Citizen Forum — https://doi.org/10.14512/gaia.34.3.11</w:t>
      </w:r>
    </w:p>
    <w:p>
      <w:pPr/>
      <w:r>
        <w:rPr>
          <w:b/>
        </w:rPr>
        <w:t>Shared claim-specific concepts:</w:t>
      </w:r>
      <w:r>
        <w:t xml:space="preserve"> greenhouse, gas, basis, delphi, expert, asked; EU scope visible. This is a provisional connection, not an outcome finding.</w:t>
      </w:r>
    </w:p>
    <w:p>
      <w:pPr>
        <w:pStyle w:val="SourceNote"/>
      </w:pPr>
      <w:r>
        <w:rPr>
          <w:b/>
        </w:rPr>
        <w:t>Available abstract (not full text):</w:t>
      </w:r>
      <w:r>
        <w:t xml:space="preserve"> How do economic and consumer researchers assess the different EU policy options to reach net zero greenhouse gas emissions by 2050? The research team of the EU project REAL-DEAL convened twelve experts to evaluate economic measures to implement the Green Deal objectives. This information was one of the major inputs for a subsequent Citizen Forum in Berlin, Germany.As one component of the EU project, REAL-DEAL, the authors conducted a Group Delphi involving experts from economics and consumer research. Group Delphi processes represent participatory formats aimed at providing a more accurate, fair, and complete representation of expert judgments regarding a specific topic. During the Delphi process in Berlin, twelve experts, representing different schools of economic thought, were asked to assess and evaluate economic instruments and measures to implement the Green Deal objectives with a focus on transport, housing, nutrition, and overarching economic issues related to climate protection. The results of the Delphi revealed a large diversity among the experts, in particular on the issue of state interventions into the economy. However, there was broad consensus on rejecting subsidies that encourage non-sustainable practices, and on recommending effective carbon pricing. The outcome of the Delphi was used as information for a subsequent Citizen Forum with randomly selected citizens</w:t>
      </w:r>
    </w:p>
    <w:p>
      <w:pPr/>
      <w:r>
        <w:rPr>
          <w:b/>
        </w:rPr>
        <w:t>POSSIBLE 2025:</w:t>
      </w:r>
      <w:r>
        <w:t xml:space="preserve"> Freshwater restoration effects on biodiversity and ecosystem services: a Delphi survey — https://doi.org/10.1111/rec.70119</w:t>
      </w:r>
    </w:p>
    <w:p>
      <w:pPr/>
      <w:r>
        <w:rPr>
          <w:b/>
        </w:rPr>
        <w:t>Shared claim-specific concepts:</w:t>
      </w:r>
      <w:r>
        <w:t xml:space="preserve"> delphi, expert, use, methods; EU scope visible. This is a provisional connection, not an outcome finding.</w:t>
      </w:r>
    </w:p>
    <w:p>
      <w:pPr>
        <w:pStyle w:val="SourceNote"/>
      </w:pPr>
      <w:r>
        <w:rPr>
          <w:b/>
        </w:rPr>
        <w:t>Available abstract (not full text):</w:t>
      </w:r>
      <w:r>
        <w:t xml:space="preserve"> Abstract Introduction Freshwater ecosystem restoration is vital for halting biodiversity loss, enhancing resilience, and securing ecosystem services amid climate and land use change. With major initiatives like the United Nations Decade on Ecosystem Restoration and the European Union's Nature Restoration Regulation gaining momentum, identifying multifunctional restoration strategies is increasingly important. Objectives This study examines which restoration measures in rivers, peatlands, and other wetlands deliver consistent benefits for both biodiversity and ecosystem services—key goals under EU restoration policies. Methods A structured Delphi survey was conducted with European experts in ecological restoration and ecosystem services. Restoration measures were compiled from scientific and gray literature, categorized into standardized types, and screened for data gaps. Measures with limited evidence were prioritized for expert evaluation. Experts assessed the expected effects of each measure on biodiversity and 18 ecosystem services through two survey rounds. Results Most restoration measures—especially hydrological and morphological interventions in rivers and vegetation‐based actions in peatlands—were expected to strongly benefit biodiversity. Many also enhanced multiple ecosystem services, with river interventions such as restoring natural flow, channel structure, and habi</w:t>
      </w:r>
    </w:p>
    <w:p>
      <w:pPr/>
      <w:r>
        <w:rPr>
          <w:b/>
        </w:rPr>
        <w:t>POSSIBLE 2025:</w:t>
      </w:r>
      <w:r>
        <w:t xml:space="preserve"> An Eco‐Social Policy Mix for 1.5°C Lifestyles: A Multi‐Country Policy Delphi Analysis — https://doi.org/10.1111/rego.12655</w:t>
      </w:r>
    </w:p>
    <w:p>
      <w:pPr/>
      <w:r>
        <w:rPr>
          <w:b/>
        </w:rPr>
        <w:t>Shared claim-specific concepts:</w:t>
      </w:r>
      <w:r>
        <w:t xml:space="preserve"> reduction, delphi, about, approach; EU scope visible. This is a provisional connection, not an outcome finding.</w:t>
      </w:r>
    </w:p>
    <w:p>
      <w:pPr>
        <w:pStyle w:val="SourceNote"/>
      </w:pPr>
      <w:r>
        <w:rPr>
          <w:b/>
        </w:rPr>
        <w:t>Available abstract (not full text):</w:t>
      </w:r>
      <w:r>
        <w:t xml:space="preserve"> ABSTRACT Bridging the gap between welfare and climate policies is essential for simultaneously pursuing increased well‐being and reduced carbon emissions. This study uses a policy Delphi approach, involving experts and stakeholders from five European countries: Germany, Hungary, Latvia, Spain, and Sweden, to assess the perceived desirability and feasibility of six eco‐social policies for enabling 1.5°C lifestyles. The results show that eco‐social policies are challenged by current growth and work paradigms, which transcend welfare‐regime‐related, ideological, social, and institutional rationales. Of the selected policies, stakeholders found low‐efficiency housing retrofits the most desirable, but income caps the least desirable. Worktime reduction, job guarantees, and income ceilings raise deep concerns over work, motivation, and consumption. However, universal basic services, free public transport, and public renovation raise concerns about service efficiency, innovation incentives, and welfare entitlement. Stakeholders agreed that eco‐social policies are desirable and feasible, but only when combined in a way that balances social and environmental impacts. They believe it might be easier to address challenges in understanding and implementing these policies if they were part of a broader, coordinated approach at a supranational level, rather than isolated, single‐issue polici</w:t>
      </w:r>
    </w:p>
    <w:p>
      <w:pPr/>
      <w:r>
        <w:rPr>
          <w:b/>
        </w:rPr>
        <w:t>POSSIBLE 2025:</w:t>
      </w:r>
      <w:r>
        <w:t xml:space="preserve"> GHGs (greenhouse gases) emission reduction — https://doi.org/10.4337/9781035310371.00073</w:t>
      </w:r>
    </w:p>
    <w:p>
      <w:pPr/>
      <w:r>
        <w:rPr>
          <w:b/>
        </w:rPr>
        <w:t>Shared claim-specific concepts:</w:t>
      </w:r>
      <w:r>
        <w:t xml:space="preserve"> reduction, greenhouse, gas, emission, innovative, approach; EU scope visible. This is a provisional connection, not an outcome finding.</w:t>
      </w:r>
    </w:p>
    <w:p>
      <w:pPr>
        <w:pStyle w:val="SourceNote"/>
      </w:pPr>
      <w:r>
        <w:rPr>
          <w:b/>
        </w:rPr>
        <w:t>Available abstract (not full text):</w:t>
      </w:r>
      <w:r>
        <w:t xml:space="preserve"> The United Nations Framework Convention on Climate Change (UNFCCC) Conference of the Parties (COP) meetings, the European Commission, and initiatives by several countries and organizations have resulted in the adoption of several international agreements aimed at reducing greenhouse gas emissions. These agreements set targets for countries to reduce their emissions and establish mechanisms for reporting and verifying progress. However, achieving meaningful emissions and greenhouse gases reduction requires a multifaceted approach that considers the thorough study of trade, taxes, innovative technologies, industrialization, and economic growth effects and interactions. This includes implementing a combination of policies such as carbon pricing, regulations and subsidies to incentivize emissions reductions, promoting the adoption of clean technologies, fostering innovation and promoting sustainable practices across sectors. Additionally, international cooperation and coordination are essential to address global challenges such as climate change effectively.</w:t>
      </w:r>
    </w:p>
    <w:p>
      <w:pPr/>
      <w:r>
        <w:rPr>
          <w:b/>
        </w:rPr>
        <w:t>POSSIBLE 2025:</w:t>
      </w:r>
      <w:r>
        <w:t xml:space="preserve"> Impact of Agriculture on Greenhouse Gas Emissions—A Review — https://doi.org/10.3390/en18092272</w:t>
      </w:r>
    </w:p>
    <w:p>
      <w:pPr/>
      <w:r>
        <w:rPr>
          <w:b/>
        </w:rPr>
        <w:t>Shared claim-specific concepts:</w:t>
      </w:r>
      <w:r>
        <w:t xml:space="preserve"> greenhouse, gas, emission, used, innovative, use; EU scope visible. This is a provisional connection, not an outcome finding.</w:t>
      </w:r>
    </w:p>
    <w:p>
      <w:pPr>
        <w:pStyle w:val="SourceNote"/>
      </w:pPr>
      <w:r>
        <w:rPr>
          <w:b/>
        </w:rPr>
        <w:t>Available abstract (not full text):</w:t>
      </w:r>
      <w:r>
        <w:t xml:space="preserve"> The restrictions imposed by the European Green Deal on Europe are expected to make Europe climate-neutral by 2050. In this context, this article examines the current efforts to reduce emission levels, focusing on available international scientific papers concerning European territory, particularly Poland. The study paid special attention to the sector of agriculture, which is considered a key contributor to greenhouse gas generation. It also analysed the impact of various tillage techniques and the application of organic and inorganic fertilisers, e.g., nitrogen fertilisers, digestate, or compost, on the emissions of greenhouse gases and other environmentally harmful substances. Although there are few scientific articles available that comprehensively describe the problem of greenhouse gas emissions from agriculture, it is still possible to observe the growing awareness of farmers and their daily impact on the environment. The current study demonstrated that agricultural activities significantly contribute to the emissions of three main greenhouse gases: carbon dioxide, nitrous oxide, and methane. The tillage and soil fertilisation methods used play a crucial role in their emissions into the atmosphere. The use of no-tillage (or reduced-tillage) techniques contributes to the sustainable development of agriculture while reducing greenhouse gas emissions. The machinery and fuels </w:t>
      </w:r>
    </w:p>
    <w:p>
      <w:pPr>
        <w:pStyle w:val="Heading2"/>
      </w:pPr>
      <w:r>
        <w:t>861. A decision support system to find the best water allocation strategies in a Mediterranean river basin in future scenarios of global change</w:t>
      </w:r>
    </w:p>
    <w:p>
      <w:pPr>
        <w:pStyle w:val="SourceNote"/>
      </w:pPr>
      <w:r>
        <w:rPr>
          <w:b/>
        </w:rPr>
        <w:t>Original source (2015):</w:t>
      </w:r>
      <w:r>
        <w:t xml:space="preserve"> https://doi.org/10.1080/0952813x.2015.1024493</w:t>
      </w:r>
    </w:p>
    <w:p>
      <w:pPr/>
      <w:r>
        <w:t>Original wording (abstract; indexed_source_text_not_full_document_verified): Several scenarios have been constructed to evaluate different sectorial water allocation policies to mitigate the water scarcity induced by global change.</w:t>
      </w:r>
    </w:p>
    <w:p>
      <w:pPr/>
      <w:r>
        <w:rPr>
          <w:b/>
        </w:rPr>
        <w:t>POSSIBLE 2026:</w:t>
      </w:r>
      <w:r>
        <w:t xml:space="preserve"> Make Any Collection Navigable: Methods for Constructing and Evaluating Hypergraph of Text — https://doi.org/10.48550/arxiv.2604.25906</w:t>
      </w:r>
    </w:p>
    <w:p>
      <w:pPr/>
      <w:r>
        <w:rPr>
          <w:b/>
        </w:rPr>
        <w:t>Shared claim-specific concepts:</w:t>
      </w:r>
      <w:r>
        <w:t xml:space="preserve"> several, constructed, evaluate; EU scope not established. This is a provisional connection, not an outcome finding.</w:t>
      </w:r>
    </w:p>
    <w:p>
      <w:pPr>
        <w:pStyle w:val="SourceNote"/>
      </w:pPr>
      <w:r>
        <w:rPr>
          <w:b/>
        </w:rPr>
        <w:t>Available abstract (not full text):</w:t>
      </w:r>
      <w:r>
        <w:t xml:space="preserve"> One reason the Web is more useful than a simple collection of documents is that the structure created by hyperlinks enables flexible navigation from one web page to another. However, hyperlinks are typically created manually and cannot fully capture a corpus' implicit semantic structures. Is there a general way to make an arbitrary collection navigable? Recent work has formalized this problem generally as constructing a Hypergraph of Text (HoT), which provides a formal mathematical structure for supporting navigation and browsing. However, how to construct and evaluate a Hypergraph of Text remains a challenge. In this paper, we propose and study several methods for constructing a HoT. We also propose a novel quantitative metric, effort ratio, for evaluating the structural quality of a constructed HoT. Experimental results show that even simple TF-IDF baselines can match LLM-based methods on our proposed effort ratio metric.</w:t>
      </w:r>
    </w:p>
    <w:p>
      <w:pPr/>
      <w:r>
        <w:rPr>
          <w:b/>
        </w:rPr>
        <w:t>POSSIBLE 2024:</w:t>
      </w:r>
      <w:r>
        <w:t xml:space="preserve"> Understanding and addressing the water footprint in the textile sector: A review — https://doi.org/10.1515/aut-2024-0004</w:t>
      </w:r>
    </w:p>
    <w:p>
      <w:pPr/>
      <w:r>
        <w:rPr>
          <w:b/>
        </w:rPr>
        <w:t>Shared claim-specific concepts:</w:t>
      </w:r>
      <w:r>
        <w:t xml:space="preserve"> several, different, water, policies, scarcity; EU scope not established. This is a provisional connection, not an outcome finding.</w:t>
      </w:r>
    </w:p>
    <w:p>
      <w:pPr>
        <w:pStyle w:val="SourceNote"/>
      </w:pPr>
      <w:r>
        <w:rPr>
          <w:b/>
        </w:rPr>
        <w:t>Available abstract (not full text):</w:t>
      </w:r>
      <w:r>
        <w:t xml:space="preserve"> Abstract Textile industry has a significant water footprint (WF), leading to various sustainability challenges. This article discusses key findings on the WF and outlines potential solutions. The industry’s WF includes three types: green, blue, and grey. Textile manufacturing is water-intensive, with stages like pretreatment, dyeing, printing, and finishing. This can contribute to water scarcity in some regions. Water pollution is another critical challenge, as the industry generates considerable wastewater containing diverse pollutants which can harm ecosystems and pose risks to public health. Different treatments to reduce the pollutants in water are studied. We have grouped innovations into five major categories for water conservation efforts in the textile industry: To address these sustainability challenges, several solutions are proposed. Each category offers a pathway to reduce its environmental footprint through water conservation. The adoption of water-efficient technologies, such as low-water dyeing and wastewater recycling, can reduce water consumption. Stricter policies for pollution control, along with incentives for sustainable practices, can encourage industry-wide change. Collaboration among stakeholders, including industry, government, and environmental groups, is also crucial for promoting sustainability and reducing the industry’s environmental impact. These </w:t>
      </w:r>
    </w:p>
    <w:p>
      <w:pPr/>
      <w:r>
        <w:rPr>
          <w:b/>
        </w:rPr>
        <w:t>POSSIBLE 2023:</w:t>
      </w:r>
      <w:r>
        <w:t xml:space="preserve"> Water management dilemma in the agricultural sector of Iran: A review focusing on water governance — https://doi.org/10.1016/j.agwat.2023.108480</w:t>
      </w:r>
    </w:p>
    <w:p>
      <w:pPr/>
      <w:r>
        <w:rPr>
          <w:b/>
        </w:rPr>
        <w:t>Shared claim-specific concepts:</w:t>
      </w:r>
      <w:r>
        <w:t xml:space="preserve"> several, water, scarcity; EU scope not established. This is a provisional connection, not an outcome finding.</w:t>
      </w:r>
    </w:p>
    <w:p>
      <w:pPr>
        <w:pStyle w:val="SourceNote"/>
      </w:pPr>
      <w:r>
        <w:rPr>
          <w:b/>
        </w:rPr>
        <w:t>Available abstract (not full text):</w:t>
      </w:r>
      <w:r>
        <w:t xml:space="preserve"> Around 90% of fresh renewable water is being used in Iran, indicating high water stress conditions across the country. Given that agricultural irrigation accounts for the majority of water use and consumption, any efforts to alleviate water stress must focus on enhancing agricultural water management. This paper aims to exhaustively compile the existing literature on the consequences and drivers of water insecurity, and to discuss the strategies balancing food and water security in the context of agricultural water management. Severe water scarcity can be largely attributed to governance gaps in Iran. In addition, inefficient water use, population growth, and warming/drying trends in the recent half a century are other major causes of the water scarcity. Groundwater over-depletion, quality deterioration of aquatic resources, decreased environmental flows and habitat destruction, and water conflicts are the significant consequences of improper water management in Iran. Several water productivity and conservation interventions, drawn from a rich literature, were suggested to improve agricultural water management in Iran. Furthermore, some water-food-energy nexus optimization methods, including changing cropping patterns, modifying energy tariffs, manipulating food diet, and reducing food waste, were discussed. Nexus-based strategies, which aim to achieve a balance between food pr</w:t>
      </w:r>
    </w:p>
    <w:p>
      <w:pPr/>
      <w:r>
        <w:rPr>
          <w:b/>
        </w:rPr>
        <w:t>POSSIBLE 2022:</w:t>
      </w:r>
      <w:r>
        <w:t xml:space="preserve"> Performance evaluation of constructed wetland for removal of pharmaceutical compounds from hospital wastewater: Seasonal perspective — https://doi.org/10.1016/j.arabjc.2022.104344</w:t>
      </w:r>
    </w:p>
    <w:p>
      <w:pPr/>
      <w:r>
        <w:rPr>
          <w:b/>
        </w:rPr>
        <w:t>Shared claim-specific concepts:</w:t>
      </w:r>
      <w:r>
        <w:t xml:space="preserve"> several, constructed, evaluate, different; EU scope not established. This is a provisional connection, not an outcome finding.</w:t>
      </w:r>
    </w:p>
    <w:p>
      <w:pPr>
        <w:pStyle w:val="SourceNote"/>
      </w:pPr>
      <w:r>
        <w:rPr>
          <w:b/>
        </w:rPr>
        <w:t>Available abstract (not full text):</w:t>
      </w:r>
      <w:r>
        <w:t xml:space="preserve"> Constructed wetland employs vegetation as a natural medium to remove pollutants from wastewater for this treatment. It is eco-friendly, sustainable, economical, low maintenance, low running cost, and easy to use. This has prompted several studies to investigate its performance in treating pollutants from the conventional to emerging contaminants category, including pharmaceutical compounds. However, there is still a lack of work on the impact of monsoons on the removal efficiency of pharmaceutically active compounds from wastewater. This study evaluated constructed wetland performance during the premonsoon, monsoon, and post-monsoon seasons. A pilot-scale constructed wetland setup was established to conduct this study. The target compound included paracetamol, ibuprofen, carbamazepine, lorazepam, ciprofloxacin, sulfamethoxazole, and Fluvastatin. In the constructed wetland, for paracetamol and ibuprofen, NSAIDs concentration was observed to be 1503–6307 ngL −1 and 564–808 ngL −1 . The concentrations of antibiotics, sulfamethoxazole, and ciprofloxacin were 16532–21635 ngL −1 and 734–1178 ngL −1, respectively. The carbamazepine, lorazepam, and Lutvastatin concentration range was 616–906 ngL −1 , 2742–3775 ngL −1 , and 694–2068 ngL −1, respectively. The hazard quotient approach was adopted to evaluate potential environmental risk from target compounds. The increase of paracetamol 3</w:t>
      </w:r>
    </w:p>
    <w:p>
      <w:pPr/>
      <w:r>
        <w:rPr>
          <w:b/>
        </w:rPr>
        <w:t>POSSIBLE 2022:</w:t>
      </w:r>
      <w:r>
        <w:t xml:space="preserve"> Evaluating the potential of MeteoSwiss forecast strategies when constructing weather warnings — https://doi.org/10.5194/ems2022-458</w:t>
      </w:r>
    </w:p>
    <w:p>
      <w:pPr/>
      <w:r>
        <w:rPr>
          <w:b/>
        </w:rPr>
        <w:t>Shared claim-specific concepts:</w:t>
      </w:r>
      <w:r>
        <w:t xml:space="preserve"> several, evaluate, different, mitigate; EU scope not established. This is a provisional connection, not an outcome finding.</w:t>
      </w:r>
    </w:p>
    <w:p>
      <w:pPr>
        <w:pStyle w:val="SourceNote"/>
      </w:pPr>
      <w:r>
        <w:rPr>
          <w:b/>
        </w:rPr>
        <w:t>Available abstract (not full text):</w:t>
      </w:r>
      <w:r>
        <w:t xml:space="preserve"> To mitigate the impacts associated with adverse weather conditions, meteorological services issue weather warnings to the general public. These warning systems rely heavily on forecasts issued by underlying prediction systems. When deciding which prediction system(s) to utilise when constructing warnings, it is important to compare systems in their ability to forecast the occurrence and severity of extreme weather events: if a warning system has access to more accurate forecasts for extreme weather, then it has the potential to generate more useful warnings. However, evaluating forecasts for extreme events is known to be a challenging task. This is exacerbated further by the fact that high-impact weather often manifests as a result of several confounding features, a realisation that has led to considerable recent research on so-called compound weather events. Both univariate and multivariate methods are therefore required to evaluate forecasts for high-impact weather. In this work, we review weighted verification tools, which allow particular outcomes to be emphasised during forecast evaluation, and demonstrate how these can be used to verify forecasts for compound weather events. We compare different approaches to construct weighted scoring rules, and exploit recent developments to apply these scores in a multivariate setting. Additionally, we leverage existing results on weig</w:t>
      </w:r>
    </w:p>
    <w:p>
      <w:pPr/>
      <w:r>
        <w:rPr>
          <w:b/>
        </w:rPr>
        <w:t>POSSIBLE 2022:</w:t>
      </w:r>
      <w:r>
        <w:t xml:space="preserve"> Multi-Criteria Analysis for Evaluating Constructed Wetland as a Sustainable Sanitation Technology, Jordan Case Study — https://doi.org/10.3390/su142214867</w:t>
      </w:r>
    </w:p>
    <w:p>
      <w:pPr/>
      <w:r>
        <w:rPr>
          <w:b/>
        </w:rPr>
        <w:t>Shared claim-specific concepts:</w:t>
      </w:r>
      <w:r>
        <w:t xml:space="preserve"> several, constructed, evaluate; EU scope not established. This is a provisional connection, not an outcome finding.</w:t>
      </w:r>
    </w:p>
    <w:p>
      <w:pPr>
        <w:pStyle w:val="SourceNote"/>
      </w:pPr>
      <w:r>
        <w:rPr>
          <w:b/>
        </w:rPr>
        <w:t>Available abstract (not full text):</w:t>
      </w:r>
      <w:r>
        <w:t xml:space="preserve"> There is a growing demand for integrating an assessment tool to select wastewater treatment alternatives based on sustainability in the Jordanian wastewater sector. The sector in Jordan has a unique and critical situation that has raised concerns among stakeholders, including donors, and international and national organizations, to carefully select a sustainable treatment system for each case. The Jordanian government set a tool to distinguish between treatment systems, and this tool is mainly focused on financial criteria. However, the sector needs to integrate assessment tools with a wider consideration of other sustainability criteria. Usually, stakeholders are not equipped with a clear methodology to perform sustainability assessments. Therefore, this study proposes and develops a Multi-Criteria Analysis (MCA) tool to evaluate wastewater treatment alternatives from a sustainability perspective for a case study in Jordan—Al Azraq town. Firstly, the study explored the decision and organizational context of the wastewater sector through several interviews. Secondly, assessment criteria and indicators were proposed to compare three proposed treatment alternatives. Finally, the Analytical Hierarchy Process (AHP) was applied with composite scores to evaluate wastewater treatment alternatives. Finally, The results of the composite scores indicated that French Constructed Wetland (</w:t>
      </w:r>
    </w:p>
    <w:p>
      <w:pPr/>
      <w:r>
        <w:rPr>
          <w:b/>
        </w:rPr>
        <w:t>POSSIBLE 2021:</w:t>
      </w:r>
      <w:r>
        <w:t xml:space="preserve"> Assessing the Impact of Water Efficiency Policies on Qatar’s Electricity and Water Sectors — https://doi.org/10.3390/en14144348</w:t>
      </w:r>
    </w:p>
    <w:p>
      <w:pPr/>
      <w:r>
        <w:rPr>
          <w:b/>
        </w:rPr>
        <w:t>Shared claim-specific concepts:</w:t>
      </w:r>
      <w:r>
        <w:t xml:space="preserve"> different, water, policies, scarcity; EU scope not established. This is a provisional connection, not an outcome finding.</w:t>
      </w:r>
    </w:p>
    <w:p>
      <w:pPr>
        <w:pStyle w:val="SourceNote"/>
      </w:pPr>
      <w:r>
        <w:rPr>
          <w:b/>
        </w:rPr>
        <w:t>Available abstract (not full text):</w:t>
      </w:r>
      <w:r>
        <w:t xml:space="preserve"> Water and electricity have a unique relationship in the modern world as one requires the other in a complex system of networks to supply the utility to the customers. This energy–water interaction is especially peculiar in the Gulf Cooperation Council, where there are limited water resources, but extremely high use rates. Qatar provides a unique case in terms of extreme water scarcity and excessive water use. To understand the intricate network, this paper establishes an updated and comprehensive qualitative model of the water system in the country with the help of a water balance and system dynamics (causal loop diagram) methodology. Regression estimates are then used to estimate future water and energy consumption in addition to carbon dioxide emissions until the year 2050. Finally, system dynamics (stock and flow diagram) is used to determine the supply impacts of efficiency policies including limiting of groundwater abstraction to only 50 million m3, reduction of water consumption in the household, commercial and industrial sector by 10%, and gradual increase in the share of reverse osmosis (RO)-produced desalinated water to 50% in order to assess the supply volume, electricity consumption and CO2 emissions. The efficient use of water in different sectors of the economy results in a combined saving of 1222 GWh (8.1%) or 594,000 tons CO2. Furthermore, by moving to membrane-b</w:t>
      </w:r>
    </w:p>
    <w:p>
      <w:pPr/>
      <w:r>
        <w:rPr>
          <w:b/>
        </w:rPr>
        <w:t>POSSIBLE 2020:</w:t>
      </w:r>
      <w:r>
        <w:t xml:space="preserve"> A review of climate-change impact and adaptation studies for the water sector in Thailand — https://doi.org/10.1088/1748-9326/abce80</w:t>
      </w:r>
    </w:p>
    <w:p>
      <w:pPr/>
      <w:r>
        <w:rPr>
          <w:b/>
        </w:rPr>
        <w:t>Shared claim-specific concepts:</w:t>
      </w:r>
      <w:r>
        <w:t xml:space="preserve"> several, water; EU scope not established. This is a provisional connection, not an outcome finding.</w:t>
      </w:r>
    </w:p>
    <w:p>
      <w:pPr>
        <w:pStyle w:val="SourceNote"/>
      </w:pPr>
      <w:r>
        <w:rPr>
          <w:b/>
        </w:rPr>
        <w:t>Available abstract (not full text):</w:t>
      </w:r>
      <w:r>
        <w:t xml:space="preserve"> Abstract Thailand plays a central economic and policy-making role in Southeast Asia. Although climate change adaptation is being mainstreamed in Thailand, a well-organized overview of the impacts of climate change and potential adaptation measures has been unavailable to date. Here we present a comprehensive review of climate-change impact studies that focused on the Thai water sector, based on a literature review of six sub-sectors: riverine hydrology, sediment erosion, coastal erosion, forest hydrology, agricultural hydrology, and urban hydrology. Our review examined the long-term availability of observational data, historical changes, projected changes in key variables, and the availability of economic assessments and their implications for adaptation actions. Although some basic hydrometeorological variables have been well monitored, specific historical changes due to climate change have seldom been detected. Furthermore, although numerous future projections have been proposed, the likely changes due to climate change remain unclear due to a general lack of systematic multi-model and multi-scenario assessments and limited spatiotemporal coverage of the study area. Several gaps in the research were identified, and ten research recommendations are presented. While the information contained herein contributes to state-of-the-art knowledge on the impact of climate change on the</w:t>
      </w:r>
    </w:p>
    <w:p>
      <w:pPr/>
      <w:r>
        <w:rPr>
          <w:b/>
        </w:rPr>
        <w:t>POSSIBLE 2020:</w:t>
      </w:r>
      <w:r>
        <w:t xml:space="preserve"> Some Fuzzy Measures Constructing Paradigm and Methods From Given Measure Spaces and Evaluation Information — https://doi.org/10.1109/tfuzz.2020.3044247</w:t>
      </w:r>
    </w:p>
    <w:p>
      <w:pPr/>
      <w:r>
        <w:rPr>
          <w:b/>
        </w:rPr>
        <w:t>Shared claim-specific concepts:</w:t>
      </w:r>
      <w:r>
        <w:t xml:space="preserve"> several, constructed, different; EU scope not established. This is a provisional connection, not an outcome finding.</w:t>
      </w:r>
    </w:p>
    <w:p>
      <w:pPr>
        <w:pStyle w:val="SourceNote"/>
      </w:pPr>
      <w:r>
        <w:rPr>
          <w:b/>
        </w:rPr>
        <w:t>Available abstract (not full text):</w:t>
      </w:r>
      <w:r>
        <w:t xml:space="preserve"> With some theoretical derivation and practical decision-making problems, in this article, we propose a constructing paradigm for generating fuzzy measures in some certain decision situations, such as in risk evaluation and decision making. The constructing paradigm involves four constructing factors: source measure space, construction function, construction choice, and object/constructed measure space. We use some strict and consistent formulation to reinvent the processes of constructing the well-known belief measure and plausibility measure. In this a, the belief measure and plausibility measure are regarded as the two extremities of some pessimism–optimism preferences, and we further propose two construction choices to construct the families of fuzzy measures to generalize and seamlessly connect them. We also propose three different ways to determine construction functions in some certain decisional situations. Several relevant mathematical properties and numerical examples are also presented.</w:t>
      </w:r>
    </w:p>
    <w:p>
      <w:pPr/>
      <w:r>
        <w:rPr>
          <w:b/>
        </w:rPr>
        <w:t>POSSIBLE 2019:</w:t>
      </w:r>
      <w:r>
        <w:t xml:space="preserve"> Evaluation of software to construct genetic linkage maps in plants — https://doi.org/10.11606/d.11.2019.tde-28082019-142400</w:t>
      </w:r>
    </w:p>
    <w:p>
      <w:pPr/>
      <w:r>
        <w:rPr>
          <w:b/>
        </w:rPr>
        <w:t>Shared claim-specific concepts:</w:t>
      </w:r>
      <w:r>
        <w:t xml:space="preserve"> several, evaluate, different; EU scope not established. This is a provisional connection, not an outcome finding.</w:t>
      </w:r>
    </w:p>
    <w:p>
      <w:pPr>
        <w:pStyle w:val="SourceNote"/>
      </w:pPr>
      <w:r>
        <w:rPr>
          <w:b/>
        </w:rPr>
        <w:t>Available abstract (not full text):</w:t>
      </w:r>
      <w:r>
        <w:t xml:space="preserve"> Evaluation of software to construct genetic linkage maps in plantsGenetic maps are useful tools in breeding programs and evolutionary studies.Since the publication of the first map, several concepts have been proposed and implemented in various mapping software.Each software presents different characteristics for the construction of maps.For example, aspects such as availability of source code, licenses, tutorials, and operating system need to be considered.There are also important points related to the statistical methods employed.In this context, the users' choice can often be a complicated task.The objectives here were: i) to present the main software with free licenses developed in recent years; ii) construct linkage maps using these software and, iii) evaluate them from the point of view of users.The software considered were: OneMap, Lep-MAP, HighMap, Lep-MAP2, Flipper, Lep-MAP3, ASMap, and GUSMap.This work can guide researchers about the free tools available to construct genetic maps.</w:t>
      </w:r>
    </w:p>
    <w:p>
      <w:pPr/>
      <w:r>
        <w:rPr>
          <w:b/>
        </w:rPr>
        <w:t>POSSIBLE 2019:</w:t>
      </w:r>
      <w:r>
        <w:t xml:space="preserve"> Evaluation of a constructed wetland for wastewater treatment: Addressing emerging organic contaminants and antibiotic resistant bacteria — https://doi.org/10.1016/j.nbt.2019.05.006</w:t>
      </w:r>
    </w:p>
    <w:p>
      <w:pPr/>
      <w:r>
        <w:rPr>
          <w:b/>
        </w:rPr>
        <w:t>Shared claim-specific concepts:</w:t>
      </w:r>
      <w:r>
        <w:t xml:space="preserve"> several, constructed, evaluate, different, water; EU scope not established. This is a provisional connection, not an outcome finding.</w:t>
      </w:r>
    </w:p>
    <w:p>
      <w:pPr>
        <w:pStyle w:val="SourceNote"/>
      </w:pPr>
      <w:r>
        <w:rPr>
          <w:b/>
        </w:rPr>
        <w:t>Available abstract (not full text):</w:t>
      </w:r>
      <w:r>
        <w:t xml:space="preserve"> The occurrence of emerging organic contaminants (EOCs) in wastewaters and the inability of the conventional wastewater treatments plants to deal with them have been pointed out several times over the last few years. As a result, remnants of those compounds released into the aquatic environment present a potential risk for public health. Constructed wetlands (CWs) have been proposed as environmentally friendly, low-cost alternative systems with satisfactory results for different types of contaminants. This study aimed to evaluate the efficiency of a CW system, planted with the halophyte Juncus acutus, to eliminate bisphenol A (BPA) and two antibiotics, namely ciprofloxacin (CIP) and sulfamethoxazole (SMX) under different operating conditions. The behavior of Escherichia coli and enterococcal populations in terms of changes in their resistance profile for the selected antibiotics and the abundance of two resistance genes (qnrA and sul1) were also examined. BPA and CIP were significantly removed by the CW, with an overall removal of 76.2% and 93.9% respectively and with the plants playing a vital role. In contrast, SMX was not significantly eliminated. Moreover, fluctuations in the antibiotic resistance profile of bacteria were observed. Treatment processes affected the response of the two selected bacterial indicators, depending on the conditions employed in each case. Furthermor</w:t>
      </w:r>
    </w:p>
    <w:p>
      <w:pPr/>
      <w:r>
        <w:rPr>
          <w:b/>
        </w:rPr>
        <w:t>POSSIBLE 2018:</w:t>
      </w:r>
      <w:r>
        <w:t xml:space="preserve"> Cross-Sectoral Analysis of Water Usage in Thailand Using Input–Output Model — https://doi.org/10.4186/ej.2018.22.6.93</w:t>
      </w:r>
    </w:p>
    <w:p>
      <w:pPr/>
      <w:r>
        <w:rPr>
          <w:b/>
        </w:rPr>
        <w:t>Shared claim-specific concepts:</w:t>
      </w:r>
      <w:r>
        <w:t xml:space="preserve"> several, constructed, water, policies; EU scope not established. This is a provisional connection, not an outcome finding.</w:t>
      </w:r>
    </w:p>
    <w:p>
      <w:pPr>
        <w:pStyle w:val="SourceNote"/>
      </w:pPr>
      <w:r>
        <w:rPr>
          <w:b/>
        </w:rPr>
        <w:t>Available abstract (not full text):</w:t>
      </w:r>
      <w:r>
        <w:t xml:space="preserve"> Thailand currently ranks third among the most water-intensive countries in the world.The percentage shares of water demand in the country's agriculture, manufacturing, and service sectors, which are major economic sectors, are 75%, 3%, and 5%, respectively.With the continuous growth of the economy, the demand for water is steadily rising, while the expansion of water supply remains constrained by several factors and the water supply is also affected by climate change.This study uses the input-output model to examine the relationship between water usage and the economic system in Thailand in 2010.The constructed input-output model is the integration of the Leontief inverse matrix, the matrix of water usage, and the details of the gross domestic product (GDP).The model indicates the linkage between GDP expansion and water demand in both direct and indirect usage.The computation result obtained from the model indicates that the agricultural sector is the major water user, with its ratio of direct water use being the highest.The manufacturing sector records the highest ratio of indirect water use, which is influenced by its supply chain comprising the agriculture and service sectors.This model and its results may serve as the main foundation for the design of economic and environmental policies oriented toward optimizing water demand and supply.The model can also be extended and en</w:t>
      </w:r>
    </w:p>
    <w:p>
      <w:pPr>
        <w:pStyle w:val="Heading2"/>
      </w:pPr>
      <w:r>
        <w:t>862. A strategic policy scenario analysis framework for the sustainable tourist development of peripheral small island areas – the case of Lefkada-Greece Island</w:t>
      </w:r>
    </w:p>
    <w:p>
      <w:pPr>
        <w:pStyle w:val="SourceNote"/>
      </w:pPr>
      <w:r>
        <w:rPr>
          <w:b/>
        </w:rPr>
        <w:t>Original source (2015):</w:t>
      </w:r>
      <w:r>
        <w:t xml:space="preserve"> https://doi.org/10.1007/s40309-015-0063-z</w:t>
      </w:r>
    </w:p>
    <w:p>
      <w:pPr/>
      <w:r>
        <w:t>Original wording (abstract; indexed_source_text_not_full_document_verified): This will be implemented to a specific peripheral small island region, the island of Lefkada-Greece, seeking the integrated development of the island with emphasis on the sustainable exploitation of local tourist assets. Information gathered on potential developments of the external environment are used to inform the structuring and evaluation of sustainable tourist development scenarios in order to conclude with the most prevalent future perspective for the specific region, taking into consideration the local preferences and values in a participatory evaluation context.</w:t>
      </w:r>
    </w:p>
    <w:p>
      <w:pPr/>
      <w:r>
        <w:rPr>
          <w:b/>
        </w:rPr>
        <w:t>POSSIBLE 2026:</w:t>
      </w:r>
      <w:r>
        <w:t xml:space="preserve"> Servitising rural heritage: Social innovation and the social economy in peripheral Europe — https://doi.org/10.24136/eq.4292</w:t>
      </w:r>
    </w:p>
    <w:p>
      <w:pPr/>
      <w:r>
        <w:rPr>
          <w:b/>
        </w:rPr>
        <w:t>Shared claim-specific concepts:</w:t>
      </w:r>
      <w:r>
        <w:t xml:space="preserve"> peripheral, local, assets, used; EU scope visible. This is a provisional connection, not an outcome finding.</w:t>
      </w:r>
    </w:p>
    <w:p>
      <w:pPr>
        <w:pStyle w:val="SourceNote"/>
      </w:pPr>
      <w:r>
        <w:rPr>
          <w:b/>
        </w:rPr>
        <w:t>Available abstract (not full text):</w:t>
      </w:r>
      <w:r>
        <w:t xml:space="preserve"> Research background: Rural regions across post-industrial Europe face persistent structural vulnerabilities such as demographic ageing, selective outmigration and economic monocultures. At the same time, these regions possess underutilised cultural, ecological and social resources that can become drivers of regeneration. While social innovation, heritage-based development and the social economy have been widely examined, attention has been limited regarding how heritage assets can be transformed into diversified service ecosystems and institutionalised within social economy structures. In this context, the concept of rural heritage servitisation offers a useful analytical lens for understanding these processes. Purpose of the article: This study examines the Lithuanian spa town of Druskininkai as an analytically informative case for exploring how community initiatives reinterpret heritage as a basis for social innovation and economic diversification. It conceptualises rural heritage servitisation as a bridging mechanism between community-led experimentation, service creation and institutionalised social economy structures. Methods: The study employs a mixed methods case study design combining desk research, policy and document analysis, stakeholder consultations and semi-structured interviews with implementers of six social economy initiatives. Qualitative coding and comparativ</w:t>
      </w:r>
    </w:p>
    <w:p>
      <w:pPr/>
      <w:r>
        <w:rPr>
          <w:b/>
        </w:rPr>
        <w:t>POSSIBLE 2026:</w:t>
      </w:r>
      <w:r>
        <w:t xml:space="preserve"> Expert perspectives on the requirements for implementing prehospital peripheral nerve blocks: a survey among members of the European Society of Regional Anaesthesia (ESRA) — https://doi.org/10.1186/s12871-026-04093-3</w:t>
      </w:r>
    </w:p>
    <w:p>
      <w:pPr/>
      <w:r>
        <w:rPr>
          <w:b/>
        </w:rPr>
        <w:t>Shared claim-specific concepts:</w:t>
      </w:r>
      <w:r>
        <w:t xml:space="preserve"> implemented, specific, peripheral, local, information, used; EU scope visible. This is a provisional connection, not an outcome finding.</w:t>
      </w:r>
    </w:p>
    <w:p>
      <w:pPr>
        <w:pStyle w:val="SourceNote"/>
      </w:pPr>
      <w:r>
        <w:rPr>
          <w:b/>
        </w:rPr>
        <w:t>Available abstract (not full text):</w:t>
      </w:r>
      <w:r>
        <w:t xml:space="preserve"> BACKGROUND: Evidence on prehospital regional anesthesia (RA) is limited, with only a few trials comparing peripheral nerve blocks (PNBs) to standard opioid analgesia. Although well established in hospitals, their use in prehospital care remains rare. This survey aimed to capture expert perspectives on prerequisites, barriers, and preferred block techniques for broader implementation of prehospital PNBs. METHODS: Members of the European Society of Regional Anaesthesia (ESRA) were invited to participate in an anonymous online survey. The 30-item questionnaire collected demographic data, professional background, information on the organization of emergency medical services (EMS), and ultrasound availability. Participants were also asked about their experience with in-hospital and prehospital RA, perceived training requirements, and necessary equipment. Finally, respondents assessed the advantages, disadvantages, and suitability of specific RA techniques for prehospital scenarios. Data were analyzed descriptively and are presented as absolute numbers and percentages. RESULTS: A total of 415 fully completed questionnaires were included in the analysis. 82% (342/415) of respondents supported prehospital RA, but only 20% (73/415) reported its current use in their EMS area. Onethird of this group had personally performed RA procedures, with fascia iliaca compartment blocks (FICB) and f</w:t>
      </w:r>
    </w:p>
    <w:p>
      <w:pPr/>
      <w:r>
        <w:rPr>
          <w:b/>
        </w:rPr>
        <w:t>POSSIBLE 2024:</w:t>
      </w:r>
      <w:r>
        <w:t xml:space="preserve"> For whom do site-specific art structures provide territorial services? The case of European peripheral areas — https://doi.org/10.1080/14702029.2024.2315844</w:t>
      </w:r>
    </w:p>
    <w:p>
      <w:pPr/>
      <w:r>
        <w:rPr>
          <w:b/>
        </w:rPr>
        <w:t>Shared claim-specific concepts:</w:t>
      </w:r>
      <w:r>
        <w:t xml:space="preserve"> specific, peripheral, island, local; EU scope visible. This is a provisional connection, not an outcome finding.</w:t>
      </w:r>
    </w:p>
    <w:p>
      <w:pPr>
        <w:pStyle w:val="SourceNote"/>
      </w:pPr>
      <w:r>
        <w:rPr>
          <w:b/>
        </w:rPr>
        <w:t>Available abstract (not full text):</w:t>
      </w:r>
      <w:r>
        <w:t xml:space="preserve"> What type of site-specific outdoor art structure is more likely to induce and catalyze artistic territorial services and for whom are these services intended for? Answering this question will help the understanding of territorial impacts of such art projects in European peripheric areas. This article is based on the analysis of a European database on 128 site-specific outdoor visual art structures informed by 36 distinct criteria like accessibility, location, institutional statuses and funding, initiator and audiences, site-specificness criteria, etc. A typology, produced by the statistical analysis of this database, shows that three main intelligible categories dominate site-specific art initiatives: ‘art-washing sculpture parks’, ‘territorial art of peripheries’ and ‘eco-artistic front of art projects’. They all have different kinds of specific interactions, sometimes critical, with the local territory. They act differently as artistic territorial services (ATS) providers. ATS in Spain (Cesar Manrique artworks in Lanzarote Island) show how art is transformed into mass-tourism attraction; in France the Forêt d’ Art Contemporain in Nouvelle-Aquitaine and in Greece, the Vovousa Festival in Epirus, show how art can reinforce territorial identity and environmental commitment, but with very mixed benefits to the local economy.</w:t>
      </w:r>
    </w:p>
    <w:p>
      <w:pPr/>
      <w:r>
        <w:rPr>
          <w:b/>
        </w:rPr>
        <w:t>POSSIBLE 2024:</w:t>
      </w:r>
      <w:r>
        <w:t xml:space="preserve"> Active Labour Market Policies and Youth Employment in European Peripheries — https://doi.org/10.17645/pag.7958</w:t>
      </w:r>
    </w:p>
    <w:p>
      <w:pPr/>
      <w:r>
        <w:rPr>
          <w:b/>
        </w:rPr>
        <w:t>Shared claim-specific concepts:</w:t>
      </w:r>
      <w:r>
        <w:t xml:space="preserve"> implemented, peripheral, emphasis; EU scope visible. This is a provisional connection, not an outcome finding.</w:t>
      </w:r>
    </w:p>
    <w:p>
      <w:pPr>
        <w:pStyle w:val="SourceNote"/>
      </w:pPr>
      <w:r>
        <w:rPr>
          <w:b/>
        </w:rPr>
        <w:t>Available abstract (not full text):</w:t>
      </w:r>
      <w:r>
        <w:t xml:space="preserve"> This thematic issue discusses the design, implementation, and impact of youth-oriented active labour market policies in Europe, with a particular emphasis on its peripheries. The need to address territorialised, youth-oriented active labour market policies is pressing for several reasons. For one, the whole socioeconomic paradigm is undergoing fundamental changes due to the dual transition (digital and green) that is expected to have an impact on the rural/urban divide. Moreover, at the subnational level, youth unemployment in certain regions is a more pressing problem than suggested by existing studies, which have mostly focused on the national level. This implies that closer inspection of the subnational level, in general, and the peripheral regions, in particular, will reveal more marked cross-national differences. This thematic issue offers a point of departure for the suggested territorialised approach to the study of how active labour market policies for young people are formulated and implemented, and which effects they have on their target groups.</w:t>
      </w:r>
    </w:p>
    <w:p>
      <w:pPr/>
      <w:r>
        <w:rPr>
          <w:b/>
        </w:rPr>
        <w:t>POSSIBLE 2024:</w:t>
      </w:r>
      <w:r>
        <w:t xml:space="preserve"> European statecraft in the Pacific Islands — https://doi.org/10.4324/9781003496441-11</w:t>
      </w:r>
    </w:p>
    <w:p>
      <w:pPr/>
      <w:r>
        <w:rPr>
          <w:b/>
        </w:rPr>
        <w:t>Shared claim-specific concepts:</w:t>
      </w:r>
      <w:r>
        <w:t xml:space="preserve"> island, region, potential; EU scope visible. This is a provisional connection, not an outcome finding.</w:t>
      </w:r>
    </w:p>
    <w:p>
      <w:pPr>
        <w:pStyle w:val="SourceNote"/>
      </w:pPr>
      <w:r>
        <w:rPr>
          <w:b/>
        </w:rPr>
        <w:t>Available abstract (not full text):</w:t>
      </w:r>
      <w:r>
        <w:t xml:space="preserve"> This chapter analyses the European Union, France, Germany, and the United Kingdom statecraft in the Pacific Islands region. Like other partners, Europe has gained a sudden interest in the ‘Indo-Pacific’ as part of the emerging geostrategic competition between the United States and China – – portraying Europe as a ‘mediator’ to prevent conflict. European countries have historically had colonial relationships with many Pacific Island states, but in the last few decades, their statecraft has waned to the point of invisibility. Until very recently, only France was actively deploying statecraft within and through its territories, French Polynesia, New Caledonia, and Wallis and Futuna. But with geopolitical competition, Europe has begun deploying tools of statecraft in the region again: through visits and the establishment of Special Envoys. This chapter analyses the intention and effectiveness of such statecraft, and the potential implications for the Pacific Islands region.</w:t>
      </w:r>
    </w:p>
    <w:p>
      <w:pPr/>
      <w:r>
        <w:rPr>
          <w:b/>
        </w:rPr>
        <w:t>POSSIBLE 2024:</w:t>
      </w:r>
      <w:r>
        <w:t xml:space="preserve"> Repression and growth in the periphery of Europe: The politics of changing growth regime in Turkey — https://doi.org/10.1177/10245294241233093</w:t>
      </w:r>
    </w:p>
    <w:p>
      <w:pPr/>
      <w:r>
        <w:rPr>
          <w:b/>
        </w:rPr>
        <w:t>Shared claim-specific concepts:</w:t>
      </w:r>
      <w:r>
        <w:t xml:space="preserve"> peripheral, emphasis; EU scope visible. This is a provisional connection, not an outcome finding.</w:t>
      </w:r>
    </w:p>
    <w:p>
      <w:pPr>
        <w:pStyle w:val="SourceNote"/>
      </w:pPr>
      <w:r>
        <w:rPr>
          <w:b/>
        </w:rPr>
        <w:t>Available abstract (not full text):</w:t>
      </w:r>
      <w:r>
        <w:t xml:space="preserve"> This study shows that in peripheral economies that are linked into circuits of global capital on unequal terms, attempts to change the core features of an existing growth regime without broader political support intensify externally induced conflict among the ruling coalition. Under these circumstances, a transition to a new demand regime within a short time frame is more likely to take place via authoritarian intervention when the political cost of repression is lower than the cost of redistribution. In developing these points, the analysis builds on evidence from Turkey: following the 2008 global credit crunch, the Justice and Development Party’s (Adalet ve Kalkinma Partisi, AKP) domestic demand-led and credit-fueled growth under dependent financialization has experienced a major crisis. However, the subsequent push to replace this regime with a profit-led model with an emphasis on exports worsened the conflict among the political coalition supporting the party as their preferences over monetary policy began to diverge. A temporary resolution of this deepening rift has been possible by way of an authoritarian intervention under R. T. Erdogan’s presidential bid in 2017–18. By situating the debate on the relationship between growth regimes and political institutions, the study further unpacks the nexus between democratic backsliding, dominant social blocs, and economic growth i</w:t>
      </w:r>
    </w:p>
    <w:p>
      <w:pPr/>
      <w:r>
        <w:rPr>
          <w:b/>
        </w:rPr>
        <w:t>POSSIBLE 2024:</w:t>
      </w:r>
      <w:r>
        <w:t xml:space="preserve"> Local economic development strategies in a medium-sized city on the European periphery: a path to become an economic center of Eastern Central Europe importance — https://doi.org/10.3389/fpos.2024.1335735</w:t>
      </w:r>
    </w:p>
    <w:p>
      <w:pPr/>
      <w:r>
        <w:rPr>
          <w:b/>
        </w:rPr>
        <w:t>Shared claim-specific concepts:</w:t>
      </w:r>
      <w:r>
        <w:t xml:space="preserve"> small, emphasis, local; EU scope visible. This is a provisional connection, not an outcome finding.</w:t>
      </w:r>
    </w:p>
    <w:p>
      <w:pPr>
        <w:pStyle w:val="SourceNote"/>
      </w:pPr>
      <w:r>
        <w:rPr>
          <w:b/>
        </w:rPr>
        <w:t>Available abstract (not full text):</w:t>
      </w:r>
      <w:r>
        <w:t xml:space="preserve"> Large cities are becoming increasingly valuable in the spatial structure of globalized economies. Although these centers vary significantly regarding population, economic structure, and income conditions, they—compared to their surroundings—generally show a higher productivity level, a higher rate of employment, higher education, and higher innovation performance. However, this metropolization and concentration of the economy in large cities made the development of cities regarded as medium-sized on an international scale an issue of competitiveness in Europe, characterized by dense town networks, a small number of metropolises, and a significant weight of medium- and small-sized towns. However, one of the main preconditions for achieving success in this competition is to form a comprehensive and complex concept with a significant emphasis on economic development. Therefore, the aim of our study is to analyze the local economic development strategies for the last three decades, as elaborated in Debrecen. In the framework of our empirical analysis, we examined how different mainstream concepts appear in local development strategies and which development objectives are determined by the local strategies. Furthermore, we also aimed to identify possible changes in ideas about city roles by referring to the organization of economic space.</w:t>
      </w:r>
    </w:p>
    <w:p>
      <w:pPr/>
      <w:r>
        <w:rPr>
          <w:b/>
        </w:rPr>
        <w:t>POSSIBLE 2023:</w:t>
      </w:r>
      <w:r>
        <w:t xml:space="preserve"> European Academy of Neurology/Peripheral Nerve Society Guideline on diagnosis and treatment of Guillain–Barré syndrome — https://doi.org/10.1111/ene.16073</w:t>
      </w:r>
    </w:p>
    <w:p>
      <w:pPr/>
      <w:r>
        <w:rPr>
          <w:b/>
        </w:rPr>
        <w:t>Shared claim-specific concepts:</w:t>
      </w:r>
      <w:r>
        <w:t xml:space="preserve"> specific, peripheral; EU scope visible. This is a provisional connection, not an outcome finding.</w:t>
      </w:r>
    </w:p>
    <w:p>
      <w:pPr>
        <w:pStyle w:val="SourceNote"/>
      </w:pPr>
      <w:r>
        <w:rPr>
          <w:b/>
        </w:rPr>
        <w:t>Available abstract (not full text):</w:t>
      </w:r>
      <w:r>
        <w:t xml:space="preserve"> Guillain-Barré syndrome (GBS) is an acute polyradiculoneuropathy. Symptoms may vary greatly in presentation and severity. Besides weakness and sensory disturbances, patients may have cranial nerve involvement, respiratory insufficiency, autonomic dysfunction and pain. To develop an evidence-based guideline for the diagnosis and treatment of GBS, using Grading of Recommendations, Assessment, Development and Evaluation (GRADE) methodology a Task Force (TF) of the European Academy of Neurology (EAN) and the Peripheral Nerve Society (PNS) constructed 14 Population/Intervention/Comparison/Outcome questions (PICOs) covering diagnosis, treatment and prognosis of GBS, which guided the literature search. Data were extracted and summarised in GRADE Summaries of Findings (for treatment PICOs) or Evidence Tables (for diagnostic and prognostic PICOs). Statements were prepared according to GRADE Evidence-to-Decision (EtD) frameworks. For the six intervention PICOs, evidence-based recommendations are made. For other PICOs, good practice points (GPPs) are formulated. For diagnosis, the principal GPPs are: GBS is more likely if there is a history of recent diarrhoea or respiratory infection; CSF examination is valuable, particularly when the diagnosis is less certain; electrodiagnostic testing is advised to support the diagnosis; testing for anti-ganglioside antibodies is of limited clinical va</w:t>
      </w:r>
    </w:p>
    <w:p>
      <w:pPr/>
      <w:r>
        <w:rPr>
          <w:b/>
        </w:rPr>
        <w:t>POSSIBLE 2023:</w:t>
      </w:r>
      <w:r>
        <w:t xml:space="preserve"> Rethinking regional attractiveness in the Balearic Islands region of Spain — https://doi.org/10.1787/47bf5ec1-en</w:t>
      </w:r>
    </w:p>
    <w:p>
      <w:pPr/>
      <w:r>
        <w:rPr>
          <w:b/>
        </w:rPr>
        <w:t>Shared claim-specific concepts:</w:t>
      </w:r>
      <w:r>
        <w:t xml:space="preserve"> region, sustainable, environment; EU scope visible. This is a provisional connection, not an outcome finding.</w:t>
      </w:r>
    </w:p>
    <w:p>
      <w:pPr>
        <w:pStyle w:val="SourceNote"/>
      </w:pPr>
      <w:r>
        <w:rPr>
          <w:b/>
        </w:rPr>
        <w:t>Available abstract (not full text):</w:t>
      </w:r>
      <w:r>
        <w:t xml:space="preserve"> The impact of the COVID-19 crisis, compounded by the consequences of Russia’s war of aggression against Ukraine and existing megatrends (e.g. climate change, globalisation, digitalisation and demographic change), continue to produce asymmetric effects within and between countries and regions, with the scope and scale depending on their unique characteristics. The OECD’s work on rethinking regional attractiveness policies in the new global environment, is undertaken with the support of the European Commission (DG REGIO) and is a priority activity of the Regional Development Policy Committee (RDPC). Working closely with 15 regions in 5 OECD member countries (Ireland, Italy, Portugal, Spain and Sweden), it aims to help regional and national policy-makers to better understand the position of regions in an evolving global context, including emerging challenges and opportunities, and identify the policy levers at their disposal to enhance the attractiveness of regions to the key international target groups of investors (including exporters), talent, and visitors. In doing so, it seeks to support regions transition towards new territorial development policies that promote inclusive, sustainable, and resilient development, while enhancing regional attractiveness.</w:t>
      </w:r>
    </w:p>
    <w:p>
      <w:pPr/>
      <w:r>
        <w:rPr>
          <w:b/>
        </w:rPr>
        <w:t>POSSIBLE 2022:</w:t>
      </w:r>
      <w:r>
        <w:t xml:space="preserve"> International Open Innovation Strategies of Firms in European Peripheral Regions — https://doi.org/10.3390/joitmc8010007</w:t>
      </w:r>
    </w:p>
    <w:p>
      <w:pPr/>
      <w:r>
        <w:rPr>
          <w:b/>
        </w:rPr>
        <w:t>Shared claim-specific concepts:</w:t>
      </w:r>
      <w:r>
        <w:t xml:space="preserve"> peripheral, local, used; EU scope visible. This is a provisional connection, not an outcome finding.</w:t>
      </w:r>
    </w:p>
    <w:p>
      <w:pPr>
        <w:pStyle w:val="SourceNote"/>
      </w:pPr>
      <w:r>
        <w:rPr>
          <w:b/>
        </w:rPr>
        <w:t>Available abstract (not full text):</w:t>
      </w:r>
      <w:r>
        <w:t xml:space="preserve"> The involvement of companies in different open innovation activities, through knowledge outputs and inputs, has become increasingly important for the success of companies.However, the existing literature on open innovation is scarce concerning the internationalization process of companies.The internationalization of companies is fundamental in the continuous search to increase the performance of companies externally.The objective of the present research is to explain the strategic processes in the internationalization of companies located in peripheral regions at the time of the COVID-19 pandemic from the perspective of dynamic capabilities.The sample used for this research is composed of seven Portuguese companies.The methodology of qualitative nature is exploratory and uses a case study approach.Regarding the foremost modes of operation in international markets and strategies, we find that (1) companies have partnerships with local distributors or appoint exclusive importers/distributors, and (2) companies prefer to place their products in the market through their brand, "co-branded" projects with retailers, or "private label" projects.Of the seven companies under study, six use a standardization strategy, and one opts for a configuration-coordination strategy.Our findings clarified the literature on export and internationalization strategies in a peripheral country, allowing</w:t>
      </w:r>
    </w:p>
    <w:p>
      <w:pPr/>
      <w:r>
        <w:rPr>
          <w:b/>
        </w:rPr>
        <w:t>POSSIBLE 2022:</w:t>
      </w:r>
      <w:r>
        <w:t xml:space="preserve"> The coronavirus and center-peripheral relations in the economies of the European Union — https://doi.org/10.2478/ijme-2022-0017</w:t>
      </w:r>
    </w:p>
    <w:p>
      <w:pPr/>
      <w:r>
        <w:rPr>
          <w:b/>
        </w:rPr>
        <w:t>Shared claim-specific concepts:</w:t>
      </w:r>
      <w:r>
        <w:t xml:space="preserve"> potential, external; EU scope visible. This is a provisional connection, not an outcome finding.</w:t>
      </w:r>
    </w:p>
    <w:p>
      <w:pPr>
        <w:pStyle w:val="SourceNote"/>
      </w:pPr>
      <w:r>
        <w:rPr>
          <w:b/>
        </w:rPr>
        <w:t>Available abstract (not full text):</w:t>
      </w:r>
      <w:r>
        <w:t xml:space="preserve"> Abstract From the perspective of the diversity of capitalism and that of economic sociology, the article deals with the issue of center-peripheral relations as one of the key dimensions of economic diversification that determines the development opportunities of the European Union. The collapse of the convergence processes during the 2008–2010 financial crisis revealed the separateness of development trajectories of various countries and geographical regions of the EU. Without reversing this phenomenon and working out new mechanisms of development convergence and institutions supporting them, the process of European integration will enter further structural crises that may lead to the disintegration of the EU. Various classifications of the core and of the peripheries of the euro area are characterized, within which several types of countries are identified with different economic characteristics (countries of the Northern core and of the Southern peripheries of the euro area, different types of peripheries in Southern Europe and in Central and Eastern Europe, the internal core and the external core or the outer core, and the internal peripheries and the external peripheries, as well as the super-peripheries including candidates or potential candidates to join the EU). The COVID-19 crisis has an asymmetric impact on the economic situation of the Member States. As with other cri</w:t>
      </w:r>
    </w:p>
    <w:p>
      <w:pPr/>
      <w:r>
        <w:rPr>
          <w:b/>
        </w:rPr>
        <w:t>POSSIBLE 2022:</w:t>
      </w:r>
      <w:r>
        <w:t xml:space="preserve"> Exercise Testing in Heart Failure with Preserved Ejection Fraction: An Appraisal Through Diagnosis, Pathophysiology and Therapy – A Clinical Consensus Statement of the Heart Failure Association and European Association of Preventive Cardiology of the European Society of Cardiology — https://doi.org/10.1002/ejhf.2601</w:t>
      </w:r>
    </w:p>
    <w:p>
      <w:pPr/>
      <w:r>
        <w:rPr>
          <w:b/>
        </w:rPr>
        <w:t>Shared claim-specific concepts:</w:t>
      </w:r>
      <w:r>
        <w:t xml:space="preserve"> specific, peripheral, information; EU scope visible. This is a provisional connection, not an outcome finding.</w:t>
      </w:r>
    </w:p>
    <w:p>
      <w:pPr>
        <w:pStyle w:val="SourceNote"/>
      </w:pPr>
      <w:r>
        <w:rPr>
          <w:b/>
        </w:rPr>
        <w:t>Available abstract (not full text):</w:t>
      </w:r>
      <w:r>
        <w:t xml:space="preserve"> Patients with heart failure with preserved ejection fraction (HFpEF) universally complain of exercise intolerance and dyspnoea as key clinical correlates. Cardiac as well as extracardiac components play a role for the limited exercise capacity, including an impaired cardiac and peripheral vascular reserve, a limitation in mechanical ventilation and/or gas exchange with reduced pulmonary vascular reserve, skeletal muscle dysfunction and iron deficiency/anaemia. Although most of these components can be differentiated and quantified through gas exchange analysis by cardiopulmonary exercise testing (CPET), the information provided by objective measures of exercise performance has not been systematically considered in the recent algorithms/scores for HFpEF diagnosis, by neither European nor US groups. The current clinical consensus statement by the Heart Failure Association (HFA) and European Association of Preventive Cardiology (EAPC) of the European Society of Cardiology (ESC) aims at outlining the role of exercise testing and its pathophysiological, clinical and prognostic insights, addressing the implications of a thorough functional evaluation from the diagnostic algorithm to the pathophysiology and treatment perspectives of HFpEF. Along with these goals, we provide a specific analysis of the evidence that CPET is the standard for assessing, quantifying, and differentiating the</w:t>
      </w:r>
    </w:p>
    <w:p>
      <w:pPr>
        <w:pStyle w:val="Heading2"/>
      </w:pPr>
      <w:r>
        <w:t>863. After crisis scenarios for Europe: alternative evolutions of structural adjustments</w:t>
      </w:r>
    </w:p>
    <w:p>
      <w:pPr>
        <w:pStyle w:val="SourceNote"/>
      </w:pPr>
      <w:r>
        <w:rPr>
          <w:b/>
        </w:rPr>
        <w:t>Original source (2015):</w:t>
      </w:r>
      <w:r>
        <w:t xml:space="preserve"> https://doi.org/10.1093/cjres/rsv023</w:t>
      </w:r>
    </w:p>
    <w:p>
      <w:pPr/>
      <w:r>
        <w:t>Original wording (abstract; indexed_source_text_not_full_document_verified): The effects that these structural changes will generate are difficult to be foreseen. This article builds after-crisis scenarios for Europe on the basis of alternative evolutions of these structural changes.</w:t>
      </w:r>
    </w:p>
    <w:p>
      <w:pPr/>
      <w:r>
        <w:rPr>
          <w:b/>
        </w:rPr>
        <w:t>POSSIBLE 2026:</w:t>
      </w:r>
      <w:r>
        <w:t xml:space="preserve"> Enabling 1.5 °C lifestyles in Europe: lifestyle options and structural change for transformation — https://doi.org/10.1080/15487733.2026.2657131</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Scholars have shown that lifestyle change is pivotal for any effective climate-mitigation scenario. But what lifestyle changes are needed and how can they be enabled and mainstreamed? This is the question pursued by the EU 1.5° Lifestyles project, the results of which the article summarizes and synthesizes. The project integrated quantitative and qualitative methods, ranging from input-output analysis-based footprint calculations to co-creative “thinking labs” and policy Delphi workshops across five European countries (Germany, Hungary, Latvia, Spain, and Sweden) to identify the most impactful lifestyle changes; determine conditions for their mainstreaming; suggest how rebound effects could be prevented; uncover the main political, economic, and societal barriers to lifestyle change and governance in its pursuit; and assess how changes in welfare systems and business models could contribute to lifestyle change. Our results show that changing from car-based mobility (especially internal combustion engine-powered cars) to other modes of transport has the largest emissions-reduction potential across a range of European countries, with changes in housing, especially switching to renewable-based heating systems, comprising a second group of impactful options. The article also shows that achieving meaningful changes in lifestyles requires transforming politico-economic, technological</w:t>
      </w:r>
    </w:p>
    <w:p>
      <w:pPr/>
      <w:r>
        <w:rPr>
          <w:b/>
        </w:rPr>
        <w:t>POSSIBLE 2026:</w:t>
      </w:r>
      <w:r>
        <w:t xml:space="preserve"> Enabling 1.5 °C lifestyles in Europe: lifestyle options and structural change for transformation — https://doi.org/10.6084/m9.figshare.32180302</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Scholars have shown that lifestyle change is pivotal for any effective climate-mitigation scenario. But what lifestyle changes are needed and how can they be enabled and mainstreamed? This is the question pursued by the EU 1.5° Lifestyles project, the results of which the article summarizes and synthesizes. The project integrated quantitative and qualitative methods, ranging from input-output analysis-based footprint calculations to co-creative “thinking labs” and policy Delphi workshops across five European countries (Germany, Hungary, Latvia, Spain, and Sweden) to identify the most impactful lifestyle changes; determine conditions for their mainstreaming; suggest how rebound effects could be prevented; uncover the main political, economic, and societal barriers to lifestyle change and governance in its pursuit; and assess how changes in welfare systems and business models could contribute to lifestyle change. Our results show that changing from car-based mobility (especially internal combustion engine-powered cars) to other modes of transport has the largest emissions-reduction potential across a range of European countries, with changes in housing, especially switching to renewable-based heating systems, comprising a second group of impactful options. The article also shows that achieving meaningful changes in lifestyles requires transforming politico-economic, technological</w:t>
      </w:r>
    </w:p>
    <w:p>
      <w:pPr/>
      <w:r>
        <w:rPr>
          <w:b/>
        </w:rPr>
        <w:t>POSSIBLE 2025:</w:t>
      </w:r>
      <w:r>
        <w:t xml:space="preserve"> Health Effects of Interpersonal and Structural Discrimination on Minority Groups in Europe — https://doi.org/10.1111/1467-9566.70054</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This article analyses the health effects of discrimination experiences across several minority groups in Europe. Despite a broad literature advancing the idea that discrimination is a focal point for the social determinants of health among minority groups, research attempting to disentangle the health effects of interpersonal forms of discrimination and harassment from structural forms of discrimination is underexamined. Furthermore, these experiences may impact different minority groups to a greater or lesser extent due to that group's position in the social hierarchy. We address this gap in the literature by analysing the Second European Union Minorities and Discrimination Survey (EU-MIDIS II), including 19,179 respondents in six minority groups across 25 countries. We show that experiencing interpersonal discrimination and harassment has a large and consistent negative effect on the health of respondents across all groups, with some variation across different minority groups. This finding is concerning given how common these experiences are in the European context. We also show a small but consistent relationship across groups between living in segregated neighbourhoods and poorer health, whereas a negative relationship between health and living in overcrowded housing exists only for the Russian minority.</w:t>
      </w:r>
    </w:p>
    <w:p>
      <w:pPr/>
      <w:r>
        <w:rPr>
          <w:b/>
        </w:rPr>
        <w:t>POSSIBLE 2022:</w:t>
      </w:r>
      <w:r>
        <w:t xml:space="preserve"> Thinking outside the box, improvisation, and fast learning: Designing policy robustness to deal with what cannot be foreseen — https://doi.org/10.1111/padm.12861</w:t>
      </w:r>
    </w:p>
    <w:p>
      <w:pPr/>
      <w:r>
        <w:rPr>
          <w:b/>
        </w:rPr>
        <w:t>Shared claim-specific concepts:</w:t>
      </w:r>
      <w:r>
        <w:t xml:space="preserve"> foreseen, article, builds; EU scope not established. This is a provisional connection, not an outcome finding.</w:t>
      </w:r>
    </w:p>
    <w:p>
      <w:pPr>
        <w:pStyle w:val="SourceNote"/>
      </w:pPr>
      <w:r>
        <w:rPr>
          <w:b/>
        </w:rPr>
        <w:t>Available abstract (not full text):</w:t>
      </w:r>
      <w:r>
        <w:t xml:space="preserve"> Abstract Policies are continually subjected to turbulence and crises. Interest in policy robustness as a fundamental way to deal with what cannot be foreseen is increasing. Thus, there is a flourishing stream of literature suggesting that policies need to be designed to be agile and flexible. However, the associated characteristics remain undeveloped. This article fills this gap by drawing on lessons obtained from the unplanned behaviors that were adopted in the management of the COVID‐19 pandemic. Individual and organizational behaviors characterized by outside the box thinking, improvisation, and fast learning yielded solutions to unexpected problems. In this article, some of these emblematic unplanned behaviors are assessed, and the research builds on the literature on policy robustness, crisis management, and organizational theory to identify three enabling conditions to design more robust policies: coordinated autonomy, training for unplanned responses, and political institutional capacity.</w:t>
      </w:r>
    </w:p>
    <w:p>
      <w:pPr/>
      <w:r>
        <w:rPr>
          <w:b/>
        </w:rPr>
        <w:t>POSSIBLE 2022:</w:t>
      </w:r>
      <w:r>
        <w:t xml:space="preserve"> Labor productivity in the agriculture, structural shifts and economic growth in the Central and Eastern European countries — https://doi.org/10.51599/are.2022.08.04.01</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Purpose. In our article, we assess the scope and directions of changes in agricultural labor productivity compared to other sectors of the economy. Methodology / approach. For our survey we choose 15 countries: (і) EU countries – Bulgaria, Czech Republic, Estonia, Hungary, Latvia, Lithuania, Poland, Romania, Slovakia and Slovenia, as well (іі) post-Soviet European countries – Ukraine, Moldova, Belarus, russia and also (ііі) Albania for period 1996–2019. We use an empirical methodology designed to analyze structural decomposition of labor productivity into the growth effect within the sector and structural dynamic and static effects, often called ‘shift-share analysis’. We analyze process of convergence of sectoral labor productivity and its impact on economic growth. Results. Labor productivity grows in the agricultural sector of the economy at the fastest rate, on average by almost 12 % per year. The growth effects within the industry takes a dominant position in all sectors of the economy in the countries of Central and Eastern Europe and its share is on average 88.5 %, and the structural effects are as follows: the dynamic effect is almost 1%, the static effect is 10.4 %. We have confirmed that the agricultural sector is gaining weight in the economic growth of the countries of Central and Eastern Europe, the influence of the service sector is increasing, although together t</w:t>
      </w:r>
    </w:p>
    <w:p>
      <w:pPr/>
      <w:r>
        <w:rPr>
          <w:b/>
        </w:rPr>
        <w:t>POSSIBLE 2020:</w:t>
      </w:r>
      <w:r>
        <w:t xml:space="preserve"> Structural Changes in Agricultural Cooperatives Following Bulgaria’s European Union Integration — https://doi.org/10.37075/isa.2020.4.05</w:t>
      </w:r>
    </w:p>
    <w:p>
      <w:pPr/>
      <w:r>
        <w:rPr>
          <w:b/>
        </w:rPr>
        <w:t>Shared claim-specific concepts:</w:t>
      </w:r>
      <w:r>
        <w:t xml:space="preserve"> structural, article, basis; EU scope visible. This is a provisional connection, not an outcome finding.</w:t>
      </w:r>
    </w:p>
    <w:p>
      <w:pPr>
        <w:pStyle w:val="SourceNote"/>
      </w:pPr>
      <w:r>
        <w:rPr>
          <w:b/>
        </w:rPr>
        <w:t>Available abstract (not full text):</w:t>
      </w:r>
      <w:r>
        <w:t xml:space="preserve"> The article aims to analyze the structural changes in agricultural cooperatives in Bulgaria, in terms of the Common Agricultural Policy (CAP) of the European Union (EU) and, on this basis, outline the main trends in their development. The analysis is based on official statistical information from the Ministry of Agriculture and Food and Forestry (MAF) “Agrostatistics”, primary data “Agricultural and Accounting Information System” (FADN) National Strategic Institute (NSI). The trend of changing the following indicators is investigated: number of agricultural cooperatives in Bulgaria, changes in the utilized agricultural area (UAA,); changes in arable land, average size of UAA, labor force, dynamics of the production structure (crop and livestock) for the 2007-2016 period. The results show that, as a consequence of the implementation of the CAP for the 2007-2016 period, structural changes in agricultural cooperatives are reported. They are expressed in the lasting tendency to decrease both their number and the land they manage. The analysis shows that the incentives under the various CAP support schemes have positive effects on the diversification of crop production. In general, the areas with cereals and oilseeds have decreased over the years. In 2016, there was an increase in the production of fresh fruits and vegetables as a result of the implementation of CAP measures resulti</w:t>
      </w:r>
    </w:p>
    <w:p>
      <w:pPr/>
      <w:r>
        <w:rPr>
          <w:b/>
        </w:rPr>
        <w:t>POSSIBLE 2019:</w:t>
      </w:r>
      <w:r>
        <w:t xml:space="preserve"> Is decoupling a red herring? The role of structural effects and energy policies in Europe — https://doi.org/10.1016/j.enpol.2018.12.028</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Decoupling energy consumption and carbon emissions from economic growth is at the core of the climate change debate: successful decoupling is evidence that efficiency measures can be economically sustainable. In this article, the authors analyze the underlying nature of this decoupling in the European Union from 1990 to 2014. The objective is to quantify the role of structural changes and the effectiveness of energy efficiency measures in lowering energy consumption. We decompose final energy consumption per sector, including households and transportation into three key drivers: economic growth, economic structure and energy intensity. Our results show that a significant part of the reduction in energy consumption can be attributed to structural changes, such as deindustrialization, while an equally significant part can be attributed to energy efficiency. This further corroborates the idea that much of the observed decoupling is virtual; largely due to outsourcing of energy intensive activities. Energy is then imported in the form of embodied energy in goods and services. The dynamics of these effects suggest that a shift in our understanding of decoupling is necessary. The implementation of effective energy efficiency policies, accounting for embodied energy, remain of high priority.</w:t>
      </w:r>
    </w:p>
    <w:p>
      <w:pPr/>
      <w:r>
        <w:rPr>
          <w:b/>
        </w:rPr>
        <w:t>POSSIBLE 2019:</w:t>
      </w:r>
      <w:r>
        <w:t xml:space="preserve"> PATTERNS OF STRUCTURAL CHANGES IN CEE ECONOMIES IN NEW MILLENNIUM — https://doi.org/10.3846/tede.2019.11253</w:t>
      </w:r>
    </w:p>
    <w:p>
      <w:pPr/>
      <w:r>
        <w:rPr>
          <w:b/>
        </w:rPr>
        <w:t>Shared claim-specific concepts:</w:t>
      </w:r>
      <w:r>
        <w:t xml:space="preserve"> structural, difficult; EU scope visible. This is a provisional connection, not an outcome finding.</w:t>
      </w:r>
    </w:p>
    <w:p>
      <w:pPr>
        <w:pStyle w:val="SourceNote"/>
      </w:pPr>
      <w:r>
        <w:rPr>
          <w:b/>
        </w:rPr>
        <w:t>Available abstract (not full text):</w:t>
      </w:r>
      <w:r>
        <w:t xml:space="preserve"> In the era of intensive globalization and frequent economic shocks, boosting the GDP growth becomes the most difficult task and main preoccupation of policymakers. This is particularly true for Central Eastern European countries or so called CEE countries, which are trying to overcome contemporary and inherited imbalances at the same time. These economies were faced with another huge challenge after 2008. They have to maintain the same pace of structural reforms during the global economic crisis and to mitigate the negative effects of the crisis on economic growth. In that sense, the aim of this paper is to provide insight into a structural change in these economies in the period 2000–2014, using Leontief input-output analysis of the key sectors. The results pointed out that most of the key sectors during the period are service related sectors and that their number is increased after the crisis, while manufacturing of basic metals and electricity, gas, steam, and air conditioning supply have lost the status of the key sector.</w:t>
      </w:r>
    </w:p>
    <w:p>
      <w:pPr/>
      <w:r>
        <w:rPr>
          <w:b/>
        </w:rPr>
        <w:t>POSSIBLE 2018:</w:t>
      </w:r>
      <w:r>
        <w:t xml:space="preserve"> Decoupling energy use and economic growth: Counter evidence from structural effects and embodied energy in trade — https://doi.org/10.1016/j.apenergy.2018.01.044</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Decoupling economic growth from energy consumption is a wide spread attempt to decarbonize economic activities and increase energy security. Almost all members of the European Union have decoupled the two since 2005 as measured by a steady decline in energy intensity, the ratio of final energy consumption and gross domestic product. Economic growth, energy efficiency and structural changes have all contributed to changes in energy intensity of economic activities at the national level. In this article, the authors analyze to what extent decoupling can be attributed to each of these three factors and in particular structural effects, namely deindustrialization and tertiarization, which shifts energy consumption abroad and re-imports it as embodied energy in products. We quantify the effects of structural changes, economic growth and energy efficiency measures as well as embodied energy in trade at the level of economic activities. The methodological approach combines decomposition and input-output analysis to address boundary cases where monetary trade surpluses meet energy trade deficits. Switzerland provides a case in point with the added hurdle of low data availability per economic activity over time. The results show that the share of embodied energy in imports has reached 81% of final energy consumption in economic activities. A comparison of energy intensities with and wit</w:t>
      </w:r>
    </w:p>
    <w:p>
      <w:pPr/>
      <w:r>
        <w:rPr>
          <w:b/>
        </w:rPr>
        <w:t>POSSIBLE 2016:</w:t>
      </w:r>
      <w:r>
        <w:t xml:space="preserve"> Frequency effects and structural change - the Afrikaans preterite — https://doi.org/10.5774/45-0-207</w:t>
      </w:r>
    </w:p>
    <w:p>
      <w:pPr/>
      <w:r>
        <w:rPr>
          <w:b/>
        </w:rPr>
        <w:t>Shared claim-specific concepts:</w:t>
      </w:r>
      <w:r>
        <w:t xml:space="preserve"> structural, article; EU scope not established. This is a provisional connection, not an outcome finding.</w:t>
      </w:r>
    </w:p>
    <w:p>
      <w:pPr>
        <w:pStyle w:val="SourceNote"/>
      </w:pPr>
      <w:r>
        <w:rPr>
          <w:b/>
        </w:rPr>
        <w:t>Available abstract (not full text):</w:t>
      </w:r>
      <w:r>
        <w:t xml:space="preserve"> According to emergent grammar and exemplar theory in cognitive linguistics, the frequency of an item affects its behaviour in terms of structural change. In this article, I illustrate how high frequency items, such as preterital modal auxiliaries and copulas in Afrikaans, resist regularising with the rest of the Afrikaans verbal system. Items with a moderately high frequency can resist change for a time, but succumb to it eventually, such as mog (“might”) and wis (“knew”). While the course of change can also be affected by other factors, such as het (“have”) and had (“had”), and dink (“think”) and gedink/dag/dog (“thought”) show, the data in diachronic Afrikaans corpora from 1911 to 2010 confirm that high frequency items resist structural change to a large extent, while low frequency items do not. This links with the cognitive representation of language and language processing, and illustrates how the use of language shapes the structure of language.</w:t>
      </w:r>
    </w:p>
    <w:p>
      <w:pPr/>
      <w:r>
        <w:rPr>
          <w:b/>
        </w:rPr>
        <w:t>POSSIBLE 2016:</w:t>
      </w:r>
      <w:r>
        <w:t xml:space="preserve"> Comparative Susceptibility and Differential Effects on the Two European Courts: A Study of Grasstops Mobilizations around Religion — https://doi.org/10.1093/ojlr/rww050</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‘Grasstops mobilizations’ in the context of the European Court of Human Rights and the Court of Justice of the European Union refers to legal and political mobilization carried out by cause lawyers, NGOs, religious, secularist and humanist organizations, political figures and national governments, and by transnational networks which may develop within and between the above groups, depending on their stakes in a given issue. In the domain of religion, such grasstops mobilizations may seek to influence what religion-related issues get placed on a court’s agenda and the climate within which the Court takes its decisions on the latter; they are forces at the European and transnational levels potentially influencing the Court’s engagements with and ultimate handling of religion-related cases. This article draws on interviews carried out with various actors engaged with or impacted by mobilizations around the European courts to yield special insight into who mobilizes, for what reasons and to what effects, and into the conditions under which particular political, religious, or NGO actors are influential. Based upon the latter research as well as examination of certain structural differences between the two courts rendering them differently ‘open’ to various pressures, this contribution considers the comparative susceptibility of the two courts to such mobilizations.</w:t>
      </w:r>
    </w:p>
    <w:p>
      <w:pPr/>
      <w:r>
        <w:rPr>
          <w:b/>
        </w:rPr>
        <w:t>POSSIBLE 2016:</w:t>
      </w:r>
      <w:r>
        <w:t xml:space="preserve"> The new ambitions for 2014-2020 European structural and investment funds evaluation: pouring water in a leaking container? — https://openalex.org/W2552820326</w:t>
      </w:r>
    </w:p>
    <w:p>
      <w:pPr/>
      <w:r>
        <w:rPr>
          <w:b/>
        </w:rPr>
        <w:t>Shared claim-specific concepts:</w:t>
      </w:r>
      <w:r>
        <w:t xml:space="preserve"> structural, foreseen, article; EU scope visible. This is a provisional connection, not an outcome finding.</w:t>
      </w:r>
    </w:p>
    <w:p>
      <w:pPr>
        <w:pStyle w:val="SourceNote"/>
      </w:pPr>
      <w:r>
        <w:rPr>
          <w:b/>
        </w:rPr>
        <w:t>Available abstract (not full text):</w:t>
      </w:r>
      <w:r>
        <w:t xml:space="preserve"> One of the recurring criticisms that have been levied to EU Cohesion policy has been its inability to prove its effectiveness and value for money. These criticisms, and the parallel growing pressures to reduce the resources assigned to the policy in recent rounds of budget negotiations, have led to the introduction of changes in the regulatory obligations attached to funding. In the 2014-2020 regulations, efforts to improve the policy’s effectiveness have primarily related to a set of new obligations intended to improve the results-orientation of programme design and implementation, and to a strengthening of the purposefulness of evaluation activities, including through a shift from evaluating implementation to appraising impacts. This article focuses on the latter theme. It reviews the main evaluation obligations foreseen by the Common Provisions Regulations (CPR) and the change in evaluation focus advocated by DG REGIO, the preparation of Evaluation Plans in selected EU programmes and these plans’ coverage, focus, objectives and resources. The article concludes with some reflections on the challenges that the new regulatory framework entails for managing authorities. It argues that the new CPR and Commission guidance notes are addressing past weaknesses by adding new demands to old ones without having sufficiently addressed the problems behind the partly ineffectual responses</w:t>
      </w:r>
    </w:p>
    <w:p>
      <w:pPr>
        <w:pStyle w:val="Heading2"/>
      </w:pPr>
      <w:r>
        <w:t>864. Analyst earnings forecast revision activity around profit warnings across four European countries</w:t>
      </w:r>
    </w:p>
    <w:p>
      <w:pPr>
        <w:pStyle w:val="SourceNote"/>
      </w:pPr>
      <w:r>
        <w:rPr>
          <w:b/>
        </w:rPr>
        <w:t>Original source (2015):</w:t>
      </w:r>
      <w:r>
        <w:t xml:space="preserve"> https://doi.org/10.1108/jaar-01-2013-0005</w:t>
      </w:r>
    </w:p>
    <w:p>
      <w:pPr/>
      <w:r>
        <w:t>Original wording (abstract; indexed_source_text_not_full_document_verified): Research limitations/implications – The sample is only composed on firms from four European countries owing to a lack of firms from other European countries that disclosed PW during the period 2000-2010. It would be pertinent to conduct future research dealing with an international sample from different continents.</w:t>
      </w:r>
    </w:p>
    <w:p>
      <w:pPr/>
      <w:r>
        <w:rPr>
          <w:b/>
        </w:rPr>
        <w:t>POSSIBLE 2025:</w:t>
      </w:r>
      <w:r>
        <w:t xml:space="preserve"> Artificial Intelligence (AI): Educational Implications, Limitations and Future of Learning in Higher Education in Oyo State — https://doi.org/10.52589/bjeldp-vjwdllek</w:t>
      </w:r>
    </w:p>
    <w:p>
      <w:pPr/>
      <w:r>
        <w:rPr>
          <w:b/>
        </w:rPr>
        <w:t>Shared claim-specific concepts:</w:t>
      </w:r>
      <w:r>
        <w:t xml:space="preserve"> limitations, implications, lack; EU scope visible. This is a provisional connection, not an outcome finding.</w:t>
      </w:r>
    </w:p>
    <w:p>
      <w:pPr>
        <w:pStyle w:val="SourceNote"/>
      </w:pPr>
      <w:r>
        <w:rPr>
          <w:b/>
        </w:rPr>
        <w:t>Available abstract (not full text):</w:t>
      </w:r>
      <w:r>
        <w:t xml:space="preserve"> In recent times, the invention and advancement of Artificial Intelligence (AI) technologies introduced by developed nations, particularly America, Europe, and Asia, has been seen as a new landmark in globalization. This new innovation has ushered in new opportunities and threats to humanity, hence the need to investigate Artificial Intelligence (AI): Educational Implications, Limitations, and the Future of Learning and Research in Nigeria. A descriptive survey research design of the ex-post facto type was adopted for the study. The population of the study consists of all the 350 academic staff in Emmanuel Alayande University of Education, Oyo, as of 2025. Emmanuel Alayande University of Education was possessively sampled using the purposive sampling technique. A multistage sampling procedure was adopted; thus, stratified random sampling was used to select 3 faculties, 9 departments and a total of one hundred and five lecturers using a simple random sampling technique. A self-developed instrument titled “Artificial Intelligence, Educational Implications, Limitations and Future of Learning Questionnaire (AIEILFLQ)” was validated by the experts in the field of Educational evaluation. The Alpha Cronbach method was used in obtaining the reliability, and a coefficient 0.84 was obtained. The data collected was analysed using descriptive statistics such as simple percentages. The findi</w:t>
      </w:r>
    </w:p>
    <w:p>
      <w:pPr/>
      <w:r>
        <w:rPr>
          <w:b/>
        </w:rPr>
        <w:t>POSSIBLE 2025:</w:t>
      </w:r>
      <w:r>
        <w:t xml:space="preserve"> The effect of ESG disclosure on firm value in the European context — https://doi.org/10.1108/md-10-2024-2480</w:t>
      </w:r>
    </w:p>
    <w:p>
      <w:pPr/>
      <w:r>
        <w:rPr>
          <w:b/>
        </w:rPr>
        <w:t>Shared claim-specific concepts:</w:t>
      </w:r>
      <w:r>
        <w:t xml:space="preserve"> implications, sample, firms, period; EU scope visible. This is a provisional connection, not an outcome finding.</w:t>
      </w:r>
    </w:p>
    <w:p>
      <w:pPr>
        <w:pStyle w:val="SourceNote"/>
      </w:pPr>
      <w:r>
        <w:rPr>
          <w:b/>
        </w:rPr>
        <w:t>Available abstract (not full text):</w:t>
      </w:r>
      <w:r>
        <w:t xml:space="preserve"> Purpose The environmental, social and governance (ESG) topic has recently received increasing attention from scholars due to increasing regulations for firms’ non-financial disclosure with respect to environmental and social issues. For instance, the European Union (EU) recently issued the Corporate Sustainability Reporting Directive (CSRD) in December 2022 and implemented it starting in 2024 in member states. Non-financial disclosure is relevant for various stakeholders and could affect firm value. Therefore, this study aims to examine the effect of ESG disclosure on firm value in the EU context. Design/methodology/approach This study uses panel data on listed EU firms extracted from the Bloomberg database from 2014 to 2024. The final sample comprises 11,003 firm-year observations. The ordinary least squares method is used as a baseline regression. This study addresses the endogeneity issues by applying instrumental variable and two-step system dynamic panel generalised method of moments approaches. Findings The results of the univariate tests, including the mean-difference comparison test based on pre-CSRD and CSRD issuance periods, reveal a significant decrease in the average ESG disclosure score in the CSRD issuance period. These results are similar for individual ESG pillars. Further, the results show a significant reduction in average firm value in the CSRD issuance perio</w:t>
      </w:r>
    </w:p>
    <w:p>
      <w:pPr/>
      <w:r>
        <w:rPr>
          <w:b/>
        </w:rPr>
        <w:t>POSSIBLE 2024:</w:t>
      </w:r>
      <w:r>
        <w:t xml:space="preserve"> The link of ESG performance and board gender diversity in European firms — https://doi.org/10.1002/csr.2881</w:t>
      </w:r>
    </w:p>
    <w:p>
      <w:pPr/>
      <w:r>
        <w:rPr>
          <w:b/>
        </w:rPr>
        <w:t>Shared claim-specific concepts:</w:t>
      </w:r>
      <w:r>
        <w:t xml:space="preserve"> sample, only, firms, countries, period, different; EU scope visible. This is a provisional connection, not an outcome finding.</w:t>
      </w:r>
    </w:p>
    <w:p>
      <w:pPr>
        <w:pStyle w:val="SourceNote"/>
      </w:pPr>
      <w:r>
        <w:rPr>
          <w:b/>
        </w:rPr>
        <w:t>Available abstract (not full text):</w:t>
      </w:r>
      <w:r>
        <w:t xml:space="preserve"> Abstract This study analyses the relationship between board gender diversity and the ESG scores for Spanish, French, German, and English listed companies. Previous academic literature shows controversial results regarding the benefits of female participation in boards of directors, however many studies have only used an aggregated indicator to measure performance or they do not have compared the results among countries. The empirical section of this research uses a sample formed by 205 companies from France, Germany, Spain, and the United Kingdom for a period of 19 years (from 2002 to 2020). The results obtained through a panel data estimation confirm a positive and significant relationship between board gender diversity (BGD) and the social and the corporate governance score in all cases. However, the relationship between BGD and the environmental score is only confirmed in the case of Spain, France, and Germany. Therefore, even though in these countries, the actions to promote gender equality have been different and at different times, the results are mostly homogeneous.</w:t>
      </w:r>
    </w:p>
    <w:p>
      <w:pPr/>
      <w:r>
        <w:rPr>
          <w:b/>
        </w:rPr>
        <w:t>POSSIBLE 2024:</w:t>
      </w:r>
      <w:r>
        <w:t xml:space="preserve"> Multidimensionality Matters: The Implications of Educational Hierarchy and Differentiation for Intergenerational Mobility in Europe — https://doi.org/10.1086/729572</w:t>
      </w:r>
    </w:p>
    <w:p>
      <w:pPr/>
      <w:r>
        <w:rPr>
          <w:b/>
        </w:rPr>
        <w:t>Shared claim-specific concepts:</w:t>
      </w:r>
      <w:r>
        <w:t xml:space="preserve"> limitations, implications, only, countries, different; EU scope visible. This is a provisional connection, not an outcome finding.</w:t>
      </w:r>
    </w:p>
    <w:p>
      <w:pPr>
        <w:pStyle w:val="SourceNote"/>
      </w:pPr>
      <w:r>
        <w:rPr>
          <w:b/>
        </w:rPr>
        <w:t>Available abstract (not full text):</w:t>
      </w:r>
      <w:r>
        <w:t xml:space="preserve"> The effects on social mobility of stratifying pupils into different educational pathways have been debated for decades. We intervene in this debate by showing that stratification in secondary schooling is multidimensional. The extent of differentiation into separate tracks is distinct from hierarchy between tracks. To address data limitations in existing research, we collect novel data on education policies from 1945 onward for 16 European countries. Combined with mobility data from the European Social Survey, we use difference-in-differences regression models to test the effects of hierarchy and differentiation on intergenerational mobility. Hierarchical stratification shapes the inheritance of educational attainment while differentiation does not. Differentiation only reduces mobility where educational pathways are hierarchically structured. These findings imply that studies using measures of differentiation (e.g., the tracking age) may instead be picking up aspects of hierarchy. They therefore highlight the importance for future research to measure multiple dimensions of stratification and assessing how combinations of policies can reinforce or undermine one another.</w:t>
      </w:r>
    </w:p>
    <w:p>
      <w:pPr/>
      <w:r>
        <w:rPr>
          <w:b/>
        </w:rPr>
        <w:t>POSSIBLE 2024:</w:t>
      </w:r>
      <w:r>
        <w:t xml:space="preserve"> Cross‐border dimensions of Arctic climate change impacts and implications for Europe — https://doi.org/10.1002/wcc.905</w:t>
      </w:r>
    </w:p>
    <w:p>
      <w:pPr/>
      <w:r>
        <w:rPr>
          <w:b/>
        </w:rPr>
        <w:t>Shared claim-specific concepts:</w:t>
      </w:r>
      <w:r>
        <w:t xml:space="preserve"> implications, four, during; EU scope visible. This is a provisional connection, not an outcome finding.</w:t>
      </w:r>
    </w:p>
    <w:p>
      <w:pPr>
        <w:pStyle w:val="SourceNote"/>
      </w:pPr>
      <w:r>
        <w:rPr>
          <w:b/>
        </w:rPr>
        <w:t>Available abstract (not full text):</w:t>
      </w:r>
      <w:r>
        <w:t xml:space="preserve"> Abstract The Arctic has warmed almost four times faster than the rest of the globe during the past four decades. This has led to multiple impacts in the Arctic such as the melting of glaciers and the Greenland ice sheet, sea ice retreat, permafrost thaw, altered species distribution and abundance, changes in hydrology and snow conditions, and altered wildfire regimes. These documented and projected impacts in the region can also propagate across borders, creating risks and opportunities requiring adaptation responses well beyond the Arctic. By undertaking a systematic literature review that uses a conceptual framework for cross‐border climate change impacts, we demonstrate how local impacts of the type described above, which are often analyzed separately in the literature, may initiate knock‐on effects that can be transmitted and transformed across borders. We illustrate examples of six categories of cross‐border risks resulting from this impact transmission and potentially requiring adaptation. These concern biophysical impacts, trade, infrastructure, finance, geopolitical relationships and human security and social justice. We examine potential adaptation options for responding to such cross‐border risks that are of relevance for Europe. The systemic approach taken in this paper promotes improved understanding of trade‐offs between potential benefits and risks, assists priori</w:t>
      </w:r>
    </w:p>
    <w:p>
      <w:pPr/>
      <w:r>
        <w:rPr>
          <w:b/>
        </w:rPr>
        <w:t>POSSIBLE 2024:</w:t>
      </w:r>
      <w:r>
        <w:t xml:space="preserve"> EXPLORING POST-PANDEMIC PERCEPTION OF INDUSTRY 4.0 TECHNOLOGY IMPLICATIONS IN TOURISM: A STUDY OF CENTRAL EUROPEAN TRAVELERS — https://doi.org/10.29119/1641-3466.2024.197.16</w:t>
      </w:r>
    </w:p>
    <w:p>
      <w:pPr/>
      <w:r>
        <w:rPr>
          <w:b/>
        </w:rPr>
        <w:t>Shared claim-specific concepts:</w:t>
      </w:r>
      <w:r>
        <w:t xml:space="preserve"> limitations, implications, sample, only, period; EU scope visible. This is a provisional connection, not an outcome finding.</w:t>
      </w:r>
    </w:p>
    <w:p>
      <w:pPr>
        <w:pStyle w:val="SourceNote"/>
      </w:pPr>
      <w:r>
        <w:rPr>
          <w:b/>
        </w:rPr>
        <w:t>Available abstract (not full text):</w:t>
      </w:r>
      <w:r>
        <w:t xml:space="preserve"> Purpose: This study underscores the accelerated integration of technological solutions within the tourism industry post-pandemic, highlighting the service sector's heightened openness to digital advancements.Authors stress the need for tourism companies to invest in digital technologies and resilient innovation for sustainable Industry 4.0, considering social impact.This research is the perception of the importance of digitalization tools application to tourism sphere especially in the post-pandemic period.Design/methodology/approach: Focusing on Central European travelers, a survey of 553 individuals was conducted to gauge perceptions regarding the importance of digital technologies in tourism.Significantly, gender disparities in touchless technology usage were observed, with women exhibiting less interest compared to men.Moreover, variations in the evaluation of specific technological tools within tourism services indicate diverse preferences among respondents.Findings: What was found in the course of the work?This will refer to analysis, discussion, or results.Research limitations/implications: While the study contributes valuable insights, its limitations, such as generalization and sample size constraints should be acknowledged. Practical implications:The paper delves into the practical implications of these findings for travel agencies, contributing to a broader theoretic</w:t>
      </w:r>
    </w:p>
    <w:p>
      <w:pPr/>
      <w:r>
        <w:rPr>
          <w:b/>
        </w:rPr>
        <w:t>POSSIBLE 2023:</w:t>
      </w:r>
      <w:r>
        <w:t xml:space="preserve"> Youth Sport Participation Trends Across Europe: Implications for Policy and Practice — https://doi.org/10.1080/02701367.2022.2148623</w:t>
      </w:r>
    </w:p>
    <w:p>
      <w:pPr/>
      <w:r>
        <w:rPr>
          <w:b/>
        </w:rPr>
        <w:t>Shared claim-specific concepts:</w:t>
      </w:r>
      <w:r>
        <w:t xml:space="preserve"> implications, four, countries, during; EU scope visible. This is a provisional connection, not an outcome finding.</w:t>
      </w:r>
    </w:p>
    <w:p>
      <w:pPr>
        <w:pStyle w:val="SourceNote"/>
      </w:pPr>
      <w:r>
        <w:rPr>
          <w:b/>
        </w:rPr>
        <w:t>Available abstract (not full text):</w:t>
      </w:r>
      <w:r>
        <w:t xml:space="preserve"> Purpose: Despite the known health and wellbeing benefits of taking part in sport for children and adolescents, it is reported that sports participation declines during adolescence. The purpose of this study was to explore current organized youth sport participation rates across Europe for both males and females and update current understanding. Method: Sport participation registration data was collected for 18 sports from 27 countries. In total, participation data was collected from over 5 million young people from Under 8s (U8s) to Under 18s (U18s). Differences in the participation rates between age categories were investigated using a generalized linear mixed effects model. Results: Overall, males were four times more likely to participate in organised youth sport than females’ participants, with this trend apparent across all age categories and across most sports. There was a significant decrease across sports in participation rates for males during adolescence from U14-U16 and U16-U18. There was a significant decrease in participation rates for females from U14-U16 for most sports except but an increase in participation rates from U16-U18 for 12 out of 18 sports. Soccer (1262%), wrestling (391%) and boxing (209%) were the sports that had greater male sport participation rates. In contrast, dance sports (86%) and volleyball (63%) had more female participants than males. This</w:t>
      </w:r>
    </w:p>
    <w:p>
      <w:pPr/>
      <w:r>
        <w:rPr>
          <w:b/>
        </w:rPr>
        <w:t>POSSIBLE 2023:</w:t>
      </w:r>
      <w:r>
        <w:t xml:space="preserve"> Play therapy in children with autism: Its role, implications, and limitations — https://doi.org/10.5409/wjcp.v12.i1.1</w:t>
      </w:r>
    </w:p>
    <w:p>
      <w:pPr/>
      <w:r>
        <w:rPr>
          <w:b/>
        </w:rPr>
        <w:t>Shared claim-specific concepts:</w:t>
      </w:r>
      <w:r>
        <w:t xml:space="preserve"> limitations, implications, different; EU scope not established. This is a provisional connection, not an outcome finding.</w:t>
      </w:r>
    </w:p>
    <w:p>
      <w:pPr>
        <w:pStyle w:val="SourceNote"/>
      </w:pPr>
      <w:r>
        <w:rPr>
          <w:b/>
        </w:rPr>
        <w:t>Available abstract (not full text):</w:t>
      </w:r>
      <w:r>
        <w:t xml:space="preserve"> Play is a pleasurable physical or mental activity that enhances the child's skills involving negotiation abilities, problem-solving, manual dexterity, sharing, decision-making, and working in a group. Play affects all the brain's areas, structures, and functions. Children with autism have adaptive behavior, adaptive response, and social interaction limitations. This review explores the different applications of play therapy in helping children with autism disorder. Play is usually significantly impaired in children with autism. Play therapy is mainly intended to help children to honor their unique mental abilities and developmental levels. The main aim of play therapy is to prevent or solve psychosocial difficulties and achieve optimal child-healthy growth and development. Play therapy helps children with autism to engage in play activities of their interest and choice to express themselves in the most comfortable ways. It changes their way of self-expression from unwanted behaviors to more non-injurious expressive behavior using toys or activities of their choice as their words. Play therapy also helps those children to experience feeling out various interaction styles. Every child with autism is unique and responds differently. Therefore, different types of intervention, like play therapy, could fit the differences in children with autism. Proper evaluation of the child is ma</w:t>
      </w:r>
    </w:p>
    <w:p>
      <w:pPr/>
      <w:r>
        <w:rPr>
          <w:b/>
        </w:rPr>
        <w:t>POSSIBLE 2023:</w:t>
      </w:r>
      <w:r>
        <w:t xml:space="preserve"> Implications of COVID-19 policies on the sustainable corporate practices of European firms — https://doi.org/10.1108/k-07-2022-1014</w:t>
      </w:r>
    </w:p>
    <w:p>
      <w:pPr/>
      <w:r>
        <w:rPr>
          <w:b/>
        </w:rPr>
        <w:t>Shared claim-specific concepts:</w:t>
      </w:r>
      <w:r>
        <w:t xml:space="preserve"> implications, firms, during, period; EU scope visible. This is a provisional connection, not an outcome finding.</w:t>
      </w:r>
    </w:p>
    <w:p>
      <w:pPr>
        <w:pStyle w:val="SourceNote"/>
      </w:pPr>
      <w:r>
        <w:rPr>
          <w:b/>
        </w:rPr>
        <w:t>Available abstract (not full text):</w:t>
      </w:r>
      <w:r>
        <w:t xml:space="preserve"> Purpose This study aims to analyze how mixes of COVID-19 policy responses are shaping the context in which companies will compete in the following years, defining how the crisis might impact firms’ ability to keep their commitments to sustainable practices. Design/methodology/approach European country-performance data for the years 2019 and 2020 were grouped into indicators of macro sustainability, then cross-analyzed against the policies adopted during the period (also grouped based on their impacts on sustainability pillars), using correlations, factor analysis and clustering. Findings The influence of traditional sustainability determinants was reframed according to the novel context shaped by the policy responses to the pandemic crisis. The social and digitalization aspects gained the most relevance and appeared interconnected, with digitalization of employment attaining overall more traction. Moreover, changes in the leadership within sustainability domains were observed for each identified country-cluster, due to newly implemented emergency policies. In fact, environmental innovation, digitalization and social support policies appeared to be the main variables to be impacted by the intensity of the policy efforts. Practical implications Businesses monitoring the developments of sustainability policies closely, will observe novel trends in technological applications. Socia</w:t>
      </w:r>
    </w:p>
    <w:p>
      <w:pPr/>
      <w:r>
        <w:rPr>
          <w:b/>
        </w:rPr>
        <w:t>POSSIBLE 2023:</w:t>
      </w:r>
      <w:r>
        <w:t xml:space="preserve"> Women in CEO duality and firm performance in Europe — https://doi.org/10.1007/s10997-023-09669-6</w:t>
      </w:r>
    </w:p>
    <w:p>
      <w:pPr/>
      <w:r>
        <w:rPr>
          <w:b/>
        </w:rPr>
        <w:t>Shared claim-specific concepts:</w:t>
      </w:r>
      <w:r>
        <w:t xml:space="preserve"> implications, sample, firms, countries, period; EU scope visible. This is a provisional connection, not an outcome finding.</w:t>
      </w:r>
    </w:p>
    <w:p>
      <w:pPr>
        <w:pStyle w:val="SourceNote"/>
      </w:pPr>
      <w:r>
        <w:rPr>
          <w:b/>
        </w:rPr>
        <w:t>Available abstract (not full text):</w:t>
      </w:r>
      <w:r>
        <w:t xml:space="preserve"> Abstract This paper investigates gender dimensions in the relationship between CEO duality and firm performance, combining feminist theories and stewardship arguments. Using a large sample of listed firms from 23 European countries in the 2014–2020 period, we have found that CEO duality has a positive effect on corporate performance when a woman holds both the roles of CEO and board chair. These findings highlight the ‘bright side’ of women in governance, suggesting the presence of women in double leadership positions can amplify benefits and/or limits costs related to CEO duality. Having a woman in CEO-chair leadership could optimize a firm’s use of its resources and more effectively contribute to improving performance. Directions for future research could include a better understanding of women in leadership in the organizational domain. Our results have a number of managerial and political implications.</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four, countries, other, international, different;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2023:</w:t>
      </w:r>
      <w:r>
        <w:t xml:space="preserve"> The institutionalisation of social and environmental accounting practices in Europe — https://doi.org/10.1108/jaar-07-2022-0190</w:t>
      </w:r>
    </w:p>
    <w:p>
      <w:pPr/>
      <w:r>
        <w:rPr>
          <w:b/>
        </w:rPr>
        <w:t>Shared claim-specific concepts:</w:t>
      </w:r>
      <w:r>
        <w:t xml:space="preserve"> limitations, implications, sample; EU scope visible. This is a provisional connection, not an outcome finding.</w:t>
      </w:r>
    </w:p>
    <w:p>
      <w:pPr>
        <w:pStyle w:val="SourceNote"/>
      </w:pPr>
      <w:r>
        <w:rPr>
          <w:b/>
        </w:rPr>
        <w:t>Available abstract (not full text):</w:t>
      </w:r>
      <w:r>
        <w:t xml:space="preserve"> Purpose In the last few years, the European context has been characterised by a high degree of attention paid by policymakers, practitioners and academics to the effects related to the transposition of Directive 2014/95/EU by the member states. In particular, one the main issues of the intervention made by the European Commission is represented by the theoretical misalignment between corporate communications and actions. According to this evidence, this paper aims to shed light on this debate through a critical evaluation of the effectiveness of Directive 2014/95/EU. Design/methodology/approach The analysis was built using panel data analysis on a sample of 813 European listed companies. Furthermore, the authors performed additional analysis and robustness checks to assess the reliability of the analysis. Findings The analysis underlined the enabling role of the reporting scope, external assurance and corporate social responsibility (CSR) committees on sustainability reporting. Furthermore, the research highlighted the need to pay specific attention to the real contribution provided by companies to the sustainable development goals. Research limitations/implications The research provided theoretical insights into the effects related to mandatory sustainability reporting, which represents an emerging field in accounting research. Practical implications The analysis revealed the </w:t>
      </w:r>
    </w:p>
    <w:p>
      <w:pPr>
        <w:pStyle w:val="Heading2"/>
      </w:pPr>
      <w:r>
        <w:t>865. Assessing the impact of the 2011 EU Transport White Paper - a rail freight demand forecast up to 2050 for the EU27</w:t>
      </w:r>
    </w:p>
    <w:p>
      <w:pPr>
        <w:pStyle w:val="SourceNote"/>
      </w:pPr>
      <w:r>
        <w:rPr>
          <w:b/>
        </w:rPr>
        <w:t>Original source (2015):</w:t>
      </w:r>
      <w:r>
        <w:t xml:space="preserve"> https://doi.org/10.1007/s12544-015-0171-7</w:t>
      </w:r>
    </w:p>
    <w:p>
      <w:pPr/>
      <w:r>
        <w:t>Original wording (abstract; indexed_source_text_not_full_document_verified): In stark contrast, the White paper High scenario results show that demand for rail freight services almost doubles compared to the Reference values. Specifically: a modal shift, from road to rail, and waterway transport, of 30 % by 2030 and 50 % by 2050 - for distances greater than 300 km.</w:t>
      </w:r>
    </w:p>
    <w:p>
      <w:pPr/>
      <w:r>
        <w:rPr>
          <w:b/>
        </w:rPr>
        <w:t>POSSIBLE 2025:</w:t>
      </w:r>
      <w:r>
        <w:t xml:space="preserve"> Nonlinearity-enhanced quantum sensing in Stark probes — https://doi.org/10.1103/physrevapplied.23.014019</w:t>
      </w:r>
    </w:p>
    <w:p>
      <w:pPr/>
      <w:r>
        <w:rPr>
          <w:b/>
        </w:rPr>
        <w:t>Shared claim-specific concepts:</w:t>
      </w:r>
      <w:r>
        <w:t xml:space="preserve"> stark, show, specifically; EU scope not established. This is a provisional connection, not an outcome finding.</w:t>
      </w:r>
    </w:p>
    <w:p>
      <w:pPr>
        <w:pStyle w:val="SourceNote"/>
      </w:pPr>
      <w:r>
        <w:rPr>
          <w:b/>
        </w:rPr>
        <w:t>Available abstract (not full text):</w:t>
      </w:r>
      <w:r>
        <w:t xml:space="preserve"> Stark systems in which a linear gradient field is applied across a many-body system have recently been proposed for quantum sensing. Here, we explore sensing capacity of Stark probes, in both single-particle and many-body interacting systems, for estimating nonlinear forms of the gradient fields. Our analysis reveals that, this estimation can achieve super-Heisenberg scaling precision that grows linearly by increasing the nonlinearity. Specifically, we find a universal algebraic relation between the scaling of the precision and the degree of the nonlinearity. This universal behavior remains valid in both single-particle and many-body interacting probes and reflects itself in the properties of the phase transition from an extended to a localized phase, obtained through establishing a comprehensive finite-size scaling analysis. Considering a parabolic gradient potential composed of both linear and nonlinear fields, we used multiparameter estimation methodology to estimate the components of the gradient potential. The phase diagram of the system is determined in terms of both linear and nonlinear gradient fields showing how the nonlocalized phase turns into a localized one as the Stark fields increase. The sensing precision of both linear and nonlinear Stark fields follows the same universal algebraic relation that was found for the case of single parameter sensing. We demonstrate</w:t>
      </w:r>
    </w:p>
    <w:p>
      <w:pPr/>
      <w:r>
        <w:rPr>
          <w:b/>
        </w:rPr>
        <w:t>POSSIBLE 2023:</w:t>
      </w:r>
      <w:r>
        <w:t xml:space="preserve"> Preservation and enhancement of quantum correlations under Stark effect — https://doi.org/10.1080/09500340.2023.2219779</w:t>
      </w:r>
    </w:p>
    <w:p>
      <w:pPr/>
      <w:r>
        <w:rPr>
          <w:b/>
        </w:rPr>
        <w:t>Shared claim-specific concepts:</w:t>
      </w:r>
      <w:r>
        <w:t xml:space="preserve"> stark, contrast, shift; EU scope not established. This is a provisional connection, not an outcome finding.</w:t>
      </w:r>
    </w:p>
    <w:p>
      <w:pPr>
        <w:pStyle w:val="SourceNote"/>
      </w:pPr>
      <w:r>
        <w:rPr>
          <w:b/>
        </w:rPr>
        <w:t>Available abstract (not full text):</w:t>
      </w:r>
      <w:r>
        <w:t xml:space="preserve"> We analyse the dynamics of quantum correlations by obtaining the exact expression of Bures distance entanglement, trace distance discord, and local quantum uncertainty of two two-level atoms. Here, the atoms undergo two-photon transitions mediated through an intermediate virtual state where each atom is separately coupled to a dissipative reservoir at zero temperature in the presence of the Stark shift effect. We have investigated the dynamics of this atomic system for two different initial conditions of the environment. In the first case, we have assumed the environment's state to be in ground state and in the other case, we have assumed the state to be in the first excited state. The second initial condition is significant as it shows the role played by both the Stark shift parameters in contrast to only one of the Stark shift parameters for the first initial condition. Our results demonstrate that quantum correlations can be sustained for an extended period in the presence of Stark shift effect in the case of both Markovian and non-Markovian reservoirs. The effect in the non-Markovian reservoir is more prominent than the Markovian reservoir, even for a very small value of the Stark shift parameter. We observe that among the correlation measures considered, only local quantum uncertainty is accompanied by a sudden change phenomenon, i.e. an abrupt change in the decay rate of </w:t>
      </w:r>
    </w:p>
    <w:p>
      <w:pPr/>
      <w:r>
        <w:rPr>
          <w:b/>
        </w:rPr>
        <w:t>POSSIBLE 2023:</w:t>
      </w:r>
      <w:r>
        <w:t xml:space="preserve"> Differences in spore size and atmospheric survival shape stark contrasts in the dispersal dynamics of two closely related fungal pathogens — https://doi.org/10.1101/2023.02.08.527725</w:t>
      </w:r>
    </w:p>
    <w:p>
      <w:pPr/>
      <w:r>
        <w:rPr>
          <w:b/>
        </w:rPr>
        <w:t>Shared claim-specific concepts:</w:t>
      </w:r>
      <w:r>
        <w:t xml:space="preserve"> stark, contrast, compared, distances, greater; EU scope not established. This is a provisional connection, not an outcome finding.</w:t>
      </w:r>
    </w:p>
    <w:p>
      <w:pPr>
        <w:pStyle w:val="SourceNote"/>
      </w:pPr>
      <w:r>
        <w:rPr>
          <w:b/>
        </w:rPr>
        <w:t>Available abstract (not full text):</w:t>
      </w:r>
      <w:r>
        <w:t xml:space="preserve"> Abstract A frequently ignored but critical aspect of microbial dispersal is survival in the atmosphere. We exposed spores of two closely related, morphologically dissimilar, and economically important fungal pathogens to typical atmospheric environments and modeled their movement in the troposphere. We first measured the mortality of Alternaria solani and A. alternata conidia exposed to ranges of solar radiation, relative humidity, and temperature. We then measured survival in an advantageous environment over 12 days. A. solani conidia are nearly 10 times larger than A. alternata conidia and most die after 24 hours. By contrast, over half of A. alternata conidia remained viable at 12 days. The greater viability of the smaller spores is counterintuitive as larger spores are assumed to be more durable. To elucidate the consequences of survival rates for dispersal, we deployed models of atmospheric spore movement across North American. We predict 99% of the larger A. solani conidia settle within 24 hours, with a maximum dispersal distance of 100 km. By contrast, most A. alternata conidia remain airborne for more than 12 days and long-distance dispersal is possible, e.g., from Wisconsin to the Atlantic Ocean. We observe that the larger conidia of A. solani survive poorly but also land sooner and move over shorter distances as compared to the smaller conidia of A. alternata . Our da</w:t>
      </w:r>
    </w:p>
    <w:p>
      <w:pPr/>
      <w:r>
        <w:rPr>
          <w:b/>
        </w:rPr>
        <w:t>POSSIBLE 2022:</w:t>
      </w:r>
      <w:r>
        <w:t xml:space="preserve"> Vibrational Stark Effects: Ionic Influence on Local Fields — https://doi.org/10.1021/acs.jpclett.2c01048</w:t>
      </w:r>
    </w:p>
    <w:p>
      <w:pPr/>
      <w:r>
        <w:rPr>
          <w:b/>
        </w:rPr>
        <w:t>Shared claim-specific concepts:</w:t>
      </w:r>
      <w:r>
        <w:t xml:space="preserve"> stark, high, show, shift; EU scope not established. This is a provisional connection, not an outcome finding.</w:t>
      </w:r>
    </w:p>
    <w:p>
      <w:pPr>
        <w:pStyle w:val="SourceNote"/>
      </w:pPr>
      <w:r>
        <w:rPr>
          <w:b/>
        </w:rPr>
        <w:t>Available abstract (not full text):</w:t>
      </w:r>
      <w:r>
        <w:t xml:space="preserve"> High Resolution Image Download MS PowerPoint Slide Molecules containing vibrational Stark shift reporters provide a useful tool for measuring DC electric fields in situ . To quantify this effect theoretically, density functional theory (DFT) calculations are usually utilized in a uniform electric field. However, using a combined theoretical and experimental study, we demonstrate here that uniform field DFT cannot simultaneously model the behavior of the three strongest vibrational modes in molecules forming a monolayer on an electrode. We show, by directly modeling ionic movement, that the measured Stark shifts are explained by partial electrical double-layer penetration into the molecular layer. This effect is sensitive to the local environment, and the Stark shifts can be fully suppressed experimentally by introducing a mixed molecular layer that prevents ionic double-layer penetration.</w:t>
      </w:r>
    </w:p>
    <w:p>
      <w:pPr/>
      <w:r>
        <w:rPr>
          <w:b/>
        </w:rPr>
        <w:t>POSSIBLE 2022:</w:t>
      </w:r>
      <w:r>
        <w:t xml:space="preserve"> Multistable excitonic Stark effect — https://doi.org/10.1103/physrevresearch.4.023168</w:t>
      </w:r>
    </w:p>
    <w:p>
      <w:pPr/>
      <w:r>
        <w:rPr>
          <w:b/>
        </w:rPr>
        <w:t>Shared claim-specific concepts:</w:t>
      </w:r>
      <w:r>
        <w:t xml:space="preserve"> stark, show, shift; EU scope not established. This is a provisional connection, not an outcome finding.</w:t>
      </w:r>
    </w:p>
    <w:p>
      <w:pPr>
        <w:pStyle w:val="SourceNote"/>
      </w:pPr>
      <w:r>
        <w:rPr>
          <w:b/>
        </w:rPr>
        <w:t>Available abstract (not full text):</w:t>
      </w:r>
      <w:r>
        <w:t xml:space="preserve"> The optical Stark effect is a tell-tale signature of coherent light--matter interaction in excitonic systems, wherein an irradiating light beam tunes exciton transition frequencies. Here we show that, when excitons are placed in a nanophotonic cavity, the excitonic Stark effect can become highly nonlinear, exhibiting multivalued and hysteretic Stark shifts that depend on the history of the irradiating light. This multistable Stark effect (MSE) arises from feedback between the cavity mode occupation and excitonic population mediated by the Stark-induced mutual tuning of the cavity and excitonic resonances. Strikingly, the MSE manifests even for very dilute exciton concentrations and can yield discontinuous Stark shift jumps of order meV. We expect that the MSE can be realized in readily available transition metal dichalcogenide excitonic systems placed in planar photonic cavities at modest pump intensities. This phenomenon can provide new means to engineer coupled states of light and matter that can persist even in the single exciton limit.</w:t>
      </w:r>
    </w:p>
    <w:p>
      <w:pPr/>
      <w:r>
        <w:rPr>
          <w:b/>
        </w:rPr>
        <w:t>POSSIBLE 2021:</w:t>
      </w:r>
      <w:r>
        <w:t xml:space="preserve"> Effect of pretreatments on refractance window drying, color kinetics and bioactive properties of white sweet cherries ( Prunus avium L. stark gold) — https://doi.org/10.1111/jfpp.15895</w:t>
      </w:r>
    </w:p>
    <w:p>
      <w:pPr/>
      <w:r>
        <w:rPr>
          <w:b/>
        </w:rPr>
        <w:t>Shared claim-specific concepts:</w:t>
      </w:r>
      <w:r>
        <w:t xml:space="preserve"> stark, white, compared; EU scope not established. This is a provisional connection, not an outcome finding.</w:t>
      </w:r>
    </w:p>
    <w:p>
      <w:pPr>
        <w:pStyle w:val="SourceNote"/>
      </w:pPr>
      <w:r>
        <w:rPr>
          <w:b/>
        </w:rPr>
        <w:t>Available abstract (not full text):</w:t>
      </w:r>
      <w:r>
        <w:t xml:space="preserve"> The aim of this study was to investigate the effects of different pretreatments (citric acid, sucrose and freezing) on the refractance window (RW) drying, color kinetics and bioactive properties of white sweet cherries. The shortest drying time (180 min) was obtained with freezing pretreatment (FP). The highest Deff was 2.38346 × 10–9 m2/s in FP. Cubic and Sigmoid equations were the best drying models for the control and FP, respectively. Furthermore, quadratic equation was the most appropriate color model for all sweet cherries. FP increased the total phenolic content (4.18 ± 0.86 mg gallic acid eq/g dry matter, DM) and antioxidant capacity (ferric reducing antioxidant power, FRAP) (13.17 ± 1.05 µmol trolox eq/g DM) of dried cherry, as compared to control and other pretreatments. Results indicated that citric acid and sucrose pretreatments (CAP and SP) were not much effective as freezing in cherry drying. This study showed that the combination of FP and RW drying can be an alternative drying for white sweet cherry. Practical applications White sweet cherry is a perishable seasonal fruit whose long term use is not possible during the off-season. Fresh sweet cherries are processed into various food products such as juice, vinegar, alcoholic drink or jam right after the collection from the field. However, other food sectors like bakery &amp; pastry, chocolate, and dairy demand to rea</w:t>
      </w:r>
    </w:p>
    <w:p>
      <w:pPr/>
      <w:r>
        <w:rPr>
          <w:b/>
        </w:rPr>
        <w:t>POSSIBLE 2021:</w:t>
      </w:r>
      <w:r>
        <w:t xml:space="preserve"> The impacts of the electricity demand pattern on electricity system cost and the electricity supply mix: A comprehensive modeling analysis for Europe — https://doi.org/10.1016/j.energy.2021.121329</w:t>
      </w:r>
    </w:p>
    <w:p>
      <w:pPr/>
      <w:r>
        <w:rPr>
          <w:b/>
        </w:rPr>
        <w:t>Shared claim-specific concepts:</w:t>
      </w:r>
      <w:r>
        <w:t xml:space="preserve"> show, compared; EU scope visible. This is a provisional connection, not an outcome finding.</w:t>
      </w:r>
    </w:p>
    <w:p>
      <w:pPr>
        <w:pStyle w:val="SourceNote"/>
      </w:pPr>
      <w:r>
        <w:rPr>
          <w:b/>
        </w:rPr>
        <w:t>Available abstract (not full text):</w:t>
      </w:r>
      <w:r>
        <w:t xml:space="preserve"> Energy system models for long-term planning are widely used to explore the future electricity system. Typically, to represent the future electricity demand in these models, historical demand profiles are used directly or scaled up linearly. Although the volume change for the electricity demand is considered, the potential change of the demand pattern is ignored. Meanwhile, the future electricity demand pattern is highly uncertain due to various factors, including climate change, e-mobility, electric heating, and electric cooling. We use a techno-economic cost optimization model to investigate a stylized case and assess the effects on system cost and electricity supply mix of assuming different demand patterns for the models. Our results show that differences in diurnal demand patterns affect the system cost by less than 3%. Similarly, demand profiles with a flat seasonal variation or a winter peak result in only minor changes in system cost, as compared to the present demand profile. Demand profiles with a summer peak may display a system cost increase of up to 8%, whereas the electricity supply mix may differ by a factor of two. A more detailed case study is conducted for Europe and the results are consistent with the findings from the stylized case.</w:t>
      </w:r>
    </w:p>
    <w:p>
      <w:pPr/>
      <w:r>
        <w:rPr>
          <w:b/>
        </w:rPr>
        <w:t>POSSIBLE 2018:</w:t>
      </w:r>
      <w:r>
        <w:t xml:space="preserve"> Future agricultural phosphorus demand according to the shared socioeconomic pathways — https://doi.org/10.1016/j.gloenvcha.2018.03.007</w:t>
      </w:r>
    </w:p>
    <w:p>
      <w:pPr/>
      <w:r>
        <w:rPr>
          <w:b/>
        </w:rPr>
        <w:t>Shared claim-specific concepts:</w:t>
      </w:r>
      <w:r>
        <w:t xml:space="preserve"> stark, contrast; EU scope not established. This is a provisional connection, not an outcome finding.</w:t>
      </w:r>
    </w:p>
    <w:p>
      <w:pPr>
        <w:pStyle w:val="SourceNote"/>
      </w:pPr>
      <w:r>
        <w:rPr>
          <w:b/>
        </w:rPr>
        <w:t>Available abstract (not full text):</w:t>
      </w:r>
      <w:r>
        <w:t xml:space="preserve"> A spatially explicit, two-pool soil phosphorus (P) model was used to analyze cropland P dynamics and fertilizer demand based on future crop production as projected in the shared socioeconomic pathways (SSPs). The model was initialized with historical data on P inputs and uptake, which governed the soil P accumulation up to present day. In contrast to existing scenario studies, the model accounts for both soil characteristics relevant to P retention and changing land use. At the global scale, crop uptake and the fraction of the applied P fertilizer that is directly taken up by plant roots govern the P quantities present in the soil. Despite the differences in the storylines among the SSPs, the quantitative implementation results in estimates for crop production and P inputs that are quite similar, which contrasts with the stark divergence in terms of population and incomes. In addition to global fertilizer P inputs in croplands increasing from 14.5 Tg P yr−1 in 2005 to 22–27 Tg P yr−1 in 2050, this study also estimates that 4–12 Tg P yr−1 would be needed in 2050 in global intensively managed grasslands to maintain fertility. Our new model approach can pinpoint the contribution of area expansion and crop yield improvement toward the total production, whereby the latter is shown to contribute 100% to 69%, depending on the scenario.</w:t>
      </w:r>
    </w:p>
    <w:p>
      <w:pPr/>
      <w:r>
        <w:rPr>
          <w:b/>
        </w:rPr>
        <w:t>POSSIBLE 2018:</w:t>
      </w:r>
      <w:r>
        <w:t xml:space="preserve"> Mar de plástico: Masculinity, Whiteness, and Eastern European Migrants in Spanish Prime Time Television — https://doi.org/10.5070/t482041118</w:t>
      </w:r>
    </w:p>
    <w:p>
      <w:pPr/>
      <w:r>
        <w:rPr>
          <w:b/>
        </w:rPr>
        <w:t>Shared claim-specific concepts:</w:t>
      </w:r>
      <w:r>
        <w:t xml:space="preserve"> contrast, white, show; EU scope visible. This is a provisional connection, not an outcome finding.</w:t>
      </w:r>
    </w:p>
    <w:p>
      <w:pPr>
        <w:pStyle w:val="SourceNote"/>
      </w:pPr>
      <w:r>
        <w:rPr>
          <w:b/>
        </w:rPr>
        <w:t>Available abstract (not full text):</w:t>
      </w:r>
      <w:r>
        <w:t xml:space="preserve"> The following essay analyzes representations of whiteness and its imbrication with both masculinity and the construction of Eastern European migrants in the Spanish TV drama Mar de plástico (2015). The violent, white masculinity of the protagonist, Héctor Aguirre, frames him as a protector of the weak and victimized, and the type of man needed to resolve the many problems plaguing Spanish society. By contrast, the whiteness of Eastern European migrants is portrayed as insidious and threatening to the safety and social structure of the community. Both of these engagements with whiteness stem from feelings of uncertainty and anger in broader Spanish society with entrenched economic and class hierarchies, as well a reaction to changing demographics and new influxes of immigrants. The innovative aspects of the show: a desire to create a well-produced, cinematic experience as well as engage with socially-relevant topics, unfortunately are only skin deep, because the narrative falls back on stereotyped portrayals of immigrants and a white, warrior-hero masculinity.</w:t>
      </w:r>
    </w:p>
    <w:p>
      <w:pPr/>
      <w:r>
        <w:rPr>
          <w:b/>
        </w:rPr>
        <w:t>POSSIBLE 2018:</w:t>
      </w:r>
      <w:r>
        <w:t xml:space="preserve"> Molecular Epidemiology and Evolution of European Bat Lyssavirus 2 — https://doi.org/10.3390/ijms19010156</w:t>
      </w:r>
    </w:p>
    <w:p>
      <w:pPr/>
      <w:r>
        <w:rPr>
          <w:b/>
        </w:rPr>
        <w:t>Shared claim-specific concepts:</w:t>
      </w:r>
      <w:r>
        <w:t xml:space="preserve"> contrast, high, reference; EU scope visible. This is a provisional connection, not an outcome finding.</w:t>
      </w:r>
    </w:p>
    <w:p>
      <w:pPr>
        <w:pStyle w:val="SourceNote"/>
      </w:pPr>
      <w:r>
        <w:rPr>
          <w:b/>
        </w:rPr>
        <w:t>Available abstract (not full text):</w:t>
      </w:r>
      <w:r>
        <w:t xml:space="preserve"> Bat rabies cases in Europe are mainly attributed to two lyssaviruses, namely European Bat Lyssavirus 1 (EBLV-1) and European Bat Lyssavirus 2 (EBLV-2). Prior to the death of a bat worker in Finland in 1985, very few bat rabies cases were reported. Enhanced surveillance in the two subsequent years (1986–1987) identified 263 cases (more than a fifth of all reported cases to date). Between 1977 and 2016, 1183 cases of bat rabies were reported, with the vast majority (&gt;97%) being attributed to EBLV-1. In contrast, there have been only 39 suspected cases of EBLV-2, of which 34 have been confirmed by virus typing and presently restricted to just two bat species; Myotis daubentonii and Myotis dasycneme. The limited number of EBLV-2 cases in Europe prompted the establishment of a network of European reference laboratories to collate all available viruses and data. Despite the relatively low number of EBLV-2 cases, a large amount of anomalous data has been published in the scientific literature, which we have here reviewed and clarified. In this review, 29 EBLV-2 full genome sequences have been analysed to further our understanding of the diversity and molecular evolution of EBLV-2 in Europe. Analysis of the 29 complete EBLV-2 genome sequences clearly corroborated geographical relationships with all EBLV-2 sequences clustering at the country level irrespective of the gene studied. Furth</w:t>
      </w:r>
    </w:p>
    <w:p>
      <w:pPr/>
      <w:r>
        <w:rPr>
          <w:b/>
        </w:rPr>
        <w:t>POSSIBLE 2018:</w:t>
      </w:r>
      <w:r>
        <w:t xml:space="preserve"> The White Cliff-Edge of Dover — https://openalex.org/W3213111109</w:t>
      </w:r>
    </w:p>
    <w:p>
      <w:pPr/>
      <w:r>
        <w:rPr>
          <w:b/>
        </w:rPr>
        <w:t>Shared claim-specific concepts:</w:t>
      </w:r>
      <w:r>
        <w:t xml:space="preserve"> stark, contrast, white; EU scope visible. This is a provisional connection, not an outcome finding.</w:t>
      </w:r>
    </w:p>
    <w:p>
      <w:pPr>
        <w:pStyle w:val="SourceNote"/>
      </w:pPr>
      <w:r>
        <w:rPr>
          <w:b/>
        </w:rPr>
        <w:t>Available abstract (not full text):</w:t>
      </w:r>
      <w:r>
        <w:t xml:space="preserve"> Media reports suggest that Michel Barnier has confidentially informed MEPs that Brexit talks are now “frozen”[1] and preparations on the continent for a no-deal Brexit are being accelerated. This is in stark contrast to official UK government documentation, which claims that “A scenario in which the UK leaves the EU without agreement (a ‘no deal’ scenario) remains unlikely given the mutual interests of the UK and the EU in securing a negotiated outcome”[2].</w:t>
      </w:r>
    </w:p>
    <w:p>
      <w:pPr/>
      <w:r>
        <w:rPr>
          <w:b/>
        </w:rPr>
        <w:t>POSSIBLE 2016:</w:t>
      </w:r>
      <w:r>
        <w:t xml:space="preserve"> Right-Wing Extremism and Terrorism in Europe: Current Developments and Issues for the Future — https://openalex.org/W2994049625</w:t>
      </w:r>
    </w:p>
    <w:p>
      <w:pPr/>
      <w:r>
        <w:rPr>
          <w:b/>
        </w:rPr>
        <w:t>Shared claim-specific concepts:</w:t>
      </w:r>
      <w:r>
        <w:t xml:space="preserve"> stark, contrast, white, show, almost, compared; EU scope visible. This is a provisional connection, not an outcome finding.</w:t>
      </w:r>
    </w:p>
    <w:p>
      <w:pPr>
        <w:pStyle w:val="SourceNote"/>
      </w:pPr>
      <w:r>
        <w:rPr>
          <w:b/>
        </w:rPr>
        <w:t>Available abstract (not full text):</w:t>
      </w:r>
      <w:r>
        <w:t xml:space="preserve"> Europe has experienced a revival of groups, networks, and incidents in recent years, with a surge of anti-immigration and Islamophobic violence, as well as anti-government attacks and assaults on political opponents, ethnic minorities, and homosexuals. Although not as significant as in Europe, the United States has also seen an upsurge in political violence considered to be right-wing extremist in nature (for example, supremacist, neo-Nazi, racist, or anti-government sovereign citizen). For the international audience, only a few of these incidents gained broad media attention; attacks are seen mostly as isolated events when compared with other attacks, such as those by Islamist terrorists. In Germany, a terrorist group calling itself the National Socialist Underground was discovered in 2011. Despite having assassinated at least 10 people and committed 2 bombings over the course of almost 14 years, it had gone undetected. That same year, Anders Behring Breivik killed 77 people in a bomb attack in Oslo and a mass shooting in Ut0ya, Norway. In the United States, supremacist Michael Page shot and killed six people and wounded four others in an attack against a Wisconsin Sikh temple in August 2012. Only one day after Charles Kurzman had argued in the New York Times that terrorism might be the most severe security threat in the United States, Dylann Roof killed nine people in his sho</w:t>
      </w:r>
    </w:p>
    <w:p>
      <w:pPr>
        <w:pStyle w:val="Heading2"/>
      </w:pPr>
      <w:r>
        <w:t>866. Assessing the impacts of technology improvements on the deployment of marine energy in Europe with an energy system perspective</w:t>
      </w:r>
    </w:p>
    <w:p>
      <w:pPr>
        <w:pStyle w:val="SourceNote"/>
      </w:pPr>
      <w:r>
        <w:rPr>
          <w:b/>
        </w:rPr>
        <w:t>Original source (2015):</w:t>
      </w:r>
      <w:r>
        <w:t xml:space="preserve"> https://doi.org/10.1016/j.renene.2015.11.076</w:t>
      </w:r>
    </w:p>
    <w:p>
      <w:pPr/>
      <w:r>
        <w:t>Original wording (abstract; indexed_source_text_not_full_document_verified): Marine energy could play a significant role in the long-term energy system in Europe, and substantial resources have been allocated to research and development in this field. A sensitivity analysis is performed, varying technology costs and conversion efficiency under two different carbon-emissions paths for Europe: a current policy initiative scenario and a scenario with long-term overall CO 2 emission reductions.</w:t>
      </w:r>
    </w:p>
    <w:p>
      <w:pPr/>
      <w:r>
        <w:rPr>
          <w:b/>
        </w:rPr>
        <w:t>POSSIBLE 2024:</w:t>
      </w:r>
      <w:r>
        <w:t xml:space="preserve"> Long‐term changes in taxonomic and functional composition of European marine fish communities — https://doi.org/10.1111/ecog.07234</w:t>
      </w:r>
    </w:p>
    <w:p>
      <w:pPr/>
      <w:r>
        <w:rPr>
          <w:b/>
        </w:rPr>
        <w:t>Shared claim-specific concepts:</w:t>
      </w:r>
      <w:r>
        <w:t xml:space="preserve"> marine, two, different; EU scope visible. This is a provisional connection, not an outcome finding.</w:t>
      </w:r>
    </w:p>
    <w:p>
      <w:pPr>
        <w:pStyle w:val="SourceNote"/>
      </w:pPr>
      <w:r>
        <w:rPr>
          <w:b/>
        </w:rPr>
        <w:t>Available abstract (not full text):</w:t>
      </w:r>
      <w:r>
        <w:t xml:space="preserve"> Evidence of large‐scale biodiversity degradation in marine ecosystems has been reported worldwide, yet most research has focused on few species of interest or on limited spatiotemporal scales. Here we assessed the spatial and temporal changes in the taxonomic and functional composition of fish communities in European seas over the last 25 years (1994–2019). We then explored how these community changes were linked to environmental gradients and fishing pressure. We show that the spatial variation in fish species composition is more than two times higher than the temporal variation, with a marked spatial continuum in taxonomic composition and a more homogenous pattern in functional composition. The regions warming the fastest are experiencing an increasing dominance and total abundance of r‐strategy fish species (lower age of maturity). Conversely, regions warming more slowly show an increasing dominance and total abundance of K‐strategy species (high trophic level and late reproduction). Among the considered environmental variables, sea surface temperature, surface salinity and chlorophyll‐a most consistently influenced communities' spatial patterns, while bottom temperature and oxygen had the most consistent influence on temporal patterns. Changes in communities' functional composition were more closely related to environmental conditions than taxonomic changes. Our study demon</w:t>
      </w:r>
    </w:p>
    <w:p>
      <w:pPr/>
      <w:r>
        <w:rPr>
          <w:b/>
        </w:rPr>
        <w:t>POSSIBLE 2024:</w:t>
      </w:r>
      <w:r>
        <w:t xml:space="preserve"> Characteristics and trends of marine heatwaves in the northwest European Shelf and the impacts on density stratification — https://doi.org/10.5194/sp-4-osr8-7-2024</w:t>
      </w:r>
    </w:p>
    <w:p>
      <w:pPr/>
      <w:r>
        <w:rPr>
          <w:b/>
        </w:rPr>
        <w:t>Shared claim-specific concepts:</w:t>
      </w:r>
      <w:r>
        <w:t xml:space="preserve"> marine, energy, significant, role; EU scope visible. This is a provisional connection, not an outcome finding.</w:t>
      </w:r>
    </w:p>
    <w:p>
      <w:pPr>
        <w:pStyle w:val="SourceNote"/>
      </w:pPr>
      <w:r>
        <w:rPr>
          <w:b/>
        </w:rPr>
        <w:t>Available abstract (not full text):</w:t>
      </w:r>
      <w:r>
        <w:t xml:space="preserve"> Abstract. Marine heatwaves (MHWs) are characterized by anomalous and prolonged increases in sea surface temperatures, driven by atmospheric and oceanic factors. The intensification of MHWs is an evident consequence of ongoing global climate change. The question of whether the North West European Shelf (NWES) is experiencing increased stratification in recent decades is of significant interest in understanding the impacts of these extreme events. In this study, we leverage ocean physics reanalysis data obtained from Copernicus Marine covering the temporal span from 1993 to 2023 to conduct a rigorous examination of the NWES domain. The focus centers on the assessment of potential energy anomaly (PEA) and its role in shaping stratification dynamics. Our findings reveal an increase in both the frequency and duration of MHWs in the NWES area, especially in coastal areas where the duration of MHWs is increasing the fastest, generally by more than 2 days per year over the study period. However, despite the intensified MHWs, thermal stratification in the NWES is weakening, particularly in the middle and northern North Sea. This suggests that the warming effect due to MHWs is insufficient to counteract the overall decline in thermal stratification caused by global warming. Additionally, our study highlights the significance of seawater salinity in driving the trend of density stratifica</w:t>
      </w:r>
    </w:p>
    <w:p>
      <w:pPr/>
      <w:r>
        <w:rPr>
          <w:b/>
        </w:rPr>
        <w:t>POSSIBLE 2023:</w:t>
      </w:r>
      <w:r>
        <w:t xml:space="preserve"> Marine energy digitalization digital twin's approaches — https://doi.org/10.1016/j.rser.2023.114065</w:t>
      </w:r>
    </w:p>
    <w:p>
      <w:pPr/>
      <w:r>
        <w:rPr>
          <w:b/>
        </w:rPr>
        <w:t>Shared claim-specific concepts:</w:t>
      </w:r>
      <w:r>
        <w:t xml:space="preserve"> marine, energy; EU scope visible. This is a provisional connection, not an outcome finding.</w:t>
      </w:r>
    </w:p>
    <w:p>
      <w:pPr>
        <w:pStyle w:val="SourceNote"/>
      </w:pPr>
      <w:r>
        <w:rPr>
          <w:b/>
        </w:rPr>
        <w:t>Available abstract (not full text):</w:t>
      </w:r>
      <w:r>
        <w:t xml:space="preserve"> Digital twins (DTs) promise innovation for the marine renewable energy sector using modern technological advances and the existing maritime knowledge frameworks. The DT is a digital equivalent of a real object that reflects and predicts its behaviours and states in a virtual space over its lifetime. DTs collect data from multiple sources in pilots and leverage newly introduced low-cost sensor systems. They synchronize, homogenize, and transmit the data to a central hub and integrate it with predictive and learning models to optimize plant performance and operations. This research presents critical aspects of DT implementation challenges in marine energy digitalization DT approaches that use and combine data systems. Firstly, the DT and the existing framework for marine knowledge provided by systems are presented, and the DT's main development steps are discussed. Secondly, the DT implementing main stages, measurement systems, data harmonization and preprocessing, modelling, comprehensive data analysis, and learning and optimization tools, are identified. Finally, the ILIAD (Integrated Digital Framework for Comprehensive Maritime Data and Information Services) project has been reviewed as a best EU funding practice to understand better how marine energy digitalization DT's approaches are being used, designed, developed, and launched.</w:t>
      </w:r>
    </w:p>
    <w:p>
      <w:pPr/>
      <w:r>
        <w:rPr>
          <w:b/>
        </w:rPr>
        <w:t>POSSIBLE 2023:</w:t>
      </w:r>
      <w:r>
        <w:t xml:space="preserve"> Developing a Marine Energy Workforce Pipeline — https://doi.org/10.23919/oceans52994.2023.10336954</w:t>
      </w:r>
    </w:p>
    <w:p>
      <w:pPr/>
      <w:r>
        <w:rPr>
          <w:b/>
        </w:rPr>
        <w:t>Shared claim-specific concepts:</w:t>
      </w:r>
      <w:r>
        <w:t xml:space="preserve"> marine, energy, resources; EU scope not established. This is a provisional connection, not an outcome finding.</w:t>
      </w:r>
    </w:p>
    <w:p>
      <w:pPr>
        <w:pStyle w:val="SourceNote"/>
      </w:pPr>
      <w:r>
        <w:rPr>
          <w:b/>
        </w:rPr>
        <w:t>Available abstract (not full text):</w:t>
      </w:r>
      <w:r>
        <w:t xml:space="preserve"> Marine Energy is a nascent, but growing industry and will need a strong workforce to be successful. This paper examines the resources and programs needed to achieve the industry's goals.</w:t>
      </w:r>
    </w:p>
    <w:p>
      <w:pPr/>
      <w:r>
        <w:rPr>
          <w:b/>
        </w:rPr>
        <w:t>POSSIBLE 2023:</w:t>
      </w:r>
      <w:r>
        <w:t xml:space="preserve"> Energy Justice Framework for Marine Energy: Considerations from PacWave — https://doi.org/10.2172/2352468</w:t>
      </w:r>
    </w:p>
    <w:p>
      <w:pPr/>
      <w:r>
        <w:rPr>
          <w:b/>
        </w:rPr>
        <w:t>Shared claim-specific concepts:</w:t>
      </w:r>
      <w:r>
        <w:t xml:space="preserve"> marine, energy, two; EU scope not established. This is a provisional connection, not an outcome finding.</w:t>
      </w:r>
    </w:p>
    <w:p>
      <w:pPr>
        <w:pStyle w:val="SourceNote"/>
      </w:pPr>
      <w:r>
        <w:rPr>
          <w:b/>
        </w:rPr>
        <w:t>Available abstract (not full text):</w:t>
      </w:r>
      <w:r>
        <w:t xml:space="preserve"> To accelerate the energy transition while addressing land use conflicts and community opposition, federal policies and incentives require that new energy infrastructure provide direct benefits to communities, and ensure that these benefits remain in the community. The objective of this study is to develop a framework for collecting demographic, socioeconomic, and environmental data and supporting communities in understanding how such data can support more just and equitable outcomes. Specifically, this study addresses two research questions: (1) How can energy justice be incorporated into ME project life cycle, and (2) what social and economic data are needed to assess how marine energy development supports energy justice? Based on our literature review and the data collection template, a case study of PacWave, a wave energy testing facility located on the central Oregon Coast, is employed to draw more specific implications for how energy justice can be integrated into marine energy. PacWave represents a flagship investment by Oregon State University, the State of Oregon, and the Department of Energy. The facility is situated in Lincoln County, which is home to the Confederated Tribes of Siletz Indians and family-scale fishing enterprises. PacWave has strong community support as a testing site and holds potential to provide valuable lessons for other communities.</w:t>
      </w:r>
    </w:p>
    <w:p>
      <w:pPr/>
      <w:r>
        <w:rPr>
          <w:b/>
        </w:rPr>
        <w:t>POSSIBLE 2023:</w:t>
      </w:r>
      <w:r>
        <w:t xml:space="preserve"> Planning the Installation of Marine Renewable Energies in Portugal - a tool for decision making — https://doi.org/10.1088/1742-6596/2626/1/012074</w:t>
      </w:r>
    </w:p>
    <w:p>
      <w:pPr/>
      <w:r>
        <w:rPr>
          <w:b/>
        </w:rPr>
        <w:t>Shared claim-specific concepts:</w:t>
      </w:r>
      <w:r>
        <w:t xml:space="preserve"> marine, energy, play, role, system; EU scope visible. This is a provisional connection, not an outcome finding.</w:t>
      </w:r>
    </w:p>
    <w:p>
      <w:pPr>
        <w:pStyle w:val="SourceNote"/>
      </w:pPr>
      <w:r>
        <w:rPr>
          <w:b/>
        </w:rPr>
        <w:t>Available abstract (not full text):</w:t>
      </w:r>
      <w:r>
        <w:t xml:space="preserve"> Abstract In the latest years, the European governments have developed and published the goals for their countries in terms of energy and climate as requested by the European Commission - The National Energy and Climate Plans (NECPs). In this sense, an intense activity on the planning of the installation of renewable energy systems took place in each Member State in order to meet the goals established on the NECPs. Following the recent energy crisis and the urgency to transform Europe’s energy system in Europe, the NECPs are also being adapted to this situation and the installation of renewable energy systems assumed an even higher relevance. In this sense, offshore wind, due to its characteristics – high wind resource, less occupation issues and others – will play a key role in the future energy mix. This work proposed the development and application of a holistic planning methodology considering the available offshore renewable resource, restrictions to the installation of marine energy systems and economic indicators, which resulted in a techno-economic platform – MarinePlan, developed in the scope of a National funded project – OffshorePlan</w:t>
      </w:r>
    </w:p>
    <w:p>
      <w:pPr/>
      <w:r>
        <w:rPr>
          <w:b/>
        </w:rPr>
        <w:t>POSSIBLE 2023:</w:t>
      </w:r>
      <w:r>
        <w:t xml:space="preserve"> The role of the marine research infrastructures in the European marine observation landscape: present and future perspectives — https://doi.org/10.3389/fmars.2023.1047251</w:t>
      </w:r>
    </w:p>
    <w:p>
      <w:pPr/>
      <w:r>
        <w:rPr>
          <w:b/>
        </w:rPr>
        <w:t>Shared claim-specific concepts:</w:t>
      </w:r>
      <w:r>
        <w:t xml:space="preserve"> marine, play, significant, role, long-term, system; EU scope visible. This is a provisional connection, not an outcome finding.</w:t>
      </w:r>
    </w:p>
    <w:p>
      <w:pPr>
        <w:pStyle w:val="SourceNote"/>
      </w:pPr>
      <w:r>
        <w:rPr>
          <w:b/>
        </w:rPr>
        <w:t>Available abstract (not full text):</w:t>
      </w:r>
      <w:r>
        <w:t xml:space="preserve"> The ocean regulates the exchange, storage of carbon dioxide, plays a key role in global control of Earth climate and life, absorbs most of the heat excess from greenhouse gas emissions and provides a remarkable number of resources for the human being. Most of the geo-hazards occur in oceanic areas. Thus, high-quality systematic observations are necessary tools for improving our understanding, and subsequent assimilation to provide early warning systems. A holistic scientific approach for the understanding of the ocean’s interrelated processes requires coordinated and complementary monitoring and observation programmes. Research Infrastructures (RIs) are large-scale facilities that provide resources and services for the scientific communities to conduct high-level research and foster innovation. RIs benefit from strong governance and multi-annual funding from their member states with operational life spans in decades. RIs promote knowledge, outreach and education to public, private, and policy stakeholders, and they play a key role in enabling and developing research in all scientific domains and currently represent a growing share of coordinated investment in research, and also in providing essential observations to operational services such as Copernicus. They are strategically important for Europe to lead a global movement towards a data-driven, interconnected, open digital t</w:t>
      </w:r>
    </w:p>
    <w:p>
      <w:pPr/>
      <w:r>
        <w:rPr>
          <w:b/>
        </w:rPr>
        <w:t>POSSIBLE 2022:</w:t>
      </w:r>
      <w:r>
        <w:t xml:space="preserve"> Economic feasibility of marine renewable energy: Review — https://doi.org/10.3389/fmars.2022.988513</w:t>
      </w:r>
    </w:p>
    <w:p>
      <w:pPr/>
      <w:r>
        <w:rPr>
          <w:b/>
        </w:rPr>
        <w:t>Shared claim-specific concepts:</w:t>
      </w:r>
      <w:r>
        <w:t xml:space="preserve"> marine, energy, technology, different; EU scope visible. This is a provisional connection, not an outcome finding.</w:t>
      </w:r>
    </w:p>
    <w:p>
      <w:pPr>
        <w:pStyle w:val="SourceNote"/>
      </w:pPr>
      <w:r>
        <w:rPr>
          <w:b/>
        </w:rPr>
        <w:t>Available abstract (not full text):</w:t>
      </w:r>
      <w:r>
        <w:t xml:space="preserve"> This paper aims to comprehensively review the economic feasibility of Marine Renewable Energy. Five major continents are at different development stages of implementing MREs commercialization; Europe is in the most advanced, while Africa is at the initial stage. The Levelized Cost of Energy is usually used to make decisions and measure the plant’s economic feasibility. Literature suggests that MRE technology is still costly, and many emerging countries are sensitive to the income and use of MRE. Among various types of MREs, wind energy is the most feasible for many countries. Offshore wave energy is still at the pre-commercialization stage for many developing countries. Tidal energy plants can be economically viable depending on a reduction in investment cost and high capacity factors. Most of the world’s tidal flows have too low a speed to operate a turbine of commercial size for ocean thermal energy. In conclusion, the factors hindering MRE development are pointed out, and future challenges are discussed.</w:t>
      </w:r>
    </w:p>
    <w:p>
      <w:pPr/>
      <w:r>
        <w:rPr>
          <w:b/>
        </w:rPr>
        <w:t>POSSIBLE 2022:</w:t>
      </w:r>
      <w:r>
        <w:t xml:space="preserve"> State of Play in Marine Soundscape Assessments — https://doi.org/10.3389/fmars.2022.919418</w:t>
      </w:r>
    </w:p>
    <w:p>
      <w:pPr/>
      <w:r>
        <w:rPr>
          <w:b/>
        </w:rPr>
        <w:t>Shared claim-specific concepts:</w:t>
      </w:r>
      <w:r>
        <w:t xml:space="preserve"> marine, play, technology; EU scope not established. This is a provisional connection, not an outcome finding.</w:t>
      </w:r>
    </w:p>
    <w:p>
      <w:pPr>
        <w:pStyle w:val="SourceNote"/>
      </w:pPr>
      <w:r>
        <w:rPr>
          <w:b/>
        </w:rPr>
        <w:t>Available abstract (not full text):</w:t>
      </w:r>
      <w:r>
        <w:t xml:space="preserve"> A soundscape is the recording of all sounds present in an area, creating a holistic view of the acoustic profile in an ecosystem. Studying acoustic parameters of marine soundscapes as a whole has been shown to give an indication of the health status of the location, as well as correlate to which species may be present and using the area. With the rapid innovation of technology, especially data storage and declining cost of equipment, marine soundscape research is fast increasing, and these previous limitations have been switched for computing capacity for data analysis. Here, we perform a systematic assessment of literature of marine soundscape studies, from 1978, when the first soundscape study was reported, until 2021. We identified 200 primary research studies that recorded soundscapes and captured their geographical location, depth, habitat, duration of the study, and number of sites in each study. Using this data, we summarize the state of play in marine soundscapes studies, and identify knowledge gaps in the spatial coverage, depth profiles, habitat representation and study duration. Spatially, studies are biased towards the northern hemisphere. They are also more prevalent in more easily accessible ecosystems, in order from most to least studied, in coastal (38%), pelagic (20%), tropical coral reef (17%), rocky reef (7%), polar (5.5%), seagrass meadows, oyster reef and k</w:t>
      </w:r>
    </w:p>
    <w:p>
      <w:pPr/>
      <w:r>
        <w:rPr>
          <w:b/>
        </w:rPr>
        <w:t>POSSIBLE 2022:</w:t>
      </w:r>
      <w:r>
        <w:t xml:space="preserve"> Marine Integrated Energy Microgrids — https://doi.org/10.1109/rest54687.2022.10022621</w:t>
      </w:r>
    </w:p>
    <w:p>
      <w:pPr/>
      <w:r>
        <w:rPr>
          <w:b/>
        </w:rPr>
        <w:t>Shared claim-specific concepts:</w:t>
      </w:r>
      <w:r>
        <w:t xml:space="preserve"> marine, energy, role, system, efficiency; EU scope not established. This is a provisional connection, not an outcome finding.</w:t>
      </w:r>
    </w:p>
    <w:p>
      <w:pPr>
        <w:pStyle w:val="SourceNote"/>
      </w:pPr>
      <w:r>
        <w:rPr>
          <w:b/>
        </w:rPr>
        <w:t>Available abstract (not full text):</w:t>
      </w:r>
      <w:r>
        <w:t xml:space="preserve"> Marine sector decarbonization is another important battlefield for meeting the goal of climate action and ensuring the fulfillment of ambitions for a zero-emission society. Driven immediately by the policy incentives such as Energy Efficiency Design Index (EEDI) from International Maritime Organization(IMO), carbon taxation and labeling, a series of innovations centered around marine transportation are emerging from both industry and academia. As an efficient energy system form, the microgrid is playing an increasingly important role as the system constitution form for various marine energy systems. With specific concern about multi-energy integrations, the conventional definition of the microgrid needs also to be extended for an integrated energy system. In this paper, we will first introduce the extended concept of the microgrid as an integrated energy system and its applications in the marine sector, and then present the state of the art for the control, operation, and system integration for it and its clusters. The challenges and opportunities for marine integrated energy microgrids will also be discussed to shed light on future research.</w:t>
      </w:r>
    </w:p>
    <w:p>
      <w:pPr/>
      <w:r>
        <w:rPr>
          <w:b/>
        </w:rPr>
        <w:t>POSSIBLE 2022:</w:t>
      </w:r>
      <w:r>
        <w:t xml:space="preserve"> Social and Ecological Impacts of Marine Energy Development in Malaysia — https://doi.org/10.26666/rmp.jesr.2022.5.4</w:t>
      </w:r>
    </w:p>
    <w:p>
      <w:pPr/>
      <w:r>
        <w:rPr>
          <w:b/>
        </w:rPr>
        <w:t>Shared claim-specific concepts:</w:t>
      </w:r>
      <w:r>
        <w:t xml:space="preserve"> marine, energy; EU scope not established. This is a provisional connection, not an outcome finding.</w:t>
      </w:r>
    </w:p>
    <w:p>
      <w:pPr>
        <w:pStyle w:val="SourceNote"/>
      </w:pPr>
      <w:r>
        <w:rPr>
          <w:b/>
        </w:rPr>
        <w:t>Available abstract (not full text):</w:t>
      </w:r>
      <w:r>
        <w:t xml:space="preserve"> The excessive usage of fossil fuels in Malaysia is increasing yearly to meet the increasing domestic demands. However, this will impact the environment as fossil fuels will emit hazardous gases into the atmosphere. The development of marine energy in Malaysia is still in early periods compared with China, the U.K, and America. Notably, the impact of marine energy extraction on shallow water regions is not yet fully understood, such as the changes in the topography, the effect on marine life, and the cost of development and maintenance for tidal stream energy. This paper is focused on the social and ecological impact of potential marine energy development in Malaysia. Significantly, this study relies on published data to analyse and identify potential sites for harnessing tidal stream energy. Numerical calculation shows that the coastal region receives higher available energy compared to the deep sea. Three sites are found to be the best location for tidal energy exploration in Malaysia, namely Pangkor Island, Port Klang, and the Malacca coastline. From these three sites, the available energy per year for Pangkor Island is 193.668 MWh, while for Port Klang and Malacca coastline are at 241.66 MWh, and 433 MWh respectively. Apart from the economical aspect, the social aspect of tidal energy exploration is also examined. The purpose of the Renewable Energy Act 2011 and Electricity </w:t>
      </w:r>
    </w:p>
    <w:p>
      <w:pPr/>
      <w:r>
        <w:rPr>
          <w:b/>
        </w:rPr>
        <w:t>POSSIBLE 2022:</w:t>
      </w:r>
      <w:r>
        <w:t xml:space="preserve"> A Review of AC and DC Collection Grids for Offshore Renewable Energy with a Qualitative Evaluation for Marine Energy Resources — https://doi.org/10.3390/en15165816</w:t>
      </w:r>
    </w:p>
    <w:p>
      <w:pPr/>
      <w:r>
        <w:rPr>
          <w:b/>
        </w:rPr>
        <w:t>Shared claim-specific concepts:</w:t>
      </w:r>
      <w:r>
        <w:t xml:space="preserve"> marine, energy, system, resources, different; EU scope not established. This is a provisional connection, not an outcome finding.</w:t>
      </w:r>
    </w:p>
    <w:p>
      <w:pPr>
        <w:pStyle w:val="SourceNote"/>
      </w:pPr>
      <w:r>
        <w:rPr>
          <w:b/>
        </w:rPr>
        <w:t>Available abstract (not full text):</w:t>
      </w:r>
      <w:r>
        <w:t xml:space="preserve"> Marine energy resources could be crucial in meeting the increased demand for clean electricity. To enable the use of marine energy resources, developing efficient and durable offshore electrical systems is vital. Currently, there are no large-scale commercial projects with marine energy resources, and the question of how to design such electrical systems is still not settled. A natural starting point in investigating this is to draw on experiences and research from offshore wind power. This article reviews different collection grid topologies and key components for AC and DC grid structures. The review covers aspects such as the type of components, operation and estimated costs of commercially available components. A DC collection grid can be especially suitable for offshore marine energy resources, since the transmission losses are expected to be lower, and the electrical components could possibly be made smaller. Therefore, five DC collection grid topologies are proposed and qualitatively evaluated for marine energy resources using submerged and non-submerged marine energy converters. The properties, advantages and disadvantages of the proposed topologies are discussed, and it is concluded that a suitable electrical system for a marine energy farm will most surely be based on a site-specific techno-economic analysis.</w:t>
      </w:r>
    </w:p>
    <w:p>
      <w:pPr>
        <w:pStyle w:val="Heading2"/>
      </w:pPr>
      <w:r>
        <w:t>867. Biotechnology versus agroecology: Entrenchments and surprise at a 2030 forecast scenario workshop</w:t>
      </w:r>
    </w:p>
    <w:p>
      <w:pPr>
        <w:pStyle w:val="SourceNote"/>
      </w:pPr>
      <w:r>
        <w:rPr>
          <w:b/>
        </w:rPr>
        <w:t>Original source (2015):</w:t>
      </w:r>
      <w:r>
        <w:t xml:space="preserve"> https://doi.org/10.1093/scipol/scv021</w:t>
      </w:r>
    </w:p>
    <w:p>
      <w:pPr/>
      <w:r>
        <w:t>Original wording (abstract; indexed_source_text_not_full_document_verified): A scenario workshop methodology was used to obtain various assessments of the prospects of multi-stress resistant plants. In our results, the scenario method showed itself to be highly suited to easing the grip of cognitive entrenchments and hierarchical communication structures.</w:t>
      </w:r>
    </w:p>
    <w:p>
      <w:pPr/>
      <w:r>
        <w:rPr>
          <w:b/>
        </w:rPr>
        <w:t>POSSIBLE 2026:</w:t>
      </w:r>
      <w:r>
        <w:t xml:space="preserve"> Improving the methodology for the comprehensive assessment of the working conditions of workers in the foundry — https://doi.org/10.21122/1683-6065-2026-2-143-150</w:t>
      </w:r>
    </w:p>
    <w:p>
      <w:pPr/>
      <w:r>
        <w:rPr>
          <w:b/>
        </w:rPr>
        <w:t>Shared claim-specific concepts:</w:t>
      </w:r>
      <w:r>
        <w:t xml:space="preserve"> methodology, various, showed; EU scope not established. This is a provisional connection, not an outcome finding.</w:t>
      </w:r>
    </w:p>
    <w:p>
      <w:pPr>
        <w:pStyle w:val="SourceNote"/>
      </w:pPr>
      <w:r>
        <w:rPr>
          <w:b/>
        </w:rPr>
        <w:t>Available abstract (not full text):</w:t>
      </w:r>
      <w:r>
        <w:t xml:space="preserve"> An improved methodology for the comprehensive assessment of the working conditions of workers in foundries is considered. Additional working conditions to the main production factors have been identified. Correction factors for additional production factors have been determined, taking into account their effects on the human body. The data obtained on the calculation of a complex indicator for individual professions of various sections of steel workshops with a mass production nature showed the need to introduce additional production factors into the calculation equation. Changes have also been made to the classification of foundries (sites) by working conditions.</w:t>
      </w:r>
    </w:p>
    <w:p>
      <w:pPr/>
      <w:r>
        <w:rPr>
          <w:b/>
        </w:rPr>
        <w:t>POSSIBLE 2025:</w:t>
      </w:r>
      <w:r>
        <w:t xml:space="preserve"> Building Participatory Instant Messaging: Developing a Methodology for Online Workshops Using WhatsApp — https://doi.org/10.35844/001c.141333</w:t>
      </w:r>
    </w:p>
    <w:p>
      <w:pPr/>
      <w:r>
        <w:rPr>
          <w:b/>
        </w:rPr>
        <w:t>Shared claim-specific concepts:</w:t>
      </w:r>
      <w:r>
        <w:t xml:space="preserve"> workshop, methodology, used, method; EU scope visible. This is a provisional connection, not an outcome finding.</w:t>
      </w:r>
    </w:p>
    <w:p>
      <w:pPr>
        <w:pStyle w:val="SourceNote"/>
      </w:pPr>
      <w:r>
        <w:rPr>
          <w:b/>
        </w:rPr>
        <w:t>Available abstract (not full text):</w:t>
      </w:r>
      <w:r>
        <w:t xml:space="preserve"> This paper describes an application of instant messaging to support extended online participatory workshops. We describe the development and application of Participatory Instant Messaging (PIM) within the context of two projects in Sweden, which both aimed to integrate migrant experiences into policy dialogues and societal awareness. The projects brought together artistic practice, research traditions and the active engagement of participants in self-expression. The methodology leveraged the communicative opportunities in a familiar instant messaging platform to facilitate remote participatory workshops, overcoming geographical and logistical barriers that can otherwise constrain workshops to particular localities. PIM was used to co-create narratives and media directly with participants, enriching our understanding of their lives and enhancing public engagement with migrants’ stories, while remaining sensitive to participants’ lives and other commitments. This paper discusses the iterative design of PIM, from pilot experiments to full-scale application, highlighting the methodological insights gained and the practical challenges addressed throughout these phases. We drew on the concept of social affordances of technology, which foregrounds the space of potential interactions within participants’ own use of instant messaging. Social affordances informed both facilitation strate</w:t>
      </w:r>
    </w:p>
    <w:p>
      <w:pPr/>
      <w:r>
        <w:rPr>
          <w:b/>
        </w:rPr>
        <w:t>POSSIBLE 2025:</w:t>
      </w:r>
      <w:r>
        <w:t xml:space="preserve"> Workshop on Cumulative Impacts Assessment (WKCIA) — https://doi.org/10.17895/ices.pub.30531236</w:t>
      </w:r>
    </w:p>
    <w:p>
      <w:pPr/>
      <w:r>
        <w:rPr>
          <w:b/>
        </w:rPr>
        <w:t>Shared claim-specific concepts:</w:t>
      </w:r>
      <w:r>
        <w:t xml:space="preserve"> workshop, methodology, various, assessments, method; EU scope not established. This is a provisional connection, not an outcome finding.</w:t>
      </w:r>
    </w:p>
    <w:p>
      <w:pPr>
        <w:pStyle w:val="SourceNote"/>
      </w:pPr>
      <w:r>
        <w:rPr>
          <w:b/>
        </w:rPr>
        <w:t>Available abstract (not full text):</w:t>
      </w:r>
      <w:r>
        <w:t xml:space="preserve"> 04/06/26 (erratum): Please note that corrections have been made to the participant list. Earlier published versions of the report are no longer accessible due to privacy concerns.The remit of the Workshop on Cumulative Impact Assessments (WKCIA) was to provide the basis of advice requested by the Netherland Ministry of Infrastructure and Water Management on behalf of the Greater North Sea Basin Initiative (GNSBI). The tasks included reviewing relevant CIA methods and tools, defining common principles for CIAs in relation to the expected applications, identifying the criteria for the evaluation of CIAs, and providing recommendations for the application of the most suitable CIA methods.In terms of their main components, output and capacity to inform an Ecosystem Approach to Management, the available CIA methods-types were characterized as: 1. Response, 2. Spatial, Flexible, and 4. Synthesis. This characterization was based on key literature and examples from the application of various tools that apply these method-types. Several of these examples were presented and discussed at the WKCIA.The following premises guided the selection of common principles: i) The requirement of a timely delivery of a CIA methodology and knowledge base; ii) Maximise adherence to existing principles (and not re-invent the wheel); and iii) Allow a process towards harmonization of the CIA approaches and </w:t>
      </w:r>
    </w:p>
    <w:p>
      <w:pPr/>
      <w:r>
        <w:rPr>
          <w:b/>
        </w:rPr>
        <w:t>POSSIBLE 2025:</w:t>
      </w:r>
      <w:r>
        <w:t xml:space="preserve"> Workshop on Risk Assessment of Nanomaterials and Materials Containing Small/Nanoparticles in the Food and Feed Chain — https://doi.org/10.2903/sp.efsa.2025.en-9625</w:t>
      </w:r>
    </w:p>
    <w:p>
      <w:pPr/>
      <w:r>
        <w:rPr>
          <w:b/>
        </w:rPr>
        <w:t>Shared claim-specific concepts:</w:t>
      </w:r>
      <w:r>
        <w:t xml:space="preserve"> workshop, various, assessments; EU scope visible. This is a provisional connection, not an outcome finding.</w:t>
      </w:r>
    </w:p>
    <w:p>
      <w:pPr>
        <w:pStyle w:val="SourceNote"/>
      </w:pPr>
      <w:r>
        <w:rPr>
          <w:b/>
        </w:rPr>
        <w:t>Available abstract (not full text):</w:t>
      </w:r>
      <w:r>
        <w:t xml:space="preserve"> Abstract This workshop represented a milestone of the engagement plan that aimed in updating EFSA's guidance on nanomaterials and small/nano particles risk assessment within the food and feed chain. In response to the identified challenges in implementing the 2021 EFSA guidance documents, the event provided a space for discussing key scientific aspects, enhancing harmonization across scientific and regulatory frameworks, and exchanging views among various stakeholders. Attended by over 50 in‐person and more than 250 online participants, the event featured two sessions. Session 1 provided an overview of existing frameworks, including insights from EU agencies and international bodies, highlighting the need for alignment and updated guidance to reflect scientific advancements. Session 2 facilitated discussions on technical aspects, such as physico‐chemical characterization, toxicological testing, and risk assessment methodologies. Major topics included the integration of New Approach Methodologies (NAMs), addressing challenges in sample preparation, and the acceptance of historical data. Emphasizing the importance of cooperation, the workshop called for flexible yet adapted approaches to ensure industry compliance and effective risk assessments. Concluding the event, EFSA committed to refining guidance to align with scientific progress and stakeholder feedback, fostering collabor</w:t>
      </w:r>
    </w:p>
    <w:p>
      <w:pPr/>
      <w:r>
        <w:rPr>
          <w:b/>
        </w:rPr>
        <w:t>POSSIBLE 2025:</w:t>
      </w:r>
      <w:r>
        <w:t xml:space="preserve"> Experience on Training among the Participants of Teaching Methodology and Assessment — https://doi.org/10.3329/cmoshmcj.v23i1.78514</w:t>
      </w:r>
    </w:p>
    <w:p>
      <w:pPr/>
      <w:r>
        <w:rPr>
          <w:b/>
        </w:rPr>
        <w:t>Shared claim-specific concepts:</w:t>
      </w:r>
      <w:r>
        <w:t xml:space="preserve"> workshop, methodology, various; EU scope not established. This is a provisional connection, not an outcome finding.</w:t>
      </w:r>
    </w:p>
    <w:p>
      <w:pPr>
        <w:pStyle w:val="SourceNote"/>
      </w:pPr>
      <w:r>
        <w:rPr>
          <w:b/>
        </w:rPr>
        <w:t>Available abstract (not full text):</w:t>
      </w:r>
      <w:r>
        <w:t xml:space="preserve"> Background: Recent development in medical education have created increasing challenges for medical teachers. Teachers are not born, they are made. Some special initiatives can make one able to be a good teacher. Teaching is not an inborn quality. A professional training is needed to be a teacher. In Bangladesh medical professionals become teachers without any sorts of formal training of teaching methodology and assessment. A Medical Degree is not the only qualification of a medical teacher. Our medical professional become teacher without any sort of formal training of “Teaching Methodology and Assessment”. To improve the quality of medical education in Bangladesh, training on teaching methodology and assessment for medical teachers is essential. This study was done to describe experience on training by trainers on teaching methodology and assessment. Materials and methods: This Experiental study (Before and after trial study) was conducted in the teachers of various Department of Chattagram Maa-O-Shishu Hospital Medical College, Chattogram (CMOSHMC) from July 2022 to December 2022. Sample size: 63 (24 Male, 39 Female) Results: 63 Participants were grouped into 3 groups ,21 participants were in each group. Each group participated in workshop for 4 days.They are trained with 12 modules supplied by CME. Pre-test and Post-test were conducted. Test results were analyzed for any sign</w:t>
      </w:r>
    </w:p>
    <w:p>
      <w:pPr/>
      <w:r>
        <w:rPr>
          <w:b/>
        </w:rPr>
        <w:t>POSSIBLE 2025:</w:t>
      </w:r>
      <w:r>
        <w:t xml:space="preserve"> Expanding the Fine-Kinney Methodology Using Fuzzy Logic: A Case Study in an Energy Linemen Workshop — https://doi.org/10.3390/safety11040094</w:t>
      </w:r>
    </w:p>
    <w:p>
      <w:pPr/>
      <w:r>
        <w:rPr>
          <w:b/>
        </w:rPr>
        <w:t>Shared claim-specific concepts:</w:t>
      </w:r>
      <w:r>
        <w:t xml:space="preserve"> workshop, methodology, various, method; EU scope not established. This is a provisional connection, not an outcome finding.</w:t>
      </w:r>
    </w:p>
    <w:p>
      <w:pPr>
        <w:pStyle w:val="SourceNote"/>
      </w:pPr>
      <w:r>
        <w:rPr>
          <w:b/>
        </w:rPr>
        <w:t>Available abstract (not full text):</w:t>
      </w:r>
      <w:r>
        <w:t xml:space="preserve"> This paper investigates the effectiveness and limitations of the traditional Fine-Kinney method for occupational risk assessment, emphasizing its shortcomings in addressing complex and dynamic work environments. To overcome these challenges, two advanced methodologies, Fine-Kinney10 (FK10) and Fuzzy Fine-Kinney10 (FFK10), are introduced. The FK10 employs a symmetric scaling system (1–10) for probability, frequency, and severity indicators, providing a more balanced quantification of risks. Meanwhile, FFK10 incorporates fuzzy logic to handle uncertainty and subjectivity in risk assessment, significantly enhancing the sensitivity and accuracy of risk evaluation. These methodologies were applied to a linemen workshop in an energy production and distribution company, analyzing various types of accidents such as falls from heights, exposure to electric currents, slips on surfaces, and more. The applications highlighted the practical benefits of these methods in effectively assessing and mitigating risks. A significant finding includes the identification of risks related to falls from heights of &lt;2.5 m (SH1) and road traffic accidents (SH6), where all three methods yielded different verbal outcomes. Compared to the traditional Fine-Kinney method, FK10 and FFK10 demonstrated superior ability in distinguishing risk levels and guiding targeted safety measures. The study underscores that</w:t>
      </w:r>
    </w:p>
    <w:p>
      <w:pPr/>
      <w:r>
        <w:rPr>
          <w:b/>
        </w:rPr>
        <w:t>POSSIBLE 2024:</w:t>
      </w:r>
      <w:r>
        <w:t xml:space="preserve"> Evaluating a research methodology workshop among postgraduate students using Kirkpatrick’s model — https://doi.org/10.4103/jehp.jehp_1026_23</w:t>
      </w:r>
    </w:p>
    <w:p>
      <w:pPr/>
      <w:r>
        <w:rPr>
          <w:b/>
        </w:rPr>
        <w:t>Shared claim-specific concepts:</w:t>
      </w:r>
      <w:r>
        <w:t xml:space="preserve"> workshop, methodology, used; EU scope not established. This is a provisional connection, not an outcome finding.</w:t>
      </w:r>
    </w:p>
    <w:p>
      <w:pPr>
        <w:pStyle w:val="SourceNote"/>
      </w:pPr>
      <w:r>
        <w:rPr>
          <w:b/>
        </w:rPr>
        <w:t>Available abstract (not full text):</w:t>
      </w:r>
      <w:r>
        <w:t xml:space="preserve"> BACKGROUND: In this era of evidence-based medicine, only systematic research can help in providing judicious and precise healthcare to individual patients based on updated knowledge and skills. However, many medical professionals do not feel competent and confident enough to conduct research. One of the reasons could be the lack of a research-based curriculum in undergraduate courses. The National Medical Council has also stressed the need for formal training in research methodology for healthcare professionals. The research methodology workshops help to familiarize the participants with basic, clinical, and translational research required to impart optimum patient care. The objective of our study was to evaluate a research methodology workshop conducted for postgraduate students by assessing the participant’s knowledge, feedback, and expected impact using Kirkpatrick’s evaluation model. MATERIALS AND METHODS: A quasi-experimental, single-group study was conducted among 132 first-year postgraduate students. The four levels of Kirkpatrick’s model were applied for evaluation. Feedback forms, scores of the pretest and posttest, quality of the research proposal drafted by the postgraduates for their thesis, and finally successful submission of the research proposal were the components used to evaluate the four levels of outcome of Kirkpatrick’s model. STATISTICAL ANALYSIS: Data col</w:t>
      </w:r>
    </w:p>
    <w:p>
      <w:pPr/>
      <w:r>
        <w:rPr>
          <w:b/>
        </w:rPr>
        <w:t>POSSIBLE 2023:</w:t>
      </w:r>
      <w:r>
        <w:t xml:space="preserve"> Chemistry Workshop in Brazilian High School using the Three Pedagogical Moments Methodology — https://doi.org/10.14571/brajets.v16.n1.59-70</w:t>
      </w:r>
    </w:p>
    <w:p>
      <w:pPr/>
      <w:r>
        <w:rPr>
          <w:b/>
        </w:rPr>
        <w:t>Shared claim-specific concepts:</w:t>
      </w:r>
      <w:r>
        <w:t xml:space="preserve"> workshop, methodology, showed; EU scope not established. This is a provisional connection, not an outcome finding.</w:t>
      </w:r>
    </w:p>
    <w:p>
      <w:pPr>
        <w:pStyle w:val="SourceNote"/>
      </w:pPr>
      <w:r>
        <w:rPr>
          <w:b/>
        </w:rPr>
        <w:t>Available abstract (not full text):</w:t>
      </w:r>
      <w:r>
        <w:t xml:space="preserve"> This paper deals with the importance of educational methodologies which enable linear and propaedeutic education to be eliminated, while problematization and dialogicity are stimulated. It describes a study that focuses on the evaluation of Three Pedagogical Moments (3 PMs) with planned and implemented activities in the workshop "Coarse salt bath and the study of solutions", which was carried out with high school students in chemistry classes. Workshops are developed and carried out as the result of a partnership between a university and a high school in Pelotas, a city located in southern Brazil. The production of the empirical material was based on students’ responses to a questionnaire and notes in a field diary performed by the team. Results of the content analysis showed the learning potential offered by the thematic workshop related with daily lives and chemistry teaching to students and it was observed as differentiated and alternative methodology from traditional classroom classes. Due to obtained results in the activities developed at thematic chemistry workshop organized and based in the 3 PMs, the Project have continued with the elaboration and development of other workshops that are available on the project website.</w:t>
      </w:r>
    </w:p>
    <w:p>
      <w:pPr/>
      <w:r>
        <w:rPr>
          <w:b/>
        </w:rPr>
        <w:t>POSSIBLE 2022:</w:t>
      </w:r>
      <w:r>
        <w:t xml:space="preserve"> Use of New Approach Methodologies (NAMs) in regulatory decisions for chemical safety: Report from an EPAA Deep Dive Workshop — https://doi.org/10.1016/j.yrtph.2022.105261</w:t>
      </w:r>
    </w:p>
    <w:p>
      <w:pPr/>
      <w:r>
        <w:rPr>
          <w:b/>
        </w:rPr>
        <w:t>Shared claim-specific concepts:</w:t>
      </w:r>
      <w:r>
        <w:t xml:space="preserve"> workshop, used, method; EU scope visible. This is a provisional connection, not an outcome finding.</w:t>
      </w:r>
    </w:p>
    <w:p>
      <w:pPr>
        <w:pStyle w:val="SourceNote"/>
      </w:pPr>
      <w:r>
        <w:rPr>
          <w:b/>
        </w:rPr>
        <w:t>Available abstract (not full text):</w:t>
      </w:r>
      <w:r>
        <w:t xml:space="preserve"> New Approach Methodologies (NAMs) are considered to include any in vitro, in silico or chemistry-based method, as well as the strategies to implement them, that may provide information that could inform chemical safety assessment. Current chemical legislation in the European Union is limited in its acceptance of the widespread use of NAMs. The European Partnership for Alternative Approaches to Animal Testing (EPAA) therefore convened a 'Deep Dive Workshop' to explore the use of NAMs in chemical safety assessment, the aim of which was to support regulatory decisions, whilst intending to protect human health. The workshop recognised that NAMs are currently used in many industrial sectors, with some considered as fit for regulatory purpose. Moreover, the workshop identified key discussion points that can be addressed to increase the use and regulatory acceptance of NAMs. These are based on the changes needed in frameworks for regulatory requirements and the essential needs in education, training and greater stakeholder engagement as well the gaps in the scientific basis of NAMs.</w:t>
      </w:r>
    </w:p>
    <w:p>
      <w:pPr/>
      <w:r>
        <w:rPr>
          <w:b/>
        </w:rPr>
        <w:t>POSSIBLE 2021:</w:t>
      </w:r>
      <w:r>
        <w:t xml:space="preserve"> A 2021 Online Workshop for the Review of Two Modules on Methodology for Using English as a Medium of Instruction in Rwanda: Opportunities and Challenges — https://doi.org/10.33422/ejte.v3i4.554</w:t>
      </w:r>
    </w:p>
    <w:p>
      <w:pPr/>
      <w:r>
        <w:rPr>
          <w:b/>
        </w:rPr>
        <w:t>Shared claim-specific concepts:</w:t>
      </w:r>
      <w:r>
        <w:t xml:space="preserve"> workshop, methodology, used, showed; EU scope not established. This is a provisional connection, not an outcome finding.</w:t>
      </w:r>
    </w:p>
    <w:p>
      <w:pPr>
        <w:pStyle w:val="SourceNote"/>
      </w:pPr>
      <w:r>
        <w:rPr>
          <w:b/>
        </w:rPr>
        <w:t>Available abstract (not full text):</w:t>
      </w:r>
      <w:r>
        <w:t xml:space="preserve"> Since the outbreak of the COVID-19 pandemic in Wuhan in China and its rapid spread around the globe, people’s life and work styles have changed. Governments have installed and implemented lockdowns, social distancing, and stay home preventive measures that have forced most people to work from their homes. Research units and higher learning institutions were not spared as well. International conferences that were to take place in 2020 were turned into virtual presentations and until recently nothing has changed. To handle the crisis, the University of Rwanda also thought of transforming its work ethos. In this regard a two-phase online workshop was held in January and February 2021 to review two modules produced during a face-to face workshop in October 2021. These were modules on methodologies to help pre-primary, primary and lower secondary school teachers to effectively deliver their subject content through English, the medium of instruction, and promote learners’ proficiency in this language. As this online review was the first virtual workshop experience of the kind for most participants, the researchers decided to investigate the opportunities it offered them and the challenges faced. Theories on online work and of quantitative and qualitative research paradigms were used. The research tools were a questionnaire and observations. Graphs were utilised and emerging themes gr</w:t>
      </w:r>
    </w:p>
    <w:p>
      <w:pPr/>
      <w:r>
        <w:rPr>
          <w:b/>
        </w:rPr>
        <w:t>POSSIBLE 2021:</w:t>
      </w:r>
      <w:r>
        <w:t xml:space="preserve"> Workshop methodology design: Innovation-oriented participatory processes for sustainability — https://doi.org/10.1016/j.annals.2021.103251</w:t>
      </w:r>
    </w:p>
    <w:p>
      <w:pPr/>
      <w:r>
        <w:rPr>
          <w:b/>
        </w:rPr>
        <w:t>Shared claim-specific concepts:</w:t>
      </w:r>
      <w:r>
        <w:t xml:space="preserve"> workshop, methodology, used, structures; EU scope not established. This is a provisional connection, not an outcome finding.</w:t>
      </w:r>
    </w:p>
    <w:p>
      <w:pPr>
        <w:pStyle w:val="SourceNote"/>
      </w:pPr>
      <w:r>
        <w:rPr>
          <w:b/>
        </w:rPr>
        <w:t>Available abstract (not full text):</w:t>
      </w:r>
      <w:r>
        <w:t xml:space="preserve"> Workshop methodologies based on overarching knowledge structures are necessary for a shift of the tourism sector towards sustainability. We adopted a participatory action research approach and designed a workshop methodology based on the main tenets and tools of the theory of change, design thinking, and sustainable business models. We tested this methodology within a project initiated by a destination management organisation to promote innovation during the covid-19 crisis and used the results to identify improvements and recommendations for future applications. Although further tests are needed, the study proved that the developed methodology has great potential for promoting the systemic change, creativity, collaboration, empathy, and empowerment that are necessary for a sustainability shift.</w:t>
      </w:r>
    </w:p>
    <w:p>
      <w:pPr/>
      <w:r>
        <w:rPr>
          <w:b/>
        </w:rPr>
        <w:t>POSSIBLE 2020:</w:t>
      </w:r>
      <w:r>
        <w:t xml:space="preserve"> Reflection of Using Buddhist Cognitive Process Activities in the Workshop of Research Methodology Course — https://openalex.org/W3093503066</w:t>
      </w:r>
    </w:p>
    <w:p>
      <w:pPr/>
      <w:r>
        <w:rPr>
          <w:b/>
        </w:rPr>
        <w:t>Shared claim-specific concepts:</w:t>
      </w:r>
      <w:r>
        <w:t xml:space="preserve"> workshop, methodology, used, showed, cognitive; EU scope not established. This is a provisional connection, not an outcome finding.</w:t>
      </w:r>
    </w:p>
    <w:p>
      <w:pPr>
        <w:pStyle w:val="SourceNote"/>
      </w:pPr>
      <w:r>
        <w:rPr>
          <w:b/>
        </w:rPr>
        <w:t>Available abstract (not full text):</w:t>
      </w:r>
      <w:r>
        <w:t xml:space="preserve"> The purpose of this research was to study reflection of using Buddhist cognitive process activities in the workshop of research methodology course. Classroom action research and qualitative research were used. The target group was graduate students in psychology of life and death program, Faculty of Humanities, Mahachulalongkornrajavidyalaya University. Research tools were observation form and questionnaires. Qualitative data from 18 key informants was analyzed by using content analysis and analytic induction. Results indicated that reflection of using Buddhist cognitive process activities in the workshop of research methodology course showed in 4 aspects consisted of; 1) Knowledge, students were knowledge about content of subject, 2) Learning Process, students have shown their interested in learning process and be happy with class activities, 3) Attitude, students have changed and showed positive attitudes on research methodology. They have shown inspiration to create their theses, 4) Skills and Experience, students practiced their skills on data collection, data analysis, and data presentation for research. They also reflected that Buddhist cognitive process activities in the workshop of research methodology can improve students in learning happily, inspirited and practiced skills of research. Therefore, these activities within the workshop were appropriate for applying furth</w:t>
      </w:r>
    </w:p>
    <w:p>
      <w:pPr>
        <w:pStyle w:val="Heading2"/>
      </w:pPr>
      <w:r>
        <w:t>868. CORPORATE FORESIGHT AND ASSESSMENT OF INNOVATIVE ACTIVITY OF INDUSTRIAL ENTERPRISES</w:t>
      </w:r>
    </w:p>
    <w:p>
      <w:pPr>
        <w:pStyle w:val="SourceNote"/>
      </w:pPr>
      <w:r>
        <w:rPr>
          <w:b/>
        </w:rPr>
        <w:t>Original source (2015):</w:t>
      </w:r>
      <w:r>
        <w:t xml:space="preserve"> https://doi.org/10.14529/em090308</w:t>
      </w:r>
    </w:p>
    <w:p>
      <w:pPr/>
      <w:r>
        <w:t>Original wording (abstract; indexed_source_text_not_full_document_verified): Foresight is a system of expert evaluation of strategic directions of social and economic and innovative development, identification of technological breakthroughs that could have an impact on the economy and the society in the mid- and long-term perspective.</w:t>
      </w:r>
    </w:p>
    <w:p>
      <w:pPr/>
      <w:r>
        <w:rPr>
          <w:b/>
        </w:rPr>
        <w:t>POSSIBLE 2026:</w:t>
      </w:r>
      <w:r>
        <w:t xml:space="preserve"> FORESIGHT METHODS TOOLS FOR INNOVATIVE MARKETING AND DIGITAL MARKET FORESIGHT — https://doi.org/10.20998/2313-8890.2025.12.08</w:t>
      </w:r>
    </w:p>
    <w:p>
      <w:pPr/>
      <w:r>
        <w:rPr>
          <w:b/>
        </w:rPr>
        <w:t>Shared claim-specific concepts:</w:t>
      </w:r>
      <w:r>
        <w:t xml:space="preserve"> foresight, system, expert, evaluation, strategic, innovative; EU scope not established. This is a provisional connection, not an outcome finding.</w:t>
      </w:r>
    </w:p>
    <w:p>
      <w:pPr>
        <w:pStyle w:val="SourceNote"/>
      </w:pPr>
      <w:r>
        <w:rPr>
          <w:b/>
        </w:rPr>
        <w:t>Available abstract (not full text):</w:t>
      </w:r>
      <w:r>
        <w:t xml:space="preserve"> Abstract. The article considers the issue of using foresight methods for innovative marketing. Special attention is paid to theoretical issues of digital market foresight. It is noted that there is a growing need for the use of proactive forecasting tools that allow not only to analyze current trends, but also to form alternative scenarios for the development of the market, technologies and consumer models. It is substantiated that the scientific and practical problem is the systematization of foresight methods tools for innovative marketing and the formation of a conceptual model of digital market foresight as an integrated system of strategic prediction of market transformations. A unified classification of foresight methods tools for innovative marketing has been developed. The methodological basis of the proposed classification is based on the functional role of tools in the marketing decision-making system. Unlike traditional foresight classifications (expert, scenario, analytical methods), this system groups tools according to their contribution to the formation of future marketing decisions. Five functional classes of the classification have been identified: change scanning tools, interpretation of future market states, scenario modeling, strategic market design, validation and coordination of decisions and summarized in classification tables. A detailed description of t</w:t>
      </w:r>
    </w:p>
    <w:p>
      <w:pPr/>
      <w:r>
        <w:rPr>
          <w:b/>
        </w:rPr>
        <w:t>POSSIBLE 2026:</w:t>
      </w:r>
      <w:r>
        <w:t xml:space="preserve"> Strategic foresight and management of energy security in Jordan : The mediating role of strategic agility — https://openalex.org/W7166258236</w:t>
      </w:r>
    </w:p>
    <w:p>
      <w:pPr/>
      <w:r>
        <w:rPr>
          <w:b/>
        </w:rPr>
        <w:t>Shared claim-specific concepts:</w:t>
      </w:r>
      <w:r>
        <w:t xml:space="preserve"> foresight, strategic, directions; EU scope not established. This is a provisional connection, not an outcome finding.</w:t>
      </w:r>
    </w:p>
    <w:p>
      <w:pPr>
        <w:pStyle w:val="SourceNote"/>
      </w:pPr>
      <w:r>
        <w:rPr>
          <w:b/>
        </w:rPr>
        <w:t>Available abstract (not full text):</w:t>
      </w:r>
      <w:r>
        <w:t xml:space="preserve"> Energy security is a critical national priority that underpins economic and social stability, yet it remains a persistent challenge in Jordan due to limited energy resources and political instability in the Middle East and North Africa (MENA) region. Despite its strategic importance, the role of organizational foresight in managing energy crisis has received limited scholarly attention, particularly in non-Western, regulated contexts. Grounded in the Resource-Based View (RBV) and Dynamic Capabilities Theory (DCT), this study investigates how strategic foresight and agility enhance crisis management in Jordan’s energy sector. Specifically, it examines the effects of four dimensions of strategic foresight technology foresight, competitive intelligence, political environment foresight, and consumer foresight on key aspects of crisis management, including early warning, preparedness, damage containment, restoration, and organizational learning. Strategic agility is further analyzed as a mediating capability, encompassing strategic insight, internal and external response orientation, human resource capability, and information technology capability, which translates foresight into actionable responses. A quantitative survey was conducted with 200 managerial respondents in Jordan’s energy sector, and data were analyzed using Partial Least Squares Structural Equation Modeling (PLS-SEM)</w:t>
      </w:r>
    </w:p>
    <w:p>
      <w:pPr/>
      <w:r>
        <w:rPr>
          <w:b/>
        </w:rPr>
        <w:t>POSSIBLE 2026:</w:t>
      </w:r>
      <w:r>
        <w:t xml:space="preserve"> Governance logics and foresight functions: European strategic foresight in contrastive perspective — https://doi.org/10.1186/s40309-026-00278-8</w:t>
      </w:r>
    </w:p>
    <w:p>
      <w:pPr/>
      <w:r>
        <w:rPr>
          <w:b/>
        </w:rPr>
        <w:t>Shared claim-specific concepts:</w:t>
      </w:r>
      <w:r>
        <w:t xml:space="preserve"> foresight, system, expert, strategic, perspective; EU scope visible. This is a provisional connection, not an outcome finding.</w:t>
      </w:r>
    </w:p>
    <w:p>
      <w:pPr>
        <w:pStyle w:val="SourceNote"/>
      </w:pPr>
      <w:r>
        <w:rPr>
          <w:b/>
        </w:rPr>
        <w:t>Available abstract (not full text):</w:t>
      </w:r>
      <w:r>
        <w:t xml:space="preserve"> Foresight methods are often treated as transferable tools whose selection depends mainly on the object of analysis, the time horizon or the available data. This article argues that such a view is incomplete because foresight methods are embedded in governance settings and perform different institutional functions across them. The article does not claim that the context-dependence of foresight methods is new per se. Rather, it contributes by specifying this context-dependence through the lens of governance logics and by showing how the same foresight methods perform different institutional functions across technocratic, market-managerial, networked and anticipatory governance settings. The purpose of the article is to develop a governance-sensitive framework that links foresight methods to institutional functions in public decision-making. Empirically, the article uses a contrastive case design. The European Union is treated as the focal case of institutionalised strategic foresight in a multi-level governance system, while Japan and South Korea serve as secondary contrastive cases. The design does not seek a fully symmetrical country-by-country comparison. Rather, it uses the Japanese and South Korean cases to contrast the EU trajectory with alternative governance settings in which foresight remains more strongly linked to technocratic priority-setting, developmental planning o</w:t>
      </w:r>
    </w:p>
    <w:p>
      <w:pPr/>
      <w:r>
        <w:rPr>
          <w:b/>
        </w:rPr>
        <w:t>POSSIBLE 2025:</w:t>
      </w:r>
      <w:r>
        <w:t xml:space="preserve"> AI in Strategic Foresight — https://doi.org/10.1787/aa573076-en</w:t>
      </w:r>
    </w:p>
    <w:p>
      <w:pPr/>
      <w:r>
        <w:rPr>
          <w:b/>
        </w:rPr>
        <w:t>Shared claim-specific concepts:</w:t>
      </w:r>
      <w:r>
        <w:t xml:space="preserve"> foresight, strategic, society; EU scope not established. This is a provisional connection, not an outcome finding.</w:t>
      </w:r>
    </w:p>
    <w:p>
      <w:pPr>
        <w:pStyle w:val="SourceNote"/>
      </w:pPr>
      <w:r>
        <w:rPr>
          <w:b/>
        </w:rPr>
        <w:t>Available abstract (not full text):</w:t>
      </w:r>
      <w:r>
        <w:t xml:space="preserve"> AI in Strategic Foresight: Reshaping Anticipatory Governance examines how artificial intelligence is moving from experimentation to practical application in the field of strategic foresight. Developed jointly by the OECD and the World Economic Forum, the publication draws on a global survey of 167 practitioners across government, business, academia and civil society to capture a field in rapid transition.The findings show that most foresight professionals are already using AI to scan for signals of change, analyse large datasets and support scenario development, with many reporting significant time savings and expanded analytical capacity. A smaller but growing group is also experimenting with AI as a creative or analytical partner in systems mapping and scenario design.Yet the report also underscores persistent challenges: concerns about reliability, transparency and bias; gaps in technical skills; and uneven access to tools, particularly in the public sector where data security constraints and unclear guidelines can limit adoption. These issues raise important questions about how to ensure AI strengthens rather than distorts foresight practice.</w:t>
      </w:r>
    </w:p>
    <w:p>
      <w:pPr/>
      <w:r>
        <w:rPr>
          <w:b/>
        </w:rPr>
        <w:t>POSSIBLE 2025:</w:t>
      </w:r>
      <w:r>
        <w:t xml:space="preserve"> SOCIO-ECONOMIC PREREQUISITES FOR DECENTRALIZATION OF STRATEGIC MANAGEMENT IN THE RESTAURANT BUSINESS: THE ROLE OF PERSONAL BRAND AND FORESIGHT — https://doi.org/10.32782/business-navigator.83-54</w:t>
      </w:r>
    </w:p>
    <w:p>
      <w:pPr/>
      <w:r>
        <w:rPr>
          <w:b/>
        </w:rPr>
        <w:t>Shared claim-specific concepts:</w:t>
      </w:r>
      <w:r>
        <w:t xml:space="preserve"> foresight, system, strategic, directions; EU scope not established. This is a provisional connection, not an outcome finding.</w:t>
      </w:r>
    </w:p>
    <w:p>
      <w:pPr>
        <w:pStyle w:val="SourceNote"/>
      </w:pPr>
      <w:r>
        <w:rPr>
          <w:b/>
        </w:rPr>
        <w:t>Available abstract (not full text):</w:t>
      </w:r>
      <w:r>
        <w:t xml:space="preserve"> The article touches upon the issue the socio-economic prerequisites for the decentralization of strategic management in the restaurant business in the context of modern economic transformation and increasing instability of the external environment. It is determined that the decentralization of management is a key factor in increasing the adaptability, innovation and social responsibility of HoReCa enterprises. Special attention is paid to determining the role of the restaurant brand as a communicative and strategic tool that reflects the values of the organization, forms consumer trust and transmits social meanings, turning the brand into an element of cultural capital. It is proven that branding in a decentralized management system goes beyond the marketing function and becomes an integrating factor in building a sustainable development strategy. The methodological basis of the study is the foresight approach, which allows you to predict possible scenarios for the development of the restaurant business and adapt management decisions to rapid environmental changes. Within the framework of the foresight analysis, the main decentralized management practices (holacracy, turquoise organization, agile, lean management) were identified, the analysis of the “gray rhinos” of the restaurant industry – foreseeable, but often ignored risks, as well as an extended analysis of the external </w:t>
      </w:r>
    </w:p>
    <w:p>
      <w:pPr/>
      <w:r>
        <w:rPr>
          <w:b/>
        </w:rPr>
        <w:t>POSSIBLE 2025:</w:t>
      </w:r>
      <w:r>
        <w:t xml:space="preserve"> Expert Foresight on AI-Driven Disinformation — https://doi.org/10.22151/politikon.61.con8</w:t>
      </w:r>
    </w:p>
    <w:p>
      <w:pPr/>
      <w:r>
        <w:rPr>
          <w:b/>
        </w:rPr>
        <w:t>Shared claim-specific concepts:</w:t>
      </w:r>
      <w:r>
        <w:t xml:space="preserve"> foresight, expert, innovative; EU scope not established. This is a provisional connection, not an outcome finding.</w:t>
      </w:r>
    </w:p>
    <w:p>
      <w:pPr>
        <w:pStyle w:val="SourceNote"/>
      </w:pPr>
      <w:r>
        <w:rPr>
          <w:b/>
        </w:rPr>
        <w:t>Available abstract (not full text):</w:t>
      </w:r>
      <w:r>
        <w:t xml:space="preserve"> The 2024 “super election year” demonstrated both the promise and risks of artificial intelligence (AI) in democratic processes. Innovative uses, such as AI-powered fact-checking and voter engagement tools, contrasted with harmful applications including deepfakes. Although the overall impact of deepfakes and other AI-generated disinformation was lower than anticipated, experts predict a substantial rise in AI-powered disinformation in the short term, particularly through synthetic media and foreign influence operations. Evidence of AI-enabled manipulation highlights the need for effective regulation and strengthened oversight to safeguard information integrity in a rapidly changing information ecosystem.</w:t>
      </w:r>
    </w:p>
    <w:p>
      <w:pPr/>
      <w:r>
        <w:rPr>
          <w:b/>
        </w:rPr>
        <w:t>POSSIBLE 2024:</w:t>
      </w:r>
      <w:r>
        <w:t xml:space="preserve"> Innovations and inspirations of EU strategic foresight methods — https://doi.org/10.3724/j.issn.1671-4342.20240107</w:t>
      </w:r>
    </w:p>
    <w:p>
      <w:pPr/>
      <w:r>
        <w:rPr>
          <w:b/>
        </w:rPr>
        <w:t>Shared claim-specific concepts:</w:t>
      </w:r>
      <w:r>
        <w:t xml:space="preserve"> foresight, system, strategic, directions, innovative, technological; EU scope visible. This is a provisional connection, not an outcome finding.</w:t>
      </w:r>
    </w:p>
    <w:p>
      <w:pPr>
        <w:pStyle w:val="SourceNote"/>
      </w:pPr>
      <w:r>
        <w:rPr>
          <w:b/>
        </w:rPr>
        <w:t>Available abstract (not full text):</w:t>
      </w:r>
      <w:r>
        <w:t xml:space="preserve"> In the face of complex and diversified future scenarios, strategic foresight has become a powerful tool to support decision-making. Through in-depth study of EU strategic foresight research results, this paper summarizes the EU's innovative practices in strategic foresight, and elaborates in detail on the strategic foresight methodology system of the EU, with horizon scan, megatrends hub, and scenario exploration system as its backbone tools, as well as its optimization design in specific methods and processes. Combined with the future-oriented development trend of strategic research methodology and the EU's innovative practice in strategic foresight methodology, furthermore, it provides a summary of the development characteristics and advantages of the EU's strategic foresight research methodology trends and directions, with a goal of providing inspiration for China's scientific and technological strategic research, policy research tools and methodological.</w:t>
      </w:r>
    </w:p>
    <w:p>
      <w:pPr/>
      <w:r>
        <w:rPr>
          <w:b/>
        </w:rPr>
        <w:t>POSSIBLE 2024:</w:t>
      </w:r>
      <w:r>
        <w:t xml:space="preserve"> Technology Foresight for Better Healthcare — https://doi.org/10.1201/9781032632223-2</w:t>
      </w:r>
    </w:p>
    <w:p>
      <w:pPr/>
      <w:r>
        <w:rPr>
          <w:b/>
        </w:rPr>
        <w:t>Shared claim-specific concepts:</w:t>
      </w:r>
      <w:r>
        <w:t xml:space="preserve"> foresight, expert, evaluation, strategic, technological; EU scope not established. This is a provisional connection, not an outcome finding.</w:t>
      </w:r>
    </w:p>
    <w:p>
      <w:pPr>
        <w:pStyle w:val="SourceNote"/>
      </w:pPr>
      <w:r>
        <w:rPr>
          <w:b/>
        </w:rPr>
        <w:t>Available abstract (not full text):</w:t>
      </w:r>
      <w:r>
        <w:t xml:space="preserve"> Technology foresight is a systematic approach to anticipate and explore future technological developments, their potential impacts, and how they can drive progress and innovation in fields like healthcare. Its goal is to identify emerging trends, predict their trajectory, and inform strategic decision-making for better preparation to leverage advancements. In healthcare, foresight plays a critical role in shaping medical practices, patient care, and healthcare systems. Foresight techniques were examined, and a roadmap was developed for researchers and managers interested in the subject. The first section provides general information about technology foresight and explains key methods, by comparing them. Collaborative efforts among stakeholders are essential for successful foresight. The second section highlights the relationship between healthcare and foresight, summarizing previous studies. The third section explains the stages of the Delphi method, a structured way to gather expert opinions. A sample Delphi application related to healthcare will be included. The model developed in this section will serve as a roadmap for the practitioner. In the appendix of this section, sample Delphi statements related to healthcare technologies will be given. In Section 2.5 , expert evaluation (panel) and focus group work methods will be examined. In this section, the development process of</w:t>
      </w:r>
    </w:p>
    <w:p>
      <w:pPr/>
      <w:r>
        <w:rPr>
          <w:b/>
        </w:rPr>
        <w:t>POSSIBLE 2024:</w:t>
      </w:r>
      <w:r>
        <w:t xml:space="preserve"> FORESIGHT AS AN INNOVATIVE TOOL FOR PLANNING AND IMPLEMENTING SCIENTIFIC TECHNOLOGIES IN THE DEFENCE INDUSTRY — https://doi.org/10.46972/2076-1546.2024.26.08</w:t>
      </w:r>
    </w:p>
    <w:p>
      <w:pPr/>
      <w:r>
        <w:rPr>
          <w:b/>
        </w:rPr>
        <w:t>Shared claim-specific concepts:</w:t>
      </w:r>
      <w:r>
        <w:t xml:space="preserve"> foresight, system, directions, innovative, economy, long-term; EU scope not established. This is a provisional connection, not an outcome finding.</w:t>
      </w:r>
    </w:p>
    <w:p>
      <w:pPr>
        <w:pStyle w:val="SourceNote"/>
      </w:pPr>
      <w:r>
        <w:rPr>
          <w:b/>
        </w:rPr>
        <w:t>Available abstract (not full text):</w:t>
      </w:r>
      <w:r>
        <w:t xml:space="preserve"> Various methods and approaches are used for innovative development of enterprises, among which Foresight has proven to be more effective. It is a method of long-term forecasting, a way of building a balanced, coherent and responsible image of the future, a tool for predicting phenomena of a social, technical and mental nature. Foresight is a process of selecting new directions, which establishes links between elements by combining different opinions of the national innovation system actors. Foresight is used to develop long-term strategies for the development of the economy, science, and technology aimed at increasing competitiveness and maximizing the effect of the defense industry. The foresight differs from well-known planning tools in that its purpose is not only to prepare an analytical forecast of the most problematic areas of development of enterprises of the defense-industrial complex, but also to seek to unite the efforts of participants engaged in the process of change, to create conditions for them to anticipate events. Foresight is based on the technology of the work of a large number of experts who directly convey their views, knowledge and assumptions. Experts can be scientific communities, scientific and scientific-pedagogical employees of educational institutions, representatives of authorities and public organizations, large enterprises, communal institutions, </w:t>
      </w:r>
    </w:p>
    <w:p>
      <w:pPr/>
      <w:r>
        <w:rPr>
          <w:b/>
        </w:rPr>
        <w:t>POSSIBLE 2023:</w:t>
      </w:r>
      <w:r>
        <w:t xml:space="preserve"> Foresight (prevision) of development of the tourist system in Ukraine — https://doi.org/10.21511/ppm.21(4).2023.52</w:t>
      </w:r>
    </w:p>
    <w:p>
      <w:pPr/>
      <w:r>
        <w:rPr>
          <w:b/>
        </w:rPr>
        <w:t>Shared claim-specific concepts:</w:t>
      </w:r>
      <w:r>
        <w:t xml:space="preserve"> foresight, system, strategic, directions, economy; EU scope not established. This is a provisional connection, not an outcome finding.</w:t>
      </w:r>
    </w:p>
    <w:p>
      <w:pPr>
        <w:pStyle w:val="SourceNote"/>
      </w:pPr>
      <w:r>
        <w:rPr>
          <w:b/>
        </w:rPr>
        <w:t>Available abstract (not full text):</w:t>
      </w:r>
      <w:r>
        <w:t xml:space="preserve"> Considering the war in Ukraine, it will be necessary to restore the tourism system. The use of foresight as a means of predicting the future will ensure the formation of conditions for its development. The study aims to assess the functioning of the tourism system in Ukraine under martial law and to develop foresight scenarios for its development. The analysis of the main economic indicators of tourism and hotel entities during the war period indicates potential opportunities (a stable or growing trend). The volume of tax revenues to the state budget in 2023 increased by 15.6%. 2023 hotels’ KPIs (RevPAR, ADR, Occupancy) for the main destinations compared to the same period in 2022 increased by 206.0%, 66.0%, and 44.0%, respectively. The study scans the horizon within which the factors affecting the development of the tourism system are determined and assesses the levels of their potential impact and probability of occurrence. The BANI method is used to identify possible α- and β-scenarios of development, and the matrix method is used to interpret the strategic development directions. Industry factors are combined into four groups: development trends, the state of the market, technologies, innovations, and professional competence of staff. Thus, α- (optimistic) and β- (pessimistic) development scenarios future states in the tourism development. A prognostic vision of the future </w:t>
      </w:r>
    </w:p>
    <w:p>
      <w:pPr/>
      <w:r>
        <w:rPr>
          <w:b/>
        </w:rPr>
        <w:t>POSSIBLE 2023:</w:t>
      </w:r>
      <w:r>
        <w:t xml:space="preserve"> Foresight as a tool for implementing the directions of new industrialization — https://doi.org/10.26425/1816-4277-2023-2-48-56</w:t>
      </w:r>
    </w:p>
    <w:p>
      <w:pPr/>
      <w:r>
        <w:rPr>
          <w:b/>
        </w:rPr>
        <w:t>Shared claim-specific concepts:</w:t>
      </w:r>
      <w:r>
        <w:t xml:space="preserve"> foresight, directions, innovative; EU scope not established. This is a provisional connection, not an outcome finding.</w:t>
      </w:r>
    </w:p>
    <w:p>
      <w:pPr>
        <w:pStyle w:val="SourceNote"/>
      </w:pPr>
      <w:r>
        <w:rPr>
          <w:b/>
        </w:rPr>
        <w:t>Available abstract (not full text):</w:t>
      </w:r>
      <w:r>
        <w:t xml:space="preserve"> The subjectof the study is the process of reindustrialization in the old industrial region, where the main development resources are preserved, but the activity level of innovative processes is insufficient. The purposeof the study is the possibility of applying foresight methods in the implementation of neoindustrialization projects in the region. The methodologyincludes a monographic study of the industrialization processes dynamics, a comparative analysis of procedures for changing the structure of industrial production, and a foresight conducting methodology. The main resultof the study is the substantiation of the choice of the most effective method of applying foresight, as well as the construction of a reindustrialization roadmap on the example of the Voronezh region. The application of these results is possible in other territorial entities (region, municipal unit) involved in the implementation of foresight projects for the development of industry. Prospects:research development - creation of a model methodology for the use of foresights in the implementation of large-scale complex projects at the regional level. Conclusions:the use of foresight in determining the prospects for the revival of the high-tech industry will help to increase the efficiency of decisions to attract resources to the development of priority benchmark, industrial production.</w:t>
      </w:r>
    </w:p>
    <w:p>
      <w:pPr/>
      <w:r>
        <w:rPr>
          <w:b/>
        </w:rPr>
        <w:t>POSSIBLE 2022:</w:t>
      </w:r>
      <w:r>
        <w:t xml:space="preserve"> Education as a System: The Content of the Foresight Methodology — https://doi.org/10.25205/2541-7517-2022-20-2-68-78</w:t>
      </w:r>
    </w:p>
    <w:p>
      <w:pPr/>
      <w:r>
        <w:rPr>
          <w:b/>
        </w:rPr>
        <w:t>Shared claim-specific concepts:</w:t>
      </w:r>
      <w:r>
        <w:t xml:space="preserve"> foresight, system, society; EU scope not established. This is a provisional connection, not an outcome finding.</w:t>
      </w:r>
    </w:p>
    <w:p>
      <w:pPr>
        <w:pStyle w:val="SourceNote"/>
      </w:pPr>
      <w:r>
        <w:rPr>
          <w:b/>
        </w:rPr>
        <w:t>Available abstract (not full text):</w:t>
      </w:r>
      <w:r>
        <w:t xml:space="preserve"> The article reveals the substantive aspects of the Foresight methodology of social forecasting of the devel­opment of the education system as a complex, dynamic, open system from the point of view of a systematic approach. It is assumed that the education system is a central social institution, which, being associated with the transmission of knowledge, has to, in order to form a holistic personality of human beings, also support its own systemic complexity, as well as correspond to the complexity of the entire structure of society. The paper emphasizes some substantive difficulties in the work of experts in the framework of Foresight studies, as well as the need to take into account the value aspect when predicting the education of the future.</w:t>
      </w:r>
    </w:p>
    <w:p>
      <w:pPr>
        <w:pStyle w:val="Heading2"/>
      </w:pPr>
      <w:r>
        <w:t>869. Centre-Periphery Relations in Europe: Demographic Aspect</w:t>
      </w:r>
    </w:p>
    <w:p>
      <w:pPr>
        <w:pStyle w:val="SourceNote"/>
      </w:pPr>
      <w:r>
        <w:rPr>
          <w:b/>
        </w:rPr>
        <w:t>Original source (2015):</w:t>
      </w:r>
      <w:r>
        <w:t xml:space="preserve"> https://doi.org/10.20542/0131-2227-2015-2-58-67</w:t>
      </w:r>
    </w:p>
    <w:p>
      <w:pPr/>
      <w:r>
        <w:t>Original wording (abstract; indexed_source_text_not_full_document_verified): So, the recent number of unemployed in Spain (5.7 millions) is four times more than the expected decrease in the number of people aged 20 to 64 between 2010 and 2030 (1.4 millions).</w:t>
      </w:r>
    </w:p>
    <w:p>
      <w:pPr/>
      <w:r>
        <w:rPr>
          <w:b/>
        </w:rPr>
        <w:t>POSSIBLE 2023:</w:t>
      </w:r>
      <w:r>
        <w:t xml:space="preserve"> Popular Radicalism and the Unemployed in Chicago during the Great Depression — https://doi.org/10.31219/osf.io/bj25h</w:t>
      </w:r>
    </w:p>
    <w:p>
      <w:pPr/>
      <w:r>
        <w:rPr>
          <w:b/>
        </w:rPr>
        <w:t>Shared claim-specific concepts:</w:t>
      </w:r>
      <w:r>
        <w:t xml:space="preserve"> unemployed, millions, people; EU scope not established. This is a provisional connection, not an outcome finding.</w:t>
      </w:r>
    </w:p>
    <w:p>
      <w:pPr>
        <w:pStyle w:val="SourceNote"/>
      </w:pPr>
      <w:r>
        <w:rPr>
          <w:b/>
        </w:rPr>
        <w:t>Available abstract (not full text):</w:t>
      </w:r>
      <w:r>
        <w:t xml:space="preserve"> In a time when mass joblessness and precarious employment have become issues of national concern, it is useful to reconsider the experiences of the unemployed in an earlier period of economic hardship, the Great Depression. How did they survive, and how did they fight against inhumane government policies? Americans are often thought to be a very conservative and individualistic people, but the collective struggles of the supposedly "meek" and "atomized" unemployed in the 1930s belie that stereotype. Focusing on the bellwether city of Chicago, this book reevaluates those struggles, revealing the kernel of political radicalism and class resistance in practices that are usually thought of as apolitical and un-ideological. From communal sharing to "eviction riots," from Unemployed Councils to the nationwide movement behind the remarkable Workers’ Unemployment Insurance Bill, millions of people fought to end the reign of capitalist values and usher in a new, more socialistic society. While they failed in their maximal goal of abolishing economic insecurity and the disproportionate power of the rich, they did wrest an incipient welfare state from the ruling class. Today, their legacy is their resilience, their resourcefulness, and their proof that the unemployed can organize themselves to renew the struggle for a more just world.</w:t>
      </w:r>
    </w:p>
    <w:p>
      <w:pPr/>
      <w:r>
        <w:rPr>
          <w:b/>
        </w:rPr>
        <w:t>POSSIBLE 2022:</w:t>
      </w:r>
      <w:r>
        <w:t xml:space="preserve"> Osteoporosis in Europe: a compendium of country-specific reports — https://doi.org/10.1007/s11657-021-00969-8</w:t>
      </w:r>
    </w:p>
    <w:p>
      <w:pPr/>
      <w:r>
        <w:rPr>
          <w:b/>
        </w:rPr>
        <w:t>Shared claim-specific concepts:</w:t>
      </w:r>
      <w:r>
        <w:t xml:space="preserve"> recent, number, four; EU scope visible. This is a provisional connection, not an outcome finding.</w:t>
      </w:r>
    </w:p>
    <w:p>
      <w:pPr>
        <w:pStyle w:val="SourceNote"/>
      </w:pPr>
      <w:r>
        <w:rPr>
          <w:b/>
        </w:rPr>
        <w:t>Available abstract (not full text):</w:t>
      </w:r>
      <w:r>
        <w:t xml:space="preserve"> This report describes epidemiology, burden, and treatment of osteoporosis in each of the 27 countries of the European Union plus Switzerland and the UK (EU 27+2). INTRODUCTION: The aim of this report was to characterize the burden of osteoporosis in each of the countries of the European Union plus Switzerland and the UK in 2019 and beyond. METHODS: The data on fracture incidence and costs of fractures in the EU27+2 was taken from a concurrent publication in this journal (SCOPE 2021: a new scorecard for osteoporosis in Europe) and country-specific information extracted. The information extracted covered four domains: burden of osteoporosis and fractures; policy framework; service provision; and service uptake. RESULTS: The clinical and economic burden of osteoporotic fractures in 2019 is given for each of the 27 countries of the EU plus Switzerland and the UK. Each domain was ranked and the country performance set against the scorecard for all nations studied. Data were also compared with the first SCOPE undertaken in 2010. Fifteen of the 16 score card metrics on healthcare provision were used in the two surveys. Scores had improved or markedly improved in 15 countries, remained constant in 8 countries and worsened in 3 countries. The average treatment gap increased from 55% in 2010 to 71% in 2019. Overall, 10.6 million women who were eligible for treatment were untreated in 201</w:t>
      </w:r>
    </w:p>
    <w:p>
      <w:pPr/>
      <w:r>
        <w:rPr>
          <w:b/>
        </w:rPr>
        <w:t>POSSIBLE 2022:</w:t>
      </w:r>
      <w:r>
        <w:t xml:space="preserve"> COVID-19 in Europe: from outbreak to vaccination — https://doi.org/10.1186/s12889-022-14454-5</w:t>
      </w:r>
    </w:p>
    <w:p>
      <w:pPr/>
      <w:r>
        <w:rPr>
          <w:b/>
        </w:rPr>
        <w:t>Shared claim-specific concepts:</w:t>
      </w:r>
      <w:r>
        <w:t xml:space="preserve"> recent, number, four; EU scope visible. This is a provisional connection, not an outcome finding.</w:t>
      </w:r>
    </w:p>
    <w:p>
      <w:pPr>
        <w:pStyle w:val="SourceNote"/>
      </w:pPr>
      <w:r>
        <w:rPr>
          <w:b/>
        </w:rPr>
        <w:t>Available abstract (not full text):</w:t>
      </w:r>
      <w:r>
        <w:t xml:space="preserve"> BACKGROUND: COVID-19 is a pandemic of unprecedented proportions in recent human history. To date, the world has paid a high toll in terms of human lives lost, and on economic, financial, and social repercussions. In Europe, countries tried to mobilize all resources available to contain the COVID-19 effects, but the outcomes are diverse across countries. There have also been massive efforts geared towards finding safe and effective vaccines and to distribute them massively to the population. The main objective of this paper is to describe the COVID-19 prevalence in Europe. Secondly, it aims to identify epidemiological typologies allowing to distinguish the countries in terms of their response to the pandemic, and finally assess the effect of vaccination on pandemic control. METHODS: The study covers 30 European countries: EU 27 in addition to Norway, Switzerland, and United Kingdom. Four epidemiological variables are analyzed at two distinct moments, at the end of 2020 and at the beginning of 2022: total number of cases per million, total number of deaths per million, total number of tests per thousand, and case fatality rate. In a second step, it uses a fuzzy approach, namely archetypal analysis, to identify epidemiological typologies, and positions countries by their response to the pandemic. Finally, it assesses how vaccination, stringency measures, booster doses and populati</w:t>
      </w:r>
    </w:p>
    <w:p>
      <w:pPr/>
      <w:r>
        <w:rPr>
          <w:b/>
        </w:rPr>
        <w:t>POSSIBLE 2021:</w:t>
      </w:r>
      <w:r>
        <w:t xml:space="preserve"> The European Social Fund Supports the Reintegration of the Long-term Unemployed Individuals Aged 50+ Into the Labor Market - A Comparison of the Federal States in Austria — https://doi.org/10.2478/ngoe-2021-0012</w:t>
      </w:r>
    </w:p>
    <w:p>
      <w:pPr/>
      <w:r>
        <w:rPr>
          <w:b/>
        </w:rPr>
        <w:t>Shared claim-specific concepts:</w:t>
      </w:r>
      <w:r>
        <w:t xml:space="preserve"> recent, number, unemployed, four, aged; EU scope visible. This is a provisional connection, not an outcome finding.</w:t>
      </w:r>
    </w:p>
    <w:p>
      <w:pPr>
        <w:pStyle w:val="SourceNote"/>
      </w:pPr>
      <w:r>
        <w:rPr>
          <w:b/>
        </w:rPr>
        <w:t>Available abstract (not full text):</w:t>
      </w:r>
      <w:r>
        <w:t xml:space="preserve"> Abstract This paper shows the importance of European Social Fund’s (ESF) countermeasures for reintegrating long-term unemployed persons aged 50+ in Austria since their number has increased in recent years. Four research questions are defined, which deal with the theoretical background, the ESF’s contribution, the possible causes of long-term unemployment, and their reflection in a country comparison figures. For the qualitative methodology, we conducted expert interviews and case study analysis. Concerning the quantitative method, we evaluated raw data from the AMS Public Employment Service, Austria, and Statistics, Austria. A correlation was established based on the content-related evaluation of the theoretical approaches, the expert analysis, and the presentation of statistics. It is necessary to identify the causes in time and take appropriate measures to prevent them from combating long-term unemployment among this target group.</w:t>
      </w:r>
    </w:p>
    <w:p>
      <w:pPr/>
      <w:r>
        <w:rPr>
          <w:b/>
        </w:rPr>
        <w:t>POSSIBLE 2021:</w:t>
      </w:r>
      <w:r>
        <w:t xml:space="preserve"> Initial Upper Palaeolithic humans in Europe had recent Neanderthal ancestry — https://doi.org/10.1038/s41586-021-03335-3</w:t>
      </w:r>
    </w:p>
    <w:p>
      <w:pPr/>
      <w:r>
        <w:rPr>
          <w:b/>
        </w:rPr>
        <w:t>Shared claim-specific concepts:</w:t>
      </w:r>
      <w:r>
        <w:t xml:space="preserve"> recent, people, between; EU scope visible. This is a provisional connection, not an outcome finding.</w:t>
      </w:r>
    </w:p>
    <w:p>
      <w:pPr>
        <w:pStyle w:val="SourceNote"/>
      </w:pPr>
      <w:r>
        <w:rPr>
          <w:b/>
        </w:rPr>
        <w:t>Available abstract (not full text):</w:t>
      </w:r>
      <w:r>
        <w:t xml:space="preserve"> Abstract Modern humans appeared in Europe by at least 45,000 years ago1–5, but the extent of their interactions with Neanderthals, who disappeared by about 40,000 years ago6, and their relationship to the broader expansion of modern humans outside Africa are poorly understood. Here we present genome-wide data from three individuals dated to between 45,930 and 42,580 years ago from Bacho Kiro Cave, Bulgaria1,2. They are the earliest Late Pleistocene modern humans known to have been recovered in Europe so far, and were found in association with an Initial Upper Palaeolithic artefact assemblage. Unlike two previously studied individuals of similar ages from Romania7 and Siberia8 who did not contribute detectably to later populations, these individuals are more closely related to present-day and ancient populations in East Asia and the Americas than to later west Eurasian populations. This indicates that they belonged to a modern human migration into Europe that was not previously known from the genetic record, and provides evidence that there was at least some continuity between the earliest modern humans in Europe and later people in Eurasia. Moreover, we find that all three individuals had Neanderthal ancestors a few generations back in their family history, confirming that the first European modern humans mixed with Neanderthals and suggesting that such mixing could have been c</w:t>
      </w:r>
    </w:p>
    <w:p>
      <w:pPr/>
      <w:r>
        <w:rPr>
          <w:b/>
        </w:rPr>
        <w:t>POSSIBLE 2021:</w:t>
      </w:r>
      <w:r>
        <w:t xml:space="preserve"> Vocational training for unemployed youth in Latvia — https://doi.org/10.1007/s00148-021-00877-8</w:t>
      </w:r>
    </w:p>
    <w:p>
      <w:pPr/>
      <w:r>
        <w:rPr>
          <w:b/>
        </w:rPr>
        <w:t>Shared claim-specific concepts:</w:t>
      </w:r>
      <w:r>
        <w:t xml:space="preserve"> unemployed, aged, between; EU scope visible. This is a provisional connection, not an outcome finding.</w:t>
      </w:r>
    </w:p>
    <w:p>
      <w:pPr>
        <w:pStyle w:val="SourceNote"/>
      </w:pPr>
      <w:r>
        <w:rPr>
          <w:b/>
        </w:rPr>
        <w:t>Available abstract (not full text):</w:t>
      </w:r>
      <w:r>
        <w:t xml:space="preserve"> We analyze the effectiveness of a vocational training (VT) programme targeting unemployed youth in Latvia, contributing to the scant literature on active labour market policies in transition countries. The programme we analyse is part of the Youth Guarantee scheme (2014-2020), the largest action launched by the European Union to combat youth unemployment after the 2008 financial crisis. Although the programme was targeted to youths aged between 15 and 29, priority was given to those younger than 25 years of age. We exploit this eligibility rule in a fuzzy regression discontinuity design framework to estimate the impact of VT participation on the probability of being employed and gross monthly labour income at given dates after the training. Using rich administrative data, we find that the age priority rule increased programme participation for the youngest group by about 10 percentage points. However, participation in the programme did not lead to statistically significant positive effects in labour market outcomes. We argue that this result could be due to some specific characteristics of the programme, namely the voucher system (potentially inducing lock-in effects) and the type of training (classroom instead of on-the-job training). Moreover, the programme was targeted at ex-ante low-employable individuals (e.g. without vocational qualifications), a fact that is confirmed by</w:t>
      </w:r>
    </w:p>
    <w:p>
      <w:pPr/>
      <w:r>
        <w:rPr>
          <w:b/>
        </w:rPr>
        <w:t>POSSIBLE 2021:</w:t>
      </w:r>
      <w:r>
        <w:t xml:space="preserve"> The inclusion of transversal competences in the training programs for unemployed of Bahía De Cádiz — https://doi.org/10.53596/jta.v26i1.344</w:t>
      </w:r>
    </w:p>
    <w:p>
      <w:pPr/>
      <w:r>
        <w:rPr>
          <w:b/>
        </w:rPr>
        <w:t>Shared claim-specific concepts:</w:t>
      </w:r>
      <w:r>
        <w:t xml:space="preserve"> number, unemployed, spain, decrease, people; EU scope visible. This is a provisional connection, not an outcome finding.</w:t>
      </w:r>
    </w:p>
    <w:p>
      <w:pPr>
        <w:pStyle w:val="SourceNote"/>
      </w:pPr>
      <w:r>
        <w:rPr>
          <w:b/>
        </w:rPr>
        <w:t>Available abstract (not full text):</w:t>
      </w:r>
      <w:r>
        <w:t xml:space="preserve"> Purpose The economic crisis of 2008 has caused a significant increase in the number of unemployed in Spain and a decrease in investments in active training policies. In this context, it is even more necessary to demand improvements in the degree of efficiency of the training programs aimed at unemployed people. Design/methodology/approach This paper presents the opinions of a group of experts in labor intermediation on the need to include transversal competences in the training contents of employment courses aimed at the tourism sector to improve the degree of employment of the unemployed. Findings All the experts consulted have indicated the need to enrich the subjects of the training courses by incorporating workshops that favor the implementation of certain transversal competences such as team work, management in stress situations, problem-solving, willingness to learn, self-initiative, verbal communication and mastery of social networks. Research limitations/implications The main limitations are given by the small number of experts in the field. However, their long career and participation in employment programs make their opinions valuable. Practical implications The main practical implication is in the fact that the proposed suggestions about modifications in the contents of the training courses for employment in the tourism sector are perfectly applicable, and according </w:t>
      </w:r>
    </w:p>
    <w:p>
      <w:pPr/>
      <w:r>
        <w:rPr>
          <w:b/>
        </w:rPr>
        <w:t>POSSIBLE 2020:</w:t>
      </w:r>
      <w:r>
        <w:t xml:space="preserve"> Bitten or struck by dog: A rising number of fatalities in Europe, 1995–2016 — https://doi.org/10.1016/j.forsciint.2020.110592</w:t>
      </w:r>
    </w:p>
    <w:p>
      <w:pPr/>
      <w:r>
        <w:rPr>
          <w:b/>
        </w:rPr>
        <w:t>Shared claim-specific concepts:</w:t>
      </w:r>
      <w:r>
        <w:t xml:space="preserve"> number, people, between; EU scope visible. This is a provisional connection, not an outcome finding.</w:t>
      </w:r>
    </w:p>
    <w:p>
      <w:pPr>
        <w:pStyle w:val="SourceNote"/>
      </w:pPr>
      <w:r>
        <w:rPr>
          <w:b/>
        </w:rPr>
        <w:t>Available abstract (not full text):</w:t>
      </w:r>
      <w:r>
        <w:t xml:space="preserve"> We analyzed fatal dog attacks in Europe 1995-2016 using official death cause data from Eurostat. The data comprised the number of fatalities assigned The International Statistical Classification of Diseases and Related Health Problems, Tenth Revision (ICD-10) code W54 "bitten or struck by dog", which includes deaths due to direct attacks but which excludes many complications following dog bites, such as rabies. In 2016, dogs killed 45 Europeans, which translates to an incidence of 0.009 per 100,000 inhabitants. This is comparable to estimates from the USA (0.011), and Canada (0.007), but higher than Australia (0.004). The number of European fatalities due to dog attacks increased significantly at a rate of several percent per year. This increase could not be explained by increases in the human or the dog populations. By taking all fatalities reported 1995-2016 into account, we investigated the effects of age, gender and geography. First, children, including infants, were common victims, but also middle-aged and the elderly, while people between ages 10 and 39 were rarely killed by dogs. Second, boys and men were overrepresented, but only in certain age groups and in certain parts of Europe. Third, there were large national and regional differences, both in the effects of gender and in incidences, which ranged from 0 to 0.045 per 100,000 inhabitants. This study of dog-related fa</w:t>
      </w:r>
    </w:p>
    <w:p>
      <w:pPr/>
      <w:r>
        <w:rPr>
          <w:b/>
        </w:rPr>
        <w:t>POSSIBLE 2019:</w:t>
      </w:r>
      <w:r>
        <w:t xml:space="preserve"> EVALUATION OF EUROPEAN SOCIAL FUND SUPPORT FOR THE EDUCATION OF THE UNEMPLOYED IN LATVIA — https://doi.org/10.17770/iss2018.4255</w:t>
      </w:r>
    </w:p>
    <w:p>
      <w:pPr/>
      <w:r>
        <w:rPr>
          <w:b/>
        </w:rPr>
        <w:t>Shared claim-specific concepts:</w:t>
      </w:r>
      <w:r>
        <w:t xml:space="preserve"> recent, number, unemployed, people; EU scope visible. This is a provisional connection, not an outcome finding.</w:t>
      </w:r>
    </w:p>
    <w:p>
      <w:pPr>
        <w:pStyle w:val="SourceNote"/>
      </w:pPr>
      <w:r>
        <w:rPr>
          <w:b/>
        </w:rPr>
        <w:t>Available abstract (not full text):</w:t>
      </w:r>
      <w:r>
        <w:t xml:space="preserve"> The unemployment rate in Latvia was continuing to decline in recent years, but it is still high, especially in the regions. In order to improve the existing skills and to master new skills of the unemployed, the European Social Fund's investments are used. The author of the paper is studying the support provided by the European Social Fund to the unemployed for raising their qualifications, which could help them to return to the labour market. The research aim is to investigate the active employment opportunities for unemployed people to take part and how it affects the return of the unemployed to the labour market. The result of the research study shows that the number of training programmes is large and varied. However, it has been concluded that improvements are needed in the implementation of the European Social Fund's co-funding in order to reduce the risk of its misuse.</w:t>
      </w:r>
    </w:p>
    <w:p>
      <w:pPr/>
      <w:r>
        <w:rPr>
          <w:b/>
        </w:rPr>
        <w:t>POSSIBLE 2019:</w:t>
      </w:r>
      <w:r>
        <w:t xml:space="preserve"> Inclusion of Unemployed People at Social Risk and Private Training Markets in Ireland, Portugal, and Spain — https://doi.org/10.1007/978-3-319-94532-3_108</w:t>
      </w:r>
    </w:p>
    <w:p>
      <w:pPr/>
      <w:r>
        <w:rPr>
          <w:b/>
        </w:rPr>
        <w:t>Shared claim-specific concepts:</w:t>
      </w:r>
      <w:r>
        <w:t xml:space="preserve"> unemployed, spain, people; EU scope visible. This is a provisional connection, not an outcome finding.</w:t>
      </w:r>
    </w:p>
    <w:p>
      <w:pPr>
        <w:pStyle w:val="SourceNote"/>
      </w:pPr>
      <w:r>
        <w:rPr>
          <w:b/>
        </w:rPr>
        <w:t>Available abstract (not full text):</w:t>
      </w:r>
      <w:r>
        <w:t xml:space="preserve"> Unavailable</w:t>
      </w:r>
    </w:p>
    <w:p>
      <w:pPr/>
      <w:r>
        <w:rPr>
          <w:b/>
        </w:rPr>
        <w:t>POSSIBLE 2019:</w:t>
      </w:r>
      <w:r>
        <w:t xml:space="preserve"> Vocational interventions for the unemployed — https://openalex.org/W3005403362</w:t>
      </w:r>
    </w:p>
    <w:p>
      <w:pPr/>
      <w:r>
        <w:rPr>
          <w:b/>
        </w:rPr>
        <w:t>Shared claim-specific concepts:</w:t>
      </w:r>
      <w:r>
        <w:t xml:space="preserve"> unemployed, four, people; EU scope not established. This is a provisional connection, not an outcome finding.</w:t>
      </w:r>
    </w:p>
    <w:p>
      <w:pPr>
        <w:pStyle w:val="SourceNote"/>
      </w:pPr>
      <w:r>
        <w:rPr>
          <w:b/>
        </w:rPr>
        <w:t>Available abstract (not full text):</w:t>
      </w:r>
      <w:r>
        <w:t xml:space="preserve"> The project will consist of four articles. The objective of the first article is to give an overview of interventions that are currently implemented to assist unemployed people in Orange Farm and the Emfuleni district (South Africa). Relevant documents will be collected and analysed to explore interventions that are aimed at alleviating unemployment, the effectiveness thereof, as well as possible gaps and opportunities for developing new interventions. The second article will consist of a systematic literature review of international and local best practices, challenges and possible gaps when developing, implementing and evaluating interventions from a psychological perspective. The aim will be to determine what intervention design will be most appropriate within the unemployment context. Findings will form the basis for the fourth article. The purpose of the third article is to determine whether interventions currently implemented by an existing initiative (Harambee Youth Employment Accelerator programme, an unemployment initiative located in Johannesburg) are effective. The effectiveness of this programme will be determined by evaluating the impact of the implemented interventions on participants' experience of unemployment (longitudinal design). Finally, the main objective of the fourth article is to develop an intervention, based on previous findings on intervention develop</w:t>
      </w:r>
    </w:p>
    <w:p>
      <w:pPr/>
      <w:r>
        <w:rPr>
          <w:b/>
        </w:rPr>
        <w:t>POSSIBLE 2019:</w:t>
      </w:r>
      <w:r>
        <w:t xml:space="preserve"> The inclusion of transversal competences in the training programs for unemployed of Bahía De Cádiz — https://doi.org/10.1108/jta-04-2018-0013</w:t>
      </w:r>
    </w:p>
    <w:p>
      <w:pPr/>
      <w:r>
        <w:rPr>
          <w:b/>
        </w:rPr>
        <w:t>Shared claim-specific concepts:</w:t>
      </w:r>
      <w:r>
        <w:t xml:space="preserve"> number, unemployed, spain, decrease, people; EU scope visible. This is a provisional connection, not an outcome finding.</w:t>
      </w:r>
    </w:p>
    <w:p>
      <w:pPr>
        <w:pStyle w:val="SourceNote"/>
      </w:pPr>
      <w:r>
        <w:rPr>
          <w:b/>
        </w:rPr>
        <w:t>Available abstract (not full text):</w:t>
      </w:r>
      <w:r>
        <w:t xml:space="preserve"> Purpose The economic crisis of 2008 has caused a significant increase in the number of unemployed in Spain and a decrease in investments in active training policies. In this context, it is even more necessary to demand improvements in the degree of efficiency of the training programs aimed at unemployed people. Design/methodology/approach This paper presents the opinions of a group of experts in labor intermediation on the need to include transversal competences in the training contents of employment courses aimed at the tourism sector to improve the degree of employment of the unemployed. Findings All the experts consulted have indicated the need to enrich the subjects of the training courses by incorporating workshops that favor the implementation of certain transversal competences such as team work, management in stress situations, problem-solving, willingness to learn, self-initiative, verbal communication and mastery of social networks. Research limitations/implications The main limitations are given by the small number of experts in the field. However, their long career and participation in employment programs make their opinions valuable. Practical implications The main practical implication is in the fact that the proposed suggestions about modifications in the contents of the training courses for employment in the tourism sector are perfectly applicable, and according </w:t>
      </w:r>
    </w:p>
    <w:p>
      <w:pPr>
        <w:pStyle w:val="Heading2"/>
      </w:pPr>
      <w:r>
        <w:t>870. Climate Change Effects on Heat- and Cold-Related Mortality in the Netherlands: A Scenario-Based Integrated Environmental Health Impact Assessment</w:t>
      </w:r>
    </w:p>
    <w:p>
      <w:pPr>
        <w:pStyle w:val="SourceNote"/>
      </w:pPr>
      <w:r>
        <w:rPr>
          <w:b/>
        </w:rPr>
        <w:t>Original source (2015):</w:t>
      </w:r>
      <w:r>
        <w:t xml:space="preserve"> https://doi.org/10.3390/ijerph121013295</w:t>
      </w:r>
    </w:p>
    <w:p>
      <w:pPr/>
      <w:r>
        <w:t>Original wording (abstract; indexed_source_text_not_full_document_verified): This scenario-based integrated health impacts assessment explores baseline (1981-2010) and future (2050) population attributable fractions (PAF) of mortality due to heat (PAFheat) and cold (PAFcold), by combining observed temperature-mortality relationships with the Dutch KNMI'14 climate scenarios and three adaptation scenarios. When the 2050 model runs applying the different adaptation scenarios are considered as well, however, the PAFheat ranges between 0.94% and 2.52% and the PAFcold between 6.56% and 9.85%.</w:t>
      </w:r>
    </w:p>
    <w:p>
      <w:pPr/>
      <w:r>
        <w:rPr>
          <w:b/>
        </w:rPr>
        <w:t>POSSIBLE 2026:</w:t>
      </w:r>
      <w:r>
        <w:t xml:space="preserve"> Heat-related health impacts across national mitigation and urban adaptation scenarios in European cities - Data — https://doi.org/10.5281/zenodo.20666093</w:t>
      </w:r>
    </w:p>
    <w:p>
      <w:pPr/>
      <w:r>
        <w:rPr>
          <w:b/>
        </w:rPr>
        <w:t>Shared claim-specific concepts:</w:t>
      </w:r>
      <w:r>
        <w:t xml:space="preserve"> integrated, health, impacts, assessment, mortality, heat; EU scope visible. This is a provisional connection, not an outcome finding.</w:t>
      </w:r>
    </w:p>
    <w:p>
      <w:pPr>
        <w:pStyle w:val="SourceNote"/>
      </w:pPr>
      <w:r>
        <w:rPr>
          <w:b/>
        </w:rPr>
        <w:t>Available abstract (not full text):</w:t>
      </w:r>
      <w:r>
        <w:t xml:space="preserve"> Heat-related health impacts across national mitigation and urban adaptation scenarios in European cities - Analysis Data Data to reproduce the analysis and visualization scripts for the journal publication Rodés-Bachs, C., Vicedo-Cabrera, A., Sampedro, J., Masselot, P., Koasidis, K., &amp; Van de Ven, D. (2026). Heat-related health impacts across national mitigation and urban adaptation scenarios in European cities. Preprint available soon. Check out the GitHub parent directory with all the source code to reuse this data. Abstract Heat exposure is a critical health risk, yet health outcomes and age-related vulnerability remain underrepresented in climate scenario analysis. This study bridges this gap by presenting a novel framework for estimating heat-health impacts across policy-relevant mitigation scenarios and adaptation strategies. By fusing integrated assessment modeling, climate emulators, and epidemiological methods with Urban Heat Island and age-specific mortality data, we quantify heat impacts across 854 European cities. This research provides a robust methodological foundation to facilitate the integration of public health dimensions into strategic urban and national policy design. Related repositories: Preprint publication: Available soon. Data Zenodo archive: Processed data to reproduce the figures and the analysis. Code GitHub repository and Zenodo archive: Code with t</w:t>
      </w:r>
    </w:p>
    <w:p>
      <w:pPr/>
      <w:r>
        <w:rPr>
          <w:b/>
        </w:rPr>
        <w:t>POSSIBLE 2026:</w:t>
      </w:r>
      <w:r>
        <w:t xml:space="preserve"> Exploring decarbonisation strategies in the Southern-European region of Catalonia through a multi-scenario assessment — https://doi.org/10.1016/j.esr.2026.102184</w:t>
      </w:r>
    </w:p>
    <w:p>
      <w:pPr/>
      <w:r>
        <w:rPr>
          <w:b/>
        </w:rPr>
        <w:t>Shared claim-specific concepts:</w:t>
      </w:r>
      <w:r>
        <w:t xml:space="preserve"> integrated, assessment, combining, climate; EU scope visible. This is a provisional connection, not an outcome finding.</w:t>
      </w:r>
    </w:p>
    <w:p>
      <w:pPr>
        <w:pStyle w:val="SourceNote"/>
      </w:pPr>
      <w:r>
        <w:rPr>
          <w:b/>
        </w:rPr>
        <w:t>Available abstract (not full text):</w:t>
      </w:r>
      <w:r>
        <w:t xml:space="preserve"> This study evaluates decarbonisation pathways for the southern European region of Catalonia, addressing the critical gap of downscaling biophysical system-dynamics models to regional contexts. We explore variations in economic growth, energy efficiency, and renewable energy deployment. Using pymedeas2 , a system dynamics-based integrated assessment model, we assess the implications of these pathways for climate change mitigation, land use, and energy demand. Scenarios that combine post-growth strategies with strong renewable expansion and efficiency gains achieve superior outcomes across these dimensions. In the reference scenario, GDP per capita stabilises by 2040 while ambitious renewable and efficiency targets are met. The most sustainable pathway reduces cumulative CO 2 emissions by 21.0% and renewable land use by 15.4% relative to the reference, remaining within Catalonia’s fair-share carbon budget of 495 MtCO 2 . In contrast, under a high-growth scenario with delayed efficiency gains, this limit is exceeded, reaching 793 MtCO 2 in cumulative emissions and increasing land-use requirements by 1.8%. These findings show that combining post-growth strategies with energy system decarbonisation can enable Catalonia to meet climate targets while reducing spatial and ecological pressures. The analysis highlights the urgency of a paradigm shift from purely supply-side technological</w:t>
      </w:r>
    </w:p>
    <w:p>
      <w:pPr/>
      <w:r>
        <w:rPr>
          <w:b/>
        </w:rPr>
        <w:t>POSSIBLE 2025:</w:t>
      </w:r>
      <w:r>
        <w:t xml:space="preserve"> High resolution assessment of air quality and health in Europe under different climate mitigation scenarios — https://doi.org/10.1038/s41467-025-60449-2</w:t>
      </w:r>
    </w:p>
    <w:p>
      <w:pPr/>
      <w:r>
        <w:rPr>
          <w:b/>
        </w:rPr>
        <w:t>Shared claim-specific concepts:</w:t>
      </w:r>
      <w:r>
        <w:t xml:space="preserve"> health, assessment, population, attributable, mortality, climate; EU scope visible. This is a provisional connection, not an outcome finding.</w:t>
      </w:r>
    </w:p>
    <w:p>
      <w:pPr>
        <w:pStyle w:val="SourceNote"/>
      </w:pPr>
      <w:r>
        <w:rPr>
          <w:b/>
        </w:rPr>
        <w:t>Available abstract (not full text):</w:t>
      </w:r>
      <w:r>
        <w:t xml:space="preserve"> Climate change mitigation policies lower greenhouse gas emissions and generally reduce fine particulate matter (PM2.5) concentrations, hereby bringing health co-benefits. Yet, the spatial and distributional air quality co-benefits in Europe of such policies are not fully understood. Here, We quantify premature mortality from air pollution in 1366 regions of Europe for different scenarios obtained from the Coupled Model Intercomparison Project Phase 6. We model PM2.5 concentrations at high spatial resolution and then combine it with population data and regional age structure and total mortality, to calculate attributable deaths. We find that the share of the European population meeting WHO (World Health Organization) guideline value for PM2.5 could exceed 90% by 2100 under the most ambitious scenario, while less than 10% under the least ambitious one. Corresponding premature deaths in Europe would total 67,000 (95% CI: 13,000–141,000) per year by the end of the century compared to 282,000 (95% CI: 202,000–364,000). This study quantifies premature mortality from air pollution in 1366 regions of Europe for different scenarios, finding that the share of the European population meeting WHO guideline value for PM2.5 could exceed 90% by 2100 under the most ambitious scenario, while less than 10% under the least ambitious one.</w:t>
      </w:r>
    </w:p>
    <w:p>
      <w:pPr/>
      <w:r>
        <w:rPr>
          <w:b/>
        </w:rPr>
        <w:t>POSSIBLE 2024:</w:t>
      </w:r>
      <w:r>
        <w:t xml:space="preserve"> The 2024 Europe report of the Lancet Countdown on health and climate change: unprecedented warming demands unprecedented action — https://doi.org/10.1016/s2468-2667(24)00055-0</w:t>
      </w:r>
    </w:p>
    <w:p>
      <w:pPr/>
      <w:r>
        <w:rPr>
          <w:b/>
        </w:rPr>
        <w:t>Shared claim-specific concepts:</w:t>
      </w:r>
      <w:r>
        <w:t xml:space="preserve"> health, impacts, climate; EU scope visible. This is a provisional connection, not an outcome finding.</w:t>
      </w:r>
    </w:p>
    <w:p>
      <w:pPr>
        <w:pStyle w:val="SourceNote"/>
      </w:pPr>
      <w:r>
        <w:rPr>
          <w:b/>
        </w:rPr>
        <w:t>Available abstract (not full text):</w:t>
      </w:r>
      <w:r>
        <w:t xml:space="preserve"> Record-breaking temperatures were recorded across the globe in 2023. Without climate action, adverse climate-related health impacts are expected to worsen worldwide, affecting billions of people. Temperatures in Europe are warming at twice the rate of the global average, threatening the health of populations across the continent and leading to unnecessary loss of life. The Lancet Countdown in Europe was established in 2021, to assess the health profile of climate change aiming to stimulate European social and political will to implement rapid health-responsive climate mitigation and adaptation actions.</w:t>
      </w:r>
    </w:p>
    <w:p>
      <w:pPr/>
      <w:r>
        <w:rPr>
          <w:b/>
        </w:rPr>
        <w:t>POSSIBLE 2024:</w:t>
      </w:r>
      <w:r>
        <w:t xml:space="preserve"> A scoping review of human health co-benefits of forest-based climate change mitigation in Europe — https://doi.org/10.1016/j.envint.2024.108593</w:t>
      </w:r>
    </w:p>
    <w:p>
      <w:pPr/>
      <w:r>
        <w:rPr>
          <w:b/>
        </w:rPr>
        <w:t>Shared claim-specific concepts:</w:t>
      </w:r>
      <w:r>
        <w:t xml:space="preserve"> health, impacts, climate; EU scope visible. This is a provisional connection, not an outcome finding.</w:t>
      </w:r>
    </w:p>
    <w:p>
      <w:pPr>
        <w:pStyle w:val="SourceNote"/>
      </w:pPr>
      <w:r>
        <w:rPr>
          <w:b/>
        </w:rPr>
        <w:t>Available abstract (not full text):</w:t>
      </w:r>
      <w:r>
        <w:t xml:space="preserve"> Climate change is a pressing global challenge with profound implications for human health. Forest-based climate change mitigation strategies, such as afforestation, reforestation, and sustainable forest management, offer promising solutions to mitigate climate change and simultaneously yield substantial co-benefits for human health. The objective of this scoping review was to examine research trends related to the interdisciplinary nexus between forests as carbon sinks and human health co-benefits. We developed a conceptual framework model, supporting the inclusion of exposure pathways, such as recreational opportunities or aesthetic experiences, in the co-benefit context. We used a scoping review methodology to identify the proportion of European research on forest-based mitigation strategies that acknowledge the interconnection between mitigation strategies and human impacts. We also aimed to assess whether synergies and trade-offs between forest-based carbon sink capacity and human co-benefits has been analysed and quantified. From the initial 4,062 records retrieved, 349 reports analysed European forest management principles and factors related to climate change mitigation capacity. Of those, 97 studies acknowledged human co-benefits and 13 studies quantified the impacts on exposure pathways or health co-benefits and were included for full review. Our analysis demonstrates </w:t>
      </w:r>
    </w:p>
    <w:p>
      <w:pPr/>
      <w:r>
        <w:rPr>
          <w:b/>
        </w:rPr>
        <w:t>POSSIBLE 2024:</w:t>
      </w:r>
      <w:r>
        <w:t xml:space="preserve"> Comorbid physical health burden of serious mental health disorders in 32 European countries — https://doi.org/10.1136/bmjment-2024-301021</w:t>
      </w:r>
    </w:p>
    <w:p>
      <w:pPr/>
      <w:r>
        <w:rPr>
          <w:b/>
        </w:rPr>
        <w:t>Shared claim-specific concepts:</w:t>
      </w:r>
      <w:r>
        <w:t xml:space="preserve"> integrated, health, population, fractions; EU scope visible. This is a provisional connection, not an outcome finding.</w:t>
      </w:r>
    </w:p>
    <w:p>
      <w:pPr>
        <w:pStyle w:val="SourceNote"/>
      </w:pPr>
      <w:r>
        <w:rPr>
          <w:b/>
        </w:rPr>
        <w:t>Available abstract (not full text):</w:t>
      </w:r>
      <w:r>
        <w:t xml:space="preserve"> BACKGROUND: Mental health disorders (MHDs) are associated with physical health disparities, but underlying excess risk and health burden have not yet been comprehensively assessed. OBJECTIVE: To assess the burden of comorbid physical health conditions (PHCs) across serious MHDs in Europe. METHODS: We estimated the relative prevalence risk of PHCs associated with alcohol use disorders (AUD), bipolar disorder (BD), depressive disorders (DD) and schizophrenia (SZ) across working-age populations of 32 European countries in 2019 based on a targeted literature review. Excess physical health burden was modelled using population-attributable fractions and country-level prevalence data. FINDINGS: We screened 10 960 studies, of which 41 were deemed eligible, with a total sample size of over 18 million persons. Relative prevalence of PHCs was reported in 54%, 20%, 15%, 5% and 7% of studies, respectively, for SZ, DD, BD, AUD or mixed. Significant relative risk estimates ranged from 1.44 to 3.66 for BD, from 1.43 to 2.21 for DD, from 0.81 to 1.97 for SZ and 3.31 for AUD. Excess physical health burden ranged between 27% and 67% of the total, corresponding to 84 million (AUD), 67 million (BD), 66 million (DD) and 5 million (SZ) PHC diagnoses in Europe. A 1% reduction in excess risk assuming causal inference could result in two million fewer PHCs across investigated MHDs. CONCLUSIONS: This is </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integrated, health, population, attributable, fractions, mortality;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2023:</w:t>
      </w:r>
      <w:r>
        <w:t xml:space="preserve"> Excess mortality attributed to heat and cold: a health impact assessment study in 854 cities in Europe — https://doi.org/10.1016/s2542-5196(23)00023-2</w:t>
      </w:r>
    </w:p>
    <w:p>
      <w:pPr/>
      <w:r>
        <w:rPr>
          <w:b/>
        </w:rPr>
        <w:t>Shared claim-specific concepts:</w:t>
      </w:r>
      <w:r>
        <w:t xml:space="preserve"> health, assessment, mortality, due, heat, cold; EU scope visible. This is a provisional connection, not an outcome finding.</w:t>
      </w:r>
    </w:p>
    <w:p>
      <w:pPr>
        <w:pStyle w:val="SourceNote"/>
      </w:pPr>
      <w:r>
        <w:rPr>
          <w:b/>
        </w:rPr>
        <w:t>Available abstract (not full text):</w:t>
      </w:r>
      <w:r>
        <w:t xml:space="preserve"> BACKGROUND: Heat and cold are established environmental risk factors for human health. However, mapping the related health burden is a difficult task due to the complexity of the associations and the differences in vulnerability and demographic distributions. In this study, we did a comprehensive mortality impact assessment due to heat and cold in European urban areas, considering geographical differences and age-specific risks. METHODS: We included urban areas across Europe between Jan 1, 2000, and Dec 12, 2019, using the Urban Audit dataset of Eurostat and adults aged 20 years and older living in these areas. Data were extracted from Eurostat, the Multi-country Multi-city Collaborative Research Network, Moderate Resolution Imaging Spectroradiometer, and Copernicus. We applied a three-stage method to estimate risks of temperature continuously across the age and space dimensions, identifying patterns of vulnerability on the basis of city-specific characteristics and demographic structures. These risks were used to derive minimum mortality temperatures and related percentiles and raw and standardised excess mortality rates for heat and cold aggregated at various geographical levels. FINDINGS: Across the 854 urban areas in Europe, we estimated an annual excess of 203 620 (empirical 95% CI 180 882-224 613) deaths attributed to cold and 20 173 (17 261-22 934) attributed to heat. Th</w:t>
      </w:r>
    </w:p>
    <w:p>
      <w:pPr/>
      <w:r>
        <w:rPr>
          <w:b/>
        </w:rPr>
        <w:t>POSSIBLE 2023:</w:t>
      </w:r>
      <w:r>
        <w:t xml:space="preserve"> Integrated assessment modelling of degrowth scenarios for Australia — https://doi.org/10.1080/09535314.2023.2245544</w:t>
      </w:r>
    </w:p>
    <w:p>
      <w:pPr/>
      <w:r>
        <w:rPr>
          <w:b/>
        </w:rPr>
        <w:t>Shared claim-specific concepts:</w:t>
      </w:r>
      <w:r>
        <w:t xml:space="preserve"> integrated, assessment, climate; EU scope not established. This is a provisional connection, not an outcome finding.</w:t>
      </w:r>
    </w:p>
    <w:p>
      <w:pPr>
        <w:pStyle w:val="SourceNote"/>
      </w:pPr>
      <w:r>
        <w:rPr>
          <w:b/>
        </w:rPr>
        <w:t>Available abstract (not full text):</w:t>
      </w:r>
      <w:r>
        <w:t xml:space="preserve"> Empirical evidence increasingly indicates that to achieve sufficiently rapid decarbonisation, high-income economies may need to adopt degrowth policies, scaling down less-necessary forms of production and demand, in addition to rapid deployment of renewables. Calls have been made for degrowth climate mitigation scenarios. However, so far these have not been modelled within the established Integrated Assessment Models (IAMs) for future scenario analysis of the energy-economy-emission nexus, partly because the architecture of these IAMs has growth ‘baked in’. In this work, we modify one of the common IAMs – MESSAGEix – to make it compatible with degrowth scenarios. We simulate scenarios featuring low and negative growth in a high-income economy (Australia). We achieve this by detaching MESSAGEix from its monotonically growing utility function, and by formulating an alternative utility function based on non-monotonic preferences. The outcomes from such modified scenarios reflect some characteristics of degrowth futures, including reduced aggregate production and declining energy and emissions. However, further work is needed to explore other key degrowth features such as sectoral differentiation, redistribution, and provisioning system transformation.</w:t>
      </w:r>
    </w:p>
    <w:p>
      <w:pPr/>
      <w:r>
        <w:rPr>
          <w:b/>
        </w:rPr>
        <w:t>POSSIBLE 2023:</w:t>
      </w:r>
      <w:r>
        <w:t xml:space="preserve"> Access and reimbursement pathways for digital health solutions and in vitro diagnostic devices: Current scenario and challenges — https://doi.org/10.3389/fmedt.2023.1101476</w:t>
      </w:r>
    </w:p>
    <w:p>
      <w:pPr/>
      <w:r>
        <w:rPr>
          <w:b/>
        </w:rPr>
        <w:t>Shared claim-specific concepts:</w:t>
      </w:r>
      <w:r>
        <w:t xml:space="preserve"> integrated, health, due, observed; EU scope visible. This is a provisional connection, not an outcome finding.</w:t>
      </w:r>
    </w:p>
    <w:p>
      <w:pPr>
        <w:pStyle w:val="SourceNote"/>
      </w:pPr>
      <w:r>
        <w:rPr>
          <w:b/>
        </w:rPr>
        <w:t>Available abstract (not full text):</w:t>
      </w:r>
      <w:r>
        <w:t xml:space="preserve"> Objectives Digital therapeutics (DTx) are innovative solutions that use meaningful data to provide evidence-based decisions for the prevention, treatment, and management of diseases. Particular attention is paid to software-based in vitro diagnostics (IVDs). With this point of view, a strong connection between DTx and IVDs is observed. Methods We investigated the current regulatory scenarios and reimbursement approaches adopted for DTx and IVDs. The initial assumption was that countries apply different regulations for the access to the market and adopt different reimbursement systems for both DTx and IVDs. The analysis was limited to the US, European countries (Germany, France, and UK), and Australia due to maturity in digital health product adoption and regulatory processes, and recent regulations related to IVDs. The final aim was to provide a general comparative overview and identify those aspects that should be better addressed to support the adoption and commercialization of DTx and IVDs. Results Many countries regulate DTx as medical devices or software integrated with a medical device, and some have a more specific pathway than others. Australia has more specific regulations classifying software used in IVD. Some EU countries are adopting similar processes to the Digital Health Applications (DiGA) under Germany's Digitale-Versorgung Gesetz (DVG) law, which deems DTx elig</w:t>
      </w:r>
    </w:p>
    <w:p>
      <w:pPr/>
      <w:r>
        <w:rPr>
          <w:b/>
        </w:rPr>
        <w:t>POSSIBLE 2022:</w:t>
      </w:r>
      <w:r>
        <w:t xml:space="preserve"> The health potential of urban water: Future scenarios on local risks and opportunities — https://doi.org/10.1016/j.cities.2022.103639</w:t>
      </w:r>
    </w:p>
    <w:p>
      <w:pPr/>
      <w:r>
        <w:rPr>
          <w:b/>
        </w:rPr>
        <w:t>Shared claim-specific concepts:</w:t>
      </w:r>
      <w:r>
        <w:t xml:space="preserve"> integrated, health, impacts, explores, population, climate; EU scope visible. This is a provisional connection, not an outcome finding.</w:t>
      </w:r>
    </w:p>
    <w:p>
      <w:pPr>
        <w:pStyle w:val="SourceNote"/>
      </w:pPr>
      <w:r>
        <w:rPr>
          <w:b/>
        </w:rPr>
        <w:t>Available abstract (not full text):</w:t>
      </w:r>
      <w:r>
        <w:t xml:space="preserve"> Although cities can be characterised as sources of economic, environmental and social challenges, they can also be part of the solution for healthy and sustainable societies. While most cities are situated close to water, whether inland waterways, lakes, or the sea, these blue spaces are not integrated into urban planning to their full potential and their public health impacts are not always recognised by planning authorities. Furthermore, cities face future challenges regarding climate change, socio-economic developments like tourism, urbanization, and rising social inequalities. The development of healthy blue spaces can support cities in their pursuit of ways to confront these challenges. Interdisciplinary and transdisciplinary analyses of the local impacts of these trends and promising interventions have been scarce to date. This study explores the use of such methodology by presenting experiences related to five European cities: Amsterdam, Barcelona, Plymouth, Tallinn and Thessaloniki, using an interactive and participative approach with local experts and stakeholders. Future scenarios have been developed based on the question: How can blue spaces contribute to a healthier city population, given the long term trends? The results highlight the importance of addressing the local context when seeking sustainable solutions for cities. The future scenarios deliver information t</w:t>
      </w:r>
    </w:p>
    <w:p>
      <w:pPr/>
      <w:r>
        <w:rPr>
          <w:b/>
        </w:rPr>
        <w:t>POSSIBLE 2022:</w:t>
      </w:r>
      <w:r>
        <w:t xml:space="preserve"> The 2022 Europe report of the Lancet Countdown on health and climate change: towards a climate resilient future — https://doi.org/10.1016/s2468-2667(22)00197-9</w:t>
      </w:r>
    </w:p>
    <w:p>
      <w:pPr/>
      <w:r>
        <w:rPr>
          <w:b/>
        </w:rPr>
        <w:t>Shared claim-specific concepts:</w:t>
      </w:r>
      <w:r>
        <w:t xml:space="preserve"> health, population, mortality, climate; EU scope visible. This is a provisional connection, not an outcome finding.</w:t>
      </w:r>
    </w:p>
    <w:p>
      <w:pPr>
        <w:pStyle w:val="SourceNote"/>
      </w:pPr>
      <w:r>
        <w:rPr>
          <w:b/>
        </w:rPr>
        <w:t>Available abstract (not full text):</w:t>
      </w:r>
      <w:r>
        <w:t xml:space="preserve"> In the past few decades, major public health advances have happened in Europe, with drastic decreases in premature mortality and a life expectancy increase of almost 9 years since 1980. European countries have some of the best health-care systems in the world. However, Europe is challenged with unprecedented and overlapping crises that are detrimental to human health and livelihoods and threaten adaptive capacity, including the COVID-19 pandemic, the Russian invasion of Ukraine, the fastest-growing migrant crisis since World War 2, population displacement, environmental degradation, and deepening inequalities.</w:t>
      </w:r>
    </w:p>
    <w:p>
      <w:pPr>
        <w:pStyle w:val="Heading2"/>
      </w:pPr>
      <w:r>
        <w:t>871. Comparison of Water Flows in Four European Lagoon Catchments under a Set of Future Climate Scenarios</w:t>
      </w:r>
    </w:p>
    <w:p>
      <w:pPr>
        <w:pStyle w:val="SourceNote"/>
      </w:pPr>
      <w:r>
        <w:rPr>
          <w:b/>
        </w:rPr>
        <w:t>Original source (2015):</w:t>
      </w:r>
      <w:r>
        <w:t xml:space="preserve"> https://doi.org/10.3390/w7020716</w:t>
      </w:r>
    </w:p>
    <w:p>
      <w:pPr/>
      <w:r>
        <w:t>Original wording (abstract; indexed_source_text_not_full_document_verified): Probable impacts of projected climate changes on catchment hydrology and freshwater input were assessed using the eco-hydrological model SWIM (Soil and Water Integrated Model) for the drainage areas of four European lagoons: Ria de Aveiro (Portugal), Mar Menor (Spain), Tyligulskyi Liman (Ukraine) and Vistula Lagoon (Poland/Russia) under a set of 15 climate scenarios covering the time period until the year 2100. Precipitation is projected to decrease in two catchments on the Iberian Peninsula and increase in the Baltic region catchment, and does not show a clear trend in the catchment located near the Black Sea.</w:t>
      </w:r>
    </w:p>
    <w:p>
      <w:pPr/>
      <w:r>
        <w:rPr>
          <w:b/>
        </w:rPr>
        <w:t>POSSIBLE 2024:</w:t>
      </w:r>
      <w:r>
        <w:t xml:space="preserve"> Energy storage and climate impacts on the future renewable European energy system — https://openalex.org/W4412222428</w:t>
      </w:r>
    </w:p>
    <w:p>
      <w:pPr/>
      <w:r>
        <w:rPr>
          <w:b/>
        </w:rPr>
        <w:t>Shared claim-specific concepts:</w:t>
      </w:r>
      <w:r>
        <w:t xml:space="preserve"> probable, impacts, climate, assessed, integrated; EU scope visible. This is a provisional connection, not an outcome finding.</w:t>
      </w:r>
    </w:p>
    <w:p>
      <w:pPr>
        <w:pStyle w:val="SourceNote"/>
      </w:pPr>
      <w:r>
        <w:rPr>
          <w:b/>
        </w:rPr>
        <w:t>Available abstract (not full text):</w:t>
      </w:r>
      <w:r>
        <w:t xml:space="preserve"> The world stands before the critical mission of mitigating climate change by reducing greenhouse gas emissions at such a pace that catastrophic repercussions are avoided. A primary step towards this goal is to decarbonize the energy sector. This task involves a massive rollout of renewables to replace the fossil-fueled energy supply and to meet a growing demand for electricity resulting from the transformation of all energy sectors. As variable renewable energy increasingly emerges as the predominant source of electricity, the generation of electricity becomes more volatile. Consequently, future energy systems must be equipped with adequate backup and storage infrastructure to ensure a reliable energy supply. This PhD thesis, written as a compilation of research articles, adopts a bottom-up energy system modeling approach that rely on techno-economic optimization to provide insight into this context. The investigations focus on a future sector-coupled European energy system, encompassing the determination of electricity storage technology requirements to qualify in a competitive market, an exploration of energy-related impacts of climate change and interannual weather variability, and the examination of cost-optimal measures to ensure robustness to interannual weather variability and fuel import disruptions. The first study, presented in Chapter 2, addresses a gap in the litera</w:t>
      </w:r>
    </w:p>
    <w:p>
      <w:pPr/>
      <w:r>
        <w:rPr>
          <w:b/>
        </w:rPr>
        <w:t>POSSIBLE 2024:</w:t>
      </w:r>
      <w:r>
        <w:t xml:space="preserve"> The Ripple Effect of Climate Change: Assessing the Impacts on Water Quality and Hydrology in Addis Ababa City (Akaki Catchment) — https://doi.org/10.1155/2024/8824622</w:t>
      </w:r>
    </w:p>
    <w:p>
      <w:pPr/>
      <w:r>
        <w:rPr>
          <w:b/>
        </w:rPr>
        <w:t>Shared claim-specific concepts:</w:t>
      </w:r>
      <w:r>
        <w:t xml:space="preserve"> impacts, climate, catchment, hydrology, freshwater, soil; EU scope not established. This is a provisional connection, not an outcome finding.</w:t>
      </w:r>
    </w:p>
    <w:p>
      <w:pPr>
        <w:pStyle w:val="SourceNote"/>
      </w:pPr>
      <w:r>
        <w:rPr>
          <w:b/>
        </w:rPr>
        <w:t>Available abstract (not full text):</w:t>
      </w:r>
      <w:r>
        <w:t xml:space="preserve"> This research aimed to evaluate the effects of climate change on the hydrology and water quality in the Akaki catchment, which provides water to Addis Ababa, Ethiopia. This was performed using the soil and water assessment tool (SWAT) model and an ensemble of four global climate models under two Shared Socioeconomic Pathways (SSP) emission scenarios from Coupled Model Intercomparison Project Phase 6 (CMIP6). The climate data were downscaled and bias-corrected using the CMhyd tool and calibrated and validated using the SWAT-CUP software package. Change points and patterns in annual rainfall and temperature were determined using the homogeneity test and Mann-Kendell trend test. Water quality data were obtained from Addis Ababa Water and Sewerage Authority (AAWSA), and more samples were taken and analyzed in accordance with APHA recommended procedures. The SWAT model output was then used to assess the impacts of climate change on hydrological components and water quality. Rainfall increased by 19.39 mm/year under SSP2-4.5 and 12.8 mm/year under SSP8.5. Maximum temperature increased by 0.03°C/yr for SSP2-4.5 and 0.04°C/yr for SSP5-8.5. Minimum temperature increased by 0.03°C/yr under SSP2-4.5 and 0.07°C/yr under SSP5-8.5. This warming will augment the evapotranspiration rate which in turn will have a negative impact on the freshwater availability. Streamflow will increase by 5% und</w:t>
      </w:r>
    </w:p>
    <w:p>
      <w:pPr/>
      <w:r>
        <w:rPr>
          <w:b/>
        </w:rPr>
        <w:t>POSSIBLE 2024:</w:t>
      </w:r>
      <w:r>
        <w:t xml:space="preserve"> Scientific evidence of the hydrological impacts of nature‐based solutions at the catchment scale — https://doi.org/10.1002/wat2.1744</w:t>
      </w:r>
    </w:p>
    <w:p>
      <w:pPr/>
      <w:r>
        <w:rPr>
          <w:b/>
        </w:rPr>
        <w:t>Shared claim-specific concepts:</w:t>
      </w:r>
      <w:r>
        <w:t xml:space="preserve"> impacts, catchment, soil, water; EU scope not established. This is a provisional connection, not an outcome finding.</w:t>
      </w:r>
    </w:p>
    <w:p>
      <w:pPr>
        <w:pStyle w:val="SourceNote"/>
      </w:pPr>
      <w:r>
        <w:rPr>
          <w:b/>
        </w:rPr>
        <w:t>Available abstract (not full text):</w:t>
      </w:r>
      <w:r>
        <w:t xml:space="preserve"> Abstract The introduction of nature‐based solutions (NbS) in catchments has the potential to increase the cost‐effectiveness, flexibility, and reliability of water management practices aimed at improving water security. However, the scientific‐evidence base of the hydrological impacts of NbS is still weak, and there is therefore a risk that catchment interventions might not lead to the desired hydrological outcomes. This is especially important when assessing NbS‐based catchment interventions before their implementation, as this requires robust simulation tools capable of effectively managing the uncertainties associated with future forecasts. This study aims to review the hydrological impacts of different NbS intervention types for water management. First, we present an NbS typology and the corresponding dominant hydrological impacts. We then use this typology to review the strength of the current evidence of the effect of NbS interventions on the hydrological response at the catchment‐scale. Our results demonstrate that the effectiveness of each NbS type hinges on specific conditions such as location, design, and environmental factors. For instance, micro‐reservoirs notably enhance surface storage and evaporation, while infiltration trenches reduce runoff but can increase soil erosion. Our global analysis highlights the need for an improved understanding of NbS catchment impa</w:t>
      </w:r>
    </w:p>
    <w:p>
      <w:pPr/>
      <w:r>
        <w:rPr>
          <w:b/>
        </w:rPr>
        <w:t>POSSIBLE 2023:</w:t>
      </w:r>
      <w:r>
        <w:t xml:space="preserve"> The impact of extensive agricultural water drainage on the hydrology of the Kleine Nete watershed, Belgium — https://doi.org/10.1016/j.scitotenv.2023.163903</w:t>
      </w:r>
    </w:p>
    <w:p>
      <w:pPr/>
      <w:r>
        <w:rPr>
          <w:b/>
        </w:rPr>
        <w:t>Shared claim-specific concepts:</w:t>
      </w:r>
      <w:r>
        <w:t xml:space="preserve"> catchment, hydrology, soil, water, integrated, drainage; EU scope visible. This is a provisional connection, not an outcome finding.</w:t>
      </w:r>
    </w:p>
    <w:p>
      <w:pPr>
        <w:pStyle w:val="SourceNote"/>
      </w:pPr>
      <w:r>
        <w:rPr>
          <w:b/>
        </w:rPr>
        <w:t>Available abstract (not full text):</w:t>
      </w:r>
      <w:r>
        <w:t xml:space="preserve"> Agricultural water drainage can significantly lower groundwater levels and affect catchment hydrology. Therefore, building models with and without these features can indicate an adverse impact on the geohydrological process. Therefore, the standalone Soil Water Assessment Tool (SWAT+) model was initially developed to simulate streamflow at the Kleine Nete catchment outlet. Next, a physically based and spatially distributed groundwater module (gwflow) was integrated into the SWAT+ model and calibrated for stream discharge at the catchment outlet. Finally, the same model was calibrated for both streamflow and groundwater heads. These final model parameters are used to investigate the basin-wide hydrologic fluxes with and without including agricultural drainage systems in the model scheme. The result suggested that the standalone SWAT+ model poorly represented the stream discharge and attained low NSE values of 0.18 and 0.37 during the calibration and validation periods, respectively. Integrating the gwflow module to SWAT+ improved the model representation of stream discharge (NSE = 0.91 and 0.65 for calibration and validation periods, respectively) and groundwater heads. However, calibrating the model for only streamflow resulted in a high root mean square error (above 1 m) for groundwater head, and the seasonality is not captured. On the other hand, calibrating the coupled model</w:t>
      </w:r>
    </w:p>
    <w:p>
      <w:pPr/>
      <w:r>
        <w:rPr>
          <w:b/>
        </w:rPr>
        <w:t>POSSIBLE 2023:</w:t>
      </w:r>
      <w:r>
        <w:t xml:space="preserve"> A simple stacked ensemble machine learning model to predict naturalized catchment hydrology and allocation status — https://doi.org/10.48550/arxiv.2312.01649</w:t>
      </w:r>
    </w:p>
    <w:p>
      <w:pPr/>
      <w:r>
        <w:rPr>
          <w:b/>
        </w:rPr>
        <w:t>Shared claim-specific concepts:</w:t>
      </w:r>
      <w:r>
        <w:t xml:space="preserve"> probable, catchment, hydrology, water; EU scope not established. This is a provisional connection, not an outcome finding.</w:t>
      </w:r>
    </w:p>
    <w:p>
      <w:pPr>
        <w:pStyle w:val="SourceNote"/>
      </w:pPr>
      <w:r>
        <w:rPr>
          <w:b/>
        </w:rPr>
        <w:t>Available abstract (not full text):</w:t>
      </w:r>
      <w:r>
        <w:t xml:space="preserve"> New Zealand legislation requires that Regional Councils set limits for water resource usage to manage the effects of abstractions in over-allocated catchments. We propose a simple stacked ensemble machine learning model to predict the probable naturalized hydrology and allocation status across 317 anthropogenically stressed gauged catchments and across 18,612 ungauged river reaches in Otago. The training and testing of ensemble machine learning models provides unbiased results characterized as very good (R2 &gt; 0.8) to extremely good (R2 &gt; 0.9) when predicting naturalized mean annual low flow and Mean flow. Statistical 5-fold stacking identifies varying levels of risk for managing water-resource sustainability in over-allocated catchments; for example, at the respective 5th, 25th, 50th, 75th, and 95th percentiles the number of overallocated catchments are 73, 57, 44, 23, and 22. The proposed model can be applied to inform sustainable stream management in other regional catchments across New Zealand and worldwide.</w:t>
      </w:r>
    </w:p>
    <w:p>
      <w:pPr/>
      <w:r>
        <w:rPr>
          <w:b/>
        </w:rPr>
        <w:t>POSSIBLE 2023:</w:t>
      </w:r>
      <w:r>
        <w:t xml:space="preserve"> Recent advancements of landslide hydrology — https://doi.org/10.1002/wat2.1675</w:t>
      </w:r>
    </w:p>
    <w:p>
      <w:pPr/>
      <w:r>
        <w:rPr>
          <w:b/>
        </w:rPr>
        <w:t>Shared claim-specific concepts:</w:t>
      </w:r>
      <w:r>
        <w:t xml:space="preserve"> climate, hydrology, soil, water, drainage; EU scope not established. This is a provisional connection, not an outcome finding.</w:t>
      </w:r>
    </w:p>
    <w:p>
      <w:pPr>
        <w:pStyle w:val="SourceNote"/>
      </w:pPr>
      <w:r>
        <w:rPr>
          <w:b/>
        </w:rPr>
        <w:t>Available abstract (not full text):</w:t>
      </w:r>
      <w:r>
        <w:t xml:space="preserve"> Abstract Occurrence of rainfall‐induced landslides is increasing worldwide, owing to land use and climate changes. Although the connection between hydrology and rainfall‐induced landslides might seem obvious, hydrological processes have been only marginally considered in landslide research for decades. In 2016, an advanced review paper published in WIREs Water [Bogaard and Greco (2016), WIREs Water, 3(3), 439–459] pointed out several challenging issues for landslide hydrology research: considering large‐scale hydrological processes in the assessment of slope water balance; including antecedent hydrological information in landslide hazard assessment; understanding and quantifying the feedbacks between deformation and infiltration/drainage processes; overcoming the conceptual mismatch of soil mechanics models and hydrological models. While little progress has been made on the latter two issues, a variety of studies have been published, focusing on the role of hydrological processes in landslide initiation and prediction. The importance of the identification of the origin of water to understand the processes leading to landslide activation is largely acknowledged. Techniques and methodologies for the definition of landslide catchments and for the assessment of landslide water balance are progressing fast, often considering the hydraulic effect of vegetation. The use of hydrologica</w:t>
      </w:r>
    </w:p>
    <w:p>
      <w:pPr/>
      <w:r>
        <w:rPr>
          <w:b/>
        </w:rPr>
        <w:t>POSSIBLE 2022:</w:t>
      </w:r>
      <w:r>
        <w:t xml:space="preserve"> Mid-Holocene European climate revisited: New high-resolution regional climate model simulations using pollen-based land-cover — https://doi.org/10.1016/j.quascirev.2022.107431</w:t>
      </w:r>
    </w:p>
    <w:p>
      <w:pPr/>
      <w:r>
        <w:rPr>
          <w:b/>
        </w:rPr>
        <w:t>Shared claim-specific concepts:</w:t>
      </w:r>
      <w:r>
        <w:t xml:space="preserve"> probable, climate; EU scope visible. This is a provisional connection, not an outcome finding.</w:t>
      </w:r>
    </w:p>
    <w:p>
      <w:pPr>
        <w:pStyle w:val="SourceNote"/>
      </w:pPr>
      <w:r>
        <w:rPr>
          <w:b/>
        </w:rPr>
        <w:t>Available abstract (not full text):</w:t>
      </w:r>
      <w:r>
        <w:t xml:space="preserve"> Land-cover changes have a clear impact on local climates via biophysical effects. European land cover has been affected by human activities for at least 6000 years, but possibly longer. It is thus highly probable that humans altered climate before the industrial revolution (AD1750–1850). In this study, climate and vegetation 6000 years (6 ka) ago is investigated using one global climate model, two regional climate models, one dynamical vegetation model, pollen-based reconstruction of past vegetation cover using a model of the pollen-vegetation relationship and a statistical model for spatial interpolation of the reconstructed land cover. This approach enables us to study 6 ka climate with potential natural and reconstructed land cover, and to determine how differences in land cover impact upon simulated climate. The use of two regional climate models enables us to discuss the robustness of the results. This is the first experiment with two regional climate models of simulated palaeo-climate based on regional climate models. Different estimates of 6 ka vegetation are constructed: simulated potential vegetation and reconstructed vegetation. Potential vegetation is the natural climate-induced vegetation as simulated by a dynamical vegetation model driven by climate conditions from a climate model. Bayesian spatial model interpolated point estimates of pollen-based plant abundances</w:t>
      </w:r>
    </w:p>
    <w:p>
      <w:pPr/>
      <w:r>
        <w:rPr>
          <w:b/>
        </w:rPr>
        <w:t>POSSIBLE 2022:</w:t>
      </w:r>
      <w:r>
        <w:t xml:space="preserve"> A probabilistic climate change assessment for Europe — https://doi.org/10.1002/joc.7604</w:t>
      </w:r>
    </w:p>
    <w:p>
      <w:pPr/>
      <w:r>
        <w:rPr>
          <w:b/>
        </w:rPr>
        <w:t>Shared claim-specific concepts:</w:t>
      </w:r>
      <w:r>
        <w:t xml:space="preserve"> impacts, climate, four; EU scope visible. This is a provisional connection, not an outcome finding.</w:t>
      </w:r>
    </w:p>
    <w:p>
      <w:pPr>
        <w:pStyle w:val="SourceNote"/>
      </w:pPr>
      <w:r>
        <w:rPr>
          <w:b/>
        </w:rPr>
        <w:t>Available abstract (not full text):</w:t>
      </w:r>
      <w:r>
        <w:t xml:space="preserve"> Abstract Globally, the impacts of climate change can vary across different regions. This study uses a probability framework to evaluate recent historical (1976–2016) and near‐future projected (until 2049) climate change across Europe using Climate Research Unit and ensemble climate model datasets (under RCPs 2.6 and 8.5). A historical assessment shows that although the east and west of the domain experienced the largest and smallest increase in temperature, changes in precipitation are not as smooth as temperature. Results indicate that the maximum changes between distributions of the variables (temperature and precipitation) mainly occur at extreme percentiles (e.g., 10% and 90%). A group analysis of four subregions of Europe, namely east (G1), north (G2), west/south (G3), and UK/Ireland (G4), shows that G1 and G4 are expected to have the largest increase in temperature and precipitation extremes, respectively. Although maximum increases in temperature in G3 and G4 occur at larger percentiles, G1 and G2 experience maximum increases at both large and small percentiles. The maximum increase of precipitation over the study domain, however, occurs mainly at larger extremes. To quantify changes in the distribution of projection (2020–2049) relative to the historical reference (1976–2005), two measures are defined, namely a change in occurrences (KS statistic) and intensities at dif</w:t>
      </w:r>
    </w:p>
    <w:p>
      <w:pPr/>
      <w:r>
        <w:rPr>
          <w:b/>
        </w:rPr>
        <w:t>POSSIBLE 2022:</w:t>
      </w:r>
      <w:r>
        <w:t xml:space="preserve"> Impact of climate change on catchment nutrient dynamics: insights from around the world — https://doi.org/10.1139/er-2021-0109</w:t>
      </w:r>
    </w:p>
    <w:p>
      <w:pPr/>
      <w:r>
        <w:rPr>
          <w:b/>
        </w:rPr>
        <w:t>Shared claim-specific concepts:</w:t>
      </w:r>
      <w:r>
        <w:t xml:space="preserve"> impacts, climate, catchment, hydrology, water, areas; EU scope not established. This is a provisional connection, not an outcome finding.</w:t>
      </w:r>
    </w:p>
    <w:p>
      <w:pPr>
        <w:pStyle w:val="SourceNote"/>
      </w:pPr>
      <w:r>
        <w:rPr>
          <w:b/>
        </w:rPr>
        <w:t>Available abstract (not full text):</w:t>
      </w:r>
      <w:r>
        <w:t xml:space="preserve"> This study is a meta-analysis of global articles on hydrological nutrient dynamics to determine trends and consensus on: (1) the effects of climate change-induced hydrological and temperature drivers on nutrient dynamics and how these effects vary along the catchment continuum from land to river to lake; (2) the convergence of climate change impacts with other anthropogenic pressures (agriculture, urbanization) in nutrient dynamics; and (3) regional variability in the effects of climate change on nutrient dynamics and water-quality impairment across different climate zones. An innovative web crawler tool was employed to help critically synthesize the information in the literature. The literature suggests that climate change will impact nutrient dynamics around the globe and exacerbate contemporary water-quality challenges. Nutrient leaching and overland flow transport are projected to increase globally, promoted by extreme precipitation. Seasonal variations in streamflow are expected to emulate changing precipitation patterns, but the specific local impacts of climate change on hydrology and nutrient dynamics will vary both seasonally and regionally. Plant activity may reduce some of this load in nonagricultural soils if the expected increase in plant uptake of nutrients prompted by increased temperatures can compensate for greater nitrogen (N) and phosphorus (P) mineralization</w:t>
      </w:r>
    </w:p>
    <w:p>
      <w:pPr/>
      <w:r>
        <w:rPr>
          <w:b/>
        </w:rPr>
        <w:t>POSSIBLE 2022:</w:t>
      </w:r>
      <w:r>
        <w:t xml:space="preserve"> Impact of climate change on the degradation of rendered façades: Expectations for a dry and hot summer temperate climate — https://doi.org/10.1088/1755-1315/1101/2/022008</w:t>
      </w:r>
    </w:p>
    <w:p>
      <w:pPr/>
      <w:r>
        <w:rPr>
          <w:b/>
        </w:rPr>
        <w:t>Shared claim-specific concepts:</w:t>
      </w:r>
      <w:r>
        <w:t xml:space="preserve"> probable, climate, portugal; EU scope visible. This is a provisional connection, not an outcome finding.</w:t>
      </w:r>
    </w:p>
    <w:p>
      <w:pPr>
        <w:pStyle w:val="SourceNote"/>
      </w:pPr>
      <w:r>
        <w:rPr>
          <w:b/>
        </w:rPr>
        <w:t>Available abstract (not full text):</w:t>
      </w:r>
      <w:r>
        <w:t xml:space="preserve"> Abstract Climate change is accelerating and can seriously affect the built environment, if not properly acknowledged in the design and maintenance stages. Despite the globally expected warming, climate changes will differ depending on region and climate type. What implications will temperature, precipitation and wind changes have on the degradation of the building envelope, in Southern Europe? How will the performance of façade claddings be affected by the end of the century? The purpose of this research is to determine the expected impact of climate change on the degradation of rendered façades, in a dry and hot summer temperate climate. This study is based on the complex relationship between climate parameters projections for Portugal and the known effects of environmental agents on the degradation of renderings. Projections indicate the increase of mean temperature and heat waves, reduction of precipitation and wet days, intensification of rainfall in shorter periods and decrease of wind speed in most of the country. Notwithstanding the projections’ inherent uncertainty, more cracking and fewer stains are expected. Due to the cracking increase, more loss of adhesion is probable. Further research is necessary to assess the risks of intense rainfall events to rendered façades, considering the also projected precipitation decrease.</w:t>
      </w:r>
    </w:p>
    <w:p>
      <w:pPr/>
      <w:r>
        <w:rPr>
          <w:b/>
        </w:rPr>
        <w:t>POSSIBLE 2022:</w:t>
      </w:r>
      <w:r>
        <w:t xml:space="preserve"> Climate Extremes are Becoming More Frequent, Co-occurring, and Persistent in Europe — https://doi.org/10.1007/s44177-022-00022-4</w:t>
      </w:r>
    </w:p>
    <w:p>
      <w:pPr/>
      <w:r>
        <w:rPr>
          <w:b/>
        </w:rPr>
        <w:t>Shared claim-specific concepts:</w:t>
      </w:r>
      <w:r>
        <w:t xml:space="preserve"> climate, four; EU scope visible. This is a provisional connection, not an outcome finding.</w:t>
      </w:r>
    </w:p>
    <w:p>
      <w:pPr>
        <w:pStyle w:val="SourceNote"/>
      </w:pPr>
      <w:r>
        <w:rPr>
          <w:b/>
        </w:rPr>
        <w:t>Available abstract (not full text):</w:t>
      </w:r>
      <w:r>
        <w:t xml:space="preserve"> Abstract With global warming, many climate extremes are becoming more frequent, often co-occurring, or repeatedly occurring in consecutive years. However, only limited studies have investigated these changes of climate extremes together. We study these changes in Europe for the last seven decades (1950–2019) based on 39 climate indices to identify climate extreme hotspots and coldspots. These indices belong to the four climate index groups: cold, heat, drought, and precipitation. Compared to the first half of the study period (1950–1984), most of our study locations faced heat extremes that are more frequent and occurring in consecutive years in the second half (1985–2019). However, the number of cold extremes has decreased in most locations. Simultaneously, some locations, mainly the Mediterranean region, faced an increase in droughts while others, e.g., parts of Eastern Europe and Northern Europe, experienced more intense precipitation. Two or more of these cold, heat, drought, and precipitation extremes have also co-occurred in a few locations of our study area in the same year. Our study highlights that climate extremes are becoming more frequent, co-occurrent, and persistent in Europe. These changes in climate extremes are associated with climate change. Therefore, we could infer that climate change mitigation is crucial for limiting these extremes.</w:t>
      </w:r>
    </w:p>
    <w:p>
      <w:pPr/>
      <w:r>
        <w:rPr>
          <w:b/>
        </w:rPr>
        <w:t>POSSIBLE 2022:</w:t>
      </w:r>
      <w:r>
        <w:t xml:space="preserve"> Climate Change Impact on Peruvian Biomes — https://doi.org/10.3390/f13020238</w:t>
      </w:r>
    </w:p>
    <w:p>
      <w:pPr/>
      <w:r>
        <w:rPr>
          <w:b/>
        </w:rPr>
        <w:t>Shared claim-specific concepts:</w:t>
      </w:r>
      <w:r>
        <w:t xml:space="preserve"> probable, climate; EU scope not established. This is a provisional connection, not an outcome finding.</w:t>
      </w:r>
    </w:p>
    <w:p>
      <w:pPr>
        <w:pStyle w:val="SourceNote"/>
      </w:pPr>
      <w:r>
        <w:rPr>
          <w:b/>
        </w:rPr>
        <w:t>Available abstract (not full text):</w:t>
      </w:r>
      <w:r>
        <w:t xml:space="preserve"> The biodiversity present in Peru will be affected by climatic and anthropogenic changes; therefore, understanding these changes will help generate biodiversity conservation policies. This study analyzes the potential distributions of biomes (B) in Peru under the effects of climate change. The evaluation was carried out using the random forest (RF) method, six bioclimatic variables, and digital topography for the classification of current B in Peru. Subsequently, the calibrated RF model was assimilated to three downscaled regional climate models to project future B distributions for the 2035–2065 horizon. We evaluated possible changes in extension and elevation as well as most susceptible B. Our projections show that future scenarios agreed that 82% of current B coverage will remain stable. Approximately 6% of the study area will change its current conditions to conditions of higher humidity; 4.5% will maintain a stable physiognomy, but with an increase in humidity; and finally, 6% will experience a decrease in humidity but maintain its appearance. Additionally, glaciers and swamps are indicated as the most vulnerable B, with probable losses greater than 50% of their current area. These results demonstrate the need to generate public policies for the adaptation and mitigation of climate effects on B at a national scale.</w:t>
      </w:r>
    </w:p>
    <w:p>
      <w:pPr>
        <w:pStyle w:val="Heading2"/>
      </w:pPr>
      <w:r>
        <w:t>872. Comparison of temperature indices for three IPCC SRES scenarios based on RegCM simulations for Poland in 2011–2030 period</w:t>
      </w:r>
    </w:p>
    <w:p>
      <w:pPr>
        <w:pStyle w:val="SourceNote"/>
      </w:pPr>
      <w:r>
        <w:rPr>
          <w:b/>
        </w:rPr>
        <w:t>Original source (2015):</w:t>
      </w:r>
      <w:r>
        <w:t xml:space="preserve"> https://doi.org/10.1127/metz/2014/0457</w:t>
      </w:r>
    </w:p>
    <w:p>
      <w:pPr/>
      <w:r>
        <w:t>Original wording (abstract; indexed_source_text_not_full_document_verified): The regional climate model RegCM3 is used to investigate potential future changes of temperature indices in Poland for the period 2011–2030.</w:t>
      </w:r>
    </w:p>
    <w:p>
      <w:pPr/>
      <w:r>
        <w:rPr>
          <w:b/>
        </w:rPr>
        <w:t>POSSIBLE 2026:</w:t>
      </w:r>
      <w:r>
        <w:t xml:space="preserve"> European snow cover in the EURO-CORDEX regional climate model ensemble: model evaluation — https://doi.org/10.1007/s00382-026-08343-5</w:t>
      </w:r>
    </w:p>
    <w:p>
      <w:pPr/>
      <w:r>
        <w:rPr>
          <w:b/>
        </w:rPr>
        <w:t>Shared claim-specific concepts:</w:t>
      </w:r>
      <w:r>
        <w:t xml:space="preserve"> regional, climate; EU scope visible. This is a provisional connection, not an outcome finding.</w:t>
      </w:r>
    </w:p>
    <w:p>
      <w:pPr>
        <w:pStyle w:val="SourceNote"/>
      </w:pPr>
      <w:r>
        <w:rPr>
          <w:b/>
        </w:rPr>
        <w:t>Available abstract (not full text):</w:t>
      </w:r>
      <w:r>
        <w:t xml:space="preserve"> Abstract The EURO-CORDEX initiative provides a comprehensive set of regional climate simulations for the present and future European climate. We assess how well snow cover, a crucial component of the climate system, is represented in this model ensemble. We consider output from 11 regional climate models (RCMs) at 12 km resolution, driven by ERA-Interim and 10 different general circulation models, and compare it with model- and remote-sensing-based reference data sets for the periods 1990–2008 and 1985–2008, respectively. Elevation-resolved evaluations for four mountainous regions indicate that for mean winter snow water equivalent (SWE), the reanalysis-driven RCM ensemble mean agrees well with reference data. However, model spread becomes substantial (ca. ± 50%) at the highest elevations of the regions. For the number of snow-covered days (SCD), the agreement of individual models with reference data is generally better. With GCM-forcing, simulated mean winter SWE and SCD biases are typically larger in all regions except for Scandinavia. Part of this bias can likely be attributed to an overestimation of winter precipitation in the RCM runs. The analysis also reveals that some models indicate perennial snow accumulation at much lower elevations than suggested by proxy data. This bias is likely related to inaccuracies in atmospheric forcing (aforementioned precipitation biases) a</w:t>
      </w:r>
    </w:p>
    <w:p>
      <w:pPr/>
      <w:r>
        <w:rPr>
          <w:b/>
        </w:rPr>
        <w:t>POSSIBLE 2026:</w:t>
      </w:r>
      <w:r>
        <w:t xml:space="preserve"> Intercomparison of a Regional Climate Model Ensemble for Selected European Catchments — https://doi.org/10.1002/joc.70554</w:t>
      </w:r>
    </w:p>
    <w:p>
      <w:pPr/>
      <w:r>
        <w:rPr>
          <w:b/>
        </w:rPr>
        <w:t>Shared claim-specific concepts:</w:t>
      </w:r>
      <w:r>
        <w:t xml:space="preserve"> regional, climate, temperature, period; EU scope visible. This is a provisional connection, not an outcome finding.</w:t>
      </w:r>
    </w:p>
    <w:p>
      <w:pPr>
        <w:pStyle w:val="SourceNote"/>
      </w:pPr>
      <w:r>
        <w:rPr>
          <w:b/>
        </w:rPr>
        <w:t>Available abstract (not full text):</w:t>
      </w:r>
      <w:r>
        <w:t xml:space="preserve"> ABSTRACT Understanding regional hydroclimatic variability and its drivers is essential to anticipate the impacts of climate change on water resources and sustainability. Yet, considerable uncertainty remains in the simulation of the coupled land–atmosphere water and energy cycles, largely due to structural model limitations, simplified process representations, and insufficient spatial resolution. Within the framework of the Collaborative Research Centre 1502 (CRC1502), this study presents a coordinated intercomparison of regional climate model simulations designed for water cycle process analysis over Europe. We analyse the performance of simulations using the ICON and TSMP1 model systems and covering the period 1990–2020, comparing against reference datasets (E‐OBS, GPCC, and GLEAM). We focus on 2‐m air temperature, precipitation and evapotranspiration over four representative basins—the Ebro, Po, Rhine, and Tisa—within the EURO‐CORDEX domain. Our analysis reveals systematic cold biases throughout most of Europe, with ICON generally outperforming TSMP1. ICON simulations exhibit heterogeneous performance in precipitation biases, with less overestimation than TSMP1, but still reflecting the persistent challenge of accurately simulating precipitation. TSMP1 and ICON generally agree on positive ET biases in southern and western Europe and negative biases in the north and east, wit</w:t>
      </w:r>
    </w:p>
    <w:p>
      <w:pPr/>
      <w:r>
        <w:rPr>
          <w:b/>
        </w:rPr>
        <w:t>POSSIBLE 2025:</w:t>
      </w:r>
      <w:r>
        <w:t xml:space="preserve"> Investigating the future urban climates of European cities using an ensemble of convection permitting regional climate models — https://doi.org/10.5194/egusphere-egu25-1307</w:t>
      </w:r>
    </w:p>
    <w:p>
      <w:pPr/>
      <w:r>
        <w:rPr>
          <w:b/>
        </w:rPr>
        <w:t>Shared claim-specific concepts:</w:t>
      </w:r>
      <w:r>
        <w:t xml:space="preserve"> regional, climate, used, potential, temperature; EU scope visible. This is a provisional connection, not an outcome finding.</w:t>
      </w:r>
    </w:p>
    <w:p>
      <w:pPr>
        <w:pStyle w:val="SourceNote"/>
      </w:pPr>
      <w:r>
        <w:rPr>
          <w:b/>
        </w:rPr>
        <w:t>Available abstract (not full text):</w:t>
      </w:r>
      <w:r>
        <w:t xml:space="preserve"> Urban areas modify natural land surfaces through the artificialization and sealing of surfaces, which has an impact on their exchanges of energy, water and momentum with the atmosphere. These modifications create specific meteorological conditions in cities, generally referred to as “urban climate”. The most notable – and most studied – climate effect of urbanisation is the increase in nighttime near surface air temperature, known as the Urban Heat Island (UHI).Future climate change projections are most often derived from Global Climate Models (GCMs), which are downscaled to the regional scale using statistical tools, or by limited-area regional climate models (RCMs). Because of their horizontal resolution, which often remains too coarse, RCMs cannot represent most urban areas adequately and, as a result, little is known about projected changes in UHIs in the future. A few studies have examined the projected evolution of UHIs in the context of climate change using different approaches ranging from GCMs and RCMs to high-resolution land surface models, but with little agreement between studies and great sensitivity to the city analyzed, its climate and, more particularly, the downscaling approach used.The latest generation of RCMs, known as Convection Permitting Regional Climate Models (CPMs), now reach horizontal resolutions of the order of a few kilometers, and can be coupled w</w:t>
      </w:r>
    </w:p>
    <w:p>
      <w:pPr/>
      <w:r>
        <w:rPr>
          <w:b/>
        </w:rPr>
        <w:t>POSSIBLE 2025:</w:t>
      </w:r>
      <w:r>
        <w:t xml:space="preserve"> Urban-rural climate representation in convection-permitting regional climate model simulation in Europe — https://doi.org/10.5194/egusphere-egu25-16910</w:t>
      </w:r>
    </w:p>
    <w:p>
      <w:pPr/>
      <w:r>
        <w:rPr>
          <w:b/>
        </w:rPr>
        <w:t>Shared claim-specific concepts:</w:t>
      </w:r>
      <w:r>
        <w:t xml:space="preserve"> regional, climate; EU scope visible. This is a provisional connection, not an outcome finding.</w:t>
      </w:r>
    </w:p>
    <w:p>
      <w:pPr>
        <w:pStyle w:val="SourceNote"/>
      </w:pPr>
      <w:r>
        <w:rPr>
          <w:b/>
        </w:rPr>
        <w:t>Available abstract (not full text):</w:t>
      </w:r>
      <w:r>
        <w:t xml:space="preserve"> The representation of complex urban environments and their climates highlights a key advancement in present-day regional climate modeling. City climates differ from their surrounding regional climates in various ways, e.g., through increased temperatures and reduced evapotranspiration. The development of convection-permitting regional climate model (CPRCM) simulations allow us to resolve urban areas and their climatic phenomena, such as the urban heat island effect, in contrast to their rural surroundings more precisely. However, with increasing resolution, the complex terrain and characteristics of cities must be adequately represented.The EU Horizon project Impetus4Change (https://impetus4change.eu) aims to improve the quality, accessibility and usability of near-term climate information and services at local to regional scales. The project utilises dynamically downscaled regional climate models (RCMs) to produce very high-resolution (3 km) simulations for urban areas across Europe. To achieve this, we integrate the Town Energy Balance model (TEB; Masson, 2000), a single-layer urban canopy model, into the RCM REMO to simulate urban climates and urban-rural interactions under transient climate change conditions.Compared to a previously bulk urban form in REMO, TEB introduces distinctive urban features, such as an urban canyon with roofs, walls and roads. This allows for a more</w:t>
      </w:r>
    </w:p>
    <w:p>
      <w:pPr/>
      <w:r>
        <w:rPr>
          <w:b/>
        </w:rPr>
        <w:t>POSSIBLE 2024:</w:t>
      </w:r>
      <w:r>
        <w:t xml:space="preserve"> The impact of lakes on the European climate as simulated by a regional climate model — https://doi.org/10.60910/3pj6-v2hf</w:t>
      </w:r>
    </w:p>
    <w:p>
      <w:pPr/>
      <w:r>
        <w:rPr>
          <w:b/>
        </w:rPr>
        <w:t>Shared claim-specific concepts:</w:t>
      </w:r>
      <w:r>
        <w:t xml:space="preserve"> regional, climate, temperature; EU scope visible. This is a provisional connection, not an outcome finding.</w:t>
      </w:r>
    </w:p>
    <w:p>
      <w:pPr>
        <w:pStyle w:val="SourceNote"/>
      </w:pPr>
      <w:r>
        <w:rPr>
          <w:b/>
        </w:rPr>
        <w:t>Available abstract (not full text):</w:t>
      </w:r>
      <w:r>
        <w:t xml:space="preserve"> The impact of lakes on the European climate is considered by analysing two 30-year regional climate model (RCM) simulations.The RCM applied is the Rossby Centre regional climate model RCA3.5.A simulation where all lakes in the model domain are replaced by land surface is compared with a simulation where the effect of lakes is accounted for through the use of the lake model FLake coupled to RCA.The difference in 2m open-land air temperature between the two simulations shows that lakes induce a warming on the European climate for all seasons.The greatest impact is seen during autumn and winter over southern Finland and western Russia where the warming exceeds 1 °C.Locally, e.g. over southern Finland and over Lake Ladoga, the convective precipitation is enhanced by 20%-40% during late summer and early autumn while it is reduced by more than 70% over Lake Ladoga during early summer.</w:t>
      </w:r>
    </w:p>
    <w:p>
      <w:pPr/>
      <w:r>
        <w:rPr>
          <w:b/>
        </w:rPr>
        <w:t>POSSIBLE 2024:</w:t>
      </w:r>
      <w:r>
        <w:t xml:space="preserve"> Changes in universal thermal climate index from regional climate model projections over European beaches — https://doi.org/10.1016/j.cliser.2024.100447</w:t>
      </w:r>
    </w:p>
    <w:p>
      <w:pPr/>
      <w:r>
        <w:rPr>
          <w:b/>
        </w:rPr>
        <w:t>Shared claim-specific concepts:</w:t>
      </w:r>
      <w:r>
        <w:t xml:space="preserve"> regional, climate, period; EU scope visible. This is a provisional connection, not an outcome finding.</w:t>
      </w:r>
    </w:p>
    <w:p>
      <w:pPr>
        <w:pStyle w:val="SourceNote"/>
      </w:pPr>
      <w:r>
        <w:rPr>
          <w:b/>
        </w:rPr>
        <w:t>Available abstract (not full text):</w:t>
      </w:r>
      <w:r>
        <w:t xml:space="preserve"> Millions of people travel to European beaches making beach tourism the largest tourism sector. Understanding how person’s thermal comfort changes with projected climate change, which is paramount in deciding where and when to visit, can help the tourism sector mitigate risk and identify opportunities. Sustainable adaptation strategies for coastal tourism can be developed for different regional changes. This work calculates the Universal Thermal Comfort Index (UTCI), a comprehensive assessment of the human physiological response to the thermal environment, from an ensemble of regional climate models participating in EURO-CORDEX. Under Representative Concentration Pathways (RCP) 8.5, the ensemble’s projections of the UTCI in the near- and far-future, compared to a historical reference period, show a robust and statistically significant increase across the entire EURO-CORDEX domain. Four popular beach regions in Germany, Italy, France, and Spain show the beach season can be extended - starting earlier and ending later each year. Across the Mediterranean, July and August exhibit, on average, 4 more days of ‘very strong’ heat stress and 1 day of ‘extreme’ heat stress at the end of the century. In accordance with FAIR data science principles, the UTCI calculation is available in the xclim open-source python library.</w:t>
      </w:r>
    </w:p>
    <w:p>
      <w:pPr/>
      <w:r>
        <w:rPr>
          <w:b/>
        </w:rPr>
        <w:t>POSSIBLE 2024:</w:t>
      </w:r>
      <w:r>
        <w:t xml:space="preserve"> High-resolution LGM climate of Europe and the Alpine region using the regional climate model WRF — https://doi.org/10.5194/cp-20-449-2024</w:t>
      </w:r>
    </w:p>
    <w:p>
      <w:pPr/>
      <w:r>
        <w:rPr>
          <w:b/>
        </w:rPr>
        <w:t>Shared claim-specific concepts:</w:t>
      </w:r>
      <w:r>
        <w:t xml:space="preserve"> regional, climate, used, temperature; EU scope visible. This is a provisional connection, not an outcome finding.</w:t>
      </w:r>
    </w:p>
    <w:p>
      <w:pPr>
        <w:pStyle w:val="SourceNote"/>
      </w:pPr>
      <w:r>
        <w:rPr>
          <w:b/>
        </w:rPr>
        <w:t>Available abstract (not full text):</w:t>
      </w:r>
      <w:r>
        <w:t xml:space="preserve"> Abstract. In this study we present a series of sensitivity experiments conducted for the Last Glacial Maximum (LGM, ~21000 years ago) over Europe using the regional climate Weather Research and Forecasting model (WRF). Using a 4 step 2-way nesting approach, we are able to reach a convection-permitting horizontal resolution over the inner part of the study area, covering Central Europe and the Alpine region. The main objective of the paper is to evaluate a model version including a series of new developments better suitable for the simulation of paleo-glacial time slices with respect to the ones employed in former studies. The evaluation of the model is conducted against newly available pollen-based reconstructions of the LGM European climate and takes into account the effect of two main sources of model uncertainty: a different height of continental glaciers at higher latitudes of the northern hemisphere and different land cover. Model results are in good agreement with evidence from the proxies, in particular for temperatures. Importantly, the consideration of different ensemble members for characterizing model uncertainty allows to increase the agreement of the model against the proxy reconstructions that would be obtained when considering a single model realization. The spread of the produced ensemble is relatively small for temperature, beside areas surrounding glaciers in </w:t>
      </w:r>
    </w:p>
    <w:p>
      <w:pPr/>
      <w:r>
        <w:rPr>
          <w:b/>
        </w:rPr>
        <w:t>POSSIBLE 2023:</w:t>
      </w:r>
      <w:r>
        <w:t xml:space="preserve"> Short-term temperature variability in regional climate models in Europe — https://doi.org/10.5194/egusphere-egu23-9447</w:t>
      </w:r>
    </w:p>
    <w:p>
      <w:pPr/>
      <w:r>
        <w:rPr>
          <w:b/>
        </w:rPr>
        <w:t>Shared claim-specific concepts:</w:t>
      </w:r>
      <w:r>
        <w:t xml:space="preserve"> regional, climate, temperature, period; EU scope visible. This is a provisional connection, not an outcome finding.</w:t>
      </w:r>
    </w:p>
    <w:p>
      <w:pPr>
        <w:pStyle w:val="SourceNote"/>
      </w:pPr>
      <w:r>
        <w:rPr>
          <w:b/>
        </w:rPr>
        <w:t>Available abstract (not full text):</w:t>
      </w:r>
      <w:r>
        <w:t xml:space="preserve"> While long-term changes in mean values and extremes of temperature have been analysed from all possible points of view, changes in temperature variability have received far less attention. Trends in variability are, however, important, among others because their interaction with trends in mean values determines the degree with which extremes would change. For a reliable estimation of future changes of variability, it is therefore crucial that climate models simulate its characteristics correctly. This contribution presents the analysis of 4 short-term (i.e. intra-seasonal) variability measures of daily mean temperature in outputs of regional climate models driven by a reanalysis. The utilized measures of variability are standard deviation, the range between the 90th and 10th quantile, one-day lagged temporal autocorrelation, and mean absolute value of day-to-day change. The ability of twelve regional climate models from Euro-CORDEX initiative driven by the ERA Interim reanalysis to simulate the temperature variability characteristics was examined over Europe for all climatological seasons in the period from 1989 to 2008. The temperature variability in the RCMs was validated against the driving ERA Interim reanalysis and station data from the ECA&amp;D.</w:t>
      </w:r>
    </w:p>
    <w:p>
      <w:pPr/>
      <w:r>
        <w:rPr>
          <w:b/>
        </w:rPr>
        <w:t>POSSIBLE 2023:</w:t>
      </w:r>
      <w:r>
        <w:t xml:space="preserve"> High-resolution land use and land cover dataset for regional climate modelling: historical and future changes in Europe — https://doi.org/10.5194/essd-15-3819-2023</w:t>
      </w:r>
    </w:p>
    <w:p>
      <w:pPr/>
      <w:r>
        <w:rPr>
          <w:b/>
        </w:rPr>
        <w:t>Shared claim-specific concepts:</w:t>
      </w:r>
      <w:r>
        <w:t xml:space="preserve"> regional, climate, used, investigate, period; EU scope visible. This is a provisional connection, not an outcome finding.</w:t>
      </w:r>
    </w:p>
    <w:p>
      <w:pPr>
        <w:pStyle w:val="SourceNote"/>
      </w:pPr>
      <w:r>
        <w:rPr>
          <w:b/>
        </w:rPr>
        <w:t>Available abstract (not full text):</w:t>
      </w:r>
      <w:r>
        <w:t xml:space="preserve"> Anthropogenic land use and land cover change (LULCC) is a major driver of environmental changes. The biophysical impacts of these changes on the regional climate in Europe are currently being extensively investigated within the World Climate Research Program (WCRP) Coordinated Downscaling Experiment (CORDEX) Flagship Pilot Study (FPS) Land Use and Climate Across Scales (LUCAS)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Land Use and land Cover change (LUC) dataset version 1.1 at 0.1 ∘ resolution for Europe with annual LULC maps from 1950 to 2100 (https://doi.org/10.26050/WDCC/LUC_hist_EU_v1.1, Hoffmann et al., 2022b, https://doi.org/10.26050/WDCC/LUC_future_EU_v1.1, Hoffmann et al., 2022a), which is tailored to use in state-of-the-art RCMs. The plant functional type (PFT) distribution for the year 2015 (i.e. the Modelling human LAND surface Modifications and its feedbacks on local and regional cliMATE – LANDMATE – PFT dataset) is derived from the European Space Agency Climate Change Initiative Land Cover (ESA-CCI LC) dataset. Details on the conversio</w:t>
      </w:r>
    </w:p>
    <w:p>
      <w:pPr/>
      <w:r>
        <w:rPr>
          <w:b/>
        </w:rPr>
        <w:t>POSSIBLE 2023:</w:t>
      </w:r>
      <w:r>
        <w:t xml:space="preserve"> Biasadjusted Regional Climate Model Data for Europe - Temperature — https://doi.org/10.5281/zenodo.7541816</w:t>
      </w:r>
    </w:p>
    <w:p>
      <w:pPr/>
      <w:r>
        <w:rPr>
          <w:b/>
        </w:rPr>
        <w:t>Shared claim-specific concepts:</w:t>
      </w:r>
      <w:r>
        <w:t xml:space="preserve"> regional, climate, used, temperature; EU scope visible. This is a provisional connection, not an outcome finding.</w:t>
      </w:r>
    </w:p>
    <w:p>
      <w:pPr>
        <w:pStyle w:val="SourceNote"/>
      </w:pPr>
      <w:r>
        <w:rPr>
          <w:b/>
        </w:rPr>
        <w:t>Available abstract (not full text):</w:t>
      </w:r>
      <w:r>
        <w:t xml:space="preserve"> This repository contains the bias-adjusted temperature data used in the production of numbers and figures contained in our research article entitled "Climate-based identification of suitable cropping areas for giant reed and reed canary grass on marginal land in central and southern Europe under climate change". Ferdini S., von Cossel M., Wulfmeyer V., Warrach-Sagi K. (2023) Climate-based identification of suitable cropping areas for giant reed and reed canary grass on marginal land in central and southern Europe under climate change. Global Change Biology - Bioenergy.</w:t>
      </w:r>
    </w:p>
    <w:p>
      <w:pPr/>
      <w:r>
        <w:rPr>
          <w:b/>
        </w:rPr>
        <w:t>POSSIBLE 2023:</w:t>
      </w:r>
      <w:r>
        <w:t xml:space="preserve"> Biasadjusted Regional Climate Model Data for Europe - Precipitation — https://doi.org/10.5281/zenodo.7564886</w:t>
      </w:r>
    </w:p>
    <w:p>
      <w:pPr/>
      <w:r>
        <w:rPr>
          <w:b/>
        </w:rPr>
        <w:t>Shared claim-specific concepts:</w:t>
      </w:r>
      <w:r>
        <w:t xml:space="preserve"> regional, climate, used; EU scope visible. This is a provisional connection, not an outcome finding.</w:t>
      </w:r>
    </w:p>
    <w:p>
      <w:pPr>
        <w:pStyle w:val="SourceNote"/>
      </w:pPr>
      <w:r>
        <w:rPr>
          <w:b/>
        </w:rPr>
        <w:t>Available abstract (not full text):</w:t>
      </w:r>
      <w:r>
        <w:t xml:space="preserve"> This repository contains the bias-adjusted precipitation data used in the production of numbers and figures contained in our research article entitled "Climate-based identification of suitable cropping areas for giant reed and reed canary grass on marginal land in central and southern Europe under climate change". Ferdini S., von Cossel M., Wulfmeyer V., Warrach-Sagi K. (2023) Climate-based identification of suitable cropping areas for giant reed and reed canary grass on marginal land in central and southern Europe under climate change. Global Change Biology - Bioenergy.</w:t>
      </w:r>
    </w:p>
    <w:p>
      <w:pPr/>
      <w:r>
        <w:rPr>
          <w:b/>
        </w:rPr>
        <w:t>POSSIBLE 2023:</w:t>
      </w:r>
      <w:r>
        <w:t xml:space="preserve"> Comprehensive dataset assessing extreme winds over Europe in Regional Climate Models — https://doi.org/10.5194/egusphere-egu23-11670</w:t>
      </w:r>
    </w:p>
    <w:p>
      <w:pPr/>
      <w:r>
        <w:rPr>
          <w:b/>
        </w:rPr>
        <w:t>Shared claim-specific concepts:</w:t>
      </w:r>
      <w:r>
        <w:t xml:space="preserve"> regional, climate, used, period; EU scope visible. This is a provisional connection, not an outcome finding.</w:t>
      </w:r>
    </w:p>
    <w:p>
      <w:pPr>
        <w:pStyle w:val="SourceNote"/>
      </w:pPr>
      <w:r>
        <w:rPr>
          <w:b/>
        </w:rPr>
        <w:t>Available abstract (not full text):</w:t>
      </w:r>
      <w:r>
        <w:t xml:space="preserve"> Extreme events cause vast amounts of damage across Europe every year, with heavy rainfall events often causing the greatest loss of life and extreme wind events often causing the greatest financial losses. The accurate projection of the changes in extreme winds will continues to be invaluable for many industries, including insurance, construction, energy, and afforestation. Adaptation planning requires the estimation of how the magnitude and frequency of extreme events, including extreme winds, will vary in the future.Extreme winds were examined in a selection of 15 Euro-CORDEX simulations. The peaks-over-threshold approach was used identify the extreme events based on the fitted Generalized Pareto Distributions (GPD), and maps of 30-year return winds for all locations over Europe were derived. Future changes in the frequency of extreme winds were assessed for Northern, Central, and Sothern Europe for three future periods, being the near, mid, and end of this century. The results show that the frequency of extreme wind events will increase from one period to the next over the 21st century in all three regions of Europe.Recently, a new dataset has been created by extending the analysis to 52 of the Euro-CORDEX simulations, each a unique combination of global and regional model, using both the peaks-over-threshold and annual maxima methods. Since these simulations include multipl</w:t>
      </w:r>
    </w:p>
    <w:p>
      <w:pPr>
        <w:pStyle w:val="Heading2"/>
      </w:pPr>
      <w:r>
        <w:t>873. Consequences of Enduring Low Fertility – A German Case Study. Demographic Projections and Implications for Different Policy Fields</w:t>
      </w:r>
    </w:p>
    <w:p>
      <w:pPr>
        <w:pStyle w:val="SourceNote"/>
      </w:pPr>
      <w:r>
        <w:rPr>
          <w:b/>
        </w:rPr>
        <w:t>Original source (2015):</w:t>
      </w:r>
      <w:r>
        <w:t xml:space="preserve"> https://doi.org/10.12765/cpos-2015-06</w:t>
      </w:r>
    </w:p>
    <w:p>
      <w:pPr/>
      <w:r>
        <w:t>Original wording (abstract; indexed_source_text_not_full_document_verified): Ageing is a more severe problem than shrinking, because the severe changes in the age structure in the social security system that will take place until 2040 apply to most Germans and are inevitable.</w:t>
      </w:r>
    </w:p>
    <w:p>
      <w:pPr/>
      <w:r>
        <w:rPr>
          <w:b/>
        </w:rPr>
        <w:t>POSSIBLE 2026:</w:t>
      </w:r>
      <w:r>
        <w:t xml:space="preserve"> Books: The Golden Rule: Lessons in Living from a Doctor of Ageing — https://doi.org/10.3399/bjgp26x746265</w:t>
      </w:r>
    </w:p>
    <w:p>
      <w:pPr/>
      <w:r>
        <w:rPr>
          <w:b/>
        </w:rPr>
        <w:t>Shared claim-specific concepts:</w:t>
      </w:r>
      <w:r>
        <w:t xml:space="preserve"> ageing, severe, problem, age; EU scope not established. This is a provisional connection, not an outcome finding.</w:t>
      </w:r>
    </w:p>
    <w:p>
      <w:pPr>
        <w:pStyle w:val="SourceNote"/>
      </w:pPr>
      <w:r>
        <w:rPr>
          <w:b/>
        </w:rPr>
        <w:t>Available abstract (not full text):</w:t>
      </w:r>
      <w:r>
        <w:t xml:space="preserve"> Pollock Lucy, 2025. The Golden Rule: Lessons in Living from a Doctor of Ageing. PB: Penguin, 978-1405953245. 352. 10.99. ![Graphic][1] A 90-year-old woman presents with resistant hypertension, already suffering the side effects and interactions of her long list of prescribed medications. Another, following a fall while in residential care, presents with immobility, cardiovascular disease, severe heart failure, cognitive decline, and osteoarthritis. The acute medical admissions are overwhelmed by patients presenting with the dual problem of complexity and advanced age. Do we treat the patient or the condition? How do we decide what is right for the individual patient? Twenty per cent of global health care is of no benefit to the patient, with this figure rising as we age.1 The evidence base for this heterogenous group is non-existent, since the gold standard randomised controlled trial is unlikely to have included people with the interplay of such a plethora of problems. Familiar? Where do we go for guidance? I suggest we turn to the practical wisdom and experience, common sense, and deep understanding of the patient’s perspective that Lucy Pollock so skilfully explores in her latest book. ‘Plan A stay young forever, and Plan B read this book’ is boldly stated on the back cover. Given Plan A is a no go, implement Plan B, as this book comprehensively covers the need to think syst</w:t>
      </w:r>
    </w:p>
    <w:p>
      <w:pPr/>
      <w:r>
        <w:rPr>
          <w:b/>
        </w:rPr>
        <w:t>POSSIBLE 2025:</w:t>
      </w:r>
      <w:r>
        <w:t xml:space="preserve"> Democracy, Ageing, Disability — https://doi.org/10.17454/pam-2811</w:t>
      </w:r>
    </w:p>
    <w:p>
      <w:pPr/>
      <w:r>
        <w:rPr>
          <w:b/>
        </w:rPr>
        <w:t>Shared claim-specific concepts:</w:t>
      </w:r>
      <w:r>
        <w:t xml:space="preserve"> ageing, severe, problem, age; EU scope not established. This is a provisional connection, not an outcome finding.</w:t>
      </w:r>
    </w:p>
    <w:p>
      <w:pPr>
        <w:pStyle w:val="SourceNote"/>
      </w:pPr>
      <w:r>
        <w:rPr>
          <w:b/>
        </w:rPr>
        <w:t>Available abstract (not full text):</w:t>
      </w:r>
      <w:r>
        <w:t xml:space="preserve"> In this paper, we discuss the democratic inclusion of individuals with severe cognitive disabilities and in advanced age with a severe decline of cognitive capacities. Without entering in the question whether the latter condition can be conceptually subsumed in the former, we deem that they present analogous problems from the perspectives of justice. Thus, it is helpful to discuss them together. We specifically comment on the inclusion in democratic processes of individuals that lack a high degree of cognitive capacities. The fundamental problem is present in theories of justice that require such capacities for inclusion of persons as equals in political processes. Such is the demanding deliberative democratic proposal of social contract theories, such as John Rawls’s. Worries of exclusion regard two stages of reasoning about justice. The first is the theoretical stage where decisions are made about which individuals should be included in the scope of justice. Although this stage is shaped around the hypothetical reasoning of reasonable and rational persons, there is no decisive reason to exclude individuals with severe cognitive disabilities as beneficiaries of justice. On the contrary, if commonly shared judgments require such inclusion, then this demand shapes the social contract hypothetical reasoning. There are also no decisive reasons why a deliberative democratic theory </w:t>
      </w:r>
    </w:p>
    <w:p>
      <w:pPr/>
      <w:r>
        <w:rPr>
          <w:b/>
        </w:rPr>
        <w:t>POSSIBLE 2024:</w:t>
      </w:r>
      <w:r>
        <w:t xml:space="preserve"> Changes in the cortical GABAergic inhibitory system with ageing and ageing‐related neurodegenerative diseases — https://doi.org/10.1113/jp285656</w:t>
      </w:r>
    </w:p>
    <w:p>
      <w:pPr/>
      <w:r>
        <w:rPr>
          <w:b/>
        </w:rPr>
        <w:t>Shared claim-specific concepts:</w:t>
      </w:r>
      <w:r>
        <w:t xml:space="preserve"> ageing, system; EU scope not established. This is a provisional connection, not an outcome finding.</w:t>
      </w:r>
    </w:p>
    <w:p>
      <w:pPr>
        <w:pStyle w:val="SourceNote"/>
      </w:pPr>
      <w:r>
        <w:rPr>
          <w:b/>
        </w:rPr>
        <w:t>Available abstract (not full text):</w:t>
      </w:r>
      <w:r>
        <w:t xml:space="preserve"> The human cortical inhibitory system is known to play a vital role for normal brain development, function, and plasticity. GABA is the most prominent inhibitory neurotransmitter in the CNS and is a key regulator not only for motor control and motor learning, but also for cognitive processes. With ageing and many neurodegenerative pathologies, a decline in GABAergic function in several cortical regions together with a reduced ability to task-specifically modulate and increase inhibition in the primary motor cortex has been observed. This decline in intracortical inhibition is associated with impaired motor control but also with diminished motor-cognitive (i.e. dual-tasking) and cognitive performance (e.g. executive functions). Furthermore, more general well-being such as sleep quality, stress resistance or non-specific pain perception are also associated with reduced GABA functioning. The current review highlights the interplay between changes in GABAergic function and changes in motor control, motor-cognitive and cognitive performance associated with healthy ageing, as well as in seniors with neurodegenerative diseases such as mild cognitive impairment. Furthermore, recent evidence highlighting the ability to up- or downregulate cortical inhibition by means of physical exercise programs is presented and discussed.</w:t>
      </w:r>
    </w:p>
    <w:p>
      <w:pPr/>
      <w:r>
        <w:rPr>
          <w:b/>
        </w:rPr>
        <w:t>POSSIBLE 2023:</w:t>
      </w:r>
      <w:r>
        <w:t xml:space="preserve"> Ageing-associated changes in transcriptional elongation influence longevity — https://doi.org/10.1038/s41586-023-05922-y</w:t>
      </w:r>
    </w:p>
    <w:p>
      <w:pPr/>
      <w:r>
        <w:rPr>
          <w:b/>
        </w:rPr>
        <w:t>Shared claim-specific concepts:</w:t>
      </w:r>
      <w:r>
        <w:t xml:space="preserve"> ageing, age; EU scope not established. This is a provisional connection, not an outcome finding.</w:t>
      </w:r>
    </w:p>
    <w:p>
      <w:pPr>
        <w:pStyle w:val="SourceNote"/>
      </w:pPr>
      <w:r>
        <w:rPr>
          <w:b/>
        </w:rPr>
        <w:t>Available abstract (not full text):</w:t>
      </w:r>
      <w:r>
        <w:t xml:space="preserve"> Abstract Physiological homeostasis becomes compromised during ageing, as a result of impairment of cellular processes, including transcription and RNA splicing 1–4 . However, the molecular mechanisms leading to the loss of transcriptional fidelity are so far elusive, as are ways of preventing it. Here we profiled and analysed genome-wide, ageing-related changes in transcriptional processes across different organisms: nematodes, fruitflies, mice, rats and humans. The average transcriptional elongation speed (RNA polymerase II speed) increased with age in all five species. Along with these changes in elongation speed, we observed changes in splicing, including a reduction of unspliced transcripts and the formation of more circular RNAs. Two lifespan-extending interventions, dietary restriction and lowered insulin–IGF signalling, both reversed most of these ageing-related changes. Genetic variants in RNA polymerase II that reduced its speed in worms 5 and flies 6 increased their lifespan. Similarly, reducing the speed of RNA polymerase II by overexpressing histone components, to counter age-associated changes in nucleosome positioning, also extended lifespan in flies and the division potential of human cells. Our findings uncover fundamental molecular mechanisms underlying animal ageing and lifespan-extending interventions, and point to possible preventive measures.</w:t>
      </w:r>
    </w:p>
    <w:p>
      <w:pPr/>
      <w:r>
        <w:rPr>
          <w:b/>
        </w:rPr>
        <w:t>POSSIBLE 2023:</w:t>
      </w:r>
      <w:r>
        <w:t xml:space="preserve"> Ageing as a software design flaw — https://doi.org/10.1186/s13059-023-02888-y</w:t>
      </w:r>
    </w:p>
    <w:p>
      <w:pPr/>
      <w:r>
        <w:rPr>
          <w:b/>
        </w:rPr>
        <w:t>Shared claim-specific concepts:</w:t>
      </w:r>
      <w:r>
        <w:t xml:space="preserve"> ageing, because, age, inevitable; EU scope not established. This is a provisional connection, not an outcome finding.</w:t>
      </w:r>
    </w:p>
    <w:p>
      <w:pPr>
        <w:pStyle w:val="SourceNote"/>
      </w:pPr>
      <w:r>
        <w:rPr>
          <w:b/>
        </w:rPr>
        <w:t>Available abstract (not full text):</w:t>
      </w:r>
      <w:r>
        <w:t xml:space="preserve"> Ageing is inherent to all human beings, yet why we age remains a hotly contested topic. Most mechanistic explanations of ageing posit that ageing is caused by the accumulation of one or more forms of molecular damage. Here, I propose that we age not because of inevitable damage to the hardware but rather because of intrinsic design flaws in the software, defined as the DNA code that orchestrates how a single cell develops into an adult organism. As the developmental software runs, its sequence of events is reflected in shifting cellular epigenetic states. Overall, I suggest that to understand ageing we need to decode our software and the flow of epigenetic information throughout the life course.</w:t>
      </w:r>
    </w:p>
    <w:p>
      <w:pPr/>
      <w:r>
        <w:rPr>
          <w:b/>
        </w:rPr>
        <w:t>POSSIBLE 2023:</w:t>
      </w:r>
      <w:r>
        <w:t xml:space="preserve"> Ageing mediates the association between serum testosterone and severe abdominal aortic calcification — https://doi.org/10.21203/rs.3.rs-3788103/v1</w:t>
      </w:r>
    </w:p>
    <w:p>
      <w:pPr/>
      <w:r>
        <w:rPr>
          <w:b/>
        </w:rPr>
        <w:t>Shared claim-specific concepts:</w:t>
      </w:r>
      <w:r>
        <w:t xml:space="preserve"> ageing, severe, age; EU scope not established. This is a provisional connection, not an outcome finding.</w:t>
      </w:r>
    </w:p>
    <w:p>
      <w:pPr>
        <w:pStyle w:val="SourceNote"/>
      </w:pPr>
      <w:r>
        <w:rPr>
          <w:b/>
        </w:rPr>
        <w:t>Available abstract (not full text):</w:t>
      </w:r>
      <w:r>
        <w:t xml:space="preserve"> Abstract BackgroundAbdominal aortic calcification (AAC) is acknowledged as a significant contributor to cardiovascular morbidity and mortality. However, the association between sex steroid hormones and the AAC is not well defined. PurposeOur study aims to investigate the previously unexplored link between serum sex steroid hormone levels and severe AAC within the National Health and Nutrition Examination Survey (NHANES) cohort, potentially shedding light on innovative treatment approaches. Methods The cross-sectional study utilized data from NHANES conducted between 2013-2014. A total of 1852 participants were included in the study. The severity of AAC was determined using the AAC 24-point scale, also known as the Kauppila calcification score. The serum sex steroid hormones assessed in this study included testosterone, estradiol, and sex hormone binding globulin (SHBG). These hormones were categorized into quintiles for subsequent analysis. Weighted multiple regression analyses were employed to investigate the potential relationship between serum sex steroid hormones and the occurrence of severe AAC. Additionally, subgroup and mediation analyses were conducted to ensure the robustness and validity of the findings. ResultsFor 1852 enrolled individuals, the prevalence of severe AAC stood at 8.00%. Serum sex steroid hormones levels were stratified into quintiles. The average value</w:t>
      </w:r>
    </w:p>
    <w:p>
      <w:pPr/>
      <w:r>
        <w:rPr>
          <w:b/>
        </w:rPr>
        <w:t>POSSIBLE 2021:</w:t>
      </w:r>
      <w:r>
        <w:t xml:space="preserve"> Ageing and ocular problems — https://doi.org/10.1556/2066.2021.00042</w:t>
      </w:r>
    </w:p>
    <w:p>
      <w:pPr/>
      <w:r>
        <w:rPr>
          <w:b/>
        </w:rPr>
        <w:t>Shared claim-specific concepts:</w:t>
      </w:r>
      <w:r>
        <w:t xml:space="preserve"> ageing, problem, system; EU scope not established. This is a provisional connection, not an outcome finding.</w:t>
      </w:r>
    </w:p>
    <w:p>
      <w:pPr>
        <w:pStyle w:val="SourceNote"/>
      </w:pPr>
      <w:r>
        <w:rPr>
          <w:b/>
        </w:rPr>
        <w:t>Available abstract (not full text):</w:t>
      </w:r>
      <w:r>
        <w:t xml:space="preserve"> Abstract Ageing is a common problem in modern societies. Due to sophisticated new methods in medicine, the average life expectancy significantly increased in recent years. 70 is the new 50. The new principles of food intake and processing, more exercise, and less smoking contributed to a health benefits and a longer life span of human kind. Nevertheless, there are the special problems of ageing. Numerous dysfunctions of the body may arise affecting a broad range of organs and the musculoskeletal system. The eye can also be severely affected by ageing. Vision gained more importance recently especially during the COVID-19 pandemic. Elderly people who never used computers before, had to learn computer technology in order to communicate with their family and to accomplish their everyday tasks or pay their bills. Therefore, good near vision has become crucial for elderly people. In this review article the most common ageing problems of the eye, therapies and pathophysiology of ageing processes will be reviewed and discussed. There are physiological problems of ageing and there are ocular pathologies which can be treated efficiently in time to preserve near and far visual acuity.</w:t>
      </w:r>
    </w:p>
    <w:p>
      <w:pPr/>
      <w:r>
        <w:rPr>
          <w:b/>
        </w:rPr>
        <w:t>POSSIBLE 2021:</w:t>
      </w:r>
      <w:r>
        <w:t xml:space="preserve"> The role of the medial prefrontal cortex in cognition, ageing and dementia — https://doi.org/10.1093/braincomms/fcab125</w:t>
      </w:r>
    </w:p>
    <w:p>
      <w:pPr/>
      <w:r>
        <w:rPr>
          <w:b/>
        </w:rPr>
        <w:t>Shared claim-specific concepts:</w:t>
      </w:r>
      <w:r>
        <w:t xml:space="preserve"> ageing; EU scope not established. This is a provisional connection, not an outcome finding.</w:t>
      </w:r>
    </w:p>
    <w:p>
      <w:pPr>
        <w:pStyle w:val="SourceNote"/>
      </w:pPr>
      <w:r>
        <w:rPr>
          <w:b/>
        </w:rPr>
        <w:t>Available abstract (not full text):</w:t>
      </w:r>
      <w:r>
        <w:t xml:space="preserve"> Humans require a plethora of higher cognitive skills to perform executive functions, such as reasoning, planning, language and social interactions, which are regulated predominantly by the prefrontal cortex. The prefrontal cortex comprises the lateral, medial and orbitofrontal regions. In higher primates, the lateral prefrontal cortex is further separated into the respective dorsal and ventral subregions. However, all these regions have variably been implicated in several fronto-subcortical circuits. Dysfunction of these circuits has been highlighted in vascular and other neurocognitive disorders. Recent advances suggest the medial prefrontal cortex plays an important regulatory role in numerous cognitive functions, including attention, inhibitory control, habit formation and working, spatial or long-term memory. The medial prefrontal cortex appears highly interconnected with subcortical regions (thalamus, amygdala and hippocampus) and exerts top-down executive control over various cognitive domains and stimuli. Much of our knowledge comes from rodent models using precise lesions and electrophysiology readouts from specific medial prefrontal cortex locations. Although, anatomical disparities of the rodent medial prefrontal cortex compared to the primate homologue are apparent, current rodent models have effectively implicated the medial prefrontal cortex as a neural substrate o</w:t>
      </w:r>
    </w:p>
    <w:p>
      <w:pPr/>
      <w:r>
        <w:rPr>
          <w:b/>
        </w:rPr>
        <w:t>POSSIBLE 2020:</w:t>
      </w:r>
      <w:r>
        <w:t xml:space="preserve"> Central and Peripheral Neuromuscular Adaptations to Ageing — https://doi.org/10.3390/jcm9030741</w:t>
      </w:r>
    </w:p>
    <w:p>
      <w:pPr/>
      <w:r>
        <w:rPr>
          <w:b/>
        </w:rPr>
        <w:t>Shared claim-specific concepts:</w:t>
      </w:r>
      <w:r>
        <w:t xml:space="preserve"> ageing, severe, system; EU scope not established. This is a provisional connection, not an outcome finding.</w:t>
      </w:r>
    </w:p>
    <w:p>
      <w:pPr>
        <w:pStyle w:val="SourceNote"/>
      </w:pPr>
      <w:r>
        <w:rPr>
          <w:b/>
        </w:rPr>
        <w:t>Available abstract (not full text):</w:t>
      </w:r>
      <w:r>
        <w:t xml:space="preserve"> Ageing is accompanied by a severe muscle function decline presumably caused by structural and functional adaptations at the central and peripheral level. Although researchers have reported an extensive analysis of the alterations involving muscle intrinsic properties, only a limited number of studies have recognised the importance of the central nervous system, and its reorganisation, on neuromuscular decline. Neural changes, such as degeneration of the human cortex and function of spinal circuitry, as well as the remodelling of the neuromuscular junction and motor units, appear to play a fundamental role in muscle quality decay and culminate with considerable impairments in voluntary activation and motor performance. Modern diagnostic techniques have provided indisputable evidence of a structural and morphological rearrangement of the central nervous system during ageing. Nevertheless, there is no clear insight on how such structural reorganisation contributes to the age-related functional decline and whether it is a result of a neural malfunction or serves as a compensatory mechanism to preserve motor control and performance in the elderly population. Combining leading-edge techniques such as high-density surface electromyography (EMG) and improved diagnostic procedures such as functional magnetic resonance imaging (fMRI) or high-resolution electroencephalography (EEG) could </w:t>
      </w:r>
    </w:p>
    <w:p>
      <w:pPr/>
      <w:r>
        <w:rPr>
          <w:b/>
        </w:rPr>
        <w:t>POSSIBLE 2020:</w:t>
      </w:r>
      <w:r>
        <w:t xml:space="preserve"> Influence of NAD+ as an ageing-related immunomodulator on COVID 19 infection: A hypothesis — https://doi.org/10.1016/j.jiph.2020.06.004</w:t>
      </w:r>
    </w:p>
    <w:p>
      <w:pPr/>
      <w:r>
        <w:rPr>
          <w:b/>
        </w:rPr>
        <w:t>Shared claim-specific concepts:</w:t>
      </w:r>
      <w:r>
        <w:t xml:space="preserve"> ageing, severe, because, system; EU scope not established. This is a provisional connection, not an outcome finding.</w:t>
      </w:r>
    </w:p>
    <w:p>
      <w:pPr>
        <w:pStyle w:val="SourceNote"/>
      </w:pPr>
      <w:r>
        <w:rPr>
          <w:b/>
        </w:rPr>
        <w:t>Available abstract (not full text):</w:t>
      </w:r>
      <w:r>
        <w:t xml:space="preserve"> The aging-associated decline of biological functions represents an important contributor to the increase in morbidity and mortality of human beings. Of these biological functions deterioration; there is a significant decline in the heart function, impairments in the lungs gas exchange, and impairments in the immune function. Many alterations in the body humeral and cellular immune response were observed with ageing process: The circulating pro-inflammatory cytokines are increased, the naive lymphocytes are decreased, the numbers of the antigen-presenting cells areelevated and the overall response is impaired. In addition, ageing is associated with a progressive restriction in the telomere length. Telomeres are located at chromosomes ends and play an essential role in preserving chromosome stability. Also, telomere length is very important to the immune system, because of the high sensitivity of the immune cells to the shortening of telomeres. Telomeres shortening adversely affect the immune cells' function and developments. These adverse changes increased the susceptibility for severe infection, risk of hospitalization, and even death. Elderly COVID-19 patients are at a real risk of complications due to impaired immune function, cytokine storm and defective respiratory function. Administration of anti-ageing immunomodulation factors like Nicotinamide Adenine Dinucleotide NAD+ c</w:t>
      </w:r>
    </w:p>
    <w:p>
      <w:pPr/>
      <w:r>
        <w:rPr>
          <w:b/>
        </w:rPr>
        <w:t>POSSIBLE 2019:</w:t>
      </w:r>
      <w:r>
        <w:t xml:space="preserve"> Food Allergies and Ageing — https://doi.org/10.3390/ijms20225580</w:t>
      </w:r>
    </w:p>
    <w:p>
      <w:pPr/>
      <w:r>
        <w:rPr>
          <w:b/>
        </w:rPr>
        <w:t>Shared claim-specific concepts:</w:t>
      </w:r>
      <w:r>
        <w:t xml:space="preserve"> ageing, problem, age, system, until; EU scope not established. This is a provisional connection, not an outcome finding.</w:t>
      </w:r>
    </w:p>
    <w:p>
      <w:pPr>
        <w:pStyle w:val="SourceNote"/>
      </w:pPr>
      <w:r>
        <w:rPr>
          <w:b/>
        </w:rPr>
        <w:t>Available abstract (not full text):</w:t>
      </w:r>
      <w:r>
        <w:t xml:space="preserve"> All over the world, there is an increase in the overall survival of the population and the number of elderly people. The incidence of allergic reactions is also rising worldwide. Until recently, allergies, and in particular food allergies (FAs), was regarded as a pediatric problem, since some of them start in early childhood and may spontaneously disappear in adulthood. It is being discovered that, on the contrary, these problems are increasingly affecting even the elderly. Along with other diseases that are considered characteristics of advanced age, such as cardiovascular, dysmetabolic, autoimmune, neurodegenerative, and oncological diseases, even FAs are increasingly frequent in the elderly. An FA is a pleiomorphic and multifactorial disease, characterized by an abnormal immune response and an impaired gut barrier function. The elderly exhibit distinct FA phenotypes, and diagnosis is difficult due to frequent co-morbidities and uncertainty in the interpretation of in vitro and in vivo tests. Several factors render the elderly susceptible to FAs, including the physiological changes of aging, a decline in gut barrier function, the skewing of adaptive immunity to a Th2 response, dysregulation of innate immune cells, and age-related changes of gut microbiota. Aging is accompanied by a progressive remodeling of immune system functions, leading to an increased pro-inflammatory sta</w:t>
      </w:r>
    </w:p>
    <w:p>
      <w:pPr/>
      <w:r>
        <w:rPr>
          <w:b/>
        </w:rPr>
        <w:t>POSSIBLE 2019:</w:t>
      </w:r>
      <w:r>
        <w:t xml:space="preserve"> Microbiome: Effects of Ageing and Diet — https://doi.org/10.21775/cimb.036.033</w:t>
      </w:r>
    </w:p>
    <w:p>
      <w:pPr/>
      <w:r>
        <w:rPr>
          <w:b/>
        </w:rPr>
        <w:t>Shared claim-specific concepts:</w:t>
      </w:r>
      <w:r>
        <w:t xml:space="preserve"> ageing, age, system, place; EU scope not established. This is a provisional connection, not an outcome finding.</w:t>
      </w:r>
    </w:p>
    <w:p>
      <w:pPr>
        <w:pStyle w:val="SourceNote"/>
      </w:pPr>
      <w:r>
        <w:rPr>
          <w:b/>
        </w:rPr>
        <w:t>Available abstract (not full text):</w:t>
      </w:r>
      <w:r>
        <w:t xml:space="preserve"> The microbial community inhabiting our intestine, known as 'microbiota', and the ensemble of their genomes (microbiome) regulate important functions of the host, being essential for health maintenance. The recent development of next-generation sequencing (NGS) methods has greatly facilitated the study of the microbiota and has contributed to evidence of the strong influence exerted by age and diet. However, the precise way in which the diet and its components modify the functionality of the intestinal microbiome is far from being completely known. Changes in the intestinal microbiota occur during ageing, frequently accompanied by physiological changes of the digestive tract, modification of dietary patterns and impairment of the immune system. Establishing nutritional strategies aiming to counterbalance the specific alterations taking place in the microbiota during ageing would contribute to improved health status in the elderly. This review will analyse changes appearing in the intestinal microbiota from adulthood to old age and their association with dietary patterns and lifestyle factors.</w:t>
      </w:r>
    </w:p>
    <w:p>
      <w:pPr>
        <w:pStyle w:val="Heading2"/>
      </w:pPr>
      <w:r>
        <w:t>874. Developing scenarios for the Norwegian travel industry 2025</w:t>
      </w:r>
    </w:p>
    <w:p>
      <w:pPr>
        <w:pStyle w:val="SourceNote"/>
      </w:pPr>
      <w:r>
        <w:rPr>
          <w:b/>
        </w:rPr>
        <w:t>Original source (2015):</w:t>
      </w:r>
      <w:r>
        <w:t xml:space="preserve"> https://doi.org/10.1108/jtf-12-2014-0018</w:t>
      </w:r>
    </w:p>
    <w:p>
      <w:pPr/>
      <w:r>
        <w:t>Original wording (abstract; indexed_source_text_not_full_document_verified): Accordingly, a common understanding of future drivers and different scenarios for the industry is needed. This resulted in four scenarios: Money Rules, The Urban Diamond, Opportunities for All, and Master Plan.</w:t>
      </w:r>
    </w:p>
    <w:p>
      <w:pPr/>
      <w:r>
        <w:rPr>
          <w:b/>
        </w:rPr>
        <w:t>POSSIBLE 2025:</w:t>
      </w:r>
      <w:r>
        <w:t xml:space="preserve"> The Traditional Understanding of Lawmaking by Appellate Courts — https://doi.org/10.1017/9781009589307.003</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This chapter describes the traditional understanding of the nature of lawmaking by appellate courts in America. Often labeled as formalism, this conception of appellate court lawmaking is understood as being largely objective, highly logical, and fixed in nature. From this perspective, appellate judges were thought, while resolving specific disputes, to be also striving to develop and to refine the existing common law in a given jurisdiction so that it more and more came, over time, to accurately reflect a presumed ideal version of legal regulation. This activity was thought to be very similar in nature to the work of natural sciences when they seek to reconcile specific experimental results with current understandings and thereby move a field of science ever closer to an objectively correct account of the natural world. Accordingly, the ideal version of legal doctrine toward which formalist common law lawmaking aspired was commonly known as the natural law.</w:t>
      </w:r>
    </w:p>
    <w:p>
      <w:pPr/>
      <w:r>
        <w:rPr>
          <w:b/>
        </w:rPr>
        <w:t>POSSIBLE 2025:</w:t>
      </w:r>
      <w:r>
        <w:t xml:space="preserve"> Education–work transition: skill gaps in the construction industry — https://doi.org/10.3389/fbuil.2025.1623609</w:t>
      </w:r>
    </w:p>
    <w:p>
      <w:pPr/>
      <w:r>
        <w:rPr>
          <w:b/>
        </w:rPr>
        <w:t>Shared claim-specific concepts:</w:t>
      </w:r>
      <w:r>
        <w:t xml:space="preserve"> accordingly, common, different, industry, opportunities; EU scope not established. This is a provisional connection, not an outcome finding.</w:t>
      </w:r>
    </w:p>
    <w:p>
      <w:pPr>
        <w:pStyle w:val="SourceNote"/>
      </w:pPr>
      <w:r>
        <w:rPr>
          <w:b/>
        </w:rPr>
        <w:t>Available abstract (not full text):</w:t>
      </w:r>
      <w:r>
        <w:t xml:space="preserve"> This study aimed to assess the skills gap between competency evaluations by employers and the self-perceived competencies of employees within the engineering sector of the construction industry. We also examined the foundational subject matter knowledge of graduate employees and their likelihood of acquiring such knowledge based on different variables like gender, ethnicity, infrastructure quality, and the quality of on-the-job training (OJT). Accordingly, we conducted a cross-sectional survey using a self-administered questionnaire, which was completed by 59 employers and 222 recent graduates. From the perspective of the employers, the findings indicate that the majority of graduates exhibit inadequate proficiency in soft skills, professional competencies, common technical skills, and trade-specific abilities. Furthermore, the graduates demonstrated limited subject matter knowledge, with an average score of only 50.98% on a basic knowledge assessment. The analysis also revealed that graduates with access to high-quality institutional infrastructure and OJT opportunities performed nearly twice as well on the foundational knowledge test compared to those with poorer-quality experiences in these areas. These results highlight the urgent need to revise the technical and vocational education and training (TVET) curriculum as well as strengthen collaborations between training instit</w:t>
      </w:r>
    </w:p>
    <w:p>
      <w:pPr/>
      <w:r>
        <w:rPr>
          <w:b/>
        </w:rPr>
        <w:t>POSSIBLE 2025:</w:t>
      </w:r>
      <w:r>
        <w:t xml:space="preserve"> Understanding Verbal Irony: A Contrastive Analysis of Personal and Informational Common Ground — https://openalex.org/W7112125026</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This study investigates how representations of personal common ground (PCG; viz., close relationships vs. strangers) and informational common ground (ICG; viz., shared world knowledge) interact in shaping a reader’s comprehension of verbal irony in fictional narratives. While previous research has shown that greater familiarity among story characters enhances readers’ comprehension of ironic statements made by the characters (Gibbs, 2000; Kreuz et al., 1999; Kreuz &amp; Link, 2001; Pexman &amp; Zvaigzne, 2004), the interplay between representations of PCG and ICG remains understudied. In this study, we assumed that ICG takes precedence over PCG. Accordingly, we predicted that irony comprehension would be facilitated when ICG was high, even if PCG was low, resulting in faster RTs. Conversely, we expected comprehension to be impeded when ICG was low, even if PCG was high, leading to slower RTs. A main effect of ICG was also expected regardless of PCG, along with an interaction between ICG and PCG across rating measures that would further support irony comprehension. Counter to our predictions, results from two experiments showed that, overall, ironic stories were read faster when PCG was high and ICG was low. In contrast, ironic stories were read more slowly than literal stories when both PCG and ICG were low in experiment 1, and when both were high in experiment 2.</w:t>
      </w:r>
    </w:p>
    <w:p>
      <w:pPr/>
      <w:r>
        <w:rPr>
          <w:b/>
        </w:rPr>
        <w:t>POSSIBLE 2024:</w:t>
      </w:r>
      <w:r>
        <w:t xml:space="preserve"> Understanding and Mitigating Bias in Imaging Artificial Intelligence — https://doi.org/10.1148/rg.230067</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Artificial intelligence (AI) algorithms are prone to bias at multiple stages of model development, with potential for exacerbating health disparities. However, bias in imaging AI is a complex topic that encompasses multiple coexisting definitions. Bias may refer to unequal preference to a person or group owing to preexisting attitudes or beliefs, either intentional or unintentional. However, cognitive bias refers to systematic deviation from objective judgment due to reliance on heuristics, and statistical bias refers to differences between true and expected values, commonly manifesting as systematic error in model prediction (ie, a model with output unrepresentative of real-world conditions). Clinical decisions informed by biased models may lead to patient harm due to action on inaccurate AI results or exacerbate health inequities due to differing performance among patient populations. However, while inequitable bias can harm patients in this context, a mindful approach leveraging equitable bias can address underrepresentation of minority groups or rare diseases. Radiologists should also be aware of bias after AI deployment such as automation bias, or a tendency to agree with automated decisions despite contrary evidence. Understanding common sources of imaging AI bias and the consequences of using biased models can guide preventive measures to mitigate its impact. Accordingly</w:t>
      </w:r>
    </w:p>
    <w:p>
      <w:pPr/>
      <w:r>
        <w:rPr>
          <w:b/>
        </w:rPr>
        <w:t>POSSIBLE 2024:</w:t>
      </w:r>
      <w:r>
        <w:t xml:space="preserve"> The Proxy Advice Industry and Common Owners' Coordination — https://doi.org/10.67929/ecgi-fin-1006-2024</w:t>
      </w:r>
    </w:p>
    <w:p>
      <w:pPr/>
      <w:r>
        <w:rPr>
          <w:b/>
        </w:rPr>
        <w:t>Shared claim-specific concepts:</w:t>
      </w:r>
      <w:r>
        <w:t xml:space="preserve"> common, industry, all; EU scope not established. This is a provisional connection, not an outcome finding.</w:t>
      </w:r>
    </w:p>
    <w:p>
      <w:pPr>
        <w:pStyle w:val="SourceNote"/>
      </w:pPr>
      <w:r>
        <w:rPr>
          <w:b/>
        </w:rPr>
        <w:t>Available abstract (not full text):</w:t>
      </w:r>
      <w:r>
        <w:t xml:space="preserve"> High levels of common ownership may reduce firms’ incentives to compete. The empirical relevance of this concern is controversial, in part because there are no obvious mechanisms for common owners to coordinate their actions. I study a channel, proxy advisors, which may induce such coordination simply by satisfying their fiduciary duty. A single proxy advisor – Institutional Shareholder Services (ISS) – provides advice to 70% of all institutional investors on how to vote at shareholder meetings. I clarify in a theoretical framework how a proxy advisor maximizing client value will promote softer competition for commonly held firms. Combining data on ownership and shareholder meetings for all publicly listed U.S. firms (2003-2017), I find empirical support for the model’s mechanism. In particular, for a firm with higher common ownership, ISS is more likely to i) support director interlocks, ii) support mergers, and iii) oppose managerial incentive contracts that enhances performance-sensitivity.</w:t>
      </w:r>
    </w:p>
    <w:p>
      <w:pPr/>
      <w:r>
        <w:rPr>
          <w:b/>
        </w:rPr>
        <w:t>POSSIBLE 2023:</w:t>
      </w:r>
      <w:r>
        <w:t xml:space="preserve"> Strategy-making: The use and misuse of artifacts to achieve common understanding — https://doi.org/10.1177/23409444231202808</w:t>
      </w:r>
    </w:p>
    <w:p>
      <w:pPr/>
      <w:r>
        <w:rPr>
          <w:b/>
        </w:rPr>
        <w:t>Shared claim-specific concepts:</w:t>
      </w:r>
      <w:r>
        <w:t xml:space="preserve"> common, understanding, different; EU scope not established. This is a provisional connection, not an outcome finding.</w:t>
      </w:r>
    </w:p>
    <w:p>
      <w:pPr>
        <w:pStyle w:val="SourceNote"/>
      </w:pPr>
      <w:r>
        <w:rPr>
          <w:b/>
        </w:rPr>
        <w:t>Available abstract (not full text):</w:t>
      </w:r>
      <w:r>
        <w:t xml:space="preserve"> Strategists intentionally use artifacts to promote their perception of a prudent strategic choice. Separating artifacts and strategists’ intentionality blurs our understanding of how strategy-making unfolds. Our study addresses the dynamics of strategists’ intentionality and their use of artifacts in strategy-making. The study provides empirical evidence that artifacts act as stand-ins for the strategists’ intentionality, used to guide or misused to curb the strategy-making. The implications of our study contribute to the understanding that (1) we can neither assume that the individuals’ intentionality is predictable nor that the involved strategists achieve a common understanding, (2) strategist–artifact relationships are pivotal to align or misalign different strategists’ interests, (3) the mediating role of artifacts is mutable entailing strategists materializing artifacts and adding text and symbols to intentionally manage the strategy-making, and (4) strategists deliberately use many artifacts to reach the intended strategy, not necessarily implementing the optimal strategy choice. JEL CLASSIFICATION: L190</w:t>
      </w:r>
    </w:p>
    <w:p>
      <w:pPr/>
      <w:r>
        <w:rPr>
          <w:b/>
        </w:rPr>
        <w:t>POSSIBLE 2023:</w:t>
      </w:r>
      <w:r>
        <w:t xml:space="preserve"> A Theoretical Discussion of How Common Understanding and Reflection Upon Need for Resources Can Prevent Risks Underlying Social Innovations — https://doi.org/10.1177/00469580231152078</w:t>
      </w:r>
    </w:p>
    <w:p>
      <w:pPr/>
      <w:r>
        <w:rPr>
          <w:b/>
        </w:rPr>
        <w:t>Shared claim-specific concepts:</w:t>
      </w:r>
      <w:r>
        <w:t xml:space="preserve"> common, understanding, different; EU scope not established. This is a provisional connection, not an outcome finding.</w:t>
      </w:r>
    </w:p>
    <w:p>
      <w:pPr>
        <w:pStyle w:val="SourceNote"/>
      </w:pPr>
      <w:r>
        <w:rPr>
          <w:b/>
        </w:rPr>
        <w:t>Available abstract (not full text):</w:t>
      </w:r>
      <w:r>
        <w:t xml:space="preserve"> The welfare state is facing complex challenges. Social innovation is considered as the solution to social challenges and so-called wicked problems, problems in the welfare state that are important, but difficult to solve. This implies being willing to take the risk that is involved when being innovative. A discussion of how different kinds of social innovations carry various risks and how some of these can be prevented, is still limited. This article looks at experiences from previous social innovations and ask what we can learn from them. It elaborates on why social innovation is challenging and what we can do to reduce the risk of failure. The research question is: What risks are at stake in different social innovations, and how can these be prevented? The article highlights risks and issues associated with social or collaborative innovation related to welfare services. It is theoretical and based on innovation theory and previous research, with examples from Norwegian welfare services. The purpose is to explore challenges and risks involved in 4 stereotype versions of social innovation as a result of crossing 2 dimensions of social innovation described above: (a) the degree of novelty and (b) who has initiated the innovation. The article enlightens some aspects of the implementation phase that are important to be aware of if we want to minimize the risk of failure. This conc</w:t>
      </w:r>
    </w:p>
    <w:p>
      <w:pPr/>
      <w:r>
        <w:rPr>
          <w:b/>
        </w:rPr>
        <w:t>POSSIBLE 2023:</w:t>
      </w:r>
      <w:r>
        <w:t xml:space="preserve"> Approach to Reference Models for Building Performance Simulation: Establishing Common Understanding — https://doi.org/10.1007/s42979-023-01696-2</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Abstract In the fields of business process modeling, logistics, and information model development, Reference Models (RMs) have shown to enhance standardization, support the common understanding of terminology and procedures, reduce the modeling efforts and cost through the paradigm “Design by Reuse”, and enable knowledge transfer. Utilizing RMs in Building Performance Simulation (BPS) shows potential to achieve similar benefits. However, there is no universally agreed understanding of RMs. In a previous scientific publication, we provided a comprehensive overview of the diversely interpreted definitions, benefits, and attributes of RMs and related terms. Additionally, to transfer the approach of RMs to BPS, a definition for RMs applicable to BPS has been provided, and the identified RM qualities were matched with BPS’s challenges. However, a sound evaluation of the success of transferring RMs to BPS is lacking. Therefore, this scientific contribution firstly includes the analysis conducted in the previous scientific contribution constituting a common understanding about RMs and their elements for BPS. Secondly, by conducting expert interviews, the applicability and validity of the developed concept of RMs for BPS are surveyed. In total, ten experts (seven BPS experts and three RM experts) evaluated the quality of creating transparency about the understanding of RMs and the leve</w:t>
      </w:r>
    </w:p>
    <w:p>
      <w:pPr/>
      <w:r>
        <w:rPr>
          <w:b/>
        </w:rPr>
        <w:t>POSSIBLE 2023:</w:t>
      </w:r>
      <w:r>
        <w:t xml:space="preserve"> Sfumato as a Metaphor for Creating a Common Understanding in Complex Projects — https://doi.org/10.1007/978-3-031-35163-1_9</w:t>
      </w:r>
    </w:p>
    <w:p>
      <w:pPr/>
      <w:r>
        <w:rPr>
          <w:b/>
        </w:rPr>
        <w:t>Shared claim-specific concepts:</w:t>
      </w:r>
      <w:r>
        <w:t xml:space="preserve"> common, understanding, different; EU scope not established. This is a provisional connection, not an outcome finding.</w:t>
      </w:r>
    </w:p>
    <w:p>
      <w:pPr>
        <w:pStyle w:val="SourceNote"/>
      </w:pPr>
      <w:r>
        <w:rPr>
          <w:b/>
        </w:rPr>
        <w:t>Available abstract (not full text):</w:t>
      </w:r>
      <w:r>
        <w:t xml:space="preserve"> Abstract Sfumato painting technique is proposed as an artistic metaphor for creating a shared understanding about safety and risk in complex safety-critical multi-stakeholder projects. The aim is to illuminate a mindset and suggest approaches for softening potentially detrimental effect of sharp dysfunctional boundaries between and within different project parties, which might impair quality of communication, coordination, and collaboration and impact safety.</w:t>
      </w:r>
    </w:p>
    <w:p>
      <w:pPr/>
      <w:r>
        <w:rPr>
          <w:b/>
        </w:rPr>
        <w:t>POSSIBLE 2023:</w:t>
      </w:r>
      <w:r>
        <w:t xml:space="preserve"> Cognitive and Interactive Mechanisms for Mutual Understanding in Conversation — https://doi.org/10.1093/acrefore/9780190228613.013.134</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Abstract Everyday conversation is, as the term suggests, a frequent and seemingly effortless phenomenon. However, when closely examined, it is seen that the process of achieving mutual understanding in conversation involves both complex social reasoning and finely tuned interactive mechanisms. Referential communication provides an excellent case study for what makes everyday language interactions complex: people recruit an intricate web of cognitive capacities and interactive resources in order to get their message across. In terms of cognitive capacities, reaching mutual understanding in conversation involves social reasoning in order to establish common ground and take into account one’s conversational partner when producing and interpreting utterances. Specifically, people continuously adapt to their conversational partner by keeping track of what information is or is not shared (based on the situational context, preceding discourse, and general knowledge) and adjusting their utterances and interpretations accordingly. In terms of interactive resources, mechanisms that allow us to keep a conversation on track (e.g., backchannels) and the mechanisms that allow us to recover from breakdowns in communication (i.e., repair) contribute to mutual understanding. Specifically, other-initiated repair, a conversational phenomenon that has been documented cross-linguistically and obser</w:t>
      </w:r>
    </w:p>
    <w:p>
      <w:pPr/>
      <w:r>
        <w:rPr>
          <w:b/>
        </w:rPr>
        <w:t>POSSIBLE 2022:</w:t>
      </w:r>
      <w:r>
        <w:t xml:space="preserve"> Understanding common dolphin and Australasian gannet feeding associations from nutritional and ethological perspectives — https://doi.org/10.1093/icesjms/fsac133</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Abstract Prey detection and subsequent capture is considered a major hypothesis to explain feeding associations between common dolphins and Australasian gannets. However, a current lack of insight on nutritional strategies with respect to foraging behaviours of both species has until now, prevented any detailed understanding of this conspecific relationship. Here we combine stomach content analysis (SCA), nutritional composition of prey, a multidimensional nutritional niche framework (MNNF) and videography to provide a holistic dietary, nutritional, and behavioural assessment of the feeding association between dolphins and gannets in the Hauraki Gulf, New Zealand. Dolphins consumed ten prey species, including grey mullet (Mugil cephalus) as the most representative by wet mass (33.4%). Gannets preyed upon six species, with pilchards (Sardinops pilchardus) contributing most of the diet by wet mass (32.4%) to their diet. Both predators jointly preyed upon pilchard, jack mackerel (Trachurus spp.), arrow squid (genus Nototodarus), and anchovy (Engraulis australis). Accordingly, the MNNF revealed a moderate overlap in the prey composition niche (0.42) and realized nutritional niche (0.52) between dolphins and gannets. This suggests that both predators coexist in a similar nutritional space, while simultaneously reducing interspecific competition and maximizing the success of both enc</w:t>
      </w:r>
    </w:p>
    <w:p>
      <w:pPr/>
      <w:r>
        <w:rPr>
          <w:b/>
        </w:rPr>
        <w:t>POSSIBLE 2022:</w:t>
      </w:r>
      <w:r>
        <w:t xml:space="preserve"> A Reference Model for Common Understanding of Capabilities and Skills in Manufacturing — https://doi.org/10.48550/arxiv.2209.09632</w:t>
      </w:r>
    </w:p>
    <w:p>
      <w:pPr/>
      <w:r>
        <w:rPr>
          <w:b/>
        </w:rPr>
        <w:t>Shared claim-specific concepts:</w:t>
      </w:r>
      <w:r>
        <w:t xml:space="preserve"> common, understanding, industry; EU scope not established. This is a provisional connection, not an outcome finding.</w:t>
      </w:r>
    </w:p>
    <w:p>
      <w:pPr>
        <w:pStyle w:val="SourceNote"/>
      </w:pPr>
      <w:r>
        <w:rPr>
          <w:b/>
        </w:rPr>
        <w:t>Available abstract (not full text):</w:t>
      </w:r>
      <w:r>
        <w:t xml:space="preserve"> In manufacturing, many use cases of Industry 4.0 require vendor-neutral and machine-readable information models to describe, implement and execute resource functions. Such models have been researched under the terms capabilities and skills. Standardization of such models is required, but currently not available. This paper presents a reference model developed jointly by members of various organizations in a working group of the Plattform Industrie 4.0. This model covers definitions of most important aspects of capabilities and skills. It can be seen as a basis for further standardization efforts.</w:t>
      </w:r>
    </w:p>
    <w:p>
      <w:pPr>
        <w:pStyle w:val="Heading2"/>
      </w:pPr>
      <w:r>
        <w:t>875. Ecosystem service provision in a changing Europe: adapting to the impacts of combined climate and socio-economic change</w:t>
      </w:r>
    </w:p>
    <w:p>
      <w:pPr>
        <w:pStyle w:val="SourceNote"/>
      </w:pPr>
      <w:r>
        <w:rPr>
          <w:b/>
        </w:rPr>
        <w:t>Original source (2015):</w:t>
      </w:r>
      <w:r>
        <w:t xml:space="preserve"> https://doi.org/10.1007/s10980-014-0148-2</w:t>
      </w:r>
    </w:p>
    <w:p>
      <w:pPr/>
      <w:r>
        <w:t>Original wording (abstract; indexed_source_text_not_full_document_verified): Adaptation options offer significant opportunities, but may necessitate trade-offs between services, particularly between agriculture- and forestry-related services. Integrated assessment enables exploration of interactions and trade-offs between ecosystem services, highlighting the importance of taking account of complex cross-sectoral interactions under different future scenarios of planning adaptation responses.</w:t>
      </w:r>
    </w:p>
    <w:p>
      <w:pPr/>
      <w:r>
        <w:rPr>
          <w:b/>
        </w:rPr>
        <w:t>POSSIBLE 2026:</w:t>
      </w:r>
      <w:r>
        <w:t xml:space="preserve"> The economically optimal mix and timing of coastal adaptation in Europe to 2150 — https://doi.org/10.1038/s41467-026-74042-8</w:t>
      </w:r>
    </w:p>
    <w:p>
      <w:pPr/>
      <w:r>
        <w:rPr>
          <w:b/>
        </w:rPr>
        <w:t>Shared claim-specific concepts:</w:t>
      </w:r>
      <w:r>
        <w:t xml:space="preserve"> adaptation, options, necessitate, between; EU scope visible. This is a provisional connection, not an outcome finding.</w:t>
      </w:r>
    </w:p>
    <w:p>
      <w:pPr>
        <w:pStyle w:val="SourceNote"/>
      </w:pPr>
      <w:r>
        <w:rPr>
          <w:b/>
        </w:rPr>
        <w:t>Available abstract (not full text):</w:t>
      </w:r>
      <w:r>
        <w:t xml:space="preserve"> Coastal adaptation to sea level rise involves combining and sequencing adaptation options into adaptation pathways that include adaptation tipping points, which are moments requiring a switch between options, often due to economic limits. While local case studies show costs depend on the economically optimal timing of actions and adaptation tipping points, this remains unexplored on global and continental scales. We present economically optimal adaptation pathways for Europe's coastal floodplains through 2150. For 95% of the coastline requiring adaptation, the optimal timing for initial actions is immediate due to current economic under-adaptation, a condition in which the costs of additional adaptation are outweighed by the reduction in expected flood damages. By 2150, retreat is economically optimal for 22% of the coastline, incurring lower total costs than protection, which is optimal for 9%. Adaptation tipping points are primarily driven by sea level rise and necessitate a switch from accommodation to either protection or retreat, or from retreat to inland protection combined with retreat in the foreland. Their timing depends on climate change, occurring 32 years earlier under higher climate change scenarios compared to lower ones.</w:t>
      </w:r>
    </w:p>
    <w:p>
      <w:pPr/>
      <w:r>
        <w:rPr>
          <w:b/>
        </w:rPr>
        <w:t>POSSIBLE 2026:</w:t>
      </w:r>
      <w:r>
        <w:t xml:space="preserve"> Developing a cloud-based service offering actionable coastal climate risk and adaptation data across Europe — https://doi.org/10.1016/j.cliser.2026.100678</w:t>
      </w:r>
    </w:p>
    <w:p>
      <w:pPr/>
      <w:r>
        <w:rPr>
          <w:b/>
        </w:rPr>
        <w:t>Shared claim-specific concepts:</w:t>
      </w:r>
      <w:r>
        <w:t xml:space="preserve"> adaptation, options, services, integrated; EU scope visible. This is a provisional connection, not an outcome finding.</w:t>
      </w:r>
    </w:p>
    <w:p>
      <w:pPr>
        <w:pStyle w:val="SourceNote"/>
      </w:pPr>
      <w:r>
        <w:rPr>
          <w:b/>
        </w:rPr>
        <w:t>Available abstract (not full text):</w:t>
      </w:r>
      <w:r>
        <w:t xml:space="preserve"> Coastal zones face increasing climate-driven hazards such as sea-level rise, storm surges, flooding and erosion,threatening infrastructure and ecosystems. Addressing the need for actionable climate information in adaptation planning, wedeveloped an integrated Coastal Climate Services platform for Europe that consolidates sea-level projections, flood and ero-sion maps, exposure data, damage estimates, and adaptation options into a unified, cloud-based service. Co-designed withnational authorities, municipal planners, and infrastructure owners, the platform offers an interactive web viewer for non-experts and a collaborative coding environment for advanced users. It delivers localized, FAIR (Findable, Accessible, Interop-erable, Reusable)-compliant data supporting evidence-based adaptation planning and compliance with European frameworks.By bridging scientific data and operational climate services, this platform enhances climate resilience and informs strategiccoastal risk management across Europe and shows how a broad-scale coastal climate service can be delivered.</w:t>
      </w:r>
    </w:p>
    <w:p>
      <w:pPr/>
      <w:r>
        <w:rPr>
          <w:b/>
        </w:rPr>
        <w:t>POSSIBLE 2026:</w:t>
      </w:r>
      <w:r>
        <w:t xml:space="preserve"> Opportunity windows accelerate action and expand options for climate adaptation in Europe — https://doi.org/10.1038/s43247-026-03332-2</w:t>
      </w:r>
    </w:p>
    <w:p>
      <w:pPr/>
      <w:r>
        <w:rPr>
          <w:b/>
        </w:rPr>
        <w:t>Shared claim-specific concepts:</w:t>
      </w:r>
      <w:r>
        <w:t xml:space="preserve"> adaptation, options, opportunities, but; EU scope visible. This is a provisional connection, not an outcome finding.</w:t>
      </w:r>
    </w:p>
    <w:p>
      <w:pPr>
        <w:pStyle w:val="SourceNote"/>
      </w:pPr>
      <w:r>
        <w:rPr>
          <w:b/>
        </w:rPr>
        <w:t>Available abstract (not full text):</w:t>
      </w:r>
      <w:r>
        <w:t xml:space="preserve"> Abstract Climate adaptation must be intensified globally to keep up with increasing climate change impacts. To date, adaptation is mostly driven by climate risks that need to be reduced and little by opportunities. Here, we identify opportunity windows -i.e. favourable conditions for new or upgraded measures- and discuss how they can help to progress adaptation. We find evidence of past, present and future adaptation opportunity windows throughout Europe. Present and past triggers for opportunity windows include the implementation of EU Directives and post-disaster recovery funds and societal support after floods, droughts and wildfires. Future opportunities relate to aging dams and storm surge barriers. Opportunities also emerge from innovations (e.g. through pilots) which could inform transformative adaptation. Decision-makers can operationalize and seize adaptation opportunities through adaptive pathways planning, but would need to anticipate closing windows.</w:t>
      </w:r>
    </w:p>
    <w:p>
      <w:pPr/>
      <w:r>
        <w:rPr>
          <w:b/>
        </w:rPr>
        <w:t>POSSIBLE 2026:</w:t>
      </w:r>
      <w:r>
        <w:t xml:space="preserve"> Di Fant et al., Opportunity windows accelerate action and expand options for climate adaptation in Europe_Online datasets — https://doi.org/10.6084/m9.figshare.31249858</w:t>
      </w:r>
    </w:p>
    <w:p>
      <w:pPr/>
      <w:r>
        <w:rPr>
          <w:b/>
        </w:rPr>
        <w:t>Shared claim-specific concepts:</w:t>
      </w:r>
      <w:r>
        <w:t xml:space="preserve"> adaptation, options, opportunities; EU scope visible. This is a provisional connection, not an outcome finding.</w:t>
      </w:r>
    </w:p>
    <w:p>
      <w:pPr>
        <w:pStyle w:val="SourceNote"/>
      </w:pPr>
      <w:r>
        <w:rPr>
          <w:b/>
        </w:rPr>
        <w:t>Available abstract (not full text):</w:t>
      </w:r>
      <w:r>
        <w:t xml:space="preserve"> This folder contains the online datasets related to the publication 'Opportunity windows accelerate action and expand options for climate adaptation in Europe' by Di Fant, V., Middelkoop, H., de Bruin, K., Petersen, A-K., van den Hurk, B., and Haasnoot, M. The manuscript is currently under review at Communications Earth and Environment, the preprint is available at: https://doi.org/10.21203/rs.3.rs-7090828/v1 The dataset is made up of two excel files:Online dataset 1: Full list of the identified adaptation opportunity windows, their description and analysis; list of countries in the area of study; distribution of the identified opportunities across countries; and timeline of each adaptation opportunity including (projected) year of opening of opportunity window, any events within the window and year of window closing (for past opportunity windows). This dataset is also the basis for Figures 2, 3, and 4 of the manuscript. Online dataset 2: Full list of analysed dams from the GranD dataset (Lehner et al., 2011) and calculation of time passed since their construction date, including analysis of number and percentage of dams per opportunity type and their distribution across the area of study. This dataset is also the basis for information on maintenance-driven opportunities in Figures 2, 3, and 4 of the manuscript.</w:t>
      </w:r>
    </w:p>
    <w:p>
      <w:pPr/>
      <w:r>
        <w:rPr>
          <w:b/>
        </w:rPr>
        <w:t>POSSIBLE 2026:</w:t>
      </w:r>
      <w:r>
        <w:t xml:space="preserve"> Linking vulnerability and resilience for climate change adaptation: a GeoAI-integrated assessment across Europe — https://doi.org/10.1186/s13717-026-00680-x</w:t>
      </w:r>
    </w:p>
    <w:p>
      <w:pPr/>
      <w:r>
        <w:rPr>
          <w:b/>
        </w:rPr>
        <w:t>Shared claim-specific concepts:</w:t>
      </w:r>
      <w:r>
        <w:t xml:space="preserve"> adaptation, but, integrated, assessment, interactions; EU scope visible. This is a provisional connection, not an outcome finding.</w:t>
      </w:r>
    </w:p>
    <w:p>
      <w:pPr>
        <w:pStyle w:val="SourceNote"/>
      </w:pPr>
      <w:r>
        <w:rPr>
          <w:b/>
        </w:rPr>
        <w:t>Available abstract (not full text):</w:t>
      </w:r>
      <w:r>
        <w:t xml:space="preserve"> Climate change is reshaping key ecological processes such as drought cycles, heat stress, disturbance regimes, and air quality regulation. These changes generate cascading impacts on ecosystems and the human societies that depend on them. There is therefore a pressing need for frameworks that not only map where adaptation is required but also explain why these needs arise. Existing approaches often remain limited: top-down climate scenarios overlook local stressors, multi-criteria decision-making (MCDM) applications suffer from subjectivity, and machine learning models frequently lack interpretability. To address these limitations, this study introduces an integrated framework that combines ecological, climatic, and socio-economic indicators with MCDM, Geographic Artificial Intelligence (GeoAI), and explainable machine learning to provide spatial mapping and a sensitivity-based interpretation of adaptation needs. A Climate Change Adaptation Index (CCAI) was constructed for 1,187 NUTS-3 regions using 44 indicators of vulnerability and resilience, including land surface temperature, burned areas, hydrological stress, demographic sensitivity, renewable energy use, and institutional effectiveness. Fuzzy Analytical Hierarchy Process (F-AHP) was employed to derive factor weights, and SHapley Additive exPlanations (SHAP) was applied to analyse indicator interactions. The findings high</w:t>
      </w:r>
    </w:p>
    <w:p>
      <w:pPr/>
      <w:r>
        <w:rPr>
          <w:b/>
        </w:rPr>
        <w:t>POSSIBLE 2025:</w:t>
      </w:r>
      <w:r>
        <w:t xml:space="preserve"> Translation and Cultural Adaptation to European Portuguese — https://openalex.org/W7113190515</w:t>
      </w:r>
    </w:p>
    <w:p>
      <w:pPr/>
      <w:r>
        <w:rPr>
          <w:b/>
        </w:rPr>
        <w:t>Shared claim-specific concepts:</w:t>
      </w:r>
      <w:r>
        <w:t xml:space="preserve"> adaptation, significant, assessment; EU scope visible. This is a provisional connection, not an outcome finding.</w:t>
      </w:r>
    </w:p>
    <w:p>
      <w:pPr>
        <w:pStyle w:val="SourceNote"/>
      </w:pPr>
      <w:r>
        <w:rPr>
          <w:b/>
        </w:rPr>
        <w:t>Available abstract (not full text):</w:t>
      </w:r>
      <w:r>
        <w:t xml:space="preserve"> Introduction: Visual skills have a significant impact on an infant’s development and participation. In Portugal, although the public health system is organized to support citizens with visual impairment, it lacks translated and culturally adapted assessment tools. Knowing that a comprehensive assessment is crucial for early diagnosis and that it improves an infant’s participation in daily life, the aim of the present article is to present the translation and cultural adaptation of the Participation and Activity Inventory for Children and Youth (0–2 years) into European Portuguese. Methods: To achieve the objective, methodological guidelines were followed, and six different stages were implemented, including translation, synthesis, back translation, revision by an expert committee, pretesting in a representative sample, and submission and appraisal of all written reports by developers to the author’s tool. The whole process was previously approved by an Ethics Committee. Results: A Portuguese version of the Participation and Activity Inventory for Children and Youth (0–2 years) was obtained based on the English version of PAI-CY (0–2 years) with the participation of four independent translators, five experts, and twenty parents filling out the pretest version. The results of the expert committee showed that 99.40% were in favor of the proposed translation. Additionally, the inve</w:t>
      </w:r>
    </w:p>
    <w:p>
      <w:pPr/>
      <w:r>
        <w:rPr>
          <w:b/>
        </w:rPr>
        <w:t>POSSIBLE 2024:</w:t>
      </w:r>
      <w:r>
        <w:t xml:space="preserve"> Adaptation of solar energy in the Global South: Prospects, challenges and opportunities — https://doi.org/10.1016/j.heliyon.2024.e28009</w:t>
      </w:r>
    </w:p>
    <w:p>
      <w:pPr/>
      <w:r>
        <w:rPr>
          <w:b/>
        </w:rPr>
        <w:t>Shared claim-specific concepts:</w:t>
      </w:r>
      <w:r>
        <w:t xml:space="preserve"> adaptation, significant, opportunities, highlighting; EU scope not established. This is a provisional connection, not an outcome finding.</w:t>
      </w:r>
    </w:p>
    <w:p>
      <w:pPr>
        <w:pStyle w:val="SourceNote"/>
      </w:pPr>
      <w:r>
        <w:rPr>
          <w:b/>
        </w:rPr>
        <w:t>Available abstract (not full text):</w:t>
      </w:r>
      <w:r>
        <w:t xml:space="preserve"> The Global South comprising economically disadvantaged regions of the world face various challenges such as limited access to electricity, clean water, industrialization, and food security. Solar energy, as a sustainable and abundant resource, holds great potential to address these challenges. Despite its immense potential, the Global South encounters hurdles related to technology adoption, infrastructure, and financial constraints. This review examines the history, classifications, global statistics, merits, and demerits of solar technology in the Global South. Furthermore, it delves into various applications of solar energy, including extreme environments, residential electricity generation, transportation, and industrial usage in this region. This study concludes by providing new insighths and highlighting the significant role solar energy can play in shaping the future of the Global South if challenges are adequately addressed, and opportunities are embraced.</w:t>
      </w:r>
    </w:p>
    <w:p>
      <w:pPr/>
      <w:r>
        <w:rPr>
          <w:b/>
        </w:rPr>
        <w:t>POSSIBLE 2024:</w:t>
      </w:r>
      <w:r>
        <w:t xml:space="preserve"> Sea Level Rise in Europe: Adaptation measures and decision-making principles — https://doi.org/10.5194/sp-3-slre1-6-2024</w:t>
      </w:r>
    </w:p>
    <w:p>
      <w:pPr/>
      <w:r>
        <w:rPr>
          <w:b/>
        </w:rPr>
        <w:t>Shared claim-specific concepts:</w:t>
      </w:r>
      <w:r>
        <w:t xml:space="preserve"> adaptation, options, integrated, assessment, importance; EU scope visible. This is a provisional connection, not an outcome finding.</w:t>
      </w:r>
    </w:p>
    <w:p>
      <w:pPr>
        <w:pStyle w:val="SourceNote"/>
      </w:pPr>
      <w:r>
        <w:rPr>
          <w:b/>
        </w:rPr>
        <w:t>Available abstract (not full text):</w:t>
      </w:r>
      <w:r>
        <w:t xml:space="preserve"> Abstract. Sea level rise (SLR) will increasingly impact European countries in the coming decades, posing challenges for coastal decision-making and the design and implementation of adaptation measures to address coastal risks. This chapter aims to provide guidance for the design and implementation of adaptation policies in European basins, and does so by, first, assessing the state-of-the-art of SLR adaptation measures in Europe, and second, presenting approaches suitable for supporting coastal adaptation decision making and addressing uncertainty. Assessment of SLR adaptation in Europe is carried out by developing a typology of measures based on the IPCC classification of accommodate, protect, advance, and retreat responses to SLR, supplemented with sub-types measures socio-economic, physical and technological, nature- and ecosystem-based characteristics. Surveying relevant literature measures being implemented in Europe are identified and characterised according to their effectiveness and location within the European sea basins. We find that adaptation strategies on Europe’s coasts constitute a mix of hard and soft measures, planning measures, policy developments, and stakeholder and community engagements. Across all basins, a common theme is the shift towards a combination of traditional engineering solutions with soft measures, including nature-based solutions, integrating </w:t>
      </w:r>
    </w:p>
    <w:p>
      <w:pPr/>
      <w:r>
        <w:rPr>
          <w:b/>
        </w:rPr>
        <w:t>POSSIBLE 2023:</w:t>
      </w:r>
      <w:r>
        <w:t xml:space="preserve"> Platform adaptation to regulation: The case of domestic cleaning in Europe — https://doi.org/10.1177/00221856221146833</w:t>
      </w:r>
    </w:p>
    <w:p>
      <w:pPr/>
      <w:r>
        <w:rPr>
          <w:b/>
        </w:rPr>
        <w:t>Shared claim-specific concepts:</w:t>
      </w:r>
      <w:r>
        <w:t xml:space="preserve"> adaptation, but, services; EU scope visible. This is a provisional connection, not an outcome finding.</w:t>
      </w:r>
    </w:p>
    <w:p>
      <w:pPr>
        <w:pStyle w:val="SourceNote"/>
      </w:pPr>
      <w:r>
        <w:rPr>
          <w:b/>
        </w:rPr>
        <w:t>Available abstract (not full text):</w:t>
      </w:r>
      <w:r>
        <w:t xml:space="preserve"> While online platforms were initially applauded for improving services in a range of sectors, they are currently being criticized for ignoring laws and regulations. We analyse the evolution of Helpling – the largest domestic cleaning platform company in Europe – by focusing on the ways that Helpling has adapted its platform to regulations in five national contexts (France, Germany, Ireland, the Netherlands and the United Kingdom). Using data on changing Terms and Conditions, we show that Helpling initially tried to introduce a single business model across Europe, but quickly started to adapt to national regulatory contexts. Informed by arguments on ‘varieties of capitalism’ in Europe, we base our case study on a comparison of the different national trajectories pursued by Helpling.</w:t>
      </w:r>
    </w:p>
    <w:p>
      <w:pPr/>
      <w:r>
        <w:rPr>
          <w:b/>
        </w:rPr>
        <w:t>POSSIBLE 2023:</w:t>
      </w:r>
      <w:r>
        <w:t xml:space="preserve"> A review of the global climate change impacts, adaptation strategies, and mitigation options in the socio-economic and environmental sectors — https://doi.org/10.56556/jescae.v2i3.587</w:t>
      </w:r>
    </w:p>
    <w:p>
      <w:pPr/>
      <w:r>
        <w:rPr>
          <w:b/>
        </w:rPr>
        <w:t>Shared claim-specific concepts:</w:t>
      </w:r>
      <w:r>
        <w:t xml:space="preserve"> adaptation, options, particularly, ecosystem; EU scope not established. This is a provisional connection, not an outcome finding.</w:t>
      </w:r>
    </w:p>
    <w:p>
      <w:pPr>
        <w:pStyle w:val="SourceNote"/>
      </w:pPr>
      <w:r>
        <w:rPr>
          <w:b/>
        </w:rPr>
        <w:t>Available abstract (not full text):</w:t>
      </w:r>
      <w:r>
        <w:t xml:space="preserve"> Climate change causes long-term weather changes from the tropics to the polls. It is a global threat that strains several sectors. The present study conducts a review analysis that theoretically explores how climatic variability is degrading global sector sustainability. Due to irreversible weather variations, the agricultural sector is particularly vulnerable. In turn, it is disrupting worldwide consumption patterns, especially in countries where agriculture is central to their economy and productivity. Due to shifting optimum temperature ranges, climate change is also increasing biodiversity loss through modifying ecosystem architecture. Climate change increases the risk of food, water, and vector-borne diseases. Antimicrobial resistance, which is developing due to resistant pathogenic infections, is also accelerated by climate change. Climate change also hurts the forestry sector and tourism business. This review examines global socio-economic and environmental climate change mitigation and adaptation strategies and their economic consequences. According to the findings, knotted answerability of resources and laws created in the past to generate progressive climate policy need government involvement for long-term development. Thus, addressing climate change's dire consequences demands global cooperation to maintain world survival.</w:t>
      </w:r>
    </w:p>
    <w:p>
      <w:pPr/>
      <w:r>
        <w:rPr>
          <w:b/>
        </w:rPr>
        <w:t>POSSIBLE 2022:</w:t>
      </w:r>
      <w:r>
        <w:t xml:space="preserve"> Climate services for the railway sector: A synthesis of adaptation information needs in Europe — https://doi.org/10.3389/fclim.2022.968298</w:t>
      </w:r>
    </w:p>
    <w:p>
      <w:pPr/>
      <w:r>
        <w:rPr>
          <w:b/>
        </w:rPr>
        <w:t>Shared claim-specific concepts:</w:t>
      </w:r>
      <w:r>
        <w:t xml:space="preserve"> adaptation, but, services; EU scope visible. This is a provisional connection, not an outcome finding.</w:t>
      </w:r>
    </w:p>
    <w:p>
      <w:pPr>
        <w:pStyle w:val="SourceNote"/>
      </w:pPr>
      <w:r>
        <w:rPr>
          <w:b/>
        </w:rPr>
        <w:t>Available abstract (not full text):</w:t>
      </w:r>
      <w:r>
        <w:t xml:space="preserve"> Given that climate variability and change present unprecedented challenges to the rail sector, efforts to produce relevant climate data/information for climate risk management and adaptive decision making in the rail sector are gaining traction. However, inadequate understanding of climate change impact and information needs raises several concerns for the sector. This paper addressed the question: What climate risk information services are needed to support the adaptation needs of the rail sector? Data from interviews, literature reviews, and workshops were used. The results show that changes in precipitation, temperature, sea-level rise, and thunderstorms are the top drivers of climate risk in the sector. Additionally, the need for tailor-made climate information to manage these changes is in high demand. Although insufficient, rail organizations use special protocols to manage climate risk. Understudied countries have operational and design standards formulated in metrics and codes related to specific critical weather conditions as part of their Natural Hazard Management process. However, desirable adjustments in the standards are currently based on past events rather than future climate conditions. Future climate change information is relevant for medium- to longer-term decisions, strategy, and policymaking. For operational and design standards, weather and climate informat</w:t>
      </w:r>
    </w:p>
    <w:p>
      <w:pPr/>
      <w:r>
        <w:rPr>
          <w:b/>
        </w:rPr>
        <w:t>POSSIBLE 2022:</w:t>
      </w:r>
      <w:r>
        <w:t xml:space="preserve"> Climate change adaptation options to inform planning of agriculture and food systems in The Gambia: A systematic approach for stocktaking — https://doi.org/10.3389/fsufs.2022.834867</w:t>
      </w:r>
    </w:p>
    <w:p>
      <w:pPr/>
      <w:r>
        <w:rPr>
          <w:b/>
        </w:rPr>
        <w:t>Shared claim-specific concepts:</w:t>
      </w:r>
      <w:r>
        <w:t xml:space="preserve"> adaptation, options, assessment, importance; EU scope not established. This is a provisional connection, not an outcome finding.</w:t>
      </w:r>
    </w:p>
    <w:p>
      <w:pPr>
        <w:pStyle w:val="SourceNote"/>
      </w:pPr>
      <w:r>
        <w:rPr>
          <w:b/>
        </w:rPr>
        <w:t>Available abstract (not full text):</w:t>
      </w:r>
      <w:r>
        <w:t xml:space="preserve"> Identifying and assessing adaptation options are key pre-requisite steps to adaptation prioritization and effective adaptation planning. In this paper, we presented a systematic approach for adaptation stocktaking, combining a systematic mapping and an outcome-oriented and evidence-based assessment, illustrated using the case of The Gambia. This study systematically mapped 24 adaptation options that can potentially inform adaptation planning in The Gambia agriculture and food systems and assessed how the identified options contribute to the pillars of Climate-Smart Agriculture. Because of the paucity of evidence sources from The Gambia, we collated evidence from both The Gambia and the West Africa region. We found that many of the documented options, such as climate-resilient crop varieties, crop diversification, climate information use, and weather indexed-based insurance have the potential to increase agricultural productivity and income while building resilience to climate change. While several options, such as soil and water conservation practices can positively contribute to climate change mitigation, others such as manure and inorganic fertilizers can have no or negative impacts on mitigation. Agroforestry practices and System of Rice Intensification have the potential to make a triple impact. The paucity of evidence from The Gambia and the highly contextual and different</w:t>
      </w:r>
    </w:p>
    <w:p>
      <w:pPr>
        <w:pStyle w:val="Heading2"/>
      </w:pPr>
      <w:r>
        <w:t>876. Ensemble flood risk assessment in Europe under high end climate scenarios</w:t>
      </w:r>
    </w:p>
    <w:p>
      <w:pPr>
        <w:pStyle w:val="SourceNote"/>
      </w:pPr>
      <w:r>
        <w:rPr>
          <w:b/>
        </w:rPr>
        <w:t>Original source (2015):</w:t>
      </w:r>
      <w:r>
        <w:t xml:space="preserve"> https://doi.org/10.1016/j.gloenvcha.2015.09.004</w:t>
      </w:r>
    </w:p>
    <w:p>
      <w:pPr/>
      <w:r>
        <w:t>Original wording (abstract; indexed_source_text_not_full_document_verified): When coherent socio-economic development pathways are included in the assessment, central estimates of population annually affected by floods range between 500,000 and 640,000 in 2050, and between 540,000 and 950,000 in 2080, as compared to 216,000 in the current climate. A larger range is foreseen in the annual flood damage, currently of 5.3 B€, which is projected to rise at 20–40 B€ in 2050 and 30–100 B€ in 2080, depending on the future economic growth.</w:t>
      </w:r>
    </w:p>
    <w:p>
      <w:pPr/>
      <w:r>
        <w:rPr>
          <w:b/>
        </w:rPr>
        <w:t>POSSIBLE 2026:</w:t>
      </w:r>
      <w:r>
        <w:t xml:space="preserve"> Uncertainty-aware forecasting of economic and socio-economic inputs for environmental and sustainability indicator assessment — https://doi.org/10.1016/j.indic.2026.101471</w:t>
      </w:r>
    </w:p>
    <w:p>
      <w:pPr/>
      <w:r>
        <w:rPr>
          <w:b/>
        </w:rPr>
        <w:t>Shared claim-specific concepts:</w:t>
      </w:r>
      <w:r>
        <w:t xml:space="preserve"> socio-economic, assessment, estimates; EU scope visible. This is a provisional connection, not an outcome finding.</w:t>
      </w:r>
    </w:p>
    <w:p>
      <w:pPr>
        <w:pStyle w:val="SourceNote"/>
      </w:pPr>
      <w:r>
        <w:rPr>
          <w:b/>
        </w:rPr>
        <w:t>Available abstract (not full text):</w:t>
      </w:r>
      <w:r>
        <w:t xml:space="preserve"> Machine learning and statistical models that forecast environmental and sustainability indicators routinely use economic and socio-economic variables as inputs, yet the field offers no systematic guidance for forecasting these covariates when genuine forward-looking predictions are required. Treating future covariate values as known, as is common practice, produces overconfident predictions by ignoring a substantial and compounding source of uncertainty. This paper benchmarks eight univariate time series forecasting models across thirteen socio-economic and economic variables for thirteen EU member states, spanning measures of human well-being, ecological pressure and demographic and economic resilience. Results show that the Theta model consistently outperforms more complex neural network approaches, a finding confirmed by Friedman and Nemenyi tests. Calibrated prediction intervals show that covariate forecast uncertainty is non-negligible and grows substantially at longer horizons, particularly for volatile economic indicators. A worked example propagates simulated covariate trajectories through a downstream model of Italian municipal solid waste generation, showing that naive point-forecast propagation understates the uncertainty of the resulting sustainability prediction. Variable-specific recommendations and calibrated uncertainty estimates are provided, forming a reproduc</w:t>
      </w:r>
    </w:p>
    <w:p>
      <w:pPr/>
      <w:r>
        <w:rPr>
          <w:b/>
        </w:rPr>
        <w:t>POSSIBLE 2026:</w:t>
      </w:r>
      <w:r>
        <w:t xml:space="preserve"> DIGITAL TRANSFORMATIONS AS A DRIVER OF CHANGES IN SOCIO-ECONOMIC DEVELOPMENT: CONTRADICTORY AND ASYMMETRIC CHARACTER OF DIGITAL DEVELOPMENT AND THE DIGITAL RECONFIGURATION OF ECONOMIC SECURITY — https://doi.org/10.17721/apmv.2026.167.1.197-209</w:t>
      </w:r>
    </w:p>
    <w:p>
      <w:pPr/>
      <w:r>
        <w:rPr>
          <w:b/>
        </w:rPr>
        <w:t>Shared claim-specific concepts:</w:t>
      </w:r>
      <w:r>
        <w:t xml:space="preserve"> socio-economic, between; EU scope not established. This is a provisional connection, not an outcome finding.</w:t>
      </w:r>
    </w:p>
    <w:p>
      <w:pPr>
        <w:pStyle w:val="SourceNote"/>
      </w:pPr>
      <w:r>
        <w:rPr>
          <w:b/>
        </w:rPr>
        <w:t>Available abstract (not full text):</w:t>
      </w:r>
      <w:r>
        <w:t xml:space="preserve"> The purpose of the article is to substantiate the theoretical interpretation of digital transformations as a contradictory and asymmetric driver of socio-economic development that penetrates all traditional dimensions of economic security and converts digital security and cybersecurity into its constitutive mechanisms, and to demonstrate that the balance between strengthening and undermining economic security is determined not by technologies as such but by the configuration of regulatory and institutional frameworks of digital security, cybersecurity, and antimonopoly policy. The article proposes a conceptual framework that interprets digital transformation not as a linear modernization process but as a permanent multi-vector restructuring that penetrates the food, energy, and financial dimensions of economic security from within, transforming them through digital tools and platforms, with the consequence that traditional dimensions of economic security cannot be analytically separated from the digital contour without losing the substance of the analysis. The thesis of the contradictory and asymmetric character of digital development is substantiated, according to which the same technological foundation simultaneously expands the space of market opportunities and produces new forms of concentration of economic power, with benefits concentrated in a narrow circle of actors and </w:t>
      </w:r>
    </w:p>
    <w:p>
      <w:pPr/>
      <w:r>
        <w:rPr>
          <w:b/>
        </w:rPr>
        <w:t>POSSIBLE 2025:</w:t>
      </w:r>
      <w:r>
        <w:t xml:space="preserve"> THE CONTRIBUTION OF SMES ENTREPRENEURSHIP TO SOCIO-ECONOMIC DEVELOPMENT IN TERENGGANU — https://doi.org/10.35631/ijemp.832016</w:t>
      </w:r>
    </w:p>
    <w:p>
      <w:pPr/>
      <w:r>
        <w:rPr>
          <w:b/>
        </w:rPr>
        <w:t>Shared claim-specific concepts:</w:t>
      </w:r>
      <w:r>
        <w:t xml:space="preserve"> socio-economic, central; EU scope not established. This is a provisional connection, not an outcome finding.</w:t>
      </w:r>
    </w:p>
    <w:p>
      <w:pPr>
        <w:pStyle w:val="SourceNote"/>
      </w:pPr>
      <w:r>
        <w:rPr>
          <w:b/>
        </w:rPr>
        <w:t>Available abstract (not full text):</w:t>
      </w:r>
      <w:r>
        <w:t xml:space="preserve"> Small and medium enterprises (SMEs) are widely acknowledged as the backbone of socio-economic development, particularly in emerging regions where they play a vital role in employment generation, poverty alleviation, and cultural preservation. This article explores the contribution of SMEs entrepreneurship to socio-economic development in Terengganu, Malaysia, and critically examines the constraints that limit their growth. By synthesizing recent scholarship, the study situates SME development within five central dimensions: financial accessibility, digital transformation, entrepreneurial capacity, global competitiveness, and inclusivity for women and youth. The analysis demonstrates that SMEs in Terengganu contribute to economic diversification through tourism, fisheries, handicrafts, and cultural industries while reinforcing community resilience and sustaining local identity. Yet persistent barriers such as restricted capital access, uneven digital adoption, skills deficiencies, exposure to global market pressures, and limited inclusivity undermine their potential impact. These challenges are interconnected and require integrated approaches that align institutional reforms with ecosystem-based strategies. Building on this foundation, the article proposes practical suggestions including hybrid financing models, targeted digitalization programs, localized training and mentorship</w:t>
      </w:r>
    </w:p>
    <w:p>
      <w:pPr/>
      <w:r>
        <w:rPr>
          <w:b/>
        </w:rPr>
        <w:t>POSSIBLE 2025:</w:t>
      </w:r>
      <w:r>
        <w:t xml:space="preserve"> SOCIO-ECONOMIC ANALYSIS OF THE SOUTH-WEST OLTENIA DEVELOPMENT REGION — https://openalex.org/W7215541317</w:t>
      </w:r>
    </w:p>
    <w:p>
      <w:pPr/>
      <w:r>
        <w:rPr>
          <w:b/>
        </w:rPr>
        <w:t>Shared claim-specific concepts:</w:t>
      </w:r>
      <w:r>
        <w:t xml:space="preserve"> socio-economic, population; EU scope visible. This is a provisional connection, not an outcome finding.</w:t>
      </w:r>
    </w:p>
    <w:p>
      <w:pPr>
        <w:pStyle w:val="SourceNote"/>
      </w:pPr>
      <w:r>
        <w:rPr>
          <w:b/>
        </w:rPr>
        <w:t>Available abstract (not full text):</w:t>
      </w:r>
      <w:r>
        <w:t xml:space="preserve"> The paper analyzes the socio-economic development level of the South-West Oltenia Development Region, composed of Dolj, Gorj, Mehedinți, Olt, and Vâlcea counties, aiming to identify territorial disparities and strategic priorities for sustainable regional growth. The study’s relevance derives from the region’s strategic location at Romania’s south-western border and from the need to ensure a balanced use of its natural, human, and economic resources. The research methodology relied on official statistical data (National Institute of Statistics, Tempo-Online) for the 2014–2024 period, analyzed through descriptive and comparative methods. Demographic and economic indicators were assessed at both regional and county levels, and the results were presented using tables and graphical representations. Findings reveal a pronounced demographic decline, with a population loss exceeding 75,000 inhabitants and a negative natural growth rate (–10,741), the population density remaining below the national average. The regional GDP reached 108.4 billion RON in 2022, accounting for only 7.8% of Romania’s economy, while GDP per capita (51,826 RON) confirms a low level of economic competitiveness. The regional economy shows a mixed structure – agricultural in the south, energy and industrial in the north – while infrastructure remains insufficiently developed. The conclusions emphasize the need f</w:t>
      </w:r>
    </w:p>
    <w:p>
      <w:pPr/>
      <w:r>
        <w:rPr>
          <w:b/>
        </w:rPr>
        <w:t>POSSIBLE 2025:</w:t>
      </w:r>
      <w:r>
        <w:t xml:space="preserve"> Assessment of Socio-Economic Impacts of Hyperloop Technology on European Trade Routes — https://doi.org/10.3390/economies13030065</w:t>
      </w:r>
    </w:p>
    <w:p>
      <w:pPr/>
      <w:r>
        <w:rPr>
          <w:b/>
        </w:rPr>
        <w:t>Shared claim-specific concepts:</w:t>
      </w:r>
      <w:r>
        <w:t xml:space="preserve"> socio-economic, assessment, compared, current, climate; EU scope visible. This is a provisional connection, not an outcome finding.</w:t>
      </w:r>
    </w:p>
    <w:p>
      <w:pPr>
        <w:pStyle w:val="SourceNote"/>
      </w:pPr>
      <w:r>
        <w:rPr>
          <w:b/>
        </w:rPr>
        <w:t>Available abstract (not full text):</w:t>
      </w:r>
      <w:r>
        <w:t xml:space="preserve"> This study investigates the possible socio-economic impacts of Hyperloop technology on establishing and reshaping EU trade routes. Hyperloop—a novel ultra-high-speed transportation system—demonstrates the capability to achieve supersonic speeds to move cargo and passengers. Delivering goods in a faster and sustainable way could change the existing trade routes and offer new opportunities for the development of international trade. This research focuses on assessing how Hyperloop may influence existing EU trade routes by improving delivery times and reducing energy usage/carbon emissions (these terms will be used interchangeably throughout the paper where both reducing long-terms costs and meeting climate goals are equally impacted by this technology). Further objectives include evaluating potential new trade routes that could emerge due to Hyperloop’s capabilities. In this paper, twelve different scenarios are constructed and compared; these scenarios contain the description of current EU trade routes that could be influenced by Hyperloop and those that could be introduced given the improved delivery times and sustainable business opportunities. The gravity model is proposed and an equation is estimated using the PPML (Poisson Pseudo Maximum Likelihood) method based on Eurostat and IMF open data. Based on the research results, different socio-economic outcomes for different lay</w:t>
      </w:r>
    </w:p>
    <w:p>
      <w:pPr/>
      <w:r>
        <w:rPr>
          <w:b/>
        </w:rPr>
        <w:t>POSSIBLE 2025:</w:t>
      </w:r>
      <w:r>
        <w:t xml:space="preserve"> RURAL TOURISM AS A FACTOR OF SUSTAINABLE SOCIO-ECONOMIC DEVELOPMENT OF RURAL AREAS IN UKRAINE — https://doi.org/10.32782/infrastruct86-38</w:t>
      </w:r>
    </w:p>
    <w:p>
      <w:pPr/>
      <w:r>
        <w:rPr>
          <w:b/>
        </w:rPr>
        <w:t>Shared claim-specific concepts:</w:t>
      </w:r>
      <w:r>
        <w:t xml:space="preserve"> coherent, socio-economic, current; EU scope visible. This is a provisional connection, not an outcome finding.</w:t>
      </w:r>
    </w:p>
    <w:p>
      <w:pPr>
        <w:pStyle w:val="SourceNote"/>
      </w:pPr>
      <w:r>
        <w:rPr>
          <w:b/>
        </w:rPr>
        <w:t>Available abstract (not full text):</w:t>
      </w:r>
      <w:r>
        <w:t xml:space="preserve"> The relevance of the research: the article examines rural tourism as one of the key factors in the sustainable socio-economic development of rural areas in Ukraine. The subject research is the current state, challenges, and prospects for the development of rural tourism in the context of the COVID-19 pandemic, full-scale war, and decentralization processes. The purpose of the study is to analyze the potential of rural tourism as a tool for economic diversification, cultural heritage preservation, employment growth, and the revitalization of rural communities. Research methodology includes general scientific methods of analysis and synthesis, systemic and comparative approaches, as well as the generalization of findings from scientific publications and practical case studies based on domestic and international experiences in organizing rural tourism. The research includes a review of current legislation, strategic documents, and statistical data. The results of the study reveal that rural tourism in Ukraine shows a steadily growing demand among domestic tourists, although its potential is only partially realized due to several constraints. Key factors are insufficient infrastructure, lack of regulatory framework, low level of tourism services digitalization and limited marketing activity. It is shown that the combination of tourism services with local traditions, farming, cultur</w:t>
      </w:r>
    </w:p>
    <w:p>
      <w:pPr/>
      <w:r>
        <w:rPr>
          <w:b/>
        </w:rPr>
        <w:t>POSSIBLE 2024:</w:t>
      </w:r>
      <w:r>
        <w:t xml:space="preserve"> Analysing Rural Development Models Based on Intangible Assets and Socio-Economic Development — https://doi.org/10.3390/su162310613</w:t>
      </w:r>
    </w:p>
    <w:p>
      <w:pPr/>
      <w:r>
        <w:rPr>
          <w:b/>
        </w:rPr>
        <w:t>Shared claim-specific concepts:</w:t>
      </w:r>
      <w:r>
        <w:t xml:space="preserve"> socio-economic, current; EU scope not established. This is a provisional connection, not an outcome finding.</w:t>
      </w:r>
    </w:p>
    <w:p>
      <w:pPr>
        <w:pStyle w:val="SourceNote"/>
      </w:pPr>
      <w:r>
        <w:rPr>
          <w:b/>
        </w:rPr>
        <w:t>Available abstract (not full text):</w:t>
      </w:r>
      <w:r>
        <w:t xml:space="preserve"> Despite the existence of a variety of conceptual approaches to rural development, there is a lack of methods that take into account intangible assets, such as, for example, social capital, leadership, and local identity. A more effective design of the rural development strategy may be achieved by uncovering knowledge regarding the manifestation of various intangible resources. Territorial development policies, both in terms of the level of socio-economic development and the presence of intangible resources in rural areas, are investigated in this study. The main objective is to determine how intangible resources manifest in specific empirical models of development policy for rural settlements. A novel ensemble of indices and indicators of socio-economic development and the manifestation of intangible resources, calculated based on the method of analytical hierarchies and frequency analysis, are provided. These allow for a comprehensive study of the development of rural areas by clustering settlements with a similar level of development. Patterns and deficits of resources in rural settlements are analysed according to empirical models. Verification of the empirical models is carried out by assessing the level of socio-economic development and indicators of intangible resources for 12 rural settlements in the south of Russia. Therefore, several groups of factors of intangible res</w:t>
      </w:r>
    </w:p>
    <w:p>
      <w:pPr/>
      <w:r>
        <w:rPr>
          <w:b/>
        </w:rPr>
        <w:t>POSSIBLE 2024:</w:t>
      </w:r>
      <w:r>
        <w:t xml:space="preserve"> The Impact of Lithuanian Regional Policy on the Level of Socio-Economic Development of Its Regions — https://doi.org/10.15290/sup.2024.08.08</w:t>
      </w:r>
    </w:p>
    <w:p>
      <w:pPr/>
      <w:r>
        <w:rPr>
          <w:b/>
        </w:rPr>
        <w:t>Shared claim-specific concepts:</w:t>
      </w:r>
      <w:r>
        <w:t xml:space="preserve"> socio-economic, currently; EU scope visible. This is a provisional connection, not an outcome finding.</w:t>
      </w:r>
    </w:p>
    <w:p>
      <w:pPr>
        <w:pStyle w:val="SourceNote"/>
      </w:pPr>
      <w:r>
        <w:rPr>
          <w:b/>
        </w:rPr>
        <w:t>Available abstract (not full text):</w:t>
      </w:r>
      <w:r>
        <w:t xml:space="preserve"> Goal – the subject of research in this study is the regional policy of Lithuania, which aims to support the balanced socio-economic development of all regions and cities. Persistent disparities in the development of regions constitute a significant challenge for the national regional policy. The main objective of the research is to demonstrate the importance of Lithuania’s regional policy in reducing the spatial disparities in the country. Research methodology – the following research methods were used to achieve the set goal: analysis of background data, statistical analysis and comparative method. The source of information include the data from Statistics Lithuania (SL), reports of the Ministry of Finance of Lithuania and other analytical studies for the period 2012–20221. Score/results – the authors assumed that regional policy in Lithuania is not very effective in reducing regional polarisation. The results of the conducted research showed persistent interregional differentiation at the county level. The pursuit of achieving socio-economic cohesion is mainly realised through the European Union funds. The planned distribution of these funds under the 2021–2027 multiannual financial framework may result in further consolidation of uneven development at the national level. ‣‣Originality/value – the analysis carried out in the article made it possible to assess the differences </w:t>
      </w:r>
    </w:p>
    <w:p>
      <w:pPr/>
      <w:r>
        <w:rPr>
          <w:b/>
        </w:rPr>
        <w:t>POSSIBLE 2023:</w:t>
      </w:r>
      <w:r>
        <w:t xml:space="preserve"> Harnessing on the potential of migrants in the socio-economic development of the Republic of Moldova — https://doi.org/10.53486/2537-6179.9-1.01</w:t>
      </w:r>
    </w:p>
    <w:p>
      <w:pPr/>
      <w:r>
        <w:rPr>
          <w:b/>
        </w:rPr>
        <w:t>Shared claim-specific concepts:</w:t>
      </w:r>
      <w:r>
        <w:t xml:space="preserve"> socio-economic, population, current, currently; EU scope visible. This is a provisional connection, not an outcome finding.</w:t>
      </w:r>
    </w:p>
    <w:p>
      <w:pPr>
        <w:pStyle w:val="SourceNote"/>
      </w:pPr>
      <w:r>
        <w:rPr>
          <w:b/>
        </w:rPr>
        <w:t>Available abstract (not full text):</w:t>
      </w:r>
      <w:r>
        <w:t xml:space="preserve"> Migration is an important component of the development of the Republic of Moldova at the current stage. The economic and social instability that followed after obtaining political independence in 1991, the inefficiency of reforms in several socio-economic fields, the institutional uncertainty led the population to migrate, this being a strategy to adapt it to the created conjuncture situation. The increase in intensity migration was also influenced by the processes of liberalization of entry and exit procedures from the territory of the Republic of Moldova. Currently, our country represents one of the countries in the world with the largest shares of the migrant working population, as well as the share of remittances in GDP, the effects of migration being felt in all areas of social-economic life in the country. Concern for the support of migrants over time has materialized through the creation of governmental structures with the aim of monitoring and launching various strategies, programs, projects addressed to citizens outside the country's borders. Ensuring the reintegration of returned migrants, after a migratory experience of work or life abroad, is of great importance both for citizens and for the state authorities that have the duty to support emigrant citizens regardless of their options to return or settle in the adoptive country. Through this scientific approach, the </w:t>
      </w:r>
    </w:p>
    <w:p>
      <w:pPr/>
      <w:r>
        <w:rPr>
          <w:b/>
        </w:rPr>
        <w:t>POSSIBLE 2023:</w:t>
      </w:r>
      <w:r>
        <w:t xml:space="preserve"> Working in (Slow) Progress: Socio-Environmental and Economic Dynamics in the Forestry Sector and the Contribution to Sustainable Development in Europe — https://doi.org/10.3390/su151310271</w:t>
      </w:r>
    </w:p>
    <w:p>
      <w:pPr/>
      <w:r>
        <w:rPr>
          <w:b/>
        </w:rPr>
        <w:t>Shared claim-specific concepts:</w:t>
      </w:r>
      <w:r>
        <w:t xml:space="preserve"> coherent, between, climate; EU scope visible. This is a provisional connection, not an outcome finding.</w:t>
      </w:r>
    </w:p>
    <w:p>
      <w:pPr>
        <w:pStyle w:val="SourceNote"/>
      </w:pPr>
      <w:r>
        <w:rPr>
          <w:b/>
        </w:rPr>
        <w:t>Available abstract (not full text):</w:t>
      </w:r>
      <w:r>
        <w:t xml:space="preserve"> Forest ecosystems are increasingly subject to disturbances, such as extreme (climate) events, fires and pathological outbreaks, which exert significant (and still poorly quantified) economic impacts, despite their intrinsic resilience. How forest management addresses these challenges will have profound effects on human health, environmental diversity, (ecological and economic) productivity and the ability of forest ecosystems to recovery from exogenous shocks. Assuming forests as ensuring ecosystem services that are vital to society and human well-being, in addition to providing wood material, a better knowledge of forest ecosystems appears a key requirement to delineate a developmental strategy that guarantees environmental protection objectives and achievement of climate and energy targets. In the context of Sustainable Development Goals of the United Nations 2030 Agenda, the information available on forest management practices in Europe still seems not completely suitable to provide a comprehensive overview of ecosystem conditions, their economic value, and their biodiversity. Based on a literature review, the present contribution focuses on recent dynamics of the forestry sector in Europe, delineating the inherent complexity in the environmental-economic nexus. Additionally, the extensive use of a key natural resource such as wood exerts social implications for local distri</w:t>
      </w:r>
    </w:p>
    <w:p>
      <w:pPr/>
      <w:r>
        <w:rPr>
          <w:b/>
        </w:rPr>
        <w:t>POSSIBLE 2023:</w:t>
      </w:r>
      <w:r>
        <w:t xml:space="preserve"> The role of agriculture in shaping the prospects of socio-economic development of Uzbekistan — https://doi.org/10.48077/scihor11.2023.155</w:t>
      </w:r>
    </w:p>
    <w:p>
      <w:pPr/>
      <w:r>
        <w:rPr>
          <w:b/>
        </w:rPr>
        <w:t>Shared claim-specific concepts:</w:t>
      </w:r>
      <w:r>
        <w:t xml:space="preserve"> socio-economic, population, current; EU scope not established. This is a provisional connection, not an outcome finding.</w:t>
      </w:r>
    </w:p>
    <w:p>
      <w:pPr>
        <w:pStyle w:val="SourceNote"/>
      </w:pPr>
      <w:r>
        <w:rPr>
          <w:b/>
        </w:rPr>
        <w:t>Available abstract (not full text):</w:t>
      </w:r>
      <w:r>
        <w:t xml:space="preserve"> The role of agriculture in ensuring food security, creating jobs, and generating export earnings makes it particularly relevant to analyse the impact of this sector on the socio-economic development of the country. The research aims to analyse and assess the impact of agriculture on the socio-economic development of Uzbekistan. To achieve the goal, the indicators of the agricultural sector and socio-economic development from 2013 to 2022 were analysed. It is established that the natural resources of Uzbekistan play a crucial role in the development of agriculture. The analysis of diversified trends in agriculture emphasises the key role of this sector in the socio-economic progress of the country. Despite the variability, the growth in the share of agricultural land and rural population indicates the still high importance of agriculture. However, the decline in value added in the agricultural, forestry and fisheries sectors, as well as the low growth rate of cereal yields, reflects the current challenges in this area. Rising unemployment rates, as well as changes in exports and inflation rates, point to difficulties in the socioeconomic environment. In this light, the prospects for agricultural development as a key agent in improving the socio-economic situation are particularly important. Effective resource management, productivity improvement, job generation, product promotio</w:t>
      </w:r>
    </w:p>
    <w:p>
      <w:pPr/>
      <w:r>
        <w:rPr>
          <w:b/>
        </w:rPr>
        <w:t>POSSIBLE 2023:</w:t>
      </w:r>
      <w:r>
        <w:t xml:space="preserve"> Interrogating Challenges of Sectarianism, Terrorism and Socio-Economic Development of Nigeria. — https://openalex.org/W7216752277</w:t>
      </w:r>
    </w:p>
    <w:p>
      <w:pPr/>
      <w:r>
        <w:rPr>
          <w:b/>
        </w:rPr>
        <w:t>Shared claim-specific concepts:</w:t>
      </w:r>
      <w:r>
        <w:t xml:space="preserve"> socio-economic, population, current, rise; EU scope not established. This is a provisional connection, not an outcome finding.</w:t>
      </w:r>
    </w:p>
    <w:p>
      <w:pPr>
        <w:pStyle w:val="SourceNote"/>
      </w:pPr>
      <w:r>
        <w:rPr>
          <w:b/>
        </w:rPr>
        <w:t>Available abstract (not full text):</w:t>
      </w:r>
      <w:r>
        <w:t xml:space="preserve"> This paper examined the challenges of sectarian and terrorism crises with special focus on Boko Haram terrorism and its effects on the socio-economic development of Nigeria. Sectarianism and terrorism is a canker worm that has eaten deep into the fabrics of the Nigerian state with its negative implications on the well-being of the people. To achieve this objective, the paper adopted the descriptive design as a basis of analysis. The paper also employed the State Failure theory as a framework of analysis. The choice of this theory is in line with the inability of the Nigeria state to address the seemingly intractable sectarian and most recently, the Boko-Haram crisis which has threatened her corporate existence over the years. There exist several religions in Nigeria and many of them are exploited for political gains. Within the last couple of decades, Nigeria has witnessed astronomical rise in the number of radical Islamic sects notably among them, Maitasine, Darul Islam, and Boko Haram. These sects have resorted to the use of violence in a bid to realize their ambitions of a wider islamization of the Nigerian population. Three of the most prominent perspectives shared on the rise of these radical movements are: poor socio-economic infrastructures and poor governance, poverty and aiding of religious extremism by politicians for their selfish ambition. This study reveals that wh</w:t>
      </w:r>
    </w:p>
    <w:p>
      <w:pPr>
        <w:pStyle w:val="Heading2"/>
      </w:pPr>
      <w:r>
        <w:t>877. Futurescapes: expectations in Europe for relative effectiveness evidence for drugs in 2020</w:t>
      </w:r>
    </w:p>
    <w:p>
      <w:pPr>
        <w:pStyle w:val="SourceNote"/>
      </w:pPr>
      <w:r>
        <w:rPr>
          <w:b/>
        </w:rPr>
        <w:t>Original source (2015):</w:t>
      </w:r>
      <w:r>
        <w:t xml:space="preserve"> https://doi.org/10.2217/cer.15.7</w:t>
      </w:r>
    </w:p>
    <w:p>
      <w:pPr/>
      <w:r>
        <w:t>Original wording (abstract; indexed_source_text_not_full_document_verified): The most likely scenario entailed some change with postlaunch regulatory studies driving the likely nature of RE evidence generated.</w:t>
      </w:r>
    </w:p>
    <w:p>
      <w:pPr/>
      <w:r>
        <w:rPr>
          <w:b/>
        </w:rPr>
        <w:t>POSSIBLE 2025:</w:t>
      </w:r>
      <w:r>
        <w:t xml:space="preserve"> Seasonal Climate Change in Europe Over the Last Thousand Years as a Social Challenge — https://doi.org/10.1093/acrefore/9780190228620.013.980</w:t>
      </w:r>
    </w:p>
    <w:p>
      <w:pPr/>
      <w:r>
        <w:rPr>
          <w:b/>
        </w:rPr>
        <w:t>Shared claim-specific concepts:</w:t>
      </w:r>
      <w:r>
        <w:t xml:space="preserve"> likely, entailed; EU scope visible. This is a provisional connection, not an outcome finding.</w:t>
      </w:r>
    </w:p>
    <w:p>
      <w:pPr>
        <w:pStyle w:val="SourceNote"/>
      </w:pPr>
      <w:r>
        <w:rPr>
          <w:b/>
        </w:rPr>
        <w:t>Available abstract (not full text):</w:t>
      </w:r>
      <w:r>
        <w:t xml:space="preserve"> Abstract This is likely the first time that a climatologist and a historian have jointly written a book about seasonal temperature conditions and their societal impact. Together, they reconstructed and climatologically interpreted weather reports in historical documents. Results were compared with population trends. Narrative reports often include proxy data such as plant development and reports about ice and snow cover. From this information, a seven-level temperature index is obtained for statistically estimating seasonal and annual temperature conditions. Before the 20th century, changes in the Earth’s orbital motion significantly influenced the millennial-scale decline in annual temperatures since the mid-Holocene, with a low point in the 19th century. Without the use of fossil fuels, the 20th century would have been even colder than the late 19th century. At the decadal to secular time scale, temperature fluctuations before the massive increase in greenhouse gases in the 20th century were mainly influenced by groups of volcanic eruptions, fluctuations in solar activity, and the internal (stochastic) system variability of the climate system. Winters were cold throughout the millennium. Summers were mostly balanced, disregarding a high number of warm summers in the 13th century, which allowed figs and olives to ripen in the Cologne area. The anthropogenic long-term rise in a</w:t>
      </w:r>
    </w:p>
    <w:p>
      <w:pPr/>
      <w:r>
        <w:rPr>
          <w:b/>
        </w:rPr>
        <w:t>POSSIBLE 2023:</w:t>
      </w:r>
      <w:r>
        <w:t xml:space="preserve"> A Governance Analysis of BEFIT: How the Member States’ Wish to Obtain more Regulatory Authority is Driving a Revolution — https://doi.org/10.54648/ecta2023025</w:t>
      </w:r>
    </w:p>
    <w:p>
      <w:pPr/>
      <w:r>
        <w:rPr>
          <w:b/>
        </w:rPr>
        <w:t>Shared claim-specific concepts:</w:t>
      </w:r>
      <w:r>
        <w:t xml:space="preserve"> regulatory, driving; EU scope visible. This is a provisional connection, not an outcome finding.</w:t>
      </w:r>
    </w:p>
    <w:p>
      <w:pPr>
        <w:pStyle w:val="SourceNote"/>
      </w:pPr>
      <w:r>
        <w:rPr>
          <w:b/>
        </w:rPr>
        <w:t>Available abstract (not full text):</w:t>
      </w:r>
      <w:r>
        <w:t xml:space="preserve"> This contribution analyses the ongoing BEFIT proposal (Business in Europe: Framework for Income Taxation) of the EC (European Commission) from a governance perspective. For this matter, it considers the proposed replacement of the arm’s length standard with a system of unitary taxation and formulary apportionment (FA) as a changing regulation strategy to tax multinational companies. It argues that the BEFIT proposal indicates a change from a reflexive regulation strategy to a command and control regulation strategy. The future approval of this proposal would imply that the Member States no longer want to count on the relative freedom of taxpayers to allocate profits, but attempt to take full responsibility for that allocation instead. This contribution concludes that this wish of the Member States to obtain more regulatory authority to tax multinational companies is the catalyst of the ongoing BEFIT revolution. BEFIT, harmonization, transfer pricing, arm’s length principle, formulary apportionment, unitary taxation, regulatory authority</w:t>
      </w:r>
    </w:p>
    <w:p>
      <w:pPr>
        <w:pStyle w:val="Heading2"/>
      </w:pPr>
      <w:r>
        <w:t>878. How far away is hydrogen? Its role in the medium and long-term decarbonisation of the European energy system</w:t>
      </w:r>
    </w:p>
    <w:p>
      <w:pPr>
        <w:pStyle w:val="SourceNote"/>
      </w:pPr>
      <w:r>
        <w:rPr>
          <w:b/>
        </w:rPr>
        <w:t>Original source (2015):</w:t>
      </w:r>
      <w:r>
        <w:t xml:space="preserve"> https://doi.org/10.1016/j.ijhydene.2015.09.004</w:t>
      </w:r>
    </w:p>
    <w:p>
      <w:pPr/>
      <w:r>
        <w:t>Original wording (abstract; indexed_source_text_not_full_document_verified): In this paper, the JRC-EU-TIMES model – a bottom-up, technology-rich model of the EU28 energy system – is used to assess the role of hydrogen in a future decarbonised Europe under two climate scenarios, current policy initiative (CPI) and long-term decarbonisation (CAP). Our results indicate that hydrogen could become a viable option already in 2030 – however, a long-term CO 2 cap is needed to sustain the transition.</w:t>
      </w:r>
    </w:p>
    <w:p>
      <w:pPr/>
      <w:r>
        <w:rPr>
          <w:b/>
        </w:rPr>
        <w:t>POSSIBLE 2026:</w:t>
      </w:r>
      <w:r>
        <w:t xml:space="preserve"> JRC Statistical Audit of the Quality of Life index — https://doi.org/10.2760/3318126</w:t>
      </w:r>
    </w:p>
    <w:p>
      <w:pPr/>
      <w:r>
        <w:rPr>
          <w:b/>
        </w:rPr>
        <w:t>Shared claim-specific concepts:</w:t>
      </w:r>
      <w:r>
        <w:t xml:space="preserve"> two, initiative; EU scope not established. This is a provisional connection, not an outcome finding.</w:t>
      </w:r>
    </w:p>
    <w:p>
      <w:pPr>
        <w:pStyle w:val="SourceNote"/>
      </w:pPr>
      <w:r>
        <w:rPr>
          <w:b/>
        </w:rPr>
        <w:t>Available abstract (not full text):</w:t>
      </w:r>
      <w:r>
        <w:t xml:space="preserve"> The JRC-COIN statistical audit finds that the Human Rights Measurement Initiative’s income-adjusted Quality of Life (QoL) Index rests on a strong and transparent methodological foundation and provides a credible basis for comparing countries’ performance on economic and social rights. Covering 18 indicators across five pillars and two income-specific indicator sets, the audit successfully reproduced the published results, found generally satisfactory data quality and correlation patterns, and showed that most indicators carry meaningful information into the overall index. Some weaker links remain, in the Health, Housing and Food dimensions and in the education-quality indicator for low- and middle-income countries. Sensitivity and uncertainty analysis based on 4 000 alternative model runs shows that the index is robust overall: 78 % of low- and middle-income country scores and 95 % of high-income country scores are robust to frontier estimation and penalty strength. At the same time, the audit identifies practical ways to strengthen the framework, including replacing weakly aligned indicators, shortening the 10-year imputation look-back period where feasible, and considering more transparent frontier-setting methods such as Data Envelopment Analysis. For policymakers, the message is clear: the HRMI QoL Index is already a valuable tool for monitoring rights performance, and targ</w:t>
      </w:r>
    </w:p>
    <w:p>
      <w:pPr/>
      <w:r>
        <w:rPr>
          <w:b/>
        </w:rPr>
        <w:t>POSSIBLE 2026:</w:t>
      </w:r>
      <w:r>
        <w:t xml:space="preserve"> Modeling soil solution electrical conductivity across Europe — https://doi.org/10.1016/j.scitotenv.2026.182021</w:t>
      </w:r>
    </w:p>
    <w:p>
      <w:pPr/>
      <w:r>
        <w:rPr>
          <w:b/>
        </w:rPr>
        <w:t>Shared claim-specific concepts:</w:t>
      </w:r>
      <w:r>
        <w:t xml:space="preserve"> used, climate; EU scope visible. This is a provisional connection, not an outcome finding.</w:t>
      </w:r>
    </w:p>
    <w:p>
      <w:pPr>
        <w:pStyle w:val="SourceNote"/>
      </w:pPr>
      <w:r>
        <w:rPr>
          <w:b/>
        </w:rPr>
        <w:t>Available abstract (not full text):</w:t>
      </w:r>
      <w:r>
        <w:t xml:space="preserve"> Soil salinization, referring to the excessive accumulation of soluble salts in soils, adversely influences nutrient cycling, biodiversity, soil structure, crop production, soil health, and ecosystem functioning. Accurately assessing soil salinity via electrical conductivity (EC) is key to mitigating its impacts. Thus, developing predictive tools for soil EC at regional and continental scales is essential for sustainable soil management. Here, we apply machine learning models to predict soil EC in the European Union (EU) and United Kingdom (UK) soils using different environmental factors like soil, climate, topography, and satellite data as predictors. The model is trained by ≈40,000 soil EC data points from the 2015 and 2018 Land Use/Cover Area Frame Survey data (LUCAS) surveys, complemented by the EC observations from World Soil Information Services (WoSIS) dataset. To improve the model performance, a forward feature selection technique was used resulting in selection of 17 covariates out of initially 34 predictors. The final selected XGBoost model achieved R 2 values of 0.68, 0.6, and 0.63 for the training, internal testing, and independent validation datasets, respectively. For the year 2018, we estimate ≈21.7 Mha of EU + UK land exceeds an EC of 0.6 dS/m (at a 1:5 soil to water ratio, the so-called EC 1:5 ). This estimate should be interpreted as elevated predicted EC 1:5, </w:t>
      </w:r>
    </w:p>
    <w:p>
      <w:pPr/>
      <w:r>
        <w:rPr>
          <w:b/>
        </w:rPr>
        <w:t>POSSIBLE 2026:</w:t>
      </w:r>
      <w:r>
        <w:t xml:space="preserve"> Determinants of Beef Trade Between the EU and South America and the Implications of the EU–Mercosur Agreement for the European Beef Sector — https://doi.org/10.3390/su18052172</w:t>
      </w:r>
    </w:p>
    <w:p>
      <w:pPr/>
      <w:r>
        <w:rPr>
          <w:b/>
        </w:rPr>
        <w:t>Shared claim-specific concepts:</w:t>
      </w:r>
      <w:r>
        <w:t xml:space="preserve"> used, assess, indicate, become; EU scope visible. This is a provisional connection, not an outcome finding.</w:t>
      </w:r>
    </w:p>
    <w:p>
      <w:pPr>
        <w:pStyle w:val="SourceNote"/>
      </w:pPr>
      <w:r>
        <w:rPr>
          <w:b/>
        </w:rPr>
        <w:t>Available abstract (not full text):</w:t>
      </w:r>
      <w:r>
        <w:t xml:space="preserve"> This study aimed to identify changes in beef trade between the European Union and South American countries and to assess the potential economic impact of implementing the EU–Mercosur agreement on the beef market. The research problem asked: How might trade liberalisation under the EU–Mercosur agreement affect the volume, structure, and competitiveness of the beef market between the EU and Mercosur countries? The research used data on beef production, import, export, and consumption in the European Union and South America. The detailed analysis covered the years 2010–2024. In addition, based on USDA data, a forecast of beef production in the EU and Mercosur countries up to 2030 was prepared. The analyses employed descriptive and indicator methods, Spearman’s rank correlation analysis, and the ARDL (Autoregressive Distributed Lags) model. The results indicate that beef production is increasing in the Mercosur countries and declining in the European Union. The ARDL models showed that beef trade depends on previous production and demand, and imports to the EU respond to changes in these areas with a delay. Increasing the tariff quota for beef imports from the Mercosur countries to the EU at a reduced customs rate may increase the share of this meat in the EU market. Preferential trade conditions raise concerns among EU producers, who must comply with stricter environmental standard</w:t>
      </w:r>
    </w:p>
    <w:p>
      <w:pPr/>
      <w:r>
        <w:rPr>
          <w:b/>
        </w:rPr>
        <w:t>POSSIBLE 2025:</w:t>
      </w:r>
      <w:r>
        <w:t xml:space="preserve"> Monitoring the impact of EU F-gas regulation on HFC-134a emissions through a comparison of top-down and bottom-up estimates — https://doi.org/10.1186/s12302-025-01081-1</w:t>
      </w:r>
    </w:p>
    <w:p>
      <w:pPr/>
      <w:r>
        <w:rPr>
          <w:b/>
        </w:rPr>
        <w:t>Shared claim-specific concepts:</w:t>
      </w:r>
      <w:r>
        <w:t xml:space="preserve"> bottom-up, used, two; EU scope visible. This is a provisional connection, not an outcome finding.</w:t>
      </w:r>
    </w:p>
    <w:p>
      <w:pPr>
        <w:pStyle w:val="SourceNote"/>
      </w:pPr>
      <w:r>
        <w:rPr>
          <w:b/>
        </w:rPr>
        <w:t>Available abstract (not full text):</w:t>
      </w:r>
      <w:r>
        <w:t xml:space="preserve"> Abstract HFC-134a is the most prevalent hydrofluorocarbon used as a replacement for ozone-depleting CFCs and HCFCs. Due to its high global warming potential, it is regulated under various European and global frameworks, underscoring the importance of tracking its emissions. Emissions derived by the commonly used, bottom-up, methodology are affected by a certain degree of uncertainty. The bottom-up estimates can be aided with an independent top-down estimate based on atmospheric observations combined with an atmospheric transport model. This study presents HFC-134a emissions for Europe, with a specific focus on Italy, from 2008 to 2023. The emissions were estimated using a Bayesian inversion methodology, based on atmospheric observations collected at four European stations. Our analysis reveals a slightly increasing trend in HFC-134a emissions for Italy from 2008 to 2015 of 0.17 Gg/yr, followed by a steady decrease thereafter, highlighting the effect of European regulation on fluorinated gases that came into force in 2014. We observed a reduction in HFC-134a emissions in the Po Basin inferred from the inversion method for 2020, likely due to mobility restrictions imposed during the COVID-19 pandemic. The observed mild seasonality in emissions may be partly attributed to higher air-conditioning activity during summer. A comparison with the Italian national emission inventories sh</w:t>
      </w:r>
    </w:p>
    <w:p>
      <w:pPr/>
      <w:r>
        <w:rPr>
          <w:b/>
        </w:rPr>
        <w:t>POSSIBLE 2024:</w:t>
      </w:r>
      <w:r>
        <w:t xml:space="preserve"> TIMES-Europe: An Integrated Energy System Model for Analyzing Europe’s Energy and Climate Challenges — https://doi.org/10.1007/s10666-024-09976-8</w:t>
      </w:r>
    </w:p>
    <w:p>
      <w:pPr/>
      <w:r>
        <w:rPr>
          <w:b/>
        </w:rPr>
        <w:t>Shared claim-specific concepts:</w:t>
      </w:r>
      <w:r>
        <w:t xml:space="preserve"> energy, system, used, role, climate; EU scope visible. This is a provisional connection, not an outcome finding.</w:t>
      </w:r>
    </w:p>
    <w:p>
      <w:pPr>
        <w:pStyle w:val="SourceNote"/>
      </w:pPr>
      <w:r>
        <w:rPr>
          <w:b/>
        </w:rPr>
        <w:t>Available abstract (not full text):</w:t>
      </w:r>
      <w:r>
        <w:t xml:space="preserve"> Abstract This paper introduces TIMES-Europe, a novel integrated multi-sectoral energy system optimization model for Europe based on the TIMES generator. We describe its main specifications and assumptions as well as its underlying methodology, and summarize the type of policy questions that it can help answering. TIMES-Europe can be used to analyze policy instruments designed for implementing the EU Green Deal and Fit-for-55 program, and to create strategic energy decarbonization and climate change mitigation insights for Europe against the backdrop of its interactions and relations with neighboring countries. Thanks to its technology richness across all main sectors—including power production, transport, industry and the commercial, agricultural and residential sectors—it allows for performing in-depth studies on the role of a large range of low-carbon options in the energy transition of all European countries, both jointly and individually. Three characteristics render TIMES-Europe particularly valuable: (1) it covers the entire European energy system and its main greenhouse gas emissions, (2) it includes all EU member states individually as well as a large set of countries in the EU’s vicinity, and (3) it can be used to generate high-level strategic insights as well as detailed recommendations for both national and EU policies. TIMES-Europe is especially suitable for analyzi</w:t>
      </w:r>
    </w:p>
    <w:p>
      <w:pPr/>
      <w:r>
        <w:rPr>
          <w:b/>
        </w:rPr>
        <w:t>POSSIBLE 2024:</w:t>
      </w:r>
      <w:r>
        <w:t xml:space="preserve"> JRC Nuclear foresight workshop on shaping the future for nuclear safety, security and safeguards: Factors, Forces and Challenges — https://doi.org/10.2760/6469488</w:t>
      </w:r>
    </w:p>
    <w:p>
      <w:pPr/>
      <w:r>
        <w:rPr>
          <w:b/>
        </w:rPr>
        <w:t>Shared claim-specific concepts:</w:t>
      </w:r>
      <w:r>
        <w:t xml:space="preserve"> system, role, initiative, long-term; EU scope visible. This is a provisional connection, not an outcome finding.</w:t>
      </w:r>
    </w:p>
    <w:p>
      <w:pPr>
        <w:pStyle w:val="SourceNote"/>
      </w:pPr>
      <w:r>
        <w:rPr>
          <w:b/>
        </w:rPr>
        <w:t>Available abstract (not full text):</w:t>
      </w:r>
      <w:r>
        <w:t xml:space="preserve"> The European Commission Joint Research Centre (JRC) provides independent, evidence-based knowledge to support EU policies. In 2023, the JRC released its revitalized Strategy 2030, reaffirming the role of its nuclear activities with a systemic approach across portfolios. The strategy envisions both medium and long-term horizons, incorporating key foresight elements.Inspired by the JRC Euratom Horizon Scanning, the European Strategy and Policy Analysis System (ESPAS), and the IAEA Drivers 2057 card deck, five JRC portfolios collaborated to enhance their synergy. They organized a foresight workshop on nuclear safety, security, and safeguards, focusing on five Drivers 2057 relevant to Europe: Safety &amp; Security, Green, Digital, Dual Use, and Fairness.The workshop, held during the JRC’s 60th anniversary of Nuclear Safety and Security activities, included keynote addresses, an introduction to Euratom foresight, and sessions on future factors, forces, and challenges. Participants discussed the JRC’s roles in navigating trends up to 2057, when Euratom will celebrate its 100th anniversary.The report details the workshop’s purpose, process, and organization as a complementary initiative to Euratom Horizon Scanning. It includes considerations and recommendations for each Euratom Driver 2057, addressing future scenarios, enablers, challenges, and potential disruptions. Participants also env</w:t>
      </w:r>
    </w:p>
    <w:p>
      <w:pPr/>
      <w:r>
        <w:rPr>
          <w:b/>
        </w:rPr>
        <w:t>POSSIBLE 2022:</w:t>
      </w:r>
      <w:r>
        <w:t xml:space="preserve"> Development of Photovoltaic Energy in EU Countries as an Alternative to Fossil Fuels — https://doi.org/10.3390/en15020662</w:t>
      </w:r>
    </w:p>
    <w:p>
      <w:pPr/>
      <w:r>
        <w:rPr>
          <w:b/>
        </w:rPr>
        <w:t>Shared claim-specific concepts:</w:t>
      </w:r>
      <w:r>
        <w:t xml:space="preserve"> energy, used, climate, long-term; EU scope visible. This is a provisional connection, not an outcome finding.</w:t>
      </w:r>
    </w:p>
    <w:p>
      <w:pPr>
        <w:pStyle w:val="SourceNote"/>
      </w:pPr>
      <w:r>
        <w:rPr>
          <w:b/>
        </w:rPr>
        <w:t>Available abstract (not full text):</w:t>
      </w:r>
      <w:r>
        <w:t xml:space="preserve"> The aim of the article is to present the development of photovoltaic energy in the EU countries as one of the alternatives to fossil fuels. The article was prepared on the basis of secondary information and statistical data on the photovoltaic energy market in EU countries, and three hypotheses were formulated: H1—There is a statistically significant correlation between a country’s long-term orientation and its use of photovoltaic energy in European Union countries; H2—There is a statistically significant correlation between GDP per capita and photovoltaic energy use in European Union countries; and H3—There is a relationship between climate and photovoltaic energy use in European Union countries. Correlation coefficients and the Guilford classification were used to analyse the data. Data analysis has shown that photovoltaic energy is the second fastest-growing energy source in the EU, after wind energy. In 2020, 134 TWh of solar energy was produced in the EU countries. Based on the analysis, it can be concluded that there is a statistically significant correlation between the production of photovoltaic energy per person and the level of GDP per capita in the EU countries (Hypothesis 2). Germany and the Netherlands produce the most solar energy. The studies did not confirm Hypothesis 3; however, it can be seen that countries such as Germany, Belgium and the Netherlands have the</w:t>
      </w:r>
    </w:p>
    <w:p>
      <w:pPr/>
      <w:r>
        <w:rPr>
          <w:b/>
        </w:rPr>
        <w:t>POSSIBLE 2021:</w:t>
      </w:r>
      <w:r>
        <w:t xml:space="preserve"> Second bottom-up model simulations : Deliverably D3.5 — https://openalex.org/W3211137343</w:t>
      </w:r>
    </w:p>
    <w:p>
      <w:pPr/>
      <w:r>
        <w:rPr>
          <w:b/>
        </w:rPr>
        <w:t>Shared claim-specific concepts:</w:t>
      </w:r>
      <w:r>
        <w:t xml:space="preserve"> bottom-up, system, role; EU scope visible. This is a provisional connection, not an outcome finding.</w:t>
      </w:r>
    </w:p>
    <w:p>
      <w:pPr>
        <w:pStyle w:val="SourceNote"/>
      </w:pPr>
      <w:r>
        <w:rPr>
          <w:b/>
        </w:rPr>
        <w:t>Available abstract (not full text):</w:t>
      </w:r>
      <w:r>
        <w:t xml:space="preserve"> Models play a crucial role in the quantification of GHG emissions. They can extrapolate and interpolate measurements spatially and temporally. Different models are designed for different purposes, from data-driven models that make the most efficient use of existing data, to process-based models which provide increased resolution of underlying driving mechanisms. VERIFY incorporates a wide variety of different model types to enable the system to respond to a far-reaching host of questions.Therefore, the aim of this WP is to simulate terrestrial carbon fluxes in both natural and anthropogenic systems. Using harmonized input data collected and reported on in D3.2, WP3 produced a variety of gridded flux and stock estimates of carbon within Europe. This particular deliverable shows carbon dioxide emissions from croplands, grasslands, and forests across the continent, using a variety of approaches. These approaches include models making extensive use of country-level statistics, those aiming for comprehensive descriptions of ecosystem processes, and statistical upscaling of site-level results to the continental scale.This deliverable provides details about the results of the second round of simulations from the bottom-up land models. Simulation methods will be improved during the course of the project, reflecting new scientific and technical understanding.</w:t>
      </w:r>
    </w:p>
    <w:p>
      <w:pPr/>
      <w:r>
        <w:rPr>
          <w:b/>
        </w:rPr>
        <w:t>POSSIBLE 2021:</w:t>
      </w:r>
      <w:r>
        <w:t xml:space="preserve"> Electric vehicle charging network in Europe: An accessibility and deployment trends analysis — https://doi.org/10.1016/j.trd.2021.102813</w:t>
      </w:r>
    </w:p>
    <w:p>
      <w:pPr/>
      <w:r>
        <w:rPr>
          <w:b/>
        </w:rPr>
        <w:t>Shared claim-specific concepts:</w:t>
      </w:r>
      <w:r>
        <w:t xml:space="preserve"> bottom-up; EU scope visible. This is a provisional connection, not an outcome finding.</w:t>
      </w:r>
    </w:p>
    <w:p>
      <w:pPr>
        <w:pStyle w:val="SourceNote"/>
      </w:pPr>
      <w:r>
        <w:rPr>
          <w:b/>
        </w:rPr>
        <w:t>Available abstract (not full text):</w:t>
      </w:r>
      <w:r>
        <w:t xml:space="preserve"> If coupled with a low-carbon electricity mix, electric vehicles (EVs) can represent an important technology for transport decarbonization and local pollutants abatement. Yet, to ensure large-scale EVs adoption, an adequate charging stations network must be developed. This paper provides the first comprehensive bottom-up analysis of the EV charging network in Europe. Combining a crowd-sourced database of charging stations with accessibility data and algorithms, we produce maps of the travel time to the most accessible EV charging station across Europe, we evaluate the charging points density and the number of active operators in different areas. We find that although recent years have witnessed a notable expansion of the EV charging network, stark inequalities persist across and within countries, both in terms of accessibility and of the charging points available to users. Our results allow for a better understanding of some of the key challenges ahead for ensuring mass EVs adoption throughout Europe and thus potentially reducing the environmental impact of the transport sector.</w:t>
      </w:r>
    </w:p>
    <w:p>
      <w:pPr/>
      <w:r>
        <w:rPr>
          <w:b/>
        </w:rPr>
        <w:t>POSSIBLE 2021:</w:t>
      </w:r>
      <w:r>
        <w:t xml:space="preserve"> Tightening EU ETS targets in line with the European Green Deal: Impacts on the decarbonization of the EU power sector — https://doi.org/10.1016/j.apenergy.2021.116914</w:t>
      </w:r>
    </w:p>
    <w:p>
      <w:pPr/>
      <w:r>
        <w:rPr>
          <w:b/>
        </w:rPr>
        <w:t>Shared claim-specific concepts:</w:t>
      </w:r>
      <w:r>
        <w:t xml:space="preserve"> system, hydrogen, climate, current; EU scope visible. This is a provisional connection, not an outcome finding.</w:t>
      </w:r>
    </w:p>
    <w:p>
      <w:pPr>
        <w:pStyle w:val="SourceNote"/>
      </w:pPr>
      <w:r>
        <w:rPr>
          <w:b/>
        </w:rPr>
        <w:t>Available abstract (not full text):</w:t>
      </w:r>
      <w:r>
        <w:t xml:space="preserve"> The EU Green Deal calls for climate neutrality by 2050 and emission reductions of 50–55% in 2030 in comparison to 1990. Achieving these reductions requires a substantial tightening of the regulations of the EU emissions trading system (EU ETS). This paper explores how the power sector would have to change in reaction to a tighter EU ETS target, and analyses the technological and economic implications. To cover the major ETS sectors, we combine a detailed power sector model with a marginal-abatement cost curve representation of industry emission abatement. We find that tightening the target would speed up the transformation by 3–17 years for different parts of the electricity system, with renewables contributing 74% of the electricity in 2030, EU-wide coal use almost completely phased-out by 2030 instead of 2045, and zero electricity generation emissions reached by 2040. Carbon prices within the EU ETS would more than triple to 129€/tCO2 in 2030, reducing cumulated power sector emissions from 2017 to 2057 by 54% compared to a scenario with the current target. This transformation would come at limited costs: total discounted power system costs would only increase by 5%. We test our findings against a number of sensitivities: an increased electricity demand, which might arise from sector coupling, increases deployment of wind and solar and prolongs gas usage. Not allowing transmis</w:t>
      </w:r>
    </w:p>
    <w:p>
      <w:pPr/>
      <w:r>
        <w:rPr>
          <w:b/>
        </w:rPr>
        <w:t>POSSIBLE 2021:</w:t>
      </w:r>
      <w:r>
        <w:t xml:space="preserve"> The open source electricity Model Base for Europe - An engagement framework for open and transparent European energy modelling — https://doi.org/10.1016/j.energy.2021.121973</w:t>
      </w:r>
    </w:p>
    <w:p>
      <w:pPr/>
      <w:r>
        <w:rPr>
          <w:b/>
        </w:rPr>
        <w:t>Shared claim-specific concepts:</w:t>
      </w:r>
      <w:r>
        <w:t xml:space="preserve"> energy, system, used; EU scope visible. This is a provisional connection, not an outcome finding.</w:t>
      </w:r>
    </w:p>
    <w:p>
      <w:pPr>
        <w:pStyle w:val="SourceNote"/>
      </w:pPr>
      <w:r>
        <w:rPr>
          <w:b/>
        </w:rPr>
        <w:t>Available abstract (not full text):</w:t>
      </w:r>
      <w:r>
        <w:t xml:space="preserve"> The transition to a low carbon energy system as laid out in the Paris Agreement and the European Green Deal presents challenges that involve society at all levels from planners to consumers. A key challenge is the communication across these levels. Tools to foster engagement and discussion between the different actors are open-source models with a low threshold for uptake. This paper presents the Open-Source electricity Model Base for Europe an electricity sector engagement model covering all member states of the EU, Norway, Switzerland and the United Kingdom. Built in OSeMOSYS and available on GitHub, the model provides a starting point into energy systems modelling and can be further developed in a collaborative manner. It enables non-experts to develop an understanding of energy systems models and energy planning. Thereby, it can serve as an engagement tool to carry the debate on the future of the European power system beyond the academy, which might contribute to finding societal consensus on how to decarbonise our energy system. The model allows dynamic power sector expansion analysis of the European power system till 2050. It can be used for scenario analysis and is expandable to other sectors to analyse the benefits of sector coupling.</w:t>
      </w:r>
    </w:p>
    <w:p>
      <w:pPr/>
      <w:r>
        <w:rPr>
          <w:b/>
        </w:rPr>
        <w:t>POSSIBLE 2021:</w:t>
      </w:r>
      <w:r>
        <w:t xml:space="preserve"> How EU policies could reduce nutrient pollution in European inland and coastal waters — https://doi.org/10.1016/j.gloenvcha.2021.102281</w:t>
      </w:r>
    </w:p>
    <w:p>
      <w:pPr/>
      <w:r>
        <w:rPr>
          <w:b/>
        </w:rPr>
        <w:t>Shared claim-specific concepts:</w:t>
      </w:r>
      <w:r>
        <w:t xml:space="preserve"> system, current; EU scope visible. This is a provisional connection, not an outcome finding.</w:t>
      </w:r>
    </w:p>
    <w:p>
      <w:pPr>
        <w:pStyle w:val="SourceNote"/>
      </w:pPr>
      <w:r>
        <w:rPr>
          <w:b/>
        </w:rPr>
        <w:t>Available abstract (not full text):</w:t>
      </w:r>
      <w:r>
        <w:t xml:space="preserve"> Intensive agriculture and densely populated areas represent major sources of nutrient pollution for European inland and coastal waters, altering the aquatic ecosystems and affecting their capacity to provide ecosystem services and support economic activities. Ambitious water policies are in place in the European Union (EU) for protecting and restoring aquatic ecosystems under the Water Framework Directive and the Marine Strategy Framework Directive. This research quantified the current pressures of point and diffuse nitrogen and phosphorus emissions to European fresh and coastal waters (2005-2012), and analysed the effects of three policy scenarios of nutrient reduction: 1) the application of measures currently planned in the Rural Development Programmes and under the Urban Waste Water Treatment Directive (UWWTD); 2) the full implementation of the UWWTD and the absence of derogations in the Nitrates Directive; 3) high reduction of nutrient, using best technologies in wastewaters treatment and optimal fertilisation in agriculture. The results of the study show that for the period 2005-2012, the nitrogen load to European seas was 3.3-4.1 TgN/y and the phosphorus load was 0.26-0.30 TgP/y. Policy measures supporting technological improvements (third scenario) could decrease the nutrient export to the seas up to 14% for nitrogen and 20% for phosphorus, improving the ecological statu</w:t>
      </w:r>
    </w:p>
    <w:p>
      <w:pPr>
        <w:pStyle w:val="Heading2"/>
      </w:pPr>
      <w:r>
        <w:t>879. Imagining energy futures: Sociotechnical imaginaries of the future Smart Grid in Norway</w:t>
      </w:r>
    </w:p>
    <w:p>
      <w:pPr>
        <w:pStyle w:val="SourceNote"/>
      </w:pPr>
      <w:r>
        <w:rPr>
          <w:b/>
        </w:rPr>
        <w:t>Original source (2015):</w:t>
      </w:r>
      <w:r>
        <w:t xml:space="preserve"> https://doi.org/10.1016/j.erss.2015.08.015</w:t>
      </w:r>
    </w:p>
    <w:p>
      <w:pPr/>
      <w:r>
        <w:t>Original wording (abstract; indexed_source_text_not_full_document_verified): A future “Smart Grid” is increasingly being embraced in energy policies as a promising energy scenario for the future, with the introduction of “smart” electricity meters being seen as the first step. The paper suggests that increased openness and the inclusion of multiple perspectives and ways of knowing, inspired by post-normal science, could facilitate more careful consideration of potential social implications.</w:t>
      </w:r>
    </w:p>
    <w:p>
      <w:pPr/>
      <w:r>
        <w:rPr>
          <w:b/>
        </w:rPr>
        <w:t>POSSIBLE 2026:</w:t>
      </w:r>
      <w:r>
        <w:t xml:space="preserve"> Smart Grids — https://openalex.org/W7204067602</w:t>
      </w:r>
    </w:p>
    <w:p>
      <w:pPr/>
      <w:r>
        <w:rPr>
          <w:b/>
        </w:rPr>
        <w:t>Shared claim-specific concepts:</w:t>
      </w:r>
      <w:r>
        <w:t xml:space="preserve"> smart, grid, energy, electricity, perspectives; EU scope not established. This is a provisional connection, not an outcome finding.</w:t>
      </w:r>
    </w:p>
    <w:p>
      <w:pPr>
        <w:pStyle w:val="SourceNote"/>
      </w:pPr>
      <w:r>
        <w:rPr>
          <w:b/>
        </w:rPr>
        <w:t>Available abstract (not full text):</w:t>
      </w:r>
      <w:r>
        <w:t xml:space="preserve"> Smart Grids – Innovations for a Sustainable Future presents a timely and comprehensive exploration of how modern power systems are evolving to meet the demands of decarbonization, digitalization, and resilience. As electricity networks transition toward high shares of renewable energy, inverter-based resources, and data-driven operation, smart grids are emerging as the backbone of a sustainable energy future. This book brings together interdisciplinary perspectives on artificial intelligence in power systems, advanced microgrid control, renewable energy integration, cyber-physical security, electricity markets, and community-oriented energy solutions. It highlights how trustworthy AI, intelligent forecasting, decentralized control, and robust policy frameworks can work together to enhance grid reliability, flexibility, and transparency. By bridging technical innovation with market design and socio-technical considerations, the volume offers a holistic view of smart grid development that goes beyond conventional engineering approaches. Designed for researchers, engineers, policymakers, and advanced students, this book provides valuable insights, conceptual frameworks, and practical perspectives to support informed decision-making and innovation across the smart grid ecosystem, making it a useful reference for those shaping the next generation of sustainable, intelligent power sy</w:t>
      </w:r>
    </w:p>
    <w:p>
      <w:pPr/>
      <w:r>
        <w:rPr>
          <w:b/>
        </w:rPr>
        <w:t>POSSIBLE 2026:</w:t>
      </w:r>
      <w:r>
        <w:t xml:space="preserve"> Towards consumer-oriented smart grids : investigating consumer perspectives on the adoption of smart technologies and services — https://openalex.org/W7222853900</w:t>
      </w:r>
    </w:p>
    <w:p>
      <w:pPr/>
      <w:r>
        <w:rPr>
          <w:b/>
        </w:rPr>
        <w:t>Shared claim-specific concepts:</w:t>
      </w:r>
      <w:r>
        <w:t xml:space="preserve"> smart, grid, increasingly, energy, first, perspectives; EU scope visible. This is a provisional connection, not an outcome finding.</w:t>
      </w:r>
    </w:p>
    <w:p>
      <w:pPr>
        <w:pStyle w:val="SourceNote"/>
      </w:pPr>
      <w:r>
        <w:rPr>
          <w:b/>
        </w:rPr>
        <w:t>Available abstract (not full text):</w:t>
      </w:r>
      <w:r>
        <w:t xml:space="preserve"> Consumers are expected to play a central role in smart grids, and therefore, it is becoming increasingly important to identify and understand factors that influence consumer engagement in them through various smart grid technologies and services. This dissertation focuses on investigating consumer opinions, awareness, and experiences of key smart grid technologies and services, as well as on analysing factors and variables that influence their adoption. By providing insights for both theory and practice, the research carried out in this dissertation aims to support the development of consumer-oriented smart grids and to inform efforts to promote the adoption of smart grid technologies and services. The research conducted in the dissertation adopts both qualitative and quantitative methods. First, consumer perspectives towards demand response are investigated using a systematic review and thematic synthesis of previous European demand response projects. Secondly, to improve the understanding of the roles of trust and technological knowledge in affecting technology adoption in the smart grid context, a cross-sectional online questionnaire survey of Finnish consumers is carried out, and the data are analysed using path analysis. Lastly, a machine learning-based social media sentiment analysis is conducted to examine how consumer opinions of various smart grid technologies and beha</w:t>
      </w:r>
    </w:p>
    <w:p>
      <w:pPr/>
      <w:r>
        <w:rPr>
          <w:b/>
        </w:rPr>
        <w:t>POSSIBLE 2025:</w:t>
      </w:r>
      <w:r>
        <w:t xml:space="preserve"> Smart Grids and Sustainability: The Impact of Digital Technologies on the Energy Transition — https://doi.org/10.3390/en18092149</w:t>
      </w:r>
    </w:p>
    <w:p>
      <w:pPr/>
      <w:r>
        <w:rPr>
          <w:b/>
        </w:rPr>
        <w:t>Shared claim-specific concepts:</w:t>
      </w:r>
      <w:r>
        <w:t xml:space="preserve"> smart, grid, energy; EU scope visible. This is a provisional connection, not an outcome finding.</w:t>
      </w:r>
    </w:p>
    <w:p>
      <w:pPr>
        <w:pStyle w:val="SourceNote"/>
      </w:pPr>
      <w:r>
        <w:rPr>
          <w:b/>
        </w:rPr>
        <w:t>Available abstract (not full text):</w:t>
      </w:r>
      <w:r>
        <w:t xml:space="preserve"> Smart Grids (SG) represent a key element in the energy transition, facilitating the integration of renewable and conventional energy sources through the use of advanced digital technologies. This study analyzes the main research trends related to SG, energy efficiency, and the role of Artificial Intelligence (AI) and the Internet of Things (IoT) in smart energy management. Following the PRISMA protocol, 179 relevant academic articles indexed in the Scopus database were selected and analyzed using VOSviewer software, version 1.6.20, to identify the main thematic clusters. The results reveal a converging research focus on energy flow optimization, renewable energy integration, and the adoption of digital technologies—including cybersecurity solutions—to ensure grid efficiency, security, and resilience. The study confirms that digitalization acts as a key enabler for building a more sustainable and reliable energy system, aligned with the objectives of the European Union and the United Nations 2030 Agenda. The contribution of this work lies in its integrated approach to the analysis of digital technologies, linking the themes of efficiency, resilience, and infrastructure security, in order to provide valuable insights for future research and sustainable energy policy development.</w:t>
      </w:r>
    </w:p>
    <w:p>
      <w:pPr/>
      <w:r>
        <w:rPr>
          <w:b/>
        </w:rPr>
        <w:t>POSSIBLE 2023:</w:t>
      </w:r>
      <w:r>
        <w:t xml:space="preserve"> Smart Energy Meters for Smart Grids, an Internet of Things Perspective — https://doi.org/10.3390/en16041974</w:t>
      </w:r>
    </w:p>
    <w:p>
      <w:pPr/>
      <w:r>
        <w:rPr>
          <w:b/>
        </w:rPr>
        <w:t>Shared claim-specific concepts:</w:t>
      </w:r>
      <w:r>
        <w:t xml:space="preserve"> smart, grid, energy, electricity, meters, seen; EU scope not established. This is a provisional connection, not an outcome finding.</w:t>
      </w:r>
    </w:p>
    <w:p>
      <w:pPr>
        <w:pStyle w:val="SourceNote"/>
      </w:pPr>
      <w:r>
        <w:rPr>
          <w:b/>
        </w:rPr>
        <w:t>Available abstract (not full text):</w:t>
      </w:r>
      <w:r>
        <w:t xml:space="preserve"> Smart energy has evolved over the years to include multiple domains integrated across multiple technology themes, such as electricity, smart grid, and logistics, linked through communication technology and processed in the cloud in a holistic way to deliver on global challenges. Advances in sensing, communication, and computation technologies have been made that enable better smart system implementations. In smart energy systems, sensing technologies have spanned multiple domains with newer techniques that are more accurate, have greater dynamic ranges, and are more reliable. Similarly, communication techniques have now evolved into very high-speed, flexible, and dynamic systems. Computation techniques have seen a quantum leap with greater integration, powerful computing engines, and versatile software stacks that are easily available and modifiable. Finally, the system integration has also seen advances in the form of management, automation, and analytics paradigms. Consequently, smart energy systems have witnessed a revolutionary transformation. The complexity has correspondingly grown exponentially. With regard to smart meters, the measurement component has to scale up to meet the demands of the evolved energy eco-system by relying on the advancements offered. The internet of things (IoT) is a key technology enabler in this scenario, and the smart meter is a key component. I</w:t>
      </w:r>
    </w:p>
    <w:p>
      <w:pPr/>
      <w:r>
        <w:rPr>
          <w:b/>
        </w:rPr>
        <w:t>POSSIBLE 2023:</w:t>
      </w:r>
      <w:r>
        <w:t xml:space="preserve"> From Smart Grids to Super Smart Grids: A Roadmap for Strategic Demand Management for Next Generation SAARC and European Power Infrastructure — https://doi.org/10.1109/access.2023.3241686</w:t>
      </w:r>
    </w:p>
    <w:p>
      <w:pPr/>
      <w:r>
        <w:rPr>
          <w:b/>
        </w:rPr>
        <w:t>Shared claim-specific concepts:</w:t>
      </w:r>
      <w:r>
        <w:t xml:space="preserve"> smart, energy, electricity, step, multiple; EU scope visible. This is a provisional connection, not an outcome finding.</w:t>
      </w:r>
    </w:p>
    <w:p>
      <w:pPr>
        <w:pStyle w:val="SourceNote"/>
      </w:pPr>
      <w:r>
        <w:rPr>
          <w:b/>
        </w:rPr>
        <w:t>Available abstract (not full text):</w:t>
      </w:r>
      <w:r>
        <w:t xml:space="preserve"> Due to an increasing of demands of electricity in a world on regular basis, different continents will initiate a step towards transforming their smart grids infrastructure into super smart grids (SSGs), in which various countries in a continent will take a step towards an interconnection of their power system networks with one another to manage their futuristic demands conditions. The concept of SSGs system is predicated due to extensive use of modern technology, digital communication, machine learning and modern information techniques for the present power generating system to be more accurate and feature on balancing demand and supply. The SSGs uses renewable energy resources to support power system of multiple countries by reducing the greenhouse gases emissions. The main purpose of transforming smart grids into SSGs is to balance the demands and supply between multiple countries, if each country is not able to manage their own demands profiles. The environmental conditions, lack of energy management, intermittent nature of renewable energy resources and line losses are the major hurdles to provide regular supply. This research work focused about the hurdles in the form of technical challenges that will be arises in case of developing a futuristic SSGs for European and SAARC continents, and thus provide a valuable solution for it along with discussion about the future resear</w:t>
      </w:r>
    </w:p>
    <w:p>
      <w:pPr/>
      <w:r>
        <w:rPr>
          <w:b/>
        </w:rPr>
        <w:t>POSSIBLE 2023:</w:t>
      </w:r>
      <w:r>
        <w:t xml:space="preserve"> Smart grids: levers towards reducing disparities between cities or targets on the European energy innovation map? — https://openalex.org/W7113512371</w:t>
      </w:r>
    </w:p>
    <w:p>
      <w:pPr/>
      <w:r>
        <w:rPr>
          <w:b/>
        </w:rPr>
        <w:t>Shared claim-specific concepts:</w:t>
      </w:r>
      <w:r>
        <w:t xml:space="preserve"> smart, grid, energy, policies, science; EU scope visible. This is a provisional connection, not an outcome finding.</w:t>
      </w:r>
    </w:p>
    <w:p>
      <w:pPr>
        <w:pStyle w:val="SourceNote"/>
      </w:pPr>
      <w:r>
        <w:rPr>
          <w:b/>
        </w:rPr>
        <w:t>Available abstract (not full text):</w:t>
      </w:r>
      <w:r>
        <w:t xml:space="preserve"> The energy market liberalization in Europe strives to be more than an aggregation of functional energy national systems, but a smart and unified approach to a market subjected to various disparities amongst states. Given that states are characterized by distinctive levels of investments in the innovation sector, as well as the technological one, a swift and harmonized market liberalization seems to be more a desiderate, rather than an actual objective. The objective of this research is to deliberate and analyse to which extend a smart grid, in its whole mechanics, may reduce the number of disparities between European cities. Moreover, the research will try to depict a smart approach towards implementing successful models of smart grids on markets not yet matured. In this paper I will refine and further deliberate concepts that I have advanced during my Doctoral research in the field of energy market liberalization, but now on a more evolved and in-detail approach; trying to answer to questions such as: is the actual liberalized energy market capable to successfully sustain a smart grid/ smart network approach? And if yes, are the smart consumers enabled to use the advantages, such as smart metering, to full potential? The main result of this research will be to create a matrix, based on comparative research and case study approach, of existing capabilities on the Romanian energ</w:t>
      </w:r>
    </w:p>
    <w:p>
      <w:pPr/>
      <w:r>
        <w:rPr>
          <w:b/>
        </w:rPr>
        <w:t>POSSIBLE 2023:</w:t>
      </w:r>
      <w:r>
        <w:t xml:space="preserve"> Smart grid technologies and application in the sustainable energy transition: a review — https://doi.org/10.1080/14786451.2023.2222298</w:t>
      </w:r>
    </w:p>
    <w:p>
      <w:pPr/>
      <w:r>
        <w:rPr>
          <w:b/>
        </w:rPr>
        <w:t>Shared claim-specific concepts:</w:t>
      </w:r>
      <w:r>
        <w:t xml:space="preserve"> smart, grid, energy, electricity, facilitate; EU scope not established. This is a provisional connection, not an outcome finding.</w:t>
      </w:r>
    </w:p>
    <w:p>
      <w:pPr>
        <w:pStyle w:val="SourceNote"/>
      </w:pPr>
      <w:r>
        <w:rPr>
          <w:b/>
        </w:rPr>
        <w:t>Available abstract (not full text):</w:t>
      </w:r>
      <w:r>
        <w:t xml:space="preserve"> The smart grid is a product of the advances in computer and communication technology and power electronics that creates a more resilient, reliable and one that supports a two-way flow of electricity and information.The smart grid enables more uptake of the variable renewables like wind, solar and variable loads like the plug-in cars and improves the efficiency of power systems and facilitate several products and services supported by the grid like automatic healing and rerouting of power in case of a fault and demand side management.The deployment and use of smart grids will enhance the realization of shared goals of grid stakeholders, promote energy security, enable economic growth, and help in the mitigation of climate change.</w:t>
      </w:r>
    </w:p>
    <w:p>
      <w:pPr/>
      <w:r>
        <w:rPr>
          <w:b/>
        </w:rPr>
        <w:t>POSSIBLE 2023:</w:t>
      </w:r>
      <w:r>
        <w:t xml:space="preserve"> A State-of-the-Art Review of Smart Energy Systems and Their Management in a Smart Grid Environment — https://doi.org/10.3390/en16010472</w:t>
      </w:r>
    </w:p>
    <w:p>
      <w:pPr/>
      <w:r>
        <w:rPr>
          <w:b/>
        </w:rPr>
        <w:t>Shared claim-specific concepts:</w:t>
      </w:r>
      <w:r>
        <w:t xml:space="preserve"> smart, grid, energy, electricity, increased; EU scope not established. This is a provisional connection, not an outcome finding.</w:t>
      </w:r>
    </w:p>
    <w:p>
      <w:pPr>
        <w:pStyle w:val="SourceNote"/>
      </w:pPr>
      <w:r>
        <w:rPr>
          <w:b/>
        </w:rPr>
        <w:t>Available abstract (not full text):</w:t>
      </w:r>
      <w:r>
        <w:t xml:space="preserve"> A smart grid (SG), considered as a future electricity grid, utilizes bidirectional electricity and information flow to establish automated and widely distributed power generation. The SG provides a delivery network that has distributed energy sources, real-time asset monitoring, increased power quality, increased stability and reliability, and two-way information sharing. Furthermore, SG provides many advantages, such as demand response, distribution automation, optimized use of electricity, economical energy, real-time grid status monitoring, voltage regulation or VAR control, and electricity storage. In this survey, we explore the literature on smart Grid enabling technologies until 2022. We dig out four major systems: (1) the smart grid’s prominent features and challenges; (2) the smart grid standard system and legislations; (3) smart grid energy subsystem; and (4) the smart grid management system and protection system for new researchers for their future projects. The research challenges and future recommendations are also presented in the conclusion section to explore the new paradigm.</w:t>
      </w:r>
    </w:p>
    <w:p>
      <w:pPr/>
      <w:r>
        <w:rPr>
          <w:b/>
        </w:rPr>
        <w:t>POSSIBLE 2022:</w:t>
      </w:r>
      <w:r>
        <w:t xml:space="preserve"> Mobility in the Smart Grid: Roaming Protocols for EV Charging — https://doi.org/10.1109/tsg.2022.3202608</w:t>
      </w:r>
    </w:p>
    <w:p>
      <w:pPr/>
      <w:r>
        <w:rPr>
          <w:b/>
        </w:rPr>
        <w:t>Shared claim-specific concepts:</w:t>
      </w:r>
      <w:r>
        <w:t xml:space="preserve"> smart, grid, increasingly, openness; EU scope visible. This is a provisional connection, not an outcome finding.</w:t>
      </w:r>
    </w:p>
    <w:p>
      <w:pPr>
        <w:pStyle w:val="SourceNote"/>
      </w:pPr>
      <w:r>
        <w:rPr>
          <w:b/>
        </w:rPr>
        <w:t>Available abstract (not full text):</w:t>
      </w:r>
      <w:r>
        <w:t xml:space="preserve"> While most smart grids approaches assume that the user consumes services in a fixed location, the case of charging Battery Electric Vehicles (BEVs) adds an interesting mobility dimension. Drivers increasingly need to rely on public charging facilities, and given local grid conditions, such facilities often cannot offer their services without smart charging and tight integration in the smart grid. In analogy with mobile telecommunications, stakeholders in the field of EV charging have developed EV roaming protocols to allow for a mobility dimension, and, for some, add smart grid integration. However, this development is still in its early phase, and in Europe, there are at least four different, mutually incompatible protocols in use. In this paper, we investigate the history of these protocols, their characteristics – especially in relation to the smart grid – and investigate their openness and neutrality. We then explore scenarios for future development towards a single standard, also taking the regulatory dimension into consideration. We end with a reflection on the development of standards for the smart grid.</w:t>
      </w:r>
    </w:p>
    <w:p>
      <w:pPr/>
      <w:r>
        <w:rPr>
          <w:b/>
        </w:rPr>
        <w:t>POSSIBLE 2022:</w:t>
      </w:r>
      <w:r>
        <w:t xml:space="preserve"> Quantum computing for smart grid applications — https://doi.org/10.1049/gtd2.12602</w:t>
      </w:r>
    </w:p>
    <w:p>
      <w:pPr/>
      <w:r>
        <w:rPr>
          <w:b/>
        </w:rPr>
        <w:t>Shared claim-specific concepts:</w:t>
      </w:r>
      <w:r>
        <w:t xml:space="preserve"> smart, grid, energy, promising; EU scope not established. This is a provisional connection, not an outcome finding.</w:t>
      </w:r>
    </w:p>
    <w:p>
      <w:pPr>
        <w:pStyle w:val="SourceNote"/>
      </w:pPr>
      <w:r>
        <w:rPr>
          <w:b/>
        </w:rPr>
        <w:t>Available abstract (not full text):</w:t>
      </w:r>
      <w:r>
        <w:t xml:space="preserve"> Abstract Computational complexities in modern power systems are reportedly increasing daily, and it is anticipated that traditional computers might be inadequate to provide the computation prerequisite in future complex power grids. In that given context, quantum computing (QC) can be considered a next‐generation alternative solution to deal with upcoming computational challenges in smart grids. The QC is a relatively new yet promising technology that leverages the unique phenomena of quantum mechanics in processing information and computations. This emerging paradigm shows a significant potential to overcome the barrier of computational limitations with better and faster solutions in optimization, simulations, and machine learning problems. In recent years, substantial progress in developing advanced quantum hardware, software, and algorithms have made QC more feasible to apply in various research areas, including smart grids. It is evident that considerable research has already been carried out, and such efforts are remarkably continuing. As QC is a highly evolving field of study, a brief review of the existing literature will be vital to realize the state‐of‐art on QC for smart grid applications. Therefore, this article summarizes the research outcomes of the most recent papers, highlights their suggestions for utilizing QC techniques for various smart grid applications, and</w:t>
      </w:r>
    </w:p>
    <w:p>
      <w:pPr/>
      <w:r>
        <w:rPr>
          <w:b/>
        </w:rPr>
        <w:t>POSSIBLE 2022:</w:t>
      </w:r>
      <w:r>
        <w:t xml:space="preserve"> Review of Smart Grid and Nascent Energy Policies: Pakistan as a Case Study — https://doi.org/10.3390/en15197044</w:t>
      </w:r>
    </w:p>
    <w:p>
      <w:pPr/>
      <w:r>
        <w:rPr>
          <w:b/>
        </w:rPr>
        <w:t>Shared claim-specific concepts:</w:t>
      </w:r>
      <w:r>
        <w:t xml:space="preserve"> smart, grid, energy, policies, electricity; EU scope not established. This is a provisional connection, not an outcome finding.</w:t>
      </w:r>
    </w:p>
    <w:p>
      <w:pPr>
        <w:pStyle w:val="SourceNote"/>
      </w:pPr>
      <w:r>
        <w:rPr>
          <w:b/>
        </w:rPr>
        <w:t>Available abstract (not full text):</w:t>
      </w:r>
      <w:r>
        <w:t xml:space="preserve"> Smart grid plays a vital role in energy management systems. It helps to mitigate the demand side management of electricity by managing the microgrid. In the modern era, the concept of hybrid microgrids emerged which helps the smart grid management of electricity. Additionally, the Internet of Things (IoT) technology is used to integrate the hybrid microgrid. Thus, various policies and topologies are employed to perform the task meticulously. Pakistan being an energy deficient country has recently introduced some new policies such as Energy Wheeling Policy (EWP), Energy Import Policy (EIP), and Net Metering/Distributed Generation Policy (NMP) to manage the electricity demand effectively. In addition, the Energy Efficiency and Conservation Act (EECA) has also been introduced. In this paper, we present the overview and impact of these policies in the context of the local energy market and modern information and communication mechanisms proposed for smart grids. These new policies primarily focus on energy demand–supply for various types of consumers such as the demand for bulk energy for industrial ventures and the distributed production by consumers. The EWP deals with obtaining power from remote areas within the country to ease the energy situation in populated load centers and the EIP highlights energy import guidelines from foreign countries. The NMP deals with the integration</w:t>
      </w:r>
    </w:p>
    <w:p>
      <w:pPr/>
      <w:r>
        <w:rPr>
          <w:b/>
        </w:rPr>
        <w:t>POSSIBLE 2022:</w:t>
      </w:r>
      <w:r>
        <w:t xml:space="preserve"> A review of behind-the-meter energy storage systems in smart grids — https://doi.org/10.1016/j.rser.2022.112573</w:t>
      </w:r>
    </w:p>
    <w:p>
      <w:pPr/>
      <w:r>
        <w:rPr>
          <w:b/>
        </w:rPr>
        <w:t>Shared claim-specific concepts:</w:t>
      </w:r>
      <w:r>
        <w:t xml:space="preserve"> smart, energy, policies, perspectives; EU scope not established. This is a provisional connection, not an outcome finding.</w:t>
      </w:r>
    </w:p>
    <w:p>
      <w:pPr>
        <w:pStyle w:val="SourceNote"/>
      </w:pPr>
      <w:r>
        <w:rPr>
          <w:b/>
        </w:rPr>
        <w:t>Available abstract (not full text):</w:t>
      </w:r>
      <w:r>
        <w:t xml:space="preserve"> The electric power industry is experiencing a paradigm shift towards a carbon-free smart system boosted by rising energy demand, depreciation of long-lived physical assets, as well as global environmental challenges. Recent advances in information and communications technology, as well as the widespread integration of renewable energy resources to the power distribution system, have introduced new opportunities and challenges for system operators and end-users alike. Energy storage systems (ESSs) can help make the most of the opportunities and mitigate the potential challenges. Hence, the installed capacity of ESSs is rapidly increasing, both in front-of-the-meter and behind-the-meter (BTM), accelerated by recent deep reductions in ESS costs. This work is focused on BTM ESSs installed in end-users ' premises and associated technologies, different billing and pricing policies, as well as their potential capabilities from both the system operators' and end-users’ perspectives. Furthermore, a brief but comprehensive overview of optimization solutions for BTM energy management problems and a quick summary of some BTM case studies are provided. Finally, challenges in the realization of BTM systems in today's power system are explored, and potential research areas and progressive solutions for future studies are identified.</w:t>
      </w:r>
    </w:p>
    <w:p>
      <w:pPr>
        <w:pStyle w:val="Heading2"/>
      </w:pPr>
      <w:r>
        <w:t>880. Investigating scenario planning – a European tourism perspective</w:t>
      </w:r>
    </w:p>
    <w:p>
      <w:pPr>
        <w:pStyle w:val="SourceNote"/>
      </w:pPr>
      <w:r>
        <w:rPr>
          <w:b/>
        </w:rPr>
        <w:t>Original source (2015):</w:t>
      </w:r>
      <w:r>
        <w:t xml:space="preserve"> https://doi.org/10.1108/jtf-12-2014-0020</w:t>
      </w:r>
    </w:p>
    <w:p>
      <w:pPr/>
      <w:r>
        <w:t>Original wording (abstract; indexed_source_text_not_full_document_verified): Purpose The purpose of this paper is to discuss the scenario planning approach developed and used by the European Tourism Futures Institute (ETFI). Design/methodology/approach This paper contains the following sections: mission and aims of the research group; epistemological and methodological positioning, conceptual framework and research lines for an applied scenario planning approach.</w:t>
      </w:r>
    </w:p>
    <w:p>
      <w:pPr/>
      <w:r>
        <w:rPr>
          <w:b/>
        </w:rPr>
        <w:t>POSSIBLE 2026:</w:t>
      </w:r>
      <w:r>
        <w:t xml:space="preserve"> European Wild Bees: moving from assessment to conservation planning — https://doi.org/10.2779/5662020kh-01-25-230</w:t>
      </w:r>
    </w:p>
    <w:p>
      <w:pPr/>
      <w:r>
        <w:rPr>
          <w:b/>
        </w:rPr>
        <w:t>Shared claim-specific concepts:</w:t>
      </w:r>
      <w:r>
        <w:t xml:space="preserve"> planning, following, mission, group; EU scope visible. This is a provisional connection, not an outcome finding.</w:t>
      </w:r>
    </w:p>
    <w:p>
      <w:pPr>
        <w:pStyle w:val="SourceNote"/>
      </w:pPr>
      <w:r>
        <w:rPr>
          <w:b/>
        </w:rPr>
        <w:t>Available abstract (not full text):</w:t>
      </w:r>
      <w:r>
        <w:t xml:space="preserve"> IUCN encourages meetings, workshops and other fora for the consideration and analysis of issues related to conservation and believes that reports of these meetings are most useful when broadly disseminated.The designation of geographical entities in this report, and the presentation of the material, do not imply the expression of any opinion whatsoever on the part of IUCN concerning the legal status of any country, territory, or area, or of its authorities, or concerning the delimitation of its frontiers or boundaries.Further, the information and views set out in this report do not necessarily reflect the official opinion of the European Commission, or IUCN.The Commission does not guarantee the accuracy of the data included in this note.Neither the Commission nor IUCN or any person acting on the Commission's behalf, including any authors or contributors, may be held responsible for the use which may be made of the information contained therein.IUCN: is a membership Union composed of both government and civil society organisations.It harnesses the experience, resources and reach of its more than 1,400 Member organisations and the input of more than 16,000 experts.IUCN is the global authority on the status of the natural world and the measures needed to safeguard it.www.iucn.org IUCN Species Survival Commission (SSC):with over 8,500 members in 186 countries, the Species Survival </w:t>
      </w:r>
    </w:p>
    <w:p>
      <w:pPr/>
      <w:r>
        <w:rPr>
          <w:b/>
        </w:rPr>
        <w:t>POSSIBLE 2024:</w:t>
      </w:r>
      <w:r>
        <w:t xml:space="preserve"> Launching a European Employee Stock Ownership Plan (European ESOP) — https://doi.org/10.1108/jpeo-06-2024-0010</w:t>
      </w:r>
    </w:p>
    <w:p>
      <w:pPr/>
      <w:r>
        <w:rPr>
          <w:b/>
        </w:rPr>
        <w:t>Shared claim-specific concepts:</w:t>
      </w:r>
      <w:r>
        <w:t xml:space="preserve"> purpose, approach, developed, used, design, methodology; EU scope visible. This is a provisional connection, not an outcome finding.</w:t>
      </w:r>
    </w:p>
    <w:p>
      <w:pPr>
        <w:pStyle w:val="SourceNote"/>
      </w:pPr>
      <w:r>
        <w:rPr>
          <w:b/>
        </w:rPr>
        <w:t>Available abstract (not full text):</w:t>
      </w:r>
      <w:r>
        <w:t xml:space="preserve"> Purpose With a third of business successions failing, the EU is still confronted with a haemorrhage of around 150,000 enterprises and 600,000 jobs every year. Although 30 years of research have confirmed the positive effects of employee share ownership (ESO) for European enterprises and its important function for business succession, best practice, such as the US ESOP, is thinly spread across the EU. Nevertheless, Member States (MS) have developed a broad variety of ESO schemes involving intermediary entities to acquire and administer employee shares in the employer firm in particular for the transfer of businesses to employees. However, for small and medium enterprise (SME) owners the main barrier is still a lack of clearcut and transparent options to sell their enterprise to their employees and corresponding incentives to do so. In this light, this paper proposes a European approach, that is, a European Employee Stock Ownership Plan (European ESOP). Design/methodology/approach A “Common European ESOP Regime”, as a first step towards a “Common European Regime on EFP” would complement existing national laws aiming primarily at their harmonisation. As the name suggests, this would be a second contract law regime parallel to national legislation on ESO. Its objective is to eliminate obstacles to the single market that mainly, though not exclusively, stem from heterogeneous regula</w:t>
      </w:r>
    </w:p>
    <w:p>
      <w:pPr/>
      <w:r>
        <w:rPr>
          <w:b/>
        </w:rPr>
        <w:t>POSSIBLE 2024:</w:t>
      </w:r>
      <w:r>
        <w:t xml:space="preserve"> An assessment of the state of conservation planning in Europe — https://doi.org/10.1098/rstb.2023.0015</w:t>
      </w:r>
    </w:p>
    <w:p>
      <w:pPr/>
      <w:r>
        <w:rPr>
          <w:b/>
        </w:rPr>
        <w:t>Shared claim-specific concepts:</w:t>
      </w:r>
      <w:r>
        <w:t xml:space="preserve"> planning, approach, conceptual; EU scope visible. This is a provisional connection, not an outcome finding.</w:t>
      </w:r>
    </w:p>
    <w:p>
      <w:pPr>
        <w:pStyle w:val="SourceNote"/>
      </w:pPr>
      <w:r>
        <w:rPr>
          <w:b/>
        </w:rPr>
        <w:t>Available abstract (not full text):</w:t>
      </w:r>
      <w:r>
        <w:t xml:space="preserve"> Expanding and managing current habitat and species protection measures is at the heart of the European biodiversity strategy. A structured approach is needed to gain insights into such issues is systematic conservation planning, which uses techniques from decision theory to identify places and actions that contribute most effectively to policy objectives given a set of constraints. Yet culturally and historically determined European landscapes make the implementation of any conservation plans challenging, requiring an analysis of synergies and trade-offs before implementation. In this work, we review the scientific literature for evidence of previous conservation planning approaches, highlighting recent advances and success stories. We find that the conceptual characteristics of European conservation planning studies likely reduced their potential in contributing to better-informed decisions. We outline pathways towards improving the uptake of decision theory and multi-criteria conservation planning at various scales, particularly highlighting the need for (a) open data and intuitive tools, (b) the integration of biodiversity-focused conservation planning with multiple objectives, (c) accounting of dynamic ecological processes and functions, and (d) better facilitation of entry-points and co-design practices of conservation planning scenarios with stakeholders. By adopting and </w:t>
      </w:r>
    </w:p>
    <w:p>
      <w:pPr/>
      <w:r>
        <w:rPr>
          <w:b/>
        </w:rPr>
        <w:t>POSSIBLE 2023:</w:t>
      </w:r>
      <w:r>
        <w:t xml:space="preserve"> Determining Urban Indicators in Local Plans—As One of the Sustainable Assumptions of the New European Bauhaus? — https://doi.org/10.3390/buildings14010100</w:t>
      </w:r>
    </w:p>
    <w:p>
      <w:pPr/>
      <w:r>
        <w:rPr>
          <w:b/>
        </w:rPr>
        <w:t>Shared claim-specific concepts:</w:t>
      </w:r>
      <w:r>
        <w:t xml:space="preserve"> purpose, planning, used, following; EU scope visible. This is a provisional connection, not an outcome finding.</w:t>
      </w:r>
    </w:p>
    <w:p>
      <w:pPr>
        <w:pStyle w:val="SourceNote"/>
      </w:pPr>
      <w:r>
        <w:rPr>
          <w:b/>
        </w:rPr>
        <w:t>Available abstract (not full text):</w:t>
      </w:r>
      <w:r>
        <w:t xml:space="preserve"> The purpose of local spatial development plans in Poland is to shape spatial policy at the local level by establishing local law. On this basis, the intended use of land is determined, as well as the manner of its development. Some of the planning tools used are urban planning parameters and indicators, which are defined in planning documents at the local (commune) level. This article discusses the analyses of two selected urban indicators: the maximum built-up area and the minimum share of biologically active area, which are obligatorily determined in local plans. The issue here is a certain discrepancy between the planning provisions used in theory and their practical application. This paper uses a descriptive, computational, and comparative analytical research method to interpret the planning provisions used in selected Local Spatial Development Plans. This research will allow for answering of the following questions: Are the urban indicators defined by architects adapted to spatial needs? Do they allow for optimal shaping of this space, taking into account the provisions of Polish law? And is their skillful designation likely to be one of the sustainable assumptions of the New European Bauhaus?</w:t>
      </w:r>
    </w:p>
    <w:p>
      <w:pPr/>
      <w:r>
        <w:rPr>
          <w:b/>
        </w:rPr>
        <w:t>POSSIBLE 2021:</w:t>
      </w:r>
      <w:r>
        <w:t xml:space="preserve"> Holistic and integrative review into the barriers to women’s advancement to the corporate top in Europe — https://doi.org/10.1108/gm-02-2020-0058</w:t>
      </w:r>
    </w:p>
    <w:p>
      <w:pPr/>
      <w:r>
        <w:rPr>
          <w:b/>
        </w:rPr>
        <w:t>Shared claim-specific concepts:</w:t>
      </w:r>
      <w:r>
        <w:t xml:space="preserve"> purpose, approach, used, design, methodology, aims; EU scope visible. This is a provisional connection, not an outcome finding.</w:t>
      </w:r>
    </w:p>
    <w:p>
      <w:pPr>
        <w:pStyle w:val="SourceNote"/>
      </w:pPr>
      <w:r>
        <w:rPr>
          <w:b/>
        </w:rPr>
        <w:t>Available abstract (not full text):</w:t>
      </w:r>
      <w:r>
        <w:t xml:space="preserve"> Purpose This paper aims to analyze the barriers discussed in the extant literature as to why women are underrepresented in the corporate top and explains how these barriers interrelate. An understanding of the interrelatedness of the barriers can help develop suitable and effective measures to improve women’s representation. Design/methodology/approach The systematic review method was applied. The search resulted in 51 relevant academic articles from multiple disciplines which were used for the analysis. Findings Barriers identified include gender stereotypes, bias in recruitment and promotion, devaluation of women, masculine and long-hours organizational culture, work-family issues and the lack of professional support. The interrelatedness of these barriers is analyzed by means of a conceptual framework. Research limitations/implications The adopted method requires the use of search engines and search terms and consequently relevant articles may have been overlooked. The study is geographically demarcated to Europe and, hence is only applicable to developing suitable and effective measures in a European context. More research is needed into which measures are appropriate and effective to overcome the barriers identified. Practical implications The insights can be used by companies to foster gender equality and by companies and governments to develop appropriate and effective m</w:t>
      </w:r>
    </w:p>
    <w:p>
      <w:pPr/>
      <w:r>
        <w:rPr>
          <w:b/>
        </w:rPr>
        <w:t>POSSIBLE 2021:</w:t>
      </w:r>
      <w:r>
        <w:t xml:space="preserve"> European recommendations on the proper indication and use of peripheral venous access devices (the ERPIUP consensus): A WoCoVA project — https://doi.org/10.1177/11297298211023274</w:t>
      </w:r>
    </w:p>
    <w:p>
      <w:pPr/>
      <w:r>
        <w:rPr>
          <w:b/>
        </w:rPr>
        <w:t>Shared claim-specific concepts:</w:t>
      </w:r>
      <w:r>
        <w:t xml:space="preserve"> purpose, discuss, developed, following; EU scope visible. This is a provisional connection, not an outcome finding.</w:t>
      </w:r>
    </w:p>
    <w:p>
      <w:pPr>
        <w:pStyle w:val="SourceNote"/>
      </w:pPr>
      <w:r>
        <w:rPr>
          <w:b/>
        </w:rPr>
        <w:t>Available abstract (not full text):</w:t>
      </w:r>
      <w:r>
        <w:t xml:space="preserve"> Since several innovations have recently changed the criteria of choice and management of peripheral venous access (new devices, new techniques of insertion, new recommendations for maintenance), the WoCoVA Foundation (WoCoVA = World Conference on Vascular Access) has developed an international Consensus with the following objectives: to propose a clear and useful classification of the currently available peripheral venous access devices; to clarify the proper indication of central versus peripheral venous access; discuss the indications of the different peripheral venous access devices (short peripheral cannulas vs long peripheral cannulas vs midline catheters); to define the proper techniques of insertion and maintenance that should be recommended today. To achieve these purposes, WoCoVA have decided to adopt a European point of view, considering some relevant differences of terminology between North America and Europe in this area of venous access and the need for a common basis of understanding among the experts recruited for this project. The ERPIUP Consensus (ERPIUP = European Recommendations for Proper Indication and Use of Peripheral venous access) was designed to offer systematic recommendations for clinical practice, covering every aspect of management of peripheral venous access devices in the adult patient: indication, insertion, maintenance, prevention and treatment</w:t>
      </w:r>
    </w:p>
    <w:p>
      <w:pPr/>
      <w:r>
        <w:rPr>
          <w:b/>
        </w:rPr>
        <w:t>POSSIBLE 2020:</w:t>
      </w:r>
      <w:r>
        <w:t xml:space="preserve"> Loess landscapes of Europe – Mapping, geomorphology, and zonal differentiation — https://doi.org/10.1016/j.earscirev.2020.103496</w:t>
      </w:r>
    </w:p>
    <w:p>
      <w:pPr/>
      <w:r>
        <w:rPr>
          <w:b/>
        </w:rPr>
        <w:t>Shared claim-specific concepts:</w:t>
      </w:r>
      <w:r>
        <w:t xml:space="preserve"> discuss, used, following; EU scope visible. This is a provisional connection, not an outcome finding.</w:t>
      </w:r>
    </w:p>
    <w:p>
      <w:pPr>
        <w:pStyle w:val="SourceNote"/>
      </w:pPr>
      <w:r>
        <w:rPr>
          <w:b/>
        </w:rPr>
        <w:t>Available abstract (not full text):</w:t>
      </w:r>
      <w:r>
        <w:t xml:space="preserve"> Paleoenvironmental reconstructions on a (supra-)regional scale have gained attention in Quaternary sciences during the last decades. In terrestrial realms, loess deposits and especially intercalations of loess and buried soils, so called loess-paleosol sequences (LPS) are important archives to unravel the terrestrial response to e.g. climatic fluctuations and reconstruct paleoenvironments during the Pleistocene. The analysis of LPS requires the knowledge of several key factors, such as the distribution of the aeolian sediments, their location relative to (potential) source areas, the climate conditions that led to their emplacement and the topography of the sink area. These factors strongly influence the sedimentological and paleoenvironmental characteristics of LPS and show broad variations throughout Europe, leading to a distinct distribution pattern throughout the continent. We present a new map of the distribution of aeolian sediments (mainly loess) and major potential source areas for Europe. The map was compiled combining geodata of different mapping approaches. Most of the used geodata stems from accurate national maps of 27 different countries. Problematic aspects such as different nomenclatures across administrative borders were carefully investigated and revised. The result is a seamless map, which comprises pedological, geological, and geomorphological data and can b</w:t>
      </w:r>
    </w:p>
    <w:p>
      <w:pPr/>
      <w:r>
        <w:rPr>
          <w:b/>
        </w:rPr>
        <w:t>POSSIBLE 2019:</w:t>
      </w:r>
      <w:r>
        <w:t xml:space="preserve"> Autonomous Road Vehicles: Challenges for Urban Planning in European Cities — https://doi.org/10.3390/urbansci3020061</w:t>
      </w:r>
    </w:p>
    <w:p>
      <w:pPr/>
      <w:r>
        <w:rPr>
          <w:b/>
        </w:rPr>
        <w:t>Shared claim-specific concepts:</w:t>
      </w:r>
      <w:r>
        <w:t xml:space="preserve"> planning, used, design; EU scope visible. This is a provisional connection, not an outcome finding.</w:t>
      </w:r>
    </w:p>
    <w:p>
      <w:pPr>
        <w:pStyle w:val="SourceNote"/>
      </w:pPr>
      <w:r>
        <w:rPr>
          <w:b/>
        </w:rPr>
        <w:t>Available abstract (not full text):</w:t>
      </w:r>
      <w:r>
        <w:t xml:space="preserve"> Autonomous vehicles will significantly affect mobility conditions in the future. The changes in mobility conditions are expected to have an impact on urban development and, more specifically, on location choices, land use organisation and infrastructure design. Nowadays, there is not enough data for a real-life assessment of this impact. Experts estimate that autonomous vehicles will be available for uptake in the next decade. Therefore, urban planners should consider the possible impacts from autonomous vehicles on cities and the future challenges for urban planning. In this context, the present paper focuses on the challenges from the implementation of autonomous road vehicles for passenger transport in European cities. The analysis is based on a systematic review of research and policy. The main outcome of the analysis is a set of challenges for urban planning regarding the features of urban development, the local and European policy priorities, the current lack of data for planning and the potential for autonomous vehicles to be used by planners as data sources. The paper concludes that tackling these challenges is essential for the full exploitation of the autonomous vehicles’ potential to promote sustainable urban development.</w:t>
      </w:r>
    </w:p>
    <w:p>
      <w:pPr/>
      <w:r>
        <w:rPr>
          <w:b/>
        </w:rPr>
        <w:t>POSSIBLE 2019:</w:t>
      </w:r>
      <w:r>
        <w:t xml:space="preserve"> Planning for the North-European Waterfront Cities — https://doi.org/10.1088/1757-899x/603/5/052047</w:t>
      </w:r>
    </w:p>
    <w:p>
      <w:pPr/>
      <w:r>
        <w:rPr>
          <w:b/>
        </w:rPr>
        <w:t>Shared claim-specific concepts:</w:t>
      </w:r>
      <w:r>
        <w:t xml:space="preserve"> planning, used, tourism, design, group; EU scope visible. This is a provisional connection, not an outcome finding.</w:t>
      </w:r>
    </w:p>
    <w:p>
      <w:pPr>
        <w:pStyle w:val="SourceNote"/>
      </w:pPr>
      <w:r>
        <w:rPr>
          <w:b/>
        </w:rPr>
        <w:t>Available abstract (not full text):</w:t>
      </w:r>
      <w:r>
        <w:t xml:space="preserve"> Abstract Redevelopment of urban waterfronts is one of the leading themes in contemporary planning practice. This issue is a subject of interest to many scholars and practitioners, associated with development of waterfront cities. In literature on this topic one can find a lot of information regarding leading examples of this process, discussion of issues and problems associated with this phenomenon as well as analysis of the results achieved. In addition, many specialists in this field managed to develop a sort of “guide of good practice” for cities and planners interested in undertaking an effort associated with reshaping the waterfront site. But one can easily spot that most of the cases discussed are based in climate zones allowing extensive public use of the waterfront sites for the most part of the year. Therefore, the phenomenon of waterfront redevelopment is frequently associated with extensive development of large scale urban structures, in the climate realities allowing extensive public usage of these. On the basis of the “success stories” of many cities undertaking the waterfront urban redevelopment process also municipalities located in “less privileged” from the climate point of view areas as well as small-and medium-sized cities tend to rethink their water related urban structures. This relates both to cities located in the hot and cold climate zones – which to lar</w:t>
      </w:r>
    </w:p>
    <w:p>
      <w:pPr/>
      <w:r>
        <w:rPr>
          <w:b/>
        </w:rPr>
        <w:t>POSSIBLE 2018:</w:t>
      </w:r>
      <w:r>
        <w:t xml:space="preserve"> Prevalence and incidence of myalgic encephalomyelitis/chronic fatigue syndrome in Europe—the Euro-epiME study from the European network EUROMENE: a protocol for a systematic review — https://doi.org/10.1136/bmjopen-2017-020817</w:t>
      </w:r>
    </w:p>
    <w:p>
      <w:pPr/>
      <w:r>
        <w:rPr>
          <w:b/>
        </w:rPr>
        <w:t>Shared claim-specific concepts:</w:t>
      </w:r>
      <w:r>
        <w:t xml:space="preserve"> discuss, sections, methodological, applied; EU scope visible. This is a provisional connection, not an outcome finding.</w:t>
      </w:r>
    </w:p>
    <w:p>
      <w:pPr>
        <w:pStyle w:val="SourceNote"/>
      </w:pPr>
      <w:r>
        <w:rPr>
          <w:b/>
        </w:rPr>
        <w:t>Available abstract (not full text):</w:t>
      </w:r>
      <w:r>
        <w:t xml:space="preserve"> INTRODUCTION: Myalgic encephalomyelitis/chronic fatigue syndrome (ME/CFS) is a chronic disease involving central nervous system and immune system disorders, as well as cardiovascular abnormalities. ME/CFS is characterised by severe chronic fatigue lasting for at least 6 months, including clinical symptoms such as tender cervical or axillary lymph nodes, muscle pain, joint pain without swelling or redness, post-exertional malaise for more than 24 hours and unrefreshing sleep. Studies on the epidemiology of ME/CFS in Europe only include single countries and, therefore, the prevalence and incidence of ME/CFS in Europe (as a whole) is unknown. One of the purposes of the European Network on ME/CFS (EUROMENE; European Union-funded COST Action; Reference number: 15111) is to address this gap in knowledge. We will systematically review the literature reporting figures from European countries to provide a robust summary and identify new challenges. METHODS AND ANALYSIS: We will systematically search the literature databases Scopus, PubMed and Web of Science for studies published in the last 10 years (ie, after 2007). No language restriction will be applied. Two independent reviewers will search, screen and select studies as well as extract data about their main characteristics and evaluate their methodological and reporting quality. When disagreements emerge, the reviewers will discuss </w:t>
      </w:r>
    </w:p>
    <w:p>
      <w:pPr/>
      <w:r>
        <w:rPr>
          <w:b/>
        </w:rPr>
        <w:t>POSSIBLE 2018:</w:t>
      </w:r>
      <w:r>
        <w:t xml:space="preserve"> Innovating in less developed regions: What drives patenting in the lagging regions of Europe and North America — https://doi.org/10.1111/grow.12280</w:t>
      </w:r>
    </w:p>
    <w:p>
      <w:pPr/>
      <w:r>
        <w:rPr>
          <w:b/>
        </w:rPr>
        <w:t>Shared claim-specific concepts:</w:t>
      </w:r>
      <w:r>
        <w:t xml:space="preserve"> approach, developed, design; EU scope visible. This is a provisional connection, not an outcome finding.</w:t>
      </w:r>
    </w:p>
    <w:p>
      <w:pPr>
        <w:pStyle w:val="SourceNote"/>
      </w:pPr>
      <w:r>
        <w:rPr>
          <w:b/>
        </w:rPr>
        <w:t>Available abstract (not full text):</w:t>
      </w:r>
      <w:r>
        <w:t xml:space="preserve"> Abstract Not all economically disadvantaged—“less developed” or “lagging”—regions are the same. They are, however, often bundled together for the purposes of innovation policy design and implementation. This paper attempts to determine whether such bundling is warranted by conducting a regional level investigation for Canada, the United States, on the one hand, and Europe, on the other, to (a) identify the structural and socioeconomic factors that drive patenting in the less developed regions of North America and Europe, respectively; and (b) explore how these factors differ between the two contexts. The empirical analysis, estimated using a mixed‐model approach, reveals that, while there are similarities between the drivers of innovation in North America's and Europe's lagging regions, a number of important differences between the two continents prevail. The analysis also indicates that the territorial processes of innovation in North America's and Europe's less developed regions are more similar to those of their more developed counterparts than to one another.</w:t>
      </w:r>
    </w:p>
    <w:p>
      <w:pPr/>
      <w:r>
        <w:rPr>
          <w:b/>
        </w:rPr>
        <w:t>POSSIBLE 2018:</w:t>
      </w:r>
      <w:r>
        <w:t xml:space="preserve"> How to use nature-based solutions in urban planning systems of Europe? — https://openalex.org/W3041629319</w:t>
      </w:r>
    </w:p>
    <w:p>
      <w:pPr/>
      <w:r>
        <w:rPr>
          <w:b/>
        </w:rPr>
        <w:t>Shared claim-specific concepts:</w:t>
      </w:r>
      <w:r>
        <w:t xml:space="preserve"> planning, developed, used, methodology; EU scope visible. This is a provisional connection, not an outcome finding.</w:t>
      </w:r>
    </w:p>
    <w:p>
      <w:pPr>
        <w:pStyle w:val="SourceNote"/>
      </w:pPr>
      <w:r>
        <w:rPr>
          <w:b/>
        </w:rPr>
        <w:t>Available abstract (not full text):</w:t>
      </w:r>
      <w:r>
        <w:t xml:space="preserve"> In developed countries, the level of urbanization is still rising and expected to reach 83% in 2030 [United Nations, 2012]. As a result of rapid growing of urban areas and population, the urban planners several challenges. For example, risks of flooding due to overload of the drainage system, and pollution due to combined sewer overflows and diffuse pollution, consequently increase significantly. Questions about biodiversity promotion and urban heat islands are also emerging as major issues in the construction of sustainable cities [Berretta et al; 2014].European Commission, (2015) highlighted nature-based solutions in order to address the mentioned urban problems related to climatic, demographic and technological changes. The aim is to bring new solutions into urban planning and thus, to address those challenges and to improve the well-being sensation, quality of life of city dwellers.Nature-based solutions (NBS) are one of the newest concepts for tackling urban challenges. The concept of NBS was meant to reform the methodology of urban planning in EU countries and deliver multiple environmental, social and economic benefits through introducing and implementing a new toolkit based on natural resources. In the Horizon 2020 project, Nature4Cities besides multi-thematic and multi-scalar evaluation of nature-based solutions and their effectiveness in addressing different urban cha</w:t>
      </w:r>
    </w:p>
    <w:p>
      <w:pPr>
        <w:pStyle w:val="Heading2"/>
      </w:pPr>
      <w:r>
        <w:t>881. La aplicación estratégica por escenarios en el medio natural. El caso del Nature Outlook 2050 del PBL.</w:t>
      </w:r>
    </w:p>
    <w:p>
      <w:pPr>
        <w:pStyle w:val="SourceNote"/>
      </w:pPr>
      <w:r>
        <w:rPr>
          <w:b/>
        </w:rPr>
        <w:t>Original source (2015):</w:t>
      </w:r>
      <w:r>
        <w:t xml:space="preserve"> https://doi.org/10.5209/rev_obmd.2015.v18.51291</w:t>
      </w:r>
    </w:p>
    <w:p>
      <w:pPr/>
      <w:r>
        <w:t>Original wording (abstract; indexed_source_text_not_full_document_verified): This paper shows how to implement the tool, mixing theoretical explanation and the practical performance done in project called: Nature Outlook 2050.</w:t>
      </w:r>
    </w:p>
    <w:p>
      <w:pPr/>
      <w:r>
        <w:rPr>
          <w:b/>
        </w:rPr>
        <w:t>POSSIBLE 2026:</w:t>
      </w:r>
      <w:r>
        <w:t xml:space="preserve"> Theoretical Explanation of Triguna and Emotional Intelligence — https://doi.org/10.1922/pjs.16.4s.2026.954</w:t>
      </w:r>
    </w:p>
    <w:p>
      <w:pPr/>
      <w:r>
        <w:rPr>
          <w:b/>
        </w:rPr>
        <w:t>Shared claim-specific concepts:</w:t>
      </w:r>
      <w:r>
        <w:t xml:space="preserve"> theoretical, explanation, nature; EU scope not established. This is a provisional connection, not an outcome finding.</w:t>
      </w:r>
    </w:p>
    <w:p>
      <w:pPr>
        <w:pStyle w:val="SourceNote"/>
      </w:pPr>
      <w:r>
        <w:rPr>
          <w:b/>
        </w:rPr>
        <w:t>Available abstract (not full text):</w:t>
      </w:r>
      <w:r>
        <w:t xml:space="preserve"> Getting into psychology is one of the best ways to analyse the behaviour of any individual. In yoga, basic human nature is deeply influenced by the dominance of any one of the Triguna. Satva, Raja, and Tama are the three gunas, which we address in various yogic scriptures. By understanding these gunas, one can recognise the emotional patterns and behaviours of a person. Many ancient books have explained this theory of Triguṇa and its influence on Personality. Satva guna is considered to be pure, Raja guna is activity, and Tama guna is darkness. Every person possesses these qualities, but they are not evenly dominant at the same time. These disturbances in gunas will ultimately make differences in personality from one person to another. Conflict in personality traits can only be seen when there is an imbalance in these three gunas. Majorly, there are factors that indirectly play a role in the fluctuations of mental health and overall behaviour. It can be work-life balance, health-related issues, or a lack of emotional maturity. With this study, we will be able to identify the origin of that factor and explore further the nature of personality modifications. This theoretical paper on Triguna analysis aims to explore further possibilities for conducting a well-defined study on human psychology and to understand the concept of emotional well-being.</w:t>
      </w:r>
    </w:p>
    <w:p>
      <w:pPr/>
      <w:r>
        <w:rPr>
          <w:b/>
        </w:rPr>
        <w:t>POSSIBLE 2025:</w:t>
      </w:r>
      <w:r>
        <w:t xml:space="preserve"> GAD-7 Screening Tool Implementation — https://openalex.org/W7112211183</w:t>
      </w:r>
    </w:p>
    <w:p>
      <w:pPr/>
      <w:r>
        <w:rPr>
          <w:b/>
        </w:rPr>
        <w:t>Shared claim-specific concepts:</w:t>
      </w:r>
      <w:r>
        <w:t xml:space="preserve"> implement, tool, project; EU scope not established. This is a provisional connection, not an outcome finding.</w:t>
      </w:r>
    </w:p>
    <w:p>
      <w:pPr>
        <w:pStyle w:val="SourceNote"/>
      </w:pPr>
      <w:r>
        <w:rPr>
          <w:b/>
        </w:rPr>
        <w:t>Available abstract (not full text):</w:t>
      </w:r>
      <w:r>
        <w:t xml:space="preserve"> The purpose of this doctor of nursing practice (DNP) project was to provide a staff education program to improve staff knowledge about the use of the GAD-7 screening tool. Generalized anxiety disorder (GAD) remains an underdiagnosed condition, often due to inadequate use of standardized tools in clinical settings, leading to delayed treatments and suboptimal outcomes for patients experiencing anxiety disorders. The identified gap in practice necessitated an educational intervention to equip healthcare providers with the skills to effectively use the GAD-7 screening tool. To address this gap, a 2-hour staff education program was delivered via in-person sessions and online modules. The practice-focused question guiding this project was: What is the effect of implementing a staff education program to improve staff knowledge to effectively implement changes that affect the use of the GAD-7 screening tool to identify, measure, and track treatment progress and outcomes for patients with GAD? A pretest/posttest design was used for this project. Findings were analyzed using descriptive statistics and a Wilcoxon signed-rank test, which showed a significant difference (p &lt; .05) between the pretest and posttest evaluation of knowledge scores. These findings show that educating staff could improve their knowledge of the use of the GAD-7 screening tool to improve outcomes. Implementation of</w:t>
      </w:r>
    </w:p>
    <w:p>
      <w:pPr/>
      <w:r>
        <w:rPr>
          <w:b/>
        </w:rPr>
        <w:t>POSSIBLE 2023:</w:t>
      </w:r>
      <w:r>
        <w:t xml:space="preserve"> The Problem with Propositions: Theoretical Triangulation to Better Explain Phenomena in Management Research — https://doi.org/10.5465/amr.2022.0297</w:t>
      </w:r>
    </w:p>
    <w:p>
      <w:pPr/>
      <w:r>
        <w:rPr>
          <w:b/>
        </w:rPr>
        <w:t>Shared claim-specific concepts:</w:t>
      </w:r>
      <w:r>
        <w:t xml:space="preserve"> theoretical, explanation, practical; EU scope not established. This is a provisional connection, not an outcome finding.</w:t>
      </w:r>
    </w:p>
    <w:p>
      <w:pPr>
        <w:pStyle w:val="SourceNote"/>
      </w:pPr>
      <w:r>
        <w:rPr>
          <w:b/>
        </w:rPr>
        <w:t>Available abstract (not full text):</w:t>
      </w:r>
      <w:r>
        <w:t xml:space="preserve"> In management research, theory is commonly viewed as a set of propositional statements backed up by theoretical assumptions. This view is embraced across conceptual and empirical research and effectively binds a particular style of reasoning, as a common grammar, to a specific form that theoretical explanations, as a structured set of propositions, should take. In this paper, I analyze characteristics of the propositional grammar and highlight several significant problems, including its high incidence rate of false positives in empirical research (false hypotheses that are accepted as true) and how it generally limits our explanation of phenomena by casting them as effects to be predicted. Informed by this analysis, I make the case for theoretical triangulation and offer a prescriptive model whereby researchers can strengthen their explanations of phenomena by iterating across multiple theoretical grammars rather than steadfastly using a single grammar. Using examples from prior research, I show how such theoretical triangulation helps mitigate the specific inferential biases and threats to validity of any grammar and leads to better explanations overall. Finally, I spell out the implications of this argument and offer a set of practical recommendations for implementing the practice of theoretical triangulation in the field of management research.</w:t>
      </w:r>
    </w:p>
    <w:p>
      <w:pPr/>
      <w:r>
        <w:rPr>
          <w:b/>
        </w:rPr>
        <w:t>POSSIBLE 2023:</w:t>
      </w:r>
      <w:r>
        <w:t xml:space="preserve"> Fuzzy Hardware Tool: An Adaptable Tool to Facilitate the Implementation of Fuzzy Inference Systems in Hardware — https://doi.org/10.3390/electronics12132853</w:t>
      </w:r>
    </w:p>
    <w:p>
      <w:pPr/>
      <w:r>
        <w:rPr>
          <w:b/>
        </w:rPr>
        <w:t>Shared claim-specific concepts:</w:t>
      </w:r>
      <w:r>
        <w:t xml:space="preserve"> implement, tool, performance; EU scope not established. This is a provisional connection, not an outcome finding.</w:t>
      </w:r>
    </w:p>
    <w:p>
      <w:pPr>
        <w:pStyle w:val="SourceNote"/>
      </w:pPr>
      <w:r>
        <w:rPr>
          <w:b/>
        </w:rPr>
        <w:t>Available abstract (not full text):</w:t>
      </w:r>
      <w:r>
        <w:t xml:space="preserve"> A Fuzzy Inference System (FIS) is a system that represents human reasoning based on fuzzy if-then rules to extract valid results from imprecise or uncertain information. These systems have been applied to various engineering fields, such as control and image recognition, and have encouraged the search for development tools that provide facilities for the design, simulation, and implementation of FISs. Most of the available software tools for the design of FISs have been developed by the scientific community, and very few are commercial tools. According to the state of the technology, the fuzzy systems implemented in hardware have shown higher performance than software implementations. For this reason, different strategies for automatic hardware synthesis of FISs have been proposed in the literature. The available tools for FIS implementation, including MATLAB, Simulink, and Xfuzzy environment, require advanced hardware knowledge, and it is necessary to synthesize and implement the program on FPGA each time a change is made to the code. This paper presents a novel approach for the implementation of fuzzy systems on hardware devices that enables the direct implementation of FISs through a graphical user interface. The VHDL code is pre-synthesized and integrated with the interface, allowing users to experiment with different input parameters, such as membership functions and fuzzy</w:t>
      </w:r>
    </w:p>
    <w:p>
      <w:pPr/>
      <w:r>
        <w:rPr>
          <w:b/>
        </w:rPr>
        <w:t>POSSIBLE 2022:</w:t>
      </w:r>
      <w:r>
        <w:t xml:space="preserve"> Implementation and use of remote work tools — https://doi.org/10.29119/1641-3466.2022.159.39</w:t>
      </w:r>
    </w:p>
    <w:p>
      <w:pPr/>
      <w:r>
        <w:rPr>
          <w:b/>
        </w:rPr>
        <w:t>Shared claim-specific concepts:</w:t>
      </w:r>
      <w:r>
        <w:t xml:space="preserve"> shows, tool, practical; EU scope not established. This is a provisional connection, not an outcome finding.</w:t>
      </w:r>
    </w:p>
    <w:p>
      <w:pPr>
        <w:pStyle w:val="SourceNote"/>
      </w:pPr>
      <w:r>
        <w:rPr>
          <w:b/>
        </w:rPr>
        <w:t>Available abstract (not full text):</w:t>
      </w:r>
      <w:r>
        <w:t xml:space="preserve"> Purpose: The aim of this article is to describe employees' expectations and managers' practices in the implementation and use of tools supporting remote work.Design/methodology/approach: To this end, employee opinion surveys were conducted using the Computer-Assisted Web Interview (CAWI) method (n = 500) and structured interviews were performed with managers (n = 14).Cross tabulation was employed to quantitatively verify statistically significant relationships and coding of the interview contents was applied in the qualitative analysis.Findings: Based on the results, the impact of personal skills, IT support and tool selection on the use of remote work tools (and employee satisfaction) are assessed. Research limitations/implications:In view of the newly emerging employee challenges it seems critical to refer to the latest research and constantly update the knowledge of all those involved.Hybrid work can change employees' opinions and attitudes and further diversify teams' expectations towards managers as well as the tools they use.Practical implications: Good practices are identified and recommendations are formulated regarding the application of the tools by managers in practice.Originality/value: The article organizes the issues of using technical tools for management during forced remote work.It shows employees expectations and best practices, which could be valuable for man</w:t>
      </w:r>
    </w:p>
    <w:p>
      <w:pPr/>
      <w:r>
        <w:rPr>
          <w:b/>
        </w:rPr>
        <w:t>POSSIBLE 2022:</w:t>
      </w:r>
      <w:r>
        <w:t xml:space="preserve"> A methodological framework for theoretical explanation in performance management and management control systems research — https://doi.org/10.1108/qram-10-2021-0193</w:t>
      </w:r>
    </w:p>
    <w:p>
      <w:pPr/>
      <w:r>
        <w:rPr>
          <w:b/>
        </w:rPr>
        <w:t>Shared claim-specific concepts:</w:t>
      </w:r>
      <w:r>
        <w:t xml:space="preserve"> theoretical, explanation, performance; EU scope not established. This is a provisional connection, not an outcome finding.</w:t>
      </w:r>
    </w:p>
    <w:p>
      <w:pPr>
        <w:pStyle w:val="SourceNote"/>
      </w:pPr>
      <w:r>
        <w:rPr>
          <w:b/>
        </w:rPr>
        <w:t>Available abstract (not full text):</w:t>
      </w:r>
      <w:r>
        <w:t xml:space="preserve"> Purpose The purpose of this paper is to reflect on how to apply the abductive research process for developing a theoretical explanation in studies on performance management and management control systems. This is important because theoretically ambitious research tends to require explanatory study outcomes, but prior research frameworks provide little guidance in this regard, potentially facilitating ill-defined research designs and a lack of common vocabulary and criteria for evaluating studies. Design/methodology/approach The authors introduce a methodological framework that distinguishes three interwoven theoretical abstraction levels: descriptive, analytical and explanatory. They use a recently published qualitative field study to illustrate an application of the framework. Findings The framework and its illustrated application make the systematic logic of the abductive research process visible and accessible to researchers. The authors explain how the framework supports moving from empirical description to theoretical explanation during the research process and where the three levels might open spaces for the positioning of novel practices and conceptual and theoretical innovations. Originality/value The framework provides guidance for an explanatory research design and theory-building purpose and has been developed in response to recent criticism in the field that highlig</w:t>
      </w:r>
    </w:p>
    <w:p>
      <w:pPr/>
      <w:r>
        <w:rPr>
          <w:b/>
        </w:rPr>
        <w:t>POSSIBLE 2022:</w:t>
      </w:r>
      <w:r>
        <w:t xml:space="preserve"> VC Theoretical Explanation of Double Descent — https://doi.org/10.48550/arxiv.2205.15549</w:t>
      </w:r>
    </w:p>
    <w:p>
      <w:pPr/>
      <w:r>
        <w:rPr>
          <w:b/>
        </w:rPr>
        <w:t>Shared claim-specific concepts:</w:t>
      </w:r>
      <w:r>
        <w:t xml:space="preserve"> shows, theoretical, explanation, performance; EU scope not established. This is a provisional connection, not an outcome finding.</w:t>
      </w:r>
    </w:p>
    <w:p>
      <w:pPr>
        <w:pStyle w:val="SourceNote"/>
      </w:pPr>
      <w:r>
        <w:rPr>
          <w:b/>
        </w:rPr>
        <w:t>Available abstract (not full text):</w:t>
      </w:r>
      <w:r>
        <w:t xml:space="preserve"> There has been growing interest in generalization performance of large multilayer neural networks that can be trained to achieve zero training error, while generalizing well on test data. This regime is known as 'second descent' and it appears to contradict the conventional view that optimal model complexity should reflect an optimal balance between underfitting and overfitting, i.e., the bias-variance trade-off. This paper presents a VC-theoretical analysis of double descent and shows that it can be fully explained by classical VC-generalization bounds. We illustrate an application of analytic VC-bounds for modeling double descent for classification, using empirical results for several learning methods, such as SVM, Least Squares, and Multilayer Perceptron classifiers. In addition, we discuss several reasons for the misinterpretation of VC-theoretical results in Deep Learning community.</w:t>
      </w:r>
    </w:p>
    <w:p>
      <w:pPr/>
      <w:r>
        <w:rPr>
          <w:b/>
        </w:rPr>
        <w:t>POSSIBLE 2021:</w:t>
      </w:r>
      <w:r>
        <w:t xml:space="preserve"> Implementation of forecasting tool in the logistics company – case study — https://doi.org/10.29119/1641-3466.2021.152.9</w:t>
      </w:r>
    </w:p>
    <w:p>
      <w:pPr/>
      <w:r>
        <w:rPr>
          <w:b/>
        </w:rPr>
        <w:t>Shared claim-specific concepts:</w:t>
      </w:r>
      <w:r>
        <w:t xml:space="preserve"> shows, implement, tool; EU scope not established. This is a provisional connection, not an outcome finding.</w:t>
      </w:r>
    </w:p>
    <w:p>
      <w:pPr>
        <w:pStyle w:val="SourceNote"/>
      </w:pPr>
      <w:r>
        <w:rPr>
          <w:b/>
        </w:rPr>
        <w:t>Available abstract (not full text):</w:t>
      </w:r>
      <w:r>
        <w:t xml:space="preserve"> Purpose: The main aim of following article is the implementation and results analysis of created forecasting tool.Created tool is a tool for automated prediction of future demands level in chosen distribution networks where logistics operator is acting as a service provider.Design/methodology/approach: Article shows the conception of created forecasting tool and presents the deviations of forecasts from real values.Findings: Logistics enterprise could implement the forecasting tool to improvement their own activity.However it demands depth assortment analyzing and also it demands supporting the processes of automated forecasting by forecasting processes based on quality and mixed methods.Originality/value: The value of following article is showing the new function of logistics enterprise which is demand forecasting.It could be also a value added activity which logistic operator could offer to their customers.</w:t>
      </w:r>
    </w:p>
    <w:p>
      <w:pPr/>
      <w:r>
        <w:rPr>
          <w:b/>
        </w:rPr>
        <w:t>POSSIBLE 2020:</w:t>
      </w:r>
      <w:r>
        <w:t xml:space="preserve"> Role and implementation of sustainability management control tools: critical aspects in the Italian context — https://doi.org/10.1108/aaaj-02-2019-3887</w:t>
      </w:r>
    </w:p>
    <w:p>
      <w:pPr/>
      <w:r>
        <w:rPr>
          <w:b/>
        </w:rPr>
        <w:t>Shared claim-specific concepts:</w:t>
      </w:r>
      <w:r>
        <w:t xml:space="preserve"> shows, implement, theoretical, practical; EU scope not established. This is a provisional connection, not an outcome finding.</w:t>
      </w:r>
    </w:p>
    <w:p>
      <w:pPr>
        <w:pStyle w:val="SourceNote"/>
      </w:pPr>
      <w:r>
        <w:rPr>
          <w:b/>
        </w:rPr>
        <w:t>Available abstract (not full text):</w:t>
      </w:r>
      <w:r>
        <w:t xml:space="preserve"> Purpose The purpose of this paper is to show the relevance attributed to sustainability management control tools (SMCTs) and their real use. Mainly, this study aims to shed light on the approaches, motivations and difficulties encountered in SMCTs adoption by the most sustainable Italian companies, as well as their effectiveness. Design/methodology/approach Using a pre-structured qualitative survey method, the authors grasped information about external and internal dimensions of sustainability management in light of institutional and resource-based view theories. Data are elaborated with two methods: a regime analysis to assess the relevance of SMCTs and a descriptive analysis to investigate the “aim”, “which” and “how” of the SMCTs' use by companies listed in sustainability indices. Findings Informal SMCTs prevailed over formal ones. There is a discrepancy between attention paid to some tools praised in the literature and their knowledge and use. In addition, a significant gap exists between what is desired and what is achieved in terms of effectiveness. Further, although sustainability management is primarily oriented towards the external perspective, SMCTs can be key to improving both the disclosure and management of sustainability. Research limitations/implications The criteria for the selection of the sample resulted in a small number of analysed companies, which allowed u</w:t>
      </w:r>
    </w:p>
    <w:p>
      <w:pPr/>
      <w:r>
        <w:rPr>
          <w:b/>
        </w:rPr>
        <w:t>POSSIBLE 2019:</w:t>
      </w:r>
      <w:r>
        <w:t xml:space="preserve"> An Information-Theoretic Explanation for the Adversarial Fragility of AI Classifiers — https://doi.org/10.1109/isit.2019.8849757</w:t>
      </w:r>
    </w:p>
    <w:p>
      <w:pPr/>
      <w:r>
        <w:rPr>
          <w:b/>
        </w:rPr>
        <w:t>Shared claim-specific concepts:</w:t>
      </w:r>
      <w:r>
        <w:t xml:space="preserve"> theoretical, explanation, performance; EU scope not established. This is a provisional connection, not an outcome finding.</w:t>
      </w:r>
    </w:p>
    <w:p>
      <w:pPr>
        <w:pStyle w:val="SourceNote"/>
      </w:pPr>
      <w:r>
        <w:rPr>
          <w:b/>
        </w:rPr>
        <w:t>Available abstract (not full text):</w:t>
      </w:r>
      <w:r>
        <w:t xml:space="preserve"> We present a simple hypothesis about a compression property of artificial intelligence (AI) classifiers and present theoretical arguments to show that this hypothesis successfully accounts for the observed fragility of AI classifiers to small adversarial perturbations. We also propose a new method for detecting when small input perturbations cause classifier errors, and show theoretical guarantees for the performance of this detection method. We present experimental results with a voice recognition system to demonstrate this method. The ideas in this paper are motivated by a simple analogy between AI classifiers and the standard Shannon model of a communication system1.</w:t>
      </w:r>
    </w:p>
    <w:p>
      <w:pPr/>
      <w:r>
        <w:rPr>
          <w:b/>
        </w:rPr>
        <w:t>POSSIBLE 2018:</w:t>
      </w:r>
      <w:r>
        <w:t xml:space="preserve"> Theoretical Explanation of Enterprise Diversification — https://doi.org/10.25236/icallh.2018.20</w:t>
      </w:r>
    </w:p>
    <w:p>
      <w:pPr/>
      <w:r>
        <w:rPr>
          <w:b/>
        </w:rPr>
        <w:t>Shared claim-specific concepts:</w:t>
      </w:r>
      <w:r>
        <w:t xml:space="preserve"> shows, theoretical, explanation, practical; EU scope not established. This is a provisional connection, not an outcome finding.</w:t>
      </w:r>
    </w:p>
    <w:p>
      <w:pPr>
        <w:pStyle w:val="SourceNote"/>
      </w:pPr>
      <w:r>
        <w:rPr>
          <w:b/>
        </w:rPr>
        <w:t>Available abstract (not full text):</w:t>
      </w:r>
      <w:r>
        <w:t xml:space="preserve"> In strategic management research, enterprise diversification has become a major study content.And in the enterprise management practice, diversified behavior has become a common practice.It shows that the diversity has an important position in enterprise strategic management.Based on the survey of the domestic and international enterprise diversification of practical experience and literature, from market forces theory, resource theory and agency theory of enterprises, diversified behavior is analyzed in detail.This has a vital significance to enhance China 's enterprises diversification theory accomplishment and practice scientificity.</w:t>
      </w:r>
    </w:p>
    <w:p>
      <w:pPr/>
      <w:r>
        <w:rPr>
          <w:b/>
        </w:rPr>
        <w:t>POSSIBLE 2016:</w:t>
      </w:r>
      <w:r>
        <w:t xml:space="preserve"> Decision Support Tool for Implementation of Remanufacturing in an Enterprise — https://doi.org/10.1016/j.egypro.2016.09.062</w:t>
      </w:r>
    </w:p>
    <w:p>
      <w:pPr/>
      <w:r>
        <w:rPr>
          <w:b/>
        </w:rPr>
        <w:t>Shared claim-specific concepts:</w:t>
      </w:r>
      <w:r>
        <w:t xml:space="preserve"> shows, tool, performance; EU scope not established. This is a provisional connection, not an outcome finding.</w:t>
      </w:r>
    </w:p>
    <w:p>
      <w:pPr>
        <w:pStyle w:val="SourceNote"/>
      </w:pPr>
      <w:r>
        <w:rPr>
          <w:b/>
        </w:rPr>
        <w:t>Available abstract (not full text):</w:t>
      </w:r>
      <w:r>
        <w:t xml:space="preserve"> Several global challenges exist that force manufacturing organizations to reduce the environmental impact of their products. Nowadays, the most common practices of products’ end-of-life stage are landfilling and recycling. However, there are several other practices for products’ end-of-life management that support reduction of environmental impact. One such option is remanufacturing which is a product-recovery option that gives the opportunity to produce new products by using products that have already reached their end-of-life stage. In the process, all modules and components are disassembled, and the used parts – recovered. Depending on the product remanufactured, the process helps reducing energy consumption by 85%, avoiding up to 60% of emissions and saving up to 85% of raw materials, thus reducing the environmental impact considerably. Still, many barriers exist that prevent manufacturing enterprises from implementing the remanufacturing process. To assist enterprises, a decision support tool based on system dynamics modeling has been developed. The paper presents the decision support tool, and shows how the decision of implementing the remanufacturing process in an enterprise changes its performance with respect to environmental and economic aspects.</w:t>
      </w:r>
    </w:p>
    <w:p>
      <w:pPr>
        <w:pStyle w:val="Heading2"/>
      </w:pPr>
      <w:r>
        <w:t>882. Land use implications of future energy system trajectories—The case of the UK 2050 Carbon Plan</w:t>
      </w:r>
    </w:p>
    <w:p>
      <w:pPr>
        <w:pStyle w:val="SourceNote"/>
      </w:pPr>
      <w:r>
        <w:rPr>
          <w:b/>
        </w:rPr>
        <w:t>Original source (2015):</w:t>
      </w:r>
      <w:r>
        <w:t xml:space="preserve"> https://doi.org/10.1016/j.enpol.2015.07.008</w:t>
      </w:r>
    </w:p>
    <w:p>
      <w:pPr/>
      <w:r>
        <w:t>Original wording (abstract; indexed_source_text_not_full_document_verified): Four pathways to achieve this target have been developed by the Department of Energy and Climate Change, with all pathways requiring increased us of bioenergy. A significant amount of this could be indigenously sourced from crops, but will increased domestic production of energy crops conflict with other agricultural priorities?</w:t>
      </w:r>
    </w:p>
    <w:p>
      <w:pPr/>
      <w:r>
        <w:rPr>
          <w:b/>
        </w:rPr>
        <w:t>POSSIBLE 2025:</w:t>
      </w:r>
      <w:r>
        <w:t xml:space="preserve"> Diversified Pathways to Achieve Tax Fairness and Justice in the Digital Age — https://doi.org/10.62517/jel.202514523</w:t>
      </w:r>
    </w:p>
    <w:p>
      <w:pPr/>
      <w:r>
        <w:rPr>
          <w:b/>
        </w:rPr>
        <w:t>Shared claim-specific concepts:</w:t>
      </w:r>
      <w:r>
        <w:t xml:space="preserve"> four, pathways, achieve, all, domestic; EU scope not established. This is a provisional connection, not an outcome finding.</w:t>
      </w:r>
    </w:p>
    <w:p>
      <w:pPr>
        <w:pStyle w:val="SourceNote"/>
      </w:pPr>
      <w:r>
        <w:rPr>
          <w:b/>
        </w:rPr>
        <w:t>Available abstract (not full text):</w:t>
      </w:r>
      <w:r>
        <w:t xml:space="preserve"> In the context of digital globalization, while digital technologies have improved tax collection efficiency and optimized taxpayer services, they have also exacerbated international and domestic tax inequalities, creating a "digital divide" and impacting traditional tax rules. The concept of digital tax fairness and justice has emerged in response, its core being to ensure that all members of society can effectively access, use, and benefit from digital technologies to achieve equitable tax rights. Adam Smith's view of tax justice provides a legitimate basis for digital tax justice. By analyzing its inheritance from the natural law tradition and its utilitarian aspects, as well as its relevance and development potential in the digital age, we can clarify the political foundation and institutional requirements for achieving digital tax fairness and justice. Then, we construct diversified pathways to achieve digital tax fairness and justice, encompassing four pillars: institutional design, technology governance, capacity building, and social collaboration. This involves a coordinated approach from theoretical understanding, institutional construction, and data element innovation to achieve a leap from "technology empowerment" to "value reshaping," providing fiscal and ethical support for digital tax justice.</w:t>
      </w:r>
    </w:p>
    <w:p>
      <w:pPr/>
      <w:r>
        <w:rPr>
          <w:b/>
        </w:rPr>
        <w:t>POSSIBLE 2025:</w:t>
      </w:r>
      <w:r>
        <w:t xml:space="preserve"> Developing multi-risk DRM pathways — Lessons from four European case studies — https://doi.org/10.1016/j.crm.2025.100753</w:t>
      </w:r>
    </w:p>
    <w:p>
      <w:pPr/>
      <w:r>
        <w:rPr>
          <w:b/>
        </w:rPr>
        <w:t>Shared claim-specific concepts:</w:t>
      </w:r>
      <w:r>
        <w:t xml:space="preserve"> four, pathways, climate, but, priorities; EU scope visible. This is a provisional connection, not an outcome finding.</w:t>
      </w:r>
    </w:p>
    <w:p>
      <w:pPr>
        <w:pStyle w:val="SourceNote"/>
      </w:pPr>
      <w:r>
        <w:rPr>
          <w:b/>
        </w:rPr>
        <w:t>Available abstract (not full text):</w:t>
      </w:r>
      <w:r>
        <w:t xml:space="preserve"> In the context of climate change and socioeconomic developments, disaster risk is intensifying, driven not only by more frequent and severe hazard events but also by complex interactions between these events and underlying vulnerabilities. These interactions can amplify impacts and trigger cascading failures across sectors. Using the Canary Islands, the Danube Region, the North Sea, and Scandinavia as four case study regions, this research explores how the Dynamic Adaptive Policy Pathways for Multi-Risk (DAPP-MR) framework can support the development of integrated, adaptive disaster risk management (DRM) strategies to reduce risk while addressing these complex interactions. We examine how DAPP-MR enables a deeper understanding of multi-risk systems, facilitates stakeholder engagement, and structures the development of robust, cross-sectoral DRM pathways in these four qualitative applications. The findings indicate that DAPP-MR enables integrated, cross-sectoral thinking and encourages balancing short-term priorities and long-term needs. This research demonstrates that DAPP-MR offers a structured approach to unravelling the complex dynamics between hazards and sectors, while maintaining flexibility in analytical focus. This flexibility allows context-specific priorities to guide the analysis, but it can also make comparing outcomes across different applications more challenging.</w:t>
      </w:r>
    </w:p>
    <w:p>
      <w:pPr/>
      <w:r>
        <w:rPr>
          <w:b/>
        </w:rPr>
        <w:t>POSSIBLE 2025:</w:t>
      </w:r>
      <w:r>
        <w:t xml:space="preserve"> Four pathways for energy citizenship initiatives to contribute to a more democratic European energy system — https://doi.org/10.1080/07036337.2025.2458592</w:t>
      </w:r>
    </w:p>
    <w:p>
      <w:pPr/>
      <w:r>
        <w:rPr>
          <w:b/>
        </w:rPr>
        <w:t>Shared claim-specific concepts:</w:t>
      </w:r>
      <w:r>
        <w:t xml:space="preserve"> four, pathways, achieve, energy; EU scope visible. This is a provisional connection, not an outcome finding.</w:t>
      </w:r>
    </w:p>
    <w:p>
      <w:pPr>
        <w:pStyle w:val="SourceNote"/>
      </w:pPr>
      <w:r>
        <w:rPr>
          <w:b/>
        </w:rPr>
        <w:t>Available abstract (not full text):</w:t>
      </w:r>
      <w:r>
        <w:t xml:space="preserve"> The European Green Deal aims to put citizens at the heart of the European energy transition. Yet, their participation often falls short in terms of political involvement and self-governance. In contrast, the imaginary of energy democracy envisions democratising the energy system by involving citizens as political actors and assigns a key role to collectively organised energy citizenship initiatives in achieving this goal. However, it remains elusive how such initiatives contribute to democratisation processes and under what conditions of polycentric governance they achieve to do so. A Qualitative Comparative Analysis (QCA) of 14 energy citizenship initiatives in seven European countries shows that these contributions are diverse and characterised by national contexts. They range from strengthening local capacities for action to ownership and co-determination of energy infrastructure and direct participation of citizens in political decision-making processes. Four pathways of specific polycentric governance configurations are identified along which such contributions were achieved.</w:t>
      </w:r>
    </w:p>
    <w:p>
      <w:pPr/>
      <w:r>
        <w:rPr>
          <w:b/>
        </w:rPr>
        <w:t>POSSIBLE 2024:</w:t>
      </w:r>
      <w:r>
        <w:t xml:space="preserve"> Pathway for Four Central and Eastern European Countries to Achieve Low Carbon Development Based on the STIRPAT Model — https://doi.org/10.5539/jsd.v17n4p63</w:t>
      </w:r>
    </w:p>
    <w:p>
      <w:pPr/>
      <w:r>
        <w:rPr>
          <w:b/>
        </w:rPr>
        <w:t>Shared claim-specific concepts:</w:t>
      </w:r>
      <w:r>
        <w:t xml:space="preserve"> four, achieve, energy, climate, conflict; EU scope visible. This is a provisional connection, not an outcome finding.</w:t>
      </w:r>
    </w:p>
    <w:p>
      <w:pPr>
        <w:pStyle w:val="SourceNote"/>
      </w:pPr>
      <w:r>
        <w:rPr>
          <w:b/>
        </w:rPr>
        <w:t>Available abstract (not full text):</w:t>
      </w:r>
      <w:r>
        <w:t xml:space="preserve"> Poland, Hungary, the Czech Republic, Slovakia, as the Visegrad Group members in Central and Eastern Europe (CEE), play important roles in the green economy transition of Europe. The four CEE countries issued low carbon development strategies so as to realize climate change mitigation. However, the four countries faced various political and economic difficulties when transiting to a low carbon economy, including the energy consumption structure, the development of clean energy and the geopolitical conflict between Russia and Ukraine. The paper analyzed the factors influencing carbon emissions in the four CEE countries by using the STIRPAT model. Based on the empirical results, the paper put forward countermeasures and suggestions to promote low carbon development for the four CEE countries.</w:t>
      </w:r>
    </w:p>
    <w:p>
      <w:pPr/>
      <w:r>
        <w:rPr>
          <w:b/>
        </w:rPr>
        <w:t>POSSIBLE 2024:</w:t>
      </w:r>
      <w:r>
        <w:t xml:space="preserve"> Patients’ pathways to the emergency department: a scoping review — https://doi.org/10.1186/s12245-024-00638-w</w:t>
      </w:r>
    </w:p>
    <w:p>
      <w:pPr/>
      <w:r>
        <w:rPr>
          <w:b/>
        </w:rPr>
        <w:t>Shared claim-specific concepts:</w:t>
      </w:r>
      <w:r>
        <w:t xml:space="preserve"> four, pathways, department, all; EU scope visible. This is a provisional connection, not an outcome finding.</w:t>
      </w:r>
    </w:p>
    <w:p>
      <w:pPr>
        <w:pStyle w:val="SourceNote"/>
      </w:pPr>
      <w:r>
        <w:rPr>
          <w:b/>
        </w:rPr>
        <w:t>Available abstract (not full text):</w:t>
      </w:r>
      <w:r>
        <w:t xml:space="preserve"> BACKGROUND: Emergency department (ED) crowding is a common healthcare issue with multiple causes. One important knowledge area is understanding where patients arrived from and what care they received prior to ED admission. This information could be used to inform strategies to provide care for low acuity patients outside of the hospital and reduce unnecessary ED admissions. The aim of this scoping review was to provide a comprehensive overview of global published research examining the acute care trajectory of all ED patients. METHODS: The scoping review was performed according to the JBI Manual for Evidence Synthesis and the PRISMA-SCR checklist. A comprehensive literature search was performed to identify studies describing where patients arrived from and/or whose pathway of care was before an ED visit. The search was conducted in MEDLINE, Embase, and the Cochrane Library from inception through December 5th, 2022. Two reviewers independently screened the records. RESULTS: Out of the 6,465 records screened, 14 studies from Australia, Canada, Haiti, Norway, Sweden, Switzerland, Belgium, Indonesia, and the UK met the inclusion criteria. Four studies reported on where patients physically arrived from, ten reported how patients were transported, six reported who referred them, and six reported whether medical care or advice was sought prior to visiting an ED. CONCLUSION: This scopi</w:t>
      </w:r>
    </w:p>
    <w:p>
      <w:pPr/>
      <w:r>
        <w:rPr>
          <w:b/>
        </w:rPr>
        <w:t>POSSIBLE 2024:</w:t>
      </w:r>
      <w:r>
        <w:t xml:space="preserve"> Sustainable farming practices and soil health: a pathway to achieving SDGs and future prospects — https://doi.org/10.1007/s43621-024-00447-4</w:t>
      </w:r>
    </w:p>
    <w:p>
      <w:pPr/>
      <w:r>
        <w:rPr>
          <w:b/>
        </w:rPr>
        <w:t>Shared claim-specific concepts:</w:t>
      </w:r>
      <w:r>
        <w:t xml:space="preserve"> climate, crops, production, agricultural; EU scope not established. This is a provisional connection, not an outcome finding.</w:t>
      </w:r>
    </w:p>
    <w:p>
      <w:pPr>
        <w:pStyle w:val="SourceNote"/>
      </w:pPr>
      <w:r>
        <w:rPr>
          <w:b/>
        </w:rPr>
        <w:t>Available abstract (not full text):</w:t>
      </w:r>
      <w:r>
        <w:t xml:space="preserve"> Sustainable farming practices aim to produce agricultural products at a low environmental cost, ensuring food availability for future generations. These approaches combine the production of agricultural crops and livestock for site-specific uses, with an emphasis on long-term objectives including satisfying the food supply worldwide, improving the environment, making the most efficient use of resources and boosting the welfare of farmers and society as a whole. Sustainability in farming is mostly dependent on soil health, which is the soil’s capacity to function within ecological and land-use boundaries. It enhances general wellness, maintains the purity of the air and water, and supports biological productivity. The depletion of soil functions brought about by modern agricultural intensification has an impact on ecosystem services and long-term productivity. The goal of sustainable farming is to raise fertility and organic matter in the soil. Key practices include carbon farming, conservation agriculture, integrated pest management (IPM), and precision farming. In order to support sustainable crop production, these techniques improve soil fertility, structure, and biodiversity. Going forward, research should concentrate on developing novel approaches to tackle the issues of climate change and global food security.</w:t>
      </w:r>
    </w:p>
    <w:p>
      <w:pPr/>
      <w:r>
        <w:rPr>
          <w:b/>
        </w:rPr>
        <w:t>POSSIBLE 2023:</w:t>
      </w:r>
      <w:r>
        <w:t xml:space="preserve"> Pathways for regions to achieve carbon emission peak: New insights from the four economic growth poles in China — https://doi.org/10.1016/j.scitotenv.2023.167979</w:t>
      </w:r>
    </w:p>
    <w:p>
      <w:pPr/>
      <w:r>
        <w:rPr>
          <w:b/>
        </w:rPr>
        <w:t>Shared claim-specific concepts:</w:t>
      </w:r>
      <w:r>
        <w:t xml:space="preserve"> four, pathways, achieve;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The UAE’s energy system and GHG emissions: pathways to achieving national goals by 2050 — https://doi.org/10.1093/ce/zkad040</w:t>
      </w:r>
    </w:p>
    <w:p>
      <w:pPr/>
      <w:r>
        <w:rPr>
          <w:b/>
        </w:rPr>
        <w:t>Shared claim-specific concepts:</w:t>
      </w:r>
      <w:r>
        <w:t xml:space="preserve"> four, pathways, developed, energy, all, production; EU scope not established. This is a provisional connection, not an outcome finding.</w:t>
      </w:r>
    </w:p>
    <w:p>
      <w:pPr>
        <w:pStyle w:val="SourceNote"/>
      </w:pPr>
      <w:r>
        <w:rPr>
          <w:b/>
        </w:rPr>
        <w:t>Available abstract (not full text):</w:t>
      </w:r>
      <w:r>
        <w:t xml:space="preserve"> Abstract In recent years, the United Arab Emirates (UAE) has developed strategies to increase renewable power generation and reduce emissions to net zero by 2050. Electricity generation and energy-intensive industries (EII) have the largest potentials for emission reduction. Therefore, an up-to-date inventory of greenhouse gas emissions and a study of the pathways to achieving the 2050 targets are essential. This study focuses on power production and EII (aluminium, steel and cement). The structure of these sectors is modelled and simulated up to 2050 using a system dynamics (SD) methodology. The SD model is validated to reflect the real-world state of the system using the emissions inventory projections as reference modes. Nineteen mitigation policies are considered in the selected sectors and four policy scenarios were simulated. The results show that implementing the Energy Strategy 2050 in the power sector can result in a reduction of 63.5% in emissions in that sector, which translates into a reduction of 33.5% overall by 2050. Additionally, implementing all identified mitigation strategies to full utilization in EII yields a 94% reduction in that sector, which translates into a 78% reduction overall. Decarbonizing the aluminium industry yields the highest emissions reductions, followed by power production, then cement and finally steel. In the best-case scenario, 22.1% of </w:t>
      </w:r>
    </w:p>
    <w:p>
      <w:pPr/>
      <w:r>
        <w:rPr>
          <w:b/>
        </w:rPr>
        <w:t>POSSIBLE 2023:</w:t>
      </w:r>
      <w:r>
        <w:t xml:space="preserve"> Pathways to achieving nature-positive and carbon–neutral land use and food systems in Wales — https://doi.org/10.1007/s10113-023-02041-2</w:t>
      </w:r>
    </w:p>
    <w:p>
      <w:pPr/>
      <w:r>
        <w:rPr>
          <w:b/>
        </w:rPr>
        <w:t>Shared claim-specific concepts:</w:t>
      </w:r>
      <w:r>
        <w:t xml:space="preserve"> four, pathways, climate, but, other, agricultural; EU scope not established. This is a provisional connection, not an outcome finding.</w:t>
      </w:r>
    </w:p>
    <w:p>
      <w:pPr>
        <w:pStyle w:val="SourceNote"/>
      </w:pPr>
      <w:r>
        <w:rPr>
          <w:b/>
        </w:rPr>
        <w:t>Available abstract (not full text):</w:t>
      </w:r>
      <w:r>
        <w:t xml:space="preserve"> Abstract Land use and its management can play a vital role in carbon sequestration, but trade-offs may exist with other objectives including food security and nature recovery. Using an integrated model (the FABLE calculator), four pathways, co-created with colleagues at the Welsh Government, towards achieving climate and biodiversity targets in Wales were explored: status quo, improvements on current trends, land sparing and land sharing. We found that continuing as usual will not be sufficient to meet Wales’s climate and biodiversity targets. In contrast, the land use and agricultural sector became a net carbon sink in both the land sparing and land sharing pathways, through high afforestation targets, peatland restoration, reducing food waste and moving towards a healthier diet. Whilst both pathways released land for biodiversity, the gains were greater in the land sharing pathway, which was also less dependent on optimistic assumptions concerning productivity improvements. The results demonstrate that alternative approaches to achieving nature-positive and carbon–neutral land use and food systems may be possible, but they come with stringent and transformative requirements for policy changes, with an integrated approach necessary to maximise benefits for climate, food and nature.</w:t>
      </w:r>
    </w:p>
    <w:p>
      <w:pPr/>
      <w:r>
        <w:rPr>
          <w:b/>
        </w:rPr>
        <w:t>POSSIBLE 2022:</w:t>
      </w:r>
      <w:r>
        <w:t xml:space="preserve"> PaLM: Scaling Language Modeling with Pathways — https://doi.org/10.48550/arxiv.2204.02311</w:t>
      </w:r>
    </w:p>
    <w:p>
      <w:pPr/>
      <w:r>
        <w:rPr>
          <w:b/>
        </w:rPr>
        <w:t>Shared claim-specific concepts:</w:t>
      </w:r>
      <w:r>
        <w:t xml:space="preserve"> pathways, achieve, increased, significant; EU scope not established. This is a provisional connection, not an outcome finding.</w:t>
      </w:r>
    </w:p>
    <w:p>
      <w:pPr>
        <w:pStyle w:val="SourceNote"/>
      </w:pPr>
      <w:r>
        <w:rPr>
          <w:b/>
        </w:rPr>
        <w:t>Available abstract (not full text):</w:t>
      </w:r>
      <w:r>
        <w:t xml:space="preserve"> Large language models have been shown to achieve remarkable performance across a variety of natural language tasks using few-shot learning, which drastically reduces the number of task-specific training examples needed to adapt the model to a particular application. To further our understanding of the impact of scale on few-shot learning, we trained a 540-billion parameter, densely activated, Transformer language model, which we call Pathways Language Model PaLM. We trained PaLM on 6144 TPU v4 chips using Pathways, a new ML system which enables highly efficient training across multiple TPU Pods. We demonstrate continued benefits of scaling by achieving state-of-the-art few-shot learning results on hundreds of language understanding and generation benchmarks. On a number of these tasks, PaLM 540B achieves breakthrough performance, outperforming the finetuned state-of-the-art on a suite of multi-step reasoning tasks, and outperforming average human performance on the recently released BIG-bench benchmark. A significant number of BIG-bench tasks showed discontinuous improvements from model scale, meaning that performance steeply increased as we scaled to our largest model. PaLM also has strong capabilities in multilingual tasks and source code generation, which we demonstrate on a wide array of benchmarks. We additionally provide a comprehensive analysis on bias and toxicity, and </w:t>
      </w:r>
    </w:p>
    <w:p>
      <w:pPr/>
      <w:r>
        <w:rPr>
          <w:b/>
        </w:rPr>
        <w:t>POSSIBLE 2021:</w:t>
      </w:r>
      <w:r>
        <w:t xml:space="preserve"> Co-productive agility and four collaborative pathways to sustainability transformations — https://doi.org/10.1016/j.gloenvcha.2021.102422</w:t>
      </w:r>
    </w:p>
    <w:p>
      <w:pPr/>
      <w:r>
        <w:rPr>
          <w:b/>
        </w:rPr>
        <w:t>Shared claim-specific concepts:</w:t>
      </w:r>
      <w:r>
        <w:t xml:space="preserve"> four, pathways, production; EU scope not established. This is a provisional connection, not an outcome finding.</w:t>
      </w:r>
    </w:p>
    <w:p>
      <w:pPr>
        <w:pStyle w:val="SourceNote"/>
      </w:pPr>
      <w:r>
        <w:rPr>
          <w:b/>
        </w:rPr>
        <w:t>Available abstract (not full text):</w:t>
      </w:r>
      <w:r>
        <w:t xml:space="preserve"> Co-production, the collaborative weaving of research and practice by diverse societal actors, is argued to play an important role in sustainability transformations. Yet, there is still poor understanding of how to navigate the tensions that emerge in these processes. Through analyzing 32 initiatives worldwide that co-produced knowledge and action to foster sustainable social-ecological relations, we conceptualize ‘co-productive agility’ as an emergent feature vital for turning tensions into transformations. Co-productive agility refers to the willingness and ability of diverse actors to iteratively engage in reflexive dialogues to grow shared ideas and actions that would not have been possible from the outset. It relies on embedding knowledge production within processes of change to constantly recognize, reposition, and navigate tensions and opportunities. Co-productive agility opens up multiple pathways to transformation through: (1) elevating marginalized agendas in ways that maintain their integrity and broaden struggles for justice; (2) questioning dominant agendas by engaging with power in ways that challenge assumptions, (3) navigating conflicting agendas to actively transform interlinked paradigms, practices, and structures; (4) exploring diverse agendas to foster learning and mutual respect for a plurality of perspectives. We explore six process considerations that vary</w:t>
      </w:r>
    </w:p>
    <w:p>
      <w:pPr/>
      <w:r>
        <w:rPr>
          <w:b/>
        </w:rPr>
        <w:t>POSSIBLE 2021:</w:t>
      </w:r>
      <w:r>
        <w:t xml:space="preserve"> It Is Still Possible to Achieve the Paris Climate Agreement: Regional, Sectoral, and Land-Use Pathways — https://doi.org/10.3390/en14082103</w:t>
      </w:r>
    </w:p>
    <w:p>
      <w:pPr/>
      <w:r>
        <w:rPr>
          <w:b/>
        </w:rPr>
        <w:t>Shared claim-specific concepts:</w:t>
      </w:r>
      <w:r>
        <w:t xml:space="preserve"> four, pathways, achieve, energy, climate, increased; EU scope not established. This is a provisional connection, not an outcome finding.</w:t>
      </w:r>
    </w:p>
    <w:p>
      <w:pPr>
        <w:pStyle w:val="SourceNote"/>
      </w:pPr>
      <w:r>
        <w:rPr>
          <w:b/>
        </w:rPr>
        <w:t>Available abstract (not full text):</w:t>
      </w:r>
      <w:r>
        <w:t xml:space="preserve"> It is still possible to comply with the Paris Climate Agreement to maintain a global temperature ‘well below +2.0 °C’ above pre-industrial levels. We present two global non-overshoot pathways (+2.0 °C and +1.5 °C) with regional decarbonization targets for the four primary energy sectors—power, heating, transportation, and industry—in 5-year steps to 2050. We use normative scenarios to illustrate the effects of efficiency measures and renewable energy use, describe the roles of increased electrification of the final energy demand and synthetic fuels, and quantify the resulting electricity load increases for 72 sub-regions. Non-energy scenarios include a phase-out of net emissions from agriculture, forestry, and other land uses, reductions in non-carbon greenhouse gases, and land restoration to scale up atmospheric CO2 removal, estimated at −377 Gt CO2 to 2100. An estimate of the COVID-19 effects on the global energy demand is included and a sensitivity analysis describes the impacts if implementation is delayed by 5, 7, or 10 years, which would significantly reduce the likelihood of achieving the 1.5 °C goal. The analysis applies a model network consisting of energy system, power system, transport, land-use, and climate models.</w:t>
      </w:r>
    </w:p>
    <w:p>
      <w:pPr>
        <w:pStyle w:val="Heading2"/>
      </w:pPr>
      <w:r>
        <w:t>883. Long-term scenarios for reaching climate targets and energy security in UK</w:t>
      </w:r>
    </w:p>
    <w:p>
      <w:pPr>
        <w:pStyle w:val="SourceNote"/>
      </w:pPr>
      <w:r>
        <w:rPr>
          <w:b/>
        </w:rPr>
        <w:t>Original source (2015):</w:t>
      </w:r>
      <w:r>
        <w:t xml:space="preserve"> https://doi.org/10.1016/j.scs.2015.03.010</w:t>
      </w:r>
    </w:p>
    <w:p>
      <w:pPr/>
      <w:r>
        <w:t>Original wording (abstract; indexed_source_text_not_full_document_verified): The two scenarios, K_Scenario and Z_Scenario, were modelled with the use of the Department of Energy and Climate Change (DECC) 2050 Pathways Calculator. Both scenarios seek to achieve the UK's legally binding target of an 80% reduction in GHG emissions from 1990 levels by 2050.</w:t>
      </w:r>
    </w:p>
    <w:p>
      <w:pPr/>
      <w:r>
        <w:rPr>
          <w:b/>
        </w:rPr>
        <w:t>POSSIBLE 2025:</w:t>
      </w:r>
      <w:r>
        <w:t xml:space="preserve"> A seasonal two-factor model for solar energy production: A climate extreme events analysis — https://doi.org/10.1016/j.eneco.2025.108611</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In this paper, we propose a novel stochastic model for forecasting solar energy production, incorporating key climate-related uncertainties. Unlike existing approaches, which primarily rely on Gaussian or skewnormal processes, our model employs a skew-geometric Brownian motion with a time-dependent seasonal drift and an error term following a mixture distribution. Additionally, we integrate temperature variations, modeled as a non-homogeneous mean-reverting Ornstein–Uhlenbeck process, to account for their dynamic impact on photovoltaic efficiency. A distinctive feature of our model is the inclusion of a jump component of compound Poisson type, which explicitly captures the influence of extreme climatic events on solar energy output. By applying our methodology to data from 28 countries, we demonstrate that our model significantly outperforms two benchmark approaches in accurately predicting energy production under extreme conditions. This contribution provides a more comprehensive and realistic representation of solar power variability, improving risk assessment and decision-making in energy planning.</w:t>
      </w:r>
    </w:p>
    <w:p>
      <w:pPr/>
      <w:r>
        <w:rPr>
          <w:b/>
        </w:rPr>
        <w:t>POSSIBLE 2025:</w:t>
      </w:r>
      <w:r>
        <w:t xml:space="preserve"> Energy and Clean Air Policies Will Overcome the Adverse Effect of Climate Change and Reduce China's Ozone Pollution in the Future: The Insight From a New Two‐Stage Model — https://doi.org/10.1029/2024jd043182</w:t>
      </w:r>
    </w:p>
    <w:p>
      <w:pPr/>
      <w:r>
        <w:rPr>
          <w:b/>
        </w:rPr>
        <w:t>Shared claim-specific concepts:</w:t>
      </w:r>
      <w:r>
        <w:t xml:space="preserve"> two, energy, climate, reduction, levels; EU scope not established. This is a provisional connection, not an outcome finding.</w:t>
      </w:r>
    </w:p>
    <w:p>
      <w:pPr>
        <w:pStyle w:val="SourceNote"/>
      </w:pPr>
      <w:r>
        <w:rPr>
          <w:b/>
        </w:rPr>
        <w:t>Available abstract (not full text):</w:t>
      </w:r>
      <w:r>
        <w:t xml:space="preserve"> Abstract Near‐surface ozone pollution is one of the biggest challenges for Chinese air quality improvement, whereas its future spatiotemporal evolution and driving factors have not been fully investigated. Here, we developed a two‐stage model combining a machine learning technique (XGBoost) and a chemical transport model (WRF‐CMAQ) to assess the ozone change till 2060 in China under three scenarios with various trajectories of climate change, energy transition, and pollution controls. The new model effectively corrected overestimation and underestimation of ozone levels by WRF‐CMAQ and global climate models, respectively. Anthropogenic efforts will overcome the adverse effect of climate and reduce future ozone concentration especially in eastern China and warm season with greater ozone pollution. From a long‐term perspective, energy structure transition was estimated to play a more important role than end‐of‐pipe emission controls with a former to latter ratio of ozone reduction during 2017–2060 at 2.7. With observational information incorporated, our model was demonstrated to better capture the ozone response to precursor emission change than WRF‐CMAQ and corrected the underestimation of ozone reduction for developed urban areas.</w:t>
      </w:r>
    </w:p>
    <w:p>
      <w:pPr/>
      <w:r>
        <w:rPr>
          <w:b/>
        </w:rPr>
        <w:t>POSSIBLE 2024:</w:t>
      </w:r>
      <w:r>
        <w:t xml:space="preserve"> Revisiting two-layer energy balance models for climate assessment — https://doi.org/10.1088/1748-9326/ad9ec5</w:t>
      </w:r>
    </w:p>
    <w:p>
      <w:pPr/>
      <w:r>
        <w:rPr>
          <w:b/>
        </w:rPr>
        <w:t>Shared claim-specific concepts:</w:t>
      </w:r>
      <w:r>
        <w:t xml:space="preserve"> energy, climate, both; EU scope not established. This is a provisional connection, not an outcome finding.</w:t>
      </w:r>
    </w:p>
    <w:p>
      <w:pPr>
        <w:pStyle w:val="SourceNote"/>
      </w:pPr>
      <w:r>
        <w:rPr>
          <w:b/>
        </w:rPr>
        <w:t>Available abstract (not full text):</w:t>
      </w:r>
      <w:r>
        <w:t xml:space="preserve"> Abstract Given the pivotal role of probabilistic approaches with two-layer energy balance models in the latest climate assessment, this study aims to gain deeper insight into their advancement by comparing different approaches for generating constrained posterior ensembles. Several methodological improvements are possible both in the calibration of model parameters to the behavior of comprehensive Earth system models and in constraining the calibrated parameter ensemble with other lines of evidence. The results imply that a conventional single parameter representing evolving climate feedback characteristics is not a requirement for reliable climate projections; rather, there are potential improvements on the forcing side regarding the separation of forcing and feedbacks. Constraining the ensemble based on observational and expert-assessed climate metrics, which critically affects probabilistic climate assessment, needs to appropriately deal with different constraints on a multivariate space in a standardized and flexible way. The method introduced here is an option that fulfills the need.</w:t>
      </w:r>
    </w:p>
    <w:p>
      <w:pPr/>
      <w:r>
        <w:rPr>
          <w:b/>
        </w:rPr>
        <w:t>POSSIBLE 2024:</w:t>
      </w:r>
      <w:r>
        <w:t xml:space="preserve"> Energy analysis of Single and Dual PCM Trombe Wall configurations for indoor heating considering dynamic scenarios in summer/winter of two different climate regions through CFD modeling — https://doi.org/10.1016/j.est.2024.114235</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Climate energy balance models: two layers, orders, timescales, or regions? — https://doi.org/10.22541/essoar.169100463.34039473/v1</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Climate energy balance models (EBMs) – simple energy-balance-based models of climate change – are widely used. The simplest “linear” EBM is deficient in capturing the behavior of complex climate models, so a “two-layer” model with an additional degree of complexity, i.e. two vertical layers, is typically used. Other additional degrees of complexity are equally plausible as well, however, and different approaches to add a degree complexity have not been compared quantitatively. Here we compare four types of EBMs - two-layer, order-two (temperature-dependent feedback), two-region (in space), and two-timescale (fast and slow climate responses) - specifically, their ability to capture historical temperature change and simulated temperature changes in abrupt (4x) and gradual (1%-ramp) forcing scenarios. The two-region model outperforms the others. The two-region model’s best-fit parameters to historical temperatures are also more physically plausible than the next-best-fitting model, the two-layer model. We therefore conclude that the two-region model is the preferred climate EBM.</w:t>
      </w:r>
    </w:p>
    <w:p>
      <w:pPr/>
      <w:r>
        <w:rPr>
          <w:b/>
        </w:rPr>
        <w:t>POSSIBLE 2023:</w:t>
      </w:r>
      <w:r>
        <w:t xml:space="preserve"> Climate energy balance models: two layers, orders, timescales, or regions? — https://doi.org/10.31223/x5dd3d</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Climate energy balance models (EBMs) – simple energy-balance-based models of climate change – are widely used. The simplest “linear” EBM is deficient in capturing the behavior of complex climate models, so a “two-layer” model with an additional degree of complexity, i.e. two vertical layers, is typically used. Other additional degrees of complexity are equally plausible as well, however, and different approaches to add a degree complexity have not been compared quantitatively. Here we compare four types of EBMs - two-layer, order-two (temperature-dependent feedback), two-region (in space), and two-timescale (fast and slow climate responses) - specifically, their ability to capture historical temperature change and simulated temperature changes in abrupt (4x) and gradual (1%-ramp) forcing scenarios. The two-region model outperforms the others. The two-region model’s best-fit parameters to historical temperatures are also more physically plausible than the next-best-fitting model, the two-layer model. We therefore conclude that the two-region model is the preferred climate EBM.</w:t>
      </w:r>
    </w:p>
    <w:p>
      <w:pPr/>
      <w:r>
        <w:rPr>
          <w:b/>
        </w:rPr>
        <w:t>POSSIBLE 2022:</w:t>
      </w:r>
      <w:r>
        <w:t xml:space="preserve"> Energy and Climate Changes Along the Last Two Hundred Years: Logistic Modeling — https://doi.org/10.1007/978-3-031-16470-5_10</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Unavailable</w:t>
      </w:r>
    </w:p>
    <w:p>
      <w:pPr/>
      <w:r>
        <w:rPr>
          <w:b/>
        </w:rPr>
        <w:t>POSSIBLE 2021:</w:t>
      </w:r>
      <w:r>
        <w:t xml:space="preserve"> Mathematical Model of the Energy Balance for Two Configurations of Trapezoidal Box-type Solar Cooker Tested under Saharan Climate — https://doi.org/10.1109/sienr50924.2021.9631884</w:t>
      </w:r>
    </w:p>
    <w:p>
      <w:pPr/>
      <w:r>
        <w:rPr>
          <w:b/>
        </w:rPr>
        <w:t>Shared claim-specific concepts:</w:t>
      </w:r>
      <w:r>
        <w:t xml:space="preserve"> two, energy, climate, both; EU scope not established. This is a provisional connection, not an outcome finding.</w:t>
      </w:r>
    </w:p>
    <w:p>
      <w:pPr>
        <w:pStyle w:val="SourceNote"/>
      </w:pPr>
      <w:r>
        <w:rPr>
          <w:b/>
        </w:rPr>
        <w:t>Available abstract (not full text):</w:t>
      </w:r>
      <w:r>
        <w:t xml:space="preserve"> This article presents a mathematical model for two configurations of a box type solar cooker with trapezoidal shape: the cooker will be eqquiped with an additional reflector at first time and will be removed later, the aim is to determine the behavior in both cases depending on the the available solar energy. The energy balance equations have been solved by a Matlab program developed for this purpose. To validate the mathematical model, the values of the theoretical temperatures values were compared with the experimental results obtained from cooker tests carried out under the Saharan climatic conditions of the Ghardaia site. The tests were carried out with the cooker filled with one or two liters of water from 9:00 AM. to 5:00 PM. A good agreement was found between the measured values and that estimated by the proposed model. The model was then used to simulate the performance of the solar cooker throughout the national territory. Several temperature maps were obtained for different days of the year (winter and summer). It has been found that the temperatures obtained when the cooker is fitted with its reflector are much higher than that obtained without a reflector. The large area of Algeria allows the operation of the cooker without or with reflector in different locations and in particular months for each one of the configurations depending on the amount of solar energy rec</w:t>
      </w:r>
    </w:p>
    <w:p>
      <w:pPr/>
      <w:r>
        <w:rPr>
          <w:b/>
        </w:rPr>
        <w:t>POSSIBLE 2021:</w:t>
      </w:r>
      <w:r>
        <w:t xml:space="preserve"> Climate change impacts on renewable energy supply — https://doi.org/10.1038/s41558-020-00949-9</w:t>
      </w:r>
    </w:p>
    <w:p>
      <w:pPr/>
      <w:r>
        <w:rPr>
          <w:b/>
        </w:rPr>
        <w:t>Shared claim-specific concepts:</w:t>
      </w:r>
      <w:r>
        <w:t xml:space="preserve"> energy, climate; EU scope not established. This is a provisional connection, not an outcome finding.</w:t>
      </w:r>
    </w:p>
    <w:p>
      <w:pPr>
        <w:pStyle w:val="SourceNote"/>
      </w:pPr>
      <w:r>
        <w:rPr>
          <w:b/>
        </w:rPr>
        <w:t>Available abstract (not full text):</w:t>
      </w:r>
      <w:r>
        <w:t xml:space="preserve"> Unavailable</w:t>
      </w:r>
    </w:p>
    <w:p>
      <w:pPr/>
      <w:r>
        <w:rPr>
          <w:b/>
        </w:rPr>
        <w:t>POSSIBLE 2020:</w:t>
      </w:r>
      <w:r>
        <w:t xml:space="preserve"> Understanding the links between climate feedbacks, variability and change using a two-layer energy balance model — https://doi.org/10.1007/s00382-020-05189-3</w:t>
      </w:r>
    </w:p>
    <w:p>
      <w:pPr/>
      <w:r>
        <w:rPr>
          <w:b/>
        </w:rPr>
        <w:t>Shared claim-specific concepts:</w:t>
      </w:r>
      <w:r>
        <w:t xml:space="preserve"> energy, climate; EU scope not established. This is a provisional connection, not an outcome finding.</w:t>
      </w:r>
    </w:p>
    <w:p>
      <w:pPr>
        <w:pStyle w:val="SourceNote"/>
      </w:pPr>
      <w:r>
        <w:rPr>
          <w:b/>
        </w:rPr>
        <w:t>Available abstract (not full text):</w:t>
      </w:r>
      <w:r>
        <w:t xml:space="preserve"> Unavailable</w:t>
      </w:r>
    </w:p>
    <w:p>
      <w:pPr/>
      <w:r>
        <w:rPr>
          <w:b/>
        </w:rPr>
        <w:t>POSSIBLE 2020:</w:t>
      </w:r>
      <w:r>
        <w:t xml:space="preserve"> Modelling and Validation of two Heat and Mass Transfer Model of Living Walls and Evaluation of Their Impact on the Energy Performance of a Supermarket in a Semiarid Climate — https://doi.org/10.26868/25222708.2019.211051</w:t>
      </w:r>
    </w:p>
    <w:p>
      <w:pPr/>
      <w:r>
        <w:rPr>
          <w:b/>
        </w:rPr>
        <w:t>Shared claim-specific concepts:</w:t>
      </w:r>
      <w:r>
        <w:t xml:space="preserve"> two, energy, climate, both; EU scope not established. This is a provisional connection, not an outcome finding.</w:t>
      </w:r>
    </w:p>
    <w:p>
      <w:pPr>
        <w:pStyle w:val="SourceNote"/>
      </w:pPr>
      <w:r>
        <w:rPr>
          <w:b/>
        </w:rPr>
        <w:t>Available abstract (not full text):</w:t>
      </w:r>
      <w:r>
        <w:t xml:space="preserve"> There are about 35 heat and mass transfer green roof models up to date. However, there are only four living wall models. Furthermore, there are very few studies on the impact of living walls on the building energy performance of buildings. Moreover, none of the living wall models has been validated under semiarid climate conditions and there is a lack of studies about the cooling potential of living walls in retail buildings such as supermarkets. This paper aims to adapt two well-known green roof models to be able to model the heat and mass transfer through living walls, validate both models under semiarid climate conditions, and couple both adapted and validated models to EnergyPlus. Therefore, the impact of living walls on the energy performance of an ASHRAE prototype supermarket located in Santiago of Chile is evaluated. The results show that living walls can reduce up to 24% the cooling loads of a supermarket, and the wall thermal insulation significantly diminishes the impact of the living wall</w:t>
      </w:r>
    </w:p>
    <w:p>
      <w:pPr/>
      <w:r>
        <w:rPr>
          <w:b/>
        </w:rPr>
        <w:t>POSSIBLE 2020:</w:t>
      </w:r>
      <w:r>
        <w:t xml:space="preserve"> The Importance of Weather and Climate to Energy Systems: A Workshop on Next Generation Challenges in Energy–Climate Modeling — https://doi.org/10.1175/bams-d-20-0256.1</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What: Over 80 international participants, representing weather, climate, and energy systems research, joined two 4-h remote sessions to highlight and prioritize ongoing and future challenges in energy–climate modeling. The workshop had two primary goals: to build a deeper engagement across the “energy” and “climate” research communities, and to identify and begin to address the scientific challenges associated with modeling climate risk in energy systems. When: 22–23 June 2020. Where: Online via Zoom, hosted by the University of Reading</w:t>
      </w:r>
    </w:p>
    <w:p>
      <w:pPr>
        <w:pStyle w:val="Heading2"/>
      </w:pPr>
      <w:r>
        <w:t>884. Losses of Ammonia and Nitrate from Agriculture and Their Effect on Nitrogen Recovery in the European Union and the United States between 1900 and 2050</w:t>
      </w:r>
    </w:p>
    <w:p>
      <w:pPr>
        <w:pStyle w:val="SourceNote"/>
      </w:pPr>
      <w:r>
        <w:rPr>
          <w:b/>
        </w:rPr>
        <w:t>Original source (2015):</w:t>
      </w:r>
      <w:r>
        <w:t xml:space="preserve"> https://doi.org/10.2134/jeq2014.03.0102</w:t>
      </w:r>
    </w:p>
    <w:p>
      <w:pPr/>
      <w:r>
        <w:t>Original wording (abstract; indexed_source_text_not_full_document_verified): In the United States, environmental N loads will remain substantially smaller than in the European Union, whereas agricultural production in 2050 in the United States will increase by 30% relative to 2005, as compared with an increase of 8% in the European Union. IMAGE projections for the IAASTD-baseline scenario indicate that N loading to the environment in 2050 will be similar to current levels.</w:t>
      </w:r>
    </w:p>
    <w:p>
      <w:pPr/>
      <w:r>
        <w:rPr>
          <w:b/>
        </w:rPr>
        <w:t>POSSIBLE 2026:</w:t>
      </w:r>
      <w:r>
        <w:t xml:space="preserve"> Environmental consequences of replacing polyethylene packaging in the United States and Europe — https://doi.org/10.1016/j.resenv.2026.100390</w:t>
      </w:r>
    </w:p>
    <w:p>
      <w:pPr/>
      <w:r>
        <w:rPr>
          <w:b/>
        </w:rPr>
        <w:t>Shared claim-specific concepts:</w:t>
      </w:r>
      <w:r>
        <w:t xml:space="preserve"> united, states, environmental, remain, increase, indicate; EU scope visible. This is a provisional connection, not an outcome finding.</w:t>
      </w:r>
    </w:p>
    <w:p>
      <w:pPr>
        <w:pStyle w:val="SourceNote"/>
      </w:pPr>
      <w:r>
        <w:rPr>
          <w:b/>
        </w:rPr>
        <w:t>Available abstract (not full text):</w:t>
      </w:r>
      <w:r>
        <w:t xml:space="preserve"> Substituting plastic packaging with alternative materials is increasingly promoted as a strategy to reduce environmental burdens and support resource conservation, yet broader trade-offs remain insufficiently understood. This study evaluates potential environmental consequences of replacing polyethylene (PE) packaging with alternatives in the U.S. and Europe using comparative life cycle assessment. Cradle-to-end-of-life impacts were assessed for five major packaging applications using region-specific inventories and midpoint indicators for global warming potential, acidification, eutrophication, water use, land use, and fossil resource use. PE demand and substitution scenarios were projected to 2030 to examine implications for material demand and resource-related impacts. Across most applications and impact categories assessed, PE packaging showed lower potential environmental impacts than paper, glass, and metal alternatives. Substitution could increase packaging mass by up to five to six times and double global warming potential, with increases of 190% in the U.S. and 50% in Europe. These findings indicate that material substitution alone is not necessarily a resource-efficient or environmentally preferable strategy. Packaging decisions and policies should therefore be guided by functionally equivalent, region-specific life cycle data that accounts for burden shifting across </w:t>
      </w:r>
    </w:p>
    <w:p>
      <w:pPr/>
      <w:r>
        <w:rPr>
          <w:b/>
        </w:rPr>
        <w:t>POSSIBLE 2026:</w:t>
      </w:r>
      <w:r>
        <w:t xml:space="preserve"> Environmental Permitting and Environmental Impact Assessment in the United States and the European Union: A Comparative Legal Study — https://doi.org/10.2139/ssrn.7275567</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Nonlinear Thresholds of Meteorological and Chemical Determinants of Summertime Surface Ozone across China, the United States, and Europe — https://doi.org/10.1021/acsestair.6c00228</w:t>
      </w:r>
    </w:p>
    <w:p>
      <w:pPr/>
      <w:r>
        <w:rPr>
          <w:b/>
        </w:rPr>
        <w:t>Shared claim-specific concepts:</w:t>
      </w:r>
      <w:r>
        <w:t xml:space="preserve"> united, states, remain, substantially, whereas; EU scope visible. This is a provisional connection, not an outcome finding.</w:t>
      </w:r>
    </w:p>
    <w:p>
      <w:pPr>
        <w:pStyle w:val="SourceNote"/>
      </w:pPr>
      <w:r>
        <w:rPr>
          <w:b/>
        </w:rPr>
        <w:t>Available abstract (not full text):</w:t>
      </w:r>
      <w:r>
        <w:t xml:space="preserve"> Abstract Surface ozone (O3) poses significant threats to human health, ecosystems, and climate. In recent years, summertime ozone pollution has remained severe in China and has shown emerging risks worldwide, creating urgent pressure for more effective early warning and region-specific mitigation. Yet thresholds of key meteorological and chemical drivers controlling surface ozone pollution remain poorly constrained, and the mechanisms underlying regional differences in dominant drivers are not fully understood. Here, we combine interpretable machine learning, Double Machine Learning, and high versus low O3 composite diagnostics to identify dominant drivers controlling surface ozone pollution, quantify region-specific thresholds, and interpret the underlying formation regimes of summertime maximum daily 8 h average ozone (MDA8 O3) across China, the United States, and Europe. Results reveal that meteorological predictors make the largest absolute SHAP contribution to summertime MDA8 O3 in most regions, whereas aerosol-related predictors rank second in many regions and first among predictor groups in the Pearl River Delta. Our approach further identifies region-specific threshold combinations associated with elevated MDA8 O3 and conditional exceedance probabilities. High O3 days consistently occur under hot, dry, weakly cloudy, low-precipitation, and strongly irradiated conditions</w:t>
      </w:r>
    </w:p>
    <w:p>
      <w:pPr/>
      <w:r>
        <w:rPr>
          <w:b/>
        </w:rPr>
        <w:t>POSSIBLE 2026:</w:t>
      </w:r>
      <w:r>
        <w:t xml:space="preserve"> Giardiasis in Japan, the United States of America, and Europe from 2007 to 2023, highlighting a decline during the COVID-19 pandemic — https://doi.org/10.1371/journal.pntd.0014428</w:t>
      </w:r>
    </w:p>
    <w:p>
      <w:pPr/>
      <w:r>
        <w:rPr>
          <w:b/>
        </w:rPr>
        <w:t>Shared claim-specific concepts:</w:t>
      </w:r>
      <w:r>
        <w:t xml:space="preserve"> united, states, substantially, whereas, compared; EU scope visible. This is a provisional connection, not an outcome finding.</w:t>
      </w:r>
    </w:p>
    <w:p>
      <w:pPr>
        <w:pStyle w:val="SourceNote"/>
      </w:pPr>
      <w:r>
        <w:rPr>
          <w:b/>
        </w:rPr>
        <w:t>Available abstract (not full text):</w:t>
      </w:r>
      <w:r>
        <w:t xml:space="preserve"> BACKGROUND: Giardiasis is one of the most common enteric protozoal infections worldwide. It is frequently reported as an enteric parasitic infection in the United States of America (USA) and Europe, whereas reported incidence in Japan is substantially lower. This study characterized age-specific, geographic, and temporal patterns of reported giardiasis incidence in Japan, the USA, and Europe using publicly available surveillance data. METHODOLOGY/PRINCIPAL FINDINGS: This retrospective study analyzed surveillance data from the National Institute of Infectious Diseases (NIID) in Japan, the Centers for Disease Control and Prevention (CDC), and the European Centre for Disease Prevention and Control (ECDC) to describe epidemiological patterns, possible explanatory factors, and temporal trends before and during the COVID-19 pandemic. Annual trends were examined using all available surveillance years: 2007-2023 for Japan and Europe and 2007-2022 for the USA. Age-specific patterns were compared between the pre-pandemic (2017-2019) and pandemic (2020-2022) periods, and geographic patterns were examined using available regional data. Incidence rates in the USA and Europe were approximately 5 per 100,000 population, whereas reported incidence in Japan remained below 0.1 per 100,000. Age-specific patterns differed: incidence peaked in children aged 0-14 years in Europe, and in children age</w:t>
      </w:r>
    </w:p>
    <w:p>
      <w:pPr/>
      <w:r>
        <w:rPr>
          <w:b/>
        </w:rPr>
        <w:t>POSSIBLE 2026:</w:t>
      </w:r>
      <w:r>
        <w:t xml:space="preserve"> United States and European Union aid cuts risk exacerbating links between aid, trade, and human and environmental crises — https://doi.org/10.1038/s44458-025-00011-9</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Both the United States and European Union have been considerable providers of official development aid, but political pressure is mounting to reduce future disbursements. Here, we conduct a system-wide association study linking detailed trade flows with various aid purposes—including untied, humanitarian, and typically non-trade-related aid—to explore how aid and trade may interact in indirect or unintended ways. Using OECD aid data and global trade statistics, we find strong and persistent correlations between specific imported goods and aid purposes. These links reflect trade-offs among the UN’s Sustainable Development Goals and suggest that a major reduction in U.S. aid could disrupt efforts to mitigate the impacts of its food and precious metal imports. The findings also highlight the fragile relationship between aid, minerals, and conflict. This shift may offer a strategic opportunity to nations to reduce their supply chain vulnerabilities and rethink the broader relationship between aid, trade, and human and environmental crises. Persistent correlations between traded goods and foreign aid purposes reveal connections to human and environmental crises that could be exacerbated by aid cuts, according to a global study using OECD aid data and trade flows to map obscure or unintended interactions between aid and trade.</w:t>
      </w:r>
    </w:p>
    <w:p>
      <w:pPr/>
      <w:r>
        <w:rPr>
          <w:b/>
        </w:rPr>
        <w:t>POSSIBLE 2026:</w:t>
      </w:r>
      <w:r>
        <w:t xml:space="preserve"> Contemporary Issues in International Environmental Law: A Comparative Doctrinal Analysis of Climate Regulation and Litigation in the United States and the European Union — https://doi.org/10.13140/rg.2.2.25380.03203</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Structuring Sustainability, From Strategy to Soil: A Comparative Analysis of Agri-Environmental and Climate-Smart Policy Design in the European Union and the United States, 2018–2025 — https://doi.org/10.17615/0cwh-qe76</w:t>
      </w:r>
    </w:p>
    <w:p>
      <w:pPr/>
      <w:r>
        <w:rPr>
          <w:b/>
        </w:rPr>
        <w:t>Shared claim-specific concepts:</w:t>
      </w:r>
      <w:r>
        <w:t xml:space="preserve"> united, states, environmental, smaller, union, agricultural; EU scope visible. This is a provisional connection, not an outcome finding.</w:t>
      </w:r>
    </w:p>
    <w:p>
      <w:pPr>
        <w:pStyle w:val="SourceNote"/>
      </w:pPr>
      <w:r>
        <w:rPr>
          <w:b/>
        </w:rPr>
        <w:t>Available abstract (not full text):</w:t>
      </w:r>
      <w:r>
        <w:t xml:space="preserve"> With the ever-increasing population and the growing impacts of climate change, the intersection of environmental and agricultural policy has become increasingly critical. In recent years, institutions have sought to address these two concerns by developing agri-environmental policies that aim to integrate environmentally friendly practices into the agricultural sector. However, despite continued efforts, there remains no single, universally effective model of implementation. This project examines why variation persists by focusing on two major actors in agricultural policy: the United States and the European Union, whose approaches illustrate both similarities and significant differences. The United States has pursued gradual measures, adopting smaller, carefully designed policies aimed at addressing environmental concerns without causing significant disruption to agricultural production. By contrast, the European Union has set more ambitious goals and formally tied environmental measures to the Common Agricultural Policy, while devolving responsibility for implementation to member states to accommodate local issues. These contrasting approaches raise the central research question of this thesis: How do differences in policy design and governance structures shape the implementation of agri-environmental policies in the US and the EU? To address this question, the thesis analyze</w:t>
      </w:r>
    </w:p>
    <w:p>
      <w:pPr/>
      <w:r>
        <w:rPr>
          <w:b/>
        </w:rPr>
        <w:t>POSSIBLE 2026:</w:t>
      </w:r>
      <w:r>
        <w:t xml:space="preserve"> Governing the Environmental Externalities of Generative AI Compute in the Gulf: Data-Centre Expansion in Saudi Arabia, the UAE, and QatarA Comparative Policy Analysis of the European Union, United States, and China as Lesson-Generating Models — https://doi.org/10.2139/ssrn.6866873</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A Comparative Study of the Impact of Technological Policymaking on Environmental Security in the United States and the European Union — https://doi.org/10.18415/ijmmu.v12i10.7190</w:t>
      </w:r>
    </w:p>
    <w:p>
      <w:pPr/>
      <w:r>
        <w:rPr>
          <w:b/>
        </w:rPr>
        <w:t>Shared claim-specific concepts:</w:t>
      </w:r>
      <w:r>
        <w:t xml:space="preserve"> united, states, environmental, union, indicate, environment; EU scope visible. This is a provisional connection, not an outcome finding.</w:t>
      </w:r>
    </w:p>
    <w:p>
      <w:pPr>
        <w:pStyle w:val="SourceNote"/>
      </w:pPr>
      <w:r>
        <w:rPr>
          <w:b/>
        </w:rPr>
        <w:t>Available abstract (not full text):</w:t>
      </w:r>
      <w:r>
        <w:t xml:space="preserve"> In the era of the Fourth Industrial Revolution, new technologies have developed with unprecedented speed, efficiency, and convergence, bridging the digital, physical, and biological boundaries. At the same time, environmental crises have become a serious threat to global security. The United States and the European Union have been designing and implementing policies to protect the environment since the 1960s. Using a documentary study method and a descriptive-analytical approach, this article seeks to find out what impact the technological policies of the European Union and the United States have had on environmental security. The results of the research indicate that alignment between technological policies and environmental goals is a prerequisite for achieving sustainable development and ensuring environmental security. The European Union has been able to create effective synergies between technology and environmental goals by developing comprehensive policies such as the Lisbon Strategy, Europe 2020, and Horizon Europe, as well as implementing programs such as the Green Deal, the circular economy, and the clean energy transition. In contrast, the United States, despite political fluctuations in the environmental field, has been developing clean technologies and optimizing energy consumption through technological innovations in the private sector. However, recent geopolitica</w:t>
      </w:r>
    </w:p>
    <w:p>
      <w:pPr/>
      <w:r>
        <w:rPr>
          <w:b/>
        </w:rPr>
        <w:t>POSSIBLE 2025:</w:t>
      </w:r>
      <w:r>
        <w:t xml:space="preserve"> A COMPARATIVE ANALYSIS OF THE LEGAL FRAMEWORK ON GREENWASHING IN ENVIRONMENTAL, SOCIAL, AND GOVERNANCE (ESG) FUNDS LABELLING IN THE UNITED STATES, THE EUROPEAN UNION AND THE UNITED KINGDOM — https://doi.org/10.2139/ssrn.5319796</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Unavailable</w:t>
      </w:r>
    </w:p>
    <w:p>
      <w:pPr/>
      <w:r>
        <w:rPr>
          <w:b/>
        </w:rPr>
        <w:t>POSSIBLE 2023:</w:t>
      </w:r>
      <w:r>
        <w:t xml:space="preserve"> Analysis of Environmental and Energy Policies in Turkey, the European Union and the United States — https://doi.org/10.9734/ijecc/2023/v13i123685</w:t>
      </w:r>
    </w:p>
    <w:p>
      <w:pPr/>
      <w:r>
        <w:rPr>
          <w:b/>
        </w:rPr>
        <w:t>Shared claim-specific concepts:</w:t>
      </w:r>
      <w:r>
        <w:t xml:space="preserve"> united, states, environmental, union, production; EU scope visible. This is a provisional connection, not an outcome finding.</w:t>
      </w:r>
    </w:p>
    <w:p>
      <w:pPr>
        <w:pStyle w:val="SourceNote"/>
      </w:pPr>
      <w:r>
        <w:rPr>
          <w:b/>
        </w:rPr>
        <w:t>Available abstract (not full text):</w:t>
      </w:r>
      <w:r>
        <w:t xml:space="preserve"> Energy consumption plays a pivotal role in the development of societies. Sustainable Energy Resources are vital inputs for daily life, and energy and industrial products are essential for economic growth (Ministry of Energy and Natural Resources, 2022). Consequently, those responsible for managing a country's energy sector must ensure the uninterrupted, reliable, timely, clean, and affordable supply of energy, as well as diversify energy sources to enhance energy security. The concept of "sustainable development" has emerged in response to the need to prevent irreversible environmental damage caused by conventional energy sources and outdated technologies while ensuring access to energy as a fundamental human right under optimal conditions (Pamir, N 2005). Developed societies have transitioned from planning based solely on energy source acquisition and production to a planning approach that carefully considers the energy-economy-ecology balance (3E) while taking into account resource diversity and geopolitical realities (Energy Policies and Global Developments, emo.org.tr). Turkey remains heavily dependent on energy imports, accounting for approximately 74% of its energy needs (Ministry of Energy and Natural Resources, 2023). The multifaceted nature of Turkey's energy strategy and its energy dependence emphasize the importance of international relations in this field. U.S. ener</w:t>
      </w:r>
    </w:p>
    <w:p>
      <w:pPr/>
      <w:r>
        <w:rPr>
          <w:b/>
        </w:rPr>
        <w:t>POSSIBLE 2023:</w:t>
      </w:r>
      <w:r>
        <w:t xml:space="preserve"> Efforts to ban lead ammunition: a comparison between Europe and the United States — https://doi.org/10.1002/wsb.1449</w:t>
      </w:r>
    </w:p>
    <w:p>
      <w:pPr/>
      <w:r>
        <w:rPr>
          <w:b/>
        </w:rPr>
        <w:t>Shared claim-specific concepts:</w:t>
      </w:r>
      <w:r>
        <w:t xml:space="preserve"> united, states, environmental; EU scope visible. This is a provisional connection, not an outcome finding.</w:t>
      </w:r>
    </w:p>
    <w:p>
      <w:pPr>
        <w:pStyle w:val="SourceNote"/>
      </w:pPr>
      <w:r>
        <w:rPr>
          <w:b/>
        </w:rPr>
        <w:t>Available abstract (not full text):</w:t>
      </w:r>
      <w:r>
        <w:t xml:space="preserve"> Abstract The human health impacts of lead have been known for millennia but the environmental impacts of lead ammunition have only received attention during the past 100 years. To a large extent the United States provided leadership in identifying and researching these effects and then spearheading campaigns to transition away from lead shotgun ammunition for waterfowl hunting. However, the appetite for further federal transition has largely stalled in the U.S. except for apparently limited action linked to individual states, charismatic species, and specific sites. Europe, on the other hand, though generally rather late to the table with regard to lead shotgun ammunition and waterfowl hunting, is now pushing ahead with several initiatives that are likely to see substantial partial, if not total, restrictions on the use of all lead ammunition (for shotguns and rifles) within 5 to 10 years. We discuss the policy drivers behind these moves, summarize the key attitudes and perceived constraints to transition, and provide (cautious) timetables and limited recommendations for future changes. Our discussion will include comparisons between efforts in the U.S. and those in Europe.</w:t>
      </w:r>
    </w:p>
    <w:p>
      <w:pPr>
        <w:pStyle w:val="Heading2"/>
      </w:pPr>
      <w:r>
        <w:t>885. Microgrids: Enhancing the Resilience of the European Megagrid</w:t>
      </w:r>
    </w:p>
    <w:p>
      <w:pPr>
        <w:pStyle w:val="SourceNote"/>
      </w:pPr>
      <w:r>
        <w:rPr>
          <w:b/>
        </w:rPr>
        <w:t>Original source (2015):</w:t>
      </w:r>
      <w:r>
        <w:t xml:space="preserve"> https://doi.org/10.1109/mpe.2015.2397336</w:t>
      </w:r>
    </w:p>
    <w:p>
      <w:pPr/>
      <w:r>
        <w:t>Original wording (abstract; indexed_source_text_not_full_document_verified): By 2020, 20% of the European electricity demand will be met by renewable generation while, by 2030, a substantial proportion of the electricity generation would become largely decarbonized. Furthermore, beyond 2030, it is expected that significant segments of the heat and transport sectors will be electrified to meet the targets proposed by the EU governments for greenhouse gas emission reductions of at least 80% in 2050.</w:t>
      </w:r>
    </w:p>
    <w:p>
      <w:pPr/>
      <w:r>
        <w:rPr>
          <w:b/>
        </w:rPr>
        <w:t>POSSIBLE 2026:</w:t>
      </w:r>
      <w:r>
        <w:t xml:space="preserve"> Climate change impacts on European electricity demand and supply until 2100 — https://doi.org/10.1016/j.isci.2026.116818</w:t>
      </w:r>
    </w:p>
    <w:p>
      <w:pPr/>
      <w:r>
        <w:rPr>
          <w:b/>
        </w:rPr>
        <w:t>Shared claim-specific concepts:</w:t>
      </w:r>
      <w:r>
        <w:t xml:space="preserve"> electricity, renewable, generation, substantial, electrified; EU scope visible. This is a provisional connection, not an outcome finding.</w:t>
      </w:r>
    </w:p>
    <w:p>
      <w:pPr>
        <w:pStyle w:val="SourceNote"/>
      </w:pPr>
      <w:r>
        <w:rPr>
          <w:b/>
        </w:rPr>
        <w:t>Available abstract (not full text):</w:t>
      </w:r>
      <w:r>
        <w:t xml:space="preserve"> Renewable and electrified energy systems are highly weather-dependent, making them vulnerable to climate change. Energy system modeling therefore requires high-quality data that captures the spatiotemporal complexity of climate conditions. We present SECURES-Energy, an open-access dataset providing hourly electricity demand and supply data for Europe at the national level from 1981 to 2100. Historical data are derived from ERA5 reanalysis, while future projections use two EURO-CORDEX scenarios (RCP 4.5/RCP 8.5). The dataset includes onshore and offshore wind, solar photovoltaic (PV), and hydropower generation, as well as all electricity demand components such as heating, cooling, and mobility. Results indicate no consistent trends for solar PV and hydropower across Europe. Offshore wind declines by up to -4%/-3% by 2035-2064 and -6%/-9% by 2071-2100 relative to 1981-2010. Cooling demand rises sharply (up to +80%/+149% by mid-century; +129%/+317% by end-century), while heating demand falls (-19%/-24% by mid-century; -25%/-40% by end-century). These findings highlight substantial climate-driven shifts in future electricity demand and supply.</w:t>
      </w:r>
    </w:p>
    <w:p>
      <w:pPr/>
      <w:r>
        <w:rPr>
          <w:b/>
        </w:rPr>
        <w:t>POSSIBLE 2024:</w:t>
      </w:r>
      <w:r>
        <w:t xml:space="preserve"> Future electricity demand for Europe: Unraveling the dynamics of the Temperature Response Function — https://doi.org/10.1016/j.apenergy.2024.123387</w:t>
      </w:r>
    </w:p>
    <w:p>
      <w:pPr/>
      <w:r>
        <w:rPr>
          <w:b/>
        </w:rPr>
        <w:t>Shared claim-specific concepts:</w:t>
      </w:r>
      <w:r>
        <w:t xml:space="preserve"> electricity, substantial, expected; EU scope visible. This is a provisional connection, not an outcome finding.</w:t>
      </w:r>
    </w:p>
    <w:p>
      <w:pPr>
        <w:pStyle w:val="SourceNote"/>
      </w:pPr>
      <w:r>
        <w:rPr>
          <w:b/>
        </w:rPr>
        <w:t>Available abstract (not full text):</w:t>
      </w:r>
      <w:r>
        <w:t xml:space="preserve"> Electricity demand is a crucial factor in energy system planning. Understanding future electricity demand is vital for developing effective energy and climate policies, as well as establishing a resilient and sustainable energy system. In light of these considerations, the escalating challenges posed by climate change are anticipated to have a substantial impact on electricity demand. This study, therefore, provides a comprehensive analysis delving into the dynamic nature of Temperature Response Functions (TRFs) of electricity demand across Europe. By examining various factors influencing electricity demand in residential buildings, such as thermal insulation, heating electrification, space cooling, and passive cooling, we aim to understand their collective impact on shaping future TRFs. To project electricity demand, our study incorporates these factors into our scenario assumptions. Through a comprehensive investigation of these scenarios, our findings reveal distinctive regional influences of these factors. In regions where heating demand prevails, an initial increase in electricity demand is anticipated due to increased electrification rates. However, improved building thermal insulation is expected to substantially reduce winter electricity demand in the long run. Conversely, in regions with pronounced cooling demand, a notable escalation in electricity demand is foreseen </w:t>
      </w:r>
    </w:p>
    <w:p>
      <w:pPr/>
      <w:r>
        <w:rPr>
          <w:b/>
        </w:rPr>
        <w:t>POSSIBLE 2024:</w:t>
      </w:r>
      <w:r>
        <w:t xml:space="preserve"> How aggregate electricity demand responds to hourly wholesale price fluctuations — https://doi.org/10.1016/j.eneco.2024.107652</w:t>
      </w:r>
    </w:p>
    <w:p>
      <w:pPr/>
      <w:r>
        <w:rPr>
          <w:b/>
        </w:rPr>
        <w:t>Shared claim-specific concepts:</w:t>
      </w:r>
      <w:r>
        <w:t xml:space="preserve"> electricity, significant; EU scope visible. This is a provisional connection, not an outcome finding.</w:t>
      </w:r>
    </w:p>
    <w:p>
      <w:pPr>
        <w:pStyle w:val="SourceNote"/>
      </w:pPr>
      <w:r>
        <w:rPr>
          <w:b/>
        </w:rPr>
        <w:t>Available abstract (not full text):</w:t>
      </w:r>
      <w:r>
        <w:t xml:space="preserve"> Electricity needs to be consumed at the very moment of production, leading wholesale prices to fluctuate widely at (sub-)hourly time scales. This article investigates the response of aggregate electricity demand to such price variations. Using wind energy as an instrument, we estimate a significant and robust short-term price elasticity of about −0.05 in Germany and attribute this to industrial consumers. As the share of consumption that is exposed to real-time prices (currently less than 25%) expands, we expect the aggregated price elasticity to grow.</w:t>
      </w:r>
    </w:p>
    <w:p>
      <w:pPr/>
      <w:r>
        <w:rPr>
          <w:b/>
        </w:rPr>
        <w:t>POSSIBLE 2023:</w:t>
      </w:r>
      <w:r>
        <w:t xml:space="preserve"> SECURES-Met - A European wide meteorological data set suitable for electricity modelling (supply and demand) for historical climate and climate change projections — https://doi.org/10.5281/zenodo.7907882</w:t>
      </w:r>
    </w:p>
    <w:p>
      <w:pPr/>
      <w:r>
        <w:rPr>
          <w:b/>
        </w:rPr>
        <w:t>Shared claim-specific concepts:</w:t>
      </w:r>
      <w:r>
        <w:t xml:space="preserve"> electricity, renewable; EU scope visible. This is a provisional connection, not an outcome finding.</w:t>
      </w:r>
    </w:p>
    <w:p>
      <w:pPr>
        <w:pStyle w:val="SourceNote"/>
      </w:pPr>
      <w:r>
        <w:rPr>
          <w:b/>
        </w:rPr>
        <w:t>Available abstract (not full text):</w:t>
      </w:r>
      <w:r>
        <w:t xml:space="preserve"> For the modelling of electricity production and demand, meteorological conditions are becoming more relevant due to the increasing contribution from renewable electricity production. But the requirements on meteorological data sets for electricity modelling are quite high. One challenge is the high temporal resolution, since a typical time step for modelling electricity production and demand is one hour. On the other side the European electricity market is highly connected, so that a pure country based modelling does not make sense and at least the whole European Union area has to be considered. Additionally, the spatial resolution of the data set must be able to represent the thermal conditions, which requires high spatial resolution at least in mountainous regions. All these requirements lead to huge data amounts for historic observations and even more for climate change projections for the whole 21st century. Thus, we have developed an aggregated European wide data set that has a temporal resolution of one hour, covers the whole EU area, has a reasonable size but is considering the high spatial variability. This meteorological data set for Europe for the historical period and climate change projections fulfills all relevant criteria for energy modelling. It has a hourly temporal resolution, considers local effects up to a spatial resolution of 1 km and has a suitable size, a</w:t>
      </w:r>
    </w:p>
    <w:p>
      <w:pPr/>
      <w:r>
        <w:rPr>
          <w:b/>
        </w:rPr>
        <w:t>POSSIBLE 2023:</w:t>
      </w:r>
      <w:r>
        <w:t xml:space="preserve"> Balancing Electricity Supply and Demand in a Carbon-Neutral Northern Europe — https://doi.org/10.3390/en16083548</w:t>
      </w:r>
    </w:p>
    <w:p>
      <w:pPr/>
      <w:r>
        <w:rPr>
          <w:b/>
        </w:rPr>
        <w:t>Shared claim-specific concepts:</w:t>
      </w:r>
      <w:r>
        <w:t xml:space="preserve"> electricity, heat; EU scope visible. This is a provisional connection, not an outcome finding.</w:t>
      </w:r>
    </w:p>
    <w:p>
      <w:pPr>
        <w:pStyle w:val="SourceNote"/>
      </w:pPr>
      <w:r>
        <w:rPr>
          <w:b/>
        </w:rPr>
        <w:t>Available abstract (not full text):</w:t>
      </w:r>
      <w:r>
        <w:t xml:space="preserve"> This work investigates how to balance the electricity supply and demand in a carbon-neutral northern Europe. Applying a cost-minimizing electricity system model including options to invest in eleven different flexibility measures, cost-efficient combinations of strategies to manage varia-tions are identified. The results of the model are post-processed using a novel method to map the net load before and after flexibility measures are applied to reveal the contribution of each flexi-bility measure. The net load is mapped in the space spanned by the amplitude, duration, and number of occur-rences. The mapping shows that, depending on cost structure, flexibility measures contribute to reduce the net load in three different ways; 1) by reducing variations of long duration but low amplitude, 2) by reducing variations of high amplitude but short duration and low occurrence or 3) by reducing variations of high amplitude, short duration and high occurrence. It is found that cost-efficient variation management is achieved by combining wind and solar power and by combining strategies (1-3) to manage variations. The cost-efficient combination of strategies de-pends on electricity system context where electricity trade, flexible hydrogen and heat production (1) manage the majority of variations in regions with good conditions for wind power while sta-tionary batteries (3) are the main cont</w:t>
      </w:r>
    </w:p>
    <w:p>
      <w:pPr/>
      <w:r>
        <w:rPr>
          <w:b/>
        </w:rPr>
        <w:t>POSSIBLE 2023:</w:t>
      </w:r>
      <w:r>
        <w:t xml:space="preserve"> Prescribing net demand for two-stage electricity generation scheduling — https://doi.org/10.1016/j.orp.2023.100268</w:t>
      </w:r>
    </w:p>
    <w:p>
      <w:pPr/>
      <w:r>
        <w:rPr>
          <w:b/>
        </w:rPr>
        <w:t>Shared claim-specific concepts:</w:t>
      </w:r>
      <w:r>
        <w:t xml:space="preserve"> electricity, renewable, generation, substantial, furthermore, proposed; EU scope visible. This is a provisional connection, not an outcome finding.</w:t>
      </w:r>
    </w:p>
    <w:p>
      <w:pPr>
        <w:pStyle w:val="SourceNote"/>
      </w:pPr>
      <w:r>
        <w:rPr>
          <w:b/>
        </w:rPr>
        <w:t>Available abstract (not full text):</w:t>
      </w:r>
      <w:r>
        <w:t xml:space="preserve"> We consider a two-stage generation scheduling problem comprising a forward dispatch and a real-time re-dispatch. The former must be conducted facing an uncertain net demand that includes non-dispatchable electricity consumption and renewable power generation. The latter copes with the plausible deviations with respect to the forward schedule by making use of balancing power during the actual operation of the system. Standard industry practice deals with the uncertain net demand in the forward stage by replacing it with a good estimate of its conditional expectation (usually referred to as a point forecast), so as to minimize the need for balancing power in real time. However, it is well known that the cost structure of a power system is highly asymmetric and dependent on its operating point, with the result that minimizing the amount of power imbalances is not necessarily aligned with minimizing operating costs. In this paper, we propose a bilevel program to construct, from the available historical data, a prescription of the net demand that does account for the power system’s cost asymmetry. Furthermore, to accommodate the strong dependence of this cost on the power system’s operating point, we use clustering to tailor the proposed prescription to the foreseen net-demand regime. By way of an illustrative example and a more realistic case study based on the European power syste</w:t>
      </w:r>
    </w:p>
    <w:p>
      <w:pPr/>
      <w:r>
        <w:rPr>
          <w:b/>
        </w:rPr>
        <w:t>POSSIBLE 2023:</w:t>
      </w:r>
      <w:r>
        <w:t xml:space="preserve"> Air-conditioning adoption and electricity demand highlight climate change mitigation–adaptation tradeoffs — https://doi.org/10.1038/s41598-023-31469-z</w:t>
      </w:r>
    </w:p>
    <w:p>
      <w:pPr/>
      <w:r>
        <w:rPr>
          <w:b/>
        </w:rPr>
        <w:t>Shared claim-specific concepts:</w:t>
      </w:r>
      <w:r>
        <w:t xml:space="preserve"> electricity, heat; EU scope visible. This is a provisional connection, not an outcome finding.</w:t>
      </w:r>
    </w:p>
    <w:p>
      <w:pPr>
        <w:pStyle w:val="SourceNote"/>
      </w:pPr>
      <w:r>
        <w:rPr>
          <w:b/>
        </w:rPr>
        <w:t>Available abstract (not full text):</w:t>
      </w:r>
      <w:r>
        <w:t xml:space="preserve"> We elucidate mid-century climate change impacts on electricity demand accounting for endogenous adoption of residential air-conditioning (AC) in affluent, cooler countries in Europe, and in poorer, hotter states in India. By 2050, in a high-warming scenario (SSP585) AC prevalence grows twofold in Europe and fourfold in India, reaching around 40% in both regions. We document a mitigation-adaptation tradeoff: AC expansion reduces daily heat exposures by 150 million and 3.8 billion person degree-days (PDDs), but increases annual electricity demand by 34 TWh and 168 TWh in Europe and India, respectively (corresponding to 2% and 15% of today's consumption). The increase in adoption and use of AC would result in an additional 130 MMTCO2, of which 120 MMTCO2 in India alone, if the additional electricity generated were produced with today's power mix. The tradeoff varies geographically and across income groups: a one PDD reduction in heat exposure in Europe versus India necessitates five times more electricity (0.53 kWh vs 0.1 kWh) and two times more emissions (0.16 kgCO[Formula: see text] vs 0.09 kgCO[Formula: see text]), on average. The decomposition of demand drivers offers important insights on how such tradeoff can be moderated through policies promoting technology-based and behavioral-based adaptation strategies.</w:t>
      </w:r>
    </w:p>
    <w:p>
      <w:pPr/>
      <w:r>
        <w:rPr>
          <w:b/>
        </w:rPr>
        <w:t>POSSIBLE 2023:</w:t>
      </w:r>
      <w:r>
        <w:t xml:space="preserve"> Might future electricity generation suffice to meet the global demand? — https://doi.org/10.1016/j.esr.2023.101080</w:t>
      </w:r>
    </w:p>
    <w:p>
      <w:pPr/>
      <w:r>
        <w:rPr>
          <w:b/>
        </w:rPr>
        <w:t>Shared claim-specific concepts:</w:t>
      </w:r>
      <w:r>
        <w:t xml:space="preserve"> electricity, generation, expected, sectors, meet, greenhouse; EU scope not established. This is a provisional connection, not an outcome finding.</w:t>
      </w:r>
    </w:p>
    <w:p>
      <w:pPr>
        <w:pStyle w:val="SourceNote"/>
      </w:pPr>
      <w:r>
        <w:rPr>
          <w:b/>
        </w:rPr>
        <w:t>Available abstract (not full text):</w:t>
      </w:r>
      <w:r>
        <w:t xml:space="preserve"> Electricity supply is one of the critical issues in the energy field. Due to the high shares of greenhouse gases emissions, the electricity sector is experiencing a transition towards a progressively wider use of low-carbon technologies. At the same time, electrification of end-use sectors is identified as one of the most suitable mitigation strategies, although requiring larger electricity production. This paper relates the historical development trends for installed capacity of electricity production technologies to the theory of the S-curves, building a method to depict plausible developments in the electricity sector. Projections are performed considering the existence of an upper limit for industrial capacity development, and according to a path envisaging a revolutionary, an evolutionary and a maturity phase for technologies showing considerable growth trends. Oppositely, stagnation is taken into account for those not showing any remarkable progress. The computed curves are used to perform forecasts about electricity generation potentials until 2050, showing how the projected growth trend of electricity generation technologies would result in a production sufficient to meet the expected global demand, even excluding the contribution of fossil fuels in some cases. In perspective, the presented method can be applied to retrieve maximum capacity constraints for energy system</w:t>
      </w:r>
    </w:p>
    <w:p>
      <w:pPr/>
      <w:r>
        <w:rPr>
          <w:b/>
        </w:rPr>
        <w:t>POSSIBLE 2023:</w:t>
      </w:r>
      <w:r>
        <w:t xml:space="preserve"> The impact of heat electrification on the seasonal and interannual electricity demand of Great Britain — https://doi.org/10.1016/j.apenergy.2023.120885</w:t>
      </w:r>
    </w:p>
    <w:p>
      <w:pPr/>
      <w:r>
        <w:rPr>
          <w:b/>
        </w:rPr>
        <w:t>Shared claim-specific concepts:</w:t>
      </w:r>
      <w:r>
        <w:t xml:space="preserve"> electricity, heat; EU scope not established. This is a provisional connection, not an outcome finding.</w:t>
      </w:r>
    </w:p>
    <w:p>
      <w:pPr>
        <w:pStyle w:val="SourceNote"/>
      </w:pPr>
      <w:r>
        <w:rPr>
          <w:b/>
        </w:rPr>
        <w:t>Available abstract (not full text):</w:t>
      </w:r>
      <w:r>
        <w:t xml:space="preserve"> Amongst all future developments it is the electrification of heat that is anticipated to have the largest impact on seasonal and interannual electricity demand. There is therefore a need to accurately quantify and assess this impact. This paper uses a combination of existing advanced techniques to modify the historic electricity demand to incorporate the impact of heat pumps alone for long-term historic weather data using Great Britain as an example. The methods for generating time series were compared and extensively validated. This includes comparisons with measured data that have not been used previously for this purpose. The research reveals that for predicted 2050 heat pump penetration levels the monthly demand for electricity doubles in winter. This leads to an increase of approximately 30 TWh for each winter month and a 37 % increase in year-to-year variability of electricity demand due to weather. Peak electricity demand is very sensitive to the method of generating heat demand and the assumptions on hourly heat pump operating profiles, suggesting inaccuracies of 25 % in estimates of future peak demand. This work, rather than just assessing the impact of projected changes provides a reference case for policy makers to guide the decision process and planning for future scenarios.</w:t>
      </w:r>
    </w:p>
    <w:p>
      <w:pPr/>
      <w:r>
        <w:rPr>
          <w:b/>
        </w:rPr>
        <w:t>POSSIBLE 2022:</w:t>
      </w:r>
      <w:r>
        <w:t xml:space="preserve"> Interaction between electrified steel production and the north European electricity system — https://doi.org/10.1016/j.apenergy.2022.118584</w:t>
      </w:r>
    </w:p>
    <w:p>
      <w:pPr/>
      <w:r>
        <w:rPr>
          <w:b/>
        </w:rPr>
        <w:t>Shared claim-specific concepts:</w:t>
      </w:r>
      <w:r>
        <w:t xml:space="preserve"> electricity, met, furthermore, transport, sectors, electrified; EU scope visible. This is a provisional connection, not an outcome finding.</w:t>
      </w:r>
    </w:p>
    <w:p>
      <w:pPr>
        <w:pStyle w:val="SourceNote"/>
      </w:pPr>
      <w:r>
        <w:rPr>
          <w:b/>
        </w:rPr>
        <w:t>Available abstract (not full text):</w:t>
      </w:r>
      <w:r>
        <w:t xml:space="preserve"> This study investigates the interactions between a steel industry that applies hydrogen direct reduction (H-DR) and the electricity system of northern Europe. We apply a techno-economic optimization model with the aim of achieving net-zero emissions from the electricity and steel sectors in Year 2050. The model minimizes the investment and running costs of electricity and steel production units, while meeting the demands for electricity and steel. The modeling is carried out for a number of scenarios, which differ in the following parameters: (i) cost of using new sites for steel production; (ii) transport costs; (iii) commodities export; (iv) flexibility in operation of a direct reduction (DR) shaft furnace; and (v) location of steel demand. The results reveal that a cost-efficient spatial allocation of the electrified steel production capacity is impacted by the availability of low-cost electricity and can differ from the present - day allocation of steel plants. The modeling results show that the additional electricity demand from an electrified steel industry is met mainly by increased investments in wind and solar power while natural gas - based production of electricity is reduced. Furthermore, it is found to be cost-efficient to invest in overcapacity for steel production units (electrolyzers, DR shaft furnaces and electric arc furnaces) and to invest in storage systems </w:t>
      </w:r>
    </w:p>
    <w:p>
      <w:pPr/>
      <w:r>
        <w:rPr>
          <w:b/>
        </w:rPr>
        <w:t>POSSIBLE 2022:</w:t>
      </w:r>
      <w:r>
        <w:t xml:space="preserve"> Prescribing Net Demand for Two-Stage Electricity Generation Scheduling — https://doi.org/10.2139/ssrn.4211573</w:t>
      </w:r>
    </w:p>
    <w:p>
      <w:pPr/>
      <w:r>
        <w:rPr>
          <w:b/>
        </w:rPr>
        <w:t>Shared claim-specific concepts:</w:t>
      </w:r>
      <w:r>
        <w:t xml:space="preserve"> electricity, generation; EU scope not established. This is a provisional connection, not an outcome finding.</w:t>
      </w:r>
    </w:p>
    <w:p>
      <w:pPr>
        <w:pStyle w:val="SourceNote"/>
      </w:pPr>
      <w:r>
        <w:rPr>
          <w:b/>
        </w:rPr>
        <w:t>Available abstract (not full text):</w:t>
      </w:r>
      <w:r>
        <w:t xml:space="preserve"> Unavailable</w:t>
      </w:r>
    </w:p>
    <w:p>
      <w:pPr/>
      <w:r>
        <w:rPr>
          <w:b/>
        </w:rPr>
        <w:t>POSSIBLE 2022:</w:t>
      </w:r>
      <w:r>
        <w:t xml:space="preserve"> System-level impacts of 24/7 carbon-free electricity procurement in Europe — https://doi.org/10.5281/zenodo.7180097</w:t>
      </w:r>
    </w:p>
    <w:p>
      <w:pPr/>
      <w:r>
        <w:rPr>
          <w:b/>
        </w:rPr>
        <w:t>Shared claim-specific concepts:</w:t>
      </w:r>
      <w:r>
        <w:t xml:space="preserve"> electricity, met, renewable; EU scope visible. This is a provisional connection, not an outcome finding.</w:t>
      </w:r>
    </w:p>
    <w:p>
      <w:pPr>
        <w:pStyle w:val="SourceNote"/>
      </w:pPr>
      <w:r>
        <w:rPr>
          <w:b/>
        </w:rPr>
        <w:t>Available abstract (not full text):</w:t>
      </w:r>
      <w:r>
        <w:t xml:space="preserve"> Traditional power purchase agreements for renewable energy have seen rapid growth in recent years, but they only match supply and demand on average over a longer period such as a year. There is increasing interest from leaders in voluntary clean electricity procurement to cover their consumption with clean energy supply on truly 24/7 basis. Achieving 24/7 carbon-free energy means that every kilowatt-hour of electricity consumption is met with carbon-free electricity sources, every hour of every day. In this study, we investigate both the means and costs of pursuing different clean electricity procurement strategies for companies in a selection of European countries. We also explore how the 24/7 clean energy procurement affects the rest of the European electricity system. The study was supported by a grant from Google Inc. If you intend to reference this study or use the underlying public code for your research, we would appreciate it if you would cite the following paper: Riepin, Iegor, and Tom Brown. “On the Means, Costs, and System-Level Impacts of 24/7 Carbon-Free Energy Procurement.” Energy Strategy Reviews 54 (July 1, 2024): 101488. https://doi.org/10.1016/j.esr.2024.101488.</w:t>
      </w:r>
    </w:p>
    <w:p>
      <w:pPr>
        <w:pStyle w:val="Heading2"/>
      </w:pPr>
      <w:r>
        <w:t>886. Modelling street level PM 10 concentrations across Europe: source apportionment and possible futures</w:t>
      </w:r>
    </w:p>
    <w:p>
      <w:pPr>
        <w:pStyle w:val="SourceNote"/>
      </w:pPr>
      <w:r>
        <w:rPr>
          <w:b/>
        </w:rPr>
        <w:t>Original source (2015):</w:t>
      </w:r>
      <w:r>
        <w:t xml:space="preserve"> https://doi.org/10.5194/acp-15-1539-2015</w:t>
      </w:r>
    </w:p>
    <w:p>
      <w:pPr/>
      <w:r>
        <w:t>Original wording (abstract; indexed_source_text_not_full_document_verified): Furthermore, we analyse the predicted evolution of PM10 concentrations in the European Union until 2030 under different policy scenarios. Remaining issues are largely eliminated in a scenario applying the best available emission control technologies to the maximal technically feasible extent.</w:t>
      </w:r>
    </w:p>
    <w:p>
      <w:pPr/>
      <w:r>
        <w:rPr>
          <w:b/>
        </w:rPr>
        <w:t>POSSIBLE 2026:</w:t>
      </w:r>
      <w:r>
        <w:t xml:space="preserve"> A transformer approach to forecasting PM10 concentration in the Arctic and Northern Europe — https://doi.org/10.1038/s44407-026-00071-8</w:t>
      </w:r>
    </w:p>
    <w:p>
      <w:pPr/>
      <w:r>
        <w:rPr>
          <w:b/>
        </w:rPr>
        <w:t>Shared claim-specific concepts:</w:t>
      </w:r>
      <w:r>
        <w:t xml:space="preserve"> analyse, pm10, concentrations, extent; EU scope visible. This is a provisional connection, not an outcome finding.</w:t>
      </w:r>
    </w:p>
    <w:p>
      <w:pPr>
        <w:pStyle w:val="SourceNote"/>
      </w:pPr>
      <w:r>
        <w:rPr>
          <w:b/>
        </w:rPr>
        <w:t>Available abstract (not full text):</w:t>
      </w:r>
      <w:r>
        <w:t xml:space="preserve"> Abstract Air pollution is reckoned as one of the main critical factors in risks related to human health as well as to the environment, especially in key areas like the Arctic, where global warming is affecting the ecosystem at an alarming rate. Major pollutants, such as Particulate Matter (PM 10 ), are thus crucial to monitor for efficient planning ahead of extreme events: to that extent, a reliable short to medium-term forecast is vital for prompt action. We propose a Deep Learning approach to air pollution forecasting aimed at predicting 48-h concentrations of PM 10 . We analyse the behaviour of said pollutant together with auxiliary factors, such as meteorological variables and outputs from state-of-the-art numerical models, through several forefront time-series-specialised architectures, i.e. Transformers. We develop an enhanced version of the best-performing Transformer architecture to define a suitable model to forecast PM 10 concentrations from a wide variety of stations across Northern Europe. Our proposed methodology manages to outperform pivotal numerical models and associated postprocessing, offering a valuable alternative for local air pollution forecasting.</w:t>
      </w:r>
    </w:p>
    <w:p>
      <w:pPr/>
      <w:r>
        <w:rPr>
          <w:b/>
        </w:rPr>
        <w:t>POSSIBLE 2025:</w:t>
      </w:r>
      <w:r>
        <w:t xml:space="preserve"> Understanding and predicting the geographic distributions of phlebotomine sand flies in and around Europe — https://doi.org/10.1007/s10584-025-04009-z</w:t>
      </w:r>
    </w:p>
    <w:p>
      <w:pPr/>
      <w:r>
        <w:rPr>
          <w:b/>
        </w:rPr>
        <w:t>Shared claim-specific concepts:</w:t>
      </w:r>
      <w:r>
        <w:t xml:space="preserve"> predicted, largely, available; EU scope visible. This is a provisional connection, not an outcome finding.</w:t>
      </w:r>
    </w:p>
    <w:p>
      <w:pPr>
        <w:pStyle w:val="SourceNote"/>
      </w:pPr>
      <w:r>
        <w:rPr>
          <w:b/>
        </w:rPr>
        <w:t>Available abstract (not full text):</w:t>
      </w:r>
      <w:r>
        <w:t xml:space="preserve"> Climate and land-use changes influence the transmission of vector-borne diseases by affecting the distribution and survival of disease vectors. Numerous diseases are transmitted by phlebotomine sand flies (Diptera: Psychodidae: Phlebotominae), including leishmaniasis. Several major sand fly-borne diseases are responsible for high global disease burdens and high socio-economic costs. In Europe, over 20 known sand fly vector species are largely confined to the Mediterranean Basin, yet records of sand fly presence further north increase. Global warming is predicted to drive the spread of sand flies to large areas of Europe in the 21th century, an effect likely to be exacerbated by anthropogenic factors. However, the constraints to the geographic distributions of sand flies are not well understood. This study aims to increase the understanding of the drivers of the geographic distributions of sand flies, using species distribution modelling to systematically test links between sand fly occurrences and climatic, land-use, lithological, biodiversity and human population variables in Europe and adjacent Mediterranean regions. We found that moisture is the most important environmental variable both in explaining and in predicting sand fly occurrences. The projected suitable habitats are larger than the current known sand fly distributions, and these habitats are expected to expand due </w:t>
      </w:r>
    </w:p>
    <w:p>
      <w:pPr/>
      <w:r>
        <w:rPr>
          <w:b/>
        </w:rPr>
        <w:t>POSSIBLE 2024:</w:t>
      </w:r>
      <w:r>
        <w:t xml:space="preserve"> Spatio-temporal characterization of PM10 concentration across Abu Dhabi Emirate (UAE) — https://doi.org/10.1016/j.heliyon.2024.e32812</w:t>
      </w:r>
    </w:p>
    <w:p>
      <w:pPr/>
      <w:r>
        <w:rPr>
          <w:b/>
        </w:rPr>
        <w:t>Shared claim-specific concepts:</w:t>
      </w:r>
      <w:r>
        <w:t xml:space="preserve"> furthermore, pm10, different, emission; EU scope not established. This is a provisional connection, not an outcome finding.</w:t>
      </w:r>
    </w:p>
    <w:p>
      <w:pPr>
        <w:pStyle w:val="SourceNote"/>
      </w:pPr>
      <w:r>
        <w:rPr>
          <w:b/>
        </w:rPr>
        <w:t>Available abstract (not full text):</w:t>
      </w:r>
      <w:r>
        <w:t xml:space="preserve"> The abundance and recurrence of particulate matter in Abu Dhabi Emirate (ADE), are often derived from different emission sources such as the combustion of hydrocarbon, producing much of the PM2.5 found in outdoor air, as well as a significant proportion of PM10. Wind-blown dust from open desert areas and construction sites, landfills and agriculture, brush/waste burning, and industrial sources, has contributed markedly to the problem of the spread of haze and the long-range movement of pollutants in the country. In this study, the spatio-temporal characterization of PM10 concentration across the Emirate was analyzed utilizing geospatial interpolation, spanning the period between 2013 and 2017. The results suggest that the fluctuations of the PM10 concentration can be decomposed into three dominant types, each characterizing different spatial and temporal variations. First, the western region with PM10 showing a peak concentration during the summer season i.e., when the winds are predominantly northerlies or northwesterly, and a minimal concentration during the winter season. Second, the central region with the PM10 exhibiting a concentration surge in July-August, as a result of a mix of strong winds and high temperatures. Third, the eastern region with a low concentration of PM10. Seasonally, this component exhibits two concentration maxima during quarters 2 and 3 (summer), and</w:t>
      </w:r>
    </w:p>
    <w:p>
      <w:pPr/>
      <w:r>
        <w:rPr>
          <w:b/>
        </w:rPr>
        <w:t>POSSIBLE 2023:</w:t>
      </w:r>
      <w:r>
        <w:t xml:space="preserve"> 2017–2020 trends of particulate matter PM10 concentrations in the cities of Suceava and Botoșani — https://doi.org/10.47743/pesd2023171023</w:t>
      </w:r>
    </w:p>
    <w:p>
      <w:pPr/>
      <w:r>
        <w:rPr>
          <w:b/>
        </w:rPr>
        <w:t>Shared claim-specific concepts:</w:t>
      </w:r>
      <w:r>
        <w:t xml:space="preserve"> pm10, concentrations, until; EU scope not established. This is a provisional connection, not an outcome finding.</w:t>
      </w:r>
    </w:p>
    <w:p>
      <w:pPr>
        <w:pStyle w:val="SourceNote"/>
      </w:pPr>
      <w:r>
        <w:rPr>
          <w:b/>
        </w:rPr>
        <w:t>Available abstract (not full text):</w:t>
      </w:r>
      <w:r>
        <w:t xml:space="preserve"> This study aims to analyze the trends and variability of PM10 concentrations at three monitoring sites in Suceava and Botoșani cities from 2017 to 2020.The results reveal a declining trend in PM10 concentrations at the urban background stations (SV1 and BT1), while the industrial site (SV2) indicated a slight increasing trend until 2019.The cold season recorded the highest daily PM10 concentrations, with peak values of 133.5 μg/m3, 114.9 μg/m3, and 91.8 μg/m3 at SV2, BT1, and SV1, respectively.Annual average PM10 concentrations decreased at SV1 and BT1, showing reductions of 6.7% and 19.7% in 2020 compared to 2017, respectively.The 90.4th percentile, with a threshold limit of 50 μg/m3, exceeded the limit during the 2018-2020 period at SV2. Pearson correlation analysis indicates a significant positive correlation between PM10 and NO2 (R = 0.66 in SV2) and CO (R = 0.69 in SV2, R = 0.54 in BT1) during the winter season.Additionally, a positive correlation was observed between PM10 and benzene in BT1, during both the warm season (R = 0.41) and the cold season (R = 0.66).These results provide insights into the spatiotemporal variability of PM10 and its relationship with other air pollutants.</w:t>
      </w:r>
    </w:p>
    <w:p>
      <w:pPr/>
      <w:r>
        <w:rPr>
          <w:b/>
        </w:rPr>
        <w:t>POSSIBLE 2023:</w:t>
      </w:r>
      <w:r>
        <w:t xml:space="preserve"> The Impact of Atmospheric Synoptic Weather Condition and Long-Range Transportation of Air Mass on Extreme PM10 Concentration Events — https://doi.org/10.3390/atmos14020406</w:t>
      </w:r>
    </w:p>
    <w:p>
      <w:pPr/>
      <w:r>
        <w:rPr>
          <w:b/>
        </w:rPr>
        <w:t>Shared claim-specific concepts:</w:t>
      </w:r>
      <w:r>
        <w:t xml:space="preserve"> furthermore, pm10, concentrations; EU scope not established. This is a provisional connection, not an outcome finding.</w:t>
      </w:r>
    </w:p>
    <w:p>
      <w:pPr>
        <w:pStyle w:val="SourceNote"/>
      </w:pPr>
      <w:r>
        <w:rPr>
          <w:b/>
        </w:rPr>
        <w:t>Available abstract (not full text):</w:t>
      </w:r>
      <w:r>
        <w:t xml:space="preserve"> Atmospheric synoptic weather patterns have a significant impact on the concentration, dispersion, and transportation of air pollution in various regions and times around the world. To assess the impact of atmospheric synoptic weather patterns and long-range air mass transportation, we used weather classification techniques from the BP training model and the HYSPLIT model. Our research uncovered four weather conditions linked to PM10 concentration categories ranging from normal to extreme. Weather conditions 3 and 4 are the most significant conditions supporting the occurrence of extreme concentration events that are heavily influenced by anti-cyclones. Despite weather conditions influencing high concentrations, 60% of long-distance air mass transport to Secunda from Mpumalanga province increased to extreme PM10 concentrations. Furthermore, long-term weather shifts have been observed to positively impact reducing the concentration of PM10 extreme events.</w:t>
      </w:r>
    </w:p>
    <w:p>
      <w:pPr/>
      <w:r>
        <w:rPr>
          <w:b/>
        </w:rPr>
        <w:t>POSSIBLE 2022:</w:t>
      </w:r>
      <w:r>
        <w:t xml:space="preserve"> Impact of PM2.5 and PM10 Emissions on Changes of Their Concentration Levels in Lithuania: A Case Study — https://doi.org/10.3390/atmos13111793</w:t>
      </w:r>
    </w:p>
    <w:p>
      <w:pPr/>
      <w:r>
        <w:rPr>
          <w:b/>
        </w:rPr>
        <w:t>Shared claim-specific concepts:</w:t>
      </w:r>
      <w:r>
        <w:t xml:space="preserve"> furthermore, pm10, concentrations; EU scope visible. This is a provisional connection, not an outcome finding.</w:t>
      </w:r>
    </w:p>
    <w:p>
      <w:pPr>
        <w:pStyle w:val="SourceNote"/>
      </w:pPr>
      <w:r>
        <w:rPr>
          <w:b/>
        </w:rPr>
        <w:t>Available abstract (not full text):</w:t>
      </w:r>
      <w:r>
        <w:t xml:space="preserve"> Due to negative effects on human health and visibility, atmospheric particulate matter (PM) is a prioritized contaminant for urban air pollution management. Over the past few decades, managing emissions have been a top priority. This paper investigated PM national inventory data and mass concentration trends for Lithuania. This analysis considers primary (sum of filterable and condensable) PM2.5 and PM10 emissions from point, mobile on-road and off-road, industry, agriculture, and waste sectors. In this study, by examining both the emissions and the mass concentrations of PM10, the effects of emissions decreasing with a concentration decrease were revealed. The slower decreasing tendency of PM10 and BC (0.03 Gg/year) than that of PM2.5 (0.1 Gg/year) should be noted. Furthermore, the correlation analysis also finds that the increase in PM10 from stationary and mobile combustion sources is closely related to the increase in the contribution to the pollution level.</w:t>
      </w:r>
    </w:p>
    <w:p>
      <w:pPr/>
      <w:r>
        <w:rPr>
          <w:b/>
        </w:rPr>
        <w:t>POSSIBLE 2022:</w:t>
      </w:r>
      <w:r>
        <w:t xml:space="preserve"> Statistical Analysis of PM10 Concentration in the Monterrey Metropolitan Area, Mexico (2010–2018) — https://doi.org/10.3390/atmos13020297</w:t>
      </w:r>
    </w:p>
    <w:p>
      <w:pPr/>
      <w:r>
        <w:rPr>
          <w:b/>
        </w:rPr>
        <w:t>Shared claim-specific concepts:</w:t>
      </w:r>
      <w:r>
        <w:t xml:space="preserve"> furthermore, pm10, concentrations, applying; EU scope not established. This is a provisional connection, not an outcome finding.</w:t>
      </w:r>
    </w:p>
    <w:p>
      <w:pPr>
        <w:pStyle w:val="SourceNote"/>
      </w:pPr>
      <w:r>
        <w:rPr>
          <w:b/>
        </w:rPr>
        <w:t>Available abstract (not full text):</w:t>
      </w:r>
      <w:r>
        <w:t xml:space="preserve"> Air-quality monitoring and analysis are initial parts of a comprehensive strategy to prevent air pollution in cities. In such a context, statistical tools play an important role in determining the time-series trends, locating areas with high pollutant concentrations, and building predictive models. In this work, we analyzed the spatio-temporal behavior of the pollutant PM10 in the Monterrey Metropolitan Area (MMA), Mexico during the period 2010–2018 by applying statistical analysis to the time series of seven environmental stations. First, we used experimental variograms and scientific visualization to determine the general trends and variability in time. Then, fractal exponents (the Hurst rescaled range and Higuchi algorithm) were used to analyze the long-term dependence of the time series and characterize the study area by correlating that dependence with the geographical parameters of each environmental station. The results suggest a linear decrease in PM10 concentration, which showed an annual cyclicity. The autumn-winter period was the most polluted and the spring-summer period was the least. Furthermore, it was found that the highest average concentrations are located in the western and high-altitude zones of the MMA, and that average concentration is related in a quadratic way to the Hurst and Higuchi exponents, which in turn are related to some geographic parameters. Th</w:t>
      </w:r>
    </w:p>
    <w:p>
      <w:pPr/>
      <w:r>
        <w:rPr>
          <w:b/>
        </w:rPr>
        <w:t>POSSIBLE 2022:</w:t>
      </w:r>
      <w:r>
        <w:t xml:space="preserve"> Benefits of future clean air policies in Europe — https://doi.org/10.1097/ee9.0000000000000221</w:t>
      </w:r>
    </w:p>
    <w:p>
      <w:pPr/>
      <w:r>
        <w:rPr>
          <w:b/>
        </w:rPr>
        <w:t>Shared claim-specific concepts:</w:t>
      </w:r>
      <w:r>
        <w:t xml:space="preserve"> concentrations, union, until, available; EU scope visible. This is a provisional connection, not an outcome finding.</w:t>
      </w:r>
    </w:p>
    <w:p>
      <w:pPr>
        <w:pStyle w:val="SourceNote"/>
      </w:pPr>
      <w:r>
        <w:rPr>
          <w:b/>
        </w:rPr>
        <w:t>Available abstract (not full text):</w:t>
      </w:r>
      <w:r>
        <w:t xml:space="preserve"> Introduction Health impact assessments (HIA) and cost-benefit analyses (CBA) play a major role in the ongoing revision of the European Union Ambient Air Quality Directive (EU AAQD). HIAs quantify the public health impacts of the air pollution levels a population is exposed to. CBAs quantify the economic costs of achieving lower air pollution levels and the (monetized) benefits for public health that result from these lower air pollution levels. In this commentary, we consider the recent body of evidence on the effects of long-term exposure to fine particulate matter (PM2.5) and nitrogen dioxide (NO2) on total mortality from natural causes and present the rationale for conducting additional analyses within the framework of the HIA conducted for the revision of the EU AAQD, based on the recently published European “Effects of Low-Level Air Pollution: A Study in Europe” (ELAPSE) study. The air pollution-related burden (presented as impact on mortality from natural causes) for Europe has been estimated since 2014 in the annual “Air Quality in Europe” reports published by the European Environment Agency (EEA). EEA in their HIA has used relative risk estimates from meta-analyses by Hoek and colleagues1 in 2013, based on evidence published before January 2013: 1.06 (1.04, 1.08) for PM2.5 and 1.05 (1.03, 1.08) for NO2, both per 10 μg/m3. The EEA, in its latest HIA for 2019, assumed no </w:t>
      </w:r>
    </w:p>
    <w:p>
      <w:pPr/>
      <w:r>
        <w:rPr>
          <w:b/>
        </w:rPr>
        <w:t>POSSIBLE 2021:</w:t>
      </w:r>
      <w:r>
        <w:t xml:space="preserve"> Contribution of anthropogenic and natural sources in PM10 during North African dust events in Southern Europe — https://doi.org/10.1016/j.envpol.2021.118065</w:t>
      </w:r>
    </w:p>
    <w:p>
      <w:pPr/>
      <w:r>
        <w:rPr>
          <w:b/>
        </w:rPr>
        <w:t>Shared claim-specific concepts:</w:t>
      </w:r>
      <w:r>
        <w:t xml:space="preserve"> furthermore, pm10, concentrations; EU scope visible. This is a provisional connection, not an outcome finding.</w:t>
      </w:r>
    </w:p>
    <w:p>
      <w:pPr>
        <w:pStyle w:val="SourceNote"/>
      </w:pPr>
      <w:r>
        <w:rPr>
          <w:b/>
        </w:rPr>
        <w:t>Available abstract (not full text):</w:t>
      </w:r>
      <w:r>
        <w:t xml:space="preserve"> The influence of North African (NAF) dust events on the air quality at the regional level (12 representative monitoring stations) in Southern Europe during a long time series (2007–2014) was studied. PM10 levels and chemical composition were separated by Atlantic (ATL) and NAF air masses. An increase in the average PM10 concentrations was observed on sampling days with NAF dust influence (42 μg m−3) when compared to ATL air masses (29 μg m−3). Major compounds such as crustal components and secondary inorganic compounds (SIC), as well as toxic trace elements derived from industrial emissions, also showed higher concentrations of NAF events. A source contribution analysis using positive matrix factorisation (PMF) 5.0 of the PM10 chemical data, discriminating ATL and NAF air mass origins, allowed the identification of five sources: crustal, sea salt, traffic, regional, and industrial. A higher contribution (74%) of the natural sources to PM10 concentrations was confirmed under NAF episodes compared with ATL. Furthermore, there was an increase in anthropogenic sources during these events (51%), indicating the important influence of the NAF air masses on these sources. The results of this study highlight that environmental managers should take appropriate actions to reduce local emissions during NAF events to ensure good air quality.</w:t>
      </w:r>
    </w:p>
    <w:p>
      <w:pPr/>
      <w:r>
        <w:rPr>
          <w:b/>
        </w:rPr>
        <w:t>POSSIBLE 2021:</w:t>
      </w:r>
      <w:r>
        <w:t xml:space="preserve"> Assessment of Machine Learning Algorithms in Short-term Forecasting of PM10 and PM2.5 Concentrations in Selected Polish Agglomerations — https://doi.org/10.4209/aaqr.200586</w:t>
      </w:r>
    </w:p>
    <w:p>
      <w:pPr/>
      <w:r>
        <w:rPr>
          <w:b/>
        </w:rPr>
        <w:t>Shared claim-specific concepts:</w:t>
      </w:r>
      <w:r>
        <w:t xml:space="preserve"> pm10, concentrations, best; EU scope visible. This is a provisional connection, not an outcome finding.</w:t>
      </w:r>
    </w:p>
    <w:p>
      <w:pPr>
        <w:pStyle w:val="SourceNote"/>
      </w:pPr>
      <w:r>
        <w:rPr>
          <w:b/>
        </w:rPr>
        <w:t>Available abstract (not full text):</w:t>
      </w:r>
      <w:r>
        <w:t xml:space="preserve"> Air pollution continues to have a significant impact on Europeans living in urban areas, and episodes of elevated PMx are responsible for a large number of premature deaths (mostly due to heart disease and stroke) each year. According to the annual EEA reports, Poland is one of the most polluted countries in Europe, experiencing high PMx concentrations during winter that mostly result from large emissions and unfavourable weather conditions in combination with environmental features. Thus, in addition to implementing municipal mitigation strategies, alerting residents to pollution episodes through accurate PMx forecasting is necessary. This research aimed to assess the feasibility of short-term PMx forecasting via machine learning (ML) and the subsequent identification of the primary meteorological covariates. The data comprised 10 years of hourly winter PM10 and PM2.5 concentrations measured at 11 urban air quality monitoring stations, including background, traffic, and industrial sites, in four large Polish agglomerations, viz., Poznań, Kraków, Łódź, and Gdańsk, which cover areas with high population density and diverse environments that extend from the Baltic Sea coast (Tricity) through the lowlands (Poznań and Łódź) to the highlands (Kraków). We tested four ML models: AIC-based stepwise regression, two tree-based algorithms (random forests and XGBoost), and neural networks.</w:t>
      </w:r>
    </w:p>
    <w:p>
      <w:pPr/>
      <w:r>
        <w:rPr>
          <w:b/>
        </w:rPr>
        <w:t>POSSIBLE 2021:</w:t>
      </w:r>
      <w:r>
        <w:t xml:space="preserve"> PM10 and PM2.5 real-time prediction models using an interpolated convolutional neural network — https://doi.org/10.1038/s41598-021-91253-9</w:t>
      </w:r>
    </w:p>
    <w:p>
      <w:pPr/>
      <w:r>
        <w:rPr>
          <w:b/>
        </w:rPr>
        <w:t>Shared claim-specific concepts:</w:t>
      </w:r>
      <w:r>
        <w:t xml:space="preserve"> furthermore, pm10, concentrations; EU scope not established. This is a provisional connection, not an outcome finding.</w:t>
      </w:r>
    </w:p>
    <w:p>
      <w:pPr>
        <w:pStyle w:val="SourceNote"/>
      </w:pPr>
      <w:r>
        <w:rPr>
          <w:b/>
        </w:rPr>
        <w:t>Available abstract (not full text):</w:t>
      </w:r>
      <w:r>
        <w:t xml:space="preserve"> In this paper, we propose a real-time prediction model that can respond to particulate matters (PM) in the air, which are an indication of poor air quality. The model applies interpolation to air quality and weather data and then uses a Convolutional Neural Network (CNN) to predict PM concentrations. The interpolation transforms the irregular spatial data into an equally spaced grid, which the model requires. This combination creates the interpolated CNN (ICNN) model that we use to predict PM10 and PM2.5 concentrations. The PM10 and PM2.5 evaluation results show an effective prediction performance with an R-squared higher than 0.97 and a root mean square error (RMSE) of approximately 16% of the standard deviation. Furthermore, both PM10 and PM2.5 prediction models forecast high concentrations with high reliability, with a probability of detection higher than 0.90 and a critical success index exceeding 0.85. The proposed ICNN prediction model achieves a high prediction performance using spatio-temporal information and presents a new direction in the prediction field.</w:t>
      </w:r>
    </w:p>
    <w:p>
      <w:pPr/>
      <w:r>
        <w:rPr>
          <w:b/>
        </w:rPr>
        <w:t>POSSIBLE 2019:</w:t>
      </w:r>
      <w:r>
        <w:t xml:space="preserve"> Distribution trends of European dragonflies under climate change — https://doi.org/10.1111/ddi.12913</w:t>
      </w:r>
    </w:p>
    <w:p>
      <w:pPr/>
      <w:r>
        <w:rPr>
          <w:b/>
        </w:rPr>
        <w:t>Shared claim-specific concepts:</w:t>
      </w:r>
      <w:r>
        <w:t xml:space="preserve"> furthermore, predicted, different; EU scope visible. This is a provisional connection, not an outcome finding.</w:t>
      </w:r>
    </w:p>
    <w:p>
      <w:pPr>
        <w:pStyle w:val="SourceNote"/>
      </w:pPr>
      <w:r>
        <w:rPr>
          <w:b/>
        </w:rPr>
        <w:t>Available abstract (not full text):</w:t>
      </w:r>
      <w:r>
        <w:t xml:space="preserve"> Abstract Aim Poleward range shifts of species are among the most obvious effects of climate change on biodiversity. As a consequence of these range shifts, species communities are predicted to become increasingly composed of warm‐dwelling species, but this has only been studied for a limited number of taxa, mainly birds, butterflies and plants. As species groups may vary considerably in their adaptation to climate change, it is desirable to expand these studies to other groups, from different ecosystems. Freshwater macroinvertebrates, such as dragonflies (Odonata), have been ranked among the species groups with highest priority. In this paper, we investigate how the occurrence of dragonflies in Europe has changed in recent decades, and if these changes are in parallel with climate change. Location Europe. Methods We use data from 10 European geographical regions to calculate occupancy indices and trends for 99 (69%) of the European species. Next, we combine these regional indices to calculate European indices. To determine if changes in regional dragonfly communities in Europe reflect climatic warming, we calculate Species Temperature Indices (STI), Multi‐species Indicators (MSI) and Community Temperature Indices (CTI). Results 55 of 99 considered species increased in occupancy at European level, 32 species remained stable, and none declined. Trends for 12 species are uncertain</w:t>
      </w:r>
    </w:p>
    <w:p>
      <w:pPr>
        <w:pStyle w:val="Heading2"/>
      </w:pPr>
      <w:r>
        <w:t>887. Ocean energy development in Europe: Current status and future perspectives</w:t>
      </w:r>
    </w:p>
    <w:p>
      <w:pPr>
        <w:pStyle w:val="SourceNote"/>
      </w:pPr>
      <w:r>
        <w:rPr>
          <w:b/>
        </w:rPr>
        <w:t>Original source (2015):</w:t>
      </w:r>
      <w:r>
        <w:t xml:space="preserve"> https://doi.org/10.1016/j.ijome.2015.05.001</w:t>
      </w:r>
    </w:p>
    <w:p>
      <w:pPr/>
      <w:r>
        <w:t>Original wording (abstract; indexed_source_text_not_full_document_verified): In the EU, the aim is to reach 100 GW of combined wave and tidal capacity installed by 2050. Ocean energy has the potential to play a significant role in the future energy system, whilst contributing to the reduction of carbon emissions and stimulating economic growth in coastal and remote areas.</w:t>
      </w:r>
    </w:p>
    <w:p>
      <w:pPr/>
      <w:r>
        <w:rPr>
          <w:b/>
        </w:rPr>
        <w:t>POSSIBLE 2025:</w:t>
      </w:r>
      <w:r>
        <w:t xml:space="preserve"> A tidal energy assessment in the strait of Messina — https://doi.org/10.1016/j.nexus.2025.100464</w:t>
      </w:r>
    </w:p>
    <w:p>
      <w:pPr/>
      <w:r>
        <w:rPr>
          <w:b/>
        </w:rPr>
        <w:t>Shared claim-specific concepts:</w:t>
      </w:r>
      <w:r>
        <w:t xml:space="preserve"> reach, tidal, capacity, installed, energy, potential; EU scope not established. This is a provisional connection, not an outcome finding.</w:t>
      </w:r>
    </w:p>
    <w:p>
      <w:pPr>
        <w:pStyle w:val="SourceNote"/>
      </w:pPr>
      <w:r>
        <w:rPr>
          <w:b/>
        </w:rPr>
        <w:t>Available abstract (not full text):</w:t>
      </w:r>
      <w:r>
        <w:t xml:space="preserve"> ABSTRACT This study reports an energy assessment of a tidal power plant located in the strait of Messina (Mediterranean Sea). Tidal currents are not adequately exploited as renewable energy sources all over the world, even if their potential is not negligible and their predictability is certainly a relevant advantage. The objective of this study is to reveal the latent potential of tidal currents and the obtainable energy. The selected location is characterized by a semi-diurnal tidal current that is highly predictable and can reach speeds exceeding 3 m/s. The energy assessment focuses on open flow tidal turbines and leverages the latest technologies for harvesting energy from tidal currents, and the total energy produced was calculated by integrating current velocities over a whole year with 15-minutes time intervals. The coastal profile and the bathymetry of the location selected allowed to define a tidal energy park consisting of 113 horizontal axis tidal turbines (HATTs), with a total capacity installed of 271 MW and an annual production of nearly 145 GWh: this result show that tidal energy may represents a viable option to increase the share of renewable energy production.</w:t>
      </w:r>
    </w:p>
    <w:p>
      <w:pPr/>
      <w:r>
        <w:rPr>
          <w:b/>
        </w:rPr>
        <w:t>POSSIBLE 2024:</w:t>
      </w:r>
      <w:r>
        <w:t xml:space="preserve"> Evaluation of Tidal Energy Potential Using a Two-Way Tidal Energy Model — https://doi.org/10.28991/cej-2024-010-09-016</w:t>
      </w:r>
    </w:p>
    <w:p>
      <w:pPr/>
      <w:r>
        <w:rPr>
          <w:b/>
        </w:rPr>
        <w:t>Shared claim-specific concepts:</w:t>
      </w:r>
      <w:r>
        <w:t xml:space="preserve"> tidal, energy, potential; EU scope not established. This is a provisional connection, not an outcome finding.</w:t>
      </w:r>
    </w:p>
    <w:p>
      <w:pPr>
        <w:pStyle w:val="SourceNote"/>
      </w:pPr>
      <w:r>
        <w:rPr>
          <w:b/>
        </w:rPr>
        <w:t>Available abstract (not full text):</w:t>
      </w:r>
      <w:r>
        <w:t xml:space="preserve"> Tidal energy is a renewable energy source that provides sustainable energy through the utilization of tidal differences, making it a very promising option. This study examines a more effective tidal energy reservoir model by building a 1:100 scale prototype in the laboratory with several predetermined variations, namely an earthen pond (100, 80, and 60 cm), and flow holes (1.5, 1, and 0.5 cm) with initial tidal height differences of 10 cm, 15 cm, and 20 cm. The model uses a 6-hour time period, which corresponds to a semidiurnal tidal model. The results showed that the highest energy output was 281.84 kWh, achieved with a 1.5 cm flow hole, 20 cm tidal height difference for the initial condition, and 80 cm pond width. For a 1 cm flow hole, the outputs were 1774.8 kWh and 1803.78 kWh for 15 cm and 20 cm tidal height difference for the initial condition with a pond width of 100 cm. Meanwhile, the 0.5 cm flow hole produces potential energy outputs of 2623.8 kWh and 2611.4 kWh for different tidal heights of 15 cm and 20 cm for the initial condition with a pond width of 100 cm. Better model performance can be connected to a mini generator to validate the energy generated from the designed prototype model. Doi: 10.28991/CEJ-2024-010-09-016 Full Text: PDF</w:t>
      </w:r>
    </w:p>
    <w:p>
      <w:pPr/>
      <w:r>
        <w:rPr>
          <w:b/>
        </w:rPr>
        <w:t>POSSIBLE 2024:</w:t>
      </w:r>
      <w:r>
        <w:t xml:space="preserve"> All tidal wetlands are blue carbon ecosystems — https://doi.org/10.1093/biosci/biae007</w:t>
      </w:r>
    </w:p>
    <w:p>
      <w:pPr/>
      <w:r>
        <w:rPr>
          <w:b/>
        </w:rPr>
        <w:t>Shared claim-specific concepts:</w:t>
      </w:r>
      <w:r>
        <w:t xml:space="preserve"> tidal, potential, carbon, emissions, coastal; EU scope not established. This is a provisional connection, not an outcome finding.</w:t>
      </w:r>
    </w:p>
    <w:p>
      <w:pPr>
        <w:pStyle w:val="SourceNote"/>
      </w:pPr>
      <w:r>
        <w:rPr>
          <w:b/>
        </w:rPr>
        <w:t>Available abstract (not full text):</w:t>
      </w:r>
      <w:r>
        <w:t xml:space="preserve"> Managing coastal wetlands is one of the most promising activities to reduce atmospheric greenhouse gases, and it also contributes to meeting the United Nations Sustainable Development Goals. One of the options is through blue carbon projects, in which mangroves, saltmarshes, and seagrass are managed to increase carbon sequestration and reduce greenhouse gas emissions. However, other tidal wetlands align with the characteristics of blue carbon. These wetlands are called tidal freshwater wetlands in the United States, supratidal wetlands in Australia, transitional forests in Southeast Asia, and estuarine forests in South Africa. They have similar or larger potential for atmospheric carbon sequestration and emission reductions than the currently considered blue carbon ecosystems and have been highly exploited. In the present article, we suggest that all wetlands directly or indirectly influenced by tides should be considered blue carbon. Their protection and restoration through carbon offsets could reduce emissions while providing multiple cobenefits, including biodiversity.</w:t>
      </w:r>
    </w:p>
    <w:p>
      <w:pPr/>
      <w:r>
        <w:rPr>
          <w:b/>
        </w:rPr>
        <w:t>POSSIBLE 2024:</w:t>
      </w:r>
      <w:r>
        <w:t xml:space="preserve"> Merging modelled and reported flood impacts in Europe in a combined flood event catalogue for 1950–2020 — https://doi.org/10.5194/hess-28-3983-2024</w:t>
      </w:r>
    </w:p>
    <w:p>
      <w:pPr/>
      <w:r>
        <w:rPr>
          <w:b/>
        </w:rPr>
        <w:t>Shared claim-specific concepts:</w:t>
      </w:r>
      <w:r>
        <w:t xml:space="preserve"> combined, potential, significant, reduction, coastal; EU scope visible. This is a provisional connection, not an outcome finding.</w:t>
      </w:r>
    </w:p>
    <w:p>
      <w:pPr>
        <w:pStyle w:val="SourceNote"/>
      </w:pPr>
      <w:r>
        <w:rPr>
          <w:b/>
        </w:rPr>
        <w:t>Available abstract (not full text):</w:t>
      </w:r>
      <w:r>
        <w:t xml:space="preserve"> Abstract. Long-term trends in flood losses are regulated by multiple factors including climate variation, demographic dynamics, economic growth, land-use transitions, reservoir construction and flood risk reduction measures. Attribution of those drivers through the use of counterfactual scenarios of hazard, exposure or vulnerability first requires a good representation of historical events, including their location, intensity and the factual circumstances in which they occurred. Here, we develop a chain of models that is capable of recreating riverine, coastal and compound floods in Europe between 1950 and 2020 that had a potential to cause significant socioeconomic impacts. This factual catalogue of almost 15,000 such events was scrutinised with historical records of flood impacts. We found that at least 10 % of them had led to significant socioeconomic impacts (including fatalities) according to available sources. The model chain was able to capture events responsible for 96 % of known impacts contained in the HANZE flood impact database in terms of persons affected and economic losses, and for 81 % of fatalities. The dataset enables studying drivers of vulnerability and flood adaptation due to a large sample of events with historical impact data. The model chain can further be used to generate counterfactual events, especially related to climate change and human influence on</w:t>
      </w:r>
    </w:p>
    <w:p>
      <w:pPr/>
      <w:r>
        <w:rPr>
          <w:b/>
        </w:rPr>
        <w:t>POSSIBLE 2023:</w:t>
      </w:r>
      <w:r>
        <w:t xml:space="preserve"> Combined gastric and colorectal cancer endoscopic screening may be cost-effective in Europe with the implementation of artificial intelligence: an economic evaluation — https://doi.org/10.1097/meg.0000000000002680</w:t>
      </w:r>
    </w:p>
    <w:p>
      <w:pPr/>
      <w:r>
        <w:rPr>
          <w:b/>
        </w:rPr>
        <w:t>Shared claim-specific concepts:</w:t>
      </w:r>
      <w:r>
        <w:t xml:space="preserve"> combined, system; EU scope visible. This is a provisional connection, not an outcome finding.</w:t>
      </w:r>
    </w:p>
    <w:p>
      <w:pPr>
        <w:pStyle w:val="SourceNote"/>
      </w:pPr>
      <w:r>
        <w:rPr>
          <w:b/>
        </w:rPr>
        <w:t>Available abstract (not full text):</w:t>
      </w:r>
      <w:r>
        <w:t xml:space="preserve"> BACKGROUND/AIMS: Endoscopic screening for gastric cancer (GC) is not recommended in low-intermediate incidence countries. Artificial intelligence (AI) has high accuracy in GC detection and might increase the cost-effectiveness of screening strategies. We aimed to assess the cost-effectiveness of AI for GC detection in settings with different GC incidence and different accuracies of AI systems. METHODS: Cost-effectiveness analysis (using Markov model) comparing different screening strategies (no screening versus single esophagogastroduodenoscopy (EGD) at 50 years versus stand-alone EGD every 5/10 years versus combined EGD and screening colonoscopy once or twice per decade in Netherlands, Italy and Portugal) with variable AI accuracy settings. The primary outcome was the incremental cost-effectiveness ratio of the different strategies versus no screening. Deterministic and probabilistic sensitivity analyses were conducted. RESULTS: Without AI, one single EGD at 50 years (Netherlands, Italy, Portugal), EGD combined with screening colonoscopy once per decade (Italy and Portugal) and EGD combined with screening colonoscopy twice per decade (Portugal) are cost-effective when compared with no screening. If AI increases the accuracy of EGD by at least 1% in comparison to the accuracy of white-light endoscopy accuracy (89%), combined screening twice per decade also becomes cost-effectiv</w:t>
      </w:r>
    </w:p>
    <w:p>
      <w:pPr/>
      <w:r>
        <w:rPr>
          <w:b/>
        </w:rPr>
        <w:t>POSSIBLE 2023:</w:t>
      </w:r>
      <w:r>
        <w:t xml:space="preserve"> Observations from structural testing of full-scale tidal turbine blades — https://doi.org/10.36688/ewtec-2023-277</w:t>
      </w:r>
    </w:p>
    <w:p>
      <w:pPr/>
      <w:r>
        <w:rPr>
          <w:b/>
        </w:rPr>
        <w:t>Shared claim-specific concepts:</w:t>
      </w:r>
      <w:r>
        <w:t xml:space="preserve"> aim, combined, tidal, capacity, installed, energy; EU scope visible. This is a provisional connection, not an outcome finding.</w:t>
      </w:r>
    </w:p>
    <w:p>
      <w:pPr>
        <w:pStyle w:val="SourceNote"/>
      </w:pPr>
      <w:r>
        <w:rPr>
          <w:b/>
        </w:rPr>
        <w:t>Available abstract (not full text):</w:t>
      </w:r>
      <w:r>
        <w:t xml:space="preserve"> As the world shifts its reliance from fossil fuels to renewable energy, a reliable, predictable and dependable source of energy is vital; tidal energy provides such a solution. In 2021, the cumulative installed capacity of tidal stream energy in Europe, since 2010, reached 30.2 MW, which is roughly three times as much as the rest of the world. The total electricity produced in Europe from tidal energy increased by 8 GWh to a total of 68 GWh to date. The tidal turbine blades convert the energy in the tidal current to useful mechanical energy that can be converted to electricity. Therefore, the reliability of the blades is paramount to the success for the turbine. Structural testing of composite tidal turbine blades is performed to ensure the design and manufacturing processes [4] produce a reliable component that performs for its design life span. In recent years, a number of structural testing programmes have been performed on full-scale tidal turbine blades, as the sector strives for commercial viability. In this paper, observations during the structural (static, dynamic and fatigue) testing of full-scale tidal turbine blades are presented and discussed. These observations have been made from 5 testing campaigns on full-scale tidal turbine blades at the Large Structures Testing Laboratory in the SFI MaREI centre in the University of Galway. The length of these blades range fro</w:t>
      </w:r>
    </w:p>
    <w:p>
      <w:pPr/>
      <w:r>
        <w:rPr>
          <w:b/>
        </w:rPr>
        <w:t>POSSIBLE 2023:</w:t>
      </w:r>
      <w:r>
        <w:t xml:space="preserve"> Review and assessment of the German tidal energy resource — https://doi.org/10.1007/s40722-023-00309-7</w:t>
      </w:r>
    </w:p>
    <w:p>
      <w:pPr/>
      <w:r>
        <w:rPr>
          <w:b/>
        </w:rPr>
        <w:t>Shared claim-specific concepts:</w:t>
      </w:r>
      <w:r>
        <w:t xml:space="preserve"> tidal, energy, potential; EU scope visible. This is a provisional connection, not an outcome finding.</w:t>
      </w:r>
    </w:p>
    <w:p>
      <w:pPr>
        <w:pStyle w:val="SourceNote"/>
      </w:pPr>
      <w:r>
        <w:rPr>
          <w:b/>
        </w:rPr>
        <w:t>Available abstract (not full text):</w:t>
      </w:r>
      <w:r>
        <w:t xml:space="preserve"> Abstract To mitigate climate change, a transformation of the energy sector towards a low-emission power generation is necessary. Tidal energy technology has matured in recent years and has the potential to balance Europe’s future power grid. While reviews of the tidal energy resource exist for a number of European countries, along the German North Sea coast is overlooked so far. This paper closes this gap and provides a comprehensive review and assessment of the German tidal energy resource. Germany’s North Sea coast is characterised by comparatively low current velocities and shallow waters. Using available data from the EasyGSH-DB North Sea Model, Germany’s practical tidal energy resource is estimated in a range between 66.6 and 565.8 GWh y $$^{-1}$$ - 1 to, excluding the most energetic sites in the estuaries of Elbe, Weser, and Ems. A stakeholder questionnaire aimed at tidal energy technology developers has shown that it is considered important to further develop the technology towards the use in shallow water and under low current velocities.</w:t>
      </w:r>
    </w:p>
    <w:p>
      <w:pPr/>
      <w:r>
        <w:rPr>
          <w:b/>
        </w:rPr>
        <w:t>POSSIBLE 2022:</w:t>
      </w:r>
      <w:r>
        <w:t xml:space="preserve"> Perspective on the hydrogen economy as a pathway to reach net-zero CO 2 emissions in Europe — https://doi.org/10.1039/d1ee02118d</w:t>
      </w:r>
    </w:p>
    <w:p>
      <w:pPr/>
      <w:r>
        <w:rPr>
          <w:b/>
        </w:rPr>
        <w:t>Shared claim-specific concepts:</w:t>
      </w:r>
      <w:r>
        <w:t xml:space="preserve"> reach, energy, role, emissions; EU scope visible. This is a provisional connection, not an outcome finding.</w:t>
      </w:r>
    </w:p>
    <w:p>
      <w:pPr>
        <w:pStyle w:val="SourceNote"/>
      </w:pPr>
      <w:r>
        <w:rPr>
          <w:b/>
        </w:rPr>
        <w:t>Available abstract (not full text):</w:t>
      </w:r>
      <w:r>
        <w:t xml:space="preserve"> The envisioned role of hydrogen in the energy transition – or the concept of a hydrogen economy – has varied through the years.</w:t>
      </w:r>
    </w:p>
    <w:p>
      <w:pPr/>
      <w:r>
        <w:rPr>
          <w:b/>
        </w:rPr>
        <w:t>POSSIBLE 2022:</w:t>
      </w:r>
      <w:r>
        <w:t xml:space="preserve"> Tidal stream to mainstream: mechanical testing of composite tidal stream blades to de-risk operational design life — https://doi.org/10.1007/s40722-022-00223-4</w:t>
      </w:r>
    </w:p>
    <w:p>
      <w:pPr/>
      <w:r>
        <w:rPr>
          <w:b/>
        </w:rPr>
        <w:t>Shared claim-specific concepts:</w:t>
      </w:r>
      <w:r>
        <w:t xml:space="preserve"> tidal, capacity, energy, potential, role; EU scope visible. This is a provisional connection, not an outcome finding.</w:t>
      </w:r>
    </w:p>
    <w:p>
      <w:pPr>
        <w:pStyle w:val="SourceNote"/>
      </w:pPr>
      <w:r>
        <w:rPr>
          <w:b/>
        </w:rPr>
        <w:t>Available abstract (not full text):</w:t>
      </w:r>
      <w:r>
        <w:t xml:space="preserve"> Tidal energy has seen a surge of interest in recent years with several companies developing technology to harness the power of the world's oceans where the operational capacity in Europe was over 11 MW in 2020. One such developer is the partnership of SCHOTTEL Hydro (Germany) and Sustainable Marine (UK) who have developed a scalable multi-turbine device equipped with 70 kW turbines and capable of operating in arrays at sites around the world. The technology to harness tidal energy is still at a relatively early stage of development; hence, de-risking of component parts plays a vital role on the road to commercialisation. Despite this, the number of tidal energy blades undergoing test programmes remains small. Two different rotor diameters have been developed for the aforementioned device such that it can be optimised for sites of varying potential. In this paper, a blade from each of the 4.0 m and 6.3 m diameter devices was tested for their responses in natural frequency, static loading and fatigue loading under test standards IEC 62600-3:2020 and DNVGL-ST-0164. Testing saw the survival of a blade in fatigue at a lifetime-equivalent load and the generation of natural frequency, strain and displacement results for both blades. Data generated from the testing as a whole will contribute to the modelling and validation of future tidal blades.</w:t>
      </w:r>
    </w:p>
    <w:p>
      <w:pPr/>
      <w:r>
        <w:rPr>
          <w:b/>
        </w:rPr>
        <w:t>POSSIBLE 2022:</w:t>
      </w:r>
      <w:r>
        <w:t xml:space="preserve"> Tidal energy-path towards sustainable energy: A technical review — https://doi.org/10.1016/j.cles.2022.100041</w:t>
      </w:r>
    </w:p>
    <w:p>
      <w:pPr/>
      <w:r>
        <w:rPr>
          <w:b/>
        </w:rPr>
        <w:t>Shared claim-specific concepts:</w:t>
      </w:r>
      <w:r>
        <w:t xml:space="preserve"> wave, tidal, capacity, installed, energy, system; EU scope not established. This is a provisional connection, not an outcome finding.</w:t>
      </w:r>
    </w:p>
    <w:p>
      <w:pPr>
        <w:pStyle w:val="SourceNote"/>
      </w:pPr>
      <w:r>
        <w:rPr>
          <w:b/>
        </w:rPr>
        <w:t>Available abstract (not full text):</w:t>
      </w:r>
      <w:r>
        <w:t xml:space="preserve"> The continuous demand for electricity, greenhouse gas emission, and diminution of fossil fuels have led to increased electricity production through renewable energy sources. The challenges of solar and wind energy systems have mostly shown unpredictable nature, so some countries are going towards electricity generation through the tidal energy system. Another advantage of the tidal energy system is that it can be used without requiring lavish grid updates. It demonstrates that increasing the generation duration at the fastest flow velocities while limiting the tidal device's capacity increases the installed system's capacity factor. The economic viability and market competitiveness of tidal energy are also attractive for electricity generation. This paper offers a review of several aspects of the tidal energy system. The assessment is done based on the resource allocation, modeling of the tidal energy system, control system of the tidal energy system, reliability assessment of tidal energy system, and application of optimization techniques in the area of the tidal energy system. Now a day's, reliability assessment is most important to identify the tidal energy system's maintainability, availability and fault rate. This paper also shows future assessment aspects of the tidal energy system and identifies stochastic turbulence, wave speed, sea depth, wave height, and peak wave per</w:t>
      </w:r>
    </w:p>
    <w:p>
      <w:pPr/>
      <w:r>
        <w:rPr>
          <w:b/>
        </w:rPr>
        <w:t>POSSIBLE 2021:</w:t>
      </w:r>
      <w:r>
        <w:t xml:space="preserve"> Review of Works Combining GNSS and InSAR in Europe — https://doi.org/10.3390/rs13091684</w:t>
      </w:r>
    </w:p>
    <w:p>
      <w:pPr/>
      <w:r>
        <w:rPr>
          <w:b/>
        </w:rPr>
        <w:t>Shared claim-specific concepts:</w:t>
      </w:r>
      <w:r>
        <w:t xml:space="preserve"> combined, system, remote; EU scope visible. This is a provisional connection, not an outcome finding.</w:t>
      </w:r>
    </w:p>
    <w:p>
      <w:pPr>
        <w:pStyle w:val="SourceNote"/>
      </w:pPr>
      <w:r>
        <w:rPr>
          <w:b/>
        </w:rPr>
        <w:t>Available abstract (not full text):</w:t>
      </w:r>
      <w:r>
        <w:t xml:space="preserve"> The Global Navigation Satellite System (GNSS) and Synthetic Aperture Radar Interferometry (InSAR) can be combined to achieve different goals, owing to their main principles. Both enable the collection of information about ground deformation due to the differences of two consequent acquisitions. Their variable applications, even if strictly related to ground deformation and water vapor determination, have encouraged the scientific community to combine GNSS and InSAR data and their derivable products. In this work, more than 190 scientific contributions were collected spanning the whole European continent. The spatial and temporal distribution of such studies, as well as the distinction in different fields of application, were analyzed. Research in Italy, as the most represented nation, with 47 scientific contributions, has been dedicated to the spatial and temporal distribution of its studied phenomena. The state-of-the-art of the various applications of these two combined techniques can improve the knowledge of the scientific community and help in the further development of new approaches or additional applications in different fields. The demonstrated usefulness and versability of the combination of GNSS and InSAR remote sensing techniques for different purposes, as well as the availability of free data, EUREF and GMS (Ground Motion Service), and the possibility of overcoming </w:t>
      </w:r>
    </w:p>
    <w:p>
      <w:pPr/>
      <w:r>
        <w:rPr>
          <w:b/>
        </w:rPr>
        <w:t>POSSIBLE 2021:</w:t>
      </w:r>
      <w:r>
        <w:t xml:space="preserve"> A review of component and system reliability in tidal turbine deployments — https://doi.org/10.1016/j.rser.2021.111495</w:t>
      </w:r>
    </w:p>
    <w:p>
      <w:pPr/>
      <w:r>
        <w:rPr>
          <w:b/>
        </w:rPr>
        <w:t>Shared claim-specific concepts:</w:t>
      </w:r>
      <w:r>
        <w:t xml:space="preserve"> tidal, energy, potential, system; EU scope not established. This is a provisional connection, not an outcome finding.</w:t>
      </w:r>
    </w:p>
    <w:p>
      <w:pPr>
        <w:pStyle w:val="SourceNote"/>
      </w:pPr>
      <w:r>
        <w:rPr>
          <w:b/>
        </w:rPr>
        <w:t>Available abstract (not full text):</w:t>
      </w:r>
      <w:r>
        <w:t xml:space="preserve"> Tidal stream energy has the potential to contribute to global renewable energy generation, but this remains largely untapped. Technical developments have helped create a nascent industry with several pre-commercial installations. However, planned projects experience a cautious investment climate due to perceived risk of failure, and maintenance and repair cost. This paper reviews 58 tidal stream energy deployments between 2003 and August 2020. The analysis reviews commonalities, success and engineering issues, to inform current and future projects. The work classifies each deployment by type, rated power, number of devices, grid connection and foundation. In each case, project status and (if appropriate) failure mode is identified. Failure modes are compared to deployment classification to identify potential relationships. Most deployments were of horizontal axis turbines. The majority (54%) of deployments performed well. 18% failed, 14% were withdrawn from service, and 14% generated less power than planned. The most common failure cause was blade failure, followed by generator and monitoring failures. Ducted devices and devices in high velocity locations were more likely to fail, suggesting that flow velocity is a key factor. Most blade failures were attributed to underestimation of loads during design. Floating deployments were less likely to fail than fixed deployments, but </w:t>
      </w:r>
    </w:p>
    <w:p>
      <w:pPr>
        <w:pStyle w:val="Heading2"/>
      </w:pPr>
      <w:r>
        <w:t>888. On European metropolisation scenarios and the future course of metropolitan development in Poland</w:t>
      </w:r>
    </w:p>
    <w:p>
      <w:pPr>
        <w:pStyle w:val="SourceNote"/>
      </w:pPr>
      <w:r>
        <w:rPr>
          <w:b/>
        </w:rPr>
        <w:t>Original source (2015):</w:t>
      </w:r>
      <w:r>
        <w:t xml:space="preserve"> https://doi.org/10.7163/gpol.0008</w:t>
      </w:r>
    </w:p>
    <w:p>
      <w:pPr/>
      <w:r>
        <w:t>Original wording (abstract; indexed_source_text_not_full_document_verified): For this purpose two alternative reference scenarios are outlined and examined in the light of some specific characteristics of Poland’s metropolitan development. The questions posed in this context involve the sustainability of policy assumptions concerning the role of cities of various size categories, as well as factors that could lead to a discontinuity in the trends observed in metropolisation.</w:t>
      </w:r>
    </w:p>
    <w:p>
      <w:pPr/>
      <w:r>
        <w:rPr>
          <w:b/>
        </w:rPr>
        <w:t>POSSIBLE 2026:</w:t>
      </w:r>
      <w:r>
        <w:t xml:space="preserve"> Was there no alternative? Socialist debates and reform projects in late Cold War Europe and beyond — https://doi.org/10.1080/13507486.2025.2605543</w:t>
      </w:r>
    </w:p>
    <w:p>
      <w:pPr/>
      <w:r>
        <w:rPr>
          <w:b/>
        </w:rPr>
        <w:t>Shared claim-specific concepts:</w:t>
      </w:r>
      <w:r>
        <w:t xml:space="preserve"> two, alternative, concerning, various; EU scope visible. This is a provisional connection, not an outcome finding.</w:t>
      </w:r>
    </w:p>
    <w:p>
      <w:pPr>
        <w:pStyle w:val="SourceNote"/>
      </w:pPr>
      <w:r>
        <w:rPr>
          <w:b/>
        </w:rPr>
        <w:t>Available abstract (not full text):</w:t>
      </w:r>
      <w:r>
        <w:t xml:space="preserve"> This article introduces the contributions to the special issue, which focus on socialist debates and reform projects in late Cold War Europe and beyond. Drawing on recent scholarship concerning ‘neoliberalism’, East European 1989–91 transitions and global transformations in the 1970s and 1980s, the authors examine socialist-oriented languages, projects and policies of reform intended to address the transformative crises of global capitalism and the irreversible decline of the Soviet-type planned economy. The contributions to this special issue investigate the personal connections and professional relations between experts and policymakers for two purposes. First, they seek to enhance our understanding of the interplay between politics and economics in the two halves of Europe during the late Cold War and its aftermath. Secondly, they challenge the widespread narrative that describes the end of the ‘glorious thirties’ (1945–75) as the inevitable result of the ideological victory of ‘neoliberalism’, famously epitomized by Margaret Thatcher’s slogan ‘There is no alternative’ (TINA). As the case studies demonstrate, various alternatives based on the concept of ‘socialism’ were considered feasible in both Eastern and Western Europe, but lost momentum in the 1990s and early 2000s.</w:t>
      </w:r>
    </w:p>
    <w:p>
      <w:pPr/>
      <w:r>
        <w:rPr>
          <w:b/>
        </w:rPr>
        <w:t>POSSIBLE 2025:</w:t>
      </w:r>
      <w:r>
        <w:t xml:space="preserve"> No Questions are Stupid, but some are Poorly Posed: Understanding Poorly-Posed Information-Seeking Questions — https://doi.org/10.18653/v1/2025.acl-long.160</w:t>
      </w:r>
    </w:p>
    <w:p>
      <w:pPr/>
      <w:r>
        <w:rPr>
          <w:b/>
        </w:rPr>
        <w:t>Shared claim-specific concepts:</w:t>
      </w:r>
      <w:r>
        <w:t xml:space="preserve"> questions, posed, well; EU scope not established. This is a provisional connection, not an outcome finding.</w:t>
      </w:r>
    </w:p>
    <w:p>
      <w:pPr>
        <w:pStyle w:val="SourceNote"/>
      </w:pPr>
      <w:r>
        <w:rPr>
          <w:b/>
        </w:rPr>
        <w:t>Available abstract (not full text):</w:t>
      </w:r>
      <w:r>
        <w:t xml:space="preserve"> Questions help unlock information to satisfy users' information needs.However, when the question is poorly posed, answerers (whether human or computer) may struggle to answer the question in a way that satisfies the asker, despite possibly knowing everything necessary to address the asker's latent information need.Using Reddit question-answer interactions from r/NoStupidQuestions, we develop a computational framework grounded in linguistic theory to study poorly-posedness of questions by generating spaces of potential interpretations of questions and computing distributions over these spaces based on interpretations chosen by both human answerers in the Reddit question thread, as well as by a suite of large language models.Both humans and models struggle to converge on dominant interpretations when faced with poorly posed questions, but employ different strategies: humans focus on specific interpretations through question negotiation, while models attempt comprehensive coverage by addressing many interpretations simultaneously.</w:t>
      </w:r>
    </w:p>
    <w:p>
      <w:pPr/>
      <w:r>
        <w:rPr>
          <w:b/>
        </w:rPr>
        <w:t>POSSIBLE 2025:</w:t>
      </w:r>
      <w:r>
        <w:t xml:space="preserve"> Regulatory barriers and incentives for alternative proteins in the European Union and Australia–New Zealand — https://doi.org/10.1108/bfj-06-2024-0650</w:t>
      </w:r>
    </w:p>
    <w:p>
      <w:pPr/>
      <w:r>
        <w:rPr>
          <w:b/>
        </w:rPr>
        <w:t>Shared claim-specific concepts:</w:t>
      </w:r>
      <w:r>
        <w:t xml:space="preserve"> purpose, two, alternative; EU scope visible. This is a provisional connection, not an outcome finding.</w:t>
      </w:r>
    </w:p>
    <w:p>
      <w:pPr>
        <w:pStyle w:val="SourceNote"/>
      </w:pPr>
      <w:r>
        <w:rPr>
          <w:b/>
        </w:rPr>
        <w:t>Available abstract (not full text):</w:t>
      </w:r>
      <w:r>
        <w:t xml:space="preserve"> Purpose This paper aims to discuss the innovation challenge in the alternative protein sectors of the European Union (EU) and Australia-New Zealand (AUSNZ) by comparing their respective novel food frameworks. The study investigates which regulatory provisions stakeholders perceive as barriers to innovation and proposes measures to address these obstacles. Design/methodology/approach Alternative proteins are often legally classified as “novel foods” in both the EU and AUSNZ. A functional comparative legal analysis of the novel food frameworks of these two jurisdictions was conducted. Qualitative interviews with stakeholders active in the EU or AUSNZ alternative protein sectors complemented the legal analysis. The interviews aimed at gathering stakeholder perspectives on the framework within which they operate and discuss ways to foster innovation in their jurisdictions. Findings While the AUSNZ framework is generally perceived as more innovation-friendly, particularly regarding breakthrough innovations like cultivated meat, the EU is viewed as a challenging regulatory environment. The duration of the authorisation procedure, differing levels of communication and opportunities for dialogue between stakeholders and regulators, along with the political stances of EU member states, emerged as the main elements to explain such differences. In both jurisdictions, a lack of support for</w:t>
      </w:r>
    </w:p>
    <w:p>
      <w:pPr/>
      <w:r>
        <w:rPr>
          <w:b/>
        </w:rPr>
        <w:t>POSSIBLE 2024:</w:t>
      </w:r>
      <w:r>
        <w:t xml:space="preserve"> Tracing the Feminist Maternal in a European Context: A Review — https://doi.org/10.1017/hyp.2024.26</w:t>
      </w:r>
    </w:p>
    <w:p>
      <w:pPr/>
      <w:r>
        <w:rPr>
          <w:b/>
        </w:rPr>
        <w:t>Shared claim-specific concepts:</w:t>
      </w:r>
      <w:r>
        <w:t xml:space="preserve"> posed, context, various, well; EU scope visible. This is a provisional connection, not an outcome finding.</w:t>
      </w:r>
    </w:p>
    <w:p>
      <w:pPr>
        <w:pStyle w:val="SourceNote"/>
      </w:pPr>
      <w:r>
        <w:rPr>
          <w:b/>
        </w:rPr>
        <w:t>Available abstract (not full text):</w:t>
      </w:r>
      <w:r>
        <w:t xml:space="preserve"> “What might motherhood and Europe have to do with one another?” is a question posed by Lisa Baraitser in the Foreword to the collection, Motherhood in Literature and Culture: Interdisciplinary Perspectives from Europe. The question is certainly pertinent at a time when the very concept of Europe as a geopolitical space and an imaginary construct is being interrogated and critiqued from both within and without the carefully policed borders of the European Union project. It is also pertinent given the increased amount of scholarship on the maternal produced by scholars occupying various transnational locations and positionalities, working to deconstruct unitary and essentialist ideas about mothers and motherhood. The possibility of identifying a specifically European maternal theoretical and lived space thus invites us to carefully theorize the diversity of European contexts, a diversity that is often occluded or elided by easy references to Eurocentric bias in feminist research, as well as the dis/continuities between European-based and Anglo-American feminist scholarship on the maternal. And yet, precisely because the work of mothering always unfolds within specific micro and macro geographic, social, cultural, and ideological spaces, the question merits closer attention. In this essay I consider the cluster of three books delineating the contours of an Italian, as well as a mo</w:t>
      </w:r>
    </w:p>
    <w:p>
      <w:pPr/>
      <w:r>
        <w:rPr>
          <w:b/>
        </w:rPr>
        <w:t>POSSIBLE 2023:</w:t>
      </w:r>
      <w:r>
        <w:t xml:space="preserve"> Applying the Purpose Limitation Principle in Smart-City Data-Processing Practices: A European Data Protection Law Perspective — https://doi.org/10.1080/10811680.2023.2180266</w:t>
      </w:r>
    </w:p>
    <w:p>
      <w:pPr/>
      <w:r>
        <w:rPr>
          <w:b/>
        </w:rPr>
        <w:t>Shared claim-specific concepts:</w:t>
      </w:r>
      <w:r>
        <w:t xml:space="preserve"> purpose, two, context, cities; EU scope visible. This is a provisional connection, not an outcome finding.</w:t>
      </w:r>
    </w:p>
    <w:p>
      <w:pPr>
        <w:pStyle w:val="SourceNote"/>
      </w:pPr>
      <w:r>
        <w:rPr>
          <w:b/>
        </w:rPr>
        <w:t>Available abstract (not full text):</w:t>
      </w:r>
      <w:r>
        <w:t xml:space="preserve"> Protection of privacy rights in the context of smart cities is novel, currently underdeveloped, and a hot topic worldwide. This article examines the purpose limitation of European data protection law in the context of smart cities. The “purpose limitation” principle of the General Data Protection Regulation (GDPR) outlines the ways and means of processing personal data to protect individuals’ fundamental right to personal data protection and related risks. The principle, which empowers controller(s) to process data in a controlled manner, requires that controller(s) process personal data only after meeting two fundamental requirements: they must act on the requirements of purpose specification, andthey must perform an “incompatibility test” while processing personal data for further purposes.This article aims to outline the permissible limits of the purpose limitation principle to pursue different purposes in the context of smart cities. Indeed, the principle only applies when controllers process personal data in smart cities. With the authority provided by the principle, data controllers may process personal data for primary and secondary purposes. However, processing purposes cannot go beyond defined restrictions. The study, which is conducted within the European legal framework, deploys a multimethod approach to address different parts of the research question.</w:t>
      </w:r>
    </w:p>
    <w:p>
      <w:pPr/>
      <w:r>
        <w:rPr>
          <w:b/>
        </w:rPr>
        <w:t>POSSIBLE 2022:</w:t>
      </w:r>
      <w:r>
        <w:t xml:space="preserve"> Financial platforms as alternative financial instrument to crediting in Europe — https://doi.org/10.22616/rrd.28.2022.029</w:t>
      </w:r>
    </w:p>
    <w:p>
      <w:pPr/>
      <w:r>
        <w:rPr>
          <w:b/>
        </w:rPr>
        <w:t>Shared claim-specific concepts:</w:t>
      </w:r>
      <w:r>
        <w:t xml:space="preserve"> alternative, various, size; EU scope visible. This is a provisional connection, not an outcome finding.</w:t>
      </w:r>
    </w:p>
    <w:p>
      <w:pPr>
        <w:pStyle w:val="SourceNote"/>
      </w:pPr>
      <w:r>
        <w:rPr>
          <w:b/>
        </w:rPr>
        <w:t>Available abstract (not full text):</w:t>
      </w:r>
      <w:r>
        <w:t xml:space="preserve"> The significance of financial technologies constantly grows as they have become a part of national economies. Sharing economy or alternative financing includes various digital financial activities outside the traditional banking system like crowdfunding, peer-to-peer lending and other alternatives. The research aim is to evaluate alternative finance trends in Europe. The research results show that peer-to-peer platforms mainly ensuring a high return rate have recently become very popular allowing to invest resources in various projects including real estate, loans, invoice trading and businesses. The main significant drawback of these platforms is that they are risky. The alternative finance market volumes continue to increase steadily year by year reaching USD 22.60 billion in 2020 and the United Kingdom has the largest market share of 59.35% (USD 12.6 billion) in 2020. At the beginning of 2022, there are 315 alternative finance platforms in Europe, the largest number of alternative finance platforms operate in the UK, and peer-to-peer lending (both consumer and business) and invoice trading are three the most widespread types of alternative finance in Europe covering 68% of the entire market size. The rest types of alternative finance occupy considerably lower market shares, i.e. 3-7% each. The decrease in P2P lending volumes in 2020 might be directly related with the Covid p</w:t>
      </w:r>
    </w:p>
    <w:p>
      <w:pPr/>
      <w:r>
        <w:rPr>
          <w:b/>
        </w:rPr>
        <w:t>POSSIBLE 2022:</w:t>
      </w:r>
      <w:r>
        <w:t xml:space="preserve"> Alternative Histories of the White Cube: European Modernism and Mediterranean Vernacular — https://openalex.org/W7111654902</w:t>
      </w:r>
    </w:p>
    <w:p>
      <w:pPr/>
      <w:r>
        <w:rPr>
          <w:b/>
        </w:rPr>
        <w:t>Shared claim-specific concepts:</w:t>
      </w:r>
      <w:r>
        <w:t xml:space="preserve"> purpose, two, alternative, reference; EU scope visible. This is a provisional connection, not an outcome finding.</w:t>
      </w:r>
    </w:p>
    <w:p>
      <w:pPr>
        <w:pStyle w:val="SourceNote"/>
      </w:pPr>
      <w:r>
        <w:rPr>
          <w:b/>
        </w:rPr>
        <w:t>Available abstract (not full text):</w:t>
      </w:r>
      <w:r>
        <w:t xml:space="preserve"> This dissertation investigates historical formulations of the white cube as a link between European modernism and Mediterranean vernacular. Architectural history consistently presents white and cubical modernist designs as resulting from the gradual erasure of ornaments as marks of pastness. The first two chapters of this dissertation shift this paradigm by reframing the historical appearance of bare volumes as resulting not only from the removal of ornament but also from the introduction of Mediterranean vernacular as a shared modernist reference. For this purpose, this dissertation locates the origin of white and cubical designs by seminal architects Adolf Loos (1870-1933), Marcel Breuer (1902-1981), and Le Corbusier (1887-1965) in their encounters with vernacular buildings in Mediterranean countries. Upon their return to Northern Europe, they re-introduced the white façades, flat roofs, and modularity they observed in Greek island villages and North African medinas into their own architectural proposals. This first pair of chapters argues that these architects’ designs for modernist white cubes stem from a primitivist gaze upon the work of vernacular builders. Parallel this demonstration, the third and fourth chapters of this dissertation measure this modernist gaze against discourses formulated by localized Mediterranean figures invested in vernacular traditions. These prot</w:t>
      </w:r>
    </w:p>
    <w:p>
      <w:pPr/>
      <w:r>
        <w:rPr>
          <w:b/>
        </w:rPr>
        <w:t>POSSIBLE 2021:</w:t>
      </w:r>
      <w:r>
        <w:t xml:space="preserve"> LEGAL BASES OF PUBLIC ADMINISTRATION IN THE CONTEXT OF EUROPEAN INTEGRATION OF UKRAINE: QUESTIONS OF FORMATION OF A PERSONNEL RESERVE — https://openalex.org/W3210655204</w:t>
      </w:r>
    </w:p>
    <w:p>
      <w:pPr/>
      <w:r>
        <w:rPr>
          <w:b/>
        </w:rPr>
        <w:t>Shared claim-specific concepts:</w:t>
      </w:r>
      <w:r>
        <w:t xml:space="preserve"> questions, context, role, purpose; EU scope visible. This is a provisional connection, not an outcome finding.</w:t>
      </w:r>
    </w:p>
    <w:p>
      <w:pPr>
        <w:pStyle w:val="SourceNote"/>
      </w:pPr>
      <w:r>
        <w:rPr>
          <w:b/>
        </w:rPr>
        <w:t>Available abstract (not full text):</w:t>
      </w:r>
      <w:r>
        <w:t xml:space="preserve"> Taking into account the realities of the context of Ukraine's European integration, the article emphasizes that the world practice of reforming the public administration system is based on the concept of New Public Management (NPM). It is based on the conditions for maintaining transparency in the activities of public services, restructuring their work to increase efficiency and reduce costs. The purpose of this study is to show the features of the formation of human resources, knowledge, and competence management in the public service of Ukraine. Among the tasks of the study, the following were identified and solved: to analyze the current situation in managing the development of the competence potential of civil service employees in the legal and social aspect, to identify existing problems and shortcomings in this area, to substantiate the role of the competence-based approach as an integral part of the civil service (public administration) personnel management system.</w:t>
      </w:r>
    </w:p>
    <w:p>
      <w:pPr/>
      <w:r>
        <w:rPr>
          <w:b/>
        </w:rPr>
        <w:t>POSSIBLE 2021:</w:t>
      </w:r>
      <w:r>
        <w:t xml:space="preserve"> Food Production Harms in the European Context: The EU as an Enabler or a Solution? — https://doi.org/10.46692/9781529212358.008</w:t>
      </w:r>
    </w:p>
    <w:p>
      <w:pPr/>
      <w:r>
        <w:rPr>
          <w:b/>
        </w:rPr>
        <w:t>Shared claim-specific concepts:</w:t>
      </w:r>
      <w:r>
        <w:t xml:space="preserve"> context, involve, observed; EU scope visible. This is a provisional connection, not an outcome finding.</w:t>
      </w:r>
    </w:p>
    <w:p>
      <w:pPr>
        <w:pStyle w:val="SourceNote"/>
      </w:pPr>
      <w:r>
        <w:rPr>
          <w:b/>
        </w:rPr>
        <w:t>Available abstract (not full text):</w:t>
      </w:r>
      <w:r>
        <w:t xml:space="preserve"> Introduction Food is vitally important for human subsistence. Moreover, the nature of socio-environmental and politico-economic conditions is particularly intricate in the process of food production. This intricacy begs the question, ‘who is producing what kind of food, for whose benefit, and to whose disadvantage?’ (Moragues-Faus and Marsden, 2017: 281). This chapter poses the question of whether food production-focused research can also become the lens that helps to open up new lines of inquiry about what is ‘European’ about European white-collar crime. Even though both isolated deviancy and systemic harm feature in the fabric of modern food systems, criminological engagement with intersections of food, crime and harm has not been prolific (see Walters, 2007; Cheng, 2011; Croall, 2012). Once the concept of food crime was introduced by Croall in 2007, avenues for research included food fraud, food poisoning (Tombs and Whyte, 2010), food mislabelling (Croall, 2012), trade practices and environmental law (Walters, 2006), food pricing, exploitation in food production (Tombs and Whyte, 2007) and cruelty to animals (Agnew, 1998; Yates, 2007). The intersection of food and criminological research in the European context can be observed in The Routledge Handbook of White-Collar and Corporate Crime in Europe (2015), which invokes the topic of food crime in relation to food adulteration</w:t>
      </w:r>
    </w:p>
    <w:p>
      <w:pPr/>
      <w:r>
        <w:rPr>
          <w:b/>
        </w:rPr>
        <w:t>POSSIBLE 2021:</w:t>
      </w:r>
      <w:r>
        <w:t xml:space="preserve"> Educational use of animals in Europe indicates a reluctance to implement alternatives — https://doi.org/10.14573/altex.2011111</w:t>
      </w:r>
    </w:p>
    <w:p>
      <w:pPr/>
      <w:r>
        <w:rPr>
          <w:b/>
        </w:rPr>
        <w:t>Shared claim-specific concepts:</w:t>
      </w:r>
      <w:r>
        <w:t xml:space="preserve"> two, alternative, specific, questions; EU scope visible. This is a provisional connection, not an outcome finding.</w:t>
      </w:r>
    </w:p>
    <w:p>
      <w:pPr>
        <w:pStyle w:val="SourceNote"/>
      </w:pPr>
      <w:r>
        <w:rPr>
          <w:b/>
        </w:rPr>
        <w:t>Available abstract (not full text):</w:t>
      </w:r>
      <w:r>
        <w:t xml:space="preserve"> Animals have been considered an indispensable tool to teach about the functioning of living organisms, to obtain skills necessary for practicing human and veterinary medicine, as well as for acquiring skills for caring for and conducting experiments on animals in laboratories. However, the efficacy of this practice has been questioned in recent decades, and societal views have evolved to place a much stronger emphasis on animal welfare and ethics that needs to be reflected in our teaching and training practices. Currently, many alternatives to harmful animal use are available, and it is not clear why thousands of animals continue to be used every year for educational and training purposes. Therefore, this study aimed to identify reasons for the lack of uptake of non-harmful educational and training methods by analyzing recently published non-technical summaries in the EU and EEA Member States and to provide examples of alternatives for specific learning objectives. Results from non-technical summaries from 18 countries spanning the most recent years (2017-2019) revealed that the two main perceived reasons for continued animal use are: 1) the necessity to use a living animal for “proper” learning and 2) the lack of an adequate alternative. We argue that these reasons often do not reflect reality. In conclusion, we consider it is necessary to place a stronger emphasis on engageme</w:t>
      </w:r>
    </w:p>
    <w:p>
      <w:pPr/>
      <w:r>
        <w:rPr>
          <w:b/>
        </w:rPr>
        <w:t>POSSIBLE 2020:</w:t>
      </w:r>
      <w:r>
        <w:t xml:space="preserve"> The Latest Stage of the German Question: Pax Germanica in the New Europe — https://doi.org/10.4324/9781003100737-7</w:t>
      </w:r>
    </w:p>
    <w:p>
      <w:pPr/>
      <w:r>
        <w:rPr>
          <w:b/>
        </w:rPr>
        <w:t>Shared claim-specific concepts:</w:t>
      </w:r>
      <w:r>
        <w:t xml:space="preserve"> posed, context, concerning, well; EU scope visible. This is a provisional connection, not an outcome finding.</w:t>
      </w:r>
    </w:p>
    <w:p>
      <w:pPr>
        <w:pStyle w:val="SourceNote"/>
      </w:pPr>
      <w:r>
        <w:rPr>
          <w:b/>
        </w:rPr>
        <w:t>Available abstract (not full text):</w:t>
      </w:r>
      <w:r>
        <w:t xml:space="preserve"> This chapter argues that the problem posed concerning the ‘German question’ in its latest form is novel, not only in the context in which it has developed but in the form that it takes. Germany’s unification engendered the emergence of a new stage of the ‘German question’ that has dominated modern European political, economic and military relations for over a century. The traditional formulation of this problematique has always started from the working assumption that Germany’s elites have sought to expand their economic and territorial base beyond their universally-defined geographic borders. Arguments stressing benign effect of German unification for European security and economic development reflect one of three critical elements. Although they might combine aspects of more than one form, this intellectual approach is preponderantly functional, institutional or sociological. The debate between optimists and pessimists therefore really focuses on degree of German centrality in new European order, as well as implications for Germany’s position in Europe and for global stability.</w:t>
      </w:r>
    </w:p>
    <w:p>
      <w:pPr/>
      <w:r>
        <w:rPr>
          <w:b/>
        </w:rPr>
        <w:t>POSSIBLE 2020:</w:t>
      </w:r>
      <w:r>
        <w:t xml:space="preserve"> Forty questions of importance to the policy and practice of native oyster reef restoration in Europe — https://doi.org/10.1002/aqc.3462</w:t>
      </w:r>
    </w:p>
    <w:p>
      <w:pPr/>
      <w:r>
        <w:rPr>
          <w:b/>
        </w:rPr>
        <w:t>Shared claim-specific concepts:</w:t>
      </w:r>
      <w:r>
        <w:t xml:space="preserve"> questions, well, two; EU scope visible. This is a provisional connection, not an outcome finding.</w:t>
      </w:r>
    </w:p>
    <w:p>
      <w:pPr>
        <w:pStyle w:val="SourceNote"/>
      </w:pPr>
      <w:r>
        <w:rPr>
          <w:b/>
        </w:rPr>
        <w:t>Available abstract (not full text):</w:t>
      </w:r>
      <w:r>
        <w:t xml:space="preserve"> Abstract Oyster reefs are among the most threatened marine habitats globally. In Europe, oyster reefs have been extirpated from most locations within their historical range. Active restoration of the native oyster (Ostrea edulis) in Europe has grown substantially in recent years. In sharing experiences between oyster restoration projects in Europe at the Native Oyster Restoration Alliance conference, NORA2, in Edinburgh in May 2019, it became apparent that a number of similar barriers are experienced. This study identified the top 40 questions, which, if answered, would have the greatest influence on the policy and practice of oyster restoration in Europe. Initially 71 people were consulted across 28 institutions and 11 European countries to generate 194 questions. An established process of one round of pre‐workshop voting followed by a one‐day online workshop and two post‐workshop rounds of voting resulted in the final 40 questions. Questions were broadly grouped into the following 10 themes: baselines, site selection, restoration methods, quantifying benefits, disease management, biosecurity, genetic diversity and population differentiation, policy and management, novel technologies, and current and future threats. We anticipate that this list will provide a starting point for developing collaborative projects across the NORA network, as well as assisting policy makers and fu</w:t>
      </w:r>
    </w:p>
    <w:p>
      <w:pPr>
        <w:pStyle w:val="Heading2"/>
      </w:pPr>
      <w:r>
        <w:t>889. PROGNOZY WYDAJNOŚCI MLECZNEJ KRÓW W POLSCE I W UNII EUROPEJSKIEJ NA LATA 2030 I 2050</w:t>
      </w:r>
    </w:p>
    <w:p>
      <w:pPr>
        <w:pStyle w:val="SourceNote"/>
      </w:pPr>
      <w:r>
        <w:rPr>
          <w:b/>
        </w:rPr>
        <w:t>Original source (2015):</w:t>
      </w:r>
      <w:r>
        <w:t xml:space="preserve"> https://doi.org/10.22004/ag.econ.233003</w:t>
      </w:r>
    </w:p>
    <w:p>
      <w:pPr/>
      <w:r>
        <w:t>Original wording (abstract; indexed_source_text_not_full_document_verified): According to the CAPRI model in 2030 and 2050, the average milk yield in Poland will increase by 22 and 28% compared to 2010. On the basis of trend analysis, in 2030 for the average data from the CSO index of growth is 41%, and 46 and 60%, respectively for PFHBiPM and FADN.</w:t>
      </w:r>
    </w:p>
    <w:p>
      <w:pPr/>
      <w:r>
        <w:rPr>
          <w:b/>
        </w:rPr>
        <w:t>POSSIBLE 2026:</w:t>
      </w:r>
      <w:r>
        <w:t xml:space="preserve"> EU Wide Disaggregated CAPRI Model Data: Crops, Livestock, Nitrogen In- and Outputs (Timeseries 2000-2018) — https://doi.org/10.1038/s41597-026-06919-8</w:t>
      </w:r>
    </w:p>
    <w:p>
      <w:pPr/>
      <w:r>
        <w:rPr>
          <w:b/>
        </w:rPr>
        <w:t>Shared claim-specific concepts:</w:t>
      </w:r>
      <w:r>
        <w:t xml:space="preserve"> capri, yield, data; EU scope visible. This is a provisional connection, not an outcome finding.</w:t>
      </w:r>
    </w:p>
    <w:p>
      <w:pPr>
        <w:pStyle w:val="SourceNote"/>
      </w:pPr>
      <w:r>
        <w:rPr>
          <w:b/>
        </w:rPr>
        <w:t>Available abstract (not full text):</w:t>
      </w:r>
      <w:r>
        <w:t xml:space="preserve"> The impacts of agricultural, environmental and climate change policies in Europe are investigated using the CAPRI (Common Agricultural Policy Regionalised Impact) model. Although the model runs at a regional level, primarily NUTS2, the underlying data have been spatially disaggregated to finer scale units called 'Farm Structure Units'. In this study we present these spatially disaggregated layers of agri-environmental variables for a time series from 2000 to 2018. This harmonized and spatially consistent data set includes crop types (area, yield), livestock types (totals and densities) and various parameters associated with nitrogen application and losses. These data can be used to calculate nitrogen budgets as well as providing inputs to biogeochemical or land management models.</w:t>
      </w:r>
    </w:p>
    <w:p>
      <w:pPr/>
      <w:r>
        <w:rPr>
          <w:b/>
        </w:rPr>
        <w:t>POSSIBLE 2026:</w:t>
      </w:r>
      <w:r>
        <w:t xml:space="preserve"> Emission Scenarios for Europe under the CATALYSE Project: Beyond the Green Deal — https://openalex.org/W7125621332</w:t>
      </w:r>
    </w:p>
    <w:p>
      <w:pPr/>
      <w:r>
        <w:rPr>
          <w:b/>
        </w:rPr>
        <w:t>Shared claim-specific concepts:</w:t>
      </w:r>
      <w:r>
        <w:t xml:space="preserve"> capri, data; EU scope visible. This is a provisional connection, not an outcome finding.</w:t>
      </w:r>
    </w:p>
    <w:p>
      <w:pPr>
        <w:pStyle w:val="SourceNote"/>
      </w:pPr>
      <w:r>
        <w:rPr>
          <w:b/>
        </w:rPr>
        <w:t>Available abstract (not full text):</w:t>
      </w:r>
      <w:r>
        <w:t xml:space="preserve"> The pursuit of net zero emissions in the European Union can deliver significant human health co-benefits. Mitigation actions reduce emissions of air pollutants that contribute to a range of diseases. The Climate Action To Advance HeaLthY Societies in Europe (CATALYSE) project, funded by Horizon Europe, seeks to quantify these climate and health co-benefits within a European context. This multi-dimensional initiative spans fundamental research to identifying optimal communication channels for information dissemination. This report documents the approach, methodology, and results of the development of gridded emission scenarios for air pollutants in Europe until 2050 within the CATALYSE project. The main scenarios include a reference baseline (REF), a scenario achieving Green Deal goals (GD), and a Beyond Green Deal scenario that envisages additional behavioral changes to curb emissions (BGD). A fourth scenario “Beyond Green Deal 90” (BGD90), is a variant that introduces further end-of-pipe air pollution control measures. The activity pathways underlying the scenarios are modeled using the PRIMES and CAPRI models, with assumptions defined collaboratively by modelling team experts in the buildings sector (UCL), active mobility (ISGlobal), and food systems (UOX). Although the projections also include energy and industry sectors, the scenario differentiation emphasizes the buildings</w:t>
      </w:r>
    </w:p>
    <w:p>
      <w:pPr/>
      <w:r>
        <w:rPr>
          <w:b/>
        </w:rPr>
        <w:t>POSSIBLE 2025:</w:t>
      </w:r>
      <w:r>
        <w:t xml:space="preserve"> Modeling the Profitability of Milk Production—A Simulation Approach — https://doi.org/10.3390/agriculture15131409</w:t>
      </w:r>
    </w:p>
    <w:p>
      <w:pPr/>
      <w:r>
        <w:rPr>
          <w:b/>
        </w:rPr>
        <w:t>Shared claim-specific concepts:</w:t>
      </w:r>
      <w:r>
        <w:t xml:space="preserve"> milk, yield, poland; EU scope visible. This is a provisional connection, not an outcome finding.</w:t>
      </w:r>
    </w:p>
    <w:p>
      <w:pPr>
        <w:pStyle w:val="SourceNote"/>
      </w:pPr>
      <w:r>
        <w:rPr>
          <w:b/>
        </w:rPr>
        <w:t>Available abstract (not full text):</w:t>
      </w:r>
      <w:r>
        <w:t xml:space="preserve"> Dairy farm profitability in the European Union has become increasingly volatile following market deregulation, complicating farm operations and undermining food security amid geopolitical tensions. To address the need for a streamlined analytical tool, this study develops a simulation model of milk production profitability tailored to small, open economies, using Poland as a case study. The model defines a profitability coefficient as the ratio of sector-level milk revenues to feed costs and decomposes it into three dynamic components: production efficiency (milk yield per feed unit), the price spread between milk and feed, and the net effect of policy interventions on revenues and costs. Exogenous variables (milk prices, feed prices, and policy support indices) are projected under baseline, optimistic, and pessimistic scenarios, while endogenous variables (profitability, herd size, and yield) evolve recursively based on estimated lags reflecting biological and economic responses. Simulation results for 2023–2027 indicate that profitability trajectories hinge primarily on price spreads, with policy measures playing a stabilizing but secondary role. Optimistic scenarios yield significant increases in profitability, whereas pessimistic assumptions lead to significant declines. These findings highlight the need to balance key market drivers—such as the relationship between milk pr</w:t>
      </w:r>
    </w:p>
    <w:p>
      <w:pPr/>
      <w:r>
        <w:rPr>
          <w:b/>
        </w:rPr>
        <w:t>POSSIBLE 2025:</w:t>
      </w:r>
      <w:r>
        <w:t xml:space="preserve"> Characterization of the Population With Intermediate‐Risk Status in Pulmonary Arterial Hypertension: Patients in a Latin American Country: The CAPRI Registry — https://doi.org/10.1002/pul2.70145</w:t>
      </w:r>
    </w:p>
    <w:p>
      <w:pPr/>
      <w:r>
        <w:rPr>
          <w:b/>
        </w:rPr>
        <w:t>Shared claim-specific concepts:</w:t>
      </w:r>
      <w:r>
        <w:t xml:space="preserve"> capri, compared, data, respectively; EU scope not established. This is a provisional connection, not an outcome finding.</w:t>
      </w:r>
    </w:p>
    <w:p>
      <w:pPr>
        <w:pStyle w:val="SourceNote"/>
      </w:pPr>
      <w:r>
        <w:rPr>
          <w:b/>
        </w:rPr>
        <w:t>Available abstract (not full text):</w:t>
      </w:r>
      <w:r>
        <w:t xml:space="preserve"> ABSTRACT Pulmonary arterial hypertension (PAH) in intermediate‐risk patients poses a challenge for clinicians, particularly in determining the optimal timing for escalating pharmacological treatment. We conducted a multicenter cross‐sectional study that analyzed data from the Colombian Pulmonary Hypertension Network (HAPredCO) on patients diagnosed with PAH. Participants were stratified into low‐ and high‐intermediate risk groups using the four‐level ESC/ERS score, which incorporates optimized cutoff values for WHO functional class (WHO FC), the 6‐min walk test (6MWT), and N‐terminal pro‐brain natriuretic peptide (NT‐proBNP)/brain natriuretic peptide (BNP) concentration. A bivariate analysis was conducted to compare study variables at baseline and during clinical follow‐up. Additionally, a survival analysis was performed using Kaplan‐Meier curves to compare outcomes between the intermediate‐risk groups. A total of 175 patients were analyzed, with a mean age of 44.85 years (SD 15.5), of which 86% (150/175) were women. In the baseline, a total of 75% (131/175) were classified as intermediate‐low‐risk. In clinical follow‐up, 40% (61/154) were classified as intermediate‐low‐risk, 21% (32/154) were classified as intermediate‐low‐risk, 23% (35/154) were classified as intermediate‐low‐risk, and 16% (26/154) as intermediate‐high‐risk. At baseline, WHO FC III was 61% (107/174), compared</w:t>
      </w:r>
    </w:p>
    <w:p>
      <w:pPr/>
      <w:r>
        <w:rPr>
          <w:b/>
        </w:rPr>
        <w:t>POSSIBLE 2024:</w:t>
      </w:r>
      <w:r>
        <w:t xml:space="preserve"> Climate Change and Photochemical Ozone Creation Potential Impact Indicators of Cow Milk: A Comparison of Different Scenarios for a Diet Assessment — https://doi.org/10.3390/ani14121725</w:t>
      </w:r>
    </w:p>
    <w:p>
      <w:pPr/>
      <w:r>
        <w:rPr>
          <w:b/>
        </w:rPr>
        <w:t>Shared claim-specific concepts:</w:t>
      </w:r>
      <w:r>
        <w:t xml:space="preserve"> according, milk, yield, compared; EU scope visible. This is a provisional connection, not an outcome finding.</w:t>
      </w:r>
    </w:p>
    <w:p>
      <w:pPr>
        <w:pStyle w:val="SourceNote"/>
      </w:pPr>
      <w:r>
        <w:rPr>
          <w:b/>
        </w:rPr>
        <w:t>Available abstract (not full text):</w:t>
      </w:r>
      <w:r>
        <w:t xml:space="preserve"> An estimate of the environmental impact of dairy farms in Northern Italy producing milk for hard cheese (protected designation of origin) has been obtained through a comprehensive life cycle assessment. The estimate focused on climate change (CC) and photochemical ozone creation potential (POCP) indicators, which were evaluated according to the Intergovernmental Panel on Climate Change (IPCC) guidelines and interpreted with the aid of the feeds’ composition evaluated using near-infrared reflectance spectroscopy (Foss NIR-System 5000) as well as with a diet evaluation according to the NRC (National Research Council) or the CNCPS (Cornell Net Carbohydrate and Protein System) nutrient requirement modeling. Herds were classified into high-, mid-, and low-performing based on the daily milk yield per cow. A lower impact on indicators was observed as herd performance increased. The high-performing herds had a lower contribution from enteric fermentation (6.30 × 10−1 kgCO2-eq), and the more milk that they produced allowed for a differentiation of CC from land use and transformation (2.39 × 10−1 kgCO2-eq), compared to low-performing herds (3.66 × 10−1 kgCO2-eq). Compared to the IPCC approach, the CC and POCP indicator estimates were reduced when addressing the feed’s quality, particularly in mid- and high-performing herds. The results could be helpful in the dairy sector as they provide</w:t>
      </w:r>
    </w:p>
    <w:p>
      <w:pPr/>
      <w:r>
        <w:rPr>
          <w:b/>
        </w:rPr>
        <w:t>POSSIBLE 2024:</w:t>
      </w:r>
      <w:r>
        <w:t xml:space="preserve"> Impact of maternal health and stress on steroid hormone profiles in human milk: Implications for infant development — https://doi.org/10.1016/j.jlr.2024.100688</w:t>
      </w:r>
    </w:p>
    <w:p>
      <w:pPr/>
      <w:r>
        <w:rPr>
          <w:b/>
        </w:rPr>
        <w:t>Shared claim-specific concepts:</w:t>
      </w:r>
      <w:r>
        <w:t xml:space="preserve"> milk, respectively; EU scope not established. This is a provisional connection, not an outcome finding.</w:t>
      </w:r>
    </w:p>
    <w:p>
      <w:pPr>
        <w:pStyle w:val="SourceNote"/>
      </w:pPr>
      <w:r>
        <w:rPr>
          <w:b/>
        </w:rPr>
        <w:t>Available abstract (not full text):</w:t>
      </w:r>
      <w:r>
        <w:t xml:space="preserve"> Steroid hormones are biologically active factors in human milk (HM) that influence the physical and mental development of infants. Critically, maternal psychosocial stress has been associated with changes in HM steroid composition. This work aimed to characterize the steroid hormone profile of HM and pasteurized donor human milk (DHM) and assess the interplay between maternal physical and psychosocial status, the HM steroid profile, and infant outcomes. A targeted ultra-performance liquid chromatography-tandem mass spectrometry (UPLC-MS/MS) method was developed to quantify sixteen steroid hormones in HM samples. HM samples from mothers of term infants (N = 42) and preterm infants (N = 35) were collected at (i) recovery of birth weight or achievement of complete enteral nutrition, respectively, and (ii) 6 months later as well as DHM samples (N = 19) from 11 donors. The physical and psychosocial status of mothers and infant neurodevelopment and temperament were assessed through structured interviews and validated questionnaires. Fourteen steroids were detected in HM/DHM samples, with cortisol, 20β-dihydrocortisol, dehydroepiandrosterone, pregnenolone, and cortisone being present in &gt; 48% of samples. Pregnenolone, 17α-OH-progesterone, and dehydroepiandrosterone are reported for the first time in HM. Whereas milk cortisol levels were not directly related to maternal physical and ps</w:t>
      </w:r>
    </w:p>
    <w:p>
      <w:pPr/>
      <w:r>
        <w:rPr>
          <w:b/>
        </w:rPr>
        <w:t>POSSIBLE 2023:</w:t>
      </w:r>
      <w:r>
        <w:t xml:space="preserve"> Impact of AlphaFold on structure prediction of protein complexes: The CASP15‐CAPRI experiment — https://doi.org/10.1002/prot.26609</w:t>
      </w:r>
    </w:p>
    <w:p>
      <w:pPr/>
      <w:r>
        <w:rPr>
          <w:b/>
        </w:rPr>
        <w:t>Shared claim-specific concepts:</w:t>
      </w:r>
      <w:r>
        <w:t xml:space="preserve"> capri, average, compared; EU scope not established. This is a provisional connection, not an outcome finding.</w:t>
      </w:r>
    </w:p>
    <w:p>
      <w:pPr>
        <w:pStyle w:val="SourceNote"/>
      </w:pPr>
      <w:r>
        <w:rPr>
          <w:b/>
        </w:rPr>
        <w:t>Available abstract (not full text):</w:t>
      </w:r>
      <w:r>
        <w:t xml:space="preserve"> We present the results for CAPRI Round 54, the 5th joint CASP-CAPRI protein assembly prediction challenge. The Round offered 37 targets, including 14 homodimers, 3 homo-trimers, 13 heterodimers including 3 antibody-antigen complexes, and 7 large assemblies. On average ~70 CASP and CAPRI predictor groups, including more than 20 automatics servers, submitted models for each target. A total of 21 941 models submitted by these groups and by 15 CAPRI scorer groups were evaluated using the CAPRI model quality measures and the DockQ score consolidating these measures. The prediction performance was quantified by a weighted score based on the number of models of acceptable quality or higher submitted by each group among their five best models. Results show substantial progress achieved across a significant fraction of the 60+ participating groups. High-quality models were produced for about 40% of the targets compared to 8% two years earlier. This remarkable improvement is due to the wide use of the AlphaFold2 and AlphaFold2-Multimer software and the confidence metrics they provide. Notably, expanded sampling of candidate solutions by manipulating these deep learning inference engines, enriching multiple sequence alignments, or integration of advanced modeling tools, enabled top performing groups to exceed the performance of a standard AlphaFold2-Multimer version used as a yard stick. </w:t>
      </w:r>
    </w:p>
    <w:p>
      <w:pPr/>
      <w:r>
        <w:rPr>
          <w:b/>
        </w:rPr>
        <w:t>POSSIBLE 2023:</w:t>
      </w:r>
      <w:r>
        <w:t xml:space="preserve"> The estimated distribution of autochthonous leishmaniasis by Leishmania infantum in Europe in 2005–2020 — https://doi.org/10.1371/journal.pntd.0011497</w:t>
      </w:r>
    </w:p>
    <w:p>
      <w:pPr/>
      <w:r>
        <w:rPr>
          <w:b/>
        </w:rPr>
        <w:t>Shared claim-specific concepts:</w:t>
      </w:r>
      <w:r>
        <w:t xml:space="preserve"> according, trend, data, respectively; EU scope visible. This is a provisional connection, not an outcome finding.</w:t>
      </w:r>
    </w:p>
    <w:p>
      <w:pPr>
        <w:pStyle w:val="SourceNote"/>
      </w:pPr>
      <w:r>
        <w:rPr>
          <w:b/>
        </w:rPr>
        <w:t>Available abstract (not full text):</w:t>
      </w:r>
      <w:r>
        <w:t xml:space="preserve"> BACKGROUND: This study describes the spatial and temporal distribution between 2005 and 2020 of human and animal leishmaniasis by Leishmania infantum in European countries reporting autochthonous cases, and highlights potential activities to improve disease control. METHODOLOGY/PRINCIPAL FINDINGS: It was based on a review of the scientific literature and data reported by the World Health Organization (WHO), the World Organization for Animal Health (WOAH) and the Ministries of Health, including hospital discharges in some countries. Autochthonous infections were reported in the scientific literature from 22 countries, including 13 and 21 countries reporting human and animal infections, respectively. In contrast, only 17 countries reported autochthonous human leishmaniasis cases to the WHO and 8 countries animal infections to the WOAH. The number of WOAH reported cases were 4,203, comprising 4,183 canine cases and 20 cases in wildlife. Of 8,367 WHO reported human cases, 69% were visceral leishmaniasis cases-of which 94% were autochthonous-and 31% cutaneous leishmaniasis cases-of which 53% were imported and mostly in France. The resulting cumulative incidence per 100,000 population of visceral leishmaniasis between 2005-2020, was highest in Albania (2.15 cases), followed by Montenegro, Malta, Greece, Spain and North Macedonia (0.53-0.42), Italy (0.16), Portugal (0.09) and lower in</w:t>
      </w:r>
    </w:p>
    <w:p>
      <w:pPr/>
      <w:r>
        <w:rPr>
          <w:b/>
        </w:rPr>
        <w:t>POSSIBLE 2021:</w:t>
      </w:r>
      <w:r>
        <w:t xml:space="preserve"> The role of market drivers in explaining the EU milk supply after the milk quota abolition — https://doi.org/10.1016/j.eap.2021.11.020</w:t>
      </w:r>
    </w:p>
    <w:p>
      <w:pPr/>
      <w:r>
        <w:rPr>
          <w:b/>
        </w:rPr>
        <w:t>Shared claim-specific concepts:</w:t>
      </w:r>
      <w:r>
        <w:t xml:space="preserve"> milk, yield, data, respectively; EU scope visible. This is a provisional connection, not an outcome finding.</w:t>
      </w:r>
    </w:p>
    <w:p>
      <w:pPr>
        <w:pStyle w:val="SourceNote"/>
      </w:pPr>
      <w:r>
        <w:rPr>
          <w:b/>
        </w:rPr>
        <w:t>Available abstract (not full text):</w:t>
      </w:r>
      <w:r>
        <w:t xml:space="preserve"> The abolition of the EU milk quota system since 2015 has allowed the dairy sector to fully react to market forces. This change should be properly reflected within the tools that support the design of EU/national policy interventions. This paper focuses on updating the milk supply responses at EU member state level in a context where still limited data is available. Using a Mixed Estimator a set of equations for the yield per cow and the size of the dairy herd, has been estimated, leaving the milk supply derived as an identity. An important outcome of this study is that milk supply at country level is inelastic, with the (short-run) yield and herd milk price elasticities being 0.2 and 0.1 respectively. The study concludes that two thirds of the impact of a milk price change is resulting from dairy cow yield changes, while a third is resulting from changes in the number of dairy cows.</w:t>
      </w:r>
    </w:p>
    <w:p>
      <w:pPr/>
      <w:r>
        <w:rPr>
          <w:b/>
        </w:rPr>
        <w:t>POSSIBLE 2021:</w:t>
      </w:r>
      <w:r>
        <w:t xml:space="preserve"> Innovating feeding strategies in dairy sheep farming can reduce environmental impact of ewe milk — https://doi.org/10.1080/1828051x.2021.2003726</w:t>
      </w:r>
    </w:p>
    <w:p>
      <w:pPr/>
      <w:r>
        <w:rPr>
          <w:b/>
        </w:rPr>
        <w:t>Shared claim-specific concepts:</w:t>
      </w:r>
      <w:r>
        <w:t xml:space="preserve"> average, milk, compared; EU scope visible. This is a provisional connection, not an outcome finding.</w:t>
      </w:r>
    </w:p>
    <w:p>
      <w:pPr>
        <w:pStyle w:val="SourceNote"/>
      </w:pPr>
      <w:r>
        <w:rPr>
          <w:b/>
        </w:rPr>
        <w:t>Available abstract (not full text):</w:t>
      </w:r>
      <w:r>
        <w:t xml:space="preserve"> Dairy sheep systems are relevant for the economy of many rural areas of the Mediterranean Basin and the optimisation of their productive factors is necessary to improve their competitiveness and to reduce their environmental impact. The objective of this study was to assess, through a farm-scale life cycle assessment (LCA) approach, the potential of reducing environmental impacts on ewe milk of an innovative farming system (IF), based on the adoption of a precision feeding approach to improve milk production and quality, compared with a conventional farming system (CF) in dairy sheep farms in Tuscany region, Italy. The LCA analysis was carried out through a cradle-to-farm-gate LCA, comparing three conventional farms with three innovative farms, using 1 kg of fat protein corrected milk (FPCM) as a functional unit. The Small Ruminants Module of Nutritional Dynamic System (NDS) software was used to estimate methane emissions due to enteric fermentation. The introduction of precision feeding strategy reduced the environmental impacts of ewe milk as a consequence of the increased milk production efficiency (+50%). Indeed, the environmental impact of ewe milk was reduced in IF by 42% as the average of the impact categories being significantly different between the two farming systems.HighlightsPrecision feeding is recognised as a strategy to mitigate the environmental impacts of rumi</w:t>
      </w:r>
    </w:p>
    <w:p>
      <w:pPr/>
      <w:r>
        <w:rPr>
          <w:b/>
        </w:rPr>
        <w:t>POSSIBLE 2021:</w:t>
      </w:r>
      <w:r>
        <w:t xml:space="preserve"> Whole Genome DNA Methylation Variations in Mammary Gland Tissues from Holstein Cattle Producing Milk with Various Fat and Protein Contents — https://doi.org/10.3390/genes12111727</w:t>
      </w:r>
    </w:p>
    <w:p>
      <w:pPr/>
      <w:r>
        <w:rPr>
          <w:b/>
        </w:rPr>
        <w:t>Shared claim-specific concepts:</w:t>
      </w:r>
      <w:r>
        <w:t xml:space="preserve"> milk, yield, respectively; EU scope not established. This is a provisional connection, not an outcome finding.</w:t>
      </w:r>
    </w:p>
    <w:p>
      <w:pPr>
        <w:pStyle w:val="SourceNote"/>
      </w:pPr>
      <w:r>
        <w:rPr>
          <w:b/>
        </w:rPr>
        <w:t>Available abstract (not full text):</w:t>
      </w:r>
      <w:r>
        <w:t xml:space="preserve"> Milk fat and protein contents are among key elements of milk quality, and they are attracting more attention in response to consumers′ demand for high-quality dairy products. To investigate the potential regulatory roles of DNA methylation underlying milk component yield, whole genome bisulfite sequencing was employed to profile the global DNA methylation patterns of mammary gland tissues from 17 Canada Holstein cows with various milk fat and protein contents. A total of 706, 2420 and 1645 differentially methylated CpG sites (DMCs) were found between high vs. low milk fat (HMF vs. LMF), high vs. low milk protein (HMP vs. LMP), and high vs. low milk fat and protein (HMFP vs. LMFP) groups, respectively (q value &lt; 0.1). Twenty-seven, 56 and 67 genes harboring DMCs in gene regions (denoted DMC genes) were identified for HMF vs. LMF, HMP vs. LMP and HMFP vs. LMFP, respectively. DMC genes from HMP vs. LMP and HMFP vs. LMFP comparisons were significantly overrepresented in GO terms related to aerobic electron transport chain and/or mitochondrial ATP (adenosine triphosphate) synthesis coupled electron transport. A total of 83 (HMF vs. LMF), 708 (HMP vs. LMP) and 408 (HMFP vs. LMFP) DMCs were co-located with 87, 147 and 158 quantitative trait loci (QTL) for milk component and yield traits, respectively. In conclusion, the identified methylation changes are potentially involved in the re</w:t>
      </w:r>
    </w:p>
    <w:p>
      <w:pPr/>
      <w:r>
        <w:rPr>
          <w:b/>
        </w:rPr>
        <w:t>POSSIBLE 2021:</w:t>
      </w:r>
      <w:r>
        <w:t xml:space="preserve"> Economic and Environmental Consequences of the ECJ Genome Editing Judgment in Agriculture — https://doi.org/10.3390/agronomy11061212</w:t>
      </w:r>
    </w:p>
    <w:p>
      <w:pPr/>
      <w:r>
        <w:rPr>
          <w:b/>
        </w:rPr>
        <w:t>Shared claim-specific concepts:</w:t>
      </w:r>
      <w:r>
        <w:t xml:space="preserve"> according, capri, increase; EU scope visible. This is a provisional connection, not an outcome finding.</w:t>
      </w:r>
    </w:p>
    <w:p>
      <w:pPr>
        <w:pStyle w:val="SourceNote"/>
      </w:pPr>
      <w:r>
        <w:rPr>
          <w:b/>
        </w:rPr>
        <w:t>Available abstract (not full text):</w:t>
      </w:r>
      <w:r>
        <w:t xml:space="preserve"> Genome-edited crops are on the verge of being placed on the market and their agricultural and food products will thus be internationally traded soon. National regulations, however, diverge regarding the classification of genome-edited crops. Major countries such as the US and Brazil do not specifically regulate genome-edited crops, while in the European Union, they fall under GMO legislation, according to the European Court of Justice (ECJ). As it is in some cases impossible to analytically distinguish between products from genome-edited plants and those from non-genome-edited plants, EU importers may fear the risk of violating EU legislation. They may choose not to import any agricultural and food products based on crops for which genome-edited varieties are available. Therefore, crop products of which the EU is currently a net importer would become more expensive in the EU, and production would intensify. Furthermore, an intense substitution of products covered and not covered by genome editing would occur in consumption, production, and trade. We analyzed the effects of such a cease of EU imports for cereals and soy in the EU agricultural sector with the comparative static agricultural sector equilibrium model CAPRI. Our results indicate dramatic effects on agricultural and food prices as well as on farm income. The intensification of EU agriculture may result in negative ne</w:t>
      </w:r>
    </w:p>
    <w:p>
      <w:pPr>
        <w:pStyle w:val="Heading2"/>
      </w:pPr>
      <w:r>
        <w:t>890. PROJEKCJA ZMIAN WIELKOŚCI PLONÓW PSZENICY W POLSCE I UNII EUROPEJSKIEJ W LATACH 2030 I 2050 NA PODSTAWIE MODELU CAPRI</w:t>
      </w:r>
    </w:p>
    <w:p>
      <w:pPr>
        <w:pStyle w:val="SourceNote"/>
      </w:pPr>
      <w:r>
        <w:rPr>
          <w:b/>
        </w:rPr>
        <w:t>Original source (2015):</w:t>
      </w:r>
      <w:r>
        <w:t xml:space="preserve"> https://doi.org/10.22004/ag.econ.233132</w:t>
      </w:r>
    </w:p>
    <w:p>
      <w:pPr/>
      <w:r>
        <w:t>Original wording (abstract; indexed_source_text_not_full_document_verified): Based on the CAPRI model in 2030 , an average increase of 24% in wheat yield is projected in the 27 European Union countries compared to 2010. The aim of the study was to determine the dynamics of changes in wheat yield in Poland and the European Union in 2030 and 2050.</w:t>
      </w:r>
    </w:p>
    <w:p>
      <w:pPr/>
      <w:r>
        <w:rPr>
          <w:b/>
        </w:rPr>
        <w:t>POSSIBLE 2026:</w:t>
      </w:r>
      <w:r>
        <w:t xml:space="preserve"> EU Wide Disaggregated CAPRI Model Data: Crops, Livestock, Nitrogen In- and Outputs (Timeseries 2000-2018) — https://doi.org/10.1038/s41597-026-06919-8</w:t>
      </w:r>
    </w:p>
    <w:p>
      <w:pPr/>
      <w:r>
        <w:rPr>
          <w:b/>
        </w:rPr>
        <w:t>Shared claim-specific concepts:</w:t>
      </w:r>
      <w:r>
        <w:t xml:space="preserve"> capri, yield; EU scope visible. This is a provisional connection, not an outcome finding.</w:t>
      </w:r>
    </w:p>
    <w:p>
      <w:pPr>
        <w:pStyle w:val="SourceNote"/>
      </w:pPr>
      <w:r>
        <w:rPr>
          <w:b/>
        </w:rPr>
        <w:t>Available abstract (not full text):</w:t>
      </w:r>
      <w:r>
        <w:t xml:space="preserve"> The impacts of agricultural, environmental and climate change policies in Europe are investigated using the CAPRI (Common Agricultural Policy Regionalised Impact) model. Although the model runs at a regional level, primarily NUTS2, the underlying data have been spatially disaggregated to finer scale units called 'Farm Structure Units'. In this study we present these spatially disaggregated layers of agri-environmental variables for a time series from 2000 to 2018. This harmonized and spatially consistent data set includes crop types (area, yield), livestock types (totals and densities) and various parameters associated with nitrogen application and losses. These data can be used to calculate nitrogen budgets as well as providing inputs to biogeochemical or land management models.</w:t>
      </w:r>
    </w:p>
    <w:p>
      <w:pPr/>
      <w:r>
        <w:rPr>
          <w:b/>
        </w:rPr>
        <w:t>POSSIBLE 2025:</w:t>
      </w:r>
      <w:r>
        <w:t xml:space="preserve"> EU-level CAPRI impact assessment for the organic sector — https://openalex.org/W7154541293</w:t>
      </w:r>
    </w:p>
    <w:p>
      <w:pPr/>
      <w:r>
        <w:rPr>
          <w:b/>
        </w:rPr>
        <w:t>Shared claim-specific concepts:</w:t>
      </w:r>
      <w:r>
        <w:t xml:space="preserve"> capri, union; EU scope visible. This is a provisional connection, not an outcome finding.</w:t>
      </w:r>
    </w:p>
    <w:p>
      <w:pPr>
        <w:pStyle w:val="SourceNote"/>
      </w:pPr>
      <w:r>
        <w:rPr>
          <w:b/>
        </w:rPr>
        <w:t>Available abstract (not full text):</w:t>
      </w:r>
      <w:r>
        <w:t xml:space="preserve"> Achieving the European Union’s target of 25% organic farmland by 2030 is a cornerstone of the Farm-to-Fork and Biodiversity Strategies under the European Green Deal. Meeting this objective requires a profound transformation of European agriculture within a very short timeframe and across highly diverse national and regional contexts. Policymakers face two central challenges: understanding how organic expansion may unfold spatially under different drivers and assessing the economic and environmental implications of such a transition. This report addresses both challenges by combining a novel projection framework for organic area expansion with a comprehensive modelling of sectoral impacts using the CAPRI model.</w:t>
      </w:r>
    </w:p>
    <w:p>
      <w:pPr/>
      <w:r>
        <w:rPr>
          <w:b/>
        </w:rPr>
        <w:t>POSSIBLE 2025:</w:t>
      </w:r>
      <w:r>
        <w:t xml:space="preserve"> Effect of different treatments on the dissipation and persistence of iodosulfuron-methyl applied in soils with wheat crop under greenhouse conditions — https://doi.org/10.1016/j.ecoenv.2025.118454</w:t>
      </w:r>
    </w:p>
    <w:p>
      <w:pPr/>
      <w:r>
        <w:rPr>
          <w:b/>
        </w:rPr>
        <w:t>Shared claim-specific concepts:</w:t>
      </w:r>
      <w:r>
        <w:t xml:space="preserve"> average, wheat, compared; EU scope visible. This is a provisional connection, not an outcome finding.</w:t>
      </w:r>
    </w:p>
    <w:p>
      <w:pPr>
        <w:pStyle w:val="SourceNote"/>
      </w:pPr>
      <w:r>
        <w:rPr>
          <w:b/>
        </w:rPr>
        <w:t>Available abstract (not full text):</w:t>
      </w:r>
      <w:r>
        <w:t xml:space="preserve"> The herbicides used on primary crops in rotational agriculture may be phytotoxic for subsequent ones, and their behaviour needs to be studied under different soil, climate, and agronomic conditions. This research therefore sought to study the effect of different agronomic treatments (i.e., application of organic amendment, and different herbicide doses and irrigation regimes) on the dissipation and persistence of the herbicide iodosulfuron-methyl-sodium applied to post-emergence wheat in two agricultural soils under controlled greenhouse conditions. Two soils with different pH (4.4 for SA and 6.0 for SB) were sampled from the Muñovela farm (NW Spain) and amended with green compost (GC) at 2.5 % (w/w) (SA+GC and SB+GC). Wheat was sown in pots with unamended and amended soils. Each soil was treated with two herbicide doses (D1, agronomic dose, and D2, double dose) and under two irrigation regimes (AR, average rainfall, and MR, minimum rainfall). To study the persistence of the herbicide, the dissipation curve was obtained by plotting the percentage of herbicide remaining in samples of the surface soil collected from all the pots at different times (0–56 days), determined by HPLC-MS versus time, and the data were fitted to different kinetic models to calculate the half-life (DT 50 ). The amounts of the herbicide remaining in the soil profiles were quantified for the different trea</w:t>
      </w:r>
    </w:p>
    <w:p>
      <w:pPr/>
      <w:r>
        <w:rPr>
          <w:b/>
        </w:rPr>
        <w:t>POSSIBLE 2024:</w:t>
      </w:r>
      <w:r>
        <w:t xml:space="preserve"> European maps of crop / livestock categories and N budget parameters (timeseries 2000 – 2018) based on disaggregated CAPRI model data — https://doi.org/10.5194/egusphere-egu24-18505</w:t>
      </w:r>
    </w:p>
    <w:p>
      <w:pPr/>
      <w:r>
        <w:rPr>
          <w:b/>
        </w:rPr>
        <w:t>Shared claim-specific concepts:</w:t>
      </w:r>
      <w:r>
        <w:t xml:space="preserve"> based, capri; EU scope visible. This is a provisional connection, not an outcome finding.</w:t>
      </w:r>
    </w:p>
    <w:p>
      <w:pPr>
        <w:pStyle w:val="SourceNote"/>
      </w:pPr>
      <w:r>
        <w:rPr>
          <w:b/>
        </w:rPr>
        <w:t>Available abstract (not full text):</w:t>
      </w:r>
      <w:r>
        <w:t xml:space="preserve"> The agricultural sector holds the greatest reduction potential to limit adverse effects of reactive nitrogen in the environment. Assessing the negative impacts of excessive release of reactive nitrogen into the biosphere requires spatially explicit information to capture e.g. hot spots of nitrogen surplus, nitrogen use efficiency, the impact on sensitive ecosystems or on ground/drinking water quality.The agricultural economic model CAPRI is one of the main tools applied by the European Commission for the ex-ante analysis of the impact of agricultural policies and agro-environmental legislation at regional level (NUTS2) in Europe. CAPRI builds on long-term time series of regional, national and international agricultural statistics (e.g. crop and livestock production, fertilizer use), market and trade data. Inputs (e.g. inorganic fertilizer) in CAPRI are explicitly linked to production which delivers the basis for connecting environmental indicators (e.g. nitrogen surplus) directly to individual activities.To provide the link between the agro-economic model CAPRI and the impact assessment of nitrogen use in agriculture on the environment at higher spatial resolution, we developed a procedure to disaggregate CAPRI regional data and provide maps of nitrogen input/output, crop and livestock production for the time series 2000 – 2018 at the level of Farm Structure Units (FSU) for 26 </w:t>
      </w:r>
    </w:p>
    <w:p>
      <w:pPr/>
      <w:r>
        <w:rPr>
          <w:b/>
        </w:rPr>
        <w:t>POSSIBLE 2023:</w:t>
      </w:r>
      <w:r>
        <w:t xml:space="preserve"> Impact of AlphaFold on structure prediction of protein complexes: The CASP15‐CAPRI experiment — https://doi.org/10.1002/prot.26609</w:t>
      </w:r>
    </w:p>
    <w:p>
      <w:pPr/>
      <w:r>
        <w:rPr>
          <w:b/>
        </w:rPr>
        <w:t>Shared claim-specific concepts:</w:t>
      </w:r>
      <w:r>
        <w:t xml:space="preserve"> based, capri, average, compared; EU scope not established. This is a provisional connection, not an outcome finding.</w:t>
      </w:r>
    </w:p>
    <w:p>
      <w:pPr>
        <w:pStyle w:val="SourceNote"/>
      </w:pPr>
      <w:r>
        <w:rPr>
          <w:b/>
        </w:rPr>
        <w:t>Available abstract (not full text):</w:t>
      </w:r>
      <w:r>
        <w:t xml:space="preserve"> We present the results for CAPRI Round 54, the 5th joint CASP-CAPRI protein assembly prediction challenge. The Round offered 37 targets, including 14 homodimers, 3 homo-trimers, 13 heterodimers including 3 antibody-antigen complexes, and 7 large assemblies. On average ~70 CASP and CAPRI predictor groups, including more than 20 automatics servers, submitted models for each target. A total of 21 941 models submitted by these groups and by 15 CAPRI scorer groups were evaluated using the CAPRI model quality measures and the DockQ score consolidating these measures. The prediction performance was quantified by a weighted score based on the number of models of acceptable quality or higher submitted by each group among their five best models. Results show substantial progress achieved across a significant fraction of the 60+ participating groups. High-quality models were produced for about 40% of the targets compared to 8% two years earlier. This remarkable improvement is due to the wide use of the AlphaFold2 and AlphaFold2-Multimer software and the confidence metrics they provide. Notably, expanded sampling of candidate solutions by manipulating these deep learning inference engines, enriching multiple sequence alignments, or integration of advanced modeling tools, enabled top performing groups to exceed the performance of a standard AlphaFold2-Multimer version used as a yard stick. </w:t>
      </w:r>
    </w:p>
    <w:p>
      <w:pPr/>
      <w:r>
        <w:rPr>
          <w:b/>
        </w:rPr>
        <w:t>POSSIBLE 2023:</w:t>
      </w:r>
      <w:r>
        <w:t xml:space="preserve"> A simple method for preserving pollen viability and longevity in wheat — https://doi.org/10.21203/rs.3.rs-2580944/v1</w:t>
      </w:r>
    </w:p>
    <w:p>
      <w:pPr/>
      <w:r>
        <w:rPr>
          <w:b/>
        </w:rPr>
        <w:t>Shared claim-specific concepts:</w:t>
      </w:r>
      <w:r>
        <w:t xml:space="preserve"> based, wheat, determine; EU scope not established. This is a provisional connection, not an outcome finding.</w:t>
      </w:r>
    </w:p>
    <w:p>
      <w:pPr>
        <w:pStyle w:val="SourceNote"/>
      </w:pPr>
      <w:r>
        <w:rPr>
          <w:b/>
        </w:rPr>
        <w:t>Available abstract (not full text):</w:t>
      </w:r>
      <w:r>
        <w:t xml:space="preserve"> Abstract Wheat pollen grains have very short longevity and are non-viable after ~30 minute at room temperature and ~60 minutes at 4°C. Pollen grain viability can be prolonged to ~24 hrs with existing anther preservation methods. Herein, we developed a new and very simple method of spike preservation to prolong pollen viability up to 1 week. The present study was evaluated to determine the effect of storage temperature and duration on the viability and in vitro germination of pollen grains of 50 spring wheat genotypes from two preservation methods of pollens viz, Anther preservation method and Spike preservation method. Pollens collected from both methods were stored at room temperature (22°C), fridge (4°C) for 0 and 1 week. Pollen viability were assessed using Alexander staining techniques with both methods at storage conditions 22°C and 4°C. In vitro germination was determined using liquid germination medium with both methods at 4°C. The results revealed that the pollen viability and in vitro germination as determined by Spike preservation method was highest when pollens were stored at 4°C up to 1 week. In addition, in vitro pollen germination and pollen viability significantly reduced as storage duration increased. It was recorded, that no pollen germination was observed under anther preservation method at storage conditions 4°C after 1 week while 2 to 14% pollen germination </w:t>
      </w:r>
    </w:p>
    <w:p>
      <w:pPr/>
      <w:r>
        <w:rPr>
          <w:b/>
        </w:rPr>
        <w:t>POSSIBLE 2021:</w:t>
      </w:r>
      <w:r>
        <w:t xml:space="preserve"> Improved modelling framework for assessing the interactions between the energy, agriculture, forestry and land use change sectors: Integrating the CAPRI, LUISA-BEES, CBM and POTEnCIA models — https://doi.org/10.2760/900305</w:t>
      </w:r>
    </w:p>
    <w:p>
      <w:pPr/>
      <w:r>
        <w:rPr>
          <w:b/>
        </w:rPr>
        <w:t>Shared claim-specific concepts:</w:t>
      </w:r>
      <w:r>
        <w:t xml:space="preserve"> based, capri, dynamics; EU scope visible. This is a provisional connection, not an outcome finding.</w:t>
      </w:r>
    </w:p>
    <w:p>
      <w:pPr>
        <w:pStyle w:val="SourceNote"/>
      </w:pPr>
      <w:r>
        <w:rPr>
          <w:b/>
        </w:rPr>
        <w:t>Available abstract (not full text):</w:t>
      </w:r>
      <w:r>
        <w:t xml:space="preserve"> This report is an attempt to develop a modelling framework integrating different sectoral stand-alone models used at the JRC for policy impact assessment in the fields of agriculture, forestry, land use change and energy. The proposed quantitative framework should improve the capability of assessing greenhouse gas emissions and removals resulting from complex interactions between the agriculture, forestry, and other land use (AFOLU) sectors, and facilitate the analysis of policy scenarios relevant for a sustainable and carbon-neutral European economy. Four models are considered, for which a revised model specification and harmonization of relevant databases and model parameters is needed. The Common Agricultural Policy Regionalized Impact (CAPRI) Modelling System is a widely used large-scale multi-commodity agricultural economic model. The Land Use-based Integrated Sustainability Assessment modelling platform for BioEconomy and Ecosystem Services (LUISA-BEES) is primarily used for the ex-ante evaluation of European policies that have a direct or indirect territorial impact on the agricultural and forestry sectors. The Carbon Budget Model (CBM) is a stand-alone forestry model that simulates forest carbon dynamics. The Policy Oriented Tool for Energy and Climate Change Impact Assessment (POTEnCIA) model depicts a detailed EU energy system combining both techno-economic modules. A</w:t>
      </w:r>
    </w:p>
    <w:p>
      <w:pPr/>
      <w:r>
        <w:rPr>
          <w:b/>
        </w:rPr>
        <w:t>POSSIBLE 2021:</w:t>
      </w:r>
      <w:r>
        <w:t xml:space="preserve"> Co-benefits of a flexitarian diet for air quality and human health in Europe — https://doi.org/10.1016/j.ecolecon.2021.107232</w:t>
      </w:r>
    </w:p>
    <w:p>
      <w:pPr/>
      <w:r>
        <w:rPr>
          <w:b/>
        </w:rPr>
        <w:t>Shared claim-specific concepts:</w:t>
      </w:r>
      <w:r>
        <w:t xml:space="preserve"> capri, union; EU scope visible. This is a provisional connection, not an outcome finding.</w:t>
      </w:r>
    </w:p>
    <w:p>
      <w:pPr>
        <w:pStyle w:val="SourceNote"/>
      </w:pPr>
      <w:r>
        <w:rPr>
          <w:b/>
        </w:rPr>
        <w:t>Available abstract (not full text):</w:t>
      </w:r>
      <w:r>
        <w:t xml:space="preserve"> Agriculture is a major source of air pollution in Europe, with adverse impacts on human health. Having recognized the serious health outcomes, and in direct response to public demand for a cleaner environment, European public policies are aiming to reduce air pollution. This study proposes a shift to more plant-based human diets to help achieve bold reduction targets for air pollution from agriculture. To assess the potential reduction in agricultural air pollution, we combine a large-scale partial equilibrium model for agriculture (CAPRI) with an atmospheric chemistry model (WRF-Chem). The health impacts from improved air quality are summarized as premature mortality rates, which are estimated from simulated changes in annual mean PM2.5 concentrations. We find that a shift to plant-based (flexitarian) diets would reduce ammonia emissions by 33% in the European Union (EU), generating significant co-benefits for air quality and human health. The economic benefits from improved human health would also largely mitigate the economic losses in the agricultural sector (39% in the EU and 49% in Europe as a whole). Our results suggest that, by shifting to plant-based human diets, European agriculture could significantly contribute to the targets in the EU Zero Pollution Action Plan.</w:t>
      </w:r>
    </w:p>
    <w:p>
      <w:pPr/>
      <w:r>
        <w:rPr>
          <w:b/>
        </w:rPr>
        <w:t>POSSIBLE 2020:</w:t>
      </w:r>
      <w:r>
        <w:t xml:space="preserve"> European Agriculture after Brexit: Does Anyone Benefit from the Divorce? — https://doi.org/10.1111/1477-9552.12396</w:t>
      </w:r>
    </w:p>
    <w:p>
      <w:pPr/>
      <w:r>
        <w:rPr>
          <w:b/>
        </w:rPr>
        <w:t>Shared claim-specific concepts:</w:t>
      </w:r>
      <w:r>
        <w:t xml:space="preserve"> capri, increase; EU scope visible. This is a provisional connection, not an outcome finding.</w:t>
      </w:r>
    </w:p>
    <w:p>
      <w:pPr>
        <w:pStyle w:val="SourceNote"/>
      </w:pPr>
      <w:r>
        <w:rPr>
          <w:b/>
        </w:rPr>
        <w:t>Available abstract (not full text):</w:t>
      </w:r>
      <w:r>
        <w:t xml:space="preserve"> Abstract The UK exited the EU on 31 January 2020, with a transition period agreed as part of the Withdrawal Agreement. During this transition period the UK and the EU will decide on their future trading relationship. No matter what form this relationship takes, there will be disturbances to agri‐food markets. This study analyses four different scenarios with increasing barriers to trade, ranging from a very close relationship similar to the European Economic Area to a distant relationship in which the UK and EU trade on Most Favoured Nation terms, using the EU focused global agricultural sector model CAPRI. In the UK, food prices will increase in all scenarios, making consumers in the UK the biggest losers. Only in a free trade agreement scenario does the UK show an unambiguous positive net welfare gain in just the agri‐food sector. In the case of the European Economic Area scenario, which assumes continued access to the single market, the net welfare impact would depend on the size of the UK’s continued contribution to the EU. In the EU, declining food prices would benefit consumers but the sum of the loss in farmers’ incomes and the UK’s EU CAP contribution would be much greater than the consumer’s gain. These impacts in agricultural markets under different future trade arrangements will also be influenced by the UK’s agricultural policy changes in direct payments as well as </w:t>
      </w:r>
    </w:p>
    <w:p>
      <w:pPr/>
      <w:r>
        <w:rPr>
          <w:b/>
        </w:rPr>
        <w:t>POSSIBLE 2020:</w:t>
      </w:r>
      <w:r>
        <w:t xml:space="preserve"> To Study the Heat Resistance Features of Bread Wheat Varieties and Species for the Southern Regions of the Republic of Uzbekistan — https://doi.org/10.24247/ijmperdjun20201342</w:t>
      </w:r>
    </w:p>
    <w:p>
      <w:pPr/>
      <w:r>
        <w:rPr>
          <w:b/>
        </w:rPr>
        <w:t>Shared claim-specific concepts:</w:t>
      </w:r>
      <w:r>
        <w:t xml:space="preserve"> wheat, yield, determine; EU scope not established. This is a provisional connection, not an outcome finding.</w:t>
      </w:r>
    </w:p>
    <w:p>
      <w:pPr>
        <w:pStyle w:val="SourceNote"/>
      </w:pPr>
      <w:r>
        <w:rPr>
          <w:b/>
        </w:rPr>
        <w:t>Available abstract (not full text):</w:t>
      </w:r>
      <w:r>
        <w:t xml:space="preserve"> Wheat (Triticum aestivum L.) is considered one of the world's most important cereal crops.Every year 704 million tons of grain is produced worldwide.Bread wheat croplands cover 17% of the total crop area.In recent years, sudden changes in air temperatures have a negative impact on the morphological, physiological, biochemical and molecular properties of wheat and grain yield.Therefore, it is important to create high-yielding and resistant varieties of bread wheat to abiotic factors and to develop its primary source in the condition of different regions.In the result of this study, the influence of high temperature which varied from 30°С and above continuously during spiking and maturation period of grain, especially in the period of grain filling, on grain quality and productivity has been studied thoroughly for southern parts of Uzbekistan.Mostly, winter bread wheat varieties are grown in these southern regions.The optimal sowing time in autumn season is the second decade of October.In order to determine the heat resistance of the winter wheat varieties that are mostly grown in the Republic and selected in the result of breeding, the experiments and observations were carried out on optimal and late sowing periods.The optimal planting time was found to be appropriate on the 15 th of October and for late sowing the 15 th of November.At the same time, late sown varieties and samp</w:t>
      </w:r>
    </w:p>
    <w:p>
      <w:pPr/>
      <w:r>
        <w:rPr>
          <w:b/>
        </w:rPr>
        <w:t>POSSIBLE 2020:</w:t>
      </w:r>
      <w:r>
        <w:t xml:space="preserve"> SUPREMA - SUpport for Policy RElevant Modelling of Agriculture — https://doi.org/10.2905/d6ef74c6-ba91-4e37-827e-d0854fbe85dd</w:t>
      </w:r>
    </w:p>
    <w:p>
      <w:pPr/>
      <w:r>
        <w:rPr>
          <w:b/>
        </w:rPr>
        <w:t>Shared claim-specific concepts:</w:t>
      </w:r>
      <w:r>
        <w:t xml:space="preserve"> based, capri, union, compared; EU scope visible. This is a provisional connection, not an outcome finding.</w:t>
      </w:r>
    </w:p>
    <w:p>
      <w:pPr>
        <w:pStyle w:val="SourceNote"/>
      </w:pPr>
      <w:r>
        <w:rPr>
          <w:b/>
        </w:rPr>
        <w:t>Available abstract (not full text):</w:t>
      </w:r>
      <w:r>
        <w:t xml:space="preserve"> Impact assessments for agriculture are partly based on projections delivered by models. Sectoral policies are becoming more and more interrelated. Hence, there is a need to improve the capacity of current models, connect them or redesign them to deliver on an increasing variety of policy objectives, and to explore future directions for agricultural modelling in Europe. SUPREMA (SUpport for Policy RElevant Modelling of Agriculture) is a project that has received funding from the European Union’s Horizon 2020 research and innovation programme (under grant agreement No 773499 SUPREMA) and that came to address this challenge by proposing a meta-platform that supports modelling groups linked already through various other platforms and networks. SUPREMA should help close the gaps between expectations of policy makers and the actual capacity of models to deliver relevant policy analysis. The SUPREMA model family includes a set of ‘core models’ that are already used in support of key European impact assessments in agriculture, trade, climate and bioenergy policies. One of the work-packages of the project ("Testing the SUPREMA model family") had the objective of testing the SUPREMA model family comparing model outcomes of three applications, including: (i) harmonize baseline assumptions and to the extent possible align baseline projections across models in the platform, and (ii) showcas</w:t>
      </w:r>
    </w:p>
    <w:p>
      <w:pPr/>
      <w:r>
        <w:rPr>
          <w:b/>
        </w:rPr>
        <w:t>POSSIBLE 2020:</w:t>
      </w:r>
      <w:r>
        <w:t xml:space="preserve"> SUPREMA - SUpport for Policy RElevant Modelling of Agriculture — https://doi.org/10.2905/jrc.jf073rr</w:t>
      </w:r>
    </w:p>
    <w:p>
      <w:pPr/>
      <w:r>
        <w:rPr>
          <w:b/>
        </w:rPr>
        <w:t>Shared claim-specific concepts:</w:t>
      </w:r>
      <w:r>
        <w:t xml:space="preserve"> based, capri, union, compared; EU scope visible. This is a provisional connection, not an outcome finding.</w:t>
      </w:r>
    </w:p>
    <w:p>
      <w:pPr>
        <w:pStyle w:val="SourceNote"/>
      </w:pPr>
      <w:r>
        <w:rPr>
          <w:b/>
        </w:rPr>
        <w:t>Available abstract (not full text):</w:t>
      </w:r>
      <w:r>
        <w:t xml:space="preserve"> Impact assessments for agriculture are partly based on projections delivered by models. Sectoral policies are becoming more and more interrelated. Hence, there is a need to improve the capacity of current models, connect them or redesign them to deliver on an increasing variety of policy objectives, and to explore future directions for agricultural modelling in Europe. SUPREMA (SUpport for Policy RElevant Modelling of Agriculture) is a project that has received funding from the European Union’s Horizon 2020 research and innovation programme (under grant agreement No 773499 SUPREMA) and that came to address this challenge by proposing a meta-platform that supports modelling groups linked already through various other platforms and networks. SUPREMA should help close the gaps between expectations of policy makers and the actual capacity of models to deliver relevant policy analysis. The SUPREMA model family includes a set of ‘core models’ that are already used in support of key European impact assessments in agriculture, trade, climate and bioenergy policies. One of the work-packages of the project ("Testing the SUPREMA model family") had the objective of testing the SUPREMA model family comparing model outcomes of three applications, including: (i) harmonize baseline assumptions and to the extent possible align baseline projections across models in the platform, and (ii) showcas</w:t>
      </w:r>
    </w:p>
    <w:p>
      <w:pPr>
        <w:pStyle w:val="Heading2"/>
      </w:pPr>
      <w:r>
        <w:t>891. Population Projections and Demographic Knowledge in France and Great Britain in the Postwar Period</w:t>
      </w:r>
    </w:p>
    <w:p>
      <w:pPr>
        <w:pStyle w:val="SourceNote"/>
      </w:pPr>
      <w:r>
        <w:rPr>
          <w:b/>
        </w:rPr>
        <w:t>Original source (2015):</w:t>
      </w:r>
      <w:r>
        <w:t xml:space="preserve"> https://doi.org/10.1111/j.1728-4457.2015.00047.x</w:t>
      </w:r>
    </w:p>
    <w:p>
      <w:pPr/>
      <w:r>
        <w:t>Original wording (abstract; indexed_source_text_not_full_document_verified): In France, publication of multiple variants emphasized future contingency, with low variants illustrating future population decline due to prolonged below‐replacement fertility. National population projections thus created divergent representations of the two countries' demographic futures: an ever‐present threat of population decline in France, and a reassuring image of stability in Britain.</w:t>
      </w:r>
    </w:p>
    <w:p>
      <w:pPr/>
      <w:r>
        <w:rPr>
          <w:b/>
        </w:rPr>
        <w:t>POSSIBLE 2026:</w:t>
      </w:r>
      <w:r>
        <w:t xml:space="preserve"> Control and Contingency — https://doi.org/10.13135/2280-8574/13657</w:t>
      </w:r>
    </w:p>
    <w:p>
      <w:pPr/>
      <w:r>
        <w:rPr>
          <w:b/>
        </w:rPr>
        <w:t>Shared claim-specific concepts:</w:t>
      </w:r>
      <w:r>
        <w:t xml:space="preserve"> france, contingency, two; EU scope visible. This is a provisional connection, not an outcome finding.</w:t>
      </w:r>
    </w:p>
    <w:p>
      <w:pPr>
        <w:pStyle w:val="SourceNote"/>
      </w:pPr>
      <w:r>
        <w:rPr>
          <w:b/>
        </w:rPr>
        <w:t>Available abstract (not full text):</w:t>
      </w:r>
      <w:r>
        <w:t xml:space="preserve"> In his stimulating book As Gods Among Men, Guido Alfani argues that the rich were newly accepted during the early modern period (1400–1800), winning an unprecedented measure of approval in many European societies. This article tests Alfani’s idea of wealth consolidation in early modernity from the perspective of the visual arts, paying initial attention to the rise of portraiture as a vehicle through which the rich presented themselves more openly as the worthy leaders of society, appearing to consolidate their position of privilege. Even within this apparently supportive image type, however, indications of monetary ricchezza were often downplayed. Two further sections explore these tendencies towards the semi-concealment and the mediation of monetary wealth in a wider range of image types and media. Taking as my case studies works produced in Italy, Great Britain, the Dutch Republic, France, Spain and Germany, I argue that motives of visual deflection and ambiguation regarding the condition of material wealth were more characteristic of early modernity that its open display. My discussion of these works will suggest that they do not straightforwardly reflect the consolidation of the European rich as leading social and cultural players. Much of this imagery suggests instead a developing proto-modern sense that all material advantage and associated high social position is highly</w:t>
      </w:r>
    </w:p>
    <w:p>
      <w:pPr/>
      <w:r>
        <w:rPr>
          <w:b/>
        </w:rPr>
        <w:t>POSSIBLE 2025:</w:t>
      </w:r>
      <w:r>
        <w:t xml:space="preserve"> Labour unrest in the context of multiple crises: a comparative perspective of Europe — https://doi.org/10.1080/14742837.2025.2562879</w:t>
      </w:r>
    </w:p>
    <w:p>
      <w:pPr/>
      <w:r>
        <w:rPr>
          <w:b/>
        </w:rPr>
        <w:t>Shared claim-specific concepts:</w:t>
      </w:r>
      <w:r>
        <w:t xml:space="preserve"> multiple, national, two, countries; EU scope visible. This is a provisional connection, not an outcome finding.</w:t>
      </w:r>
    </w:p>
    <w:p>
      <w:pPr>
        <w:pStyle w:val="SourceNote"/>
      </w:pPr>
      <w:r>
        <w:rPr>
          <w:b/>
        </w:rPr>
        <w:t>Available abstract (not full text):</w:t>
      </w:r>
      <w:r>
        <w:t xml:space="preserve"> By presenting the first comparative data of trade union and workers’ protests since Covid-19, based on local sources, this article attempts to fill a significant gap in the empirical research on cross-country comparisons of labour mobilizations. The findings indicate a high level of labour protest activity, with trade unions driving most mobilizations. While elements of social movement unionism can be found in all analysed countries, their intensity and scope vary significantly. We find two patterns in alliance building: the cross-movement coalition in Italy and Greece, where trade unions, grassroots organizations, and social movements unite in major campaigns and the trade union movement coalition pattern prevailing in Belgium, Bulgaria, and Romania, where confederations and federations primarily ally within a given sector or nationally in large-scale protests, with minimal engagement with other civil society actors. Protest tactics also differ across national traditions. In post-socialist states, strikes have diminished in favour of other forms of social movement repertoire, such as demonstrations and rallies. In contrast, in Belgium, Greece, and Italy, strikes remain a key strategy for the labour movement. Finally, our analysis highlights variations in systemic mobilization and differences in public and private sector protests across countries, with Greece exhibiting the hig</w:t>
      </w:r>
    </w:p>
    <w:p>
      <w:pPr/>
      <w:r>
        <w:rPr>
          <w:b/>
        </w:rPr>
        <w:t>POSSIBLE 2024:</w:t>
      </w:r>
      <w:r>
        <w:t xml:space="preserve"> A unifying modelling of multiple land degradation pathways in Europe — https://doi.org/10.1038/s41467-024-48252-x</w:t>
      </w:r>
    </w:p>
    <w:p>
      <w:pPr/>
      <w:r>
        <w:rPr>
          <w:b/>
        </w:rPr>
        <w:t>Shared claim-specific concepts:</w:t>
      </w:r>
      <w:r>
        <w:t xml:space="preserve"> multiple, national, two, countries; EU scope visible. This is a provisional connection, not an outcome finding.</w:t>
      </w:r>
    </w:p>
    <w:p>
      <w:pPr>
        <w:pStyle w:val="SourceNote"/>
      </w:pPr>
      <w:r>
        <w:rPr>
          <w:b/>
        </w:rPr>
        <w:t>Available abstract (not full text):</w:t>
      </w:r>
      <w:r>
        <w:t xml:space="preserve"> Abstract Land degradation is a complex socio-environmental threat, which generally occurs as multiple concurrent pathways that remain largely unexplored in Europe. Here we present an unprecedented analysis of land multi-degradation in 40 continental countries, using twelve dataset-based processes that were modelled as land degradation convergence and combination pathways in Europe’s agricultural (and arable) environments. Using a Land Multi-degradation Index, we find that up to 27%, 35% and 22% of continental agricultural (~2 million km 2 ) and arable (~1.1 million km 2 ) lands are currently threatened by one, two, and three drivers of degradation, while 10–11% of pan-European agricultural/arable landscapes are cumulatively affected by four and at least five concurrent processes. We also explore the complex pattern of spatially interacting processes, emphasizing the major combinations of land degradation pathways across continental and national boundaries. Our results will enable policymakers to develop knowledge-based strategies for land degradation mitigation and other critical European sustainable development goals.</w:t>
      </w:r>
    </w:p>
    <w:p>
      <w:pPr/>
      <w:r>
        <w:rPr>
          <w:b/>
        </w:rPr>
        <w:t>POSSIBLE 2024:</w:t>
      </w:r>
      <w:r>
        <w:t xml:space="preserve"> Constructing the “moralization shock”: The role of contingency in the translation of anticorruption policy in France — https://doi.org/10.1002/epa2.1231</w:t>
      </w:r>
    </w:p>
    <w:p>
      <w:pPr/>
      <w:r>
        <w:rPr>
          <w:b/>
        </w:rPr>
        <w:t>Shared claim-specific concepts:</w:t>
      </w:r>
      <w:r>
        <w:t xml:space="preserve"> france, contingency, two; EU scope visible. This is a provisional connection, not an outcome finding.</w:t>
      </w:r>
    </w:p>
    <w:p>
      <w:pPr>
        <w:pStyle w:val="SourceNote"/>
      </w:pPr>
      <w:r>
        <w:rPr>
          <w:b/>
        </w:rPr>
        <w:t>Available abstract (not full text):</w:t>
      </w:r>
      <w:r>
        <w:t xml:space="preserve"> Abstract This article applies the concept of transaction to the process of policy transfer, through the case of conflict of interest regulation in France, using archives, documentary sources, and interviews with stakeholders. It contributes to the literature on policy translation by clarifying the role of contingency , which remains underspecified. It shows that timing matters in two ways: it affects actors' ability to open a policy window, and it ultimately affects problem definition and future implementation instruments and practices. It explores the construction of the situation as a scandal, making it necessary to adapt transferred ideas to the political context, where a “shock of moralization” was seen as necessary. It also offers an opportunity to enrich the scholarship on policy transaction with an application to transnational policymaking, where problem definitions and policy solutions are imported from elsewhere and where foreign or transnational actors contribute to the co‐construction of actors and issues.</w:t>
      </w:r>
    </w:p>
    <w:p>
      <w:pPr/>
      <w:r>
        <w:rPr>
          <w:b/>
        </w:rPr>
        <w:t>POSSIBLE 2024:</w:t>
      </w:r>
      <w:r>
        <w:t xml:space="preserve"> Frailty among the 50+ in France and in Europe. Two decades of trends and inequalities based on SHARE — https://openalex.org/W4402705049</w:t>
      </w:r>
    </w:p>
    <w:p>
      <w:pPr/>
      <w:r>
        <w:rPr>
          <w:b/>
        </w:rPr>
        <w:t>Shared claim-specific concepts:</w:t>
      </w:r>
      <w:r>
        <w:t xml:space="preserve"> france, publication, two; EU scope visible. This is a provisional connection, not an outcome finding.</w:t>
      </w:r>
    </w:p>
    <w:p>
      <w:pPr>
        <w:pStyle w:val="SourceNote"/>
      </w:pPr>
      <w:r>
        <w:rPr>
          <w:b/>
        </w:rPr>
        <w:t>Available abstract (not full text):</w:t>
      </w:r>
      <w:r>
        <w:t xml:space="preserve"> EN SOCIÉTÉ La fragilité chez les 50 ans et plus en France et en Europe.Deux décennies d'évolution et d'inégalités à partir des données de l'enquête SHARE * * * Ce travail a bénéficié du soutien de la Caisse Nationale de Solidarité pour l'Autonomie (CNSA).Nous remercions Nicolas Sirven, Marie-Anne Brieu, Didier Halimi et Françoise Forette pour leur contribution à une première étude sur cette thématique avec le soutien d'ILC-France qui avait donné lieu à une première publication (Arnault et al., 2019).* * * La fragilité est un état de vulnérabilité accrue des personnes âgées, qui constitue un signal d'alerte du risque de perte d'autonomie et qui peut être freiné voire résorbé par des mesures de prévention appropriées ou une prise en charge précoce.Multidimensionnelle et multifactorielle par nature, la fragilité a donné lieu à de nombreux travaux de conceptualisation et de mesure à l'aide d'échelles et de scores spécifiques.Parmi les différentes approches existantes, le phénotype de fragilité proposé par Fried et al (2001) constitue un outil de référence par sa simplicité et son pouvoir discriminant.Il repose sur une conception de la fragilité comme dégradation de cinq attributs fonctionnels de référence (énergie, mobilité, activité physique, poids, force musculaire) facile à opérationnaliser à partir de données d'enquête adéquates.Les inégalités sociales de fragilité en termes d'</w:t>
      </w:r>
    </w:p>
    <w:p>
      <w:pPr/>
      <w:r>
        <w:rPr>
          <w:b/>
        </w:rPr>
        <w:t>POSSIBLE 2022:</w:t>
      </w:r>
      <w:r>
        <w:t xml:space="preserve"> Encountering Diversity in France and “Eurafrica” — https://doi.org/10.7591/cornell/9781501765605.003.0005</w:t>
      </w:r>
    </w:p>
    <w:p>
      <w:pPr/>
      <w:r>
        <w:rPr>
          <w:b/>
        </w:rPr>
        <w:t>Shared claim-specific concepts:</w:t>
      </w:r>
      <w:r>
        <w:t xml:space="preserve"> france, multiple, population; EU scope visible. This is a provisional connection, not an outcome finding.</w:t>
      </w:r>
    </w:p>
    <w:p>
      <w:pPr>
        <w:pStyle w:val="SourceNote"/>
      </w:pPr>
      <w:r>
        <w:rPr>
          <w:b/>
        </w:rPr>
        <w:t>Available abstract (not full text):</w:t>
      </w:r>
      <w:r>
        <w:t xml:space="preserve"> This chapter focuses on African students in European France in the 1950s. It looks at the European institution building that reframed the urgency of educating Africans—whether in France or French Africa—as a crucial building block in the construction of the modernist, technocratic project of “Eurafrica.” The chapter begins by considering the process of brassage, a term that can mean either intermixing or incorporation. French and African leaders championed brassage as a way to overcome the legacies of racism and colonialism. Despite its modest size, the African student population in France in the 1950s has generated considerable scholarly interest. The extant literature focuses on how African students and youth leaders inserted themselves in the process of decolonization by founding their own networks of associations, publications, and syndicalist movements. African students grouped themselves along multiple axes, including territory and religion, but they also transcended those divisions in a federated Black African student union, the Fédération des étudiants d'Afrique noire en France (FEANF). The literature also details French responses to African student mobilizations, particularly the surveillance of African youth and censorship of their journals.</w:t>
      </w:r>
    </w:p>
    <w:p>
      <w:pPr/>
      <w:r>
        <w:rPr>
          <w:b/>
        </w:rPr>
        <w:t>POSSIBLE 2022:</w:t>
      </w:r>
      <w:r>
        <w:t xml:space="preserve"> Domesticating models: On the contingency of Covid-19 modelling in UK media and policy — https://doi.org/10.1177/03063127221126166</w:t>
      </w:r>
    </w:p>
    <w:p>
      <w:pPr/>
      <w:r>
        <w:rPr>
          <w:b/>
        </w:rPr>
        <w:t>Shared claim-specific concepts:</w:t>
      </w:r>
      <w:r>
        <w:t xml:space="preserve"> emphasized, contingency, projections, thus; EU scope not established. This is a provisional connection, not an outcome finding.</w:t>
      </w:r>
    </w:p>
    <w:p>
      <w:pPr>
        <w:pStyle w:val="SourceNote"/>
      </w:pPr>
      <w:r>
        <w:rPr>
          <w:b/>
        </w:rPr>
        <w:t>Available abstract (not full text):</w:t>
      </w:r>
      <w:r>
        <w:t xml:space="preserve"> Our article traces the representation of pandemic modelling in UK print media from the emergence of Covid-19 to the early stages of implementing the first UK-wide lockdown in late March 2020. Covid modelling, it is widely assumed, has shaped policy decisions and public responses to the pandemic in unprecedented ways. We analyse how the UK print media has configured modelling as a significant evidence tool in the representation of the pandemic. Interrogating assumptions about infectious disease modelling, we ask why models became the trusted tool of choice for knowing and responding to the Covid pandemic in the UK. Our analysis has yielded four different periods in the evolution of intersecting policy and media frames. Initially, modellers, policymakers and media alike emphasized uncertainty about available data, and hence the speculative character of modelled projections, thus justifying a 'wait and see' approach to government intervention. With growing public pressure for government action, policy and media frames were adjusted to emphasize the importance of timing interventions for best effect, with modelling evidence mobilized to justify inaction. This gave way to a period of crisis, as the press increasingly questioned the reliability of the existing models and policies, leading modellers and policy makers to dramatically revise their projections. Finally, with the impositi</w:t>
      </w:r>
    </w:p>
    <w:p>
      <w:pPr/>
      <w:r>
        <w:rPr>
          <w:b/>
        </w:rPr>
        <w:t>POSSIBLE 2022:</w:t>
      </w:r>
      <w:r>
        <w:t xml:space="preserve"> Valentin and his Wild Brother in European Literature: How French is a French Romance? — https://doi.org/10.54103/interfaces-09-08</w:t>
      </w:r>
    </w:p>
    <w:p>
      <w:pPr/>
      <w:r>
        <w:rPr>
          <w:b/>
        </w:rPr>
        <w:t>Shared claim-specific concepts:</w:t>
      </w:r>
      <w:r>
        <w:t xml:space="preserve"> low, national, two; EU scope visible. This is a provisional connection, not an outcome finding.</w:t>
      </w:r>
    </w:p>
    <w:p>
      <w:pPr>
        <w:pStyle w:val="SourceNote"/>
      </w:pPr>
      <w:r>
        <w:rPr>
          <w:b/>
        </w:rPr>
        <w:t>Available abstract (not full text):</w:t>
      </w:r>
      <w:r>
        <w:t xml:space="preserve"> The medieval romance about the two brothers Valentin and Orson (also known as Nameless) crossed various linguistic and cultural borders in the European Middle Ages and beyond. It is said to have originated in a Francophone context, but the French origin, which is believed to be a chanson de geste, has not been preserved – the earliest surviving sources are three Middle Dutch fragments. The different versions of the tale are generally divided into two strands: the first covers versions in Middle Dutch, Middle Low German, Middle High German, and Old Swedish, and the second includes versions in French, English, German, Dutch, Italian, Icelandic, and Yiddish. In this article, we give an up-to-date overview of the two strands and raise the question whether Valentin should be considered as a primarily French tradition. We argue that Valentin cannot be understood only in a monolingual or national context, and that a linear model of transmission does not do justice to the complexity of this tradition. We consider what it means to approach Valentin as a shared European narrative, how each version places itself in this larger tradition, and what insight this approach can give us into the tension as well as fruitful co-existence between local and supralocal. By putting the different versions of the tale in dialogue and paying attention to the places and social networks along which they tr</w:t>
      </w:r>
    </w:p>
    <w:p>
      <w:pPr/>
      <w:r>
        <w:rPr>
          <w:b/>
        </w:rPr>
        <w:t>POSSIBLE 2021:</w:t>
      </w:r>
      <w:r>
        <w:t xml:space="preserve"> Retrospection, Regret, and Contingency in Dickens’s Late Midlives — https://doi.org/10.7146/ageculturehumanities.v5i.130863</w:t>
      </w:r>
    </w:p>
    <w:p>
      <w:pPr/>
      <w:r>
        <w:rPr>
          <w:b/>
        </w:rPr>
        <w:t>Shared claim-specific concepts:</w:t>
      </w:r>
      <w:r>
        <w:t xml:space="preserve"> publication, contingency, population, representations, two, demographic; EU scope not established. This is a provisional connection, not an outcome finding.</w:t>
      </w:r>
    </w:p>
    <w:p>
      <w:pPr>
        <w:pStyle w:val="SourceNote"/>
      </w:pPr>
      <w:r>
        <w:rPr>
          <w:b/>
        </w:rPr>
        <w:t>Available abstract (not full text):</w:t>
      </w:r>
      <w:r>
        <w:t xml:space="preserve"> This essay explores Dickens’s representations of male anxieties over aging and argues both that contingency—a character’s dawning recognition that their life might have been otherwise—haunts Dickens’s midlife narratives and that a developing cultural awareness of midlife as a life-stage is central to the Victorian fascination with unlived lives. It traces developments in Dickens’s own sense of midlife’s particularity to two sources: a recognition of the bodily changes that accompany the process of aging (such as his own graying hair, which he sought to disguise cosmetically through hair and moustache dyes) and his membership of a generation whose life chances were determined by a demographic bulge caused by a rapid expansion of Britain’s middle-aged and elderly population. Both of these circumstances engender an overwhelming sense of regret in the aging protagonists of novels such as David Copperfield (1849-1850), Great Expectations (1860-1861), and Our Mutual Friend (1864-1865), whose midlives are spent thinking, and sometimes writing, about the youthful choices that shaped their later lives. It is only with the publication of the late portmanteau tale “Mugby Junction” that Dickens finds himself able to imagine a midlife in which the aging individuals possess agency and are empowered to cast off the determining and contingent events of their Bildungsroman narratives and engage</w:t>
      </w:r>
    </w:p>
    <w:p>
      <w:pPr/>
      <w:r>
        <w:rPr>
          <w:b/>
        </w:rPr>
        <w:t>POSSIBLE 2021:</w:t>
      </w:r>
      <w:r>
        <w:t xml:space="preserve"> Economic costs of invasive alien species across Europe — https://doi.org/10.3897/neobiota.67.58196</w:t>
      </w:r>
    </w:p>
    <w:p>
      <w:pPr/>
      <w:r>
        <w:rPr>
          <w:b/>
        </w:rPr>
        <w:t>Shared claim-specific concepts:</w:t>
      </w:r>
      <w:r>
        <w:t xml:space="preserve"> france, multiple, population, thus, countries; EU scope visible. This is a provisional connection, not an outcome finding.</w:t>
      </w:r>
    </w:p>
    <w:p>
      <w:pPr>
        <w:pStyle w:val="SourceNote"/>
      </w:pPr>
      <w:r>
        <w:rPr>
          <w:b/>
        </w:rPr>
        <w:t>Available abstract (not full text):</w:t>
      </w:r>
      <w:r>
        <w:t xml:space="preserve"> Biological invasions continue to threaten the stability of ecosystems and societies that are dependent on their services. Whilst the ecological impacts of invasive alien species (IAS) have been widely reported in recent decades, there remains a paucity of information concerning their economic impacts. Europe has strong trade and transport links with the rest of the world, facilitating hundreds of IAS incursions, and largely centralised decision-making frameworks. The present study is the first comprehensive and detailed effort that quantifies the costs of IAS collectively across European countries and examines temporal trends in these data. In addition, the distributions of costs across countries, socioeconomic sectors and taxonomic groups are examined, as are socio-economic correlates of management and damage costs. Total costs of IAS in Europe summed to US$140.20 billion (or €116.61 billion) between 1960 and 2020, with the majority (60%) being damage-related and impacting multiple sectors. Costs were also geographically widespread but dominated by impacts in large western and central European countries, i.e. the UK, Spain, France, and Germany. Human population size, land area, GDP, and tourism were significant predictors of invasion costs, with management costs additionally predicted by numbers of introduced species, research effort and trade. Temporally, invasion costs have </w:t>
      </w:r>
    </w:p>
    <w:p>
      <w:pPr/>
      <w:r>
        <w:rPr>
          <w:b/>
        </w:rPr>
        <w:t>POSSIBLE 2020:</w:t>
      </w:r>
      <w:r>
        <w:t xml:space="preserve"> Discourse and Strategic Use of the Military in France and Europe in the COVID‐19 Crisis — https://doi.org/10.1111/tesg.12451</w:t>
      </w:r>
    </w:p>
    <w:p>
      <w:pPr/>
      <w:r>
        <w:rPr>
          <w:b/>
        </w:rPr>
        <w:t>Shared claim-specific concepts:</w:t>
      </w:r>
      <w:r>
        <w:t xml:space="preserve"> france, population, national; EU scope visible. This is a provisional connection, not an outcome finding.</w:t>
      </w:r>
    </w:p>
    <w:p>
      <w:pPr>
        <w:pStyle w:val="SourceNote"/>
      </w:pPr>
      <w:r>
        <w:rPr>
          <w:b/>
        </w:rPr>
        <w:t>Available abstract (not full text):</w:t>
      </w:r>
      <w:r>
        <w:t xml:space="preserve"> In March 2020, the French President called to war against the COVID-19 which was followed by the launch of a military operation called Operation Resilience. This use of martial rhetoric initiated an effective mobilisation consisting in logistical assistance to the health sector. While armies are increasingly used to deal with environmental disasters, aside from their traditional role, this paper postulates that the geography of the French and international military engagement can be used to analyse both the institutional strategy of crisis management and the message governments send to their population. Military involvement differs in terms of missions given and of the amount of troops mobilised. It first questions the use of the military in the name of national resilience in the political discourse and the way it displays a symbolic message to the population, before analysing the role of armies in the crisis through the spatiality of their interventions.</w:t>
      </w:r>
    </w:p>
    <w:p>
      <w:pPr/>
      <w:r>
        <w:rPr>
          <w:b/>
        </w:rPr>
        <w:t>POSSIBLE 2020:</w:t>
      </w:r>
      <w:r>
        <w:t xml:space="preserve"> Piercing Proverbial Crows’ Eyes: Theft and Publication in Renaissance France — https://doi.org/10.33137/rr.v43i3.35300</w:t>
      </w:r>
    </w:p>
    <w:p>
      <w:pPr/>
      <w:r>
        <w:rPr>
          <w:b/>
        </w:rPr>
        <w:t>Shared claim-specific concepts:</w:t>
      </w:r>
      <w:r>
        <w:t xml:space="preserve"> france, publication, thus; EU scope visible. This is a provisional connection, not an outcome finding.</w:t>
      </w:r>
    </w:p>
    <w:p>
      <w:pPr>
        <w:pStyle w:val="SourceNote"/>
      </w:pPr>
      <w:r>
        <w:rPr>
          <w:b/>
        </w:rPr>
        <w:t>Available abstract (not full text):</w:t>
      </w:r>
      <w:r>
        <w:t xml:space="preserve"> The ironic Latin proverb “cornicum oculos configere” was classically illustrated by the example of Gnaeus Flavius, celebrated for his theft and valuable but unauthorized publication of Rome’s legal secrets. Erasmus’s discussion of the proverb in the Adages consequently focuses on the tension within the transfer of knowledge between openness and secrecy, and on the fragile status of intellectual authority within a scholarly domain made increasingly public by the printing press. This article uses the example of Flavius to trace the idea of theft within Renaissance attitudes to the possession and dissemination of knowledge. It compares the reception of Flavius in three contexts: Erasmus’s ambivalence towards publication as a form of theft in the Adages; ancient criticisms of theft as social presumption; and the more positive representation of epistemological theft in the works of four Renaissance French jurists. It thus argues that Erasmus represents a turning point both in the reception history of Flavius and in attitudes to intellectual theft—and thereby to intellectual property—in the Renaissance.</w:t>
      </w:r>
    </w:p>
    <w:p>
      <w:pPr>
        <w:pStyle w:val="Heading2"/>
      </w:pPr>
      <w:r>
        <w:t>892. Potential of extensification of European agriculture for a more sustainable food system, focusing on nitrogen</w:t>
      </w:r>
    </w:p>
    <w:p>
      <w:pPr>
        <w:pStyle w:val="SourceNote"/>
      </w:pPr>
      <w:r>
        <w:rPr>
          <w:b/>
        </w:rPr>
        <w:t>Original source (2015):</w:t>
      </w:r>
      <w:r>
        <w:t xml:space="preserve"> https://doi.org/10.1088/1748-9326/10/2/025002</w:t>
      </w:r>
    </w:p>
    <w:p>
      <w:pPr/>
      <w:r>
        <w:t>Original wording (abstract; indexed_source_text_not_full_document_verified): A 2030 scenario for the EU27 reducing consumption and production of animal products by 50% (demitarean diet) reduces N pollution by 10% and benefits human health. This diet allows the EU27 to become a food exporter, while reducing land demand outside Europe in 2030 by more than 100 million hectares (2%), which more than compensates increased land demand when changing to organic farming.</w:t>
      </w:r>
    </w:p>
    <w:p>
      <w:pPr/>
      <w:r>
        <w:rPr>
          <w:b/>
        </w:rPr>
        <w:t>POSSIBLE 2026:</w:t>
      </w:r>
      <w:r>
        <w:t xml:space="preserve"> Stranded assets in European agriculture during food system transformations — https://doi.org/10.1038/s43016-025-01283-z</w:t>
      </w:r>
    </w:p>
    <w:p>
      <w:pPr/>
      <w:r>
        <w:rPr>
          <w:b/>
        </w:rPr>
        <w:t>Shared claim-specific concepts:</w:t>
      </w:r>
      <w:r>
        <w:t xml:space="preserve"> eu27, consumption, production, food; EU scope visible. This is a provisional connection, not an outcome finding.</w:t>
      </w:r>
    </w:p>
    <w:p>
      <w:pPr>
        <w:pStyle w:val="SourceNote"/>
      </w:pPr>
      <w:r>
        <w:rPr>
          <w:b/>
        </w:rPr>
        <w:t>Available abstract (not full text):</w:t>
      </w:r>
      <w:r>
        <w:t xml:space="preserve"> Dietary shifts, particularly reduced animal-sourced food (ASF) consumption in high-income countries, risk stranding substantial ASF-related assets. Linking agricultural and economic data to global multi-regional input-output models, we show that ASF assets represent 78% of EU27 + UK fixed agricultural assets, with €158 billion linked to livestock and €100 billion to feed production. We estimate that ASF reductions in EU27 + UK consumption of 9.5%, 60% and 100% could strand 18%, 50% and 77% of these assets, respectively. Current depreciation rates suggest there is generally sufficient time to phase out assets, offering pathways to limit stranding. Policy- and climate-induced stranding risks are intertwined and should both be incorporated into financial modelling as overlapping transition pressures. Given food producers' high exposure to stranding risks cascade throughout supply chains, integrated policy support to repurpose or phase out ASF-related assets is essential to avoid delays in sustainable food system transformations.</w:t>
      </w:r>
    </w:p>
    <w:p>
      <w:pPr/>
      <w:r>
        <w:rPr>
          <w:b/>
        </w:rPr>
        <w:t>POSSIBLE 2026:</w:t>
      </w:r>
      <w:r>
        <w:t xml:space="preserve"> Assessing the environmental impacts of livestock products in Europe: A consequential life cycle assessment — https://doi.org/10.1016/j.cesys.2026.100510</w:t>
      </w:r>
    </w:p>
    <w:p>
      <w:pPr/>
      <w:r>
        <w:rPr>
          <w:b/>
        </w:rPr>
        <w:t>Shared claim-specific concepts:</w:t>
      </w:r>
      <w:r>
        <w:t xml:space="preserve"> production, products, land; EU scope visible. This is a provisional connection, not an outcome finding.</w:t>
      </w:r>
    </w:p>
    <w:p>
      <w:pPr>
        <w:pStyle w:val="SourceNote"/>
      </w:pPr>
      <w:r>
        <w:rPr>
          <w:b/>
        </w:rPr>
        <w:t>Available abstract (not full text):</w:t>
      </w:r>
      <w:r>
        <w:t xml:space="preserve"> Livestock products provide key nutrients difficult to obtain from plants, support the rural economy but have significant environmental impacts. Assessing their cradle-to-grave effects is complex due to extensive market interactions of the livestock production systems coproducts. Consequential LCA (cLCA) incorporates market changes in the value chain environmental assessment. This paper presents a cLCA for several livestock products from various production systems across Europe. Beef showed the highest GWP100 climate change impact (25.0–29.0 kg CO 2 eq per 100 g protein and 2.98–3.46 kg CO 2 eq per €), while the impact of dairy, pork, and poultry products was much smaller (2.13–7.68 kg CO 2 eq per 100 g protein and 0.348–1.2 kg CO 2 eq per €). Specific impact rankings depend on assumptions on land use change and product substitution (e.g., beef vs. dairy cattle). Per hectare, the climate impact of beef was comparable to pork and poultry (5.24–6.63 tonne CO 2 eq per ha-year for beef, 5.11–6.31 tonne CO 2 eq per ha-year for pork, and 4.12–7.12 tonne CO 2 eq per ha-year for poultry products), while dairy varied widely (-2790 – 167 tonne CO 2 eq per ha-year for dairy) due to consequential effects on land occupation. The impact categories acidification and marine/terrestrial eutrophication showed similar patterns as climate change, but freshwater eutrophication and water use showed d</w:t>
      </w:r>
    </w:p>
    <w:p>
      <w:pPr/>
      <w:r>
        <w:rPr>
          <w:b/>
        </w:rPr>
        <w:t>POSSIBLE 2026:</w:t>
      </w:r>
      <w:r>
        <w:t xml:space="preserve"> Environmental impacts from European food consumption can be reduced with carbon pricing or a value-added tax reform — https://doi.org/10.1038/s43016-025-01284-y</w:t>
      </w:r>
    </w:p>
    <w:p>
      <w:pPr/>
      <w:r>
        <w:rPr>
          <w:b/>
        </w:rPr>
        <w:t>Shared claim-specific concepts:</w:t>
      </w:r>
      <w:r>
        <w:t xml:space="preserve"> eu27, consumption, products, food, land; EU scope visible. This is a provisional connection, not an outcome finding.</w:t>
      </w:r>
    </w:p>
    <w:p>
      <w:pPr>
        <w:pStyle w:val="SourceNote"/>
      </w:pPr>
      <w:r>
        <w:rPr>
          <w:b/>
        </w:rPr>
        <w:t>Available abstract (not full text):</w:t>
      </w:r>
      <w:r>
        <w:t xml:space="preserve"> Abstract Food consumption generates significant environmental externalities that remain insufficiently addressed by public policies. This paper explores the global environmental footprints induced by food consumption in the European Union (EU27) based on a multi-regional input-output model and assesses the potential of tax policies for mitigation. Using household expenditure data, we estimate country-specific demand systems on food products and link these to the footprints for the policy analysis. We find that removing current VAT reductions on meat products has the potential to decrease food consumption-related greenhouse gas (GHG) emissions, water consumption, land use, biodiversity loss, nitrogen and phosphorus footprints of EU27 household food consumption by 3.5 to 5.7 percent. A GHG emission price of approximately 52 EUR/tCO2eq on all food products leads to equivalent emission reductions with higher associated environmental co-benefits. Mean net welfare costs of the two policies amount to 12-26 EUR/year per household. JEL Classification: C54 , D12 , D62 , H23 , Q18 , Q56 , Q58</w:t>
      </w:r>
    </w:p>
    <w:p>
      <w:pPr/>
      <w:r>
        <w:rPr>
          <w:b/>
        </w:rPr>
        <w:t>POSSIBLE 2026:</w:t>
      </w:r>
      <w:r>
        <w:t xml:space="preserve"> The green transition at the economic-activity level among the EU27 countries — https://doi.org/10.3897/ap.10.e0043</w:t>
      </w:r>
    </w:p>
    <w:p>
      <w:pPr/>
      <w:r>
        <w:rPr>
          <w:b/>
        </w:rPr>
        <w:t>Shared claim-specific concepts:</w:t>
      </w:r>
      <w:r>
        <w:t xml:space="preserve"> eu27, pollution, health, become; EU scope not established. This is a provisional connection, not an outcome finding.</w:t>
      </w:r>
    </w:p>
    <w:p>
      <w:pPr>
        <w:pStyle w:val="SourceNote"/>
      </w:pPr>
      <w:r>
        <w:rPr>
          <w:b/>
        </w:rPr>
        <w:t>Available abstract (not full text):</w:t>
      </w:r>
      <w:r>
        <w:t xml:space="preserve"> The structural adjustment to a green economy demands that the individualeconomic activities become well-suited to the rising climate challenge. Provided that theEU countries are unable or slow to adapt, negative consequences can ensue in terms ofenvironmental degradation and declining health status of the population. That is why theinitiative for green transformation should focus initially on the activities within NACE Rev. 2that are polluting the most – these are economic activities C. Manufacturing, D. Electricity,gas, steam and air conditioning supply and H. Transportation and storage. Some evidencefor CO2 abatement in these activities is presented, though a concern for a green fatigue israised. FE model is estimated over 2008-2022 to show that the price of carbon emissionshas not contributed sufficiently to curbing the CO2 pollution. In fact, it is needed to accountfor the fact that the higher price induces a direct positive effect on the progress to the 2030target, but also an indirect negative effect engendered from the replacement of closedproduction units with similar non-ecological ones. As a fundamental pillar of the GreenDeal the technological growth is propagated through the import of new capital eased bypositive cyclical conditions. It is of paramount importance that the countries which arethe biggest polluters do more, while the countries with insufficient institu</w:t>
      </w:r>
    </w:p>
    <w:p>
      <w:pPr/>
      <w:r>
        <w:rPr>
          <w:b/>
        </w:rPr>
        <w:t>POSSIBLE 2026:</w:t>
      </w:r>
      <w:r>
        <w:t xml:space="preserve"> Left, right, or buy green? Political ideology and sustainable consumption in Europe — https://doi.org/10.9770/w3992782679</w:t>
      </w:r>
    </w:p>
    <w:p>
      <w:pPr/>
      <w:r>
        <w:rPr>
          <w:b/>
        </w:rPr>
        <w:t>Shared claim-specific concepts:</w:t>
      </w:r>
      <w:r>
        <w:t xml:space="preserve"> reducing, consumption, pollution; EU scope visible. This is a provisional connection, not an outcome finding.</w:t>
      </w:r>
    </w:p>
    <w:p>
      <w:pPr>
        <w:pStyle w:val="SourceNote"/>
      </w:pPr>
      <w:r>
        <w:rPr>
          <w:b/>
        </w:rPr>
        <w:t>Available abstract (not full text):</w:t>
      </w:r>
      <w:r>
        <w:t xml:space="preserve"> This research investigates the role of ideological self-placement in explaining Europe's sustainable consumption orientations based on two high-quality secondary datasets, namely, World Values Survey (WVS) Wave 7 and Special Eurobarometer 513/Eurobarometer 95.1.This analysis builds on confirmatory factor analysis and multilevel modeling to distinguish between moral willingness to bear private environmental costs and reported climate-relevant consumer practices.Within the WVS, we formulate a latent orientation founded on the environment-growth trade-off, as well as readiness to incur higher taxes or sacrifice income for pollution abatement; within Eurobarometer, we summarise climate-relevant household and purchase behaviours through a Green Consumer Action Index.The results show a steady ideological gradient: respondents placing further to the right report declining willingness to incur private economic costs to help the environment.The relationship remains significant after controlling for socioeconomic status and religiosity, and is partially attenuated with the control for environmental concern.Evidence from Eurobarometer corroborates this pattern by illustrating substantial uptake of cheap, low-effort actions such as recycling and reducing disposables, but much weaker uptake of expensive actions like solar panels, low-energy homes and electric cars.Cross-dataset triangulatio</w:t>
      </w:r>
    </w:p>
    <w:p>
      <w:pPr/>
      <w:r>
        <w:rPr>
          <w:b/>
        </w:rPr>
        <w:t>POSSIBLE 2026:</w:t>
      </w:r>
      <w:r>
        <w:t xml:space="preserve"> The Dynamics of Public Investment in Education and Debt Under Economic, Digital, and Sustainable Transformation in the EU27 — https://doi.org/10.3390/admsci16070317</w:t>
      </w:r>
    </w:p>
    <w:p>
      <w:pPr/>
      <w:r>
        <w:rPr>
          <w:b/>
        </w:rPr>
        <w:t>Shared claim-specific concepts:</w:t>
      </w:r>
      <w:r>
        <w:t xml:space="preserve"> eu27, consumption, human, become, increased; EU scope visible. This is a provisional connection, not an outcome finding.</w:t>
      </w:r>
    </w:p>
    <w:p>
      <w:pPr>
        <w:pStyle w:val="SourceNote"/>
      </w:pPr>
      <w:r>
        <w:rPr>
          <w:b/>
        </w:rPr>
        <w:t>Available abstract (not full text):</w:t>
      </w:r>
      <w:r>
        <w:t xml:space="preserve"> This article investigates how structural transformations—growth, development, digitalisation, renewable energy consumption, education, and economic freedom—could influence public investment in education and public debt in the EU27. This objective was achieved by taking into consideration suggestive secondary data for the period 2009–2021 and applying the Structural Equation Model (SEM), dynamic panel data (ARDL), and, for robustness, fixed effects (FE) models. Education shows the ability, in structural terms, to relax the public budget, even if, in the very short term, the mandatory education is associated with additional public investment. Growth may create conditions, in the short term, to diminish the public investment in education and to be favourable for less dependence on financial markets, regardless of the period. In contrast, human development is associated with increased investment in education in the very short and long term and with increased public debt in the short and very short term. Education can adjust investment in the sector, especially in the long term, even if tertiary education depresses public investment in the very short term. However, education, regardless of level, has a significant contribution to the economy and society, which qualifies investment in education as being strategic, and education as a sector which must be protected even in complicated </w:t>
      </w:r>
    </w:p>
    <w:p>
      <w:pPr/>
      <w:r>
        <w:rPr>
          <w:b/>
        </w:rPr>
        <w:t>POSSIBLE 2025:</w:t>
      </w:r>
      <w:r>
        <w:t xml:space="preserve"> Circularity and Climate Mitigation in the EU27: An Elasticity-Based Scenario Analysis to 2050 — https://doi.org/10.3390/su172411375</w:t>
      </w:r>
    </w:p>
    <w:p>
      <w:pPr/>
      <w:r>
        <w:rPr>
          <w:b/>
        </w:rPr>
        <w:t>Shared claim-specific concepts:</w:t>
      </w:r>
      <w:r>
        <w:t xml:space="preserve"> eu27, consumption, increased; EU scope not established. This is a provisional connection, not an outcome finding.</w:t>
      </w:r>
    </w:p>
    <w:p>
      <w:pPr>
        <w:pStyle w:val="SourceNote"/>
      </w:pPr>
      <w:r>
        <w:rPr>
          <w:b/>
        </w:rPr>
        <w:t>Available abstract (not full text):</w:t>
      </w:r>
      <w:r>
        <w:t xml:space="preserve"> This study quantifies the decarbonisation potential of enhanced material circularity in the EU27 by integrating material flow data with elasticity-based emissions modelling. Using panel regression and logarithmic mean Divisia index (LMDI) decomposition, we evaluate the influence of recycling rate acceleration and material intensity decline on material-embedded emissions over the 2015–2022 period. The findings indicate that although recycling rates increased by 42% during this time, virgin materials remain re-sponsible for over 97% of emissions. Decomposition results reveal that intensity im-provements (−0.867 ln units) offset most of the upward pressure from growing materi-al demand and shifting composition. Scenario projections to 2050, based on empirically derived elasticities, show that aggressive circular economy pathways can reduce emis-sions by over 90%, while baseline policies fall short of net-zero targets. Sensitivity analysis confirms that policy ambition dominates parameter uncertainty in shaping future emissions trajectories. The study highlights the critical role of combined de-mand-side and supply-side measures in aligning material consumption with climate goals.</w:t>
      </w:r>
    </w:p>
    <w:p>
      <w:pPr/>
      <w:r>
        <w:rPr>
          <w:b/>
        </w:rPr>
        <w:t>POSSIBLE 2025:</w:t>
      </w:r>
      <w:r>
        <w:t xml:space="preserve"> Trends within Sustainability in Food Loss and Waste in EU27 Countries — https://doi.org/10.2478/crdj-2025-0003</w:t>
      </w:r>
    </w:p>
    <w:p>
      <w:pPr/>
      <w:r>
        <w:rPr>
          <w:b/>
        </w:rPr>
        <w:t>Shared claim-specific concepts:</w:t>
      </w:r>
      <w:r>
        <w:t xml:space="preserve"> eu27, reducing, consumption, production, food, land; EU scope visible. This is a provisional connection, not an outcome finding.</w:t>
      </w:r>
    </w:p>
    <w:p>
      <w:pPr>
        <w:pStyle w:val="SourceNote"/>
      </w:pPr>
      <w:r>
        <w:rPr>
          <w:b/>
        </w:rPr>
        <w:t>Available abstract (not full text):</w:t>
      </w:r>
      <w:r>
        <w:t xml:space="preserve"> Abstract One third of today’s global food production ends up uneaten. In the European Union, more than 100 kilograms of food waste per capita are generated annually across retail, food services, and households. In addition to being unethical, wasting food is environmentally harmful and economically irrational. Reducing food waste would significantly contribute to protecting and more rationally using rare natural resources (water, land, forests) in agricultural production, lowering waste and related greenhouse gas emissions, and supporting a successful transition to organic agriculture and the restoration of biodiversity. Better utilisation of produced food would lower production costs and stabilise food prices, while also strengthening the population’s food security and reducing nutrition costs. The purpose of the paper is to critically review the progress (or lack thereof) made by the European Union and its Member States, tracked for the period from 2020 to 2022, according to available relevant data and sources, such as food waste per capita, food waste sector of activities and consumption footprint per inhabitant. We provide recommendations on technological, organisational, managerial, and social value changes to achieve more sustainable food waste management.</w:t>
      </w:r>
    </w:p>
    <w:p>
      <w:pPr/>
      <w:r>
        <w:rPr>
          <w:b/>
        </w:rPr>
        <w:t>POSSIBLE 2025:</w:t>
      </w:r>
      <w:r>
        <w:t xml:space="preserve"> Research Performance on the UN Sustainable Development Goals in the EU27 (2019–2023) — https://doi.org/10.3390/admsci15090361</w:t>
      </w:r>
    </w:p>
    <w:p>
      <w:pPr/>
      <w:r>
        <w:rPr>
          <w:b/>
        </w:rPr>
        <w:t>Shared claim-specific concepts:</w:t>
      </w:r>
      <w:r>
        <w:t xml:space="preserve"> eu27, consumption, production, health; EU scope visible. This is a provisional connection, not an outcome finding.</w:t>
      </w:r>
    </w:p>
    <w:p>
      <w:pPr>
        <w:pStyle w:val="SourceNote"/>
      </w:pPr>
      <w:r>
        <w:rPr>
          <w:b/>
        </w:rPr>
        <w:t>Available abstract (not full text):</w:t>
      </w:r>
      <w:r>
        <w:t xml:space="preserve"> The increasing urgency of global sustainability challenges has elevated the role of the United Nations Sustainable Development Goals (SDGs) as benchmarks for both academic research and policy development. Within the European Union, measuring how national research systems contribute to SDG-related knowledge is critical for guiding evidence-based policymaking and evaluating progress toward the 2030 Agenda. Since the adoption of the UN 2030 Agenda, research related to the Sustainable Development Goals (SDGs) has expanded significantly, reflecting their central role in guiding both global and European science policy. Despite this growing attention, systematic comparative evidence on how EU27 countries contribute to SDG-related knowledge production remains limited. This study provides a bibliometric analysis of research related to the SDGs across EU27 countries between 2019 and 2023. Drawing on data from Elsevier’s Scopus and SciVal platforms, we examine publication volume, relative share (RS), citation impact (FWCI), growth dynamics (CAGR), and thematic distributions. The dataset includes all document types associated with SDG1–SDG16. Germany, Italy, and France lead in absolute publication output, while smaller member states such as Cyprus, Malta, and Luxembourg display disproportionately high RS values. Health-related research (SDG3) dominates, followed by SDG7 (Affordable and Cle</w:t>
      </w:r>
    </w:p>
    <w:p>
      <w:pPr/>
      <w:r>
        <w:rPr>
          <w:b/>
        </w:rPr>
        <w:t>POSSIBLE 2025:</w:t>
      </w:r>
      <w:r>
        <w:t xml:space="preserve"> The Role of Aquaculture and Fisheries in EU27 Food Security: A Comparative Analysis of EU13 and EU14 States — https://doi.org/10.46989/001c.140761</w:t>
      </w:r>
    </w:p>
    <w:p>
      <w:pPr/>
      <w:r>
        <w:rPr>
          <w:b/>
        </w:rPr>
        <w:t>Shared claim-specific concepts:</w:t>
      </w:r>
      <w:r>
        <w:t xml:space="preserve"> eu27, production, products, allows, food; EU scope visible. This is a provisional connection, not an outcome finding.</w:t>
      </w:r>
    </w:p>
    <w:p>
      <w:pPr>
        <w:pStyle w:val="SourceNote"/>
      </w:pPr>
      <w:r>
        <w:rPr>
          <w:b/>
        </w:rPr>
        <w:t>Available abstract (not full text):</w:t>
      </w:r>
      <w:r>
        <w:t xml:space="preserve"> Ocean-sourced foods are essential for providing food security, putting an end to starvation, and building healthy, environmentally friendly, and resilient food systems. Still, it is important to keep these in mind while discussing food. More money was made for developing countries by exporting blue foods than by exporting any other agricultural products combined. The European Union Region (EU27) has countries with diverse economic structures, from highly developed industrial economies in older members to those in Central and Eastern Europe still catching up. Splitting them allows for in-depth study of economic structures, models, and growth mechanisms, and can inform targeted policy recommendations for growth and convergence. The core objective of this study is to analyse how aquaculture and fisheries production impact food security in the EU2 members based on their economic structure development; European Union Developing State (EU13) and European Union Developed State (EU14) countries from 1990 to 2023. To address potential endogeneity issues, robust least squares (RLS), two-stage least squares (2SLS), and ordinary least squares (OLS) estimators were employed, leading to significant findings. The findings confirm the existing knowledge and indicate that the role of aquaculture and fisheries production in ensuring food security is more pronounced in developing EU13 countries c</w:t>
      </w:r>
    </w:p>
    <w:p>
      <w:pPr/>
      <w:r>
        <w:rPr>
          <w:b/>
        </w:rPr>
        <w:t>POSSIBLE 2025:</w:t>
      </w:r>
      <w:r>
        <w:t xml:space="preserve"> Economic performance and energy management - cross-sectional analysis and comparison for EU27 member states — https://doi.org/10.15196/rs150605</w:t>
      </w:r>
    </w:p>
    <w:p>
      <w:pPr/>
      <w:r>
        <w:rPr>
          <w:b/>
        </w:rPr>
        <w:t>Shared claim-specific concepts:</w:t>
      </w:r>
      <w:r>
        <w:t xml:space="preserve"> eu27, consumption, production; EU scope visible. This is a provisional connection, not an outcome finding.</w:t>
      </w:r>
    </w:p>
    <w:p>
      <w:pPr>
        <w:pStyle w:val="SourceNote"/>
      </w:pPr>
      <w:r>
        <w:rPr>
          <w:b/>
        </w:rPr>
        <w:t>Available abstract (not full text):</w:t>
      </w:r>
      <w:r>
        <w:t xml:space="preserve"> The European Union's climate neutrality ambitions pose significant challenges for member states in terms of energy production, consumption and greenhouse gas emissions. The 2030 targets set out packages of measures that provide both a justification and a timely opportunity to explore the relationship between economic performance and certain indicators of energy management, with a view to answering the question of how the relationship between the different variables has evolved over time: have we seen a structural change or is the change more gradual? To this end, the present study examines the relationship between the relevant indicators (GDP, energy production/use, greenhouse gas emissions) of the 27 EU member states using multivariate statistical methods for the year 2012 and compares it with data from an analysis already carried out for the year 2022 (Erőss et al. 2025). In addition to presenting the changes identified using descriptive statistical tools, the study will use correlation analysis to assess the relationship between the individual indicators and principal component analysis to identify the key factors that play a role in the evolution of each variable. Finally, the authors use cluster analysis to highlight the changes that have taken place over the 10 years, by showing the differences between the country groupings. The results of the research do not show signifi</w:t>
      </w:r>
    </w:p>
    <w:p>
      <w:pPr/>
      <w:r>
        <w:rPr>
          <w:b/>
        </w:rPr>
        <w:t>POSSIBLE 2023:</w:t>
      </w:r>
      <w:r>
        <w:t xml:space="preserve"> RETRACTED: Assessment of Building Materials in the European Residential Building Stock: An Analysis at EU27 Level — https://doi.org/10.3390/su15118840</w:t>
      </w:r>
    </w:p>
    <w:p>
      <w:pPr/>
      <w:r>
        <w:rPr>
          <w:b/>
        </w:rPr>
        <w:t>Shared claim-specific concepts:</w:t>
      </w:r>
      <w:r>
        <w:t xml:space="preserve"> eu27, reducing, consumption; EU scope visible. This is a provisional connection, not an outcome finding.</w:t>
      </w:r>
    </w:p>
    <w:p>
      <w:pPr>
        <w:pStyle w:val="SourceNote"/>
      </w:pPr>
      <w:r>
        <w:rPr>
          <w:b/>
        </w:rPr>
        <w:t>Available abstract (not full text):</w:t>
      </w:r>
      <w:r>
        <w:t xml:space="preserve"> Reducing greenhouse gas (GHG) emissions and energy consumption in the building sector requires not only improving the energy efficiency of buildings but also minimising material requirements, embodied emissions, and waste generation. Circular Economy (CE) principles can be applied to minimize resource extraction and waste generation in the building industry. However, to implement effective CE strategies, quantification and evaluation of materials accumulated in buildings are required. This study aims to provide accurate data and a detailed analysis of the materials available in the EU27 residential building sector. By elaborating the data provided by the H2020 European projects Hotmaps and AmBIENCe, the different materials used for floors, roofs, walls, windows, and insulation layers in single-family houses, multifamily houses, and apartment blocks in the different construction periods were quantified for each EU27 country. Considering results at the EU27 level, concrete and brick characterize the largest part of the European residential building stock, whereas materials such as wood and different types of rock are used in much more limited amounts. These results form the basis for policymakers to monitor the status of the residential building sector, evaluate the potential of CE policies at a national level, and assess the environmental impact of building practices through lif</w:t>
      </w:r>
    </w:p>
    <w:p>
      <w:pPr>
        <w:pStyle w:val="Heading2"/>
      </w:pPr>
      <w:r>
        <w:t>893. Predicting Future European Breeding Distributions of British Seabird Species under Climate Change and Unlimited/No Dispersal Scenarios</w:t>
      </w:r>
    </w:p>
    <w:p>
      <w:pPr>
        <w:pStyle w:val="SourceNote"/>
      </w:pPr>
      <w:r>
        <w:rPr>
          <w:b/>
        </w:rPr>
        <w:t>Original source (2015):</w:t>
      </w:r>
      <w:r>
        <w:t xml:space="preserve"> https://doi.org/10.3390/d7040342</w:t>
      </w:r>
    </w:p>
    <w:p>
      <w:pPr/>
      <w:r>
        <w:t>Original wording (abstract; indexed_source_text_not_full_document_verified): Here, we combine climate envelope models with predicted bioclimatic data from two emission scenarios leading up to 2100, to predict European breeding distributions of 23 seabird species that currently breed in the British Isles. More globally, the results indicate, based on foraging ecology, which seabird species are likely to be most affected by climatic change.</w:t>
      </w:r>
    </w:p>
    <w:p>
      <w:pPr/>
      <w:r>
        <w:rPr>
          <w:b/>
        </w:rPr>
        <w:t>POSSIBLE 2026:</w:t>
      </w:r>
      <w:r>
        <w:t xml:space="preserve"> Combining different views on internal climate variability of temperature over Europe — https://doi.org/10.5194/egusphere-2026-1341</w:t>
      </w:r>
    </w:p>
    <w:p>
      <w:pPr/>
      <w:r>
        <w:rPr>
          <w:b/>
        </w:rPr>
        <w:t>Shared claim-specific concepts:</w:t>
      </w:r>
      <w:r>
        <w:t xml:space="preserve"> climate, data, based; EU scope visible. This is a provisional connection, not an outcome finding.</w:t>
      </w:r>
    </w:p>
    <w:p>
      <w:pPr>
        <w:pStyle w:val="SourceNote"/>
      </w:pPr>
      <w:r>
        <w:rPr>
          <w:b/>
        </w:rPr>
        <w:t>Available abstract (not full text):</w:t>
      </w:r>
      <w:r>
        <w:t xml:space="preserve"> Abstract. Internal climate variability (ICV) estimates provide a useful benchmark for assessing climate model performance and the emergence of anthropogenically forced climate change. This study aims to quantify the magnitude of ICV using different types of data, representing both Earth System Model simulations and observation-based datasets. We focus on seasonal mean near surface air temperature over Europe utilizing different methodological approaches: assessment of variability inferred from pre-industrial control simulations, spread of a single-model initial-condition large ensemble, separation of uncertainty sources in CMIP6 transient simulations, and forcing attribution in observed time series. Across all methods and datasets, we found that ICV estimates decrease during the seasonal course from winter to autumn and spatially from north-eastern to south-western Europe. By comparing the results of the historical and scenario simulations of the large ensemble and selected CMIP6 models, we conclude that European ICV generally decreases under anthropogenically forced climate change. Moreover, our study suggests that applying ICV estimates as a benchmark for assessing regional climate simulations over Europe should be approached with caution. The estimate based on the pre-industrial control simulations offers an advantage since the simulations are not influenced by external forc</w:t>
      </w:r>
    </w:p>
    <w:p>
      <w:pPr/>
      <w:r>
        <w:rPr>
          <w:b/>
        </w:rPr>
        <w:t>POSSIBLE 2026:</w:t>
      </w:r>
      <w:r>
        <w:t xml:space="preserve"> Combining different views on internal climate variability of temperature over Europe — https://doi.org/10.5194/egusphere-egu26-5489</w:t>
      </w:r>
    </w:p>
    <w:p>
      <w:pPr/>
      <w:r>
        <w:rPr>
          <w:b/>
        </w:rPr>
        <w:t>Shared claim-specific concepts:</w:t>
      </w:r>
      <w:r>
        <w:t xml:space="preserve"> here, climate, data; EU scope visible. This is a provisional connection, not an outcome finding.</w:t>
      </w:r>
    </w:p>
    <w:p>
      <w:pPr>
        <w:pStyle w:val="SourceNote"/>
      </w:pPr>
      <w:r>
        <w:rPr>
          <w:b/>
        </w:rPr>
        <w:t>Available abstract (not full text):</w:t>
      </w:r>
      <w:r>
        <w:t xml:space="preserve"> Internal climate variability (ICV) is an important source of climate change projections uncertainty. The estimate of ICV can serve as a useful benchmark for assessing climate model performance and the emergence of anthropogenically forced climate change. Nevertheless, estimating the magnitude of ICV is challenging, especially on a regional scale. The ICV itself is state-dependent, which further complicates the assessment under transient climate change conditions. This study aims to quantify the magnitude of ICV using different types of data, i.e., earth system model simulations and observation-based datasets. We focus here on seasonal mean temperature over Europe and confront different methodological approaches: comparison of variability inferred from pre-industrial control simulations with the spread of single-model initial-condition large ensemble, separation of uncertainty sources in CMIP6 transient simulations, and forcing attribution in observed time series. In case of the large ensemble data, we also pay attention to the temporal development of ICV magnitude under changing external forcing.</w:t>
      </w:r>
    </w:p>
    <w:p>
      <w:pPr/>
      <w:r>
        <w:rPr>
          <w:b/>
        </w:rPr>
        <w:t>POSSIBLE 2025:</w:t>
      </w:r>
      <w:r>
        <w:t xml:space="preserve"> Combining Hierarchical Distribution Models With Dispersal Simulations to Predict the Spread of Invasive Plant Species — https://doi.org/10.1111/geb.70026</w:t>
      </w:r>
    </w:p>
    <w:p>
      <w:pPr/>
      <w:r>
        <w:rPr>
          <w:b/>
        </w:rPr>
        <w:t>Shared claim-specific concepts:</w:t>
      </w:r>
      <w:r>
        <w:t xml:space="preserve"> here, climate, predicted, data, predict, species; EU scope visible. This is a provisional connection, not an outcome finding.</w:t>
      </w:r>
    </w:p>
    <w:p>
      <w:pPr>
        <w:pStyle w:val="SourceNote"/>
      </w:pPr>
      <w:r>
        <w:rPr>
          <w:b/>
        </w:rPr>
        <w:t>Available abstract (not full text):</w:t>
      </w:r>
      <w:r>
        <w:t xml:space="preserve"> ABSTRACT Aim Predicting the future distribution of invasive species is a current challenge for biodiversity assessment. Species distribution models (SDMs) have long been the state‐of‐the‐art to evaluate suitable areas for new invasions, but they may be limited by truncated niches and the uncertainties of species dispersal. Here, we developed a framework based on hierarchical SDMs and dispersal simulations to predict the future distribution and spread of invasive species at the ecoregion level. Location Cantabrian Mixed Forests Ecoregion (SW Europe) with global distribution data. Time Period 1950–2063. Major Taxa Studied Vascular plants. Methods We used occurrence data from 102 invasive species to fit SDMs with machine‐learning algorithms and to simulate species dispersal. We combined habitat suitability models based on species' global climatic niches together with regional models including local variables (topography, landscape features, human activity, soil properties) in a hierarchical approach. Then, we simulated species dispersal across suitable areas over the next 40 years, considering species dispersal limitations and climate change. Results Global climatic niches retained a strong contribution in the hierarchical models, followed by local factors such as human population density, sand content and soil pH. In general, the highest suitability was predicted for warm and hum</w:t>
      </w:r>
    </w:p>
    <w:p>
      <w:pPr/>
      <w:r>
        <w:rPr>
          <w:b/>
        </w:rPr>
        <w:t>POSSIBLE 2025:</w:t>
      </w:r>
      <w:r>
        <w:t xml:space="preserve"> A European monsoon-like climate in a warmhouse world — https://doi.org/10.1038/s41467-025-64241-0</w:t>
      </w:r>
    </w:p>
    <w:p>
      <w:pPr/>
      <w:r>
        <w:rPr>
          <w:b/>
        </w:rPr>
        <w:t>Shared claim-specific concepts:</w:t>
      </w:r>
      <w:r>
        <w:t xml:space="preserve"> here, combine, climate, emission, indicate, based; EU scope visible. This is a provisional connection, not an outcome finding.</w:t>
      </w:r>
    </w:p>
    <w:p>
      <w:pPr>
        <w:pStyle w:val="SourceNote"/>
      </w:pPr>
      <w:r>
        <w:rPr>
          <w:b/>
        </w:rPr>
        <w:t>Available abstract (not full text):</w:t>
      </w:r>
      <w:r>
        <w:t xml:space="preserve"> The middle Eocene warmhouse period (45 million years ago) featured atmospheric carbon dioxide concentrations equivalent to those projected under high future emission scenarios. Seasonal- to weather timescale climate reconstructions from this period can provide critical insight into the impact of Anthropogenic warming on intra-annual variability in temperature and precipitation. Here, we combine daily-scale reconstructions of the evolution of temperature and the water cycle in western Europe based on stable oxygen and clumped isotope analyses on the fastest-growing gastropod known in the fossil record: Campanile giganteum. Our dataset shows that the middle Eocene of western Europe featured monsoon-like conditions, with seawater temperatures of ~24 °C during mild and wet winters, &gt;30 °C during hot and dry spring and autumn seasons, and ~28 °C during warm and comparatively wet summers. Coupled climate model simulations using the Community Earth System Model indicate these seasonal variations in temperature and precipitation were driven by shifting atmospheric and oceanic circulation regimes over Western Europe, with winds from different directions bringing distinct waters to the region and minimal wind during spring reducing cooling through diminished latent heat flux. Our results highlight that Europe may experience wetter summers with more frequent extreme rainfall events under </w:t>
      </w:r>
    </w:p>
    <w:p>
      <w:pPr/>
      <w:r>
        <w:rPr>
          <w:b/>
        </w:rPr>
        <w:t>POSSIBLE 2024:</w:t>
      </w:r>
      <w:r>
        <w:t xml:space="preserve"> A unifying modelling of multiple land degradation pathways in Europe — https://doi.org/10.1038/s41467-024-48252-x</w:t>
      </w:r>
    </w:p>
    <w:p>
      <w:pPr/>
      <w:r>
        <w:rPr>
          <w:b/>
        </w:rPr>
        <w:t>Shared claim-specific concepts:</w:t>
      </w:r>
      <w:r>
        <w:t xml:space="preserve"> here, two, currently; EU scope visible. This is a provisional connection, not an outcome finding.</w:t>
      </w:r>
    </w:p>
    <w:p>
      <w:pPr>
        <w:pStyle w:val="SourceNote"/>
      </w:pPr>
      <w:r>
        <w:rPr>
          <w:b/>
        </w:rPr>
        <w:t>Available abstract (not full text):</w:t>
      </w:r>
      <w:r>
        <w:t xml:space="preserve"> Abstract Land degradation is a complex socio-environmental threat, which generally occurs as multiple concurrent pathways that remain largely unexplored in Europe. Here we present an unprecedented analysis of land multi-degradation in 40 continental countries, using twelve dataset-based processes that were modelled as land degradation convergence and combination pathways in Europe’s agricultural (and arable) environments. Using a Land Multi-degradation Index, we find that up to 27%, 35% and 22% of continental agricultural (~2 million km 2 ) and arable (~1.1 million km 2 ) lands are currently threatened by one, two, and three drivers of degradation, while 10–11% of pan-European agricultural/arable landscapes are cumulatively affected by four and at least five concurrent processes. We also explore the complex pattern of spatially interacting processes, emphasizing the major combinations of land degradation pathways across continental and national boundaries. Our results will enable policymakers to develop knowledge-based strategies for land degradation mitigation and other critical European sustainable development goals.</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here, climate, leading, predict, based;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2023:</w:t>
      </w:r>
      <w:r>
        <w:t xml:space="preserve"> Predictive performance of multi-model ensemble forecasts of COVID-19 across European nations — https://doi.org/10.7554/elife.81916</w:t>
      </w:r>
    </w:p>
    <w:p>
      <w:pPr/>
      <w:r>
        <w:rPr>
          <w:b/>
        </w:rPr>
        <w:t>Shared claim-specific concepts:</w:t>
      </w:r>
      <w:r>
        <w:t xml:space="preserve"> here, data, globally, based; EU scope visible. This is a provisional connection, not an outcome finding.</w:t>
      </w:r>
    </w:p>
    <w:p>
      <w:pPr>
        <w:pStyle w:val="SourceNote"/>
      </w:pPr>
      <w:r>
        <w:rPr>
          <w:b/>
        </w:rPr>
        <w:t>Available abstract (not full text):</w:t>
      </w:r>
      <w:r>
        <w:t xml:space="preserve"> Background: Short-term forecasts of infectious disease burden can contribute to situational awareness and aid capacity planning. Based on best practice in other fields and recent insights in infectious disease epidemiology, one can maximise the predictive performance of such forecasts if multiple models are combined into an ensemble. Here, we report on the performance of ensembles in predicting COVID-19 cases and deaths across Europe between 08 March 2021 and 07 March 2022. Methods: We used open-source tools to develop a public European COVID-19 Forecast Hub. We invited groups globally to contribute weekly forecasts for COVID-19 cases and deaths reported by a standardised source for 32 countries over the next 1-4 weeks. Teams submitted forecasts from March 2021 using standardised quantiles of the predictive distribution. Each week we created an ensemble forecast, where each predictive quantile was calculated as the equally-weighted average (initially the mean and then from 26th July the median) of all individual models' predictive quantiles. We measured the performance of each model using the relative Weighted Interval Score (WIS), comparing models' forecast accuracy relative to all other models. We retrospectively explored alternative methods for ensemble forecasts, including weighted averages based on models' past predictive performance. Results: Over 52 weeks, we collected f</w:t>
      </w:r>
    </w:p>
    <w:p>
      <w:pPr/>
      <w:r>
        <w:rPr>
          <w:b/>
        </w:rPr>
        <w:t>POSSIBLE 2023:</w:t>
      </w:r>
      <w:r>
        <w:t xml:space="preserve"> Predicting the distribution of Ixodes ricinus and Dermacentor reticulatus in Europe: a comparison of climate niche modelling approaches — https://doi.org/10.1186/s13071-023-05959-y</w:t>
      </w:r>
    </w:p>
    <w:p>
      <w:pPr/>
      <w:r>
        <w:rPr>
          <w:b/>
        </w:rPr>
        <w:t>Shared claim-specific concepts:</w:t>
      </w:r>
      <w:r>
        <w:t xml:space="preserve"> here, climate, bioclimatic, data, two, predict; EU scope visible. This is a provisional connection, not an outcome finding.</w:t>
      </w:r>
    </w:p>
    <w:p>
      <w:pPr>
        <w:pStyle w:val="SourceNote"/>
      </w:pPr>
      <w:r>
        <w:rPr>
          <w:b/>
        </w:rPr>
        <w:t>Available abstract (not full text):</w:t>
      </w:r>
      <w:r>
        <w:t xml:space="preserve"> BACKGROUND: The ticks Ixodes ricinus and Dermacentor reticulatus are two of the most important vectors in Europe. Climate niche modelling has been used in many studies to attempt to explain their distribution and to predict changes under a range of climate change scenarios. The aim of this study was to assess the ability of different climate niche modelling approaches to explain the known distribution of I. ricinus and D. reticulatus in Europe. METHODS: A series of climate niche models, using different combinations of input data, were constructed and assessed. Species occurrence records obtained from systematic literature searches and Global Biodiversity Information Facility data were thinned to different degrees to remove sampling spatial bias. Four sources of climate data were used: bioclimatic variables, WorldClim, TerraClimate and MODIS satellite-derived data. Eight different model training extents were examined and three modelling frameworks were used: maximum entropy, generalised additive models and random forest models. The results were validated through internal cross-validation, comparison with an external independent dataset and expert opinion. RESULTS: The performance metrics and predictive ability of the different modelling approaches varied significantly within and between each species. Different combinations were better able to define the distribution of each of t</w:t>
      </w:r>
    </w:p>
    <w:p>
      <w:pPr/>
      <w:r>
        <w:rPr>
          <w:b/>
        </w:rPr>
        <w:t>POSSIBLE 2023:</w:t>
      </w:r>
      <w:r>
        <w:t xml:space="preserve"> The Capability of Deep Learning Model to Predict Ozone Across Continents in China, the United States and Europe — https://doi.org/10.1029/2023gl104928</w:t>
      </w:r>
    </w:p>
    <w:p>
      <w:pPr/>
      <w:r>
        <w:rPr>
          <w:b/>
        </w:rPr>
        <w:t>Shared claim-specific concepts:</w:t>
      </w:r>
      <w:r>
        <w:t xml:space="preserve"> here, data, predict, indicate; EU scope visible. This is a provisional connection, not an outcome finding.</w:t>
      </w:r>
    </w:p>
    <w:p>
      <w:pPr>
        <w:pStyle w:val="SourceNote"/>
      </w:pPr>
      <w:r>
        <w:rPr>
          <w:b/>
        </w:rPr>
        <w:t>Available abstract (not full text):</w:t>
      </w:r>
      <w:r>
        <w:t xml:space="preserve"> Abstract Data‐driven methods have been extensively applied to predict atmospheric compositions. Here, we explore the capability of a deep learning (DL) model to make ozone (O3) predictions across continents in China, the United States (US) and Europe. The DL model was trained and validated with surface O3 observations in China and the US in 2015–2018. The DL model was applied to predict hourly surface O3 over three continents in 2015–2022. Compared to baseline simulations using GEOS‐Chem (GC) model, our analysis exhibits mean biases of 2.6 and 4.8 μg/m3 with correlation coefficients of 0.94 and 0.93 (DL); and mean biases of 3.7 and 5.4 μg/m3 with correlation coefficients of 0.95 and 0.92 (GC) in Europe in 2015–2018 and 2019–2022, respectively. The comparable performances between DL and GC indicate the potential of DL to make reliable predictions over spatial and temporal domains where a wealth of local observations for training is not available.</w:t>
      </w:r>
    </w:p>
    <w:p>
      <w:pPr/>
      <w:r>
        <w:rPr>
          <w:b/>
        </w:rPr>
        <w:t>POSSIBLE 2022:</w:t>
      </w:r>
      <w:r>
        <w:t xml:space="preserve"> Trade‐Offs for Climate‐Smart Forestry in Europe Under Uncertain Future Climate — https://doi.org/10.1029/2022ef002796</w:t>
      </w:r>
    </w:p>
    <w:p>
      <w:pPr/>
      <w:r>
        <w:rPr>
          <w:b/>
        </w:rPr>
        <w:t>Shared claim-specific concepts:</w:t>
      </w:r>
      <w:r>
        <w:t xml:space="preserve"> here, climate, emission; EU scope visible. This is a provisional connection, not an outcome finding.</w:t>
      </w:r>
    </w:p>
    <w:p>
      <w:pPr>
        <w:pStyle w:val="SourceNote"/>
      </w:pPr>
      <w:r>
        <w:rPr>
          <w:b/>
        </w:rPr>
        <w:t>Available abstract (not full text):</w:t>
      </w:r>
      <w:r>
        <w:t xml:space="preserve"> Abstract Forests mitigate climate change by storing carbon and reducing emissions via substitution effects of wood products. Additionally, they provide many other important ecosystem services (ESs), but are vulnerable to climate change; therefore, adaptation is necessary. Climate‐smart forestry combines mitigation with adaptation, whilst facilitating the provision of many ESs. This is particularly challenging due to large uncertainties about future climate. Here, we combined ecosystem modeling with robust multi‐criteria optimization to assess how the provision of various ESs (climate change mitigation, timber provision, local cooling, water availability, and biodiversity habitat) can be guaranteed under a broad range of climate futures across Europe. Our optimized portfolios contain 29% unmanaged forests, and implicate a successive conversion of 34% of coniferous to broad‐leaved forests (11% vice versa). Coppices practically vanish from Southern Europe, mainly due to their high water requirement. We find the high shares of unmanaged forests necessary to keep European forests a carbon sink while broad‐leaved and unmanaged forests contribute to local cooling through biogeophysical effects. Unmanaged forests also pose the largest benefit for biodiversity habitat. However, the increased shares of unmanaged and broad‐leaved forests lead to reductions in harvests. This raises the que</w:t>
      </w:r>
    </w:p>
    <w:p>
      <w:pPr/>
      <w:r>
        <w:rPr>
          <w:b/>
        </w:rPr>
        <w:t>POSSIBLE 2022:</w:t>
      </w:r>
      <w:r>
        <w:t xml:space="preserve"> Predictive performance of multi-model ensemble forecasts of COVID-19 across European nations — https://doi.org/10.1101/2022.06.16.22276024</w:t>
      </w:r>
    </w:p>
    <w:p>
      <w:pPr/>
      <w:r>
        <w:rPr>
          <w:b/>
        </w:rPr>
        <w:t>Shared claim-specific concepts:</w:t>
      </w:r>
      <w:r>
        <w:t xml:space="preserve"> here, data, two, globally, based; EU scope visible. This is a provisional connection, not an outcome finding.</w:t>
      </w:r>
    </w:p>
    <w:p>
      <w:pPr>
        <w:pStyle w:val="SourceNote"/>
      </w:pPr>
      <w:r>
        <w:rPr>
          <w:b/>
        </w:rPr>
        <w:t>Available abstract (not full text):</w:t>
      </w:r>
      <w:r>
        <w:t xml:space="preserve"> Abstract Background Short-term forecasts of infectious disease burden can contribute to situational awareness and aid capacity planning. Based on best practice in other fields and recent insights in infectious disease epidemiology, one can maximise the predictive performance of such forecasts if multiple models are combined into an ensemble. Here we report on the performance of ensembles in predicting COVID-19 cases and deaths across Europe between 08 March 2021 and 07 March 2022. Methods We used open-source tools to develop a public European COVID-19 Forecast Hub. We invited groups globally to contribute weekly forecasts for COVID-19 cases and deaths reported from a standardised source over the next one to four weeks. Teams submitted forecasts from March 2021 using standardised quantiles of the predictive distribution. Each week we created an ensemble forecast, where each predictive quantile was calculated as the equally-weighted average (initially the mean and then from 26th July the median) of all individual models’ predictive quantiles. We measured the performance of each model using the relative Weighted Interval Score (WIS), comparing models’ forecast accuracy relative to all other models. We retrospectively explored alternative methods for ensemble forecasts, including weighted averages based on models’ past predictive performance. Results Over 52 weeks we collected and </w:t>
      </w:r>
    </w:p>
    <w:p>
      <w:pPr/>
      <w:r>
        <w:rPr>
          <w:b/>
        </w:rPr>
        <w:t>POSSIBLE 2022:</w:t>
      </w:r>
      <w:r>
        <w:t xml:space="preserve"> Predicting European cities’ climate mitigation performance using machine learning — https://doi.org/10.1038/s41467-022-35108-5</w:t>
      </w:r>
    </w:p>
    <w:p>
      <w:pPr/>
      <w:r>
        <w:rPr>
          <w:b/>
        </w:rPr>
        <w:t>Shared claim-specific concepts:</w:t>
      </w:r>
      <w:r>
        <w:t xml:space="preserve"> here, climate, data, predict; EU scope visible. This is a provisional connection, not an outcome finding.</w:t>
      </w:r>
    </w:p>
    <w:p>
      <w:pPr>
        <w:pStyle w:val="SourceNote"/>
      </w:pPr>
      <w:r>
        <w:rPr>
          <w:b/>
        </w:rPr>
        <w:t>Available abstract (not full text):</w:t>
      </w:r>
      <w:r>
        <w:t xml:space="preserve"> Although cities have risen to prominence as climate actors, emissions' data scarcity has been the primary challenge to evaluating their performance. Here we develop a scalable, replicable machine learning approach for evaluating the mitigation performance for nearly all local administrative areas in Europe from 2001-2018. By combining publicly available, spatially explicit environmental and socio-economic data with self-reported emissions data from European cities, we predict annual carbon dioxide emissions to explore trends in city-scale mitigation performance. We find that European cities participating in transnational climate initiatives have likely decreased emissions since 2001, with slightly more than half likely to have achieved their 2020 emissions reduction target. Cities who report emissions data are more likely to have achieved greater reductions than those who fail to report any data. Despite its limitations, our model provides a replicable, scalable starting point for understanding city-level climate emissions mitigation performance.</w:t>
      </w:r>
    </w:p>
    <w:p>
      <w:pPr>
        <w:pStyle w:val="Heading2"/>
      </w:pPr>
      <w:r>
        <w:t>894. Shifts, turning points and inertia exploring long-term industry trends in European transport</w:t>
      </w:r>
    </w:p>
    <w:p>
      <w:pPr>
        <w:pStyle w:val="SourceNote"/>
      </w:pPr>
      <w:r>
        <w:rPr>
          <w:b/>
        </w:rPr>
        <w:t>Original source (2015):</w:t>
      </w:r>
      <w:r>
        <w:t xml:space="preserve"> https://doi.org/10.1007/s40309-015-0070-0</w:t>
      </w:r>
    </w:p>
    <w:p>
      <w:pPr/>
      <w:r>
        <w:t>Original wording (abstract; indexed_source_text_not_full_document_verified): Such an analysis steps further into the technological realm, and targets social, industrial and political issues, which could affect the future of transport up until 2050, with a special focus on the post-ownership economy.</w:t>
      </w:r>
    </w:p>
    <w:p>
      <w:pPr/>
      <w:r>
        <w:rPr>
          <w:b/>
        </w:rPr>
        <w:t>POSSIBLE 2026:</w:t>
      </w:r>
      <w:r>
        <w:t xml:space="preserve"> The European Union and Strategic Autonomy: Political, Economic and Technological Challenges — https://doi.org/10.47459/cndcgs.2026.42</w:t>
      </w:r>
    </w:p>
    <w:p>
      <w:pPr/>
      <w:r>
        <w:rPr>
          <w:b/>
        </w:rPr>
        <w:t>Shared claim-specific concepts:</w:t>
      </w:r>
      <w:r>
        <w:t xml:space="preserve"> technological, political, focus; EU scope visible. This is a provisional connection, not an outcome finding.</w:t>
      </w:r>
    </w:p>
    <w:p>
      <w:pPr>
        <w:pStyle w:val="SourceNote"/>
      </w:pPr>
      <w:r>
        <w:rPr>
          <w:b/>
        </w:rPr>
        <w:t>Available abstract (not full text):</w:t>
      </w:r>
      <w:r>
        <w:t xml:space="preserve"> This paper explores the potentialities and constraints of building the European Union's strategic autonomy in a new geopolitical era marked by the rivalry between the United States and China, the weakening of the multilateral order, and the consequences of the war in Ukraine. The authors primarily focus on the political, economic, and technological dimensions of autonomy, utilising relevant scientific methods within an interdisciplinary research framework, primarily the analytical-synthetic method, content and comparative analysis, as well as the scenario approach. The findings indicate that the EU is capable of progressively reducing its dependency through the diversification of resources, investments in development, research, and innovation, and the strengthening of digital and technological sovereignty. Simultaneously, however, the Union faces serious limitations, the fiscal constraints of the Member States, the fragmentation of its foreign and security policy, and a persistent reliance on the United States in the area of defence. The EU’s future position will therefore hinge on its ability to consolidate its economic and technological potential and transform it into a unified political will and a credible geopolitical power.</w:t>
      </w:r>
    </w:p>
    <w:p>
      <w:pPr/>
      <w:r>
        <w:rPr>
          <w:b/>
        </w:rPr>
        <w:t>POSSIBLE 2025:</w:t>
      </w:r>
      <w:r>
        <w:t xml:space="preserve"> Economic, technological and environmental drivers of the circular economy in the European Union: a panel data analysis — https://doi.org/10.1186/s12302-025-01119-4</w:t>
      </w:r>
    </w:p>
    <w:p>
      <w:pPr/>
      <w:r>
        <w:rPr>
          <w:b/>
        </w:rPr>
        <w:t>Shared claim-specific concepts:</w:t>
      </w:r>
      <w:r>
        <w:t xml:space="preserve"> technological, focus, economy; EU scope visible. This is a provisional connection, not an outcome finding.</w:t>
      </w:r>
    </w:p>
    <w:p>
      <w:pPr>
        <w:pStyle w:val="SourceNote"/>
      </w:pPr>
      <w:r>
        <w:rPr>
          <w:b/>
        </w:rPr>
        <w:t>Available abstract (not full text):</w:t>
      </w:r>
      <w:r>
        <w:t xml:space="preserve"> The circular economy has become a strategic priority in the European Union, aiming to reduce dependence on finite natural resources and promote a sustainable economic model. This study investigates the key factors influencing the use of circular materials in the European Union between 2010 and 2022, considering the impact of global challenges such as the coronavirus pandemic, the energy crisis, and geopolitical tensions. Unlike previous research, this study integrates economic, technological, and environmental dimensions, with a particular focus on the role of digital transformation as a catalyst for circularity. The research applies an econometric model based on the analysis of panel data to explore the interconnections between resource productivity, recycling rates, private sector investment, digitalization, and expenditures on research and development. The findings reveal a strong positive relationship between resource efficiency, recycling efforts, and the use of circular materials, emphasizing the importance of infrastructure and technological advancements in supporting circularity. However, significant regional differences among European Union member states are also identified, highlighting the need for targeted policies to address these disparities. In the context of European policies such as the Green Deal and the Circular Economy Action Plan, this study provides valuab</w:t>
      </w:r>
    </w:p>
    <w:p>
      <w:pPr/>
      <w:r>
        <w:rPr>
          <w:b/>
        </w:rPr>
        <w:t>POSSIBLE 2025:</w:t>
      </w:r>
      <w:r>
        <w:t xml:space="preserve"> Simulating the Impact of Employment Growth on Poverty: Implications for the European Social Targets — https://doi.org/10.17645/si.9903</w:t>
      </w:r>
    </w:p>
    <w:p>
      <w:pPr/>
      <w:r>
        <w:rPr>
          <w:b/>
        </w:rPr>
        <w:t>Shared claim-specific concepts:</w:t>
      </w:r>
      <w:r>
        <w:t xml:space="preserve"> further, targets, affect; EU scope visible. This is a provisional connection, not an outcome finding.</w:t>
      </w:r>
    </w:p>
    <w:p>
      <w:pPr>
        <w:pStyle w:val="SourceNote"/>
      </w:pPr>
      <w:r>
        <w:rPr>
          <w:b/>
        </w:rPr>
        <w:t>Available abstract (not full text):</w:t>
      </w:r>
      <w:r>
        <w:t xml:space="preserve"> The European Pillar of Social Rights Action Plan sets ambitious targets to be achieved by 2030, including reducing the number of people at risk of poverty or social exclusion (AROPE) by 15 million and raising the employment rate to 78% among the working‐age population. This article investigates the extent to which employment growth to the level of the 2030 employment rate target can deliver on the EU’s 2030 social target. Departing from key theoretical perspectives, we explore five mediating mechanisms that shape the relationship between employment and poverty, including job distribution across households, job quality, and social protection effectiveness. Our twofold analytical strategy first assesses past trends between employment and poverty indicators and then employs shift‐share and regression‐based simulations to estimate how different employment growth scenarios may affect the active‐age population’s at‐risk‐of‐poverty (AROP(a)) and the total population’s at‐risk‐of‐poverty and social exclusion (AROPE) outcomes by 2030. The analysis confirms that employment growth, though it has a strong effect on poverty, is unlikely to deliver the EU’s poverty reduction target without further policy intervention. The full potential of employment growth to reduce poverty depends on, among other things, the distribution of jobs across households. While the EU has long promoted employment </w:t>
      </w:r>
    </w:p>
    <w:p>
      <w:pPr/>
      <w:r>
        <w:rPr>
          <w:b/>
        </w:rPr>
        <w:t>POSSIBLE 2025:</w:t>
      </w:r>
      <w:r>
        <w:t xml:space="preserve"> Social Determinants of Underachievement in Europe and Buffering Aspects — https://doi.org/10.5281/zenodo.17360384</w:t>
      </w:r>
    </w:p>
    <w:p>
      <w:pPr/>
      <w:r>
        <w:rPr>
          <w:b/>
        </w:rPr>
        <w:t>Shared claim-specific concepts:</w:t>
      </w:r>
      <w:r>
        <w:t xml:space="preserve"> steps, further, issues; EU scope visible. This is a provisional connection, not an outcome finding.</w:t>
      </w:r>
    </w:p>
    <w:p>
      <w:pPr>
        <w:pStyle w:val="SourceNote"/>
      </w:pPr>
      <w:r>
        <w:rPr>
          <w:b/>
        </w:rPr>
        <w:t>Available abstract (not full text):</w:t>
      </w:r>
      <w:r>
        <w:t xml:space="preserve"> This publication reports on the work of the SCIREARLY Horizon Europe consortium, which was formed to address the connected issues of early school leaving and underachievement in Europe. SCIREARLY, which was a three-year project funded by the European Commission, focused on enabling children to learn and thrive in school and complete their education. The project recognised the crucial role that schools play in a child’s development and expressed concern over children who struggle or leave school prematurely. This initiative was a collaboration between various institutions from ten different European countries. Its main objectives included conducting research on effective practices in schools and understanding how some educational institutions successfully retain their students, providing them with the best opportunities for learning and well-being. This report is presented as the final outcome of WP1 of the SCIREARLY Project which deals social determinants of educational underachievement in Europe and buffering aspects. The work package set itself the objectives of: • Analysing the social determinants and root causes of underachievement and school dropout at primary and secondary education level. • Mapping successful and less successful policies targeting the achievement gap from a comparative perspective. In the conceptualisation of this work package, it was designed to be a se</w:t>
      </w:r>
    </w:p>
    <w:p>
      <w:pPr/>
      <w:r>
        <w:rPr>
          <w:b/>
        </w:rPr>
        <w:t>POSSIBLE 2024:</w:t>
      </w:r>
      <w:r>
        <w:t xml:space="preserve"> The State of European Social Rights and European Social Citizenship in the EU — https://doi.org/10.5281/zenodo.10840423</w:t>
      </w:r>
    </w:p>
    <w:p>
      <w:pPr/>
      <w:r>
        <w:rPr>
          <w:b/>
        </w:rPr>
        <w:t>Shared claim-specific concepts:</w:t>
      </w:r>
      <w:r>
        <w:t xml:space="preserve"> further, targets, affect, focus; EU scope visible. This is a provisional connection, not an outcome finding.</w:t>
      </w:r>
    </w:p>
    <w:p>
      <w:pPr>
        <w:pStyle w:val="SourceNote"/>
      </w:pPr>
      <w:r>
        <w:rPr>
          <w:b/>
        </w:rPr>
        <w:t>Available abstract (not full text):</w:t>
      </w:r>
      <w:r>
        <w:t xml:space="preserve"> This Flagship report brings together the research of the EuSocialCit project about the State of European Social Rights and European Social Citizenship. It consists of 12 chapters covering all substantive work packages of the project. After the introduction, chapter 2 presents a novel, multi-level, power resource-based conceptualization of EU social rights that considers a social right as a bundle of three types of individual power resources: normative, instrumental and enforcement power resources. These three power resources are needed for the concrete fruition of the content of social rights by individuals. Chapter 3 discusses the extent to which the EU social rights that emerged after the adoption of the EPSR introduce these three types of power resources or fail to do so. Chapter 4 further develops the concept of instrumental power resources, the most innovative aspect of the conceptualization presented in chapter 2 and crucial for making social rights accessible to citizens. Chapter 5 analyzes the implementation of the EU’s Work-Life Balance Directive in five member states, the extent to which this implementation offers instrumental resources to right holders, and how differences between countries concerning the availability of instrumental resources affect the actual take up of parental leave. Chapter 6 discusses the normative (legal) and instrumental power resources avail</w:t>
      </w:r>
    </w:p>
    <w:p>
      <w:pPr/>
      <w:r>
        <w:rPr>
          <w:b/>
        </w:rPr>
        <w:t>POSSIBLE 2024:</w:t>
      </w:r>
      <w:r>
        <w:t xml:space="preserve"> The intersection of geopolitics and technological innovations: implications for the Central-European region — https://doi.org/10.14267/phd.2024016</w:t>
      </w:r>
    </w:p>
    <w:p>
      <w:pPr/>
      <w:r>
        <w:rPr>
          <w:b/>
        </w:rPr>
        <w:t>Shared claim-specific concepts:</w:t>
      </w:r>
      <w:r>
        <w:t xml:space="preserve"> further, technological, industrial, issues, special, focus; EU scope visible. This is a provisional connection, not an outcome finding.</w:t>
      </w:r>
    </w:p>
    <w:p>
      <w:pPr>
        <w:pStyle w:val="SourceNote"/>
      </w:pPr>
      <w:r>
        <w:rPr>
          <w:b/>
        </w:rPr>
        <w:t>Available abstract (not full text):</w:t>
      </w:r>
      <w:r>
        <w:t xml:space="preserve"> The thesis examines the effects of emerging technological innovations shaping contemporary geopolitics, through their impact on the economy, society, and international relations, with special focus on Hungary and the Central European region. It explores how modern geopolitical theories have evolved over the years and what leading scholars have proposed with regards to the phenomenon of innovation and emerging technologies. The thesis is an article-based dissertation, which includes three published scientific journal articles, that analyse specific findings on subtopics related to the broader scheme of geopolitics and innovation, such as China’s growth prospects in the Fourth Industrial Revolution; the phenomenon of disinformation warfare aided by novel technologies in the Central European region; and the potential of Artificial Intelligence (AI) solutions disrupting industries, and creating economic and social inequalities examined in the Hungarian context. The study wishes to make a contribution to the existing body of research by delving into a contemporary and relatively under-explored topic, offering a consistent theoretical and conceptual foundation and applying an innovative research approach. The thesis finds that there is a need to adapt geopolitical narratives to reflect a world system that is moving away from the traditional model of exclusive state actors and is char</w:t>
      </w:r>
    </w:p>
    <w:p>
      <w:pPr/>
      <w:r>
        <w:rPr>
          <w:b/>
        </w:rPr>
        <w:t>POSSIBLE 2023:</w:t>
      </w:r>
      <w:r>
        <w:t xml:space="preserve"> EUROPEAN UNION AT THE DAWN OF TECHNOLOGICAL COLD WAR — https://doi.org/10.12775/tis.2023.015</w:t>
      </w:r>
    </w:p>
    <w:p>
      <w:pPr/>
      <w:r>
        <w:rPr>
          <w:b/>
        </w:rPr>
        <w:t>Shared claim-specific concepts:</w:t>
      </w:r>
      <w:r>
        <w:t xml:space="preserve"> technological, political, focus; EU scope visible. This is a provisional connection, not an outcome finding.</w:t>
      </w:r>
    </w:p>
    <w:p>
      <w:pPr>
        <w:pStyle w:val="SourceNote"/>
      </w:pPr>
      <w:r>
        <w:rPr>
          <w:b/>
        </w:rPr>
        <w:t>Available abstract (not full text):</w:t>
      </w:r>
      <w:r>
        <w:t xml:space="preserve"> The purpose of the study was to construct a picture of the EU’s global position in a world defined by the US-Chinese technological Cold War. Morphological analysis has been used to enable a comprehensive analysis of the relationship between the technological and social domains. Structured interviews were also used to support the analytical process. The results of the exploration showed a picture of the EU’s multi-level technological weakness compared to competing powers. While the EU is not a weak entity, its future international position will depend on the creation of its own technological capabilities and on cooperation with the United States. Both lines of action are subject to multiple risks. Firstly, some aggressive technological developments (such as the plans to place microchips production in Europe) can generate more problems than diversification. Secondly, the EU must extend its work on high-tech (primarily AI) beyond the logic of market regulation and focus on their geopolitical and military dimension. It must also be ready for possible obstacles in cooperation with the United States. The alternative to this track, as the analysis shows, is the technological, and hence the political and economic peripheral status, where two technological superpowers – the United States and authoritarian China will compete. The most negative result for the EU is the status of “digital </w:t>
      </w:r>
    </w:p>
    <w:p>
      <w:pPr/>
      <w:r>
        <w:rPr>
          <w:b/>
        </w:rPr>
        <w:t>POSSIBLE 2023:</w:t>
      </w:r>
      <w:r>
        <w:t xml:space="preserve"> Technological Challenges and Opportunities to Plastics Valorization in the Context of a Circular Economy in Europe — https://doi.org/10.3390/su15043741</w:t>
      </w:r>
    </w:p>
    <w:p>
      <w:pPr/>
      <w:r>
        <w:rPr>
          <w:b/>
        </w:rPr>
        <w:t>Shared claim-specific concepts:</w:t>
      </w:r>
      <w:r>
        <w:t xml:space="preserve"> further, technological, issues, economy; EU scope visible. This is a provisional connection, not an outcome finding.</w:t>
      </w:r>
    </w:p>
    <w:p>
      <w:pPr>
        <w:pStyle w:val="SourceNote"/>
      </w:pPr>
      <w:r>
        <w:rPr>
          <w:b/>
        </w:rPr>
        <w:t>Available abstract (not full text):</w:t>
      </w:r>
      <w:r>
        <w:t xml:space="preserve"> The transition to a fully-fledged circular economy (CE) has proven to be challenging for many industries. Despite possible competitive advantages of moving industries towards CE activities, their practical implementation is still limited. This communication article delivers ad interim an identification of technological challenges and opportunities for the European plastics industries to facilitate circularity ambitions. In applying the qualitative-empirical Gioia-method utilizing the GABEK-WinRelan tool, specific technological challenges and opportunities for plastics industries were identified. Major findings indicate that technological challenges for plastics are predominantly seen in (C1) secondary material contamination; (C2) recycling processing issues; (C3) production processing issues; (C4) production material quality issues; and (C5) end-product quality issues, while the opportunities lie in (O1) effective secondary material management; (O2) innovation for chemical recycling; (O3) innovation for production and processability; (O4) innovative materials; and (O5) innovative end-products. This article contributes to the contemporary debate of CE challenges and opportunities to plastics valorization by highlighting the promising role of chemical recycling on a monomer-level as a key facilitator to a circular plastics economy. Further, it was found that technological transit</w:t>
      </w:r>
    </w:p>
    <w:p>
      <w:pPr/>
      <w:r>
        <w:rPr>
          <w:b/>
        </w:rPr>
        <w:t>POSSIBLE 2023:</w:t>
      </w:r>
      <w:r>
        <w:t xml:space="preserve"> Latest developments in Social Europe: Promising steps in need for future monitoring — https://doi.org/10.1111/jcms.13556</w:t>
      </w:r>
    </w:p>
    <w:p>
      <w:pPr/>
      <w:r>
        <w:rPr>
          <w:b/>
        </w:rPr>
        <w:t>Shared claim-specific concepts:</w:t>
      </w:r>
      <w:r>
        <w:t xml:space="preserve"> steps, further; EU scope visible. This is a provisional connection, not an outcome finding.</w:t>
      </w:r>
    </w:p>
    <w:p>
      <w:pPr>
        <w:pStyle w:val="SourceNote"/>
      </w:pPr>
      <w:r>
        <w:rPr>
          <w:b/>
        </w:rPr>
        <w:t>Available abstract (not full text):</w:t>
      </w:r>
      <w:r>
        <w:t xml:space="preserve"> After 2 years of dealing with the social consequences of the pandemic, European citizens and policy-makers entered 2022 with glimpses of hope regarding the prospects for economic, labour market and social recovery.Despite cross-country and within-country variation, the real output in the European Union (EU) had returned to its 2019 level by 2021.By spring of the same year, the average EU unemployment rate had reached January 2019 levels.Then, less than 2 months into the New Year, the Russian invasion of Ukraine brought war on the EU borders, altering previous patterns of recovery and established policy agendas.At the social level, the most relevant implication experienced by European citizens was the deepening of the inflationary trends that had started manifesting in 2021, which turned into a cost-of-living crisis over the course of 2022.While the actual impact of this further shock will be assessed fully in the coming years, the insecurity and precariousness that characterized the most vulnerable social groups revealed once again the existing gaps within welfare states and social protection systems from the local level to the supranational level.Similarly to what happened after the outbreak of the coronavirus pandemic, the responses by national policy-makers were swift and largely in the form of compensatory measures.The EU contributed to the financial effort by allowing memb</w:t>
      </w:r>
    </w:p>
    <w:p>
      <w:pPr/>
      <w:r>
        <w:rPr>
          <w:b/>
        </w:rPr>
        <w:t>POSSIBLE 2023:</w:t>
      </w:r>
      <w:r>
        <w:t xml:space="preserve"> Reviving Social Europe: a critical assessment of EU social policy in the wake of multiple crises — https://doi.org/10.17979/ejge.2023.12.2.9541</w:t>
      </w:r>
    </w:p>
    <w:p>
      <w:pPr/>
      <w:r>
        <w:rPr>
          <w:b/>
        </w:rPr>
        <w:t>Shared claim-specific concepts:</w:t>
      </w:r>
      <w:r>
        <w:t xml:space="preserve"> further, issues, focus, economy; EU scope visible. This is a provisional connection, not an outcome finding.</w:t>
      </w:r>
    </w:p>
    <w:p>
      <w:pPr>
        <w:pStyle w:val="SourceNote"/>
      </w:pPr>
      <w:r>
        <w:rPr>
          <w:b/>
        </w:rPr>
        <w:t>Available abstract (not full text):</w:t>
      </w:r>
      <w:r>
        <w:t xml:space="preserve"> The concept of "Social Europe" encompasses the European Union's social policy framework. This paper argues that the financial crisis of 2007-2009, the subsequent Euro crisis, and the ensuing austerity measures diverted significant attention away from Social Europe. This neglect led to declining living standards, reductions in public services, and the emergence of critical challenges such as the gig economy. In recent years, the COVID-19 pandemic has further exacerbated these issues, prompting a renewed focus on Social Europe by EU institutions. This paper conducts a chronological analysis of recent legislative (acquis) and non-legislative (soft power) instruments implemented to address these challenges and assesses the prospects of Social Europe in the near term.</w:t>
      </w:r>
    </w:p>
    <w:p>
      <w:pPr/>
      <w:r>
        <w:rPr>
          <w:b/>
        </w:rPr>
        <w:t>POSSIBLE 2023:</w:t>
      </w:r>
      <w:r>
        <w:t xml:space="preserve"> Further steps in the digitalisation of tax law — https://doi.org/10.35925/j.multi.2023.2.19</w:t>
      </w:r>
    </w:p>
    <w:p>
      <w:pPr/>
      <w:r>
        <w:rPr>
          <w:b/>
        </w:rPr>
        <w:t>Shared claim-specific concepts:</w:t>
      </w:r>
      <w:r>
        <w:t xml:space="preserve"> steps, further, technological; EU scope not established. This is a provisional connection, not an outcome finding.</w:t>
      </w:r>
    </w:p>
    <w:p>
      <w:pPr>
        <w:pStyle w:val="SourceNote"/>
      </w:pPr>
      <w:r>
        <w:rPr>
          <w:b/>
        </w:rPr>
        <w:t>Available abstract (not full text):</w:t>
      </w:r>
      <w:r>
        <w:t xml:space="preserve"> The digitalization of tax law has a decade-long history, the primary goal of which is to increase government revenues and reduce tax evasion. Several elements of this digitalization process are known: the online cash register, the Electronic Road Traffic Control System (EKÁER) system and the Online Invoicing System. My main objective is to prove how useful the state-of-the-art technological solutions that have been debuting in recent years are from the point of view of public finances, since, for example, VAT revenues have more than doubled. In this study, I undertake to review the most important rules of the Online Invoicing System. After examining the legal background, I am processing a case brought before the Curia in which the plaintiff of the dispute was a VAT taxpayer who was unentitled to deduct tax, and the defendant was the Appeal Directorate of the National Tax and Customs Administration (NAV). Next, I will look at an Argentine procedure, electronic invoicing – e-Factura in Spanish – which has been optional on a voluntary basis since 2003 and has become mandatory for all taxpayers subject to VAT since 2016. The introduction of the new system was implemented in stages and was finally fully implemented by 2019. At the end of the article, I discuss the changes affecting the Hungarian regulations in 2023, and then I present the revised rules of e-VAT and finally the e-rec</w:t>
      </w:r>
    </w:p>
    <w:p>
      <w:pPr/>
      <w:r>
        <w:rPr>
          <w:b/>
        </w:rPr>
        <w:t>POSSIBLE 2021:</w:t>
      </w:r>
      <w:r>
        <w:t xml:space="preserve"> The state of innovative development and further steps towards the neo-economy of Ukraine in the first quarter of the XXI century — https://doi.org/10.33731/52020.233745</w:t>
      </w:r>
    </w:p>
    <w:p>
      <w:pPr/>
      <w:r>
        <w:rPr>
          <w:b/>
        </w:rPr>
        <w:t>Shared claim-specific concepts:</w:t>
      </w:r>
      <w:r>
        <w:t xml:space="preserve"> steps, further, technological; EU scope visible. This is a provisional connection, not an outcome finding.</w:t>
      </w:r>
    </w:p>
    <w:p>
      <w:pPr>
        <w:pStyle w:val="SourceNote"/>
      </w:pPr>
      <w:r>
        <w:rPr>
          <w:b/>
        </w:rPr>
        <w:t>Available abstract (not full text):</w:t>
      </w:r>
      <w:r>
        <w:t xml:space="preserve"> Revutsky S. The state of innovative development and further steps towards the neo-economy of Ukraine in the first quarter of the XXI century. The article examines the state of innovative development in Ukraine in comparison with world leaders. Comparative analysis of goals, priorities and directions of development and modernization of public policy to achieve the level of neo-economy, which is formed under the influence of the new paradigm of scientific and technological development and technological revolution, which is now observed in many countries. From the above data we see that among the common shortcomings of our economic strategy and development program are: ambiguity and inconsistency of goals, mechanisms and objectives, sources of funding and general backwardness in approaches, which requires the use of European approaches to achieve the goal. Relying only on outdated methods of production and labor, the country loses competitiveness in the world market, lagging behind in technological development due to lack of innovation and research in the necessary areas, while the existing system is uncertain and has no financial or legal basis for efficient operation. When the whole world moves to new technological levels, raising its level to the fifth and sixth levels, our state, without a clear leadership and base, lags behind in innovation. That is why the article substantia</w:t>
      </w:r>
    </w:p>
    <w:p>
      <w:pPr>
        <w:pStyle w:val="Heading2"/>
      </w:pPr>
      <w:r>
        <w:t>895. TRANSPORT PROJECT EVALUATION: FEASIBILITY RISK ASSESSMENT AND SCENARIO FORECASTING</w:t>
      </w:r>
    </w:p>
    <w:p>
      <w:pPr>
        <w:pStyle w:val="SourceNote"/>
      </w:pPr>
      <w:r>
        <w:rPr>
          <w:b/>
        </w:rPr>
        <w:t>Original source (2015):</w:t>
      </w:r>
      <w:r>
        <w:t xml:space="preserve"> https://doi.org/10.3846/16484142.2015.1063003</w:t>
      </w:r>
    </w:p>
    <w:p>
      <w:pPr/>
      <w:r>
        <w:t>Original wording (abstract; indexed_source_text_not_full_document_verified): Finally, RSF makes use of scenario forecasting where trend scenarios such as economic growth and level of cross-border integration are investigated.</w:t>
      </w:r>
    </w:p>
    <w:p>
      <w:pPr/>
      <w:r>
        <w:rPr>
          <w:b/>
        </w:rPr>
        <w:t>POSSIBLE 2026:</w:t>
      </w:r>
      <w:r>
        <w:t xml:space="preserve"> India and the World Press Freedom Index: A Critical Examination of Media Freedom in the World's Largest Democracy — https://doi.org/10.5281/zenodo.21851588</w:t>
      </w:r>
    </w:p>
    <w:p>
      <w:pPr/>
      <w:r>
        <w:rPr>
          <w:b/>
        </w:rPr>
        <w:t>Shared claim-specific concepts:</w:t>
      </w:r>
      <w:r>
        <w:t xml:space="preserve"> finally, rsf, trend; EU scope not established. This is a provisional connection, not an outcome finding.</w:t>
      </w:r>
    </w:p>
    <w:p>
      <w:pPr>
        <w:pStyle w:val="SourceNote"/>
      </w:pPr>
      <w:r>
        <w:rPr>
          <w:b/>
        </w:rPr>
        <w:t>Available abstract (not full text):</w:t>
      </w:r>
      <w:r>
        <w:t xml:space="preserve"> This paper examines the state of press freedom in India and evaluates the extent to which political influence, corporate ownership, regulatory weaknesses, and economic pressures have affected the ability of the Indian press to perform its constitutional role as the Fourth Estate. Although freedom of speech and expression is guaranteed under Article 19(1)(a) of the Constitution of India, concerns regarding media independence, journalist safety, concentrated media ownership, misuse of legal provisions, and increasing economic dependence on government and corporate advertising have intensified in recent years. The study analyses India's performance in the World Press Freedom Index published by Reporters Without Borders (RSF), highlighting the country's declining ranking and the factors contributing to this trend. It further explores the relationship between press freedom and democratic governance, emphasizing the role of an independent media in ensuring transparency, accountability, and informed public participation. Through an examination of legal frameworks, media ownership structures, regulatory institutions, and contemporary challenges such as misinformation and journalist harassment, the paper identifies key obstacles to media independence in India. Finally, it proposes legal and policy reforms aimed at strengthening press freedom, improving journalist protection, enhancing r</w:t>
      </w:r>
    </w:p>
    <w:p>
      <w:pPr/>
      <w:r>
        <w:rPr>
          <w:b/>
        </w:rPr>
        <w:t>POSSIBLE 2026:</w:t>
      </w:r>
      <w:r>
        <w:t xml:space="preserve"> Radiative strength functions from the energy-localized Brink-Axel hypothesis — https://doi.org/10.1103/kg6r-t5d1</w:t>
      </w:r>
    </w:p>
    <w:p>
      <w:pPr/>
      <w:r>
        <w:rPr>
          <w:b/>
        </w:rPr>
        <w:t>Shared claim-specific concepts:</w:t>
      </w:r>
      <w:r>
        <w:t xml:space="preserve"> rsf, makes, use; EU scope not established. This is a provisional connection, not an outcome finding.</w:t>
      </w:r>
    </w:p>
    <w:p>
      <w:pPr>
        <w:pStyle w:val="SourceNote"/>
      </w:pPr>
      <w:r>
        <w:rPr>
          <w:b/>
        </w:rPr>
        <w:t>Available abstract (not full text):</w:t>
      </w:r>
      <w:r>
        <w:t xml:space="preserve"> Radiative strength functions (RSFs) model the bulk electromagnetic response of highly-excited nuclei and are critical inputs for statistical reaction codes. In this paper, we present a definition of the RSF that is consistent with Hauser-Feshbach reaction codes and that can be efficiently computed with the shell model using the Lanczos strength-function (LSF) method. We introduce a variant of the shell model LSF method that exploits the energy-localized Brink-Axel hypothesis, which makes it possible to compute both electric and magnetic RSFs across all energies relevant to capture reactions. We verify agreement with the conventional definition of RSFs with benchmark calculations of $^{24}$Mg, then present novel results for $^{56}$Fe. For $^{56}$Fe we find that: (i) the M1 RSF shape evolves smoothly with excitation energy, consistent with the energy-localized Brinkl-Axel hypothesis, (ii) both M1 and E1 transitions contribute significantly to the radiative strength below the photo-absorption threshold, and (iii) within the sdpf model space, the strength below 3 MeV observed in Oslo-type experiments cannot be fully reproduced. These results pave the way for a coherent microscopic description of the RSFs and further motivate the use of energy-dependent RSFs in modern reaction codes.</w:t>
      </w:r>
    </w:p>
    <w:p>
      <w:pPr/>
      <w:r>
        <w:rPr>
          <w:b/>
        </w:rPr>
        <w:t>POSSIBLE 2025:</w:t>
      </w:r>
      <w:r>
        <w:t xml:space="preserve"> Intergovernmental Fiscal Transfers and Regional Economic Performance: Evidence from Papua Province, Indonesia — https://doi.org/10.47191/ijmei/v11i9.07</w:t>
      </w:r>
    </w:p>
    <w:p>
      <w:pPr/>
      <w:r>
        <w:rPr>
          <w:b/>
        </w:rPr>
        <w:t>Shared claim-specific concepts:</w:t>
      </w:r>
      <w:r>
        <w:t xml:space="preserve"> rsf, use; EU scope not established. This is a provisional connection, not an outcome finding.</w:t>
      </w:r>
    </w:p>
    <w:p>
      <w:pPr>
        <w:pStyle w:val="SourceNote"/>
      </w:pPr>
      <w:r>
        <w:rPr>
          <w:b/>
        </w:rPr>
        <w:t>Available abstract (not full text):</w:t>
      </w:r>
      <w:r>
        <w:t xml:space="preserve"> Economic inequality between regions in Indonesia, particularly between Papua and other regions, remains a strategic issue despite Papua's abundant natural resources. Transfers of funds from the central government, such as the General Allocation Fund (GAF), Revenue Sharing Fund (RSF), and Special Autonomy Fund (SAF), are expected to boost regional economic growth. This study aims to analyze the influence of GAF, RSF, and SAF on Gross Regional Domestic Product (GRDP) of districts/cities in Papua Province. Secondary data were obtained from the Central Statistics Agency (BPS) and the Ministry of Finance for the period 2013–2022. The analysis method used panel data regression with a Fixed Effect Model selected through the Chow and Hausman test. The results show that GAF and RSF have a significant positive effect on GRDP, while SAF has no significant effect. This finding indicates that general transfers and revenue sharing can improve regional economic performance, while special autonomy funds have not yet provided the expected impact, likely due to constraints in governance and utilization effectiveness. Regional governments need to optimize the use of GAF and RSF for productive public spending and improve the SAF management mechanism to make a real contribution to Papua's economic growth.</w:t>
      </w:r>
    </w:p>
    <w:p>
      <w:pPr/>
      <w:r>
        <w:rPr>
          <w:b/>
        </w:rPr>
        <w:t>POSSIBLE 2024:</w:t>
      </w:r>
      <w:r>
        <w:t xml:space="preserve"> Sudan: Rethinking the Conflict Between Sudanese Armed Forces (SAF) and the Rapid Support Forces (RSF) — https://doi.org/10.1177/09749284241264073</w:t>
      </w:r>
    </w:p>
    <w:p>
      <w:pPr/>
      <w:r>
        <w:rPr>
          <w:b/>
        </w:rPr>
        <w:t>Shared claim-specific concepts:</w:t>
      </w:r>
      <w:r>
        <w:t xml:space="preserve"> rsf, integration; EU scope not established. This is a provisional connection, not an outcome finding.</w:t>
      </w:r>
    </w:p>
    <w:p>
      <w:pPr>
        <w:pStyle w:val="SourceNote"/>
      </w:pPr>
      <w:r>
        <w:rPr>
          <w:b/>
        </w:rPr>
        <w:t>Available abstract (not full text):</w:t>
      </w:r>
      <w:r>
        <w:t xml:space="preserve"> Sudan, the third largest nation in Africa, faces severe poverty despite its abundant natural resources. Recent economic restructuring efforts offer hope for growth, but a power struggle between the military and paramilitary forces has plunged the country into a crisis. Intense violence in Khartoum and other regions has led to widespread damage to infrastructure and facilities, triggering a humanitarian crisis with millions displaced and urgent aid needs. The conflict, sparked by disputes over paramilitary integration and control of economic assets, threatens regional stability and the transition to democracy. This article analyses the conflict’s origins and proposes potential resolutions using the Protracted Social Conflict Theory.</w:t>
      </w:r>
    </w:p>
    <w:p>
      <w:pPr/>
      <w:r>
        <w:rPr>
          <w:b/>
        </w:rPr>
        <w:t>POSSIBLE 2024:</w:t>
      </w:r>
      <w:r>
        <w:t xml:space="preserve"> Optimal eco‐emission scheduling of the reconfigurable solar farm‐based combined hydrogen, heat, and power (RSF‐CHHP) — https://doi.org/10.1049/gtd2.13223</w:t>
      </w:r>
    </w:p>
    <w:p>
      <w:pPr/>
      <w:r>
        <w:rPr>
          <w:b/>
        </w:rPr>
        <w:t>Shared claim-specific concepts:</w:t>
      </w:r>
      <w:r>
        <w:t xml:space="preserve"> rsf, use; EU scope not established. This is a provisional connection, not an outcome finding.</w:t>
      </w:r>
    </w:p>
    <w:p>
      <w:pPr>
        <w:pStyle w:val="SourceNote"/>
      </w:pPr>
      <w:r>
        <w:rPr>
          <w:b/>
        </w:rPr>
        <w:t>Available abstract (not full text):</w:t>
      </w:r>
      <w:r>
        <w:t xml:space="preserve"> Abstract Combined hydrogen, heat, and power (CHHP) is the cogeneration unit simultaneously meeting hydrogen, heat, and power demands. Due to the low efficiency of the electrolyser, the main grid or other generation units supply its input power. Herein, the photovoltaic farm's (PV farm) output power is used as the input power of the electrolyser. Optimal economic and emission scheduling of CHHP‐based microgrid (CHHP_MG) is defined as an objective function. To improve system efficiency, the scheduling problem is done in two cases, reconfigured SP‐PV farm and conventional SP‐PV farm. To optimal management of both demand and generation sides, a time of use (TOU) based demand response program is employed in the proposed short‐term study. To have a comprehensive study, the optimum solar panel tilt angle is calculated, and its impacts on the main function are analysed. Multi‐objective genetic algorithm is used to solve optimization problems. By solving the objective function, the obtained values for profit and pollution amount are 620$ and 69,245.78 gr, respectively. By applying the load response program, the mentioned values are changed to 715.132$ and 6872.5 gr. Since the input power is supplied through solar panels, the placement angle of the panels is very important and with the optimal setting of the placement angle, the values change to 780$ and 6825.3 gr.</w:t>
      </w:r>
    </w:p>
    <w:p>
      <w:pPr/>
      <w:r>
        <w:rPr>
          <w:b/>
        </w:rPr>
        <w:t>POSSIBLE 2024:</w:t>
      </w:r>
      <w:r>
        <w:t xml:space="preserve"> Fertility Postponement, Economic Uncertainty, and the Increasing Income Prerequisites of Parenthood — https://doi.org/10.1111/padr.12624</w:t>
      </w:r>
    </w:p>
    <w:p>
      <w:pPr/>
      <w:r>
        <w:rPr>
          <w:b/>
        </w:rPr>
        <w:t>Shared claim-specific concepts:</w:t>
      </w:r>
      <w:r>
        <w:t xml:space="preserve"> trend, level; EU scope not established. This is a provisional connection, not an outcome finding.</w:t>
      </w:r>
    </w:p>
    <w:p>
      <w:pPr>
        <w:pStyle w:val="SourceNote"/>
      </w:pPr>
      <w:r>
        <w:rPr>
          <w:b/>
        </w:rPr>
        <w:t>Available abstract (not full text):</w:t>
      </w:r>
      <w:r>
        <w:t xml:space="preserve"> Abstract Rich societies have witnessed a postponement of parenthood over the past two decades, and young adults’ economic conditions are often invoked to explain this trend. However, macro‐level trends in both “subjective” perceptions of economic uncertainty and “objective” measures of actual income provide no satisfactory explanation for the postponement of parenthood. We propose a potential solution to this puzzle by hypothesizing that the economic prerequisites of parenthood have increased over the past two decades. We expect that this has raised the degree of perceived economic certainty and the level of income that people wish to achieve before having a first child. To test this hypothesis, we draw on individual‐level longitudinal data from seven countries from the Comparative Panel File. Our findings show that young adults’ perceived economic uncertainty is not consistently associated with the transition to parenthood. Moreover, the effects of perceived economic uncertainty did not change over time. In contrast, we find consistent evidence that the link between income and first birth has become more strongly positive over the past two decades. This is true mainly for women but also for men, and suggests that increasing income prerequisites are a key mechanism behind the postponement of parenthood.</w:t>
      </w:r>
    </w:p>
    <w:p>
      <w:pPr/>
      <w:r>
        <w:rPr>
          <w:b/>
        </w:rPr>
        <w:t>POSSIBLE 2024:</w:t>
      </w:r>
      <w:r>
        <w:t xml:space="preserve"> Heat-Insulated Regenerated Fibers with UV Resistance: Silk Fibroin/Al2O3 Nanoparticles — https://doi.org/10.3390/molecules29092023</w:t>
      </w:r>
    </w:p>
    <w:p>
      <w:pPr/>
      <w:r>
        <w:rPr>
          <w:b/>
        </w:rPr>
        <w:t>Shared claim-specific concepts:</w:t>
      </w:r>
      <w:r>
        <w:t xml:space="preserve"> rsf, makes, use; EU scope not established. This is a provisional connection, not an outcome finding.</w:t>
      </w:r>
    </w:p>
    <w:p>
      <w:pPr>
        <w:pStyle w:val="SourceNote"/>
      </w:pPr>
      <w:r>
        <w:rPr>
          <w:b/>
        </w:rPr>
        <w:t>Available abstract (not full text):</w:t>
      </w:r>
      <w:r>
        <w:t xml:space="preserve"> The various wastes generated by silkworm silk textiles that are no longer in use are increasing, which is causing considerable waste and contamination. This issue has attracted widespread attention in countries that use a lot of silk. Therefore, enhancing the mechanical properties of regenerated silk fibroin (RSF) and enriching the function of silk are important directions to expand the comprehensive utilization of silk products. In this paper, the preparation of RSF/Al2O3 nanoparticles (NPs) hybrid fiber with different Al2O3 NPs contents by wet spinning and its novel performance are reported. It was found that the RSF/Al2O3 NPs hybrid fiber was a multifunctional fiber material with thermal insulation and UV resistance. Natural light tests showed that the temperature rise rate of RSF/Al2O3 NPs hybrid fibers was slower than that of RSF fibers, and the average temperature rose from 29.1 °C to about 35.4 °C in 15 min, while RSF fibers could rise to about 40.1 °C. UV absorption tests showed that the hybrid fiber was resistant to UV radiation. Furthermore, the addition of Al2O3 NPs may improve the mechanical properties of the hybrid fibers. This was because the blending of Al2O3 NPs promoted the self-assembly of β-sheets in the RSF reaction mixture in a dose-dependent manner, which was manifested as the RSF/Al2O3 NPs hybrid fibers had more β-sheets, crystallinity, and a smaller crys</w:t>
      </w:r>
    </w:p>
    <w:p>
      <w:pPr/>
      <w:r>
        <w:rPr>
          <w:b/>
        </w:rPr>
        <w:t>POSSIBLE 2023:</w:t>
      </w:r>
      <w:r>
        <w:t xml:space="preserve"> Exploring the Potential of Innovation on Rice Straw Fluff (RSF) in Roofing System — https://doi.org/10.32722/arcee.v4i02.5235</w:t>
      </w:r>
    </w:p>
    <w:p>
      <w:pPr/>
      <w:r>
        <w:rPr>
          <w:b/>
        </w:rPr>
        <w:t>Shared claim-specific concepts:</w:t>
      </w:r>
      <w:r>
        <w:t xml:space="preserve"> finally, rsf, level; EU scope not established. This is a provisional connection, not an outcome finding.</w:t>
      </w:r>
    </w:p>
    <w:p>
      <w:pPr>
        <w:pStyle w:val="SourceNote"/>
      </w:pPr>
      <w:r>
        <w:rPr>
          <w:b/>
        </w:rPr>
        <w:t>Available abstract (not full text):</w:t>
      </w:r>
      <w:r>
        <w:t xml:space="preserve"> The metal deck is a building material used on the roof of the house for protection. While rice straw is a plant that forms after the rice is harvested. Rice straws will usually be burned by rice farmers to produce fertile soil; however, this will encourage open burning which can destroy the sustainability of the environment which needs to be avoided. However, there are also many types of metal decks, including metal decks with Polyurethane foam (PU Foam) which are considered good sound absorbers and contain a mixture of chemicals that may be harmful. The existence of Rice Straw Fluff is expected to help those who are less able to get metal decks that are as good as metal decks with Polyurethane foam (PU Foam). Several tests were conducted to detect whether the products produced exceed the effectiveness and can work well. The first test is the Impedance Tube Method which is a method to detect and evaluate the efficient sound frequency level. By using this method, Rice Straw Fluff is tested, and the results and data taken are good and effective if used by consumers. The next test is the Fourier Transform Infrared Spectroscopy Method (FTIR) which is a method to detect the chemicals contained in Rice Straw Fluff and existing products. The result of this finding clearly shows that rice straw mixed with silicone rubber is alkaline in nature which is influenced by silicone rubber. Whi</w:t>
      </w:r>
    </w:p>
    <w:p>
      <w:pPr/>
      <w:r>
        <w:rPr>
          <w:b/>
        </w:rPr>
        <w:t>POSSIBLE 2023:</w:t>
      </w:r>
      <w:r>
        <w:t xml:space="preserve"> Development and visualization of a risk prediction model for metabolic syndrome: a longitudinal cohort study based on health check-up data in China — https://doi.org/10.3389/fnut.2023.1286654</w:t>
      </w:r>
    </w:p>
    <w:p>
      <w:pPr/>
      <w:r>
        <w:rPr>
          <w:b/>
        </w:rPr>
        <w:t>Shared claim-specific concepts:</w:t>
      </w:r>
      <w:r>
        <w:t xml:space="preserve"> finally, rsf, level; EU scope not established. This is a provisional connection, not an outcome finding.</w:t>
      </w:r>
    </w:p>
    <w:p>
      <w:pPr>
        <w:pStyle w:val="SourceNote"/>
      </w:pPr>
      <w:r>
        <w:rPr>
          <w:b/>
        </w:rPr>
        <w:t>Available abstract (not full text):</w:t>
      </w:r>
      <w:r>
        <w:t xml:space="preserve"> Aim: Our study aimed to construct a practical risk prediction model for metabolic syndrome (MetS) based on the longitudinal health check-up data, considering both the baseline level of physical examination indicators and their annual average cumulative exposure, and to provide some theoretical basis for the health management of Mets. Methods: The prediction model was constructed in male and female cohorts, separately. The shared set of predictive variables screened out from 49 important physical examination indicators by the univariate Cox model, Lasso-Cox model and the RSF algorithm collectively was further screened by Cox stepwise regression method. The screened predictors were used to construct prediction model by the Cox proportional hazards regression model and RSF model, respectively. Subsequently, the better method would be selected to develop final MetS predictive model according to comprehensive comparison and evaluation. Finally, the optimal model was validated internally and externally by the time-dependent ROC curve (tdROC) and concordance indexes (C-indexes). The constructed predictive model was converted to a web-based prediction calculator using the "shiny" package of the R4.2.1 software. Results: A total of 15 predictors were screened in the male cohort and 9 predictors in the female cohort. In both male and female cohorts, the prediction error curve of the RSF </w:t>
      </w:r>
    </w:p>
    <w:p>
      <w:pPr/>
      <w:r>
        <w:rPr>
          <w:b/>
        </w:rPr>
        <w:t>POSSIBLE 2023:</w:t>
      </w:r>
      <w:r>
        <w:t xml:space="preserve"> Combining Rigid Cellulose Nanocrystals and Soft Silk Proteins: Revealing Interactions and Alignment in Shear — https://doi.org/10.1002/admi.202300162</w:t>
      </w:r>
    </w:p>
    <w:p>
      <w:pPr/>
      <w:r>
        <w:rPr>
          <w:b/>
        </w:rPr>
        <w:t>Shared claim-specific concepts:</w:t>
      </w:r>
      <w:r>
        <w:t xml:space="preserve"> finally, rsf, investigated; EU scope not established. This is a provisional connection, not an outcome finding.</w:t>
      </w:r>
    </w:p>
    <w:p>
      <w:pPr>
        <w:pStyle w:val="SourceNote"/>
      </w:pPr>
      <w:r>
        <w:rPr>
          <w:b/>
        </w:rPr>
        <w:t>Available abstract (not full text):</w:t>
      </w:r>
      <w:r>
        <w:t xml:space="preserve"> Abstract Natural materials, such as silk and cellulose, have an inspiring set of properties, which have evolved over hundreds of millions of years. In this study, cellulose nanocrystals (CNCs) and regenerated silk fibroin (RSF) are combined to evaluate their suitability for filament formation. This is assessed by tuning and characterizing the interactions between these two materials and finally by studying the alignment of the mixtures under shear. To modify the interactions between CNCs and silk, CNCs with varying surface functionalities (sulfate and/or aminosilane groups) are used. The interactions and compatibility of the two components are investigated using quartz crystal microbalance with dissipation monitoring (QCM‐D) and photothermal atomic force microscopy (AFM‐IR), which show that ionic interactions induce sufficient binding between the two components. Then, the alignment of the CNC and silk mixtures is evaluated by shear‐induced polarized light imaging, which indicates that silk can orientate with the CNCs when not covalently bound. Finally, the potential of the materials for filament formation is tentatively demonstrated using an industrial dry‐spinning environment, where CNCs are expected to bring order and alignment, whereas RSF provides soft and more mobile regions to further facilitate the alignment of the final filament structure.</w:t>
      </w:r>
    </w:p>
    <w:p>
      <w:pPr/>
      <w:r>
        <w:rPr>
          <w:b/>
        </w:rPr>
        <w:t>POSSIBLE 2022:</w:t>
      </w:r>
      <w:r>
        <w:t xml:space="preserve"> Topic-based classification and identification of global trends for startup companies — https://doi.org/10.1007/s11187-022-00609-6</w:t>
      </w:r>
    </w:p>
    <w:p>
      <w:pPr/>
      <w:r>
        <w:rPr>
          <w:b/>
        </w:rPr>
        <w:t>Shared claim-specific concepts:</w:t>
      </w:r>
      <w:r>
        <w:t xml:space="preserve"> finally, trend; EU scope visible. This is a provisional connection, not an outcome finding.</w:t>
      </w:r>
    </w:p>
    <w:p>
      <w:pPr>
        <w:pStyle w:val="SourceNote"/>
      </w:pPr>
      <w:r>
        <w:rPr>
          <w:b/>
        </w:rPr>
        <w:t>Available abstract (not full text):</w:t>
      </w:r>
      <w:r>
        <w:t xml:space="preserve"> To foresee global economic trends, one needs to understand the present startup companies that soon may become new market leaders. In this paper, we explore textual descriptions of more than 250 thousand startups in the Crunchbase database. We analyze the 2009-2019 period by using topic modeling. We propose a novel classification of startup companies free from expert bias that contains 38 topics and quantifies the weight of each of these topics for all the startups. Taking the year of establishment and geographical location of the startups into account, we measure which topics were increasing or decreasing their share over time, and which of them were predominantly present in Europe, North America, or other regions. We find that the share of startups focused on data analytics, social platforms, and financial transfers, and time management has risen, while an opposite trend is observed for mobile gaming, online news, and online social networks as well as legal and professional services. We also identify strong regional differences in topic distribution, suggesting certain concentration of the startups. For example, sustainable agriculture is presented stronger in South America and Africa, while pharmaceutics, in North America and Europe. Furthermore, we explore which pairs of topics tend to co-occur more often together, quantify how multisectoral the startups are, and which start</w:t>
      </w:r>
    </w:p>
    <w:p>
      <w:pPr/>
      <w:r>
        <w:rPr>
          <w:b/>
        </w:rPr>
        <w:t>POSSIBLE 2022:</w:t>
      </w:r>
      <w:r>
        <w:t xml:space="preserve"> Experimental study on basic mechanical properties of recycled steel fiber reinforced concrete — https://doi.org/10.1515/rams-2022-0041</w:t>
      </w:r>
    </w:p>
    <w:p>
      <w:pPr/>
      <w:r>
        <w:rPr>
          <w:b/>
        </w:rPr>
        <w:t>Shared claim-specific concepts:</w:t>
      </w:r>
      <w:r>
        <w:t xml:space="preserve"> finally, rsf, trend; EU scope not established. This is a provisional connection, not an outcome finding.</w:t>
      </w:r>
    </w:p>
    <w:p>
      <w:pPr>
        <w:pStyle w:val="SourceNote"/>
      </w:pPr>
      <w:r>
        <w:rPr>
          <w:b/>
        </w:rPr>
        <w:t>Available abstract (not full text):</w:t>
      </w:r>
      <w:r>
        <w:t xml:space="preserve"> Abstract Recycled steel fiber (RSF)-reinforced concrete is not only an innovative research trend in the field of civil engineering materials, but also a new type of civil engineering composites under the trend of low-carbon development. This article deals with the experimental study of applying waste steel fibers to form recycled steel fiber concrete (RSFC). The main materials in this study are RSF, coarse and fine aggregate, fly ash, silica fume, and water reducer agent formed by machining surplus materials as the main materials. Three types of concrete were prepared. They were normal concrete, primary steel fiber concrete (PSFC), and RSFC with six different volume contents. The slump and air content of the three types of concrete are compared and analyzed. Then, the effects of the volume content of RSF on the cube compressive strength, splitting tensile strength, flexural strength, and axial compressive strength of RSFC are studied. Finally, the toughness of RSFC is discussed. The test results show that with the increase in the volume content of RSF, the slump of RSFC is significantly reduced, the compressive strength, tensile strength, and flexural strength are enhanced, the increase in tensile strength and flexural strength is significantly higher than the cube compressive strength, and the RSF has an obvious inhibitory effect on the development of concrete cracks which can</w:t>
      </w:r>
    </w:p>
    <w:p>
      <w:pPr>
        <w:pStyle w:val="Heading2"/>
      </w:pPr>
      <w:r>
        <w:t>896. Technopolis, shared resources or controlled mobility? A net-based Delphi-study to explore visions of future urban daily mobility in Norway</w:t>
      </w:r>
    </w:p>
    <w:p>
      <w:pPr>
        <w:pStyle w:val="SourceNote"/>
      </w:pPr>
      <w:r>
        <w:rPr>
          <w:b/>
        </w:rPr>
        <w:t>Original source (2015):</w:t>
      </w:r>
      <w:r>
        <w:t xml:space="preserve"> https://doi.org/10.1007/s40309-015-0069-6</w:t>
      </w:r>
    </w:p>
    <w:p>
      <w:pPr/>
      <w:r>
        <w:t>Original wording (abstract; indexed_source_text_not_full_document_verified): An explorative factor analysis (principal component analysis) is applied to reveal three slightly different understandings of how the urban future may look like in 2050. Although there are general agreements on the need for change, different ideas and visions for the future dominate across different groups of stakeholders and academics.</w:t>
      </w:r>
    </w:p>
    <w:p>
      <w:pPr/>
      <w:r>
        <w:rPr>
          <w:b/>
        </w:rPr>
        <w:t>POSSIBLE 2026:</w:t>
      </w:r>
      <w:r>
        <w:t xml:space="preserve"> Principal Component Analysis of Economic Factors Affecting Food Consumption and Labor Market Performance in the European Union — https://doi.org/10.35219/eai15840409587</w:t>
      </w:r>
    </w:p>
    <w:p>
      <w:pPr/>
      <w:r>
        <w:rPr>
          <w:b/>
        </w:rPr>
        <w:t>Shared claim-specific concepts:</w:t>
      </w:r>
      <w:r>
        <w:t xml:space="preserve"> principal, component, although; EU scope visible. This is a provisional connection, not an outcome finding.</w:t>
      </w:r>
    </w:p>
    <w:p>
      <w:pPr>
        <w:pStyle w:val="SourceNote"/>
      </w:pPr>
      <w:r>
        <w:rPr>
          <w:b/>
        </w:rPr>
        <w:t>Available abstract (not full text):</w:t>
      </w:r>
      <w:r>
        <w:t xml:space="preserve"> The study analyzes the structure of the relationships between the economic determinants of food consumption and labor market performance in the European Union, using an exploratory approach based on principal component analysis.The motivation for this research comes from the growing importance of food price dynamics and labor market transformations in the recent economic context, characterized by inflationary pressures and persistent structural differences among member states.The empirical analysis is based on secondary data extracted from Eurostat for the year 2024, covering a sample of 29 European countries.The set of variables used reflects the economic conditions of food consumption, through the harmonized food price index, as well as labor market performance, through indicators such as the economic activity rate, labor costs, and labor productivity.The adopted methodology, principal component analysis, allows for the reduction of data dimensionality and the identification of latent dimensions that structure the relationships between these variables, without imposing causality assumptions.The results highlight the existence of two principal components that explain 78.02% of the total variation in the data.The first component reflects a dimension of economic efficiency, characterized by the relationship between productivity, labor costs, and food price levels, suggesting the</w:t>
      </w:r>
    </w:p>
    <w:p>
      <w:pPr/>
      <w:r>
        <w:rPr>
          <w:b/>
        </w:rPr>
        <w:t>POSSIBLE 2026:</w:t>
      </w:r>
      <w:r>
        <w:t xml:space="preserve"> Exploring asylum patterns in Europe: a focus on Italy — https://doi.org/10.71014/sieds.v80i1.522</w:t>
      </w:r>
    </w:p>
    <w:p>
      <w:pPr/>
      <w:r>
        <w:rPr>
          <w:b/>
        </w:rPr>
        <w:t>Shared claim-specific concepts:</w:t>
      </w:r>
      <w:r>
        <w:t xml:space="preserve"> look, across, groups; EU scope visible. This is a provisional connection, not an outcome finding.</w:t>
      </w:r>
    </w:p>
    <w:p>
      <w:pPr>
        <w:pStyle w:val="SourceNote"/>
      </w:pPr>
      <w:r>
        <w:rPr>
          <w:b/>
        </w:rPr>
        <w:t>Available abstract (not full text):</w:t>
      </w:r>
      <w:r>
        <w:t xml:space="preserve"> In recent years, asylum applications have become a central issue in the European migration context, with varying dynamics across countries. In 2024, Italy ranks third in Europe for number of first-time asylum applicants. Excluding temporary protection requests granted due to the Russia-Ukraine conflict, asylum applications in 2023 and 2024 have returned to the peak levels recorded during the Mediterranean crisis in 2016. This study aims to enhance understanding of the phenomenon through a multi-level approach. At the European level, we implement a descriptive analysis of asylum applications using Eurostat data. The goal is to analyse the distribution of socio-demographic indicators, such as the share of women or young people among applicants, within the European countries. Through multivariate analysis, we look for common patterns in asylum applications and groups of countries with similar profiles. The focus then shifts to Italy, where we investigate the evolution of asylum-seeker inflows, with particular attention to the cohort that entered in 2016, following the Mediterranean crisis. We trace these individuals up to 2024, to assess their presence and the reason for the residence permits they hold. A multinomial regression model is used to analyse the factors associated with permit transitions. The analysis seeks to highlight patterns and potential determinants that shape the</w:t>
      </w:r>
    </w:p>
    <w:p>
      <w:pPr/>
      <w:r>
        <w:rPr>
          <w:b/>
        </w:rPr>
        <w:t>POSSIBLE 2025:</w:t>
      </w:r>
      <w:r>
        <w:t xml:space="preserve"> Exploring intergenerational educational mobility : the role of personal and national factors across Europe — https://openalex.org/W7122348182</w:t>
      </w:r>
    </w:p>
    <w:p>
      <w:pPr/>
      <w:r>
        <w:rPr>
          <w:b/>
        </w:rPr>
        <w:t>Shared claim-specific concepts:</w:t>
      </w:r>
      <w:r>
        <w:t xml:space="preserve"> reveal, like, across; EU scope visible. This is a provisional connection, not an outcome finding.</w:t>
      </w:r>
    </w:p>
    <w:p>
      <w:pPr>
        <w:pStyle w:val="SourceNote"/>
      </w:pPr>
      <w:r>
        <w:rPr>
          <w:b/>
        </w:rPr>
        <w:t>Available abstract (not full text):</w:t>
      </w:r>
      <w:r>
        <w:t xml:space="preserve"> This paper aims at contributing to understand the interplay of personal and structural determinants of educational mobility. This study examines intergenerational educational mobility across 21 European countries, focusing on the role of individual and national factors in fostering upward mobility. Using data from the European Social Survey (2008-2020), the research begins by estimating absolute and relative mobility rates and continues analyzing the impact of individual attributes such as gender, ethnicity, and parental occupation, as well as macroeconomic variables, like income inequality and inflation, on upward educational mobility. The results obtained through regression analysis reveal that upward mobility is more likely among women and those from lower parental occupational backgrounds, whereas the effects of ethnic and immigrant status vary by context. At the national level, higher government education expenditure and household savings prove to be positively associated with mobility, while inflation serves as a barrier. Notably, income inequality's effect on mobility highlights complex regional dynamics.</w:t>
      </w:r>
    </w:p>
    <w:p>
      <w:pPr/>
      <w:r>
        <w:rPr>
          <w:b/>
        </w:rPr>
        <w:t>POSSIBLE 2025:</w:t>
      </w:r>
      <w:r>
        <w:t xml:space="preserve"> Exploring Principals’ Perceptions of Market Orientation in Modern Schools — https://doi.org/10.3390/admsci15050168</w:t>
      </w:r>
    </w:p>
    <w:p>
      <w:pPr/>
      <w:r>
        <w:rPr>
          <w:b/>
        </w:rPr>
        <w:t>Shared claim-specific concepts:</w:t>
      </w:r>
      <w:r>
        <w:t xml:space="preserve"> principal, three, across, stakeholders; EU scope not established. This is a provisional connection, not an outcome finding.</w:t>
      </w:r>
    </w:p>
    <w:p>
      <w:pPr>
        <w:pStyle w:val="SourceNote"/>
      </w:pPr>
      <w:r>
        <w:rPr>
          <w:b/>
        </w:rPr>
        <w:t>Available abstract (not full text):</w:t>
      </w:r>
      <w:r>
        <w:t xml:space="preserve"> Background/Purpose: In an increasingly competitive educational landscape, the school principal’s role has expanded beyond instructional leadership to include strategic marketing responsibilities. Yet the role of marketing in school leadership remains underexplored. Our objective was to investigate how Greek secondary school principals perceive marketing’s key dimensions (Customer Orientation, Competitor Orientation, and Inter-Functional Coordination) within schools, in comparison to other school staff members. Design/Methodology: A cross-sectional survey design was employed, collecting data using a structured questionnaire adapted from Oplatka and Hemsley-Brown. The sample comprised 350 respondents, including school principals and teaching staff. One-way ANOVA, supplemented by Games–Howell and Kruscall–Wallis tests, was employed to examine group differences across the three dimensions of market orientation. Results: Our findings indicate that principals demonstrate a higher level of Customer Orientation than other staff. However, no significant differences were found in Competitor Orientation or Inter-Functional Coordination across roles. Conclusions/Novelty: The findings suggest that while principals play a key role in aligning school functions and engaging with internal stakeholders, their sensitivity to external competition remains limited. The study highlights the evolving </w:t>
      </w:r>
    </w:p>
    <w:p>
      <w:pPr/>
      <w:r>
        <w:rPr>
          <w:b/>
        </w:rPr>
        <w:t>POSSIBLE 2024:</w:t>
      </w:r>
      <w:r>
        <w:t xml:space="preserve"> Monkeypox in Europe: Epidemiology and Risk Factors – A Scoping Review Study — https://doi.org/10.1101/2024.08.28.24312706</w:t>
      </w:r>
    </w:p>
    <w:p>
      <w:pPr/>
      <w:r>
        <w:rPr>
          <w:b/>
        </w:rPr>
        <w:t>Shared claim-specific concepts:</w:t>
      </w:r>
      <w:r>
        <w:t xml:space="preserve"> principal, although, across; EU scope visible. This is a provisional connection, not an outcome finding.</w:t>
      </w:r>
    </w:p>
    <w:p>
      <w:pPr>
        <w:pStyle w:val="SourceNote"/>
      </w:pPr>
      <w:r>
        <w:rPr>
          <w:b/>
        </w:rPr>
        <w:t>Available abstract (not full text):</w:t>
      </w:r>
      <w:r>
        <w:t xml:space="preserve"> Abstract Background Monkeypox (mpox) is a zoonotic disease originating from the Congo Basin (Clade I) and West Africa (Clade II). In 2022, mpox spread to non-endemic European countries, predominantly through human transmission associated with sexual contact. The outbreak in Europe was primarily with the Clade IIb lineage, which is less virulent. The World Health Organization (WHO) declared this outbreak a Public Health Emergency of International Concern (PHEIC) in 2022, which ended in May 2023 after a decline in cases. However, in July 2024, a resurgence of the more virulent Clade I occurred in the Democratic Republic of Congo (DRC), leading WHO to declare mpox a PHEIC again, due to the risk of global spread. Understanding epidemiology and risk factors of mpox is vital for effective public health measures. Methodology and principal findings A search conducted from 2014 to 2024 across PubMed, Scopus and Embase identified 38 studies on mpox in Europe, which were included for qualitative analysis. The key themes identified were epidemiology and risk factors/ behaviors. High-risk behaviors include sexual contact among men who have sex with men (MSM) with multiple partners, living with HIV, and frequent travel to endemic regions. Conclusions and significance With no definitive cure for mpox, public health measures such as surveillance, monitoring, and contact tracing are essential. </w:t>
      </w:r>
    </w:p>
    <w:p>
      <w:pPr/>
      <w:r>
        <w:rPr>
          <w:b/>
        </w:rPr>
        <w:t>POSSIBLE 2024:</w:t>
      </w:r>
      <w:r>
        <w:t xml:space="preserve"> Exploring high school principals' perceptions of essentials factors for high performing administrative teams — https://doi.org/10.17918/00010705</w:t>
      </w:r>
    </w:p>
    <w:p>
      <w:pPr/>
      <w:r>
        <w:rPr>
          <w:b/>
        </w:rPr>
        <w:t>Shared claim-specific concepts:</w:t>
      </w:r>
      <w:r>
        <w:t xml:space="preserve"> factor, principal, three, there; EU scope not established. This is a provisional connection, not an outcome finding.</w:t>
      </w:r>
    </w:p>
    <w:p>
      <w:pPr>
        <w:pStyle w:val="SourceNote"/>
      </w:pPr>
      <w:r>
        <w:rPr>
          <w:b/>
        </w:rPr>
        <w:t>Available abstract (not full text):</w:t>
      </w:r>
      <w:r>
        <w:t xml:space="preserve"> American schools are complex organizations responsible for the teaching and learning of students. Leading these dynamic institutions is the school principal and the influence of the principal is a leading factor in school outcomes and student achievement measures (Grissom et al., 2021). Thus, the principal is essential for school and student success; however, the complexity of secondary schools combined with increasing demands for accountability and school reform initiatives requires a collective approach to school leadership. As a result, the number of assistant principals has significantly increased to provide support and assistance in the leading and management of the school. The administrative team, acting on behalf of the principal, is instrumental when measuring school effectiveness and despite the prevalence of administrative teams, the research literature is largely silent on the collaborative structure responsible for school leadership. Moreover, there remains little investigation exploring the leadership styles of principals, the organization of administrative teams, and the perception of team effectiveness by the principal. This explanatory sequential mixed-method study explored this unknown landscape by delving into high school principals' perceptions of essential factors for high-performing administrative teams. As such, this study addressed the following research </w:t>
      </w:r>
    </w:p>
    <w:p>
      <w:pPr/>
      <w:r>
        <w:rPr>
          <w:b/>
        </w:rPr>
        <w:t>POSSIBLE 2024:</w:t>
      </w:r>
      <w:r>
        <w:t xml:space="preserve"> Exploring tourists' perceptions and influencing factors of creative tourism in Europe — https://doi.org/10.47743/eurint-2024-cli</w:t>
      </w:r>
    </w:p>
    <w:p>
      <w:pPr/>
      <w:r>
        <w:rPr>
          <w:b/>
        </w:rPr>
        <w:t>Shared claim-specific concepts:</w:t>
      </w:r>
      <w:r>
        <w:t xml:space="preserve"> reveal, there, groups; EU scope visible. This is a provisional connection, not an outcome finding.</w:t>
      </w:r>
    </w:p>
    <w:p>
      <w:pPr>
        <w:pStyle w:val="SourceNote"/>
      </w:pPr>
      <w:r>
        <w:rPr>
          <w:b/>
        </w:rPr>
        <w:t>Available abstract (not full text):</w:t>
      </w:r>
      <w:r>
        <w:t xml:space="preserve"> The emergence of co-creative interactions between tourists and touristic activities has extended in Europe generating increased interest, driven by contemporary trends in tourism emphasizing meaningful, authentic experiences and direct engagement with culture and local communities. Our paper aims to reveal insights and nuances in tourists' perceptions of creative destinations in Europe. The findings are based on a literature review on creative tourism and a qualitative methodology of two focus groups carried out with 20 people in total from 13 countries from Europe, including Bulgaria, Croatia, Estonia, Germany, Greece, Italy, Latvia, Lithuania, North Macedonia, Poland, Portugal, Romania and Spain. Within the focus groups there were explored the levels of understanding on the creative tourism concept, European destinations associated with creative tourism, influencing factors that stimulate engagement in creative tourism experiences in Europe as well future perspectives of creative tourism evolving in Europe. A diversity of opinions have emerged in consideration of creative tourism trends and patterns and the idea of a 'one-size-fits-all' model resulted to be particularly inappropriate in terms of creative tourism perceptions and experiences. Our analysis highlights several directions for further information development on the introduction of creative experiences into tourism d</w:t>
      </w:r>
    </w:p>
    <w:p>
      <w:pPr/>
      <w:r>
        <w:rPr>
          <w:b/>
        </w:rPr>
        <w:t>POSSIBLE 2023:</w:t>
      </w:r>
      <w:r>
        <w:t xml:space="preserve"> Relationships between factors of regional competitiveness in Central and Eastern Europe — https://doi.org/10.14254/2071-8330.2023/16-3/4</w:t>
      </w:r>
    </w:p>
    <w:p>
      <w:pPr/>
      <w:r>
        <w:rPr>
          <w:b/>
        </w:rPr>
        <w:t>Shared claim-specific concepts:</w:t>
      </w:r>
      <w:r>
        <w:t xml:space="preserve"> applied, reveal, different, general, across; EU scope visible. This is a provisional connection, not an outcome finding.</w:t>
      </w:r>
    </w:p>
    <w:p>
      <w:pPr>
        <w:pStyle w:val="SourceNote"/>
      </w:pPr>
      <w:r>
        <w:rPr>
          <w:b/>
        </w:rPr>
        <w:t>Available abstract (not full text):</w:t>
      </w:r>
      <w:r>
        <w:t xml:space="preserve"> The divide between the eastern and western parts of the European Union has been widely discussed. However, significant territorial differences are undoubtedly present even within the narrower eastern region of the EU. This study focuses on the competitiveness of regions in Central and Eastern Europe (CEE). The analysis relies on the pyramid model, the theoretical background of which provides the basis for investigating the factors affecting the competitiveness of the 51 NUTS 2 regions across six CEE countries. Partial least squares structural equation modelling (PLS-SEM) is applied to examine the relationships and effect mechanisms between the model’s factors (more specifically, between the latent variables representing the factors). We have adapted our general model to the so-called overperforming and underperforming regions described by Iammarino et al. (2019), exploring the connections of their competitiveness factors in this context. Research results reveal that the effect mechanisms observed between the above-mentioned regions are completely different. Various factors can be considered as either important or less decisive in terms of competitiveness development, which could have implications for regional policy moving forward.</w:t>
      </w:r>
    </w:p>
    <w:p>
      <w:pPr/>
      <w:r>
        <w:rPr>
          <w:b/>
        </w:rPr>
        <w:t>POSSIBLE 2023:</w:t>
      </w:r>
      <w:r>
        <w:t xml:space="preserve"> Exploring the effects of protected area networks on the European land system — https://doi.org/10.1016/j.jenvman.2023.117741</w:t>
      </w:r>
    </w:p>
    <w:p>
      <w:pPr/>
      <w:r>
        <w:rPr>
          <w:b/>
        </w:rPr>
        <w:t>Shared claim-specific concepts:</w:t>
      </w:r>
      <w:r>
        <w:t xml:space="preserve"> different, need, across; EU scope visible. This is a provisional connection, not an outcome finding.</w:t>
      </w:r>
    </w:p>
    <w:p>
      <w:pPr>
        <w:pStyle w:val="SourceNote"/>
      </w:pPr>
      <w:r>
        <w:rPr>
          <w:b/>
        </w:rPr>
        <w:t>Available abstract (not full text):</w:t>
      </w:r>
      <w:r>
        <w:t xml:space="preserve"> The European Union's Biodiversity Strategy for 2030 seeks to protect 30% of land, with 10% under strict protection, while building a transnational nature network. We explore the effects of the Biodiversity Strategy targets for land use and ecosystem services across the European land system. To do so, we propose a novel approach, combining a methodological framework for improving green network connectivity with an EU-wide land system model. We identify an improved network of EU protected areas consistent with the 2030 targets, and explore its effects under different levels of protection and in a range of paired climatic and socio-economic scenarios. The existing network of protected areas is highly fragmented, with more than one third of its nodes being isolated. We find that prioritizing connectivity when implementing new protected areas could achieve the strategy's targets without compromising the future provision of ecosystem services, including food production, in Europe. However, we also find that EU-wide distributions of land uses and ecosystem services are influenced by the protected area network, and that this influence manifests differently in different climatic and socio-economic scenarios. Varying the strength of protection of the network had limited effects. Extractive services (food and timber production) decreased in protected areas, but non-extractive services inc</w:t>
      </w:r>
    </w:p>
    <w:p>
      <w:pPr/>
      <w:r>
        <w:rPr>
          <w:b/>
        </w:rPr>
        <w:t>POSSIBLE 2023:</w:t>
      </w:r>
      <w:r>
        <w:t xml:space="preserve"> Testing the Effect of Relative Pollen Productivity on the REVEALS Model: A Validated Reconstruction of Europe-Wide Holocene Vegetation — https://doi.org/10.3390/land12050986</w:t>
      </w:r>
    </w:p>
    <w:p>
      <w:pPr/>
      <w:r>
        <w:rPr>
          <w:b/>
        </w:rPr>
        <w:t>Shared claim-specific concepts:</w:t>
      </w:r>
      <w:r>
        <w:t xml:space="preserve"> three, across; EU scope visible. This is a provisional connection, not an outcome finding.</w:t>
      </w:r>
    </w:p>
    <w:p>
      <w:pPr>
        <w:pStyle w:val="SourceNote"/>
      </w:pPr>
      <w:r>
        <w:rPr>
          <w:b/>
        </w:rPr>
        <w:t>Available abstract (not full text):</w:t>
      </w:r>
      <w:r>
        <w:t xml:space="preserve"> Reliable quantitative vegetation reconstructions for Europe during the Holocene are crucial to improving our understanding of landscape dynamics, making it possible to assess the past effects of environmental variables and land-use change on ecosystems and biodiversity, and mitigating their effects in the future. We present here the most spatially extensive and temporally continuous pollen-based reconstructions of plant cover in Europe (at a spatial resolution of 1° × 1°) over the Holocene (last 11.7 ka BP) using the ‘Regional Estimates of VEgetation Abundance from Large Sites’ (REVEALS) model. This study has three main aims. First, to present the most accurate and reliable generation of REVEALS reconstructions across Europe so far. This has been achieved by including a larger number of pollen records compared to former analyses, in particular from the Mediterranean area. Second, to discuss methodological issues in the quantification of past land cover by using alternative datasets of relative pollen productivities (RPPs), one of the key input parameters of REVEALS, to test model sensitivity. Finally, to validate our reconstructions with the global forest change dataset. The results suggest that the RPPs.st1 (31 taxa) dataset is best suited to producing regional vegetation cover estimates for Europe. These reconstructions offer a long-term perspective providing unique possibili</w:t>
      </w:r>
    </w:p>
    <w:p>
      <w:pPr/>
      <w:r>
        <w:rPr>
          <w:b/>
        </w:rPr>
        <w:t>POSSIBLE 2022:</w:t>
      </w:r>
      <w:r>
        <w:t xml:space="preserve"> Exploring Factors Associated with Parent Engagement in A Parenting Program in Southeastern Europe — https://doi.org/10.1007/s10826-022-02411-0</w:t>
      </w:r>
    </w:p>
    <w:p>
      <w:pPr/>
      <w:r>
        <w:rPr>
          <w:b/>
        </w:rPr>
        <w:t>Shared claim-specific concepts:</w:t>
      </w:r>
      <w:r>
        <w:t xml:space="preserve"> three, different, there; EU scope visible. This is a provisional connection, not an outcome finding.</w:t>
      </w:r>
    </w:p>
    <w:p>
      <w:pPr>
        <w:pStyle w:val="SourceNote"/>
      </w:pPr>
      <w:r>
        <w:rPr>
          <w:b/>
        </w:rPr>
        <w:t>Available abstract (not full text):</w:t>
      </w:r>
      <w:r>
        <w:t xml:space="preserve"> Abstract Parental engagement in parenting programs is essential for good outcomes but can be challenging for many families. In low- and middle-income countries, where resources are limited and there are fewer support services, there is little research examining the factors that influence engagement. This mixed-methods study explored factors associated with parent engagement, as well as barriers and supports, in a pilot evaluation of a parenting program with 140 parents in North Macedonia, Republic of Moldova, and Romania. The relationship between various quantitative types of engagement (e.g., premature drop-out, participation) and a range of demographic, personal, and implementation factors were examined. Qualitative parent interviews explored barriers and supports to program engagement. Implementation variables (e.g., phone calls with parents, program fidelity and text messages sent to parents) were consistently positively associated with different types of engagement after controlling for other factors. Parents of boys, being a victim of intimate partner violence, more children in the household and better parental well-being were positively associated with premature drop-out whilst having a child enrolled in school was positively associated with participation. Barriers included logistical factors such as timing and lack of childcare facilities. Factors that increased engagem</w:t>
      </w:r>
    </w:p>
    <w:p>
      <w:pPr/>
      <w:r>
        <w:rPr>
          <w:b/>
        </w:rPr>
        <w:t>POSSIBLE 2022:</w:t>
      </w:r>
      <w:r>
        <w:t xml:space="preserve"> Exploring scale in social licence to operate: European perspectives — https://doi.org/10.1016/j.jclepro.2022.135552</w:t>
      </w:r>
    </w:p>
    <w:p>
      <w:pPr/>
      <w:r>
        <w:rPr>
          <w:b/>
        </w:rPr>
        <w:t>Shared claim-specific concepts:</w:t>
      </w:r>
      <w:r>
        <w:t xml:space="preserve"> three, although, there; EU scope visible. This is a provisional connection, not an outcome finding.</w:t>
      </w:r>
    </w:p>
    <w:p>
      <w:pPr>
        <w:pStyle w:val="SourceNote"/>
      </w:pPr>
      <w:r>
        <w:rPr>
          <w:b/>
        </w:rPr>
        <w:t>Available abstract (not full text):</w:t>
      </w:r>
      <w:r>
        <w:t xml:space="preserve"> This article explores the issue of scale in the social licence to operate (SLO) which, to date, is understudied. The community-company relationship is the original, and still predominant, conceptualization of the term with the less tangible society-industry relationship still not typically in focus. Although the literature distinguishes between community and societal scales, there is no research on why the distinction is important, how the two scales are integrated or whether they interact with and influence one another. Exploring scale in SLO is important for theoretical clarification of the concept, for better empirical understanding of the role mining plays in host localities and the broader society and for the potential to incentivize industry toward more responsible and sustainable practices. Europe's multi-layered governance structure combined with its push for more domestic mining activities provides an ideal crucible for debates of scale to play out. To investigate the community and societal scales in the European context within a single study, three main research questions guide the work: how do orientations toward SLO differ at the community and societal scales; how do these orientations influence the acceptance of mining at both scales; and how do these orientations interact and influence one another? Through quantitative analyses, we found that site level factors te</w:t>
      </w:r>
    </w:p>
    <w:p>
      <w:pPr>
        <w:pStyle w:val="Heading2"/>
      </w:pPr>
      <w:r>
        <w:t>897. The Future of Internationalization of Higher Education in Europe</w:t>
      </w:r>
    </w:p>
    <w:p>
      <w:pPr>
        <w:pStyle w:val="SourceNote"/>
      </w:pPr>
      <w:r>
        <w:rPr>
          <w:b/>
        </w:rPr>
        <w:t>Original source (2015):</w:t>
      </w:r>
      <w:r>
        <w:t xml:space="preserve"> https://doi.org/10.6017/ihe.2015.83.9073</w:t>
      </w:r>
    </w:p>
    <w:p>
      <w:pPr/>
      <w:r>
        <w:t>Original wording (abstract; indexed_source_text_not_full_document_verified): The study results in conclusions and recommendations on the future of internationalization of higher education in Europe, based on the national reports and a Delphi process among experts in international higher education. This is a summary of the key findings of the study, including a redefinition of the meaning of internationalization.</w:t>
      </w:r>
    </w:p>
    <w:p>
      <w:pPr/>
      <w:r>
        <w:rPr>
          <w:b/>
        </w:rPr>
        <w:t>POSSIBLE 2025:</w:t>
      </w:r>
      <w:r>
        <w:t xml:space="preserve"> Regional Pathways to Internationalization: The Role of Erasmus+ in European HEIs — https://doi.org/10.3390/urbansci9050144</w:t>
      </w:r>
    </w:p>
    <w:p>
      <w:pPr/>
      <w:r>
        <w:rPr>
          <w:b/>
        </w:rPr>
        <w:t>Shared claim-specific concepts:</w:t>
      </w:r>
      <w:r>
        <w:t xml:space="preserve"> conclusions, internationalization, higher, education, findings; EU scope visible. This is a provisional connection, not an outcome finding.</w:t>
      </w:r>
    </w:p>
    <w:p>
      <w:pPr>
        <w:pStyle w:val="SourceNote"/>
      </w:pPr>
      <w:r>
        <w:rPr>
          <w:b/>
        </w:rPr>
        <w:t>Available abstract (not full text):</w:t>
      </w:r>
      <w:r>
        <w:t xml:space="preserve"> The study examines the geographic distribution of Erasmus+ incoming student mobility across European Higher Education Institutions (HEIs) from 2014 to 2020, highlighting significant regional disparities. It addresses the crucial questions of how regional and institutional factors influence student attractiveness and the emerging hotspots of mobility, which are vital for understanding the dynamics of educational internationalisation and regional development. The primary goal of this work is to identify the regional and institutional determinants of Erasmus student mobility and to propose strategies for enhancing the attractiveness of less favoured regions. Employing hotspot analysis and a two-level random intercept model, this research analyses spatial patterns and the influences of regional characteristics and institutional variables on Erasmus mobility rates. The findings reveal that while Spain, Germany, and the UK are leading recipients of Erasmus students, significant mobility hotspots exist primarily in Spain, Portugal, and southern France, with unexpected clusters emerging in Ireland and Sweden, indicating evolving dynamics in student mobility patterns. The conclusions underscore the importance of targeted regional policies to enhance HEI attractiveness and promote balanced internationalisation across Europe, particularly in underserved areas. These findings call for stra</w:t>
      </w:r>
    </w:p>
    <w:p>
      <w:pPr/>
      <w:r>
        <w:rPr>
          <w:b/>
        </w:rPr>
        <w:t>POSSIBLE 2025:</w:t>
      </w:r>
      <w:r>
        <w:t xml:space="preserve"> Conceptualizing ‘quality of education’: an analysis of European political documents on education — https://doi.org/10.3389/feduc.2025.1463412</w:t>
      </w:r>
    </w:p>
    <w:p>
      <w:pPr/>
      <w:r>
        <w:rPr>
          <w:b/>
        </w:rPr>
        <w:t>Shared claim-specific concepts:</w:t>
      </w:r>
      <w:r>
        <w:t xml:space="preserve"> conclusions, recommendations, education, based, national, international; EU scope visible. This is a provisional connection, not an outcome finding.</w:t>
      </w:r>
    </w:p>
    <w:p>
      <w:pPr>
        <w:pStyle w:val="SourceNote"/>
      </w:pPr>
      <w:r>
        <w:rPr>
          <w:b/>
        </w:rPr>
        <w:t>Available abstract (not full text):</w:t>
      </w:r>
      <w:r>
        <w:t xml:space="preserve"> This paper conceptualizes ‘quality of education’ in the European political discourse. The expression ‘education quality’ and its variations are frequently found in literature and policies at supranational, international, national, and local levels but are not explicitly defined. However, it is assumed to be a goal that countries pursue and has gained prominence in the European context. Acknowledging the European agencies’ legislation’s influence on Member-States’ domestic policies, understanding what “education quality” means is of the utmost importance. Based on the content analysis of political documents issued by several European agencies, this paper categorizes, systematizes, and interprets the European political discourse on education to infer aspects that can compose ‘quality of education’ and develop an understanding of the concept. The analysis resulted in the systematization of three aspects that help to conceptualize the ‘quality’ of education: (i) ‘What is expected of education’; (ii) ‘Components of education quality’; (iii) ‘Priorities for Education’. Based on these aspects, a generic definition was formulated stating that education of quality is oriented toward preparing people to contribute to the social and political project, acquiring knowledge, skills, and competences to be productive; needing motivated and well-prepared teachers and leaders, adequate condition</w:t>
      </w:r>
    </w:p>
    <w:p>
      <w:pPr/>
      <w:r>
        <w:rPr>
          <w:b/>
        </w:rPr>
        <w:t>POSSIBLE 2025:</w:t>
      </w:r>
      <w:r>
        <w:t xml:space="preserve"> Empowering Tomorrow's Leaders: An Inclusive Study of Innovation, Entrepreneurship, and Internationalization in Higher Education Across South-Eastern Europe — https://doi.org/10.2139/ssrn.5287015</w:t>
      </w:r>
    </w:p>
    <w:p>
      <w:pPr/>
      <w:r>
        <w:rPr>
          <w:b/>
        </w:rPr>
        <w:t>Shared claim-specific concepts:</w:t>
      </w:r>
      <w:r>
        <w:t xml:space="preserve"> internationalization, higher, education;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Evidence-Based Pathways for the Internationalization of Taijiquan — https://doi.org/10.57612/js25.jts.04.06</w:t>
      </w:r>
    </w:p>
    <w:p>
      <w:pPr/>
      <w:r>
        <w:rPr>
          <w:b/>
        </w:rPr>
        <w:t>Shared claim-specific concepts:</w:t>
      </w:r>
      <w:r>
        <w:t xml:space="preserve"> internationalization, based, among, international; EU scope visible. This is a provisional connection, not an outcome finding.</w:t>
      </w:r>
    </w:p>
    <w:p>
      <w:pPr>
        <w:pStyle w:val="SourceNote"/>
      </w:pPr>
      <w:r>
        <w:rPr>
          <w:b/>
        </w:rPr>
        <w:t>Available abstract (not full text):</w:t>
      </w:r>
      <w:r>
        <w:t xml:space="preserve"> Taijiquan embodies martial, health-promoting, and cultural values. In recent years, Evidence-Based Medicine (EBM) has provided a scientific framework to validate its health benefits. A growing body of randomized controlled trials (RCTs) and systematic reviews/meta-analyses has demonstrated robust evidence for Taijiquan in fall prevention, balance enhancement, blood pressure regulation, and mental health among older adults, with additional promising signals in Parkinson’s disease, stroke rehabilitation, cancer recovery, and chronic disease management. Within the EBM framework, this paper systematically reviews the existing evidence, compares research and dissemination pathways across the United States, Europe, and China, and analyzes methodological limitations, instructor training, data sharing, and policy barriers. Based on this analysis, six major internationalization pathways are proposed: academic institutionalization, educational integration, societal adoption, medical incorporation, and collaborative research communities. Overall, Taijiquan is undergoing a critical transition from cultural heritage to evidence-based intervention. Its scientific and international development holds strong potential to contribute to healthy aging and global public health goals.</w:t>
      </w:r>
    </w:p>
    <w:p>
      <w:pPr/>
      <w:r>
        <w:rPr>
          <w:b/>
        </w:rPr>
        <w:t>POSSIBLE 2024:</w:t>
      </w:r>
      <w:r>
        <w:t xml:space="preserve"> Internationalization accelerators in automotive sector companies — https://doi.org/10.29119/1641-3466.2024.211.20</w:t>
      </w:r>
    </w:p>
    <w:p>
      <w:pPr/>
      <w:r>
        <w:rPr>
          <w:b/>
        </w:rPr>
        <w:t>Shared claim-specific concepts:</w:t>
      </w:r>
      <w:r>
        <w:t xml:space="preserve"> conclusions, recommendations, internationalization, process, international, findings; EU scope not established. This is a provisional connection, not an outcome finding.</w:t>
      </w:r>
    </w:p>
    <w:p>
      <w:pPr>
        <w:pStyle w:val="SourceNote"/>
      </w:pPr>
      <w:r>
        <w:rPr>
          <w:b/>
        </w:rPr>
        <w:t>Available abstract (not full text):</w:t>
      </w:r>
      <w:r>
        <w:t xml:space="preserve"> Purpose: The main aim of the article is to identify and describe the accelerators of internationalization of automotive companies, i.e. the factors that create the conditions for this process to occur and significantly strengthen it.An additional goal is to group these factors according to specific criteria and try to determine their importance using specific examples.Design/methodology/approach: The study used mixed research methods.The research began with literature studies.They allowed for determining the current state of knowledge in the studied area and formulating the research problem.The actual research was conducted using the qualitative approach.Case studies supported by data from secondary sources are an important element of the research.Findings: All factors enabling and accelerating the internationalization process can be classified into one of four groups: politics, market, costs and competition.Each of these groups is characterized by features common within this group and significantly different from those of the other groups.With the passage of time and with evolution of the global economy, the importance of the described factors and the strength of their impact on the overall shape of enterprise internationalization are changing. Research limitations/implications:The research expands scientific knowledge of factors that determine the background of the internatio</w:t>
      </w:r>
    </w:p>
    <w:p>
      <w:pPr/>
      <w:r>
        <w:rPr>
          <w:b/>
        </w:rPr>
        <w:t>POSSIBLE 2023:</w:t>
      </w:r>
      <w:r>
        <w:t xml:space="preserve"> Entry modes used in the internationalization process of automotive enterprises — https://doi.org/10.29119/1641-3466.2023.180.16</w:t>
      </w:r>
    </w:p>
    <w:p>
      <w:pPr/>
      <w:r>
        <w:rPr>
          <w:b/>
        </w:rPr>
        <w:t>Shared claim-specific concepts:</w:t>
      </w:r>
      <w:r>
        <w:t xml:space="preserve"> conclusions, recommendations, internationalization, process, findings; EU scope visible. This is a provisional connection, not an outcome finding.</w:t>
      </w:r>
    </w:p>
    <w:p>
      <w:pPr>
        <w:pStyle w:val="SourceNote"/>
      </w:pPr>
      <w:r>
        <w:rPr>
          <w:b/>
        </w:rPr>
        <w:t>Available abstract (not full text):</w:t>
      </w:r>
      <w:r>
        <w:t xml:space="preserve"> Purpose: The main aim of the article is to identify and describe strategies for entering foreign markets and forms of serving these markets by automotive sector enterprises as part of the internationalization process.The secondary goal is to find links between these strategies, their forms and their importance for the overall course of internationalization of activities of the surveyed enterprises.Design, methodology and approach: The article uses mixed research methods.The starting point was literature studies to determine the current state of knowledge in the research area and to formulate the problem.The research proper was conducted using a qualitative approach.The core consisted of case studies supported by data from secondary sources.Findings: It is not possible to design a universal internationalization model for all enterprises in the automotive sector.Strategies adopted depend on many factors: general conditions of the country's economy and its size, level of technological advancement in production, capital resources, product range and vision of development.Therefore, the greatest similarities occur in the geographical layout.Asian, European and North American companies followed different paths of internationalization. Research limitations and implications:The research expands knowledge about internationalization of automotive companies.It shows the context of the proc</w:t>
      </w:r>
    </w:p>
    <w:p>
      <w:pPr/>
      <w:r>
        <w:rPr>
          <w:b/>
        </w:rPr>
        <w:t>POSSIBLE 2023:</w:t>
      </w:r>
      <w:r>
        <w:t xml:space="preserve"> Internationalization of Quality Assurance as a Pre-Requisite for Internationalization in Higher Education — https://doi.org/10.2478/seeur-2023-0099</w:t>
      </w:r>
    </w:p>
    <w:p>
      <w:pPr/>
      <w:r>
        <w:rPr>
          <w:b/>
        </w:rPr>
        <w:t>Shared claim-specific concepts:</w:t>
      </w:r>
      <w:r>
        <w:t xml:space="preserve"> internationalization, higher, education, based, process, international; EU scope visible. This is a provisional connection, not an outcome finding.</w:t>
      </w:r>
    </w:p>
    <w:p>
      <w:pPr>
        <w:pStyle w:val="SourceNote"/>
      </w:pPr>
      <w:r>
        <w:rPr>
          <w:b/>
        </w:rPr>
        <w:t>Available abstract (not full text):</w:t>
      </w:r>
      <w:r>
        <w:t xml:space="preserve"> Abstract There are multiple positive effects of internationalization of Higher Education (HE) on enriching students’ experiences in general and providing opportunities for exchange and development of all segments of university functioning. This paper aims to contribute to determining the role of institutional QA in promotion of the international cooperation in HE by analysing undergraduate students’ perceptions on their international experience and comparing them to their home University. Individual experiences of students from the Southeast European University (SEEU) in North Macedonia, who participated in Erasmus exchange program in the last two academic years (2021/22 and 2022/23), with regard to the main quality assurance (QA) principles and measurements applied at their home University, are being considered. Their academic progress at the international universities is also taken into consideration. The aim is to collect firsthand information from the main stakeholders in the QA process about areas that can be further developed, as well as to position SEEU and self-check where it stands comparing and benchmarking it with some reputable European universities in order to better prepare its students for the international job market. SEEU has one of the most developed QA systems in the wider region, created and constantly being developed based on the international standards and</w:t>
      </w:r>
    </w:p>
    <w:p>
      <w:pPr/>
      <w:r>
        <w:rPr>
          <w:b/>
        </w:rPr>
        <w:t>POSSIBLE 2022:</w:t>
      </w:r>
      <w:r>
        <w:t xml:space="preserve"> Navigating the internationalization process: Strategic resources for early internationalizing firms — https://doi.org/10.1007/s10843-022-00308-z</w:t>
      </w:r>
    </w:p>
    <w:p>
      <w:pPr/>
      <w:r>
        <w:rPr>
          <w:b/>
        </w:rPr>
        <w:t>Shared claim-specific concepts:</w:t>
      </w:r>
      <w:r>
        <w:t xml:space="preserve"> recommendations, internationalization, based, process; EU scope not established. This is a provisional connection, not an outcome finding.</w:t>
      </w:r>
    </w:p>
    <w:p>
      <w:pPr>
        <w:pStyle w:val="SourceNote"/>
      </w:pPr>
      <w:r>
        <w:rPr>
          <w:b/>
        </w:rPr>
        <w:t>Available abstract (not full text):</w:t>
      </w:r>
      <w:r>
        <w:t xml:space="preserve"> Abstract Despite an increasing number of studies identifying factors that influence the internationalization process for early internationalizing firms (EIFs), it remains unclear which of these numerous factors could play a strategic role and, more specifically, when. This paper develops a new conceptual framework anchored in the resource-based view to identify strategic resources that can explain EIFs’ internationalization process accurately over time. Building on a systematic literature review based on 102 papers covering a period of 29 years, we methodically present a phase-by-phase observation of EIFs’ internationalization process to identify the strategic relevance of different influential resources. The results highlight the importance of the shift from individual to organizational resources, which occurs at a critical phase of transition from the entry to the post-entry phase. Studying the evolution of strategic resources along four phases allows us to determine that the progress of EIFs through the phases of their internationalization process is closely linked to their resources’ development process. This study suggests some promising research avenues, at theoretical and methodological levels, and results in a series of concrete recommendations intended for entrepreneurs and/or managers of EIFs.</w:t>
      </w:r>
    </w:p>
    <w:p>
      <w:pPr/>
      <w:r>
        <w:rPr>
          <w:b/>
        </w:rPr>
        <w:t>POSSIBLE 2022:</w:t>
      </w:r>
      <w:r>
        <w:t xml:space="preserve"> Management of inflammation in dry eye disease: Recommendations from a European panel of experts — https://doi.org/10.1177/11206721221141481</w:t>
      </w:r>
    </w:p>
    <w:p>
      <w:pPr/>
      <w:r>
        <w:rPr>
          <w:b/>
        </w:rPr>
        <w:t>Shared claim-specific concepts:</w:t>
      </w:r>
      <w:r>
        <w:t xml:space="preserve"> recommendations, education, based, experts, key, including; EU scope visible. This is a provisional connection, not an outcome finding.</w:t>
      </w:r>
    </w:p>
    <w:p>
      <w:pPr>
        <w:pStyle w:val="SourceNote"/>
      </w:pPr>
      <w:r>
        <w:rPr>
          <w:b/>
        </w:rPr>
        <w:t>Available abstract (not full text):</w:t>
      </w:r>
      <w:r>
        <w:t xml:space="preserve"> INTRODUCTION: Early initiation of anti-inflammatory therapies is recommended for dry eye disease (DED) to break the vicious cycle of pathophysiology. However, there is limited guidance on how to implement topical ciclosporin (CsA) and corticosteroid treatment into clinical practice. This expert-led consensus provides practical guidance on the management of DED, including when and how to use topical CsA. METHODS: A steering committee (SC) of seven European DED experts developed a questionnaire to gain information on the unmet needs and management of DED in clinical practice. Consensus statements on four key areas (disease severity and progression; patient management; efficacy, safety and tolerability of CsA; and patient education) were generated based on the responses. The SC and an expanded expert panel of 22 members used a nine-point scale (1 = strongly disagree; 9 = strongly agree) to rate statements; a consensus was reached if ≥75% of experts scored a statement ≥7. RESULTS: A stepwise approach to DED management is required in patients presenting with moderate corneal staining. Early topical CsA initiation, alone or with corticosteroids, should be considered in patients with clinical risk factors for severe DED. Patient education is required before and during treatment to manage expectations regarding efficacy and tolerability in order to optimise adherence. Follow-up visits </w:t>
      </w:r>
    </w:p>
    <w:p>
      <w:pPr/>
      <w:r>
        <w:rPr>
          <w:b/>
        </w:rPr>
        <w:t>POSSIBLE 2021:</w:t>
      </w:r>
      <w:r>
        <w:t xml:space="preserve"> European Recommendations on Robotics and Related Issues in Education in Different Countries — https://doi.org/10.1007/978-3-030-77040-2_34</w:t>
      </w:r>
    </w:p>
    <w:p>
      <w:pPr/>
      <w:r>
        <w:rPr>
          <w:b/>
        </w:rPr>
        <w:t>Shared claim-specific concepts:</w:t>
      </w:r>
      <w:r>
        <w:t xml:space="preserve"> recommendations, education, based; EU scope visible. This is a provisional connection, not an outcome finding.</w:t>
      </w:r>
    </w:p>
    <w:p>
      <w:pPr>
        <w:pStyle w:val="SourceNote"/>
      </w:pPr>
      <w:r>
        <w:rPr>
          <w:b/>
        </w:rPr>
        <w:t>Available abstract (not full text):</w:t>
      </w:r>
      <w:r>
        <w:t xml:space="preserve"> Abstract This short paper describes the preliminary phase in an innovative line of research comparing educational robotics in Italy and other countries, from the perspective of media education, and based on the European Parliament recommendations to the Commission on civil law rules on robotics. More specifically, all decision processes that affect digital citizenship should have the support of children and teenagers. For these reasons, this paper looks at the work of a group of Italian high school students in the fifth year of upper secondary school, who formulated a SWOT analysis to highlight their attitudes to robotics issues in relation to the European Union recommendations. This research started in 2018 and will be repeated this academic year with Italian and Congolese students—from the Institut Supérieur des Techniques Appliquées—with a qualitative analysis to establish student attitudes to robotics issues. Qualitative analysis was selected because the SWOT analysis is already divided into information categories, revealing a variety of concepts that are grouped together from the collected data. These results will be compared with any obtained in future years in Italy and other countries, to find further potential patterns.</w:t>
      </w:r>
    </w:p>
    <w:p>
      <w:pPr/>
      <w:r>
        <w:rPr>
          <w:b/>
        </w:rPr>
        <w:t>POSSIBLE 2020:</w:t>
      </w:r>
      <w:r>
        <w:t xml:space="preserve"> Collaboration and Internationalization of SMEs: Insights and Recommendations from a Systematic Review — https://doi.org/10.1111/ijmr.12238</w:t>
      </w:r>
    </w:p>
    <w:p>
      <w:pPr/>
      <w:r>
        <w:rPr>
          <w:b/>
        </w:rPr>
        <w:t>Shared claim-specific concepts:</w:t>
      </w:r>
      <w:r>
        <w:t xml:space="preserve"> recommendations, internationalization, process, key; EU scope not established. This is a provisional connection, not an outcome finding.</w:t>
      </w:r>
    </w:p>
    <w:p>
      <w:pPr>
        <w:pStyle w:val="SourceNote"/>
      </w:pPr>
      <w:r>
        <w:rPr>
          <w:b/>
        </w:rPr>
        <w:t>Available abstract (not full text):</w:t>
      </w:r>
      <w:r>
        <w:t xml:space="preserve"> Abstract This paper performs a systematic literature review of the undeniably diverse – and somewhat fragmented – current state of research on the collaborations and internationalization of small and medium‐sized enterprises (SMEs). We analyze key works and synthesize them into a framework that conceptually maps key antecedents, mediators, and moderators that influence the internationalization of SMEs. In addition, we highlight limitations of the literature, most notably in terms of theoretical fragmentation; extant theories are deployed and illustrated but rarely extended in a manner that significantly informs subsequent work. At an applied (but related) level, we argue the need for supplementary work that explores the distinct stages of internationalization – and the scope and scale of this process – rather than assuming closure around particular events. With this, we highlight the need for more rigorous and empirically informed explorations of contextual effects that take account of the consequences of developments in the global economic ecosystem.</w:t>
      </w:r>
    </w:p>
    <w:p>
      <w:pPr/>
      <w:r>
        <w:rPr>
          <w:b/>
        </w:rPr>
        <w:t>POSSIBLE 2020:</w:t>
      </w:r>
      <w:r>
        <w:t xml:space="preserve"> Make Banking Simple Again : A multiple case-study about the internationalization of the largest online retail banks in Europe — https://openalex.org/W3047438540</w:t>
      </w:r>
    </w:p>
    <w:p>
      <w:pPr/>
      <w:r>
        <w:rPr>
          <w:b/>
        </w:rPr>
        <w:t>Shared claim-specific concepts:</w:t>
      </w:r>
      <w:r>
        <w:t xml:space="preserve"> recommendations, internationalization, process, international, findings; EU scope visible. This is a provisional connection, not an outcome finding.</w:t>
      </w:r>
    </w:p>
    <w:p>
      <w:pPr>
        <w:pStyle w:val="SourceNote"/>
      </w:pPr>
      <w:r>
        <w:rPr>
          <w:b/>
        </w:rPr>
        <w:t>Available abstract (not full text):</w:t>
      </w:r>
      <w:r>
        <w:t xml:space="preserve"> Digitalization is increasing in our society and continues to move in that direction. The shift from traditional banks to online banks is becoming more popular, and with an online bank, the international markets open. Although previous research about internationalization exists, there is no in-depth research on the specific topic of online banks. This study aims to provide information regarding how online banks internationalize, to understand the underlying factors for the process better as well as provide recommendations for both online banks but also traditional banks. Factors such as motivators, the entrepreneur, and resources are investigated to find an answer to the given research question. The way of internationalization is connected to the already pre-existing strategies of global or regional markets. The third theoretical concept that is applied to understand the internationalization process is which path of internationalization is used, either Born Global or Born Regional. This thesis is a qualitative study with a deductive approach. The empirical findings are derived from case studies through semi-structured interviews, and the sampling selection is online retail banks operating in Europe, with more than one million customers. The selected cases are Revolut, N26, Monzo, and Monese, where one interview per bank is conducted. The interviewee’s understanding of the subjec</w:t>
      </w:r>
    </w:p>
    <w:p>
      <w:pPr>
        <w:pStyle w:val="Heading2"/>
      </w:pPr>
      <w:r>
        <w:t>898. The impact of EU Climate/Energy policies on Belgium’s energy dependence up to 2050</w:t>
      </w:r>
    </w:p>
    <w:p>
      <w:pPr>
        <w:pStyle w:val="SourceNote"/>
      </w:pPr>
      <w:r>
        <w:rPr>
          <w:b/>
        </w:rPr>
        <w:t>Original source (2015):</w:t>
      </w:r>
      <w:r>
        <w:t xml:space="preserve"> https://doi.org/10.3917/rpve.541.0021</w:t>
      </w:r>
    </w:p>
    <w:p>
      <w:pPr/>
      <w:r>
        <w:t>Original wording (abstract; indexed_source_text_not_full_document_verified): Le second scénario étudie, quant à lui, les effets du Cadre européen Climat/Énergie 2030 et de la feuille de route pour une transition vers une économie bas carbone d’ici 2050. Cet article compare et mesure l’évolution future de certains indicateurs de la dépendance énergétique dans deux scénarios de politique énergétique et climatique.</w:t>
      </w:r>
    </w:p>
    <w:p>
      <w:pPr/>
      <w:r>
        <w:rPr>
          <w:b/>
        </w:rPr>
        <w:t>POSSIBLE 2026:</w:t>
      </w:r>
      <w:r>
        <w:t xml:space="preserve"> Cabanes, huttes, cases et autres chaumières… Les mots et les images de l’“infra-construction” dans l’Antiquité — https://doi.org/10.4000/15na1</w:t>
      </w:r>
    </w:p>
    <w:p>
      <w:pPr/>
      <w:r>
        <w:rPr>
          <w:b/>
        </w:rPr>
        <w:t>Shared claim-specific concepts:</w:t>
      </w:r>
      <w:r>
        <w:t xml:space="preserve"> les, pour, ici; EU scope not established. This is a provisional connection, not an outcome finding.</w:t>
      </w:r>
    </w:p>
    <w:p>
      <w:pPr>
        <w:pStyle w:val="SourceNote"/>
      </w:pPr>
      <w:r>
        <w:rPr>
          <w:b/>
        </w:rPr>
        <w:t>Available abstract (not full text):</w:t>
      </w:r>
      <w:r>
        <w:t xml:space="preserve"> Dans l’Antiquité, à côté de la construction “noble” en pierre, maçonnée, l’archéologie révèle de nombreux types de construction, en général en matériaux périssables (terre et bois), pour des bâtiments destinés à des usages divers, y compris d’habitation. On propose de qualifier ici ces édifices “modestes” d’infra-construction, un concept emprunté à l’ethnographie. Peut-on évaluer la part de cette plus humble architecture à travers sa perception par leurs contemporains, dans le monde antique – et notamment en Gaule – ? On propose ici, à l’attention des historiens et archéologues, de rechercher les occurrences de cette “infra-construction” dans les textes grecs et latins, voire l’épigraphie, ainsi que dans la documentation iconographique, avec toutes les précautions d’usage pour la mise en œuvre de telles sources : reliefs, mosaïques, peintures murales… Les données sont rassemblées dans les corpus proposés en annexe.</w:t>
      </w:r>
    </w:p>
    <w:p>
      <w:pPr/>
      <w:r>
        <w:rPr>
          <w:b/>
        </w:rPr>
        <w:t>POSSIBLE 2025:</w:t>
      </w:r>
      <w:r>
        <w:t xml:space="preserve"> Considérations sur les limites des privatisations en droit espagnol — https://doi.org/10.35562/droit-public-compare.768</w:t>
      </w:r>
    </w:p>
    <w:p>
      <w:pPr/>
      <w:r>
        <w:rPr>
          <w:b/>
        </w:rPr>
        <w:t>Shared claim-specific concepts:</w:t>
      </w:r>
      <w:r>
        <w:t xml:space="preserve"> second, les, pour, une, article; EU scope not established. This is a provisional connection, not an outcome finding.</w:t>
      </w:r>
    </w:p>
    <w:p>
      <w:pPr>
        <w:pStyle w:val="SourceNote"/>
      </w:pPr>
      <w:r>
        <w:rPr>
          <w:b/>
        </w:rPr>
        <w:t>Available abstract (not full text):</w:t>
      </w:r>
      <w:r>
        <w:t xml:space="preserve"> Ce travail vise à analyser, sous l’angle juridique, le phénomène de la privatisation en Espagne et ses limites. Pour ce faire, il propose, dans un premier temps, une distinction conceptuelle entre la privatisation stricto sensu et la privatisation lato sensu, afin de rendre compte des manifestations d’un phénomène qui a pris de l’ampleur ces dernières années : l’expansion progressive du champ d’action des entités privées dans des secteurs ou à des activités qui étaient traditionnellement réservés aux pouvoirs publics. Dans un second temps, l’article s’interroge sur les éventuelles limites juridiques applicables à ce type de pratiques, à la lumière de la Constitution et des récents développements de la jurisprudence du Tribunal Supremo sur la question.</w:t>
      </w:r>
    </w:p>
    <w:p>
      <w:pPr/>
      <w:r>
        <w:rPr>
          <w:b/>
        </w:rPr>
        <w:t>POSSIBLE 2024:</w:t>
      </w:r>
      <w:r>
        <w:t xml:space="preserve"> Le droit public comparé en Amérique latine — https://doi.org/10.35562/droit-public-compare.168</w:t>
      </w:r>
    </w:p>
    <w:p>
      <w:pPr/>
      <w:r>
        <w:rPr>
          <w:b/>
        </w:rPr>
        <w:t>Shared claim-specific concepts:</w:t>
      </w:r>
      <w:r>
        <w:t xml:space="preserve"> les, pour, une, cet, article, mesure; EU scope not established. This is a provisional connection, not an outcome finding.</w:t>
      </w:r>
    </w:p>
    <w:p>
      <w:pPr>
        <w:pStyle w:val="SourceNote"/>
      </w:pPr>
      <w:r>
        <w:rPr>
          <w:b/>
        </w:rPr>
        <w:t>Available abstract (not full text):</w:t>
      </w:r>
      <w:r>
        <w:t xml:space="preserve"> L’Amérique latine est indéniablement une terre de comparatisme. Ce constat est particulièrement vrai en droit public, dans la mesure où, dans les différents pays de la zone, cette branche du droit s’est souvent construite à travers l’importation d’objets juridiques étrangers. Malgré cette historicité, la pratique de la comparaison y demeure hétérogène, compliquant toute entreprise de systématisation. Pour contourner cet obstacle, l’article propose une approche plus exploratoire, à travers l’analyse des cinq grands traits de ce droit public comparé. Celui-ci apparaît congénital (c’est-à-dire, intrinsèquement lié à son contexte de naissance), total (dans le sens où tout y est comparé car tout est comparable), instrumental (dans la mesure où la comparaison y a des finalités claires), mais aussi, à certains égards, pathologique (puisqu’il a pu conduire à des impasses), expliquant les efforts plus récents de renouvellement (avec une prise en compte accrue des cultures juridiques nationales).</w:t>
      </w:r>
    </w:p>
    <w:p>
      <w:pPr/>
      <w:r>
        <w:rPr>
          <w:b/>
        </w:rPr>
        <w:t>POSSIBLE 2024:</w:t>
      </w:r>
      <w:r>
        <w:t xml:space="preserve"> Analyse des données actimétriques et prédiction par LSTM des phases de sommeil chez une population âgée institutionnalisée — https://doi.org/10.70675/d5cdad44z81b7z4a07zb318ze626e7fb2d8b</w:t>
      </w:r>
    </w:p>
    <w:p>
      <w:pPr/>
      <w:r>
        <w:rPr>
          <w:b/>
        </w:rPr>
        <w:t>Shared claim-specific concepts:</w:t>
      </w:r>
      <w:r>
        <w:t xml:space="preserve"> les, pour, une, vers; EU scope not established. This is a provisional connection, not an outcome finding.</w:t>
      </w:r>
    </w:p>
    <w:p>
      <w:pPr>
        <w:pStyle w:val="SourceNote"/>
      </w:pPr>
      <w:r>
        <w:rPr>
          <w:b/>
        </w:rPr>
        <w:t>Available abstract (not full text):</w:t>
      </w:r>
      <w:r>
        <w:t xml:space="preserve"> Dans cette thèse, nous étudions l’application des réseaux de neurones récurrents (RNN) par LSTM pour la prédiction des phases de sommeil chez des résidents âgés d’un établissement de soin à travers l’analyse des données actimétriques enregistrées. Ce travail est au croisement des domaines médical et de l’informatique dans un contexte d’évolution de l’espérance de vie et du vieillissement de la population. L’objectif principal était d’anticiper le sommeil afin de proposer aux médecins la possibilité d’adapter les prises de traitements et la prise en charge du patient en leur proposant une alternative à la médication. Nous explorons l’application des algorithmes d’apprentissage profond utilisés pour résoudre les problèmes de la prévision des séries temporelles à long et à court terme dans les données séquentielles. Nous avons réalisé une revue systématique afin de construire l’orientation de l’étude. Puis, après l’analyse des enregistrements d’actimétries nous avons utilisé l’architecture LSTM avec une couche cachée avec dropout, puis ajoutée vers une couche entièrement connectée. Cette étape améliore les performances du modèle. Nous avons également traité l’abandon comme une sous-couche du réseau et enfin, la fonction de transfert sigmoïd à tangente hyperbolique appliquée comme fonction d’activation a été utilisée pour calculer la sortie.Nous avons réussi lors de cette étape de </w:t>
      </w:r>
    </w:p>
    <w:p>
      <w:pPr/>
      <w:r>
        <w:rPr>
          <w:b/>
        </w:rPr>
        <w:t>POSSIBLE 2024:</w:t>
      </w:r>
      <w:r>
        <w:t xml:space="preserve"> Actimetric data analysis and LSTM prediction of sleep phases in an institutionalized elderly population — https://openalex.org/W4414749095</w:t>
      </w:r>
    </w:p>
    <w:p>
      <w:pPr/>
      <w:r>
        <w:rPr>
          <w:b/>
        </w:rPr>
        <w:t>Shared claim-specific concepts:</w:t>
      </w:r>
      <w:r>
        <w:t xml:space="preserve"> les, pour, une, vers; EU scope not established. This is a provisional connection, not an outcome finding.</w:t>
      </w:r>
    </w:p>
    <w:p>
      <w:pPr>
        <w:pStyle w:val="SourceNote"/>
      </w:pPr>
      <w:r>
        <w:rPr>
          <w:b/>
        </w:rPr>
        <w:t>Available abstract (not full text):</w:t>
      </w:r>
      <w:r>
        <w:t xml:space="preserve"> Dans cette thèse, nous étudions l’application des réseaux de neurones récurrents (RNN) par LSTM pour la prédiction des phases de sommeil chez des résidents âgés d’un établissement de soin à travers l’analyse des données actimétriques enregistrées. Ce travail est au croisement des domaines médical et de l’informatique dans un contexte d’évolution de l’espérance de vie et du vieillissement de la population. L’objectif principal était d’anticiper le sommeil afin de proposer aux médecins la possibilité d’adapter les prises de traitements et la prise en charge du patient en leur proposant une alternative à la médication. Nous explorons l’application des algorithmes d’apprentissage profond utilisés pour résoudre les problèmes de la prévision des séries temporelles à long et à court terme dans les données séquentielles. Nous avons réalisé une revue systématique afin de construire l’orientation de l’étude. Puis, après l’analyse des enregistrements d’actimétries nous avons utilisé l’architecture LSTM avec une couche cachée avec dropout, puis ajoutée vers une couche entièrement connectée. Cette étape améliore les performances du modèle. Nous avons également traité l’abandon comme une sous-couche du réseau et enfin, la fonction de transfert sigmoïd à tangente hyperbolique appliquée comme fonction d’activation a été utilisée pour calculer la sortie.Nous avons réussi lors de cette étape de </w:t>
      </w:r>
    </w:p>
    <w:p>
      <w:pPr/>
      <w:r>
        <w:rPr>
          <w:b/>
        </w:rPr>
        <w:t>POSSIBLE 2023:</w:t>
      </w:r>
      <w:r>
        <w:t xml:space="preserve"> Le rôle du commerce pour une adaptation résiliente au changement climatique dans l’agriculture africaine — https://doi.org/10.3917/edd.363.0041</w:t>
      </w:r>
    </w:p>
    <w:p>
      <w:pPr/>
      <w:r>
        <w:rPr>
          <w:b/>
        </w:rPr>
        <w:t>Shared claim-specific concepts:</w:t>
      </w:r>
      <w:r>
        <w:t xml:space="preserve"> tudie, les, pour, une, vers; EU scope visible. This is a provisional connection, not an outcome finding.</w:t>
      </w:r>
    </w:p>
    <w:p>
      <w:pPr>
        <w:pStyle w:val="SourceNote"/>
      </w:pPr>
      <w:r>
        <w:rPr>
          <w:b/>
        </w:rPr>
        <w:t>Available abstract (not full text):</w:t>
      </w:r>
      <w:r>
        <w:t xml:space="preserve"> Cette étude explore les connaissances scientifiques sur la manière dont le commerce peut aider l’Afrique à s’adapter au changement climatique (CC) dans trois domaines : (i) les événements à déclenchement rapide provenant d’événements extrêmes de courte durée (inondations, températures extrêmes) ; (ii) les événements à évolution lente (augmentation des températures moyennes et élévation du niveau de la mer) ; et enfin (iii) les politiques de facilitation du commerce. Événements à déclenchement rapide . Le commerce réduit l’amplitude des dommages liés aux événements extrêmes, par exemple, les sécheresses. Mais certaines réactions de politiques économiques peuvent augmenter l’amplitude de ces chocs. Lors de la sécheresse sud-africaine de 2015-2016, les politiques ont eu des retombées dans les pays voisins. Après la crise financière de 2008-2009, les restrictions à l’exportation imposées par les principaux exportateurs de denrées alimentaires et la réduction des droits de douane par les importateurs ont amplifié le choc. La coordination des politiques est donc nécessaire pour en contrôler les retombées négatives. Événements à évolution lente. Les efforts de modélisation relevés dans la littérature se sont concentrés sur l’exploration des « marges » d’ajustement au changement climatique : changements dans les niveaux de production des cultures existantes ; changements dans les denré</w:t>
      </w:r>
    </w:p>
    <w:p>
      <w:pPr/>
      <w:r>
        <w:rPr>
          <w:b/>
        </w:rPr>
        <w:t>POSSIBLE 2023:</w:t>
      </w:r>
      <w:r>
        <w:t xml:space="preserve"> Les « groupes Medvedkine » (1967-1974), transfert tardif de la culture d’agit-prop soviétique ? — https://openalex.org/W4364379400</w:t>
      </w:r>
    </w:p>
    <w:p>
      <w:pPr/>
      <w:r>
        <w:rPr>
          <w:b/>
        </w:rPr>
        <w:t>Shared claim-specific concepts:</w:t>
      </w:r>
      <w:r>
        <w:t xml:space="preserve"> lui, les, pour, une; EU scope visible. This is a provisional connection, not an outcome finding.</w:t>
      </w:r>
    </w:p>
    <w:p>
      <w:pPr>
        <w:pStyle w:val="SourceNote"/>
      </w:pPr>
      <w:r>
        <w:rPr>
          <w:b/>
        </w:rPr>
        <w:t>Available abstract (not full text):</w:t>
      </w:r>
      <w:r>
        <w:t xml:space="preserve"> De 1967 à 1974, des collectifs d’ouvriers-cinéastes appelés « groupes Medvedkine » se formèrent en France, dans le sillon des grèves de l’industrie textile et automobile de Besançon et de Sochaux, sous l’impulsion du cinéaste Chris Marker (1921-2012). Ces groupes représentèrent en France une expérience à la fois sociale et créatrice de cinéma militant, caractérisée par l’appropriation par les ouvriers eux-mêmes du processus de création des films au service d’une représentation autonome et réflexive de leurs luttes. Mais de quoi Medvedkine est-il le nom ? Il s’agit pour Marker de matérialiser un lien de filiation : celle qu’il souhaite établir entre le combat idéologique et militant du cinéaste soviétique Alexandre Medvedkine (1900-1989), dans les années 1920 et au début des années 1930 en URSS (incarnée par son « Ciné-train »), et celui des ouvriers français, dont le projet lui semble fondamentalement lié, puisque ceux-ci expriment dès la fin de l’année 1967 la volonté, comme Medvedkine y invitait ouvriers et paysans russes, de s’approprier le discours cinématographique qui les concerne.</w:t>
      </w:r>
    </w:p>
    <w:p>
      <w:pPr/>
      <w:r>
        <w:rPr>
          <w:b/>
        </w:rPr>
        <w:t>POSSIBLE 2023:</w:t>
      </w:r>
      <w:r>
        <w:t xml:space="preserve"> Optimization Methods for Renewable Energy Communities : Operations, Benefit Sharing, Flexibility Provision, Expansion — https://doi.org/10.70675/f607ae6bz0493z453fz8caez1ed024e5ee71</w:t>
      </w:r>
    </w:p>
    <w:p>
      <w:pPr/>
      <w:r>
        <w:rPr>
          <w:b/>
        </w:rPr>
        <w:t>Shared claim-specific concepts:</w:t>
      </w:r>
      <w:r>
        <w:t xml:space="preserve"> second, transition; EU scope visible. This is a provisional connection, not an outcome finding.</w:t>
      </w:r>
    </w:p>
    <w:p>
      <w:pPr>
        <w:pStyle w:val="SourceNote"/>
      </w:pPr>
      <w:r>
        <w:rPr>
          <w:b/>
        </w:rPr>
        <w:t>Available abstract (not full text):</w:t>
      </w:r>
      <w:r>
        <w:t xml:space="preserve"> In the energy transition era, the need for more sustainable energy solutions is inevitable. It pushes transformations within the energy systems, leading to the adoption of renewable energy and a shift from a centralized architecture toward more decentralized systems. This shift assigns active roles to end-users, as they evolve into "prosumers." These prosumers possess distributed energy resources (DER) to generate energy locally, allowing them to be more independent and reduce their carbon footprint. Local energy communities extend this feature by allowing exchanges and transactions between neighboring end-users.This thesis is based on an industrial PhD with a French start-up company, SWEEN, which plays a role as an operator of renewable energy communities. We focus on the effective management of energy communities (EC) across various dimensions. The primary objective is to achieve collective social welfare while ensuring fairness among members. To address this, we propose a Two-Stage Management Strategy where the first stage investigates the operational control of flexible DERs through energy management strategies (EMS) and the second stage is dedicated to the allocation of community generation to each member using coefficients known as "keys of repartition" (KOR). Our analysis encompasses a comprehensive array of forty combinations, ranging from basic to advanced strategies i</w:t>
      </w:r>
    </w:p>
    <w:p>
      <w:pPr/>
      <w:r>
        <w:rPr>
          <w:b/>
        </w:rPr>
        <w:t>POSSIBLE 2022:</w:t>
      </w:r>
      <w:r>
        <w:t xml:space="preserve"> Persécution des juifs et espace urbain — https://doi.org/10.3917/rhu.062.0081</w:t>
      </w:r>
    </w:p>
    <w:p>
      <w:pPr/>
      <w:r>
        <w:rPr>
          <w:b/>
        </w:rPr>
        <w:t>Shared claim-specific concepts:</w:t>
      </w:r>
      <w:r>
        <w:t xml:space="preserve"> les, pour, une, article; EU scope not established. This is a provisional connection, not an outcome finding.</w:t>
      </w:r>
    </w:p>
    <w:p>
      <w:pPr>
        <w:pStyle w:val="SourceNote"/>
      </w:pPr>
      <w:r>
        <w:rPr>
          <w:b/>
        </w:rPr>
        <w:t>Available abstract (not full text):</w:t>
      </w:r>
      <w:r>
        <w:t xml:space="preserve"> Les relations sociales entre juifs et non-juifs pendant la Shoah ont fait l’objet de nombreux travaux depuis vingt ans. Dans ces études, la figure des « voisins » est très présente sans être circonscrite d’un point de vue géographique. L’article construit les termes de « voisin » et de « voisinage » pour faire de ces catégories des outils de compréhension de la persécution. À partir d’une vaste enquête concernant les réaffectations de logements de familles juives à Paris pendant l’Occupation sous l’égide de la préfecture de la Seine, les auteurs observent au plus près les relations sociales des Parisiens avec leurs voisins juifs et les caractéristiques spatiales de leur trajectoire résidentielle.</w:t>
      </w:r>
    </w:p>
    <w:p>
      <w:pPr/>
      <w:r>
        <w:rPr>
          <w:b/>
        </w:rPr>
        <w:t>POSSIBLE 2022:</w:t>
      </w:r>
      <w:r>
        <w:t xml:space="preserve"> The public stigma of facial disfigurement : investigating the relationships between visual attention, affective reactions and dehumanization — https://openalex.org/W7214250308</w:t>
      </w:r>
    </w:p>
    <w:p>
      <w:pPr/>
      <w:r>
        <w:rPr>
          <w:b/>
        </w:rPr>
        <w:t>Shared claim-specific concepts:</w:t>
      </w:r>
      <w:r>
        <w:t xml:space="preserve"> les, pour, une; EU scope not established. This is a provisional connection, not an outcome finding.</w:t>
      </w:r>
    </w:p>
    <w:p>
      <w:pPr>
        <w:pStyle w:val="SourceNote"/>
      </w:pPr>
      <w:r>
        <w:rPr>
          <w:b/>
        </w:rPr>
        <w:t>Available abstract (not full text):</w:t>
      </w:r>
      <w:r>
        <w:t xml:space="preserve"> Les personnes présentant une différence faciale (DF) sont stigmatisées. Cette stigmatisation semanifeste particulièrement par les réactions affectives des percevant·e·s, notamment par le dégout etla peur, émotions généralement associées au processus de déshumanisation d’autrui. Par ailleurs, entant que stigmate visible, la DF semble influencer la répartition de l’attention visuelle sur un visagemais peu de travaux ont associé ces champs. Ainsi, ce projet de thèse avait pour objectif de mieuxcomprendre la stigmatisation sociale de la DF, et plus particulièrement les liens entre perceptionvisuelle, réactions affectives stigmatisantes et déshumanisation. En se focalisant sur les réactionsaffectives, il s’agissait préalablement de proposer une typologie de ces réactions affectivesstigmatisantes, puis de mettre en lumière leurs liens avec les changements dans l’attention visuelle,pour finalement déterminer si ces réactions témoignent d’un processus de déshumanisation. Nosrésultats montrent que la DF modifie globalement la répartition de l’attention visuelle et influencel’émergence de réactions affectives stigmatisantes en engendrant moins de neutralité et plus desurprise, dégoût, peur et mépris. La perception visuelle de la DF semble déterminante puisque lamodification de l’attention visuelle était liée à la fois aux réactions affectives stigmatisantes et auxattributions déshumanisa</w:t>
      </w:r>
    </w:p>
    <w:p>
      <w:pPr/>
      <w:r>
        <w:rPr>
          <w:b/>
        </w:rPr>
        <w:t>POSSIBLE 2022:</w:t>
      </w:r>
      <w:r>
        <w:t xml:space="preserve"> Faire diaspora en ville, XIII e -XIX e siècle — https://doi.org/10.3917/rhu.064.0097</w:t>
      </w:r>
    </w:p>
    <w:p>
      <w:pPr/>
      <w:r>
        <w:rPr>
          <w:b/>
        </w:rPr>
        <w:t>Shared claim-specific concepts:</w:t>
      </w:r>
      <w:r>
        <w:t xml:space="preserve"> les, effets, pour, une, cet, article; EU scope not established. This is a provisional connection, not an outcome finding.</w:t>
      </w:r>
    </w:p>
    <w:p>
      <w:pPr>
        <w:pStyle w:val="SourceNote"/>
      </w:pPr>
      <w:r>
        <w:rPr>
          <w:b/>
        </w:rPr>
        <w:t>Available abstract (not full text):</w:t>
      </w:r>
      <w:r>
        <w:t xml:space="preserve"> La ville de Rouen, une des plus grandes du royaume, fut depuis sa fondation soumise aux aléas météorologiques tels que les excès de pluie, les froids intenses ou encore les tempêtes. Ces extrêmes climatiques avaient des conséquences directes (destructions d’édifices, rupture des communications) et indirectes (baisse des disponibilités alimentaires, apparition d’épidémies). Face à cette vulnérabilité les autorités mirent en place dès le Moyen Âge des parades plus ou moins efficientes pour atténuer en amont et en aval les effets négatifs de ces aléas. Au xviii e le courant intellectuel et scientifique des Lumières se diffusa à la ville de Rouen. Par la promotion de théories sanitaires, urbanistiques, agricoles et commerciales modernes, les hommes des Lumières se proposaient d’améliorer la résilience urbaine sous toutes ces facettes. L’objet de cet article est de percevoir le degré de pénétration et d’application des Lumières dans la société rouennaise.</w:t>
      </w:r>
    </w:p>
    <w:p>
      <w:pPr/>
      <w:r>
        <w:rPr>
          <w:b/>
        </w:rPr>
        <w:t>POSSIBLE 2022:</w:t>
      </w:r>
      <w:r>
        <w:t xml:space="preserve"> Des albums plurilingues à l’école pour les lecteurs… plurilingues ? — https://doi.org/10.63723/publije.202110161</w:t>
      </w:r>
    </w:p>
    <w:p>
      <w:pPr/>
      <w:r>
        <w:rPr>
          <w:b/>
        </w:rPr>
        <w:t>Shared claim-specific concepts:</w:t>
      </w:r>
      <w:r>
        <w:t xml:space="preserve"> second, les, pour, une, article; EU scope not established. This is a provisional connection, not an outcome finding.</w:t>
      </w:r>
    </w:p>
    <w:p>
      <w:pPr>
        <w:pStyle w:val="SourceNote"/>
      </w:pPr>
      <w:r>
        <w:rPr>
          <w:b/>
        </w:rPr>
        <w:t>Available abstract (not full text):</w:t>
      </w:r>
      <w:r>
        <w:t xml:space="preserve"> L’article propose une typologie des albums bi-, multi-, plurilingues en s’inspirant du fonctionnement du sujet plurilingue, ce qui conduit à distinguer les albums multilingues (langues cloisonnées) des albums plurilingues (langues en interaction). Il rend compte dans un second temps d’un atelier de formation initiale en INSPE, mené par les deux chercheuses avec un groupe de quinze professeures des écoles stagiaires. Ces stagiaires ont été amenées à mettre en œuvre des séquences dans les classes, à partir de 4 albums (un imagier multilingue, trois albums plurilingues), dans les 3 cycles de l’école primaire. Les séquences devaient mobiliser des objectifs d’apprentissage transversaux, langagiers et métalangagiers. Les deux chercheuses ont souhaité observé les formes d’appropriation par les professeures des écoles stagiaires des scénarios pédagogiques succincts proposés autour des albums, afin de voir comment des professeurs débutants dans le métier parvenaient à s’emparer de la question complexe du plurilinguisme. The article provides a typology of bi-, multi- and plurilingual picture books based on the functioning of the plurilingual subject, which leads to a distinction between multilingual picture books (partitioned languages) and plurilingual picture books (interacting languages). It then reports on an initial training workshop in INSPE, conducted by the two researchers with a</w:t>
      </w:r>
    </w:p>
    <w:p>
      <w:pPr>
        <w:pStyle w:val="Heading2"/>
      </w:pPr>
      <w:r>
        <w:t>899. The pitfalls of ecological forecasting</w:t>
      </w:r>
    </w:p>
    <w:p>
      <w:pPr>
        <w:pStyle w:val="SourceNote"/>
      </w:pPr>
      <w:r>
        <w:rPr>
          <w:b/>
        </w:rPr>
        <w:t>Original source (2015):</w:t>
      </w:r>
      <w:r>
        <w:t xml:space="preserve"> https://doi.org/10.1111/bij.12579</w:t>
      </w:r>
    </w:p>
    <w:p>
      <w:pPr/>
      <w:r>
        <w:t>Original wording (abstract; indexed_source_text_not_full_document_verified): Long-term biological recording schemes rather than experiments will often provide data for ecological forecasting and validation because these schemes allow capture of landscape-scale land-use effects and their interactions with other drivers. However, statistical models, incorporating relationships with drivers, simply offset the prediction problem, requiring us to forecast how the drivers will themselves change over time.</w:t>
      </w:r>
    </w:p>
    <w:p>
      <w:pPr/>
      <w:r>
        <w:rPr>
          <w:b/>
        </w:rPr>
        <w:t>POSSIBLE 2026:</w:t>
      </w:r>
      <w:r>
        <w:t xml:space="preserve"> Model weights: Parcerisas C, Schall E, te Velde K, Botteldooren D, Devos P and Debusschere E (2024) Machine learning for efficient segregation and labeling of potential biological sounds in long-term underwater recordings. Front. Remote Sens. 5:1390687 — https://doi.org/10.5281/zenodo.21105847</w:t>
      </w:r>
    </w:p>
    <w:p>
      <w:pPr/>
      <w:r>
        <w:rPr>
          <w:b/>
        </w:rPr>
        <w:t>Shared claim-specific concepts:</w:t>
      </w:r>
      <w:r>
        <w:t xml:space="preserve"> long-term, biological, data, other; EU scope not established. This is a provisional connection, not an outcome finding.</w:t>
      </w:r>
    </w:p>
    <w:p>
      <w:pPr>
        <w:pStyle w:val="SourceNote"/>
      </w:pPr>
      <w:r>
        <w:rPr>
          <w:b/>
        </w:rPr>
        <w:t>Available abstract (not full text):</w:t>
      </w:r>
      <w:r>
        <w:t xml:space="preserve"> Model weights resulting from the publication: Parcerisas C, Schall E, te Velde K, Botteldooren D, Devos P and Debusschere E (2024) Machine learning for efficient segregation and labeling of potential biological sounds in long-term underwater recordings. Front. Remote Sens. 5:1390687. doi: 10.3389/frsen.2024.1390687 Name File name Pretraining data Hours Model Final (MF) final_model.pt All annotated BPNS data 23.6h Model Base (MB) MB_0_0.pt Initial training set 1.5h Active Learning (AL) AL_0_4.pt Intial training set + 10 actively selected wavs 2.3h Random Selection (RS) RS_0_4.pt Intial training set + 10 randomly selected wavs 2.3h If you're interested in weights of other of the trained models (2 more models per row available), please contact clea.parcerisas@vliz.be</w:t>
      </w:r>
    </w:p>
    <w:p>
      <w:pPr/>
      <w:r>
        <w:rPr>
          <w:b/>
        </w:rPr>
        <w:t>POSSIBLE 2026:</w:t>
      </w:r>
      <w:r>
        <w:t xml:space="preserve"> Increasing Inclusivity in Biological Recording in the United Kingdom: Progress to Date and Future Priorities — https://doi.org/10.5334/cstp.894</w:t>
      </w:r>
    </w:p>
    <w:p>
      <w:pPr/>
      <w:r>
        <w:rPr>
          <w:b/>
        </w:rPr>
        <w:t>Shared claim-specific concepts:</w:t>
      </w:r>
      <w:r>
        <w:t xml:space="preserve"> biological, recording, schemes, data, ecological, other; EU scope not established. This is a provisional connection, not an outcome finding.</w:t>
      </w:r>
    </w:p>
    <w:p>
      <w:pPr>
        <w:pStyle w:val="SourceNote"/>
      </w:pPr>
      <w:r>
        <w:rPr>
          <w:b/>
        </w:rPr>
        <w:t>Available abstract (not full text):</w:t>
      </w:r>
      <w:r>
        <w:t xml:space="preserve"> Volunteer biological recording generates valuable data for developing ecological understanding and informing environmental decision making. For volunteers, it offers the chance to build knowledge and skills, connect with nature and each other, and enhance wellbeing. As with other forms of citizen science there are demographic biases, with current participants being predominantly white, well-educated, older and more affluent. Increasing inclusivity is important for equitable distribution of environmental and social benefits. Questions remain, however, about how best to engage demographic groups that are currently underrepresented. In June 2024, eight organisations responsible for running biological recording schemes in the United Kingdom (UK) took part in a workshop to share hitherto implemented actions to increase inclusivity and discuss future priorities. Progress to date includes equality, diversity, and inclusivity investment and planning at an institutional level; surveys and focus groups to understand demographics and motivations of participants; accessibility reviews of training, written materials and equipment; and the creation of varied volunteer roles appealing to different skill levels and interests. Engagement with underrepresented groups at a local level has been particularly effective where investment in building relationships with communities has been possible. Fu</w:t>
      </w:r>
    </w:p>
    <w:p>
      <w:pPr/>
      <w:r>
        <w:rPr>
          <w:b/>
        </w:rPr>
        <w:t>POSSIBLE 2026:</w:t>
      </w:r>
      <w:r>
        <w:t xml:space="preserve"> Long-term nutrient management reshapes soil carbon fractions and biological fertility: Evidence from a 43-year semi-arid Vertisol experiment — https://doi.org/10.14719/pst.15338</w:t>
      </w:r>
    </w:p>
    <w:p>
      <w:pPr/>
      <w:r>
        <w:rPr>
          <w:b/>
        </w:rPr>
        <w:t>Shared claim-specific concepts:</w:t>
      </w:r>
      <w:r>
        <w:t xml:space="preserve"> long-term, biological, rather; EU scope not established. This is a provisional connection, not an outcome finding.</w:t>
      </w:r>
    </w:p>
    <w:p>
      <w:pPr>
        <w:pStyle w:val="SourceNote"/>
      </w:pPr>
      <w:r>
        <w:rPr>
          <w:b/>
        </w:rPr>
        <w:t>Available abstract (not full text):</w:t>
      </w:r>
      <w:r>
        <w:t xml:space="preserve"> Improving soil carbon quality and biological fertility through long-term nutrient management is essential for sustaining productivity, reducing input dependence and enhancing climate resilience in rainfed Vertisols. This study evaluated the effects of nine treatments including control, inorganic fertilisation (50 % RDF, 100 % RDF, RDF + Zn), organic amendments [farmyard manure (FYM) (50 % NFYM, sole FYM), crop residues (CR) (50 % NCR)] and integrated nutrient management (INMFYM, INMCR) on soil carbon pools, oxidisable carbon fractions, carbon management indices (CMI) and enzyme activities in a permanent manurial experiment. Soil organic carbon (SOC) ranged from 5.66 (control) to 11.19 g kg-1 (INMFYM), both in the cotton phase. Inorganic treatments enhanced soil inorganic carbon (SIC), suggesting an inverse relationship with organic inputs. Sole FYM enriched the very labile fraction, whereas INM enhanced the labile and less labile fractions and non-labile carbon was highest under RDF + Zn. CMI ranged from 136.7–307.1 and was highest under sole FYM. The 50 % NFYM recorded higher permanganate oxidisable carbon (POXC) and microbial biomass carbon (MBC) than 100 % RDF despite lower SOC, highlighting the importance of substrate quality. Enzyme activities were consistently lower in the cotton phase. Structural equation modelling indicated that SOC was associated with dehydrogenase act</w:t>
      </w:r>
    </w:p>
    <w:p>
      <w:pPr/>
      <w:r>
        <w:rPr>
          <w:b/>
        </w:rPr>
        <w:t>POSSIBLE 2026:</w:t>
      </w:r>
      <w:r>
        <w:t xml:space="preserve"> The Last Evolutionary Transition? Artificial Consciousness, Post-Biological Humanity, and the Long-Term Fate of Technological Civilizations — https://doi.org/10.5281/zenodo.22143695</w:t>
      </w:r>
    </w:p>
    <w:p>
      <w:pPr/>
      <w:r>
        <w:rPr>
          <w:b/>
        </w:rPr>
        <w:t>Shared claim-specific concepts:</w:t>
      </w:r>
      <w:r>
        <w:t xml:space="preserve"> long-term, biological, rather; EU scope not established. This is a provisional connection, not an outcome finding.</w:t>
      </w:r>
    </w:p>
    <w:p>
      <w:pPr>
        <w:pStyle w:val="SourceNote"/>
      </w:pPr>
      <w:r>
        <w:rPr>
          <w:b/>
        </w:rPr>
        <w:t>Available abstract (not full text):</w:t>
      </w:r>
      <w:r>
        <w:t xml:space="preserve"> This conceptual paper examines whether the long-term transition toward interstellar civilization may require not only more capable spacecraft, but a transformation of the traveler itself. Human intelligence emerged in biological organisms adapted to terrestrial conditions. Rather than assuming that this biological form remains fixed indefinitely, the paper explores possible transitions from biological and trans-biological existence toward post-biological forms of intelligence, including synthetic embodiment, human–AI integration, distributed cognition, and hypothetical substrate migration. A central distinction is developed between replacement and continuation. Artificial systems may simply outlive their biological creators, or biological and artificial cognition may progressively converge until the distinction between creator and creation no longer adequately describes the resulting civilization. This possibility leads directly to unresolved problems of personal identity and phenomenal consciousness: functional duplication, memory preservation, or gradual neural replacement do not by themselves establish continuity of first-person experience. The analysis extends these questions to agency, motivational persistence, value drift, mortality, civilizational fragmentation, and the distinction between causal and normative continuity. It asks not merely whether a technological lineag</w:t>
      </w:r>
    </w:p>
    <w:p>
      <w:pPr/>
      <w:r>
        <w:rPr>
          <w:b/>
        </w:rPr>
        <w:t>POSSIBLE 2026:</w:t>
      </w:r>
      <w:r>
        <w:t xml:space="preserve"> Cropping systems and agricultural sustainability: the role of long-term field experiments in the Mediterranean region — https://openalex.org/W7214567362</w:t>
      </w:r>
    </w:p>
    <w:p>
      <w:pPr/>
      <w:r>
        <w:rPr>
          <w:b/>
        </w:rPr>
        <w:t>Shared claim-specific concepts:</w:t>
      </w:r>
      <w:r>
        <w:t xml:space="preserve"> long-term, biological, rather, experiments, data, drivers; EU scope visible. This is a provisional connection, not an outcome finding.</w:t>
      </w:r>
    </w:p>
    <w:p>
      <w:pPr>
        <w:pStyle w:val="SourceNote"/>
      </w:pPr>
      <w:r>
        <w:rPr>
          <w:b/>
        </w:rPr>
        <w:t>Available abstract (not full text):</w:t>
      </w:r>
      <w:r>
        <w:t xml:space="preserve"> This thesis examines the role of Long-Term Field Experiments (LTEs) in characterising the agronomic sustainability of Mediterranean rainfed cereal-based cropping systems. It combines a national database of Italian LTEs—developed to harmonise information on the experiments and their associated publications, and to assess their comparability and thematic coverage—with a multi-year analysis of differences between conventional and organic management in durum wheat and weed responses along agrometeorological and edaphic drivers. The multi-year analysis was conducted in the MASCOT (Mediterranean Arable Systems Comparison Trial) case study, located at the ‘Enrico Avanzi’ Centre for Agro-Environmental Research of the University of Pisa, using data collected from 2002 to 2016. The database systematised information on 27 LTEs, distributed across 10 regions, and 111 associated publications, revealing a marked concentration in northern Italy and thematic coverage predominantly focused on soil chemical quality and productivity, with soil biological and physical quality and greenhouse gas emissions being less represented. Within MASCOT, the associations linking growing degree days and cumulative rainfall to durum wheat and weed responses were strongly phase-specific and differed between management systems; crop-cycle length also highlighted trade-offs among grain yield, grain nitrogen conten</w:t>
      </w:r>
    </w:p>
    <w:p>
      <w:pPr/>
      <w:r>
        <w:rPr>
          <w:b/>
        </w:rPr>
        <w:t>POSSIBLE 2026:</w:t>
      </w:r>
      <w:r>
        <w:t xml:space="preserve"> Biocompatible Lubricant-Coated Flexible Neural Probes with Enhanced Long-Term Recording Stability — https://doi.org/10.1021/acsabm.5c02232</w:t>
      </w:r>
    </w:p>
    <w:p>
      <w:pPr/>
      <w:r>
        <w:rPr>
          <w:b/>
        </w:rPr>
        <w:t>Shared claim-specific concepts:</w:t>
      </w:r>
      <w:r>
        <w:t xml:space="preserve"> long-term, biological, recording, because, however; EU scope not established. This is a provisional connection, not an outcome finding.</w:t>
      </w:r>
    </w:p>
    <w:p>
      <w:pPr>
        <w:pStyle w:val="SourceNote"/>
      </w:pPr>
      <w:r>
        <w:rPr>
          <w:b/>
        </w:rPr>
        <w:t>Available abstract (not full text):</w:t>
      </w:r>
      <w:r>
        <w:t xml:space="preserve"> Implantable neural probes enable high-resolution, multi-unit recordings and are essential tools for studying neurological disorders and developing brain-machine interface (BMI) technologies. However, conventional metal- or silicon-based probes exhibit significant mechanical mismatch with brain tissue, both of which elicit inflammatory responses and compromise long-term recording stability. Here, we introduce a flexible neural probe fabricated through a commercial flexible printed circuit board (FPCB) process and functionalized with a biocompatible lubricant coating to overcome these challenges. The inherent flexibility of the FPCB minimizes mechanical mismatch with brain tissue, while the coating enhances surface hydrophobicity and reduces insertion friction, thereby minimizing tissue damage during implantation. Its resistance to water ingress contributes to maintaining the probe's electrical insulation stability, supporting stable long-term performance. In chronic mouse hippocampal implants, lubricant-coated probes maintained consistent neural signal quality for several weeks, while immunohistochemical analysis revealed markedly reduced astrocytic and microglial activation (GFAP/Iba1) compared with uncoated controls, indicating effective mitigation of neuroinflammation. In vitro cell viability assays further confirmed the high biocompatibility of the coated devices. Importantl</w:t>
      </w:r>
    </w:p>
    <w:p>
      <w:pPr/>
      <w:r>
        <w:rPr>
          <w:b/>
        </w:rPr>
        <w:t>POSSIBLE 2025:</w:t>
      </w:r>
      <w:r>
        <w:t xml:space="preserve"> Biological recording underpins the conservation assessment of designated species: the recent case studies of the endangered white-clawed crayfish and near threatened otter — https://openalex.org/W7135647641</w:t>
      </w:r>
    </w:p>
    <w:p>
      <w:pPr/>
      <w:r>
        <w:rPr>
          <w:b/>
        </w:rPr>
        <w:t>Shared claim-specific concepts:</w:t>
      </w:r>
      <w:r>
        <w:t xml:space="preserve"> long-term, biological, recording, data; EU scope visible. This is a provisional connection, not an outcome finding.</w:t>
      </w:r>
    </w:p>
    <w:p>
      <w:pPr>
        <w:pStyle w:val="SourceNote"/>
      </w:pPr>
      <w:r>
        <w:rPr>
          <w:b/>
        </w:rPr>
        <w:t>Available abstract (not full text):</w:t>
      </w:r>
      <w:r>
        <w:t xml:space="preserve"> Biological recording underpins conservation of protected species, providing essential evidence for long-term trend assessment. Two recent studies demonstrate the value of combining field surveys with records held and curated by the Centre for Environmental Data and Recording (CEDaR) and the National Biodiversity Data Centre (NBDC). The endangered white-clawed crayfish (Austropotamobius pallipes) and near threatened otter (Lutra lutra) were originally designated under the EU Habitats Directive, with UK reporting now under Habitats Regulations Reporting (HRR), requiring conservation status assessment every six years. In 2024, crayfish were detected at 45% of 110 Northern Ireland sites using an environmental or eDNA survey. Integration with 1,336 CEDaR species records suggested its distribution was largely stable but strongly restricted by calcareous geology. Crayfish were more frequent at sites with recent records (suggesting vulnerability to local extirpation), rivers over lakes, and habitats with cobble or boulder substrates. They were vulnerable to agricultural pressures on water quality with occurrence significantly reduced by livestock access to watercourses, lowering detection probability by one-third. No crayfish plague was detected, but several designated sites showed evidence of population loss or decline, raising concerns for their long-term viability within Areas of Sp</w:t>
      </w:r>
    </w:p>
    <w:p>
      <w:pPr/>
      <w:r>
        <w:rPr>
          <w:b/>
        </w:rPr>
        <w:t>POSSIBLE 2025:</w:t>
      </w:r>
      <w:r>
        <w:t xml:space="preserve"> Changes in Biological and Chemical Soil Properties in an Austrian Long‐Term Tillage Experiment — https://doi.org/10.1111/ejss.70037</w:t>
      </w:r>
    </w:p>
    <w:p>
      <w:pPr/>
      <w:r>
        <w:rPr>
          <w:b/>
        </w:rPr>
        <w:t>Shared claim-specific concepts:</w:t>
      </w:r>
      <w:r>
        <w:t xml:space="preserve"> biological, however; EU scope visible. This is a provisional connection, not an outcome finding.</w:t>
      </w:r>
    </w:p>
    <w:p>
      <w:pPr>
        <w:pStyle w:val="SourceNote"/>
      </w:pPr>
      <w:r>
        <w:rPr>
          <w:b/>
        </w:rPr>
        <w:t>Available abstract (not full text):</w:t>
      </w:r>
      <w:r>
        <w:t xml:space="preserve"> ABSTRACT Conventional tillage, including ploughing after harvest and/or for seedbed preparation, aims to incorporate crop residues and weeds and to loosen, mix and aerate the soil. However, less beneficial effects, such as a loss of soil organic carbon (SOC), are also associated with intensive tillage. This has made reduced and minimum tillage systems without ploughing increasingly popular in agriculture, contributing to soil health and climate change mitigation. We studied the effects of different tillage systems on chemical and microbial soil properties in a long‐term field experiment established on a fine‐sandy loamy Haplic Chernozem in Fuchsenbigl, Austria, in 1988. The tillage treatments include conventional tillage (CT) with a plough and a cultivator down to 30 cm soil depth, reduced tillage (RT) with a cultivator down to 15 cm two to three times a year, as well as minimum tillage (MT) treated with a rotary driller once a year down to 5–8 cm soil depth. In 2016, a soil sampling campaign was conducted, and alkaline phosphatase, phospholipid fatty acids (PLFAs), and the nitrogen (N) mineralisation potential were analysed along with chemical properties including SOC, active C, total nitrogen (N t ), CAL extractable phosphorus (P CAL ) and potassium (K CAL ). Under MT, these properties were significantly higher compared to CT in 0–10 cm. In deeper soil layers, these parameter</w:t>
      </w:r>
    </w:p>
    <w:p>
      <w:pPr/>
      <w:r>
        <w:rPr>
          <w:b/>
        </w:rPr>
        <w:t>POSSIBLE 2025:</w:t>
      </w:r>
      <w:r>
        <w:t xml:space="preserve"> Long-Term Obesity and Biological Aging in Young Adults — https://doi.org/10.1001/jamanetworkopen.2025.20011</w:t>
      </w:r>
    </w:p>
    <w:p>
      <w:pPr/>
      <w:r>
        <w:rPr>
          <w:b/>
        </w:rPr>
        <w:t>Shared claim-specific concepts:</w:t>
      </w:r>
      <w:r>
        <w:t xml:space="preserve"> long-term, biological, data; EU scope not established. This is a provisional connection, not an outcome finding.</w:t>
      </w:r>
    </w:p>
    <w:p>
      <w:pPr>
        <w:pStyle w:val="SourceNote"/>
      </w:pPr>
      <w:r>
        <w:rPr>
          <w:b/>
        </w:rPr>
        <w:t>Available abstract (not full text):</w:t>
      </w:r>
      <w:r>
        <w:t xml:space="preserve"> Importance: It remains unclear whether obesity accelerates biological aging, potentially leading to early-onset chronic diseases. Objective: To investigate the association between long-term obesity and the expression of biochemical aging markers in younger adults. Design, Setting, and Participants: This multiple-events case-control study, conducted from April 5, 2022, to June 29, 2023, was embedded in the Santiago Longitudinal Study, a prospective Chilean birth cohort of adults aged 28 to 31 years among whom health and nutrition data were collected from September 1992 onward. Exposure: Body mass index (BMI) trajectory across the life course, recorded multiple times since birth. Group 1 had healthy BMI across the life course, group 2 had persistent obesity since adolescence, and group 3 had persistent obesity since childhood. Main Outcomes and Measures: Smoothed BMI trajectories (cubic polynomials) were used to estimate obesity duration. Primary outcomes were DNA methylation-based age and telomere length (TL). Secondary outcomes included levels of aging-related cytokines, growth factors, and adipomyokines. Results: In the sample of 205 adults (mean [SD] age, 28.9 [0.6] years; 100 females [49%]), 89 (43%) were in group 1, 43 (21%) in group 2, and 73 (36%) in group 3. Mean (SD) obesity duration was 12.9 (4.8) years in group 2 and 26.6 (2.3) years in group 3. Long-term obesity was </w:t>
      </w:r>
    </w:p>
    <w:p>
      <w:pPr/>
      <w:r>
        <w:rPr>
          <w:b/>
        </w:rPr>
        <w:t>POSSIBLE 2025:</w:t>
      </w:r>
      <w:r>
        <w:t xml:space="preserve"> Biological invasions: a global assessment of geographic distributions, long‐term trends, and data gaps — https://doi.org/10.1111/brv.70058</w:t>
      </w:r>
    </w:p>
    <w:p>
      <w:pPr/>
      <w:r>
        <w:rPr>
          <w:b/>
        </w:rPr>
        <w:t>Shared claim-specific concepts:</w:t>
      </w:r>
      <w:r>
        <w:t xml:space="preserve"> biological, often, data, other, drivers, however; EU scope not established. This is a provisional connection, not an outcome finding.</w:t>
      </w:r>
    </w:p>
    <w:p>
      <w:pPr>
        <w:pStyle w:val="SourceNote"/>
      </w:pPr>
      <w:r>
        <w:rPr>
          <w:b/>
        </w:rPr>
        <w:t>Available abstract (not full text):</w:t>
      </w:r>
      <w:r>
        <w:t xml:space="preserve"> Biological invasions are one of the major drivers of biodiversity decline and have been shown to have far-reaching consequences for society and the economy. Preventing the introduction and spread of alien species represents the most effective solution to reducing their impacts on nature and human well-being. However, implementing effective solutions requires a good understanding of where the species are established and how biological invasions develop over time. Knowledge of the status and trends of biological invasions is thus key for guiding research efforts, informing stakeholders and policymakers, for targeted management efforts, and preparing for the future. However, information about the status and trends of alien species is scattered, patchy, and highly incomplete, making it difficult to assess. Published reports for individual regions and taxonomic groups are available, but large-scale overviews are scarce. A global assessment therefore requires a review of available knowledge with careful consideration of sampling and reporting biases. This paper provides a comprehensive global assessment of the status and trends of alien species for major taxonomic groups [Bacteria, Protozoa, Stramenopila, Alveolata, and Rhizaria (SAR), fungi, plants, and animals] for Intergovernmental Panel of Biodiversity and Ecosystem Services (IPBES) regions. The review provides irrefutable eviden</w:t>
      </w:r>
    </w:p>
    <w:p>
      <w:pPr/>
      <w:r>
        <w:rPr>
          <w:b/>
        </w:rPr>
        <w:t>POSSIBLE 2025:</w:t>
      </w:r>
      <w:r>
        <w:t xml:space="preserve"> Long‐Term Stable Subdural Recordings Enabled by Fibrosis‐Resistant Hydrogel‐Integrated µECoG Arrays — https://doi.org/10.1002/advs.202515453</w:t>
      </w:r>
    </w:p>
    <w:p>
      <w:pPr/>
      <w:r>
        <w:rPr>
          <w:b/>
        </w:rPr>
        <w:t>Shared claim-specific concepts:</w:t>
      </w:r>
      <w:r>
        <w:t xml:space="preserve"> long-term, biological, often; EU scope not established. This is a provisional connection, not an outcome finding.</w:t>
      </w:r>
    </w:p>
    <w:p>
      <w:pPr>
        <w:pStyle w:val="SourceNote"/>
      </w:pPr>
      <w:r>
        <w:rPr>
          <w:b/>
        </w:rPr>
        <w:t>Available abstract (not full text):</w:t>
      </w:r>
      <w:r>
        <w:t xml:space="preserve"> The long-term performance of microscale subdural arrays is often compromised by adverse tissue responses, leading to increased electrochemical impedance and signal deterioration during chronic applications. Here, the study presents an adhesive hydrogel-integrated micro-electrocorticography (aGel-µECoG) array that improves mechanical compatibility and adhesion to brain tissue, effectively mitigating tissue responses and enabling stable, high-performance electrical communication over days to months. The hydrogel consists of a hydrophilic polyvinyl alcohol and hydrophobic poly3-(trimethoxysilyl) propyl methacrylate heteronetwork, serving as a biological and mechanical bridging to enable seamless, anti-fibrotic, long-term integration with brain tissue. The aGel-µECoG achieves robust tissue adhesion (25.2 ± 3.8 kPa) with reversible and safe removal, enabling sutureless implantation. With an ultrathin 10-µm ionic conductive hydrogel coating, the array exhibits high electrical fidelity, effectively preserving fine-grained sub-millimeter spatial resolution and maintaining unattenuated signal strength for functional cortical mapping. Compared to conventional µECoG arrays, aGel-µECoG exhibits a 20-fold reduction in acute-phase impedance increases, attributed to significantly reduced neuroinflammation and fibrotic tissue formation, as confirmed by histological analyses. Long-term recordin</w:t>
      </w:r>
    </w:p>
    <w:p>
      <w:pPr/>
      <w:r>
        <w:rPr>
          <w:b/>
        </w:rPr>
        <w:t>POSSIBLE 2024:</w:t>
      </w:r>
      <w:r>
        <w:t xml:space="preserve"> Machine learning for efficient segregation and labeling of potential biological sounds in long-term underwater recordings — https://doi.org/10.3389/frsen.2024.1390687</w:t>
      </w:r>
    </w:p>
    <w:p>
      <w:pPr/>
      <w:r>
        <w:rPr>
          <w:b/>
        </w:rPr>
        <w:t>Shared claim-specific concepts:</w:t>
      </w:r>
      <w:r>
        <w:t xml:space="preserve"> long-term, biological, provide, data, however; EU scope visible. This is a provisional connection, not an outcome finding.</w:t>
      </w:r>
    </w:p>
    <w:p>
      <w:pPr>
        <w:pStyle w:val="SourceNote"/>
      </w:pPr>
      <w:r>
        <w:rPr>
          <w:b/>
        </w:rPr>
        <w:t>Available abstract (not full text):</w:t>
      </w:r>
      <w:r>
        <w:t xml:space="preserve"> Studying marine soundscapes by detecting known sound events and quantifying their spatio-temporal patterns can provide ecologically relevant information. However, the exploration of underwater sound data to find and identify possible sound events of interest can be highly time-intensive for human analysts. To speed up this process, we propose a novel methodology that first detects all the potentially relevant acoustic events and then clusters them in an unsupervised way prior to manual revision. We demonstrate its applicability on a short deployment. To detect acoustic events, a deep learning object detection algorithm from computer vision (YOLOv8) is re-trained to detect any (short) acoustic event. This is done by converting the audio to spectrograms using sliding windows longer than the expected sound events of interest. The model detects any event present on that window and provides their time and frequency limits. With this approach, multiple events happening simultaneously can be detected. To further explore the possibilities to limit the human input needed to create the annotations to train the model, we propose an active learning approach to select the most informative audio files in an iterative manner for subsequent manual annotation. The obtained detection models are trained and tested on a dataset from the Belgian Part of the North Sea, and then further evaluated for</w:t>
      </w:r>
    </w:p>
    <w:p>
      <w:pPr>
        <w:pStyle w:val="Heading2"/>
      </w:pPr>
      <w:r>
        <w:t>900. Three scenarios for industrial relations in Europe</w:t>
      </w:r>
    </w:p>
    <w:p>
      <w:pPr>
        <w:pStyle w:val="SourceNote"/>
      </w:pPr>
      <w:r>
        <w:rPr>
          <w:b/>
        </w:rPr>
        <w:t>Original source (2015):</w:t>
      </w:r>
      <w:r>
        <w:t xml:space="preserve"> https://doi.org/10.1111/j.1564-913x.2015.00221.x</w:t>
      </w:r>
    </w:p>
    <w:p>
      <w:pPr/>
      <w:r>
        <w:t>Original wording (abstract; indexed_source_text_not_full_document_verified): The author outlines three scenarios for the future of industrial relations in Europe. The second envisages that “elite reform” from above will succeed in re‐engineering industrial relations and workers' protection according to an ideal social policy agenda – an unlikely prospect given the overriding importance of financial considerations and globalized competition.</w:t>
      </w:r>
    </w:p>
    <w:p>
      <w:pPr/>
      <w:r>
        <w:rPr>
          <w:b/>
        </w:rPr>
        <w:t>POSSIBLE 2025:</w:t>
      </w:r>
      <w:r>
        <w:t xml:space="preserve"> Digital Currencies in Context: A Cross-Regional Study of Blockchain Adoption in the U.S. and Europe — https://doi.org/10.33423/jabe.v27i6.7943</w:t>
      </w:r>
    </w:p>
    <w:p>
      <w:pPr/>
      <w:r>
        <w:rPr>
          <w:b/>
        </w:rPr>
        <w:t>Shared claim-specific concepts:</w:t>
      </w:r>
      <w:r>
        <w:t xml:space="preserve"> outlines, three, importance; EU scope visible. This is a provisional connection, not an outcome finding.</w:t>
      </w:r>
    </w:p>
    <w:p>
      <w:pPr>
        <w:pStyle w:val="SourceNote"/>
      </w:pPr>
      <w:r>
        <w:rPr>
          <w:b/>
        </w:rPr>
        <w:t>Available abstract (not full text):</w:t>
      </w:r>
      <w:r>
        <w:t xml:space="preserve"> This article examines the adoption of blockchain and cryptocurrency within the digital transformation of the U.S. and European economies. It analyzes external and internal factors limiting diffusion and outlines three schools of thought among economists—from skeptics to advocates of technological growth. Using theoretical analysis, empirical data, and assessments from international organizations, the study finds that blockchain and cryptocurrencies hold significant yet delayed potential as drivers of structural economic transformation. The authors emphasize the importance of institutional maturity, regulatory harmonization, and the development of digital literacy to achieve a macro-level impact.</w:t>
      </w:r>
    </w:p>
    <w:p>
      <w:pPr/>
      <w:r>
        <w:rPr>
          <w:b/>
        </w:rPr>
        <w:t>POSSIBLE 2025:</w:t>
      </w:r>
      <w:r>
        <w:t xml:space="preserve"> The future of the colonial system as assessed by experts of the Council on Foreign Relations during the Second World War — https://doi.org/10.48015/2076-7404-2025-17-1-141-161</w:t>
      </w:r>
    </w:p>
    <w:p>
      <w:pPr/>
      <w:r>
        <w:rPr>
          <w:b/>
        </w:rPr>
        <w:t>Shared claim-specific concepts:</w:t>
      </w:r>
      <w:r>
        <w:t xml:space="preserve"> author, outlines, relations, second; EU scope visible. This is a provisional connection, not an outcome finding.</w:t>
      </w:r>
    </w:p>
    <w:p>
      <w:pPr>
        <w:pStyle w:val="SourceNote"/>
      </w:pPr>
      <w:r>
        <w:rPr>
          <w:b/>
        </w:rPr>
        <w:t>Available abstract (not full text):</w:t>
      </w:r>
      <w:r>
        <w:t xml:space="preserve"> During World War II, the colonial issue was at the forefront of both the fight of the anti-Hitler coalition against the Axis powers and the inter-allied discussion of the prospects for the post-war world order. In this context, the perspectives of the U.S. experts affiliated with the Council on Foreign Relations deserve special attention. Having brought together government officials, bankers, industrialists, Wall Street lawyers, and Ivy League professors, the Council turned into a unique expert platform that exerted a significant influence not only on the course of public discussions about the future world order, but also on the foreign policy decision-making in the United States itself. This article identifies the specific features of experts’ perspectives on the prospects of the development and transformation of the colonial system after World War II. The first section profiles the Council’s members who actively participated in the discussion of these issues. The second section outlines the two main approaches of the Council’s experts to resolving the colonial issue, which involved either reforming the existing colonial system or significantly revising it. At the same time, as the author notes, all experts recognized that the positions of the European colonial powers would be inevitably weakened by the end of World War II and emphasized the need for the U.S. to play a more ac</w:t>
      </w:r>
    </w:p>
    <w:p>
      <w:pPr/>
      <w:r>
        <w:rPr>
          <w:b/>
        </w:rPr>
        <w:t>POSSIBLE 2025:</w:t>
      </w:r>
      <w:r>
        <w:t xml:space="preserve"> European Contexts of Minority-Majority Relations in Upper Silesia — https://doi.org/10.14746/rie.2025.19.20</w:t>
      </w:r>
    </w:p>
    <w:p>
      <w:pPr/>
      <w:r>
        <w:rPr>
          <w:b/>
        </w:rPr>
        <w:t>Shared claim-specific concepts:</w:t>
      </w:r>
      <w:r>
        <w:t xml:space="preserve"> author, outlines, relations, succeed; EU scope visible. This is a provisional connection, not an outcome finding.</w:t>
      </w:r>
    </w:p>
    <w:p>
      <w:pPr>
        <w:pStyle w:val="SourceNote"/>
      </w:pPr>
      <w:r>
        <w:rPr>
          <w:b/>
        </w:rPr>
        <w:t>Available abstract (not full text):</w:t>
      </w:r>
      <w:r>
        <w:t xml:space="preserve"> In the first part of the article, the author introduces the concept of contestation. He then outlines the key legal frameworks arising from Poland’s membership in the Council of Europe and the European Union, which Upper Silesian regionalists may invoke in their efforts to preserve, strengthen, and develop the region’s socio-cultural identity. The migration processes that unfolded after 1945 had a profound impact on the transformations within Upper Silesia. However, it was only after 1989 that Poles, Germans, and Silesians were able to engage freely in a public discussion about the region’s multicultural character. The preservation of Upper Silesia’s distinctiveness ultimately depends on whether regionalists succeed in engaging the new residents, who now form the majority population, in pursuing this shared goal.</w:t>
      </w:r>
    </w:p>
    <w:p>
      <w:pPr/>
      <w:r>
        <w:rPr>
          <w:b/>
        </w:rPr>
        <w:t>POSSIBLE 2024:</w:t>
      </w:r>
      <w:r>
        <w:t xml:space="preserve"> Three idiosyncratic registers — https://openalex.org/W7112475832</w:t>
      </w:r>
    </w:p>
    <w:p>
      <w:pPr/>
      <w:r>
        <w:rPr>
          <w:b/>
        </w:rPr>
        <w:t>Shared claim-specific concepts:</w:t>
      </w:r>
      <w:r>
        <w:t xml:space="preserve"> author, outlines, three; EU scope visible. This is a provisional connection, not an outcome finding.</w:t>
      </w:r>
    </w:p>
    <w:p>
      <w:pPr>
        <w:pStyle w:val="SourceNote"/>
      </w:pPr>
      <w:r>
        <w:rPr>
          <w:b/>
        </w:rPr>
        <w:t>Available abstract (not full text):</w:t>
      </w:r>
      <w:r>
        <w:t xml:space="preserve"> This paper outlines three public academic registers of a single author, Professor Donna Rose Miller. Miller has had significant impact on the Systemic Functional Linguistics (SFL) community, particularly but by no means exclusively in Europe, through her contributions to discussion lists, through her involvement on the European SFL Association (ESFLA) committee, and through her numerous publications. Texts from these three strands form the focus of the analysis of her idiosyncratic registers in this paper.</w:t>
      </w:r>
    </w:p>
    <w:p>
      <w:pPr/>
      <w:r>
        <w:rPr>
          <w:b/>
        </w:rPr>
        <w:t>POSSIBLE 2024:</w:t>
      </w:r>
      <w:r>
        <w:t xml:space="preserve"> Three Exercises in the Regionalization of Europe — https://doi.org/10.1002/9781394284375.ch11</w:t>
      </w:r>
    </w:p>
    <w:p>
      <w:pPr/>
      <w:r>
        <w:rPr>
          <w:b/>
        </w:rPr>
        <w:t>Shared claim-specific concepts:</w:t>
      </w:r>
      <w:r>
        <w:t xml:space="preserve"> three, relations, second; EU scope visible. This is a provisional connection, not an outcome finding.</w:t>
      </w:r>
    </w:p>
    <w:p>
      <w:pPr>
        <w:pStyle w:val="SourceNote"/>
      </w:pPr>
      <w:r>
        <w:rPr>
          <w:b/>
        </w:rPr>
        <w:t>Available abstract (not full text):</w:t>
      </w:r>
      <w:r>
        <w:t xml:space="preserve"> The identification of Europe with a larger whole than the state is due to the advanced interweaving of national territories in terms of the circulation of wealth, linguistic practices and international mobility. The institutional inclusion of European states in supranational structures is complex. This chapter proposes three empirical illustrations of Europe through the systems of relations between states in a space. The first illustration deals with the position of European states within diplomatic relations through the establishment of embassies. The second illustration proposes a reflection on Turkey's membership in supranational entities, a state in an interface position between an integrated Europe and other regional spaces invested by Turkish diplomacy, such as the Black Sea area or the Turkish-speaking world of Central Asia. The third illustration poses the links between European states and macro-regional geographical objects in the text of highly consulted newspapers, considered as references, in the French media landscape.</w:t>
      </w:r>
    </w:p>
    <w:p>
      <w:pPr/>
      <w:r>
        <w:rPr>
          <w:b/>
        </w:rPr>
        <w:t>POSSIBLE 2024:</w:t>
      </w:r>
      <w:r>
        <w:t xml:space="preserve"> Queen Jadwiga of Anjou’s relations with the episcopate of Gniezno and Halych Archdioceses — an outline — https://doi.org/10.15633/fhc.30206</w:t>
      </w:r>
    </w:p>
    <w:p>
      <w:pPr/>
      <w:r>
        <w:rPr>
          <w:b/>
        </w:rPr>
        <w:t>Shared claim-specific concepts:</w:t>
      </w:r>
      <w:r>
        <w:t xml:space="preserve"> author, outlines, relations, second, given; EU scope visible. This is a provisional connection, not an outcome finding.</w:t>
      </w:r>
    </w:p>
    <w:p>
      <w:pPr>
        <w:pStyle w:val="SourceNote"/>
      </w:pPr>
      <w:r>
        <w:rPr>
          <w:b/>
        </w:rPr>
        <w:t>Available abstract (not full text):</w:t>
      </w:r>
      <w:r>
        <w:t xml:space="preserve"> The author presents the relations between Queen Jadwiga of Anjou (1384–1399) with the episcopate of Gniezno and Halych Archdioceses during her reign in Poland and the Great Duchy of Lithuania with Władysław Jagiełło. In speeches delivered by such intellectuals as Stanisław of Skarbimierz, she appears as a monarch respectful of bishops and concerned with the welfare of the Church. On the other hand, Jadwiga and her husband are known to have followed a consistent ecclesiastical policy, having control over episcopal nominations in the Polish-Lithuanian state, frequently against the will of local chapters and even the Holy See amidst the Western Schism crisis. The author points out that historiographers often too hastily credited Jadwiga with initiative and control over bishops’ nominations in a given area. In reality, the initiative came from both royal spouses and, whenever different candidates were proposed, it was the queen who acquiesced to her husband. The second part of the article outlines the nature of Jadwiga’s relations with key members of the episcopate, with special emphasis on the queen’s close relations with bishops of Krakow: Jan Radlica and Piotr Wysz, with whom she cooperated to further the University of Krakow’s restoration.</w:t>
      </w:r>
    </w:p>
    <w:p>
      <w:pPr/>
      <w:r>
        <w:rPr>
          <w:b/>
        </w:rPr>
        <w:t>POSSIBLE 2023:</w:t>
      </w:r>
      <w:r>
        <w:t xml:space="preserve"> PRISMA 2020 abstract checklist migrant entrepreneurship support Europe SLR.docxMigrant entrepreneurship in Europe: a systematic literature reviewMigrant entrepreneurship in Europe: a systematic literature review — https://doi.org/10.6084/m9.figshare.24021240</w:t>
      </w:r>
    </w:p>
    <w:p>
      <w:pPr/>
      <w:r>
        <w:rPr>
          <w:b/>
        </w:rPr>
        <w:t>Shared claim-specific concepts:</w:t>
      </w:r>
      <w:r>
        <w:t xml:space="preserve"> abstract, outlines, agenda; EU scope visible. This is a provisional connection, not an outcome finding.</w:t>
      </w:r>
    </w:p>
    <w:p>
      <w:pPr>
        <w:pStyle w:val="SourceNote"/>
      </w:pPr>
      <w:r>
        <w:rPr>
          <w:b/>
        </w:rPr>
        <w:t>Available abstract (not full text):</w:t>
      </w:r>
      <w:r>
        <w:t xml:space="preserve"> This systematic literature review (SLR) investigates migrant entrepreneurship in Europe, addressing their characteristics, encountered challenges, and policy support. The SLR uses a repeatable search protocol for sources published from 1970 to 2021, retrieved from Scopus and Web of Science databases. Inclusion criteria focused on migrant entrepreneurship support studies, excluding domestic migration and non-European contexts. The methods align the data with the research questions to reduce bias. The authors developed an analytical framework inspired by Bourdieu's forms of capital and created tables to synthesize the data. The SLR covers 91 peer-reviewed studies published from 1994 to 2021. The authors categorized challenges into financial, human, and social capital, alongside external factors. Challenges encompassed assimilation, language barriers, networking, funding constraints, and adapting to local business practices. Migrant entrepreneurs' stability hinged on factors such as duration of stay, language proficiency, prior entrepreneurial experience, and education. The authors identified support mechanisms to include local networks, financing, and mentoring. The SLR outlines a research agenda, emphasizing enhanced human and social capital, well-designed support programs, and bias mitigation. This review contributes to the academic literature on understanding and promoting mig</w:t>
      </w:r>
    </w:p>
    <w:p>
      <w:pPr/>
      <w:r>
        <w:rPr>
          <w:b/>
        </w:rPr>
        <w:t>POSSIBLE 2023:</w:t>
      </w:r>
      <w:r>
        <w:t xml:space="preserve"> Causes of the Russian-Ukrainian Conflict and its Impact on Security in Europe — https://doi.org/10.2478/kbo-2023-0004</w:t>
      </w:r>
    </w:p>
    <w:p>
      <w:pPr/>
      <w:r>
        <w:rPr>
          <w:b/>
        </w:rPr>
        <w:t>Shared claim-specific concepts:</w:t>
      </w:r>
      <w:r>
        <w:t xml:space="preserve"> abstract, author, outlines; EU scope visible. This is a provisional connection, not an outcome finding.</w:t>
      </w:r>
    </w:p>
    <w:p>
      <w:pPr>
        <w:pStyle w:val="SourceNote"/>
      </w:pPr>
      <w:r>
        <w:rPr>
          <w:b/>
        </w:rPr>
        <w:t>Available abstract (not full text):</w:t>
      </w:r>
      <w:r>
        <w:t xml:space="preserve"> Abstract In this article, the author presents issues related to the Russian-Ukrainian conflict and its impact on security in Europe. The text outlines the causes of the Russian-Ukrainian conflict, the course of the war and the effects in the present day. The article describes the responses of the European Union and NATO to Russian aggression. In his conclusions, the author pays particular attention to the impact of this conflict on security in Europe..</w:t>
      </w:r>
    </w:p>
    <w:p>
      <w:pPr/>
      <w:r>
        <w:rPr>
          <w:b/>
        </w:rPr>
        <w:t>POSSIBLE 2023:</w:t>
      </w:r>
      <w:r>
        <w:t xml:space="preserve"> Introduction to Work and Employment Relations in Southern Europe — https://doi.org/10.4337/9781789909548.00006</w:t>
      </w:r>
    </w:p>
    <w:p>
      <w:pPr/>
      <w:r>
        <w:rPr>
          <w:b/>
        </w:rPr>
        <w:t>Shared claim-specific concepts:</w:t>
      </w:r>
      <w:r>
        <w:t xml:space="preserve"> outlines, industrial, relations; EU scope visible. This is a provisional connection, not an outcome finding.</w:t>
      </w:r>
    </w:p>
    <w:p>
      <w:pPr>
        <w:pStyle w:val="SourceNote"/>
      </w:pPr>
      <w:r>
        <w:rPr>
          <w:b/>
        </w:rPr>
        <w:t>Available abstract (not full text):</w:t>
      </w:r>
      <w:r>
        <w:t xml:space="preserve"> This chapter serves as an introduction to the book and outlines the background, context and nature of industrial relations and forms of de-regulation related to recent economic developments. The chapter outlines key aspects of the debates related to the nature of Southern European industrial relations in general but focusing on Greece, Italy, Portugal and Spain as the case studies. The chapter concentrates on the way that the states and public policy in such contexts have developed around competing political agendas and imperatives. The argument outlines how de-regulation has occurred, as well as how there have been responses to it, and alternative forms of politics and policies have been developed. It points to the way that broader politics and a set of initiatives regarding worker rights and collective processes have re-emerged, although it reiterates the existence of the problem with how marketization and neoliberalism continue to frame the overall politics and language of re-regulation.</w:t>
      </w:r>
    </w:p>
    <w:p>
      <w:pPr/>
      <w:r>
        <w:rPr>
          <w:b/>
        </w:rPr>
        <w:t>POSSIBLE 2021:</w:t>
      </w:r>
      <w:r>
        <w:t xml:space="preserve"> The evolution of life cycle assessment in European policies over three decades — https://doi.org/10.1007/s11367-021-01893-2</w:t>
      </w:r>
    </w:p>
    <w:p>
      <w:pPr/>
      <w:r>
        <w:rPr>
          <w:b/>
        </w:rPr>
        <w:t>Shared claim-specific concepts:</w:t>
      </w:r>
      <w:r>
        <w:t xml:space="preserve"> three, according; EU scope visible. This is a provisional connection, not an outcome finding.</w:t>
      </w:r>
    </w:p>
    <w:p>
      <w:pPr>
        <w:pStyle w:val="SourceNote"/>
      </w:pPr>
      <w:r>
        <w:rPr>
          <w:b/>
        </w:rPr>
        <w:t>Available abstract (not full text):</w:t>
      </w:r>
      <w:r>
        <w:t xml:space="preserve"> Abstract Purpose Life cycle thinking (LCT) and life cycle assessment (LCA) are increasingly considered pivotal concept and method for supporting sustainable transitions. LCA plays a relevant role in decision support, for the ambition of a holistic coverage of environmental dimensions and for the identification of hotspots, possible trade-offs, and burden shifting among life cycle stages or impact categories. These features are also relevant when the decision support is needed in policy domain. With a focus on EU policies, the present study explores the evolution and implementation of life cycle concepts and approaches over three decades. Methods Adopting an historical perspective, a review of current European Union (EU) legal acts and communications explicitly mentioning LCT, LCA, life cycle costing (LCC), and environmental footprint (the European Product and Organisation Environmental Footprint PEF/OEF) is performed, considering the timeframe from 1990 to 2020. The documents are categorised by year and according to their types (e.g. regulations, directives, communications) and based on the covered sectors (e.g. waste, energy, buildings). Documents for which life cycle concepts and approaches had a crucial role are identified, and a shortlist of these legal acts and communications is derived. Results and discussion Over the years, LCT and life cycle approaches have been increas</w:t>
      </w:r>
    </w:p>
    <w:p>
      <w:pPr/>
      <w:r>
        <w:rPr>
          <w:b/>
        </w:rPr>
        <w:t>POSSIBLE 2021:</w:t>
      </w:r>
      <w:r>
        <w:t xml:space="preserve"> The European Commission’s Role in EU–Turkey Relations — https://doi.org/10.1007/978-3-030-70890-0_9</w:t>
      </w:r>
    </w:p>
    <w:p>
      <w:pPr/>
      <w:r>
        <w:rPr>
          <w:b/>
        </w:rPr>
        <w:t>Shared claim-specific concepts:</w:t>
      </w:r>
      <w:r>
        <w:t xml:space="preserve"> relations, second; EU scope visible. This is a provisional connection, not an outcome finding.</w:t>
      </w:r>
    </w:p>
    <w:p>
      <w:pPr>
        <w:pStyle w:val="SourceNote"/>
      </w:pPr>
      <w:r>
        <w:rPr>
          <w:b/>
        </w:rPr>
        <w:t>Available abstract (not full text):</w:t>
      </w:r>
      <w:r>
        <w:t xml:space="preserve"> Abstract Based on a review of the relations between the European Commission (EC) and Turkey across a selection of policy areas, this chapter illustrates two aspects of EC influence in EU–Turkey relations. First, as a defender of the rules of the (enlargement) game, the Commission has rebuffed attempts by some member states to undermine Turkey’s membership prospects. The EC’s influence in the debate on the most appropriate approach to Turkey underlines its autonomous role within the EU system and the relevance of its norm-based argumentation. However, due to Turkey’s current alienation from the EU’s normative standards, norm-based arguments in favor of Turkey’s membership have lost much of their weight even within the Commission. Second, the EC has been an important ‘agent of change’ in Turkish domestic politics, even in times of deteriorating political relations with the EU. Because of its contributions to regular interactions, in particular, in the framework of projects financed by the EU’s Instrument for Pre-Accession Assistance, the EC has continued to increase administrative capacity and policy learning processes within Turkey’s bureaucracy, which, in turn, contributed to Ankara’s continued harmonization with the EUacquisin some sectors, despite the waning relevance of the EU’s conditionality strategy.</w:t>
      </w:r>
    </w:p>
    <w:p>
      <w:pPr/>
      <w:r>
        <w:rPr>
          <w:b/>
        </w:rPr>
        <w:t>POSSIBLE 2021:</w:t>
      </w:r>
      <w:r>
        <w:t xml:space="preserve"> Europeanization and EU–Turkey Relations: Three Domains, Four Periods — https://doi.org/10.1007/978-3-030-70890-0_5</w:t>
      </w:r>
    </w:p>
    <w:p>
      <w:pPr/>
      <w:r>
        <w:rPr>
          <w:b/>
        </w:rPr>
        <w:t>Shared claim-specific concepts:</w:t>
      </w:r>
      <w:r>
        <w:t xml:space="preserve"> three, relations, second; EU scope visible. This is a provisional connection, not an outcome finding.</w:t>
      </w:r>
    </w:p>
    <w:p>
      <w:pPr>
        <w:pStyle w:val="SourceNote"/>
      </w:pPr>
      <w:r>
        <w:rPr>
          <w:b/>
        </w:rPr>
        <w:t>Available abstract (not full text):</w:t>
      </w:r>
      <w:r>
        <w:t xml:space="preserve"> Abstract Europeanization is deservedly one of the most popular yet most volatile buzzwords for Turkish politics and EU–Turkey relations. This chapter takes stock of the Europeanization literature and examines the EU–Turkey relationship by referring to particular mechanisms and variants of Europeanization. The main argument is that Europeanization is a versatile and complex process covering vast areas of policy, politics, and polity, intertwined with larger domestic, regional, and global processes, which is not limited to Turkey’s EU accession. The analysis refers to particular mechanisms and variants of Europeanization in four different phases between 1963 and early 2020: In the first period, ‘Europeanization as rapprochement’, Turkey’s age-old Westernization project was consolidated through Europeanization. In the second period, ‘Europeanization as democratic conditionality’, there has been strong interest in the impact of Europeanization on particular aspects of domestic issues through conditionality and the EU’s role as a ‘democratization anchor’. In the third period, ‘Europeanization as retrenchment’, and the fourth period, ‘Europeanization as denial’, ‘Europe’ was no longer the lingua franca in the Turkish political landscape, a trend that is also associated with a ‘de-Europeanization’ turn in the literature. This does not mean that ‘Europe’ completely disappeared from dom</w:t>
      </w:r>
    </w:p>
    <w:p>
      <w:pPr>
        <w:pStyle w:val="Heading2"/>
      </w:pPr>
      <w:r>
        <w:t>901. Time banks, co-production and foresight: intertwined towards an alternative future</w:t>
      </w:r>
    </w:p>
    <w:p>
      <w:pPr>
        <w:pStyle w:val="SourceNote"/>
      </w:pPr>
      <w:r>
        <w:rPr>
          <w:b/>
        </w:rPr>
        <w:t>Original source (2015):</w:t>
      </w:r>
      <w:r>
        <w:t xml:space="preserve"> https://doi.org/10.1108/fs-05-2014-0035</w:t>
      </w:r>
    </w:p>
    <w:p>
      <w:pPr/>
      <w:r>
        <w:t>Original wording (abstract; indexed_source_text_not_full_document_verified): Time banks are particularly interesting for the future of services: they address all sorts of services while the time-bank “value” of these different types of services does not necessarily reflect their actual value in the free market; impacts may spread from the mere coverage of people’s needs, to increased social capital and community empowerment; and some scholars consider them as flexible forms of co-production, or even as enablers of wider social change.</w:t>
      </w:r>
    </w:p>
    <w:p>
      <w:pPr/>
      <w:r>
        <w:rPr>
          <w:b/>
        </w:rPr>
        <w:t>POSSIBLE 2026:</w:t>
      </w:r>
      <w:r>
        <w:t xml:space="preserve"> Willingness, motivators and barriers to time bank participation: A scoping review — https://doi.org/10.1371/journal.pone.0322760</w:t>
      </w:r>
    </w:p>
    <w:p>
      <w:pPr/>
      <w:r>
        <w:rPr>
          <w:b/>
        </w:rPr>
        <w:t>Shared claim-specific concepts:</w:t>
      </w:r>
      <w:r>
        <w:t xml:space="preserve"> time, particularly, address, different; EU scope not established. This is a provisional connection, not an outcome finding.</w:t>
      </w:r>
    </w:p>
    <w:p>
      <w:pPr>
        <w:pStyle w:val="SourceNote"/>
      </w:pPr>
      <w:r>
        <w:rPr>
          <w:b/>
        </w:rPr>
        <w:t>Available abstract (not full text):</w:t>
      </w:r>
      <w:r>
        <w:t xml:space="preserve"> This scoping review systematically identifies the extent and nature of evidence regarding willingness, motivators, and barriers influencing community participation in time bank systems, with a focus on older adults. Time bank is recognized as an effective tool for enhancing social cohesion and reducing isolation, particularly among older adults. However, specific factors such as barriers and motivators driving participation remain underexplored. This review adhered to Arksey and O'Malley's framework and PRISMA-ScR guidelines. A systematic search of PubMed, Embase, CINAHL, Web of Science, Cochrane Library, Google Scholar, and Science Direct (January 2010-December 2024) identified studies on willingness, motivators, and barriers to time bank participation. Two reviewers independently screened titles, abstracts, and full texts, extracting data using a predefined tool. Thirty studies (quantitative, qualitative, and mixed-methods) were included. Findings revealed high willingness among younger populations, particularly university students, driven by intrinsic motivations like altruism and meaningful engagement. Healthcare professionals and older adults showed moderate willingness, influenced by health needs and caregiving roles. Key motivators included robust willingness to participate across different population, social and community influences, demographic and structural determina</w:t>
      </w:r>
    </w:p>
    <w:p>
      <w:pPr/>
      <w:r>
        <w:rPr>
          <w:b/>
        </w:rPr>
        <w:t>POSSIBLE 2026:</w:t>
      </w:r>
      <w:r>
        <w:t xml:space="preserve"> Implementation and Impacts of Taiwan’s Time Bank Multi-Empowerment Program Across Six Townships — https://doi.org/10.33790/jswwp1100180</w:t>
      </w:r>
    </w:p>
    <w:p>
      <w:pPr/>
      <w:r>
        <w:rPr>
          <w:b/>
        </w:rPr>
        <w:t>Shared claim-specific concepts:</w:t>
      </w:r>
      <w:r>
        <w:t xml:space="preserve"> time, particularly, different, impacts; EU scope not established. This is a provisional connection, not an outcome finding.</w:t>
      </w:r>
    </w:p>
    <w:p>
      <w:pPr>
        <w:pStyle w:val="SourceNote"/>
      </w:pPr>
      <w:r>
        <w:rPr>
          <w:b/>
        </w:rPr>
        <w:t>Available abstract (not full text):</w:t>
      </w:r>
      <w:r>
        <w:t xml:space="preserve"> In recent years, the government has actively promoted symbiotic communities, hoping that communities can become nodes in social relationship networks and form mutual-support living circles. Departing from the Euro-American time bank framework, the time bank promoted by National Chung Cheng University has adopted Taiwan's traditional rural huan-gong (labor exchange) as its model of dissemination, gradually evolving toward the ideal of a symbiotic community. This study aims to examine the implementation outcomes of the Ministry of Health and Welfare's "Time Bank Multi-Empowerment Program" in six townships across northern, central, and southern Taiwan (Dalin Township and Xingang Township in Chiayi County; Dapi Township and Huwei Township in Yunlin County; North District of Hsinchu City; and Neipu Township in Pingtung County), and to explore what kinds of impacts and transformations it has brought to individuals, communities, and organizations. A stratified random sampling strategy was adopted to administer questionnaires in the six areas, resulting in 204 valid responses. Findings show that time bank members are mainly middle-aged and older (51–64 years), female, with a college education, married, living with spouse, and relying primarily on employment or business income; their (current or previous) main occupation is in industry and commerce, and their monthly disposable income i</w:t>
      </w:r>
    </w:p>
    <w:p>
      <w:pPr/>
      <w:r>
        <w:rPr>
          <w:b/>
        </w:rPr>
        <w:t>POSSIBLE 2026:</w:t>
      </w:r>
      <w:r>
        <w:t xml:space="preserve"> A Time Credit Based Community Service Exchange Platform — https://doi.org/10.55041/isjem08201</w:t>
      </w:r>
    </w:p>
    <w:p>
      <w:pPr/>
      <w:r>
        <w:rPr>
          <w:b/>
        </w:rPr>
        <w:t>Shared claim-specific concepts:</w:t>
      </w:r>
      <w:r>
        <w:t xml:space="preserve"> time, particularly, they, different, people; EU scope not established. This is a provisional connection, not an outcome finding.</w:t>
      </w:r>
    </w:p>
    <w:p>
      <w:pPr>
        <w:pStyle w:val="SourceNote"/>
      </w:pPr>
      <w:r>
        <w:rPr>
          <w:b/>
        </w:rPr>
        <w:t>Available abstract (not full text):</w:t>
      </w:r>
      <w:r>
        <w:t xml:space="preserve"> Money is the most common medium of exchange, but there are many situations particularly in close-knit communities, college campuses, and neighbourhood groups where people have valuable skills or time they are willing to offer but no convenient way to exchange them with others who need them. Time Bank is a proposed digital platform that replaces money with time as the currency of exchange: every hour of any service, regardless of its market rate, earns the provider exactly one time credit, which can later be spent on receiving a different service from another community member. This paper presents the design of a Time Bank system, discussing its relevance as an alternative economy model, the architecture of the platform, a service-exchange workflow, and the practical challenges of keeping a time-credit community functional and fair over time. Keywords — Time Bank, Time Credits, Peer-to-Peer Service Exchange, Community Currency, Alternative Economy, Skill Sharing, Reputation System</w:t>
      </w:r>
    </w:p>
    <w:p>
      <w:pPr/>
      <w:r>
        <w:rPr>
          <w:b/>
        </w:rPr>
        <w:t>POSSIBLE 2026:</w:t>
      </w:r>
      <w:r>
        <w:t xml:space="preserve"> Reaction of European bank and non-bank financial equities to physical climate risk: Evidence from quantile dependence and time-varying predictability — https://doi.org/10.55214/2576-8484.v10i2.12260</w:t>
      </w:r>
    </w:p>
    <w:p>
      <w:pPr/>
      <w:r>
        <w:rPr>
          <w:b/>
        </w:rPr>
        <w:t>Shared claim-specific concepts:</w:t>
      </w:r>
      <w:r>
        <w:t xml:space="preserve"> banks, particularly, impacts, coverage; EU scope visible. This is a provisional connection, not an outcome finding.</w:t>
      </w:r>
    </w:p>
    <w:p>
      <w:pPr>
        <w:pStyle w:val="SourceNote"/>
      </w:pPr>
      <w:r>
        <w:rPr>
          <w:b/>
        </w:rPr>
        <w:t>Available abstract (not full text):</w:t>
      </w:r>
      <w:r>
        <w:t xml:space="preserve"> This study analyses the pricing of physical climate risk in European financial equity markets by looking at the differentiated responses of banks and non-bank financial institutions. Daily data from December 2012 to December 2023 are used to study the predictive, causal, and distributional effects of physical climate risk on sectoral equity returns. The measurement of physical climate hazard is through a new text-based Physical Climate Risk Index, created from coverage in European financial media, which captures real-time investor attention to climate-related hazards. In terms of methodology, it employs an extensive econometric framework that integrates the wild-bootstrap likelihood ratio test for assessing return predictability, time-varying causal changes, and cross-quantilograms for studying asymmetric quantile-dependent dependencies at short, medium, and long-run horizons. The results provide strong evidence that physical climate risk has a statistically significant adverse predictive effect on both banking and non-bank financial equity returns, with more pronounced impacts for non-bank institutions. Time-varying causality intensifies in periods of heightened climate stress, particularly around major heat waves, droughts, and wildfire episodes within Europe. Further cross-quantilogram results reveal substantial asymmetries, stronger downside effects in the short run, and ev</w:t>
      </w:r>
    </w:p>
    <w:p>
      <w:pPr/>
      <w:r>
        <w:rPr>
          <w:b/>
        </w:rPr>
        <w:t>POSSIBLE 2025:</w:t>
      </w:r>
      <w:r>
        <w:t xml:space="preserve"> Willingness, Motivators and Barriers to Time Bank Participation: A Scoping Review — https://doi.org/10.1101/2025.03.30.25324913</w:t>
      </w:r>
    </w:p>
    <w:p>
      <w:pPr/>
      <w:r>
        <w:rPr>
          <w:b/>
        </w:rPr>
        <w:t>Shared claim-specific concepts:</w:t>
      </w:r>
      <w:r>
        <w:t xml:space="preserve"> time, particularly, address, different; EU scope not established. This is a provisional connection, not an outcome finding.</w:t>
      </w:r>
    </w:p>
    <w:p>
      <w:pPr>
        <w:pStyle w:val="SourceNote"/>
      </w:pPr>
      <w:r>
        <w:rPr>
          <w:b/>
        </w:rPr>
        <w:t>Available abstract (not full text):</w:t>
      </w:r>
      <w:r>
        <w:t xml:space="preserve"> 1 Abstract Objective This scoping review systematically identifies the extent and nature of evidence regarding willingness, motivators, and barriers influencing community participation in time bank systems, with a focus on older adults. Introduction Time bank is recognized as an effective tool for enhancing social cohesion and reducing isolation, particularly among older adults. However, specific factors such as barriers and motivators driving participation remain underexplored. Design Scoping review. Methods This review adhered to Arksey and O’Malley’s framework and PRISMA-ScR guidelines. A systematic search of PubMed, Embase, CINAHL, Web of Science, Cochrane Library, Google Scholar, and Science Direct (January 2010–December 2024) identified studies on willingness, motivators, and barriers to time bank participation. Two reviewers independently screened titles, abstracts, and full texts, extracting data using a predefined tool. Results Thirty studies (quantitative, qualitative, and mixed-methods) were included. Findings revealed high willingness among younger populations, particularly university students, driven by intrinsic motivations like altruism and meaningful engagement. Healthcare professionals and older adults showed moderate willingness, influenced by health needs and caregiving roles. Key motivators included robust willingess to participate across different populatio</w:t>
      </w:r>
    </w:p>
    <w:p>
      <w:pPr/>
      <w:r>
        <w:rPr>
          <w:b/>
        </w:rPr>
        <w:t>POSSIBLE 2025:</w:t>
      </w:r>
      <w:r>
        <w:t xml:space="preserve"> Analysis of Guangzhou time bank pilot policy — https://doi.org/10.54254/2977-5701/2025.27781</w:t>
      </w:r>
    </w:p>
    <w:p>
      <w:pPr/>
      <w:r>
        <w:rPr>
          <w:b/>
        </w:rPr>
        <w:t>Shared claim-specific concepts:</w:t>
      </w:r>
      <w:r>
        <w:t xml:space="preserve"> time, banks, not, actual; EU scope not established. This is a provisional connection, not an outcome finding.</w:t>
      </w:r>
    </w:p>
    <w:p>
      <w:pPr>
        <w:pStyle w:val="SourceNote"/>
      </w:pPr>
      <w:r>
        <w:rPr>
          <w:b/>
        </w:rPr>
        <w:t>Available abstract (not full text):</w:t>
      </w:r>
      <w:r>
        <w:t xml:space="preserve"> Over the past two decades, against the backdrop of a rapidly growing elderly population in China, eldercare issues have gained increasing attention and become a highly debated topic in society. Research indicates that the actual needs of the elderly lie not in financial resources, but rather in care and companionship. However, with modern youth frequently working overtime and having little time for companionship, how can the needs of the elderly be met? The emergence of the "Time Bank"a novel elderly care service platformaddresses this by establishing a community-based model to fulfill the diverse needs of the elderly. This paper introduces the Nansha Time Bank platform in Guangzhou, showcasing the promising development prospects of public welfare organizations and the localized implementation of the imported concept of time banks within contemporary Chinese society. By analyzing the strengths and weaknesses of time banks and summarizing the motivations and influencing factors that encourage service providers to participate, the following conclusions are drawn: First, time banks possess three key advantages: mobilizing public enthusiasm, addressing the shortage of service providers for the elderly, and alleviating the supply-demand imbalance. Second, this paper examines potential risks from three perspectives: developmental sustainability, activity accessibility, and participat</w:t>
      </w:r>
    </w:p>
    <w:p>
      <w:pPr/>
      <w:r>
        <w:rPr>
          <w:b/>
        </w:rPr>
        <w:t>POSSIBLE 2024:</w:t>
      </w:r>
      <w:r>
        <w:t xml:space="preserve"> Scope and challenges in the implementation of Time Bank in India: a qualitative study — https://doi.org/10.1007/s44282-024-00040-0</w:t>
      </w:r>
    </w:p>
    <w:p>
      <w:pPr/>
      <w:r>
        <w:rPr>
          <w:b/>
        </w:rPr>
        <w:t>Shared claim-specific concepts:</w:t>
      </w:r>
      <w:r>
        <w:t xml:space="preserve"> time, services, different, people; EU scope not established. This is a provisional connection, not an outcome finding.</w:t>
      </w:r>
    </w:p>
    <w:p>
      <w:pPr>
        <w:pStyle w:val="SourceNote"/>
      </w:pPr>
      <w:r>
        <w:rPr>
          <w:b/>
        </w:rPr>
        <w:t>Available abstract (not full text):</w:t>
      </w:r>
      <w:r>
        <w:t xml:space="preserve"> Abstract This paper explores the scope of services and challenges in implementing Time Bank in India. This community-based initiative allows people to exchange skills and services without the involvement of money. A qualitative study was conducted using semi-structured telephone interviews with 20 participants aged 18 to 35. Thematic analysis revealed four major themes: Services, Challenges and Limitations of Time Bank, Factors Affecting Help-Seeking Behavior, and Community and Gender Dynamics. Participants expressed interest in offering a wide range of services, from household tasks to professional services. However, challenges and limitations were also identified, such as a lack of awareness and understanding of the concept, social stigma, and concerns about trust, privacy, and safety issues. The study underscores the need to consider cultural and social factors while implementing community-based initiatives. Despite these challenges, participants believed Time Bank could be a valuable platform for building social connections and community support. The study's implications highlight the need for further research on the impact of Time Bank on social capital and the sustainability of the initiative in different cultural contexts.</w:t>
      </w:r>
    </w:p>
    <w:p>
      <w:pPr/>
      <w:r>
        <w:rPr>
          <w:b/>
        </w:rPr>
        <w:t>POSSIBLE 2024:</w:t>
      </w:r>
      <w:r>
        <w:t xml:space="preserve"> DEVELOPMENT OF REMOTE BANKING SERVICES OF COMMERCIAL BANKS IS A REQUIREMENT OF THE TIME — https://doi.org/10.5281/zenodo.21413961</w:t>
      </w:r>
    </w:p>
    <w:p>
      <w:pPr/>
      <w:r>
        <w:rPr>
          <w:b/>
        </w:rPr>
        <w:t>Shared claim-specific concepts:</w:t>
      </w:r>
      <w:r>
        <w:t xml:space="preserve"> time, banks, services; EU scope not established. This is a provisional connection, not an outcome finding.</w:t>
      </w:r>
    </w:p>
    <w:p>
      <w:pPr>
        <w:pStyle w:val="SourceNote"/>
      </w:pPr>
      <w:r>
        <w:rPr>
          <w:b/>
        </w:rPr>
        <w:t>Available abstract (not full text):</w:t>
      </w:r>
      <w:r>
        <w:t xml:space="preserve"> The article examines the increase in capital of commercial banks and the factors influencing it on the basis of theoretical and practical data. Also, based on the study of foreign experience, it is argued that the increase in asset quality in banks will directly improve the quality of credit services provided by banks, reduce problem loans and the use of credit scoring system. A number of specific aspects of the use of credit scoring system in improving the quality of assets of commercial banks have been studied in detail on the basis of theoretical and practical data, scientific proposals and practical recommendations have been developed on the basis of author’s approaches.</w:t>
      </w:r>
    </w:p>
    <w:p>
      <w:pPr/>
      <w:r>
        <w:rPr>
          <w:b/>
        </w:rPr>
        <w:t>POSSIBLE 2024:</w:t>
      </w:r>
      <w:r>
        <w:t xml:space="preserve"> Study on the Application of "Time Bank" to College Students' Volunteer Service System in the Context of Rural Revitalization — https://doi.org/10.54097/pbf0y096</w:t>
      </w:r>
    </w:p>
    <w:p>
      <w:pPr/>
      <w:r>
        <w:rPr>
          <w:b/>
        </w:rPr>
        <w:t>Shared claim-specific concepts:</w:t>
      </w:r>
      <w:r>
        <w:t xml:space="preserve"> time, services, they, not; EU scope not established. This is a provisional connection, not an outcome finding.</w:t>
      </w:r>
    </w:p>
    <w:p>
      <w:pPr>
        <w:pStyle w:val="SourceNote"/>
      </w:pPr>
      <w:r>
        <w:rPr>
          <w:b/>
        </w:rPr>
        <w:t>Available abstract (not full text):</w:t>
      </w:r>
      <w:r>
        <w:t xml:space="preserve"> With the idea of inclusiveness gradually penetrating into the philosophy of governance of colleges and universities, college students' volunteer activities are gradually enriched, and college students have become the most energetic group in youth volunteer activities. Student organizations and associations at the college or school level have become the main field and position for college students to carry out volunteer service activities in various colleges and universities. They arouse students' interest and achieve the purpose of recruiting college students' volunteers by means of credit awards, personal enhancement, and outings, etc., and then carry out volunteer service activities on the basis of which they provide various services for others or the society to promote the development and progress of China's society. According to the survey, college student volunteers have reached 83.1% of the total number of volunteers, college students have been the main force in the body. However, from the current situation, the conditions of volunteer service are still lacking, the contemporary university volunteer group students do not have a comprehensive understanding of volunteer service, awareness is weak, and volunteer activities are mostly top-down type of promotion, passive volunteer service also deviates from the original intention of the spirit of volunteerism. Therefore, with </w:t>
      </w:r>
    </w:p>
    <w:p>
      <w:pPr/>
      <w:r>
        <w:rPr>
          <w:b/>
        </w:rPr>
        <w:t>POSSIBLE 2024:</w:t>
      </w:r>
      <w:r>
        <w:t xml:space="preserve"> Tracing Bank Runs in Real Time — https://doi.org/10.59576/sr.1104</w:t>
      </w:r>
    </w:p>
    <w:p>
      <w:pPr/>
      <w:r>
        <w:rPr>
          <w:b/>
        </w:rPr>
        <w:t>Shared claim-specific concepts:</w:t>
      </w:r>
      <w:r>
        <w:t xml:space="preserve"> time, banks, not; EU scope not established. This is a provisional connection, not an outcome finding.</w:t>
      </w:r>
    </w:p>
    <w:p>
      <w:pPr>
        <w:pStyle w:val="SourceNote"/>
      </w:pPr>
      <w:r>
        <w:rPr>
          <w:b/>
        </w:rPr>
        <w:t>Available abstract (not full text):</w:t>
      </w:r>
      <w:r>
        <w:t xml:space="preserve"> We use high-frequency interbank payments data to trace deposit flows in March 2023 and identify twenty-two banks that suffered a run—significantly more than the two that failed but fewer than the number that experienced large negative stock returns. The runs were driven by large (institutional) depositors, rather than many small (retail) depositors. While the runs were related to weak fundamentals, we find evidence for the importance of coordination because run banks were disproportionately publicly traded and many banks with similarly bad fundamentals did not suffer a run. Banks that survived a run did so by borrowing new funds and then raising deposit rates—not by selling liquid securities.</w:t>
      </w:r>
    </w:p>
    <w:p>
      <w:pPr/>
      <w:r>
        <w:rPr>
          <w:b/>
        </w:rPr>
        <w:t>POSSIBLE 2024:</w:t>
      </w:r>
      <w:r>
        <w:t xml:space="preserve"> Inequality In Banks — https://doi.org/10.36948/ijfmr.2024.v06i02.15138</w:t>
      </w:r>
    </w:p>
    <w:p>
      <w:pPr/>
      <w:r>
        <w:rPr>
          <w:b/>
        </w:rPr>
        <w:t>Shared claim-specific concepts:</w:t>
      </w:r>
      <w:r>
        <w:t xml:space="preserve"> time, banks, particularly, services, all, value; EU scope not established. This is a provisional connection, not an outcome finding.</w:t>
      </w:r>
    </w:p>
    <w:p>
      <w:pPr>
        <w:pStyle w:val="SourceNote"/>
      </w:pPr>
      <w:r>
        <w:rPr>
          <w:b/>
        </w:rPr>
        <w:t>Available abstract (not full text):</w:t>
      </w:r>
      <w:r>
        <w:t xml:space="preserve"> This research paper delves into the challenges people, regardless of their age, face when dealing with money, especially in the context of banks where financial security should be paramount. Money plays a critical role in today's economy as a medium of exchange, unit of account, and store of value, impacting financial planning and security. However, the shift towards online banking has resulted in various errors, financial losses, and data breaches due to user inexperience. The paper suggests that allowing traditional banking as a secondary option could prevent these issues. Traditional banking, with its physical branches and face-to-face interactions, offers benefits such as in-person services, enhanced financial security, and reliable access to loans, making it a preferable choice for many. The research paper aims to shed light on the persistent issues surrounding net banking, or alternatively, the idea of internet banking in general. This may manifest as the person making irrevocable errors or as dishonest behaviour on the part of other parties. Reversal mechanisms, which need to be in place from the beginning, are missing, particularly when it comes to financial matters. When all of the foregoing is fully understood, most consumers would naturally choose a traditional banking option. To save time and money on operating expenses, the banks do not offer this option. The price</w:t>
      </w:r>
    </w:p>
    <w:p>
      <w:pPr/>
      <w:r>
        <w:rPr>
          <w:b/>
        </w:rPr>
        <w:t>POSSIBLE 2023:</w:t>
      </w:r>
      <w:r>
        <w:t xml:space="preserve"> Examining the Role of Motivation Cues from Narratives in Online Time Bank Participating Decisions — https://doi.org/10.21203/rs.3.rs-2694840/v1</w:t>
      </w:r>
    </w:p>
    <w:p>
      <w:pPr/>
      <w:r>
        <w:rPr>
          <w:b/>
        </w:rPr>
        <w:t>Shared claim-specific concepts:</w:t>
      </w:r>
      <w:r>
        <w:t xml:space="preserve"> time, banks, value; EU scope not established. This is a provisional connection, not an outcome finding.</w:t>
      </w:r>
    </w:p>
    <w:p>
      <w:pPr>
        <w:pStyle w:val="SourceNote"/>
      </w:pPr>
      <w:r>
        <w:rPr>
          <w:b/>
        </w:rPr>
        <w:t>Available abstract (not full text):</w:t>
      </w:r>
      <w:r>
        <w:t xml:space="preserve"> Abstract Time bank known as “Community/Neighborhood Pension”, provides a new solution to fulfill the unmet service needs of community members with idle community resources. The operation of time banks relies on the active participation of community members. Therefore, in this study we investigate the motivation of members to participate in web-based time banks from a service requirement narrative perspective. Drawing on grounded theory and self-determination theory, we built a model to assess how intrinsic and extrinsic cues underlying service requirement narratives affect time bank participation decisions of service providers. To test our hypotheses, we conducted a regression analysis of 12339 projects from the “Nansha Time Bank” (a web-based time bank) platform in China. We find that participants respond positively to time coin returns and narratives highlighting social connection and value fulfillment but respond negatively to service hour costs and empathy-altruism cues.</w:t>
      </w:r>
    </w:p>
    <w:p>
      <w:pPr>
        <w:pStyle w:val="Heading2"/>
      </w:pPr>
      <w:r>
        <w:t>902. Transport demand evolution in Europe – factors of change, scenarios and challenges</w:t>
      </w:r>
    </w:p>
    <w:p>
      <w:pPr>
        <w:pStyle w:val="SourceNote"/>
      </w:pPr>
      <w:r>
        <w:rPr>
          <w:b/>
        </w:rPr>
        <w:t>Original source (2015):</w:t>
      </w:r>
      <w:r>
        <w:t xml:space="preserve"> https://doi.org/10.1007/s40309-015-0072-y</w:t>
      </w:r>
    </w:p>
    <w:p>
      <w:pPr/>
      <w:r>
        <w:t>Original wording (abstract; indexed_source_text_not_full_document_verified): In the transport sector, where change comes with inertia and investments are made with a long term perspective, decision makers need to consider how the future may look like in the very long term. The work presented in this paper is a scenario analysis focusing on the evolution of transport demand towards 2050, aiming to identify related challenges for European industrial and policy players.</w:t>
      </w:r>
    </w:p>
    <w:p>
      <w:pPr/>
      <w:r>
        <w:rPr>
          <w:b/>
        </w:rPr>
        <w:t>POSSIBLE 2025:</w:t>
      </w:r>
      <w:r>
        <w:t xml:space="preserve"> Barriers to women’s employment in the transport sector in Europe — https://doi.org/10.12688/openreseurope.16123.1</w:t>
      </w:r>
    </w:p>
    <w:p>
      <w:pPr/>
      <w:r>
        <w:rPr>
          <w:b/>
        </w:rPr>
        <w:t>Shared claim-specific concepts:</w:t>
      </w:r>
      <w:r>
        <w:t xml:space="preserve"> transport, sector, very, work; EU scope visible. This is a provisional connection, not an outcome finding.</w:t>
      </w:r>
    </w:p>
    <w:p>
      <w:pPr>
        <w:pStyle w:val="SourceNote"/>
      </w:pPr>
      <w:r>
        <w:rPr>
          <w:b/>
        </w:rPr>
        <w:t>Available abstract (not full text):</w:t>
      </w:r>
      <w:r>
        <w:t xml:space="preserve"> The H2020 TinnGO (Transport and Innovation Gender Observatory) project ( https://www.tinngo.eu/) addressed gender inequality in mobility patterns, education, and employment in the transport sector. The European transport sector has around 22% of female transport workers – making it one of the most traditional, male dominated, and change resistant sectors. This paper provides 1) a contemporary picture of women’s work experiences in the transport sector in 10 socially and economically divergent counties in the European Union (i.e. United Kingdom, Germany, France, Sweden, Italy, Spain, Romania, Portugal, Baltic Countries, Greece); and 2) recommendations on how to reduce gender inequalities. Data was collected using desk top research, surveys and follow up interviews and case studies with successful women and female entrepreneurs. Results triangulated well. Persistent themes emerged relevant to women’s underrepresentation in certain transport-related jobs and their over representation in support and administrative functions. The surveys revealed key barriers such as misogynistic attitudes, male dominated hierarchies, recruitment bias, reluctance to acknowledge a woman’s role and contributions, gender pay gap, male – dominated professional networks and the gender ’glass ceiling.’ Follow up case studies explored the strategies ‘successful’ women had used to overcome these. The number</w:t>
      </w:r>
    </w:p>
    <w:p>
      <w:pPr/>
      <w:r>
        <w:rPr>
          <w:b/>
        </w:rPr>
        <w:t>POSSIBLE 2025:</w:t>
      </w:r>
      <w:r>
        <w:t xml:space="preserve"> A Multi-Level Perspective on Transition to Renewable Energy in the Indonesian Transport Sector — https://doi.org/10.3390/en18215723</w:t>
      </w:r>
    </w:p>
    <w:p>
      <w:pPr/>
      <w:r>
        <w:rPr>
          <w:b/>
        </w:rPr>
        <w:t>Shared claim-specific concepts:</w:t>
      </w:r>
      <w:r>
        <w:t xml:space="preserve"> transport, sector, perspective, focusing, evolution, challenges; EU scope not established. This is a provisional connection, not an outcome finding.</w:t>
      </w:r>
    </w:p>
    <w:p>
      <w:pPr>
        <w:pStyle w:val="SourceNote"/>
      </w:pPr>
      <w:r>
        <w:rPr>
          <w:b/>
        </w:rPr>
        <w:t>Available abstract (not full text):</w:t>
      </w:r>
      <w:r>
        <w:t xml:space="preserve"> A transition from fossil fuels to renewable energy is underway to achieve net-zero emissions. The institutional arrangements in Indonesia’s energy transportation sector are crucial for various stakeholders involved in the energy transition. This study combines historical institutionalism with a multi-level perspective to analyze how policy formulation, critical junctures, and path dependence shape institutional changes toward sustainable mobility. The evolution of institutional arrangements can be categorized into three phases: the establishment of fuel-oil-based infrastructure and dependency (1970–2003); the diversification of cleaner fuels through compressed natural gas and biofuels (2004–2014); and the development of affordable and clean energy, focusing on biofuels and electrification (2015 to present). In parallel, a quantitative total cost of ownership analysis of vehicles using different fuel types demonstrates how institutional reforms, fiscal incentives, and regulatory support reshape the economic feasibility of low-carbon technologies. Landscape pressures—such as global decarbonization, fuel import dependence, and energy security challenges—interact with niche innovations, including biofuels, electric vehicles, and hybrid systems, to drive systemic transformation. The findings indicate that institutional changes, supported by quantitative economic evidence and technol</w:t>
      </w:r>
    </w:p>
    <w:p>
      <w:pPr/>
      <w:r>
        <w:rPr>
          <w:b/>
        </w:rPr>
        <w:t>POSSIBLE 2025:</w:t>
      </w:r>
      <w:r>
        <w:t xml:space="preserve"> LEGAL ASPECTS OF INDUSTRIAL SYMBIOSIS IN THE TRANSPORT SECTOR — https://openalex.org/W7131341140</w:t>
      </w:r>
    </w:p>
    <w:p>
      <w:pPr/>
      <w:r>
        <w:rPr>
          <w:b/>
        </w:rPr>
        <w:t>Shared claim-specific concepts:</w:t>
      </w:r>
      <w:r>
        <w:t xml:space="preserve"> transport, sector, like, very, related, industrial; EU scope visible. This is a provisional connection, not an outcome finding.</w:t>
      </w:r>
    </w:p>
    <w:p>
      <w:pPr>
        <w:pStyle w:val="SourceNote"/>
      </w:pPr>
      <w:r>
        <w:rPr>
          <w:b/>
        </w:rPr>
        <w:t>Available abstract (not full text):</w:t>
      </w:r>
      <w:r>
        <w:t xml:space="preserve"> Transport has a significant harmful impact on the environment, contributing to air, water and soil pollution, greenhouse gas emissions, and climate change. Burning fossil fuels in transportation means releases large amounts of CO₂ and other pollutants, degrading air quality and contributing to global warming. Transport also causes noise pollution and habitat destruction due to infrastructure development like roads and highways. On the other hand, sustainable transport seeks to minimise these negative effects by promoting cleaner technologies, such as electric and hydrogen-powered vehicles, and improving fuel efficiency. Industrial symbiosis in the transport sector refers to collaborative efforts between companies to optimise resources, reduce waste, and improve energy efficiency. Industrial symbiosis in the transport sector can include recycling vehicles and their parts, using alternative fuels, sharing infrastructure, etc. There are several successful practical examples of industrial symbiosis in the transport sector. While no single legal framework is dedicated solely to industrial symbiosis in transport, the legal aspects of this concept are covered through broader regulations related to sustainability, the circular economy, and emissions reduction. These legal frameworks include European Union directives and Member States' national laws as well as international treaties and</w:t>
      </w:r>
    </w:p>
    <w:p>
      <w:pPr/>
      <w:r>
        <w:rPr>
          <w:b/>
        </w:rPr>
        <w:t>POSSIBLE 2025:</w:t>
      </w:r>
      <w:r>
        <w:t xml:space="preserve"> Evaluating the European transportation sector via energy and climate change mitigation perspectives — https://doi.org/10.1016/j.sftr.2025.100652</w:t>
      </w:r>
    </w:p>
    <w:p>
      <w:pPr/>
      <w:r>
        <w:rPr>
          <w:b/>
        </w:rPr>
        <w:t>Shared claim-specific concepts:</w:t>
      </w:r>
      <w:r>
        <w:t xml:space="preserve"> transport, sector, decision; EU scope visible. This is a provisional connection, not an outcome finding.</w:t>
      </w:r>
    </w:p>
    <w:p>
      <w:pPr>
        <w:pStyle w:val="SourceNote"/>
      </w:pPr>
      <w:r>
        <w:rPr>
          <w:b/>
        </w:rPr>
        <w:t>Available abstract (not full text):</w:t>
      </w:r>
      <w:r>
        <w:t xml:space="preserve"> Transportation is essential to a country's economic growth. However, it is one of the most energy-intensive processes, and its negative environmental consequences are expected to worsen with time. Without successful climate change mitigation measures, it is predicted that transportation's negative environmental consequences will worsen, accelerating global warming. Enhancing energy efficiency and fostering sustainable practices in transportation have become urgent priorities to mitigate climate change. It is essential to evaluate to what extent European Union (EU) countries perform efficiently in terms of transport sustainability. Hence, we use Multi-Criteria Decision Making (MCDM) and slack-based Data Envelopment Analysis (DEA) tto evaluate the energy performance in the transportation sector of the EU. As per the analysis results, those countries with high Gross Domestic Product (GDP) levels, such as Germany, France, and Italy have performed better in both MCDM and DEA. Further, the outcomes of our study suggest that the EU members still have an opportunity for efficiency growth. To the best of our knowledge, this is one of the rare studies that comparatively focus on the performance of the EU transport sector.</w:t>
      </w:r>
    </w:p>
    <w:p>
      <w:pPr/>
      <w:r>
        <w:rPr>
          <w:b/>
        </w:rPr>
        <w:t>POSSIBLE 2024:</w:t>
      </w:r>
      <w:r>
        <w:t xml:space="preserve"> Analyzing Labor Costs in The Transport and Storage Sector in European Countries Through Trend and Cluster Analysis:2007-2022 — https://doi.org/10.19168/jyasar.1345236</w:t>
      </w:r>
    </w:p>
    <w:p>
      <w:pPr/>
      <w:r>
        <w:rPr>
          <w:b/>
        </w:rPr>
        <w:t>Shared claim-specific concepts:</w:t>
      </w:r>
      <w:r>
        <w:t xml:space="preserve"> transport, sector; EU scope visible. This is a provisional connection, not an outcome finding.</w:t>
      </w:r>
    </w:p>
    <w:p>
      <w:pPr>
        <w:pStyle w:val="SourceNote"/>
      </w:pPr>
      <w:r>
        <w:rPr>
          <w:b/>
        </w:rPr>
        <w:t>Available abstract (not full text):</w:t>
      </w:r>
      <w:r>
        <w:t xml:space="preserve"> Trends in the transport and storage industry's labor markets in Europe have significantly impacted changes in labor costs. Technological advancements, increased privatization and deregulation, and changes in global capital flows are among the key reasons that have resulted in significant changes in labor costs in the logistics sector during the last few decades, especially in Europe. The amount of remuneration for logistics personnel and its pace of change over time are essential aspects influencing not just capital investment choices but also country competitiveness. The clusters of countries with similar wage increases over time are also impacted by their economic, social, and ecological problems to a similar extent. The existence of probable trends in labor costs in transport and storage on a country level, as well as cluster analysis over the countries where the trend is found, will aid in revealing significant similarities and contrasts concerning the sector and the countries involved in the research. The Labor Cost Index (LCI), according to NACE Rev. 2 Activity-nominal value, quarterly data released by Eurostat was utilized for this research. Sixty-four quarterly periods have been covered between the first quarter of 2007 and the fourth quarter of 2022. The research was based on data collected from 23 different European countries. The Mann-Kendall trend test and Sen's slo</w:t>
      </w:r>
    </w:p>
    <w:p>
      <w:pPr/>
      <w:r>
        <w:rPr>
          <w:b/>
        </w:rPr>
        <w:t>POSSIBLE 2023:</w:t>
      </w:r>
      <w:r>
        <w:t xml:space="preserve"> Negative externalities in the transport sector: European efforts to align transport prices with external costs through market-based instruments — https://doi.org/10.4337/9781035317844.00022</w:t>
      </w:r>
    </w:p>
    <w:p>
      <w:pPr/>
      <w:r>
        <w:rPr>
          <w:b/>
        </w:rPr>
        <w:t>Shared claim-specific concepts:</w:t>
      </w:r>
      <w:r>
        <w:t xml:space="preserve"> transport, sector; EU scope visible. This is a provisional connection, not an outcome finding.</w:t>
      </w:r>
    </w:p>
    <w:p>
      <w:pPr>
        <w:pStyle w:val="SourceNote"/>
      </w:pPr>
      <w:r>
        <w:rPr>
          <w:b/>
        </w:rPr>
        <w:t>Available abstract (not full text):</w:t>
      </w:r>
      <w:r>
        <w:t xml:space="preserve"> A clear paradigm shift is needed to implement the polluter pays principle and foster a sustainable transition in the transport sector. Among others, market-based instruments are an economically attractive means of reducing the negative externalities generated by transport. In fact, by influencing the prices, they can encourage behavioural change in transport use by supporting more sustainable transport options, making them economically more attractive to users. Various policy options are under scrutiny at European level to revise the transport sector. On one hand, the revision of the Energy Taxation Directive and of the Emissions Trading System are at the top of the EU political agenda and they affect different transport sectors. On the other hand, the revision of the Eurovignette Directive on the charging of heavy-goods vehicles for the use of certain infrastructures and the reform of vehicle taxation are also under discussion. This chapter aims to analyse the EU efforts to align transport prices with external costs, if they are coordinate and compliant with EU objectives, and what scenarios are opening up for the future of vehicle taxation.</w:t>
      </w:r>
    </w:p>
    <w:p>
      <w:pPr/>
      <w:r>
        <w:rPr>
          <w:b/>
        </w:rPr>
        <w:t>POSSIBLE 2023:</w:t>
      </w:r>
      <w:r>
        <w:t xml:space="preserve"> Driving towards a sustainable future: Transport sector innovation, climate change and social welfare — https://doi.org/10.1016/j.jclepro.2023.139250</w:t>
      </w:r>
    </w:p>
    <w:p>
      <w:pPr/>
      <w:r>
        <w:rPr>
          <w:b/>
        </w:rPr>
        <w:t>Shared claim-specific concepts:</w:t>
      </w:r>
      <w:r>
        <w:t xml:space="preserve"> transport, sector;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Adapting for Inertia — https://openalex.org/W7137589190</w:t>
      </w:r>
    </w:p>
    <w:p>
      <w:pPr/>
      <w:r>
        <w:rPr>
          <w:b/>
        </w:rPr>
        <w:t>Shared claim-specific concepts:</w:t>
      </w:r>
      <w:r>
        <w:t xml:space="preserve"> inertia, look; EU scope not established. This is a provisional connection, not an outcome finding.</w:t>
      </w:r>
    </w:p>
    <w:p>
      <w:pPr>
        <w:pStyle w:val="SourceNote"/>
      </w:pPr>
      <w:r>
        <w:rPr>
          <w:b/>
        </w:rPr>
        <w:t>Available abstract (not full text):</w:t>
      </w:r>
      <w:r>
        <w:t xml:space="preserve"> Despite much learning and research over many decades, large ICT software projects have continued to experience poor outcomes or fallen short of original expectations—some spectacularly so. This is the case in the Australian and New Zealand public sectors, even though these projects operate within historically developed institutional frameworks that provide the rules, guidelines and controls, and aim to consistently improve outcomes. Something is amiss. In Adapting for Inertia, Grant Douglas questions the effectiveness of these institutional frameworks in governing large ICT software projects in the Australian and New Zealand public sectors. He also gauges the perspectives of a large number of actors in projects in both sectors and examines two case studies in detail. The main narrative to emerge is that the institutional frameworks are in a state of inertia: they are failing to adapt, owing to various institutional factors—all of which have public policy implications. Sadly, Douglas finds, this inertia is likely to continue. If there is difficulty in changing the capacity to govern, he proposes, policymakers should look to change the nature of what is to be governed.</w:t>
      </w:r>
    </w:p>
    <w:p>
      <w:pPr/>
      <w:r>
        <w:rPr>
          <w:b/>
        </w:rPr>
        <w:t>POSSIBLE 2023:</w:t>
      </w:r>
      <w:r>
        <w:t xml:space="preserve"> Effects of Digitalization on Labor Market Development in Transport Sector in Post- Covid Environment — https://doi.org/10.37075/2023.4/ea.2023.4.05</w:t>
      </w:r>
    </w:p>
    <w:p>
      <w:pPr/>
      <w:r>
        <w:rPr>
          <w:b/>
        </w:rPr>
        <w:t>Shared claim-specific concepts:</w:t>
      </w:r>
      <w:r>
        <w:t xml:space="preserve"> transport, sector, like, related; EU scope visible. This is a provisional connection, not an outcome finding.</w:t>
      </w:r>
    </w:p>
    <w:p>
      <w:pPr>
        <w:pStyle w:val="SourceNote"/>
      </w:pPr>
      <w:r>
        <w:rPr>
          <w:b/>
        </w:rPr>
        <w:t>Available abstract (not full text):</w:t>
      </w:r>
      <w:r>
        <w:t xml:space="preserve"> The development of digitalization processes in a post-pandemic environment has the potential to seriously affect the labor market in the transport sector in South- Eastern European countries, which sector is not prepared for such a transformation. An increasing number of transport companies will face the dilemma of keeping their workforce or replacing it with digital devices and robots. The consequences of the COVID-19 pandemic, which led to many small and medium-sized enterprises bankruptcies in the sector, will make it even more difficult for transport companies to remain competitive both on the national and European transport market. Based on statistical and descriptive analysis, the article aims to forecast the emerging trends in the sector and to give recommendations for a smooth transition, considering the specifics of the transport sector in terms of social and technological sustainability. The study identifies the problems, related to the digitalization of the transport sector and reveals the possibilities for their overcoming in regard to road passenger carriages in intercity lines in developing countries with transition economies like Bulgaria.</w:t>
      </w:r>
    </w:p>
    <w:p>
      <w:pPr/>
      <w:r>
        <w:rPr>
          <w:b/>
        </w:rPr>
        <w:t>POSSIBLE 2023:</w:t>
      </w:r>
      <w:r>
        <w:t xml:space="preserve"> Decarbonising Transport in the European Union — https://doi.org/10.30722/anzjes.vol15.iss1.17371</w:t>
      </w:r>
    </w:p>
    <w:p>
      <w:pPr/>
      <w:r>
        <w:rPr>
          <w:b/>
        </w:rPr>
        <w:t>Shared claim-specific concepts:</w:t>
      </w:r>
      <w:r>
        <w:t xml:space="preserve"> transport, sector, aiming; EU scope visible. This is a provisional connection, not an outcome finding.</w:t>
      </w:r>
    </w:p>
    <w:p>
      <w:pPr>
        <w:pStyle w:val="SourceNote"/>
      </w:pPr>
      <w:r>
        <w:rPr>
          <w:b/>
        </w:rPr>
        <w:t>Available abstract (not full text):</w:t>
      </w:r>
      <w:r>
        <w:t xml:space="preserve"> In its emerging role as a climate leader, the European Union is aiming to become the first carbon neutral continent by 2050 (European Commission, 2019). This involves ambitious measures to decarbonise by i.a. reducing emissions in the transport sector. However while other EU sectors have decreased emissions since 1990, transport has experienced an increase. It seems unlikely that reduction rates will be reachd with the currently proposed solutions. Further action and policy change will be required to achieve these aims.</w:t>
      </w:r>
    </w:p>
    <w:p>
      <w:pPr/>
      <w:r>
        <w:rPr>
          <w:b/>
        </w:rPr>
        <w:t>POSSIBLE 2022:</w:t>
      </w:r>
      <w:r>
        <w:t xml:space="preserve"> Institutional and organisational change in the German rail transport sector. Working paper 3 of the study LowCarb-RFC - European Rail Freight Corridors going Carbon Neutral — https://doi.org/10.24406/publica-fhg-299027</w:t>
      </w:r>
    </w:p>
    <w:p>
      <w:pPr/>
      <w:r>
        <w:rPr>
          <w:b/>
        </w:rPr>
        <w:t>Shared claim-specific concepts:</w:t>
      </w:r>
      <w:r>
        <w:t xml:space="preserve"> transport, sector; EU scope visible. This is a provisional connection, not an outcome finding.</w:t>
      </w:r>
    </w:p>
    <w:p>
      <w:pPr>
        <w:pStyle w:val="SourceNote"/>
      </w:pPr>
      <w:r>
        <w:rPr>
          <w:b/>
        </w:rPr>
        <w:t>Available abstract (not full text):</w:t>
      </w:r>
      <w:r>
        <w:t xml:space="preserve"> The paper asks how the modal shift from road to rail in the freight sector is sup-ported by institutional change. Following North (1990), institutions are understood as the "rules of the game" in the rail freight sector. Based on the literature on institutional change, four different perspectives and mechanisms can be dis-cerned: institutional design, collective action, institutional adaptation, and institu-tional diffusion. Each of these perspectives examines the situation in the German rail freight sector from a different angle. Based on this analysis, processes of institutional change and their potential impact on modal shift are discussed. Fol-lowing the railway reform, new domestic and foreign competitors of DB Cargo have entered the rail freight market with business models tailored to promising segments. At the same time, this competition has triggered a transformative or-ganisational change initiative at DB Cargo, which is currently in the process of implementation. Even though the success of this initiatives is highly uncertain, in total, the described changes are likely to result in a higher competitiveness of the sector and a stronger orientation to customer needs. Furthermore, the road freight sector has increasingly come under political pressure due to its rising GHG emissions and rail transport is increasingly seen as a viable alternative. In this respect, the rece</w:t>
      </w:r>
    </w:p>
    <w:p>
      <w:pPr/>
      <w:r>
        <w:rPr>
          <w:b/>
        </w:rPr>
        <w:t>POSSIBLE 2022:</w:t>
      </w:r>
      <w:r>
        <w:t xml:space="preserve"> A review on Rail Transport in Europe and Italy — https://doi.org/10.1109/eeeic/icpseurope54979.2022.9854799</w:t>
      </w:r>
    </w:p>
    <w:p>
      <w:pPr/>
      <w:r>
        <w:rPr>
          <w:b/>
        </w:rPr>
        <w:t>Shared claim-specific concepts:</w:t>
      </w:r>
      <w:r>
        <w:t xml:space="preserve"> transport, sector, evolution; EU scope visible. This is a provisional connection, not an outcome finding.</w:t>
      </w:r>
    </w:p>
    <w:p>
      <w:pPr>
        <w:pStyle w:val="SourceNote"/>
      </w:pPr>
      <w:r>
        <w:rPr>
          <w:b/>
        </w:rPr>
        <w:t>Available abstract (not full text):</w:t>
      </w:r>
      <w:r>
        <w:t xml:space="preserve"> The paper describes the state of the art of passenger and freight rail transport in Italy and Europe taken into account market demand, consumption, emissions and costs. Present and future scenarios are analyzed (projections towards 2030 and 2050) to observe the evolution of rail transport and to evaluate how the demand for mobility will change and how the new development frontiers will impact pollution and economic management. Summarizing, the paper identifies the policies implemented to promote the railway sector and the existing limits to its development.</w:t>
      </w:r>
    </w:p>
    <w:p>
      <w:pPr>
        <w:pStyle w:val="Heading2"/>
      </w:pPr>
      <w:r>
        <w:t>903. Wild cards in transport</w:t>
      </w:r>
    </w:p>
    <w:p>
      <w:pPr>
        <w:pStyle w:val="SourceNote"/>
      </w:pPr>
      <w:r>
        <w:rPr>
          <w:b/>
        </w:rPr>
        <w:t>Original source (2015):</w:t>
      </w:r>
      <w:r>
        <w:t xml:space="preserve"> https://doi.org/10.1007/s40309-015-0066-9</w:t>
      </w:r>
    </w:p>
    <w:p>
      <w:pPr/>
      <w:r>
        <w:t>Original wording (abstract; indexed_source_text_not_full_document_verified): Several Wild Cards reach high likelihood in 2040 or beyond, while the time by which full impact is reached varies.</w:t>
      </w:r>
    </w:p>
    <w:p>
      <w:pPr/>
      <w:r>
        <w:rPr>
          <w:b/>
        </w:rPr>
        <w:t>POSSIBLE 2026:</w:t>
      </w:r>
      <w:r>
        <w:t xml:space="preserve"> Mapping Wild Boar Capture Likelihood Using Public Surveillance Records: A Maxent-Based Case Study in Northern Nara, Japan — https://doi.org/10.48084/etasr.18889</w:t>
      </w:r>
    </w:p>
    <w:p>
      <w:pPr/>
      <w:r>
        <w:rPr>
          <w:b/>
        </w:rPr>
        <w:t>Shared claim-specific concepts:</w:t>
      </w:r>
      <w:r>
        <w:t xml:space="preserve"> several, wild, high, likelihood; EU scope not established. This is a provisional connection, not an outcome finding.</w:t>
      </w:r>
    </w:p>
    <w:p>
      <w:pPr>
        <w:pStyle w:val="SourceNote"/>
      </w:pPr>
      <w:r>
        <w:rPr>
          <w:b/>
        </w:rPr>
        <w:t>Available abstract (not full text):</w:t>
      </w:r>
      <w:r>
        <w:t xml:space="preserve"> Wild boar populations have expanded across Japan, increasing agricultural and residential damage and necessitating spatially explicit risk-management strategies. While habitat suitability and conflict risk mapping for wild boar have been reported in several regions, research on developing operationally oriented, fine-resolution prioritization workflows using publicly available surveillance capture records in Japan remains limited. Therefore, we aimed to estimate the spatial distribution of the likelihood of wild boar capture in northern Nara Prefecture using a presence-only Maxent model. Capture locations were compiled from publicly available classical swine fever (CSF) surveillance records (2022–2024), and environmental predictors were derived from open geospatial datasets representing climate, topography, land cover, vegetation, soil type, human presence, and accessibility. All predictors were processed to a 100-m grid; road length was downscaled from 1-km data using a uniform distribution, and duplicate records within the same 100-m cell were merged at the cell centroid to reduce spatial clustering. Model performance was evaluated using year-based cross-validation, and discrimination performance was assessed using the receiver operating characteristic curve and the Area Under the Curve (AUC). The model achieved high discrimination (mean AUC = 0.856 for training and 0.830 for</w:t>
      </w:r>
    </w:p>
    <w:p>
      <w:pPr/>
      <w:r>
        <w:rPr>
          <w:b/>
        </w:rPr>
        <w:t>POSSIBLE 2025:</w:t>
      </w:r>
      <w:r>
        <w:t xml:space="preserve"> Virome landscape of wild rodents and shrews in Central China — https://doi.org/10.1186/s40168-025-02059-0</w:t>
      </w:r>
    </w:p>
    <w:p>
      <w:pPr/>
      <w:r>
        <w:rPr>
          <w:b/>
        </w:rPr>
        <w:t>Shared claim-specific concepts:</w:t>
      </w:r>
      <w:r>
        <w:t xml:space="preserve"> several, wild, high, likelihood, full; EU scope not established. This is a provisional connection, not an outcome finding.</w:t>
      </w:r>
    </w:p>
    <w:p>
      <w:pPr>
        <w:pStyle w:val="SourceNote"/>
      </w:pPr>
      <w:r>
        <w:rPr>
          <w:b/>
        </w:rPr>
        <w:t>Available abstract (not full text):</w:t>
      </w:r>
      <w:r>
        <w:t xml:space="preserve"> BACKGROUND: Wild rodents and shrews serve as vital sentinel species for monitoring zoonotic viruses due to their close interaction with human environments and role as natural reservoirs for diverse viral pathogens. Although several studies have explored viral diversity and assessed pathogenic risks in wild rodents and shrews, the full extent of this diversity remains insufficiently understood. RESULTS: We conducted high-throughput sequencing on 1113 small mammals collected from 97 townships across seven cities in Hubei Province during 2021, supplemented by publicly available data from 2014 and 2016-2017. This analysis revealed a diverse array of novel viruses spanning several viral families, including Arenaviridae, Hepeviridae, Chuviridae, Paramyxoviridae, Arteriviridae, Nodaviridae, Rhabdoviridae, Dicistroviridae, Astroviridae, and Picornaviridae. Phylogenetic analysis and genome structure characterization highlighted the discovery of these novel viruses, enhancing our understanding of viral diversity and evolution. Key host species such as Chodsigoa smithii, Anourosorex squamipes, Niviventer niviventer, and Apodemus agrarius were identified as significant contributors to viral circulation, making them crucial targets for future surveillance. Additionally, the central Plain of Hubei Province was recognized as a critical geographic hub for viral transmission, underscoring its i</w:t>
      </w:r>
    </w:p>
    <w:p>
      <w:pPr/>
      <w:r>
        <w:rPr>
          <w:b/>
        </w:rPr>
        <w:t>POSSIBLE 2024:</w:t>
      </w:r>
      <w:r>
        <w:t xml:space="preserve"> From worshipping Tyche to playing with wild cards — https://doi.org/10.1111/1468-5973.12543</w:t>
      </w:r>
    </w:p>
    <w:p>
      <w:pPr/>
      <w:r>
        <w:rPr>
          <w:b/>
        </w:rPr>
        <w:t>Shared claim-specific concepts:</w:t>
      </w:r>
      <w:r>
        <w:t xml:space="preserve"> wild, cards, likelihood; EU scope not established. This is a provisional connection, not an outcome finding.</w:t>
      </w:r>
    </w:p>
    <w:p>
      <w:pPr>
        <w:pStyle w:val="SourceNote"/>
      </w:pPr>
      <w:r>
        <w:rPr>
          <w:b/>
        </w:rPr>
        <w:t>Available abstract (not full text):</w:t>
      </w:r>
      <w:r>
        <w:t xml:space="preserve"> Abstract In his Physics, Aristotle acknowledges the role of Tyche, the Greek equivalent of contingency. His home, the Greek peninsula, was, and is today, regularly struck by natural hazards. Ancient records document that they wrought substantial damage to the infrastructure and political integrity of communities. Lacking reliable forecasting systems, for the ancient Greeks any of these hazards was contingent, even though there existed accepted interpretations of what (or who) caused these phenomena. Roughly 2.500 years later, future studies call sudden, unpredictable events like these ‘wild cards’. Occurring with a low probability but a substantial impact, wild cards pose challenges to social, political, and economic stability. Just as natural hazards unexpectedly interrupted and transformed social, political, and economical life in ancient communities, wild cards have the potential to disrupt current and future societies and economies. With the modern world increasingly complex and interconnected, wild cards will increase in frequency, likelihood, and impact. More than ever, local calamities will show global effects. To mitigate these effects and enable a fast recovery, creative approaches are needed. A gaze into how the societies of the distant past successfully coped with the wild cards that hit them, may thus yield inspiration for disaster risk reduction in the Anthropocene</w:t>
      </w:r>
    </w:p>
    <w:p>
      <w:pPr/>
      <w:r>
        <w:rPr>
          <w:b/>
        </w:rPr>
        <w:t>POSSIBLE 2024:</w:t>
      </w:r>
      <w:r>
        <w:t xml:space="preserve"> Luojiu Hua and Its Archive: Index Cards and Wild Cards — https://doi.org/10.4467/23531991kk.24.027.20862</w:t>
      </w:r>
    </w:p>
    <w:p>
      <w:pPr/>
      <w:r>
        <w:rPr>
          <w:b/>
        </w:rPr>
        <w:t>Shared claim-specific concepts:</w:t>
      </w:r>
      <w:r>
        <w:t xml:space="preserve"> wild, cards, time; EU scope not established. This is a provisional connection, not an outcome finding.</w:t>
      </w:r>
    </w:p>
    <w:p>
      <w:pPr>
        <w:pStyle w:val="SourceNote"/>
      </w:pPr>
      <w:r>
        <w:rPr>
          <w:b/>
        </w:rPr>
        <w:t>Available abstract (not full text):</w:t>
      </w:r>
      <w:r>
        <w:t xml:space="preserve"> By examining the manuscript materials of Guo Songfen (1938–2005) linked specifically to his last work, Luojiu Hua (The Falling of All the Followers), the paper aims to focus on the creative mode revealed by the manuscripts which can be characterized as a file system that avails itself of indexes and labels of sorts. These are first made up of initial scenario comments projecting either tentative titles or the overall structure of the work and more importantly, hidden quotations or short excerpts that Guo leaves meticulous citation information. Because they are seamlessly sutured into the very fabric of the text, no visible traces of their previous lives can be discerned in a reading without the benefit of the manuscript materials. To some degree, these short excerpts are textual transplants – visibly only if we take a deeper dive into the creative process and related manuscripts – verily alien grafts, that seemingly work silently within the textual machine. What are these textual transplants sutured into the text doing there, especially in a work that deals with memory and historical and personal traumas and national displacements at the fall of the Qing empire and the onset of civil wars which will give birth to and define modern China and Taiwan? This paper aims to look at the textual transplants from the perspective of their indexing function, that is, how they serve both as</w:t>
      </w:r>
    </w:p>
    <w:p>
      <w:pPr/>
      <w:r>
        <w:rPr>
          <w:b/>
        </w:rPr>
        <w:t>POSSIBLE 2023:</w:t>
      </w:r>
      <w:r>
        <w:t xml:space="preserve"> Wild rodents harbour high diversity of Arthroderma — https://doi.org/10.3767/persoonia.2023.50.02</w:t>
      </w:r>
    </w:p>
    <w:p>
      <w:pPr/>
      <w:r>
        <w:rPr>
          <w:b/>
        </w:rPr>
        <w:t>Shared claim-specific concepts:</w:t>
      </w:r>
      <w:r>
        <w:t xml:space="preserve"> several, wild, high; EU scope visible. This is a provisional connection, not an outcome finding.</w:t>
      </w:r>
    </w:p>
    <w:p>
      <w:pPr>
        <w:pStyle w:val="SourceNote"/>
      </w:pPr>
      <w:r>
        <w:rPr>
          <w:b/>
        </w:rPr>
        <w:t>Available abstract (not full text):</w:t>
      </w:r>
      <w:r>
        <w:t xml:space="preserve"> Arthroderma is the most diverse genus of dermatophytes, and its natural reservoir is considered to be soil enriched by keratin sources. During a study on the diversity of dermatophytes in wild small rodents in the Czech Republic, we isolated several strains of Arthroderma. To explore the diversity and ecological significance of these isolates from rodents (n = 29), we characterised the strains genetically (i. e., sequenced ITS, tubb and tef1α), morphologically, physiologically, and by conducting mating experiments. We then compared the rodent-derived strains to existing ITS sequence data from GenBank and the Global Fungi Database to further investigate biogeography and the association of Arthroderma species with different types of environments. In total, eight Arthroderma species were isolated from rodents, including four previously described species (A. crocatum, A. cuniculi, A. curreyi, A. quadrifidum) and four new species proposed herein, i. e., A. rodenticum, A. simile, A. zoogenum and A. psychro— philum. The geographical distribution of these newly described species was not restricted to the Czech Republic nor rodents. Additional isolates were obtained from bats and other mammals, reptiles, and soil from Europe, North America, and Asia. Data mining showed that the genus has a diverse ecology, with some lineages occurring relatively frequently in soil, whereas others appear</w:t>
      </w:r>
    </w:p>
    <w:p>
      <w:pPr/>
      <w:r>
        <w:rPr>
          <w:b/>
        </w:rPr>
        <w:t>POSSIBLE 2022:</w:t>
      </w:r>
      <w:r>
        <w:t xml:space="preserve"> High prevalence of straying in a wild brown trout (Salmo trutta) population in a fjord system — https://doi.org/10.1093/icesjms/fsac079</w:t>
      </w:r>
    </w:p>
    <w:p>
      <w:pPr/>
      <w:r>
        <w:rPr>
          <w:b/>
        </w:rPr>
        <w:t>Shared claim-specific concepts:</w:t>
      </w:r>
      <w:r>
        <w:t xml:space="preserve"> several, wild, high, likelihood, time; EU scope not established. This is a provisional connection, not an outcome finding.</w:t>
      </w:r>
    </w:p>
    <w:p>
      <w:pPr>
        <w:pStyle w:val="SourceNote"/>
      </w:pPr>
      <w:r>
        <w:rPr>
          <w:b/>
        </w:rPr>
        <w:t>Available abstract (not full text):</w:t>
      </w:r>
      <w:r>
        <w:t xml:space="preserve"> Abstract Natal homing is a prevalent life-history strategy among salmonids. However, not all individuals return to their natal river, a behaviour known as straying. In this study, we investigated the prevalence of straying and its connection to different life-history characteristics in an anadromous brown trout (Salmo trutta) population. In total, 21 538 juvenile out-migrating brown trout were tagged with Passive Integrated Transponder (PIT) tags in two years. Individuals were grouped according to their developmental status (parr, pre-smolt, and smolt) at the time of out-migration to investigate the effect of such life-history characteristic on the likelihood of straying. High number of anadromous brown trout (36%) were detected in non-natal rivers. Individuals spending longer time at sea were less likely to stray. Additionally, the likelihood of straying was dependent on the developmental status during out-migration, with parr having lower likelihood to stray compared to pre-smolt and smolt. However, the latter is further dependent on length and timing of juvenile out-migration. These results indicate that straying is an inherent part of this anadromous brown trout population and it is influenced by several life-history characteristics at different life stages. This may have significant implications to genetic structure within and between populations and to population dynamics</w:t>
      </w:r>
    </w:p>
    <w:p>
      <w:pPr/>
      <w:r>
        <w:rPr>
          <w:b/>
        </w:rPr>
        <w:t>POSSIBLE 2022:</w:t>
      </w:r>
      <w:r>
        <w:t xml:space="preserve"> Effect of Response Cards on Academic Outcomes — https://doi.org/10.57709/2058654</w:t>
      </w:r>
    </w:p>
    <w:p>
      <w:pPr/>
      <w:r>
        <w:rPr>
          <w:b/>
        </w:rPr>
        <w:t>Shared claim-specific concepts:</w:t>
      </w:r>
      <w:r>
        <w:t xml:space="preserve"> cards, high, time; EU scope not established. This is a provisional connection, not an outcome finding.</w:t>
      </w:r>
    </w:p>
    <w:p>
      <w:pPr>
        <w:pStyle w:val="SourceNote"/>
      </w:pPr>
      <w:r>
        <w:rPr>
          <w:b/>
        </w:rPr>
        <w:t>Available abstract (not full text):</w:t>
      </w:r>
      <w:r>
        <w:t xml:space="preserve"> Response cards (RC) support effective teaching strategies such as maintaining a brisk pace of instruction, increased opportunities to respond, immediate and frequent corrective feedback, and high rates of behavior specific praise statements; all of which have been effective in increasing student engagement for students with and without emotional and behavioral disorders (E/BD) (Emmer &amp; Stough, 2001; Simonsen et al., 2008; Sutherland, Wehby, &amp; Copeland, 2000). RC during academic instruction are successful in decreasing disruptive behavior, increasing student participation, and increasing academic achievement from the elementary school level to the university level. This study examined teacher implementation of RC at the high school level for students without disabilities and students with disabilities with a history of challenging behaviors (i.e., students with a disability and a behavior intervention plan) in general education classes required for high school graduation. The purpose of this study was to evaluate the effect of RC compared to hand raising (HR) in inclusive general education classrooms. An alternating treatment design was implemented to examine the potential functional relation between the use of RC, student engagement, and academic achievement. RC (i.e., 8? x 11? laminated write -on cards) were randomly alternated with the more traditional method of HR which allo</w:t>
      </w:r>
    </w:p>
    <w:p>
      <w:pPr/>
      <w:r>
        <w:rPr>
          <w:b/>
        </w:rPr>
        <w:t>POSSIBLE 2022:</w:t>
      </w:r>
      <w:r>
        <w:t xml:space="preserve"> Developing disruptive mobility scenarios for rural areas. Participatory mobility scenario building in a Belgian village for the year 2050 — https://doi.org/10.1186/s12544-022-00555-0</w:t>
      </w:r>
    </w:p>
    <w:p>
      <w:pPr/>
      <w:r>
        <w:rPr>
          <w:b/>
        </w:rPr>
        <w:t>Shared claim-specific concepts:</w:t>
      </w:r>
      <w:r>
        <w:t xml:space="preserve"> wild, cards, high; EU scope not established. This is a provisional connection, not an outcome finding.</w:t>
      </w:r>
    </w:p>
    <w:p>
      <w:pPr>
        <w:pStyle w:val="SourceNote"/>
      </w:pPr>
      <w:r>
        <w:rPr>
          <w:b/>
        </w:rPr>
        <w:t>Available abstract (not full text):</w:t>
      </w:r>
      <w:r>
        <w:t xml:space="preserve"> Background: Historically, quantitative forecasting methods have been used in transport planning. As forecasts can be unreliable to plan for the medium- and long-term, scenario building has recently been increasingly used. However, scenario building methods often fail to take disruptions and wild cards into account, i.e., low probability but high impact events. When unaccounted for, wild card events, like the COVID-19 pandemic, lower the efficacy of scenario building in policy making, as these events may completely disturb the developed scenarios of the future. Methods: In this paper, we develop and apply a creative and participatory methodology to develop visions and disrupted scenarios for rural mobility. Our research was carried out in the Belgian village of Oetingen, where inhabitants developed more resilient views of the future by creating disrupted mobility scenarios and a preferred mobility vision for their village for the year 2050 in a participatory scenario building exercise. Wild cards related to mobility were collected from mobility experts and inhabitants in three workshops. Inhabitants were engaged to define their mobility vision on a postcard that was distributed to all houses in the village as well as on a project website. Respondents were invited for a follow-up interview in which their preferred mobility vision was subjected to the wild cards, and participants </w:t>
      </w:r>
    </w:p>
    <w:p>
      <w:pPr/>
      <w:r>
        <w:rPr>
          <w:b/>
        </w:rPr>
        <w:t>POSSIBLE 2022:</w:t>
      </w:r>
      <w:r>
        <w:t xml:space="preserve"> Estimation of the Wild Boar Population in Southern Italian Apennines by Pellet Count Group Technic: A Preliminary Study — https://doi.org/10.9734/bpi/ecees/v2/1807a</w:t>
      </w:r>
    </w:p>
    <w:p>
      <w:pPr/>
      <w:r>
        <w:rPr>
          <w:b/>
        </w:rPr>
        <w:t>Shared claim-specific concepts:</w:t>
      </w:r>
      <w:r>
        <w:t xml:space="preserve"> several, wild, cards; EU scope visible. This is a provisional connection, not an outcome finding.</w:t>
      </w:r>
    </w:p>
    <w:p>
      <w:pPr>
        <w:pStyle w:val="SourceNote"/>
      </w:pPr>
      <w:r>
        <w:rPr>
          <w:b/>
        </w:rPr>
        <w:t>Available abstract (not full text):</w:t>
      </w:r>
      <w:r>
        <w:t xml:space="preserve"> Today the development of wild ungulates represents one of the most relevant changes of the Italian wildlife in the last decades. The occurrence of damages by wild boars raised dramatically in the last decades and amounts to hundreds of thousands of Euros per year in several European countries. Knowledge of distribution, abundance and population dynamics is essential for their correct management, especially for the Wild boar (Sus scrofa) considering its impact on the natural and agricultural ecosystem. This paper proposes an estimate of the wild boar population in a study area, located in the south / south-eastern part of the Italian Apennines. The census technique was planned through field inspections and cartographic elaborations using GiS software and the Pellet Count Group technic. The data of the Pellet Group discovery were marked on special field cards. 7.010 linear meters and 14.020 m2 were crossed; 12 Pellets Group were found. From this database and knowing the extent of each specific habitat it was detected the presence of about 7/8 animals per 100 ha. These densities, projected by the number of hectares of each analyzed habitat, indicate a presence of animals ranging between 187 and 164. Considering that, the optimal density for the study area would be about 47 animals per 100 ha, this means that the real density exceeds considerably these values. Therefore, the popula</w:t>
      </w:r>
    </w:p>
    <w:p>
      <w:pPr/>
      <w:r>
        <w:rPr>
          <w:b/>
        </w:rPr>
        <w:t>POSSIBLE 2021:</w:t>
      </w:r>
      <w:r>
        <w:t xml:space="preserve"> Animal Behavior Cards — https://doi.org/10.4324/9781003235828-33</w:t>
      </w:r>
    </w:p>
    <w:p>
      <w:pPr/>
      <w:r>
        <w:rPr>
          <w:b/>
        </w:rPr>
        <w:t>Shared claim-specific concepts:</w:t>
      </w:r>
      <w:r>
        <w:t xml:space="preserve"> wild, cards, time; EU scope not established. This is a provisional connection, not an outcome finding.</w:t>
      </w:r>
    </w:p>
    <w:p>
      <w:pPr>
        <w:pStyle w:val="SourceNote"/>
      </w:pPr>
      <w:r>
        <w:rPr>
          <w:b/>
        </w:rPr>
        <w:t>Available abstract (not full text):</w:t>
      </w:r>
      <w:r>
        <w:t xml:space="preserve"> Name: _____________________________________________ Date: _________________ Meerkats Meerkats are small mammals that are members of the mongoose family. They are the only members of the mongoose family that do not have bushy tails. They use their strong tails to help them balance when they are standing up. These squirrel-sized animals live in deserts and grasslands in Southern Africa. Meerkats live in burrows that they dig with their claws. Their claws are long and strong, which make them good for digging. They have a special membrane over their eyes that protect them as they dig. These cute and furry animals are very social and live in groups of up to 40 that are called “mobs,” “gangs,” or “clans.” Because meerkats live primarily underground, they can stay safe from predators. Their burrows are as deep as 15 feet and have different entrances, tunnels, and rooms. Meerkats sleep in their burrows, but as the sun rises, they emerge and look for food. As some meerkats search for food, others stand guard watching out for predators. If the meerkat on guard sees a predator, it loudly barks to warn the others. They have different barks and whistles for different types of threats. Meerkats have good eyesight and sense of smell, which guides them in looking for spiders, caterpillars, scorpions, and the other small critters that they eat. As some meerkats are hunting and looking out for p</w:t>
      </w:r>
    </w:p>
    <w:p>
      <w:pPr/>
      <w:r>
        <w:rPr>
          <w:b/>
        </w:rPr>
        <w:t>POSSIBLE 2021:</w:t>
      </w:r>
      <w:r>
        <w:t xml:space="preserve"> The unresolved question on COVID‐19 virus origin: The three cards game? — https://doi.org/10.1002/jmv.27519</w:t>
      </w:r>
    </w:p>
    <w:p>
      <w:pPr/>
      <w:r>
        <w:rPr>
          <w:b/>
        </w:rPr>
        <w:t>Shared claim-specific concepts:</w:t>
      </w:r>
      <w:r>
        <w:t xml:space="preserve"> several, wild, cards; EU scope not established. This is a provisional connection, not an outcome finding.</w:t>
      </w:r>
    </w:p>
    <w:p>
      <w:pPr>
        <w:pStyle w:val="SourceNote"/>
      </w:pPr>
      <w:r>
        <w:rPr>
          <w:b/>
        </w:rPr>
        <w:t>Available abstract (not full text):</w:t>
      </w:r>
      <w:r>
        <w:t xml:space="preserve"> The ongoing discussion about the real origin of the severe acute respiratory syndrome coronavirus 2 (SARS-CoV-2) feeds acrimonious debates. Where did SARS-CoV-2 come from? Was SARS-CoV-2 transmitted in the wild from an animal to a person before exploding in Wuhan or was it an engineered virus that escaped from research or a laboratory in Wuhan? Right now, we still don't know enough whether SARS-CoV-2 is human-made or not, and lab-leak theories remain essentially speculative. Many recent studies have pointed out several plausible scenarios. Anyhow, currently, even if suspicions by some about the possibility of lab-leak hypothesis still remain, the consensus view is that the pandemic probably started from a natural source and, to determine the real origin of the SARS-CoV-2 virus, further research is needed.</w:t>
      </w:r>
    </w:p>
    <w:p>
      <w:pPr/>
      <w:r>
        <w:rPr>
          <w:b/>
        </w:rPr>
        <w:t>POSSIBLE 2021:</w:t>
      </w:r>
      <w:r>
        <w:t xml:space="preserve"> Long-Term Motor Learning in the “Wild” With High Volume Video Game Data — https://doi.org/10.3389/fnhum.2021.777779</w:t>
      </w:r>
    </w:p>
    <w:p>
      <w:pPr/>
      <w:r>
        <w:rPr>
          <w:b/>
        </w:rPr>
        <w:t>Shared claim-specific concepts:</w:t>
      </w:r>
      <w:r>
        <w:t xml:space="preserve"> several, wild, high, time; EU scope not established. This is a provisional connection, not an outcome finding.</w:t>
      </w:r>
    </w:p>
    <w:p>
      <w:pPr>
        <w:pStyle w:val="SourceNote"/>
      </w:pPr>
      <w:r>
        <w:rPr>
          <w:b/>
        </w:rPr>
        <w:t>Available abstract (not full text):</w:t>
      </w:r>
      <w:r>
        <w:t xml:space="preserve"> Abstract Motor learning occurs over long periods of practice during which motor acuity – the ability to execute actions more accurately, precisely, and within a shorter amount of time – improves. Laboratory-based motor learning studies are typically limited to a small number of participants and a time frame of minutes to several hours per participant. Thus, there is a need to assess the generalizability of theories and findings from lab-based motor learning studies on much larger samples across longer time scales. In addition, laboratory-based studies of motor learning use relatively simple motor tasks which participants are unlikely to be intrinsically motivated to learn, limiting the interpretation of their findings in more ecologically valid settings. We studied the acquisition and longitudinal refinement of a complex sensorimotor skill embodied in a first-person shooter video game scenario, with a large sample size (N = 7174 participants, 682,564 repeats of the 60 sec game) over a period of months. Participants voluntarily practiced the gaming scenario for as much as several hours per day up to 100 days. We found improvement in performance accuracy (quantified as hit rate) was modest over time but motor acuity (quantified as hits per second) improved considerably, with 40-60% retention from one day to the next. We observed steady improvements in motor acuity across multiple</w:t>
      </w:r>
    </w:p>
    <w:p>
      <w:pPr>
        <w:pStyle w:val="Heading2"/>
      </w:pPr>
      <w:r>
        <w:t>904. A scenario-planning approach to human resources for health: the case of community pharmacists in Portugal</w:t>
      </w:r>
    </w:p>
    <w:p>
      <w:pPr>
        <w:pStyle w:val="SourceNote"/>
      </w:pPr>
      <w:r>
        <w:rPr>
          <w:b/>
        </w:rPr>
        <w:t>Original source (2014):</w:t>
      </w:r>
      <w:r>
        <w:t xml:space="preserve"> https://doi.org/10.1186/1478-4491-12-58</w:t>
      </w:r>
    </w:p>
    <w:p>
      <w:pPr/>
      <w:r>
        <w:t>Original wording (abstract; indexed_source_text_not_full_document_verified): This study aims to design three future scenarios for Portuguese community pharmacists, recognizing the changing environment as an opportunity to develop the role that community pharmacists may play in the Portuguese health system. CONCLUSIONS: In all scenarios it is clear that the future advance of Portuguese community pharmacists will depend on pharmaceutical services provision beyond medicine dispensing.</w:t>
      </w:r>
    </w:p>
    <w:p>
      <w:pPr/>
      <w:r>
        <w:rPr>
          <w:b/>
        </w:rPr>
        <w:t>POSSIBLE 2026:</w:t>
      </w:r>
      <w:r>
        <w:t xml:space="preserve"> Burnout in Galician Community Pharmacists — https://doi.org/10.33620/fc.2173-9218.(2026).21</w:t>
      </w:r>
    </w:p>
    <w:p>
      <w:pPr/>
      <w:r>
        <w:rPr>
          <w:b/>
        </w:rPr>
        <w:t>Shared claim-specific concepts:</w:t>
      </w:r>
      <w:r>
        <w:t xml:space="preserve"> design, three, community, pharmacists, opportunity, develop; EU scope not established. This is a provisional connection, not an outcome finding.</w:t>
      </w:r>
    </w:p>
    <w:p>
      <w:pPr>
        <w:pStyle w:val="SourceNote"/>
      </w:pPr>
      <w:r>
        <w:rPr>
          <w:b/>
        </w:rPr>
        <w:t>Available abstract (not full text):</w:t>
      </w:r>
      <w:r>
        <w:t xml:space="preserve"> JustificationThere is a lack of studies on the physical wear and mental exhaustion experienced by community pharmacists (CPs) in the workplace, so we consider it necessary to assess its relevance. ObjectiveTo analyze the prevalence and significance of occupational burnout syndrome in community pharmacies in Galicia, its risk factors, and its association with work-related and demographic variables.Methods Design: Cross-sectional observational study conducted from September to December 2025.Approved by the Galicia Research Ethics Committee (CEIC Galicia).Subjects: Pharmacists practicing in community pharmacies.Sample size: For a precision of 10.0% in estimating a proportion, assuming a prevalence of 50.0% and a total population size of 3,984, it will be necessary to include 94 participants in the study.Variables: Proportion of CPs affected by burnout syndrome and mean level of affectation according to the total score of the Maslach Burnout Inventory (MBI-HSS).Scores for the sections on considerations and expectations regarding professional practice: frequency (%).Procedure: An online questionnaire was created using Microsoft Forms®.The sample was stratified by province and place of practice according to the classification established by the Xunta de Galicia into three population zone types: densely populated, intermediate, and sparsely populated.Pharmacies will be contacted by ph</w:t>
      </w:r>
    </w:p>
    <w:p>
      <w:pPr/>
      <w:r>
        <w:rPr>
          <w:b/>
        </w:rPr>
        <w:t>POSSIBLE 2026:</w:t>
      </w:r>
      <w:r>
        <w:t xml:space="preserve"> Interprofessional Collaboration Between Community Health Workers and Pharmacists — https://doi.org/10.1111/hex.70538</w:t>
      </w:r>
    </w:p>
    <w:p>
      <w:pPr/>
      <w:r>
        <w:rPr>
          <w:b/>
        </w:rPr>
        <w:t>Shared claim-specific concepts:</w:t>
      </w:r>
      <w:r>
        <w:t xml:space="preserve"> design, community, pharmacists, role, health, conclusions; EU scope not established. This is a provisional connection, not an outcome finding.</w:t>
      </w:r>
    </w:p>
    <w:p>
      <w:pPr>
        <w:pStyle w:val="SourceNote"/>
      </w:pPr>
      <w:r>
        <w:rPr>
          <w:b/>
        </w:rPr>
        <w:t>Available abstract (not full text):</w:t>
      </w:r>
      <w:r>
        <w:t xml:space="preserve"> BACKGROUND: Community health workers (CHWs) can bridge the gap between health and social services and the communities they serve. CHWs can work collaboratively with healthcare professionals, such as pharmacists, in addressing peoples' social determinants of health. However, little is known about how CHWs and pharmacists collaborate. We aimed to explore the interprofessional collaboration between pharmacists and CHWs in Australia and New Zealand and identify the challenges and strategies in their collaborative practice. METHODS: Semi-structured interviews were conducted with pharmacists and CHWs in Australia and New Zealand, to explore (i) CHW-pharmacist interprofessional collaboration experiences, (ii) how pharmacists perceived CHWs' roles and vice-versa, (iii), challenges to collaborative practices and (iv) strategies to foster their collaboration. Interviews took around half-an-hour and were audio-recorded, transcribed verbatim, and inductively thematically analysed. RESULTS: Twenty-nine participants (16 pharmacists and 13 CHWs) were interviewed, 19 worked in Australia and 10 in New Zealand. Participants reported that CHWs connected the patient and the pharmacist and helped bridge cultural gaps, shared patient-related information with the pharmacist, supported patient medication management and adherence, and referred patients to pharmacists. CHWs helped patients to take up ph</w:t>
      </w:r>
    </w:p>
    <w:p>
      <w:pPr/>
      <w:r>
        <w:rPr>
          <w:b/>
        </w:rPr>
        <w:t>POSSIBLE 2025:</w:t>
      </w:r>
      <w:r>
        <w:t xml:space="preserve"> Design Policy Mapping in Europe — https://openalex.org/W7215223829</w:t>
      </w:r>
    </w:p>
    <w:p>
      <w:pPr/>
      <w:r>
        <w:rPr>
          <w:b/>
        </w:rPr>
        <w:t>Shared claim-specific concepts:</w:t>
      </w:r>
      <w:r>
        <w:t xml:space="preserve"> design, environment, beyond; EU scope visible. This is a provisional connection, not an outcome finding.</w:t>
      </w:r>
    </w:p>
    <w:p>
      <w:pPr>
        <w:pStyle w:val="SourceNote"/>
      </w:pPr>
      <w:r>
        <w:rPr>
          <w:b/>
        </w:rPr>
        <w:t>Available abstract (not full text):</w:t>
      </w:r>
      <w:r>
        <w:t xml:space="preserve"> This study set out to map how design features in national policy frameworks across Europe. The results of the study reveal a striking paradox. On the one hand, explicit design policies are rare: in 2025 only two countries – Latvia and Iceland – maintain government-adopted national strategies dedicated to design. This represents a marked decline from the 2010s, when European Commission initiatives such as the Innovation Union and its Action Plan for Design-driven Innovation inspired more than a dozen national and regional design policies. On the other hand, design is more visible and influential than ever. Our mapping shows that it now appears in a wide range of policy domains. Beyond its traditional home in Cultural and Creative Industries strategies, design has been taken up in innovation policies, industrial competitiveness strategies, circular economy and sustainability plans, digitalisation agendas, and built environment frameworks. In each case, design is framed differently – as a creative sector, a business capability, a sustainability lever, a public-service tool, or a means of shaping places and infrastructure.</w:t>
      </w:r>
    </w:p>
    <w:p>
      <w:pPr/>
      <w:r>
        <w:rPr>
          <w:b/>
        </w:rPr>
        <w:t>POSSIBLE 2025:</w:t>
      </w:r>
      <w:r>
        <w:t xml:space="preserve"> Adverse drug reaction reporting by New Zealand pharmacists: a cross-sectional investigation of community and hospital pharmacists — https://doi.org/10.1093/ijpp/riaf017</w:t>
      </w:r>
    </w:p>
    <w:p>
      <w:pPr/>
      <w:r>
        <w:rPr>
          <w:b/>
        </w:rPr>
        <w:t>Shared claim-specific concepts:</w:t>
      </w:r>
      <w:r>
        <w:t xml:space="preserve"> community, pharmacists, system, conclusions; EU scope visible. This is a provisional connection, not an outcome finding.</w:t>
      </w:r>
    </w:p>
    <w:p>
      <w:pPr>
        <w:pStyle w:val="SourceNote"/>
      </w:pPr>
      <w:r>
        <w:rPr>
          <w:b/>
        </w:rPr>
        <w:t>Available abstract (not full text):</w:t>
      </w:r>
      <w:r>
        <w:t xml:space="preserve"> OBJECTIVES: The study aimed to investigate the factors influencing adverse drug reaction (ADR) reporting among New Zealand's community and hospital pharmacists. METHODS: Two surveys were created for distinct practice settings, with the demographics section tailored to each setting while the core content remained consistent. The surveys included six sections: demographics, reporting practices, attitudes and behaviours towards reporting, barriers, facilitators to reporting, and future improvements. Sections 3-6 used Likert scale questions to measure agreement. Participants were identified from a list of registered pharmacists in New Zealand who had consented to participate in research during their practice license renewal, obtained from the Pharmacy Council. The surveys were emailed to 2762 pharmacists with a 23% (n = 632) response rate. The collected data underwent descriptive statistical analysis using SPSS® and inferential statistics were applied. Fisher's exact test determined relationships between responses and practice setting and Relative Importance Index (RII) quantified statement importance. KEY FINDINGS: The majority of the participants were female (74.8%), European (63%), and aged 31-40 years. Analysis revealed time as the main influence on ADR reporting. While both groups had positive attitudes towards reporting, they identified the time-consuming nature as the most s</w:t>
      </w:r>
    </w:p>
    <w:p>
      <w:pPr/>
      <w:r>
        <w:rPr>
          <w:b/>
        </w:rPr>
        <w:t>POSSIBLE 2025:</w:t>
      </w:r>
      <w:r>
        <w:t xml:space="preserve"> Trade-offs in the collaborative design of a B2B eco-label for the European railway sector — https://doi.org/10.1016/j.procir.2025.08.025</w:t>
      </w:r>
    </w:p>
    <w:p>
      <w:pPr/>
      <w:r>
        <w:rPr>
          <w:b/>
        </w:rPr>
        <w:t>Shared claim-specific concepts:</w:t>
      </w:r>
      <w:r>
        <w:t xml:space="preserve"> aims, design, three; EU scope visible. This is a provisional connection, not an outcome finding.</w:t>
      </w:r>
    </w:p>
    <w:p>
      <w:pPr>
        <w:pStyle w:val="SourceNote"/>
      </w:pPr>
      <w:r>
        <w:rPr>
          <w:b/>
        </w:rPr>
        <w:t>Available abstract (not full text):</w:t>
      </w:r>
      <w:r>
        <w:t xml:space="preserve"> As the European railway sector is committed to improving its sustainability, a consortium of railway organizations for the European Union is working on the development of an eco-label for the sector. This paper explores the design choices that present themselves during the co-design of this label, which aims to track improvements, communicate and share, and push suppliers to improve with respect to the three indicators: GHG/CO2 emissions, circularity, and energy efficiency. The findings highlight the inherent trade-offs in the design of an eco-label and discuss ways to improve the intuitive understanding of these trade-offs within the context of co-design.</w:t>
      </w:r>
    </w:p>
    <w:p>
      <w:pPr/>
      <w:r>
        <w:rPr>
          <w:b/>
        </w:rPr>
        <w:t>POSSIBLE 2025:</w:t>
      </w:r>
      <w:r>
        <w:t xml:space="preserve"> Law by design obligations: The future of regulating digital technologies in Europe? — https://doi.org/10.1016/j.clsr.2025.106232</w:t>
      </w:r>
    </w:p>
    <w:p>
      <w:pPr/>
      <w:r>
        <w:rPr>
          <w:b/>
        </w:rPr>
        <w:t>Shared claim-specific concepts:</w:t>
      </w:r>
      <w:r>
        <w:t xml:space="preserve"> aims, design, three; EU scope visible. This is a provisional connection, not an outcome finding.</w:t>
      </w:r>
    </w:p>
    <w:p>
      <w:pPr>
        <w:pStyle w:val="SourceNote"/>
      </w:pPr>
      <w:r>
        <w:rPr>
          <w:b/>
        </w:rPr>
        <w:t>Available abstract (not full text):</w:t>
      </w:r>
      <w:r>
        <w:t xml:space="preserve"> Law by design obligations refer to a growing, dynamic approach in European technology law. This article examines this trend by establishing a definition of law by design obligations based on three key elements: their focus on the creation and development of technologies throughout the lifecycle, their aim to incorporate and achieve legal goals in these processes, and the discretion they afford in complying with such obligations. The study shows an evolving practice with legal roots in 1970s data protection. Initially focused on data protection and security, such obligations have expanded to 45 design goals in European legislation. This growth in breadth and depth indicates their increased importance, which has not been previously examined. The analysis of regulatory practice uncovers significant choices that shape how these obligations function: this includes the legal scope defining applicability through various limitations and thresholds; goals establishing how principles serve as aims with different levels of detail and potential conflicts; procedural dimensions organizing iterative processes of assessment, measures, and proportionality; collective dimensions of knowledge governance enabling learning within and across organizations; and accountability dimensions ensuring compliance through documentation, specialized roles, and enforcement mechanisms. These choices demonstrat</w:t>
      </w:r>
    </w:p>
    <w:p>
      <w:pPr/>
      <w:r>
        <w:rPr>
          <w:b/>
        </w:rPr>
        <w:t>POSSIBLE 2025:</w:t>
      </w:r>
      <w:r>
        <w:t xml:space="preserve"> Humility, autonomy, and simplicity: three principles for humanitarian design — https://doi.org/10.1080/01436597.2025.2491094</w:t>
      </w:r>
    </w:p>
    <w:p>
      <w:pPr/>
      <w:r>
        <w:rPr>
          <w:b/>
        </w:rPr>
        <w:t>Shared claim-specific concepts:</w:t>
      </w:r>
      <w:r>
        <w:t xml:space="preserve"> design, three, changing; EU scope visible. This is a provisional connection, not an outcome finding.</w:t>
      </w:r>
    </w:p>
    <w:p>
      <w:pPr>
        <w:pStyle w:val="SourceNote"/>
      </w:pPr>
      <w:r>
        <w:rPr>
          <w:b/>
        </w:rPr>
        <w:t>Available abstract (not full text):</w:t>
      </w:r>
      <w:r>
        <w:t xml:space="preserve"> This article proposes three key principles for humanitarian design, drawing on historical and ethnographic research into previous attempts to produce innovations in the nutrition and shelter sectors. It begins by recounting a post-war scheme for humanitarian nutrition in order to illustrate three recurring failings in innovation: triumphalism, under-representation, and over-complexity. The first failing can be seen when ideas are inappropriately and publicly celebrated as game changing while delivering only marginal improvements and leaving structural inequalities intact. The second occurs when designs are created without consulting the final recipient, whose desires and needs are assumed from limited knowledge. The third is apparent when a design introduces complicated and burdensome elements that make it inappropriate for the task at hand. After outlining these three problems the article moves to consider some more recent shelter projects, particularly those developed after the 2015 ‘summer of migration’ in Europe. From these examples, the article draws out three corrective principles for humanitarian design: humility in approach, simplicity in application, and the promotion of autonomy as a final aim. The article develops these in detail and then concludes that such principles can help re-orient humanitarian practice.</w:t>
      </w:r>
    </w:p>
    <w:p>
      <w:pPr/>
      <w:r>
        <w:rPr>
          <w:b/>
        </w:rPr>
        <w:t>POSSIBLE 2024:</w:t>
      </w:r>
      <w:r>
        <w:t xml:space="preserve"> Exposure of Pharmacists and Pharmacy Technicians to Violence in Community Pharmacies in Southeast Europe: Frequency and Ethical Considerations — https://doi.org/10.3390/pharmacy12030088</w:t>
      </w:r>
    </w:p>
    <w:p>
      <w:pPr/>
      <w:r>
        <w:rPr>
          <w:b/>
        </w:rPr>
        <w:t>Shared claim-specific concepts:</w:t>
      </w:r>
      <w:r>
        <w:t xml:space="preserve"> aims, community, pharmacists, health, all; EU scope visible. This is a provisional connection, not an outcome finding.</w:t>
      </w:r>
    </w:p>
    <w:p>
      <w:pPr>
        <w:pStyle w:val="SourceNote"/>
      </w:pPr>
      <w:r>
        <w:rPr>
          <w:b/>
        </w:rPr>
        <w:t>Available abstract (not full text):</w:t>
      </w:r>
      <w:r>
        <w:t xml:space="preserve"> Pharmacists and pharmacy technicians working in community pharmacies are exposed to the risk of violence in their workplaces. Studies have shown that workplace violence is affecting their job satisfaction, productivity, and mental health. This study aims to identify the frequency of different types of violence, as well as the common perpetrators that community pharmacy staff in SEE (Southeast Europe) are dealing with. A cross-sectional study was conducted using an online questionnaire created for this purpose. Selected community pharmacies in Croatia, Serbia, Bosnia and Herzegovina, and Montenegro participated in this study. In total, 732 responses were collected from 24 pharmacy chains or independent pharmacies including all community pharmacy staff. More than 80% of pharmacists and pharmacy technicians reported having been exposed to verbal violence at the workplace, while more than 20% of them reported physical and sexual violence in the preceding 12 months. There were no statistically significant differences between pharmacists and pharmacy technicians, gender, age groups, or countries in relation to exposure to physical, verbal, and sexual violence. The most common perpetrators were identified as patients/clients. More than 90% of pharmacy staff reported they did not receive any kind of support from their employer nor any other help after experiencing a robbery. There is a</w:t>
      </w:r>
    </w:p>
    <w:p>
      <w:pPr/>
      <w:r>
        <w:rPr>
          <w:b/>
        </w:rPr>
        <w:t>POSSIBLE 2024:</w:t>
      </w:r>
      <w:r>
        <w:t xml:space="preserve"> Three pathways for standardisation and ethical disclosure by default under the European union artificial intelligence act — https://doi.org/10.1016/j.clsr.2024.105957</w:t>
      </w:r>
    </w:p>
    <w:p>
      <w:pPr/>
      <w:r>
        <w:rPr>
          <w:b/>
        </w:rPr>
        <w:t>Shared claim-specific concepts:</w:t>
      </w:r>
      <w:r>
        <w:t xml:space="preserve"> aims, design, three, develop, services; EU scope visible. This is a provisional connection, not an outcome finding.</w:t>
      </w:r>
    </w:p>
    <w:p>
      <w:pPr>
        <w:pStyle w:val="SourceNote"/>
      </w:pPr>
      <w:r>
        <w:rPr>
          <w:b/>
        </w:rPr>
        <w:t>Available abstract (not full text):</w:t>
      </w:r>
      <w:r>
        <w:t xml:space="preserve"> Under its proposed Artificial Intelligence Act (‘AIA’), the European Union seeks to develop harmonised standards involving abstract normative concepts such transparency, fairness, and accountability. Applying such concepts inevitably requires answering hard normative questions. Considering this challenge, we argue that there are three possible pathways for future standardisation under the AIA. First, European standard-setting organisations (‘SSOs’) could answer hard normative questions themselves. This approach would raise concerns about its democratic legitimacy. Standardisation is a technical discourse and tends to exclude non-expert stakeholders and the public at large. Second, instead of passing their own normative judgments, SSOs could track the normative consensus they find available. By analysing the standard-setting history of one major SSO, we show that such consensus tracking has historically been its pathway of choice. If standardisation under the AIA took the same route, we demonstrate how this would lead to a false sense of safety as the process is not infallible. Consensus tracking would furthermore push the need to solve unavoidable normative problems down the line. Instead of regulators, AI developers and/or users could define what, for example, fairness requires. By the institutional design of its AIA, the European Commission would have essentially kicked the ‘</w:t>
      </w:r>
    </w:p>
    <w:p>
      <w:pPr/>
      <w:r>
        <w:rPr>
          <w:b/>
        </w:rPr>
        <w:t>POSSIBLE 2024:</w:t>
      </w:r>
      <w:r>
        <w:t xml:space="preserve"> EUROPEAN PRINCIPLES OF UNIVERSAL DESIGN AND THEIR APPLICATION IN THE ARCHITECTURE OF UKRAINIAN CITIES — https://doi.org/10.31650/2786-6696-2024-9-41-47</w:t>
      </w:r>
    </w:p>
    <w:p>
      <w:pPr/>
      <w:r>
        <w:rPr>
          <w:b/>
        </w:rPr>
        <w:t>Shared claim-specific concepts:</w:t>
      </w:r>
      <w:r>
        <w:t xml:space="preserve"> design, three, system, all; EU scope visible. This is a provisional connection, not an outcome finding.</w:t>
      </w:r>
    </w:p>
    <w:p>
      <w:pPr>
        <w:pStyle w:val="SourceNote"/>
      </w:pPr>
      <w:r>
        <w:rPr>
          <w:b/>
        </w:rPr>
        <w:t>Available abstract (not full text):</w:t>
      </w:r>
      <w:r>
        <w:t xml:space="preserve"> The values of a solidary and democratic society, based on the principles of equality, significantly influenced the conceptual and practical principles of design throughout the Modern era. To a large extent, the formative base of modernism – the leading worldview trend that defined the architecture of the 20th and early 21st centuries – is connected with them. One of the important stages in the development of this process was the spread since the 1980s "universal design" concept that aimed at creating a more inclusive space, avoiding various forms of isolation and inequality depending on the physical abilities of a person. Currently, theoretical and practical achievements in this area make it possible to talk about a holistic system of views on design, which, however, still remains largely unrealized to the extent that the goals of universal design can be considered generally achieved. Nevertheless, thanks to the implementation of a number of initiatives and programs, inclusive and friendly environments for different groups have begun to emerge in many European cities, which testify to the benefits of the "design for all" concept. In addition to the purely humanistic aspect, it also gives cities advantages in terms of a more complete use of human potential, maintaining a high economic and social attractiveness, which ultimately increases the competitive indicators of the city. T</w:t>
      </w:r>
    </w:p>
    <w:p>
      <w:pPr/>
      <w:r>
        <w:rPr>
          <w:b/>
        </w:rPr>
        <w:t>POSSIBLE 2023:</w:t>
      </w:r>
      <w:r>
        <w:t xml:space="preserve"> European bee diversity: Taxonomic and phylogenetic patterns — https://doi.org/10.1111/jbi.14614</w:t>
      </w:r>
    </w:p>
    <w:p>
      <w:pPr/>
      <w:r>
        <w:rPr>
          <w:b/>
        </w:rPr>
        <w:t>Shared claim-specific concepts:</w:t>
      </w:r>
      <w:r>
        <w:t xml:space="preserve"> aims, design, three, develop, conclusions, clear; EU scope visible. This is a provisional connection, not an outcome finding.</w:t>
      </w:r>
    </w:p>
    <w:p>
      <w:pPr>
        <w:pStyle w:val="SourceNote"/>
      </w:pPr>
      <w:r>
        <w:rPr>
          <w:b/>
        </w:rPr>
        <w:t>Available abstract (not full text):</w:t>
      </w:r>
      <w:r>
        <w:t xml:space="preserve"> Abstract Aim Wild bees still face striking shortfalls in knowledge of biodiversity in key regions of the world. This includes Europe, where despite a long tradition of data gathering, the continental scale distribution patterns of wild bees have not been systematically analysed to date. This study aims to characterise large‐scale biodiversity patterns to: (i) understand spatial–temporal heterogeneity in large‐scale databases, (ii) locate genuine diversity hotspots and their relationship with biogeographical patterns or habitats of interests and (iii) identify understudied species and areas to further design conservation actions for most at risk species in key regions. Location Europe. Taxon Bees. Methods We present a continental and standardised study of bee taxonomic and phylogenetic diversity patterns in Europe, using a large compilation of occurrence records of nearly three million validated occurrence records for 1515 wild bee species. Results Southern and eastern Europe suffer from the largest gaps in data availability while northern and western regions benefit from better historical coverage. Our models show that higher wild bee diversity in Europe is hosted in xeric, warm areas, as highlighted by a clear latitudinal gradient. However, phylogenetic diversity is predicted to be more homogenous across Europe than taxonomic diversity, suggesting that policies and strategies </w:t>
      </w:r>
    </w:p>
    <w:p>
      <w:pPr/>
      <w:r>
        <w:rPr>
          <w:b/>
        </w:rPr>
        <w:t>POSSIBLE 2023:</w:t>
      </w:r>
      <w:r>
        <w:t xml:space="preserve"> Institutionalised distrust and human oversight of artificial intelligence: towards a democratic design of AI governance under the European Union AI Act — https://doi.org/10.1007/s00146-023-01777-z</w:t>
      </w:r>
    </w:p>
    <w:p>
      <w:pPr/>
      <w:r>
        <w:rPr>
          <w:b/>
        </w:rPr>
        <w:t>Shared claim-specific concepts:</w:t>
      </w:r>
      <w:r>
        <w:t xml:space="preserve"> aims, design, three; EU scope visible. This is a provisional connection, not an outcome finding.</w:t>
      </w:r>
    </w:p>
    <w:p>
      <w:pPr>
        <w:pStyle w:val="SourceNote"/>
      </w:pPr>
      <w:r>
        <w:rPr>
          <w:b/>
        </w:rPr>
        <w:t>Available abstract (not full text):</w:t>
      </w:r>
      <w:r>
        <w:t xml:space="preserve"> Human oversight has become a key mechanism for the governance of artificial intelligence ("AI"). Human overseers are supposed to increase the accuracy and safety of AI systems, uphold human values, and build trust in the technology. Empirical research suggests, however, that humans are not reliable in fulfilling their oversight tasks. They may be lacking in competence or be harmfully incentivised. This creates a challenge for human oversight to be effective. In addressing this challenge, this article aims to make three contributions. First, it surveys the emerging laws of oversight, most importantly the European Union's Artificial Intelligence Act ("AIA"). It will be shown that while the AIA is concerned with the competence of human overseers, it does not provide much guidance on how to achieve effective oversight and leaves oversight obligations for AI developers underdefined. Second, this article presents a novel taxonomy of human oversight roles, differentiated along whether human intervention is constitutive to, or corrective of a decision made or supported by an AI. The taxonomy allows to propose suggestions for improving effectiveness tailored to the type of oversight in question. Third, drawing on scholarship within democratic theory, this article formulates six normative principles which institutionalise distrust in human oversight of AI. The institutionalisation of dis</w:t>
      </w:r>
    </w:p>
    <w:p>
      <w:pPr>
        <w:pStyle w:val="Heading2"/>
      </w:pPr>
      <w:r>
        <w:t>905. A vibrant European labor market with full employment</w:t>
      </w:r>
    </w:p>
    <w:p>
      <w:pPr>
        <w:pStyle w:val="SourceNote"/>
      </w:pPr>
      <w:r>
        <w:rPr>
          <w:b/>
        </w:rPr>
        <w:t>Original source (2014):</w:t>
      </w:r>
      <w:r>
        <w:t xml:space="preserve"> https://doi.org/10.1186/2193-9012-3-10</w:t>
      </w:r>
    </w:p>
    <w:p>
      <w:pPr/>
      <w:r>
        <w:t>Original wording (abstract; indexed_source_text_not_full_document_verified): We hope these proposals will affect the debate about the future of the European Union, also with regard to the pivotal role and responsibility of the European Parliament and European Commission.</w:t>
      </w:r>
    </w:p>
    <w:p>
      <w:pPr/>
      <w:r>
        <w:rPr>
          <w:b/>
        </w:rPr>
        <w:t>POSSIBLE 2026:</w:t>
      </w:r>
      <w:r>
        <w:t xml:space="preserve"> A Critical Assessment of the EU’s Digital Omnibus Regulation Proposal and its Impact on the GDPR — https://doi.org/10.1163/15718093-bja10181</w:t>
      </w:r>
    </w:p>
    <w:p>
      <w:pPr/>
      <w:r>
        <w:rPr>
          <w:b/>
        </w:rPr>
        <w:t>Shared claim-specific concepts:</w:t>
      </w:r>
      <w:r>
        <w:t xml:space="preserve"> hope, affect, union, commission; EU scope visible. This is a provisional connection, not an outcome finding.</w:t>
      </w:r>
    </w:p>
    <w:p>
      <w:pPr>
        <w:pStyle w:val="SourceNote"/>
      </w:pPr>
      <w:r>
        <w:rPr>
          <w:b/>
        </w:rPr>
        <w:t>Available abstract (not full text):</w:t>
      </w:r>
      <w:r>
        <w:t xml:space="preserve"> Abstract In this article we assess the European Commission’s recent proposal for a Digital Omnibus Regulation, which seeks to encourage economic growth and innovation in the EU while simultaneously protecting the fundamental rights of Europeans, including promotion of data protection, safety, and fairness. We focus on the proposal insofar as it seeks to ‘simplify existing rules’ of the EU’s General Data Protection Regulation ( GDPR ), and in particular aspects that we think are problematic in light of our expertise in the areas of health and scientific research. We find that many of changes proposed to the GDPR within in the Digital Omnibus Regulation proposal are a retrograde step in fundamental rights protection and, as currently drafted, they will fail to boost research and innovation in the health and medical sectors in the EU. We argue that several propositions in fact substantially change the GDPR , including aspects of which appear to deviate from or misinterpret judgments of the Court of Justice of the European Union, and these changes therefore materially affect the level of protection afforded to data subjects. We express hope that as the Digital Omnibus Regulation is considered during the ‘trilogue’ negotiations at the Council and Parliamentary levels, these limitations will be addressed and aspects of the GDPR that do genuinely need reform are taken up, but with a c</w:t>
      </w:r>
    </w:p>
    <w:p>
      <w:pPr/>
      <w:r>
        <w:rPr>
          <w:b/>
        </w:rPr>
        <w:t>POSSIBLE 2025:</w:t>
      </w:r>
      <w:r>
        <w:t xml:space="preserve"> Hope and Positivity — https://doi.org/10.1093/oso/9780197618240.003.0014</w:t>
      </w:r>
    </w:p>
    <w:p>
      <w:pPr/>
      <w:r>
        <w:rPr>
          <w:b/>
        </w:rPr>
        <w:t>Shared claim-specific concepts:</w:t>
      </w:r>
      <w:r>
        <w:t xml:space="preserve"> hope, proposals, about; EU scope not established. This is a provisional connection, not an outcome finding.</w:t>
      </w:r>
    </w:p>
    <w:p>
      <w:pPr>
        <w:pStyle w:val="SourceNote"/>
      </w:pPr>
      <w:r>
        <w:rPr>
          <w:b/>
        </w:rPr>
        <w:t>Available abstract (not full text):</w:t>
      </w:r>
      <w:r>
        <w:t xml:space="preserve"> Abstract The chapter is an attempt to make sense of a commonly recognized but poorly understood aspect of hope: its positivity, namely, its involving an ability to find goodness and to feel good in circumstances of hardship, danger, suffering, misfortune, injustice, etc. The focus is on two questions: First, what exactly is one positive about when one hopes? Second, why is one positive about that thing, or in other words, what, if anything, makes it rational for one to be positive about that thing? Various proposals for answering these questions on the basis of existing theories of hope are considered and rejected, and a more satisfactory answer is developed on the assumption that hope is fundamentally a form of valuing not so much of the hoped-for outcome, but of the object for the sake of which one hopes for that outcome.</w:t>
      </w:r>
    </w:p>
    <w:p>
      <w:pPr/>
      <w:r>
        <w:rPr>
          <w:b/>
        </w:rPr>
        <w:t>POSSIBLE 2025:</w:t>
      </w:r>
      <w:r>
        <w:t xml:space="preserve"> Format of emergency department electronic health records in Europe. The European initiative and the eCREAM proposal — https://doi.org/10.3389/femer.2025.1558208</w:t>
      </w:r>
    </w:p>
    <w:p>
      <w:pPr/>
      <w:r>
        <w:rPr>
          <w:b/>
        </w:rPr>
        <w:t>Shared claim-specific concepts:</w:t>
      </w:r>
      <w:r>
        <w:t xml:space="preserve"> affect, about, also; EU scope visible. This is a provisional connection, not an outcome finding.</w:t>
      </w:r>
    </w:p>
    <w:p>
      <w:pPr>
        <w:pStyle w:val="SourceNote"/>
      </w:pPr>
      <w:r>
        <w:rPr>
          <w:b/>
        </w:rPr>
        <w:t>Available abstract (not full text):</w:t>
      </w:r>
      <w:r>
        <w:t xml:space="preserve"> The lack of cross-border patient health data exchange in Europe is an obstacle in many ways and can negatively affect patient care and health. When clinicians have incomplete information about patients traveling or residing abroad, for example, continuity of care cannot be assured, potentially leading to poorer health outcomes. The European Electronic Health Record Exchange Format (EEHRxF) is a system being established in Europe to permit the interoperability of different healthcare systems, such as electronic health records (EHRs) and medical devices, so that they can share data to support patient care and research. The system is currently being introduced for electronic prescriptions and dispensations, patient summaries, which are part of the larger collection of health data known as the electronic health record, laboratory results and medical imaging studies and their reports, and hospital discharge reports. In emergency medicine, where research is challenging due to time and resource constraints, the EHR should no longer be seen solely as a tool to support clinical practice; it is also a source of valuable information to fuel research and improve patient care. The use of data for research, one of the stated secondary goals of the EEHRxF, thus becomes paramount here and deserves to be properly developed. It is in this context that the eCREAM (enabling Clinical Research in Em</w:t>
      </w:r>
    </w:p>
    <w:p>
      <w:pPr/>
      <w:r>
        <w:rPr>
          <w:b/>
        </w:rPr>
        <w:t>POSSIBLE 2024:</w:t>
      </w:r>
      <w:r>
        <w:t xml:space="preserve"> Language as Hope — https://doi.org/10.1017/9781009306508</w:t>
      </w:r>
    </w:p>
    <w:p>
      <w:pPr/>
      <w:r>
        <w:rPr>
          <w:b/>
        </w:rPr>
        <w:t>Shared claim-specific concepts:</w:t>
      </w:r>
      <w:r>
        <w:t xml:space="preserve"> hope, about, also; EU scope not established. This is a provisional connection, not an outcome finding.</w:t>
      </w:r>
    </w:p>
    <w:p>
      <w:pPr>
        <w:pStyle w:val="SourceNote"/>
      </w:pPr>
      <w:r>
        <w:rPr>
          <w:b/>
        </w:rPr>
        <w:t>Available abstract (not full text):</w:t>
      </w:r>
      <w:r>
        <w:t xml:space="preserve"> Although it feels like we live in a time of seeming hopelessness, this pioneering book illustrates what language can teach us about the practice, logic, and feasibility of hope in the twenty-ﬁrst century. Silva and Lee highlight how people living in Brazilian urban peripheries, who have grown accustomed to unrelenting prejudice and violence on an everyday basis, use language to survive and imagine futures that are worth aspiring to. In so doing, this book foregrounds how language becomes a matter of survival for these communities. It provides a thorough theorization of how language can produce conditions of hope, moving away from the idea of language merely as a tool of communication and toward something that can meaningfully impact social realities. Innovative and engaging, it is essential reading for researchers and students in applied linguistics, sociolinguistics and linguistic anthropology. This title is also available as open access on Cambridge Core.</w:t>
      </w:r>
    </w:p>
    <w:p>
      <w:pPr/>
      <w:r>
        <w:rPr>
          <w:b/>
        </w:rPr>
        <w:t>POSSIBLE 2023:</w:t>
      </w:r>
      <w:r>
        <w:t xml:space="preserve"> Strategic partner election: proposal for a Binary Logistic Model for the European Union — https://doi.org/10.1057/s41599-023-02121-y</w:t>
      </w:r>
    </w:p>
    <w:p>
      <w:pPr/>
      <w:r>
        <w:rPr>
          <w:b/>
        </w:rPr>
        <w:t>Shared claim-specific concepts:</w:t>
      </w:r>
      <w:r>
        <w:t xml:space="preserve"> union, also, regard; EU scope visible. This is a provisional connection, not an outcome finding.</w:t>
      </w:r>
    </w:p>
    <w:p>
      <w:pPr>
        <w:pStyle w:val="SourceNote"/>
      </w:pPr>
      <w:r>
        <w:rPr>
          <w:b/>
        </w:rPr>
        <w:t>Available abstract (not full text):</w:t>
      </w:r>
      <w:r>
        <w:t xml:space="preserve"> Abstract The European Union awarded the special status of strategic partner to ten states. Its key partners are dissimilar in political philosophies and structure, power status, ethical values, economic development, unequal in size and mineral reserves. Some of them are traditional Post-Second World War partners while the others have established recent partnerships in a new multipolar world order. However, from the very beginning the EU Conception of Strategic Partnership was just an assemblage of political statements without any official definition and clear established criteria for being chosen as a strategic partner. In this regard, this paper aims to analyze the strategic partnership phenomenon in EU Foreign Policy and provide our own definition of the term with a view to underpin it subsequently by common criteria. Based upon obtained main components the Binary Logistic Model was applied, which not only did allow to make the election of EU strategic partners more science-based but also propose the potential EU partners.</w:t>
      </w:r>
    </w:p>
    <w:p>
      <w:pPr/>
      <w:r>
        <w:rPr>
          <w:b/>
        </w:rPr>
        <w:t>POSSIBLE 2023:</w:t>
      </w:r>
      <w:r>
        <w:t xml:space="preserve"> Bosnia and Herzegovina’s Hopes of European Union Accession: A Safeguard against the Country’s Implosion? — https://doi.org/10.32559/et.2023.2.8</w:t>
      </w:r>
    </w:p>
    <w:p>
      <w:pPr/>
      <w:r>
        <w:rPr>
          <w:b/>
        </w:rPr>
        <w:t>Shared claim-specific concepts:</w:t>
      </w:r>
      <w:r>
        <w:t xml:space="preserve"> union, also, pivotal; EU scope visible. This is a provisional connection, not an outcome finding.</w:t>
      </w:r>
    </w:p>
    <w:p>
      <w:pPr>
        <w:pStyle w:val="SourceNote"/>
      </w:pPr>
      <w:r>
        <w:rPr>
          <w:b/>
        </w:rPr>
        <w:t>Available abstract (not full text):</w:t>
      </w:r>
      <w:r>
        <w:t xml:space="preserve"> The prospect of Bosnia and Herzegovina’s accession to the European Union encapsulates a pivotal chapter in the nation’s trajectory. As the country navigates the intricate path toward EU membership, it faces a myriad of challenges and opportunities that extend beyond mere geopolitical realignment. This journey involves addressing complex issues such as political stability, governance reforms, rule of law and economic development. The significance of this process lies not only in its potential to reshape Bosnia and Herzegovina’s political and economic landscape but also in the broader implications for regional stability and the consolidation of European values in the Western Balkans. In this context, the journey towards EU accession for Bosnia and Herzegovina is a multifaceted endeavour, reflecting both the aspirations and complexities inherent in the pursuit of a European future.</w:t>
      </w:r>
    </w:p>
    <w:p>
      <w:pPr/>
      <w:r>
        <w:rPr>
          <w:b/>
        </w:rPr>
        <w:t>POSSIBLE 2023:</w:t>
      </w:r>
      <w:r>
        <w:t xml:space="preserve"> A Perceptual Theory of Hope — https://doi.org/10.32920/24624681</w:t>
      </w:r>
    </w:p>
    <w:p>
      <w:pPr/>
      <w:r>
        <w:rPr>
          <w:b/>
        </w:rPr>
        <w:t>Shared claim-specific concepts:</w:t>
      </w:r>
      <w:r>
        <w:t xml:space="preserve"> hope, about, regard; EU scope not established. This is a provisional connection, not an outcome finding.</w:t>
      </w:r>
    </w:p>
    <w:p>
      <w:pPr>
        <w:pStyle w:val="SourceNote"/>
      </w:pPr>
      <w:r>
        <w:rPr>
          <w:b/>
        </w:rPr>
        <w:t>Available abstract (not full text):</w:t>
      </w:r>
      <w:r>
        <w:t xml:space="preserve"> This paper addresses the question of what the attitude of hope consists in. We argue that shortcomings in recent theories of hope have methodological roots in that they proceed with little regard for the rich body of literature on the emotions. Taking insights from work in the philosophy of emotions, we argue that hope involves a kind of normative perception. We then develop a strategy for determining the content of this perception, arguing that hope is a perception of practical reasons. Our proposal stands in contrast with familiar views on which hope is fundamentally about the good. We conclude by considering the increasingly popular idea that some hopes are non-intentional and thus, by implication, non-perceptual. We reply by arguing that our perceptual theory plausibly generalizes to these instances of hope.</w:t>
      </w:r>
    </w:p>
    <w:p>
      <w:pPr/>
      <w:r>
        <w:rPr>
          <w:b/>
        </w:rPr>
        <w:t>POSSIBLE 2023:</w:t>
      </w:r>
      <w:r>
        <w:t xml:space="preserve"> Mitigating the adverse effects of AI with the European Union's artificial intelligence act: Hype or hope? — https://doi.org/10.1002/joe.22238</w:t>
      </w:r>
    </w:p>
    <w:p>
      <w:pPr/>
      <w:r>
        <w:rPr>
          <w:b/>
        </w:rPr>
        <w:t>Shared claim-specific concepts:</w:t>
      </w:r>
      <w:r>
        <w:t xml:space="preserve"> hope, about, union; EU scope visible. This is a provisional connection, not an outcome finding.</w:t>
      </w:r>
    </w:p>
    <w:p>
      <w:pPr>
        <w:pStyle w:val="SourceNote"/>
      </w:pPr>
      <w:r>
        <w:rPr>
          <w:b/>
        </w:rPr>
        <w:t>Available abstract (not full text):</w:t>
      </w:r>
      <w:r>
        <w:t xml:space="preserve"> Abstract In light of the rise of generative AI and recent debates about the socio‐political implications of large‐language models, chatbots, and the like, this paper analyzes the E.U.’s Artificial Intelligence Act (AIA), the world's first comprehensive attempt by a government body to address and mitigate the potentially negative impacts of AI technologies. The paper critically analyzes the AIA from a business and computer ethics point of view—a perspective currently lacking in the academic (e.g., GBOE‐related) literature. It evaluates, in particular, the AIA's strengths and weaknesses and proposes reform measures that could help to strengthen the AIA. Among the AIA's strengths are its legally binding character, extra‐territoriality, ability to address data quality and discrimination risks, and institutional innovations such as the AI Board and publicly accessible logs and database for AI systems. Among its main weaknesses are its lack of effective enforcement, oversight, and control, absence of procedural rights and remedy mechanisms, inadequate worker protection, institutional ambiguities, insufficient funding and staffing, and inadequate consideration of sustainability issues. Reform suggestions include establishing independent conformity assessment procedures, strengthening democratic accountability and judicial oversight, introducing redress and complaint mechanisms, ensuri</w:t>
      </w:r>
    </w:p>
    <w:p>
      <w:pPr/>
      <w:r>
        <w:rPr>
          <w:b/>
        </w:rPr>
        <w:t>POSSIBLE 2022:</w:t>
      </w:r>
      <w:r>
        <w:t xml:space="preserve"> The Focus Theory of Hope — https://doi.org/10.1093/pq/pqac010</w:t>
      </w:r>
    </w:p>
    <w:p>
      <w:pPr/>
      <w:r>
        <w:rPr>
          <w:b/>
        </w:rPr>
        <w:t>Shared claim-specific concepts:</w:t>
      </w:r>
      <w:r>
        <w:t xml:space="preserve"> hope, debate, about; EU scope not established. This is a provisional connection, not an outcome finding.</w:t>
      </w:r>
    </w:p>
    <w:p>
      <w:pPr>
        <w:pStyle w:val="SourceNote"/>
      </w:pPr>
      <w:r>
        <w:rPr>
          <w:b/>
        </w:rPr>
        <w:t>Available abstract (not full text):</w:t>
      </w:r>
      <w:r>
        <w:t xml:space="preserve"> Abstract Most elpistologists now agree that hope for a specific outcome involves more than just desire plus the presupposition that the outcome is possible. This paper argues that the additional element of hope is a disposition to focus on the desired outcome in a certain way. I first survey the debate about the nature of hope in the recent literature, offer objections to some important competing accounts, and describe and defend the view that hope involves a kind of focus or attention. I then suggest that this account makes sense of the intuitive thought that there are moral and pragmatic norms on hope that go beyond the norms on desires and modal presuppositions. I conclude by considering some key questions.</w:t>
      </w:r>
    </w:p>
    <w:p>
      <w:pPr/>
      <w:r>
        <w:rPr>
          <w:b/>
        </w:rPr>
        <w:t>POSSIBLE 2021:</w:t>
      </w:r>
      <w:r>
        <w:t xml:space="preserve"> Circular economy: advancement of European Union countries — https://doi.org/10.1186/s12302-021-00549-0</w:t>
      </w:r>
    </w:p>
    <w:p>
      <w:pPr/>
      <w:r>
        <w:rPr>
          <w:b/>
        </w:rPr>
        <w:t>Shared claim-specific concepts:</w:t>
      </w:r>
      <w:r>
        <w:t xml:space="preserve"> union, also, commission; EU scope visible. This is a provisional connection, not an outcome finding.</w:t>
      </w:r>
    </w:p>
    <w:p>
      <w:pPr>
        <w:pStyle w:val="SourceNote"/>
      </w:pPr>
      <w:r>
        <w:rPr>
          <w:b/>
        </w:rPr>
        <w:t>Available abstract (not full text):</w:t>
      </w:r>
      <w:r>
        <w:t xml:space="preserve"> Abstract Background Circular economy (CE) is a development priority of the European Union and it is part of the EU industrial strategy. The transition to a more circular economy is an essential contribution to the EU’s efforts to develop a sustainable, low carbon, resource-efficient and competitive economy. The author focuses her CE-related reflections and research in this paper on the macro-level (research subjects: 28 EU countries), the level which is least represented in scholarly publications addressing CE (as follows from the analysis of literature in the Scopus database). This study aims to fill this gap partially. The aim of this paper is to identify and group the EU-28 countries according to their advancement towards circular economy. CE indicators proposed by the European Commission were used for the analysis. Given the research subjects and after an analysis of the literature they were concluded to be the most adequate. The theoretical part was based on an analysis of the literature, whereas the empirical work used the principal components analysis, hierarchical and k-means clustering and a grade correspondence-cluster analysis. Results On the basis of the research, the existence of a “two-speed Europe” was identified in terms of EU countries’ advancement towards CE. Leading countries, those most advanced in pursuing operation according to CE principles, include Germa</w:t>
      </w:r>
    </w:p>
    <w:p>
      <w:pPr/>
      <w:r>
        <w:rPr>
          <w:b/>
        </w:rPr>
        <w:t>POSSIBLE 2019:</w:t>
      </w:r>
      <w:r>
        <w:t xml:space="preserve"> Exploring the Exuberant Abundance of Seeing-Knowing, Hoping, and Doing: A Proposal for a Social Trinitarian Praxis — https://openalex.org/W7132983194</w:t>
      </w:r>
    </w:p>
    <w:p>
      <w:pPr/>
      <w:r>
        <w:rPr>
          <w:b/>
        </w:rPr>
        <w:t>Shared claim-specific concepts:</w:t>
      </w:r>
      <w:r>
        <w:t xml:space="preserve"> hope, affect, about; EU scope not established. This is a provisional connection, not an outcome finding.</w:t>
      </w:r>
    </w:p>
    <w:p>
      <w:pPr>
        <w:pStyle w:val="SourceNote"/>
      </w:pPr>
      <w:r>
        <w:rPr>
          <w:b/>
        </w:rPr>
        <w:t>Available abstract (not full text):</w:t>
      </w:r>
      <w:r>
        <w:t xml:space="preserve"> The Continuing violence in the contemporary world prompts a re-focus on the importance of the way we see-know and hope in or with the other/s and how that might affect our doing with or for the other/s. This study’s thesis statement takes up these introductory ideas from Jürgen Moltmann’s The Way of Jesus Christ where he writes, The resurrection of Christ is historically understood in the fullest sense only in ‘the unity of knowing, hoping, and doing. …. Anyone who talks about Christ’s resurrection from the dead and who believes in the power of God to raise the dead is talking in a single breath about the foundation, the future, and the praxis of the liberation of human beings and the redemption of the world. This means that what we can know historically about Christ’s resurrection must not be abstracted from the questions: what can we hope from it? and what must we do in its name? Given the implications of these statements and questions, the three central chapters of this study explore the effect of ‘exuberant abundance’ (or ‘surplus’) in the cross and resurrection event. These chapters examine this effect through an open, ongoing process of discerning the ‘tensioned-struggled’ turn to the other/s in three core ‘journeys’ of seeing-knowing (chapter 2), hoping (chapter 3), and doing (chapter 4) in humanity and creation. This study’s explorative journeys search for interanimativ</w:t>
      </w:r>
    </w:p>
    <w:p>
      <w:pPr/>
      <w:r>
        <w:rPr>
          <w:b/>
        </w:rPr>
        <w:t>POSSIBLE 2019:</w:t>
      </w:r>
      <w:r>
        <w:t xml:space="preserve"> Public opinion on basic income: Mapping European support for a radical alternative for welfare provision — https://doi.org/10.1177/0958928719882827</w:t>
      </w:r>
    </w:p>
    <w:p>
      <w:pPr/>
      <w:r>
        <w:rPr>
          <w:b/>
        </w:rPr>
        <w:t>Shared claim-specific concepts:</w:t>
      </w:r>
      <w:r>
        <w:t xml:space="preserve"> hope, affect, about, also; EU scope visible. This is a provisional connection, not an outcome finding.</w:t>
      </w:r>
    </w:p>
    <w:p>
      <w:pPr>
        <w:pStyle w:val="SourceNote"/>
      </w:pPr>
      <w:r>
        <w:rPr>
          <w:b/>
        </w:rPr>
        <w:t>Available abstract (not full text):</w:t>
      </w:r>
      <w:r>
        <w:t xml:space="preserve"> The idea of a universal basic income (BI) is both radical and simple. Obtaining a sufficient citizenship-based income without work obligations is fundamentally opposing the foundations of the welfare systems that are in place nowadays. As BI has gained increasing attention in public debates and among policymakers, questions arise about its social legitimacy. This study is the first to analyse a broad range of explanatory individual and contextual factors that may affect popular support for BI. In addition, we study how BI support is related to support of current welfare provisions, to analyse how radically different people perceive a BI to be. We use a unique survey question – available for 23 European countries, from the recent release of the European Social Survey (2016) –that introduces BI with an extended definition, emphasizing its universal and unconditional character and that it will replace other benefits and services and is paid for by taxes. Results show relatively high, but varying levels of support among European countries and social groups. People who are in a more vulnerable socio-economic position support BI more, as well as political left-wingers, egalitarianists and people who support targeting benefits at the poor. Also, a BI is more supported in countries with higher levels of material deprivation. This pattern of relations on both the individual and contextu</w:t>
      </w:r>
    </w:p>
    <w:p>
      <w:pPr>
        <w:pStyle w:val="Heading2"/>
      </w:pPr>
      <w:r>
        <w:t>906. An Agent-Based Assessment of Land Use and Ecosystem Changes in Traditional Agricultural Landscape of Portugal</w:t>
      </w:r>
    </w:p>
    <w:p>
      <w:pPr>
        <w:pStyle w:val="SourceNote"/>
      </w:pPr>
      <w:r>
        <w:rPr>
          <w:b/>
        </w:rPr>
        <w:t>Original source (2014):</w:t>
      </w:r>
      <w:r>
        <w:t xml:space="preserve"> https://doi.org/10.4236/iim.2014.62008</w:t>
      </w:r>
    </w:p>
    <w:p>
      <w:pPr/>
      <w:r>
        <w:t>Original wording (abstract; indexed_source_text_not_full_document_verified): The results of the scenario analysis show that the area of Montado declines significantly by 2050, but it remains the dominant land use in the case study area, indicating some resilience to change.</w:t>
      </w:r>
    </w:p>
    <w:p>
      <w:pPr/>
      <w:r>
        <w:rPr>
          <w:b/>
        </w:rPr>
        <w:t>POSSIBLE 2026:</w:t>
      </w:r>
      <w:r>
        <w:t xml:space="preserve"> Spatiotemporal analysis of montado land cover dynamics in southern Portugal: the influence of anthropogenic and natural disturbances — https://doi.org/10.1007/s10457-026-01564-x</w:t>
      </w:r>
    </w:p>
    <w:p>
      <w:pPr/>
      <w:r>
        <w:rPr>
          <w:b/>
        </w:rPr>
        <w:t>Shared claim-specific concepts:</w:t>
      </w:r>
      <w:r>
        <w:t xml:space="preserve"> show, area, montado, but, land, use; EU scope visible. This is a provisional connection, not an outcome finding.</w:t>
      </w:r>
    </w:p>
    <w:p>
      <w:pPr>
        <w:pStyle w:val="SourceNote"/>
      </w:pPr>
      <w:r>
        <w:rPr>
          <w:b/>
        </w:rPr>
        <w:t>Available abstract (not full text):</w:t>
      </w:r>
      <w:r>
        <w:t xml:space="preserve"> Abstract The montado is a traditional agroforestry system in Portugal that combines cork or holm oak trees with pastures and crops. It provides multiple ecosystems services and supports rural livelihoods. However, in recent decades, the montado has faced several threats that have caused its decline and degradation. Here, we analyse the recent changes in montado cover—between 2006 and 2018—and assess the main drivers and processes of change. We used a 2006 montado cover map as a baseline and overlayed it with aerial photographs of 2018, examining the montado areas for land use shifts by installation of intensive crops, wildfire occurrences or tree plantations. Our results show that the montado covered 1,189,390 hectares (ha) in 2018, and that there was a decrease of the montado area from 2006 by 31,312 ha (95% CI 29,706–32,943 ha), declining at an annual loss of 2609 ha (0.21% year −1 ; 95% CI 0.201–0.223% year −1 ). Although this is a slower rate compared to an early analysis, the impact of large-scale events (record burned areas) and infrastructure (large dam) likely explains it. The montado area shifts were mainly caused by wildfires (70%), the opening or broadening of clearings due to tree mortality (18%) and the new installations of intensive crops (olive or almond groves and irrigated cereals—8.4%). Most of the analysed quadrats (60%) exhibited one category of loss in mont</w:t>
      </w:r>
    </w:p>
    <w:p>
      <w:pPr/>
      <w:r>
        <w:rPr>
          <w:b/>
        </w:rPr>
        <w:t>POSSIBLE 2026:</w:t>
      </w:r>
      <w:r>
        <w:t xml:space="preserve"> Adapting Mediterranean Agroforestry to Global Change: Trade-Offs and Lessons from the Montado — https://doi.org/10.3390/su18062725</w:t>
      </w:r>
    </w:p>
    <w:p>
      <w:pPr/>
      <w:r>
        <w:rPr>
          <w:b/>
        </w:rPr>
        <w:t>Shared claim-specific concepts:</w:t>
      </w:r>
      <w:r>
        <w:t xml:space="preserve"> montado, but, resilience; EU scope not established. This is a provisional connection, not an outcome finding.</w:t>
      </w:r>
    </w:p>
    <w:p>
      <w:pPr>
        <w:pStyle w:val="SourceNote"/>
      </w:pPr>
      <w:r>
        <w:rPr>
          <w:b/>
        </w:rPr>
        <w:t>Available abstract (not full text):</w:t>
      </w:r>
      <w:r>
        <w:t xml:space="preserve"> The Montado, a traditional Mediterranean agro-silvopastoral system, has historically sustained ecological and economic functions through the integration of trees, livestock, and crops. Today, its multifunctionality is increasingly threatened by climate variability, market volatility, and evolving policy frameworks. While previous research has examined Montado dynamics at landscape or plot scales, less attention has been paid to sustainability trajectories at the farm level, where management decisions are made. This study bridges that gap by assessing the sustainability dynamics of farms through a participatory, typology based, scenario approach grounded in a regional typology. We characterized three representative farm archetypes (forestry-focused, mixed agro-silvopastoral, and livestock-focused) and evaluated their trajectories under plausible future scenarios driven by climate, market, and policy pressures. Scenario outcomes were assessed using expert-based scoring (five-point scale), revealing score differences of up to two points across sustainability dimensions between farm archetypes and scenarios. Findings reveal marked trade-offs: Tree-focused farms maintain high environmental value but remain vulnerable to market and labor constraints, while livestock-specialized farms achieve higher economic output at the expense of ecological integrity. Mixed systems demonstrate grea</w:t>
      </w:r>
    </w:p>
    <w:p>
      <w:pPr/>
      <w:r>
        <w:rPr>
          <w:b/>
        </w:rPr>
        <w:t>POSSIBLE 2026:</w:t>
      </w:r>
      <w:r>
        <w:t xml:space="preserve"> MAPPING SOIL MOISTURE AND CARBON HOTSPOTS IN A MONTADO ECOSYSTEM: A CASE STUDY IN COMPANHIA DAS LEZÍRIAS, PORTUGAL — https://doi.org/10.26471/cjees/2026/021/382</w:t>
      </w:r>
    </w:p>
    <w:p>
      <w:pPr/>
      <w:r>
        <w:rPr>
          <w:b/>
        </w:rPr>
        <w:t>Shared claim-specific concepts:</w:t>
      </w:r>
      <w:r>
        <w:t xml:space="preserve"> montado, case, resilience; EU scope visible. This is a provisional connection, not an outcome finding.</w:t>
      </w:r>
    </w:p>
    <w:p>
      <w:pPr>
        <w:pStyle w:val="SourceNote"/>
      </w:pPr>
      <w:r>
        <w:rPr>
          <w:b/>
        </w:rPr>
        <w:t>Available abstract (not full text):</w:t>
      </w:r>
      <w:r>
        <w:t xml:space="preserve"> Montado landscapes in Portugal are high-nature-value agro-silvo-pastoral systems that provide multiple ecosystem services. These systems face increasing pressures from climate change, land-use transformations, and declining tree regeneration. Soil health plays a central role in ecosystem resilience and carbon storage. This study investigates the spatial and temporal relationships between soil moisture and carbon stocks in the Companhia das Lezírias eLTER site using Landsat-8-derived Soil Moisture Index (SMI) for the period 2017–2024 and field soil sampling across three depths (0–10, 10–20, 20–30 cm) in 13 plots. The objective of the study is to quantify drought-related changes in the soil system, focusing on carbon stocks, and associate them with information derived from remote sensing data by mapping moisture regimes and detecting soil hotspots. Results reveal persistent soil moisture patterns, with distinct carbon-rich and carbon-poor zones. Pearson correlation connecting carbon stocks to summer soil moisture suggests that wetter areas in the montado system accumulate more carbon. Spatial patterns of soil carbon, mapped using kriging interpolation, align with persistent moisture regimes, identifying drought-prone hotspots. The findings underscore the importance of hydrological drivers for carbon dynamics in montado ecosystems and suggest that integrated monitoring using remot</w:t>
      </w:r>
    </w:p>
    <w:p>
      <w:pPr/>
      <w:r>
        <w:rPr>
          <w:b/>
        </w:rPr>
        <w:t>POSSIBLE 2025:</w:t>
      </w:r>
      <w:r>
        <w:t xml:space="preserve"> Esa-Ecosystemadapt, a Tool for Decision Support and Management of Montado Areas — https://openalex.org/W7163629007</w:t>
      </w:r>
    </w:p>
    <w:p>
      <w:pPr/>
      <w:r>
        <w:rPr>
          <w:b/>
        </w:rPr>
        <w:t>Shared claim-specific concepts:</w:t>
      </w:r>
      <w:r>
        <w:t xml:space="preserve"> montado, resilience; EU scope not established. This is a provisional connection, not an outcome finding.</w:t>
      </w:r>
    </w:p>
    <w:p>
      <w:pPr>
        <w:pStyle w:val="SourceNote"/>
      </w:pPr>
      <w:r>
        <w:rPr>
          <w:b/>
        </w:rPr>
        <w:t>Available abstract (not full text):</w:t>
      </w:r>
      <w:r>
        <w:t xml:space="preserve"> In a response to the recent adverse impacts of climate change on agricultural production, various management practices have been implemented to mitigate these effects, aiming to ensure a longterm sustainability and resilience in food systems.Among these practices, agroforestry systems have emerged as a key strategy, recognized for their ability to enhance biodiversity, improve soil health, and sequester carbon, thereby contributing to the climate change mitigation.These systems, which integrate the trees and shrubs into the agricultural landscapes, are now acknowledged within the eco-schemes and supported by the policy initiatives to promote sustainable farming practices.</w:t>
      </w:r>
    </w:p>
    <w:p>
      <w:pPr/>
      <w:r>
        <w:rPr>
          <w:b/>
        </w:rPr>
        <w:t>POSSIBLE 2025:</w:t>
      </w:r>
      <w:r>
        <w:t xml:space="preserve"> The impact of protected areas on mammal conservation in Europe — https://openalex.org/W7135676786</w:t>
      </w:r>
    </w:p>
    <w:p>
      <w:pPr/>
      <w:r>
        <w:rPr>
          <w:b/>
        </w:rPr>
        <w:t>Shared claim-specific concepts:</w:t>
      </w:r>
      <w:r>
        <w:t xml:space="preserve"> show, significantly, but; EU scope visible. This is a provisional connection, not an outcome finding.</w:t>
      </w:r>
    </w:p>
    <w:p>
      <w:pPr>
        <w:pStyle w:val="SourceNote"/>
      </w:pPr>
      <w:r>
        <w:rPr>
          <w:b/>
        </w:rPr>
        <w:t>Available abstract (not full text):</w:t>
      </w:r>
      <w:r>
        <w:t xml:space="preserve"> This bachelor thesis focuses on the impact of protected areas on mammal conservation in Europe and assesses how significantly these areas contribute to positive trends in populations of different mammal groups. It also considers the effectiveness of protected areas in addressing the impacts of threatening factors such as climate change, disease and human activities. The thesis also looks at the principles of conservation through protected areas, their effectiveness and differences in their impact between different mammal groups such as ungulates, carnivores and rodents. The results show that protected areas are a key conservation tool, but their effectiveness is often influenced by other factors, requiring a combination of conservation measures with adaptive management and broader ecological strategies. Based on these findings, the thesis proposes recommendations for improving mammal conservation in Europe. Specifically Europe should focus on strengthening cross- border cooperation in nature conservation to ensure the connectivity of habitats and migration corridors. It is also essential to invest in research on the impact of climate change on mammal populations and to develop strategies to adapt to these changes. Minimizing landscape fragmentation caused by transport infrastructure and promoting...</w:t>
      </w:r>
    </w:p>
    <w:p>
      <w:pPr/>
      <w:r>
        <w:rPr>
          <w:b/>
        </w:rPr>
        <w:t>POSSIBLE 2025:</w:t>
      </w:r>
      <w:r>
        <w:t xml:space="preserve"> Pasture Floristic Composition as an Indicator of Soil pH Correction and Sheep Stocking Rate in Montado Ecosystem — https://doi.org/10.3390/environments12100385</w:t>
      </w:r>
    </w:p>
    <w:p>
      <w:pPr/>
      <w:r>
        <w:rPr>
          <w:b/>
        </w:rPr>
        <w:t>Shared claim-specific concepts:</w:t>
      </w:r>
      <w:r>
        <w:t xml:space="preserve"> show, area, montado, significantly, but; EU scope visible. This is a provisional connection, not an outcome finding.</w:t>
      </w:r>
    </w:p>
    <w:p>
      <w:pPr>
        <w:pStyle w:val="SourceNote"/>
      </w:pPr>
      <w:r>
        <w:rPr>
          <w:b/>
        </w:rPr>
        <w:t>Available abstract (not full text):</w:t>
      </w:r>
      <w:r>
        <w:t xml:space="preserve"> The application of dolomitic limestone is a recommended practice for improving pastures established on acidic soils. On the other hand, pasture availability should determine the adjustment of the biotic load. The aim of this study is to evaluate the potential of pasture plant community composition as an indicator to assess the effects of intensification strategies in the Montado ecosystem, specifically soil pH correction and/or increasing animal stocking rate. Forty-eight sampling areas of a biodiverse pasture were monitored on a 4-ha plot located at the Mitra farm (Évora district; southern Portugal). The experimental design included four treatments: with and without limestone application (respectively, DL and WDL) × traditional low stocking rate (LSR, 7 sheep ha−1) and high stocking rate (HSR, 18 sheep ha−1). Floristic composition, structural parameters, and diversity metrics were recorded and analyzed using multivariate statistical tools. Pasture diversity was assessed through the computation of richness indices, with plant species identified as ecological indicators representative of each study area. The results showed Rumex pulcher, Trifolium subterraneum, Plantago lanceolata, and Lolium rigidum as botanical indicators of the four treatments of this study, respectively, LSR in untreated soil, HSR in untreated soil, HSR in treated soil, and LSR in treated soil. The results a</w:t>
      </w:r>
    </w:p>
    <w:p>
      <w:pPr/>
      <w:r>
        <w:rPr>
          <w:b/>
        </w:rPr>
        <w:t>POSSIBLE 2024:</w:t>
      </w:r>
      <w:r>
        <w:t xml:space="preserve"> Risks posed by invasive species to the provision of ecosystem services in Europe — https://doi.org/10.1038/s41467-024-46818-3</w:t>
      </w:r>
    </w:p>
    <w:p>
      <w:pPr/>
      <w:r>
        <w:rPr>
          <w:b/>
        </w:rPr>
        <w:t>Shared claim-specific concepts:</w:t>
      </w:r>
      <w:r>
        <w:t xml:space="preserve"> show, area, significantly, but, remains; EU scope visible. This is a provisional connection, not an outcome finding.</w:t>
      </w:r>
    </w:p>
    <w:p>
      <w:pPr>
        <w:pStyle w:val="SourceNote"/>
      </w:pPr>
      <w:r>
        <w:rPr>
          <w:b/>
        </w:rPr>
        <w:t>Available abstract (not full text):</w:t>
      </w:r>
      <w:r>
        <w:t xml:space="preserve"> Invasive species significantly impact biodiversity and ecosystem services, yet understanding these effects at large spatial scales remains a challenge. Our study addresses this gap by assessing the current and potential future risks posed by 94 invasive species to seven key ecosystem services in Europe. We demonstrate widespread potential impacts, particularly on outdoor recreation, habitat maintenance, crop provisioning, and soil and nitrogen retention. Exposure to invasive species was higher in areas with lower provision of ecosystem services, particularly for regulating and cultural services. Exposure was also high in areas where ecosystem contributions to crop provision and nitrogen retention were at their highest. Notably, regions vital for ecosystem services currently have low invasion suitability, but face an average 77% increase in potential invasion area. Here we show that, while high-value ecosystem service areas at the highest risk represent a small fraction of Europe (0-13%), they are disproportionally important for service conservation. Our study underscores the importance of monitoring and protecting these hotspots to align management strategies with international biodiversity targets, considering both invasion vulnerability and ecosystem service sustainability.</w:t>
      </w:r>
    </w:p>
    <w:p>
      <w:pPr/>
      <w:r>
        <w:rPr>
          <w:b/>
        </w:rPr>
        <w:t>POSSIBLE 2024:</w:t>
      </w:r>
      <w:r>
        <w:t xml:space="preserve"> Perspective Chapter: Sustainability of the Extensive Livestock Production – The Role of Precision Agriculture in Mediterranean Montado Ecosystem — https://doi.org/10.5772/intechopen.114169</w:t>
      </w:r>
    </w:p>
    <w:p>
      <w:pPr/>
      <w:r>
        <w:rPr>
          <w:b/>
        </w:rPr>
        <w:t>Shared claim-specific concepts:</w:t>
      </w:r>
      <w:r>
        <w:t xml:space="preserve"> montado, land, use, case, resilience; EU scope not established. This is a provisional connection, not an outcome finding.</w:t>
      </w:r>
    </w:p>
    <w:p>
      <w:pPr>
        <w:pStyle w:val="SourceNote"/>
      </w:pPr>
      <w:r>
        <w:rPr>
          <w:b/>
        </w:rPr>
        <w:t>Available abstract (not full text):</w:t>
      </w:r>
      <w:r>
        <w:t xml:space="preserve"> Grassland ecosystems are one of the most common land use types worldwide. The sustainability of extensive livestock production systems requires the optimization of soil management, pasture production and animal grazing. Montado is an agro-silvo-pastoral system characterized by a high complexity as a result of the interactions between climate, soil, pasture, trees and animals. It is in this highly unpredictable context that dynamic management decisions have to be made, for example with respect to soil fertilization or pH correction, grazing or animal supplementation. This study shows, through case studies, the potential of the application of Precision Agriculture (PA) strategies and technologies for monitoring indicators of the Mediterranean Montado multifunctional ecosystem, specific environmental results, namely on soil health and functionality or pasture productivity, quality, or biodiversity, in a holistic and sustainable approach. The use, calibration and validation of soil and pasture proximal sensors, animal GPS (global positioning system) receivers and satellite images opens perspectives to explore new solutions to respond to the new economic and environmental challenges and ensures the resilience of this ecosystem.</w:t>
      </w:r>
    </w:p>
    <w:p>
      <w:pPr/>
      <w:r>
        <w:rPr>
          <w:b/>
        </w:rPr>
        <w:t>POSSIBLE 2024:</w:t>
      </w:r>
      <w:r>
        <w:t xml:space="preserve"> RETRO-INNOVACIÓN, SOSTENIBILIDAD Y VIABILIDAD DE LA DEHESA ESPAÑOLA Y EL MONTADO PORTUGUÉS — https://doi.org/10.3232/ubr.2024.v21.n2.02</w:t>
      </w:r>
    </w:p>
    <w:p>
      <w:pPr/>
      <w:r>
        <w:rPr>
          <w:b/>
        </w:rPr>
        <w:t>Shared claim-specific concepts:</w:t>
      </w:r>
      <w:r>
        <w:t xml:space="preserve"> montado, use, case; EU scope not established. This is a provisional connection, not an outcome finding.</w:t>
      </w:r>
    </w:p>
    <w:p>
      <w:pPr>
        <w:pStyle w:val="SourceNote"/>
      </w:pPr>
      <w:r>
        <w:rPr>
          <w:b/>
        </w:rPr>
        <w:t>Available abstract (not full text):</w:t>
      </w:r>
      <w:r>
        <w:t xml:space="preserve"> Retro-innovation consists of the reintroduction of traditional techniques and processes to conserve the environment and exploit it economically in a sustainable manner. In the case of the dehesas of Extremadura and the portuguese montados, there are precedents of rational and sustainable exploitation, carried out by the hieronymite monks of the Monastery of Guadalupe between 1389 and 1835. By applying their techniques and processes in some of the current extremaduran dehesas, it has been possible to make their sustainable economic use viable. Key words: Retro-innovation; Extremaduran dehesa; Agricultural management; Sustainability; Economic viability. JEL CODES: N54, O39, Q15, Q57.</w:t>
      </w:r>
    </w:p>
    <w:p>
      <w:pPr/>
      <w:r>
        <w:rPr>
          <w:b/>
        </w:rPr>
        <w:t>POSSIBLE 2024:</w:t>
      </w:r>
      <w:r>
        <w:t xml:space="preserve"> Assessment of transdisciplinarity by its participants: the case of Tertúlias do Montado, Alentejo, Portugal — https://doi.org/10.1007/s11625-023-01451-9</w:t>
      </w:r>
    </w:p>
    <w:p>
      <w:pPr/>
      <w:r>
        <w:rPr>
          <w:b/>
        </w:rPr>
        <w:t>Shared claim-specific concepts:</w:t>
      </w:r>
      <w:r>
        <w:t xml:space="preserve"> area, montado, case, indicating; EU scope visible. This is a provisional connection, not an outcome finding.</w:t>
      </w:r>
    </w:p>
    <w:p>
      <w:pPr>
        <w:pStyle w:val="SourceNote"/>
      </w:pPr>
      <w:r>
        <w:rPr>
          <w:b/>
        </w:rPr>
        <w:t>Available abstract (not full text):</w:t>
      </w:r>
      <w:r>
        <w:t xml:space="preserve"> Abstract Evaluation plays a pivotal role in transdisciplinary (TD) research, often discussed during funding stages or when assessing project impacts. A few studies delve into the participant perspective when examining the quality of transdisciplinarity. Our work contributes to this area of assessment. Rather than providing a definitive definition of transdisciplinarity, we developed a questionnaire to evaluate a set of TD principles within a specific TD initiative. We collected insights from 100 individuals out of a pool of 200 participants engaged in a TD initiative since 2016. Given the long-term nature of the case study, our sample included both frequent and occasional participants. Using non-parametric statistical, we concluded that frequent participants express higher satisfaction with their involvement, identify more outcomes stemming from their participation, and assign greater importance to TD principles. These findings highlight the significant impact of investing in long-term TD initiatives. Additionally, our questionnaires featured open-ended questions to capture participants’ individual definition of the initiative, along with their perceived benefits and drawbacks. Through content analysis, we identified two distinct discourses: positivism and postpositivism. The positivist discourse predominantly features male participants over 60 years of age, primarily from the </w:t>
      </w:r>
    </w:p>
    <w:p>
      <w:pPr/>
      <w:r>
        <w:rPr>
          <w:b/>
        </w:rPr>
        <w:t>POSSIBLE 2024:</w:t>
      </w:r>
      <w:r>
        <w:t xml:space="preserve"> Sustainable Intensification of the Montado Ecosystem: Evaluation of Sheep Grazing Systems and Soil Amendment — https://doi.org/10.20944/preprints202403.1294.v1</w:t>
      </w:r>
    </w:p>
    <w:p>
      <w:pPr/>
      <w:r>
        <w:rPr>
          <w:b/>
        </w:rPr>
        <w:t>Shared claim-specific concepts:</w:t>
      </w:r>
      <w:r>
        <w:t xml:space="preserve"> show, montado; EU scope not established. This is a provisional connection, not an outcome finding.</w:t>
      </w:r>
    </w:p>
    <w:p>
      <w:pPr>
        <w:pStyle w:val="SourceNote"/>
      </w:pPr>
      <w:r>
        <w:rPr>
          <w:b/>
        </w:rPr>
        <w:t>Available abstract (not full text):</w:t>
      </w:r>
      <w:r>
        <w:t xml:space="preserve"> The objective of this study was to determine how application with dolomitic limestone and grazing type (continuous or deferred) affect sheep grazing location and feed preference when the pasture growth rate is maximum. A 4ha field was divided into 4 plots: P1 and P2- without application of dolomitic limestone, continuous (CG) and deferred grazing (DG), respectively; P3 and P4- with application of dolomitic limestone, DG (1AUE), and CG (2.4 AUE), respectively. In DG, animals were placed and removed from the plots depending on the height of the pasture. In each plot, 12 georeferenced sampling points were identified. Throughout the pasture's vegetative cycle (autumn, winter, spring, and early summer) several measurements of pasture height and cut were carried out. From the beginning of March to the beginning of June, animal behavior was observed, by trained observers, through binoculars on six dates. Animals' activity grazing and location was recorded. The results show that: (i) the application of dolomitic limestone combined with CG provided higher values of pasture height; (ii) there were no significant differences in pasture quality between treatments; (iii) Deferred grazing led to 50% more sheep grazing days than continuous grazing; (iv) there were no significant differences in soil compaction between CG and DG; (v) the type of grazing and the treatment with dolomitic limeston</w:t>
      </w:r>
    </w:p>
    <w:p>
      <w:pPr/>
      <w:r>
        <w:rPr>
          <w:b/>
        </w:rPr>
        <w:t>POSSIBLE 2023:</w:t>
      </w:r>
      <w:r>
        <w:t xml:space="preserve"> Reduced grazing and changes in the area of agroforestry in Europe — https://doi.org/10.3389/fenvs.2023.1258697</w:t>
      </w:r>
    </w:p>
    <w:p>
      <w:pPr/>
      <w:r>
        <w:rPr>
          <w:b/>
        </w:rPr>
        <w:t>Shared claim-specific concepts:</w:t>
      </w:r>
      <w:r>
        <w:t xml:space="preserve"> show, area, but, land, use; EU scope visible. This is a provisional connection, not an outcome finding.</w:t>
      </w:r>
    </w:p>
    <w:p>
      <w:pPr>
        <w:pStyle w:val="SourceNote"/>
      </w:pPr>
      <w:r>
        <w:rPr>
          <w:b/>
        </w:rPr>
        <w:t>Available abstract (not full text):</w:t>
      </w:r>
      <w:r>
        <w:t xml:space="preserve"> Agroforestry integrates woody vegetation with crop and/or livestock production to benefit from the ecological and economic interactions. The objective of this paper is to systematically determine the spatial distribution of agroforestry in the EU, and changes in the areas and types of agroforestry from 2009 to 2018. This was achieved using the Land Use/Cover Area Statistical (LUCAS) dataset. Agroforestry was categorised into silvopastoral, silvoarable, agrosilvopastoral, grazed permanent crops, intercropped permanent crops and kitchen gardens systems. In our categorisation of ‘agroforestry’, sites combing trees and shrubs with understorey grass or forage were required to show evidence of grazing. In 2018, the total area of agroforestry in the EU28 was 114,621 km2 equivalent to 6.4% of the utilised agricultural area (UAA), and a majority located in the Mediterranean bioregion. Silvopastoral was the most widespread system, representing 81% of the total agroforestry area (5% of UAA), with almost a third of that area present in Spain. An initial analysis of the LUCAS data suggested that the area of agroforestry increased from 2009 to 2012, before declining from 2012 to 2018. However our subsequent analysis suggests that the area of agroforestry in 2009 was underestimated due to a mis-categorisation of some grazing areas. After making corrections, we calculated that the area of agro</w:t>
      </w:r>
    </w:p>
    <w:p>
      <w:pPr>
        <w:pStyle w:val="Heading2"/>
      </w:pPr>
      <w:r>
        <w:t>907. Assessing the prospective resource base for enhanced geothermal systems in Europe</w:t>
      </w:r>
    </w:p>
    <w:p>
      <w:pPr>
        <w:pStyle w:val="SourceNote"/>
      </w:pPr>
      <w:r>
        <w:rPr>
          <w:b/>
        </w:rPr>
        <w:t>Original source (2014):</w:t>
      </w:r>
      <w:r>
        <w:t xml:space="preserve"> https://doi.org/10.5194/gtes-2-55-2014</w:t>
      </w:r>
    </w:p>
    <w:p>
      <w:pPr/>
      <w:r>
        <w:t>Original wording (abstract; indexed_source_text_not_full_document_verified): In this study the resource base for EGS (enhanced geothermal systems) in Europe was quantified and economically constrained, applying a discounted cash-flow model to different techno-economic scenarios for future EGS in 2020, 2030, and 2050. Calculations for a typical EGS scenario yield costs of EUR 215 MWh−1 in 2020, EUR 127 MWh−1 in 2030, and EUR 70 MWh−1 in 2050.</w:t>
      </w:r>
    </w:p>
    <w:p>
      <w:pPr/>
      <w:r>
        <w:rPr>
          <w:b/>
        </w:rPr>
        <w:t>POSSIBLE 2026:</w:t>
      </w:r>
      <w:r>
        <w:t xml:space="preserve"> Seismic interplay during the GRT-1 stimulation series of the Rittershoffen EGS reservoir — https://doi.org/10.3389/feart.2026.1738377</w:t>
      </w:r>
    </w:p>
    <w:p>
      <w:pPr/>
      <w:r>
        <w:rPr>
          <w:b/>
        </w:rPr>
        <w:t>Shared claim-specific concepts:</w:t>
      </w:r>
      <w:r>
        <w:t xml:space="preserve"> egs, geothermal, applying, different; EU scope visible. This is a provisional connection, not an outcome finding.</w:t>
      </w:r>
    </w:p>
    <w:p>
      <w:pPr>
        <w:pStyle w:val="SourceNote"/>
      </w:pPr>
      <w:r>
        <w:rPr>
          <w:b/>
        </w:rPr>
        <w:t>Available abstract (not full text):</w:t>
      </w:r>
      <w:r>
        <w:t xml:space="preserve"> Between April and June 2013, the GRT-1 well, located at the Rittershoffen EGS geothermal site in the Upper Rhine Valley (France), underwent three distinct stimulations: a thermal stimulation, a chemical stimulation, and finally a hydraulic stimulation. These stimulations, in particular the hydraulic stimulation, have been previously explored by several studies. The current study addresses a feature that has been less analyzed: the possible seismic interplay between these stimulations. By applying improved template matching and a relative location method, a comprehensive catalog of more than 3000 seismic events was established, covering the three stimulations. This catalog allows tracking and comparison of reservoir seismogenic responses to successive, yet different, stimulation types with high spatial and temporal precision. We present the evolution of several indicators such as event distribution and clustering, b-value, and seismic injection efficiency across the stimulations. The observed differences raise the question of the relevance of using previous stimulation indicators to anticipate seismogenic behavior during subsequent stimulations. We also evidence simultaneous seismicity migration, decrease of the instantaneous injection index and decrease of the seismic efficiency at the end of the hydraulic stimulation but prior to the most energetic burst of seismicity that occ</w:t>
      </w:r>
    </w:p>
    <w:p>
      <w:pPr/>
      <w:r>
        <w:rPr>
          <w:b/>
        </w:rPr>
        <w:t>POSSIBLE 2026:</w:t>
      </w:r>
      <w:r>
        <w:t xml:space="preserve"> Policy levers and technological opportunities to achieve decarbonisation in Europe at minimal cost — https://doi.org/10.7488/era/7048</w:t>
      </w:r>
    </w:p>
    <w:p>
      <w:pPr/>
      <w:r>
        <w:rPr>
          <w:b/>
        </w:rPr>
        <w:t>Shared claim-specific concepts:</w:t>
      </w:r>
      <w:r>
        <w:t xml:space="preserve"> egs, enhanced, geothermal, systems, economically, different; EU scope visible. This is a provisional connection, not an outcome finding.</w:t>
      </w:r>
    </w:p>
    <w:p>
      <w:pPr>
        <w:pStyle w:val="SourceNote"/>
      </w:pPr>
      <w:r>
        <w:rPr>
          <w:b/>
        </w:rPr>
        <w:t>Available abstract (not full text):</w:t>
      </w:r>
      <w:r>
        <w:t xml:space="preserve"> Energy systems must shift their supply from fossil fuels to carbon-neutral technologies. At the same time, they are subject to substantial economic pressure, as only minimal to moderate consumer cost increases can erode most of the energy transition’s political support. Rapid cost reductions in solar photovoltaics and wind generators have rendered them the transition’s backbone, pulling electrification into transport and heating, but also increasing system complexity through inter-sectoral energy flows and non-dispatchable generators. Therefore, whole-system energy research, focused on minimising transition costs, also faces new complexities through the interplay of heterogeneous technologies, intermittency, and spatial constraints, all in the context of evolving policy frameworks. Models that can address these problems are essential for high-level decisions because technology competitiveness, infrastructure roll-out, and market designs may need, or are already undergoing, a fundamental overhaul as a result of the changing nature of energy supply. Such energy-system research is sometimes conducted with proprietary, GUI-oriented software and associated workflows, which can be less well suited to large-scale, reproducible analysis. Two aspects are particularly relevant. First, these workflows do not always take full advantage of the highly optimised, programmatic tooling that has</w:t>
      </w:r>
    </w:p>
    <w:p>
      <w:pPr/>
      <w:r>
        <w:rPr>
          <w:b/>
        </w:rPr>
        <w:t>POSSIBLE 2025:</w:t>
      </w:r>
      <w:r>
        <w:t xml:space="preserve"> Feasibility of Enhanced Geothermal Systems (EGS) Development at Bradys Hot Springs, Nevada — https://doi.org/10.2172/3021439</w:t>
      </w:r>
    </w:p>
    <w:p>
      <w:pPr/>
      <w:r>
        <w:rPr>
          <w:b/>
        </w:rPr>
        <w:t>Shared claim-specific concepts:</w:t>
      </w:r>
      <w:r>
        <w:t xml:space="preserve"> egs, enhanced, geothermal, systems; EU scope not established. This is a provisional connection, not an outcome finding.</w:t>
      </w:r>
    </w:p>
    <w:p>
      <w:pPr>
        <w:pStyle w:val="SourceNote"/>
      </w:pPr>
      <w:r>
        <w:rPr>
          <w:b/>
        </w:rPr>
        <w:t>Available abstract (not full text):</w:t>
      </w:r>
      <w:r>
        <w:t xml:space="preserve"> The Bradys EGS project focused on utilizing EGS technology to improve permeability in an existing non-productive well (15-12 ST1, located on BLM land) at Ormat’s Bradys geothermal facility in Churchill County, Nevada. The Bradys geothermal field is located within the Hot Springs Mountains, approximately 50 miles northeast of Reno, NV, along the western boundary of a very large intermontane basin known as the Carson Sink. It is one of several producing geothermal areas in the region; the Desert Peak, Stillwater, Soda Lake, and Salt Wells geothermal projects also lie within the Carson Sink, which is a region of high heat flow characterized by prominent NNE-striking faults that have formed in response to regional extension within the Basin and Range geologic province.</w:t>
      </w:r>
    </w:p>
    <w:p>
      <w:pPr/>
      <w:r>
        <w:rPr>
          <w:b/>
        </w:rPr>
        <w:t>POSSIBLE 2025:</w:t>
      </w:r>
      <w:r>
        <w:t xml:space="preserve"> CRM-geothermal Database: Geoscientific and Geochemical Data on Geothermal Systems, with Emphasis on Fluids and Critical Raw Materials in Europe and Eastern Africa — https://doi.org/10.5880/fidgeo.2026.012</w:t>
      </w:r>
    </w:p>
    <w:p>
      <w:pPr/>
      <w:r>
        <w:rPr>
          <w:b/>
        </w:rPr>
        <w:t>Shared claim-specific concepts:</w:t>
      </w:r>
      <w:r>
        <w:t xml:space="preserve"> resource, geothermal, systems; EU scope visible. This is a provisional connection, not an outcome finding.</w:t>
      </w:r>
    </w:p>
    <w:p>
      <w:pPr>
        <w:pStyle w:val="SourceNote"/>
      </w:pPr>
      <w:r>
        <w:rPr>
          <w:b/>
        </w:rPr>
        <w:t>Available abstract (not full text):</w:t>
      </w:r>
      <w:r>
        <w:t xml:space="preserve"> The CRM-geothermal database was created within the Horizon Europe CRM-geothermal project (Grant Agreement No. 101058163) to support the assessment of geothermal systems as sources of both renewable energy and critical raw materials (CRMs). The primary purpose of data collection was to compile, harmonise, and make openly available geoscientific and geochemical data relevant to the occurrence, enrichment, and potential co-production of CRMs from geothermal environments in Europe and East Africa. The database integrates legacy data compiled from peer-reviewed literature, national geological and geothermal databases, and previous European research projects (notably REFLECT), together with new data generated by project partners through field sampling and laboratory analyses. Sampling campaigns targeted geothermal wells and surface manifestations in selected regions, including Türkiye, the East African Rift (Kenya, Tanzania, Malawi), Cornwall (UK), and Iceland. Laboratory analyses include major ion chemistry, trace and critical element concentrations, mineralogical composition, and gas data, determined using methods such as ICP-MS, XRF, and XRD. All records were harmonised using a unified metadata schema, standardised units, and consistent reporting formats. Quality control involved automated validation routines and manual expert review. Each record includes spatial coordinates, samp</w:t>
      </w:r>
    </w:p>
    <w:p>
      <w:pPr/>
      <w:r>
        <w:rPr>
          <w:b/>
        </w:rPr>
        <w:t>POSSIBLE 2025:</w:t>
      </w:r>
      <w:r>
        <w:t xml:space="preserve"> The Horizon Europe CRM-geothermal project: Deliverable 1.3 – Online GIS-based CRM-geothermal Fluid Atlas for Europe and Eastern Africa — https://doi.org/10.5281/zenodo.17497574</w:t>
      </w:r>
    </w:p>
    <w:p>
      <w:pPr/>
      <w:r>
        <w:rPr>
          <w:b/>
        </w:rPr>
        <w:t>Shared claim-specific concepts:</w:t>
      </w:r>
      <w:r>
        <w:t xml:space="preserve"> resource, geothermal, systems, different; EU scope visible. This is a provisional connection, not an outcome finding.</w:t>
      </w:r>
    </w:p>
    <w:p>
      <w:pPr>
        <w:pStyle w:val="SourceNote"/>
      </w:pPr>
      <w:r>
        <w:rPr>
          <w:b/>
        </w:rPr>
        <w:t>Available abstract (not full text):</w:t>
      </w:r>
      <w:r>
        <w:t xml:space="preserve"> Deliverable D1.3 presents the CRM-geothermal Fluid Atlas, an interactive, GIS-based online platform that visualises and integrates geospatial and geochemical data related to geothermal fluids and associated critical raw materials (CRMs) across Europe and Eastern Africa. The Atlas represents the third major outcome of Work Package 1, building directly upon the data harmonisation (D1.1) (Seres et al. 2024) and database publication (D1.2) (Seres et al. 2025). It transforms the harmonised datasets of the CRM-geothermal database into a spatially oriented, user-friendly tool that enables exploration, comparison, and interpretation of CRM-relevant geothermal data in a geoscientific context. The Atlas combines legacy data from literature and previous projects with newly generated datasets obtained during CRM-geothermal field campaigns and laboratory analyses. It provides an integrated visualisation of geochemical, geological, and geothermal information across regions of strategic interest for CRM recovery and geothermal development. The CRM-geothermal Fluid Atlas integrates and visualises multiple data layers, including site locations, geothermal wells, fluid samples, rock and scale compositions, and selected CRM concentrations. Each data point on the map is linked to its corresponding metadata record and DOI, enabling users to trace data provenance, citation, and licensing information</w:t>
      </w:r>
    </w:p>
    <w:p>
      <w:pPr/>
      <w:r>
        <w:rPr>
          <w:b/>
        </w:rPr>
        <w:t>POSSIBLE 2025:</w:t>
      </w:r>
      <w:r>
        <w:t xml:space="preserve"> Enhanced geothermal systems for clean firm energy generation — https://doi.org/10.1038/s44359-024-00019-9</w:t>
      </w:r>
    </w:p>
    <w:p>
      <w:pPr/>
      <w:r>
        <w:rPr>
          <w:b/>
        </w:rPr>
        <w:t>Shared claim-specific concepts:</w:t>
      </w:r>
      <w:r>
        <w:t xml:space="preserve"> egs, enhanced, geothermal, systems, constrained, mwh; EU scope visible. This is a provisional connection, not an outcome finding.</w:t>
      </w:r>
    </w:p>
    <w:p>
      <w:pPr>
        <w:pStyle w:val="SourceNote"/>
      </w:pPr>
      <w:r>
        <w:rPr>
          <w:b/>
        </w:rPr>
        <w:t>Available abstract (not full text):</w:t>
      </w:r>
      <w:r>
        <w:t xml:space="preserve"> Geothermal energy provides clean, steady and renewable electricity and heat, but the use of geothermal energy has conventionally been constrained to locations with adequate subsurface heat and fluid flow. Enhanced geothermal systems (EGS) enable geothermal energy usage in unconventional areas by enhancing the subsurface permeability and increasing fluid flow, which is then extracted as a carrier of the thermal energy. In this Review, we discuss the development of EGS and its role in providing energy. Some EGS are operating commercially in Europe and provide heat and/or electricity, but technical issues and concerns over induced seismicity have historically hindered the broader expansion of EGS. Adaptation of advanced drilling techniques (including the use of polycrystalline diamond compact bits, multiwell drilling pads, horizontal drilling and multistage stimulation) is enabling an increase in scale and decrease in cost of EGS projects. As a result, in the USA, enhanced geothermal is expected to achieve plant capital costs (US$4,500 kW−1) and a levelized cost of electricity (US$80 MWh−1) that are competitive with market electricity prices by 2027. With further development of EGS to manage induced seismicity risk and increase system flexibility, EGS could provide stable baseload and potentially dispatchable electricity in clean energy systems. Enhanced geothermal systems can pro</w:t>
      </w:r>
    </w:p>
    <w:p>
      <w:pPr/>
      <w:r>
        <w:rPr>
          <w:b/>
        </w:rPr>
        <w:t>POSSIBLE 2025:</w:t>
      </w:r>
      <w:r>
        <w:t xml:space="preserve"> Two Examples of New Possibilities for Geothermal Energy: CEEGS and CRM-Geothermal Projects — https://doi.org/10.3997/2214-4609.2025101206</w:t>
      </w:r>
    </w:p>
    <w:p>
      <w:pPr/>
      <w:r>
        <w:rPr>
          <w:b/>
        </w:rPr>
        <w:t>Shared claim-specific concepts:</w:t>
      </w:r>
      <w:r>
        <w:t xml:space="preserve"> resource, geothermal, systems; EU scope visible. This is a provisional connection, not an outcome finding.</w:t>
      </w:r>
    </w:p>
    <w:p>
      <w:pPr>
        <w:pStyle w:val="SourceNote"/>
      </w:pPr>
      <w:r>
        <w:rPr>
          <w:b/>
        </w:rPr>
        <w:t>Available abstract (not full text):</w:t>
      </w:r>
      <w:r>
        <w:t xml:space="preserve"> Summary Innovative projects like CEEGS (CO2-based Electrothermal Energy and Geological Storage Systems) and CRM-Geothermal projects are a part of exploring and expanding new applications for geothermal energy, in line with the EU priorities of reducing fossil fuel consumption and achieving zero CO2 emissions by integrating renewable resources into the energy mix. CEEGS focuses on using a transcritical CO2 cycle for underground energy storage and CO2 sequestration, aiming for a negative carbon footprint and versatile energy applications. It consists of three development phases: demonstrating feasibility, building a powerful demonstrator, and achieving commercial viability. On the other hand, CRM-Geothermal seeks to extract critical raw materials from geothermal fluids. This method addresses the EU’s need for strategic resource autonomy while minimizing environmental impacts and carbon footprints compared to conventional mining. The project will develop a comprehensive database of critical raw materials and establish sustainable extraction technologies. Both projects highlight the broader potential of geothermal energy for sustainable development, aligning with the European Green Deal and climate change initiatives. The CEEGS project aims to enhance energy storage solutions, while CRM-Geothermal integrates raw material extraction with geothermal energy utilization. Together, they</w:t>
      </w:r>
    </w:p>
    <w:p>
      <w:pPr/>
      <w:r>
        <w:rPr>
          <w:b/>
        </w:rPr>
        <w:t>POSSIBLE 2025:</w:t>
      </w:r>
      <w:r>
        <w:t xml:space="preserve"> Numerical Modeling of Potential CO2-Fed Enhanced Geothermal System (CO2-EGS) in the Gorzów Block, Poland — https://doi.org/10.3390/en18184825</w:t>
      </w:r>
    </w:p>
    <w:p>
      <w:pPr/>
      <w:r>
        <w:rPr>
          <w:b/>
        </w:rPr>
        <w:t>Shared claim-specific concepts:</w:t>
      </w:r>
      <w:r>
        <w:t xml:space="preserve"> egs, enhanced, geothermal; EU scope visible. This is a provisional connection, not an outcome finding.</w:t>
      </w:r>
    </w:p>
    <w:p>
      <w:pPr>
        <w:pStyle w:val="SourceNote"/>
      </w:pPr>
      <w:r>
        <w:rPr>
          <w:b/>
        </w:rPr>
        <w:t>Available abstract (not full text):</w:t>
      </w:r>
      <w:r>
        <w:t xml:space="preserve"> This article presents the results of numerical modeling for a hypothetical CO2-EGS system in the volcanic rocks of the Gorzów Block, Poland. Modeling was carried out in the following stages: in phase 0, modeling of the fracturing process was performed, as a result of which the permeability distribution for the newly created fractured zone was obtained. Next, the process of saturating the EGS reservoir with CO2 was modeled until pure CO2 could enter the production well (phase 1). Then, a multi-variant simulation of heat production was performed (phase 2). The obtained results allowed for drawing interesting conclusions: (1) the duration of phase 1 may take several years unless a sufficiently high injection rate of CO2 is supplied, (2) the higher the injection rate of CO2, the lower the cumulative storage ratio of CO2, and (3) most of the CO2 storage in the formation takes place in phase 1, while even 92% of the CO2 injected in phase 2 can be recovered via the production well. Despite the environmental benefits connected with structural trapping of CO2, the Gorzów Block has probably too low formation temperature (145 °C) and too low stimulated volume (~0.1 km3) to deliver satisfactory and stable thermal output.</w:t>
      </w:r>
    </w:p>
    <w:p>
      <w:pPr/>
      <w:r>
        <w:rPr>
          <w:b/>
        </w:rPr>
        <w:t>POSSIBLE 2024:</w:t>
      </w:r>
      <w:r>
        <w:t xml:space="preserve"> Using Particle Swarm Optimization with Backpropagation Neural Networks and Analytic Hierarchy Process to Optimize the Power Generation Performance of Enhanced Geothermal System (EGS) — https://doi.org/10.3390/w16030509</w:t>
      </w:r>
    </w:p>
    <w:p>
      <w:pPr/>
      <w:r>
        <w:rPr>
          <w:b/>
        </w:rPr>
        <w:t>Shared claim-specific concepts:</w:t>
      </w:r>
      <w:r>
        <w:t xml:space="preserve"> egs, enhanced, geothermal, systems, different; EU scope not established. This is a provisional connection, not an outcome finding.</w:t>
      </w:r>
    </w:p>
    <w:p>
      <w:pPr>
        <w:pStyle w:val="SourceNote"/>
      </w:pPr>
      <w:r>
        <w:rPr>
          <w:b/>
        </w:rPr>
        <w:t>Available abstract (not full text):</w:t>
      </w:r>
      <w:r>
        <w:t xml:space="preserve"> The optimization of the production scheme for enhanced geothermal systems (EGS) in geothermal fields is crucial for enhancing heat production efficiency and prolonging the lifespan of thermal reservoirs. In this study, the 4100–4300 m granite diorite stratum in the Zhacang geothermal field was taken as the target stratum to establish a numerical model of water-heat coupling of three vertical wells. However, relying solely on numerical simulation for optimization is time-consuming and challenging for the determination of the globally optimal production plan. The present study proposes a comprehensive evaluation method for optimizing the performance of EGS power generation based on the integration of particle swarm optimization with backpropagation neural network (PSO-BPNN) and analytic hierarchy process (AHP). Five different PSO-BPNN models were constructed based on the numerical simulation data to predict different EGS power generation performance indexes, including the production temperature, the injection pressure, the total electricity generation, the electric energy efficiency and the levelized cost of electricity. Based on these PSO-BPNN models, the weights of various thermal development evaluation indexes were calculated by AHP to conduct a comprehensive evaluation of the power generation performance of the three vertical wells EGS. The results show that the PSO-BPNN mode</w:t>
      </w:r>
    </w:p>
    <w:p>
      <w:pPr/>
      <w:r>
        <w:rPr>
          <w:b/>
        </w:rPr>
        <w:t>POSSIBLE 2023:</w:t>
      </w:r>
      <w:r>
        <w:t xml:space="preserve"> EGS development in Europe based on operational geothermal projects — https://doi.org/10.1201/9781003271475-2</w:t>
      </w:r>
    </w:p>
    <w:p>
      <w:pPr/>
      <w:r>
        <w:rPr>
          <w:b/>
        </w:rPr>
        <w:t>Shared claim-specific concepts:</w:t>
      </w:r>
      <w:r>
        <w:t xml:space="preserve"> resource, egs, enhanced, geothermal, systems; EU scope visible. This is a provisional connection, not an outcome finding.</w:t>
      </w:r>
    </w:p>
    <w:p>
      <w:pPr>
        <w:pStyle w:val="SourceNote"/>
      </w:pPr>
      <w:r>
        <w:rPr>
          <w:b/>
        </w:rPr>
        <w:t>Available abstract (not full text):</w:t>
      </w:r>
      <w:r>
        <w:t xml:space="preserve"> Enhanced geothermal systems (EGS) appear as a tangible solution for developing decarbonized electricity production and/or renewable heat at high temperatures for industry in Europe. Based on operational geothermal plants (Soultz-sous-Forêts, Rittershoffen) located in the Upper Rhine Graben (URG), it turns out that thermo-hydro or chemical stimulation techniques could be applied to naturally fractured reservoirs to enhance the hydraulic performance of the geothermal wells. However, the main challenge for EGS is the potential occurrence of induced seismicity related to post-drilling hydraulic stimulation or done during sustainable geothermal exploitation, which could generate severe societal concerns. Moreover, after several years of geothermal exploitation in the URG, there is a very low environmental impact characterized by negligible carbon dioxide emissions. As the exploited geothermal resource trapped in the fractured crystalline reservoirs is a Li-rich brine, it is likely in the near future that geothermal lithium for batteries could be produced with a neutral carbon footprint.</w:t>
      </w:r>
    </w:p>
    <w:p>
      <w:pPr/>
      <w:r>
        <w:rPr>
          <w:b/>
        </w:rPr>
        <w:t>POSSIBLE 2023:</w:t>
      </w:r>
      <w:r>
        <w:t xml:space="preserve"> Geothermal Resources of European Continent: A Regional Assessment — https://doi.org/10.31214/ijthfa.v6i1.98</w:t>
      </w:r>
    </w:p>
    <w:p>
      <w:pPr/>
      <w:r>
        <w:rPr>
          <w:b/>
        </w:rPr>
        <w:t>Shared claim-specific concepts:</w:t>
      </w:r>
      <w:r>
        <w:t xml:space="preserve"> resource, base, geothermal; EU scope visible. This is a provisional connection, not an outcome finding.</w:t>
      </w:r>
    </w:p>
    <w:p>
      <w:pPr>
        <w:pStyle w:val="SourceNote"/>
      </w:pPr>
      <w:r>
        <w:rPr>
          <w:b/>
        </w:rPr>
        <w:t>Available abstract (not full text):</w:t>
      </w:r>
      <w:r>
        <w:t xml:space="preserve"> A regional assessment of geothermal resources of the continental region of Europe is attempted in the present work. It is based on results of observational data on heat transfer by conduction as well as hydrothermal and magmatic processes in the upper crust and makes use of geothermal data reported at the website of IHFC and also estimates based on available information on occurrences thermal springs and volcanic events. The resource assessment has been carried out for 8109 sites distributed in 39 countries. These datasets were reevaluated and spatially gridded using kigrid interpolation to construction of regional distribution maps of geothermal resources and interpreted on the basis of available information on tectonic setting and geological characteristics. The estimates for volcanic areas are based on a modified method of magmatic heat budget (MHB). has been employed in deriving estimates of geothermal resources in areas of recent volcanic activity. According to results obtained the total resource base (RB) at 6km on depth is estimated to be 8.653.306 ± 7 GJ. The mean resource base per unit area (RBUA) is ~ 985 GJ. The prominent features in geothermal maps are the presence of localities with significantly high values of resource base greater than 2000 GJ in countries such as Russia, Italy, Iceland, and west Norway. In addition, vertical distributions of temperatures were ca</w:t>
      </w:r>
    </w:p>
    <w:p>
      <w:pPr/>
      <w:r>
        <w:rPr>
          <w:b/>
        </w:rPr>
        <w:t>POSSIBLE 2023:</w:t>
      </w:r>
      <w:r>
        <w:t xml:space="preserve"> Study on permeability evolution and damage mechanism along the EGS fracture in heat mining stage under thermal stress/cracking — https://doi.org/10.1186/s40517-023-00274-2</w:t>
      </w:r>
    </w:p>
    <w:p>
      <w:pPr/>
      <w:r>
        <w:rPr>
          <w:b/>
        </w:rPr>
        <w:t>Shared claim-specific concepts:</w:t>
      </w:r>
      <w:r>
        <w:t xml:space="preserve"> egs, enhanced, geothermal; EU scope not established. This is a provisional connection, not an outcome finding.</w:t>
      </w:r>
    </w:p>
    <w:p>
      <w:pPr>
        <w:pStyle w:val="SourceNote"/>
      </w:pPr>
      <w:r>
        <w:rPr>
          <w:b/>
        </w:rPr>
        <w:t>Available abstract (not full text):</w:t>
      </w:r>
      <w:r>
        <w:t xml:space="preserve"> Abstract As main heat exchange channel in enhanced geothermal system, the evolution of hydraulic conductivity in fracture is significance for efficient heat mining. For the thermal stress or thermal cracking spontaneously induced by the temperature difference between low-temperature fluid and hot rock in heat mining stage, it is necessary to explore the damage mechanism along EGS fracture and the corresponding permeability evolution. Firstly, the long-term permeability tests under high temperature (50–200 ℃) were conducted by the self-developed high temperature seepage experimental device. Then, a coupled THM-D model was constructed to describe the damage distribution along fracture. Combined with experimental and simulation results, relationship between the thermal stress/cracking and the evolution of fracture permeability is revealed. The results indicate that during high-temperature (200 ℃) experiments, the fracture permeability first increases rapidly under the low-temperature induced thermal stress/cracking, then decreases due to the blockage effect induced by the debris particles generated in thermal cracking along fracture. The enhancement of injection velocity and heterogeneity are all conducive to the emergence of thermal cracking in matrix along fracture. Simultaneously, high confining pressure has a negative effect on the migration of debris particles of thermal crac</w:t>
      </w:r>
    </w:p>
    <w:p>
      <w:pPr>
        <w:pStyle w:val="Heading2"/>
      </w:pPr>
      <w:r>
        <w:t>908. Climate change signal of future climate projections for Aachen, Germany, in terms of temperature and precipitation</w:t>
      </w:r>
    </w:p>
    <w:p>
      <w:pPr>
        <w:pStyle w:val="SourceNote"/>
      </w:pPr>
      <w:r>
        <w:rPr>
          <w:b/>
        </w:rPr>
        <w:t>Original source (2014):</w:t>
      </w:r>
      <w:r>
        <w:t xml:space="preserve"> https://doi.org/10.1127/0941-2948/2014/0549</w:t>
      </w:r>
    </w:p>
    <w:p>
      <w:pPr/>
      <w:r>
        <w:t>Original wording (abstract; indexed_source_text_not_full_document_verified): A multi-model ensemble of regional climate projections is used to estimate the climate change signal in terms of temperature and precipitation for the city of Aachen, Germany, until the end of the current century.Since the combination of heat and high moisture content in the ambient air is assumed to adversely affect human health, the equivalent temperature is employed as an indicator for heat stress and applied to identify heat waves.As prolonged periods of high temperatures may also cause summer drought, summer precipitation and dry periods are analyzed as well.The study refers to regional climate projections (A1B emission scenario) of the statistical climate models STARII and WETTREG and the dynamical climate models REMO and COSMO-CLM.The model outputs are compared a) with each other in order to assess discrepancies between them and b) with the 30-year baseline period of 1971-2000 in order to estimate future changes in heat load and precipitation patterns for the summer months of June, July and August.Based on median realizations of the model runs, further warming of approximately 1-2 K is expected by the middle of the 21 st century and 3-4 K by 2100.These changes will probably be accompanied by an increase in variance.Maximum temperature shows the greatest enhancement (+1.9 K 2031-2060 and 4.3 K 2071-2100, ensemble mean) causing almost a doubling of (extreme) hot days and a trebling of tropical nights as soon as the middle of the century.According to this temperature development heat waves are likely to last longer and occur more often in future whereas their intensity is not expected to change significantly.An increasing number of heat waves is concurrent with a decreasing amount of rainfall in the summer months until 2100.All four climate projections indicate a decrease in precipitation in summer until 2100 with -17 % on average.The highest decrease is shown by COSMO-CLM with -30 % rainfall in June for the period of 2071-2100.Dry periods are expected to occur 3 times more often at the end of the current century and to last longer by 1 day (COSMO-CLM) to 3 days (WETTREG) compared to the period of 1971-2000.</w:t>
      </w:r>
    </w:p>
    <w:p>
      <w:pPr/>
      <w:r>
        <w:rPr>
          <w:b/>
        </w:rPr>
        <w:t>POSSIBLE 2026:</w:t>
      </w:r>
      <w:r>
        <w:t xml:space="preserve"> Intercomparison of a Regional Climate Model Ensemble for Selected European Catchments — https://doi.org/10.1002/joc.70554</w:t>
      </w:r>
    </w:p>
    <w:p>
      <w:pPr/>
      <w:r>
        <w:rPr>
          <w:b/>
        </w:rPr>
        <w:t>Shared claim-specific concepts:</w:t>
      </w:r>
      <w:r>
        <w:t xml:space="preserve"> ensemble, regional, climate, temperature, precipitation; EU scope visible. This is a provisional connection, not an outcome finding.</w:t>
      </w:r>
    </w:p>
    <w:p>
      <w:pPr>
        <w:pStyle w:val="SourceNote"/>
      </w:pPr>
      <w:r>
        <w:rPr>
          <w:b/>
        </w:rPr>
        <w:t>Available abstract (not full text):</w:t>
      </w:r>
      <w:r>
        <w:t xml:space="preserve"> ABSTRACT Understanding regional hydroclimatic variability and its drivers is essential to anticipate the impacts of climate change on water resources and sustainability. Yet, considerable uncertainty remains in the simulation of the coupled land–atmosphere water and energy cycles, largely due to structural model limitations, simplified process representations, and insufficient spatial resolution. Within the framework of the Collaborative Research Centre 1502 (CRC1502), this study presents a coordinated intercomparison of regional climate model simulations designed for water cycle process analysis over Europe. We analyse the performance of simulations using the ICON and TSMP1 model systems and covering the period 1990–2020, comparing against reference datasets (E‐OBS, GPCC, and GLEAM). We focus on 2‐m air temperature, precipitation and evapotranspiration over four representative basins—the Ebro, Po, Rhine, and Tisa—within the EURO‐CORDEX domain. Our analysis reveals systematic cold biases throughout most of Europe, with ICON generally outperforming TSMP1. ICON simulations exhibit heterogeneous performance in precipitation biases, with less overestimation than TSMP1, but still reflecting the persistent challenge of accurately simulating precipitation. TSMP1 and ICON generally agree on positive ET biases in southern and western Europe and negative biases in the north and east, wit</w:t>
      </w:r>
    </w:p>
    <w:p>
      <w:pPr/>
      <w:r>
        <w:rPr>
          <w:b/>
        </w:rPr>
        <w:t>POSSIBLE 2026:</w:t>
      </w:r>
      <w:r>
        <w:t xml:space="preserve"> New gridded large multi-model ensembles of empirical-statistical downscaling results — https://doi.org/10.5194/ems2026-443</w:t>
      </w:r>
    </w:p>
    <w:p>
      <w:pPr/>
      <w:r>
        <w:rPr>
          <w:b/>
        </w:rPr>
        <w:t>Shared claim-specific concepts:</w:t>
      </w:r>
      <w:r>
        <w:t xml:space="preserve"> multi-model, ensemble, regional, climate, terms, temperature; EU scope visible. This is a provisional connection, not an outcome finding.</w:t>
      </w:r>
    </w:p>
    <w:p>
      <w:pPr>
        <w:pStyle w:val="SourceNote"/>
      </w:pPr>
      <w:r>
        <w:rPr>
          <w:b/>
        </w:rPr>
        <w:t>Available abstract (not full text):</w:t>
      </w:r>
      <w:r>
        <w:t xml:space="preserve"> Downscaled multi-model ensemble mean and standard deviation through empirical-statistical downscaling have been gridded to a 5 arc-minute spatial resolution (~5km) for key seasonal temperature and precipitation statistics for the Barents Sea region, the Nordic countries, Europe, and other parts of the world. The downscaling has made use of a common EOF basis for ensuring a good representation of the predictors in terms of their spatio-temporal covariance structure, and for facilitating a quality control of the predictors. The downscaled key statistical parameters provide information about daily variables, such as the number of days with heavy precipitation. One objective has been to derive robust and reliable data, and ensemble sizes of hundreds of runs based on multiple global climate models provide a basis for robust estimates, since the addition of exclusion of a few runs don’t change the results significantly. The downscaled results also provide reliable information on temperature and precipitation, and the reliability of the results is tested against ensemble spread properties as well as the consistency between the ensemble members and the observed evolution for a common historical period. Three diagnostics are included in the netCDF files which indicate how close the ensemble spread is to being normal, how similar the historical trends are, and how the observed interannua</w:t>
      </w:r>
    </w:p>
    <w:p>
      <w:pPr/>
      <w:r>
        <w:rPr>
          <w:b/>
        </w:rPr>
        <w:t>POSSIBLE 2026:</w:t>
      </w:r>
      <w:r>
        <w:t xml:space="preserve"> The PROMES Regional Climate Model: Three Decades of Development and Contributions to Regional Climate Ensemble Research — https://doi.org/10.3390/geosciences16100423</w:t>
      </w:r>
    </w:p>
    <w:p>
      <w:pPr/>
      <w:r>
        <w:rPr>
          <w:b/>
        </w:rPr>
        <w:t>Shared claim-specific concepts:</w:t>
      </w:r>
      <w:r>
        <w:t xml:space="preserve"> multi-model, ensemble, regional, climate, projections, signal; EU scope visible. This is a provisional connection, not an outcome finding.</w:t>
      </w:r>
    </w:p>
    <w:p>
      <w:pPr>
        <w:pStyle w:val="SourceNote"/>
      </w:pPr>
      <w:r>
        <w:rPr>
          <w:b/>
        </w:rPr>
        <w:t>Available abstract (not full text):</w:t>
      </w:r>
      <w:r>
        <w:t xml:space="preserve"> Regional climate models (RCMs) have become established as essential dynamical downscaling tools, providing physically consistent, high-resolution climate information where global climate models (GCMs) are unable to resolve. Added value is obtained over heterogeneous vegetation, coastal, urban or orographically complex zones. Temperature, precipitation or wind benefit whenever fine-scale processes govern the climate signal, as with extreme events. CORDEX initiative (since 2009) has further consolidated RCM research with coordinated multi-model ensembles covering all continental regions, enabling systematic uncertainty quantification of regional climate projections. PROMES RCM has been an active scientific contributor across three decades to the modelling community ensemble. This review synthesizes and documents PROMES’s development, performance across Europe, West Africa and South America, and assesses its scientific contributions. This includes climate change projections features, extreme events (droughts, heat waves, or Mediterranean tropical-like cyclones) or land surface–atmosphere studies. Its behaviour within the more relevant international multi-model ensembles (from PRUDENCE to EuroCORDEX), with structurally independent characteristics, represents a scientific asset for uncertainty characterization beyond the model’s individual results, offering a legacy argument for pre</w:t>
      </w:r>
    </w:p>
    <w:p>
      <w:pPr/>
      <w:r>
        <w:rPr>
          <w:b/>
        </w:rPr>
        <w:t>POSSIBLE 2025:</w:t>
      </w:r>
      <w:r>
        <w:t xml:space="preserve"> Temporal clusters of extreme events across Europe in a regional multi-scenario/multi-member ensemble — https://doi.org/10.5194/ems2025-464</w:t>
      </w:r>
    </w:p>
    <w:p>
      <w:pPr/>
      <w:r>
        <w:rPr>
          <w:b/>
        </w:rPr>
        <w:t>Shared claim-specific concepts:</w:t>
      </w:r>
      <w:r>
        <w:t xml:space="preserve"> multi-model, ensemble, regional, climate, precipitation, germany; EU scope visible. This is a provisional connection, not an outcome finding.</w:t>
      </w:r>
    </w:p>
    <w:p>
      <w:pPr>
        <w:pStyle w:val="SourceNote"/>
      </w:pPr>
      <w:r>
        <w:rPr>
          <w:b/>
        </w:rPr>
        <w:t>Available abstract (not full text):</w:t>
      </w:r>
      <w:r>
        <w:t xml:space="preserve"> Climate change drives an increase in the frequency of multiple meteorological extreme event types (e.g., extreme precipitation, storms, droughts, heatwaves) by affecting thermodynamic and dynamic processes in the coupled land-atmosphere system. Extreme events like the extended droughts during 2018-2020 in Europe, flooding triggered by extreme precipitation in Germany in 2021, as well as in Valencia and central France in 2024, or prolonged heatwaves in 2003, 2015, 2018, and 2022 across continental Europe had strong adverse impacts on socio-economic systems and the environment. Given a higher frequency of extreme events, it becomes more likely that regions experience consecutive events of the same type (e.g., multi-annual droughts) or different types of extremes, thereby challenging the regions’ short-term coping and recovery ability and long-term resilience.While extreme events are generally well-studied, holistic analyses of typical extreme event sequences are missing. Compound analyses commonly focus on specific combinations or events, but usually miss typical multi-annual sequences of extreme events with the potential for high impacts.Embedded in the EU horizon 2020 project ARSINOE, our analysis addresses the questions: 1) how often these temporal clusters occur and in which constellations, 2) how robust these constellations are, 3) and what role climate change plays in modul</w:t>
      </w:r>
    </w:p>
    <w:p>
      <w:pPr/>
      <w:r>
        <w:rPr>
          <w:b/>
        </w:rPr>
        <w:t>POSSIBLE 2024:</w:t>
      </w:r>
      <w:r>
        <w:t xml:space="preserve"> Multi-model ensembles for regional and national wheat yield forecasts in Argentina — https://doi.org/10.1088/1748-9326/ad627c</w:t>
      </w:r>
    </w:p>
    <w:p>
      <w:pPr/>
      <w:r>
        <w:rPr>
          <w:b/>
        </w:rPr>
        <w:t>Shared claim-specific concepts:</w:t>
      </w:r>
      <w:r>
        <w:t xml:space="preserve"> multi-model, regional, climate, used, temperature, precipitation; EU scope visible. This is a provisional connection, not an outcome finding.</w:t>
      </w:r>
    </w:p>
    <w:p>
      <w:pPr>
        <w:pStyle w:val="SourceNote"/>
      </w:pPr>
      <w:r>
        <w:rPr>
          <w:b/>
        </w:rPr>
        <w:t>Available abstract (not full text):</w:t>
      </w:r>
      <w:r>
        <w:t xml:space="preserve"> Abstract While multi-model ensembles (MMEs) of seasonal climate models (SCMs) have been used for crop yield forecasting, there has not been a systematic attempt to select the most skillful SCMs to optimize the performance of a MME and improve in-season yield forecasts. Here, we propose a statistical model to forecast regional and national wheat yield variability from 1993–2016 over the main wheat production area in Argentina. Monthly mean temperature and precipitation from the four months (August–November) before harvest were used as features. The model was validated for end-of-season estimation in December using reanalysis data (ERA) from the European Centre for Medium-Range Weather Forecasts (ECMWF) as well as for in-season forecasts from June to November using a MME of three SCMs from 10 SCMs analyzed. A benchmark model for end-of-season yield estimation using ERA data achieved a R 2 of 0.33, a root-mean-square error (RMSE) of 9.8% and a receiver operating characteristic (ROC) score of 0.8 on national level. On regional level, the model demonstrated the best estimation accuracy in the northern sub-humid Pampas with a R 2 of 0.5, a RMSE of 12.6% and a ROC score of 0.9. Across all months of initialization, SCMs from the National Centers for Environmental Prediction, the National Center for Atmospheric Research and the Geophysical Fluid Dynamics Laboratory had the highest mean </w:t>
      </w:r>
    </w:p>
    <w:p>
      <w:pPr/>
      <w:r>
        <w:rPr>
          <w:b/>
        </w:rPr>
        <w:t>POSSIBLE 2023:</w:t>
      </w:r>
      <w:r>
        <w:t xml:space="preserve"> Partitioning model uncertainty in multi-model ensemble river flow projections — https://doi.org/10.1007/s10584-023-03621-1</w:t>
      </w:r>
    </w:p>
    <w:p>
      <w:pPr/>
      <w:r>
        <w:rPr>
          <w:b/>
        </w:rPr>
        <w:t>Shared claim-specific concepts:</w:t>
      </w:r>
      <w:r>
        <w:t xml:space="preserve"> multi-model, ensemble, regional, climate, projections, used; EU scope not established. This is a provisional connection, not an outcome finding.</w:t>
      </w:r>
    </w:p>
    <w:p>
      <w:pPr>
        <w:pStyle w:val="SourceNote"/>
      </w:pPr>
      <w:r>
        <w:rPr>
          <w:b/>
        </w:rPr>
        <w:t>Available abstract (not full text):</w:t>
      </w:r>
      <w:r>
        <w:t xml:space="preserve"> Abstract Floods are the largest natural disaster currently facing the UK, whilst the incidents of droughts have increased in recent years. Floods and droughts can have devastating consequences on society, resulting in significant financial damage to the economy. Climate models suggest that precipitation and temperature changes will exacerbate future hydrological extremes (i.e., floods and droughts). Such events are likely to become more frequent and intense in the future; thus to develop adaptation plans climate model projections feed hydrological models to provide future water resource projections. ‘eFLaG’ is one set of future river flow projections produced for the UK driven by UKCP18 climate projections from the UK Met Office. The UKCP18-derived eFLaG dataset provides state-of-the-art projections for a single GCM driven by RCP 8.5 across the entire UK. A QE-ANOVA approach has been used to partition contributing sources of uncertainty for two flow quantiles (Q5 high flows and Q95 low flows), at near and far future time scales, for each of the 186 GB catchments in the eFLaG dataset. Results suggest a larger hydrological model uncertainty associated with low flows and greater regional climate model uncertainty for high flows which remains stationary between flow indicators. Total uncertainty increases from near to far future and highly uncertain catchments have been identified </w:t>
      </w:r>
    </w:p>
    <w:p>
      <w:pPr/>
      <w:r>
        <w:rPr>
          <w:b/>
        </w:rPr>
        <w:t>POSSIBLE 2023:</w:t>
      </w:r>
      <w:r>
        <w:t xml:space="preserve"> Predictive performance of multi-model ensemble forecasts of COVID-19 across European nations — https://doi.org/10.7554/elife.81916</w:t>
      </w:r>
    </w:p>
    <w:p>
      <w:pPr/>
      <w:r>
        <w:rPr>
          <w:b/>
        </w:rPr>
        <w:t>Shared claim-specific concepts:</w:t>
      </w:r>
      <w:r>
        <w:t xml:space="preserve"> multi-model, ensemble, used, content; EU scope visible. This is a provisional connection, not an outcome finding.</w:t>
      </w:r>
    </w:p>
    <w:p>
      <w:pPr>
        <w:pStyle w:val="SourceNote"/>
      </w:pPr>
      <w:r>
        <w:rPr>
          <w:b/>
        </w:rPr>
        <w:t>Available abstract (not full text):</w:t>
      </w:r>
      <w:r>
        <w:t xml:space="preserve"> Background: Short-term forecasts of infectious disease burden can contribute to situational awareness and aid capacity planning. Based on best practice in other fields and recent insights in infectious disease epidemiology, one can maximise the predictive performance of such forecasts if multiple models are combined into an ensemble. Here, we report on the performance of ensembles in predicting COVID-19 cases and deaths across Europe between 08 March 2021 and 07 March 2022. Methods: We used open-source tools to develop a public European COVID-19 Forecast Hub. We invited groups globally to contribute weekly forecasts for COVID-19 cases and deaths reported by a standardised source for 32 countries over the next 1-4 weeks. Teams submitted forecasts from March 2021 using standardised quantiles of the predictive distribution. Each week we created an ensemble forecast, where each predictive quantile was calculated as the equally-weighted average (initially the mean and then from 26th July the median) of all individual models' predictive quantiles. We measured the performance of each model using the relative Weighted Interval Score (WIS), comparing models' forecast accuracy relative to all other models. We retrospectively explored alternative methods for ensemble forecasts, including weighted averages based on models' past predictive performance. Results: Over 52 weeks, we collected f</w:t>
      </w:r>
    </w:p>
    <w:p>
      <w:pPr/>
      <w:r>
        <w:rPr>
          <w:b/>
        </w:rPr>
        <w:t>POSSIBLE 2022:</w:t>
      </w:r>
      <w:r>
        <w:t xml:space="preserve"> Downscaling multi-model climate projection ensembles with deep learning (DeepESD): contribution to CORDEX EUR-44 — https://doi.org/10.5194/gmd-15-6747-2022</w:t>
      </w:r>
    </w:p>
    <w:p>
      <w:pPr/>
      <w:r>
        <w:rPr>
          <w:b/>
        </w:rPr>
        <w:t>Shared claim-specific concepts:</w:t>
      </w:r>
      <w:r>
        <w:t xml:space="preserve"> multi-model, ensemble, regional, climate, projections, used; EU scope visible. This is a provisional connection, not an outcome finding.</w:t>
      </w:r>
    </w:p>
    <w:p>
      <w:pPr>
        <w:pStyle w:val="SourceNote"/>
      </w:pPr>
      <w:r>
        <w:rPr>
          <w:b/>
        </w:rPr>
        <w:t>Available abstract (not full text):</w:t>
      </w:r>
      <w:r>
        <w:t xml:space="preserve"> Abstract. Deep Learning (DL) has recently emerged as an innovative tool to downscale climate variables from large-scale atmospheric fields under the perfect prognosis (PP) approach. Different Convolutional Neural Networks (CNN) have been applied under present-day conditions with promising results, but little is known about their suitability for extrapolating future climate change conditions. Here, we analyze this problem from a multi-model perspective, developing and evaluating an ensemble of CNN-based downscaled projections (DeepESD) for temperature and precipitation over the European EUR-44i (0.5º) domain, based on eight GCMs from the Coupled Model Intercomparison Project Phase 5 (CMIP5). To our knowledge, this is the first time that CNNs have been used to produce multi-model ensembles of downscaled projections, allowing to quantify inter-model uncertainty in climate change signals. The results are compared with those corresponding to an EUR-44 ensemble of regional climate models (RCMs) showing that DeepESD reduces distributional biases in the historical period. Moreover, the resulting climate change signals are broadly comparable to those obtained with the RCMs, with similar spatial structures. As for the uncertainty of the climate change signal (measured on the basis of inter-model spread), DeepESD yields a smaller uncertainty for precipitation, but a similar uncertainty fo</w:t>
      </w:r>
    </w:p>
    <w:p>
      <w:pPr/>
      <w:r>
        <w:rPr>
          <w:b/>
        </w:rPr>
        <w:t>POSSIBLE 2022:</w:t>
      </w:r>
      <w:r>
        <w:t xml:space="preserve"> Ensemble Evaluation and Member Selection of Regional Climate Models for Impact Models Assessment — https://doi.org/10.3390/w14233967</w:t>
      </w:r>
    </w:p>
    <w:p>
      <w:pPr/>
      <w:r>
        <w:rPr>
          <w:b/>
        </w:rPr>
        <w:t>Shared claim-specific concepts:</w:t>
      </w:r>
      <w:r>
        <w:t xml:space="preserve"> multi-model, ensemble, regional, climate, projections, used; EU scope visible. This is a provisional connection, not an outcome finding.</w:t>
      </w:r>
    </w:p>
    <w:p>
      <w:pPr>
        <w:pStyle w:val="SourceNote"/>
      </w:pPr>
      <w:r>
        <w:rPr>
          <w:b/>
        </w:rPr>
        <w:t>Available abstract (not full text):</w:t>
      </w:r>
      <w:r>
        <w:t xml:space="preserve"> Climate change increasingly is affecting every aspect of human life on the earth. Many regional climate models (RCMs) have so far been developed to carefully assess this important phenomenon on specific regions. In this study, ten RCMs captured from the European Coordinated Downscaling Experiment (EURO CORDEX) platform are evaluated on the river Chiese catchment located in the northeast of Italy. The models’ ensembles are assessed in terms of the uncertainty and error calculated through different statistical and error indices. The uncertainties are investigated in terms of signal (increase, decrease, or neutral changes in the variables) and value uncertainties. Together with the spatial analysis of the data over the catchment, the weighted averaged values are used for the models’ evaluations and data projections. Using weighted catchment variables, climate change impacts are assessed on 10 different hydro-climatological variables showing the changes in the temperature, precipitation, rainfall events’ features, and the hydrological variables of the Chiese catchment between historical (1991–2000) and future (2071–2080) decades under RCP (Representative Concentration Path for increasing greenhouse gas emissions) scenario 4.5. The results show that, even though the multi-model ensemble mean (MMEM) could cover the outputs’ uncertainty of the models, it increases the error of the out</w:t>
      </w:r>
    </w:p>
    <w:p>
      <w:pPr/>
      <w:r>
        <w:rPr>
          <w:b/>
        </w:rPr>
        <w:t>POSSIBLE 2021:</w:t>
      </w:r>
      <w:r>
        <w:t xml:space="preserve"> The first multi-model ensemble of regional climate simulations at kilometer-scale resolution, part I: evaluation of precipitation — https://doi.org/10.1007/s00382-021-05708-w</w:t>
      </w:r>
    </w:p>
    <w:p>
      <w:pPr/>
      <w:r>
        <w:rPr>
          <w:b/>
        </w:rPr>
        <w:t>Shared claim-specific concepts:</w:t>
      </w:r>
      <w:r>
        <w:t xml:space="preserve"> multi-model, ensemble, regional, climate, precipitation; EU scope visible. This is a provisional connection, not an outcome finding.</w:t>
      </w:r>
    </w:p>
    <w:p>
      <w:pPr>
        <w:pStyle w:val="SourceNote"/>
      </w:pPr>
      <w:r>
        <w:rPr>
          <w:b/>
        </w:rPr>
        <w:t>Available abstract (not full text):</w:t>
      </w:r>
      <w:r>
        <w:t xml:space="preserve"> Abstract Here we present the first multi-model ensemble of regional climate simulations at kilometer-scale horizontal grid spacing over a decade long period. A total of 23 simulations run with a horizontal grid spacing of $$\sim $$ ∼ 3 km, driven by ERA-Interim reanalysis, and performed by 22 European research groups are analysed. Six different regional climate models (RCMs) are represented in the ensemble. The simulations are compared against available high-resolution precipitation observations and coarse resolution ( $$\sim $$ ∼ 12 km) RCMs with parameterized convection. The model simulations and observations are compared with respect to mean precipitation, precipitation intensity and frequency, and heavy precipitation on daily and hourly timescales in different seasons. The results show that kilometer-scale models produce a more realistic representation of precipitation than the coarse resolution RCMs. The most significant improvements are found for heavy precipitation and precipitation frequency on both daily and hourly time scales in the summer season. In general, kilometer-scale models tend to produce more intense precipitation and reduced wet-hour frequency compared to coarse resolution models. On average, the multi-model mean shows a reduction of bias from $$\sim \,$$ ∼ −40% at 12 km to $$\sim \,$$ ∼ −3% at 3 km for heavy hourly precipitation in summer. Furthermore, the</w:t>
      </w:r>
    </w:p>
    <w:p>
      <w:pPr/>
      <w:r>
        <w:rPr>
          <w:b/>
        </w:rPr>
        <w:t>POSSIBLE 2021:</w:t>
      </w:r>
      <w:r>
        <w:t xml:space="preserve"> The first multi-model ensemble of regional climate simulations at kilometer-scale resolution part 2: historical and future simulations of precipitation — https://doi.org/10.1007/s00382-021-05657-4</w:t>
      </w:r>
    </w:p>
    <w:p>
      <w:pPr/>
      <w:r>
        <w:rPr>
          <w:b/>
        </w:rPr>
        <w:t>Shared claim-specific concepts:</w:t>
      </w:r>
      <w:r>
        <w:t xml:space="preserve"> multi-model, ensemble, regional, climate, precipitation; EU scope not established. This is a provisional connection, not an outcome finding.</w:t>
      </w:r>
    </w:p>
    <w:p>
      <w:pPr>
        <w:pStyle w:val="SourceNote"/>
      </w:pPr>
      <w:r>
        <w:rPr>
          <w:b/>
        </w:rPr>
        <w:t>Available abstract (not full text):</w:t>
      </w:r>
      <w:r>
        <w:t xml:space="preserve"> Unavailable</w:t>
      </w:r>
    </w:p>
    <w:p>
      <w:pPr/>
      <w:r>
        <w:rPr>
          <w:b/>
        </w:rPr>
        <w:t>POSSIBLE 2021:</w:t>
      </w:r>
      <w:r>
        <w:t xml:space="preserve"> Projections of regional climate change in Ukraine based on multi-model ensembles of Euro-CORDEX — https://doi.org/10.5194/egusphere-egu21-13821</w:t>
      </w:r>
    </w:p>
    <w:p>
      <w:pPr/>
      <w:r>
        <w:rPr>
          <w:b/>
        </w:rPr>
        <w:t>Shared claim-specific concepts:</w:t>
      </w:r>
      <w:r>
        <w:t xml:space="preserve"> multi-model, ensemble, regional, climate, projections, used; EU scope visible. This is a provisional connection, not an outcome finding.</w:t>
      </w:r>
    </w:p>
    <w:p>
      <w:pPr>
        <w:pStyle w:val="SourceNote"/>
      </w:pPr>
      <w:r>
        <w:rPr>
          <w:b/>
        </w:rPr>
        <w:t>Available abstract (not full text):</w:t>
      </w:r>
      <w:r>
        <w:t xml:space="preserve"> Climate change is one of the major challenges for future development in every country including Ukraine where actual warming already has impacted many sectors, population, and ecosystems. Recently, the International Initiative of Coordinated Downscaling Experiment for Europe (Euro-CORDEX) has provided RCM data for 0.1o grid. This detailed RCM projection dataset is an excellent basis for estimation of exposure and vulnerability to climate change of different objects and for updating projections for a new National Communication of Ukraine to UNFCCC as well as for Strategy of Ecological Safety and Adaptation to Climate Change in Ukraine. The study is focused on the estimation of the essential and special climatic characteristics and their changes in the near future (2021-2040) as well as to the middle (2041-2050) and end (2081-2100) of the century over the base period 1991-2010 for three scenarios: RCP2.6, RCP4.5, and RCP8.5. We used bias-adjusted RCM data for daily maximum, mean, and minimum temperature and precipitation provided via ESGF web-portal. We applied a multi-model ensemble approach with further bias-correction by delta-method for multi-year monthly values of the essential characteristics as well as calculated climatic indices using a gridded observational dataset of E-Obs v.20.0e. Ensembles for RCP4.5 and RCP8.5 consisted of 34 RCMs while for RCP2.6 only data of 3 RCMs</w:t>
      </w:r>
    </w:p>
    <w:p>
      <w:pPr>
        <w:pStyle w:val="Heading2"/>
      </w:pPr>
      <w:r>
        <w:t>909. Douglas‐fir plantations in Europe: a retrospective test of assisted migration to address climate change</w:t>
      </w:r>
    </w:p>
    <w:p>
      <w:pPr>
        <w:pStyle w:val="SourceNote"/>
      </w:pPr>
      <w:r>
        <w:rPr>
          <w:b/>
        </w:rPr>
        <w:t>Original source (2014):</w:t>
      </w:r>
      <w:r>
        <w:t xml:space="preserve"> https://doi.org/10.1111/gcb.12604</w:t>
      </w:r>
    </w:p>
    <w:p>
      <w:pPr/>
      <w:r>
        <w:t>Original wording (abstract; indexed_source_text_not_full_document_verified): We conclude by applying the partially validated model to climate change scenarios for Europe, demonstrating that climate trends observed over the last three decades warrant changes to current use of Douglas-fir provenances in plantation forestry throughout Western and Central Europe.</w:t>
      </w:r>
    </w:p>
    <w:p>
      <w:pPr/>
      <w:r>
        <w:rPr>
          <w:b/>
        </w:rPr>
        <w:t>POSSIBLE 2026:</w:t>
      </w:r>
      <w:r>
        <w:t xml:space="preserve"> Combining different views on internal climate variability of temperature over Europe — https://doi.org/10.5194/egusphere-2026-1341</w:t>
      </w:r>
    </w:p>
    <w:p>
      <w:pPr/>
      <w:r>
        <w:rPr>
          <w:b/>
        </w:rPr>
        <w:t>Shared claim-specific concepts:</w:t>
      </w:r>
      <w:r>
        <w:t xml:space="preserve"> conclude, applying, climate, observed, over; EU scope visible. This is a provisional connection, not an outcome finding.</w:t>
      </w:r>
    </w:p>
    <w:p>
      <w:pPr>
        <w:pStyle w:val="SourceNote"/>
      </w:pPr>
      <w:r>
        <w:rPr>
          <w:b/>
        </w:rPr>
        <w:t>Available abstract (not full text):</w:t>
      </w:r>
      <w:r>
        <w:t xml:space="preserve"> Abstract. Internal climate variability (ICV) estimates provide a useful benchmark for assessing climate model performance and the emergence of anthropogenically forced climate change. This study aims to quantify the magnitude of ICV using different types of data, representing both Earth System Model simulations and observation-based datasets. We focus on seasonal mean near surface air temperature over Europe utilizing different methodological approaches: assessment of variability inferred from pre-industrial control simulations, spread of a single-model initial-condition large ensemble, separation of uncertainty sources in CMIP6 transient simulations, and forcing attribution in observed time series. Across all methods and datasets, we found that ICV estimates decrease during the seasonal course from winter to autumn and spatially from north-eastern to south-western Europe. By comparing the results of the historical and scenario simulations of the large ensemble and selected CMIP6 models, we conclude that European ICV generally decreases under anthropogenically forced climate change. Moreover, our study suggests that applying ICV estimates as a benchmark for assessing regional climate simulations over Europe should be approached with caution. The estimate based on the pre-industrial control simulations offers an advantage since the simulations are not influenced by external forc</w:t>
      </w:r>
    </w:p>
    <w:p>
      <w:pPr/>
      <w:r>
        <w:rPr>
          <w:b/>
        </w:rPr>
        <w:t>POSSIBLE 2025:</w:t>
      </w:r>
      <w:r>
        <w:t xml:space="preserve"> Plural Values of Culture in Europe — https://openalex.org/W7137507789</w:t>
      </w:r>
    </w:p>
    <w:p>
      <w:pPr/>
      <w:r>
        <w:rPr>
          <w:b/>
        </w:rPr>
        <w:t>Shared claim-specific concepts:</w:t>
      </w:r>
      <w:r>
        <w:t xml:space="preserve"> applying, three, decades, current; EU scope visible. This is a provisional connection, not an outcome finding.</w:t>
      </w:r>
    </w:p>
    <w:p>
      <w:pPr>
        <w:pStyle w:val="SourceNote"/>
      </w:pPr>
      <w:r>
        <w:rPr>
          <w:b/>
        </w:rPr>
        <w:t>Available abstract (not full text):</w:t>
      </w:r>
      <w:r>
        <w:t xml:space="preserve"> In recent years, the plurality of values of culture has been increasingly recognized in practical, academic, and policymaking contexts. Beyond its traditional intrinsic values—linked to aesthetics, authenticity, and excellence—its capacity to contribute to well-being, to promote identity and belonging and tolerance and inclusiveness, to stimulate creativity, and to foster innovation are ever more acknowledged by a great variety of social actors. However, an economy- and market-oriented perspective has come to dominate the administrative and managerial discourse on cultural valuation for a few decades. This has resulted in a predominance of an approach to valuing culture that is expressed exclusively in terms of its economic impact, obscuring other values of culture. The European research project UNCHARTED has tried to counteract this predominance by providing a broader vision of the societal value of culture in the European context and by applying this alternative view to some of the most relevant areas in which cultural valuation impinges on cultural management and cultural policy today. This book presents its main results. Based on a pragmatist perspective, we have carried out an extensive multiple case study (65 cases in seven countries) that considers the multiplicity of agents who participate in cultural valuation processes (citizens, professionals of creation and preserva</w:t>
      </w:r>
    </w:p>
    <w:p>
      <w:pPr/>
      <w:r>
        <w:rPr>
          <w:b/>
        </w:rPr>
        <w:t>POSSIBLE 2023:</w:t>
      </w:r>
      <w:r>
        <w:t xml:space="preserve"> Comparative analysis of photovoltaic configurations for agrivoltaic systems in Europe — https://doi.org/10.1002/pip.3727</w:t>
      </w:r>
    </w:p>
    <w:p>
      <w:pPr/>
      <w:r>
        <w:rPr>
          <w:b/>
        </w:rPr>
        <w:t>Shared claim-specific concepts:</w:t>
      </w:r>
      <w:r>
        <w:t xml:space="preserve"> three, current, use; EU scope visible. This is a provisional connection, not an outcome finding.</w:t>
      </w:r>
    </w:p>
    <w:p>
      <w:pPr>
        <w:pStyle w:val="SourceNote"/>
      </w:pPr>
      <w:r>
        <w:rPr>
          <w:b/>
        </w:rPr>
        <w:t>Available abstract (not full text):</w:t>
      </w:r>
      <w:r>
        <w:t xml:space="preserve"> Abstract Agrivoltaics is the dual use of land by combining agricultural crop production and photovoltaic (PV) systems. In this work, we have analyzed three different agrivoltaic configurations: static with optimal tilt, vertically mounted bifacial, and single‐axis horizontal tracking. A model is developed to calculate the shadowing losses on the PV panels along with the reduced solar irradiation reaching the area under them for different PV capacity densities. First, we investigate the trade‐offs using a location in Denmark as a case study and second, we extrapolate the analysis to the rest of Europe. We find that the vertical and single‐axis tracking produce more uniform irradiance on the ground, and a capacity density of around 30 W/m 2 is suitable for agrivoltaic systems. Based on our model and a 100‐m‐resolution land cover database, we calculate the potential for agrivoltaic in every region within the European Union. The potential for agrivoltaic is enormous as the electricity generated by agrivoltaic systems could produce 25 times the current electricity demand in Europe. Overall, the potential capacity for agrivoltaic in Europe is 51 TW, which would result in an electricity yield of 71,500 TWh/year.</w:t>
      </w:r>
    </w:p>
    <w:p>
      <w:pPr/>
      <w:r>
        <w:rPr>
          <w:b/>
        </w:rPr>
        <w:t>POSSIBLE 2022:</w:t>
      </w:r>
      <w:r>
        <w:t xml:space="preserve"> Integrating nature conservation measures in european forest management – An exploratory study of barriers and drivers in 9 european countries — https://doi.org/10.1016/j.jenvman.2022.116619</w:t>
      </w:r>
    </w:p>
    <w:p>
      <w:pPr/>
      <w:r>
        <w:rPr>
          <w:b/>
        </w:rPr>
        <w:t>Shared claim-specific concepts:</w:t>
      </w:r>
      <w:r>
        <w:t xml:space="preserve"> climate, current; EU scope visible. This is a provisional connection, not an outcome finding.</w:t>
      </w:r>
    </w:p>
    <w:p>
      <w:pPr>
        <w:pStyle w:val="SourceNote"/>
      </w:pPr>
      <w:r>
        <w:rPr>
          <w:b/>
        </w:rPr>
        <w:t>Available abstract (not full text):</w:t>
      </w:r>
      <w:r>
        <w:t xml:space="preserve"> Integrative forest management approaches, aiming to combine the provision of multiple forest ecosystem services in the same forest area, are popular forest management concepts in Europe. Their understanding and application varies, however, across the continent. This paper looks at one dimension of integrative forest management approaches in particular - the integration of nature conservation measures into forest management; focusing on its understanding and application, as well as current and future social, technological, ecological, economic and political factors enabling or hampering this integration. Drawing on 42 qualitative in-depth interviews with national experts and forest practitioners, our study provides insights into the integration of nature conservation measures into forest management systems aimed at wood production and the provision of other forest ecosystem services under various conditions. Across the investigated countries, the main factors perceived to facilitate this integration are the personal motivations and knowledge of forest managers and their long-term economic thinking related to the resilience of the forest in the face of climate and societal change. In turn, the main factors perceived as hampering the integration are current wood-market demands, and a lack of (public) financial incentives. Public pressure is also perceived as an important influenci</w:t>
      </w:r>
    </w:p>
    <w:p>
      <w:pPr/>
      <w:r>
        <w:rPr>
          <w:b/>
        </w:rPr>
        <w:t>POSSIBLE 2022:</w:t>
      </w:r>
      <w:r>
        <w:t xml:space="preserve"> Forest-based climate change mitigation and adaptation in Europe — https://doi.org/10.36333/fs14</w:t>
      </w:r>
    </w:p>
    <w:p>
      <w:pPr/>
      <w:r>
        <w:rPr>
          <w:b/>
        </w:rPr>
        <w:t>Shared claim-specific concepts:</w:t>
      </w:r>
      <w:r>
        <w:t xml:space="preserve"> climate, over, use; EU scope visible. This is a provisional connection, not an outcome finding.</w:t>
      </w:r>
    </w:p>
    <w:p>
      <w:pPr>
        <w:pStyle w:val="SourceNote"/>
      </w:pPr>
      <w:r>
        <w:rPr>
          <w:b/>
        </w:rPr>
        <w:t>Available abstract (not full text):</w:t>
      </w:r>
      <w:r>
        <w:t xml:space="preserve"> From Science to Policy 14 2. Forest-based mitigation potential 2.1 The roles of forests and the forest sector in climate change mitigation Forests provide many benefits to society and one such benefit is forests' role in regulating the climate through their role in the global carbon cycle.This role is the result of photosynthesis in which trees remove CO 2 from the atmosphere and emit it back to the atmosphere via the decomposition of litter and dead trees or (in case of wildfires) combustion.If this cycle was left to follow its natural course, it would result in a long-term balance between CO 2 removals and emissions despite the short-term variations inherent to it.The management of forests by humans can have a profound impact on CO 2 emissions and removals, both immediately and over time.Rising concentrations of CO 2 and the related climate change can influence the growth and development of forests both positively and negatively, with further consequent impacts on CO 2 emissions and removals in forests (see Chapter 3).From Science to Policy 14 -150 -100 -50 0 50 100 150 200 250 300 350 400 450 Increased efficiency (2;5) Cascading (1;4) Shifts in wood uses (9;23) Afforestation/Reforestation (2;5) Forest restoration (peatlands) (2;5) Forest harvesting (increased) (1;1) Forest harvesting (decreased) (6;13) Other active management (7;14) Avoiding deforestation (1;1) Forest conser</w:t>
      </w:r>
    </w:p>
    <w:p>
      <w:pPr/>
      <w:r>
        <w:rPr>
          <w:b/>
        </w:rPr>
        <w:t>POSSIBLE 2021:</w:t>
      </w:r>
      <w:r>
        <w:t xml:space="preserve"> The influence of anthropogenic climate change on wet and dry summers in Europe — https://doi.org/10.1016/j.scib.2021.01.020</w:t>
      </w:r>
    </w:p>
    <w:p>
      <w:pPr/>
      <w:r>
        <w:rPr>
          <w:b/>
        </w:rPr>
        <w:t>Shared claim-specific concepts:</w:t>
      </w:r>
      <w:r>
        <w:t xml:space="preserve"> climate, trends; EU scope visible. This is a provisional connection, not an outcome finding.</w:t>
      </w:r>
    </w:p>
    <w:p>
      <w:pPr>
        <w:pStyle w:val="SourceNote"/>
      </w:pPr>
      <w:r>
        <w:rPr>
          <w:b/>
        </w:rPr>
        <w:t>Available abstract (not full text):</w:t>
      </w:r>
      <w:r>
        <w:t xml:space="preserve"> Understanding the role of anthropogenic forcings in regional hydrological changes can help communities plan their adaptation in an informed manner. Here we apply attribution research methods to investigate the effect of human influence on historical trends in wet and dry summers and changes in the likelihood of extreme events in Europe. We employ an ensemble of new climate models and compare experiments with and without the effect of human influence to assess the anthropogenic contribution. Future changes are also analysed with projections to year 2100. We employ two drought indices defined relative to the pre-industrial climate: one driven by changes in rainfall only and one that also includes the effect of temperature via changes in potential evapotranspiration. Both indices suggest significant changes in European summers have already emerged above variability and are expected to intensify in the future, leading to widespread dryer conditions which are more extreme in the south. When only the effect of rainfall is considered, there is a distinct contrast between a shift towards wetter conditions in the north and dryer in the south of the continent, as well as an overall increase in variability. However, when the effect of warming is also included, it largely masks the wet trends in the north, resulting in increasingly drier summers across most of the continent. Historical ind</w:t>
      </w:r>
    </w:p>
    <w:p>
      <w:pPr/>
      <w:r>
        <w:rPr>
          <w:b/>
        </w:rPr>
        <w:t>POSSIBLE 2021:</w:t>
      </w:r>
      <w:r>
        <w:t xml:space="preserve"> Aviation Contrail Cirrus and Radiative Forcing Over Europe During 6 Months of COVID‐19 — https://doi.org/10.1029/2021gl092771</w:t>
      </w:r>
    </w:p>
    <w:p>
      <w:pPr/>
      <w:r>
        <w:rPr>
          <w:b/>
        </w:rPr>
        <w:t>Shared claim-specific concepts:</w:t>
      </w:r>
      <w:r>
        <w:t xml:space="preserve"> partially, observed, over; EU scope visible. This is a provisional connection, not an outcome finding.</w:t>
      </w:r>
    </w:p>
    <w:p>
      <w:pPr>
        <w:pStyle w:val="SourceNote"/>
      </w:pPr>
      <w:r>
        <w:rPr>
          <w:b/>
        </w:rPr>
        <w:t>Available abstract (not full text):</w:t>
      </w:r>
      <w:r>
        <w:t xml:space="preserve"> Abstract The COVID‐19 pandemic led to a 72% reduction of air traffic over Europe in March–August 2020 compared to 2019. Modeled contrail cover declined similarly, and computed mean instantaneous radiative contrail forcing dropped regionally by up to 0.7 W m−2. Here, model predictions of cirrus optical thickness and the top‐of‐atmosphere outgoing longwave and reflected shortwave irradiances are tested by comparison to Meteosat‐SEVIRI‐derived data. The agreement between observations and modeled data is slightly better when modeled contrail cirrus contributions are included. The spatial distributions and diurnal cycles of the differences in these data between 2019 and 2020 are partially caused by differences in atmospheric and surface conditions, particularly for solar radiation in the spring of 2020. Aviation signals become discernible in the observed differences of these data between 2019 and 2020 when subtracting numerical weather prediction model results that approximate the atmosphere and surface conditions without contrails.</w:t>
      </w:r>
    </w:p>
    <w:p>
      <w:pPr/>
      <w:r>
        <w:rPr>
          <w:b/>
        </w:rPr>
        <w:t>POSSIBLE 2020:</w:t>
      </w:r>
      <w:r>
        <w:t xml:space="preserve"> Differing Trends in United States and European Severe Thunderstorm Environments in a Warming Climate — https://doi.org/10.1175/bams-d-20-0004.1</w:t>
      </w:r>
    </w:p>
    <w:p>
      <w:pPr/>
      <w:r>
        <w:rPr>
          <w:b/>
        </w:rPr>
        <w:t>Shared claim-specific concepts:</w:t>
      </w:r>
      <w:r>
        <w:t xml:space="preserve"> partially, climate, trends, observed, over, central; EU scope visible. This is a provisional connection, not an outcome finding.</w:t>
      </w:r>
    </w:p>
    <w:p>
      <w:pPr>
        <w:pStyle w:val="SourceNote"/>
      </w:pPr>
      <w:r>
        <w:rPr>
          <w:b/>
        </w:rPr>
        <w:t>Available abstract (not full text):</w:t>
      </w:r>
      <w:r>
        <w:t xml:space="preserve"> Abstract Long-term trends in the historical frequency of environments supportive of atmospheric convection are unclear, and only partially follow the expectations of a warming climate. This uncertainty is driven by the lack of unequivocal changes in the ingredients for severe thunderstorms (i.e., conditional instability, sufficient low-level moisture, initiation mechanism, and vertical wind shear). ERA5 hybrid-sigma data allow for superior characterization of thermodynamic parameters including convective inhibition, which is very sensitive to the number of levels in the lower troposphere. Using hourly data we demonstrate that long-term decreases in instability and stronger convective inhibition cause a decline in the frequency of thunderstorm environments over the southern United States, particularly during summer. Conversely, increasingly favorable conditions for tornadoes are observed during winter across the Southeast. Over Europe, a pronounced multidecadal increase in low-level moisture has provided positive trends in thunderstorm environments over the south, central, and north, with decreases over the east due to strengthening convective inhibition. Modest increases in vertical wind shear and storm-relative helicity have been observed over northwestern Europe and the Great Plains. Both continents exhibit negative trends in the fraction of environments with likely convectiv</w:t>
      </w:r>
    </w:p>
    <w:p>
      <w:pPr/>
      <w:r>
        <w:rPr>
          <w:b/>
        </w:rPr>
        <w:t>POSSIBLE 2020:</w:t>
      </w:r>
      <w:r>
        <w:t xml:space="preserve"> Climate and society in European history — https://doi.org/10.1002/wcc.691</w:t>
      </w:r>
    </w:p>
    <w:p>
      <w:pPr/>
      <w:r>
        <w:rPr>
          <w:b/>
        </w:rPr>
        <w:t>Shared claim-specific concepts:</w:t>
      </w:r>
      <w:r>
        <w:t xml:space="preserve"> conclude, climate; EU scope visible. This is a provisional connection, not an outcome finding.</w:t>
      </w:r>
    </w:p>
    <w:p>
      <w:pPr>
        <w:pStyle w:val="SourceNote"/>
      </w:pPr>
      <w:r>
        <w:rPr>
          <w:b/>
        </w:rPr>
        <w:t>Available abstract (not full text):</w:t>
      </w:r>
      <w:r>
        <w:t xml:space="preserve"> Abstract This article evaluates 165 studies from various disciplines, published between 2000 and 2019, which in different ways link past climate variability and change to human history in medieval and early modern Europe (here, c . 700–1815 CE). Within this review, we focus on the identification and interpretation of causal links between changes in climate and in human societies. A revised climate–society impact order model of historical climate–society interactions is presented and applied to structure the findings of the past 20 years' scholarship. Despite considerable progress in research about past climate–society relations, partly expedited by new palaeoclimate data, we identify limitations to knowledge, including geographical biases, a disproportional attention to extremely cold periods, and a focus on crises. Furthermore, recent scholarship shows that the limitations with particular disciplinary approaches can be successfully overcome through interdisciplinary collaborations. We conclude the article by proposing recommendations for future directions of research in the climatic change–human history nexus. This article is categorized under: Climate, History, Society, Culture &gt; Ideas and Knowledge</w:t>
      </w:r>
    </w:p>
    <w:p>
      <w:pPr/>
      <w:r>
        <w:rPr>
          <w:b/>
        </w:rPr>
        <w:t>POSSIBLE 2020:</w:t>
      </w:r>
      <w:r>
        <w:t xml:space="preserve"> Causal networks for climate model evaluation and constrained projections — https://doi.org/10.1038/s41467-020-15195-y</w:t>
      </w:r>
    </w:p>
    <w:p>
      <w:pPr/>
      <w:r>
        <w:rPr>
          <w:b/>
        </w:rPr>
        <w:t>Shared claim-specific concepts:</w:t>
      </w:r>
      <w:r>
        <w:t xml:space="preserve"> climate, over, central; EU scope visible. This is a provisional connection, not an outcome finding.</w:t>
      </w:r>
    </w:p>
    <w:p>
      <w:pPr>
        <w:pStyle w:val="SourceNote"/>
      </w:pPr>
      <w:r>
        <w:rPr>
          <w:b/>
        </w:rPr>
        <w:t>Available abstract (not full text):</w:t>
      </w:r>
      <w:r>
        <w:t xml:space="preserve"> Global climate models are central tools for understanding past and future climate change. The assessment of model skill, in turn, can benefit from modern data science approaches. Here we apply causal discovery algorithms to sea level pressure data from a large set of climate model simulations and, as a proxy for observations, meteorological reanalyses. We demonstrate how the resulting causal networks (fingerprints) offer an objective pathway for process-oriented model evaluation. Models with fingerprints closer to observations better reproduce important precipitation patterns over highly populated areas such as the Indian subcontinent, Africa, East Asia, Europe and North America. We further identify expected model interdependencies due to shared development backgrounds. Finally, our network metrics provide stronger relationships for constraining precipitation projections under climate change as compared to traditional evaluation metrics for storm tracks or precipitation itself. Such emergent relationships highlight the potential of causal networks to constrain longstanding uncertainties in climate change projections.</w:t>
      </w:r>
    </w:p>
    <w:p>
      <w:pPr/>
      <w:r>
        <w:rPr>
          <w:b/>
        </w:rPr>
        <w:t>POSSIBLE 2020:</w:t>
      </w:r>
      <w:r>
        <w:t xml:space="preserve"> Climate change impacts on trends and extremes in future heating and cooling demands over Europe — https://doi.org/10.1016/j.enbuild.2020.110397</w:t>
      </w:r>
    </w:p>
    <w:p>
      <w:pPr/>
      <w:r>
        <w:rPr>
          <w:b/>
        </w:rPr>
        <w:t>Shared claim-specific concepts:</w:t>
      </w:r>
      <w:r>
        <w:t xml:space="preserve"> climate, trends, over; EU scope visible. This is a provisional connection, not an outcome finding.</w:t>
      </w:r>
    </w:p>
    <w:p>
      <w:pPr>
        <w:pStyle w:val="SourceNote"/>
      </w:pPr>
      <w:r>
        <w:rPr>
          <w:b/>
        </w:rPr>
        <w:t>Available abstract (not full text):</w:t>
      </w:r>
      <w:r>
        <w:t xml:space="preserve"> The paper analyses effects of changes in temperatures on heating and cooling demands in Europe until 2050. Specifically, the study addresses changes in trends (10-year mean) and extremes (10-year min/max). The analysis is based on two GHG emission climate scenarios (RCP2.6 and RCP4.5) and eight high-resolution regional climate models and results are provided as relative and absolute changes on grid and country scales. Population density is used as proxy for spatial distribution of demands. Projected future temperatures are proportional with RCP scenario and distance into the future and the highest relative changes occur towards north-eastern Europe and for high-altitude areas. The temperature changes lead to general decreased heating demands and corresponding increased cooling demands. In general, higher spreads are seen between demand change ratios for individual models when addressing extremes as opposed to trends: The general 2010–2050 change ratios for heating between countries are 0.85–95 for model means and average 0.69 for the extreme analysis. For cooling, corresponding ratios are 1.25–1.5 for model means and average 2.76 for model maxima. For absolute demand changes, some countries are projected to experience significant changes e.g. exceeding a doubling in cooling demands. The results are suggested as a basis for energy system analyses.</w:t>
      </w:r>
    </w:p>
    <w:p>
      <w:pPr/>
      <w:r>
        <w:rPr>
          <w:b/>
        </w:rPr>
        <w:t>POSSIBLE 2020:</w:t>
      </w:r>
      <w:r>
        <w:t xml:space="preserve"> ClimateEU, scale-free climate normals, historical time series, and future projections for Europe — https://doi.org/10.1038/s41597-020-00763-0</w:t>
      </w:r>
    </w:p>
    <w:p>
      <w:pPr/>
      <w:r>
        <w:rPr>
          <w:b/>
        </w:rPr>
        <w:t>Shared claim-specific concepts:</w:t>
      </w:r>
      <w:r>
        <w:t xml:space="preserve"> conclude, climate, last; EU scope visible. This is a provisional connection, not an outcome finding.</w:t>
      </w:r>
    </w:p>
    <w:p>
      <w:pPr>
        <w:pStyle w:val="SourceNote"/>
      </w:pPr>
      <w:r>
        <w:rPr>
          <w:b/>
        </w:rPr>
        <w:t>Available abstract (not full text):</w:t>
      </w:r>
      <w:r>
        <w:t xml:space="preserve"> Abstract Interpolated climate data have become essential for regional or local climate change impact assessments and the development of climate change adaptation strategies. Here, we contribute an accessible, comprehensive database of interpolated climate data for Europe that includes monthly, annual, decadal, and 30-year normal climate data for the last 119 years (1901 to 2019) as well as multi-model CMIP5 climate change projections for the 21 st century. The database also includes variables relevant for ecological research and infrastructure planning, comprising more than 20,000 climate grids that can be queried with a provided ClimateEU software package. In addition, 1 km and 2.5 km resolution gridded data generated by the software are available for download. The quality of ClimateEU estimates was evaluated against weather station data for a representative subset of climate variables. Dynamic environmental lapse rate algorithms employed by the software to generate scale-free climate variables for specific locations lead to improvements of 10 to 50% in accuracy compared to gridded data. We conclude with a discussion of applications and limitations of this database.</w:t>
      </w:r>
    </w:p>
    <w:p>
      <w:pPr>
        <w:pStyle w:val="Heading2"/>
      </w:pPr>
      <w:r>
        <w:t>910. Ensemble projections of future streamflow droughts in Europe</w:t>
      </w:r>
    </w:p>
    <w:p>
      <w:pPr>
        <w:pStyle w:val="SourceNote"/>
      </w:pPr>
      <w:r>
        <w:rPr>
          <w:b/>
        </w:rPr>
        <w:t>Original source (2014):</w:t>
      </w:r>
      <w:r>
        <w:t xml:space="preserve"> https://doi.org/10.5194/hess-18-85-2014</w:t>
      </w:r>
    </w:p>
    <w:p>
      <w:pPr/>
      <w:r>
        <w:t>Original wording (abstract; indexed_source_text_not_full_document_verified): Through off-line coupling of a hydrological model with an ensemble of bias-corrected climate simulations (IPCC SRES A1B) and a water use scenario (Economy First), long term (1961–2100) ensemble streamflow simulations are generated that account for changes in climate, and the uncertainty therein, and in water consumption. In order to plan suitable adaptation strategies it is important for decision makers to know how drought conditions will develop at regional scales.</w:t>
      </w:r>
    </w:p>
    <w:p>
      <w:pPr/>
      <w:r>
        <w:rPr>
          <w:b/>
        </w:rPr>
        <w:t>POSSIBLE 2026:</w:t>
      </w:r>
      <w:r>
        <w:t xml:space="preserve"> Towards improved flood prediction: a review of deterministic hydrologic-hydraulic model coupling — https://doi.org/10.1007/s11069-026-07992-3</w:t>
      </w:r>
    </w:p>
    <w:p>
      <w:pPr/>
      <w:r>
        <w:rPr>
          <w:b/>
        </w:rPr>
        <w:t>Shared claim-specific concepts:</w:t>
      </w:r>
      <w:r>
        <w:t xml:space="preserve"> coupling, hydrological; EU scope visible. This is a provisional connection, not an outcome finding.</w:t>
      </w:r>
    </w:p>
    <w:p>
      <w:pPr>
        <w:pStyle w:val="SourceNote"/>
      </w:pPr>
      <w:r>
        <w:rPr>
          <w:b/>
        </w:rPr>
        <w:t>Available abstract (not full text):</w:t>
      </w:r>
      <w:r>
        <w:t xml:space="preserve"> Abstract Flood forecasting is essential for disaster preparedness and risk reduction, particularly in data-scarce regions where purely data-driven models are often infeasible. This scoping review synthesised 94 peer-reviewed studies published between 1994 and 2024, applying the PRISMA framework to trace the evolution of deterministic hydrologic–hydraulic model coupling for flood forecasting. The review shows that HEC-HMS is the most widely used hydrologic model (33%), while HEC-RAS dominates hydraulic applications (45%). Their combination (HEC-HMS + HEC-RAS) appeared in 23 studies and consistently achieved strong predictive performance with coefficients of determination above 0.98 and inundation mapping accuracies of 80–94%. Other effective couplings, such as SWAT–HEC-RAS and CREST–ANUGA, were less frequently applied but demonstrated context-specific advantages. Regional disparities were pronounced, where 78% of studies were concentrated in high-income nations across North America, Europe, and Asia, with Africa contributing fewer than 5%. This imbalance reflects structural barriers such as sparse hydrometric networks, limited access to high-resolution data, and inadequate computational and technical capacity. Case studies from Southern Africa, including the application of HEC-HMS and HEC-RAS in flood-prone catchments, illustrated that deterministic coupling methods can be adapt</w:t>
      </w:r>
    </w:p>
    <w:p>
      <w:pPr/>
      <w:r>
        <w:rPr>
          <w:b/>
        </w:rPr>
        <w:t>POSSIBLE 2026:</w:t>
      </w:r>
      <w:r>
        <w:t xml:space="preserve"> Coupling water balance and vegetation carbon dynamics in a parsimonious global hydrologic model — https://doi.org/10.1016/j.jhydrol.2026.136520</w:t>
      </w:r>
    </w:p>
    <w:p>
      <w:pPr/>
      <w:r>
        <w:rPr>
          <w:b/>
        </w:rPr>
        <w:t>Shared claim-specific concepts:</w:t>
      </w:r>
      <w:r>
        <w:t xml:space="preserve"> coupling, water; EU scope not established. This is a provisional connection, not an outcome finding.</w:t>
      </w:r>
    </w:p>
    <w:p>
      <w:pPr>
        <w:pStyle w:val="SourceNote"/>
      </w:pPr>
      <w:r>
        <w:rPr>
          <w:b/>
        </w:rPr>
        <w:t>Available abstract (not full text):</w:t>
      </w:r>
      <w:r>
        <w:t xml:space="preserve"> Understanding ecohydrological responses to environmental change requires parsimonious models that can represent interactions between water balance and vegetation carbon uptake. Simple conceptual hydrologic models efficiently simulate runoff and evapotranspiration, but they usually lack dynamic vegetation representation. We extend the abcd monthly water-balance model to simulate coupled water–carbon dynamics by integrating the Horton Index framework with a two-parameter Gross Primary Productivity–Evapotranspiration (GPP–ET) functional relationship. The resulting eight-parameter framework is calibrated using observation-constrained runoff and GPP, while ET is withheld from the calibration objective and evaluated independently. Using GSWP3-W5E5 forcing, FLUXCOM-X BASE GPP and ET, and GRUN-ensemble runoff over 235 global basins, we calibrate the model for 2001–2014 and evaluate it independently for 2015–2019. During validation, the model reproduces GPP robustly, with a median Kling–Gupta Efficiency (KGE) of 0.758 and positive KGE in 97.9% of basins. ET performance is also broadly positive despite not being directly calibrated, with a median validation KGE of 0.673 and positive KGE in 87.7% of basins. Runoff skill is moderate and more heterogeneous, with a median validation KGE of 0.435 and positive KGE in 81.7% of basins. Seasonal-cycle and anomaly analyses show that the model stro</w:t>
      </w:r>
    </w:p>
    <w:p>
      <w:pPr/>
      <w:r>
        <w:rPr>
          <w:b/>
        </w:rPr>
        <w:t>POSSIBLE 2026:</w:t>
      </w:r>
      <w:r>
        <w:t xml:space="preserve"> Ecosystem service trade-offs of upstream afforestation: an integrated hydrological-economic assessment in the Sorraia basin, Portugal — https://doi.org/10.3389/fenvs.2026.1838037</w:t>
      </w:r>
    </w:p>
    <w:p>
      <w:pPr/>
      <w:r>
        <w:rPr>
          <w:b/>
        </w:rPr>
        <w:t>Shared claim-specific concepts:</w:t>
      </w:r>
      <w:r>
        <w:t xml:space="preserve"> hydrological, climate, water, use, streamflow; EU scope visible. This is a provisional connection, not an outcome finding.</w:t>
      </w:r>
    </w:p>
    <w:p>
      <w:pPr>
        <w:pStyle w:val="SourceNote"/>
      </w:pPr>
      <w:r>
        <w:rPr>
          <w:b/>
        </w:rPr>
        <w:t>Available abstract (not full text):</w:t>
      </w:r>
      <w:r>
        <w:t xml:space="preserve"> Introduction Across Europe, river basins face growing pressures from pollution, hydrological alteration, water abstraction and climate change, with many failing to achieve good ecological status. Southern Europe is particularly vulnerable due to seasonal water scarcity, erosion-prone soils and intensive land use. Upstream afforestation can improve ecosystem functioning, although outcomes depend on species choice and management, and resulting environmental and economic trade-offs are poorly understood. Methods Using the Sorraia basin (Portugal) as a case study, this study presents a hydrological–economic assessment of upstream afforestation scenarios: expanding eucalyptus plantations (EUCINT) versus restoring native cork-oak forests (RESTOAK) under current and mid-century climate conditions, focusing on streamflow, sediment and phosphorus loads (modelled using SWAT) and related ecosystem services, including agricultural production, reservoir sediment management, water purification and recreation, alongside direct economic returns associated with land-use change. Results The results show that afforestation has limited effects on streamflow (+1% under RESTOAK; up to −9% under EUCINT) compared to projected climate change impacts, but substantially influences sediment and nutrient dynamics. Sediment loads into reservoirs increase by 85–185% under EUCINT but decrease by 36–75% under </w:t>
      </w:r>
    </w:p>
    <w:p>
      <w:pPr/>
      <w:r>
        <w:rPr>
          <w:b/>
        </w:rPr>
        <w:t>POSSIBLE 2025:</w:t>
      </w:r>
      <w:r>
        <w:t xml:space="preserve"> Coupling a power system model with a hydrological model improves the representation of sub-monthly hydropower flexibility — https://doi.org/10.1016/j.apenergy.2025.126694</w:t>
      </w:r>
    </w:p>
    <w:p>
      <w:pPr/>
      <w:r>
        <w:rPr>
          <w:b/>
        </w:rPr>
        <w:t>Shared claim-specific concepts:</w:t>
      </w:r>
      <w:r>
        <w:t xml:space="preserve"> coupling, hydrological, water, account; EU scope visible. This is a provisional connection, not an outcome finding.</w:t>
      </w:r>
    </w:p>
    <w:p>
      <w:pPr>
        <w:pStyle w:val="SourceNote"/>
      </w:pPr>
      <w:r>
        <w:rPr>
          <w:b/>
        </w:rPr>
        <w:t>Available abstract (not full text):</w:t>
      </w:r>
      <w:r>
        <w:t xml:space="preserve"> Integrating large amounts of variable renewable power generation increases the need for flexible resources in the power system. Hydropower can be a precious asset for managing the variability in the grid. However, it will be subject to evolving constraints related to changes in the water resources and the operation of multi-purpose reservoirs. This study explores the value of coupling a power system model with a hydrological model that represents the operation of hydroelectric dams, to simulate an hourly hydropower schedule consistent with a realistic management of the hydropower reservoirs at the national grid level. We model the French power system with the optimization model EOLES-Dispatch and assess the impact of the coupling with the ORCHIDEE model, which represents hydropower management. We find that this new method allows us to simulate a hydropower schedule closer to the observed production, while power system models tend to overestimate the flexibility of hydropower. Considering a prospective 2050 power mix, we also find that accounting for these additional constraints leads to more frequent unsatisfied demand, which is underestimated by the usual representation of hydropower. Such a coupling of hydrological and power system modeling paves the way for a more robust representation of power dispatch in future power mixes, taking into account the joint evolution of water </w:t>
      </w:r>
    </w:p>
    <w:p>
      <w:pPr/>
      <w:r>
        <w:rPr>
          <w:b/>
        </w:rPr>
        <w:t>POSSIBLE 2025:</w:t>
      </w:r>
      <w:r>
        <w:t xml:space="preserve"> Ensemble Methods — https://doi.org/10.1201/9781003587774</w:t>
      </w:r>
    </w:p>
    <w:p>
      <w:pPr/>
      <w:r>
        <w:rPr>
          <w:b/>
        </w:rPr>
        <w:t>Shared claim-specific concepts:</w:t>
      </w:r>
      <w:r>
        <w:t xml:space="preserve"> ensemble, use, first; EU scope not established. This is a provisional connection, not an outcome finding.</w:t>
      </w:r>
    </w:p>
    <w:p>
      <w:pPr>
        <w:pStyle w:val="SourceNote"/>
      </w:pPr>
      <w:r>
        <w:rPr>
          <w:b/>
        </w:rPr>
        <w:t>Available abstract (not full text):</w:t>
      </w:r>
      <w:r>
        <w:t xml:space="preserve"> Ensemble methods that train multiple learners and then combine them to use, with Boosting and Bagging as representatives, are well-known machine learning approaches. It has become common sense that an ensemble is usually significantly more accurate than a single learner, and ensemble methods have already achieved great success in various real-world tasks. Twelve years have passed since the publication of the first edition of the book in 2012 (Japanese and Chinese versions published in 2017 and 2020, respectively). Many significant advances in this field have been developed. First, many theoretical issues have been tackled, for example, the fundamental question of why AdaBoost seems resistant to overfitting gets addressed, so that now we understand much more about the essence of ensemble methods. Second, ensemble methods have been well developed in more machine learning fields, e.g., isolation forest in anomaly detection, so that now we have powerful ensemble methods for tasks beyond conventional supervised learning. Third, ensemble mechanisms have also been found helpful in emerging areas such as deep learning and online learning. This edition expands on the previous one with additional content to reflect the significant advances in the field, and is written in a concise but comprehensive style to be approachable to readers new to the subject.</w:t>
      </w:r>
    </w:p>
    <w:p>
      <w:pPr/>
      <w:r>
        <w:rPr>
          <w:b/>
        </w:rPr>
        <w:t>POSSIBLE 2025:</w:t>
      </w:r>
      <w:r>
        <w:t xml:space="preserve"> Establishment and Evaluation of an Ensemble Bias Correction Framework for the Short-Term Numerical Forecasting on Lower Atmospheric Ducts — https://doi.org/10.3390/jmse13122397</w:t>
      </w:r>
    </w:p>
    <w:p>
      <w:pPr/>
      <w:r>
        <w:rPr>
          <w:b/>
        </w:rPr>
        <w:t>Shared claim-specific concepts:</w:t>
      </w:r>
      <w:r>
        <w:t xml:space="preserve"> ensemble, uncertainty; EU scope not established. This is a provisional connection, not an outcome finding.</w:t>
      </w:r>
    </w:p>
    <w:p>
      <w:pPr>
        <w:pStyle w:val="SourceNote"/>
      </w:pPr>
      <w:r>
        <w:rPr>
          <w:b/>
        </w:rPr>
        <w:t>Available abstract (not full text):</w:t>
      </w:r>
      <w:r>
        <w:t xml:space="preserve"> Based on the COAWST (Coupled Ocean–Atmosphere–Wave–Sediment Transport) model, this study developed an atmospheric refractivity forecasting model incorporating ensemble bias correction by combining five bias correction algorithms with the Bayesian Model Averaging (BMA) method. Hindcast tests conducted over the Yellow Sea and Bohai Sea regions demonstrated that the ensemble bias correction enhanced both forecasting accuracy and adaptability. On the one hand, the corrected forecasting outperformed the original COAWST model in terms of mean error (ME), root mean square error (RMSE), and correlation coefficient (CC), with the RMSE reduced by approximately 20% below 3000 m altitude. On the other hand, the corrected forecasting reduced the uncertainty associated with the performance of different algorithms. In particular, during typhoon events, the corrected forecasting maintained stable bias characteristics across different height layers through dynamic weight adjustment. Throughout the hindcast period, the ME of the corrected forecasting was lower than that of any single bias correction algorithm. Moreover, compared with other ensemble methods, the corrected forecasting developed in this study achieved more flexible weight allocation through Bayesian optimization, resulting in lower ME. In addition, the corrected forecasting maintained an improvement of approximately 28% in bias red</w:t>
      </w:r>
    </w:p>
    <w:p>
      <w:pPr/>
      <w:r>
        <w:rPr>
          <w:b/>
        </w:rPr>
        <w:t>POSSIBLE 2025:</w:t>
      </w:r>
      <w:r>
        <w:t xml:space="preserve"> Hydrological and landscape controls on dissolved organic matter dynamics in European wetlands — https://doi.org/10.31223/x5vv0s</w:t>
      </w:r>
    </w:p>
    <w:p>
      <w:pPr/>
      <w:r>
        <w:rPr>
          <w:b/>
        </w:rPr>
        <w:t>Shared claim-specific concepts:</w:t>
      </w:r>
      <w:r>
        <w:t xml:space="preserve"> hydrological, climate, first; EU scope visible. This is a provisional connection, not an outcome finding.</w:t>
      </w:r>
    </w:p>
    <w:p>
      <w:pPr>
        <w:pStyle w:val="SourceNote"/>
      </w:pPr>
      <w:r>
        <w:rPr>
          <w:b/>
        </w:rPr>
        <w:t>Available abstract (not full text):</w:t>
      </w:r>
      <w:r>
        <w:t xml:space="preserve"> Dissolved organic matter (DOM) is a key component in aquatic ecosystems, representing the main source of energy for microbial metabolism and playing a crucial role in C sequestration and export. Its optical properties (absorption and fluorescence) provide integrated information on its quality (average molecular weight and aromaticity degree, main sources, presence of protein like and humic-like substances). This paper provides an assessment of the impact of catchment characteristics, seasonality and ecological conditions (altered, restored, well-preserved) on DOM dynamics across six European coastal wetlands of contrasting ecological types. DOM concentration and optical properties show inter-wetland differences, with the highest concentrations of DOC in evaporation-driven Mediterranean systems and the lowest ones in Atlantic daily tidally-flushed wetlands. Water-isotope data and optical properties indicate that hydrological confinement, water-residence time and catchment inputs primarily control DOM accumulation and composition, while microbial and photochemical processing modulate its removal within sites. Wetland restoration effects on DOM are evident where hydrological modification reduced eutrophic stress. In evaporation-driven Mediterranean systems, the recovery of more natural flooding regimes limits connectivity and promotes the accumulation of recalcitrant DOM, potentia</w:t>
      </w:r>
    </w:p>
    <w:p>
      <w:pPr/>
      <w:r>
        <w:rPr>
          <w:b/>
        </w:rPr>
        <w:t>POSSIBLE 2024:</w:t>
      </w:r>
      <w:r>
        <w:t xml:space="preserve"> Coupling Deep Learning and Physically Based Hydrological Models for Monthly Streamflow Predictions — https://doi.org/10.1029/2023wr035618</w:t>
      </w:r>
    </w:p>
    <w:p>
      <w:pPr/>
      <w:r>
        <w:rPr>
          <w:b/>
        </w:rPr>
        <w:t>Shared claim-specific concepts:</w:t>
      </w:r>
      <w:r>
        <w:t xml:space="preserve"> coupling, hydrological, first, streamflow; EU scope not established. This is a provisional connection, not an outcome finding.</w:t>
      </w:r>
    </w:p>
    <w:p>
      <w:pPr>
        <w:pStyle w:val="SourceNote"/>
      </w:pPr>
      <w:r>
        <w:rPr>
          <w:b/>
        </w:rPr>
        <w:t>Available abstract (not full text):</w:t>
      </w:r>
      <w:r>
        <w:t xml:space="preserve"> Abstract This study proposes a new hybrid model for monthly streamflow predictions by coupling a physically based distributed hydrological model with a deep learning (DL) model. Specifically, a simplified hydrological model is first developed by optimally selecting grid cells from a distributed hydrological model according to their soil moisture characteristics. It is then driven by bias corrected general circulation model (GCM) predictions to generate soil moistures for the forecasting months. Finally, model‐simulated soil moisture along with other predictors from multiple sources are used as inputs of the DL model to predict future monthly streamflows. The proposed hybrid model, using the simplified Variable Infiltration Capacity (VIC) as the hydrological model and the combination of Convolutional Neural Network and Gated Recurrent Unit (CNN‐GRU) as the DL model, is applied to predict 1‐, 3‐, and 6‐month ahead reservoir inflows for the Danjiangkou Reservoir in China. The results show that the hybrid model consistently performs better than VIC and CNN‐GRU models with great improvement in Kling‐Gupta efficiency (KGE) values for lead times up to 6 months. Additional tests indicate that hybrid models based on CNN‐GRU outperform those based on LASSO, XGBoost, CNN, and GRU models. Moreover, compared with the distributed hydrological model, the hybrid model greatly reduces the compu</w:t>
      </w:r>
    </w:p>
    <w:p>
      <w:pPr/>
      <w:r>
        <w:rPr>
          <w:b/>
        </w:rPr>
        <w:t>POSSIBLE 2024:</w:t>
      </w:r>
      <w:r>
        <w:t xml:space="preserve"> Coupling hydrological and sanitation datasets to simulate wastewater-derived contamination in European rivers: Model development and calibration — https://doi.org/10.1016/j.envsoft.2024.106049</w:t>
      </w:r>
    </w:p>
    <w:p>
      <w:pPr/>
      <w:r>
        <w:rPr>
          <w:b/>
        </w:rPr>
        <w:t>Shared claim-specific concepts:</w:t>
      </w:r>
      <w:r>
        <w:t xml:space="preserve"> coupling, hydrological, water; EU scope visible. This is a provisional connection, not an outcome finding.</w:t>
      </w:r>
    </w:p>
    <w:p>
      <w:pPr>
        <w:pStyle w:val="SourceNote"/>
      </w:pPr>
      <w:r>
        <w:rPr>
          <w:b/>
        </w:rPr>
        <w:t>Available abstract (not full text):</w:t>
      </w:r>
      <w:r>
        <w:t xml:space="preserve"> Wastewater treatment plant (WWTP) discharges of microcontaminants have been shown to have negative impacts on freshwater streams, highlighting the need for accurate mapping of wastewater-derived contamination in water bodies across Europe (EU). In this study, we present a fast and open-source code for a microcontaminants fate and transport (MFT) model, capable of simulating contamination at a high resolution (15 arc second scale) across the EU in just 25 seconds. The model was developed using the best publicly available hydrological (HydroSHEDS) and sanitation (UWWTD) datasets and was rigorously calibrated, with a goodness of fit ([[EQUATION]] of 77.5%) that is the largest reported in the literature for MFT models. Importantly, the model demonstrated the ability to predict wastewater-derived contamination in water bodies, making it a valuable tool for planning the upgrade of WWTPs and improving the ecological condition of freshwater streams in the EU.</w:t>
      </w:r>
    </w:p>
    <w:p>
      <w:pPr/>
      <w:r>
        <w:rPr>
          <w:b/>
        </w:rPr>
        <w:t>POSSIBLE 2024:</w:t>
      </w:r>
      <w:r>
        <w:t xml:space="preserve"> Coupling Hydrological and Economic Model for the Analysis of Staged Growth in Water Management Systems — https://doi.org/10.3390/w16233437</w:t>
      </w:r>
    </w:p>
    <w:p>
      <w:pPr/>
      <w:r>
        <w:rPr>
          <w:b/>
        </w:rPr>
        <w:t>Shared claim-specific concepts:</w:t>
      </w:r>
      <w:r>
        <w:t xml:space="preserve"> coupling, hydrological, water; EU scope not established. This is a provisional connection, not an outcome finding.</w:t>
      </w:r>
    </w:p>
    <w:p>
      <w:pPr>
        <w:pStyle w:val="SourceNote"/>
      </w:pPr>
      <w:r>
        <w:rPr>
          <w:b/>
        </w:rPr>
        <w:t>Available abstract (not full text):</w:t>
      </w:r>
      <w:r>
        <w:t xml:space="preserve"> Planning and managing water resource systems with multipurpose surface reservoirs demand the careful consideration of several critical factors, including system longevity, multiple uses, phased development, substantial financial investments, complex management requirements, uncertainties in predicting future hydrological inputs, and the estimation of economic parameters. Despite the importance of these factors, recent research and software development efforts for water resource system planning and management have predominantly focused on hydrological models. Economic models that describe the phased growth of such systems are often either absent or not fully integrated into decision-making software. Well-established network-based decision support tools, such as MODSIM, AcquaNet, and SIMYLD-II, provide robust hydrological modeling but lack explicit economic sub-models to address the evolving nature of water resource systems over time. This paper introduces a novel approach that combines optimization and simulation techniques to evaluate the multi-year performance of a growing water resource system. By conducting multiple model runs for each phase of system development—each characterized by unique topologies, demand patterns, hydrological conditions, and water delivery preferences—economic analyses are suggested to complete the global evaluation of the system. This comprehensive a</w:t>
      </w:r>
    </w:p>
    <w:p>
      <w:pPr/>
      <w:r>
        <w:rPr>
          <w:b/>
        </w:rPr>
        <w:t>POSSIBLE 2024:</w:t>
      </w:r>
      <w:r>
        <w:t xml:space="preserve"> Enhanced Regional Ocean Ensemble Data Assimilation Through Atmospheric Coupling in the SKRIPS Model — https://doi.org/10.1016/j.ocemod.2024.102424</w:t>
      </w:r>
    </w:p>
    <w:p>
      <w:pPr/>
      <w:r>
        <w:rPr>
          <w:b/>
        </w:rPr>
        <w:t>Shared claim-specific concepts:</w:t>
      </w:r>
      <w:r>
        <w:t xml:space="preserve"> coupling, ensemble; EU scope not established. This is a provisional connection, not an outcome finding.</w:t>
      </w:r>
    </w:p>
    <w:p>
      <w:pPr>
        <w:pStyle w:val="SourceNote"/>
      </w:pPr>
      <w:r>
        <w:rPr>
          <w:b/>
        </w:rPr>
        <w:t>Available abstract (not full text):</w:t>
      </w:r>
      <w:r>
        <w:t xml:space="preserve"> We investigate the impact of ocean data assimilation using the Ensemble Adjustment Kalman Filter (EAKF) from the Data Assimilation Research Testbed (DART) on the oceanic and atmospheric states of the Red Sea. Our study extends the ocean data assimilation experiment performed by Sanikommu et al. (2020) by utilizing the SKRIPS model coupling the MITgcm ocean model and the Weather Research and Forecasting (WRF) atmosphere model. Using a 50-member ensemble, we assimilate satellite-derived sea surface temperature and height and in-situ temperature and salinity profiles every three days for one year, starting January 01 2011. Atmospheric data are not assimilated in the experiments. To improve the ensemble realism, perturbations are added to the WRF model using several physics options and the stochastic kinetic energy backscatter (SKEB) scheme. Compared with the control experiments using uncoupled MITgcm with ECMWF ensemble forcing, the EAKF ensemble mean oceanic states from the coupled model are better or insignificantly worse (root-mean-square-errors are 30% to -2% smaller), especially when the atmospheric model uncertainties are accounted for with stochastic perturbations. We hypothesize that the ensemble spreads of the air–sea fluxes are better represented in the downscaled WRF ensembles when uncertainties are well accounted for, leading to improved representation of the ensemble </w:t>
      </w:r>
    </w:p>
    <w:p>
      <w:pPr/>
      <w:r>
        <w:rPr>
          <w:b/>
        </w:rPr>
        <w:t>POSSIBLE 2024:</w:t>
      </w:r>
      <w:r>
        <w:t xml:space="preserve"> Coupling a large-scale glacier and hydrological model (OGGM v1.5.3 and CWatM V1.08) – towards an improved representation of mountain water resources in global assessments — https://doi.org/10.5194/gmd-17-5123-2024</w:t>
      </w:r>
    </w:p>
    <w:p>
      <w:pPr/>
      <w:r>
        <w:rPr>
          <w:b/>
        </w:rPr>
        <w:t>Shared claim-specific concepts:</w:t>
      </w:r>
      <w:r>
        <w:t xml:space="preserve"> coupling, hydrological, climate, simulations, water; EU scope not established. This is a provisional connection, not an outcome finding.</w:t>
      </w:r>
    </w:p>
    <w:p>
      <w:pPr>
        <w:pStyle w:val="SourceNote"/>
      </w:pPr>
      <w:r>
        <w:rPr>
          <w:b/>
        </w:rPr>
        <w:t>Available abstract (not full text):</w:t>
      </w:r>
      <w:r>
        <w:t xml:space="preserve"> Abstract. Glaciers are present in many large river basins, and due to climate change, they are undergoing considerable changes in terms of area, volume, runoff and seasonality. Although the spatial extent of glaciers is very limited in most large river basins, their role in hydrology can be substantial because glaciers store large amounts of water at varying time scales. Large-scale hydrological models are an important tool to assess climate change impacts on water resources in large river basins worldwide. Nevertheless, glaciers remain poorly represented in large-scale hydrological models. Here we present a coupling between the large-scale glacier model OGGM (v1.5.3) and the large-scale hydrological model CWatM (V1.08). We evaluated the improved glacier representation in the coupled model against the baseline hydrological model for selected river basins at 5 arcmin resolution and globally at 30 arcmin resolution, focusing on discharge projections under climate change scenarios. We find that increases in future discharge are attenuated, whereas decreases are exacerbated when glaciers are represented explicitly in the large-scale hydrological model simulations. This is explained by a projected decrease in glacier runoff in almost all basins. Calibration can compensate for lacking glacier representation in large-scale hydrological models in the past. Nevertheless, only an improve</w:t>
      </w:r>
    </w:p>
    <w:p>
      <w:pPr>
        <w:pStyle w:val="Heading2"/>
      </w:pPr>
      <w:r>
        <w:t>911. Environmental water quantity projections under market-driven and sustainability-driven future scenarios in the Narew basin, Poland</w:t>
      </w:r>
    </w:p>
    <w:p>
      <w:pPr>
        <w:pStyle w:val="SourceNote"/>
      </w:pPr>
      <w:r>
        <w:rPr>
          <w:b/>
        </w:rPr>
        <w:t>Original source (2014):</w:t>
      </w:r>
      <w:r>
        <w:t xml:space="preserve"> https://doi.org/10.1080/02626667.2014.888068</w:t>
      </w:r>
    </w:p>
    <w:p>
      <w:pPr/>
      <w:r>
        <w:t>Original wording (abstract; indexed_source_text_not_full_document_verified): The aim of this article is to assess the impact of four scenarios combining possible changes in climate, atmospheric carbon dioxide, land use and water use by 2050, on the specific set of ecologically relevant flow regime indicators that define environmental flow requirements in a semi-natural river basin in Poland.</w:t>
      </w:r>
    </w:p>
    <w:p>
      <w:pPr/>
      <w:r>
        <w:rPr>
          <w:b/>
        </w:rPr>
        <w:t>POSSIBLE 2026:</w:t>
      </w:r>
      <w:r>
        <w:t xml:space="preserve"> Assessing the quality of life in Central and Eastern Europe: a comparative analysis — https://doi.org/10.34659/eis.2026.96.1.1083</w:t>
      </w:r>
    </w:p>
    <w:p>
      <w:pPr/>
      <w:r>
        <w:rPr>
          <w:b/>
        </w:rPr>
        <w:t>Shared claim-specific concepts:</w:t>
      </w:r>
      <w:r>
        <w:t xml:space="preserve"> aim, article, assess, indicators, environmental; EU scope visible. This is a provisional connection, not an outcome finding.</w:t>
      </w:r>
    </w:p>
    <w:p>
      <w:pPr>
        <w:pStyle w:val="SourceNote"/>
      </w:pPr>
      <w:r>
        <w:rPr>
          <w:b/>
        </w:rPr>
        <w:t>Available abstract (not full text):</w:t>
      </w:r>
      <w:r>
        <w:t xml:space="preserve"> The aim of this article is to assess the quality of life (QoL) in Central and Eastern Europe through a comparative analysis that identifies key determinants of well-being and evaluates their relative importance across countries. The study situates the assessment within the unique historical and socio-economic transformation of the region, from centrally planned economies to market-oriented systems and subsequent integration into the European Union. Using 42 indicators grouped into thematic domains, material living conditions, health, education, labour activity, safety, governance, and the environment, the research applies descriptive statistics and the TOPSIS (Technique for Order Preference by Similarity to Ideal Solution) method to construct a composite QoL index and rank eleven countries according to their performance. The findings reveal substantial disparities, with Estonia and Lithuania achieving the highest QoL scores, while Romania and Bulgaria lag behind. The results highlight the decisive influence of income levels, healthcare accessibility, educational attainment, and environmental quality on overall well-being. The paper concludes with evidence-based policy implications, emphasising investment in education, healthcare systems, sustainable infrastructure, and environmental protection as essential pathways to more balanced and inclusive development across the region.</w:t>
      </w:r>
    </w:p>
    <w:p>
      <w:pPr/>
      <w:r>
        <w:rPr>
          <w:b/>
        </w:rPr>
        <w:t>POSSIBLE 2026:</w:t>
      </w:r>
      <w:r>
        <w:t xml:space="preserve"> Repertoires of resistance: The right to feel in European radical climate movements — https://doi.org/10.1177/00113921261480606</w:t>
      </w:r>
    </w:p>
    <w:p>
      <w:pPr/>
      <w:r>
        <w:rPr>
          <w:b/>
        </w:rPr>
        <w:t>Shared claim-specific concepts:</w:t>
      </w:r>
      <w:r>
        <w:t xml:space="preserve"> aim, article, four, combining, climate; EU scope visible. This is a provisional connection, not an outcome finding.</w:t>
      </w:r>
    </w:p>
    <w:p>
      <w:pPr>
        <w:pStyle w:val="SourceNote"/>
      </w:pPr>
      <w:r>
        <w:rPr>
          <w:b/>
        </w:rPr>
        <w:t>Available abstract (not full text):</w:t>
      </w:r>
      <w:r>
        <w:t xml:space="preserve"> This article examines the production of emotional and symbolic forms of dissent by four climate movements (Just Stop Oil, Extinction Rebellion Italia, Letzte Generation, and Ultima Generazione). Adopting a mixed-methods approach combining sentiment analysis, emotion detection, and socio-semiotic visual analysis, the study examines 1143 press releases (2022–2025) along with 12 protest images, highlighting the digital-embodied protest link, with the aim of exploring the following questions: How do youth-led radical climate movements reconfigure the emotional and symbolic dimensions of socio-ecological practices? In what ways are emotional repertoires articulated across interconnected digital and visual forms of climate protest? The article aims to make three contributions. First, it proposes the concept of “right to feel” as a sociological lens for analysing emotional legitimacy in climate activism. Second, it combines Natural Language Processing and socio-semiotic analysis within a mixed-methods framework. By integrating computational text analysis with socio-semiotic visual interpretation, the article aims to investigate how emotional repertoires shape the public interpretation of ecological crises and support struggles over the public legitimacy of climate emotions. Third, it compares four European radical climate movements across three national contexts. Findings suggest a pr</w:t>
      </w:r>
    </w:p>
    <w:p>
      <w:pPr/>
      <w:r>
        <w:rPr>
          <w:b/>
        </w:rPr>
        <w:t>POSSIBLE 2025:</w:t>
      </w:r>
      <w:r>
        <w:t xml:space="preserve"> Assessing human-caused wildfire ignition likelihood across Europe — https://doi.org/10.5194/nhess-25-4713-2025</w:t>
      </w:r>
    </w:p>
    <w:p>
      <w:pPr/>
      <w:r>
        <w:rPr>
          <w:b/>
        </w:rPr>
        <w:t>Shared claim-specific concepts:</w:t>
      </w:r>
      <w:r>
        <w:t xml:space="preserve"> land, set, relevant; EU scope visible. This is a provisional connection, not an outcome finding.</w:t>
      </w:r>
    </w:p>
    <w:p>
      <w:pPr>
        <w:pStyle w:val="SourceNote"/>
      </w:pPr>
      <w:r>
        <w:rPr>
          <w:b/>
        </w:rPr>
        <w:t>Available abstract (not full text):</w:t>
      </w:r>
      <w:r>
        <w:t xml:space="preserve"> Abstract. This study features a cohesive modelling approach of human-caused wildfire ignitions applied to a set of representative regions in terms of fire activity across Europe (pilot sites, PS). Our main goal was to develop a common approach to model human-caused ignition probability at a fine-grained spatial resolution (100 m) and identify the main drivers of their emerge. Specifically, we (i) ascertain which factors influence ignitions in each PS; (ii) deliver a spatial-explicit representation of ignition probability, and (iii) provide a framework for comparison with regional-scale models among PS. To do so, we calibrated Random Forest models from historical fire records compiled by local fire agencies, and geospatial layers of land cover, accessibility, population density and dead fine-fuel moisture content (DFMC). Models were built individually for each PS, comparing them with a full model constructed from all PS. Furthermore, special attention was given to the effect of spatial autocorrelation in model performance. All models achieved sufficient predictive performance (AUCs from 0.70 to 0.89). For all PS models, the yearly anomaly in DFMC was the most influential variable. Among human-related factors, distance to the Wildland Urban Interface emerged as the most relevant variable, followed by proximity to roads, population density, and the fraction of wildland coverage. T</w:t>
      </w:r>
    </w:p>
    <w:p>
      <w:pPr/>
      <w:r>
        <w:rPr>
          <w:b/>
        </w:rPr>
        <w:t>POSSIBLE 2024:</w:t>
      </w:r>
      <w:r>
        <w:t xml:space="preserve"> Assessing Current Coastal Subsidence at Continental Scale: Insights From Europe Using the European Ground Motion Service — https://doi.org/10.1029/2024ef004523</w:t>
      </w:r>
    </w:p>
    <w:p>
      <w:pPr/>
      <w:r>
        <w:rPr>
          <w:b/>
        </w:rPr>
        <w:t>Shared claim-specific concepts:</w:t>
      </w:r>
      <w:r>
        <w:t xml:space="preserve"> assess, climate, land; EU scope visible. This is a provisional connection, not an outcome finding.</w:t>
      </w:r>
    </w:p>
    <w:p>
      <w:pPr>
        <w:pStyle w:val="SourceNote"/>
      </w:pPr>
      <w:r>
        <w:rPr>
          <w:b/>
        </w:rPr>
        <w:t>Available abstract (not full text):</w:t>
      </w:r>
      <w:r>
        <w:t xml:space="preserve"> Abstract Beside climate‐change‐induced sea‐level rise (SLR), land subsidence can strongly amplify coastal risk in flood‐prone areas. Mapping and quantifying contemporary vertical land motion (VLM) at continental scales has long been a challenge due to the absence of gridded observational products covering these large domains. Here, we fill this gap by using the new European Ground Motion Service (EGMS) to assess the current state of coastal VLM in Europe. First, we compare the InSAR‐based EGMS Ortho (Level 3) with nearby global navigation satellite systems (GNSS) vertical velocity estimates and show that the geodetic reference frame used to calibrate EGMS strongly influences coastal vertical land velocity estimates at the millimeter per year level and this needs to be considered with caution. After adjusting the EGMS vertical velocity estimates to a more updated and accurate International Terrestrial Reference Frame (ITRF2014), we performed an assessment of VLM in European low elevation coastal flood plains (CFPs). We find that nearly half of the European CFP area is, on average, subsiding at a rate faster than 1 mm/yr. More importantly, we find that urban areas and populations located in the CFP experience a near −1 mm/yr VLM on average (excluding the uplifting Fennoscandia region). For harbors, the average VLM is even larger and increases to −1.5 mm/yr on average. This demons</w:t>
      </w:r>
    </w:p>
    <w:p>
      <w:pPr/>
      <w:r>
        <w:rPr>
          <w:b/>
        </w:rPr>
        <w:t>POSSIBLE 2024:</w:t>
      </w:r>
      <w:r>
        <w:t xml:space="preserve"> Multifaceted Conscription: A Comparative Study of Six European Countries — https://doi.org/10.31374/sjms.166</w:t>
      </w:r>
    </w:p>
    <w:p>
      <w:pPr/>
      <w:r>
        <w:rPr>
          <w:b/>
        </w:rPr>
        <w:t>Shared claim-specific concepts:</w:t>
      </w:r>
      <w:r>
        <w:t xml:space="preserve"> article, four, combining; EU scope visible. This is a provisional connection, not an outcome finding.</w:t>
      </w:r>
    </w:p>
    <w:p>
      <w:pPr>
        <w:pStyle w:val="SourceNote"/>
      </w:pPr>
      <w:r>
        <w:rPr>
          <w:b/>
        </w:rPr>
        <w:t>Available abstract (not full text):</w:t>
      </w:r>
      <w:r>
        <w:t xml:space="preserve"> Although the last few decades have witnessed a shift from conscription to all-volunteer forces in many European countries, recent changes in the European security environment have raised new concerns and prompted several countries to reconsider conscription. However, modern conscription systems have also had to adapt to changing societies and an increasing emphasis on individualistic and neoliberal values. This study aims to examine the various forms of military conscription and illuminate the continuing viability of the conscription model in six European countries: Estonia, Finland, Lithuania, Norway, Sweden, and Switzerland. Four of these countries have consistently maintained conscription (Estonia, Finland, Norway, and Switzerland), while Lithuania and Sweden have recently reinstated conscription. Although conscription systems differ among these countries, there is overall an increasing emphasis on conscript motivation and female participation. Three key aspects are identified to describe different conscription systems: the proportion of conscripted individuals in the birth cohort, motivation to serve, and the approach to female conscripts. Combining these aspects, the study identifies three types of conscription system in these six countries. This article demonstrates that conscription has evolved and adapted to changing societies and security situations instead of merely r</w:t>
      </w:r>
    </w:p>
    <w:p>
      <w:pPr/>
      <w:r>
        <w:rPr>
          <w:b/>
        </w:rPr>
        <w:t>POSSIBLE 2024:</w:t>
      </w:r>
      <w:r>
        <w:t xml:space="preserve"> Assessing the Causal Impact of Culture on Socio-economic Variables in European Countries — https://doi.org/10.1177/02601079241232775</w:t>
      </w:r>
    </w:p>
    <w:p>
      <w:pPr/>
      <w:r>
        <w:rPr>
          <w:b/>
        </w:rPr>
        <w:t>Shared claim-specific concepts:</w:t>
      </w:r>
      <w:r>
        <w:t xml:space="preserve"> article, assess, set, indicators; EU scope visible. This is a provisional connection, not an outcome finding.</w:t>
      </w:r>
    </w:p>
    <w:p>
      <w:pPr>
        <w:pStyle w:val="SourceNote"/>
      </w:pPr>
      <w:r>
        <w:rPr>
          <w:b/>
        </w:rPr>
        <w:t>Available abstract (not full text):</w:t>
      </w:r>
      <w:r>
        <w:t xml:space="preserve"> Despite the growing attention to the impact of culture on socio-economic indicators, there is a lack of causality evidence. Scholars have noted that cultural values or norms, as well as, a vibrant cultural environment can have a positive impact on GDP growth, labour productivity, the attraction of human capital and the improvement of human well-being. However, the issue of endogeneity is not thoroughly debated. Not only can culture impact economic development, but socio-economic environment also affects the cultural indicators. Therefore, it is essential to identify the causal effects of culture. This article aims to assess whether culture has a causal impact on socio-economic variables. The Granger procedure is utilised to evaluate causal relationships, describing the cultural environment with a comprehensive set of 45 cultural indicators across 30 European countries. This enables the comparison of the relationship between culture and socio-economic variables using the same method across different countries. Additionally, cultural indices are constructed. The research is extended by employing a panel vector autoregression (VAR) model. The key finding of this article demonstrates a causal impact of culture on socio-economic indicators, confirmed by both the Granger procedure and panel VAR estimations. JEL Code: Z1</w:t>
      </w:r>
    </w:p>
    <w:p>
      <w:pPr/>
      <w:r>
        <w:rPr>
          <w:b/>
        </w:rPr>
        <w:t>POSSIBLE 2024:</w:t>
      </w:r>
      <w:r>
        <w:t xml:space="preserve"> Digital divide in the european union: assessing spatial disparities and neighborhood effects — https://doi.org/10.2298/ijgi2402181t</w:t>
      </w:r>
    </w:p>
    <w:p>
      <w:pPr/>
      <w:r>
        <w:rPr>
          <w:b/>
        </w:rPr>
        <w:t>Shared claim-specific concepts:</w:t>
      </w:r>
      <w:r>
        <w:t xml:space="preserve"> article, assess; EU scope visible. This is a provisional connection, not an outcome finding.</w:t>
      </w:r>
    </w:p>
    <w:p>
      <w:pPr>
        <w:pStyle w:val="SourceNote"/>
      </w:pPr>
      <w:r>
        <w:rPr>
          <w:b/>
        </w:rPr>
        <w:t>Available abstract (not full text):</w:t>
      </w:r>
      <w:r>
        <w:t xml:space="preserve"> This article aims to investigate whether the digital inequality within the European Union (EU) has been reduced in the period 2017-2022. The goal of the study is to measure the dynamics of EU digital inequality and assess the effectiveness of the EU supranational bodies in reducing digital disparities. The author seeks to determine if the dynamics of this divide have been influenced by the EU's supranational policy fostering digital transformation by juxtaposing EU financing of digital transformation and spatial disparities among EU members based on Digital Economy and Society Index (DESI) and its components. The study reveals that, despite the fact that the agenda of digital divide reduction has been in the focus of the European supranational bodies within the last 22 years, the funding of digital transformation was neither adequate in terms of volumes nor consistent. The main beneficiaries were the EU members located in Western and Southern Europe and the least supported area was the members in Eastern Europe. In addition, using spatial econometric analysis, the author proves that the spatial digital divide has decreased in the period 2017-2022 and coincides only partially with the conventional cleavage ?developed North &amp; West VS lagging South &amp; East?. However, as the correlation analysis shows, the EU financial support of digital transformation had a slight positive impact o</w:t>
      </w:r>
    </w:p>
    <w:p>
      <w:pPr/>
      <w:r>
        <w:rPr>
          <w:b/>
        </w:rPr>
        <w:t>POSSIBLE 2024:</w:t>
      </w:r>
      <w:r>
        <w:t xml:space="preserve"> The European Parliament as the voice of the European citizens? Examining the European Parliament’s role as a representative of the European citizens in the 2019 elections — https://doi.org/10.36253/qoe-15524</w:t>
      </w:r>
    </w:p>
    <w:p>
      <w:pPr/>
      <w:r>
        <w:rPr>
          <w:b/>
        </w:rPr>
        <w:t>Shared claim-specific concepts:</w:t>
      </w:r>
      <w:r>
        <w:t xml:space="preserve"> article, assess; EU scope visible. This is a provisional connection, not an outcome finding.</w:t>
      </w:r>
    </w:p>
    <w:p>
      <w:pPr>
        <w:pStyle w:val="SourceNote"/>
      </w:pPr>
      <w:r>
        <w:rPr>
          <w:b/>
        </w:rPr>
        <w:t>Available abstract (not full text):</w:t>
      </w:r>
      <w:r>
        <w:t xml:space="preserve"> The European Parliament is considered a solution to the democratic deficit because the citizens of the EU directly elect it. This article aims to examine the validity of this claim. Concerning representativeness, the focus is on the homogeneity of rules and procedures used for electing the members of the European Parliament (MEPs). This homogeneity is considered as necessary for the EP to represent the EU citizens. Thus, it aims to assess the impact of the United Kingdom's withdrawal from the European Union on the level of homogeneity of the rules used to conduct the 2019 European Parliament elections. This work claims that the European Parliament's role as representative of European Citizens is weakened by the consistent level of heterogeneity characterising the electoral rules used to elect it and that the withdrawal of the UK and the partial redistribution of seats simultaneously increased and decreased the level of homogeneity of the rules used to elect the MEPs.</w:t>
      </w:r>
    </w:p>
    <w:p>
      <w:pPr/>
      <w:r>
        <w:rPr>
          <w:b/>
        </w:rPr>
        <w:t>POSSIBLE 2023:</w:t>
      </w:r>
      <w:r>
        <w:t xml:space="preserve"> Assessing the energy security of European Union countries from two perspectives – A new integrated approach based on MCDM methods — https://doi.org/10.1016/j.apenergy.2023.121443</w:t>
      </w:r>
    </w:p>
    <w:p>
      <w:pPr/>
      <w:r>
        <w:rPr>
          <w:b/>
        </w:rPr>
        <w:t>Shared claim-specific concepts:</w:t>
      </w:r>
      <w:r>
        <w:t xml:space="preserve"> article, climate, use, environmental; EU scope visible. This is a provisional connection, not an outcome finding.</w:t>
      </w:r>
    </w:p>
    <w:p>
      <w:pPr>
        <w:pStyle w:val="SourceNote"/>
      </w:pPr>
      <w:r>
        <w:rPr>
          <w:b/>
        </w:rPr>
        <w:t>Available abstract (not full text):</w:t>
      </w:r>
      <w:r>
        <w:t xml:space="preserve"> The subject of this article concerns a crucial issue of energy security in the European Union countries, especially during the war in Ukraine. The paper presents the results of a study aimed at assessing the level of energy security of EU-27 countries from two perspectives (for two variants of analysis). The first variant assesses the level of energy security of EU-27 countries, which is derived from a traditional approach related to the availability of energy sources at affordable prices (energy and economic factors). The second variant assesses the level of energy security from the perspective of sustainable development, the so-called sustainable energy security, which, in addition to energy and economic factors, also takes into account environmental and social factors. The multi-criteria nature of the subject matter undertaken determined the adoption of methodology based on Multiple-criteria decision-making methods (MCDM) for the study. Also, the author's integrated approach based on indicator weighting methods and MCDM methods was used. The CRiteria Importance Through Intercriteria Correlation (CRITIC) and standard deviation (SD) methods were utilized to determine indicator weights, and the Grey relational analysis (GRA) and the Technique for Order of Preference by Similarity to Ideal Solution (TOPSIS) methods were used for the core part of the research. Based on the propos</w:t>
      </w:r>
    </w:p>
    <w:p>
      <w:pPr/>
      <w:r>
        <w:rPr>
          <w:b/>
        </w:rPr>
        <w:t>POSSIBLE 2023:</w:t>
      </w:r>
      <w:r>
        <w:t xml:space="preserve"> Foraging Practices and Sustainable Management of Wild Food Resources in Europe: A Systematic Review — https://doi.org/10.3390/land12071299</w:t>
      </w:r>
    </w:p>
    <w:p>
      <w:pPr/>
      <w:r>
        <w:rPr>
          <w:b/>
        </w:rPr>
        <w:t>Shared claim-specific concepts:</w:t>
      </w:r>
      <w:r>
        <w:t xml:space="preserve"> aim, article, land, use; EU scope visible. This is a provisional connection, not an outcome finding.</w:t>
      </w:r>
    </w:p>
    <w:p>
      <w:pPr>
        <w:pStyle w:val="SourceNote"/>
      </w:pPr>
      <w:r>
        <w:rPr>
          <w:b/>
        </w:rPr>
        <w:t>Available abstract (not full text):</w:t>
      </w:r>
      <w:r>
        <w:t xml:space="preserve"> Wild food gathering activities (i.e., foraging practices) played an important role in securing food in the past. Nowadays, these resources and the knowledge around their use are experiencing a process of erosion. This article aims to identify the factors explaining the abandonment or, on the other hand, the preservation of foraging practices in Europe. The second aim is to analyze how these practices contribute to the economic and social development of local communities and to the sustainability of land management. A systematic review of the literature on European foraging practices was performed to answer these research questions. Following this approach, 111 publications were selected and analyzed. The results highlight that the reasons for the abandonment of foraging practices are related to socio-economic changes as well as changes in the environment such as reduced availability and land-use change. On the other hand, heritagization processes of these resources, such as wild plants sold as traditional local products, in restaurants, or as eco-tourism experiences, are emerging. The sustainability of these practices has not been widely evaluated in the literature. Efficient management strategies of wild food resources could help foster all three dimensions of sustainability at the local level, as well as help preserve traditional knowledge. This systematic review thus contrib</w:t>
      </w:r>
    </w:p>
    <w:p>
      <w:pPr/>
      <w:r>
        <w:rPr>
          <w:b/>
        </w:rPr>
        <w:t>POSSIBLE 2023:</w:t>
      </w:r>
      <w:r>
        <w:t xml:space="preserve"> Review article: A European perspective on wind and storm damage – from the meteorological background to index-based approaches to assess impacts — https://doi.org/10.5194/nhess-23-2171-2023</w:t>
      </w:r>
    </w:p>
    <w:p>
      <w:pPr/>
      <w:r>
        <w:rPr>
          <w:b/>
        </w:rPr>
        <w:t>Shared claim-specific concepts:</w:t>
      </w:r>
      <w:r>
        <w:t xml:space="preserve"> article, assess, land; EU scope visible. This is a provisional connection, not an outcome finding.</w:t>
      </w:r>
    </w:p>
    <w:p>
      <w:pPr>
        <w:pStyle w:val="SourceNote"/>
      </w:pPr>
      <w:r>
        <w:rPr>
          <w:b/>
        </w:rPr>
        <w:t>Available abstract (not full text):</w:t>
      </w:r>
      <w:r>
        <w:t xml:space="preserve"> Abstract. Wind and windstorms cause severe damage to natural and human-made environments. Thus, wind-related risk assessment is vital for the preparation and mitigation of calamities. However, the cascade of events leading to damage depends on many factors that are environment-specific and the available methods to address wind-related damage often require sophisticated analysis and specialization. Fortunately, simple indices and thresholds are as effective as complex mechanistic models for many applications. Nonetheless, the multitude of indices and thresholds available requires a careful selection process according to the target environment. Here, we first provide a basic background on wind and storm formation and characteristics, followed by a comprehensive collection of both indices and thresholds that can be used to predict the occurrence and magnitude of wind and storm damage. We focused on five key environments: forests, urban, transport, agriculture, and wind-based energy production. For each environment we described indices and thresholds relating to physical properties such as topography and land cover but also to economic aspects (e.g. disruptions in transportation or energy production). In the face of increased climatic variability, the promotion of more effective analysis of wind and storm damage could reduce the impact on society and the environment.</w:t>
      </w:r>
    </w:p>
    <w:p>
      <w:pPr/>
      <w:r>
        <w:rPr>
          <w:b/>
        </w:rPr>
        <w:t>POSSIBLE 2022:</w:t>
      </w:r>
      <w:r>
        <w:t xml:space="preserve"> Governing artificial intelligence in China and the European Union: Comparing aims and promoting ethical outcomes — https://doi.org/10.1080/01972243.2022.2124565</w:t>
      </w:r>
    </w:p>
    <w:p>
      <w:pPr/>
      <w:r>
        <w:rPr>
          <w:b/>
        </w:rPr>
        <w:t>Shared claim-specific concepts:</w:t>
      </w:r>
      <w:r>
        <w:t xml:space="preserve"> aim, article, use; EU scope visible. This is a provisional connection, not an outcome finding.</w:t>
      </w:r>
    </w:p>
    <w:p>
      <w:pPr>
        <w:pStyle w:val="SourceNote"/>
      </w:pPr>
      <w:r>
        <w:rPr>
          <w:b/>
        </w:rPr>
        <w:t>Available abstract (not full text):</w:t>
      </w:r>
      <w:r>
        <w:t xml:space="preserve"> In this article, we compare the artificial intelligence strategies of China and the European Union, assessing the key similarities and differences regarding what the high-level aims of each governance strategy are, how the development and use of AI is promoted in the public and private sectors, and whom these policies are meant to benefit. We characterize China’s strategy by its primary focus on fostering innovation and a more recent emphasis on “common prosperity,” and the EU’s on promoting ethical outcomes through protecting fundamental rights. Building on this comparative analysis, we consider the areas where the EU and China could learn from and improve upon each other’s approaches to AI governance to promote more ethical outcomes. We outline policy recommendations for both European and Chinese policymakers that would support them in achieving this aim.</w:t>
      </w:r>
    </w:p>
    <w:p>
      <w:pPr>
        <w:pStyle w:val="Heading2"/>
      </w:pPr>
      <w:r>
        <w:t>912. European packaging industry foresight study—identifying global drivers and driven packaging industry implications of the global megatrends</w:t>
      </w:r>
    </w:p>
    <w:p>
      <w:pPr>
        <w:pStyle w:val="SourceNote"/>
      </w:pPr>
      <w:r>
        <w:rPr>
          <w:b/>
        </w:rPr>
        <w:t>Original source (2014):</w:t>
      </w:r>
      <w:r>
        <w:t xml:space="preserve"> https://doi.org/10.1007/s40309-014-0039-4</w:t>
      </w:r>
    </w:p>
    <w:p>
      <w:pPr/>
      <w:r>
        <w:t>Original wording (abstract; indexed_source_text_not_full_document_verified): The potential packaging implications of those trends and drivers are then evaluated to highlight potential future demands, opportunities and threats for packaging. The purpose of the research is to provide a common multi-client platform as a base for further applied foresight work in the packaging sector.</w:t>
      </w:r>
    </w:p>
    <w:p>
      <w:pPr/>
      <w:r>
        <w:rPr>
          <w:b/>
        </w:rPr>
        <w:t>POSSIBLE 2026:</w:t>
      </w:r>
      <w:r>
        <w:t xml:space="preserve"> Environmental consequences of replacing polyethylene packaging in the United States and Europe — https://doi.org/10.1016/j.resenv.2026.100390</w:t>
      </w:r>
    </w:p>
    <w:p>
      <w:pPr/>
      <w:r>
        <w:rPr>
          <w:b/>
        </w:rPr>
        <w:t>Shared claim-specific concepts:</w:t>
      </w:r>
      <w:r>
        <w:t xml:space="preserve"> potential, packaging, implications; EU scope visible. This is a provisional connection, not an outcome finding.</w:t>
      </w:r>
    </w:p>
    <w:p>
      <w:pPr>
        <w:pStyle w:val="SourceNote"/>
      </w:pPr>
      <w:r>
        <w:rPr>
          <w:b/>
        </w:rPr>
        <w:t>Available abstract (not full text):</w:t>
      </w:r>
      <w:r>
        <w:t xml:space="preserve"> Substituting plastic packaging with alternative materials is increasingly promoted as a strategy to reduce environmental burdens and support resource conservation, yet broader trade-offs remain insufficiently understood. This study evaluates potential environmental consequences of replacing polyethylene (PE) packaging with alternatives in the U.S. and Europe using comparative life cycle assessment. Cradle-to-end-of-life impacts were assessed for five major packaging applications using region-specific inventories and midpoint indicators for global warming potential, acidification, eutrophication, water use, land use, and fossil resource use. PE demand and substitution scenarios were projected to 2030 to examine implications for material demand and resource-related impacts. Across most applications and impact categories assessed, PE packaging showed lower potential environmental impacts than paper, glass, and metal alternatives. Substitution could increase packaging mass by up to five to six times and double global warming potential, with increases of 190% in the U.S. and 50% in Europe. These findings indicate that material substitution alone is not necessarily a resource-efficient or environmentally preferable strategy. Packaging decisions and policies should therefore be guided by functionally equivalent, region-specific life cycle data that accounts for burden shifting across </w:t>
      </w:r>
    </w:p>
    <w:p>
      <w:pPr/>
      <w:r>
        <w:rPr>
          <w:b/>
        </w:rPr>
        <w:t>POSSIBLE 2025:</w:t>
      </w:r>
      <w:r>
        <w:t xml:space="preserve"> Impact of emerging packaging regulations on international trade and product safety with emphasis on plastic reuse and recycling in Europe and North America — https://doi.org/10.1111/jiec.70079</w:t>
      </w:r>
    </w:p>
    <w:p>
      <w:pPr/>
      <w:r>
        <w:rPr>
          <w:b/>
        </w:rPr>
        <w:t>Shared claim-specific concepts:</w:t>
      </w:r>
      <w:r>
        <w:t xml:space="preserve"> potential, packaging, implications, those; EU scope visible. This is a provisional connection, not an outcome finding.</w:t>
      </w:r>
    </w:p>
    <w:p>
      <w:pPr>
        <w:pStyle w:val="SourceNote"/>
      </w:pPr>
      <w:r>
        <w:rPr>
          <w:b/>
        </w:rPr>
        <w:t>Available abstract (not full text):</w:t>
      </w:r>
      <w:r>
        <w:t xml:space="preserve"> Abstract The evolving global landscape of packaging regulations, driven by heightened public concern over single‐use packaging and plastic waste, signals a significant shift toward circular economy principles. These regulatory changes, including the United Nations Environmental Programme's endorsement of a legally binding international agreement on plastic waste management, are expected to have far‐reaching impacts on product safety, packaging design, and global trade. The newly adopted and emerging policies prioritize waste reduction, reuse, recycling, and the integration of recycled materials. However, the rapid introduction of environmentally driven packaging regulations—especially those targeting sensitive sectors like food and cosmetics—presents potential risks for product/packaging safety and food waste, alongside challenges for trade harmonization across regions with divergent regulatory goals. This forum article reviews key regulatory frameworks from Asia, Europe, and the Americas, detailing material bans, reuse and refill targets, recycling mandates, and extended producer responsibility initiatives. It examines the potential impact of these regulations on global trade dynamics and their implications for universally accepted safety standards. Despite the well‐meaning intent behind these laws, gaps in understanding the protective role of packaging and its broader environ</w:t>
      </w:r>
    </w:p>
    <w:p>
      <w:pPr/>
      <w:r>
        <w:rPr>
          <w:b/>
        </w:rPr>
        <w:t>POSSIBLE 2025:</w:t>
      </w:r>
      <w:r>
        <w:t xml:space="preserve"> Assessing Ochratoxin A Contamination in Pre-Packaged Grated Cheese: Implications for Food Safety — https://doi.org/10.3390/foods14091504</w:t>
      </w:r>
    </w:p>
    <w:p>
      <w:pPr/>
      <w:r>
        <w:rPr>
          <w:b/>
        </w:rPr>
        <w:t>Shared claim-specific concepts:</w:t>
      </w:r>
      <w:r>
        <w:t xml:space="preserve"> potential, implications, common, sector; EU scope visible. This is a provisional connection, not an outcome finding.</w:t>
      </w:r>
    </w:p>
    <w:p>
      <w:pPr>
        <w:pStyle w:val="SourceNote"/>
      </w:pPr>
      <w:r>
        <w:rPr>
          <w:b/>
        </w:rPr>
        <w:t>Available abstract (not full text):</w:t>
      </w:r>
      <w:r>
        <w:t xml:space="preserve"> Cheese is a globally consumed dairy product, with Europe leading the world in its consumption. Italy, as the third-largest cheese producer within the European Union, plays a crucial role in the sector, particularly through its production of Protected Designation of Origin (P.D.O.) cheeses, including Grana Padano and Parmigiano Reggiano. These hard cheeses are widely utilized in pre-packaged grated cheese products, owing to their broad appeal and recognized quality. While mold is a common and often necessary component in cheese production for the development of flavor and texture, fungal growth can also detrimentally affect the quality of cheese, potentially causing economic losses and posing food safety risks. Some molds are capable of producing mycotoxins, such as ochratoxin A (OTA), a toxic compound that has been identified in cheese. This study aims to quantitatively assess the prevalence of OTA contamination in various pre-packaged grated cheese products using the high-performance liquid chromatography method while also exploring the potential implications for food safety. The results revealed a high incidence of OTA, with 97.6% of the samples tested positive for contamination, ranging from below the limit of detection (</w:t>
      </w:r>
    </w:p>
    <w:p>
      <w:pPr/>
      <w:r>
        <w:rPr>
          <w:b/>
        </w:rPr>
        <w:t>POSSIBLE 2025:</w:t>
      </w:r>
      <w:r>
        <w:t xml:space="preserve"> Key drivers of the future European printed packaging market — https://doi.org/10.59476/ilpmt2025.36-48</w:t>
      </w:r>
    </w:p>
    <w:p>
      <w:pPr/>
      <w:r>
        <w:rPr>
          <w:b/>
        </w:rPr>
        <w:t>Shared claim-specific concepts:</w:t>
      </w:r>
      <w:r>
        <w:t xml:space="preserve"> packaging, drivers, sector; EU scope visible. This is a provisional connection, not an outcome finding.</w:t>
      </w:r>
    </w:p>
    <w:p>
      <w:pPr>
        <w:pStyle w:val="SourceNote"/>
      </w:pPr>
      <w:r>
        <w:rPr>
          <w:b/>
        </w:rPr>
        <w:t>Available abstract (not full text):</w:t>
      </w:r>
      <w:r>
        <w:t xml:space="preserve"> Europe’s packaging sector is transforming—driven by innovation, regulation, and collaboration. The sector continues to grow while undergoing significant change, responding to increasingly complex expectations from regulators, brand owners, and consumers alike. Drawing on recent conference presentations, journal articles and market reports, the authors present detailed the key drivers of the packaging market: sustainability and regulation, the growth of e-commerce, changing consumer attitudes and lifestyles, digitalisation and innovation, advances of printing technology and packaging format innovation.</w:t>
      </w:r>
    </w:p>
    <w:p>
      <w:pPr/>
      <w:r>
        <w:rPr>
          <w:b/>
        </w:rPr>
        <w:t>POSSIBLE 2025:</w:t>
      </w:r>
      <w:r>
        <w:t xml:space="preserve"> Food packaging business models as drivers for sustainability in the food packaging industry — https://doi.org/10.3389/fsufs.2025.1563904</w:t>
      </w:r>
    </w:p>
    <w:p>
      <w:pPr/>
      <w:r>
        <w:rPr>
          <w:b/>
        </w:rPr>
        <w:t>Shared claim-specific concepts:</w:t>
      </w:r>
      <w:r>
        <w:t xml:space="preserve"> potential, packaging, drivers, purpose; EU scope visible. This is a provisional connection, not an outcome finding.</w:t>
      </w:r>
    </w:p>
    <w:p>
      <w:pPr>
        <w:pStyle w:val="SourceNote"/>
      </w:pPr>
      <w:r>
        <w:rPr>
          <w:b/>
        </w:rPr>
        <w:t>Available abstract (not full text):</w:t>
      </w:r>
      <w:r>
        <w:t xml:space="preserve"> The global food packaging industry faces severe environmental challenges due to its reliance on plastics and the growing demand for convenience. In Europe, food packaging alone accounts for 40.5% of all plastic production, yet only 35% of this waste is recycled. The purpose of this study is to examine business models, technological innovations (like AI, IoT, and blockchain) and the relation with customers to support the transition to a circular economy in food packaging. The research focuses on models such as Safe and Sustainable by Design (SSbD) and reusable and returnable packaging systems, evaluating their potential to minimize environmental impact. A key aspect of the investigation is consumer behavior. While consumers express a preference for sustainable options, actual purchasing decisions often prioritize cost and convenience. The study explores how emerging technologies are transforming packaging design by enhancing product safety and improving supply chain transparency. Additionally, regulatory frameworks, particularly within the European Union, such as the Single-Use Plastics Directive (SUPD) and the Circular Economy Action Plan (CEAP), are driving industry-wide changes toward sustainability. However, disparities in adoption and regulatory compliance on a global scale present significant challenges to implementation. The outcome of this study is a set of strategic rec</w:t>
      </w:r>
    </w:p>
    <w:p>
      <w:pPr/>
      <w:r>
        <w:rPr>
          <w:b/>
        </w:rPr>
        <w:t>POSSIBLE 2023:</w:t>
      </w:r>
      <w:r>
        <w:t xml:space="preserve"> Youth Sport Participation Trends Across Europe: Implications for Policy and Practice — https://doi.org/10.1080/02701367.2022.2148623</w:t>
      </w:r>
    </w:p>
    <w:p>
      <w:pPr/>
      <w:r>
        <w:rPr>
          <w:b/>
        </w:rPr>
        <w:t>Shared claim-specific concepts:</w:t>
      </w:r>
      <w:r>
        <w:t xml:space="preserve"> implications, trends, purpose; EU scope visible. This is a provisional connection, not an outcome finding.</w:t>
      </w:r>
    </w:p>
    <w:p>
      <w:pPr>
        <w:pStyle w:val="SourceNote"/>
      </w:pPr>
      <w:r>
        <w:rPr>
          <w:b/>
        </w:rPr>
        <w:t>Available abstract (not full text):</w:t>
      </w:r>
      <w:r>
        <w:t xml:space="preserve"> Purpose: Despite the known health and wellbeing benefits of taking part in sport for children and adolescents, it is reported that sports participation declines during adolescence. The purpose of this study was to explore current organized youth sport participation rates across Europe for both males and females and update current understanding. Method: Sport participation registration data was collected for 18 sports from 27 countries. In total, participation data was collected from over 5 million young people from Under 8s (U8s) to Under 18s (U18s). Differences in the participation rates between age categories were investigated using a generalized linear mixed effects model. Results: Overall, males were four times more likely to participate in organised youth sport than females’ participants, with this trend apparent across all age categories and across most sports. There was a significant decrease across sports in participation rates for males during adolescence from U14-U16 and U16-U18. There was a significant decrease in participation rates for females from U14-U16 for most sports except but an increase in participation rates from U16-U18 for 12 out of 18 sports. Soccer (1262%), wrestling (391%) and boxing (209%) were the sports that had greater male sport participation rates. In contrast, dance sports (86%) and volleyball (63%) had more female participants than males. This</w:t>
      </w:r>
    </w:p>
    <w:p>
      <w:pPr/>
      <w:r>
        <w:rPr>
          <w:b/>
        </w:rPr>
        <w:t>POSSIBLE 2023:</w:t>
      </w:r>
      <w:r>
        <w:t xml:space="preserve"> Effects of Circularity Interventions in the European Plastic Packaging Sector — https://doi.org/10.1021/acs.est.2c08202</w:t>
      </w:r>
    </w:p>
    <w:p>
      <w:pPr/>
      <w:r>
        <w:rPr>
          <w:b/>
        </w:rPr>
        <w:t>Shared claim-specific concepts:</w:t>
      </w:r>
      <w:r>
        <w:t xml:space="preserve"> potential, packaging, work, sector; EU scope visible. This is a provisional connection, not an outcome finding.</w:t>
      </w:r>
    </w:p>
    <w:p>
      <w:pPr>
        <w:pStyle w:val="SourceNote"/>
      </w:pPr>
      <w:r>
        <w:rPr>
          <w:b/>
        </w:rPr>
        <w:t>Available abstract (not full text):</w:t>
      </w:r>
      <w:r>
        <w:t xml:space="preserve"> High Resolution Image Download MS PowerPoint Slide Low levels of plastics circularity today reflect major challenges for the sector to reduce environmental impacts and a need for wider systemic change. In this work, we investigated the potential for climate and socioeconomic benefits of circular economy (CE) interventions in the plastic packaging system. By means of a mixed-unit input–output (IO) model, we performed a comparative scenario analysis for the development of demand and waste management up to 2030 within the EU-28 (EU27 + United Kingdom). We modeled the development of material flows and assessed the effects of both demand-side and end-of-life interventions. Different levels of ambition toward 2030 based on EU circular economy strategies were tested. Results showed that on reaching high levels of circularity, between 14 and 22 Mt CO 2 -eq/year could be reduced by 2030 (20–30% of the total sector impact in 2018) compared to business-as-usual. Demand change (e.g., by decreasing product packaging intensities) showed similar emission-saving potential as achieving the current recycling target of 55%, which emphasizes the role of demand-side actions. Most scenarios displayed moderate employment gains and potential economic losses, pertaining to both direct and indirect activity shifts in the economy. While considering model limitations, the approach is useful in indicating </w:t>
      </w:r>
    </w:p>
    <w:p>
      <w:pPr/>
      <w:r>
        <w:rPr>
          <w:b/>
        </w:rPr>
        <w:t>POSSIBLE 2023:</w:t>
      </w:r>
      <w:r>
        <w:t xml:space="preserve"> Chitosan with Natural Additives as a Potential Food Packaging — https://doi.org/10.3390/ma16041579</w:t>
      </w:r>
    </w:p>
    <w:p>
      <w:pPr/>
      <w:r>
        <w:rPr>
          <w:b/>
        </w:rPr>
        <w:t>Shared claim-specific concepts:</w:t>
      </w:r>
      <w:r>
        <w:t xml:space="preserve"> potential, packaging, common, further; EU scope not established. This is a provisional connection, not an outcome finding.</w:t>
      </w:r>
    </w:p>
    <w:p>
      <w:pPr>
        <w:pStyle w:val="SourceNote"/>
      </w:pPr>
      <w:r>
        <w:rPr>
          <w:b/>
        </w:rPr>
        <w:t>Available abstract (not full text):</w:t>
      </w:r>
      <w:r>
        <w:t xml:space="preserve"> Recently, the development of materials based on natural polymers have been observed. This is the result of increasing environmental degradation, as well as increased awareness and consumer expectations. Many industries, especially the packaging industry, face challenges resulting from legal regulations. Chitin is the most common biopolymer right after cellulose and is used to produce chitosan. Due to the properties of chitosan, such as non-toxicity, biocompatibility, as well as antimicrobial properties, chitosan-based materials are used in many industries. Many studies have been conducted to determine the suitability of chitosan materials as food packaging, and their advantages and limitations have been identified. Thanks to the possibility of modifying the chitosan matrix by using natural additives, it is possible to strengthen the antioxidant and antimicrobial activity of chitosan films, which means that, in the near future, chitosan-based materials will be a more environmentally friendly alternative to the plastic packaging used so far. The article presents literature data on the most commonly used natural additives, such as essential oils, plant extracts, or polysaccharides, and their effects on antimicrobial, antioxidant, mechanical, barrier, and optical properties. The application of chitosan as a natural biopolymer in food packaging extends the shelf-life of various food</w:t>
      </w:r>
    </w:p>
    <w:p>
      <w:pPr/>
      <w:r>
        <w:rPr>
          <w:b/>
        </w:rPr>
        <w:t>POSSIBLE 2023:</w:t>
      </w:r>
      <w:r>
        <w:t xml:space="preserve"> European forest sinks and climate targets: past trends, main drivers, and future forecasts — https://doi.org/10.1007/s10342-023-01587-4</w:t>
      </w:r>
    </w:p>
    <w:p>
      <w:pPr/>
      <w:r>
        <w:rPr>
          <w:b/>
        </w:rPr>
        <w:t>Shared claim-specific concepts:</w:t>
      </w:r>
      <w:r>
        <w:t xml:space="preserve"> trends, drivers, sector; EU scope visible. This is a provisional connection, not an outcome finding.</w:t>
      </w:r>
    </w:p>
    <w:p>
      <w:pPr>
        <w:pStyle w:val="SourceNote"/>
      </w:pPr>
      <w:r>
        <w:rPr>
          <w:b/>
        </w:rPr>
        <w:t>Available abstract (not full text):</w:t>
      </w:r>
      <w:r>
        <w:t xml:space="preserve"> Abstract We examine the evolution of European net sinks towards 2030 and the European Union’s (EU) climate neutrality target by 2050. The EU’s current land use policy for 2021–2030 is divided into two periods: 2021–2025 and 2026–2030. The national inventory data from several databases and statistical analyses are used to examine the trends and drivers and to forecast future forest sinks and the net sinks of the land use, land use change and forestry (LULUCF) sector. Our forecasts suggest that national forest sinks will be short of the agreed forest reference levels in most member states in 2021–2025, with a total of 128 MtCO 2 eq. For 2026–2030, the net sink for the whole EU LULUCF sector will be short of the EU target by 298 MtCO 2 eq. Thus, most member states must design more efficient LULUCF policies to fulfil their national targets. Furthermore, the decreasing trends in the LULUCF sinks also emphasize the need to reduce emissions and to increase the sinks in most member states so that the EU can achieve its climate neutrality goal by 2050.</w:t>
      </w:r>
    </w:p>
    <w:p>
      <w:pPr/>
      <w:r>
        <w:rPr>
          <w:b/>
        </w:rPr>
        <w:t>POSSIBLE 2023:</w:t>
      </w:r>
      <w:r>
        <w:t xml:space="preserve"> Population development as a driver of coastal risk: Current trends and future pathways — https://doi.org/10.1017/cft.2023.3</w:t>
      </w:r>
    </w:p>
    <w:p>
      <w:pPr/>
      <w:r>
        <w:rPr>
          <w:b/>
        </w:rPr>
        <w:t>Shared claim-specific concepts:</w:t>
      </w:r>
      <w:r>
        <w:t xml:space="preserve"> potential, trends, work; EU scope not established. This is a provisional connection, not an outcome finding.</w:t>
      </w:r>
    </w:p>
    <w:p>
      <w:pPr>
        <w:pStyle w:val="SourceNote"/>
      </w:pPr>
      <w:r>
        <w:rPr>
          <w:b/>
        </w:rPr>
        <w:t>Available abstract (not full text):</w:t>
      </w:r>
      <w:r>
        <w:t xml:space="preserve"> Abstract Coastal areas are subject to hazards that can result in severe impacts due to the high concentration of people and assets in exposed locations. While climate-induced sea-level rise will exacerbate these hazards in the course of the 21st century, future dynamics in socioeconomic development will play an important role in driving impacts – as well as adaptation responses – in particular in countries with rapid population growth in low-lying coastal areas. Here, we synthesize the current state of knowledge related to current and future population development in coastal locations and the underlying trends in socioeconomic development affecting coastal impacts at continental to global scales. Currently, 2.15 billion people live in the near-coastal zone and 898 million in the low-elevation coastal zone globally. These numbers could increase to 2.9 billion and 1.2 billion, respectively, depending on the socioeconomic scenario (i.e., Shared Socioeconomic Pathway [SSP]) considered. Nevertheless, although these numbers indicate a rapid increase in exposure of population and assets to coastal hazards, they bear limited information about the actual impacts as they do not include information on the vulnerability of coastal population. Based on these insights, we stress the need to account for dynamics in socioeconomic development in coastal risk assessments, including exposure as w</w:t>
      </w:r>
    </w:p>
    <w:p>
      <w:pPr/>
      <w:r>
        <w:rPr>
          <w:b/>
        </w:rPr>
        <w:t>POSSIBLE 2023:</w:t>
      </w:r>
      <w:r>
        <w:t xml:space="preserve"> The Mechanisms of Plastic Food-Packaging Monomers’ Migration into Food Matrix and the Implications on Human Health — https://doi.org/10.3390/foods12183364</w:t>
      </w:r>
    </w:p>
    <w:p>
      <w:pPr/>
      <w:r>
        <w:rPr>
          <w:b/>
        </w:rPr>
        <w:t>Shared claim-specific concepts:</w:t>
      </w:r>
      <w:r>
        <w:t xml:space="preserve"> potential, packaging, implications; EU scope not established. This is a provisional connection, not an outcome finding.</w:t>
      </w:r>
    </w:p>
    <w:p>
      <w:pPr>
        <w:pStyle w:val="SourceNote"/>
      </w:pPr>
      <w:r>
        <w:rPr>
          <w:b/>
        </w:rPr>
        <w:t>Available abstract (not full text):</w:t>
      </w:r>
      <w:r>
        <w:t xml:space="preserve"> The development of packaging technology has become a crucial part of the food industry in today's modern societies, which are characterized by technological advancements, industrialization, densely populated cities, and scientific advancements that have increased food production over the past 50 years despite the lack of agricultural land. Various types of food-packaging materials are utilized, with plastic being the most versatile. However, there are certain concerns with regards to the usage of plastic packaging because of unreacted monomers' potential migration from the polymer packaging to the food. The magnitude of monomer migration depends on numerous aspects, including the monomer chemistry, type of plastic packaging, physical-chemical parameters such as the temperature and pH, and food chemistry. The major concern for the presence of packaging monomers in food is that some monomers are endocrine-disrupting compounds (EDCs) with a capability to interfere with the functioning of vital hormonal systems in the human body. For this reason, different countries have resolved to enforce guidelines and regulations for packaging monomers in food. Additionally, many countries have introduced migration testing procedures and safe limits for packaging monomer migration into food. However, to date, several research studies have reported levels of monomer migration above the set migra</w:t>
      </w:r>
    </w:p>
    <w:p>
      <w:pPr/>
      <w:r>
        <w:rPr>
          <w:b/>
        </w:rPr>
        <w:t>POSSIBLE 2022:</w:t>
      </w:r>
      <w:r>
        <w:t xml:space="preserve"> An Overview of Packaging Waste Models in Some European Countries — https://doi.org/10.3390/recycling7030038</w:t>
      </w:r>
    </w:p>
    <w:p>
      <w:pPr/>
      <w:r>
        <w:rPr>
          <w:b/>
        </w:rPr>
        <w:t>Shared claim-specific concepts:</w:t>
      </w:r>
      <w:r>
        <w:t xml:space="preserve"> packaging, implications, provide, base; EU scope visible. This is a provisional connection, not an outcome finding.</w:t>
      </w:r>
    </w:p>
    <w:p>
      <w:pPr>
        <w:pStyle w:val="SourceNote"/>
      </w:pPr>
      <w:r>
        <w:rPr>
          <w:b/>
        </w:rPr>
        <w:t>Available abstract (not full text):</w:t>
      </w:r>
      <w:r>
        <w:t xml:space="preserve"> Efficient packaging waste management systems are essential considering recent revisions of the European legislation on packaging waste management that sets ambitious targets. European rules aim to deal with the increasing quantities of packaging waste, which cause environmental problems. Consequently, it is necessary to identify functional packaging waste management systems to achieve these targets effectively and efficiently. However, given the heterogeneity of the different packaging management systems, policymakers, scholars, and industry operators struggle to have a comparative view. The number of non-harmonized laws in force across countries, autonomous recycling targets, and constant updates are prominent problems that make it difficult to obtain comparable information for research, business, and policymaking. To fill this gap, our research question consists of assigning responsibilities for prevention, collection, recycling, and recovery and an overview of some models at a glance with respect to the general governance and functioning of the system. We base our research on a multiple-case design since more cases are examined using complementary data collection methods, analysis of the previous literature, reports, legislation, and business and institutional websites. Our results provide insights from the following cases: Germany, France, the United Kingdom, the Netherland</w:t>
      </w:r>
    </w:p>
    <w:p>
      <w:pPr>
        <w:pStyle w:val="Heading2"/>
      </w:pPr>
      <w:r>
        <w:t>913. Forecasting the Diffusion of Gigabit Home Networking In Europe</w:t>
      </w:r>
    </w:p>
    <w:p>
      <w:pPr>
        <w:pStyle w:val="SourceNote"/>
      </w:pPr>
      <w:r>
        <w:rPr>
          <w:b/>
        </w:rPr>
        <w:t>Original source (2014):</w:t>
      </w:r>
      <w:r>
        <w:t xml:space="preserve"> https://doi.org/10.4018/ijtd.2014070103</w:t>
      </w:r>
    </w:p>
    <w:p>
      <w:pPr/>
      <w:r>
        <w:t>Original wording (abstract; indexed_source_text_not_full_document_verified): Market stakeholders have cooperated to evolve home networking towards an integrated, converged Gigabit technology, which will completely change the Home Area Networks (HANs) landscape and will enable a wave of possibilities. However, the lack of historical data on which such a forecast could be based presents a barrier that existing literature has not successfully addressed.</w:t>
      </w:r>
    </w:p>
    <w:p>
      <w:pPr/>
      <w:r>
        <w:rPr>
          <w:b/>
        </w:rPr>
        <w:t>POSSIBLE 2026:</w:t>
      </w:r>
      <w:r>
        <w:t xml:space="preserve"> Stakeholder engagement in hubs for circularity in Europe — https://doi.org/10.1051/mattech/2026012</w:t>
      </w:r>
    </w:p>
    <w:p>
      <w:pPr/>
      <w:r>
        <w:rPr>
          <w:b/>
        </w:rPr>
        <w:t>Shared claim-specific concepts:</w:t>
      </w:r>
      <w:r>
        <w:t xml:space="preserve"> stakeholders, area, however; EU scope visible. This is a provisional connection, not an outcome finding.</w:t>
      </w:r>
    </w:p>
    <w:p>
      <w:pPr>
        <w:pStyle w:val="SourceNote"/>
      </w:pPr>
      <w:r>
        <w:rPr>
          <w:b/>
        </w:rPr>
        <w:t>Available abstract (not full text):</w:t>
      </w:r>
      <w:r>
        <w:t xml:space="preserve"> This research highlights the critical role of stakeholder engagement in the successful implementation of industrial symbiosis (IS) in the circular economy (CE). Although stakeholder engagement is recognised as a key driver in advancing circular economy models, research in this area is limited. In this paper, we examine four industrial hubs within the context of the IS2H4C project. These hubs are referred to as Hubs for Circularity (H4C) and are located in Spain, the Netherlands, Germany and Turkey. Qualitative interviews with key stakeholders from industry, policy, academia and society were used as the research method. The results show that a stakeholder analysis alone is insufficient for H4Cs. This research proved that active and continuous engagement is necessary, with a regional and local approach. Governance structures at these levels are key to long-term engagement. The results suggest that regulatory frameworks, such as the ReFuelEU Aviation Regulation in the German hub, are the main drivers of stakeholder participation, as well as infrastructure delays. Industrial clusters and companies also play an active role in promoting social acceptance, as do trade unions. However, in order to create a sustainable and inclusive environment involving all categories of stakeholders, including society, academia, industry and politics, it is essential to coordinate local and regional a</w:t>
      </w:r>
    </w:p>
    <w:p>
      <w:pPr/>
      <w:r>
        <w:rPr>
          <w:b/>
        </w:rPr>
        <w:t>POSSIBLE 2025:</w:t>
      </w:r>
      <w:r>
        <w:t xml:space="preserve"> Logistics Market Stakeholders in the Context of Sustainable Development and ESG — https://doi.org/10.54740/ros.2025.067</w:t>
      </w:r>
    </w:p>
    <w:p>
      <w:pPr/>
      <w:r>
        <w:rPr>
          <w:b/>
        </w:rPr>
        <w:t>Shared claim-specific concepts:</w:t>
      </w:r>
      <w:r>
        <w:t xml:space="preserve"> stakeholders, area; EU scope not established. This is a provisional connection, not an outcome finding.</w:t>
      </w:r>
    </w:p>
    <w:p>
      <w:pPr>
        <w:pStyle w:val="SourceNote"/>
      </w:pPr>
      <w:r>
        <w:rPr>
          <w:b/>
        </w:rPr>
        <w:t>Available abstract (not full text):</w:t>
      </w:r>
      <w:r>
        <w:t xml:space="preserve"> In recent years, ESG (Environmental, Social, Governance) criteria have gained significant importance in assessing the activities of entities operating in the logistics market. Dynamic regulatory changes, increasing stakeholder pressure, and the need to reduce negative environmental and social impacts have made ESG issues an integral element of logistics system management. This paper aims to identify and analyse key stakeholder groups in the logistics market and to determine their expectations across the environmental, social, and governance dimensions. The study proposes an original stakeholder classification that encompasses actors involved in the value chain and market, as well as institutional and societal stakeholders. The analysis reveals a diversified yet partially overlapping structure of stakeholder expectations across individual ESG dimensions, with corporate governance playing a crucial role as an integrating area that links environmental and social activities. The results may provide a basis for further empirical research and support logistics companies in designing and implementing sustainable development strategies.</w:t>
      </w:r>
    </w:p>
    <w:p>
      <w:pPr/>
      <w:r>
        <w:rPr>
          <w:b/>
        </w:rPr>
        <w:t>POSSIBLE 2025:</w:t>
      </w:r>
      <w:r>
        <w:t xml:space="preserve"> Local flexibility markets in Europe: A critical review of market designs, operational maturity and stakeholder perspectives — https://doi.org/10.1016/j.rser.2025.116434</w:t>
      </w:r>
    </w:p>
    <w:p>
      <w:pPr/>
      <w:r>
        <w:rPr>
          <w:b/>
        </w:rPr>
        <w:t>Shared claim-specific concepts:</w:t>
      </w:r>
      <w:r>
        <w:t xml:space="preserve"> stakeholders, networks, enable, lack; EU scope visible. This is a provisional connection, not an outcome finding.</w:t>
      </w:r>
    </w:p>
    <w:p>
      <w:pPr>
        <w:pStyle w:val="SourceNote"/>
      </w:pPr>
      <w:r>
        <w:rPr>
          <w:b/>
        </w:rPr>
        <w:t>Available abstract (not full text):</w:t>
      </w:r>
      <w:r>
        <w:t xml:space="preserve"> Local Flexibility Markets (LFMs) are gaining importance across Europe as a potential solution to emerging challenges in the management of distribution networks. Driven by European Union directives on electricity market design, LFMs aim to enable distribution system operators to procure ancillary services from distributed energy resources through transparent and economically efficient mechanisms. This study offers a comprehensive analysis of the designs and current implementation stages of LFMs, combining a systematic literature review with an in-depth assessment of selected European cases and structured interviews with key stakeholders. The literature analysis highlights current research trends, methodological approaches, and future developments. The case analysis covers various European countries, including nations with mature LFMs, such as Great Britain, as well as those where LFMs are still in the early stages of development, such as Italy. Specifically, it provides detailed insights into ancillary services definitions, technical and market requirements, remuneration schemes, baseline calculation methodologies, and observed market outcomes. Interviews with distribution system operators, balancing service providers, and market platform operators enrich the analysis by revealing practical perspectives on the benefits and challenges of LFMs. The findings indicate that regulator</w:t>
      </w:r>
    </w:p>
    <w:p>
      <w:pPr/>
      <w:r>
        <w:rPr>
          <w:b/>
        </w:rPr>
        <w:t>POSSIBLE 2025:</w:t>
      </w:r>
      <w:r>
        <w:t xml:space="preserve"> Medical Devices: Market Environment &amp; Stakeholder Analysis — https://doi.org/10.1007/978-3-032-03577-6_4</w:t>
      </w:r>
    </w:p>
    <w:p>
      <w:pPr/>
      <w:r>
        <w:rPr>
          <w:b/>
        </w:rPr>
        <w:t>Shared claim-specific concepts:</w:t>
      </w:r>
      <w:r>
        <w:t xml:space="preserve"> stakeholders, data, presents; EU scope not established. This is a provisional connection, not an outcome finding.</w:t>
      </w:r>
    </w:p>
    <w:p>
      <w:pPr>
        <w:pStyle w:val="SourceNote"/>
      </w:pPr>
      <w:r>
        <w:rPr>
          <w:b/>
        </w:rPr>
        <w:t>Available abstract (not full text):</w:t>
      </w:r>
      <w:r>
        <w:t xml:space="preserve"> This chapter provides a comprehensive analysis of the global medical device market through a multidimensional lens, emphasizing stakeholder interdependencies, market structures, and macroeconomic trends. Initial mapping the ecosystem of key stakeholders being manufacturers, regulators, payers, healthcare providers, patients, and global institutions, highlights their evolving roles in innovation, regulation, and adoption. The chapter then explores the strategic weight of these stakeholders, varying significantly by region and shaped by regulatory maturity, industrial policy, and patient advocacy. A dedicated section examines the patient’s shifting role from passive recipient to active co-creator and data contributor, reshaping device design and evaluation. Commercial segmentation is analyzed through B2B, B2C, and B2G models, with insights into how distribution, purchasing behavior, and policy affect regional strategies. A detailed PEST analysis outlines political, economic, social, and technological forces influencing global operations. The chapter also presents a macroeconomic perspective and explores regional differences in per capita spending, infrastructure maturity, and investment capacity between high-income regions and emerging markets. Market drivers, including aging populations, chronic disease, digital health, and rising health expenditures, are contrasted with structu</w:t>
      </w:r>
    </w:p>
    <w:p>
      <w:pPr/>
      <w:r>
        <w:rPr>
          <w:b/>
        </w:rPr>
        <w:t>POSSIBLE 2025:</w:t>
      </w:r>
      <w:r>
        <w:t xml:space="preserve"> Driving factors behind Indonesia’s 2015 decision to cooperate with Malaysia in CPOPC: Economic, political, and environmental considerations — https://doi.org/10.33474/jisop.v7i2.23750</w:t>
      </w:r>
    </w:p>
    <w:p>
      <w:pPr/>
      <w:r>
        <w:rPr>
          <w:b/>
        </w:rPr>
        <w:t>Shared claim-specific concepts:</w:t>
      </w:r>
      <w:r>
        <w:t xml:space="preserve"> stakeholders, data; EU scope visible. This is a provisional connection, not an outcome finding.</w:t>
      </w:r>
    </w:p>
    <w:p>
      <w:pPr>
        <w:pStyle w:val="SourceNote"/>
      </w:pPr>
      <w:r>
        <w:rPr>
          <w:b/>
        </w:rPr>
        <w:t>Available abstract (not full text):</w:t>
      </w:r>
      <w:r>
        <w:t xml:space="preserve"> Indonesia’s palm oil industry, a cornerstone of national economic growth and rural livelihoods, faced escalating trade barriers and sustainability demands, particularly from the European Union, from 2005 to 2015. This study investigates Driving factors behind Indonesia’s 2015 decision to cooperate with Malaysia in CPOPC: Economic, political, and environmental considerations, using employing Richard C. Snyder’s foreign policy decision-making framework to systematically analyze the interplay of internal and external factors. The research adopts a qualitative explanatory literature review, synthesizing data from peer-reviewed journals, policy documents, and credible news sources published from 2005 to 2015. The analysis reveals that Indonesia’s policy shift was driven by the convergence of domestic economic imperatives such as maintaining export revenues, supporting smallholders, and responding to industry lobbying, and mounting external pressures including discriminatory European Union regulations, NGO campaigns, and global market competition. The formation of CPOPC is shown to be a pragmatic diplomatic response, enhancing Indonesia’s bargaining power, promoting sustainable palm oil standards, and fostering collective action with Malaysia to counter external challenges. This research fills a gap in the literature by demonstrating how multi-level decision-making processes and tran</w:t>
      </w:r>
    </w:p>
    <w:p>
      <w:pPr/>
      <w:r>
        <w:rPr>
          <w:b/>
        </w:rPr>
        <w:t>POSSIBLE 2023:</w:t>
      </w:r>
      <w:r>
        <w:t xml:space="preserve"> Market shaping MNCs in emerging markets - stakeholder engagement and the role of embeddedness — https://doi.org/10.1016/j.indmarman.2023.06.015</w:t>
      </w:r>
    </w:p>
    <w:p>
      <w:pPr/>
      <w:r>
        <w:rPr>
          <w:b/>
        </w:rPr>
        <w:t>Shared claim-specific concepts:</w:t>
      </w:r>
      <w:r>
        <w:t xml:space="preserve"> stakeholders, data, based; EU scope not established. This is a provisional connection, not an outcome finding.</w:t>
      </w:r>
    </w:p>
    <w:p>
      <w:pPr>
        <w:pStyle w:val="SourceNote"/>
      </w:pPr>
      <w:r>
        <w:rPr>
          <w:b/>
        </w:rPr>
        <w:t>Available abstract (not full text):</w:t>
      </w:r>
      <w:r>
        <w:t xml:space="preserve"> This study delves into the phenomenon of collective market shaping in the context of multinational corporations (MNCs) in emerging markets. The study examines the firm's engagement activities and the importance of embeddedness in market shaping undeveloped in the literature. Theoretically this study builds on the literature on collective market shaping, stakeholder engagement and stakeholder embeddedness. Based on a secondary data analysis of two in-depth case studies of MNCs in Brazil, India, and China, we have identified four roles of stakeholders reflecting their engagement and embeddedness: missionaries, catalysts, diffusers, and grassroot movers. Our findings show a recursive process involving stakeholders' structural embeddedness, relational embeddedness and their roles in market shaping. By impacting these dynamics via engagement activities, the MNC can deepen the firm's own embeddedness in the local market and facilitate market shaping. We conclude with introducing ‘embedded market shaping’ as a mode of collective market shaping. It describes the gradual embedding of the firm into a local market through a recursive process, which involves stakeholders who are aware of the MNC's market shaping vision and interested in its pursuit, as well as unaware stakeholders who unintentionally support the MNC's vision.</w:t>
      </w:r>
    </w:p>
    <w:p>
      <w:pPr/>
      <w:r>
        <w:rPr>
          <w:b/>
        </w:rPr>
        <w:t>POSSIBLE 2023:</w:t>
      </w:r>
      <w:r>
        <w:t xml:space="preserve"> Cooperating for the Climate — https://doi.org/10.7551/mitpress/11959.001.0001</w:t>
      </w:r>
    </w:p>
    <w:p>
      <w:pPr/>
      <w:r>
        <w:rPr>
          <w:b/>
        </w:rPr>
        <w:t>Shared claim-specific concepts:</w:t>
      </w:r>
      <w:r>
        <w:t xml:space="preserve"> stakeholders, technology, based; EU scope not established. This is a provisional connection, not an outcome finding.</w:t>
      </w:r>
    </w:p>
    <w:p>
      <w:pPr>
        <w:pStyle w:val="SourceNote"/>
      </w:pPr>
      <w:r>
        <w:rPr>
          <w:b/>
        </w:rPr>
        <w:t>Available abstract (not full text):</w:t>
      </w:r>
      <w:r>
        <w:t xml:space="preserve"> The intricacies, politics, and prospects of international cooperation, particularly with China, to address climate change. No country in the world releases more greenhouse gases than China. And no country has a greater capacity—and ambition—to mitigate climate change. This deeply informed, urgently needed book examines the global cooperation that such a monumental effort demands and inspires, necessarily focusing on China's outsize role in the development and dissemination of clean energy technologies. Drawing on decades of work in clean energy and climate technology and policy, Joanna Lewis provides a clear and thorough account of the motivations, science, and politics behind international clean energy technology collaboration—and an in-depth look at why different clean energy partnerships result in different political and technological outcomes. The first comprehensive analysis of international clean energy partnerships with China, Cooperating for the Climate is based on hundreds of interviews with government officials, researchers, and private companies involved in these collaborative initiatives around the world. Its insights into energy innovation and international relations, as well as global environmental politics, will help international stakeholders navigate the complex political bureaucracy governing clean energy development in China and perhaps chart a productive pat</w:t>
      </w:r>
    </w:p>
    <w:p>
      <w:pPr/>
      <w:r>
        <w:rPr>
          <w:b/>
        </w:rPr>
        <w:t>POSSIBLE 2023:</w:t>
      </w:r>
      <w:r>
        <w:t xml:space="preserve"> D8.2 - Market and stakeholder analysis — https://doi.org/10.5281/zenodo.7657634</w:t>
      </w:r>
    </w:p>
    <w:p>
      <w:pPr/>
      <w:r>
        <w:rPr>
          <w:b/>
        </w:rPr>
        <w:t>Shared claim-specific concepts:</w:t>
      </w:r>
      <w:r>
        <w:t xml:space="preserve"> data, based, presents; EU scope not established. This is a provisional connection, not an outcome finding.</w:t>
      </w:r>
    </w:p>
    <w:p>
      <w:pPr>
        <w:pStyle w:val="SourceNote"/>
      </w:pPr>
      <w:r>
        <w:rPr>
          <w:b/>
        </w:rPr>
        <w:t>Available abstract (not full text):</w:t>
      </w:r>
      <w:r>
        <w:t xml:space="preserve"> The deliverable D8.2 lies under the scope of work package WP8- Business Models and Exploitation. Its content is based on the work of the Task 8.1 - Project Impact Assessment, led by ENGIE. It presents a market and stakeholder analysis concerning PLATOON tools. The main objective of this deliverable is to identify attractiveness of big data platforms to support the launch of business exploitation activities resulting from the R&amp;D project PLATOON.</w:t>
      </w:r>
    </w:p>
    <w:p>
      <w:pPr/>
      <w:r>
        <w:rPr>
          <w:b/>
        </w:rPr>
        <w:t>POSSIBLE 2023:</w:t>
      </w:r>
      <w:r>
        <w:t xml:space="preserve"> Stakeholder diversity and collaborative innovation: Integrating the resource-based view with stakeholder theory — https://doi.org/10.1016/j.jbusres.2023.113955</w:t>
      </w:r>
    </w:p>
    <w:p>
      <w:pPr/>
      <w:r>
        <w:rPr>
          <w:b/>
        </w:rPr>
        <w:t>Shared claim-specific concepts:</w:t>
      </w:r>
      <w:r>
        <w:t xml:space="preserve"> stakeholders, data, based; EU scope not established. This is a provisional connection, not an outcome finding.</w:t>
      </w:r>
    </w:p>
    <w:p>
      <w:pPr>
        <w:pStyle w:val="SourceNote"/>
      </w:pPr>
      <w:r>
        <w:rPr>
          <w:b/>
        </w:rPr>
        <w:t>Available abstract (not full text):</w:t>
      </w:r>
      <w:r>
        <w:t xml:space="preserve"> This paper uses Stakeholder Theory to build on the Resource-Based View (RBV) of the firm – and its extension, the Knowledge-Based View (KBV) – and theoretically and empirically assesses how a choice of stakeholders with a diverse set of interests and motives affects the development of collaborative innovation. Theoretically, the paper discusses how collaborating with stakeholders with diverse motives and interests affects the development of diverse types of innovations; and whether and how a focal organisation's access to diverse information sources may influence the behaviour of different types of collaborators. The empirical analysis is based on Spanish Technological Innovation Panel (2015–2016) data. The results show that collaborations with secondary (primary) stakeholders are typically associated with the likelihood of developing eco-innovations (product and process innovations) and increased demand for skilled workers. We also find that access to diverse information sources is associated with the likelihood of collaborating with primary stakeholders only.</w:t>
      </w:r>
    </w:p>
    <w:p>
      <w:pPr/>
      <w:r>
        <w:rPr>
          <w:b/>
        </w:rPr>
        <w:t>POSSIBLE 2023:</w:t>
      </w:r>
      <w:r>
        <w:t xml:space="preserve"> Europe first? The rise of EU industrial policy promoting and protecting the single market — https://doi.org/10.1080/13501763.2023.2202684</w:t>
      </w:r>
    </w:p>
    <w:p>
      <w:pPr/>
      <w:r>
        <w:rPr>
          <w:b/>
        </w:rPr>
        <w:t>Shared claim-specific concepts:</w:t>
      </w:r>
      <w:r>
        <w:t xml:space="preserve"> integrated, area; EU scope visible. This is a provisional connection, not an outcome finding.</w:t>
      </w:r>
    </w:p>
    <w:p>
      <w:pPr>
        <w:pStyle w:val="SourceNote"/>
      </w:pPr>
      <w:r>
        <w:rPr>
          <w:b/>
        </w:rPr>
        <w:t>Available abstract (not full text):</w:t>
      </w:r>
      <w:r>
        <w:t xml:space="preserve"> Within Europe’s regulatory state, industrial policy has largely remained within national governments’ remit. Yet, a plethora of new supra- and cross-national industrial policy initiatives have recently emerged whereby the Commission proactively engages in pan-European activities to foster innovation and economic development. This article brings the ‘Developmental Network States’ (DNS) literature into dialogue with EU integration scholarship to explain both the timing of EU industrial policy’s rise since the mid-2010s and the variation in forms of EU integration of different industrial policy functions. Our analysis suggests that the Commission increasingly operates four major developmental functions akin to DNSs and aimed at promoting and protecting the single market. Neofunctionalist theories of EU integration explain these momentous shifts. The timing behind the rise of EU industrial policy is best explained as an interplay of functional, cultivated, and political spillovers, driven especially by the Franco-German realignment on pro-EU industrial policy positions since 2016. Variation in the governance forms of integrated EU industrial policy functions is instead explained in terms of the degree of pre-existing integration of extant policies, the low vs high politics nature of the policy domain and the types of externalities attached to the specific policy area.</w:t>
      </w:r>
    </w:p>
    <w:p>
      <w:pPr/>
      <w:r>
        <w:rPr>
          <w:b/>
        </w:rPr>
        <w:t>POSSIBLE 2023:</w:t>
      </w:r>
      <w:r>
        <w:t xml:space="preserve"> Past, present &amp; future of the european electricity market — https://openalex.org/W7113421957</w:t>
      </w:r>
    </w:p>
    <w:p>
      <w:pPr/>
      <w:r>
        <w:rPr>
          <w:b/>
        </w:rPr>
        <w:t>Shared claim-specific concepts:</w:t>
      </w:r>
      <w:r>
        <w:t xml:space="preserve"> stakeholders, landscape, however; EU scope visible. This is a provisional connection, not an outcome finding.</w:t>
      </w:r>
    </w:p>
    <w:p>
      <w:pPr>
        <w:pStyle w:val="SourceNote"/>
      </w:pPr>
      <w:r>
        <w:rPr>
          <w:b/>
        </w:rPr>
        <w:t>Available abstract (not full text):</w:t>
      </w:r>
      <w:r>
        <w:t xml:space="preserve"> Europe faces two intertwined challenges of critical importance: the urgent need to combat climate change and the complex geopolitical landscape, particularly concerning Russia. Climate change poses a severe threat, demanding immediate and concerted action. European countries have been at the forefront of climate change mitigation efforts, implementing ambitious emission reduction targets and promoting sustainable practices. However, addressing climate change requires comprehensive approaches that transcend domestic initiatives. Simultaneously, Europe's energy landscape is closely tied to geopolitics, with concerns surrounding energy security and dependence on Russian energy imports. Russia’s invasion of Ukraine in February 2022 has profoundly affected global energy markets. Price volatility, supply shortages, security issues, and economic uncertainty have contributed to what the International Energy Agency (IEA) calls “the first truly global energy crisis, with impacts that will be felt for years to come.” This paper examines the potential of renewable energy sources and a new power market to tackle climate change and reduce Europe's vulnerability to geopolitical pressures. We seek to provide insights and recommendations for policymakers, industry stakeholders, and civil society by analyzing policies, market dynamics, technological advancements, and potential collaborations</w:t>
      </w:r>
    </w:p>
    <w:p>
      <w:pPr/>
      <w:r>
        <w:rPr>
          <w:b/>
        </w:rPr>
        <w:t>POSSIBLE 2023:</w:t>
      </w:r>
      <w:r>
        <w:t xml:space="preserve"> Open banking and inclusive finance in the European Union: perspectives from the Dutch stakeholder ecosystem — https://doi.org/10.1186/s40854-023-00522-1</w:t>
      </w:r>
    </w:p>
    <w:p>
      <w:pPr/>
      <w:r>
        <w:rPr>
          <w:b/>
        </w:rPr>
        <w:t>Shared claim-specific concepts:</w:t>
      </w:r>
      <w:r>
        <w:t xml:space="preserve"> technology, landscape, however, based; EU scope visible. This is a provisional connection, not an outcome finding.</w:t>
      </w:r>
    </w:p>
    <w:p>
      <w:pPr>
        <w:pStyle w:val="SourceNote"/>
      </w:pPr>
      <w:r>
        <w:rPr>
          <w:b/>
        </w:rPr>
        <w:t>Available abstract (not full text):</w:t>
      </w:r>
      <w:r>
        <w:t xml:space="preserve"> Abstract In the European Union (EU), the revised Payment Services Directive (PSD2) aims to provide more convenient and customized financial products through open banking (OB) platforms. However, little attention has been paid to the role of OB in improving the financial well-being of the growing number of the EU’s underserved groups, which currently constitute approximately a quarter of its population. This study examines how the PSD2 and OB impact inclusive finance in the EU based on the perspectives of the Netherlands’ ecosystem, one of the leaders in the EU’s financial technology (FinTech) landscape. A fundamental distinction can be drawn between the OB users and the ecosystem’s players. Regarding the impact of financial services on the users’ inclusivity, while the PSD2 strengthens the infrastructure necessary for financial inclusion, many challenges remain, mainly because it was not designed for this purpose. This study identifies several areas of improvement that include adjustments to the know your customer and anti-money laundering processes for underserved customers, innovative ways to communicate the PSD2’s potential, and the regulation of technology providers’ activities to build trust. Meanwhile, from the ecosystem’s position, there is a need to strengthen and improve microfinance regulation according to the opportunities provided by the PSD2 to support microfinance</w:t>
      </w:r>
    </w:p>
    <w:p>
      <w:pPr>
        <w:pStyle w:val="Heading2"/>
      </w:pPr>
      <w:r>
        <w:t>914. Future mobility in an ageing society – Where are we heading?</w:t>
      </w:r>
    </w:p>
    <w:p>
      <w:pPr>
        <w:pStyle w:val="SourceNote"/>
      </w:pPr>
      <w:r>
        <w:rPr>
          <w:b/>
        </w:rPr>
        <w:t>Original source (2014):</w:t>
      </w:r>
      <w:r>
        <w:t xml:space="preserve"> https://doi.org/10.1016/j.jth.2014.10.005</w:t>
      </w:r>
    </w:p>
    <w:p>
      <w:pPr/>
      <w:r>
        <w:t>Original wording (abstract; indexed_source_text_not_full_document_verified): This paper reports on a scenario planning exercise which has examined four different futures for living in later life, defined by considering two critical uncertainties: the extent to which older people in society engage with new healthcare technologies; and the extent to which the state provides care for people living in later life. Beyond these questions is one which is more explicitly pertinent to transport policy: how and where will older people live and how will this affect patterns of mobility and levels of travel demand?</w:t>
      </w:r>
    </w:p>
    <w:p>
      <w:pPr/>
      <w:r>
        <w:rPr>
          <w:b/>
        </w:rPr>
        <w:t>POSSIBLE 2026:</w:t>
      </w:r>
      <w:r>
        <w:t xml:space="preserve"> If exercise is medicine, where is the dose? A call to improve reporting and monitoring of exercise interventions in fibromyalgia research — https://doi.org/10.3389/fspor.2026.1777261</w:t>
      </w:r>
    </w:p>
    <w:p>
      <w:pPr/>
      <w:r>
        <w:rPr>
          <w:b/>
        </w:rPr>
        <w:t>Shared claim-specific concepts:</w:t>
      </w:r>
      <w:r>
        <w:t xml:space="preserve"> planning, exercise, four, different, defined, two; EU scope not established. This is a provisional connection, not an outcome finding.</w:t>
      </w:r>
    </w:p>
    <w:p>
      <w:pPr>
        <w:pStyle w:val="SourceNote"/>
      </w:pPr>
      <w:r>
        <w:rPr>
          <w:b/>
        </w:rPr>
        <w:t>Available abstract (not full text):</w:t>
      </w:r>
      <w:r>
        <w:t xml:space="preserve"> Exercise is widely recognized as a cornerstone non-pharmacological therapy for managing pain and other core symptoms of fibromyalgia. Current guidelines, including those from the American College of Sports Medicine (ACSM), frame exercise prescription through the FITT principles-frequency, intensity, time, and typeproviding a structured approach to defining exercise dose in this population (Ligouri, 2021). When these parameters are implemented with high compliance (i.e., when at least 70% of the ACSM-recommended exercise dose is met), exercise interventions are associated with greater improvements in pain, sleep quality, and fatigue, as supported by recent meta-analytic evidence in fibromyalgia (Niu et al., 2024). However, only about half of the analyzed exercise interventions achieved high compliance with ACSM guidelines, highlighting substantial variability in exercise prescription across fibromyalgia trials (Niu et al., 2024).Despite this growing body of evidence, two complementary perspectives continue to coexist in both research and clinical practice. On one hand, public health recommendations emphasize that any physical activity is preferable to none, particularly in populations with a high symptom burden and low activity levels (Bull et al., 2020;Ekelund et al., 2026). On the other hand, research increasingly seeks to identify specific exercise doses, operationalized thro</w:t>
      </w:r>
    </w:p>
    <w:p>
      <w:pPr/>
      <w:r>
        <w:rPr>
          <w:b/>
        </w:rPr>
        <w:t>POSSIBLE 2025:</w:t>
      </w:r>
      <w:r>
        <w:t xml:space="preserve"> The synergy of exercise and a planned diet in mitigating oxidative stress — https://doi.org/10.22271/journalofsport.2025.v10.i1d.3043</w:t>
      </w:r>
    </w:p>
    <w:p>
      <w:pPr/>
      <w:r>
        <w:rPr>
          <w:b/>
        </w:rPr>
        <w:t>Shared claim-specific concepts:</w:t>
      </w:r>
      <w:r>
        <w:t xml:space="preserve"> planning, exercise, living; EU scope not established. This is a provisional connection, not an outcome finding.</w:t>
      </w:r>
    </w:p>
    <w:p>
      <w:pPr>
        <w:pStyle w:val="SourceNote"/>
      </w:pPr>
      <w:r>
        <w:rPr>
          <w:b/>
        </w:rPr>
        <w:t>Available abstract (not full text):</w:t>
      </w:r>
      <w:r>
        <w:t xml:space="preserve"> Living organisms maintain their structure and integrity via physiological homeostasis that in turn is maintained via various anabolic and catabolic reactions based on oxidation and reduction. During these aerobic cellular reactions free radicals are produced that play important roles in energy production and cellular communication as regulatory mediators in signalling process. Regular physical activity/exercise according to a number of comprehensive reviews is associated with positive short- and long-term health benefits. Exercise results in increased metabolic activity of contracting skeletal muscles leading to complex multidimensional changes in numerous cells, tissues and organs challenging whole body homeostasis. It is reported to induce generation of excessive free radicals that may enhance oxidative stress. Although free radicals generating exercise adaptations via signalling the upregulation of antioxidant defence have been reported, excess of radical generation can result in detrimental effects. The aim of this review is therefore to explore the synergistic effect of exercise and whole diet rich in antioxidants as it may provide multicomponent ingredients rather than single dosages of antioxidant to protect the body from oxidative stress. The finding suggests that the integration of a nutrient-dense, anti-oxidant rich diet with a structured exercise regimen can provide </w:t>
      </w:r>
    </w:p>
    <w:p>
      <w:pPr/>
      <w:r>
        <w:rPr>
          <w:b/>
        </w:rPr>
        <w:t>POSSIBLE 2025:</w:t>
      </w:r>
      <w:r>
        <w:t xml:space="preserve"> Bodily maps of exercise-induced feelings — https://doi.org/10.1038/s41598-025-07246-5</w:t>
      </w:r>
    </w:p>
    <w:p>
      <w:pPr/>
      <w:r>
        <w:rPr>
          <w:b/>
        </w:rPr>
        <w:t>Shared claim-specific concepts:</w:t>
      </w:r>
      <w:r>
        <w:t xml:space="preserve"> planning, exercise, different, two; EU scope not established. This is a provisional connection, not an outcome finding.</w:t>
      </w:r>
    </w:p>
    <w:p>
      <w:pPr>
        <w:pStyle w:val="SourceNote"/>
      </w:pPr>
      <w:r>
        <w:rPr>
          <w:b/>
        </w:rPr>
        <w:t>Available abstract (not full text):</w:t>
      </w:r>
      <w:r>
        <w:t xml:space="preserve"> Physical exercise is a strong physiological and mechanical stimulus that elicits various bodily sensations. They shape the emotional experience and contribute to the psychological benefits of exercise. Despite the centrality of subjective sensations stemming from altering bodily states during physical exercise, there is a paucity of data on bodily experiences and sensations evoked by physical exercise. Here, we mapped bodily sensations evoked by exercise in two studies. In the first proof-of-concept study, we asked participants (n = 305; 143 females) to imagine undergoing exercise training and report the expected bodily sensations. In the second field study, we mapped participants' (n = 133; 105 females) emotions and bodily sensations before and after actual exercise sessions. Both studies utilised visual analogue scales for sensation rating and a topographical self-report tool for mapping bodily sensations: participants were asked to colour on a human body silhouette all the bodily regions where each specified sensation (e.g. "Energized") was felt. The findings revealed a wide array of exercise-induced bodily sensations with mostly distinct topographies, that were consistent across individuals. The field experiment confirmed that bodily sensations of activeness and exhaustion intensified following exercise in topographically specific manner, and that the experience of exhausti</w:t>
      </w:r>
    </w:p>
    <w:p>
      <w:pPr/>
      <w:r>
        <w:rPr>
          <w:b/>
        </w:rPr>
        <w:t>POSSIBLE 2025:</w:t>
      </w:r>
      <w:r>
        <w:t xml:space="preserve"> Performance of two different artificial intelligence models in dental implant planning among four different implant planning software: a comparative study — https://doi.org/10.1186/s12903-025-06336-0</w:t>
      </w:r>
    </w:p>
    <w:p>
      <w:pPr/>
      <w:r>
        <w:rPr>
          <w:b/>
        </w:rPr>
        <w:t>Shared claim-specific concepts:</w:t>
      </w:r>
      <w:r>
        <w:t xml:space="preserve"> planning, four, different, two; EU scope visible. This is a provisional connection, not an outcome finding.</w:t>
      </w:r>
    </w:p>
    <w:p>
      <w:pPr>
        <w:pStyle w:val="SourceNote"/>
      </w:pPr>
      <w:r>
        <w:rPr>
          <w:b/>
        </w:rPr>
        <w:t>Available abstract (not full text):</w:t>
      </w:r>
      <w:r>
        <w:t xml:space="preserve"> BACKGROUND: The integration of artificial intelligence (AI) in dental implant planning has emerged as a transformative approach to enhance diagnostic accuracy and efficiency. This study aimed to evaluate the performance of two object detection models, Faster R-CNN and YOLOv7 in analyzing cross-sectional and panoramic images derived from DICOM files processed by four distinct dental imaging software platforms. METHODS: The dataset consisted of 332 implant position images derived from DICOM files of 184 CBCT scans. Three hundred images were processed using DentiPlan Pro 3.7 software (NECTEC, NSTDA, Thailand) for the development of Faster R-CNN and YOLOv7 models for dental implant planning. For model testing, 32 additional implant position images, which were not included in the training set, were processed using four different software programs: DentiPlan Pro 3.7, DentiPlan Pro Plus 5.0 (DTP; NECTEC, NSTDA, Thailand), Implastation (ProDigiDent USA, USA), and Romexis 6.0 (Planmeca, Finland). The performance of the models was evaluated using detection rate, accuracy, precision, recall, F1 score, and the Jaccard Index (JI). RESULTS: Faster R-CNN achieved superior accuracy across imaging modalities, while YOLOv7 demonstrated higher detection rates, albeit with lower precision. The impact of image rendering algorithms on model performance underscores the need for standardized preproces</w:t>
      </w:r>
    </w:p>
    <w:p>
      <w:pPr/>
      <w:r>
        <w:rPr>
          <w:b/>
        </w:rPr>
        <w:t>POSSIBLE 2025:</w:t>
      </w:r>
      <w:r>
        <w:t xml:space="preserve"> Dissemination planning in exercise oncology trials—a systematic review of trial protocols — https://doi.org/10.1007/s00520-025-09532-4</w:t>
      </w:r>
    </w:p>
    <w:p>
      <w:pPr/>
      <w:r>
        <w:rPr>
          <w:b/>
        </w:rPr>
        <w:t>Shared claim-specific concepts:</w:t>
      </w:r>
      <w:r>
        <w:t xml:space="preserve"> planning, exercise, examined, critical, healthcare; EU scope not established. This is a provisional connection, not an outcome finding.</w:t>
      </w:r>
    </w:p>
    <w:p>
      <w:pPr>
        <w:pStyle w:val="SourceNote"/>
      </w:pPr>
      <w:r>
        <w:rPr>
          <w:b/>
        </w:rPr>
        <w:t>Available abstract (not full text):</w:t>
      </w:r>
      <w:r>
        <w:t xml:space="preserve"> PURPOSE: The paucity of exercise rehabilitation services for cancer survivors indicates a research-to-practice gap. Dissemination and Implementation research addresses this gap by focusing on the adoption, implementation, and sustainability of evidence-based interventions. Dissemination, the active process of sharing research findings, is critical to the implementation of evidence-based practice. This systematic review examined adherence of exercise oncology trial protocols to the SPIRIT 2013 checklist items pertaining to dissemination planning, items 31a, 31b, and 31c, which address how dissemination is planned, authorship eligibility is considered, and what plans are in place to share data and the protocol. METHODS: A systematic review was conducted following the PRISMA guidelines. EMBASE, MEDLINE, CINAHL, Web of Science-Core Collection, Google Scholar, and the Central Trial Registry via Cochrane were searched (16/05/2024). Title and abstract screening, full-text review, and data extraction were completed in duplicate. RESULTS: Eighty-six trial protocols were included, thirty-one (36.1%) did not report dissemination plans. Item 31 was reported as follows (n = number of trials, frequency (%)); 31a plans to communicate trial results to: participants (n = 19, 22.1%), healthcare professionals (n = 43, 50%), the public (n = 25, 29.2%), and other relevant groups (n = 22, 25.6%), 31</w:t>
      </w:r>
    </w:p>
    <w:p>
      <w:pPr/>
      <w:r>
        <w:rPr>
          <w:b/>
        </w:rPr>
        <w:t>POSSIBLE 2023:</w:t>
      </w:r>
      <w:r>
        <w:t xml:space="preserve"> Forecasting pandemic quarantine in New Zealand and Australia: A scoping review of quarantine characteristics and capabilities within preparedness plans and pandemic exercise reports from 2002 to 2019 — https://doi.org/10.1016/j.jiph.2023.10.017</w:t>
      </w:r>
    </w:p>
    <w:p>
      <w:pPr/>
      <w:r>
        <w:rPr>
          <w:b/>
        </w:rPr>
        <w:t>Shared claim-specific concepts:</w:t>
      </w:r>
      <w:r>
        <w:t xml:space="preserve"> reports, exercise, four, two, state; EU scope not established. This is a provisional connection, not an outcome finding.</w:t>
      </w:r>
    </w:p>
    <w:p>
      <w:pPr>
        <w:pStyle w:val="SourceNote"/>
      </w:pPr>
      <w:r>
        <w:rPr>
          <w:b/>
        </w:rPr>
        <w:t>Available abstract (not full text):</w:t>
      </w:r>
      <w:r>
        <w:t xml:space="preserve"> BACKGROUND: This scoping review aims to identify and critically review quarantine preparedness in New Zealand and Australia pre-COVID-19 by categorising, comparing, and evaluating quarantine information contained within pandemic plans and exercises from both countries. METHODS: Parliamentary websites, including Archives New Zealand, ParlInfo and Google Scholar, were searched for publicly available plans and exercise reports from 2002 to 2019. Data were extracted from documents meeting the inclusion criteria and analysed using directive content analysis based on the Australian Disaster Preparedness Framework categories. This scoping review followed the Joanna Briggs Institute methodology for scoping reviews, which guided the data extraction, analysis, and presentation of results. RESULTS: A total of 16 documents mentioned quarantine and were included in this scoping review. The emphasis and level of detail regarding quarantine characteristics and capabilities varied between New Zealand's five documents (one plan and four exercise reports) and Australia's 11 documents (one Influenza pandemic plan, eight state plans and two exercise reports). New Zealand's plan forecasted the need for both voluntary quarantine at home and involuntary quarantine in facilities for incoming travellers, whilst the Australian Influenza pandemic plan and state plans primarily considered voluntary quaran</w:t>
      </w:r>
    </w:p>
    <w:p>
      <w:pPr/>
      <w:r>
        <w:rPr>
          <w:b/>
        </w:rPr>
        <w:t>POSSIBLE 2023:</w:t>
      </w:r>
      <w:r>
        <w:t xml:space="preserve"> Impact of low-calorie diet plans and structured strength training regimens on body recomposition: A four-month case report — https://doi.org/10.4103/kleuhsj.kleuhsj_517_22</w:t>
      </w:r>
    </w:p>
    <w:p>
      <w:pPr/>
      <w:r>
        <w:rPr>
          <w:b/>
        </w:rPr>
        <w:t>Shared claim-specific concepts:</w:t>
      </w:r>
      <w:r>
        <w:t xml:space="preserve"> exercise, four, different; EU scope not established. This is a provisional connection, not an outcome finding.</w:t>
      </w:r>
    </w:p>
    <w:p>
      <w:pPr>
        <w:pStyle w:val="SourceNote"/>
      </w:pPr>
      <w:r>
        <w:rPr>
          <w:b/>
        </w:rPr>
        <w:t>Available abstract (not full text):</w:t>
      </w:r>
      <w:r>
        <w:t xml:space="preserve"> A normal body weight can be maintained by balancing skeletal muscle mass (SMM) and body fat mass (BFM). InBody™ 270 is an easy-to-use bioelectrical impedance device when it comes to monitoring body parameters such as SMM and BFM. Such body parameters when kept in balance can reduce lifestyle diseases. This case report is an attempt to elucidate the impact of different diet plans and exercise regimens on changing (recomposition) the body composition parameters (SMM, BFM, etc.). One of the authors performed the experiments and recorded the observations. The blueprint for the diet included strategies such as low-calorie plans and intermittent fasting. The exercise regimen had different combinations of whole-body strength training four times a week. Almost eight kg of BFM was lost. The body weight had been brought to normalcy, and at the same time, SMM was preserved due to dietary interventions and exercises.</w:t>
      </w:r>
    </w:p>
    <w:p>
      <w:pPr/>
      <w:r>
        <w:rPr>
          <w:b/>
        </w:rPr>
        <w:t>POSSIBLE 2023:</w:t>
      </w:r>
      <w:r>
        <w:t xml:space="preserve"> How different incentives influence reported motivation and perceptions of performance in Ghanaian community-based health planning and services zones — https://doi.org/10.1186/s13104-023-06286-2</w:t>
      </w:r>
    </w:p>
    <w:p>
      <w:pPr/>
      <w:r>
        <w:rPr>
          <w:b/>
        </w:rPr>
        <w:t>Shared claim-specific concepts:</w:t>
      </w:r>
      <w:r>
        <w:t xml:space="preserve"> planning, four, different, two, care; EU scope not established. This is a provisional connection, not an outcome finding.</w:t>
      </w:r>
    </w:p>
    <w:p>
      <w:pPr>
        <w:pStyle w:val="SourceNote"/>
      </w:pPr>
      <w:r>
        <w:rPr>
          <w:b/>
        </w:rPr>
        <w:t>Available abstract (not full text):</w:t>
      </w:r>
      <w:r>
        <w:t xml:space="preserve"> BACKGROUND: Maternal mortality is still a burden worldwide, and Ghana's maternal and child mortalities are still high. Incentive schemes have been effective in improving health workers' performance thereby reducing maternal and child deaths. The efficiency of public health services in most developing countries has been linked to the provision of incentives. Thus, financial packages for Community Health Volunteers (CHVs) serve as enablers for them to be focused and committed to their work. However, the poor performance of CHVs is still a challenge in health service delivery in many developing countries. Although the reasons for these persistent problems are understood, we need to find out how to implement what works in the face of political will and financial constraints. This study assesses how different incentives influence reported motivation and perceptions of performance in Community-based Health Planning and Services Program (CHPS) zones in the Upper East region. METHODS: A quasi-experimental study design with post-intervention measurement was used. Performance-based interventions were implemented for 1 year in the Upper East region. The different interventions were rolled out in 55 of 120 CHPS zones. The 55 CHPS zones were randomly assigned to four groups: three groups of 14 CHPS zones with the last group containing 13 CHPS zones. Several alternative types of financial an</w:t>
      </w:r>
    </w:p>
    <w:p>
      <w:pPr/>
      <w:r>
        <w:rPr>
          <w:b/>
        </w:rPr>
        <w:t>POSSIBLE 2022:</w:t>
      </w:r>
      <w:r>
        <w:t xml:space="preserve"> A Study on the Translatability of the Developmental Assessment Report into the Individualized Education Plan in the Philippines — https://doi.org/10.1080/1034912x.2022.2095557</w:t>
      </w:r>
    </w:p>
    <w:p>
      <w:pPr/>
      <w:r>
        <w:rPr>
          <w:b/>
        </w:rPr>
        <w:t>Shared claim-specific concepts:</w:t>
      </w:r>
      <w:r>
        <w:t xml:space="preserve"> reports, four, different; EU scope not established. This is a provisional connection, not an outcome finding.</w:t>
      </w:r>
    </w:p>
    <w:p>
      <w:pPr>
        <w:pStyle w:val="SourceNote"/>
      </w:pPr>
      <w:r>
        <w:rPr>
          <w:b/>
        </w:rPr>
        <w:t>Available abstract (not full text):</w:t>
      </w:r>
      <w:r>
        <w:t xml:space="preserve"> The Special Education Process (SEP) demands the collaboration of various professionals and personalities to create the Individualised Education Plan (IEP), beginning with the evaluation conducted by clinical psychologists, psychiatrists and in this study, developmental paediatricians. Assessments acts as a keystone document, serving as basis for determining placement levels, student support requirements and depth of academic training to be implemented. With inclusion gradually being implemented in the Philippines, the study sought to determine the translatability of the assessment report produced by developmental paediatricians into the IEP. The study used documentary analysis of 50 individualised education plans derived from the assessment reports of 10 different developmental paediatricians. The documents were analysed to determine the presence of components needed to refer to in making the IEP. The data shows that the assessment reports have four components, namely profile, present level of condition, report and recommendation. These components can be used as reference material in creating the IEP, and as a basis for a structured approach in creating the document. However, the study also shows how the report content and structure slightly differ for each other, making some of the reports easier to refer to compared to others.</w:t>
      </w:r>
    </w:p>
    <w:p>
      <w:pPr/>
      <w:r>
        <w:rPr>
          <w:b/>
        </w:rPr>
        <w:t>POSSIBLE 2022:</w:t>
      </w:r>
      <w:r>
        <w:t xml:space="preserve"> Measurement invariance testing using confirmatory factor analysis and alignment optimization: A tutorial for transparent analysis planning and reporting. — https://doi.org/10.1037/met0000441</w:t>
      </w:r>
    </w:p>
    <w:p>
      <w:pPr/>
      <w:r>
        <w:rPr>
          <w:b/>
        </w:rPr>
        <w:t>Shared claim-specific concepts:</w:t>
      </w:r>
      <w:r>
        <w:t xml:space="preserve"> planning, four, different, two; EU scope not established. This is a provisional connection, not an outcome finding.</w:t>
      </w:r>
    </w:p>
    <w:p>
      <w:pPr>
        <w:pStyle w:val="SourceNote"/>
      </w:pPr>
      <w:r>
        <w:rPr>
          <w:b/>
        </w:rPr>
        <w:t>Available abstract (not full text):</w:t>
      </w:r>
      <w:r>
        <w:t xml:space="preserve"> Measurement invariance-the notion that the measurement properties of a scale are equal across groups, contexts, or time-is an important assumption underlying much of psychology research. The traditional approach for evaluating measurement invariance is to fit a series of nested measurement models using multiple-group confirmatory factor analyses. However, traditional approaches are strict, vary across the field in implementation, and present multiplicity challenges, even in the simplest case of two groups under study. The alignment method was recently proposed as an alternative approach. This method is more automated, requires fewer decisions from researchers, and accommodates two or more groups. However, it has different assumptions, estimation techniques, and limitations from traditional approaches. To address the lack of accessible resources that explain the methodological differences and complexities between the two approaches, we introduce and illustrate both, comparing them side by side. First, we overview the concepts, assumptions, advantages, and limitations of each approach. Based on this overview, we propose a list of four key considerations to help researchers decide which approach to choose and how to document their analytical decisions in a preregistration or analysis plan. We then demonstrate our key considerations on an illustrative research question using an ope</w:t>
      </w:r>
    </w:p>
    <w:p>
      <w:pPr/>
      <w:r>
        <w:rPr>
          <w:b/>
        </w:rPr>
        <w:t>POSSIBLE 2021:</w:t>
      </w:r>
      <w:r>
        <w:t xml:space="preserve"> Lab Reports and Projects in Sport and Exercise Science — https://doi.org/10.4324/9781003112426</w:t>
      </w:r>
    </w:p>
    <w:p>
      <w:pPr/>
      <w:r>
        <w:rPr>
          <w:b/>
        </w:rPr>
        <w:t>Shared claim-specific concepts:</w:t>
      </w:r>
      <w:r>
        <w:t xml:space="preserve"> reports, planning, exercise, critical, engage, provides; EU scope not established. This is a provisional connection, not an outcome finding.</w:t>
      </w:r>
    </w:p>
    <w:p>
      <w:pPr>
        <w:pStyle w:val="SourceNote"/>
      </w:pPr>
      <w:r>
        <w:rPr>
          <w:b/>
        </w:rPr>
        <w:t>Available abstract (not full text):</w:t>
      </w:r>
      <w:r>
        <w:t xml:space="preserve"> Most science degrees will have a practical or laboratory-based component which will require some sort of final report, whether this be a conventional laboratory report or a final-year dissertation. All of these formats require students to be able to analyse their data in an appropriate way and subsequently convey their key thoughts and information to a third party. Therefore, writing laboratory reports is an essential part any science degree. This new revised edition sees the expansion of statistical examples including initial data checks and assumptions, increased awareness of critical appraisal tools and resources, project planning and a range of 'Challenge yourself' activities to supplement understanding and provides a comprehensive overview of what should be contained within each section of a scientific report, and clearly explains how it should be presented. Written in a friendly and engaging style, it guides the reader through abstracts, literature reviews, methodology, reporting discussions and referencing and contains a wealth of examples and practical advice on how to improve and refine your own writing. From writing a first lab report to preparing a final-year dissertation or postgraduate thesis, sports and exercise science students at all levels will find this book a valuable resource in developing both skill and confidence in scientific communication. Key features i</w:t>
      </w:r>
    </w:p>
    <w:p>
      <w:pPr/>
      <w:r>
        <w:rPr>
          <w:b/>
        </w:rPr>
        <w:t>POSSIBLE 2021:</w:t>
      </w:r>
      <w:r>
        <w:t xml:space="preserve"> Patient-Reported Outcomes of Regular Aerobic Exercise in Gastric Cancer — https://doi.org/10.3390/cancers13092080</w:t>
      </w:r>
    </w:p>
    <w:p>
      <w:pPr/>
      <w:r>
        <w:rPr>
          <w:b/>
        </w:rPr>
        <w:t>Shared claim-specific concepts:</w:t>
      </w:r>
      <w:r>
        <w:t xml:space="preserve"> exercise, life, defined; EU scope not established. This is a provisional connection, not an outcome finding.</w:t>
      </w:r>
    </w:p>
    <w:p>
      <w:pPr>
        <w:pStyle w:val="SourceNote"/>
      </w:pPr>
      <w:r>
        <w:rPr>
          <w:b/>
        </w:rPr>
        <w:t>Available abstract (not full text):</w:t>
      </w:r>
      <w:r>
        <w:t xml:space="preserve"> The benefits of exercise for health-related quality of life (HRQOL) and depression in patients with gastrointestinal disease remain unclear, and studies on gastric cancer are scant. This study examines the association between the maintenance of regular aerobic exercise at a recommended level and depression and HRQOL in patients with gastric cancer during or after treatment. In this cross-sectional study, a face-to-face survey was used to collect data from 126 patients with primary gastric cancer during or after treatment in a tertiary acute-care hospital in Korea. Regular exercise was defined as regularly maintained aerobic exercise of at least moderate intensity consuming ≥4 metabolic equivalents for ≥150 min/wk for at least 6 months. Depression was measured using the 9-item version of the Patient Health Questionnaire, and HRQOL was assessed using the EORTC QLQ-C30. Patients who maintained aerobic exercise at a recommended level were less likely to have depression and more likely to have improved global QOL, as well as physical, role, and emotional functioning. Patients with depression were less likely to report improved global QOL and functioning. Thus, exercise can have a synergistic effect on improvement in HRQOL via indirect positive effects on depression and direct effects on HRQOL in patients with gastric cancer. Oncology nurses should encourage patients with gastric can</w:t>
      </w:r>
    </w:p>
    <w:p>
      <w:pPr>
        <w:pStyle w:val="Heading2"/>
      </w:pPr>
      <w:r>
        <w:t>915. Future prospects for personal security in travel by public transport</w:t>
      </w:r>
    </w:p>
    <w:p>
      <w:pPr>
        <w:pStyle w:val="SourceNote"/>
      </w:pPr>
      <w:r>
        <w:rPr>
          <w:b/>
        </w:rPr>
        <w:t>Original source (2014):</w:t>
      </w:r>
      <w:r>
        <w:t xml:space="preserve"> https://doi.org/10.1080/03081060.2014.976980</w:t>
      </w:r>
    </w:p>
    <w:p>
      <w:pPr/>
      <w:r>
        <w:t>Original wording (abstract; indexed_source_text_not_full_document_verified): Four future scenario narratives (to a 2040 time horizon) were developed for each application area. A final workshop consolidated and reviewed the narrative scenarios and pulled out key themes and priority issues for policy, practice and research for the near term.</w:t>
      </w:r>
    </w:p>
    <w:p>
      <w:pPr/>
      <w:r>
        <w:rPr>
          <w:b/>
        </w:rPr>
        <w:t>POSSIBLE 2026:</w:t>
      </w:r>
      <w:r>
        <w:t xml:space="preserve"> The Tension of Retention and Retirement: A Narrative Study of Full-Time Nursing Faculty Within Five Years of Retirement at Public, Four-Year Institutions in Texas — https://openalex.org/W7221400456</w:t>
      </w:r>
    </w:p>
    <w:p>
      <w:pPr/>
      <w:r>
        <w:rPr>
          <w:b/>
        </w:rPr>
        <w:t>Shared claim-specific concepts:</w:t>
      </w:r>
      <w:r>
        <w:t xml:space="preserve"> four, each, narrative, pulled, themes; EU scope not established. This is a provisional connection, not an outcome finding.</w:t>
      </w:r>
    </w:p>
    <w:p>
      <w:pPr>
        <w:pStyle w:val="SourceNote"/>
      </w:pPr>
      <w:r>
        <w:rPr>
          <w:b/>
        </w:rPr>
        <w:t>Available abstract (not full text):</w:t>
      </w:r>
      <w:r>
        <w:t xml:space="preserve"> This narrative inquiry, qualitative study explored the retirement decision-making process of nursing faculty at public, four-year institutions who were within five years of retirement. Through purposive sampling, 11 participants across eight institutions consented to participate and were interviewed via Zoom. Due to the nursing faculty shortage, the researcher hypothesized that nursing faculty nearing retirement may be retiring not only as a natural progression of their career but also because of factors that lead other early and mid-career faculty members to leave academia. Through thematic analysis, four themes emerged: Finding Meaning and Fulfillment in the Nurse Faculty Role, Institutional Factors Shaping Retirement Decisions, Navigating Aging Across the Career Lifespan, and Practical and Emotional Dimensions of Retirement Transition. While some participants planned to retire due to the natural progression of their careers, many cited factors causing job dissatisfaction as reasons for retiring. An interesting phenomenon was discovered: Within each subtheme, participants described tensions between job demands and job resources, with some participants citing institutional factors as reasons to consider retirement and others as reasons to remain in academia. Participants also described feeling pulled between competing personal desires as they contemplated retirement. Universit</w:t>
      </w:r>
    </w:p>
    <w:p>
      <w:pPr/>
      <w:r>
        <w:rPr>
          <w:b/>
        </w:rPr>
        <w:t>POSSIBLE 2026:</w:t>
      </w:r>
      <w:r>
        <w:t xml:space="preserve"> Developing a patient narrative interview guide using the Delphi method — https://doi.org/10.1186/s12909-026-08795-7</w:t>
      </w:r>
    </w:p>
    <w:p>
      <w:pPr/>
      <w:r>
        <w:rPr>
          <w:b/>
        </w:rPr>
        <w:t>Shared claim-specific concepts:</w:t>
      </w:r>
      <w:r>
        <w:t xml:space="preserve"> four, narratives, developed, each, narrative; EU scope not established. This is a provisional connection, not an outcome finding.</w:t>
      </w:r>
    </w:p>
    <w:p>
      <w:pPr>
        <w:pStyle w:val="SourceNote"/>
      </w:pPr>
      <w:r>
        <w:rPr>
          <w:b/>
        </w:rPr>
        <w:t>Available abstract (not full text):</w:t>
      </w:r>
      <w:r>
        <w:t xml:space="preserve"> Illness narratives are commonly elicited through interviews using structured or semi-structured tools. With the growing emphasis on patient-centered care and narrative medicine, interview guides should integrate both illness narratives and personal life stories. Such integration helps balance the “voice of medicine” with the “voice of the lifeworld,” fostering more holistic, empathetic, and contextually grounded communication between healthcare professionals and patients. Building on this perspective and the growing need in medical education, this study aimed to develop and validate a patient narrative interview tool and to evaluate its feasibility and usability through a pilot study. A preliminary version of the Patient Narrative Interview Guide (PNIG) was developed using a modified Delphi process and refined through three iterative rounds of consultation with 11 experts in narrative medicine, medical humanities, and medical education. Following expert consensus, three senior medical students each conducted a trial interview with a volunteer patient using the finalized guide. Feedback from students and patients was collected and analyzed using editorial analysis to explore perceptions of the PNIG and the interview experience, and to identify potential areas for improvement. The study produced a 26-item PNIG organized within a 3 × 4 multidimensional framework, comprising three </w:t>
      </w:r>
    </w:p>
    <w:p>
      <w:pPr/>
      <w:r>
        <w:rPr>
          <w:b/>
        </w:rPr>
        <w:t>POSSIBLE 2026:</w:t>
      </w:r>
      <w:r>
        <w:t xml:space="preserve"> PRACTICAL APPROACHES TO DEVELOPING CREATIVE THINKING IN PRESCHOOL CHILDREN: A NARRATIVE REVIEW — https://doi.org/10.5281/zenodo.23090972</w:t>
      </w:r>
    </w:p>
    <w:p>
      <w:pPr/>
      <w:r>
        <w:rPr>
          <w:b/>
        </w:rPr>
        <w:t>Shared claim-specific concepts:</w:t>
      </w:r>
      <w:r>
        <w:t xml:space="preserve"> four, each, narrative; EU scope not established. This is a provisional connection, not an outcome finding.</w:t>
      </w:r>
    </w:p>
    <w:p>
      <w:pPr>
        <w:pStyle w:val="SourceNote"/>
      </w:pPr>
      <w:r>
        <w:rPr>
          <w:b/>
        </w:rPr>
        <w:t>Available abstract (not full text):</w:t>
      </w:r>
      <w:r>
        <w:t xml:space="preserve"> This thesis reviews practical approaches to developing creative thinking in preschool children (about 3–6 years old). Drawing on early childhood guidance, two practitioner articles and a recent pilot study, it describes four approaches: guided pretend play, open-ended materials and process art, dialogic storytelling, and small inquiry projects. Each gives children a chance to propose varied ideas, adapt plans and explain choices through play. Based on these practices, a four-step classroom cycle is proposed: ask, explore, share, revise. Brief observations of talk, gestures, drawings and changes of plan can guide the next activity. The paper is a narrative review; it reports no original intervention or child-level data and makes no claim about measured effectiveness.</w:t>
      </w:r>
    </w:p>
    <w:p>
      <w:pPr/>
      <w:r>
        <w:rPr>
          <w:b/>
        </w:rPr>
        <w:t>POSSIBLE 2025:</w:t>
      </w:r>
      <w:r>
        <w:t xml:space="preserve"> The Early Narratives — https://doi.org/10.5117/9789089648235_ch02</w:t>
      </w:r>
    </w:p>
    <w:p>
      <w:pPr/>
      <w:r>
        <w:rPr>
          <w:b/>
        </w:rPr>
        <w:t>Shared claim-specific concepts:</w:t>
      </w:r>
      <w:r>
        <w:t xml:space="preserve"> four, narratives, each, final, narrative, issues; EU scope not established. This is a provisional connection, not an outcome finding.</w:t>
      </w:r>
    </w:p>
    <w:p>
      <w:pPr>
        <w:pStyle w:val="SourceNote"/>
      </w:pPr>
      <w:r>
        <w:rPr>
          <w:b/>
        </w:rPr>
        <w:t>Available abstract (not full text):</w:t>
      </w:r>
      <w:r>
        <w:t xml:space="preserve"> This chapter will analyse the structures of Paul’s first three narratives i.e. the HR , the Vita Sancti Gregorii Magni , and the Gesta Episcoporum Mettensium as a prelude to a lengthier examination and discussion of the HL . Examining these three works will allow us to not only understand Paul’s development as a writer and a historian, but also help us to understand how he put together his lengthiest and most important final work, the HL . For each of the three early narratives, we shall consider four principal issues: first, can a common narrative strategy be identified; secondly, do the works demonstrate evidence of Paul’s approach to events and individuals; thirdly, did Paul develop his own voice in his works or remain bound to the restrictions implied by his client relationship with patrons; and fourthly how did he use and select his sources?</w:t>
      </w:r>
    </w:p>
    <w:p>
      <w:pPr/>
      <w:r>
        <w:rPr>
          <w:b/>
        </w:rPr>
        <w:t>POSSIBLE 2024:</w:t>
      </w:r>
      <w:r>
        <w:t xml:space="preserve"> Working with Sport Clients in Transitions: Four Practitioners, Four Narratives — https://doi.org/10.1080/21520704.2024.2366828</w:t>
      </w:r>
    </w:p>
    <w:p>
      <w:pPr/>
      <w:r>
        <w:rPr>
          <w:b/>
        </w:rPr>
        <w:t>Shared claim-specific concepts:</w:t>
      </w:r>
      <w:r>
        <w:t xml:space="preserve"> four, narratives, each, practice; EU scope not established. This is a provisional connection, not an outcome finding.</w:t>
      </w:r>
    </w:p>
    <w:p>
      <w:pPr>
        <w:pStyle w:val="SourceNote"/>
      </w:pPr>
      <w:r>
        <w:rPr>
          <w:b/>
        </w:rPr>
        <w:t>Available abstract (not full text):</w:t>
      </w:r>
      <w:r>
        <w:t xml:space="preserve"> In this paper, we aim to present four narratives disclosing our applied experiences of working with sport clients in transitions. Within the narratives, each practitioner reflected on their professional philosophy, approaches used in practice, and provided a case illustration. The four included cases on transitions of a student-athlete, a retired jockey, a novice baseball coach, and a basketball coach were informed by diversified developmental theoretical perspectives, employing context-driven approaches, and person-centered collaborations. Consistent with the literature, we share effective ways of developing client awareness of the transition demands/barriers, helping them become more resourceful to cope, supporting their coping strategies, and stimulating reflexivity on their transition experience.</w:t>
      </w:r>
    </w:p>
    <w:p>
      <w:pPr/>
      <w:r>
        <w:rPr>
          <w:b/>
        </w:rPr>
        <w:t>POSSIBLE 2024:</w:t>
      </w:r>
      <w:r>
        <w:t xml:space="preserve"> Time and Space in the Narrative of Teacher Education — https://openalex.org/W7216888903</w:t>
      </w:r>
    </w:p>
    <w:p>
      <w:pPr/>
      <w:r>
        <w:rPr>
          <w:b/>
        </w:rPr>
        <w:t>Shared claim-specific concepts:</w:t>
      </w:r>
      <w:r>
        <w:t xml:space="preserve"> four, narratives, time, developed, narrative; EU scope not established. This is a provisional connection, not an outcome finding.</w:t>
      </w:r>
    </w:p>
    <w:p>
      <w:pPr>
        <w:pStyle w:val="SourceNote"/>
      </w:pPr>
      <w:r>
        <w:rPr>
          <w:b/>
        </w:rPr>
        <w:t>Available abstract (not full text):</w:t>
      </w:r>
      <w:r>
        <w:t xml:space="preserve"> This study explores the education narrative that has developed during one year in a clinical model of a teacher education program - academia class program. The study aims to describe the nature of the education process by monitoring the chronotope according to the narrative model conceived by Bakhtin, as well as assessing the references and contexts encompassed in a multi-voice narrative – in an ecological prospective. The findings indicate four different narratives that occur within one framework narrative. The analysis of findings according to the eco-system principles have resulted in the consolidation of a 5C type ecological model: context, continuity, characteristics, change, and coherence. The narrative model and the ecological model proposed in this study enhance the understanding of the nature of the education process, and offer rethinking the way policymakers shape the dimensions of time and space in teacher education, and their price in relation to processes of this kind.</w:t>
      </w:r>
    </w:p>
    <w:p>
      <w:pPr/>
      <w:r>
        <w:rPr>
          <w:b/>
        </w:rPr>
        <w:t>POSSIBLE 2023:</w:t>
      </w:r>
      <w:r>
        <w:t xml:space="preserve"> Perspectives on Narrative Time in Chinese Cinema — https://doi.org/10.1515/jcfs-2023-0010</w:t>
      </w:r>
    </w:p>
    <w:p>
      <w:pPr/>
      <w:r>
        <w:rPr>
          <w:b/>
        </w:rPr>
        <w:t>Shared claim-specific concepts:</w:t>
      </w:r>
      <w:r>
        <w:t xml:space="preserve"> four, time, narrative; EU scope not established. This is a provisional connection, not an outcome finding.</w:t>
      </w:r>
    </w:p>
    <w:p>
      <w:pPr>
        <w:pStyle w:val="SourceNote"/>
      </w:pPr>
      <w:r>
        <w:rPr>
          <w:b/>
        </w:rPr>
        <w:t>Available abstract (not full text):</w:t>
      </w:r>
      <w:r>
        <w:t xml:space="preserve"> Abstract The unique view of time rooted in traditional Chinese culture is distinct from that of Western countries. In the Eastern perspective, eternity and evanescence are unified in the axiom: “The passage of time is like flowing water.” This concept also creates a different perspective on narrative time in Chinese films, compared with Western films. In the Chinese perspective, firstly, traditional laws of time are fully respected, and the four seasons, solar terms, and festivals are often seen as time nodes; secondly, a nationally imagined unity of time and space is followed, and expressions of time are likely to be integrated into artistic images such as objects, weather phenomena, and natural landscapes; thirdly, the cognitive laws of nature are respected whereby the linear or circumferential track is adopted and therefore a sense of leisure comes up in resonance; finally, the time scale is based on perception, and Chinese aesthetic style is thus construed while fulfilling the needs of narrative.</w:t>
      </w:r>
    </w:p>
    <w:p>
      <w:pPr/>
      <w:r>
        <w:rPr>
          <w:b/>
        </w:rPr>
        <w:t>POSSIBLE 2023:</w:t>
      </w:r>
      <w:r>
        <w:t xml:space="preserve"> Narrative, Time, and Disaster — https://doi.org/10.1215/00295132-10562980</w:t>
      </w:r>
    </w:p>
    <w:p>
      <w:pPr/>
      <w:r>
        <w:rPr>
          <w:b/>
        </w:rPr>
        <w:t>Shared claim-specific concepts:</w:t>
      </w:r>
      <w:r>
        <w:t xml:space="preserve"> four, narratives, time, developed, each, area; EU scope not established. This is a provisional connection, not an outcome finding.</w:t>
      </w:r>
    </w:p>
    <w:p>
      <w:pPr>
        <w:pStyle w:val="SourceNote"/>
      </w:pPr>
      <w:r>
        <w:rPr>
          <w:b/>
        </w:rPr>
        <w:t>Available abstract (not full text):</w:t>
      </w:r>
      <w:r>
        <w:t xml:space="preserve"> In 2004 I joined a student volunteer group. I was a graduate student in Johannesburg, and our volunteer group taught at an unregistered school in an informal settlement in Eikenhof, south of Johannesburg, once a week. The school had no full-time teachers because it was not recognized by the government. In December we put together food parcels to distribute to people living with HIV in the area. Our visits were difficult. Many of the patients had full-blown AIDS. I remember one woman had a five-year-old son—a stylish little gent who cheerfully chatted with us and asked us to photograph him in different poses. His mother had little time left. She told us she had been on antiretroviral medication dispensed by the clinic at no charge but had stopped taking them because they made her sicker. She did not have consistent access to food. Sitting in her home, I kept thinking the zinc and cardboard shack was no match for Johannesburg's brutal winters. I felt defeated—defeated by the futility of our volunteer teaching and our December visits, which were thin Band-Aids on deep wounds. The visits triggered other memories. They reminded me of 1999, when I visited my grandfather during school holidays back in Kenya. I knew my aunt had been unwell but hadn't realized how seriously ill she was. Soon after exchanging greetings, my grandfather said: “enda uone mama yako, labda alikuwa anakungoja”</w:t>
      </w:r>
    </w:p>
    <w:p>
      <w:pPr/>
      <w:r>
        <w:rPr>
          <w:b/>
        </w:rPr>
        <w:t>POSSIBLE 2022:</w:t>
      </w:r>
      <w:r>
        <w:t xml:space="preserve"> Time and Narrative in Augustine’s City of God and Confessions — https://openalex.org/W7217744295</w:t>
      </w:r>
    </w:p>
    <w:p>
      <w:pPr/>
      <w:r>
        <w:rPr>
          <w:b/>
        </w:rPr>
        <w:t>Shared claim-specific concepts:</w:t>
      </w:r>
      <w:r>
        <w:t xml:space="preserve"> time, narrative, out; EU scope not established. This is a provisional connection, not an outcome finding.</w:t>
      </w:r>
    </w:p>
    <w:p>
      <w:pPr>
        <w:pStyle w:val="SourceNote"/>
      </w:pPr>
      <w:r>
        <w:rPr>
          <w:b/>
        </w:rPr>
        <w:t>Available abstract (not full text):</w:t>
      </w:r>
      <w:r>
        <w:t xml:space="preserve"> This paper examines the connections between Augustine ́s conception of Time in two of his main works: City of God and Confession. The issue of Time is crucial for Augustine ́s narrative purposes, and it appears in his account of the history of mankind – the City of God, just as it appears in his account of his own history – the Confessions. Book XI in both works discuss time and creation, and put the narrativeof the book in the context of time as a whole. The two accounts proceed from similar motivations and in a similar method. But they at the same time complete eachother: the account of the Confessions is more detailed in the way it presents the problem and works out the solution step by step; the City of God seems to pick it upfrom where Confessions leaves off and takes it a step further. In this paper, I first briefly sketch the concept of time as presented in Confessions XI. I continue bypointing out how it is completed in the account in City of God I conclude by indicating how these two accounts together put into perspective Augustine’s concern with narrative, as well as his use of it.</w:t>
      </w:r>
    </w:p>
    <w:p>
      <w:pPr/>
      <w:r>
        <w:rPr>
          <w:b/>
        </w:rPr>
        <w:t>POSSIBLE 2022:</w:t>
      </w:r>
      <w:r>
        <w:t xml:space="preserve"> The Narrative Tone of Stories — https://doi.org/10.4324/9781003316503-4</w:t>
      </w:r>
    </w:p>
    <w:p>
      <w:pPr/>
      <w:r>
        <w:rPr>
          <w:b/>
        </w:rPr>
        <w:t>Shared claim-specific concepts:</w:t>
      </w:r>
      <w:r>
        <w:t xml:space="preserve"> four, developed, each, narrative; EU scope not established. This is a provisional connection, not an outcome finding.</w:t>
      </w:r>
    </w:p>
    <w:p>
      <w:pPr>
        <w:pStyle w:val="SourceNote"/>
      </w:pPr>
      <w:r>
        <w:rPr>
          <w:b/>
        </w:rPr>
        <w:t>Available abstract (not full text):</w:t>
      </w:r>
      <w:r>
        <w:t xml:space="preserve"> Every author develops a narrative tone in their writings, either consciously or unconsciously. This chapter examines two aspects of narrative tone, both of which are especially relevant to the ideas used in this research. One of the concepts is the attachment style used in each story. John Bowlby was the ‘father’ of attachment theory; Mary Ainsworth is the lesser-known ‘mother’ of the theory. The author describes the four types of attachment style: namely, secure, insecure ambivalent, insecure avoidant, insecure disorganised. Each attachment schema is described in some detail. The author then moves on to another facet of narrative tone: namely, to the visions of reality or world views depicted in writings. The author uses a typology of world views developed by Northrop Frye: Romantic, Comic, Tragic and Ironic. Later writers (Messer &amp; Winokur, and Shafer) have identified the underlying metatheoretical assumptions of these world views as they pertain to the four main differing theoretical modalities in counselling and psychotherapy. The four competing visions are completely at odds with each other in some regards; in others, it is a matter of gradation. A number of elements are compared and contrasted: loci of responsibility and control; agency and structure; optimism versus pessimism. The author stresses that the world view put forward in each story may be expressed consciously </w:t>
      </w:r>
    </w:p>
    <w:p>
      <w:pPr/>
      <w:r>
        <w:rPr>
          <w:b/>
        </w:rPr>
        <w:t>POSSIBLE 2022:</w:t>
      </w:r>
      <w:r>
        <w:t xml:space="preserve"> Spatialising time: Perceiving multiple layers of time in narrative environment — https://doi.org/10.7454/arsnet.v2i2.19</w:t>
      </w:r>
    </w:p>
    <w:p>
      <w:pPr/>
      <w:r>
        <w:rPr>
          <w:b/>
        </w:rPr>
        <w:t>Shared claim-specific concepts:</w:t>
      </w:r>
      <w:r>
        <w:t xml:space="preserve"> four, time, narrative; EU scope not established. This is a provisional connection, not an outcome finding.</w:t>
      </w:r>
    </w:p>
    <w:p>
      <w:pPr>
        <w:pStyle w:val="SourceNote"/>
      </w:pPr>
      <w:r>
        <w:rPr>
          <w:b/>
        </w:rPr>
        <w:t>Available abstract (not full text):</w:t>
      </w:r>
      <w:r>
        <w:t xml:space="preserve"> There is no escape from time. That includes architecture which dominantly discusses space. This paper aims to explore how people can experience time spatially. Notably, this study looks at the context of the narrative environment where stories are imbued in space to enhance their engagement with the audience. Time in a narrative is presented through the narrated time and the real-world time where the audience of the narrative perceive it. Both types of time can be overlapped, whether the audience is consciously aware of that or not. Time is integrated into a narrative through order, plot, pace, and duration. All these four aspects are experienced by the visitor of a narrative environment to connect events and make sense of their journey and the whole story. The relationship between events experienced through time creates a spatial trajectory. Two case studies were conducted to explore this idea: a visit to Museum Kebangkitan Nasional and participation in Secret Cinema. It is found that time can be spatialised through the explicit transition of graphics, a play of lighting, and overall spatial organisation.</w:t>
      </w:r>
    </w:p>
    <w:p>
      <w:pPr/>
      <w:r>
        <w:rPr>
          <w:b/>
        </w:rPr>
        <w:t>POSSIBLE 2021:</w:t>
      </w:r>
      <w:r>
        <w:t xml:space="preserve"> Time Machines: Artificial Intelligence, Process, and Narrative — https://doi.org/10.1007/s13347-021-00479-y</w:t>
      </w:r>
    </w:p>
    <w:p>
      <w:pPr/>
      <w:r>
        <w:rPr>
          <w:b/>
        </w:rPr>
        <w:t>Shared claim-specific concepts:</w:t>
      </w:r>
      <w:r>
        <w:t xml:space="preserve"> narratives, time, narrative; EU scope not established. This is a provisional connection, not an outcome finding.</w:t>
      </w:r>
    </w:p>
    <w:p>
      <w:pPr>
        <w:pStyle w:val="SourceNote"/>
      </w:pPr>
      <w:r>
        <w:rPr>
          <w:b/>
        </w:rPr>
        <w:t>Available abstract (not full text):</w:t>
      </w:r>
      <w:r>
        <w:t xml:space="preserve"> Abstract While today there is much discussion about the ethics of artificial intelligence (AI), less work has been done on the philosophical nature of AI. Drawing on Bergson and Ricoeur, this paper proposes to use the concepts of time, process, and narrative to conceptualize AI and its normatively relevant impact on human lives and society. Distinguishing between a number of different ways in which AI and time are related, the paper explores what it means to understand AI as narrative, as process, or as the emergent outcome of processes and narratives. It pays particular attention to what it calls the “narrator” and “time machine” roles of AI and the normative implications of these roles. It argues that AI processes and narratives shape our time and link past, present, and future in particular ways that are ethically and politically significant.</w:t>
      </w:r>
    </w:p>
    <w:p>
      <w:pPr>
        <w:pStyle w:val="Heading2"/>
      </w:pPr>
      <w:r>
        <w:t>916. How climate, migration ability and habitat fragmentation affect the projected future distribution of European beech</w:t>
      </w:r>
    </w:p>
    <w:p>
      <w:pPr>
        <w:pStyle w:val="SourceNote"/>
      </w:pPr>
      <w:r>
        <w:rPr>
          <w:b/>
        </w:rPr>
        <w:t>Original source (2014):</w:t>
      </w:r>
      <w:r>
        <w:t xml:space="preserve"> https://doi.org/10.1111/gcb.12771</w:t>
      </w:r>
    </w:p>
    <w:p>
      <w:pPr/>
      <w:r>
        <w:t>Original wording (abstract; indexed_source_text_not_full_document_verified): Here, we projected the range shift of European beech over the 21st century using a process-based SDM coupled to a phenomenological migration model accounting for population dynamics, according to two climate change scenarios and one land use change scenario. As a result, the realized distribution of beech is projected to strongly contract by 2100 (by 36-61%) mainly due to a substantial increase in climate variability after 2050, which generates local extinctions, even at the core of the distribution, the frequency of which prevents beech recolonization during more favourable years.</w:t>
      </w:r>
    </w:p>
    <w:p>
      <w:pPr/>
      <w:r>
        <w:rPr>
          <w:b/>
        </w:rPr>
        <w:t>POSSIBLE 2026:</w:t>
      </w:r>
      <w:r>
        <w:t xml:space="preserve"> Marine fish ranges are expanding and shifting deeper across the European continental shelf — https://doi.org/10.1038/s41467-026-74371-8</w:t>
      </w:r>
    </w:p>
    <w:p>
      <w:pPr/>
      <w:r>
        <w:rPr>
          <w:b/>
        </w:rPr>
        <w:t>Shared claim-specific concepts:</w:t>
      </w:r>
      <w:r>
        <w:t xml:space="preserve"> here, range, over, population, climate, distribution; EU scope visible. This is a provisional connection, not an outcome finding.</w:t>
      </w:r>
    </w:p>
    <w:p>
      <w:pPr>
        <w:pStyle w:val="SourceNote"/>
      </w:pPr>
      <w:r>
        <w:rPr>
          <w:b/>
        </w:rPr>
        <w:t>Available abstract (not full text):</w:t>
      </w:r>
      <w:r>
        <w:t xml:space="preserve"> Understanding how climate change and exploitation affect marine species distribution is key for biodiversity conservation. While warming is typically expected to drive species poleward and into deeper waters, unexpected patterns such as equatorward shifts and shallowing also occur. Fishing pressure may further contract species' ranges. Yet, the mechanisms underpinning these 3-dimensional range shifts remain largely unresolved. Using 92,961 bottom trawl samples across the European continental shelf, covering 607 fish species over four decades, we show that deepening is predominant, with 60% of populations experiencing an increase in their average depth. Contrary to expectations, latitudinal shifts are balanced, with 49% of populations shifting poleward and 51% equatorward. Here, we quantify how population relocations are driven by the interplay between environmental factors and species traits as species track their optimal ecological niches. We also highlight that the recent reduction in fishing pressure has likely facilitated spatial expansions and increases in populations abundance.</w:t>
      </w:r>
    </w:p>
    <w:p>
      <w:pPr/>
      <w:r>
        <w:rPr>
          <w:b/>
        </w:rPr>
        <w:t>POSSIBLE 2025:</w:t>
      </w:r>
      <w:r>
        <w:t xml:space="preserve"> Taxus tree-ring chronologies from southern England reveal western European hydroclimate changes over the past three centuries — https://doi.org/10.1007/s00382-025-07601-2</w:t>
      </w:r>
    </w:p>
    <w:p>
      <w:pPr/>
      <w:r>
        <w:rPr>
          <w:b/>
        </w:rPr>
        <w:t>Shared claim-specific concepts:</w:t>
      </w:r>
      <w:r>
        <w:t xml:space="preserve"> here, range, over, century, climate; EU scope visible. This is a provisional connection, not an outcome finding.</w:t>
      </w:r>
    </w:p>
    <w:p>
      <w:pPr>
        <w:pStyle w:val="SourceNote"/>
      </w:pPr>
      <w:r>
        <w:rPr>
          <w:b/>
        </w:rPr>
        <w:t>Available abstract (not full text):</w:t>
      </w:r>
      <w:r>
        <w:t xml:space="preserve"> Abstract Heatwaves and summer droughts across Europe are likely to intensify under anthropogenic global warming thereby affecting ecological and societal systems. To place modern trends and extremes in the context of past natural variability, annually resolved and absolutely dated climate reconstructions are needed. Here, we present a network of 153 yew (Taxus baccata L.) tree-ring width (TRW) series from 22 sites in southern England that cover the past 310 years. Significant positive correlations were found between TRW chronologies and both April–July precipitation totals (r &gt; 0.7) and July drought indices (r &gt; 0.59) back to 1901 CE (p &lt; 0.05). We used a suite of residual and standard TRW chronologies to reconstruct interannual to multi-decadal spring–summer precipitation and mid-summer drought variability over western Europe, respectively. Our yew hydroclimate reconstructions capture the majority of reported summer droughts and pluvials back to 1710 CE. Clusters of severe drought spells occurred in the second half of the 18th and mid-twentieth century. Our study suggests that the frequency and intensity of recent hydroclimate extremes over western Europe are likely still within the range of past natural variability.</w:t>
      </w:r>
    </w:p>
    <w:p>
      <w:pPr/>
      <w:r>
        <w:rPr>
          <w:b/>
        </w:rPr>
        <w:t>POSSIBLE 2024:</w:t>
      </w:r>
      <w:r>
        <w:t xml:space="preserve"> Unexpected westward range shifts in European forest plants link to nitrogen deposition — https://doi.org/10.1126/science.ado0878</w:t>
      </w:r>
    </w:p>
    <w:p>
      <w:pPr/>
      <w:r>
        <w:rPr>
          <w:b/>
        </w:rPr>
        <w:t>Shared claim-specific concepts:</w:t>
      </w:r>
      <w:r>
        <w:t xml:space="preserve"> here, range, dynamics, climate, distribution; EU scope visible. This is a provisional connection, not an outcome finding.</w:t>
      </w:r>
    </w:p>
    <w:p>
      <w:pPr>
        <w:pStyle w:val="SourceNote"/>
      </w:pPr>
      <w:r>
        <w:rPr>
          <w:b/>
        </w:rPr>
        <w:t>Available abstract (not full text):</w:t>
      </w:r>
      <w:r>
        <w:t xml:space="preserve"> Climate change is commonly assumed to induce species' range shifts toward the poles. Yet, other environmental changes may affect the geographical distribution of species in unexpected ways. Here, we quantify multidecadal shifts in the distribution of European forest plants and link these shifts to key drivers of forest biodiversity change: climate change, atmospheric deposition (nitrogen and sulfur), and forest canopy dynamics. Surprisingly, westward distribution shifts were 2.6 times more likely than northward ones. Not climate change, but nitrogen-mediated colonization events, possibly facilitated by the recovery from past acidifying deposition, best explain westward movements. Biodiversity redistribution patterns appear complex and are more likely driven by the interplay among several environmental changes than due to the exclusive effects of climate change alone.</w:t>
      </w:r>
    </w:p>
    <w:p>
      <w:pPr/>
      <w:r>
        <w:rPr>
          <w:b/>
        </w:rPr>
        <w:t>POSSIBLE 2024:</w:t>
      </w:r>
      <w:r>
        <w:t xml:space="preserve"> Range and climate niche shifts in European and North American breeding birds — https://doi.org/10.1098/rstb.2023.0013</w:t>
      </w:r>
    </w:p>
    <w:p>
      <w:pPr/>
      <w:r>
        <w:rPr>
          <w:b/>
        </w:rPr>
        <w:t>Shared claim-specific concepts:</w:t>
      </w:r>
      <w:r>
        <w:t xml:space="preserve"> here, range, dynamics, two, climate, land; EU scope visible. This is a provisional connection, not an outcome finding.</w:t>
      </w:r>
    </w:p>
    <w:p>
      <w:pPr>
        <w:pStyle w:val="SourceNote"/>
      </w:pPr>
      <w:r>
        <w:rPr>
          <w:b/>
        </w:rPr>
        <w:t>Available abstract (not full text):</w:t>
      </w:r>
      <w:r>
        <w:t xml:space="preserve"> Species respond dynamically to climate change and exhibit time lags. Consequently, species may not occupy their full climatic niche during range shifting. Here, we assessed climate niche tracking during recent range shifts of European and United States (US) birds. Using data from two European bird atlases and from the North American Breeding Bird Survey between the 1980s and 2010s, we analysed range overlap and climate niche overlap based on kernel density estimation. Phylogenetic multiple regression was used to assess the effect of species morphological, ecological and biogeographic traits on range and niche metrics. European birds shifted their ranges north and north-eastwards, US birds westwards. Range unfilling was lower than expected by null models, and niche expansion was more common than niche unfilling. Also, climate niche tracking was generally lower in US birds and poorly explained by species traits. Overall, our results suggest that dispersal limitations were minor in range shifting birds in Europe and the USA while delayed extinctions from unfavourable areas seem more important. Regional differences could be related to differences in land use history and monitoring schemes. Comparative analyses of range and niche shifts provide a useful screening approach for identifying the importance of transient dynamics and time-lagged responses to climate change. This article i</w:t>
      </w:r>
    </w:p>
    <w:p>
      <w:pPr/>
      <w:r>
        <w:rPr>
          <w:b/>
        </w:rPr>
        <w:t>POSSIBLE 2024:</w:t>
      </w:r>
      <w:r>
        <w:t xml:space="preserve"> Transnational conservation to anticipate future plant shifts in Europe — https://doi.org/10.1038/s41559-023-02287-3</w:t>
      </w:r>
    </w:p>
    <w:p>
      <w:pPr/>
      <w:r>
        <w:rPr>
          <w:b/>
        </w:rPr>
        <w:t>Shared claim-specific concepts:</w:t>
      </w:r>
      <w:r>
        <w:t xml:space="preserve"> here, shift, migration, one, land, distribution; EU scope visible. This is a provisional connection, not an outcome finding.</w:t>
      </w:r>
    </w:p>
    <w:p>
      <w:pPr>
        <w:pStyle w:val="SourceNote"/>
      </w:pPr>
      <w:r>
        <w:rPr>
          <w:b/>
        </w:rPr>
        <w:t>Available abstract (not full text):</w:t>
      </w:r>
      <w:r>
        <w:t xml:space="preserve"> To meet the COP15 biodiversity framework in the European Union (EU), one target is to protect 30% of its land by 2030 through a resilient transnational conservation network. The European Alps are a key hub of this network hosting some of the most extensive natural areas and biodiversity hotspots in Europe. Here we assess the robustness of the current European reserve network to safeguard the European Alps' flora by 2080 using semi-mechanistic simulations. We first highlight that the current network needs strong readjustments as it does not capture biodiversity patterns as well as our conservation simulations. Overall, we predict a strong shift in conservation need through time along latitudes, and from lower to higher elevations as plants migrate upslope and shrink their distribution. While increasing species, trait and evolutionary diversity, migration could also threaten 70% of the resident flora. In the face of global changes, the future European reserve network will need to ensure strong elevation and latitudinal connections to complementarily protect multifaceted biodiversity beyond national borders.</w:t>
      </w:r>
    </w:p>
    <w:p>
      <w:pPr/>
      <w:r>
        <w:rPr>
          <w:b/>
        </w:rPr>
        <w:t>POSSIBLE 2023:</w:t>
      </w:r>
      <w:r>
        <w:t xml:space="preserve"> Niche and Range Shifts of the Fall Webworm (Hyphantria cunea Dury) in Europe Imply Its Huge Invasion Potential in the Future — https://doi.org/10.3390/insects14040316</w:t>
      </w:r>
    </w:p>
    <w:p>
      <w:pPr/>
      <w:r>
        <w:rPr>
          <w:b/>
        </w:rPr>
        <w:t>Shared claim-specific concepts:</w:t>
      </w:r>
      <w:r>
        <w:t xml:space="preserve"> here, range, result; EU scope visible. This is a provisional connection, not an outcome finding.</w:t>
      </w:r>
    </w:p>
    <w:p>
      <w:pPr>
        <w:pStyle w:val="SourceNote"/>
      </w:pPr>
      <w:r>
        <w:rPr>
          <w:b/>
        </w:rPr>
        <w:t>Available abstract (not full text):</w:t>
      </w:r>
      <w:r>
        <w:t xml:space="preserve"> Dury) has a strong impact on agricultural systems in Europe. However, its invasive potential, which was inherited from its native niche in North America, remains unknown. Here, we investigated the climatic niche and range shifts of the fall webworm in Europe and compared them with those in native North America, then assessed the worms' invasive potential in Europe. Compared with the fall webworm in Europe, those in North America survived in more diverse climatic conditions, which was closely associated with their broader niche and larger potential ranges in Europe. If the fall webworm in Europe could exploit the native niche inherited from those in North America to adapt to climatic conditions in Europe, their potential ranges in Europe could be 5.5-fold those based on the niche as introduced in Europe. The potentially unfilled ranges of the fall webworm in Europe were mainly detected in vast regions of Europe, excluding Norway, Sweden, Finland, North Russia, Hungary, Croatia, Romania, and Ukraine, suggesting that, without strict control, these vast regions might be preferably invaded by the fall webworm in Europe in the future. Therefore, strict control against its invasion is needed. Given that small niche shifts in this invasive insect could result in large range shifts, the niche shifts represent a more sensitive indicator of invasion risk than range shifts.</w:t>
      </w:r>
    </w:p>
    <w:p>
      <w:pPr/>
      <w:r>
        <w:rPr>
          <w:b/>
        </w:rPr>
        <w:t>POSSIBLE 2023:</w:t>
      </w:r>
      <w:r>
        <w:t xml:space="preserve"> Recent range shifts of moths, butterflies, and birds are driven by the breadth of their climatic niche — https://doi.org/10.1093/evlett/qrad004</w:t>
      </w:r>
    </w:p>
    <w:p>
      <w:pPr/>
      <w:r>
        <w:rPr>
          <w:b/>
        </w:rPr>
        <w:t>Shared claim-specific concepts:</w:t>
      </w:r>
      <w:r>
        <w:t xml:space="preserve"> here, range, shift, over, climate, realized; EU scope visible. This is a provisional connection, not an outcome finding.</w:t>
      </w:r>
    </w:p>
    <w:p>
      <w:pPr>
        <w:pStyle w:val="SourceNote"/>
      </w:pPr>
      <w:r>
        <w:rPr>
          <w:b/>
        </w:rPr>
        <w:t>Available abstract (not full text):</w:t>
      </w:r>
      <w:r>
        <w:t xml:space="preserve"> Species are altering their ranges as a response to climate change, but the magnitude and direction of observed range shifts vary considerably among species. The ability to persist in current areas and colonize new areas plays a crucial role in determining which species will thrive and which decline as climate change progresses. Several studies have sought to identify characteristics, such as morphological and life-history traits, that could explain differences in the capability of species to shift their ranges together with a changing climate. These characteristics have explained variation in range shifts only sporadically, thus offering an uncertain tool for discerning responses among species. As long-term selection to past climates have shaped species' tolerances, metrics describing species' contemporary climatic niches may provide an alternative means for understanding responses to on-going climate change. Species that occur in a broader range of climatic conditions may hold greater tolerance to climatic variability and could therefore more readily maintain their historical ranges, while species with more narrow tolerances may only persist if they are able to shift in space to track their climatic niche. Here, we provide a first-filter test of the effect of climatic niche dimensions on shifts in the leading range edges in three relatively well-dispersing species groups. Base</w:t>
      </w:r>
    </w:p>
    <w:p>
      <w:pPr/>
      <w:r>
        <w:rPr>
          <w:b/>
        </w:rPr>
        <w:t>POSSIBLE 2023:</w:t>
      </w:r>
      <w:r>
        <w:t xml:space="preserve"> Predicting the impacts of climate change on the distribution of European syngnathids over the next century — https://doi.org/10.3389/fmars.2023.1138657</w:t>
      </w:r>
    </w:p>
    <w:p>
      <w:pPr/>
      <w:r>
        <w:rPr>
          <w:b/>
        </w:rPr>
        <w:t>Shared claim-specific concepts:</w:t>
      </w:r>
      <w:r>
        <w:t xml:space="preserve"> here, range, over, century, according, climate; EU scope visible. This is a provisional connection, not an outcome finding.</w:t>
      </w:r>
    </w:p>
    <w:p>
      <w:pPr>
        <w:pStyle w:val="SourceNote"/>
      </w:pPr>
      <w:r>
        <w:rPr>
          <w:b/>
        </w:rPr>
        <w:t>Available abstract (not full text):</w:t>
      </w:r>
      <w:r>
        <w:t xml:space="preserve"> At the latitudinal interval that encompasses Europe, due to the gradual seawater warming imposed by climate change, there is now continuing evidence for a widespread pattern of poleward range shifts, often translated by expansions in the northern leading edges of distribution and contraction episodes at the southern boundaries. As the distribution of biodiversity is far from static, it seems imperative that we can predict changes in species’ geographic ranges to potentially circumvent severe biodiversity losses in the near future. Here, we focus on syngnathids, flagship species and umbrella taxa for coastal marine ecosystems, and attempt to identify areas of environmental suitability in Europe over the next century, according to distinct greenhouse gas concentration trajectories. Our results seamlessly match the general and region-specific impacts of climate change projections for European seas. Especially within the Atlantic Coast, species are expected to continue poleward range shifts, with the hotspot of syngnathid diversity remaining around the Celtic-Biscay Shelf, albeit with slightly distinct species composition from that of present day. The most dramatic changes are expected within semi-enclosed areas such as the Baltic, the Mediterranean and the Black Sea, where present-day endemic species diversity is likely to plunge, especially under a ‘business-as-usual’ scenario. W</w:t>
      </w:r>
    </w:p>
    <w:p>
      <w:pPr/>
      <w:r>
        <w:rPr>
          <w:b/>
        </w:rPr>
        <w:t>POSSIBLE 2023:</w:t>
      </w:r>
      <w:r>
        <w:t xml:space="preserve"> Extreme heat and drought typical of an end-of-century climate could occur over Europe soon and repeatedly — https://doi.org/10.1038/s43247-023-01075-y</w:t>
      </w:r>
    </w:p>
    <w:p>
      <w:pPr/>
      <w:r>
        <w:rPr>
          <w:b/>
        </w:rPr>
        <w:t>Shared claim-specific concepts:</w:t>
      </w:r>
      <w:r>
        <w:t xml:space="preserve"> over, two, climate; EU scope visible. This is a provisional connection, not an outcome finding.</w:t>
      </w:r>
    </w:p>
    <w:p>
      <w:pPr>
        <w:pStyle w:val="SourceNote"/>
      </w:pPr>
      <w:r>
        <w:rPr>
          <w:b/>
        </w:rPr>
        <w:t>Available abstract (not full text):</w:t>
      </w:r>
      <w:r>
        <w:t xml:space="preserve"> Abstract Extreme heat and drought levels typical of an end-of-century climate could occur swiftly, and repeatedly. Despite the European climate being potentially prone to multi-year successive extremes due to the influence of the North Atlantic variability, it remains unclear how the likelihood of such successive extremes changes under warming, how early they could reach end-of-century levels, and how this is affected by internal climate variability. Using the MPI Grand Ensemble, we find that even under moderate warming, end-of-century heat and drought levels virtually impossible 20 years ago reach 1-in-10 likelihoods as early as the 2030s. By 2050-2075, two successive years of single or compound end-of-century extremes, unprecedented to date, exceed 1-in-10 likelihoods; while Europe-wide 5-year megadroughts become plausible. Whole decades of end-of-century heat stress could start by 2040, by 2020 for rain-deficit drought, and end-of-century decades starting as early as 2030 become twice as likely under a warm North Atlantic state.</w:t>
      </w:r>
    </w:p>
    <w:p>
      <w:pPr/>
      <w:r>
        <w:rPr>
          <w:b/>
        </w:rPr>
        <w:t>POSSIBLE 2023:</w:t>
      </w:r>
      <w:r>
        <w:t xml:space="preserve"> Rapid range shifts in African Anopheles mosquitoes over the last century — https://doi.org/10.1098/rsbl.2022.0365</w:t>
      </w:r>
    </w:p>
    <w:p>
      <w:pPr/>
      <w:r>
        <w:rPr>
          <w:b/>
        </w:rPr>
        <w:t>Shared claim-specific concepts:</w:t>
      </w:r>
      <w:r>
        <w:t xml:space="preserve"> here, range, over, century, climate, one; EU scope not established. This is a provisional connection, not an outcome finding.</w:t>
      </w:r>
    </w:p>
    <w:p>
      <w:pPr>
        <w:pStyle w:val="SourceNote"/>
      </w:pPr>
      <w:r>
        <w:rPr>
          <w:b/>
        </w:rPr>
        <w:t>Available abstract (not full text):</w:t>
      </w:r>
      <w:r>
        <w:t xml:space="preserve"> Abstract Facing a warming climate, many tropical species-including the arthropod vectors of several infectious diseases-will be displaced to higher latitudes and elevations. These shifts are frequently forecasted for the future, but rarely documented in the present day. Here, we use one of the most comprehensive datasets ever compiled by medical entomologists to track the observed range limits of African malaria mosquito vectors ( Anopheles spp.) from 1898 to 2016. Using a simple regression approach, we estimate that these species’ ranges gained an average of 6.5 meters of elevation per year, and the southern limits of their ranges moved polewards 4.7 kilometers per year. These shifts are consistent with the local velocity of climate change, and might help explain the incursion of malaria transmission into new areas over the past few decades. Confirming that climate change underlies these shifts, and applying similar methods to other disease vectors, are important directions for future research.</w:t>
      </w:r>
    </w:p>
    <w:p>
      <w:pPr/>
      <w:r>
        <w:rPr>
          <w:b/>
        </w:rPr>
        <w:t>POSSIBLE 2023:</w:t>
      </w:r>
      <w:r>
        <w:t xml:space="preserve"> The Long Sixth Century in Eastern Europe — https://doi.org/10.5406/23300841.68.3.19</w:t>
      </w:r>
    </w:p>
    <w:p>
      <w:pPr/>
      <w:r>
        <w:rPr>
          <w:b/>
        </w:rPr>
        <w:t>Shared claim-specific concepts:</w:t>
      </w:r>
      <w:r>
        <w:t xml:space="preserve"> here, century, migration, two, one, use; EU scope visible. This is a provisional connection, not an outcome finding.</w:t>
      </w:r>
    </w:p>
    <w:p>
      <w:pPr>
        <w:pStyle w:val="SourceNote"/>
      </w:pPr>
      <w:r>
        <w:rPr>
          <w:b/>
        </w:rPr>
        <w:t>Available abstract (not full text):</w:t>
      </w:r>
      <w:r>
        <w:t xml:space="preserve"> The transformative nature of the sixth century has always seemed obvious to historians of the medieval West, who see the period as the long transition from the political structures of the late Roman empire to the kingdoms of the early Middle Ages. In his new book, archaeologist-historian Florin Curta for the first time provides an overarching and compelling argument for the vital importance of the transformation which “Eastern Europe”—as Curta points out, two-thirds of the European continent by area (p. 3)—underwent in the same time period. It is no small accomplishment—no written sources exist for the vast majority of the territory discussed in the period, and archaeological resources are often fragmentary, inconclusive, and subject to nationalist controversy. In providing a synthesis with a geographical scope ranging from the Balkans to the Russian taiga, the author has had to wrestle with a bewildering variety of source-types, languages, and historiographical traditions. But Curta proceeds in exemplary fashion, guiding the reader at a rapid clip from the edges of the eastern Roman empire north and east, regions largely ignored by traditional medievalists and ancient historians alike.This neglect is the main villain of Curta's monograph. The author trains his ire especially on Chris Wickham's magisterial Framing the Early Middle Ages, a synthesis of the early European economy</w:t>
      </w:r>
    </w:p>
    <w:p>
      <w:pPr/>
      <w:r>
        <w:rPr>
          <w:b/>
        </w:rPr>
        <w:t>POSSIBLE 2023:</w:t>
      </w:r>
      <w:r>
        <w:t xml:space="preserve"> Shifts in flood generation processes exacerbate regional flood anomalies in Europe — https://doi.org/10.1038/s43247-023-00714-8</w:t>
      </w:r>
    </w:p>
    <w:p>
      <w:pPr/>
      <w:r>
        <w:rPr>
          <w:b/>
        </w:rPr>
        <w:t>Shared claim-specific concepts:</w:t>
      </w:r>
      <w:r>
        <w:t xml:space="preserve"> here, shift, climate; EU scope visible. This is a provisional connection, not an outcome finding.</w:t>
      </w:r>
    </w:p>
    <w:p>
      <w:pPr>
        <w:pStyle w:val="SourceNote"/>
      </w:pPr>
      <w:r>
        <w:rPr>
          <w:b/>
        </w:rPr>
        <w:t>Available abstract (not full text):</w:t>
      </w:r>
      <w:r>
        <w:t xml:space="preserve"> Anomalies in the frequency of river floods, i.e., flood-rich or -poor periods, cause biases in flood risk estimates and thus make climate adaptation measures less efficient. While observations have recently confirmed the presence of flood anomalies in Europe, their exact causes are not clear. Here we analyse streamflow and climate observations during 1960-2010 to show that shifts in flood generation processes contribute more to the occurrence of regional flood anomalies than changes in extreme rainfall. A shift from rain on dry soil to rain on wet soil events by 5% increased the frequency of flood-rich periods in the Atlantic region, and an opposite shift in the Mediterranean region increased the frequency of flood-poor periods, but will likely make singular extreme floods occur more often. Flood anomalies driven by changing flood generation processes in Europe may further intensify in a warming climate and should be considered in flood estimation and management.</w:t>
      </w:r>
    </w:p>
    <w:p>
      <w:pPr>
        <w:pStyle w:val="Heading2"/>
      </w:pPr>
      <w:r>
        <w:t>917. International migration by 2030: impact of immigration policies scenarios on growth and employment</w:t>
      </w:r>
    </w:p>
    <w:p>
      <w:pPr>
        <w:pStyle w:val="SourceNote"/>
      </w:pPr>
      <w:r>
        <w:rPr>
          <w:b/>
        </w:rPr>
        <w:t>Original source (2014):</w:t>
      </w:r>
      <w:r>
        <w:t xml:space="preserve"> https://doi.org/10.1108/fs-06-2012-0045</w:t>
      </w:r>
    </w:p>
    <w:p>
      <w:pPr/>
      <w:r>
        <w:t>Original wording (abstract; indexed_source_text_not_full_document_verified): The third scenario, the mass migration scenario, allows letting go of the growth related constraints and getting out of the deflationist spiral. Purpose – The aim of this paper is to estimate the dynamic of international migration between the different regions of the world for 2030 and to measure the impact of different kind of migration policies on the economic and social evolution.</w:t>
      </w:r>
    </w:p>
    <w:p>
      <w:pPr/>
      <w:r>
        <w:rPr>
          <w:b/>
        </w:rPr>
        <w:t>POSSIBLE 2026:</w:t>
      </w:r>
      <w:r>
        <w:t xml:space="preserve"> Listening, Learning, and Letting Go: History and Impact of Fund for Shared Insight, 2014-2026 — https://openalex.org/W7220885628</w:t>
      </w:r>
    </w:p>
    <w:p>
      <w:pPr/>
      <w:r>
        <w:rPr>
          <w:b/>
        </w:rPr>
        <w:t>Shared claim-specific concepts:</w:t>
      </w:r>
      <w:r>
        <w:t xml:space="preserve"> letting, aim, world; EU scope not established. This is a provisional connection, not an outcome finding.</w:t>
      </w:r>
    </w:p>
    <w:p>
      <w:pPr>
        <w:pStyle w:val="SourceNote"/>
      </w:pPr>
      <w:r>
        <w:rPr>
          <w:b/>
        </w:rPr>
        <w:t>Available abstract (not full text):</w:t>
      </w:r>
      <w:r>
        <w:t xml:space="preserve"> Philanthropy could be more effective and make a bigger difference in the world if more funders and nonprofits did a better job of listening to the people they aim to serve.That idea led to the 2014 launch of the national funder collaborative Fund for Shared Insight, a 12-year, $78-million initiative involving more than 100 funders and hundreds of grantees, focused on shifting norms and practices around feedback and listening among nonprofits and funders.This case study examines the arc of its journey, lifting up key accomplishments while also taking an honest look at ambitions that proved more difficult to realize.</w:t>
      </w:r>
    </w:p>
    <w:p>
      <w:pPr/>
      <w:r>
        <w:rPr>
          <w:b/>
        </w:rPr>
        <w:t>POSSIBLE 2026:</w:t>
      </w:r>
      <w:r>
        <w:t xml:space="preserve"> Economic Assimilation of Women and Families in the Age of Mass Migration — https://doi.org/10.3386/w35332</w:t>
      </w:r>
    </w:p>
    <w:p>
      <w:pPr/>
      <w:r>
        <w:rPr>
          <w:b/>
        </w:rPr>
        <w:t>Shared claim-specific concepts:</w:t>
      </w:r>
      <w:r>
        <w:t xml:space="preserve"> mass, migration, between, different; EU scope not established. This is a provisional connection, not an outcome finding.</w:t>
      </w:r>
    </w:p>
    <w:p>
      <w:pPr>
        <w:pStyle w:val="SourceNote"/>
      </w:pPr>
      <w:r>
        <w:rPr>
          <w:b/>
        </w:rPr>
        <w:t>Available abstract (not full text):</w:t>
      </w:r>
      <w:r>
        <w:t xml:space="preserve"> During the Age of Mass Migration, over forty percent of immigrants were women, yet most research focuses on men.Using linked 1900 and 1910 Census records, I show that economic assimilation patterns differed for men and women, and families assimilated at different rates than individuals.Immigrant families improved their relative income scores compared with US-born families, driven by reliance on multiple earners, particularly women's and children's labor.At the individual level, gaps between immigrant and US-born income scores were larger for women than men, and the gap for women barely changed even after twenty years of stay.</w:t>
      </w:r>
    </w:p>
    <w:p>
      <w:pPr/>
      <w:r>
        <w:rPr>
          <w:b/>
        </w:rPr>
        <w:t>POSSIBLE 2025:</w:t>
      </w:r>
      <w:r>
        <w:t xml:space="preserve"> Exceptionality and Common Features of Migration Law in the Age Of Mass Migration * — https://doi.org/10.4324/9781003560937-19</w:t>
      </w:r>
    </w:p>
    <w:p>
      <w:pPr/>
      <w:r>
        <w:rPr>
          <w:b/>
        </w:rPr>
        <w:t>Shared claim-specific concepts:</w:t>
      </w:r>
      <w:r>
        <w:t xml:space="preserve"> mass, migration, different; EU scope not established. This is a provisional connection, not an outcome finding.</w:t>
      </w:r>
    </w:p>
    <w:p>
      <w:pPr>
        <w:pStyle w:val="SourceNote"/>
      </w:pPr>
      <w:r>
        <w:rPr>
          <w:b/>
        </w:rPr>
        <w:t>Available abstract (not full text):</w:t>
      </w:r>
      <w:r>
        <w:t xml:space="preserve"> This chapter suggests that the tensions and arguments underlying migration law at the turn of the 20 th century were mainly driven by two key ideas: the priority of state sovereignty over individual freedom and the extraordinariness of mass mobility. Common features of the development of migration law in the age of mass migration in different Western countries will be explored, including: the exceptionality of migration law and its derogation from constitutional rules; the administrativisation of migration law; the criminalisation of migrants; and the key role played by racial identities in the building of border control regulations.</w:t>
      </w:r>
    </w:p>
    <w:p>
      <w:pPr/>
      <w:r>
        <w:rPr>
          <w:b/>
        </w:rPr>
        <w:t>POSSIBLE 2025:</w:t>
      </w:r>
      <w:r>
        <w:t xml:space="preserve"> UnfAirbnb! The Effect of Short-Term Letting on Electoral Behaviour — https://doi.org/10.1177/00323217251342635</w:t>
      </w:r>
    </w:p>
    <w:p>
      <w:pPr/>
      <w:r>
        <w:rPr>
          <w:b/>
        </w:rPr>
        <w:t>Shared claim-specific concepts:</w:t>
      </w:r>
      <w:r>
        <w:t xml:space="preserve"> mass, letting, between, different; EU scope not established. This is a provisional connection, not an outcome finding.</w:t>
      </w:r>
    </w:p>
    <w:p>
      <w:pPr>
        <w:pStyle w:val="SourceNote"/>
      </w:pPr>
      <w:r>
        <w:rPr>
          <w:b/>
        </w:rPr>
        <w:t>Available abstract (not full text):</w:t>
      </w:r>
      <w:r>
        <w:t xml:space="preserve"> Over the last few years, short-term lets or home sharing have radically changed the dynamics of mass tourism and triggered disruptive consequences for civic, social and economic life. While lucrative for some, it has also impacted the character of different urban areas, creating significant changes to the local economy and often triggering citizens’ discontent. While previous works have focused on the economic and urban effects of short-term letting, much less is known about the electoral impact of the ‘Airbnb phenomenon’. Does it lead to a higher propensity to vote for certain parties? Using detailed geographic data on Airbnb locations in Barcelona and geo-located individual-level surveys, this article examines the effect of short-term letting on electoral behaviour. We contend that short-term letting can become a mobilising issue for political entrepreneurs. Our analysis shows that areas with a higher concentration of Airbnbs were more likely to vote for the party that campaigned in favour of restrictive home-sharing regulations. This study has important implications for our understanding of the interplay between urban management, housing, protest and vote choice.</w:t>
      </w:r>
    </w:p>
    <w:p>
      <w:pPr/>
      <w:r>
        <w:rPr>
          <w:b/>
        </w:rPr>
        <w:t>POSSIBLE 2024:</w:t>
      </w:r>
      <w:r>
        <w:t xml:space="preserve"> Letting the Fox in the Henhouse: Risks, Rewards and Repercussions of GMO Usage for Poultry Production — https://openalex.org/W7110655866</w:t>
      </w:r>
    </w:p>
    <w:p>
      <w:pPr/>
      <w:r>
        <w:rPr>
          <w:b/>
        </w:rPr>
        <w:t>Shared claim-specific concepts:</w:t>
      </w:r>
      <w:r>
        <w:t xml:space="preserve"> letting, between, different; EU scope not established. This is a provisional connection, not an outcome finding.</w:t>
      </w:r>
    </w:p>
    <w:p>
      <w:pPr>
        <w:pStyle w:val="SourceNote"/>
      </w:pPr>
      <w:r>
        <w:rPr>
          <w:b/>
        </w:rPr>
        <w:t>Available abstract (not full text):</w:t>
      </w:r>
      <w:r>
        <w:t xml:space="preserve"> The global demand for food is on the increase. Accordingly, poultry has begun to rise in popularity due to reduced prices and perceived health benefits of lean meat (Dal Bosco et al., 2021; Jeni et al., 2021). However, an increase in demand for poultry has increased yearly harvest targets for farmers leading to production-centered rearing practices that have been challenged by a growing animal husbandry movement. Reducing harvest targets is not a sustainable or feasible option in the face of food shortages. As such, a potential solution to increasing animal welfare while maintaining these growth margins lies in the genetic engineering of poultry to reduce losses from disease, environmental stressors, and in-fighting between birds. This review assesses four different avenues of genetic modification and its proposed results on farmed poultry as well as the costs, both in public perception and monetarily, associated with using genetic modification in food products. This review finds that further study into genetic modification from a welfare perspective has promising results in both revenue and increased quality of life for farmed poultry.</w:t>
      </w:r>
    </w:p>
    <w:p>
      <w:pPr/>
      <w:r>
        <w:rPr>
          <w:b/>
        </w:rPr>
        <w:t>POSSIBLE 2024:</w:t>
      </w:r>
      <w:r>
        <w:t xml:space="preserve"> At the Doorstep of Mass Migrations — https://doi.org/10.1017/9781009281874.015</w:t>
      </w:r>
    </w:p>
    <w:p>
      <w:pPr/>
      <w:r>
        <w:rPr>
          <w:b/>
        </w:rPr>
        <w:t>Shared claim-specific concepts:</w:t>
      </w:r>
      <w:r>
        <w:t xml:space="preserve"> mass, migration, international, between, policies; EU scope visible. This is a provisional connection, not an outcome finding.</w:t>
      </w:r>
    </w:p>
    <w:p>
      <w:pPr>
        <w:pStyle w:val="SourceNote"/>
      </w:pPr>
      <w:r>
        <w:rPr>
          <w:b/>
        </w:rPr>
        <w:t>Available abstract (not full text):</w:t>
      </w:r>
      <w:r>
        <w:t xml:space="preserve"> Amid epidemics, droughts, and a bourgeoning abolitionist wave in the late 1870s and 1880s, the Brazilian Empire internalized migration protocols long in the making. Crucial to the development of new migration policies was the Sociedade Central de Imigração (SCI), a new association midway between a corporation and a literary club. The SCI and its abolitionist members, which included conservative noblemen and republican professionals, synthesized the lessons learned by three generations of political elites, and avidly lobbied for reform policies pertinent to land surveying and distribution, naturalization, and immigration promotion. Dismissed by scholars as a bourgeois and largely failed experiment in immigration advocacy, the SCI in fact furnished the policy tools for the Brazilian government to counter German and Italian interdictions on migrations to Brazil, which, as the chapter demonstrates, had more to do with commercial and geostrategic concerns than with immigration issues themselves. Ultimately, the SCI laid the building blocks for the new Republican government to welcome exponentially growing cohorts of migrants despite the persistence of international prohibitions in Italy.</w:t>
      </w:r>
    </w:p>
    <w:p>
      <w:pPr/>
      <w:r>
        <w:rPr>
          <w:b/>
        </w:rPr>
        <w:t>POSSIBLE 2022:</w:t>
      </w:r>
      <w:r>
        <w:t xml:space="preserve"> Mass Migration and Technological Change — https://doi.org/10.1093/jeea/jvac017</w:t>
      </w:r>
    </w:p>
    <w:p>
      <w:pPr/>
      <w:r>
        <w:rPr>
          <w:b/>
        </w:rPr>
        <w:t>Shared claim-specific concepts:</w:t>
      </w:r>
      <w:r>
        <w:t xml:space="preserve"> mass, migration, related; EU scope visible. This is a provisional connection, not an outcome finding.</w:t>
      </w:r>
    </w:p>
    <w:p>
      <w:pPr>
        <w:pStyle w:val="SourceNote"/>
      </w:pPr>
      <w:r>
        <w:rPr>
          <w:b/>
        </w:rPr>
        <w:t>Available abstract (not full text):</w:t>
      </w:r>
      <w:r>
        <w:t xml:space="preserve"> Abstract This paper studies the effect of emigration on technological change in sending locations after one of the largest migration events in human history, the mass migration from Europe to the United States in the 19th century. To establish causality, we adopt an instrumental variable strategy that combines local growing-season frost shocks with proximity to emigration ports. Using data on patents, we find that emigration led to an increase in innovative activity in sending localities. Using data on capital and labor inputs in agriculture and industry, we find evidence of an increased capital intensity related to new technologies in both sectors. We argue that these results are consistent with theories of induced (labor-saving) innovation due to high labor costs following emigration.</w:t>
      </w:r>
    </w:p>
    <w:p>
      <w:pPr/>
      <w:r>
        <w:rPr>
          <w:b/>
        </w:rPr>
        <w:t>POSSIBLE 2022:</w:t>
      </w:r>
      <w:r>
        <w:t xml:space="preserve"> The impact of mass migration of Syrians on the Turkish labor market — https://doi.org/10.1016/j.labeco.2022.102183</w:t>
      </w:r>
    </w:p>
    <w:p>
      <w:pPr/>
      <w:r>
        <w:rPr>
          <w:b/>
        </w:rPr>
        <w:t>Shared claim-specific concepts:</w:t>
      </w:r>
      <w:r>
        <w:t xml:space="preserve"> mass, migration; EU scope not established. This is a provisional connection, not an outcome finding.</w:t>
      </w:r>
    </w:p>
    <w:p>
      <w:pPr>
        <w:pStyle w:val="SourceNote"/>
      </w:pPr>
      <w:r>
        <w:rPr>
          <w:b/>
        </w:rPr>
        <w:t>Available abstract (not full text):</w:t>
      </w:r>
      <w:r>
        <w:t xml:space="preserve"> Unavailable</w:t>
      </w:r>
    </w:p>
    <w:p>
      <w:pPr/>
      <w:r>
        <w:rPr>
          <w:b/>
        </w:rPr>
        <w:t>POSSIBLE 2022:</w:t>
      </w:r>
      <w:r>
        <w:t xml:space="preserve"> Educational Problems of Mass Migration — https://doi.org/10.4324/9781003172246-22</w:t>
      </w:r>
    </w:p>
    <w:p>
      <w:pPr/>
      <w:r>
        <w:rPr>
          <w:b/>
        </w:rPr>
        <w:t>Shared claim-specific concepts:</w:t>
      </w:r>
      <w:r>
        <w:t xml:space="preserve"> third, mass, migration, world; EU scope not established. This is a provisional connection, not an outcome finding.</w:t>
      </w:r>
    </w:p>
    <w:p>
      <w:pPr>
        <w:pStyle w:val="SourceNote"/>
      </w:pPr>
      <w:r>
        <w:rPr>
          <w:b/>
        </w:rPr>
        <w:t>Available abstract (not full text):</w:t>
      </w:r>
      <w:r>
        <w:t xml:space="preserve"> This chapter argues that philosophy of education should avoid the sedentary bias, that is, the assumption that those who are educated will stay and live in the country and society in which they were educated. It adopts a pluralist and non-ideal approach to address three challenges. The first challenge is the relevance of citizenship education for children and teenagers who, once they reach adulthood, will not get citizenship in their country of residence. The second challenge is equality of opportunity for students whose families do not possess the linguistic and cultural capital needed to strive in the countries they arrive in. The third challenge is the problem of fair distribution of educational costs and benefits, in a world in which people do not always work and pay taxes in the countries that paid for their education.</w:t>
      </w:r>
    </w:p>
    <w:p>
      <w:pPr/>
      <w:r>
        <w:rPr>
          <w:b/>
        </w:rPr>
        <w:t>POSSIBLE 2022:</w:t>
      </w:r>
      <w:r>
        <w:t xml:space="preserve"> Struggles With Mass-Migrations, National- and State-Interests in the Late Habsburg Empire — https://doi.org/10.4324/9781003246619-13</w:t>
      </w:r>
    </w:p>
    <w:p>
      <w:pPr/>
      <w:r>
        <w:rPr>
          <w:b/>
        </w:rPr>
        <w:t>Shared claim-specific concepts:</w:t>
      </w:r>
      <w:r>
        <w:t xml:space="preserve"> third, mass, migration, different, policies; EU scope visible. This is a provisional connection, not an outcome finding.</w:t>
      </w:r>
    </w:p>
    <w:p>
      <w:pPr>
        <w:pStyle w:val="SourceNote"/>
      </w:pPr>
      <w:r>
        <w:rPr>
          <w:b/>
        </w:rPr>
        <w:t>Available abstract (not full text):</w:t>
      </w:r>
      <w:r>
        <w:t xml:space="preserve"> The 18th- and 19th-century spatial political mobilization of masses not only was a concern of self-defense of the affected communities themselves but appeared also as a tool for different “third party” actors to solve different security issues. The southern and eastern parts of the Habsburg Empire, liberated from Ottoman Turkish rule, offered an opportunity for the centralized administration to utilize mobility, namely mass migration for economic revival and other security-related goals and interests against the Hungarian nobility estate, thus planting the seeds of later security struggles. The Austro-Hungarian era’s nation-building policies used methods of mass mobilization as well. This chapter will cover three phenomena that are all implementations of the mass mobilization processes in the late Habsburg Empire. The church-led “great Serb migration” was not only a result of basic self-defense in the face of a possible Ottoman retaliation after the Great Turkish War but also a core interest of the war-torn Habsburg Monarchy. The already militarized Serb masses served a farseeing imperial political goal by gathering more loyal elements facing the Turkish border and encircling an inner threat: The Hungarian noble estate. However, this mobility of masses, with privileges, later became a wider security, by viewing the “descendants of immigrants” and their undefined status as a thr</w:t>
      </w:r>
    </w:p>
    <w:p>
      <w:pPr/>
      <w:r>
        <w:rPr>
          <w:b/>
        </w:rPr>
        <w:t>POSSIBLE 2022:</w:t>
      </w:r>
      <w:r>
        <w:t xml:space="preserve"> Civic Education in the Age of Mass Migration: Implications for Theory and Practice — https://doi.org/10.17763/1943-5045-92.2.304a</w:t>
      </w:r>
    </w:p>
    <w:p>
      <w:pPr/>
      <w:r>
        <w:rPr>
          <w:b/>
        </w:rPr>
        <w:t>Shared claim-specific concepts:</w:t>
      </w:r>
      <w:r>
        <w:t xml:space="preserve"> third, mass, migration, purpose, between; EU scope not established. This is a provisional connection, not an outcome finding.</w:t>
      </w:r>
    </w:p>
    <w:p>
      <w:pPr>
        <w:pStyle w:val="SourceNote"/>
      </w:pPr>
      <w:r>
        <w:rPr>
          <w:b/>
        </w:rPr>
        <w:t>Available abstract (not full text):</w:t>
      </w:r>
      <w:r>
        <w:t xml:space="preserve"> Civic Education in the Age of Mass Migration: Implications for Theory and Practice opens with a discussion of a key tension between civic education and citizenship as a legal construct. While civic education focuses on membership, or belonging within a community, the process of legally creating citizens requires drawing lines to exclude those who do not belong. The construction of citizens necessitates the creation of non-citizens. Further, the boundaries of citizenship that cleave de jure citizens (those with formal legal status) from de facto citizens (members of society based on their social, political, and economic connections) have historically aligned with, reinforced, and formalized the exclusion of marginalized and oppressed groups. In this, her latest book on civic education in the United States, Angela Banks argues that “citizenship boundaries in the United States have been, and continue to be, structured in ways that violate the egalitarian norm with regard to race, class, and gender” (p. 13). Despite this, civic education usually frames citizenship as purely inclusive, an approach that is both limiting and problematic.The book begins with an overview of the history and development of the main strands of civic education, including a discussion of why civic education must interrogate the boundaries of citizenship in order to more effectively meet its purpose. In chapt</w:t>
      </w:r>
    </w:p>
    <w:p>
      <w:pPr/>
      <w:r>
        <w:rPr>
          <w:b/>
        </w:rPr>
        <w:t>POSSIBLE 2022:</w:t>
      </w:r>
      <w:r>
        <w:t xml:space="preserve"> Trade and Migration: Some New Evidence from the European Mass Migration to Argentina (1870–1913) — https://doi.org/10.1017/s1474745622000027</w:t>
      </w:r>
    </w:p>
    <w:p>
      <w:pPr/>
      <w:r>
        <w:rPr>
          <w:b/>
        </w:rPr>
        <w:t>Shared claim-specific concepts:</w:t>
      </w:r>
      <w:r>
        <w:t xml:space="preserve"> mass, migration, aim, estimate; EU scope visible. This is a provisional connection, not an outcome finding.</w:t>
      </w:r>
    </w:p>
    <w:p>
      <w:pPr>
        <w:pStyle w:val="SourceNote"/>
      </w:pPr>
      <w:r>
        <w:rPr>
          <w:b/>
        </w:rPr>
        <w:t>Available abstract (not full text):</w:t>
      </w:r>
      <w:r>
        <w:t xml:space="preserve"> Abstract During the first wave of globalization, Argentina was among the most internationally integrated economies, experiencing a rising trend in trade openness and a tremendous increase in labor due to migration. In this paper, we empirically show the central role immigration had in boosting exports and imports in the years 1870–1913 by considering Argentine bilateral trade and migration from eight European countries (Austro-Hungarian Empire, Belgium, France, Germany, Italy, Spain, Switzerland, and United Kingdom). We use a migration-augmented gravity model to estimate the contribution of the massive inflows of Europeans, and we find that the main pro-trade effect was on imports: a percent 10% increase in migrants from a particular country would increase imports by up to 8% from that same country. We do not find the same effect on exports. The disproportionate decrease in transportation rather than communication costs may explain why the latter are relatively more decisive for exports than for imports. To overcome the problem of reverse causality and endogeneity, we use migration flows to the US from the eight European countries as an instrumental variable. In so doing, we aim at capturing the same push (but not Argentine pull) factors inducing European out-migration.</w:t>
      </w:r>
    </w:p>
    <w:p>
      <w:pPr>
        <w:pStyle w:val="Heading2"/>
      </w:pPr>
      <w:r>
        <w:t>918. Investigating syndromes of agricultural land degradation through past trajectories and future scenarios</w:t>
      </w:r>
    </w:p>
    <w:p>
      <w:pPr>
        <w:pStyle w:val="SourceNote"/>
      </w:pPr>
      <w:r>
        <w:rPr>
          <w:b/>
        </w:rPr>
        <w:t>Original source (2014):</w:t>
      </w:r>
      <w:r>
        <w:t xml:space="preserve"> https://doi.org/10.1080/00380768.2013.843438</w:t>
      </w:r>
    </w:p>
    <w:p>
      <w:pPr/>
      <w:r>
        <w:t>Original wording (abstract; indexed_source_text_not_full_document_verified): In concrete terms, LD determines a reduction in the productivity of a territory and in its capacity of providing ecosystem goods and services. “Syndromes” of LD can be assessed in the past, and scenarios, conversely, can be developed for the future, as information baselines for sustainable land management strategies and interventions. The identification of such spatially explicit LD syndromes, which can also be projected on the basis of future scenarios, allows proposing and evaluating focussed measures of sustainable land management.</w:t>
      </w:r>
    </w:p>
    <w:p>
      <w:pPr/>
      <w:r>
        <w:rPr>
          <w:b/>
        </w:rPr>
        <w:t>POSSIBLE 2026:</w:t>
      </w:r>
      <w:r>
        <w:t xml:space="preserve"> Integrating equity and productivity in health evaluation — https://openalex.org/W7160458284</w:t>
      </w:r>
    </w:p>
    <w:p>
      <w:pPr/>
      <w:r>
        <w:rPr>
          <w:b/>
        </w:rPr>
        <w:t>Shared claim-specific concepts:</w:t>
      </w:r>
      <w:r>
        <w:t xml:space="preserve"> productivity, capacity, interventions; EU scope not established. This is a provisional connection, not an outcome finding.</w:t>
      </w:r>
    </w:p>
    <w:p>
      <w:pPr>
        <w:pStyle w:val="SourceNote"/>
      </w:pPr>
      <w:r>
        <w:rPr>
          <w:b/>
        </w:rPr>
        <w:t>Available abstract (not full text):</w:t>
      </w:r>
      <w:r>
        <w:t xml:space="preserve"> This paper develops a unified framework for evaluating health outcomes that jointly incorporates equity and productivity. Extending beyond traditional QALYs, PALYs, and the more recent PQALYs, we introduce a broader class of evaluation functions that integrate equity- and productivity-sensitive conditions. By imposing several normative criteria, including independence from measurement scales and Pigou-Dalton transfer principles, we obtain tractable power-form representations. In balancing equity and efficiency, the framework provides a coherent foundation for assessing interventions in contexts where both health and productive capacity are at stake.</w:t>
      </w:r>
    </w:p>
    <w:p>
      <w:pPr/>
      <w:r>
        <w:rPr>
          <w:b/>
        </w:rPr>
        <w:t>POSSIBLE 2026:</w:t>
      </w:r>
      <w:r>
        <w:t xml:space="preserve"> Performance Evaluation of Concrete with Recycled Waste Polypropylene — https://doi.org/10.6084/m9.figshare.31871653</w:t>
      </w:r>
    </w:p>
    <w:p>
      <w:pPr/>
      <w:r>
        <w:rPr>
          <w:b/>
        </w:rPr>
        <w:t>Shared claim-specific concepts:</w:t>
      </w:r>
      <w:r>
        <w:t xml:space="preserve"> concrete, terms, reduction; EU scope not established. This is a provisional connection, not an outcome finding.</w:t>
      </w:r>
    </w:p>
    <w:p>
      <w:pPr>
        <w:pStyle w:val="SourceNote"/>
      </w:pPr>
      <w:r>
        <w:rPr>
          <w:b/>
        </w:rPr>
        <w:t>Available abstract (not full text):</w:t>
      </w:r>
      <w:r>
        <w:t xml:space="preserve"> Production and application of plastic waste has become a severe environmental problem worldwide where polypropylene (PP) possesses around 35% of the total plastic waste. Using recycled PP in concrete could be a solution for the problem. This study aims at evaluating structural and durability performance of various strength concrete mixed with recycled waste polypropylene as a partial replacement of coarse aggregate. Performance of concrete was evaluated in terms of compressive strength, chloride ion penetration and high temperature exposure at different ages. In order to determine theoptimum proportion of polypropylene in concrete, samples were prepared with 0%, 10%, &amp; 20% replacement of PP as coarse aggregate for two different w/c ratios (0.35 and0.40). It was found that for maximum 20% of PP replacement, compressive strength reduction was only 21% which could still produce more than 25MPa of concrete and at high temperature exposure (more than 200° C) for 1 hour the strength of concrete was still more than 20 MPa. Moreover, PP can also be used to produce light weight concrete due to its lower unit weight, as relative reduction was upto 10% in density for 20% of PP replacement, than regular concrete. Therefore, concrete with optimum proportion of PP as partial replacement of coarse aggregate can produce strongand durable structure concrete.</w:t>
      </w:r>
    </w:p>
    <w:p>
      <w:pPr/>
      <w:r>
        <w:rPr>
          <w:b/>
        </w:rPr>
        <w:t>POSSIBLE 2024:</w:t>
      </w:r>
      <w:r>
        <w:t xml:space="preserve"> Influence of mixing time on the homogeneity of properties of concrete mixtures and concrete — https://doi.org/10.23968/1999-5571-2024-21-5-66-75</w:t>
      </w:r>
    </w:p>
    <w:p>
      <w:pPr/>
      <w:r>
        <w:rPr>
          <w:b/>
        </w:rPr>
        <w:t>Shared claim-specific concepts:</w:t>
      </w:r>
      <w:r>
        <w:t xml:space="preserve"> concrete, terms, determines; EU scope not established. This is a provisional connection, not an outcome finding.</w:t>
      </w:r>
    </w:p>
    <w:p>
      <w:pPr>
        <w:pStyle w:val="SourceNote"/>
      </w:pPr>
      <w:r>
        <w:rPr>
          <w:b/>
        </w:rPr>
        <w:t>Available abstract (not full text):</w:t>
      </w:r>
      <w:r>
        <w:t xml:space="preserve"> The study presents tests of industrial concrete mixtures to determine standard indicators (workability, volume of air involved) and concretes made from them to assess homogeneity in terms of strength as a function of mixing time. It is experimentally established how the assignment of mixing time affects the properties of concrete mixtures and determines the homogeneity of concrete composites.</w:t>
      </w:r>
    </w:p>
    <w:p>
      <w:pPr/>
      <w:r>
        <w:rPr>
          <w:b/>
        </w:rPr>
        <w:t>POSSIBLE 2023:</w:t>
      </w:r>
      <w:r>
        <w:t xml:space="preserve"> Impact resistance of concrete and fibre-reinforced concrete: A review — https://doi.org/10.1016/j.ijimpeng.2023.104722</w:t>
      </w:r>
    </w:p>
    <w:p>
      <w:pPr/>
      <w:r>
        <w:rPr>
          <w:b/>
        </w:rPr>
        <w:t>Shared claim-specific concepts:</w:t>
      </w:r>
      <w:r>
        <w:t xml:space="preserve"> concrete, determines, assessed; EU scope not established. This is a provisional connection, not an outcome finding.</w:t>
      </w:r>
    </w:p>
    <w:p>
      <w:pPr>
        <w:pStyle w:val="SourceNote"/>
      </w:pPr>
      <w:r>
        <w:rPr>
          <w:b/>
        </w:rPr>
        <w:t>Available abstract (not full text):</w:t>
      </w:r>
      <w:r>
        <w:t xml:space="preserve"> This paper summarises the research carried out to date on the impact resistance of concrete subjected to different impact load regimes, with a focus on high-velocity projectile impact load. An experimental database is compiled on the response of concrete elements to high-speed projectile impacts, which is used to identify the critical failure modes of concrete under impact loads (i.e. spalling, scabbing, penetration, and perforation of the targeted specimens) and the parameters influencing the impact resistance of concrete (i.e. velocity, mass and shape of the projectile, concrete compressive strength, type and size of aggregate, and type and ratio of reinforcement). In addition, the adequacy of existing empirical formulas to predict the penetration depth is assessed by using the experimental database. A critical discussion highlights the effect of various design parameters on the impact resistance of concrete and determines the key aspects that should be addressed in future research.</w:t>
      </w:r>
    </w:p>
    <w:p>
      <w:pPr/>
      <w:r>
        <w:rPr>
          <w:b/>
        </w:rPr>
        <w:t>POSSIBLE 2023:</w:t>
      </w:r>
      <w:r>
        <w:t xml:space="preserve"> Influence of Graphene oxide on abrasion resistance and strength of concrete — https://doi.org/10.1016/j.conbuildmat.2023.133280</w:t>
      </w:r>
    </w:p>
    <w:p>
      <w:pPr/>
      <w:r>
        <w:rPr>
          <w:b/>
        </w:rPr>
        <w:t>Shared claim-specific concepts:</w:t>
      </w:r>
      <w:r>
        <w:t xml:space="preserve"> concrete, terms, determines; EU scope not established. This is a provisional connection, not an outcome finding.</w:t>
      </w:r>
    </w:p>
    <w:p>
      <w:pPr>
        <w:pStyle w:val="SourceNote"/>
      </w:pPr>
      <w:r>
        <w:rPr>
          <w:b/>
        </w:rPr>
        <w:t>Available abstract (not full text):</w:t>
      </w:r>
      <w:r>
        <w:t xml:space="preserve"> Graphene Oxide (GO) has recently gained significant attention as a new carbon-based nanomaterial (CBN) in the civil engineering industry due to its exceptional mechanical and functional properties. It has been increasingly gaining popularity due to its superior dispersibility characteristics in aqueous solutions compared to the other graphene-based derivatives due to attached oxygen functional groups. A majority of current studies are focused on investigating the effect of GO in cement composites. However, the more useful applications of GO lie in its incorporation into concrete, as it is the most widely used construction material. Therefore, the current study determines the performance of GO-incorporated concrete in terms of strength and abrasion characteristics. Industrially produced GO was added to the concrete mixes at percentages varying from 0.02% to 0.08% by weight of cement (bwoc). A polycarboxylate-ether-based superplasticiser (PS) was used to enhance the dispersibility of GO within the mix and the workability of concrete mixtures. The Standard slump tests were performed to evaluate the workability of the mixes. Compression and indirect tensile strength tests were conducted to obtain the mechanical properties, while abrasion tests were employed to investigate the durability properties. In addition, microstructural properties were obtained using scanning electron micros</w:t>
      </w:r>
    </w:p>
    <w:p>
      <w:pPr/>
      <w:r>
        <w:rPr>
          <w:b/>
        </w:rPr>
        <w:t>POSSIBLE 2021:</w:t>
      </w:r>
      <w:r>
        <w:t xml:space="preserve"> Concrete Is as Concrete Doesn’t — https://doi.org/10.1215/9781478021971-001</w:t>
      </w:r>
    </w:p>
    <w:p>
      <w:pPr/>
      <w:r>
        <w:rPr>
          <w:b/>
        </w:rPr>
        <w:t>Shared claim-specific concepts:</w:t>
      </w:r>
      <w:r>
        <w:t xml:space="preserve"> concrete, terms, past; EU scope not established. This is a provisional connection, not an outcome finding.</w:t>
      </w:r>
    </w:p>
    <w:p>
      <w:pPr>
        <w:pStyle w:val="SourceNote"/>
      </w:pPr>
      <w:r>
        <w:rPr>
          <w:b/>
        </w:rPr>
        <w:t>Available abstract (not full text):</w:t>
      </w:r>
      <w:r>
        <w:t xml:space="preserve"> Introduction: Concrete Is as Concrete Doesn'tWhen I think of my body and ask what it does to earn that name, two things stand out.It moves.It feels.In fact, it does both at the same time.It moves as it feels, and it feels itself moving.Can we think a body without this: an intrinsic connection between movement and sensation whereby each immediately summons the other?If you start from an intrinsic connection between movement and sensation, the slightest, most literal displacement convokes a qualitative difference, because as directly as it conducts itself it beckons a feeling, and feelings have a way of folding into each other, resonating together, interfering with each other, mutually intensifying, all in unquantifiable ways apt to unfold again in action, often unpredictably.Qualitative difference: immediately the issue is change.Felt and unforeseen.The proj ect of this book is to explore the implications for cultural theory of this simple conceptual displacement: body-(movement/ sensation)-change.Cultural theory of the past two de cades has tended to bracket the middle terms and their unmediated connection.It can be argued that in doing so it has significantly missed the two outside terms, even though they have been of consistent concern-perhaps the central concerns in the humanities.Attention to the literality of movement was deflected by fears of falling into a "naive realism</w:t>
      </w:r>
    </w:p>
    <w:p>
      <w:pPr/>
      <w:r>
        <w:rPr>
          <w:b/>
        </w:rPr>
        <w:t>POSSIBLE 2020:</w:t>
      </w:r>
      <w:r>
        <w:t xml:space="preserve"> Between Imagined Communities and Communities of Practice - Participation, Territory and the Making of Heritage — https://openalex.org/W2605418063</w:t>
      </w:r>
    </w:p>
    <w:p>
      <w:pPr/>
      <w:r>
        <w:rPr>
          <w:b/>
        </w:rPr>
        <w:t>Shared claim-specific concepts:</w:t>
      </w:r>
      <w:r>
        <w:t xml:space="preserve"> concrete, terms, territory; EU scope visible. This is a provisional connection, not an outcome finding.</w:t>
      </w:r>
    </w:p>
    <w:p>
      <w:pPr>
        <w:pStyle w:val="SourceNote"/>
      </w:pPr>
      <w:r>
        <w:rPr>
          <w:b/>
        </w:rPr>
        <w:t>Available abstract (not full text):</w:t>
      </w:r>
      <w:r>
        <w:t xml:space="preserve"> Community and participation have become central concepts in the nomination processes surrounding heritage, intersecting time and again with questions of territory. In this volume, anthropologists and legal scholars from France, Germany, Italy and the USA take up questions arising from these intertwined concerns from diverse perspectives: How and by whom were these concepts interpreted and re-interpreted, and what effects did they bring forth in their implementation? What impact was wielded by these terms, and what kinds of discursive formations did they bring forth? How do actors from local to national levels interpret these new components of the heritage regime, and how do actors within heritage-granting national and international bodies work it into their cultural and political agency? What is the role of experts and expertise, and when is scholarly knowledge expertise and when is it partisan? How do bureaucratic institutions translate the imperative of participation into concrete practices?Case studies from within and without the UNESCO matrix combine with essays probing larger concerns generated by the valuation and valorization of culture.</w:t>
      </w:r>
    </w:p>
    <w:p>
      <w:pPr/>
      <w:r>
        <w:rPr>
          <w:b/>
        </w:rPr>
        <w:t>POSSIBLE 2020:</w:t>
      </w:r>
      <w:r>
        <w:t xml:space="preserve"> Learning in, with, and through the Territory: Territory-Based Learning as a Catalyst for Urban Sustainability — https://doi.org/10.3390/su12073000</w:t>
      </w:r>
    </w:p>
    <w:p>
      <w:pPr/>
      <w:r>
        <w:rPr>
          <w:b/>
        </w:rPr>
        <w:t>Shared claim-specific concepts:</w:t>
      </w:r>
      <w:r>
        <w:t xml:space="preserve"> concrete, terms, territory; EU scope not established. This is a provisional connection, not an outcome finding.</w:t>
      </w:r>
    </w:p>
    <w:p>
      <w:pPr>
        <w:pStyle w:val="SourceNote"/>
      </w:pPr>
      <w:r>
        <w:rPr>
          <w:b/>
        </w:rPr>
        <w:t>Available abstract (not full text):</w:t>
      </w:r>
      <w:r>
        <w:t xml:space="preserve"> Territorial problems such as the socio-ecological degradation of urban rivers represent a great challenge to achieving sustainability in cities. This issue demands collaborative efforts and the crossing of boundaries determined by actors that act from diverse spheres of knowledge and systems of practice. Based on an integrative territory notion and the boundary approach, the goal of this paper is to comprehend the boundary crossings that take place in multi-actor initiatives towards the resolution of this problem and what type of territorial transformation is produced as an outcome. Our analysis is built on participatory research on the Taquara Stream case, a degraded watercourse in a socio-ecologically vulnerable area, in southern Brazil. Our data analysis applied a visual chronological narrative and an interdisciplinary theoretical framework of analysis that combined concepts related to the territory (geography) and the boundary approach (education). We verified that local territorial issues functioned as boundary objects, fostering and facilitating dialogical interaction among involved actors, knowledge co-production, and collaborative practical actions that led to changes in the territory in terms of practices, comprehensions, and physical concrete transformations. We framed this study as one of territory-based learning meant to advance the understanding of territorial inte</w:t>
      </w:r>
    </w:p>
    <w:p>
      <w:pPr/>
      <w:r>
        <w:rPr>
          <w:b/>
        </w:rPr>
        <w:t>POSSIBLE 2020:</w:t>
      </w:r>
      <w:r>
        <w:t xml:space="preserve"> The Utilization of Agricultural Waste as Agro-Cement in Concrete: A Review — https://doi.org/10.3390/su12176971</w:t>
      </w:r>
    </w:p>
    <w:p>
      <w:pPr/>
      <w:r>
        <w:rPr>
          <w:b/>
        </w:rPr>
        <w:t>Shared claim-specific concepts:</w:t>
      </w:r>
      <w:r>
        <w:t xml:space="preserve"> concrete, providing, sustainable; EU scope not established. This is a provisional connection, not an outcome finding.</w:t>
      </w:r>
    </w:p>
    <w:p>
      <w:pPr>
        <w:pStyle w:val="SourceNote"/>
      </w:pPr>
      <w:r>
        <w:rPr>
          <w:b/>
        </w:rPr>
        <w:t>Available abstract (not full text):</w:t>
      </w:r>
      <w:r>
        <w:t xml:space="preserve"> Concrete, as the world’s most implemented construction material, is increasingly being used because of the rapid development of industrialization and urbanization. Limited resources and progressive depravation of the environment are forcing scientific efforts to seek alternative and effective materials from large amounts of natural resources as additives in the partial replacement of cement. Cement is a main constituent of concrete. To solve and minimize environmental issues, research works attempting to employ the wide availability of agricultural wastes, such as sugar cane bagasse, rice husk, sugar cane straw, and palm oil fuel, among others, into cement, and to finally bring sustainable and environmentally friendly properties to concrete are being examined. Agro-waste materials are crushed into fine and coarse aggregates or are burnt into ash, and are then mixed with cement, which is known as agro-cement. The replacement of aggregates, either partially or fully, is also deemed as a sustainable material in construction. This paper mainly reviews the current research on agro-cement that has been researched and applied for the enhancement of the strength and durability of concrete. It further summarizes the relevant knowledge and techniques, while providing optimal parameters for applying agricultural wastes in concrete.</w:t>
      </w:r>
    </w:p>
    <w:p>
      <w:pPr/>
      <w:r>
        <w:rPr>
          <w:b/>
        </w:rPr>
        <w:t>POSSIBLE 2020:</w:t>
      </w:r>
      <w:r>
        <w:t xml:space="preserve"> Eco-friendly concrete containing recycled plastic as partial replacement for sand — https://doi.org/10.1016/j.jmrt.2020.02.090</w:t>
      </w:r>
    </w:p>
    <w:p>
      <w:pPr/>
      <w:r>
        <w:rPr>
          <w:b/>
        </w:rPr>
        <w:t>Shared claim-specific concepts:</w:t>
      </w:r>
      <w:r>
        <w:t xml:space="preserve"> concrete, terms, reduction; EU scope not established. This is a provisional connection, not an outcome finding.</w:t>
      </w:r>
    </w:p>
    <w:p>
      <w:pPr>
        <w:pStyle w:val="SourceNote"/>
      </w:pPr>
      <w:r>
        <w:rPr>
          <w:b/>
        </w:rPr>
        <w:t>Available abstract (not full text):</w:t>
      </w:r>
      <w:r>
        <w:t xml:space="preserve"> Solid waste is one of the many factors that negatively affect the environment. Problems stem from factors such as difficulty of waste recycling and limited reuse. Plastic is an important type of solid waste with a strong environmental impact. This study aims to investigate the effects of utilising poly-ethylene terephthalate (PET) as a partial substitute for sand in concrete. The effects of this material on the physical and mechanical properties of concrete were examined. A group of six concrete mixtures containing PET was prepared as a partial substitute for sand with substitution levels 0%, 10%, 20%, 30%, 40% and 50%. Concrete was cast to determine the behaviour of fresh and hardened concrete in terms of workability, unit weight, compressive strength, flexural strength, tensile strength, pulse velocity and fire-resistant behaviour. The experimental results showed a reduction in unit weight, the sand replacement harmed the concrete mechanical properties at varying rates and proved that plastic waste can be disposed of by specific ratios and therefore, can be effectively applied in industrial usage.</w:t>
      </w:r>
    </w:p>
    <w:p>
      <w:pPr/>
      <w:r>
        <w:rPr>
          <w:b/>
        </w:rPr>
        <w:t>POSSIBLE 2019:</w:t>
      </w:r>
      <w:r>
        <w:t xml:space="preserve"> Prediction of Compressive Strength of Concrete: Critical Comparison of Performance of a Hybrid Machine Learning Model with Standalone Models — https://doi.org/10.1061/(asce)mt.1943-5533.0002902</w:t>
      </w:r>
    </w:p>
    <w:p>
      <w:pPr/>
      <w:r>
        <w:rPr>
          <w:b/>
        </w:rPr>
        <w:t>Shared claim-specific concepts:</w:t>
      </w:r>
      <w:r>
        <w:t xml:space="preserve"> concrete, terms, past; EU scope not established. This is a provisional connection, not an outcome finding.</w:t>
      </w:r>
    </w:p>
    <w:p>
      <w:pPr>
        <w:pStyle w:val="SourceNote"/>
      </w:pPr>
      <w:r>
        <w:rPr>
          <w:b/>
        </w:rPr>
        <w:t>Available abstract (not full text):</w:t>
      </w:r>
      <w:r>
        <w:t xml:space="preserve"> The use of machine learning (ML) techniques to model quantitative composition–property relationships in concrete has received substantial attention in the past few years. This paper presents a novel hybrid ML model (RF-FFA) for prediction of compressive strength of concrete by combining the random forests (RF) model with the firefly algorithm (FFA). The firefly algorithm is utilized to determine optimum values of two hyper-parameters (i.e., number of trees and number of leaves per tree in the forest) of the RF model in relation to the nature and volume of the dataset. The RF-FFA model was trained to develop correlations between input variables and output of two different categories of datasets; such correlations were subsequently leveraged by the model to make predictions in previously untrained data domains. The first category included two separate datasets featuring highly nonlinear and periodic relationship between input variables and output, as given by trigonometric functions. The second category included two real-world datasets, composed of mixture design variables of concretes as inputs and their age-dependent compressive strengths as outputs. The prediction performance of the hybrid RF-FFA model was benchmarked against commonly used standalone ML models—support vector machine (SVM), multilayer perceptron artificial neural network (MLP-ANN), M5Prime model tree algorithm </w:t>
      </w:r>
    </w:p>
    <w:p>
      <w:pPr/>
      <w:r>
        <w:rPr>
          <w:b/>
        </w:rPr>
        <w:t>POSSIBLE 2019:</w:t>
      </w:r>
      <w:r>
        <w:t xml:space="preserve"> New empirical approach for determining nominal shear capacity of steel fiber reinforced concrete beams — https://doi.org/10.1016/j.conbuildmat.2019.117293</w:t>
      </w:r>
    </w:p>
    <w:p>
      <w:pPr/>
      <w:r>
        <w:rPr>
          <w:b/>
        </w:rPr>
        <w:t>Shared claim-specific concepts:</w:t>
      </w:r>
      <w:r>
        <w:t xml:space="preserve"> concrete, terms, capacity; EU scope not established. This is a provisional connection, not an outcome finding.</w:t>
      </w:r>
    </w:p>
    <w:p>
      <w:pPr>
        <w:pStyle w:val="SourceNote"/>
      </w:pPr>
      <w:r>
        <w:rPr>
          <w:b/>
        </w:rPr>
        <w:t>Available abstract (not full text):</w:t>
      </w:r>
      <w:r>
        <w:t xml:space="preserve"> The main objective of this paper is to develop new design formulations for determining shear stress of steel fiber-reinforced concrete (SFRC) beams without stirrups using Gene Expression Programming (GEP) and Artificial Neural Networks (ANNs) based on a large number of test results. The proposed formulations relate the average shear stress to geometrical, and material properties of common reinforced concrete beam (effective depth, ratio of shear span to effective depth, compressive strength of concrete, and longitudinal steel reinforcement) and fiber properties (diameter, length, and volume percentage). In order to verify the validity and reliability of the proposed formulations, a comparative assessment was conducted between measured and calculated average shear stress of beams. The comparative assessment is carried out in terms of common and modified coefficient of determination (R and Rm), root- mean-square error (RMSE), mean absolute percentage error (MAPE), and gradients of regression lines (k and k’). The results obtained for the considered statistical measures and performance criteria reveal that all of the proposed formulations have acceptable ability to calculate average shear stress for a wide range of shear span to effective depth ratios.</w:t>
      </w:r>
    </w:p>
    <w:p>
      <w:pPr>
        <w:pStyle w:val="Heading2"/>
      </w:pPr>
      <w:r>
        <w:t>919. Living within the safe operating space: a vision for a resource efficient Europe</w:t>
      </w:r>
    </w:p>
    <w:p>
      <w:pPr>
        <w:pStyle w:val="SourceNote"/>
      </w:pPr>
      <w:r>
        <w:rPr>
          <w:b/>
        </w:rPr>
        <w:t>Original source (2014):</w:t>
      </w:r>
      <w:r>
        <w:t xml:space="preserve"> https://doi.org/10.1007/s40309-014-0048-3</w:t>
      </w:r>
    </w:p>
    <w:p>
      <w:pPr/>
      <w:r>
        <w:t>Original wording (abstract; indexed_source_text_not_full_document_verified): We review and build on recent sustainability visions to develop a holistic reflection on what life in 2050 could look like, and explore the key changes in the economy needed to get there.</w:t>
      </w:r>
    </w:p>
    <w:p>
      <w:pPr/>
      <w:r>
        <w:rPr>
          <w:b/>
        </w:rPr>
        <w:t>POSSIBLE 2025:</w:t>
      </w:r>
      <w:r>
        <w:t xml:space="preserve"> Barriers to healthcare for racialised populations in Europe: a scoping review of reviews — https://doi.org/10.1186/s12939-025-02577-1</w:t>
      </w:r>
    </w:p>
    <w:p>
      <w:pPr/>
      <w:r>
        <w:rPr>
          <w:b/>
        </w:rPr>
        <w:t>Shared claim-specific concepts:</w:t>
      </w:r>
      <w:r>
        <w:t xml:space="preserve"> review, key, there; EU scope visible. This is a provisional connection, not an outcome finding.</w:t>
      </w:r>
    </w:p>
    <w:p>
      <w:pPr>
        <w:pStyle w:val="SourceNote"/>
      </w:pPr>
      <w:r>
        <w:rPr>
          <w:b/>
        </w:rPr>
        <w:t>Available abstract (not full text):</w:t>
      </w:r>
      <w:r>
        <w:t xml:space="preserve"> BACKGROUND: Racism is a significant barrier to equitable healthcare, yet it remains under-researched in Europe. Barriers across various stages of the healthcare process limit the equitable realisation of the right to health for racialised populations. This review synthesises existing literature on the barriers to healthcare faced by racialised populations in Europe. METHODS: We conducted a scoping review of reviews to identify barriers to healthcare for racialised populations in Europe. We systematically searched across four databases (PubMed, Scopus, Web of Science, and PsycINFO) for review articles published from January 2010 to September 2024. We obtained data from 30 eligible reviews and classified them according to the dimensions of healthcare access. RESULTS: Our review identified multiple, interrelated barriers across the dimensions of availability, accessibility, acceptability, and quality. Key barriers include insufficient interpretation and intercultural mediation services, complex and restrictive administrative procedures, economic costs, and cultural insensitivity in clinical practices. Racialised individuals also reported experiencing interpersonal racism and stereotypes, which affected their healthcare experiences and outcomes. The review highlights a significant lack of cultural competence among healthcare professionals, as well as inadequate adaptation of servic</w:t>
      </w:r>
    </w:p>
    <w:p>
      <w:pPr/>
      <w:r>
        <w:rPr>
          <w:b/>
        </w:rPr>
        <w:t>POSSIBLE 2023:</w:t>
      </w:r>
      <w:r>
        <w:t xml:space="preserve"> A scoping review of seismic risk communication in Europe — https://doi.org/10.3389/feart.2023.1155576</w:t>
      </w:r>
    </w:p>
    <w:p>
      <w:pPr/>
      <w:r>
        <w:rPr>
          <w:b/>
        </w:rPr>
        <w:t>Shared claim-specific concepts:</w:t>
      </w:r>
      <w:r>
        <w:t xml:space="preserve"> review, build, recent, explore, key; EU scope visible. This is a provisional connection, not an outcome finding.</w:t>
      </w:r>
    </w:p>
    <w:p>
      <w:pPr>
        <w:pStyle w:val="SourceNote"/>
      </w:pPr>
      <w:r>
        <w:rPr>
          <w:b/>
        </w:rPr>
        <w:t>Available abstract (not full text):</w:t>
      </w:r>
      <w:r>
        <w:t xml:space="preserve"> Although earthquakes are a threat in many countries and considerable resources have been invested in safety regulations, communities at risk often lack awareness and preparedness. Risk communication is a key tool for building resilient communities, raising awareness, and increasing preparedness. Over the past 2 decades, seismic risk communication has evolved significantly. This has led to a reorientation from a predominantly “one-way”, top-down communication model to the promotion of new models in which people, their needs, and their participation in disaster risk management are central elements. The 2015–2030 Sendai Framework recommendations, recent disaster experiences and research have highlighted that new models can improve communication effectiveness. In this paper, we critically explore this transition by conducting a scoping review (n=109 publications) of seismic risk communication in Europe. We analyse the approaches, messages, tools, and channels used for seismic risk communication and how they have changed over time. The results reveal that the stated goals of seismic risk communication are, in decreasing order, to share information, raise awareness, change behaviours/beliefs, and increase preparedness. Pupils, students, and citizens are the primary recipients of communication activities. Over the years, two trends have emerged. First, “two-way”, transdisciplinary and</w:t>
      </w:r>
    </w:p>
    <w:p>
      <w:pPr/>
      <w:r>
        <w:rPr>
          <w:b/>
        </w:rPr>
        <w:t>POSSIBLE 2022:</w:t>
      </w:r>
      <w:r>
        <w:t xml:space="preserve"> Building climate resilience through nature-based solutions in Europe: A review of enabling knowledge, finance and governance frameworks — https://doi.org/10.1016/j.crm.2022.100450</w:t>
      </w:r>
    </w:p>
    <w:p>
      <w:pPr/>
      <w:r>
        <w:rPr>
          <w:b/>
        </w:rPr>
        <w:t>Shared claim-specific concepts:</w:t>
      </w:r>
      <w:r>
        <w:t xml:space="preserve"> review, build, recent, reflection, key, needed; EU scope visible. This is a provisional connection, not an outcome finding.</w:t>
      </w:r>
    </w:p>
    <w:p>
      <w:pPr>
        <w:pStyle w:val="SourceNote"/>
      </w:pPr>
      <w:r>
        <w:rPr>
          <w:b/>
        </w:rPr>
        <w:t>Available abstract (not full text):</w:t>
      </w:r>
      <w:r>
        <w:t xml:space="preserve"> The European Union (EU) has firmly positioned itself as a global leader in promoting and implementing nature-based solutions (NBS). The recently released EU Biodiversity Strategy for 2030, Strategy on Adaptation to Climate Change, and Forest Strategy - all representing key pillars of the ambitious European Green Deal (EGD) - rely on NBS to both preserve and restore ecosystem integrity and increase climate resilience. Although research and policy in Europe have advanced the conceptualization and operationalization of NBS, a much wider adoption is needed to reach the ambitious goals of the EGD and fulfil its vision of transforming into a sustainable, climate-neutral, climate resilient, fair, and prosperous EU by 2050. In this paper, we review recent EU-supported research, policy, and practices to identify critical dimensions that still need to be addressed for greater uptake of NBS. While recognising the multiple societal challenges NBS can target, we build on the key messages from the ‘5th European Climate Change Adaptation conference ECCA 2021’ and focus our analysis on NBS for climate change adaptation and disaster risk reduction. We screen a wide range of NBS cases across the EU and identify three core challenges to implementation: the lack of a comprehensive evidence base on the effectiveness of NBS to address targeted challenges; the need for a greater involvement of the pr</w:t>
      </w:r>
    </w:p>
    <w:p>
      <w:pPr/>
      <w:r>
        <w:rPr>
          <w:b/>
        </w:rPr>
        <w:t>POSSIBLE 2022:</w:t>
      </w:r>
      <w:r>
        <w:t xml:space="preserve"> Visions of Europe in the Resistance — https://doi.org/10.3726/b19126</w:t>
      </w:r>
    </w:p>
    <w:p>
      <w:pPr/>
      <w:r>
        <w:rPr>
          <w:b/>
        </w:rPr>
        <w:t>Shared claim-specific concepts:</w:t>
      </w:r>
      <w:r>
        <w:t xml:space="preserve"> visions, there; EU scope visible. This is a provisional connection, not an outcome finding.</w:t>
      </w:r>
    </w:p>
    <w:p>
      <w:pPr>
        <w:pStyle w:val="SourceNote"/>
      </w:pPr>
      <w:r>
        <w:rPr>
          <w:b/>
        </w:rPr>
        <w:t>Available abstract (not full text):</w:t>
      </w:r>
      <w:r>
        <w:t xml:space="preserve"> The fight against Fascism and Nazism during the Second World War gave rise to a strong "desire for Europe": a desire for a united, peaceful, democratic Europe. In many countries, there was a flowering of movements, actions, newspapers and constitutional projects in which the vision of the "United States of Europe" was an essential element, enriching the Resistance with a new, profound and lasting political and historical dimension. By interpreting the changes that the Second World War generated, the Europeanists and federalist forerunners of the times mentioned in this volume were able to identify, ahead of their time, the basis for the construction of the new united Europe and, with it, a new peaceful and democratic international order.</w:t>
      </w:r>
    </w:p>
    <w:p>
      <w:pPr/>
      <w:r>
        <w:rPr>
          <w:b/>
        </w:rPr>
        <w:t>POSSIBLE 2022:</w:t>
      </w:r>
      <w:r>
        <w:t xml:space="preserve"> Permanent grasslands in Europe: Land use change and intensification decrease their multifunctionality — https://doi.org/10.1016/j.agee.2022.107891</w:t>
      </w:r>
    </w:p>
    <w:p>
      <w:pPr/>
      <w:r>
        <w:rPr>
          <w:b/>
        </w:rPr>
        <w:t>Shared claim-specific concepts:</w:t>
      </w:r>
      <w:r>
        <w:t xml:space="preserve"> review, recent; EU scope visible. This is a provisional connection, not an outcome finding.</w:t>
      </w:r>
    </w:p>
    <w:p>
      <w:pPr>
        <w:pStyle w:val="SourceNote"/>
      </w:pPr>
      <w:r>
        <w:rPr>
          <w:b/>
        </w:rPr>
        <w:t>Available abstract (not full text):</w:t>
      </w:r>
      <w:r>
        <w:t xml:space="preserve"> Permanent grasslands cover 34% of the European Union’s agricultural area and are vital for a wide variety of ecosystem services essential for our society. Over recent decades, the permanent grassland area has declined and land use change continues to threaten its extent. Simultaneously, the management intensity of permanent grasslands increased. We performed a systematic literature review on the multifunctionality of permanent grasslands in Europe, examining the effects of land use and management on 19 grassland ecosystem service indicators. Based on the evidence in 696 out of 70,456 screened papers, published since 1980, we found that both land use change and intensification of management decreased multifunctionality. In particular, preventing conversion of permanent grasslands to croplands secured the delivery of multiple ecosystem services. A lower management intensity was associated with benefits for biodiversity, climate regulation and water purification, but impacted the provision of high-quality animal feed. Increasing the number of species in the sward enhanced multifunctionality of permanent grassland without significant trade-offs such as losses in production. Our review covered many aspects of land use, management and ecosystem services, but we also identified areas with no or only few studies. The most prominent gaps were related to comparisons between permanent and</w:t>
      </w:r>
    </w:p>
    <w:p>
      <w:pPr/>
      <w:r>
        <w:rPr>
          <w:b/>
        </w:rPr>
        <w:t>POSSIBLE 2021:</w:t>
      </w:r>
      <w:r>
        <w:t xml:space="preserve"> On the Interplay of Ownership Patterns, Biodiversity, and Conservation in Past and Present Temperate Forest Landscapes of Europe and North America — https://doi.org/10.1007/s40725-021-00143-w</w:t>
      </w:r>
    </w:p>
    <w:p>
      <w:pPr/>
      <w:r>
        <w:rPr>
          <w:b/>
        </w:rPr>
        <w:t>Shared claim-specific concepts:</w:t>
      </w:r>
      <w:r>
        <w:t xml:space="preserve"> review, build, recent; EU scope visible. This is a provisional connection, not an outcome finding.</w:t>
      </w:r>
    </w:p>
    <w:p>
      <w:pPr>
        <w:pStyle w:val="SourceNote"/>
      </w:pPr>
      <w:r>
        <w:rPr>
          <w:b/>
        </w:rPr>
        <w:t>Available abstract (not full text):</w:t>
      </w:r>
      <w:r>
        <w:t xml:space="preserve"> Abstract Purpose of Review Ownership patterns and the associated management characteristics are related to forest structures, biodiversity patterns, and their conservation worldwide. A literature review on this topic is missing so far. We fill this gap with an emphasis on the temperate forests of Europe and North America. Mixed-ownership landscapes are the special focus of the analysis. In a first step, historical effects of ownership patterns on forest structure and biodiversity are elucidated. Second, connections between present-time forest ownership patterns and both forest structural and biodiversity patterns are analyzed. Finally, implications for integrative conservation management are evaluated with a special focus on mixed-ownership forest landscapes. Recent Findings Close linkages between ownership type-specific forest management and particular forest structural and biodiversity patterns are identified for past and current forest landscapes. Both in Europe and North America, publicly and privately owned forests show comparable lines of historical development but with a time shift. Forest reserves and ancient woodland with long ecological continuity appear to be mainly connected with public ownership. A high diversity of management approaches and cultural landscape habitats is characteristic of non-industrial small private forests. In mixed-ownership landscapes, a more </w:t>
      </w:r>
    </w:p>
    <w:p>
      <w:pPr/>
      <w:r>
        <w:rPr>
          <w:b/>
        </w:rPr>
        <w:t>POSSIBLE 2020:</w:t>
      </w:r>
      <w:r>
        <w:t xml:space="preserve"> Review of the evidence for oceans and human health relationships in Europe: A systematic map — https://doi.org/10.1016/j.envint.2020.106275</w:t>
      </w:r>
    </w:p>
    <w:p>
      <w:pPr/>
      <w:r>
        <w:rPr>
          <w:b/>
        </w:rPr>
        <w:t>Shared claim-specific concepts:</w:t>
      </w:r>
      <w:r>
        <w:t xml:space="preserve"> review, build, recent, key, there; EU scope visible. This is a provisional connection, not an outcome finding.</w:t>
      </w:r>
    </w:p>
    <w:p>
      <w:pPr>
        <w:pStyle w:val="SourceNote"/>
      </w:pPr>
      <w:r>
        <w:rPr>
          <w:b/>
        </w:rPr>
        <w:t>Available abstract (not full text):</w:t>
      </w:r>
      <w:r>
        <w:t xml:space="preserve"> BACKGROUND: Globally, there is increasing scientific evidence of critical links between the oceans and human health, with research into issues such as pollution, harmful algal blooms and nutritional contributions. However, Oceans and Human Health (OHH) remains an emerging discipline. As such these links are poorly recognized in policy efforts such as the Sustainable Development Goals, with OHH not included in either marine (SDG14) or health (SDG3) goals. This is arguably short-sighted given recent development strategies such as the EU Blue Growth Agenda. OBJECTIVES: In this systematic map we aim to build on recent efforts to enhance OHH in Europe by setting a baseline of existing evidence, asking: What links have been researched between marine environments and the positive and negative impacts to human health and wellbeing? METHODS: We searched eight bibliographic databases and queried 57 organizations identified through stakeholder consultation. Results include primary research and systematic reviews which were screened double blind against pre-defined inclusion criteria as per a published protocol. Studies were limited to Europe, US, Australia, New Zealand and Canada. Data was extracted according to a stakeholder-defined code book. A narrative synthesis explores the current evidence for relationships between marine exposures and human health outcomes, trends in knowledge gaps</w:t>
      </w:r>
    </w:p>
    <w:p>
      <w:pPr/>
      <w:r>
        <w:rPr>
          <w:b/>
        </w:rPr>
        <w:t>POSSIBLE 2020:</w:t>
      </w:r>
      <w:r>
        <w:t xml:space="preserve"> A review of interactions between peripheral and foveal vision — https://doi.org/10.1167/jov.20.12.2</w:t>
      </w:r>
    </w:p>
    <w:p>
      <w:pPr/>
      <w:r>
        <w:rPr>
          <w:b/>
        </w:rPr>
        <w:t>Shared claim-specific concepts:</w:t>
      </w:r>
      <w:r>
        <w:t xml:space="preserve"> review, recent; EU scope not established. This is a provisional connection, not an outcome finding.</w:t>
      </w:r>
    </w:p>
    <w:p>
      <w:pPr>
        <w:pStyle w:val="SourceNote"/>
      </w:pPr>
      <w:r>
        <w:rPr>
          <w:b/>
        </w:rPr>
        <w:t>Available abstract (not full text):</w:t>
      </w:r>
      <w:r>
        <w:t xml:space="preserve"> Visual processing varies dramatically across the visual field. These differences start in the retina and continue all the way to the visual cortex. Despite these differences in processing, the perceptual experience of humans is remarkably stable and continuous across the visual field. Research in the last decade has shown that processing in peripheral and foveal vision is not independent, but is more directly connected than previously thought. We address three core questions on how peripheral and foveal vision interact, and review recent findings on potentially related phenomena that could provide answers to these questions. First, how is the processing of peripheral and foveal signals related during fixation? Peripheral signals seem to be processed in foveal retinotopic areas to facilitate peripheral object recognition, and foveal information seems to be extrapolated toward the periphery to generate a homogeneous representation of the environment. Second, how are peripheral and foveal signals re-calibrated? Transsaccadic changes in object features lead to a reduction in the discrepancy between peripheral and foveal appearance. Third, how is peripheral and foveal information stitched together across saccades? Peripheral and foveal signals are integrated across saccadic eye movements to average percepts and to reduce uncertainty. Together, these findings illustrate that peripher</w:t>
      </w:r>
    </w:p>
    <w:p>
      <w:pPr/>
      <w:r>
        <w:rPr>
          <w:b/>
        </w:rPr>
        <w:t>POSSIBLE 2020:</w:t>
      </w:r>
      <w:r>
        <w:t xml:space="preserve"> A critical review on computer vision and artificial intelligence in food industry — https://doi.org/10.1016/j.jafr.2020.100033</w:t>
      </w:r>
    </w:p>
    <w:p>
      <w:pPr/>
      <w:r>
        <w:rPr>
          <w:b/>
        </w:rPr>
        <w:t>Shared claim-specific concepts:</w:t>
      </w:r>
      <w:r>
        <w:t xml:space="preserve"> review, sustainability, key; EU scope not established. This is a provisional connection, not an outcome finding.</w:t>
      </w:r>
    </w:p>
    <w:p>
      <w:pPr>
        <w:pStyle w:val="SourceNote"/>
      </w:pPr>
      <w:r>
        <w:rPr>
          <w:b/>
        </w:rPr>
        <w:t>Available abstract (not full text):</w:t>
      </w:r>
      <w:r>
        <w:t xml:space="preserve"> Emerging technologies such as computer vision and Artificial Intelligence (AI) are estimated to leverage the accessibility of big data for active training and yielding operational real time smart machines and predictable models. This phenomenon of applying vision and learning methods for the improvement of food industry is termed as computer vision and AI driven food industry. This review contributes to provide an insight into state-of-the-art AI and computer vision technologies that can assist farmers in agriculture and food processing. This paper investigates various scenarios and use cases of machine learning, machine vision and deep learning in global perspective with the lens of sustainability. It explains the increasing demand towards the AgTech industry using computer vision and AI which might be a path towards sustainable food production to feed the future. Also, this review tosses some implications regarding challenges and recommendations in inclusion of technologies in real time farming, substantial global policies and investments. Finally, the paper discusses the possibility of using Fourth Industrial Revolution [4.0 IR] technologies such as deep learning and computer vision robotics as a key for sustainable food production.</w:t>
      </w:r>
    </w:p>
    <w:p>
      <w:pPr/>
      <w:r>
        <w:rPr>
          <w:b/>
        </w:rPr>
        <w:t>POSSIBLE 2019:</w:t>
      </w:r>
      <w:r>
        <w:t xml:space="preserve"> HPV vaccination in a context of public mistrust and uncertainty: a systematic literature review of determinants of HPV vaccine hesitancy in Europe — https://doi.org/10.1080/21645515.2018.1564436</w:t>
      </w:r>
    </w:p>
    <w:p>
      <w:pPr/>
      <w:r>
        <w:rPr>
          <w:b/>
        </w:rPr>
        <w:t>Shared claim-specific concepts:</w:t>
      </w:r>
      <w:r>
        <w:t xml:space="preserve"> review, build, develop; EU scope visible. This is a provisional connection, not an outcome finding.</w:t>
      </w:r>
    </w:p>
    <w:p>
      <w:pPr>
        <w:pStyle w:val="SourceNote"/>
      </w:pPr>
      <w:r>
        <w:rPr>
          <w:b/>
        </w:rPr>
        <w:t>Available abstract (not full text):</w:t>
      </w:r>
      <w:r>
        <w:t xml:space="preserve"> Europe is increasingly described as the region in the world with the least confidence in vaccination, and particularly in the safety of vaccines. The aim of this systematic literature review was to gather and summarise all peer-reviewed and grey literature published about determinants of Human Papillomavirus (HPV) vaccine hesitancy in Europe. Ten thematic categories were identified across the 103 articles which were included in the review. Participants from European studies most commonly reported issues with the quantity and quality of information available about HPV vaccination; followed by concerns about potential side effects of the vaccine; and mistrust of health authorities, healthcare workers, and new vaccines. Comparative analyses indicated that confidence determinants differed by country and population groups. This evidence supports the need to develop context-specific interventions to improve confidence in HPV vaccination and design community engagement strategies aiming to build public trust.</w:t>
      </w:r>
    </w:p>
    <w:p>
      <w:pPr/>
      <w:r>
        <w:rPr>
          <w:b/>
        </w:rPr>
        <w:t>POSSIBLE 2019:</w:t>
      </w:r>
      <w:r>
        <w:t xml:space="preserve"> The European Marine Observation and Data Network (EMODnet): Visions and Roles of the Gateway to Marine Data in Europe — https://doi.org/10.3389/fmars.2019.00313</w:t>
      </w:r>
    </w:p>
    <w:p>
      <w:pPr/>
      <w:r>
        <w:rPr>
          <w:b/>
        </w:rPr>
        <w:t>Shared claim-specific concepts:</w:t>
      </w:r>
      <w:r>
        <w:t xml:space="preserve"> visions, key, needed; EU scope visible. This is a provisional connection, not an outcome finding.</w:t>
      </w:r>
    </w:p>
    <w:p>
      <w:pPr>
        <w:pStyle w:val="SourceNote"/>
      </w:pPr>
      <w:r>
        <w:rPr>
          <w:b/>
        </w:rPr>
        <w:t>Available abstract (not full text):</w:t>
      </w:r>
      <w:r>
        <w:t xml:space="preserve"> Marine data are needed for many purposes: for acquiring a better scientific understanding of the marine environment, but also, increasingly, as marine knowledge for decision making as well as developing products and services supporting economic growth. Data must be of sufficient quality to meet the specific users’ needs. It must also be accessible in a timely manner. And yet, despite being critical, this timely access to known-quality data proves challenging. Europe’s marine data have traditionally been collected by a myriad of entities with the result that much of our data are scattered throughout unconnected databases and repositories. Even when data are available, they are often not compatible, making the sharing of the information and data aggregation particularly challenging. In this paper, we present how the European Marine Observation and Data network (EMODnet) has developed over the last decade to tackle these issues. Today, EMODnet is comprised of more than 150 organisations which gather marine data, metadata and data products and make them more easily accessible for a wider range of users. EMODnet currently consists of seven sub-portals: bathymetry, geology, physics, chemistry, biology, seabed habitats and human activities. In addition, Sea-basin Checkpoints have been established to assess the observation capacity in the North Sea, Mediterranean, Atlantic, Baltic, Art</w:t>
      </w:r>
    </w:p>
    <w:p>
      <w:pPr/>
      <w:r>
        <w:rPr>
          <w:b/>
        </w:rPr>
        <w:t>POSSIBLE 2019:</w:t>
      </w:r>
      <w:r>
        <w:t xml:space="preserve"> Spiritual Care in Palliative Care: A Systematic Review of the Recent European Literature — https://doi.org/10.3390/medsci7020025</w:t>
      </w:r>
    </w:p>
    <w:p>
      <w:pPr/>
      <w:r>
        <w:rPr>
          <w:b/>
        </w:rPr>
        <w:t>Shared claim-specific concepts:</w:t>
      </w:r>
      <w:r>
        <w:t xml:space="preserve"> review, recent, develop, like; EU scope visible. This is a provisional connection, not an outcome finding.</w:t>
      </w:r>
    </w:p>
    <w:p>
      <w:pPr>
        <w:pStyle w:val="SourceNote"/>
      </w:pPr>
      <w:r>
        <w:rPr>
          <w:b/>
        </w:rPr>
        <w:t>Available abstract (not full text):</w:t>
      </w:r>
      <w:r>
        <w:t xml:space="preserve"> Many studies on spiritual care in palliative care are performed in the US, leaving other continents unexplored. The objective of this systematic review is to map the recent studies on spiritual care in palliative care in Europe. PubMed, CINAHL, ATLA, PsycINFO, ERIC, IBSS, Web of Science, EMBASE, and other databases were searched. Included were European studies published in a peer-reviewed journal in 2015, 2016, or 2017. The characteristics of the included studies were analyzed and a narrative synthesis of the extracted data was performed. 53 articles were included. Spiritual care was seen as attention for spirituality, presence, empowerment, and bringing peace. It implied creative, narrative, and ritual work. Though several studies reported positive effects of spiritual care, like the easing of discomfort, the evidence for spiritual care is low. Requirements for implementation of spiritual care in (palliative) care were: Developing spiritual competency, including self-reflection, and visibility of spirituality and spiritual care, which are required from spiritual counselors that they participated in existing organizational structures. This study has provided insight into spiritual care in palliative care in Europe. Future studies are necessary to develop appropriate patient outcomes and to investigate the effects of spiritual care more fully.</w:t>
      </w:r>
    </w:p>
    <w:p>
      <w:pPr>
        <w:pStyle w:val="Heading2"/>
      </w:pPr>
      <w:r>
        <w:t>920. Making or breaking climate targets: The AMPERE study on staged accession scenarios for climate policy</w:t>
      </w:r>
    </w:p>
    <w:p>
      <w:pPr>
        <w:pStyle w:val="SourceNote"/>
      </w:pPr>
      <w:r>
        <w:rPr>
          <w:b/>
        </w:rPr>
        <w:t>Original source (2014):</w:t>
      </w:r>
      <w:r>
        <w:t xml:space="preserve"> https://doi.org/10.1016/j.techfore.2013.09.021</w:t>
      </w:r>
    </w:p>
    <w:p>
      <w:pPr/>
      <w:r>
        <w:t>Original wording (abstract; indexed_source_text_not_full_document_verified): The addition of China to the front runner coalition can reduce pre-2050 excess emissions by 20–30%, increasing the likelihood of staying below 2 degrees.</w:t>
      </w:r>
    </w:p>
    <w:p>
      <w:pPr/>
      <w:r>
        <w:rPr>
          <w:b/>
        </w:rPr>
        <w:t>POSSIBLE 2026:</w:t>
      </w:r>
      <w:r>
        <w:t xml:space="preserve"> The United States, China, and Strategic Technologies: Domestic Coalitions, Foreign Policy, and Multilateral Cooperation in the Biden Era — https://doi.org/10.1080/14650045.2026.2626266</w:t>
      </w:r>
    </w:p>
    <w:p>
      <w:pPr/>
      <w:r>
        <w:rPr>
          <w:b/>
        </w:rPr>
        <w:t>Shared claim-specific concepts:</w:t>
      </w:r>
      <w:r>
        <w:t xml:space="preserve"> china, coalition, reduce; EU scope not established. This is a provisional connection, not an outcome finding.</w:t>
      </w:r>
    </w:p>
    <w:p>
      <w:pPr>
        <w:pStyle w:val="SourceNote"/>
      </w:pPr>
      <w:r>
        <w:rPr>
          <w:b/>
        </w:rPr>
        <w:t>Available abstract (not full text):</w:t>
      </w:r>
      <w:r>
        <w:t xml:space="preserve"> In today’s geopolitical context, advocates of multilateralism in the US contend that it serves to manage conflicts, prevent escalation, and promote the peaceful resolution of disputes. Detractors point to national security concerns and unfair economic competition. In the case of multilateralism and China, critics argue that Beijing’s technological advancements, particularly in areas such as 5G, artificial intelligence, and cybersecurity, pose risks to US national security. Critics further point to China’s state-led industrial policies and practices, such as subsidies, market access restrictions, and forced technology transfers, as unfair. Differing views amongst the US foreign policy elite lead to three coalitions vying for policy adoption in the case of multilateralism and China: one arguing for continued engagement, believing that integration and collaboration can lead to shared benefits, improved global standards, and the diffusion of technological advancements. A second group wants to weaponise strategic technologies to gain advantages in the great power competition. The third coalition advocates for a flexilateral approach that employs selective decoupling to limit technological interdependence and reduce reliance on Chinese critical supply chains. This paper employs the Advocacy Coalition Framework (ACF) to examine the policy beliefs held by these three coalitions in the </w:t>
      </w:r>
    </w:p>
    <w:p>
      <w:pPr/>
      <w:r>
        <w:rPr>
          <w:b/>
        </w:rPr>
        <w:t>POSSIBLE 2026:</w:t>
      </w:r>
      <w:r>
        <w:t xml:space="preserve"> Observation of near-inertial oscillations trapped over inclined front on continental shelf of the northwestern South China Sea — https://doi.org/10.1016/j.jmarsys.2026.104305</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Interactions of near-inertial oscillations (NIOs) with other oceanic processes have been broadly investigated in recent years. This study presents enhanced NIOs observed from a seabed-based platform, which are trapped over an inclined front with strong stratification on the continental shelf of the northern South China Sea (NSCS) during January–February 2021. The current observations reveal that four NIO events occurred induced by wind bursting. Under the similar wind forcing, NIO currents in the third event increased from &lt;0.05 m s −1 to about 0.08 m s −1 . The mechanism analysis shows that the amplitude of NIOs was modulated by the shoaling depth of the mix-layer induced by the inclined front, and trapped in the upper layer. In addition, a remarkable non-linear interaction ( fD1 ) between NIOs and diurnal spring tide occurred at the front zone owing to a strong vertical current shear at the depths of 20–50 m. The energy transferred from front to NIOs provides an interpretation for this trapped NIO signal. The underlying driving mechanism of this observation would be important for explication of energy exchanges between mesoscale oceanic processes, and is worthy of further study.</w:t>
      </w:r>
    </w:p>
    <w:p>
      <w:pPr/>
      <w:r>
        <w:rPr>
          <w:b/>
        </w:rPr>
        <w:t>POSSIBLE 2024:</w:t>
      </w:r>
      <w:r>
        <w:t xml:space="preserve"> China Image Construction during the Covid-19 Epidemic: Multimodal Discourse Analysis based on the China-Related Front Cover of The Economist — https://doi.org/10.61935/asder.1.1.2023.p194</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The paper adopts Kress &amp; van Leeuwen’s grammar framework of visual image to carry out a multimodal discourse analysis on China-Related Front Covers of The Economist, in order to disclose the representative of the western media, British media’s attitude towards China after the outbreak of COVID-19, and further dissect the constructed China’s image. The research has noticed that The Economist, hostile to China, mainly built negative national image in related front covers; in addition, the magazine has also demonstrated some positive image about China’s active resistance to epidemic.</w:t>
      </w:r>
    </w:p>
    <w:p>
      <w:pPr/>
      <w:r>
        <w:rPr>
          <w:b/>
        </w:rPr>
        <w:t>POSSIBLE 2024:</w:t>
      </w:r>
      <w:r>
        <w:t xml:space="preserve"> Observations of near-inertial oscillations trapped at inclined front on continental shelf of the northwestern South China Sea — https://doi.org/10.5194/egusphere-2024-3909</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Abstract. Interactions of near-inertial oscillations (NIOs) with other oceanic processes have been broadly investigated in recent years. This study presents observed NIOs from a seabed-based platform, which are trapped at an inclined front with strong stratification on the continental shelf of the northern South China Sea (NSCS) during January–February 2021. The current observations reveal that four NIO events occurred induced by wind bursting. Under the same wind forcing, NIO currents in the third event increased from &lt;0.05 m s−1 to about 0.08 m s−1. The mechanism analysis shows that the amplitude of NIOs was modulated by the shoaling depth of the mix-layer induced by the inclined front, and trapped in the upper layer. More important, the energy transferred from front to NIOs provides a new insight into the NIO dynamics. In addition, a remarkable non-linear interaction (fD1) between NIOs and diurnal spring tide occurred at the front zone owing to a strong vertical current shear at the depths of 20–50 m. The underlying physical phenomenon of this observation would be important for energy exchanges in the oceans.</w:t>
      </w:r>
    </w:p>
    <w:p>
      <w:pPr/>
      <w:r>
        <w:rPr>
          <w:b/>
        </w:rPr>
        <w:t>POSSIBLE 2024:</w:t>
      </w:r>
      <w:r>
        <w:t xml:space="preserve"> Research on the reuse path of the Third Front Construction Heritage’s stock space in China based on value assessment — https://doi.org/10.21203/rs.3.rs-4070970/v1</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Abstract The third-front construction, an integral component of socialist urban and rural development during the initial three decades of the new China, has resulted in a significant surplus of unused stock space following four decades of contraction and progress. The exploration of its reuse value in the contemporary era holds immense theoretical and practical significance. By focusing on 113 factories and mines associated with third-front construction in Hubei Western, this study employs qualitative field research and statistical analysis to assess their layout and condition characteristics. The concept of 'smart shrinkage' is employed to summarise the reuse value of the stock space derived from third-front construction. In addition, the intrinsic and extrinsic value of the reuse value assessment system is evaluated through the implementation of the minimum cumulative resistance (MCR) model, network analysis, and cluster analysis. Finally, a proposed pathway for the reuse of the stock space derived from third-front construction is presented. The study revealed several key findings. ① The plants and mines associated with third-front construction in Hubei Western exhibit a signficant concentration in certain areas, while also displaying a dispersed layout on a smaller scale. These establishments rely on regional transportation infrastructure, thereby forming a corridor-like str</w:t>
      </w:r>
    </w:p>
    <w:p>
      <w:pPr/>
      <w:r>
        <w:rPr>
          <w:b/>
        </w:rPr>
        <w:t>POSSIBLE 2023:</w:t>
      </w:r>
      <w:r>
        <w:t xml:space="preserve"> the diaspora: China's united front work and the hyperlink networks of diasporic Chinese websites in cyberspace — https://doi.org/10.1080/2474736x.2023.2179409</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In recent years concerns have emerged regarding the loyalty of ethnic Chinese residing outside of China and whether they are agents of foreign influence.China has also recently declared its ambition to be an 'Internet superpower' and use the internet for political goals.This article will therefore explore the role of the internet in China's diaspora engagement efforts.By adopting an Information Technology (IT)-informed approach, this article seeks to provide insights to the following question(s): Does China engage in diaspora engagement on the internet, to what extent, and what are the implications of such?An in-depth look at a representative sample of Chinese-language websites outside of China reveals 'dual-track messaging' approaches where nonpolitical (i.e.business) news exists alongside overtly political messages.This strongly suggests that the Communist Party of China's (CPC) United Front work to co-opt the diaspora is also taking place via cyberspace, in addition to traditional media sources.</w:t>
      </w:r>
    </w:p>
    <w:p>
      <w:pPr/>
      <w:r>
        <w:rPr>
          <w:b/>
        </w:rPr>
        <w:t>POSSIBLE 2023:</w:t>
      </w:r>
      <w:r>
        <w:t xml:space="preserve"> The Vertical Distribution of Ice-Nucleating Particles over the North China Plain: A Case of Cold Front Passage — https://doi.org/10.3390/rs15204989</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Ice-nucleating particles (INPs) are crucial for cloud freezing processes in the atmosphere. Given the limited knowledge about the vertical distribution of INPs and its relation to aerosols in China, we present two aircraft observations of INPs over the North China Plain on 23 October 2019 and 25 October 2019, before and after a cold front passage. We used a well-established method to identify the INPs on a silicon wafer and then performed single-particle chemical composition analysis using an environmental scanning electron microscope-energy dispersive spectrometer (ESEM-EDS). The INP concentrations range from 0.1 to 9.2 L−1 within activation temperatures from −20 to −29 °C. INPs are mostly concentrated within the boundary layer, and their concentration shows a decreasing trend with height (0.5~6 km) before the cold front passage. However, the highest INP concentration always appears at higher altitudes (4~5 km) after the cold front passage. The cold front passage also significantly weakens the correlations between the concentrations of INPs and aerosol particles at different sizes. The activated fraction (AF) of total aerosols increases from 10−6 to 10−4 with height from near ground to 6 km, reflecting a better nucleating capacity of the aerosols at higher altitudes. There is no obvious variation in AF after the cold front passage. Chemical analysis reveals that the INPs conta</w:t>
      </w:r>
    </w:p>
    <w:p>
      <w:pPr/>
      <w:r>
        <w:rPr>
          <w:b/>
        </w:rPr>
        <w:t>POSSIBLE 2022:</w:t>
      </w:r>
      <w:r>
        <w:t xml:space="preserve"> The effect of Chinese Gigacity on weather fronts — https://doi.org/10.5194/ems2022-550</w:t>
      </w:r>
    </w:p>
    <w:p>
      <w:pPr/>
      <w:r>
        <w:rPr>
          <w:b/>
        </w:rPr>
        <w:t>Shared claim-specific concepts:</w:t>
      </w:r>
      <w:r>
        <w:t xml:space="preserve"> addition, china, front, increasing; EU scope not established. This is a provisional connection, not an outcome finding.</w:t>
      </w:r>
    </w:p>
    <w:p>
      <w:pPr>
        <w:pStyle w:val="SourceNote"/>
      </w:pPr>
      <w:r>
        <w:rPr>
          <w:b/>
        </w:rPr>
        <w:t>Available abstract (not full text):</w:t>
      </w:r>
      <w:r>
        <w:t xml:space="preserve"> The rapid, large-scale urbanization in northeast China during the last few decades has been unique. Recently, Kulmala et al (2021) proposed that in eastern China, a cluster of individual megacities, located roughly inside a triangle Beijing-Xian-Shanghai, could be classified as one huge continuous urban area – a gigacity. In a such gigacity region, combined effect of pollution, vast area of increased surface roughness and urban heat island can strongly interact with the local, synoptic, and even continental scale meteorological conditions. Therefore, the complex interactions between multi-scale meteorological processes and the anthropogenic effects of gigacity bring great challenges to the understanding of environmental and climate systems, air quality forecast and weather prediction in the gigacity region. There are many studies about the interaction of urban areas and local and regional scale atmospheric circulation. However, it is still poorly understood how these very large urban areas interact with meso- and synoptic-scale meteorology. The objective of this study was to analyse the effect of gigacity area to the weather fronts. The study period was 1980-2010 when most of the rapid urbanization occurred in the gigacity region. The identification of weather fronts was performed following the principles by Jenkner et al (2010) and Berry et al (2011). However, we further devel</w:t>
      </w:r>
    </w:p>
    <w:p>
      <w:pPr/>
      <w:r>
        <w:rPr>
          <w:b/>
        </w:rPr>
        <w:t>POSSIBLE 2022:</w:t>
      </w:r>
      <w:r>
        <w:t xml:space="preserve"> Interannual, Seasonal, and Monthly Variability of Sea Surface Temperature Fronts in Offshore China from 1982–2021 — https://doi.org/10.3390/rs14215336</w:t>
      </w:r>
    </w:p>
    <w:p>
      <w:pPr/>
      <w:r>
        <w:rPr>
          <w:b/>
        </w:rPr>
        <w:t>Shared claim-specific concepts:</w:t>
      </w:r>
      <w:r>
        <w:t xml:space="preserve"> addition, china, front, increasing; EU scope not established. This is a provisional connection, not an outcome finding.</w:t>
      </w:r>
    </w:p>
    <w:p>
      <w:pPr>
        <w:pStyle w:val="SourceNote"/>
      </w:pPr>
      <w:r>
        <w:rPr>
          <w:b/>
        </w:rPr>
        <w:t>Available abstract (not full text):</w:t>
      </w:r>
      <w:r>
        <w:t xml:space="preserve"> The offshore China (OC) region is a significant sea area in the Western Pacific and many researchers have been interested in the distribution of sea surface temperature (SST) fronts in this area. In this study, the Cayula and Cornillon single image edge detection algorithm was used to detect SST fronts using the Daily Optimum Interpolation Sea Surface Temperature data from 1982 to 2021. The results revealed that there are eighteen SST fronts in OC— three in the Bohai Sea, seven in the Yellow Sea, two in the East China Sea, five in the South China Sea, one in the Pacific Ocean east of Taiwan province, China—and among them a new front was detected in the Yellow Sea and named the Yellow Sea Ring Front. The frequency of most fronts showed a tendency of initially increasing and then decreasing from January to September, followed by a trend of growing steadily from October to December. The frequency of a few fronts showed a decreasing tendency from January to September and an increasing tendency from October to December. The frequency of most fronts is highest in winter and lowest in summer. In spring and autumn, the frequency of most fronts is lower than that in winter and higher than that in summer. The annual average frontal probability of five-ninths of the fronts showed an upward trend, and the annual average frontal probability value of one-third of the fronts showed a downward</w:t>
      </w:r>
    </w:p>
    <w:p>
      <w:pPr/>
      <w:r>
        <w:rPr>
          <w:b/>
        </w:rPr>
        <w:t>POSSIBLE 2021:</w:t>
      </w:r>
      <w:r>
        <w:t xml:space="preserve"> Contrasting habitat use and conservation status of Chinese-wintering and other Eurasian Greater White-fronted Goose (Anser albifrons) populations — https://doi.org/10.1186/s40657-021-00306-0</w:t>
      </w:r>
    </w:p>
    <w:p>
      <w:pPr/>
      <w:r>
        <w:rPr>
          <w:b/>
        </w:rPr>
        <w:t>Shared claim-specific concepts:</w:t>
      </w:r>
      <w:r>
        <w:t xml:space="preserve"> addition, china, increasing; EU scope visible. This is a provisional connection, not an outcome finding.</w:t>
      </w:r>
    </w:p>
    <w:p>
      <w:pPr>
        <w:pStyle w:val="SourceNote"/>
      </w:pPr>
      <w:r>
        <w:rPr>
          <w:b/>
        </w:rPr>
        <w:t>Available abstract (not full text):</w:t>
      </w:r>
      <w:r>
        <w:t xml:space="preserve"> Abstract Background GPS/GSM tracking data were used to contrast use of (i) habitats and (ii) protected areas between three Arctic-nesting Greater White-fronted Geese (Anser albifrons, GWFG) populations throughout the annual cycle. We wished to demonstrate that the East Asian Continental Population (which winters on natural wetlands in the Chinese Yangtze River floodplain and is currently declining) avoids using farmland at multiple wintering sites. We also gathered tracking evidence to support general observations from two increasing population of GWFG, the North Sea-Baltic (which winters in Europe) and the West Pacific (which winter in Korea and Japan) winter mostly within farmland landscapes, using wetlands only for safe night roosts. Methods We tracked 156 GWFG throughout their annual cycle using GPS/GSM transmitters from these three populations to determine migration routes and stopover staging patterns. We used Brownian Bridge Movement Models to generate summer, winter and migration stopover home ranges which we then overlaid in GIS with land cover and protected area boundary at national level to determine habitat use and degree of protection from nature conservation designated areas. Results Data confirmed that 73% of European wintering GWFG homes ranges were from within farmland, compared to 59% in Japan and Korea, but just 5% in China, confirming the heavy winter use of</w:t>
      </w:r>
    </w:p>
    <w:p>
      <w:pPr/>
      <w:r>
        <w:rPr>
          <w:b/>
        </w:rPr>
        <w:t>POSSIBLE 2018:</w:t>
      </w:r>
      <w:r>
        <w:t xml:space="preserve"> Phytoplankton response to a plume front in the northern South China Sea — https://doi.org/10.5194/bg-15-2551-2018</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Abstract. Due to a strong river discharge during April–June 2016, a persistent salinity front, with freshwater flushing seaward on the surface but seawater moving landward at the bottom, was formed in the coastal waters west of the Pearl River Estuary (PRE) over the Northern South China Sea (NSCS) shelf. Hydrographic measurements revealed that the salinity front was influenced by both river plume and coastal upwelling. Shipboard nutrient-enrichment experiments with size-fractionation chlorophyll-a measurements were performed on both sides of the front as well as the front zone to diagnose the spatial variations of phytoplankton physiology across the frontal system. We also assessed the size-fractionated responses of phytoplankton to the treatment of plume water at the frontal zone and the seaside of the front. Biological impact of vertical mixing or upwelling was further examined by the response of surface phytoplankton to the addition of local bottom water. Our results suggested that there was a large variation of phytoplankton physiology on the seaside of the front driven by dynamic nutrient fluxes, although P-limitation was prevailing on the shore-side of the front and at the frontal zone. The spreading of plume water at the frontal zone would directly improve the growth of micro-phytoplankton, while nano- and pico-phytoplankton growths could become saturated at high percent</w:t>
      </w:r>
    </w:p>
    <w:p>
      <w:pPr/>
      <w:r>
        <w:rPr>
          <w:b/>
        </w:rPr>
        <w:t>POSSIBLE 2018:</w:t>
      </w:r>
      <w:r>
        <w:t xml:space="preserve"> Copyright Protection of Digital Movies Using the Coalition of Technology and Law in China — https://doi.org/10.4236/chnstd.2018.74023</w:t>
      </w:r>
    </w:p>
    <w:p>
      <w:pPr/>
      <w:r>
        <w:rPr>
          <w:b/>
        </w:rPr>
        <w:t>Shared claim-specific concepts:</w:t>
      </w:r>
      <w:r>
        <w:t xml:space="preserve"> china, coalition, increasing; EU scope not established. This is a provisional connection, not an outcome finding.</w:t>
      </w:r>
    </w:p>
    <w:p>
      <w:pPr>
        <w:pStyle w:val="SourceNote"/>
      </w:pPr>
      <w:r>
        <w:rPr>
          <w:b/>
        </w:rPr>
        <w:t>Available abstract (not full text):</w:t>
      </w:r>
      <w:r>
        <w:t xml:space="preserve"> Copyright protection of digital movie is becoming increasingly important with increasing developing of the information technology. In China, unlimited replication and rapid propagation of the network makes it increasingly difficult to monitor the copyright piracy and illegal dissemination. Currently, encryption and tracking technology is predominantly used for copyright protection of digital film. The law is also committed to combating piracy and protecting copyright. But neither technical protection nor legal protection can achieve the protective effect that is necessary. Every year, the industry loses billions of dollars in revenue and faces the potential loss of hundreds of thousands of jobs. And Chinese laws do not define the consumer’s responsibilities. So the legal protection is a little weak in reality. This paper argues that there is a need for an alliance of technology and law. Copyright owners actively carry out technical protection to minimize the impact of piracy. Simultaneously, when the technical protection fails or has loopholes, the law shall punish the infringer severely according to the technical data and proof, and deter the offender. This is the better way to protect the copyright of digital film.</w:t>
      </w:r>
    </w:p>
    <w:p>
      <w:pPr>
        <w:pStyle w:val="Heading2"/>
      </w:pPr>
      <w:r>
        <w:t>921. Making sense of the future: visions and transition pathways of laypeople and professionals from six EU countries</w:t>
      </w:r>
    </w:p>
    <w:p>
      <w:pPr>
        <w:pStyle w:val="SourceNote"/>
      </w:pPr>
      <w:r>
        <w:rPr>
          <w:b/>
        </w:rPr>
        <w:t>Original source (2014):</w:t>
      </w:r>
      <w:r>
        <w:t xml:space="preserve"> https://doi.org/10.1080/11287462.2014.957010</w:t>
      </w:r>
    </w:p>
    <w:p>
      <w:pPr/>
      <w:r>
        <w:t>Original wording (abstract; indexed_source_text_not_full_document_verified): The paper concludes with an evaluation of the pathways developed by comparing them to the UK 2050 pathways. For the transition pathway development of these futures, backcasting workshops were held with the participation of young people and experts to develop suitable pathways towards each of the three visions with regard to three specific sectors, namely, household energy, individual mobility and food.</w:t>
      </w:r>
    </w:p>
    <w:p>
      <w:pPr/>
      <w:r>
        <w:rPr>
          <w:b/>
        </w:rPr>
        <w:t>POSSIBLE 2026:</w:t>
      </w:r>
      <w:r>
        <w:t xml:space="preserve"> Friedreich's ataxia patient pathway in Europe — https://doi.org/10.3389/frhs.2026.1817584</w:t>
      </w:r>
    </w:p>
    <w:p>
      <w:pPr/>
      <w:r>
        <w:rPr>
          <w:b/>
        </w:rPr>
        <w:t>Shared claim-specific concepts:</w:t>
      </w:r>
      <w:r>
        <w:t xml:space="preserve"> pathways, pathway, people, each, three; EU scope visible. This is a provisional connection, not an outcome finding.</w:t>
      </w:r>
    </w:p>
    <w:p>
      <w:pPr>
        <w:pStyle w:val="SourceNote"/>
      </w:pPr>
      <w:r>
        <w:rPr>
          <w:b/>
        </w:rPr>
        <w:t>Available abstract (not full text):</w:t>
      </w:r>
      <w:r>
        <w:t xml:space="preserve"> Background: Friedreich's ataxia (FA) is a rare progressive and multi systemic neurodegenerative disorder characterized by loss of coordination, typically resulting in loss of ambulation. Cardiomyopathy, diabetes mellitus, and scoliosis are common and serious manifestations of the disease. This project explores the FA patient pathways, healthcare use and costs, and compares people's care experiences attending specialist ataxia centres (SAC) with care in non-specialist settings in three European countries. Methods: We collected data in the UK, Germany and Italy using a patient survey, to gather information about the diagnosis and the management of the ataxias in SAC and non-SAC settings, healthcare visits, and patient's satisfaction. We compared per-patient mean resource use for each contact type and health service cost, stratifying patients by SAC attendance. Results: = 56) with a confirmed diagnosis of FA. This cohort valued the SAC services in understanding their condition, offering opportunities to take part in research, and delivering care adapted to their needs. Our results highlight the patient's appreciation for SAC services compared to non-SAC without any significant change in costs. We identified similar barriers for patients in accessing SACs in the selected countries. Conclusions: This study shows the value of SAC specifically for the management of complex rare condit</w:t>
      </w:r>
    </w:p>
    <w:p>
      <w:pPr/>
      <w:r>
        <w:rPr>
          <w:b/>
        </w:rPr>
        <w:t>POSSIBLE 2025:</w:t>
      </w:r>
      <w:r>
        <w:t xml:space="preserve"> Changes in Europeans’ evaluation of democracy — https://doi.org/10.1093/oso/9780198883319.003.0007</w:t>
      </w:r>
    </w:p>
    <w:p>
      <w:pPr/>
      <w:r>
        <w:rPr>
          <w:b/>
        </w:rPr>
        <w:t>Shared claim-specific concepts:</w:t>
      </w:r>
      <w:r>
        <w:t xml:space="preserve"> concludes, evaluation, comparing, them; EU scope not established. This is a provisional connection, not an outcome finding.</w:t>
      </w:r>
    </w:p>
    <w:p>
      <w:pPr>
        <w:pStyle w:val="SourceNote"/>
      </w:pPr>
      <w:r>
        <w:rPr>
          <w:b/>
        </w:rPr>
        <w:t>Available abstract (not full text):</w:t>
      </w:r>
      <w:r>
        <w:t xml:space="preserve"> Abstract Against the backdrop of contemporary diagnoses about citizens’ apparently growing dissatisfaction with democracy, this chapter studies the gap between citizens’ expectations and evaluations of democracy, or “democratic deficit,” in ESS10. It finds that while the gap is sizable, it has not grown significantly over the last decade and since ESS6 was fielded. Showing changes across indicators and countries and comparing them to expert assessments in the Varieties of Democracy project, the chapter concludes that the relative stability in evaluations offers some reassurance. At the same time, democracies’ failure to meet citizen expectations can constitute a fertile ground for populist mobilization. The chapter argues that governments’ perceived lack of responsiveness in particular may be exploited to attack democratic institutions in the name of democracy itself.</w:t>
      </w:r>
    </w:p>
    <w:p>
      <w:pPr/>
      <w:r>
        <w:rPr>
          <w:b/>
        </w:rPr>
        <w:t>POSSIBLE 2025:</w:t>
      </w:r>
      <w:r>
        <w:t xml:space="preserve"> Evaluation of Operational Performance of Major European International Airports with Data Envelopment — https://doi.org/10.30518/jav.1639240</w:t>
      </w:r>
    </w:p>
    <w:p>
      <w:pPr/>
      <w:r>
        <w:rPr>
          <w:b/>
        </w:rPr>
        <w:t>Shared claim-specific concepts:</w:t>
      </w:r>
      <w:r>
        <w:t xml:space="preserve"> evaluation, them, each; EU scope visible. This is a provisional connection, not an outcome finding.</w:t>
      </w:r>
    </w:p>
    <w:p>
      <w:pPr>
        <w:pStyle w:val="SourceNote"/>
      </w:pPr>
      <w:r>
        <w:rPr>
          <w:b/>
        </w:rPr>
        <w:t>Available abstract (not full text):</w:t>
      </w:r>
      <w:r>
        <w:t xml:space="preserve"> This paper studies the impact of air logistics and transportation on the operational efficiency of 10 major European International Airports over the 2021–2023 period using the Data Envelope Analysis (DEA) method, which is solved using MAXDEA 8 software. For this purpose, a literature review was carried out to identify the input and output variables used in analysing the operational efficiency of airport logistics. In this study, the input variables include the airport's area, cargo terminal area, the number of passenger terminals, and the number of runways, while the output variables are the number of flights, the number of passengers, and amount of cargo are used. The DEA model provides the most efficient results in terms of output-oriented maximization. The performance of each airport is compared to others, and the efficiency rate for each airport is evaluated. The study identifies the effective airports, their reference points relative to others, and assesses how much improvement is needed for ineffective airports to enhance their outputs. As a result of this application, it was concluded that the operational efficiency of airports is effective or ineffective according to air logistics and transportation activities. As a result of this study, it was revealed that the operational efficiency of 8 of 10 major international airports in the 2021-2023 period was effective, and onl</w:t>
      </w:r>
    </w:p>
    <w:p>
      <w:pPr/>
      <w:r>
        <w:rPr>
          <w:b/>
        </w:rPr>
        <w:t>POSSIBLE 2025:</w:t>
      </w:r>
      <w:r>
        <w:t xml:space="preserve"> Pathways to Circularity: Engagement Patterns of European SMEs in the Circular Economy — https://doi.org/10.1002/bse.4192</w:t>
      </w:r>
    </w:p>
    <w:p>
      <w:pPr/>
      <w:r>
        <w:rPr>
          <w:b/>
        </w:rPr>
        <w:t>Shared claim-specific concepts:</w:t>
      </w:r>
      <w:r>
        <w:t xml:space="preserve"> pathways, transition, each, specific; EU scope visible. This is a provisional connection, not an outcome finding.</w:t>
      </w:r>
    </w:p>
    <w:p>
      <w:pPr>
        <w:pStyle w:val="SourceNote"/>
      </w:pPr>
      <w:r>
        <w:rPr>
          <w:b/>
        </w:rPr>
        <w:t>Available abstract (not full text):</w:t>
      </w:r>
      <w:r>
        <w:t xml:space="preserve"> ABSTRACT Compliance with the 2030 agenda is forcing small and medium‐sized enterprises (SMEs) in the European Union (EU) to transition from linear to circular business models, boosting the adoption of circular economy ( CE ) activities. More information is needed to know the transition stage of these companies. Therefore, the objective of this study is to evaluate the implementation patterns of nine CE activities by EU SMEs and explore the relationships between the implementation of CE activities and the characteristics of these companies in terms of economic activity and ownership. To this end, we used a sample of 13,322 SMEs from the EU, using the Latent Class Model to identify the implementation patterns of CE activities and correspondence analysis to relate the implementation of CE activities with the characteristics of the SMEs. The results show that in the implementation of CE activities, five patterns of SMEs involvement can be identified, with CE activities being systematically independent in each pattern. It was also demonstrated that the SMEs with the highest probability of engagement are those dedicated to service activities, medium‐sized companies established more years ago, with high and growing turnover, which invest most of their turnover annually in CE activities, and those that sell products or services to multiple final destinations. This study contributes to </w:t>
      </w:r>
    </w:p>
    <w:p>
      <w:pPr/>
      <w:r>
        <w:rPr>
          <w:b/>
        </w:rPr>
        <w:t>POSSIBLE 2024:</w:t>
      </w:r>
      <w:r>
        <w:t xml:space="preserve"> Nonlinearity and Asymmetry of the ENSO Stratospheric Pathway to North Atlantic and Europe, Revisited — https://doi.org/10.1029/2023jd039992</w:t>
      </w:r>
    </w:p>
    <w:p>
      <w:pPr/>
      <w:r>
        <w:rPr>
          <w:b/>
        </w:rPr>
        <w:t>Shared claim-specific concepts:</w:t>
      </w:r>
      <w:r>
        <w:t xml:space="preserve"> them, pathway, develop, each, three; EU scope visible. This is a provisional connection, not an outcome finding.</w:t>
      </w:r>
    </w:p>
    <w:p>
      <w:pPr>
        <w:pStyle w:val="SourceNote"/>
      </w:pPr>
      <w:r>
        <w:rPr>
          <w:b/>
        </w:rPr>
        <w:t>Available abstract (not full text):</w:t>
      </w:r>
      <w:r>
        <w:t xml:space="preserve"> Abstract Nonlinearities and asymmetries of El Niño Southern Oscillation (ENSO) stratospheric pathway to the North Atlantic and Europe are examined in large ensembles conducted with fully coupled climate models during wintertime. The analysis is centered on historical experiments of the Max Planck Institute Grand Ensemble (MPI‐GE, 95 members) and expanded to six other ensembles of more limited size. In MPI‐GE, significant responses are obtained for each ENSO phase and three different intensities (weak, moderate and strong). Overall, linear relationships are found for either El Niño or La Niña key diagnostics that characterize the pathway. These relationships are generally weaker for the cold La Niña than for the warm El Niño so that asymmetries between them develop as the events intensify. Specifically for strong events, the extra‐tropical North Pacific and stratospheric responses are asymmetric, with larger responses for El Niño. In addition, the stratospheric asymmetry in strong events seems to contribute to the asymmetry in strong events in the North Atlantic—Europe response in the troposphere in late winter. The extra‐tropical North Pacific response shows general agreement between MPI‐GE and the other large ensembles. However, this agreement is not as large when other parts of the pathway are compared. Relatively high inter‐model response spread confirms the typical model un</w:t>
      </w:r>
    </w:p>
    <w:p>
      <w:pPr/>
      <w:r>
        <w:rPr>
          <w:b/>
        </w:rPr>
        <w:t>POSSIBLE 2024:</w:t>
      </w:r>
      <w:r>
        <w:t xml:space="preserve"> The impacts of decarbonization pathways on Sustainable Development Goals in the European Union — https://doi.org/10.1038/s43247-024-01309-7</w:t>
      </w:r>
    </w:p>
    <w:p>
      <w:pPr/>
      <w:r>
        <w:rPr>
          <w:b/>
        </w:rPr>
        <w:t>Shared claim-specific concepts:</w:t>
      </w:r>
      <w:r>
        <w:t xml:space="preserve"> pathways, specific; EU scope visible. This is a provisional connection, not an outcome finding.</w:t>
      </w:r>
    </w:p>
    <w:p>
      <w:pPr>
        <w:pStyle w:val="SourceNote"/>
      </w:pPr>
      <w:r>
        <w:rPr>
          <w:b/>
        </w:rPr>
        <w:t>Available abstract (not full text):</w:t>
      </w:r>
      <w:r>
        <w:t xml:space="preserve"> Abstract Climate action to achieve the Paris Agreement should respect the United Nations Sustainable Development Goals. Here, we use an integrated assessment modelling framework comprising nine climate policy models and quantify the impacts of decarbonisation pathways on Sustainable Development Goals in the European Union at regional and national levels. We show that scenario-consistent assumptions of future socio-economic trends and current climate policies would improve energy- and carbon-related aspects of sustainability and reduce inequalities. Ambitious net-zero emissions pathways would further improve health and agricultural productivity. Furthermore, countries currently lagging in achieving sustainable development goals would see the greatest benefits from ambitious climate action. Negative socio-economic impacts from climate action on poverty, hunger, and economic growth will require specific corrective policies. While our analysis does not quantify the negative effects of less ambitious climate policy, it demonstrates where co-benefits and trade-offs of greenhouse gas mitigation and sustainable development agenda exist and can guide policy formulation.</w:t>
      </w:r>
    </w:p>
    <w:p>
      <w:pPr/>
      <w:r>
        <w:rPr>
          <w:b/>
        </w:rPr>
        <w:t>POSSIBLE 2024:</w:t>
      </w:r>
      <w:r>
        <w:t xml:space="preserve"> Machine learning algorithms for the evaluation of risk by tick-borne pathogens in Europe — https://doi.org/10.1080/07853890.2024.2405074</w:t>
      </w:r>
    </w:p>
    <w:p>
      <w:pPr/>
      <w:r>
        <w:rPr>
          <w:b/>
        </w:rPr>
        <w:t>Shared claim-specific concepts:</w:t>
      </w:r>
      <w:r>
        <w:t xml:space="preserve"> evaluation, suitable, namely; EU scope visible. This is a provisional connection, not an outcome finding.</w:t>
      </w:r>
    </w:p>
    <w:p>
      <w:pPr>
        <w:pStyle w:val="SourceNote"/>
      </w:pPr>
      <w:r>
        <w:rPr>
          <w:b/>
        </w:rPr>
        <w:t>Available abstract (not full text):</w:t>
      </w:r>
      <w:r>
        <w:t xml:space="preserve"> Background Tick-borne pathogens pose a major threat to human health worldwide. Understanding the epidemiology of tick-borne diseases to reduce their impact on human health requires models covering large geographic areas and considering both the abiotic traits that affect tick presence, as well as the vertebrates used as hosts, vegetation, and land use. Herein, we integrated the public information available for Europe regarding the variables that may affect habitat suitability for ticks and hosts and tested five machine learning algorithms (MLA) for predicting the distribution of four prominent tick species across Europe.Materials and methods A grid of cells 20 km in diameter was prepared to cover the entire territory, containing data on vegetation, points of water, habitat fragmentation, forest density, grass extension, or imperviousness, with information on temperature and water deficit. The distribution of the hosts (162 species) was modelled and included in the dataset. We used five MLA, namely, Random Forest, Neural Networks, Naive Bayes, Gradient Boosting, and AdaBoost, trained with reliable coordinates for Ixodes ricinus, Dermacentor reticulatus, Dermacentor marginatus, and Hyalomma marginatum in Europe.Results Both Random Forest and Gradient Boosting best predicted ticks and host environmental niches. Our results demonstrate that MLA can identify trait-matching combinati</w:t>
      </w:r>
    </w:p>
    <w:p>
      <w:pPr/>
      <w:r>
        <w:rPr>
          <w:b/>
        </w:rPr>
        <w:t>POSSIBLE 2024:</w:t>
      </w:r>
      <w:r>
        <w:t xml:space="preserve"> AI4T - Comparative European Evaluation Report — https://openalex.org/W4395443930</w:t>
      </w:r>
    </w:p>
    <w:p>
      <w:pPr/>
      <w:r>
        <w:rPr>
          <w:b/>
        </w:rPr>
        <w:t>Shared claim-specific concepts:</w:t>
      </w:r>
      <w:r>
        <w:t xml:space="preserve"> evaluation, pathways, pathway, each, three, specific; EU scope visible. This is a provisional connection, not an outcome finding.</w:t>
      </w:r>
    </w:p>
    <w:p>
      <w:pPr>
        <w:pStyle w:val="SourceNote"/>
      </w:pPr>
      <w:r>
        <w:rPr>
          <w:b/>
        </w:rPr>
        <w:t>Available abstract (not full text):</w:t>
      </w:r>
      <w:r>
        <w:t xml:space="preserve"> This report presents and compares the impact of the AI4T– Artificial Intelligence for and by Teachers – professional learning pathways in France, Ireland, Italy, Luxembourg and Slovenia.The first sections introduce the AI4T professional learning pathway and outline the experimental design in each country, i.e. participant selection and randomisation procedures, theoretical framework used for assessment, and evaluation instruments. This is followed by a description of the country samples. Finally, issues pertaining to the experiment's internal and external validity are addressed.A comparative perspective is adopted to present the findings across the different countries. The primary focus is given to teachers as they are the main target of the AI4T project. After detailing their reactions to the professional learning pathways in the five countries, the report discusses the three main outcomes of the experiment, namely teachers’ knowledge of AI, their perceptions of AI, and their use of AI. Both the initial state and the impact of the intervention are presented for each outcome. In addition, we provide a discussion of the differential impact of the intervention on teachers based on their engagement with the MOOC, their self-efficacy for integrating technology in the classroom, and their course subjects. Results from school leaders and students are then presented in separate sectio</w:t>
      </w:r>
    </w:p>
    <w:p>
      <w:pPr/>
      <w:r>
        <w:rPr>
          <w:b/>
        </w:rPr>
        <w:t>POSSIBLE 2023:</w:t>
      </w:r>
      <w:r>
        <w:t xml:space="preserve"> Exploring pathways to 100% renewable energy in European industry — https://doi.org/10.1016/j.energy.2023.126687</w:t>
      </w:r>
    </w:p>
    <w:p>
      <w:pPr/>
      <w:r>
        <w:rPr>
          <w:b/>
        </w:rPr>
        <w:t>Shared claim-specific concepts:</w:t>
      </w:r>
      <w:r>
        <w:t xml:space="preserve"> pathways, transition, each, sectors; EU scope visible. This is a provisional connection, not an outcome finding.</w:t>
      </w:r>
    </w:p>
    <w:p>
      <w:pPr>
        <w:pStyle w:val="SourceNote"/>
      </w:pPr>
      <w:r>
        <w:rPr>
          <w:b/>
        </w:rPr>
        <w:t>Available abstract (not full text):</w:t>
      </w:r>
      <w:r>
        <w:t xml:space="preserve"> Industry poses one of the biggest challenges in the renewable energy transition. In this paper, fossil fuels in the European industrial sector are replaced by renewable energy using a novel tool, IndustryPLAN, a planning tool for the assessment of national industrial sectors. In a bottom-up approach, each industry sub-sector is addressed with energy efficiency and fossil fuel replacement measures based on best available and innovative technologies, and in a top-down approach, the fuel and electricity consumption per country is analysed and decarbonised. The results indicate that: 1. Known technologies can decarbonise most of the industrial sector; 2. Costs and efficiencies are improved by energy savings and electrification; 3. Limiting bioenergy consumption is a critical challenge, emphasising the key role of energy savings and electrification, and the alternative of using hydrogen or hydrogen-based electrofuels will make the transition more expensive and induce energy losses. A full transition to renewable energy and a decarbonised industry sector may be possible before 2050, however, this requires that all investments are sustainable from 2030 onwards and that grid electricity is fully decarbonised. This paper presents several pathways toward 100% renewable energy supply in the European industrial sector and discusses the implications of the outlined scenarios.</w:t>
      </w:r>
    </w:p>
    <w:p>
      <w:pPr/>
      <w:r>
        <w:rPr>
          <w:b/>
        </w:rPr>
        <w:t>POSSIBLE 2023:</w:t>
      </w:r>
      <w:r>
        <w:t xml:space="preserve"> The Future of HSR Program Evaluation: A European Perspective — https://doi.org/10.1093/eurpub/ckad160.052</w:t>
      </w:r>
    </w:p>
    <w:p>
      <w:pPr/>
      <w:r>
        <w:rPr>
          <w:b/>
        </w:rPr>
        <w:t>Shared claim-specific concepts:</w:t>
      </w:r>
      <w:r>
        <w:t xml:space="preserve"> evaluation, developed; EU scope visible. This is a provisional connection, not an outcome finding.</w:t>
      </w:r>
    </w:p>
    <w:p>
      <w:pPr>
        <w:pStyle w:val="SourceNote"/>
      </w:pPr>
      <w:r>
        <w:rPr>
          <w:b/>
        </w:rPr>
        <w:t>Available abstract (not full text):</w:t>
      </w:r>
      <w:r>
        <w:t xml:space="preserve"> Abstract There is a long tradition of program evaluation in public health, due to the influence of medical approaches and the development of evidence-based medicine. Health services research have thus provided substantial evidence and built itself partially on the evaluation of organizational innovations over time in various international healthcare settings. What is new here? What is the future of HSR from an evaluation perspective? Since the turn of the century, two main shifts in the resources and methods available to public health researchers could provide a significant leap for HSR research in Europe, and in France especially. First, more data are being produced and made available to researchers. Most healthcare systems in Europe have implemented DRGs and for doing so, information systems have been developed incidentally. This led to the routine production of data initially used for payment schemes, that are now increasingly being used for research. Although this is similar to what happened in the US, the main difference with European healthcare systems lies in the generalized approach of the welfare system to the whole population. Second, evaluation methods recently evolved towards the framework of what is known as “realist evaluation” based on the causal analysis of programs or public policies while incorporating contextual effects and a theoretical perspective to explai</w:t>
      </w:r>
    </w:p>
    <w:p>
      <w:pPr/>
      <w:r>
        <w:rPr>
          <w:b/>
        </w:rPr>
        <w:t>POSSIBLE 2022:</w:t>
      </w:r>
      <w:r>
        <w:t xml:space="preserve"> Evaluation of attractiveness of Russian and Western European green bonds — https://doi.org/10.18323/2221-5689-2022-3-25-33</w:t>
      </w:r>
    </w:p>
    <w:p>
      <w:pPr/>
      <w:r>
        <w:rPr>
          <w:b/>
        </w:rPr>
        <w:t>Shared claim-specific concepts:</w:t>
      </w:r>
      <w:r>
        <w:t xml:space="preserve"> evaluation, comparing, them; EU scope visible. This is a provisional connection, not an outcome finding.</w:t>
      </w:r>
    </w:p>
    <w:p>
      <w:pPr>
        <w:pStyle w:val="SourceNote"/>
      </w:pPr>
      <w:r>
        <w:rPr>
          <w:b/>
        </w:rPr>
        <w:t>Available abstract (not full text):</w:t>
      </w:r>
      <w:r>
        <w:t xml:space="preserve"> More and more companies in Western markets provide potential investors with an instrument to attract debt financing called “green bonds”. In recent years, a significant rise in demand for this type of securities is observed in Western stock markets; Russian investors also demonstrate interest in them, which makes issues of evaluating green bonds and comparing their investment attractiveness with the attractiveness of traditional bonds topical ones. The paper gives the assessment of attractiveness of green bonds both of Russian and Western European issuers and compares green and traditional corporate bonds from the point of view of a potential investor. The authors analyzed key financial performance indicators of green bonds: a coupon size, yield to maturity, and duration; assessed alternative costs of holding green bonds (bank deposit for the period of more than one year is considered an alternative variant of investment). Based on the results of the work, the authors conclude that, in general, non-green bonds today are more attractive for an investor; however, green bonds have an advantage in view of nominal coupon profitability. High duration is a distinctive feature of green bonds: the average due date of return of investments of green bonds is close to the maturity date, while traditional bonds have the duration much less than the term to their maturity. Therefore, one can </w:t>
      </w:r>
    </w:p>
    <w:p>
      <w:pPr/>
      <w:r>
        <w:rPr>
          <w:b/>
        </w:rPr>
        <w:t>POSSIBLE 2022:</w:t>
      </w:r>
      <w:r>
        <w:t xml:space="preserve"> European Headache Federation guideline on the use of monoclonal antibodies targeting the calcitonin gene related peptide pathway for migraine prevention – 2022 update — https://doi.org/10.1186/s10194-022-01431-x</w:t>
      </w:r>
    </w:p>
    <w:p>
      <w:pPr/>
      <w:r>
        <w:rPr>
          <w:b/>
        </w:rPr>
        <w:t>Shared claim-specific concepts:</w:t>
      </w:r>
      <w:r>
        <w:t xml:space="preserve"> evaluation, developed, pathway, experts; EU scope visible. This is a provisional connection, not an outcome finding.</w:t>
      </w:r>
    </w:p>
    <w:p>
      <w:pPr>
        <w:pStyle w:val="SourceNote"/>
      </w:pPr>
      <w:r>
        <w:rPr>
          <w:b/>
        </w:rPr>
        <w:t>Available abstract (not full text):</w:t>
      </w:r>
      <w:r>
        <w:t xml:space="preserve"> BACKGROUND: A previous European Headache Federation (EHF) guideline addressed the use of monoclonal antibodies targeting the calcitonin gene-related peptide (CGRP) pathway to prevent migraine. Since then, randomized controlled trials (RCTs) and real-world evidence have expanded the evidence and knowledge for those treatments. Therefore, the EHF panel decided to provide an updated guideline on the use of those treatments. METHODS: The guideline was developed following the Grading of Recommendation, Assessment, Development, and Evaluation (GRADE) approach. The working group identified relevant questions, performed a systematic review and an analysis of the literature, assessed the quality of the available evidence, and wrote recommendations. Where the GRADE approach was not applicable, expert opinion was provided. RESULTS: We found moderate to high quality of evidence to recommend eptinezumab, erenumab, fremanezumab, and galcanezumab in individuals with episodic and chronic migraine. For several important clinical questions, we found not enough evidence to provide evidence-based recommendations and guidance relied on experts' opinion. Nevertheless, we provided updated suggestions regarding the long-term management of those treatments and their place with respect to the other migraine preventatives. CONCLUSION: Monoclonal antibodies targeting the CGRP pathway are recommended for m</w:t>
      </w:r>
    </w:p>
    <w:p>
      <w:pPr>
        <w:pStyle w:val="Heading2"/>
      </w:pPr>
      <w:r>
        <w:t>922. Modelling Soil Organic Carbon Changes Under Different Maize Cropping Scenarios for Cellulosic Ethanol in Europe</w:t>
      </w:r>
    </w:p>
    <w:p>
      <w:pPr>
        <w:pStyle w:val="SourceNote"/>
      </w:pPr>
      <w:r>
        <w:rPr>
          <w:b/>
        </w:rPr>
        <w:t>Original source (2014):</w:t>
      </w:r>
      <w:r>
        <w:t xml:space="preserve"> https://doi.org/10.1007/s12155-014-9529-2</w:t>
      </w:r>
    </w:p>
    <w:p>
      <w:pPr/>
      <w:r>
        <w:t>Original wording (abstract; indexed_source_text_not_full_document_verified): In particular, every tonne of C residue converted to bioethanol was predicted to have an additional impact on SOC loss almost ranging from 0.2 to 0.5 CO 2 eq. ha −1 year −1 , considering a continuous biofuel scenario by 2050. Using a recently developed simulation platform, SOC changes were estimated at European level (EU + candidate and potential candidate countries) under two scenarios of low (R30) and high (R90) maize stover removal for cellulosic ethanol production (i.e. 30 and 90 % of stover removal, respectively).</w:t>
      </w:r>
    </w:p>
    <w:p>
      <w:pPr/>
      <w:r>
        <w:rPr>
          <w:b/>
        </w:rPr>
        <w:t>POSSIBLE 2025:</w:t>
      </w:r>
      <w:r>
        <w:t xml:space="preserve"> First-Generation Biofuels vs. Energy Security: An Overview of Biodiesel and Bioethanol — https://doi.org/10.3390/en18226055</w:t>
      </w:r>
    </w:p>
    <w:p>
      <w:pPr/>
      <w:r>
        <w:rPr>
          <w:b/>
        </w:rPr>
        <w:t>Shared claim-specific concepts:</w:t>
      </w:r>
      <w:r>
        <w:t xml:space="preserve"> bioethanol, biofuel; EU scope not established. This is a provisional connection, not an outcome finding.</w:t>
      </w:r>
    </w:p>
    <w:p>
      <w:pPr>
        <w:pStyle w:val="SourceNote"/>
      </w:pPr>
      <w:r>
        <w:rPr>
          <w:b/>
        </w:rPr>
        <w:t>Available abstract (not full text):</w:t>
      </w:r>
      <w:r>
        <w:t xml:space="preserve"> Energy agriculture is one of the ways of producing clean energy. Crop production constitutes the basis for the sustainable profitability of agriculture, and agricultural products are traded on two markets: the food market and the energy market. This article reviews the literature on the conditions influencing biofuel production, with the aim of identifying the arguments supporting its expansion and the challenges associated with large-scale production. The study employs quantitative and qualitative desk research methods, the method of deduction, analysis and synthesis, the comparative method, and the expert method. Widespread application of biofuels requires a broader range of non-food raw materials (such as lignocellulosic biomass) and the advancement of conversion technologies used in bioethanol and biodiesel production. The main goal of ecofriendly energy generation should be to increase the energy output while minimizing environmental impacts. The findings from the literature review were collected, identified, and described as objectively as possible. The conclusions drawn are based on the authors’ findings and expert opinions. The future of biofuels depends on the optimal choice of raw materials that ensure the highest production efficiency, low costs, and reduced emissions of harmful atmospheric pollutants. Thus, intensification of agricultural production of non-food crop</w:t>
      </w:r>
    </w:p>
    <w:p>
      <w:pPr/>
      <w:r>
        <w:rPr>
          <w:b/>
        </w:rPr>
        <w:t>POSSIBLE 2025:</w:t>
      </w:r>
      <w:r>
        <w:t xml:space="preserve"> Opportunity cost estimates for spatial conservation prioritisation across terrestrial Europe — https://doi.org/10.1038/s41597-025-05837-5</w:t>
      </w:r>
    </w:p>
    <w:p>
      <w:pPr/>
      <w:r>
        <w:rPr>
          <w:b/>
        </w:rPr>
        <w:t>Shared claim-specific concepts:</w:t>
      </w:r>
      <w:r>
        <w:t xml:space="preserve"> particular, considering, estimated, level; EU scope visible. This is a provisional connection, not an outcome finding.</w:t>
      </w:r>
    </w:p>
    <w:p>
      <w:pPr>
        <w:pStyle w:val="SourceNote"/>
      </w:pPr>
      <w:r>
        <w:rPr>
          <w:b/>
        </w:rPr>
        <w:t>Available abstract (not full text):</w:t>
      </w:r>
      <w:r>
        <w:t xml:space="preserve"> Opportunity costs of conservation represent the foregone economic benefits from using land for nature conservation rather than alternative activities. Considering opportunity costs therefore helps in identifying cost-effective solutions in conservation prioritisation analyses. Since comprehensive, high-resolution, pan-European opportunity cost data are currently lacking, we created a 1 km European layer of opportunity costs (€/ha/yr) for arable, pastoral, forestry and urban lands. To create this layer, we estimated the opportunity costs of productive lands (agriculture and forestry) based on (sub)national land and resource rent data, which we allocated to the grid level integrating agricultural and forestry yield data with country-specific commodity prices. We estimated opportunity costs of urban land based on area-standardised residential rents and urban population density using empirical data from 42 European residential areas. Across land types, urban land comes with the highest opportunity costs, followed by arable, pastoral, and forestry land. We envisage this new opportunity cost layer to be particular useful for broad-scale European conservation prioritisation analyses.</w:t>
      </w:r>
    </w:p>
    <w:p>
      <w:pPr/>
      <w:r>
        <w:rPr>
          <w:b/>
        </w:rPr>
        <w:t>POSSIBLE 2024:</w:t>
      </w:r>
      <w:r>
        <w:t xml:space="preserve"> Harnessing rice husks: Bioethanol production for sustainable future — https://doi.org/10.1016/j.crmicr.2024.100298</w:t>
      </w:r>
    </w:p>
    <w:p>
      <w:pPr/>
      <w:r>
        <w:rPr>
          <w:b/>
        </w:rPr>
        <w:t>Shared claim-specific concepts:</w:t>
      </w:r>
      <w:r>
        <w:t xml:space="preserve"> bioethanol, loss, biofuel, potential; EU scope not established. This is a provisional connection, not an outcome finding.</w:t>
      </w:r>
    </w:p>
    <w:p>
      <w:pPr>
        <w:pStyle w:val="SourceNote"/>
      </w:pPr>
      <w:r>
        <w:rPr>
          <w:b/>
        </w:rPr>
        <w:t>Available abstract (not full text):</w:t>
      </w:r>
      <w:r>
        <w:t xml:space="preserve"> • Rice husks are a promising renewable energy source. • This article highlights their potential and the environmental benefits of their use. • The article details the key stages in converting rice husks to bioethanol and the challenges and innovations in producing bioethanol from rice husks. • It explores the potential of rice husks as a biofuel source and reviews the advancements in bioethanol production technologies. • The article also evaluates the economic and environmental benefits of rice husk bioethanol and calls for continued research to enhance sustainability. The investigation of biofuel production from rice husks highlights its potential as a sustainable energy source amid rising environmental concerns and the gradual loss of fossil fuel sources. Biomass-derived biofuels, notably those derived from lignocellulosic materials, such as rice husks, provide a sustainable and environmentally friendly alternative that reduces greenhouse gas emissions while improving energy security. This review explores the need to produce biofuels along with the progression of biofuel technology throughout the four generations and the specific mechanisms involved in the conversion of bioethanol from rice husks. Several important stages are essential for the production of bioethanol from rice husks, including the disruption of lignocellulosic structure known as pretreatment, hydrolysis of c</w:t>
      </w:r>
    </w:p>
    <w:p>
      <w:pPr/>
      <w:r>
        <w:rPr>
          <w:b/>
        </w:rPr>
        <w:t>POSSIBLE 2024:</w:t>
      </w:r>
      <w:r>
        <w:t xml:space="preserve"> Characterization of Bioethanol Extracted from Napier Grass Using the Fermentation Process — https://doi.org/10.1051/e3sconf/202454013018</w:t>
      </w:r>
    </w:p>
    <w:p>
      <w:pPr/>
      <w:r>
        <w:rPr>
          <w:b/>
        </w:rPr>
        <w:t>Shared claim-specific concepts:</w:t>
      </w:r>
      <w:r>
        <w:t xml:space="preserve"> bioethanol; EU scope not established. This is a provisional connection, not an outcome finding.</w:t>
      </w:r>
    </w:p>
    <w:p>
      <w:pPr>
        <w:pStyle w:val="SourceNote"/>
      </w:pPr>
      <w:r>
        <w:rPr>
          <w:b/>
        </w:rPr>
        <w:t>Available abstract (not full text):</w:t>
      </w:r>
      <w:r>
        <w:t xml:space="preserve"> Due to the diminishing supply of fossil fuels, biodiesel is gaining popularity as a feasible fuel. It is produced through the fermentation of Napier liquid with the help of bakery yeast. The pH test, viscosity analysis, multi-cylinder, and other tests yielded favourable results when compared to traditional fuels such as diesel. In the Viscosity analysis, we compare the pure and blended fuel with regular diesel, it was discovered that pure ethanol has reduced dynamic viscosity, which improves when blended with diesel. For the multi-cylinder engine performance test, adding 10 % ethanol to gasoline results in a bit of improvement in efficiency over regular diesel. The efficiency is greater than the previous one when it reaches 20 %. As a significance, we blended ethanol up to 20 % with normal diesel to obtain optimum results. Because complete combustion is achieved due to oxygen contained in ethanoldiesel blends, the exhaust gas temperature of the blends is found to be lower, and Nitrogen emission is higher compared to diesel.</w:t>
      </w:r>
    </w:p>
    <w:p>
      <w:pPr/>
      <w:r>
        <w:rPr>
          <w:b/>
        </w:rPr>
        <w:t>POSSIBLE 2022:</w:t>
      </w:r>
      <w:r>
        <w:t xml:space="preserve"> A Global Overview of Aquaculture Food Production with a Focus on the Activity’s Development in Transitional Systems—The Case Study of a South European Country (Portugal) — https://doi.org/10.3390/jmse10030417</w:t>
      </w:r>
    </w:p>
    <w:p>
      <w:pPr/>
      <w:r>
        <w:rPr>
          <w:b/>
        </w:rPr>
        <w:t>Shared claim-specific concepts:</w:t>
      </w:r>
      <w:r>
        <w:t xml:space="preserve"> particular, every, developed; EU scope visible. This is a provisional connection, not an outcome finding.</w:t>
      </w:r>
    </w:p>
    <w:p>
      <w:pPr>
        <w:pStyle w:val="SourceNote"/>
      </w:pPr>
      <w:r>
        <w:rPr>
          <w:b/>
        </w:rPr>
        <w:t>Available abstract (not full text):</w:t>
      </w:r>
      <w:r>
        <w:t xml:space="preserve"> World aquaculture food production rises every year, amounting, by 2018, to another all-time record of 82.1 million tonnes of farmed seafood, with Asia leading global production. In Europe, although coastal countries present historical fishing habits, aquaculture is in true expansion. Norway, the leading European producer, is the eighth main producer worldwide. Portugal is a traditional fishing country but has invested in the development of aquaculture for the past decade, attaining, by 2018, 13.3 tonnes produced, making Portugal the 16th main producer amongst European Union member states that year. Most Portuguese aquaculture facilities operate in coastal systems, resorting to extensive and semi-intensive rearing techniques. In Portugal, marine food production in transitional systems is particularly interesting as the practice has, worldwide, been continuously substituted by intensive methods. In fact, facilities in transitional systems have developed over time and products gained higher commercial value. Clams and oysters corresponded, together, to over three quarters of total mollusc production in Portugal in 2018, while gilthead seabream and European seabass made up nearly all fish production in coastal environments. The state of aquaculture practices worldwide is reviewed in the present work, providing a particular focus on Portugal, where considerable development of the aq</w:t>
      </w:r>
    </w:p>
    <w:p>
      <w:pPr/>
      <w:r>
        <w:rPr>
          <w:b/>
        </w:rPr>
        <w:t>POSSIBLE 2022:</w:t>
      </w:r>
      <w:r>
        <w:t xml:space="preserve"> Food Waste to Bioethanol: Opportunities and Challenges — https://doi.org/10.3390/fermentation9010008</w:t>
      </w:r>
    </w:p>
    <w:p>
      <w:pPr/>
      <w:r>
        <w:rPr>
          <w:b/>
        </w:rPr>
        <w:t>Shared claim-specific concepts:</w:t>
      </w:r>
      <w:r>
        <w:t xml:space="preserve"> bioethanol, loss, continuous, potential; EU scope not established. This is a provisional connection, not an outcome finding.</w:t>
      </w:r>
    </w:p>
    <w:p>
      <w:pPr>
        <w:pStyle w:val="SourceNote"/>
      </w:pPr>
      <w:r>
        <w:rPr>
          <w:b/>
        </w:rPr>
        <w:t>Available abstract (not full text):</w:t>
      </w:r>
      <w:r>
        <w:t xml:space="preserve"> The increasing global population will require sustainable means to sustain life and growth. The continuous depletion and increasing wastage of the energy resources will pose a challenge for the survival of the increasing population in the coming years. The bioconversion of waste generated at different stages of the food value chain to ethanol can provide a sustainable solution to the depleting energy resources and a sustainable way to address the growing food waste issue globally. The high carbohydrate and nitrogen content in the food waste can make it an ideal alternative substrate for developing a decentralized bioprocess. Optimizing the process can address the bottleneck issues viz. substrate collection and transport, pretreatment, fermentative organism, and product separation, which is required to make the process economic. The current review focuses on the opportunities and challenges for using the food loss and waste at different stages of the food value chain, its pretreatment, the fermentation process to produce bioethanol, and potential ways to improve the process economics. The impact of substrate, fermentative organisms’ process development, downstream processing, and by-product stream to make the bioethanol production from the waste in the food value chain a commercial success are also discussed.</w:t>
      </w:r>
    </w:p>
    <w:p>
      <w:pPr/>
      <w:r>
        <w:rPr>
          <w:b/>
        </w:rPr>
        <w:t>POSSIBLE 2022:</w:t>
      </w:r>
      <w:r>
        <w:t xml:space="preserve"> Bioethanol and biodiesel blended fuels — Feasibility analysis of biofuel feedstocks in Bangladesh — https://doi.org/10.1016/j.egyr.2022.01.001</w:t>
      </w:r>
    </w:p>
    <w:p>
      <w:pPr/>
      <w:r>
        <w:rPr>
          <w:b/>
        </w:rPr>
        <w:t>Shared claim-specific concepts:</w:t>
      </w:r>
      <w:r>
        <w:t xml:space="preserve"> residue, bioethanol, biofuel, potential; EU scope not established. This is a provisional connection, not an outcome finding.</w:t>
      </w:r>
    </w:p>
    <w:p>
      <w:pPr>
        <w:pStyle w:val="SourceNote"/>
      </w:pPr>
      <w:r>
        <w:rPr>
          <w:b/>
        </w:rPr>
        <w:t>Available abstract (not full text):</w:t>
      </w:r>
      <w:r>
        <w:t xml:space="preserve"> In 2019–2020, Bangladesh imported 5.2 million metric tonnes of petroleum products, worth 2.5 billion USD, and 50% of the imports were consumed by the transportation sector. Having limited natural oil reserves and being heavily dependent on oil imports, the country is vulnerable to shocks in the international oil market, which can jeopardize its consistent economic growth. The Government announced a 5% blending of bioethanol with gasoline in 2017, with broken rice, maize, and molasses as the feedstocks, but sourcing biofuel from food crops can hamper the country’s food security. This study explores second and third generation feedstocks e.g., organic plants, seeds, agricultural residues, and waste animal fat or skin that can be collected and processed for the extraction of biofuels. Technical potential of biofuel from the feedstocks is analysed which shows that Bangladesh has a potential to extract 44.4 million metric tonnes of bioethanol in a year from agricultural residues with rice residue having the highest potential (71%). Ground nut and rubber seeds can be major feedstocks for biodiesel production having a potential of 61,000 and 42,000 metric tonnes per year, respectively. Waste chicken skin can be another promising feedstock for the extraction of biodiesel. Biofuels extracted from these non-edible feedstocks and blended with existing transport fuels can lessen Bangladesh</w:t>
      </w:r>
    </w:p>
    <w:p>
      <w:pPr/>
      <w:r>
        <w:rPr>
          <w:b/>
        </w:rPr>
        <w:t>POSSIBLE 2022:</w:t>
      </w:r>
      <w:r>
        <w:t xml:space="preserve"> Bioconversion of Starch Base Food Waste into Bioethanol — https://doi.org/10.3390/su141811401</w:t>
      </w:r>
    </w:p>
    <w:p>
      <w:pPr/>
      <w:r>
        <w:rPr>
          <w:b/>
        </w:rPr>
        <w:t>Shared claim-specific concepts:</w:t>
      </w:r>
      <w:r>
        <w:t xml:space="preserve"> every, bioethanol, potential; EU scope not established. This is a provisional connection, not an outcome finding.</w:t>
      </w:r>
    </w:p>
    <w:p>
      <w:pPr>
        <w:pStyle w:val="SourceNote"/>
      </w:pPr>
      <w:r>
        <w:rPr>
          <w:b/>
        </w:rPr>
        <w:t>Available abstract (not full text):</w:t>
      </w:r>
      <w:r>
        <w:t xml:space="preserve"> The global demand for fuel keeps increasing daily. The massive depletion of fossil fuels and their influence on the environment as pollution is a severe problem. Meanwhile, food waste disposal is also a complex problem in solid-waste management since one-third of every food consumed is discarded as waste. The standard waste management methods, including food waste incineration and landfilling, are considered hazardous to the environment. Food waste constituents are majorly starch-based and contain various biomolecules, including sugar, lipids, proteins, vitamins, cellulose, etc. These polysaccharides can be hydrolysed into monosaccharides such as glucose, which can then be fermented using microorganisms to produce ethanol through the fermenting of sugars derived from enzymatic hydrolysis treatment of food wastes. The human food system is rich in starch, which can be a potential resource for bioethanol production.</w:t>
      </w:r>
    </w:p>
    <w:p>
      <w:pPr/>
      <w:r>
        <w:rPr>
          <w:b/>
        </w:rPr>
        <w:t>POSSIBLE 2020:</w:t>
      </w:r>
      <w:r>
        <w:t xml:space="preserve"> Finger Millet as a Sustainable Feedstock for Bioethanol Production — https://doi.org/10.2174/1874331502014010257</w:t>
      </w:r>
    </w:p>
    <w:p>
      <w:pPr/>
      <w:r>
        <w:rPr>
          <w:b/>
        </w:rPr>
        <w:t>Shared claim-specific concepts:</w:t>
      </w:r>
      <w:r>
        <w:t xml:space="preserve"> bioethanol; EU scope not established. This is a provisional connection, not an outcome finding.</w:t>
      </w:r>
    </w:p>
    <w:p>
      <w:pPr>
        <w:pStyle w:val="SourceNote"/>
      </w:pPr>
      <w:r>
        <w:rPr>
          <w:b/>
        </w:rPr>
        <w:t>Available abstract (not full text):</w:t>
      </w:r>
      <w:r>
        <w:t xml:space="preserve"> The current trend in volatile oil prices, global warming and environmental pollution, has encouraged major consumers worldwide to sharply increase their use of “green” fuels. Bioethanol is usually obtained from the conversion of carbon-based feedstock. Bioethanol from biomass sources is the principal fuel used as a fossil fuels’ substitute for road transport vehicles. Bioethanol is predominantly produced by the sugar fermentation process, although it can also be generated by the chemical process of reacting ethylene with steam. Finger millet (Eleusine coracana) is also known as Ragi (India), Kodo (Nepal), Uburo (Rwanda), Kurakkan (Srilanka), Bulo (Uganda), Kambale (Zambia) and Tamba (Nigeria) and can be used as an efficient source for bioethanol production. Despite all its importance, however, finger millet is still grossly undervalued both scientifically and internationally. This review observes current progress in bioethanol production from E. coracana feedstock and the effectiveness of various technological approaches for that. The main aspects of ethanol production from finger millet seeds have been considered. Seeds, which are already used for brewing, are the most obvious variant of feedstock for ethanol production from this crop. The conversion of finger millet straw and agricultural waste into bioethanol has also been reviewed. Practical results of development and testi</w:t>
      </w:r>
    </w:p>
    <w:p>
      <w:pPr/>
      <w:r>
        <w:rPr>
          <w:b/>
        </w:rPr>
        <w:t>POSSIBLE 2019:</w:t>
      </w:r>
      <w:r>
        <w:t xml:space="preserve"> The Human Cost of Anthropogenic Global Warming: Semi-Quantitative Prediction and the 1,000-Tonne Rule — https://doi.org/10.3389/fpsyg.2019.02323</w:t>
      </w:r>
    </w:p>
    <w:p>
      <w:pPr/>
      <w:r>
        <w:rPr>
          <w:b/>
        </w:rPr>
        <w:t>Shared claim-specific concepts:</w:t>
      </w:r>
      <w:r>
        <w:t xml:space="preserve"> every, tonne, predicted; EU scope not established. This is a provisional connection, not an outcome finding.</w:t>
      </w:r>
    </w:p>
    <w:p>
      <w:pPr>
        <w:pStyle w:val="SourceNote"/>
      </w:pPr>
      <w:r>
        <w:rPr>
          <w:b/>
        </w:rPr>
        <w:t>Available abstract (not full text):</w:t>
      </w:r>
      <w:r>
        <w:t xml:space="preserve"> Greenhouse-gas emissions are indirectly causing future deaths by multiple mechanisms. For example, reduced food and water supplies will exacerbate hunger, disease, violence, and migration.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uncertainty increases with temporal distance from the present and estimates may be biased.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x 10^8 and 3 x 10^9, corresponding to plus/minus one standard deviation on a logarithmic scale in a Gaussian probability distribution. It implies that one future premature death is caused every time roughly 1000 (300 to 3000) tonnes of carbon are burned. Therefore, any fossil-fuel project that burns millions of tons of carbon is probably indirectly kil</w:t>
      </w:r>
    </w:p>
    <w:p>
      <w:pPr/>
      <w:r>
        <w:rPr>
          <w:b/>
        </w:rPr>
        <w:t>POSSIBLE 2018:</w:t>
      </w:r>
      <w:r>
        <w:t xml:space="preserve"> BIOETHANOL FROM STRAW AND ITS PUBLIC ACCEPTANCE — https://doi.org/10.15544/rd.2017.009</w:t>
      </w:r>
    </w:p>
    <w:p>
      <w:pPr/>
      <w:r>
        <w:rPr>
          <w:b/>
        </w:rPr>
        <w:t>Shared claim-specific concepts:</w:t>
      </w:r>
      <w:r>
        <w:t xml:space="preserve"> bioethanol, biofuel, level; EU scope not established. This is a provisional connection, not an outcome finding.</w:t>
      </w:r>
    </w:p>
    <w:p>
      <w:pPr>
        <w:pStyle w:val="SourceNote"/>
      </w:pPr>
      <w:r>
        <w:rPr>
          <w:b/>
        </w:rPr>
        <w:t>Available abstract (not full text):</w:t>
      </w:r>
      <w:r>
        <w:t xml:space="preserve"> The consequences of global warming and the need for a reduction in greenhouse gases have led to dramatic changes in the automotive sector. Whereas the use of biofuel increased continuously over the first decade of this century, e-mobility has been deemed.by politicians and the media alike. As the development of the electric car, rechargeable batteries and charging stations are far from being fully explored, biofuels will play an important role as a bridging technology over the next 20 years. The successful use of biofuels requires its widespread acceptance by consumers. To evaluate the public opinion towards biofuels we carried out a representative opinion poll to collect information on the population’s acceptance of biofuels. The result indicates that there is a lack of interest and information about biofuels, especially among young people and women. First generation bioethanol is strongly associated with the waste of food, but the acceptance of the second generation, produced from agricultural remnants like straw from wheat or corn, is considerably higher. The interviewees see more transparent, objective and less technical information about biofuels as an essential way to increase the level of information and the acceptance rate. In summary, the introduction of biofuels must be accompanied by information campaigns if biofuels should ever reach larger market shares. The irrita</w:t>
      </w:r>
    </w:p>
    <w:p>
      <w:pPr/>
      <w:r>
        <w:rPr>
          <w:b/>
        </w:rPr>
        <w:t>POSSIBLE 2018:</w:t>
      </w:r>
      <w:r>
        <w:t xml:space="preserve"> Utilization of damaged and spoiled wheat grains for bioethanol production — https://doi.org/10.21786/bbrc/11.4/17</w:t>
      </w:r>
    </w:p>
    <w:p>
      <w:pPr/>
      <w:r>
        <w:rPr>
          <w:b/>
        </w:rPr>
        <w:t>Shared claim-specific concepts:</w:t>
      </w:r>
      <w:r>
        <w:t xml:space="preserve"> bioethanol, recently, potential; EU scope not established. This is a provisional connection, not an outcome finding.</w:t>
      </w:r>
    </w:p>
    <w:p>
      <w:pPr>
        <w:pStyle w:val="SourceNote"/>
      </w:pPr>
      <w:r>
        <w:rPr>
          <w:b/>
        </w:rPr>
        <w:t>Available abstract (not full text):</w:t>
      </w:r>
      <w:r>
        <w:t xml:space="preserve"> First generation ethanol from starchy crops particularly maize is an established technology that being a renewable and bio-based resource has advantages over gasoline.The second generation ethanol from lignocellulosics owing to its economic considerations is still at pilot scale and is yet to see commercialization.This has increased the demand of starchy feed-stocks for energy.The recently released National Policy on Biofuels in May, 2018 categorically also emphasizes on the potential of different raw materials for ethanol production by consenting the utilization of damaged food grains like wheat, broken rice etc. that area otherwise unfi t for human consumption.As far as wheat is concerned, The Comptroller and Auditor General (CAG), India (2017) reported that Food Corporation of India's (FCI) wheat stock worth 700 crores was damaged solely in Punjab from 2011 to 2016 as the grain was kept in open areas attributed to the lack in storage facility.Development of effi cient technology to pretreat and convert damaged starch into fermentable sugars and optimization of enzymatic hydrolysis using commercial as well as indigenous enzyme preparation are the key points for the effi cient bioethanol production from damaged wheat.Further, the synergistic action of alpha and glucoamylase in the hydrolysis of wheat mash have been tried that has revealed 96.25% conversion effi ciency with an </w:t>
      </w:r>
    </w:p>
    <w:p>
      <w:pPr>
        <w:pStyle w:val="Heading2"/>
      </w:pPr>
      <w:r>
        <w:t>923. Modelling sustainable energy futures for the UK</w:t>
      </w:r>
    </w:p>
    <w:p>
      <w:pPr>
        <w:pStyle w:val="SourceNote"/>
      </w:pPr>
      <w:r>
        <w:rPr>
          <w:b/>
        </w:rPr>
        <w:t>Original source (2014):</w:t>
      </w:r>
      <w:r>
        <w:t xml:space="preserve"> https://doi.org/10.1016/j.futures.2014.01.005</w:t>
      </w:r>
    </w:p>
    <w:p>
      <w:pPr/>
      <w:r>
        <w:t>Original wording (abstract; indexed_source_text_not_full_document_verified): As a result of signing the Kyoto Agreement the UK will need to reduce carbon emissions to 20% of their 1990 value by 2050. The model allows us to explore different possible pathways to 2050 and the difficulty of the overall endeavour.</w:t>
      </w:r>
    </w:p>
    <w:p>
      <w:pPr/>
      <w:r>
        <w:rPr>
          <w:b/>
        </w:rPr>
        <w:t>POSSIBLE 2025:</w:t>
      </w:r>
      <w:r>
        <w:t xml:space="preserve"> Reducing the sign problem with line integrals — https://doi.org/10.1007/jhep02(2025)041</w:t>
      </w:r>
    </w:p>
    <w:p>
      <w:pPr/>
      <w:r>
        <w:rPr>
          <w:b/>
        </w:rPr>
        <w:t>Shared claim-specific concepts:</w:t>
      </w:r>
      <w:r>
        <w:t xml:space="preserve"> result, reduce, possible; EU scope not established. This is a provisional connection, not an outcome finding.</w:t>
      </w:r>
    </w:p>
    <w:p>
      <w:pPr>
        <w:pStyle w:val="SourceNote"/>
      </w:pPr>
      <w:r>
        <w:rPr>
          <w:b/>
        </w:rPr>
        <w:t>Available abstract (not full text):</w:t>
      </w:r>
      <w:r>
        <w:t xml:space="preserve"> A bstract We present a novel strategy to strongly reduce the severity of the sign problem, using line integrals along paths of changing imaginary action. Highly oscillating regions along these paths cancel out, decreasing their contributions. As a result, sampling with standard Monte-Carlo techniques becomes possible in cases that otherwise require methods taking advantage of complex analysis, such as Lefschetz-thimbles or Complex Langevin. We lay out how to write down an ordinary differential equation for the line integrals. As an example of its usage, we apply the results to a 1d quantum mechanical anharmonic oscillator with a x 4 potential in real time, finite temperature.</w:t>
      </w:r>
    </w:p>
    <w:p>
      <w:pPr/>
      <w:r>
        <w:rPr>
          <w:b/>
        </w:rPr>
        <w:t>POSSIBLE 2025:</w:t>
      </w:r>
      <w:r>
        <w:t xml:space="preserve"> A Call to Action to Reduce the Need for a Medical Evaluation Prior to Exercise — https://doi.org/10.1249/jsr.0000000000001245</w:t>
      </w:r>
    </w:p>
    <w:p>
      <w:pPr/>
      <w:r>
        <w:rPr>
          <w:b/>
        </w:rPr>
        <w:t>Shared claim-specific concepts:</w:t>
      </w:r>
      <w:r>
        <w:t xml:space="preserve"> result, need, reduce; EU scope not established. This is a provisional connection, not an outcome finding.</w:t>
      </w:r>
    </w:p>
    <w:p>
      <w:pPr>
        <w:pStyle w:val="SourceNote"/>
      </w:pPr>
      <w:r>
        <w:rPr>
          <w:b/>
        </w:rPr>
        <w:t>Available abstract (not full text):</w:t>
      </w:r>
      <w:r>
        <w:t xml:space="preserve"> The purpose of the American College of Sports Medicine's (ACSM) exercise preparticipation health screening recommendations is to identify individuals who may be at elevated risk for an exercise-related sudden cardiovascular event (1,2). The present ACSM recommendations were revamped in 2015 to reduce unnecessary barriers to adopting and maintaining a regular exercise program and/or a physically active lifestyle and reinforce the public health message that regular physical activity (PA) is important for all. The rationale for doing so was due to growing evidence: exercise is safe, PA has many health benefits; exercise-related cardiovascular events are rare and often preceded by warning signs and symptoms, and the cardiovascular risks associated with exercise wane as individuals become more physically active and/or fit (1). The ACSM recommendations consider three factors when determining if there is a need for medical clearance prior to exercise: 1) the individual's current PA level, 2) presence of signs or symptoms and/or known cardiovascular, metabolic, or renal disease, and 3) exercise intensity (see Supplemental Digital Content, Figure, https://links.lww.com/CSMR/A159) (1,2). For regularly physically active individuals: who are asymptomatic without known cardiovascular, metabolic (i.e., diabetes mellitus, DM), or renal disease, they may continue their usual exercise program a</w:t>
      </w:r>
    </w:p>
    <w:p>
      <w:pPr/>
      <w:r>
        <w:rPr>
          <w:b/>
        </w:rPr>
        <w:t>POSSIBLE 2024:</w:t>
      </w:r>
      <w:r>
        <w:t xml:space="preserve"> Construction and Evaluation of a Dynamic Sign Dataset for the Colombian Sign Language — https://doi.org/10.1109/la-cci62337.2024.10814896</w:t>
      </w:r>
    </w:p>
    <w:p>
      <w:pPr/>
      <w:r>
        <w:rPr>
          <w:b/>
        </w:rPr>
        <w:t>Shared claim-specific concepts:</w:t>
      </w:r>
      <w:r>
        <w:t xml:space="preserve"> need, reduce, allows, different; EU scope not established. This is a provisional connection, not an outcome finding.</w:t>
      </w:r>
    </w:p>
    <w:p>
      <w:pPr>
        <w:pStyle w:val="SourceNote"/>
      </w:pPr>
      <w:r>
        <w:rPr>
          <w:b/>
        </w:rPr>
        <w:t>Available abstract (not full text):</w:t>
      </w:r>
      <w:r>
        <w:t xml:space="preserve"> Nowadays the amount of people that is involved in some degree of hearing loss is increasing, and sign languages are useful as a rehabilitation method when there is a complete loss of hearing. However, countries like Colombia where there is not enough infrastructure and interpreters, the teaching of a sign language is affected. On the other hand, start with the learning of basic vocabulary of a sign language is a key factor for building the ability of making sentences. The first signs that are usually learned are: alphabet, colors, numbers, family members, pronouns, and greetings. This is where Computer Vision have brought tools for the translation of various signs. This allows to the development of solutions that reduce the frequent need of interpreters when learning basic vocabulary. This work proposes the creation of a word-based dataset for the signs of colors in the Colombian Sign Language. It was evaluated with three different Neural Network architectures: 1) LSTM, 2) GRU and 3) Conv_2D. Where the input for the network were the landmark coordinates extracted with MediaPipe. On the other hand, the Neural Network was evaluated with a dataset split of 80 % for training and 20 % for testing. Finally, it was seen a higher performance for the architecture based on LSTM, having a precision on detection of 92.6 %. The results, show the importance of Machine Learning tools that con</w:t>
      </w:r>
    </w:p>
    <w:p>
      <w:pPr/>
      <w:r>
        <w:rPr>
          <w:b/>
        </w:rPr>
        <w:t>POSSIBLE 2024:</w:t>
      </w:r>
      <w:r>
        <w:t xml:space="preserve"> A Criticism of the Kyoto Protocol with an Objective Approach — https://doi.org/10.28979/jarnas.1452226</w:t>
      </w:r>
    </w:p>
    <w:p>
      <w:pPr/>
      <w:r>
        <w:rPr>
          <w:b/>
        </w:rPr>
        <w:t>Shared claim-specific concepts:</w:t>
      </w:r>
      <w:r>
        <w:t xml:space="preserve"> kyoto, reduce, emissions; EU scope not established. This is a provisional connection, not an outcome finding.</w:t>
      </w:r>
    </w:p>
    <w:p>
      <w:pPr>
        <w:pStyle w:val="SourceNote"/>
      </w:pPr>
      <w:r>
        <w:rPr>
          <w:b/>
        </w:rPr>
        <w:t>Available abstract (not full text):</w:t>
      </w:r>
      <w:r>
        <w:t xml:space="preserve"> The Kyoto Protocol, established to reduce greenhouse gas emissions, one of the human-induced causes of climate change, imposes obligations on developed countries. In this study: 1) what obligations the articles of the Kyoto Protocol impose on the countries that are party to the protocol, 2) whether the articles of the protocol are impartial, equal, and fair in their obligations to the contracting countries and their binding, 3) how the economic support of developed countries to reduce emissions to developing countries can be evaluated in the context of the principle of equality/justice, 4) it has been discussed whether the non-bindingness of the countries those are not party to the protocol. Considering all protocol items, the discussion was made from a critical but constructive point of view. It can be said that the obligations arising from the Kyoto Protocol bring disadvantages for some countries compared to others.</w:t>
      </w:r>
    </w:p>
    <w:p>
      <w:pPr/>
      <w:r>
        <w:rPr>
          <w:b/>
        </w:rPr>
        <w:t>POSSIBLE 2023:</w:t>
      </w:r>
      <w:r>
        <w:t xml:space="preserve"> A Comprehensive Analysis of Kyoto Protocol — https://openalex.org/W7216616326</w:t>
      </w:r>
    </w:p>
    <w:p>
      <w:pPr/>
      <w:r>
        <w:rPr>
          <w:b/>
        </w:rPr>
        <w:t>Shared claim-specific concepts:</w:t>
      </w:r>
      <w:r>
        <w:t xml:space="preserve"> kyoto, reduce, emissions; EU scope visible. This is a provisional connection, not an outcome finding.</w:t>
      </w:r>
    </w:p>
    <w:p>
      <w:pPr>
        <w:pStyle w:val="SourceNote"/>
      </w:pPr>
      <w:r>
        <w:rPr>
          <w:b/>
        </w:rPr>
        <w:t>Available abstract (not full text):</w:t>
      </w:r>
      <w:r>
        <w:t xml:space="preserve"> “We think that the Kyoto Protocol is a necessary document, necessary process. I am convinced that we will agree to disagree about substance” - Goran Persson (Former Prime Minister of Sweden) The Kyoto Protocol was established on December 11th, 1997. Due to a complicated ratification procedure, it went into effect on February 16, 2005. The Kyoto Protocol makes the United Nations Framework Convention on Climate Change operative by obligating industrialised nations and economies in transition to limit and decrease greenhouse gas (GHG) emissions according to the specified objectives. The Convention itself only requires these nations to implement mitigation policies and actions and to submit periodic reports of their progress. It exclusively binds industrialised nations and lays a higher burden on them in accordance with the notion of "common but differentiated responsibility and distinct capacities," recognising that they are primarily responsible for the present high levels of GHG emissions in the atmosphere. Under Annex B of the Kyoto Protocol, 37 industrialised nations, economies in transition, and the European Union are obligated to reduce their emissions.</w:t>
      </w:r>
    </w:p>
    <w:p>
      <w:pPr/>
      <w:r>
        <w:rPr>
          <w:b/>
        </w:rPr>
        <w:t>POSSIBLE 2022:</w:t>
      </w:r>
      <w:r>
        <w:t xml:space="preserve"> Pledge-and-Review Bargaining: from Kyoto to Paris — https://doi.org/10.1093/ej/ueac076</w:t>
      </w:r>
    </w:p>
    <w:p>
      <w:pPr/>
      <w:r>
        <w:rPr>
          <w:b/>
        </w:rPr>
        <w:t>Shared claim-specific concepts:</w:t>
      </w:r>
      <w:r>
        <w:t xml:space="preserve"> kyoto, agreement; EU scope not established. This is a provisional connection, not an outcome finding.</w:t>
      </w:r>
    </w:p>
    <w:p>
      <w:pPr>
        <w:pStyle w:val="SourceNote"/>
      </w:pPr>
      <w:r>
        <w:rPr>
          <w:b/>
        </w:rPr>
        <w:t>Available abstract (not full text):</w:t>
      </w:r>
      <w:r>
        <w:t xml:space="preserve"> Abstract A tractable dynamic model of international climate policies is analysed. The choice of bargaining game influences participation levels, emission quotas and technology investment levels. I derive several predictions that are arguably consistent with the differences between the 1997 Kyoto Protocol and the 2015 Paris Agreement—including the transitioning from the former to the latter.</w:t>
      </w:r>
    </w:p>
    <w:p>
      <w:pPr/>
      <w:r>
        <w:rPr>
          <w:b/>
        </w:rPr>
        <w:t>POSSIBLE 2022:</w:t>
      </w:r>
      <w:r>
        <w:t xml:space="preserve"> The Wistar Kyoto Rat: A Model of Depression Traits — https://doi.org/10.2174/1570159x21666221129120902</w:t>
      </w:r>
    </w:p>
    <w:p>
      <w:pPr/>
      <w:r>
        <w:rPr>
          <w:b/>
        </w:rPr>
        <w:t>Shared claim-specific concepts:</w:t>
      </w:r>
      <w:r>
        <w:t xml:space="preserve"> kyoto, value; EU scope not established. This is a provisional connection, not an outcome finding.</w:t>
      </w:r>
    </w:p>
    <w:p>
      <w:pPr>
        <w:pStyle w:val="SourceNote"/>
      </w:pPr>
      <w:r>
        <w:rPr>
          <w:b/>
        </w:rPr>
        <w:t>Available abstract (not full text):</w:t>
      </w:r>
      <w:r>
        <w:t xml:space="preserve"> There is an ongoing debate about the value of animal research in psychiatry with valid lines of reasoning stating the limits of individual animal models compared to human psychiatric illnesses. Human depression is not a homogenous disorder; therefore, one cannot expect a single animal model to reflect depression heterogeneity. This limited review presents arguments that the Wistar Kyoto (WKY) rats show intrinsic depression traits. The phenotypes of WKY do not completely mirror those of human depression but clearly indicate characteristics that are common with it. WKYs present despair- like behavior, passive coping with stress, comorbid anxiety, and enhanced drug use compared to other routinely used inbred or outbred strains of rats. The commonly used tests identifying these phenotypes reflect exploratory, escape-oriented, and withdrawal-like behaviors. The WKYs consistently choose withdrawal or avoidance in novel environments and freezing behaviors in response to a challenge in these tests. The physiological response to a stressful environment is exaggerated in WKYs. Selective breeding generated two WKY substrains that are nearly isogenic but show clear behavioral differences, including that of depression-like behavior. WKY and its substrains may share characteristics of subgroups of depressed individuals with social withdrawal, low energy, weight loss, sleep disturbances, and </w:t>
      </w:r>
    </w:p>
    <w:p>
      <w:pPr/>
      <w:r>
        <w:rPr>
          <w:b/>
        </w:rPr>
        <w:t>POSSIBLE 2021:</w:t>
      </w:r>
      <w:r>
        <w:t xml:space="preserve"> Reduced Sign Representations for Characteristic Points Selection in Images — https://doi.org/10.1134/s1054661821030147</w:t>
      </w:r>
    </w:p>
    <w:p>
      <w:pPr/>
      <w:r>
        <w:rPr>
          <w:b/>
        </w:rPr>
        <w:t>Shared claim-specific concepts:</w:t>
      </w:r>
      <w:r>
        <w:t xml:space="preserve"> need, possible; EU scope not established. This is a provisional connection, not an outcome finding.</w:t>
      </w:r>
    </w:p>
    <w:p>
      <w:pPr>
        <w:pStyle w:val="SourceNote"/>
      </w:pPr>
      <w:r>
        <w:rPr>
          <w:b/>
        </w:rPr>
        <w:t>Available abstract (not full text):</w:t>
      </w:r>
      <w:r>
        <w:t xml:space="preserve"> Abstract The aim of this study is to develop a method for detecting the characteristic points in a digital image that is stable under a certain class of brightness transformations. The need for such a method is due to the need to identify key points of images in video surveillance and face recognition systems, which often work in conditions of variations in illumination. A feature of the proposed method, which distinguishes it from a number of well-known approaches to the problem of identifying characteristic points, is the use of the so-called reduced sign representation of images. In contrast to the usual representation of a digital image by its discrete function of brightness, it represents the image by a directed acyclic graph corresponding to the binary relation of increasing brightness over the set of pixels. Thus, the sign representation defines a set of images, the brightness functions of which are connected by strictly monotonic transformations. It is this property of the sign representation that makes it efficient for achievement the aim mentioned above. The next feature of the method under consideration is its approach to the interpretation of the characteristic points of the image. Note that in the modern theory of image processing this concept is not rigorously defined; we can say that the characteristic point is distinguished by the increased complexity of the str</w:t>
      </w:r>
    </w:p>
    <w:p>
      <w:pPr/>
      <w:r>
        <w:rPr>
          <w:b/>
        </w:rPr>
        <w:t>POSSIBLE 2021:</w:t>
      </w:r>
      <w:r>
        <w:t xml:space="preserve"> Automatic Annotation and Segmentation of Sign Language Videos: Base-level Features and Lexical Signs Classification — https://doi.org/10.5220/0010247104840491</w:t>
      </w:r>
    </w:p>
    <w:p>
      <w:pPr/>
      <w:r>
        <w:rPr>
          <w:b/>
        </w:rPr>
        <w:t>Shared claim-specific concepts:</w:t>
      </w:r>
      <w:r>
        <w:t xml:space="preserve"> reduce, different; EU scope not established. This is a provisional connection, not an outcome finding.</w:t>
      </w:r>
    </w:p>
    <w:p>
      <w:pPr>
        <w:pStyle w:val="SourceNote"/>
      </w:pPr>
      <w:r>
        <w:rPr>
          <w:b/>
        </w:rPr>
        <w:t>Available abstract (not full text):</w:t>
      </w:r>
      <w:r>
        <w:t xml:space="preserve"> The automatic recognition of Sign Languages is the main focus of most of the works in the field, which explains the progressing demand on the annotated data to train the dedicated models. In this paper, we present a semi automatic annotation system for Sign Languages. Such automation will not only help to create training data but it will reduce as well the processing time and the subjectivity of manual annotations done by linguists in order to study the sign language. The system analyses hand shapes, hands speed variations, and face landmarks to annotate base level features and to separate the different signs. In a second stage, signs are classified into two types, whether they are lexical (i.e. present in a dictionary) or iconic (illustrative), using a probabilistic model. The results show that our system is partially capable of annotating automatically the video sequence with a F1 score = 0.68 for lexical sign annotation and an error of 3.8 frames for sign segmentation. An expert validation of the annotations is still needed.</w:t>
      </w:r>
    </w:p>
    <w:p>
      <w:pPr/>
      <w:r>
        <w:rPr>
          <w:b/>
        </w:rPr>
        <w:t>POSSIBLE 2021:</w:t>
      </w:r>
      <w:r>
        <w:t xml:space="preserve"> From Kyoto to Glasgow: is Japan a climate leader? — https://doi.org/10.1080/09512748.2021.2008475</w:t>
      </w:r>
    </w:p>
    <w:p>
      <w:pPr/>
      <w:r>
        <w:rPr>
          <w:b/>
        </w:rPr>
        <w:t>Shared claim-specific concepts:</w:t>
      </w:r>
      <w:r>
        <w:t xml:space="preserve"> kyoto, carbon, emissions, different; EU scope not established. This is a provisional connection, not an outcome finding.</w:t>
      </w:r>
    </w:p>
    <w:p>
      <w:pPr>
        <w:pStyle w:val="SourceNote"/>
      </w:pPr>
      <w:r>
        <w:rPr>
          <w:b/>
        </w:rPr>
        <w:t>Available abstract (not full text):</w:t>
      </w:r>
      <w:r>
        <w:t xml:space="preserve"> The term ‘climate leadership’ became popular in the 1990s, in relation to international negotiations aimed at reducing greenhouse gas emissions and other environmental mitigations. Since that time, international attention – borne out by scientific study and a rapidly changing planetary climate - has shifted from global warming, the ozone layer and greenhouse gas emissions, to energy production, scientific innovation, and, by the 2020s, a strong focus on decarbonisation and securing net zero carbon output by the middle of the century. One important strand of negotiation has been the annual Conferences of the Parties (COP) to the United Nations Framework Convention on Climate Change (UNFCCC), which have witnessed different states playing lead roles at different times. By interrogating the main academic debates about climate leadership, this article examines Japan’s participation in the COP process along a structural-normative axis. In so doing, it charts the path from Japan’s apparent success at Kyoto in 1997 and its growing green reputation, to its subsequent ‘fall from green’ in later years and in the wake of COP26 in 2021.</w:t>
      </w:r>
    </w:p>
    <w:p>
      <w:pPr/>
      <w:r>
        <w:rPr>
          <w:b/>
        </w:rPr>
        <w:t>POSSIBLE 2020:</w:t>
      </w:r>
      <w:r>
        <w:t xml:space="preserve"> Environmental and economic effectiveness of the Kyoto Protocol — https://doi.org/10.1371/journal.pone.0236299</w:t>
      </w:r>
    </w:p>
    <w:p>
      <w:pPr/>
      <w:r>
        <w:rPr>
          <w:b/>
        </w:rPr>
        <w:t>Shared claim-specific concepts:</w:t>
      </w:r>
      <w:r>
        <w:t xml:space="preserve"> kyoto, carbon, emissions; EU scope not established. This is a provisional connection, not an outcome finding.</w:t>
      </w:r>
    </w:p>
    <w:p>
      <w:pPr>
        <w:pStyle w:val="SourceNote"/>
      </w:pPr>
      <w:r>
        <w:rPr>
          <w:b/>
        </w:rPr>
        <w:t>Available abstract (not full text):</w:t>
      </w:r>
      <w:r>
        <w:t xml:space="preserve"> This study investigates the environmental and economic impacts of the Kyoto Protocol on Annex I parties through an impact assessment by combining the propensity score matching and the difference-in-difference methods. We establish a country-level panel data set including CO2 emissions, gross domestic product (GDP), and other socioeconomic data for 1997-2008 and 2005-2008. Based on the impact evaluation, we conduct the simulation predicting the impacts of the Protocol to capture the differences of marginal damage cost of carbon emissions between the actual and counterfactual situations. The results suggest that participating as an Annex I party has a significant positive impact on CO2 emission reductions, but a negative impact on the GDP of the participants in the long run. The predicted marginal benefit of the Protocol based on the marginal damage cost of carbon emissions shows that the marginal benefit of emission reductions mitigates a limited portion of the GDP loss. Future global climate change frameworks should focus on balancing the impact on economic and environmental performance in order to ensure sustainable development, especially for developing countries that have low capacity to mitigate emissions.</w:t>
      </w:r>
    </w:p>
    <w:p>
      <w:pPr/>
      <w:r>
        <w:rPr>
          <w:b/>
        </w:rPr>
        <w:t>POSSIBLE 2020:</w:t>
      </w:r>
      <w:r>
        <w:t xml:space="preserve"> Accounting by companies for the Kyoto Protocol in the EU — https://doi.org/10.1504/ijaf.2020.111224</w:t>
      </w:r>
    </w:p>
    <w:p>
      <w:pPr/>
      <w:r>
        <w:rPr>
          <w:b/>
        </w:rPr>
        <w:t>Shared claim-specific concepts:</w:t>
      </w:r>
      <w:r>
        <w:t xml:space="preserve"> kyoto, reduce, carbon, emissions; EU scope visible. This is a provisional connection, not an outcome finding.</w:t>
      </w:r>
    </w:p>
    <w:p>
      <w:pPr>
        <w:pStyle w:val="SourceNote"/>
      </w:pPr>
      <w:r>
        <w:rPr>
          <w:b/>
        </w:rPr>
        <w:t>Available abstract (not full text):</w:t>
      </w:r>
      <w:r>
        <w:t xml:space="preserve"> In attempting to achieve the goals of the Kyoto Protocol, the European Union agreed to reduce member countries' greenhouse gas emissions to 92% of their 1990 levels by the end of 2012.We assess here the carbon emissions for companies from those countries that were among the largest emitters of carbon in the EU.This evaluation includes emissions in 2008 and 2012 together with disclosures regarding environmental performance that these companies made in the two years.Upon analysing 141 companies from seven of the EU countries, we found that the firms that emitted the most carbon effluents in their home country and that voluntarily disclosed the greatest amount about their carbon emissions also were the ones that provided the most extensive disclosures concerning company environmental performance.These results appear to support legitimacy concepts as the basis for which voluntary reporting will be generated.</w:t>
      </w:r>
    </w:p>
    <w:p>
      <w:pPr>
        <w:pStyle w:val="Heading2"/>
      </w:pPr>
      <w:r>
        <w:t>924. More green infrastructure is required to maintain ecosystem services under current trends in land-use change in Europe</w:t>
      </w:r>
    </w:p>
    <w:p>
      <w:pPr>
        <w:pStyle w:val="SourceNote"/>
      </w:pPr>
      <w:r>
        <w:rPr>
          <w:b/>
        </w:rPr>
        <w:t>Original source (2014):</w:t>
      </w:r>
      <w:r>
        <w:t xml:space="preserve"> https://doi.org/10.1007/s10980-014-0083-2</w:t>
      </w:r>
    </w:p>
    <w:p>
      <w:pPr/>
      <w:r>
        <w:t>Original wording (abstract; indexed_source_text_not_full_document_verified): This scenario is established by the European Commission to assess the impact of energy and climate policy up to 2050. TESI8 is expected to decrease across Europe between 0 and 5 % by 2020 and between 10 and 15 % by 2050 relative to the base year 2010.</w:t>
      </w:r>
    </w:p>
    <w:p>
      <w:pPr/>
      <w:r>
        <w:rPr>
          <w:b/>
        </w:rPr>
        <w:t>POSSIBLE 2026:</w:t>
      </w:r>
      <w:r>
        <w:t xml:space="preserve"> European Citizens Panels: Assessing their Legitimacy and Meaning for the European Commission — https://openalex.org/W7222989255</w:t>
      </w:r>
    </w:p>
    <w:p>
      <w:pPr/>
      <w:r>
        <w:rPr>
          <w:b/>
        </w:rPr>
        <w:t>Shared claim-specific concepts:</w:t>
      </w:r>
      <w:r>
        <w:t xml:space="preserve"> established, commission, across; EU scope visible. This is a provisional connection, not an outcome finding.</w:t>
      </w:r>
    </w:p>
    <w:p>
      <w:pPr>
        <w:pStyle w:val="SourceNote"/>
      </w:pPr>
      <w:r>
        <w:rPr>
          <w:b/>
        </w:rPr>
        <w:t>Available abstract (not full text):</w:t>
      </w:r>
      <w:r>
        <w:t xml:space="preserve"> The European Commission has been institutionalising models of deliberative democracy since the conclusion of the Conference on the Future of Europe, trying to address its democratic deficit. Despite recent developments in the field of deliberative democracy at the European level, the democratic legitimacy of European Citizens' Panels (ECPs) is hitherto lacking a comprehensive assessment. This research examines the extent to which ECPs fulfil a democratic legitimacy mandate through the well- established input-throughput-output theoretical framework. An uneven achievement of democratic legitimacy is observed across the three criteria, suggesting that ECPs fall short of fully meeting their democratic mandate. Nevertheless, it is argued that the observed positive outcomes contribute to legitimising deliberation itself. The causes of this manifested uneven distribution of legitimacy are traced to the risk-averse and technocratic nature of the Commission, as well as its decision to outsource the design and facilitation of deliberation. Consequently, ECPs are believed to be a direct result of these dynamics and are conceptualised under the novel label of 'strategically sincere' policy instruments.</w:t>
      </w:r>
    </w:p>
    <w:p>
      <w:pPr/>
      <w:r>
        <w:rPr>
          <w:b/>
        </w:rPr>
        <w:t>POSSIBLE 2025:</w:t>
      </w:r>
      <w:r>
        <w:t xml:space="preserve"> Climate and Energy Policies of Key European Member States: The cases of France, Italy and Germany — https://openalex.org/W7204333938</w:t>
      </w:r>
    </w:p>
    <w:p>
      <w:pPr/>
      <w:r>
        <w:rPr>
          <w:b/>
        </w:rPr>
        <w:t>Shared claim-specific concepts:</w:t>
      </w:r>
      <w:r>
        <w:t xml:space="preserve"> established, commission, energy, climate, between; EU scope visible. This is a provisional connection, not an outcome finding.</w:t>
      </w:r>
    </w:p>
    <w:p>
      <w:pPr>
        <w:pStyle w:val="SourceNote"/>
      </w:pPr>
      <w:r>
        <w:rPr>
          <w:b/>
        </w:rPr>
        <w:t>Available abstract (not full text):</w:t>
      </w:r>
      <w:r>
        <w:t xml:space="preserve"> The new European Commission has set itself the goal of integrating the European energy markets more closely to increase the security of supply in the EU. Further building blocks for a secure supply are the use of renewable energies and an increase in energy efficiency in the member states. However, this approach has to align with the different national energy systems, which have developed and become established nationally over time. The present analysis reviews the structure of energy supply, as well as the strategies and objectives for expanding renewable energies and reducing energy consumption, using the three biggest EU economies France, Germany and Italy as examples. It shows that there are numerous starting points for a deepened cooperation between the EU member states through the harmonisation of EU energy policy and a common approach to achieving energy and climate targets.</w:t>
      </w:r>
    </w:p>
    <w:p>
      <w:pPr/>
      <w:r>
        <w:rPr>
          <w:b/>
        </w:rPr>
        <w:t>POSSIBLE 2025:</w:t>
      </w:r>
      <w:r>
        <w:t xml:space="preserve"> Assessment of New Climate And Energy Targets for the Baltic States — https://doi.org/10.5709/ce.1897-9254.563</w:t>
      </w:r>
    </w:p>
    <w:p>
      <w:pPr/>
      <w:r>
        <w:rPr>
          <w:b/>
        </w:rPr>
        <w:t>Shared claim-specific concepts:</w:t>
      </w:r>
      <w:r>
        <w:t xml:space="preserve"> established, commission, assess, energy, climate, decrease; EU scope visible. This is a provisional connection, not an outcome finding.</w:t>
      </w:r>
    </w:p>
    <w:p>
      <w:pPr>
        <w:pStyle w:val="SourceNote"/>
      </w:pPr>
      <w:r>
        <w:rPr>
          <w:b/>
        </w:rPr>
        <w:t>Available abstract (not full text):</w:t>
      </w:r>
      <w:r>
        <w:t xml:space="preserve"> The European Union is the global forerunner in climate change mitigation policies. The new climate change mitigation targets were set for the European Union (EU) countries following the Energy and climate package targets established for renewable energy sources, energy efficiency improvements, and greenhouse gas (GHG) emission reductions. The European Commission (EC) has revised targets for 2030 several times, following the increased stringency of climate change mitigation commitments. The EU adopted the Climate Law, setting a legally binding goal to achieve a climate-neutral EU society by 2050. The EC agreed on an interim goal of a net 55% GHG emission decrease by 2030 and developed a Fit for 55 package, bringing EU regulations in line with the 2030 goal. The paper aims to analyze new EU climate change mitigation targets and to assess and compare the situation and advancements achieved by the Baltic States. The new targets for renewable energy sources, energy efficiency, and GHG emission decrease for the Baltic States were analyzed, and progress achieved was evaluated on the basis of data provided in the National Energy and Climate Plans (NECPs) submitted to the EC.</w:t>
      </w:r>
    </w:p>
    <w:p>
      <w:pPr/>
      <w:r>
        <w:rPr>
          <w:b/>
        </w:rPr>
        <w:t>POSSIBLE 2025:</w:t>
      </w:r>
      <w:r>
        <w:t xml:space="preserve"> EUROPEAN PRACTICE OF ASSESSING SOCIAL PROTECTION IN THE CONDITIONS OF A RESILIENT ECONOMY — https://doi.org/10.62204/2336-498x-2025-1-6</w:t>
      </w:r>
    </w:p>
    <w:p>
      <w:pPr/>
      <w:r>
        <w:rPr>
          <w:b/>
        </w:rPr>
        <w:t>Shared claim-specific concepts:</w:t>
      </w:r>
      <w:r>
        <w:t xml:space="preserve"> established, commission; EU scope visible. This is a provisional connection, not an outcome finding.</w:t>
      </w:r>
    </w:p>
    <w:p>
      <w:pPr>
        <w:pStyle w:val="SourceNote"/>
      </w:pPr>
      <w:r>
        <w:rPr>
          <w:b/>
        </w:rPr>
        <w:t>Available abstract (not full text):</w:t>
      </w:r>
      <w:r>
        <w:t xml:space="preserve"> Analysis of approaches, indicators and criteria for determining the impact of Social services on the Global economy socialization revealed the need to improve existing methodological approaches with the need to shift emphasis to assessing the economic component and effects of the Social services provision both at the level of the Global economy and national economic systems. The study of methodological approaches to assessing Social protection of the population in Ukraine revealed a number of challenges both in the national methodology, established by law, and in alternative methods developed with the assistance of international and foreign institutions, in particular the European Commission. Ukraine needs to improve methodological approaches to the assessment of Social services, where special attention should be paid to establishing their impact on the socialization and resilience of global and National economies.</w:t>
      </w:r>
    </w:p>
    <w:p>
      <w:pPr/>
      <w:r>
        <w:rPr>
          <w:b/>
        </w:rPr>
        <w:t>POSSIBLE 2024:</w:t>
      </w:r>
      <w:r>
        <w:t xml:space="preserve"> Health impacts methodology in the European Commission — https://doi.org/10.1093/eurpub/ckae144.120</w:t>
      </w:r>
    </w:p>
    <w:p>
      <w:pPr/>
      <w:r>
        <w:rPr>
          <w:b/>
        </w:rPr>
        <w:t>Shared claim-specific concepts:</w:t>
      </w:r>
      <w:r>
        <w:t xml:space="preserve"> commission, across, between; EU scope visible. This is a provisional connection, not an outcome finding.</w:t>
      </w:r>
    </w:p>
    <w:p>
      <w:pPr>
        <w:pStyle w:val="SourceNote"/>
      </w:pPr>
      <w:r>
        <w:rPr>
          <w:b/>
        </w:rPr>
        <w:t>Available abstract (not full text):</w:t>
      </w:r>
      <w:r>
        <w:t xml:space="preserve"> Abstract The state of play in the implementation of health impacts methodology within European Commission impact assessments reveals both advancements and challenges. The Commission has acknowledged the significance of assessing health impacts and has provided a generic methodological description, as outlined in Tool #32 of the Better Regulation guidelines. However, translating this guidance into practical application encounters obstacles stemming from challenges intrinsic to the policy in question, a lack of skills and knowledge, data gaps, and complexities in establishing causal links. In EU policymaking, health impacts are consistently appraised in relevant Impact Assessments across various policy areas, but the methodological intricacy varies. In the fields of public health, occupational safety, and environmental protection, econometric modelling is often employed to quantify potential health impacts rigorously. This involves sophisticated analytical tools designed to capture the complexity of the interactions. Conversely, in areas where the link between policies and health outcomes is less direct (e.g. food safety) or where data limitations pose challenges, a more qualitative appraisal is applied. This acknowledges the limitations in precisely quantifying health impacts and focuses on providing a nuanced understanding of potential health effects based on available informat</w:t>
      </w:r>
    </w:p>
    <w:p>
      <w:pPr/>
      <w:r>
        <w:rPr>
          <w:b/>
        </w:rPr>
        <w:t>POSSIBLE 2024:</w:t>
      </w:r>
      <w:r>
        <w:t xml:space="preserve"> Assessing pesticide residues occurrence and risks in water systems: A Pan-European and Argentina perspective — https://doi.org/10.1016/j.watres.2024.121419</w:t>
      </w:r>
    </w:p>
    <w:p>
      <w:pPr/>
      <w:r>
        <w:rPr>
          <w:b/>
        </w:rPr>
        <w:t>Shared claim-specific concepts:</w:t>
      </w:r>
      <w:r>
        <w:t xml:space="preserve"> established, between; EU scope visible. This is a provisional connection, not an outcome finding.</w:t>
      </w:r>
    </w:p>
    <w:p>
      <w:pPr>
        <w:pStyle w:val="SourceNote"/>
      </w:pPr>
      <w:r>
        <w:rPr>
          <w:b/>
        </w:rPr>
        <w:t>Available abstract (not full text):</w:t>
      </w:r>
      <w:r>
        <w:t xml:space="preserve"> Freshwater ecosystems face a particularly high risk of biodiversity loss compared to marine and terrestrial systems. The use of pesticides in agricultural fields is recognized as a relevant stressor for freshwater environments, exerting a negative impact worldwide on the overall status and health of the freshwater communities. In the present work, part of the Horizon 2020 funded SPRINT project, the occurrence of 193 pesticide residues was investigated in 64 small water bodies of distinct typology (creeks, streams, channels, ditches, rivers, lakes, ponds and reservoirs), located in regions with high agricultural activity in 10 European countries and in Argentina. Mixtures of pesticide residues were detected in all water bodies (20, median; 8-40 min-max). Total pesticide levels found ranged between 6.89 and 5860 ng/L, highlighting herbicides as the dominant type of pesticides. Glyphosate was the compound with the highest median concentration followed by 2,4-D and MCPA, and in a lower degree by dimethomorph, fluopicolide, prothioconazole and metolachlor(-S). Argentina was the site with the highest total pesticide concentration in water bodies followed by The Netherlands, Portugal and France. One or more pesticides exceeded the threshold values established in the European Water Framework Directive for surface water in 9 out of 11 case study sites (CSS), and the total pesticide conc</w:t>
      </w:r>
    </w:p>
    <w:p>
      <w:pPr/>
      <w:r>
        <w:rPr>
          <w:b/>
        </w:rPr>
        <w:t>POSSIBLE 2024:</w:t>
      </w:r>
      <w:r>
        <w:t xml:space="preserve"> Understanding the role of biodiversity in the climate, food, water, energy, transport and health nexus in Europe — https://doi.org/10.1016/j.scitotenv.2024.171692</w:t>
      </w:r>
    </w:p>
    <w:p>
      <w:pPr/>
      <w:r>
        <w:rPr>
          <w:b/>
        </w:rPr>
        <w:t>Shared claim-specific concepts:</w:t>
      </w:r>
      <w:r>
        <w:t xml:space="preserve"> assess, energy, climate, between; EU scope visible. This is a provisional connection, not an outcome finding.</w:t>
      </w:r>
    </w:p>
    <w:p>
      <w:pPr>
        <w:pStyle w:val="SourceNote"/>
      </w:pPr>
      <w:r>
        <w:rPr>
          <w:b/>
        </w:rPr>
        <w:t>Available abstract (not full text):</w:t>
      </w:r>
      <w:r>
        <w:t xml:space="preserve"> Biodiversity underpins the functioning of ecosystems and the diverse benefits that nature provides to people, yet is being lost at an unprecedented rate. To halt or reverse biodiversity loss, it is critical to understand the complex interdependencies between biodiversity and key drivers and sectors to inform the development of holistic policies and actions. We conducted a literature review on the interlinkages between biodiversity and climate change, food, water, energy, transport and health ("the biodiversity nexus"). Evidence extracted from 194 peer-reviewed articles was analysed to assess how biodiversity is being influenced by and is influencing the other nexus elements. Out of the 354 interlinkages between biodiversity and the other nexus elements, 53 % were negative, 29 % were positive and 18 % contained both positive and negative influences. The majority of studies provide evidence of the negative influence of other nexus elements on biodiversity, highlighting the substantial damage being inflicted on nature from human activities. The main types of negative impacts were land or water use/change, land or water degradation, climate change, and direct species fatalities through collisions with infrastructure. Alternatively, evidence of biodiversity having a negative influence on the other nexus elements was limited to the effects of invasive alien species and vector-borne d</w:t>
      </w:r>
    </w:p>
    <w:p>
      <w:pPr/>
      <w:r>
        <w:rPr>
          <w:b/>
        </w:rPr>
        <w:t>POSSIBLE 2024:</w:t>
      </w:r>
      <w:r>
        <w:t xml:space="preserve"> Climate Policy Priorities for the Next European Commission — https://openalex.org/W4392885355</w:t>
      </w:r>
    </w:p>
    <w:p>
      <w:pPr/>
      <w:r>
        <w:rPr>
          <w:b/>
        </w:rPr>
        <w:t>Shared claim-specific concepts:</w:t>
      </w:r>
      <w:r>
        <w:t xml:space="preserve"> commission, energy, climate; EU scope visible. This is a provisional connection, not an outcome finding.</w:t>
      </w:r>
    </w:p>
    <w:p>
      <w:pPr>
        <w:pStyle w:val="SourceNote"/>
      </w:pPr>
      <w:r>
        <w:rPr>
          <w:b/>
        </w:rPr>
        <w:t>Available abstract (not full text):</w:t>
      </w:r>
      <w:r>
        <w:t xml:space="preserve"> From the earliest announcement of the European Green Deal, the current EU political cycle has been defined by an unprecedented acceleration in the scale and pace of climate policy. Under difficult conditions that sometimes tested the ability to engage stakeholders, including various external shocks, the EU has put forward and largely passed an unprecedented legislative agenda, which was meant to have, and is having, deep impacts on the EU economy and society at large. Much has changed in the world since the European Green Deal and the 'Fit for 55' packages were conceived, including a dramatic increase in industrial policy actions by Europe's trade partners, a deteriorating geopolitical landscape, and an energy crisis that has been aggravated by these factors, all of which has led to persistent fiscal and economic pressures. Given this reality, both the climate policy objectives and instruments pursued over the course of the last five years may need to be scrutinized in the coming political cycle, to ensure that they respond to evolving circumstances, concerns, and above all the reaction of European society to the political and economic consequences. Based on interviews and feedback from the members of a high-level Advisory Group as well as consultations with approximately 200 stakeholders from the public and private sectors, civil society, and research and academia convened in </w:t>
      </w:r>
    </w:p>
    <w:p>
      <w:pPr/>
      <w:r>
        <w:rPr>
          <w:b/>
        </w:rPr>
        <w:t>POSSIBLE 2024:</w:t>
      </w:r>
      <w:r>
        <w:t xml:space="preserve"> Competition effects of vertical integration in container ports: assessing the European Commission decisional practice — https://doi.org/10.1108/mabr-10-2022-0058</w:t>
      </w:r>
    </w:p>
    <w:p>
      <w:pPr/>
      <w:r>
        <w:rPr>
          <w:b/>
        </w:rPr>
        <w:t>Shared claim-specific concepts:</w:t>
      </w:r>
      <w:r>
        <w:t xml:space="preserve"> commission, between; EU scope visible. This is a provisional connection, not an outcome finding.</w:t>
      </w:r>
    </w:p>
    <w:p>
      <w:pPr>
        <w:pStyle w:val="SourceNote"/>
      </w:pPr>
      <w:r>
        <w:rPr>
          <w:b/>
        </w:rPr>
        <w:t>Available abstract (not full text):</w:t>
      </w:r>
      <w:r>
        <w:t xml:space="preserve"> Purpose Container liner shipping companies started expanding their business by investing in container port terminals in the late 1990s. This market entry results in an extensive presence of vertically integrated liners and terminals. This study aims to explore the competition effects of this vertical integration trend based on a regional (European) analysis. In particular, it extracts lessons from the European Commission (EC) cases on the competition effects of vertical integration. The critical analysis of the cases examined at the institutional level intends to reach conclusions on whether liner–terminal vertical integration harmed or advanced competition in the relevant markets and/or the extent that there is a need to revise the current policy practices. Design/methodology/approach This study critically assesses the EC’s decisional practices in port container terminal vertical mergers in the last 25 years (1997–2021). Based on a literature review comparing maritime and competition economists' perspectives, it reviews the types of mergers examined, the methodology followed for relevant market definition and calculation of market shares and the estimated competition effects. The Hamburg–Le Havre area is the port range used as a case study for comparing the decisional practice with actual market developments. These container ports serve the greatest consuming market of final a</w:t>
      </w:r>
    </w:p>
    <w:p>
      <w:pPr/>
      <w:r>
        <w:rPr>
          <w:b/>
        </w:rPr>
        <w:t>POSSIBLE 2023:</w:t>
      </w:r>
      <w:r>
        <w:t xml:space="preserve"> Access to European Commission Guidance — https://doi.org/10.21552/estal/2023/3/2</w:t>
      </w:r>
    </w:p>
    <w:p>
      <w:pPr/>
      <w:r>
        <w:rPr>
          <w:b/>
        </w:rPr>
        <w:t>Shared claim-specific concepts:</w:t>
      </w:r>
      <w:r>
        <w:t xml:space="preserve"> commission, assess, between; EU scope visible. This is a provisional connection, not an outcome finding.</w:t>
      </w:r>
    </w:p>
    <w:p>
      <w:pPr>
        <w:pStyle w:val="SourceNote"/>
      </w:pPr>
      <w:r>
        <w:rPr>
          <w:b/>
        </w:rPr>
        <w:t>Available abstract (not full text):</w:t>
      </w:r>
      <w:r>
        <w:t xml:space="preserve"> The Treaty on the Functioning of the European Union (TFEU) grants unique powers to the European Commission in the field of State aid.In no other policy field does the TFEU require Member States to inform the Commission of plans to implement a measure and confer to the Commission the right to assess those measures without obtaining the prior consent of the Council or EU courts.Even under Article 258, where the TFEU empowers the Commission to initiate action against Member States that infringe EU law, the TFEU still obliges the Commission to "bring the matter before the Court of Justice".The TFEU establishes this system of prior control of State aid because public subsidies can distort competition in the internal EU market.The integrity of this system depends on the Commission being able to distinguish between subsidies that remedy market failure and subsidies that worsen market failure.However, the effectiveness of prior control is conditional on compliance by Member States.And, compliance by Member States, in turn, depends on the rules being clear and comprehensible.</w:t>
      </w:r>
    </w:p>
    <w:p>
      <w:pPr/>
      <w:r>
        <w:rPr>
          <w:b/>
        </w:rPr>
        <w:t>POSSIBLE 2023:</w:t>
      </w:r>
      <w:r>
        <w:t xml:space="preserve"> Assessing the role of the European Council and the European Commission during the migration and COVID-19 crises — https://doi.org/10.1080/01402382.2023.2225403</w:t>
      </w:r>
    </w:p>
    <w:p>
      <w:pPr/>
      <w:r>
        <w:rPr>
          <w:b/>
        </w:rPr>
        <w:t>Shared claim-specific concepts:</w:t>
      </w:r>
      <w:r>
        <w:t xml:space="preserve"> commission, between; EU scope visible. This is a provisional connection, not an outcome finding.</w:t>
      </w:r>
    </w:p>
    <w:p>
      <w:pPr>
        <w:pStyle w:val="SourceNote"/>
      </w:pPr>
      <w:r>
        <w:rPr>
          <w:b/>
        </w:rPr>
        <w:t>Available abstract (not full text):</w:t>
      </w:r>
      <w:r>
        <w:t xml:space="preserve"> Over the past decades, ‘emergency politics’ has become a quasi-permanent feature of the European Union (EU). According to some, this has reinforced the trend towards a greater role for the European Council (EUCO) in EU agenda-setting, to the detriment of the European Commission (Commission). In this article, this claim is critically assessed by analysing two major crises: the 2015-2016 migration crisis and the COVID-19 pandemic. By systematically tracing the various agenda-setting roles played by EU actors in these crises, two claims are made. First, using a more fine-grained typology of agenda-setting roles, the relationship between EUCO and the Commission is shown to be more nuanced than is often suggested. Second, EUCO and the Commission cannot be considered monolithic players. Instead, actors within these institutions operate outside of formal channels to purse their own policy goals. This puts in doubt the usefulness of focussing on the EUCO-Commission relationship in a purely inter-institutional sense.</w:t>
      </w:r>
    </w:p>
    <w:p>
      <w:pPr/>
      <w:r>
        <w:rPr>
          <w:b/>
        </w:rPr>
        <w:t>POSSIBLE 2023:</w:t>
      </w:r>
      <w:r>
        <w:t xml:space="preserve"> The European Commission: a climate policy entrepreneur — https://doi.org/10.4337/9781789906981.00013</w:t>
      </w:r>
    </w:p>
    <w:p>
      <w:pPr/>
      <w:r>
        <w:rPr>
          <w:b/>
        </w:rPr>
        <w:t>Shared claim-specific concepts:</w:t>
      </w:r>
      <w:r>
        <w:t xml:space="preserve"> commission, energy, climate; EU scope visible. This is a provisional connection, not an outcome finding.</w:t>
      </w:r>
    </w:p>
    <w:p>
      <w:pPr>
        <w:pStyle w:val="SourceNote"/>
      </w:pPr>
      <w:r>
        <w:rPr>
          <w:b/>
        </w:rPr>
        <w:t>Available abstract (not full text):</w:t>
      </w:r>
      <w:r>
        <w:t xml:space="preserve"> The European Commission is a crucial actor in EU climate policy in three regards. First, based on its unique role in the EU system as an initiator of policy proposals, it acts as a policy entrepreneur, contributing to the gradual advancement of EU climate policy. In this role, it has promoted commitments to ever more ambitious greenhouse gas emission reduction targets (compared to 1990 levels) that, once agreed, served as the basis for the Commission’s legislative initiatives. Second, as ‘guardian of the treaties’, the Commission monitors EU countries’ compliance with the adopted legislation. To this end, it has constantly improved coordination processes with national governments. Finally, the Commission is actively involved in EU international climate policy, coordinating bi-lateral and multilateral partnerships on climate change and energy with third countries, contributing to knowledge transfer and policy learning.</w:t>
      </w:r>
    </w:p>
    <w:p>
      <w:pPr>
        <w:pStyle w:val="Heading2"/>
      </w:pPr>
      <w:r>
        <w:t>925. Neglected futures. Considering overlooked poverty in Europe</w:t>
      </w:r>
    </w:p>
    <w:p>
      <w:pPr>
        <w:pStyle w:val="SourceNote"/>
      </w:pPr>
      <w:r>
        <w:rPr>
          <w:b/>
        </w:rPr>
        <w:t>Original source (2014):</w:t>
      </w:r>
      <w:r>
        <w:t xml:space="preserve"> https://doi.org/10.1007/s40309-014-0057-2</w:t>
      </w:r>
    </w:p>
    <w:p>
      <w:pPr/>
      <w:r>
        <w:t>Original wording (abstract; indexed_source_text_not_full_document_verified): This fact poses a major challenge for future planning and the future of social policies.</w:t>
      </w:r>
    </w:p>
    <w:p>
      <w:pPr/>
      <w:r>
        <w:rPr>
          <w:b/>
        </w:rPr>
        <w:t>POSSIBLE 2023:</w:t>
      </w:r>
      <w:r>
        <w:t xml:space="preserve"> An Analysis of the Municipal Waste Management of Romania and Bulgaria in the European Context — https://doi.org/10.61801/ouaess.2022.1.21</w:t>
      </w:r>
    </w:p>
    <w:p>
      <w:pPr/>
      <w:r>
        <w:rPr>
          <w:b/>
        </w:rPr>
        <w:t>Shared claim-specific concepts:</w:t>
      </w:r>
      <w:r>
        <w:t xml:space="preserve"> fact, poses, major; EU scope visible. This is a provisional connection, not an outcome finding.</w:t>
      </w:r>
    </w:p>
    <w:p>
      <w:pPr>
        <w:pStyle w:val="SourceNote"/>
      </w:pPr>
      <w:r>
        <w:rPr>
          <w:b/>
        </w:rPr>
        <w:t>Available abstract (not full text):</w:t>
      </w:r>
      <w:r>
        <w:t xml:space="preserve"> Since municipal waste accounts for 7% -10% of all waste generated in the European Union, this issue drums up major interest at the institutional level, given that increasing the levels of collected waste poses significant challenges to the environment and human health.The European Union adopted a legislative package which promotes the shift towards a more sustainable development model, known as the circular economy.The aim of this article is to analyze the dynamics of municipal waste management in Romania and Bulgaria in the European context, as there are deficiencies in these countries' implementation of the European waste management legislation.Eurostat's data for the 2000-2020 time horizon was used for the undertaken analysis.The results of the study show that both Romania and Bulgaria are facing similar challenges in terms of waste management due to the fact that some of the European directives have not been transposed into the national legislation.</w:t>
      </w:r>
    </w:p>
    <w:p>
      <w:pPr/>
      <w:r>
        <w:rPr>
          <w:b/>
        </w:rPr>
        <w:t>POSSIBLE 2022:</w:t>
      </w:r>
      <w:r>
        <w:t xml:space="preserve"> Platform work and access to social protection across major European countries — https://doi.org/10.1017/ics.2022.13</w:t>
      </w:r>
    </w:p>
    <w:p>
      <w:pPr/>
      <w:r>
        <w:rPr>
          <w:b/>
        </w:rPr>
        <w:t>Shared claim-specific concepts:</w:t>
      </w:r>
      <w:r>
        <w:t xml:space="preserve"> major, challenge; EU scope visible. This is a provisional connection, not an outcome finding.</w:t>
      </w:r>
    </w:p>
    <w:p>
      <w:pPr>
        <w:pStyle w:val="SourceNote"/>
      </w:pPr>
      <w:r>
        <w:rPr>
          <w:b/>
        </w:rPr>
        <w:t>Available abstract (not full text):</w:t>
      </w:r>
      <w:r>
        <w:t xml:space="preserve"> Abstract This paper is a first attempt to analyse the relationship between social protection systems and countries’ responses towards the regulation of platform work. It is argued that the degree of accessibility to social protection for self-employed workers is a predictor for how countries will deal with platform work. Countries that provide wide access to social protection for the self-employed tend to develop a more integrative response towards these work arrangements from a social protection perspective because the social protection of platform workers is a smaller policy challenge. On the other hand, in countries with a low degree of accessibility to social protection schemes, the response towards platform work is more confrontational. These responses are characterised by a larger number of court cases and legislative proposals because social protection for platform workers is a more pressing policy challenge and platform work arrangements are understood to be more antagonistic towards the respective social protection systems.</w:t>
      </w:r>
    </w:p>
    <w:p>
      <w:pPr/>
      <w:r>
        <w:rPr>
          <w:b/>
        </w:rPr>
        <w:t>POSSIBLE 2019:</w:t>
      </w:r>
      <w:r>
        <w:t xml:space="preserve"> Dedicated versus mainstreaming approaches in local climate plans in Europe — https://doi.org/10.1016/j.rser.2019.05.014</w:t>
      </w:r>
    </w:p>
    <w:p>
      <w:pPr/>
      <w:r>
        <w:rPr>
          <w:b/>
        </w:rPr>
        <w:t>Shared claim-specific concepts:</w:t>
      </w:r>
      <w:r>
        <w:t xml:space="preserve"> major, planning, policies; EU scope visible. This is a provisional connection, not an outcome finding.</w:t>
      </w:r>
    </w:p>
    <w:p>
      <w:pPr>
        <w:pStyle w:val="SourceNote"/>
      </w:pPr>
      <w:r>
        <w:rPr>
          <w:b/>
        </w:rPr>
        <w:t>Available abstract (not full text):</w:t>
      </w:r>
      <w:r>
        <w:t xml:space="preserve"> Cities are gaining prominence committing to respond to the threat of climate change , e.g., by developing local climate plans or strategies. However, little is known regarding the approaches and processes of plan development and implementation, or the success and effectiveness of proposed measures. Mainstreaming is regarded as one approach associated with (implementation) success, but the extent of integration of local climate policies and plans in ongoing sectoral and/or development planning is unclear. This paper analyses 885 cities across the 28 European countries to create a first reference baseline on the degree of climate mainstreaming in local climate plans. This will help to compare the benefits of mainstreaming versus dedicated climate plans, looking at policy effectiveness and ultimately delivery of much needed climate change efforts at the city level. All core cities of the European Urban Audit sample were analyzed, and their local climate plans classified as dedicated or mainstreamed in other local policy initiatives. It was found that the degree of mainstreaming is low for mitigation (9% of reviewed cities; 12% of the identified plans) and somewhat higher for adaptation (10% of cities; 29% of plans). In particular horizontal mainstreaming is a major effort for local authorities; an effort that does not necessarily pay off in terms of success of action implementatio</w:t>
      </w:r>
    </w:p>
    <w:p>
      <w:pPr/>
      <w:r>
        <w:rPr>
          <w:b/>
        </w:rPr>
        <w:t>POSSIBLE 2017:</w:t>
      </w:r>
      <w:r>
        <w:t xml:space="preserve"> Handbook of European Social Policy — https://doi.org/10.4337/9781783476466</w:t>
      </w:r>
    </w:p>
    <w:p>
      <w:pPr/>
      <w:r>
        <w:rPr>
          <w:b/>
        </w:rPr>
        <w:t>Shared claim-specific concepts:</w:t>
      </w:r>
      <w:r>
        <w:t xml:space="preserve"> major, policies; EU scope visible. This is a provisional connection, not an outcome finding.</w:t>
      </w:r>
    </w:p>
    <w:p>
      <w:pPr>
        <w:pStyle w:val="SourceNote"/>
      </w:pPr>
      <w:r>
        <w:rPr>
          <w:b/>
        </w:rPr>
        <w:t>Available abstract (not full text):</w:t>
      </w:r>
      <w:r>
        <w:t xml:space="preserve"> The UK and Ireland are typically paired together as the Anglo-Saxon or liberal welfare states of Europe, however, comparative analysis of both countries' welfare states is rare. The most recent systematic comparative analysis dates to Daly and Yeates’ (2003) analysis of social security. Regarding structural, political and ideological factors they noted a range of ways the two countries diverged and suggested that both countries were transforming, but in significantly different ways, thus questioning whether they could still be feasibly situated within the same welfare model. In the intervening period both countries experienced major upheaval, their common ‘Anglo-liberal’ growth model (Hay 2013) being at the core of the financial crisis in 2008. Consequently we ask whether the Irish and UK welfare states are still as divergent as Daly and Yeates observed or whether recent trends have meant that these two welfare states are moving in a common direction, without necessarily reaching full convergence. We proceed to address these questions by broadly tracking the typical characteristics of liberal welfare regimes in the UK and Irish contexts. We first look at patterns of social expenditure, taxation and related policy reform. We then look at what might be deemed social investment policies and this is followed with an analysis of selected welfare outcomes. We end by analysing the mai</w:t>
      </w:r>
    </w:p>
    <w:p>
      <w:pPr/>
      <w:r>
        <w:rPr>
          <w:b/>
        </w:rPr>
        <w:t>POSSIBLE 2016:</w:t>
      </w:r>
      <w:r>
        <w:t xml:space="preserve"> The economic crisis in Europe: urban and regional consequences — https://doi.org/10.1093/cjres/rsv036</w:t>
      </w:r>
    </w:p>
    <w:p>
      <w:pPr/>
      <w:r>
        <w:rPr>
          <w:b/>
        </w:rPr>
        <w:t>Shared claim-specific concepts:</w:t>
      </w:r>
      <w:r>
        <w:t xml:space="preserve"> fact, major, challenge; EU scope visible. This is a provisional connection, not an outcome finding.</w:t>
      </w:r>
    </w:p>
    <w:p>
      <w:pPr>
        <w:pStyle w:val="SourceNote"/>
      </w:pPr>
      <w:r>
        <w:rPr>
          <w:b/>
        </w:rPr>
        <w:t>Available abstract (not full text):</w:t>
      </w:r>
      <w:r>
        <w:t xml:space="preserve"> Beginning in 2007–2008, the European economy experienced the worst economic crisis since the 1930s. The proximate cause was the financial and banking crisis that originated in the overleveraged banks and mortgage institutions in the United States, and which quickly spread through the global financial system to infect much of Europe. This set off a major credit crunch which in its turn triggered a major contraction in economic growth, from which many European countries have struggled to recover. Yet it has been a crisis that has not afflicted all parts of Europe to the same degree, but rather has exposed major disparities in economic weakness, recovery and resilience both between different countries and between different regions within countries. These disparities themselves have posed an historic challenge to the European project, to the stability and viability of the European Union, and especially the Eurozone. For, to succeed, a true monetary union requires that economic shocks do not have highly disparate impacts across the constituent countries or regions of which it composed (see Fingleton et al., 2015 ; Martin, 2001 ); or, in the event of such disparate responses occurring, that there exists a fully functioning union-wide fiscal stabilisation system of automatic transfers to help offset the impact of the shock in the worst-affected areas. The European monetary union has n</w:t>
      </w:r>
    </w:p>
    <w:p>
      <w:pPr>
        <w:pStyle w:val="Heading2"/>
      </w:pPr>
      <w:r>
        <w:t>926. New system of employment forecasting in Poland</w:t>
      </w:r>
    </w:p>
    <w:p>
      <w:pPr>
        <w:pStyle w:val="SourceNote"/>
      </w:pPr>
      <w:r>
        <w:rPr>
          <w:b/>
        </w:rPr>
        <w:t>Original source (2014):</w:t>
      </w:r>
      <w:r>
        <w:t xml:space="preserve"> https://doi.org/10.2478/eam-2014-0018</w:t>
      </w:r>
    </w:p>
    <w:p>
      <w:pPr/>
      <w:r>
        <w:t>Original wording (abstract; indexed_source_text_not_full_document_verified): The analysis of forecasts enabled drawing some conclusions, important from the point of view of the perspectives of the Polish labour market and the labour market policy. Abstract The goal of the paper was to describe the system of employment forecasting in Poland and to present forecasts results.</w:t>
      </w:r>
    </w:p>
    <w:p>
      <w:pPr/>
      <w:r>
        <w:rPr>
          <w:b/>
        </w:rPr>
        <w:t>POSSIBLE 2026:</w:t>
      </w:r>
      <w:r>
        <w:t xml:space="preserve"> Demographic Dependency and the Future of the European Workforce: A Spatial–Temporal Forecasting Approach — https://doi.org/10.3390/su18094468</w:t>
      </w:r>
    </w:p>
    <w:p>
      <w:pPr/>
      <w:r>
        <w:rPr>
          <w:b/>
        </w:rPr>
        <w:t>Shared claim-specific concepts:</w:t>
      </w:r>
      <w:r>
        <w:t xml:space="preserve"> labour; EU scope visible. This is a provisional connection, not an outcome finding.</w:t>
      </w:r>
    </w:p>
    <w:p>
      <w:pPr>
        <w:pStyle w:val="SourceNote"/>
      </w:pPr>
      <w:r>
        <w:rPr>
          <w:b/>
        </w:rPr>
        <w:t>Available abstract (not full text):</w:t>
      </w:r>
      <w:r>
        <w:t xml:space="preserve"> This research paper examines the spatial and time variation of demographic dependency in Europe in a 30-year horizon of the evolution of the demographic dividend regarding the economic dependency ratio (ADR1). We used the Curve Fit Forecast tool to estimate the trends of ADR1 in each of the EU Member States using data on Eurostat projections and a sophisticated geostatistical analysis tool developed in ArcGIS Pro 3.2.2. The findings indicate that the dependency in all countries has increased significantly in a statistically significant manner as the Gompertz function has appeared as the best curve in a third of the cases. It is an S-shaped asymptotic behaviour of this function that effectively describes the nonlinear patterns of acceleration and saturation of demographic ageing. As indicated in the analysis, the European regions are increasingly moving apart, with the southern and eastern nations such as Romania demonstrating the most alarming decline in ADR1. These trends highlight the need to reform labour market policies and social protection mechanisms to an ageing population. The paper combines the curve-fitting, descriptive statistics (median, skewness, interquartile range (IQR)) with time clustering (value, correlation, and Fourier) to provide an effective, replicable approach to early warning and policy prioritisation. Overall, the results highlight the importance of in</w:t>
      </w:r>
    </w:p>
    <w:p>
      <w:pPr/>
      <w:r>
        <w:rPr>
          <w:b/>
        </w:rPr>
        <w:t>POSSIBLE 2026:</w:t>
      </w:r>
      <w:r>
        <w:t xml:space="preserve"> A collaborative analytics framework for artificial intelligence-based demand forecasting in supply chains — https://doi.org/10.1016/j.sca.2026.100235</w:t>
      </w:r>
    </w:p>
    <w:p>
      <w:pPr/>
      <w:r>
        <w:rPr>
          <w:b/>
        </w:rPr>
        <w:t>Shared claim-specific concepts:</w:t>
      </w:r>
      <w:r>
        <w:t xml:space="preserve"> forecasts, drawing, point; EU scope visible. This is a provisional connection, not an outcome finding.</w:t>
      </w:r>
    </w:p>
    <w:p>
      <w:pPr>
        <w:pStyle w:val="SourceNote"/>
      </w:pPr>
      <w:r>
        <w:rPr>
          <w:b/>
        </w:rPr>
        <w:t>Available abstract (not full text):</w:t>
      </w:r>
      <w:r>
        <w:t xml:space="preserve"> Despite substantial advances in artificial intelligence (AI), forecasting systems in practice often remain anchored in traditional, siloed approaches, leaving managers with unreliable and inconsistent signals for decision-making. Such forecasts tend to exacerbate the bullwhip effect, inflate safety stocks and generate significant inefficiencies in working capital and logistics costs. In fast-moving consumer goods (FMCG) supply chains, forecasts that fail to reach a minimum level of reliability are of limited value for operational planning, whereas sufficiently accurate forecasts provide a dependable foundation for managerial decisions. This practice-oriented study examines whether joint AI-based forecasting, combining downstream retailer data with advanced machine-learning techniques, enables firms to consistently achieve forecast reliability levels that are suitable for planning. Drawing on a unique dataset from a Central European manufacturer-retailer partnership, we compare three forecasting scenarios: a Manufacturer baseline forecast based on traditional statistical methods (ARIMA) applied to shipment data; a Manufacturer AI forecast using machine-learning models (XGBoost) trained exclusively on shipment data; and a Joint AI forecast in which machine-learning models (XGBoost) are trained on retailer warehouse outbound data. The analysis shows that Joint AI reduces total abs</w:t>
      </w:r>
    </w:p>
    <w:p>
      <w:pPr/>
      <w:r>
        <w:rPr>
          <w:b/>
        </w:rPr>
        <w:t>POSSIBLE 2025:</w:t>
      </w:r>
      <w:r>
        <w:t xml:space="preserve"> Does sustainability disclosure improve analysts’ forecast accuracy? Evidence from European banks — https://doi.org/10.1186/s40854-024-00693-5</w:t>
      </w:r>
    </w:p>
    <w:p>
      <w:pPr/>
      <w:r>
        <w:rPr>
          <w:b/>
        </w:rPr>
        <w:t>Shared claim-specific concepts:</w:t>
      </w:r>
      <w:r>
        <w:t xml:space="preserve"> important, abstract; EU scope visible. This is a provisional connection, not an outcome finding.</w:t>
      </w:r>
    </w:p>
    <w:p>
      <w:pPr>
        <w:pStyle w:val="SourceNote"/>
      </w:pPr>
      <w:r>
        <w:rPr>
          <w:b/>
        </w:rPr>
        <w:t>Available abstract (not full text):</w:t>
      </w:r>
      <w:r>
        <w:t xml:space="preserve"> Abstract In this study, we investigate the extent to which sustainability disclosures in the narrative sections of European banks’ annual reports improve analysts’ forecasting accuracy. We capture sustainability disclosures with a machine learning approach and use forecast errors as a proxy for analysts’ forecast accuracy. Our results suggest that sustainability disclosures significantly improve analysts’ forecasting accuracy by reducing forecast errors. In a further analysis, we also find that the introduction of Directive 2014/95/European Union is associated with increased disclosure content, which reduces forecast error. Collectively, our results suggest that sustainability disclosures improve forecast accuracy, and the introduction of the new EU directive strengthens this improvement. These results hold after several robustness tests. Our findings have important implications for market participants and policymakers.</w:t>
      </w:r>
    </w:p>
    <w:p>
      <w:pPr/>
      <w:r>
        <w:rPr>
          <w:b/>
        </w:rPr>
        <w:t>POSSIBLE 2024:</w:t>
      </w:r>
      <w:r>
        <w:t xml:space="preserve"> D5.5 Short-term ecological forecasts in support of the Bioeconomy Strategy and EU citizens — https://doi.org/10.3897/arphapreprints.e119131</w:t>
      </w:r>
    </w:p>
    <w:p>
      <w:pPr/>
      <w:r>
        <w:rPr>
          <w:b/>
        </w:rPr>
        <w:t>Shared claim-specific concepts:</w:t>
      </w:r>
      <w:r>
        <w:t xml:space="preserve"> forecasts, drawing, important; EU scope visible. This is a provisional connection, not an outcome finding.</w:t>
      </w:r>
    </w:p>
    <w:p>
      <w:pPr>
        <w:pStyle w:val="SourceNote"/>
      </w:pPr>
      <w:r>
        <w:rPr>
          <w:b/>
        </w:rPr>
        <w:t>Available abstract (not full text):</w:t>
      </w:r>
      <w:r>
        <w:t xml:space="preserve"> A relevant number of ecological questions raised by policymakers, managers, and citizens often pertain to the short-term future (e.g., the coming days or weeks). In this sense, short-term ecological and biological forecasts can make substantial and practical contributions to achieving policy objectives and benefit society broadly. Specifically, short-term forecasts of Essential Biodiversity Variables (EBVs) and Essential Ecosystem Service Variables (EESVs) can support decision-making by stakeholders from multiple sectors, enabling to anticipate ecological transformations and support proactive, informed decisions that promote conservation, economic activities, and human well-being. The aim of this task was to demonstrate how a European Biodiversity Observation Network can support the generation of short-term spatial forecasts of ecological and biological phenomena relevant to the Bioeconomy Strategy and to EU citizens at large. Our specific objectives included showcasing 1) a computational workflow that enables the production of days-ahead forecasts for distinct ecological or biological phenomena and 2) a specialized computational workflow for days-ahead forecasts of bird aerial biomass. The first, (‘generic’) workflow, is exemplified using two case studies: i) forecasting the fruiting of a wild mushroom of commercial and recreational relevance, and ii) forecasting the life stag</w:t>
      </w:r>
    </w:p>
    <w:p>
      <w:pPr/>
      <w:r>
        <w:rPr>
          <w:b/>
        </w:rPr>
        <w:t>POSSIBLE 2021:</w:t>
      </w:r>
      <w:r>
        <w:t xml:space="preserve"> Medical Brain Drain From Southeastern Europe: Using Digital Demography to Forecast Health Worker Emigration — https://doi.org/10.2196/30831</w:t>
      </w:r>
    </w:p>
    <w:p>
      <w:pPr/>
      <w:r>
        <w:rPr>
          <w:b/>
        </w:rPr>
        <w:t>Shared claim-specific concepts:</w:t>
      </w:r>
      <w:r>
        <w:t xml:space="preserve"> forecasts, drawing, conclusions, system; EU scope visible. This is a provisional connection, not an outcome finding.</w:t>
      </w:r>
    </w:p>
    <w:p>
      <w:pPr>
        <w:pStyle w:val="SourceNote"/>
      </w:pPr>
      <w:r>
        <w:rPr>
          <w:b/>
        </w:rPr>
        <w:t>Available abstract (not full text):</w:t>
      </w:r>
      <w:r>
        <w:t xml:space="preserve"> BACKGROUND: This paper shows that the tools of digital demography, such as Google Trends, can be used for determining, estimating, and predicting the migration of health care workers (HWs), in this case, from Croatia and the Western Balkans (WB) to Germany and Austria. OBJECTIVE: This study aims to test the usefulness of Google Trends indexes to forecast HW migration from Croatia and the WB to Germany and Austria. The paper analyzes recent trends in HW mobility in Europe and focuses specifically on mobility patterns among medical doctors and nurses using digital demography. Without increased emigration in the last 10 years, Croatia and the WB would have 50% more HWs today, and this staff is now crucial in the fight against a pandemic. Furthermore, the COVID-19 pandemic contributed to the increase in emigration. METHODS: A particular problem in analyzing the emigration of HCWs from Croatia and the WB is that there is no system for monitoring this process. Official data is up to 3 years late and exists only for persons deregistered from the state system. Furthermore, during the pandemic, the "normal" ways of data collection are simply too slow. The primary methodological concept of our approach is to monitor the digital trace of language searches with the Google Trends analytical tool. To standardize the data, we requested the data from January 2010 to December 2020 and divided t</w:t>
      </w:r>
    </w:p>
    <w:p>
      <w:pPr/>
      <w:r>
        <w:rPr>
          <w:b/>
        </w:rPr>
        <w:t>POSSIBLE 2021:</w:t>
      </w:r>
      <w:r>
        <w:t xml:space="preserve"> Interpretation of point forecasts with unknown directive — https://doi.org/10.1002/jae.2833</w:t>
      </w:r>
    </w:p>
    <w:p>
      <w:pPr/>
      <w:r>
        <w:rPr>
          <w:b/>
        </w:rPr>
        <w:t>Shared claim-specific concepts:</w:t>
      </w:r>
      <w:r>
        <w:t xml:space="preserve"> forecasts, point, abstract; EU scope not established. This is a provisional connection, not an outcome finding.</w:t>
      </w:r>
    </w:p>
    <w:p>
      <w:pPr>
        <w:pStyle w:val="SourceNote"/>
      </w:pPr>
      <w:r>
        <w:rPr>
          <w:b/>
        </w:rPr>
        <w:t>Available abstract (not full text):</w:t>
      </w:r>
      <w:r>
        <w:t xml:space="preserve"> Abstract Point forecasts can be interpreted as functionals (i.e., point summaries) of predictive distributions. We extend methodology for the identification of the functional based on time series of point forecasts and associated realizations. Focusing on state‐dependent quantiles and expectiles, we provide a generalized method of moments estimator for the functional, along with tests of optimality under general joint hypotheses of functional relationships and information bases. Our tests are more flexible, and in simulations better calibrated and more powerful than existing solutions. In empirical examples, economic growth forecasts and model output for precipitation are indicative of overstatement in anticipation of extreme events.</w:t>
      </w:r>
    </w:p>
    <w:p>
      <w:pPr/>
      <w:r>
        <w:rPr>
          <w:b/>
        </w:rPr>
        <w:t>POSSIBLE 2019:</w:t>
      </w:r>
      <w:r>
        <w:t xml:space="preserve"> Argoverse: 3D Tracking and Forecasting With Rich Maps — https://doi.org/10.1109/cvpr.2019.00895</w:t>
      </w:r>
    </w:p>
    <w:p>
      <w:pPr/>
      <w:r>
        <w:rPr>
          <w:b/>
        </w:rPr>
        <w:t>Shared claim-specific concepts:</w:t>
      </w:r>
      <w:r>
        <w:t xml:space="preserve"> point, view, present; EU scope not established. This is a provisional connection, not an outcome finding.</w:t>
      </w:r>
    </w:p>
    <w:p>
      <w:pPr>
        <w:pStyle w:val="SourceNote"/>
      </w:pPr>
      <w:r>
        <w:rPr>
          <w:b/>
        </w:rPr>
        <w:t>Available abstract (not full text):</w:t>
      </w:r>
      <w:r>
        <w:t xml:space="preserve"> We present Argoverse, a dataset designed to support autonomous vehicle perception tasks including 3D tracking and motion forecasting. Argoverse includes sensor data collected by a fleet of autonomous vehicles in Pittsburgh and Miami as well as 3D tracking annotations, 300k extracted interesting vehicle trajectories, and rich semantic maps. The sensor data consists of 360 degree images from 7 cameras with overlapping fields of view, forward-facing stereo imagery, 3D point clouds from long range LiDAR, and 6-DOF pose. Our 290km of mapped lanes contain rich geometric and semantic metadata which are not currently available in any public dataset. All data is released under a Creative Commons license at Argoverse.org. In baseline experiments, we use map information such as lane direction, driveable area, and ground height to improve the accuracy of 3D object tracking. We use 3D object tracking to mine for more than 300k interesting vehicle trajectories to create a trajectory forecasting benchmark. Motion forecasting experiments ranging in complexity from classical methods (k-NN) to LSTMs demonstrate that using detailed vector maps with lane-level information substantially reduces prediction error. Our tracking and forecasting experiments represent only a superficial exploration of the potential of rich maps in robotic perception. We hope that Argoverse will enable the research commun</w:t>
      </w:r>
    </w:p>
    <w:p>
      <w:pPr/>
      <w:r>
        <w:rPr>
          <w:b/>
        </w:rPr>
        <w:t>POSSIBLE 2019:</w:t>
      </w:r>
      <w:r>
        <w:t xml:space="preserve"> Colour forecasting — https://doi.org/10.1080/00405167.2019.1659564</w:t>
      </w:r>
    </w:p>
    <w:p>
      <w:pPr/>
      <w:r>
        <w:rPr>
          <w:b/>
        </w:rPr>
        <w:t>Shared claim-specific concepts:</w:t>
      </w:r>
      <w:r>
        <w:t xml:space="preserve"> drawing, important, view, system; EU scope not established. This is a provisional connection, not an outcome finding.</w:t>
      </w:r>
    </w:p>
    <w:p>
      <w:pPr>
        <w:pStyle w:val="SourceNote"/>
      </w:pPr>
      <w:r>
        <w:rPr>
          <w:b/>
        </w:rPr>
        <w:t>Available abstract (not full text):</w:t>
      </w:r>
      <w:r>
        <w:t xml:space="preserve"> The underlying principles of colour forecasting now have a history spanning a full century. This issue of Textile Progress is somewhat timely as the challenges that industry face now differ from those of the twentieth century, in particular, the increased need to address sustainability and the increased competiveness of the global marketplace. This Textile Progress provides an overview of the historical context drawing out the importance of the role of colour forecasting in the fashion and textile industries. It provides a detailed analysis of the more-recently established and establishing trend forecasting methods with a view to thinking more innovatively about the potential of colour forecasting. It investigates the effects and impact of colour and trend forecasting with a particular focus on the consequences of the process and system on business, on consumers and on the environment. In reviewing the developments in colour forecasting, we begin with the subjective techniques highlighting the strengths and weaknesses of the approaches. The more-objective characteristics that have emerged from new developments and new thinking provide a focus on the potential for greater accuracy in colour forecasting. This issue of Textile Progress explains how and why colour forecasting is an essential component of the business of making and selling fashion garments, through merchandising, re</w:t>
      </w:r>
    </w:p>
    <w:p>
      <w:pPr/>
      <w:r>
        <w:rPr>
          <w:b/>
        </w:rPr>
        <w:t>POSSIBLE 2019:</w:t>
      </w:r>
      <w:r>
        <w:t xml:space="preserve"> Seasonal streamflow forecasts for Europe – Part 2: Sources of skill — https://doi.org/10.5194/hess-23-371-2019</w:t>
      </w:r>
    </w:p>
    <w:p>
      <w:pPr/>
      <w:r>
        <w:rPr>
          <w:b/>
        </w:rPr>
        <w:t>Shared claim-specific concepts:</w:t>
      </w:r>
      <w:r>
        <w:t xml:space="preserve"> forecasts, abstract, system; EU scope visible. This is a provisional connection, not an outcome finding.</w:t>
      </w:r>
    </w:p>
    <w:p>
      <w:pPr>
        <w:pStyle w:val="SourceNote"/>
      </w:pPr>
      <w:r>
        <w:rPr>
          <w:b/>
        </w:rPr>
        <w:t>Available abstract (not full text):</w:t>
      </w:r>
      <w:r>
        <w:t xml:space="preserve"> Abstract. Seasonal predictions can be exploited among others to optimize hydropower energy generation, navigability of rivers and irrigation management to decrease crop yield losses. This paper is the second of two papers dealing with a model-based system built to produce seasonal hydrological forecasts (WUSHP: Wageningen University Seamless Hydrological Prediction system), applied here to Europe. Whereas the first paper presents the development and the skill evaluation of the system, this paper provides explanations for the skill. In WUSHP hydrology is simulated by running the Variable Infiltration Capacity (VIC) hydrological model with meteorological forcing from bias-corrected output of ECMWF's Seasonal Forecasting System 4 (S4). WUSHP is probabilistic. For the assessment of skill, hindcast simulations (1981–2010) were carried out. To explain skill, we first looked at the forcing and found considerable skill in the precipitation forecasts of the first lead month but hardly any significant skill for later lead months. Seasonal forecasts for temperature have more skill. Skill in summer temperature is related to climate change and more or less independent of lead time. Skill in February and March is unrelated to climate change. Sources of skill in runoff were isolated with Ensemble Streamflow Prediction (ESP) experiments. These revealed that beyond the second lead month simulat</w:t>
      </w:r>
    </w:p>
    <w:p>
      <w:pPr/>
      <w:r>
        <w:rPr>
          <w:b/>
        </w:rPr>
        <w:t>POSSIBLE 2018:</w:t>
      </w:r>
      <w:r>
        <w:t xml:space="preserve"> How Can Existing Ground-Based Profiling Instruments Improve European Weather Forecasts? — https://doi.org/10.1175/bams-d-17-0231.1</w:t>
      </w:r>
    </w:p>
    <w:p>
      <w:pPr/>
      <w:r>
        <w:rPr>
          <w:b/>
        </w:rPr>
        <w:t>Shared claim-specific concepts:</w:t>
      </w:r>
      <w:r>
        <w:t xml:space="preserve"> forecasts, important, abstract; EU scope visible. This is a provisional connection, not an outcome finding.</w:t>
      </w:r>
    </w:p>
    <w:p>
      <w:pPr>
        <w:pStyle w:val="SourceNote"/>
      </w:pPr>
      <w:r>
        <w:rPr>
          <w:b/>
        </w:rPr>
        <w:t>Available abstract (not full text):</w:t>
      </w:r>
      <w:r>
        <w:t xml:space="preserve"> Abstract To realize the promise of improved predictions of hazardous weather such as flash floods, wind storms, fog, and poor air quality from high-resolution mesoscale models, the forecast models must be initialized with an accurate representation of the current state of the atmosphere, but the lowest few kilometers are hardly accessible by satellite, especially in dynamically active conditions. We report on recent European developments in the exploitation of existing ground-based profiling instruments so that they are networked and able to send data in real time to forecast centers. The three classes of instruments are i) automatic lidars and ceilometers providing backscatter profiles of clouds, aerosols, dust, fog, and volcanic ash, the last two being especially important for air traffic control; ii) Doppler wind lidars deriving profiles of wind, turbulence, wind shear, wind gusts, and low-level jets; and iii) microwave radiometers estimating profiles of temperature and humidity in nearly all weather conditions. The project includes collaboration from 22 European countries and 15 European national weather services, which involves the implementation of common operating procedures, instrument calibrations, data formats, and retrieval algorithms. Currently, data from 265 ceilometers in 19 countries are being distributed in near–real time to national weather forecast centers; th</w:t>
      </w:r>
    </w:p>
    <w:p>
      <w:pPr/>
      <w:r>
        <w:rPr>
          <w:b/>
        </w:rPr>
        <w:t>POSSIBLE 2018:</w:t>
      </w:r>
      <w:r>
        <w:t xml:space="preserve"> Drawing: the point of contact — https://doi.org/10.5287/ora-8reoo61db</w:t>
      </w:r>
    </w:p>
    <w:p>
      <w:pPr/>
      <w:r>
        <w:rPr>
          <w:b/>
        </w:rPr>
        <w:t>Shared claim-specific concepts:</w:t>
      </w:r>
      <w:r>
        <w:t xml:space="preserve"> drawing, point, view, present; EU scope not established. This is a provisional connection, not an outcome finding.</w:t>
      </w:r>
    </w:p>
    <w:p>
      <w:pPr>
        <w:pStyle w:val="SourceNote"/>
      </w:pPr>
      <w:r>
        <w:rPr>
          <w:b/>
        </w:rPr>
        <w:t>Available abstract (not full text):</w:t>
      </w:r>
      <w:r>
        <w:t xml:space="preserve"> This thesis is a study of the point of contact between pencil and paper during certain acts of drawing. It comprises three elements. Firstly, five ‘drawings’ which together raise the central question of the thesis: what arrests me, in the manner of a Barthesian punctum, about the point of contact between pencil and paper (and their proxies) in these particular drawings? These drawings are in evidence through written accounts introducing each chapter, and they are: (1) a practice of ‘half-blind’ life drawing; (2) a line drawn around the internal perimeter of a house; (3) several voice recordings made while walking in the dark; (4) a biro line drawn across a bed sheet; (5) a row of ink blots at the foot of a page. Secondly, the present document, which shows the endeavour of answering this question. Thirdly, a display of artefacts left over from the five drawings and the writing, which pose a question at the close of the thesis: when the writing is completed, what is left of the drawings that set it going? The present document is undertaken ‘drawingly’: employing a methodology and form learned from the point of contact at its centre and developed as a mode of enquiry adequate to this punctum’s apparent resistance to being named or wholly analysed. Building upon Jean-Luc Nancy’s characterization of a working drawing as a search for form, Derrida’s description of the ‘aperspective’ </w:t>
      </w:r>
    </w:p>
    <w:p>
      <w:pPr/>
      <w:r>
        <w:rPr>
          <w:b/>
        </w:rPr>
        <w:t>POSSIBLE 2017:</w:t>
      </w:r>
      <w:r>
        <w:t xml:space="preserve"> Summer drought predictability over Europe: empirical versus dynamical forecasts — https://doi.org/10.1088/1748-9326/aa7859</w:t>
      </w:r>
    </w:p>
    <w:p>
      <w:pPr/>
      <w:r>
        <w:rPr>
          <w:b/>
        </w:rPr>
        <w:t>Shared claim-specific concepts:</w:t>
      </w:r>
      <w:r>
        <w:t xml:space="preserve"> forecasts, important, system; EU scope visible. This is a provisional connection, not an outcome finding.</w:t>
      </w:r>
    </w:p>
    <w:p>
      <w:pPr>
        <w:pStyle w:val="SourceNote"/>
      </w:pPr>
      <w:r>
        <w:rPr>
          <w:b/>
        </w:rPr>
        <w:t>Available abstract (not full text):</w:t>
      </w:r>
      <w:r>
        <w:t xml:space="preserve"> Seasonal climate forecasts could be an important planning tool for farmers, government and insurance companies that can lead to better and timely management of seasonal climate risks. However, climate seasonal forecasts are often under-used, because potential users are not well aware of the capabilities and limitations of these products. This study aims at assessing the merits and caveats of a statistical empirical method, the ensemble streamflow prediction system (ESP, an ensemble based on reordering historical data) and an operational dynamical forecast system, the European Centre for Medium-Range Weather Forecasts—System 4 (S4) in predicting summer drought in Europe. Droughts are defined using the Standardized Precipitation Evapotranspiration Index for the month of August integrated over 6 months. Both systems show useful and mostly comparable deterministic skill. We argue that this source of predictability is mostly attributable to the observed initial conditions. S4 shows only higher skill in terms of ability to probabilistically identify drought occurrence. Thus, currently, both approaches provide useful information and ESP represents a computationally fast alternative to dynamical prediction applications for drought prediction.</w:t>
      </w:r>
    </w:p>
    <w:p>
      <w:pPr>
        <w:pStyle w:val="Heading2"/>
      </w:pPr>
      <w:r>
        <w:t>927. Reform of experimental structures in animal science in France: From exploratory foresight to operational set-up</w:t>
      </w:r>
    </w:p>
    <w:p>
      <w:pPr>
        <w:pStyle w:val="SourceNote"/>
      </w:pPr>
      <w:r>
        <w:rPr>
          <w:b/>
        </w:rPr>
        <w:t>Original source (2014):</w:t>
      </w:r>
      <w:r>
        <w:t xml:space="preserve"> https://doi.org/10.1684/agr.2014.0698</w:t>
      </w:r>
    </w:p>
    <w:p>
      <w:pPr/>
      <w:r>
        <w:t>Original wording (abstract; indexed_source_text_not_full_document_verified): Based on a more general foresight exercise carried out at the national level (INRA 2020), different scenarios were built and then analysed for the 2025 horizon by a working group under the responsibility of an external chairman. Finally, four scenarios were submitted to the INRA General Direction who chose the European infrastructure.</w:t>
      </w:r>
    </w:p>
    <w:p>
      <w:pPr/>
      <w:r>
        <w:rPr>
          <w:b/>
        </w:rPr>
        <w:t>POSSIBLE 2026:</w:t>
      </w:r>
      <w:r>
        <w:t xml:space="preserve"> Eye of Europe Foresight Training Manual — https://openalex.org/W7220785974</w:t>
      </w:r>
    </w:p>
    <w:p>
      <w:pPr/>
      <w:r>
        <w:rPr>
          <w:b/>
        </w:rPr>
        <w:t>Shared claim-specific concepts:</w:t>
      </w:r>
      <w:r>
        <w:t xml:space="preserve"> foresight, level, submitted; EU scope visible. This is a provisional connection, not an outcome finding.</w:t>
      </w:r>
    </w:p>
    <w:p>
      <w:pPr>
        <w:pStyle w:val="SourceNote"/>
      </w:pPr>
      <w:r>
        <w:rPr>
          <w:b/>
        </w:rPr>
        <w:t>Available abstract (not full text):</w:t>
      </w:r>
      <w:r>
        <w:t xml:space="preserve"> The following document outlines the Eye of Europe Foresight Training Manual. The manual is developed by the Finland Futures Research Centre (FFRC), University of Turku, as part of the Work Package 4 (Futures Literacy) of the Eye of Europe project. The deliverable is submitted at month 10 of project (August 2024) after the delivery of prior pilot training for foresight beneficiaries. The purpose of the manual is to define and establish foresight training target groups, to describe, on a high level, intended training inputs and outcomes, and to document and reflect upon the first practical training activities of the project.</w:t>
      </w:r>
    </w:p>
    <w:p>
      <w:pPr/>
      <w:r>
        <w:rPr>
          <w:b/>
        </w:rPr>
        <w:t>POSSIBLE 2025:</w:t>
      </w:r>
      <w:r>
        <w:t xml:space="preserve"> From Reaction to Foresight: EUPHA’s vision for health security in Europe — https://doi.org/10.1093/eurpub/ckaf071</w:t>
      </w:r>
    </w:p>
    <w:p>
      <w:pPr/>
      <w:r>
        <w:rPr>
          <w:b/>
        </w:rPr>
        <w:t>Shared claim-specific concepts:</w:t>
      </w:r>
      <w:r>
        <w:t xml:space="preserve"> based, foresight, carried, national, different, built;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Foresight in Human Resource Management in Knowledge-Based Companies — https://doi.org/10.61838/kman.jrmde.4.2.4</w:t>
      </w:r>
    </w:p>
    <w:p>
      <w:pPr/>
      <w:r>
        <w:rPr>
          <w:b/>
        </w:rPr>
        <w:t>Shared claim-specific concepts:</w:t>
      </w:r>
      <w:r>
        <w:t xml:space="preserve"> based, foresight, level; EU scope not established. This is a provisional connection, not an outcome finding.</w:t>
      </w:r>
    </w:p>
    <w:p>
      <w:pPr>
        <w:pStyle w:val="SourceNote"/>
      </w:pPr>
      <w:r>
        <w:rPr>
          <w:b/>
        </w:rPr>
        <w:t>Available abstract (not full text):</w:t>
      </w:r>
      <w:r>
        <w:t xml:space="preserve"> The present study was conducted with the aim of foresight in human resource management in knowledge-based companies. This research falls under the category of mixed-method studies (qualitative and quantitative). The qualitative strategy employed was thematic analysis, and the quantitative strategy was a survey approach. The qualitative sample consisted of 14 experts and managers from knowledge-based companies, selected through purposive and snowball sampling methods. In-depth interviews were conducted with these participants. MAXQDA software (2018) was used to analyze the data. Based on the interviews, components were extracted, and through the coding process and subsequent tests, the final model of the study was developed. Findings from the qualitative section indicated that the dimensions for designing a human resource management model in knowledge-based companies include the individual approach, organizational characteristics, environmental conditions, and technology. In the quantitative section, the statistical population consisted of all employees, deputies, and managers of knowledge-based companies, and 384 questionnaires were distributed and collected using convenience sampling. To analyze the research questions, Structural Equation Modeling (SEM) was performed using SmartPLS 3 software. The results of model evaluation showed that all research hypotheses had a significan</w:t>
      </w:r>
    </w:p>
    <w:p>
      <w:pPr/>
      <w:r>
        <w:rPr>
          <w:b/>
        </w:rPr>
        <w:t>POSSIBLE 2024:</w:t>
      </w:r>
      <w:r>
        <w:t xml:space="preserve"> Emerging Biotechnologies in Europe: Foresight for Policy — https://doi.org/10.2760/4814109</w:t>
      </w:r>
    </w:p>
    <w:p>
      <w:pPr/>
      <w:r>
        <w:rPr>
          <w:b/>
        </w:rPr>
        <w:t>Shared claim-specific concepts:</w:t>
      </w:r>
      <w:r>
        <w:t xml:space="preserve"> foresight, out, external, who;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What future for EU foresight? A critical perspective on the institutionalisation of foresight — https://doi.org/10.1111/eulj.12528</w:t>
      </w:r>
    </w:p>
    <w:p>
      <w:pPr/>
      <w:r>
        <w:rPr>
          <w:b/>
        </w:rPr>
        <w:t>Shared claim-specific concepts:</w:t>
      </w:r>
      <w:r>
        <w:t xml:space="preserve"> foresight, out, level; EU scope visible. This is a provisional connection, not an outcome finding.</w:t>
      </w:r>
    </w:p>
    <w:p>
      <w:pPr>
        <w:pStyle w:val="SourceNote"/>
      </w:pPr>
      <w:r>
        <w:rPr>
          <w:b/>
        </w:rPr>
        <w:t>Available abstract (not full text):</w:t>
      </w:r>
      <w:r>
        <w:t xml:space="preserve"> Abstract What are the potential strengths and weaknesses in the current reconstruction of foresight at the EU level? In questioning foresight's institutionalisation processes from both a historical and a political sociology perspective, the article claims that charting the future is an issue of political power and that, hence, foresight's institutionalisation can never be taken for granted. More precisely, we identify two factors that determine how such process plays out. First, it depends on the definition and importance of the future according to specific contexts (war, economic or health crisis, periods of growth, etc.). Second, this changing definition intertwines with socio‐institutional structures and agents that are crucial for this institutionalisation to be sustainable. The analysis is twofold. First, we provide an overview of past international experiences of projections into the future (both foresight and forecast). Second, we illustrate how these issues may resurface and rebound within the EU’s unique power context.</w:t>
      </w:r>
    </w:p>
    <w:p>
      <w:pPr/>
      <w:r>
        <w:rPr>
          <w:b/>
        </w:rPr>
        <w:t>POSSIBLE 2024:</w:t>
      </w:r>
      <w:r>
        <w:t xml:space="preserve"> European foresight (1950–2020): A history of contrasts. Intellectual inspirations and the political conditions for success — https://doi.org/10.1111/eulj.12524</w:t>
      </w:r>
    </w:p>
    <w:p>
      <w:pPr/>
      <w:r>
        <w:rPr>
          <w:b/>
        </w:rPr>
        <w:t>Shared claim-specific concepts:</w:t>
      </w:r>
      <w:r>
        <w:t xml:space="preserve"> based, foresight, different; EU scope visible. This is a provisional connection, not an outcome finding.</w:t>
      </w:r>
    </w:p>
    <w:p>
      <w:pPr>
        <w:pStyle w:val="SourceNote"/>
      </w:pPr>
      <w:r>
        <w:rPr>
          <w:b/>
        </w:rPr>
        <w:t>Available abstract (not full text):</w:t>
      </w:r>
      <w:r>
        <w:t xml:space="preserve"> Abstract Although foresight has played a central role in the history of European integration since its inception in the 1950s, it has not always had the same meaning, nor has it always been used in the same political way. This article looks at the genesis and development of foresight on a European scale between 1950 and 2020, analysing it as a specific public policy: such a perspective aims to highlight the differentiated relationships to time and future, the different conceptions of the respective roles of administration, politics and science, and the forms of competence on which successive foresight policies are based. It also enables us to identify the institutional and political factors that explain its development, and the particular forms it takes.</w:t>
      </w:r>
    </w:p>
    <w:p>
      <w:pPr/>
      <w:r>
        <w:rPr>
          <w:b/>
        </w:rPr>
        <w:t>POSSIBLE 2022:</w:t>
      </w:r>
      <w:r>
        <w:t xml:space="preserve"> Foresight and regulation: anticipatory governance and administrative foresight in times of transition and recovery — https://openalex.org/W7125625500</w:t>
      </w:r>
    </w:p>
    <w:p>
      <w:pPr/>
      <w:r>
        <w:rPr>
          <w:b/>
        </w:rPr>
        <w:t>Shared claim-specific concepts:</w:t>
      </w:r>
      <w:r>
        <w:t xml:space="preserve"> based, general, foresight, exercise, group, external; EU scope visible. This is a provisional connection, not an outcome finding.</w:t>
      </w:r>
    </w:p>
    <w:p>
      <w:pPr>
        <w:pStyle w:val="SourceNote"/>
      </w:pPr>
      <w:r>
        <w:rPr>
          <w:b/>
        </w:rPr>
        <w:t>Available abstract (not full text):</w:t>
      </w:r>
      <w:r>
        <w:t xml:space="preserve"> [EN] Administrative law has the challenge to protect rights without a time and general. Regulation and administrative activity, in its pursuit of the general interest, cannot renounce the creation of spaces for the exercise of executive power in a collaborative or participatory manner. Considering the possible future means adapting the rules and the activity of the administration to the current reality, without compromising the actions of governments in the future in order to respect international consensus, such as the green pact and sustainable economic recovery. Esta situación es objeto de reflexión en esta obra colectiva que constituye la primera reflexión realizada por los investigadores del proyecto de investigación I+D+I financiado por el Ministerio de ciencia e innovación, Gobierno de España con el título: Por un consenso de futuro sostenible: Gobernanza anticipatoria y Prospectiva administrativa (PROFUTURE) PID2020-116401GB-I00 Foresight offers a range of experiences for a practical application of foresight to administrative planning and policy development. These tools are based on the bureaucratic reality and the competences of public administrations. As a consequence of the health, economic and energy crises, administrations will have to face planning and decision-making for recovery. Are they prepared? Administrations make decisions with models that do not foresee t</w:t>
      </w:r>
    </w:p>
    <w:p>
      <w:pPr/>
      <w:r>
        <w:rPr>
          <w:b/>
        </w:rPr>
        <w:t>POSSIBLE 2022:</w:t>
      </w:r>
      <w:r>
        <w:t xml:space="preserve"> ANALYSIS OF SECURITY RISKS BASED ON THE INFORMATION PROVIDED IN THE GENERAL DECLARATION OF ARRIVAL IN THE EUROPEAN UNION — https://doi.org/10.31891/2307-5740-2022-312-6(1)-20</w:t>
      </w:r>
    </w:p>
    <w:p>
      <w:pPr/>
      <w:r>
        <w:rPr>
          <w:b/>
        </w:rPr>
        <w:t>Shared claim-specific concepts:</w:t>
      </w:r>
      <w:r>
        <w:t xml:space="preserve"> based, general, out, submitted; EU scope visible. This is a provisional connection, not an outcome finding.</w:t>
      </w:r>
    </w:p>
    <w:p>
      <w:pPr>
        <w:pStyle w:val="SourceNote"/>
      </w:pPr>
      <w:r>
        <w:rPr>
          <w:b/>
        </w:rPr>
        <w:t>Available abstract (not full text):</w:t>
      </w:r>
      <w:r>
        <w:t xml:space="preserve"> The purpose of the article is to study the experience of European countries regarding the peculiarities of security risk analysis based on the information provided in the general declaration of arrival and to develop proposals for bringing domestic customs legislation closer to the legislation of the European Union. The article analyzes the features of security risk analysis based on the information provided in the general declaration of arrival in the European Union. The regulatory and legal bases for the use of the general declaration of arrival in European countries have been determined. The parties responsible for submitting preliminary data to the customs authorities, the deadlines for submitting the general declaration of arrival and the amount of data that must be submitted to the customs authority, depending on the type of transport on which the goods will be imported into the customs territory of the EU, were found. It was found that the data are specified in the general declaration arrival, the so-called “security notices”, which are submitted to border customs before the import of goods into the customs territory of the European Union, enable customs authorities to carry out a risk analysis, primarily with the aim of determining the degree of security and the appropriate way of conducting customs control. Studied the procedure for assessing security risks based on th</w:t>
      </w:r>
    </w:p>
    <w:p>
      <w:pPr/>
      <w:r>
        <w:rPr>
          <w:b/>
        </w:rPr>
        <w:t>POSSIBLE 2022:</w:t>
      </w:r>
      <w:r>
        <w:t xml:space="preserve"> Prevalence of most common skin diseases in Europe: a population‐based study — https://doi.org/10.1111/jdv.18050</w:t>
      </w:r>
    </w:p>
    <w:p>
      <w:pPr/>
      <w:r>
        <w:rPr>
          <w:b/>
        </w:rPr>
        <w:t>Shared claim-specific concepts:</w:t>
      </w:r>
      <w:r>
        <w:t xml:space="preserve"> based, general, who; EU scope visible. This is a provisional connection, not an outcome finding.</w:t>
      </w:r>
    </w:p>
    <w:p>
      <w:pPr>
        <w:pStyle w:val="SourceNote"/>
      </w:pPr>
      <w:r>
        <w:rPr>
          <w:b/>
        </w:rPr>
        <w:t>Available abstract (not full text):</w:t>
      </w:r>
      <w:r>
        <w:t xml:space="preserve"> BACKGROUND: The assessment of the prevalence of diseases is of primary importance in planning health policies. No complete data on the prevalence of skin diseases across European countries are available. OBJECTIVE: To estimate the prevalence of the most frequent skin conditions or diseases in 27 European countries (24 EU countries, plus Norway, Switzerland, and the United Kingdom). METHODS: We conducted a population-based study on representative and extrapolable samples of the general population aged 18 years or more in each of the 27 countries surveyed. Participants were selected using stratified, proportional sampling with a replacement design. Data were collected using a web-based online survey. All participants were asked to fill in a questionnaire with sociodemographic data and to declare if they have had one or more skin conditions or diseases during the previous 12 months. RESULTS: A total of 44 689 participants from 27 countries responded to the questionnaire, 21 887 (48.98%) men and 22 802 (51.02%) women. The proportion of participants who reported having suffered from at least one dermatological condition or disease during the previous 12 months was 43.35% (95% CI: 42.89%, 43.81%). The projection in the total population of the 27 countries included in the study resulted in 185 103 774 individuals affected by at least one dermatological condition or disease. Accordingl</w:t>
      </w:r>
    </w:p>
    <w:p>
      <w:pPr/>
      <w:r>
        <w:rPr>
          <w:b/>
        </w:rPr>
        <w:t>POSSIBLE 2022:</w:t>
      </w:r>
      <w:r>
        <w:t xml:space="preserve"> Over the shoulder enforcement in European regulatory networks:the role of arbitrage mitigation mechanisms in the General Data Protection Regulation — https://doi.org/10.1080/13501763.2022.2069845</w:t>
      </w:r>
    </w:p>
    <w:p>
      <w:pPr/>
      <w:r>
        <w:rPr>
          <w:b/>
        </w:rPr>
        <w:t>Shared claim-specific concepts:</w:t>
      </w:r>
      <w:r>
        <w:t xml:space="preserve"> general, out, national; EU scope visible. This is a provisional connection, not an outcome finding.</w:t>
      </w:r>
    </w:p>
    <w:p>
      <w:pPr>
        <w:pStyle w:val="SourceNote"/>
      </w:pPr>
      <w:r>
        <w:rPr>
          <w:b/>
        </w:rPr>
        <w:t>Available abstract (not full text):</w:t>
      </w:r>
      <w:r>
        <w:t xml:space="preserve"> Across many domains, the European Union relies on a system of regulatory network-based enforcement. National agencies work with peers to carry out on-the-ground implementation of supranational law. Network-based enforcement, however, raises concerns including regulatory capture and shirking. We explore how a novel governance tool – arbitrage mitigation mechanisms – may address some of these issues. These mechanisms are formal institutional procedures, which attempt to generate equivalent application of EU law for cross border regulation, and include horizontal checks among regulatory peers as well as vertical checks that allow civil society to voice accountability concerns. To demonstrate the validity of our argument, we examine the General Data Protection Regulation (GDPR) and European privacy enforcement. Our study contributes to the understanding of enforcement and compliance in European regulatory networks and offers a more fine grained understanding of when and how European citizens’ civil liberties will be upheld.</w:t>
      </w:r>
    </w:p>
    <w:p>
      <w:pPr/>
      <w:r>
        <w:rPr>
          <w:b/>
        </w:rPr>
        <w:t>POSSIBLE 2022:</w:t>
      </w:r>
      <w:r>
        <w:t xml:space="preserve"> Socioeconomic inequalities in cancer mortality between and within countries in Europe: a population-based study — https://doi.org/10.1016/j.lanepe.2022.100551</w:t>
      </w:r>
    </w:p>
    <w:p>
      <w:pPr/>
      <w:r>
        <w:rPr>
          <w:b/>
        </w:rPr>
        <w:t>Shared claim-specific concepts:</w:t>
      </w:r>
      <w:r>
        <w:t xml:space="preserve"> national, level, analysed, horizon; EU scope visible. This is a provisional connection, not an outcome finding.</w:t>
      </w:r>
    </w:p>
    <w:p>
      <w:pPr>
        <w:pStyle w:val="SourceNote"/>
      </w:pPr>
      <w:r>
        <w:rPr>
          <w:b/>
        </w:rPr>
        <w:t>Available abstract (not full text):</w:t>
      </w:r>
      <w:r>
        <w:t xml:space="preserve"> Background: Reducing socioeconomic inequalities in cancer is a priority for the public health agenda. A systematic assessment and benchmarking of socioeconomic inequalities in cancer across many countries and over time in Europe is not yet available. Methods: Census-linked, whole-of-population cancer-specific mortality data by socioeconomic position, as measured by education level, and sex were collected, harmonized, analysed, and compared across 18 countries during 1990-2015, in adults aged 40-79. We computed absolute and relative educational inequalities; temporal trends using estimated-annual-percentage-changes; the share of cancer mortality linked to educational inequalities. Findings: Everywhere in Europe, lower-educated individuals have higher mortality rates for nearly all cancer-types relative to their more highly-educated counterparts, particularly for tobacco/infection-related cancers [relative risk of lung cancer mortality for lower- versus higher-educated = 2.4 (95% confidence intervals: 2.1-2.8) among men; = 1.8 (95% confidence intervals: 1.5-2.1) among women]. However, the magnitude of inequalities varies greatly by country and over time, predominantly due to differences in cancer mortality among lower-educated groups, as for many cancer-types higher-educated have more similar (and lower) rates, irrespective of the country. Inequalities were generally greater in B</w:t>
      </w:r>
    </w:p>
    <w:p>
      <w:pPr/>
      <w:r>
        <w:rPr>
          <w:b/>
        </w:rPr>
        <w:t>POSSIBLE 2022:</w:t>
      </w:r>
      <w:r>
        <w:t xml:space="preserve"> Foresight: a new approach based on the Z-number cognitive map — https://doi.org/10.1186/s40309-022-00188-5</w:t>
      </w:r>
    </w:p>
    <w:p>
      <w:pPr/>
      <w:r>
        <w:rPr>
          <w:b/>
        </w:rPr>
        <w:t>Shared claim-specific concepts:</w:t>
      </w:r>
      <w:r>
        <w:t xml:space="preserve"> based, foresight, then, finally; EU scope not established. This is a provisional connection, not an outcome finding.</w:t>
      </w:r>
    </w:p>
    <w:p>
      <w:pPr>
        <w:pStyle w:val="SourceNote"/>
      </w:pPr>
      <w:r>
        <w:rPr>
          <w:b/>
        </w:rPr>
        <w:t>Available abstract (not full text):</w:t>
      </w:r>
      <w:r>
        <w:t xml:space="preserve"> Abstract Foresight has recently emerged as one of the most attractive and practical fields of study, while being used to draw up a preferable future and formulate appropriate strategies for achieving predetermined goals. The present research aimed at providing a framework for foresight with a primary focus on the role of a cognitive approach and its combination with the concept of fuzzy cognitive map in the environments of uncertainty and ambiguity. The proposed framework consisted of the 3 phases: pre-foresight, foresight, and post-foresight. The main stage (foresight) focused on the role of imagination and intuition in drawing the future in the experts’ minds and depicting their perceptions above perceptions in the form of a fuzzy cognitive map influenced by variables related to the subject under study in order to determine a preferable future. The use of a Z-number concept and integrating it with fuzzy cognitive maps in the foresight-oriented decision-making space, which was mainly saturated with uncertainty and ambiguity, was one of the main strengths of the proposed framework in the current investigation. The present paper focused primarily on the evolution of expert’s knowledge with regard to the topic of foresight. The role of Z-number in various processes, from data collection to illustration, analysis, and aggregation of cognitive maps, was considered for gaining knowl</w:t>
      </w:r>
    </w:p>
    <w:p>
      <w:pPr>
        <w:pStyle w:val="Heading2"/>
      </w:pPr>
      <w:r>
        <w:t>928. Scenario analysis for nutrient emission reduction in the European inland waters</w:t>
      </w:r>
    </w:p>
    <w:p>
      <w:pPr>
        <w:pStyle w:val="SourceNote"/>
      </w:pPr>
      <w:r>
        <w:rPr>
          <w:b/>
        </w:rPr>
        <w:t>Original source (2014):</w:t>
      </w:r>
      <w:r>
        <w:t xml:space="preserve"> https://doi.org/10.1088/1748-9326/9/12/125007</w:t>
      </w:r>
    </w:p>
    <w:p>
      <w:pPr/>
      <w:r>
        <w:t>Original wording (abstract; indexed_source_text_not_full_document_verified): In the present study we evaluate a set of alternative scenarios aiming at reducing nitrogen and phosphorus emissions from anthropogenic activities to all European Seas. Then we tested two human diet scenarios and their impacts on nutrient emissions.</w:t>
      </w:r>
    </w:p>
    <w:p>
      <w:pPr/>
      <w:r>
        <w:rPr>
          <w:b/>
        </w:rPr>
        <w:t>POSSIBLE 2023:</w:t>
      </w:r>
      <w:r>
        <w:t xml:space="preserve"> Towards an “Evaluation Dilemmas Model” – designing an evaluation scheme for a European capital of culture — https://doi.org/10.1108/aam-09-2021-0046</w:t>
      </w:r>
    </w:p>
    <w:p>
      <w:pPr/>
      <w:r>
        <w:rPr>
          <w:b/>
        </w:rPr>
        <w:t>Shared claim-specific concepts:</w:t>
      </w:r>
      <w:r>
        <w:t xml:space="preserve"> present, set, two; EU scope visible. This is a provisional connection, not an outcome finding.</w:t>
      </w:r>
    </w:p>
    <w:p>
      <w:pPr>
        <w:pStyle w:val="SourceNote"/>
      </w:pPr>
      <w:r>
        <w:rPr>
          <w:b/>
        </w:rPr>
        <w:t>Available abstract (not full text):</w:t>
      </w:r>
      <w:r>
        <w:t xml:space="preserve"> Purpose During the evaluation of European Capital of Culture (ECoC) Aarhus 2017, the evaluation organisation rethinkIMPACTS 2017 formulated a set of “dilemmas” capturing the main challenges arising during the design of the ECoC evaluation. This functioned as a framework for the evaluation process. This paper aims to present and discuss the relevance of the “Evaluation Dilemmas Model” as subsequently applied to the Galway 2020 ECoC programme evaluation. Design/methodology/approach The paper takes an empirical approach including auto-ethnography and interview data to document and map the dilemmas involved in undertaking an evaluation in two different European cities. Evolved via a process of practice-based research, the article addresses the development of and the arguments for the dilemmas model and considers its potential for wider applicability in the evaluation of large-scale cultural projects. Findings The authors conclude that the “Evaluation Dilemmas Model” is a valuable heuristic for considering the endogenous and exogenous issues in cultural evaluation. Practical implications The model developed is useful for a wide range of cultural evaluation processes including – but not limited to – European Capitals of Culture. Originality/value What has not been addressed in the academic literature is the process of evaluating ECoCs; especially how evaluators often take part in an </w:t>
      </w:r>
    </w:p>
    <w:p>
      <w:pPr/>
      <w:r>
        <w:rPr>
          <w:b/>
        </w:rPr>
        <w:t>POSSIBLE 2023:</w:t>
      </w:r>
      <w:r>
        <w:t xml:space="preserve"> Chemical Profile and Bioactivity Evaluation of Salvia Species from Eastern Europe — https://doi.org/10.3390/antiox12081514</w:t>
      </w:r>
    </w:p>
    <w:p>
      <w:pPr/>
      <w:r>
        <w:rPr>
          <w:b/>
        </w:rPr>
        <w:t>Shared claim-specific concepts:</w:t>
      </w:r>
      <w:r>
        <w:t xml:space="preserve"> present, evaluate, human; EU scope visible. This is a provisional connection, not an outcome finding.</w:t>
      </w:r>
    </w:p>
    <w:p>
      <w:pPr>
        <w:pStyle w:val="SourceNote"/>
      </w:pPr>
      <w:r>
        <w:rPr>
          <w:b/>
        </w:rPr>
        <w:t>Available abstract (not full text):</w:t>
      </w:r>
      <w:r>
        <w:t xml:space="preserve"> The Salvia genus comprises about 1000 species endowed with medicinal, aromatic, cosmetic, and ornamental applications. Even though the genus is one of the most-studied taxa of the Lamiaceae family, data on the chemical composition and biological properties of certain locally used Salvia species are still scarce. The present work aimed to evaluate the phytochemical profile and antimicrobial, antioxidant, and cytotoxic potential of ten Salvia species that grow in Eastern Europe (e.g., the Republic of Moldova). LC-HRMS/MS metabolite profiling allowed for the annotation of 15 phenolic and organic acids, 18 flavonoids, 19 diterpenes, 5 sesterpenes, and 2 triterpenes. Multivariate analysis (e.g., principal component analysis, hierarchical cluster analysis) revealed that S. austriaca, S. nutans, and S. officinalis formed individual clusters, whereas the remaining species had a similar composition. S. officinalis showed the highest activity against Staphylococcus aureus and Streptococcus pneumoniae (MIC = 0.625 mg/mL). As evaluated in DPPH, ABTS, and FRAP assays, S. officinalis was one of the most potent radical scavenging and metal-reducing agents (CE50 values of 25.33, 8.13, and 21.01 μg/mL, respectively), followed by S. verticillata, S. sclarea, S. kopetdaghensis, S. aethiopis, and S. tesquicola. Pearson correlation analysis revealed strong correlations with rosmarinic acid, luteoli</w:t>
      </w:r>
    </w:p>
    <w:p>
      <w:pPr/>
      <w:r>
        <w:rPr>
          <w:b/>
        </w:rPr>
        <w:t>POSSIBLE 2022:</w:t>
      </w:r>
      <w:r>
        <w:t xml:space="preserve"> Pollen-Based Maps of Past Regional Vegetation Cover in Europe Over 12 Millennia—Evaluation and Potential — https://doi.org/10.3389/fevo.2022.795794</w:t>
      </w:r>
    </w:p>
    <w:p>
      <w:pPr/>
      <w:r>
        <w:rPr>
          <w:b/>
        </w:rPr>
        <w:t>Shared claim-specific concepts:</w:t>
      </w:r>
      <w:r>
        <w:t xml:space="preserve"> present, evaluate, anthropogenic, human; EU scope visible. This is a provisional connection, not an outcome finding.</w:t>
      </w:r>
    </w:p>
    <w:p>
      <w:pPr>
        <w:pStyle w:val="SourceNote"/>
      </w:pPr>
      <w:r>
        <w:rPr>
          <w:b/>
        </w:rPr>
        <w:t>Available abstract (not full text):</w:t>
      </w:r>
      <w:r>
        <w:t xml:space="preserve"> Realistic and accurate reconstructions of past vegetation cover are necessary to study past environmental changes. This is important since the effects of human land-use changes (e.g. agriculture, deforestation and afforestation/reforestation) on biodiversity and climate are still under debate. Over the last decade, development, validation, and application of pollen-vegetation relationship models have made it possible to estimate plant abundance from fossil pollen data at both local and regional scales. In particular, the REVEALS model has been applied to produce datasets of past regional plant cover at 1° spatial resolution at large subcontinental scales (North America, Europe, and China). However, such reconstructions are spatially discontinuous due to the discrete and irregular geographical distribution of sites (lakes and peat bogs) from which fossil pollen records have been produced. Therefore, spatial statistical models have been developed to create continuous maps of past plant cover using the REVEALS-based land cover estimates. In this paper, we present the first continuous time series of spatially complete maps of past plant cover across Europe during the Holocene (25 time windows covering the period from 11.7 k BP to present). We use a spatial-statistical model for compositional data to interpolate REVEALS-based estimates of three major land-cover types (LCTs), i.e., e</w:t>
      </w:r>
    </w:p>
    <w:p>
      <w:pPr/>
      <w:r>
        <w:rPr>
          <w:b/>
        </w:rPr>
        <w:t>POSSIBLE 2020:</w:t>
      </w:r>
      <w:r>
        <w:t xml:space="preserve"> The Making of the New European Wind Atlas – Part 2: Production and evaluation — https://doi.org/10.5194/gmd-13-5079-2020</w:t>
      </w:r>
    </w:p>
    <w:p>
      <w:pPr/>
      <w:r>
        <w:rPr>
          <w:b/>
        </w:rPr>
        <w:t>Shared claim-specific concepts:</w:t>
      </w:r>
      <w:r>
        <w:t xml:space="preserve"> present, set, all, two; EU scope visible. This is a provisional connection, not an outcome finding.</w:t>
      </w:r>
    </w:p>
    <w:p>
      <w:pPr>
        <w:pStyle w:val="SourceNote"/>
      </w:pPr>
      <w:r>
        <w:rPr>
          <w:b/>
        </w:rPr>
        <w:t>Available abstract (not full text):</w:t>
      </w:r>
      <w:r>
        <w:t xml:space="preserve"> Abstract. This is the second of two papers that document the creation of the New European Wind Atlas (NEWA). In Part 1, we described the sensitivity experiments and accompanying evaluation done to arrive at the final mesoscale model setup used to produce the mesoscale wind atlas. In this paper, Part 2, we document how we made the final wind atlas product, covering both the production of the mesoscale climatology generated with the Weather Research and Forecasting (WRF) model and the microscale climatology generated with the Wind Atlas Analysis and Applications Program (WAsP). The paper includes a detailed description of the technical and practical aspects that went into running the mesoscale simulations and the downscaling using WAsP. We show the main results from the final wind atlas and present a comprehensive evaluation of each component of the NEWA model chain using observations from a large set of tall masts located all over Europe. The added value of the WRF and WAsP downscaling of wind climatologies is evaluated relative to the performance of the driving ERA5 reanalysis and shows that the WRF downscaling reduces the mean wind speed bias and spread relative to that of ERA5 from −1.50 ± 1.30 to 0.02 ± 0.78 ms−1. The WAsP downscaling has an added positive impact relative to that of the WRF model in simple terrain. In complex terrain, where the assumptions of the linearised </w:t>
      </w:r>
    </w:p>
    <w:p>
      <w:pPr/>
      <w:r>
        <w:rPr>
          <w:b/>
        </w:rPr>
        <w:t>POSSIBLE 2020:</w:t>
      </w:r>
      <w:r>
        <w:t xml:space="preserve"> Evidence for reducing cancer-specific mortality due to screening for breast cancer in Europe: A systematic review — https://doi.org/10.1016/j.ejca.2019.12.010</w:t>
      </w:r>
    </w:p>
    <w:p>
      <w:pPr/>
      <w:r>
        <w:rPr>
          <w:b/>
        </w:rPr>
        <w:t>Shared claim-specific concepts:</w:t>
      </w:r>
      <w:r>
        <w:t xml:space="preserve"> reducing, all, two; EU scope visible. This is a provisional connection, not an outcome finding.</w:t>
      </w:r>
    </w:p>
    <w:p>
      <w:pPr>
        <w:pStyle w:val="SourceNote"/>
      </w:pPr>
      <w:r>
        <w:rPr>
          <w:b/>
        </w:rPr>
        <w:t>Available abstract (not full text):</w:t>
      </w:r>
      <w:r>
        <w:t xml:space="preserve"> BACKGROUND: The aim of this study was to quantify the impact of organised mammography screening on breast cancer mortality across European regions. Therefore, a systematic review was performed including different types of studies from all European regions and stringently used clearly defined quality appraisal to summarise the best evidence. METHODS: Six databases were searched including Embase, Medline and Web of Science from inception to March 2018. To identify all eligible studies which assessed the effect of organised screening on breast cancer mortality, two reviewers independently applied predefined inclusion and exclusion criteria. Original studies in English with a minimum follow-up of five years that were randomised controlled trials (RCTs) or observational studies were included. The Cochrane risk of bias instrument and the Newcastle-Ottawa Scale were used to assess the risk of bias. RESULTS: Of the 5015 references initially retrieved, 60 were included in the final analysis. Those comprised 36 cohort studies, 17 case-control studies and 7 RCTs. None were from Eastern Europe. The quality of the included studies varied: Nineteen of these studies were of very good or good quality. Of those, the reduction in breast cancer mortality in attenders versus non-attenders ranged between 33% and 43% (Northern Europe), 43%-45% (Southern Europe) and 12%-58% (Western Europe). The esti</w:t>
      </w:r>
    </w:p>
    <w:p>
      <w:pPr/>
      <w:r>
        <w:rPr>
          <w:b/>
        </w:rPr>
        <w:t>POSSIBLE 2019:</w:t>
      </w:r>
      <w:r>
        <w:t xml:space="preserve"> Evaluation of data availability on population health indicators at the regional level across the European Union — https://doi.org/10.1186/s12963-019-0188-6</w:t>
      </w:r>
    </w:p>
    <w:p>
      <w:pPr/>
      <w:r>
        <w:rPr>
          <w:b/>
        </w:rPr>
        <w:t>Shared claim-specific concepts:</w:t>
      </w:r>
      <w:r>
        <w:t xml:space="preserve"> evaluate, set, all; EU scope visible. This is a provisional connection, not an outcome finding.</w:t>
      </w:r>
    </w:p>
    <w:p>
      <w:pPr>
        <w:pStyle w:val="SourceNote"/>
      </w:pPr>
      <w:r>
        <w:rPr>
          <w:b/>
        </w:rPr>
        <w:t>Available abstract (not full text):</w:t>
      </w:r>
      <w:r>
        <w:t xml:space="preserve"> BACKGROUND: The ability to measure regional health inequalities across Europe and to build adequate population health indices depends significantly on the availability of reliable and comparable data at the regional level. Within the scope of the EU-funded project EURO-HEALTHY, a Population Health Index (PHI) was built. This model aggregates 39 indicators considered relevant by experts and stakeholders to evaluate and monitor population health on the regional level within the European Union (269 regions). The aim of this research was to assess the data availability for those indicators. As a subsequent aim, an adequate protocol to overcome issues arising from missing data will be presented, as well as key messages for both national and European statistical authorities meant to improve data collection on population health. METHODS: The methodology for the study includes three consecutive phases: (i) assessing the data availability for the respective indicators at the regional level for the last year available (ii) applying a protocol for missing data and completing the database and (iii) developing a scoring system ranging from 0 (no data available; worst) to 1 (all data available; best) to evaluate the availability of data by indicator and EU region. RESULTS: Although the missing data on the set of the PHI indicators was significant, the mean availability score for the EURO-HEA</w:t>
      </w:r>
    </w:p>
    <w:p>
      <w:pPr/>
      <w:r>
        <w:rPr>
          <w:b/>
        </w:rPr>
        <w:t>POSSIBLE 2018:</w:t>
      </w:r>
      <w:r>
        <w:t xml:space="preserve"> The Evaluation of Implementation of Agricultural Sustainable Development Policy in the European Union — https://doi.org/10.22630/prs.2018.18.2.45</w:t>
      </w:r>
    </w:p>
    <w:p>
      <w:pPr/>
      <w:r>
        <w:rPr>
          <w:b/>
        </w:rPr>
        <w:t>Shared claim-specific concepts:</w:t>
      </w:r>
      <w:r>
        <w:t xml:space="preserve"> present, evaluate, set, two; EU scope visible. This is a provisional connection, not an outcome finding.</w:t>
      </w:r>
    </w:p>
    <w:p>
      <w:pPr>
        <w:pStyle w:val="SourceNote"/>
      </w:pPr>
      <w:r>
        <w:rPr>
          <w:b/>
        </w:rPr>
        <w:t>Available abstract (not full text):</w:t>
      </w:r>
      <w:r>
        <w:t xml:space="preserve"> Author tries to evaluate two elements of implementation of agricultural sustainable development policy in the European Union. Those elements are: “greening” and European innovation partnership. Greening is carried out by: crop diversification, maintenance of permanent grassland (PG), maintenance of ecological focus areas (EFA). Diversification of crops was carried out for three fourth of areas of arable lands in the EU. Diversification prevents soil erosion. Share of PG in the overall area of agricultural land in the EU is 29 %. The highest indicator is at present in the United Kingdom (90%), and the lowest in Cyprus, Malta, Denmark and Finland. From the set of actions maintaining the pro-environmental areas (EFA), the most popular were: setting aside (27 member states), and the least popular – afforestation (only 11 countries). When it comes to EFA area, the biggest share was the area for legume plants. New pro-environmental instrument is European Innovation Partnership for productive and sustainable agriculture. There has already been some results of this action in the EU countries.</w:t>
      </w:r>
    </w:p>
    <w:p>
      <w:pPr/>
      <w:r>
        <w:rPr>
          <w:b/>
        </w:rPr>
        <w:t>POSSIBLE 2017:</w:t>
      </w:r>
      <w:r>
        <w:t xml:space="preserve"> The role of humidity in determining scenarios of perceived temperature extremes in Europe — https://doi.org/10.1088/1748-9326/aa8cdd</w:t>
      </w:r>
    </w:p>
    <w:p>
      <w:pPr/>
      <w:r>
        <w:rPr>
          <w:b/>
        </w:rPr>
        <w:t>Shared claim-specific concepts:</w:t>
      </w:r>
      <w:r>
        <w:t xml:space="preserve"> present, evaluate, set, two, human, impacts; EU scope visible. This is a provisional connection, not an outcome finding.</w:t>
      </w:r>
    </w:p>
    <w:p>
      <w:pPr>
        <w:pStyle w:val="SourceNote"/>
      </w:pPr>
      <w:r>
        <w:rPr>
          <w:b/>
        </w:rPr>
        <w:t>Available abstract (not full text):</w:t>
      </w:r>
      <w:r>
        <w:t xml:space="preserve"> An increase of the 2 m temperature over Europe is expected within the current century.In order to consider health impacts, it is important to evaluate the combined effect of temperature and humidity on the human body.To achieve this, projections of a basic index-the humidex-representative of the perceived temperature, under different scenarios and periods, have been investigated.The simultaneous occurrence of observed extreme temperature events and perceived extreme temperature events is seldom found within the present climate, reinforcing the importance of investigating the combination of the two fields.A set of 10 km resolution regional climate simulations, provided within the EURO-CORDEX multi-model effort, demonstrates an ability in representing moderate to extreme events of perceived temperature over the present climate, and to be useful as a tool for quantifying future changes in geographical patterns of exposed areas over Europe.Following the RCP8.5 emission scenario, an expansion of the area subject to dangerous conditions is suggested from the middle of the current century, reaching 60 • N. The most significant increase of perceived extreme temperature conditions is found comparing the 2066-2095 projections to the 1976-2005 period; bearing in mind that changes in relative humidity may either amplify or offset the health effects of temperature, a less pronounced project</w:t>
      </w:r>
    </w:p>
    <w:p>
      <w:pPr/>
      <w:r>
        <w:rPr>
          <w:b/>
        </w:rPr>
        <w:t>POSSIBLE 2016:</w:t>
      </w:r>
      <w:r>
        <w:t xml:space="preserve"> Evaluation of European air quality modelled by CAMx including the volatility basis set scheme — https://doi.org/10.5194/acp-16-10313-2016</w:t>
      </w:r>
    </w:p>
    <w:p>
      <w:pPr/>
      <w:r>
        <w:rPr>
          <w:b/>
        </w:rPr>
        <w:t>Shared claim-specific concepts:</w:t>
      </w:r>
      <w:r>
        <w:t xml:space="preserve"> set, nitrogen, emissions, anthropogenic, all, two; EU scope visible. This is a provisional connection, not an outcome finding.</w:t>
      </w:r>
    </w:p>
    <w:p>
      <w:pPr>
        <w:pStyle w:val="SourceNote"/>
      </w:pPr>
      <w:r>
        <w:rPr>
          <w:b/>
        </w:rPr>
        <w:t>Available abstract (not full text):</w:t>
      </w:r>
      <w:r>
        <w:t xml:space="preserve"> Abstract. Four periods of EMEP (European Monitoring and Evaluation Programme) intensive measurement campaigns (June 2006, January 2007, September–October 2008 and February–March 2009) were modelled using the regional air quality model CAMx with VBS (Volatility Basis Set) approach for the first time in Europe within the framework of the EURODELTA-III model intercomparison exercise. More detailed analysis and sensitivity tests were performed for the period of February–March 2009 and June 2006 to investigate the uncertainties in emissions as well as to improve the modelling of organic aerosols (OA). Model performance for selected gas phase species and PM2.5 was evaluated using the European air quality database Airbase. Sulfur dioxide (SO2) and ozone (O3) were found to be overestimated for all the four periods with O3 having the largest mean bias during June 2006 and January–February 2007 periods (8.93 and 12.30 ppb mean biases, respectively). In contrast, nitrogen dioxide (NO2) and carbon monoxide (CO) were found to be underestimated for all the four periods. CAMx reproduced both total concentrations and monthly variations of PM2.5 very well for all the four periods with average biases ranging from −2.13 to 1.04 μg m-3. Comparisons with AMS (Aerosol Mass Spectrometer) measurements at different sites in Europe during February–March 2009, showed that in general the model over-predic</w:t>
      </w:r>
    </w:p>
    <w:p>
      <w:pPr/>
      <w:r>
        <w:rPr>
          <w:b/>
        </w:rPr>
        <w:t>POSSIBLE 2016:</w:t>
      </w:r>
      <w:r>
        <w:t xml:space="preserve"> Reassessing changes in diurnal temperature range: Intercomparison and evaluation of existing global data set estimates — https://doi.org/10.1002/2015jd024584</w:t>
      </w:r>
    </w:p>
    <w:p>
      <w:pPr/>
      <w:r>
        <w:rPr>
          <w:b/>
        </w:rPr>
        <w:t>Shared claim-specific concepts:</w:t>
      </w:r>
      <w:r>
        <w:t xml:space="preserve"> set, all, two; EU scope visible. This is a provisional connection, not an outcome finding.</w:t>
      </w:r>
    </w:p>
    <w:p>
      <w:pPr>
        <w:pStyle w:val="SourceNote"/>
      </w:pPr>
      <w:r>
        <w:rPr>
          <w:b/>
        </w:rPr>
        <w:t>Available abstract (not full text):</w:t>
      </w:r>
      <w:r>
        <w:t xml:space="preserve"> Abstract Changes in diurnal temperature range (DTR) over global land areas are compared from a broad range of independent data sets. All data sets agree that global‐mean DTR has decreased significantly since 1950, with most of that decrease occurring over 1960–1980. The since‐1979 trends are not significant, with inter‐data set disagreement even over the sign of global changes. Inter‐data set spread becomes greater regionally and in particular at the grid box level. Despite this, there is general agreement that DTR decreased in North America, Europe, and Australia since 1951, with this decrease being partially reversed over Australia and Europe since the early 1980s. There is substantive disagreement between data sets prior to the middle of the twentieth century, particularly over Europe, which precludes making any meaningful conclusions about DTR changes prior to 1950, either globally or regionally. Several variants that undertake a broad range of approaches to postprocessing steps of gridding and interpolation were analyzed for two of the data sets. These choices have a substantial influence in data sparse regions or periods. The potential of further insights is therefore inextricably linked with the efficacy of data rescue and digitization for maximum and minimum temperature series prior to 1950 everywhere and in data sparse regions throughout the period of record. Over Nort</w:t>
      </w:r>
    </w:p>
    <w:p>
      <w:pPr/>
      <w:r>
        <w:rPr>
          <w:b/>
        </w:rPr>
        <w:t>POSSIBLE 2016:</w:t>
      </w:r>
      <w:r>
        <w:t xml:space="preserve"> Reducing burden of disease from residential indoor air exposures in Europe (HEALTHVENT project) — https://doi.org/10.1186/s12940-016-0101-8</w:t>
      </w:r>
    </w:p>
    <w:p>
      <w:pPr/>
      <w:r>
        <w:rPr>
          <w:b/>
        </w:rPr>
        <w:t>Shared claim-specific concepts:</w:t>
      </w:r>
      <w:r>
        <w:t xml:space="preserve"> present, reducing, emissions, all; EU scope visible. This is a provisional connection, not an outcome finding.</w:t>
      </w:r>
    </w:p>
    <w:p>
      <w:pPr>
        <w:pStyle w:val="SourceNote"/>
      </w:pPr>
      <w:r>
        <w:rPr>
          <w:b/>
        </w:rPr>
        <w:t>Available abstract (not full text):</w:t>
      </w:r>
      <w:r>
        <w:t xml:space="preserve"> BACKGROUND: The annual burden of disease caused indoor air pollution, including polluted outdoor air used to ventilate indoor spaces, is estimated to correspond to a loss of over 2 million healthy life years in the European Union (EU). Based on measurements of the European Environment Agency (EEA), approximately 90 % of EU citizens live in areas where the World Health Organization (WHO) guidelines for air quality of particulate matter sized &lt; 2.5 mm (PM2.5) are not met. Since sources of pollution reside in both indoor and outdoor air, selecting the most appropriate ventilation strategy is not a simple and straightforward task. METHODS: A framework for developing European health-based ventilation guidelines was created in 2010-2013 in the EU-funded HEALTHVENT project. As a part of the project, the potential efficiency of control policies to health effects caused by residential indoor exposures of fine particulate matter (PM2.5), outdoor bioaerosols, volatile organic compounds (VOC), carbon oxide (CO) radon and dampness was estimated. The analysis was based on scenario comparison, using an outdoor-indoor mass-balance model and varying the ventilation rates. Health effects were estimated with burden of diseases (BoD) calculations taking into account asthma, cardiovascular (CV) diseases, acute toxication, respiratory infections, lung cancer and chronic obstructive pulmonary disease</w:t>
      </w:r>
    </w:p>
    <w:p>
      <w:pPr/>
      <w:r>
        <w:rPr>
          <w:b/>
        </w:rPr>
        <w:t>POSSIBLE 2015:</w:t>
      </w:r>
      <w:r>
        <w:t xml:space="preserve"> Histopathological evaluation of thrombus in patients presenting with stent thrombosis. A multicenter European study: a report of the prevention of late stent thrombosis by an interdisciplinary global European effort consortium — https://doi.org/10.1093/eurheartj/ehv419</w:t>
      </w:r>
    </w:p>
    <w:p>
      <w:pPr/>
      <w:r>
        <w:rPr>
          <w:b/>
        </w:rPr>
        <w:t>Shared claim-specific concepts:</w:t>
      </w:r>
      <w:r>
        <w:t xml:space="preserve"> present, evaluate, all; EU scope visible. This is a provisional connection, not an outcome finding.</w:t>
      </w:r>
    </w:p>
    <w:p>
      <w:pPr>
        <w:pStyle w:val="SourceNote"/>
      </w:pPr>
      <w:r>
        <w:rPr>
          <w:b/>
        </w:rPr>
        <w:t>Available abstract (not full text):</w:t>
      </w:r>
      <w:r>
        <w:t xml:space="preserve"> BACKGROUND: Stent thrombosis (ST) is a rare but serious complication following percutaneous coronary intervention. Analysis of thrombus composition from patients undergoing catheter thrombectomy may provide important insights into the pathological processes leading to thrombus formation. We performed a large-scale multicentre study to evaluate thrombus specimens in patients with ST across Europe. METHODS: Patients presenting with ST and undergoing thrombus aspiration were eligible for inclusion. Thrombus collection was performed according to a standardized protocol and specimens were analysed histologically at a core laboratory. Serial tissue cross sections were stained with haematoxylin-eosin (H&amp;E), Carstairs and Luna. Immunohistochemistry was performed to identify leukocyte subsets, prothrombotic neutrophil extracellular traps (NETs), erythrocytes, platelets, and fibrinogen. RESULTS: Overall 253 thrombus specimens were analysed; 79 (31.2%) from patients presenting with early ST, 174 (68.8%) from late ST; 79 (31.2%) were from bare metal stents, 166 (65.6%) from drug-eluting stents, 8 (3.2%) were from stents of unknown type. Thrombus specimens displayed heterogeneous morphology with platelet-rich thrombus and fibrin/fibrinogen fragments most abundant; mean platelet coverage was 57% of thrombus area. Leukocyte infiltrations were hallmarks of both early and late ST (early: 2260 ±</w:t>
      </w:r>
    </w:p>
    <w:p>
      <w:pPr>
        <w:pStyle w:val="Heading2"/>
      </w:pPr>
      <w:r>
        <w:t>929. Scenarios for renewable energy deployment in North African countries and electricity exchange with Europe – A modelbased analysis for 2050</w:t>
      </w:r>
    </w:p>
    <w:p>
      <w:pPr>
        <w:pStyle w:val="SourceNote"/>
      </w:pPr>
      <w:r>
        <w:rPr>
          <w:b/>
        </w:rPr>
        <w:t>Original source (2014):</w:t>
      </w:r>
      <w:r>
        <w:t xml:space="preserve"> https://doi.org/10.12720/sgce.3.3.299-306</w:t>
      </w:r>
    </w:p>
    <w:p>
      <w:pPr/>
      <w:r>
        <w:t>Original wording (abstract; indexed_source_text_not_full_document_verified): Deployment of renewable energy technologies in North Africa has large potentials for both, the coverage of the growing local electricity demand and for export of electricity to neighboring regions such as Europe.The presented research analyzes four scenarios with high shares of renewable energies in electricity generation (regional average 83-98%) in five North African countries and evaluates the opportunities and technical challenges for exchange of electricity within the region and with Europe.It was found that extensive grid reinforcements would be required to realize the presented scenarios.With respect to inner-regional transmission capacities in North Africa, results show that, depending on the scenario, about 90 % of the present grid would have to be expanded substantially in order to handle the expected transmission volumes in 2050.</w:t>
      </w:r>
    </w:p>
    <w:p>
      <w:pPr/>
      <w:r>
        <w:rPr>
          <w:b/>
        </w:rPr>
        <w:t>POSSIBLE 2026:</w:t>
      </w:r>
      <w:r>
        <w:t xml:space="preserve"> Renewable-energy deployment and electricity-system integration in the European Union — https://doi.org/10.1680/jener.26.00046</w:t>
      </w:r>
    </w:p>
    <w:p>
      <w:pPr/>
      <w:r>
        <w:rPr>
          <w:b/>
        </w:rPr>
        <w:t>Shared claim-specific concepts:</w:t>
      </w:r>
      <w:r>
        <w:t xml:space="preserve"> deployment, renewable, energy, electricity, generation; EU scope visible. This is a provisional connection, not an outcome finding.</w:t>
      </w:r>
    </w:p>
    <w:p>
      <w:pPr>
        <w:pStyle w:val="SourceNote"/>
      </w:pPr>
      <w:r>
        <w:rPr>
          <w:b/>
        </w:rPr>
        <w:t>Available abstract (not full text):</w:t>
      </w:r>
      <w:r>
        <w:t xml:space="preserve"> This study presents a comprehensive assessment of the European Union’s renewable energy transition, focusing on structural changes in electricity generation between 2015 and 2024. Using recent data from Eurostat and the International Renewable Energy Agency, the analysis shows that renewables reached 47.3% of total EU electricity generation in 2024, surpassing fossil fuels for the first time, largely driven by the rapid expansion of solar photovoltaic and wind energy. Despite this progress, achieving the EU’s enhanced 2030 target of 42.5% renewables and the global tripling pledge under COP28 remains challenging. Key barriers include limitations in grid integration, supply chain constraints, and slower decarbonisation in transport and heating sectors. This study highlights the need to move beyond capacity expansion towards a more integrated approach that emphasises system flexibility, sector coupling, and circular supply chains. It proposes a forward-looking policy framework that integrates technological, economic, and governance dimensions to support a resilient and climate-neutral energy system. The findings contribute to ongoing policy discussions by providing practical insights for advancing the next phase of the EU energy transition.</w:t>
      </w:r>
    </w:p>
    <w:p>
      <w:pPr/>
      <w:r>
        <w:rPr>
          <w:b/>
        </w:rPr>
        <w:t>POSSIBLE 2026:</w:t>
      </w:r>
      <w:r>
        <w:t xml:space="preserve"> Research Capacity, Scientific Collaboration, and Renewable- Energy Deployment Across Europe: A Longitudinal Systems Analysis — https://doi.org/10.3390/systems14101216</w:t>
      </w:r>
    </w:p>
    <w:p>
      <w:pPr/>
      <w:r>
        <w:rPr>
          <w:b/>
        </w:rPr>
        <w:t>Shared claim-specific concepts:</w:t>
      </w:r>
      <w:r>
        <w:t xml:space="preserve"> deployment, energy; EU scope visible. This is a provisional connection, not an outcome finding.</w:t>
      </w:r>
    </w:p>
    <w:p>
      <w:pPr>
        <w:pStyle w:val="SourceNote"/>
      </w:pPr>
      <w:r>
        <w:rPr>
          <w:b/>
        </w:rPr>
        <w:t>Available abstract (not full text):</w:t>
      </w:r>
      <w:r>
        <w:t xml:space="preserve"> Europe’s renewable-energy transition depends on interactions among scientific capability, institutions, investment, infrastructure, and resource conditions. This study examines whether national renewable-energy publication-based research activity and cross-country scientific collaboration are associated with subsequent renewable-electricity capacity development across Europe. A harmonised, database-defined Web of Science–Scopus corpus of 52,534 renewable-energy publications is integrated with population, GDP, and IRENA installed-capacity data for 2015–2025. Technology-specific publications per million inhabitants are related to subsequent changes in installed capacity per million inhabitants over one-, two-, and three-year horizons using country and year fixed effects with two-way clustered standard errors. For Total RES, point estimates are positive across all horizons (0.63, 1.99, and 3.96 MW per million inhabitants per additional publication per million inhabitants), but all primary 95% confidence intervals include zero. Technology-specific estimates are heterogeneous and imprecise. A complementary network analysis of 435 country pairs finds virtually no association between normalised scientific collaboration and similarity in deployment trajectories (Spearman ρ=−0.028). The analytical novelty of the study lies in integrating publication-based research activity, scientific-c</w:t>
      </w:r>
    </w:p>
    <w:p>
      <w:pPr/>
      <w:r>
        <w:rPr>
          <w:b/>
        </w:rPr>
        <w:t>POSSIBLE 2026:</w:t>
      </w:r>
      <w:r>
        <w:t xml:space="preserve"> Geopolitical risk and renewable energy capacity deployment: the moderating role of institutional quality in selected European Union economies — https://doi.org/10.17605/osf.io/b76ny</w:t>
      </w:r>
    </w:p>
    <w:p>
      <w:pPr/>
      <w:r>
        <w:rPr>
          <w:b/>
        </w:rPr>
        <w:t>Shared claim-specific concepts:</w:t>
      </w:r>
      <w:r>
        <w:t xml:space="preserve"> deployment, renewable, energy;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North Africa as an emerging green hydrogen hub: Algeria in focus — https://doi.org/10.1016/j.gerr.2026.100171</w:t>
      </w:r>
    </w:p>
    <w:p>
      <w:pPr/>
      <w:r>
        <w:rPr>
          <w:b/>
        </w:rPr>
        <w:t>Shared claim-specific concepts:</w:t>
      </w:r>
      <w:r>
        <w:t xml:space="preserve"> deployment, renewable, energy, north, africa, local; EU scope visible. This is a provisional connection, not an outcome finding.</w:t>
      </w:r>
    </w:p>
    <w:p>
      <w:pPr>
        <w:pStyle w:val="SourceNote"/>
      </w:pPr>
      <w:r>
        <w:rPr>
          <w:b/>
        </w:rPr>
        <w:t>Available abstract (not full text):</w:t>
      </w:r>
      <w:r>
        <w:t xml:space="preserve"> North Africa is emerging as a pivotal geoeconomic link in transcontinental energy flows across Europe, Asia, and Africa. This study evaluates the regional energy landscape, renewable resource endowment, and existing infrastructure in North Africa to identify key conditions enabling development of a green-hydrogen hub, with emphasis on Algeria as a core contributor to a trans-Mediterranean hydrogen corridor. The analysis shows that abundant solar and wind resources, proximity to European markets, and extensive natural gas pipeline and port systems create favorable conditions for cost-competitive green hydrogen production and large-scale export. The dense domestic gas network and existing trans-Mediterranean pipelines in Algeria provide practical pathways for hydrogen transport. However, the region faces persistent challenges, including slow renewable energy deployment, limited grid flexibility, and geopolitical uncertainty. The study concludes that realizing hydrogen potential in North Africa requires firm local industrial demand, coordinated regional governance, and long-term offtake agreements with shared infrastructure investments with the European Union. The findings support evidence-based development of the North Africa–Europe hydrogen corridor and design of regional energy strategies. • Abundant solar and wind resources support green hydrogen potential in North Africa. • T</w:t>
      </w:r>
    </w:p>
    <w:p>
      <w:pPr/>
      <w:r>
        <w:rPr>
          <w:b/>
        </w:rPr>
        <w:t>POSSIBLE 2026:</w:t>
      </w:r>
      <w:r>
        <w:t xml:space="preserve"> The European Union’s energy security based on renewables — https://doi.org/10.18559/978-83-8211-309-9/13</w:t>
      </w:r>
    </w:p>
    <w:p>
      <w:pPr/>
      <w:r>
        <w:rPr>
          <w:b/>
        </w:rPr>
        <w:t>Shared claim-specific concepts:</w:t>
      </w:r>
      <w:r>
        <w:t xml:space="preserve"> deployment, renewable, energy; EU scope visible. This is a provisional connection, not an outcome finding.</w:t>
      </w:r>
    </w:p>
    <w:p>
      <w:pPr>
        <w:pStyle w:val="SourceNote"/>
      </w:pPr>
      <w:r>
        <w:rPr>
          <w:b/>
        </w:rPr>
        <w:t>Available abstract (not full text):</w:t>
      </w:r>
      <w:r>
        <w:t xml:space="preserve"> Energy security is considered through the EU’s efforts to reduce dependence on imported fossil fuels by expanding renewables. The chapter reviews energy-security concepts, import-dependency patterns, post-2022 shifts in supplier relations, EU climate policy and supply chains for solar photovoltaics and wind turbines. Renewable energy can reduce exposure to imported gas, oil and coal, but it does not automatically remove dependency risks. Photovoltaic production is dominated by Chinese firms across raw materials, components and assembly, creating a new vulnerability for Europe. Wind energy offers a stronger European position because EU companies remain important turbine producers and assemblers. The chapter points to a broader resilience agenda: domestic technological capacity, supplier diversification, grid expansion, storage, recycling and sustainable lifecycle management must accompany renewable deployment.</w:t>
      </w:r>
    </w:p>
    <w:p>
      <w:pPr/>
      <w:r>
        <w:rPr>
          <w:b/>
        </w:rPr>
        <w:t>POSSIBLE 2025:</w:t>
      </w:r>
      <w:r>
        <w:t xml:space="preserve"> From energy dependency to energy security: How the war in Ukraine accelerated renewable deployment in Europe — https://doi.org/10.14254/2071-789x.2025/18-3/13</w:t>
      </w:r>
    </w:p>
    <w:p>
      <w:pPr/>
      <w:r>
        <w:rPr>
          <w:b/>
        </w:rPr>
        <w:t>Shared claim-specific concepts:</w:t>
      </w:r>
      <w:r>
        <w:t xml:space="preserve"> deployment, renewable, energy, technologies, both, electricity; EU scope visible. This is a provisional connection, not an outcome finding.</w:t>
      </w:r>
    </w:p>
    <w:p>
      <w:pPr>
        <w:pStyle w:val="SourceNote"/>
      </w:pPr>
      <w:r>
        <w:rPr>
          <w:b/>
        </w:rPr>
        <w:t>Available abstract (not full text):</w:t>
      </w:r>
      <w:r>
        <w:t xml:space="preserve"> The war in Ukraine has transformed Europe’s energy landscape, prompting urgent efforts to accelerate the transition to renewable energy in response to both security and climate imperatives. The aim of this research is to examine whether the geopolitical shock of 2022, together with associated sanctions, produced a measurable acceleration in renewable electricity deployment across European countries. Using panel data for 34 countries from 2014 to 2023, the study employs difference-in-differences, event study, and triple-difference models, which utilise Eurostat and World Bank data, and variables are normalised through Yeo–Johnson transformations. The results demonstrate a significant structural break in 2022. Aggregate renewable and waste capacity increased by 0.55 (p &lt; 0.001) on average, an effect that remained robust, though reduced to 0.16 (p &lt; 0.001), when country-specific trends were controlled for. Technology-specific estimates reveal firm heterogeneity: solar expanded most rapidly (1.30, p &lt; 0.001), wind capacity also rose (0.64, p &lt; 0.01), whereas hydropower exhibited only marginal gains (0.10, p ≈ 0.05) and biofuels showed no systematic change. A triple-difference specification confirms that post-2022 acceleration was concentrated in fast-deploying technologies, with a differential effect of 1.55 (p &lt; 0.001) compared to hydro and biofuels. These findings demonstrate tha</w:t>
      </w:r>
    </w:p>
    <w:p>
      <w:pPr/>
      <w:r>
        <w:rPr>
          <w:b/>
        </w:rPr>
        <w:t>POSSIBLE 2025:</w:t>
      </w:r>
      <w:r>
        <w:t xml:space="preserve"> Protectionism's adverse impact on renewable energy deployment: evidence from the European Union's import duties on China-made photovoltaic panels — https://doi.org/10.1016/j.enpol.2025.114789</w:t>
      </w:r>
    </w:p>
    <w:p>
      <w:pPr/>
      <w:r>
        <w:rPr>
          <w:b/>
        </w:rPr>
        <w:t>Shared claim-specific concepts:</w:t>
      </w:r>
      <w:r>
        <w:t xml:space="preserve"> deployment, renewable, energy, electricity, generation; EU scope visible. This is a provisional connection, not an outcome finding.</w:t>
      </w:r>
    </w:p>
    <w:p>
      <w:pPr>
        <w:pStyle w:val="SourceNote"/>
      </w:pPr>
      <w:r>
        <w:rPr>
          <w:b/>
        </w:rPr>
        <w:t>Available abstract (not full text):</w:t>
      </w:r>
      <w:r>
        <w:t xml:space="preserve"> Responding to the Paris Agreement on deep decarbonization, many countries have adopted industrial policies to promote their domestic manufacture of renewable energy equipment. If accompanied by protectionism, such policies impede renewable energy deployment that reduces the world's CO 2 emissions caused by production and consumption of fossil fuels. Using the quasi-natural experiment data for 36 OECD countries in 2011–2018, this paper econometrically documents the adverse impact of protectionism on renewable energy deployment based on the European Union's (EU's) anti-dumping and anti-subsidy import duties that took effect in December 2013 on China-made photovoltaic panels (CPP). Its key finding is that these duties had reduced the annual growth in the EU's solar energy share of total electricity generation. This statistically significant ( p -value ≤0.05) finding's policy implication is that had the EU not imposed these duties, its solar energy share growth could have been ∼0.7 % per year instead of the observed ∼0.2 % per year in the 2014–2018 period. The estimated difference of ∼0.5 % suggests an increase of ∼0.75 % in the EU electricity industry's CO 2 emissions. Thankfully, the EU's import duties on CPP expired at the end of 2018, thus eliminating one of the adverse effects of protectionism on the world's quest for a clean and sustainable electricity future. • Protectionism</w:t>
      </w:r>
    </w:p>
    <w:p>
      <w:pPr/>
      <w:r>
        <w:rPr>
          <w:b/>
        </w:rPr>
        <w:t>POSSIBLE 2025:</w:t>
      </w:r>
      <w:r>
        <w:t xml:space="preserve"> The Long‐term Socioeconomic Impacts of Renewable Energy Deployment: Lessons From Case Studies in European Rural Regions — https://doi.org/10.1111/jors.12775</w:t>
      </w:r>
    </w:p>
    <w:p>
      <w:pPr/>
      <w:r>
        <w:rPr>
          <w:b/>
        </w:rPr>
        <w:t>Shared claim-specific concepts:</w:t>
      </w:r>
      <w:r>
        <w:t xml:space="preserve"> deployment, renewable, energy, both, regions, energies; EU scope visible. This is a provisional connection, not an outcome finding.</w:t>
      </w:r>
    </w:p>
    <w:p>
      <w:pPr>
        <w:pStyle w:val="SourceNote"/>
      </w:pPr>
      <w:r>
        <w:rPr>
          <w:b/>
        </w:rPr>
        <w:t>Available abstract (not full text):</w:t>
      </w:r>
      <w:r>
        <w:t xml:space="preserve"> ABSTRACT The new environmental and geopolitical situation has led to the need for a change in the current energy model. The infrastructures associated with renewable energies may represent an opportunity for economic growth, employment generation, and population recovery in rural territories. This study evaluates the retrospective long‐term impacts that renewable energy installations have had on several rural regions in Europe. To that end, we develop a novel database on the annual installed capacity of renewables for European NUTS2 regions. This includes data on wind and photovoltaic energy, allowing us to capture both the scale and growth of renewable energy infrastructure over time in European regions. The data set spans multiple decades. Finally, we evaluate the socioeconomic effects these installations have on Europe's renewable energy capacity intensive rural regions analysing the different intra‐ and interregional impacts, using the Synthetic Control Method.</w:t>
      </w:r>
    </w:p>
    <w:p>
      <w:pPr/>
      <w:r>
        <w:rPr>
          <w:b/>
        </w:rPr>
        <w:t>POSSIBLE 2025:</w:t>
      </w:r>
      <w:r>
        <w:t xml:space="preserve"> Employment effects of the energy transition : renewable energy sources in Europe — https://doi.org/10.60644/9058</w:t>
      </w:r>
    </w:p>
    <w:p>
      <w:pPr/>
      <w:r>
        <w:rPr>
          <w:b/>
        </w:rPr>
        <w:t>Shared claim-specific concepts:</w:t>
      </w:r>
      <w:r>
        <w:t xml:space="preserve"> deployment, renewable, energy, both, local, electricity; EU scope visible. This is a provisional connection, not an outcome finding.</w:t>
      </w:r>
    </w:p>
    <w:p>
      <w:pPr>
        <w:pStyle w:val="SourceNote"/>
      </w:pPr>
      <w:r>
        <w:rPr>
          <w:b/>
        </w:rPr>
        <w:t>Available abstract (not full text):</w:t>
      </w:r>
      <w:r>
        <w:t xml:space="preserve"> The energy transition is a necessary response to climate change and its environmental consequences. In this thesis, I investigate the labour market implications of the energy transition; specifically, I examine how the deployment of renewable energy sources – measured as installed capacity for electricity generation – affects local employment in renewables in the member states of the European Union between 2017 and 2023, including both direct and indirect employment in renewable sources. Although renewables are job creators, an arising concern in switching to renewable energy is that most of the employment increase may not be in the country that installs the renewables. Thus, the purpose of this thesis is to uncover whether such an increase shows up on the country level, using a panel data approach that analyses countries over time, with country and time fixed effects and additional control variables. I compile a new dataset and examine total renewables, along with specific sources such as solar, wind and hydropower. I find that approximately two jobs are created for an additional MW of renewable capacity installed. Thus, my results imply a significantly positive effect of the deployment of renewable energy sources on local employment in renewables. However, to examine the net impact – which includes job losses from fossil fuels – additional research is needed. Overall, this th</w:t>
      </w:r>
    </w:p>
    <w:p>
      <w:pPr/>
      <w:r>
        <w:rPr>
          <w:b/>
        </w:rPr>
        <w:t>POSSIBLE 2025:</w:t>
      </w:r>
      <w:r>
        <w:t xml:space="preserve"> Faster deployment of renewables stabilizes electricity prices in Europe — https://doi.org/10.1038/s41560-025-01715-x</w:t>
      </w:r>
    </w:p>
    <w:p>
      <w:pPr/>
      <w:r>
        <w:rPr>
          <w:b/>
        </w:rPr>
        <w:t>Shared claim-specific concepts:</w:t>
      </w:r>
      <w:r>
        <w:t xml:space="preserve"> deployment, energy, electricity, generation; EU scope visible. This is a provisional connection, not an outcome finding.</w:t>
      </w:r>
    </w:p>
    <w:p>
      <w:pPr>
        <w:pStyle w:val="SourceNote"/>
      </w:pPr>
      <w:r>
        <w:rPr>
          <w:b/>
        </w:rPr>
        <w:t>Available abstract (not full text):</w:t>
      </w:r>
      <w:r>
        <w:t xml:space="preserve"> Increasing solar photovoltaic and wind generation capacity beyond European 2030 targets could make electricity prices more stable, with reductions in sensitivity to fluctuations in the price of natural gas possibly outweighing the increasing influence of weather effects. Energy policies should account for the macroeconomic benefits of more stable energy prices as an important motivation for the deployment of renewables, in addition to their contribution to the mitigation of climate change.</w:t>
      </w:r>
    </w:p>
    <w:p>
      <w:pPr/>
      <w:r>
        <w:rPr>
          <w:b/>
        </w:rPr>
        <w:t>POSSIBLE 2024:</w:t>
      </w:r>
      <w:r>
        <w:t xml:space="preserve"> Autarky penalty versus system cost effects for Europe of large-scale renewable energy imports from North Africa — https://doi.org/10.1016/j.esr.2023.101289</w:t>
      </w:r>
    </w:p>
    <w:p>
      <w:pPr/>
      <w:r>
        <w:rPr>
          <w:b/>
        </w:rPr>
        <w:t>Shared claim-specific concepts:</w:t>
      </w:r>
      <w:r>
        <w:t xml:space="preserve"> renewable, energy, north, africa, electricity; EU scope visible. This is a provisional connection, not an outcome finding.</w:t>
      </w:r>
    </w:p>
    <w:p>
      <w:pPr>
        <w:pStyle w:val="SourceNote"/>
      </w:pPr>
      <w:r>
        <w:rPr>
          <w:b/>
        </w:rPr>
        <w:t>Available abstract (not full text):</w:t>
      </w:r>
      <w:r>
        <w:t xml:space="preserve"> We quantify in more detail than earlier studies the cost trade-offs of establishing import-export links between Europe and North Africa for two quintessential energy carriers needed for the energy transition: electricity and hydrogen. Using the TIAM-ECN model, we show under what assumptions Europe will make a net energy system cost gain or, inversely, pay a net price for exploiting such interlinkages. We find that allowing for trade of renewable energy between Europe and North Africa substantially reduces the EU's domestic renewable energy capacity investments needed to implement its Green Deal and Fit for 55 Programme. In addition to creating import-export scenarios for electricity and hydrogen across the Mediterranean and investigating the cost implications of a European-African energy partnership until 2050, we perform a detailed sensitivity analysis regarding possible technological developments and sectoral shifts, as well as vis-à-vis potential cost, sectoral and technical asymmetries between Europe and North Africa. We introduce a new concept in energy analysis, autarky penalty, which is the price paid by a region for restricting energy trade with its neighbors. If domestic hydrogen production from solar and wind energy through electrolysis is constrained, Europe's autarky penalty may increase to 30 billion $ annually by 2050.</w:t>
      </w:r>
    </w:p>
    <w:p>
      <w:pPr/>
      <w:r>
        <w:rPr>
          <w:b/>
        </w:rPr>
        <w:t>POSSIBLE 2024:</w:t>
      </w:r>
      <w:r>
        <w:t xml:space="preserve"> Renewable energy, energy efficiency, and economic complexity in the middle East and North Africa: A panel data analysis — https://doi.org/10.1016/j.energy.2024.133300</w:t>
      </w:r>
    </w:p>
    <w:p>
      <w:pPr/>
      <w:r>
        <w:rPr>
          <w:b/>
        </w:rPr>
        <w:t>Shared claim-specific concepts:</w:t>
      </w:r>
      <w:r>
        <w:t xml:space="preserve"> renewable, energy, technologies, north, africa; EU scope not established. This is a provisional connection, not an outcome finding.</w:t>
      </w:r>
    </w:p>
    <w:p>
      <w:pPr>
        <w:pStyle w:val="SourceNote"/>
      </w:pPr>
      <w:r>
        <w:rPr>
          <w:b/>
        </w:rPr>
        <w:t>Available abstract (not full text):</w:t>
      </w:r>
      <w:r>
        <w:t xml:space="preserve"> This paper aims to investigate how economic complexity and structural transformation affect energy security. This study differs from previous research by focusing on energy efficiency and renewable energy transition as indicators of energy security. The employed methods include econometric techniques such as Panel-Corrected Standard Errors, Driscoll and Kraay's Spatial Correlation Consistent (SCC) method, and Generalized Least Squares, covering data from the Middle East and North Africa (MENA) countries between 1990 and 2017. The results show that economic complexity has a negative effect on energy efficiency but a positive impact on renewable energy. However, economic growth positively affects energy efficiency but negatively influences renewable energy. These results imply that economic complexity is energy-intensive but green, whereas economic growth is energy-saving but brown. The comparative analysis reveals that the negative effects of economic complexity and growth are larger than their positive effects, highlighting the necessity of restructuring economic activities and sectors. Accordingly, decision-makers should encourage the utilization of more energy-efficient technologies in economic activities and production, while promoting renewable energy consumption to enhance energy security in the MENA region. • Economic complexity is energy-intensive while promoting renewab</w:t>
      </w:r>
    </w:p>
    <w:p>
      <w:pPr>
        <w:pStyle w:val="Heading2"/>
      </w:pPr>
      <w:r>
        <w:t>930. Scenarios of water resources development in Poland up to 2030</w:t>
      </w:r>
    </w:p>
    <w:p>
      <w:pPr>
        <w:pStyle w:val="SourceNote"/>
      </w:pPr>
      <w:r>
        <w:rPr>
          <w:b/>
        </w:rPr>
        <w:t>Original source (2014):</w:t>
      </w:r>
      <w:r>
        <w:t xml:space="preserve"> https://doi.org/10.1134/s0097807814060219</w:t>
      </w:r>
    </w:p>
    <w:p>
      <w:pPr/>
      <w:r>
        <w:t>Original wording (abstract; indexed_source_text_not_full_document_verified): Sensitivity of the results of the applied techniques of development scenarios shows a need for further research.</w:t>
      </w:r>
    </w:p>
    <w:p>
      <w:pPr/>
      <w:r>
        <w:rPr>
          <w:b/>
        </w:rPr>
        <w:t>POSSIBLE 2026:</w:t>
      </w:r>
      <w:r>
        <w:t xml:space="preserve"> Modern Stochastic Techniques for Multifaceted Sensitivity Analysis — https://doi.org/10.3390/engproc2026150036</w:t>
      </w:r>
    </w:p>
    <w:p>
      <w:pPr/>
      <w:r>
        <w:rPr>
          <w:b/>
        </w:rPr>
        <w:t>Shared claim-specific concepts:</w:t>
      </w:r>
      <w:r>
        <w:t xml:space="preserve"> sensitivity, techniques, further; EU scope visible. This is a provisional connection, not an outcome finding.</w:t>
      </w:r>
    </w:p>
    <w:p>
      <w:pPr>
        <w:pStyle w:val="SourceNote"/>
      </w:pPr>
      <w:r>
        <w:rPr>
          <w:b/>
        </w:rPr>
        <w:t>Available abstract (not full text):</w:t>
      </w:r>
      <w:r>
        <w:t xml:space="preserve"> This paper introduces a sophisticated stochastic methodology grounded in a lattice rule featuring an optimized generating vector, which has been rigorously developed and comprehensively analyzed. At the heart of this investigation lies the Unified Danish Eulerian Model (UNI-DEM), an extensive large-scale mathematical framework designed to accurately capture the complex physical and chemical processes occurring within the atmosphere. The proposed lattice-based approach is systematically compared against state-of-the-art techniques, including the modified Sobol sequence and the Fibonacci lattice rule. The comparative analysis demonstrates the superiority of the proposed method in the estimation of high-dimensional integrals, highlighting its enhanced robustness and computational efficiency. These characteristics render it particularly well-suited for the computation of sensitivity indices, which are crucial for ensuring the reliability of scientific models. Furthermore, the study employs variance-based sensitivity analysis methods, notably the Sobol technique, to quantify the influence of input parameters on model outputs rigorously. A comprehensive experimental evaluation is undertaken, integrating advanced Monte Carlo algorithms in conjunction with stochastic scrambling strategies to further enhance computational performance. In addition, the research examines the effects of va</w:t>
      </w:r>
    </w:p>
    <w:p>
      <w:pPr/>
      <w:r>
        <w:rPr>
          <w:b/>
        </w:rPr>
        <w:t>POSSIBLE 2023:</w:t>
      </w:r>
      <w:r>
        <w:t xml:space="preserve"> Improving Diagnostic Sensitivity for Imbalanced Musculoskeletal Disorder Data: A Sensitivity-Based Multi-Sampling Technique for Osteoarthritis Prediction — https://doi.org/10.1101/2023.11.19.23298738</w:t>
      </w:r>
    </w:p>
    <w:p>
      <w:pPr/>
      <w:r>
        <w:rPr>
          <w:b/>
        </w:rPr>
        <w:t>Shared claim-specific concepts:</w:t>
      </w:r>
      <w:r>
        <w:t xml:space="preserve"> sensitivity, applied, techniques; EU scope not established. This is a provisional connection, not an outcome finding.</w:t>
      </w:r>
    </w:p>
    <w:p>
      <w:pPr>
        <w:pStyle w:val="SourceNote"/>
      </w:pPr>
      <w:r>
        <w:rPr>
          <w:b/>
        </w:rPr>
        <w:t>Available abstract (not full text):</w:t>
      </w:r>
      <w:r>
        <w:t xml:space="preserve"> ABSTRACT Background Medical datasets containing musculoskeletal disorders may have data imbalances due to the incidence of the disease, which may limit the predictive ability, such as the sensitivity, of musculoskeletal diagnostic prediction models built from these data. This study aimed to increase the sensitivity performance of osteoarthritis (OA) prediction when building a model by adjusting an OA imbalanced dataset using a sensitivity-based multi-sampling (SMS) technique. Methods OA Data were obtained from the Korea National Health and Nutrition Examination Survey (KNHANES). SMS technique combining oversampling and undersampling was applied to the imbalanced OA data, and the RandomForest algorithm was used for machine learning modeling. Model performance was evaluated based on accuracy, sensitivity, and specificity and compared with other hybrid sampling techniques. Result In the SMS technique, ADASYN, Borderline-SMOTE, SMOTE oversampling and ENN undersampling techniques were combined and applied. The OA prediction model using the SMS technique showed the highest sensitivity (82.20) but the lowest specificity (82.26) and accuracy (82.26) compared to other hybrid models. Conclusion SMS technique offers a potential solution for improving sensitivity performance for prediction models built on medical data imbalances due to low-incidence diseases. Nonetheless, caution is warran</w:t>
      </w:r>
    </w:p>
    <w:p>
      <w:pPr/>
      <w:r>
        <w:rPr>
          <w:b/>
        </w:rPr>
        <w:t>POSSIBLE 2022:</w:t>
      </w:r>
      <w:r>
        <w:t xml:space="preserve"> A simplified seasonal forecasting strategy, applied to wind and solar power in Europe — https://doi.org/10.1016/j.cliser.2022.100318</w:t>
      </w:r>
    </w:p>
    <w:p>
      <w:pPr/>
      <w:r>
        <w:rPr>
          <w:b/>
        </w:rPr>
        <w:t>Shared claim-specific concepts:</w:t>
      </w:r>
      <w:r>
        <w:t xml:space="preserve"> applied, further; EU scope visible. This is a provisional connection, not an outcome finding.</w:t>
      </w:r>
    </w:p>
    <w:p>
      <w:pPr>
        <w:pStyle w:val="SourceNote"/>
      </w:pPr>
      <w:r>
        <w:rPr>
          <w:b/>
        </w:rPr>
        <w:t>Available abstract (not full text):</w:t>
      </w:r>
      <w:r>
        <w:t xml:space="preserve"> We demonstrate levels of skill for forecasts of seasonal-mean wind speed and solar irradiance in Europe, using seasonal forecast systems available from the Copernicus Climate Change Service (C3S). While skill is patchy, there is potential for the development of climate services for the energy sector. Following previous studies, we show that, where there is skill, a simple linear regression-based method using the hindcast and forecast ensemble means provides a straightforward approach for producing calibrated probabilistic seasonal forecasts. This method extends naturally to using a larger-scale feature of the climate, such as the North Atlantic Oscillation, as the climate model predictor, and we show that this provides opportunities to improve the skill in some cases. We further demonstrate that, on seasonal-average and regional (e.g. national) average scales, wind and solar power generation are highly correlated with single climate variables (wind speed and irradiance). The detailed non-linear transformations from meteorological quantities to energy quantities, which are essential for detailed simulation of power system operations, are usually not necessary when forecasting gross wind or solar generation potential at seasonal-mean regional-mean scales. Together, our results demonstrate that where there is skill in seasonal forecasts of wind speed and irradiance, or a correlate</w:t>
      </w:r>
    </w:p>
    <w:p>
      <w:pPr/>
      <w:r>
        <w:rPr>
          <w:b/>
        </w:rPr>
        <w:t>POSSIBLE 2022:</w:t>
      </w:r>
      <w:r>
        <w:t xml:space="preserve"> Use of data mining techniques to explain the primary factors influencing water sensitivity of asphalt mixtures — https://doi.org/10.1016/j.conbuildmat.2022.128039</w:t>
      </w:r>
    </w:p>
    <w:p>
      <w:pPr/>
      <w:r>
        <w:rPr>
          <w:b/>
        </w:rPr>
        <w:t>Shared claim-specific concepts:</w:t>
      </w:r>
      <w:r>
        <w:t xml:space="preserve"> sensitivity, applied, techniques; EU scope visible. This is a provisional connection, not an outcome finding.</w:t>
      </w:r>
    </w:p>
    <w:p>
      <w:pPr>
        <w:pStyle w:val="SourceNote"/>
      </w:pPr>
      <w:r>
        <w:rPr>
          <w:b/>
        </w:rPr>
        <w:t>Available abstract (not full text):</w:t>
      </w:r>
      <w:r>
        <w:t xml:space="preserve"> The water sensitivity of asphalt mixtures affects the durability of the pavements, and it depends on several parameters related to its composition (aggregates and binder) and the production and application processes. One of the main parameters used in the European Standards to measure the water sensitivity of asphalt mixtures is the indirect tensile strength ratio (ITSR). Therefore, this work aims to obtain a predictive model of ITSR of asphalt mixtures using several parameters that affect water sensitivity and assess their relative importance. The database used to develop the model comprises thirteen parameters collected from one hundred sixty different asphalt mixtures. Data Mining techniques were applied to process the data using Multiple Regression, Artificial Neural Networks, and Support Vector Machines (SVM). The different metrics analysed showed that SVM is the best predictive model of the ITSR (mean absolute deviation of 0.116, root mean square error of 0.150 and Pearson correlation coefficient of 0.667). The application of a sensitivity analysis indicates that the binder content is the parameter that most influences the water sensitivity of asphalt mixtures (26%). However, this property depends simultaneously on other factors such as the characteristics of the coarse and fine aggregates (24.9%), asphalt binder characteristics (19.3%) and the use of additives (10%).</w:t>
      </w:r>
    </w:p>
    <w:p>
      <w:pPr/>
      <w:r>
        <w:rPr>
          <w:b/>
        </w:rPr>
        <w:t>POSSIBLE 2022:</w:t>
      </w:r>
      <w:r>
        <w:t xml:space="preserve"> Shifting sensitivity of septoria tritici blotch compromises field performance and yield of main fungicides in Europe — https://doi.org/10.3389/fpls.2022.1060428</w:t>
      </w:r>
    </w:p>
    <w:p>
      <w:pPr/>
      <w:r>
        <w:rPr>
          <w:b/>
        </w:rPr>
        <w:t>Shared claim-specific concepts:</w:t>
      </w:r>
      <w:r>
        <w:t xml:space="preserve"> sensitivity, applied, shows, need, further; EU scope visible. This is a provisional connection, not an outcome finding.</w:t>
      </w:r>
    </w:p>
    <w:p>
      <w:pPr>
        <w:pStyle w:val="SourceNote"/>
      </w:pPr>
      <w:r>
        <w:rPr>
          <w:b/>
        </w:rPr>
        <w:t>Available abstract (not full text):</w:t>
      </w:r>
      <w:r>
        <w:t xml:space="preserve"> Septoria tritici blotch (STB; Zymoseptoria tritici) is a severe leaf disease on wheat in Northern Europe. Fungicide resistance in the populations of Z. tritici is increasingly challenging future control options. Twenty-five field trials were carried out in nine countries across Europe from 2019 to 2021 to investigate the efficacy of specific DMI and SDHI fungicides against STB. During the test period, two single DMIs (prothioconazole and mefentrifluconazole) and four different SDHIs (fluxapyroxad, bixafen, benzovindiflupyr and fluopyram) along with different co-formulations of DMIs and SDHIs applied at flag leaf emergence were tested. Across all countries, significant differences in azole performances against STB were seen; prothioconazole was outperformed in all countries by mefentrifluconazole. The effects also varied substantially between the SDHIs, with fluxapyroxad providing the best efficacy overall, while the performance of fluopyram was inferior to other SDHIs. In Ireland and the UK, the efficacy of SDHIs was significantly lower compared with results from continental Europe. This reduction in performances from both DMIs and SDHIs was reflected in yield responses and also linked to decreased sensitivity of Z. tritici isolates measured as EC50 values. A clear and significant gradient in EC50 values was seen across Europe. The lower sensitivity to SDHIs in Ireland and the </w:t>
      </w:r>
    </w:p>
    <w:p>
      <w:pPr/>
      <w:r>
        <w:rPr>
          <w:b/>
        </w:rPr>
        <w:t>POSSIBLE 2022:</w:t>
      </w:r>
      <w:r>
        <w:t xml:space="preserve"> Invasive round goby shows higher sensitivity to salinization than native European perch — https://doi.org/10.3897/neobiota.75.86528</w:t>
      </w:r>
    </w:p>
    <w:p>
      <w:pPr/>
      <w:r>
        <w:rPr>
          <w:b/>
        </w:rPr>
        <w:t>Shared claim-specific concepts:</w:t>
      </w:r>
      <w:r>
        <w:t xml:space="preserve"> sensitivity, shows, further; EU scope visible. This is a provisional connection, not an outcome finding.</w:t>
      </w:r>
    </w:p>
    <w:p>
      <w:pPr>
        <w:pStyle w:val="SourceNote"/>
      </w:pPr>
      <w:r>
        <w:rPr>
          <w:b/>
        </w:rPr>
        <w:t>Available abstract (not full text):</w:t>
      </w:r>
      <w:r>
        <w:t xml:space="preserve"> Salinity is an influential abiotic environmental factor in aquatic species, specifically in freshwater, where salinization causes ecosystem degradation. Secondary salinization, that is increases in salinity due to anthropogenic activities, can affect both osmoregulation and behaviour in freshwater fishes. It is generally believed that invasive species handle climatic change and environmental degradation better than native species, which is one reason for their invasion success. However, how invasive and native species cope with salinity changes remains little understood. Therefore, we investigated how low (500 µS/cm) and high salinity (2000 µS/cm) conditions affected oxygen consumption and behaviour in the invasive round goby (Neogobius melanostomus) and the native European perch (Perca fluviatilis). Our results showed that in round goby oxygen consumption increased and swimming and non-swimming movements changed in response to salinity increments, whereas European perch was not affected by salinity. Thus, it seems as if the invasive round goby is more sensitive to changes in salinity than the native European perch. Our results fit with the minority of studies indicating invasive species being less tolerant than some native species to environmental changes. This finding could be explained by the adaptation of round goby to low salinity due to its long establishment in River Rhi</w:t>
      </w:r>
    </w:p>
    <w:p>
      <w:pPr/>
      <w:r>
        <w:rPr>
          <w:b/>
        </w:rPr>
        <w:t>POSSIBLE 2021:</w:t>
      </w:r>
      <w:r>
        <w:t xml:space="preserve"> Sensitivity and Uncertainty of the FLORIS Model Applied on the Lillgrund Wind Farm — https://doi.org/10.3390/en14051293</w:t>
      </w:r>
    </w:p>
    <w:p>
      <w:pPr/>
      <w:r>
        <w:rPr>
          <w:b/>
        </w:rPr>
        <w:t>Shared claim-specific concepts:</w:t>
      </w:r>
      <w:r>
        <w:t xml:space="preserve"> sensitivity, applied, shows; EU scope not established. This is a provisional connection, not an outcome finding.</w:t>
      </w:r>
    </w:p>
    <w:p>
      <w:pPr>
        <w:pStyle w:val="SourceNote"/>
      </w:pPr>
      <w:r>
        <w:rPr>
          <w:b/>
        </w:rPr>
        <w:t>Available abstract (not full text):</w:t>
      </w:r>
      <w:r>
        <w:t xml:space="preserve"> Wind farms experience significant efficiency losses due to the aerodynamic interaction between turbines. A possible control technique to minimize these losses is yaw-based wake steering. This paper investigates the potential for improved performance of the Lillgrund wind farm through a detailed calibration of a low-fidelity engineering model aimed specifically at yaw-based wake steering. The importance of each model parameter is assessed through a sensitivity analysis. This work shows that the model is overparameterized as at least one model parameter can be excluded from the calibration. The performance of the calibrated model is tested through an uncertainty analysis, which showed that the model has a significant bias but low uncertainty when comparing the predicted wake losses with measured wake losses. The model is used to optimize the annual energy production of the Lillgrund wind farm by determining yaw angles for specific inflow conditions. A significant energy gain is found when the optimal yaw angles are calculated deterministically. However, the energy gain decreases drastically when uncertainty in input conditions is included. More robust yaw angles can be obtained when the input uncertainty is taken into account during the optimization, which yields an energy gain of approximately 3.4%.</w:t>
      </w:r>
    </w:p>
    <w:p>
      <w:pPr/>
      <w:r>
        <w:rPr>
          <w:b/>
        </w:rPr>
        <w:t>POSSIBLE 2021:</w:t>
      </w:r>
      <w:r>
        <w:t xml:space="preserve"> A sequential calibration technique to improve IRI using TEC estimates of the GNSS network in Europe — https://doi.org/10.5194/egusphere-egu21-4190</w:t>
      </w:r>
    </w:p>
    <w:p>
      <w:pPr/>
      <w:r>
        <w:rPr>
          <w:b/>
        </w:rPr>
        <w:t>Shared claim-specific concepts:</w:t>
      </w:r>
      <w:r>
        <w:t xml:space="preserve"> sensitivity, applied, techniques; EU scope visible. This is a provisional connection, not an outcome finding.</w:t>
      </w:r>
    </w:p>
    <w:p>
      <w:pPr>
        <w:pStyle w:val="SourceNote"/>
      </w:pPr>
      <w:r>
        <w:rPr>
          <w:b/>
        </w:rPr>
        <w:t>Available abstract (not full text):</w:t>
      </w:r>
      <w:r>
        <w:t xml:space="preserve"> The development of space-geodetic observation techniques has brought out a wide range of applications such as positioning and navigation, where the Global Navigation Satellite System (GNSS) is the main tools to provide surveying measurements in these applications. Though GNSS signals enable the calculation of receiver's position, some errors restrict their accuracy. Among these errors, the ionospheric delay is considered as an important error source in the Standard Point Positioning (SPP) applications. Empirical ionospheric models such as Klobuchar, International Reference Ionosphere (IRI), and NeQuick are often applied for computing the Total Electron Content (TEC) within ionosphere and its equivalent delays. However the simulation and forecasting skills of these models are limited due to the simplified model structures and model sensitivity to the calibration period. In this study, we present a novel sequential Calibration approach based on the Ensemble Kalman Filter (C-EnKF) to improve the performance of TEC estimations for SPP applications. To demonstrate the results, the IRI model is used as our basis and the TEC estimates from 56 IGS stations in Europe are applied as observation. The C-EnKF is applied to calibrate some selected model parameter so that IRI can be tuned over Europe. The numerical assessments are performed against the TEC estimates from dual frequency GNSS m</w:t>
      </w:r>
    </w:p>
    <w:p>
      <w:pPr/>
      <w:r>
        <w:rPr>
          <w:b/>
        </w:rPr>
        <w:t>POSSIBLE 2021:</w:t>
      </w:r>
      <w:r>
        <w:t xml:space="preserve"> Reshaping Europe in complex Covid-19 times Need for cultural sensitivity in the European reconstruction process — https://doi.org/10.51149/roea.1.2021.1</w:t>
      </w:r>
    </w:p>
    <w:p>
      <w:pPr/>
      <w:r>
        <w:rPr>
          <w:b/>
        </w:rPr>
        <w:t>Shared claim-specific concepts:</w:t>
      </w:r>
      <w:r>
        <w:t xml:space="preserve"> sensitivity, need; EU scope visible. This is a provisional connection, not an outcome finding.</w:t>
      </w:r>
    </w:p>
    <w:p>
      <w:pPr>
        <w:pStyle w:val="SourceNote"/>
      </w:pPr>
      <w:r>
        <w:rPr>
          <w:b/>
        </w:rPr>
        <w:t>Available abstract (not full text):</w:t>
      </w:r>
      <w:r>
        <w:t xml:space="preserve"> The main aim of the article is to argue for a values-driven and cultural sensitivity approach in responding to the current challenges for a true European integration process, made even more necessary with the Covid-19 pandemic. In particular, the paper proposes a number of reflections and policy suggestions on the need of reshaping Europe in the turbulent Covid-19 times. In doing so, a four-section approach is adopted. The first section puts the European future in perspective. It refers to the historical development of the integration process from a mainly economic project to a sui generis international organisation and briefly overviews the current challenges and opportunities faced by the European Union. The second section identifies two major fundamental guiding lines for the EU’s future: the strengthening of a values-oriented European future, and development of a true European citizenship. The third section emphasises European solidarity as one of the crucial aspects of a sustainable and values-driven European future. This is especially evident in the necessarily cross-border approach to the Corona pandemic. The final section argues for cultural sensitivity in the EU reconstruction process in dealing with the Covid-19 crisis.</w:t>
      </w:r>
    </w:p>
    <w:p>
      <w:pPr/>
      <w:r>
        <w:rPr>
          <w:b/>
        </w:rPr>
        <w:t>POSSIBLE 2021:</w:t>
      </w:r>
      <w:r>
        <w:t xml:space="preserve"> Probabilistic Inverse Method for Source Localization Applied to ETEX and the 2017 Case of Ru-106 including Analyses of Sensitivity to Measurement Data — https://doi.org/10.3390/atmos12121567</w:t>
      </w:r>
    </w:p>
    <w:p>
      <w:pPr/>
      <w:r>
        <w:rPr>
          <w:b/>
        </w:rPr>
        <w:t>Shared claim-specific concepts:</w:t>
      </w:r>
      <w:r>
        <w:t xml:space="preserve"> sensitivity, applied, need; EU scope visible. This is a provisional connection, not an outcome finding.</w:t>
      </w:r>
    </w:p>
    <w:p>
      <w:pPr>
        <w:pStyle w:val="SourceNote"/>
      </w:pPr>
      <w:r>
        <w:rPr>
          <w:b/>
        </w:rPr>
        <w:t>Available abstract (not full text):</w:t>
      </w:r>
      <w:r>
        <w:t xml:space="preserve"> In recent years, cases of unexplained, elevated levels of radioactive particles have demonstrated an increasing need for efficient and robust source localization methods. In this study, a Bayesian method for source localization is developed and applied to two cases. First, the method is validated against the European tracer experiment (ETEX) and then applied to the still unaccounted for release of Ru-106 in the fall of 2017. The ETEX dataset, however, differs significantly from the Ru-106 dataset with regard to time resolution and the distance from the release site to the nearest measurements. Therefore, sensitivity analyses are conducted in order to test the method’s sensitivity to these parameters. The analyses show that the resulting source localization depends on both the observed temporal resolution and the existence of sampling stations close to the source. However, the method is robust, in the sense that reducing the amount of information in the dataset merely reduces the accuracy, and hence, none of the results are contradictory. When applied to the Ru-106 case, the results indicate that the Southern Ural region is the most plausible release area, and, as hypothesized by other studies, that the Mayak nuclear facility is the most likely release location.</w:t>
      </w:r>
    </w:p>
    <w:p>
      <w:pPr/>
      <w:r>
        <w:rPr>
          <w:b/>
        </w:rPr>
        <w:t>POSSIBLE 2020:</w:t>
      </w:r>
      <w:r>
        <w:t xml:space="preserve"> Sensitivity Analysis in Probabilistic Structural Design: A Comparison of Selected Techniques — https://doi.org/10.3390/su12114788</w:t>
      </w:r>
    </w:p>
    <w:p>
      <w:pPr/>
      <w:r>
        <w:rPr>
          <w:b/>
        </w:rPr>
        <w:t>Shared claim-specific concepts:</w:t>
      </w:r>
      <w:r>
        <w:t xml:space="preserve"> sensitivity, applied, techniques; EU scope not established. This is a provisional connection, not an outcome finding.</w:t>
      </w:r>
    </w:p>
    <w:p>
      <w:pPr>
        <w:pStyle w:val="SourceNote"/>
      </w:pPr>
      <w:r>
        <w:rPr>
          <w:b/>
        </w:rPr>
        <w:t>Available abstract (not full text):</w:t>
      </w:r>
      <w:r>
        <w:t xml:space="preserve"> Although more and more reliability-oriented sensitivity analysis (ROSA) techniques are now available, review and comparison articles of ROSA are absent. In civil engineering, many of the latest indices have never been used to analyse structural reliability for very small failure probability. This article aims to analyse and compare different sensitivity analysis (SA) techniques and discusses their strengths and weaknesses. For this purpose, eight selected sensitivity indices are first described and then applied in two different test cases. Four ROSA type indices are directly oriented on the failure probability or reliability index beta, and four other indices (of a different type) are oriented on the output of the limit state function. The case study and results correspond to cases under common engineering assumptions, where only two independent input variables with Gaussian distribution of the load action and the resistance are applied in the ultimate limit state. The last section of the article is dedicated to the analysis of the different results. Large differences between first-order sensitivity indices and very strong interaction effects obtained from ROSA are observed for very low values of failure probability. The obtained numerical results show that ROSA methods lack a common platform that clearly interprets the relationship of indices to their information value. This p</w:t>
      </w:r>
    </w:p>
    <w:p>
      <w:pPr/>
      <w:r>
        <w:rPr>
          <w:b/>
        </w:rPr>
        <w:t>POSSIBLE 2019:</w:t>
      </w:r>
      <w:r>
        <w:t xml:space="preserve"> An experimental sensitivity comparison of the schlieren and background-oriented schlieren techniques applied to hypersonic flow — https://doi.org/10.1088/1361-6501/ab1582</w:t>
      </w:r>
    </w:p>
    <w:p>
      <w:pPr/>
      <w:r>
        <w:rPr>
          <w:b/>
        </w:rPr>
        <w:t>Shared claim-specific concepts:</w:t>
      </w:r>
      <w:r>
        <w:t xml:space="preserve"> sensitivity, applied, techniques; EU scope not established. This is a provisional connection, not an outcome finding.</w:t>
      </w:r>
    </w:p>
    <w:p>
      <w:pPr>
        <w:pStyle w:val="SourceNote"/>
      </w:pPr>
      <w:r>
        <w:rPr>
          <w:b/>
        </w:rPr>
        <w:t>Available abstract (not full text):</w:t>
      </w:r>
      <w:r>
        <w:t xml:space="preserve"> Abstract An experimental study was performed to evaluate the spatial resolution, sensitivity and dynamic range of schlieren and background-oriented schlieren (BOS) applied to hypersonic flows with multiple density gradients. For a single Mach number, shock profile extracts for three values of freestream density are compared. Three processing metrics are proposed for BOS to optimise the sharpness of captured shocks and minimise processing blur are presented. The BOS results have a lower spatial resolution and sharpness than the schlieren images, but captured the model flow field features that were resolved by schlieren. A higher dynamic range was afforded for BOS due to the user-determined synthetic knife edge cut-off.</w:t>
      </w:r>
    </w:p>
    <w:p>
      <w:pPr>
        <w:pStyle w:val="Heading2"/>
      </w:pPr>
      <w:r>
        <w:t>931. Securing a bioenergy future without imports</w:t>
      </w:r>
    </w:p>
    <w:p>
      <w:pPr>
        <w:pStyle w:val="SourceNote"/>
      </w:pPr>
      <w:r>
        <w:rPr>
          <w:b/>
        </w:rPr>
        <w:t>Original source (2014):</w:t>
      </w:r>
      <w:r>
        <w:t xml:space="preserve"> https://doi.org/10.1016/j.enpol.2013.11.079</w:t>
      </w:r>
    </w:p>
    <w:p>
      <w:pPr/>
      <w:r>
        <w:t>Original wording (abstract; indexed_source_text_not_full_document_verified): The model shows that indigenous biomass resources and energy crops could service up to 44% of UK energy demand by 2050 without impacting food systems. The scenarios show, residues from agriculture, forestry and industry provide the most robust resource, potentially providing up to 6.5% of primary energy demand by 2050.</w:t>
      </w:r>
    </w:p>
    <w:p>
      <w:pPr/>
      <w:r>
        <w:rPr>
          <w:b/>
        </w:rPr>
        <w:t>POSSIBLE 2026:</w:t>
      </w:r>
      <w:r>
        <w:t xml:space="preserve"> Indigenous Pastoral Counseling Model in the Evangelical Christian Church in Halmahera — https://doi.org/10.64753/jcasc.v11i1.4299</w:t>
      </w:r>
    </w:p>
    <w:p>
      <w:pPr/>
      <w:r>
        <w:rPr>
          <w:b/>
        </w:rPr>
        <w:t>Shared claim-specific concepts:</w:t>
      </w:r>
      <w:r>
        <w:t xml:space="preserve"> indigenous, resources; EU scope not established. This is a provisional connection, not an outcome finding.</w:t>
      </w:r>
    </w:p>
    <w:p>
      <w:pPr>
        <w:pStyle w:val="SourceNote"/>
      </w:pPr>
      <w:r>
        <w:rPr>
          <w:b/>
        </w:rPr>
        <w:t>Available abstract (not full text):</w:t>
      </w:r>
      <w:r>
        <w:t xml:space="preserve"> This research aimed to explore indigenous pastoral counseling practices in the Evangelical Christian Church in Halmahera, focusing on the integration of local cultural values into the process. The main problems identified were the lack of counseling approach contextual to local culture, as well as challenges such as limited resources and stigma regarding psychological problems. Specifically, this research mapped existing pastoral counseling practices, identified local cultural elements, and developed an effective indigenous model. A qualitative case study design was used to collect data through in-depth interviews with church leaders, pastoral counselors, and congregation members, as well as participant observation and document analysis. The results showed that integrating local cultural values, such as in-depth dialogue, family and community inclusion, as well as the use of cultural rituals and symbols, increased the effectiveness of pastoral counseling. This approach helped the congregation feel more holistically connected and supported. However, challenges such as limited resources and stigma remained barriers. A critical discussion connected the result to theories of culture-based counseling, emphasizing the importance of a holistic approach that integrated spiritual, psychological, and social aspects. The development of an indigenous pastoral counseling model contextualize</w:t>
      </w:r>
    </w:p>
    <w:p>
      <w:pPr/>
      <w:r>
        <w:rPr>
          <w:b/>
        </w:rPr>
        <w:t>POSSIBLE 2025:</w:t>
      </w:r>
      <w:r>
        <w:t xml:space="preserve"> TRANSFORMATIVE EMBODIMENT IN INDIGENOUS DANCES: TOWARDS A PERFORMATIVE SUSTAINABILITY MODEL — https://doi.org/10.52152/7cnmbj06</w:t>
      </w:r>
    </w:p>
    <w:p>
      <w:pPr/>
      <w:r>
        <w:rPr>
          <w:b/>
        </w:rPr>
        <w:t>Shared claim-specific concepts:</w:t>
      </w:r>
      <w:r>
        <w:t xml:space="preserve"> indigenous, resources, show; EU scope not established. This is a provisional connection, not an outcome finding.</w:t>
      </w:r>
    </w:p>
    <w:p>
      <w:pPr>
        <w:pStyle w:val="SourceNote"/>
      </w:pPr>
      <w:r>
        <w:rPr>
          <w:b/>
        </w:rPr>
        <w:t>Available abstract (not full text):</w:t>
      </w:r>
      <w:r>
        <w:t xml:space="preserve"> The study proposes a novel Performative Sustainability Model based on the analysis of meanings of symbols present in the Bukidnon Dances using Charles Sanders Peirce’ Semiotic Theory. The findings show that the symbols common in Bukidnon Indigenous are the foot, hand, head, and body movements of the dancers; the distance between them and the materials they use such as white and red cloths, and spear. These symbols represent the movements of certain animals in Mt. Kitanglad and the cultural practices of as courtship, rituals, war, and weaving. Animals being mimicked in the indigenous dances are found in the air, the trees, the waters, and the land. The cultural practices imitated in the dance movements are usually performed in reverence to guardians of nature, utilization of natural resources, natural tendencies of choosing purity and peace. The dances’ mimesis to the elements of nature signifies recognition and respect to the guardians of nature, and failing to perform these activities means the absence of guidance and providence. It means that the indigenous dances communicate the interdependence between animals and people on nature and transform attitude towards the environment. Based on this, a Performative Sustainability Model (PSM) is proposed. This research outcome offers a significant contribution to the area of environmental sustainability through art and culture as exe</w:t>
      </w:r>
    </w:p>
    <w:p>
      <w:pPr/>
      <w:r>
        <w:rPr>
          <w:b/>
        </w:rPr>
        <w:t>POSSIBLE 2023:</w:t>
      </w:r>
      <w:r>
        <w:t xml:space="preserve"> Indigenous Mentorship for the Health Sciences: An Appraisal of a Contemporary Model by Indigenous Stakeholders — https://doi.org/10.1080/10401334.2023.2230577</w:t>
      </w:r>
    </w:p>
    <w:p>
      <w:pPr/>
      <w:r>
        <w:rPr>
          <w:b/>
        </w:rPr>
        <w:t>Shared claim-specific concepts:</w:t>
      </w:r>
      <w:r>
        <w:t xml:space="preserve"> indigenous, primary; EU scope not established. This is a provisional connection, not an outcome finding.</w:t>
      </w:r>
    </w:p>
    <w:p>
      <w:pPr>
        <w:pStyle w:val="SourceNote"/>
      </w:pPr>
      <w:r>
        <w:rPr>
          <w:b/>
        </w:rPr>
        <w:t>Available abstract (not full text):</w:t>
      </w:r>
      <w:r>
        <w:t xml:space="preserve"> Construct: In 2021, Murry et al. put forward a model of Indigenous mentorship within the health sciences based on the behaviors of Indigenous mentors toward their Indigenous mentees. This study explored mentees’ endorsements and/or criticisms of the IM model and how IM constructs and behaviors described in the model benefited them. Background: Models of Indigenous mentorship have been developed previously yet have not yet been empirically examined, restricting our ability to measure or make claims as to their consequences, correlates, and antecedents. Approach: Interviews with six Indigenous mentees asked about their: 1) resonance with the model, 2) stories related to mentors’ behaviors, 3) perceived benefits of their mentors’ behaviors on their journey, and 4) components they felt were missing from the model. Data were analyzed using qualitative content analysis. Findings: Overall, the model resonated with participants. Mentees told stories about mentors engaging in the IM constructs practicing relationalism most frequently, followed by fostering Indigenous identity development, utilizing a mentee-centered focus, and imbuing criticality, advocacy, and abiding by Indigenous ethics. Benefits included improved career and work attitudes, motivation, and overall well-being, engaging in helping behaviors, and enhanced criticality. Recommendations to expand the model included incorpo</w:t>
      </w:r>
    </w:p>
    <w:p>
      <w:pPr/>
      <w:r>
        <w:rPr>
          <w:b/>
        </w:rPr>
        <w:t>POSSIBLE 2023:</w:t>
      </w:r>
      <w:r>
        <w:t xml:space="preserve"> A systematic review of modeling approaches for flexible energy resources — https://doi.org/10.1016/j.rser.2023.113541</w:t>
      </w:r>
    </w:p>
    <w:p>
      <w:pPr/>
      <w:r>
        <w:rPr>
          <w:b/>
        </w:rPr>
        <w:t>Shared claim-specific concepts:</w:t>
      </w:r>
      <w:r>
        <w:t xml:space="preserve"> shows, resources, energy, systems; EU scope not established. This is a provisional connection, not an outcome finding.</w:t>
      </w:r>
    </w:p>
    <w:p>
      <w:pPr>
        <w:pStyle w:val="SourceNote"/>
      </w:pPr>
      <w:r>
        <w:rPr>
          <w:b/>
        </w:rPr>
        <w:t>Available abstract (not full text):</w:t>
      </w:r>
      <w:r>
        <w:t xml:space="preserve"> Due to increasing amounts of energy being supplied by intermittent renewable energy sources, future energy systems need to be able to react flexibly to sudden changes. To address this challenge, a large body of research is devoted to improving the utilization of energy flexibility of various types of energy resources on the supply and demand side. This is commonly done by applying mathematical models. The objective of this paper is to review such models and identify common modeling approaches used to quantify and optimize the use of flexible energy resources. The literature review is conducted systematically, encompassing 215 publications that feature 694 models of different energy resources. The main distinction of this work, in comparison to other reviews on the topic of energy flexibility lies in its focus on the mathematical formulation of models of energy resources and the quantification of the models’ level of detail. The aim is to identify common modeling approaches and the corresponding research problems they address. The review shows that the majority of research efforts are directed towards the management and optimization of distributed energy resources. The most commonly employed modeling approach involves abstract black-box models with limited levels of detail. Linear programming and meta-heuristics are frequently used to optimize energy flexibility. A critical refl</w:t>
      </w:r>
    </w:p>
    <w:p>
      <w:pPr/>
      <w:r>
        <w:rPr>
          <w:b/>
        </w:rPr>
        <w:t>POSSIBLE 2023:</w:t>
      </w:r>
      <w:r>
        <w:t xml:space="preserve"> Indigenous Technology Empowerment Model: A Community-based Design Framework — https://doi.org/10.1109/ice/itmc58018.2023.10332432</w:t>
      </w:r>
    </w:p>
    <w:p>
      <w:pPr/>
      <w:r>
        <w:rPr>
          <w:b/>
        </w:rPr>
        <w:t>Shared claim-specific concepts:</w:t>
      </w:r>
      <w:r>
        <w:t xml:space="preserve"> shows, indigenous, systems; EU scope not established. This is a provisional connection, not an outcome finding.</w:t>
      </w:r>
    </w:p>
    <w:p>
      <w:pPr>
        <w:pStyle w:val="SourceNote"/>
      </w:pPr>
      <w:r>
        <w:rPr>
          <w:b/>
        </w:rPr>
        <w:t>Available abstract (not full text):</w:t>
      </w:r>
      <w:r>
        <w:t xml:space="preserve"> This paper addresses the lack of social and cultural inclusion in the design of systems and products based on emerging technologies. Through a review of existing design processes, and focusing on Virtual Reality (VR) and Indigenous Peoples as examples, we conclude that existing design approaches for such technologies are not socially and culturally inclusive, don’t consider users as a community with its protocols and knowledge, and are not suitable for marginalized groups such as Indigenous Peoples. Through a collaborative project aiming at a prototype VR gathering place for Indigenous communities, we investigate the needs and concerns of community members and propose a framework consisting of a new information system model and its design process. We refer to this framework as Indigenous Technology Empowerment Model (ITEM), which is implemented using a hierarchical community involvement approach and elements we call Participatory Action Unit (PAU). Our prototype development follows this framework, and a qualitative analysis of community participation shows the initial success of our approach in empowering the communities to play an active role in the design process and identify the important technical features to be worked on. Our research also identifies proper community training as an essential component of a community-based design process.</w:t>
      </w:r>
    </w:p>
    <w:p>
      <w:pPr/>
      <w:r>
        <w:rPr>
          <w:b/>
        </w:rPr>
        <w:t>POSSIBLE 2023:</w:t>
      </w:r>
      <w:r>
        <w:t xml:space="preserve"> Environmental Conservation Policy Model Based on the Protection of Indigenous Peoples in Indonesia — https://doi.org/10.47268/sasi.v29i1.1274</w:t>
      </w:r>
    </w:p>
    <w:p>
      <w:pPr/>
      <w:r>
        <w:rPr>
          <w:b/>
        </w:rPr>
        <w:t>Shared claim-specific concepts:</w:t>
      </w:r>
      <w:r>
        <w:t xml:space="preserve"> indigenous, resources, show, provide, primary; EU scope not established. This is a provisional connection, not an outcome finding.</w:t>
      </w:r>
    </w:p>
    <w:p>
      <w:pPr>
        <w:pStyle w:val="SourceNote"/>
      </w:pPr>
      <w:r>
        <w:rPr>
          <w:b/>
        </w:rPr>
        <w:t>Available abstract (not full text):</w:t>
      </w:r>
      <w:r>
        <w:t xml:space="preserve"> Introduction: Indigenous peoples are an order of society that existed even before the Indonesian nation was born. The Indonesian state recognizes the existence of indigenous peoples and their rights. The legal protection of indigenous peoples is the responsibility of the state as mandated by the constitution and other relevant laws and regulations regarding the management of natural resources. However, there are still conflicts between indigenous peoples, the government, and companies that have received management permits from the government.Purposes of the Research: This study aims to review and provide a policy model formulation regarding the protection of indigenous peoples in the context of environmental conservation.Methods of the Research: Researchers use normative legal research methods that examine through a statutory approach and a case approach. Legal materials are obtained through literature studies, both primary and secondary legal materials that are relevant to the problem under study.Results of the Research: The results show that currently the arrangements that are a form of recognition and protection of indigenous peoples are still scattered in many laws and regulations. Even though it has been regulated, the arrangement is still not enough, so a policy model for the protection of indigenous peoples is needed that also firmly provides protection in the context of</w:t>
      </w:r>
    </w:p>
    <w:p>
      <w:pPr/>
      <w:r>
        <w:rPr>
          <w:b/>
        </w:rPr>
        <w:t>POSSIBLE 2022:</w:t>
      </w:r>
      <w:r>
        <w:t xml:space="preserve"> Remote sensing, snow modelling, survey data and Indigenous Knowledge show how snow and sea-ice conditions affect Peary caribou (Rangifer tarandus pearyi) distribution and inter-island and island–mainland movements — https://doi.org/10.33265/polar.v41.7964</w:t>
      </w:r>
    </w:p>
    <w:p>
      <w:pPr/>
      <w:r>
        <w:rPr>
          <w:b/>
        </w:rPr>
        <w:t>Shared claim-specific concepts:</w:t>
      </w:r>
      <w:r>
        <w:t xml:space="preserve"> shows, indigenous, show; EU scope not established. This is a provisional connection, not an outcome finding.</w:t>
      </w:r>
    </w:p>
    <w:p>
      <w:pPr>
        <w:pStyle w:val="SourceNote"/>
      </w:pPr>
      <w:r>
        <w:rPr>
          <w:b/>
        </w:rPr>
        <w:t>Available abstract (not full text):</w:t>
      </w:r>
      <w:r>
        <w:t xml:space="preserve"> Accelerated warming of the Arctic has reduced sea ice and has increased the occurrence of winter extreme events like rain-on-snow and storms that impact snow-cover densification, affecting Peary caribou (Rangifer tarandus pearyi) seasonal movements and grazing conditions. We used caribou movements between Banks, Melville and Victoria islands and mainland Canada, documented from Indigenous Knowledge, to assess whether spatiotemporal trends in sea-ice anomalies (1983–2019) can be used as an indicator of caribou movement. We used the SNOWPACK model to evaluate how foraging conditions (as indexed by simulated snow properties) contribute to the prediction of caribou presence. Our results suggest that changes in sea-ice anomalies over time have impacted caribou crossings between islands: caribou no longer use areas with less sea ice whilst they continue to use areas with more sea ice. Our model evaluation shows that, when the simulated snow conditions are paired with other environmental variables, the ability of models to predict Peary caribou occurrence on land was enhanced across Banks and Melville islands. Overall, the land models suggest that caribou are more likely to occupy areas with lower density of snow accumulation and a majority of forb tundra with dwarf shrubs for Banks Island and cryptogam tundra, rush and grass for the Melville Island Complex. Our results suggest that f</w:t>
      </w:r>
    </w:p>
    <w:p>
      <w:pPr/>
      <w:r>
        <w:rPr>
          <w:b/>
        </w:rPr>
        <w:t>POSSIBLE 2022:</w:t>
      </w:r>
      <w:r>
        <w:t xml:space="preserve"> NONLINEAR GROWTH MODELS FOR INDIGENOUS VIETNAMESE RI CHICKEN — https://doi.org/10.36899/japs.2022.6.0562</w:t>
      </w:r>
    </w:p>
    <w:p>
      <w:pPr/>
      <w:r>
        <w:rPr>
          <w:b/>
        </w:rPr>
        <w:t>Shared claim-specific concepts:</w:t>
      </w:r>
      <w:r>
        <w:t xml:space="preserve"> indigenous, industry; EU scope not established. This is a provisional connection, not an outcome finding.</w:t>
      </w:r>
    </w:p>
    <w:p>
      <w:pPr>
        <w:pStyle w:val="SourceNote"/>
      </w:pPr>
      <w:r>
        <w:rPr>
          <w:b/>
        </w:rPr>
        <w:t>Available abstract (not full text):</w:t>
      </w:r>
      <w:r>
        <w:t xml:space="preserve"> Chicken growth performance is an important economic trait, so finding the growth curve is essential for the chicken industry including indigenous chicken. Vietnam has many different native chicken breeds and Ri is one of the most famous native chickens. The objective of this study was to find out the best model to estimate the growth of Ri chicken. The body weight of 358 Ri chicken was measured every week until week 20 of age and growth data was analyzed in R using six mathematical functions (Bertalanffy, Bridges, Janoschek, Gompertz, Logistic, and Richards). The results showed that the best models to describe the growth of Ri males and females were Gompertz and Bridges, respectively. The upper asymptotic body weight (α) was estimated for males from 2,130 g (Logistic) to 2,600 g (Bertalanffy), whereas this α value for females was from 1,500 g (Logistic) and 1,816 g (Bertalanffy). Age at the start of the growth acceleration phase was estimated from 2.80 to 3.90 weeks for males and from 2.00 to 3.30 weeks for females. The inflection point for males (7.54 to 9.72 weeks of age) was higher than for females (7.10 to 9.43 weeks of age). Age at the end of the growth deceleration phase was estimated from 16.65 to 24.80 weeks for males and from 12.70 to 25.15 weeks for females. In conclusion, the best model for reporting the Ri chickens’ growth curve was the Gompertz for males and Bridge</w:t>
      </w:r>
    </w:p>
    <w:p>
      <w:pPr/>
      <w:r>
        <w:rPr>
          <w:b/>
        </w:rPr>
        <w:t>POSSIBLE 2021:</w:t>
      </w:r>
      <w:r>
        <w:t xml:space="preserve"> A robust model for aggregated bidding of energy storages and wind resources in the joint energy and reserve markets — https://doi.org/10.1016/j.energy.2021.121735</w:t>
      </w:r>
    </w:p>
    <w:p>
      <w:pPr/>
      <w:r>
        <w:rPr>
          <w:b/>
        </w:rPr>
        <w:t>Shared claim-specific concepts:</w:t>
      </w:r>
      <w:r>
        <w:t xml:space="preserve"> resources, energy, service, show, robust, resource; EU scope not established. This is a provisional connection, not an outcome finding.</w:t>
      </w:r>
    </w:p>
    <w:p>
      <w:pPr>
        <w:pStyle w:val="SourceNote"/>
      </w:pPr>
      <w:r>
        <w:rPr>
          <w:b/>
        </w:rPr>
        <w:t>Available abstract (not full text):</w:t>
      </w:r>
      <w:r>
        <w:t xml:space="preserve"> The high reliability and flexibility of Battery Energy Storage (BES) resources in comparison with other renewable technologies promote the development of this technology in smart grids. The fast response of BES to load variations could help the power system operators to maintain the balance of generation and consumption in real-time, and improve the flexibility of the smart grid, effectively. In this work, a new model is presented that determines the aggregated scheduling of BES and Wind Power Resource (WPR) in the joint energy and reserve markets. To evaluate the performance of BES in different markets, the proposed model is divided into day-ahead and real-time planning horizons. According to market prices, ramp rates, marginal costs, and technical constraints of units, the optimal participation levels in different markets are determined. The deployed power in real-time and wind power are considered as the uncertain parameters and the Robust Optimization (RO) framework is proposed to manage the related financial risk based on the worst-case realizations of uncertain parameters. The robust strategy is formulated based on the Mixed Integer Linear Programming (MILP) technique, which can be solved via the branch-and-bound method. Finally, the performance and effectiveness of the model are analyzed via different case studies. Simulation results show that the day-ahead and real-time</w:t>
      </w:r>
    </w:p>
    <w:p>
      <w:pPr/>
      <w:r>
        <w:rPr>
          <w:b/>
        </w:rPr>
        <w:t>POSSIBLE 2021:</w:t>
      </w:r>
      <w:r>
        <w:t xml:space="preserve"> Modelling and Characterisation of Flexibility From Distributed Energy Resources — https://doi.org/10.1109/tpwrs.2021.3096971</w:t>
      </w:r>
    </w:p>
    <w:p>
      <w:pPr/>
      <w:r>
        <w:rPr>
          <w:b/>
        </w:rPr>
        <w:t>Shared claim-specific concepts:</w:t>
      </w:r>
      <w:r>
        <w:t xml:space="preserve"> resources, energy; EU scope not established. This is a provisional connection, not an outcome finding.</w:t>
      </w:r>
    </w:p>
    <w:p>
      <w:pPr>
        <w:pStyle w:val="SourceNote"/>
      </w:pPr>
      <w:r>
        <w:rPr>
          <w:b/>
        </w:rPr>
        <w:t>Available abstract (not full text):</w:t>
      </w:r>
      <w:r>
        <w:t xml:space="preserve"> Harnessing flexibility from distributed energy resources (DER) to participate in various markets while accounting for relevant technical and commercial constraints is essential for the development of low-carbon grids. However, there is no clear definition or even description of the salient features of aggregated DER flexibility, including its steady-state and dynamic features and how these are impacted by network constraints and market requirements. This paper proposes a comprehensive DER flexibility modelling and characterisation framework that is based on the concept ofnodal operating envelope(NOE). In particular, capacity, ramp, duration and cost are identified as key flexibility metrics and associated with different but consistent NOEs describingcapability,feasibility,ramp,duration,economic,technicalandcommercial flexibilityfeatures. These NOEs, which conceptually arise from a Venn diagram, can be built via optimal power flow (OPF) analysis, visualised in the active-reactive power space, and used by different stakeholders. Results from a canonical test system and a real distribution system illustrate the value and applicability of the proposed framework to model and characterise provision of flexibility and market services from DER for different use cases.</w:t>
      </w:r>
    </w:p>
    <w:p>
      <w:pPr/>
      <w:r>
        <w:rPr>
          <w:b/>
        </w:rPr>
        <w:t>POSSIBLE 2021:</w:t>
      </w:r>
      <w:r>
        <w:t xml:space="preserve"> Optimal Operation of Energy Hubs With Large-Scale Distributed Energy Resources for Distribution Network Congestion Management — https://doi.org/10.1109/tste.2021.3064375</w:t>
      </w:r>
    </w:p>
    <w:p>
      <w:pPr/>
      <w:r>
        <w:rPr>
          <w:b/>
        </w:rPr>
        <w:t>Shared claim-specific concepts:</w:t>
      </w:r>
      <w:r>
        <w:t xml:space="preserve"> resources, energy, systems, show, provide; EU scope not established. This is a provisional connection, not an outcome finding.</w:t>
      </w:r>
    </w:p>
    <w:p>
      <w:pPr>
        <w:pStyle w:val="SourceNote"/>
      </w:pPr>
      <w:r>
        <w:rPr>
          <w:b/>
        </w:rPr>
        <w:t>Available abstract (not full text):</w:t>
      </w:r>
      <w:r>
        <w:t xml:space="preserve"> Congestion problems might occur in distribution networks as the penetration of distributed energy resources (DERs) progresses. This study focuses on the complementarity of multiple energy resources in energy hubs (EHs) to solve possible distribution network congestions. First, we consider an EH in which combined cooling, heating and power (CCHP) units and heat pumps are integrated with renewable energy resources. The EH models the intrinsic coupling relationship among various energy carriers, forming a flexible operation where electricity, natural gas, cooling and heat can complement each other. Next, an optimal operation strategy of multiple energy hubs enables gas-to-electricity to provide local energy supply for EH during electricity peak periods, and consume renewable energy generation by the complementarity of electricity, heat and cooling. In addition, the uncertainty of renewable energy resources is taken into account via scenario-based stochastic programming. Numerical results show that the proposed operation strategy explores EHs' operation flexibility to mitigate distribution network congestion when we consider high renewable energy penetration in power systems.</w:t>
      </w:r>
    </w:p>
    <w:p>
      <w:pPr/>
      <w:r>
        <w:rPr>
          <w:b/>
        </w:rPr>
        <w:t>POSSIBLE 2021:</w:t>
      </w:r>
      <w:r>
        <w:t xml:space="preserve"> Exploring the driving forces of distributed energy resources in China: Using a semiparametric regression model — https://doi.org/10.1016/j.energy.2021.121452</w:t>
      </w:r>
    </w:p>
    <w:p>
      <w:pPr/>
      <w:r>
        <w:rPr>
          <w:b/>
        </w:rPr>
        <w:t>Shared claim-specific concepts:</w:t>
      </w:r>
      <w:r>
        <w:t xml:space="preserve"> resources, energy; EU scope not established. This is a provisional connection, not an outcome finding.</w:t>
      </w:r>
    </w:p>
    <w:p>
      <w:pPr>
        <w:pStyle w:val="SourceNote"/>
      </w:pPr>
      <w:r>
        <w:rPr>
          <w:b/>
        </w:rPr>
        <w:t>Available abstract (not full text):</w:t>
      </w:r>
      <w:r>
        <w:t xml:space="preserve"> Unavailable</w:t>
      </w:r>
    </w:p>
    <w:p>
      <w:pPr>
        <w:pStyle w:val="Heading2"/>
      </w:pPr>
      <w:r>
        <w:t>932. Shaping science policy in Europe</w:t>
      </w:r>
    </w:p>
    <w:p>
      <w:pPr>
        <w:pStyle w:val="SourceNote"/>
      </w:pPr>
      <w:r>
        <w:rPr>
          <w:b/>
        </w:rPr>
        <w:t>Original source (2014):</w:t>
      </w:r>
      <w:r>
        <w:t xml:space="preserve"> https://doi.org/10.1016/j.molonc.2014.03.013</w:t>
      </w:r>
    </w:p>
    <w:p>
      <w:pPr/>
      <w:r>
        <w:t>Original wording (abstract; indexed_source_text_not_full_document_verified): The creation of such Scientific Panel should be viewed as an important contribution by the biomedical community as a major political agreement has been reached on the need for a comprehensive and long-term scientific strategy to accelerate research and facilitate innovation at EU level.</w:t>
      </w:r>
    </w:p>
    <w:p>
      <w:pPr/>
      <w:r>
        <w:rPr>
          <w:b/>
        </w:rPr>
        <w:t>POSSIBLE 2025:</w:t>
      </w:r>
      <w:r>
        <w:t xml:space="preserve"> Economic, technological and environmental drivers of the circular economy in the European Union: a panel data analysis — https://doi.org/10.1186/s12302-025-01119-4</w:t>
      </w:r>
    </w:p>
    <w:p>
      <w:pPr/>
      <w:r>
        <w:rPr>
          <w:b/>
        </w:rPr>
        <w:t>Shared claim-specific concepts:</w:t>
      </w:r>
      <w:r>
        <w:t xml:space="preserve"> panel, need, comprehensive, innovation; EU scope visible. This is a provisional connection, not an outcome finding.</w:t>
      </w:r>
    </w:p>
    <w:p>
      <w:pPr>
        <w:pStyle w:val="SourceNote"/>
      </w:pPr>
      <w:r>
        <w:rPr>
          <w:b/>
        </w:rPr>
        <w:t>Available abstract (not full text):</w:t>
      </w:r>
      <w:r>
        <w:t xml:space="preserve"> The circular economy has become a strategic priority in the European Union, aiming to reduce dependence on finite natural resources and promote a sustainable economic model. This study investigates the key factors influencing the use of circular materials in the European Union between 2010 and 2022, considering the impact of global challenges such as the coronavirus pandemic, the energy crisis, and geopolitical tensions. Unlike previous research, this study integrates economic, technological, and environmental dimensions, with a particular focus on the role of digital transformation as a catalyst for circularity. The research applies an econometric model based on the analysis of panel data to explore the interconnections between resource productivity, recycling rates, private sector investment, digitalization, and expenditures on research and development. The findings reveal a strong positive relationship between resource efficiency, recycling efforts, and the use of circular materials, emphasizing the importance of infrastructure and technological advancements in supporting circularity. However, significant regional differences among European Union member states are also identified, highlighting the need for targeted policies to address these disparities. In the context of European policies such as the Green Deal and the Circular Economy Action Plan, this study provides valuab</w:t>
      </w:r>
    </w:p>
    <w:p>
      <w:pPr/>
      <w:r>
        <w:rPr>
          <w:b/>
        </w:rPr>
        <w:t>POSSIBLE 2023:</w:t>
      </w:r>
      <w:r>
        <w:t xml:space="preserve"> A panel fsQCA investigation on European regional innovation — https://doi.org/10.1016/j.techfore.2023.123042</w:t>
      </w:r>
    </w:p>
    <w:p>
      <w:pPr/>
      <w:r>
        <w:rPr>
          <w:b/>
        </w:rPr>
        <w:t>Shared claim-specific concepts:</w:t>
      </w:r>
      <w:r>
        <w:t xml:space="preserve"> panel, important, innovation; EU scope visible. This is a provisional connection, not an outcome finding.</w:t>
      </w:r>
    </w:p>
    <w:p>
      <w:pPr>
        <w:pStyle w:val="SourceNote"/>
      </w:pPr>
      <w:r>
        <w:rPr>
          <w:b/>
        </w:rPr>
        <w:t>Available abstract (not full text):</w:t>
      </w:r>
      <w:r>
        <w:t xml:space="preserve"> Taking an evolutionary economic geography perspective, we build on literature on innovation modes, the aim of this study being to explain variations in SME innovation performance across European regions over time. Drawing on five waves of data from the EU Regional Innovation Scoreboard between 2011 and 2019, our sample includes 221 regions across 27 EU Member States, as well as Norway, UK, Serbia, and Switzerland. We apply nascent panel fuzzy-set Qualitative Comparative Analysis to explore how different combinations of SME innovation modes explain innovation performance across different EU regions (i.e. geographical scope) as well as within different EU regions over time (i.e. temporal stability). Findings show that whether DUI or STI modes are more effective in the context of SMEs crucially depends on the timeframe considered, but also the geographical location of SMEs. The study offers novel insights into the diverse and complex nature through which regional innovation evolves over time, advancing understanding on regionalization as well as temporality of SME innovation modes in Europe. It also provides an important basis for discussing innovation policy across Europe.</w:t>
      </w:r>
    </w:p>
    <w:p>
      <w:pPr/>
      <w:r>
        <w:rPr>
          <w:b/>
        </w:rPr>
        <w:t>POSSIBLE 2023:</w:t>
      </w:r>
      <w:r>
        <w:t xml:space="preserve"> European Federation of Neurological Societies: parent to the European Academy of Neurology — https://doi.org/10.1111/ene.15680</w:t>
      </w:r>
    </w:p>
    <w:p>
      <w:pPr/>
      <w:r>
        <w:rPr>
          <w:b/>
        </w:rPr>
        <w:t>Shared claim-specific concepts:</w:t>
      </w:r>
      <w:r>
        <w:t xml:space="preserve"> creation, scientific, important, political, level; EU scope visible. This is a provisional connection, not an outcome finding.</w:t>
      </w:r>
    </w:p>
    <w:p>
      <w:pPr>
        <w:pStyle w:val="SourceNote"/>
      </w:pPr>
      <w:r>
        <w:rPr>
          <w:b/>
        </w:rPr>
        <w:t>Available abstract (not full text):</w:t>
      </w:r>
      <w:r>
        <w:t xml:space="preserve"> BACKGROUND AND PURPOSE: The European Academy of Neurology (EAN) is a vigorous organization of great importance for all neurologists and for our patients. But how did neurology get organized at the European level? That is the topic of this article. METHODS: Most important sources are memories and documents of the author, who was a moving force in developing the European Federation of Neurological Societies (EFNS), one of the two parents of the EAN. RESULTS: All European national neurological societies and the World Federation of Neurology were involved in a difficult political interaction resulting in the EFNS. Organizational and administrative development was the initial task. Scientific panels led by a scientific committee, teaching courses for young neurologists, teaching courses in middle and eastern Europe and successful congresses were developed. The purchase of headquarters as well as the creation of a fully owned scientific journal (European Journal of Neurology) were important and financially beneficial. The EFNS also promoted the formation of the European Brain Council and of the patient organization European Federation of Neurological Associations. All these elements have continued after fusion with the European Neurological Society to form the EAN. CONCLUSION: The very successful development of the EFNS has largely been carried on into the EAN.</w:t>
      </w:r>
    </w:p>
    <w:p>
      <w:pPr/>
      <w:r>
        <w:rPr>
          <w:b/>
        </w:rPr>
        <w:t>POSSIBLE 2023:</w:t>
      </w:r>
      <w:r>
        <w:t xml:space="preserve"> Firm value determinants: Panel evidence from European listed companies — https://doi.org/10.5937/straman2300052v</w:t>
      </w:r>
    </w:p>
    <w:p>
      <w:pPr/>
      <w:r>
        <w:rPr>
          <w:b/>
        </w:rPr>
        <w:t>Shared claim-specific concepts:</w:t>
      </w:r>
      <w:r>
        <w:t xml:space="preserve"> panel, strategy, level; EU scope visible. This is a provisional connection, not an outcome finding.</w:t>
      </w:r>
    </w:p>
    <w:p>
      <w:pPr>
        <w:pStyle w:val="SourceNote"/>
      </w:pPr>
      <w:r>
        <w:rPr>
          <w:b/>
        </w:rPr>
        <w:t>Available abstract (not full text):</w:t>
      </w:r>
      <w:r>
        <w:t xml:space="preserve"> Background: To manage growth opportunities effectively and to make a significant impact on superior longterm performance, it is necessary to analyze firm value and diagnose its determinants. Increasing profit, providing prosperity to the company's stakeholders, and improving company value are the goals of every company's business. Purpose: The paper aims to build a model of the company's optimal value by assessing company performance based on financial statement analysis of European companies over the period 2015-2020. Study design/methodology/approach: The impact of financial indicators such as financial leverage, profitability, size, liquidity, growth, and asset tangibility on company value was thoroughly considered. The empirical research was founded on a sample of 158 Eastern and Western European companies, generating 948 observations. Panel regression analysis was conducted. Findings/conclusions: The obtained results revealed that debt-to-assets ratio, return on equity, and assets tangibility have a significant adverse effect on company value, whereas the return on assets and firm size have a significant favorable effect. The obtained conclusions should serve as a beneficial tool for the strategy of reaching the targeted market company's value and ensuring the company's future viability by the market. Hence, stakeholders could assess the perspective of the future company's</w:t>
      </w:r>
    </w:p>
    <w:p>
      <w:pPr/>
      <w:r>
        <w:rPr>
          <w:b/>
        </w:rPr>
        <w:t>POSSIBLE 2022:</w:t>
      </w:r>
      <w:r>
        <w:t xml:space="preserve"> Short Food Supply Chains in Europe: Scientific Research Directions — https://doi.org/10.3390/su14063602</w:t>
      </w:r>
    </w:p>
    <w:p>
      <w:pPr/>
      <w:r>
        <w:rPr>
          <w:b/>
        </w:rPr>
        <w:t>Shared claim-specific concepts:</w:t>
      </w:r>
      <w:r>
        <w:t xml:space="preserve"> scientific, important, contribution; EU scope visible. This is a provisional connection, not an outcome finding.</w:t>
      </w:r>
    </w:p>
    <w:p>
      <w:pPr>
        <w:pStyle w:val="SourceNote"/>
      </w:pPr>
      <w:r>
        <w:rPr>
          <w:b/>
        </w:rPr>
        <w:t>Available abstract (not full text):</w:t>
      </w:r>
      <w:r>
        <w:t xml:space="preserve"> In the food sector, new configurations of supply chains, as opposed to global conventional ones, are drawing the attention of researchers and institutions all over the world. These are presented as a panacea for the recovery of rural economies and, in general, of food system sustainability. In this context the short food supply chains (SFSCs) become relevant, as happens in Europe, where strategies and regulations designed on their implementation were adopted. Recognising that scientific research always plays an important role in guiding institutions’ choices in many fields, it seems important to focus on how SFSCs are considered in the European academic panorama. Therefore, this contribution presents a study performed on a sample of 108 papers published in journals during the last decade. The findings concerning the investigated issues and the approaches to analysing SFSC development and effects are reported from both the producer and consumer perspective. The review strongly emphasizes the factors affecting participation in SFSCs. Moreover, it highlights that the positive perception of SFSC sustainability is not based on scientific evidence. The analysis outlines current research directions and identifies challenges that are still open in order to offer researchers food for thought with a view to developing further future insights.</w:t>
      </w:r>
    </w:p>
    <w:p>
      <w:pPr/>
      <w:r>
        <w:rPr>
          <w:b/>
        </w:rPr>
        <w:t>POSSIBLE 2021:</w:t>
      </w:r>
      <w:r>
        <w:t xml:space="preserve"> Scientific Opinion of the Scientific Panel on Plant Protection Products and their Residues (PPR Panel) on testing and interpretation of comparative in vitro metabolism studies — https://doi.org/10.2903/j.efsa.2021.6970</w:t>
      </w:r>
    </w:p>
    <w:p>
      <w:pPr/>
      <w:r>
        <w:rPr>
          <w:b/>
        </w:rPr>
        <w:t>Shared claim-specific concepts:</w:t>
      </w:r>
      <w:r>
        <w:t xml:space="preserve"> scientific, panel, important, strategy, level; EU scope not established. This is a provisional connection, not an outcome finding.</w:t>
      </w:r>
    </w:p>
    <w:p>
      <w:pPr>
        <w:pStyle w:val="SourceNote"/>
      </w:pPr>
      <w:r>
        <w:rPr>
          <w:b/>
        </w:rPr>
        <w:t>Available abstract (not full text):</w:t>
      </w:r>
      <w:r>
        <w:t xml:space="preserve"> Abstract EFSA asked the Panel on Plant Protection Products and their residues to deliver a Scientific Opinion on testing and interpretation of comparative in vitro metabolism studies for both new active substances and existing ones. The main aim of comparative in vitro metabolism studies of pesticide active substances is to evaluate whether all significant metabolites formed in the human in vitro test system, as a surrogate of the in vivo situation, are also present at comparable level in animal species tested in toxicological studies and, therefore, if their potential toxicity has been appropriately covered by animal studies. The studies may also help to decide which animal model, with regard to a particular compound, is the most relevant for humans. In the experimental strategy, primary hepatocytes in suspension or culture are recommended since hepatocytes are considered the most representative in vitro system for prediction of in vivo metabolites. The experimental design of 3 × 3 × 3 (concentrations, time points, technical replicates, on pooled hepatocytes) will maximise the chance to identify unique (UHM) and disproportionate (DHM) human metabolites. When DHM and UHM are being assessed, test item‐related radioactivity recovery and metabolite profile are the most important parameters. Subsequently, structural characterisation of the assigned metabolites is performed with app</w:t>
      </w:r>
    </w:p>
    <w:p>
      <w:pPr/>
      <w:r>
        <w:rPr>
          <w:b/>
        </w:rPr>
        <w:t>POSSIBLE 2021:</w:t>
      </w:r>
      <w:r>
        <w:t xml:space="preserve"> Collaboration towards value creation for end-of-life solar photovoltaic panel in Ghana — https://doi.org/10.1016/j.jclepro.2021.129969</w:t>
      </w:r>
    </w:p>
    <w:p>
      <w:pPr/>
      <w:r>
        <w:rPr>
          <w:b/>
        </w:rPr>
        <w:t>Shared claim-specific concepts:</w:t>
      </w:r>
      <w:r>
        <w:t xml:space="preserve"> creation, panel, need; EU scope not established. This is a provisional connection, not an outcome finding.</w:t>
      </w:r>
    </w:p>
    <w:p>
      <w:pPr>
        <w:pStyle w:val="SourceNote"/>
      </w:pPr>
      <w:r>
        <w:rPr>
          <w:b/>
        </w:rPr>
        <w:t>Available abstract (not full text):</w:t>
      </w:r>
      <w:r>
        <w:t xml:space="preserve"> This paper identifies value creation strategies and the role of stakeholders in advancing sustainable practices for end-of-life (henceforth EOL) solar photovoltaic panels (solar PV) in Ghana. This is preceded by an overview of the global outlook of sustainable practices for EOL solar PV as well as how these can be promoted in a developing country like Ghana. The framework discusses and promotes efficient collaboration towards value creation by stakeholders in advancing sustainable practices for end-of-life solar PV in Ghana. The methodology centers on an integrative review aimed at identifying the different aspects leading to a value creation framework for EOL solar PV. The paper discusses a hybrid public-private partnership (HPPP), which includes the types of synergy between different actors as well as their clear roles. The core options available to government, businesses and end-users in the value creation includes the provision of a technical solution, improved logistics and innovative business opportunities. The aforementioned options will achieve reduction, reuse, repair and/or recycling, targeted at promoting a unique collaboration between all relevant stakeholders. Furthermore, such options present an opportunity to promote awareness utilizing education in sustainability, thus promoting the need for extending the useful lifecycle of the products.</w:t>
      </w:r>
    </w:p>
    <w:p>
      <w:pPr/>
      <w:r>
        <w:rPr>
          <w:b/>
        </w:rPr>
        <w:t>POSSIBLE 2021:</w:t>
      </w:r>
      <w:r>
        <w:t xml:space="preserve"> Role of Knowledge Creation and Absorptive Capacity: A Panel Data Study of Innovation — https://doi.org/10.33215/sjom.v4i2.579</w:t>
      </w:r>
    </w:p>
    <w:p>
      <w:pPr/>
      <w:r>
        <w:rPr>
          <w:b/>
        </w:rPr>
        <w:t>Shared claim-specific concepts:</w:t>
      </w:r>
      <w:r>
        <w:t xml:space="preserve"> creation, panel, innovation; EU scope not established. This is a provisional connection, not an outcome finding.</w:t>
      </w:r>
    </w:p>
    <w:p>
      <w:pPr>
        <w:pStyle w:val="SourceNote"/>
      </w:pPr>
      <w:r>
        <w:rPr>
          <w:b/>
        </w:rPr>
        <w:t>Available abstract (not full text):</w:t>
      </w:r>
      <w:r>
        <w:t xml:space="preserve"> Purpose- Knowledge creation refers to the ability of firms to create new knowledge that starts from individuals to integrating the firms and then the overall economy. This study suggests that knowledge acquisition in a country has a significant relationship with innovative performance. Design/Methodology- Data from 48 highly HDI countries is taken from World Bank and World Economic Forum. Based on 480 country-year observations in a panel mediator model, it is revealed that the national efforts of boosting knowledge acquisition influence the firms’ innovative performance. Findings- Further, it is found that absorptive capacity in the employability of knowledgeable workers works as a mediator between knowledge acquisition and innovation. Whereby higher knowledge acquisition leads to higher absorptive capacity and higher innovation. Practical Implications- This study builds a quantitative model for the macroeconomic context of knowledge-based view.</w:t>
      </w:r>
    </w:p>
    <w:p>
      <w:pPr/>
      <w:r>
        <w:rPr>
          <w:b/>
        </w:rPr>
        <w:t>POSSIBLE 2020:</w:t>
      </w:r>
      <w:r>
        <w:t xml:space="preserve"> IMPORTANT CONTRIBUTION TO THE CREATION OF THEATRE ENCYCLOPEDIA OF TATARSTAN — https://doi.org/10.26907/2311-2042-2020-14-1-161-170</w:t>
      </w:r>
    </w:p>
    <w:p>
      <w:pPr/>
      <w:r>
        <w:rPr>
          <w:b/>
        </w:rPr>
        <w:t>Shared claim-specific concepts:</w:t>
      </w:r>
      <w:r>
        <w:t xml:space="preserve"> creation, important, contribution; EU scope not established. This is a provisional connection, not an outcome finding.</w:t>
      </w:r>
    </w:p>
    <w:p>
      <w:pPr>
        <w:pStyle w:val="SourceNote"/>
      </w:pPr>
      <w:r>
        <w:rPr>
          <w:b/>
        </w:rPr>
        <w:t>Available abstract (not full text):</w:t>
      </w:r>
      <w:r>
        <w:t xml:space="preserve"> The review notes the combination of different approaches in the analysis of the Tatar theater scenography (cultural-historical, art history), the use of a wide range of sources, and the painstaking work on the systematization of factual material.In the monograph, the analysis of scenography is presented as a history of the search and struggle for the renewal of the theater at the turn of the era, unique in its complexity, characterized by radical contradictions and the struggle of ideas.The review highlights the significance of the research findings on the national identity of the Tatar theater scenography.</w:t>
      </w:r>
    </w:p>
    <w:p>
      <w:pPr/>
      <w:r>
        <w:rPr>
          <w:b/>
        </w:rPr>
        <w:t>POSSIBLE 2020:</w:t>
      </w:r>
      <w:r>
        <w:t xml:space="preserve"> Hunters as citizen scientists: Contributions to biodiversity monitoring in Europe — https://doi.org/10.1016/j.gecco.2020.e01077</w:t>
      </w:r>
    </w:p>
    <w:p>
      <w:pPr/>
      <w:r>
        <w:rPr>
          <w:b/>
        </w:rPr>
        <w:t>Shared claim-specific concepts:</w:t>
      </w:r>
      <w:r>
        <w:t xml:space="preserve"> scientific, community, comprehensive; EU scope visible. This is a provisional connection, not an outcome finding.</w:t>
      </w:r>
    </w:p>
    <w:p>
      <w:pPr>
        <w:pStyle w:val="SourceNote"/>
      </w:pPr>
      <w:r>
        <w:rPr>
          <w:b/>
        </w:rPr>
        <w:t>Available abstract (not full text):</w:t>
      </w:r>
      <w:r>
        <w:t xml:space="preserve"> Monitoring biodiversity characteristics at large scales and with adequate resolution requires considerable effort and resources. Overall, there is clearly a huge scope for European hunters, a special and often overlooked group of citizen scientist, to contribute even more to biodiversity monitoring, especially because of their presence across the entire European landscape. Using the Essential Biodiversity Variables (EBVs) framework we reviewed the published and grey literature and contacted experts to provide a comprehensive overview of hunters’ contributions to biodiversity monitoring. We examined the methods used to collect data in hunter-based monitoring, the geographic and taxonomic extent of such contributions and the scientific output stemming from hunter-based monitoring data. Our study suggests that hunter-based monitoring is widely distributed across Europe and across taxa as 32 out of the 36 European countries included in our analysis involve hunters in the monitoring of at least one species group with ungulates and small game species groups which have the widest hunter-based monitoring coverage. We found that it is possible to infer characteristics on Genetic composition, Species population, Species traits and Community composition with data that are being routinely collected by hunters in at least some countries. The main types of data provided are hunting bags data</w:t>
      </w:r>
    </w:p>
    <w:p>
      <w:pPr/>
      <w:r>
        <w:rPr>
          <w:b/>
        </w:rPr>
        <w:t>POSSIBLE 2020:</w:t>
      </w:r>
      <w:r>
        <w:t xml:space="preserve"> Characterization of Globally Important Agricultural Heritage Systems (GIAHS) in Europe — https://doi.org/10.3390/su12041611</w:t>
      </w:r>
    </w:p>
    <w:p>
      <w:pPr/>
      <w:r>
        <w:rPr>
          <w:b/>
        </w:rPr>
        <w:t>Shared claim-specific concepts:</w:t>
      </w:r>
      <w:r>
        <w:t xml:space="preserve"> panel, important, contribution, facilitate; EU scope visible. This is a provisional connection, not an outcome finding.</w:t>
      </w:r>
    </w:p>
    <w:p>
      <w:pPr>
        <w:pStyle w:val="SourceNote"/>
      </w:pPr>
      <w:r>
        <w:rPr>
          <w:b/>
        </w:rPr>
        <w:t>Available abstract (not full text):</w:t>
      </w:r>
      <w:r>
        <w:t xml:space="preserve"> The recognition and safeguarding of agricultural heritage in Europe are new concepts that are gaining attention due to the contribution they make to sustainability. Of the 57 Globally Important Agricultural Heritage Systems (GIAHS) that exist in the world today, only six have been designated in Europe. Through a qualitative analysis of the proposal documents submitted by these six European GIAHS to the Food and Agriculture Organization of the United Nations (FAO) during the designation process, this study provides a comparative characterization of these sites supported by expert assessment. During the first phase, 24 specific sub-criteria were observed based on the five main criteria that a site has to meet in order to demonstrate its global relevance as an agricultural heritage of humanity. The relevance of the resulting sub-criteria was then assessed by a Delphi panel of experts and the validated ones were applied in an assessment of the six European sites. The European GIAHS sites are characterized by the high value of their cultural landscapes’ evolution, modeled by traditional and adaptive agriculture knowledge and practices that are promoted and maintained thanks to organized and committed social organizations. The results of structuring of sub-criteria can facilitate the application of other possible European GIAHS sites.</w:t>
      </w:r>
    </w:p>
    <w:p>
      <w:pPr/>
      <w:r>
        <w:rPr>
          <w:b/>
        </w:rPr>
        <w:t>POSSIBLE 2020:</w:t>
      </w:r>
      <w:r>
        <w:t xml:space="preserve"> Agricultural Entrepreneurship in the European Union: Contributions for a Sustainable Development — https://doi.org/10.3390/app10062080</w:t>
      </w:r>
    </w:p>
    <w:p>
      <w:pPr/>
      <w:r>
        <w:rPr>
          <w:b/>
        </w:rPr>
        <w:t>Shared claim-specific concepts:</w:t>
      </w:r>
      <w:r>
        <w:t xml:space="preserve"> creation, scientific, viewed, contribution; EU scope visible. This is a provisional connection, not an outcome finding.</w:t>
      </w:r>
    </w:p>
    <w:p>
      <w:pPr>
        <w:pStyle w:val="SourceNote"/>
      </w:pPr>
      <w:r>
        <w:rPr>
          <w:b/>
        </w:rPr>
        <w:t>Available abstract (not full text):</w:t>
      </w:r>
      <w:r>
        <w:t xml:space="preserve"> Entrepreneurship is sometimes seen as a glimmer of hope which may bring about some contribution towards improving economic dynamics and performance, specifically in the creation of employment by young people, in general, with further educational training, greater flexibility and who are better prepared for working with new technologies. However, entrepreneurship in the agricultural sector is, in certain circumstances, viewed as being something incompatible or, at least, difficult to implement. More scientific studies in these fields could provide interesting contributions on the road to highlighting new ideas inside the farming sector. In this framework, the objective of this study is to explore the entrepreneurship dimensions within the European Union agriculture towards a more sustainable sector. In fact, without an economic dimension in farm management, its sustainability in the medium and long run may be compromised, increasing the abandonment of farming, namely in more disadvantaged regions. For this, the literature which is available on the platform Web of Science relating to the following three topics was initially analysed: entrepreneurship, agriculture, and the European Union. This literature was clustered through the VOSviewer software, an interesting tool for performing bibliometric analysis. Secondly, statistical information related to European Union agricultural en</w:t>
      </w:r>
    </w:p>
    <w:p>
      <w:pPr>
        <w:pStyle w:val="Heading2"/>
      </w:pPr>
      <w:r>
        <w:t>933. The EU climate and energy policy: what about the new targets for 2030?</w:t>
      </w:r>
    </w:p>
    <w:p>
      <w:pPr>
        <w:pStyle w:val="SourceNote"/>
      </w:pPr>
      <w:r>
        <w:rPr>
          <w:b/>
        </w:rPr>
        <w:t>Original source (2014):</w:t>
      </w:r>
      <w:r>
        <w:t xml:space="preserve"> https://doi.org/10.3280/efe2014-001002</w:t>
      </w:r>
    </w:p>
    <w:p>
      <w:pPr/>
      <w:r>
        <w:t>Original wording (abstract; indexed_source_text_not_full_document_verified): Finally, the increase in energy efficiency should also continue to be promoted, but without any quantitative target that would be very difficult to establish and monitor. In 2013 the EU Commission issued a Green paper to launch a debate on what should be the objectives for 2030 and early 2014 has published its proposals.</w:t>
      </w:r>
    </w:p>
    <w:p>
      <w:pPr/>
      <w:r>
        <w:rPr>
          <w:b/>
        </w:rPr>
        <w:t>POSSIBLE 2026:</w:t>
      </w:r>
      <w:r>
        <w:t xml:space="preserve"> Short-term renewable energy forecast errors in Europe: Spatial dependence and smoothing potential — https://doi.org/10.1016/j.renene.2026.126047</w:t>
      </w:r>
    </w:p>
    <w:p>
      <w:pPr/>
      <w:r>
        <w:rPr>
          <w:b/>
        </w:rPr>
        <w:t>Shared claim-specific concepts:</w:t>
      </w:r>
      <w:r>
        <w:t xml:space="preserve"> finally, increase, energy; EU scope visible. This is a provisional connection, not an outcome finding.</w:t>
      </w:r>
    </w:p>
    <w:p>
      <w:pPr>
        <w:pStyle w:val="SourceNote"/>
      </w:pPr>
      <w:r>
        <w:rPr>
          <w:b/>
        </w:rPr>
        <w:t>Available abstract (not full text):</w:t>
      </w:r>
      <w:r>
        <w:t xml:space="preserve"> Renewable energy forecast errors result in costly countermeasures, including countertrading, redispatch, and increased operating reserves. Correlated regional forecast errors increase risks in renewable energy portfolios, yet their spatial dependencies are poorly understood. Therefore, we derive site-specific correlation lengths and assess the potential for spatial smoothing of forecast errors across Europe for intraday up to two-days-ahead lead time. By increasing site separation beyond 150 km, weather-driven renewable energy forecast errors effectively become uncorrelated, reducing mean absolute errors and extreme forecast error events by over 33% for wind energy and approximately 25% for solar energy at day-ahead lead times. Additionally, accounting for principal error directions can reduce the necessary site separation for effective error mitigation. Finally, we evaluate current and planned renewable energy sites in Europe based on these findings and identify regions with elevated forecast errors. This study provides a characterization of renewable energy forecast errors in Europe and offers actionable insights for decision-makers designing resilient renewable energy portfolios.</w:t>
      </w:r>
    </w:p>
    <w:p>
      <w:pPr/>
      <w:r>
        <w:rPr>
          <w:b/>
        </w:rPr>
        <w:t>POSSIBLE 2025:</w:t>
      </w:r>
      <w:r>
        <w:t xml:space="preserve"> European energy vision 2050 and beyond: Designing scenarios for Europe’s energy transition — https://doi.org/10.1016/j.rser.2025.116074</w:t>
      </w:r>
    </w:p>
    <w:p>
      <w:pPr/>
      <w:r>
        <w:rPr>
          <w:b/>
        </w:rPr>
        <w:t>Shared claim-specific concepts:</w:t>
      </w:r>
      <w:r>
        <w:t xml:space="preserve"> finally, increase, energy, quantitative, green; EU scope visible. This is a provisional connection, not an outcome finding.</w:t>
      </w:r>
    </w:p>
    <w:p>
      <w:pPr>
        <w:pStyle w:val="SourceNote"/>
      </w:pPr>
      <w:r>
        <w:rPr>
          <w:b/>
        </w:rPr>
        <w:t>Available abstract (not full text):</w:t>
      </w:r>
      <w:r>
        <w:t xml:space="preserve"> Europe is warming at the fastest rate of all continents, experiencing a temperature increase of about 1 ∘ C higher than the corresponding global increase. Aiming to be the first climate-neutral continent by 2050 under the European Green Deal, Europe requires an in-depth understanding of the potential energy transition pathways. In this paper, we develop four qualitative long-term scenarios covering the European energy landscape until 2060, considering key uncertainty pillars— categorised under social, technological, economic, political, and geopolitical dimensions. First, we place the scenarios in a three-dimensional space defined by Social dynamics, Innovation, and Geopolitical instabilities. These scenarios are brought to life by defining their narratives and focus areas according to their location in this three-dimensional space. The scenarios envision diverse futures and include distinct features. The EU Trinity scenario pictures how internal divisions among EU member states, in the context of global geopolitical instability, affect the EU climate targets. The REPowerEU++ scenario outlines the steps needed for a self-sufficient, independent European energy system by 2050. The Go RES scenario examines the feasibility of achieving carbon neutrality earlier than 2050 given favourable uncertain factors. The NECP Essentials scenario extends current national energy and climate pl</w:t>
      </w:r>
    </w:p>
    <w:p>
      <w:pPr/>
      <w:r>
        <w:rPr>
          <w:b/>
        </w:rPr>
        <w:t>POSSIBLE 2025:</w:t>
      </w:r>
      <w:r>
        <w:t xml:space="preserve"> European Energy Vision 2060: Charting Diverse Pathways for Europe's Energy Transition — https://doi.org/10.48550/arxiv.2501.12993</w:t>
      </w:r>
    </w:p>
    <w:p>
      <w:pPr/>
      <w:r>
        <w:rPr>
          <w:b/>
        </w:rPr>
        <w:t>Shared claim-specific concepts:</w:t>
      </w:r>
      <w:r>
        <w:t xml:space="preserve"> finally, increase, energy, quantitative, green; EU scope visible. This is a provisional connection, not an outcome finding.</w:t>
      </w:r>
    </w:p>
    <w:p>
      <w:pPr>
        <w:pStyle w:val="SourceNote"/>
      </w:pPr>
      <w:r>
        <w:rPr>
          <w:b/>
        </w:rPr>
        <w:t>Available abstract (not full text):</w:t>
      </w:r>
      <w:r>
        <w:t xml:space="preserve"> Europe is warming at the fastest rate of all continents, experiencing a temperature increase of about 1°C higher than the corresponding global increase. Aiming to be the first climate-neutral continent by 2050 under the European Green Deal, Europe requires an in-depth understanding of the potential energy transition pathways. In this paper, we develop four qualitative long-term scenarios covering the European energy landscape, considering key uncertainty pillars -- categorized under social, technological, economic, political, and geopolitical aspects. First, we place the scenarios in a three-dimensional space defined by Social dynamics, Innovation, and Geopolitical instabilities. These scenarios are brought to life by defining their narratives and focus areas according to their location in this three-dimensional space. The scenarios envision diverse futures and include distinct features. The EU Trinity scenario pictures how internal divisions among EU member states, in the context of global geopolitical instability, affect the EU climate targets. The REPowerEU++ scenario outlines the steps needed for a self-sufficient, independent European energy system by 2050. The Go RES scenario examines the feasibility of achieving carbon neutrality earlier than 2050 given favourable uncertain factors. The NECP Essentials scenario extends current national energy and climate plans until 2060</w:t>
      </w:r>
    </w:p>
    <w:p>
      <w:pPr/>
      <w:r>
        <w:rPr>
          <w:b/>
        </w:rPr>
        <w:t>POSSIBLE 2024:</w:t>
      </w:r>
      <w:r>
        <w:t xml:space="preserve"> Understanding the role of biodiversity in the climate, food, water, energy, transport and health nexus in Europe — https://doi.org/10.1016/j.scitotenv.2024.171692</w:t>
      </w:r>
    </w:p>
    <w:p>
      <w:pPr/>
      <w:r>
        <w:rPr>
          <w:b/>
        </w:rPr>
        <w:t>Shared claim-specific concepts:</w:t>
      </w:r>
      <w:r>
        <w:t xml:space="preserve"> energy, but, green; EU scope visible. This is a provisional connection, not an outcome finding.</w:t>
      </w:r>
    </w:p>
    <w:p>
      <w:pPr>
        <w:pStyle w:val="SourceNote"/>
      </w:pPr>
      <w:r>
        <w:rPr>
          <w:b/>
        </w:rPr>
        <w:t>Available abstract (not full text):</w:t>
      </w:r>
      <w:r>
        <w:t xml:space="preserve"> Biodiversity underpins the functioning of ecosystems and the diverse benefits that nature provides to people, yet is being lost at an unprecedented rate. To halt or reverse biodiversity loss, it is critical to understand the complex interdependencies between biodiversity and key drivers and sectors to inform the development of holistic policies and actions. We conducted a literature review on the interlinkages between biodiversity and climate change, food, water, energy, transport and health ("the biodiversity nexus"). Evidence extracted from 194 peer-reviewed articles was analysed to assess how biodiversity is being influenced by and is influencing the other nexus elements. Out of the 354 interlinkages between biodiversity and the other nexus elements, 53 % were negative, 29 % were positive and 18 % contained both positive and negative influences. The majority of studies provide evidence of the negative influence of other nexus elements on biodiversity, highlighting the substantial damage being inflicted on nature from human activities. The main types of negative impacts were land or water use/change, land or water degradation, climate change, and direct species fatalities through collisions with infrastructure. Alternatively, evidence of biodiversity having a negative influence on the other nexus elements was limited to the effects of invasive alien species and vector-borne d</w:t>
      </w:r>
    </w:p>
    <w:p>
      <w:pPr/>
      <w:r>
        <w:rPr>
          <w:b/>
        </w:rPr>
        <w:t>POSSIBLE 2024:</w:t>
      </w:r>
      <w:r>
        <w:t xml:space="preserve"> Friend, Not Foe - Energy Prices and European Monetary Policy — https://doi.org/10.2139/ssrn.4892583</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Unavailable</w:t>
      </w:r>
    </w:p>
    <w:p>
      <w:pPr/>
      <w:r>
        <w:rPr>
          <w:b/>
        </w:rPr>
        <w:t>POSSIBLE 2023:</w:t>
      </w:r>
      <w:r>
        <w:t xml:space="preserve"> Energy Economic Development in Europe — https://doi.org/10.3390/books978-3-0365-7112-6</w:t>
      </w:r>
    </w:p>
    <w:p>
      <w:pPr/>
      <w:r>
        <w:rPr>
          <w:b/>
        </w:rPr>
        <w:t>Shared claim-specific concepts:</w:t>
      </w:r>
      <w:r>
        <w:t xml:space="preserve"> energy, efficiency, also; EU scope visible. This is a provisional connection, not an outcome finding.</w:t>
      </w:r>
    </w:p>
    <w:p>
      <w:pPr>
        <w:pStyle w:val="SourceNote"/>
      </w:pPr>
      <w:r>
        <w:rPr>
          <w:b/>
        </w:rPr>
        <w:t>Available abstract (not full text):</w:t>
      </w:r>
      <w:r>
        <w:t xml:space="preserve"> This reprint explores the challenges faced by Europe as it transitions to renewable energy sources to reduce carbon emissions and enhance energy security. With 10 articles covering various countries and sectors, the book delves into issues such as solar and wind energy intermittency, the role of energy policies, and the integration of energy grids and markets. The collection also includes studies on the impact of energy policies on residential energy efficiency, the use of financial incentives for eco-friendly housing, and the benefits of district heating. The reprint aims to provide policymakers, academics, and practitioners with valuable insights into the current state of renewable energy in Europe and the policies and actions that can be taken to achieve a sustainable energy future.</w:t>
      </w:r>
    </w:p>
    <w:p>
      <w:pPr/>
      <w:r>
        <w:rPr>
          <w:b/>
        </w:rPr>
        <w:t>POSSIBLE 2022:</w:t>
      </w:r>
      <w:r>
        <w:t xml:space="preserve"> Primary Energy Factors for Electricity Production in Europe — https://doi.org/10.3390/en16010093</w:t>
      </w:r>
    </w:p>
    <w:p>
      <w:pPr/>
      <w:r>
        <w:rPr>
          <w:b/>
        </w:rPr>
        <w:t>Shared claim-specific concepts:</w:t>
      </w:r>
      <w:r>
        <w:t xml:space="preserve"> finally, energy, efficiency, also; EU scope visible. This is a provisional connection, not an outcome finding.</w:t>
      </w:r>
    </w:p>
    <w:p>
      <w:pPr>
        <w:pStyle w:val="SourceNote"/>
      </w:pPr>
      <w:r>
        <w:rPr>
          <w:b/>
        </w:rPr>
        <w:t>Available abstract (not full text):</w:t>
      </w:r>
      <w:r>
        <w:t xml:space="preserve"> The European Union (EU) has committed to supporting the United Nations’ efforts in line with the Paris Agreement for addressing climate change and has set ambitious targets to reduce primary energy consumption and emissions. Similar commitments have also been set by EU-27 member states. For this purpose, it is necessary to use a primary energy factor (PEF) for converting electricity use to primary energy units and for assessing energy conservation measures. Lower PEFs reflect efficiency improvements in power generation, an increased share of renewable energy sources in the fuel mix for electricity generation, and lower transmission and distribution losses. Over the past decades, there have been intensive efforts and notable progress in the EU-27 for increasing the use of renewables in the energy mix for electricity generation. However, the EU default PEF value for electricity was not regularly updated and remained at 2.5 for several years till it was finally recalculated at 2.1 in the 2018 recast of the Energy Efficiency Directive. This paper reviews different calculation options for estimating the PEF for electricity from official annual statistics, presents the historical evolution of the calculated conversion factors, and provides simple linear correlations for projecting the PEF values that can be used to facilitate more-realistic forward-looking calculations and assess nat</w:t>
      </w:r>
    </w:p>
    <w:p>
      <w:pPr/>
      <w:r>
        <w:rPr>
          <w:b/>
        </w:rPr>
        <w:t>POSSIBLE 2022:</w:t>
      </w:r>
      <w:r>
        <w:t xml:space="preserve"> Changing European Energy Policy : The Challenge of the Energy Price Storm — https://doi.org/10.18096/tmp.2022.02.04</w:t>
      </w:r>
    </w:p>
    <w:p>
      <w:pPr/>
      <w:r>
        <w:rPr>
          <w:b/>
        </w:rPr>
        <w:t>Shared claim-specific concepts:</w:t>
      </w:r>
      <w:r>
        <w:t xml:space="preserve"> finally, energy, also, target; EU scope visible. This is a provisional connection, not an outcome finding.</w:t>
      </w:r>
    </w:p>
    <w:p>
      <w:pPr>
        <w:pStyle w:val="SourceNote"/>
      </w:pPr>
      <w:r>
        <w:rPr>
          <w:b/>
        </w:rPr>
        <w:t>Available abstract (not full text):</w:t>
      </w:r>
      <w:r>
        <w:t xml:space="preserve"> This paper examines the roots of the European energy crisis within the period of 2021–2022, the reasons for the European gas shortage, the effect of the Russian invasion of Ukraine, and the potential EU responses. The current crisis is a result of several factors, starting from the Covid-19 pandemic in 2020 and amplified severely by the current conflict between Russia and Ukraine. In addition, five reasons were identified as worsening the EU energy situation. These include market-based gas prices, external dependency, global imbalances, the EU's climate policies, and low European energy stocks. The Russian invasion of Ukraine put pressure on the oil and gas supplies to the EU. This situation led the EU to introduce sanctions and measures that target increasing the share of renewable energy while reducing the dependence on Russian gas. Finally, we shed light on the energy transition as an opportunity to deal with climate change and limited energy resources while also showing the challenges that would hinder a just transition.</w:t>
      </w:r>
    </w:p>
    <w:p>
      <w:pPr/>
      <w:r>
        <w:rPr>
          <w:b/>
        </w:rPr>
        <w:t>POSSIBLE 2022:</w:t>
      </w:r>
      <w:r>
        <w:t xml:space="preserve"> The politics of vaccine hesitancy in Europe — https://doi.org/10.1093/eurpub/ckac041</w:t>
      </w:r>
    </w:p>
    <w:p>
      <w:pPr/>
      <w:r>
        <w:rPr>
          <w:b/>
        </w:rPr>
        <w:t>Shared claim-specific concepts:</w:t>
      </w:r>
      <w:r>
        <w:t xml:space="preserve"> finally, also, but; EU scope visible. This is a provisional connection, not an outcome finding.</w:t>
      </w:r>
    </w:p>
    <w:p>
      <w:pPr>
        <w:pStyle w:val="SourceNote"/>
      </w:pPr>
      <w:r>
        <w:rPr>
          <w:b/>
        </w:rPr>
        <w:t>Available abstract (not full text):</w:t>
      </w:r>
      <w:r>
        <w:t xml:space="preserve"> BACKGROUND: Vaccine hesitancy threatens public health. Some evidence suggests that vaccine hesitancy in Europe may be linked with the success of populist parties, but more systematic analysis is needed. METHODS: We examine the prevalence of individual-level vaccine hesitancy across the European Union (EU) and its association with political orientations. We also analyze whether success of populist parties is linked with vaccine hesitancy and uptake. We draw on individual-level Eurobarometer data from 2019, with a total of 27 524 respondents across the EU. We also rely on national and regional-level populist party vote shares. Finally, for a time-series analysis, we rely on aggregated populist party support as measured in the European Social Survey waves 1-9 (2002-18), and national immunization coverage rates from the WHO from 2002 to 2018. RESULTS: While vaccine hesitancy is confined to a minority of the population, this group is large enough to risk herd immunity. Political orientations on a left-right dimension are not strongly linked to vaccine hesitancy. Instead, vaccine hesitancy is associated with anti-elite world views and culturally closed rather than cosmopolitan positions. CONCLUSIONS: Vaccine hesitancy is not only present in all EU member states but also maps on broader dimensions of cultural conflict. Hesitancy is rooted in a broader worldview, rather than mispercept</w:t>
      </w:r>
    </w:p>
    <w:p>
      <w:pPr/>
      <w:r>
        <w:rPr>
          <w:b/>
        </w:rPr>
        <w:t>POSSIBLE 2022:</w:t>
      </w:r>
      <w:r>
        <w:t xml:space="preserve"> Development of Renewable Energy Sources in the European Union in the Context of Sustainable Development Policy — https://doi.org/10.3390/en15041545</w:t>
      </w:r>
    </w:p>
    <w:p>
      <w:pPr/>
      <w:r>
        <w:rPr>
          <w:b/>
        </w:rPr>
        <w:t>Shared claim-specific concepts:</w:t>
      </w:r>
      <w:r>
        <w:t xml:space="preserve"> finally, increase, energy; EU scope visible. This is a provisional connection, not an outcome finding.</w:t>
      </w:r>
    </w:p>
    <w:p>
      <w:pPr>
        <w:pStyle w:val="SourceNote"/>
      </w:pPr>
      <w:r>
        <w:rPr>
          <w:b/>
        </w:rPr>
        <w:t>Available abstract (not full text):</w:t>
      </w:r>
      <w:r>
        <w:t xml:space="preserve"> Renewable energy sources play a key role in decarbonizing the economy of the European Union (EU) and the world. The aim of this research is to present the development of the renewable energy sources (RES) sector in the European Union (EU), with particular emphasis on sustainable development. The EU guidelines, requirements, and directives were analyzed in order to meet the provisions of the energy policy to ensure energy and climate security. The potential of the RES was studied in the EU countries, and the possibility of its use in cogeneration with the use of local renewable resources. The results are presented in tabular, graphic, and descriptive forms. The results are presented based on the extensive literature on the subject and data from Eurostat. The data covered 2004–2019. We used different methods to evaluate the changes in the RES in the EU countries. First, we compiled descriptive statistics; second, we used the Augmented Dickey–Fuller test (ADF test); and, finally, we used the Generalized Autoregressive Conditional Heteroscedasticity model (GARCH model). Our analysis found that the EU increased the share of RES. The biggest share of energy from renewable energy sources was found in 2019 in Iceland (78%), Norway (74%), and Sweden (56%). The biggest increase in the share of RES in 2004–19 was found in Malta (8322%), Great Britain (1126%), and Luxemburg (784%). The res</w:t>
      </w:r>
    </w:p>
    <w:p>
      <w:pPr/>
      <w:r>
        <w:rPr>
          <w:b/>
        </w:rPr>
        <w:t>POSSIBLE 2022:</w:t>
      </w:r>
      <w:r>
        <w:t xml:space="preserve"> The role of energy prices and economic growth in renewable energy capacity expansion – Evidence from OECD Europe — https://doi.org/10.1016/j.renene.2022.03.011</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Unavailable</w:t>
      </w:r>
    </w:p>
    <w:p>
      <w:pPr/>
      <w:r>
        <w:rPr>
          <w:b/>
        </w:rPr>
        <w:t>POSSIBLE 2021:</w:t>
      </w:r>
      <w:r>
        <w:t xml:space="preserve"> Energy efficiencies of European countries — https://doi.org/10.1080/00036846.2021.1994520</w:t>
      </w:r>
    </w:p>
    <w:p>
      <w:pPr/>
      <w:r>
        <w:rPr>
          <w:b/>
        </w:rPr>
        <w:t>Shared claim-specific concepts:</w:t>
      </w:r>
      <w:r>
        <w:t xml:space="preserve"> finally, energy, efficiency; EU scope visible. This is a provisional connection, not an outcome finding.</w:t>
      </w:r>
    </w:p>
    <w:p>
      <w:pPr>
        <w:pStyle w:val="SourceNote"/>
      </w:pPr>
      <w:r>
        <w:rPr>
          <w:b/>
        </w:rPr>
        <w:t>Available abstract (not full text):</w:t>
      </w:r>
      <w:r>
        <w:t xml:space="preserve"> Improving energy efficiency is essential for sustainable development; therefore, an accurate assessment of energy efficiency is needed to inform policymakers on how to set energy efficiency goals. Using a stochastic frontier model, we estimate energy efficiencies of 44 countries in Europe from 1990 to 2015. Comparing average energy efficiencies across countries among three time periods, 1990 to 1998, 1999 to 2007, and 2008 to 2015, we find the following trends: (1) countries with highest energy efficiency cluster geographically suggesting spillover effects; (2) from the first period to the second period, 67.44% of European countries’ average energy efficiency increased, while only 59.09% of European countries’ average energy efficiencies increased between the first and the third period; (3) gains in energy efficiency may be levelling off or decreasing over time; and (4) when countries face economic downturn, they experience a decrease in energy efficiency signalling possible future decreases in energy efficiency in light of the recent recessions caused by the Covid-19 pandemic. Finally, we compute potential energy savings from a counterfactual experiment in which countries realize full efficiency. The results show substantial energy savings can be obtained by Russia in particular, and less savings can be obtained by countries with smaller populations.</w:t>
      </w:r>
    </w:p>
    <w:p>
      <w:pPr>
        <w:pStyle w:val="Heading2"/>
      </w:pPr>
      <w:r>
        <w:t>934. The Future of Visitor Attractions in The Netherlands</w:t>
      </w:r>
    </w:p>
    <w:p>
      <w:pPr>
        <w:pStyle w:val="SourceNote"/>
      </w:pPr>
      <w:r>
        <w:rPr>
          <w:b/>
        </w:rPr>
        <w:t>Original source (2014):</w:t>
      </w:r>
      <w:r>
        <w:t xml:space="preserve"> https://doi.org/10.1080/02508281.2014.11087010</w:t>
      </w:r>
    </w:p>
    <w:p>
      <w:pPr/>
      <w:r>
        <w:t>Original wording (abstract; indexed_source_text_not_full_document_verified): The results were used to create four different scenarios that could be used by the visitor-attraction business to develop innovative strategies, concepts, products, services or business models that would make the attraction more future-proof. The aim of the study was to acquire a reliable and plausible picture of the interests of visitors in the future and the development opportunities for visitor attractions in the Netherlands.</w:t>
      </w:r>
    </w:p>
    <w:p>
      <w:pPr/>
      <w:r>
        <w:rPr>
          <w:b/>
        </w:rPr>
        <w:t>POSSIBLE 2026:</w:t>
      </w:r>
      <w:r>
        <w:t xml:space="preserve"> Amusement Ride Collection: Creating a Complete Attraction Portfolio with GT Amusement — https://doi.org/10.5281/zenodo.18162222</w:t>
      </w:r>
    </w:p>
    <w:p>
      <w:pPr/>
      <w:r>
        <w:rPr>
          <w:b/>
        </w:rPr>
        <w:t>Shared claim-specific concepts:</w:t>
      </w:r>
      <w:r>
        <w:t xml:space="preserve"> used, create, business, services, attraction, reliable; EU scope visible. This is a provisional connection, not an outcome finding.</w:t>
      </w:r>
    </w:p>
    <w:p>
      <w:pPr>
        <w:pStyle w:val="SourceNote"/>
      </w:pPr>
      <w:r>
        <w:rPr>
          <w:b/>
        </w:rPr>
        <w:t>Available abstract (not full text):</w:t>
      </w:r>
      <w:r>
        <w:t xml:space="preserve"> A successful amusement park is built on more than just individual attractions—it thrives on a well-planned Amusement Ride Collection that delivers excitement, variety, and unforgettable experiences for visitors of all ages. From thrill rides that define a park’s skyline to family and kiddie attractions that keep guests engaged throughout the day, the right ride collection is the foundation of long-term success. At GT Amusement, we specialize in helping park operators design, expand, and upgrade comprehensive amusement ride collections that balance entertainment value, safety, and profitability. What Is an Amusement Ride Collection? An Amusement Ride Collection refers to the complete range of rides and attractions offered within an amusement park, theme park, fairground, or entertainment venue. A balanced ride collection typically includes: Thrill rides Family rides Kiddie rides Water rides Indoor and outdoor attractions Fixed and portable rides This combination ensures that every visitor—regardless of age or preference—finds something to enjoy. Why a Well-Planned Ride Collection Matters 1. Appeals to a Wider Audience A diverse amusement ride collection attracts families, thrill seekers, school groups, and tourists. Offering multiple ride types increases overall footfall and visitor satisfaction. 2. Encourages Repeat Visits When guests experience variety and quality, they are mo</w:t>
      </w:r>
    </w:p>
    <w:p>
      <w:pPr/>
      <w:r>
        <w:rPr>
          <w:b/>
        </w:rPr>
        <w:t>POSSIBLE 2026:</w:t>
      </w:r>
      <w:r>
        <w:t xml:space="preserve"> Four Risks for Europe — https://doi.org/10.1007/978-3-032-29056-4_6</w:t>
      </w:r>
    </w:p>
    <w:p>
      <w:pPr/>
      <w:r>
        <w:rPr>
          <w:b/>
        </w:rPr>
        <w:t>Shared claim-specific concepts:</w:t>
      </w:r>
      <w:r>
        <w:t xml:space="preserve"> four, strategies, services; EU scope visible. This is a provisional connection, not an outcome finding.</w:t>
      </w:r>
    </w:p>
    <w:p>
      <w:pPr>
        <w:pStyle w:val="SourceNote"/>
      </w:pPr>
      <w:r>
        <w:rPr>
          <w:b/>
        </w:rPr>
        <w:t>Available abstract (not full text):</w:t>
      </w:r>
      <w:r>
        <w:t xml:space="preserve"> This chapter consolidates earlier analyses to outline four central risks of ageing for Europe and the Netherlands: economic stagnation, high government debt and divergence, upward pressure on inflation, and social and political tensions within and between member states. It traces how rising pension costs can drive higher tax burdens, crowd out growth-enhancing public services, and drive divergence among member states, while planned austerity may depress aggregate demand and risk impoverishment of the elderly. If reforms prove politically fragile, debt-financing can heighten financial instability and complicate ECB policy, potentially reinforcing inflationary pressures. The chapter emphasises that enlarging the total pie through higher labour participation is the most attractive route, complemented by trade diversification and investment strategies that account for demographic dividends, while keeping a broad European and Dutch interest central.</w:t>
      </w:r>
    </w:p>
    <w:p>
      <w:pPr/>
      <w:r>
        <w:rPr>
          <w:b/>
        </w:rPr>
        <w:t>POSSIBLE 2025:</w:t>
      </w:r>
      <w:r>
        <w:t xml:space="preserve"> EXPLORING TOURISM ATTRACTIONS IN OUIDAH, BENIN: VISITOR EXPERIENCES AND RECOMMENDATIONS — https://doi.org/10.30892/gtg.634spl16-1631</w:t>
      </w:r>
    </w:p>
    <w:p>
      <w:pPr/>
      <w:r>
        <w:rPr>
          <w:b/>
        </w:rPr>
        <w:t>Shared claim-specific concepts:</w:t>
      </w:r>
      <w:r>
        <w:t xml:space="preserve"> strategies, aim, opportunities; EU scope not established. This is a provisional connection, not an outcome finding.</w:t>
      </w:r>
    </w:p>
    <w:p>
      <w:pPr>
        <w:pStyle w:val="SourceNote"/>
      </w:pPr>
      <w:r>
        <w:rPr>
          <w:b/>
        </w:rPr>
        <w:t>Available abstract (not full text):</w:t>
      </w:r>
      <w:r>
        <w:t xml:space="preserve"> The aim of the study is to explore visitor experiences and propose strategic improvements for tourism in Ouidah (Benin), a town renowned for its cultural and historical landmarks, including the Route of the Slaves and the Temple of Pythons. Using data collected from an online survey of 105 participants from Benin and abroad, the research highlights the strong appeal of Ouidah’s heritage attractions while identifying critical areas for enhancement, such as infrastructure, accessibility, and promotional efforts. Findings show the Slaves’ Route (24.8%), Python Temple (24.3%), and Gate of No Return (22%) are the most visited, while sites like the Indigo Color Home (3.1%) remain under-visited, indicating the need for better promotion.Wordof-mouth of 46% of respondents was the main information source, followed by miscellaneous sources (36%), while internet and travel agencies played minor roles. Infrastructure was rated mainly “Good” (58%), though issues included poor road conditions, limited public transport, lack of signage, and inadequate amenities such as restrooms and shaded areas. Safety, environmental management, and authenticity of Vodun heritage interpretation were also concerns. A rate of 70% of respondents would “definitely” recommend Ouidah, showing strong potential for repeat and referral tourism. Recommendations include infrastructure upgrades, accessibility improvement</w:t>
      </w:r>
    </w:p>
    <w:p>
      <w:pPr/>
      <w:r>
        <w:rPr>
          <w:b/>
        </w:rPr>
        <w:t>POSSIBLE 2024:</w:t>
      </w:r>
      <w:r>
        <w:t xml:space="preserve"> Visitor Satisfaction on Attractions and Attributes at Tarangire National Park — https://doi.org/10.11648/j.hss.20241203.12</w:t>
      </w:r>
    </w:p>
    <w:p>
      <w:pPr/>
      <w:r>
        <w:rPr>
          <w:b/>
        </w:rPr>
        <w:t>Shared claim-specific concepts:</w:t>
      </w:r>
      <w:r>
        <w:t xml:space="preserve"> used, services, attraction, visitors; EU scope not established. This is a provisional connection, not an outcome finding.</w:t>
      </w:r>
    </w:p>
    <w:p>
      <w:pPr>
        <w:pStyle w:val="SourceNote"/>
      </w:pPr>
      <w:r>
        <w:rPr>
          <w:b/>
        </w:rPr>
        <w:t>Available abstract (not full text):</w:t>
      </w:r>
      <w:r>
        <w:t xml:space="preserve"> Existing tourist destinations draw an increasing number of visitors as travel and tourism continue to rise. In this scenario, the growth in demand for tourism gives rise to new markets, which means that tourism sites are facing more and more intense competition which makes visitor satisfaction on tourism destination a prerequisite for tourism destination development. It is for this reason this research was undertaken. The study was aimed at assessing visitor satisfaction on attractions and attributes at Tarangire National Park. Questionnaire was used for data collection and a total of 242 visitors (tourists) were sampled. The results showed that visitor satisfaction was highly significant between country of origin and accommodation (F = (1.359), df = 64, p&lt; 0.000), attraction (F = (1.469), df = 64, p&lt; 0.000), Game viewing roads (F = (99.32), df = 64, p&lt; 0.003), and significant for interpretation (F = (85.745), df = 64, p&lt; 0.036), game viewing (F = (85.190), df = 64, p&lt; 0.040), and signage (F = (84.479), df = 64, p&lt; 0.044), highly significant for nature of travel and signage (F = (22.620), df = 64, p&lt; 0.000), and significant for game viewing (F = (10.668) df = 64, p&lt; 0.005). Out of 15 attractions which were identified, elephant was considered the best attraction and the least was ostrich. Generally, tourists were satisfied with the attractions, attributes and services provided b</w:t>
      </w:r>
    </w:p>
    <w:p>
      <w:pPr/>
      <w:r>
        <w:rPr>
          <w:b/>
        </w:rPr>
        <w:t>POSSIBLE 2024:</w:t>
      </w:r>
      <w:r>
        <w:t xml:space="preserve"> Children’s understanding of well-being related questions: results of cognitive interviews in four European countries — https://doi.org/10.1080/13645579.2024.2312621</w:t>
      </w:r>
    </w:p>
    <w:p>
      <w:pPr/>
      <w:r>
        <w:rPr>
          <w:b/>
        </w:rPr>
        <w:t>Shared claim-specific concepts:</w:t>
      </w:r>
      <w:r>
        <w:t xml:space="preserve"> create, four, different, aim; EU scope visible. This is a provisional connection, not an outcome finding.</w:t>
      </w:r>
    </w:p>
    <w:p>
      <w:pPr>
        <w:pStyle w:val="SourceNote"/>
      </w:pPr>
      <w:r>
        <w:rPr>
          <w:b/>
        </w:rPr>
        <w:t>Available abstract (not full text):</w:t>
      </w:r>
      <w:r>
        <w:t xml:space="preserve"> This paper presents the results of cognitive interviews with 8-year-old children from four European countries – Croatia, France, Finland, and Ireland. The aim of the interviews was to pre-test a selection of well-being-related questions as a part of questionnaire development for the first European multinational birth cohort study – Growing up in Digital Europe (GUIDE)/EuroCohort. Unlike most previous studies, we focused on a younger and more age-homogenous sample, as well as a more diverse set of well-known questionnaires. A total of 68 children participated in the study. The main suggestion for the interviewing procedure is to create a safe environment yet minimize the parents’ interference in answering. The questionnaires should use child-friendly vocabulary, tangible examples, avoid complex sentence structure and negative statements. The use of timeframes in questions should be minimal. The children can use Likert-type scales, but the number of different scales in the questionnaire should be limited.</w:t>
      </w:r>
    </w:p>
    <w:p>
      <w:pPr/>
      <w:r>
        <w:rPr>
          <w:b/>
        </w:rPr>
        <w:t>POSSIBLE 2023:</w:t>
      </w:r>
      <w:r>
        <w:t xml:space="preserve"> The role of the spatial relationships between visitor attractions in shaping visiting patterns — https://doi.org/10.1080/13683500.2023.2173055</w:t>
      </w:r>
    </w:p>
    <w:p>
      <w:pPr/>
      <w:r>
        <w:rPr>
          <w:b/>
        </w:rPr>
        <w:t>Shared claim-specific concepts:</w:t>
      </w:r>
      <w:r>
        <w:t xml:space="preserve"> attraction, visitors; EU scope not established. This is a provisional connection, not an outcome finding.</w:t>
      </w:r>
    </w:p>
    <w:p>
      <w:pPr>
        <w:pStyle w:val="SourceNote"/>
      </w:pPr>
      <w:r>
        <w:rPr>
          <w:b/>
        </w:rPr>
        <w:t>Available abstract (not full text):</w:t>
      </w:r>
      <w:r>
        <w:t xml:space="preserve"> Visitor attractions are a primary tourism product. Yet, little is known about the interrelationships between attractions’ spatial characteristics, their thematic similarities, and product complementarities, and inter-attractions’ compatibility. Furthermore, at the intra-attraction level, the relationships between thematic diversity, complementarities and attraction's appeal remain overlooked. This paper suggests a conceptual framework and empirical approach to explore these relationships econometrically while controlling for tourism cluster density. Based on the conceptual model, several hypotheses were drawn and tested via empirical models by using the primary data from 300 visiting tracks of a random sample of visitors to attractions, surveyed in-situ during a single trip. These observations created the secondary data for 161 combinations (bundles) of attractions. Employing a negative-binomial regression to explain compatibility, we found that intra-level thematic diversity decreases compatibility between attractions and that visitors preferred to visit fewer attractions with more thematic diversity, than visiting more attractions that are less diversified. The paper concludes with policy implications and provides insights into bundling in the context of tourism diversification.</w:t>
      </w:r>
    </w:p>
    <w:p>
      <w:pPr/>
      <w:r>
        <w:rPr>
          <w:b/>
        </w:rPr>
        <w:t>POSSIBLE 2023:</w:t>
      </w:r>
      <w:r>
        <w:t xml:space="preserve"> Dimensions of Visitor Satisfaction at Attractions: A Study of Kakum National Park, Ghana — https://doi.org/10.2478/ejthr-2023-0014</w:t>
      </w:r>
    </w:p>
    <w:p>
      <w:pPr/>
      <w:r>
        <w:rPr>
          <w:b/>
        </w:rPr>
        <w:t>Shared claim-specific concepts:</w:t>
      </w:r>
      <w:r>
        <w:t xml:space="preserve"> used, strategies, visitors; EU scope not established. This is a provisional connection, not an outcome finding.</w:t>
      </w:r>
    </w:p>
    <w:p>
      <w:pPr>
        <w:pStyle w:val="SourceNote"/>
      </w:pPr>
      <w:r>
        <w:rPr>
          <w:b/>
        </w:rPr>
        <w:t>Available abstract (not full text):</w:t>
      </w:r>
      <w:r>
        <w:t xml:space="preserve"> Abstract Attractions are crucial in contributing to the overall satisfaction of visitors in tourism, and ensuring the satisfaction of visitors is key to the sustenance of attractions at destinations. Therefore, this study sought to ascertain the extent to which visitors are satisfied with the service dimensions at Kakum National Park (KNP), and to ascertain whether service dimensions vary with visitors’ socio-demographic characteristics. The study adopted a cross-sectional field survey and sampled 367 respondents for data collection using a questionnaire. Data were analysed via the mean scores and standard deviation. Independent t-tests and ANOVA were used to explore the difference between dimensions of satisfaction and socio-demographic characteristics of visitors. The study found that some satisfaction dimensions at the KNP in the Central region of Ghana vary with certain socio-demographic characteristics of visitors, namely age, continent of origin and level of education, at p-value ≤ 0.05. Visitors were found to be satisfied with all measured dimensions except the price. The study therefore recommends that the management of the attractions adopt conscious service strategies to enrich the experience of visitors in order to ensure better value for their money. This study’s findings expand knowledge about visitor satisfaction and how satisfaction dimensions vary with socio-dem</w:t>
      </w:r>
    </w:p>
    <w:p>
      <w:pPr/>
      <w:r>
        <w:rPr>
          <w:b/>
        </w:rPr>
        <w:t>POSSIBLE 2023:</w:t>
      </w:r>
      <w:r>
        <w:t xml:space="preserve"> Application of Machine Learning Techniques to Predict Visitors to the Tourist Attractions of the Moche Route in Peru — https://doi.org/10.3390/su15118967</w:t>
      </w:r>
    </w:p>
    <w:p>
      <w:pPr/>
      <w:r>
        <w:rPr>
          <w:b/>
        </w:rPr>
        <w:t>Shared claim-specific concepts:</w:t>
      </w:r>
      <w:r>
        <w:t xml:space="preserve"> used, four, develop, visitors; EU scope not established. This is a provisional connection, not an outcome finding.</w:t>
      </w:r>
    </w:p>
    <w:p>
      <w:pPr>
        <w:pStyle w:val="SourceNote"/>
      </w:pPr>
      <w:r>
        <w:rPr>
          <w:b/>
        </w:rPr>
        <w:t>Available abstract (not full text):</w:t>
      </w:r>
      <w:r>
        <w:t xml:space="preserve"> Due to the COVID-19 pandemic, the tourism sector has been one of the most affected sectors and requires management entities to develop urgent measures to reactivate and achieve digital transformation using emerging disruptive technologies. The objective of this research is to apply machine learning techniques to predict visitors to tourist attractions on the Moche Route in northern Peru, for which a methodology based on four main stages was applied: (1) data collection, (2) model analysis, (3) model development, and (4) model evaluation. Public data from official sources and internet data (TripAdvisor and Google Trends) during the period from January 2011 to May 2022 are used. Four algorithms are evaluated: linear regression, KNN regression, decision tree, and random forest. In conclusion, for both the prediction of national and foreign tourists, the best algorithm is linear regression, and the results allow for taking the necessary actions to achieve the digital transformation to promote the Moche Route and, thus, reactivate tourism and the economy in the north of Peru.</w:t>
      </w:r>
    </w:p>
    <w:p>
      <w:pPr/>
      <w:r>
        <w:rPr>
          <w:b/>
        </w:rPr>
        <w:t>POSSIBLE 2022:</w:t>
      </w:r>
      <w:r>
        <w:t xml:space="preserve"> Sports Marketing as a Tool for Creating an Image of Leading European Football Clubs — https://doi.org/10.15611/2022.29.9.03</w:t>
      </w:r>
    </w:p>
    <w:p>
      <w:pPr/>
      <w:r>
        <w:rPr>
          <w:b/>
        </w:rPr>
        <w:t>Shared claim-specific concepts:</w:t>
      </w:r>
      <w:r>
        <w:t xml:space="preserve"> used, create, four, different; EU scope visible. This is a provisional connection, not an outcome finding.</w:t>
      </w:r>
    </w:p>
    <w:p>
      <w:pPr>
        <w:pStyle w:val="SourceNote"/>
      </w:pPr>
      <w:r>
        <w:rPr>
          <w:b/>
        </w:rPr>
        <w:t>Available abstract (not full text):</w:t>
      </w:r>
      <w:r>
        <w:t xml:space="preserve"> The purpose of the article was to describe the sports marketing tools used by leading European football clubs. As the topic was complex, the paper also included a description of the most popular marketing tools in sport. The essence of the article was to present how the image was created by four selected football clubs. The analysis of the above-mentioned activities allowed the author to confirm that the sports marketing tools they use are an effective way to achieve the intended image goals. The main thesis put forward in the paper is that sports marketing is an effective tool for creating a brand image for European sports clubs. Thanks to the availability of contents in literature, internet materials and reports, the said thesis has been proven. When used correctly, sports marketing can create a positive image of a football club in many ways, mainly thanks to modern technology and the development of social media. However, a significant function is still performed by traditional forms of advertising which cannot be replaced by modern marketing. Each football club builds a promotional strategy in a different way, and therefore the topic is complex.</w:t>
      </w:r>
    </w:p>
    <w:p>
      <w:pPr/>
      <w:r>
        <w:rPr>
          <w:b/>
        </w:rPr>
        <w:t>POSSIBLE 2021:</w:t>
      </w:r>
      <w:r>
        <w:t xml:space="preserve"> Creating the European Literary Text Collection (ELTeC): Challenges and Perspectives — https://doi.org/10.3828/mlo.v0i0.364</w:t>
      </w:r>
    </w:p>
    <w:p>
      <w:pPr/>
      <w:r>
        <w:rPr>
          <w:b/>
        </w:rPr>
        <w:t>Shared claim-specific concepts:</w:t>
      </w:r>
      <w:r>
        <w:t xml:space="preserve"> used, four, different, aim; EU scope visible. This is a provisional connection, not an outcome finding.</w:t>
      </w:r>
    </w:p>
    <w:p>
      <w:pPr>
        <w:pStyle w:val="SourceNote"/>
      </w:pPr>
      <w:r>
        <w:rPr>
          <w:b/>
        </w:rPr>
        <w:t>Available abstract (not full text):</w:t>
      </w:r>
      <w:r>
        <w:t xml:space="preserve"> The aim of this contribution is to reflect on the process of building the multilingual European Literary Text Collection (ELTeC) that is being created in the framework of the networking project Distant Reading for European Literary History funded by COST (European Cooperation in Science and Technology). To provide some background, we briefly introduce the basic idea of ELTeC with a focus on the overall goals and intended usage scenarios. We then describe the collection composition principles that we have derived from the usage scenarios. In our discussion of the corpus-building process, we focus on collections of novels from four different literary traditions as components of ELTeC: French, Portuguese, Romanian, and Slovenian, selected from the more than twenty collections that are currently in preparation. For each collection, we describe some of the challenges we have encountered and the solutions developed while building ELTeC. In each case, the literary tradition, the history of the language, the current state of digitization of cultural heritage, the resources available locally, and the scholars’ training level with regard to digitization and corpus building have been vastly different. How can we, in this context, hope to build comparable collections of novels that can usefully be integrated into a multilingual resource such as ELTeC and used in Distant Reading research? B</w:t>
      </w:r>
    </w:p>
    <w:p>
      <w:pPr/>
      <w:r>
        <w:rPr>
          <w:b/>
        </w:rPr>
        <w:t>POSSIBLE 2021:</w:t>
      </w:r>
      <w:r>
        <w:t xml:space="preserve"> Towards a visitor taxonomy at (film-induced) heritage attractions — https://doi.org/10.1080/1743873x.2021.2002340</w:t>
      </w:r>
    </w:p>
    <w:p>
      <w:pPr/>
      <w:r>
        <w:rPr>
          <w:b/>
        </w:rPr>
        <w:t>Shared claim-specific concepts:</w:t>
      </w:r>
      <w:r>
        <w:t xml:space="preserve"> four, products, visitors; EU scope not established. This is a provisional connection, not an outcome finding.</w:t>
      </w:r>
    </w:p>
    <w:p>
      <w:pPr>
        <w:pStyle w:val="SourceNote"/>
      </w:pPr>
      <w:r>
        <w:rPr>
          <w:b/>
        </w:rPr>
        <w:t>Available abstract (not full text):</w:t>
      </w:r>
      <w:r>
        <w:t xml:space="preserve"> Film-induced tourism at heritage attractions (HAs) is a growing industry of international relevance. It can influence visitors’ expectations of the site and further their preferences for interpretation to include a degree of reference to the film(s). Drawing upon in-depth interviews with visitors at a UK HA further popularised through book and film, this paper explores visitors’ preferences for heritage interpretation. The paper identifies four visitor taxonomies – vigorous followers, curious investigators, versatile explorers and purposeful avoiders. It ultimately highlights the value of data-driven visitor taxonomies, providing an in-depth insight into heritage tourism in general and film-induced tourism at this heritage site in particular. Thus, this paper contributes to a greater understanding of the popular media products’ influence on visitor preferences for on-site heritage interpretation.</w:t>
      </w:r>
    </w:p>
    <w:p>
      <w:pPr/>
      <w:r>
        <w:rPr>
          <w:b/>
        </w:rPr>
        <w:t>POSSIBLE 2021:</w:t>
      </w:r>
      <w:r>
        <w:t xml:space="preserve"> Creating the European Literary Text Collection (ELTeC): Challenges and Perspectives — https://doi.org/10.5281/zenodo.4742420</w:t>
      </w:r>
    </w:p>
    <w:p>
      <w:pPr/>
      <w:r>
        <w:rPr>
          <w:b/>
        </w:rPr>
        <w:t>Shared claim-specific concepts:</w:t>
      </w:r>
      <w:r>
        <w:t xml:space="preserve"> used, four, different, aim; EU scope visible. This is a provisional connection, not an outcome finding.</w:t>
      </w:r>
    </w:p>
    <w:p>
      <w:pPr>
        <w:pStyle w:val="SourceNote"/>
      </w:pPr>
      <w:r>
        <w:rPr>
          <w:b/>
        </w:rPr>
        <w:t>Available abstract (not full text):</w:t>
      </w:r>
      <w:r>
        <w:t xml:space="preserve"> Please refer to the version of record, published in open access and available here: http://doi.org/10.3828/mlo.v0i0.364. The aim of this contribution is to reflect on the process of building the multilingual European Literary Text Collection (ELTeC) that is being created in the framework of the COST Action on Distant Reading for European Literary History. To provide some background, we briefly introduce the basic idea of the ELTeC with a focus on the overall goals and the intended usage scenarios. We then describe the collection composition principles we have derived from the usage scenarios. In our discussion of the corpus building process, we focus on collections of novels from four different literary traditions as components of ELTeC: French, Portuguese, Romanian, and Slovenian, selected from 18 collections that are currently in preparation. For each collection, we describe some of the challenges we have encountered and the solutions we have developed while building ELTeC. In each case, the literary tradition, the history of the language, the current state of digitization of cultural heritage, the resources available locally, and the scholars' training level with regard to digitization and corpus building have been vastly different. How can we, in this context, hope to build comparable collections of novels that can usefully be integrated into a multilingual resource such as</w:t>
      </w:r>
    </w:p>
    <w:p>
      <w:pPr>
        <w:pStyle w:val="Heading2"/>
      </w:pPr>
      <w:r>
        <w:t>935. The feasibility of a European‐wide integrated CO 2 transport network</w:t>
      </w:r>
    </w:p>
    <w:p>
      <w:pPr>
        <w:pStyle w:val="SourceNote"/>
      </w:pPr>
      <w:r>
        <w:rPr>
          <w:b/>
        </w:rPr>
        <w:t>Original source (2014):</w:t>
      </w:r>
      <w:r>
        <w:t xml:space="preserve"> https://doi.org/10.1002/ghg.1410</w:t>
      </w:r>
    </w:p>
    <w:p>
      <w:pPr/>
      <w:r>
        <w:t>Original wording (abstract; indexed_source_text_not_full_document_verified): The European Union's ambition to achieve near‐total decarbonization by 2050 suggests a large role for carbon capture and storage (CCS), requiring the transport (mostly by pipeline) of CO 2 from source facilities to appropriate sites for geological storage.</w:t>
      </w:r>
    </w:p>
    <w:p>
      <w:pPr/>
      <w:r>
        <w:rPr>
          <w:b/>
        </w:rPr>
        <w:t>POSSIBLE 2026:</w:t>
      </w:r>
      <w:r>
        <w:t xml:space="preserve"> COMMON OR DIVERGENT? A COMPARATIVE ANALYSIS OF SUSTAINABLE DEVELOPMENT POLICIES IN THE EUROPEAN UNION AND THE UNITED KINGDOM — https://doi.org/10.62140/cr530933322</w:t>
      </w:r>
    </w:p>
    <w:p>
      <w:pPr/>
      <w:r>
        <w:rPr>
          <w:b/>
        </w:rPr>
        <w:t>Shared claim-specific concepts:</w:t>
      </w:r>
      <w:r>
        <w:t xml:space="preserve"> abstract, union, ambition; EU scope visible. This is a provisional connection, not an outcome finding.</w:t>
      </w:r>
    </w:p>
    <w:p>
      <w:pPr>
        <w:pStyle w:val="SourceNote"/>
      </w:pPr>
      <w:r>
        <w:rPr>
          <w:b/>
        </w:rPr>
        <w:t>Available abstract (not full text):</w:t>
      </w:r>
      <w:r>
        <w:t xml:space="preserve"> Abstract: Sustainable development policies in the United Kingdom (UK) and in the European Union (EU) have been part of selected policies that for almost fifty years have overlapped. This paper tries to trace their paths from the 1950s post-integration to recent post-Brexit policy developments. It examines major policy milestones in the European Union environmental and sustainability policies and pivotal UK instruments such as the 2005 Sustainable Development Strategy, the Climate Change Act 2008, and the Environment Act 2021. Through comparative evaluation, this article highlights similarities and differences in ambition, sustainability institutions, execution, and EU–UK cooperation on shared sustainability challenges.</w:t>
      </w:r>
    </w:p>
    <w:p>
      <w:pPr/>
      <w:r>
        <w:rPr>
          <w:b/>
        </w:rPr>
        <w:t>POSSIBLE 2026:</w:t>
      </w:r>
      <w:r>
        <w:t xml:space="preserve"> Climate at what cost? A survey experiment on trade-offs between decarbonization ambitions and socioeconomic costs — https://doi.org/10.1016/j.erss.2026.104877</w:t>
      </w:r>
    </w:p>
    <w:p>
      <w:pPr/>
      <w:r>
        <w:rPr>
          <w:b/>
        </w:rPr>
        <w:t>Shared claim-specific concepts:</w:t>
      </w:r>
      <w:r>
        <w:t xml:space="preserve"> decarbonization, suggests, role; EU scope visible. This is a provisional connection, not an outcome finding.</w:t>
      </w:r>
    </w:p>
    <w:p>
      <w:pPr>
        <w:pStyle w:val="SourceNote"/>
      </w:pPr>
      <w:r>
        <w:rPr>
          <w:b/>
        </w:rPr>
        <w:t>Available abstract (not full text):</w:t>
      </w:r>
      <w:r>
        <w:t xml:space="preserve"> Survey research typically suggests strong support for climate and decarbonization policies. These findings contrast with anecdotal and observational evidence suggesting that individuals are sensitive to personal and collective losses incurred from climate policies. To address this, we field an experiment in five Western European countries, where respondents are asked to trade-off personal and collective income losses expected with different decarbonization paths. Our results show that, while respondents support ambitious decarbonization strategies ceteris paribus , this support softens in the face of possible individual and collective income losses associated with a given decarbonization path. Next, we explore the moderating role of income, profession, education, green values, and climate and inflation concerns. The experimental focus on different distributional consequences at different levels of citizen experience contribute to a growing literature focusing on the socioeconomic implications of climate change policies, offering a sobering look at the actual level of political support these policies enjoy in western Europe, suggesting that existing compensation policies are likely insufficient.</w:t>
      </w:r>
    </w:p>
    <w:p>
      <w:pPr/>
      <w:r>
        <w:rPr>
          <w:b/>
        </w:rPr>
        <w:t>POSSIBLE 2025:</w:t>
      </w:r>
      <w:r>
        <w:t xml:space="preserve"> The Idea of the European Union as a Cosmopolitan Empire: A Critical Assessment — https://doi.org/10.33067/se.1.2025.4</w:t>
      </w:r>
    </w:p>
    <w:p>
      <w:pPr/>
      <w:r>
        <w:rPr>
          <w:b/>
        </w:rPr>
        <w:t>Shared claim-specific concepts:</w:t>
      </w:r>
      <w:r>
        <w:t xml:space="preserve"> abstract, union, ambition; EU scope visible. This is a provisional connection, not an outcome finding.</w:t>
      </w:r>
    </w:p>
    <w:p>
      <w:pPr>
        <w:pStyle w:val="SourceNote"/>
      </w:pPr>
      <w:r>
        <w:rPr>
          <w:b/>
        </w:rPr>
        <w:t>Available abstract (not full text):</w:t>
      </w:r>
      <w:r>
        <w:t xml:space="preserve"> The aim of this paper is to submit the concept of the European Union as a “cosmopolitan empire”, proposed by Ulrich Beck and Edgar Grande (2007), to a critical discussion. As it attempts to grasp this concept in its practical rather than its theoretical form, it discusses the “ideal” of a European cosmopolitan empire in relation to the criteria of excellence and coherence. Compared to abstract universalism and to national relativism, the cosmopolitan ideal can be seen as a higher synthesis, since it transcends the dilemma between the effacement or the essentialisation of cultural differences. However, this synthesis, when translated into practice, reveals certain ambiguities that undermine its feasibility. The concept of a “cosmopolitan empire” emerges as a proposed solution, with European identity being reframed through the lens of cosmopolitanisation or transnationalisation. This perspective entails a profound openness and inclusion of the so-called “others”. An empire is supposed to be a political structure capable of incorporating differences within a transnational framework of governance. However, this concept sits uneasily with the historically-embedded meanings of European imperial practice which are better captured through the concept of a “neo-medieval empire” as proposed by Jan Zielonka (2007). The civilising mission, a historically prominent imperial function, relies</w:t>
      </w:r>
    </w:p>
    <w:p>
      <w:pPr/>
      <w:r>
        <w:rPr>
          <w:b/>
        </w:rPr>
        <w:t>POSSIBLE 2025:</w:t>
      </w:r>
      <w:r>
        <w:t xml:space="preserve"> The green hydrogen ambition and implementation gap — https://doi.org/10.1038/s41560-024-01684-7</w:t>
      </w:r>
    </w:p>
    <w:p>
      <w:pPr/>
      <w:r>
        <w:rPr>
          <w:b/>
        </w:rPr>
        <w:t>Shared claim-specific concepts:</w:t>
      </w:r>
      <w:r>
        <w:t xml:space="preserve"> abstract, ambition, carbon, pipeline; EU scope not established. This is a provisional connection, not an outcome finding.</w:t>
      </w:r>
    </w:p>
    <w:p>
      <w:pPr>
        <w:pStyle w:val="SourceNote"/>
      </w:pPr>
      <w:r>
        <w:rPr>
          <w:b/>
        </w:rPr>
        <w:t>Available abstract (not full text):</w:t>
      </w:r>
      <w:r>
        <w:t xml:space="preserve"> Abstract Green hydrogen is critical for decarbonizing hard-to-electrify sectors, but it faces high costs and investment risks. Here we define and quantify the green hydrogen ambition and implementation gap, showing that meeting hydrogen expectations will remain challenging despite surging announcements of projects and subsidies. Tracking 190 projects over 3 years, we identify a wide 2023 implementation gap with only 7% of global capacity announcements finished on schedule. In contrast, the 2030 ambition gap towards 1.5 °C scenarios has been gradually closing as the announced project pipeline has nearly tripled to 422 GW within 3 years. However, we estimate that, without carbon pricing, realizing all these projects would require global subsidies of US$1.3 trillion (US$0.8–2.6 trillion range), far exceeding announced subsidies. Given past and future implementation gaps, policymakers must prepare for prolonged green hydrogen scarcity. Policy support needs to secure hydrogen investments, but should focus on applications where hydrogen is indispensable.</w:t>
      </w:r>
    </w:p>
    <w:p>
      <w:pPr/>
      <w:r>
        <w:rPr>
          <w:b/>
        </w:rPr>
        <w:t>POSSIBLE 2025:</w:t>
      </w:r>
      <w:r>
        <w:t xml:space="preserve"> Towards a common defence? : the European Union between ambition and constraints — https://openalex.org/W7132684404</w:t>
      </w:r>
    </w:p>
    <w:p>
      <w:pPr/>
      <w:r>
        <w:rPr>
          <w:b/>
        </w:rPr>
        <w:t>Shared claim-specific concepts:</w:t>
      </w:r>
      <w:r>
        <w:t xml:space="preserve"> union, ambition, achieve; EU scope visible. This is a provisional connection, not an outcome finding.</w:t>
      </w:r>
    </w:p>
    <w:p>
      <w:pPr>
        <w:pStyle w:val="SourceNote"/>
      </w:pPr>
      <w:r>
        <w:rPr>
          <w:b/>
        </w:rPr>
        <w:t>Available abstract (not full text):</w:t>
      </w:r>
      <w:r>
        <w:t xml:space="preserve"> The Russian invasion of Ukraine in 2022 has marked a new phase of instability, bringing high- intensity ground warfare back to the European continent and underscoring the European Union’s (EU) urgent need to strengthen its security and defence posture. This turning point has reignited the debate – both among national governments and within European institutions – on the prospect of establishing a common defence, and even, in the longer term, a common European army. Yet significant questions remain regarding what the creation of a European army would entail and the concrete steps to achieve it.This dissertation investigates the process of European integration in the field of defence, with particular attention to the legal and institutional instruments that have shaped the evolution of the Common Security and Defence Policy (CSDP), as well as the debate surrounding the potential development of a unified army for the 27 Member States. The analysis focuses on the mechanisms of cooperation already in place at the European level and the challenges the Union faces in reconciling political ambition, legal constraints, and national resistance.This thesis seeks to assess whether, over time, the EU has developed adequate instruments to ensure strategic autonomy and operational capability in the field of defence and how these might lay the groundwork for the eventual creation of a common E</w:t>
      </w:r>
    </w:p>
    <w:p>
      <w:pPr/>
      <w:r>
        <w:rPr>
          <w:b/>
        </w:rPr>
        <w:t>POSSIBLE 2025:</w:t>
      </w:r>
      <w:r>
        <w:t xml:space="preserve"> CLIMATE NEUTRALITY IN THE EUROPEAN UNION: LEGAL CHALLENGES AND NATIONAL STRATEGIES — https://doi.org/10.17721/apmv.2025.163.1.78-85</w:t>
      </w:r>
    </w:p>
    <w:p>
      <w:pPr/>
      <w:r>
        <w:rPr>
          <w:b/>
        </w:rPr>
        <w:t>Shared claim-specific concepts:</w:t>
      </w:r>
      <w:r>
        <w:t xml:space="preserve"> union, ambition, achieve; EU scope visible. This is a provisional connection, not an outcome finding.</w:t>
      </w:r>
    </w:p>
    <w:p>
      <w:pPr>
        <w:pStyle w:val="SourceNote"/>
      </w:pPr>
      <w:r>
        <w:rPr>
          <w:b/>
        </w:rPr>
        <w:t>Available abstract (not full text):</w:t>
      </w:r>
      <w:r>
        <w:t xml:space="preserve"> The article analyzes the climate policy of the European Union and its members, in particular in the context of the goal of achieving climate neutrality by 2050, enshrined in the European Climate Law. Based on a comparative analysis of the legal strategies of the EU states, national approaches to the implementation of obligations to achieve climate neutrality, the level of their legal certainty, as well as the ambition of the established time horizons are outlined. the nature of the goal of climate neutrality as a normative category, as well as the issues of the effectiveness of the implementation of international obligations. An interdisciplinary assessment of the potential of legal instruments in the context of a just energy transition is proposed.</w:t>
      </w:r>
    </w:p>
    <w:p>
      <w:pPr/>
      <w:r>
        <w:rPr>
          <w:b/>
        </w:rPr>
        <w:t>POSSIBLE 2025:</w:t>
      </w:r>
      <w:r>
        <w:t xml:space="preserve"> Towards climate neutrality in the European Union — https://doi.org/10.12681/ri.40696</w:t>
      </w:r>
    </w:p>
    <w:p>
      <w:pPr/>
      <w:r>
        <w:rPr>
          <w:b/>
        </w:rPr>
        <w:t>Shared claim-specific concepts:</w:t>
      </w:r>
      <w:r>
        <w:t xml:space="preserve"> union, ambition, achieve, carbon, transport; EU scope visible. This is a provisional connection, not an outcome finding.</w:t>
      </w:r>
    </w:p>
    <w:p>
      <w:pPr>
        <w:pStyle w:val="SourceNote"/>
      </w:pPr>
      <w:r>
        <w:rPr>
          <w:b/>
        </w:rPr>
        <w:t>Available abstract (not full text):</w:t>
      </w:r>
      <w:r>
        <w:t xml:space="preserve"> The European Union (EU) has significantly reduced its net greenhouse gas (GHG) emissions since 2005. However, the pace of reductions must accelerate substantially—more than doubling the average annual rate observed between 2005 and 2022—if the EU is to achieve its 2030 target of at least a 55% net reduction in GHG emissions compared to 1990 levels, and climate neutrality by 2050. Additional efforts are needed across all sectors, i.e. energy, transport, industry, buildings and others. In addition, attention is needed regarding the land use, land-use change, and forestry (LULUCF) sector, where the carbon sink has sharply declined since 2015. Achieving the 2030 target depends on the effective implementation of the Fit for 55 package, especially at the national level. This paper1 provides a brief overview of the EU’s climate ambition and presents key findings and recommendations of the European Scientific Advisory Board on Climate Change (hereinafter referred to as the Advisory Board) on the consistency of EU and national measures with the overarching climate neutrality objectives.</w:t>
      </w:r>
    </w:p>
    <w:p>
      <w:pPr/>
      <w:r>
        <w:rPr>
          <w:b/>
        </w:rPr>
        <w:t>POSSIBLE 2024:</w:t>
      </w:r>
      <w:r>
        <w:t xml:space="preserve"> Climate Obstruction in the European Union — https://doi.org/10.1093/oso/9780197762042.003.0013</w:t>
      </w:r>
    </w:p>
    <w:p>
      <w:pPr/>
      <w:r>
        <w:rPr>
          <w:b/>
        </w:rPr>
        <w:t>Shared claim-specific concepts:</w:t>
      </w:r>
      <w:r>
        <w:t xml:space="preserve"> abstract, union, ambition, role, capture; EU scope visible. This is a provisional connection, not an outcome finding.</w:t>
      </w:r>
    </w:p>
    <w:p>
      <w:pPr>
        <w:pStyle w:val="SourceNote"/>
      </w:pPr>
      <w:r>
        <w:rPr>
          <w:b/>
        </w:rPr>
        <w:t>Available abstract (not full text):</w:t>
      </w:r>
      <w:r>
        <w:t xml:space="preserve"> Abstract The European Union has gained increasing influence in setting climate policy. Its power to determine the orientation of the integrated body and in negotiation and decision-making gives the European Union a privileged role in the climate policies of individual member states—and these processes are, accordingly, contested. At the EU level, efforts to obstruct ambitious action aim not to deny climate change but to reduce the ambition of policy initiatives and make them more market friendly. To capture the opposition, the chapter evaluates texts from key EU associations such as BusinessEurope as well as the output of conservative and neoliberal European think tanks and networks such as the Centre for European Policy. It also examines the influence of fossil fuel and ‘green’ lobby groups and analyses the extent to which actors have been able to implement their climate obstruction activities through direct contacts within the European Commission.</w:t>
      </w:r>
    </w:p>
    <w:p>
      <w:pPr/>
      <w:r>
        <w:rPr>
          <w:b/>
        </w:rPr>
        <w:t>POSSIBLE 2024:</w:t>
      </w:r>
      <w:r>
        <w:t xml:space="preserve"> Wanted Refugees: The Forming of an Instrument Constituency for Refugee Resettlement in the European Union — https://doi.org/10.1093/rsq/hdae006</w:t>
      </w:r>
    </w:p>
    <w:p>
      <w:pPr/>
      <w:r>
        <w:rPr>
          <w:b/>
        </w:rPr>
        <w:t>Shared claim-specific concepts:</w:t>
      </w:r>
      <w:r>
        <w:t xml:space="preserve"> abstract, union, ambition; EU scope visible. This is a provisional connection, not an outcome finding.</w:t>
      </w:r>
    </w:p>
    <w:p>
      <w:pPr>
        <w:pStyle w:val="SourceNote"/>
      </w:pPr>
      <w:r>
        <w:rPr>
          <w:b/>
        </w:rPr>
        <w:t>Available abstract (not full text):</w:t>
      </w:r>
      <w:r>
        <w:t xml:space="preserve"> Abstract The European Union Agency for Asylum has emerged as an important actor in the Common European Asylum System in the past few years. In this article, we explore how the agency engages in capacity-building by looking at the development of bureaucratic instruments. We deploy the theoretical framework of instrument constituencies to investigate the agency’s development of instruments around resettlement. In relation to the literature on European migration management, deploying the theoretical framework of instrument constituencies is a novel approach. Given the European Union’s limited mandate to directly influence Member States resettlement programmes, we argue that the development of bureaucratic instruments is one of the few avenues through which the European Union can facilitate resettlement. This study reveals how the proliferation in the use of these instruments by Member State authorities is driven by a political ambition to create a more orderly form of migration and is contrasted with the seemingly uncontrollable nature of asylum. Beyond being a direct solution to a practical problem, the policy instruments studied here reveal how new bureaucratic practices around resettlement are gradually being established. We show how resettlement is continuously evolving in the intersection between Member States and the European Union in the governing of migration.</w:t>
      </w:r>
    </w:p>
    <w:p>
      <w:pPr/>
      <w:r>
        <w:rPr>
          <w:b/>
        </w:rPr>
        <w:t>POSSIBLE 2024:</w:t>
      </w:r>
      <w:r>
        <w:t xml:space="preserve"> Children’s Rights and the European Union – Framework — https://doi.org/10.71009/2024.ar.crirhrs_3</w:t>
      </w:r>
    </w:p>
    <w:p>
      <w:pPr/>
      <w:r>
        <w:rPr>
          <w:b/>
        </w:rPr>
        <w:t>Shared claim-specific concepts:</w:t>
      </w:r>
      <w:r>
        <w:t xml:space="preserve"> union, ambition, achieve; EU scope visible. This is a provisional connection, not an outcome finding.</w:t>
      </w:r>
    </w:p>
    <w:p>
      <w:pPr>
        <w:pStyle w:val="SourceNote"/>
      </w:pPr>
      <w:r>
        <w:rPr>
          <w:b/>
        </w:rPr>
        <w:t>Available abstract (not full text):</w:t>
      </w:r>
      <w:r>
        <w:t xml:space="preserve"> According to the Principle of conferral, the European Union has no competences over family law, including the regulation of children’s rights. Therefore, legally binding documents (Treaty on European Union, Treaty on the Functioning of the European Union, and the Charter of Fundamental Rights of the European Union) refer to (some) children’s rights and the principles of treatment of children at a generic level. This fact does not present a major obstacle because all the European Union Member States are parties to the Convention on the Rights of the Child and many other treaties that regulate children’s rights in greater detail. Non-binding documents appear in a frenzy and show an ambition to resolve many children’s problems typically observed in developed countries of the world, including those of the European Union. As their provisions often overlap and aim to achieve many objectives, the question arises as to the purposefulness of many soft law documents, such as strategies, guidelines, resolutions, communications, recommendations, and agendas. They reflect the significant and specific problems encountered by children in the European Union and indicate the need for children’s rights to be exercised. Moreover, they are a signal to adults, not only parents, to do more for the protection of children and their rights. However, it is unclear to what extent soft law can provide an </w:t>
      </w:r>
    </w:p>
    <w:p>
      <w:pPr/>
      <w:r>
        <w:rPr>
          <w:b/>
        </w:rPr>
        <w:t>POSSIBLE 2024:</w:t>
      </w:r>
      <w:r>
        <w:t xml:space="preserve"> The impacts of decarbonization pathways on Sustainable Development Goals in the European Union — https://doi.org/10.1038/s43247-024-01309-7</w:t>
      </w:r>
    </w:p>
    <w:p>
      <w:pPr/>
      <w:r>
        <w:rPr>
          <w:b/>
        </w:rPr>
        <w:t>Shared claim-specific concepts:</w:t>
      </w:r>
      <w:r>
        <w:t xml:space="preserve"> union, achieve, decarbonization; EU scope visible. This is a provisional connection, not an outcome finding.</w:t>
      </w:r>
    </w:p>
    <w:p>
      <w:pPr>
        <w:pStyle w:val="SourceNote"/>
      </w:pPr>
      <w:r>
        <w:rPr>
          <w:b/>
        </w:rPr>
        <w:t>Available abstract (not full text):</w:t>
      </w:r>
      <w:r>
        <w:t xml:space="preserve"> Abstract Climate action to achieve the Paris Agreement should respect the United Nations Sustainable Development Goals. Here, we use an integrated assessment modelling framework comprising nine climate policy models and quantify the impacts of decarbonisation pathways on Sustainable Development Goals in the European Union at regional and national levels. We show that scenario-consistent assumptions of future socio-economic trends and current climate policies would improve energy- and carbon-related aspects of sustainability and reduce inequalities. Ambitious net-zero emissions pathways would further improve health and agricultural productivity. Furthermore, countries currently lagging in achieving sustainable development goals would see the greatest benefits from ambitious climate action. Negative socio-economic impacts from climate action on poverty, hunger, and economic growth will require specific corrective policies. While our analysis does not quantify the negative effects of less ambitious climate policy, it demonstrates where co-benefits and trade-offs of greenhouse gas mitigation and sustainable development agenda exist and can guide policy formulation.</w:t>
      </w:r>
    </w:p>
    <w:p>
      <w:pPr/>
      <w:r>
        <w:rPr>
          <w:b/>
        </w:rPr>
        <w:t>POSSIBLE 2024:</w:t>
      </w:r>
      <w:r>
        <w:t xml:space="preserve"> Paving the way for sustainable decarbonization of the European cement industry — https://doi.org/10.1038/s41893-024-01320-y</w:t>
      </w:r>
    </w:p>
    <w:p>
      <w:pPr/>
      <w:r>
        <w:rPr>
          <w:b/>
        </w:rPr>
        <w:t>Shared claim-specific concepts:</w:t>
      </w:r>
      <w:r>
        <w:t xml:space="preserve"> decarbonization, carbon, capture, storage, source; EU scope visible. This is a provisional connection, not an outcome finding.</w:t>
      </w:r>
    </w:p>
    <w:p>
      <w:pPr>
        <w:pStyle w:val="SourceNote"/>
      </w:pPr>
      <w:r>
        <w:rPr>
          <w:b/>
        </w:rPr>
        <w:t>Available abstract (not full text):</w:t>
      </w:r>
      <w:r>
        <w:t xml:space="preserve"> Abstract Cement production is a main source of carbon emissions. Decarbonization options exist, but their climate change mitigation potential, feasibility and environmental implications are still unclear. Here we assess 15 decarbonization options for the European cement industry under current and future conditions. Climate impacts per tonne of clinker produced today in European countries vary between 832 and 1,075 kg CO 2 -equivalents. Decarbonization options at various maturity levels can mitigate between 7 and 135 Mt CO 2 -equivalents per year (4–108% of today’s annual emissions from European cement plants), with a range of synergies and trade-offs. Solutions such as alternative fuels or technological improvements reduce climate impacts up to 30%, while a mix of ambitious complementary measures achieves a mitigation of about 50% by 2050. Only rapid and large-scale implementation of carbon capture and storage can approach climate neutrality. Carbon capture for production of e-fuels presents no significant mitigation benefits while it increases other environmental impacts.</w:t>
      </w:r>
    </w:p>
    <w:p>
      <w:pPr>
        <w:pStyle w:val="Heading2"/>
      </w:pPr>
      <w:r>
        <w:t>936. The future of financial markets and regulation: what strategy for Europe?</w:t>
      </w:r>
    </w:p>
    <w:p>
      <w:pPr>
        <w:pStyle w:val="SourceNote"/>
      </w:pPr>
      <w:r>
        <w:rPr>
          <w:b/>
        </w:rPr>
        <w:t>Original source (2014):</w:t>
      </w:r>
      <w:r>
        <w:t xml:space="preserve"> https://doi.org/10.1108/fs-05-2012-0039</w:t>
      </w:r>
    </w:p>
    <w:p>
      <w:pPr/>
      <w:r>
        <w:t>Original wording (abstract; indexed_source_text_not_full_document_verified): Finally, they build five scenarios according to the main evolutions observed on the financial markets and on the tools used by the regulator to modify these trends. Findings – Among the five scenarios defined, two present highly unstable features since the regulator refuses to choose between financial opening and independently determining how to regulate finance in order to preserve financial stability.</w:t>
      </w:r>
    </w:p>
    <w:p>
      <w:pPr/>
      <w:r>
        <w:rPr>
          <w:b/>
        </w:rPr>
        <w:t>POSSIBLE 2025:</w:t>
      </w:r>
      <w:r>
        <w:t xml:space="preserve"> Adapting MAIN to European Portuguese — https://doi.org/10.21248/zaspil.66.2025.887</w:t>
      </w:r>
    </w:p>
    <w:p>
      <w:pPr/>
      <w:r>
        <w:rPr>
          <w:b/>
        </w:rPr>
        <w:t>Shared claim-specific concepts:</w:t>
      </w:r>
      <w:r>
        <w:t xml:space="preserve"> finally, main, tools, features; EU scope visible. This is a provisional connection, not an outcome finding.</w:t>
      </w:r>
    </w:p>
    <w:p>
      <w:pPr>
        <w:pStyle w:val="SourceNote"/>
      </w:pPr>
      <w:r>
        <w:rPr>
          <w:b/>
        </w:rPr>
        <w:t>Available abstract (not full text):</w:t>
      </w:r>
      <w:r>
        <w:t xml:space="preserve"> This paper presents the adaptation and translation of the Multilingual Assessment Instrument for Narratives (MAIN) to European Portuguese, addressing the need for linguistically and culturally relevant assessment tools in Portuguese-speaking contexts. Following an overview of European Portuguese and its unique linguistic features, we examine key distinctions from Brazilian Portuguese, to which MAIN had previously been adapted. We outline the adaptation process, which involved translation and expert review to ensure the instrument reads naturally for European Portuguese speakers and resonates with familiar linguistic patterns. This adaptation is essential for accurately assessing language abilities in multilingual and heritage language settings, where linguistic diversity can impact children’s comprehension and engagement. Finally, we discuss the implications of providing separate European and Brazilian Portuguese versions of MAIN, emphasizing the importance of tailored language assessments that respect the distinct identities and linguistic experiences of Portuguese-speaking children.</w:t>
      </w:r>
    </w:p>
    <w:p>
      <w:pPr/>
      <w:r>
        <w:rPr>
          <w:b/>
        </w:rPr>
        <w:t>POSSIBLE 2022:</w:t>
      </w:r>
      <w:r>
        <w:t xml:space="preserve"> GLAM metadata in museums and university collections: a state-of-the-art (Spain and other European countries) — https://doi.org/10.1108/gkmc-06-2022-0133</w:t>
      </w:r>
    </w:p>
    <w:p>
      <w:pPr/>
      <w:r>
        <w:rPr>
          <w:b/>
        </w:rPr>
        <w:t>Shared claim-specific concepts:</w:t>
      </w:r>
      <w:r>
        <w:t xml:space="preserve"> finally, according, main, used, findings, highly; EU scope visible. This is a provisional connection, not an outcome finding.</w:t>
      </w:r>
    </w:p>
    <w:p>
      <w:pPr>
        <w:pStyle w:val="SourceNote"/>
      </w:pPr>
      <w:r>
        <w:rPr>
          <w:b/>
        </w:rPr>
        <w:t>Available abstract (not full text):</w:t>
      </w:r>
      <w:r>
        <w:t xml:space="preserve"> Purpose The purpose of this study is to determine which metadata schemas are used in the museums and university collections of the main universities in Spain and other European countries. Although libraries and archives are also university memory institutions (according to a Galleries, Libraries, Archives and Museums perspective), their collections are not included in this study because their metadata systems are highly standardized and their inclusion would, therefore, skew our understanding of the diverse realities that the study aims to capture. Design/methodology/approach The analysis has three components. The first is a bibliographic review based on Web of Science. The second is a direct survey of the individuals responsible for university collections to understand their internal work and documentation systems. Finally, the results obtained are complemented by an analysis of collective university heritage portals in Europe. Findings The results of this study confirmed the hypothesis that isolation and a lack of resources are still major issues in many cases. Increasing digitalization and the desire to participate in content aggregation systems are forcing change, although the responsibility for that change at universities is still vague. Originality/value Universities, particularly those with a long history, have an important heritage whose parts are often scattered or hid</w:t>
      </w:r>
    </w:p>
    <w:p>
      <w:pPr/>
      <w:r>
        <w:rPr>
          <w:b/>
        </w:rPr>
        <w:t>POSSIBLE 2021:</w:t>
      </w:r>
      <w:r>
        <w:t xml:space="preserve"> On the Interplay of Ownership Patterns, Biodiversity, and Conservation in Past and Present Temperate Forest Landscapes of Europe and North America — https://doi.org/10.1007/s40725-021-00143-w</w:t>
      </w:r>
    </w:p>
    <w:p>
      <w:pPr/>
      <w:r>
        <w:rPr>
          <w:b/>
        </w:rPr>
        <w:t>Shared claim-specific concepts:</w:t>
      </w:r>
      <w:r>
        <w:t xml:space="preserve"> finally, build, findings, present; EU scope visible. This is a provisional connection, not an outcome finding.</w:t>
      </w:r>
    </w:p>
    <w:p>
      <w:pPr>
        <w:pStyle w:val="SourceNote"/>
      </w:pPr>
      <w:r>
        <w:rPr>
          <w:b/>
        </w:rPr>
        <w:t>Available abstract (not full text):</w:t>
      </w:r>
      <w:r>
        <w:t xml:space="preserve"> Abstract Purpose of Review Ownership patterns and the associated management characteristics are related to forest structures, biodiversity patterns, and their conservation worldwide. A literature review on this topic is missing so far. We fill this gap with an emphasis on the temperate forests of Europe and North America. Mixed-ownership landscapes are the special focus of the analysis. In a first step, historical effects of ownership patterns on forest structure and biodiversity are elucidated. Second, connections between present-time forest ownership patterns and both forest structural and biodiversity patterns are analyzed. Finally, implications for integrative conservation management are evaluated with a special focus on mixed-ownership forest landscapes. Recent Findings Close linkages between ownership type-specific forest management and particular forest structural and biodiversity patterns are identified for past and current forest landscapes. Both in Europe and North America, publicly and privately owned forests show comparable lines of historical development but with a time shift. Forest reserves and ancient woodland with long ecological continuity appear to be mainly connected with public ownership. A high diversity of management approaches and cultural landscape habitats is characteristic of non-industrial small private forests. In mixed-ownership landscapes, a more </w:t>
      </w:r>
    </w:p>
    <w:p>
      <w:pPr/>
      <w:r>
        <w:rPr>
          <w:b/>
        </w:rPr>
        <w:t>POSSIBLE 2021:</w:t>
      </w:r>
      <w:r>
        <w:t xml:space="preserve"> Human Babesiosis in Europe — https://doi.org/10.3390/pathogens10091165</w:t>
      </w:r>
    </w:p>
    <w:p>
      <w:pPr/>
      <w:r>
        <w:rPr>
          <w:b/>
        </w:rPr>
        <w:t>Shared claim-specific concepts:</w:t>
      </w:r>
      <w:r>
        <w:t xml:space="preserve"> tools, present, since; EU scope visible. This is a provisional connection, not an outcome finding.</w:t>
      </w:r>
    </w:p>
    <w:p>
      <w:pPr>
        <w:pStyle w:val="SourceNote"/>
      </w:pPr>
      <w:r>
        <w:rPr>
          <w:b/>
        </w:rPr>
        <w:t>Available abstract (not full text):</w:t>
      </w:r>
      <w:r>
        <w:t xml:space="preserve"> Babesiosis is attracting increasing attention as a worldwide emerging zoonosis. The first case of human babesiosis in Europe was described in the late 1950s and since then more than 60 cases have been reported in Europe. While the disease is relatively rare in Europe, it is significant because the majority of cases present as life-threatening fulminant infections, mainly in immunocompromised patients. Although appearing clinically similar to human babesiosis elsewhere, particularly in the USA, most European forms of the disease are distinct entities, especially concerning epidemiology, human susceptibility to infection and clinical management. This paper describes the history of the disease and reviews all published cases that have occurred in Europe with regard to the identity and genetic characteristics of the etiological agents, pathogenesis, aspects of epidemiology including the eco-epidemiology of the vectors, the clinical courses of infection, diagnostic tools and clinical management and treatment.</w:t>
      </w:r>
    </w:p>
    <w:p>
      <w:pPr/>
      <w:r>
        <w:rPr>
          <w:b/>
        </w:rPr>
        <w:t>POSSIBLE 2020:</w:t>
      </w:r>
      <w:r>
        <w:t xml:space="preserve"> Loess landscapes of Europe – Mapping, geomorphology, and zonal differentiation — https://doi.org/10.1016/j.earscirev.2020.103496</w:t>
      </w:r>
    </w:p>
    <w:p>
      <w:pPr/>
      <w:r>
        <w:rPr>
          <w:b/>
        </w:rPr>
        <w:t>Shared claim-specific concepts:</w:t>
      </w:r>
      <w:r>
        <w:t xml:space="preserve"> main, used, present, since; EU scope visible. This is a provisional connection, not an outcome finding.</w:t>
      </w:r>
    </w:p>
    <w:p>
      <w:pPr>
        <w:pStyle w:val="SourceNote"/>
      </w:pPr>
      <w:r>
        <w:rPr>
          <w:b/>
        </w:rPr>
        <w:t>Available abstract (not full text):</w:t>
      </w:r>
      <w:r>
        <w:t xml:space="preserve"> Paleoenvironmental reconstructions on a (supra-)regional scale have gained attention in Quaternary sciences during the last decades. In terrestrial realms, loess deposits and especially intercalations of loess and buried soils, so called loess-paleosol sequences (LPS) are important archives to unravel the terrestrial response to e.g. climatic fluctuations and reconstruct paleoenvironments during the Pleistocene. The analysis of LPS requires the knowledge of several key factors, such as the distribution of the aeolian sediments, their location relative to (potential) source areas, the climate conditions that led to their emplacement and the topography of the sink area. These factors strongly influence the sedimentological and paleoenvironmental characteristics of LPS and show broad variations throughout Europe, leading to a distinct distribution pattern throughout the continent. We present a new map of the distribution of aeolian sediments (mainly loess) and major potential source areas for Europe. The map was compiled combining geodata of different mapping approaches. Most of the used geodata stems from accurate national maps of 27 different countries. Problematic aspects such as different nomenclatures across administrative borders were carefully investigated and revised. The result is a seamless map, which comprises pedological, geological, and geomorphological data and can b</w:t>
      </w:r>
    </w:p>
    <w:p>
      <w:pPr/>
      <w:r>
        <w:rPr>
          <w:b/>
        </w:rPr>
        <w:t>POSSIBLE 2020:</w:t>
      </w:r>
      <w:r>
        <w:t xml:space="preserve"> Building ‘implicit partnerships’? Financial long-term care entitlements in Europe — https://doi.org/10.1007/s11077-020-09403-1</w:t>
      </w:r>
    </w:p>
    <w:p>
      <w:pPr/>
      <w:r>
        <w:rPr>
          <w:b/>
        </w:rPr>
        <w:t>Shared claim-specific concepts:</w:t>
      </w:r>
      <w:r>
        <w:t xml:space="preserve"> finally, build, financial, modify; EU scope visible. This is a provisional connection, not an outcome finding.</w:t>
      </w:r>
    </w:p>
    <w:p>
      <w:pPr>
        <w:pStyle w:val="SourceNote"/>
      </w:pPr>
      <w:r>
        <w:rPr>
          <w:b/>
        </w:rPr>
        <w:t>Available abstract (not full text):</w:t>
      </w:r>
      <w:r>
        <w:t xml:space="preserve"> Abstract The design of public subsidies for long-term care (LTC) programmes to support frail, elderly individuals in Europe is subject to both tight budget constraints and increasing demand preassures for care. However, what helps overcoming the constraints that modify LTC entitlements? We provide a unifying explanation of the conditions that facilitate the modification of public financial entitlements to LTC. We build on the concept of ‘implicit partnerships’, an implicit (or ‘silent’) agreement, encompassing the financial co-participation of both public funders, and families either by both allocating time and/or financial resources to caregiving. Next, we provide suggestive evidence of policy reforms modifying public entitlements in seven European countries which can be classified as either ‘implicit user partnerships’ or ‘implicit caregiver partnerships’. Finally, we show that taxpayers attitudes mirror the specific type of implicit partnership each country has adopted. Hence, we conclude that the modification of long-term care entitlements require the formation of some type of ‘implicit partnership'.</w:t>
      </w:r>
    </w:p>
    <w:p>
      <w:pPr/>
      <w:r>
        <w:rPr>
          <w:b/>
        </w:rPr>
        <w:t>POSSIBLE 2020:</w:t>
      </w:r>
      <w:r>
        <w:t xml:space="preserve"> Agroforestry Benefits and Challenges for Adoption in Europe and Beyond — https://doi.org/10.3390/su12177001</w:t>
      </w:r>
    </w:p>
    <w:p>
      <w:pPr/>
      <w:r>
        <w:rPr>
          <w:b/>
        </w:rPr>
        <w:t>Shared claim-specific concepts:</w:t>
      </w:r>
      <w:r>
        <w:t xml:space="preserve"> finally, they, financial; EU scope visible. This is a provisional connection, not an outcome finding.</w:t>
      </w:r>
    </w:p>
    <w:p>
      <w:pPr>
        <w:pStyle w:val="SourceNote"/>
      </w:pPr>
      <w:r>
        <w:rPr>
          <w:b/>
        </w:rPr>
        <w:t>Available abstract (not full text):</w:t>
      </w:r>
      <w:r>
        <w:t xml:space="preserve"> Soil degradation is a global concern, decreasing the soil’s ability to perform a multitude of functions. In Europe, one of the leading causes of soil degradation is unsustainable agricultural practices. Hence, there is a need to explore alternative production systems for enhanced agronomic productivity and environmental performance, such as agroforestry systems (AFS). Given this, the objective of the study is to enumerate the major benefits and challenges in the adoption of AFS. AFS can improve agronomic productivity, carbon sequestration, nutrient cycling, soil biodiversity, water retention, and pollination. Furthermore, they can reduce soil erosion and incidence of fire and provide recreational and cultural benefits. There are several challenges to the adoption and uptake of AFS in Europe, including high costs for implementation, lack of financial incentives, limited AFS product marketing, lack of education, awareness, and field demonstrations. Policies for financial incentives such as subsidies and payments for ecosystem services provided by AFS must be introduced or amended. Awareness of AFS products must be increased for consumers through appropriate marketing strategies, and landowners need more opportunities for education on how to successfully manage diverse, economically viable AFS. Finally, field-based evidence is required for informed decision-making by farmers, advi</w:t>
      </w:r>
    </w:p>
    <w:p>
      <w:pPr/>
      <w:r>
        <w:rPr>
          <w:b/>
        </w:rPr>
        <w:t>POSSIBLE 2020:</w:t>
      </w:r>
      <w:r>
        <w:t xml:space="preserve"> Building ‘implicit partnerships’? Financial long-term care entitlements in Europe — https://openalex.org/W3185178917</w:t>
      </w:r>
    </w:p>
    <w:p>
      <w:pPr/>
      <w:r>
        <w:rPr>
          <w:b/>
        </w:rPr>
        <w:t>Shared claim-specific concepts:</w:t>
      </w:r>
      <w:r>
        <w:t xml:space="preserve"> finally, build, financial, modify; EU scope visible. This is a provisional connection, not an outcome finding.</w:t>
      </w:r>
    </w:p>
    <w:p>
      <w:pPr>
        <w:pStyle w:val="SourceNote"/>
      </w:pPr>
      <w:r>
        <w:rPr>
          <w:b/>
        </w:rPr>
        <w:t>Available abstract (not full text):</w:t>
      </w:r>
      <w:r>
        <w:t xml:space="preserve"> The design of public subsidies for long-term care (LTC) programmes to support frail, elderly individuals in Europe is subject to both tight budget constraints and increasing demand preassures for care. However, what helps overcoming the constraints that modify LTC entitlements? We provide a unifying explanation of the conditions that facilitate the modification of public financial entitlements to LTC. We build on the concept of ‘implicit partnerships’, an implicit (or ‘silent’) agreement, encompassing the financial co-participation of both public funders, and families either by both allocating time and/or financial resources to caregiving. Next, we provide suggestive evidence of policy reforms modifying public entitlements in seven European countries which can be classified as either ‘implicit user partnerships’ or ‘implicit caregiver partnerships’. Finally, we show that taxpayers attitudes mirror the specific type of implicit partnership each country has adopted. Hence, we conclude that the modification of long-term care entitlements require the formation of some type of ‘implicit partnership'.</w:t>
      </w:r>
    </w:p>
    <w:p>
      <w:pPr/>
      <w:r>
        <w:rPr>
          <w:b/>
        </w:rPr>
        <w:t>POSSIBLE 2019:</w:t>
      </w:r>
      <w:r>
        <w:t xml:space="preserve"> Social enterprises and their ecosystems in Europe — https://doi.org/10.2767/330252</w:t>
      </w:r>
    </w:p>
    <w:p>
      <w:pPr/>
      <w:r>
        <w:rPr>
          <w:b/>
        </w:rPr>
        <w:t>Shared claim-specific concepts:</w:t>
      </w:r>
      <w:r>
        <w:t xml:space="preserve"> they, present, since; EU scope visible. This is a provisional connection, not an outcome finding.</w:t>
      </w:r>
    </w:p>
    <w:p>
      <w:pPr>
        <w:pStyle w:val="SourceNote"/>
      </w:pPr>
      <w:r>
        <w:rPr>
          <w:b/>
        </w:rPr>
        <w:t>Available abstract (not full text):</w:t>
      </w:r>
      <w:r>
        <w:t xml:space="preserve"> Social enterprises present an alternative to business-as-usual with their combination of core social and environmental objectives being addressed through commercial approaches. In this way they present an alternative avenue for a sustainable prosperity that is not driven by profit but rather focused on flourishing and living within ecological limits. In the UK, there has been particular interest and support for the creation of start-ups and the scaling of existing social enterprises. The term social enterprise has been in use in the UK since the 1970s, and the current approaches are shaped by the philanthropic traditions of charities, the cooperative traditions of democratic governance, and cultures of socially responsible business. The UK social enterprise movement was given a boost by the pioneering public policies and approaches in the 1990s, including various support programmes, the introduction of a new legal form and investment funds. Since 2010 there has been a focus of policy on encouraging social investment funds and mutual social enterprise ‘spin-outs’ from the public sector. However, the context of public sector austerity has seen a considerable decline in overall spending across the UK in recent years, with the exception of Scotland</w:t>
      </w:r>
    </w:p>
    <w:p>
      <w:pPr/>
      <w:r>
        <w:rPr>
          <w:b/>
        </w:rPr>
        <w:t>POSSIBLE 2019:</w:t>
      </w:r>
      <w:r>
        <w:t xml:space="preserve"> Industry Concentration in Europe and North America — https://doi.org/10.1787/2ff98246-en</w:t>
      </w:r>
    </w:p>
    <w:p>
      <w:pPr/>
      <w:r>
        <w:rPr>
          <w:b/>
        </w:rPr>
        <w:t>Shared claim-specific concepts:</w:t>
      </w:r>
      <w:r>
        <w:t xml:space="preserve"> observed, trends, two; EU scope visible. This is a provisional connection, not an outcome finding.</w:t>
      </w:r>
    </w:p>
    <w:p>
      <w:pPr>
        <w:pStyle w:val="SourceNote"/>
      </w:pPr>
      <w:r>
        <w:rPr>
          <w:b/>
        </w:rPr>
        <w:t>Available abstract (not full text):</w:t>
      </w:r>
      <w:r>
        <w:t xml:space="preserve"> This report presents new evidence on industry concentration trends in Europe and in North America. It uses two novel data sources: representative firm-level concentration measures from the OECD MultiProd project, and business-group-level concentration measures using matched Orbis-Worldscope-Zephyr data. Based on the MultiProd data, it finds that between 2001 and 2012 the average industry across 10 European economies saw a 2-3-percentage-point increase in the share of the 10% largest companies in industry sales. Using the Orbis-Worldscope-Zephyr data, it documents a clear increase in industry concentration in Europe as well as in North America between 2000 and 2014 of the order of 4-8 percentage points for the average industry. Over the period, about 3 out of 4 (2-digit) industries in each region saw their concentration increase. The increase is observed for both manufacturing and non-financial services and is not driven by digital-intensive sectors.</w:t>
      </w:r>
    </w:p>
    <w:p>
      <w:pPr/>
      <w:r>
        <w:rPr>
          <w:b/>
        </w:rPr>
        <w:t>POSSIBLE 2019:</w:t>
      </w:r>
      <w:r>
        <w:t xml:space="preserve"> Trichinella and trichinellosis in Europe — https://doi.org/10.2298/vetgl190411017p</w:t>
      </w:r>
    </w:p>
    <w:p>
      <w:pPr/>
      <w:r>
        <w:rPr>
          <w:b/>
        </w:rPr>
        <w:t>Shared claim-specific concepts:</w:t>
      </w:r>
      <w:r>
        <w:t xml:space="preserve"> they, main, used, findings, among, two; EU scope visible. This is a provisional connection, not an outcome finding.</w:t>
      </w:r>
    </w:p>
    <w:p>
      <w:pPr>
        <w:pStyle w:val="SourceNote"/>
      </w:pPr>
      <w:r>
        <w:rPr>
          <w:b/>
        </w:rPr>
        <w:t>Available abstract (not full text):</w:t>
      </w:r>
      <w:r>
        <w:t xml:space="preserve"> Background: Trichinellosis, the proper term for the human zoonotic disease is caused by nematodes of the genus Trichinella. These zoonotic parasites show a cosmopolitan distribution in all the continents but Antarctica. They circulate in nature by synanthropic-domestic and sylvatic cycles that are correlated with each other. Today, nine species and three genotypes are recognized in this genus, all of which infect mammals, including humans, while one species also infects birds, and two other species also infect reptiles. Scope and Approach: To review the recent literature on these pathogens, which are unusual among the other nematodes in that the worm undergoes a complete developmental cycle, from larva to adult to larva, in the body of a single host, which has a profound influence on the epidemiology of trichinellosis as a zoonosis. When the cycle is complete, the muscles of the infected animal contain a reservoir of larvae capable of long-term survival. Humans and other hosts become infected by ingesting muscle tissues containing viable larvae. Key Findings and Conclusions: The main source of human infection is raw or under-cooked meat products from pig, wild boar, bear, walrus, and horses, but meat products from other animals have been implicated. Both pre-slaughter prevention and post-slaughter control can be used to prevent Trichinella infections in animals. The first invol</w:t>
      </w:r>
    </w:p>
    <w:p>
      <w:pPr/>
      <w:r>
        <w:rPr>
          <w:b/>
        </w:rPr>
        <w:t>POSSIBLE 2019:</w:t>
      </w:r>
      <w:r>
        <w:t xml:space="preserve"> Implementing Green Infrastructure in Spatial Planning in Europe — https://doi.org/10.3390/land8040062</w:t>
      </w:r>
    </w:p>
    <w:p>
      <w:pPr/>
      <w:r>
        <w:rPr>
          <w:b/>
        </w:rPr>
        <w:t>Shared claim-specific concepts:</w:t>
      </w:r>
      <w:r>
        <w:t xml:space="preserve"> they, tools, used, since; EU scope visible. This is a provisional connection, not an outcome finding.</w:t>
      </w:r>
    </w:p>
    <w:p>
      <w:pPr>
        <w:pStyle w:val="SourceNote"/>
      </w:pPr>
      <w:r>
        <w:rPr>
          <w:b/>
        </w:rPr>
        <w:t>Available abstract (not full text):</w:t>
      </w:r>
      <w:r>
        <w:t xml:space="preserve"> Interest in green infrastructure (GI) has grown in research, policy and planning in recent decades. The central idea behind GI is the understanding of the physical non-built-up environment as an infrastructure capable of delivering a wide variety of benefits to society, including the ability to preserve biodiversity; to provide food, feed, fuel and fibre; to adapt to and mitigate climate change and to contribute to enhanced human health and quality of life. The European Union (EU) has had a GI strategy since 2013, and member states are involved in several strategic and applied GI initiatives and projects. The aim of this study is to explore if and how the European strategy has been implemented. The study adds to the body of knowledge of current GI policies and measures in Europe via an online survey and insights into previous research. The survey reveals that GI is integrated into one or more policy sectors in all 32 countries covered. In 11 of the 32 countries, GI-specific policies are already in place or are being drawn up at a national level. In general, the respondents see the responsibility for GI policy and strategy as a matter of national governments and the implementation as a matter of local governments. They also see the LIFE+ and Horizon 2020 project funds, the European Regional Development Fund (ERDF) and the European Agricultural Fund for Rural Development (EAFRD),</w:t>
      </w:r>
    </w:p>
    <w:p>
      <w:pPr>
        <w:pStyle w:val="Heading2"/>
      </w:pPr>
      <w:r>
        <w:t>937. The future of global trade and the WTO</w:t>
      </w:r>
    </w:p>
    <w:p>
      <w:pPr>
        <w:pStyle w:val="SourceNote"/>
      </w:pPr>
      <w:r>
        <w:rPr>
          <w:b/>
        </w:rPr>
        <w:t>Original source (2014):</w:t>
      </w:r>
      <w:r>
        <w:t xml:space="preserve"> https://doi.org/10.1108/fs-06-2012-0044</w:t>
      </w:r>
    </w:p>
    <w:p>
      <w:pPr/>
      <w:r>
        <w:t>Original wording (abstract; indexed_source_text_not_full_document_verified): Four scenarios of the world economy are presented, which are derived from the international AUGUR research project “Challenges for Europe in the world in 2030” coordinated by Paris Nord University. This paper aims to analyse the main issues which might influence the governance of world trade from now until 2030 and present quantitative projections of international trade.</w:t>
      </w:r>
    </w:p>
    <w:p>
      <w:pPr/>
      <w:r>
        <w:rPr>
          <w:b/>
        </w:rPr>
        <w:t>POSSIBLE 2025:</w:t>
      </w:r>
      <w:r>
        <w:t xml:space="preserve"> IMPACT OF SHORT-TERM EXTERNAL SHOCKS ON THE WORLD AND EUROPEAN ECONOMIES — https://doi.org/10.35774/jee2025.04.553</w:t>
      </w:r>
    </w:p>
    <w:p>
      <w:pPr/>
      <w:r>
        <w:rPr>
          <w:b/>
        </w:rPr>
        <w:t>Shared claim-specific concepts:</w:t>
      </w:r>
      <w:r>
        <w:t xml:space="preserve"> world, economy, trade; EU scope visible. This is a provisional connection, not an outcome finding.</w:t>
      </w:r>
    </w:p>
    <w:p>
      <w:pPr>
        <w:pStyle w:val="SourceNote"/>
      </w:pPr>
      <w:r>
        <w:rPr>
          <w:b/>
        </w:rPr>
        <w:t>Available abstract (not full text):</w:t>
      </w:r>
      <w:r>
        <w:t xml:space="preserve"> This study models the response of the global and European economies to short-term external shocks, including changes in trade and import tariffs, as well as geo-economic and geopolitical factors. The analysis examines the stochastic relationship between external events and variations in key macroeconomic indicators, including global and European GDP, global and European trade volumes, and the Composite Purchasing Managers’ Index (PMI) across major sectors of the world economy. A regression framework incorporating a formalized binary variable is employed to capture the effects of changes in tariff and sanctions policies on economic performance. The empirical results indicate statistically significant effects of external shocks on individual macroeconomic indicators of the global and European economies, as well as on an aggregated index constructed from these indicators. The findings reveal differences in the responses of the examined economies to external shocks, enabling a comparative assessment of their stability and resilience. The results suggest that the European economy demonstrates a higher degree of resistance to external shocks compared to the global economy as a whole and to the Chinese economy.</w:t>
      </w:r>
    </w:p>
    <w:p>
      <w:pPr/>
      <w:r>
        <w:rPr>
          <w:b/>
        </w:rPr>
        <w:t>POSSIBLE 2024:</w:t>
      </w:r>
      <w:r>
        <w:t xml:space="preserve"> USA AND CHINA IN THE WORLD ECONOMY — https://doi.org/10.34660/inf.2020.27.60235</w:t>
      </w:r>
    </w:p>
    <w:p>
      <w:pPr/>
      <w:r>
        <w:rPr>
          <w:b/>
        </w:rPr>
        <w:t>Shared claim-specific concepts:</w:t>
      </w:r>
      <w:r>
        <w:t xml:space="preserve"> world, economy, international, issues; EU scope not established. This is a provisional connection, not an outcome finding.</w:t>
      </w:r>
    </w:p>
    <w:p>
      <w:pPr>
        <w:pStyle w:val="SourceNote"/>
      </w:pPr>
      <w:r>
        <w:rPr>
          <w:b/>
        </w:rPr>
        <w:t>Available abstract (not full text):</w:t>
      </w:r>
      <w:r>
        <w:t xml:space="preserve"> We thank all participants of our conference "Scientific research of the SCO countries: synergy and integration" for the interest shown, for your speeches and reports.Such a wide range of participants, representing all the countries that are members of the Shanghai Cooperation Organization, speaks about the necessity and importance of this event.The reports of the participants cover a wide range of topical scientific problems and our joint interaction will contribute to the further development of both theoretical and applied modern scientific research by scientists from different countries.The result of the conference was the participation of 56 authors from 7 countries (China, Russia, Uzbekistan, Kazakhstan, Azerbaijan, Tajikistan, Kyrgyzstan).This conference was a result of the serious interest of the world academic community, the state authorities of China and the Chinese Communist Party to preserve and strengthen international cooperation in the field of science.We also thank our Russian partner Infinity Publishing House for assistance in organizing the conference, preparing and publishing the conference proceedings in Chinese Part and English Part.I hope that the collection of this conference will be useful to a wide range of readers.It will help to consider issues, that would interest the public, under a new point of view.It will also allow to find contacts among scientist</w:t>
      </w:r>
    </w:p>
    <w:p>
      <w:pPr/>
      <w:r>
        <w:rPr>
          <w:b/>
        </w:rPr>
        <w:t>POSSIBLE 2023:</w:t>
      </w:r>
      <w:r>
        <w:t xml:space="preserve"> Rebuilding the fortress? Europe in a changing world economy — https://doi.org/10.1080/09692290.2023.2211281</w:t>
      </w:r>
    </w:p>
    <w:p>
      <w:pPr/>
      <w:r>
        <w:rPr>
          <w:b/>
        </w:rPr>
        <w:t>Shared claim-specific concepts:</w:t>
      </w:r>
      <w:r>
        <w:t xml:space="preserve"> world, economy, international, trade; EU scope visible. This is a provisional connection, not an outcome finding.</w:t>
      </w:r>
    </w:p>
    <w:p>
      <w:pPr>
        <w:pStyle w:val="SourceNote"/>
      </w:pPr>
      <w:r>
        <w:rPr>
          <w:b/>
        </w:rPr>
        <w:t>Available abstract (not full text):</w:t>
      </w:r>
      <w:r>
        <w:t xml:space="preserve"> Two rival visions of Europe's place in the world economy competed for primacy throughout the post-war era.The idea of an 'Atlantic Europe' promoted close economic ties to the United States and integration into the liberal international order.An alternative 'Fortress Europe' vision aimed to carve out a sphere of relative European autonomy backed by trade barriers and industrial protectionism.While many argued that the 'Fortress Europe' vision was defeated during the globalization of the 1990s and 2000s, concepts such as economic sovereignty, industrial strategy and 'strategic autonomy' have returned to EU circles.Is a rebuilding of 'Fortress Europe' taking place in this context?This paper argues that the old tension between 'Atlantic' and 'Fortress' Europe is re-emerging but in a new form and under a new set of international conditions.A 'selective fortification' of European industrial strategy and trade policy is taking shape, as EU policymakers develop targeted instruments and institutional capacities that aim to insulate European firms from new patterns of international competition.The selective refortification of European capitalism has implications for debates within international political economy (IPE) on the future of liberal international order, new patterns of competitive regionalization, and the restructuring of the relation between the state and global capitalism.</w:t>
      </w:r>
    </w:p>
    <w:p>
      <w:pPr/>
      <w:r>
        <w:rPr>
          <w:b/>
        </w:rPr>
        <w:t>POSSIBLE 2023:</w:t>
      </w:r>
      <w:r>
        <w:t xml:space="preserve"> The Contested World Economy — https://doi.org/10.1017/9781009337489</w:t>
      </w:r>
    </w:p>
    <w:p>
      <w:pPr/>
      <w:r>
        <w:rPr>
          <w:b/>
        </w:rPr>
        <w:t>Shared claim-specific concepts:</w:t>
      </w:r>
      <w:r>
        <w:t xml:space="preserve"> world, economy, international; EU scope visible. This is a provisional connection, not an outcome finding.</w:t>
      </w:r>
    </w:p>
    <w:p>
      <w:pPr>
        <w:pStyle w:val="SourceNote"/>
      </w:pPr>
      <w:r>
        <w:rPr>
          <w:b/>
        </w:rPr>
        <w:t>Available abstract (not full text):</w:t>
      </w:r>
      <w:r>
        <w:t xml:space="preserve"> The rapid growth of the field of international political economy since the 1970s has revived an older tradition of thought from the pre-1945 era. The Contested World Economy provides the first book-length analysis of these deep intellectual roots of the field, revealing how earlier debates about the world economy were more global and wide-ranging than usually recognized. Helleiner shows how pre-1945 pioneers of international political economy included thinkers from all parts of the world rather than just those from Europe and the United States featured in most textbooks. Their discussions also went beyond the much-studied debate between economic liberals, neomercantilists, and Marxists, and addressed wider topics, including many with contemporary relevance, such as environmental degradation, gender inequality, racial discrimination, religious worldviews, civilizational values, national self-sufficiency, and varieties of economic regionalism. This fascinating history of ideas sheds new light on current debates and the need for a global understanding of their antecedents.</w:t>
      </w:r>
    </w:p>
    <w:p>
      <w:pPr/>
      <w:r>
        <w:rPr>
          <w:b/>
        </w:rPr>
        <w:t>POSSIBLE 2022:</w:t>
      </w:r>
      <w:r>
        <w:t xml:space="preserve"> Assessment of the impact of Circular Economy competitiveness and innovation on European economic growth — https://doi.org/10.5937/ejae19-39057</w:t>
      </w:r>
    </w:p>
    <w:p>
      <w:pPr/>
      <w:r>
        <w:rPr>
          <w:b/>
        </w:rPr>
        <w:t>Shared claim-specific concepts:</w:t>
      </w:r>
      <w:r>
        <w:t xml:space="preserve"> four, world, economy, aims; EU scope visible. This is a provisional connection, not an outcome finding.</w:t>
      </w:r>
    </w:p>
    <w:p>
      <w:pPr>
        <w:pStyle w:val="SourceNote"/>
      </w:pPr>
      <w:r>
        <w:rPr>
          <w:b/>
        </w:rPr>
        <w:t>Available abstract (not full text):</w:t>
      </w:r>
      <w:r>
        <w:t xml:space="preserve"> The world usage of raw materials is 70% higher than what the Earth can safely renew. Circular Economy represents a new model of economic development relying on the 7Rs (redesign, reduce, reuse, repair, renovate, recycle, and recover) to provide operational and strategic benefits on the micro, meso, and macro levels. This research aims to determine the impact that circular economy competitiveness and innovation have on economic growth within European countries by evaluating the impact of four independent variables selected from the European Commission Circular Economy monitoring framework on the GNI per capita. This paper analyses the competitiveness through Values Added at Factor Cost (VAFC), Gross Investment in Tangible Goods (GITG), and Number of Employees (EMP) in Circular Economy, innovation through the Number of Patents in climate change mitigation technologies related to wastewater treatment or waste management (PAT), while the economic growth was estimated based on the GNI per capita annual growth rate (GNIpc). Correlation and regression methods were applied to the sample of 25 European countries using the log-transformed data. The results show that the correlation between VAFC and GNIpc is moderate and significant but negative, while the correlation between GITG and EMP and GNIpc is not statistically significant.</w:t>
      </w:r>
    </w:p>
    <w:p>
      <w:pPr/>
      <w:r>
        <w:rPr>
          <w:b/>
        </w:rPr>
        <w:t>POSSIBLE 2021:</w:t>
      </w:r>
      <w:r>
        <w:t xml:space="preserve"> Sustainable entrepreneurship education for circular economy: emerging perspectives in Europe — https://doi.org/10.1108/ijebr-03-2021-0210</w:t>
      </w:r>
    </w:p>
    <w:p>
      <w:pPr/>
      <w:r>
        <w:rPr>
          <w:b/>
        </w:rPr>
        <w:t>Shared claim-specific concepts:</w:t>
      </w:r>
      <w:r>
        <w:t xml:space="preserve"> four, world, economy, aims, analyse, main; EU scope visible. This is a provisional connection, not an outcome finding.</w:t>
      </w:r>
    </w:p>
    <w:p>
      <w:pPr>
        <w:pStyle w:val="SourceNote"/>
      </w:pPr>
      <w:r>
        <w:rPr>
          <w:b/>
        </w:rPr>
        <w:t>Available abstract (not full text):</w:t>
      </w:r>
      <w:r>
        <w:t xml:space="preserve"> Purpose The paper aims to contribute to the Circular Economy debate from the Entrepreneurship Education perspective. Despite scholars' growing interest in both these research streams, scarce consideration is given to the comprehension of their mutual implications and meaning. Design/methodology/approach The paper is based on a cross-case analysis. It compares 16 higher education programmes launched by Universities in Europe aimed to create competences and skills for Circular Economy in students with different profiles. The analysis provides a critical view of the emerging trends for the entrepreneurship education skills and competencies needed for the emerging circular entrepreneurship paradigm. Findings The paper discusses the main trends of Entrepreneurship Education focused on Circular Economy debate at the European level: rationale and learning objectives (why); contents (what), target students and stakeholders (who) and the learning processes (how). Four thematic areas are identified as common patterns: circular economy business model, green supply chain management, technology entrepreneurship and innovation and public policies and institutional frameworks. Research limitations/implications The paper sheds new light on a still under-researched area, suggesting several implications and avenues for future research in Circular Economy and Entrepreneurship Education. Limitatio</w:t>
      </w:r>
    </w:p>
    <w:p>
      <w:pPr/>
      <w:r>
        <w:rPr>
          <w:b/>
        </w:rPr>
        <w:t>POSSIBLE 2021:</w:t>
      </w:r>
      <w:r>
        <w:t xml:space="preserve"> Bioeconomic development in Europe and in the world — https://doi.org/10.1051/e3sconf/202124410061</w:t>
      </w:r>
    </w:p>
    <w:p>
      <w:pPr/>
      <w:r>
        <w:rPr>
          <w:b/>
        </w:rPr>
        <w:t>Shared claim-specific concepts:</w:t>
      </w:r>
      <w:r>
        <w:t xml:space="preserve"> world, international, challenges, present; EU scope visible. This is a provisional connection, not an outcome finding.</w:t>
      </w:r>
    </w:p>
    <w:p>
      <w:pPr>
        <w:pStyle w:val="SourceNote"/>
      </w:pPr>
      <w:r>
        <w:rPr>
          <w:b/>
        </w:rPr>
        <w:t>Available abstract (not full text):</w:t>
      </w:r>
      <w:r>
        <w:t xml:space="preserve"> Bioeconomy is one of the leading science directions at the present time; countries and international organizations around the world pay close attention to it. They are actively working on policies and strategies for the transition to a bioeconomy. Bioeconomy is based on advances in microbiology that can be used in various processes associated with the use of biological resources; it is changing consumer preferences by bringing a new understanding of resource constraints. Despite the fact that a great contribution has already been made to the science of bioeconomy, much in it still refers to promising scientific developments in such areas as biology, biomedicine, engineering, artificial intelligence, technology, chemistry, etc. This paper provides an overview of the current strategies of different countries in the development and implementation of bioeconomy. Purpose of the work: systematization of target indicators and identification of the most significant among them for different economies. The results of the study point to the need for an in-depth analysis of the challenges and opportunities the world faces on the road to bioeconomy. In addition, it is shown the need to develop common global criteria for assessing the bioeconomic development.</w:t>
      </w:r>
    </w:p>
    <w:p>
      <w:pPr/>
      <w:r>
        <w:rPr>
          <w:b/>
        </w:rPr>
        <w:t>POSSIBLE 2021:</w:t>
      </w:r>
      <w:r>
        <w:t xml:space="preserve"> Circular economy: advancement of European Union countries — https://doi.org/10.1186/s12302-021-00549-0</w:t>
      </w:r>
    </w:p>
    <w:p>
      <w:pPr/>
      <w:r>
        <w:rPr>
          <w:b/>
        </w:rPr>
        <w:t>Shared claim-specific concepts:</w:t>
      </w:r>
      <w:r>
        <w:t xml:space="preserve"> economy, challenges, aims; EU scope visible. This is a provisional connection, not an outcome finding.</w:t>
      </w:r>
    </w:p>
    <w:p>
      <w:pPr>
        <w:pStyle w:val="SourceNote"/>
      </w:pPr>
      <w:r>
        <w:rPr>
          <w:b/>
        </w:rPr>
        <w:t>Available abstract (not full text):</w:t>
      </w:r>
      <w:r>
        <w:t xml:space="preserve"> Abstract Background Circular economy (CE) is a development priority of the European Union and it is part of the EU industrial strategy. The transition to a more circular economy is an essential contribution to the EU’s efforts to develop a sustainable, low carbon, resource-efficient and competitive economy. The author focuses her CE-related reflections and research in this paper on the macro-level (research subjects: 28 EU countries), the level which is least represented in scholarly publications addressing CE (as follows from the analysis of literature in the Scopus database). This study aims to fill this gap partially. The aim of this paper is to identify and group the EU-28 countries according to their advancement towards circular economy. CE indicators proposed by the European Commission were used for the analysis. Given the research subjects and after an analysis of the literature they were concluded to be the most adequate. The theoretical part was based on an analysis of the literature, whereas the empirical work used the principal components analysis, hierarchical and k-means clustering and a grade correspondence-cluster analysis. Results On the basis of the research, the existence of a “two-speed Europe” was identified in terms of EU countries’ advancement towards CE. Leading countries, those most advanced in pursuing operation according to CE principles, include Germa</w:t>
      </w:r>
    </w:p>
    <w:p>
      <w:pPr/>
      <w:r>
        <w:rPr>
          <w:b/>
        </w:rPr>
        <w:t>POSSIBLE 2020:</w:t>
      </w:r>
      <w:r>
        <w:t xml:space="preserve"> The European Union in the World Economy: Competitiveness Issues — https://doi.org/10.20542/978-5-9535-0587-1</w:t>
      </w:r>
    </w:p>
    <w:p>
      <w:pPr/>
      <w:r>
        <w:rPr>
          <w:b/>
        </w:rPr>
        <w:t>Shared claim-specific concepts:</w:t>
      </w:r>
      <w:r>
        <w:t xml:space="preserve"> world, economy, international, challenges, issues; EU scope visible. This is a provisional connection, not an outcome finding.</w:t>
      </w:r>
    </w:p>
    <w:p>
      <w:pPr>
        <w:pStyle w:val="SourceNote"/>
      </w:pPr>
      <w:r>
        <w:rPr>
          <w:b/>
        </w:rPr>
        <w:t>Available abstract (not full text):</w:t>
      </w:r>
      <w:r>
        <w:t xml:space="preserve"> This study is prepared by the Center for European Studies of Primakov National Research Institute of World Economy and International Relations. It observes the problems of competitiveness and the challenges faced by European countries and the European Union as a whole in contemporary global economy. The first part of the book presents the general position of the EU in the world economy, examines industrial competitiveness and describes the role of State in its ensuring. The second part is dedicated to national competitiveness of European countries in the European Single Market. The publication is intended for Agencies developing Russia's economic policy, as well as for researchers, higher education professors, postgraduates, students, and anyone interested in the current trends in the world economy and international relations.</w:t>
      </w:r>
    </w:p>
    <w:p>
      <w:pPr/>
      <w:r>
        <w:rPr>
          <w:b/>
        </w:rPr>
        <w:t>POSSIBLE 2019:</w:t>
      </w:r>
      <w:r>
        <w:t xml:space="preserve"> The Soviet Union and the World Economy in the 1980S: A Review of the Alternatives — https://doi.org/10.4324/9780429311130-3</w:t>
      </w:r>
    </w:p>
    <w:p>
      <w:pPr/>
      <w:r>
        <w:rPr>
          <w:b/>
        </w:rPr>
        <w:t>Shared claim-specific concepts:</w:t>
      </w:r>
      <w:r>
        <w:t xml:space="preserve"> four, world, economy, presented, aims, trade; EU scope visible. This is a provisional connection, not an outcome finding.</w:t>
      </w:r>
    </w:p>
    <w:p>
      <w:pPr>
        <w:pStyle w:val="SourceNote"/>
      </w:pPr>
      <w:r>
        <w:rPr>
          <w:b/>
        </w:rPr>
        <w:t>Available abstract (not full text):</w:t>
      </w:r>
      <w:r>
        <w:t xml:space="preserve"> This chapter aims to sketch the likely development of Soviet economic relations with the World Economy over the decade 1976–1985, the period of the Tenth and Eleventh Five-Year plans. Trade between the Soviet Union and Eastern Europe has been disaggregated into four commodity groups: machinery, raw materials, food, other consumer goods. In the past, Soviet exports of fuel and materials to the Council of Mutual Economic Assistance (CMEA) were a function of net material product in Eastern Europe and also determined a smaller flow of material imports from the CMEA. During the construction of the Soviet Econometric Model a new methodology was developed for evaluating the quantitative impact of imported machinery on Soviet industrial production; to a certain extent, this technique provides a measure of the gains from technology transfer. The projections presented were computed using a 1977 version of SOVMOD III, the third generation SRI-WEFA Soviet Econometric Model.</w:t>
      </w:r>
    </w:p>
    <w:p>
      <w:pPr/>
      <w:r>
        <w:rPr>
          <w:b/>
        </w:rPr>
        <w:t>POSSIBLE 2019:</w:t>
      </w:r>
      <w:r>
        <w:t xml:space="preserve"> Risks to human health from ammunition-derived lead in Europe — https://doi.org/10.1007/s13280-019-01194-x</w:t>
      </w:r>
    </w:p>
    <w:p>
      <w:pPr/>
      <w:r>
        <w:rPr>
          <w:b/>
        </w:rPr>
        <w:t>Shared claim-specific concepts:</w:t>
      </w:r>
      <w:r>
        <w:t xml:space="preserve"> world, main, now; EU scope visible. This is a provisional connection, not an outcome finding.</w:t>
      </w:r>
    </w:p>
    <w:p>
      <w:pPr>
        <w:pStyle w:val="SourceNote"/>
      </w:pPr>
      <w:r>
        <w:rPr>
          <w:b/>
        </w:rPr>
        <w:t>Available abstract (not full text):</w:t>
      </w:r>
      <w:r>
        <w:t xml:space="preserve"> It has been known for centuries that lead is toxic to humans. Chronic exposure to lead, even at low levels, is associated with an elevated risk of cardiovascular and chronic kidney disease in adults and of impaired neurodevelopment and subsequent cognitive and behavioural development in the foetus and young children. Health agencies throughout the world have moved from assuming that there are tolerable levels of exposure to lead to a recognition that valid 'no-effect' thresholds cannot currently be defined. Formerly, the most important exposure pathways were occupational exposure, water from lead plumbing, paints, petrol additives and foods. Regulation of products and improved health and safety procedures at work have left dietary lead as the main remaining pathway of exposure in European countries. Ammunition-derived lead is now a significant cause of dietary lead exposure in groups of people who eat wild game meat frequently. These are mostly hunters, shoot employees and their families, but also some people who choose to eat game for ethical, health or other reasons, and their children. Extrapolation from surveys conducted in the UK and a review of studies of game consumption in other countries suggest that approximately 5 million people in the EU may be high-level consumers of lead-shot game meat and that tens of thousands of children in the EU may be consuming game contamin</w:t>
      </w:r>
    </w:p>
    <w:p>
      <w:pPr/>
      <w:r>
        <w:rPr>
          <w:b/>
        </w:rPr>
        <w:t>POSSIBLE 2019:</w:t>
      </w:r>
      <w:r>
        <w:t xml:space="preserve"> The Importance Of SMEs On World Economies — https://doi.org/10.36880/c11.02265</w:t>
      </w:r>
    </w:p>
    <w:p>
      <w:pPr/>
      <w:r>
        <w:rPr>
          <w:b/>
        </w:rPr>
        <w:t>Shared claim-specific concepts:</w:t>
      </w:r>
      <w:r>
        <w:t xml:space="preserve"> world, economy, challenges, trade; EU scope visible. This is a provisional connection, not an outcome finding.</w:t>
      </w:r>
    </w:p>
    <w:p>
      <w:pPr>
        <w:pStyle w:val="SourceNote"/>
      </w:pPr>
      <w:r>
        <w:rPr>
          <w:b/>
        </w:rPr>
        <w:t>Available abstract (not full text):</w:t>
      </w:r>
      <w:r>
        <w:t xml:space="preserve"> The importance of SMEs to world economies is well reported. SMEs (firms with 200 or less employees) construct the biggest business sector in each global economy therefore governments around the world are increase the effort to promote and support SME expansion as their national development strategy. Micro firms and SMEs are forming the majority of firms in most countries (which 95% on average) and for the large majority of jobs. While SMEs are dominating of very great numbers, SMEs are significant due to their importance as priority drivers to employment, economic growth and innovation. According to the World Trade Organization SMEs represent over 90% of the business population, 60-70% of employment and 55% of GDP in developed economies. SMEs held for around 20% of patents, one measure of innovation, in biotechnology-related fields in the Europe. As the world economy faces with prevailing challenges, governments increasingly start to turn on SMEs as a significant element of sustainable and inclusive economic growth. The importance of SMEs to; economic growth, poverty reduction, innovation and job creation also social cohesion are major key.</w:t>
      </w:r>
    </w:p>
    <w:p>
      <w:pPr>
        <w:pStyle w:val="Heading2"/>
      </w:pPr>
      <w:r>
        <w:t>938. The future of trade unions in Croatia – various stakeholders’ perspectives</w:t>
      </w:r>
    </w:p>
    <w:p>
      <w:pPr>
        <w:pStyle w:val="SourceNote"/>
      </w:pPr>
      <w:r>
        <w:rPr>
          <w:b/>
        </w:rPr>
        <w:t>Original source (2014):</w:t>
      </w:r>
      <w:r>
        <w:t xml:space="preserve"> https://doi.org/10.1177/1024258914546277</w:t>
      </w:r>
    </w:p>
    <w:p>
      <w:pPr/>
      <w:r>
        <w:t>Original wording (abstract; indexed_source_text_not_full_document_verified): This article explores different stakeholders’ perceptions of the future of trade unions in Croatia. Findings reveal that respondents (managers, HR experts, trade union officials, government representatives and employees) are not optimistic about the future of trade unions in Croatia, agreeing that they will face many obstacles in the near future, such as a lack of consensus between the five trade union federations, a lack of agreement among the unions within a federation, and further union disintegration.</w:t>
      </w:r>
    </w:p>
    <w:p>
      <w:pPr/>
      <w:r>
        <w:rPr>
          <w:b/>
        </w:rPr>
        <w:t>POSSIBLE 2026:</w:t>
      </w:r>
      <w:r>
        <w:t xml:space="preserve"> Trump's Trade Gambit: Chaos as a Calculated Strategy — https://doi.org/10.1177/00207020261439150</w:t>
      </w:r>
    </w:p>
    <w:p>
      <w:pPr/>
      <w:r>
        <w:rPr>
          <w:b/>
        </w:rPr>
        <w:t>Shared claim-specific concepts:</w:t>
      </w:r>
      <w:r>
        <w:t xml:space="preserve"> article, explores, trade, union; EU scope visible. This is a provisional connection, not an outcome finding.</w:t>
      </w:r>
    </w:p>
    <w:p>
      <w:pPr>
        <w:pStyle w:val="SourceNote"/>
      </w:pPr>
      <w:r>
        <w:rPr>
          <w:b/>
        </w:rPr>
        <w:t>Available abstract (not full text):</w:t>
      </w:r>
      <w:r>
        <w:t xml:space="preserve"> This article challenges the widespread perception among European commentators that the trade policies of the Trump administration, particularly its trade wars with China, the European Union, and other nations with current account deficits, lack a coherent strategy. Instead, it argues that these policies are rooted in chaos theory, which posits that within apparent disorder lies an underlying order. By applying this theoretical framework, the article examines the strategic objectives behind the administration's seemingly erratic decisions. It explores how calculated disruptions in global trade relations aim to redefine economic dynamics and reinforce US hegemony. This analysis highlights the risks and implications of this approach, including potential instability in multilateral relations and the emergence of alternative economic blocs. Ultimately, the article provides a nuanced understanding of the “calculated chaos” strategy, offering insights into its role in reshaping international trade and economic governance.</w:t>
      </w:r>
    </w:p>
    <w:p>
      <w:pPr/>
      <w:r>
        <w:rPr>
          <w:b/>
        </w:rPr>
        <w:t>POSSIBLE 2026:</w:t>
      </w:r>
      <w:r>
        <w:t xml:space="preserve"> From Stigma to Support: Exploring Perceptions of Menstrual Leave Policies in European Workplaces — https://doi.org/10.1111/gwao.70256</w:t>
      </w:r>
    </w:p>
    <w:p>
      <w:pPr/>
      <w:r>
        <w:rPr>
          <w:b/>
        </w:rPr>
        <w:t>Shared claim-specific concepts:</w:t>
      </w:r>
      <w:r>
        <w:t xml:space="preserve"> perceptions, croatia, about, they; EU scope visible. This is a provisional connection, not an outcome finding.</w:t>
      </w:r>
    </w:p>
    <w:p>
      <w:pPr>
        <w:pStyle w:val="SourceNote"/>
      </w:pPr>
      <w:r>
        <w:rPr>
          <w:b/>
        </w:rPr>
        <w:t>Available abstract (not full text):</w:t>
      </w:r>
      <w:r>
        <w:t xml:space="preserve"> ABSTRACT Menstrual leave is an emerging reproductive health organizational policy gaining attention in Europe but research remains limited. Drawing on 45 semi‐structured interviews with menstruating and nonmenstruating workers in Croatia, Germany, and Italy, we applied thematic analysis to explore workplace perceptions of menstruation and menstrual leave policies (MLPs). We found that menstruation was widely positioned as taboo in the workplace, with participants both experiencing and anticipating stigma. Menstruating was associated with incompetence, emotional instability, and unprofessionalism—as contradictory to ideal worker norms and expectations. Although participants could identify and acknowledge potential benefits of MLPs, they also expressed reluctance and even women participants felt reticent. In particular, women participants would refrain from using them and were concerned about misuse. Our research contributes to work and organizational psychology by highlighting how ideal worker norms perpetuate menstrual stigma which in turn enables the stigmatization of menstrual leave policies. Interventions that align with diffusion of innovations theory could increase awareness of menstruation and decrease menstrual stigma in the workplace to prepare workplaces before implementing menstrual leave policies.</w:t>
      </w:r>
    </w:p>
    <w:p>
      <w:pPr/>
      <w:r>
        <w:rPr>
          <w:b/>
        </w:rPr>
        <w:t>POSSIBLE 2026:</w:t>
      </w:r>
      <w:r>
        <w:t xml:space="preserve"> Exploring the European Road Freight Transport Survey: Potentials, Challenges, and Limitations — https://doi.org/10.1016/j.trpro.2026.04.188</w:t>
      </w:r>
    </w:p>
    <w:p>
      <w:pPr/>
      <w:r>
        <w:rPr>
          <w:b/>
        </w:rPr>
        <w:t>Shared claim-specific concepts:</w:t>
      </w:r>
      <w:r>
        <w:t xml:space="preserve"> article, different, not; EU scope visible. This is a provisional connection, not an outcome finding.</w:t>
      </w:r>
    </w:p>
    <w:p>
      <w:pPr>
        <w:pStyle w:val="SourceNote"/>
      </w:pPr>
      <w:r>
        <w:rPr>
          <w:b/>
        </w:rPr>
        <w:t>Available abstract (not full text):</w:t>
      </w:r>
      <w:r>
        <w:t xml:space="preserve"> This paper examines the European Road Freight Transport Survey, a comprehensive European microdata set compiled under Regulation (EU) No. 70/2012, to assess its potential, challenges, and limitations. These include both the limitations of the data collected and methodological inaccuracies in the surveys in different countries. The article describes the structure of the data set, which consists of three interlinked data sets: vehicle, journey and goods records. The aim is to explore methodological inconsistencies and data limitations, offering recommendations for enhancing the dataset’s reliability and usability. The analysis shows significant impact of different exclusion criteria such as the weight or age of vehicles. One effect is that the majority of routes that are recorded in one country are not recorded at all in other countries. Limiting to the most restrictive limit would have little impact on the overall data and would filter out less than 5% of the observations Another important result concerns the age structure of vehicles. In some countries, such as Italy and France, there are strict age limits for the vehicles surveyed, which has an impact on the representativeness of the data. The article concludes with recommendations for harmonizing the methodology or providing a harmonized data set and raising awareness of the limitations of this data in official disseminations</w:t>
      </w:r>
    </w:p>
    <w:p>
      <w:pPr/>
      <w:r>
        <w:rPr>
          <w:b/>
        </w:rPr>
        <w:t>POSSIBLE 2025:</w:t>
      </w:r>
      <w:r>
        <w:t xml:space="preserve"> Green Economy, Trade, and Consumers – Interactions in European Green Transition — https://doi.org/10.7494/geom.2025.19.2.25</w:t>
      </w:r>
    </w:p>
    <w:p>
      <w:pPr/>
      <w:r>
        <w:rPr>
          <w:b/>
        </w:rPr>
        <w:t>Shared claim-specific concepts:</w:t>
      </w:r>
      <w:r>
        <w:t xml:space="preserve"> article, trade, reveal, union, face; EU scope visible. This is a provisional connection, not an outcome finding.</w:t>
      </w:r>
    </w:p>
    <w:p>
      <w:pPr>
        <w:pStyle w:val="SourceNote"/>
      </w:pPr>
      <w:r>
        <w:rPr>
          <w:b/>
        </w:rPr>
        <w:t>Available abstract (not full text):</w:t>
      </w:r>
      <w:r>
        <w:t xml:space="preserve"> This article presents a current and significant problem by exploring the main problems of the European Green Transition; the authors discuss these in two aspects: first, the goals of the Green Transition as one of the European Union’s strategic priorities – the goals, achievements, and possible risks that face the European Union’s green policies are discussed.The second aspect of the study is the authors’ attempt to reveal and comment on the role of trade and consumers as a tool that works in favor of the Green Transition – specifically, those that are included in European Union documents such as the Green Deal and the Circular Economy Action Plan. The definition of the problem is based on the understanding that, on the one hand, trade as an economic sector is developing most dynamically and on a large scale, making Sector G the largest set of enterprises among all of the sectors that carry out economic activities in the EU (including Bulgaria). On the other hand, trade as a business activity is closely linked to consumers; it actively interacts with them and, therefore, has a significant impact on their behaviors (including their impact on the environment). In practice, it is impossible to achieve the green goals without the connection and interaction “trade-consumers”; in addition to being aimed at achieving a modern, resource-efficient, and competitive EU economy, these refl</w:t>
      </w:r>
    </w:p>
    <w:p>
      <w:pPr/>
      <w:r>
        <w:rPr>
          <w:b/>
        </w:rPr>
        <w:t>POSSIBLE 2025:</w:t>
      </w:r>
      <w:r>
        <w:t xml:space="preserve"> Perceptions of the Costs and Benefits of Farm Digitalisation in Europe — https://doi.org/10.1111/1746-692x.12471</w:t>
      </w:r>
    </w:p>
    <w:p>
      <w:pPr/>
      <w:r>
        <w:rPr>
          <w:b/>
        </w:rPr>
        <w:t>Shared claim-specific concepts:</w:t>
      </w:r>
      <w:r>
        <w:t xml:space="preserve"> article, stakeholders, perceptions, trade, face; EU scope visible. This is a provisional connection, not an outcome finding.</w:t>
      </w:r>
    </w:p>
    <w:p>
      <w:pPr>
        <w:pStyle w:val="SourceNote"/>
      </w:pPr>
      <w:r>
        <w:rPr>
          <w:b/>
        </w:rPr>
        <w:t>Available abstract (not full text):</w:t>
      </w:r>
      <w:r>
        <w:t xml:space="preserve"> Summary Farm digitalisation is revolutionising European agriculture, offering enhanced productivity, resource efficiency and sustainability. Technologies like sensors, robotics and data‐driven tools enable precise decision‐making thereby reducing time and resource use. This article draws on insights from 18 focus groups in European living labs, engaging farmers, policymakers and advisors to explore the trade‐offs of digital adoption. Key benefits include time‐saving tools that streamline operations, promote sustainability and support innovative business models. Digital platforms improve traceability, reduce chemical inputs and enhance food safety. Farmers also value how technology attracts younger generations and fosters inclusivity. Examples from France, Germany, Hungary and Italy illustrate region‐specific applications, such as real‐time data use and soil‐scanning technologies. However, significant challenges accompany digitalisation. Farmers cite high costs, a steep learning curve and infrastructure gaps like limited internet connectivity. Trust issues persist among farmers, governments and technology providers, while concerns over data ownership and governance hinder adoption. Small farms face disproportionate burdens due to financial constraints and skill shortages. This study underscores the need for equitable support systems, transparent governance and tailored solutions</w:t>
      </w:r>
    </w:p>
    <w:p>
      <w:pPr/>
      <w:r>
        <w:rPr>
          <w:b/>
        </w:rPr>
        <w:t>POSSIBLE 2024:</w:t>
      </w:r>
      <w:r>
        <w:t xml:space="preserve"> IDENTITY AND SCHOOLING IN MINORITY AND REGIONAL LANGUAGES IN EUROPE AND ASIA — https://doi.org/10.33876/2311-0546/2024-3/135-152</w:t>
      </w:r>
    </w:p>
    <w:p>
      <w:pPr/>
      <w:r>
        <w:rPr>
          <w:b/>
        </w:rPr>
        <w:t>Shared claim-specific concepts:</w:t>
      </w:r>
      <w:r>
        <w:t xml:space="preserve"> article, explores, different; EU scope visible. This is a provisional connection, not an outcome finding.</w:t>
      </w:r>
    </w:p>
    <w:p>
      <w:pPr>
        <w:pStyle w:val="SourceNote"/>
      </w:pPr>
      <w:r>
        <w:rPr>
          <w:b/>
        </w:rPr>
        <w:t>Available abstract (not full text):</w:t>
      </w:r>
      <w:r>
        <w:t xml:space="preserve"> This article builds upon the research project “Identity and School Policy in the Multicultural World: An Anthropological Analysis of International Experience.” The focus is on the pressing issue of language in youth education within Russia. From the perspective of a social anthropologist, the article examines the possibilities and consequences of various approaches to addressing the needs of diverse ethnic groups in multicultural societies, drawing on examples from several countries. The author explores the lessons Russia can draw from the practices of other nations, emphasizing the relationship between educational policy concepts and the formation of various identities among the population (national, ethnic, regional, local, etc.). To assess the extent to which minority and regional languages (as defined by the European Charter for Regional or Minority Languages) are incorporated into actual educational programs across Europe and Asia, an analysis was conducted of relevant regulatory and administrative decisions at different levels. The project’s primary objective was to strike a balance between the ethno-cultural competencies of individual citizens and the goals of consolidating the population in the interests of a unified state.</w:t>
      </w:r>
    </w:p>
    <w:p>
      <w:pPr/>
      <w:r>
        <w:rPr>
          <w:b/>
        </w:rPr>
        <w:t>POSSIBLE 2023:</w:t>
      </w:r>
      <w:r>
        <w:t xml:space="preserve"> Exploring the effects of protected area networks on the European land system — https://doi.org/10.1016/j.jenvman.2023.117741</w:t>
      </w:r>
    </w:p>
    <w:p>
      <w:pPr/>
      <w:r>
        <w:rPr>
          <w:b/>
        </w:rPr>
        <w:t>Shared claim-specific concepts:</w:t>
      </w:r>
      <w:r>
        <w:t xml:space="preserve"> different, findings, union; EU scope visible. This is a provisional connection, not an outcome finding.</w:t>
      </w:r>
    </w:p>
    <w:p>
      <w:pPr>
        <w:pStyle w:val="SourceNote"/>
      </w:pPr>
      <w:r>
        <w:rPr>
          <w:b/>
        </w:rPr>
        <w:t>Available abstract (not full text):</w:t>
      </w:r>
      <w:r>
        <w:t xml:space="preserve"> The European Union's Biodiversity Strategy for 2030 seeks to protect 30% of land, with 10% under strict protection, while building a transnational nature network. We explore the effects of the Biodiversity Strategy targets for land use and ecosystem services across the European land system. To do so, we propose a novel approach, combining a methodological framework for improving green network connectivity with an EU-wide land system model. We identify an improved network of EU protected areas consistent with the 2030 targets, and explore its effects under different levels of protection and in a range of paired climatic and socio-economic scenarios. The existing network of protected areas is highly fragmented, with more than one third of its nodes being isolated. We find that prioritizing connectivity when implementing new protected areas could achieve the strategy's targets without compromising the future provision of ecosystem services, including food production, in Europe. However, we also find that EU-wide distributions of land uses and ecosystem services are influenced by the protected area network, and that this influence manifests differently in different climatic and socio-economic scenarios. Varying the strength of protection of the network had limited effects. Extractive services (food and timber production) decreased in protected areas, but non-extractive services inc</w:t>
      </w:r>
    </w:p>
    <w:p>
      <w:pPr/>
      <w:r>
        <w:rPr>
          <w:b/>
        </w:rPr>
        <w:t>POSSIBLE 2023:</w:t>
      </w:r>
      <w:r>
        <w:t xml:space="preserve"> Exploring farmers’ perceptions of social sustainability — https://doi.org/10.1007/s10668-023-04140-w</w:t>
      </w:r>
    </w:p>
    <w:p>
      <w:pPr/>
      <w:r>
        <w:rPr>
          <w:b/>
        </w:rPr>
        <w:t>Shared claim-specific concepts:</w:t>
      </w:r>
      <w:r>
        <w:t xml:space="preserve"> perceptions, findings, reveal, managers; EU scope not established. This is a provisional connection, not an outcome finding.</w:t>
      </w:r>
    </w:p>
    <w:p>
      <w:pPr>
        <w:pStyle w:val="SourceNote"/>
      </w:pPr>
      <w:r>
        <w:rPr>
          <w:b/>
        </w:rPr>
        <w:t>Available abstract (not full text):</w:t>
      </w:r>
      <w:r>
        <w:t xml:space="preserve"> Abstract In the farming sector, there is growing awareness of the importance of the social dimension of sustainability and its complex links to environmental and economic sustainability. However, social sustainability is generally the least understood dimension of sustainability. Despite efforts to empirically capture social sustainability, it remains unclear how it is relevant to individual farms and how it depends on their contexts. To generate a comprehensive and contextual understanding of social sustainability, we adopted a mixed-methods approach. We first conducted qualitative interviews with farm managers, which then informed the development of a survey focused on farmers’ perceptions and experiences of social sustainability at their farms. In total, 354 Swiss farm managers completed our online survey. First, we identified social aspects relevant to farmers and compared them across the three main production types in Switzerland (dairy, crop, and other livestock production). Second, we assessed farmers’ perceptions and experiences of social sustainability and the relationship of these perceptions and experiences with farmer identity (i.e., productivist, conservative, passionate caretaker, and forward-looking). The findings reveal differences in the meaning and importance of social sustainability across production types. Farmer identity appears to influence the experience </w:t>
      </w:r>
    </w:p>
    <w:p>
      <w:pPr/>
      <w:r>
        <w:rPr>
          <w:b/>
        </w:rPr>
        <w:t>POSSIBLE 2023:</w:t>
      </w:r>
      <w:r>
        <w:t xml:space="preserve"> Differences in perceptions of fuel duties and emissions trading in road transport — https://doi.org/10.1016/j.tranpol.2023.11.006</w:t>
      </w:r>
    </w:p>
    <w:p>
      <w:pPr/>
      <w:r>
        <w:rPr>
          <w:b/>
        </w:rPr>
        <w:t>Shared claim-specific concepts:</w:t>
      </w:r>
      <w:r>
        <w:t xml:space="preserve"> article, explores, perceptions, not, they; EU scope visible. This is a provisional connection, not an outcome finding.</w:t>
      </w:r>
    </w:p>
    <w:p>
      <w:pPr>
        <w:pStyle w:val="SourceNote"/>
      </w:pPr>
      <w:r>
        <w:rPr>
          <w:b/>
        </w:rPr>
        <w:t>Available abstract (not full text):</w:t>
      </w:r>
      <w:r>
        <w:t xml:space="preserve"> The transport sector is responsible for more than a quarter of global emissions, and road transport alone contributes with over 70% of that share. A separate Emissions Trading System (ETS) in the EU will be implemented in 2027, covering road transport, buildings and additional sectors (mainly small industry). The likely outcomes of such policy are higher fuel prices, leading to less fuel consumption and reduced road transport emissions. Given that the inclusion of road transport in the EU ETS was originally proposed by the UK in the 2000s, and that the UK is exploring possible improvements to its own UK ETS, it is not impossible that the idea of emissions trading in road transport could be revisited in the UK. This article explores differences in perceptions of fuel price increases as a result of an increase in fuel duties or as a result of the introduction of a parallel ETS for road transport. This research employs a Serious Game to elicit perceptions. The game was designed to create situations where drivers would need to make decisions in response to an increase in the pump price of fuel. Ultimately, the idea was to get the study participants to reflect on their travel decisions both in the game and in real life. Possible responses included changing their cars, modifying their travel behaviour or moving house. The data was analyzed using an interpretive approach, which contri</w:t>
      </w:r>
    </w:p>
    <w:p>
      <w:pPr/>
      <w:r>
        <w:rPr>
          <w:b/>
        </w:rPr>
        <w:t>POSSIBLE 2023:</w:t>
      </w:r>
      <w:r>
        <w:t xml:space="preserve"> Towards a sustainable future: exploring the European dimensions of ecological balance and social equity — https://doi.org/10.24263/edsd-2023-5-21</w:t>
      </w:r>
    </w:p>
    <w:p>
      <w:pPr/>
      <w:r>
        <w:rPr>
          <w:b/>
        </w:rPr>
        <w:t>Shared claim-specific concepts:</w:t>
      </w:r>
      <w:r>
        <w:t xml:space="preserve"> article, explores, face, many; EU scope visible. This is a provisional connection, not an outcome finding.</w:t>
      </w:r>
    </w:p>
    <w:p>
      <w:pPr>
        <w:pStyle w:val="SourceNote"/>
      </w:pPr>
      <w:r>
        <w:rPr>
          <w:b/>
        </w:rPr>
        <w:t>Available abstract (not full text):</w:t>
      </w:r>
      <w:r>
        <w:t xml:space="preserve"> Sustainable development is essential for building a prosperous and resilient future for Europe.This article explores the various dimensions of sustainable development in Europe, including environmental, social, and economic sustainability.We used theoretical and empirical research methods in this article.Theoretical methods are analysis, synthesis, generalization and comparison of literary sources.Empirical research methods in this article are observation and measurement.Environmental sustainability in Europe faces challenges such as climate change, biodiversity loss, and pollution.However, there are many successful initiatives being implement, such as the EU Green Deal, to transform the EU economy into a sustainable one.Social sustainability faces issues such as inequality, poverty, and social exclusion, which require policies that promote social cohesion and address these challenges.Economic sustainability involves promoting inclusive and sustainable economic growth, particularly in the face of global challenges such as climate change and technological disruption.To achieve long-term sustainable development in Europe, it is crucial to integrate environmental, social, and economic considerations into decision-making processes.This requires promoting sustainability in all sectors of society, including businesses, governments, and individuals.For the first time, a comparison of </w:t>
      </w:r>
    </w:p>
    <w:p>
      <w:pPr/>
      <w:r>
        <w:rPr>
          <w:b/>
        </w:rPr>
        <w:t>POSSIBLE 2022:</w:t>
      </w:r>
      <w:r>
        <w:t xml:space="preserve"> European Green Deal necropolitics: Exploring ‘green’ energy transition, degrowth &amp; infrastructural colonization — https://doi.org/10.1016/j.polgeo.2022.102640</w:t>
      </w:r>
    </w:p>
    <w:p>
      <w:pPr/>
      <w:r>
        <w:rPr>
          <w:b/>
        </w:rPr>
        <w:t>Shared claim-specific concepts:</w:t>
      </w:r>
      <w:r>
        <w:t xml:space="preserve"> article, different, reveal; EU scope visible. This is a provisional connection, not an outcome finding.</w:t>
      </w:r>
    </w:p>
    <w:p>
      <w:pPr>
        <w:pStyle w:val="SourceNote"/>
      </w:pPr>
      <w:r>
        <w:rPr>
          <w:b/>
        </w:rPr>
        <w:t>Available abstract (not full text):</w:t>
      </w:r>
      <w:r>
        <w:t xml:space="preserve"> This article critically examines the GND (Green New Deal) platform by exploring the reality of energy development under the European Green Deal (EGD). Taking a special interest in degrowth positions on energy development, the article argues that the European Green Deal is an exercise in necropolitics; intensifying market relationships, extraction, and infrastructural colonization. The article proceeds by reviewing and discussing recent environmental justice and degrowth positions on energy infrastructural development. The methodology outlines desk-based research on resource extraction as well as on the European energy markets. This accompanies multi-sited ethnographic fieldwork, charting environmental conflicts along a 400kv high-tension power line. This line goes across France, Catalonia and Southern Spain, stretching into Morocco and occupied Western Sahara. Unconventional research techniques, such as hitchhiking, enabled mobility and expanding the informal interview pool. Outlining the objectives of the EGD, the next section examines three aspects of its necropolitics. First, necropolitical economy reveals the reality of energy market liberalization under the EGD. Second, necropolitical extraction examines the expansion of mining and mineral processing, which are necessary for the EGD and ‘mainstream’ GNDs. Third, necropolitical operation reveal the reality of ‘a rapid rollo</w:t>
      </w:r>
    </w:p>
    <w:p>
      <w:pPr/>
      <w:r>
        <w:rPr>
          <w:b/>
        </w:rPr>
        <w:t>POSSIBLE 2021:</w:t>
      </w:r>
      <w:r>
        <w:t xml:space="preserve"> Governing displaced migration in Europe: housing and the role of the “local” — https://doi.org/10.1186/s40878-020-00209-x</w:t>
      </w:r>
    </w:p>
    <w:p>
      <w:pPr/>
      <w:r>
        <w:rPr>
          <w:b/>
        </w:rPr>
        <w:t>Shared claim-specific concepts:</w:t>
      </w:r>
      <w:r>
        <w:t xml:space="preserve"> article, different, about, they; EU scope visible. This is a provisional connection, not an outcome finding.</w:t>
      </w:r>
    </w:p>
    <w:p>
      <w:pPr>
        <w:pStyle w:val="SourceNote"/>
      </w:pPr>
      <w:r>
        <w:rPr>
          <w:b/>
        </w:rPr>
        <w:t>Available abstract (not full text):</w:t>
      </w:r>
      <w:r>
        <w:t xml:space="preserve"> This article will explore the extent to which a focus on the 'local' can tell us something meaningful about recent developments in the governance of displaced migrants and refugees. Taking a multi-sited approach spanning cases in the south and north of Europe, we consider how the challenge of housing and accommodation in particular, a core sector of migrant reception and integration, can shed light on the ways local and city level approaches may negotiate, and sometimes diverge from, national level policy and rhetoric. While it can be said that despite variation, local authorities are by definition ultimately 'always subordinate' (Emilsson, Comparative Migration Studies, 3: 1-17, 2015: 4), they can also show evidence of 'decoupling' across geographies of policy delivery (Pope and Meyer, European Journal of Cultural and Political Sociology, 3: 280-305, 2016: 290). This article traces how possible local variations in different European cases are patterned by ground-level politics, local strategic networks, and pre-existing economic resources in a manner that is empirically detailed through the study of housing.</w:t>
      </w:r>
    </w:p>
    <w:p>
      <w:pPr>
        <w:pStyle w:val="Heading2"/>
      </w:pPr>
      <w:r>
        <w:t>939. The implications of regional and national demographic projections for future GMS costs in Ireland through to 2026</w:t>
      </w:r>
    </w:p>
    <w:p>
      <w:pPr>
        <w:pStyle w:val="SourceNote"/>
      </w:pPr>
      <w:r>
        <w:rPr>
          <w:b/>
        </w:rPr>
        <w:t>Original source (2014):</w:t>
      </w:r>
      <w:r>
        <w:t xml:space="preserve"> https://doi.org/10.1186/1472-6963-14-477</w:t>
      </w:r>
    </w:p>
    <w:p>
      <w:pPr/>
      <w:r>
        <w:t>Original wording (abstract; indexed_source_text_not_full_document_verified): A Monte Carlo Model is used to simulate the effects of demographic change (by region, age, gender, coverage, claims rates and average claims cost) will have on GMS prescribing costs in 2016, 2021 and 2026 under different scenarios. RESULTS: The Population of Ireland is projected to grow by 32% between 2007 and 2026 and by 96% for the over 70s.</w:t>
      </w:r>
    </w:p>
    <w:p>
      <w:pPr/>
      <w:r>
        <w:rPr>
          <w:b/>
        </w:rPr>
        <w:t>POSSIBLE 2026:</w:t>
      </w:r>
      <w:r>
        <w:t xml:space="preserve"> Monte Carlo Greeks for European Pandemic Options under Stochastic SIS Model — https://openalex.org/W7167764542</w:t>
      </w:r>
    </w:p>
    <w:p>
      <w:pPr/>
      <w:r>
        <w:rPr>
          <w:b/>
        </w:rPr>
        <w:t>Shared claim-specific concepts:</w:t>
      </w:r>
      <w:r>
        <w:t xml:space="preserve"> monte, carlo, over; EU scope visible. This is a provisional connection, not an outcome finding.</w:t>
      </w:r>
    </w:p>
    <w:p>
      <w:pPr>
        <w:pStyle w:val="SourceNote"/>
      </w:pPr>
      <w:r>
        <w:rPr>
          <w:b/>
        </w:rPr>
        <w:t>Available abstract (not full text):</w:t>
      </w:r>
      <w:r>
        <w:t xml:space="preserve"> This thesis investigates the numerical valuation of European pandemic options in a stochastic SIS model. The study focuses on whether non-standard features previously found in PDE-based analyses, including call price concavity and negative sensitivity to volatility, also arise in a Monte Carlo setting. The SIS process is discretised using the Euler--Maruyama method. This allows us to obtain explicit Monte Carlo pathwise sensitivity representations for the first two option sensitivities, Delta and Vega, which do not appear to be explicitly derived elsewhere in the literature. In contrast, the explicit pathwise sensitivity representation for the Gamma was unavailable since the payoff function at the strike has discontinuous second derivative. Therefore, it was approximated by the central finite--difference scheme. We conduct further numerical experimental study. The numerical results reproduce the main qualitative behaviour found in the literature. The call price is increasing but concave in the initial infection level, and the call Vega remains negative over the volatility grid considered. For the put option, the value decreases with the initial infection level and Vega is positive. Overall, the results indicate that these non-standard features arise naturally from the structure of the stochastic SIS model.</w:t>
      </w:r>
    </w:p>
    <w:p>
      <w:pPr/>
      <w:r>
        <w:rPr>
          <w:b/>
        </w:rPr>
        <w:t>POSSIBLE 2026:</w:t>
      </w:r>
      <w:r>
        <w:t xml:space="preserve"> Monte Carlo Simulation of European Option Prices under the Heston Stochastic-Volatility Model — https://doi.org/10.54254/2754-1169/2026.ld37980</w:t>
      </w:r>
    </w:p>
    <w:p>
      <w:pPr/>
      <w:r>
        <w:rPr>
          <w:b/>
        </w:rPr>
        <w:t>Shared claim-specific concepts:</w:t>
      </w:r>
      <w:r>
        <w:t xml:space="preserve"> monte, carlo, used; EU scope visible. This is a provisional connection, not an outcome finding.</w:t>
      </w:r>
    </w:p>
    <w:p>
      <w:pPr>
        <w:pStyle w:val="SourceNote"/>
      </w:pPr>
      <w:r>
        <w:rPr>
          <w:b/>
        </w:rPr>
        <w:t>Available abstract (not full text):</w:t>
      </w:r>
      <w:r>
        <w:t xml:space="preserve"> When volatility is not assumed to be constant, there are no closed-form solutions for the prices of European options; hence, numerical estimation is needed. In this paper, the accuracy and convergence of Monte Carlo simulation for pricing European call options under the Heston model is investigated. The empirical volatility process was characterised on the basis of the daily closing prices of the SPDR S&amp;P 500 ETF Trust for the period January 2024 to December 2025 (502 trading days), and a standard literature parameter setting is used for the full market calibration. The paths of stock prices and variances were simulated using the Full Truncation Euler scheme with 252 time steps, while the terminal payoffs were discounted and averaged under the risk-neutral measure. These simulations were performed 20 times for 1,000, 10,000 and 100,000 paths and compared to the semi-analytical Heston price of 9.2425. As the number of paths increased, the mean standard error and the root mean square error decreased in the manner of 1/sqrt(N) rate of contraction with the relative bias being &lt; 0.25 % throughout. The Black–Scholes special-case test was used to correctly replicate the closed-form price to within 0.073%. The estimator is thus correct at this scale but an additional discretisation error remains which cannot be eliminated by any number of additional paths.</w:t>
      </w:r>
    </w:p>
    <w:p>
      <w:pPr/>
      <w:r>
        <w:rPr>
          <w:b/>
        </w:rPr>
        <w:t>POSSIBLE 2026:</w:t>
      </w:r>
      <w:r>
        <w:t xml:space="preserve"> Lévy Stochastic Models, GARCH-Type Volatility, and Heavy-Tailed Innovations: Pricing European Options under Randomized Quasi-Monte Carlo Methods — https://doi.org/10.24818/18423264/60.2.26.01</w:t>
      </w:r>
    </w:p>
    <w:p>
      <w:pPr/>
      <w:r>
        <w:rPr>
          <w:b/>
        </w:rPr>
        <w:t>Shared claim-specific concepts:</w:t>
      </w:r>
      <w:r>
        <w:t xml:space="preserve"> monte, carlo; EU scope visible. This is a provisional connection, not an outcome finding.</w:t>
      </w:r>
    </w:p>
    <w:p>
      <w:pPr>
        <w:pStyle w:val="SourceNote"/>
      </w:pPr>
      <w:r>
        <w:rPr>
          <w:b/>
        </w:rPr>
        <w:t>Available abstract (not full text):</w:t>
      </w:r>
      <w:r>
        <w:t xml:space="preserve"> In this paper, we propose a new hybrid framework to evaluate European call option pricing using Monte Carlo (MC) and Randomized Quasi-Monte Carlo (RQMC) simulation methods, incorporating Halton and Sobol sequences to improve convergence and accuracy in Black-Scholes-type option-pricing models across expiry and moneyness levels, with variance-reduction techniques to minimise standard errors. The standard Black-Scholes (BS) model is modified by replacing constant volatility with GARCH (1,1). To determine whether improvement lies in volatility dynamics or innovation density, we consider four cases: (i) a baseline GARCH-BS model under Gaussian density, (ii) the same GARCH-BS model with a heavy-tailed density, (iii)Gaussian density with a best-fitted GARCH(1,1) dynamic replacing the standard GARCH(1,1), and (iv) a combination of the heavy-tailed density and best-fitted GARCH(1,1).Our proposed RQMC framework improves pricing accuracy and reduces errors compared to standard MC across all models; the GARCH (1,1)-NIG framework outperforms the BS model in accuracy and convergence, and standard errors decrease with more simulations, confirming robustness across scenarios.</w:t>
      </w:r>
    </w:p>
    <w:p>
      <w:pPr/>
      <w:r>
        <w:rPr>
          <w:b/>
        </w:rPr>
        <w:t>POSSIBLE 2026:</w:t>
      </w:r>
      <w:r>
        <w:t xml:space="preserve"> A scalable probabilistic meta-model framework for accelerating Monte Carlo-based thermal performance analysis of small-to-medium-sized commercial buildings in six European regions under climate uncertainty — https://doi.org/10.1016/j.jobe.2026.115881</w:t>
      </w:r>
    </w:p>
    <w:p>
      <w:pPr/>
      <w:r>
        <w:rPr>
          <w:b/>
        </w:rPr>
        <w:t>Shared claim-specific concepts:</w:t>
      </w:r>
      <w:r>
        <w:t xml:space="preserve"> monte, carlo, average; EU scope visible. This is a provisional connection, not an outcome finding.</w:t>
      </w:r>
    </w:p>
    <w:p>
      <w:pPr>
        <w:pStyle w:val="SourceNote"/>
      </w:pPr>
      <w:r>
        <w:rPr>
          <w:b/>
        </w:rPr>
        <w:t>Available abstract (not full text):</w:t>
      </w:r>
      <w:r>
        <w:t xml:space="preserve"> Quantifying building thermal performance under uncertainty remains a major computational challenge, particularly when traditional Monte Carlo (MC) simulations are applied to large-scale probabilistic analyses. To address this limitation, this study develops a scalable and generalizable data-driven stochastic framework that accelerates MC-based convergence analysis for building energy modeling with a focus on low-to-medium-sized commercial buildings in six cities across Europe to test the method. The proposed approach combines Latin Hypercube Sampling with an optimized tree-based meta-model ensemble tuned via Bayesian Optimization, replicating MC convergence behavior with up to 95–99% reduction in computation time while maintaining high accuracy (average R 2 &gt; 0.90). By using 700 MC baseline samples, more than 600,000 stochastic samples are generated to demonstrate the framework’s ability to support high-resolution uncertainty and sensitivity analyses at scales impractical for direct MC simulations. Using a 0.1% Coefficient of Variation threshold, the study reveals that convergence characteristics of key output percentiles (5 th , 50 th , and 95 th ) vary systematically with building typology, climate, and scenario. Sensitivity analysis identifies the solar heat-gain coefficient of south-facing glazing as the dominant factor influencing future cooling demand, while persistent he</w:t>
      </w:r>
    </w:p>
    <w:p>
      <w:pPr/>
      <w:r>
        <w:rPr>
          <w:b/>
        </w:rPr>
        <w:t>POSSIBLE 2026:</w:t>
      </w:r>
      <w:r>
        <w:t xml:space="preserve"> Wavelet Monte Carlo dynamics — https://doi.org/10.82444/warw.33802774</w:t>
      </w:r>
    </w:p>
    <w:p>
      <w:pPr/>
      <w:r>
        <w:rPr>
          <w:b/>
        </w:rPr>
        <w:t>Shared claim-specific concepts:</w:t>
      </w:r>
      <w:r>
        <w:t xml:space="preserve"> monte, carlo, used, simulate, different; EU scope not established. This is a provisional connection, not an outcome finding.</w:t>
      </w:r>
    </w:p>
    <w:p>
      <w:pPr>
        <w:pStyle w:val="SourceNote"/>
      </w:pPr>
      <w:r>
        <w:rPr>
          <w:b/>
        </w:rPr>
        <w:t>Available abstract (not full text):</w:t>
      </w:r>
      <w:r>
        <w:t xml:space="preserve"> The Wavelet Monte Carlo dynamics (WMCD) algorithm is developed from scratch to simulate hydrodynamically coupled Brownian particles at low Reynolds numbers. The basic premise is to construct a regularised version of the Oseen tensor out of a distribution of 3-dimensional vector wavelets that displace groups of particles so as to evolve the system in time while correlating the motion of all particles according to their separation. In doing so, the Oseen tensor is made implicit in the simulation code and the computational complexity of WMCD scales with system size N as N lnN (or even linearly in fractal systems), comparing favourably to existing Brownian dynamics algorithms, while the absence of any solvent degrees of freedom also leads to favourable comparisons with explicit-solvent methods. WMCD therefore holds promise to simulate system sizes beyond the reach of the alternatives. Key extensions to the basic algorithm are presented - none of which affect the computational complexity - including additional Fourier moves and smart Monte Carlo biasing to improve the algorithm's dynamical fidelity, as well as schemes to build in polydispersity and hydrodynamic coupling of particle rotations. WMCD is then used in a comprehensive study of the diffusion of isolated polymer chains, using the properties of the centre of mass velocity autocorrelation to identify distinct short and long-t</w:t>
      </w:r>
    </w:p>
    <w:p>
      <w:pPr/>
      <w:r>
        <w:rPr>
          <w:b/>
        </w:rPr>
        <w:t>POSSIBLE 2026:</w:t>
      </w:r>
      <w:r>
        <w:t xml:space="preserve"> Monte Carlo Models for Asset Pricing and Financial Risk — https://doi.org/10.4018/979-8-3373-8372-9.ch003</w:t>
      </w:r>
    </w:p>
    <w:p>
      <w:pPr/>
      <w:r>
        <w:rPr>
          <w:b/>
        </w:rPr>
        <w:t>Shared claim-specific concepts:</w:t>
      </w:r>
      <w:r>
        <w:t xml:space="preserve"> monte, carlo, used, simulate; EU scope visible. This is a provisional connection, not an outcome finding.</w:t>
      </w:r>
    </w:p>
    <w:p>
      <w:pPr>
        <w:pStyle w:val="SourceNote"/>
      </w:pPr>
      <w:r>
        <w:rPr>
          <w:b/>
        </w:rPr>
        <w:t>Available abstract (not full text):</w:t>
      </w:r>
      <w:r>
        <w:t xml:space="preserve"> Monte Carlo simulation is now used in modern finance to process complex derivatives, uncertainty in the market and valid risk analysis in non-linear and multi-factor contexts. The traditional models of analysis are often limited by assumptions such as constant volatility and normal returns because real market dynamics are often not captured by traditional analytical models. The chapter provides a well-rounded model that incorporates the theoretical basis of Monte Carlo methods, its computer implementation and business applications. Its code support of useful Python and R functions to simulate the asset path, price European, American, and Asian options, compute Value at risk and Expected shortfall, use variance reduction, and many fundamental stochastic processes, including Geometric Brownian Motion, jump-diffusion and the Heston model. Banking, insurance, asset management, and corporate finance examples are given of applications that are decision-oriented and the regulatory relevance and reliability is demonstrated through convergence diagnostics and back testing.</w:t>
      </w:r>
    </w:p>
    <w:p>
      <w:pPr/>
      <w:r>
        <w:rPr>
          <w:b/>
        </w:rPr>
        <w:t>POSSIBLE 2026:</w:t>
      </w:r>
      <w:r>
        <w:t xml:space="preserve"> Variance Reduction Techniques for Monte Carlo Pricing of European Call Options — https://doi.org/10.5281/zenodo.21727184</w:t>
      </w:r>
    </w:p>
    <w:p>
      <w:pPr/>
      <w:r>
        <w:rPr>
          <w:b/>
        </w:rPr>
        <w:t>Shared claim-specific concepts:</w:t>
      </w:r>
      <w:r>
        <w:t xml:space="preserve"> monte, carlo; EU scope visible. This is a provisional connection, not an outcome finding.</w:t>
      </w:r>
    </w:p>
    <w:p>
      <w:pPr>
        <w:pStyle w:val="SourceNote"/>
      </w:pPr>
      <w:r>
        <w:rPr>
          <w:b/>
        </w:rPr>
        <w:t>Available abstract (not full text):</w:t>
      </w:r>
      <w:r>
        <w:t xml:space="preserve"> Monte Carlo simulation is one of many methods for pricing financial derivatives, such as European call options, but its slow convergence rate makes it nearly impossible to use in practice. This paper compares four Monte Carlo estimators for pricing a European call option under the Black-Scholes model: basic Monte Carlo, antithetic variates, control variates, and Quasi-Monte Carlo using Sobol low-discrepancy sequences. Using repeated simulations across multiple sample sizes, we measure the standard deviation of pricing errors relative to the analytical Black-Scholes value. Antithetic variates provide acceptable improvement, control variates yield substantially lower variance, and Quasi-Monte Carlo delivers the most impressive results, with variance reductions of up to two orders of magnitude. These results demonstrate the effectiveness of advanced sampling techniques in improving Monte Carlo efficiency.</w:t>
      </w:r>
    </w:p>
    <w:p>
      <w:pPr/>
      <w:r>
        <w:rPr>
          <w:b/>
        </w:rPr>
        <w:t>POSSIBLE 2025:</w:t>
      </w:r>
      <w:r>
        <w:t xml:space="preserve"> OptionMC: A Python Package for Monte Carlo Pricing of European Options — https://doi.org/10.18517/ijods.6.2.70-84.2025</w:t>
      </w:r>
    </w:p>
    <w:p>
      <w:pPr/>
      <w:r>
        <w:rPr>
          <w:b/>
        </w:rPr>
        <w:t>Shared claim-specific concepts:</w:t>
      </w:r>
      <w:r>
        <w:t xml:space="preserve"> monte, carlo; EU scope visible. This is a provisional connection, not an outcome finding.</w:t>
      </w:r>
    </w:p>
    <w:p>
      <w:pPr>
        <w:pStyle w:val="SourceNote"/>
      </w:pPr>
      <w:r>
        <w:rPr>
          <w:b/>
        </w:rPr>
        <w:t>Available abstract (not full text):</w:t>
      </w:r>
      <w:r>
        <w:t xml:space="preserve"> This article presents OptionMC, a Python package designed for educational purposes that implements Monte Carlo methods for European option pricing. We describe the package's architecture and demonstrate its application through systematic testing against established Black-Scholes analytical solutions. The implementation supports both standard Monte Carlo estimation and variance reduction via antithetic variates, allowing examination of convergence patterns and computational efficiency. Our results suggest that Monte Carlo estimates converge toward analytical solutions as the number of iterations increases, with convergence behavior generally consistent with theoretical expectations. Analysis of parameter sensitivity indicates the package appropriately captures fundamental pricing relationships, including volatility effects, time decay, and moneyness considerations. The distributional characteristics of simulated stock prices and option payoffs align reasonably well with theoretical predictions. While OptionMC primarily serves pedagogical objectives rather than high-performance applications, it offers a transparent framework that may benefit students and researchers seeking to understand the practical implementation of option pricing algorithms through Monte Carlo techniques.</w:t>
      </w:r>
    </w:p>
    <w:p>
      <w:pPr/>
      <w:r>
        <w:rPr>
          <w:b/>
        </w:rPr>
        <w:t>POSSIBLE 2025:</w:t>
      </w:r>
      <w:r>
        <w:t xml:space="preserve"> European Options with Monte Carlo Simulation — https://doi.org/10.1007/979-8-8688-1793-9_11</w:t>
      </w:r>
    </w:p>
    <w:p>
      <w:pPr/>
      <w:r>
        <w:rPr>
          <w:b/>
        </w:rPr>
        <w:t>Shared claim-specific concepts:</w:t>
      </w:r>
      <w:r>
        <w:t xml:space="preserve"> monte, carlo, used, between; EU scope visible. This is a provisional connection, not an outcome finding.</w:t>
      </w:r>
    </w:p>
    <w:p>
      <w:pPr>
        <w:pStyle w:val="SourceNote"/>
      </w:pPr>
      <w:r>
        <w:rPr>
          <w:b/>
        </w:rPr>
        <w:t>Available abstract (not full text):</w:t>
      </w:r>
      <w:r>
        <w:t xml:space="preserve"> This chapter moves beyond analytical pricing formulas like the Black–Scholes model and explores how to price European options using Monte Carlo simulation. Monte Carlo methods are powerful numerical techniques widely used in finance when closed-form solutions are difficult or impossible to obtain. They rely on simulating a large number of possible paths for the underlying asset price and then estimating option payoffs statistically. This chapter is a bridge between theory (closed-form Black–Scholes) and practice (numerical methods for complex derivatives). After working through it, you’ll have both the coding skills and quantitative intuition to tackle more advanced derivatives (Asian, barrier, and American options) using Monte Carlo methods.</w:t>
      </w:r>
    </w:p>
    <w:p>
      <w:pPr/>
      <w:r>
        <w:rPr>
          <w:b/>
        </w:rPr>
        <w:t>POSSIBLE 2024:</w:t>
      </w:r>
      <w:r>
        <w:t xml:space="preserve"> EUROPEAN OPTION PRICING BY MONTE CARLO USING THE HESTON MODEL — https://doi.org/10.13140/rg.2.2.25518.57922</w:t>
      </w:r>
    </w:p>
    <w:p>
      <w:pPr/>
      <w:r>
        <w:rPr>
          <w:b/>
        </w:rPr>
        <w:t>Shared claim-specific concepts:</w:t>
      </w:r>
      <w:r>
        <w:t xml:space="preserve"> monte, carlo;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Compare the Black-Scholes Model, Monte Carlo Model, One Step Binomial Tree Model through the European options of Apple. — https://doi.org/10.61173/f7heqb60</w:t>
      </w:r>
    </w:p>
    <w:p>
      <w:pPr/>
      <w:r>
        <w:rPr>
          <w:b/>
        </w:rPr>
        <w:t>Shared claim-specific concepts:</w:t>
      </w:r>
      <w:r>
        <w:t xml:space="preserve"> monte, carlo, used; EU scope visible. This is a provisional connection, not an outcome finding.</w:t>
      </w:r>
    </w:p>
    <w:p>
      <w:pPr>
        <w:pStyle w:val="SourceNote"/>
      </w:pPr>
      <w:r>
        <w:rPr>
          <w:b/>
        </w:rPr>
        <w:t>Available abstract (not full text):</w:t>
      </w:r>
      <w:r>
        <w:t xml:space="preserve"> In this article, there are three Models, including Black-Scholes Model, Monte Carlo Model and the One-Step Model for Binomial Tree used to estimate the option premium of Apple, finding the most fitted model for estimating the European call and put options. Using the historical data of Apple in the recent year, the data of three models are found in Yahoo Finance. Simulating the possible outcomes in the future for 1000 steps and calculating the integral for the partial differential equation, spreadsheet is used for calculating the European call and put option premium by using the three models. Comparing the outcomes of three models, Black-Scholes Model provide a more accurate estimations on the European Options compared with the other two. The result indicates the pros and cons of three models, explaining specifically for the Monte Carlo Model, Black-Scholes Model, and One Step Binomial Model in both perspective of finance and mathematics.</w:t>
      </w:r>
    </w:p>
    <w:p>
      <w:pPr/>
      <w:r>
        <w:rPr>
          <w:b/>
        </w:rPr>
        <w:t>POSSIBLE 2024:</w:t>
      </w:r>
      <w:r>
        <w:t xml:space="preserve"> Compare the Black-Scholes Model, Monte Carlo Model, One Step Binomial Tree Model through the European options of Apple — https://doi.org/10.61173/2xbr7x94</w:t>
      </w:r>
    </w:p>
    <w:p>
      <w:pPr/>
      <w:r>
        <w:rPr>
          <w:b/>
        </w:rPr>
        <w:t>Shared claim-specific concepts:</w:t>
      </w:r>
      <w:r>
        <w:t xml:space="preserve"> monte, carlo, used; EU scope visible. This is a provisional connection, not an outcome finding.</w:t>
      </w:r>
    </w:p>
    <w:p>
      <w:pPr>
        <w:pStyle w:val="SourceNote"/>
      </w:pPr>
      <w:r>
        <w:rPr>
          <w:b/>
        </w:rPr>
        <w:t>Available abstract (not full text):</w:t>
      </w:r>
      <w:r>
        <w:t xml:space="preserve"> In this article, there are three Models, including Black-Scholes Model, Monte Carlo Model and the One-Step Model for Binomial Tree used to estimate the option premium of Apple, finding the most fitted model for estimating the European call and put options. Using the historical data of Apple in the recent year, the data of three models are found in Yahoo Finance. Simulating the possible outcomes in the future for 1000 steps and calculating the integral for the partial differential equation, spreadsheet is used for calculating the European call and put option premium by using the three models. Comparing the outcomes of three models, Black-Scholes Model provide a more accurate estimations on the European Options compared with the other two. The result indicates the pros and cons of three models, explaining specifically for the Monte Carlo Model, Black-Scholes Model, and One Step Binomial Model in both perspective of finance and mathematics.</w:t>
      </w:r>
    </w:p>
    <w:p>
      <w:pPr>
        <w:pStyle w:val="Heading2"/>
      </w:pPr>
      <w:r>
        <w:t>940. Two futures: EU-Russia relations in the context of Ukraine.</w:t>
      </w:r>
    </w:p>
    <w:p>
      <w:pPr>
        <w:pStyle w:val="SourceNote"/>
      </w:pPr>
      <w:r>
        <w:rPr>
          <w:b/>
        </w:rPr>
        <w:t>Original source (2014):</w:t>
      </w:r>
      <w:r>
        <w:t xml:space="preserve"> https://doi.org/10.1007/s40309-014-0052-7</w:t>
      </w:r>
    </w:p>
    <w:p>
      <w:pPr/>
      <w:r>
        <w:t>Original wording (abstract; indexed_source_text_not_full_document_verified): Or should it rather continue to tighten the screws on the Putin regime, in the hope that doing so will concurrently compel the Russian Federation to moderate its behaviour?</w:t>
      </w:r>
    </w:p>
    <w:p>
      <w:pPr/>
      <w:r>
        <w:rPr>
          <w:b/>
        </w:rPr>
        <w:t>POSSIBLE 2026:</w:t>
      </w:r>
      <w:r>
        <w:t xml:space="preserve"> Putinism. Key Definitions, Elements and Origins of the Russian Federation Political Regime — https://doi.org/10.31861/mhpi2026.53.133-144</w:t>
      </w:r>
    </w:p>
    <w:p>
      <w:pPr/>
      <w:r>
        <w:rPr>
          <w:b/>
        </w:rPr>
        <w:t>Shared claim-specific concepts:</w:t>
      </w:r>
      <w:r>
        <w:t xml:space="preserve"> regime, russian, federation; EU scope not established. This is a provisional connection, not an outcome finding.</w:t>
      </w:r>
    </w:p>
    <w:p>
      <w:pPr>
        <w:pStyle w:val="SourceNote"/>
      </w:pPr>
      <w:r>
        <w:rPr>
          <w:b/>
        </w:rPr>
        <w:t>Available abstract (not full text):</w:t>
      </w:r>
      <w:r>
        <w:t xml:space="preserve"> This article presents a comprehensive analysis of the nature, origins, and systemic evolution of the political regime of the Russian Federation. Drawing on political systems theory and psychological models of state formation, the study demonstrates that traditional democratic-authoritarian dichotomies cannot fully classify contemporary Russia. Tracing the historical continuum from imperial and Bolshevik despotism, the study conceptualizes “Putinism” as a conservative, personalistic autocracy supported by a rent-oriented economy, total propaganda, and society’s psychological dependence on a strong leader. Additionally the increased radicalization following the 2022 full scale invasion of Ukraine demonstrates how Putinism has shed its imitative democratic facade to institutionalize “Rashism” – an aggressive, neo-totalitarian quasi-ideology driven by imperial expansionism, great-power chauvinism, and revanchism, posing a serious threat to international relations and global security.</w:t>
      </w:r>
    </w:p>
    <w:p>
      <w:pPr/>
      <w:r>
        <w:rPr>
          <w:b/>
        </w:rPr>
        <w:t>POSSIBLE 2024:</w:t>
      </w:r>
      <w:r>
        <w:t xml:space="preserve"> Putinism – Post-Soviet Russian Regime Ideology — https://doi.org/10.4324/9781003243892</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A key question for the contemporary world: What is Putin’s ideology? This book analyses this ideology, which it terms “Putinism”. It examines a range of factors that feed into the ideology – conservative thought in Russia from the nineteenth century onwards, Russian and Soviet history and their memorialisation, Russian Orthodox religion and its political connections, a focus on traditional values, and Russia’s sense of itself as a unique civilisation, different from the West and due a special, respected place in the world. The book highlights that although the resulting ideology lacks coherence and universalism comparable to that of Soviet-era Marxism-Leninism, it is nevertheless effective in aligning the population to the regime and is flexible and applicable in different circumstances. And that therefore it is not attached to Putin as a person, is likely to outlive him, and is potentially appealing elsewhere in the world outside Russia, especially to countries that feel belittled by the West and let down by the West’s failure to resolve problems of global injustice and inequality.</w:t>
      </w:r>
    </w:p>
    <w:p>
      <w:pPr/>
      <w:r>
        <w:rPr>
          <w:b/>
        </w:rPr>
        <w:t>POSSIBLE 2024:</w:t>
      </w:r>
      <w:r>
        <w:t xml:space="preserve"> Gender systems in the Putin autocracy — https://doi.org/10.3389/fsoc.2024.1327946</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Over the last 23 years, Russian President Vladimir Putin's autocracy has revealed a set of interlocking gender systems that have come to the fore particularly vividly since the full-scale invasion of Ukraine on February 24, 2022. How, this article asks, have the masculinist cultural and political practices of the Putin regime undermined democratic practices and engagement broadly speaking? How have they organized Russian state and society in ways that have led to today's war in Ukraine with its massive destruction, violence, and brutality? And have there been earlier signals that should have warned observers that this regime might undertake such a war of aggression? Drawing on public, mass media data, this article analyzes the gendered structures of power in Russia that have contributed to the degeneration of democracy in three main areas: (1) male-on-male domination in discourse and practice that supports Putin's personal rule and emasculates his enemies; (2) the elevation of male power clans, including the President's personal praetorian guard and the Russian private military companies; and (3) the overall taming and emasculation of the Russian Parliament combined with the elevation of tough women deputies, whom I call the Baba Commissars. These female MPs support the President's domination by creating an appearance of a threatening outside world that needs to be kept at bay.</w:t>
      </w:r>
    </w:p>
    <w:p>
      <w:pPr/>
      <w:r>
        <w:rPr>
          <w:b/>
        </w:rPr>
        <w:t>POSSIBLE 2023:</w:t>
      </w:r>
      <w:r>
        <w:t xml:space="preserve"> The Ideology of Putinism: Is It Sustainable? — https://doi.org/10.15868/socialsector.42609</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The Ideology of Putinism | 2This report argues that Vladimir Putin's regime does have an ideology.As the authors show, from the start of his rule over two decades ago, the Kremlin has made serious, consistent, and increasing investments in promoting certain values.Borrowing heavily from czarist and Soviet themes, as well as other intellectual sources like the twentieth-century radical right, Putinism elevates an idea of imperialnationalist statism amplified by Russian greatness, exceptionalism, and historical struggle against the West.Notable throughout this period has been the Kremlin's attention to education and memory politics, accompanied by a growing emphasis and reactionary in nature, on what the Kremlin describes as traditional values.Since the mid-2010s this was followed by a shift in focus from narratives and monuments alone to establishing and funding public engagement with these narratives.Phases marked by the more active promotion of these ideas coincide with external and internal challenges to the regime, often triggered by color revolutions in Russia's "near abroad," domestic protests, or the wars Putin started.Russia's 2022 invasion of Ukraine and its radical break with the West have prompted the regime to mount a more sustainable ideology-building effort.A common critique of the Putin regime's attachment to ideology is that Russian politicians do not live by the</w:t>
      </w:r>
    </w:p>
    <w:p>
      <w:pPr/>
      <w:r>
        <w:rPr>
          <w:b/>
        </w:rPr>
        <w:t>POSSIBLE 2022:</w:t>
      </w:r>
      <w:r>
        <w:t xml:space="preserve"> War in Ukraine: Putin and the multi-order world — https://doi.org/10.1080/13523260.2022.2091591</w:t>
      </w:r>
    </w:p>
    <w:p>
      <w:pPr/>
      <w:r>
        <w:rPr>
          <w:b/>
        </w:rPr>
        <w:t>Shared claim-specific concepts:</w:t>
      </w:r>
      <w:r>
        <w:t xml:space="preserve"> rather, putin, russian; EU scope not established. This is a provisional connection, not an outcome finding.</w:t>
      </w:r>
    </w:p>
    <w:p>
      <w:pPr>
        <w:pStyle w:val="SourceNote"/>
      </w:pPr>
      <w:r>
        <w:rPr>
          <w:b/>
        </w:rPr>
        <w:t>Available abstract (not full text):</w:t>
      </w:r>
      <w:r>
        <w:t xml:space="preserve"> The global rules-based order has been in transformation for more than a decade, whilst the liberal international order has been in crisis and new international orders are emerging. Within this context, the Russian invasion of Ukraine marks what the Germans have called a Zeitenwende because the multi-order world is now a reality. The article outlines the main characteristics and implications of a multi-order world and outlines four categories of orders that will populate the multi-order world. The article details Putin’s vision for a Eurasian order and how his plans are received within the Eurasian order. The article offers a perspective on how the global dynamics of the new multi-order world might play out, showing that it is likely to be conflictual rather than a cooperative, and that members of the Eurasian order show little enthusiasm for Putin’s vision, resulting in an order held together by force rather than consent.</w:t>
      </w:r>
    </w:p>
    <w:p>
      <w:pPr/>
      <w:r>
        <w:rPr>
          <w:b/>
        </w:rPr>
        <w:t>POSSIBLE 2022:</w:t>
      </w:r>
      <w:r>
        <w:t xml:space="preserve"> THE APPROACH OF FINLAND TO RUSSIAN OCCUPATION OF UKRAINE: SECURITISATION OF THE PUTIN REGIME / Rusya’nın Ukrayna’yı İşgaline Finlandiya’nın Yaklaşımı: Putin Rejiminin Güvenlikleştirilmesi — https://doi.org/10.29216/ueip.1144817</w:t>
      </w:r>
    </w:p>
    <w:p>
      <w:pPr/>
      <w:r>
        <w:rPr>
          <w:b/>
        </w:rPr>
        <w:t>Shared claim-specific concepts:</w:t>
      </w:r>
      <w:r>
        <w:t xml:space="preserve"> putin, regime, russian; EU scope visible. This is a provisional connection, not an outcome finding.</w:t>
      </w:r>
    </w:p>
    <w:p>
      <w:pPr>
        <w:pStyle w:val="SourceNote"/>
      </w:pPr>
      <w:r>
        <w:rPr>
          <w:b/>
        </w:rPr>
        <w:t>Available abstract (not full text):</w:t>
      </w:r>
      <w:r>
        <w:t xml:space="preserve"> The purpose of this article is to explain the approach of Finland to Russian occupation of Ukraine. Finnish foreign policy implemented between February 24 when Ukraine-Russia War began, and June 30, is analysed by using securitisation theory developed by the Copenhagen School. This study argues that Finland securitised the Putin regime. As a consequence of securitisation analysis, the article reached four results. First, Finnish Prime Minister Sanna Marin and President Sauli Niinistö see Russia under the Putin government as a military threat. Second, Prime Minister Sanna Marin and President Sauli Niinistö want to make Finland a member of NATO to strengthen defence capabilities of the country against Russia. Third, Finland securitised the Putin regime. Fourth, as a member of the European Union, Finland has applied collective EU sanctions on Russia, President Vladimir Putin and his close partners. By applying for NATO membership, Finland abandoned the policy of military neutrality that it has been implementing since the 20th century.</w:t>
      </w:r>
    </w:p>
    <w:p>
      <w:pPr/>
      <w:r>
        <w:rPr>
          <w:b/>
        </w:rPr>
        <w:t>POSSIBLE 2022:</w:t>
      </w:r>
      <w:r>
        <w:t xml:space="preserve"> After Putin – what? — https://doi.org/10.1080/00963402.2022.2132731</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By calling for Putin’s removal from power, Western officials and scholars magnify Russian historic fears of a state collapse. Worse, they magnify them by fueling the Kremlin propaganda machine and reinforcing Russians’ reluctance to turn against their regime. Still, Putin will inevitably have to go someday. When that day arrives, however, it is all but clear what the future for Russia will be. Will Russia after Putin necessarily collapse? Or will Putin’s successor turn to the West with a plea for peace and engage the country in reforms and modernization? History can still go either way. But by creating a huge police force to repel popular discontent, accumulating vast financial reserves to escape sanctions, and modifying the Russian constitution so the ruler can indefinitely remain in power, Putin has already laid the groundwork for whoever happens to be his successor to persevere in the current course of aggression – a course where the aggressor possesses the world’s largest arsenal of nuclear weapons.</w:t>
      </w:r>
    </w:p>
    <w:p>
      <w:pPr/>
      <w:r>
        <w:rPr>
          <w:b/>
        </w:rPr>
        <w:t>POSSIBLE 2021:</w:t>
      </w:r>
      <w:r>
        <w:t xml:space="preserve"> Consolidating the Putin Regime: The 2020 Referendum on Russia’s Constitutional Amendments — https://doi.org/10.30965/24518921-00603004</w:t>
      </w:r>
    </w:p>
    <w:p>
      <w:pPr/>
      <w:r>
        <w:rPr>
          <w:b/>
        </w:rPr>
        <w:t>Shared claim-specific concepts:</w:t>
      </w:r>
      <w:r>
        <w:t xml:space="preserve"> continue, putin, regime, russian; EU scope not established. This is a provisional connection, not an outcome finding.</w:t>
      </w:r>
    </w:p>
    <w:p>
      <w:pPr>
        <w:pStyle w:val="SourceNote"/>
      </w:pPr>
      <w:r>
        <w:rPr>
          <w:b/>
        </w:rPr>
        <w:t>Available abstract (not full text):</w:t>
      </w:r>
      <w:r>
        <w:t xml:space="preserve"> Abstract In July 2020, Russian voters gave strong support to a package of constitutional reforms that reconfigured the Russian political system and enshrined social guarantees and conservative identity values, consolidating the regime that has been built over a 20-year period. This was achieved through an alteration that ‘zeroed’ presidential terms that commenced before the constitutional change, potentially allowing President Vladimir Putin to overcome term limits and continue in office beyond 2024. The article explains how such a far-reaching and important change was successfully endorsed by the Russian electorate. The analysis shows that the main explanation rests with variations in voting patterns across the regions, a pattern that has been evident in previous Russian elections and resulted in strong pro-Putin support. The article also evaluates questions raised about the legitimacy of the result, and its long-term significance for the Russian political system.</w:t>
      </w:r>
    </w:p>
    <w:p>
      <w:pPr/>
      <w:r>
        <w:rPr>
          <w:b/>
        </w:rPr>
        <w:t>POSSIBLE 2021:</w:t>
      </w:r>
      <w:r>
        <w:t xml:space="preserve"> Vladimir Putin — https://doi.org/10.4324/9781003100508-13</w:t>
      </w:r>
    </w:p>
    <w:p>
      <w:pPr/>
      <w:r>
        <w:rPr>
          <w:b/>
        </w:rPr>
        <w:t>Shared claim-specific concepts:</w:t>
      </w:r>
      <w:r>
        <w:t xml:space="preserve"> putin, regime, russian; EU scope visible. This is a provisional connection, not an outcome finding.</w:t>
      </w:r>
    </w:p>
    <w:p>
      <w:pPr>
        <w:pStyle w:val="SourceNote"/>
      </w:pPr>
      <w:r>
        <w:rPr>
          <w:b/>
        </w:rPr>
        <w:t>Available abstract (not full text):</w:t>
      </w:r>
      <w:r>
        <w:t xml:space="preserve"> Vladimir Putin has developed and consolidated a personalist political regime that incorporates every key formal feature of liberal democracy while also virtually eliminating the chance that the Putin network can be removed from power by electoral xxix means. Putin and his allies have captured the administrative machinery of the Russian state and in the process created a hybrid post-Communist party-state – a “neo-patrimonial façade democracy.” The essay argues that the structure and functioning of Putin’s system is best understood in terms of the history of one-party political “machines” that have appeared over the past century and a half in nominal democracies in the United States, Italy, Japan, Mexico, and so on. Paradoxically, Russia is freer than ever in its history, but at the same time much of Russia has rejected liberal values as understood in the contemporary West. By cultivating a charismatic traditionalist bond with the Russian people, reinforced by defensible performances in a series of domestic and foreign crises, Putin’s position appears unassailable although his bond with the Russian people has become more fragile. Whether this system can long survive Putin himself, however, remains very much to be seen.</w:t>
      </w:r>
    </w:p>
    <w:p>
      <w:pPr/>
      <w:r>
        <w:rPr>
          <w:b/>
        </w:rPr>
        <w:t>POSSIBLE 2021:</w:t>
      </w:r>
      <w:r>
        <w:t xml:space="preserve"> From ‘Putin the Saviour’ to ‘Irreplaceable Putin’:The Role of the 1990s in the Kremlin’s Strategic Communications — https://openalex.org/W7135975081</w:t>
      </w:r>
    </w:p>
    <w:p>
      <w:pPr/>
      <w:r>
        <w:rPr>
          <w:b/>
        </w:rPr>
        <w:t>Shared claim-specific concepts:</w:t>
      </w:r>
      <w:r>
        <w:t xml:space="preserve"> continue, putin, regime, russian; EU scope not established. This is a provisional connection, not an outcome finding.</w:t>
      </w:r>
    </w:p>
    <w:p>
      <w:pPr>
        <w:pStyle w:val="SourceNote"/>
      </w:pPr>
      <w:r>
        <w:rPr>
          <w:b/>
        </w:rPr>
        <w:t>Available abstract (not full text):</w:t>
      </w:r>
      <w:r>
        <w:t xml:space="preserve"> The Soviet Union ceased to exist thirty ago. However, its memory and the memory of the decade of crisis that followed its dissolution, continue to serve the Kremlin. Existing literature claims that Vladimir Putin, helped by the state-controlled media, has manipulated the memory of the Soviet Union and the trauma of the 1990s to justify his regime. This article takes a different approach. By adopting the framework of Strategic Communications, it claims that the Kremlin used the traumatic experience of the 1990s to build strategic narratives intended to justify Putin’s regime within the context of the values held by the majority of the Russian public. On the one hand, it argues that the Kremlin’s Strategic Communications are rooted in the past, either by glorifying it (nostalgia for the Soviet Union) or by vilifying it (‘the wild nineties’), because this is what resonates best with the Russian people. On the other hand, it suggests that Putin’s use of this past, combined with deep understanding of his domestic audience, allowed him to adapt and adjust his strategic narratives to the evolving situation in Russia, justifying his regime in the last two decades and legitimising its potential continuation beyond 2024.</w:t>
      </w:r>
    </w:p>
    <w:p>
      <w:pPr/>
      <w:r>
        <w:rPr>
          <w:b/>
        </w:rPr>
        <w:t>POSSIBLE 2017:</w:t>
      </w:r>
      <w:r>
        <w:t xml:space="preserve"> State-society relations and the sources of support for the Putin regime: bridging political culture and social contract theory — https://doi.org/10.1080/21599165.2017.1414697</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This article evaluates two theoretical approaches to the popularity and resilience of authoritarianism in Russia, namely political culture and social contract theory. These approaches are two of the most important theories of Russian politics and also reflect the general divide in comparative and post-communist politics between political-cultural and rationalist explanations. We demonstrate that these approaches are bound up with different notions of legitimacy. This article suggests that neither framework offers a complete explanation of the Russian case. We develop an alternative framework that bridges these two approaches. Our analysis suggests that the social contract in Russia needs to be analysed as dynamic and conditional. Moreover, the use of different legitimation strategies by Russian authorities suggests that leaders can reshape the social contract and gain support in a strategic fashion by choosing appeals related to political culture.</w:t>
      </w:r>
    </w:p>
    <w:p>
      <w:pPr>
        <w:pStyle w:val="Heading2"/>
      </w:pPr>
      <w:r>
        <w:t>941. Understanding and enhancing future infrastructure resiliency: a socio‐ecological approach</w:t>
      </w:r>
    </w:p>
    <w:p>
      <w:pPr>
        <w:pStyle w:val="SourceNote"/>
      </w:pPr>
      <w:r>
        <w:rPr>
          <w:b/>
        </w:rPr>
        <w:t>Original source (2014):</w:t>
      </w:r>
      <w:r>
        <w:t xml:space="preserve"> https://doi.org/10.1111/disa.12114</w:t>
      </w:r>
    </w:p>
    <w:p>
      <w:pPr/>
      <w:r>
        <w:t>Original wording (abstract; indexed_source_text_not_full_document_verified): This paper seeks to identify and problematise this perspective, presenting research based on the development of a heuristic 'scenario-episode' tool to address, and challenge, it in the context of United Kingdom infrastructure resilience.</w:t>
      </w:r>
    </w:p>
    <w:p>
      <w:pPr/>
      <w:r>
        <w:rPr>
          <w:b/>
        </w:rPr>
        <w:t>POSSIBLE 2023:</w:t>
      </w:r>
      <w:r>
        <w:t xml:space="preserve"> Problematising current coaching strategies from a worldview perspective — https://doi.org/10.4102/sajip.v49i0.2034</w:t>
      </w:r>
    </w:p>
    <w:p>
      <w:pPr/>
      <w:r>
        <w:rPr>
          <w:b/>
        </w:rPr>
        <w:t>Shared claim-specific concepts:</w:t>
      </w:r>
      <w:r>
        <w:t xml:space="preserve"> problematise, perspective, context; EU scope not established. This is a provisional connection, not an outcome finding.</w:t>
      </w:r>
    </w:p>
    <w:p>
      <w:pPr>
        <w:pStyle w:val="SourceNote"/>
      </w:pPr>
      <w:r>
        <w:rPr>
          <w:b/>
        </w:rPr>
        <w:t>Available abstract (not full text):</w:t>
      </w:r>
      <w:r>
        <w:t xml:space="preserve"> Orientation: Leaders need goodness-of-fit with the context in which they are leading, and coaching is considered an effective strategy to achieve this.Research purpose: To critically problematise current dominant coaching strategies in terms of their underlying worldviews, in order to assess their potential effectiveness and relevance in enhancing context‒leadership goodness-of-fit, given the emerging context faced by leaders.Motivation for the study: The current ever-changing context of leaders requires different thinking, including with regard to coaching. The framework of the coaching landscape, with its associated building blocks, provides the conceptual framework for the review of current coaching strategies. Three dominant worldviews that have historically influenced the thinking in social sciences are employed in this review, namely Newtonian, general systems theory and complexity or chaos (second-order systemic thinking).Research approach/design and method: This was a critical conceptual study aimed at problematising the worldviews informing the currently dominant coaching strategies.Main findings: The problematising of the worldviews underlying the dominant coaching strategies revealed that these strategies are not always informed by a worldview congruent with that demanded by the qualities and features of the world that leaders currently face. There is a pressing need</w:t>
      </w:r>
    </w:p>
    <w:p>
      <w:pPr/>
      <w:r>
        <w:rPr>
          <w:b/>
        </w:rPr>
        <w:t>POSSIBLE 2022:</w:t>
      </w:r>
      <w:r>
        <w:t xml:space="preserve"> Problematising philosophical assumptions in EE's Invisible College — https://doi.org/10.1108/ijebr-07-2021-0553</w:t>
      </w:r>
    </w:p>
    <w:p>
      <w:pPr/>
      <w:r>
        <w:rPr>
          <w:b/>
        </w:rPr>
        <w:t>Shared claim-specific concepts:</w:t>
      </w:r>
      <w:r>
        <w:t xml:space="preserve"> seeks, perspective, heuristic; EU scope not established. This is a provisional connection, not an outcome finding.</w:t>
      </w:r>
    </w:p>
    <w:p>
      <w:pPr>
        <w:pStyle w:val="SourceNote"/>
      </w:pPr>
      <w:r>
        <w:rPr>
          <w:b/>
        </w:rPr>
        <w:t>Available abstract (not full text):</w:t>
      </w:r>
      <w:r>
        <w:t xml:space="preserve"> Purpose This paper seeks to energise discussion around philosophical assumptions in entrepreneurship education (EE). Far from being abstract considerations, this paper underscores that philosophical assumptions – which are embodied in research products and inherited from others – have practical implications. Design/methodology/approach The study’s approach is to purposefully unsettle taken-for-granted assumptions implicit within 44 influential articles which have been said to reveal EE's Invisible College. The authors utilise three heuristic tools offered by problematisation – identifying paradigmatic assumptions, (re)conceptualising subject matter and making a reversal – to explore the implications of the meta-theoretical underpinnings of this body of work. The goal of this paper is not to find a definitive answer to the question “what is EE's underlying philosophy?” but rather ask, “what can we learn about philosophical assumptions by reconsidering this particular set of influential articles at a deep level?” Findings With some notable expectations, EE's Invisible College is a place where ideas about an external social reality accessible to the dispassionate researcher are implicitly accepted, where assumptions about the possibility of objective knowledge and the superiority of scientific methodology dominate and where functionalist research products reproduce the social stat</w:t>
      </w:r>
    </w:p>
    <w:p>
      <w:pPr/>
      <w:r>
        <w:rPr>
          <w:b/>
        </w:rPr>
        <w:t>POSSIBLE 2022:</w:t>
      </w:r>
      <w:r>
        <w:t xml:space="preserve"> Explaining adults’ mental health help-seeking through the lens of the theory of planned behavior: a scoping review — https://doi.org/10.1186/s13643-022-02034-y</w:t>
      </w:r>
    </w:p>
    <w:p>
      <w:pPr/>
      <w:r>
        <w:rPr>
          <w:b/>
        </w:rPr>
        <w:t>Shared claim-specific concepts:</w:t>
      </w:r>
      <w:r>
        <w:t xml:space="preserve"> based, address, context; EU scope not established. This is a provisional connection, not an outcome finding.</w:t>
      </w:r>
    </w:p>
    <w:p>
      <w:pPr>
        <w:pStyle w:val="SourceNote"/>
      </w:pPr>
      <w:r>
        <w:rPr>
          <w:b/>
        </w:rPr>
        <w:t>Available abstract (not full text):</w:t>
      </w:r>
      <w:r>
        <w:t xml:space="preserve"> BACKGROUND: Despite evidence-based efficacy, mental health services are underutilized due to low rates of help-seeking, leaving unmet mental health needs a global concern. The Theory of Planned Behavior (TPB) has been applied to understand the help-seeking process and in the development of behavior change interventions. The aim of this scoping review was to map the literature on the TPB as applied to mental health help-seeking in adults aged &gt;18 years. METHODS: This scoping review was conducted based on the methodology presented by Arksey and O'Malley (2005). Six databases (CINAHL, PsycINFO, MEDLINE, ProQuest Health and Medicine, ProQuest Dissertations and Theses, Web of Science) and two grey literature sources (OpenGrey, Google Scholar) were systematically searched in February 2018 and updated in March 2020. Studies that explicitly discussed the TPB in the context of mental health help-seeking were initially selected; only studies that explored formal help-seeking for mental health problems and were published in English were retained. Data were extracted using Microsoft Excel. RESULTS: Initially, 8898 records were identified. Of these, 49 met the selection criteria and were included: 32 were journal articles and 17 were theses. Forty-three papers reported on non-intervention studies and seven articles reported on TPB-based interventions. Most studies (n = 39) identified predic</w:t>
      </w:r>
    </w:p>
    <w:p>
      <w:pPr/>
      <w:r>
        <w:rPr>
          <w:b/>
        </w:rPr>
        <w:t>POSSIBLE 2022:</w:t>
      </w:r>
      <w:r>
        <w:t xml:space="preserve"> Identifying Subgroups of Cannabis Users Based on Help-Seeking Preferences: A Latent Class Analysis — https://doi.org/10.1159/000524938</w:t>
      </w:r>
    </w:p>
    <w:p>
      <w:pPr/>
      <w:r>
        <w:rPr>
          <w:b/>
        </w:rPr>
        <w:t>Shared claim-specific concepts:</w:t>
      </w:r>
      <w:r>
        <w:t xml:space="preserve"> identify, based; EU scope not established. This is a provisional connection, not an outcome finding.</w:t>
      </w:r>
    </w:p>
    <w:p>
      <w:pPr>
        <w:pStyle w:val="SourceNote"/>
      </w:pPr>
      <w:r>
        <w:rPr>
          <w:b/>
        </w:rPr>
        <w:t>Available abstract (not full text):</w:t>
      </w:r>
      <w:r>
        <w:t xml:space="preserve"> BACKGROUND: The majority of people with cannabis use disorder do not seek treatment. If we were able to gain more insight into different subgroups of cannabis users based on help-seeking preferences, we could use this information to inform the development and promotion of interventions targeted at specific subgroups of cannabis users, to ultimately narrow the treatment gap. METHODS: An online survey was conducted among 1,015 Dutch frequent cannabis users (18-72 years) to assess their cannabis use, help-seeking preferences, psychopathology, and psychological distress. Latent class analysis was used to identify classes of cannabis users based on their help-seeking preferences. Differences between the identified classes in terms of sociodemographics, cannabis use, and psychopathology were examined. RESULTS: We identified four classes with distinct preferences for support. Class 1 ("no support/only social," n = 548) had a low probability of finding any form of support appealing other than social support. Class 2 ("online help," n = 170) had relatively high probabilities of finding online help appealing. Class 3 ("GP/outpatient," n = 208) had a relatively high probability of finding support from the general practitioner and outpatient substance use disorder treatment appealing. Class 4 ("all sources," n = 89) had moderate to high probabilities for all sources of support. In terms of</w:t>
      </w:r>
    </w:p>
    <w:p>
      <w:pPr/>
      <w:r>
        <w:rPr>
          <w:b/>
        </w:rPr>
        <w:t>POSSIBLE 2021:</w:t>
      </w:r>
      <w:r>
        <w:t xml:space="preserve"> A resource‐based view of green innovation as a strategic firm resource: Present status and future directions — https://doi.org/10.1002/bse.2961</w:t>
      </w:r>
    </w:p>
    <w:p>
      <w:pPr/>
      <w:r>
        <w:rPr>
          <w:b/>
        </w:rPr>
        <w:t>Shared claim-specific concepts:</w:t>
      </w:r>
      <w:r>
        <w:t xml:space="preserve"> perspective, based, address; EU scope not established. This is a provisional connection, not an outcome finding.</w:t>
      </w:r>
    </w:p>
    <w:p>
      <w:pPr>
        <w:pStyle w:val="SourceNote"/>
      </w:pPr>
      <w:r>
        <w:rPr>
          <w:b/>
        </w:rPr>
        <w:t>Available abstract (not full text):</w:t>
      </w:r>
      <w:r>
        <w:t xml:space="preserve"> Abstract Green innovation could become a valuable firm resource for establishing competitive advantage while simultaneously contributing towards sustainable development; in other words, green innovation has the potential to address the dilemma between consuming available resources and preserving them for the future. However, there is a dearth of studies systematically examining the present structure and future scope of research on green innovation as a firm resource. Seeking to explain the sustainable development dilemma of green innovations through the theoretical perspective of the resource‐based view of the firm, we address this gap with a comprehensive bibliometric analysis of 951 relevant articles. The key contributors to the extant literature are recognised with bibliographic coupling, citation analysis and co‐authorship analysis. A co‐citation analysis identifies four major thematic areas of research: green supply chain management, green product design, corporate environmental responsibilities and social sustainability. Further, a dynamic co‐citation analysis tracks the progression of these thematic areas. Content analysis of the thematic areas provides insights into the status of the research domain. This study also contributes to the extant literature by identifying prestigious articles on green innovation as a firm resource, analysing the co‐occurrence of keywords and</w:t>
      </w:r>
    </w:p>
    <w:p>
      <w:pPr/>
      <w:r>
        <w:rPr>
          <w:b/>
        </w:rPr>
        <w:t>POSSIBLE 2021:</w:t>
      </w:r>
      <w:r>
        <w:t xml:space="preserve"> Identifying the indicators of the problems of couples seeking a divorce in Torkaman city — https://doi.org/10.61838/kman.aftj.2.3.9</w:t>
      </w:r>
    </w:p>
    <w:p>
      <w:pPr/>
      <w:r>
        <w:rPr>
          <w:b/>
        </w:rPr>
        <w:t>Shared claim-specific concepts:</w:t>
      </w:r>
      <w:r>
        <w:t xml:space="preserve"> identify, perspective, based; EU scope not established. This is a provisional connection, not an outcome finding.</w:t>
      </w:r>
    </w:p>
    <w:p>
      <w:pPr>
        <w:pStyle w:val="SourceNote"/>
      </w:pPr>
      <w:r>
        <w:rPr>
          <w:b/>
        </w:rPr>
        <w:t>Available abstract (not full text):</w:t>
      </w:r>
      <w:r>
        <w:t xml:space="preserve"> Aim: The present research was written to identify the problems of couples of Torkaman city from the perspective of Torkaman couples. Methods: This research was a qualitative content analysis method. The statistical population of this study included all Torkaman couples seeking divorce referred to the counseling center by the judiciary for peace and reconciliation. Twenty couples were selected based on purposive sampling and saturation criteria and participated in the study. An in-depth semi-structured interview method was used to collect the data. Results: After analyzing the data, 4 main categories of marital inefficiency, individual inefficiency, underlying conditions, and cultural conditions were obtained. Marital inefficiency included 14 sub-categories (couple's reaction in the event of a dispute, dysfunctional relationship, lack of alignment and coordination with each other, lack of sexual intimacy, infidelity, deprivation of love, disregard for kinship and friendship, failure to play marital roles, and destructive role of families, reaction of families when there is a dispute, lack of transparency and honesty in the relationship, inefficient life stages, negative attitude towards the future of the relationship, inattention and difference in religious attitude). Individual inefficiency included 1 sub-category (effective personality traits in divorce). Underlying conditions</w:t>
      </w:r>
    </w:p>
    <w:p>
      <w:pPr/>
      <w:r>
        <w:rPr>
          <w:b/>
        </w:rPr>
        <w:t>POSSIBLE 2017:</w:t>
      </w:r>
      <w:r>
        <w:t xml:space="preserve"> Problematising 'happiness' : a critical explanation of the UK's happiness agenda — https://openalex.org/W2738120925</w:t>
      </w:r>
    </w:p>
    <w:p>
      <w:pPr/>
      <w:r>
        <w:rPr>
          <w:b/>
        </w:rPr>
        <w:t>Shared claim-specific concepts:</w:t>
      </w:r>
      <w:r>
        <w:t xml:space="preserve"> seeks, presenting, context; EU scope not established. This is a provisional connection, not an outcome finding.</w:t>
      </w:r>
    </w:p>
    <w:p>
      <w:pPr>
        <w:pStyle w:val="SourceNote"/>
      </w:pPr>
      <w:r>
        <w:rPr>
          <w:b/>
        </w:rPr>
        <w:t>Available abstract (not full text):</w:t>
      </w:r>
      <w:r>
        <w:t xml:space="preserve"> Issues of ‘wellbeing’ and ‘happiness’ are becoming more and more prevalent in discussions of social policy and in the provision of healthcare services. In recent years, the maximisation of a nation’s ‘happiness’ has emerged as both a key policy objective and as a central focus within social, political and economic research, with public policy makers around the world having demonstrated a growing interest in national accounts of ‘wellbeing’. In the UK context, this growing interest is comprised of a perceived need to ‘know’ ‘happiness’ and ‘wellbeing’ better, so that they might be maximised. Such attitudes and beliefs made possible the introduction of four new questions to the Annual Population Survey that were specifically designed to measure the UK’s “subjective wellbeing” (now referred to as “individual life satisfaction” following revisions in subsequent years). In addition to this, in 2010 a non-profit organisation named Action for Happiness (AfH) was founded which sought to maximise the ‘happiness’ of society by offering individual members help and training towards living a ‘happier’ life - an endeavour which is understood to be necessitated by the stagnation of ‘happiness’ in modern Western societies. This thesis seeks to critically account for the emergence of such social and political practices – or ‘happiness agenda’ - and does so from a poststructuralist, post-Marxist</w:t>
      </w:r>
    </w:p>
    <w:p>
      <w:pPr/>
      <w:r>
        <w:rPr>
          <w:b/>
        </w:rPr>
        <w:t>POSSIBLE 2016:</w:t>
      </w:r>
      <w:r>
        <w:t xml:space="preserve"> Problematising Big Food’s appetite for policymaking the case of childhood obesity — https://openalex.org/W2598651920</w:t>
      </w:r>
    </w:p>
    <w:p>
      <w:pPr/>
      <w:r>
        <w:rPr>
          <w:b/>
        </w:rPr>
        <w:t>Shared claim-specific concepts:</w:t>
      </w:r>
      <w:r>
        <w:t xml:space="preserve"> seeks, perspective, address; EU scope visible. This is a provisional connection, not an outcome finding.</w:t>
      </w:r>
    </w:p>
    <w:p>
      <w:pPr>
        <w:pStyle w:val="SourceNote"/>
      </w:pPr>
      <w:r>
        <w:rPr>
          <w:b/>
        </w:rPr>
        <w:t>Available abstract (not full text):</w:t>
      </w:r>
      <w:r>
        <w:t xml:space="preserve"> Big Food companies, such as Coca-Cola, claim they ‘are helping to develop workable solutions to address obesity – by partnering with government, academia, health societies and other responsible members of civil society’ (Coca-Cola, 2011: 1). Big Food’s reinvention as public health promoter means that government public health policy is increasingly entangled with corporate practices. In 2011, the Broadcasting Authority of Ireland began a process to regulate the advertising of ultra-processed food to children in an attempt to address childhood obesity. This study takes Big Food’s response to this policy proposal and seeks to reveal what type of ‘problem’ childhood obesity is represented to be by Big Food. The focus on Big Food as a single discursive actor reflects the significant role which corporate interests increasingly play in the development of public health policy. Big Food is considered in this study as one of the governing parties in the shaping of discourse of childhood obesity. Employing the Foucauldian concepts of discourse and power/knowledge, this study looks at the deeper conceptual contests which frame how obesity policy is made in Ireland from the perspective of Big Food. The ‘What’s the problem represented to be?’ (WPR) methodology (Bacchi, 2009, 2010, 2012) is employed to examine how Big Food’s discourses of childhood obesity have developed, how they are maintai</w:t>
      </w:r>
    </w:p>
    <w:p>
      <w:pPr>
        <w:pStyle w:val="Heading2"/>
      </w:pPr>
      <w:r>
        <w:t>942. Will the real security foresight expert please stand up?</w:t>
      </w:r>
    </w:p>
    <w:p>
      <w:pPr>
        <w:pStyle w:val="SourceNote"/>
      </w:pPr>
      <w:r>
        <w:rPr>
          <w:b/>
        </w:rPr>
        <w:t>Original source (2014):</w:t>
      </w:r>
      <w:r>
        <w:t xml:space="preserve"> https://doi.org/10.1007/s40309-014-0037-6</w:t>
      </w:r>
    </w:p>
    <w:p>
      <w:pPr/>
      <w:r>
        <w:t>Original wording (abstract; indexed_source_text_not_full_document_verified): In its critical comparative overview of foresight methods and how they are used by different futures institutes in Europe, North America, and their partners, the text argues that while many futures institutes claim to provide foresight expertise, few actually provide the tools needed by policy makers to help prepare for security risks. It identifies two trademarks of genuine security foresight experts: 1.) They will differentiate between trends and futures research 2.) Their methods will have met with success in providing early warning signals.</w:t>
      </w:r>
    </w:p>
    <w:p>
      <w:pPr/>
      <w:r>
        <w:rPr>
          <w:b/>
        </w:rPr>
        <w:t>POSSIBLE 2026:</w:t>
      </w:r>
      <w:r>
        <w:t xml:space="preserve"> Language teaching in Europe: A comparative overview of pedagogical, theoretical and decolonial approaches from the region — https://openalex.org/W7208794743</w:t>
      </w:r>
    </w:p>
    <w:p>
      <w:pPr/>
      <w:r>
        <w:rPr>
          <w:b/>
        </w:rPr>
        <w:t>Shared claim-specific concepts:</w:t>
      </w:r>
      <w:r>
        <w:t xml:space="preserve"> critical, comparative, overview, argues; EU scope visible. This is a provisional connection, not an outcome finding.</w:t>
      </w:r>
    </w:p>
    <w:p>
      <w:pPr>
        <w:pStyle w:val="SourceNote"/>
      </w:pPr>
      <w:r>
        <w:rPr>
          <w:b/>
        </w:rPr>
        <w:t>Available abstract (not full text):</w:t>
      </w:r>
      <w:r>
        <w:t xml:space="preserve"> This article provides a comparative overview of language teaching in Europe, examining the relationship between pedagogical traditions, theoretical developments, institutional frameworks, and emerging critical and decolonial perspectives. It begins by problematising the notion of Europe as a geographically, politically, culturally, and linguistically contested construct, before tracing major developments in European language education from grammar-translation and the Reform Movement to structuralism, audiolingualism, and Communicative Language Teaching. The discussion highlights the non-linear development of language pedagogy, demonstrating how apparently competing approaches continue to coexist across educational contexts, particularly in higher education. The article subsequently examines the influence of critical pedagogy, interculturality, Southern Theory, translanguaging, and decolonial scholarship, with particular attention to challenges to linguistic hierarchies, standard-language ideologies, and the dominance of Anglophone knowledge production. Contemporary European approaches are considered through the lenses of plurilingualism, intercultural communicative competence, Content and Language Integrated Learning, task-based learning, digital literacies, and artificial intelligence. Particular attention is given to intellectual traditions from Central, Eastern, and Russian-</w:t>
      </w:r>
    </w:p>
    <w:p>
      <w:pPr/>
      <w:r>
        <w:rPr>
          <w:b/>
        </w:rPr>
        <w:t>POSSIBLE 2026:</w:t>
      </w:r>
      <w:r>
        <w:t xml:space="preserve"> A Comparative Review of Healthcare Systems in India, the Middle East, and Europe: Strengths, Weaknesses, and Lessons for Improvement — https://doi.org/10.25258/ijddt.16.38s.65</w:t>
      </w:r>
    </w:p>
    <w:p>
      <w:pPr/>
      <w:r>
        <w:rPr>
          <w:b/>
        </w:rPr>
        <w:t>Shared claim-specific concepts:</w:t>
      </w:r>
      <w:r>
        <w:t xml:space="preserve"> critical, comparative, methods; EU scope visible. This is a provisional connection, not an outcome finding.</w:t>
      </w:r>
    </w:p>
    <w:p>
      <w:pPr>
        <w:pStyle w:val="SourceNote"/>
      </w:pPr>
      <w:r>
        <w:rPr>
          <w:b/>
        </w:rPr>
        <w:t>Available abstract (not full text):</w:t>
      </w:r>
      <w:r>
        <w:t xml:space="preserve"> Background: Healthcare systems vary significantly across global regions in their structure, financing, delivery, and outcomes. A comparative analysis of India, the Middle East, and Europe offers critical insight into the spectrum of health system performance, ranging from resource-constrained universal aspirations to oil-funded public systems and mature social insurance models. Objective: This paper critically examines the healthcare systems of India, selected Middle Eastern nations (Saudi Arabia, the United Arab Emirates, and Iran), and representative European countries (the United Kingdom, Germany, and Sweden), evaluating their organisational frameworks, financing mechanisms, access disparities, quality indicators, and reform trajectories. Methods: A narrative comparative review was conducted drawing on peer-reviewed literature, World Health Organization (WHO) reports, World Bank data, and regional health ministry publications. Thematic analysis was applied across six domains: governance, financing, access, quality, workforce, and technology. Results: European systems demonstrate high performance on equity, preventive care, and health outcomes, though face sustainability pressures from ageing populations and cost inflation. Middle Eastern systems have achieved rapid infrastructure development but struggle with over-reliance on expatriate health workers, public-private imbalan</w:t>
      </w:r>
    </w:p>
    <w:p>
      <w:pPr/>
      <w:r>
        <w:rPr>
          <w:b/>
        </w:rPr>
        <w:t>POSSIBLE 2025:</w:t>
      </w:r>
      <w:r>
        <w:t xml:space="preserve"> Emergency Regimes in the European Constitutions – A Comparative Overview — https://doi.org/10.1017/err.2025.22</w:t>
      </w:r>
    </w:p>
    <w:p>
      <w:pPr/>
      <w:r>
        <w:rPr>
          <w:b/>
        </w:rPr>
        <w:t>Shared claim-specific concepts:</w:t>
      </w:r>
      <w:r>
        <w:t xml:space="preserve"> comparative, overview, they, many; EU scope visible. This is a provisional connection, not an outcome finding.</w:t>
      </w:r>
    </w:p>
    <w:p>
      <w:pPr>
        <w:pStyle w:val="SourceNote"/>
      </w:pPr>
      <w:r>
        <w:rPr>
          <w:b/>
        </w:rPr>
        <w:t>Available abstract (not full text):</w:t>
      </w:r>
      <w:r>
        <w:t xml:space="preserve"> Abstract European constitutions differ greatly in the depth to which they deal with emergencies: while many constitutions devote more or less detailed regulation to emergency regimes, others almost completely neglect these issues or dedicate only some very short and vague references to emergency situations and powers. This article aims to carry out a systematic comparison of the emergency-related provisions of forty European constitutions, focusing on (1) the level of detail of the regulation, (2) the emergency regimes addressed, and (3) the restrictions on fundamental rights. As the study points out, only two out of the forty constitutions are completely silent on emergency powers. However, the remaining thirty-eight constitutions show wide variation in the level of detail of the emergency regulation; the vast majority of the emergency regimes are related to war or armed attack (or the danger thereof), to internal crises threatening the constitutional order, and to natural disasters. Concerning fundamental rights, the examination of the constitutional texts confirms that twenty-five out of the forty constitutions encompass some provisions on the restriction of these rights in a state of emergency.</w:t>
      </w:r>
    </w:p>
    <w:p>
      <w:pPr/>
      <w:r>
        <w:rPr>
          <w:b/>
        </w:rPr>
        <w:t>POSSIBLE 2025:</w:t>
      </w:r>
      <w:r>
        <w:t xml:space="preserve"> Regulation of laboratory-developed tests and in-house in vitro diagnostic medical devices in the United States and the European Union—a comparative overview — https://doi.org/10.1016/j.esmoop.2025.105909</w:t>
      </w:r>
    </w:p>
    <w:p>
      <w:pPr/>
      <w:r>
        <w:rPr>
          <w:b/>
        </w:rPr>
        <w:t>Shared claim-specific concepts:</w:t>
      </w:r>
      <w:r>
        <w:t xml:space="preserve"> critical, comparative, overview, used; EU scope visible. This is a provisional connection, not an outcome finding.</w:t>
      </w:r>
    </w:p>
    <w:p>
      <w:pPr>
        <w:pStyle w:val="SourceNote"/>
      </w:pPr>
      <w:r>
        <w:rPr>
          <w:b/>
        </w:rPr>
        <w:t>Available abstract (not full text):</w:t>
      </w:r>
      <w:r>
        <w:t xml:space="preserve"> Process chains in medical diagnostic laboratories lead to an accurate diagnosis and consequently to optimized personalized therapy recommendations. In addition to approved commercial in vitro diagnostic medical devices, devices and tests manufactured and used within a single diagnostic laboratory play a decisive role in these process chains ensuring state-of-the-art diagnostics and consecutive best patient care. It is vital that the implementation and use of such in-house tests, processes and medical devices developed in diagnostic laboratories by health care professionals is quality assured and meets regulatory and legal requirements. Due to the complexity and variety of these tests as well as their dual use in routine care and clinical trials, a thorough understanding of these regulations and their underlying definitions is critical. This review provides a comparative overview of the current state of the regulation of laboratory-developed tests in the United States and in-house developed in vitro diagnostic medical devices in the European Union. It dissects and compares the relevant regulatory ecosystems to identify conceptual similarities and differences. Our work helps laboratories navigate the regulatory landscape and provides a basis for further discussions among key stakeholders including health care providers, payers, legislators and regulatory agencies.</w:t>
      </w:r>
    </w:p>
    <w:p>
      <w:pPr/>
      <w:r>
        <w:rPr>
          <w:b/>
        </w:rPr>
        <w:t>POSSIBLE 2024:</w:t>
      </w:r>
      <w:r>
        <w:t xml:space="preserve"> A COMPARATIVE REVIEW OF DATA ENCRYPTION METHODS IN THE USA AND EUROPE — https://doi.org/10.51594/csitrj.v5i2.815</w:t>
      </w:r>
    </w:p>
    <w:p>
      <w:pPr/>
      <w:r>
        <w:rPr>
          <w:b/>
        </w:rPr>
        <w:t>Shared claim-specific concepts:</w:t>
      </w:r>
      <w:r>
        <w:t xml:space="preserve"> critical, comparative, methods, different; EU scope visible. This is a provisional connection, not an outcome finding.</w:t>
      </w:r>
    </w:p>
    <w:p>
      <w:pPr>
        <w:pStyle w:val="SourceNote"/>
      </w:pPr>
      <w:r>
        <w:rPr>
          <w:b/>
        </w:rPr>
        <w:t>Available abstract (not full text):</w:t>
      </w:r>
      <w:r>
        <w:t xml:space="preserve"> Data encryption is a critical aspect of modern information security, and understanding the approaches taken by different regions is vital for a comprehensive analysis. In the United States and Europe, data encryption methods vary in implementation, legal frameworks, and overall priorities. In the United States, encryption methods are primarily governed by a combination of federal laws and industry standards. The National Institute of Standards and Technology (NIST) plays a central role in recommending cryptographic standards, while the Department of Commerce oversees export controls on encryption technology. The focus in the U.S. is on balancing national security needs with individual privacy rights. The tension between law enforcement's desire for access to encrypted data for criminal investigations and the right to privacy has sparked debates and legal battles. On the other hand, Europe has taken a more privacy-centric approach to data protection. The General Data Protection Regulation (GDPR) is a cornerstone in the European Union's efforts to safeguard individual privacy rights. GDPR mandates the use of encryption to protect personal data, and failure to implement adequate measures can result in hefty fines. European countries also emphasize the importance of end-to-end encryption in communication services to ensure confidentiality. Both regions prioritize encryption, but th</w:t>
      </w:r>
    </w:p>
    <w:p>
      <w:pPr/>
      <w:r>
        <w:rPr>
          <w:b/>
        </w:rPr>
        <w:t>POSSIBLE 2024:</w:t>
      </w:r>
      <w:r>
        <w:t xml:space="preserve"> ENTREPRENEURIAL ECOSYSTEMS IN THE USA: A COMPARATIVE REVIEW WITH EUROPEAN MODELS — https://doi.org/10.51594/ijmer.v6i2.799</w:t>
      </w:r>
    </w:p>
    <w:p>
      <w:pPr/>
      <w:r>
        <w:rPr>
          <w:b/>
        </w:rPr>
        <w:t>Shared claim-specific concepts:</w:t>
      </w:r>
      <w:r>
        <w:t xml:space="preserve"> comparative, overview, they; EU scope visible. This is a provisional connection, not an outcome finding.</w:t>
      </w:r>
    </w:p>
    <w:p>
      <w:pPr>
        <w:pStyle w:val="SourceNote"/>
      </w:pPr>
      <w:r>
        <w:rPr>
          <w:b/>
        </w:rPr>
        <w:t>Available abstract (not full text):</w:t>
      </w:r>
      <w:r>
        <w:t xml:space="preserve"> This Review provides a concise overview of a comparative review exploring entrepreneurial ecosystems in the United States and their counterparts in Europe. The examination seeks to identify key characteristics, strengths, and challenges within these ecosystems, shedding light on the factors influencing entrepreneurship on both sides of the Atlantic. The entrepreneurial landscape in the United States has long been considered a global benchmark, characterized by a dynamic ecosystem that nurtures innovation, risk-taking, and venture capital. This review engages in a comparative analysis, juxtaposing the American entrepreneurial ecosystem with models prevalent in Europe. It delves into the structural elements, support mechanisms, and cultural factors that shape and differentiate these ecosystems. In the USA, a robust ecosystem is marked by a convergence of factors such as world-class universities, a prolific venture capital landscape, and a culture that embraces risk and failure as integral to the entrepreneurial journey. The review scrutinizes how these elements contribute to the rapid formation and scaling of startups, fostering a culture of innovation and resilience. Contrastingly, European entrepreneurial ecosystems exhibit a diverse range of models influenced by regional variations in culture, regulatory environments, and historical contexts. The analysis probes into the stren</w:t>
      </w:r>
    </w:p>
    <w:p>
      <w:pPr/>
      <w:r>
        <w:rPr>
          <w:b/>
        </w:rPr>
        <w:t>POSSIBLE 2024:</w:t>
      </w:r>
      <w:r>
        <w:t xml:space="preserve"> Comparative Literature in Europe — https://doi.org/10.1515/9783110645033-049</w:t>
      </w:r>
    </w:p>
    <w:p>
      <w:pPr/>
      <w:r>
        <w:rPr>
          <w:b/>
        </w:rPr>
        <w:t>Shared claim-specific concepts:</w:t>
      </w:r>
      <w:r>
        <w:t xml:space="preserve"> comparative, overview, they; EU scope visible. This is a provisional connection, not an outcome finding.</w:t>
      </w:r>
    </w:p>
    <w:p>
      <w:pPr>
        <w:pStyle w:val="SourceNote"/>
      </w:pPr>
      <w:r>
        <w:rPr>
          <w:b/>
        </w:rPr>
        <w:t>Available abstract (not full text):</w:t>
      </w:r>
      <w:r>
        <w:t xml:space="preserve"> A Short Prognosis (as presented at the ACLA meeting in Utrecht on 6 July, 2017)The first prerequisite for a prognosis regarding the future of European comparatism would logically be to give a full overview of CompLit, or, in order to avoid problems of terminology, General and/or Comparative Literature, as it is in Europe today.Now this would entail a major effort, not only because Europe is such a difficult geographical, political, ethnic, cultural, and linguistic entity and is hard to define for our purpose, but also because there is no such thing as a general European logic behind the development of sciences and scholarly work, even though the European Council and the European Union as well as other political unities would perhaps nurture expectations and develop programmes along that line.Even worse: At this moment, we are tempted to quote Chinua Achebe: Things fall apart.Which means that we can only sum up some facts as they are, and some impressions, which need not be correct in each and every detail.Europe comprises some 47 countriescounting the very small ones like San Marino and the very distant ones (from here) like Kazakhstan, or contested ones like Cyprus or Kosovo.To make it easier, let us count 40 larger states, seven of which are successors of former Yugoslavia, with a total of ¾ billion people.Belgium, Bulgaria, Croatia, Estonia, Finland, France, Georgia, Greece,</w:t>
      </w:r>
    </w:p>
    <w:p>
      <w:pPr/>
      <w:r>
        <w:rPr>
          <w:b/>
        </w:rPr>
        <w:t>POSSIBLE 2023:</w:t>
      </w:r>
      <w:r>
        <w:t xml:space="preserve"> Addressing Cultural, Ethnic &amp; Religious Diversity Challenges in Europe: A comparative overview of 15 European countries — https://doi.org/10.32920/24290611</w:t>
      </w:r>
    </w:p>
    <w:p>
      <w:pPr/>
      <w:r>
        <w:rPr>
          <w:b/>
        </w:rPr>
        <w:t>Shared claim-specific concepts:</w:t>
      </w:r>
      <w:r>
        <w:t xml:space="preserve"> comparative, overview, different, makers; EU scope visible. This is a provisional connection, not an outcome finding.</w:t>
      </w:r>
    </w:p>
    <w:p>
      <w:pPr>
        <w:pStyle w:val="SourceNote"/>
      </w:pPr>
      <w:r>
        <w:rPr>
          <w:b/>
        </w:rPr>
        <w:t>Available abstract (not full text):</w:t>
      </w:r>
      <w:r>
        <w:t xml:space="preserve"> The aim of this report is to present and discuss the main ethnic, cultural and religious diversity challenges that Europe is facing today. In particular the report surveys 15 European countries, notably 14 member states (Bulgaria, Denmark, France, Germany, Greece, Hungary, Ireland, Italy, the Netherlands, Poland, Romania, Spain, Sweden, and the UK) and one associated country (Turkey) and identifies the minority groups or migrant populations that pose the most important ethnic or religious diversity challenges within them. The report concentrates in particular on challenges that have a currency across several EU countries. It discusses the ways in which different countries have dealt with similar diversity dilemmas and identifies appropriate courses of action for the future. The report is organised into seven parts. In parts 1- 6 we offer working definitions, followed by a comparative review of state formation, conceptions of citizenship and national identity, and minority/immigrant groups in the 15 countries studied. We also discuss comparatively the challenges raised by three main minority populations: ‘black’ people, Muslims and Roma (and the policies addressing with these challenges). The seventh section of this report offers 15 short country profiles outlining the situation in each of the countries studied. The purpose of ACCEPT PLURALISM is twofold: - to create a new theor</w:t>
      </w:r>
    </w:p>
    <w:p>
      <w:pPr/>
      <w:r>
        <w:rPr>
          <w:b/>
        </w:rPr>
        <w:t>POSSIBLE 2022:</w:t>
      </w:r>
      <w:r>
        <w:t xml:space="preserve"> Patient Safety Culture in European Hospitals: A Comparative Mixed Methods Study — https://doi.org/10.3390/ijerph19020939</w:t>
      </w:r>
    </w:p>
    <w:p>
      <w:pPr/>
      <w:r>
        <w:rPr>
          <w:b/>
        </w:rPr>
        <w:t>Shared claim-specific concepts:</w:t>
      </w:r>
      <w:r>
        <w:t xml:space="preserve"> comparative, methods, used, different, few; EU scope visible. This is a provisional connection, not an outcome finding.</w:t>
      </w:r>
    </w:p>
    <w:p>
      <w:pPr>
        <w:pStyle w:val="SourceNote"/>
      </w:pPr>
      <w:r>
        <w:rPr>
          <w:b/>
        </w:rPr>
        <w:t>Available abstract (not full text):</w:t>
      </w:r>
      <w:r>
        <w:t xml:space="preserve"> BACKGROUND: Poorly organized health systems with inadequate leadership limit the development of the robust safety cultures capable of preventing consequential adverse events. Although safety culture has been studied in hospitals worldwide, the relationship between clinician perceptions about patient safety and their actual clinical practices has received little attention. Despite the need for mixed methods studies to achieve a deeper understanding of safety culture, there are few studies providing comparisons of hospitals in different countries. PURPOSE: This study compared the safety culture of hospitals from the perspective of nurses in four European countries, including Croatia, Hungary, Spain, and Sweden. DESIGN: A comparative mixed methods study with a convergent parallel design. METHODS: = 538) was collected with the Hospital Survey on Patient Safety Culture (HSOPSC) and qualitative date was collected through 24 in-depth interviews and 147 h of non-participant observation. Survey data was analyzed descriptively and inferentially, and content analysis was used to analyze the qualitative data. RESULTS: The overall perception of safety culture for most dimensions was 'adequate' in Sweden and 'adequate' to 'poor' in the other countries with inconsistencies identified between survey and qualitative data. Although teamwork within units was the most positive dimension across cou</w:t>
      </w:r>
    </w:p>
    <w:p>
      <w:pPr/>
      <w:r>
        <w:rPr>
          <w:b/>
        </w:rPr>
        <w:t>POSSIBLE 2022:</w:t>
      </w:r>
      <w:r>
        <w:t xml:space="preserve"> An Overview of Healthcare Associated Infections and Their Detection Methods Caused by Pathogen Bacteria in Romania and Europe — https://doi.org/10.3390/jcm11113204</w:t>
      </w:r>
    </w:p>
    <w:p>
      <w:pPr/>
      <w:r>
        <w:rPr>
          <w:b/>
        </w:rPr>
        <w:t>Shared claim-specific concepts:</w:t>
      </w:r>
      <w:r>
        <w:t xml:space="preserve"> overview, methods, they, used, different, many; EU scope visible. This is a provisional connection, not an outcome finding.</w:t>
      </w:r>
    </w:p>
    <w:p>
      <w:pPr>
        <w:pStyle w:val="SourceNote"/>
      </w:pPr>
      <w:r>
        <w:rPr>
          <w:b/>
        </w:rPr>
        <w:t>Available abstract (not full text):</w:t>
      </w:r>
      <w:r>
        <w:t xml:space="preserve"> Healthcare-associated infections can occur in different care units and can affect both patients and healthcare professionals. Bacteria represent the most common cause of nosocomial infections and, due to the excessive and irrational use of antibiotics, resistant organisms have appeared. The most important healthcare-associated infections are central line-associated bloodstream infections, catheter-associated urinary tract infections, surgical site, soft tissue infections, ventilator-associated pneumonia, hospital acquired pneumonia, and Clostridioides difficile colitis. In Europe, some hospitalized patients develop nosocomial infections that lead to increased costs and prolonged hospitalizations. Healthcare-associated infection prevalence in developed countries is lower than in low-income and middle-income countries such as Romania, an Eastern European country, where several factors contribute to the occurrence of many nosocomial infections, but official data show a low reporting rate. For the rapid identification of bacteria that can cause these infections, fast, sensitive, and specific methods are needed, and they should be cost-effective. Therefore, this review focuses on the current situation regarding healthcare-associated infections in Europe and Romania, with discussions regarding the causes and possible solutions. As a possible weapon in the fight against the healthcare</w:t>
      </w:r>
    </w:p>
    <w:p>
      <w:pPr/>
      <w:r>
        <w:rPr>
          <w:b/>
        </w:rPr>
        <w:t>POSSIBLE 2022:</w:t>
      </w:r>
      <w:r>
        <w:t xml:space="preserve"> Islamic Banks and the European Banking Union: An Overview of Critical Issues and Perspectives — https://doi.org/10.13135/2421-2172/6424</w:t>
      </w:r>
    </w:p>
    <w:p>
      <w:pPr/>
      <w:r>
        <w:rPr>
          <w:b/>
        </w:rPr>
        <w:t>Shared claim-specific concepts:</w:t>
      </w:r>
      <w:r>
        <w:t xml:space="preserve"> critical, overview, provide; EU scope visible. This is a provisional connection, not an outcome finding.</w:t>
      </w:r>
    </w:p>
    <w:p>
      <w:pPr>
        <w:pStyle w:val="SourceNote"/>
      </w:pPr>
      <w:r>
        <w:rPr>
          <w:b/>
        </w:rPr>
        <w:t>Available abstract (not full text):</w:t>
      </w:r>
      <w:r>
        <w:t xml:space="preserve"> The aim of the paper is to provide a general, but in-depth, an overview of aspects of incompatibility and actual interest profiles of Islamic finance in relation to the legal system of the European Banking Union, identifying some prospects for positive future developments. It examines the relevant Islamic principles for banking and the differences from conventional European banks for regulation and supervision, some experiences and possible relationships. The modern communication between the Islamic banking scheme and the European (and international) one is certainly allowed by the activity of the IFSB regulator, especially about the adaptation to the Basel Committee standards and the related capital requirements, transparency criteria, common reference, considering the global application to operate in the international markets. The examination of the relationship with the European Banking Union allows the identification of future profiles of debate and research in Economics Law, considering the opportunity for regulatory adjustments and the interaction between EU and national law and the interesting ethical aims of the socially responsible Islamic finance.</w:t>
      </w:r>
    </w:p>
    <w:p>
      <w:pPr/>
      <w:r>
        <w:rPr>
          <w:b/>
        </w:rPr>
        <w:t>POSSIBLE 2022:</w:t>
      </w:r>
      <w:r>
        <w:t xml:space="preserve"> Critical Infrastructures Overview: Past, Present and Future — https://doi.org/10.3390/su14042233</w:t>
      </w:r>
    </w:p>
    <w:p>
      <w:pPr/>
      <w:r>
        <w:rPr>
          <w:b/>
        </w:rPr>
        <w:t>Shared claim-specific concepts:</w:t>
      </w:r>
      <w:r>
        <w:t xml:space="preserve"> critical, overview, methods, used, provide, few; EU scope visible. This is a provisional connection, not an outcome finding.</w:t>
      </w:r>
    </w:p>
    <w:p>
      <w:pPr>
        <w:pStyle w:val="SourceNote"/>
      </w:pPr>
      <w:r>
        <w:rPr>
          <w:b/>
        </w:rPr>
        <w:t>Available abstract (not full text):</w:t>
      </w:r>
      <w:r>
        <w:t xml:space="preserve"> Industrialized societies depend on the proper functioning of a whole range of technological infrastructures, such as electricity, road and railway networks and telecommunications which, due to their importance, are generically referred to as critical infrastructures (CIs). Technical failures, natural disasters and malicious events, if not terrorist, could have devastating effects on these infrastructures. The events of the last few years have accelerated efforts to identify and designate CIs at national and European levels and have reinforced concerns about increasing their protection in sensitive sectors for the safety of the individual and the community. The aim of this research is to provide the basic elements to understand the issue along with the reasons for its importance both at national, European and international level. In particular, after analyzing the origin of the problem, a systematic literature review is carried out to study the current research around future perspectives relating to the management of Cis, with particular focus on three research questions: RQ1 “What types of risk assessment methods are used to manage CIs?”, RQ2 “What are the environmental risk mitigation strategies for CIs?” and RQ3 “What is the role of the human factor in the prevention of risks for CIs?”. The results aim to be guidelines for decision makers and researchers interested in this to</w:t>
      </w:r>
    </w:p>
    <w:p>
      <w:pPr>
        <w:pStyle w:val="Heading2"/>
      </w:pPr>
      <w:r>
        <w:t>943. A strategic energy technology policy towards 2050: no-regret strategies for European technology push</w:t>
      </w:r>
    </w:p>
    <w:p>
      <w:pPr>
        <w:pStyle w:val="SourceNote"/>
      </w:pPr>
      <w:r>
        <w:rPr>
          <w:b/>
        </w:rPr>
        <w:t>Original source (2013):</w:t>
      </w:r>
      <w:r>
        <w:t xml:space="preserve"> https://doi.org/10.1504/ijetp.2013.058143</w:t>
      </w:r>
    </w:p>
    <w:p>
      <w:pPr/>
      <w:r>
        <w:t>Original wording (abstract; indexed_source_text_not_full_document_verified): We discuss how European energy technology policy towards 2050 can be effective despite: 1) uncertain carbon prices; 2) uncertain technological change; and 3) uncertain or alternating policy paradigms shifting the focus from decarbonisation towards competitiveness or energy supply security.</w:t>
      </w:r>
    </w:p>
    <w:p>
      <w:pPr/>
      <w:r>
        <w:rPr>
          <w:b/>
        </w:rPr>
        <w:t>POSSIBLE 2024:</w:t>
      </w:r>
      <w:r>
        <w:t xml:space="preserve"> Assessing Critical Raw Materials and Their Supply Risk in Energy Technologies—A Literature Review — https://doi.org/10.3390/en18010086</w:t>
      </w:r>
    </w:p>
    <w:p>
      <w:pPr/>
      <w:r>
        <w:rPr>
          <w:b/>
        </w:rPr>
        <w:t>Shared claim-specific concepts:</w:t>
      </w:r>
      <w:r>
        <w:t xml:space="preserve"> energy, technology; EU scope visible. This is a provisional connection, not an outcome finding.</w:t>
      </w:r>
    </w:p>
    <w:p>
      <w:pPr>
        <w:pStyle w:val="SourceNote"/>
      </w:pPr>
      <w:r>
        <w:rPr>
          <w:b/>
        </w:rPr>
        <w:t>Available abstract (not full text):</w:t>
      </w:r>
      <w:r>
        <w:t xml:space="preserve"> Climate change is leading modern society to seek innovative solutions for sustainable development and a zero-carbon economy. Nevertheless, new technologies strongly rely on precious raw materials and might suffer from supply chain risks. The European Union has identified a set of raw materials deemed to be critical or strategic because they appear essential for energy transition technologies. Consequently, long-term energy system planning must factor in the availability of these critical raw materials when selecting specific technologies, as their supply could be affected by global policies or conflicts. This paper provides a literature review on the assessment of critical raw materials in energy technologies comparing the main approaches on critical raw materials content assessment in technologies, long-term planning studies considering critical raw materials, and the development of indicators for critical raw materials content in energy technologies. The main findings of this review suggest that existing reliable databases with the bill of materials, such as life cycle inventories, should be exploited and that proper indicators to rank the criticality of materials and the importance of a specific technology should be developed. These findings are discussed and organized proposing a method for the optimal planning of an energy technologies mix in regional or national energy sy</w:t>
      </w:r>
    </w:p>
    <w:p>
      <w:pPr/>
      <w:r>
        <w:rPr>
          <w:b/>
        </w:rPr>
        <w:t>POSSIBLE 2024:</w:t>
      </w:r>
      <w:r>
        <w:t xml:space="preserve"> Renewable energy transition in Europe in the context of renewable energy transition processes in the world. A review — https://doi.org/10.1016/j.heliyon.2024.e40997</w:t>
      </w:r>
    </w:p>
    <w:p>
      <w:pPr/>
      <w:r>
        <w:rPr>
          <w:b/>
        </w:rPr>
        <w:t>Shared claim-specific concepts:</w:t>
      </w:r>
      <w:r>
        <w:t xml:space="preserve"> discuss, energy, security; EU scope visible. This is a provisional connection, not an outcome finding.</w:t>
      </w:r>
    </w:p>
    <w:p>
      <w:pPr>
        <w:pStyle w:val="SourceNote"/>
      </w:pPr>
      <w:r>
        <w:rPr>
          <w:b/>
        </w:rPr>
        <w:t>Available abstract (not full text):</w:t>
      </w:r>
      <w:r>
        <w:t xml:space="preserve"> Both the global and European energy sectors have been undergoing a deep transition for several years, associated with a reduction in the overall share of conventional coal-based energy in favor of new technologies, especially energy from renewable sources (RES). This transition is moving from centralized production towards distributed technologies and from providing only energy to end users towards combining innovative products and services with it. Electricity consumers are becoming prosumers connected to the grid and generating an increasing amount of energy. The original goal of decision-makers was to stop global warming and improve air quality. After Russia's aggression of Ukraine in 2022, the EU transition efforts accelerated, and concerns about the climate were joined by issues related to energy security. After the painful experiences of the last several months, Europe wants to become independent from energy raw materials and their unstable suppliers as soon as possible, securing markets against price fluctuations, blackmail and unfair practices of some sellers. The aim of the article is to describe the current situation of energy and heat production from RES in selected countries in the aspect of contemporary energy transition (ET) processes. The achievement of the goal made it possible to present the European RES market in 2022, discuss the actions taken by European cou</w:t>
      </w:r>
    </w:p>
    <w:p>
      <w:pPr/>
      <w:r>
        <w:rPr>
          <w:b/>
        </w:rPr>
        <w:t>POSSIBLE 2023:</w:t>
      </w:r>
      <w:r>
        <w:t xml:space="preserve"> Proposal for a sustainability framework for energy technologies — https://doi.org/10.2760/11063</w:t>
      </w:r>
    </w:p>
    <w:p>
      <w:pPr/>
      <w:r>
        <w:rPr>
          <w:b/>
        </w:rPr>
        <w:t>Shared claim-specific concepts:</w:t>
      </w:r>
      <w:r>
        <w:t xml:space="preserve"> energy, technology, security; EU scope visible. This is a provisional connection, not an outcome finding.</w:t>
      </w:r>
    </w:p>
    <w:p>
      <w:pPr>
        <w:pStyle w:val="SourceNote"/>
      </w:pPr>
      <w:r>
        <w:rPr>
          <w:b/>
        </w:rPr>
        <w:t>Available abstract (not full text):</w:t>
      </w:r>
      <w:r>
        <w:t xml:space="preserve"> The European Green Deal is a flagship initiative of the European Commission aimed at achieving a sustainable future through a clean energy transition. This report proposes a sustainability assessment framework (SAF) for evaluating energy technologies, inspired by the Safe and Sustainable by Design (SSbD) framework. It supports the Clean Energy Technology Observatory (CETO) in monitoring research and innovation activities for clean energy technologies. The background concepts underlying the SAF are discussed, including sustainability principles, life cycle assessment, sustainable innovation, and energy-specific concepts. The proposed SAF includes three dimensions: supply security, environmental sustainability, and social sustainability. Energy security encompasses economic aspects, such as stable energy supply, accessibility of resources, and trade considerations. Environmental sustainability is based on the Product Environmental Footprint methodology and aligned with the SSbD framework. The social sustainability dimension considers impacts on workers, local communities, value chain actors and society, according to the Social Life Cycle Assessment methodology. The framework has a hierarchical structure placing energy security first, and recognizing its interconnections with environmental and social objectives. The framework supports the European Union's priority on energy securi</w:t>
      </w:r>
    </w:p>
    <w:p>
      <w:pPr/>
      <w:r>
        <w:rPr>
          <w:b/>
        </w:rPr>
        <w:t>POSSIBLE 2023:</w:t>
      </w:r>
      <w:r>
        <w:t xml:space="preserve"> Power-to-hydrogen and hydrogen-to-X energy systems for the industry of the future in Europe — https://doi.org/10.1016/j.ijhydene.2023.01.194</w:t>
      </w:r>
    </w:p>
    <w:p>
      <w:pPr/>
      <w:r>
        <w:rPr>
          <w:b/>
        </w:rPr>
        <w:t>Shared claim-specific concepts:</w:t>
      </w:r>
      <w:r>
        <w:t xml:space="preserve"> discuss, energy, technology, technological, focus; EU scope visible. This is a provisional connection, not an outcome finding.</w:t>
      </w:r>
    </w:p>
    <w:p>
      <w:pPr>
        <w:pStyle w:val="SourceNote"/>
      </w:pPr>
      <w:r>
        <w:rPr>
          <w:b/>
        </w:rPr>
        <w:t>Available abstract (not full text):</w:t>
      </w:r>
      <w:r>
        <w:t xml:space="preserve"> The EU is promoting hydrogen as enabling energy carrier that may account for up to 20% of energy and especially fulfill between 20% and 50% of transportation demands and between 5% and 20% of industrial needs. To ensure the success of this shift, Power-to-Hydrogen and Hydrogen-to-X technologies have attracted significant interest because they transform renewable power directly into green hydrogen, via water electrolysis, which can be stored and transferred more readily than other fuels for several end-uses. The present paper aims to discuss the role of such technologies in the current and future energy systems, with a specific reference to the European scenario. The main energy sectors where hydrogen could play an important role will be discussed, such as transportation, power generation, manufacturing sectors, refining and agriculture, with a focus on potential technological integration and synergies, providing a guideline for industrial players up to 2050 with a discussion about technology maturity by presenting short-term/long-term roadmaps.</w:t>
      </w:r>
    </w:p>
    <w:p>
      <w:pPr/>
      <w:r>
        <w:rPr>
          <w:b/>
        </w:rPr>
        <w:t>POSSIBLE 2023:</w:t>
      </w:r>
      <w:r>
        <w:t xml:space="preserve"> The Use of Information and Communication Technologies and Renewable Energy in Europe — https://doi.org/10.4018/978-1-6684-5996-6.ch009</w:t>
      </w:r>
    </w:p>
    <w:p>
      <w:pPr/>
      <w:r>
        <w:rPr>
          <w:b/>
        </w:rPr>
        <w:t>Shared claim-specific concepts:</w:t>
      </w:r>
      <w:r>
        <w:t xml:space="preserve"> energy, carbon; EU scope visible. This is a provisional connection, not an outcome finding.</w:t>
      </w:r>
    </w:p>
    <w:p>
      <w:pPr>
        <w:pStyle w:val="SourceNote"/>
      </w:pPr>
      <w:r>
        <w:rPr>
          <w:b/>
        </w:rPr>
        <w:t>Available abstract (not full text):</w:t>
      </w:r>
      <w:r>
        <w:t xml:space="preserve"> Information and communication technologies (ICTs) can help in cutting up to 20% of global carbon emissions by assisting consumers, different industries, and the public sector in energy savings and energy efficiency improvement. This chapter explores the relationship between ICTs and the development of renewable energy in European countries. In the first part of the research, the author conducted a cluster analysis to measure the differences in the use of ICTs in Europe through information society indicators. The results of the clustering (hierarchical and K-means) showed the existence of four clusters, and the increased differences between clusters from 2015 to 2020. The second part of the research confirms the existence of differences between clusters in the share of energy consumption from renewable sources, and the differences proved to be statistically significant. The results are discussed in terms of implications for public transportation, concluding that local governments must start and/or keep using ICTs for urban solutions for the future to be greener and sustainable.</w:t>
      </w:r>
    </w:p>
    <w:p>
      <w:pPr/>
      <w:r>
        <w:rPr>
          <w:b/>
        </w:rPr>
        <w:t>POSSIBLE 2023:</w:t>
      </w:r>
      <w:r>
        <w:t xml:space="preserve"> Energy Economic Development in Europe — https://doi.org/10.3390/books978-3-0365-7112-6</w:t>
      </w:r>
    </w:p>
    <w:p>
      <w:pPr/>
      <w:r>
        <w:rPr>
          <w:b/>
        </w:rPr>
        <w:t>Shared claim-specific concepts:</w:t>
      </w:r>
      <w:r>
        <w:t xml:space="preserve"> energy, carbon, security; EU scope visible. This is a provisional connection, not an outcome finding.</w:t>
      </w:r>
    </w:p>
    <w:p>
      <w:pPr>
        <w:pStyle w:val="SourceNote"/>
      </w:pPr>
      <w:r>
        <w:rPr>
          <w:b/>
        </w:rPr>
        <w:t>Available abstract (not full text):</w:t>
      </w:r>
      <w:r>
        <w:t xml:space="preserve"> This reprint explores the challenges faced by Europe as it transitions to renewable energy sources to reduce carbon emissions and enhance energy security. With 10 articles covering various countries and sectors, the book delves into issues such as solar and wind energy intermittency, the role of energy policies, and the integration of energy grids and markets. The collection also includes studies on the impact of energy policies on residential energy efficiency, the use of financial incentives for eco-friendly housing, and the benefits of district heating. The reprint aims to provide policymakers, academics, and practitioners with valuable insights into the current state of renewable energy in Europe and the policies and actions that can be taken to achieve a sustainable energy future.</w:t>
      </w:r>
    </w:p>
    <w:p>
      <w:pPr/>
      <w:r>
        <w:rPr>
          <w:b/>
        </w:rPr>
        <w:t>POSSIBLE 2023:</w:t>
      </w:r>
      <w:r>
        <w:t xml:space="preserve"> The contribution of European citizen‐led energy initiatives to sustainable development goals — https://doi.org/10.1002/sd.2844</w:t>
      </w:r>
    </w:p>
    <w:p>
      <w:pPr/>
      <w:r>
        <w:rPr>
          <w:b/>
        </w:rPr>
        <w:t>Shared claim-specific concepts:</w:t>
      </w:r>
      <w:r>
        <w:t xml:space="preserve"> discuss, energy, effective, despite, technological; EU scope visible. This is a provisional connection, not an outcome finding.</w:t>
      </w:r>
    </w:p>
    <w:p>
      <w:pPr>
        <w:pStyle w:val="SourceNote"/>
      </w:pPr>
      <w:r>
        <w:rPr>
          <w:b/>
        </w:rPr>
        <w:t>Available abstract (not full text):</w:t>
      </w:r>
      <w:r>
        <w:t xml:space="preserve"> Abstract Energy communities (ECs) are emerging as vital contributors to the United Nations' Sustainable Development Goals, despite being unnoticed. This article is the first to comprehensively discuss and quantify European citizen‐led energy initiatives' contributions to SDGs 7 (ensure access to affordable and clean energy), 9 (fostering industry, innovation, and infrastructure), and 11 (promote sustainable cities and communities). With SDG7 at their core, these initiatives prioritize sustainable energy systems, aligning with environmental impact reduction, resource efficiency, and social resilience goals. They contribute to SDG9 in energy and ICT sectors through job creation and social and technological innovation. Promoting SDG11 via inclusive engagement, they reinforce democratic principles and preserve cultural heritage. They can leverage their expertise with policy support to aid SDG implementation and serve as a global exemplar, extending impact to SDGs 12 and 17. Our analysis underscores a disconnect between European support for ECs and broader sustainability agendas, hampering effective impact.</w:t>
      </w:r>
    </w:p>
    <w:p>
      <w:pPr/>
      <w:r>
        <w:rPr>
          <w:b/>
        </w:rPr>
        <w:t>POSSIBLE 2021:</w:t>
      </w:r>
      <w:r>
        <w:t xml:space="preserve"> Energy justice within, between and beyond European community energy initiatives: A review — https://doi.org/10.1016/j.erss.2021.102157</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Recent European policy efforts stimulate the emergence of community energy initiatives, and the European Commission explicitly aims to enable a just transition towards a low-carbon energy system. One of the prevalent assumptions is that fostering community energy will bring about energy justice. Intrigued by this assumption, we conduct an extending systematic literature review to explore how the notion of energy justice is discussed within scholarly work on community energy initiatives in Europe. We detected a tendency of community energy scholars to not (yet) fully employ the inherent scope the concept of energy justice entails. Therefore, we propose that community energy justice should be analyzed through three different lenses: energy justice occurring within community energy initiatives, between initiatives and related actors, and beyond initiatives. Extending the energy justice lens to address these different levels helps to better bring out the encompassing premise that the notion of energy justice entails, both analytically and in practice. Through our analysis different energy justice impacts come to the fore, for example related to social inequality: not all societal groups are equally positioned to benefit from policies focused on community initiatives. Considering the policy efforts to stimulate community energy development, we argue that these impacts can be amplifi</w:t>
      </w:r>
    </w:p>
    <w:p>
      <w:pPr/>
      <w:r>
        <w:rPr>
          <w:b/>
        </w:rPr>
        <w:t>POSSIBLE 2021:</w:t>
      </w:r>
      <w:r>
        <w:t xml:space="preserve"> Integration of raw materials indicators of energy technologies into energy system models — https://doi.org/10.1016/j.apenergy.2021.118150</w:t>
      </w:r>
    </w:p>
    <w:p>
      <w:pPr/>
      <w:r>
        <w:rPr>
          <w:b/>
        </w:rPr>
        <w:t>Shared claim-specific concepts:</w:t>
      </w:r>
      <w:r>
        <w:t xml:space="preserve"> energy, despite; EU scope visible. This is a provisional connection, not an outcome finding.</w:t>
      </w:r>
    </w:p>
    <w:p>
      <w:pPr>
        <w:pStyle w:val="SourceNote"/>
      </w:pPr>
      <w:r>
        <w:rPr>
          <w:b/>
        </w:rPr>
        <w:t>Available abstract (not full text):</w:t>
      </w:r>
      <w:r>
        <w:t xml:space="preserve"> Raw materials and their related environmental impacts will play a key role in the implementation of renewable energy infrastructures for decarbonization. Despite the growing amount of data quantifying raw materials for energy production technologies, few examples of these data sources are being included in current energy system models. Accordingly, this paper introduces possible pathways for integrating material-specific life cycle assessment outputs and material metabolism indicators into energy system models so that raw material requirements, and their associated impacts, can be accounted for. The paper discusses the availability of life cycle inventories, impact assessment methods and important output indicators. The material metabolism indicators most relevant to the current policy debate surrounding the European Green Deal–namely, material supply risk and contribution of recycled materials to total supply–are also discussed alongside the value of adding this information to energy system models. A methodology for using data from both approaches is offered and operationalised using four sub-technologies of both wind turbines and solar photovoltaic panels as case studies. The results show that considerable variation exists between and within the two groups for all indicators. The technologies with the lowest global warming potential, cumulative energy demand and supply risk a</w:t>
      </w:r>
    </w:p>
    <w:p>
      <w:pPr/>
      <w:r>
        <w:rPr>
          <w:b/>
        </w:rPr>
        <w:t>POSSIBLE 2021:</w:t>
      </w:r>
      <w:r>
        <w:t xml:space="preserve"> CO2 emissions and energy technologies in Western Europe — https://doi.org/10.1007/s13209-021-00234-8</w:t>
      </w:r>
    </w:p>
    <w:p>
      <w:pPr/>
      <w:r>
        <w:rPr>
          <w:b/>
        </w:rPr>
        <w:t>Shared claim-specific concepts:</w:t>
      </w:r>
      <w:r>
        <w:t xml:space="preserve"> energy, carbon, focus; EU scope visible. This is a provisional connection, not an outcome finding.</w:t>
      </w:r>
    </w:p>
    <w:p>
      <w:pPr>
        <w:pStyle w:val="SourceNote"/>
      </w:pPr>
      <w:r>
        <w:rPr>
          <w:b/>
        </w:rPr>
        <w:t>Available abstract (not full text):</w:t>
      </w:r>
      <w:r>
        <w:t xml:space="preserve"> In this paper, we investigate the path to the green transition in Europe. In so doing, we implement an empirical model of dynamic panel data on a sample of sixteen Western European countries over the period 1980 to 2019. The model is consistent with various features of neoclassical growth theory incorporating energy use. Our focus is on the short-run determinants of carbon emissions within that set of countries. We provide evidence that the relationship between economic activity and CO2 emissions is strong in economies where economic booms depend on energy-intensive sectors. Also, the mitigating role of renewable energy technologies is key when energy intensity rebounds. These circumstances may constitute a challenge for the climate transition goals targeted in the EU's Recovery Plan, whose main objective at this very moment is to mitigate the economic and social impact of the coronavirus pandemic.</w:t>
      </w:r>
    </w:p>
    <w:p>
      <w:pPr/>
      <w:r>
        <w:rPr>
          <w:b/>
        </w:rPr>
        <w:t>POSSIBLE 2020:</w:t>
      </w:r>
      <w:r>
        <w:t xml:space="preserve"> Critically reviewing smart home technology applications and business models in Europe — https://doi.org/10.1016/j.enpol.2020.111631</w:t>
      </w:r>
    </w:p>
    <w:p>
      <w:pPr/>
      <w:r>
        <w:rPr>
          <w:b/>
        </w:rPr>
        <w:t>Shared claim-specific concepts:</w:t>
      </w:r>
      <w:r>
        <w:t xml:space="preserve"> discuss, energy, technology, carbon, focus, security; EU scope visible. This is a provisional connection, not an outcome finding.</w:t>
      </w:r>
    </w:p>
    <w:p>
      <w:pPr>
        <w:pStyle w:val="SourceNote"/>
      </w:pPr>
      <w:r>
        <w:rPr>
          <w:b/>
        </w:rPr>
        <w:t>Available abstract (not full text):</w:t>
      </w:r>
      <w:r>
        <w:t xml:space="preserve"> Smart home technologies refer to devices that provide some degree of digitally connected or enhanced services to occupants. Smart homes have become central in recent technology and policy discussions about energy efficiency, climate change , and innovation. However, many studies are speculative, lacking empirical data, and focus on costs and benefits, but not business models and emerging markets. To address these gaps, our study presents data from semi-structured expert interviews and a review of the recent literature. Although we draw from empirical data collected in the United Kingdom, we place our findings in the context of Europe because the UK has access to European markets for smart home technologies and platforms. Our sampling strategy included experts from Amazon , Microsoft, the International Energy Agency , government, academic, and civil society stakeholders. We identify a diversity of definitions associated with smart home technologies and draw from our data to discuss applications centred on digital connections, enhanced control, automation, and learning. We analyse fifteen distinct business models for smart home technologies, ranging from energy services and household data monitoring to assisted living , security and safety, and new advertising channels (among others). Our assessment ought to guide future innovation patterns, technology deployment, and policy acti</w:t>
      </w:r>
    </w:p>
    <w:p>
      <w:pPr/>
      <w:r>
        <w:rPr>
          <w:b/>
        </w:rPr>
        <w:t>POSSIBLE 2019:</w:t>
      </w:r>
      <w:r>
        <w:t xml:space="preserve"> Social Innovation in Community Energy in Europe: A Review of the Evidence — https://doi.org/10.3389/fenrg.2019.00031</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Citizen-driven Renewable Energy (RE) projects of various kinds, known collectively as community energy (CE), have an important part to play in the worldwide transition to cleaner energy systems. On the basis of evidence from 8 European countries, we investigate CE, over approximately the last 50 years (c.1970-2018), through the lens of Social Innovation (SI). We carry out a detailed review of literature around the social dimension of renewable energy; we collect, describe and map CE initiatives from Belgium, France, Germany, Italy, Poland, Spain, Sweden and the UK; and we unpack the SI concept into 4 operational criteria which we suggest are essential to recognising SI in CE. These are: 1) Crises and opportunities; 2) the agency of civil society; 3) reconfiguration of social practices, institutions and networks; 4) new ways of working. We identify three main phases of SI in CE. The environmental movements of the 1960s and the “oil shocks” of the 1970s provided the catalyst for a series of innovative societal responses around energy and self-sufficiency. A second wave of SI relates to the mainstreaming of RE and associated government support mechanisms. In this phase, with some important exceptions, successful CE initiatives were mainly confined to those countries where they were already embedded as innovators in the previous phase. The third phase of CE innovation relates to th</w:t>
      </w:r>
    </w:p>
    <w:p>
      <w:pPr>
        <w:pStyle w:val="Heading2"/>
      </w:pPr>
      <w:r>
        <w:t>944. Alternative future energy pathways: Assessment of the potential of innovative decentralised energy systems in the UK</w:t>
      </w:r>
    </w:p>
    <w:p>
      <w:pPr>
        <w:pStyle w:val="SourceNote"/>
      </w:pPr>
      <w:r>
        <w:rPr>
          <w:b/>
        </w:rPr>
        <w:t>Original source (2013):</w:t>
      </w:r>
      <w:r>
        <w:t xml:space="preserve"> https://doi.org/10.1016/j.enpol.2013.10.080</w:t>
      </w:r>
    </w:p>
    <w:p>
      <w:pPr/>
      <w:r>
        <w:t>Original wording (abstract; indexed_source_text_not_full_document_verified): In order to meet its 2050 target of 80% carbon emissions reduction, the UK is facing a challenge of restructuring its energy system, possibly by introducing more decentralised energy (DE) systems. The case studies present a high potential for replication and scaling up in the UK context and demonstrate that the increased implementation of DE systems could also enhance social and governance benefits.</w:t>
      </w:r>
    </w:p>
    <w:p>
      <w:pPr/>
      <w:r>
        <w:rPr>
          <w:b/>
        </w:rPr>
        <w:t>POSSIBLE 2026:</w:t>
      </w:r>
      <w:r>
        <w:t xml:space="preserve"> Fleet renewal and retrofit for emission reductions in offshore logistics — https://doi.org/10.1016/j.martra.2026.100150</w:t>
      </w:r>
    </w:p>
    <w:p>
      <w:pPr/>
      <w:r>
        <w:rPr>
          <w:b/>
        </w:rPr>
        <w:t>Shared claim-specific concepts:</w:t>
      </w:r>
      <w:r>
        <w:t xml:space="preserve"> order, meet, reduction, system, case; EU scope not established. This is a provisional connection, not an outcome finding.</w:t>
      </w:r>
    </w:p>
    <w:p>
      <w:pPr>
        <w:pStyle w:val="SourceNote"/>
      </w:pPr>
      <w:r>
        <w:rPr>
          <w:b/>
        </w:rPr>
        <w:t>Available abstract (not full text):</w:t>
      </w:r>
      <w:r>
        <w:t xml:space="preserve"> To achieve the emission reduction targets set by the maritime industry, large investments must be made in renewing and retrofitting the existing fleets in various shipping segments. This paper studies the strategic supply vessel fleet renewal and retrofit problem (SVFRRP) for guiding the transition towards a greener fleet of platform supply vessels (PSVs) used for offshore oil and gas logistics. Since the future costs of the different relevant fuel types are uncertain, we propose a new two-stage integer stochastic programming model for the SVFRRP. In each time period of the planning horizon, the model includes strategic decisions to meet the specified emission requirements. Existing vessels might be retrofitted to a new power system, or scrapped, while new vessels can be acquired and introduced to the fleet. Furthermore, the fleet deployment is considered, controlling the use of each vessel in order to fulfill the required cargo demands at each offshore installation serviced by the PSV fleet. We perform an extensive assessment of available fuel technologies for PSVs and use this in computational analyses for two real case studies from the Norwegian oil and gas industry. We compare the optimal fleet renewal strategies and corresponding costs from different emission reduction trajectories, and the results from the analyses provide valuable insights to the impact of various emissi</w:t>
      </w:r>
    </w:p>
    <w:p>
      <w:pPr/>
      <w:r>
        <w:rPr>
          <w:b/>
        </w:rPr>
        <w:t>POSSIBLE 2025:</w:t>
      </w:r>
      <w:r>
        <w:t xml:space="preserve"> When order execution meets informed trading — https://doi.org/10.1080/14697688.2025.2479049</w:t>
      </w:r>
    </w:p>
    <w:p>
      <w:pPr/>
      <w:r>
        <w:rPr>
          <w:b/>
        </w:rPr>
        <w:t>Shared claim-specific concepts:</w:t>
      </w:r>
      <w:r>
        <w:t xml:space="preserve"> order, target, high; EU scope not established. This is a provisional connection, not an outcome finding.</w:t>
      </w:r>
    </w:p>
    <w:p>
      <w:pPr>
        <w:pStyle w:val="SourceNote"/>
      </w:pPr>
      <w:r>
        <w:rPr>
          <w:b/>
        </w:rPr>
        <w:t>Available abstract (not full text):</w:t>
      </w:r>
      <w:r>
        <w:t xml:space="preserve"> Various participants trade simultaneously in modern financial markets. We study the interaction between the institutional investor driven by a position target and multiple informed traders possessing long-lived information. The problem is formulated as a Stackelberg-Nash game in the linear price impact model. We solve the problem explicitly and obtain the unique equilibrium. Informed traders first engage in predatory trading and then quickly provide much liquidity to the institutional investor. The advantage in transaction costs encourages informed traders to intensify predation but fierce competition forces them to focus on liquidity provision. The institutional investor always employs a well-known U-shape trading strategy regardless of the magnitude of transaction costs and the number of informed traders, and tends to trade more uniformly with high transaction costs and more informed traders. Orders posted by the institutional investor distort the originally efficient price while informed traders trade in the opposite direction to keep the price from deviating too far from the value. We propose a conjecture that transient price impact may be caused by informed trading. An approximately exponential decay is derived with linear permanent and temporary price impacts, and the convergence speed depends on informed traders' transaction costs.</w:t>
      </w:r>
    </w:p>
    <w:p>
      <w:pPr/>
      <w:r>
        <w:rPr>
          <w:b/>
        </w:rPr>
        <w:t>POSSIBLE 2024:</w:t>
      </w:r>
      <w:r>
        <w:t xml:space="preserve"> Advancing glioblastoma treatment by targeting metabolism — https://doi.org/10.1016/j.neo.2024.100985</w:t>
      </w:r>
    </w:p>
    <w:p>
      <w:pPr/>
      <w:r>
        <w:rPr>
          <w:b/>
        </w:rPr>
        <w:t>Shared claim-specific concepts:</w:t>
      </w:r>
      <w:r>
        <w:t xml:space="preserve"> order, target, present, potential; EU scope not established. This is a provisional connection, not an outcome finding.</w:t>
      </w:r>
    </w:p>
    <w:p>
      <w:pPr>
        <w:pStyle w:val="SourceNote"/>
      </w:pPr>
      <w:r>
        <w:rPr>
          <w:b/>
        </w:rPr>
        <w:t>Available abstract (not full text):</w:t>
      </w:r>
      <w:r>
        <w:t xml:space="preserve"> Alterations in cellular metabolism are important hallmarks of glioblastoma(GBM). Metabolic reprogramming is a critical feature as it meets the higher nutritional demand of tumor cells, including proliferation, growth, and survival. Many genes, proteins, and metabolites associated with GBM metabolism reprogramming have been found to be aberrantly expressed, which may provide potential targets for cancer treatment. Therefore, it is becoming increasingly important to explore the role of internal and external factors in metabolic regulation in order to identify more precise therapeutic targets and diagnostic markers for GBM. In this review, we define the metabolic characteristics of GBM, investigate metabolic specificities such as targetable vulnerabilities and therapeutic resistance, as well as present current efforts to target GBM metabolism to improve the standard of care.</w:t>
      </w:r>
    </w:p>
    <w:p>
      <w:pPr/>
      <w:r>
        <w:rPr>
          <w:b/>
        </w:rPr>
        <w:t>POSSIBLE 2023:</w:t>
      </w:r>
      <w:r>
        <w:t xml:space="preserve"> Growing Double Materiality into Corporate Sustainability Reporting in Order to Meet Green Deal Targets — https://doi.org/10.2478/9788367405546-034</w:t>
      </w:r>
    </w:p>
    <w:p>
      <w:pPr/>
      <w:r>
        <w:rPr>
          <w:b/>
        </w:rPr>
        <w:t>Shared claim-specific concepts:</w:t>
      </w:r>
      <w:r>
        <w:t xml:space="preserve"> order, meet, potential; EU scope not established. This is a provisional connection, not an outcome finding.</w:t>
      </w:r>
    </w:p>
    <w:p>
      <w:pPr>
        <w:pStyle w:val="SourceNote"/>
      </w:pPr>
      <w:r>
        <w:rPr>
          <w:b/>
        </w:rPr>
        <w:t>Available abstract (not full text):</w:t>
      </w:r>
      <w:r>
        <w:t xml:space="preserve"> The International Conferences on Economics and Social Sciences (ICESS) organized by Bucharest University of Economic Studies provide an opportunity for all those interested in Economics and Social Sciences to discuss and exchange research ideas. The papers presented at the Conference are available online in the Conference Proceedings series (ISSN 2704-6524): Volume 2019 Collaborative Research for Excellence in Economics and Social Sciences, ISBN 9788366675322 Volume 2020 Innovative Models to Revive the Global Economy, ISBN 9788395815072 Volume 2021 Resilience and Economic Intelligence Through Digitalization and Big Data Analytics, ISBN 9788366675704 Volume 2022 Fostering recovery through metaverse business modelling, ISBN 978-83-67405-07-2 The world today is vastly different than what it was even a few decades ago, as a result of advances in technology, globalization, and societal changes. Recently, particular attention has been given to sustainable development raising the question of how to drive economic growth in a responsible manner by harnessing technology’s potential while accounting for diverse national perspectives. In 2015, the United Nations agreed upon 17 Sustainable Development Goals (SDGs) aimed to transform our world by 2030. However, without the support of stakeholders from government, business and civil societies, the SDGs are</w:t>
      </w:r>
    </w:p>
    <w:p>
      <w:pPr/>
      <w:r>
        <w:rPr>
          <w:b/>
        </w:rPr>
        <w:t>POSSIBLE 2023:</w:t>
      </w:r>
      <w:r>
        <w:t xml:space="preserve"> Nuclear Data Uncertainty Analysis to Meet the Target Accuracy Requirements on the MYRRHAkeff — https://doi.org/10.1051/epjconf/202328408012</w:t>
      </w:r>
    </w:p>
    <w:p>
      <w:pPr/>
      <w:r>
        <w:rPr>
          <w:b/>
        </w:rPr>
        <w:t>Shared claim-specific concepts:</w:t>
      </w:r>
      <w:r>
        <w:t xml:space="preserve"> order, meet, target, reduction, system; EU scope visible. This is a provisional connection, not an outcome finding.</w:t>
      </w:r>
    </w:p>
    <w:p>
      <w:pPr>
        <w:pStyle w:val="SourceNote"/>
      </w:pPr>
      <w:r>
        <w:rPr>
          <w:b/>
        </w:rPr>
        <w:t>Available abstract (not full text):</w:t>
      </w:r>
      <w:r>
        <w:t xml:space="preserve"> MYRRHA is a flexible experimental facility being designed at the SCK CEN, in Mol, Belgium. Cooled by lead-bismuth, it is conceived to operate both in sub-critical mode, as an accelerator driven system, and in critical mode, as a fast reactor. In order to comply with MYRRHA reactor design requirements, uncertainties due to nuclear data must be quantified. Significant gaps between the uncertainties and the target accuracies have been systematically shown in the past. In this paper, first, a Sensitivity and Uncertainty analysis with JEFF-3.3 nuclear data library of the effective neutron multiplication factorkeffof the latest MYRRHA reactor design - v1.8 - is presented. Then, since target accuracy forkeffof 300 pcm is exceeded, a Target Accuracy Requirement assessment is performed in order to find out the required accuracy on cross section data to meet the requested target accuracy. To reach the requested target accuracy, a reduction of the uncertainty in the fission and capture cross sections of240Pu JEFF-3.3 evaluation is needed.</w:t>
      </w:r>
    </w:p>
    <w:p>
      <w:pPr/>
      <w:r>
        <w:rPr>
          <w:b/>
        </w:rPr>
        <w:t>POSSIBLE 2023:</w:t>
      </w:r>
      <w:r>
        <w:t xml:space="preserve"> Study on Control Strategies on NOX Emissions to Meet Real Driving Emissions — https://doi.org/10.1021/acsomega.3c03751</w:t>
      </w:r>
    </w:p>
    <w:p>
      <w:pPr/>
      <w:r>
        <w:rPr>
          <w:b/>
        </w:rPr>
        <w:t>Shared claim-specific concepts:</w:t>
      </w:r>
      <w:r>
        <w:t xml:space="preserve"> order, meet, emissions, reduction; EU scope not established. This is a provisional connection, not an outcome finding.</w:t>
      </w:r>
    </w:p>
    <w:p>
      <w:pPr>
        <w:pStyle w:val="SourceNote"/>
      </w:pPr>
      <w:r>
        <w:rPr>
          <w:b/>
        </w:rPr>
        <w:t>Available abstract (not full text):</w:t>
      </w:r>
      <w:r>
        <w:t xml:space="preserve"> The aim of this study was to fulfill the NOx emissions standards for a light-duty diesel vehicle under real driving emissions (RDE) testing conditions by implementing various control strategies. In this study, RDE tests were performed by adjusting the air mass quantity and postinjection quantity in order to analyze engine-out and tail-pipe nitrogen oxides (NOx) emissions for different phases of RDE. The results showed that reducing in air mass quantity enabled the engine to operate in higher exhaust gas recirculation (EGR) rate regions, resulting in a 32.5% reduction in engine-out NOx emissions and an 80.4% decrease in tail-pipe NOx emissions. Increasing the postinjection quantity primarily enhanced the NOx conversion efficiency for the urban phase by 7.5%, leading to a 22.6% reduction in tail-pipe NOx emissions. By employing both strategies, vehicles can comfortably meet the CN6b emission regulations by a substantial margin.</w:t>
      </w:r>
    </w:p>
    <w:p>
      <w:pPr/>
      <w:r>
        <w:rPr>
          <w:b/>
        </w:rPr>
        <w:t>POSSIBLE 2023:</w:t>
      </w:r>
      <w:r>
        <w:t xml:space="preserve"> Emissions and energy impacts of the Inflation Reduction Act — https://doi.org/10.1126/science.adg3781</w:t>
      </w:r>
    </w:p>
    <w:p>
      <w:pPr/>
      <w:r>
        <w:rPr>
          <w:b/>
        </w:rPr>
        <w:t>Shared claim-specific concepts:</w:t>
      </w:r>
      <w:r>
        <w:t xml:space="preserve"> emissions, reduction, energy; EU scope not established. This is a provisional connection, not an outcome finding.</w:t>
      </w:r>
    </w:p>
    <w:p>
      <w:pPr>
        <w:pStyle w:val="SourceNote"/>
      </w:pPr>
      <w:r>
        <w:rPr>
          <w:b/>
        </w:rPr>
        <w:t>Available abstract (not full text):</w:t>
      </w:r>
      <w:r>
        <w:t xml:space="preserve"> Economy-wide emissions drop 43 to 48% below 2005 levels by 2035 with accelerated clean energy deployment.</w:t>
      </w:r>
    </w:p>
    <w:p>
      <w:pPr/>
      <w:r>
        <w:rPr>
          <w:b/>
        </w:rPr>
        <w:t>POSSIBLE 2023:</w:t>
      </w:r>
      <w:r>
        <w:t xml:space="preserve"> Maximum Permissible Transmission Line Loss to Meet a Target Gain for a Corporate-Fed Uniform Rectangular Array — https://doi.org/10.23919/ursigass57860.2023.10265660</w:t>
      </w:r>
    </w:p>
    <w:p>
      <w:pPr/>
      <w:r>
        <w:rPr>
          <w:b/>
        </w:rPr>
        <w:t>Shared claim-specific concepts:</w:t>
      </w:r>
      <w:r>
        <w:t xml:space="preserve"> order, meet, target, potential; EU scope not established. This is a provisional connection, not an outcome finding.</w:t>
      </w:r>
    </w:p>
    <w:p>
      <w:pPr>
        <w:pStyle w:val="SourceNote"/>
      </w:pPr>
      <w:r>
        <w:rPr>
          <w:b/>
        </w:rPr>
        <w:t>Available abstract (not full text):</w:t>
      </w:r>
      <w:r>
        <w:t xml:space="preserve"> Very low-loss transmission lines are often required at millimetre wavelengths in order to meet performance targets. Using printed circuit board technology, extremely low-loss transmission lines are often more expensive and riskier than standard options. The ability to determine the maximum permissible transmission line loss allows designers to choose potential transmission line structures, thereby helping make this critical design choice. These results establish the maximum permissible transmission line loss in order to meet a target gain of a corporate-fed antenna array for a given the average active element gain and power divider excess loss.</w:t>
      </w:r>
    </w:p>
    <w:p>
      <w:pPr/>
      <w:r>
        <w:rPr>
          <w:b/>
        </w:rPr>
        <w:t>POSSIBLE 2022:</w:t>
      </w:r>
      <w:r>
        <w:t xml:space="preserve"> Designing electric vehicle incentives to meet emission reduction targets — https://doi.org/10.1016/j.trd.2022.103320</w:t>
      </w:r>
    </w:p>
    <w:p>
      <w:pPr/>
      <w:r>
        <w:rPr>
          <w:b/>
        </w:rPr>
        <w:t>Shared claim-specific concepts:</w:t>
      </w:r>
      <w:r>
        <w:t xml:space="preserve"> meet, emissions, reduction; EU scope not established. This is a provisional connection, not an outcome finding.</w:t>
      </w:r>
    </w:p>
    <w:p>
      <w:pPr>
        <w:pStyle w:val="SourceNote"/>
      </w:pPr>
      <w:r>
        <w:rPr>
          <w:b/>
        </w:rPr>
        <w:t>Available abstract (not full text):</w:t>
      </w:r>
      <w:r>
        <w:t xml:space="preserve"> Electric vehicles are expected to reduce transportation emissions. We design and allocate rebates and charging infrastructure investments to induce electric vehicle adoption and achieve emission reduction targets. A nonlinear mixed-integer mathematical model is proposed to optimize the investment allocation over a planning horizon. Logistic functions describe the vehicle demand driven by capital and ownership costs and network externalities. A simulated annealing algorithm is used to solve the nonlinear programming problem that is applied using data representative of the United States market. Our analysis indicates that rebates should be provided earlier than chargers due to neighborhood effects of electric vehicle adoption and the minimization of expenditure; availability of home charging influences consumers choice and the drivers electrified travel distance; rebates are more effective for modest drivers while charging stations should be prioritized for frequent drivers; network externalities should be further investigated because of their impact on electric vehicle demand.</w:t>
      </w:r>
    </w:p>
    <w:p>
      <w:pPr/>
      <w:r>
        <w:rPr>
          <w:b/>
        </w:rPr>
        <w:t>POSSIBLE 2022:</w:t>
      </w:r>
      <w:r>
        <w:t xml:space="preserve"> Carbon emission of China’s power industry: driving factors and emission reduction path — https://doi.org/10.1007/s11356-022-21297-5</w:t>
      </w:r>
    </w:p>
    <w:p>
      <w:pPr/>
      <w:r>
        <w:rPr>
          <w:b/>
        </w:rPr>
        <w:t>Shared claim-specific concepts:</w:t>
      </w:r>
      <w:r>
        <w:t xml:space="preserve"> carbon, reduction; EU scope not established. This is a provisional connection, not an outcome finding.</w:t>
      </w:r>
    </w:p>
    <w:p>
      <w:pPr>
        <w:pStyle w:val="SourceNote"/>
      </w:pPr>
      <w:r>
        <w:rPr>
          <w:b/>
        </w:rPr>
        <w:t>Available abstract (not full text):</w:t>
      </w:r>
      <w:r>
        <w:t xml:space="preserve"> Unavailable</w:t>
      </w:r>
    </w:p>
    <w:p>
      <w:pPr/>
      <w:r>
        <w:rPr>
          <w:b/>
        </w:rPr>
        <w:t>POSSIBLE 2022:</w:t>
      </w:r>
      <w:r>
        <w:t xml:space="preserve"> Energy system transition pathways to meet the global electricity demand for ambitious climate targets and cost competitiveness — https://doi.org/10.1016/j.apenergy.2022.120401</w:t>
      </w:r>
    </w:p>
    <w:p>
      <w:pPr/>
      <w:r>
        <w:rPr>
          <w:b/>
        </w:rPr>
        <w:t>Shared claim-specific concepts:</w:t>
      </w:r>
      <w:r>
        <w:t xml:space="preserve"> meet, carbon, emissions, reduction, energy, system; EU scope not established. This is a provisional connection, not an outcome finding.</w:t>
      </w:r>
    </w:p>
    <w:p>
      <w:pPr>
        <w:pStyle w:val="SourceNote"/>
      </w:pPr>
      <w:r>
        <w:rPr>
          <w:b/>
        </w:rPr>
        <w:t>Available abstract (not full text):</w:t>
      </w:r>
      <w:r>
        <w:t xml:space="preserve"> This study presents a novel energy system modelling approach for the analysis and comparison of global energy transition pathways for the decarbonisation of the electricity sector. The results of the International Energy Agency (IEA), and the Teske/DLR scenarios are each reproduced. Additionally, five new energy transition trajectories, called LUT, are presented. The research examines the feasibility of each scenario across nine major regions in 5-year intervals, from 2015 to 2050, under a uniform modelling environment with identical technical and financial assumptions. The main differences between the energy transition paths are identified across: (1) the average electricity generation costs; (2) energy diversity; (3) system flexibility; (4) energy security; and, (5) transition dynamics. All LUT and Teske/DLR scenarios are transitioned to zero CO2 emissions and a 100% renewable energy system by 2050 at the latest. Results reveal that the LUT scenarios are the least-cost pathways, while the Teske/DLR scenarios are centred around energy diversity with slightly higher LCOE of around 10–20%. The IEA shares similarities with the Teske/DLR scenarios in terms of energy diversity yet depends on the continued use of fossil fuels with carbon capture and storage, and nuclear power. The IEA scenario based on current governmental policies presents a worst-case situation regarding CO2 emiss</w:t>
      </w:r>
    </w:p>
    <w:p>
      <w:pPr/>
      <w:r>
        <w:rPr>
          <w:b/>
        </w:rPr>
        <w:t>POSSIBLE 2021:</w:t>
      </w:r>
      <w:r>
        <w:t xml:space="preserve"> Negative-emissions technology portfolios to meet the 1.5 °C target — https://doi.org/10.1016/j.gloenvcha.2021.102238</w:t>
      </w:r>
    </w:p>
    <w:p>
      <w:pPr/>
      <w:r>
        <w:rPr>
          <w:b/>
        </w:rPr>
        <w:t>Shared claim-specific concepts:</w:t>
      </w:r>
      <w:r>
        <w:t xml:space="preserve"> meet, target, carbon, present; EU scope not established. This is a provisional connection, not an outcome finding.</w:t>
      </w:r>
    </w:p>
    <w:p>
      <w:pPr>
        <w:pStyle w:val="SourceNote"/>
      </w:pPr>
      <w:r>
        <w:rPr>
          <w:b/>
        </w:rPr>
        <w:t>Available abstract (not full text):</w:t>
      </w:r>
      <w:r>
        <w:t xml:space="preserve"> Our carbon-intensive economy has led to an average temperature rise of 1 °C since pre-industrial times. As a consequence, the world has seen increasing droughts, significant shrinking of the polar ice caps, and steady sea-level rise. To stall these issues’ worsening further, we must limit global warming to 1.5 °C. In addition to the economy’s decarbonization, this endeavour requires the use of negative-emissions technologies (NETs) that remove the main greenhouse gas, carbon dioxide, from the atmosphere. While techno-economic feasibility alone has driven the definition of negative-emissions solutions, NETs’ diverse, far-reaching implications demand a more holistic assessment. Here, we present a comprehensive framework, integrating NETs’ critical performance aspects of feasibility, effectiveness, and side impacts, to define the optimal technology mix within realistic outlooks. The resulting technology portfolios provide a useful new benchmark to compare carbon avoidance and removal measures and deliberately choose the best path to solve the climate emergency.</w:t>
      </w:r>
    </w:p>
    <w:p>
      <w:pPr>
        <w:pStyle w:val="Heading2"/>
      </w:pPr>
      <w:r>
        <w:t>945. Analytical support to foresighting EU roles as a Global Security Actor</w:t>
      </w:r>
    </w:p>
    <w:p>
      <w:pPr>
        <w:pStyle w:val="SourceNote"/>
      </w:pPr>
      <w:r>
        <w:rPr>
          <w:b/>
        </w:rPr>
        <w:t>Original source (2013):</w:t>
      </w:r>
      <w:r>
        <w:t xml:space="preserve"> https://doi.org/10.11610/isij.2902</w:t>
      </w:r>
    </w:p>
    <w:p>
      <w:pPr/>
      <w:r>
        <w:t>Original wording (abstract; indexed_source_text_not_full_document_verified): Making decisions on major investments, including investments in security research, requires good grasp of the future, which by definition is uncertain.This paper presents the analytical process, methods, and tools, including the DSTO Scenario Analysis Tool Suite, used in the elaboration and selection of a set of context scenarios and possible new roles for EU as a global actor based on the wider Petersberg tasks.Results of this exploratory process within the FP7 FOCUS project are intended to derive suggestions for the EU's security research planning.The conclusion emphasises the critical importance of providing rigorous analytical support, in particular when security foresight involves subject matter experts that are not part of a dedicated research team.</w:t>
      </w:r>
    </w:p>
    <w:p>
      <w:pPr/>
      <w:r>
        <w:rPr>
          <w:b/>
        </w:rPr>
        <w:t>POSSIBLE 2026:</w:t>
      </w:r>
      <w:r>
        <w:t xml:space="preserve"> Evaluation of the Structural Competitiveness of Major Container Ports in Europe Using a Hybrid Multi-Criteria Decision-Making Approach (CRITIC-TOPSIS-SAW) — https://doi.org/10.25295/fsecon.1850229</w:t>
      </w:r>
    </w:p>
    <w:p>
      <w:pPr/>
      <w:r>
        <w:rPr>
          <w:b/>
        </w:rPr>
        <w:t>Shared claim-specific concepts:</w:t>
      </w:r>
      <w:r>
        <w:t xml:space="preserve"> making, major, investments, methods; EU scope visible. This is a provisional connection, not an outcome finding.</w:t>
      </w:r>
    </w:p>
    <w:p>
      <w:pPr>
        <w:pStyle w:val="SourceNote"/>
      </w:pPr>
      <w:r>
        <w:rPr>
          <w:b/>
        </w:rPr>
        <w:t>Available abstract (not full text):</w:t>
      </w:r>
      <w:r>
        <w:t xml:space="preserve"> This study aims to evaluate the infrastructural competitiveness of Europe’s ten largest container ports using a quantitative approach and to identify the key infrastructure components that determine it. The study examines critical criteria such as quay length, maximum depth, number of cranes, terminal area, and annual capacity. Methodologically, a hybrid Multi-Criteria Decision Making (MCDM) approach was employed, incorporating CRITIC for the objective weighting of criteria and SAW and TOPSIS methods for ranking port performances. The findings revealed that the number of cranes (27.10%) and maximum depth (22.96%) were the most distinctive factors in the structural competitiveness of ports. According to the performance ranking, both SAW and TOPSIS results identified the ports of Antwerp-Bruges and Rotterdam as the top two ports with the strongest infrastructure in Europe. The high level of agreement obtained among different ranking methods indicates that the findings are consistent and robust in terms of sensitivity analysis. Moreover, this situation is also supported by the value of 0.9879 for the Spearman Rank Correlation Coefficient. Consequently, it is recommended that port authorities and decision-makers prioritize strategic investments not only in terms of physical space size but also in terms of crane capacity, which increases operational speed, and depth increases suitab</w:t>
      </w:r>
    </w:p>
    <w:p>
      <w:pPr/>
      <w:r>
        <w:rPr>
          <w:b/>
        </w:rPr>
        <w:t>POSSIBLE 2025:</w:t>
      </w:r>
      <w:r>
        <w:t xml:space="preserve"> Logistics Security in Transport and Decision-making Problems in the Management of European Satellite Resources in Space — https://doi.org/10.54740/ros.2025.063</w:t>
      </w:r>
    </w:p>
    <w:p>
      <w:pPr/>
      <w:r>
        <w:rPr>
          <w:b/>
        </w:rPr>
        <w:t>Shared claim-specific concepts:</w:t>
      </w:r>
      <w:r>
        <w:t xml:space="preserve"> major, security, process, context; EU scope visible. This is a provisional connection, not an outcome finding.</w:t>
      </w:r>
    </w:p>
    <w:p>
      <w:pPr>
        <w:pStyle w:val="SourceNote"/>
      </w:pPr>
      <w:r>
        <w:rPr>
          <w:b/>
        </w:rPr>
        <w:t>Available abstract (not full text):</w:t>
      </w:r>
      <w:r>
        <w:t xml:space="preserve"> The development of space technology and its widespread use for civilian and military purposes are increasing the importance of space for the functioning of modern states, in terms of their security. This article addresses the management of satellite systems in Europe, which underpin the functioning and conduct of business by European economies. The widespread use of satellite services, the use of data and products in the daily lives of citizens, the progress of civilization, and the rising standard of living have led society to become dependent on daily access to technologies and services based on satellite resources. Economic functioning, production, trade in goods and services, and industrial development all rely on space resources. Naturally, the growing importance of space usage has led to an increase in potential threats, both natural and human-induced, stemming from the use of space and the development of anti-satellite (ASAT) capabilities. In this context, ensuring logistical security is a major challenge for all stakeholders interested in using space for various purposes, such as navigation, Earth observation, and communications. This applies to all critical services, from component production and supply, through ground infrastructure, to the maintenance and replacement of orbital components. Environmental protection is an important aspect of replacing worn orbital comp</w:t>
      </w:r>
    </w:p>
    <w:p>
      <w:pPr/>
      <w:r>
        <w:rPr>
          <w:b/>
        </w:rPr>
        <w:t>POSSIBLE 2025:</w:t>
      </w:r>
      <w:r>
        <w:t xml:space="preserve"> Biomarkers for neurodegenerative diseases in regulatory decision‐making by the European Medicines Agency — https://doi.org/10.1002/trc2.70072</w:t>
      </w:r>
    </w:p>
    <w:p>
      <w:pPr/>
      <w:r>
        <w:rPr>
          <w:b/>
        </w:rPr>
        <w:t>Shared claim-specific concepts:</w:t>
      </w:r>
      <w:r>
        <w:t xml:space="preserve"> making, major, methods, tools, used, selection; EU scope visible. This is a provisional connection, not an outcome finding.</w:t>
      </w:r>
    </w:p>
    <w:p>
      <w:pPr>
        <w:pStyle w:val="SourceNote"/>
      </w:pPr>
      <w:r>
        <w:rPr>
          <w:b/>
        </w:rPr>
        <w:t>Available abstract (not full text):</w:t>
      </w:r>
      <w:r>
        <w:t xml:space="preserve"> INTRODUCTION: Biomarkers (BMs) are valuable tools to facilitate early diagnosis of (subtypes of) diseases, improve patient selection and stratification, and detect therapeutic effects or safety concerns. This study explores the extent to which BMs are utilized in the development of treatments for neurodegenerative diseases (NDDs), as well as topics of discussion regarding BMs in regulatory advice- and decision-making processes and sharing of BM-related data. METHODS: The European Medicines Agency's marketing authorization application (MAA), qualification (QA/QO), and scientific advice (SA) procedures regarding NDDs were screened, and those that mention BMs were analyzed. Data were extracted on the intended disease, BM type, and context of use proposed by applicants. BMs were categorized based on both nature and function. RESULTS: = 33). Imaging BMs were the most common type of BMs discussed, and most BMs were used as pharmacodynamic/response measures. The acceptance and role of BMs differed between AD, PD, MS, and other NDDs. In regulatory procedures for AD, for example, diagnostic BMs guiding patient selection were commonly discussed, whereas in MAAs for MS, imaging BMs (particularly lesions) were generally accepted as supportive/secondary endpoints. DISCUSSION: Despite the established role of certain BMs, mainly imaging BMs for MS, there remains a major need for more precise </w:t>
      </w:r>
    </w:p>
    <w:p>
      <w:pPr/>
      <w:r>
        <w:rPr>
          <w:b/>
        </w:rPr>
        <w:t>POSSIBLE 2024:</w:t>
      </w:r>
      <w:r>
        <w:t xml:space="preserve"> Decision-Making for Human Security in a Complex Crisis — https://doi.org/10.4324/9781003429173-1</w:t>
      </w:r>
    </w:p>
    <w:p>
      <w:pPr/>
      <w:r>
        <w:rPr>
          <w:b/>
        </w:rPr>
        <w:t>Shared claim-specific concepts:</w:t>
      </w:r>
      <w:r>
        <w:t xml:space="preserve"> decisions, security, used; EU scope not established. This is a provisional connection, not an outcome finding.</w:t>
      </w:r>
    </w:p>
    <w:p>
      <w:pPr>
        <w:pStyle w:val="SourceNote"/>
      </w:pPr>
      <w:r>
        <w:rPr>
          <w:b/>
        </w:rPr>
        <w:t>Available abstract (not full text):</w:t>
      </w:r>
      <w:r>
        <w:t xml:space="preserve"> This chapter is the introductory chapter to the book Human Security and Epidemics in Africa: Learning from COVID-19, Ebola and HIV and aims to discuss lessons learned within the framework of human security in Africa. In this chapter, the author identified the book’s central themes as reactivity, coordination, and collaboration and applied decision-making theory to human security. The themes are then used as a framework for analysis and reflection to discover the many lessons that can be learned from Africa on how to shape the future security environment of people living in Africa. A synopsis of chapters from various parts of Africa is then related to the main themes of reactivity, coordination, and collaboration to explain how the people of Africa dealt with and are still dealing with pandemics to secure the well-being of people. The book’s main findings are that in a globalised world, the reality of pandemics, political violence, and natural disasters will always be with us, and resilience is about developing networks and communities of inquiry that allow for personal learning beyond self-imposed boundaries and constraints and to participate in decisions in reaction to challenging circumstances.</w:t>
      </w:r>
    </w:p>
    <w:p>
      <w:pPr/>
      <w:r>
        <w:rPr>
          <w:b/>
        </w:rPr>
        <w:t>POSSIBLE 2023:</w:t>
      </w:r>
      <w:r>
        <w:t xml:space="preserve"> Risky decision-making in major depressive disorder: A three-level meta-analysis — https://doi.org/10.1016/j.ijchp.2023.100417</w:t>
      </w:r>
    </w:p>
    <w:p>
      <w:pPr/>
      <w:r>
        <w:rPr>
          <w:b/>
        </w:rPr>
        <w:t>Shared claim-specific concepts:</w:t>
      </w:r>
      <w:r>
        <w:t xml:space="preserve"> making, decisions, major; EU scope visible. This is a provisional connection, not an outcome finding.</w:t>
      </w:r>
    </w:p>
    <w:p>
      <w:pPr>
        <w:pStyle w:val="SourceNote"/>
      </w:pPr>
      <w:r>
        <w:rPr>
          <w:b/>
        </w:rPr>
        <w:t>Available abstract (not full text):</w:t>
      </w:r>
      <w:r>
        <w:t xml:space="preserve"> Individuals with major depressive disorder (MDD) are usually observed making inappropriate risky decisions. However, whether and to what extent MDD is associated with impairments in risky decision-making remains unclear. We performed a three-level meta-analysis to explore the relationship between risky decision-making and MDD. We searched the Web of Science, PubMed, Scopus, and PsycINFO databases up to February 7, 2023, and calculated Hedges' g to demonstrate the difference in risky decision-making between MDD patients and healthy controls (HCs). The moderating effect of sample and task characteristics were also revealed. Across 73 effect sizes in 39 cross-sectional studies, MDD patients exhibited greater risk-seeking than HCs (Hedges' g = 0.187, p = .030). Furthermore, age (p = .068), region (p = .005), and task type (p &lt; .001) were found to have moderating effects. Specifically, patients preferred risk-seeking over HCs as age increased. European patients showed significantly increased risk-seeking compared to American and Asian patients. Patients in the Iowa Gambling Task (IGT) exhibited a notable rise in risk-seeking compared to other tasks, along with an increased risk aversion in the Balloon Analogue Risk Task (BART). The multiple-moderator analysis showed that only task type had significant effects, which may be explained by a tentative framework of "operationalization-me</w:t>
      </w:r>
    </w:p>
    <w:p>
      <w:pPr/>
      <w:r>
        <w:rPr>
          <w:b/>
        </w:rPr>
        <w:t>POSSIBLE 2023:</w:t>
      </w:r>
      <w:r>
        <w:t xml:space="preserve"> Achieving Algorithmic Transparency and Managing Risks of Data Security when Making Decisions without Human Interference: Legal Approaches — https://doi.org/10.21202/jdtl.2023.42</w:t>
      </w:r>
    </w:p>
    <w:p>
      <w:pPr/>
      <w:r>
        <w:rPr>
          <w:b/>
        </w:rPr>
        <w:t>Shared claim-specific concepts:</w:t>
      </w:r>
      <w:r>
        <w:t xml:space="preserve"> making, decisions, including, security, methods; EU scope visible. This is a provisional connection, not an outcome finding.</w:t>
      </w:r>
    </w:p>
    <w:p>
      <w:pPr>
        <w:pStyle w:val="SourceNote"/>
      </w:pPr>
      <w:r>
        <w:rPr>
          <w:b/>
        </w:rPr>
        <w:t>Available abstract (not full text):</w:t>
      </w:r>
      <w:r>
        <w:t xml:space="preserve"> Objective: to compare modern approaches in law to the use of program codes and algorithms in decision-making that meet the principles of transparency and openness, as well as the increasingly stringent requirements for ensuring the security of personal and other big data obtained and processed algorithmically. Methods: the main methods for researching the principle of transparency in algorithmic decision-making were formal-legal and comparative analysis of legal acts and international standards of information security, as well as the principles and legal constructions contained in them. Results: it was determined that the development of information security standardization, inclusion in legal acts of requirements for the development of information technologies that comply with the principles of transparency and openness of applied algorithms will minimize the risks associated with the unlawful processing of users' big data and obtaining information about their privacy. Proposals were identified, related to the implementation of algorithmic transparency in the field of data processing legal regulation. Recommendations were formulated, based on which the legislator can solve the problem of ensuring the openness of the logic of information technology algorithms with regard to modern standards of information security. Scientific novelty: it consists in the substantiation of new tre</w:t>
      </w:r>
    </w:p>
    <w:p>
      <w:pPr/>
      <w:r>
        <w:rPr>
          <w:b/>
        </w:rPr>
        <w:t>POSSIBLE 2023:</w:t>
      </w:r>
      <w:r>
        <w:t xml:space="preserve"> THE IMPORTANCE OF MP’S PROFILE IN MAKING SECURITY DECISIONS — https://doi.org/10.20544/icp.8.1.23.p30</w:t>
      </w:r>
    </w:p>
    <w:p>
      <w:pPr/>
      <w:r>
        <w:rPr>
          <w:b/>
        </w:rPr>
        <w:t>Shared claim-specific concepts:</w:t>
      </w:r>
      <w:r>
        <w:t xml:space="preserve"> making, decisions, security, process, used; EU scope visible. This is a provisional connection, not an outcome finding.</w:t>
      </w:r>
    </w:p>
    <w:p>
      <w:pPr>
        <w:pStyle w:val="SourceNote"/>
      </w:pPr>
      <w:r>
        <w:rPr>
          <w:b/>
        </w:rPr>
        <w:t>Available abstract (not full text):</w:t>
      </w:r>
      <w:r>
        <w:t xml:space="preserve"> In today's world, security issues are an imperative and integral part of the public policies of the modern state and society.As a result of this reality, the profile and role of the Members of Parliament (MPs) in the legislature are constantly evolving.As the MPs have the authority to participate in decisions that directly impact citizen's rights, freedoms, and obligations it is essential for them to possess knowledge in security, defense, intelligence, terrorism, cyber attacks, and geopolitical challenges, in order to qualitatively perceive all aspects of specific issues when making decisions in this domain.Therefore, although there are many factors that influence the MP's decisions, an additional dilemma arises whether formal education, previous work experience, or involvement in security-related organizations would imply added value to the MP's role in the adoption process of more quality decisions in the field of security.This paper aims to compare the constitutional and legal position of the MPs in the Assembly of the Republic of North Macedonia and three member states of the European Union (the Republic of Croatia, the Republic of Slovenia, and the Republic of Italy) concerning their professional education and its impact on making quality decisions, especially in security matters.The normative method, the comparative method and the method of content analysis will be used </w:t>
      </w:r>
    </w:p>
    <w:p>
      <w:pPr/>
      <w:r>
        <w:rPr>
          <w:b/>
        </w:rPr>
        <w:t>POSSIBLE 2023:</w:t>
      </w:r>
      <w:r>
        <w:t xml:space="preserve"> Evolution of Pneumococcal Vaccine Recommendations and Criteria for Decision Making in 5 Western European Countries and the United States — https://doi.org/10.1177/23814683231174432</w:t>
      </w:r>
    </w:p>
    <w:p>
      <w:pPr/>
      <w:r>
        <w:rPr>
          <w:b/>
        </w:rPr>
        <w:t>Shared claim-specific concepts:</w:t>
      </w:r>
      <w:r>
        <w:t xml:space="preserve"> making, major, including, methods; EU scope visible. This is a provisional connection, not an outcome finding.</w:t>
      </w:r>
    </w:p>
    <w:p>
      <w:pPr>
        <w:pStyle w:val="SourceNote"/>
      </w:pPr>
      <w:r>
        <w:rPr>
          <w:b/>
        </w:rPr>
        <w:t>Available abstract (not full text):</w:t>
      </w:r>
      <w:r>
        <w:t xml:space="preserve"> Objectives: Pneumococcal vaccine recommendations have become increasingly complex. This study aims to understand how national immunization technical advisory groups (NITAGs) and health technology assessment (HTA) agencies of 5 European countries and the United States formed their pneumococcal vaccine recommendations, by providing reviewed evidence and key drivers for new recommendations. Methods: Centers for Disease Control and Prevention, European Centre for Disease Prevention and Control, and National Health Authorities Web sites were screened to capture the evolution of pneumococcal recommendations. A narrative review was conducted on NITAGs and HTA bodies' Web sites. Assessments of pneumococcal vaccines published from 2009 to 2022 were included. Results: Thirty-four records were identified including 21 assessments for risk groups, 17 for elderly, and 12 for children. Burden of disease and vaccine characteristics were almost systematically reviewed during assessments. All 6 countries recommended the use of higher-valent pneumococcal vaccine (PCV; i.e., PCV10 and PCV13) in childhood vaccination programs, given their broader serotype coverage and their comparable profile to PCV7. PCV13 was progressively added to the vaccine schedule (in addition to polysaccharide vaccine) in at least the high-risk group, given the high burden in this population and expected additional benefits</w:t>
      </w:r>
    </w:p>
    <w:p>
      <w:pPr/>
      <w:r>
        <w:rPr>
          <w:b/>
        </w:rPr>
        <w:t>POSSIBLE 2022:</w:t>
      </w:r>
      <w:r>
        <w:t xml:space="preserve"> Disclosures about algorithmic decision making in the corporate reports of Western European companies — https://doi.org/10.1016/j.accinf.2022.100596</w:t>
      </w:r>
    </w:p>
    <w:p>
      <w:pPr/>
      <w:r>
        <w:rPr>
          <w:b/>
        </w:rPr>
        <w:t>Shared claim-specific concepts:</w:t>
      </w:r>
      <w:r>
        <w:t xml:space="preserve"> making, major, tools; EU scope visible. This is a provisional connection, not an outcome finding.</w:t>
      </w:r>
    </w:p>
    <w:p>
      <w:pPr>
        <w:pStyle w:val="SourceNote"/>
      </w:pPr>
      <w:r>
        <w:rPr>
          <w:b/>
        </w:rPr>
        <w:t>Available abstract (not full text):</w:t>
      </w:r>
      <w:r>
        <w:t xml:space="preserve"> Over the last decade, the use of different artificial intelligence (AI) tools has increased. To shed some light on the emerging trend of AI disclosure, the aim of this paper is to analyse the current practices of major Western European companies regarding the automated decision-making (ADM) disclosure in their annual or sustainability reports. This paper proposes a methodology based on bigrams that enables the automatic extraction of the information on ADM that companies disclose. The sample consisted of 962 annual/sustainability reports, published in 2018 and 2019, of 337 companies listed on 13 Western European countries’ stock markets. Our findings show that ADM disclosure is still at an early stage and that the first adopters are mostly companies operating in the financial sector.</w:t>
      </w:r>
    </w:p>
    <w:p>
      <w:pPr/>
      <w:r>
        <w:rPr>
          <w:b/>
        </w:rPr>
        <w:t>POSSIBLE 2022:</w:t>
      </w:r>
      <w:r>
        <w:t xml:space="preserve"> Prospects for Valuation in Marine Decision Making in Europe — https://doi.org/10.15351/2373-8456.1150</w:t>
      </w:r>
    </w:p>
    <w:p>
      <w:pPr/>
      <w:r>
        <w:rPr>
          <w:b/>
        </w:rPr>
        <w:t>Shared claim-specific concepts:</w:t>
      </w:r>
      <w:r>
        <w:t xml:space="preserve"> making, investments, tools, possible; EU scope visible. This is a provisional connection, not an outcome finding.</w:t>
      </w:r>
    </w:p>
    <w:p>
      <w:pPr>
        <w:pStyle w:val="SourceNote"/>
      </w:pPr>
      <w:r>
        <w:rPr>
          <w:b/>
        </w:rPr>
        <w:t>Available abstract (not full text):</w:t>
      </w:r>
      <w:r>
        <w:t xml:space="preserve"> There is now high-level recognition that the UN Sustainable Development Goals can only be achieved if the decline of ecosystems and biodiversity can be halted and reversed. This will require effective control of ongoing pressures, meaningful protection and enforcement of protected areas, and significant investments in ecosystem restoration. This paper explores the possible use of economic valuation and appraisal in achieving these goals in marine systems and discusses the European marine policy instruments where they should have an important role The paper first briefly reviews the tools of economic valuation and appraisal for marine ecosystem management. A critique of the use of economic valuation and appraisal in marine conservation and restoration is then presented. The paper argues that while progress has been made there remains a pressing need for better integration of marine environmental values in policy processes. It also highlights the fact that the focus on natural capital accounting, and more generally on green/blue growth and market instruments, could create a reliance on exchange values at the expense of welfare values required for policy appraisal.</w:t>
      </w:r>
    </w:p>
    <w:p>
      <w:pPr/>
      <w:r>
        <w:rPr>
          <w:b/>
        </w:rPr>
        <w:t>POSSIBLE 2022:</w:t>
      </w:r>
      <w:r>
        <w:t xml:space="preserve"> Contribution of Real‐World Evidence in European Medicines Agency's Regulatory Decision Making — https://doi.org/10.1002/cpt.2766</w:t>
      </w:r>
    </w:p>
    <w:p>
      <w:pPr/>
      <w:r>
        <w:rPr>
          <w:b/>
        </w:rPr>
        <w:t>Shared claim-specific concepts:</w:t>
      </w:r>
      <w:r>
        <w:t xml:space="preserve"> making, decisions, requires; EU scope visible. This is a provisional connection, not an outcome finding.</w:t>
      </w:r>
    </w:p>
    <w:p>
      <w:pPr>
        <w:pStyle w:val="SourceNote"/>
      </w:pPr>
      <w:r>
        <w:rPr>
          <w:b/>
        </w:rPr>
        <w:t>Available abstract (not full text):</w:t>
      </w:r>
      <w:r>
        <w:t xml:space="preserve"> Real-world data/evidence (RWD/RWE) may provide insightful information on medicines' clinical effects to guide regulatory decisions. While its contribution has been recognized for safety monitoring and disease epidemiology across medicines' life cycles, using RWD/RWE to demonstrate efficacy requires further evaluation. This study aimed to (i) characterize RWD/RWE presented by applicants to support claims on medicines' efficacy within initial marketing authorization applications (MAAs) and extension of indication applications (EoIs), and (ii) analyze the contribution of RWD/RWE to regulatory decisions on medicines' benefit-risk profile. RWD/RWE was included to support efficacy in 32 MAAs and 14 EoIs submitted 2018-2019. Of these, RWD/RWE was part of the preauthorization package of 16 MAAs and 10 EoIs, and was (i) considered supporting the regulatory decision in 10 applications (five MAAs, five EoIs), (ii) considered not supporting the regulatory decision in 11 (seven MAAs, four EoIs), and (iii) not addressed at all in the evaluation of 5 applications (four MAAs, one EoI). Common limitations of submitted RWD/RWE included missing data, lack of representativeness of populations, small sample size, absence of an adequate or prespecified analysis plan, and risk of several types of bias. The suitability of RWD/RWE in a given application still requires a case-by-case analysis considerin</w:t>
      </w:r>
    </w:p>
    <w:p>
      <w:pPr/>
      <w:r>
        <w:rPr>
          <w:b/>
        </w:rPr>
        <w:t>POSSIBLE 2021:</w:t>
      </w:r>
      <w:r>
        <w:t xml:space="preserve"> European Resuscitation Council Guidelines 2021: Ethics of resuscitation and end of life decisions — https://doi.org/10.1016/j.resuscitation.2021.02.017</w:t>
      </w:r>
    </w:p>
    <w:p>
      <w:pPr/>
      <w:r>
        <w:rPr>
          <w:b/>
        </w:rPr>
        <w:t>Shared claim-specific concepts:</w:t>
      </w:r>
      <w:r>
        <w:t xml:space="preserve"> making, decisions, major; EU scope visible. This is a provisional connection, not an outcome finding.</w:t>
      </w:r>
    </w:p>
    <w:p>
      <w:pPr>
        <w:pStyle w:val="SourceNote"/>
      </w:pPr>
      <w:r>
        <w:rPr>
          <w:b/>
        </w:rPr>
        <w:t>Available abstract (not full text):</w:t>
      </w:r>
      <w:r>
        <w:t xml:space="preserve"> These European Resuscitation Council Ethics guidelines provide evidence-based recommendations for the ethical, routine practice of resuscitation and end-of-life care of adults and children. The guideline primarily focus on major ethical practice interventions (i.e. advance directives, advance care planning, and shared decision making), decision making regarding resuscitation, education, and research. These areas are tightly related to the application of the principles of bioethics in the practice of resuscitation and end-of-life care.</w:t>
      </w:r>
    </w:p>
    <w:p>
      <w:pPr>
        <w:pStyle w:val="Heading2"/>
      </w:pPr>
      <w:r>
        <w:t>946. Animal health aspects of adaptation to climate change: beating the heat and parasites in a warming Europe</w:t>
      </w:r>
    </w:p>
    <w:p>
      <w:pPr>
        <w:pStyle w:val="SourceNote"/>
      </w:pPr>
      <w:r>
        <w:rPr>
          <w:b/>
        </w:rPr>
        <w:t>Original source (2013):</w:t>
      </w:r>
      <w:r>
        <w:t xml:space="preserve"> https://doi.org/10.1017/s175173111300075x</w:t>
      </w:r>
    </w:p>
    <w:p>
      <w:pPr/>
      <w:r>
        <w:t>Original wording (abstract; indexed_source_text_not_full_document_verified): We investigate the direct and indirect effects of climate change on the epidemiology of important livestock pathogens, with a particular focus on parasitic infections, and the likely animal health consequences associated with selected adaptation options. Adaptation options aimed at taking advantage of new opportunities and/or minimising the risks of negative impacts will, in themselves, have implications for animal health and welfare.</w:t>
      </w:r>
    </w:p>
    <w:p>
      <w:pPr/>
      <w:r>
        <w:rPr>
          <w:b/>
        </w:rPr>
        <w:t>POSSIBLE 2026:</w:t>
      </w:r>
      <w:r>
        <w:t xml:space="preserve"> Epidemiology and Economic Burden of Sleep Disorders in Europe — https://doi.org/10.1111/ene.70463</w:t>
      </w:r>
    </w:p>
    <w:p>
      <w:pPr/>
      <w:r>
        <w:rPr>
          <w:b/>
        </w:rPr>
        <w:t>Shared claim-specific concepts:</w:t>
      </w:r>
      <w:r>
        <w:t xml:space="preserve"> direct, indirect, epidemiology, health, associated; EU scope visible. This is a provisional connection, not an outcome finding.</w:t>
      </w:r>
    </w:p>
    <w:p>
      <w:pPr>
        <w:pStyle w:val="SourceNote"/>
      </w:pPr>
      <w:r>
        <w:rPr>
          <w:b/>
        </w:rPr>
        <w:t>Available abstract (not full text):</w:t>
      </w:r>
      <w:r>
        <w:t xml:space="preserve"> BACKGROUND: Sleep and sleep disorders (SD) have a major impact on brain (neurological and psychiatric), body and societal health. Despite this, the epidemiological and economic burden of SD have not been sufficiently analyzed. This study investigates the epidemiology and costs of SD across 47 European countries and identifies knowledge gaps in the literature. METHODS: Systematic literature reviews on PubMed (between January 2010 and April 2023) and expert communications identified relevant epidemiological and cost-of-illness (COI) studies on five major SD: insomnia, obstructive sleep apnea (OSA), narcolepsy, restless legs syndrome (RLS), and REM sleep behavior disorder (RBD). Four epidemiological parameters, including prevalence, were investigated. Economic analyses stratified direct, indirect, and informal care costs, and employed an imputation procedure that accounts for several country-specific economic factors. Costs were expressed as purchasing power parity (PPP)-adjusted 2019 Euros. RESULTS: Eleven COI and six epidemiological studies were identified. Estimated prevalence for OSA, insomnia, RLS, narcolepsy, and RBD in the adult population was 18%, 10%, 3%, 0.03%, and 0.009%, respectively. Economic data were exclusively available for high-income Europe. OSA was the most costly SD (€184 billion), followed by insomnia (€158 billion), RLS (€79 billion), narcolepsy (€905 millio</w:t>
      </w:r>
    </w:p>
    <w:p>
      <w:pPr/>
      <w:r>
        <w:rPr>
          <w:b/>
        </w:rPr>
        <w:t>POSSIBLE 2025:</w:t>
      </w:r>
      <w:r>
        <w:t xml:space="preserve"> Direct and Indirect Regulations for Medical Devices in Europe and Germany — https://doi.org/10.1007/978-3-032-03577-6_14</w:t>
      </w:r>
    </w:p>
    <w:p>
      <w:pPr/>
      <w:r>
        <w:rPr>
          <w:b/>
        </w:rPr>
        <w:t>Shared claim-specific concepts:</w:t>
      </w:r>
      <w:r>
        <w:t xml:space="preserve"> direct, indirect, aimed; EU scope visible. This is a provisional connection, not an outcome finding.</w:t>
      </w:r>
    </w:p>
    <w:p>
      <w:pPr>
        <w:pStyle w:val="SourceNote"/>
      </w:pPr>
      <w:r>
        <w:rPr>
          <w:b/>
        </w:rPr>
        <w:t>Available abstract (not full text):</w:t>
      </w:r>
      <w:r>
        <w:t xml:space="preserve"> The regulation of medical devices plays a crucial role in ensuring the safety and efficacy of medical devices used daily in patient care. This chapter provides a comprehensive overview of the direct and indirect regulation of medical devices in Germany and Europe, focusing on the transition from the Medical Devices Directive (MDD) to the Medical Device Regulation (MDR) and the In Vitro Diagnostic Regulation (IVDR). It highlights the historical context, challenges faced, and the introduction of new regulations aimed at further enhancing safety, performance, and transparency. The chapter also discusses the current regulatory framework, key requirements, and the impact of broader European regulations such as REACH, RoHS, and GDPR on the medical device industry, as well as future developments.</w:t>
      </w:r>
    </w:p>
    <w:p>
      <w:pPr/>
      <w:r>
        <w:rPr>
          <w:b/>
        </w:rPr>
        <w:t>POSSIBLE 2024:</w:t>
      </w:r>
      <w:r>
        <w:t xml:space="preserve"> Distinct roles of direct and indirect electrification in pathways to a renewables-dominated European energy system — https://doi.org/10.1016/j.oneear.2024.01.015</w:t>
      </w:r>
    </w:p>
    <w:p>
      <w:pPr/>
      <w:r>
        <w:rPr>
          <w:b/>
        </w:rPr>
        <w:t>Shared claim-specific concepts:</w:t>
      </w:r>
      <w:r>
        <w:t xml:space="preserve"> direct, indirect, climate; EU scope visible. This is a provisional connection, not an outcome finding.</w:t>
      </w:r>
    </w:p>
    <w:p>
      <w:pPr>
        <w:pStyle w:val="SourceNote"/>
      </w:pPr>
      <w:r>
        <w:rPr>
          <w:b/>
        </w:rPr>
        <w:t>Available abstract (not full text):</w:t>
      </w:r>
      <w:r>
        <w:t xml:space="preserve"> Renewable electricity can facilitate climate change mitigation in the buildings, industry and transport sector via direct electrification or indirect electrification, that is, converting electricity to hydrogen-based fuels. While direct electrification is generally energy efficient, indirect electrification can partially build upon existing applications and infrastructure. However, their roles and relative importance have not been well researched in mitigation scenarios. Here, we derive plausible ranges for both strategies based on EU climate neutrality scenarios using the REMIND model. We find that by 2050 direct electrification is the dominant strategy with an electricity share of 42%–60% in final energy, while indirect electrification is necessary in hard-to-electrify sectors and contributes a share of 9%–26%. Our analysis highlights that policy makers should respect the distinct sectoral roles of both strategies by fostering an end-use transformation towards direct electrification while prioritizing hydrogen and synthetic fuels for applications where they are indispensable.</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investigate, direct, climate, health;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2024:</w:t>
      </w:r>
      <w:r>
        <w:t xml:space="preserve"> Direct and lagged climate change effects intensified the 2022 European drought — https://doi.org/10.1038/s41561-024-01559-2</w:t>
      </w:r>
    </w:p>
    <w:p>
      <w:pPr/>
      <w:r>
        <w:rPr>
          <w:b/>
        </w:rPr>
        <w:t>Shared claim-specific concepts:</w:t>
      </w:r>
      <w:r>
        <w:t xml:space="preserve"> direct, climate, likely, consequences, associated; EU scope visible. This is a provisional connection, not an outcome finding.</w:t>
      </w:r>
    </w:p>
    <w:p>
      <w:pPr>
        <w:pStyle w:val="SourceNote"/>
      </w:pPr>
      <w:r>
        <w:rPr>
          <w:b/>
        </w:rPr>
        <w:t>Available abstract (not full text):</w:t>
      </w:r>
      <w:r>
        <w:t xml:space="preserve"> Abstract In 2022, Europe faced an extensive summer drought with severe socio-economic consequences. By combining observations and climate model outputs with hydrological and land-surface simulations, we show that central and southern Europe experienced the highest observed total water storage deficit since satellite observations began in 2002, likely representing the highest and most widespread soil moisture deficit in the last six decades. While precipitation deficits primarily drove the soil moisture drought, human-induced global warming contributed to over 30% of the drought intensity and its spatial extent via enhancing evaporation. We identify that 14-41% of the climate change contribution was mediated by the warming that started to dry out the soil before the hydrological year 2022, indicating the importance of considering lagged effects of climate change to avoid underestimating associated risks. Qualitatively similar effects were observed in river discharges. These results highlight that global warming effects on droughts are already underway, widespread and long-lasting, and that drought risk may escalate with further human-induced warming in the future.</w:t>
      </w:r>
    </w:p>
    <w:p>
      <w:pPr/>
      <w:r>
        <w:rPr>
          <w:b/>
        </w:rPr>
        <w:t>POSSIBLE 2024:</w:t>
      </w:r>
      <w:r>
        <w:t xml:space="preserve"> The relationship between direct or indirect therapy and language profiles in children with developmental language disorder (DLD) across European countries — https://doi.org/10.1080/08856257.2024.2307281</w:t>
      </w:r>
    </w:p>
    <w:p>
      <w:pPr/>
      <w:r>
        <w:rPr>
          <w:b/>
        </w:rPr>
        <w:t>Shared claim-specific concepts:</w:t>
      </w:r>
      <w:r>
        <w:t xml:space="preserve"> investigate, direct, indirect, aimed; EU scope visible. This is a provisional connection, not an outcome finding.</w:t>
      </w:r>
    </w:p>
    <w:p>
      <w:pPr>
        <w:pStyle w:val="SourceNote"/>
      </w:pPr>
      <w:r>
        <w:rPr>
          <w:b/>
        </w:rPr>
        <w:t>Available abstract (not full text):</w:t>
      </w:r>
      <w:r>
        <w:t xml:space="preserve"> The present study aimed to investigate 1) whether country categories and type of DLD predict the type of therapy (direct, indirect, and mixed) the child receives, and 2) whether there is an association between country categories, type of therapy, and type of DLD (receptive, expressive, and mixed). European countries were categorised based on Sapir’s typology into Continental, AngloSaxon, Nordic and Mediterranean groups. A fifth group i.e. Central European (including Baltic countries) was added. The data to address these questions comes from an online survey, translated and adapted into 30 languages, and is based on reports by 4685 professionals delivering services for children with DLD. This survey was developed by the COST Action IS1406 members and distributed online among practitioners in the year 2017 across European countries. Results indicated that country categories and type of DLD predicted type of therapy. It was suggested that cultural and contextual factors might play a key role in driving clinical practice above and beyond language profiles, patient characteristics and evidence-based practice.</w:t>
      </w:r>
    </w:p>
    <w:p>
      <w:pPr/>
      <w:r>
        <w:rPr>
          <w:b/>
        </w:rPr>
        <w:t>POSSIBLE 2024:</w:t>
      </w:r>
      <w:r>
        <w:t xml:space="preserve"> Vulnerability of terrestrial vertebrate food webs to anthropogenic threats in Europe — https://doi.org/10.1111/gcb.17253</w:t>
      </w:r>
    </w:p>
    <w:p>
      <w:pPr/>
      <w:r>
        <w:rPr>
          <w:b/>
        </w:rPr>
        <w:t>Shared claim-specific concepts:</w:t>
      </w:r>
      <w:r>
        <w:t xml:space="preserve"> investigate, direct, indirect, climate, consequences, associated; EU scope visible. This is a provisional connection, not an outcome finding.</w:t>
      </w:r>
    </w:p>
    <w:p>
      <w:pPr>
        <w:pStyle w:val="SourceNote"/>
      </w:pPr>
      <w:r>
        <w:rPr>
          <w:b/>
        </w:rPr>
        <w:t>Available abstract (not full text):</w:t>
      </w:r>
      <w:r>
        <w:t xml:space="preserve"> Vertebrate species worldwide are currently facing significant declines in many populations. Although we have gained substantial knowledge about the direct threats that affect individual species, these threats only represent a fraction of the broader vertebrate threat profile, which is also shaped by species interactions. For example, threats faced by prey species can jeopardize the survival of their predators due to food resource scarcity. Yet, indirect threats arising from species interactions have received limited investigation thus far. In this study, we investigate the indirect consequences of anthropogenic threats on biodiversity in the context of European vertebrate food webs. We integrated data on trophic interactions among over 800 terrestrial vertebrates, along with their associated human-induced threats. We quantified and mapped the vulnerability of various components of the food web, including species, interactions, and trophic groups to six major threats: pollution, agricultural intensification, climate change, direct exploitation, urbanization, and invasive alien species and diseases. Direct exploitation and agricultural intensification were two major threats for terrestrial vertebrate food webs: affecting 34% and 31% of species, respectively, they threaten 85% and 69% of interactions in Europe. By integrating network ecology with threat impact assessments, our stu</w:t>
      </w:r>
    </w:p>
    <w:p>
      <w:pPr/>
      <w:r>
        <w:rPr>
          <w:b/>
        </w:rPr>
        <w:t>POSSIBLE 2023:</w:t>
      </w:r>
      <w:r>
        <w:t xml:space="preserve"> The Direct and Indirect Influences of Interrelated Regional-Level Sociodemographic Factors on Heat-Attributable Mortality in Europe: Insights for Adaptation Strategies — https://doi.org/10.1289/ehp11766</w:t>
      </w:r>
    </w:p>
    <w:p>
      <w:pPr/>
      <w:r>
        <w:rPr>
          <w:b/>
        </w:rPr>
        <w:t>Shared claim-specific concepts:</w:t>
      </w:r>
      <w:r>
        <w:t xml:space="preserve"> direct, indirect, climate, health, adaptation; EU scope visible. This is a provisional connection, not an outcome finding.</w:t>
      </w:r>
    </w:p>
    <w:p>
      <w:pPr>
        <w:pStyle w:val="SourceNote"/>
      </w:pPr>
      <w:r>
        <w:rPr>
          <w:b/>
        </w:rPr>
        <w:t>Available abstract (not full text):</w:t>
      </w:r>
      <w:r>
        <w:t xml:space="preserve"> BACKGROUND: Heat is a significant cause of mortality, but impact patterns are heterogenous. Previous studies assessing such heterogeneity focused exclusively on risk rather than heat-attributable mortality burdens and assume predictors are independent. OBJECTIVES: We assessed how four interrelated regional-level sociodemographic predictors-education, life expectancy, the ratio of older to younger people (aging index), and relative income-influence heterogeneity in heat-attributable mortality burdens in Europe and then derived insights into adaptation strategies. METHODS: We extracted four outcomes from a temperature-mortality study covering 16 European countries: the rate of increase in mortality risk at moderate and extreme temperatures (moderate and extreme slope, respectively), the minimum mortality temperature percentile (MMTP), and the underlying mortality rate. We used structural equation modeling with country-level random effects to quantify the direct and indirect influences of the predictors on the outcomes. RESULTS: ). Relative income had relatively small, mixed influences. DISCUSSION: Our novel approach provided insights into actions for reducing the health impacts of heat. First, the results show the interrelations between possible vulnerability-generating mechanisms and suggest future research directions. Second, the findings point to the need for a dual approach t</w:t>
      </w:r>
    </w:p>
    <w:p>
      <w:pPr/>
      <w:r>
        <w:rPr>
          <w:b/>
        </w:rPr>
        <w:t>POSSIBLE 2023:</w:t>
      </w:r>
      <w:r>
        <w:t xml:space="preserve"> An Investigation of Direct and Indirect Learning Strategies in Learning Foreign Languages — https://doi.org/10.6007/ijarbss/v13-i3/16492</w:t>
      </w:r>
    </w:p>
    <w:p>
      <w:pPr/>
      <w:r>
        <w:rPr>
          <w:b/>
        </w:rPr>
        <w:t>Shared claim-specific concepts:</w:t>
      </w:r>
      <w:r>
        <w:t xml:space="preserve"> investigate, direct, indirect, taking; EU scope not established. This is a provisional connection, not an outcome finding.</w:t>
      </w:r>
    </w:p>
    <w:p>
      <w:pPr>
        <w:pStyle w:val="SourceNote"/>
      </w:pPr>
      <w:r>
        <w:rPr>
          <w:b/>
        </w:rPr>
        <w:t>Available abstract (not full text):</w:t>
      </w:r>
      <w:r>
        <w:t xml:space="preserve"> Learning strategies are one of the multiple factors in accomplishing learners' objectives in acquiring a new language. Hence, the aim of this research is to investigate the strategies that language learners use during their language-learning process. The instrument for this quantitative research is a survey. It has three sections. The first section consists of 2 items on demographic profile, while the second section has 19 items on direct learning strategies. The last section has 22 items on indirect learning strategies. The respondents are 132 undergraduate students taking French as a third language at one of the public universities in Malaysia. The data collected from the respondents were then analyzed using SPSS. The findings show that rehearsal has the highest mean (3.8), but critical thinking has the lowest (3.5). The research also reveals that the help-seeking strategy has the highest mean (4.1), whereas the metacognitive self-regulation strategy has the lowest mean (3.5). From the correlation analysis, the research also indicates a significant association between direct and indirect strategies (r=.779**) and (p=.000). In other words, this research proves that there is a strong relationship between direct strategies (which consist of rehearsal, organization, elaboration and critical thinking strategies); and indirect strategies (metacognitive self-regulation and resource </w:t>
      </w:r>
    </w:p>
    <w:p>
      <w:pPr/>
      <w:r>
        <w:rPr>
          <w:b/>
        </w:rPr>
        <w:t>POSSIBLE 2023:</w:t>
      </w:r>
      <w:r>
        <w:t xml:space="preserve"> Changing State of the Climate System — https://doi.org/10.1017/9781009157896.004</w:t>
      </w:r>
    </w:p>
    <w:p>
      <w:pPr/>
      <w:r>
        <w:rPr>
          <w:b/>
        </w:rPr>
        <w:t>Shared claim-specific concepts:</w:t>
      </w:r>
      <w:r>
        <w:t xml:space="preserve"> indirect, climate, focus; EU scope not established. This is a provisional connection, not an outcome finding.</w:t>
      </w:r>
    </w:p>
    <w:p>
      <w:pPr>
        <w:pStyle w:val="SourceNote"/>
      </w:pPr>
      <w:r>
        <w:rPr>
          <w:b/>
        </w:rPr>
        <w:t>Available abstract (not full text):</w:t>
      </w:r>
      <w:r>
        <w:t xml:space="preserve"> Chapter 2 assesses observed large-scale changes in climate system drivers, key climate indicators and principal modes of variability. Chapter 3 considers model performance and detection/attribution, and Chapter 4 covers projections for a subset of these same indicators and modes of variability. Collectively, these chapters provide the basis for later chapters, which focus upon processes and regional changes. \nWithin Chapter 2, changes are assessed from in situ and remotely sensed data and products and from indirect evidence of longer-term changes based upon a diverse range of climate proxies. The time-evolving availability of observations and proxy information dictate the periods that can be assessed. Wherever possible, recent changes are assessed for their significance in a longer-term context, including target proxy periods, both in terms of mean state and rates of change.</w:t>
      </w:r>
    </w:p>
    <w:p>
      <w:pPr/>
      <w:r>
        <w:rPr>
          <w:b/>
        </w:rPr>
        <w:t>POSSIBLE 2023:</w:t>
      </w:r>
      <w:r>
        <w:t xml:space="preserve"> Climate Change Impacts on the Prevalence of Tick-Borne Diseases in Europe — https://doi.org/10.3390/environsciproc2023026018</w:t>
      </w:r>
    </w:p>
    <w:p>
      <w:pPr/>
      <w:r>
        <w:rPr>
          <w:b/>
        </w:rPr>
        <w:t>Shared claim-specific concepts:</w:t>
      </w:r>
      <w:r>
        <w:t xml:space="preserve"> climate, infections, health; EU scope visible. This is a provisional connection, not an outcome finding.</w:t>
      </w:r>
    </w:p>
    <w:p>
      <w:pPr>
        <w:pStyle w:val="SourceNote"/>
      </w:pPr>
      <w:r>
        <w:rPr>
          <w:b/>
        </w:rPr>
        <w:t>Available abstract (not full text):</w:t>
      </w:r>
      <w:r>
        <w:t xml:space="preserve"> Climate change (changes in temperature and weather patterns) plays a significant role in the outbreak of tick-borne diseases such as Lyme borreliosis (LB) disease and tick-borne encephalitis (TBE) in Europe. The prevalence of LB disease has increased lately and TBE, one of the most serious infections of the central nervous system, significantly affects public health. Changes in abiotic factors are the main determinants affecting their vectors. The warmer weather during winter has prolonged the extension of the period in which ticks are most active. Therefore, the increased risk of transmission of tick-borne diseases influenced by the climate conditions could be determined by advanced climate models.</w:t>
      </w:r>
    </w:p>
    <w:p>
      <w:pPr/>
      <w:r>
        <w:rPr>
          <w:b/>
        </w:rPr>
        <w:t>POSSIBLE 2022:</w:t>
      </w:r>
      <w:r>
        <w:t xml:space="preserve"> Direct and indirect effects of universities on European regional productivity — https://doi.org/10.1111/pirs.12698</w:t>
      </w:r>
    </w:p>
    <w:p>
      <w:pPr/>
      <w:r>
        <w:rPr>
          <w:b/>
        </w:rPr>
        <w:t>Shared claim-specific concepts:</w:t>
      </w:r>
      <w:r>
        <w:t xml:space="preserve"> direct, indirect; EU scope visible. This is a provisional connection, not an outcome finding.</w:t>
      </w:r>
    </w:p>
    <w:p>
      <w:pPr>
        <w:pStyle w:val="SourceNote"/>
      </w:pPr>
      <w:r>
        <w:rPr>
          <w:b/>
        </w:rPr>
        <w:t>Available abstract (not full text):</w:t>
      </w:r>
      <w:r>
        <w:t xml:space="preserve"> Universities are fundamental in driving economic performance as they generate human capital, research and knowledge diffusion. We propose a novel analysis by investigating their effects on European regions' total factor productivity (TFP) over the period 2000–2016. We distinguish between direct effects, due to universities societal role (“third mission”), and indirect ones originating from human and technological capital creation. Our contribution is threefold. First and foremost, we provide evidence that the presence of universities has a sizeable impact on regional TFP. Second, this impact spreads across regional boundaries. Third, universities effectively drive human and technological capital growth, thus indirectly fostering productivity enhancements.</w:t>
      </w:r>
    </w:p>
    <w:p>
      <w:pPr>
        <w:pStyle w:val="Heading2"/>
      </w:pPr>
      <w:r>
        <w:t>947. Application of the UK Foresight Obesity Model in Ireland: The Health and Economic Consequences of Projected Obesity Trends in Ireland</w:t>
      </w:r>
    </w:p>
    <w:p>
      <w:pPr>
        <w:pStyle w:val="SourceNote"/>
      </w:pPr>
      <w:r>
        <w:rPr>
          <w:b/>
        </w:rPr>
        <w:t>Original source (2013):</w:t>
      </w:r>
      <w:r>
        <w:t xml:space="preserve"> https://doi.org/10.1371/journal.pone.0079827</w:t>
      </w:r>
    </w:p>
    <w:p>
      <w:pPr/>
      <w:r>
        <w:t>Original wording (abstract; indexed_source_text_not_full_document_verified): The direct healthcare costs associated with these increases will amount to €5.4 billion by 2030. A 5% reduction in population BMI levels by 2030 is projected to result in €495 million less being spent in obesity-related direct healthcare costs over twenty years.</w:t>
      </w:r>
    </w:p>
    <w:p>
      <w:pPr/>
      <w:r>
        <w:rPr>
          <w:b/>
        </w:rPr>
        <w:t>POSSIBLE 2026:</w:t>
      </w:r>
      <w:r>
        <w:t xml:space="preserve"> Artificial Intelligence in European Healthcare — https://doi.org/10.1553/easac-feam_report_ai-in-healthcare_2026</w:t>
      </w:r>
    </w:p>
    <w:p>
      <w:pPr/>
      <w:r>
        <w:rPr>
          <w:b/>
        </w:rPr>
        <w:t>Shared claim-specific concepts:</w:t>
      </w:r>
      <w:r>
        <w:t xml:space="preserve"> healthcare, associated, population, levels; EU scope visible. This is a provisional connection, not an outcome finding.</w:t>
      </w:r>
    </w:p>
    <w:p>
      <w:pPr>
        <w:pStyle w:val="SourceNote"/>
      </w:pPr>
      <w:r>
        <w:rPr>
          <w:b/>
        </w:rPr>
        <w:t>Available abstract (not full text):</w:t>
      </w:r>
      <w:r>
        <w:t xml:space="preserve"> Artificial intelligence (AI)-assisted tools and systems are increasingly being applied and offer substantial potential for innovation across many scientific and societal fields.At the same time, appropriate policy guidance and regulation are crucial to ensure that the benefits of innovation are realised while effectively addressing the risks associated with implementing AI applications.Given this overall challenge of leveraging AI innovations for the benefit of society while simultaneously managing potential risks, AI developments in healthcare and public health bring specific opportunities, questions, and requirements.Therefore, with this report, the European Academies Science Advisory Council (EASAC) and the Federation of European Academies of Medicine (FEAM) aim to present a high-level, accessible overview of the opportunities and risks of AI systems in healthcare and focused recommendations.The intention is to assist European policy-makers -and other policy stakeholders -in promoting responsible innovation by formulating and implementing evidence-based policies, while ensuring appropriate methodological, ethical, security, and regulatory safeguards.The report therefore frames AI in healthcare as both an opportunity and a governance challenge.Its focus is on professional health and public-health uses of AI in Europe, including clinical care, population health, health-system </w:t>
      </w:r>
    </w:p>
    <w:p>
      <w:pPr/>
      <w:r>
        <w:rPr>
          <w:b/>
        </w:rPr>
        <w:t>POSSIBLE 2026:</w:t>
      </w:r>
      <w:r>
        <w:t xml:space="preserve"> Change in healthcare costs in Europe 2018–2023 (data report) — https://doi.org/10.3389/fpubh.2026.1774180</w:t>
      </w:r>
    </w:p>
    <w:p>
      <w:pPr/>
      <w:r>
        <w:rPr>
          <w:b/>
        </w:rPr>
        <w:t>Shared claim-specific concepts:</w:t>
      </w:r>
      <w:r>
        <w:t xml:space="preserve"> healthcare, associated, population, levels, over; EU scope visible. This is a provisional connection, not an outcome finding.</w:t>
      </w:r>
    </w:p>
    <w:p>
      <w:pPr>
        <w:pStyle w:val="SourceNote"/>
      </w:pPr>
      <w:r>
        <w:rPr>
          <w:b/>
        </w:rPr>
        <w:t>Available abstract (not full text):</w:t>
      </w:r>
      <w:r>
        <w:t xml:space="preserve"> The dynamics of healthcare expenditure are shaped by a complex interplay of demographic, social, and economic factors (1), as well as the specific organizational and funding structures of national health systems (2)(3)(4). While health spending in European Union (EU) nations has historically outpaced general economic growth, this trajectory has been subject to significant volatility, most notably during the financial crisis of 2008/09 (5-7) and, more recently, the global COVID-19 pandemic (8). The extent to which national economies were impacted by the SARS-CoV-2 crisis necessitated a substantial recalibration of health financing metrics, creating a divergence between health expenditure growth and economic production.The onset of the pandemic in early 2020 severely disrupted health systems across Europe (9). Although reductions in elective surgeries and hospitalizations initially lowered spending on non-COVID-19 care (10,11), the immediate necessity to expand treatment, testing, and diagnostic capacities introduced sharp upward pressure on total expenditure (12). This occurred simultaneously with a contraction in Gross Domestic Product (GDP) across almost every EU nation due to lockdowns and economic restrictions (13). Consequently, the average share of health spending in GDP rose significantly, increasing by 1 percentage point to 9.2% in 2020 across the EU.Beyond the immediate</w:t>
      </w:r>
    </w:p>
    <w:p>
      <w:pPr/>
      <w:r>
        <w:rPr>
          <w:b/>
        </w:rPr>
        <w:t>POSSIBLE 2026:</w:t>
      </w:r>
      <w:r>
        <w:t xml:space="preserve"> The impact of heat and cold events on direct, indirect, and intangible healthcare costs: a systematic review — https://doi.org/10.1007/s10198-026-01920-9</w:t>
      </w:r>
    </w:p>
    <w:p>
      <w:pPr/>
      <w:r>
        <w:rPr>
          <w:b/>
        </w:rPr>
        <w:t>Shared claim-specific concepts:</w:t>
      </w:r>
      <w:r>
        <w:t xml:space="preserve"> direct, healthcare, associated, million; EU scope not established. This is a provisional connection, not an outcome finding.</w:t>
      </w:r>
    </w:p>
    <w:p>
      <w:pPr>
        <w:pStyle w:val="SourceNote"/>
      </w:pPr>
      <w:r>
        <w:rPr>
          <w:b/>
        </w:rPr>
        <w:t>Available abstract (not full text):</w:t>
      </w:r>
      <w:r>
        <w:t xml:space="preserve"> BACKGROUND: Numerous studies have examined the effects of extreme temperatures on healthcare costs. However, most lack a detailed presentation of cost-related findings and often exclude cold-related effects. This systematic review provides a comprehensive overview of the economic burden associated with both heat- and cold-related temperature exposure. METHODS: Literature published between 2014 and 2024 in English or German was searched in Medline (via PubMed) and the Cochrane Library, supplemented by reference tracking and Internet searches. We included primary studies published in peer-reviewed journals. Two authors independently assessed eligibility and determined a methodological quality score for each included article. RESULTS: In total, 39 studies were included: 18 examined heat-related effects, another 18 analyzed combined heat- and cold-related effects, and 3 focused exclusively on cold-related effects. Furthermore, 18 studies focused on direct costs, 1 on indirect costs, 17 on intangible costs, and 3 on multiple cost types. Retrospective studies reported lower annual direct costs per 100,000 persons (mean €678,585; range €43,428–€2.06 million) than prospective studies (mean €1.13 million; range €14,433–€2.02 million). Indirect costs based on retrospective studies averaged €2,287 annually (range €72.75–€8,603), or 19.7 workdays lost per 100,000 persons. Intangible costs </w:t>
      </w:r>
    </w:p>
    <w:p>
      <w:pPr/>
      <w:r>
        <w:rPr>
          <w:b/>
        </w:rPr>
        <w:t>POSSIBLE 2025:</w:t>
      </w:r>
      <w:r>
        <w:t xml:space="preserve"> Comparative Analysis of Direct Costs of Cancer and Risk Factors in Europe — https://doi.org/10.24818/ejis.2025.03</w:t>
      </w:r>
    </w:p>
    <w:p>
      <w:pPr/>
      <w:r>
        <w:rPr>
          <w:b/>
        </w:rPr>
        <w:t>Shared claim-specific concepts:</w:t>
      </w:r>
      <w:r>
        <w:t xml:space="preserve"> direct, healthcare, associated; EU scope visible. This is a provisional connection, not an outcome finding.</w:t>
      </w:r>
    </w:p>
    <w:p>
      <w:pPr>
        <w:pStyle w:val="SourceNote"/>
      </w:pPr>
      <w:r>
        <w:rPr>
          <w:b/>
        </w:rPr>
        <w:t>Available abstract (not full text):</w:t>
      </w:r>
      <w:r>
        <w:t xml:space="preserve"> This study explores the direct costs and risk factors associated with cancer across European Union member states, emphasizing the economic and public health implications. A Cancer Risk Factors Index (CRFI) is developed to quantify and compare the impact of various determinants, including obesity, smoking, alcohol consumption, socioeconomic conditions, and pollution. Using data from Eurostat and other authoritative sources, we analyze the correlation between CRFI scores, healthcare expenditures, and cancer mortality rates. Results reveal significant disparities in cancer risk factors and healthcare investments across countries, with lower CRFI scores generally associated with higher healthcare spending and improved outcomes. The findings underscore the importance of comprehensive public health strategies and targeted interventions to address modifiable risk factors, reduce cancer-related mortality, and promote equitable healthcare access.</w:t>
      </w:r>
    </w:p>
    <w:p>
      <w:pPr/>
      <w:r>
        <w:rPr>
          <w:b/>
        </w:rPr>
        <w:t>POSSIBLE 2024:</w:t>
      </w:r>
      <w:r>
        <w:t xml:space="preserve"> Modelling costs of interventional pulmonary embolism treatment: implications of US trends for a European healthcare system — https://doi.org/10.1093/ehjacc/zuae019</w:t>
      </w:r>
    </w:p>
    <w:p>
      <w:pPr/>
      <w:r>
        <w:rPr>
          <w:b/>
        </w:rPr>
        <w:t>Shared claim-specific concepts:</w:t>
      </w:r>
      <w:r>
        <w:t xml:space="preserve"> healthcare, result, million; EU scope visible. This is a provisional connection, not an outcome finding.</w:t>
      </w:r>
    </w:p>
    <w:p>
      <w:pPr>
        <w:pStyle w:val="SourceNote"/>
      </w:pPr>
      <w:r>
        <w:rPr>
          <w:b/>
        </w:rPr>
        <w:t>Available abstract (not full text):</w:t>
      </w:r>
      <w:r>
        <w:t xml:space="preserve"> AIMS: Catheter-directed treatment (CDT) of acute pulmonary embolism (PE) is entering a growth phase in Europe following a steady increase in the USA in the past decade, but the potential economic impact on European healthcare systems remains unknown. METHODS AND RESULTS: We built two statistical models for the monthly trend of proportion of CDT among patients with severe (intermediate- or high-risk) PE in the USA. The conservative model was based on admission data from the National Inpatient Sample (NIS) 2016-20 and the model reflecting increasing access to advanced treatment from the PERT™ national quality assurance database registry 2018-21. By applying these models to the forecast of annual PE-related hospitalizations in Germany, we calculated the annual number of severe PE cases and the expected increase in CDT use for the period 2025-30. The NIS-based model yielded a slow increase, reaching 3.1% (95% confidence interval 3.0-3.2%) among all hospitalizations with PE in 2030; in the PERT-based model, increase would be steeper, reaching 8.7% (8.3-9.2%). Based on current reimbursement rates, we estimated an increase of annual costs for PE-related hospitalizations in Germany ranging from 15.3 to 49.8 million euros by 2030. This calculation does not account for potential cost savings, including those from reduced length of hospital stay. CONCLUSION: Our approach and results, whic</w:t>
      </w:r>
    </w:p>
    <w:p>
      <w:pPr/>
      <w:r>
        <w:rPr>
          <w:b/>
        </w:rPr>
        <w:t>POSSIBLE 2024:</w:t>
      </w:r>
      <w:r>
        <w:t xml:space="preserve"> Analysis of healthcare waste and factors affecting the amount of hazardous healthcare waste in a university hospital — https://doi.org/10.1007/s10163-024-01890-1</w:t>
      </w:r>
    </w:p>
    <w:p>
      <w:pPr/>
      <w:r>
        <w:rPr>
          <w:b/>
        </w:rPr>
        <w:t>Shared claim-specific concepts:</w:t>
      </w:r>
      <w:r>
        <w:t xml:space="preserve"> healthcare, amount, over; EU scope not established. This is a provisional connection, not an outcome finding.</w:t>
      </w:r>
    </w:p>
    <w:p>
      <w:pPr>
        <w:pStyle w:val="SourceNote"/>
      </w:pPr>
      <w:r>
        <w:rPr>
          <w:b/>
        </w:rPr>
        <w:t>Available abstract (not full text):</w:t>
      </w:r>
      <w:r>
        <w:t xml:space="preserve"> Abstract The ever-increasing amount of waste produced by the healthcare system is a growing burden worldwide. To effectively reduce waste, it is essential to know exactly what it is and to explore the factors influencing its amount. This study aims to analyze the amount of healthcare waste (HCW) and the change in that amount over time, as well as to explore and quantify the factors that influence hazardous healthcare waste (HHCW) in a university hospital. Descriptive statistical analysis, Spearman’s correlation and robust regression were performed to characterize the data. Our analysis revealed that the amount of HCW has been increased annually by 2.11%, and the generation rate ranges between 2.53 and 2.68 kg/bed/day. The amount of HHCW has increased by 20.19% over the 5-year period studied, with a generation rate varying between 1.13 and 1.31 kg/bed/day. It was found that surgical specialisms, anesthesiology and intensive care, and emergency patient care have higher rates of hazardous waste production. A significant positive correlation was found between the amount of hazardous waste and the incidence of healthcare-associated infections ( r = 0.704), and the number of diapers used by adults and children ( r = 0.555), whose significant predictive role was also confirmed by the robust regression.</w:t>
      </w:r>
    </w:p>
    <w:p>
      <w:pPr/>
      <w:r>
        <w:rPr>
          <w:b/>
        </w:rPr>
        <w:t>POSSIBLE 2024:</w:t>
      </w:r>
      <w:r>
        <w:t xml:space="preserve"> Costs of fracture-related infection: the impact on direct hospital costs and healthcare utilisation — https://doi.org/10.1007/s00068-024-02497-9</w:t>
      </w:r>
    </w:p>
    <w:p>
      <w:pPr/>
      <w:r>
        <w:rPr>
          <w:b/>
        </w:rPr>
        <w:t>Shared claim-specific concepts:</w:t>
      </w:r>
      <w:r>
        <w:t xml:space="preserve"> direct, healthcare, associated, reduction; EU scope visible. This is a provisional connection, not an outcome finding.</w:t>
      </w:r>
    </w:p>
    <w:p>
      <w:pPr>
        <w:pStyle w:val="SourceNote"/>
      </w:pPr>
      <w:r>
        <w:rPr>
          <w:b/>
        </w:rPr>
        <w:t>Available abstract (not full text):</w:t>
      </w:r>
      <w:r>
        <w:t xml:space="preserve"> PURPOSE: Fracture-Related Infection (FRI) is associated with high medical costs and prolonged healthcare utilization. However, limited data is available on the financial impact. The purpose of this study was to investigate the impact of FRI on direct hospital costs and healthcare utilization. METHODS: This was a retrospective cohort study in a level-1 trauma centre in the Netherlands. Patients ≥ 18 years, after open reduction and internal fixation of a long bone fracture between January 1st 2016 and November 1st 2021, were included. Exclusion criteria were Injury Severity Score (ISS) ≥ 16, indefinable data on costs or incomplete follow-up. Hospital costs related to fracture treatment were individually calculated based on procedure codes raised with a fixed percentage of overhead expenses, in line with hospital billing policies. RESULTS: In total, 246 patients were included with a median follow-up of 1 year (IQR 0.6-1.8). A total of 45 patients developed FRI, of whom 15 patients had an FRI recurrence. Compared to non-FRI patients, median hospital costs from an FRI patient without and with recurrence, were respectively three (3.1) and seven (7.6) times higher. Compared to non-FRI patients, increased costs in patients with FRI or recurrent FRI are due to respectively a fivefold or even tenfold prolonged length-of-stay, two or seven additional infection-related surgeries, and 21 or</w:t>
      </w:r>
    </w:p>
    <w:p>
      <w:pPr/>
      <w:r>
        <w:rPr>
          <w:b/>
        </w:rPr>
        <w:t>POSSIBLE 2024:</w:t>
      </w:r>
      <w:r>
        <w:t xml:space="preserve"> Differential healthcare direct costs of asthma and chronic rhinosinusitis with nasal polyps in Catalonia (Spain) — https://doi.org/10.4193/rhin24.147</w:t>
      </w:r>
    </w:p>
    <w:p>
      <w:pPr/>
      <w:r>
        <w:rPr>
          <w:b/>
        </w:rPr>
        <w:t>Shared claim-specific concepts:</w:t>
      </w:r>
      <w:r>
        <w:t xml:space="preserve"> direct, healthcare, associated, population; EU scope visible. This is a provisional connection, not an outcome finding.</w:t>
      </w:r>
    </w:p>
    <w:p>
      <w:pPr>
        <w:pStyle w:val="SourceNote"/>
      </w:pPr>
      <w:r>
        <w:rPr>
          <w:b/>
        </w:rPr>
        <w:t>Available abstract (not full text):</w:t>
      </w:r>
      <w:r>
        <w:t xml:space="preserve"> INTRODUCTION: This study compares the direct healthcare costs associated with asthma and chronic rhinosinusitis with nasal polyps (CRSwNP) from 2013 to 2017 in Catalonia (Spain) with a population control group without these conditions. METHODS: A population administrative database containing healthcare information was used. The database contained information on primary care, hospitalisations, and emergency care from 2013 to 2017 in Catalonia. The unit cost of each healthcare procedure was imputed using a complete list of public prices for primary care services, hospital, and speciality services. Differential costs were estimated using a finite mixture model. RESULTS: Individuals diagnosed with asthma or CRSwNP showed a higher incidence of comorbidities than the control group. Mean annual direct costs per patient were €1,102 for asthma, €1,612 for CRSwNP and €2,197 for those with both conditions. According to our estimations, differential costs were €162 - €274 for patients with asthma and €481 - €1,257 for patients with CRSwNP compared to the reference population. These costs were significantly higher when asthma and CRSwNP coexist and especially in their severe condition. CONCLUSION: This population-based study revealed that asthma and CRSwN are associated with great economic burdens for healthcare systems. These costs were significantly higher when comorbidity was present (as</w:t>
      </w:r>
    </w:p>
    <w:p>
      <w:pPr/>
      <w:r>
        <w:rPr>
          <w:b/>
        </w:rPr>
        <w:t>POSSIBLE 2024:</w:t>
      </w:r>
      <w:r>
        <w:t xml:space="preserve"> Direct healthcare costs of oral cancer: A retrospective study from a tertiary care center — https://doi.org/10.1016/j.jcms.2024.03.002</w:t>
      </w:r>
    </w:p>
    <w:p>
      <w:pPr/>
      <w:r>
        <w:rPr>
          <w:b/>
        </w:rPr>
        <w:t>Shared claim-specific concepts:</w:t>
      </w:r>
      <w:r>
        <w:t xml:space="preserve"> direct, healthcare, associated, population; EU scope visible. This is a provisional connection, not an outcome finding.</w:t>
      </w:r>
    </w:p>
    <w:p>
      <w:pPr>
        <w:pStyle w:val="SourceNote"/>
      </w:pPr>
      <w:r>
        <w:rPr>
          <w:b/>
        </w:rPr>
        <w:t>Available abstract (not full text):</w:t>
      </w:r>
      <w:r>
        <w:t xml:space="preserve"> The aim of this study was to retrospectively evaluate the direct costs of OSCC treatment and postsurgical surveillance in a tertiary hospital in northeast Italy. Sixty-three consecutive patients surgically treated for primitive OSCC at S. Orsola Hospital in Bologna (Italy) between January 2018 and January 2020 were analyzed. Billing records of the Emilia Romagna healthcare system and institutional costs were used to derive specific costs for the following clinical categories: operating theatre costs, intensive and ordinary hospitalization, radiotherapy, chemotherapy, postsurgical complications, visits, and examinations during the follow-up period. The study population comprised 17 OSCC patients classified at stage I, 14 at stage II, eight at stage III, and 24 at stage IV. The estimated mean total direct cost for OSCC treatment and postsurgical surveillance was €26 338.48 per patient (stage I: €10 733, stage II: €19 642.9, stage III: €30 361.4, stage IV: €39 957.2). An advanced diagnosis (stages III and IV), complex surgical procedure, and loco-regional recurrences resulted in variables that were significantly associated with a higher cost of OSCC treatment and postsurgical surveillance. Redirection of funds used for OSCC treatment to screening measures may be an effective strategy to improve overall health outcomes and optimize national health resources.</w:t>
      </w:r>
    </w:p>
    <w:p>
      <w:pPr/>
      <w:r>
        <w:rPr>
          <w:b/>
        </w:rPr>
        <w:t>POSSIBLE 2023:</w:t>
      </w:r>
      <w:r>
        <w:t xml:space="preserve"> DIRECT HOSPITAL COSTS PER CASE FOR PERIPROSTHETHIC HIP AND KNEE JOINT INFECTION IN EUROPE: A SYSTEMATIC REVIEW — https://doi.org/10.1302/1358-992x.2023.17.052</w:t>
      </w:r>
    </w:p>
    <w:p>
      <w:pPr/>
      <w:r>
        <w:rPr>
          <w:b/>
        </w:rPr>
        <w:t>Shared claim-specific concepts:</w:t>
      </w:r>
      <w:r>
        <w:t xml:space="preserve"> direct, healthcare, associated, population; EU scope visible. This is a provisional connection, not an outcome finding.</w:t>
      </w:r>
    </w:p>
    <w:p>
      <w:pPr>
        <w:pStyle w:val="SourceNote"/>
      </w:pPr>
      <w:r>
        <w:rPr>
          <w:b/>
        </w:rPr>
        <w:t>Available abstract (not full text):</w:t>
      </w:r>
      <w:r>
        <w:t xml:space="preserve"> Aim The number of periprosthetic joint infections (PJI) is increasing due to ageing population and increasing numbers of arthroplasty procedures and treatment is costly. Aim of the study was to analyze the direct healthcare costs of PJI in Europe for total hip arthroplasties (THA) and total knee arthroplasties (TKA). Method A systematic review in PubMed with search of direct costs of PJI in European countries was performed. Thereby the term cost* AND (infection OR PJI) AND (prosthesis OR knee OR hip OR “TKA” OR “THA” OR arthroplast*) was combined with each European country to detect relevant publications. Publications with definition of performed procedure and joint localization were included into further analysis. The mean value of direct healthcare cost was calculated for the respective joint and the respective operation performed. Results Screening revealed 1,274 eligible publications. After review of abstracts and full-texts n=11 manuscripts were included into final analysis (Figure 1). The mean combined direct hospital costs for revision for PJI after TKA and THA was 26,311€. Mean costs for revision procedures for PJI after TKA were 24,617€. Direct costs for TKA-PJI treated with debridement, antibiotics and implant retention (DAIR) were on average 10,121€. For two-stage revisions in knee arthroplasties total average costs were 30,829€. Referring to revision surgery for PJI</w:t>
      </w:r>
    </w:p>
    <w:p>
      <w:pPr/>
      <w:r>
        <w:rPr>
          <w:b/>
        </w:rPr>
        <w:t>POSSIBLE 2023:</w:t>
      </w:r>
      <w:r>
        <w:t xml:space="preserve"> Healthcare price transparency in North America and Europe — https://doi.org/10.1259/bjr.20230236</w:t>
      </w:r>
    </w:p>
    <w:p>
      <w:pPr/>
      <w:r>
        <w:rPr>
          <w:b/>
        </w:rPr>
        <w:t>Shared claim-specific concepts:</w:t>
      </w:r>
      <w:r>
        <w:t xml:space="preserve"> healthcare, result; EU scope visible. This is a provisional connection, not an outcome finding.</w:t>
      </w:r>
    </w:p>
    <w:p>
      <w:pPr>
        <w:pStyle w:val="SourceNote"/>
      </w:pPr>
      <w:r>
        <w:rPr>
          <w:b/>
        </w:rPr>
        <w:t>Available abstract (not full text):</w:t>
      </w:r>
      <w:r>
        <w:t xml:space="preserve"> Healthcare price transparency is an effort to inform patient decision-making, but also to decrease prices and their variation across healthcare systems for equivalent medical services. The initiative is meaningful only for medical services that are shoppable-such as imaging examinations-for which patients incur out-of-pocket costs. Therefore, several countries in which patients commonly share a portion of their healthcare costs have been implementing mandates to improve healthcare price transparency. However, the provisional implementation has many issues, especially in the United States, including provider non-compliance and limited accessibility of price transparency tools by the general public. Many of the existing tools are not user-friendly, are difficult to navigate, focus on charges and health plan negotiated rates rather than patients' out-of-pocket costs, and disclose prices on the service level instead of per episode of care. As such, the disclosed amounts are often not reliable. Many price transparency tools also lack valid and measurable quality metrics, which can result in a selection of high-cost care as a proxy for high-value care, as well as an increase in healthcare prices when providers want to imply they offer high-quality care. Nevertheless, the impact of the initiatives on patients' decision-making and healthcare costs remains unclear. While transparency in</w:t>
      </w:r>
    </w:p>
    <w:p>
      <w:pPr/>
      <w:r>
        <w:rPr>
          <w:b/>
        </w:rPr>
        <w:t>POSSIBLE 2023:</w:t>
      </w:r>
      <w:r>
        <w:t xml:space="preserve"> Direct healthcare costs of non-metastatic castration-resistant prostate cancer in Italy — https://doi.org/10.1017/s0266462322003336</w:t>
      </w:r>
    </w:p>
    <w:p>
      <w:pPr/>
      <w:r>
        <w:rPr>
          <w:b/>
        </w:rPr>
        <w:t>Shared claim-specific concepts:</w:t>
      </w:r>
      <w:r>
        <w:t xml:space="preserve"> direct, healthcare; EU scope visible. This is a provisional connection, not an outcome finding.</w:t>
      </w:r>
    </w:p>
    <w:p>
      <w:pPr>
        <w:pStyle w:val="SourceNote"/>
      </w:pPr>
      <w:r>
        <w:rPr>
          <w:b/>
        </w:rPr>
        <w:t>Available abstract (not full text):</w:t>
      </w:r>
      <w:r>
        <w:t xml:space="preserve"> OBJECTIVES: The management of non-metastatic castration-resistant prostate cancer (nmCRPC) is rapidly evolving; however, little is known about the direct healthcare costs of nmCRPC. We aimed to estimate the cost-of-illness (COI) of nmCRPC from the Italian National Health Service perspective. METHODS: Structured, individual qualitative interviews were carried out with clinical experts to identify what healthcare resources are consumed in clinical practice. To collect quantitative estimates of healthcare resource consumption, a structured expert elicitation was performed with clinical experts using a modified version of a previously validated interactive Excel-based tool, EXPLICIT (EXPert eLICItation Tool). For each parameter, experts were asked to provide the lowest, highest, and most likely value. Deterministic and probabilistic sensitivity analyses (PSA) were carried out to test the robustness of the results. RESULTS: Ten clinical experts were interviewed, and six of them participated in the expert elicitation exercise. According to the most likely estimate, the yearly cost per nmCRPC patient is €4,710 (range, €2,243 to €8,243). Diagnostic imaging (i.e., number/type of PET scans performed) had the highest impact on cost. The PSA showed a 50 percent chance for the yearly cost per nmCRPC patient to be within €5,048 using a triangular distribution for parameters, and similar resu</w:t>
      </w:r>
    </w:p>
    <w:p>
      <w:pPr>
        <w:pStyle w:val="Heading2"/>
      </w:pPr>
      <w:r>
        <w:t>948. Climate change, extreme weather events, air pollution and respiratory health in Europe</w:t>
      </w:r>
    </w:p>
    <w:p>
      <w:pPr>
        <w:pStyle w:val="SourceNote"/>
      </w:pPr>
      <w:r>
        <w:rPr>
          <w:b/>
        </w:rPr>
        <w:t>Original source (2013):</w:t>
      </w:r>
      <w:r>
        <w:t xml:space="preserve"> https://doi.org/10.1183/09031936.00074712</w:t>
      </w:r>
    </w:p>
    <w:p>
      <w:pPr/>
      <w:r>
        <w:t>Original wording (abstract; indexed_source_text_not_full_document_verified): Due to climate change and other factors, air pollution patterns are changing in several urbanised areas of the world, with a significant effect on respiratory health both independently and synergistically with weather conditions; climate scenarios show Europe as one of the most vulnerable regions.</w:t>
      </w:r>
    </w:p>
    <w:p>
      <w:pPr/>
      <w:r>
        <w:rPr>
          <w:b/>
        </w:rPr>
        <w:t>POSSIBLE 2026:</w:t>
      </w:r>
      <w:r>
        <w:t xml:space="preserve"> The temperature increase due to climate change will not favour Cydalima perspectalis in southern Europe — https://doi.org/10.1017/s0007485326100911</w:t>
      </w:r>
    </w:p>
    <w:p>
      <w:pPr/>
      <w:r>
        <w:rPr>
          <w:b/>
        </w:rPr>
        <w:t>Shared claim-specific concepts:</w:t>
      </w:r>
      <w:r>
        <w:t xml:space="preserve"> due, climate, patterns, conditions, show; EU scope visible. This is a provisional connection, not an outcome finding.</w:t>
      </w:r>
    </w:p>
    <w:p>
      <w:pPr>
        <w:pStyle w:val="SourceNote"/>
      </w:pPr>
      <w:r>
        <w:rPr>
          <w:b/>
        </w:rPr>
        <w:t>Available abstract (not full text):</w:t>
      </w:r>
      <w:r>
        <w:t xml:space="preserve"> Abstract Native boxwood across Europe has been destroyed by the invasive moth Cydalima perspectalis . To date, climatic conditions and natural enemies have not been able to contain the pests. Increases in temperature due to climate change (CC) may affect insect development and voltinism, with species-specific effects. Its spread across European countries indicates that the expansion of C. perspectalis is not limited by cold winters. However, in southern Europe, rising maximum temperatures can affect pests and their host plants. Despite this, the effects of high temperatures on herbivorous pests have been studied far less extensively than those of low temperatures. Our results show that elevated temperatures accelerate egg development but prolong larval development, reduce adult longevity and fertility, and substantially increase mortality across the egg, larval, and pupal stages. These findings indicate that spring–summer temperatures in the Mediterranean Basin are approaching the upper thermal limits of this species and that further warming is unlikely to facilitate its expansion in this region. Although high temperatures did not reduce diapause induction, they increased larval mortality, and field monitoring showed that altitude, more than thermal time, dominated the patterns of first-flight emergence. Habitat orientation (North or South) may further mediate pest–host coexist</w:t>
      </w:r>
    </w:p>
    <w:p>
      <w:pPr/>
      <w:r>
        <w:rPr>
          <w:b/>
        </w:rPr>
        <w:t>POSSIBLE 2026:</w:t>
      </w:r>
      <w:r>
        <w:t xml:space="preserve"> The obstacles and changes in Sino-European trade routes in the twenty-first century due to climate change and geopolitical risks — https://doi.org/10.1057/s41599-026-08607-9</w:t>
      </w:r>
    </w:p>
    <w:p>
      <w:pPr/>
      <w:r>
        <w:rPr>
          <w:b/>
        </w:rPr>
        <w:t>Shared claim-specific concepts:</w:t>
      </w:r>
      <w:r>
        <w:t xml:space="preserve"> due, climate, factors, areas; EU scope visible. This is a provisional connection, not an outcome finding.</w:t>
      </w:r>
    </w:p>
    <w:p>
      <w:pPr>
        <w:pStyle w:val="SourceNote"/>
      </w:pPr>
      <w:r>
        <w:rPr>
          <w:b/>
        </w:rPr>
        <w:t>Available abstract (not full text):</w:t>
      </w:r>
      <w:r>
        <w:t xml:space="preserve"> In the 21st century, global climate change and geopolitical risks are interconnected, presenting new challenges and influencing the trade dynamics between China and Europe. This paper investigates the effects of climate change and geopolitical risks on the trade route between China and Europe using bibliometric analysis and review. It seeks to identify potential trends in this trade path for the 21st century. Research indicates that, influenced by climate change and geopolitical factors, trade routes between China and Europe are transitioning from traditional single trade channels to multiple trade channels, such as the joint Arctic Northeast Passage and the China-Europe Railway Express. This process generates opportunities, including enhanced efficiency and stability in Sino-Europe trade, due to the development of new trade channels. However, it introduces difficulties, including unpredictability in climate change forecasts and weaknesses arising from geopolitical tensions. This compels China and Europe to take proactive measures. The melting of Arctic sea ice presents new commercial opportunities related to climate change. Consequently, the observed variations in navigable durations and ecological sensitivity have led China and Europe to implement proactive adaptation strategies. This includes collaborative ice monitoring networks and standardized green ship technology, desig</w:t>
      </w:r>
    </w:p>
    <w:p>
      <w:pPr/>
      <w:r>
        <w:rPr>
          <w:b/>
        </w:rPr>
        <w:t>POSSIBLE 2026:</w:t>
      </w:r>
      <w:r>
        <w:t xml:space="preserve"> The obstacles and changes in Sino-European trade routes in the twenty-first century due to climate change and geopolitical risks — https://doi.org/10.5281/zenodo.20018000</w:t>
      </w:r>
    </w:p>
    <w:p>
      <w:pPr/>
      <w:r>
        <w:rPr>
          <w:b/>
        </w:rPr>
        <w:t>Shared claim-specific concepts:</w:t>
      </w:r>
      <w:r>
        <w:t xml:space="preserve"> due, climate;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Extreme event attribution for heat-related mortality due to anthropogenic climate change across Europe — https://doi.org/10.1038/s44360-026-00193-z</w:t>
      </w:r>
    </w:p>
    <w:p>
      <w:pPr/>
      <w:r>
        <w:rPr>
          <w:b/>
        </w:rPr>
        <w:t>Shared claim-specific concepts:</w:t>
      </w:r>
      <w:r>
        <w:t xml:space="preserve"> due, climate, other, areas, significant, health; EU scope visible. This is a provisional connection, not an outcome finding.</w:t>
      </w:r>
    </w:p>
    <w:p>
      <w:pPr>
        <w:pStyle w:val="SourceNote"/>
      </w:pPr>
      <w:r>
        <w:rPr>
          <w:b/>
        </w:rPr>
        <w:t>Available abstract (not full text):</w:t>
      </w:r>
      <w:r>
        <w:t xml:space="preserve"> Heatwaves are intensifying under climate change and have become the leading cause of weather-related mortality in Europe. Here we present a novel methodology that combines extreme event attribution methods with epidemiological models to quantify how anthropogenic climate change has altered the likelihood of extreme heat-related mortality events in 34 European countries. We find that in Southern Europe, 2022-like heat-related mortality events were, on average, 26.5× more likely relative to the pre-industrial baseline, roughly ten times the European average. The probability of such events increases further as global warming intensifies, with the greatest, nonlinear increases occurring in Southern Europe. Our analysis reveals significant regional and demographic disparities in climate vulnerability, emphasizing the need for population-specific analyses to inform effective adaptation strategies, reducing the projected health burden. Unlike other approaches, our study demonstrates that using near-real-time, publicly available mortality data enables rapid health impact event attribution analyses across large areas. A method combining extreme event attribution with epidemiological models shows that extreme heat-related mortality events in Southern Europe are 26.5 times more likely than in pre-industrial times, with regional and demographic disparities.</w:t>
      </w:r>
    </w:p>
    <w:p>
      <w:pPr/>
      <w:r>
        <w:rPr>
          <w:b/>
        </w:rPr>
        <w:t>POSSIBLE 2025:</w:t>
      </w:r>
      <w:r>
        <w:t xml:space="preserve"> Assessing the Future Risk of Damage to European Cultural Heritage Due to Climate Change — https://doi.org/10.3390/heritage8050175</w:t>
      </w:r>
    </w:p>
    <w:p>
      <w:pPr/>
      <w:r>
        <w:rPr>
          <w:b/>
        </w:rPr>
        <w:t>Shared claim-specific concepts:</w:t>
      </w:r>
      <w:r>
        <w:t xml:space="preserve"> due, climate, significant, show; EU scope visible. This is a provisional connection, not an outcome finding.</w:t>
      </w:r>
    </w:p>
    <w:p>
      <w:pPr>
        <w:pStyle w:val="SourceNote"/>
      </w:pPr>
      <w:r>
        <w:rPr>
          <w:b/>
        </w:rPr>
        <w:t>Available abstract (not full text):</w:t>
      </w:r>
      <w:r>
        <w:t xml:space="preserve"> This study presents an integrated approach for assessing the risk of damage to cultural heritage due to climate change, applied to five selected European cultural sites. Future changes in climate parameters and indices associated with climate pressure on cultural heritage sites are analyzed using a set of EURO-CORDEX high-resolution Regional Climate Model (RCM) simulations under three different future emission scenarios (RCP2.6, RCP4.5, and RCP8.5). Our results are reported for three different time periods, 1971–2000 (reference period), and two future periods, 2021–2050 and 2071–2100. The aim of this study is to apply the Heritage Outdoor Microclimate (HMRout) and Predicted Risk of Damage (PRD) indices to quantify the risk of damage to inorganic materials resulting from future long-term changes in temperature and relative humidity (RH). Projections show a significant rise in temperature leading to increased HMRout values and higher heat stress across CH sites. The projected temperature increase results in a rise in HMRout index across all studied cultural heritage sites, with the rate of increase varying by period and scenario. Overall, as a result of the rising HMRout index, the predicted risk of damage to monuments made from inorganic materials due to heat stress is expected to increase. The PRD index is projected to increase by up to 87% in certain CH sites by the end of the</w:t>
      </w:r>
    </w:p>
    <w:p>
      <w:pPr/>
      <w:r>
        <w:rPr>
          <w:b/>
        </w:rPr>
        <w:t>POSSIBLE 2025:</w:t>
      </w:r>
      <w:r>
        <w:t xml:space="preserve"> Increased central and northern European summer heatwave intensity due to the forced changes in internal climate variability — https://doi.org/10.5194/egusphere-egu25-15386</w:t>
      </w:r>
    </w:p>
    <w:p>
      <w:pPr/>
      <w:r>
        <w:rPr>
          <w:b/>
        </w:rPr>
        <w:t>Shared claim-specific concepts:</w:t>
      </w:r>
      <w:r>
        <w:t xml:space="preserve"> due, climate, other, changing, significant, conditions; EU scope visible. This is a provisional connection, not an outcome finding.</w:t>
      </w:r>
    </w:p>
    <w:p>
      <w:pPr>
        <w:pStyle w:val="SourceNote"/>
      </w:pPr>
      <w:r>
        <w:rPr>
          <w:b/>
        </w:rPr>
        <w:t>Available abstract (not full text):</w:t>
      </w:r>
      <w:r>
        <w:t xml:space="preserve"> In the past two decades, the intensity of European summer heatwaves has strongly increased due to anthropogenic emissions and associated rising global mean temperatures. On the one hand, the anthropogenic forcing is causing an increase in European summer temperatures, shifting European summer temperature distributions towards warmer values and intensifying European summer heatwaves. On the other hand, the anthropogenic forcing is expected to affect the internal climate variability under global warming, changing the variability of European summer temperatures. While the effects of the forced changes in internal variability have been long debated for mean or maximum summer temperatures, the effects of the forced changes in internal variability on European summer heatwave intensity under increasing global warming levels remain unknown. Using four state-of-the-art global climate model large ensembles, we find that the forced changes in internal variability will intensify central and northern European summer heatwaves. In central and northern Europe, soil moisture is projected to decrease, leading to frequent moisture limitations, enhancing land-atmospheric feedback, and increasing heatwave intensity and variability. On the contrary, the forced changes in internal variability will weaken southern European summer heatwaves. Southern Europe is projected to face significant soil moistu</w:t>
      </w:r>
    </w:p>
    <w:p>
      <w:pPr/>
      <w:r>
        <w:rPr>
          <w:b/>
        </w:rPr>
        <w:t>POSSIBLE 2025:</w:t>
      </w:r>
      <w:r>
        <w:t xml:space="preserve"> Regional inequalities in air quality and health co-benefits due to climate change mitigation in the European electricity sector — https://doi.org/10.1007/s10584-024-03851-x</w:t>
      </w:r>
    </w:p>
    <w:p>
      <w:pPr/>
      <w:r>
        <w:rPr>
          <w:b/>
        </w:rPr>
        <w:t>Shared claim-specific concepts:</w:t>
      </w:r>
      <w:r>
        <w:t xml:space="preserve"> due, climate, air, health, vulnerable; EU scope visible. This is a provisional connection, not an outcome finding.</w:t>
      </w:r>
    </w:p>
    <w:p>
      <w:pPr>
        <w:pStyle w:val="SourceNote"/>
      </w:pPr>
      <w:r>
        <w:rPr>
          <w:b/>
        </w:rPr>
        <w:t>Available abstract (not full text):</w:t>
      </w:r>
      <w:r>
        <w:t xml:space="preserve"> Abstract Electricity supply transition to reach carbon neutrality in Europe is expected to bring air quality and health co-benefits, but their regional distribution has not been investigated in detail. This study quantifies these co-benefits for 250 European electricity scenarios in 2035 across 296 sub-national regions. The study links a spatially-explicit electricity sector model with an air quality and health impact model and then accounts for susceptibility and vulnerability of populations to adverse health effects. In case of low-carbon transition, direct PM2.5 concentrations attributable to European electricity generation in 2035 could be reduced by 45–99% compared to a system with the generation capacities of 2018. Depending on the system’s make-up, health co-benefits can vary significantly, as does their regional distribution. Focus on the minimum system costs leads to 15 times higher continent-wide excess deaths and to higher regional inequality than the scenario with minimum air pollutant emissions, which would almost entirely eliminate PM2.5-related mortality attributable to electricity generation. The most vulnerable regions (Balkans, Northern Germany, Southeast France, and the West Midlands in England) would benefit from higher air quality co-benefits than the continental average.</w:t>
      </w:r>
    </w:p>
    <w:p>
      <w:pPr/>
      <w:r>
        <w:rPr>
          <w:b/>
        </w:rPr>
        <w:t>POSSIBLE 2025:</w:t>
      </w:r>
      <w:r>
        <w:t xml:space="preserve"> EIP-AGRI Practice Abstract: A tool for identifying forest areas in Europe exposed to systematic stress due to climate change — https://doi.org/10.5281/zenodo.19743999</w:t>
      </w:r>
    </w:p>
    <w:p>
      <w:pPr/>
      <w:r>
        <w:rPr>
          <w:b/>
        </w:rPr>
        <w:t>Shared claim-specific concepts:</w:t>
      </w:r>
      <w:r>
        <w:t xml:space="preserve"> due, climate, areas; EU scope visible. This is a provisional connection, not an outcome finding.</w:t>
      </w:r>
    </w:p>
    <w:p>
      <w:pPr>
        <w:pStyle w:val="SourceNote"/>
      </w:pPr>
      <w:r>
        <w:rPr>
          <w:b/>
        </w:rPr>
        <w:t>Available abstract (not full text):</w:t>
      </w:r>
      <w:r>
        <w:t xml:space="preserve"> Forests are complex systems and their interaction with and response to climate change are very difficult to predict. Therefore, we use historical and current trends in forest biomass and productivity across Europe to identify areas at risk of natural disturbances or even forest loss.</w:t>
      </w:r>
    </w:p>
    <w:p>
      <w:pPr/>
      <w:r>
        <w:rPr>
          <w:b/>
        </w:rPr>
        <w:t>POSSIBLE 2025:</w:t>
      </w:r>
      <w:r>
        <w:t xml:space="preserve"> Increased Streamflow Intermittence in Europe Due To Climate Change Projected by Combining Global Hydrological Modeling and Machine Learning — https://doi.org/10.1029/2024ef005868</w:t>
      </w:r>
    </w:p>
    <w:p>
      <w:pPr/>
      <w:r>
        <w:rPr>
          <w:b/>
        </w:rPr>
        <w:t>Shared claim-specific concepts:</w:t>
      </w:r>
      <w:r>
        <w:t xml:space="preserve"> due, climate, both, conditions; EU scope visible. This is a provisional connection, not an outcome finding.</w:t>
      </w:r>
    </w:p>
    <w:p>
      <w:pPr>
        <w:pStyle w:val="SourceNote"/>
      </w:pPr>
      <w:r>
        <w:rPr>
          <w:b/>
        </w:rPr>
        <w:t>Available abstract (not full text):</w:t>
      </w:r>
      <w:r>
        <w:t xml:space="preserve"> Abstract Freshwater biodiversity and ecosystem services are under stress as climate change alters streamflow intermittence. We present the first continental‐scale quantification of future climate change impacts on streamflow intermittence, achieved for Europe at a high spatial resolution that captures headwater streams. A hybrid modeling approach combines physics‐based and data‐based modeling, with a random forest model, trained on historical streamflow observations, using predictors representing the impact of climate change on high‐resolution (500 m) streamflow. These predictors were derived from a low‐resolution (50 km) global hydrological model, WaterGAP, which was driven by the outputs of five global climate models. The generated monthly time series of intermittence status for over 1.5 million reaches were used to calculate five ecologically relevant indicators of streamflow intermittence change. In Europe, the number of non‐perennial reach‐months is projected to increase in the future, for both low (SSP1‐RCP2.6) and high (SSP5‐RCP8.5) greenhouse gas emissions scenarios, in almost all climate zones, particularly in August and September. Under SSP1‐RCP2.6, 3.8% of all reach‐months may experience no‐flow conditions in 2071–2100, only a small increase from 3.5% in 1985–2014. Under SSP5‐8.5, however, a larger increase to 4.8% of all reach‐months is expected; 2.8% of European re</w:t>
      </w:r>
    </w:p>
    <w:p>
      <w:pPr/>
      <w:r>
        <w:rPr>
          <w:b/>
        </w:rPr>
        <w:t>POSSIBLE 2024:</w:t>
      </w:r>
      <w:r>
        <w:t xml:space="preserve"> Groundwater stress in Europe—assessing uncertainties in future groundwater discharge alterations due to water abstractions and climate change — https://doi.org/10.3389/frwa.2024.1448625</w:t>
      </w:r>
    </w:p>
    <w:p>
      <w:pPr/>
      <w:r>
        <w:rPr>
          <w:b/>
        </w:rPr>
        <w:t>Shared claim-specific concepts:</w:t>
      </w:r>
      <w:r>
        <w:t xml:space="preserve"> due, climate, show; EU scope visible. This is a provisional connection, not an outcome finding.</w:t>
      </w:r>
    </w:p>
    <w:p>
      <w:pPr>
        <w:pStyle w:val="SourceNote"/>
      </w:pPr>
      <w:r>
        <w:rPr>
          <w:b/>
        </w:rPr>
        <w:t>Available abstract (not full text):</w:t>
      </w:r>
      <w:r>
        <w:t xml:space="preserve"> Groundwater sustains human well-being and ecosystems functioning. Many regions in Europe have experienced declining groundwater levels caused by decreasing groundwater recharge (GWR) or increasing groundwater abstractions (GWAs). These changes can lead to groundwater-related stress, threatening ecosystems and water supplies. Existing groundwater stress indicators estimate stress during a given period but do not address how stress changes or show the uncertainty of future stress. We propose a novel indicator of future groundwater stress (GWSI) due to changes in GWR and GWA and, thus, the alteration of long-term mean annual groundwater discharge (GWD). Groundwater stress is defined as any alteration in GWD since ecosystems are adapted to an equilibrium state. Focusing on decreasing GWD, which is generally more harmful than increasing GWD, we quantified the future GWSI in Europe by integrating scenarios of GWR and GWA in 2070–2099. GWR was evaluated using an ISIMIP2b multi-model ensemble of eight global hydrological models driven by the output of four global climate models under two greenhouse gas emission scenarios. GWA scenarios for irrigation, domestic and manufacturing sectors were combined with the GWR projections to generate an ensemble of GWSIs, simplified into three groundwater stress scenarios (high, intermediate, low). Projected GWSIs vary significantly among the scenari</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due, climate, other, effect, health, show;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2023:</w:t>
      </w:r>
      <w:r>
        <w:t xml:space="preserve"> Advanced mycotoxin control and decontamination techniques in view of an increased aflatoxin risk in Europe due to climate change — https://doi.org/10.3389/fmicb.2022.1085891</w:t>
      </w:r>
    </w:p>
    <w:p>
      <w:pPr/>
      <w:r>
        <w:rPr>
          <w:b/>
        </w:rPr>
        <w:t>Shared claim-specific concepts:</w:t>
      </w:r>
      <w:r>
        <w:t xml:space="preserve"> due, climate, factors, health, both; EU scope visible. This is a provisional connection, not an outcome finding.</w:t>
      </w:r>
    </w:p>
    <w:p>
      <w:pPr>
        <w:pStyle w:val="SourceNote"/>
      </w:pPr>
      <w:r>
        <w:rPr>
          <w:b/>
        </w:rPr>
        <w:t>Available abstract (not full text):</w:t>
      </w:r>
      <w:r>
        <w:t xml:space="preserve"> spp. found in staple food and feed commodities worldwide. Aflatoxins are carcinogenic, teratogenic, and mutagenic, and pose a serious threat to the health of both humans and animals. The global economy and trade are significantly affected as well. Various models and datasets related to aflatoxins in maize have been developed and used but have not yet been linked. The prevention of crop loss due to aflatoxin contamination is complex and challenging. Hence, the set-up of advanced decontamination is crucial to cope with the challenge of climate change, growing population, unstable political scenarios, and food security problems also in European countries. After harvest, decontamination methods can be applied during transport, storage, or processing, but their application for aflatoxin reduction is still limited. Therefore, this review aims to investigate the effects of environmental factors on aflatoxin production because of climate change and to critically discuss the present-day and novel decontamination techniques to unravel gaps and limitations to propose them as a tool to tackle an increased aflatoxin risk in Europe.</w:t>
      </w:r>
    </w:p>
    <w:p>
      <w:pPr>
        <w:pStyle w:val="Heading2"/>
      </w:pPr>
      <w:r>
        <w:t>949. Comments: The Long-Term Outlook</w:t>
      </w:r>
    </w:p>
    <w:p>
      <w:pPr>
        <w:pStyle w:val="SourceNote"/>
      </w:pPr>
      <w:r>
        <w:rPr>
          <w:b/>
        </w:rPr>
        <w:t>Original source (2013):</w:t>
      </w:r>
      <w:r>
        <w:t xml:space="preserve"> https://doi.org/10.2118/0113-0018-jpt</w:t>
      </w:r>
    </w:p>
    <w:p>
      <w:pPr/>
      <w:r>
        <w:t>Original wording (abstract; indexed_source_text_not_full_document_verified): Here are some of the significant findings from the report: Energy demand in developing nations will rise 65% by 2040, reflecting growing prosperity and expanding economies. ExxonMobil forecasts that global energy consumption will rise 35% by 2040, primarily in China and India.</w:t>
      </w:r>
    </w:p>
    <w:p>
      <w:pPr/>
      <w:r>
        <w:rPr>
          <w:b/>
        </w:rPr>
        <w:t>POSSIBLE 2025:</w:t>
      </w:r>
      <w:r>
        <w:t xml:space="preserve"> Still Here — https://doi.org/10.7146/ageculturehumanities.v8i.141931</w:t>
      </w:r>
    </w:p>
    <w:p>
      <w:pPr/>
      <w:r>
        <w:rPr>
          <w:b/>
        </w:rPr>
        <w:t>Shared claim-specific concepts:</w:t>
      </w:r>
      <w:r>
        <w:t xml:space="preserve"> here, significant, findings; EU scope not established. This is a provisional connection, not an outcome finding.</w:t>
      </w:r>
    </w:p>
    <w:p>
      <w:pPr>
        <w:pStyle w:val="SourceNote"/>
      </w:pPr>
      <w:r>
        <w:rPr>
          <w:b/>
        </w:rPr>
        <w:t>Available abstract (not full text):</w:t>
      </w:r>
      <w:r>
        <w:t xml:space="preserve"> Following the completion of a clinical research project assessing music therapy for home-dwelling people with dementia and their significant other, we developed an interactive photo exhibition, “Still here,” that was launched on World Alzheimer´s Day, September 21st, 2021, in the city center of Bergen. We aimed to communicate to the local citizens how music may facilitate experiences of positive identity and relational mutuality for people with dementia and their significant others. Stereotypes about loss and decline still characterize the mainstream discourse of dementia. Myths, misconceptions, and stigma are associated with dementia and have a significant impact on the people who live with the condition. We aimed to portray a different narrative of dementia to the public, a narrative of resilience and creative capacity—and, in so doing, to knowingly recuperate and communicate the idea of psychological resilience in contradistinction to the neoliberal constructions of this concept. We intended to reflect a perspective closer to how individuals describe or experience living with dementia. This paper tells the story of how the exhibition was developed to disseminate the findings of our research project, elaborating on the challenges current narratives on dementia present in our field and how the photographs became narrators of another story of dementia.</w:t>
      </w:r>
    </w:p>
    <w:p>
      <w:pPr/>
      <w:r>
        <w:rPr>
          <w:b/>
        </w:rPr>
        <w:t>POSSIBLE 2025:</w:t>
      </w:r>
      <w:r>
        <w:t xml:space="preserve"> Synonymous but Significant: New Findings of Pathological Variants in Hermansky–Pudlak Syndrome — https://doi.org/10.1111/pcmr.13221</w:t>
      </w:r>
    </w:p>
    <w:p>
      <w:pPr/>
      <w:r>
        <w:rPr>
          <w:b/>
        </w:rPr>
        <w:t>Shared claim-specific concepts:</w:t>
      </w:r>
      <w:r>
        <w:t xml:space="preserve"> here, significant, findings, expanding; EU scope not established. This is a provisional connection, not an outcome finding.</w:t>
      </w:r>
    </w:p>
    <w:p>
      <w:pPr>
        <w:pStyle w:val="SourceNote"/>
      </w:pPr>
      <w:r>
        <w:rPr>
          <w:b/>
        </w:rPr>
        <w:t>Available abstract (not full text):</w:t>
      </w:r>
      <w:r>
        <w:t xml:space="preserve"> Hermansky-Pudlak syndrome (HPS) is a rare autosomal recessive disorder characterized by oculocutaneous albinism and systemic complications, including bleeding tendencies. While 11 genes associated with HPS have been identified, cases of HPS5 remain exceedingly rare, particularly in Japan. Here, we report two Japanese patients with novel pathological HPS5 variants, expanding the genetic spectrum of this disorder. Both patients exhibited typical features of mild skin and hair hypopigmentation, and significant ocular involvement. Genetic analysis revealed a heterozygous nonsense variant, NG_008877.1 (NM_181507.2): c.2275G&gt;T, in both patients, inherited from their fathers. Additionally, maternal variants NG_008877.1 (NM_181507.2): c.2952-13G&gt;A and NG_008877.1 (NM_181507.2): c.1128A&gt;G were identified in patient 1 and patient 2, respectively. These variants, initially presumed non-pathogenic, were found to induce alternative splicing, leading to truncated protein production. Our findings highlight the functional importance of synonymous variants and their potential role in HPS. This report represents the first documented case of a synonymous pathogenic variant associated with HPS and underscores the need for comprehensive genetic and transcriptomic analyses in rare genetic disorders.</w:t>
      </w:r>
    </w:p>
    <w:p>
      <w:pPr/>
      <w:r>
        <w:rPr>
          <w:b/>
        </w:rPr>
        <w:t>POSSIBLE 2024:</w:t>
      </w:r>
      <w:r>
        <w:t xml:space="preserve"> Developing a relational approach to energy demand: A methodological and conceptual guide — https://doi.org/10.1016/j.erss.2024.103441</w:t>
      </w:r>
    </w:p>
    <w:p>
      <w:pPr/>
      <w:r>
        <w:rPr>
          <w:b/>
        </w:rPr>
        <w:t>Shared claim-specific concepts:</w:t>
      </w:r>
      <w:r>
        <w:t xml:space="preserve"> energy, developing, reflecting; EU scope not established. This is a provisional connection, not an outcome finding.</w:t>
      </w:r>
    </w:p>
    <w:p>
      <w:pPr>
        <w:pStyle w:val="SourceNote"/>
      </w:pPr>
      <w:r>
        <w:rPr>
          <w:b/>
        </w:rPr>
        <w:t>Available abstract (not full text):</w:t>
      </w:r>
      <w:r>
        <w:t xml:space="preserve"> In a recent review of research on the role of social relations in shaping energy demand, authors documented increasing interest in relational approaches to energy [1]. Relational approaches to energy conceive of human behaviour as produced and reproduced by social relations and interactions, placing relationships at the centre of inquiry, as well as understanding these relationships in the context of infrastructure and the built environment. In this paper, we build on a relational approach in new economic sociology, and on our research project about the social relations of energy retrofit, to offer a methodological and conceptual guide to those working on energy demand topics. We detail the ontological and epistemological starting points of our relational approach, and articulate how research can be designed to capture the role of social relations in shaping decision-making on energy, as well as to offer innovative insights for policy-makers and practitioners. We use our experience in a research project on energy retrofit as a case study, reflecting on the practical aspects of this research approach to provide suggestions for research design for those interested in doing similar work. This includes defining key concepts and the way they interact in a conceptual framework for a relational approach to energy. We also offer some conceptually driven research questions as a starting</w:t>
      </w:r>
    </w:p>
    <w:p>
      <w:pPr/>
      <w:r>
        <w:rPr>
          <w:b/>
        </w:rPr>
        <w:t>POSSIBLE 2023:</w:t>
      </w:r>
      <w:r>
        <w:t xml:space="preserve"> Energy Demand and Energy Efficiency in Developing Countries — https://doi.org/10.3390/en16031056</w:t>
      </w:r>
    </w:p>
    <w:p>
      <w:pPr/>
      <w:r>
        <w:rPr>
          <w:b/>
        </w:rPr>
        <w:t>Shared claim-specific concepts:</w:t>
      </w:r>
      <w:r>
        <w:t xml:space="preserve"> here, energy, developing; EU scope not established. This is a provisional connection, not an outcome finding.</w:t>
      </w:r>
    </w:p>
    <w:p>
      <w:pPr>
        <w:pStyle w:val="SourceNote"/>
      </w:pPr>
      <w:r>
        <w:rPr>
          <w:b/>
        </w:rPr>
        <w:t>Available abstract (not full text):</w:t>
      </w:r>
      <w:r>
        <w:t xml:space="preserve"> This paper investigates relative aggregate energy efficiency for a panel of 39 developing countries by econometrically estimating an energy-demand function (EDF) using the stochastic frontier analysis (SFA) approach to provide relative energy efficiency scores over the period 1989 to 2008. Energy efficiency is arguably difficult to define or even conceptualise with several interpretations in the literature but here it is based on an economists’ perspective of efficiency. Hence, the estimates of ‘true’ energy efficiency found in the paper using this approach approximate the economically efficient use of energy capturing both technical and allocative efficiency and the results confirm that energy intensity should not be considered as a de facto standard indicator of energy efficiency. While, by controlling for a range of socio-economic factors, the measurements of energy efficiency obtained by the analysis are deemed more appropriate and hence it is argued that this analysis should be undertaken to avoid potentially misleading advice to policy makers. This study contributes to the literature since it is, as far as is known, the first attempt to apply the benchmarking parametric stochastic frontier technique to econometrically estimate energy efficiency for a large panel of only developing counties around the world. Moreover, the results from such analysis are arguably particularl</w:t>
      </w:r>
    </w:p>
    <w:p>
      <w:pPr/>
      <w:r>
        <w:rPr>
          <w:b/>
        </w:rPr>
        <w:t>POSSIBLE 2023:</w:t>
      </w:r>
      <w:r>
        <w:t xml:space="preserve"> Energy Demand Forecasting and Optimizing Electric Systems for Developing Countries — https://doi.org/10.1109/access.2023.3250110</w:t>
      </w:r>
    </w:p>
    <w:p>
      <w:pPr/>
      <w:r>
        <w:rPr>
          <w:b/>
        </w:rPr>
        <w:t>Shared claim-specific concepts:</w:t>
      </w:r>
      <w:r>
        <w:t xml:space="preserve"> energy, developing, consumption; EU scope not established. This is a provisional connection, not an outcome finding.</w:t>
      </w:r>
    </w:p>
    <w:p>
      <w:pPr>
        <w:pStyle w:val="SourceNote"/>
      </w:pPr>
      <w:r>
        <w:rPr>
          <w:b/>
        </w:rPr>
        <w:t>Available abstract (not full text):</w:t>
      </w:r>
      <w:r>
        <w:t xml:space="preserve"> Currently, developing countries are experiencing a massive shift toward industrialization. Developing countries lack the technical sophistication and infrastructure to encourage low-carbon and sustainable economic growth because of weak public awareness, regulations, and technology. Developing countries must plan the industrialization process for maximum energy efficiency of production, thereby reducing their CO2emissions significantly by increasing energy efficiency. This paper attempts to review the current pragmatic methods for forecasting the future load demands from minutes to years ahead in developing countries, following the Preferred Reporting Items for Systematic review and Meta-Analysis Protocols (PRISMA-P). Our primary focus is to provide an optimal forecasting model selection strategy for potential researchers and forecasters. Based on the strengths and weaknesses of the different models, we will discuss the most suitable methods to tailor them to multiple applications and scenarios of load forecasting. The comparison elements are Forecast horizons, Spatio-temporal resolutions, factors affecting the load, different dimensional reduction techniques, model complexity analysis, and the MAPE for error analysis. From the results, We have found ANN hybridized with meta-heuristic techniques to be superior in most of the analysis cases. ANN’s ability to handle non-linear da</w:t>
      </w:r>
    </w:p>
    <w:p>
      <w:pPr/>
      <w:r>
        <w:rPr>
          <w:b/>
        </w:rPr>
        <w:t>POSSIBLE 2023:</w:t>
      </w:r>
      <w:r>
        <w:t xml:space="preserve"> Swarming self-adhesive microgels enabled aneurysm on-demand embolization in physiological blood flow — https://doi.org/10.1126/sciadv.adf9278</w:t>
      </w:r>
    </w:p>
    <w:p>
      <w:pPr/>
      <w:r>
        <w:rPr>
          <w:b/>
        </w:rPr>
        <w:t>Shared claim-specific concepts:</w:t>
      </w:r>
      <w:r>
        <w:t xml:space="preserve"> here, significant, rise; EU scope not established. This is a provisional connection, not an outcome finding.</w:t>
      </w:r>
    </w:p>
    <w:p>
      <w:pPr>
        <w:pStyle w:val="SourceNote"/>
      </w:pPr>
      <w:r>
        <w:rPr>
          <w:b/>
        </w:rPr>
        <w:t>Available abstract (not full text):</w:t>
      </w:r>
      <w:r>
        <w:t xml:space="preserve"> The recent rise of swarming microrobotics offers great promise in the revolution of minimally invasive embolization procedure for treating aneurysm. However, targeted embolization treatment of aneurysm using microrobots has significant challenges in the delivery capability and filling controllability. Here, we develop an interventional catheterization-integrated swarming microrobotic platform for aneurysm on-demand embolization in physiological blood flow. A pH-responsive self-healing hydrogel doped with magnetic and imaging agents is developed as the embolic microgels, which enables long-term self-adhesion under biological condition in a controllable manner. The embolization strategy is initiated by catheter-assisted deployment of swarming microgels, followed by the application of external magnetic field for targeted aggregation of microrobots into aneurysm sac under the real-time guidance of ultrasound and fluoroscopy imaging. Mild acidic stimulus is applied to trigger the welding of microgels with satisfactory bio-/hemocompatibility and physical stability and realize complete embolization. Our work presents a promising connection between the design and control of microrobotic swarms toward practical applications in dynamic environments.</w:t>
      </w:r>
    </w:p>
    <w:p>
      <w:pPr/>
      <w:r>
        <w:rPr>
          <w:b/>
        </w:rPr>
        <w:t>POSSIBLE 2021:</w:t>
      </w:r>
      <w:r>
        <w:t xml:space="preserve"> “They Belong Here” — https://doi.org/10.4103/cs.cs_13_21</w:t>
      </w:r>
    </w:p>
    <w:p>
      <w:pPr/>
      <w:r>
        <w:rPr>
          <w:b/>
        </w:rPr>
        <w:t>Shared claim-specific concepts:</w:t>
      </w:r>
      <w:r>
        <w:t xml:space="preserve"> here, significant, findings, growing; EU scope visible. This is a provisional connection, not an outcome finding.</w:t>
      </w:r>
    </w:p>
    <w:p>
      <w:pPr>
        <w:pStyle w:val="SourceNote"/>
      </w:pPr>
      <w:r>
        <w:rPr>
          <w:b/>
        </w:rPr>
        <w:t>Available abstract (not full text):</w:t>
      </w:r>
      <w:r>
        <w:t xml:space="preserve"> Reintegrating wolves in human-dominated landscapes constitutes a significant conservation challenge. After decades of studying human-wolf interactions through a conflict lens, there is growing recognition that more nuanced perspectives are needed. However, this recognition has hitherto yielded few practical changes, and few have studied what underpins successful coexistence. Here we show that disproportionate focus on and resource allocation to conflict within conservation programmes risks undermining existing convivial relationships with large carnivores. Using a coexistence lens, we studied human-wolf interactions in Sanabria-La Carballeda in Spain; the region has one of the highest densities of wolves in Europe. We explored the underlying social and ecological conditions that have permitted both wolves and people to persist in the area, studied the mutual impacts, and surveyed how interactions are influenced by broader socio-economic processes. The findings of this novel approach to studying human-wildlife interactions elucidates how areas of functional coexistence have been neglected in policy, leaving them vulnerable to depopulation, low agricultural profitability, and the loss of biocultural diversity. When institutions fail to support functional coexistence, we risk losing the knowledge, the traditions and the trust of those who have sustained Europe's large carnivores, </w:t>
      </w:r>
    </w:p>
    <w:p>
      <w:pPr/>
      <w:r>
        <w:rPr>
          <w:b/>
        </w:rPr>
        <w:t>POSSIBLE 2021:</w:t>
      </w:r>
      <w:r>
        <w:t xml:space="preserve"> A model of energy poverty and access: Estimating household electricity demand and appliance ownership — https://doi.org/10.1016/j.eneco.2021.105266</w:t>
      </w:r>
    </w:p>
    <w:p>
      <w:pPr/>
      <w:r>
        <w:rPr>
          <w:b/>
        </w:rPr>
        <w:t>Shared claim-specific concepts:</w:t>
      </w:r>
      <w:r>
        <w:t xml:space="preserve"> here, energy, developing, nations, rise; EU scope not established. This is a provisional connection, not an outcome finding.</w:t>
      </w:r>
    </w:p>
    <w:p>
      <w:pPr>
        <w:pStyle w:val="SourceNote"/>
      </w:pPr>
      <w:r>
        <w:rPr>
          <w:b/>
        </w:rPr>
        <w:t>Available abstract (not full text):</w:t>
      </w:r>
      <w:r>
        <w:t xml:space="preserve"> In countries that have a large share of population in energy poverty, appliance and electricity demand can be expected to rise. Approaches to estimate latent demand of energy poor populations often assume a constant income elasticity of demand. Here, we develop a novel simulation-based structural estimation approach to estimate responsiveness of electricity demand to income accounting for non-linearities, and considering other important drivers. We apply the model using micro-data for four developing nations to assess the implications of policy scenarios for achieving the Sustainable Development Goal SDG 7 under different socio-economic futures. We find that under scenarios that include policies to achieve universal access to electricity, total electricity demand is higher but the average per capita is lower than in no access policy futures. We also find that the level of adoption of electrical appliances varies significantly by country, appliance type, climate and income, with a high and stable share of electricity used for entertainment in all four countries and socio-economic futures. However, the share of electricity used for food preservation and preparation and clothes maintenance rises significantly with income as people are able to afford appliances that provide greater convenience. Our results confirm that as energy poor populations gain access to electricity services </w:t>
      </w:r>
    </w:p>
    <w:p>
      <w:pPr/>
      <w:r>
        <w:rPr>
          <w:b/>
        </w:rPr>
        <w:t>POSSIBLE 2020:</w:t>
      </w:r>
      <w:r>
        <w:t xml:space="preserve"> Demand for Crop Insurance in Developing Countries: New Evidence from India — https://doi.org/10.1111/1477-9552.12403</w:t>
      </w:r>
    </w:p>
    <w:p>
      <w:pPr/>
      <w:r>
        <w:rPr>
          <w:b/>
        </w:rPr>
        <w:t>Shared claim-specific concepts:</w:t>
      </w:r>
      <w:r>
        <w:t xml:space="preserve"> developing, india; EU scope not established. This is a provisional connection, not an outcome finding.</w:t>
      </w:r>
    </w:p>
    <w:p>
      <w:pPr>
        <w:pStyle w:val="SourceNote"/>
      </w:pPr>
      <w:r>
        <w:rPr>
          <w:b/>
        </w:rPr>
        <w:t>Available abstract (not full text):</w:t>
      </w:r>
      <w:r>
        <w:t xml:space="preserve"> Determining farmers' real demand for crop insurance is difficult, especially in developing countries, where there is a lack of formal financial sector integration and a high reliance on informal risk mitigation options. We provide some new estimates of farmers' willingness-to-pay for insurance in the context of a large-scale subsidised programme in India. We conducted a discrete choice experiment with agricultural households across four states in India, enabling us to estimate preferences for specific insurance policy attributes such as coverage period, method of loss assessment, timing of indemnity payments and the cost of insurance. Our results suggest that farmers do value crop insurance under certain conditions and some are willing to pay a premium for such coverage in excess of the subsidised rates they are currently required to pay under this programme. In particular, farmers value the assurances that they will receive timely payouts when they incur losses, and may not have a strong preference for the method with which losses are assessed. On the other hand, farmers are quite sensitive to coverage periods. Our baseline assessment shows that when optimised to farmer requirements, there can be a sizeable demand for crop insurance by developing country farmers.</w:t>
      </w:r>
    </w:p>
    <w:p>
      <w:pPr/>
      <w:r>
        <w:rPr>
          <w:b/>
        </w:rPr>
        <w:t>POSSIBLE 2020:</w:t>
      </w:r>
      <w:r>
        <w:t xml:space="preserve"> Smart Flexible Electronics‐Integrated Wound Dressing for Real‐Time Monitoring and On‐Demand Treatment of Infected Wounds — https://doi.org/10.1002/advs.201902673</w:t>
      </w:r>
    </w:p>
    <w:p>
      <w:pPr/>
      <w:r>
        <w:rPr>
          <w:b/>
        </w:rPr>
        <w:t>Shared claim-specific concepts:</w:t>
      </w:r>
      <w:r>
        <w:t xml:space="preserve"> here, developing; EU scope not established. This is a provisional connection, not an outcome finding.</w:t>
      </w:r>
    </w:p>
    <w:p>
      <w:pPr>
        <w:pStyle w:val="SourceNote"/>
      </w:pPr>
      <w:r>
        <w:rPr>
          <w:b/>
        </w:rPr>
        <w:t>Available abstract (not full text):</w:t>
      </w:r>
      <w:r>
        <w:t xml:space="preserve"> As the most frequent wound complication, infection has become a major clinical challenge in wound management. To overcome the "Black Box" status of the wound-healing process, next-generation wound dressings with the abilities of real-time monitoring, diagnosis during early stages, and on-demand therapy has attracted considerable attention. Here, by combining the emerging development of bioelectronics, a smart flexible electronics-integrated wound dressing with a double-layer structure, the upper layer of which is polydimethylsiloxane-encapsulated flexible electronics integrated with a temperature sensor and ultraviolet (UV) light-emitting diodes, and the lower layer of which is a UV-responsive antibacterial hydrogel, is designed. This dressing is expected to provide early infection diagnosis via real-time wound-temperature monitoring by the integrated sensor and on-demand infection treatment by the release of antibiotics from the hydrogel by in situ UV irradiation. The integrated system possesses good flexibility, excellent compatibility, and high monitoring sensitivity and durability. Animal experiment results demonstrate that the integrated system is capable of monitoring wound status in real time, detecting bacterial infection and providing effective treatment on the basis of need. This proof-of-concept research holds great promise in developing new strategies to significant</w:t>
      </w:r>
    </w:p>
    <w:p>
      <w:pPr/>
      <w:r>
        <w:rPr>
          <w:b/>
        </w:rPr>
        <w:t>POSSIBLE 2020:</w:t>
      </w:r>
      <w:r>
        <w:t xml:space="preserve"> Importance of General Physical Examination in Avoiding Oversight of Significant Clinical Findings — https://openalex.org/W3009573679</w:t>
      </w:r>
    </w:p>
    <w:p>
      <w:pPr/>
      <w:r>
        <w:rPr>
          <w:b/>
        </w:rPr>
        <w:t>Shared claim-specific concepts:</w:t>
      </w:r>
      <w:r>
        <w:t xml:space="preserve"> here, significant, findings; EU scope not established. This is a provisional connection, not an outcome finding.</w:t>
      </w:r>
    </w:p>
    <w:p>
      <w:pPr>
        <w:pStyle w:val="SourceNote"/>
      </w:pPr>
      <w:r>
        <w:rPr>
          <w:b/>
        </w:rPr>
        <w:t>Available abstract (not full text):</w:t>
      </w:r>
      <w:r>
        <w:t xml:space="preserve"> General Physical Examination skills are gradually fading away from clinical practice, ever since the advent of technological advancements. Bedside learning is shifting to classrooms, increasing the reliance on diagnostic reports and decreasing the quality of personalised medical care. An efficient clinical examination is essential in all medicos, from medical students to practising doctors to avoid missed or delayed diagnosis or treatment. Here, we present the case of a patient of pilonidal sinus in whom a large hairy mole was initially missed due to omission of proper GPE.</w:t>
      </w:r>
    </w:p>
    <w:p>
      <w:pPr/>
      <w:r>
        <w:rPr>
          <w:b/>
        </w:rPr>
        <w:t>POSSIBLE 2019:</w:t>
      </w:r>
      <w:r>
        <w:t xml:space="preserve"> Travel demand modeling for developing countries — https://doi.org/10.25669/e9jn-xt5w</w:t>
      </w:r>
    </w:p>
    <w:p>
      <w:pPr/>
      <w:r>
        <w:rPr>
          <w:b/>
        </w:rPr>
        <w:t>Shared claim-specific concepts:</w:t>
      </w:r>
      <w:r>
        <w:t xml:space="preserve"> significant, developing, primarily; EU scope not established. This is a provisional connection, not an outcome finding.</w:t>
      </w:r>
    </w:p>
    <w:p>
      <w:pPr>
        <w:pStyle w:val="SourceNote"/>
      </w:pPr>
      <w:r>
        <w:rPr>
          <w:b/>
        </w:rPr>
        <w:t>Available abstract (not full text):</w:t>
      </w:r>
      <w:r>
        <w:t xml:space="preserve"> The transportation planning process or travel demand forecasting process which is most commonly used at present, called the Urban Transportation Planning Process (UTPP), has its origins in studies performed about three decades ago in urban areas in the United States. This conventional planning process was designed primarily for the western/developed world where affordability and accessibility to a personal automobile is a common feature; The UTPP based models used in forecasting future travel demand rely heavily on socio-economic variables that are associated with an individual's propensity to travel. The socio-economic environments in the developing and the under-developed world are different from that prevailing in the developed world. Many urban areas in the third-world contain a mix of ethnic groups or households with structural differences in income and social characteristics. Thus, a direct application of the methodology of the UTPP may not be relevant to developing countries in third world settings; The main objectives of this research are to study the travel characteristics and sensitivity of key factors affecting travel demand of the people in the third world and to develop a framework that allows for the treatment of different groups based on one or more socio-economic features, such as income, household size etc; Trip generation models are developed to study the trav</w:t>
      </w:r>
    </w:p>
    <w:p>
      <w:pPr>
        <w:pStyle w:val="Heading2"/>
      </w:pPr>
      <w:r>
        <w:t>950. Constructing Resilient Futures: Integrating UK multi-stakeholder transport and energy resilience for 2050</w:t>
      </w:r>
    </w:p>
    <w:p>
      <w:pPr>
        <w:pStyle w:val="SourceNote"/>
      </w:pPr>
      <w:r>
        <w:rPr>
          <w:b/>
        </w:rPr>
        <w:t>Original source (2013):</w:t>
      </w:r>
      <w:r>
        <w:t xml:space="preserve"> https://doi.org/10.1016/j.futures.2013.04.003</w:t>
      </w:r>
    </w:p>
    <w:p>
      <w:pPr/>
      <w:r>
        <w:t>Original wording (abstract; indexed_source_text_not_full_document_verified): The 2005 terrorist attacks in London and 2007 flooding throughout the UK revealed the shortcomings of the UK Government approach of ‘governing through resilience’ in practice: low levels of stakeholder co-ordination, lack of understanding about critical infrastructure interdependencies, and little attention to long-term adaptation. Starting with a detailed analysis of extant futures studies, scenarios were combined with episodes in order to both draw stakeholders out of their institutional contexts by setting the exercise in the future and to elicit participant responses during future crisis events.</w:t>
      </w:r>
    </w:p>
    <w:p>
      <w:pPr/>
      <w:r>
        <w:rPr>
          <w:b/>
        </w:rPr>
        <w:t>POSSIBLE 2025:</w:t>
      </w:r>
      <w:r>
        <w:t xml:space="preserve"> Online Interest in Radical Islam and Terrorist Attacks — https://doi.org/10.1515/peps-2024-0054</w:t>
      </w:r>
    </w:p>
    <w:p>
      <w:pPr/>
      <w:r>
        <w:rPr>
          <w:b/>
        </w:rPr>
        <w:t>Shared claim-specific concepts:</w:t>
      </w:r>
      <w:r>
        <w:t xml:space="preserve"> terrorist, attacks, attention; EU scope not established. This is a provisional connection, not an outcome finding.</w:t>
      </w:r>
    </w:p>
    <w:p>
      <w:pPr>
        <w:pStyle w:val="SourceNote"/>
      </w:pPr>
      <w:r>
        <w:rPr>
          <w:b/>
        </w:rPr>
        <w:t>Available abstract (not full text):</w:t>
      </w:r>
      <w:r>
        <w:t xml:space="preserve"> Abstract This study investigates the link between terrorist attacks and public interest in radical Islam and violent extremism, using monthly data from 150 countries between 2004 and 2015. Employing a dynamic common correlated effects (DCCE) estimator to account for potential cross-country correlations, our analysis reveals that attacks carried out in the name of Islam significantly drive online searches for sensitive keywords. Specifically, terms suggesting violent actions, such as “beheadings,” and explicitly jihad-related terms show stronger correlations, indicating heightened interest in the terrorists’ actions and messages. Our findings suggest that terrorist attacks not only occur in areas where public attention to terrorism is already heightened but also intensify interest in violent extremism within those regions. This amplification may contribute to terrorists’ objectives by increasing the public visibility they seek.</w:t>
      </w:r>
    </w:p>
    <w:p>
      <w:pPr/>
      <w:r>
        <w:rPr>
          <w:b/>
        </w:rPr>
        <w:t>POSSIBLE 2025:</w:t>
      </w:r>
      <w:r>
        <w:t xml:space="preserve"> PREVENTION OF TERRORIST ATTACKS ON CRITICAL INFRASTRUCTURE ON THE EXAMPLE OF AN AIRPORT — https://doi.org/10.29119/1641-3466.2025.216.13</w:t>
      </w:r>
    </w:p>
    <w:p>
      <w:pPr/>
      <w:r>
        <w:rPr>
          <w:b/>
        </w:rPr>
        <w:t>Shared claim-specific concepts:</w:t>
      </w:r>
      <w:r>
        <w:t xml:space="preserve"> terrorist, attacks, government, approach, resilience, critical; EU scope not established. This is a provisional connection, not an outcome finding.</w:t>
      </w:r>
    </w:p>
    <w:p>
      <w:pPr>
        <w:pStyle w:val="SourceNote"/>
      </w:pPr>
      <w:r>
        <w:rPr>
          <w:b/>
        </w:rPr>
        <w:t>Available abstract (not full text):</w:t>
      </w:r>
      <w:r>
        <w:t xml:space="preserve"> Purpose: The purpose of this article is to evaluate the state's critical infrastructure protection system using an airport as an example. Identifying potential weaknesses and suggesting improvements is a key part of this assessment. Selected research is presented to highlight the need to protect airports from terrorist threats and to illustrate the importance of inter-agency cooperation, resource allocation and advanced security measures in enhancing national security. Design/methodology/approach: The research combines theoretical analysis and empirical investigation. Theoretical methods include a review of the literature and legal frameworks concerning critical infrastructure protection. Empirical research involves a diagnostic survey conducted through structured interviews with experts in national security and airport operations and survey technique using survey questionnaire tool. The data collected were analyzed qualitatively to synthesize key findings and recommendations. Findings: The study reveals that while significant efforts have been made in securing airports, vulnerabilities remain due to accessibility and operational complexity. The findings highlight critical issues such as insufficient inter-agency coordination, inadequate allocation of resources, and the need for better threat anticipation capabilities. Recommendations are provided to address these gaps and impr</w:t>
      </w:r>
    </w:p>
    <w:p>
      <w:pPr/>
      <w:r>
        <w:rPr>
          <w:b/>
        </w:rPr>
        <w:t>POSSIBLE 2023:</w:t>
      </w:r>
      <w:r>
        <w:t xml:space="preserve"> Terrorist attacks — https://doi.org/10.4324/9781003105824-8</w:t>
      </w:r>
    </w:p>
    <w:p>
      <w:pPr/>
      <w:r>
        <w:rPr>
          <w:b/>
        </w:rPr>
        <w:t>Shared claim-specific concepts:</w:t>
      </w:r>
      <w:r>
        <w:t xml:space="preserve"> terrorist, attacks, london, government; EU scope visible. This is a provisional connection, not an outcome finding.</w:t>
      </w:r>
    </w:p>
    <w:p>
      <w:pPr>
        <w:pStyle w:val="SourceNote"/>
      </w:pPr>
      <w:r>
        <w:rPr>
          <w:b/>
        </w:rPr>
        <w:t>Available abstract (not full text):</w:t>
      </w:r>
      <w:r>
        <w:t xml:space="preserve"> The United Nations has a structure for addressing terrorism as a matter of state concern. Countries such as the UK are members of this framework. UK has had various terrorist attacks over the years. Recently, these have included those ensuing from ‘the Troubles’ in Northern Ireland, Lockerbie and Dunblane in Scotland, the 7/7 tube attacks in London, the 2017 Manchester Arena attack and many others across the UK. Many lessons of dealing with terrorism were learnt from the 9/11 World Trade Center attack in the USA as these filtered into emergency planning forums in the UK. Social workers are learning from such examples. However, the profession as a whole would be challenged to respond effectively if a terrorist attack were to occur in a location that has not experienced one before. Preparing them to do so would require training, including at qualifying level and in-service training through continuing professional development(CDP) on a regular basis, to keep up with a rapidly shifting terrain of government policy in addressing terrorism within a country. The UK’s key response has been the CONTEST Programme aimed at controlling the spread of terrorist ideologies and diverting people from committing terrorist acts. This has been linked to the securitisation of the state, especially as CONTEST has now drawn public sector workers into its ambit. Some of the duties linked to the deradi</w:t>
      </w:r>
    </w:p>
    <w:p>
      <w:pPr/>
      <w:r>
        <w:rPr>
          <w:b/>
        </w:rPr>
        <w:t>POSSIBLE 2023:</w:t>
      </w:r>
      <w:r>
        <w:t xml:space="preserve"> Cryptocurrency technology revolution: are Bitcoin prices and terrorist attacks related? — https://doi.org/10.1186/s40854-022-00445-3</w:t>
      </w:r>
    </w:p>
    <w:p>
      <w:pPr/>
      <w:r>
        <w:rPr>
          <w:b/>
        </w:rPr>
        <w:t>Shared claim-specific concepts:</w:t>
      </w:r>
      <w:r>
        <w:t xml:space="preserve"> terrorist, attacks, about; EU scope not established. This is a provisional connection, not an outcome finding.</w:t>
      </w:r>
    </w:p>
    <w:p>
      <w:pPr>
        <w:pStyle w:val="SourceNote"/>
      </w:pPr>
      <w:r>
        <w:rPr>
          <w:b/>
        </w:rPr>
        <w:t>Available abstract (not full text):</w:t>
      </w:r>
      <w:r>
        <w:t xml:space="preserve"> As a financial innovation of the information age, cryptocurrency is a complex concept with clear advantages and disadvantages and is worthy of discussion. Exploring from a terrorism perspective, this study uses the time-varying parameter/stochastic volatility vector autoregression model to explore the risk hedging and terrorist financing capabilities of Bitcoin. Empirical results show that both terrorist incidents and brutality may explain Bitcoin price, but their effects are slightly different. Compared to terrorist brutality, terrorist incidents have a weaker impact on Bitcoin price, showing that Bitcoin investors are more concerned about the number of deaths than the frequency of terrorist attacks. In turn, the impact of Bitcoin price on terrorist attacks is negligible. Bitcoin is a potential means of financing terrorism, but it does not currently play an important role. Our research findings can help investors analyze and predict Bitcoin prices and help improve the theoretical system of anti-terrorist financing, helping to maintain world peace and security.</w:t>
      </w:r>
    </w:p>
    <w:p>
      <w:pPr/>
      <w:r>
        <w:rPr>
          <w:b/>
        </w:rPr>
        <w:t>POSSIBLE 2023:</w:t>
      </w:r>
      <w:r>
        <w:t xml:space="preserve"> Emotions and inventor productivity: Evidence from terrorist attacks — https://doi.org/10.1111/acfi.13213</w:t>
      </w:r>
    </w:p>
    <w:p>
      <w:pPr/>
      <w:r>
        <w:rPr>
          <w:b/>
        </w:rPr>
        <w:t>Shared claim-specific concepts:</w:t>
      </w:r>
      <w:r>
        <w:t xml:space="preserve"> terrorist, attacks, low; EU scope not established. This is a provisional connection, not an outcome finding.</w:t>
      </w:r>
    </w:p>
    <w:p>
      <w:pPr>
        <w:pStyle w:val="SourceNote"/>
      </w:pPr>
      <w:r>
        <w:rPr>
          <w:b/>
        </w:rPr>
        <w:t>Available abstract (not full text):</w:t>
      </w:r>
      <w:r>
        <w:t xml:space="preserve"> Abstract We examine whether the emotional shocks associated with terrorist attacks affect local inventors' productivity. We find that high‐fatality attacks make inventors less innovative, and low‐fatality attacks make them more innovative. Inventors living in high risk‐taking environments have greater increase in productivity following low‐fatality attacks, while less decrease in productivity following high‐fatality attacks. Further, the effect of terrorist attacks on inventor productivity comes mainly from exploratory innovation which involves more risks. Inventors affected by high‐fatality attacks are also more likely to move to places without any significant terrorist attack history, but there is no such effect for low‐fatality attacks.</w:t>
      </w:r>
    </w:p>
    <w:p>
      <w:pPr/>
      <w:r>
        <w:rPr>
          <w:b/>
        </w:rPr>
        <w:t>POSSIBLE 2023:</w:t>
      </w:r>
      <w:r>
        <w:t xml:space="preserve"> Terrorist attacks sharpen the binary perception of “Us” vs. “Them” — https://doi.org/10.1038/s41598-023-39035-3</w:t>
      </w:r>
    </w:p>
    <w:p>
      <w:pPr/>
      <w:r>
        <w:rPr>
          <w:b/>
        </w:rPr>
        <w:t>Shared claim-specific concepts:</w:t>
      </w:r>
      <w:r>
        <w:t xml:space="preserve"> terrorist, attacks, government, approach, understanding, about; EU scope not established. This is a provisional connection, not an outcome finding.</w:t>
      </w:r>
    </w:p>
    <w:p>
      <w:pPr>
        <w:pStyle w:val="SourceNote"/>
      </w:pPr>
      <w:r>
        <w:rPr>
          <w:b/>
        </w:rPr>
        <w:t>Available abstract (not full text):</w:t>
      </w:r>
      <w:r>
        <w:t xml:space="preserve"> Terrorist attacks not only harm citizens but also shift their attention, which has long-lasting impacts on public opinion and government policies. Yet measuring the changes in public attention beyond media coverage has been methodologically challenging. Here we approach this problem by starting from Wikipedia's répertoire of 5.8 million articles and a sample of 15 recent terrorist attacks. We deploy a complex exclusion procedure to identify topics and themes that consistently received a significant increase in attention due to these incidents. Examining their contents reveals a clear picture: terrorist attacks foster establishing a sharp boundary between "Us" (the target society) and "Them" (the terrorist as the enemy). In the midst of this, one seeks to construct identities of both sides. This triggers curiosity to learn more about "Them" and soul-search for a clearer understanding of "Us". This systematic analysis of public reactions to disruptive events could help mitigate their societal consequences.</w:t>
      </w:r>
    </w:p>
    <w:p>
      <w:pPr/>
      <w:r>
        <w:rPr>
          <w:b/>
        </w:rPr>
        <w:t>POSSIBLE 2022:</w:t>
      </w:r>
      <w:r>
        <w:t xml:space="preserve"> Spatiotemporal Variation in Emotional Responses to 2017 Terrorist Attacks in London Using Twitter Data — https://doi.org/10.57709/12007502</w:t>
      </w:r>
    </w:p>
    <w:p>
      <w:pPr/>
      <w:r>
        <w:rPr>
          <w:b/>
        </w:rPr>
        <w:t>Shared claim-specific concepts:</w:t>
      </w:r>
      <w:r>
        <w:t xml:space="preserve"> terrorist, attacks, london; EU scope not established. This is a provisional connection, not an outcome finding.</w:t>
      </w:r>
    </w:p>
    <w:p>
      <w:pPr>
        <w:pStyle w:val="SourceNote"/>
      </w:pPr>
      <w:r>
        <w:rPr>
          <w:b/>
        </w:rPr>
        <w:t>Available abstract (not full text):</w:t>
      </w:r>
      <w:r>
        <w:t xml:space="preserve"> Terrorist attacks have a significant impact on human lives. This study examined emotional responses after the terrorist attacks in London in March and June of 2017, respectively. This research extracted tweets related to the two attacks by developing a Python tool interacting with the Twitter Application Program Interface (API). The tweets were analyzed for its negative emotion expression such as sadness. This study then analyzed these negative tweets using the space-time permutation model in SatScan and assessed their variation in space and time. Results suggested two significant clusters of negative tweets after the first attack. These clusters located in the metropolitan area of London and between Manchester and Liverpool within ten days of the attack. The findings may contribute to quick surveillance of emotional responses on the Twitter users.</w:t>
      </w:r>
    </w:p>
    <w:p>
      <w:pPr/>
      <w:r>
        <w:rPr>
          <w:b/>
        </w:rPr>
        <w:t>POSSIBLE 2022:</w:t>
      </w:r>
      <w:r>
        <w:t xml:space="preserve"> Psychosocial care responses to terrorist attacks: a country case study of Norway, France and Belgium — https://doi.org/10.1186/s12913-022-07691-2</w:t>
      </w:r>
    </w:p>
    <w:p>
      <w:pPr/>
      <w:r>
        <w:rPr>
          <w:b/>
        </w:rPr>
        <w:t>Shared claim-specific concepts:</w:t>
      </w:r>
      <w:r>
        <w:t xml:space="preserve"> terrorist, attacks, throughout, approach, long-term; EU scope visible. This is a provisional connection, not an outcome finding.</w:t>
      </w:r>
    </w:p>
    <w:p>
      <w:pPr>
        <w:pStyle w:val="SourceNote"/>
      </w:pPr>
      <w:r>
        <w:rPr>
          <w:b/>
        </w:rPr>
        <w:t>Available abstract (not full text):</w:t>
      </w:r>
      <w:r>
        <w:t xml:space="preserve"> BACKGROUND: The international terrorism threat urges societies to invest in the planning and organization of psychosocial care. With the aim to contribute to cross-national learning, this study describes the content, target populations and providers of psychosocial care to civilians after terrorist attacks in Norway, France and Belgium. METHODS: We identified and reviewed pre- and post-attack policy documents, guidelines, reports and other relevant grey literature addressing the psychosocial care response to terrorist attacks in Oslo/Utøya, Norway on 22 July 2011; in Paris, France on 13 November 2015; and in Brussels, Belgium on 22 March 2016. RESULTS: In Norway, there was a primary care based approach with multidisciplinary crisis teams in the local municipalities. In response to the terrorist attacks, there were proactive follow-up programs within primary care and occupational health services with screenings of target groups throughout a year. In France, there was a national network of specialized emergency psychosocial units primarily consisting of psychiatrists, psychologists and psychiatric nurses organized by the regional health agencies. They provided psychological support the first month including guidance for long-term healthcare, but there were no systematic screening programs after the acute phase. In Belgium, there were psychosocial intervention networks in the loca</w:t>
      </w:r>
    </w:p>
    <w:p>
      <w:pPr/>
      <w:r>
        <w:rPr>
          <w:b/>
        </w:rPr>
        <w:t>POSSIBLE 2022:</w:t>
      </w:r>
      <w:r>
        <w:t xml:space="preserve"> Time in Responding to Terrorist Attacks in Cities — https://doi.org/10.3390/su142416643</w:t>
      </w:r>
    </w:p>
    <w:p>
      <w:pPr/>
      <w:r>
        <w:rPr>
          <w:b/>
        </w:rPr>
        <w:t>Shared claim-specific concepts:</w:t>
      </w:r>
      <w:r>
        <w:t xml:space="preserve"> terrorist, attacks, critical; EU scope not established. This is a provisional connection, not an outcome finding.</w:t>
      </w:r>
    </w:p>
    <w:p>
      <w:pPr>
        <w:pStyle w:val="SourceNote"/>
      </w:pPr>
      <w:r>
        <w:rPr>
          <w:b/>
        </w:rPr>
        <w:t>Available abstract (not full text):</w:t>
      </w:r>
      <w:r>
        <w:t xml:space="preserve"> Terrorism is one of the most serious threats today. The perpetrators of the attacks use newer and newer tools and apply new methods of operation. Their goal is to cause fear; therefore, for the media message to be more and more attractive, the terrorists began to attack even more spectacularly. Considering the above, cities conducive to forming clusters of people are attractive places to carry out an attack. To meet the emerging challenges, cities increasingly use modern information and communication technologies, transforming into smart cities. One of the basic assumptions for this is to ensure high safety and public order. Antiterrorist protection is a particular challenge for city authorities. Considering the above, the aim of the research, the effects of which are presented in the article, was to identify and describe the basic features distinguishing selected categories of terrorist attacks carried out in cities. In the course of the research, the duration of the terrorist event was analyzed and the critical relationships between the time and the effectiveness of neutralization and rescue operations at the scene were identified. The research method used, in addition to the observation and analysis of the literature, was a descriptive case study.</w:t>
      </w:r>
    </w:p>
    <w:p>
      <w:pPr/>
      <w:r>
        <w:rPr>
          <w:b/>
        </w:rPr>
        <w:t>POSSIBLE 2021:</w:t>
      </w:r>
      <w:r>
        <w:t xml:space="preserve"> Media coverage of terrorist attacks in London in 2017: Comparison of news portals Aktuálně.cz and The Guardian — https://openalex.org/W7135787987</w:t>
      </w:r>
    </w:p>
    <w:p>
      <w:pPr/>
      <w:r>
        <w:rPr>
          <w:b/>
        </w:rPr>
        <w:t>Shared claim-specific concepts:</w:t>
      </w:r>
      <w:r>
        <w:t xml:space="preserve"> terrorist, attacks, london; EU scope not established. This is a provisional connection, not an outcome finding.</w:t>
      </w:r>
    </w:p>
    <w:p>
      <w:pPr>
        <w:pStyle w:val="SourceNote"/>
      </w:pPr>
      <w:r>
        <w:rPr>
          <w:b/>
        </w:rPr>
        <w:t>Available abstract (not full text):</w:t>
      </w:r>
      <w:r>
        <w:t xml:space="preserve"> This thesis is focused on the media coverage of four terrorist attacks that happened in London in 2017. The subject of the research are photographs which were published after the attacks on Czech online news media Aktuálně.cz and British online news portal The Guardian. The coverage on both media is in the case of each attack followed for one week. The aim of this thesis is to describe which photographs both media published, with the main emphasis on certain technical and content variables. Furthermore, the difference between visual representation in Czech and British media is also a subject of this work.</w:t>
      </w:r>
    </w:p>
    <w:p>
      <w:pPr/>
      <w:r>
        <w:rPr>
          <w:b/>
        </w:rPr>
        <w:t>POSSIBLE 2021:</w:t>
      </w:r>
      <w:r>
        <w:t xml:space="preserve"> Analyzing Canadian PM Justin Trudeau’s Speech about Terrorist Attack on a Muslim Family in Ontario’s London: A Critical Perspective — https://doi.org/10.32996/ijls.2021.1.2.2</w:t>
      </w:r>
    </w:p>
    <w:p>
      <w:pPr/>
      <w:r>
        <w:rPr>
          <w:b/>
        </w:rPr>
        <w:t>Shared claim-specific concepts:</w:t>
      </w:r>
      <w:r>
        <w:t xml:space="preserve"> terrorist, london, approach, practice, levels, about; EU scope not established. This is a provisional connection, not an outcome finding.</w:t>
      </w:r>
    </w:p>
    <w:p>
      <w:pPr>
        <w:pStyle w:val="SourceNote"/>
      </w:pPr>
      <w:r>
        <w:rPr>
          <w:b/>
        </w:rPr>
        <w:t>Available abstract (not full text):</w:t>
      </w:r>
      <w:r>
        <w:t xml:space="preserve"> Language considers a form of social practice in Critical Discourse Analysis, and it is frequently used in political discourse written, verbal and visual including public speeches. This paper examines the Prime Minister of Canada's press conference speech, held at the House of Commerce on June 8, 2021 (https://www.rev.com/blog, 2021), in the aftermath of a Muslim family's murder in Ontario's London. The Three-Dimensional Model of Fairclough has been used to investigate the implicit/explicit power displayed in PM Justin's speech, as well as the display of power at the textual, discursive, and societal levels, in the context of the speech's two key themes: anti-Muslim hatred and Islamophobia. The study examines speech using a qualitative approach and addresses power within the discourse as well as the power behind the discourse. The findings show how language reflects political leaders' ideologies and how social behaviors can shape and be shaped by speech. The Prime Minister skillfully employed language to convey the ideological divides between Muslim communities and the western communities. After drawing the line of demarcation, he urged world leaders to take steps to resolve their differences to achieve global harmony and peace. This study enables the general public to comprehend Justin Trudeau's position on prevalent intolerance and the ideology of Islamophobia, as well as its </w:t>
      </w:r>
    </w:p>
    <w:p>
      <w:pPr/>
      <w:r>
        <w:rPr>
          <w:b/>
        </w:rPr>
        <w:t>POSSIBLE 2021:</w:t>
      </w:r>
      <w:r>
        <w:t xml:space="preserve"> Getting under the Skin: The Impact of Terrorist Attacks on Native and Immigrant Sentiment — https://doi.org/10.1093/sf/soab135</w:t>
      </w:r>
    </w:p>
    <w:p>
      <w:pPr/>
      <w:r>
        <w:rPr>
          <w:b/>
        </w:rPr>
        <w:t>Shared claim-specific concepts:</w:t>
      </w:r>
      <w:r>
        <w:t xml:space="preserve"> terrorist, attacks, understanding, little; EU scope visible. This is a provisional connection, not an outcome finding.</w:t>
      </w:r>
    </w:p>
    <w:p>
      <w:pPr>
        <w:pStyle w:val="SourceNote"/>
      </w:pPr>
      <w:r>
        <w:rPr>
          <w:b/>
        </w:rPr>
        <w:t>Available abstract (not full text):</w:t>
      </w:r>
      <w:r>
        <w:t xml:space="preserve"> Abstract There is growing academic interest in examining how terrorist attacks shape the majority’s attitudes towards minority groups. Yet, little is known of how these minority groups react to the backlash such events provoke. This paper leverages the exogenous occurrence of a series of terrorist attacks during the fieldwork period of two surveys to estimate how such events affect the sentiment of both citizens and asylum seekers in Germany. Results of the natural experiment reveal that the 2016 terror attacks in Nice, Würzburg, and Ansbach substantially increased anti-refugee sentiment among German respondents. In line with this increase in hostility, refugees experienced more discrimination, felt less welcome in Germany, and suffered clinically relevant declines in mental health in the aftermath of the attacks. These results provide a more holistic understanding of how terrorism corrodes intergroup relations and how it affects those that are blamed for the events and thus suffer the brunt of the backlash following their occurrence.</w:t>
      </w:r>
    </w:p>
    <w:p>
      <w:pPr>
        <w:pStyle w:val="Heading2"/>
      </w:pPr>
      <w:r>
        <w:t>951. European Scenario Studies on Future In-Stream Nutrient Concentrations</w:t>
      </w:r>
    </w:p>
    <w:p>
      <w:pPr>
        <w:pStyle w:val="SourceNote"/>
      </w:pPr>
      <w:r>
        <w:rPr>
          <w:b/>
        </w:rPr>
        <w:t>Original source (2013):</w:t>
      </w:r>
      <w:r>
        <w:t xml:space="preserve"> https://doi.org/10.13031/trans.56.9961</w:t>
      </w:r>
    </w:p>
    <w:p>
      <w:pPr/>
      <w:r>
        <w:t>Original wording (abstract; indexed_source_text_not_full_document_verified): Results indicate that future total nitrogen (TN) loadings are likely to decrease in most parts of central Europe by 5 to 25 kg ha-1 year-1 due to land-use change in the form of reduced cropland area as a result of technological changes, as well as improvements in land-use management based on higher efficiencies of application rates.</w:t>
      </w:r>
    </w:p>
    <w:p>
      <w:pPr/>
      <w:r>
        <w:rPr>
          <w:b/>
        </w:rPr>
        <w:t>POSSIBLE 2026:</w:t>
      </w:r>
      <w:r>
        <w:t xml:space="preserve"> Assessing precision and accuracy of manure volatile solids, total nitrogen, and total ammoniacal nitrogen analyses across 6 commercial laboratories — https://doi.org/10.3168/jdsc.2025-1007</w:t>
      </w:r>
    </w:p>
    <w:p>
      <w:pPr/>
      <w:r>
        <w:rPr>
          <w:b/>
        </w:rPr>
        <w:t>Shared claim-specific concepts:</w:t>
      </w:r>
      <w:r>
        <w:t xml:space="preserve"> total, nitrogen, management, higher; EU scope not established. This is a provisional connection, not an outcome finding.</w:t>
      </w:r>
    </w:p>
    <w:p>
      <w:pPr>
        <w:pStyle w:val="SourceNote"/>
      </w:pPr>
      <w:r>
        <w:rPr>
          <w:b/>
        </w:rPr>
        <w:t>Available abstract (not full text):</w:t>
      </w:r>
      <w:r>
        <w:t xml:space="preserve"> Manure nutrient analyses inform nutrient management plans and GHG emission inventories, yet the magnitude and sources of measurement variability remain under-studied for several key nutrients. To assess uncertainty in manure nutrient measurements, we quantified intra- and inter-laboratory variation and analytical accuracy for volatile solids (VS), total nitrogen (TN) and total ammoniacal nitrogen (TAN) across 6 US laboratories certified by the Manure Analysis Proficiency Program. Fresh gutter-collected slurry subsamples (250 g) from a free-stall barn received either an equal amount of water (control), one of 2 spike levels of glucose (for VS), or one of 2 spike levels of NH 4 Cl (for TN and TAN). Repeatability (r, repeatability value; SD r , within-laboratory SD; RSD r , relative SD of repeatability) and leave-one-lab-out reproducibility (R, reproducibility value; SD R , between-laboratory SD; RSD R , relative SD of reproducibility), were calculated to evaluate precision. Spike recovery was used to assess accuracy. Repeatability values ranged from 0.30 to 3.49% for VS, 16.2 to 932 mg/kg for TN, and 28.0 to 1.65 × 10 3 mg/kg for TAN, while leave-one-lab-out R ranged from 2.56 to 6.08%, 405 to 683 mg/kg, and 363 to 593 mg/kg, respectively. Variability among laboratories was consistently higher than variability within laboratories but differed by nutrient: overall RSD R averaged 2</w:t>
      </w:r>
    </w:p>
    <w:p>
      <w:pPr/>
      <w:r>
        <w:rPr>
          <w:b/>
        </w:rPr>
        <w:t>POSSIBLE 2026:</w:t>
      </w:r>
      <w:r>
        <w:t xml:space="preserve"> Industrial pollutant releases to water in Europe (2010-2024) — https://doi.org/10.2909/9f8d7f6c-5c6b-42ee-a684-2d208c088f4a</w:t>
      </w:r>
    </w:p>
    <w:p>
      <w:pPr/>
      <w:r>
        <w:rPr>
          <w:b/>
        </w:rPr>
        <w:t>Shared claim-specific concepts:</w:t>
      </w:r>
      <w:r>
        <w:t xml:space="preserve"> indicate, total, nitrogen; EU scope visible. This is a provisional connection, not an outcome finding.</w:t>
      </w:r>
    </w:p>
    <w:p>
      <w:pPr>
        <w:pStyle w:val="SourceNote"/>
      </w:pPr>
      <w:r>
        <w:rPr>
          <w:b/>
        </w:rPr>
        <w:t>Available abstract (not full text):</w:t>
      </w:r>
      <w:r>
        <w:t xml:space="preserve"> This indicator tracks trends of industrial emissions of selected water pollutants. The indicator includes releases of certain heavy metals (cadmium, nickel, mercury and lead, presented as the sum of the releases of the four), nutrients (nitrogen and phosphorus) and a global parameter to indicate the load of organic matter (total organic carbon). In addition the indicator show the evolution of the Gross Value Added (GVA) from Industry. Dimensions available in the time-series data: 1. Industrial pollutant releases to water in Europe – Heavy Metals (Cd, Hg, Ni, Pb) 2. Industrial pollutant releases to water in Europe - Total Organic Carbon 3. Industrial pollutant releases to water in Europe - Total Nitrogen 4. Industrial pollutant releases to water in Europe - Total Phosphorus 5. Industrial pollutant releases to water in Europe - Gross Value Added</w:t>
      </w:r>
    </w:p>
    <w:p>
      <w:pPr/>
      <w:r>
        <w:rPr>
          <w:b/>
        </w:rPr>
        <w:t>POSSIBLE 2026:</w:t>
      </w:r>
      <w:r>
        <w:t xml:space="preserve"> Industrial pollutant releases to water in Europe (2010-2024) — https://doi.org/10.2909/898d92dd-b70d-42c1-956f-8e90f78c7952</w:t>
      </w:r>
    </w:p>
    <w:p>
      <w:pPr/>
      <w:r>
        <w:rPr>
          <w:b/>
        </w:rPr>
        <w:t>Shared claim-specific concepts:</w:t>
      </w:r>
      <w:r>
        <w:t xml:space="preserve"> indicate, total, nitrogen; EU scope visible. This is a provisional connection, not an outcome finding.</w:t>
      </w:r>
    </w:p>
    <w:p>
      <w:pPr>
        <w:pStyle w:val="SourceNote"/>
      </w:pPr>
      <w:r>
        <w:rPr>
          <w:b/>
        </w:rPr>
        <w:t>Available abstract (not full text):</w:t>
      </w:r>
      <w:r>
        <w:t xml:space="preserve"> This indicator tracks trends of industrial emissions of selected water pollutants. The indicator includes releases of certain heavy metals (cadmium, nickel, mercury and lead, presented as the sum of the releases of the four), nutrients (nitrogen and phosphorus) and a global parameter to indicate the load of organic matter (total organic carbon). In addition the indicator show the evolution of the Gross Value Added (GVA) from Industry. Dimensions available in the time-series data: 1. Industrial pollutant releases to water in Europe – Heavy Metals (Cd, Hg, Ni, Pb) 2. Industrial pollutant releases to water in Europe - Total Organic Carbon 3. Industrial pollutant releases to water in Europe - Total Nitrogen 4. Industrial pollutant releases to water in Europe - Total Phosphorus 5. Industrial pollutant releases to water in Europe - Gross Value Added</w:t>
      </w:r>
    </w:p>
    <w:p>
      <w:pPr/>
      <w:r>
        <w:rPr>
          <w:b/>
        </w:rPr>
        <w:t>POSSIBLE 2026:</w:t>
      </w:r>
      <w:r>
        <w:t xml:space="preserve"> Decoupling factors influencing spatial and temporal trends of total nitrogen and ammonia nitrogen levels in lakes across China — https://doi.org/10.5194/egusphere-2026-3574</w:t>
      </w:r>
    </w:p>
    <w:p>
      <w:pPr/>
      <w:r>
        <w:rPr>
          <w:b/>
        </w:rPr>
        <w:t>Shared claim-specific concepts:</w:t>
      </w:r>
      <w:r>
        <w:t xml:space="preserve"> total, nitrogen, management; EU scope not established. This is a provisional connection, not an outcome finding.</w:t>
      </w:r>
    </w:p>
    <w:p>
      <w:pPr>
        <w:pStyle w:val="SourceNote"/>
      </w:pPr>
      <w:r>
        <w:rPr>
          <w:b/>
        </w:rPr>
        <w:t>Available abstract (not full text):</w:t>
      </w:r>
      <w:r>
        <w:t xml:space="preserve"> Abstract. The heterogeneity of lake nitrogen pollution in its spatial distribution and long-term evolution influences ecosystem functioning and the effectiveness of water environment management. However, whether the drivers shaping the spatial patterns of different nitrogen forms differ from those governing their temporal dynamics remains poorly understood at large spatial scales. Here, we constructed monthly time series (2010–2024) of total nitrogen (TN) and ammonia nitrogen (NH₃-N) concentrations for 3,020 lakes across China’s five limnological regions using an ensemble machine learning framework and to reveal the difference in factors that influence spatial patterns and long-term changes of the two nitrogen forms at the large scale. The results showed that the factors determining where lakes are nitrogen-enriched are not necessarily those controlling whether nitrogen conditions improve or deteriorate over time and that different nitrogen forms respond to management and environmental change through distinct pathways. For TN, the spatial patterns are jointly shaped by external nitrogen loading, land cover, and hydro-climatic conditions, highlighting strong landscape-scale controls. However, its long-term evolution is governed more strongly by temporal variations in external nitrogen inputs than by static spatial characteristics. In contrast, NH₃-N exhibits a more direct and ra</w:t>
      </w:r>
    </w:p>
    <w:p>
      <w:pPr/>
      <w:r>
        <w:rPr>
          <w:b/>
        </w:rPr>
        <w:t>POSSIBLE 2025:</w:t>
      </w:r>
      <w:r>
        <w:t xml:space="preserve"> Investigating the storage of organic carbon, nitrogen and phosphorus in pond sediment — https://doi.org/10.1007/s11368-025-04001-1</w:t>
      </w:r>
    </w:p>
    <w:p>
      <w:pPr/>
      <w:r>
        <w:rPr>
          <w:b/>
        </w:rPr>
        <w:t>Shared claim-specific concepts:</w:t>
      </w:r>
      <w:r>
        <w:t xml:space="preserve"> total, nitrogen, central; EU scope visible. This is a provisional connection, not an outcome finding.</w:t>
      </w:r>
    </w:p>
    <w:p>
      <w:pPr>
        <w:pStyle w:val="SourceNote"/>
      </w:pPr>
      <w:r>
        <w:rPr>
          <w:b/>
        </w:rPr>
        <w:t>Available abstract (not full text):</w:t>
      </w:r>
      <w:r>
        <w:t xml:space="preserve"> The present study evaluates the sediment mass and storage of total organic carbon (TOC), total nitrogen (TN) and total phosphorus (TP) in a managed agricultural pond, representative for ponds situated in Central Europe. The study is designed to enhance understanding of the functioning of such ponds as nutrient sinks and the capacity to retain TOC, TN and TP within the pond's sediment layer. In order to assess the distribution of sediments and the storage of nutrients, orthomosaics and digital elevation models (DEMs) were generated from imagery recorded by unmanned aerial vehicles (UAVs) in 2021 and 2022. The thickness of the sediment was measured at 174 points over nine diving campaigns, with the volume estimated comparing three interpolation methods. Sediment core samples were analysed to determine their physical and chemical composition. In addition, water samples were collected from the inlets and outlets to trace potential pathways of nutrients. The pond was found to store 330.9 t ha −1 TOC, 16 t ha −1 TN and 0.8 t ha −1 TP with an sediment mass of 1,460 t ha −1 . The DEM comparison indicates areas of sediment loss and accumulation, with the overall sediment mass remaining stable. The vertical distribution of nutrients indicated the presence of layered sediment deposition, which suggests a complex history of sediment and nutrient retention. The pond acts as a nutrient sink,</w:t>
      </w:r>
    </w:p>
    <w:p>
      <w:pPr/>
      <w:r>
        <w:rPr>
          <w:b/>
        </w:rPr>
        <w:t>POSSIBLE 2025:</w:t>
      </w:r>
      <w:r>
        <w:t xml:space="preserve"> Modelling agronomic and environmental effects of bio-based nitrogen fertilisers in Europe — https://doi.org/10.1007/s10705-025-10463-z</w:t>
      </w:r>
    </w:p>
    <w:p>
      <w:pPr/>
      <w:r>
        <w:rPr>
          <w:b/>
        </w:rPr>
        <w:t>Shared claim-specific concepts:</w:t>
      </w:r>
      <w:r>
        <w:t xml:space="preserve"> total, nitrogen, reduced, improvements, based, higher; EU scope visible. This is a provisional connection, not an outcome finding.</w:t>
      </w:r>
    </w:p>
    <w:p>
      <w:pPr>
        <w:pStyle w:val="SourceNote"/>
      </w:pPr>
      <w:r>
        <w:rPr>
          <w:b/>
        </w:rPr>
        <w:t>Available abstract (not full text):</w:t>
      </w:r>
      <w:r>
        <w:t xml:space="preserve"> Biobased waste materials, rich in nutrients and carbon, are often underutilised but could be processed into valuable biobased fertilisers (BBFs). Replacing conventional mineral fertilisers with BBFs requires understanding of their agronomic and environmental performance, which is currently lacking. This study used the Daisy model to evaluate the agronomic (dry matter and nitrogen (N) yield) and environmental (N losses to air and water) performance of eight BBFs in six European cropping systems. Mineral N fertilisation in the baseline scenarios was replaced with BBF according to three different schemes of N fertiliser replacement: Agronomic (according to 1st year fertiliser N replacement value (NFRV), typically 10–90%), Environmental (same total N as in baseline, equivalent to NFRV = 100%), and Intermediate (based on average NFRV of Agronomic and Environmental). Results indicated that under the Agronomic scheme, BBFs maintained or increased yields, but increased N losses relative to the baseline with mineral N. The Environmental scheme reduced crop yields by up to 10%, but N losses remained similar to baseline fertilisation. BBFs generally improved soil organic N or carbon stocks, indicators of soil quality. Differences in N losses and soil quality in the Agronomic scheme were mainly related to BBFs having different NFRV; a low NFRV (e.g., compost) implies higher total N inputs </w:t>
      </w:r>
    </w:p>
    <w:p>
      <w:pPr/>
      <w:r>
        <w:rPr>
          <w:b/>
        </w:rPr>
        <w:t>POSSIBLE 2024:</w:t>
      </w:r>
      <w:r>
        <w:t xml:space="preserve"> Trends in Air Pollution in Europe, 2000–2019 — https://doi.org/10.4209/aaqr.230237</w:t>
      </w:r>
    </w:p>
    <w:p>
      <w:pPr/>
      <w:r>
        <w:rPr>
          <w:b/>
        </w:rPr>
        <w:t>Shared claim-specific concepts:</w:t>
      </w:r>
      <w:r>
        <w:t xml:space="preserve"> total, nitrogen, due, improvements; EU scope visible. This is a provisional connection, not an outcome finding.</w:t>
      </w:r>
    </w:p>
    <w:p>
      <w:pPr>
        <w:pStyle w:val="SourceNote"/>
      </w:pPr>
      <w:r>
        <w:rPr>
          <w:b/>
        </w:rPr>
        <w:t>Available abstract (not full text):</w:t>
      </w:r>
      <w:r>
        <w:t xml:space="preserve"> This paper encompasses an assessment of air pollution trends in rural environments in Europe over the 2000–2019 period, benefiting from extensive long-term observational data from the EMEP monitoring network and EMEP MSC-W model computations. The trends in pollutant concentrations align with the decreasing emission patterns observed throughout Europe. Annual average concentrations of sulfur dioxide, particulate sulfate, and sulfur wet deposition have shown consistent declines of 3-4% annually since 2000. Similarly, oxidized nitrogen species have markedly decreased across Europe, with an annual reduction of 1.5-2% in nitrogen dioxide concentrations, total nitrate in the air, and oxidized nitrogen deposition. Notably, emission reductions and model predictions appear to slightly surpass the observed declines in sulfur and oxidized nitrogen, indicating a potential overestimation of reported emission reductions. Ammonia emissions have decreased less compared to other pollutants since 2000. Significant reductions in particulate ammonium have however, been achieved due to the impact of reductions in SOx and NOx emissions. For ground level ozone, both the observed and modelled peak levels in summer show declining trends, although the observed decline is smaller than modelled. There have been substantial annual reductions of 1.8% and 2.4% in the concentrations of PM10 and PM2.5, respect</w:t>
      </w:r>
    </w:p>
    <w:p>
      <w:pPr/>
      <w:r>
        <w:rPr>
          <w:b/>
        </w:rPr>
        <w:t>POSSIBLE 2023:</w:t>
      </w:r>
      <w:r>
        <w:t xml:space="preserve"> Analysis of total nitrogen and chlorophyll a correlations in reservoirs in Ceará/Brazil — https://doi.org/10.1590/s1413-415220230015</w:t>
      </w:r>
    </w:p>
    <w:p>
      <w:pPr/>
      <w:r>
        <w:rPr>
          <w:b/>
        </w:rPr>
        <w:t>Shared claim-specific concepts:</w:t>
      </w:r>
      <w:r>
        <w:t xml:space="preserve"> total, nitrogen; EU scope not established. This is a provisional connection, not an outcome finding.</w:t>
      </w:r>
    </w:p>
    <w:p>
      <w:pPr>
        <w:pStyle w:val="SourceNote"/>
      </w:pPr>
      <w:r>
        <w:rPr>
          <w:b/>
        </w:rPr>
        <w:t>Available abstract (not full text):</w:t>
      </w:r>
      <w:r>
        <w:t xml:space="preserve"> ABSTRACT Chlorophyll a (Chla) concentration is an important indicator to characterize algal biomass, reflecting water quality and the level of eutrophication of aquatic environments. This study analyzed 4315 total nitrogen (TN) and Chla samples in 155 reservoirs in Ceará, Brazil. Relationships were obtained between TN and Chla through simple linear regression and classified according to the statistical performance of the coefficient of determination (R²). The dynamics of these correlations were examined by analyzing the variance between classification groups concerning watershed, reservoir size, coefficient of variability, and trophic state. The concentration of pollutants was influenced by seasonality, which increased significantly from the wet to the dry period in most basins. The coefficients of determination between Chla and TN for the watersheds followed the trends of classic curves in the literature, with satisfactory models (R² &gt; 0.3) in most reservoirs (53.3%). The variance analysis attested that the models’ performance was affected by the basins, the volumetric variation, and the change in the trophic state levels. There was no significant variance of R² between reservoirs of different sizes.</w:t>
      </w:r>
    </w:p>
    <w:p>
      <w:pPr/>
      <w:r>
        <w:rPr>
          <w:b/>
        </w:rPr>
        <w:t>POSSIBLE 2023:</w:t>
      </w:r>
      <w:r>
        <w:t xml:space="preserve"> Ecosystem type drives soil eukaryotic diversity and composition in Europe — https://doi.org/10.1111/gcb.16871</w:t>
      </w:r>
    </w:p>
    <w:p>
      <w:pPr/>
      <w:r>
        <w:rPr>
          <w:b/>
        </w:rPr>
        <w:t>Shared claim-specific concepts:</w:t>
      </w:r>
      <w:r>
        <w:t xml:space="preserve"> total, nitrogen, higher; EU scope visible. This is a provisional connection, not an outcome finding.</w:t>
      </w:r>
    </w:p>
    <w:p>
      <w:pPr>
        <w:pStyle w:val="SourceNote"/>
      </w:pPr>
      <w:r>
        <w:rPr>
          <w:b/>
        </w:rPr>
        <w:t>Available abstract (not full text):</w:t>
      </w:r>
      <w:r>
        <w:t xml:space="preserve"> Soil eukaryotes play a crucial role in maintaining ecosystem functions and services, yet the factors driving their diversity and distribution remain poorly understood. While many studies focus on some eukaryotic groups (mostly fungi), they are limited in their spatial scale. Here, we analyzed an unprecedented amount of observational data of soil eukaryomes at continental scale (787 sites across Europe) to gain further insights into the impact of a wide range of environmental conditions (climatic and edaphic) on their community composition and structure. We found that the diversity of fungi, protists, rotifers, tardigrades, nematodes, arthropods, and annelids was predominantly shaped by ecosystem type (annual and permanent croplands, managed and unmanaged grasslands, coniferous and broadleaved woodlands), and higher diversity of fungi, protists, nematodes, arthropods, and annelids was observed in croplands than in less intensively managed systems, such as coniferous and broadleaved woodlands. Also in croplands, we found more specialized eukaryotes, while the composition between croplands was more homogeneous compared to the composition of other ecosystems. The observed high proportion of overlapping taxa between ecosystems also indicates that DNA has accumulated from previous land uses, hence mimicking the land transformations occurring in Europe in the last decades. This strong</w:t>
      </w:r>
    </w:p>
    <w:p>
      <w:pPr/>
      <w:r>
        <w:rPr>
          <w:b/>
        </w:rPr>
        <w:t>POSSIBLE 2022:</w:t>
      </w:r>
      <w:r>
        <w:t xml:space="preserve"> Permanent grasslands in Europe: Land use change and intensification decrease their multifunctionality — https://doi.org/10.1016/j.agee.2022.107891</w:t>
      </w:r>
    </w:p>
    <w:p>
      <w:pPr/>
      <w:r>
        <w:rPr>
          <w:b/>
        </w:rPr>
        <w:t>Shared claim-specific concepts:</w:t>
      </w:r>
      <w:r>
        <w:t xml:space="preserve"> decrease, area, management, based; EU scope visible. This is a provisional connection, not an outcome finding.</w:t>
      </w:r>
    </w:p>
    <w:p>
      <w:pPr>
        <w:pStyle w:val="SourceNote"/>
      </w:pPr>
      <w:r>
        <w:rPr>
          <w:b/>
        </w:rPr>
        <w:t>Available abstract (not full text):</w:t>
      </w:r>
      <w:r>
        <w:t xml:space="preserve"> Permanent grasslands cover 34% of the European Union’s agricultural area and are vital for a wide variety of ecosystem services essential for our society. Over recent decades, the permanent grassland area has declined and land use change continues to threaten its extent. Simultaneously, the management intensity of permanent grasslands increased. We performed a systematic literature review on the multifunctionality of permanent grasslands in Europe, examining the effects of land use and management on 19 grassland ecosystem service indicators. Based on the evidence in 696 out of 70,456 screened papers, published since 1980, we found that both land use change and intensification of management decreased multifunctionality. In particular, preventing conversion of permanent grasslands to croplands secured the delivery of multiple ecosystem services. A lower management intensity was associated with benefits for biodiversity, climate regulation and water purification, but impacted the provision of high-quality animal feed. Increasing the number of species in the sward enhanced multifunctionality of permanent grassland without significant trade-offs such as losses in production. Our review covered many aspects of land use, management and ecosystem services, but we also identified areas with no or only few studies. The most prominent gaps were related to comparisons between permanent and</w:t>
      </w:r>
    </w:p>
    <w:p>
      <w:pPr/>
      <w:r>
        <w:rPr>
          <w:b/>
        </w:rPr>
        <w:t>POSSIBLE 2022:</w:t>
      </w:r>
      <w:r>
        <w:t xml:space="preserve"> Nitrogen deposition in forests: Statistical modeling of total deposition from throughfall loads — https://doi.org/10.3389/ffgc.2022.1062223</w:t>
      </w:r>
    </w:p>
    <w:p>
      <w:pPr/>
      <w:r>
        <w:rPr>
          <w:b/>
        </w:rPr>
        <w:t>Shared claim-specific concepts:</w:t>
      </w:r>
      <w:r>
        <w:t xml:space="preserve"> total, nitrogen, parts; EU scope visible. This is a provisional connection, not an outcome finding.</w:t>
      </w:r>
    </w:p>
    <w:p>
      <w:pPr>
        <w:pStyle w:val="SourceNote"/>
      </w:pPr>
      <w:r>
        <w:rPr>
          <w:b/>
        </w:rPr>
        <w:t>Available abstract (not full text):</w:t>
      </w:r>
      <w:r>
        <w:t xml:space="preserve"> Introduction Nitrogen (N) gradient studies in some cases use N deposition in throughfall as measure of N deposition to forests. For evaluating critical loads of N, however, information on total N deposition is required, i.e., the sum of estimates of dry, wet and occult deposition. Methods The present paper collects a number of studies in Europe where throughfall and total N deposition were compared in different forest types. From this dataset a function was derived which allows to estimate total N deposition from throughfall N deposition. Results At low throughfall N deposition values, the proportion of canopy uptake is high and thus the underestimation of total deposition by throughfall N needs to be corrected. At throughfall N deposition values &gt; 20 kg N ha–1 yr–1 canopy uptake is getting less important. Conclusion This work shows that throughfall clearly underestimates total deposition of nitrogen. With the present data set covering large parts of Europe it is possible to derive a critical load estimate from gradient studies using throughfall data.</w:t>
      </w:r>
    </w:p>
    <w:p>
      <w:pPr/>
      <w:r>
        <w:rPr>
          <w:b/>
        </w:rPr>
        <w:t>POSSIBLE 2021:</w:t>
      </w:r>
      <w:r>
        <w:t xml:space="preserve"> Global Impact of COVID-19 Restrictions on the Surface Concentrations of Nitrogen Dioxide and Ozone — https://openalex.org/W3087582936</w:t>
      </w:r>
    </w:p>
    <w:p>
      <w:pPr/>
      <w:r>
        <w:rPr>
          <w:b/>
        </w:rPr>
        <w:t>Shared claim-specific concepts:</w:t>
      </w:r>
      <w:r>
        <w:t xml:space="preserve"> total, nitrogen, decrease, due, reduced; EU scope visible. This is a provisional connection, not an outcome finding.</w:t>
      </w:r>
    </w:p>
    <w:p>
      <w:pPr>
        <w:pStyle w:val="SourceNote"/>
      </w:pPr>
      <w:r>
        <w:rPr>
          <w:b/>
        </w:rPr>
        <w:t>Available abstract (not full text):</w:t>
      </w:r>
      <w:r>
        <w:t xml:space="preserve"> Social distancing to combat the COVID-19 pandemic has led to widespread reductions in air pollutant emissions. Quantifying these changes requires a business-as-usual counterfactual that accounts for the synoptic and seasonal variability of air pollutants. We use a machine learning algorithm driven by information from the NASA GEOS-CF model to assess changes in nitrogen dioxide (NO2) and ozone (O3) at 5756 observation sites in 46 countries from January through June 2020. Reductions in NO2 coincide with the timing and intensity of COVID-19 restrictions, ranging from 60 % in severely affected cities (e.g., Wuhan, Milan) to little change (e.g., Rio de Janeiro, Taipei). On average, NO2 concentrations were 18 (13-23) % lower than business as usual from February 2020 onward. China experienced the earliest and steepest decline, but concentrations since April have mostly recovered and remained within 5 % of the business-as-usual estimate. NO2 reductions in Europe and the US have been more gradual, with a halting recovery starting in late March. We estimate that the global NOx (NO + NO2) emission reduction during the first 6 months of 2020 amounted to 3.1 (2.6-3.6) TgN, equivalent to 5.5 (4.7-6.4) % of the annual anthropogenic total. The response of surface O3 is complicated by competing influences of nonlinear atmospheric chemistry. While surface O3 increased by up to 50 % in some locat</w:t>
      </w:r>
    </w:p>
    <w:p>
      <w:pPr>
        <w:pStyle w:val="Heading2"/>
      </w:pPr>
      <w:r>
        <w:t>952. European atmosphere in 2050, a regional air quality and climate perspective under CMIP5 scenarios</w:t>
      </w:r>
    </w:p>
    <w:p>
      <w:pPr>
        <w:pStyle w:val="SourceNote"/>
      </w:pPr>
      <w:r>
        <w:rPr>
          <w:b/>
        </w:rPr>
        <w:t>Original source (2013):</w:t>
      </w:r>
      <w:r>
        <w:t xml:space="preserve"> https://doi.org/10.5194/acp-13-7451-2013</w:t>
      </w:r>
    </w:p>
    <w:p>
      <w:pPr/>
      <w:r>
        <w:t>Original wording (abstract; indexed_source_text_not_full_document_verified): To quantify changes in air pollution in Europe at the 2050 horizon, we designed a comprehensive modelling system that captures the external factors considered to be most relevant and relies on up-to-date and consistent sets of air pollution and climate policy scenarios. We explored two diverse scenarios: a reference scenario where climate policies are absent and a mitigation scenario which limits global temperature rise to within 2 °C by the end of this century.</w:t>
      </w:r>
    </w:p>
    <w:p>
      <w:pPr/>
      <w:r>
        <w:rPr>
          <w:b/>
        </w:rPr>
        <w:t>POSSIBLE 2026:</w:t>
      </w:r>
      <w:r>
        <w:t xml:space="preserve"> Climate &amp; Air Quality projections over Europe for 2030 and 2050 — https://openalex.org/W7213705154</w:t>
      </w:r>
    </w:p>
    <w:p>
      <w:pPr/>
      <w:r>
        <w:rPr>
          <w:b/>
        </w:rPr>
        <w:t>Shared claim-specific concepts:</w:t>
      </w:r>
      <w:r>
        <w:t xml:space="preserve"> quantify, air, relevant, consistent, climate; EU scope visible. This is a provisional connection, not an outcome finding.</w:t>
      </w:r>
    </w:p>
    <w:p>
      <w:pPr>
        <w:pStyle w:val="SourceNote"/>
      </w:pPr>
      <w:r>
        <w:rPr>
          <w:b/>
        </w:rPr>
        <w:t>Available abstract (not full text):</w:t>
      </w:r>
      <w:r>
        <w:t xml:space="preserve"> Over Europe, air quality has improved in recent years and is expected to continue improving due to further emission reductions. However, climate change also affects air quality, for instance through changes in wash-out processes or increases in biogenic VOC emissions. The magnitude and direction of these climate-induced air quality changes remain uncertain. To investigate how air quality evolves under different emission projections for species relevant to both climate and air quality, we perform consistent chemistry-climate simulations for Europe for the years 2030 and 2050. For these simulations, we use the global-regional chemistry-climate model MECO(n). MECO(n) consists of the global chemistry-climate model EMAC and the regional atmospheric chemistry model COSMO-CLM/MESSy. The EMAC simulations are performed with a global horizontal resolution of around 120 km. Over Europe, we include up to three nested domains: a 22 km domain covering the entire continent, a 7 km domain for Central Europe, and a 2 km domain over Germany. For present-day and future projections, we use historical simulations and SSP projections (SSP1-2.6 and SSP2-4.5) downscaled consistently over Europe. We present a preliminary analysis of the simulated air quality changes, with a particular focus on the role of transport sector emissions. To quantify the effects of these emissions, we apply a source apportio</w:t>
      </w:r>
    </w:p>
    <w:p>
      <w:pPr/>
      <w:r>
        <w:rPr>
          <w:b/>
        </w:rPr>
        <w:t>POSSIBLE 2025:</w:t>
      </w:r>
      <w:r>
        <w:t xml:space="preserve"> Quantifying the Climate Penalty on Air Quality in Europe – Insights from INSPEnCaT Project — https://doi.org/10.5194/egusphere-egu25-17230</w:t>
      </w:r>
    </w:p>
    <w:p>
      <w:pPr/>
      <w:r>
        <w:rPr>
          <w:b/>
        </w:rPr>
        <w:t>Shared claim-specific concepts:</w:t>
      </w:r>
      <w:r>
        <w:t xml:space="preserve"> quantify, air, pollution, system, relies, sets; EU scope visible. This is a provisional connection, not an outcome finding.</w:t>
      </w:r>
    </w:p>
    <w:p>
      <w:pPr>
        <w:pStyle w:val="SourceNote"/>
      </w:pPr>
      <w:r>
        <w:rPr>
          <w:b/>
        </w:rPr>
        <w:t>Available abstract (not full text):</w:t>
      </w:r>
      <w:r>
        <w:t xml:space="preserve"> The European Commission’s Zero Pollution Action Plan sets ambitious goals to reduce air, water, and soil pollution by 2050, including a 55% reduction in premature deaths from air pollution by 2030. In 2022, fine particulate matter (PM₂.₅), nitrogen dioxide (NO₂), and ozone (O₃) caused 239,000, 48,000, and 70,000 premature deaths, respectively. The interaction between climate change and air pollution presents significant challenges for achieving these ambitious goals. Rising temperatures, frequent heatwaves, and drought conditions enhance the production of O₃ and the formation of secondary organic aerosols (SOA), increasing PM₂.₅ levels by up to 5% in some regions. These compounded effects heighten health and environmental risks. The Mediterranean Basin, a recognized climate change hotspot, faces particularly severe challenges. Under high-warming scenarios (+4°C), intensify emissions of O₃ precursors and wildfire activity in southern Europe. The “climate penalty” — the additional burden of air pollution under changing climate conditions— could at least partly offset the benefits of current mitigation measures. For example, projections indicate a 15% increase in O₃-related premature mortality and respiratory hospitalizations in southern Europe by mid-century. However, uncertainties remain regarding the isolated contribution of climate change to these trends.The INSPEnCaT project </w:t>
      </w:r>
    </w:p>
    <w:p>
      <w:pPr/>
      <w:r>
        <w:rPr>
          <w:b/>
        </w:rPr>
        <w:t>POSSIBLE 2025:</w:t>
      </w:r>
      <w:r>
        <w:t xml:space="preserve"> High resolution assessment of air quality and health in Europe under different climate mitigation scenarios — https://doi.org/10.1038/s41467-025-60449-2</w:t>
      </w:r>
    </w:p>
    <w:p>
      <w:pPr/>
      <w:r>
        <w:rPr>
          <w:b/>
        </w:rPr>
        <w:t>Shared claim-specific concepts:</w:t>
      </w:r>
      <w:r>
        <w:t xml:space="preserve"> quantify, air, pollution, climate, policies; EU scope visible. This is a provisional connection, not an outcome finding.</w:t>
      </w:r>
    </w:p>
    <w:p>
      <w:pPr>
        <w:pStyle w:val="SourceNote"/>
      </w:pPr>
      <w:r>
        <w:rPr>
          <w:b/>
        </w:rPr>
        <w:t>Available abstract (not full text):</w:t>
      </w:r>
      <w:r>
        <w:t xml:space="preserve"> Climate change mitigation policies lower greenhouse gas emissions and generally reduce fine particulate matter (PM2.5) concentrations, hereby bringing health co-benefits. Yet, the spatial and distributional air quality co-benefits in Europe of such policies are not fully understood. Here, We quantify premature mortality from air pollution in 1366 regions of Europe for different scenarios obtained from the Coupled Model Intercomparison Project Phase 6. We model PM2.5 concentrations at high spatial resolution and then combine it with population data and regional age structure and total mortality, to calculate attributable deaths. We find that the share of the European population meeting WHO (World Health Organization) guideline value for PM2.5 could exceed 90% by 2100 under the most ambitious scenario, while less than 10% under the least ambitious one. Corresponding premature deaths in Europe would total 67,000 (95% CI: 13,000–141,000) per year by the end of the century compared to 282,000 (95% CI: 202,000–364,000). This study quantifies premature mortality from air pollution in 1366 regions of Europe for different scenarios, finding that the share of the European population meeting WHO guideline value for PM2.5 could exceed 90% by 2100 under the most ambitious scenario, while less than 10% under the least ambitious one.</w:t>
      </w:r>
    </w:p>
    <w:p>
      <w:pPr/>
      <w:r>
        <w:rPr>
          <w:b/>
        </w:rPr>
        <w:t>POSSIBLE 2025:</w:t>
      </w:r>
      <w:r>
        <w:t xml:space="preserve"> Quantifying the Effects of Climate Change on Aircraft Take-Off Performance at European Airports — https://doi.org/10.3390/aerospace12030165</w:t>
      </w:r>
    </w:p>
    <w:p>
      <w:pPr/>
      <w:r>
        <w:rPr>
          <w:b/>
        </w:rPr>
        <w:t>Shared claim-specific concepts:</w:t>
      </w:r>
      <w:r>
        <w:t xml:space="preserve"> air, climate; EU scope visible. This is a provisional connection, not an outcome finding.</w:t>
      </w:r>
    </w:p>
    <w:p>
      <w:pPr>
        <w:pStyle w:val="SourceNote"/>
      </w:pPr>
      <w:r>
        <w:rPr>
          <w:b/>
        </w:rPr>
        <w:t>Available abstract (not full text):</w:t>
      </w:r>
      <w:r>
        <w:t xml:space="preserve"> This work uses state-of-the-art climate model data at 30 European airport locations to examine how climate change may affect summer take-off distance required—TODR—and maximum take-off mass—MTOM—for a 30-year period centred on 2050 compared to a historical baseline (1985–2014). The data presented here are for the Airbus A320; however, the methodology is generic and few changes are required in order to apply this methodology to a wide range of different fixed-wing aircraft. The climate models used are taken from the 6th Coupled Model Intercomparison Project (CMIP6) and span a range of climate sensitivity values; that is, the amount of warming they exhibit for a given increase in atmospheric greenhouse gas concentrations. Using a Newtonian force-balance model, we show that 30-year average values of TODR may increase by around 50–100 m, albeit with significant day-to-day variability. The changing probability distributions are quantified using kernel density estimation and an illustration is provided showing how changes to future daily maximum temperature extremes may affect the distributions of TODR going forward. Furthermore, it is projected that the 99th percentile of the historical distributions of TODR may by exceeded up to half the time in the summer months for some airports. Some of the sites studied have runways that are shorter than the distance required for a fully laden </w:t>
      </w:r>
    </w:p>
    <w:p>
      <w:pPr/>
      <w:r>
        <w:rPr>
          <w:b/>
        </w:rPr>
        <w:t>POSSIBLE 2025:</w:t>
      </w:r>
      <w:r>
        <w:t xml:space="preserve"> Estimating mortality due to air pollution in Europe for the CATALYSE project — https://openalex.org/W7171757730</w:t>
      </w:r>
    </w:p>
    <w:p>
      <w:pPr/>
      <w:r>
        <w:rPr>
          <w:b/>
        </w:rPr>
        <w:t>Shared claim-specific concepts:</w:t>
      </w:r>
      <w:r>
        <w:t xml:space="preserve"> quantify, air, pollution, climate, reference, policies; EU scope visible. This is a provisional connection, not an outcome finding.</w:t>
      </w:r>
    </w:p>
    <w:p>
      <w:pPr>
        <w:pStyle w:val="SourceNote"/>
      </w:pPr>
      <w:r>
        <w:rPr>
          <w:b/>
        </w:rPr>
        <w:t>Available abstract (not full text):</w:t>
      </w:r>
      <w:r>
        <w:t xml:space="preserve"> The European Union’s CATALYSE (Climate Action to Advance Healthy Societies in Europe) project seeks to provide new knowledge, data, and tools to close the knowledge-to-action gap and accelerate climate change action and protect public health in Europe. One of its five main objectives is to quantify the health co-benefits of mitigation measures outside of the health sector. To address this objective, CATALYSE has developed a set of three policy-relevant scenarios: (1) a Reference scenario based on currently implemented policies, (2) a Green Deal scenario, based on the European Green Deal, legislation that was approved in 2020 and seeks to make the EU climate neutral by 2050, and (3) a Beyond Green Deal scenario, which goes further than the Green Deal scenario by implementing behavioural changes such as restricted diet and energy use. Important to the evaluation of these scenarios is the estimate of human mortality due to exposure to particulate matter with aerodynamic diameter less than 2.5 microns (PM2.5) in each scenario. As part of Work Package 2 of the CATALYSE project, we have utilized the emissions output from each of the three CATALYSE scenarios as input in the EMAC atmospheric model (Jöckel et al. 2006), simulating the global Earth atmosphere and climate in the years 2020, 2030, 2040, and 2050, in order to evaluate each scenario’s impact on PM2.5 concentrations in Europe</w:t>
      </w:r>
    </w:p>
    <w:p>
      <w:pPr/>
      <w:r>
        <w:rPr>
          <w:b/>
        </w:rPr>
        <w:t>POSSIBLE 2025:</w:t>
      </w:r>
      <w:r>
        <w:t xml:space="preserve"> Dose–Response Functions for Assessing Corrosion Risks to Urban Heritage Materials from Air Pollution Under Climate Change: Insights from Europe and China — https://doi.org/10.3390/buildings15132271</w:t>
      </w:r>
    </w:p>
    <w:p>
      <w:pPr/>
      <w:r>
        <w:rPr>
          <w:b/>
        </w:rPr>
        <w:t>Shared claim-specific concepts:</w:t>
      </w:r>
      <w:r>
        <w:t xml:space="preserve"> quantify, air, pollution, modelling, climate; EU scope visible. This is a provisional connection, not an outcome finding.</w:t>
      </w:r>
    </w:p>
    <w:p>
      <w:pPr>
        <w:pStyle w:val="SourceNote"/>
      </w:pPr>
      <w:r>
        <w:rPr>
          <w:b/>
        </w:rPr>
        <w:t>Available abstract (not full text):</w:t>
      </w:r>
      <w:r>
        <w:t xml:space="preserve"> Urban heritage materials face accelerated decay due to the synergistic effects of air pollution and climate change. Dose–response functions (DRFs) have emerged as a key tool to quantify and predict these risks. This review synthesizes the scientific development of DRFs, their application in Europe and China, and their role in policy and heritage management. European initiatives have refined DRFs to incorporate multi-pollutant and climate interactions, providing spatial risk maps and informing pollution control measures. In China, recent applications adapt European insights to local contexts, revealing strong influences of particulate matter. While DRFs offer clear quantitative estimates, their empirical nature and simplified assumptions necessitate complementary methods, including sensor networks, remote sensing, and machine learning models. Future research should integrate multivariate modelling, expand empirical data, and couple DRFs with real-time monitoring to better protect urban heritage materials amid environmental change.</w:t>
      </w:r>
    </w:p>
    <w:p>
      <w:pPr/>
      <w:r>
        <w:rPr>
          <w:b/>
        </w:rPr>
        <w:t>POSSIBLE 2024:</w:t>
      </w:r>
      <w:r>
        <w:t xml:space="preserve"> Climate change and air pollution impacts on cultural heritage building materials in Europe and Mexico — https://doi.org/10.1016/j.scitotenv.2024.170945</w:t>
      </w:r>
    </w:p>
    <w:p>
      <w:pPr/>
      <w:r>
        <w:rPr>
          <w:b/>
        </w:rPr>
        <w:t>Shared claim-specific concepts:</w:t>
      </w:r>
      <w:r>
        <w:t xml:space="preserve"> air, pollution, relevant, climate; EU scope visible. This is a provisional connection, not an outcome finding.</w:t>
      </w:r>
    </w:p>
    <w:p>
      <w:pPr>
        <w:pStyle w:val="SourceNote"/>
      </w:pPr>
      <w:r>
        <w:rPr>
          <w:b/>
        </w:rPr>
        <w:t>Available abstract (not full text):</w:t>
      </w:r>
      <w:r>
        <w:t xml:space="preserve"> Climate and air pollution have adverse effects on cultural heritage building materials. However, the quantified damage due to modeled changes in climate and air pollution is still poorly studied. Here, we review first the damage affecting these materials and the associated damage equations in the literature. Across all relevant studies (n = 87), we found only nine independent equations to estimate different damage categories, mainly limited to limestones. Then, by using current meteorological data and future bias-corrected CMIP6 climate and air pollution data at high resolution (1 km; historical and business-as-usual scenario) and applying these equations, we quantified the relative contributions of climate and air pollution changes on the building materials of eight cultural heritage sites of the European project Sustainable COnservation and REstoration of built cultural heritage (SCORE) from 2020 to 2100. On average across the sites, a significant decrease in damage is projected in surface recession (-10 % ± 10 %), biomass accumulation (-20 % ± 18 %), and wind-rain erosion (-7 % ± 6 %) in response to future climate and air pollution changes, except in the regions where precipitation substantially increases (Northern Europe). A large uncertainty in the relative magnitude of the damage to built cultural heritage materials was found for the same site, changes in surface recessio</w:t>
      </w:r>
    </w:p>
    <w:p>
      <w:pPr/>
      <w:r>
        <w:rPr>
          <w:b/>
        </w:rPr>
        <w:t>POSSIBLE 2024:</w:t>
      </w:r>
      <w:r>
        <w:t xml:space="preserve"> Trends in Air Pollution in Europe, 2000–2019 — https://doi.org/10.4209/aaqr.230237</w:t>
      </w:r>
    </w:p>
    <w:p>
      <w:pPr/>
      <w:r>
        <w:rPr>
          <w:b/>
        </w:rPr>
        <w:t>Shared claim-specific concepts:</w:t>
      </w:r>
      <w:r>
        <w:t xml:space="preserve"> air, pollution, comprehensive, consistent; EU scope visible. This is a provisional connection, not an outcome finding.</w:t>
      </w:r>
    </w:p>
    <w:p>
      <w:pPr>
        <w:pStyle w:val="SourceNote"/>
      </w:pPr>
      <w:r>
        <w:rPr>
          <w:b/>
        </w:rPr>
        <w:t>Available abstract (not full text):</w:t>
      </w:r>
      <w:r>
        <w:t xml:space="preserve"> This paper encompasses an assessment of air pollution trends in rural environments in Europe over the 2000–2019 period, benefiting from extensive long-term observational data from the EMEP monitoring network and EMEP MSC-W model computations. The trends in pollutant concentrations align with the decreasing emission patterns observed throughout Europe. Annual average concentrations of sulfur dioxide, particulate sulfate, and sulfur wet deposition have shown consistent declines of 3-4% annually since 2000. Similarly, oxidized nitrogen species have markedly decreased across Europe, with an annual reduction of 1.5-2% in nitrogen dioxide concentrations, total nitrate in the air, and oxidized nitrogen deposition. Notably, emission reductions and model predictions appear to slightly surpass the observed declines in sulfur and oxidized nitrogen, indicating a potential overestimation of reported emission reductions. Ammonia emissions have decreased less compared to other pollutants since 2000. Significant reductions in particulate ammonium have however, been achieved due to the impact of reductions in SOx and NOx emissions. For ground level ozone, both the observed and modelled peak levels in summer show declining trends, although the observed decline is smaller than modelled. There have been substantial annual reductions of 1.8% and 2.4% in the concentrations of PM10 and PM2.5, respect</w:t>
      </w:r>
    </w:p>
    <w:p>
      <w:pPr/>
      <w:r>
        <w:rPr>
          <w:b/>
        </w:rPr>
        <w:t>POSSIBLE 2023:</w:t>
      </w:r>
      <w:r>
        <w:t xml:space="preserve"> The Future Impact of Shipping Emissions on Air Quality in Europe under Climate Change — https://doi.org/10.3390/atmos14071126</w:t>
      </w:r>
    </w:p>
    <w:p>
      <w:pPr/>
      <w:r>
        <w:rPr>
          <w:b/>
        </w:rPr>
        <w:t>Shared claim-specific concepts:</w:t>
      </w:r>
      <w:r>
        <w:t xml:space="preserve"> quantify, air, modelling, system, climate, two; EU scope visible. This is a provisional connection, not an outcome finding.</w:t>
      </w:r>
    </w:p>
    <w:p>
      <w:pPr>
        <w:pStyle w:val="SourceNote"/>
      </w:pPr>
      <w:r>
        <w:rPr>
          <w:b/>
        </w:rPr>
        <w:t>Available abstract (not full text):</w:t>
      </w:r>
      <w:r>
        <w:t xml:space="preserve"> Ship engine combustion emits several atmospheric pollutants, such as PM, SOx, and NOx, which can have adverse health effects and are significant contributors to decreased air quality. Due to the distribution of maritime transport activity routes in the EU, a large portion of the population is exposed to shipping emissions throughout Europe. Therefore, in light of the European Commission long-term objective of “zero-waste, zero-emission” for maritime transport, the focus of this study was to quantify the impact of shipping emissions in the present, as well as the future, considering both emissions projection for the shipping sector and a climate change scenario. The WRF-CHIMERE modelling system was used to quantify the impact of shipping in Europe. To obtain the current and future contributions of maritime transport to the total pollutant concentrations, simulations were divided into two present (baseline and without shipping) and three future scenarios (shipping projection, climate change, and shipping projection and climate change). The results indicate that the current and future impacts of shipping emissions on pollutant concentrations are similar in some regions (NO2 for Northern Europe and SO2 for Southern Europe), which is due to the enforcement of emission control areas for those pollutants. However, efforts towards lowering emissions from the shipping sector are negated</w:t>
      </w:r>
    </w:p>
    <w:p>
      <w:pPr/>
      <w:r>
        <w:rPr>
          <w:b/>
        </w:rPr>
        <w:t>POSSIBLE 2023:</w:t>
      </w:r>
      <w:r>
        <w:t xml:space="preserve"> Clean air in Europe for all — https://doi.org/10.1097/ee9.0000000000000245</w:t>
      </w:r>
    </w:p>
    <w:p>
      <w:pPr/>
      <w:r>
        <w:rPr>
          <w:b/>
        </w:rPr>
        <w:t>Shared claim-specific concepts:</w:t>
      </w:r>
      <w:r>
        <w:t xml:space="preserve"> air, pollution, designed, comprehensive, climate; EU scope visible. This is a provisional connection, not an outcome finding.</w:t>
      </w:r>
    </w:p>
    <w:p>
      <w:pPr>
        <w:pStyle w:val="SourceNote"/>
      </w:pPr>
      <w:r>
        <w:rPr>
          <w:b/>
        </w:rPr>
        <w:t>Available abstract (not full text):</w:t>
      </w:r>
      <w:r>
        <w:t xml:space="preserve"> Introduction Ambient air pollution is a major global public health risk factor. There is now broad consensus that exposure to air pollution causes an array of adverse health effects based on evidence from a large scientific literature that has grown exponentially since the mid-1990s.1–4 Air pollution damages most organ systems and is linked to many debilitating diseases, such as asthma, cardiovascular diseases, chronic obstructive pulmonary disease, pneumonia, stroke, diabetes, lung cancer, and dementia.5 The Global Burden of Disease study estimated that in 2019 air pollution ranked as the fourth global risk factor for mortality, surpassed only by high blood pressure, tobacco use, and poor diet.6 The European Environment Agency estimated 300,000 premature deaths due to air pollution in the EU-27 in 2020—an unacceptable high air pollution burden.7 Air pollution levels have generally declined over the last several decades in Europe, due largely to successful air quality regulation and subsequent improvements in technology and industry. The current air quality legislation in Europe—the Ambient Air Quality Directive (AAQD) from 2008—set limit values for the annual mean of the air pollutants PM2.5 and NO2 to 25 and 40 µg/m3, respectively.8 These limit values are criticized for being insufficient to protect the health of EU citizens.9,10 The World Health Organization (WHO) released n</w:t>
      </w:r>
    </w:p>
    <w:p>
      <w:pPr/>
      <w:r>
        <w:rPr>
          <w:b/>
        </w:rPr>
        <w:t>POSSIBLE 2023:</w:t>
      </w:r>
      <w:r>
        <w:t xml:space="preserve"> Science Europe Response Public consultation on Horizon 2020 and Horizon Europe — https://doi.org/10.5281/zenodo.7664436</w:t>
      </w:r>
    </w:p>
    <w:p>
      <w:pPr/>
      <w:r>
        <w:rPr>
          <w:b/>
        </w:rPr>
        <w:t>Shared claim-specific concepts:</w:t>
      </w:r>
      <w:r>
        <w:t xml:space="preserve"> horizon, two, policies; EU scope visible. This is a provisional connection, not an outcome finding.</w:t>
      </w:r>
    </w:p>
    <w:p>
      <w:pPr>
        <w:pStyle w:val="SourceNote"/>
      </w:pPr>
      <w:r>
        <w:rPr>
          <w:b/>
        </w:rPr>
        <w:t>Available abstract (not full text):</w:t>
      </w:r>
      <w:r>
        <w:t xml:space="preserve"> As representative of major public organisations that fund and perform excellent research in Europe, Science Europe welcomes the opportunity to contribute to the reflection on the past, present, and future of the European Framework Programmes for Research and Innovation (R&amp;I). They are crucial instruments to boost European scientific excellence, facilitate collaboration among the European R&amp;I communities, and further develop the European Research Area (ERA). Despite a steady increase over the past decades, the budget of the programmes remains insufficient, and a majority of positively evaluated projects remain unfunded. The R&amp;I community must continue to advocate an increase of the budget, and to oppose any reductions over its lifetime, either during the yearly budget negotiations, or when new EU programmes are created and need funding. In this respect, it is crucial that citizens understand the importance of R&amp;I and support it. The main objective of the Framework Programmes has shifted since the preparation of Horizon 2020. A bigger focus was placed on a utilitarian purpose of scientific outputs for rapid (economic) impact. Additionally, political agendas became stronger drivers of R&amp;I strategies. Science Europe advocates a stronger focus on the generation of knowledge for its own intrinsic value, and on the confidence that excellent research and innovation will lead to impact.</w:t>
      </w:r>
    </w:p>
    <w:p>
      <w:pPr/>
      <w:r>
        <w:rPr>
          <w:b/>
        </w:rPr>
        <w:t>POSSIBLE 2023:</w:t>
      </w:r>
      <w:r>
        <w:t xml:space="preserve"> Effects of urban to regional emissions on the air pollution health burden in Europe — https://doi.org/10.1016/s2468-2667(23)00125-1</w:t>
      </w:r>
    </w:p>
    <w:p>
      <w:pPr/>
      <w:r>
        <w:rPr>
          <w:b/>
        </w:rPr>
        <w:t>Shared claim-specific concepts:</w:t>
      </w:r>
      <w:r>
        <w:t xml:space="preserve"> quantify, air, pollution, modelling, factors, climate; EU scope visible. This is a provisional connection, not an outcome finding.</w:t>
      </w:r>
    </w:p>
    <w:p>
      <w:pPr>
        <w:pStyle w:val="SourceNote"/>
      </w:pPr>
      <w:r>
        <w:rPr>
          <w:b/>
        </w:rPr>
        <w:t>Available abstract (not full text):</w:t>
      </w:r>
      <w:r>
        <w:t xml:space="preserve"> Ambient air pollution is one of the largest health risk factors facing populations globally;1Cohen AJ Brauer M Burnett R et al.Estimates and 25-year trends of the global burden of disease attributable to ambient air pollution: an analysis of data from the Global Burden of Diseases Study 2015.Lancet. 2017; 389: 1907-1918Summary Full Text Full Text PDF PubMed Scopus (3543) Google Scholar however, who is responsible for pollution exposure across various populations is unclear. Is attainment of clean air the provenance of municipal governments, or does it require coordinated action with neighbouring upwind cities, states or provinces, and countries, or even intercontinental agreements? Many studies have sought to address this question, from investigations of hemispheric atmospheric transport affecting continental mean pollutant concentrations2Dentener F Keating T Akimoto H Hemispheric transport of air pollution 2010. Part A: ozone and particulate matter. UN, New York, NY, and Geneva2010Google Scholar to quantifying the role of municipal emissions in air quality in individual cities.3Tessum MW Anenberg SC Chafe ZA et al.Sources of ambient PM2·5 exposure in 96 global cities.Atmos Environ. 2022; 286119234Crossref Scopus (4) Google Scholar, 4Nawaz MO Henze DK Anenberg SC et al.Sources of air pollution-related health impacts and benefits of radially applied transportation policies in 14</w:t>
      </w:r>
    </w:p>
    <w:p>
      <w:pPr>
        <w:pStyle w:val="Heading2"/>
      </w:pPr>
      <w:r>
        <w:t>953. Foresight and “grand challenges” within research and innovation policies</w:t>
      </w:r>
    </w:p>
    <w:p>
      <w:pPr>
        <w:pStyle w:val="SourceNote"/>
      </w:pPr>
      <w:r>
        <w:rPr>
          <w:b/>
        </w:rPr>
        <w:t>Original source (2013):</w:t>
      </w:r>
      <w:r>
        <w:t xml:space="preserve"> https://doi.org/10.1108/14636681311310123</w:t>
      </w:r>
    </w:p>
    <w:p>
      <w:pPr/>
      <w:r>
        <w:t>Original wording (abstract; indexed_source_text_not_full_document_verified): Purpose The paper seeks to discuss how foresight is used to understand the implications of global changes for research and innovation policies. It aims to present a recent Irish case study that identified grand challenges in the national context, with their implications for research and innovation.</w:t>
      </w:r>
    </w:p>
    <w:p>
      <w:pPr/>
      <w:r>
        <w:rPr>
          <w:b/>
        </w:rPr>
        <w:t>POSSIBLE 2026:</w:t>
      </w:r>
      <w:r>
        <w:t xml:space="preserve"> Meaning, Purpose, and Leadership Thriving — https://doi.org/10.1002/jls.70045</w:t>
      </w:r>
    </w:p>
    <w:p>
      <w:pPr/>
      <w:r>
        <w:rPr>
          <w:b/>
        </w:rPr>
        <w:t>Shared claim-specific concepts:</w:t>
      </w:r>
      <w:r>
        <w:t xml:space="preserve"> purpose, implications, challenges; EU scope not established. This is a provisional connection, not an outcome finding.</w:t>
      </w:r>
    </w:p>
    <w:p>
      <w:pPr>
        <w:pStyle w:val="SourceNote"/>
      </w:pPr>
      <w:r>
        <w:rPr>
          <w:b/>
        </w:rPr>
        <w:t>Available abstract (not full text):</w:t>
      </w:r>
      <w:r>
        <w:t xml:space="preserve"> ABSTRACT This article advances a framework linking meaning‐making and purpose to leadership thriving. Drawing on leadership, positive psychology, and higher education literature, I position leadership as an interpretive and developmental process through which individuals construct meaning, sustain purpose, and cultivate coherent leadership identities. Meaning‐making is examined as a mechanism to shape how challenges are interpreted, while purpose functions as a motivational anchor to sustain engagement and direction. Leadership identity integrates these elements, supporting authenticity and developmental continuity. Implications for leadership education are discussed, emphasizing reflective practice, narrative development, and purpose exploration as core pedagogical strategies to foster thriving among undergraduate leaders.</w:t>
      </w:r>
    </w:p>
    <w:p>
      <w:pPr/>
      <w:r>
        <w:rPr>
          <w:b/>
        </w:rPr>
        <w:t>POSSIBLE 2025:</w:t>
      </w:r>
      <w:r>
        <w:t xml:space="preserve"> The Authenticity of Purpose Claims: Firm Capacity and Job Seeker Responses to Recruitment Efforts — https://doi.org/10.1287/mnsc.2023.03931</w:t>
      </w:r>
    </w:p>
    <w:p>
      <w:pPr/>
      <w:r>
        <w:rPr>
          <w:b/>
        </w:rPr>
        <w:t>Shared claim-specific concepts:</w:t>
      </w:r>
      <w:r>
        <w:t xml:space="preserve"> purpose, understand, present, recent, context; EU scope not established. This is a provisional connection, not an outcome finding.</w:t>
      </w:r>
    </w:p>
    <w:p>
      <w:pPr>
        <w:pStyle w:val="SourceNote"/>
      </w:pPr>
      <w:r>
        <w:rPr>
          <w:b/>
        </w:rPr>
        <w:t>Available abstract (not full text):</w:t>
      </w:r>
      <w:r>
        <w:t xml:space="preserve"> Whereas corporate purpose involves a claim made to galvanize stakeholders, recent research on the topic has not examined it as a claim. Given the information asymmetry that many evaluators of purpose claims face, a key question concerns the conditions under which they are not simply viewed as cheap talk but are instead perceived as authentic. We argue that the difficulty and future orientation inherent to purpose claims make firm capacity a key source of authenticity and, ultimately, positive evaluations. We examine these ideas in the labor market context, where employers often present purpose claims to job seekers facing information asymmetry. First, we develop and validate a novel measure of purpose claim strength using a combination of topic modeling, dictionary-based validation, and experimental validation. Using this measure, we test our capacity hypothesis with job application field data, using firm size as a proxy for capacity. We find that high-purpose job posts receive approximately 50% more applications than low-purpose job posts when the firm has more than 1,000 employees, but only receive about a 10% increase when the firm has fewer than 50 employees. In a second study, we use vignette experiments to directly test our hypothesized mechanism. We show that, conditional on a strong purpose claim, size manipulations shape capacity perceptions, leading to greater perceiv</w:t>
      </w:r>
    </w:p>
    <w:p>
      <w:pPr/>
      <w:r>
        <w:rPr>
          <w:b/>
        </w:rPr>
        <w:t>POSSIBLE 2024:</w:t>
      </w:r>
      <w:r>
        <w:t xml:space="preserve"> FINDING OUR PURPOSE — https://doi.org/10.1002/9781394308705.ch2</w:t>
      </w:r>
    </w:p>
    <w:p>
      <w:pPr/>
      <w:r>
        <w:rPr>
          <w:b/>
        </w:rPr>
        <w:t>Shared claim-specific concepts:</w:t>
      </w:r>
      <w:r>
        <w:t xml:space="preserve"> purpose, discuss, understand; EU scope not established. This is a provisional connection, not an outcome finding.</w:t>
      </w:r>
    </w:p>
    <w:p>
      <w:pPr>
        <w:pStyle w:val="SourceNote"/>
      </w:pPr>
      <w:r>
        <w:rPr>
          <w:b/>
        </w:rPr>
        <w:t>Available abstract (not full text):</w:t>
      </w:r>
      <w:r>
        <w:t xml:space="preserve"> In this chapter, the authors discuss about the experience of an amazing journey while writing and promoting the book. One of the most inspiring aspects of that journey was meeting countless people who had found a sense of Purpose in what they were doing. The authors find meaning in it and connect their work with values that they held dear. They discover a clear why that informed their creativity and actions. This realization became even clearer, and the hunger to discover Purpose in our own lives and work grew increasingly important to us. In many ways, that experience is what makes the struggle to understand the Purpose so relatable and understandable. The authors suggest that people needed to embark on new journeys, not ones focused on the Purposes of others but a journey to discover their own why and reason for being.</w:t>
      </w:r>
    </w:p>
    <w:p>
      <w:pPr/>
      <w:r>
        <w:rPr>
          <w:b/>
        </w:rPr>
        <w:t>POSSIBLE 2024:</w:t>
      </w:r>
      <w:r>
        <w:t xml:space="preserve"> Pregnant Women's Experiences of Seeking Treatment for Opioid Use — https://doi.org/10.1097/nmc.0000000000001024</w:t>
      </w:r>
    </w:p>
    <w:p>
      <w:pPr/>
      <w:r>
        <w:rPr>
          <w:b/>
        </w:rPr>
        <w:t>Shared claim-specific concepts:</w:t>
      </w:r>
      <w:r>
        <w:t xml:space="preserve"> purpose, used, understand, implications, identified; EU scope not established. This is a provisional connection, not an outcome finding.</w:t>
      </w:r>
    </w:p>
    <w:p>
      <w:pPr>
        <w:pStyle w:val="SourceNote"/>
      </w:pPr>
      <w:r>
        <w:rPr>
          <w:b/>
        </w:rPr>
        <w:t>Available abstract (not full text):</w:t>
      </w:r>
      <w:r>
        <w:t xml:space="preserve"> PURPOSE: The purpose of this study was to describe women's experiences seeking treatment for opioid use disorder during pregnancy. STUDY DESIGN AND METHODS: This was an exploratory multi-method study to understand women's experiences seeking treatment for opioid use disorder during pregnancy using surveys and interviews. Women pregnant within the past 5 years while using opioids were recruited from a private Facebook group for mothers on medication for opioid use disorder. Members of this group assisted with the development of the survey. Descriptive statistics were used for the 18-question survey and interviews were recorded, transcribed, and analyzed for themes. RESULTS: Twenty-one women completed an online survey, and six participated in an in-depth virtual interview about their experience. Five themes describing their experiences were identified: (1) fear of child protective services, (2) family and partner support, (3) health care providers' reactions, (4) accessing treatment centers, and (5) awareness of support services during pregnancy . CLINICAL IMPLICATIONS: Participants reported an overall negative experience seeking treatment for opioid use disorder during pregnancy. Nurses can improve the outcomes for pregnant women with opioid use disorder by using a non-stigmatizing approach, promoting early identification, and providing information, including harm reduction educ</w:t>
      </w:r>
    </w:p>
    <w:p>
      <w:pPr/>
      <w:r>
        <w:rPr>
          <w:b/>
        </w:rPr>
        <w:t>POSSIBLE 2023:</w:t>
      </w:r>
      <w:r>
        <w:t xml:space="preserve"> Power of a Feminist Identity on Sense of Self and Purpose — https://doi.org/10.33470/2161-0029.1148</w:t>
      </w:r>
    </w:p>
    <w:p>
      <w:pPr/>
      <w:r>
        <w:rPr>
          <w:b/>
        </w:rPr>
        <w:t>Shared claim-specific concepts:</w:t>
      </w:r>
      <w:r>
        <w:t xml:space="preserve"> purpose, understand, implications; EU scope not established. This is a provisional connection, not an outcome finding.</w:t>
      </w:r>
    </w:p>
    <w:p>
      <w:pPr>
        <w:pStyle w:val="SourceNote"/>
      </w:pPr>
      <w:r>
        <w:rPr>
          <w:b/>
        </w:rPr>
        <w:t>Available abstract (not full text):</w:t>
      </w:r>
      <w:r>
        <w:t xml:space="preserve"> This study centered on feminist-identified women and the meaning they made from their feminist identity. Using an Interpretative Phenomenological Analysis design, eight women were interviewed to understand their lived experience and the influence their social or political identity had on how they experienced and made sense of their world. The overarching finding was that all participants exuded a strong sense of self, which seemed to provide resilience and empower participants to navigate sexism and other injustice. Themes that support this finding include exhibiting confidence and self-advocacy, confronting sexism, and describing a connection between feminist identity and career or activism. Implications are provided for counselors, counselor educators, and supervisors. Recommendations include recognizing the importance of clients’ feminist identities throughout the counseling process and drawing on a feminist framework to process lived discrimination and injustice, empower clients, and locate support systems.</w:t>
      </w:r>
    </w:p>
    <w:p>
      <w:pPr/>
      <w:r>
        <w:rPr>
          <w:b/>
        </w:rPr>
        <w:t>POSSIBLE 2021:</w:t>
      </w:r>
      <w:r>
        <w:t xml:space="preserve"> Automata, Purpose, and Value — https://doi.org/10.4324/9781003205760-9</w:t>
      </w:r>
    </w:p>
    <w:p>
      <w:pPr/>
      <w:r>
        <w:rPr>
          <w:b/>
        </w:rPr>
        <w:t>Shared claim-specific concepts:</w:t>
      </w:r>
      <w:r>
        <w:t xml:space="preserve"> purpose, aims, context; EU scope not established. This is a provisional connection, not an outcome finding.</w:t>
      </w:r>
    </w:p>
    <w:p>
      <w:pPr>
        <w:pStyle w:val="SourceNote"/>
      </w:pPr>
      <w:r>
        <w:rPr>
          <w:b/>
        </w:rPr>
        <w:t>Available abstract (not full text):</w:t>
      </w:r>
      <w:r>
        <w:t xml:space="preserve"> Goal-seeking or purposive behavior was also one of the functions thought to be denied to automata. This chapter aims to argue that there is, related to purposiveness, one area of essential difference between humans and automata that has not thus far been replicated or simulated, even ‘in principle.’ The problem of the distinction between human beings and sophisticated machines of the robot sort has often been discussed in the context of whether robots can be made to exhibit characteristic behavior of humans or to accomplish all the ‘mental’ tasks that humans can. The metaphorical or analogical extension of such terminology neglects the complex human context in which its meaningfulness has arisen. The fact that most ordinary goals and values are acquired from our social environment does not mean, either, that those that come from society are not deliberate, not autonomous human purposes.</w:t>
      </w:r>
    </w:p>
    <w:p>
      <w:pPr/>
      <w:r>
        <w:rPr>
          <w:b/>
        </w:rPr>
        <w:t>POSSIBLE 2021:</w:t>
      </w:r>
      <w:r>
        <w:t xml:space="preserve"> Health-seeking behaviours of immigrants, asylum seekers and refugees in Europe: a systematic review of peer-reviewed articles — https://doi.org/10.1108/jd-10-2020-0168</w:t>
      </w:r>
    </w:p>
    <w:p>
      <w:pPr/>
      <w:r>
        <w:rPr>
          <w:b/>
        </w:rPr>
        <w:t>Shared claim-specific concepts:</w:t>
      </w:r>
      <w:r>
        <w:t xml:space="preserve"> purpose, used, understand, implications, challenges, context; EU scope visible. This is a provisional connection, not an outcome finding.</w:t>
      </w:r>
    </w:p>
    <w:p>
      <w:pPr>
        <w:pStyle w:val="SourceNote"/>
      </w:pPr>
      <w:r>
        <w:rPr>
          <w:b/>
        </w:rPr>
        <w:t>Available abstract (not full text):</w:t>
      </w:r>
      <w:r>
        <w:t xml:space="preserve"> Purpose Immigrants, asylum seekers and refugees living in Europe face a number of challenges in accessing or using health information and healthcare services available in their host countries. To resolve these issues and deliver the necessary services, providers must take a comprehensive approach to better understand the types of health information and healthcare services that these individuals need, seek and use. Therefore, the purpose of this paper is to develop that comprehensive approach. Design/methodology/approach In this paper, a systematic literature review of peer-reviewed publications was performed, with 3.013 articles collected from various databases. A total of 57 qualifying papers on studies conducted in Europe were included in the review after applying the predefined inclusion and exclusion requirements, screening processes and eliminating duplicates. The information seeking and communication model (ISCM) was used in the analysis. Findings The findings revealed that while many health information and healthcare services are accessible in Europe for immigrants, asylum seekers and refugees, many of these individuals are unaware of their existence or how to access them. While our findings do not specify what health-related information these groups need, use or seek, they do suggest the importance and value of providing mental health, sexual health and HIV, as well as </w:t>
      </w:r>
    </w:p>
    <w:p>
      <w:pPr/>
      <w:r>
        <w:rPr>
          <w:b/>
        </w:rPr>
        <w:t>POSSIBLE 2020:</w:t>
      </w:r>
      <w:r>
        <w:t xml:space="preserve"> Men’s help-seeking behaviour — https://openalex.org/W3041004601</w:t>
      </w:r>
    </w:p>
    <w:p>
      <w:pPr/>
      <w:r>
        <w:rPr>
          <w:b/>
        </w:rPr>
        <w:t>Shared claim-specific concepts:</w:t>
      </w:r>
      <w:r>
        <w:t xml:space="preserve"> purpose, used, identified; EU scope not established. This is a provisional connection, not an outcome finding.</w:t>
      </w:r>
    </w:p>
    <w:p>
      <w:pPr>
        <w:pStyle w:val="SourceNote"/>
      </w:pPr>
      <w:r>
        <w:rPr>
          <w:b/>
        </w:rPr>
        <w:t>Available abstract (not full text):</w:t>
      </w:r>
      <w:r>
        <w:t xml:space="preserve"> This thesis used a self-reporting online survey to gather firsthand knowledge of men’s help-seeking behaviour. Research into men’s unwillingness to accept help generally, and more specifically for psychotherapy, is reviewed. The purpose of this study is to explore societal and personal barriers which influence men’s willingness to seek support for mental health issues. The survey, created by the researcher, included Likert and open-ended questions. Men’s responses revealed that conformity to masculine norms inhibit healthy help-seeking behaviour. Possible ways of changing traditional male attitudes towards counselling are discussed and further areas of research identified.</w:t>
      </w:r>
    </w:p>
    <w:p>
      <w:pPr/>
      <w:r>
        <w:rPr>
          <w:b/>
        </w:rPr>
        <w:t>POSSIBLE 2019:</w:t>
      </w:r>
      <w:r>
        <w:t xml:space="preserve"> Why do people seek knowledge? Tracing factors that affect knowledge seeking intention — https://doi.org/10.1108/vjikms-04-2019-0059</w:t>
      </w:r>
    </w:p>
    <w:p>
      <w:pPr/>
      <w:r>
        <w:rPr>
          <w:b/>
        </w:rPr>
        <w:t>Shared claim-specific concepts:</w:t>
      </w:r>
      <w:r>
        <w:t xml:space="preserve"> purpose, seeks, used, understand, implications; EU scope not established. This is a provisional connection, not an outcome finding.</w:t>
      </w:r>
    </w:p>
    <w:p>
      <w:pPr>
        <w:pStyle w:val="SourceNote"/>
      </w:pPr>
      <w:r>
        <w:rPr>
          <w:b/>
        </w:rPr>
        <w:t>Available abstract (not full text):</w:t>
      </w:r>
      <w:r>
        <w:t xml:space="preserve"> Purpose The purpose of this study is to understand factors that motivate an individual to seek knowledge on knowledge management systems. Specifically, the work seeks to clarify the impact of organizational practices on an individual’s intention to seek knowledge. The overarching theme is to broaden the current understanding of factors that impact individual knowledge seeking behavior and narrow down factors for which interventions can be developed. Design/methodology/approach In-depth interviews were conducted with the members of knowledge management (KM), human resources (HR) and learning and development teams of Robert Bosch Engineering and Business Solutions Private Limited (RBEI) to understand knowledge behaviors of employees. Subsequent to an exploratory analysis, the survey methodology was used to collect data from members of RBEI. A proposed theoretical model was then validated using partial least squares. Findings Empirical findings suggest that to motivate participation, organizational KM practices need to be geared towards promoting curiosity and engaging learners. Results indicate that overt recognition of knowledge seeking behaviors by HR could be counterproductive. Research limitations/implications This study was limited to an MNC engineering organization in one geographic location; one must be cautious when generalizing these results. Replicating this study in mu</w:t>
      </w:r>
    </w:p>
    <w:p>
      <w:pPr/>
      <w:r>
        <w:rPr>
          <w:b/>
        </w:rPr>
        <w:t>POSSIBLE 2019:</w:t>
      </w:r>
      <w:r>
        <w:t xml:space="preserve"> Using the Theory of Planned Behavior to Understand Factors Influencing South Asian Consumers’ Intention to Seek Pharmacist-Provided Medication Therapy Management Services — https://doi.org/10.3390/pharmacy7030088</w:t>
      </w:r>
    </w:p>
    <w:p>
      <w:pPr/>
      <w:r>
        <w:rPr>
          <w:b/>
        </w:rPr>
        <w:t>Shared claim-specific concepts:</w:t>
      </w:r>
      <w:r>
        <w:t xml:space="preserve"> purpose, used, understand; EU scope not established. This is a provisional connection, not an outcome finding.</w:t>
      </w:r>
    </w:p>
    <w:p>
      <w:pPr>
        <w:pStyle w:val="SourceNote"/>
      </w:pPr>
      <w:r>
        <w:rPr>
          <w:b/>
        </w:rPr>
        <w:t>Available abstract (not full text):</w:t>
      </w:r>
      <w:r>
        <w:t xml:space="preserve"> The study purpose was to use the theory of planned behavior to understand factors influencing South Asian consumers’ intention to seek pharmacist-provided medication therapy management services (MTMS). Specific objectives were to assess effects of attitude, subjective norm (SN), perceived behavioral control (PBC), and socio-demographics on South Asian consumers’ intention to seek MTMS. Participants who were ≥18 years of age, of South Asian origin, with a previous visit to a pharmacy in the US for a health-related reason, and with ability to read and comprehend English were recruited from independent pharmacies in New York City. Responses were obtained through a self-administered survey. Descriptive statistics were performed, and multiple linear regression analysis was conducted to assess the study objective. SPSS was used for data analyses. Out of 140 responses, 133 were usable. Mean scores (standard deviation) were 4.04 (0.97) for attitude, 3.77 (0.91) for SN, 3.75 (0.93) for PBC, and 3.96 (0.94) for intention. The model explains 80.8% of variance and is a significant predictor of intention, F (14,118) = 35.488, p &lt; 0.05. While attitude (β = 0.723, p &lt; 0.05) and PBC (β = 0.148, p &lt; 0.05) were significant predictors of intention, SN (β = 0.064, p = 0.395) was not. None of the socio-demographics were significant predictors of intention. Strategies to make South Asians seek MTMS </w:t>
      </w:r>
    </w:p>
    <w:p>
      <w:pPr/>
      <w:r>
        <w:rPr>
          <w:b/>
        </w:rPr>
        <w:t>POSSIBLE 2019:</w:t>
      </w:r>
      <w:r>
        <w:t xml:space="preserve"> Seeking legitimacy — https://doi.org/10.1108/sampj-12-2018-0332</w:t>
      </w:r>
    </w:p>
    <w:p>
      <w:pPr/>
      <w:r>
        <w:rPr>
          <w:b/>
        </w:rPr>
        <w:t>Shared claim-specific concepts:</w:t>
      </w:r>
      <w:r>
        <w:t xml:space="preserve"> purpose, discuss, implications, recent; EU scope not established. This is a provisional connection, not an outcome finding.</w:t>
      </w:r>
    </w:p>
    <w:p>
      <w:pPr>
        <w:pStyle w:val="SourceNote"/>
      </w:pPr>
      <w:r>
        <w:rPr>
          <w:b/>
        </w:rPr>
        <w:t>Available abstract (not full text):</w:t>
      </w:r>
      <w:r>
        <w:t xml:space="preserve"> Purpose In this essay, the author reflects on the legitimacy theory in corporate social responsibility (CSR) disclosure research. Design/methodology/approach This is a reflection/review essay based on a review of relevant literature. Findings Although almost constantly under attack from a variety of scholars, legitimacy theory seems to hold on in the social and environmental disclosure arena. However, the failure of the recent wave of CSR-themed work published in The Accounting Review to even acknowledge, let alone engage with, the theory is problematic. Research limitations/implications We, in the CSR disclosure arena, need to do all we can to help emerging scholars (particularly in the USA) find the rich body of research the mainstream journals fail to discuss. Practical implications Legitimacy-based research can help move CSR disclosure at least closer to being a tool of accountability, as opposed to a tool for legitimation. Social implications Perhaps the critique of the mainstream North American literature’s failure to consider legitimacy theory can lead to the recognition of the need to focus on the harm to sustainability that a narrow, shareholder-centric focus leads to. Originality/value This reflection takes a unique look at the contributions of legitimacy theory to CSR disclosure research.</w:t>
      </w:r>
    </w:p>
    <w:p>
      <w:pPr/>
      <w:r>
        <w:rPr>
          <w:b/>
        </w:rPr>
        <w:t>POSSIBLE 2017:</w:t>
      </w:r>
      <w:r>
        <w:t xml:space="preserve"> Purposing: How Purpose Develops Self-Organizing Capacities — https://doi.org/10.5465/ambpp.2017.17754abstract</w:t>
      </w:r>
    </w:p>
    <w:p>
      <w:pPr/>
      <w:r>
        <w:rPr>
          <w:b/>
        </w:rPr>
        <w:t>Shared claim-specific concepts:</w:t>
      </w:r>
      <w:r>
        <w:t xml:space="preserve"> purpose, seeks, understand; EU scope not established. This is a provisional connection, not an outcome finding.</w:t>
      </w:r>
    </w:p>
    <w:p>
      <w:pPr>
        <w:pStyle w:val="SourceNote"/>
      </w:pPr>
      <w:r>
        <w:rPr>
          <w:b/>
        </w:rPr>
        <w:t>Available abstract (not full text):</w:t>
      </w:r>
      <w:r>
        <w:t xml:space="preserve"> Self-organization and organic-like organization are gaining more traction during the last few years with different forms and organizing structures, offering a potential alternative to mainstream traditional bureaucracy. This paper seeks to identify structural commonalities between organizations that claim self-organization and organic structures, in order to understand them and assess the way they foster personal commitment for desired objectives. I interviewed 31 individuals from 6 organizations from diverse sectors. I discovered various forms and practices, not as models of perfection, but as efforts of change to realize wholly different values in the way they unite in making purpose and meaning alive and in turning on the logic of responsible autonomy and peer accountability. The findings highlight the importance of a process that supports (1) basic psychological needs satisfaction of autonomy, competence, and relatedness, (2) the continuous search for meaning and (3) a tolerance for uncertainty to allow safe experimentation; a process that I labeled ‘purposing’. These organizations are serious initiatives to break from the traditional institutional grip of the hierarchical structures of command and control. This paper is important to both academicians and practitioners who seek to understand alternative forms and practices to organize and coordinate human efforts since it s</w:t>
      </w:r>
    </w:p>
    <w:p>
      <w:pPr>
        <w:pStyle w:val="Heading2"/>
      </w:pPr>
      <w:r>
        <w:t>954. Foresighting addiction and lifestyles in Europe 2030+</w:t>
      </w:r>
    </w:p>
    <w:p>
      <w:pPr>
        <w:pStyle w:val="SourceNote"/>
      </w:pPr>
      <w:r>
        <w:rPr>
          <w:b/>
        </w:rPr>
        <w:t>Original source (2013):</w:t>
      </w:r>
      <w:r>
        <w:t xml:space="preserve"> https://doi.org/10.1007/s40309-013-0019-0</w:t>
      </w:r>
    </w:p>
    <w:p>
      <w:pPr/>
      <w:r>
        <w:t>Original wording (abstract; indexed_source_text_not_full_document_verified): The project invited 17 European and three international drug disorder experts to provide an initial vision and a reframing as to how scientific, technological and social advancement may impact on our understanding of addictions and lifestyles over the next 20 years («Vision 2030+»). Four mini-scenarios were designed to raise awareness that the future could go in different (possible, plausible, preferable) directions implying quite diverse individual and societal impacts.</w:t>
      </w:r>
    </w:p>
    <w:p>
      <w:pPr/>
      <w:r>
        <w:rPr>
          <w:b/>
        </w:rPr>
        <w:t>POSSIBLE 2026:</w:t>
      </w:r>
      <w:r>
        <w:t xml:space="preserve"> The Horizon Europe CRM-geothermal project: Deliverable 6.7 – Clustering Network Map. — https://doi.org/10.5281/zenodo.19929926</w:t>
      </w:r>
    </w:p>
    <w:p>
      <w:pPr/>
      <w:r>
        <w:rPr>
          <w:b/>
        </w:rPr>
        <w:t>Shared claim-specific concepts:</w:t>
      </w:r>
      <w:r>
        <w:t xml:space="preserve"> project, invited, three, raise; EU scope visible. This is a provisional connection, not an outcome finding.</w:t>
      </w:r>
    </w:p>
    <w:p>
      <w:pPr>
        <w:pStyle w:val="SourceNote"/>
      </w:pPr>
      <w:r>
        <w:rPr>
          <w:b/>
        </w:rPr>
        <w:t>Available abstract (not full text):</w:t>
      </w:r>
      <w:r>
        <w:t xml:space="preserve"> The present deliverable is dedicated to reporting the cooperation measures and the respective map of clustering initiatives that were engaged as part of the CRM-geothermal Task 6.6 – Clustering. The task has the purpose of establishing a network of projects and initiatives, mainly funded under Horizon Europe, related to the pillars of CRM-geothermal: sourcing of critical raw materials and geothermal energy. From this network, researchers and other representatives of the projects co-generate opportunities to organise discussions and other joint activities to discuss common topics and mutually contribute to each other’s research efforts. The consortium partners of CRM-geothermal were contacted by the leader of Task 6.6 in order to collect potential clustering candidates from their network of contacts, which were contacted with the support of a clustering form template. The template allowed CRM-geothermal and the contacted projects to learn more about each other and to assess the mutual interest and respective ideas for joint collaboration. In parallel, partners have been making contacts and redirecting clustering opportunities and events in which CRM-geothermal can participate to the clustering task leader, on an ad-hoc basis. As a result, CRM-geothermal was invited to join the ‘Materials for batteries Cluster Hub’, together with 25 other EU initiatives dedicated to sourcing of r</w:t>
      </w:r>
    </w:p>
    <w:p>
      <w:pPr/>
      <w:r>
        <w:rPr>
          <w:b/>
        </w:rPr>
        <w:t>POSSIBLE 2025:</w:t>
      </w:r>
      <w:r>
        <w:t xml:space="preserve"> ESPAD Report 2024:Results from the European School Survey Project on Alcohol and Other Drugs — https://openalex.org/W7120667521</w:t>
      </w:r>
    </w:p>
    <w:p>
      <w:pPr/>
      <w:r>
        <w:rPr>
          <w:b/>
        </w:rPr>
        <w:t>Shared claim-specific concepts:</w:t>
      </w:r>
      <w:r>
        <w:t xml:space="preserve"> project, over; EU scope visible. This is a provisional connection, not an outcome finding.</w:t>
      </w:r>
    </w:p>
    <w:p>
      <w:pPr>
        <w:pStyle w:val="SourceNote"/>
      </w:pPr>
      <w:r>
        <w:rPr>
          <w:b/>
        </w:rPr>
        <w:t>Available abstract (not full text):</w:t>
      </w:r>
      <w:r>
        <w:t xml:space="preserve"> This report presents the results from the seventh wave of data collection, conducted in 35 countries during the spring and autumn of 2024. It gives a comprehensive picture of the present situation among European young people as regards the use of cigarettes, alcohol, illicit drugs, inhalants, new psychoactive substances and pharmaceuticals, but also insights into gambling, social media use and gaming. The report also presents an overview of trends over the time period 1995-2019.</w:t>
      </w:r>
    </w:p>
    <w:p>
      <w:pPr/>
      <w:r>
        <w:rPr>
          <w:b/>
        </w:rPr>
        <w:t>POSSIBLE 2025:</w:t>
      </w:r>
      <w:r>
        <w:t xml:space="preserve"> Animal board invited review: A biocultural perspective of animal farming systems in Europe — https://doi.org/10.1016/j.animal.2025.101515</w:t>
      </w:r>
    </w:p>
    <w:p>
      <w:pPr/>
      <w:r>
        <w:rPr>
          <w:b/>
        </w:rPr>
        <w:t>Shared claim-specific concepts:</w:t>
      </w:r>
      <w:r>
        <w:t xml:space="preserve"> invited, three, scientific; EU scope visible. This is a provisional connection, not an outcome finding.</w:t>
      </w:r>
    </w:p>
    <w:p>
      <w:pPr>
        <w:pStyle w:val="SourceNote"/>
      </w:pPr>
      <w:r>
        <w:rPr>
          <w:b/>
        </w:rPr>
        <w:t>Available abstract (not full text):</w:t>
      </w:r>
      <w:r>
        <w:t xml:space="preserve"> • Animal farming systems’ biocultural values have been sidelined by intensification. • A biocultural diversity lens show biodiversity, climatic, and cultural benefits. • Examples show livestock as an animal-based solution for landscape sustainability. • Farming animals can act as transformative agents, creating sustainable landscapes. • A biocultural approach is key to unlocking the sustainability of animal farming. Europe’s landscapes have evolved through the intricate interplay of natural processes and human activities, one of which is animal farming; thus, historically creating biocultural landscapes rich in biological and cultural diversity. However, agricultural intensification has neglected and altered the role of animals within landscapes, and undermines the potential of more extensive animal farming systems to create sustainable landscapes, as an alternative to highly industrialised and high-density animal production, which is responsible for a wide range of environmental trade-offs. We present a biocultural diversity ( BCD ) framework to emphasise the contributions of animal farming systems to landscape sustainability from a social-ecological perspective. By applying a biocultural lens across three European case studies —peatland restoration in Germany, wildfire control in the Mediterranean, and hay milk production in the Alpine region— we demonstrate how animal farmin</w:t>
      </w:r>
    </w:p>
    <w:p>
      <w:pPr/>
      <w:r>
        <w:rPr>
          <w:b/>
        </w:rPr>
        <w:t>POSSIBLE 2024:</w:t>
      </w:r>
      <w:r>
        <w:t xml:space="preserve"> INVITED SYMPOSIUM — https://doi.org/10.1002/ijop.13184</w:t>
      </w:r>
    </w:p>
    <w:p>
      <w:pPr/>
      <w:r>
        <w:rPr>
          <w:b/>
        </w:rPr>
        <w:t>Shared claim-specific concepts:</w:t>
      </w:r>
      <w:r>
        <w:t xml:space="preserve"> invited, over; EU scope visible. This is a provisional connection, not an outcome finding.</w:t>
      </w:r>
    </w:p>
    <w:p>
      <w:pPr>
        <w:pStyle w:val="SourceNote"/>
      </w:pPr>
      <w:r>
        <w:rPr>
          <w:b/>
        </w:rPr>
        <w:t>Available abstract (not full text):</w:t>
      </w:r>
      <w:r>
        <w:t xml:space="preserve"> To be able to step over our shadows, we need the light of many others'.The effects of colonisation and enslavement are very much present in societies today.They are not only reflected in global economic relations and climate change, but also in social relationships, in minds and attitudes, and in the transgenerational transfer of traumas.The question is raised whether contemporary psychology is ready to remedy the effects of past unequal and destructive power relations or whether it contributes to maintaining the status quo.Colonisation reduced humans to commodities, treating them with disrespect and depriving them of dignified circumstances to live in.The land of the colonised was taken, their holy grounds, rivers, trees were disrespected, and their ways of making a living disrupted.People in slavery were deprived of their freedom.They did not even possess their bodies anymore.The large power differentials created by colonization and slavery had and continue to have consequences for the descendants of both the colonized and the colonizers.This symposium examines developments in psychology that seek to deconstruct and repair the malign effects of colonialism in Europe and Brazil.</w:t>
      </w:r>
    </w:p>
    <w:p>
      <w:pPr/>
      <w:r>
        <w:rPr>
          <w:b/>
        </w:rPr>
        <w:t>POSSIBLE 2024:</w:t>
      </w:r>
      <w:r>
        <w:t xml:space="preserve"> — Invited Review — Pig meat production in the European Union-27: current status, challenges, and future trends — https://doi.org/10.5713/ab.23.0496</w:t>
      </w:r>
    </w:p>
    <w:p>
      <w:pPr/>
      <w:r>
        <w:rPr>
          <w:b/>
        </w:rPr>
        <w:t>Shared claim-specific concepts:</w:t>
      </w:r>
      <w:r>
        <w:t xml:space="preserve"> invited, three, technological, next; EU scope visible. This is a provisional connection, not an outcome finding.</w:t>
      </w:r>
    </w:p>
    <w:p>
      <w:pPr>
        <w:pStyle w:val="SourceNote"/>
      </w:pPr>
      <w:r>
        <w:rPr>
          <w:b/>
        </w:rPr>
        <w:t>Available abstract (not full text):</w:t>
      </w:r>
      <w:r>
        <w:t xml:space="preserve"> The main objective of this study was to present data on the current situation and future trends of pig meat production in the European Union-27 (EU). Pig production has played an important social and economic role for centuries in many states of the EU. In 2022, pig meat production in the EU reached 23 M tons, which represented 21% of total production worldwide. The two key reasons that justify such amount of pork produced, are the acceptance and high consumption of the meat by the local population and the high quality of the meat produced which facilitated pork export. However, current data show a reduction in pork production for the last three years, as a consequence of a series of events that include i) problems with the chain of ingredients supply, ii) uncontrolled increase in African Swine Fever (ASF) outbreaks, iii) fast recovery of pig production in China, iv) increasing concerns by the rural population on the high cost to meet future requirements of the EU legislation on farm management, environmental sustainability and animal welfare, v) increased cost of all inputs involved in pig production and vi) limited interest of the new farmer generation to work on the pig sector. Consequently, pork production is expected to decrease in the EU for the next years, although sales will be maintained at a relative high level because pork is the meat preferred by local consumers in </w:t>
      </w:r>
    </w:p>
    <w:p>
      <w:pPr/>
      <w:r>
        <w:rPr>
          <w:b/>
        </w:rPr>
        <w:t>POSSIBLE 2023:</w:t>
      </w:r>
      <w:r>
        <w:t xml:space="preserve"> Drug use and access to drug dependency services for vulnerable migrants who use drugs in the European Union: Consensus statements and recommendations from civil society experts in Europe — https://doi.org/10.1016/j.drugpo.2023.104087</w:t>
      </w:r>
    </w:p>
    <w:p>
      <w:pPr/>
      <w:r>
        <w:rPr>
          <w:b/>
        </w:rPr>
        <w:t>Shared claim-specific concepts:</w:t>
      </w:r>
      <w:r>
        <w:t xml:space="preserve"> drug, experts, four; EU scope visible. This is a provisional connection, not an outcome finding.</w:t>
      </w:r>
    </w:p>
    <w:p>
      <w:pPr>
        <w:pStyle w:val="SourceNote"/>
      </w:pPr>
      <w:r>
        <w:rPr>
          <w:b/>
        </w:rPr>
        <w:t>Available abstract (not full text):</w:t>
      </w:r>
      <w:r>
        <w:t xml:space="preserve"> BACKGROUND: The number of migrants in the European Union (EU) has been growing, including migrants at risk of using drugs. Little information is available on the actual drug use among first-generation migrants who use drugs in the EU, nor on their access to drug dependency services. This study aims to reach consensus among experts in the EU on the current situation regarding vulnerable migrants who use drugs in the EU and to develop a set of actionable recommendations. METHODS: Between April and September 2022, a panel of 57 experts on migration and/or drug use, working in 24 countries, participated in a three-stage Delphi study to develop statements and recommendations about drug use and access to healthcare services for migrants who use drugs in the EU. RESULTS: High levels of agreement were reached on the 20 statements (mean=98.0%) and 15 recommendations (mean=99.7%). The recommendations focus on four main topics; 1) increasing data availability and quality, to inform guidelines; 2) increasing the availability of drug dependency services for migrants, including screening for mental health issues and involving migrants who use drugs in the development of services; 3) eliminating country and service level barriers for accessing these services, as well as providing migrants who use drugs with suitable information, and combating stigma and discrimination; 4) the need for increas</w:t>
      </w:r>
    </w:p>
    <w:p>
      <w:pPr/>
      <w:r>
        <w:rPr>
          <w:b/>
        </w:rPr>
        <w:t>POSSIBLE 2022:</w:t>
      </w:r>
      <w:r>
        <w:t xml:space="preserve"> European Registry of Cardiac Arrest – Study-THREE (EuReCa THREE) – An international, prospective, multi-centre, three-month survey of epidemiology, treatment and outcome of patients with out-of-hospital cardiac arrest in Europe – The study protocol — https://doi.org/10.1016/j.resplu.2022.100314</w:t>
      </w:r>
    </w:p>
    <w:p>
      <w:pPr/>
      <w:r>
        <w:rPr>
          <w:b/>
        </w:rPr>
        <w:t>Shared claim-specific concepts:</w:t>
      </w:r>
      <w:r>
        <w:t xml:space="preserve"> project, three, international, provide; EU scope visible. This is a provisional connection, not an outcome finding.</w:t>
      </w:r>
    </w:p>
    <w:p>
      <w:pPr>
        <w:pStyle w:val="SourceNote"/>
      </w:pPr>
      <w:r>
        <w:rPr>
          <w:b/>
        </w:rPr>
        <w:t>Available abstract (not full text):</w:t>
      </w:r>
      <w:r>
        <w:t xml:space="preserve"> Background: The aim of the European Registry of Cardiac Arrest (EuReCa) network is to provide high quality evidence on epidemiology of out-of-hospital cardiac arrest (OHCA) in Europe by supporting and developing cardiac arrest registries and performing European-wide studies. To date, the EuReCa ONE and EuReCa TWO studies have involved around 28 countries, with population covered increasing from the first to the second study. The aim of the EuReCa THREE study is to build on previous work and to support the promotion of quality data collection on OHCA throughout Europe. Methods/design: EuReCa THREE will be the third prospective cohort study on epidemiology of OHCA and will involve around 30 European countries. The study will be conducted between 1st September and 30th November 2022. Data will be collected on cardiac arrest cases attended, resuscitation attempted, patient and cardiac arrest event characteristics and outcomes (including return of spontaneous circulation, status on hospital arrival and discharge). A particular focus for EuReCa THREE will be to describe key time intervals in OHCA management; time from call to EMS arrival on scene, time from cardiac arrest to start CPR, time from EMS arrival to delivery of patient to hospital.EuReCa THREE was registered with the German Registry of Clinical Trials Registration Number: DRKS00028591 searchable via WHO meta-registry (http</w:t>
      </w:r>
    </w:p>
    <w:p>
      <w:pPr/>
      <w:r>
        <w:rPr>
          <w:b/>
        </w:rPr>
        <w:t>POSSIBLE 2022:</w:t>
      </w:r>
      <w:r>
        <w:t xml:space="preserve"> Invited Commentary: Drug Checking for Novel Insights Into the Unregulated Drug Supply — https://doi.org/10.17615/s217-j120</w:t>
      </w:r>
    </w:p>
    <w:p>
      <w:pPr/>
      <w:r>
        <w:rPr>
          <w:b/>
        </w:rPr>
        <w:t>Shared claim-specific concepts:</w:t>
      </w:r>
      <w:r>
        <w:t xml:space="preserve"> invited, drug, provide, understanding; EU scope not established. This is a provisional connection, not an outcome finding.</w:t>
      </w:r>
    </w:p>
    <w:p>
      <w:pPr>
        <w:pStyle w:val="SourceNote"/>
      </w:pPr>
      <w:r>
        <w:rPr>
          <w:b/>
        </w:rPr>
        <w:t>Available abstract (not full text):</w:t>
      </w:r>
      <w:r>
        <w:t xml:space="preserve"> Tobias et al. (Am J Epidemiol. 2022;191 (2):241-247) present a novel analysis of time trends in fentanyl concentrations in the unregulated drug supply in British Columbia, Canada. The preexisting knowledge about unregulated drugs had come from law-enforcement seizures and postmortem toxicology. As both of these data sources are subject to selection bias, large-scale drug-checking programs are poised to be a crucial component of the public health response to the unrelenting increase in overdose in North America. As programs expand, we offer 2 guiding principles. First, the primary purpose of these programs is to deliver timely results to people who use drugs to mitigate health risks. Second, innovation is needed to go beyond criminal justice paradigms in laboratory analysis for a more nuanced understanding of health concerns. We provide examples of the role adulterants play in our understanding of drug harms. We also describe the applications and limitations of common laboratory assays, with implications for epidemiologic surveillance. While the research and direct service teams in British Columbia have taken groundbreaking steps, there is still a need to establish best practices for communicating results to sample donors in an approachable yet nonalarmist tone.</w:t>
      </w:r>
    </w:p>
    <w:p>
      <w:pPr/>
      <w:r>
        <w:rPr>
          <w:b/>
        </w:rPr>
        <w:t>POSSIBLE 2021:</w:t>
      </w:r>
      <w:r>
        <w:t xml:space="preserve"> Radiographer tips for gaining European research funding-our experience with the SAFE EUROPE project — https://openalex.org/W3202602997</w:t>
      </w:r>
    </w:p>
    <w:p>
      <w:pPr/>
      <w:r>
        <w:rPr>
          <w:b/>
        </w:rPr>
        <w:t>Shared claim-specific concepts:</w:t>
      </w:r>
      <w:r>
        <w:t xml:space="preserve"> project, invited, three, international, over; EU scope visible. This is a provisional connection, not an outcome finding.</w:t>
      </w:r>
    </w:p>
    <w:p>
      <w:pPr>
        <w:pStyle w:val="SourceNote"/>
      </w:pPr>
      <w:r>
        <w:rPr>
          <w:b/>
        </w:rPr>
        <w:t>Available abstract (not full text):</w:t>
      </w:r>
      <w:r>
        <w:t xml:space="preserve"> Abstract Purpose Research in radiography is expanding rapidly however gaining funding for research activity is getting increasingly difficult. The European Union (EU) is a valuable source of funding and has funding available in many areas e.g. regional development, employment or research. The aim of this paper is to share our experience of a successful funding application for radiography research. Methodology A application was made to the EU Sector Skills Alliance grant funding in 2017 to develop research on education and curriculum development for therapy radiographers. The proposed research project was aligned with the requisites of the EU funding call i.e. cooperation for innovation and the exchange of good practices. Seven international partners across Europe were invited to join the consortium to perform specific tasks for the application with one partner identified as the Principal Investigator. A re-submission was made in 2018 using the feedback provided by the evaluation panel in 2017. Results Successful grant of 499,736 Euros of research funding was awarded and the SAFE EUROPE project started in January 2019. The project is being led by Ulster University over three years and includes national professional associations, European federation, universities and hospitals. Literature reviews, surveys and interviews with stakeholders are currently underway across Europe. Conc</w:t>
      </w:r>
    </w:p>
    <w:p>
      <w:pPr/>
      <w:r>
        <w:rPr>
          <w:b/>
        </w:rPr>
        <w:t>POSSIBLE 2021:</w:t>
      </w:r>
      <w:r>
        <w:t xml:space="preserve"> Roadmap on digital holography [Invited] — https://doi.org/10.1364/oe.435915</w:t>
      </w:r>
    </w:p>
    <w:p>
      <w:pPr/>
      <w:r>
        <w:rPr>
          <w:b/>
        </w:rPr>
        <w:t>Shared claim-specific concepts:</w:t>
      </w:r>
      <w:r>
        <w:t xml:space="preserve"> invited, experts, vision; EU scope not established. This is a provisional connection, not an outcome finding.</w:t>
      </w:r>
    </w:p>
    <w:p>
      <w:pPr>
        <w:pStyle w:val="SourceNote"/>
      </w:pPr>
      <w:r>
        <w:rPr>
          <w:b/>
        </w:rPr>
        <w:t>Available abstract (not full text):</w:t>
      </w:r>
      <w:r>
        <w:t xml:space="preserve"> This Roadmap article on digital holography provides an overview of a vast array of research activities in the field of digital holography. The paper consists of a series of 25 sections from the prominent experts in digital holography presenting various aspects of the field on sensing, 3D imaging and displays, virtual and augmented reality, microscopy, cell identification, tomography, label-free live cell imaging, and other applications. Each section represents the vision of its author to describe the significant progress, potential impact, important developments, and challenging issues in the field of digital holography.</w:t>
      </w:r>
    </w:p>
    <w:p>
      <w:pPr/>
      <w:r>
        <w:rPr>
          <w:b/>
        </w:rPr>
        <w:t>POSSIBLE 2021:</w:t>
      </w:r>
      <w:r>
        <w:t xml:space="preserve"> Invited Commentary: Drug Checking for Novel Insights Into the Unregulated Drug Supply — https://doi.org/10.1093/aje/kwab233</w:t>
      </w:r>
    </w:p>
    <w:p>
      <w:pPr/>
      <w:r>
        <w:rPr>
          <w:b/>
        </w:rPr>
        <w:t>Shared claim-specific concepts:</w:t>
      </w:r>
      <w:r>
        <w:t xml:space="preserve"> invited, drug, provide, understanding; EU scope not established. This is a provisional connection, not an outcome finding.</w:t>
      </w:r>
    </w:p>
    <w:p>
      <w:pPr>
        <w:pStyle w:val="SourceNote"/>
      </w:pPr>
      <w:r>
        <w:rPr>
          <w:b/>
        </w:rPr>
        <w:t>Available abstract (not full text):</w:t>
      </w:r>
      <w:r>
        <w:t xml:space="preserve"> Tobias et al. (Am J Epidemiol. 2022;191 (2):241-247) present a novel analysis of time trends in fentanyl concentrations in the unregulated drug supply in British Columbia, Canada. The preexisting knowledge about unregulated drugs had come from law-enforcement seizures and postmortem toxicology. As both of these data sources are subject to selection bias, large-scale drug-checking programs are poised to be a crucial component of the public health response to the unrelenting increase in overdose in North America. As programs expand, we offer 2 guiding principles. First, the primary purpose of these programs is to deliver timely results to people who use drugs to mitigate health risks. Second, innovation is needed to go beyond criminal justice paradigms in laboratory analysis for a more nuanced understanding of health concerns. We provide examples of the role adulterants play in our understanding of drug harms. We also describe the applications and limitations of common laboratory assays, with implications for epidemiologic surveillance. While the research and direct service teams in British Columbia have taken groundbreaking steps, there is still a need to establish best practices for communicating results to sample donors in an approachable yet nonalarmist tone.</w:t>
      </w:r>
    </w:p>
    <w:p>
      <w:pPr/>
      <w:r>
        <w:rPr>
          <w:b/>
        </w:rPr>
        <w:t>POSSIBLE 2021:</w:t>
      </w:r>
      <w:r>
        <w:t xml:space="preserve"> Integrating partner notification and contact tracing services across Europe: findings from the Integrate project — https://doi.org/10.1186/s12879-021-06445-5</w:t>
      </w:r>
    </w:p>
    <w:p>
      <w:pPr/>
      <w:r>
        <w:rPr>
          <w:b/>
        </w:rPr>
        <w:t>Shared claim-specific concepts:</w:t>
      </w:r>
      <w:r>
        <w:t xml:space="preserve"> project, three, four; EU scope visible. This is a provisional connection, not an outcome finding.</w:t>
      </w:r>
    </w:p>
    <w:p>
      <w:pPr>
        <w:pStyle w:val="SourceNote"/>
      </w:pPr>
      <w:r>
        <w:rPr>
          <w:b/>
        </w:rPr>
        <w:t>Available abstract (not full text):</w:t>
      </w:r>
      <w:r>
        <w:t xml:space="preserve"> BACKGROUND: Partner notification/contact tracing (PN/CT) is a process whereby people diagnosed with an infectious disease notify their sexual and needle-sharing partners/close contacts and invite them for testing and treatment due to exposure to the disease. PN is a necessary testing and prevention tool supported by the European Centre for Disease Prevention and Control (ECDC) and World Health Organization (WHO). Traditionally, PN efforts have been siloed within disease areas, with separate pathways and systems responsible for specific diseases. The INTEGRATE project sought to improve PN/CT outcomes by sharing knowledge across diseases and countries. METHODS: INTEGRATE used two mapping exercises to assess the PN landscape in Europe and identify areas for integration and cross-learnings for Sexually Transmitted Infections (STIs) and Tuberculosis. Mapping exercises were surveys to 29 consortium partners and in-depth qualitative interviews at four selected pilot sites: Ireland, Greece, Romania and Italy. RESULTS: Areas for the improvement of PN/CT emerged: lack of resources and insufficient staff training, different modes of disease transmission, country-specific laws and regulations, the advent of General Data Protection Regulation (GDPR), differences in healthcare system pathways, historical concerns, and cultural differences. Activities highlighted key areas PN/CT outcomes coul</w:t>
      </w:r>
    </w:p>
    <w:p>
      <w:pPr>
        <w:pStyle w:val="Heading2"/>
      </w:pPr>
      <w:r>
        <w:t>955. From flood science to flood policy: the Foresight Future Flooding project seven years on</w:t>
      </w:r>
    </w:p>
    <w:p>
      <w:pPr>
        <w:pStyle w:val="SourceNote"/>
      </w:pPr>
      <w:r>
        <w:rPr>
          <w:b/>
        </w:rPr>
        <w:t>Original source (2013):</w:t>
      </w:r>
      <w:r>
        <w:t xml:space="preserve"> https://doi.org/10.1108/fs-06-2012-0046</w:t>
      </w:r>
    </w:p>
    <w:p>
      <w:pPr/>
      <w:r>
        <w:t>Original wording (abstract; indexed_source_text_not_full_document_verified): Purpose The Foresight Future Flooding (FFF) project researched flood risk in the UK to the year 2100 for central government, using scenarios and a national risk assessment model backed by qualitative analysis from panels of some 45 senior scientists.</w:t>
      </w:r>
    </w:p>
    <w:p>
      <w:pPr/>
      <w:r>
        <w:rPr>
          <w:b/>
        </w:rPr>
        <w:t>POSSIBLE 2026:</w:t>
      </w:r>
      <w:r>
        <w:t xml:space="preserve"> Eye of Europe Foresight Training Manual — https://openalex.org/W7220785974</w:t>
      </w:r>
    </w:p>
    <w:p>
      <w:pPr/>
      <w:r>
        <w:rPr>
          <w:b/>
        </w:rPr>
        <w:t>Shared claim-specific concepts:</w:t>
      </w:r>
      <w:r>
        <w:t xml:space="preserve"> purpose, foresight, project; EU scope visible. This is a provisional connection, not an outcome finding.</w:t>
      </w:r>
    </w:p>
    <w:p>
      <w:pPr>
        <w:pStyle w:val="SourceNote"/>
      </w:pPr>
      <w:r>
        <w:rPr>
          <w:b/>
        </w:rPr>
        <w:t>Available abstract (not full text):</w:t>
      </w:r>
      <w:r>
        <w:t xml:space="preserve"> The following document outlines the Eye of Europe Foresight Training Manual. The manual is developed by the Finland Futures Research Centre (FFRC), University of Turku, as part of the Work Package 4 (Futures Literacy) of the Eye of Europe project. The deliverable is submitted at month 10 of project (August 2024) after the delivery of prior pilot training for foresight beneficiaries. The purpose of the manual is to define and establish foresight training target groups, to describe, on a high level, intended training inputs and outcomes, and to document and reflect upon the first practical training activities of the project.</w:t>
      </w:r>
    </w:p>
    <w:p>
      <w:pPr/>
      <w:r>
        <w:rPr>
          <w:b/>
        </w:rPr>
        <w:t>POSSIBLE 2026:</w:t>
      </w:r>
      <w:r>
        <w:t xml:space="preserve"> Generative artificial intelligence for managerial foresight — https://doi.org/10.1016/j.futures.2026.103831</w:t>
      </w:r>
    </w:p>
    <w:p>
      <w:pPr/>
      <w:r>
        <w:rPr>
          <w:b/>
        </w:rPr>
        <w:t>Shared claim-specific concepts:</w:t>
      </w:r>
      <w:r>
        <w:t xml:space="preserve"> foresight, qualitative; EU scope not established. This is a provisional connection, not an outcome finding.</w:t>
      </w:r>
    </w:p>
    <w:p>
      <w:pPr>
        <w:pStyle w:val="SourceNote"/>
      </w:pPr>
      <w:r>
        <w:rPr>
          <w:b/>
        </w:rPr>
        <w:t>Available abstract (not full text):</w:t>
      </w:r>
      <w:r>
        <w:t xml:space="preserve"> As organizations increasingly integrate generative AI (GenAI) into decision processes, the nature of managerial foresight is undergoing a fundamental transformation. Although managerial foresight is widely associated with innovation, prior research has largely treated this relationship as direct or processual, overlooking the individual-level cognitive mechanisms through which managerial foresight translates into innovative behavior, particularly in AI-augmented contexts. This study develops and tests a cognitively grounded model linking managerial foresight to innovative behavior through cognitive engagement, and examines how GenAI conditions this relationship. Drawing on a 2×3 factorial experiment with 252 professionals evaluating product innovation scenarios, we manipulate GenAI usage (none, moderate, high). Results reveal a non-linear, inverse U-shaped moderating effect: moderate GenAI use strengthens the indirect effect of managerial foresight on innovative behavior via cognitive engagement, whereas both overreliance and non-use attenuate it. Qualitative evidence shows that excessive GenAI use induces cognitive offloading and fixation, while its absence constrains exploratory thinking. These findings make three contributions. First, we reconceptualize managerial foresight as a cognitively effortful process, identifying cognitive engagement as a critical microfoundation of </w:t>
      </w:r>
    </w:p>
    <w:p>
      <w:pPr/>
      <w:r>
        <w:rPr>
          <w:b/>
        </w:rPr>
        <w:t>POSSIBLE 2025:</w:t>
      </w:r>
      <w:r>
        <w:t xml:space="preserve"> Foresight for Danube Region’s Future-Oriented Competitive Planning: Book of Abstracts — https://doi.org/10.18690/um.fov.6.2025</w:t>
      </w:r>
    </w:p>
    <w:p>
      <w:pPr/>
      <w:r>
        <w:rPr>
          <w:b/>
        </w:rPr>
        <w:t>Shared claim-specific concepts:</w:t>
      </w:r>
      <w:r>
        <w:t xml:space="preserve"> foresight, project; EU scope visible. This is a provisional connection, not an outcome finding.</w:t>
      </w:r>
    </w:p>
    <w:p>
      <w:pPr>
        <w:pStyle w:val="SourceNote"/>
      </w:pPr>
      <w:r>
        <w:rPr>
          <w:b/>
        </w:rPr>
        <w:t>Available abstract (not full text):</w:t>
      </w:r>
      <w:r>
        <w:t xml:space="preserve"> The ForeDanube initiative and its related activities collectively advance the role of foresight as a strategic instrument for competitiveness, innovation, and resilient policymaking in the Danube Region. Across nine contributions, the presentations address both theoretical and applied dimensions of foresight: from integrating artificial intelligence and managing uncertainty, to strengthening education through a dedicated Master’s program, embedding foresight into the EU Strategy for the Danube Region, and supporting crisis preparedness. Empirical insights from regional surveys highlight the gap between awareness and practice, while practical frameworks, such as the Danube Transfer Centre network and structured work plans, demonstrate how foresight can be institutionalized across multi-level governance. EU co-financing opportunities through Horizon Europe are identified as crucial enablers for capacity building. The overarching vision culminates in the ForeDanube project’s proposal for a permanent Foresight Competence Centre, serving as a hub for anticipatory governance and as a scalable model for Europe and beyond.</w:t>
      </w:r>
    </w:p>
    <w:p>
      <w:pPr/>
      <w:r>
        <w:rPr>
          <w:b/>
        </w:rPr>
        <w:t>POSSIBLE 2024:</w:t>
      </w:r>
      <w:r>
        <w:t xml:space="preserve"> (Re)envisioning inclusive futures: Applying narrative foresight to deconstruct the problem of urban flooding in the slums of Bengaluru, India — https://doi.org/10.1111/dpr.12786</w:t>
      </w:r>
    </w:p>
    <w:p>
      <w:pPr/>
      <w:r>
        <w:rPr>
          <w:b/>
        </w:rPr>
        <w:t>Shared claim-specific concepts:</w:t>
      </w:r>
      <w:r>
        <w:t xml:space="preserve"> purpose, foresight, flooding, flood, assessment; EU scope not established. This is a provisional connection, not an outcome finding.</w:t>
      </w:r>
    </w:p>
    <w:p>
      <w:pPr>
        <w:pStyle w:val="SourceNote"/>
      </w:pPr>
      <w:r>
        <w:rPr>
          <w:b/>
        </w:rPr>
        <w:t>Available abstract (not full text):</w:t>
      </w:r>
      <w:r>
        <w:t xml:space="preserve"> Abstract Motivation Recurring urban flooding in Bengaluru, India, has brought multiple intersecting development challenges to the forefront. While climate change is a catalyst for flooding, rapid urbanisation has aggravated the problem by neglecting its ecological history. Repeated floods have particularly affected migrants living in the slums, further worsening their already vulnerable conditions. Currently, only about 40% of slums are formally recognized by city authorities, leaving most slum dwellers with limited access to public benefits and basic infrastructure. Although the city offers piecemeal solutions, it currently lacks foresight for long‐term planning that includes marginalized voices. Purpose We explore the multiple and intertwined development challenges faced by Bengaluru city, attempting to frame them from the perspective of migrant slum dwellers experiencing flooding. We try to bring to the forefront the everyday risks and vulnerabilities of the marginalized populations in Indian cities, which have received limited attention both in research and policy. The results of this exercise are intended to create sustainable collaborative processes to inform future decisions, particularly addressing the problem of urban flooding. Methods and approach Our proposed methodology integrates climate risk assessment—urban flood modelling and exposure mapping of slums across the</w:t>
      </w:r>
    </w:p>
    <w:p>
      <w:pPr/>
      <w:r>
        <w:rPr>
          <w:b/>
        </w:rPr>
        <w:t>POSSIBLE 2024:</w:t>
      </w:r>
      <w:r>
        <w:t xml:space="preserve"> FORESIGHT PROJECTS AS A FACTOR IN THE FORMATION OF STUDENTS' LEGAL BEHAVIOUR IN AN EDUCATIONAL INSTITUTION IN THE CONTEXT OF THE HUMANISATION OF THE EDUCATIONAL PROCESS — https://doi.org/10.54891/2786-7013-2024-1-10</w:t>
      </w:r>
    </w:p>
    <w:p>
      <w:pPr/>
      <w:r>
        <w:rPr>
          <w:b/>
        </w:rPr>
        <w:t>Shared claim-specific concepts:</w:t>
      </w:r>
      <w:r>
        <w:t xml:space="preserve"> purpose, foresight, project; EU scope not established. This is a provisional connection, not an outcome finding.</w:t>
      </w:r>
    </w:p>
    <w:p>
      <w:pPr>
        <w:pStyle w:val="SourceNote"/>
      </w:pPr>
      <w:r>
        <w:rPr>
          <w:b/>
        </w:rPr>
        <w:t>Available abstract (not full text):</w:t>
      </w:r>
      <w:r>
        <w:t xml:space="preserve"> The article highlights the issues related to the use of foresight projects for the formation of students' legal behaviour in an educational institution in the context of the humanisation of the educational process. The article analyses scientific and methodological works on the peculiarities of using the project method in educational institutions. It is established that students' work on projects contributes to the development of independence, activity, research skills, a sense of belonging to the world community, awareness of professional choice, creative and social development, and the formation of critical thinking skills. Working on a project in an educational institution, regardless of its didactic purpose, shapes the student's future behavior in personal and professional terms, and therefore a trajectory that can be predicted. It is believed that the term «foresight» was first used by science fiction writer H.G. Wells in 1930 in one of his public speeches. The writer proposed to introduce the profession of a «professor of foresight», who, like a historian, would analyze and propose options for the practical implementation of future discoveries. The use of foresight projects in the educational process of an educational institution allows to shape the legal behavior of students, implementing the strategy of humanization of education. At the same time, such behavior is regul</w:t>
      </w:r>
    </w:p>
    <w:p>
      <w:pPr/>
      <w:r>
        <w:rPr>
          <w:b/>
        </w:rPr>
        <w:t>POSSIBLE 2024:</w:t>
      </w:r>
      <w:r>
        <w:t xml:space="preserve"> Mission-oriented scenarios: a new method for urban foresight — https://doi.org/10.1108/fs-06-2023-0119</w:t>
      </w:r>
    </w:p>
    <w:p>
      <w:pPr/>
      <w:r>
        <w:rPr>
          <w:b/>
        </w:rPr>
        <w:t>Shared claim-specific concepts:</w:t>
      </w:r>
      <w:r>
        <w:t xml:space="preserve"> purpose, foresight, project; EU scope visible. This is a provisional connection, not an outcome finding.</w:t>
      </w:r>
    </w:p>
    <w:p>
      <w:pPr>
        <w:pStyle w:val="SourceNote"/>
      </w:pPr>
      <w:r>
        <w:rPr>
          <w:b/>
        </w:rPr>
        <w:t>Available abstract (not full text):</w:t>
      </w:r>
      <w:r>
        <w:t xml:space="preserve"> Purpose The purpose of this study is to propose an innovative and efficient process in urban policy-making that combines a divergent and creative method with a convergent and strategic one. At the same time, the purpose is also to propose a useful innovation to enforce the usability of both methods. On the one hand, mission-oriented policies run the risk of being overly focused on the present and of not being able to develop preparedness in organization. On the other hand, scenario development has the reverse problem it often does not point out how to use scenario narratives to inform and devise short-term strategic actions. Design/methodology/approach The paper proposes an innovative methodological approach, the mission-oriented scenarios, which hybridizes Mazzucato's mission-oriented public policy framework with Jim Dator's Manoa school four futures method. The proposed methodological innovation emerges from a urban foresight academic-led project carried out in the context of the Metropolitan City of Turin, Italy, where a first application of the mission-oriented scenarios was tested on six different focal issues (from reindustrialization to cultural policies) and the scenario narratives were used as sources for the grounding of 12 missions and 48 strategic actions towards 2030. Findings Mission-oriented scenarios can contribute to the generation of more sustainable and inclu</w:t>
      </w:r>
    </w:p>
    <w:p>
      <w:pPr/>
      <w:r>
        <w:rPr>
          <w:b/>
        </w:rPr>
        <w:t>POSSIBLE 2023:</w:t>
      </w:r>
      <w:r>
        <w:t xml:space="preserve"> Interaction of subjects of the educational Process with the help of a Foresight Project — https://doi.org/10.7256/2454-0676.2023.2.38619</w:t>
      </w:r>
    </w:p>
    <w:p>
      <w:pPr/>
      <w:r>
        <w:rPr>
          <w:b/>
        </w:rPr>
        <w:t>Shared claim-specific concepts:</w:t>
      </w:r>
      <w:r>
        <w:t xml:space="preserve"> purpose, foresight, project; EU scope not established. This is a provisional connection, not an outcome finding.</w:t>
      </w:r>
    </w:p>
    <w:p>
      <w:pPr>
        <w:pStyle w:val="SourceNote"/>
      </w:pPr>
      <w:r>
        <w:rPr>
          <w:b/>
        </w:rPr>
        <w:t>Available abstract (not full text):</w:t>
      </w:r>
      <w:r>
        <w:t xml:space="preserve"> The article explores the possibilities of foresight technology as a pedagogical tool for predicting the future, competence in the structure of educational experience and assumes that it can be used to create new means of supporting learning technologies and their promotion in the educational process. This is one of the interactive forms of training for specialists of the preschool education system, which allows you to spread innovative pedagogical experience in working with preschool children in relevant areas. The purpose of the work is to study the foresight project method for the possibility of its application by participants of the educational process in preschool educational organizations, since preschool age is the initial stage of a child's awareness of their capabilities, laying the foundations of professional self-determination in the future, acquiring skills in the correlation of society's demands and their own abilities. In the course of the research, a questionnaire was created in five main areas to assess the implementation by heads of children's educational organizations of the use of the foresight project method in their teaching activities. The distinctive features of foresight design, the main problems and relevance of the application of this method by educational organizations are highlighted. Based on the data obtained, methodological recommendations for the </w:t>
      </w:r>
    </w:p>
    <w:p>
      <w:pPr/>
      <w:r>
        <w:rPr>
          <w:b/>
        </w:rPr>
        <w:t>POSSIBLE 2023:</w:t>
      </w:r>
      <w:r>
        <w:t xml:space="preserve"> Improving Public Action to Mitigate River Flooding in Niamey (Niger) — https://doi.org/10.3390/land12081523</w:t>
      </w:r>
    </w:p>
    <w:p>
      <w:pPr/>
      <w:r>
        <w:rPr>
          <w:b/>
        </w:rPr>
        <w:t>Shared claim-specific concepts:</w:t>
      </w:r>
      <w:r>
        <w:t xml:space="preserve"> purpose, foresight, flooding, flood, qualitative; EU scope not established. This is a provisional connection, not an outcome finding.</w:t>
      </w:r>
    </w:p>
    <w:p>
      <w:pPr>
        <w:pStyle w:val="SourceNote"/>
      </w:pPr>
      <w:r>
        <w:rPr>
          <w:b/>
        </w:rPr>
        <w:t>Available abstract (not full text):</w:t>
      </w:r>
      <w:r>
        <w:t xml:space="preserve"> The purpose of this paper is to analyze the effects of repeated floods in the city of Niamey and the strategies developed by the state in terms of prevention, rehabilitation, and care for victims. Although numerous framework documents have been drafted in the last decade and urbanization in flood zones has been limited, the reality in Niamey shows that urban sprawl is increasing along the riverbank and the population facing vulnerable situations is growing. The inefficiency of state action determines that, on the one hand, it is non-governmental institutions that need to develop improvement plans—with the recovery of the city being dependent on the arrival of their funds and their distribution in those areas that donor countries consider most suitable—and on the other hand, it is the citizens—already vulnerable—who must find their own resilience mechanisms to try to survive the next flood. This study reveals that this diversity of players is involved in flood management through emergency relief, solidarity in rehousing, and providing support for living and non-living flood victims. Despite this mobilization, the actions undertaken are hampered by a number of constraints. Insufficient financial and human resources, a lack of foresight on the part of the authorities, and poorly coordinated actions are the main difficulties limiting the success of public action in the face of floo</w:t>
      </w:r>
    </w:p>
    <w:p>
      <w:pPr/>
      <w:r>
        <w:rPr>
          <w:b/>
        </w:rPr>
        <w:t>POSSIBLE 2022:</w:t>
      </w:r>
      <w:r>
        <w:t xml:space="preserve"> Disaster Risk Financing systems for fluvial flood risk in Democratic Republic of Congo and Pakistan — https://doi.org/10.5194/egusphere-egu22-8204</w:t>
      </w:r>
    </w:p>
    <w:p>
      <w:pPr/>
      <w:r>
        <w:rPr>
          <w:b/>
        </w:rPr>
        <w:t>Shared claim-specific concepts:</w:t>
      </w:r>
      <w:r>
        <w:t xml:space="preserve"> foresight, flooding, flood, national, assessment; EU scope not established. This is a provisional connection, not an outcome finding.</w:t>
      </w:r>
    </w:p>
    <w:p>
      <w:pPr>
        <w:pStyle w:val="SourceNote"/>
      </w:pPr>
      <w:r>
        <w:rPr>
          <w:b/>
        </w:rPr>
        <w:t>Available abstract (not full text):</w:t>
      </w:r>
      <w:r>
        <w:t xml:space="preserve"> Flood Foresight is JBA’s strategic flood forecasting system, providing flood inundation and depth estimates at 30m resolution up to 10-days ahead of fluvial flood events. The system is globally scalable and recent projects have seen the Forecasting module provide forecast flood footprints in Democratic Republic of Congo, Myanmar and the Indus River basin in Pakistan. Data produced by these systems are being used for a variety of purposes including informing humanitarian anticipatory actions, parametric insurance and disaster risk financing. This presentation will explore the use of Flood Foresight in Democratic Republic of Congo and Pakistan for the purposes of humanitarian disaster risk financing and demonstrate the benefits to this user community in otherwise data sparse regions. Disaster Risk Financing (DRF) programmes are being developed for the Democratic Republic of Congo and Pakistan and are designed to allow civil society actors in country to proactively manage disaster risks. By quantifying risks in advance of disasters, pre-positioning funds, and releasing them according to pre-agreed plans, the user community are better placed to enable early disaster relief actions to help reduce the human and economic costs of disasters. In both Democratic Republic of Congo and Pakistan, JBA were tasked with developing an operational fluvial flood forecasting model which can, at le</w:t>
      </w:r>
    </w:p>
    <w:p>
      <w:pPr/>
      <w:r>
        <w:rPr>
          <w:b/>
        </w:rPr>
        <w:t>POSSIBLE 2022:</w:t>
      </w:r>
      <w:r>
        <w:t xml:space="preserve"> Foresight Research as а Strategic Planning Component — https://doi.org/10.37491/unz.85-86.15</w:t>
      </w:r>
    </w:p>
    <w:p>
      <w:pPr/>
      <w:r>
        <w:rPr>
          <w:b/>
        </w:rPr>
        <w:t>Shared claim-specific concepts:</w:t>
      </w:r>
      <w:r>
        <w:t xml:space="preserve"> purpose, foresight, national; EU scope not established. This is a provisional connection, not an outcome finding.</w:t>
      </w:r>
    </w:p>
    <w:p>
      <w:pPr>
        <w:pStyle w:val="SourceNote"/>
      </w:pPr>
      <w:r>
        <w:rPr>
          <w:b/>
        </w:rPr>
        <w:t>Available abstract (not full text):</w:t>
      </w:r>
      <w:r>
        <w:t xml:space="preserve"> An important component of the state organizational and economic mechanism to promote high-tech production is the presence of a well-established system of strategic planning, which helps to determine the trajectory of long-term changes in technological competitiveness. Creating an effective policy framework in the field of science, technology and innovation (STI), its planning is an important element of a sustainable policy system. Roadmaps, on the basis of which development strategies and plans for achieving the set goals are developed, are a modern tool of strategic planning, in particular in the field of STI. From the point of view of economic and social management, the technological foresight, as an element of the roadmap, provides the basis for the decision-making process on science and innovation by identifying key long-term prospects for science, technology, innovation and long-term investment in STI. Foresight outlines future priorities for science and innovation, focusing on various aspects of projected change. Prediction is not the same as forecasting. While forecasting tries to predict a single «correct» version of the future, Forsythe uses several alternative plausible futures based on their usefulness to develop sound, forward-looking policies. The object of research of this work is the roadmap of science, technology, innovation (STI), as a tool for strategic planni</w:t>
      </w:r>
    </w:p>
    <w:p>
      <w:pPr/>
      <w:r>
        <w:rPr>
          <w:b/>
        </w:rPr>
        <w:t>POSSIBLE 2020:</w:t>
      </w:r>
      <w:r>
        <w:t xml:space="preserve"> Marine Foresight Study — https://openalex.org/W3147024838</w:t>
      </w:r>
    </w:p>
    <w:p>
      <w:pPr/>
      <w:r>
        <w:rPr>
          <w:b/>
        </w:rPr>
        <w:t>Shared claim-specific concepts:</w:t>
      </w:r>
      <w:r>
        <w:t xml:space="preserve"> foresight, government, national; EU scope visible. This is a provisional connection, not an outcome finding.</w:t>
      </w:r>
    </w:p>
    <w:p>
      <w:pPr>
        <w:pStyle w:val="SourceNote"/>
      </w:pPr>
      <w:r>
        <w:rPr>
          <w:b/>
        </w:rPr>
        <w:t>Available abstract (not full text):</w:t>
      </w:r>
      <w:r>
        <w:t xml:space="preserve"> Ireland is experiencing a period of major change in terms of the legal and policy framework for marine decision-making, the political and socio-economic context for marine activities, the influence of technological change on marine activities and resultant societal impacts.Furthermore, increased awareness of the marine environment by the general public, owed to increased education and increased access to resources, as envisaged by the previous Integrated Marine Plan for Ireland, Harnessing Our Ocean Wealth (HOOW), continues to provide increased engagement with marine issues.Ireland is beginning the process of developing a successor to HOOW, and this foresight study seeks to support that process.The study has reviewed existing information, both in relation to past and current trends and potential future changes, in seeking to identify the key drivers of change across social, technological, economic, environmental and political topics.The results of the study are captured in an Evidence Database and summary report.This report was initially prepared while government formation talks were ongoing.It has been updated to reflect the Programme for Government (PfG) (Government of Ireland, 2020) which sets out a new vision for Ireland, incorporating a strategy for recovery and rebuilding in the period during and after the COVID-19 emergency.This includes many elements which relate to mar</w:t>
      </w:r>
    </w:p>
    <w:p>
      <w:pPr/>
      <w:r>
        <w:rPr>
          <w:b/>
        </w:rPr>
        <w:t>POSSIBLE 2019:</w:t>
      </w:r>
      <w:r>
        <w:t xml:space="preserve"> Horizon Scanning in Foresight – Why Horizon Scanning is only a part of the game — https://doi.org/10.1002/ffo2.23</w:t>
      </w:r>
    </w:p>
    <w:p>
      <w:pPr/>
      <w:r>
        <w:rPr>
          <w:b/>
        </w:rPr>
        <w:t>Shared claim-specific concepts:</w:t>
      </w:r>
      <w:r>
        <w:t xml:space="preserve"> foresight, national, backed; EU scope visible. This is a provisional connection, not an outcome finding.</w:t>
      </w:r>
    </w:p>
    <w:p>
      <w:pPr>
        <w:pStyle w:val="SourceNote"/>
      </w:pPr>
      <w:r>
        <w:rPr>
          <w:b/>
        </w:rPr>
        <w:t>Available abstract (not full text):</w:t>
      </w:r>
      <w:r>
        <w:t xml:space="preserve"> Abstract Foresight and Horizon Scanning are often regarded as identical concepts with identical models and purposes. But they can be completely different activities, both in and for any kind of prospective activity as well as for strategy purposes. Scanning is no debate and no strategy building. Whereas Foresight is more process‐oriented and always includes a Horizon Scanning phase, Horizon Scanning is rather found at the beginning of any forward‐looking activity and can be an automatized stand‐alone approach for identifying “things to come” ‐ which often means the identification of new science and technology and providing information about them. This paper wants to shed light on some of the confusions in Foresight and Horizon Scanning (HS) that often occur in organizations, among researchers and practitioners being thus of practical and scientific relevance for using an integrated model. The contribution is backed up by a study conducted for the European Commission (Cuhls et al., 2015) conducted to clarify for the Commission’s Foresight department (A6) how the strategic intelligence part of a foresight, the Horizon Scanning, is intertwined with the sense‐making part in similar projects in other parts of the world. The contribution thus starts with a broad definition of Foresight and of Horizon Scanning, explains findings from the study on objectives, methods used and relates t</w:t>
      </w:r>
    </w:p>
    <w:p>
      <w:pPr>
        <w:pStyle w:val="Heading2"/>
      </w:pPr>
      <w:r>
        <w:t>956. Immigration and integration scenarios in global Europe: Forward-looking up to 2050</w:t>
      </w:r>
    </w:p>
    <w:p>
      <w:pPr>
        <w:pStyle w:val="SourceNote"/>
      </w:pPr>
      <w:r>
        <w:rPr>
          <w:b/>
        </w:rPr>
        <w:t>Original source (2013):</w:t>
      </w:r>
      <w:r>
        <w:t xml:space="preserve"> https://doi.org/10.2298/soc1302169a</w:t>
      </w:r>
    </w:p>
    <w:p>
      <w:pPr/>
      <w:r>
        <w:t>Original wording (abstract; indexed_source_text_not_full_document_verified): She proposes addressing integration of immigrants scenarios alongside demographic projections and labour market needs for future assessments of needs for immigrants and for responsible governance.</w:t>
      </w:r>
    </w:p>
    <w:p>
      <w:pPr/>
      <w:r>
        <w:rPr>
          <w:b/>
        </w:rPr>
        <w:t>POSSIBLE 2026:</w:t>
      </w:r>
      <w:r>
        <w:t xml:space="preserve"> Exploring Effects Of Integration Policy On The Inclusion Of Non-Eu Immigrants In Europe: The Case Of Maghrebi Immigrants In Spain And France — https://doi.org/10.14267/phd.2026018</w:t>
      </w:r>
    </w:p>
    <w:p>
      <w:pPr/>
      <w:r>
        <w:rPr>
          <w:b/>
        </w:rPr>
        <w:t>Shared claim-specific concepts:</w:t>
      </w:r>
      <w:r>
        <w:t xml:space="preserve"> integration, immigrants; EU scope visible. This is a provisional connection, not an outcome finding.</w:t>
      </w:r>
    </w:p>
    <w:p>
      <w:pPr>
        <w:pStyle w:val="SourceNote"/>
      </w:pPr>
      <w:r>
        <w:rPr>
          <w:b/>
        </w:rPr>
        <w:t>Available abstract (not full text):</w:t>
      </w:r>
      <w:r>
        <w:t xml:space="preserve"> Mainstream academic literature relates the success of migrant integration to socio-economic inclusion policies that seek to include migrants in the job market and secure their socio-economic right. However, the existence of personal as well as external factors (presented below) create a challenge for the current integration policies towards non-EU migrants, especially those of Maghrebi origins (Morocco, Tunisia, and Algeria). This research is an attempt to contribute to mainstream literature on migrant integration theories considering signs of failure of integration such as; 1) the rise of radicalisation1 among selected categories of migrants; 2) alienation and dissonance from society; and, 4) increase of anti-immigrant attitude not only among extreme right-wing political parties but within the majority population at large.2 Using both qualitative and quantitative research methods, such as interviews, analysis of laws and regulations, as well as data from the European Social Survey (ESS), I conducted an assessment of the impact of integration policies on Maghrebi immigrants in France and Spain. The qualitative results show that policy outcomes vary across integration dimensions between the two European countries, in spite of the fact that “social cohesion” indicators reveal that Maghrebi immigrants in Spain are more satisfied and attached to their host society than Muslims in F</w:t>
      </w:r>
    </w:p>
    <w:p>
      <w:pPr/>
      <w:r>
        <w:rPr>
          <w:b/>
        </w:rPr>
        <w:t>POSSIBLE 2025:</w:t>
      </w:r>
      <w:r>
        <w:t xml:space="preserve"> A.M. Pankratova on Pan-European tendencies in historical scholarship in Western Europe in the Mid-20th century — https://doi.org/10.55959/msu0130-0083-8-2025-66-5-107-123</w:t>
      </w:r>
    </w:p>
    <w:p>
      <w:pPr/>
      <w:r>
        <w:rPr>
          <w:b/>
        </w:rPr>
        <w:t>Shared claim-specific concepts:</w:t>
      </w:r>
      <w:r>
        <w:t xml:space="preserve"> she, addressing, integration; EU scope visible. This is a provisional connection, not an outcome finding.</w:t>
      </w:r>
    </w:p>
    <w:p>
      <w:pPr>
        <w:pStyle w:val="SourceNote"/>
      </w:pPr>
      <w:r>
        <w:rPr>
          <w:b/>
        </w:rPr>
        <w:t>Available abstract (not full text):</w:t>
      </w:r>
      <w:r>
        <w:t xml:space="preserve"> After the Second World War, the idea of European integration gained wide currency in most Western European countries, despite the diversity of their economic, political, national, and cultural traditions. In addressing the exceptionally complex problem of its implementation, not only specialists from various disciplines but also historians were enlisted. The latter were charged with developing one of the key mechanisms for shaping a European community: a unified school history textbook for Western European states. In 1953-1954, under the auspices of the Council of Europe, meetings of historians were convened specifi cally to identify the criteria and conceptual framework for such a textbook. Academician Anna Mikhailovna Pankratova (1897-1957) found it necessary to forward the materials of these conferences to the Central Committee of the Communist Party of the Soviet Union. In her accompanying letter, she proposed adopting countermeasures and organizing a campaign to expose what she described as the revision of school history textbooks in a number of Western European countries, aimed at promoting the idea of a European community. Pankratova considered it necessary to inform the directors of historical institutes and the editors of historical journals in the German Democratic Republic and in the European countries of people’s democracy about the outcomes of the conferences. In M</w:t>
      </w:r>
    </w:p>
    <w:p>
      <w:pPr/>
      <w:r>
        <w:rPr>
          <w:b/>
        </w:rPr>
        <w:t>POSSIBLE 2025:</w:t>
      </w:r>
      <w:r>
        <w:t xml:space="preserve"> The Labor Market Challenges and Coping Strategies of Highly Skilled Second-Generation Immigrants in Europe: A Scoping Review — https://doi.org/10.3390/soc15040093</w:t>
      </w:r>
    </w:p>
    <w:p>
      <w:pPr/>
      <w:r>
        <w:rPr>
          <w:b/>
        </w:rPr>
        <w:t>Shared claim-specific concepts:</w:t>
      </w:r>
      <w:r>
        <w:t xml:space="preserve"> integration, immigrants, demographic; EU scope visible. This is a provisional connection, not an outcome finding.</w:t>
      </w:r>
    </w:p>
    <w:p>
      <w:pPr>
        <w:pStyle w:val="SourceNote"/>
      </w:pPr>
      <w:r>
        <w:rPr>
          <w:b/>
        </w:rPr>
        <w:t>Available abstract (not full text):</w:t>
      </w:r>
      <w:r>
        <w:t xml:space="preserve"> This scoping review investigates the labor market challenges and coping strategies of highly skilled second-generation immigrants in Europe who, despite their educational and professional accomplishments, face persistent barriers related to ethnic, cultural, and religious identities. Synthesizing existing literature, the review examines obstacles to the economic integration of highly educated children of immigrants, highlighting both their perceptions of these barriers and the adaptive strategies they employ. A systematic search was conducted across Scopus, Web of Science, and EBSCOhost to identify studies published between 2010 and 2024. The selection process followed a structured five-stage framework, including defining research questions, identifying and selecting relevant studies, charting the data, and synthesizing findings. A total of 1192 records were initially identified, with 1022 retained after duplicate removal. After applying inclusion and exclusion criteria, 68 studies were included in the review. Findings indicate that hiring discrimination, occupational segregation, and exclusion from elite professional networks remain key barriers, particularly for those of Muslim background. Despite achieving professional success, many continue to encounter symbolic boundaries that limit career advancement. In response, second-generation professionals adopt various coping strat</w:t>
      </w:r>
    </w:p>
    <w:p>
      <w:pPr/>
      <w:r>
        <w:rPr>
          <w:b/>
        </w:rPr>
        <w:t>POSSIBLE 2022:</w:t>
      </w:r>
      <w:r>
        <w:t xml:space="preserve"> Japanese Public Diplomacy in European Countries — https://doi.org/10.4324/9781003258797</w:t>
      </w:r>
    </w:p>
    <w:p>
      <w:pPr/>
      <w:r>
        <w:rPr>
          <w:b/>
        </w:rPr>
        <w:t>Shared claim-specific concepts:</w:t>
      </w:r>
      <w:r>
        <w:t xml:space="preserve"> she, proposes, integration; EU scope visible. This is a provisional connection, not an outcome finding.</w:t>
      </w:r>
    </w:p>
    <w:p>
      <w:pPr>
        <w:pStyle w:val="SourceNote"/>
      </w:pPr>
      <w:r>
        <w:rPr>
          <w:b/>
        </w:rPr>
        <w:t>Available abstract (not full text):</w:t>
      </w:r>
      <w:r>
        <w:t xml:space="preserve"> To address the issue of the lack of integration and common policy among Japan’s cultural promotion actors and institutions, Gadjeva explores an integrated approach for Japanese public diplomacy through public-private partnerships. She examines the potential of the Japan Foundation as a central public diplomacy actor in Europe, facilitating a Public-Private Partnership Platform. Focusing on France and Bulgaria, Gadjeva observes the Japan Foundation’s role, contributions, and activities implemented between the 1970s and 2018, both autonomously and in collaboration with Japanese and local public and private actors. She compares the Foundation’s initiatives in the two countries, highlighting both the strong points and the space for improvement. In addition, Gadjeva points out essential Japanese, French, and Bulgarian actors with potential for future cooperation with the Japan Foundation through public-private partnerships. Drawing on her interviews with Bulgarian and French representatives, she examines the image of Japan and the future expectations from Japan. Revealing certain cultural aspects and less-explored areas of Japanese soft power, she proposes specific project proposals for integrated public diplomacy initiatives implemented through a Public-Private Partnership Platform facilitated by the Japan Foundation. Providing valuable insights into the strong and insufficient poi</w:t>
      </w:r>
    </w:p>
    <w:p>
      <w:pPr/>
      <w:r>
        <w:rPr>
          <w:b/>
        </w:rPr>
        <w:t>POSSIBLE 2014:</w:t>
      </w:r>
      <w:r>
        <w:t xml:space="preserve"> Brazil’s Immigrant Song — https://doi.org/10.1177/0740277514564953</w:t>
      </w:r>
    </w:p>
    <w:p>
      <w:pPr/>
      <w:r>
        <w:rPr>
          <w:b/>
        </w:rPr>
        <w:t>Shared claim-specific concepts:</w:t>
      </w:r>
      <w:r>
        <w:t xml:space="preserve"> immigrants; EU scope visible. This is a provisional connection, not an outcome finding.</w:t>
      </w:r>
    </w:p>
    <w:p>
      <w:pPr>
        <w:pStyle w:val="SourceNote"/>
      </w:pPr>
      <w:r>
        <w:rPr>
          <w:b/>
        </w:rPr>
        <w:t>Available abstract (not full text):</w:t>
      </w:r>
      <w:r>
        <w:t xml:space="preserve"> Brasília, Brazil—Sulemana Adamu, 27, was born and lived most of his life in Accra, the capital of Ghana and the 11th largest city in Africa. He used to spend most of his days fixing computers as an IT technician and playing with friends in a drums quartet. Sensing no real opportunity in his country’s decaying economy, Sulemana saved for 18 months, planning a long trip to seek his fortune somewhere else.Shakir Hussain, 29, was born and lived most of his life in Sylhet, a district of Bangladesh surrounded by tea estates with a population of 500,000 inhabitants—a number that scarcely registers in one of the most populous countries on earth. For a while Shakir worked at a phone company, then dropped out to help his father and brother with their small construction business. But money was scarce and when the Bangladesh Awami League arrived in power, political persecution started as well. At the age of 24, Shakir spoke to his parents and, with their financial help, packed his bags for Latin America.Cosme Sousa, 33, was born and lived most of his life in São João do Carú, a town with barely 15,000 inhabitants in Maranhão, one of the poorest states in Brazil, located at its northeastern tip. For eight years he taught geography and history at the local elementary school. The money was never sufficient to support his two children and his wife. With the chance of earning a better income cu</w:t>
      </w:r>
    </w:p>
    <w:p>
      <w:pPr>
        <w:pStyle w:val="Heading2"/>
      </w:pPr>
      <w:r>
        <w:t>957. Integrated scenarios of sustainable food production and consumption in Germany</w:t>
      </w:r>
    </w:p>
    <w:p>
      <w:pPr>
        <w:pStyle w:val="SourceNote"/>
      </w:pPr>
      <w:r>
        <w:rPr>
          <w:b/>
        </w:rPr>
        <w:t>Original source (2013):</w:t>
      </w:r>
      <w:r>
        <w:t xml:space="preserve"> https://doi.org/10.1080/15487733.2013.11908118</w:t>
      </w:r>
    </w:p>
    <w:p>
      <w:pPr/>
      <w:r>
        <w:t>Original wording (abstract; indexed_source_text_not_full_document_verified): First, so-called context scenarios were formulated to describe different developments beyond the control of the relevant players, but that might have a significant impact on food production and consumption. Finally, the context and strategic food scenarios were merged and assessed to provide policy makers with a helpful ‟reality check" on different strategy options and guidance in prioritization.</w:t>
      </w:r>
    </w:p>
    <w:p>
      <w:pPr/>
      <w:r>
        <w:rPr>
          <w:b/>
        </w:rPr>
        <w:t>POSSIBLE 2026:</w:t>
      </w:r>
      <w:r>
        <w:t xml:space="preserve"> The Moroccan and Muslim Diaspora in Europe: Shifting from the Context of Migration to the Context of Citizenship — https://openalex.org/W7113523033</w:t>
      </w:r>
    </w:p>
    <w:p>
      <w:pPr/>
      <w:r>
        <w:rPr>
          <w:b/>
        </w:rPr>
        <w:t>Shared claim-specific concepts:</w:t>
      </w:r>
      <w:r>
        <w:t xml:space="preserve"> first, so-called, context, different, but, significant; EU scope visible. This is a provisional connection, not an outcome finding.</w:t>
      </w:r>
    </w:p>
    <w:p>
      <w:pPr>
        <w:pStyle w:val="SourceNote"/>
      </w:pPr>
      <w:r>
        <w:rPr>
          <w:b/>
        </w:rPr>
        <w:t>Available abstract (not full text):</w:t>
      </w:r>
      <w:r>
        <w:t xml:space="preserve"> The Moroccan diaspora in Europe in general, and Western Europe in particular, has undergone various profound historical, political, demographic, socio-cultural, and identity transformations since the era of labor migration or so-called “guest workers” in the 1960s up until today. This new situation has drastically altered the landscape of the Islamic and Moroccan presence in Europe. It is not just about the numerical and quantitative expansion, which researchers often emphasize, but also about the qualitative presence reflected in the various cultural, social, political, and institutional achievements made by European Moroccans from different generations of immigrants. This research paper discusses the main shift from the context of migration to that of citizenship, focusing on the conceptual transformation from being seen as “guest workers,” “immigrants,” and “foreigners” to being recognized as European “citizens.” The research paper is divided into four chapters. In the first chapter, we argued that there is a need today to adopt a new approach to the Islamic presence in Europe and the West. In the second chapter, we discussed the evolving European epistemological and sociological context, in which Muslims and Moroccans have become a significant element, highlighting the key determinants and features of this context. In the third and fourth chapters, we explored the main hypo</w:t>
      </w:r>
    </w:p>
    <w:p>
      <w:pPr/>
      <w:r>
        <w:rPr>
          <w:b/>
        </w:rPr>
        <w:t>POSSIBLE 2025:</w:t>
      </w:r>
      <w:r>
        <w:t xml:space="preserve"> Changing the Context of Business Management Theory. The So and So Management between Eclecticism and Wishful Thinking — https://doi.org/10.30958/ajl.11-3-2</w:t>
      </w:r>
    </w:p>
    <w:p>
      <w:pPr/>
      <w:r>
        <w:rPr>
          <w:b/>
        </w:rPr>
        <w:t>Shared claim-specific concepts:</w:t>
      </w:r>
      <w:r>
        <w:t xml:space="preserve"> first, so-called, context, different, production; EU scope visible. This is a provisional connection, not an outcome finding.</w:t>
      </w:r>
    </w:p>
    <w:p>
      <w:pPr>
        <w:pStyle w:val="SourceNote"/>
      </w:pPr>
      <w:r>
        <w:rPr>
          <w:b/>
        </w:rPr>
        <w:t>Available abstract (not full text):</w:t>
      </w:r>
      <w:r>
        <w:t xml:space="preserve"> Despite its original multidisciplinarity, the today proliferation of cross, trans and poli disciplinary approaches in management theories, after the spread of Critical Management Studies and the crisis of Business Schools, must be considered within the changing general political economical context. The growing relevance of BRICS in GDP and research compared to the decreasing incidence of industrial and scientific production in Western Countries calls for a debate on the main features of the evolution of managerial theories and applied practices. One model of analysis could be the one expressed in 1920s by Antonio Gramsci and in the 1950s by the economist Federico Caffè. The theme was the inappropriate approach of Political and Economic theories to the problems that emerged after the First and Second-World Wars. Both scholars coupled the widespread eclecticism of Economics with the unrealistic proposals produced to address Italy’s structural problems so far unsolved, such as the underdevelopment of the South of the country and the so-called “questione meridionale”. Moreover, Caffè extended this analysis to the European situation in which the poor application of Keynesian theories led to a worldwide crisis, first economic and then political. In this context management theories have today to face the crisis of Western economies with respect to a different conception of the market </w:t>
      </w:r>
    </w:p>
    <w:p>
      <w:pPr/>
      <w:r>
        <w:rPr>
          <w:b/>
        </w:rPr>
        <w:t>POSSIBLE 2023:</w:t>
      </w:r>
      <w:r>
        <w:t xml:space="preserve"> The so-called Magnitsky Laws from the Perspective of International Law — https://openalex.org/W7135579267</w:t>
      </w:r>
    </w:p>
    <w:p>
      <w:pPr/>
      <w:r>
        <w:rPr>
          <w:b/>
        </w:rPr>
        <w:t>Shared claim-specific concepts:</w:t>
      </w:r>
      <w:r>
        <w:t xml:space="preserve"> first, so-called, context; EU scope visible. This is a provisional connection, not an outcome finding.</w:t>
      </w:r>
    </w:p>
    <w:p>
      <w:pPr>
        <w:pStyle w:val="SourceNote"/>
      </w:pPr>
      <w:r>
        <w:rPr>
          <w:b/>
        </w:rPr>
        <w:t>Available abstract (not full text):</w:t>
      </w:r>
      <w:r>
        <w:t xml:space="preserve"> The so-called Magnitsky Laws from the Perspective of International Law Abstract This diploma thesis treats the phenomenon of so-called Magnitsky acts, a subtype of targeted international sanctions, from the point of view of international law. The text of the thesis is structured into three chapters. The first chapter deals with the origins of Magnitsky acts. Documented are the circumstances of the incarceration and death of Sergey Magnitsky. Described are the origins of the first Magnitsky Acts, i.e., the U.S. Magnitsky Act and Global Magnitsky Act, and the spreading of analogous norms around the world. The second chapter is a survey and legal comparison of selected legislation - in the United States, Canada, European Union, and Czech Republic. Based on the literature and the individual norms, the features common to all Magnitsky acts are determined. Subsequently, the acts are compared using five criteria. These are sanction aspects, as a definition of the prosecuted behavior; creation of the sanctions list, as an entitlement of the government agencies to create such lists; individual sanctions tools; appeals and remedies in the sanctions process, or removal from the sanction list; the overview of the sanctioned entities. The third chapter discusses the nature of the Magnitsky acts in the context of...</w:t>
      </w:r>
    </w:p>
    <w:p>
      <w:pPr/>
      <w:r>
        <w:rPr>
          <w:b/>
        </w:rPr>
        <w:t>POSSIBLE 2023:</w:t>
      </w:r>
      <w:r>
        <w:t xml:space="preserve"> Homestay Accommodation for Refugees (in Europe). A Literature Review — https://doi.org/10.1177/01979183231172101</w:t>
      </w:r>
    </w:p>
    <w:p>
      <w:pPr/>
      <w:r>
        <w:rPr>
          <w:b/>
        </w:rPr>
        <w:t>Shared claim-specific concepts:</w:t>
      </w:r>
      <w:r>
        <w:t xml:space="preserve"> first, so-called, context, different; EU scope visible. This is a provisional connection, not an outcome finding.</w:t>
      </w:r>
    </w:p>
    <w:p>
      <w:pPr>
        <w:pStyle w:val="SourceNote"/>
      </w:pPr>
      <w:r>
        <w:rPr>
          <w:b/>
        </w:rPr>
        <w:t>Available abstract (not full text):</w:t>
      </w:r>
      <w:r>
        <w:t xml:space="preserve"> In the aftermath of the rapidly increasing number of refugees arriving in Europe following the Russian invasion of Ukraine, nonprofit organizations, private companies, and also public institutions have promoted homestay initiatives: That is, local households hosting refugees. In order to reflect on the political issues that homestay accommodation for refugees raises, the article charts and synthesizes the available research on homestay produced in 75 works written in English, French, German, and Italian, and with a particular focus on the European context. Most of those texts were published in the second half of the 2010s and focused on the homestay initiatives that developed in the context of the so-called 2015 “refugee crisis.” We analyzed this material by focusing on three different levels: First, hospitality as an inter-individual relationship within the domestic sphere (micro level); second, refugee homestay as diverse accommodation arrangements, implemented by informal groups, nonprofit organizations, and public institutions (meso level); and, third, the (non-) contentious dimension of homestay accommodation (macrolevel). The review also identifies theoretical, methodological, and empirical perspectives for future studies on homestay. We call for more attention to be given to the intersectional inequalities and power relations between hosts and guests; to the life traject</w:t>
      </w:r>
    </w:p>
    <w:p>
      <w:pPr/>
      <w:r>
        <w:rPr>
          <w:b/>
        </w:rPr>
        <w:t>POSSIBLE 2022:</w:t>
      </w:r>
      <w:r>
        <w:t xml:space="preserve"> The European Green Deal and nephrology: a call for action by the European Kidney Health Alliance — https://doi.org/10.1093/ndt/gfac160</w:t>
      </w:r>
    </w:p>
    <w:p>
      <w:pPr/>
      <w:r>
        <w:rPr>
          <w:b/>
        </w:rPr>
        <w:t>Shared claim-specific concepts:</w:t>
      </w:r>
      <w:r>
        <w:t xml:space="preserve"> describe, production, consumption, finally; EU scope visible. This is a provisional connection, not an outcome finding.</w:t>
      </w:r>
    </w:p>
    <w:p>
      <w:pPr>
        <w:pStyle w:val="SourceNote"/>
      </w:pPr>
      <w:r>
        <w:rPr>
          <w:b/>
        </w:rPr>
        <w:t>Available abstract (not full text):</w:t>
      </w:r>
      <w:r>
        <w:t xml:space="preserve"> The world faces a dramatic man-made ecologic disaster and healthcare is a crucial part of this problem. Compared with other therapeutic areas, nephrology care, and especially dialysis, creates an excessive burden via water consumption, greenhouse gas emission and waste production. In this advocacy article from the European Kidney Health Alliance we describe the mutual impact of climate change on kidney health and kidney care on ecology. We propose an array of measures as potential solutions related to the prevention of kidney disease, kidney transplantation and green dialysis. For dialysis, several proactive suggestions are made, especially by lowering water consumption, implementing energy-neutral policies, waste triage and recycling of materials. These include original proposals such as dialysate regeneration, dialysate flow reduction, water distillation systems for dialysate production, heat pumps for unit climatization, heat exchangers for dialysate warming, biodegradable and bio-based polymers, alternative power sources, repurposing of plastic waste (e.g. incorporation in concrete), registration systems of ecologic burden and platforms to exchange ecologic best practices. We also discuss how the European Green Deal offers real potential for supporting and galvanizing these urgent environmental changes. Finally, we formulate recommendations to professionals, manufacturers, </w:t>
      </w:r>
    </w:p>
    <w:p>
      <w:pPr/>
      <w:r>
        <w:rPr>
          <w:b/>
        </w:rPr>
        <w:t>POSSIBLE 2022:</w:t>
      </w:r>
      <w:r>
        <w:t xml:space="preserve"> First Language and Second Language in the Multilingual Context — https://doi.org/10.20884/1.jes.2022.3.2.6944</w:t>
      </w:r>
    </w:p>
    <w:p>
      <w:pPr/>
      <w:r>
        <w:rPr>
          <w:b/>
        </w:rPr>
        <w:t>Shared claim-specific concepts:</w:t>
      </w:r>
      <w:r>
        <w:t xml:space="preserve"> first, context, different, but; EU scope visible. This is a provisional connection, not an outcome finding.</w:t>
      </w:r>
    </w:p>
    <w:p>
      <w:pPr>
        <w:pStyle w:val="SourceNote"/>
      </w:pPr>
      <w:r>
        <w:rPr>
          <w:b/>
        </w:rPr>
        <w:t>Available abstract (not full text):</w:t>
      </w:r>
      <w:r>
        <w:t xml:space="preserve"> Studies in English continues to gain ground in different countries and from different perspectives to the extent that some concepts need to be rethought. For this reason, the first language (L1) and second language (L2) in a multilingual setting were examined. This study was motivated by the fact that despite the extensive research into language teaching and language learning, little was clear about L1 and L2 in the context where many indigenous languages coexist with European languages and others. As example, Chad which is a multilingual country has French and Arabic as official languages, and English is given the status of a foreign language. Many studies in English in non-native English speaking environment considered the students’ mother tongue as L1, but the current research aimed to show that the first language could refer to the second language and rethink what are called first language and second language in research on English language learning by contextualising the situation. Qualitative method was used. It did not involve the collection of data. It was based on literature: books, articles, and opinions. So, from the body of the paper, the findings showed that many studies in English referred to the first language not as the speaker’s mother tongue, but the second language. This meant that L1 in terms of the students’ native languages (indigenous languages) should no</w:t>
      </w:r>
    </w:p>
    <w:p>
      <w:pPr/>
      <w:r>
        <w:rPr>
          <w:b/>
        </w:rPr>
        <w:t>POSSIBLE 2022:</w:t>
      </w:r>
      <w:r>
        <w:t xml:space="preserve"> Clay Tobacco Pipes in Europe from the Late Sixteenth to the First Half of the Nineteenth Century: Geographical and Cultural Contexts — https://doi.org/10.6001/lituanistica.v67i4.4647</w:t>
      </w:r>
    </w:p>
    <w:p>
      <w:pPr/>
      <w:r>
        <w:rPr>
          <w:b/>
        </w:rPr>
        <w:t>Shared claim-specific concepts:</w:t>
      </w:r>
      <w:r>
        <w:t xml:space="preserve"> first, context, different, but, production, consumption; EU scope visible. This is a provisional connection, not an outcome finding.</w:t>
      </w:r>
    </w:p>
    <w:p>
      <w:pPr>
        <w:pStyle w:val="SourceNote"/>
      </w:pPr>
      <w:r>
        <w:rPr>
          <w:b/>
        </w:rPr>
        <w:t>Available abstract (not full text):</w:t>
      </w:r>
      <w:r>
        <w:t xml:space="preserve"> The aim of the article is to present a summary of the history of clay tobacco pipes in Europe and to explore their cultural and geographical context.In post-medieval archaeological sites, clay tobacco pipes are quite common finds. The first evidence of tobacco in Western Europe dates from the late sixteenth century, during the Age of Discovery. The industry of tobacco pipe manufacturing started in the early seventeenth century, and English pipe makers and smokers were the innovators of the new habit and style of smoking. Soon after that, Dutch cities like Amsterdam and Gouda became major centres in producing and selling clay tobacco pipes. Through the Baltic and Mediterranean harbours and then along land routes, tobacco spread across Europe as a product of colonial trade and a new habit of smoking as such. The Thirty Years’ War and Northern Wars played a crucial role in the consumption of tobacco, because soldiers rapidly accepted and spread the new culture of smoking.In the eastern and south-eastern European region, tobacco and pipes appeared in the early seventeenth century. Despite this fact, smoking as an incorrect habit was banned or restricted in Russia and the Ottoman Empire in effect of the rulers’ decisions. Only in the late seventeenth century all the prohibitions of tobacco consumption were lifted. At this time, clay tobacco pipes manufactured by the locals predomina</w:t>
      </w:r>
    </w:p>
    <w:p>
      <w:pPr/>
      <w:r>
        <w:rPr>
          <w:b/>
        </w:rPr>
        <w:t>POSSIBLE 2022:</w:t>
      </w:r>
      <w:r>
        <w:t xml:space="preserve"> ARABIC IN THE EUROPEAN CONTEXT — https://doi.org/10.66766/risr.2022.1.08</w:t>
      </w:r>
    </w:p>
    <w:p>
      <w:pPr/>
      <w:r>
        <w:rPr>
          <w:b/>
        </w:rPr>
        <w:t>Shared claim-specific concepts:</w:t>
      </w:r>
      <w:r>
        <w:t xml:space="preserve"> context, different, but; EU scope visible. This is a provisional connection, not an outcome finding.</w:t>
      </w:r>
    </w:p>
    <w:p>
      <w:pPr>
        <w:pStyle w:val="SourceNote"/>
      </w:pPr>
      <w:r>
        <w:rPr>
          <w:b/>
        </w:rPr>
        <w:t>Available abstract (not full text):</w:t>
      </w:r>
      <w:r>
        <w:t xml:space="preserve"> We are human beings that live in “spheres”. These could be found in a wide variety and could take different forms. They are either narrow, more common to us, or wide, so wide that we could never imagine. However, we tend to be too preoccupied with ourselves, and thus with the narrow spheres. In the end, our field of view gets smaller and smaller and we eventually lose sight of what matters the most: the wide sphere. This story may sound too childish, too insignificant for us to take into consideration, but this is actually the vivid image of the present world. As individuals, we live in specific communities, thus in continuous interaction with other members of society, hence with the Arabs as well. This social phenomenon appeared in ancient times. Their culture has always fascinated us, especially since their influences in various fields have intertwined with the European civilization. But, in order to come to understand and, therefore, accept this culture, it was and still is necessary for the Arabic language to be studied. Thus, this process should become a priority for us as there is the need for removing certain cultural and communication barriers. The purpose of this paper is to raise awareness of the importance of studying Arabic. This goal would not lead to the decrease or elimination of the “spheres" that each one of us lives in, but to their union so as to create stron</w:t>
      </w:r>
    </w:p>
    <w:p>
      <w:pPr/>
      <w:r>
        <w:rPr>
          <w:b/>
        </w:rPr>
        <w:t>POSSIBLE 2021:</w:t>
      </w:r>
      <w:r>
        <w:t xml:space="preserve"> Who Called Team Europe? The European Union’s Development Policy Response During the First Wave of COVID-19 — https://doi.org/10.1057/s41287-021-00428-7</w:t>
      </w:r>
    </w:p>
    <w:p>
      <w:pPr/>
      <w:r>
        <w:rPr>
          <w:b/>
        </w:rPr>
        <w:t>Shared claim-specific concepts:</w:t>
      </w:r>
      <w:r>
        <w:t xml:space="preserve"> first, context; EU scope visible. This is a provisional connection, not an outcome finding.</w:t>
      </w:r>
    </w:p>
    <w:p>
      <w:pPr>
        <w:pStyle w:val="SourceNote"/>
      </w:pPr>
      <w:r>
        <w:rPr>
          <w:b/>
        </w:rPr>
        <w:t>Available abstract (not full text):</w:t>
      </w:r>
      <w:r>
        <w:t xml:space="preserve"> The COVID-19 pandemic is a critical juncture for global development. Under the label of "Team Europe", the EU has sought to mobilize rapid development assistance to support partners in addressing the impacts of the crisis, while promoting joined-up approaches among European actors to assert itself in a changing and competitive geopolitical context. This article assesses how substantive and process-oriented EU development policy norms are reflected in the Union's global COVID-19 response. Focusing on the EU's response during the first wave of the COVID-19 pandemic in the first half of 2020, the article shows that the EU's response to this extraordinary crisis consisted of a deepening of EU integration. In so doing, the EU emphasized process-oriented over substantive norms in its development policy.</w:t>
      </w:r>
    </w:p>
    <w:p>
      <w:pPr/>
      <w:r>
        <w:rPr>
          <w:b/>
        </w:rPr>
        <w:t>POSSIBLE 2021:</w:t>
      </w:r>
      <w:r>
        <w:t xml:space="preserve"> FORMATION OF THE MOLDOVAN LOCAL SELF-GOVERNMENT SYSTEM IN THE CONTEXT OF EUROPEAN INTEGRATION (1990S) — https://doi.org/10.28995/2686-7648-2021-4-53-85</w:t>
      </w:r>
    </w:p>
    <w:p>
      <w:pPr/>
      <w:r>
        <w:rPr>
          <w:b/>
        </w:rPr>
        <w:t>Shared claim-specific concepts:</w:t>
      </w:r>
      <w:r>
        <w:t xml:space="preserve"> first, context, but, provide; EU scope visible. This is a provisional connection, not an outcome finding.</w:t>
      </w:r>
    </w:p>
    <w:p>
      <w:pPr>
        <w:pStyle w:val="SourceNote"/>
      </w:pPr>
      <w:r>
        <w:rPr>
          <w:b/>
        </w:rPr>
        <w:t>Available abstract (not full text):</w:t>
      </w:r>
      <w:r>
        <w:t xml:space="preserve"> The article considers the process of formation of the institutional and legal framework for the local self-government system in the Republic of Moldova. Chronologically, the study covers the first decade after the collapse of the Soviet Union. The author places the formation of the national local self-government system in the context of the European vector of Moldovan foreign policy, analysing the process (especially the implementation of the so- called “decentralization reform”) from the perspective of Moldova’s interaction with the European Union and the Council of Europe. The theories of formal structure and social imitation provide the conceptual framework for the study. The author briefly describes the Soviet self-government system, the gradual abandonment of which was the essence of the reforms of the 1990s, and touches upon the organization of self-governance according to the Anglo-Sax- on and Continental models and the modern systems of self-governance existing in the European Union, to which the Republic of Moldova aspires to become a member. The article consecutively analyses the stages of work of Moldovan legislators aimed at the formation of local authorities, evaluating its results both in terms of compliance with European norms and principles of local self-government organization and in the context of the national ethno-political, institutional and legal, civil an</w:t>
      </w:r>
    </w:p>
    <w:p>
      <w:pPr/>
      <w:r>
        <w:rPr>
          <w:b/>
        </w:rPr>
        <w:t>POSSIBLE 2021:</w:t>
      </w:r>
      <w:r>
        <w:t xml:space="preserve"> The quality of life in housing estates in the context of West-european and post-socialist countries — https://openalex.org/W4287501664</w:t>
      </w:r>
    </w:p>
    <w:p>
      <w:pPr/>
      <w:r>
        <w:rPr>
          <w:b/>
        </w:rPr>
        <w:t>Shared claim-specific concepts:</w:t>
      </w:r>
      <w:r>
        <w:t xml:space="preserve"> first, so-called, context, different, but; EU scope visible. This is a provisional connection, not an outcome finding.</w:t>
      </w:r>
    </w:p>
    <w:p>
      <w:pPr>
        <w:pStyle w:val="SourceNote"/>
      </w:pPr>
      <w:r>
        <w:rPr>
          <w:b/>
        </w:rPr>
        <w:t>Available abstract (not full text):</w:t>
      </w:r>
      <w:r>
        <w:t xml:space="preserve"> This paper provides a clear insight into the quality of life on the level of housing estates in European countries. In doing so, the questions of housing and satisfaction with the housing situation in the estates as well as with surrounding areas and the neighbourhood, in general, is being considered as an important dimension of a complex research concept called the quality of life. In analysing the quality of housing, we inevitably encounter an interesting division into the so-called two different versions of Europe or two types of housing estates. In the phase of planning and constructing, they shared a common idea of designing modern and functional, mixed estates that would solve the housing question of most residents, i.e. of different social classes. However, the first type is marked by the socio-historical context of Western Europe, and the second by Eastern Europe, or as some authors like to frame it, the differences in housing quality between ‘capitalist’ and ‘socialist’ cities. From that perspective specifically, it seems useful to analyse the quality of life and the possibility of renewing both types of housing estates, by now deprived and decrepit, built after the Second World War in both types of cities. This applies equally to those in Western Europe, often marked by a significantly worse image and higher levels of socioeconomic problems (crime, segregation, deteri</w:t>
      </w:r>
    </w:p>
    <w:p>
      <w:pPr/>
      <w:r>
        <w:rPr>
          <w:b/>
        </w:rPr>
        <w:t>POSSIBLE 2020:</w:t>
      </w:r>
      <w:r>
        <w:t xml:space="preserve"> The issue of so-called hate speech in the context of freedom of speech — https://openalex.org/W7135460664</w:t>
      </w:r>
    </w:p>
    <w:p>
      <w:pPr/>
      <w:r>
        <w:rPr>
          <w:b/>
        </w:rPr>
        <w:t>Shared claim-specific concepts:</w:t>
      </w:r>
      <w:r>
        <w:t xml:space="preserve"> first, so-called, context, describe, relevant, provide; EU scope visible. This is a provisional connection, not an outcome finding.</w:t>
      </w:r>
    </w:p>
    <w:p>
      <w:pPr>
        <w:pStyle w:val="SourceNote"/>
      </w:pPr>
      <w:r>
        <w:rPr>
          <w:b/>
        </w:rPr>
        <w:t>Available abstract (not full text):</w:t>
      </w:r>
      <w:r>
        <w:t xml:space="preserve"> The issue of so called hate speech in the context of freedom of speech Abstract This thesis titled The issue of so-called hate speech in the context of freedom of speech deals with the legal regulation of hate speech at the international and national level. The thesis contains a comprehensive analysis of legal instruments regulating hate speech in civil, anti-discrimination, administrative and criminal law. This thesis combines the theoretical basis of hate speech regulation with practical knowledge about the applicability of individual legal norms and is supplemented by relevant case law of the Czech courts and the European Court of Human Rights. The aim of this work is to describe the phenomenon of hate speech, provide an analysis of legal instruments regulating hate speech and also to analyse legal arguments for hate speech regulation. The thesis attempts to find the boundary between protected speech and speech that is unprotected by the international and constitutional framework of freedom of speech protection, by means of an analysis of individual court decisions. The thesis also contains a critical reflection of the current legal framework of hate speech regulation and suggests possible variants of legislative changes in the future. The thesis is structured into five chapters. The first part...</w:t>
      </w:r>
    </w:p>
    <w:p>
      <w:pPr>
        <w:pStyle w:val="Heading2"/>
      </w:pPr>
      <w:r>
        <w:t>958. Integrating field data into individual-based models of the migration of European eel larvae</w:t>
      </w:r>
    </w:p>
    <w:p>
      <w:pPr>
        <w:pStyle w:val="SourceNote"/>
      </w:pPr>
      <w:r>
        <w:rPr>
          <w:b/>
        </w:rPr>
        <w:t>Original source (2013):</w:t>
      </w:r>
      <w:r>
        <w:t xml:space="preserve"> https://doi.org/10.3354/meps10368</w:t>
      </w:r>
    </w:p>
    <w:p>
      <w:pPr/>
      <w:r>
        <w:t>Original wording (abstract; indexed_source_text_not_full_document_verified): We contrasted different model settings and identified the most plausible migration scenario by comparing simulation results against experimental data.</w:t>
      </w:r>
    </w:p>
    <w:p>
      <w:pPr/>
      <w:r>
        <w:rPr>
          <w:b/>
        </w:rPr>
        <w:t>POSSIBLE 2024:</w:t>
      </w:r>
      <w:r>
        <w:t xml:space="preserve"> Estimating the potential risk of transmission of arboviruses in the Americas and Europe: a modelling study — https://doi.org/10.1016/s2542-5196(23)00252-8</w:t>
      </w:r>
    </w:p>
    <w:p>
      <w:pPr/>
      <w:r>
        <w:rPr>
          <w:b/>
        </w:rPr>
        <w:t>Shared claim-specific concepts:</w:t>
      </w:r>
      <w:r>
        <w:t xml:space="preserve"> different, data; EU scope visible. This is a provisional connection, not an outcome finding.</w:t>
      </w:r>
    </w:p>
    <w:p>
      <w:pPr>
        <w:pStyle w:val="SourceNote"/>
      </w:pPr>
      <w:r>
        <w:rPr>
          <w:b/>
        </w:rPr>
        <w:t>Available abstract (not full text):</w:t>
      </w:r>
      <w:r>
        <w:t xml:space="preserve"> BACKGROUND: Estimates of the spatiotemporal distribution of different mosquito vector species and the associated risk of transmission of arboviruses are key to design adequate policies for preventing local outbreaks and reducing the number of human infections in endemic areas. In this study, we quantified the abundance of Aedes albopictus and Aedes aegypti and the local transmission potential for three arboviral infections at an unprecedented spatiotemporal resolution in areas where no entomological surveillance is available. METHODS: We developed a computational model to quantify the daily abundance of Aedes mosquitoes, leveraging temperature and precipitation records. The model was calibrated on mosquito surveillance data collected in 115 locations in Europe and the Americas between 2007 and 2018. Model estimates were used to quantify the reproduction number of dengue virus, Zika virus, and chikungunya in Europe and the Americas, at a high spatial resolution. FINDINGS: when compared with A albopictus. Our estimates highlighted that these arboviruses were endemic in tropical and subtropical countries, with the highest risks of transmission found in central America, Venezuela, Colombia, and central-east Brazil. A non-negligible potential risk of transmission was also estimated for Florida, Texas, and Arizona (USA). The broader ecological niche of A albopictus could contribute t</w:t>
      </w:r>
    </w:p>
    <w:p>
      <w:pPr/>
      <w:r>
        <w:rPr>
          <w:b/>
        </w:rPr>
        <w:t>POSSIBLE 2021:</w:t>
      </w:r>
      <w:r>
        <w:t xml:space="preserve"> Impact of the model representation of PBL and convection on the PM concentrations over Europe — https://doi.org/10.5194/egusphere-egu21-2417</w:t>
      </w:r>
    </w:p>
    <w:p>
      <w:pPr/>
      <w:r>
        <w:rPr>
          <w:b/>
        </w:rPr>
        <w:t>Shared claim-specific concepts:</w:t>
      </w:r>
      <w:r>
        <w:t xml:space="preserve"> contrasted, different, data; EU scope visible. This is a provisional connection, not an outcome finding.</w:t>
      </w:r>
    </w:p>
    <w:p>
      <w:pPr>
        <w:pStyle w:val="SourceNote"/>
      </w:pPr>
      <w:r>
        <w:rPr>
          <w:b/>
        </w:rPr>
        <w:t>Available abstract (not full text):</w:t>
      </w:r>
      <w:r>
        <w:t xml:space="preserve"> The impacts of different implementations of turbulence and convection in the Regional Climate Model (RegCM, version 4.6) on the ability to predict the particle matter (PM) concentrations in the lower troposphere over selected regions of Europe are presented. PM were simulated by the chemical transport model CAMx (Comprehensive Air quality Model with extensions, version 6.50) driven by RegCM meteorology using offline coupling of these two models. The results from four simulations for a European domain driven by two different PBL parametrizations (marked as Holtslag and UW) and two different convection parameterizations (marked as Grell and Tiedtke) are compared over the four regions of Europe, namely the Alps, Benelux, Po Valley and Central Europe. Spatial differences as well vertical profiles are contrasted with each other from the different configurations. Validation of the overall PM2.5 concentrations based on EMEP data has shown better agreement between simulated and ground measured values for the simulations driven by UW scheme of PBL.</w:t>
      </w:r>
    </w:p>
    <w:p>
      <w:pPr/>
      <w:r>
        <w:rPr>
          <w:b/>
        </w:rPr>
        <w:t>POSSIBLE 2021:</w:t>
      </w:r>
      <w:r>
        <w:t xml:space="preserve"> Spatial Patterns in Actual Evapotranspiration Climatologies for Europe — https://doi.org/10.3390/rs13122410</w:t>
      </w:r>
    </w:p>
    <w:p>
      <w:pPr/>
      <w:r>
        <w:rPr>
          <w:b/>
        </w:rPr>
        <w:t>Shared claim-specific concepts:</w:t>
      </w:r>
      <w:r>
        <w:t xml:space="preserve"> different, data; EU scope visible. This is a provisional connection, not an outcome finding.</w:t>
      </w:r>
    </w:p>
    <w:p>
      <w:pPr>
        <w:pStyle w:val="SourceNote"/>
      </w:pPr>
      <w:r>
        <w:rPr>
          <w:b/>
        </w:rPr>
        <w:t>Available abstract (not full text):</w:t>
      </w:r>
      <w:r>
        <w:t xml:space="preserve"> Spatial patterns in long-term average evapotranspiration (ET) represent a unique source of information for evaluating the spatial pattern performance of distributed hydrological models on a river basin to continental scale. This kind of model evaluation is getting increased attention, acknowledging the shortcomings of traditional aggregated or timeseries-based evaluations. A variety of satellite remote sensing (RS)-based ET estimates exist, covering a range of methods and resolutions. There is, therefore, a need to evaluate these estimates, not only in terms of temporal performance and similarity, but also in terms of long-term spatial patterns. The current study evaluates four RS-ET estimates at moderate resolution with respect to spatial patterns in comparison to two alternative continental-scale gridded ET estimates (water-balance ET and Budyko). To increase comparability, an empirical correction factor between clear sky and all-weather ET, based on eddy covariance data, is derived, which could be suitable for simple corrections of clear sky estimates. Three RS-ET estimates (MODIS16, TSEB and PT-JPL) and the Budyko method generally display similar spatial patterns both across the European domain (mean SPAEF = 0.41, range 0.25–0.61) and within river basins (mean SPAEF range 0.19–0.38), although the pattern similarity within river basins varies significantly across basins. In </w:t>
      </w:r>
    </w:p>
    <w:p>
      <w:pPr/>
      <w:r>
        <w:rPr>
          <w:b/>
        </w:rPr>
        <w:t>POSSIBLE 2019:</w:t>
      </w:r>
      <w:r>
        <w:t xml:space="preserve"> Heatwaves, droughts, and fires: Exploring compound and cascading dry hazards at the pan-European scale — https://doi.org/10.1016/j.envint.2019.105276</w:t>
      </w:r>
    </w:p>
    <w:p>
      <w:pPr/>
      <w:r>
        <w:rPr>
          <w:b/>
        </w:rPr>
        <w:t>Shared claim-specific concepts:</w:t>
      </w:r>
      <w:r>
        <w:t xml:space="preserve"> identified, data; EU scope visible. This is a provisional connection, not an outcome finding.</w:t>
      </w:r>
    </w:p>
    <w:p>
      <w:pPr>
        <w:pStyle w:val="SourceNote"/>
      </w:pPr>
      <w:r>
        <w:rPr>
          <w:b/>
        </w:rPr>
        <w:t>Available abstract (not full text):</w:t>
      </w:r>
      <w:r>
        <w:t xml:space="preserve"> Compound and cascading natural hazards usually cause more severe impacts than any of the single hazard events alone. Despite the significant impacts of compound hazards, many studies have only focused on single hazards. The aim of this paper is to investigate spatio-temporal patterns of compound and cascading hazards using historical data for dry hazards, namely heatwaves, droughts, and fires across Europe. We streamlined a simple methodology to explore the occurrence of such events on a daily basis. Droughts in soil moisture were analyzed using time series of a threshold-based index, obtained from the LISFLOOD hydrological model forced with observations. Heatwave and fire events were analyzed using the ERA5-based temperature and Fire Weather Index datasets. The data used in this study relates to the summer seasons from 1990 to 2018. Our results show that joint dry hazard occurrences were identified in west, central, and east Europe, and with a lower frequency in southern Europe and eastern Scandinavia. Drought plays a substantial role in the occurrence of the compound and cascading events of dry hazards, especially in southern Europe as it drives duration of cascading events. Moreover, drought is the most frequent hazard-precursor in cascading events, followed by compound drought-fire events. Changing the definition of a cascading dry hazard by increasing the number of days wi</w:t>
      </w:r>
    </w:p>
    <w:p>
      <w:pPr/>
      <w:r>
        <w:rPr>
          <w:b/>
        </w:rPr>
        <w:t>POSSIBLE 2019:</w:t>
      </w:r>
      <w:r>
        <w:t xml:space="preserve"> A climate-sensitive forest model for assessing impacts of forest management in Europe — https://doi.org/10.1016/j.envsoft.2019.02.009</w:t>
      </w:r>
    </w:p>
    <w:p>
      <w:pPr/>
      <w:r>
        <w:rPr>
          <w:b/>
        </w:rPr>
        <w:t>Shared claim-specific concepts:</w:t>
      </w:r>
      <w:r>
        <w:t xml:space="preserve"> different, comparing, data; EU scope visible. This is a provisional connection, not an outcome finding.</w:t>
      </w:r>
    </w:p>
    <w:p>
      <w:pPr>
        <w:pStyle w:val="SourceNote"/>
      </w:pPr>
      <w:r>
        <w:rPr>
          <w:b/>
        </w:rPr>
        <w:t>Available abstract (not full text):</w:t>
      </w:r>
      <w:r>
        <w:t xml:space="preserve"> FORMIT-M is a widely applicable, open-access, simple and flexible, climate-sensitive forest management simulator requiring only standard forest inventory data as input. It combines a process-based carbon balance approach with a strong inventory-based empirical component. The model has been linked to the global forest sector model EFI-GTM to secure consistency between timber cutting and demand, although prescribed harvest scenarios can also be used. Here we introduce the structure of the model and demonstrate its use with example simulations until the end of the 21st century in Europe, comparing different management scenarios in different regions under climate change . The model was consistent with country-level statistics of growing stock volumes (R 2 = 0.938) and its projections of climate impact on growth agreed with other studies. The management changes had a greater impact on growing stocks, harvest potential and carbon balance than projected climate change, at least in the absence of increased disturbance rates.</w:t>
      </w:r>
    </w:p>
    <w:p>
      <w:pPr/>
      <w:r>
        <w:rPr>
          <w:b/>
        </w:rPr>
        <w:t>POSSIBLE 2017:</w:t>
      </w:r>
      <w:r>
        <w:t xml:space="preserve"> Comparison of four inverse modelling systems applied to the estimation of HFC-125, HFC-134a, and SF 6 emissions over Europe — https://doi.org/10.5194/acp-17-10651-2017</w:t>
      </w:r>
    </w:p>
    <w:p>
      <w:pPr/>
      <w:r>
        <w:rPr>
          <w:b/>
        </w:rPr>
        <w:t>Shared claim-specific concepts:</w:t>
      </w:r>
      <w:r>
        <w:t xml:space="preserve"> different, identified, data; EU scope visible. This is a provisional connection, not an outcome finding.</w:t>
      </w:r>
    </w:p>
    <w:p>
      <w:pPr>
        <w:pStyle w:val="SourceNote"/>
      </w:pPr>
      <w:r>
        <w:rPr>
          <w:b/>
        </w:rPr>
        <w:t>Available abstract (not full text):</w:t>
      </w:r>
      <w:r>
        <w:t xml:space="preserve"> Abstract. Hydrofluorocarbons (HFCs) are used in a range of industrial applications and have largely replaced previously used gases (CFCs and HCFCs). HFCs are not ozone depleting but have large global warming potentials and are, therefore, reported to the United Nations Framework Convention on Climate Change (UNFCCC). Here, we use four independent inverse models to estimate European emissions of the two HFCs contributing the most to global warming (HFC-134a and HFC-125) and of SF6 for the year 2011. Using an ensemble of inverse models offers the possibility to better understand systematic uncertainties in inversions. All systems relied on the same measurement time series from Jungfraujoch (Switzerland), Mace Head (Ireland), and Monte Cimone (Italy), and the same a priori emissions, but differed in terms of Lagrangian transport model (FLEXPART, NAME), inversion method (Bayesian, Extended Kalman Filter), treatment of background mole fractions, spatial gridding, and a priori uncertainties. The model systems were compared with respect to the ability to reproduce the measurement time series, the spatial distribution of the posterior emissions, uncertainty reductions, and total emissions estimated for selected countries. All systems were able to reproduce the measurement time series very well with prior correlations between 0.5 and 0.9 and posterior correlations being higher by 0.05 t</w:t>
      </w:r>
    </w:p>
    <w:p>
      <w:pPr/>
      <w:r>
        <w:rPr>
          <w:b/>
        </w:rPr>
        <w:t>POSSIBLE 2017:</w:t>
      </w:r>
      <w:r>
        <w:t xml:space="preserve"> BECOMING GENDERED IN EUROPEAN PREHISTORY: WAS NEOLITHIC GENDER FUNDAMENTALLY DIFFERENT? — https://doi.org/10.1017/aaq.2017.54</w:t>
      </w:r>
    </w:p>
    <w:p>
      <w:pPr/>
      <w:r>
        <w:rPr>
          <w:b/>
        </w:rPr>
        <w:t>Shared claim-specific concepts:</w:t>
      </w:r>
      <w:r>
        <w:t xml:space="preserve"> different, data; EU scope visible. This is a provisional connection, not an outcome finding.</w:t>
      </w:r>
    </w:p>
    <w:p>
      <w:pPr>
        <w:pStyle w:val="SourceNote"/>
      </w:pPr>
      <w:r>
        <w:rPr>
          <w:b/>
        </w:rPr>
        <w:t>Available abstract (not full text):</w:t>
      </w:r>
      <w:r>
        <w:t xml:space="preserve"> It is notable how little gender archaeology has been written for the European Neolithic, in contrast to the following Bronze Age. We cannot blame this absence on a lack of empirical data or on archaeologists’ theoretical naïveté. Instead, we argue that this absence reflects the fact that gender in this period was qualitatively different in form from the types of gender that emerged in Europe from about 3000 cal BC onwards; the latter still form the norm in European and American contexts today, and our standard theories and methodologies are designed to uncover this specific form of gender. In Bronze Age gender systems, gender was mostly binary, associated with stable, lifelong identities expressed in recurrent complexes of gendered symbolism. In contrast, Neolithic gender appears to have been less firmly associated with personal identity and more contextually relevant; it slips easily through our methodological nets. In proposing this “contextual gender” model for Neolithic gender, we both open up new understandings of gender in the past and present and pose significant questions for our models of gender more widely.</w:t>
      </w:r>
    </w:p>
    <w:p>
      <w:pPr/>
      <w:r>
        <w:rPr>
          <w:b/>
        </w:rPr>
        <w:t>POSSIBLE 2016:</w:t>
      </w:r>
      <w:r>
        <w:t xml:space="preserve"> Evaluation of European air quality modelled by CAMx including the volatility basis set scheme — https://doi.org/10.5194/acp-16-10313-2016</w:t>
      </w:r>
    </w:p>
    <w:p>
      <w:pPr/>
      <w:r>
        <w:rPr>
          <w:b/>
        </w:rPr>
        <w:t>Shared claim-specific concepts:</w:t>
      </w:r>
      <w:r>
        <w:t xml:space="preserve"> different, data; EU scope visible. This is a provisional connection, not an outcome finding.</w:t>
      </w:r>
    </w:p>
    <w:p>
      <w:pPr>
        <w:pStyle w:val="SourceNote"/>
      </w:pPr>
      <w:r>
        <w:rPr>
          <w:b/>
        </w:rPr>
        <w:t>Available abstract (not full text):</w:t>
      </w:r>
      <w:r>
        <w:t xml:space="preserve"> Abstract. Four periods of EMEP (European Monitoring and Evaluation Programme) intensive measurement campaigns (June 2006, January 2007, September–October 2008 and February–March 2009) were modelled using the regional air quality model CAMx with VBS (Volatility Basis Set) approach for the first time in Europe within the framework of the EURODELTA-III model intercomparison exercise. More detailed analysis and sensitivity tests were performed for the period of February–March 2009 and June 2006 to investigate the uncertainties in emissions as well as to improve the modelling of organic aerosols (OA). Model performance for selected gas phase species and PM2.5 was evaluated using the European air quality database Airbase. Sulfur dioxide (SO2) and ozone (O3) were found to be overestimated for all the four periods with O3 having the largest mean bias during June 2006 and January–February 2007 periods (8.93 and 12.30 ppb mean biases, respectively). In contrast, nitrogen dioxide (NO2) and carbon monoxide (CO) were found to be underestimated for all the four periods. CAMx reproduced both total concentrations and monthly variations of PM2.5 very well for all the four periods with average biases ranging from −2.13 to 1.04 μg m-3. Comparisons with AMS (Aerosol Mass Spectrometer) measurements at different sites in Europe during February–March 2009, showed that in general the model over-predic</w:t>
      </w:r>
    </w:p>
    <w:p>
      <w:pPr/>
      <w:r>
        <w:rPr>
          <w:b/>
        </w:rPr>
        <w:t>POSSIBLE 2016:</w:t>
      </w:r>
      <w:r>
        <w:t xml:space="preserve"> Hepatitis E Seroprevalence in Europe: A Meta-Analysis — https://doi.org/10.3390/v8080211</w:t>
      </w:r>
    </w:p>
    <w:p>
      <w:pPr/>
      <w:r>
        <w:rPr>
          <w:b/>
        </w:rPr>
        <w:t>Shared claim-specific concepts:</w:t>
      </w:r>
      <w:r>
        <w:t xml:space="preserve"> identified, data; EU scope visible. This is a provisional connection, not an outcome finding.</w:t>
      </w:r>
    </w:p>
    <w:p>
      <w:pPr>
        <w:pStyle w:val="SourceNote"/>
      </w:pPr>
      <w:r>
        <w:rPr>
          <w:b/>
        </w:rPr>
        <w:t>Available abstract (not full text):</w:t>
      </w:r>
      <w:r>
        <w:t xml:space="preserve"> UNLABELLED: There have been large numbers of studies on anti-HEV IgG seroprevalence in Europe, however, the results of these studies have produced high variability of seroprevalence rates, making interpretation increasingly problematic. Therefore, the aim of this study was to develop a clearer understanding of anti-HEV IgG seroprevalence in Europe and identify risk groups for HEV exposure by a meta-analysis of published studies. METHODS: All European HEV-seroprevalence studies from 2003 to 2015 were reviewed. Data were stratified by assay, geographical location, and patient cohort (general population, patients with HIV, solid-organ transplant recipients, chronic liver disease patients, and individuals in contact with swine/wild animals). Data were pooled using a mixed-effects model. RESULTS: Four hundred thirty-two studies were initially identified, of which 73 studies were included in the analysis. Seroprevalence estimates ranged from 0.6% to 52.5%, increased with age, but were unrelated to gender. General population seroprevalence varied depending on assays: Wantai (WT): 17%, Mikrogen (MG): 10%, MP-diagnostics (MP): 7%, DiaPro: 4%, Abbott 2%. The WT assay reported significantly higher seroprevalence rates across all cohorts (p &lt; 0.001). Individuals in contact with swine/wild animals had significantly higher seroprevalence rates than the general population, irrespective of ass</w:t>
      </w:r>
    </w:p>
    <w:p>
      <w:pPr/>
      <w:r>
        <w:rPr>
          <w:b/>
        </w:rPr>
        <w:t>POSSIBLE 2015:</w:t>
      </w:r>
      <w:r>
        <w:t xml:space="preserve"> Hail potential in Europe based on a regional climate model hindcast — https://doi.org/10.1002/2015gl067118</w:t>
      </w:r>
    </w:p>
    <w:p>
      <w:pPr/>
      <w:r>
        <w:rPr>
          <w:b/>
        </w:rPr>
        <w:t>Shared claim-specific concepts:</w:t>
      </w:r>
      <w:r>
        <w:t xml:space="preserve"> different, identified; EU scope visible. This is a provisional connection, not an outcome finding.</w:t>
      </w:r>
    </w:p>
    <w:p>
      <w:pPr>
        <w:pStyle w:val="SourceNote"/>
      </w:pPr>
      <w:r>
        <w:rPr>
          <w:b/>
        </w:rPr>
        <w:t>Available abstract (not full text):</w:t>
      </w:r>
      <w:r>
        <w:t xml:space="preserve"> Abstract Due to the local‐scale nature of hail and a lack of appropriate observation systems, comprehensive, reliable, and consistent information about hail frequency and intensity in Europe is not available. To overcome this constraint, we developed a logistic hail model that quantifies the potential of the atmosphere to form hailstorms. The model is based on a combination of appropriate hail‐relevant meteorological parameters. This paper presents the application of an adjusted version of the logistic model with the objective being to estimate the hail potential across Europe based on dynamically downscaled National Centers for Environmental Prediction/National Center for Atmospheric Research1 reanalysis over a long‐term period of 60 years (1951–2010). The model output, in terms of the potential hail index (PHI), identified several hot spots that are well known from other observational studies. Time series of the PHI over the 60 year period show a high correlation at different sites across Europe and high annual and multiannual variability, but no overall trend.</w:t>
      </w:r>
    </w:p>
    <w:p>
      <w:pPr/>
      <w:r>
        <w:rPr>
          <w:b/>
        </w:rPr>
        <w:t>POSSIBLE 2015:</w:t>
      </w:r>
      <w:r>
        <w:t xml:space="preserve"> A dataset of future daily weather data for crop modelling over Europe derived from climate change scenarios — https://doi.org/10.1007/s00704-015-1650-4</w:t>
      </w:r>
    </w:p>
    <w:p>
      <w:pPr/>
      <w:r>
        <w:rPr>
          <w:b/>
        </w:rPr>
        <w:t>Shared claim-specific concepts:</w:t>
      </w:r>
      <w:r>
        <w:t xml:space="preserve"> different, plausible, simulation, data; EU scope visible. This is a provisional connection, not an outcome finding.</w:t>
      </w:r>
    </w:p>
    <w:p>
      <w:pPr>
        <w:pStyle w:val="SourceNote"/>
      </w:pPr>
      <w:r>
        <w:rPr>
          <w:b/>
        </w:rPr>
        <w:t>Available abstract (not full text):</w:t>
      </w:r>
      <w:r>
        <w:t xml:space="preserve"> Coupled atmosphere-ocean general circulation models (GCMs) simulate different realizations of possible future climates at global scale under contrasting scenarios of land-use and greenhouse gas emissions. Such data require several additional processing steps before it can be used to drive impact models. Spatial downscaling, typically by regional climate models (RCM), and bias-correction are two such steps that have already been addressed for Europe. Yet, the errors in resulting daily meteorological variables may be too large for specific model applications. Crop simulation models are particularly sensitive to these inconsistencies and thus require further processing of GCM-RCM outputs. Moreover, crop models are often run in a stochastic manner by using various plausible weather time series (often generated using stochastic weather generators) to represent climate time scale for a period of interest (e.g. 2000 ± 15 years), while GCM simulations typically provide a single time series for a given emission scenario. To inform agricultural policy-making, data on near- and medium-term decadal time scale is mostly requested, e.g. 2020 or 2030. Taking a sample of multiple years from these unique time series to represent time horizons in the near future is particularly problematic because selecting overlapping years may lead to spurious trends, creating artefacts in the results of the i</w:t>
      </w:r>
    </w:p>
    <w:p>
      <w:pPr/>
      <w:r>
        <w:rPr>
          <w:b/>
        </w:rPr>
        <w:t>POSSIBLE 2015:</w:t>
      </w:r>
      <w:r>
        <w:t xml:space="preserve"> Introduction of a simple-model-based land surface dataset for Europe — https://doi.org/10.1088/1748-9326/10/4/044012</w:t>
      </w:r>
    </w:p>
    <w:p>
      <w:pPr/>
      <w:r>
        <w:rPr>
          <w:b/>
        </w:rPr>
        <w:t>Shared claim-specific concepts:</w:t>
      </w:r>
      <w:r>
        <w:t xml:space="preserve"> against, data; EU scope visible. This is a provisional connection, not an outcome finding.</w:t>
      </w:r>
    </w:p>
    <w:p>
      <w:pPr>
        <w:pStyle w:val="SourceNote"/>
      </w:pPr>
      <w:r>
        <w:rPr>
          <w:b/>
        </w:rPr>
        <w:t>Available abstract (not full text):</w:t>
      </w:r>
      <w:r>
        <w:t xml:space="preserve"> Land surface hydrology can play a crucial role during extreme events such as droughts, floods and even heat waves. We introduce in this study a new hydrological dataset for Europe that consists of soil moisture, runoff and evapotranspiration (ET). It is derived with a simple water balance model (SWBM) forced with precipitation, temperature and net radiation. The SWBM dataset extends over the period 1984–2013 with a daily time step and 0.5° × 0.5° resolution. We employ a novel calibration approach, in which we consider 300 random parameter sets chosen from an observation-based range. Using several independent validation datasets representing soil moisture (or terrestrial water content), ET and streamflow, we identify the best performing parameter set and hence the new dataset. To illustrate its usefulness, the SWBM dataset is compared against several state-of-the-art datasets (ERA-Interim/Land, MERRA-Land, GLDAS-2-Noah, simulations of the Community Land Model Version 4), using all validation datasets as reference. For soil moisture dynamics it outperforms the benchmarks. Therefore the SWBM soil moisture dataset constitutes a reasonable alternative to sparse measurements, little validated model results, or proxy data such as precipitation indices. Also in terms of runoff the SWBM dataset performs well, whereas the evaluation of the SWBM ET dataset is overall satisfactory, but the</w:t>
      </w:r>
    </w:p>
    <w:p>
      <w:pPr>
        <w:pStyle w:val="Heading2"/>
      </w:pPr>
      <w:r>
        <w:t>959. MARKET DRIVEN POWER PLANT INVESTMENT PERSPECTIVES IN EUROPE: CLIMATE POLICY AND TECHNOLOGY SCENARIOS UNTIL 2050 IN THE MODEL EMELIE-ESY</w:t>
      </w:r>
    </w:p>
    <w:p>
      <w:pPr>
        <w:pStyle w:val="SourceNote"/>
      </w:pPr>
      <w:r>
        <w:rPr>
          <w:b/>
        </w:rPr>
        <w:t>Original source (2013):</w:t>
      </w:r>
      <w:r>
        <w:t xml:space="preserve"> https://doi.org/10.1142/s2010007813400071</w:t>
      </w:r>
    </w:p>
    <w:p>
      <w:pPr/>
      <w:r>
        <w:t>Original wording (abstract; indexed_source_text_not_full_document_verified): For the year 2050, the model projects a minor increase of power consumption of 10% under current climate policy, and a balanced pathway for consumption under ambitious climate policy compared to 2010 levels. We use the partial equilibrium model EMELIE-ESY with focus on electricity markets in order to determine how private investors optimize their generation capacity investment and operation over the horizon 2010 to 2050.</w:t>
      </w:r>
    </w:p>
    <w:p>
      <w:pPr/>
      <w:r>
        <w:rPr>
          <w:b/>
        </w:rPr>
        <w:t>POSSIBLE 2026:</w:t>
      </w:r>
      <w:r>
        <w:t xml:space="preserve"> Navigating Digital Safety for Minors in Europe — https://doi.org/10.36862/70s3-ac9r</w:t>
      </w:r>
    </w:p>
    <w:p>
      <w:pPr/>
      <w:r>
        <w:rPr>
          <w:b/>
        </w:rPr>
        <w:t>Shared claim-specific concepts:</w:t>
      </w:r>
      <w:r>
        <w:t xml:space="preserve"> current, use; EU scope visible. This is a provisional connection, not an outcome finding.</w:t>
      </w:r>
    </w:p>
    <w:p>
      <w:pPr>
        <w:pStyle w:val="SourceNote"/>
      </w:pPr>
      <w:r>
        <w:rPr>
          <w:b/>
        </w:rPr>
        <w:t>Available abstract (not full text):</w:t>
      </w:r>
      <w:r>
        <w:t xml:space="preserve"> In an era where digital technologies shape nearly every aspect of daily life, children and young people are growing up more connected than any previous generation. Across the European Union, most youth use the internet daily and encounter digital environments from an early age. This connectivity opens pathways for learning, creativity, and social engagement, yet also exposes young people to increasingly complex and global risks. While many thrive online, nearly one in three reports feeling unsafe. Violations of privacy, exposure to disturbing content, unwanted sexual approaches, and cyberbullying are becoming more common. At the same time, Europe has emerged as a major hub for hosting child sexual abuse material (CSAM), including newer forms such as deepfake abuse content and AI-generated “DeepNudes.” Without effective safeguards, the digital world can shift from a space of opportunity to one of harm. This book explores how law, policy, and institutional practice can address these urgent challenges. It provides a comprehensive and accessible overview of the legal frameworks governing online safety for minors across Europe, enriched with insights from the United States, and evaluates how effectively current regulations protect children in an evolving digital landscape. Through comparative legal analysis, it highlights best practices, persistent gaps, and the growing need for int</w:t>
      </w:r>
    </w:p>
    <w:p>
      <w:pPr/>
      <w:r>
        <w:rPr>
          <w:b/>
        </w:rPr>
        <w:t>POSSIBLE 2026:</w:t>
      </w:r>
      <w:r>
        <w:t xml:space="preserve"> 6G and NTN Power Consumption Modeling — https://doi.org/10.1201/9781003674801-13</w:t>
      </w:r>
    </w:p>
    <w:p>
      <w:pPr/>
      <w:r>
        <w:rPr>
          <w:b/>
        </w:rPr>
        <w:t>Shared claim-specific concepts:</w:t>
      </w:r>
      <w:r>
        <w:t xml:space="preserve"> projects, increase, power, consumption, current, use; EU scope visible. This is a provisional connection, not an outcome finding.</w:t>
      </w:r>
    </w:p>
    <w:p>
      <w:pPr>
        <w:pStyle w:val="SourceNote"/>
      </w:pPr>
      <w:r>
        <w:rPr>
          <w:b/>
        </w:rPr>
        <w:t>Available abstract (not full text):</w:t>
      </w:r>
      <w:r>
        <w:t xml:space="preserve"> The transition from 5G to 6G shifts network design beyond low latency and high data rates toward extreme device density, pervasive AI, terabit-per-second throughput, and the integration of terrestrial and non-terrestrial platforms. However, dense RAN deployments, AI-driven processing, satellites, high-altitude platforms, and unmanned aerial vehicles significantly increase energy consumption. Thus, energy efficiency and sustainability are central to 6G viability. Global research aligns with frameworks such as the Paris Agreement, UN SDGs, and the European Green Deal, targeting greener networks by 2030. European projects examine performance–energy trade-offs, while accurate power modeling remains essential, as current models rely on simplified assumptions that limit real-world applicability. Within this context, this chapter aims to offer a comprehensive overview and derivation of power consumption modeling for 6G networks. It discusses power consumption modeling across various segments of 6G networks while pointing out crucial technical and methodological challenges. Analytical frameworks are proposed, including mathematical formulations and empirical results that incorporate the critical AI/ML processing required in 6G technology and focus on non-terrestrial networks as one of the promising use cases for upcoming ecosystems.</w:t>
      </w:r>
    </w:p>
    <w:p>
      <w:pPr/>
      <w:r>
        <w:rPr>
          <w:b/>
        </w:rPr>
        <w:t>POSSIBLE 2025:</w:t>
      </w:r>
      <w:r>
        <w:t xml:space="preserve"> Modelling of Soil Multifunctionality Across Europe — https://doi.org/10.1111/sum.70147</w:t>
      </w:r>
    </w:p>
    <w:p>
      <w:pPr/>
      <w:r>
        <w:rPr>
          <w:b/>
        </w:rPr>
        <w:t>Shared claim-specific concepts:</w:t>
      </w:r>
      <w:r>
        <w:t xml:space="preserve"> climate, use; EU scope visible. This is a provisional connection, not an outcome finding.</w:t>
      </w:r>
    </w:p>
    <w:p>
      <w:pPr>
        <w:pStyle w:val="SourceNote"/>
      </w:pPr>
      <w:r>
        <w:rPr>
          <w:b/>
        </w:rPr>
        <w:t>Available abstract (not full text):</w:t>
      </w:r>
      <w:r>
        <w:t xml:space="preserve"> ABSTRACT Soils sustain a number of functions playing a key role in ecosystem functioning and providing a multitude of services to human society. While it is acknowledged that all soils are multifunctional, there is, to date, limited knowledge on how the supply of soil functions and their combination differ spatially with land use type, soil characteristics, climate and land use intensity at large geographical scales. We address this gap by quantifying five functions of major importance to European soils: (1) primary productivity, (2) water regulation, (3) climate regulation, (4) nutrient cycling and (5) provision of habitat for biodiversity. We built a multi‐attribute semi‐quantitative model with a hierarchical structure. The model is structured for the large‐scale evaluation of soil functions and takes as input a set of indicators related to dynamic and stable soil properties, as well as climate, topography and management practices, and returns qualitative aggregated attributes representing the soil functions supply. Thresholds for the soil functions supply are obtained by statistical analysis coupled with expert knowledge and vary across European environmental zones. The model is tested utilizing a large pan‐European dataset focused on cropland and grassland systems. Statistical distributions of soil functions supply are obtained alongside alpha‐ and beta‐multifunctionality r</w:t>
      </w:r>
    </w:p>
    <w:p>
      <w:pPr/>
      <w:r>
        <w:rPr>
          <w:b/>
        </w:rPr>
        <w:t>POSSIBLE 2025:</w:t>
      </w:r>
      <w:r>
        <w:t xml:space="preserve"> The Projected Effects of Climate Change on the Potential Distribution of Planococcus minor Based on Ensemble Species Distribution Models — https://doi.org/10.3390/agronomy15051165</w:t>
      </w:r>
    </w:p>
    <w:p>
      <w:pPr/>
      <w:r>
        <w:rPr>
          <w:b/>
        </w:rPr>
        <w:t>Shared claim-specific concepts:</w:t>
      </w:r>
      <w:r>
        <w:t xml:space="preserve"> minor, climate, pathway; EU scope not established. This is a provisional connection, not an outcome finding.</w:t>
      </w:r>
    </w:p>
    <w:p>
      <w:pPr>
        <w:pStyle w:val="SourceNote"/>
      </w:pPr>
      <w:r>
        <w:rPr>
          <w:b/>
        </w:rPr>
        <w:t>Available abstract (not full text):</w:t>
      </w:r>
      <w:r>
        <w:t xml:space="preserve"> Planococcus minor is an invasive pest of significant economic importance that has attracted international attention. Predicting the potential geographic distribution of P. minor under climate change is crucial to developing effective prevention and control strategies for safeguarding agricultural productivity. In this study, we selected four species distribution models (GBM, GLM, MARS, MAXENT) and utilized the Biomod2 package to construct an ensemble model for predicting the suitable habitats of P. minor under the averaged climate conditions of 1970–2000 and 2041–2060 (2050s), including a low-emission pathway (SSP1-2.6) and a high-emission pathway (SSP5-8.5). Among the 19 bioclimatic variables considered, precipitation of the wettest quarter and temperature seasonality were identified as the most influential factors affecting the distribution of P. minor. Under the averaged climate conditions of 1970–2000, suitable habitats for P. minor are mainly distributed in tropical and subtropical regions worldwide. In China, highly suitable zones are concentrated in Yunnan, Guangxi, Guangdong, Hainan, and Taiwan. In the future, the global range of P. minor is projected to expand, with some highly suitable areas transitioning toward medium and low suitability. Under the high-emission pathway (SSP5-8.5) scenario, suitable habitats in China are anticipated to exhibit a pronounced trend of i</w:t>
      </w:r>
    </w:p>
    <w:p>
      <w:pPr/>
      <w:r>
        <w:rPr>
          <w:b/>
        </w:rPr>
        <w:t>POSSIBLE 2024:</w:t>
      </w:r>
      <w:r>
        <w:t xml:space="preserve"> Stochastic Models of Electricity Consumption — https://doi.org/10.17150/2713-1734.2024.6(1).31-46</w:t>
      </w:r>
    </w:p>
    <w:p>
      <w:pPr/>
      <w:r>
        <w:rPr>
          <w:b/>
        </w:rPr>
        <w:t>Shared claim-specific concepts:</w:t>
      </w:r>
      <w:r>
        <w:t xml:space="preserve"> projects, power, consumption, electricity; EU scope visible. This is a provisional connection, not an outcome finding.</w:t>
      </w:r>
    </w:p>
    <w:p>
      <w:pPr>
        <w:pStyle w:val="SourceNote"/>
      </w:pPr>
      <w:r>
        <w:rPr>
          <w:b/>
        </w:rPr>
        <w:t>Available abstract (not full text):</w:t>
      </w:r>
      <w:r>
        <w:t xml:space="preserve"> The article considers a stochastic model of electricity consumption based on the convolution theory. It is assumed that the processes of switching on and off energy consumption on a city scale depend on a large number of independent random factors and have the form of a normal probability distribution. The functions of switching on and off the load are presented, graphs are plotted. The comparison of the intelligent power supply system with the existing power supply system in the Russian Federation is carried out. The reasons for the slow introduction of smart grids in the Russian Federation are revealed. At the moment, smart grids are not very popular in the Russian Federation, while in the countries of the European Union, the USA and China, projects related to the development, production of components and the widespread introduction of smart grids are actively receiving state financial support. Thus, the European Union allocates more than a billion dollars annually for projects in the field of electric power and smart grids. These funds are allocated according to the European Green Deal strategy. At the same time, the State Grid Corporation of China has introduced the concept of the "Global Energy Internet", which, in accordance with the government's expectation, will stimulate the smart grid market in the country. As in other countries of the world, the US electric power ind</w:t>
      </w:r>
    </w:p>
    <w:p>
      <w:pPr/>
      <w:r>
        <w:rPr>
          <w:b/>
        </w:rPr>
        <w:t>POSSIBLE 2023:</w:t>
      </w:r>
      <w:r>
        <w:t xml:space="preserve"> Projected future European power sector water usage across power scenarios and corresponding trends in water availability — https://doi.org/10.1016/j.jenvman.2023.118208</w:t>
      </w:r>
    </w:p>
    <w:p>
      <w:pPr/>
      <w:r>
        <w:rPr>
          <w:b/>
        </w:rPr>
        <w:t>Shared claim-specific concepts:</w:t>
      </w:r>
      <w:r>
        <w:t xml:space="preserve"> power, consumption, current, climate, use; EU scope visible. This is a provisional connection, not an outcome finding.</w:t>
      </w:r>
    </w:p>
    <w:p>
      <w:pPr>
        <w:pStyle w:val="SourceNote"/>
      </w:pPr>
      <w:r>
        <w:rPr>
          <w:b/>
        </w:rPr>
        <w:t>Available abstract (not full text):</w:t>
      </w:r>
      <w:r>
        <w:t xml:space="preserve"> The current transition toward added renewables into the power mix is essential to mitigate climate change effects, but the energy transition has environmental impacts outside the scope of greenhouse gas emissions that also need attention. One such impact is the water-energy dependency nexus, where water dependencies are also seen for non-fossil technologies such as concentrated solar power (CSP), bioenergy and hydropower and mitigation technologies such as carbon capture and storage (CCS). In this light, the selection of power production technologies can potentially affect long-term water resource renewability and dry summer conditions, causing, e.g., power plant shutdowns. In this study, we employ an established and validated scheme of water consumption and withdrawal rates across energy conversion technologies at the European scale to project corresponding water usage rates towards 2050 for EU30 countries. We further use the entire range of global- and regional climate model ensembles for low-, medium- and high-emission scenarios to project trends and robustness estimates of freshwater resources and availability at the distributed level for corresponding countries and years towards 2100. The results show a high sensitivity of water usage rates to the implementation of energy technologies such as CSP and CCS, as well as the decommissioning rates of fossil technologies and some</w:t>
      </w:r>
    </w:p>
    <w:p>
      <w:pPr/>
      <w:r>
        <w:rPr>
          <w:b/>
        </w:rPr>
        <w:t>POSSIBLE 2022:</w:t>
      </w:r>
      <w:r>
        <w:t xml:space="preserve"> Retreat of Major European Tree Species Distribution under Climate Change—Minor Natives to the Rescue? — https://doi.org/10.3390/su14095213</w:t>
      </w:r>
    </w:p>
    <w:p>
      <w:pPr/>
      <w:r>
        <w:rPr>
          <w:b/>
        </w:rPr>
        <w:t>Shared claim-specific concepts:</w:t>
      </w:r>
      <w:r>
        <w:t xml:space="preserve"> minor, climate, use; EU scope visible. This is a provisional connection, not an outcome finding.</w:t>
      </w:r>
    </w:p>
    <w:p>
      <w:pPr>
        <w:pStyle w:val="SourceNote"/>
      </w:pPr>
      <w:r>
        <w:rPr>
          <w:b/>
        </w:rPr>
        <w:t>Available abstract (not full text):</w:t>
      </w:r>
      <w:r>
        <w:t xml:space="preserve"> Climate change is projected to trigger strong declines in the potential distribution of major tree species in Europe. While minor natives have moved into the spotlight as alternatives, their ecology is often poorly understood. We use an ensemble species distribution modelling approach on a set of promising native tree species to gain insights into their distribution potential under different climate change scenarios. Moreover, we identify the urgency and potential of altered species distributions in favor of minor natives by comparing the niche dynamics of five major native tree species with the set of six minor natives in a case study. Our models project stark range contractions and range shifts among major tree species, strongly amplified under high emission scenarios. Abies alba, Picea abies and Fagus sylvatica are affected the strongest. While also experiencing range shifts, the minor European natives Castanea sativa, Sorbus torminalis, and Ulmus laevis all considerably expand their range potential across climate change scenarios. Accompanied by Carpinus betulus, with a stable range size, they hold the potential to substantially contribute to sustainably adapting European forest to climate change.</w:t>
      </w:r>
    </w:p>
    <w:p>
      <w:pPr/>
      <w:r>
        <w:rPr>
          <w:b/>
        </w:rPr>
        <w:t>POSSIBLE 2022:</w:t>
      </w:r>
      <w:r>
        <w:t xml:space="preserve"> Modelling site response at regional scale for the 2020 European Seismic Risk Model (ESRM20) — https://doi.org/10.1007/s10518-022-01526-5</w:t>
      </w:r>
    </w:p>
    <w:p>
      <w:pPr/>
      <w:r>
        <w:rPr>
          <w:b/>
        </w:rPr>
        <w:t>Shared claim-specific concepts:</w:t>
      </w:r>
      <w:r>
        <w:t xml:space="preserve"> compared, order, determine; EU scope visible. This is a provisional connection, not an outcome finding.</w:t>
      </w:r>
    </w:p>
    <w:p>
      <w:pPr>
        <w:pStyle w:val="SourceNote"/>
      </w:pPr>
      <w:r>
        <w:rPr>
          <w:b/>
        </w:rPr>
        <w:t>Available abstract (not full text):</w:t>
      </w:r>
      <w:r>
        <w:t xml:space="preserve"> Abstract Quantitative estimation of seismic risk over a region requires both an underlying probabilistic seismic hazard model and a means to characterise shallow site response over a large scale. The 2020 European Seismic Risk Model (ESRM20) builds on the 2020 European Seismic Hazard Model (ESHM20), requiring additional information to firstly parameterise the local site condition across all of Europe, and subsequently determine its influence on the prediction of seismic ground motion. Initially, a harmonised digital geological database for Europe is compiled, alongside a model of topographic/bathymetric elevation and a database of 30 m averaged shearwave velocity measurements ( $$V_{S30}$$ VS30 ), in order to produce separate 30 arc-second maps of inferred $$V_{S30}$$ VS30 based on topography and on geology. We then capitalise on a large database of seismic recording stations in Europe for which site-to-site ground motion residuals ( $$\delta S2S_{S}$$ δS2SS ) have been determined with respect to the shallow crustal ground motion model used in the ESHM20. These residuals allow us to incorporate site amplification functions into the European GMM calibrated upon either observed or inferred $$V_{S30}$$ VS30 , or on the European geology and topography models. We present the resulting pan-European seismic site amplification model and assess its impact on seismic hazard and risk comp</w:t>
      </w:r>
    </w:p>
    <w:p>
      <w:pPr/>
      <w:r>
        <w:rPr>
          <w:b/>
        </w:rPr>
        <w:t>POSSIBLE 2022:</w:t>
      </w:r>
      <w:r>
        <w:t xml:space="preserve"> Modeling and Simulation of Household Appliances Power Consumption — https://doi.org/10.3390/app12073689</w:t>
      </w:r>
    </w:p>
    <w:p>
      <w:pPr/>
      <w:r>
        <w:rPr>
          <w:b/>
        </w:rPr>
        <w:t>Shared claim-specific concepts:</w:t>
      </w:r>
      <w:r>
        <w:t xml:space="preserve"> increase, power, consumption, compared, levels, electricity; EU scope not established. This is a provisional connection, not an outcome finding.</w:t>
      </w:r>
    </w:p>
    <w:p>
      <w:pPr>
        <w:pStyle w:val="SourceNote"/>
      </w:pPr>
      <w:r>
        <w:rPr>
          <w:b/>
        </w:rPr>
        <w:t>Available abstract (not full text):</w:t>
      </w:r>
      <w:r>
        <w:t xml:space="preserve"> The consumption of household appliances tends to increase. Therefore, the application of energy efficiency measurements is urgently needed to reduce the levels of power consumption. Over the last years, various methods have been used to predict household electricity consumption. As a novelty, this paper proposed a method of predicting the consumption of household appliances by evaluating statistical distributions (Kolmogorov–Smirnov Test and Pearson’s X2 test). To test the veracity of the evaluations, first, a set of random values was simulated for each hour, and their respective averages were calculated. These were compared with the averages of the real values for each hour. With the exception of HVAC during working days, great results were obtained. For the refrigerator, the maximum error was 3.91%, while for the lighting, it was 4.27%. At the point of consumption, the accuracy was even higher, with an error of 1.17% for the dryer while for the washing machine and dishwasher, their minimum errors were less than 1%. The error results confirm that the applied methodology is perfectly acceptable for modeling household appliance consumption and consequently predicting it. However, these consumptions can be only extrapolated to dwellings with similar surface areas and habitats.</w:t>
      </w:r>
    </w:p>
    <w:p>
      <w:pPr/>
      <w:r>
        <w:rPr>
          <w:b/>
        </w:rPr>
        <w:t>POSSIBLE 2022:</w:t>
      </w:r>
      <w:r>
        <w:t xml:space="preserve"> Dynamic Process Modeling of Topside Systems for Evaluating Power Consumption and Possibilities of Using Wind Power — https://doi.org/10.3390/en15249482</w:t>
      </w:r>
    </w:p>
    <w:p>
      <w:pPr/>
      <w:r>
        <w:rPr>
          <w:b/>
        </w:rPr>
        <w:t>Shared claim-specific concepts:</w:t>
      </w:r>
      <w:r>
        <w:t xml:space="preserve"> power, consumption, use; EU scope not established. This is a provisional connection, not an outcome finding.</w:t>
      </w:r>
    </w:p>
    <w:p>
      <w:pPr>
        <w:pStyle w:val="SourceNote"/>
      </w:pPr>
      <w:r>
        <w:rPr>
          <w:b/>
        </w:rPr>
        <w:t>Available abstract (not full text):</w:t>
      </w:r>
      <w:r>
        <w:t xml:space="preserve"> Norwegian offshore wind farms may be able to supply power to offshore oil and gas platforms in the near future thanks to the expeditious development of offshore wind technology. This would result in a reduction in CO2 emissions from oil and gas offshore installations, which are currently powered predominantly by gas turbines. The challenge with using wind power is that offshore oil and gas installations require a fairly constant and stable source of power, whereas wind power typically exhibits significant fluctuations over time. The purpose of this study is to perform a technical feasibility evaluation of using wind power to supply an offshore oil and gas installation on the basis of dynamic process simulations. Throughout the study, only the topside processing system is considered, since it is the most energy-intensive part of an oil and gas facility. An offshore field on the Norwegian Continental Shelf is used as a case study. The results indicate that, when the processing system operates in steady-state conditions, it cannot be powered solely by wind energy, and another power source is required to compensate for low wind power generation intervals. An alternative would be to store wind energy during periods of high generation (e.g., by producing hydrogen or ammonia) and use it during periods of low generation. Utilizing energy storage methods, wind energy can be continuously</w:t>
      </w:r>
    </w:p>
    <w:p>
      <w:pPr/>
      <w:r>
        <w:rPr>
          <w:b/>
        </w:rPr>
        <w:t>POSSIBLE 2022:</w:t>
      </w:r>
      <w:r>
        <w:t xml:space="preserve"> Modelling the impact of improved photosynthetic properties on crop performance in Europe — https://doi.org/10.1002/fes3.402</w:t>
      </w:r>
    </w:p>
    <w:p>
      <w:pPr/>
      <w:r>
        <w:rPr>
          <w:b/>
        </w:rPr>
        <w:t>Shared claim-specific concepts:</w:t>
      </w:r>
      <w:r>
        <w:t xml:space="preserve"> increase, climate, use; EU scope visible. This is a provisional connection, not an outcome finding.</w:t>
      </w:r>
    </w:p>
    <w:p>
      <w:pPr>
        <w:pStyle w:val="SourceNote"/>
      </w:pPr>
      <w:r>
        <w:rPr>
          <w:b/>
        </w:rPr>
        <w:t>Available abstract (not full text):</w:t>
      </w:r>
      <w:r>
        <w:t xml:space="preserve"> Abstract Using the GECROS model, we simulated the effect of improvements in photosynthesis a range of growth parameters, including yield, and on the ε c (the conversion efficiency of absorbed solar energy to the chemical energy of biomass) and ε i (the efficiency of solar energy interception or absorption by the canopy) parameters of the Monteith crop growth equation, for wheat and potato (which use C3 photosynthesis) and maize (which uses C4 photosynthesis). In the case of the C3 crops, the improvements in photosynthesis were via 20% increases in the parameters V cmax (carboxylation capacity of Rubisco), J max (electron transport capacity), S c/o (Rubisco specificity), κ 2LL (efficiency of converting incident light into electron transport) and g m (mesophyll conductance), while for the C4 crop, it was via 20% increase in V cmax , J max and S c/o and a 20% decrease in g bs (the conductance that controls the leak of CO 2 from the bundle sheath cells in C4 leaves). The changes were applied individually and in combination. The responses were modelled using climate data collected over a 10‐year period from 66 sites around Europe. Improvements in photosynthesis did result in increases in yield but with considerable variation between the parameters that were adjusted. The greatest increases were obtained for increases in J max and κ 2LL (up to an average 11% increase for total plant </w:t>
      </w:r>
    </w:p>
    <w:p>
      <w:pPr/>
      <w:r>
        <w:rPr>
          <w:b/>
        </w:rPr>
        <w:t>POSSIBLE 2021:</w:t>
      </w:r>
      <w:r>
        <w:t xml:space="preserve"> Current and projected regional economic impacts of heatwaves in Europe — https://doi.org/10.1038/s41467-021-26050-z</w:t>
      </w:r>
    </w:p>
    <w:p>
      <w:pPr/>
      <w:r>
        <w:rPr>
          <w:b/>
        </w:rPr>
        <w:t>Shared claim-specific concepts:</w:t>
      </w:r>
      <w:r>
        <w:t xml:space="preserve"> increase, current, compared; EU scope visible. This is a provisional connection, not an outcome finding.</w:t>
      </w:r>
    </w:p>
    <w:p>
      <w:pPr>
        <w:pStyle w:val="SourceNote"/>
      </w:pPr>
      <w:r>
        <w:rPr>
          <w:b/>
        </w:rPr>
        <w:t>Available abstract (not full text):</w:t>
      </w:r>
      <w:r>
        <w:t xml:space="preserve"> Extreme heat undermines the working capacity of individuals, resulting in lower productivity, and thus economic output. Here we analyse the present and future economic damages due to reduced labour productivity caused by extreme heat in Europe. For the analysis of current impacts, we focused on heatwaves occurring in four recent anomalously hot years (2003, 2010, 2015, and 2018) and compared our findings to the historical period 1981-2010. In the selected years, the total estimated damages attributed to heatwaves amounted to 0.3-0.5% of European gross domestic product (GDP). However, the identified losses were largely heterogeneous across space, consistently showing GDP impacts beyond 1% in more vulnerable regions. Future projections indicate that by 2060 impacts might increase in Europe by a factor of almost five compared to the historical period 1981-2010 if no further mitigation or adaptation actions are taken, suggesting the presence of more pronounced effects in the regions where these damages are already acute.</w:t>
      </w:r>
    </w:p>
    <w:p>
      <w:pPr>
        <w:pStyle w:val="Heading2"/>
      </w:pPr>
      <w:r>
        <w:t>960. Potential stocks and increments of woody biomass in the European Union under different management and climate scenarios</w:t>
      </w:r>
    </w:p>
    <w:p>
      <w:pPr>
        <w:pStyle w:val="SourceNote"/>
      </w:pPr>
      <w:r>
        <w:rPr>
          <w:b/>
        </w:rPr>
        <w:t>Original source (2013):</w:t>
      </w:r>
      <w:r>
        <w:t xml:space="preserve"> https://doi.org/10.1186/1750-0680-8-2</w:t>
      </w:r>
    </w:p>
    <w:p>
      <w:pPr/>
      <w:r>
        <w:t>Original wording (abstract; indexed_source_text_not_full_document_verified): It should be investigated how biomass stock, harvests and increments will develop under different climate scenarios and two management scenarios where one is forcing to store high biomass amounts in forests and the other tries to have high increment rates and much harvested wood. Incentives which will increase the standing biomass beyond the increment optimal biomass should therefore be avoided.</w:t>
      </w:r>
    </w:p>
    <w:p>
      <w:pPr/>
      <w:r>
        <w:rPr>
          <w:b/>
        </w:rPr>
        <w:t>POSSIBLE 2026:</w:t>
      </w:r>
      <w:r>
        <w:t xml:space="preserve"> Accelerating biomass loss from forest disturbances across Europe — https://doi.org/10.1038/s41561-026-02032-y</w:t>
      </w:r>
    </w:p>
    <w:p>
      <w:pPr/>
      <w:r>
        <w:rPr>
          <w:b/>
        </w:rPr>
        <w:t>Shared claim-specific concepts:</w:t>
      </w:r>
      <w:r>
        <w:t xml:space="preserve"> biomass, harvests, climate, high, forests; EU scope visible. This is a provisional connection, not an outcome finding.</w:t>
      </w:r>
    </w:p>
    <w:p>
      <w:pPr>
        <w:pStyle w:val="SourceNote"/>
      </w:pPr>
      <w:r>
        <w:rPr>
          <w:b/>
        </w:rPr>
        <w:t>Available abstract (not full text):</w:t>
      </w:r>
      <w:r>
        <w:t xml:space="preserve"> Abstract Forest disturbances are rising globally due to climate change and land-use pressures, weakening the terrestrial carbon sink. However, declines in aboveground biomass from tree cover loss remain poorly quantified, limiting our understanding of the role of disturbances in global carbon dynamics. Here we present a spatially explicit estimate of aboveground biomass losses from natural disturbances and harvest across Europe’s 216 million hectares of forests, using satellite remote sensing. From 1985 to 2023, gross aboveground biomass losses totalled 6.5 ± 0.8 Pg. Of these, 18% were caused by high-severity natural disturbances, whereas stand-replacing harvests accounted for 82%. From 2018 onward, aboveground biomass losses increased by 46% reaching annual values unprecedented in the preceding four decades. This acceleration coincided with high natural disturbance activity in biomass-rich temperate forests. After 2018, the sensitivity of aboveground biomass loss to disturbance area increased substantially, suggesting that even small increases in natural disturbances can result in large losses. As climate-driven natural disturbances intensify, we thus expect sustained aboveground biomass losses across Europe, despite policies to enhance the forest carbon sink until 2030.</w:t>
      </w:r>
    </w:p>
    <w:p>
      <w:pPr/>
      <w:r>
        <w:rPr>
          <w:b/>
        </w:rPr>
        <w:t>POSSIBLE 2025:</w:t>
      </w:r>
      <w:r>
        <w:t xml:space="preserve"> Missing biomass stock: a systematic investigation of understory bryophytes across 413 subtropical forests — https://doi.org/10.1007/s44246-025-00224-6</w:t>
      </w:r>
    </w:p>
    <w:p>
      <w:pPr/>
      <w:r>
        <w:rPr>
          <w:b/>
        </w:rPr>
        <w:t>Shared claim-specific concepts:</w:t>
      </w:r>
      <w:r>
        <w:t xml:space="preserve"> investigated, biomass, stock, forests, other; EU scope not established. This is a provisional connection, not an outcome finding.</w:t>
      </w:r>
    </w:p>
    <w:p>
      <w:pPr>
        <w:pStyle w:val="SourceNote"/>
      </w:pPr>
      <w:r>
        <w:rPr>
          <w:b/>
        </w:rPr>
        <w:t>Available abstract (not full text):</w:t>
      </w:r>
      <w:r>
        <w:t xml:space="preserve"> Abstract Forests are the largest terrestrial carbon sink but the contribution of understory bryophytes has been long neglected. We systematically investigated the biomass and nutrient storage of forest floor bryophytes from 413 subtropical forests in Sichuan province, China. Bryophytes account for 1/4 of the understory biomass and correspond to 1% of the aboveground tree biomass. Cold temperate coniferous forests have the highest bryophyte biomass. Bryophytes are non-negligible components in subtropical forests and preserving the long-overlooked bryophytes is a cost-effective addition to carbon neutrality. More investigations across other climatic regions are required to quantify bryophyte contributions worldwide and establish more accurate global terrestrial ecosystem models. Graphical Abstract</w:t>
      </w:r>
    </w:p>
    <w:p>
      <w:pPr/>
      <w:r>
        <w:rPr>
          <w:b/>
        </w:rPr>
        <w:t>POSSIBLE 2024:</w:t>
      </w:r>
      <w:r>
        <w:t xml:space="preserve"> The Role of Wood Density Variation and Biomass Allocation in Accurate Forest Carbon Stock Estimation of European Beech (Fagus sylvatica L.) Mountain Forests — https://doi.org/10.3390/f15030404</w:t>
      </w:r>
    </w:p>
    <w:p>
      <w:pPr/>
      <w:r>
        <w:rPr>
          <w:b/>
        </w:rPr>
        <w:t>Shared claim-specific concepts:</w:t>
      </w:r>
      <w:r>
        <w:t xml:space="preserve"> biomass, stock, different, one, forests, wood; EU scope visible. This is a provisional connection, not an outcome finding.</w:t>
      </w:r>
    </w:p>
    <w:p>
      <w:pPr>
        <w:pStyle w:val="SourceNote"/>
      </w:pPr>
      <w:r>
        <w:rPr>
          <w:b/>
        </w:rPr>
        <w:t>Available abstract (not full text):</w:t>
      </w:r>
      <w:r>
        <w:t xml:space="preserve"> The European beech (Fagus sylvatica L.) is one of the most common tree species in Romania, with importance both economically and environmentally. Accurate methods of biomass assessment at the tree compartment level (i.e., stump, stem, branches, and leaves) are necessary for carbon stock estimation. Wood density (WD) is an important factor in determining biomass and, ultimately, the tree’s carbon content. The average tree density was found to be 578.6 kg/m3. For this study, WD was evaluated by the weighting method related to tree volume. Also, to investigate a practical approach to determining the weighted wood density (WWDst), models were run using density at the base of the tree (WDBase), density at breast height level using discs (WDDBH), the wood core density (WDic), and the diameter at breast height (DBH) as predictors. The biomass assessment was conducted using different model evaluations for WWDst as well as allometric equations using the destructive method. From the results, it was noted that using the WWDst, the total biomass was underestimated by −0.7% compared to the biomass measured in the field. For allometric equations that included DBH and tree height as independent variables, the explained variability was around 99.3% for total aboveground biomass (AGBtotal), while it was 97.9% for allometric function using just the DBH. Overall, the distribution of biomass acros</w:t>
      </w:r>
    </w:p>
    <w:p>
      <w:pPr/>
      <w:r>
        <w:rPr>
          <w:b/>
        </w:rPr>
        <w:t>POSSIBLE 2024:</w:t>
      </w:r>
      <w:r>
        <w:t xml:space="preserve"> Factors influencing tree biomass and carbon stock in the Western Himalayas, India — https://doi.org/10.3389/ffgc.2023.1328694</w:t>
      </w:r>
    </w:p>
    <w:p>
      <w:pPr/>
      <w:r>
        <w:rPr>
          <w:b/>
        </w:rPr>
        <w:t>Shared claim-specific concepts:</w:t>
      </w:r>
      <w:r>
        <w:t xml:space="preserve"> biomass, stock, different, climate, forests; EU scope not established. This is a provisional connection, not an outcome finding.</w:t>
      </w:r>
    </w:p>
    <w:p>
      <w:pPr>
        <w:pStyle w:val="SourceNote"/>
      </w:pPr>
      <w:r>
        <w:rPr>
          <w:b/>
        </w:rPr>
        <w:t>Available abstract (not full text):</w:t>
      </w:r>
      <w:r>
        <w:t xml:space="preserve"> The assessment of tree biomass and its carbon (C) stock at the local and regional level is considered a crucial criterion for understanding the impact of changing environments on the global carbon cycle. In this context, we selected three sites in the western Himalayas, covering parts of Himachal Pradesh and north-eastern Haryana. Each study site experiences distinct climatic conditions, vegetation types, and elevations. We seek to elucidate the determinants of tree biomass and carbon stock across different forest types in the Western Himalayas. We found that temperate forests contributed the most biomass and carbon stock, with Cedrus deodara attaining the highest values of 782.6 ± 107.9 Mg/ha and 360 ± 49.7 Mg C/ha. In contrast, Quercus leucotrichophora mixed temperate had the lowest 286.6 ± 57.2 and 128.9 ± 25.7 Mg/C ha, respectively. Only a few species, such as Abies pindrow , Cedrus deodara , Quercus floribunda , and Quercus semecarpifolia , accounted for significant biomass and carbon stock. The lower elevation subtropical forests had the highest species richness (8–12 species) and stem density (558.3 ± 62.9 to 866.6 ± 57.7 trees/ha). Furthermore, tree diameter, total basal cover, and height emerged as the strongest predictors of biomass and C stock. The remaining variables showed no significant associations, including species diversity, climatic attributes and elevation. </w:t>
      </w:r>
    </w:p>
    <w:p>
      <w:pPr/>
      <w:r>
        <w:rPr>
          <w:b/>
        </w:rPr>
        <w:t>POSSIBLE 2024:</w:t>
      </w:r>
      <w:r>
        <w:t xml:space="preserve"> Effect of forest stand thinning on tree biomass carbon stock — https://doi.org/10.22616/erdev.2024.23.tf009</w:t>
      </w:r>
    </w:p>
    <w:p>
      <w:pPr/>
      <w:r>
        <w:rPr>
          <w:b/>
        </w:rPr>
        <w:t>Shared claim-specific concepts:</w:t>
      </w:r>
      <w:r>
        <w:t xml:space="preserve"> biomass, stock, climate, management, store, increase; EU scope visible. This is a provisional connection, not an outcome finding.</w:t>
      </w:r>
    </w:p>
    <w:p>
      <w:pPr>
        <w:pStyle w:val="SourceNote"/>
      </w:pPr>
      <w:r>
        <w:rPr>
          <w:b/>
        </w:rPr>
        <w:t>Available abstract (not full text):</w:t>
      </w:r>
      <w:r>
        <w:t xml:space="preserve"> Forest store significant amount of carbon and carbon stock in living tree biomass is amongst the largest carbon pools in forest ecosystems. Forest management practises, such as thinning, can improve tree growth, and increase carbon sequestration in forest ecosystems, thus be beneficial for achieving climate change mitigation goals. However, information about additional carbon stock increase as a result of thinning in the first 10 years is lacking in hemiboreal region. Therefore, this study investigates the additional carbon stock of the most common tree species (Scots pine, Norway spruce, and Silver birch) on mineral soils in hemiboreal forest of Latvia, focusing on the effects of thinning 5 and 10 years after. The aim of the study was to evaluate the effect of first commercial thinning on gained additional carbon stock of living tree biomass. Our results show, that thinning has a positive effect on additional carbon stock and timely performed thinning is crucial for the best outcome. Performing thinning in a timely manner results in a significantly higher additional carbon stock, as trees exhibit a more pronounced response, with biomass production peaking at younger age. Positive effect of thinning on additional carbon storage decreases with the age. This study provides valuable insights into the nuanced relationships between the tree species, stand age, and the temporal effec</w:t>
      </w:r>
    </w:p>
    <w:p>
      <w:pPr/>
      <w:r>
        <w:rPr>
          <w:b/>
        </w:rPr>
        <w:t>POSSIBLE 2024:</w:t>
      </w:r>
      <w:r>
        <w:t xml:space="preserve"> Variation of biomass carbon stock within agroforestry systems in the Senegalese groundnut basin — https://doi.org/10.1007/s43621-024-00208-3</w:t>
      </w:r>
    </w:p>
    <w:p>
      <w:pPr/>
      <w:r>
        <w:rPr>
          <w:b/>
        </w:rPr>
        <w:t>Shared claim-specific concepts:</w:t>
      </w:r>
      <w:r>
        <w:t xml:space="preserve"> investigated, biomass, stock, climate, two, management; EU scope not established. This is a provisional connection, not an outcome finding.</w:t>
      </w:r>
    </w:p>
    <w:p>
      <w:pPr>
        <w:pStyle w:val="SourceNote"/>
      </w:pPr>
      <w:r>
        <w:rPr>
          <w:b/>
        </w:rPr>
        <w:t>Available abstract (not full text):</w:t>
      </w:r>
      <w:r>
        <w:t xml:space="preserve"> Abstract Agroforestry plays a pivotal role in mitigating greenhouse gas (GHG) emissions and addressing the challenges posed by climate change. While carbon sequestration efforts have primarily centred on forests, it is imperative to acknowledge the contribution that non-forest ecosystems, such as agroforestry, can offer. This study investigated the influence of agroforestry systems on the variation of biomass carbon stocks in the Sahelo-Sudanian and Sudanian regions of the Senegalese Groundnut basin. Three primary agroforestry systems were studied: silvopastoral, agrisilvicultural, and agrosilvopastoral. Forty-six (46) 100 m × 100 m plots were sampled, within which 1 × 1 m2 subplots were used to sample understory biomass across three agroforestry systems in the two climatic zones. Analysis of variance was performed to assess the influence of agroforestry systems and climatic zones on biomass carbon stocks. The findings showed that in the Sahelo-Sudanian region, the agrisilvicultural system exhibited the highest AGC + BGC stocks, averaging 43.42 ± 21.61 tCha−1. In contrast, the silvopastoral system showed significantly higher AGC + BGC stocks, which amounted to 36.33 ± 12.27 tCha−1 in the Sudanian region. On the other hand, understory carbon stocks were significantly higher (p &lt; 0.01) in the agrisilvicultural and agrosilvopastoral systems than in the silvopastoral system in both</w:t>
      </w:r>
    </w:p>
    <w:p>
      <w:pPr/>
      <w:r>
        <w:rPr>
          <w:b/>
        </w:rPr>
        <w:t>POSSIBLE 2024:</w:t>
      </w:r>
      <w:r>
        <w:t xml:space="preserve"> Carbon Stock Estimation of Poplar Plantations Based on Additive Biomass Models — https://doi.org/10.3390/f15101829</w:t>
      </w:r>
    </w:p>
    <w:p>
      <w:pPr/>
      <w:r>
        <w:rPr>
          <w:b/>
        </w:rPr>
        <w:t>Shared claim-specific concepts:</w:t>
      </w:r>
      <w:r>
        <w:t xml:space="preserve"> biomass, stock, climate, two, management, high; EU scope not established. This is a provisional connection, not an outcome finding.</w:t>
      </w:r>
    </w:p>
    <w:p>
      <w:pPr>
        <w:pStyle w:val="SourceNote"/>
      </w:pPr>
      <w:r>
        <w:rPr>
          <w:b/>
        </w:rPr>
        <w:t>Available abstract (not full text):</w:t>
      </w:r>
      <w:r>
        <w:t xml:space="preserve"> Accurate estimation of biomass and carbon stocks in forest ecosystems is critical for understanding their roles in carbon sequestration and climate change mitigation. Currently, the development of stand biomass models and carbon stock estimation at the regional scale has emerged as a prominent research priority. In this study, 225 Populus spp. (poplar) trees in Shandong Province, China, were destructively sampled to obtain the biomass of their components. Two models (MS1 and MS2) were developed using allometric equations and the seemingly unrelated regression (SUR) method to ensure additive properties across tree components. The model evaluation employed the leave-one-out jackknife (LOO) method, considering statistics such as adjusted R-squared (Ra2), root mean square error (RMSE), mean absolute percent error (MAPE), and mean absolute error (MAE). The results from our models demonstrated high accuracy, with MS2 slightly outperforming MS1 after incorporating tree height as an independent variable. The models reliably estimated component-specific biomass and carbon stocks, with distinct variations observed in the carbon content among foliage (47.14 ± 2.07%), branches (47.26 ± 2.48%), stems (47.67 ± 2.21%), and roots (46.37 ± 2.78%). Carbon stocks in poplar plantations increased with the diameter class, ranging from 5 to 35 cm and correspondingly from 3.670 to 172.491 Mg C ha−1. A</w:t>
      </w:r>
    </w:p>
    <w:p>
      <w:pPr/>
      <w:r>
        <w:rPr>
          <w:b/>
        </w:rPr>
        <w:t>POSSIBLE 2024:</w:t>
      </w:r>
      <w:r>
        <w:t xml:space="preserve"> Fishery stock dynamics in the Baltic Sea: The dichotomy between total allowable catch limits and spawning stock biomass — https://doi.org/10.2478/aopf-2024-0013</w:t>
      </w:r>
    </w:p>
    <w:p>
      <w:pPr/>
      <w:r>
        <w:rPr>
          <w:b/>
        </w:rPr>
        <w:t>Shared claim-specific concepts:</w:t>
      </w:r>
      <w:r>
        <w:t xml:space="preserve"> biomass, stock, management, one, other; EU scope not established. This is a provisional connection, not an outcome finding.</w:t>
      </w:r>
    </w:p>
    <w:p>
      <w:pPr>
        <w:pStyle w:val="SourceNote"/>
      </w:pPr>
      <w:r>
        <w:rPr>
          <w:b/>
        </w:rPr>
        <w:t>Available abstract (not full text):</w:t>
      </w:r>
      <w:r>
        <w:t xml:space="preserve"> Abstract When managing heavily exploited fisheries, the primary objective is ensuring the long-term sustainability of stocks. Policy makers employ various measures to achieve this, with one important approach being the establishment of total allowable catch (TAC) limits for commercial fish stocks. These limits are set to maintain a target level that can sustain or rebuild the spawning stock biomass (SSB), which is an indicator of a stock’s reproductive capacity. Ideally, a strong correlation between TAC quotas and SSB exists, indicating that reductions in TAC are positively impacting SSB. However, in practice, the influence of TAC quotas on fish populations is diminished by other factors affecting reproductive capabilities. This study conducted on the eight most commercially valuable stocks in the Baltic Sea examined this relationship using statistical analysis. The findings revealed that five stocks exhibited a strong-to-moderate positive association between variables, while data for the remaining three stocks were insufficient. The results indicated that stocks with a strong correlation between TAC limits and SSB can be managed more effectively, offering greater potential for sustainability. In contrast, those without this correlation need a more holistic approach that incorporates external ecological factors, as management alone may not suffice to prevent declines. Future st</w:t>
      </w:r>
    </w:p>
    <w:p>
      <w:pPr/>
      <w:r>
        <w:rPr>
          <w:b/>
        </w:rPr>
        <w:t>POSSIBLE 2023:</w:t>
      </w:r>
      <w:r>
        <w:t xml:space="preserve"> The overlooked contribution of trees outside forests to tree cover and woody biomass across Europe — https://doi.org/10.1126/sciadv.adh4097</w:t>
      </w:r>
    </w:p>
    <w:p>
      <w:pPr/>
      <w:r>
        <w:rPr>
          <w:b/>
        </w:rPr>
        <w:t>Shared claim-specific concepts:</w:t>
      </w:r>
      <w:r>
        <w:t xml:space="preserve"> biomass, stock, high, forests; EU scope visible. This is a provisional connection, not an outcome finding.</w:t>
      </w:r>
    </w:p>
    <w:p>
      <w:pPr>
        <w:pStyle w:val="SourceNote"/>
      </w:pPr>
      <w:r>
        <w:rPr>
          <w:b/>
        </w:rPr>
        <w:t>Available abstract (not full text):</w:t>
      </w:r>
      <w:r>
        <w:t xml:space="preserve"> Abstract Trees are an integral part of almost all European landscapes, but only forest resources are systematically assessed by national inventories, and the extent to which trees in urban and agricultural areas contribute to biomass and carbon stocks at the national level remains largely unknown. Here we make use of nanosatellite imagery to generate canopy cover, height, and above-ground biomass maps for the entire European continent from 3-m resolution imagery. Our country-scale biomass estimates have a systematic bias of only 7.6% (overestimation; R = 0.98) when compared to national inventories of 30 countries, and our new dataset is sufficiently highly resolved spatially to support the inclusion of tree biomass outside forests, which we quantify to 0.8 Pg. Although this represents only 2% of the total European tree biomass on average, large variations between countries are found (for example 10% for UK) and trees in urban areas contribute substantially to national carbon stocks (for example 8% for the Netherlands). The good agreement with national inventory data, the scalability, and the high level of detail across landscapes, including trees outside forests, make our approach attractive for operational implementation to support national carbon stock inventory schemes.</w:t>
      </w:r>
    </w:p>
    <w:p>
      <w:pPr/>
      <w:r>
        <w:rPr>
          <w:b/>
        </w:rPr>
        <w:t>POSSIBLE 2023:</w:t>
      </w:r>
      <w:r>
        <w:t xml:space="preserve"> Global increase in biomass carbon stock dominated by growth of northern young forests over past decade — https://doi.org/10.1038/s41561-023-01274-4</w:t>
      </w:r>
    </w:p>
    <w:p>
      <w:pPr/>
      <w:r>
        <w:rPr>
          <w:b/>
        </w:rPr>
        <w:t>Shared claim-specific concepts:</w:t>
      </w:r>
      <w:r>
        <w:t xml:space="preserve"> biomass, stock, forests, increase;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Allometric relationships between above-ground biomass increment and stand characteristics for crimean pine in Taşköprü, Turkey — https://doi.org/10.1590/01047760202329013169</w:t>
      </w:r>
    </w:p>
    <w:p>
      <w:pPr/>
      <w:r>
        <w:rPr>
          <w:b/>
        </w:rPr>
        <w:t>Shared claim-specific concepts:</w:t>
      </w:r>
      <w:r>
        <w:t xml:space="preserve"> investigated, biomass, increments, one, high, increment; EU scope not established. This is a provisional connection, not an outcome finding.</w:t>
      </w:r>
    </w:p>
    <w:p>
      <w:pPr>
        <w:pStyle w:val="SourceNote"/>
      </w:pPr>
      <w:r>
        <w:rPr>
          <w:b/>
        </w:rPr>
        <w:t>Available abstract (not full text):</w:t>
      </w:r>
      <w:r>
        <w:t xml:space="preserve"> Background: Biomass increment, one of the main components of net primary production (NPP) in forest ecosystems, plays an important role as well as total biomass in the global carbon cycle. In this study, the changes of increments of the above-ground total, stem and branch biomasses depending on stand characteristics (i.e., stand age, stand density, and site index) were investigated, and these relations were modeled for Crimean pine (Pinus nigra J.F.Arnold subsp. pallasiana (Lamb.) Holmboe) stands in Taşköprü region of Türkiye. Data were obtained from 109 sample trees within 74 sample plots representing the wide range of possible stand characteristics. Results: The equations developed for above-ground total, stem and branch biomass increments have quite high coefficients of determination (R 2 =0.784, 0.684 and 0.780, respectively), whereas low root mean square errors (RMSE=0.749, 0.692 and 0.116, respectively). The results indicated that the biomass increment estimates from the allometric equations developed were decreasing with stand age and increasing with stand density and site index and also stand density is the strongest stand characteristic on biomass increment. Conclusion: The estimates are also consistent with the growth patterns, so the equations can be used for biomass increment estimations and also for carbon storage and NPP projections for Crimean pine stands of the </w:t>
      </w:r>
    </w:p>
    <w:p>
      <w:pPr/>
      <w:r>
        <w:rPr>
          <w:b/>
        </w:rPr>
        <w:t>POSSIBLE 2023:</w:t>
      </w:r>
      <w:r>
        <w:t xml:space="preserve"> Assessment of aboveground biomass and carbon stock of subtropical pine forest of Pakistan — https://doi.org/10.17221/125/2022-jfs</w:t>
      </w:r>
    </w:p>
    <w:p>
      <w:pPr/>
      <w:r>
        <w:rPr>
          <w:b/>
        </w:rPr>
        <w:t>Shared claim-specific concepts:</w:t>
      </w:r>
      <w:r>
        <w:t xml:space="preserve"> biomass, stock, forests; EU scope not established. This is a provisional connection, not an outcome finding.</w:t>
      </w:r>
    </w:p>
    <w:p>
      <w:pPr>
        <w:pStyle w:val="SourceNote"/>
      </w:pPr>
      <w:r>
        <w:rPr>
          <w:b/>
        </w:rPr>
        <w:t>Available abstract (not full text):</w:t>
      </w:r>
      <w:r>
        <w:t xml:space="preserve"> The presented study estimated the aboveground biomass (AGB) ofÂ Pinus roxburghii (chir pine) natural forests and plantations, and created biomass maps using aÂ relationship (regression model) between AGB and Sentinel-2 spectral indices. The mean AGBÂ and BGBÂ (belowground biomass) ofÂ natural forests were 79.54 Mg·ha–1Â and 20.68 Mg·ha–1, respectively, whereas the mean AGBÂ and BGBÂ ofÂ plantations were 94.48 Mg·ha–1Â and 24.56 Mg·ha–1, respectively. Correlation showed that mean diameter atÂ breast height (DBH) and mean height have weak relationships with AGB, and BGBÂ has shown correlation coefficients (R2Â =Â 0.46) and (R2Â =Â 0.56) for polynomial models. Regression models between AGBÂ (Mg·ha–1) ofÂ Pinus roxburghii natural forest and Sentinel-2 spectral indices showed aÂ strong relationship with Ratio Vegetation Index (RVI) with R2 = 0.72 followed byÂ Normalized Difference Vegetation Index (NDVI) and Atmospherically Resistant Vegetation Index (ARVI) with R2Â =Â 0.70. InÂ contrast, the lower performance ofÂ spectral indices has been shown inÂ regression with plantation AGB. Correlation coefficients (R2) were 0.41, 0.41, and 0.40Â for RVI, NDVI, and ARVI, respectively. All indices showed that the distribution ofÂ AGBÂ data was not the best fit with the linear regression model. Therefore, non-linear exponential and power models were considered the best fit for NDVI, RVI, and AR</w:t>
      </w:r>
    </w:p>
    <w:p>
      <w:pPr>
        <w:pStyle w:val="Heading2"/>
      </w:pPr>
      <w:r>
        <w:t>961. Scenarios for selected maritime economic functions</w:t>
      </w:r>
    </w:p>
    <w:p>
      <w:pPr>
        <w:pStyle w:val="SourceNote"/>
      </w:pPr>
      <w:r>
        <w:rPr>
          <w:b/>
        </w:rPr>
        <w:t>Original source (2013):</w:t>
      </w:r>
      <w:r>
        <w:t xml:space="preserve"> https://doi.org/10.1007/s40309-013-0011-8</w:t>
      </w:r>
    </w:p>
    <w:p>
      <w:pPr/>
      <w:r>
        <w:t>Original wording (abstract; indexed_source_text_not_full_document_verified): This paper discusses the use of scenarios in the ‘Blue Growth’ project, which was aimed at elaborating the maritime dimension of the Europe 2020 strategy, with a 15-year time horizon (2025/2030). The direct impact of the general scenarios on policy development cannot yet be evaluated.</w:t>
      </w:r>
    </w:p>
    <w:p>
      <w:pPr/>
      <w:r>
        <w:rPr>
          <w:b/>
        </w:rPr>
        <w:t>POSSIBLE 2026:</w:t>
      </w:r>
      <w:r>
        <w:t xml:space="preserve"> Soil degradation in Europe is projected to accelerate under changing land use and climate — https://doi.org/10.1038/s44458-026-00064-4</w:t>
      </w:r>
    </w:p>
    <w:p>
      <w:pPr/>
      <w:r>
        <w:rPr>
          <w:b/>
        </w:rPr>
        <w:t>Shared claim-specific concepts:</w:t>
      </w:r>
      <w:r>
        <w:t xml:space="preserve"> use, project, yet; EU scope visible. This is a provisional connection, not an outcome finding.</w:t>
      </w:r>
    </w:p>
    <w:p>
      <w:pPr>
        <w:pStyle w:val="SourceNote"/>
      </w:pPr>
      <w:r>
        <w:rPr>
          <w:b/>
        </w:rPr>
        <w:t>Available abstract (not full text):</w:t>
      </w:r>
      <w:r>
        <w:t xml:space="preserve"> Abstract Soil degradation threatens food security and environmental sustainability, yet future projections of it are rare. Using projections from 18 global climate models under two Shared Socioeconomic Pathways (SSP2-4.5 and SSP5-8.5) and land-use projections from the Land Use and Climate Across Scales Land Use Change (LUCAS LUC) dataset, we assess future soil vulnerability to degradation by linking a Soil Degradation Proxy (SDP) to climate, land-use, soil characteristics, and socio-economic factors at 7433 observation sites across Europe. We project that by 2071–2100, ~59% of sites may become more vulnerable under the high-emission scenario. Cold forest regions in northern Europe are projected to face increased degradation pressure by ~+0.04SDP. However, some European croplands may improve locally through conversion to secondary lands, reduced human pressures, and natural recovery processes. These regionally specific trends highlight that, while soil degradation remains a major threat, proactive land management can mitigate soil vulnerability under future climate trajectories.</w:t>
      </w:r>
    </w:p>
    <w:p>
      <w:pPr/>
      <w:r>
        <w:rPr>
          <w:b/>
        </w:rPr>
        <w:t>POSSIBLE 2025:</w:t>
      </w:r>
      <w:r>
        <w:t xml:space="preserve"> The Blue Banana or the Influence of Symbolic Divisions on Our Representations of Europe — https://doi.org/10.1002/9781394393664.ch6</w:t>
      </w:r>
    </w:p>
    <w:p>
      <w:pPr/>
      <w:r>
        <w:rPr>
          <w:b/>
        </w:rPr>
        <w:t>Shared claim-specific concepts:</w:t>
      </w:r>
      <w:r>
        <w:t xml:space="preserve"> use, blue; EU scope visible. This is a provisional connection, not an outcome finding.</w:t>
      </w:r>
    </w:p>
    <w:p>
      <w:pPr>
        <w:pStyle w:val="SourceNote"/>
      </w:pPr>
      <w:r>
        <w:rPr>
          <w:b/>
        </w:rPr>
        <w:t>Available abstract (not full text):</w:t>
      </w:r>
      <w:r>
        <w:t xml:space="preserve"> In the European context, their dissemination from one country to another without sufficient information about the initial context of their conception can lead to interpretation errors and polemics. The capacity of a map to forge mental representations explains why spatial planning documents can paradoxically avoid making use of cartography, for fear of eliciting opposition from groups legitimately seeking to valorize the excellence of their location. The image of the blue banana suddenly appeared in 1989. The blue banana was fundamentally just a striking reinterpretation of the centerperiphery model, a classic theoretical tool. The impact of the blue banana as an almost monopolistic division of European space nevertheless has a surprising element, since the megalopolis was in itself not a discovery.</w:t>
      </w:r>
    </w:p>
    <w:p>
      <w:pPr/>
      <w:r>
        <w:rPr>
          <w:b/>
        </w:rPr>
        <w:t>POSSIBLE 2024:</w:t>
      </w:r>
      <w:r>
        <w:t xml:space="preserve"> VECTOCLIM PROJECT. Assessing the impact of climate change on two vector-pathogen pairs: Aedes albopictus &amp; Culicoides midges in Occitania, France and Europe — https://openalex.org/W7206472643</w:t>
      </w:r>
    </w:p>
    <w:p>
      <w:pPr/>
      <w:r>
        <w:rPr>
          <w:b/>
        </w:rPr>
        <w:t>Shared claim-specific concepts:</w:t>
      </w:r>
      <w:r>
        <w:t xml:space="preserve"> use, project; EU scope visible. This is a provisional connection, not an outcome finding.</w:t>
      </w:r>
    </w:p>
    <w:p>
      <w:pPr>
        <w:pStyle w:val="SourceNote"/>
      </w:pPr>
      <w:r>
        <w:rPr>
          <w:b/>
        </w:rPr>
        <w:t>Available abstract (not full text):</w:t>
      </w:r>
      <w:r>
        <w:t xml:space="preserve"> The VECTOCLIM project aims at assessing the impact of recent and future climate change on the risk related to major vector-borne diseases for the European temperate ecosystem. The project will focus on two vectors of interest for public and animal health: the invasive tiger mosquito, Aedes albopictus, vector of viruses to humans, and Culicoides biting midges, vectors of viruses to livestock. Through the use of mathematical modelling and large scale and longitudinal entomological data, we will evaluate the influence of global warming on the geographic and seasonal distribution of these vectors according to different IPCC scenarios. Medium and long-term projections of vector distribution will be produced and compared. Epidemiological modelling will be used to assess risk factors, identify levers of control, and produce dynamic risk maps of the studied areas for three arboviruses (dengue, chikungunya and Zika viruses) and two orbiviruses (bluetongue and epizootic haemorrhagic disease viruses).Four reference research institutes in the fields of infectious diseases and climate sciences collaborate in the implementation of this study: the University of Montpellier, CIRAD, IRD and ICTP. Regular consultations will be organised with public and veterinary health professionals in order to guide research objectives and provide the best possible support to the current and future challenges </w:t>
      </w:r>
    </w:p>
    <w:p>
      <w:pPr/>
      <w:r>
        <w:rPr>
          <w:b/>
        </w:rPr>
        <w:t>POSSIBLE 2024:</w:t>
      </w:r>
      <w:r>
        <w:t xml:space="preserve"> The Financial Feasibility of Farming Blue Mussels Offshore Using the Smart Farm Approach: European Evidence — https://doi.org/10.4194/aquast1474</w:t>
      </w:r>
    </w:p>
    <w:p>
      <w:pPr/>
      <w:r>
        <w:rPr>
          <w:b/>
        </w:rPr>
        <w:t>Shared claim-specific concepts:</w:t>
      </w:r>
      <w:r>
        <w:t xml:space="preserve"> blue, maritime; EU scope visible. This is a provisional connection, not an outcome finding.</w:t>
      </w:r>
    </w:p>
    <w:p>
      <w:pPr>
        <w:pStyle w:val="SourceNote"/>
      </w:pPr>
      <w:r>
        <w:rPr>
          <w:b/>
        </w:rPr>
        <w:t>Available abstract (not full text):</w:t>
      </w:r>
      <w:r>
        <w:t xml:space="preserve"> This paper analyses the financial feasibility of a mussel farm that employs the Smart Farm approach with reinforced equipment in the offshore Dutch North Sea. The literature review suggests favourable conditions for this farm given past Smart Farm applications, existing offshore mussel farms, environmental impact considerations, offshore mussel health, and Dutch regulatory clarity. The study methodology section explains the utilization of the discounted cash flow (DCF) analysis model and the technological, farm size, location, mussel seed collection, cost, and production assumptions. This farm would require an initial capital expenditure of €1,695,350 and would produce 300 tonnes per annum (tpa), which would progressively increase to 700 tpa based on additional mussel lines and mature farming practices. This study found an Internal Rate of Return (IRR) of 19.78% and a Net Present Value (NPV) of €3,479,178 over 25 years. This IRR is higher than rates projected by comparable studies. It is attributed to the strong technological maturity, mobility, scalability, mechanization, and production offered by the Smart Farm. Through pursuing this farm and similar mussel farming projects, investors can help advance humanity across domains including employment, sustainability, ocean decarbonization, the ocean economy, nutrition science, maritime engineering, aquaculture, world food supply, </w:t>
      </w:r>
    </w:p>
    <w:p>
      <w:pPr/>
      <w:r>
        <w:rPr>
          <w:b/>
        </w:rPr>
        <w:t>POSSIBLE 2023:</w:t>
      </w:r>
      <w:r>
        <w:t xml:space="preserve"> The Blue Beret — https://doi.org/10.5204/mcj.2969</w:t>
      </w:r>
    </w:p>
    <w:p>
      <w:pPr/>
      <w:r>
        <w:rPr>
          <w:b/>
        </w:rPr>
        <w:t>Shared claim-specific concepts:</w:t>
      </w:r>
      <w:r>
        <w:t xml:space="preserve"> use, blue, time, general; EU scope visible. This is a provisional connection, not an outcome finding.</w:t>
      </w:r>
    </w:p>
    <w:p>
      <w:pPr>
        <w:pStyle w:val="SourceNote"/>
      </w:pPr>
      <w:r>
        <w:rPr>
          <w:b/>
        </w:rPr>
        <w:t>Available abstract (not full text):</w:t>
      </w:r>
      <w:r>
        <w:t xml:space="preserve"> When we think of United Nations (UN) peacekeepers, the first image that is conjured in our mind is of an individual sporting a blue helmet or a blue beret (fig. 1). While simple and uncomplicated, these blue accessories represent an expression and an embodiment resembling that of a warrior, sent to bring peace to conflict-torn communities. UN peacekeeping first conceptually emerged in 1948 in the wake of the Arab-Israeli war that ensued following the United Kingdom’s relinquishing of its mandate over Palestine, and the proclamation of the State of Israel. “Forged in the crucible of practical diplomacy” (Rubinstein 16), unarmed military observers were deployed to Palestine to monitor the hostilities and mediate armistice agreements between Israel and its Arab neighbours. This operation, the United Nations Truce Supervision Organization (UNTSO), significantly exemplified the diplomatic and observational capabilities of military men, in line with the UN Charter’s objectives of international peace and security, setting henceforth a basic archetype for international peacekeeping. It was only in 1956, however, that peacekeeping formally emerged when armed UN forces deployed to Egypt to supervise the withdrawal of forces occupying the Suez Canal (informally known as the ‘Second Arab-Israeli’ war). Here, the formation of UN peacekeeping represented an international pacifying mechanism </w:t>
      </w:r>
    </w:p>
    <w:p>
      <w:pPr/>
      <w:r>
        <w:rPr>
          <w:b/>
        </w:rPr>
        <w:t>POSSIBLE 2023:</w:t>
      </w:r>
      <w:r>
        <w:t xml:space="preserve"> EU Involvement in the Financing of the Blue Economy — https://doi.org/10.33067/se.1.2023.7</w:t>
      </w:r>
    </w:p>
    <w:p>
      <w:pPr/>
      <w:r>
        <w:rPr>
          <w:b/>
        </w:rPr>
        <w:t>Shared claim-specific concepts:</w:t>
      </w:r>
      <w:r>
        <w:t xml:space="preserve"> discusses, blue; EU scope visible. This is a provisional connection, not an outcome finding.</w:t>
      </w:r>
    </w:p>
    <w:p>
      <w:pPr>
        <w:pStyle w:val="SourceNote"/>
      </w:pPr>
      <w:r>
        <w:rPr>
          <w:b/>
        </w:rPr>
        <w:t>Available abstract (not full text):</w:t>
      </w:r>
      <w:r>
        <w:t xml:space="preserve"> he prospect of implementing the concept of the Blue Economy is currently still at a relatively early stage of achieving its full potential. The purpose of this paper is to present the idea of the ocean economy and selected aspects of its financing, including initiatives undertaken in this area by the European Union. Part I characterises the Blue Economy, part II discusses selected aspects of financing a sustainable ocean economy, and part III analyses the institutional approach, particularly within the EU, to the financing process of this type of economy. The descriptive method was used to conduct this study, and the available literature on and legal acts related to the subject of the article has been analysed. The undertakings made so far, especially by the EU, are impressive and, moreover, are driving global activity towards the sustainable financing of the Blue Economy. It is becoming a fundamental priority to realise the governments’ and international organisations’ aspirations to make economies independent from excessive carbon emissions, to counteract water degradation, overfishing, and shrinking drinking water resources. In the long term, it is important to develop coherence between the actions of national entities and the sources and methods of international funding. This is in order to develop a mutual, global good of innovative fi nancing of coastal projects for susta</w:t>
      </w:r>
    </w:p>
    <w:p>
      <w:pPr/>
      <w:r>
        <w:rPr>
          <w:b/>
        </w:rPr>
        <w:t>POSSIBLE 2022:</w:t>
      </w:r>
      <w:r>
        <w:t xml:space="preserve"> Review on Methylene Blue: Its Properties, Uses, Toxicity and Photodegradation — https://doi.org/10.3390/w14020242</w:t>
      </w:r>
    </w:p>
    <w:p>
      <w:pPr/>
      <w:r>
        <w:rPr>
          <w:b/>
        </w:rPr>
        <w:t>Shared claim-specific concepts:</w:t>
      </w:r>
      <w:r>
        <w:t xml:space="preserve"> blue, time; EU scope not established. This is a provisional connection, not an outcome finding.</w:t>
      </w:r>
    </w:p>
    <w:p>
      <w:pPr>
        <w:pStyle w:val="SourceNote"/>
      </w:pPr>
      <w:r>
        <w:rPr>
          <w:b/>
        </w:rPr>
        <w:t>Available abstract (not full text):</w:t>
      </w:r>
      <w:r>
        <w:t xml:space="preserve"> The unavailability of clean drinking water is one of the significant health issues in modern times. Industrial dyes are one of the dominant chemicals that make water unfit for drinking. Among these dyes, methylene blue (MB) is toxic, carcinogenic, and non-biodegradable and can cause a severe threat to human health and environmental safety. It is usually released in natural water sources, which becomes a health threat to human beings and living organisms. Hence, there is a need to develop an environmentally friendly, efficient technology for removing MB from wastewater. Photodegradation is an advanced oxidation process widely used for MB removal. It has the advantages of complete mineralization of dye into simple and nontoxic species with the potential to decrease the processing cost. This review provides a tutorial basis for the readers working in the dye degradation research area. We not only covered the basic principles of the process but also provided a wide range of previously published work on advanced photocatalytic systems (single-component and multi-component photocatalysts). Our study has focused on critical parameters that can affect the photodegradation rate of MB, such as photocatalyst type and loading, irradiation reaction time, pH of reaction media, initial concentration of dye, radical scavengers and oxidising agents. The photodegradation mechanism, reaction path</w:t>
      </w:r>
    </w:p>
    <w:p>
      <w:pPr/>
      <w:r>
        <w:rPr>
          <w:b/>
        </w:rPr>
        <w:t>POSSIBLE 2022:</w:t>
      </w:r>
      <w:r>
        <w:t xml:space="preserve"> Informing the design of urban green and blue spaces through an understanding of Europeans' usage and preferences — https://doi.org/10.1002/pan3.10419</w:t>
      </w:r>
    </w:p>
    <w:p>
      <w:pPr/>
      <w:r>
        <w:rPr>
          <w:b/>
        </w:rPr>
        <w:t>Shared claim-specific concepts:</w:t>
      </w:r>
      <w:r>
        <w:t xml:space="preserve"> blue, aimed, time; EU scope visible. This is a provisional connection, not an outcome finding.</w:t>
      </w:r>
    </w:p>
    <w:p>
      <w:pPr>
        <w:pStyle w:val="SourceNote"/>
      </w:pPr>
      <w:r>
        <w:rPr>
          <w:b/>
        </w:rPr>
        <w:t>Available abstract (not full text):</w:t>
      </w:r>
      <w:r>
        <w:t xml:space="preserve"> Abstract In light of global climate change and the biodiversity crisis, making cities more resilient through an adjusted design of urban green and blue spaces is crucial. Nature‐based solutions help address these challenges while providing opportunities for nature experiences, and providing cultural ecosystem services that support public health. The COVID‐19 pandemic and its associated stressors highlighted the interrelated socio‐ecological services provided by nature‐based solutions like urban green and blue spaces. This pan‐European study therefore aimed to enhance the socio‐ecological understanding of green and blue spaces to support their design and management. Using an online survey, green and blue space preferences, usage, and pandemic‐related changes in greenspace visit and outdoor recreation frequencies were examined. Greenspace visit and outdoor recreation frequencies were associated with respondents’ ( N = 584 from 15 countries) geographical location, dominant type of neighbourhood greenspace and greenspace availability during the pandemic, but not greenspace perceptions or sociodemographic background. Greenspace visit and outdoor recreation frequencies were generally high; however, Southern Europeans reported lower greenspace visit and outdoor recreation frequencies both before and during the pandemic than Northern Europeans. Many Southern Europeans also reported hav</w:t>
      </w:r>
    </w:p>
    <w:p>
      <w:pPr/>
      <w:r>
        <w:rPr>
          <w:b/>
        </w:rPr>
        <w:t>POSSIBLE 2021:</w:t>
      </w:r>
      <w:r>
        <w:t xml:space="preserve"> Current Status of the Algae Production Industry in Europe: An Emerging Sector of the Blue Bioeconomy — https://doi.org/10.3389/fmars.2020.626389</w:t>
      </w:r>
    </w:p>
    <w:p>
      <w:pPr/>
      <w:r>
        <w:rPr>
          <w:b/>
        </w:rPr>
        <w:t>Shared claim-specific concepts:</w:t>
      </w:r>
      <w:r>
        <w:t xml:space="preserve"> blue, dimension, strategy, yet; EU scope visible. This is a provisional connection, not an outcome finding.</w:t>
      </w:r>
    </w:p>
    <w:p>
      <w:pPr>
        <w:pStyle w:val="SourceNote"/>
      </w:pPr>
      <w:r>
        <w:rPr>
          <w:b/>
        </w:rPr>
        <w:t>Available abstract (not full text):</w:t>
      </w:r>
      <w:r>
        <w:t xml:space="preserve"> The EU Bioeconomy Strategy aims to support the sustainable growth and development of the EU bio-based sectors while creating jobs, innovation and services. Despite the recognized potential of the algae biomass value chain, significant knowledge gaps still exist regarding the dimension, capability, organization and structure of the algae production in Europe. This study presents and analyses the results of a comprehensive mapping and detailed characterization of the algae production at the European scale, encompassing macroalgae, microalgae, and the cyanobacteria Spirulina. This work mapped 447 algae and Spirulina production units spread between 23 countries, which represents an important addition to the reported number of algae producing countries. More than 50% of these companies produce microalgae and/or Spirulina. Macroalgae production is still depending on harvesting from wild stocks (68% of the macroalgae producing units) but macroalgae aquaculture (land-based and at sea) is developing in several countries in Europe currently representing 32% of the macroalgae production units. France, Ireland, and Spain are the top 3 countries in number of macroalgae production units while Germany, Spain, and Italy stand for the top 3 for microalgae. Spirulina producers are predominantly located in France, Italy, Germany, and Spain. Algae and Spirulina biomass is directed primarily for fo</w:t>
      </w:r>
    </w:p>
    <w:p>
      <w:pPr/>
      <w:r>
        <w:rPr>
          <w:b/>
        </w:rPr>
        <w:t>POSSIBLE 2021:</w:t>
      </w:r>
      <w:r>
        <w:t xml:space="preserve"> Ocean resource use: building the coastal blue economy — https://doi.org/10.1007/s11160-021-09636-0</w:t>
      </w:r>
    </w:p>
    <w:p>
      <w:pPr/>
      <w:r>
        <w:rPr>
          <w:b/>
        </w:rPr>
        <w:t>Shared claim-specific concepts:</w:t>
      </w:r>
      <w:r>
        <w:t xml:space="preserve"> use, blue; EU scope not established. This is a provisional connection, not an outcome finding.</w:t>
      </w:r>
    </w:p>
    <w:p>
      <w:pPr>
        <w:pStyle w:val="SourceNote"/>
      </w:pPr>
      <w:r>
        <w:rPr>
          <w:b/>
        </w:rPr>
        <w:t>Available abstract (not full text):</w:t>
      </w:r>
      <w:r>
        <w:t xml:space="preserve"> Humans have relied on coastal resources for centuries. However, current growth in population and increased accessibility of coastal resources through technology have resulted in overcrowded and often conflicted spaces. The recent global move towards development of national blue economy strategies further highlights the increased focus on coastal resources to address a broad range of blue growth industries. The need to manage sustainable development and future exploitation of both over-utilised and emergent coastal resources is both a political and environmental complexity. To address this complexity, we draw on the perspectives of a multi-disciplinary team, utilising two in depth exemplary case studies in New Zealand and within the Myanmar Delta Landscape, to showcase barriers, pathways and actions that facilitate a move from Business as Usual (BAU) to a future aligned with the Sustainable Development Goals (SDGs) and the UN International Decade of Ocean Science for Sustainable Development 2021-2030. We provide key recommendations to guide interest groups, and nations globally, towards sustainable utilisation, conservation and preservation of their marine environments in a fair and equitable way, and in collaboration with those who directly rely upon coastal ecosystems. We envision a sustainable future driven by conflict mitigation and resolution, where:(i)Change is motivated a</w:t>
      </w:r>
    </w:p>
    <w:p>
      <w:pPr/>
      <w:r>
        <w:rPr>
          <w:b/>
        </w:rPr>
        <w:t>POSSIBLE 2021:</w:t>
      </w:r>
      <w:r>
        <w:t xml:space="preserve"> 6G Vision, Value, Use Cases and Technologies From European 6G Flagship Project Hexa-X — https://doi.org/10.1109/access.2021.3130030</w:t>
      </w:r>
    </w:p>
    <w:p>
      <w:pPr/>
      <w:r>
        <w:rPr>
          <w:b/>
        </w:rPr>
        <w:t>Shared claim-specific concepts:</w:t>
      </w:r>
      <w:r>
        <w:t xml:space="preserve"> use, project; EU scope visible. This is a provisional connection, not an outcome finding.</w:t>
      </w:r>
    </w:p>
    <w:p>
      <w:pPr>
        <w:pStyle w:val="SourceNote"/>
      </w:pPr>
      <w:r>
        <w:rPr>
          <w:b/>
        </w:rPr>
        <w:t>Available abstract (not full text):</w:t>
      </w:r>
      <w:r>
        <w:t xml:space="preserve"> While 5G is being deployed and the economy and society begin to reap the associated benefits, the research and development community starts to focus on the next, 6th Generation (6G) of wireless communications. Although there are papers available in the literature on visions, requirements and technical enablers for 6G from various academic perspectives, there is a lack of joint industry and academic work towards 6G. In this paper a consolidated view on vision, values, use cases and key enabling technologies from leading industry stakeholders and academia is presented. The authors represent the mobile communications ecosystem with competences spanning hardware, link layer and networking aspects, as well as standardization and regulation. The second contribution of the paper is revisiting and analyzing the key concurrent initiatives on 6G. A third contribution of the paper is the identification and justification of six key 6G research challenges: (i) “connecting”, in the sense of empowering, exploiting and governing, intelligence; (ii) realizing a network of networks, i.e., leveraging on existing networks and investments, while reinventing roles and protocols where needed; (iii) delivering extreme experiences, when/where needed; (iv) (environmental, economic, social) sustainability to address the major challenges of current societies; (v) trustworthiness as an ingrained fundamenta</w:t>
      </w:r>
    </w:p>
    <w:p>
      <w:pPr/>
      <w:r>
        <w:rPr>
          <w:b/>
        </w:rPr>
        <w:t>POSSIBLE 2021:</w:t>
      </w:r>
      <w:r>
        <w:t xml:space="preserve"> Large variability in response to projected climate and land‐use changes among European bumblebee species — https://doi.org/10.1111/gcb.15780</w:t>
      </w:r>
    </w:p>
    <w:p>
      <w:pPr/>
      <w:r>
        <w:rPr>
          <w:b/>
        </w:rPr>
        <w:t>Shared claim-specific concepts:</w:t>
      </w:r>
      <w:r>
        <w:t xml:space="preserve"> use, project, direct; EU scope visible. This is a provisional connection, not an outcome finding.</w:t>
      </w:r>
    </w:p>
    <w:p>
      <w:pPr>
        <w:pStyle w:val="SourceNote"/>
      </w:pPr>
      <w:r>
        <w:rPr>
          <w:b/>
        </w:rPr>
        <w:t>Available abstract (not full text):</w:t>
      </w:r>
      <w:r>
        <w:t xml:space="preserve"> Bumblebees (Bombus ssp.) are among the most important wild pollinators, but many species have suffered from range declines. Land-use change, agricultural intensification, and the associated loss of habitat have been identified as drivers of the observed dynamics, amplifying pressures from a changing climate. However, these drivers are still underrepresented in continental-scale species distribution modeling. Here, we project the potential distribution of 47 European bumblebee species in 2050 and 2080 from existing European-scale distribution maps, based on a set of climate and land-use futures simulated through a regional integrated assessment model and consistent with the RCP-SSP scenario framework. We compare projections including (1) dynamic climate and constant land use (CLIM); (2) constant climate and dynamic land use (LU); and (3) dynamic climate and dynamic land use (COMB) to disentangle the effects of land use and climate change on future habitat suitability, providing the first rigorous continental-scale assessment of linked climate-land-use futures for bumblebees. We find that direct climate impacts, although variable across species, dominate responses for most species, especially under high-end climate change scenarios (up to 99% range loss). Land-use impacts are highly variable across species and scenarios, ranging from severe losses (up to 75% loss) to considerable</w:t>
      </w:r>
    </w:p>
    <w:p>
      <w:pPr>
        <w:pStyle w:val="Heading2"/>
      </w:pPr>
      <w:r>
        <w:t>962. Scenarios for the future of the European process industry - the case of the chemical industry</w:t>
      </w:r>
    </w:p>
    <w:p>
      <w:pPr>
        <w:pStyle w:val="SourceNote"/>
      </w:pPr>
      <w:r>
        <w:rPr>
          <w:b/>
        </w:rPr>
        <w:t>Original source (2013):</w:t>
      </w:r>
      <w:r>
        <w:t xml:space="preserve"> https://doi.org/10.1007/s40309-013-0010-9</w:t>
      </w:r>
    </w:p>
    <w:p>
      <w:pPr/>
      <w:r>
        <w:t>Original wording (abstract; indexed_source_text_not_full_document_verified): We studied future challenges for the European chemical industry until the year 2030. Based on the 249 qualitative statements made by the participating experts, we derived four future scenarios.</w:t>
      </w:r>
    </w:p>
    <w:p>
      <w:pPr/>
      <w:r>
        <w:rPr>
          <w:b/>
        </w:rPr>
        <w:t>POSSIBLE 2025:</w:t>
      </w:r>
      <w:r>
        <w:t xml:space="preserve"> Taxonomy of Chemical Bondings: Opportunities and Challenges — https://doi.org/10.1002/anie.202506525</w:t>
      </w:r>
    </w:p>
    <w:p>
      <w:pPr/>
      <w:r>
        <w:rPr>
          <w:b/>
        </w:rPr>
        <w:t>Shared claim-specific concepts:</w:t>
      </w:r>
      <w:r>
        <w:t xml:space="preserve"> challenges, chemical, based; EU scope not established. This is a provisional connection, not an outcome finding.</w:t>
      </w:r>
    </w:p>
    <w:p>
      <w:pPr>
        <w:pStyle w:val="SourceNote"/>
      </w:pPr>
      <w:r>
        <w:rPr>
          <w:b/>
        </w:rPr>
        <w:t>Available abstract (not full text):</w:t>
      </w:r>
      <w:r>
        <w:t xml:space="preserve"> The concept of the chemical bond is fundamental to chemistry, governing atomic interactions that define all known matter. Despite this central role, the classification and most convenient naming of chemical bonds remain subjects of debate due to the diverse theoretical models and experimental observations. Modelings from quantum mechanical calculations and heuristic principles from experimental observations offer valuable and complementary insights, but sometimes the match and coalescence of these different approaches into a common terminology is not immediate. This paper describes a hierarchical categorization of noncovalent interactions based on the electrophilic atom involved, aligning with IUPAC definitions of hydrogen bonding (HB), halogen bonding (HaB), chalcogen bonding (ChB), and pnictogen bonding (PnB). The resulting taxonomy may avoid some ambiguities that arise from naming interactions based on single chemical/physical features. The proposed categorization that moves from more general and comprehensive terms to more specific and descriptive terms may ensure clarity, comprehensiveness, consistency with periodic trends, and invariancy over evolving understanding of the chemical bonds so that findings can be communicated and stored effectively via both human and machine based protocols.</w:t>
      </w:r>
    </w:p>
    <w:p>
      <w:pPr/>
      <w:r>
        <w:rPr>
          <w:b/>
        </w:rPr>
        <w:t>POSSIBLE 2023:</w:t>
      </w:r>
      <w:r>
        <w:t xml:space="preserve"> The impacts of the European chemical industry on the planetary boundaries — https://doi.org/10.1016/j.spc.2023.12.006</w:t>
      </w:r>
    </w:p>
    <w:p>
      <w:pPr/>
      <w:r>
        <w:rPr>
          <w:b/>
        </w:rPr>
        <w:t>Shared claim-specific concepts:</w:t>
      </w:r>
      <w:r>
        <w:t xml:space="preserve"> chemical, industry, based; EU scope visible. This is a provisional connection, not an outcome finding.</w:t>
      </w:r>
    </w:p>
    <w:p>
      <w:pPr>
        <w:pStyle w:val="SourceNote"/>
      </w:pPr>
      <w:r>
        <w:rPr>
          <w:b/>
        </w:rPr>
        <w:t>Available abstract (not full text):</w:t>
      </w:r>
      <w:r>
        <w:t xml:space="preserve"> The European chemical industry plays a crucial role in the economy, manufacturing thousands of products that find applications across many sectors. On the other hand, this sector is also one of the largest energy consumers, and emits significant amounts of greenhouse gases, together with toxic, bioaccumulative and persistent chemicals. Acknowledging the need for a shift towards a greener industry model, this contribution assesses the absolute sustainability level of this sector by contrasting the impacts it causes with the ecological capacity of the planet, as given by the planetary boundaries framework. Results indicate that impacts incurred by the European chemical industry transgress CO2-based thresholds significantly, with burdens on atmospheric CO2 concentration, energy imbalance, and ocean acidification being 15, 16 and 6 times larger than planetary limits. The biosphere integrity boundary, assessed here based on functional diversity, is also transgressed by 3 %. The five chemicals with the highest production volume, namely ammonia, polypropylene, high-density polyethylene, styrene, and benzene, are responsible for around 50 % of impacts in all the planetary boundaries. This suggests that they should be the target of dedicated research and policies. Finally, the study assesses a set of improvement pathways for the European chemical industry to become sustainable. It is fo</w:t>
      </w:r>
    </w:p>
    <w:p>
      <w:pPr/>
      <w:r>
        <w:rPr>
          <w:b/>
        </w:rPr>
        <w:t>POSSIBLE 2022:</w:t>
      </w:r>
      <w:r>
        <w:t xml:space="preserve"> Expanding plastics recycling technologies: chemical aspects, technology status and challenges — https://doi.org/10.1039/d2gc02588d</w:t>
      </w:r>
    </w:p>
    <w:p>
      <w:pPr/>
      <w:r>
        <w:rPr>
          <w:b/>
        </w:rPr>
        <w:t>Shared claim-specific concepts:</w:t>
      </w:r>
      <w:r>
        <w:t xml:space="preserve"> challenges, chemical, industry; EU scope not established. This is a provisional connection, not an outcome finding.</w:t>
      </w:r>
    </w:p>
    <w:p>
      <w:pPr>
        <w:pStyle w:val="SourceNote"/>
      </w:pPr>
      <w:r>
        <w:rPr>
          <w:b/>
        </w:rPr>
        <w:t>Available abstract (not full text):</w:t>
      </w:r>
      <w:r>
        <w:t xml:space="preserve"> Less than 10% of the plastics generated globally are recycled, while the rest are incinerated, accumulated in landfills, or leach into the environment. New technologies are emerging to chemically recycle waste plastics that are receiving tremendous interest from academia and industry. Chemists and chemical engineers need to understand the fundamentals of these technologies to design improved systems for chemical recycling and upcycling of waste plastics. In this paper, we review the entire life cycle of plastics and options for the management of plastic waste to address barriers to industrial chemical recycling and further provide perceptions on possible opportunities with such materials. Knowledge and insights to enhance plastic recycling beyond its current scale are provided. Outstanding research problems and where researchers in the field should focus their efforts in the future are also discussed.</w:t>
      </w:r>
    </w:p>
    <w:p>
      <w:pPr/>
      <w:r>
        <w:rPr>
          <w:b/>
        </w:rPr>
        <w:t>POSSIBLE 2020:</w:t>
      </w:r>
      <w:r>
        <w:t xml:space="preserve"> Novel foods in the European Union: Scientific requirements and challenges of the risk assessment process by the European Food Safety Authority — https://doi.org/10.1016/j.foodres.2020.109515</w:t>
      </w:r>
    </w:p>
    <w:p>
      <w:pPr/>
      <w:r>
        <w:rPr>
          <w:b/>
        </w:rPr>
        <w:t>Shared claim-specific concepts:</w:t>
      </w:r>
      <w:r>
        <w:t xml:space="preserve"> challenges, based, made, derived; EU scope visible. This is a provisional connection, not an outcome finding.</w:t>
      </w:r>
    </w:p>
    <w:p>
      <w:pPr>
        <w:pStyle w:val="SourceNote"/>
      </w:pPr>
      <w:r>
        <w:rPr>
          <w:b/>
        </w:rPr>
        <w:t>Available abstract (not full text):</w:t>
      </w:r>
      <w:r>
        <w:t xml:space="preserve"> The European Food Safety Authority (EFSA) has been involved in the risk assessment of novel foods since 2003. The implementation of the current novel food regulation in 2018 rendered EFSA the sole entity of the European Union responsible for such safety evaluations. The risk assessment is based on the data submitted by applicants in line with the scientific requirements described in the respective EFSA guidance document. The present work aims to elaborate on the rationale behind the scientific questions raised during the risk assessment of novel foods, with a focus on complex mixtures and whole foods. Novel foods received by EFSA in 2003-2019 were screened and clustered by nature and complexity. The requests for additional or supplementary information raised by EFSA during all risk assessments were analyzed for identifying reoccurring issues. In brief, it is shown that applications concern mainly novel foods derived from plants, microorganisms, fungi, algae, and animals. A plethora of requests relates to the production process, the compositional characterization of the novel food, and the evaluation of the product's toxicological profile. Recurring issues related to specific novel food categories were noted. The heterogeneous nature and the variable complexity of novel foods emphasize the challenge to tailor aspects of the evaluation approach to the characteristics of each indi</w:t>
      </w:r>
    </w:p>
    <w:p>
      <w:pPr/>
      <w:r>
        <w:rPr>
          <w:b/>
        </w:rPr>
        <w:t>POSSIBLE 2018:</w:t>
      </w:r>
      <w:r>
        <w:t xml:space="preserve"> Food safety challenges and One Health within Europe — https://doi.org/10.1186/s13028-017-0355-3</w:t>
      </w:r>
    </w:p>
    <w:p>
      <w:pPr/>
      <w:r>
        <w:rPr>
          <w:b/>
        </w:rPr>
        <w:t>Shared claim-specific concepts:</w:t>
      </w:r>
      <w:r>
        <w:t xml:space="preserve"> challenges, industry, based; EU scope visible. This is a provisional connection, not an outcome finding.</w:t>
      </w:r>
    </w:p>
    <w:p>
      <w:pPr>
        <w:pStyle w:val="SourceNote"/>
      </w:pPr>
      <w:r>
        <w:rPr>
          <w:b/>
        </w:rPr>
        <w:t>Available abstract (not full text):</w:t>
      </w:r>
      <w:r>
        <w:t xml:space="preserve"> This review discusses food safety aspects of importance from a One Health perspective, focusing on Europe. Using examples of food pathogen/food commodity combinations, spread of antimicrobial resistance in the food web and the risk of transmission of zoonotic pathogens in a circular system, it demonstrates how different perspectives are interconnected. The chosen examples all show the complexity of the food system and the necessity of using a One Health approach. Food safety resources should be allocated where they contribute most One Health benefits. Data on occurrence and disease burden and knowledge of source attribution are crucial in assessing costs and benefits of control measures. Future achievements in food safety, public health and welfare will largely be based on how well politicians, researchers, industry, national agencies and other stakeholders manage to collaborate using the One Health approach. It can be concluded that closer cooperation between different disciplines is necessary to avoid silo thinking when addressing important food safety challenges. The importance of this is often mentioned, but more proof of concept is needed by the research community.</w:t>
      </w:r>
    </w:p>
    <w:p>
      <w:pPr>
        <w:pStyle w:val="Heading2"/>
      </w:pPr>
      <w:r>
        <w:t>963. Superconductivity and the environment: a Roadmap</w:t>
      </w:r>
    </w:p>
    <w:p>
      <w:pPr>
        <w:pStyle w:val="SourceNote"/>
      </w:pPr>
      <w:r>
        <w:rPr>
          <w:b/>
        </w:rPr>
        <w:t>Original source (2013):</w:t>
      </w:r>
      <w:r>
        <w:t xml:space="preserve"> https://doi.org/10.1088/0953-2048/26/11/113001</w:t>
      </w:r>
    </w:p>
    <w:p>
      <w:pPr/>
      <w:r>
        <w:t>Original wording (abstract; indexed_source_text_not_full_document_verified): If we want to stabilize CO 2 levels in our atmosphere at 550 parts per million, all of that growth needs to be met by non-carbon forms of energy' (2011 Equinox Summit: Energy 2030 http://wgsi.org/publications-resources ).</w:t>
      </w:r>
    </w:p>
    <w:p>
      <w:pPr/>
      <w:r>
        <w:rPr>
          <w:b/>
        </w:rPr>
        <w:t>POSSIBLE 2025:</w:t>
      </w:r>
      <w:r>
        <w:t xml:space="preserve"> What Does China Want? — https://doi.org/10.1162/isec.a.5</w:t>
      </w:r>
    </w:p>
    <w:p>
      <w:pPr/>
      <w:r>
        <w:rPr>
          <w:b/>
        </w:rPr>
        <w:t>Shared claim-specific concepts:</w:t>
      </w:r>
      <w:r>
        <w:t xml:space="preserve"> want, parts, all; EU scope not established. This is a provisional connection, not an outcome finding.</w:t>
      </w:r>
    </w:p>
    <w:p>
      <w:pPr>
        <w:pStyle w:val="SourceNote"/>
      </w:pPr>
      <w:r>
        <w:rPr>
          <w:b/>
        </w:rPr>
        <w:t>Available abstract (not full text):</w:t>
      </w:r>
      <w:r>
        <w:t xml:space="preserve"> Abstract The conventional wisdom is that China is a rising hegemon eager to replace the United States, dominate international institutions, and re-create the liberal international order in its own image. Drawing on data from 12,000 articles and hundreds of speeches by Xi Jinping, to discern China's intentions we analyze three terms or phrases from Chinese rhetoric: “struggle” (斗争), “rise of the East, decline of the West” (东升西降), and “no intention to replace the United States” ((无意取代美国). Our findings indicate that China is a status quo power concerned with regime stability and is more inwardly focused than externally oriented. China's aims are unambiguous, enduring, and limited: It cares about its borders, sovereignty, and foreign economic relations. China's main concerns are almost all regional and related to parts of China that the rest of the region has agreed are Chinese—Hong Kong, Taiwan, Tibet, and Xinjiang. Our argument has three main implications. First, China does not pose the type of military threat that the conventional wisdom claims it does. Thus, a hostile U.S. military posture in the Pacific is unwise and may unnecessarily create tensions. Second, the two countries could cooperate on several overlooked issue areas. Third, the conventional view of China plays down the economic and diplomatic arenas that a war-fighting approach is unsuited to address.</w:t>
      </w:r>
    </w:p>
    <w:p>
      <w:pPr/>
      <w:r>
        <w:rPr>
          <w:b/>
        </w:rPr>
        <w:t>POSSIBLE 2016:</w:t>
      </w:r>
      <w:r>
        <w:t xml:space="preserve"> flowVS: channel-specific variance stabilization in flow cytometry — https://doi.org/10.1186/s12859-016-1083-9</w:t>
      </w:r>
    </w:p>
    <w:p>
      <w:pPr/>
      <w:r>
        <w:rPr>
          <w:b/>
        </w:rPr>
        <w:t>Shared claim-specific concepts:</w:t>
      </w:r>
      <w:r>
        <w:t xml:space="preserve"> stabilize, levels, all; EU scope not established. This is a provisional connection, not an outcome finding.</w:t>
      </w:r>
    </w:p>
    <w:p>
      <w:pPr>
        <w:pStyle w:val="SourceNote"/>
      </w:pPr>
      <w:r>
        <w:rPr>
          <w:b/>
        </w:rPr>
        <w:t>Available abstract (not full text):</w:t>
      </w:r>
      <w:r>
        <w:t xml:space="preserve"> BACKGROUND: Comparing phenotypes of heterogeneous cell populations from multiple biological conditions is at the heart of scientific discovery based on flow cytometry (FC). When the biological signal is measured by the average expression of a biomarker, standard statistical methods require that variance be approximately stabilized in populations to be compared. Since the mean and variance of a cell population are often correlated in fluorescence-based FC measurements, a preprocessing step is needed to stabilize the within-population variances. RESULTS: We present a variance-stabilization algorithm, called flowVS, that removes the mean-variance correlations from cell populations identified in each fluorescence channel. flowVS transforms each channel from all samples of a data set by the inverse hyperbolic sine (asinh) transformation. For each channel, the parameters of the transformation are optimally selected by Bartlett's likelihood-ratio test so that the populations attain homogeneous variances. The optimum parameters are then used to transform the corresponding channels in every sample. flowVS is therefore an explicit variance-stabilization method that stabilizes within-population variances in each channel by evaluating the homoskedasticity of clusters with a likelihood-ratio test. With two publicly available datasets, we show that flowVS removes the mean-variance dependence</w:t>
      </w:r>
    </w:p>
    <w:p>
      <w:pPr/>
      <w:r>
        <w:rPr>
          <w:b/>
        </w:rPr>
        <w:t>POSSIBLE 2015:</w:t>
      </w:r>
      <w:r>
        <w:t xml:space="preserve"> Dynamic MIPS Rate Stabilization for Complex Processors — https://doi.org/10.1145/2714575</w:t>
      </w:r>
    </w:p>
    <w:p>
      <w:pPr/>
      <w:r>
        <w:rPr>
          <w:b/>
        </w:rPr>
        <w:t>Shared claim-specific concepts:</w:t>
      </w:r>
      <w:r>
        <w:t xml:space="preserve"> stabilize, levels, per, all, energy; EU scope not established. This is a provisional connection, not an outcome finding.</w:t>
      </w:r>
    </w:p>
    <w:p>
      <w:pPr>
        <w:pStyle w:val="SourceNote"/>
      </w:pPr>
      <w:r>
        <w:rPr>
          <w:b/>
        </w:rPr>
        <w:t>Available abstract (not full text):</w:t>
      </w:r>
      <w:r>
        <w:t xml:space="preserve"> Modern microprocessor cores reach their high performance levels with the help of high clock rates, parallel and speculative execution of a large number of instructions, and vast cache hierarchies. Modern cores also have adaptive features to regulate power and temperature and avoid thermal emergencies. All of these features contribute to highly unpredictable execution times. In this article, we demonstrate that the execution time of in-order (IO), out-of-order (OoO), and OoO simultaneous multithreaded processors can be stable and predictable by stabilizing their mega instructions executed per second (MIPS) rate via a proportional, integral, and differential (PID) gain feedback controller and dynamic voltage and frequency scaling (DVFS). Processor cores in idle cycles are continuously consuming power, which is highly undesirable in systems, especially in real-time systems. In addition to meeting deadlines in real-time systems, our MIPS rate stabilization framework can be applied on top of it to reduce power and energy by avoiding idle cycles. If processors are equipped with MIPS rate stabilization, the execution time can be predicted. Because the MIPS rate remains steady, a stabilized processor meets deadlines on time in real-time systems or in systems with quality-of-service execution latency requirements at the lowest possible frequency. To demonstrate and evaluate this capabil</w:t>
      </w:r>
    </w:p>
    <w:p>
      <w:pPr/>
      <w:r>
        <w:rPr>
          <w:b/>
        </w:rPr>
        <w:t>POSSIBLE 2014:</w:t>
      </w:r>
      <w:r>
        <w:t xml:space="preserve"> Diabetic retinopathy stabilization after renal transplantation — https://doi.org/10.4103/0301-4738.136303</w:t>
      </w:r>
    </w:p>
    <w:p>
      <w:pPr/>
      <w:r>
        <w:rPr>
          <w:b/>
        </w:rPr>
        <w:t>Shared claim-specific concepts:</w:t>
      </w:r>
      <w:r>
        <w:t xml:space="preserve"> want, levels, all; EU scope not established. This is a provisional connection, not an outcome finding.</w:t>
      </w:r>
    </w:p>
    <w:p>
      <w:pPr>
        <w:pStyle w:val="SourceNote"/>
      </w:pPr>
      <w:r>
        <w:rPr>
          <w:b/>
        </w:rPr>
        <w:t>Available abstract (not full text):</w:t>
      </w:r>
      <w:r>
        <w:t xml:space="preserve"> Dear Editor, We read the article “The effects of renal transplantation on diabetic retinopathy: Clinical course and visual outcomes” by Roy et al., with interest.[1] The authors aimed to elucidate the clinical course of diabetic retinopathy (DR) after renal transplantation (RT) in a hospital-based cohort. They concluded that RT stabilized the retinopathy status in the majority of patients although in a minor subset the disease course was unpredictable. We congratulate the authors for their lightening study. We would like to inform two errors which we think to be done by mistake and make some contributions about study. DR and diabetic nephropathy are the main microvascular complications of diabetes, representing the leading cause of blindness and end-stage renal disease.[2] There is a strong association between severity of retinopathy and level of kidney function.[3] Also there are several studies reporting the stabilization of the retinopathy after RT or simultaneous pancreas and kidney transplant (SPK).[1] Firstly, we want to inform two errors which we think to be done by mistake. In fourth paragraph of the discussion part, the authors informed that Chow et al., studying the effect of renal and pancreatic transplant on the status of retinal transplant found a stable visual acuity in the follow-up period. But actually in this study, Chow et al., examined the course of DR in ins</w:t>
      </w:r>
    </w:p>
    <w:p>
      <w:pPr>
        <w:pStyle w:val="Heading2"/>
      </w:pPr>
      <w:r>
        <w:t>964. THE CRITICAL ANALYSIS OF SCENARIO CONSTRUCTION IN THE POLISH FORESIGHT INITIATIVES</w:t>
      </w:r>
    </w:p>
    <w:p>
      <w:pPr>
        <w:pStyle w:val="SourceNote"/>
      </w:pPr>
      <w:r>
        <w:rPr>
          <w:b/>
        </w:rPr>
        <w:t>Original source (2013):</w:t>
      </w:r>
      <w:r>
        <w:t xml:space="preserve"> https://doi.org/10.3846/20294913.2013.809030</w:t>
      </w:r>
    </w:p>
    <w:p>
      <w:pPr/>
      <w:r>
        <w:t>Original wording (abstract; indexed_source_text_not_full_document_verified): The research has been funded by the National Science Centre in Poland within a research project entitled Scenarios in future shaping and anticipation for foresight studies, project number: 4194/B/H03/2011/40. The aim of the article is to present the diagnosis of scenario method application in the Polish foresight initiatives.</w:t>
      </w:r>
    </w:p>
    <w:p>
      <w:pPr/>
      <w:r>
        <w:rPr>
          <w:b/>
        </w:rPr>
        <w:t>POSSIBLE 2026:</w:t>
      </w:r>
      <w:r>
        <w:t xml:space="preserve"> Research Infrastructures and the Open Science Roadmap: European and Italian Strategies and Policies — https://doi.org/10.1007/978-3-032-29575-0_2</w:t>
      </w:r>
    </w:p>
    <w:p>
      <w:pPr/>
      <w:r>
        <w:rPr>
          <w:b/>
        </w:rPr>
        <w:t>Shared claim-specific concepts:</w:t>
      </w:r>
      <w:r>
        <w:t xml:space="preserve"> funded, national, science, within, initiatives; EU scope visible. This is a provisional connection, not an outcome finding.</w:t>
      </w:r>
    </w:p>
    <w:p>
      <w:pPr>
        <w:pStyle w:val="SourceNote"/>
      </w:pPr>
      <w:r>
        <w:rPr>
          <w:b/>
        </w:rPr>
        <w:t>Available abstract (not full text):</w:t>
      </w:r>
      <w:r>
        <w:t xml:space="preserve"> This chapter examines the policy frameworks that shape Research Infrastructures (RIs) in Europe and Italy. It focuses on global and European actors—such as the European Open Science Cloud (EOSC)—and analyses their role in advancing Open Science initiatives. The chapter also explores the plans, programs, and policies aimed at strengthening Research Infrastructures, expanding their openness, and promoting their use not only within research communities but also among key stakeholders in the European and national research and innovation system, including enterprises, the third sector, policymakers, public administrations, and civil society. Furthermore, the chapter investigates the strategies, actions, and main initiatives funded under the Italian National Recovery and Resilience Plan (PNRR—Piano Nazionale di Ripresa e Resilienza), with particular attention to Mission 4—Component 2—From Research to Enterprise. In this context, it highlights interventions designed to reinforce RIs and to develop a federated national system of research infrastructures in the Social Sciences and Humanities (SSH). This strategy, implemented through the involvement of leading Italian universities and research institutions, aims to effectively and efficiently support the country’s scientific advancement and socio-economic development by translating European and national principles and strategies for Open</w:t>
      </w:r>
    </w:p>
    <w:p>
      <w:pPr/>
      <w:r>
        <w:rPr>
          <w:b/>
        </w:rPr>
        <w:t>POSSIBLE 2026:</w:t>
      </w:r>
      <w:r>
        <w:t xml:space="preserve"> Diamond OA Policy Forum Europe: Strategies for Funding Diamond OA in Europe — https://doi.org/10.5281/zenodo.23301450</w:t>
      </w:r>
    </w:p>
    <w:p>
      <w:pPr/>
      <w:r>
        <w:rPr>
          <w:b/>
        </w:rPr>
        <w:t>Shared claim-specific concepts:</w:t>
      </w:r>
      <w:r>
        <w:t xml:space="preserve"> national, science, project, initiatives; EU scope visible. This is a provisional connection, not an outcome finding.</w:t>
      </w:r>
    </w:p>
    <w:p>
      <w:pPr>
        <w:pStyle w:val="SourceNote"/>
      </w:pPr>
      <w:r>
        <w:rPr>
          <w:b/>
        </w:rPr>
        <w:t>Available abstract (not full text):</w:t>
      </w:r>
      <w:r>
        <w:t xml:space="preserve"> Presentation slides from the Diamond OA Policy Forum Europe, held online on 5 October 2026 as part of the ALMASI project. The second meeting of the European Forum focused on funding Diamond OA in this region, showcasing the strategic funding approaches taken by European national Open Science policymakers, research funders and libraries in the region. It also presented the types of initiatives or models that make funding Diamond OA easier. The event was part of the Diamond OA Policy Forum series of regional and cross-regional meetings organised by ALMASI to bring together policymakers, funders and open access experts from Africa, Europe and Latin America. The Forum aims to support the development of policies and sustainable funding mechanisms for more equitable, diverse and community-led scholarly publishing. Speakers: Maja Peharc, Policy officer, Ministry for Education, Science and Youth, Slovenia Zoé Ancion, Head of the Open Science Unit, French National Research Agency, France Louise Otting-Geevers, Collection &amp; License manager, Delft University of Technology Library, the Netherlands Jean-François Lutz, Head of the Research Support Mission in the Documentation Division at Université de Lorraine, France Fabian Hennig, Officer for Diamond Open Access Consortia, TIB –Technische Informationsbibliothek, Germany Rosalie Lack, SCOSS Coordinator, Global Sustainability Coalition for O</w:t>
      </w:r>
    </w:p>
    <w:p>
      <w:pPr/>
      <w:r>
        <w:rPr>
          <w:b/>
        </w:rPr>
        <w:t>POSSIBLE 2024:</w:t>
      </w:r>
      <w:r>
        <w:t xml:space="preserve"> Researchers at Risk: An Update on National-level Actions in Europe 2024 (Inspireurope+) — https://doi.org/10.5281/zenodo.17361729</w:t>
      </w:r>
    </w:p>
    <w:p>
      <w:pPr/>
      <w:r>
        <w:rPr>
          <w:b/>
        </w:rPr>
        <w:t>Shared claim-specific concepts:</w:t>
      </w:r>
      <w:r>
        <w:t xml:space="preserve"> national, science, number, aim, initiatives; EU scope visible. This is a provisional connection, not an outcome finding.</w:t>
      </w:r>
    </w:p>
    <w:p>
      <w:pPr>
        <w:pStyle w:val="SourceNote"/>
      </w:pPr>
      <w:r>
        <w:rPr>
          <w:b/>
        </w:rPr>
        <w:t>Available abstract (not full text):</w:t>
      </w:r>
      <w:r>
        <w:t xml:space="preserve"> Academic freedom and institutional autonomy are currently under pressure in many countries around the world. The initial Inspireurope mapping report and the first report on national-level initiatives in Europe have already pointed out that the number of researchers at risk largely exceeds the available support structures. In the last two years, the contributors to this report have witnessed an increasing number of applications by researchers at risk. Attacks on the academic freedom of scholars and university students continue to curtail academic freedom by limiting what can and cannot be said in and out of classrooms, and additionally by encouraging self-censorship. They affect staff and students alike and range from loss of life and liberty to loss of professional standing, and employment. In some countries, this results from war or armed conflict, as in Ukraine, Sudan, or the Middle East. In other countries, the attacks follow in the trail of increasingly oppressive and authoritarian regimes. Afghanistan, Iran or Russia may serve as examples of countries where the risk of prosecution faced by scholars and students, and, particularly by female academics, has continued to be on the rise. For decades such attacks have been met by NGOs, higher education institutions and government-backed programs offering temporary positions for researchers who have been forced to flee oppressive</w:t>
      </w:r>
    </w:p>
    <w:p>
      <w:pPr/>
      <w:r>
        <w:rPr>
          <w:b/>
        </w:rPr>
        <w:t>POSSIBLE 2024:</w:t>
      </w:r>
      <w:r>
        <w:t xml:space="preserve"> Why European Social Sciences and Humanities Advocacy Matters — https://doi.org/10.1017/pub.2024.49</w:t>
      </w:r>
    </w:p>
    <w:p>
      <w:pPr/>
      <w:r>
        <w:rPr>
          <w:b/>
        </w:rPr>
        <w:t>Shared claim-specific concepts:</w:t>
      </w:r>
      <w:r>
        <w:t xml:space="preserve"> national, science, shaping, article; EU scope visible. This is a provisional connection, not an outcome finding.</w:t>
      </w:r>
    </w:p>
    <w:p>
      <w:pPr>
        <w:pStyle w:val="SourceNote"/>
      </w:pPr>
      <w:r>
        <w:rPr>
          <w:b/>
        </w:rPr>
        <w:t>Available abstract (not full text):</w:t>
      </w:r>
      <w:r>
        <w:t xml:space="preserve"> Abstract This article highlights the importance of European scientists, particularly in the social sciences and humanities, in shaping global research policies through active advocacy in science policy. The European Union (EU) is a significant transnational research funder, largely through its multiannual Framework Programmes, such as Horizon Europe (2020–2027), which support collaboration between researchers worldwide. This funding drives innovation and societal benefit, influencing global standards on topics like sustainability, cultural heritage, and data protection. The EU’s openness to consultation makes it unique compared to countries like the United States and China, where funding decisions are decided top-down by governments and policymakers. Thus, European humanities and social science researchers have a unique opportunity to shape the political research agenda. To strengthen this advocacy, three practical steps await researchers: (1) understand national research narratives, (2) ensure research impacts policymaking, and (3) support international research organisations.</w:t>
      </w:r>
    </w:p>
    <w:p>
      <w:pPr/>
      <w:r>
        <w:rPr>
          <w:b/>
        </w:rPr>
        <w:t>POSSIBLE 2023:</w:t>
      </w:r>
      <w:r>
        <w:t xml:space="preserve"> Incidence of Lyme Borreliosis in Europe from National Surveillance Systems (2005–2020) — https://doi.org/10.1089/vbz.2022.0071</w:t>
      </w:r>
    </w:p>
    <w:p>
      <w:pPr/>
      <w:r>
        <w:rPr>
          <w:b/>
        </w:rPr>
        <w:t>Shared claim-specific concepts:</w:t>
      </w:r>
      <w:r>
        <w:t xml:space="preserve"> national, poland, within, number; EU scope visible. This is a provisional connection, not an outcome finding.</w:t>
      </w:r>
    </w:p>
    <w:p>
      <w:pPr>
        <w:pStyle w:val="SourceNote"/>
      </w:pPr>
      <w:r>
        <w:rPr>
          <w:b/>
        </w:rPr>
        <w:t>Available abstract (not full text):</w:t>
      </w:r>
      <w:r>
        <w:t xml:space="preserve"> Background: Lyme borreliosis (LB) is the most common tick-borne disease in Europe. To inform European intervention strategies, including vaccines under development, we conducted a systematic review for LB incidence. Methods: We searched publicly available surveillance data reporting LB incidence in Europe from 2005 to 2020. Population-based incidence was calculated as the number of reported LB cases per 100,000 population per year (PPY), and high LB risk areas (incidence &gt;10/100,00 PPY for 3 consecutive years) were estimated. Results: Estimates of LB incidence were available for 25 countries. There was marked heterogeneity in surveillance systems (passive vs. mandatory and sentinel sites vs. national), case definitions (clinical, laboratory, or both), and testing methods, limiting comparison across countries. Twenty-one countries (84%) had passive surveillance; four (Belgium, France, Germany, and Switzerland) used sentinel surveillance systems. Only four countries (Bulgaria, France, Poland, and Romania) used standardized case definitions recommended by European public health institutions. Among all surveillance systems and considering any case definition for the most recently available years, national LB incidences were highest in Estonia, Lithuania, Slovenia, and Switzerland (&gt;100 cases/100,000 PPY), followed by France and Poland (40–80/100,000 PPY), and Finland and Latvia (20</w:t>
      </w:r>
    </w:p>
    <w:p>
      <w:pPr/>
      <w:r>
        <w:rPr>
          <w:b/>
        </w:rPr>
        <w:t>POSSIBLE 2023:</w:t>
      </w:r>
      <w:r>
        <w:t xml:space="preserve"> Opposition Discourse About National Recovery and Resilience Plans. Poland and Hungary Compared — https://doi.org/10.33067/se.1.2023.2</w:t>
      </w:r>
    </w:p>
    <w:p>
      <w:pPr/>
      <w:r>
        <w:rPr>
          <w:b/>
        </w:rPr>
        <w:t>Shared claim-specific concepts:</w:t>
      </w:r>
      <w:r>
        <w:t xml:space="preserve"> national, poland, within, article, polish; EU scope visible. This is a provisional connection, not an outcome finding.</w:t>
      </w:r>
    </w:p>
    <w:p>
      <w:pPr>
        <w:pStyle w:val="SourceNote"/>
      </w:pPr>
      <w:r>
        <w:rPr>
          <w:b/>
        </w:rPr>
        <w:t>Available abstract (not full text):</w:t>
      </w:r>
      <w:r>
        <w:t xml:space="preserve"> Although the governments of Poland and Hungary seem to similarly contest the conditionality mechanism that requires one to respect the rule of law when using EU funds, there are differences between these countries. They become visible in the framing of political communication as regards the opposition parties. This article seeks to identify the grounds of the competition from parliamentary opposition of the governments in relation to the EU Recovery and Resilience Fund. An analysis of 2021’s parliamentary debates on national recovery and resilience plans revealed three communication frameworks: the financial frame (the policy dimension), the quality of governance frame (the politics dimension), and the European integration frame which shaped domestic political rivalry (the polity dimension). Differences within these framings between the narrative of the Polish and Hungarian opposition resulted from different institutional and structural contexts. The study confirms the importance of national opposition parties for the analysis of the process of European integration. The existence of a liberal opposition may promote the salience of the topic of European integration in domestic political debate.</w:t>
      </w:r>
    </w:p>
    <w:p>
      <w:pPr/>
      <w:r>
        <w:rPr>
          <w:b/>
        </w:rPr>
        <w:t>POSSIBLE 2022:</w:t>
      </w:r>
      <w:r>
        <w:t xml:space="preserve"> Building National Open Science Cloud Initiatives (NOSCIs) in Southeast Europe — https://doi.org/10.15291/pubmet.3952</w:t>
      </w:r>
    </w:p>
    <w:p>
      <w:pPr/>
      <w:r>
        <w:rPr>
          <w:b/>
        </w:rPr>
        <w:t>Shared claim-specific concepts:</w:t>
      </w:r>
      <w:r>
        <w:t xml:space="preserve"> national, science, within, project, initiatives; EU scope visible. This is a provisional connection, not an outcome finding.</w:t>
      </w:r>
    </w:p>
    <w:p>
      <w:pPr>
        <w:pStyle w:val="SourceNote"/>
      </w:pPr>
      <w:r>
        <w:rPr>
          <w:b/>
        </w:rPr>
        <w:t>Available abstract (not full text):</w:t>
      </w:r>
      <w:r>
        <w:t xml:space="preserve"> The National Initiatives for Open Science in Europe (NI4OS Europe) project supports the development of the European Open Science Cloud (EOSC) by contributing to its portfolio of services, by involving national and regional research communities in the EOSC governance, by strengthening open science (OS) practices, and by promoting the FAIR principles (Macan et al., 2020; Garavelli et al., 2021) to help build the infrastructure and create a favourable environment for open and intensive scholarly communication.The main instrument in achieving this is the network of 15 national Open Science Cloud Initiatives (NOSCIs) established in the partner countries as national-level coalitions of Open Science stakeholders that have a prominent role and interest in the EOSC. The concept of NOSCI has been developed in response to the specific traits and challenges in the targeted region, based on complex and multilayered analyses of stakeholders, policies, and local contexts (Toli et al., 2020). Inclusive by nature, NOSCIs connect stakeholders from across the research lifecycle at the national level and provide not only a testbed for the formulation of OS policies but also a forum for knowledge dissemination and sharing.Drawing on a secondary analysis of the abundant data collected and materials produced during the project, this presentation focuses on the challenges identified as the NOSCIs were</w:t>
      </w:r>
    </w:p>
    <w:p>
      <w:pPr/>
      <w:r>
        <w:rPr>
          <w:b/>
        </w:rPr>
        <w:t>POSSIBLE 2021:</w:t>
      </w:r>
      <w:r>
        <w:t xml:space="preserve"> Effectiveness of research grants funded by European Research Council and Polish National Science Centre — https://doi.org/10.1016/j.joi.2021.101243</w:t>
      </w:r>
    </w:p>
    <w:p>
      <w:pPr/>
      <w:r>
        <w:rPr>
          <w:b/>
        </w:rPr>
        <w:t>Shared claim-specific concepts:</w:t>
      </w:r>
      <w:r>
        <w:t xml:space="preserve"> funded, national, science, centre, poland, project; EU scope visible. This is a provisional connection, not an outcome finding.</w:t>
      </w:r>
    </w:p>
    <w:p>
      <w:pPr>
        <w:pStyle w:val="SourceNote"/>
      </w:pPr>
      <w:r>
        <w:rPr>
          <w:b/>
        </w:rPr>
        <w:t>Available abstract (not full text):</w:t>
      </w:r>
      <w:r>
        <w:t xml:space="preserve"> We propose WEIG – Wroclaw Effectiveness Indicator for Grants. This new scientometric measure is an aggregated quality measure of scientific papers published with the grant support divided by its budget. Several WEIG variations have been considered with respect to journal quality indicators like Impact Factor (IF), Article Influence Score (AIS), and Average Journal Impact Factor Percentile (IF%). Projects from two public agencies were analysed utilising the WEIG measures: European Research Council (ERC) and National Science Centre, Poland (NSC). The studies revealed that NSC grants are overall more effective than ERC ones, constantly 2–3 times more for Physical Sciences and Engineering (PE). There are four NSC panels distinctively more efficient than their counterparts in ERC: Mathematics (PE1), Fundamental Constituents of Matter (PE2), Computer Science and Informatics (PE6) and Universe Sciences (PE9). The most efficient NSC funding schemes are Etiuda, Preludium, and Harmonia. The higher average effectiveness of programmes aimed at young scientists has been observed: the ERC Starting Grants have greater effectiveness than Advanced Grants. Both agencies manage to keep overall efficiency regardless of increasing their budget over the years. Limitations of the proposed approach to assess project effectiveness, especially for Social Sciences and Humanities, are also discussed.</w:t>
      </w:r>
    </w:p>
    <w:p>
      <w:pPr/>
      <w:r>
        <w:rPr>
          <w:b/>
        </w:rPr>
        <w:t>POSSIBLE 2021:</w:t>
      </w:r>
      <w:r>
        <w:t xml:space="preserve"> Science funding under an authoritarian regime: Portugal's National Education Board and the European ‘academic landscape’ in the interwar period — https://doi.org/10.1098/rsnr.2021.0037</w:t>
      </w:r>
    </w:p>
    <w:p>
      <w:pPr/>
      <w:r>
        <w:rPr>
          <w:b/>
        </w:rPr>
        <w:t>Shared claim-specific concepts:</w:t>
      </w:r>
      <w:r>
        <w:t xml:space="preserve"> national, science, number, article; EU scope visible. This is a provisional connection, not an outcome finding.</w:t>
      </w:r>
    </w:p>
    <w:p>
      <w:pPr>
        <w:pStyle w:val="SourceNote"/>
      </w:pPr>
      <w:r>
        <w:rPr>
          <w:b/>
        </w:rPr>
        <w:t>Available abstract (not full text):</w:t>
      </w:r>
      <w:r>
        <w:t xml:space="preserve"> This article enables an understanding of scientific practice and funding in a peripheral country ruled by a dictatorship in the interwar period, and thus provides the basis for comparison with studies of other non-democratic regimes. We examine the work of Portugal's Junta de Educação Nacional (National Education Board), which administered and provided funding for science from 1929 to 1936. Our findings show that this public body encouraged the participation of the Portuguese academic community in international science networks. This scenario contrasts with the dominant historiographical thesis that between the wars the Portuguese academic community did not play a role in international networks, and that it lacked state support. Also in contrast with the dominant historiography, whose ideological bias meant that a simplified picture was portrayed, whereas the reality is shown to be complex, this study demonstrates that the Portuguese dictatorial state sought to foster scientific progress through the Junta, but that resentment among academics and the resistance of universities to innovation meant that this objective was only partially achieved. Finally, the memory of a number of scientists has been rescued from oblivion, as we show how their political stance during the dictatorship led to their being ignored by historiographers when democracy prevailed.</w:t>
      </w:r>
    </w:p>
    <w:p>
      <w:pPr/>
      <w:r>
        <w:rPr>
          <w:b/>
        </w:rPr>
        <w:t>POSSIBLE 2021:</w:t>
      </w:r>
      <w:r>
        <w:t xml:space="preserve"> Current Wildland Fire Patterns and Challenges in Europe: A Synthesis of National Perspectives — https://doi.org/10.1177/11786221211028185</w:t>
      </w:r>
    </w:p>
    <w:p>
      <w:pPr/>
      <w:r>
        <w:rPr>
          <w:b/>
        </w:rPr>
        <w:t>Shared claim-specific concepts:</w:t>
      </w:r>
      <w:r>
        <w:t xml:space="preserve"> funded, national, science, within, aim, article; EU scope visible. This is a provisional connection, not an outcome finding.</w:t>
      </w:r>
    </w:p>
    <w:p>
      <w:pPr>
        <w:pStyle w:val="SourceNote"/>
      </w:pPr>
      <w:r>
        <w:rPr>
          <w:b/>
        </w:rPr>
        <w:t>Available abstract (not full text):</w:t>
      </w:r>
      <w:r>
        <w:t xml:space="preserve"> Changes in climate, land use, and land management impact the occurrence and severity of wildland fires in many parts of the world. This is particularly evident in Europe, where ongoing changes in land use have strongly modified fire patterns over the last decades. Although satellite data by the European Forest Fire Information System provide large-scale wildland fire statistics across European countries, there is still a crucial need to collect and summarize in-depth local analysis and understanding of the wildland fire condition and associated challenges across Europe. This article aims to provide a general overview of the current wildland fire patterns and challenges as perceived by national representatives, supplemented by national fire statistics (2009–2018) across Europe. For each of the 31 countries included, we present a perspective authored by scientists or practitioners from each respective country, representing a wide range of disciplines and cultural backgrounds. The authors were selected from members of the COST Action “Fire and the Earth System: Science &amp; Society” funded by the European Commission with the aim to share knowledge and improve communication about wildland fire. Where relevant, a brief overview of key studies, particular wildland fire challenges a country is facing, and an overview of notable recent fire events are also presented. Key perceived challen</w:t>
      </w:r>
    </w:p>
    <w:p>
      <w:pPr/>
      <w:r>
        <w:rPr>
          <w:b/>
        </w:rPr>
        <w:t>POSSIBLE 2020:</w:t>
      </w:r>
      <w:r>
        <w:t xml:space="preserve"> Thematic variations and auctorial foresights: The French National Funding Agency (Agence Nationale de la Recherche - ANR) (Biennial Conference of the European Society for the History of Science, London, UK, 14/09/2018-17/09/2018) — https://openalex.org/W3096754253</w:t>
      </w:r>
    </w:p>
    <w:p>
      <w:pPr/>
      <w:r>
        <w:rPr>
          <w:b/>
        </w:rPr>
        <w:t>Shared claim-specific concepts:</w:t>
      </w:r>
      <w:r>
        <w:t xml:space="preserve"> national, science, shaping; EU scope visible. This is a provisional connection, not an outcome finding.</w:t>
      </w:r>
    </w:p>
    <w:p>
      <w:pPr>
        <w:pStyle w:val="SourceNote"/>
      </w:pPr>
      <w:r>
        <w:rPr>
          <w:b/>
        </w:rPr>
        <w:t>Available abstract (not full text):</w:t>
      </w:r>
      <w:r>
        <w:t xml:space="preserve"> The French national funding agency (Agence Nationale de la Recherche - ANR) represents since 2005 the “delegation authority” of the public science system. As being the principal national funding agency, ANR influence regarding research communities is a mix of huge prestige, when getting a grant, and a collective satiric humour shared on Twitter (Agence Nationale de l'Excellence Scientifique, @Excelleagence). In between, the fact and the fears that ANR role in shaping and reconfiguring French research priorities is regularly debated. Based on the analysis of ANR data (2006 to 2016), recently released, our proposition aims to observe how and to what extent, ANR research priorities are impacting French communities research agenda. From a comparison between ANR thematic, grants thematic and research prospective expressed then realised by researchers themselves, the analysis will provide elements to depict the way researchers are adapting to the ANR authority. Our approach is both quantitative and qualitative and takes into account the longitudinal dimension to observe the variations occurred during 2006-2016 period.</w:t>
      </w:r>
    </w:p>
    <w:p>
      <w:pPr/>
      <w:r>
        <w:rPr>
          <w:b/>
        </w:rPr>
        <w:t>POSSIBLE 2020:</w:t>
      </w:r>
      <w:r>
        <w:t xml:space="preserve"> What Large-Scale Publication and Citation Data Tell Us About International Research Collaboration in Europe: Changing National Patterns in Global Contexts — https://doi.org/10.1080/03075079.2020.1749254</w:t>
      </w:r>
    </w:p>
    <w:p>
      <w:pPr/>
      <w:r>
        <w:rPr>
          <w:b/>
        </w:rPr>
        <w:t>Shared claim-specific concepts:</w:t>
      </w:r>
      <w:r>
        <w:t xml:space="preserve"> national, science, within; EU scope visible. This is a provisional connection, not an outcome finding.</w:t>
      </w:r>
    </w:p>
    <w:p>
      <w:pPr>
        <w:pStyle w:val="SourceNote"/>
      </w:pPr>
      <w:r>
        <w:rPr>
          <w:b/>
        </w:rPr>
        <w:t>Available abstract (not full text):</w:t>
      </w:r>
      <w:r>
        <w:t xml:space="preserve"> This study analyzes the unprecedented growth of international research collaboration (IRC) in Europe during the period 2009–2018 in terms of co-authorship and citation distribution of globally indexed publications. The results reveal the dynamics of this change, as growing IRC moves European systems away from institutional collaboration, with stable and strong national collaboration. Domestic output has remained flat. The growth in publications in major European systems is almost entirely attributable to internationally co-authored papers. A comparison of trends within the four complementary collaboration modes clearly reveals that the growth of European science is driven solely by internationally co-authored papers. With the emergence of global network science, which diminishes the role of national policies in IRC and foregrounds the role of scientists, the individual scientist’s willingness to collaborate internationally is central to advancing IRC in Europe. Scientists collaborate internationally when it enhances their academic prestige, scientific recognition, and access to research funding, as indicated by the credibility cycle, prestige maximization, and global science models. The study encompassed 5.5 million Scopus-indexed articles, including 2.2 million involving international collaboration.</w:t>
      </w:r>
    </w:p>
    <w:p>
      <w:pPr>
        <w:pStyle w:val="Heading2"/>
      </w:pPr>
      <w:r>
        <w:t>965. The EU Decarbonisation Roadmap 2050—What way to walk?</w:t>
      </w:r>
    </w:p>
    <w:p>
      <w:pPr>
        <w:pStyle w:val="SourceNote"/>
      </w:pPr>
      <w:r>
        <w:rPr>
          <w:b/>
        </w:rPr>
        <w:t>Original source (2013):</w:t>
      </w:r>
      <w:r>
        <w:t xml:space="preserve"> https://doi.org/10.1016/j.enpol.2012.11.054</w:t>
      </w:r>
    </w:p>
    <w:p>
      <w:pPr/>
      <w:r>
        <w:t>Original wording (abstract; indexed_source_text_not_full_document_verified): This policy option may include CDM (Clean Development Mechanism in the sense of ‘where’-flexibility) in an extended form if there are countries without emissions caps. We carry out a detailed CGE (Computable General Equilibrium) analysis of the EU Decarbonisation Roadmap 2050 on a macroeconomic and on a sectoral level.</w:t>
      </w:r>
    </w:p>
    <w:p>
      <w:pPr/>
      <w:r>
        <w:rPr>
          <w:b/>
        </w:rPr>
        <w:t>POSSIBLE 2023:</w:t>
      </w:r>
      <w:r>
        <w:t xml:space="preserve"> Sustainability and Competition Policy in Europe: Recent Developments — https://doi.org/10.1093/jeclap/lpad032</w:t>
      </w:r>
    </w:p>
    <w:p>
      <w:pPr/>
      <w:r>
        <w:rPr>
          <w:b/>
        </w:rPr>
        <w:t>Shared claim-specific concepts:</w:t>
      </w:r>
      <w:r>
        <w:t xml:space="preserve"> without, out; EU scope visible. This is a provisional connection, not an outcome finding.</w:t>
      </w:r>
    </w:p>
    <w:p>
      <w:pPr>
        <w:pStyle w:val="SourceNote"/>
      </w:pPr>
      <w:r>
        <w:rPr>
          <w:b/>
        </w:rPr>
        <w:t>Available abstract (not full text):</w:t>
      </w:r>
      <w:r>
        <w:t xml:space="preserve"> We have made amazing progress in integrating climate change and sustainability considerations into competition policy in recent years. In 2018, this was a fringe area inhabited by nerdy eco-warriors and hipster antitrusters (like me). Who would have believed that this would be a mainstream issue in 2023 with most European competition authorities focused on it and bringing out policy statements, guidelines (and draft guidelines), and even changes to their laws. All leading legal and economic competition firms have people focused on it. This is against the background of ‘green deals’; the ever-growing recognition of the existential threat that climate change poses for humanity; and growing recognition that, whilst competition policy is not the answer to climate change, it cannot just stand aside naïvely hoping that other people and tools (regulation, technology, individual corporate initiatives, etc.) will solve all the problems. Not only must competition policy not stand in the way of the fight against climate change and the transition to a sustainable economy, it can play its part in achieving this. This survey is structured as follows: The relationship between sustainability and competition policy. The new EU guidelines on sustainability cooperation. Initiatives on sustainability and competition beyond the EU. A look at some recent antitrust cases. Some challenges for the futu</w:t>
      </w:r>
    </w:p>
    <w:p>
      <w:pPr/>
      <w:r>
        <w:rPr>
          <w:b/>
        </w:rPr>
        <w:t>POSSIBLE 2023:</w:t>
      </w:r>
      <w:r>
        <w:t xml:space="preserve"> 4.N. Round table: Policy options for fixing the global and European health and care workforce-crisis — https://doi.org/10.1093/eurpub/ckad160.260</w:t>
      </w:r>
    </w:p>
    <w:p>
      <w:pPr/>
      <w:r>
        <w:rPr>
          <w:b/>
        </w:rPr>
        <w:t>Shared claim-specific concepts:</w:t>
      </w:r>
      <w:r>
        <w:t xml:space="preserve"> include, there, countries; EU scope visible. This is a provisional connection, not an outcome finding.</w:t>
      </w:r>
    </w:p>
    <w:p>
      <w:pPr>
        <w:pStyle w:val="SourceNote"/>
      </w:pPr>
      <w:r>
        <w:rPr>
          <w:b/>
        </w:rPr>
        <w:t>Available abstract (not full text):</w:t>
      </w:r>
      <w:r>
        <w:t xml:space="preserve"> Abstract Globally and within Europe, health systems are plagued by health and care workforce (HCWF) shortages, regional maldistribution, and skill-gaps. Insufficient training pipelines for health and care workers (HCW), attrition, discouraging working conditions and, in Europe, the demographics are contributing factors to the HCWF-crisis. This situation has been aggravated by the impact of COVID-19 and its immense burden on HCW's resulting in a further thinning of the HCWF. Despite these challenges, there are also many lessons to be learned from the various COVID-19 health systems responses in countries on improving the situation for the HCWF. National responses to COVID-19 showed that the health and care workforce is capable of hugely positive change. The lessons generated offer powerful evidence on how best to develop a sustainable workforce that is equipped to deliver on the ambitions of universal health coverage (UHC), health security and the sustainable development goals (SDGs). There is, however, no simple solution or silver bullet that can resolve the crisis. The response needs to be multi-faceted. Therefore, in this roundtable discussion, we will review policy options bundled in three sets: The first set focuses on the working conditions, which include: changing the scope of practice and introducing team-based roles; increasing the use of technology and digital tools; a</w:t>
      </w:r>
    </w:p>
    <w:p>
      <w:pPr/>
      <w:r>
        <w:rPr>
          <w:b/>
        </w:rPr>
        <w:t>POSSIBLE 2022:</w:t>
      </w:r>
      <w:r>
        <w:t xml:space="preserve"> The clean development mechanism in Eastern Europe: an in-depth exploration — https://doi.org/10.1007/s11356-022-20988-3</w:t>
      </w:r>
    </w:p>
    <w:p>
      <w:pPr/>
      <w:r>
        <w:rPr>
          <w:b/>
        </w:rPr>
        <w:t>Shared claim-specific concepts:</w:t>
      </w:r>
      <w:r>
        <w:t xml:space="preserve"> cdm, clean, mechanism, there, countries, carry; EU scope visible. This is a provisional connection, not an outcome finding.</w:t>
      </w:r>
    </w:p>
    <w:p>
      <w:pPr>
        <w:pStyle w:val="SourceNote"/>
      </w:pPr>
      <w:r>
        <w:rPr>
          <w:b/>
        </w:rPr>
        <w:t>Available abstract (not full text):</w:t>
      </w:r>
      <w:r>
        <w:t xml:space="preserve"> The Clean Development Mechanism (CDM), a partnership tool founded under the Kyoto Protocol, grants potential opportunities to help developing countries achieve sustainable development. The present research examines the CDM projects in Eastern Europe (Moldova, Serbia, Bosnia and Herzegovina, Montenegro, and Albania). Although there were far fewer projects in this region than, for instance, China or India, it has some specific features that make it worth studying. Major findings are that most CDM projects in Eastern Europe involved a changing combination of two or more sources of financing, and the distribution of projects in the region was uneven. Moreover, although there was a small number of projects overall, they were all cost-effective, long-term and large-scale. The findings of the research call for improvements to be made to the governance of the CDM, by strengthening the international and national regulation of projects and by aggregating the scales of decision-making and actions so that real multi-scalar transnational governance - from the global level down to the local level - is implemented in a coherent manner. It is also recommended to carry out ex-post project evaluations, following which readjustments could be made.</w:t>
      </w:r>
    </w:p>
    <w:p>
      <w:pPr/>
      <w:r>
        <w:rPr>
          <w:b/>
        </w:rPr>
        <w:t>POSSIBLE 2020:</w:t>
      </w:r>
      <w:r>
        <w:t xml:space="preserve"> Preventing Harmful Internet Use-Related Addiction Problems in Europe: A Literature Review and Policy Options — https://doi.org/10.3390/ijerph17113797</w:t>
      </w:r>
    </w:p>
    <w:p>
      <w:pPr/>
      <w:r>
        <w:rPr>
          <w:b/>
        </w:rPr>
        <w:t>Shared claim-specific concepts:</w:t>
      </w:r>
      <w:r>
        <w:t xml:space="preserve"> countries, detailed; EU scope visible. This is a provisional connection, not an outcome finding.</w:t>
      </w:r>
    </w:p>
    <w:p>
      <w:pPr>
        <w:pStyle w:val="SourceNote"/>
      </w:pPr>
      <w:r>
        <w:rPr>
          <w:b/>
        </w:rPr>
        <w:t>Available abstract (not full text):</w:t>
      </w:r>
      <w:r>
        <w:t xml:space="preserve"> Internet use-related addiction problems are increasingly being recognized on a European scale due to international health organizations considering gaming addiction. In April 2013, the American Psychiatric Association recognized Internet Gaming Disorder in the fifth Diagnostic and Statistical Manual of Mental Disorders, and in April 2018, the World Health Organization included Gaming Disorder in the eleventh International Classification of Diseases. However, findings on these problems within this period are lacking in Europe, and a preventive approach is missing globally. A detailed critical literature review was conducted using PsycINFO and Web of Science in this five-year period. A total of 19 studies were reviewed and problems identified were: generalized Internet addiction and online gaming and gambling addictions across seven European countries (i.e., Spain, Germany, France, Italy, Greece, The Netherlands, and Denmark). The individuals with problematic use were found to be educated adolescents, usually young males with comorbid disorders, and gaming and gambling disorders were implicated in the most severe cases. Cognitive behavioral therapy was the main treatment, sometimes combined with a systemic approach for adolescents. Prevalence, high-risk populations, and factors contributing to these addiction problems are discussed, and a set of policy options are developed for t</w:t>
      </w:r>
    </w:p>
    <w:p>
      <w:pPr/>
      <w:r>
        <w:rPr>
          <w:b/>
        </w:rPr>
        <w:t>POSSIBLE 2020:</w:t>
      </w:r>
      <w:r>
        <w:t xml:space="preserve"> The demographic challenge of Eastern Europe and potential policy options — https://doi.org/10.4337/9781839109508.00028</w:t>
      </w:r>
    </w:p>
    <w:p>
      <w:pPr/>
      <w:r>
        <w:rPr>
          <w:b/>
        </w:rPr>
        <w:t>Shared claim-specific concepts:</w:t>
      </w:r>
      <w:r>
        <w:t xml:space="preserve"> include, countries; EU scope visible. This is a provisional connection, not an outcome finding.</w:t>
      </w:r>
    </w:p>
    <w:p>
      <w:pPr>
        <w:pStyle w:val="SourceNote"/>
      </w:pPr>
      <w:r>
        <w:rPr>
          <w:b/>
        </w:rPr>
        <w:t>Available abstract (not full text):</w:t>
      </w:r>
      <w:r>
        <w:t xml:space="preserve"> Eastern Europe’s economic convergence toward the West has come at a high cost. Outward migration to Western Europe was a key driver, and negative demographic trends are increasingly becoming a major socioeconomic challenge. Population projections foresee a drop in the number of inhabitants of Eastern European countries of about 5 per cent to 15 per cent over the next three decades. The available policy options to counter these demographic trends include: increasing productivity, scaling up immigration, raising activity rates or elevating fertility rates. However, the room for more female employment is rather limited in the region; the level of labour-saving robotization is still quite low, when compared to Western Europe; and most countries in the region are not well prepared for the digital economy. Successfully implementing new policies to counter adverse demographic trends also depends on the functioning of institutions. Unfortunately, recent years have seen a rise of authoritarianism and state capture in Eastern Europe, with an anti-immigration stance and negative implications for institutional quality.</w:t>
      </w:r>
    </w:p>
    <w:p>
      <w:pPr/>
      <w:r>
        <w:rPr>
          <w:b/>
        </w:rPr>
        <w:t>POSSIBLE 2020:</w:t>
      </w:r>
      <w:r>
        <w:t xml:space="preserve"> Reforestation policy has constrained options for managing risks on public forests — https://doi.org/10.1139/cjfr-2019-0422</w:t>
      </w:r>
    </w:p>
    <w:p>
      <w:pPr/>
      <w:r>
        <w:rPr>
          <w:b/>
        </w:rPr>
        <w:t>Shared claim-specific concepts:</w:t>
      </w:r>
      <w:r>
        <w:t xml:space="preserve"> include, sense; EU scope visible. This is a provisional connection, not an outcome finding.</w:t>
      </w:r>
    </w:p>
    <w:p>
      <w:pPr>
        <w:pStyle w:val="SourceNote"/>
      </w:pPr>
      <w:r>
        <w:rPr>
          <w:b/>
        </w:rPr>
        <w:t>Available abstract (not full text):</w:t>
      </w:r>
      <w:r>
        <w:t xml:space="preserve"> Strict forest renewal policies in western Canada focus on replicating the stand type that was cut and projecting the growth of young stands forward using simple models based upon past growing conditions. These policies arose from European principles of sustained yield and now limit options for adaptive management at the time of investment in forest renewal of public lands. We assert that such simple and restrictive policies, combined with long-term yield predictions, give a false sense of sustainability in times of increased drought, fires, and insect and disease attacks that accompany climate change. We must undertake comprehensive changes in forest policy that incorporate disturbance in our forest management planning. This is a large task! Options include (i) zoning public forests to vary intensities of management and minimize risk; (ii) changing stand- and forest-level models to increase the diversity of forests regenerated; (iii) widening the sphere of scientific experts that can influence forest policy and risk management; and (iv) reallocating expenditures on forest renewal, protection, and management to minimize negative impacts of disturbance. Such a comprehensive overhaul of forest management will be necessary as the current assumptions of forest sustainability come under further scrutiny by the public and investors.</w:t>
      </w:r>
    </w:p>
    <w:p>
      <w:pPr/>
      <w:r>
        <w:rPr>
          <w:b/>
        </w:rPr>
        <w:t>POSSIBLE 2019:</w:t>
      </w:r>
      <w:r>
        <w:t xml:space="preserve"> Economic polarisation in Europe: Causes and policy options — https://openalex.org/W3015815101</w:t>
      </w:r>
    </w:p>
    <w:p>
      <w:pPr/>
      <w:r>
        <w:rPr>
          <w:b/>
        </w:rPr>
        <w:t>Shared claim-specific concepts:</w:t>
      </w:r>
      <w:r>
        <w:t xml:space="preserve"> countries, without; EU scope visible. This is a provisional connection, not an outcome finding.</w:t>
      </w:r>
    </w:p>
    <w:p>
      <w:pPr>
        <w:pStyle w:val="SourceNote"/>
      </w:pPr>
      <w:r>
        <w:rPr>
          <w:b/>
        </w:rPr>
        <w:t>Available abstract (not full text):</w:t>
      </w:r>
      <w:r>
        <w:t xml:space="preserve"> This study discusses the challenges economic policy-makers in Europe have to cope with in order to ensure an economically prosperous and institutionally stable community of Member States of the European Union (EU). At the analytical level, we not only document a process of multi-dimensional polarisation of EU countries, but also link the existing economic divergences with a central long-term problem, namely structural polarisation: differences in the institutional and legal embedding (e.g. in the areas of tax and corporate law, the labour market or the financial sector) and technological capabilities are a major driver of divergence in living standards between some Member States. This polarisation, which started already before the financial crisis but has intensified over the last ten years, is largely due to the global as well as European 'race for the best location'. Without coordinated and cooperative intervention by economic policy-makers, a further drifting apart of economic development paths seems unavoidable. The large differences in the production structures of the EU countries and the resulting highly unequal distribution of technological capabilities are self-reinforcing in nature and would further intensify polarisation. The present study provides proposals for a coherent European overall strategy that not only addresses existing problems and makes possible the often</w:t>
      </w:r>
    </w:p>
    <w:p>
      <w:pPr/>
      <w:r>
        <w:rPr>
          <w:b/>
        </w:rPr>
        <w:t>POSSIBLE 2019:</w:t>
      </w:r>
      <w:r>
        <w:t xml:space="preserve"> Drought Management Planning Policy: From Europe to Spain — https://doi.org/10.3390/su11071862</w:t>
      </w:r>
    </w:p>
    <w:p>
      <w:pPr/>
      <w:r>
        <w:rPr>
          <w:b/>
        </w:rPr>
        <w:t>Shared claim-specific concepts:</w:t>
      </w:r>
      <w:r>
        <w:t xml:space="preserve"> include, countries, out; EU scope visible. This is a provisional connection, not an outcome finding.</w:t>
      </w:r>
    </w:p>
    <w:p>
      <w:pPr>
        <w:pStyle w:val="SourceNote"/>
      </w:pPr>
      <w:r>
        <w:rPr>
          <w:b/>
        </w:rPr>
        <w:t>Available abstract (not full text):</w:t>
      </w:r>
      <w:r>
        <w:t xml:space="preserve"> Climate change is anticipated to exacerbate the frequency, the intensity, and the duration of droughts, especially in Mediterranean countries. This might lead to more serious water scarcity episodes and fierce competition among water users. Are we really prepared to deal efficiently with droughts and water scarcity events? This paper sheds light on this question by reviewing the evolution of European drought management planning policy, recently developed scientific and technical advances, technical guidance documents, and an extensive number of journal papers. More specifically, Spain presents an ideal context to assess how drought risk has been historically addressed because this country has periodically suffered the impacts of intense droughts and water scarcity episodes, and has developed a long track record in water legislation, hydrological planning, and drought risk management strategies. The most recent Drought Management Plans (DMPs) were approved in December 2018. These include an innovative common diagnosis system that distinguishes droughts and water scarcity situations in terms of indicators, triggers, phases, and actions. We can conclude that DMP should be a live and active document able to integrate updated knowledge. The DMP needs also to set out a clear strategy in terms of water use priorities, drought monitoring systems, and measures in each river basin in ord</w:t>
      </w:r>
    </w:p>
    <w:p>
      <w:pPr/>
      <w:r>
        <w:rPr>
          <w:b/>
        </w:rPr>
        <w:t>POSSIBLE 2018:</w:t>
      </w:r>
      <w:r>
        <w:t xml:space="preserve"> Stock option taxation: a missing piece in European innovation policy? — https://doi.org/10.1007/s11187-018-0008-6</w:t>
      </w:r>
    </w:p>
    <w:p>
      <w:pPr/>
      <w:r>
        <w:rPr>
          <w:b/>
        </w:rPr>
        <w:t>Shared claim-specific concepts:</w:t>
      </w:r>
      <w:r>
        <w:t xml:space="preserve"> option, countries, without; EU scope visible. This is a provisional connection, not an outcome finding.</w:t>
      </w:r>
    </w:p>
    <w:p>
      <w:pPr>
        <w:pStyle w:val="SourceNote"/>
      </w:pPr>
      <w:r>
        <w:rPr>
          <w:b/>
        </w:rPr>
        <w:t>Available abstract (not full text):</w:t>
      </w:r>
      <w:r>
        <w:t xml:space="preserve"> Europe continues to lag behind the USA in venture capital (VC) activity and in the creation of successful startups, and has recently been surpassed by China. This is despite the fact that many European countries have deep financial markets, strong legal institutions, and high R&amp;D spending. We point to the tax treatment of employee stock options as an explanation for the stronger growth of the US VC sector. As a response to high uncertainty and transaction costs, VC financiers have developed a model in which founders and key recruitments are compensated with stock options under complex contracts. Low tax rates on employee stock options further raise the relative returns of working and investing in innovative entrepreneurial firms, and shift financial capital and talent to that sector. We measure the effective tax on stock options in VC-backed entrepreneurial firms in a number of developed economies. Countries with lower stock option taxation have higher VC activity and more high-growth expectation entrepreneurial activity. Based on these associations and the theoretical and empirical literature, we argue that more lenient taxation of gains on employee stock options can be a strategy for European countries to catch up in entrepreneurial finance. This tax policy would narrowly target entrepreneurial startups without requiring broad tax cuts. The favorable tax treatment of stock op</w:t>
      </w:r>
    </w:p>
    <w:p>
      <w:pPr/>
      <w:r>
        <w:rPr>
          <w:b/>
        </w:rPr>
        <w:t>POSSIBLE 2018:</w:t>
      </w:r>
      <w:r>
        <w:t xml:space="preserve"> The European Court of Justice and the Policy Process — https://doi.org/10.1093/oso/9780198717775.001.0001</w:t>
      </w:r>
    </w:p>
    <w:p>
      <w:pPr/>
      <w:r>
        <w:rPr>
          <w:b/>
        </w:rPr>
        <w:t>Shared claim-specific concepts:</w:t>
      </w:r>
      <w:r>
        <w:t xml:space="preserve"> detailed, general; EU scope visible. This is a provisional connection, not an outcome finding.</w:t>
      </w:r>
    </w:p>
    <w:p>
      <w:pPr>
        <w:pStyle w:val="SourceNote"/>
      </w:pPr>
      <w:r>
        <w:rPr>
          <w:b/>
        </w:rPr>
        <w:t>Available abstract (not full text):</w:t>
      </w:r>
      <w:r>
        <w:t xml:space="preserve"> Abstract The European Court of Justice is one of the most important actors in the process of European integration. Political science still struggles to understand its significance, with recent scholarship emphasizing how closely rulings reflect member states’ preferences. In this book, I argue that the implications of the supremacy and direct effect of the EU law have still been overlooked. As it constitutionalizes an intergovernmental treaty, the European Union has a detailed set of policies inscribed into its constitution that are extensively shaped by the Court’s case law. If rulings have constitutional status, their impact is considerable, even if the Court only occasionally diverts from member states’ preferences. By focusing on the four freedoms of goods, services, persons, and capital, as well as citizenship rights, the book analyses how the Court’s development of case law has ascribed a broad meaning to these freedoms. The constitutional status of this case law constrains policymaking at the European and member-state levels. Different case studies show how major pieces of EU legislation cannot move beyond case law but have to codify its principles. Judicialization is important in the EU. It also directly constrains member-state policies. Court rulings oriented towards individual disputes are difficult to translate into general policies, and into administrative practices</w:t>
      </w:r>
    </w:p>
    <w:p>
      <w:pPr/>
      <w:r>
        <w:rPr>
          <w:b/>
        </w:rPr>
        <w:t>POSSIBLE 2015:</w:t>
      </w:r>
      <w:r>
        <w:t xml:space="preserve"> Residential heating with wood and coal: health impacts and policy options in Europe and North America — https://openalex.org/W2240014870</w:t>
      </w:r>
    </w:p>
    <w:p>
      <w:pPr/>
      <w:r>
        <w:rPr>
          <w:b/>
        </w:rPr>
        <w:t>Shared claim-specific concepts:</w:t>
      </w:r>
      <w:r>
        <w:t xml:space="preserve"> without, emissions; EU scope visible. This is a provisional connection, not an outcome finding.</w:t>
      </w:r>
    </w:p>
    <w:p>
      <w:pPr>
        <w:pStyle w:val="SourceNote"/>
      </w:pPr>
      <w:r>
        <w:rPr>
          <w:b/>
        </w:rPr>
        <w:t>Available abstract (not full text):</w:t>
      </w:r>
      <w:r>
        <w:t xml:space="preserve"> Residential heating with wood and coal is an important source of ambient (outdoor) air pollution; it can also cause substantial indoor air pollution through either direct exposure or infiltration from outside.Evidence links emissions from wood and coal heating to serious health effects such as respiratory and cardiovascular mortality and morbidity.Wood and coal burning also emit carcinogenic compounds.The results presented in the report indicate that it will be difficult to tackle outdoor air pollution problems in many parts of the world without addressing this source sector.A better understanding of the role of wood biomass heating as a major source of globally harmful outdoor air pollutants (especially fine particles) is needed among national, regional and local administrations, politicians and the public at large.</w:t>
      </w:r>
    </w:p>
    <w:p>
      <w:pPr/>
      <w:r>
        <w:rPr>
          <w:b/>
        </w:rPr>
        <w:t>POSSIBLE 2015:</w:t>
      </w:r>
      <w:r>
        <w:t xml:space="preserve"> Towards a European Policy for Rewilding — https://doi.org/10.1007/978-3-319-12039-3_11</w:t>
      </w:r>
    </w:p>
    <w:p>
      <w:pPr/>
      <w:r>
        <w:rPr>
          <w:b/>
        </w:rPr>
        <w:t>Shared claim-specific concepts:</w:t>
      </w:r>
      <w:r>
        <w:t xml:space="preserve"> option, include; EU scope visible. This is a provisional connection, not an outcome finding.</w:t>
      </w:r>
    </w:p>
    <w:p>
      <w:pPr>
        <w:pStyle w:val="SourceNote"/>
      </w:pPr>
      <w:r>
        <w:rPr>
          <w:b/>
        </w:rPr>
        <w:t>Available abstract (not full text):</w:t>
      </w:r>
      <w:r>
        <w:t xml:space="preserve"> Millions of hectares of agricultural land could be released from human pressure within the next decades in Europe. Rewilding presents a great opportunity to restore the abandoned landscapes, along with the biodiversity and the supply of those ecosystem services that were until now restricted to the remaining few wild areas of the continent. As a result, rewilding is in a dire need of a policy framework in the European Union, to promote its implementation as a land management option, to evaluate its outcomes, and to share knowledge and good practices among stakeholders. In this chapter, we review the history of conservation policies and protected areas in the EU, the implementation of the Natura 2000 Network being one of the major milestones. We also discuss the role of conservation in sectoral activities such as agriculture. We present the growing importance given to wilderness areas and the inclusion of wilderness management into European policies. We then evaluate the contribution of wilderness and rewilding to the achievement of global and EU targets. Finally, recommendations are made to efficiently and adequately include rewilding into the European framework of conservation policies.</w:t>
      </w:r>
    </w:p>
    <w:p>
      <w:pPr>
        <w:pStyle w:val="Heading2"/>
      </w:pPr>
      <w:r>
        <w:t>966. The European Unions Strategic Gas Supply Options and the Prevalence of the Southern Corridor</w:t>
      </w:r>
    </w:p>
    <w:p>
      <w:pPr>
        <w:pStyle w:val="SourceNote"/>
      </w:pPr>
      <w:r>
        <w:rPr>
          <w:b/>
        </w:rPr>
        <w:t>Original source (2013):</w:t>
      </w:r>
      <w:r>
        <w:t xml:space="preserve"> https://doi.org/10.54648/eerr2013040</w:t>
      </w:r>
    </w:p>
    <w:p>
      <w:pPr/>
      <w:r>
        <w:t>Original wording (abstract; indexed_source_text_not_full_document_verified): Current estimates predict the EU will need to import up to 80% of the gas it will consume in 2030.Already there is a strong concern about its reliance on Russian gas, especially in Eastern European countries.</w:t>
      </w:r>
    </w:p>
    <w:p>
      <w:pPr/>
      <w:r>
        <w:rPr>
          <w:b/>
        </w:rPr>
        <w:t>POSSIBLE 2025:</w:t>
      </w:r>
      <w:r>
        <w:t xml:space="preserve"> Predicting and preventing preterm birth in Europe: current challenges and gaps — https://doi.org/10.1080/14767058.2025.2547687</w:t>
      </w:r>
    </w:p>
    <w:p>
      <w:pPr/>
      <w:r>
        <w:rPr>
          <w:b/>
        </w:rPr>
        <w:t>Shared claim-specific concepts:</w:t>
      </w:r>
      <w:r>
        <w:t xml:space="preserve"> current, predict, need, concern; EU scope visible. This is a provisional connection, not an outcome finding.</w:t>
      </w:r>
    </w:p>
    <w:p>
      <w:pPr>
        <w:pStyle w:val="SourceNote"/>
      </w:pPr>
      <w:r>
        <w:rPr>
          <w:b/>
        </w:rPr>
        <w:t>Available abstract (not full text):</w:t>
      </w:r>
      <w:r>
        <w:t xml:space="preserve"> OBJECTIVE: Preterm birth (PTB) remains a leading cause of neonatal morbidity and mortality across Europe despite advances in obstetric care. While PTB rates vary widely across the region, overall declines in recent decades have been limited, revealing persistent gaps in risk assessment and prevention. METHODS: Here we review current challenges and disparities in European PTB prediction and prevention, highlighting the complex constellation of maternal, fetal, environmental, and sociodemographic risk factors. RESULTS: Extending gestational age represents an opportunity to improve outcomes among pregnancies at higher PTB risk. Unfortunately, existing tools for PTB risk assessment and prevention show limited effectiveness arising from the fact that the PTB event is a frequent outcome with various underlying causes.The limitations of existing clinical prediction tools, which can only account for a minority of PTBs, underscore the need for more accurate and accessible screening methods. Although cervical length screening and some biomarkers demonstrate promise for risk stratification, they are not uniformly implemented, and the few effective interventions that risk stratification would implement lack broad consensus or standardization. These interventions, including progesterone therapy, low-dose aspirin, and lifestyle modifications, may require regional approaches reflecting popula</w:t>
      </w:r>
    </w:p>
    <w:p>
      <w:pPr/>
      <w:r>
        <w:rPr>
          <w:b/>
        </w:rPr>
        <w:t>POSSIBLE 2025:</w:t>
      </w:r>
      <w:r>
        <w:t xml:space="preserve"> Prevalence of Glaucoma in Europe and Projections to 2050 — https://doi.org/10.1016/j.ophtha.2025.06.002</w:t>
      </w:r>
    </w:p>
    <w:p>
      <w:pPr/>
      <w:r>
        <w:rPr>
          <w:b/>
        </w:rPr>
        <w:t>Shared claim-specific concepts:</w:t>
      </w:r>
      <w:r>
        <w:t xml:space="preserve"> current, estimates, predict; EU scope visible. This is a provisional connection, not an outcome finding.</w:t>
      </w:r>
    </w:p>
    <w:p>
      <w:pPr>
        <w:pStyle w:val="SourceNote"/>
      </w:pPr>
      <w:r>
        <w:rPr>
          <w:b/>
        </w:rPr>
        <w:t>Available abstract (not full text):</w:t>
      </w:r>
      <w:r>
        <w:t xml:space="preserve"> PURPOSE: To provide updated glaucoma prevalence estimates and to quantify the current and future burden of disease in Europe. DESIGN: Two-stage, individual participant data meta-analysis. PARTICIPANTS: We included 55 415 adults ≥40 years of age (mean age, 65.6 years; 53.9% women) from 14 population-based studies (1991-2020) with case ascertainment based on direct ophthalmic examination. METHODS: Within each study, age- and sex-stratified glaucoma prevalence was calculated, before pooling results using random-effects meta-analysis and performing age standardization. Meta-regression and subgroup analyses were used to assess for temporal trends and to investigate heterogeneity across clinically relevant subgroups. Estimates were applied to European population projections to predict the number of individuals with glaucoma. MAIN OUTCOME MEASURES: Age-standardized prevalence (European Standard Population, 2013) of total and previously undiagnosed glaucoma for individuals ≥40 years of age and annual projected number of glaucoma cases (UN World Population Prospects, 2022) in Europe to 2050. RESULTS: Overall, 2021 participants (3.65%) received a diagnosis of glaucoma with an age-standardized European prevalence of 2.99% (95% confidence interval [CI], 2.86%-3.12%). Older age (odds ratio [OR], 1.32 per 5-year increase; 95% CI, 1.29-1.36; P &lt; 0.001) and male sex (OR, 1.18; 95% CI, 1.08-1.3</w:t>
      </w:r>
    </w:p>
    <w:p>
      <w:pPr/>
      <w:r>
        <w:rPr>
          <w:b/>
        </w:rPr>
        <w:t>POSSIBLE 2024:</w:t>
      </w:r>
      <w:r>
        <w:t xml:space="preserve"> Pesticide Residues in Organic and Conventional Agricultural Soils across Europe: Measured and Predicted Concentrations — https://doi.org/10.1021/acs.est.3c09059</w:t>
      </w:r>
    </w:p>
    <w:p>
      <w:pPr/>
      <w:r>
        <w:rPr>
          <w:b/>
        </w:rPr>
        <w:t>Shared claim-specific concepts:</w:t>
      </w:r>
      <w:r>
        <w:t xml:space="preserve"> current, estimates, countries; EU scope visible. This is a provisional connection, not an outcome finding.</w:t>
      </w:r>
    </w:p>
    <w:p>
      <w:pPr>
        <w:pStyle w:val="SourceNote"/>
      </w:pPr>
      <w:r>
        <w:rPr>
          <w:b/>
        </w:rPr>
        <w:t>Available abstract (not full text):</w:t>
      </w:r>
      <w:r>
        <w:t xml:space="preserve"> High Resolution Image Download MS PowerPoint Slide During the growing season of 2021, 201 soil samples from conventionally and organically managed fields from 10 European countries and 8 cropping systems were taken, and 192 residues of synthetic pesticides were analyzed. Pesticide residues were found in 97% of the samples, and 88% of the samples contained mixtures of at least 2 substances. A maximum of 21 substances were found in conventionally managed fields, and a maximum of 12 were found in organically managed fields. The number and concentration of pesticide residues varied significantly between conventional and organic fields in 70 and 50% of the case study sites, respectively. Application records were available for a selected number of fields ( n = 82), and these records were compared to the detected substances. Residues from 52% of the applied pesticides were detected in the soils. Only 21% of the pesticide residues detected in the soil samples were applied during the 2021 growing season. From the application data, predicted environmental concentrations of residues in soil were calculated and compared to the measured concentrations. These estimates turned out not to be accurate. The results of this study show that most European agricultural soils contain mixtures of pesticide residues and that current calculation methods may not reliably estimate their presence.</w:t>
      </w:r>
    </w:p>
    <w:p>
      <w:pPr/>
      <w:r>
        <w:rPr>
          <w:b/>
        </w:rPr>
        <w:t>POSSIBLE 2023:</w:t>
      </w:r>
      <w:r>
        <w:t xml:space="preserve"> European Gas Market Restructuring: Interests of Importing Countries and Gas Exporting Companies — https://doi.org/10.20542/0131-2227-2023-67-8-48-59</w:t>
      </w:r>
    </w:p>
    <w:p>
      <w:pPr/>
      <w:r>
        <w:rPr>
          <w:b/>
        </w:rPr>
        <w:t>Shared claim-specific concepts:</w:t>
      </w:r>
      <w:r>
        <w:t xml:space="preserve"> gas, russian, countries; EU scope visible. This is a provisional connection, not an outcome finding.</w:t>
      </w:r>
    </w:p>
    <w:p>
      <w:pPr>
        <w:pStyle w:val="SourceNote"/>
      </w:pPr>
      <w:r>
        <w:rPr>
          <w:b/>
        </w:rPr>
        <w:t>Available abstract (not full text):</w:t>
      </w:r>
      <w:r>
        <w:t xml:space="preserve"> The article focuses on the process of restructuring the natural gas market in Europe. It is shown that the transformation of the European gas market is taking place under the decisive influence of the political decision of the European Commission and the governments of the EU largest gas consuming countries, first, to reduce gas consumption as much as possible in the shortest time; second, to replace Russian gas with imports from alternative sources. As both tasks have the highest priority, the EU countries act within the framework of political, not market logic, regardless of significant economic costs. To hedge against very high gas prices EU introduced since 15 February 2023 the market correction mechanism, capping the price of gas from the above. It is also expected the mandatory filling of gas storage facilities to at least 90% of their capacity before the winter season since 2023 would pressure gas prices downwards. Natural gas exporting companies operate within a system of market coordinates and are ready to participate in the process of transforming the European natural gas market only to the extent that does not contradict their economic interests. The politicization of gas cooperation between the EU and the US at the interstate level cannot change the market behavior of companies. Given the uncertainty regarding the perspective demand for gas in Europe, gas exporting </w:t>
      </w:r>
    </w:p>
    <w:p>
      <w:pPr/>
      <w:r>
        <w:rPr>
          <w:b/>
        </w:rPr>
        <w:t>POSSIBLE 2022:</w:t>
      </w:r>
      <w:r>
        <w:t xml:space="preserve"> European Economic impacts of cutting energy imports from Russia: A computable general equilibrium analysis — https://doi.org/10.1016/j.esr.2022.101006</w:t>
      </w:r>
    </w:p>
    <w:p>
      <w:pPr/>
      <w:r>
        <w:rPr>
          <w:b/>
        </w:rPr>
        <w:t>Shared claim-specific concepts:</w:t>
      </w:r>
      <w:r>
        <w:t xml:space="preserve"> current, import, gas, strong, russian, especially; EU scope visible. This is a provisional connection, not an outcome finding.</w:t>
      </w:r>
    </w:p>
    <w:p>
      <w:pPr>
        <w:pStyle w:val="SourceNote"/>
      </w:pPr>
      <w:r>
        <w:rPr>
          <w:b/>
        </w:rPr>
        <w:t>Available abstract (not full text):</w:t>
      </w:r>
      <w:r>
        <w:t xml:space="preserve"> The recent economic sanctions against Russia can jeopardize the sustainability of the European Union’s (EU) energy supply. Despite the EU’s strong commitment to stringent abatement targets, fossil fuels still play a significant role in the EU energy policy. And high dependency on Russian energy supplies underlines the vulnerability of the EU energy security. Using a global computable general equilibrium model, we prove that the current EU embargo on coal and oil imported from Russia will have adverse supply effects, substantially increasing energy prices and welfare costs for the EU resident. Although it reduces emissions, extending the embargo to include natural gas doubles this welfare cost. The use of coal is likely to increase, especially in EU electricity generation, given the current constraints of additional import capacities from non-Russian producers. For Russia, a more substantial depreciation of the ruble because of the cut in natural gas exports to the EU could stimulate higher exports outside the EU, potentially easing its welfare loss.</w:t>
      </w:r>
    </w:p>
    <w:p>
      <w:pPr/>
      <w:r>
        <w:rPr>
          <w:b/>
        </w:rPr>
        <w:t>POSSIBLE 2020:</w:t>
      </w:r>
      <w:r>
        <w:t xml:space="preserve"> Methane emissions from natural gas and LNG imports: An increasingly urgent issue for the future of gas in Europe — https://openalex.org/W3129629820</w:t>
      </w:r>
    </w:p>
    <w:p>
      <w:pPr/>
      <w:r>
        <w:rPr>
          <w:b/>
        </w:rPr>
        <w:t>Shared claim-specific concepts:</w:t>
      </w:r>
      <w:r>
        <w:t xml:space="preserve"> import, gas, already, there, countries; EU scope visible. This is a provisional connection, not an outcome finding.</w:t>
      </w:r>
    </w:p>
    <w:p>
      <w:pPr>
        <w:pStyle w:val="SourceNote"/>
      </w:pPr>
      <w:r>
        <w:rPr>
          <w:b/>
        </w:rPr>
        <w:t>Available abstract (not full text):</w:t>
      </w:r>
      <w:r>
        <w:t xml:space="preserve"> Pressure is mounting on the natural gas and LNG community to reduce methane emissions and this is most urgent in EU countries following the adoption of much tougher greenhouse gas reduction targets of 2030 and the publication of the European Commission's Methane Strategy. With rapidly declining indigenous EU production and therefore rising import dependence, there are increasing calls for emissions from imported pipeline gas and LNG to be quantified and based on actual measurements, as opposed to standard emission factors. The Methane Strategy promises to be a significant milestone in that process. Companies which are supplying (or intending to supply) natural gas to the EU - the largest global import market for pipeline gas and a very significant market for LNG - would be well advised to pay close attention to how the regulation of methane emissions is unfolding, and to make an immediate and positive response. Failure to do so could accelerate the demise of natural gas in European energy balances faster than would otherwise have been the case, and shorten the time available for transition to decarbonised gases - specifically hydrogen - using existing natural gas infrastructure. This EU initiative will (and arguably already has) attracted attention from non-EU governments and companies involved in global gas and LNG trade. We have already seen deliveries of 'carbon neutral' LNG</w:t>
      </w:r>
    </w:p>
    <w:p>
      <w:pPr/>
      <w:r>
        <w:rPr>
          <w:b/>
        </w:rPr>
        <w:t>POSSIBLE 2020:</w:t>
      </w:r>
      <w:r>
        <w:t xml:space="preserve"> The dilemma of gas importing and exporting countries — https://doi.org/10.26889/9781784671624</w:t>
      </w:r>
    </w:p>
    <w:p>
      <w:pPr/>
      <w:r>
        <w:rPr>
          <w:b/>
        </w:rPr>
        <w:t>Shared claim-specific concepts:</w:t>
      </w:r>
      <w:r>
        <w:t xml:space="preserve"> gas, there, especially, countries; EU scope not established. This is a provisional connection, not an outcome finding.</w:t>
      </w:r>
    </w:p>
    <w:p>
      <w:pPr>
        <w:pStyle w:val="SourceNote"/>
      </w:pPr>
      <w:r>
        <w:rPr>
          <w:b/>
        </w:rPr>
        <w:t>Available abstract (not full text):</w:t>
      </w:r>
      <w:r>
        <w:t xml:space="preserve"> At a time of low prices and an apparent surplus of supply in the global gas market it is important to try and identify new sources of demand, especially for LNG. In this respect, one interesting theme is how some countries are switching from their traditional role as LNG exporters to becoming importers of gas as their indigenous demand grows. Ieda Gomes explores this concept using the case studies of Malaysia and Indonesia, and she attempts to identify the key drivers behind the shifts in the gas economies of both countries. Significantly, though, there are also a few countries where gas has an existing role in the domestic energy economy, and which have historically imported gas, which have now found new gas resources and are starting to export. A prime example of this is Argentina, where the discovery of large shale gas resources has led to a gas surplus and the opportunity to generate export revenues. This paper analyses this example as a contrast to the first two and examines whether it is a sustainable situation. Overall, we believe that this paper can provide some important insights into the factors which can influence the position of gas in a country’s energy balance, especially if the prevalence of hydrocarbons has created a dependency via subsidies prices or other politically-driven strategies. There are a number of other examples around the world where the demands of </w:t>
      </w:r>
    </w:p>
    <w:p>
      <w:pPr/>
      <w:r>
        <w:rPr>
          <w:b/>
        </w:rPr>
        <w:t>POSSIBLE 2019:</w:t>
      </w:r>
      <w:r>
        <w:t xml:space="preserve"> Assessment of IMERG Precipitation Estimates over Europe — https://doi.org/10.3390/rs11212470</w:t>
      </w:r>
    </w:p>
    <w:p>
      <w:pPr/>
      <w:r>
        <w:rPr>
          <w:b/>
        </w:rPr>
        <w:t>Shared claim-specific concepts:</w:t>
      </w:r>
      <w:r>
        <w:t xml:space="preserve"> estimates, there, eastern; EU scope visible. This is a provisional connection, not an outcome finding.</w:t>
      </w:r>
    </w:p>
    <w:p>
      <w:pPr>
        <w:pStyle w:val="SourceNote"/>
      </w:pPr>
      <w:r>
        <w:rPr>
          <w:b/>
        </w:rPr>
        <w:t>Available abstract (not full text):</w:t>
      </w:r>
      <w:r>
        <w:t xml:space="preserve"> This paper evaluates Integrated Multi-Satellite Retrievals from GPM (IMERG-F) over Europe for the period 2014–2018 in order to evaluate application of the retrievals to hydrology. IMERG-F is compared with a large pan-European precipitation dataset built on rain gauge stations, i.e., the ENSEMBLES OBServation (E-OBS) gridded dataset. Although there is overall agreement in the spatial distribution of mean precipitation (R2 = 0.8), important discrepancies are revealed in mountainous regions, specifically the Alps, Pyrenees, west coast of the British Isles, Scandinavia, the Iberian and Italian peninsulas, and the Adriatic coastline. The results show that the strongest contributors to poor performance are pixels where IMERG-F has no gauges available for adjustment. If rain gauges are available, IMERG-F yields results similar to those of the surface observations, although the performance varies by region. However, even accounting for gauge adjustment, IMERG-F systematically underestimates precipitation in the Alps and Scandinavian mountains. Conversely, IMERG-F overestimates precipitation in the British Isles, Italian Peninsula, Adriatic coastline, and eastern European plains. Additionally, the research shows that gauge adjustment worsens the spatial gradient of precipitation because of the coarse resolution of Global Precipitation Climatology Centre data.</w:t>
      </w:r>
    </w:p>
    <w:p>
      <w:pPr/>
      <w:r>
        <w:rPr>
          <w:b/>
        </w:rPr>
        <w:t>POSSIBLE 2018:</w:t>
      </w:r>
      <w:r>
        <w:t xml:space="preserve"> Predicting Medical Students’ Current Attitudes Toward Psychiatry, Interest in Psychiatry, and Estimated Likelihood of Working in Psychiatry: A Cross-Sectional Study in Four European Countries — https://doi.org/10.3389/fpsyt.2018.00049</w:t>
      </w:r>
    </w:p>
    <w:p>
      <w:pPr/>
      <w:r>
        <w:rPr>
          <w:b/>
        </w:rPr>
        <w:t>Shared claim-specific concepts:</w:t>
      </w:r>
      <w:r>
        <w:t xml:space="preserve"> current, need, there, countries; EU scope visible. This is a provisional connection, not an outcome finding.</w:t>
      </w:r>
    </w:p>
    <w:p>
      <w:pPr>
        <w:pStyle w:val="SourceNote"/>
      </w:pPr>
      <w:r>
        <w:rPr>
          <w:b/>
        </w:rPr>
        <w:t>Available abstract (not full text):</w:t>
      </w:r>
      <w:r>
        <w:t xml:space="preserve"> Psychiatry as a medical discipline is becoming increasingly important due to the high and increasing world-wide burden associated with mental disorders. Surprisingly, however, there is a lack of young academics choosing psychiatry as a career. Previous evidence on medical students’ perspectives is abundant but has methodological shortcomings. Therefore, by attempting to avoid previous shortcomings, we aimed to contribute to a better understanding of the predictors of the following three outcome variables: current medical students’ attitudes towards psychiatry, interest in psychiatry and estimated likelihood of working in psychiatry. The sample consisted of N = 1356 medical students at 45 medical schools in Germany and Austria as well as regions of Switzerland and Hungary with a German language curriculum. We used snowball sampling via Facebook with a link to an online questionnaire as recruitment procedure. Snowball sampling is based on referrals made among people. This questionnaire included a German version of the Attitudes Towards Psychiatry Scale (ATP-30-G) and further variables related to outcomes and potential predictors in terms of sociodemography (e.g. gender) or medical training (e.g. curriculum-related experience with psychiatry). Data were analysed by linear mixed models and further regression models. On average, students had a positive attitude to and high general i</w:t>
      </w:r>
    </w:p>
    <w:p>
      <w:pPr/>
      <w:r>
        <w:rPr>
          <w:b/>
        </w:rPr>
        <w:t>POSSIBLE 2018:</w:t>
      </w:r>
      <w:r>
        <w:t xml:space="preserve"> Annual number of candidates for transcatheter aortic valve implantation per country: current estimates and future projections — https://doi.org/10.1093/eurheartj/ehy107</w:t>
      </w:r>
    </w:p>
    <w:p>
      <w:pPr/>
      <w:r>
        <w:rPr>
          <w:b/>
        </w:rPr>
        <w:t>Shared claim-specific concepts:</w:t>
      </w:r>
      <w:r>
        <w:t xml:space="preserve"> current, estimates, predict, countries; EU scope visible. This is a provisional connection, not an outcome finding.</w:t>
      </w:r>
    </w:p>
    <w:p>
      <w:pPr>
        <w:pStyle w:val="SourceNote"/>
      </w:pPr>
      <w:r>
        <w:rPr>
          <w:b/>
        </w:rPr>
        <w:t>Available abstract (not full text):</w:t>
      </w:r>
      <w:r>
        <w:t xml:space="preserve"> Aims: The number of transcatheter aortic valve implantation (TAVI) procedures is rapidly increasing. This has a major impact on health care resource planning. However, the annual numbers of TAVI candidates per country are unknown. The aim of this study was to estimate current and future number of annual TAVI candidates in 27 European countries, the USA and Canada. Methods and results: Systematic literature searches and meta-analyses were performed on aortic stenosis (AS) epidemiology and decision-making in severe symptomatic AS. The incidence rate of severe AS was determined. Findings were combined with population statistics and integrated into a model employing Monte Carlo simulations to predict the annual number of TAVI candidates. Various future scenarios and sensitivity analyses were explored. Data from 37 studies (n = 26 402) informed the model. The calculated incidence rate of severe AS was 4.4‰/year [95% confidence interval (95% CI) 3.0-6.1‰] in patients ≥65 years. AS-related symptoms were present in 68.3% (95% CI 60.8-75.9%) of patients with severe AS. Despite having severe symptomatic AS, 41.6% (95% CI 36.9-46.3%) did not undergo surgical aortic valve replacement. Of the non-operated patients, 61.7% (95% CI 42.0-81.7%) received TAVI. The model predicted 114 757 (95% CI 69 380-172 799) European and 58 556 (95% CI 35 631-87 738) Northern-American TAVI candidates annually</w:t>
      </w:r>
    </w:p>
    <w:p>
      <w:pPr/>
      <w:r>
        <w:rPr>
          <w:b/>
        </w:rPr>
        <w:t>POSSIBLE 2018:</w:t>
      </w:r>
      <w:r>
        <w:t xml:space="preserve"> The Influence of Imports and Exports on the Evolution of Greenhouse Gas Emissions: The Case for the European Union — https://doi.org/10.3390/en11071644</w:t>
      </w:r>
    </w:p>
    <w:p>
      <w:pPr/>
      <w:r>
        <w:rPr>
          <w:b/>
        </w:rPr>
        <w:t>Shared claim-specific concepts:</w:t>
      </w:r>
      <w:r>
        <w:t xml:space="preserve"> import, gas, countries; EU scope visible. This is a provisional connection, not an outcome finding.</w:t>
      </w:r>
    </w:p>
    <w:p>
      <w:pPr>
        <w:pStyle w:val="SourceNote"/>
      </w:pPr>
      <w:r>
        <w:rPr>
          <w:b/>
        </w:rPr>
        <w:t>Available abstract (not full text):</w:t>
      </w:r>
      <w:r>
        <w:t xml:space="preserve"> Part of a country’s emissions are caused by producing goods for export to other countries, while a country’s own needs also generate emissions in other parts of the world that are associated with the products they import. Our interest was to evaluate the influence of imports and exports of goods and services on greenhouse gas (GHG) emissions in a data panel composed of 30 countries over 21 years. We included as control variables the gross domestic product per capita, employment, an indicator of the economic crisis and a non-linear trend and inferences were performed using a Bayesian framework. The results showed that it was the exports and imports of goods, rather than services, that were related to CO2-equivalent levels. Exports and imports of goods were very inelastic, albeit less so in the case of the index. In summary, the more a country imports, the higher their GHG emission levels are. However, it is important to point out that when employment rates are higher more energy is consumed and GHG emissions are greater. In richer countries, GDP per capita is the factor that best explains why their emissions are so high.</w:t>
      </w:r>
    </w:p>
    <w:p>
      <w:pPr/>
      <w:r>
        <w:rPr>
          <w:b/>
        </w:rPr>
        <w:t>POSSIBLE 2018:</w:t>
      </w:r>
      <w:r>
        <w:t xml:space="preserve"> Anticipatory strategies for Eastern European natural gas security — https://doi.org/10.15781/t2gh9bt0w</w:t>
      </w:r>
    </w:p>
    <w:p>
      <w:pPr/>
      <w:r>
        <w:rPr>
          <w:b/>
        </w:rPr>
        <w:t>Shared claim-specific concepts:</w:t>
      </w:r>
      <w:r>
        <w:t xml:space="preserve"> import, gas, russian, eastern, countries; EU scope visible. This is a provisional connection, not an outcome finding.</w:t>
      </w:r>
    </w:p>
    <w:p>
      <w:pPr>
        <w:pStyle w:val="SourceNote"/>
      </w:pPr>
      <w:r>
        <w:rPr>
          <w:b/>
        </w:rPr>
        <w:t>Available abstract (not full text):</w:t>
      </w:r>
      <w:r>
        <w:t xml:space="preserve"> Countries asymmetrically dependent on the import of energy resources are potentially vulnerable to coercion from supplier states. Anticipating the potential for coercion, asymmetrically dependent states will make infrastructure improvements to substitute supply if the cost of these improvements is lower than the potential cost of coercion. This thesis provides a pricing framework for members of the European Union to estimate substitution strategies in order to reduce dependence on and the potential for coercion by Russia. Currently, Russia provides roughly 30% of the EU’s natural gas consumption and half of this gas is transported by pipeline through Ukraine in order to secure gas security. In 2006 and 2009, supply disruptions occurred due to a breakdown in negotiations between Russia and Ukraine, and EU members responded by constructing the necessary infrastructure to substitute Russian gas transited through Ukraine. The infrastructure improvements employed by the EU and its member states are examined to provide a pricing framework for countries still asymmetrically dependent. These strategies include LNG import facilities, new pipeline construction, reversing the flow of existing pipelines, and adding natural gas storage. This thesis applies the pricing framework to Finland and Bulgaria to evaluate which strategies would be most effective in terms of cost and the provision of</w:t>
      </w:r>
    </w:p>
    <w:p>
      <w:pPr>
        <w:pStyle w:val="Heading2"/>
      </w:pPr>
      <w:r>
        <w:t>967. Toward Identification of the Priority Lines of Research in Nanotechnology on the Basis of the Technology Foresight NT for Podlaskie 2020</w:t>
      </w:r>
    </w:p>
    <w:p>
      <w:pPr>
        <w:pStyle w:val="SourceNote"/>
      </w:pPr>
      <w:r>
        <w:rPr>
          <w:b/>
        </w:rPr>
        <w:t>Original source (2013):</w:t>
      </w:r>
      <w:r>
        <w:t xml:space="preserve"> https://doi.org/10.7763/ijiet.2013.v3.293</w:t>
      </w:r>
    </w:p>
    <w:p>
      <w:pPr/>
      <w:r>
        <w:t>Original wording (abstract; indexed_source_text_not_full_document_verified): Foresight projects have been used across the world in the process of anticipating the future by governments, regional authorities, companies and S&amp;R institutes.Foresight, together with its specific research tools and terminology, is becoming increasingly important also in Poland.From nearly 50 foresight projects implemented in Poland most of them is related with the technology and research development.The key issue of foresight methodology is to identify the key technologies/priority line of research.The paper presents a methodology of selection of priority lines of research in nanotechnology at regional scale.</w:t>
      </w:r>
    </w:p>
    <w:p>
      <w:pPr/>
      <w:r>
        <w:rPr>
          <w:b/>
        </w:rPr>
        <w:t>POSSIBLE 2025:</w:t>
      </w:r>
      <w:r>
        <w:t xml:space="preserve"> From Reaction to Foresight: EUPHA’s vision for health security in Europe — https://doi.org/10.1093/eurpub/ckaf071</w:t>
      </w:r>
    </w:p>
    <w:p>
      <w:pPr/>
      <w:r>
        <w:rPr>
          <w:b/>
        </w:rPr>
        <w:t>Shared claim-specific concepts:</w:t>
      </w:r>
      <w:r>
        <w:t xml:space="preserve"> foresight, across, increasingly, poland, nearly;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AstraNav-World: World Model for Foresight Control and Consistency — https://doi.org/10.48550/arxiv.2512.21714</w:t>
      </w:r>
    </w:p>
    <w:p>
      <w:pPr/>
      <w:r>
        <w:rPr>
          <w:b/>
        </w:rPr>
        <w:t>Shared claim-specific concepts:</w:t>
      </w:r>
      <w:r>
        <w:t xml:space="preserve"> foresight, across, world; EU scope not established. This is a provisional connection, not an outcome finding.</w:t>
      </w:r>
    </w:p>
    <w:p>
      <w:pPr>
        <w:pStyle w:val="SourceNote"/>
      </w:pPr>
      <w:r>
        <w:rPr>
          <w:b/>
        </w:rPr>
        <w:t>Available abstract (not full text):</w:t>
      </w:r>
      <w:r>
        <w:t xml:space="preserve"> Embodied navigation in open, dynamic environments demands accurate foresight of how the world will evolve and how actions will unfold over time. We propose AstraNav-World, an end-to-end world model that jointly reasons about future visual states and action sequences within a unified probabilistic framework. Our framework integrates a diffusion-based video generator with a vision-language policy, enabling synchronized rollouts where predicted scenes and planned actions are updated simultaneously. Training optimizes two complementary objectives: generating action-conditioned multi-step visual predictions and deriving trajectories conditioned on those predicted visuals. This bidirectional constraint makes visual predictions executable and keeps decisions grounded in physically consistent, task-relevant futures, mitigating cumulative errors common in decoupled "envision-then-plan" pipelines. Experiments across diverse embodied navigation benchmarks show improved trajectory accuracy and higher success rates. Ablations confirm the necessity of tight vision-action coupling and unified training, with either branch removal degrading both prediction quality and policy reliability. In real-world testing, AstraNav-World demonstrated exceptional zero-shot capabilities, adapting to previously unseen scenarios without any real-world fine-tuning. These results suggest that AstraNav-World captu</w:t>
      </w:r>
    </w:p>
    <w:p>
      <w:pPr/>
      <w:r>
        <w:rPr>
          <w:b/>
        </w:rPr>
        <w:t>POSSIBLE 2024:</w:t>
      </w:r>
      <w:r>
        <w:t xml:space="preserve"> Stakeholders and Their Participation in Foresight Projects — https://doi.org/10.17323/2500-2597.2024.1.80.91</w:t>
      </w:r>
    </w:p>
    <w:p>
      <w:pPr/>
      <w:r>
        <w:rPr>
          <w:b/>
        </w:rPr>
        <w:t>Shared claim-specific concepts:</w:t>
      </w:r>
      <w:r>
        <w:t xml:space="preserve"> foresight, projects, becoming; EU scope not established. This is a provisional connection, not an outcome finding.</w:t>
      </w:r>
    </w:p>
    <w:p>
      <w:pPr>
        <w:pStyle w:val="SourceNote"/>
      </w:pPr>
      <w:r>
        <w:rPr>
          <w:b/>
        </w:rPr>
        <w:t>Available abstract (not full text):</w:t>
      </w:r>
      <w:r>
        <w:t xml:space="preserve"> With the expansion of the scope of foresight research, the role and importance of various participants in the relevant projects and the users of their results - stakeholders - simultaneously increase. Whereas previously a significant part of foresight projects were carried out with the involvement of professional experts, in many recent studies the circle of their participants is becoming more diverse and an increasing role belongs to members of the public and other potential beneficiaries. This article explores the theory and best practices of applying the stakeholder analysis method in foresight projects, and an attempt is made to systematically characterize this approach. The place and role of various stakeholders in foresight projects are considered, the main problems, opportunities, and recommendations for using the method are assessed, and the features of its application in conjunction with other foresight methods are characterized.</w:t>
      </w:r>
    </w:p>
    <w:p>
      <w:pPr/>
      <w:r>
        <w:rPr>
          <w:b/>
        </w:rPr>
        <w:t>POSSIBLE 2024:</w:t>
      </w:r>
      <w:r>
        <w:t xml:space="preserve"> Article: Project FORESIGHT and Return on Investment — https://doi.org/10.4324/9780429318528-14</w:t>
      </w:r>
    </w:p>
    <w:p>
      <w:pPr/>
      <w:r>
        <w:rPr>
          <w:b/>
        </w:rPr>
        <w:t>Shared claim-specific concepts:</w:t>
      </w:r>
      <w:r>
        <w:t xml:space="preserve"> foresight, projects, tools; EU scope visible. This is a provisional connection, not an outcome finding.</w:t>
      </w:r>
    </w:p>
    <w:p>
      <w:pPr>
        <w:pStyle w:val="SourceNote"/>
      </w:pPr>
      <w:r>
        <w:rPr>
          <w:b/>
        </w:rPr>
        <w:t>Available abstract (not full text):</w:t>
      </w:r>
      <w:r>
        <w:t xml:space="preserve"> Forensic laboratories have experienced a growing demand for services that has far outpaced the resources allocated for the investigation of forensic evidence. European and North American projects have led to the development of managerial tools for optimizing efficiency and the cost effective delivery of forensic science services. These developments have attracted the attention of other public sector operations, including public health laboratories. The public health laboratories share many of the characteristics of the forensic science laboratory. Both sectors are dominated by the work of scientists with many of the laboratory applications using similar techniques. Observing the Project FORESIGHT developments with forensic science laboratories, the Association of Public Health Laboratories introduced a project to create data collection tools for their membership, and to offer a foundation for research into the issues and challenges facing these laboratories. We outline the progression of events where the forensic science laboratory experience has been extended to the public health laboratories. The public health laboratory project has, in turn, developed some metrics that may prove valuable to the future research of forensic science laboratories. The public health laboratory project went beyond the internal inspection of the business experience and connected the internal effici</w:t>
      </w:r>
    </w:p>
    <w:p>
      <w:pPr/>
      <w:r>
        <w:rPr>
          <w:b/>
        </w:rPr>
        <w:t>POSSIBLE 2024:</w:t>
      </w:r>
      <w:r>
        <w:t xml:space="preserve"> Applying foresight methods at the national level in the field of substance use: Experience from the DRUG-PREP project — https://doi.org/10.1093/eurpub/ckae144.540</w:t>
      </w:r>
    </w:p>
    <w:p>
      <w:pPr/>
      <w:r>
        <w:rPr>
          <w:b/>
        </w:rPr>
        <w:t>Shared claim-specific concepts:</w:t>
      </w:r>
      <w:r>
        <w:t xml:space="preserve"> foresight, used, across, regional, important, implemented; EU scope visible. This is a provisional connection, not an outcome finding.</w:t>
      </w:r>
    </w:p>
    <w:p>
      <w:pPr>
        <w:pStyle w:val="SourceNote"/>
      </w:pPr>
      <w:r>
        <w:rPr>
          <w:b/>
        </w:rPr>
        <w:t>Available abstract (not full text):</w:t>
      </w:r>
      <w:r>
        <w:t xml:space="preserve"> Abstract This presentation will focus on the experience from the DRUG-PREP project. While foresight has been used in other sectors, its implementation in the drugs field has previously remained relatively limited. The application of foresight to the drugs sphere is important in recognition of the fast-changing and intersectional nature of drugs and addiction. At the European level, a futures exercise was organized by the EMCDDA (as of July 2024 the European Union Drugs Agency, EUDA) to explore the future of drugs at the European level until 2030. In this landscape, the DRUG-PREP project implemented foresight approaches at the national level, to support preparedness of national drug monitoring and response systems. The DRUG-PREP partners carried out individual national exercises in six countries: Belgium, Czechia, Finland, Ireland, the Netherlands, and Portugal. The link to policy was a key aspect of the project, with each country organising a national dialogue to directly engage policymakers. The presentation will focus on the Belgian research. Horizon Scanning was performed to identify trends and megatrends with potential implications on the national drugs ecosystem, through a literature review. An expert workshop was organized to validate the trends and explore their implications. Subsequently, a small scenario building exercise was organised to explore the consequences of a </w:t>
      </w:r>
    </w:p>
    <w:p>
      <w:pPr/>
      <w:r>
        <w:rPr>
          <w:b/>
        </w:rPr>
        <w:t>POSSIBLE 2024:</w:t>
      </w:r>
      <w:r>
        <w:t xml:space="preserve"> Emerging Biotechnologies in Europe: Foresight for Policy — https://doi.org/10.2760/4814109</w:t>
      </w:r>
    </w:p>
    <w:p>
      <w:pPr/>
      <w:r>
        <w:rPr>
          <w:b/>
        </w:rPr>
        <w:t>Shared claim-specific concepts:</w:t>
      </w:r>
      <w:r>
        <w:t xml:space="preserve"> foresight, projects, across, regional, important;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Foresight: Fifty Years to Think Your Futures — https://doi.org/10.1007/978-3-031-66100-6_4</w:t>
      </w:r>
    </w:p>
    <w:p>
      <w:pPr/>
      <w:r>
        <w:rPr>
          <w:b/>
        </w:rPr>
        <w:t>Shared claim-specific concepts:</w:t>
      </w:r>
      <w:r>
        <w:t xml:space="preserve"> foresight, projects, used, companies, together, specific; EU scope visible. This is a provisional connection, not an outcome finding.</w:t>
      </w:r>
    </w:p>
    <w:p>
      <w:pPr>
        <w:pStyle w:val="SourceNote"/>
      </w:pPr>
      <w:r>
        <w:rPr>
          <w:b/>
        </w:rPr>
        <w:t>Available abstract (not full text):</w:t>
      </w:r>
      <w:r>
        <w:t xml:space="preserve"> Abstract Foresight started with the notion of (Science and) Technology Foresight as a part of Technology Assessment (TA) but is now an independent scientific area. For a long time, Foresight mainly aimed at detecting determined futures but has developed into different directions under different headings. Most processes make use of a combination of methods to explore and develop different possible, probable or desirable futures. Foresight is more and more embedded in different institutions. There, it is carried out together with clients, and serves their specific purposes in the preparation of decision-making or science, technology and innovation policies. It offers the space to bring the different actors in the respective innovation system together. Foresight concepts are more and more accepted, and the results are distributed and used—in companies, ministries, associations, NGOs or the European Commission. Our contribution describes how Foresight has changed during the last 50 years and explains some of the aspects researchers have addressed. We conclude by highlighting two crosscutting emerging dimensions of change in Foresight, i.e. the engagement with transformative, mission-oriented agendas and the meaningful integration of machine-based approaches. Foresighters have to be aware that not only the results of their projects change but also the methods and the actors who work</w:t>
      </w:r>
    </w:p>
    <w:p>
      <w:pPr/>
      <w:r>
        <w:rPr>
          <w:b/>
        </w:rPr>
        <w:t>POSSIBLE 2024:</w:t>
      </w:r>
      <w:r>
        <w:t xml:space="preserve"> Climate change adaptation measures in the context of health promotion using participatory foresight — https://doi.org/10.1093/eurpub/ckae144.477</w:t>
      </w:r>
    </w:p>
    <w:p>
      <w:pPr/>
      <w:r>
        <w:rPr>
          <w:b/>
        </w:rPr>
        <w:t>Shared claim-specific concepts:</w:t>
      </w:r>
      <w:r>
        <w:t xml:space="preserve"> foresight, across, process, regional; EU scope visible. This is a provisional connection, not an outcome finding.</w:t>
      </w:r>
    </w:p>
    <w:p>
      <w:pPr>
        <w:pStyle w:val="SourceNote"/>
      </w:pPr>
      <w:r>
        <w:rPr>
          <w:b/>
        </w:rPr>
        <w:t>Available abstract (not full text):</w:t>
      </w:r>
      <w:r>
        <w:t xml:space="preserve"> Abstract Issue/problem Climate change is regarded as a big threat to human health (WHO 2023), requiring action to prepare our health systems. Using participatory foresight approach has the potential to increase capacities of communities and to sustain future health. The process is easily transferable to other regions or countries across Europe. The work is part of the Austrian “Climate-Resilience-Check Health for regions and municipalities”. Description of the problem We present an innovative qualitative method to contribute to a climate change and health vulnerability and adaptation assessment following WHO’s guidelines. Questions answered by the project were: • What measures can be taken to shape the regions’ potential for a health-promoting lifestyle and to increase climate resilience? • Does participatory foresight represent a well-suited method to develop climate adaptation measures which address local needs? Taking place between 10/23 to 12/23, the participatory foresight process consisted of (1) a foresight-workshop facilitating development of adaptation measures through the creation of personas and (2) intervention boards, which gave the broader population the opportunity to vote for measures developed in the workshop. The aim of the approach was to identify measures that receive approval within the population. Results The participatory foresight process highlighted the</w:t>
      </w:r>
    </w:p>
    <w:p>
      <w:pPr/>
      <w:r>
        <w:rPr>
          <w:b/>
        </w:rPr>
        <w:t>POSSIBLE 2023:</w:t>
      </w:r>
      <w:r>
        <w:t xml:space="preserve"> Scenario Development Using Foresight Studies — https://doi.org/10.5281/zenodo.7944509</w:t>
      </w:r>
    </w:p>
    <w:p>
      <w:pPr/>
      <w:r>
        <w:rPr>
          <w:b/>
        </w:rPr>
        <w:t>Shared claim-specific concepts:</w:t>
      </w:r>
      <w:r>
        <w:t xml:space="preserve"> foresight, used, across, process, tools; EU scope visible. This is a provisional connection, not an outcome finding.</w:t>
      </w:r>
    </w:p>
    <w:p>
      <w:pPr>
        <w:pStyle w:val="SourceNote"/>
      </w:pPr>
      <w:r>
        <w:rPr>
          <w:b/>
        </w:rPr>
        <w:t>Available abstract (not full text):</w:t>
      </w:r>
      <w:r>
        <w:t xml:space="preserve"> PHIRI (Population Health Information Research Infrastructure) project aims to facilitate and generate the best available evidence for research on health and well-being of populations impacted by COVID19. Work Package 9 (WP9) of the PHIRI project (“Foresight: scenarios and modelling”) aims to gain insights into possible future health impacts of the COVID-19 outbreak by developing scenarios. A scenario is not a prediction, rather a consistent, plausible, and coherent description of the future that reflects on past perspectives, the present, and future developments, which can serve as a basis for action. WP9 follows a stepwise approach that started by learning about the foresight capacity and foresight capacity needs across European Members States (MS) in Task 9.1. Learning about capacity needs led to the development of a capacity building course in Task 9.2. The present task, Task 9.3, builds on Task 9.2 capacity building course to further build capacity by actually developing a foresight study. The present report provides an overview of the development, content, evaluation, and outcomes of ‘Develop your Public Health Foresight Study (PHFS)’ as the leading activity of Task 9.3. This activity aimed at giving participating researchers support and guidance in developing their own public health foresight study, including developing scenarios on different public health issues as well </w:t>
      </w:r>
    </w:p>
    <w:p>
      <w:pPr/>
      <w:r>
        <w:rPr>
          <w:b/>
        </w:rPr>
        <w:t>POSSIBLE 2022:</w:t>
      </w:r>
      <w:r>
        <w:t xml:space="preserve"> Surveillance and Foresight Process of the Sustainable City Context: Innovation Potential Niches and Trends at the European Level — https://doi.org/10.3390/su14148795</w:t>
      </w:r>
    </w:p>
    <w:p>
      <w:pPr/>
      <w:r>
        <w:rPr>
          <w:b/>
        </w:rPr>
        <w:t>Shared claim-specific concepts:</w:t>
      </w:r>
      <w:r>
        <w:t xml:space="preserve"> foresight, projects, process, important, also, them; EU scope visible. This is a provisional connection, not an outcome finding.</w:t>
      </w:r>
    </w:p>
    <w:p>
      <w:pPr>
        <w:pStyle w:val="SourceNote"/>
      </w:pPr>
      <w:r>
        <w:rPr>
          <w:b/>
        </w:rPr>
        <w:t>Available abstract (not full text):</w:t>
      </w:r>
      <w:r>
        <w:t xml:space="preserve"> Over the last decades, the environmental situation of the planet has worsened. Much of the pollution and energy consumption is attributed to cities, which are expected to increase in size and population in the coming years. It is therefore necessary to develop systems to make them more sustainable and resilient. In this regard, different agendas, strategies, and regulations have been published, such as the 2030 Agenda. The current research carried out a surveillance and foresight process at the European level in the field of the sustainable city, analyzing actions accomplished, ongoing, or forthcoming from 2014 to the present (2020) and coming years. The objective is to identify the potential niches and opportunities for decision making to develop successful projects in this sector. The study concludes that one of the most promoted themes is related to the environment, highlighting nature and biodiversity in cities to improve environmental quality and achieve the decarbonization necessary to fight climate change. Furthermore, society plays an important role, emphasizing the need to promote the population’s inclusion and empowerment. It also underlines the promotion of urban regeneration, which should include energy transition and digitalization to create smart cities, with local circular economies.</w:t>
      </w:r>
    </w:p>
    <w:p>
      <w:pPr/>
      <w:r>
        <w:rPr>
          <w:b/>
        </w:rPr>
        <w:t>POSSIBLE 2021:</w:t>
      </w:r>
      <w:r>
        <w:t xml:space="preserve"> Foresight Capacity Building — https://doi.org/10.5281/zenodo.6630549</w:t>
      </w:r>
    </w:p>
    <w:p>
      <w:pPr/>
      <w:r>
        <w:rPr>
          <w:b/>
        </w:rPr>
        <w:t>Shared claim-specific concepts:</w:t>
      </w:r>
      <w:r>
        <w:t xml:space="preserve"> foresight, used, specific, also, related; EU scope visible. This is a provisional connection, not an outcome finding.</w:t>
      </w:r>
    </w:p>
    <w:p>
      <w:pPr>
        <w:pStyle w:val="SourceNote"/>
      </w:pPr>
      <w:r>
        <w:rPr>
          <w:b/>
        </w:rPr>
        <w:t>Available abstract (not full text):</w:t>
      </w:r>
      <w:r>
        <w:t xml:space="preserve"> The present report provides an overview of the development, content, evaluation, and outcomes of the ‘Public Health Foresight Studies’ Training course, also referred to as the ‘Foresight Capacity Building’ training course or the ‘course’. The Foresight Capacity Building course aims at leveling capacity in Public Health Foresight Studies from PHIRI’s participating Member States (MS). Building foresight capacity through this training course is the main output of Task 9.2 of Work Package 9 (WP9) of the PHIRI project. This course was shaped taking into account the foresight capacity needs of MS as reported in the survey carried out in the first quarter of 2021 (during Task 9.1). The course prepares professionals of MS to carry out their own foresight study with the support of WP9 team and from each other. The Foresight Capacity Building course followed a didactive approach consisting of theory on the concepts covered, practical examples, and practical exercises. In addition to the foresight project team of lectures, guest lecturers contributed to specific topics. The course consisted of 5 modules: a general module, followed by three advanced modules deepening on several foresight elements, and a final module revisiting the concepts learned throughout the course and introducing participants to the next task: developing scenarios. Throughout the course, participants gave their feedba</w:t>
      </w:r>
    </w:p>
    <w:p>
      <w:pPr/>
      <w:r>
        <w:rPr>
          <w:b/>
        </w:rPr>
        <w:t>POSSIBLE 2020:</w:t>
      </w:r>
      <w:r>
        <w:t xml:space="preserve"> Project FORESIGHT: A ten-year retrospective — https://doi.org/10.1016/j.fsisyn.2020.08.005</w:t>
      </w:r>
    </w:p>
    <w:p>
      <w:pPr/>
      <w:r>
        <w:rPr>
          <w:b/>
        </w:rPr>
        <w:t>Shared claim-specific concepts:</w:t>
      </w:r>
      <w:r>
        <w:t xml:space="preserve"> foresight, used, process, also; EU scope not established. This is a provisional connection, not an outcome finding.</w:t>
      </w:r>
    </w:p>
    <w:p>
      <w:pPr>
        <w:pStyle w:val="SourceNote"/>
      </w:pPr>
      <w:r>
        <w:rPr>
          <w:b/>
        </w:rPr>
        <w:t>Available abstract (not full text):</w:t>
      </w:r>
      <w:r>
        <w:t xml:space="preserve"> Forensic service providers fulfill a fundamental role in a criminal justice system by providing scientific information that aids investigations and court proceedings. While the focus is often on the science aspect of these organizations, the provision is also of paramount importance. Historically, calls for more and better information about forensic laboratory performance (in essence, benchmarking) have gone unheard. Project FORESIGHT, created in 2008, filled this need through engagement with the forensic management community to build a needs-based process for providing operational data that can be used to enhance a laboratory's performance. With over 10 years of industry data, Project FORESIGHT is the de facto standard for benchmarking forensic service provision.</w:t>
      </w:r>
    </w:p>
    <w:p>
      <w:pPr>
        <w:pStyle w:val="Heading2"/>
      </w:pPr>
      <w:r>
        <w:t>968. Towards Europe 2035 - In Search of the Archimedean Screw: FOCUS in Perspective</w:t>
      </w:r>
    </w:p>
    <w:p>
      <w:pPr>
        <w:pStyle w:val="SourceNote"/>
      </w:pPr>
      <w:r>
        <w:rPr>
          <w:b/>
        </w:rPr>
        <w:t>Original source (2013):</w:t>
      </w:r>
      <w:r>
        <w:t xml:space="preserve"> https://doi.org/10.11610/isij.2912</w:t>
      </w:r>
    </w:p>
    <w:p>
      <w:pPr/>
      <w:r>
        <w:t>Original wording (abstract; indexed_source_text_not_full_document_verified): Approaches and results from the FOCUS project centred on the planning of security research in the 2035 time frame to support foresighted EU security missions.In a follow-up, they could be carried further to help provide a framework for analyzing long-term trends and dynamic interactions in a global environment undergoing tectonic changes, reaching beyond the FOCUS mission to explore new contexts of civil security research in support of possible future EU mission scenarios.European developments are in large part driven by challenging global developments, reaching beyond external risks and threats to which the EU needs to respond.This article thus explores the complementarity of the FOCUS framework and the concurrent fifth NIC Report "Global Trends 2030: Alternative Worlds" of the US National Intelligence Council (NIC) in search of a framework for assessing the impact of global dynamics on the inner dynamics of global players, with the EU as a special case.</w:t>
      </w:r>
    </w:p>
    <w:p>
      <w:pPr/>
      <w:r>
        <w:rPr>
          <w:b/>
        </w:rPr>
        <w:t>POSSIBLE 2026:</w:t>
      </w:r>
      <w:r>
        <w:t xml:space="preserve"> PUBLIC SECURITY AS AN ADMINISTRATIVE FUNCTION IN THE EUROPEAN UNION. A MULTILEVEL GOVERNANCE APPROACH — https://doi.org/10.13165/pspo-25-38-01-02</w:t>
      </w:r>
    </w:p>
    <w:p>
      <w:pPr/>
      <w:r>
        <w:rPr>
          <w:b/>
        </w:rPr>
        <w:t>Shared claim-specific concepts:</w:t>
      </w:r>
      <w:r>
        <w:t xml:space="preserve"> planning, security, further, provide, framework; EU scope visible. This is a provisional connection, not an outcome finding.</w:t>
      </w:r>
    </w:p>
    <w:p>
      <w:pPr>
        <w:pStyle w:val="SourceNote"/>
      </w:pPr>
      <w:r>
        <w:rPr>
          <w:b/>
        </w:rPr>
        <w:t>Available abstract (not full text):</w:t>
      </w:r>
      <w:r>
        <w:t xml:space="preserve"> Public security in the European Union is traditionally described through the distribution of competences between the Union and the Member States. However, everyday practice suggests a different logic: security is rarely exercised through hierarchical command and more often produced through coordinated administrative interaction. This article examines public security as an administrative function operating within a multilevel governance framework rather than as a strictly national competence.The purpose of the paper is to clarify how security can be effectively managed at the European level despite the Treaties preserving national responsibility, and to determine what this implies for the interpretation of EU law. The research addresses the following question: how is public security governed administratively in the European Union when operational powers remain primarily domestic?The study combines doctrinal legal analysis with governance-oriented research. It relies on the interpretation of EU primary law, general legal principles, and selected jurisprudential patterns, while engaging with literature on multilevel governance and European administrative cooperation. The approach is qualitative and interpretative, focusing on recurring administrative practices such as coordination procedures, information exchange, and joint operational planning rather than on a single policy secto</w:t>
      </w:r>
    </w:p>
    <w:p>
      <w:pPr/>
      <w:r>
        <w:rPr>
          <w:b/>
        </w:rPr>
        <w:t>POSSIBLE 2026:</w:t>
      </w:r>
      <w:r>
        <w:t xml:space="preserve"> NATO’s evolution and European security dynamics — https://doi.org/10.1007/s44282-026-00594-1</w:t>
      </w:r>
    </w:p>
    <w:p>
      <w:pPr/>
      <w:r>
        <w:rPr>
          <w:b/>
        </w:rPr>
        <w:t>Shared claim-specific concepts:</w:t>
      </w:r>
      <w:r>
        <w:t xml:space="preserve"> planning, security, time, they, environment; EU scope visible. This is a provisional connection, not an outcome finding.</w:t>
      </w:r>
    </w:p>
    <w:p>
      <w:pPr>
        <w:pStyle w:val="SourceNote"/>
      </w:pPr>
      <w:r>
        <w:rPr>
          <w:b/>
        </w:rPr>
        <w:t>Available abstract (not full text):</w:t>
      </w:r>
      <w:r>
        <w:t xml:space="preserve"> The North Atlantic Treaty Organization (NATO) has transformed dramatically since the end of the Cold War. As a collective defense alliance, it was primarily focused on defending itself against the Soviet Union. NATO is now focused on addressing multiple types of threats: traditional, hybrid, and non-traditional. This study uses a qualitative methodological approach that includes a systematic content review of NATO’s Strategic Concepts from to 1991–2022; NATO Summit Communiques; NATO Defense Planning Guidance and Elite Speeches. This allows us to analyse the causes and effects of NATO’s transformation over time. Our results suggest that because of Russia’s actions as a “revisionist” state, NATO has reverted to focusing on collective defence. However, NATO has also broadened its operational scope to counter new forms of cyber and hybrid threats [ 27 ]. While NATO has improved its deterrence capabilities through adaptation and the cohesiveness of its members has increased, significant problems remain. These include differences in burden sharing by member countries, differing views among member countries regarding how much political independence they want from their relationship with the United States, and increasing levels of tension regarding the potential trade-off between greater strategic autonomy for Europe versus increased dependence upon the U.S. Ultimately, this study conc</w:t>
      </w:r>
    </w:p>
    <w:p>
      <w:pPr/>
      <w:r>
        <w:rPr>
          <w:b/>
        </w:rPr>
        <w:t>POSSIBLE 2025:</w:t>
      </w:r>
      <w:r>
        <w:t xml:space="preserve"> Food Security And Regional Planning Approach: Challenges &amp; Opportunities — https://doi.org/10.64252/q0684p75</w:t>
      </w:r>
    </w:p>
    <w:p>
      <w:pPr/>
      <w:r>
        <w:rPr>
          <w:b/>
        </w:rPr>
        <w:t>Shared claim-specific concepts:</w:t>
      </w:r>
      <w:r>
        <w:t xml:space="preserve"> approaches, planning, security, support; EU scope not established. This is a provisional connection, not an outcome finding.</w:t>
      </w:r>
    </w:p>
    <w:p>
      <w:pPr>
        <w:pStyle w:val="SourceNote"/>
      </w:pPr>
      <w:r>
        <w:rPr>
          <w:b/>
        </w:rPr>
        <w:t>Available abstract (not full text):</w:t>
      </w:r>
      <w:r>
        <w:t xml:space="preserve"> Global food insecurity is rapidly increasing. In 2021 an estimated 29.3 per cent of the global population (2.3 billion people) was moderately or severely food insecure while 828 million people in the world (10.5 per cent of the world population) faced hunger. This paper explores the critical intersection of food security and regional planning, highlighting the challenges and opportunities inherent in addressing food insecurity through strategic spatial and developmental approaches. With global food insecurity on the rise—impacting approximately 29.3% of the world’s population in 2021 and showing pronounced regional disparities there is an urgent need for effective regional planning to combat this crisis. This study emphasizes the varying degrees of food insecurity across different continents, particularly focusing on the complex scenario in Asia and India, which despite being major food producers, face significant challenges related to distribution, access, and sustainability. Food security encompasses three dimensions: availability, accessibility, and intake, each affected by production, distribution, purchasing power, and health infrastructure. Regional planning plays a pivotal role in addressing these dimensions by optimizing resource distribution, integrating agriculture into broader development plans, and improving infrastructure for food distribution. However, there are n</w:t>
      </w:r>
    </w:p>
    <w:p>
      <w:pPr/>
      <w:r>
        <w:rPr>
          <w:b/>
        </w:rPr>
        <w:t>POSSIBLE 2025:</w:t>
      </w:r>
      <w:r>
        <w:t xml:space="preserve"> Safe and Sound: Governance for Planning Public Space in a Security-by-Design Paradigm — https://doi.org/10.3390/urbansci9070241</w:t>
      </w:r>
    </w:p>
    <w:p>
      <w:pPr/>
      <w:r>
        <w:rPr>
          <w:b/>
        </w:rPr>
        <w:t>Shared claim-specific concepts:</w:t>
      </w:r>
      <w:r>
        <w:t xml:space="preserve"> project, planning, security, time, support, further; EU scope visible. This is a provisional connection, not an outcome finding.</w:t>
      </w:r>
    </w:p>
    <w:p>
      <w:pPr>
        <w:pStyle w:val="SourceNote"/>
      </w:pPr>
      <w:r>
        <w:rPr>
          <w:b/>
        </w:rPr>
        <w:t>Available abstract (not full text):</w:t>
      </w:r>
      <w:r>
        <w:t xml:space="preserve"> Security in public spaces has long been the subject of debate and extensive experimentation. With the exponential growth in risks (both expected and unexpected) that public spaces are exposed to, further exacerbated by the pandemic crisis, urban security management increasingly conflicts with the right to social interaction in space. To avoid creating overly controlled spaces that are unsuitable for generating sociality and spontaneous interactions, and which often reproduce discriminatory social dynamics, while at the same time ensuring users’ awareness of being in a safe environment, it is necessary for all three dimensions of public space security—policy, design, and governance—to converge. This study focuses on governance, exploring how security management shapes public life and how it can align with planning that supports vibrant, spontaneous interaction. Using a multi-method qualitative approach, including a critical literature review, EU policy analysis, and empirical research from the Horizon Europe SAFE CITIES project, the study introduces two tools: the Security and Vulnerability Assessment (SVA) framework and the Atlas for Safe Public Spaces Design. These were tested in pilot sites, including the Gorizia-Nova Gorica cross-border square. Results support a governance model integrating “security by design,” which aligns with Foucault’s view of governance as adaptable to</w:t>
      </w:r>
    </w:p>
    <w:p>
      <w:pPr/>
      <w:r>
        <w:rPr>
          <w:b/>
        </w:rPr>
        <w:t>POSSIBLE 2025:</w:t>
      </w:r>
      <w:r>
        <w:t xml:space="preserve"> Implementation of a project approach to managing the development of territorial communities in accordance with the standards and experience of the European Union — https://doi.org/10.58442/3041-1858-2025-34(63)-253-274</w:t>
      </w:r>
    </w:p>
    <w:p>
      <w:pPr/>
      <w:r>
        <w:rPr>
          <w:b/>
        </w:rPr>
        <w:t>Shared claim-specific concepts:</w:t>
      </w:r>
      <w:r>
        <w:t xml:space="preserve"> approaches, project, trends; EU scope visible. This is a provisional connection, not an outcome finding.</w:t>
      </w:r>
    </w:p>
    <w:p>
      <w:pPr>
        <w:pStyle w:val="SourceNote"/>
      </w:pPr>
      <w:r>
        <w:rPr>
          <w:b/>
        </w:rPr>
        <w:t>Available abstract (not full text):</w:t>
      </w:r>
      <w:r>
        <w:t xml:space="preserve"> The article examines the need to implement a project approach to managing the development of territorial communities in Ukraine in accordance with the standards and experience of the European Union (EU). Scientific approaches to determining the essence of project management in the public sphere are analyzed, the main trends of its development in the context of the decentralization reform are summarized. It was determined that the project-program management model is an effective tool for ensuring the effectiveness, transparency and accountability of the activities of local self-government bodies, as well as increasing the effectiveness of strategic budgeting and the effective use of international technical assistance. The regulatory-legal and institutional-administrative bases of the EU and Ukraine in the field of application of the project approach to local development have been studied. In particular, the main methodologies, approaches and tools of project management in the public sphere, as well as the principles of new public management, good governance and sustainable development, as well as the concept of multi-level governance, are analyzed. The main directions of adaptation of these standards to Ukrainian practice have been determined, namely: harmonization of regulatory and legal procedures, development of institutional capacity and personnel potential, digitalization o</w:t>
      </w:r>
    </w:p>
    <w:p>
      <w:pPr/>
      <w:r>
        <w:rPr>
          <w:b/>
        </w:rPr>
        <w:t>POSSIBLE 2025:</w:t>
      </w:r>
      <w:r>
        <w:t xml:space="preserve"> EUROPEAN STRATEGIES FOR CROSS-SECTORAL COOPERATION THROUGH A PROJECT-BASED APPROACH IN PUBLIC ADMINISTRATION — https://doi.org/10.30838/ep.197.187-192</w:t>
      </w:r>
    </w:p>
    <w:p>
      <w:pPr/>
      <w:r>
        <w:rPr>
          <w:b/>
        </w:rPr>
        <w:t>Shared claim-specific concepts:</w:t>
      </w:r>
      <w:r>
        <w:t xml:space="preserve"> focus, project, planning, support, they, further; EU scope visible. This is a provisional connection, not an outcome finding.</w:t>
      </w:r>
    </w:p>
    <w:p>
      <w:pPr>
        <w:pStyle w:val="SourceNote"/>
      </w:pPr>
      <w:r>
        <w:rPr>
          <w:b/>
        </w:rPr>
        <w:t>Available abstract (not full text):</w:t>
      </w:r>
      <w:r>
        <w:t xml:space="preserve"> The article examines modern European strategies of intersectoral cooperation in public administration, with a focus on the project approach. It discusses how these strategies promote innovation, efficiency, and transparency in decision-making. By combining theoretical perspectives with practical examples, the research identifies key mechanisms that support collaboration among public, private, and civil sectors, contributing to improved governance. Special emphasis is placed on the project approach, which fosters innovation, enhances efficiency, and ensures transparency in decision-making. These principles are crucial for improving cooperation between sectors in line with societal and organizational goals. The research examines various forms of cross-sectoral collaboration, including public-private partnerships, public-public partnerships, and tripartite partnerships, which bring together collective efforts to address complex challenges. European strategies highlight the significance of transparency in decision-making by ensuring stakeholders have access to relevant information, monitoring outcomes closely, and upholding accountability. The integration of advanced technologies such as digitalization and AI further enhances these initiatives. These technologies promote efficient resource use and facilitate real-time data sharing, enhancing sector communication. The project-based </w:t>
      </w:r>
    </w:p>
    <w:p>
      <w:pPr/>
      <w:r>
        <w:rPr>
          <w:b/>
        </w:rPr>
        <w:t>POSSIBLE 2024:</w:t>
      </w:r>
      <w:r>
        <w:t xml:space="preserve"> USING AN INDICATIVE APPROACH TO ASSESSING THE SECURITY OF ELECTRICITY SUPPLY — https://doi.org/10.15407/srenergy2024.04.132</w:t>
      </w:r>
    </w:p>
    <w:p>
      <w:pPr/>
      <w:r>
        <w:rPr>
          <w:b/>
        </w:rPr>
        <w:t>Shared claim-specific concepts:</w:t>
      </w:r>
      <w:r>
        <w:t xml:space="preserve"> focus, planning, security, further; EU scope visible. This is a provisional connection, not an outcome finding.</w:t>
      </w:r>
    </w:p>
    <w:p>
      <w:pPr>
        <w:pStyle w:val="SourceNote"/>
      </w:pPr>
      <w:r>
        <w:rPr>
          <w:b/>
        </w:rPr>
        <w:t>Available abstract (not full text):</w:t>
      </w:r>
      <w:r>
        <w:t xml:space="preserve"> Monitoring and assessing the security of electricity supply in Ukraine are becoming increasingly important due to the integration of the integrated power system with the European power system and the need to ensure uninterrupted operation in parallel. This paper aims to test the use of an indicative approach to assessing the security of electricity supply. The paper considers the possibility of using an indicative approach to assessing the security of electricity supply. Within this paper, the indicative approach is understood as a method of management and planning based on the use of indicators or indicators to assess the state and efficiency of a particular process, system, or phenomenon. The main focus is on forming a list of indicators to assess the security of electricity supply. The initial assessment of the level of the indicator for ensuring the balanced reliability of the power system and the quality and level of maintenance of power grids will allow us to assess the security of supply in general. Unlike the existing principles for assessing supply security, this approach allows for systematic monitoring and objective data on which to base strategies and plans, which increases management efficiency. To solve the problem of finding an assessment of the security of the electricity supply, an indicative approach may be proposed for use, which provides a unified indicator </w:t>
      </w:r>
    </w:p>
    <w:p>
      <w:pPr/>
      <w:r>
        <w:rPr>
          <w:b/>
        </w:rPr>
        <w:t>POSSIBLE 2024:</w:t>
      </w:r>
      <w:r>
        <w:t xml:space="preserve"> Project coordination success factors in European Union-funded research, development and innovation projects under the Horizon 2020 and Horizon Europe programmes — https://doi.org/10.1186/s13731-024-00363-x</w:t>
      </w:r>
    </w:p>
    <w:p>
      <w:pPr/>
      <w:r>
        <w:rPr>
          <w:b/>
        </w:rPr>
        <w:t>Shared claim-specific concepts:</w:t>
      </w:r>
      <w:r>
        <w:t xml:space="preserve"> focus, project, further, framework, environment; EU scope visible. This is a provisional connection, not an outcome finding.</w:t>
      </w:r>
    </w:p>
    <w:p>
      <w:pPr>
        <w:pStyle w:val="SourceNote"/>
      </w:pPr>
      <w:r>
        <w:rPr>
          <w:b/>
        </w:rPr>
        <w:t>Available abstract (not full text):</w:t>
      </w:r>
      <w:r>
        <w:t xml:space="preserve"> Abstract Success factors for managing European Union-funded research, development and innovation projects is rather uncharted territory and scarce publications exist, even though considering that the H2020 funding was nearly €80 billion, and Horizon Europe is €95,5 billion. Managing these types of projects has been referred to as ‘managing the unmanageable’, which indicates importance of our study. The aim of this study was to gather input via survey from both project coordinators and partners by assessing factors in five categories of good practices, skills, characteristics and tools of project management, and coordination for successful project implementation. A total of 118 persons replied to the survey who have experience from Horizon 2020 or Horizon Europe funded project(s). Over 80 factors were assessed and rated by the participants. Via standard statistical analysis, a top three lists were created for the different categories from both project partners and coordinators perspectives. A combination of 15 top success factors was formed. Furthermore, to emphasise the practicality of the results, an overarching framework was formed where we propose three prioritised key success factors that research, development, and innovation project management of should focus on. The three key success factors are communication, trust, and collaboration. Communication and trust are further </w:t>
      </w:r>
    </w:p>
    <w:p>
      <w:pPr/>
      <w:r>
        <w:rPr>
          <w:b/>
        </w:rPr>
        <w:t>POSSIBLE 2023:</w:t>
      </w:r>
      <w:r>
        <w:t xml:space="preserve"> European experience in ensuring the financial security of financial institutions — https://doi.org/10.33108/galicianvisnyk_tntu2023.05.092</w:t>
      </w:r>
    </w:p>
    <w:p>
      <w:pPr/>
      <w:r>
        <w:rPr>
          <w:b/>
        </w:rPr>
        <w:t>Shared claim-specific concepts:</w:t>
      </w:r>
      <w:r>
        <w:t xml:space="preserve"> approaches, focus, security, analyzing, environment; EU scope visible. This is a provisional connection, not an outcome finding.</w:t>
      </w:r>
    </w:p>
    <w:p>
      <w:pPr>
        <w:pStyle w:val="SourceNote"/>
      </w:pPr>
      <w:r>
        <w:rPr>
          <w:b/>
        </w:rPr>
        <w:t>Available abstract (not full text):</w:t>
      </w:r>
      <w:r>
        <w:t xml:space="preserve"> The article is dedicated to exploring the essence of financial security for financial institutions in Ukraine in the context of a state of war and providing proposals for its enhancement. In light of international events, particularly the full-scale invasion and aggression by the russian federation, the insufficient level of financial security of Ukrainian financial institutions becomes exceptionally pertinent. Therefore, identifying internal and external threats to the financial security of these institutions during wartime, along with developing a strategy to neutralize these threats and enhance the effectiveness of financial security, emerges as an extremely relevant task. The article substantiates the significance of developing a strategic plan to bolster Ukraine's financial security, with a focus on the control of financial institution activities. The author meticulously examines key aspects and methods of ensuring stability and reliability of financial institutions in the European Union. Additionally, key elements of controlling financial institution activities within the context of Ukraine's financial sector development strategy are studied and compared with methods applied in other countries around the world. The article comprehensively examines practices and strategies for financial stability of institutions in European Union countries such as the Netherlands, Belgium,</w:t>
      </w:r>
    </w:p>
    <w:p>
      <w:pPr/>
      <w:r>
        <w:rPr>
          <w:b/>
        </w:rPr>
        <w:t>POSSIBLE 2023:</w:t>
      </w:r>
      <w:r>
        <w:t xml:space="preserve"> The regulatory security state in Europe — https://doi.org/10.1080/13501763.2023.2172061</w:t>
      </w:r>
    </w:p>
    <w:p>
      <w:pPr/>
      <w:r>
        <w:rPr>
          <w:b/>
        </w:rPr>
        <w:t>Shared claim-specific concepts:</w:t>
      </w:r>
      <w:r>
        <w:t xml:space="preserve"> security, framework, analyzing; EU scope visible. This is a provisional connection, not an outcome finding.</w:t>
      </w:r>
    </w:p>
    <w:p>
      <w:pPr>
        <w:pStyle w:val="SourceNote"/>
      </w:pPr>
      <w:r>
        <w:rPr>
          <w:b/>
        </w:rPr>
        <w:t>Available abstract (not full text):</w:t>
      </w:r>
      <w:r>
        <w:t xml:space="preserve"> The ‘regulatory state’ has prevailed in almost every sector of European public policy. The provision of security, however, is still widely viewed as the domain of the ‘positive state’, which rests on political authority and autonomous capacities. Challenging this presumption, we argue that expertise – as foundation of authority – and rules – as policy instruments – also shape the provision of European security by national and, in particular, supranational ‘regulatory security states’, namely the European Union (EU). We lay out a framework for mapping the uneven and contested rise of European regulatory security states; analyzing drivers and constraints of security state reforms; and grasping the implications of the regulatory security state for the effectiveness and democratic legitimacy of European security policy-making. We advance the research program on the regulatory state and contribute to an innovative understanding of who governs security in Europe’s multi-level polity, by what means, and on what legitimatory grounds.</w:t>
      </w:r>
    </w:p>
    <w:p>
      <w:pPr/>
      <w:r>
        <w:rPr>
          <w:b/>
        </w:rPr>
        <w:t>POSSIBLE 2023:</w:t>
      </w:r>
      <w:r>
        <w:t xml:space="preserve"> Evidence of development of underutilised crops and their ecosystem services in Europe: a systematic mapping approach — https://doi.org/10.1186/s43170-023-00194-y</w:t>
      </w:r>
    </w:p>
    <w:p>
      <w:pPr/>
      <w:r>
        <w:rPr>
          <w:b/>
        </w:rPr>
        <w:t>Shared claim-specific concepts:</w:t>
      </w:r>
      <w:r>
        <w:t xml:space="preserve"> focus, security, support, further; EU scope visible. This is a provisional connection, not an outcome finding.</w:t>
      </w:r>
    </w:p>
    <w:p>
      <w:pPr>
        <w:pStyle w:val="SourceNote"/>
      </w:pPr>
      <w:r>
        <w:rPr>
          <w:b/>
        </w:rPr>
        <w:t>Available abstract (not full text):</w:t>
      </w:r>
      <w:r>
        <w:t xml:space="preserve"> Abstract Background Growing interest in agrobiodiversity and sustainable agricultural practices has stimulated debates on diversifying cropping systems, furthering the potential for the reintroduction of underutilised crops. These crops may support multiple ecosystem services and enhance food security and agricultural value chains. This study used a systematic mapping approach to collate and summarise the state of research literature addresses the research question: What is the evidence for ecosystem service provision and economic value of underutilised crops? We focused on oats, triticale, hull-less barley, narrow-leaved lupin, buckwheat and faba beans due to their limited use in Europe, their broad gene pool, ecological benefits, and nutritional value. Method Three academic databases were used to identify research articles investigating the impacts of using the six underutilised crops of interest on outcomes including breeding, agronomic traits, nutrition and health, and economic values. In addition, current and recently completed European projects were searched to identify ongoing relevant research. After screening for relevance, data was extracted from all included articles and projects and imported into a spreadsheet for cross-tabulation and to produce descriptive statistics. Results From an initial 34,522 articles identified by the searches, 1346 relevant primary research</w:t>
      </w:r>
    </w:p>
    <w:p>
      <w:pPr/>
      <w:r>
        <w:rPr>
          <w:b/>
        </w:rPr>
        <w:t>POSSIBLE 2022:</w:t>
      </w:r>
      <w:r>
        <w:t xml:space="preserve"> Chemical Looping Combustion and Gasification: A Review and a Focus on European Research Projects — https://doi.org/10.1021/acs.iecr.2c02677</w:t>
      </w:r>
    </w:p>
    <w:p>
      <w:pPr/>
      <w:r>
        <w:rPr>
          <w:b/>
        </w:rPr>
        <w:t>Shared claim-specific concepts:</w:t>
      </w:r>
      <w:r>
        <w:t xml:space="preserve"> focus, they, provide; EU scope visible. This is a provisional connection, not an outcome finding.</w:t>
      </w:r>
    </w:p>
    <w:p>
      <w:pPr>
        <w:pStyle w:val="SourceNote"/>
      </w:pPr>
      <w:r>
        <w:rPr>
          <w:b/>
        </w:rPr>
        <w:t>Available abstract (not full text):</w:t>
      </w:r>
      <w:r>
        <w:t xml:space="preserve"> Climate change has driven attention toward promoting sustainable policies and processes to contain global warming below +1.5 &amp; DEG;C. Negative emission technologies (NET)-bioenergy with carbon capture and storage in particular (BECCS)-are expected to contribute to the achievement of that target. Recent research and development concerning NET focused on chemical looping combustion (CLC) and chemical looping gasification (CLG), as they should limit cost-and energy-penalties associated with carbon capture and storage thanks to solid materials known as oxygen carriers (OCs). This review aims to provide an introductory tool about CLC and CLG and their possible role as NET if fed with biomasses to obtain BECCS. A critical overlook is proposed concerning chemical looping reactions, fuels, types of OCs, and reactor systems developed at different scales, focusing on recent and current European research projects and remarks on the subsequent developments.</w:t>
      </w:r>
    </w:p>
    <w:p>
      <w:pPr>
        <w:pStyle w:val="Heading2"/>
      </w:pPr>
      <w:r>
        <w:t>969. Warming increases plant biomass and reduces diversity across continents, latitudes, and species migration scenarios in experimental wetland communities</w:t>
      </w:r>
    </w:p>
    <w:p>
      <w:pPr>
        <w:pStyle w:val="SourceNote"/>
      </w:pPr>
      <w:r>
        <w:rPr>
          <w:b/>
        </w:rPr>
        <w:t>Original source (2013):</w:t>
      </w:r>
      <w:r>
        <w:t xml:space="preserve"> https://doi.org/10.1111/gcb.12378</w:t>
      </w:r>
    </w:p>
    <w:p>
      <w:pPr/>
      <w:r>
        <w:t>Original wording (abstract; indexed_source_text_not_full_document_verified): These results reveal for the first time consistent impacts of warming on biomass and species richness for temperate wetland plant communities across continents, latitudes, and migration scenarios. Atmospheric warming may influence plant productivity and diversity and induce poleward migration of species, altering communities across latitudes.</w:t>
      </w:r>
    </w:p>
    <w:p>
      <w:pPr/>
      <w:r>
        <w:rPr>
          <w:b/>
        </w:rPr>
        <w:t>POSSIBLE 2026:</w:t>
      </w:r>
      <w:r>
        <w:t xml:space="preserve"> Attainment of Steady State Algebraically: How Constant Coefficients in First and Second Order Differential Equations Reveal the Time Constant — https://doi.org/10.18260/1-2-510-57870</w:t>
      </w:r>
    </w:p>
    <w:p>
      <w:pPr/>
      <w:r>
        <w:rPr>
          <w:b/>
        </w:rPr>
        <w:t>Shared claim-specific concepts:</w:t>
      </w:r>
      <w:r>
        <w:t xml:space="preserve"> reveal, first, time; EU scope not established. This is a provisional connection, not an outcome finding.</w:t>
      </w:r>
    </w:p>
    <w:p>
      <w:pPr>
        <w:pStyle w:val="SourceNote"/>
      </w:pPr>
      <w:r>
        <w:rPr>
          <w:b/>
        </w:rPr>
        <w:t>Available abstract (not full text):</w:t>
      </w:r>
      <w:r>
        <w:t xml:space="preserve"> Textbooks for differential equations often address transient and steady state solutions, but less frequently link the two or connect them to real world situations or laboratory results.In this paper, both types of solutions are considered, as well as the impact of the transient solution upon the full solution.This approach, as delineated, removes all of the complicated mathematics (which can now be accomplished using a calculator or computational software) in order to understand the general results, only requiring that the coefficients in the general equation be constant.The time constant, τ, is regularly taught in first order differential equations, and its relationship to the equation coefficients is widely known.However, for second order differential equations, the concept of the time constant appears to be rarely, if ever, discussed in many textbooks.Toward that end, in this work, second order differential equations with constant coefficients are examined.In addition, a typical equation for many real-world electrical and mechanical problems will be addressed by algebraically solving for τ.The steady state solution will be described in terms of the system's behavior after the transient no longer exists, i.e., after t = 5τ.This method avoids much mathematical manipulation, and has the added benefit of providing the solution for the steady state behavior of the system (t &gt; 5τ)</w:t>
      </w:r>
    </w:p>
    <w:p>
      <w:pPr/>
      <w:r>
        <w:rPr>
          <w:b/>
        </w:rPr>
        <w:t>POSSIBLE 2025:</w:t>
      </w:r>
      <w:r>
        <w:t xml:space="preserve"> Collaborative effort between fishers and scientists reveals first-time evidence of the smalltooth sandtiger shark (Odontaspis ferox) in Puerto Rico — https://doi.org/10.1017/s0025315425100246</w:t>
      </w:r>
    </w:p>
    <w:p>
      <w:pPr/>
      <w:r>
        <w:rPr>
          <w:b/>
        </w:rPr>
        <w:t>Shared claim-specific concepts:</w:t>
      </w:r>
      <w:r>
        <w:t xml:space="preserve"> first, species, temperate, diversity; EU scope not established. This is a provisional connection, not an outcome finding.</w:t>
      </w:r>
    </w:p>
    <w:p>
      <w:pPr>
        <w:pStyle w:val="SourceNote"/>
      </w:pPr>
      <w:r>
        <w:rPr>
          <w:b/>
        </w:rPr>
        <w:t>Available abstract (not full text):</w:t>
      </w:r>
      <w:r>
        <w:t xml:space="preserve"> Abstract Studying deep-water shark species presents inherent challenges stemming from the difficulty in accessing their habitats, coupled with factors such as low population densities, intricate behaviours, and complex biological attributes. The integration of citizen scientists, particularly fishers, offers a valuable avenue to make use of their life-long insights and expertise, thus facilitating the acquisition of crucial data that can effectively enhance the realm of shark research. Our collaborative engagement with fishers since 2017 has yielded an extensive documentation concerning elasmobranchs in the Caribbean region of Puerto Rico providing a unique opportunity to formally record species hitherto unreported. This is exemplified by the first documentation of the smalltooth sandtiger shark (Odontaspis ferox (Risso, 1810)). Despite its broad geographic range and widespread distribution in temperate and tropical marine environments, there is a lack of comprehensive scientific understanding and limited available knowledge regarding this species. A noteworthy finding on December 30, 2020, near Rincón (northwest coast) in Puerto Rico, disclosed a large shark that an experienced fisher had captured as an unidentified by-catch at a depth of 325 m. Through an interdisciplinary approach using molecular (355 bp, Cytochrome Oxidase Subunit 1) and morphological techniques, we success</w:t>
      </w:r>
    </w:p>
    <w:p>
      <w:pPr/>
      <w:r>
        <w:rPr>
          <w:b/>
        </w:rPr>
        <w:t>POSSIBLE 2025:</w:t>
      </w:r>
      <w:r>
        <w:t xml:space="preserve"> Bioassay tests reveal for the first time pyrethroid resistance in — https://doi.org/10.1051/parasite/2025036/pdf</w:t>
      </w:r>
    </w:p>
    <w:p>
      <w:pPr/>
      <w:r>
        <w:rPr>
          <w:b/>
        </w:rPr>
        <w:t>Shared claim-specific concepts:</w:t>
      </w:r>
      <w:r>
        <w:t xml:space="preserve"> reveal, first, time, species; EU scope not established. This is a provisional connection, not an outcome finding.</w:t>
      </w:r>
    </w:p>
    <w:p>
      <w:pPr>
        <w:pStyle w:val="SourceNote"/>
      </w:pPr>
      <w:r>
        <w:rPr>
          <w:b/>
        </w:rPr>
        <w:t>Available abstract (not full text):</w:t>
      </w:r>
      <w:r>
        <w:t xml:space="preserve"> The spread of resistance to insecticides, such as pyrethroids, in Aedes vectors increases the risk of spread of arboviral diseases. In Gabon, the insecticide resistance profiles of Ae. aegypti and Ae. albopictus species remain poorly known. During a study to monitor the dynamics of Aedes populations in Franceville, in south-east Gabon, the resistance profiles of these two species to pyrethroids, organophosphates and carbamates were assessed. Susceptibility tests on adults and synergist tests with piperonyl butoxide (PBO) were carried out as per the World Health Organization protocol. The results showed that Ae. aegypti and Ae. albopictus were susceptible to permethrin, pirimiphos-methyl and bendiocarb. However, both species were resistant to deltamethrin (mortality: 67% for Ae. aegypti; 33% for Ae. albopictus). Exposure to a 5-fold dose of deltamethrin increased mortality to 100% and 91% for Ae. aegypti and Ae. albopictus, respectively. Resistance to alpha-cypermethrin was also recorded (mortality: 82% for Ae. aegypti; 64.6% for Ae. albopictus). Pre-exposure to PBO resulted in the restoration of susceptibility to deltamethrin and alpha-cypermethrin for Ae. aegypti, and a significant increase in mortality for Ae. albopictus. These data provide the first evidence of pyrethroid resistance in Aedes in Gabon and could help to establish more effective control measures against arbovir</w:t>
      </w:r>
    </w:p>
    <w:p>
      <w:pPr/>
      <w:r>
        <w:rPr>
          <w:b/>
        </w:rPr>
        <w:t>POSSIBLE 2024:</w:t>
      </w:r>
      <w:r>
        <w:t xml:space="preserve"> Hidden impacts of ocean warming and acidification on biological responses of marine animals revealed through meta-analysis — https://doi.org/10.1038/s41467-024-47064-3</w:t>
      </w:r>
    </w:p>
    <w:p>
      <w:pPr/>
      <w:r>
        <w:rPr>
          <w:b/>
        </w:rPr>
        <w:t>Shared claim-specific concepts:</w:t>
      </w:r>
      <w:r>
        <w:t xml:space="preserve"> impacts, warming, induce; EU scope not established. This is a provisional connection, not an outcome finding.</w:t>
      </w:r>
    </w:p>
    <w:p>
      <w:pPr>
        <w:pStyle w:val="SourceNote"/>
      </w:pPr>
      <w:r>
        <w:rPr>
          <w:b/>
        </w:rPr>
        <w:t>Available abstract (not full text):</w:t>
      </w:r>
      <w:r>
        <w:t xml:space="preserve">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w:t>
      </w:r>
    </w:p>
    <w:p>
      <w:pPr/>
      <w:r>
        <w:rPr>
          <w:b/>
        </w:rPr>
        <w:t>POSSIBLE 2024:</w:t>
      </w:r>
      <w:r>
        <w:t xml:space="preserve"> Studies of Colletotrichum species causing cowpea anthracnose in Nigeria reveal two first-time reports globally — https://doi.org/10.1007/s42161-024-01804-y</w:t>
      </w:r>
    </w:p>
    <w:p>
      <w:pPr/>
      <w:r>
        <w:rPr>
          <w:b/>
        </w:rPr>
        <w:t>Shared claim-specific concepts:</w:t>
      </w:r>
      <w:r>
        <w:t xml:space="preserve"> reveal, first, time, species, across; EU scope not established. This is a provisional connection, not an outcome finding.</w:t>
      </w:r>
    </w:p>
    <w:p>
      <w:pPr>
        <w:pStyle w:val="SourceNote"/>
      </w:pPr>
      <w:r>
        <w:rPr>
          <w:b/>
        </w:rPr>
        <w:t>Available abstract (not full text):</w:t>
      </w:r>
      <w:r>
        <w:t xml:space="preserve"> Abstract Cowpea (Vigna unguiculata (L.) Walp.) is an important multipurpose crop in various countries in sub-Saharan Africa. However, cowpea production is affected by cowpea anthracnose disease (CAD). In Nigeria, Colletotrichum lindemuthianum and C. destructivum have been described as causal agents of CAD based on morphological features. Such characterization is unreliable because many similarities among and within Colletotrichum spp. exist. In the current study, Colletotrichum spp. were isolated from leaves showing CAD symptoms collected in farmers’ fields across four states in Nigeria. Isolates were characterized using morphological keys, severity scores in detached leaf assays, and sequencing of the ITS, ACT, GADPH, TUB, ApMat, and CAL genes. Two species, C. chrysophilum and C. siamense, were identified after comparing multigene sequences. Morphological characteristics and disease symptoms were very similar for both species. However, severity scores varied among and within species. Both C. chrysophilum and C. siamense are reported for the first time as causal agents of CAD across the globe. The accurate diagnosis of organisms causing CAD in the studied region will allow developing effective management strategies.</w:t>
      </w:r>
    </w:p>
    <w:p>
      <w:pPr/>
      <w:r>
        <w:rPr>
          <w:b/>
        </w:rPr>
        <w:t>POSSIBLE 2023:</w:t>
      </w:r>
      <w:r>
        <w:t xml:space="preserve"> The Impacts of a Weakened Atlantic Meridional Overturning Circulation on ENSO in a Warmer Climate — https://doi.org/10.1029/2023gl103025</w:t>
      </w:r>
    </w:p>
    <w:p>
      <w:pPr/>
      <w:r>
        <w:rPr>
          <w:b/>
        </w:rPr>
        <w:t>Shared claim-specific concepts:</w:t>
      </w:r>
      <w:r>
        <w:t xml:space="preserve"> first, impacts, warming, atmospheric, induce; EU scope not established. This is a provisional connection, not an outcome finding.</w:t>
      </w:r>
    </w:p>
    <w:p>
      <w:pPr>
        <w:pStyle w:val="SourceNote"/>
      </w:pPr>
      <w:r>
        <w:rPr>
          <w:b/>
        </w:rPr>
        <w:t>Available abstract (not full text):</w:t>
      </w:r>
      <w:r>
        <w:t xml:space="preserve"> Abstract This study quantifies the impacts of the Atlantic Meridional Overturning Circulation (AMOC) on the El Niño–Southern Oscillation (ENSO) under anthropogenic warming by comparing climate change model simulations with declining and fixed strengths of the overturning. After the 1980s, a weakened AMOC is shown to reduce the strength of the annual cycle of sea surface temperature (SST) in the eastern equatorial Pacific and induce anomalous cross‐equatorial northerly winds there, which strengthens ENSO variability by about 11%. An analysis of the Bjerknes stability index reveals that this intensification of ENSO results mainly from enhanced Ekman upwelling feedback due to amplified atmospheric wind response to SST anomalies and oceanic upwelling response to equatorial wind stress anomalies. The weakened AMOC also promotes the occurrence of Central Pacific El Niño events and reduces ENSO skewness. These AMOC impacts on ENSO magnitude and complexity throughout the twenty‐first century are however smaller than ENSO variations expected from internal climate variability.</w:t>
      </w:r>
    </w:p>
    <w:p>
      <w:pPr/>
      <w:r>
        <w:rPr>
          <w:b/>
        </w:rPr>
        <w:t>POSSIBLE 2023:</w:t>
      </w:r>
      <w:r>
        <w:t xml:space="preserve"> First passage time analysis of spatial mutation patterns reveals sub-clonal evolutionary dynamics in colorectal cancer — https://doi.org/10.1371/journal.pcbi.1010952</w:t>
      </w:r>
    </w:p>
    <w:p>
      <w:pPr/>
      <w:r>
        <w:rPr>
          <w:b/>
        </w:rPr>
        <w:t>Shared claim-specific concepts:</w:t>
      </w:r>
      <w:r>
        <w:t xml:space="preserve"> first, time, consistent, across; EU scope not established. This is a provisional connection, not an outcome finding.</w:t>
      </w:r>
    </w:p>
    <w:p>
      <w:pPr>
        <w:pStyle w:val="SourceNote"/>
      </w:pPr>
      <w:r>
        <w:rPr>
          <w:b/>
        </w:rPr>
        <w:t>Available abstract (not full text):</w:t>
      </w:r>
      <w:r>
        <w:t xml:space="preserve"> The signature of early cancer dynamics on the spatial arrangement of tumour cells is poorly understood, and yet could encode information about how sub-clones grew within the expanding tumour. Novel methods of quantifying spatial tumour data at the cellular scale are required to link evolutionary dynamics to the resulting spatial architecture of the tumour. Here, we propose a framework using first passage times of random walks to quantify the complex spatial patterns of tumour cell population mixing. First, using a simple model of cell mixing we demonstrate how first passage time statistics can distinguish between different pattern structures. We then apply our method to simulated patterns of mutated and non-mutated tumour cell population mixing, generated using an agent-based model of expanding tumours, to explore how first passage times reflect mutant cell replicative advantage, time of emergence and strength of cell pushing. Finally, we explore applications to experimentally measured human colorectal cancer, and estimate parameters of early sub-clonal dynamics using our spatial computational model. We infer a wide range of sub-clonal dynamics, with mutant cell division rates varying between 1 and 4 times the rate of non-mutated cells across our sample set. Some mutated sub-clones emerged after as few as 100 non-mutant cell divisions, and others only after 50,000 divisions. Th</w:t>
      </w:r>
    </w:p>
    <w:p>
      <w:pPr/>
      <w:r>
        <w:rPr>
          <w:b/>
        </w:rPr>
        <w:t>POSSIBLE 2022:</w:t>
      </w:r>
      <w:r>
        <w:t xml:space="preserve"> The Details of Limb Brightening Reveal the Structure of the Base of the Jet in M87 for the First Time — https://doi.org/10.3847/1538-4357/ac82f1</w:t>
      </w:r>
    </w:p>
    <w:p>
      <w:pPr/>
      <w:r>
        <w:rPr>
          <w:b/>
        </w:rPr>
        <w:t>Shared claim-specific concepts:</w:t>
      </w:r>
      <w:r>
        <w:t xml:space="preserve"> reveal, first, time; EU scope not established. This is a provisional connection, not an outcome finding.</w:t>
      </w:r>
    </w:p>
    <w:p>
      <w:pPr>
        <w:pStyle w:val="SourceNote"/>
      </w:pPr>
      <w:r>
        <w:rPr>
          <w:b/>
        </w:rPr>
        <w:t>Available abstract (not full text):</w:t>
      </w:r>
      <w:r>
        <w:t xml:space="preserve"> Abstract It has become commonplace in astronomy to describe the transverse coarse structure of jets in loosely defined terms such as “sheath” and “spine” based on discussions of parsec scale properties. But, the applicability, dimension, and prominence of these features on sub-light-year scales has previously been unconstrained by observation. The first direct evidence of jet structure near the source in M87 is extreme limb brightening (a double-rail morphology), 0.3–0.6 mas from the source, which is prominent in observations with high resolution and sensitivity. Intensity crosscuts of these images provide three strong, interdependent constraints on the geometry responsible for the double-rail morphology: the rail to rail separation, the peak to trough intensity ratio, and the rail widths. Analyzing these constraints indicates that half or more of the jet volume resides in a thick-walled, tubular, mildly relativistic, protonic jet only ∼0.25 lt-yr (or ∼300 M, where M is the central black hole mass in geometrized units) from the source. By contrast, the Event Horizon Telescope Collaboration interprets their observations with the aid of general relativistic magnetohydrodynamic simulations that produce an invisible (by construction) jet with a surrounding luminous, thin sheath. Yet, it is shown that synthetic images of simulated jets are center brightened 0.3–0.6 mas from the sour</w:t>
      </w:r>
    </w:p>
    <w:p>
      <w:pPr/>
      <w:r>
        <w:rPr>
          <w:b/>
        </w:rPr>
        <w:t>POSSIBLE 2022:</w:t>
      </w:r>
      <w:r>
        <w:t xml:space="preserve"> Reflections from graduate student instructors on their first time teaching reveal structural and individual challenges — https://doi.org/10.56230/osotl.44</w:t>
      </w:r>
    </w:p>
    <w:p>
      <w:pPr/>
      <w:r>
        <w:rPr>
          <w:b/>
        </w:rPr>
        <w:t>Shared claim-specific concepts:</w:t>
      </w:r>
      <w:r>
        <w:t xml:space="preserve"> reveal, first, time, consistent; EU scope not established. This is a provisional connection, not an outcome finding.</w:t>
      </w:r>
    </w:p>
    <w:p>
      <w:pPr>
        <w:pStyle w:val="SourceNote"/>
      </w:pPr>
      <w:r>
        <w:rPr>
          <w:b/>
        </w:rPr>
        <w:t>Available abstract (not full text):</w:t>
      </w:r>
      <w:r>
        <w:t xml:space="preserve"> Graduate student instructors occupy a unique ‘liminal space’ as trainees in and instructors of their discipline. While research has explored challenges graduate students face while teaching, there is limited exploration of the challenges graduate students face that transcend disciplinary boundaries while preparing for and teaching their first undergraduate class. This qualitative study asked graduate students to reflect on the challenges and surprises they encountered while preparing for and teaching their first undergraduate class. Our findings indicate that consistent with previous literature, most graduate student pedagogical training is not sufficient for preparing graduate student instructors and many of the challenges they encounter are the result of a lack of support and prioritization of pedagogy in graduate training. We anchor these findings in a discussion of structural barriers to effective pedagogical training in graduate school and a brief review of model graduate pedagogical training programs.</w:t>
      </w:r>
    </w:p>
    <w:p>
      <w:pPr/>
      <w:r>
        <w:rPr>
          <w:b/>
        </w:rPr>
        <w:t>POSSIBLE 2022:</w:t>
      </w:r>
      <w:r>
        <w:t xml:space="preserve"> Impacts of Global Climate Warming on Meteorological and Hydrological Droughts and Their Propagations — https://doi.org/10.1029/2021ef002542</w:t>
      </w:r>
    </w:p>
    <w:p>
      <w:pPr/>
      <w:r>
        <w:rPr>
          <w:b/>
        </w:rPr>
        <w:t>Shared claim-specific concepts:</w:t>
      </w:r>
      <w:r>
        <w:t xml:space="preserve"> first, impacts, warming; EU scope not established. This is a provisional connection, not an outcome finding.</w:t>
      </w:r>
    </w:p>
    <w:p>
      <w:pPr>
        <w:pStyle w:val="SourceNote"/>
      </w:pPr>
      <w:r>
        <w:rPr>
          <w:b/>
        </w:rPr>
        <w:t>Available abstract (not full text):</w:t>
      </w:r>
      <w:r>
        <w:t xml:space="preserve"> Abstract Meteorological to hydrological drought propagation has been widely studied to reflect the relationship between these drought categories and better understand drought mechanisms. However, global warming may alter the drought propagation features, which are not fully understood. This study aims to investigate changes in meteorological and hydrological drought conditions, especially their propagation features in 1.5–3.0°C warmer climates for 8,655 watersheds globally. First, the three‐month scale standardized precipitation index and the standardized runoff index are calculated based on the precipitation simulated by the 15 global climate models and the runoff simulated by the four hydrological models, respectively. Drought events are then identified using the run theory, followed by the calculation of drought propagation features (i.e., pooling, lag, and lengthening) for matched meteorological and hydrological droughts. As a result, both meteorological and hydrological drought conditions (i.e., duration and severity) would relieve in warmer climates due to increased precipitation for regions excluding Western North America, South America, the Mediterranean, Southern Africa, East Asia, and Australia. However, the drought conditions would be more severe during drought propagation from meteorological to hydrological droughts over most regions. During drought propagation, the</w:t>
      </w:r>
    </w:p>
    <w:p>
      <w:pPr/>
      <w:r>
        <w:rPr>
          <w:b/>
        </w:rPr>
        <w:t>POSSIBLE 2022:</w:t>
      </w:r>
      <w:r>
        <w:t xml:space="preserve"> Target‐enrichment sequencing reveals for the first time a well‐resolved phylogeny of the core Bromelioideae (family Bromeliaceae) — https://doi.org/10.1002/tax.12831</w:t>
      </w:r>
    </w:p>
    <w:p>
      <w:pPr/>
      <w:r>
        <w:rPr>
          <w:b/>
        </w:rPr>
        <w:t>Shared claim-specific concepts:</w:t>
      </w:r>
      <w:r>
        <w:t xml:space="preserve"> first, time, species; EU scope not established. This is a provisional connection, not an outcome finding.</w:t>
      </w:r>
    </w:p>
    <w:p>
      <w:pPr>
        <w:pStyle w:val="SourceNote"/>
      </w:pPr>
      <w:r>
        <w:rPr>
          <w:b/>
        </w:rPr>
        <w:t>Available abstract (not full text):</w:t>
      </w:r>
      <w:r>
        <w:t xml:space="preserve"> Abstract A phylogenomic analysis of the so far phylogenetically unresolved subfamily Bromelioideae (Bromeliaceae) was performed to infer species relationships as the basis for future taxonomic treatment, stabilization of generic concept, and further analyses of evolution and biogeography of the subfamily. A target‐enrichment approach was chosen, using the Angiosperms353 v.4 kit RNA‐baits and including 86 Bromelioideae species representing previously identified major evolutionary lineages. Phylogenetic analyses were based on 125 target nuclear loci, assembled off‐target plastome as well as mitogenome reads. A Bromelioideae phylogeny with a mostly well‐resolved backbone is provided based on nuclear (194 kbp), plastome (109 kbp), and mitogenome data (34 kbp). For the nuclear markers, a coalescent‐based analysis of single‐locus gene trees was performed as well as a supermatrix analysis of concatenated gene alignments. Nuclear and plastome datasets provide well‐resolved trees, which showed only minor topological incongruences. The mitogenome tree is not sufficiently resolved. A total of 26 well‐supported clades were identified. The genera Aechmea, Canistrum, Hohenbergia, Neoregelia, and Quesnelia were revealed polyphyletic. In core Bromelioideae, Acanthostachys is sister to the remainder. Among the 26 recognized clades, 12 correspond with currently employed taxonomic concepts. Hence</w:t>
      </w:r>
    </w:p>
    <w:p>
      <w:pPr/>
      <w:r>
        <w:rPr>
          <w:b/>
        </w:rPr>
        <w:t>POSSIBLE 2021:</w:t>
      </w:r>
      <w:r>
        <w:t xml:space="preserve"> Thermal flight performance reveals impact of warming on bumblebee foraging potential — https://doi.org/10.1111/1365-2435.13887</w:t>
      </w:r>
    </w:p>
    <w:p>
      <w:pPr/>
      <w:r>
        <w:rPr>
          <w:b/>
        </w:rPr>
        <w:t>Shared claim-specific concepts:</w:t>
      </w:r>
      <w:r>
        <w:t xml:space="preserve"> warming, species, across; EU scope not established. This is a provisional connection, not an outcome finding.</w:t>
      </w:r>
    </w:p>
    <w:p>
      <w:pPr>
        <w:pStyle w:val="SourceNote"/>
      </w:pPr>
      <w:r>
        <w:rPr>
          <w:b/>
        </w:rPr>
        <w:t>Available abstract (not full text):</w:t>
      </w:r>
      <w:r>
        <w:t xml:space="preserve"> Abstract The effects of environmental temperature on components of insect flight determine life‐history traits, fitness, adaptability and, ultimately, organism ecosystem functional roles. Despite the crucial role of flying insects across landscapes, our understanding of how temperature affects insect flight performance remains limited. Many insect pollinators are considered under threat from climatic warming. Quantifying the relationship between temperature and behavioural performance traits allows us to understand where species are operating in respect to their thermal limits, helping predict responses to projected temperature increases and/or erratic weather events. Using a tethered flight mill, we quantify how flight performance of a widespread bumblebee, Bombus terrestris, varies over a temperature range (12–30℃). Given that body mass constrains insect mobility and behaviour, bumblebees represent a useful system to study temperature‐mediated size dependence of flight performance owing to the large intra‐colony variation in worker body size they exhibit. Workers struggled to fly over a few hundred metres at the lowest tested temperature of 12℃; however, flight endurance increased as temperatures rose, peaking around 25℃ after which it declined. Our findings further revealed variation in flight capacity across the workforce, with larger workers flying further, longer, and fas</w:t>
      </w:r>
    </w:p>
    <w:p>
      <w:pPr>
        <w:pStyle w:val="Heading2"/>
      </w:pPr>
      <w:r>
        <w:t>970. A history of futures: A review of scenario use in water policy studies in the Netherlands</w:t>
      </w:r>
    </w:p>
    <w:p>
      <w:pPr>
        <w:pStyle w:val="SourceNote"/>
      </w:pPr>
      <w:r>
        <w:rPr>
          <w:b/>
        </w:rPr>
        <w:t>Original source (2012):</w:t>
      </w:r>
      <w:r>
        <w:t xml:space="preserve"> https://doi.org/10.1016/j.envsci.2012.03.002</w:t>
      </w:r>
    </w:p>
    <w:p>
      <w:pPr/>
      <w:r>
        <w:t>Original wording (abstract; indexed_source_text_not_full_document_verified): Based on two criteria, 'Decision robustness' and 'Learning success', we conclude that (1) the possibilities for robust decisionmaking increased through a paradigm shift from predicting to exploring futures, but the scenario method is not yet fully exploited for decisionmaking under uncertainty; and (2) the scenarios enabled learning about possible impacts of developments and effectiveness of policy options.</w:t>
      </w:r>
    </w:p>
    <w:p>
      <w:pPr/>
      <w:r>
        <w:rPr>
          <w:b/>
        </w:rPr>
        <w:t>POSSIBLE 2025:</w:t>
      </w:r>
      <w:r>
        <w:t xml:space="preserve"> Lyme Borreliosis Incidence Across Europe, 2015–2023: A Surveillance-Based Review and Analysis — https://doi.org/10.1177/15303667251363125</w:t>
      </w:r>
    </w:p>
    <w:p>
      <w:pPr/>
      <w:r>
        <w:rPr>
          <w:b/>
        </w:rPr>
        <w:t>Shared claim-specific concepts:</w:t>
      </w:r>
      <w:r>
        <w:t xml:space="preserve"> based, two, criteria, increased, but; EU scope visible. This is a provisional connection, not an outcome finding.</w:t>
      </w:r>
    </w:p>
    <w:p>
      <w:pPr>
        <w:pStyle w:val="SourceNote"/>
      </w:pPr>
      <w:r>
        <w:rPr>
          <w:b/>
        </w:rPr>
        <w:t>Available abstract (not full text):</w:t>
      </w:r>
      <w:r>
        <w:t xml:space="preserve"> Background: Lyme borreliosis (LB) is the most common tick-borne disease in Europe. Incidence is increasing partly due to climate change and changing human behaviors. This review compiled updated national European LB surveillance data to assess recent incidence trends from 2015 to 2023. Methods: Publicly available LB surveillance data sources were identified for 29 European countries. Cases were collected from reports and dashboards. Estimates of population-based incidence were calculated. Countries were categorized based on their case classification criteria and geographic region. Subnational regions were classified as high-incidence areas if they reported ≥10 cases per 100,000 population per year (PPY) over a three-year period. The percentage of people residing in these high-incidence regions was calculated. Results: An average of 132,000 LB cases were reported to surveillance systems annually. Countries that included both erythema migrans and laboratory-confirmed LB cases in their reporting had the highest incidence rates—particularly Estonia, Finland, and Slovenia, exceeding 100 cases per 100,000 PPY. Overall, variation of incidence at the subnational level was observed, showing incidence at the national level can mask subnational differences in rates. Temporary decreases in incidence were observed during 2019–2021, but incidence increased from 2021 to 2023. A minimum of 223</w:t>
      </w:r>
    </w:p>
    <w:p>
      <w:pPr/>
      <w:r>
        <w:rPr>
          <w:b/>
        </w:rPr>
        <w:t>POSSIBLE 2025:</w:t>
      </w:r>
      <w:r>
        <w:t xml:space="preserve"> Proposal for revised criteria for daylight provision in the European daylight standard based on calculations for Swedish multifamily residential buildings — https://doi.org/10.1177/14771535241306970</w:t>
      </w:r>
    </w:p>
    <w:p>
      <w:pPr/>
      <w:r>
        <w:rPr>
          <w:b/>
        </w:rPr>
        <w:t>Shared claim-specific concepts:</w:t>
      </w:r>
      <w:r>
        <w:t xml:space="preserve"> based, two, criteria; EU scope visible. This is a provisional connection, not an outcome finding.</w:t>
      </w:r>
    </w:p>
    <w:p>
      <w:pPr>
        <w:pStyle w:val="SourceNote"/>
      </w:pPr>
      <w:r>
        <w:rPr>
          <w:b/>
        </w:rPr>
        <w:t>Available abstract (not full text):</w:t>
      </w:r>
      <w:r>
        <w:t xml:space="preserve"> The European Standard EN 17037 was first introduced in 2018 with the aim of encouraging building designers to ensure adequate daylight in buildings. Experience has shown that the standard’s criteria for daylight provision are generally perceived to be too challenging, and this in turn has hindered its implementation in national legislations. This paper proposes a revised illuminance-based criteria for daylight provision using the specific case of regularly occupied rooms in multifamily Swedish residential buildings as an example. In total, 3562 rooms representing typical Swedish residential design are assessed. Two sets of criteria for dwellings are proposed; one based on a fixed illuminance, another based on a fixed area fraction. Both have three levels of ambition, in which the lowest would result in approximately two-thirds of the investigated Swedish dwellings reaching compliance. This is the same compliance rate as for the current national legislation. The implications of three proposed criteria on residential design are also discussed. While results are given for the Swedish context, the proposed criteria could be generalized for use in other European countries. The intention of this proposal is to allow for a wider application of the daylight standard within residential construction across Europe.</w:t>
      </w:r>
    </w:p>
    <w:p>
      <w:pPr/>
      <w:r>
        <w:rPr>
          <w:b/>
        </w:rPr>
        <w:t>POSSIBLE 2024:</w:t>
      </w:r>
      <w:r>
        <w:t xml:space="preserve"> Federated Learning for Generalization, Robustness, Fairness: A Survey and Benchmark — https://doi.org/10.1109/tpami.2024.3418862</w:t>
      </w:r>
    </w:p>
    <w:p>
      <w:pPr/>
      <w:r>
        <w:rPr>
          <w:b/>
        </w:rPr>
        <w:t>Shared claim-specific concepts:</w:t>
      </w:r>
      <w:r>
        <w:t xml:space="preserve"> robustness, learning, paradigm; EU scope not established. This is a provisional connection, not an outcome finding.</w:t>
      </w:r>
    </w:p>
    <w:p>
      <w:pPr>
        <w:pStyle w:val="SourceNote"/>
      </w:pPr>
      <w:r>
        <w:rPr>
          <w:b/>
        </w:rPr>
        <w:t>Available abstract (not full text):</w:t>
      </w:r>
      <w:r>
        <w:t xml:space="preserve"> Federated learning has emerged as a promising paradigm for privacy-preserving collaboration among different parties. Recently, with the popularity of federated learning, an influx of approaches have delivered towards different realistic challenges. In this survey, we provide a systematic overview of the important and recent developments of research on federated learning. First, we introduce the study history and terminology definition of this area. Then, we comprehensively review three basic lines of research: generalization, robustness, and fairness, by introducing their respective background concepts, task settings, and main challenges. We also offer a detailed overview of representative literature on both methods and datasets. We further benchmark the reviewed methods on several well-known datasets. Finally, we point out several open issues in this field and suggest opportunities for further research.</w:t>
      </w:r>
    </w:p>
    <w:p>
      <w:pPr/>
      <w:r>
        <w:rPr>
          <w:b/>
        </w:rPr>
        <w:t>POSSIBLE 2024:</w:t>
      </w:r>
      <w:r>
        <w:t xml:space="preserve"> Robust two-qubit gate with reinforcement learning and dropout — https://doi.org/10.1103/physreva.110.032614</w:t>
      </w:r>
    </w:p>
    <w:p>
      <w:pPr/>
      <w:r>
        <w:rPr>
          <w:b/>
        </w:rPr>
        <w:t>Shared claim-specific concepts:</w:t>
      </w:r>
      <w:r>
        <w:t xml:space="preserve"> learning, robust, method; EU scope not established. This is a provisional connection, not an outcome finding.</w:t>
      </w:r>
    </w:p>
    <w:p>
      <w:pPr>
        <w:pStyle w:val="SourceNote"/>
      </w:pPr>
      <w:r>
        <w:rPr>
          <w:b/>
        </w:rPr>
        <w:t>Available abstract (not full text):</w:t>
      </w:r>
      <w:r>
        <w:t xml:space="preserve"> In the realm of quantum control, reinforcement learning, a prominent branch of machine learning, emerges as a competitive candidate for computer-assisted optimal experiment design. This paper investigates the extent to which guidance from human experts is necessary for effectively implementing reinforcement learning in the design of quantum control protocols. Specifically, our focus lies on engineering a robust two-qubit gate, utilizing a combination of analytical solutions as prior knowledge and techniques from computer science. Through thorough benchmarking of various models, we identify dropout---a widely used method for mitigating overfitting in machine learning---as a particularly robust approach. Our findings demonstrate the potential of integrating computer science concepts to propel the development of advanced quantum technologies.</w:t>
      </w:r>
    </w:p>
    <w:p>
      <w:pPr/>
      <w:r>
        <w:rPr>
          <w:b/>
        </w:rPr>
        <w:t>POSSIBLE 2024:</w:t>
      </w:r>
      <w:r>
        <w:t xml:space="preserve"> Disparities of Central and Eastern European Countries of European Union in innovation potential: A multi-criteria assessment — https://doi.org/10.1016/j.joitmc.2024.100282</w:t>
      </w:r>
    </w:p>
    <w:p>
      <w:pPr/>
      <w:r>
        <w:rPr>
          <w:b/>
        </w:rPr>
        <w:t>Shared claim-specific concepts:</w:t>
      </w:r>
      <w:r>
        <w:t xml:space="preserve"> based, two, criteria, method; EU scope visible. This is a provisional connection, not an outcome finding.</w:t>
      </w:r>
    </w:p>
    <w:p>
      <w:pPr>
        <w:pStyle w:val="SourceNote"/>
      </w:pPr>
      <w:r>
        <w:rPr>
          <w:b/>
        </w:rPr>
        <w:t>Available abstract (not full text):</w:t>
      </w:r>
      <w:r>
        <w:t xml:space="preserve"> The primary objective of the article is to evaluate the innovation potential of Central and Eastern European Union countries. The Technique for Order of Preference by Similarity to Ideal Solution method was employed to assess and rank this potential. The research was based on 10 indicators that characterize the main areas related to innovation, namely intellectual capital (as a measure of social innovative capacity), financial capital (as a measure of the potential for financing research and development) as well as research and innovation activities. Three objective approaches were used to calculate weights of these evaluation criteria (in the TOPSIS method): Shanon-Entropy, criteria importance through intercriteria correlation and equal weights. As a evaluate of the level of innovation potential of studied CEE countries between 2013-2022, the determined values of the Innovation Potential Index were used to evaluate the studied countries and divide them into four groups. With the use of the two non-parametric test, the relationships of this index with selected parameters were also measured. The research results show that the innovation potential level of CEE countries is highly differentiated. Slovenia, the Czech Republic and Estonia, countries investing in R&amp;D and social development, were found to have a high level of innovation. The remaining countries need to take more decis</w:t>
      </w:r>
    </w:p>
    <w:p>
      <w:pPr/>
      <w:r>
        <w:rPr>
          <w:b/>
        </w:rPr>
        <w:t>POSSIBLE 2024:</w:t>
      </w:r>
      <w:r>
        <w:t xml:space="preserve"> Generalizability and robustness evaluation of attribute-based zero-shot learning — https://doi.org/10.1016/j.neunet.2024.106278</w:t>
      </w:r>
    </w:p>
    <w:p>
      <w:pPr/>
      <w:r>
        <w:rPr>
          <w:b/>
        </w:rPr>
        <w:t>Shared claim-specific concepts:</w:t>
      </w:r>
      <w:r>
        <w:t xml:space="preserve"> based, robustness, learning; EU scope not established. This is a provisional connection, not an outcome finding.</w:t>
      </w:r>
    </w:p>
    <w:p>
      <w:pPr>
        <w:pStyle w:val="SourceNote"/>
      </w:pPr>
      <w:r>
        <w:rPr>
          <w:b/>
        </w:rPr>
        <w:t>Available abstract (not full text):</w:t>
      </w:r>
      <w:r>
        <w:t xml:space="preserve"> In the field of deep learning, large quantities of data are typically required to effectively train models. This challenge has given rise to techniques like zero-shot learning (ZSL), which trains models on a set of "seen" classes and evaluates them on a set of "unseen" classes. Although ZSL has shown considerable potential, particularly with the employment of generative methods, its generalizability to real-world scenarios remains uncertain. The hypothesis of this work is that the performance of ZSL models is systematically influenced by the chosen "splits"; in particular, the statistical properties of the classes and attributes used in training. In this paper, we test this hypothesis by introducing the concepts of generalizability and robustness in attribute-based ZSL and carry out a variety of experiments to stress-test ZSL models against different splits. Our aim is to lay the groundwork for future research on ZSL models' generalizability, robustness, and practical applications. We evaluate the accuracy of state-of-the-art models on benchmark datasets and identify consistent trends in generalizability and robustness. We analyze how these properties vary based on the dataset type, differentiating between coarse- and fine-grained datasets, and our findings indicate significant room for improvement in both generalizability and robustness. Furthermore, our results demonstrate th</w:t>
      </w:r>
    </w:p>
    <w:p>
      <w:pPr/>
      <w:r>
        <w:rPr>
          <w:b/>
        </w:rPr>
        <w:t>POSSIBLE 2024:</w:t>
      </w:r>
      <w:r>
        <w:t xml:space="preserve"> ProcSim: Proxy-based Confidence for Robust Similarity Learning — https://doi.org/10.1109/wacv57701.2024.00134</w:t>
      </w:r>
    </w:p>
    <w:p>
      <w:pPr/>
      <w:r>
        <w:rPr>
          <w:b/>
        </w:rPr>
        <w:t>Shared claim-specific concepts:</w:t>
      </w:r>
      <w:r>
        <w:t xml:space="preserve"> learning, robust, method; EU scope not established. This is a provisional connection, not an outcome finding.</w:t>
      </w:r>
    </w:p>
    <w:p>
      <w:pPr>
        <w:pStyle w:val="SourceNote"/>
      </w:pPr>
      <w:r>
        <w:rPr>
          <w:b/>
        </w:rPr>
        <w:t>Available abstract (not full text):</w:t>
      </w:r>
      <w:r>
        <w:t xml:space="preserve"> Deep Metric Learning (DML) methods aim at learning an embedding space in which distances are closely related to the inherent semantic similarity of the inputs. Previous studies have shown that popular benchmark datasets often contain numerous wrong labels, and DML methods are susceptible to them. Intending to study the effect of realistic noise, we create an ontology of the classes in a dataset and use it to simulate semantically coherent labeling mistakes. To train robust DML models, we propose ProcSim, a simple framework that assigns a confidence score to each sample using the normalized distance to its class representative. The experimental results show that the proposed method achieves state-of-the-art performance on the DML benchmark datasets injected with uniform and the proposed semantically coherent noise.</w:t>
      </w:r>
    </w:p>
    <w:p>
      <w:pPr/>
      <w:r>
        <w:rPr>
          <w:b/>
        </w:rPr>
        <w:t>POSSIBLE 2024:</w:t>
      </w:r>
      <w:r>
        <w:t xml:space="preserve"> RIME: Robust Preference-based Reinforcement Learning with Noisy Preferences — https://doi.org/10.48550/arxiv.2402.17257</w:t>
      </w:r>
    </w:p>
    <w:p>
      <w:pPr/>
      <w:r>
        <w:rPr>
          <w:b/>
        </w:rPr>
        <w:t>Shared claim-specific concepts:</w:t>
      </w:r>
      <w:r>
        <w:t xml:space="preserve"> robustness, learning, robust, method; EU scope not established. This is a provisional connection, not an outcome finding.</w:t>
      </w:r>
    </w:p>
    <w:p>
      <w:pPr>
        <w:pStyle w:val="SourceNote"/>
      </w:pPr>
      <w:r>
        <w:rPr>
          <w:b/>
        </w:rPr>
        <w:t>Available abstract (not full text):</w:t>
      </w:r>
      <w:r>
        <w:t xml:space="preserve"> Preference-based Reinforcement Learning (PbRL) circumvents the need for reward engineering by harnessing human preferences as the reward signal. However, current PbRL methods excessively depend on high-quality feedback from domain experts, which results in a lack of robustness. In this paper, we present RIME, a robust PbRL algorithm for effective reward learning from noisy preferences. Our method utilizes a sample selection-based discriminator to dynamically filter out noise and ensure robust training. To counteract the cumulative error stemming from incorrect selection, we suggest a warm start for the reward model, which additionally bridges the performance gap during the transition from pre-training to online training in PbRL. Our experiments on robotic manipulation and locomotion tasks demonstrate that RIME significantly enhances the robustness of the state-of-the-art PbRL method. Code is available at https://github.com/CJReinforce/RIME_ICML2024.</w:t>
      </w:r>
    </w:p>
    <w:p>
      <w:pPr/>
      <w:r>
        <w:rPr>
          <w:b/>
        </w:rPr>
        <w:t>POSSIBLE 2023:</w:t>
      </w:r>
      <w:r>
        <w:t xml:space="preserve"> Assessing the energy security of European Union countries from two perspectives – A new integrated approach based on MCDM methods — https://doi.org/10.1016/j.apenergy.2023.121443</w:t>
      </w:r>
    </w:p>
    <w:p>
      <w:pPr/>
      <w:r>
        <w:rPr>
          <w:b/>
        </w:rPr>
        <w:t>Shared claim-specific concepts:</w:t>
      </w:r>
      <w:r>
        <w:t xml:space="preserve"> based, two, criteria; EU scope visible. This is a provisional connection, not an outcome finding.</w:t>
      </w:r>
    </w:p>
    <w:p>
      <w:pPr>
        <w:pStyle w:val="SourceNote"/>
      </w:pPr>
      <w:r>
        <w:rPr>
          <w:b/>
        </w:rPr>
        <w:t>Available abstract (not full text):</w:t>
      </w:r>
      <w:r>
        <w:t xml:space="preserve"> The subject of this article concerns a crucial issue of energy security in the European Union countries, especially during the war in Ukraine. The paper presents the results of a study aimed at assessing the level of energy security of EU-27 countries from two perspectives (for two variants of analysis). The first variant assesses the level of energy security of EU-27 countries, which is derived from a traditional approach related to the availability of energy sources at affordable prices (energy and economic factors). The second variant assesses the level of energy security from the perspective of sustainable development, the so-called sustainable energy security, which, in addition to energy and economic factors, also takes into account environmental and social factors. The multi-criteria nature of the subject matter undertaken determined the adoption of methodology based on Multiple-criteria decision-making methods (MCDM) for the study. Also, the author's integrated approach based on indicator weighting methods and MCDM methods was used. The CRiteria Importance Through Intercriteria Correlation (CRITIC) and standard deviation (SD) methods were utilized to determine indicator weights, and the Grey relational analysis (GRA) and the Technique for Order of Preference by Similarity to Ideal Solution (TOPSIS) methods were used for the core part of the research. Based on the propos</w:t>
      </w:r>
    </w:p>
    <w:p>
      <w:pPr/>
      <w:r>
        <w:rPr>
          <w:b/>
        </w:rPr>
        <w:t>POSSIBLE 2023:</w:t>
      </w:r>
      <w:r>
        <w:t xml:space="preserve"> ShapleyFL: Robust Federated Learning Based on Shapley Value — https://doi.org/10.1145/3580305.3599500</w:t>
      </w:r>
    </w:p>
    <w:p>
      <w:pPr/>
      <w:r>
        <w:rPr>
          <w:b/>
        </w:rPr>
        <w:t>Shared claim-specific concepts:</w:t>
      </w:r>
      <w:r>
        <w:t xml:space="preserve"> based, robustness, learning, robust, method; EU scope not established. This is a provisional connection, not an outcome finding.</w:t>
      </w:r>
    </w:p>
    <w:p>
      <w:pPr>
        <w:pStyle w:val="SourceNote"/>
      </w:pPr>
      <w:r>
        <w:rPr>
          <w:b/>
        </w:rPr>
        <w:t>Available abstract (not full text):</w:t>
      </w:r>
      <w:r>
        <w:t xml:space="preserve"> Federated Learning (FL) allows clients to form a consortium to train a global model under the orchestration of a central server while keeping data on the local client without sharing it, thus mitigating data privacy issues. However, training a robust global model is challenging since the local data is invisible to the server. The local data of clients are naturally heterogeneous, while some clients can use corrupted data or send malicious updates to interfere with the training process artificially. Meanwhile, communication and computation costs are inevitable challenges in designing a practical FL algorithm. In this paper, to improve the robustness of FL, we propose a Shapley value-inspired adaptive weighting mechanism, which regards the FL training as sequential cooperative games and adjusts clients' weights according to their contributions. We also develop a client sampling strategy based on importance sampling, which can reduce the communication cost by optimizing the variance of the global updates according to the weights of clients. Furthermore, to diminish the computation cost of the server, we propose a weight calculation method by estimating differences between the Shapley value of clients. Our experimental results on several real data sets demonstrate the effectiveness of our approaches.</w:t>
      </w:r>
    </w:p>
    <w:p>
      <w:pPr/>
      <w:r>
        <w:rPr>
          <w:b/>
        </w:rPr>
        <w:t>POSSIBLE 2023:</w:t>
      </w:r>
      <w:r>
        <w:t xml:space="preserve"> Robustness challenges in Reinforcement Learning based time-critical cloud resource scheduling: A Meta-Learning based solution — https://doi.org/10.1016/j.future.2023.03.029</w:t>
      </w:r>
    </w:p>
    <w:p>
      <w:pPr/>
      <w:r>
        <w:rPr>
          <w:b/>
        </w:rPr>
        <w:t>Shared claim-specific concepts:</w:t>
      </w:r>
      <w:r>
        <w:t xml:space="preserve"> based, robustness, learning, robust; EU scope not established. This is a provisional connection, not an outcome finding.</w:t>
      </w:r>
    </w:p>
    <w:p>
      <w:pPr>
        <w:pStyle w:val="SourceNote"/>
      </w:pPr>
      <w:r>
        <w:rPr>
          <w:b/>
        </w:rPr>
        <w:t>Available abstract (not full text):</w:t>
      </w:r>
      <w:r>
        <w:t xml:space="preserve"> Cloud computing attracts increasing attention in processing dynamic computing tasks and automating the software development and operation pipeline. In many cases, the computing tasks have strict deadlines. The cloud resource manager (e.g., orchestrator) effectively manages the resources and provides tasks Quality of Service (QoS). Cloud task scheduling is tricky due to the dynamic nature of task workload and resource availability. Reinforcement Learning (RL) has attracted lots of research attention in scheduling. However, those RL-based approaches suffer from low scheduling performance robustness when the task workload and resource availability change, particularly when handling time-critical tasks. This paper focuses on both challenges of robustness and deadline guarantee among such RL, specifically Deep RL (DRL)-based scheduling approaches. We quantify the robustness measurements as the retraining time and investigate how to improve both robustness and deadline guarantee of DRL-based scheduling. We propose MLR-TC-DRLS, a practical, robust Meta Deep Reinforcement Learning-based scheduling solution to provide time-critical tasks deadline guarantee and fast adaptation under highly dynamic situations. We comprehensively evaluate MLR-TC-DRLS performance against RL-based and RL advanced variants-based scheduling approaches using real-world and synthetic data. The evaluations valida</w:t>
      </w:r>
    </w:p>
    <w:p>
      <w:pPr/>
      <w:r>
        <w:rPr>
          <w:b/>
        </w:rPr>
        <w:t>POSSIBLE 2023:</w:t>
      </w:r>
      <w:r>
        <w:t xml:space="preserve"> Beyond generalization: a theory of robustness in machine learning — https://doi.org/10.1007/s11229-023-04334-9</w:t>
      </w:r>
    </w:p>
    <w:p>
      <w:pPr/>
      <w:r>
        <w:rPr>
          <w:b/>
        </w:rPr>
        <w:t>Shared claim-specific concepts:</w:t>
      </w:r>
      <w:r>
        <w:t xml:space="preserve"> robustness, learning, uncertainty; EU scope not established. This is a provisional connection, not an outcome finding.</w:t>
      </w:r>
    </w:p>
    <w:p>
      <w:pPr>
        <w:pStyle w:val="SourceNote"/>
      </w:pPr>
      <w:r>
        <w:rPr>
          <w:b/>
        </w:rPr>
        <w:t>Available abstract (not full text):</w:t>
      </w:r>
      <w:r>
        <w:t xml:space="preserve"> Abstract The termrobustnessis ubiquitous in modern Machine Learning (ML). However, its meaning varies depending on context and community. Researchers either focus on narrow technical definitions, such as adversarial robustness, natural distribution shifts, and performativity, or they simply leave open what exactly they mean by robustness. In this paper, we provide a conceptual analysis of the termrobustness, with the aim to develop a common language, that allows us to weave together different strands of robustness research. We define robustness as the relative stability of a robustness target with respect to specific interventions on a modifier. Our account captures the various sub-types of robustness that are discussed in the research literature, including robustness to distribution shifts, prediction robustness, or the robustness of algorithmic explanations. Finally, we delineate robustness from adjacent key concepts in ML, such as extrapolation, generalization, and uncertainty, and establish it as an independent epistemic concept.</w:t>
      </w:r>
    </w:p>
    <w:p>
      <w:pPr>
        <w:pStyle w:val="Heading2"/>
      </w:pPr>
      <w:r>
        <w:t>971. After-crisis Scenarios for the European Regions</w:t>
      </w:r>
    </w:p>
    <w:p>
      <w:pPr>
        <w:pStyle w:val="SourceNote"/>
      </w:pPr>
      <w:r>
        <w:rPr>
          <w:b/>
        </w:rPr>
        <w:t>Original source (2012):</w:t>
      </w:r>
      <w:r>
        <w:t xml:space="preserve"> https://doi.org/10.2457/srs.42.3</w:t>
      </w:r>
    </w:p>
    <w:p>
      <w:pPr/>
      <w:r>
        <w:t>Original wording (abstract; indexed_source_text_not_full_document_verified): What is called a “reference scenario” is built under the assumption that there will be a perception that structural changes will happen, that an extrapolation of past trends has no meaning at all, but that policies will not act in an effective way. This scenario will be compared to a second one, called the pro-active scenario, in which changes will be perceived and even anticipated; and to the re-active or defensive one, based on the assumptions that changes are not fully perceived by economic actors.</w:t>
      </w:r>
    </w:p>
    <w:p>
      <w:pPr/>
      <w:r>
        <w:rPr>
          <w:b/>
        </w:rPr>
        <w:t>POSSIBLE 2026:</w:t>
      </w:r>
      <w:r>
        <w:t xml:space="preserve"> The New European Bauhaus Academy: a novel skills, knowledge and innovation platform to boost sustainable construction within the built environment — https://doi.org/10.5281/zenodo.20586709</w:t>
      </w:r>
    </w:p>
    <w:p>
      <w:pPr/>
      <w:r>
        <w:rPr>
          <w:b/>
        </w:rPr>
        <w:t>Shared claim-specific concepts:</w:t>
      </w:r>
      <w:r>
        <w:t xml:space="preserve"> reference, built, all, one; EU scope visible. This is a provisional connection, not an outcome finding.</w:t>
      </w:r>
    </w:p>
    <w:p>
      <w:pPr>
        <w:pStyle w:val="SourceNote"/>
      </w:pPr>
      <w:r>
        <w:rPr>
          <w:b/>
        </w:rPr>
        <w:t>Available abstract (not full text):</w:t>
      </w:r>
      <w:r>
        <w:t xml:space="preserve"> The New European Bauhaus (NEB) is a policy initiative of the European Commission aiming ‘to make the built environment beautiful, sustainable and inclusive’. It has inspired a large grassroots movement: about 2,000 organisations and 500 projects are co-creating and testing new visions and practices, how local neighborhoods, communities, and the built environment at large can become more liveable, affordable, resilient, and sustainable. Through NEB, wood building materials gained a lot of interest by architects, builders and public authorities, being recognized as an aesthetic, healthy material and a decisive lever to decarbonize buildings. A significant bottleneck is the need for skilled workers and educated professionals capable of transforming the construction ecosystem towards a regenerative model. To address this gap, the NEB Academy will establish a European point of reference for knowledge, skills, and innovation in bio-based, circular, and digital solutions for the built environment, providing a full support system for practitioners by integrating different EU funding instruments. The NEBA Alliance project was tasked to set the foundation of the NEB Academy: it launched a European network of 14 organisations in education and training from 11 countries and co-designed a governance structure of 4 regional training hubs under one common umbrella. A series of pilot trainings</w:t>
      </w:r>
    </w:p>
    <w:p>
      <w:pPr/>
      <w:r>
        <w:rPr>
          <w:b/>
        </w:rPr>
        <w:t>POSSIBLE 2026:</w:t>
      </w:r>
      <w:r>
        <w:t xml:space="preserve"> Public perception of dermatologists in Europe — https://openalex.org/W7171337581</w:t>
      </w:r>
    </w:p>
    <w:p>
      <w:pPr/>
      <w:r>
        <w:rPr>
          <w:b/>
        </w:rPr>
        <w:t>Shared claim-specific concepts:</w:t>
      </w:r>
      <w:r>
        <w:t xml:space="preserve"> perception, past, all, second, perceived; EU scope visible. This is a provisional connection, not an outcome finding.</w:t>
      </w:r>
    </w:p>
    <w:p>
      <w:pPr>
        <w:pStyle w:val="SourceNote"/>
      </w:pPr>
      <w:r>
        <w:rPr>
          <w:b/>
        </w:rPr>
        <w:t>Available abstract (not full text):</w:t>
      </w:r>
      <w:r>
        <w:t xml:space="preserve"> Background: The public perception of dermatology has been poorly investigated in Europe. Objective: To determine the general public's perception of dermatologists in Europe. Methods: This multinational, cross-sectional study was conducted within the framework of the EADV population-based survey on the 'Burden of skin diseases in Europe'. Data were collected using a web-based online survey on a representative sample of the general populations aged 18 years or more of 27 European countries. Proportional quota sampling with replacement design was used for each country. Results: A total of 44,689 adult participants responded to the questionnaire, of whom 18,004 visited a dermatologist in the preceding 3 years. The dermatologist was the second most often visited specialist among all medical specialties, with 69.7%, 72.1%, 42.1% and 78.1% of participants in Western Europe (WE), Eastern Europe (EE), Northern Europe (NE) and Southern Europe (SE), respectively, having consulted a dermatologist over the past 24 months. Most participants across all regions agreed that the dermatologist was the first healthcare provider for chronic skin diseases (61.9% in WE, 69.8% in EE, 45.7% in NE and 60.4% in SE) and for skin cancers (65.5% in WE, 67.6% in EE, 42.4% in NE and 63.0% in SE). The five most common reasons for visiting a dermatologist among all participants were: naevi check-up or skin canc</w:t>
      </w:r>
    </w:p>
    <w:p>
      <w:pPr/>
      <w:r>
        <w:rPr>
          <w:b/>
        </w:rPr>
        <w:t>POSSIBLE 2026:</w:t>
      </w:r>
      <w:r>
        <w:t xml:space="preserve"> Alcide De Gasperi and the European Defence Community: Lessons for Today’s Europe — https://doi.org/10.1177/10692509261477264</w:t>
      </w:r>
    </w:p>
    <w:p>
      <w:pPr/>
      <w:r>
        <w:rPr>
          <w:b/>
        </w:rPr>
        <w:t>Shared claim-specific concepts:</w:t>
      </w:r>
      <w:r>
        <w:t xml:space="preserve"> reference, built, but, not; EU scope visible. This is a provisional connection, not an outcome finding.</w:t>
      </w:r>
    </w:p>
    <w:p>
      <w:pPr>
        <w:pStyle w:val="SourceNote"/>
      </w:pPr>
      <w:r>
        <w:rPr>
          <w:b/>
        </w:rPr>
        <w:t>Available abstract (not full text):</w:t>
      </w:r>
      <w:r>
        <w:t xml:space="preserve"> In March 2025, opening a European Parliament debate on defence, Commission President Ursula von der Leyen cited Alcide De Gasperi, recalling that 70 years earlier he had urged Europeans not merely to keep the peace but to build a common defence. The reference was not simply a rhetorical flourish: the collapse of the European Defence Community in 1954 still shapes Europe’s unfinished security architecture. This article traces the European Defence Community from the Pleven Plan (1950) to the rejection of this proposed treaty by the French National Assembly (1954), and reconstructs De Gasperi’s federalist reading of it, embodied in Article 38, which tied military integration to a democratic political community. The article then weighs that vision against what the EU has since built and what is still missing, concluding with three lessons learned from the analysis: this is Europe’s last call for a common defence, unpopular decisions demand courage, and the future lies not in ceding sovereignty but in maintaining it within an association of sovereign states.</w:t>
      </w:r>
    </w:p>
    <w:p>
      <w:pPr/>
      <w:r>
        <w:rPr>
          <w:b/>
        </w:rPr>
        <w:t>POSSIBLE 2026:</w:t>
      </w:r>
      <w:r>
        <w:t xml:space="preserve"> Built environment and childhood obesity: A systematic review of the European literature — https://doi.org/10.29333/jconseph/17944</w:t>
      </w:r>
    </w:p>
    <w:p>
      <w:pPr/>
      <w:r>
        <w:rPr>
          <w:b/>
        </w:rPr>
        <w:t>Shared claim-specific concepts:</w:t>
      </w:r>
      <w:r>
        <w:t xml:space="preserve"> built, all, but, second; EU scope visible. This is a provisional connection, not an outcome finding.</w:t>
      </w:r>
    </w:p>
    <w:p>
      <w:pPr>
        <w:pStyle w:val="SourceNote"/>
      </w:pPr>
      <w:r>
        <w:rPr>
          <w:b/>
        </w:rPr>
        <w:t>Available abstract (not full text):</w:t>
      </w:r>
      <w:r>
        <w:t xml:space="preserve"> Background: Childhood obesity is a major public health issue, identifying pathways to it is crucial. The term “obesogenic environment” describes neighborhood traits linked to higher obesity risk, but it’s unclear which environmental factors increase this risk and which neighborhood changes can improve outcomes. Methods: Articles published between 2000 and June 2024 from PubMed, Cochrane Library, and Web of Science databases conducted in EuropeanUnion countries were included, focusing on children aged 0-18. Results: We found 2,531 articles initially and 1,278 in a second search, with 43 meeting all the criteria. Studies examined green space, air and noise pollution, facility richness, sports facilities, food environment, land-use mix, housing, walkability, street connectivity, and traffic. Only food environment and green space showed associations with childhood obesity, which mostly disappeared after adjusting for individual socioeconomic factors. Other environment variables showed no consistent associations. Further research is needed to understand how neighborhood properties influence childhood obesity.</w:t>
      </w:r>
    </w:p>
    <w:p>
      <w:pPr/>
      <w:r>
        <w:rPr>
          <w:b/>
        </w:rPr>
        <w:t>POSSIBLE 2025:</w:t>
      </w:r>
      <w:r>
        <w:t xml:space="preserve"> Education, perception and the future of European human rights — https://openalex.org/W7111648218</w:t>
      </w:r>
    </w:p>
    <w:p>
      <w:pPr/>
      <w:r>
        <w:rPr>
          <w:b/>
        </w:rPr>
        <w:t>Shared claim-specific concepts:</w:t>
      </w:r>
      <w:r>
        <w:t xml:space="preserve"> perception, act, effective; EU scope visible. This is a provisional connection, not an outcome finding.</w:t>
      </w:r>
    </w:p>
    <w:p>
      <w:pPr>
        <w:pStyle w:val="SourceNote"/>
      </w:pPr>
      <w:r>
        <w:rPr>
          <w:b/>
        </w:rPr>
        <w:t>Available abstract (not full text):</w:t>
      </w:r>
      <w:r>
        <w:t xml:space="preserve"> This chapter explores the evolving relationship between public perception, education, and the future of human rights in Europe. In doing so, it focuses on the United Kingdom (UK), a country with complex and checkered history on human rights. Contrary to widespread belief, survey data indicates that public support for human rights remains robust, in the UK and beyond, despite political rhetoric suggesting otherwise. However, a lack of knowledge and awareness among the general public presents challenges to fostering more vocal and effective advocacy for human rights frameworks, such as the European Convention on Human Rights (ECHR) and the Human Rights Act (HRA) 1998. This chapter argues that education is a critical factor in building positive perceptions of human rights. By increasing public awareness and knowledge, citizens are more likely to support and engage with human rights protections. The study examines the historical and current frameworks of human rights in the UK, the disconnect between political claims and public sentiment, and the impact of media coverage on shaping attitudes. The chapter concludes by recommending that Council of Europe member states, including the UK, must prioritise high-quality human rights education to ensure that future generations understand and uphold these protections. Additionally, it calls for more extensive research into the methods of ef</w:t>
      </w:r>
    </w:p>
    <w:p>
      <w:pPr/>
      <w:r>
        <w:rPr>
          <w:b/>
        </w:rPr>
        <w:t>POSSIBLE 2023:</w:t>
      </w:r>
      <w:r>
        <w:t xml:space="preserve"> Public perception of dermatologists in Europe: Results from a population‐based survey — https://doi.org/10.1111/jdv.18988</w:t>
      </w:r>
    </w:p>
    <w:p>
      <w:pPr/>
      <w:r>
        <w:rPr>
          <w:b/>
        </w:rPr>
        <w:t>Shared claim-specific concepts:</w:t>
      </w:r>
      <w:r>
        <w:t xml:space="preserve"> perception, past, all, second, perceived; EU scope visible. This is a provisional connection, not an outcome finding.</w:t>
      </w:r>
    </w:p>
    <w:p>
      <w:pPr>
        <w:pStyle w:val="SourceNote"/>
      </w:pPr>
      <w:r>
        <w:rPr>
          <w:b/>
        </w:rPr>
        <w:t>Available abstract (not full text):</w:t>
      </w:r>
      <w:r>
        <w:t xml:space="preserve"> BACKGROUND: The public perception of dermatology has been poorly investigated in Europe. OBJECTIVE: To determine the general public's perception of dermatologists in Europe. METHODS: This multinational, cross-sectional study was conducted within the framework of the EADV population-based survey on the 'Burden of skin diseases in Europe'. Data were collected using a web-based online survey on a representative sample of the general populations aged 18 years or more of 27 European countries. Proportional quota sampling with replacement design was used for each country. RESULTS: A total of 44,689 adult participants responded to the questionnaire, of whom 18,004 visited a dermatologist in the preceding 3 years. The dermatologist was the second most often visited specialist among all medical specialties, with 69.7%, 72.1%, 42.1% and 78.1% of participants in Western Europe (WE), Eastern Europe (EE), Northern Europe (NE) and Southern Europe (SE), respectively, having consulted a dermatologist over the past 24 months. Most participants across all regions agreed that the dermatologist was the first healthcare provider for chronic skin diseases (61.9% in WE, 69.8% in EE, 45.7% in NE and 60.4% in SE) and for skin cancers (65.5% in WE, 67.6% in EE, 42.4% in NE and 63.0% in SE). The five most common reasons for visiting a dermatologist among all participants were: naevi check-up or skin canc</w:t>
      </w:r>
    </w:p>
    <w:p>
      <w:pPr/>
      <w:r>
        <w:rPr>
          <w:b/>
        </w:rPr>
        <w:t>POSSIBLE 2023:</w:t>
      </w:r>
      <w:r>
        <w:t xml:space="preserve"> Income inequality in Europe: Reality, perceptions, and hopes — https://doi.org/10.1016/j.resglo.2023.100118</w:t>
      </w:r>
    </w:p>
    <w:p>
      <w:pPr/>
      <w:r>
        <w:rPr>
          <w:b/>
        </w:rPr>
        <w:t>Shared claim-specific concepts:</w:t>
      </w:r>
      <w:r>
        <w:t xml:space="preserve"> perception, all, policies, perceived; EU scope visible. This is a provisional connection, not an outcome finding.</w:t>
      </w:r>
    </w:p>
    <w:p>
      <w:pPr>
        <w:pStyle w:val="SourceNote"/>
      </w:pPr>
      <w:r>
        <w:rPr>
          <w:b/>
        </w:rPr>
        <w:t>Available abstract (not full text):</w:t>
      </w:r>
      <w:r>
        <w:t xml:space="preserve"> Is actual income inequality accurately translated into people’s perceptions, and what are the genuine hopes of citizens? Our contribution offers insights into how the reality and two subjective dimensions of income inequality, namely perceptions, and desires, interact. Using data from the Eurobarometer, we study the main patterns of different ‘types’ of inequality (measured by S80/S20 ratio) in the regions of the EU Member States. Considering the role of attitudes and beliefs, the residents of the same region are typically found to hold a similar perception of how unequal their society is. Moreover, and somewhat surprisingly, the reality is contrary to people’s perception since low (high) actual income inequality in the region is often reflected in its overestimated (underestimated) perception. We also show that perceived, and desired inequality are distinct metrics as commonly applied determinants of perceptions are rather weakly associated with desired inequality, probably due to the normative nature of the latter. The evidence presented here implies that objective measures of income inequality should be used in conjunction with subjective ones to gain a complete picture of the phenomenon. Our findings may assist policy-makers and other interested stakeholders in designing dedicated policies to counteract inequality in all its forms.</w:t>
      </w:r>
    </w:p>
    <w:p>
      <w:pPr/>
      <w:r>
        <w:rPr>
          <w:b/>
        </w:rPr>
        <w:t>POSSIBLE 2022:</w:t>
      </w:r>
      <w:r>
        <w:t xml:space="preserve"> The 2018–2020 Multi‐Year Drought Sets a New Benchmark in Europe — https://doi.org/10.1029/2021ef002394</w:t>
      </w:r>
    </w:p>
    <w:p>
      <w:pPr/>
      <w:r>
        <w:rPr>
          <w:b/>
        </w:rPr>
        <w:t>Shared claim-specific concepts:</w:t>
      </w:r>
      <w:r>
        <w:t xml:space="preserve"> past, but, not, compared; EU scope visible. This is a provisional connection, not an outcome finding.</w:t>
      </w:r>
    </w:p>
    <w:p>
      <w:pPr>
        <w:pStyle w:val="SourceNote"/>
      </w:pPr>
      <w:r>
        <w:rPr>
          <w:b/>
        </w:rPr>
        <w:t>Available abstract (not full text):</w:t>
      </w:r>
      <w:r>
        <w:t xml:space="preserve"> Abstract During the period 2018–2020, Europe experienced a series of hot and dry weather conditions with significant socioeconomic and environmental consequences. Yet, the extremity of these multi‐year dry conditions is not recognized. Here, we provide a comprehensive spatio‐temporal assessment of the drought hazard over Europe by benchmarking past exceptional events during the period from 1766 to 2020. We identified the 2018–2020 drought event as a new benchmark having an unprecedented intensity that persisted for more than 2 years, exhibiting a mean areal coverage of 35.6% and an average duration of 12.2 months. What makes this event truly exceptional compared with past events is its near‐surface air temperature anomaly reaching +2.8 K, which constitutes a further evidence that the ongoing global warming is exacerbating present drought events. Furthermore, future events based on climate model simulations Coupled Model Intercomparison Project v5 suggest that Europe should be prepared for events of comparable intensity as the 2018–2020 event but with durations longer than any of those experienced in the last 250 years. Our study thus emphasizes the urgent need for adaption and mitigation strategies to cope with such multi‐year drought events across Europe.</w:t>
      </w:r>
    </w:p>
    <w:p>
      <w:pPr/>
      <w:r>
        <w:rPr>
          <w:b/>
        </w:rPr>
        <w:t>POSSIBLE 2022:</w:t>
      </w:r>
      <w:r>
        <w:t xml:space="preserve"> Shepherd on Meaning, Reference, and Perception — https://doi.org/10.32881/jomp.234</w:t>
      </w:r>
    </w:p>
    <w:p>
      <w:pPr/>
      <w:r>
        <w:rPr>
          <w:b/>
        </w:rPr>
        <w:t>Shared claim-specific concepts:</w:t>
      </w:r>
      <w:r>
        <w:t xml:space="preserve"> reference, perception, meaning; EU scope not established. This is a provisional connection, not an outcome finding.</w:t>
      </w:r>
    </w:p>
    <w:p>
      <w:pPr>
        <w:pStyle w:val="SourceNote"/>
      </w:pPr>
      <w:r>
        <w:rPr>
          <w:b/>
        </w:rPr>
        <w:t>Available abstract (not full text):</w:t>
      </w:r>
      <w:r>
        <w:t xml:space="preserve"> The aim of this paper is to present an interpretation of Shepherd’s account of our most fundamental cognitive powers, most especially the faculty that Shepherd calls perception, which she claims is a unity of contributions from the understanding and the senses. I find that Shepherd is what we would nowadays call a meaning holist: she holds that the meaning of any natural-kind term is constituted by its place in a system of definitions, which system specifies the causal roles of the objects its terms name. Such an account of meaning raises questions about the contact that such a system of definitions, or conceptual scheme, makes with the world. The natural place to seek answers to these questions is in Shepherd’s account of perception, which I argue Shepherd takes to be our most fundamental cognitive faculty. Our cognitive lives begin with perceptions, representations of objects as the cause of those very perceptions of them. With this interpretation in hand, I draw a contrast between it and Boyle’s and Lolordo’s recent work on Shepherd’s theory of meaning. I argue that for Shepherd truths about the causal powers of objects are analytic, and that the relevant empirical questions answered by science concern whether our conceptual scheme accurately represents the world. Finally, I provide additional support for this interpretation by showing that it comports with Shepherd’s critic</w:t>
      </w:r>
    </w:p>
    <w:p>
      <w:pPr/>
      <w:r>
        <w:rPr>
          <w:b/>
        </w:rPr>
        <w:t>POSSIBLE 2022:</w:t>
      </w:r>
      <w:r>
        <w:t xml:space="preserve"> The Ghetto in European Perception: From Cities to Bodies — https://doi.org/10.1162/pajj_a_00601</w:t>
      </w:r>
    </w:p>
    <w:p>
      <w:pPr/>
      <w:r>
        <w:rPr>
          <w:b/>
        </w:rPr>
        <w:t>Shared claim-specific concepts:</w:t>
      </w:r>
      <w:r>
        <w:t xml:space="preserve"> perception, policies, one; EU scope visible. This is a provisional connection, not an outcome finding.</w:t>
      </w:r>
    </w:p>
    <w:p>
      <w:pPr>
        <w:pStyle w:val="SourceNote"/>
      </w:pPr>
      <w:r>
        <w:rPr>
          <w:b/>
        </w:rPr>
        <w:t>Available abstract (not full text):</w:t>
      </w:r>
      <w:r>
        <w:t xml:space="preserve"> Between 2010 and 2015, the political pressure on European countries reached its peak during the so-called "migrant crisis."At that time, migration was already a highly debated issue due to the permanent population flows from Africa and the Middle East, as well as the silent exodus from the East, due to the collapse of communism and the enlargement of the European Union.Yet it became a more pressing matter following the Arab Spring in 2011.Refugees asking for asylum reached their highest numbers since World War II, and new regulatory frameworks among EU member states became a ground for political negotiations.In the meantime, the world witnessed a number of unprecedented tragedies.In October 2013, three hundred and eighty-six people lost their lives on a boat a few miles from the Lampedusa shore.In April 2015, seven hundred shipwrecked victims were counted in the Sicilian Strait.Further, landed migrants came to face new barriers.Following the first attempts at government aid, some were repatriated, most were temporarily confined in camps, while heated discussions revolved about the shared responsibility of Northern countries concerning the distribution of migrants among member states.The sea interventions, containment strategies, and the strengthening of external borders (alongside the emergence of new internal ones) dominated the transnational debate, impacting a number of nati</w:t>
      </w:r>
    </w:p>
    <w:p>
      <w:pPr/>
      <w:r>
        <w:rPr>
          <w:b/>
        </w:rPr>
        <w:t>POSSIBLE 2021:</w:t>
      </w:r>
      <w:r>
        <w:t xml:space="preserve"> Towards peace in Europe: on legal linguistics, prosperity and European identity – the European Reference Language System for the European Union — https://doi.org/10.1515/ijld-2021-2044</w:t>
      </w:r>
    </w:p>
    <w:p>
      <w:pPr/>
      <w:r>
        <w:rPr>
          <w:b/>
        </w:rPr>
        <w:t>Shared claim-specific concepts:</w:t>
      </w:r>
      <w:r>
        <w:t xml:space="preserve"> reference, all, not, way; EU scope visible. This is a provisional connection, not an outcome finding.</w:t>
      </w:r>
    </w:p>
    <w:p>
      <w:pPr>
        <w:pStyle w:val="SourceNote"/>
      </w:pPr>
      <w:r>
        <w:rPr>
          <w:b/>
        </w:rPr>
        <w:t>Available abstract (not full text):</w:t>
      </w:r>
      <w:r>
        <w:t xml:space="preserve"> Abstract The European Union is a legal community of hundreds of millions of people, established in a single market through European law. This is tied to language and translation into 24 official languages, each with equally authentic status. However, this leads to considerable legal differences between Member States and underscores the dominance of English, at the Court of Justice that of French (monolingualism), both of which have no legal foundation. Rule-of-law order (Rechtsstaatlichkeit) is created by the European Reference Language System (Europäisches Referenzsprachensystem), which is presented here as a tool for the urgently required reform of the language laws in the European Union: Not having a hegemonial focus on a single language (and thus on a single legal world) or on the exclusivity of some few languages, it offers a legal-linguistic basis of communication with all treaty languages of the European Union for a clear European law and prosperity. The official languages of the Member States thus preserve the mother tongue reality of the citizens in the sense of the subsidiarity principle (multilingualism). In this way, the citizens and their Union acquire a legally valid voice and identity. This seems necessary in the face of the present restructuring of the world, in order to maintain peace for the people in Europe and to continue promoting their well-being. The basi</w:t>
      </w:r>
    </w:p>
    <w:p>
      <w:pPr/>
      <w:r>
        <w:rPr>
          <w:b/>
        </w:rPr>
        <w:t>POSSIBLE 2021:</w:t>
      </w:r>
      <w:r>
        <w:t xml:space="preserve"> Common European Framework of Reference (CEFR): A Review on Teachers’ Perception &amp; Plurilingualism — https://doi.org/10.4236/ce.2021.124051</w:t>
      </w:r>
    </w:p>
    <w:p>
      <w:pPr/>
      <w:r>
        <w:rPr>
          <w:b/>
        </w:rPr>
        <w:t>Shared claim-specific concepts:</w:t>
      </w:r>
      <w:r>
        <w:t xml:space="preserve"> reference, there, perception, second; EU scope visible. This is a provisional connection, not an outcome finding.</w:t>
      </w:r>
    </w:p>
    <w:p>
      <w:pPr>
        <w:pStyle w:val="SourceNote"/>
      </w:pPr>
      <w:r>
        <w:rPr>
          <w:b/>
        </w:rPr>
        <w:t>Available abstract (not full text):</w:t>
      </w:r>
      <w:r>
        <w:t xml:space="preserve"> Common Framework of Reference (CEFR) is a document produced by the council of Europe (CoE) to set a standard for teaching and learning English as the Second Language (ESL). Propelled by the need to situate Malaysia English language parallel to the standard of the European countries, the Ministry of Education Malaysia rushed the adaptation of CEFR framework into Malaysia education system. Teachers’ lack of training and understanding onCEFR as well as unsuitable content used in the textbook are among the main challenges faced by teachers to name a few. Nonetheless, the key concept of Plurilingualism which served as the principle in CEFR has been given very minimal focus in the syllabus. Considering Malaysia as a multilingual and multicultural country, there is a potential of English Second Language learners to benefit from the concept of plurilingualism given appropriate training and exposure given to the teachers as the gatekeeper of knowledge and information. In fact, plurilingualism could also be the missing piece that could help aid teachers’ understanding of the framework better.</w:t>
      </w:r>
    </w:p>
    <w:p>
      <w:pPr>
        <w:pStyle w:val="Heading2"/>
      </w:pPr>
      <w:r>
        <w:t>972. An assessment of the impact of climate adaptation measures to reduce flood risk on ecosystem services</w:t>
      </w:r>
    </w:p>
    <w:p>
      <w:pPr>
        <w:pStyle w:val="SourceNote"/>
      </w:pPr>
      <w:r>
        <w:rPr>
          <w:b/>
        </w:rPr>
        <w:t>Original source (2012):</w:t>
      </w:r>
      <w:r>
        <w:t xml:space="preserve"> https://doi.org/10.1007/s10980-012-9715-6</w:t>
      </w:r>
    </w:p>
    <w:p>
      <w:pPr/>
      <w:r>
        <w:t>Original wording (abstract; indexed_source_text_not_full_document_verified): Therefore, it is likely that adaptation measures may result in synergies and trade-offs between a range of ecosystems goods and services. The reference scenario is compared to a policy scenario in which a range of measures is implemented to regulate flood risk and protect soils under conditions of climate change.</w:t>
      </w:r>
    </w:p>
    <w:p>
      <w:pPr/>
      <w:r>
        <w:rPr>
          <w:b/>
        </w:rPr>
        <w:t>POSSIBLE 2024:</w:t>
      </w:r>
      <w:r>
        <w:t xml:space="preserve"> Aneuploidy Can Be an Evolutionary Diversion on the Path to Adaptation — https://doi.org/10.1093/molbev/msae052</w:t>
      </w:r>
    </w:p>
    <w:p>
      <w:pPr/>
      <w:r>
        <w:rPr>
          <w:b/>
        </w:rPr>
        <w:t>Shared claim-specific concepts:</w:t>
      </w:r>
      <w:r>
        <w:t xml:space="preserve"> therefore, likely, adaptation, compared, conditions; EU scope not established. This is a provisional connection, not an outcome finding.</w:t>
      </w:r>
    </w:p>
    <w:p>
      <w:pPr>
        <w:pStyle w:val="SourceNote"/>
      </w:pPr>
      <w:r>
        <w:rPr>
          <w:b/>
        </w:rPr>
        <w:t>Available abstract (not full text):</w:t>
      </w:r>
      <w:r>
        <w:t xml:space="preserve"> Aneuploidy is common in eukaryotes, often leading to decreased fitness. However, evidence from fungi and human tumur cells suggests that specific aneuploidies can be beneficial under stressful conditions and facilitate adaptation. In a previous evolutionary experiment with yeast, populations evolving under heat stress became aneuploid, only to later revert to euploidy after beneficial mutations accumulated. It was therefore suggested that aneuploidy is a "stepping stone" on the path to adaptation. Here, we test this hypothesis. We use Bayesian inference to fit an evolutionary model with both aneuploidy and mutation to the experimental results. We then predict the genotype frequency dynamics during the experiment, demonstrating that most of the evolved euploid population likely did not descend from aneuploid cells, but rather from the euploid wild-type population. Our model shows how the beneficial mutation supply-the product of population size and beneficial mutation rate-determines the evolutionary dynamics: with low supply, much of the evolved population descends from aneuploid cells; but with high supply, beneficial mutations are generated fast enough to outcompete aneuploidy due to its inherent fitness cost. Our results suggest that despite its potential fitness benefits under stress, aneuploidy can be an evolutionary "diversion" rather than a "stepping stone": it can delay</w:t>
      </w:r>
    </w:p>
    <w:p>
      <w:pPr/>
      <w:r>
        <w:rPr>
          <w:b/>
        </w:rPr>
        <w:t>POSSIBLE 2023:</w:t>
      </w:r>
      <w:r>
        <w:t xml:space="preserve"> Environmental effects on genetic variance are likely to constrain adaptation in novel environments — https://doi.org/10.1093/evlett/qrad065</w:t>
      </w:r>
    </w:p>
    <w:p>
      <w:pPr/>
      <w:r>
        <w:rPr>
          <w:b/>
        </w:rPr>
        <w:t>Shared claim-specific concepts:</w:t>
      </w:r>
      <w:r>
        <w:t xml:space="preserve"> likely, adaptation, between, conditions; EU scope not established. This is a provisional connection, not an outcome finding.</w:t>
      </w:r>
    </w:p>
    <w:p>
      <w:pPr>
        <w:pStyle w:val="SourceNote"/>
      </w:pPr>
      <w:r>
        <w:rPr>
          <w:b/>
        </w:rPr>
        <w:t>Available abstract (not full text):</w:t>
      </w:r>
      <w:r>
        <w:t xml:space="preserve"> Abstract Adaptive plasticity allows populations to cope with environmental variation but is expected to fail as conditions become unfamiliar. In novel conditions, populations may instead rely on rapid adaptation to increase fitness and avoid extinction. Adaptation should be fastest when both plasticity and selection occur in directions of the multivariate phenotype that contain abundant genetic variation. However, tests of this prediction from field experiments are rare. Here, we quantify how additive genetic variance in a multivariate phenotype changes across an elevational gradient, and test whether plasticity and selection align with genetic variation. We do so using two closely related, but ecologically distinct, sister species of Sicilian daisy (Senecio, Asteraceae) adapted to high and low elevations on Mt. Etna. Using a quantitative genetic breeding design, we generated and then reciprocally planted c. 19,000 seeds of both species, across an elevational gradient spanning each species’ native elevation, and then quantified mortality and five leaf traits of emergent seedlings. We found that genetic variance in leaf traits changed more across elevations than between species. The high-elevation species at novel lower elevations showed changes in the distribution of genetic variance among the leaf traits, which reduced the amount of genetic variance in the directions of select</w:t>
      </w:r>
    </w:p>
    <w:p>
      <w:pPr/>
      <w:r>
        <w:rPr>
          <w:b/>
        </w:rPr>
        <w:t>POSSIBLE 2021:</w:t>
      </w:r>
      <w:r>
        <w:t xml:space="preserve"> Environmental effects on genetic variance are likely to constrain adaptation in novel environments — https://doi.org/10.1101/2021.02.08.430333</w:t>
      </w:r>
    </w:p>
    <w:p>
      <w:pPr/>
      <w:r>
        <w:rPr>
          <w:b/>
        </w:rPr>
        <w:t>Shared claim-specific concepts:</w:t>
      </w:r>
      <w:r>
        <w:t xml:space="preserve"> likely, adaptation, between, conditions; EU scope not established. This is a provisional connection, not an outcome finding.</w:t>
      </w:r>
    </w:p>
    <w:p>
      <w:pPr>
        <w:pStyle w:val="SourceNote"/>
      </w:pPr>
      <w:r>
        <w:rPr>
          <w:b/>
        </w:rPr>
        <w:t>Available abstract (not full text):</w:t>
      </w:r>
      <w:r>
        <w:t xml:space="preserve"> Abstract Adaptive plasticity allows populations to cope with environmental variation but is expected to fail as conditions become unfamiliar. In novel conditions, populations may instead rely on rapid adaptation to increase fitness and avoid extinction. Adaptation should be fastest when both plasticity and selection occur in directions of the multivariate phenotype that contain abundant genetic variation. However, tests of this prediction from field experiments are rare. Here, we quantify how additive genetic variance in a multivariate phenotype changes across an elevational gradient, and test whether plasticity and selection align with genetic variation. We do so using two closely related, but ecologically distinct, sister species of Sicilian daisy ( Senecio, Asteraceae) adapted to high and low elevations on Mount Etna. Using a paternal half-sibling breeding design, we generated and then reciprocally planted c.19,000 seeds of both species, across an elevational gradient spanning each species’ native elevation, and then quantified mortality and five leaf traits of emergent seedlings. We found that genetic variance in leaf traits changed more across elevations than between species. The high-elevation species at novel lower elevations showed changes in the distribution of genetic variance among the leaf traits, which reduced the amount of genetic variance in the directions of sel</w:t>
      </w:r>
    </w:p>
    <w:p>
      <w:pPr/>
      <w:r>
        <w:rPr>
          <w:b/>
        </w:rPr>
        <w:t>POSSIBLE 2021:</w:t>
      </w:r>
      <w:r>
        <w:t xml:space="preserve"> A global assessment of policy tools to support climate adaptation — https://doi.org/10.1080/14693062.2021.2002251</w:t>
      </w:r>
    </w:p>
    <w:p>
      <w:pPr/>
      <w:r>
        <w:rPr>
          <w:b/>
        </w:rPr>
        <w:t>Shared claim-specific concepts:</w:t>
      </w:r>
      <w:r>
        <w:t xml:space="preserve"> therefore, likely, adaptation, result, between, climate; EU scope not established. This is a provisional connection, not an outcome finding.</w:t>
      </w:r>
    </w:p>
    <w:p>
      <w:pPr>
        <w:pStyle w:val="SourceNote"/>
      </w:pPr>
      <w:r>
        <w:rPr>
          <w:b/>
        </w:rPr>
        <w:t>Available abstract (not full text):</w:t>
      </w:r>
      <w:r>
        <w:t xml:space="preserve"> Governments, businesses, and civil society organizations have diverse policy tools to incentivize adaptation. Policy tools can shape the type and extent of adaptation, and therefore, function either as barriers or enablers for reducing risk and vulnerability. Using data from a systematic review of academic literature on global adaptation responses to climate change (n = 1549 peer-reviewed articles), we categorize the types of policy tools used to shape climate adaptation. We apply qualitative and quantitative analyses to assess the contexts where particular tools are used, along with equity implications for groups targeted by the tools, and the tools’ relationships with transformational adaptation indicators such as the depth, scope, and speed of adaptation. We find diverse types of tools documented across sectors and geographic regions. We also identify a mismatch between the tools that consider equity and those that yield more transformational adaptations. Direct regulations, plans, and capacity building are associated with higher depth and scope of adaptation (thus transformational adaptation), while economic instruments, information provisioning, and networks are not; the latter tools, however, are more likely to target marginalized groups in their design and implementation. We identify multiple research gaps, including a need to assess instrument mixes rather than single t</w:t>
      </w:r>
    </w:p>
    <w:p>
      <w:pPr/>
      <w:r>
        <w:rPr>
          <w:b/>
        </w:rPr>
        <w:t>POSSIBLE 2021:</w:t>
      </w:r>
      <w:r>
        <w:t xml:space="preserve"> Greening is a promising but likely insufficient adaptation strategy to limit the health impacts of extreme heat — https://doi.org/10.1016/j.envint.2021.106441</w:t>
      </w:r>
    </w:p>
    <w:p>
      <w:pPr/>
      <w:r>
        <w:rPr>
          <w:b/>
        </w:rPr>
        <w:t>Shared claim-specific concepts:</w:t>
      </w:r>
      <w:r>
        <w:t xml:space="preserve"> therefore, likely, adaptation, compared, climate; EU scope not established. This is a provisional connection, not an outcome finding.</w:t>
      </w:r>
    </w:p>
    <w:p>
      <w:pPr>
        <w:pStyle w:val="SourceNote"/>
      </w:pPr>
      <w:r>
        <w:rPr>
          <w:b/>
        </w:rPr>
        <w:t>Available abstract (not full text):</w:t>
      </w:r>
      <w:r>
        <w:t xml:space="preserve"> BACKGROUND: Adapting the urban environment to heat is a public health priority in the context of climate change. Cities are now considering interventions on specific urban characteristics known to contribute to the urban heat island (UHI) such as vegetation and imperviousness. OBJECTIVES: To explore how these urban characteristics influence the temperature-mortality relationship in the Paris region. METHODS: We modeled the temperature-mortality relationship for the 1300 municipalities of the region from 1990 to 2015, while including an interaction with indicators that summarize the municipalities' main urban characteristics. Four indicators were tested: lack of green spaces, lack of trees, proportion of impervious surface, and overexposed population to a potential night UHI. RESULTS: The shape of the temperature-mortality relationship was similar across all municipalities, but with a higher slope at the highest temperatures in municipalities with less green spaces, less trees, and more impervious soil. For instance, in Paris and its close suburbs, the relative risk associated with a temperature in the 99th percentile of the temperature distribution (compared to the 50th percentile) was 2.17 [IC95% 1.98:2.38] in municipalities with 40% of their surface covered by trees compared to 2.57 [IC 95% 2.47:2.68] in municipalities with only 3% of their surface covered by trees. DISCUSSIO</w:t>
      </w:r>
    </w:p>
    <w:p>
      <w:pPr/>
      <w:r>
        <w:rPr>
          <w:b/>
        </w:rPr>
        <w:t>POSSIBLE 2020:</w:t>
      </w:r>
      <w:r>
        <w:t xml:space="preserve"> Parallel flowering time clines in native and introduced ragweed populations are likely due to adaptation — https://doi.org/10.1002/ece3.6163</w:t>
      </w:r>
    </w:p>
    <w:p>
      <w:pPr/>
      <w:r>
        <w:rPr>
          <w:b/>
        </w:rPr>
        <w:t>Shared claim-specific concepts:</w:t>
      </w:r>
      <w:r>
        <w:t xml:space="preserve"> likely, adaptation, result, between, range, climate; EU scope visible. This is a provisional connection, not an outcome finding.</w:t>
      </w:r>
    </w:p>
    <w:p>
      <w:pPr>
        <w:pStyle w:val="SourceNote"/>
      </w:pPr>
      <w:r>
        <w:rPr>
          <w:b/>
        </w:rPr>
        <w:t>Available abstract (not full text):</w:t>
      </w:r>
      <w:r>
        <w:t xml:space="preserve"> As introduced species expand their ranges, they often encounter differences in climate which are often correlated with geography. For introduced species, encountering a geographically variable climate sometimes leads to the re-establishment of clines seen in the native range. However, clines can also be caused by neutral processes, and so it is important to gather additional evidence that population differentiation is the result of selection as opposed to nonadaptive processes. Here, we examine phenotypic and genetic differences in ragweed from the native (North America) and introduced (European) ranges. We used a common garden to assess phenotypic differentiation in size and flowering time in ragweed populations. We found significant parallel clines in flowering time in both North America and Europe. Height and branch number had significant clines in North America, and, while not statistically significant, the patterns in Europe were the same. We used SNP data to assess population structure in both ranges and to compare phenotypic differentiation to neutral genetic variation. We failed to detect significant patterns of isolation by distance, geographic patterns in population structure, or correlations between the major axes of SNP variation and phenotypes or latitude of origin. We conclude that the North American clines in size and the parallel clines seen for flowering time a</w:t>
      </w:r>
    </w:p>
    <w:p>
      <w:pPr/>
      <w:r>
        <w:rPr>
          <w:b/>
        </w:rPr>
        <w:t>POSSIBLE 2020:</w:t>
      </w:r>
      <w:r>
        <w:t xml:space="preserve"> Synergies and Trade-Offs in Reaching the Sustainable Development Goals — https://doi.org/10.3390/su12208729</w:t>
      </w:r>
    </w:p>
    <w:p>
      <w:pPr/>
      <w:r>
        <w:rPr>
          <w:b/>
        </w:rPr>
        <w:t>Shared claim-specific concepts:</w:t>
      </w:r>
      <w:r>
        <w:t xml:space="preserve"> synergies, trade-offs, between; EU scope not established. This is a provisional connection, not an outcome finding.</w:t>
      </w:r>
    </w:p>
    <w:p>
      <w:pPr>
        <w:pStyle w:val="SourceNote"/>
      </w:pPr>
      <w:r>
        <w:rPr>
          <w:b/>
        </w:rPr>
        <w:t>Available abstract (not full text):</w:t>
      </w:r>
      <w:r>
        <w:t xml:space="preserve"> The Sustainable Development Goals (SDGs) adopted in 2015 integrate diverse issues such as addressing hunger, gender equality and clean energy and set a common agenda for all United Nations member states until 2030. The 17 SDGs interact and by working towards achieving one goal countries may further—or jeopardise—progress on others. However, the direction and strength of these interactions are still poorly understood and it remains an analytical challenge to capture the relationships between the multi-dimensional goals, comprising 169 targets and over 200 indicators. Here, we use principal component analysis (PCA), an in this context novel approach, to summarise each goal and interactions in the global SDG agenda. Applying PCA allows us to map trends, synergies and trade-offs at the level of goals for all SDGs while using all available information on indicators. While our approach does not allow us to investigate causal relationships, it provides important evidence of the degree of compatibility of goal attainment over time. Based on global data 2000–2016, our results indicate that synergies between and within the SDGs prevail, both in terms of levels and over time change. An exception is SDG 10 ‘Reducing inequalities’ which has not progressed in tandem with other goals.</w:t>
      </w:r>
    </w:p>
    <w:p>
      <w:pPr/>
      <w:r>
        <w:rPr>
          <w:b/>
        </w:rPr>
        <w:t>POSSIBLE 2020:</w:t>
      </w:r>
      <w:r>
        <w:t xml:space="preserve"> Trade-offs and synergies in the ecosystem service demand of urban brownfield stakeholders — https://doi.org/10.1016/j.ecoser.2020.101074</w:t>
      </w:r>
    </w:p>
    <w:p>
      <w:pPr/>
      <w:r>
        <w:rPr>
          <w:b/>
        </w:rPr>
        <w:t>Shared claim-specific concepts:</w:t>
      </w:r>
      <w:r>
        <w:t xml:space="preserve"> therefore, synergies, trade-offs, between, range, services; EU scope not established. This is a provisional connection, not an outcome finding.</w:t>
      </w:r>
    </w:p>
    <w:p>
      <w:pPr>
        <w:pStyle w:val="SourceNote"/>
      </w:pPr>
      <w:r>
        <w:rPr>
          <w:b/>
        </w:rPr>
        <w:t>Available abstract (not full text):</w:t>
      </w:r>
      <w:r>
        <w:t xml:space="preserve"> Brownfield site redevelopment presents an opportunity to create urban green spaces that provide a wide range of ecosystem services. It is important, therefore, to understand which ecosystem services are demanded by stakeholders and whether there are trade-offs or synergies in this demand. We performed a quantitative survey of ecosystem service demand from brownfield sites that included all major stakeholder groups. Results showed that there was a strong trade-off between demand for services related to property development (e.g. ground strength and low flood risk) and all other services, which were linked to vegetated sites. There was a secondary, but weak, trade-off between demand for services of more ‘natural’ vegetated sites (e.g. with a biodiversity protection role) and those linked to aesthetics and recreation. Stakeholders with a strong preference for biodiversity protection formed a distinct group in their ecosystem service demands. While a ‘development’ vs ‘green space’ trade-off may be unavoidable, the general lack of strong trade-offs in demand for other services indicated that the creation of multifunctional greenspaces from former brownfield sites would be desirable to most stakeholders, as long as these are biophysically possible.</w:t>
      </w:r>
    </w:p>
    <w:p>
      <w:pPr/>
      <w:r>
        <w:rPr>
          <w:b/>
        </w:rPr>
        <w:t>POSSIBLE 2020:</w:t>
      </w:r>
      <w:r>
        <w:t xml:space="preserve"> Climate Change Adaptation Options for Coastal Communities and Local Governments — https://doi.org/10.3390/cli8010007</w:t>
      </w:r>
    </w:p>
    <w:p>
      <w:pPr/>
      <w:r>
        <w:rPr>
          <w:b/>
        </w:rPr>
        <w:t>Shared claim-specific concepts:</w:t>
      </w:r>
      <w:r>
        <w:t xml:space="preserve"> therefore, likely, adaptation, measures, protect, climate; EU scope not established. This is a provisional connection, not an outcome finding.</w:t>
      </w:r>
    </w:p>
    <w:p>
      <w:pPr>
        <w:pStyle w:val="SourceNote"/>
      </w:pPr>
      <w:r>
        <w:rPr>
          <w:b/>
        </w:rPr>
        <w:t>Available abstract (not full text):</w:t>
      </w:r>
      <w:r>
        <w:t xml:space="preserve"> Extreme weather events and failure to adapt to the likely impacts of climate change are two of the most significant threats to humanity. Therefore, many local communities are preparing adaptation plans. Even so, much of what was done has not been published in the peer-reviewed literature. This means that consideration of adaptation options for local communities is limited. With the objective of assisting in the development of adaptation plans, we present 80 adaptation options suitable for coastal communities that can be applied by local governments. They are a catena of options from defend to co-exist and finally, retreat that progresses as impacts become less manageable. Options are organized according to their capacity to protect local properties and infrastructure, natural systems, food production, availability of fresh and drinking water and well-being of the local population, as these are likely to be affected by climate change. To respond to multiple threats, ‘soft’ options, such as awareness raising, planning, political articulation and financial incentives, insurance and professional skills enhancement, can be encouraged immediately at relatively low cost and are reversible. For specific threats, options emphasize change in management practices as pre-emptive measures. Key audiences for this work are communities and local governments starting to consider priority action</w:t>
      </w:r>
    </w:p>
    <w:p>
      <w:pPr/>
      <w:r>
        <w:rPr>
          <w:b/>
        </w:rPr>
        <w:t>POSSIBLE 2020:</w:t>
      </w:r>
      <w:r>
        <w:t xml:space="preserve"> Adoption by adaptation: moving from Conservation Agriculture to conservation practices — https://doi.org/10.1080/14735903.2020.1785734</w:t>
      </w:r>
    </w:p>
    <w:p>
      <w:pPr/>
      <w:r>
        <w:rPr>
          <w:b/>
        </w:rPr>
        <w:t>Shared claim-specific concepts:</w:t>
      </w:r>
      <w:r>
        <w:t xml:space="preserve"> therefore, adaptation, trade-offs, soils, conditions; EU scope not established. This is a provisional connection, not an outcome finding.</w:t>
      </w:r>
    </w:p>
    <w:p>
      <w:pPr>
        <w:pStyle w:val="SourceNote"/>
      </w:pPr>
      <w:r>
        <w:rPr>
          <w:b/>
        </w:rPr>
        <w:t>Available abstract (not full text):</w:t>
      </w:r>
      <w:r>
        <w:t xml:space="preserve"> Conservation Agriculture (CA) is a Sustainable Agricultural Intensification strategy based on minimum soil disturbance, permanent soil coverage by living or dead biomass, and diversification of crop rotations. We reviewed the literature on benefits, trade-offs, adoption and adaptation of CA in sub-Saharan Africa (SSA). While CA can improve soils and sustain crop yields, benefits are inconsistent and there are trade-offs with crop residue use, weeds and insect pests, labour demands and short-term yield penalties. Adoption rates by smallholders in sub-Saharan Africa are generally low. We hypothesize that underlying adoption constraints are 1) the magnitude of transformation of management practices required from farmers moving to CA, 2) the multiple inherent trade-offs associated with CA practices and 3) the incompatibility of CA practices to local conditions. We suggest CA adoption in SSA could be improved by focusing the promotion of CA to environments where it best fits, or by facilitating smallholders’ adaptation of the practices of CA to respond to their conditions and constraints. We, therefore, propose to move from Conservation Agriculture to Conservation Practices by: (A) identifying and overcoming locally important CA trade-offs through adaptations and complementary practices, and (B) finding farm-specific optimal combinations of practices in terms of feasibility and bene</w:t>
      </w:r>
    </w:p>
    <w:p>
      <w:pPr/>
      <w:r>
        <w:rPr>
          <w:b/>
        </w:rPr>
        <w:t>POSSIBLE 2020:</w:t>
      </w:r>
      <w:r>
        <w:t xml:space="preserve"> Major Climate risks and Adaptation Strategies of Smallholder Farmers in Coastal Bangladesh — https://doi.org/10.1007/s00267-020-01291-8</w:t>
      </w:r>
    </w:p>
    <w:p>
      <w:pPr/>
      <w:r>
        <w:rPr>
          <w:b/>
        </w:rPr>
        <w:t>Shared claim-specific concepts:</w:t>
      </w:r>
      <w:r>
        <w:t xml:space="preserve"> therefore, likely, adaptation, compared, climate; EU scope not established. This is a provisional connection, not an outcome finding.</w:t>
      </w:r>
    </w:p>
    <w:p>
      <w:pPr>
        <w:pStyle w:val="SourceNote"/>
      </w:pPr>
      <w:r>
        <w:rPr>
          <w:b/>
        </w:rPr>
        <w:t>Available abstract (not full text):</w:t>
      </w:r>
      <w:r>
        <w:t xml:space="preserve"> Rural households in South Asia's coastal deltas face numerous livelihood challenges, including risks posed by climatic variability and extreme weather events. This study examines major climate risks, farmers' adaptation strategies, and the factors affecting the choice of those strategies using data collected from 630 households in southwestern coastal Bangladesh. Farmers identified cyclones, excessive rain and flooding, and salinity as direct climate risks. Increased crop diseases/pests and livestock diseases were perceived as indirect risks resulting from climatic variability. Farmers used multiple adaptation strategies against those risks such as modifications in farm management, use of savings and borrowing funds from family and neighbors, and periodically reducing household food consumption. Off-farm employment and seeking assistance from governmental as well as non-governmental organizations (NGOs) were also common adaptation strategies. The results show that male-headed households are more likely to change farming practices and reduce consumption compared with female-headed households that conversely tended to take assistance from NGOs as an adaptation strategy. Ownership of land and livestock, as well as farmers' prior exposure to climate change and educational training, also had a significant effect on the choice of adaptation strategy. Therefore, development interventi</w:t>
      </w:r>
    </w:p>
    <w:p>
      <w:pPr/>
      <w:r>
        <w:rPr>
          <w:b/>
        </w:rPr>
        <w:t>POSSIBLE 2020:</w:t>
      </w:r>
      <w:r>
        <w:t xml:space="preserve"> Warming-level dependent adaptation requirements and consequent limits to adaptation — https://doi.org/10.5194/egusphere-egu2020-10527</w:t>
      </w:r>
    </w:p>
    <w:p>
      <w:pPr/>
      <w:r>
        <w:rPr>
          <w:b/>
        </w:rPr>
        <w:t>Shared claim-specific concepts:</w:t>
      </w:r>
      <w:r>
        <w:t xml:space="preserve"> therefore, likely, adaptation, measures, implemented, conditions; EU scope not established. This is a provisional connection, not an outcome finding.</w:t>
      </w:r>
    </w:p>
    <w:p>
      <w:pPr>
        <w:pStyle w:val="SourceNote"/>
      </w:pPr>
      <w:r>
        <w:rPr>
          <w:b/>
        </w:rPr>
        <w:t>Available abstract (not full text):</w:t>
      </w:r>
      <w:r>
        <w:t xml:space="preserve"> The level of detail to understand the impacts associated with different levels of global temperature increase across space and time is increasing with and since the publication of the IPCC Special Report on Global Warming of 1.5°C (SR1.5). However, current adaptation assessments are limited in picking up this information to understand what the implications of different impact pathways are for adaptation. Yet, the intensity, frequency and timing of impacts are critical determinants of the feasibility of different adaptation options and their associated costs. There is increasing awareness that limits to adaptation are likely to be approached or crossed with higher levels of warming, however differential analyses of adaptation needs as a consequence of different warming pathways are so far limited. While case study based assessment of warming- and scenario-depend adaptation responses are emerging, so far an aggregated regional to global assessment is lacking. Adaptation is often seen as a process that can draw on existing approaches that have been successfully implemented elsewhere, assuming that a linear increase of impacts would allow impacted regions to scale existing approaches to deal with hazards. However, climate impacts are unlikely to increase in a linear fashion across space and time and we are likely to enter new regimes of impacts in terms of intensity and frequency, </w:t>
      </w:r>
    </w:p>
    <w:p>
      <w:pPr>
        <w:pStyle w:val="Heading2"/>
      </w:pPr>
      <w:r>
        <w:t>973. Backcasting scenarios for Finland 2050 of low emissions</w:t>
      </w:r>
    </w:p>
    <w:p>
      <w:pPr>
        <w:pStyle w:val="SourceNote"/>
      </w:pPr>
      <w:r>
        <w:rPr>
          <w:b/>
        </w:rPr>
        <w:t>Original source (2012):</w:t>
      </w:r>
      <w:r>
        <w:t xml:space="preserve"> https://doi.org/10.1108/14636681211256099</w:t>
      </w:r>
    </w:p>
    <w:p>
      <w:pPr/>
      <w:r>
        <w:t>Original wording (abstract; indexed_source_text_not_full_document_verified): It is important to note, however, that in the way the exercise was carried out in this case, it is only possible to view future development through qualitative arguments. Purpose The objective of this paper is to present an example on how futures studies methodologies, especially backcasting, can be used to assist public policy formulation.</w:t>
      </w:r>
    </w:p>
    <w:p>
      <w:pPr/>
      <w:r>
        <w:rPr>
          <w:b/>
        </w:rPr>
        <w:t>POSSIBLE 2025:</w:t>
      </w:r>
      <w:r>
        <w:t xml:space="preserve"> Factors that determine the level of participation in sport and exercise—an analyze of public policy for sport and exercise in European countries — https://doi.org/10.3389/fspor.2025.1633869</w:t>
      </w:r>
    </w:p>
    <w:p>
      <w:pPr/>
      <w:r>
        <w:rPr>
          <w:b/>
        </w:rPr>
        <w:t>Shared claim-specific concepts:</w:t>
      </w:r>
      <w:r>
        <w:t xml:space="preserve"> important, exercise; EU scope visible. This is a provisional connection, not an outcome finding.</w:t>
      </w:r>
    </w:p>
    <w:p>
      <w:pPr>
        <w:pStyle w:val="SourceNote"/>
      </w:pPr>
      <w:r>
        <w:rPr>
          <w:b/>
        </w:rPr>
        <w:t>Available abstract (not full text):</w:t>
      </w:r>
      <w:r>
        <w:t xml:space="preserve"> Introduction: The burgeoning issue of physical inactivity on a global scale, prominently underscored by the World Health Organization (WHO) and the European Union (EU), poses significant health challenges. This necessitates a concerted effort to elevate levels of physical activity. This paper delves into the public policies concerning sport and exercise within EU countries to identify pivotal factors that encourage sports and exercise participation. Methods: Employing data from Eurostat, Eurobarometer, and Eurofound, this study investigates the patterns of sports participation across Europe. The analysis encompasses descriptive statistics, correlation analyses, and multivariate regression models, with a focus on variables such as economic prosperity, educational attainment, and governance quality. Results: The findings reveal a weak correlation between public expenditure on sports and participation rates. Interestingly, Eastern and Southern European countries allocate a proportionally higher share of their budgets to sports yet report lower participation rates. Moreover, the quality of governance and overall economic conditions emerge as important factors, displaying a robust association with participation rates and eclipsing the potential impact of direct government spending. Discussion: The study highlights the limited direct impact of public sports policies, emphasizing the </w:t>
      </w:r>
    </w:p>
    <w:p>
      <w:pPr/>
      <w:r>
        <w:rPr>
          <w:b/>
        </w:rPr>
        <w:t>POSSIBLE 2024:</w:t>
      </w:r>
      <w:r>
        <w:t xml:space="preserve"> Regulatory scoping exercise for the future adoption of autonomous inland ships in Europe — https://doi.org/10.1186/s41072-023-00160-x</w:t>
      </w:r>
    </w:p>
    <w:p>
      <w:pPr/>
      <w:r>
        <w:rPr>
          <w:b/>
        </w:rPr>
        <w:t>Shared claim-specific concepts:</w:t>
      </w:r>
      <w:r>
        <w:t xml:space="preserve"> important, exercise, objective; EU scope visible. This is a provisional connection, not an outcome finding.</w:t>
      </w:r>
    </w:p>
    <w:p>
      <w:pPr>
        <w:pStyle w:val="SourceNote"/>
      </w:pPr>
      <w:r>
        <w:rPr>
          <w:b/>
        </w:rPr>
        <w:t>Available abstract (not full text):</w:t>
      </w:r>
      <w:r>
        <w:t xml:space="preserve"> Abstract Shipping is a heavily regulated sector, and autonomous ships will by no means be able to escape the public regulator’s agenda. Furthermore, regulatory adaptation is necessary because current laws oppose the introduction of this new technology. In contrast to maritime shipping, in which considerable regulatory work on autonomous ships has already been achieved, the process of adapting inland shipping regulations for autonomous vessels is rather slow, thereby considerably hindering the further development of the sector. An important reason for this is the multi-levelled regulatory institutional structure in European inland shipping, which consequently has less unified rules than its maritime counterpart. In addition, previous research on regulatory obstacles is highly fragmented and restricted in scope. This study presents a systematic regulatory analysis of relevant inland shipping regulations by following the approach adopted by the International Maritime Organisation with respect to maritime shipping regulations, with the objective of identifying potential obstacles in relevant regulatory instruments and common themes across them. It also discusses the existing possibilities under current European Union law for the exceptional operation of autonomous inland ships and describes the latest policy directions taken by the European legislator to foster innovation developme</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important, case, used;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2023:</w:t>
      </w:r>
      <w:r>
        <w:t xml:space="preserve"> Overview of the European species of the genus Clitocella (Entolomataceae, Agaricales) with notes on extralimital taxa — https://doi.org/10.3767/persoonia.2023.50.04</w:t>
      </w:r>
    </w:p>
    <w:p>
      <w:pPr/>
      <w:r>
        <w:rPr>
          <w:b/>
        </w:rPr>
        <w:t>Shared claim-specific concepts:</w:t>
      </w:r>
      <w:r>
        <w:t xml:space="preserve"> out, present, used; EU scope visible. This is a provisional connection, not an outcome finding.</w:t>
      </w:r>
    </w:p>
    <w:p>
      <w:pPr>
        <w:pStyle w:val="SourceNote"/>
      </w:pPr>
      <w:r>
        <w:rPr>
          <w:b/>
        </w:rPr>
        <w:t>Available abstract (not full text):</w:t>
      </w:r>
      <w:r>
        <w:t xml:space="preserve"> A revision, based on morphological and multigene analysis, of the Clitocella species currently present in Europe is provided. Portions of nrITS rDNA, nr28S rDNA (LSU), RNA polymerase II second largest subunit (RPB2), translation elongation factor 1-alpha (EF-1α), and ATPase subunit 6 (ATP6), were used to sort out the relationships of the species within the genus. Three subgenera were recognized: Clitocella subg. Clitocella encompassing C.popinalis, C.colorata, C.mundula, C.nigrescens, C.obscura and the new species C.solaris from Switzerland; the new Clitocella subg. Paraclitopilus including C.fallax and C.blancii; and the new Clitocella subg. Rhodopleurella for accommodating C. termitophila, a peculiar entity characterized by a pleurotoid habit and growing on decaying, abandoned termite nests in the Dominican Republic. Clitocella colorata originally described from China is here reported and described for the first time in Europe (Italy and Estonia). Rhodocybe cupressicola and Clitopilus ammophilus are reduced to later synonyms of Rhodopaxillus nigrescens; similarly, Clitopilus amarus is treated as a later synonym of Omphalia fallax while Rhodocybe amarella and R. ochraceopallida of Rhodopaxillus blancii. Finally, Austrian and Swedish herbarium collections identified as Rhodocybe, a doubtful taxon considered by several modern authors occasionally as either a similar but distinct</w:t>
      </w:r>
    </w:p>
    <w:p>
      <w:pPr/>
      <w:r>
        <w:rPr>
          <w:b/>
        </w:rPr>
        <w:t>POSSIBLE 2021:</w:t>
      </w:r>
      <w:r>
        <w:t xml:space="preserve"> Environmental Restrictions on the Exercise of Land Rights: European Experience — https://doi.org/10.33687/ijae.009.00.3963</w:t>
      </w:r>
    </w:p>
    <w:p>
      <w:pPr/>
      <w:r>
        <w:rPr>
          <w:b/>
        </w:rPr>
        <w:t>Shared claim-specific concepts:</w:t>
      </w:r>
      <w:r>
        <w:t xml:space="preserve"> exercise, purpose, present; EU scope visible. This is a provisional connection, not an outcome finding.</w:t>
      </w:r>
    </w:p>
    <w:p>
      <w:pPr>
        <w:pStyle w:val="SourceNote"/>
      </w:pPr>
      <w:r>
        <w:rPr>
          <w:b/>
        </w:rPr>
        <w:t>Available abstract (not full text):</w:t>
      </w:r>
      <w:r>
        <w:t xml:space="preserve"> The current land reforms in Ukraine are aimed at supporting the rational use and protection of land protection. At the same time, as a result of difficult social, political and economic conditions, the processes of exercising rights to land resources have become more complicated. Ploughed land reaches 57% of the total territory, which is the highest rate in the world. The purpose of the study is to determine the essence of environmental restrictions on the exercise of land rights in the context of new land relations based on the experience of European countries, as well as to reveal the conceptual foundations of land use at the present stage of legislative and regulatory issues. Modern processes do not meet the requirements of rational use of natural resources, violating acceptable ratios. Problems with the balance of nutrients in agriculture and violation of environmentally acceptable areas of the environment have become more acute. Rules on environmental restrictions are established on the territory of the state to resolve issues of land use and protection. Their compliance is a prerequisite for all executive authorities in the field of environmental restrictions, as well as for all individuals and legal entities that are users or owners of land resources. The practical significance lies in the justification of methods and tools for rationing restrictions on the protection of</w:t>
      </w:r>
    </w:p>
    <w:p>
      <w:pPr/>
      <w:r>
        <w:rPr>
          <w:b/>
        </w:rPr>
        <w:t>POSSIBLE 2021:</w:t>
      </w:r>
      <w:r>
        <w:t xml:space="preserve"> Human Babesiosis in Europe — https://doi.org/10.3390/pathogens10091165</w:t>
      </w:r>
    </w:p>
    <w:p>
      <w:pPr/>
      <w:r>
        <w:rPr>
          <w:b/>
        </w:rPr>
        <w:t>Shared claim-specific concepts:</w:t>
      </w:r>
      <w:r>
        <w:t xml:space="preserve"> case, present, especially; EU scope visible. This is a provisional connection, not an outcome finding.</w:t>
      </w:r>
    </w:p>
    <w:p>
      <w:pPr>
        <w:pStyle w:val="SourceNote"/>
      </w:pPr>
      <w:r>
        <w:rPr>
          <w:b/>
        </w:rPr>
        <w:t>Available abstract (not full text):</w:t>
      </w:r>
      <w:r>
        <w:t xml:space="preserve"> Babesiosis is attracting increasing attention as a worldwide emerging zoonosis. The first case of human babesiosis in Europe was described in the late 1950s and since then more than 60 cases have been reported in Europe. While the disease is relatively rare in Europe, it is significant because the majority of cases present as life-threatening fulminant infections, mainly in immunocompromised patients. Although appearing clinically similar to human babesiosis elsewhere, particularly in the USA, most European forms of the disease are distinct entities, especially concerning epidemiology, human susceptibility to infection and clinical management. This paper describes the history of the disease and reviews all published cases that have occurred in Europe with regard to the identity and genetic characteristics of the etiological agents, pathogenesis, aspects of epidemiology including the eco-epidemiology of the vectors, the clinical courses of infection, diagnostic tools and clinical management and treatment.</w:t>
      </w:r>
    </w:p>
    <w:p>
      <w:pPr/>
      <w:r>
        <w:rPr>
          <w:b/>
        </w:rPr>
        <w:t>POSSIBLE 2021:</w:t>
      </w:r>
      <w:r>
        <w:t xml:space="preserve"> A Hermeneutic Exercise of the Convergence between National Features and the Modernity of the European Spirit — https://doi.org/10.54481/intertext.2021.1.02</w:t>
      </w:r>
    </w:p>
    <w:p>
      <w:pPr/>
      <w:r>
        <w:rPr>
          <w:b/>
        </w:rPr>
        <w:t>Shared claim-specific concepts:</w:t>
      </w:r>
      <w:r>
        <w:t xml:space="preserve"> however, exercise, carried, out, present; EU scope visible. This is a provisional connection, not an outcome finding.</w:t>
      </w:r>
    </w:p>
    <w:p>
      <w:pPr>
        <w:pStyle w:val="SourceNote"/>
      </w:pPr>
      <w:r>
        <w:rPr>
          <w:b/>
        </w:rPr>
        <w:t>Available abstract (not full text):</w:t>
      </w:r>
      <w:r>
        <w:t xml:space="preserve"> However ungrateful the situation of Romanian writers who express themselves by means of a language with a limited circulation – the Romanian language – may remain, quite a few of them are European writers. This is reflected in the role they play in their national literature, the modern contents and artistic expressivity of their works and, last but not least, their commitment to the active conscience of human community. The present article is aimed at undertaking a hermeneutical exercise of a centuries-old, fruitful history of cultural and literary Franco-Romanian relations from the beginning until the second half of the 19th century. We will mainly address the topic of Vasile Alecsandri and his generation, who struggled with all responsibility for the development of these relations. This study proves how the Romanian writer, truly European by character, knew that the convergence between national specificity and the modernity of the European spirit is the basis for literary success, the longevity of his works and the cultural relations between his nation and France. Literature has always meant a value of human equilibrium, civilization and humanization. Taking into account all that has been mentioned above, we believe that dwelling at some length upon the exemplary demonstration of the Romanian Europeanism carried out by Vasile Alecsandri in his human and artistic essence, cann</w:t>
      </w:r>
    </w:p>
    <w:p>
      <w:pPr/>
      <w:r>
        <w:rPr>
          <w:b/>
        </w:rPr>
        <w:t>POSSIBLE 2020:</w:t>
      </w:r>
      <w:r>
        <w:t xml:space="preserve"> Is There a Crisis of Democracy in Europe? — https://doi.org/10.1007/s11615-020-00231-9</w:t>
      </w:r>
    </w:p>
    <w:p>
      <w:pPr/>
      <w:r>
        <w:rPr>
          <w:b/>
        </w:rPr>
        <w:t>Shared claim-specific concepts:</w:t>
      </w:r>
      <w:r>
        <w:t xml:space="preserve"> however, way, view; EU scope visible. This is a provisional connection, not an outcome finding.</w:t>
      </w:r>
    </w:p>
    <w:p>
      <w:pPr>
        <w:pStyle w:val="SourceNote"/>
      </w:pPr>
      <w:r>
        <w:rPr>
          <w:b/>
        </w:rPr>
        <w:t>Available abstract (not full text):</w:t>
      </w:r>
      <w:r>
        <w:t xml:space="preserve"> Abstract This paper discusses the current prospects of democracy in Europe from four perspectives: the birdʼs-eye view of long-term trends; the perspective of citizens’ support of democratic principles and their dissatisfaction with the way democracy works in their own countries; the voters’ perspective, which points to the rise of populist challengers in reaction to rising democratic dissatisfaction; and the elites’ perspective of populists in power. Overall, there is reason for concern, but no reason to dramatize. The long-term trends point to the expansion of democracy; the citizens’ support for democracy is still massive in Europe. At the same time, democratic dissatisfaction is widespread, giving rise to the surge of populist challengers from the left and the right. However, even if they gain power, populists meet with a large number of constraints that stabilize democracy.</w:t>
      </w:r>
    </w:p>
    <w:p>
      <w:pPr/>
      <w:r>
        <w:rPr>
          <w:b/>
        </w:rPr>
        <w:t>POSSIBLE 2020:</w:t>
      </w:r>
      <w:r>
        <w:t xml:space="preserve"> Loess landscapes of Europe – Mapping, geomorphology, and zonal differentiation — https://doi.org/10.1016/j.earscirev.2020.103496</w:t>
      </w:r>
    </w:p>
    <w:p>
      <w:pPr/>
      <w:r>
        <w:rPr>
          <w:b/>
        </w:rPr>
        <w:t>Shared claim-specific concepts:</w:t>
      </w:r>
      <w:r>
        <w:t xml:space="preserve"> important, present, especially, used; EU scope visible. This is a provisional connection, not an outcome finding.</w:t>
      </w:r>
    </w:p>
    <w:p>
      <w:pPr>
        <w:pStyle w:val="SourceNote"/>
      </w:pPr>
      <w:r>
        <w:rPr>
          <w:b/>
        </w:rPr>
        <w:t>Available abstract (not full text):</w:t>
      </w:r>
      <w:r>
        <w:t xml:space="preserve"> Paleoenvironmental reconstructions on a (supra-)regional scale have gained attention in Quaternary sciences during the last decades. In terrestrial realms, loess deposits and especially intercalations of loess and buried soils, so called loess-paleosol sequences (LPS) are important archives to unravel the terrestrial response to e.g. climatic fluctuations and reconstruct paleoenvironments during the Pleistocene. The analysis of LPS requires the knowledge of several key factors, such as the distribution of the aeolian sediments, their location relative to (potential) source areas, the climate conditions that led to their emplacement and the topography of the sink area. These factors strongly influence the sedimentological and paleoenvironmental characteristics of LPS and show broad variations throughout Europe, leading to a distinct distribution pattern throughout the continent. We present a new map of the distribution of aeolian sediments (mainly loess) and major potential source areas for Europe. The map was compiled combining geodata of different mapping approaches. Most of the used geodata stems from accurate national maps of 27 different countries. Problematic aspects such as different nomenclatures across administrative borders were carefully investigated and revised. The result is a seamless map, which comprises pedological, geological, and geomorphological data and can b</w:t>
      </w:r>
    </w:p>
    <w:p>
      <w:pPr/>
      <w:r>
        <w:rPr>
          <w:b/>
        </w:rPr>
        <w:t>POSSIBLE 2020:</w:t>
      </w:r>
      <w:r>
        <w:t xml:space="preserve"> Reasons Why Older Adults Engage in Physical Exercise. Comparative Study Eastern Europe Versus Southern Europe — https://doi.org/10.1123/japa.2019-0450</w:t>
      </w:r>
    </w:p>
    <w:p>
      <w:pPr/>
      <w:r>
        <w:rPr>
          <w:b/>
        </w:rPr>
        <w:t>Shared claim-specific concepts:</w:t>
      </w:r>
      <w:r>
        <w:t xml:space="preserve"> exercise, carried, out; EU scope visible. This is a provisional connection, not an outcome finding.</w:t>
      </w:r>
    </w:p>
    <w:p>
      <w:pPr>
        <w:pStyle w:val="SourceNote"/>
      </w:pPr>
      <w:r>
        <w:rPr>
          <w:b/>
        </w:rPr>
        <w:t>Available abstract (not full text):</w:t>
      </w:r>
      <w:r>
        <w:t xml:space="preserve"> INTRODUCTION: Research on variables that encourage older adults to exercise is limited. This study was carried out to identify the participation motives of older Europeans involved in regular exercise. METHODS: The 418 (170 men, 248 women) who participated in the survey are participants of the Erasmus Plus European Project In Common Sports. The participants were divided into two groups. Italy, Portugal, and Spain formed the Southern Europe group, and Bulgaria and Hungary the Eastern European group. All participants completed the Participation Motivation Questionnaire: Older Adults. RESULTS: The most highly reported motives for participation were to have fun, stay in shape, keep healthy, and an enjoyment of exercise. Principal-components analysis of the questionnaire revealed six factors: social, fitness, recognition, challenge/benefits, medical, and involvement. CONCLUSIONS: The reasons why the residents of Southern European practice exercise are more related to medical reasons, while for Eastern Europe these reasons are more related to recognition.</w:t>
      </w:r>
    </w:p>
    <w:p>
      <w:pPr/>
      <w:r>
        <w:rPr>
          <w:b/>
        </w:rPr>
        <w:t>POSSIBLE 2019:</w:t>
      </w:r>
      <w:r>
        <w:t xml:space="preserve"> Social enterprises and their ecosystems in Europe — https://doi.org/10.2767/330252</w:t>
      </w:r>
    </w:p>
    <w:p>
      <w:pPr/>
      <w:r>
        <w:rPr>
          <w:b/>
        </w:rPr>
        <w:t>Shared claim-specific concepts:</w:t>
      </w:r>
      <w:r>
        <w:t xml:space="preserve"> however, way, present; EU scope visible. This is a provisional connection, not an outcome finding.</w:t>
      </w:r>
    </w:p>
    <w:p>
      <w:pPr>
        <w:pStyle w:val="SourceNote"/>
      </w:pPr>
      <w:r>
        <w:rPr>
          <w:b/>
        </w:rPr>
        <w:t>Available abstract (not full text):</w:t>
      </w:r>
      <w:r>
        <w:t xml:space="preserve"> Social enterprises present an alternative to business-as-usual with their combination of core social and environmental objectives being addressed through commercial approaches. In this way they present an alternative avenue for a sustainable prosperity that is not driven by profit but rather focused on flourishing and living within ecological limits. In the UK, there has been particular interest and support for the creation of start-ups and the scaling of existing social enterprises. The term social enterprise has been in use in the UK since the 1970s, and the current approaches are shaped by the philanthropic traditions of charities, the cooperative traditions of democratic governance, and cultures of socially responsible business. The UK social enterprise movement was given a boost by the pioneering public policies and approaches in the 1990s, including various support programmes, the introduction of a new legal form and investment funds. Since 2010 there has been a focus of policy on encouraging social investment funds and mutual social enterprise ‘spin-outs’ from the public sector. However, the context of public sector austerity has seen a considerable decline in overall spending across the UK in recent years, with the exception of Scotland</w:t>
      </w:r>
    </w:p>
    <w:p>
      <w:pPr/>
      <w:r>
        <w:rPr>
          <w:b/>
        </w:rPr>
        <w:t>POSSIBLE 2019:</w:t>
      </w:r>
      <w:r>
        <w:t xml:space="preserve"> Social Innovation in Community Energy in Europe: A Review of the Evidence — https://doi.org/10.3389/fenrg.2019.00031</w:t>
      </w:r>
    </w:p>
    <w:p>
      <w:pPr/>
      <w:r>
        <w:rPr>
          <w:b/>
        </w:rPr>
        <w:t>Shared claim-specific concepts:</w:t>
      </w:r>
      <w:r>
        <w:t xml:space="preserve"> important, however, out; EU scope visible. This is a provisional connection, not an outcome finding.</w:t>
      </w:r>
    </w:p>
    <w:p>
      <w:pPr>
        <w:pStyle w:val="SourceNote"/>
      </w:pPr>
      <w:r>
        <w:rPr>
          <w:b/>
        </w:rPr>
        <w:t>Available abstract (not full text):</w:t>
      </w:r>
      <w:r>
        <w:t xml:space="preserve"> Citizen-driven Renewable Energy (RE) projects of various kinds, known collectively as community energy (CE), have an important part to play in the worldwide transition to cleaner energy systems. On the basis of evidence from 8 European countries, we investigate CE, over approximately the last 50 years (c.1970-2018), through the lens of Social Innovation (SI). We carry out a detailed review of literature around the social dimension of renewable energy; we collect, describe and map CE initiatives from Belgium, France, Germany, Italy, Poland, Spain, Sweden and the UK; and we unpack the SI concept into 4 operational criteria which we suggest are essential to recognising SI in CE. These are: 1) Crises and opportunities; 2) the agency of civil society; 3) reconfiguration of social practices, institutions and networks; 4) new ways of working. We identify three main phases of SI in CE. The environmental movements of the 1960s and the “oil shocks” of the 1970s provided the catalyst for a series of innovative societal responses around energy and self-sufficiency. A second wave of SI relates to the mainstreaming of RE and associated government support mechanisms. In this phase, with some important exceptions, successful CE initiatives were mainly confined to those countries where they were already embedded as innovators in the previous phase. The third phase of CE innovation relates to th</w:t>
      </w:r>
    </w:p>
    <w:p>
      <w:pPr>
        <w:pStyle w:val="Heading2"/>
      </w:pPr>
      <w:r>
        <w:t>974. FORECASTED TRENDS IN CHANGES OF VEGETATION IN THE EUROPEAN PART OF RUSSIA IN CONNECTION WITH GLOBAL WARMING</w:t>
      </w:r>
    </w:p>
    <w:p>
      <w:pPr>
        <w:pStyle w:val="SourceNote"/>
      </w:pPr>
      <w:r>
        <w:rPr>
          <w:b/>
        </w:rPr>
        <w:t>Original source (2012):</w:t>
      </w:r>
      <w:r>
        <w:t xml:space="preserve"> https://doi.org/10.24057/2071-9388-2012-5-4-4-16</w:t>
      </w:r>
    </w:p>
    <w:p>
      <w:pPr/>
      <w:r>
        <w:t>Original wording (abstract; indexed_source_text_not_full_document_verified): The models are used to forecast changes in the boundaries of the vegetation sub-zones and of forest stands productivity in the European Part of Russia and on the adjacent areas for 2046–2065 under one of the scenarios of global warming.</w:t>
      </w:r>
    </w:p>
    <w:p>
      <w:pPr/>
      <w:r>
        <w:rPr>
          <w:b/>
        </w:rPr>
        <w:t>POSSIBLE 2026:</w:t>
      </w:r>
      <w:r>
        <w:t xml:space="preserve"> Changing-CAMELS: A pan-European dataset for non-stationary hydrological modeling under climate and land-use change — https://doi.org/10.5194/egusphere-egu26-6543</w:t>
      </w:r>
    </w:p>
    <w:p>
      <w:pPr/>
      <w:r>
        <w:rPr>
          <w:b/>
        </w:rPr>
        <w:t>Shared claim-specific concepts:</w:t>
      </w:r>
      <w:r>
        <w:t xml:space="preserve"> boundaries, vegetation; EU scope visible. This is a provisional connection, not an outcome finding.</w:t>
      </w:r>
    </w:p>
    <w:p>
      <w:pPr>
        <w:pStyle w:val="SourceNote"/>
      </w:pPr>
      <w:r>
        <w:rPr>
          <w:b/>
        </w:rPr>
        <w:t>Available abstract (not full text):</w:t>
      </w:r>
      <w:r>
        <w:t xml:space="preserve"> Non-stationarity has long been recognized as a fundamental challenge in hydrological modelling, as climate change and human activities continuously alter catchment properties and the boundary conditions under which hydrological systems operate. However, translating this long-standing recognition into systematic model evaluation remains challenging, as suitable large-sample hydrological datasets that explicitly represent temporal change are still scarce. Most existing datasets adopt a static design, with time-invariant catchment attributes and hydro-meteorological time series limited to retrospective observations, which constrains the systematic testing of hypotheses and models targeting non-stationary hydrological behaviour. Here, we introduce Changing-CAMELS, a pan-European, CAMELS-style dataset explicitly designed to support non-stationary hydrological modelling. Building on the strengths of existing datasets such as CAMELS, Caravan, and EStreams, the developed dataset moves beyond static representations by incorporating time-varying catchment attributes and future climate forcing on a European scale.In particular, dynamic land-use and land-cover changes are derived from the European LUCAS dataset, providing annual updates to vegetation and land-cover fractions. Simultaneously, the inclusion of both raw and bias-corrected daily-resolution regional and global climate model dat</w:t>
      </w:r>
    </w:p>
    <w:p>
      <w:pPr/>
      <w:r>
        <w:rPr>
          <w:b/>
        </w:rPr>
        <w:t>POSSIBLE 2026:</w:t>
      </w:r>
      <w:r>
        <w:t xml:space="preserve"> Projecting Current and Future Habitat for the European Ground Squirrel Using MaxEnt Modeling under Climate Change — https://doi.org/10.54254/2753-8818/2026.au32281</w:t>
      </w:r>
    </w:p>
    <w:p>
      <w:pPr/>
      <w:r>
        <w:rPr>
          <w:b/>
        </w:rPr>
        <w:t>Shared claim-specific concepts:</w:t>
      </w:r>
      <w:r>
        <w:t xml:space="preserve"> used, areas; EU scope visible. This is a provisional connection, not an outcome finding.</w:t>
      </w:r>
    </w:p>
    <w:p>
      <w:pPr>
        <w:pStyle w:val="SourceNote"/>
      </w:pPr>
      <w:r>
        <w:rPr>
          <w:b/>
        </w:rPr>
        <w:t>Available abstract (not full text):</w:t>
      </w:r>
      <w:r>
        <w:t xml:space="preserve"> Climate change and human activities are changing the places where different species live more and more quickly. The European ground squirrel (Spermophilus citellus) is a species at risk, and it plays a very important role in keeping grassland environments healthy. But right now, we still do not know clearly where this threatened species lives now and where it will live in the future as the climate changes. This study combined data from many different sources and used an improved Maximum Entropy (MaxEnt) model (the test AUC value is more than 0.87) to carefully study the current situation and future changes of the good living areas for this species. The results found that the number of people living in an area and isothermality are the main environmental factors that affect where this species lives. Future guesses show that the good living areas for it will keep getting smaller. This is especially true under the high-pollution SSP5-8.5 scenario. By the end of the century, this might lead to a total loss of more than 20% of its suitable living areas. At the same time, there will be a big drop in the number of high-quality living areas for the species. It is projected that the area where this species lives will have a big move to the north. This study points out that we badly need active and flexible management methods to protect this species. The species can survive only if the w</w:t>
      </w:r>
    </w:p>
    <w:p>
      <w:pPr/>
      <w:r>
        <w:rPr>
          <w:b/>
        </w:rPr>
        <w:t>POSSIBLE 2026:</w:t>
      </w:r>
      <w:r>
        <w:t xml:space="preserve"> Modeling Sub‐Grid Peatland Vegetation Dynamics in the ORCHIDEE‐PEAT Land Surface Model — https://doi.org/10.1029/2025ms005257</w:t>
      </w:r>
    </w:p>
    <w:p>
      <w:pPr/>
      <w:r>
        <w:rPr>
          <w:b/>
        </w:rPr>
        <w:t>Shared claim-specific concepts:</w:t>
      </w:r>
      <w:r>
        <w:t xml:space="preserve"> vegetation, productivity, one, warming; EU scope not established. This is a provisional connection, not an outcome finding.</w:t>
      </w:r>
    </w:p>
    <w:p>
      <w:pPr>
        <w:pStyle w:val="SourceNote"/>
      </w:pPr>
      <w:r>
        <w:rPr>
          <w:b/>
        </w:rPr>
        <w:t>Available abstract (not full text):</w:t>
      </w:r>
      <w:r>
        <w:t xml:space="preserve"> Abstract Peatlands store about one‐third of total global soil carbon. Vegetation composition strongly regulates peatland carbon dynamics. Global warming and climate‐driven ecohydrological changes are expected to alter peatland vegetation composition, necessitating accurate simulation of vegetation dynamics to predict future fate of peatland carbon. We incorporated six plant functional types (PFTs) into the ORCHIDEE‐PEAT model to represent bryophytes (mosses), C3 graminoids (sedges and grasses), boreal broadleaf deciduous shrubs, boreal needleleaf evergreen trees, tropical evergreen and raingreen (water‐driven deciduous) trees growing in peatlands. The introduction and elimination of each PFT in response to bioclimatic conditions, as well as sapling establishment, growth, mortality, and competition among PFTs, are explicitly modeled. Simulated vegetation distributions align well with site‐level observations from West Siberian wetlands, where extensive vegetation composition measurements are available for model evaluation. The model slightly overestimated gross primary productivity (GPP) across 60 sites. Evaluation using global satellite‐derived land cover, leaf area index and GPP data was encouraging, though challenges lie in the lack of observational data specific to peatlands. From 1901 to 2020, simulated tropical peatland vegetation composition remains relatively stable. In n</w:t>
      </w:r>
    </w:p>
    <w:p>
      <w:pPr/>
      <w:r>
        <w:rPr>
          <w:b/>
        </w:rPr>
        <w:t>POSSIBLE 2026:</w:t>
      </w:r>
      <w:r>
        <w:t xml:space="preserve"> Modeling Sub-Grid Peatland Vegetation Dynamics in the ORCHIDEE-PEAT Land Surface Model — https://openalex.org/W7153954885</w:t>
      </w:r>
    </w:p>
    <w:p>
      <w:pPr/>
      <w:r>
        <w:rPr>
          <w:b/>
        </w:rPr>
        <w:t>Shared claim-specific concepts:</w:t>
      </w:r>
      <w:r>
        <w:t xml:space="preserve"> vegetation, productivity, warming; EU scope not established. This is a provisional connection, not an outcome finding.</w:t>
      </w:r>
    </w:p>
    <w:p>
      <w:pPr>
        <w:pStyle w:val="SourceNote"/>
      </w:pPr>
      <w:r>
        <w:rPr>
          <w:b/>
        </w:rPr>
        <w:t>Available abstract (not full text):</w:t>
      </w:r>
      <w:r>
        <w:t xml:space="preserve"> Peatlands store about one-third of total global soil carbon. Vegetation composition strongly regulates peatland carbon dynamics. Global warming and climate-driven ecohydrological changes are expected to alter peatland vegetation composition, necessitating accurate simulation of vegetation dynamics to predict future fate of peatland carbon. We incorporated six plant functional types (PFTs) into the ORCHIDEE-PEAT model to represent bryophytes (mosses), C3 graminoids (sedges and grasses), boreal broadleaf deciduous shrubs, boreal needleleaf evergreen trees, tropical evergreen and raingreen (water-driven deciduous) trees growing in peatlands. The introduction and elimination of each PFT in response to bioclimatic conditions, as well as sapling establishment, growth, mortality, and competition among PFTs, are explicitly modeled. Simulated vegetation distributions align well with site-level observations from West Siberian wetlands, where extensive vegetation composition measurements are available for model evaluation. The model slightly overestimated gross primary productivity (GPP) across 60 sites. Evaluation using global satellite-derived land cover, leaf area index and GPP data was encouraging, though challenges lie in the lack of observational data specific to peatlands. From 1901 to 2020, simulated tropical peatland vegetation composition remains relatively stable. In northern p</w:t>
      </w:r>
    </w:p>
    <w:p>
      <w:pPr/>
      <w:r>
        <w:rPr>
          <w:b/>
        </w:rPr>
        <w:t>POSSIBLE 2024:</w:t>
      </w:r>
      <w:r>
        <w:t xml:space="preserve"> Assessing the impact of transient land use and land cover changes in regional climate modeling using the LUCAS LUC dataset with a focus on forest cover changes in Europe — https://doi.org/10.5194/ems2024-893</w:t>
      </w:r>
    </w:p>
    <w:p>
      <w:pPr/>
      <w:r>
        <w:rPr>
          <w:b/>
        </w:rPr>
        <w:t>Shared claim-specific concepts:</w:t>
      </w:r>
      <w:r>
        <w:t xml:space="preserve"> vegetation, forest; EU scope visible. This is a provisional connection, not an outcome finding.</w:t>
      </w:r>
    </w:p>
    <w:p>
      <w:pPr>
        <w:pStyle w:val="SourceNote"/>
      </w:pPr>
      <w:r>
        <w:rPr>
          <w:b/>
        </w:rPr>
        <w:t>Available abstract (not full text):</w:t>
      </w:r>
      <w:r>
        <w:t xml:space="preserve"> Land use and land cover changes (LULCC), driven by human activities such as urbanization, afforestation or agricultural expansion, alter land surface properties. These alterations can lead to modifications in energy and water fluxes between the land surface and the atmosphere, thereby influencing the local and regional climate. Due to forests’ ability to sequester carbon, climate-resilient forest management is pivotal in climate change adaptation and mitigation, and its effects and feedbacks have to be well understood. However, in regional climate modeling, LULCC is often neglected, and the land cover is represented with a static land use and land cover map. Therefore, the WCRP CORDEX flagship pilot study LUCAS (Land Use and Climate Across Scales) aims to assess the impact of LULCC on regional climate with a coordinated regional climate model ensemble approach. A realistic implementation of LULCC into regional climate models requires consideration of transient LULCC. The LUCAS LUC dataset, developed by Hoffmann et al. (2023) provides these transient LULCC on high resolution suitable for regional climate modeling. The dataset is based on the plant functional type (PFT) distribution derived from the ESA-CCI LC dataset and provides annual LULCC based on the LUH2 dataset until the end of the century for different SSP scenarios and the historical period 1950–2014. As a collaboration</w:t>
      </w:r>
    </w:p>
    <w:p>
      <w:pPr/>
      <w:r>
        <w:rPr>
          <w:b/>
        </w:rPr>
        <w:t>POSSIBLE 2024:</w:t>
      </w:r>
      <w:r>
        <w:t xml:space="preserve"> Diversity and distribution of Raunkiær's life forms in European vegetation — https://doi.org/10.1111/jvs.13229</w:t>
      </w:r>
    </w:p>
    <w:p>
      <w:pPr/>
      <w:r>
        <w:rPr>
          <w:b/>
        </w:rPr>
        <w:t>Shared claim-specific concepts:</w:t>
      </w:r>
      <w:r>
        <w:t xml:space="preserve"> used, vegetation, forest; EU scope visible. This is a provisional connection, not an outcome finding.</w:t>
      </w:r>
    </w:p>
    <w:p>
      <w:pPr>
        <w:pStyle w:val="SourceNote"/>
      </w:pPr>
      <w:r>
        <w:rPr>
          <w:b/>
        </w:rPr>
        <w:t>Available abstract (not full text):</w:t>
      </w:r>
      <w:r>
        <w:t xml:space="preserve"> Abstract Aims The Raunkiær's system classifies vascular plants into life forms based on the position of renewal buds during periods unfavourable for plant growth. Despite the importance of Raunkiær's system for ecological research, a study exploring the diversity and distribution of life forms on a continental scale is missing. We aim to (i) map the diversity and distribution of life forms in European vegetation and (ii) test for effects of bioclimatic variables while controlling for habitat‐specific responses. Location Europe. Methods We used data on life forms of 8883 species recorded in 546,501 vegetation plots of different habitats (forest, grassland, scrub and wetland). For each plot, we calculated: (i) the proportion of species of each life form and (ii) the richness and evenness of life forms. We mapped these plot‐level metrics averaged across 50 km × 50 km grid cells and modelled their response to bioclimatic variables. Results Hemicryptophytes were the most widespread life form, especially in the temperate zone of Central Europe. Conversely, therophyte and chamaephyte species were more common in the Mediterranean as well as in the dry temperate regions. Moreover, chamaephytes were also more common in the boreal and arctic zones. Higher proportions of phanerophytes were found in the Mediterranean. Overall, a higher richness of life forms was found at lower latitudes whi</w:t>
      </w:r>
    </w:p>
    <w:p>
      <w:pPr/>
      <w:r>
        <w:rPr>
          <w:b/>
        </w:rPr>
        <w:t>POSSIBLE 2024:</w:t>
      </w:r>
      <w:r>
        <w:t xml:space="preserve"> The fingerprint of tropospheric ozone on broadleaved forest vegetation in Europe — https://doi.org/10.1016/j.ecolind.2023.111486</w:t>
      </w:r>
    </w:p>
    <w:p>
      <w:pPr/>
      <w:r>
        <w:rPr>
          <w:b/>
        </w:rPr>
        <w:t>Shared claim-specific concepts:</w:t>
      </w:r>
      <w:r>
        <w:t xml:space="preserve"> vegetation, forest; EU scope visible. This is a provisional connection, not an outcome finding.</w:t>
      </w:r>
    </w:p>
    <w:p>
      <w:pPr>
        <w:pStyle w:val="SourceNote"/>
      </w:pPr>
      <w:r>
        <w:rPr>
          <w:b/>
        </w:rPr>
        <w:t>Available abstract (not full text):</w:t>
      </w:r>
      <w:r>
        <w:t xml:space="preserve"> Tropospheric ozone (O3) increased globally in the 20th century, contributes to climate change and can have adverse effects on terrestrial ecosystems. The response of forest vegetation to ozone is modulated by species- and site-specific factors and visible foliar symptoms (VFS) are the only direct evidence of ozone effects on vegetation. VFS have been observed and reproduced under (semi-) controlled conditions and their field assessment has been largely harmonized in Europe. We analyzed ozone concentration and VFS data as measured at (respectively) 118 and 91 intensive monitoring sites of the International Co-Operative Programme on Assessment and Monitoring of Air Pollution Effects on Forests (ICP Forests) spanning over five European biogeographic regions from 2005 to 2018. Average values for VFS were calculated accounting for the number of species present and their observed frequency. Spatial and temporal variation of ozone concentrations, VFS, and their relationships across Europe were then investigated by applying Generalized Linear Mixed Models (GLMMs) and combined GLMMs. Ozone concentrations exceeded 40 ppb on 37.3 % of the sites and were significantly higher (p &lt; 0.05) in the Alpine and the Mediterranean regions. Over the 2005–2018 period there was a substantial stagnation of ozone concentrations with a tendency towards decreasing values in the Alpine-Boreal sites and incr</w:t>
      </w:r>
    </w:p>
    <w:p>
      <w:pPr/>
      <w:r>
        <w:rPr>
          <w:b/>
        </w:rPr>
        <w:t>POSSIBLE 2023:</w:t>
      </w:r>
      <w:r>
        <w:t xml:space="preserve"> High-resolution land use and land cover dataset for regional climate modelling: historical and future changes in Europe — https://doi.org/10.5194/essd-15-3819-2023</w:t>
      </w:r>
    </w:p>
    <w:p>
      <w:pPr/>
      <w:r>
        <w:rPr>
          <w:b/>
        </w:rPr>
        <w:t>Shared claim-specific concepts:</w:t>
      </w:r>
      <w:r>
        <w:t xml:space="preserve"> used, forest; EU scope visible. This is a provisional connection, not an outcome finding.</w:t>
      </w:r>
    </w:p>
    <w:p>
      <w:pPr>
        <w:pStyle w:val="SourceNote"/>
      </w:pPr>
      <w:r>
        <w:rPr>
          <w:b/>
        </w:rPr>
        <w:t>Available abstract (not full text):</w:t>
      </w:r>
      <w:r>
        <w:t xml:space="preserve"> Anthropogenic land use and land cover change (LULCC) is a major driver of environmental changes. The biophysical impacts of these changes on the regional climate in Europe are currently being extensively investigated within the World Climate Research Program (WCRP) Coordinated Downscaling Experiment (CORDEX) Flagship Pilot Study (FPS) Land Use and Climate Across Scales (LUCAS)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Land Use and land Cover change (LUC) dataset version 1.1 at 0.1 ∘ resolution for Europe with annual LULC maps from 1950 to 2100 (https://doi.org/10.26050/WDCC/LUC_hist_EU_v1.1, Hoffmann et al., 2022b, https://doi.org/10.26050/WDCC/LUC_future_EU_v1.1, Hoffmann et al., 2022a), which is tailored to use in state-of-the-art RCMs. The plant functional type (PFT) distribution for the year 2015 (i.e. the Modelling human LAND surface Modifications and its feedbacks on local and regional cliMATE – LANDMATE – PFT dataset) is derived from the European Space Agency Climate Change Initiative Land Cover (ESA-CCI LC) dataset. Details on the conversio</w:t>
      </w:r>
    </w:p>
    <w:p>
      <w:pPr/>
      <w:r>
        <w:rPr>
          <w:b/>
        </w:rPr>
        <w:t>POSSIBLE 2023:</w:t>
      </w:r>
      <w:r>
        <w:t xml:space="preserve"> Climate-Adapted Potential Vegetation—A European Multiclass Model Estimating the Future Potential of Natural Vegetation — https://doi.org/10.3390/f14020239</w:t>
      </w:r>
    </w:p>
    <w:p>
      <w:pPr/>
      <w:r>
        <w:rPr>
          <w:b/>
        </w:rPr>
        <w:t>Shared claim-specific concepts:</w:t>
      </w:r>
      <w:r>
        <w:t xml:space="preserve"> boundaries, vegetation, forest; EU scope visible. This is a provisional connection, not an outcome finding.</w:t>
      </w:r>
    </w:p>
    <w:p>
      <w:pPr>
        <w:pStyle w:val="SourceNote"/>
      </w:pPr>
      <w:r>
        <w:rPr>
          <w:b/>
        </w:rPr>
        <w:t>Available abstract (not full text):</w:t>
      </w:r>
      <w:r>
        <w:t xml:space="preserve"> Climate change will alter the site conditions for European vegetation. This is likely to shift the potential distribution of species and habitats outside its current boundaries. To enable future projections on shifts in vegetation potentials, we fitted a multiclass model to the current potential natural vegetation (PNV) of Europe using climatic predictors. The model was then applied to climate data of the time slice 2061–2080 with the Representative Concentration Pathways (RCPs) 4.5 and RCP 8.5. With an accuracy of 0.78, simulations well represented the site-equivalent vegetation types of the current PNV across Europe. Projections show drastic shifts in vegetation potentials in all parts of Europe. Boreal forests could lose up to 75% of their current potential, while Mediterranean Quercus forests and steppes would double their potential area. Deserts are projected to be on the rice, and the potential of currently widespread vegetation such as Fagus forests would be translocated. These estimated alterations of European vegetation potentials could have great effects on the stability of current forests, affecting nature conservation strategies and forest management.</w:t>
      </w:r>
    </w:p>
    <w:p>
      <w:pPr/>
      <w:r>
        <w:rPr>
          <w:b/>
        </w:rPr>
        <w:t>POSSIBLE 2023:</w:t>
      </w:r>
      <w:r>
        <w:t xml:space="preserve"> Testing the Effect of Relative Pollen Productivity on the REVEALS Model: A Validated Reconstruction of Europe-Wide Holocene Vegetation — https://doi.org/10.3390/land12050986</w:t>
      </w:r>
    </w:p>
    <w:p>
      <w:pPr/>
      <w:r>
        <w:rPr>
          <w:b/>
        </w:rPr>
        <w:t>Shared claim-specific concepts:</w:t>
      </w:r>
      <w:r>
        <w:t xml:space="preserve"> vegetation, forest, productivity, one; EU scope visible. This is a provisional connection, not an outcome finding.</w:t>
      </w:r>
    </w:p>
    <w:p>
      <w:pPr>
        <w:pStyle w:val="SourceNote"/>
      </w:pPr>
      <w:r>
        <w:rPr>
          <w:b/>
        </w:rPr>
        <w:t>Available abstract (not full text):</w:t>
      </w:r>
      <w:r>
        <w:t xml:space="preserve"> Reliable quantitative vegetation reconstructions for Europe during the Holocene are crucial to improving our understanding of landscape dynamics, making it possible to assess the past effects of environmental variables and land-use change on ecosystems and biodiversity, and mitigating their effects in the future. We present here the most spatially extensive and temporally continuous pollen-based reconstructions of plant cover in Europe (at a spatial resolution of 1° × 1°) over the Holocene (last 11.7 ka BP) using the ‘Regional Estimates of VEgetation Abundance from Large Sites’ (REVEALS) model. This study has three main aims. First, to present the most accurate and reliable generation of REVEALS reconstructions across Europe so far. This has been achieved by including a larger number of pollen records compared to former analyses, in particular from the Mediterranean area. Second, to discuss methodological issues in the quantification of past land cover by using alternative datasets of relative pollen productivities (RPPs), one of the key input parameters of REVEALS, to test model sensitivity. Finally, to validate our reconstructions with the global forest change dataset. The results suggest that the RPPs.st1 (31 taxa) dataset is best suited to producing regional vegetation cover estimates for Europe. These reconstructions offer a long-term perspective providing unique possibili</w:t>
      </w:r>
    </w:p>
    <w:p>
      <w:pPr/>
      <w:r>
        <w:rPr>
          <w:b/>
        </w:rPr>
        <w:t>POSSIBLE 2023:</w:t>
      </w:r>
      <w:r>
        <w:t xml:space="preserve"> Hybrid Deep Learning and S2S Model for Improved Sub-Seasonal Surface and Root-Zone Soil Moisture Forecasting — https://doi.org/10.3390/rs15133410</w:t>
      </w:r>
    </w:p>
    <w:p>
      <w:pPr/>
      <w:r>
        <w:rPr>
          <w:b/>
        </w:rPr>
        <w:t>Shared claim-specific concepts:</w:t>
      </w:r>
      <w:r>
        <w:t xml:space="preserve"> vegetation, forest, areas; EU scope visible. This is a provisional connection, not an outcome finding.</w:t>
      </w:r>
    </w:p>
    <w:p>
      <w:pPr>
        <w:pStyle w:val="SourceNote"/>
      </w:pPr>
      <w:r>
        <w:rPr>
          <w:b/>
        </w:rPr>
        <w:t>Available abstract (not full text):</w:t>
      </w:r>
      <w:r>
        <w:t xml:space="preserve"> Surface soil moisture (SSM) and root-zone soil moisture (RZSM) are key hydrological variables for the agricultural water cycle and vegetation growth. Accurate SSM and RZSM forecasting at sub-seasonal scales would be valuable for agricultural water management and preparations. Currently, weather model-based soil moisture predictions are subject to large uncertainties due to inaccurate initial conditions and empirical parameterization schemes, while the data-driven machine learning methods have limitations in modeling long-term temporal dependences of SSM and RZSM because of the lack of considerations in the soil water process. Thus, here, we innovatively integrate the model-based soil moisture predictions from a sub-seasonal-to-seasonal (S2S) model into a data-driven stacked deep learning model to construct a hybrid SSM and RZSM forecasting framework. The hybrid forecasting model is evaluated over the Yangtze River Basin and parts of Europe from 1- to 46-day lead times and is compared with four baseline methods, including the support vector regression (SVR), random forest (RF), convolutional long short-term memory (ConvLSTM) and the S2S model. The results indicate substantial skill improvements in the hybrid model relative to baseline models over the two study areas spatiotemporally, in terms of the correlation coefficient, unbiased root mean square error (ubRMSE) and RMSE. The </w:t>
      </w:r>
    </w:p>
    <w:p>
      <w:pPr/>
      <w:r>
        <w:rPr>
          <w:b/>
        </w:rPr>
        <w:t>POSSIBLE 2022:</w:t>
      </w:r>
      <w:r>
        <w:t xml:space="preserve"> High-resolution land use and land cover dataset for regional climate modelling: Historical and future changes in Europe — https://doi.org/10.5194/essd-2022-431</w:t>
      </w:r>
    </w:p>
    <w:p>
      <w:pPr/>
      <w:r>
        <w:rPr>
          <w:b/>
        </w:rPr>
        <w:t>Shared claim-specific concepts:</w:t>
      </w:r>
      <w:r>
        <w:t xml:space="preserve"> used, forest; EU scope visible. This is a provisional connection, not an outcome finding.</w:t>
      </w:r>
    </w:p>
    <w:p>
      <w:pPr>
        <w:pStyle w:val="SourceNote"/>
      </w:pPr>
      <w:r>
        <w:rPr>
          <w:b/>
        </w:rPr>
        <w:t>Available abstract (not full text):</w:t>
      </w:r>
      <w:r>
        <w:t xml:space="preserve"> Abstract. Anthropogenic land-use and land cover change (LULCC) is a major driver of environmental changes. The biophysical impacts of these changes on the regional climate in Europe are currently extensively investigated within the WCRP CORDEX Flagship Pilot Study (FPS) LUCAS - "Land Use and Climate Across Scales"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LUC dataset Version 1.1 at 0.1° resolution for Europe with annual LULC maps from 1950–2100 (Hoffmann et al., 2022b, a), which is tailored towards the use in state-of-the-art RCMs. The plant functional type distribution (PFT) for the year 2015 (i.e., LANDMATE PFT dataset) is derived from the European Space Agency Climate Change Initiative Land Cover (ESA-CCI LC) dataset. Details about the conversion method, cross-walking procedure and the evaluation of the LANDMATE PFT dataset are given in the companion paper by Reinhart et al. (2022b). Subsequently, we applied the land-use change information from the Land-Use Harmonization 2 (LUH2) dataset, provided at 0.25° resolution as input for CMIP6 experimen</w:t>
      </w:r>
    </w:p>
    <w:p>
      <w:pPr>
        <w:pStyle w:val="Heading2"/>
      </w:pPr>
      <w:r>
        <w:t>975. Facing the future: Scanning, synthesizing and sense-making in horizon scanning</w:t>
      </w:r>
    </w:p>
    <w:p>
      <w:pPr>
        <w:pStyle w:val="SourceNote"/>
      </w:pPr>
      <w:r>
        <w:rPr>
          <w:b/>
        </w:rPr>
        <w:t>Original source (2012):</w:t>
      </w:r>
      <w:r>
        <w:t xml:space="preserve"> https://doi.org/10.1093/scipol/scs021</w:t>
      </w:r>
    </w:p>
    <w:p>
      <w:pPr/>
      <w:r>
        <w:t>Original wording (abstract; indexed_source_text_not_full_document_verified): In this paper, we discuss key issues in harnessing horizon scanning to shape systemic policies, particularly in the light of the foresight exercise ‘Facing the future: Time for the EU to meet global challenges' which was carried out for the Bureau of European Policy Advisors. This exercise illustrates how horizon scanning can enable collective sense-making processes which assist in the identification of emerging signals and policy issues; the synthesis of such issues into encompassing clusters; and the interpretation of resulting clusters as an important step towards the coordinated development of joint policy measures.</w:t>
      </w:r>
    </w:p>
    <w:p>
      <w:pPr/>
      <w:r>
        <w:rPr>
          <w:b/>
        </w:rPr>
        <w:t>POSSIBLE 2026:</w:t>
      </w:r>
      <w:r>
        <w:t xml:space="preserve"> Horizon scanning for European wild pollinators identifies world-leading legislation as a key opportunity for pollinators — https://doi.org/10.1038/s41598-026-53025-1</w:t>
      </w:r>
    </w:p>
    <w:p>
      <w:pPr/>
      <w:r>
        <w:rPr>
          <w:b/>
        </w:rPr>
        <w:t>Shared claim-specific concepts:</w:t>
      </w:r>
      <w:r>
        <w:t xml:space="preserve"> key, issues, horizon, scanning, time; EU scope visible. This is a provisional connection, not an outcome finding.</w:t>
      </w:r>
    </w:p>
    <w:p>
      <w:pPr>
        <w:pStyle w:val="SourceNote"/>
      </w:pPr>
      <w:r>
        <w:rPr>
          <w:b/>
        </w:rPr>
        <w:t>Available abstract (not full text):</w:t>
      </w:r>
      <w:r>
        <w:t xml:space="preserve"> Wild insect pollinators contribute significantly to agricultural productivity, biodiversity, and ecosystem functioning. Wild pollinators are increasingly affected by multiple interacting stressors. Proactively identifying emerging risks and feasible mitigation strategies will be critical to ensuring the long-term stability of wild pollinators biodiversity and pollination services. We conducted the first continental scale horizon scan focused on wild pollinators in Europe. A structured Delphi-based approach was used to identify emerging issues that may have significant implications for wild pollinators over the coming decade. Ten priority issues were identified, including both potential risks and opportunities. For the first time in a pollinator-focused horizon scan, legislation was identified as a key opportunity, with the European Union Nature Restoration Regulation recognised for its potential to influence pollinator conservation through mandatory restoration and monitoring targets. In contrast, political developments such as the rise of populist parties and post-truth discourse may impede policy implementation. Several issues relating to pesticide use were also identified, including developments in RNA interference technologies and precision application methods, which may reduce non-target impacts if risks are appropriately assessed. These findings provide a foundation for f</w:t>
      </w:r>
    </w:p>
    <w:p>
      <w:pPr/>
      <w:r>
        <w:rPr>
          <w:b/>
        </w:rPr>
        <w:t>POSSIBLE 2026:</w:t>
      </w:r>
      <w:r>
        <w:t xml:space="preserve"> Evaluating international collaboration on horizon scanning for pharmaceuticals: developing key performance indicators for the international horizon scanning initiative — https://doi.org/10.1017/s0266462325103358</w:t>
      </w:r>
    </w:p>
    <w:p>
      <w:pPr/>
      <w:r>
        <w:rPr>
          <w:b/>
        </w:rPr>
        <w:t>Shared claim-specific concepts:</w:t>
      </w:r>
      <w:r>
        <w:t xml:space="preserve"> key, horizon, scanning, time; EU scope visible. This is a provisional connection, not an outcome finding.</w:t>
      </w:r>
    </w:p>
    <w:p>
      <w:pPr>
        <w:pStyle w:val="SourceNote"/>
      </w:pPr>
      <w:r>
        <w:rPr>
          <w:b/>
        </w:rPr>
        <w:t>Available abstract (not full text):</w:t>
      </w:r>
      <w:r>
        <w:t xml:space="preserve"> INTRODUCTION: Many European countries independently conduct horizon scanning activities. However, the costs, time, and resources required can be prohibitive. To address this, the International Horizon Scanning Initiative (IHSI) was launched in 2019. IHSI aims to facilitate decision-makers and payers in negotiating fair prices and preparing for potentially disruptive pharmaceuticals. IHSI developed the Joint Horizon Scanning Database, a repository of pharmaceuticals expected to enter the European market, and initiated a series of High Impact Reports (HIRs) to highlight pharmaceuticals that have the potential to significantly impact healthcare systems. This paper outlines the development of key performance indicators (KPIs) that can be used to evaluate IHSI's work. RESULTS: In close collaboration with representatives from IHSI member countries and its Executive Committee, the following KPIs were developed: "Number of IHSI member countries", "Embedding of IHSI in national health technology assessment procedures", "Database coverage", "Data completeness", "Data timeliness", "Accuracy of identifying disruptive pharmaceuticals", "Accuracy of identifying non-disruptive pharmaceuticals", "Use of HIRs in preparing for disruption to the healthcare system", and "Use of HIRs in price negotiations and financial arrangements". Among these, "Accuracy of identifying disruptive pharmaceuticals"</w:t>
      </w:r>
    </w:p>
    <w:p>
      <w:pPr/>
      <w:r>
        <w:rPr>
          <w:b/>
        </w:rPr>
        <w:t>POSSIBLE 2026:</w:t>
      </w:r>
      <w:r>
        <w:t xml:space="preserve"> Assessing the success of a horizon scanning approach in predicting invasive non-native species — https://openalex.org/W7114593291</w:t>
      </w:r>
    </w:p>
    <w:p>
      <w:pPr/>
      <w:r>
        <w:rPr>
          <w:b/>
        </w:rPr>
        <w:t>Shared claim-specific concepts:</w:t>
      </w:r>
      <w:r>
        <w:t xml:space="preserve"> discuss, key, horizon, scanning, exercise; EU scope visible. This is a provisional connection, not an outcome finding.</w:t>
      </w:r>
    </w:p>
    <w:p>
      <w:pPr>
        <w:pStyle w:val="SourceNote"/>
      </w:pPr>
      <w:r>
        <w:rPr>
          <w:b/>
        </w:rPr>
        <w:t>Available abstract (not full text):</w:t>
      </w:r>
      <w:r>
        <w:t xml:space="preserve"> Despite increasing awareness of invasive non-native species (INNS) and enhanced biosecurity controls in many countries, INNS are still arriving and establishing in new destinations, remaining a globally acknowledged threat to native biodiversity. Preventing the introduction of INNS, as opposed to managing them once they have arrived, is recognised as the most effective approach to their management. Horizon scanning represents one of the key tools to identify high-risk INNS that are yet to arrive within a region and has been applied in many contexts around the world, but to date there have been no studies that systematically assess the effectiveness of this approach. Here, we revisit the horizon scan for Great Britain conducted in 2013 that assessed the likelihood of high-risk INNS arriving within the next ten years, establishing and having an impact on biodiversity and ecosystems. We assess the success of this exercise in predicting arrival of these species within the subsequent ten years. Ninety-two species were shortlisted in the 2013 horizon scan. Overall, 31 of the 92 species identified in the 2013 horizon scan have arrived by 2023. We found that 12 of the top 20 species had arrived within ten years. In predicting arrival, there was a significant effect of arrival previously within Great Britain, and the number of countries in Western Europe and Baltic countries in which an</w:t>
      </w:r>
    </w:p>
    <w:p>
      <w:pPr/>
      <w:r>
        <w:rPr>
          <w:b/>
        </w:rPr>
        <w:t>POSSIBLE 2026:</w:t>
      </w:r>
      <w:r>
        <w:t xml:space="preserve"> A global review of horizon scanning exercises for invasive alien species — https://doi.org/10.3897/aca.9.e202375</w:t>
      </w:r>
    </w:p>
    <w:p>
      <w:pPr/>
      <w:r>
        <w:rPr>
          <w:b/>
        </w:rPr>
        <w:t>Shared claim-specific concepts:</w:t>
      </w:r>
      <w:r>
        <w:t xml:space="preserve"> discuss, key, horizon, scanning, particularly, challenges; EU scope visible. This is a provisional connection, not an outcome finding.</w:t>
      </w:r>
    </w:p>
    <w:p>
      <w:pPr>
        <w:pStyle w:val="SourceNote"/>
      </w:pPr>
      <w:r>
        <w:rPr>
          <w:b/>
        </w:rPr>
        <w:t>Available abstract (not full text):</w:t>
      </w:r>
      <w:r>
        <w:t xml:space="preserve"> Invasive alien species (IAS) are a major driver of global biodiversity loss, generating substantial ecological, economic and social impacts. Prevention and early intervention are widely recognised as being more cost‑effective than long‑term management. As a result, IAS policy frameworks increasingly rely on predictive strategies and tools to guide prioritisation. Horizon scanning has emerged as a key approach, providing structured, forward‑looking assessments of IAS that are likely to arrive in a new area in the near future, establish invasive populations and cause harm. Despite widespread uptake of the method, there has, to our knowledge, been no global synthesis of how IAS horizon scanning exercises are conducted, how methodologies are developed, and what their potential policy implications are. Here, we present a global review of over 50 IAS horizon scanning exercises undertaken up to 2026, drawing on published and grey literature. We examine how horizon scans were designed across multiple taxonomic groups, geographic scales, regions and environments, evaluate their underlying objectives, such as informing policy and biosecurity, and review their recommendations. Our review shows that the number of horizon scans has been steadily increasing in recent years. Across the horizon scanning literature, terrestrial and freshwater environments were more frequently represented than m</w:t>
      </w:r>
    </w:p>
    <w:p>
      <w:pPr/>
      <w:r>
        <w:rPr>
          <w:b/>
        </w:rPr>
        <w:t>POSSIBLE 2026:</w:t>
      </w:r>
      <w:r>
        <w:t xml:space="preserve"> Key issues for European ecosystem based fisheries management — https://doi.org/10.1093/icesjms/fsag167</w:t>
      </w:r>
    </w:p>
    <w:p>
      <w:pPr/>
      <w:r>
        <w:rPr>
          <w:b/>
        </w:rPr>
        <w:t>Shared claim-specific concepts:</w:t>
      </w:r>
      <w:r>
        <w:t xml:space="preserve"> key, issues, particularly; EU scope visible. This is a provisional connection, not an outcome finding.</w:t>
      </w:r>
    </w:p>
    <w:p>
      <w:pPr>
        <w:pStyle w:val="SourceNote"/>
      </w:pPr>
      <w:r>
        <w:rPr>
          <w:b/>
        </w:rPr>
        <w:t>Available abstract (not full text):</w:t>
      </w:r>
      <w:r>
        <w:t xml:space="preserve"> Abstract Ecosystem based fisheries management (EBFM) aims to maintain healthy ecological systems as well as sustainable exploitation and benefits to social systems. However, the operationalization of EBFM may be hampered by a variety of factors, including lack of clarity about key priorities, lack of adequate knowledge and lack of management responses. We derived key concern topics in European-wide consultations of scientists and stakeholders, investigated the knowledge available for each of these topics and compared both to existing European management indicators to determine the degree to which key topics, knowledge, and management indicators align. The identified issues of relevance to EBFM advice included almost as many topics related to human wellbeing as to ecological wellbeing for all stakeholder groups. The frequency of topics varied among regions but did not differ between non-scientist stakeholder groups. Comparison of the balance between topics revealed large differences between regions in the available knowledge in spite of extensive consistency among key topics. This leaves local and Europe-wide “blind spots” for managers when trying to make informed decisions. Knowledge is particularly limited on the links between fisheries and human well-being, endangered, threatened and protected species and other human drivers such as pollution. Further, management indicators o</w:t>
      </w:r>
    </w:p>
    <w:p>
      <w:pPr/>
      <w:r>
        <w:rPr>
          <w:b/>
        </w:rPr>
        <w:t>POSSIBLE 2026:</w:t>
      </w:r>
      <w:r>
        <w:t xml:space="preserve"> Horizon Scanning of Green Logistics Futures in Central and Eastern Europe: An Economic Perspective — https://doi.org/10.15290/oes.2026.03.125.02</w:t>
      </w:r>
    </w:p>
    <w:p>
      <w:pPr/>
      <w:r>
        <w:rPr>
          <w:b/>
        </w:rPr>
        <w:t>Shared claim-specific concepts:</w:t>
      </w:r>
      <w:r>
        <w:t xml:space="preserve"> key, horizon, scanning, shape, time; EU scope visible. This is a provisional connection, not an outcome finding.</w:t>
      </w:r>
    </w:p>
    <w:p>
      <w:pPr>
        <w:pStyle w:val="SourceNote"/>
      </w:pPr>
      <w:r>
        <w:rPr>
          <w:b/>
        </w:rPr>
        <w:t>Available abstract (not full text):</w:t>
      </w:r>
      <w:r>
        <w:t xml:space="preserve"> Purpose | The paper aims to identify key megatrends and economic uncertainties shaping the future development of green logistics in Central and Eastern Europe. It seeks to examine how regulatory, financial, and geopolitical conditions may influence alternative pathways of green logistics transformation in the region. Research method | The study applies a foresight-based research design that combines horizon scanning and scenario analysis. Horizon scanning identifies long-term trends and critical uncertainties affecting green logistics. At the same time, scenario analysis constructs alternative future development paths under different configurations of financing availability, regulatory and geopolitical stability. Results | Green logistics development in Central and Eastern Europe is primarily shaped by economic factors, including access to financing, cost structures, and investment risk, as well as the gradual emergence of circular economy practices within logistics systems. Regulation sets the direction, but funding and institutional uncertainty shape unstable, path-dependent processes of transformation. Originality / value / implications / recommendations | The paper contributes to the literature by framing green logistics as an economically conditioned transformation process rather than a uniform sustainability pathway. The study provides foresight-based insights for policy </w:t>
      </w:r>
    </w:p>
    <w:p>
      <w:pPr/>
      <w:r>
        <w:rPr>
          <w:b/>
        </w:rPr>
        <w:t>POSSIBLE 2026:</w:t>
      </w:r>
      <w:r>
        <w:t xml:space="preserve"> Horizon scanning at EMA: preparing for the medicines of the future — https://doi.org/10.3389/fmed.2026.1800213</w:t>
      </w:r>
    </w:p>
    <w:p>
      <w:pPr/>
      <w:r>
        <w:rPr>
          <w:b/>
        </w:rPr>
        <w:t>Shared claim-specific concepts:</w:t>
      </w:r>
      <w:r>
        <w:t xml:space="preserve"> key, horizon, scanning, foresight, challenges, out; EU scope visible. This is a provisional connection, not an outcome finding.</w:t>
      </w:r>
    </w:p>
    <w:p>
      <w:pPr>
        <w:pStyle w:val="SourceNote"/>
      </w:pPr>
      <w:r>
        <w:rPr>
          <w:b/>
        </w:rPr>
        <w:t>Available abstract (not full text):</w:t>
      </w:r>
      <w:r>
        <w:t xml:space="preserve"> This article provides insights into the European Medicines Agency's approach to horizon scanning as a foresight tool to support early identification, analysis and preparedness for emerging trends, technologies and challenges relevant to medicines development and authorization. Emerging topics are identified through a continuous scanning of several sources of information, including key trends identified by leading institutions such as the World Health Organization, the European Commission Joint Research Centre, and the European Innovation Council. This perspective sets out the scope, impact and outputs of horizon scanning within the European medicines regulatory network, which include topic-specific reports, collaborative workshops and webinars, and contributions to regulatory policy, strategic planning, capacity building and research prioritization. It also emphasizes the European medicines regulatory network's commitment to collaboration and knowledge sharing across European and international organizations. Through these efforts, horizon scanning supports regulatory preparedness and resilience of the European medicines regulatory system.</w:t>
      </w:r>
    </w:p>
    <w:p>
      <w:pPr/>
      <w:r>
        <w:rPr>
          <w:b/>
        </w:rPr>
        <w:t>POSSIBLE 2025:</w:t>
      </w:r>
      <w:r>
        <w:t xml:space="preserve"> Editorial: Discussing key issues in the digital agenda — https://doi.org/10.1108/jstpm-03-2025-250</w:t>
      </w:r>
    </w:p>
    <w:p>
      <w:pPr/>
      <w:r>
        <w:rPr>
          <w:b/>
        </w:rPr>
        <w:t>Shared claim-specific concepts:</w:t>
      </w:r>
      <w:r>
        <w:t xml:space="preserve"> key, issues, horizon, policies, challenges; EU scope visible. This is a provisional connection, not an outcome finding.</w:t>
      </w:r>
    </w:p>
    <w:p>
      <w:pPr>
        <w:pStyle w:val="SourceNote"/>
      </w:pPr>
      <w:r>
        <w:rPr>
          <w:b/>
        </w:rPr>
        <w:t>Available abstract (not full text):</w:t>
      </w:r>
      <w:r>
        <w:t xml:space="preserve"> The Horizon Europe strategic plan 2025–2027 addresses, among other main global challenges, the digital transition and climate change. This plan has three key orientations for research and innovation: “green transition, digital transition and a more resilient, competitive, inclusive and democratic Europe” (European Commission: Directorate-General for Research and Innovation, 2024, p. 3). In this period, “it is agreed to invest at least EUR 13 billion from Horizon Europe in core digital technologies” (European Commission: Directorate-General for Research and Innovation, 2024, p. 6).It is important to set priorities to reinforce investments in human capital, science and technology as well as align policies initiatives at different levels (local, national and regional). This requires the dialogue among a broad variety of stakeholders and design innovative strategies successfully navigate the green and digital transitions (Almunawar et al., 2022, 2023; Collin et al., 2023; Imjai et al., 2024; Lytras and Ordóñez de Pablos, 2008; Zhang et al., 2012; Zhang et al., 2019, 2024).The second issue Journal of Science and Technology Policy Management in 2025 contains a collection of seven papers addressing key topics for competitiveness of companies, governments and nations such as big data, entrepreneurship, e-payment, sustainability and innovative systems. Next, we will summarize the conten</w:t>
      </w:r>
    </w:p>
    <w:p>
      <w:pPr/>
      <w:r>
        <w:rPr>
          <w:b/>
        </w:rPr>
        <w:t>POSSIBLE 2025:</w:t>
      </w:r>
      <w:r>
        <w:t xml:space="preserve"> One Health Horizon Scanning: Contribution to Road Map — https://doi.org/10.1079/junoreports.2025.0003</w:t>
      </w:r>
    </w:p>
    <w:p>
      <w:pPr/>
      <w:r>
        <w:rPr>
          <w:b/>
        </w:rPr>
        <w:t>Shared claim-specific concepts:</w:t>
      </w:r>
      <w:r>
        <w:t xml:space="preserve"> discuss, key, issues, horizon, scanning, challenges; EU scope visible. This is a provisional connection, not an outcome finding.</w:t>
      </w:r>
    </w:p>
    <w:p>
      <w:pPr>
        <w:pStyle w:val="SourceNote"/>
      </w:pPr>
      <w:r>
        <w:rPr>
          <w:b/>
        </w:rPr>
        <w:t>Available abstract (not full text):</w:t>
      </w:r>
      <w:r>
        <w:t xml:space="preserve"> A Horizon Scanning process was undertaken to identify and prioritize future One Health (OH) research needs in low- and middle-income countries (LMICs), focusing on Africa and Asia. Through a multi-phase participatory process comprising multilingual global surveys to gather and prioritize OH issues of importance, thematic analysis to cluster priorities, online and in-person workshops to discuss and add context to priorities, over 400 contributors reported cross-sectoral research priorities in human, animal, plant, and environmental health. A modified Delphi method, involving extensive input from a group of 11 people with expertise in a board spectrum of OH areas, produced a final set of 56 priority questions, five of which emerged as globally critical: integrated surveillance systems; the role of climate change in disease emergence; governance for OH coordination; antimicrobial resistance (AMR); and socio-environmental drivers of disease. While some priorities had global consensus, others varied regionally, reflecting contextual epidemiological and structural realities. Participants from Africa and Asia prioritized AMR and water, sanitation and hygiene (WASH); Europe prioritized governance; Oceania prioritized indigenous knowledge; and South America prioritized community-led strategies. Key cross-cutting challenges included the challenge of fragmented surveillance data, insuffic</w:t>
      </w:r>
    </w:p>
    <w:p>
      <w:pPr/>
      <w:r>
        <w:rPr>
          <w:b/>
        </w:rPr>
        <w:t>POSSIBLE 2025:</w:t>
      </w:r>
      <w:r>
        <w:t xml:space="preserve"> Assessing the success of a horizon scanning approach in predicting invasive non‐native species arrival — https://doi.org/10.1111/1365-2664.70217</w:t>
      </w:r>
    </w:p>
    <w:p>
      <w:pPr/>
      <w:r>
        <w:rPr>
          <w:b/>
        </w:rPr>
        <w:t>Shared claim-specific concepts:</w:t>
      </w:r>
      <w:r>
        <w:t xml:space="preserve"> discuss, key, horizon, scanning, exercise; EU scope visible. This is a provisional connection, not an outcome finding.</w:t>
      </w:r>
    </w:p>
    <w:p>
      <w:pPr>
        <w:pStyle w:val="SourceNote"/>
      </w:pPr>
      <w:r>
        <w:rPr>
          <w:b/>
        </w:rPr>
        <w:t>Available abstract (not full text):</w:t>
      </w:r>
      <w:r>
        <w:t xml:space="preserve"> Abstract Despite increasing awareness of invasive non‐native species (INNS) and enhanced biosecurity controls in many countries, INNS are still arriving and establishing in new destinations, remaining a globally acknowledged threat to native biodiversity. Preventing the introduction of INNS, as opposed to controlling them once they have arrived, is recognised as the most effective approach to their management. Horizon scanning represents one of the key tools to identify high‐risk INNS that have yet to arrive within a region and has been applied in many contexts around the world, but to date there have been no studies that systematically assess the effectiveness of this approach. Here, we revisit the horizon scan for Great Britain conducted in 2013 that assessed the likelihood of high‐risk INNS arriving within the next 10 years, establishing and having an impact on biodiversity and ecosystems. We evaluated the success of this exercise in predicting arrival of these species within the subsequent 10 years. Ninety‐two species were shortlisted in the 2013 horizon scan. In total, 31 of the 92 species identified in the 2013 horizon scan had arrived by 2023. We found that 12 of the top 20 species had arrived within 10 years. In predicting arrival, there was a significant effect of species having arrived previously to Great Britain, and the number of countries in Western Europe and Balt</w:t>
      </w:r>
    </w:p>
    <w:p>
      <w:pPr/>
      <w:r>
        <w:rPr>
          <w:b/>
        </w:rPr>
        <w:t>POSSIBLE 2025:</w:t>
      </w:r>
      <w:r>
        <w:t xml:space="preserve"> Religion and the economy in Europe — https://doi.org/10.4324/9781003152675-18</w:t>
      </w:r>
    </w:p>
    <w:p>
      <w:pPr/>
      <w:r>
        <w:rPr>
          <w:b/>
        </w:rPr>
        <w:t>Shared claim-specific concepts:</w:t>
      </w:r>
      <w:r>
        <w:t xml:space="preserve"> key, issues, particularly; EU scope visible. This is a provisional connection, not an outcome finding.</w:t>
      </w:r>
    </w:p>
    <w:p>
      <w:pPr>
        <w:pStyle w:val="SourceNote"/>
      </w:pPr>
      <w:r>
        <w:rPr>
          <w:b/>
        </w:rPr>
        <w:t>Available abstract (not full text):</w:t>
      </w:r>
      <w:r>
        <w:t xml:space="preserve"> Despite having initially constituted one of the key issues for the founding fathers of sociology, the relations between religion and the economy have been evacuated by the most restrictive approaches to secularization and modernization in Europe. In contrast, this chapter argues that religion keeps on playing a relevant role within economic behavior in the European context. The interactions between religion and the economy have taken on different forms and can be observed at various scales: micro, meso, and macro. The chapter discusses the merits and limits of these approaches in three steps. It first proposes a critical reading of the approaches to the impact of macroeconomics on religion and vice-versa, particularly when they are applied to the European context. The chapter then turns to meso approaches of religion and the economy by focusing on the role played by religious institutions in economic life: religion and entrepreneurship, religion and the social economy, religious institutions and local welfare, and religion and the economics of immigration. The concluding section endeavors to frame a research agenda on religion and economy in contemporary Europe, by focusing on the interactions between individuals, religious institutions, economic (for- and not-for-profit) actors, and the state.</w:t>
      </w:r>
    </w:p>
    <w:p>
      <w:pPr/>
      <w:r>
        <w:rPr>
          <w:b/>
        </w:rPr>
        <w:t>POSSIBLE 2025:</w:t>
      </w:r>
      <w:r>
        <w:t xml:space="preserve"> Assessing the success of a horizon scanning approach in predicting invasive non-native species arrival — https://openalex.org/W7126126521</w:t>
      </w:r>
    </w:p>
    <w:p>
      <w:pPr/>
      <w:r>
        <w:rPr>
          <w:b/>
        </w:rPr>
        <w:t>Shared claim-specific concepts:</w:t>
      </w:r>
      <w:r>
        <w:t xml:space="preserve"> discuss, key, horizon, scanning, exercise; EU scope visible. This is a provisional connection, not an outcome finding.</w:t>
      </w:r>
    </w:p>
    <w:p>
      <w:pPr>
        <w:pStyle w:val="SourceNote"/>
      </w:pPr>
      <w:r>
        <w:rPr>
          <w:b/>
        </w:rPr>
        <w:t>Available abstract (not full text):</w:t>
      </w:r>
      <w:r>
        <w:t xml:space="preserve"> © 2025 The Author(s). Journal of Applied Ecology published by John Wiley &amp; Sons Ltd on behalf of British Ecological Society.Despite increasing awareness of invasive non-native species (INNS) and enhanced biosecurity controls in many countries, INNS are still arriving and establishing in new destinations, remaining a globally acknowledged threat to native biodiversity. Preventing the introduction of INNS, as opposed to controlling them once they have arrived, is recognised as the most effective approach to their management. Horizon scanning represents one of the key tools to identify high-risk INNS that have yet to arrive within a region and has been applied in many contexts around the world, but to date there have been no studies that systematically assess the effectiveness of this approach. Here, we revisit the horizon scan for Great Britain conducted in 2013 that assessed the likelihood of high-risk INNS arriving within the next 10 years, establishing and having an impact on biodiversity and ecosystems. We evaluated the success of this exercise in predicting arrival of these species within the subsequent 10 years. Ninety-two species were shortlisted in the 2013 horizon scan. In total, 31 of the 92 species identified in the 2013 horizon scan had arrived by 2023. We found that 12 of the top 20 species had arrived within 10 years. In predicting arrival, there was a significant e</w:t>
      </w:r>
    </w:p>
    <w:p>
      <w:pPr>
        <w:pStyle w:val="Heading2"/>
      </w:pPr>
      <w:r>
        <w:t>976. Future air quality in Europe: a multi-model assessment of projected exposure to ozone</w:t>
      </w:r>
    </w:p>
    <w:p>
      <w:pPr>
        <w:pStyle w:val="SourceNote"/>
      </w:pPr>
      <w:r>
        <w:rPr>
          <w:b/>
        </w:rPr>
        <w:t>Original source (2012):</w:t>
      </w:r>
      <w:r>
        <w:t xml:space="preserve"> https://doi.org/10.5194/acp-12-10613-2012</w:t>
      </w:r>
    </w:p>
    <w:p>
      <w:pPr/>
      <w:r>
        <w:t>Original wording (abstract; indexed_source_text_not_full_document_verified): We conclude that air pollution mitigation measures (present in both scenarios) are the main factors leading to the improvement, but an additional cobenefit of at least 40% (depending on the indicator) is brought about by the climate policy. In order to explore future air quality in Europe at the 2030 horizon, two emission scenarios developed in the framework of the Global Energy Assessment including varying assumptions on climate and energy access policies are investigated with an ensemble of six regional and global atmospheric chemistry transport models.</w:t>
      </w:r>
    </w:p>
    <w:p>
      <w:pPr/>
      <w:r>
        <w:rPr>
          <w:b/>
        </w:rPr>
        <w:t>POSSIBLE 2025:</w:t>
      </w:r>
      <w:r>
        <w:t xml:space="preserve"> Air pollution and innovation — https://doi.org/10.1016/j.jeem.2024.103102</w:t>
      </w:r>
    </w:p>
    <w:p>
      <w:pPr/>
      <w:r>
        <w:rPr>
          <w:b/>
        </w:rPr>
        <w:t>Shared claim-specific concepts:</w:t>
      </w:r>
      <w:r>
        <w:t xml:space="preserve"> conclude, air, pollution, least; EU scope visible. This is a provisional connection, not an outcome finding.</w:t>
      </w:r>
    </w:p>
    <w:p>
      <w:pPr>
        <w:pStyle w:val="SourceNote"/>
      </w:pPr>
      <w:r>
        <w:rPr>
          <w:b/>
        </w:rPr>
        <w:t>Available abstract (not full text):</w:t>
      </w:r>
      <w:r>
        <w:t xml:space="preserve"> Existing estimates of the economic costs of air pollution do not account for its effect on inventive output. Using two weather phenomena as instruments, we estimate this effect in a sample of 1,288 European regions. A decrease in exposure to small particulate matter of 0:17 g=m3 – the average yearly reduction in Europe – leads to 1.7% more patented inventions. After ruling out reallocation of human capital, inventor mortality and R&amp;D expenditures as drivers of the effect, we conclude that air pollution’s harm to economic output increases by at least 10% when accounting for innovation.</w:t>
      </w:r>
    </w:p>
    <w:p>
      <w:pPr/>
      <w:r>
        <w:rPr>
          <w:b/>
        </w:rPr>
        <w:t>POSSIBLE 2024:</w:t>
      </w:r>
      <w:r>
        <w:t xml:space="preserve"> Geographic sources of ozone air pollution and mortality burden in Europe — https://doi.org/10.1038/s41591-024-02976-x</w:t>
      </w:r>
    </w:p>
    <w:p>
      <w:pPr/>
      <w:r>
        <w:rPr>
          <w:b/>
        </w:rPr>
        <w:t>Shared claim-specific concepts:</w:t>
      </w:r>
      <w:r>
        <w:t xml:space="preserve"> air, pollution, mitigation, both, but, about; EU scope visible. This is a provisional connection, not an outcome finding.</w:t>
      </w:r>
    </w:p>
    <w:p>
      <w:pPr>
        <w:pStyle w:val="SourceNote"/>
      </w:pPr>
      <w:r>
        <w:rPr>
          <w:b/>
        </w:rPr>
        <w:t>Available abstract (not full text):</w:t>
      </w:r>
      <w:r>
        <w:t xml:space="preserve"> Abstract Ground-level ozone (O 3 ) is a harmful air pollutant formed in the atmosphere by the interaction between sunlight and precursor gases. Exposure to current O 3 levels in Europe is a major source of premature mortality from air pollution. However, mitigation actions have been mainly designed and implemented at the national and regional scales, lacking a comprehensive assessment of the geographic sources of O 3 pollution and its associated health impacts. Here we quantify both national and imported contributions to O 3 and their related mortality burden across 813 contiguous regions in 35 European countries, representing about 530 million people. Imported O 3 contributed to 88.3% of all O 3 -attributable deaths (intercountry range 83–100%). The greatest share of imported O 3 had its origins outside the study domain (that is, hemispheric sources), which was responsible for 56.7% of total O 3 -attributable mortality (range 42.5–87.2%). It was concluded that achieving the air-quality guidelines set out by the World Health Organization and avoiding the health impacts of O 3 require not only the implementation of national or coordinated pan-European actions but also global strategies.</w:t>
      </w:r>
    </w:p>
    <w:p>
      <w:pPr/>
      <w:r>
        <w:rPr>
          <w:b/>
        </w:rPr>
        <w:t>POSSIBLE 2023:</w:t>
      </w:r>
      <w:r>
        <w:t xml:space="preserve"> Clean air in Europe for all — https://doi.org/10.1097/ee9.0000000000000245</w:t>
      </w:r>
    </w:p>
    <w:p>
      <w:pPr/>
      <w:r>
        <w:rPr>
          <w:b/>
        </w:rPr>
        <w:t>Shared claim-specific concepts:</w:t>
      </w:r>
      <w:r>
        <w:t xml:space="preserve"> air, pollution, present, but, climate, quality; EU scope visible. This is a provisional connection, not an outcome finding.</w:t>
      </w:r>
    </w:p>
    <w:p>
      <w:pPr>
        <w:pStyle w:val="SourceNote"/>
      </w:pPr>
      <w:r>
        <w:rPr>
          <w:b/>
        </w:rPr>
        <w:t>Available abstract (not full text):</w:t>
      </w:r>
      <w:r>
        <w:t xml:space="preserve"> Introduction Ambient air pollution is a major global public health risk factor. There is now broad consensus that exposure to air pollution causes an array of adverse health effects based on evidence from a large scientific literature that has grown exponentially since the mid-1990s.1–4 Air pollution damages most organ systems and is linked to many debilitating diseases, such as asthma, cardiovascular diseases, chronic obstructive pulmonary disease, pneumonia, stroke, diabetes, lung cancer, and dementia.5 The Global Burden of Disease study estimated that in 2019 air pollution ranked as the fourth global risk factor for mortality, surpassed only by high blood pressure, tobacco use, and poor diet.6 The European Environment Agency estimated 300,000 premature deaths due to air pollution in the EU-27 in 2020—an unacceptable high air pollution burden.7 Air pollution levels have generally declined over the last several decades in Europe, due largely to successful air quality regulation and subsequent improvements in technology and industry. The current air quality legislation in Europe—the Ambient Air Quality Directive (AAQD) from 2008—set limit values for the annual mean of the air pollutants PM2.5 and NO2 to 25 and 40 µg/m3, respectively.8 These limit values are criticized for being insufficient to protect the health of EU citizens.9,10 The World Health Organization (WHO) released n</w:t>
      </w:r>
    </w:p>
    <w:p>
      <w:pPr/>
      <w:r>
        <w:rPr>
          <w:b/>
        </w:rPr>
        <w:t>POSSIBLE 2023:</w:t>
      </w:r>
      <w:r>
        <w:t xml:space="preserve"> Air pollution and respiratory infections: the past, present, and future — https://doi.org/10.1093/toxsci/kfad003</w:t>
      </w:r>
    </w:p>
    <w:p>
      <w:pPr/>
      <w:r>
        <w:rPr>
          <w:b/>
        </w:rPr>
        <w:t>Shared claim-specific concepts:</w:t>
      </w:r>
      <w:r>
        <w:t xml:space="preserve"> conclude, air, pollution, measures, present; EU scope not established. This is a provisional connection, not an outcome finding.</w:t>
      </w:r>
    </w:p>
    <w:p>
      <w:pPr>
        <w:pStyle w:val="SourceNote"/>
      </w:pPr>
      <w:r>
        <w:rPr>
          <w:b/>
        </w:rPr>
        <w:t>Available abstract (not full text):</w:t>
      </w:r>
      <w:r>
        <w:t xml:space="preserve"> Air pollution levels across the globe continue to rise despite government regulations. The increase in global air pollution levels drives detrimental human health effects, including 7 million premature deaths every year. Many of these deaths are attributable to increased incidence of respiratory infections. Considering the COVID-19 pandemic, an unprecedented public health crisis that has claimed the lives of over 6.5 million people globally, respiratory infections as a driver of human mortality is a pressing concern. Therefore, it is more important than ever to understand the relationship between air pollution and respiratory infections so that public health measures can be implemented to ameliorate further morbidity and mortality. This article aims to review the current epidemiologic and basic science research on interactions between air pollution exposure and respiratory infections. The first section will present epidemiologic studies organized by pathogen, followed by a review of basic science research investigating the mechanisms of infection, and then conclude with a discussion of areas that require future investigation.</w:t>
      </w:r>
    </w:p>
    <w:p>
      <w:pPr/>
      <w:r>
        <w:rPr>
          <w:b/>
        </w:rPr>
        <w:t>POSSIBLE 2022:</w:t>
      </w:r>
      <w:r>
        <w:t xml:space="preserve"> Reviewing the links and feedbacks between climate change and air pollution in Europe — https://doi.org/10.3389/fenvs.2022.954045</w:t>
      </w:r>
    </w:p>
    <w:p>
      <w:pPr/>
      <w:r>
        <w:rPr>
          <w:b/>
        </w:rPr>
        <w:t>Shared claim-specific concepts:</w:t>
      </w:r>
      <w:r>
        <w:t xml:space="preserve"> air, pollution, mitigation, main, but, depending; EU scope visible. This is a provisional connection, not an outcome finding.</w:t>
      </w:r>
    </w:p>
    <w:p>
      <w:pPr>
        <w:pStyle w:val="SourceNote"/>
      </w:pPr>
      <w:r>
        <w:rPr>
          <w:b/>
        </w:rPr>
        <w:t>Available abstract (not full text):</w:t>
      </w:r>
      <w:r>
        <w:t xml:space="preserve"> Feedbacks between air pollutants and meteorology play a crucial role in the direction of the response of future climate and air pollution. These feedbacks are important to understand and quantify the potential impact of adaptation and mitigation policies setup for protecting the population against air pollution and heat stress. We review the interactions between climate and air pollution, with special focus on the projections of air pollution under different future climate scenarios and time horizons, based on a literature review of research articles and reports from the last decade. The assessment focuses on 1) the specific impacts of climate change on air pollution and natural particle and precursor emissions in Europe in the near future (2030), by mid-century (2050) and by end of the century (2100), 2) impacts on air pollution due to changes in emissions vs. changes in climate, 3) feedbacks from air pollution on climate, 4) impacts of climate change on wildland fires and air pollutant levels, and 5) the role of adaptation and mitigation policies on climate change and air pollution. Available literature to a large extent suggests that ozone concentrations will likely increase in the second half of the century by up to 9 ppb [−4 + 9.3], while in the first half of the century, changes are much smaller and are up to ±1.5 ppb. These changes are mainly attributed to increased temp</w:t>
      </w:r>
    </w:p>
    <w:p>
      <w:pPr/>
      <w:r>
        <w:rPr>
          <w:b/>
        </w:rPr>
        <w:t>POSSIBLE 2022:</w:t>
      </w:r>
      <w:r>
        <w:t xml:space="preserve"> Spatial heterogeneity of air pollution statistics in Europe — https://doi.org/10.1038/s41598-022-16109-2</w:t>
      </w:r>
    </w:p>
    <w:p>
      <w:pPr/>
      <w:r>
        <w:rPr>
          <w:b/>
        </w:rPr>
        <w:t>Shared claim-specific concepts:</w:t>
      </w:r>
      <w:r>
        <w:t xml:space="preserve"> air, pollution, leading, order; EU scope visible. This is a provisional connection, not an outcome finding.</w:t>
      </w:r>
    </w:p>
    <w:p>
      <w:pPr>
        <w:pStyle w:val="SourceNote"/>
      </w:pPr>
      <w:r>
        <w:rPr>
          <w:b/>
        </w:rPr>
        <w:t>Available abstract (not full text):</w:t>
      </w:r>
      <w:r>
        <w:t xml:space="preserve"> Air pollution is one of the leading causes of death globally, and continues to have a detrimental effect on our health. In light of these impacts, an extensive range of statistical modelling approaches has been devised in order to better understand air pollution statistics. However, the time-varying statistics of different types of air pollutants are far from being fully understood. The observed probability density functions (PDFs) of concentrations depend very much on the spatial location and on the pollutant substance. In this paper, we analyse a large variety of data from 3544 different European monitoring sites and show that the PDFs of nitric oxide (NO), nitrogen dioxide ([Formula: see text]) and particulate matter ([Formula: see text] and [Formula: see text]) concentrations generically exhibit heavy tails and are asymptotically well approximated by q-exponential distributions with a given width parameter [Formula: see text]. We observe that the power-law parameter q and the width parameter [Formula: see text] vary widely for the different spatial locations. For each substance, we find different patterns of parameter clouds in the [Formula: see text] plane. These depend on the type of pollutants and on the environmental characteristics (urban/suburban/rural/traffic/industrial/background). This means the effective statistical physics description of air pollution exhibits a </w:t>
      </w:r>
    </w:p>
    <w:p>
      <w:pPr/>
      <w:r>
        <w:rPr>
          <w:b/>
        </w:rPr>
        <w:t>POSSIBLE 2022:</w:t>
      </w:r>
      <w:r>
        <w:t xml:space="preserve"> Measuring disparities in air transport access across Europe: An inequality, vulnerability and dependence approach — https://doi.org/10.1016/j.tra.2022.11.016</w:t>
      </w:r>
    </w:p>
    <w:p>
      <w:pPr/>
      <w:r>
        <w:rPr>
          <w:b/>
        </w:rPr>
        <w:t>Shared claim-specific concepts:</w:t>
      </w:r>
      <w:r>
        <w:t xml:space="preserve"> air, indicator; EU scope visible. This is a provisional connection, not an outcome finding.</w:t>
      </w:r>
    </w:p>
    <w:p>
      <w:pPr>
        <w:pStyle w:val="SourceNote"/>
      </w:pPr>
      <w:r>
        <w:rPr>
          <w:b/>
        </w:rPr>
        <w:t>Available abstract (not full text):</w:t>
      </w:r>
      <w:r>
        <w:t xml:space="preserve"> Air transport networks tend to develop in accordance with underlying economic activity and links. This relationship in Europe has not developed entirely evenly or consistently, however, with some regional population centres having comparatively low levels of access to air transport services and global markets. This study focusses on air transport access inequality across 1,388 regions in Europe using the 20:20 ratio, a commonly used indicator in macroeconomic income inequality studies. For those regions in the bottom 5% in terms of degree centrality (using 2019 baseline data) an in-depth vulnerability, dependence and pandemic impact analysis was performed to determine the regions that may represent strong cases for state intervention to ensure continued access to a base level of essential air services. The stepwise methodological framework developed in this research could be used as a prioritisation tool by industry and policy stakeholders, most notably in the context of scarce public resources, which is a typical characteristic in Europe. The highest levels of inequality, vulnerability, dependence and pandemic impact were found in some Spanish, and Finnish regions.</w:t>
      </w:r>
    </w:p>
    <w:p>
      <w:pPr/>
      <w:r>
        <w:rPr>
          <w:b/>
        </w:rPr>
        <w:t>POSSIBLE 2022:</w:t>
      </w:r>
      <w:r>
        <w:t xml:space="preserve"> The border effect in European air transport — https://doi.org/10.18757/ejtir.2022.22.2.5773</w:t>
      </w:r>
    </w:p>
    <w:p>
      <w:pPr/>
      <w:r>
        <w:rPr>
          <w:b/>
        </w:rPr>
        <w:t>Shared claim-specific concepts:</w:t>
      </w:r>
      <w:r>
        <w:t xml:space="preserve"> air, measures, but; EU scope visible. This is a provisional connection, not an outcome finding.</w:t>
      </w:r>
    </w:p>
    <w:p>
      <w:pPr>
        <w:pStyle w:val="SourceNote"/>
      </w:pPr>
      <w:r>
        <w:rPr>
          <w:b/>
        </w:rPr>
        <w:t>Available abstract (not full text):</w:t>
      </w:r>
      <w:r>
        <w:t xml:space="preserve"> This article deals with the analysis of the border effect in European air transport. The border effect measures how trade or transport flows are diminished when they cross a national border. This topic has attracted a great deal of attention within trade, but it is still little studied within transport. Existing studies have estimated that the border effect diminished air passenger transport flows by a factor of five to six. However, there have been many changes in the European economy and transport since those studies. Our estimate based on a new data set suggested the existence of a border effect in European passenger air traffic flows, albeit with a lower value of around two. A possible reason for the lower value is the growing integration of the European economy and the development of low-cost carriers in Europe between 2000 and 2019. Our econometric analysis also found differences in border effects among European countries. No significant border effect was detected for France, but we did find high and significant effects for Germany, Spain, and Poland. These differences can be attributed to different intensities of intermodal competition on domestic routes.</w:t>
      </w:r>
    </w:p>
    <w:p>
      <w:pPr/>
      <w:r>
        <w:rPr>
          <w:b/>
        </w:rPr>
        <w:t>POSSIBLE 2021:</w:t>
      </w:r>
      <w:r>
        <w:t xml:space="preserve"> COVID-19 and Air Pollution: Measuring Pandemic Impact to Air Quality in Five European Countries — https://doi.org/10.3390/atmos12030290</w:t>
      </w:r>
    </w:p>
    <w:p>
      <w:pPr/>
      <w:r>
        <w:rPr>
          <w:b/>
        </w:rPr>
        <w:t>Shared claim-specific concepts:</w:t>
      </w:r>
      <w:r>
        <w:t xml:space="preserve"> air, pollution, improvement, quality; EU scope visible. This is a provisional connection, not an outcome finding.</w:t>
      </w:r>
    </w:p>
    <w:p>
      <w:pPr>
        <w:pStyle w:val="SourceNote"/>
      </w:pPr>
      <w:r>
        <w:rPr>
          <w:b/>
        </w:rPr>
        <w:t>Available abstract (not full text):</w:t>
      </w:r>
      <w:r>
        <w:t xml:space="preserve"> The rapid spread of the coronavirus (COVID-19) pandemic affected the economy, trade, transport, health care, social services, and other sectors. To control the rapid dispersion of the virus, most countries imposed national lockdowns and social distancing policies. This led to reduced industrial, commercial, and human activities, followed by lower air pollution emissions, which caused air quality improvement. Air pollution monitoring data from the European Environment Agency (EEA) datasets were used to investigate how lockdown policies affected air quality changes in the period before and during the COVID-19 lockdown, comparing to the same periods in 2018 and 2019, along with an assessment of the Index of Production variation impact to air pollution changes during the pandemic in 2020. Analysis results show that industrial and mobility activities were lower in the period of the lockdown along with the reduced selected pollutant NO2, PM2.5, PM10 emissions by approximately 20–40% in 2020.</w:t>
      </w:r>
    </w:p>
    <w:p>
      <w:pPr/>
      <w:r>
        <w:rPr>
          <w:b/>
        </w:rPr>
        <w:t>POSSIBLE 2021:</w:t>
      </w:r>
      <w:r>
        <w:t xml:space="preserve"> Premature mortality due to air pollution in European cities: a health impact assessment — https://doi.org/10.1016/s2542-5196(20)30272-2</w:t>
      </w:r>
    </w:p>
    <w:p>
      <w:pPr/>
      <w:r>
        <w:rPr>
          <w:b/>
        </w:rPr>
        <w:t>Shared claim-specific concepts:</w:t>
      </w:r>
      <w:r>
        <w:t xml:space="preserve"> air, pollution, but; EU scope visible. This is a provisional connection, not an outcome finding.</w:t>
      </w:r>
    </w:p>
    <w:p>
      <w:pPr>
        <w:pStyle w:val="SourceNote"/>
      </w:pPr>
      <w:r>
        <w:rPr>
          <w:b/>
        </w:rPr>
        <w:t>Available abstract (not full text):</w:t>
      </w:r>
      <w:r>
        <w:t xml:space="preserve"> Background Ambient air pollution is a major environmental cause of morbidity and mortality worldwide. Cities are generally hotspots for air pollution and disease. However, the exact extent of the health effects of air pollution at the city level is still largely unknown. We aimed to estimate the proportion of annual preventable deaths due to air pollution in almost 1000 cities in Europe. Methods We did a quantitative health impact assessment for the year 2015 to estimate the effect of air pollution exposure (PM 2·5 and NO 2 ) on natural-cause mortality for adult residents (aged ≥20 years) in 969 cities and 47 greater cities in Europe. We retrieved the cities and greater cities from the Urban Audit 2018 dataset and did the analysis at a 250 m grid cell level for 2015 data based on the global human settlement layer residential population. We estimated the annual premature mortality burden preventable if the WHO recommended values (ie, 10 μg/m 3 for PM 2·5 and 40 μg/m 3 for NO 2 ) were achieved and if air pollution concentrations were reduced to the lowest values measured in 2015 in European cities (ie, 3·7 μg/m 3 for PM 2·5 and 3·5 μg/m 3 for NO 2 ). We clustered and ranked the cities on the basis of population and age-standardised mortality burden associated with air pollution exposure. In addition, we did several uncertainty and sensitivity analyses to test the robustness of ou</w:t>
      </w:r>
    </w:p>
    <w:p>
      <w:pPr/>
      <w:r>
        <w:rPr>
          <w:b/>
        </w:rPr>
        <w:t>POSSIBLE 2021:</w:t>
      </w:r>
      <w:r>
        <w:t xml:space="preserve"> Running in polluted air is a two-edged sword — physical exercise in low air pollution areas is cardioprotective but detrimental for the heart in high air pollution areas — https://doi.org/10.1093/eurheartj/ehab227</w:t>
      </w:r>
    </w:p>
    <w:p>
      <w:pPr/>
      <w:r>
        <w:rPr>
          <w:b/>
        </w:rPr>
        <w:t>Shared claim-specific concepts:</w:t>
      </w:r>
      <w:r>
        <w:t xml:space="preserve"> air, pollution, mitigation, present, both, factors; EU scope visible. This is a provisional connection, not an outcome finding.</w:t>
      </w:r>
    </w:p>
    <w:p>
      <w:pPr>
        <w:pStyle w:val="SourceNote"/>
      </w:pPr>
      <w:r>
        <w:rPr>
          <w:b/>
        </w:rPr>
        <w:t>Available abstract (not full text):</w:t>
      </w:r>
      <w:r>
        <w:t xml:space="preserve"> This editorial refers to ‘Association of the combined effects of air pollution and changes in physical activity with cardiovascular disease in young adults’, by S.R. Kim et al., doi: 10.1093/eurheartj/ehab139. Hypothetical framework of investigations that combine technological innovation in biometric data with personalized exposure information in real-time to study interactive effects of environmental risk factors on cardiovascular endpoints. ABP, ambulant blood pressure monitoring; BC, black carbon; PM, particulate matter. With permission from Münzel et al.18 Hypothetical framework of investigations that combine technological innovation in biometric data with personalized exposure information in real-time to study interactive effects of environmental risk factors on cardiovascular endpoints. ABP, ambulant blood pressure monitoring; BC, black carbon; PM, particulate matter. With permission from Münzel et al.18 In 2015, the Lancet Commission on Pollution and Health concluded that ‘Pollution is the largest environmental cause of disease and premature death in the world today. Diseases caused by pollution were responsible for an estimated 9 million premature deaths in 2015—16% of all deaths worldwide’.1 Also the World Health Organization (WHO) calculates that 12.6 million premature deaths per year are attributable to an unhealthy environment, 8.2 million of which are due to non-co</w:t>
      </w:r>
    </w:p>
    <w:p>
      <w:pPr/>
      <w:r>
        <w:rPr>
          <w:b/>
        </w:rPr>
        <w:t>POSSIBLE 2020:</w:t>
      </w:r>
      <w:r>
        <w:t xml:space="preserve"> Alkaline air: changing perspectives on nitrogen and air pollution in an ammonia-rich world — https://doi.org/10.1098/rsta.2019.0315</w:t>
      </w:r>
    </w:p>
    <w:p>
      <w:pPr/>
      <w:r>
        <w:rPr>
          <w:b/>
        </w:rPr>
        <w:t>Shared claim-specific concepts:</w:t>
      </w:r>
      <w:r>
        <w:t xml:space="preserve"> air, pollution, present, leading, quality; EU scope visible. This is a provisional connection, not an outcome finding.</w:t>
      </w:r>
    </w:p>
    <w:p>
      <w:pPr>
        <w:pStyle w:val="SourceNote"/>
      </w:pPr>
      <w:r>
        <w:rPr>
          <w:b/>
        </w:rPr>
        <w:t>Available abstract (not full text):</w:t>
      </w:r>
      <w:r>
        <w:t xml:space="preserve"> Ammonia and ammonium have received less attention than other forms of air pollution, with limited progress in controlling emissions at UK, European and global scales. By contrast, these compounds have been of significant past interest to science and society, the recollection of which can inform future strategies. Sal ammoniac ( nūshādir , nao sha ) is found to have been extremely valuable in long-distance trade ( ca AD 600–1150) from Egypt and China, where 6–8 kg N could purchase a human life, while air pollution associated with nūshādir collection was attributed to this nitrogen form. Ammonia was one of the keys to alchemy—seen as an early experimental mesocosm to understand the world—and later became of interest as ‘alkaline air’ within the eighteenth century development of pneumatic chemistry. The same economic, chemical and environmental properties are found to make ammonia and ammonium of huge relevance today. Successful control of acidifying SO 2 and NO x emissions leaves atmospheric NH 3 in excess in many areas, contributing to particulate matter (PM 2.5 ) formation, while leading to a new significance of alkaline air, with adverse impacts on natural ecosystems. Investigations of epiphytic lichens and bog ecosystems show how the alkalinity effect of NH 3 may explain its having three to five times the adverse effect of ammonium and nitrate, respectively. It is concluded t</w:t>
      </w:r>
    </w:p>
    <w:p>
      <w:pPr>
        <w:pStyle w:val="Heading2"/>
      </w:pPr>
      <w:r>
        <w:t>977. Impact of climate change on ozone-related mortality and morbidity in Europe</w:t>
      </w:r>
    </w:p>
    <w:p>
      <w:pPr>
        <w:pStyle w:val="SourceNote"/>
      </w:pPr>
      <w:r>
        <w:rPr>
          <w:b/>
        </w:rPr>
        <w:t>Original source (2012):</w:t>
      </w:r>
      <w:r>
        <w:t xml:space="preserve"> https://doi.org/10.1183/09031936.00210411</w:t>
      </w:r>
    </w:p>
    <w:p>
      <w:pPr/>
      <w:r>
        <w:t>Original wording (abstract; indexed_source_text_not_full_document_verified): Comparing the baseline period and the future periods (2021-2050 and 2041-2060), much larger increases in ozone-related mortality and morbidity are projected for Belgium, France, Spain and Portugal, with the impact being stronger using the climate projection from ECHAM4 (A2).</w:t>
      </w:r>
    </w:p>
    <w:p>
      <w:pPr/>
      <w:r>
        <w:rPr>
          <w:b/>
        </w:rPr>
        <w:t>POSSIBLE 2025:</w:t>
      </w:r>
      <w:r>
        <w:t xml:space="preserve"> New baselines, new extremes? Assessing the impact of reference periods on climate extremes in Central Europe — https://doi.org/10.5194/ems2025-601</w:t>
      </w:r>
    </w:p>
    <w:p>
      <w:pPr/>
      <w:r>
        <w:rPr>
          <w:b/>
        </w:rPr>
        <w:t>Shared claim-specific concepts:</w:t>
      </w:r>
      <w:r>
        <w:t xml:space="preserve"> baseline, period, periods, climate; EU scope visible. This is a provisional connection, not an outcome finding.</w:t>
      </w:r>
    </w:p>
    <w:p>
      <w:pPr>
        <w:pStyle w:val="SourceNote"/>
      </w:pPr>
      <w:r>
        <w:rPr>
          <w:b/>
        </w:rPr>
        <w:t>Available abstract (not full text):</w:t>
      </w:r>
      <w:r>
        <w:t xml:space="preserve"> Climatological normal periods are used to describe the typical climate conditions that can be expected in a given location. These climate normals – statistical values such as means or totals for specific climate elements – are calculated for non-overlapping 30-year periods. The 1961–1990 period was probably the most widely used reference baseline in modern climatology, as it was recommended by the World Meteorological Organization for long-term climate change assessments. Now that 2020 has passed, a new climatological normal period (1991–2020) can be adopted. This raises an important question: how will this updated baseline affect the way we define anomalies and extremes, given that climate warming has already shifted what is now considered “normal” in many regions? With ongoing climate change, the statistical definition of “normal” itself is evolving – potentially influencing climate assessments and regional comparisons.The main aim of this study is to assess how the selection of the reference period (1961–1990 vs. 1991–2020) influences how extremes are defined and distributed across Central Europe, based on a new high-resolution dataset. First, we compared how the choice of baseline period affects spatial and seasonal patterns of air temperature and precipitation indices. These indices include mean values and counts of extreme days defined by absolute thresholds. Next, we ass</w:t>
      </w:r>
    </w:p>
    <w:p>
      <w:pPr/>
      <w:r>
        <w:rPr>
          <w:b/>
        </w:rPr>
        <w:t>POSSIBLE 2025:</w:t>
      </w:r>
      <w:r>
        <w:t xml:space="preserve"> Diverging trends in large floods across Europe in a warming climate — https://doi.org/10.1038/s43247-025-02734-y</w:t>
      </w:r>
    </w:p>
    <w:p>
      <w:pPr/>
      <w:r>
        <w:rPr>
          <w:b/>
        </w:rPr>
        <w:t>Shared claim-specific concepts:</w:t>
      </w:r>
      <w:r>
        <w:t xml:space="preserve"> larger, increases, climate; EU scope visible. This is a provisional connection, not an outcome finding.</w:t>
      </w:r>
    </w:p>
    <w:p>
      <w:pPr>
        <w:pStyle w:val="SourceNote"/>
      </w:pPr>
      <w:r>
        <w:rPr>
          <w:b/>
        </w:rPr>
        <w:t>Available abstract (not full text):</w:t>
      </w:r>
      <w:r>
        <w:t xml:space="preserve"> Abstract Large floods, which affect multiple regions simultaneously, pose substantial risks to lives and economies. In a warmer climate, increased precipitation extremes and reduced snowmelt are expected to alter flood characteristics, but how the dynamics of large floods across Europe will evolve under climate change remains unclear. By jointly assessing projected changes in the timing, spatial extent and volume of large floods in a warmer world, here we show that earlier snowmelt generally leads to earlier floods, while increasing precipitation contributions attenuate flood seasonality. Although continental-scale averages suggest limited change, they mask substantial regional heterogeneity. In western Europe, projected increases in heavy precipitation result in larger flood extents and volumes. In contrast, reduced snowmelt dominates changes in the largest floods in northern Europe, with localized shifts from snowmelt-driven to rainfall-driven floods. These regionally diverse responses of large floods to climate change should be considered in transnational flood risk management across Europe.</w:t>
      </w:r>
    </w:p>
    <w:p>
      <w:pPr/>
      <w:r>
        <w:rPr>
          <w:b/>
        </w:rPr>
        <w:t>POSSIBLE 2023:</w:t>
      </w:r>
      <w:r>
        <w:t xml:space="preserve"> Contact allergy to corticosteroids: Is the European baseline series sufficient? — https://doi.org/10.1111/cod.14358</w:t>
      </w:r>
    </w:p>
    <w:p>
      <w:pPr/>
      <w:r>
        <w:rPr>
          <w:b/>
        </w:rPr>
        <w:t>Shared claim-specific concepts:</w:t>
      </w:r>
      <w:r>
        <w:t xml:space="preserve"> baseline, period, stronger; EU scope visible. This is a provisional connection, not an outcome finding.</w:t>
      </w:r>
    </w:p>
    <w:p>
      <w:pPr>
        <w:pStyle w:val="SourceNote"/>
      </w:pPr>
      <w:r>
        <w:rPr>
          <w:b/>
        </w:rPr>
        <w:t>Available abstract (not full text):</w:t>
      </w:r>
      <w:r>
        <w:t xml:space="preserve"> BACKGROUND: Patients are consecutively screened for contact allergy to corticosteroids with budesonide and tixocortol-21-pivalate in the European baseline series. Centres using TRUE Test also include hydrocortisone-17-butyrate. A supplementary corticosteroid patch test series is used in case of suspicion of corticosteroid contact allergy or when a marker of corticosteroid contact allergy is positive. OBJECTIVE: The aims were to evaluate (1) the efficacy of corticosteroids in the TRUE Test and (2) co-sensitization patterns. METHODS: This retrospective study analysed patients patch tested with TRUE Test corticosteroids plus supplementary corticosteroid series in the period 2006-2020 at the Department of Dermatology and Allergy Centre, Odense University Hospital. RESULTS: Of 1852 patients tested, 119 were sensitised to TRUE Test corticosteroids and supplementary testing found additional reactions to other corticosteroids in 19 of 119 patients. TRUE Test corticosteroids gave more positive and stronger reactions compared to allergens in petrolatum/ethanol. Fourteen percent of sensitised patients were co-sensitised to multiple corticosteroid groups. Baeck group 3 corticosteroids accounted for 9 of 16 patients not identified by TRUE Test. CONCLUSIONS: Budesonide, hydrocortisone-17-butyrate, and tixocortol-21-pivalate in combination are sensitive corticosteroid markers. In case of clin</w:t>
      </w:r>
    </w:p>
    <w:p>
      <w:pPr/>
      <w:r>
        <w:rPr>
          <w:b/>
        </w:rPr>
        <w:t>POSSIBLE 2023:</w:t>
      </w:r>
      <w:r>
        <w:t xml:space="preserve"> Effect of Baseline Period on Quantification of Climate Extremes Over the United States — https://doi.org/10.1029/2023gl105204</w:t>
      </w:r>
    </w:p>
    <w:p>
      <w:pPr/>
      <w:r>
        <w:rPr>
          <w:b/>
        </w:rPr>
        <w:t>Shared claim-specific concepts:</w:t>
      </w:r>
      <w:r>
        <w:t xml:space="preserve"> baseline, period, periods, climate; EU scope not established. This is a provisional connection, not an outcome finding.</w:t>
      </w:r>
    </w:p>
    <w:p>
      <w:pPr>
        <w:pStyle w:val="SourceNote"/>
      </w:pPr>
      <w:r>
        <w:rPr>
          <w:b/>
        </w:rPr>
        <w:t>Available abstract (not full text):</w:t>
      </w:r>
      <w:r>
        <w:t xml:space="preserve"> Abstract Extreme climate events are societally harmful and have increased in frequency and intensity in recent decades. Indices based on temperature and precipitation are a valuable way to quantify climate extremes. Certain indices are defined relative to percentiles, which are dependent on a climatological baseline period. In this study, indices computed using temperature and precipitation from the Modern Era Retrospective Analysis for Research and Applications, Version 2 are calculated using percentiles from three baseline periods: 1981–2010, 1991–2020 and 1981–2020. Updating the baseline period from 1981 to 2010 to 1991–2020 leads to significant changes in the quantification of temperature and precipitation extremes over the United States over 1980–2021. Using the later baseline period indicates more cold extremes, fewer warm extremes, and fewer but more intense precipitation extremes throughout the US, with regional variation. Changing the baseline period can mislead the public and decision makers, potentially undermining the appropriate response to climate‐related health risks.</w:t>
      </w:r>
    </w:p>
    <w:p>
      <w:pPr/>
      <w:r>
        <w:rPr>
          <w:b/>
        </w:rPr>
        <w:t>POSSIBLE 2021:</w:t>
      </w:r>
      <w:r>
        <w:t xml:space="preserve"> Emerging new climate extremes over Europe — https://doi.org/10.1007/s00382-021-05917-3</w:t>
      </w:r>
    </w:p>
    <w:p>
      <w:pPr/>
      <w:r>
        <w:rPr>
          <w:b/>
        </w:rPr>
        <w:t>Shared claim-specific concepts:</w:t>
      </w:r>
      <w:r>
        <w:t xml:space="preserve"> baseline, period, larger, stronger, climate; EU scope visible. This is a provisional connection, not an outcome finding.</w:t>
      </w:r>
    </w:p>
    <w:p>
      <w:pPr>
        <w:pStyle w:val="SourceNote"/>
      </w:pPr>
      <w:r>
        <w:rPr>
          <w:b/>
        </w:rPr>
        <w:t>Available abstract (not full text):</w:t>
      </w:r>
      <w:r>
        <w:t xml:space="preserve"> Abstract Human society and natural systems are intrinsically adapted to the local climate mean and variability. Therefore, changes relative to the local expected variability are highly relevant for assessing impact and planning for adaptation as the climate changes. We analyse the emerging climate signal relative to the diagnosed internal variability (signal-to-noise ratio, S/N) of a set of recently published climate indices over Europe. We calculate the signal-to-noise ratio with respect to a recent baseline (1951-1983) which relates to recent societal experience. In this framework, we find that during the 2000-2016 period, many areas of Europe already experienced significant changes in climate extremes, even when compared to this recent period which is within living memory. In particular, the S/N of extreme temperatures is larger than 1 and 2 over 34% and 4% of Europe, respectively. We also find that about 15% of Europe is experiencing more intense winter precipitation events, while in summer, 7% of Europe is experiencing stronger drought-inducing conditions.</w:t>
      </w:r>
    </w:p>
    <w:p>
      <w:pPr/>
      <w:r>
        <w:rPr>
          <w:b/>
        </w:rPr>
        <w:t>POSSIBLE 2021:</w:t>
      </w:r>
      <w:r>
        <w:t xml:space="preserve"> Achieving sustainable development: A baseline analysis of Western and Eastern European countries — https://doi.org/10.15826/recon.2021.7.1.002</w:t>
      </w:r>
    </w:p>
    <w:p>
      <w:pPr/>
      <w:r>
        <w:rPr>
          <w:b/>
        </w:rPr>
        <w:t>Shared claim-specific concepts:</w:t>
      </w:r>
      <w:r>
        <w:t xml:space="preserve"> comparing, baseline, much; EU scope visible. This is a provisional connection, not an outcome finding.</w:t>
      </w:r>
    </w:p>
    <w:p>
      <w:pPr>
        <w:pStyle w:val="SourceNote"/>
      </w:pPr>
      <w:r>
        <w:rPr>
          <w:b/>
        </w:rPr>
        <w:t>Available abstract (not full text):</w:t>
      </w:r>
      <w:r>
        <w:t xml:space="preserve"> Relevance. Sustainable development is now an increasingly important topic on the global agenda, which received much attention in connection with the adoption of the 2030 Agenda for Sustainable Development and the Sustainable Development Goals (SDGs).Research objectives. The article aims to contribute to the understanding of sustainability expansion and SDGs achievement in Europe by comparing the differences between Western and Eastern European countries. Data and methods. The study relies on descriptive statistics and comparative analysis of sustainable development results in Western (18) and Eastern European (21) countries. The parametric Student's t-distribution test and non-parametric U Mann-Whitney test were used to examine the significance of the differences between Western and Eastern European countries.Results. Sustainable development in Eastern and Western European countries is affected by various economic, social and environmental processes. The SDGs in Western European countries is achieved mostly in the social and economic spheres while in the Eastern European countries, in social and environmental spheres. Although Europe leads globally on sustainability, it still faces significant challenges in reaching the SDGs.Conclusions. European countries are compared in order to identify the main SDGs directions and constraints in the current state of sustainability achieveme</w:t>
      </w:r>
    </w:p>
    <w:p>
      <w:pPr/>
      <w:r>
        <w:rPr>
          <w:b/>
        </w:rPr>
        <w:t>POSSIBLE 2021:</w:t>
      </w:r>
      <w:r>
        <w:t xml:space="preserve"> Design Space Constraints and the Cultural Taxonomy of European Final Palaeolithic Large Tanged Points: A Comparison of Typological, Landmark-Based and Whole-Outline Geometric Morphometric Approaches — https://doi.org/10.1007/s41982-021-00097-2</w:t>
      </w:r>
    </w:p>
    <w:p>
      <w:pPr/>
      <w:r>
        <w:rPr>
          <w:b/>
        </w:rPr>
        <w:t>Shared claim-specific concepts:</w:t>
      </w:r>
      <w:r>
        <w:t xml:space="preserve"> comparing, baseline, much; EU scope visible. This is a provisional connection, not an outcome finding.</w:t>
      </w:r>
    </w:p>
    <w:p>
      <w:pPr>
        <w:pStyle w:val="SourceNote"/>
      </w:pPr>
      <w:r>
        <w:rPr>
          <w:b/>
        </w:rPr>
        <w:t>Available abstract (not full text):</w:t>
      </w:r>
      <w:r>
        <w:t xml:space="preserve"> Abstract The identification of material culture variability remains an important goal in archaeology, as such variability is commonly coupled with interpretations of cultural transmission and adaptation. While most archaeological cultures are defined on the basis of typology and research tradition, cultural evolutionary reasoning combined with computer-aided methods such as geometric morphometrics (GMM) can shed new light on the validity of many such entrenched groupings, especially in regard to European Upper Palaeolithic projectile points and their classification. Little methodological consistency, however, makes it difficult to compare the conclusions of such studies. Here, we present an effort towards a benchmarked, case-transferrable toolkit that comparatively explores relevant techniques centred on outline-based GMM. First, we re-analyse two previously conducted landmark-based analyses of stone artefacts using our whole-outline approach, demonstrating that outlines can offer an efficient and reliable alternative. We then show how a careful application of clustering algorithms to GMM outline data is able to successfully discriminate between distinctive tool shapes and suggest that such data can also be used to infer cultural evolutionary histories matching already observed typo-chronological patterns. Building on this baseline work, we apply the same methods to a dataset o</w:t>
      </w:r>
    </w:p>
    <w:p>
      <w:pPr/>
      <w:r>
        <w:rPr>
          <w:b/>
        </w:rPr>
        <w:t>POSSIBLE 2020:</w:t>
      </w:r>
      <w:r>
        <w:t xml:space="preserve"> Patch test results of the European baseline series among 1309 patients in Turkey between 2013 and 2019 — https://doi.org/10.1111/cod.13653</w:t>
      </w:r>
    </w:p>
    <w:p>
      <w:pPr/>
      <w:r>
        <w:rPr>
          <w:b/>
        </w:rPr>
        <w:t>Shared claim-specific concepts:</w:t>
      </w:r>
      <w:r>
        <w:t xml:space="preserve"> baseline, period, increases; EU scope visible. This is a provisional connection, not an outcome finding.</w:t>
      </w:r>
    </w:p>
    <w:p>
      <w:pPr>
        <w:pStyle w:val="SourceNote"/>
      </w:pPr>
      <w:r>
        <w:rPr>
          <w:b/>
        </w:rPr>
        <w:t>Available abstract (not full text):</w:t>
      </w:r>
      <w:r>
        <w:t xml:space="preserve"> BACKGROUND: Prevalences of sensitivity to contact allergens change over time as a result of variations in allergen exposure. OBJECTIVES: The aim of the study was to describe trends in sensitisation to allergens of the European baseline series in Turkey between 2013 and 2019. METHODS: The patch test results of 1309 patients with suspected allergic contact dermatitis (ACD) were analysed retrospectively, and the prevalence of contact allergies to European baseline series allergens was compared with previous data (for 1998-2005). RESULTS: A total of 534 (40.8%) patients exhibited one or more positive patch test reaction. The five most frequent allergens were nickel sulfate (19.6%), potassium dichromate (6.5%), cobalt chloride (6%), Myroxylon pereirae resin (5%), and p-phenylenediamine (PPD; 3.7%). Statistically significant increases in the prevalence of sensitisation to methylchloroisothiazolinone/methylisothiazolinone (MCI/MI; P &lt; .001), Myroxylon pereirae resin (P &lt; .001), PPD (P = .008), and fragrance mix I (P = .036) were observed in the 2013 to 2019 period compared with the 1998 to 2005 period. Conversely, positive reactions to neomycin sulfate (P = .029), clioquinol (P = .031), and primin (P = .001) decreased significantly. CONCLUSION: This study provides a comprehensive profile of ACD in Turkey. The remarkable increase in the MI and MCI/MI contact allergy observed underlines</w:t>
      </w:r>
    </w:p>
    <w:p>
      <w:pPr/>
      <w:r>
        <w:rPr>
          <w:b/>
        </w:rPr>
        <w:t>POSSIBLE 2020:</w:t>
      </w:r>
      <w:r>
        <w:t xml:space="preserve"> The Role of Social Support in Machismo and Acceptance of Violence Among Adolescents in Europe: Lights4Violence Baseline Results — https://doi.org/10.1016/j.jadohealth.2020.09.007</w:t>
      </w:r>
    </w:p>
    <w:p>
      <w:pPr/>
      <w:r>
        <w:rPr>
          <w:b/>
        </w:rPr>
        <w:t>Shared claim-specific concepts:</w:t>
      </w:r>
      <w:r>
        <w:t xml:space="preserve"> baseline, spain, portugal; EU scope visible. This is a provisional connection, not an outcome finding.</w:t>
      </w:r>
    </w:p>
    <w:p>
      <w:pPr>
        <w:pStyle w:val="SourceNote"/>
      </w:pPr>
      <w:r>
        <w:rPr>
          <w:b/>
        </w:rPr>
        <w:t>Available abstract (not full text):</w:t>
      </w:r>
      <w:r>
        <w:t xml:space="preserve"> Purpose To analyze the potential association between social support, experiences of violence, and sociodemographic characteristics of adolescents and the likelihood of acceptance of violence and machismo in different European countries. Methods Cross-sectional design. We recruited 1,555 participants ages 13–16 from secondary schools in Alicante (Spain), Rome (Italy), Iasi (Romania), Matosinhos (Portugal), Poznan (Poland), and Cardiff (UK). We used linear regression models to identify how social support from teachers and parents, experiences of violence—dating violence, bullying, cyberbullying, abuse in childhood—and sociodemographic characteristics were associated with violent thinking, specifically: machismo and acceptance of violence. The analysis was stratified by sex. Results Acceptance of violence was higher for those who had lower perceived social support from parents (β girls = −154, p &lt; .001; β boys = −.114, p = .019) for both sexes. Perpetration of bullying and/or cyberbullying was associated with higher scores for machismo and acceptance of violence for both sexes (β girls = .067, p = .035; β boys = .225, p &lt; .001; (β girls = .118, p &lt; .001; β boys = .210, p &lt; .001). Being the victim of dating violence, having suffered physical and/or sexual abuse in childhood, and lower perceived social support from teachers were associated with higher scores for both machismo and ac</w:t>
      </w:r>
    </w:p>
    <w:p>
      <w:pPr/>
      <w:r>
        <w:rPr>
          <w:b/>
        </w:rPr>
        <w:t>POSSIBLE 2020:</w:t>
      </w:r>
      <w:r>
        <w:t xml:space="preserve"> Comparing interannual variability in three regional single-model initial-condition large ensembles (SMILEs) over Europe — https://doi.org/10.5194/esd-11-1013-2020</w:t>
      </w:r>
    </w:p>
    <w:p>
      <w:pPr/>
      <w:r>
        <w:rPr>
          <w:b/>
        </w:rPr>
        <w:t>Shared claim-specific concepts:</w:t>
      </w:r>
      <w:r>
        <w:t xml:space="preserve"> comparing, periods, increases, france, climate; EU scope visible. This is a provisional connection, not an outcome finding.</w:t>
      </w:r>
    </w:p>
    <w:p>
      <w:pPr>
        <w:pStyle w:val="SourceNote"/>
      </w:pPr>
      <w:r>
        <w:rPr>
          <w:b/>
        </w:rPr>
        <w:t>Available abstract (not full text):</w:t>
      </w:r>
      <w:r>
        <w:t xml:space="preserve"> Abstract. Single model large ensembles are widely used model experiments to estimate internal climate variability. The underlying assumption is that the internal variability (here: inter-annual variability) of the chosen model is a good approximation of the observed natural (inter-annual) variability. In this study, we test this assumption based on three regional climate model large ensembles (16 members of an EC-EARTH-RACMO ensemble, 21 members of a CESM-CCLM ensemble, 50 members of a CanESM-CRCM ensemble) for four European domains (British Isles, France, Mid-Europe, Alps). Simulated inter-annual variability is evaluated against E-OBS and the inter-annunal variability and its future change are compared across the ensembles. To the knowledge of the authors, this is the first comparison of regional large ensembles over Europe. Analysis comprises seasonal temperature and precipitation, as well as indicators for dry periods and heat waves. Results show a large consistency of all three ensembles with E-OBS data for most indicators and regions, validating the abilities of these ensembles to represent natural variability on the annual scale. EC-EARTH-RACMO shows the highest inter-annual variability for winter temperature and precipitation, whereas CESM-CCLM shows the highest variability for summer temperature and precipitation, as well as for heatwaves and dry periods. Despite these </w:t>
      </w:r>
    </w:p>
    <w:p>
      <w:pPr/>
      <w:r>
        <w:rPr>
          <w:b/>
        </w:rPr>
        <w:t>POSSIBLE 2020:</w:t>
      </w:r>
      <w:r>
        <w:t xml:space="preserve"> Machine learning for large-scale crop yield forecasting — https://doi.org/10.1016/j.agsy.2020.103016</w:t>
      </w:r>
    </w:p>
    <w:p>
      <w:pPr/>
      <w:r>
        <w:rPr>
          <w:b/>
        </w:rPr>
        <w:t>Shared claim-specific concepts:</w:t>
      </w:r>
      <w:r>
        <w:t xml:space="preserve"> baseline, much, france; EU scope visible. This is a provisional connection, not an outcome finding.</w:t>
      </w:r>
    </w:p>
    <w:p>
      <w:pPr>
        <w:pStyle w:val="SourceNote"/>
      </w:pPr>
      <w:r>
        <w:rPr>
          <w:b/>
        </w:rPr>
        <w:t>Available abstract (not full text):</w:t>
      </w:r>
      <w:r>
        <w:t xml:space="preserve"> Many studies have applied machine learning to crop yield prediction with a focus on specific case studies. The data and methods they used may not be transferable to other crops and locations. On the other hand, operational large-scale systems, such as the European Commission's MARS Crop Yield Forecasting System (MCYFS), do not use machine learning. Machine learning is a promising method especially when large amounts of data are being collected and published. We combined agronomic principles of crop modeling with machine learning to build a machine learning baseline for large-scale crop yield forecasting. The baseline is a workflow emphasizing correctness, modularity and reusability. For correctness, we focused on designing explainable predictors or features (in relation to crop growth and development) and applying machine learning without information leakage. We created features using crop simulation outputs and weather, remote sensing and soil data from the MCYFS database. We emphasized a modular and reusable workflow to support different crops and countries with small configuration changes. The workflow can be used to run repeatable experiments (e.g. early season or end of season predictions) using standard input data to obtain reproducible results. The results serve as a starting point for further optimizations. In our case studies, we predicted yield at regional level for f</w:t>
      </w:r>
    </w:p>
    <w:p>
      <w:pPr/>
      <w:r>
        <w:rPr>
          <w:b/>
        </w:rPr>
        <w:t>POSSIBLE 2020:</w:t>
      </w:r>
      <w:r>
        <w:t xml:space="preserve"> One simulation, different conclusions—the baseline period makes the difference! — https://doi.org/10.1088/1748-9326/aba3d7</w:t>
      </w:r>
    </w:p>
    <w:p>
      <w:pPr/>
      <w:r>
        <w:rPr>
          <w:b/>
        </w:rPr>
        <w:t>Shared claim-specific concepts:</w:t>
      </w:r>
      <w:r>
        <w:t xml:space="preserve"> baseline, period, periods, climate; EU scope not established. This is a provisional connection, not an outcome finding.</w:t>
      </w:r>
    </w:p>
    <w:p>
      <w:pPr>
        <w:pStyle w:val="SourceNote"/>
      </w:pPr>
      <w:r>
        <w:rPr>
          <w:b/>
        </w:rPr>
        <w:t>Available abstract (not full text):</w:t>
      </w:r>
      <w:r>
        <w:t xml:space="preserve"> The choice of the baseline period, intentionally chosen or not, as a reference for assessing future changes of any projected variable can play an important role for the resulting statement. In regional climate impact studies, well-established or arbitrarily chosen baselines are often used without being questioned. Here we investigated the effects of different baseline periods on the interpretation of discharge simulations from eight river basins in the period 1960–2099. The simulations were forced by four bias-adjusted and downscaled Global Climate Modelsunder two radiative forcing scenarios (RCP 2.6 and RCP 8.5). To systematically evaluate how far the choice of different baselines impacts the simulation results, we developed a similarity index that compares two time series of projected changes. The results show that 25% of the analyzed simulations are sensitive to the choice of the baseline period under RCP 2.6 and 32% under RCP 8.5. In extreme cases, change signals of two time series show opposite trends. This has serious consequences for key messages drawn from a basin-scale climate impact study. To address this problem, an algorithm was developed to identify flexible baseline periods for each simulation individually, which better represent the statistical properties of a given historical period.</w:t>
      </w:r>
    </w:p>
    <w:p>
      <w:pPr>
        <w:pStyle w:val="Heading2"/>
      </w:pPr>
      <w:r>
        <w:t>978. Implications of sustainability constraints on UK bioenergy development: Assessing optimistic and precautionary approaches with UK MARKAL</w:t>
      </w:r>
    </w:p>
    <w:p>
      <w:pPr>
        <w:pStyle w:val="SourceNote"/>
      </w:pPr>
      <w:r>
        <w:rPr>
          <w:b/>
        </w:rPr>
        <w:t>Original source (2012):</w:t>
      </w:r>
      <w:r>
        <w:t xml:space="preserve"> https://doi.org/10.1016/j.enpol.2012.05.015</w:t>
      </w:r>
    </w:p>
    <w:p>
      <w:pPr/>
      <w:r>
        <w:t>Original wording (abstract; indexed_source_text_not_full_document_verified): The paper then examines the implications of these scenarios using the energy systems model MARKAL, finding that a precautionary approach adds to the cost of decarbonisation, but does not significantly alter the optimal technology mix.</w:t>
      </w:r>
    </w:p>
    <w:p>
      <w:pPr/>
      <w:r>
        <w:rPr>
          <w:b/>
        </w:rPr>
        <w:t>POSSIBLE 2026:</w:t>
      </w:r>
      <w:r>
        <w:t xml:space="preserve"> Tourism Dynamics at Meenakshi Amman Temple: Examining Implications for Micro-Enterprise Economic Performance — https://doi.org/10.34293/management.v13is1-i2-feb.10387</w:t>
      </w:r>
    </w:p>
    <w:p>
      <w:pPr/>
      <w:r>
        <w:rPr>
          <w:b/>
        </w:rPr>
        <w:t>Shared claim-specific concepts:</w:t>
      </w:r>
      <w:r>
        <w:t xml:space="preserve"> implications, but, significantly; EU scope not established. This is a provisional connection, not an outcome finding.</w:t>
      </w:r>
    </w:p>
    <w:p>
      <w:pPr>
        <w:pStyle w:val="SourceNote"/>
      </w:pPr>
      <w:r>
        <w:rPr>
          <w:b/>
        </w:rPr>
        <w:t>Available abstract (not full text):</w:t>
      </w:r>
      <w:r>
        <w:t xml:space="preserve"> Now a days Local economies are significantly boosted by religious tourism destination, especially for small business that depend significantly on visitor traffic. The constant stream of pilgrims in holy cities like Madurai has a direct impact on the prosperity of Local business and service providers. The study looks at how local microbusiness’ performance is affected by tourism near the meenakshi Amman Temple.we concentrated on business operating close to the temple that were MSME –registered such as retail stores,food vendors, lodging facilities,and tour companies.we collected data from 120 business owners using structured questionnaires. Our analysis employed simple statistical methods percentages,Descriptive analysis and simple t-test,correlation. Findings indicates that there are definite advantages to tourism including higher sales, more clients and study revenue during busy time. However, these advantages change throughout the year. Businesses suffer major difficulties during low visitor seasons, particularly when infrastructure is poor or crowd control is ineffective. Temple tourism has a lot of room to grow, but doing so would require better infrastructure and encouraging laws.</w:t>
      </w:r>
    </w:p>
    <w:p>
      <w:pPr/>
      <w:r>
        <w:rPr>
          <w:b/>
        </w:rPr>
        <w:t>POSSIBLE 2026:</w:t>
      </w:r>
      <w:r>
        <w:t xml:space="preserve"> CRANIAL STRUCTURE OF †CHONDROSTEUS ACIPENSEROIDES RE-EXAMINED: IMPLICATIONS FOR UPPER JAW HOMOLOGIES IN ACIPENSERIFORM FISHES — https://doi.org/10.7302/28802</w:t>
      </w:r>
    </w:p>
    <w:p>
      <w:pPr/>
      <w:r>
        <w:rPr>
          <w:b/>
        </w:rPr>
        <w:t>Shared claim-specific concepts:</w:t>
      </w:r>
      <w:r>
        <w:t xml:space="preserve"> implications, but, not; EU scope not established. This is a provisional connection, not an outcome finding.</w:t>
      </w:r>
    </w:p>
    <w:p>
      <w:pPr>
        <w:pStyle w:val="SourceNote"/>
      </w:pPr>
      <w:r>
        <w:rPr>
          <w:b/>
        </w:rPr>
        <w:t>Available abstract (not full text):</w:t>
      </w:r>
      <w:r>
        <w:t xml:space="preserve"> The Early Jurassic family †Chondrosteidae is considered the sister lineage to all remaining acipenseriforms, the actinopterygian group that includes sturgeons, paddlefishes, and their immediate extinct relatives. As the best-known and oldest †chondrosteid, the Hettangian– Sinemurian †Chondrosteus acipenseroides plays a central role in understanding plesiomorphic acipenseriform conditions. Here we present a micro-computed tomographic examination of the cranial anatomy of †Chondrosteus based on a laterally compressed skull. We corroborate many aspects of the most recent account of this genus but find additional upper jaw bones not previously reported. These newly recognized ossifications, some dermal and some endoskeletal in origin, bear on hypothesized homologies of upper jaw components in acipenseriforms. First, †Chondrosteus possesses a series of up to three toothed dermal bones associated with the ventral margin of the palate. These bones correspond to the dermopalatines of other actinopterygians. We therefore reject identification of the marginal, strap-like bone of the acipenseriform upper jaw as a dermopalatine and accept the historical interpretation of that ossification as a maxilla. Second, two endoskeletal bones are associated with the aboral surface of the palate. The largest of these is a thin sheet matching the bone conventionally interpreted as an autopalatine in o</w:t>
      </w:r>
    </w:p>
    <w:p>
      <w:pPr/>
      <w:r>
        <w:rPr>
          <w:b/>
        </w:rPr>
        <w:t>POSSIBLE 2025:</w:t>
      </w:r>
      <w:r>
        <w:t xml:space="preserve"> Examining the Viable Systems Model (VSM) for Systems of Systems — https://doi.org/10.1109/sose66311.2025.11083819</w:t>
      </w:r>
    </w:p>
    <w:p>
      <w:pPr/>
      <w:r>
        <w:rPr>
          <w:b/>
        </w:rPr>
        <w:t>Shared claim-specific concepts:</w:t>
      </w:r>
      <w:r>
        <w:t xml:space="preserve"> implications, systems; EU scope not established. This is a provisional connection, not an outcome finding.</w:t>
      </w:r>
    </w:p>
    <w:p>
      <w:pPr>
        <w:pStyle w:val="SourceNote"/>
      </w:pPr>
      <w:r>
        <w:rPr>
          <w:b/>
        </w:rPr>
        <w:t>Available abstract (not full text):</w:t>
      </w:r>
      <w:r>
        <w:t xml:space="preserve"> In cybernetics, the Viable Systems Model (VSM) is used to describe the control of complex autonomous and adaptable systems. VSM consists of five levels of sub-systems, from lower level operations towards higher level strategy, and it has been successfully applied to several areas of operational management as a tool for diagnostics. In this paper we analyze the suitability of VSM towards Systems of Systems (SoS) and whether it can be leveraged as a positive mechanism for the control of complex SoS. We summarize VSM and its usage in organizational management, and connect the main SoS topics towards VSM. We also extend the basic principles and ideas of VSM towards SoS, and discuss the implications and practical considerations. We evaluate the usefulness of VSM through a electrified construction site use case, and critically analyze its wider application in the SoS domain.</w:t>
      </w:r>
    </w:p>
    <w:p>
      <w:pPr/>
      <w:r>
        <w:rPr>
          <w:b/>
        </w:rPr>
        <w:t>POSSIBLE 2025:</w:t>
      </w:r>
      <w:r>
        <w:t xml:space="preserve"> Sociocultural constructs and sensorimotor control: a scoping review examining implications for anterior cruciate injury — https://doi.org/10.1136/bjsports-2024-108617</w:t>
      </w:r>
    </w:p>
    <w:p>
      <w:pPr/>
      <w:r>
        <w:rPr>
          <w:b/>
        </w:rPr>
        <w:t>Shared claim-specific concepts:</w:t>
      </w:r>
      <w:r>
        <w:t xml:space="preserve"> implications, approach, but; EU scope not established. This is a provisional connection, not an outcome finding.</w:t>
      </w:r>
    </w:p>
    <w:p>
      <w:pPr>
        <w:pStyle w:val="SourceNote"/>
      </w:pPr>
      <w:r>
        <w:rPr>
          <w:b/>
        </w:rPr>
        <w:t>Available abstract (not full text):</w:t>
      </w:r>
      <w:r>
        <w:t xml:space="preserve"> OBJECTIVE: There is a need to explore the many factors that may have a more subtle influence on, or relationship with, sensorimotor control as it pertains to anterior cruciate ligament injury risk. Due to well-established sex/gender-related differences in sensorimotor control, a close examination of key sociocultural constructs is warranted. This scoping review examined the connection between sociocultural constructs and sensorimotor control. DESIGN: Scoping review. DATA SOURCES: The following databases were searched: PubMed, Embase, Scopus, CINAHL Complete, Academic Search Complete, Pre-Prints Database and Rehabilitation Reference Center from inception to September 2023. Additionally, relevant grey literature was identified. ELIGIBILITY CRITERIA FOR SELECTING STUDIES: Two blinded reviewers independently performed screening, study selection and data extraction. Original references in English, Spanish and German reporting on sociocultural constructs and motor task performance were included. RESULTS: Data were extracted from 68 included articles. Stereotype threat, gender and race have been examined more than other sociocultural constructs. Sensorimotor control was assessed in upper and lower quarter tasks and physical activity (PA). Task assessment methods varied, often focusing on task completion or completion speed. It is evident that sociocultural constructs influence sensori</w:t>
      </w:r>
    </w:p>
    <w:p>
      <w:pPr/>
      <w:r>
        <w:rPr>
          <w:b/>
        </w:rPr>
        <w:t>POSSIBLE 2025:</w:t>
      </w:r>
      <w:r>
        <w:t xml:space="preserve"> Examining pathways for a climate neutral Europe by 2050; A model comparison analysis including integrated assessment models and energy system models — https://doi.org/10.1016/j.energy.2025.134809</w:t>
      </w:r>
    </w:p>
    <w:p>
      <w:pPr/>
      <w:r>
        <w:rPr>
          <w:b/>
        </w:rPr>
        <w:t>Shared claim-specific concepts:</w:t>
      </w:r>
      <w:r>
        <w:t xml:space="preserve"> energy, systems, but, technology; EU scope visible. This is a provisional connection, not an outcome finding.</w:t>
      </w:r>
    </w:p>
    <w:p>
      <w:pPr>
        <w:pStyle w:val="SourceNote"/>
      </w:pPr>
      <w:r>
        <w:rPr>
          <w:b/>
        </w:rPr>
        <w:t>Available abstract (not full text):</w:t>
      </w:r>
      <w:r>
        <w:t xml:space="preserve"> The European Union's goal of achieving climate neutrality by 2050, outlined in the European Green Deal, is supported by numerous studies providing insights into pathways and emission reduction strategies in the energy sectors. However, model comparisons of such pathways are less common due to the complex nature of climate and energy modelling. Our study brings together integrated assessment models and energy system models under a common framework to develop EU policy scenarios: a Current Trends scenario reflecting existing policies and trends and a Climate Neutrality scenario aligned with the EU's emission reduction target. Both scenarios project reduced final energy consumption by 2050, driven by increased electrification and decreased fossil fuel usage. Electricity consumption increases driven by electrification despite the improved efficiency of electrified technologies. Models align on a shift toward renewables but diverge in technology and fuel choices, reflecting various approaches to reach net-zero energy systems. Furthermore, trade-offs between energy demand and supply mitigation strategies, as well as between renewable energy, e-fuels, and CCS technologies are identified. Considering these model variations, our study highlights the importance of consistent model comparison to offer reliable recommendations to policymakers and stakeholders. We conclude that model divers</w:t>
      </w:r>
    </w:p>
    <w:p>
      <w:pPr/>
      <w:r>
        <w:rPr>
          <w:b/>
        </w:rPr>
        <w:t>POSSIBLE 2024:</w:t>
      </w:r>
      <w:r>
        <w:t xml:space="preserve"> Examining the Alignment of Student Explanations With the System Model in Climate Education Using Systems Thinking — https://doi.org/10.4018/979-8-3693-1710-5.ch003</w:t>
      </w:r>
    </w:p>
    <w:p>
      <w:pPr/>
      <w:r>
        <w:rPr>
          <w:b/>
        </w:rPr>
        <w:t>Shared claim-specific concepts:</w:t>
      </w:r>
      <w:r>
        <w:t xml:space="preserve"> systems, approach; EU scope not established. This is a provisional connection, not an outcome finding.</w:t>
      </w:r>
    </w:p>
    <w:p>
      <w:pPr>
        <w:pStyle w:val="SourceNote"/>
      </w:pPr>
      <w:r>
        <w:rPr>
          <w:b/>
        </w:rPr>
        <w:t>Available abstract (not full text):</w:t>
      </w:r>
      <w:r>
        <w:t xml:space="preserve"> The climate crisis poses a major threat to sustainability, highlighting the need for climate education that develops students' systems thinking skills regarding dynamic environmental issues. For this reason, this project, funded by the United Nations Development Programme (UNDP), was developed by a research university, a non-governmental organization, and a middle school partnership. As part of the project, this study investigated a ten-week after-school climate education program for 8th-grade students that aimed to improve their understanding of the climate system through simulation and policymaking. Semi-structured interviews were analyzed to assess the program's model alignment with students' explanations. The most frequently mentioned category was the economy, followed by the carbon cycle; population and the greenhouse effect were the least common. The study offers valuable insights into using a systems approach in climate education to comprehend climate complexity and dynamics by considering the importance of economy and population in understanding human-caused climate change.</w:t>
      </w:r>
    </w:p>
    <w:p>
      <w:pPr/>
      <w:r>
        <w:rPr>
          <w:b/>
        </w:rPr>
        <w:t>POSSIBLE 2023:</w:t>
      </w:r>
      <w:r>
        <w:t xml:space="preserve"> Examining research systems and models for local government: a systematic review — https://doi.org/10.1332/17442648y2023d000000002</w:t>
      </w:r>
    </w:p>
    <w:p>
      <w:pPr/>
      <w:r>
        <w:rPr>
          <w:b/>
        </w:rPr>
        <w:t>Shared claim-specific concepts:</w:t>
      </w:r>
      <w:r>
        <w:t xml:space="preserve"> systems, approach, but, optimal; EU scope visible. This is a provisional connection, not an outcome finding.</w:t>
      </w:r>
    </w:p>
    <w:p>
      <w:pPr>
        <w:pStyle w:val="SourceNote"/>
      </w:pPr>
      <w:r>
        <w:rPr>
          <w:b/>
        </w:rPr>
        <w:t>Available abstract (not full text):</w:t>
      </w:r>
      <w:r>
        <w:t xml:space="preserve"> Background: Local authorities (LA) are key in improving population health, and LA public health decision makers need support from appropriately organised research capacity; however, few models of LA research systems are known to exist. Aims and objectives: To explore potential and existing models of LA-based research systems. Methods: This mapping review and time-constrained systematic review synthesises conceptual and empirical literature from 12 health and social science databases, grey literature and reference/citation tracking. Three reviewers screened titles, abstracts and full texts of retrieved records, and extracted key data from included papers. Evidence was synthesised based on characteristics of research systems and quality-assessed for relevance, rigour and richness. Findings: Nine models were examined in depth. From these, we developed a typology of research systems. Few models were specifically designed for LA research activity; as a Whole System approach, the Local Authority Champions of Research model offers a potential blueprint. Useful lessons may be learned from UK Collaborations for Leadership in Applied Health Research, Academic Collaborative Centres in the Netherlands, local Research and Development units in Sweden, and generic University-Community partnerships. Discussion and conclusions: An optimal research system requires the coexistence of multiple sys</w:t>
      </w:r>
    </w:p>
    <w:p>
      <w:pPr/>
      <w:r>
        <w:rPr>
          <w:b/>
        </w:rPr>
        <w:t>POSSIBLE 2023:</w:t>
      </w:r>
      <w:r>
        <w:t xml:space="preserve"> Examining Student Testing and Debugging Within a Computational Systems Modeling Context — https://doi.org/10.1007/s10956-023-10049-w</w:t>
      </w:r>
    </w:p>
    <w:p>
      <w:pPr/>
      <w:r>
        <w:rPr>
          <w:b/>
        </w:rPr>
        <w:t>Shared claim-specific concepts:</w:t>
      </w:r>
      <w:r>
        <w:t xml:space="preserve"> systems, not; EU scope not established. This is a provisional connection, not an outcome finding.</w:t>
      </w:r>
    </w:p>
    <w:p>
      <w:pPr>
        <w:pStyle w:val="SourceNote"/>
      </w:pPr>
      <w:r>
        <w:rPr>
          <w:b/>
        </w:rPr>
        <w:t>Available abstract (not full text):</w:t>
      </w:r>
      <w:r>
        <w:t xml:space="preserve"> Abstract Interpreting and creating computational systems models is an important goal of science education. One aspect of computational systems modeling that is supported by modeling, systems thinking, and computational thinking literature is “testing, evaluating, and debugging models.” Through testing and debugging, students can identify aspects of their models that either do not match external data or conflict with their conceptual understandings of a phenomenon. This disconnect encourages students to make model revisions, which in turn deepens their conceptual understanding of a phenomenon. Given that many students find testing and debugging challenging, we set out to investigate the various testing and debugging behaviors and behavioral patterns that students use when building and revising computational system models in a supportive learning environment. We designed and implemented a 6-week unit where students constructed and revised a computational systems model of evaporative cooling using SageModeler software. Our results suggest that despite being in a common classroom, the three groups of students in this study all utilized different testing and debugging behavioral patterns. Group 1 focused on using external peer feedback to identify flaws in their model, group 2 used verbal and written discourse to critique their model’s structure and suggest structural changes, and g</w:t>
      </w:r>
    </w:p>
    <w:p>
      <w:pPr/>
      <w:r>
        <w:rPr>
          <w:b/>
        </w:rPr>
        <w:t>POSSIBLE 2022:</w:t>
      </w:r>
      <w:r>
        <w:t xml:space="preserve"> Are Black Girls Exhibiting Puberty Earlier? Examining Implications of Race-Based Guidelines — https://doi.org/10.1542/peds.2021-055595</w:t>
      </w:r>
    </w:p>
    <w:p>
      <w:pPr/>
      <w:r>
        <w:rPr>
          <w:b/>
        </w:rPr>
        <w:t>Shared claim-specific concepts:</w:t>
      </w:r>
      <w:r>
        <w:t xml:space="preserve"> implications, does, not; EU scope not established. This is a provisional connection, not an outcome finding.</w:t>
      </w:r>
    </w:p>
    <w:p>
      <w:pPr>
        <w:pStyle w:val="SourceNote"/>
      </w:pPr>
      <w:r>
        <w:rPr>
          <w:b/>
        </w:rPr>
        <w:t>Available abstract (not full text):</w:t>
      </w:r>
      <w:r>
        <w:t xml:space="preserve"> From 1977 to 2013, the average age of thelarche, the first sign of puberty in girls, decreased by nearly 3 months per decade.1 This trend, along with rising rates of precocious puberty in girls, has significant implications for girls’ physical and psychosocial development, especially because early puberty has been linked to future health risks.2,3In 1997, the Pediatric Research in Office Setting study introduced race into the discourse surrounding pubertal timing trends.4 In a study of approximately 17 000 girls, Black girls at every age had more advanced breast development compared with White girls. Breast development had begun at age 6 years for 6.4% of Black and 2.8% of White girls and, by 8 years, 37.8% of Black and 10.5% of White girls.4 Because of these findings, the Pediatric Endocrine Society Drugs and Therapeutic Committee recommended new race-based criteria for defining precocious puberty.5 Proposed recommendations stated that breast development should be considered precocious in Black girls younger than 6 years and White girls younger than 7 years.5 Although these guidelines were never formally recognized, race has become widely accepted as a factor in the pubertal timing of girls and has been included in recent American Academy of Pediatrics (AAP) clinical reports6 and Pediatric Endocrine Society guidelines.7 As a result, many patients, caregivers, medical students,</w:t>
      </w:r>
    </w:p>
    <w:p>
      <w:pPr/>
      <w:r>
        <w:rPr>
          <w:b/>
        </w:rPr>
        <w:t>POSSIBLE 2022:</w:t>
      </w:r>
      <w:r>
        <w:t xml:space="preserve"> Re-examining post-acceptance model of information systems continuance: A revised theoretical model using MASEM approach — https://doi.org/10.1016/j.ijinfomgt.2022.102571</w:t>
      </w:r>
    </w:p>
    <w:p>
      <w:pPr/>
      <w:r>
        <w:rPr>
          <w:b/>
        </w:rPr>
        <w:t>Shared claim-specific concepts:</w:t>
      </w:r>
      <w:r>
        <w:t xml:space="preserve"> systems, approach, technology; EU scope not established. This is a provisional connection, not an outcome finding.</w:t>
      </w:r>
    </w:p>
    <w:p>
      <w:pPr>
        <w:pStyle w:val="SourceNote"/>
      </w:pPr>
      <w:r>
        <w:rPr>
          <w:b/>
        </w:rPr>
        <w:t>Available abstract (not full text):</w:t>
      </w:r>
      <w:r>
        <w:t xml:space="preserve"> This study extends the post-acceptance model of information systems (IS) continuance, which is widely used to explain users’ satisfaction and IS continuance intentions. The extended model includes additional variables such as perceived ease of use (PEOU), attitude, trust, and enjoyment. The proposed model was tested using meta-analytic structural equation modeling (MASEM). The analysis included 1,056 observations on fifteen relationships from 214 independent studies with a combined sample of 84,343. The results confirm the significance of all the relationships proposed in the original model. Furthermore, the findings indicate that PEOU directly influences perceived usefulness, satisfaction, and attitude. Trust and enjoyment both have a positive impact on users’ satisfaction and IS continuance, wherein the effect of enjoyment was higher than trust. post-consumption satisfaction resulted in a favorable attitude toward technology, which further affected IS continuance. From a theoretical perspective, the current study acknowledges the shift in users’ attitude toward technology and emphasizes the hedonic value of IS usage as users report a higher degree of satisfaction toward responsive, easy to use, and enjoyable technologies. Marketers should focus on the enjoyment and gratifications derived from technology to increase potential IS usage.</w:t>
      </w:r>
    </w:p>
    <w:p>
      <w:pPr/>
      <w:r>
        <w:rPr>
          <w:b/>
        </w:rPr>
        <w:t>POSSIBLE 2022:</w:t>
      </w:r>
      <w:r>
        <w:t xml:space="preserve"> #foodporn: examining Instagram food influencers through the systems model of creativity — https://doi.org/10.1080/22041451.2022.2137248</w:t>
      </w:r>
    </w:p>
    <w:p>
      <w:pPr/>
      <w:r>
        <w:rPr>
          <w:b/>
        </w:rPr>
        <w:t>Shared claim-specific concepts:</w:t>
      </w:r>
      <w:r>
        <w:t xml:space="preserve"> examines, systems; EU scope not established. This is a provisional connection, not an outcome finding.</w:t>
      </w:r>
    </w:p>
    <w:p>
      <w:pPr>
        <w:pStyle w:val="SourceNote"/>
      </w:pPr>
      <w:r>
        <w:rPr>
          <w:b/>
        </w:rPr>
        <w:t>Available abstract (not full text):</w:t>
      </w:r>
      <w:r>
        <w:t xml:space="preserve"> Social media influencers (SMIs) are having a profound impact on how diners seek information about culinary establishments and are redefining how the marketing industry promotes restaurants and brands. Although research has confirmed the value of an SMI’s electronic word of mouth (eWOM) endorsement on brand recognition and purchase intention, there is limited understanding of the creative practice of these individuals. To address this gap, this research examines Instagram food influencers in Australia, using the systems model of creativity to frame the research. This research found that as an individual agent in a system, Instagram food influencers are impacted by their personal experiences, their immersion in cultural domains, their understanding of the field’s preferences and engagement with its social system when creating content. These findings indicate that the systems model of creativity is a sound framework to understand the creative practice of SMIs.</w:t>
      </w:r>
    </w:p>
    <w:p>
      <w:pPr/>
      <w:r>
        <w:rPr>
          <w:b/>
        </w:rPr>
        <w:t>POSSIBLE 2022:</w:t>
      </w:r>
      <w:r>
        <w:t xml:space="preserve"> Examining virtual reality as a platform for developing mental models of industrial systems — https://doi.org/10.1111/jcal.12731</w:t>
      </w:r>
    </w:p>
    <w:p>
      <w:pPr/>
      <w:r>
        <w:rPr>
          <w:b/>
        </w:rPr>
        <w:t>Shared claim-specific concepts:</w:t>
      </w:r>
      <w:r>
        <w:t xml:space="preserve"> examines, systems, not, significantly, technology; EU scope not established. This is a provisional connection, not an outcome finding.</w:t>
      </w:r>
    </w:p>
    <w:p>
      <w:pPr>
        <w:pStyle w:val="SourceNote"/>
      </w:pPr>
      <w:r>
        <w:rPr>
          <w:b/>
        </w:rPr>
        <w:t>Available abstract (not full text):</w:t>
      </w:r>
      <w:r>
        <w:t xml:space="preserve"> Abstract Industrial systems can be complex and not intuitive to perceive. Therefore, students in technology and engineering programs can benefit from developing mental models of industrial systems during their journey in college. However, more often than not, these students do not have access to industrial facilities; thus, developing mental models for systems is a challenge. This paper examines the merit of an Immersive Virtual Reality (IVR) framework application in creating proper mental models for industrial systems in technology and engineering students. Two IVR applications were developed. One IVR application afforded interaction with components of a prefabricated industrial cooling water system (CWVR). In the other application, students designed and built industrial systems with IVR (system designer VR [SDVR]). SDVR facilitated constructive‐generative engagement. A group of 33 students was divided into two; one group (the Design, experimental group) was tasked with building a system with SDVR and interacting with the cooling water system in CWVR. The other group was tasked with directly interacting with the CWVR without building a system with SDVR (the Interaction, comparison group). Students' mental models of the cooling water system in CWVR were evaluated following completing the interaction experience with CWVR. The results demonstrate that the causal model notion of t</w:t>
      </w:r>
    </w:p>
    <w:p>
      <w:pPr>
        <w:pStyle w:val="Heading2"/>
      </w:pPr>
      <w:r>
        <w:t>979. Linking Local Food Systems and the Social Economy? Future Roles for Farmers' Markets in Alberta and British Columbia*</w:t>
      </w:r>
    </w:p>
    <w:p>
      <w:pPr>
        <w:pStyle w:val="SourceNote"/>
      </w:pPr>
      <w:r>
        <w:rPr>
          <w:b/>
        </w:rPr>
        <w:t>Original source (2012):</w:t>
      </w:r>
      <w:r>
        <w:t xml:space="preserve"> https://doi.org/10.1111/j.1549-0831.2011.00068.x</w:t>
      </w:r>
    </w:p>
    <w:p>
      <w:pPr/>
      <w:r>
        <w:t>Original wording (abstract; indexed_source_text_not_full_document_verified): We used the Delphi method of inquiry to solicit and synthesize perspectives on the future role of farmers' markets within local food systems and the social economy from farmers' market vendors, market managers, and policy and government representatives in each province. Results confirm the need for further investigation of the relationship between the social economy, infrastructure, and authenticity in the development of local food systems.</w:t>
      </w:r>
    </w:p>
    <w:p>
      <w:pPr/>
      <w:r>
        <w:rPr>
          <w:b/>
        </w:rPr>
        <w:t>POSSIBLE 2026:</w:t>
      </w:r>
      <w:r>
        <w:t xml:space="preserve"> Developing a Body of Knowledge for Sustainability Engineering Using the Delphi Method: A Work in Progress — https://doi.org/10.18260/1-2--58714</w:t>
      </w:r>
    </w:p>
    <w:p>
      <w:pPr/>
      <w:r>
        <w:rPr>
          <w:b/>
        </w:rPr>
        <w:t>Shared claim-specific concepts:</w:t>
      </w:r>
      <w:r>
        <w:t xml:space="preserve"> used, delphi, method, solicit, within, systems; EU scope not established. This is a provisional connection, not an outcome finding.</w:t>
      </w:r>
    </w:p>
    <w:p>
      <w:pPr>
        <w:pStyle w:val="SourceNote"/>
      </w:pPr>
      <w:r>
        <w:rPr>
          <w:b/>
        </w:rPr>
        <w:t>Available abstract (not full text):</w:t>
      </w:r>
      <w:r>
        <w:t xml:space="preserve"> Background: As sustainability becomes increasingly important in engineering education and practice, there is a need to formally define Sustainability Engineering as a distinct discipline. Engineering disciplines, such as Civil Engineering, Industrial Engineering, and Environmental Engineering, have established Bodies of Knowledge (BoKs) that delineate the professional and educational expectations of their respective fields. Sustainability Engineering, as a new and evolving field of study, has yet to develop a unified framework that can facilitate curricular coherence, guide the assessment of learning outcomes, and define professional competencies. Objectives: The goal of this work is to develop an initial version of a Sustainability Engineering Body of Knowledge (“SE-BoK”) that provides a unified framework to facilitate curricular coherence, guide the assessment of learning outcomes, and define professional competencies. Relevance: This work directly addresses Topic 2 in the Call for Papers, “Applications of Sustainability Pedagogy Frameworks”. An SE-BoK will provide a standard structure for education and practice to help align curricula across institutions, support the design of new academic offerings across all engineering disciplines, and promote consistent assessment of sustainability-related learning outcomes. The SE-BoK will initiate the process of establishing accreditat</w:t>
      </w:r>
    </w:p>
    <w:p>
      <w:pPr/>
      <w:r>
        <w:rPr>
          <w:b/>
        </w:rPr>
        <w:t>POSSIBLE 2026:</w:t>
      </w:r>
      <w:r>
        <w:t xml:space="preserve"> AI literacy for K–12 education: an international Delphi study — https://doi.org/10.1080/10494820.2026.2649553</w:t>
      </w:r>
    </w:p>
    <w:p>
      <w:pPr/>
      <w:r>
        <w:rPr>
          <w:b/>
        </w:rPr>
        <w:t>Shared claim-specific concepts:</w:t>
      </w:r>
      <w:r>
        <w:t xml:space="preserve"> delphi, perspectives, role; EU scope not established. This is a provisional connection, not an outcome finding.</w:t>
      </w:r>
    </w:p>
    <w:p>
      <w:pPr>
        <w:pStyle w:val="SourceNote"/>
      </w:pPr>
      <w:r>
        <w:rPr>
          <w:b/>
        </w:rPr>
        <w:t>Available abstract (not full text):</w:t>
      </w:r>
      <w:r>
        <w:t xml:space="preserve"> Artificial intelligence (AI) is currently reshaping education around the world, but it is largely unclear what students need to learn about AI. The aim of this Delphi study is to identify consensus on central components of AI literacy in K–12 education by synthesizing views of diverse, interdisciplinary and international expert stakeholders. Through an online survey in three rounds, an international expert panel (n = 33, 27, 25) identified key components of AI literacy in K–12 education, particularly in relation to understanding and critically evaluating the role of AI in everyday life, recognizing and using AI in daily life, and describing and developing AI solutions to real-world problems. After the three Delphi rounds, consensus was obtained for eight out of 23 statements about AI literacy. These statements could be categorized under two main themes, foundational AI knowledge and critical perspectives, which partly include both societal and ethical components.The findings align with other recent AI literacy frameworks, but at the same time, our model outlines more limited, and therefore potentially more realistic and achievable, components that K–12 instructors can teach students, given adequate guidance, time, and professional development. The findings also corroborate recent research about critical thinking as something requiring content knowledge.</w:t>
      </w:r>
    </w:p>
    <w:p>
      <w:pPr/>
      <w:r>
        <w:rPr>
          <w:b/>
        </w:rPr>
        <w:t>POSSIBLE 2026:</w:t>
      </w:r>
      <w:r>
        <w:t xml:space="preserve"> Content Validation of the Prenatal Evaluation and Referral for Lactation (PEARL) Tool Using a Delphi Method — https://doi.org/10.3390/healthcare14172831</w:t>
      </w:r>
    </w:p>
    <w:p>
      <w:pPr/>
      <w:r>
        <w:rPr>
          <w:b/>
        </w:rPr>
        <w:t>Shared claim-specific concepts:</w:t>
      </w:r>
      <w:r>
        <w:t xml:space="preserve"> used, delphi, method; EU scope not established. This is a provisional connection, not an outcome finding.</w:t>
      </w:r>
    </w:p>
    <w:p>
      <w:pPr>
        <w:pStyle w:val="SourceNote"/>
      </w:pPr>
      <w:r>
        <w:rPr>
          <w:b/>
        </w:rPr>
        <w:t>Available abstract (not full text):</w:t>
      </w:r>
      <w:r>
        <w:t xml:space="preserve"> BACKGROUND: Delayed onset of lactogenesis II or delayed secretory activation, defined as milk onset &gt; 72 h postpartum, is a recognized barrier to successful breastfeeding initiation and duration. Prenatal identification and screening for risk factors associated with delayed secretory activation remains underutilized in maternal-child health services. This project aimed to develop and validate content for the Prenatal Evaluation and Referral for Lactation (PEARL) tool, a prenatal screening and referral instrument designed to identify lactation risk factors and guide anticipatory counseling and early referral to an International Board Certified Lactation Consultant (IBCLC) or breastfeeding medicine physician. METHODS: Tool development was informed by a structured literature review conducted on 2 October 2024, across four databases (CINAHL, PubMed, Scopus, and Embase), identifying clinical and other health factors associated with delayed lactogenesis II. A three-round Delphi process was used to establish content validity through multidisciplinary expert consensus. Item-level content validity (ICV) was evaluated using a predefined consensus threshold (≥0.80), while average-measures Intraclass Correlation Coefficients (ICC) were calculated as a complementary assessment of interrater consistency. Following tool refinement, a pilot implementation training was conducted to obtain preli</w:t>
      </w:r>
    </w:p>
    <w:p>
      <w:pPr/>
      <w:r>
        <w:rPr>
          <w:b/>
        </w:rPr>
        <w:t>POSSIBLE 2026:</w:t>
      </w:r>
      <w:r>
        <w:t xml:space="preserve"> The Future of Social Justice in Counseling Psychology: A Delphi Study — https://doi.org/10.1177/00110000261447255</w:t>
      </w:r>
    </w:p>
    <w:p>
      <w:pPr/>
      <w:r>
        <w:rPr>
          <w:b/>
        </w:rPr>
        <w:t>Shared claim-specific concepts:</w:t>
      </w:r>
      <w:r>
        <w:t xml:space="preserve"> delphi, method, perspectives; EU scope not established. This is a provisional connection, not an outcome finding.</w:t>
      </w:r>
    </w:p>
    <w:p>
      <w:pPr>
        <w:pStyle w:val="SourceNote"/>
      </w:pPr>
      <w:r>
        <w:rPr>
          <w:b/>
        </w:rPr>
        <w:t>Available abstract (not full text):</w:t>
      </w:r>
      <w:r>
        <w:t xml:space="preserve"> Twenty-six social justice scholars evaluated the strengths and weaknesses of counseling psychology’s contributions to social justice over the past 20 years. Using a Delphi method, they made predictions about the future of social justice in counseling psychology. Strengths included influencing the field of psychology to adopt social justice values and ethics; emphasizing structural influences on well-being; elevating voices of diverse scholars; expanding practice skills to include advocacy; and adopting liberatory practice frameworks. Weaknesses included politicizing social justice dialogue; taking too few risks; omitting international perspectives; being too self-reflexive; failing to work across disciplines; allowing social justice to be jargonized; not fully modifying training models; and allowing social justice to replace traditional content areas. Predictions were a mix of positive expectations (e.g., continuing to push the American Psychological Association [APA] to change training models, participating in more advocacy and activism) and pessimistic visions (e.g., political resistance). Implications for training and leadership are discussed.</w:t>
      </w:r>
    </w:p>
    <w:p>
      <w:pPr/>
      <w:r>
        <w:rPr>
          <w:b/>
        </w:rPr>
        <w:t>POSSIBLE 2026:</w:t>
      </w:r>
      <w:r>
        <w:t xml:space="preserve"> Defining Manuscript Peer Review: An International Delphi Consensus Study — https://doi.org/10.64898/2026.10.05.26364760</w:t>
      </w:r>
    </w:p>
    <w:p>
      <w:pPr/>
      <w:r>
        <w:rPr>
          <w:b/>
        </w:rPr>
        <w:t>Shared claim-specific concepts:</w:t>
      </w:r>
      <w:r>
        <w:t xml:space="preserve"> delphi, perspectives; EU scope not established. This is a provisional connection, not an outcome finding.</w:t>
      </w:r>
    </w:p>
    <w:p>
      <w:pPr>
        <w:pStyle w:val="SourceNote"/>
      </w:pPr>
      <w:r>
        <w:rPr>
          <w:b/>
        </w:rPr>
        <w:t>Available abstract (not full text):</w:t>
      </w:r>
      <w:r>
        <w:t xml:space="preserve"> Abstract Objectives To conduct a Delphi process to inform an international, consensus definition of manuscript peer review. Design Three-round Delphi consensus study including two surveys and one virtual consensus meeting. Peer review features identified through a prior scoping review were rated on a 5-point Likert scale in Rounds 1 and 2 and voted on using include, exclude, and abstain options in Round 3. Consensus was defined as ≥ 80% agreement. Setting International experts representing interest holders affected by manuscript peer review across the fields of biomedical, health, and social sciences, economics, and healthcare-related industries. Participants Round 1 participants were purposively recruited via email from corresponding authors of articles included in the preceding scoping review. Round 2 participants were those who completed Round 1. Round 3 participants were purposely selected to address gaps in representation from earlier rounds, with attention to diversity of perspectives and equity-relevant characteristics informed by PROGRESS-Plus (e.g., geographic location, gender, race/ethnicity, occupation, and socioeconomic context). Participants were required to communicate in English. Main outcome measures Consensus on the terminology, scope, characteristics, functions, processes, and reviewer characteristics that should inform a definition of manuscript peer review. </w:t>
      </w:r>
    </w:p>
    <w:p>
      <w:pPr/>
      <w:r>
        <w:rPr>
          <w:b/>
        </w:rPr>
        <w:t>POSSIBLE 2026:</w:t>
      </w:r>
      <w:r>
        <w:t xml:space="preserve"> Framing collectible design: a Delphi study on an emerging cultural-economic field — https://doi.org/10.1007/s11135-026-02799-7</w:t>
      </w:r>
    </w:p>
    <w:p>
      <w:pPr/>
      <w:r>
        <w:rPr>
          <w:b/>
        </w:rPr>
        <w:t>Shared claim-specific concepts:</w:t>
      </w:r>
      <w:r>
        <w:t xml:space="preserve"> delphi, method, role; EU scope not established. This is a provisional connection, not an outcome finding.</w:t>
      </w:r>
    </w:p>
    <w:p>
      <w:pPr>
        <w:pStyle w:val="SourceNote"/>
      </w:pPr>
      <w:r>
        <w:rPr>
          <w:b/>
        </w:rPr>
        <w:t>Available abstract (not full text):</w:t>
      </w:r>
      <w:r>
        <w:t xml:space="preserve"> Abstract This paper examines collectible design as an emergent hybrid domain at the intersection of art, design, and luxury. Using a two-round Delphi method with expert participants (curators, collectors, designers, and market professionals), we elicited and synthesized judgments in a context marked by ambiguous boundaries and information asymmetries. The study identifies consensus on core value drivers (e.g., authorship, uniqueness, narrative, and aesthetic resonance) and on the central role of expert mediation and field-configuring events in conferring legitimacy. Building on these insights, we introduce symbolic infrastructure as a layered framework (linking evaluative devices, institutional platforms, and identity work) that explains how collectible design stabilizes as a field. The resulting conceptual model specifies directional relationships among category definitions, valuation practices, collector identity, and institutional mechanisms, offering testable propositions for quantitative and mixed-methods research. This paper advances valuation theory, the sociology of cultural markets, and cultural economics by clarifying how novel symbolic fields emerge, structure meaning, and gain legitimacy, while demonstrating the suitability of the Delphi method for theorizing under conditions of limited standardization.</w:t>
      </w:r>
    </w:p>
    <w:p>
      <w:pPr/>
      <w:r>
        <w:rPr>
          <w:b/>
        </w:rPr>
        <w:t>POSSIBLE 2026:</w:t>
      </w:r>
      <w:r>
        <w:t xml:space="preserve"> GovTech in Europe between public- and privateness—A Delphi-based research agenda — https://doi.org/10.1007/s12525-026-00913-z</w:t>
      </w:r>
    </w:p>
    <w:p>
      <w:pPr/>
      <w:r>
        <w:rPr>
          <w:b/>
        </w:rPr>
        <w:t>Shared claim-specific concepts:</w:t>
      </w:r>
      <w:r>
        <w:t xml:space="preserve"> delphi, government, each; EU scope visible. This is a provisional connection, not an outcome finding.</w:t>
      </w:r>
    </w:p>
    <w:p>
      <w:pPr>
        <w:pStyle w:val="SourceNote"/>
      </w:pPr>
      <w:r>
        <w:rPr>
          <w:b/>
        </w:rPr>
        <w:t>Available abstract (not full text):</w:t>
      </w:r>
      <w:r>
        <w:t xml:space="preserve"> Abstract GovTech is emerging as a policy-relevant frame at the intersection of digital government, public procurement, and startup innovation. Yet research remains fragmented and often disconnected from the institutional conditions that shape implementable solutions. This paper develops a stakeholder-validated, dimensional publicness theory informed research agenda for GovTech in the European context using a multiround agenda-setting Delphi study with experts from public administrations, industry, and academia. Synthesizing qualitative inputs and quantitative prioritization, we identify thematic clusters and topic areas, formulate exemplary research questions, and provide rationales that connect each area to concrete governance and implementation challenges. To assess dynamism, we additionally examine perceived relevance trends across two measurement points (2023 and 2025), highlighting where urgency is increasing and where research sequencing is needed. The resulting agenda informs scholarship by clarifying GovTech as a hybrid, regulation-shaped domain and offers entry points for empirical and design-oriented research on ecosystem formation, procurement, regulation, and strategic scaling.</w:t>
      </w:r>
    </w:p>
    <w:p>
      <w:pPr/>
      <w:r>
        <w:rPr>
          <w:b/>
        </w:rPr>
        <w:t>POSSIBLE 2025:</w:t>
      </w:r>
      <w:r>
        <w:t xml:space="preserve"> Proposal for a critical appraisal tool for studies using the Delphi method (DCAT) — https://doi.org/10.1136/bmj-2025-084509</w:t>
      </w:r>
    </w:p>
    <w:p>
      <w:pPr/>
      <w:r>
        <w:rPr>
          <w:b/>
        </w:rPr>
        <w:t>Shared claim-specific concepts:</w:t>
      </w:r>
      <w:r>
        <w:t xml:space="preserve"> used, delphi, method; EU scope not established. This is a provisional connection, not an outcome finding.</w:t>
      </w:r>
    </w:p>
    <w:p>
      <w:pPr>
        <w:pStyle w:val="SourceNote"/>
      </w:pPr>
      <w:r>
        <w:rPr>
          <w:b/>
        </w:rPr>
        <w:t>Available abstract (not full text):</w:t>
      </w:r>
      <w:r>
        <w:t xml:space="preserve"> The number of published studies using the Delphi method has increased considerably in recent years. The Delphi method is now used extensively to develop guidelines, methodological standards, and quality indicators. Delphi studies are implemented in various ways and can differ in their design, conduct, analysis, and reporting; however, no critical appraisal instrument currently exists for the Delphi method. This Special Paper presents a tool that has been developed by the authors, based on over 15 years of experience conducting Delphi studies and a comprehensive analysis of the of the literature on the Delphi method since its inception. Following the structure of established critical appraisal tools for other research methods, DCAT (Delphi critical appraisal tool) has been developed to evaluate Delphi studies. The DCAT checklist consists of 16 items (four core and 12 additional items) that can be applied to and used to inform an overall judgment about the quality of a Delphi study. DCAT aims to assist in identifying the extent to which a Delphi study provides a sufficiently reasonable representation of expert and stakeholder views to inform decision making.</w:t>
      </w:r>
    </w:p>
    <w:p>
      <w:pPr/>
      <w:r>
        <w:rPr>
          <w:b/>
        </w:rPr>
        <w:t>POSSIBLE 2025:</w:t>
      </w:r>
      <w:r>
        <w:t xml:space="preserve"> A Delphi Study to Improve Agreement Regarding Vocational Assessment Terminology — https://doi.org/10.52382/wert1928.v20i2.1</w:t>
      </w:r>
    </w:p>
    <w:p>
      <w:pPr/>
      <w:r>
        <w:rPr>
          <w:b/>
        </w:rPr>
        <w:t>Shared claim-specific concepts:</w:t>
      </w:r>
      <w:r>
        <w:t xml:space="preserve"> delphi, each; EU scope not established. This is a provisional connection, not an outcome finding.</w:t>
      </w:r>
    </w:p>
    <w:p>
      <w:pPr>
        <w:pStyle w:val="SourceNote"/>
      </w:pPr>
      <w:r>
        <w:rPr>
          <w:b/>
        </w:rPr>
        <w:t>Available abstract (not full text):</w:t>
      </w:r>
      <w:r>
        <w:t xml:space="preserve"> Vocational evaluation and career assessment services are vital for individuals with disabilities, providing them and their families with essential information to make wellinformed decisions regarding their education, careers, and independent living. However, significant variability exists among providers and settings in terms of the types, quality, and intensity of these services. Despite prior literature defining various levels of vocational assessment, inconsistency persists in how vocational evaluation and career assessment are applied in research and practice; inconsistency can also create uneven and poorly designed services, which negatively impact clients. This inconsistency hampers effective research and impedes accurate program evaluation. Through this study, researchers aimed to establish distinct definitions of vocational assessment and vocational evaluation to promote consistency in research, practice, policy, and advocacy. The study employed a modified electronic Delphi survey technique, consisting of two survey Rounds, with participation from 21 experts. Four key definitions emerged from the study including an overall definition for vocational assessment as well as definitions for each of the three levels of vocational assessment. These definitions provided experts an opportunity to describe and distinguish the range of vocational assessment services provided. Reco</w:t>
      </w:r>
    </w:p>
    <w:p>
      <w:pPr/>
      <w:r>
        <w:rPr>
          <w:b/>
        </w:rPr>
        <w:t>POSSIBLE 2024:</w:t>
      </w:r>
      <w:r>
        <w:t xml:space="preserve"> Exploring the factors of employee turnover intentions in private education institutions in China: a Delphi study — https://doi.org/10.1080/23311975.2024.2413915</w:t>
      </w:r>
    </w:p>
    <w:p>
      <w:pPr/>
      <w:r>
        <w:rPr>
          <w:b/>
        </w:rPr>
        <w:t>Shared claim-specific concepts:</w:t>
      </w:r>
      <w:r>
        <w:t xml:space="preserve"> delphi, method, solicit, synthesize, within; EU scope not established. This is a provisional connection, not an outcome finding.</w:t>
      </w:r>
    </w:p>
    <w:p>
      <w:pPr>
        <w:pStyle w:val="SourceNote"/>
      </w:pPr>
      <w:r>
        <w:rPr>
          <w:b/>
        </w:rPr>
        <w:t>Available abstract (not full text):</w:t>
      </w:r>
      <w:r>
        <w:t xml:space="preserve"> Retaining a devoted and skilled workforce has become of paramount importance in China’s dynamic and competitive education sector. The consequences of employee turnover bear weight, especially for institutions striving for global excellence, impacting both institutional continuity and the quality of education. This study explores the factors influencing employee turnover intention within Chinese academic institutions and prioritizes these factors based on their significance. A two-round Delphi method was employed to solicit and synthesize expert opinions through iterative rounds. Nineteen experts from private education institutions in Fuzhou, China, were selected using a combination of purposeful and snowball sampling. In the first round, experts listed the factors contributing to employee turnover intentions, which were then analyzed using thematic analysis. In the second round, the experts ranked these dimensions from most to least important. The study identifies five pivotal factors affecting turnover intentions, listed in order of importance: (1) compensation, benefits, and employee recognition; (2) career development and advancement opportunities; (3) professional growth, training, and job security; (4) leadership, management support, and organizational culture; and (5) work-life balance and work environment. This research proffers actionable recommendations to discern and </w:t>
      </w:r>
    </w:p>
    <w:p>
      <w:pPr/>
      <w:r>
        <w:rPr>
          <w:b/>
        </w:rPr>
        <w:t>POSSIBLE 2024:</w:t>
      </w:r>
      <w:r>
        <w:t xml:space="preserve"> Development of an evidence‐based nursing practice program for preventing unplanned endotracheal extubations in the intensive care unit: A Delphi method study — https://doi.org/10.1111/jocn.17340</w:t>
      </w:r>
    </w:p>
    <w:p>
      <w:pPr/>
      <w:r>
        <w:rPr>
          <w:b/>
        </w:rPr>
        <w:t>Shared claim-specific concepts:</w:t>
      </w:r>
      <w:r>
        <w:t xml:space="preserve"> delphi, method, inquiry, synthesize; EU scope not established. This is a provisional connection, not an outcome finding.</w:t>
      </w:r>
    </w:p>
    <w:p>
      <w:pPr>
        <w:pStyle w:val="SourceNote"/>
      </w:pPr>
      <w:r>
        <w:rPr>
          <w:b/>
        </w:rPr>
        <w:t>Available abstract (not full text):</w:t>
      </w:r>
      <w:r>
        <w:t xml:space="preserve"> AIMS: This study aims to develop an evidence-based nursing practice program to prevent unplanned endotracheal extubation (UEE) among adult patients in the intensive care unit (ICU). DESIGN: This study uses the Delphi method to develop an evidence-based nursing practice program. METHODS: A comprehensive review of 18 databases and evidence-based websites was conducted to gather, assess and synthesize evidence on preventing UEEs in adult patients. Using this synthesized evidence, a questionnaire was formulated for further investigation. Subsequently, input was solicited from experts through Delphi surveys to establish an evidence-based nursing practice protocol for preventing UEEs in adult ICU patients. Consistency in consultation results guided subsequent rounds of consultation. RESULTS: The developed program comprised 43 evidence items categorized into nine dimensions, including risk assessment for unplanned extubation, sedation, analgesia, delirium, balloon management, psychosocial care, early extubation, catheter immobilization and protective restraints. Two rounds of expert inquiry yielded recovery rates of 94.7% and 100% for the first and second questionnaires, respectively. Kendall W values ranged from .224 to .353 (p &lt; .001). CONCLUSION: This study developed an evidence-based nursing practice program to prevent UEE in adult ICU patients, employing evidence-based practices </w:t>
      </w:r>
    </w:p>
    <w:p>
      <w:pPr/>
      <w:r>
        <w:rPr>
          <w:b/>
        </w:rPr>
        <w:t>POSSIBLE 2024:</w:t>
      </w:r>
      <w:r>
        <w:t xml:space="preserve"> International consensus on research priorities in hypospadias using a Delphi study approach — https://doi.org/10.1016/j.jpurol.2024.12.005</w:t>
      </w:r>
    </w:p>
    <w:p>
      <w:pPr/>
      <w:r>
        <w:rPr>
          <w:b/>
        </w:rPr>
        <w:t>Shared claim-specific concepts:</w:t>
      </w:r>
      <w:r>
        <w:t xml:space="preserve"> delphi, method, perspectives; EU scope not established. This is a provisional connection, not an outcome finding.</w:t>
      </w:r>
    </w:p>
    <w:p>
      <w:pPr>
        <w:pStyle w:val="SourceNote"/>
      </w:pPr>
      <w:r>
        <w:rPr>
          <w:b/>
        </w:rPr>
        <w:t>Available abstract (not full text):</w:t>
      </w:r>
      <w:r>
        <w:t xml:space="preserve"> INTRODUCTION: Hypospadias is a common congenital anomaly of the male genitalia that poses significant management and treatment challenges. Gaining a comprehensive understanding of priority research questions in hypospadiology will be essential to reach agreement on the optimal approach to assessment, treatment, and outcome prediction for affected patients. METHODS: We employed a consensus-building Delphi method to identify and prioritize research questions in the hypospadias field. Additionally, we integrated questions sourced from the artificial intelligence platform ChatGPT to capture multiple perspectives. Engaging a diverse panel of experts including clinicians, researchers, and patient advocates from across the globe, the Delphi process aimed to distill collective expertise and insights through iterative rounds of structured questionnaires and feedback. RESULTS: The analysis identified key themes in hypospadias research, covering etiology, tissue engineering, pre-clinical models, device/technology evaluation, phenotyping, surgical techniques, surgical training and postoperative outcomes. These themes highlight crucial areas for future investigation to improve understanding of hypospadias, treatment options, and patient outcomes, thereby guiding both research and clinical practice. DISCUSSION: By harnessing the collective wisdom and perspectives of multiple stakeholders, th</w:t>
      </w:r>
    </w:p>
    <w:p>
      <w:pPr>
        <w:pStyle w:val="Heading2"/>
      </w:pPr>
      <w:r>
        <w:t>980. New Emerging Issues and Wild Cards as Future Shakers and Shapers</w:t>
      </w:r>
    </w:p>
    <w:p>
      <w:pPr>
        <w:pStyle w:val="SourceNote"/>
      </w:pPr>
      <w:r>
        <w:rPr>
          <w:b/>
        </w:rPr>
        <w:t>Original source (2012):</w:t>
      </w:r>
      <w:r>
        <w:t xml:space="preserve"> https://doi.org/10.17323/1995-459x.2012.1.60.73</w:t>
      </w:r>
    </w:p>
    <w:p>
      <w:pPr/>
      <w:r>
        <w:t>Original wording (abstract; indexed_source_text_not_full_document_verified): The projects resulted in the evaluation of current methods for obtaining and processing scanning data and new conceptual thinking that may bridge the gap between scanning activities and policy-making.</w:t>
      </w:r>
    </w:p>
    <w:p>
      <w:pPr/>
      <w:r>
        <w:rPr>
          <w:b/>
        </w:rPr>
        <w:t>POSSIBLE 2026:</w:t>
      </w:r>
      <w:r>
        <w:t xml:space="preserve"> Green E.Th.I.Cs: Project Evaluation Methodology and Results — https://openalex.org/W7136099548</w:t>
      </w:r>
    </w:p>
    <w:p>
      <w:pPr/>
      <w:r>
        <w:rPr>
          <w:b/>
        </w:rPr>
        <w:t>Shared claim-specific concepts:</w:t>
      </w:r>
      <w:r>
        <w:t xml:space="preserve"> projects, evaluation, data, thinking, activities; EU scope visible. This is a provisional connection, not an outcome finding.</w:t>
      </w:r>
    </w:p>
    <w:p>
      <w:pPr>
        <w:pStyle w:val="SourceNote"/>
      </w:pPr>
      <w:r>
        <w:rPr>
          <w:b/>
        </w:rPr>
        <w:t>Available abstract (not full text):</w:t>
      </w:r>
      <w:r>
        <w:t xml:space="preserve"> Project evaluation constitutes one of the most important and decisive moments in the management cycle. More than a mere accountability exercise, it represents a fundamental opportunity to systematically understand whether the efforts and resources invested have produced the intended results. Its purpose goes beyond simple verification. Evaluation is necessary to pro- vide relevant information that can improve projects for their stakeholders, transforming data into learning and evidence into action. This e-book is dedicated to presenting the evaluation plan, the methodol- ogy used for data collection, and the results of the evaluation of the Green E.Th.I.Cs Project, an initiative that positions Social and Community Theatre as a central tool for raising awareness about climate change and promoting the European Green Deal. Developed by 18 partners across 12 countries, the project aimed to foster civic engagement, critical thinking, and citizen proactivity through the performing arts. It is based on the premise that evaluation is not a one-off or merely sum- mative act. Rather, it is a continuous, formative, systematic, and multidi- mensional process, aiming to determine effectiveness, efficiency, impacts, and sustainability in relation to previously defined objectives. This process involves collecting and analysing data on activities, outputs, and achieved effects, and seeks to pr</w:t>
      </w:r>
    </w:p>
    <w:p>
      <w:pPr/>
      <w:r>
        <w:rPr>
          <w:b/>
        </w:rPr>
        <w:t>POSSIBLE 2026:</w:t>
      </w:r>
      <w:r>
        <w:t xml:space="preserve"> Results Interpretation, Reporting, and Dissemination in Project Monitoring and Evaluation — https://doi.org/10.5281/zenodo.18299543</w:t>
      </w:r>
    </w:p>
    <w:p>
      <w:pPr/>
      <w:r>
        <w:rPr>
          <w:b/>
        </w:rPr>
        <w:t>Shared claim-specific concepts:</w:t>
      </w:r>
      <w:r>
        <w:t xml:space="preserve"> projects, evaluation, data; EU scope not established. This is a provisional connection, not an outcome finding.</w:t>
      </w:r>
    </w:p>
    <w:p>
      <w:pPr>
        <w:pStyle w:val="SourceNote"/>
      </w:pPr>
      <w:r>
        <w:rPr>
          <w:b/>
        </w:rPr>
        <w:t>Available abstract (not full text):</w:t>
      </w:r>
      <w:r>
        <w:t xml:space="preserve"> Monitoring and Evaluation (M&amp;E) plays a critical role in enhancing accountability, learning, and decision-making in development projects. However, the value of M&amp;E does not lie solely in data collection and analysis, but in the effective interpretation, reporting, and dissemination of results to relevant stakeholders. This paper examines the importance of communicating M&amp;E findings in ways that are ethical, inclusive, and action-oriented. It highlights how tailoring evaluation results to different audiences—such as donors, project implementers, and community beneficiaries—enhances the utilization and impact of evaluation findings. The paper also discusses the ethical responsibilities of M&amp;E practitioners, emphasizing transparency, accountability, confidentiality, and avoidance of bias in reporting. Furthermore, it explores the risks associated with poor dissemination practices and outlines approaches for measuring the effectiveness of dissemination strategies. The study concludes that effective and ethical reporting is not merely a technical requirement but a strategic and moral obligation that transforms evaluation findings into tools for learning, trust-building, and sustainable development. Particular emphasis is placed on closing the feedback loop with communities to ensure that evaluation serves as a participatory and empowering process rather than a one-sided exercise.</w:t>
      </w:r>
    </w:p>
    <w:p>
      <w:pPr/>
      <w:r>
        <w:rPr>
          <w:b/>
        </w:rPr>
        <w:t>POSSIBLE 2026:</w:t>
      </w:r>
      <w:r>
        <w:t xml:space="preserve"> Comparative analysis of traditional project management methods and lean project methods — https://openalex.org/W7222913199</w:t>
      </w:r>
    </w:p>
    <w:p>
      <w:pPr/>
      <w:r>
        <w:rPr>
          <w:b/>
        </w:rPr>
        <w:t>Shared claim-specific concepts:</w:t>
      </w:r>
      <w:r>
        <w:t xml:space="preserve"> projects, methods, between; EU scope not established. This is a provisional connection, not an outcome finding.</w:t>
      </w:r>
    </w:p>
    <w:p>
      <w:pPr>
        <w:pStyle w:val="SourceNote"/>
      </w:pPr>
      <w:r>
        <w:rPr>
          <w:b/>
        </w:rPr>
        <w:t>Available abstract (not full text):</w:t>
      </w:r>
      <w:r>
        <w:t xml:space="preserve"> Project management is a crucial aspect of business management, and companies may choose between traditional and Lean approaches based on their specific project needs. In general, traditional methods also frequently rely on a top-down hierarchical structure, while lean management encourages employee involvement and empowerment also Hybrid Project Management is an integrative approach that combines elements of traditional and lean methodologies to address the complexities of modern projects. The study aims to analyze Traditional, Lean, and Hybrid project management methodologies to determine how they influence project outcomes across different sectors. Specifically, it investigates whether project type is independent of the sector, how project outcomes differ between industrial and service sectors, how the three methodologies differ according to project attributes, and how organizational needs affect the selection of the most appropriate project management methodology. The research is based on a series of r cases taken from published studies. It analyzes them by applying a cross-sectoral approach to project characteristics (objective, duration, cost, resources, results, complexity, risk, innovation) and organizational needs. It also uses Fisher's exact test for assess the independence between the project management method and each attribute of the project. According to the result</w:t>
      </w:r>
    </w:p>
    <w:p>
      <w:pPr/>
      <w:r>
        <w:rPr>
          <w:b/>
        </w:rPr>
        <w:t>POSSIBLE 2025:</w:t>
      </w:r>
      <w:r>
        <w:t xml:space="preserve"> Evaluation Results Dissemination Strategy and Performance of Highway Construction Projects in Kenya — https://doi.org/10.37391/ijbmr.130101</w:t>
      </w:r>
    </w:p>
    <w:p>
      <w:pPr/>
      <w:r>
        <w:rPr>
          <w:b/>
        </w:rPr>
        <w:t>Shared claim-specific concepts:</w:t>
      </w:r>
      <w:r>
        <w:t xml:space="preserve"> projects, evaluation, data, between; EU scope not established. This is a provisional connection, not an outcome finding.</w:t>
      </w:r>
    </w:p>
    <w:p>
      <w:pPr>
        <w:pStyle w:val="SourceNote"/>
      </w:pPr>
      <w:r>
        <w:rPr>
          <w:b/>
        </w:rPr>
        <w:t>Available abstract (not full text):</w:t>
      </w:r>
      <w:r>
        <w:t xml:space="preserve"> The purpose of this study is to examine the influence of evaluation results dissemination strategy on performance of highway construction projects in Kenya. This study was anchored on Utilization-Focused Evaluation (UFE) theory. This research utilized pragmatism research philosophy and correlational design. The target population was 69 Category A road construction projects that have been completed by KeNHA for the period between 2018 and 2022. The respondents in these projects were the project managers in all the 69 highway construction projects in Kenya. The study used a census approach and hence all the projects were included in the study. The research adopted both secondary and primary data. The research involved data collection checklist for secondary data collection from the KeNHA. Secondary data was collected from KeNHA reports and primary data was collected by use of semi-structured questionnaires. While qualitative data was analyzed by of thematic analysis, quantitative data was analyzed using descriptive and inferential statistics. The study found that that evaluation results dissemination strategy has a positive and significant impact on performance of highway construction projects in Kenya. The study recommends that project managers should adopt effective dissemination strategies for evaluation findings to ensure timely and accessible communication with all stakehold</w:t>
      </w:r>
    </w:p>
    <w:p>
      <w:pPr/>
      <w:r>
        <w:rPr>
          <w:b/>
        </w:rPr>
        <w:t>POSSIBLE 2025:</w:t>
      </w:r>
      <w:r>
        <w:t xml:space="preserve"> Evaluation Results Dissemination Strategy and Performance of Highway Construction Projects in Kenya — https://doi.org/10.52283/nswrca.ajbmr.20251001a05</w:t>
      </w:r>
    </w:p>
    <w:p>
      <w:pPr/>
      <w:r>
        <w:rPr>
          <w:b/>
        </w:rPr>
        <w:t>Shared claim-specific concepts:</w:t>
      </w:r>
      <w:r>
        <w:t xml:space="preserve"> projects, evaluation, data, between; EU scope not established. This is a provisional connection, not an outcome finding.</w:t>
      </w:r>
    </w:p>
    <w:p>
      <w:pPr>
        <w:pStyle w:val="SourceNote"/>
      </w:pPr>
      <w:r>
        <w:rPr>
          <w:b/>
        </w:rPr>
        <w:t>Available abstract (not full text):</w:t>
      </w:r>
      <w:r>
        <w:t xml:space="preserve"> Highway construction projects in Kenya consistently encounter challenges such as delays, cost overruns, and suboptimal quality (Muchiri &amp; Mose, 2022; Mugweru &amp; Muchelule, 2022). These recurring issues underscore the critical need for enhanced decision-making and more effective stakeholder engagement (Ndurya and Bii, 2019). A crucial yet underexplored factor contributing to these challenges is the efficacy of evaluation results dissemination (Mutekhele et al., 2018). While evaluations are designed to foster improved project outcomes, prior research presents varied findings regarding the actual impact of dissemination strategies on project performance (Mutekhele et al., 2018). This study's objective was to investigate the influence of evaluation results dissemination strategy on the performance of highway construction projects in Kenya. This research was grounded in the Utilization-Focused Evaluation (UFE) theory (Patton, 1978). Adopting a pragmatist research philosophy, the study employed a correlational design. The target population comprised 69 Category A road construction projects completed by the Kenya National Highways Authority (KeNHA) between 2018 and 2022. The respondents for these projects were the project managers across all 69 highway construction projects in Kenya. A census approach was utilized, ensuring the inclusion of all projects in the study. The research incor</w:t>
      </w:r>
    </w:p>
    <w:p>
      <w:pPr/>
      <w:r>
        <w:rPr>
          <w:b/>
        </w:rPr>
        <w:t>POSSIBLE 2024:</w:t>
      </w:r>
      <w:r>
        <w:t xml:space="preserve"> EVALUATION OF THE RESULTS OF ESG PROJECT IMPLEMENTATION — https://doi.org/10.20998/2313-8890.2024.06.05</w:t>
      </w:r>
    </w:p>
    <w:p>
      <w:pPr/>
      <w:r>
        <w:rPr>
          <w:b/>
        </w:rPr>
        <w:t>Shared claim-specific concepts:</w:t>
      </w:r>
      <w:r>
        <w:t xml:space="preserve"> projects, evaluation, obtaining; EU scope not established. This is a provisional connection, not an outcome finding.</w:t>
      </w:r>
    </w:p>
    <w:p>
      <w:pPr>
        <w:pStyle w:val="SourceNote"/>
      </w:pPr>
      <w:r>
        <w:rPr>
          <w:b/>
        </w:rPr>
        <w:t>Available abstract (not full text):</w:t>
      </w:r>
      <w:r>
        <w:t xml:space="preserve"> The article explores the issue of evaluating the outcomes of implementing ESG (Environmental, Social, and Governance) projects across various economic sectors. It analyzes the main problems organizations face when implementing ESG initiatives, including inadequate methodological approaches to performance evaluation and the diversity of standards. The primary aspects of ESG projects' impact on environmental, social, and economic development are characterized. A comprehensive methodology for assessing the results of ESG initiatives has been developed, considering key performance indicators (KPIs) across different areas of activity. Recommendations are proposed to improve the efficiency of ESG project implementation, contributing to the sustainable development of enterprises. The study delves into the various challenges that organizations encounter, such as high implementation costs, resistance to change within the organization, and the lack of necessary experience and expertise. Additionally, it addresses the uncertainty regarding the impact of ESG projects on companies' financial performance. By calculating a composite ESG index for agro-industrial enterprises in Ukraine, the research allows for comparing the effectiveness of ESG project implementation and identifying leaders and laggards in the field of sustainable development. The study also underscores the role of independent</w:t>
      </w:r>
    </w:p>
    <w:p>
      <w:pPr/>
      <w:r>
        <w:rPr>
          <w:b/>
        </w:rPr>
        <w:t>POSSIBLE 2024:</w:t>
      </w:r>
      <w:r>
        <w:t xml:space="preserve"> Methods for Assessing the Economic Efficiency of IT Projects — https://doi.org/10.35808/ersj/3457</w:t>
      </w:r>
    </w:p>
    <w:p>
      <w:pPr/>
      <w:r>
        <w:rPr>
          <w:b/>
        </w:rPr>
        <w:t>Shared claim-specific concepts:</w:t>
      </w:r>
      <w:r>
        <w:t xml:space="preserve"> projects, methods, activities; EU scope not established. This is a provisional connection, not an outcome finding.</w:t>
      </w:r>
    </w:p>
    <w:p>
      <w:pPr>
        <w:pStyle w:val="SourceNote"/>
      </w:pPr>
      <w:r>
        <w:rPr>
          <w:b/>
        </w:rPr>
        <w:t>Available abstract (not full text):</w:t>
      </w:r>
      <w:r>
        <w:t xml:space="preserve"> Purpose: The aim of this article is to classify the methods of assessing the economic efficiency of all types of IT projects. Approach/Methodology/Design:The main research method is a review of national and world scientific and practical literature.Findings: The growing importance of IT systems requires methods that will determine their economic efficiency in enterprises and allow for practical comparison of the obtained economic and financial results.Practical Implications: The practical implications of the research results included in the article will constitute recommendations for activities in managing companies that can be used in business practice.The pace of scientific and technological progress forces the development of IT systems for the optimal efficiency of economic entities.Originality/Value: The original value of the article is the classification of the method for assessing the effectiveness of IT innovations and the development of a process for an appropriate approach to the overall assessment of such projects.</w:t>
      </w:r>
    </w:p>
    <w:p>
      <w:pPr/>
      <w:r>
        <w:rPr>
          <w:b/>
        </w:rPr>
        <w:t>POSSIBLE 2023:</w:t>
      </w:r>
      <w:r>
        <w:t xml:space="preserve"> The Impact of Project Management Tools on Project Results: Evaluation of a Survey Among Managers Leading International Development Projects for four selected Central and Eastern European Donors — https://doi.org/10.2478/revecp-2023-0010</w:t>
      </w:r>
    </w:p>
    <w:p>
      <w:pPr/>
      <w:r>
        <w:rPr>
          <w:b/>
        </w:rPr>
        <w:t>Shared claim-specific concepts:</w:t>
      </w:r>
      <w:r>
        <w:t xml:space="preserve"> projects, evaluation, data; EU scope visible. This is a provisional connection, not an outcome finding.</w:t>
      </w:r>
    </w:p>
    <w:p>
      <w:pPr>
        <w:pStyle w:val="SourceNote"/>
      </w:pPr>
      <w:r>
        <w:rPr>
          <w:b/>
        </w:rPr>
        <w:t>Available abstract (not full text):</w:t>
      </w:r>
      <w:r>
        <w:t xml:space="preserve"> Abstract As the success rate of international development projects might be still below expectations, several studies have explored whether and how the use of project management (PM) tools might improve internal and external project performance. This article looks specifically at four selected Central and Eastern European countries and evaluates a newly collected data set. Based on a survey, the study examines the adoption of PM tools among project managers in the region. Furthermore, with the use of cluster analysis, it suggests that the tools are adopted progressively in four stages that differ culturally from other international studies. Last but not least, using structural equation modelling, the research indicates that among the surveyed project managers, the use of stage 1 tools might directly contribute to the improvement of internal project results and that these internal results might then have a positive impact also on the external project performance.</w:t>
      </w:r>
    </w:p>
    <w:p>
      <w:pPr/>
      <w:r>
        <w:rPr>
          <w:b/>
        </w:rPr>
        <w:t>POSSIBLE 2023:</w:t>
      </w:r>
      <w:r>
        <w:t xml:space="preserve"> Evaluation of 30 urban land surface models in the Urban‐PLUMBER project: Phase 1 results — https://doi.org/10.1002/qj.4589</w:t>
      </w:r>
    </w:p>
    <w:p>
      <w:pPr/>
      <w:r>
        <w:rPr>
          <w:b/>
        </w:rPr>
        <w:t>Shared claim-specific concepts:</w:t>
      </w:r>
      <w:r>
        <w:t xml:space="preserve"> evaluation, current, between; EU scope not established. This is a provisional connection, not an outcome finding.</w:t>
      </w:r>
    </w:p>
    <w:p>
      <w:pPr>
        <w:pStyle w:val="SourceNote"/>
      </w:pPr>
      <w:r>
        <w:rPr>
          <w:b/>
        </w:rPr>
        <w:t>Available abstract (not full text):</w:t>
      </w:r>
      <w:r>
        <w:t xml:space="preserve"> Abstract Accurately predicting weather and climate in cities is critical for safeguarding human health and strengthening urban resilience. Multimodel evaluations can lead to model improvements; however, there have been no major intercomparisons of urban‐focussed land surface models in over a decade. Here, in Phase 1 of the Urban‐PLUMBER project, we evaluate the ability of 30 land surface models to simulate surface energy fluxes critical to atmospheric meteorological and air quality simulations. We establish minimum and upper performance expectations for participating models using simple information‐limited models as benchmarks. Compared with the last major model intercomparison at the same site, we find broad improvement in the current cohort's predictions of short‐wave radiation, sensible and latent heat fluxes, but little or no improvement in long‐wave radiation and momentum fluxes. Models with a simple urban representation (e.g., ‘slab’ schemes) generally perform well, particularly when combined with sophisticated hydrological/vegetation models. Some mid‐complexity models (e.g., ‘canyon’ schemes) also perform well, indicating efforts to integrate vegetation and hydrology processes have paid dividends. The most complex models that resolve three‐dimensional interactions between buildings in general did not perform as well as other categories. However, these models also tended </w:t>
      </w:r>
    </w:p>
    <w:p>
      <w:pPr/>
      <w:r>
        <w:rPr>
          <w:b/>
        </w:rPr>
        <w:t>POSSIBLE 2023:</w:t>
      </w:r>
      <w:r>
        <w:t xml:space="preserve"> OVERVIEW OF SCIENTIFIC METHODS AND APPROACHES OF PROJECT MANAGEMENT AND PROJECT COST ESTIMATION — https://doi.org/10.32782/2224-6282/188-24</w:t>
      </w:r>
    </w:p>
    <w:p>
      <w:pPr/>
      <w:r>
        <w:rPr>
          <w:b/>
        </w:rPr>
        <w:t>Shared claim-specific concepts:</w:t>
      </w:r>
      <w:r>
        <w:t xml:space="preserve"> current, methods, activities; EU scope not established. This is a provisional connection, not an outcome finding.</w:t>
      </w:r>
    </w:p>
    <w:p>
      <w:pPr>
        <w:pStyle w:val="SourceNote"/>
      </w:pPr>
      <w:r>
        <w:rPr>
          <w:b/>
        </w:rPr>
        <w:t>Available abstract (not full text):</w:t>
      </w:r>
      <w:r>
        <w:t xml:space="preserve"> The purpose. To carry out a comparative analysis of modern scientific methods and approaches of project management, as well as to consider the peculiarities of the project cost management process. Methods. The research used methods of systematization, generalization, and comparative analysis. The results. The article considers the peculiarities of the application of common project management technologies, namely the PRINCE2 method, the PMBoK guide and the international standard ISO 21500. Their comparative analysis was carried out according to several parameters, and the advantages and disadvantages of each were determined. Considerable research attention is focused on the project cost management process. Its main purpose and importance for achieving success is revealed. Defined the key opportunities provided by the application of scientific methods and approaches to expenditure management, and also identified the complexities involved in this. It is proposed to consider the process of project cost management as a set of four consecutive stages: planning the involvement of project resources, estimating their cost, drawing up a budget and controlling costs. It is noted that such scientific methods and approaches, the use of which will help to effectively manage costs and achieve project success, should be applied at each stage. More detailed attention was paid to the assessment </w:t>
      </w:r>
    </w:p>
    <w:p>
      <w:pPr/>
      <w:r>
        <w:rPr>
          <w:b/>
        </w:rPr>
        <w:t>POSSIBLE 2022:</w:t>
      </w:r>
      <w:r>
        <w:t xml:space="preserve"> EFFECTS OF UTILIZATION OF MONITORING AND EVALUATION RESULTS ON PROJECT PERFORMANCE — https://doi.org/10.46827/ejsss.v7i5.1294</w:t>
      </w:r>
    </w:p>
    <w:p>
      <w:pPr/>
      <w:r>
        <w:rPr>
          <w:b/>
        </w:rPr>
        <w:t>Shared claim-specific concepts:</w:t>
      </w:r>
      <w:r>
        <w:t xml:space="preserve"> projects, evaluation, data, between; EU scope not established. This is a provisional connection, not an outcome finding.</w:t>
      </w:r>
    </w:p>
    <w:p>
      <w:pPr>
        <w:pStyle w:val="SourceNote"/>
      </w:pPr>
      <w:r>
        <w:rPr>
          <w:b/>
        </w:rPr>
        <w:t>Available abstract (not full text):</w:t>
      </w:r>
      <w:r>
        <w:t xml:space="preserve"> Globally, any organization's goal is to be effective, and efficient, attain its objectives and exceed in performance. The need to be successful and have a more remarkable performance has created the need for regular tracking of projects to ensure the project follows the right course for optimal performance. The role of NDMA in Kenya is very crucial in attaining the Kenya vision 2030, the big four agenda, and SDG 2 on ending hunger and achieving food security. Therefore, with this background, the research sought to substantiate the impact of utilization of monitoring, and evaluation results on the performance of drought resilience projects by the National Drought Management Authority (NDMA) in Mandera County. This study adopted systems theory and a descriptive research design. The study undertook a census survey where all the 60 members of the project under NDMA were studied. Data from primary and secondary sources were utilized and the researcher employed semi-structured questionnaires to collect data. Reliability and validity of research instruments and study results were attained by pilot testing the research instruments. SPSS statistical package using descriptive statistics was employed to analyze the collected data. Inferential statistics were applied to ascertain the relationship between independent and dependent variables. The findings show that utilization of monitoring </w:t>
      </w:r>
    </w:p>
    <w:p>
      <w:pPr/>
      <w:r>
        <w:rPr>
          <w:b/>
        </w:rPr>
        <w:t>POSSIBLE 2022:</w:t>
      </w:r>
      <w:r>
        <w:t xml:space="preserve"> System dynamics approach of knowledge transfer from projects to the project-based organization — https://doi.org/10.1108/ijmpb-06-2021-0142</w:t>
      </w:r>
    </w:p>
    <w:p>
      <w:pPr/>
      <w:r>
        <w:rPr>
          <w:b/>
        </w:rPr>
        <w:t>Shared claim-specific concepts:</w:t>
      </w:r>
      <w:r>
        <w:t xml:space="preserve"> projects, conceptual, gap, between; EU scope not established. This is a provisional connection, not an outcome finding.</w:t>
      </w:r>
    </w:p>
    <w:p>
      <w:pPr>
        <w:pStyle w:val="SourceNote"/>
      </w:pPr>
      <w:r>
        <w:rPr>
          <w:b/>
        </w:rPr>
        <w:t>Available abstract (not full text):</w:t>
      </w:r>
      <w:r>
        <w:t xml:space="preserve"> Purpose Although knowledge transfer in the context of projects and project-based organizations (PBOs) has gained increasing attention from academia and industry, it is not clear how knowledge transfers from projects to their parent PBOs. This research aims to explore the main factors influencing knowledge transfer from projects to their parent PBOs, and analyze how these factors integrate the transfer process as system components using the system dynamics (SD) method. Design/methodology/approach Based on the literature review, investigation and interview, this paper adopts the event analysis to obtain the influencing factors from historical cases and establishes a conceptual model of knowledge transfer from five dimensions, which simultaneously considers the knowledge sender, knowledge receiver and the relationship between the knowledge sender and receiver, knowledge features and transfer context. Then, the relationships between variables in the qualitative model were clarified, and a quantitative model including seven feedback loops was established using the SD model. Lastly, the system simulation and sensitivity analysis of the main parameters were realized in Vensim PLE software. Findings The simulation analysis results show that the model can simulate the knowledge transfer process from projects to the PBO to a certain extent. This research fully demonstrates the impact of </w:t>
      </w:r>
    </w:p>
    <w:p>
      <w:pPr>
        <w:pStyle w:val="Heading2"/>
      </w:pPr>
      <w:r>
        <w:t>981. REMIND-D: A Hybrid Energy-Economy Model of Germany</w:t>
      </w:r>
    </w:p>
    <w:p>
      <w:pPr>
        <w:pStyle w:val="SourceNote"/>
      </w:pPr>
      <w:r>
        <w:rPr>
          <w:b/>
        </w:rPr>
        <w:t>Original source (2012):</w:t>
      </w:r>
      <w:r>
        <w:t xml:space="preserve"> https://doi.org/10.22004/ag.econ.121911</w:t>
      </w:r>
    </w:p>
    <w:p>
      <w:pPr/>
      <w:r>
        <w:t>Original wording (abstract; indexed_source_text_not_full_document_verified): The model provides a quantitative framework for analyzing long-term domestic CO2 emission reduction scenarios.</w:t>
      </w:r>
    </w:p>
    <w:p>
      <w:pPr/>
      <w:r>
        <w:rPr>
          <w:b/>
        </w:rPr>
        <w:t>POSSIBLE 2026:</w:t>
      </w:r>
      <w:r>
        <w:t xml:space="preserve"> Forecasting human tick-borne encephalitis risk across Europe through quantitative models integrating environmental and exposure drivers — https://openalex.org/W7154437128</w:t>
      </w:r>
    </w:p>
    <w:p>
      <w:pPr/>
      <w:r>
        <w:rPr>
          <w:b/>
        </w:rPr>
        <w:t>Shared claim-specific concepts:</w:t>
      </w:r>
      <w:r>
        <w:t xml:space="preserve"> provides, quantitative, framework; EU scope visible. This is a provisional connection, not an outcome finding.</w:t>
      </w:r>
    </w:p>
    <w:p>
      <w:pPr>
        <w:pStyle w:val="SourceNote"/>
      </w:pPr>
      <w:r>
        <w:rPr>
          <w:b/>
        </w:rPr>
        <w:t>Available abstract (not full text):</w:t>
      </w:r>
      <w:r>
        <w:t xml:space="preserve"> Tick-borne encephalitis (TBE) poses a growing public health challenge across Europe, driven by ecological, climatic and socio-demographic changes. We present a quantitative spatio-temporal predictive framework to forecast the annual probability of TBE across Europe at regional (NUTS3) and municipal administrative levels. The model leverages a boosted regression tree algorithm trained on standardized human TBE case data provided by the European Centre for Disease Prevention and Control and national public health institutions. Our modelling framework integrates drivers related to both the hazard of TBEV circulation in the environment and human exposure to tick bites, namely the habitat suitability of vertebrate hosts, precipitation, forest cover, autumnal cooling rate, forest road density, and population density. Results exhibit strong predictive performance for the years 2017-2025 (regional AUC ≈ 0.84; municipal AUC ≈ 0.82), demonstrating robust discrimination between regions with and without reported TBE cases. Predicted risk maps highlight high probability areas in central-eastern Europe, the Baltic states, and Nordic coastal regions, while temporal trend analysis reveals statistically significant increases in predicted TBE risk extending into north-western and south-western European areas. These results reflect the combined effects of environmental suitability and human activ</w:t>
      </w:r>
    </w:p>
    <w:p>
      <w:pPr/>
      <w:r>
        <w:rPr>
          <w:b/>
        </w:rPr>
        <w:t>POSSIBLE 2025:</w:t>
      </w:r>
      <w:r>
        <w:t xml:space="preserve"> A Quantitative Analysis of the Legacy ATM Financial Model — https://doi.org/10.1109/ntad67887.2025.11302661</w:t>
      </w:r>
    </w:p>
    <w:p>
      <w:pPr/>
      <w:r>
        <w:rPr>
          <w:b/>
        </w:rPr>
        <w:t>Shared claim-specific concepts:</w:t>
      </w:r>
      <w:r>
        <w:t xml:space="preserve"> provides, quantitative; EU scope visible. This is a provisional connection, not an outcome finding.</w:t>
      </w:r>
    </w:p>
    <w:p>
      <w:pPr>
        <w:pStyle w:val="SourceNote"/>
      </w:pPr>
      <w:r>
        <w:rPr>
          <w:b/>
        </w:rPr>
        <w:t>Available abstract (not full text):</w:t>
      </w:r>
      <w:r>
        <w:t xml:space="preserve"> This paper provides a quantitative analysis of the legacy financial model governing European Air Navigation Service Providers (ANSPs) to establish an empirical baseline for the transition towards a Service-Oriented Architecture (SOA). The research problem centers on the model’s inherent economic characteristics, particularly its cost inelasticity and risk allocation mechanisms, which are poorly understood in a quantitative sense. The methodology involves constructing a mathematical financial model based on the European performance and charging scheme. This model is calibrated and validated using six years (2018-2023) of detailed financial and operational data from a representative national provider, LPS SR of Slovakia. The results of a 7-year simulation (2018-2024) quantify the ANSP’s financial performance, revealing a massive loss in 2020 followed by a sharp, regulation-driven return to profitability in 2022. The discussion analyzes these findings, concluding that the legacy system is defined by regulatory resilience, where financial risk from demand shocks is transferred directly to airspace users, rather than being absorbed by the provider. This analysis demonstrates that a shift to an SOA is not merely a technical change but a fundamental economic transition from a regulated cost-recovery utility to a market-based system where service providers must assume full financial ri</w:t>
      </w:r>
    </w:p>
    <w:p>
      <w:pPr/>
      <w:r>
        <w:rPr>
          <w:b/>
        </w:rPr>
        <w:t>POSSIBLE 2024:</w:t>
      </w:r>
      <w:r>
        <w:t xml:space="preserve"> A quantitative investigation of immigrants integration and detention in Europe — https://doi.org/10.1007/s11135-024-01926-6</w:t>
      </w:r>
    </w:p>
    <w:p>
      <w:pPr/>
      <w:r>
        <w:rPr>
          <w:b/>
        </w:rPr>
        <w:t>Shared claim-specific concepts:</w:t>
      </w:r>
      <w:r>
        <w:t xml:space="preserve"> provides, quantitative; EU scope visible. This is a provisional connection, not an outcome finding.</w:t>
      </w:r>
    </w:p>
    <w:p>
      <w:pPr>
        <w:pStyle w:val="SourceNote"/>
      </w:pPr>
      <w:r>
        <w:rPr>
          <w:b/>
        </w:rPr>
        <w:t>Available abstract (not full text):</w:t>
      </w:r>
      <w:r>
        <w:t xml:space="preserve"> Abstract In this paper, we question whether different attitudes of European countries’ policies toward migrant integration correspond to different propensities to hold foreigners in prison. As a first attempt to test the existence of such an association, we cluster 34 European countries for the year 2019, modelling the dimensions of the Migrant Integration Policy Index (MIPEX). Leveraging finite mixtures of multivariate Gaussian, we identify three groups of countries with a similar level of integration. Then, we estimate the relative proportion of foreigners held in prison among clusters, relying on UNODC and UNDESA data and exploiting Fisher’s noncentral hypergeometric (FNCH) model. We aim to introduce the FNCH model on clusters as a new quantitative tool to investigate demographic and social research issues. Results show that, in the less virtuous cluster in terms of migrants’ integration, foreigners are almost twice more exposed to detention than in the other clusters. Moreover, looking at the differences within clusters, we find that foreigners have a different propensity to be held in prison with respect to citizens. The proposed approach adds new valuable insights to the MIPEX and provides a novel perspective on an important and highly debated phenomenon, such as foreigners in prison, through the lenses of migrants’ integration. From a policymaking perspective, there emer</w:t>
      </w:r>
    </w:p>
    <w:p>
      <w:pPr/>
      <w:r>
        <w:rPr>
          <w:b/>
        </w:rPr>
        <w:t>POSSIBLE 2024:</w:t>
      </w:r>
      <w:r>
        <w:t xml:space="preserve"> Zenith Tropospheric Delay Forecasting in the European Region Using the Informer–Long Short-Term Memory Networks Hybrid Prediction Model — https://doi.org/10.3390/atmos16010031</w:t>
      </w:r>
    </w:p>
    <w:p>
      <w:pPr/>
      <w:r>
        <w:rPr>
          <w:b/>
        </w:rPr>
        <w:t>Shared claim-specific concepts:</w:t>
      </w:r>
      <w:r>
        <w:t xml:space="preserve"> analyzing, long-term; EU scope visible. This is a provisional connection, not an outcome finding.</w:t>
      </w:r>
    </w:p>
    <w:p>
      <w:pPr>
        <w:pStyle w:val="SourceNote"/>
      </w:pPr>
      <w:r>
        <w:rPr>
          <w:b/>
        </w:rPr>
        <w:t>Available abstract (not full text):</w:t>
      </w:r>
      <w:r>
        <w:t xml:space="preserve"> Zenith tropospheric delay (ZTD) is a significant atmospheric error that impacts the Global Navigation Satellite System (GNSS). Developing a high-precision, long-term forecasting model for ZTD can provide valuable insights into the overall trends of predicted ZTD, which is essential for improving GNSS positioning and analyzing changes in regional climate and water vapor. To address the challenges of incomplete information extraction and gradient explosion in a single neural network when forecasting ZTD long-term, this study introduces an Informer–LSTM Hybrid Prediction Model. This model employs a parallel ensemble learning strategy that combines the strengths of both the Informer and LSTM networks to extract features from ZTD data. The Informer model is effective at capturing the periodicity and long-term trends within the ZTD data, while the LSTM model excels at understanding short-term dependencies and dynamic changes. By merging the features extracted by both models, the prediction capabilities of each can complement one another, allowing for a more comprehensive analysis of the characteristics present in ZTD data. In our research, we utilized ERA5-derived ZTD data from 11 International GNSS Service (IGS) stations in Europe to interpolate the missing portions of GNSS-derived ZTD. We then employed this interpolated data from 2016 to 2020, along with an Informer–LSTM Hybrid Pre</w:t>
      </w:r>
    </w:p>
    <w:p>
      <w:pPr/>
      <w:r>
        <w:rPr>
          <w:b/>
        </w:rPr>
        <w:t>POSSIBLE 2024:</w:t>
      </w:r>
      <w:r>
        <w:t xml:space="preserve"> Analysis and Prediction of PM2.5 Pollution in Madrid: The Use of Prophet–Long Short-Term Memory Hybrid Models — https://doi.org/10.3390/appliedmath4040076</w:t>
      </w:r>
    </w:p>
    <w:p>
      <w:pPr/>
      <w:r>
        <w:rPr>
          <w:b/>
        </w:rPr>
        <w:t>Shared claim-specific concepts:</w:t>
      </w:r>
      <w:r>
        <w:t xml:space="preserve"> provides, long-term; EU scope visible. This is a provisional connection, not an outcome finding.</w:t>
      </w:r>
    </w:p>
    <w:p>
      <w:pPr>
        <w:pStyle w:val="SourceNote"/>
      </w:pPr>
      <w:r>
        <w:rPr>
          <w:b/>
        </w:rPr>
        <w:t>Available abstract (not full text):</w:t>
      </w:r>
      <w:r>
        <w:t xml:space="preserve"> Particulate matter smaller than 2.5 μm (PM2.5) in Madrid is a critical concern due to its impacts on public health. This study employs advanced methodologies, including the CRISP-DM model and hybrid Prophet–Long Short-Term Memory (LSTM), to analyze historical data from monitoring stations and predict future PM2.5 levels. The results reveal a decreasing trend in PM2.5 levels from 2019 to mid-2024, suggesting the effectiveness of policies implemented by the Madrid City Council. However, the observed interannual fluctuations and peaks indicate the need for continuous policy adjustments to address specific events and seasonal variations. The comparison of local policies and those of the European Union underscores the importance of greater coherence and alignment to optimize the outcomes. Predictions made with the Prophet–LSTM model provide a solid foundation for planning and decision making, enabling urban managers to design more effective strategies. This study not only provides a detailed understanding of pollution patterns, but also emphasizes the need for adaptive environmental policies and citizen participation to improve air quality. The findings of this work can be of great assistance to environmental policymakers, providing a basis for future research and actions to improve air quality in Madrid. The hybrid Prophet–LSTM model effectively captured both seasonal trends and po</w:t>
      </w:r>
    </w:p>
    <w:p>
      <w:pPr/>
      <w:r>
        <w:rPr>
          <w:b/>
        </w:rPr>
        <w:t>POSSIBLE 2022:</w:t>
      </w:r>
      <w:r>
        <w:t xml:space="preserve"> Implementing a probabilistic fire modeling system at the pan-European level — https://doi.org/10.14195/978-989-26-2298-9_174</w:t>
      </w:r>
    </w:p>
    <w:p>
      <w:pPr/>
      <w:r>
        <w:rPr>
          <w:b/>
        </w:rPr>
        <w:t>Shared claim-specific concepts:</w:t>
      </w:r>
      <w:r>
        <w:t xml:space="preserve"> quantitative, long-term; EU scope visible. This is a provisional connection, not an outcome finding.</w:t>
      </w:r>
    </w:p>
    <w:p>
      <w:pPr>
        <w:pStyle w:val="SourceNote"/>
      </w:pPr>
      <w:r>
        <w:rPr>
          <w:b/>
        </w:rPr>
        <w:t>Available abstract (not full text):</w:t>
      </w:r>
      <w:r>
        <w:t xml:space="preserve"> This research shows the potential use of cross-boundary fire modeling systems at the pan-European level. Despite the growing interest in building fire-resilient cultural landscapes, European Union (EU) level efforts have been reactive and focused on early detection, fire propagation monitoring, and perimeter mapping rather than predicting where the disaster can potentially occur to develop a comprehensive wildfire management strategy. We propose a modeling system that integrates wildfire occurrence models and observed fire-weather scenarios with a fire spread model to generate the probabilistic risk components, i.e., wildfire likelihood and hazard estimates. We selected four NUTS-2 level administrative division pilot sites from different fire-prone countries to implement the modeling system. The European-level pyromes were first delineated based on ecoregions and historical wildfire activity. We then generated human and lightning wildfire occurrence models to display the ignition points. Remote sensing products were used to derive fire spread modeling spatial input data such as surface fuels and canopy metrics. Global atmospheric products were used to calculate the fuel moisture content with physical models and determine the most frequent wind scenarios for each pyrome. We then used the Minimum Travel Time algorithm to model the fire footprints that correspond to 10,000 years o</w:t>
      </w:r>
    </w:p>
    <w:p>
      <w:pPr/>
      <w:r>
        <w:rPr>
          <w:b/>
        </w:rPr>
        <w:t>POSSIBLE 2021:</w:t>
      </w:r>
      <w:r>
        <w:t xml:space="preserve"> Time-resolved emission reductions for atmospheric chemistry modelling in Europe during the COVID-19 lockdowns — https://doi.org/10.5194/acp-21-773-2021</w:t>
      </w:r>
    </w:p>
    <w:p>
      <w:pPr/>
      <w:r>
        <w:rPr>
          <w:b/>
        </w:rPr>
        <w:t>Shared claim-specific concepts:</w:t>
      </w:r>
      <w:r>
        <w:t xml:space="preserve"> emission, reduction; EU scope visible. This is a provisional connection, not an outcome finding.</w:t>
      </w:r>
    </w:p>
    <w:p>
      <w:pPr>
        <w:pStyle w:val="SourceNote"/>
      </w:pPr>
      <w:r>
        <w:rPr>
          <w:b/>
        </w:rPr>
        <w:t>Available abstract (not full text):</w:t>
      </w:r>
      <w:r>
        <w:t xml:space="preserve"> Abstract. We quantify the reductions in primary emissions due to the COVID-19 lockdowns in Europe. Our estimates are provided in the form of a dataset of reduction factors varying per country and day that will allow modelling and identifying the associated impacts upon air quality. The country- and daily-resolved reduction factors are provided for each of the following source categories: energy industry (power plants), manufacturing industry, road traffic and aviation (landing and take-off cycle). We computed the reduction factors based on open access and near-real time measured activity data from a wide range of information sources. We also trained a machine learning model with meteorological data to derive weather-normalised electricity consumption reductions. The time period covered is from 21 February, when the first European localised lockdown was implemented in the region of Lombardy (Italy), until 26 April 2020. This period includes five weeks (23 March until 26 April) with the most severe and relatively unchanged restrictions upon mobility and socio-economic activities across Europe. The computed reduction factors were combined with the Copernicus Atmosphere Monitoring Service's European emission inventory using adjusted emission temporal profiles in order to derive time-resolved emission reductions per country and pollutant sector. During the most severe lockdown perio</w:t>
      </w:r>
    </w:p>
    <w:p>
      <w:pPr/>
      <w:r>
        <w:rPr>
          <w:b/>
        </w:rPr>
        <w:t>POSSIBLE 2020:</w:t>
      </w:r>
      <w:r>
        <w:t xml:space="preserve"> Coupling prediction model for long‐term displacements of arch dams based on long short‐term memory network — https://doi.org/10.1002/stc.2548</w:t>
      </w:r>
    </w:p>
    <w:p>
      <w:pPr/>
      <w:r>
        <w:rPr>
          <w:b/>
        </w:rPr>
        <w:t>Shared claim-specific concepts:</w:t>
      </w:r>
      <w:r>
        <w:t xml:space="preserve"> long-term, reduction; EU scope not established. This is a provisional connection, not an outcome finding.</w:t>
      </w:r>
    </w:p>
    <w:p>
      <w:pPr>
        <w:pStyle w:val="SourceNote"/>
      </w:pPr>
      <w:r>
        <w:rPr>
          <w:b/>
        </w:rPr>
        <w:t>Available abstract (not full text):</w:t>
      </w:r>
      <w:r>
        <w:t xml:space="preserve"> The long-term safety and health monitoring of large dams has attracted increasing attention. In this paper, coupling prediction models based on long short-term memory (LSTM) network are proposed for the long-term deformation of arch dams. Principal component analysis (PCA) and moving average (MA) method, adopted to make dimension reduction for the input variables, are respectively combined with the LSTM to achieve two coupling prediction models, that is, LSTM-PCA and LSTM-MA. Lijiaxia arch dam, which has been in operation over 20 years, is taken as an analysis example. Compared with the traditional hydrostatic-seasonal-time model, the hydrostatic-seasonal-time thermal model, and the multilayer perceptron model, the proposed models show more effectiveness concerning the predicted displacements of the arch dam. The accuracy of the predicted results from the coupling prediction models is better. Furthermore, the coupling prediction models could capture the long-term characteristics and provide better prediction with short monitoring data. Compared with the LSTM-PCA model, the LSTM-MA model is more suitable for engineering applications due to its convenience.</w:t>
      </w:r>
    </w:p>
    <w:p>
      <w:pPr/>
      <w:r>
        <w:rPr>
          <w:b/>
        </w:rPr>
        <w:t>POSSIBLE 2020:</w:t>
      </w:r>
      <w:r>
        <w:t xml:space="preserve"> A review on long-term electrical power system modeling with energy storage — https://doi.org/10.1016/j.jclepro.2020.124298</w:t>
      </w:r>
    </w:p>
    <w:p>
      <w:pPr/>
      <w:r>
        <w:rPr>
          <w:b/>
        </w:rPr>
        <w:t>Shared claim-specific concepts:</w:t>
      </w:r>
      <w:r>
        <w:t xml:space="preserve"> provides, framework, long-term, reduction; EU scope not established. This is a provisional connection, not an outcome finding.</w:t>
      </w:r>
    </w:p>
    <w:p>
      <w:pPr>
        <w:pStyle w:val="SourceNote"/>
      </w:pPr>
      <w:r>
        <w:rPr>
          <w:b/>
        </w:rPr>
        <w:t>Available abstract (not full text):</w:t>
      </w:r>
      <w:r>
        <w:t xml:space="preserve"> Driven by the demand for intermittent power generation, Energy Storage (ES) will be widely adopted in future electricity grids to provide flexibility and resilience. Technically, there are two classes of ES for storing low-carbon energy: Generation-Integrated Energy Storage (GIES) and non-GIES. GIES stores energy along with the transformation between the primary energy form (e.g., thermal energy) and electricity. Long-term Electrical Power System Models (LEPSMs) support analysis including decarbonization studies and energy technology assessments. Current LEPSMs are limited in describing the power system with ES (e.g., considering one type of ES and not considering GIES). Consequently, a novel LEPSM is needed, and this paper paves the way towards this goal by bringing together the literature on ES and LEPSMs. This paper provides a state-of-the-art review of LEPSMs and shows that (a) existing models are inadequate to address grids with a high percentage of renewables and ES; and (b) there is a challenge in integrating short-term temporal changes in LEPSMs due to model complexity and computational cost. Finally, this paper proposes a framework for long-term electrical power system modeling considering ES and low-carbon power generation, which we have named the long-term power flow electrical power system framework. The key features of this novel framework are its agent-based model</w:t>
      </w:r>
    </w:p>
    <w:p>
      <w:pPr/>
      <w:r>
        <w:rPr>
          <w:b/>
        </w:rPr>
        <w:t>POSSIBLE 2020:</w:t>
      </w:r>
      <w:r>
        <w:t xml:space="preserve"> Spillover and dynamic effects of energy transition and economic growth on carbon dioxide emissions for the European Union: A dynamic spatial panel model — https://doi.org/10.1002/sd.2144</w:t>
      </w:r>
    </w:p>
    <w:p>
      <w:pPr/>
      <w:r>
        <w:rPr>
          <w:b/>
        </w:rPr>
        <w:t>Shared claim-specific concepts:</w:t>
      </w:r>
      <w:r>
        <w:t xml:space="preserve"> analyzing, co2, reduction; EU scope visible. This is a provisional connection, not an outcome finding.</w:t>
      </w:r>
    </w:p>
    <w:p>
      <w:pPr>
        <w:pStyle w:val="SourceNote"/>
      </w:pPr>
      <w:r>
        <w:rPr>
          <w:b/>
        </w:rPr>
        <w:t>Available abstract (not full text):</w:t>
      </w:r>
      <w:r>
        <w:t xml:space="preserve"> Abstract This paper introduces “spatial effects” and “dynamic effects” to investigate the influences of economic growth and energy transition on cross‐country CO2 emissions movements within the European Union (EU). We apply the fixed‐effects dynamic spatial Durbin error model to empirically gauge the magnitude of the spatial impacts and dynamic impacts for a sample of 26 EU countries throughout 1990–2015. By analyzing the empirical results, we conclude that: (1) Compared with dynamic spatial Durbin error model, the traditional dynamic panel model over‐estimates the parameters because traditional regression methods only capture the direct impacts, and neglect the indirect impacts. (2) A significant positive spatial spillover of CO2 emissions from neighboring countries to the local country is recognized, justifying the use of our spatial model. (3) Economic growth has positive impacts on CO2 emissions, while the spatial effects of economic growth exert negative impacts. Moreover, the total effects of economic growth are positive in both short‐term and long‐term. (4) Although the spatial effects of renewable energy are not significant, renewable energy has negative influences on CO2 emissions. (5) The impacts and spatial effects of natural gas are positive; therefore, its total effects are positive in both short‐run and long‐run. Based on our finding, we provide several policy rec</w:t>
      </w:r>
    </w:p>
    <w:p>
      <w:pPr/>
      <w:r>
        <w:rPr>
          <w:b/>
        </w:rPr>
        <w:t>POSSIBLE 2019:</w:t>
      </w:r>
      <w:r>
        <w:t xml:space="preserve"> Quantitative sovereign default models and the European debt crisis — https://doi.org/10.1016/j.jinteco.2019.01.011</w:t>
      </w:r>
    </w:p>
    <w:p>
      <w:pPr/>
      <w:r>
        <w:rPr>
          <w:b/>
        </w:rPr>
        <w:t>Shared claim-specific concepts:</w:t>
      </w:r>
      <w:r>
        <w:t xml:space="preserve"> quantitative, framework, domestic; EU scope visible. This is a provisional connection, not an outcome finding.</w:t>
      </w:r>
    </w:p>
    <w:p>
      <w:pPr>
        <w:pStyle w:val="SourceNote"/>
      </w:pPr>
      <w:r>
        <w:rPr>
          <w:b/>
        </w:rPr>
        <w:t>Available abstract (not full text):</w:t>
      </w:r>
      <w:r>
        <w:t xml:space="preserve"> A large literature has developed quantitative versions of the Eaton and Gersovitz (1981) model to analyze default episodes on external debt. In this paper, we study whether the same framework can be applied to the analysis of debt crises in which domestic public debt plays a prominent role. We consider a model where a government can issue debt to both domestic and foreign investors, and we derive conditions under which their sum is the relevant state variable for default incentives. We then apply our framework to the European debt crisis. We show that matching the cyclicality of public debt—rather than that of external debt—allows the model to better capture the empirical distribution of interest rate spreads and gives rise to more realistic crises dynamics.</w:t>
      </w:r>
    </w:p>
    <w:p>
      <w:pPr/>
      <w:r>
        <w:rPr>
          <w:b/>
        </w:rPr>
        <w:t>POSSIBLE 2019:</w:t>
      </w:r>
      <w:r>
        <w:t xml:space="preserve"> Modeling the low-carbon transition of the European energy system - A quantitative assessment of the stranded assets problem — https://doi.org/10.1016/j.esr.2019.100422</w:t>
      </w:r>
    </w:p>
    <w:p>
      <w:pPr/>
      <w:r>
        <w:rPr>
          <w:b/>
        </w:rPr>
        <w:t>Shared claim-specific concepts:</w:t>
      </w:r>
      <w:r>
        <w:t xml:space="preserve"> quantitative, long-term; EU scope visible. This is a provisional connection, not an outcome finding.</w:t>
      </w:r>
    </w:p>
    <w:p>
      <w:pPr>
        <w:pStyle w:val="SourceNote"/>
      </w:pPr>
      <w:r>
        <w:rPr>
          <w:b/>
        </w:rPr>
        <w:t>Available abstract (not full text):</w:t>
      </w:r>
      <w:r>
        <w:t xml:space="preserve"> In this paper, multiple pathways for the European energy system until 2050 are computed, focusing on one of the major challenges of the low-carbon transition: the issue of unused capacities and stranded assets. Three different scenarios are analyzed, utilizing the Global Energy System Model (GENeSYS-MOD) for calculations. A major feature is the introduction of limited foresight and imperfect planning to the multi-sectoral approach of the model. A swift transition towards renewable energy sources is needed in order to ensure the goal of staying below 2 °C is maintained. This leads to the underutilization of current fossil-fueled plant capacities, an effect compounded by the prioritization of short-term goals over long-term targets. In the worst case, capacities with a combined value of up to 200 billion € corresponding to 260 GW total capacity may end up stranded by 2035, with significant shares in the coal and gas sectors. Contrary, in the baseline scenario featuring perfect foresight, this amount can by reduced by as much as 75%. Thus, the need for strong, clear signals from policy makers arises in order to combat the threat of short-sighted planning and investment losses.</w:t>
      </w:r>
    </w:p>
    <w:p>
      <w:pPr>
        <w:pStyle w:val="Heading2"/>
      </w:pPr>
      <w:r>
        <w:t>982. Scenarios of the organic food market in Europe</w:t>
      </w:r>
    </w:p>
    <w:p>
      <w:pPr>
        <w:pStyle w:val="SourceNote"/>
      </w:pPr>
      <w:r>
        <w:rPr>
          <w:b/>
        </w:rPr>
        <w:t>Original source (2012):</w:t>
      </w:r>
      <w:r>
        <w:t xml:space="preserve"> https://doi.org/10.1016/j.foodpol.2011.10.003</w:t>
      </w:r>
    </w:p>
    <w:p>
      <w:pPr/>
      <w:r>
        <w:t>Original wording (abstract; indexed_source_text_not_full_document_verified): Scenario analysis is a qualitative tool for strategic policy analysis that enables researchers and policymakers to support decision making, and a systemic analysis of the main determinants of a business or sector. Network analysis is used to identify the roles of driving forces in the different scenarios, and the results are discussed in comparison with the main findings from existing scenarios on the future development of the organic sector.</w:t>
      </w:r>
    </w:p>
    <w:p>
      <w:pPr/>
      <w:r>
        <w:rPr>
          <w:b/>
        </w:rPr>
        <w:t>POSSIBLE 2026:</w:t>
      </w:r>
      <w:r>
        <w:t xml:space="preserve"> Strategic Development of Wheelchair Basketball in Europe and Türkiye: A Systematic Review and Comparative Framework for Sustainable Growth — https://doi.org/10.33438/ijdshs.1800363</w:t>
      </w:r>
    </w:p>
    <w:p>
      <w:pPr/>
      <w:r>
        <w:rPr>
          <w:b/>
        </w:rPr>
        <w:t>Shared claim-specific concepts:</w:t>
      </w:r>
      <w:r>
        <w:t xml:space="preserve"> qualitative, tool, strategic, support; EU scope visible. This is a provisional connection, not an outcome finding.</w:t>
      </w:r>
    </w:p>
    <w:p>
      <w:pPr>
        <w:pStyle w:val="SourceNote"/>
      </w:pPr>
      <w:r>
        <w:rPr>
          <w:b/>
        </w:rPr>
        <w:t>Available abstract (not full text):</w:t>
      </w:r>
      <w:r>
        <w:t xml:space="preserve"> Purpose: This systematic review examines the strategic development of wheelchair basketball in Europe and Türkiye, focusing on athlete pathways, governance structures, and sustainability mechanisms. Methods: Following PRISMA 2020 guidelines, four databases (PubMed, Scopus, Web of Science, SPORTDiscus) were systematically searched. From 731 records, 16 peer-reviewed studies met the inclusion criteria. A qualitative thematic synthesis was conducted, and methodological quality was assessed using the Mixed Methods Appraisal Tool (MMAT). Results: European systems demonstrate structured talent identification, formalized coach education, diversified funding models, and integrated sports science support. Reverse integration and gender-inclusive policies were associated with higher participation and institutional sustainability. In Türkiye, grassroots growth is evident; however, limitations persist regarding infrastructure, performance monitoring, and long-term funding continuity. Conclusion: Sustainable wheelchair basketball development requires coherent governance, standardized performance monitoring, and institutional partnerships. Adopting adaptable European best practices while accounting for Türkiye’s socio-cultural context can strengthen competitive performance and inclusive participation.</w:t>
      </w:r>
    </w:p>
    <w:p>
      <w:pPr/>
      <w:r>
        <w:rPr>
          <w:b/>
        </w:rPr>
        <w:t>POSSIBLE 2026:</w:t>
      </w:r>
      <w:r>
        <w:t xml:space="preserve"> VIRTUAL REALITY AS A STRATEGIC SPORT MARKETING TOOL IN PROFESSIONAL FOOTBALL: EVIDENCE FROM EUROPE AND GREECE — https://doi.org/10.46827/ejmms.v11i2.2215</w:t>
      </w:r>
    </w:p>
    <w:p>
      <w:pPr/>
      <w:r>
        <w:rPr>
          <w:b/>
        </w:rPr>
        <w:t>Shared claim-specific concepts:</w:t>
      </w:r>
      <w:r>
        <w:t xml:space="preserve"> qualitative, tool, strategic, decision, used, different; EU scope visible. This is a provisional connection, not an outcome finding.</w:t>
      </w:r>
    </w:p>
    <w:p>
      <w:pPr>
        <w:pStyle w:val="SourceNote"/>
      </w:pPr>
      <w:r>
        <w:rPr>
          <w:b/>
        </w:rPr>
        <w:t>Available abstract (not full text):</w:t>
      </w:r>
      <w:r>
        <w:t xml:space="preserve"> This research article examines the strategic use of virtual reality (VR) as a sport marketing tool in professional football, with particular attention to the European and Greek contexts. The study investigates whether immersive VR applications can strengthen fan engagement, emotional attachment, perceived commercial value, sponsorship appeal and organizational marketing effectiveness. A mixed-methods design was employed. Quantitative evidence was collected through a structured questionnaire administered to a sport-related sample of 166 respondents, while qualitative evidence was gathered through semi-structured interviews with sport organization executives and marketing decision makers. The quantitative analysis used descriptive statistics, one-sample t-tests against the neutral point of five-point Likert scales, Pearson correlations and linear regression models. Interview data were examined thematically. The findings show that VR is perceived as a powerful mechanism for enhancing fans' emotional connection with football clubs, increasing participation in live and digital events, improving social-media engagement and creating new commercial assets for sponsors and clubs. The results further indicate that European football organizations are perceived as more advanced than Greek organizations in adopting and strategically integrating VR. Cost, lack of specialized personnel, techn</w:t>
      </w:r>
    </w:p>
    <w:p>
      <w:pPr/>
      <w:r>
        <w:rPr>
          <w:b/>
        </w:rPr>
        <w:t>POSSIBLE 2026:</w:t>
      </w:r>
      <w:r>
        <w:t xml:space="preserve"> Economic Diplomacy as a Strategic Tool in Economic Warfare: A Qualitative Analysis of Global Resilience Strategies — https://doi.org/10.2478/picbe-2026-0004</w:t>
      </w:r>
    </w:p>
    <w:p>
      <w:pPr/>
      <w:r>
        <w:rPr>
          <w:b/>
        </w:rPr>
        <w:t>Shared claim-specific concepts:</w:t>
      </w:r>
      <w:r>
        <w:t xml:space="preserve"> qualitative, tool, strategic, used, comparison; EU scope not established. This is a provisional connection, not an outcome finding.</w:t>
      </w:r>
    </w:p>
    <w:p>
      <w:pPr>
        <w:pStyle w:val="SourceNote"/>
      </w:pPr>
      <w:r>
        <w:rPr>
          <w:b/>
        </w:rPr>
        <w:t>Available abstract (not full text):</w:t>
      </w:r>
      <w:r>
        <w:t xml:space="preserve"> Abstract The current international environment is defined by conflicts that seem to escalate more and more dangerously. From the conflict between Russia and Ukraine to the aggression of the United States of America in Venezuela, the modern world seems to be leaning more and more towards military conflicts. However, the globalized world also faces a more subtle type of aggression, represented by economic or tariff warfare. Thus, studying economic diplomacy and its importance has become vital to understanding how to stop the world from turning into a sea of bloody wars. In the current scientific literature, economic diplomacy is often analyzed from a commercial perspective, but there is a significant gap regarding its role in military crisis management and geopolitical realignment. The research question is the following: to what extent can economic diplomacy mitigate the effects of tariff wars and ensure national resilience in emerging economies, taking as a model the political restructuring study of President Javier Milei′s Argentina? The research method will be qualitative, using a comparative analysis of diplomacy used in tariff wars and Milei′s Argentine shock therapy. The results show us that the measures described have a positive impact on economic stability in both cases, but involve irreparable damage to the morale and standard of living of the people. The contribution of</w:t>
      </w:r>
    </w:p>
    <w:p>
      <w:pPr/>
      <w:r>
        <w:rPr>
          <w:b/>
        </w:rPr>
        <w:t>POSSIBLE 2026:</w:t>
      </w:r>
      <w:r>
        <w:t xml:space="preserve"> Strategic Narratives of Foreign Policy Identity: Russia vs European Union — https://doi.org/10.20542/0131-2227-2026-70-9-66-77</w:t>
      </w:r>
    </w:p>
    <w:p>
      <w:pPr/>
      <w:r>
        <w:rPr>
          <w:b/>
        </w:rPr>
        <w:t>Shared claim-specific concepts:</w:t>
      </w:r>
      <w:r>
        <w:t xml:space="preserve"> qualitative, strategic, findings; EU scope visible. This is a provisional connection, not an outcome finding.</w:t>
      </w:r>
    </w:p>
    <w:p>
      <w:pPr>
        <w:pStyle w:val="SourceNote"/>
      </w:pPr>
      <w:r>
        <w:rPr>
          <w:b/>
        </w:rPr>
        <w:t>Available abstract (not full text):</w:t>
      </w:r>
      <w:r>
        <w:t xml:space="preserve"> The article examines the evolution of strategic narratives in EU–Russia relations from 2022 to 2025 amid geopolitical tensions, particularly post-Ukraine conflict. The article presents a qualitative analysis of the strategic narratives of the Russian Federation and the European Union as tools for shaping foreign policy identity and positioning actors as centers of power in a transforming system of international relations. Drawing on the constructivist concept of strategic narratives, the authors trace the dynamics of constructing foreign policy identities and positioning the European Union and Russia as global centers of power. Key findings highlight a divergence: the EU constructs Russia as an existential threat via “Russian threat, aggression, hybrid warfare”, fostering militarization and resilience of European identity. Conversely, Russian narratives portray the EU as betrayer of post-Cold War partnership, emphasizing multipolarity, balances, and Western decline. The analysis underscores how competing narratives shape collective identities, policy resilience, and perpetual crisis (“permacrisis”), influencing foreign policy and public diplomacy. The authors conclude with a warning of deepened antagonism without narrative convergence. Strategic narratives reinforce each actor’s foreign policy identity as a contender for the role of a global center of power and challenge the op</w:t>
      </w:r>
    </w:p>
    <w:p>
      <w:pPr/>
      <w:r>
        <w:rPr>
          <w:b/>
        </w:rPr>
        <w:t>POSSIBLE 2026:</w:t>
      </w:r>
      <w:r>
        <w:t xml:space="preserve"> Artificial Intelligence Tools in Qualitative Research II — https://doi.org/10.59537/saupress.2577</w:t>
      </w:r>
    </w:p>
    <w:p>
      <w:pPr/>
      <w:r>
        <w:rPr>
          <w:b/>
        </w:rPr>
        <w:t>Shared claim-specific concepts:</w:t>
      </w:r>
      <w:r>
        <w:t xml:space="preserve"> qualitative, researchers, identify; EU scope not established. This is a provisional connection, not an outcome finding.</w:t>
      </w:r>
    </w:p>
    <w:p>
      <w:pPr>
        <w:pStyle w:val="SourceNote"/>
      </w:pPr>
      <w:r>
        <w:rPr>
          <w:b/>
        </w:rPr>
        <w:t>Available abstract (not full text):</w:t>
      </w:r>
      <w:r>
        <w:t xml:space="preserve"> The volume brings together fourteen chapters authored by specialists whose work spans the intersection of artificial intelligence and qualitative methodology.The opening chapter addresses AI-assisted approaches to data collection, examining how tools built upon machine learning can enhance the depth and consistency of qualitative interviewing, focus group moderation, and observational protocols.The second chapter turns to the analysis stage, critically evaluating automatic and semi-automatic coding approaches alongside the irreplaceable role of researcher judgment.The third chapter confronts the ethical dimensions of AI use in qualitative research, with particular attention to data privacy, algorithmic transparency, and the risk of researcher bias.The fourth chapter examines how artificial intelligence has reshaped educational settings through learning analytics, personalized learning environments, student performance prediction, and classroom management tools.This treatment is essential for qualitative researchers whose fieldwork increasingly takes place within AI-mediated institutional contexts: understanding the AI systems that structure the environments under study is a prerequisite for methodologically credible inquiry, and no qualitative account of contemporary schooling can be complete without it.The fifth chapter investigates the methodological contributions of large la</w:t>
      </w:r>
    </w:p>
    <w:p>
      <w:pPr/>
      <w:r>
        <w:rPr>
          <w:b/>
        </w:rPr>
        <w:t>POSSIBLE 2026:</w:t>
      </w:r>
      <w:r>
        <w:t xml:space="preserve"> Strategic International Investments and Economic Resilience: The Three Seas Initiative as a Regional Development Tool — https://doi.org/10.2478/picbe-2026-0108</w:t>
      </w:r>
    </w:p>
    <w:p>
      <w:pPr/>
      <w:r>
        <w:rPr>
          <w:b/>
        </w:rPr>
        <w:t>Shared claim-specific concepts:</w:t>
      </w:r>
      <w:r>
        <w:t xml:space="preserve"> qualitative, tool, strategic, support, main; EU scope visible. This is a provisional connection, not an outcome finding.</w:t>
      </w:r>
    </w:p>
    <w:p>
      <w:pPr>
        <w:pStyle w:val="SourceNote"/>
      </w:pPr>
      <w:r>
        <w:rPr>
          <w:b/>
        </w:rPr>
        <w:t>Available abstract (not full text):</w:t>
      </w:r>
      <w:r>
        <w:t xml:space="preserve"> Abstract The paper analyses the role of strategic international investments in strengthening economic resilience in Central and Eastern Europe, with a focus on the Three Seas Initiative as a regional development tool. In the context of geopolitical uncertainties, supply chain disruptions and uneven economic development within the European Union, the paper highlights the importance of a coordinated regional framework capable of boosting connectivity, competitiveness and long-term stability. The existing literature emphasizes economic resilience as a multidimensional concept, closely linked to infrastructure development, investment diversification and regional cooperation. While previous research has addressed the political and strategic dimensions of the Three Seas Initiative, there is a lack of studies on its economic impact and capacity to attract international investments as a mechanism for strengthening resilience of the area. The paper contributes to closing this gap by framing the initiative within broader debates on regional development in domains like energy, transport and digitalization and international political economy. The study uses a qualitative methodology, based on document analysis, comparative assessment and public policy analysis. The main research questions concern how the Three Seas Initiative facilitates strategic international investments, the most influe</w:t>
      </w:r>
    </w:p>
    <w:p>
      <w:pPr/>
      <w:r>
        <w:rPr>
          <w:b/>
        </w:rPr>
        <w:t>POSSIBLE 2026:</w:t>
      </w:r>
      <w:r>
        <w:t xml:space="preserve"> From Economic Openness to Strategic Capacity: The European Union as a Hybrid Geoeconomic Actor — https://doi.org/10.3390/world7090149</w:t>
      </w:r>
    </w:p>
    <w:p>
      <w:pPr/>
      <w:r>
        <w:rPr>
          <w:b/>
        </w:rPr>
        <w:t>Shared claim-specific concepts:</w:t>
      </w:r>
      <w:r>
        <w:t xml:space="preserve"> qualitative, strategic, findings; EU scope visible. This is a provisional connection, not an outcome finding.</w:t>
      </w:r>
    </w:p>
    <w:p>
      <w:pPr>
        <w:pStyle w:val="SourceNote"/>
      </w:pPr>
      <w:r>
        <w:rPr>
          <w:b/>
        </w:rPr>
        <w:t>Available abstract (not full text):</w:t>
      </w:r>
      <w:r>
        <w:t xml:space="preserve"> The European Union now routinely leverages economic governance to tackle strategic vulnerabilities caused by geopolitical rivalry, foreign dependencies, and supply chain shocks. This article analyses this shift, exploring how the EU adapts its economic toolkit and what restricts its capacity to act as a geoeconomic power. It builds an analytical framework connecting external pressures, strategic vulnerabilities, policy choices, and institutional barriers. Methodologically, the study combines qualitative document analysis of EU policy frameworks with trade metrics and evidence from the Geoeconomic Interconnectivity Index. The findings show a clear expansion in investment screening, anti-coercion tools, targeted industrial policy, and supply-chain diversification—all aimed at safeguarding core sectors and curbing asymmetric exposure. These steps mark a departure from purely regulatory-market logic towards a hybrid model blending market openness, defensive controls, and capacity-building. Persistent institutional splits, conflicting national priorities, technological gaps, and reliance on foreign markets limit the effectiveness of this transition. Ultimately, the EU’s evolving geoeconomic stance aims not for total self-sufficiency, but for the deliberate, strategic management of interdependence.</w:t>
      </w:r>
    </w:p>
    <w:p>
      <w:pPr/>
      <w:r>
        <w:rPr>
          <w:b/>
        </w:rPr>
        <w:t>POSSIBLE 2026:</w:t>
      </w:r>
      <w:r>
        <w:t xml:space="preserve"> From Administrative Tool to Strategic Decision Support: A Qualitative Study of Digital Training Needs Analysis — https://doi.org/10.69965/danadyaksa.v4i1.498</w:t>
      </w:r>
    </w:p>
    <w:p>
      <w:pPr/>
      <w:r>
        <w:rPr>
          <w:b/>
        </w:rPr>
        <w:t>Shared claim-specific concepts:</w:t>
      </w:r>
      <w:r>
        <w:t xml:space="preserve"> qualitative, tool, strategic, support, decision, findings; EU scope not established. This is a provisional connection, not an outcome finding.</w:t>
      </w:r>
    </w:p>
    <w:p>
      <w:pPr>
        <w:pStyle w:val="SourceNote"/>
      </w:pPr>
      <w:r>
        <w:rPr>
          <w:b/>
        </w:rPr>
        <w:t>Available abstract (not full text):</w:t>
      </w:r>
      <w:r>
        <w:t xml:space="preserve"> This study examines how the Dashboard Executive Information System for Training Needs Analysis (DEIS AKD) supports digital training needs analysis at PPSDM Migas and identifies the conditions required for its transformation from an administrative tool into a strategic decision-support system. A descriptive qualitative approach was employed, with data collected through in-depth interviews and documentation studies. The informants consisted of four PPSDM Migas employees directly involved in training planning, implementation, standardization, and evaluation. Data were analyzed through data condensation, data display, and conclusion drawing or verification. The findings show that DEIS AKD has improved administrative efficiency through centralized employee data management, training history monitoring, scheduling, and participation tracking. However, the system has not yet fully supported competency-based analysis because training recommendations remain influenced by managerial judgment, job-based classifications, limited analytical features, and insufficient integration of competency, performance, and post-training evaluation data. Its effectiveness is also influenced by data quality, system limitations, and users’ analytical capabilities. The study concludes that DEIS AKD currently functions primarily as an administrative tool rather than as a strategic decision-support system. Its</w:t>
      </w:r>
    </w:p>
    <w:p>
      <w:pPr/>
      <w:r>
        <w:rPr>
          <w:b/>
        </w:rPr>
        <w:t>POSSIBLE 2026:</w:t>
      </w:r>
      <w:r>
        <w:t xml:space="preserve"> Sustainable artificial intelligence as a tool of strategic communication in organizational contexts : a critical discourse analysis — https://openalex.org/W7164619943</w:t>
      </w:r>
    </w:p>
    <w:p>
      <w:pPr/>
      <w:r>
        <w:rPr>
          <w:b/>
        </w:rPr>
        <w:t>Shared claim-specific concepts:</w:t>
      </w:r>
      <w:r>
        <w:t xml:space="preserve"> qualitative, tool, strategic, used, findings; EU scope visible. This is a provisional connection, not an outcome finding.</w:t>
      </w:r>
    </w:p>
    <w:p>
      <w:pPr>
        <w:pStyle w:val="SourceNote"/>
      </w:pPr>
      <w:r>
        <w:rPr>
          <w:b/>
        </w:rPr>
        <w:t>Available abstract (not full text):</w:t>
      </w:r>
      <w:r>
        <w:t xml:space="preserve"> This thesis examines how sustainable artificial intelligence (AI) is constructed and communicated in corporate discourse, and how it functions as a tool of strategic communication in organizational contexts. The study is grounded in an interdisciplinary theoretical framework that combines research on AI and sustainability, organizational identity, and strategic communication. Sustainable AI is conceptualized as a multidimensional phenomenon that encompasses the environmental, social, and economic dimensions of sustainability, while also being shaped by socio-technical and regulatory dynamics within the European context. The aim of the study is to develop an understanding of how AI-related sustainability is addressed in the corporate communication of European companies participating in the EU Artificial Intelligence Pact (EU AI Pact). This aim is guided by three distinct research questions that consider how AI-related sustainability is constructed in corporate discourse, how sustainable AI is used as a tool of strategic communication, and how organizational identity is constructed through these discourses. The research adopts a qualitative approach in the form of critical discourse analysis. The empirical material consists of publicly available organizational publications, including sustainability reports, annual reports, blog posts, and social media content from eleven European</w:t>
      </w:r>
    </w:p>
    <w:p>
      <w:pPr/>
      <w:r>
        <w:rPr>
          <w:b/>
        </w:rPr>
        <w:t>POSSIBLE 2026:</w:t>
      </w:r>
      <w:r>
        <w:t xml:space="preserve"> Governance logics and foresight functions: European strategic foresight in contrastive perspective — https://doi.org/10.1186/s40309-026-00278-8</w:t>
      </w:r>
    </w:p>
    <w:p>
      <w:pPr/>
      <w:r>
        <w:rPr>
          <w:b/>
        </w:rPr>
        <w:t>Shared claim-specific concepts:</w:t>
      </w:r>
      <w:r>
        <w:t xml:space="preserve"> qualitative, strategic, support, network, different, comparison; EU scope visible. This is a provisional connection, not an outcome finding.</w:t>
      </w:r>
    </w:p>
    <w:p>
      <w:pPr>
        <w:pStyle w:val="SourceNote"/>
      </w:pPr>
      <w:r>
        <w:rPr>
          <w:b/>
        </w:rPr>
        <w:t>Available abstract (not full text):</w:t>
      </w:r>
      <w:r>
        <w:t xml:space="preserve"> Foresight methods are often treated as transferable tools whose selection depends mainly on the object of analysis, the time horizon or the available data. This article argues that such a view is incomplete because foresight methods are embedded in governance settings and perform different institutional functions across them. The article does not claim that the context-dependence of foresight methods is new per se. Rather, it contributes by specifying this context-dependence through the lens of governance logics and by showing how the same foresight methods perform different institutional functions across technocratic, market-managerial, networked and anticipatory governance settings. The purpose of the article is to develop a governance-sensitive framework that links foresight methods to institutional functions in public decision-making. Empirically, the article uses a contrastive case design. The European Union is treated as the focal case of institutionalised strategic foresight in a multi-level governance system, while Japan and South Korea serve as secondary contrastive cases. The design does not seek a fully symmetrical country-by-country comparison. Rather, it uses the Japanese and South Korean cases to contrast the EU trajectory with alternative governance settings in which foresight remains more strongly linked to technocratic priority-setting, developmental planning o</w:t>
      </w:r>
    </w:p>
    <w:p>
      <w:pPr/>
      <w:r>
        <w:rPr>
          <w:b/>
        </w:rPr>
        <w:t>POSSIBLE 2026:</w:t>
      </w:r>
      <w:r>
        <w:t xml:space="preserve"> The European Union's policy toward Latin America in the context of renewed strategic competition — https://doi.org/10.5281/zenodo.19131164</w:t>
      </w:r>
    </w:p>
    <w:p>
      <w:pPr/>
      <w:r>
        <w:rPr>
          <w:b/>
        </w:rPr>
        <w:t>Shared claim-specific concepts:</w:t>
      </w:r>
      <w:r>
        <w:t xml:space="preserve"> qualitative, strategic, main; EU scope visible. This is a provisional connection, not an outcome finding.</w:t>
      </w:r>
    </w:p>
    <w:p>
      <w:pPr>
        <w:pStyle w:val="SourceNote"/>
      </w:pPr>
      <w:r>
        <w:rPr>
          <w:b/>
        </w:rPr>
        <w:t>Available abstract (not full text):</w:t>
      </w:r>
      <w:r>
        <w:t xml:space="preserve"> In the context of intensifying global strategic competition, Latin America is emerging as a geopolitical and geoeconomic space of growing importance. This paper explores the transformation of the European Union’s (EU) approach toward the region, highlighting a shift from a development aid-oriented model toward a more strategic and interest-driven engagement focused on supply chain security, access to critical resources, and the promotion of green and digital transitions. Grounded in international political economy frameworks, the analysis examines the EU’s main policy tools, including the modernization of free trade agreements, the Global Gateway initiative, development partnerships, and multilateral engagement. The paper indicates that the EU’s policy adjustment creates opportunities as well as challenges for Latin American countries amid intensifying competition among major powers, particularly between the United States and China. It argues that the benefits derived from this policy shift will depend on institutional capacity, long-term development strategies, and the ability to balance economic objectives, policy autonomy, and sustainability within a changing global order. This study has certain limitations related to its qualitative approach and reliance on secondary sources, which may not fully capture the diversity of national responses across Latin America.</w:t>
      </w:r>
    </w:p>
    <w:p>
      <w:pPr/>
      <w:r>
        <w:rPr>
          <w:b/>
        </w:rPr>
        <w:t>POSSIBLE 2025:</w:t>
      </w:r>
      <w:r>
        <w:t xml:space="preserve"> Disinformation as a Tool of Hybrid Action: Security, Political and Strategic Challenges for the European Union — https://doi.org/10.36682/a_2025_1_2</w:t>
      </w:r>
    </w:p>
    <w:p>
      <w:pPr/>
      <w:r>
        <w:rPr>
          <w:b/>
        </w:rPr>
        <w:t>Shared claim-specific concepts:</w:t>
      </w:r>
      <w:r>
        <w:t xml:space="preserve"> qualitative, tool, strategic, main; EU scope visible. This is a provisional connection, not an outcome finding.</w:t>
      </w:r>
    </w:p>
    <w:p>
      <w:pPr>
        <w:pStyle w:val="SourceNote"/>
      </w:pPr>
      <w:r>
        <w:rPr>
          <w:b/>
        </w:rPr>
        <w:t>Available abstract (not full text):</w:t>
      </w:r>
      <w:r>
        <w:t xml:space="preserve"> The article analyses disinformation as a key tool of hybrid warfare in the current deteriorating security situation and an environment marked by strategic uncertainty and instability, where the confrontation between democratic and authoritarian regimes is intensifying. In this context, disinformation has ceased to be merely a marginal phenomenon; instead, it has become a systematic tool for undermining democratic institutions, polarizing society, and eroding public trust. In this context, the European Union faces a growing need to safeguard the information space through coordinated measures at both domestic and international levels. The article draws on qualitative and comparative analyses of political strategies and documents, identifying the main weaknesses of current approaches and proposes strategic priorities, including the establishment of a legally binding framework, the strengthening of media literacy, the enhancement of technological capacities, and the promotion of global norm-setting. The article concludes by emphasizing that a successful response to disinformation requires not only technical solutions but, more importantly, educated, resilient, and critically minded citizens as the cornerstone of democratic society.</w:t>
      </w:r>
    </w:p>
    <w:p>
      <w:pPr>
        <w:pStyle w:val="Heading2"/>
      </w:pPr>
      <w:r>
        <w:t>983. Suitability of European climate for the Asian tiger mosquito Aedes albopictus : recent trends and future scenarios</w:t>
      </w:r>
    </w:p>
    <w:p>
      <w:pPr>
        <w:pStyle w:val="SourceNote"/>
      </w:pPr>
      <w:r>
        <w:rPr>
          <w:b/>
        </w:rPr>
        <w:t>Original source (2012):</w:t>
      </w:r>
      <w:r>
        <w:t xml:space="preserve"> https://doi.org/10.1098/rsif.2012.0138</w:t>
      </w:r>
    </w:p>
    <w:p>
      <w:pPr/>
      <w:r>
        <w:t>Original wording (abstract; indexed_source_text_not_full_document_verified): Similar trends are likely in the future, with an increased risk simulated over northern Europe and slightly decreased risk over southern Europe. These distribution shifts are related to wetter and warmer conditions favouring the overwintering of A. albopictus in the north, and drier and warmer summers that might limit its southward expansion.</w:t>
      </w:r>
    </w:p>
    <w:p>
      <w:pPr/>
      <w:r>
        <w:rPr>
          <w:b/>
        </w:rPr>
        <w:t>POSSIBLE 2026:</w:t>
      </w:r>
      <w:r>
        <w:t xml:space="preserve"> Partisan Differences in Risk‐Taking in a Simulated Pandemic — https://doi.org/10.1002/bdm.70066</w:t>
      </w:r>
    </w:p>
    <w:p>
      <w:pPr/>
      <w:r>
        <w:rPr>
          <w:b/>
        </w:rPr>
        <w:t>Shared claim-specific concepts:</w:t>
      </w:r>
      <w:r>
        <w:t xml:space="preserve"> likely, simulated, conditions; EU scope not established. This is a provisional connection, not an outcome finding.</w:t>
      </w:r>
    </w:p>
    <w:p>
      <w:pPr>
        <w:pStyle w:val="SourceNote"/>
      </w:pPr>
      <w:r>
        <w:rPr>
          <w:b/>
        </w:rPr>
        <w:t>Available abstract (not full text):</w:t>
      </w:r>
      <w:r>
        <w:t xml:space="preserve"> ABSTRACT Responses to COVID‐19 in the United States were split along partisan political lines throughout the pandemic. People on the political left tended to take the medical threat more seriously and were more likely to adopt preventive health behaviors than those on the political right, resulting in clear differences in state‐level policies and health consequences. Here, we examine the origins of these differences, investigating whether they are based on interindividual differences or in party dynamics. Two groups of participants (), who had voted either for Donald Trump or Hillary Clinton in 2016, played the Transmission Game. Players made repeated decisions in a simulated pandemic that involved a trade‐off between increasing their expected personal payoff and reducing the chance of a total payoff‐loss for themselves and others. In four experimental conditions, the study framing (neutral or pandemic) was crossed with the presence (or absence) of a normative intervention aimed at reducing risk‐taking. We observed systematic partisan differences in all conditions, with Republicans taking more risk than Democrats, even in neutrally framed conditions—supporting the idea of interindividual differences between voter groups beyond party dynamics. At the same time, both normative interventions and the pandemic framing reduced risk‐taking and expected infection rates in both voter gr</w:t>
      </w:r>
    </w:p>
    <w:p>
      <w:pPr/>
      <w:r>
        <w:rPr>
          <w:b/>
        </w:rPr>
        <w:t>POSSIBLE 2025:</w:t>
      </w:r>
      <w:r>
        <w:t xml:space="preserve"> #148 Impact of targeted screening in high-risk individuals and guideline-directed medical therapy on CKD burden in Europe: projections from IMPACT CKD — https://doi.org/10.1093/ndt/gfaf116.047</w:t>
      </w:r>
    </w:p>
    <w:p>
      <w:pPr/>
      <w:r>
        <w:rPr>
          <w:b/>
        </w:rPr>
        <w:t>Shared claim-specific concepts:</w:t>
      </w:r>
      <w:r>
        <w:t xml:space="preserve"> similar, trends, increased, simulated, over, slightly; EU scope visible. This is a provisional connection, not an outcome finding.</w:t>
      </w:r>
    </w:p>
    <w:p>
      <w:pPr>
        <w:pStyle w:val="SourceNote"/>
      </w:pPr>
      <w:r>
        <w:rPr>
          <w:b/>
        </w:rPr>
        <w:t>Available abstract (not full text):</w:t>
      </w:r>
      <w:r>
        <w:t xml:space="preserve"> Abstract Background and Aims Chronic kidney disease (CKD) is a significant and growing health issue in Europe that remains underdiagnosed and undertreated. This contributes to CKD progression, increased risks of cardiovascular (CV) events, death, and increased need for resource-intensive kidney replacement therapy (KRT; i.e., dialysis and transplantation). While early identification and intervention in high-risk populations, such as those with diabetes mellitus (DM) and hypertension (HTN), have shown cost-effectiveness, the broader impact of screening combined with guideline-directed medical therapy (GDMT) on CKD burden is underexplored. This study examined the impact of targeted screening and improved GDMT adherence on the holistic population level burden of CKD in Europe. Method A European aggregate population comprised of four country populations (Germany, Netherlands, Spain, United Kingdom [UK]) was simulated for 25-years (baseline: 2022; simulated years: 2023–2047) using the validated IMPACT CKD model to compare two scenarios: annual targeted CKD screening for patients with comorbidities (including DM, HTN, heart failure, history of myocardial infarction, and history of stroke), over the age of 45 years combined with 75% adherence to GDMT versus current practice (i.e., underdiagnosis and low treatment rates). Targeted screening involved estimated glomerular filtration rate</w:t>
      </w:r>
    </w:p>
    <w:p>
      <w:pPr/>
      <w:r>
        <w:rPr>
          <w:b/>
        </w:rPr>
        <w:t>POSSIBLE 2025:</w:t>
      </w:r>
      <w:r>
        <w:t xml:space="preserve"> Trends in relative and absolute mobility of homeownership in Europe — https://doi.org/10.31219/osf.io/zdu2n_v1</w:t>
      </w:r>
    </w:p>
    <w:p>
      <w:pPr/>
      <w:r>
        <w:rPr>
          <w:b/>
        </w:rPr>
        <w:t>Shared claim-specific concepts:</w:t>
      </w:r>
      <w:r>
        <w:t xml:space="preserve"> similar, trends, likely, increased, distribution; EU scope visible. This is a provisional connection, not an outcome finding.</w:t>
      </w:r>
    </w:p>
    <w:p>
      <w:pPr>
        <w:pStyle w:val="SourceNote"/>
      </w:pPr>
      <w:r>
        <w:rPr>
          <w:b/>
        </w:rPr>
        <w:t>Available abstract (not full text):</w:t>
      </w:r>
      <w:r>
        <w:t xml:space="preserve"> Homeownership has declined among younger generations in most European countries. A common assumption is that this trend is increasingly stratified by parental homeownership, due to worsening affordability and the growing importance of parental financial support. In this study, we show that this assumption does not hold for the average European. Using data from EU-SILC 2011 and 2019 across 27 European countries, we examine trends in both relative and absolute mobility of homeownership for cohorts born between 1950 and 1984. We find that individuals with homeowner parents are more likely to own a home than those with renter parents, but this difference remains stable across cohorts. This stability in relative mobility masks important and counteracting trends in absolute mobility: downward mobility increased from 16% to 36%, while upward mobility declined from 25% to 9% between those born in the 1950s and 1980s. While the absolute decline in upward mobility is smaller, its impact on relative mobility is greater due to the high and growing share of individuals with homeowner parents. The importance of the underlying distribution of parental homeownership is also evident in cross-national comparisons. While absolute mobility follows similar trends across countries, relative mobility has increased in some and declined in others. Country case studies suggest that differences in the pr</w:t>
      </w:r>
    </w:p>
    <w:p>
      <w:pPr/>
      <w:r>
        <w:rPr>
          <w:b/>
        </w:rPr>
        <w:t>POSSIBLE 2024:</w:t>
      </w:r>
      <w:r>
        <w:t xml:space="preserve"> Trends in Air Pollution in Europe, 2000–2019 — https://doi.org/10.4209/aaqr.230237</w:t>
      </w:r>
    </w:p>
    <w:p>
      <w:pPr/>
      <w:r>
        <w:rPr>
          <w:b/>
        </w:rPr>
        <w:t>Shared claim-specific concepts:</w:t>
      </w:r>
      <w:r>
        <w:t xml:space="preserve"> similar, trends, over, slightly, decreased; EU scope visible. This is a provisional connection, not an outcome finding.</w:t>
      </w:r>
    </w:p>
    <w:p>
      <w:pPr>
        <w:pStyle w:val="SourceNote"/>
      </w:pPr>
      <w:r>
        <w:rPr>
          <w:b/>
        </w:rPr>
        <w:t>Available abstract (not full text):</w:t>
      </w:r>
      <w:r>
        <w:t xml:space="preserve"> This paper encompasses an assessment of air pollution trends in rural environments in Europe over the 2000–2019 period, benefiting from extensive long-term observational data from the EMEP monitoring network and EMEP MSC-W model computations. The trends in pollutant concentrations align with the decreasing emission patterns observed throughout Europe. Annual average concentrations of sulfur dioxide, particulate sulfate, and sulfur wet deposition have shown consistent declines of 3-4% annually since 2000. Similarly, oxidized nitrogen species have markedly decreased across Europe, with an annual reduction of 1.5-2% in nitrogen dioxide concentrations, total nitrate in the air, and oxidized nitrogen deposition. Notably, emission reductions and model predictions appear to slightly surpass the observed declines in sulfur and oxidized nitrogen, indicating a potential overestimation of reported emission reductions. Ammonia emissions have decreased less compared to other pollutants since 2000. Significant reductions in particulate ammonium have however, been achieved due to the impact of reductions in SOx and NOx emissions. For ground level ozone, both the observed and modelled peak levels in summer show declining trends, although the observed decline is smaller than modelled. There have been substantial annual reductions of 1.8% and 2.4% in the concentrations of PM10 and PM2.5, respect</w:t>
      </w:r>
    </w:p>
    <w:p>
      <w:pPr/>
      <w:r>
        <w:rPr>
          <w:b/>
        </w:rPr>
        <w:t>POSSIBLE 2024:</w:t>
      </w:r>
      <w:r>
        <w:t xml:space="preserve"> Estimating the potential risk of transmission of arboviruses in the Americas and Europe: a modelling study — https://doi.org/10.1016/s2542-5196(23)00252-8</w:t>
      </w:r>
    </w:p>
    <w:p>
      <w:pPr/>
      <w:r>
        <w:rPr>
          <w:b/>
        </w:rPr>
        <w:t>Shared claim-specific concepts:</w:t>
      </w:r>
      <w:r>
        <w:t xml:space="preserve"> southern, distribution, albopictus; EU scope visible. This is a provisional connection, not an outcome finding.</w:t>
      </w:r>
    </w:p>
    <w:p>
      <w:pPr>
        <w:pStyle w:val="SourceNote"/>
      </w:pPr>
      <w:r>
        <w:rPr>
          <w:b/>
        </w:rPr>
        <w:t>Available abstract (not full text):</w:t>
      </w:r>
      <w:r>
        <w:t xml:space="preserve"> BACKGROUND: Estimates of the spatiotemporal distribution of different mosquito vector species and the associated risk of transmission of arboviruses are key to design adequate policies for preventing local outbreaks and reducing the number of human infections in endemic areas. In this study, we quantified the abundance of Aedes albopictus and Aedes aegypti and the local transmission potential for three arboviral infections at an unprecedented spatiotemporal resolution in areas where no entomological surveillance is available. METHODS: We developed a computational model to quantify the daily abundance of Aedes mosquitoes, leveraging temperature and precipitation records. The model was calibrated on mosquito surveillance data collected in 115 locations in Europe and the Americas between 2007 and 2018. Model estimates were used to quantify the reproduction number of dengue virus, Zika virus, and chikungunya in Europe and the Americas, at a high spatial resolution. FINDINGS: when compared with A albopictus. Our estimates highlighted that these arboviruses were endemic in tropical and subtropical countries, with the highest risks of transmission found in central America, Venezuela, Colombia, and central-east Brazil. A non-negligible potential risk of transmission was also estimated for Florida, Texas, and Arizona (USA). The broader ecological niche of A albopictus could contribute t</w:t>
      </w:r>
    </w:p>
    <w:p>
      <w:pPr/>
      <w:r>
        <w:rPr>
          <w:b/>
        </w:rPr>
        <w:t>POSSIBLE 2024:</w:t>
      </w:r>
      <w:r>
        <w:t xml:space="preserve"> Carbon and Greenhouse Gas Budgets of Europe: Trends, Interannual and Spatial Variability, and Their Drivers — https://doi.org/10.1029/2024gb008141</w:t>
      </w:r>
    </w:p>
    <w:p>
      <w:pPr/>
      <w:r>
        <w:rPr>
          <w:b/>
        </w:rPr>
        <w:t>Shared claim-specific concepts:</w:t>
      </w:r>
      <w:r>
        <w:t xml:space="preserve"> trends, over, northern, southern; EU scope visible. This is a provisional connection, not an outcome finding.</w:t>
      </w:r>
    </w:p>
    <w:p>
      <w:pPr>
        <w:pStyle w:val="SourceNote"/>
      </w:pPr>
      <w:r>
        <w:rPr>
          <w:b/>
        </w:rPr>
        <w:t>Available abstract (not full text):</w:t>
      </w:r>
      <w:r>
        <w:t xml:space="preserve"> Abstract In the framework of the RECCAP2 initiative, we present the greenhouse gas (GHG) and carbon (C) budget of Europe. For the decade of the 2010s, we present a bottom‐up (BU) estimate of GHG net‐emissions of 3.9 Pg CO 2 ‐eq. yr −1 (using a global warming potential on a 100 years horizon), which are largely dominated by fossil fuel emissions. In this decade, terrestrial ecosystems acted as a net GHG sink of 0.9 Pg CO 2 ‐eq. yr −1 , dominated by a CO 2 sink that was partially counterbalanced by net emissions of CH 4 and N 2 O. For CH 4 and N 2 O, we find good agreement between BU and top‐down (TD) estimates from atmospheric inversions. However, our BU land CO 2 sink is significantly higher than the TD estimates. We further show that decadal averages of GHG net‐emissions have declined by 1.2 Pg CO 2 ‐eq. yr −1 since the 1990s, mainly due to a reduction in fossil fuel emissions. In addition, based on both data driven BU and TD estimates, we also find that the land CO 2 sink has weakened over the past two decades. A large part of the European CO 2 and C sinks is located in Northern Europe. At the same time, we find a decreasing trend in sink strength in Scandinavia, which can be attributed to an increase in forest management intensity. These are partly offset by increasing CO 2 sinks in parts of Eastern Europe and Northern Spain, attributed in part to land use change. Extensive </w:t>
      </w:r>
    </w:p>
    <w:p>
      <w:pPr/>
      <w:r>
        <w:rPr>
          <w:b/>
        </w:rPr>
        <w:t>POSSIBLE 2023:</w:t>
      </w:r>
      <w:r>
        <w:t xml:space="preserve"> Youth Sport Participation Trends Across Europe: Implications for Policy and Practice — https://doi.org/10.1080/02701367.2022.2148623</w:t>
      </w:r>
    </w:p>
    <w:p>
      <w:pPr/>
      <w:r>
        <w:rPr>
          <w:b/>
        </w:rPr>
        <w:t>Shared claim-specific concepts:</w:t>
      </w:r>
      <w:r>
        <w:t xml:space="preserve"> trends, likely, increased, over; EU scope visible. This is a provisional connection, not an outcome finding.</w:t>
      </w:r>
    </w:p>
    <w:p>
      <w:pPr>
        <w:pStyle w:val="SourceNote"/>
      </w:pPr>
      <w:r>
        <w:rPr>
          <w:b/>
        </w:rPr>
        <w:t>Available abstract (not full text):</w:t>
      </w:r>
      <w:r>
        <w:t xml:space="preserve"> Purpose: Despite the known health and wellbeing benefits of taking part in sport for children and adolescents, it is reported that sports participation declines during adolescence. The purpose of this study was to explore current organized youth sport participation rates across Europe for both males and females and update current understanding. Method: Sport participation registration data was collected for 18 sports from 27 countries. In total, participation data was collected from over 5 million young people from Under 8s (U8s) to Under 18s (U18s). Differences in the participation rates between age categories were investigated using a generalized linear mixed effects model. Results: Overall, males were four times more likely to participate in organised youth sport than females’ participants, with this trend apparent across all age categories and across most sports. There was a significant decrease across sports in participation rates for males during adolescence from U14-U16 and U16-U18. There was a significant decrease in participation rates for females from U14-U16 for most sports except but an increase in participation rates from U16-U18 for 12 out of 18 sports. Soccer (1262%), wrestling (391%) and boxing (209%) were the sports that had greater male sport participation rates. In contrast, dance sports (86%) and volleyball (63%) had more female participants than males. This</w:t>
      </w:r>
    </w:p>
    <w:p>
      <w:pPr/>
      <w:r>
        <w:rPr>
          <w:b/>
        </w:rPr>
        <w:t>POSSIBLE 2023:</w:t>
      </w:r>
      <w:r>
        <w:t xml:space="preserve"> Modeled Multidecadal Trends of Lightning and (Very) Large Hail in Europe and North America (1950–2021) — https://doi.org/10.1175/jamc-d-22-0195.1</w:t>
      </w:r>
    </w:p>
    <w:p>
      <w:pPr/>
      <w:r>
        <w:rPr>
          <w:b/>
        </w:rPr>
        <w:t>Shared claim-specific concepts:</w:t>
      </w:r>
      <w:r>
        <w:t xml:space="preserve"> trends, likely, simulated, northern, southern, north; EU scope visible. This is a provisional connection, not an outcome finding.</w:t>
      </w:r>
    </w:p>
    <w:p>
      <w:pPr>
        <w:pStyle w:val="SourceNote"/>
      </w:pPr>
      <w:r>
        <w:rPr>
          <w:b/>
        </w:rPr>
        <w:t>Available abstract (not full text):</w:t>
      </w:r>
      <w:r>
        <w:t xml:space="preserve"> Abstract We have developed additive logistic models for the occurrence of lightning, large hail (≥2 cm), and very large hail (≥5 cm) to investigate the evolution of these hazards in the past, in the future, and for forecasting applications. The models, trained with lightning observations, hail reports, and predictors from atmospheric reanalysis, assign an hourly probability to any location and time on a 0.25° × 0.25° × 1-hourly grid as a function of reanalysis-derived predictor parameters, selected following an ingredients-based approach. The resulting hail models outperform the significant hail parameter, and the simulated climatological spatial distributions and annual cycles of lightning and hail are consistent with observations from storm report databases, radar, and lightning detection data. As a corollary result, CAPE released above the −10°C isotherm was found to be a more universally skillful predictor for large hail than CAPE. In the period 1950–2021, the models applied to the ERA5 reanalysis indicate significant increases of lightning and hail across most of Europe, primarily due to rising low-level moisture. The strongest modeled hail increases occur in northern Italy with increasing rapidity after 2010. Here, very large hail has become 3 times more likely than it was in the 1950s. Across North America trends are comparatively small, apart from isolated significant i</w:t>
      </w:r>
    </w:p>
    <w:p>
      <w:pPr/>
      <w:r>
        <w:rPr>
          <w:b/>
        </w:rPr>
        <w:t>POSSIBLE 2023:</w:t>
      </w:r>
      <w:r>
        <w:t xml:space="preserve"> The future ozone trends in changing climate simulated with SOCOLv4 — https://doi.org/10.5194/acp-23-4801-2023</w:t>
      </w:r>
    </w:p>
    <w:p>
      <w:pPr/>
      <w:r>
        <w:rPr>
          <w:b/>
        </w:rPr>
        <w:t>Shared claim-specific concepts:</w:t>
      </w:r>
      <w:r>
        <w:t xml:space="preserve"> trends, likely, simulated, over; EU scope not established. This is a provisional connection, not an outcome finding.</w:t>
      </w:r>
    </w:p>
    <w:p>
      <w:pPr>
        <w:pStyle w:val="SourceNote"/>
      </w:pPr>
      <w:r>
        <w:rPr>
          <w:b/>
        </w:rPr>
        <w:t>Available abstract (not full text):</w:t>
      </w:r>
      <w:r>
        <w:t xml:space="preserve"> Abstract. This study evaluates the future evolution of atmospheric ozone between 2015 and 2099 simulated with the Earth System Model (ESM) SOCOLv4. Simulations have been performed based on two potential Shared Socioeconomic Pathways (SSP): the “middle-of-the-road” (SSP2-4.5) and “fossil-fueled” (SSP5-8.5) scenarios. In both scenarios, the model projects a decline in tropospheric ozone in the future that starts in the 2030s in SSP2-4.5 and after the 2060s in SSP5-8.5 due to a decrease in concentrations of ozone precursors like NOx and CO. The results also suggest a very likely ozone increase in the mesosphere, upper and middle stratosphere, as well as at high latitudes of the lower stratosphere. Under SSP5-8.5, the ozone increase in the stratosphere is higher because of stronger cooling (&gt; 1 °K/decade) induced by the greenhouse gases (GHG), which slows the catalytic ozone destruction cycles. In contrast, in the tropical lower stratosphere ozone concentrations decrease in both experiments and increase over the middle and high latitudes of both hemispheres due to the intensification of meridional transport, which is stronger in SSP5-8.5. No evidence was found of a decline in ozone levels in the lower stratosphere at mid-latitudes. In both future scenarios, the total column ozone is expected to be distinctly higher than present in mid-to-high latitudes and might be lower in the tro</w:t>
      </w:r>
    </w:p>
    <w:p>
      <w:pPr/>
      <w:r>
        <w:rPr>
          <w:b/>
        </w:rPr>
        <w:t>POSSIBLE 2022:</w:t>
      </w:r>
      <w:r>
        <w:t xml:space="preserve"> The European Context — https://doi.org/10.1093/oso/9780197512067.003.0004</w:t>
      </w:r>
    </w:p>
    <w:p>
      <w:pPr/>
      <w:r>
        <w:rPr>
          <w:b/>
        </w:rPr>
        <w:t>Shared claim-specific concepts:</w:t>
      </w:r>
      <w:r>
        <w:t xml:space="preserve"> similar, trends, likely, increased; EU scope visible. This is a provisional connection, not an outcome finding.</w:t>
      </w:r>
    </w:p>
    <w:p>
      <w:pPr>
        <w:pStyle w:val="SourceNote"/>
      </w:pPr>
      <w:r>
        <w:rPr>
          <w:b/>
        </w:rPr>
        <w:t>Available abstract (not full text):</w:t>
      </w:r>
      <w:r>
        <w:t xml:space="preserve"> Abstract Abstract: To understand the potential future of working longer in America, we compare trends in health and employment in Europe with those in the United States. While health in Europe improved between 2004 and 2018 among older adults (aged 65 to 85), we find the opposite for middle-aged adults (aged 50 to 64). In this respect, Europe is experiencing negative developments similar to those in the United States. In terms of employment, however, Europe is different than the United States. We do not find any sign that employment rates of middle-aged individuals are stagnating or falling. On the contrary, employment has increased steadily since the late 1990s. It is too early to conclude what implications the stalling health trend of the middle-aged cohorts will have for labor force participation among older Europeans in 10 or 15 years. We argue that economic considerations, such as public pension and disability insurance policies, are likely to continue to have a greater influence on rates of early retirement than health.</w:t>
      </w:r>
    </w:p>
    <w:p>
      <w:pPr/>
      <w:r>
        <w:rPr>
          <w:b/>
        </w:rPr>
        <w:t>POSSIBLE 2021:</w:t>
      </w:r>
      <w:r>
        <w:t xml:space="preserve"> Trends in singlehood in young adulthood in Europe — https://doi.org/10.1016/j.alcr.2021.100449</w:t>
      </w:r>
    </w:p>
    <w:p>
      <w:pPr/>
      <w:r>
        <w:rPr>
          <w:b/>
        </w:rPr>
        <w:t>Shared claim-specific concepts:</w:t>
      </w:r>
      <w:r>
        <w:t xml:space="preserve"> trends, increased, over, shifts; EU scope visible. This is a provisional connection, not an outcome finding.</w:t>
      </w:r>
    </w:p>
    <w:p>
      <w:pPr>
        <w:pStyle w:val="SourceNote"/>
      </w:pPr>
      <w:r>
        <w:rPr>
          <w:b/>
        </w:rPr>
        <w:t>Available abstract (not full text):</w:t>
      </w:r>
      <w:r>
        <w:t xml:space="preserve"> Cultural and economic shifts such as increasing individualization and labor market uncertainty may have resulted in an increase in singlehood after leaving home. Using data from the European Social Survey, we compare cohorts born between 1930 and 1989 in 30 European countries. We show that there has been an increase in singlehood after leaving home, but primarily among women. Whereas the percentage of women who have lived in singlehood after leaving home increased with 11 percentage points from 41% to 52%, men experienced only a 3 percentage points' increase from 59% to 62%. This stronger trend among women could be the result of their increasing educational attainment and earning capacity. Event-history analyses show that the duration of singlehood has not changed over time. We call for more research on singlehood after leaving home as an event of interest during the transition to adulthood. As more than 50% of young adults nowadays live in singlehood after leaving home, singlehood is a key part of the transition to adulthood that deserves explicit attention.</w:t>
      </w:r>
    </w:p>
    <w:p>
      <w:pPr/>
      <w:r>
        <w:rPr>
          <w:b/>
        </w:rPr>
        <w:t>POSSIBLE 2021:</w:t>
      </w:r>
      <w:r>
        <w:t xml:space="preserve"> Dealing with trend uncertainty in empirical estimates of European rainfall climate for insurance risk management — https://doi.org/10.1002/met.2008</w:t>
      </w:r>
    </w:p>
    <w:p>
      <w:pPr/>
      <w:r>
        <w:rPr>
          <w:b/>
        </w:rPr>
        <w:t>Shared claim-specific concepts:</w:t>
      </w:r>
      <w:r>
        <w:t xml:space="preserve"> trends, related; EU scope visible. This is a provisional connection, not an outcome finding.</w:t>
      </w:r>
    </w:p>
    <w:p>
      <w:pPr>
        <w:pStyle w:val="SourceNote"/>
      </w:pPr>
      <w:r>
        <w:rPr>
          <w:b/>
        </w:rPr>
        <w:t>Available abstract (not full text):</w:t>
      </w:r>
      <w:r>
        <w:t xml:space="preserve"> Abstract The insurance industry uses mathematical models to estimate the risks due to future natural catastrophes. For climate‐related risks, historical climate data are a key ingredient used in making the models. Historical data for temperature and sea level often show clear and readily quantified climate change driven trends, and these trends would typically be accounted for when building risk models by adjusting earlier values to render the earlier data relevant to the future climate. For other climate variables, such as rainfall in many parts of the world, the questions of whether there are climate change driven trends in the historical data, and how to quantify them if there are, are less simple to answer. We investigate these questions in the context of European rainfall with a specific focus on how to deal with the uncertainty around trend estimates. We compare 10 empirical methodologies that one might use to model and predict trends, including traditional statistical testing and alternatives to statistical testing based on standard methods from model selection and model averaging. We emphasize prediction and risk assessment, rather than detection of trends, as our goal. Viewed in terms of this goal, the methods we consider each have qualitative and quantitative advantages and disadvantages. Understanding these advantages and disadvantages can help risk modellers make a </w:t>
      </w:r>
    </w:p>
    <w:p>
      <w:pPr>
        <w:pStyle w:val="Heading2"/>
      </w:pPr>
      <w:r>
        <w:t>984. Ten years of health workforce planning in the Netherlands: a tentative evaluation of GP planning as an example</w:t>
      </w:r>
    </w:p>
    <w:p>
      <w:pPr>
        <w:pStyle w:val="SourceNote"/>
      </w:pPr>
      <w:r>
        <w:rPr>
          <w:b/>
        </w:rPr>
        <w:t>Original source (2012):</w:t>
      </w:r>
      <w:r>
        <w:t xml:space="preserve"> https://doi.org/10.1186/1478-4491-10-21</w:t>
      </w:r>
    </w:p>
    <w:p>
      <w:pPr/>
      <w:r>
        <w:t>Original wording (abstract; indexed_source_text_not_full_document_verified): A comparison is made of the results of different scenarios for different years.</w:t>
      </w:r>
    </w:p>
    <w:p>
      <w:pPr/>
      <w:r>
        <w:rPr>
          <w:b/>
        </w:rPr>
        <w:t>POSSIBLE 2026:</w:t>
      </w:r>
      <w:r>
        <w:t xml:space="preserve"> A comparison of methods for thermodynamic calculation of explosives used in Europe — https://doi.org/10.1201/9781003762010-4</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A comparison of calculation results for a number of benchmark compositions, carried out with codes and methods from different sources throughout Europe has been made, the outcome being that in some cases significant differences may be encountered, depending on the calculation method. This leads to the conclusion that, for thermodynamic data on explosives to be really meaningful, and for exchange and comparison purposes amongst different manufactures, a common calculation method must be chosen. This paper presents some of the work that is being performed with this aim, and gives some details of the different calculation methods and thermodynamic data used in some European countries, which will form the basis for setting up a common calculation procedure.</w:t>
      </w:r>
    </w:p>
    <w:p>
      <w:pPr/>
      <w:r>
        <w:rPr>
          <w:b/>
        </w:rPr>
        <w:t>POSSIBLE 2023:</w:t>
      </w:r>
      <w:r>
        <w:t xml:space="preserve"> Science with the Einstein Telescope: a comparison of different designs — https://doi.org/10.1088/1475-7516/2023/07/068</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Abstract The Einstein Telescope (ET), the European project for a third-generation gravitational-wave detector, has a reference configuration based on a triangular shape consisting of three nested detectors with 10 km arms, where each detector has a 'xylophone' configuration made of an interferometer tuned toward high frequencies, and an interferometer tuned toward low frequencies and working at cryogenic temperature. Here, we examine the scientific perspectives under possible variations of this reference design. We perform a detailed evaluation of the science case for a single triangular geometry observatory, and we compare it with the results obtained for a network of two L-shaped detectors (either parallel or misaligned) located in Europe, considering different choices of arm-length for both the triangle and the 2L geometries. We also study how the science output changes in the absence of the low-frequency instrument, both for the triangle and the 2L configurations. We examine a broad class of simple 'metrics' that quantify the science output, related to compact binary coalescences, multi-messenger astronomy and stochastic backgrounds, and we then examine the impact of different detector designs on a more specific set of scientific objectives.</w:t>
      </w:r>
    </w:p>
    <w:p>
      <w:pPr/>
      <w:r>
        <w:rPr>
          <w:b/>
        </w:rPr>
        <w:t>POSSIBLE 2019:</w:t>
      </w:r>
      <w:r>
        <w:t xml:space="preserve"> The five different types of European welfare model — https://doi.org/10.4337/9781789905564.00012</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The chapter outlines the existing welfare models in Europe. Welfare states are national projects and each has emerged and developed according to the conditions in its own society. This explains the diversity of the established welfare systems in the EU. National conditions with regard to political culture, social and class structures and the balance of power between social groups can also explain the design of welfare institutions in the clusters of welfare state regimes identified. These differences also explain why levels of social spending differ so much and why welfare services are provided in different ways. A comparison is made between the major characteristics of the systems to obtain a clearer view of different welfare regimes in Europe. This provides the context for when recent developments in the welfare arrangements of EU member states are examined in subsequent chapters.</w:t>
      </w:r>
    </w:p>
    <w:p>
      <w:pPr/>
      <w:r>
        <w:rPr>
          <w:b/>
        </w:rPr>
        <w:t>POSSIBLE 2018:</w:t>
      </w:r>
      <w:r>
        <w:t xml:space="preserve"> Comparison of LSG‐design according to German and European Standards — https://doi.org/10.1002/cepa.913</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ABSTRACT Recently the German standard for design of glass structures DIN 18008 [1] was revised; an updated version [2] was published as draft version by May 2018. On European level, the two codes EN16612 [3] and EN16613 [4] for design of “infill‐panels” have been published after long period of working on it. The work on Eurocode for Glass is not finished yet, but first ideas do exist. In this paper, the design of Laminated Safety Glass (LSG) according to German design standard DIN 18008 (2010 and 2018) and the European EN16612 with EN16613 (2017) will be compared. As German design standard does not allow using the effect of shear transfer, the application of National Technical Approvals (“allgemeine bauaufsichtliche Zulassung”) together with DIN 18008 for taking shear transfer of interlayer into consideration will be looked at. In the first part, design equations are reviewed, including different values of used material parameters, simplified formulas and safety factors. As the different approaches and assumptions do not make a comparison easy, several examples are calculated to be able to illustrate the differences showing calculation results. In addition, restrictions of different codes are explained. Finally, a link to actual research work on the field of characterizing interlayer materials is made.</w:t>
      </w:r>
    </w:p>
    <w:p>
      <w:pPr/>
      <w:r>
        <w:rPr>
          <w:b/>
        </w:rPr>
        <w:t>POSSIBLE 2015:</w:t>
      </w:r>
      <w:r>
        <w:t xml:space="preserve"> Comparison of actions and resistances in different building design codes — https://doi.org/10.1016/j.jare.2015.11.001</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Structural design codes of different countries provide engineers with data and procedures for design of the various structural components. Building design codes from USA, Europe, and Egypt are considered. Comparisons of the provisions for actions (loads), and for the resistance (strength) of sections in flexural and compressive axial loading are carried out. Several parameters are considered including variable actions for occupancy and different material strengths. The comparison is made considering both concrete and steel structures. Issues and consequences of mixing actions from one code and resistance from another code are also discussed.</w:t>
      </w:r>
    </w:p>
    <w:p>
      <w:pPr/>
      <w:r>
        <w:rPr>
          <w:b/>
        </w:rPr>
        <w:t>POSSIBLE 2014:</w:t>
      </w:r>
      <w:r>
        <w:t xml:space="preserve"> Literature survey and comparison of consumer interruption costs in North America and Europe — https://doi.org/10.1109/ccece.2014.6901156</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A survey on the assessment of electricity consumer interruption costs (CIC) from published literature in North America and Europe was conducted to identify the different approaches adopted by various countries and to make key observations including whether there is any international norm in such CIC assessment. As customer survey was found out to be the de facto approach adopted by utilities in USA and Canada to assess CIC, a further literature search was conducted to ascertain the past practices of CIC customer surveys conducted in these two countries. Finally an attempt was made to compare the CIC in different countries and the results are presented with discussions.</w:t>
      </w:r>
    </w:p>
    <w:p>
      <w:pPr/>
      <w:r>
        <w:rPr>
          <w:b/>
        </w:rPr>
        <w:t>POSSIBLE 2013:</w:t>
      </w:r>
      <w:r>
        <w:t xml:space="preserve"> Composite Indicators as a Useful Tool for International Comparison: The Europe 2020 Example — https://doi.org/10.18267/j.pep.462</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Composite indicators as a tool for a ranking become more and more popular, because they illustrate a comprehensive view on a phenomenon that cannot be captured by only one single indicator. Indicators for Europe 2020 are set of indicators used for monitoring targets defined by the European Commission in the Strategy of Smart, Sustainable and Inclusive Growth. The main objective of this paper is the comparison of performance of the EU Member States using the composite indicator principles. Within constructing composite indicators several steps have to be made and corresponding methods have to be chosen. There is not only one correct method how to develop a composite indicator. Of course, the choice of the methods manipulates the results. Primarily, normalisation methods, weighting schemes and aggregation formulas are fundamental but very subjective. This paper deals with two types of normalisation (z-score and min-max) and four weighting and aggregation schemes (equal weighting with linear aggregation, principal components analysis, benefit of doubt method and multi-criteria analysis). European countries ranking is provided according to the seven different scenarios.</w:t>
      </w:r>
    </w:p>
    <w:p>
      <w:pPr/>
      <w:r>
        <w:rPr>
          <w:b/>
        </w:rPr>
        <w:t>POSSIBLE 2013:</w:t>
      </w:r>
      <w:r>
        <w:t xml:space="preserve"> Comparison of Stroke Guidelines: Similarities and Differences between Japanese and European Recommendations for the Management and Prevention of Acute Ischemic and Hemorrhagic Strokes — https://doi.org/10.1159/000351406</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Cerebrovascular Diseases celebrated its 20th anniversary in 2010 with a Europe/Japan Stroke symposium in Barcelona, Spain, 20 years after the first European Stroke Conference. The session addressed different aspects of acute stroke management and strategies for stroke prevention from two viewpoints with specific traditional and historical backgrounds in modern neurovascular medicine, Europe and Japan [1].During this meeting, speakers and participants in a large auditorium experienced a surprisingly high coincidence of identical or very close proposals and perspectives as well as less common but remarkable differences.Cerebrovascular Diseases had published the 2003 European guidelines (GLs) for the management of ischemic stroke and transient ischemic attacks [2] with an update in 2008 [3], the European stroke initiative recommendations for the management of ICH in 2006 [4], and very recently, the guidelines for the management of intracranial aneurysms and subarachnoid hemorrhage (2013) [5], based on western evidence. On the other hand, the first English version of Japanese GLs for the management of stroke were published in 2011 [6], although the first Japanese GLs for the management of stroke appeared in 2004 in Japan [7,8]. The reasons why Japan made their own GLs are as follows: (1) some of the approved drugs and generally used drug dosages are different in Japan as compared w</w:t>
      </w:r>
    </w:p>
    <w:p>
      <w:pPr>
        <w:pStyle w:val="Heading2"/>
      </w:pPr>
      <w:r>
        <w:t>985. The CIRCE Simulations: Regional Climate Change Projections with Realistic Representation of the Mediterranean Sea</w:t>
      </w:r>
    </w:p>
    <w:p>
      <w:pPr>
        <w:pStyle w:val="SourceNote"/>
      </w:pPr>
      <w:r>
        <w:rPr>
          <w:b/>
        </w:rPr>
        <w:t>Original source (2012):</w:t>
      </w:r>
      <w:r>
        <w:t xml:space="preserve"> https://doi.org/10.1175/bams-d-11-00136.1</w:t>
      </w:r>
    </w:p>
    <w:p>
      <w:pPr/>
      <w:r>
        <w:t>Original wording (abstract; indexed_source_text_not_full_document_verified): The models have been integrated from 1951 to 2050, using observed radiative forcings during the first half of the simulation period and the Intergovernmental Panel on Climate Change (IPCC) Special Report on Emissions Scenarios (SRES) A1B scenario during the second half. The projections show a substantial warming (about 1.5°–2°C) and a significant decrease of precipitation (about 5%) in the region for the scenario period.</w:t>
      </w:r>
    </w:p>
    <w:p>
      <w:pPr/>
      <w:r>
        <w:rPr>
          <w:b/>
        </w:rPr>
        <w:t>POSSIBLE 2026:</w:t>
      </w:r>
      <w:r>
        <w:t xml:space="preserve"> Development and Validation of a Novel Contact Force‐Integrated Pulsed Field Quantization Index for Pulmonary Vein Isolation in a Porcine Model — https://doi.org/10.1111/jce.70527</w:t>
      </w:r>
    </w:p>
    <w:p>
      <w:pPr/>
      <w:r>
        <w:rPr>
          <w:b/>
        </w:rPr>
        <w:t>Shared claim-specific concepts:</w:t>
      </w:r>
      <w:r>
        <w:t xml:space="preserve"> integrated, during, first; EU scope not established. This is a provisional connection, not an outcome finding.</w:t>
      </w:r>
    </w:p>
    <w:p>
      <w:pPr>
        <w:pStyle w:val="SourceNote"/>
      </w:pPr>
      <w:r>
        <w:rPr>
          <w:b/>
        </w:rPr>
        <w:t>Available abstract (not full text):</w:t>
      </w:r>
      <w:r>
        <w:t xml:space="preserve"> ABSTRACT Introduction There is no bipolar‐specific quantitative ablation index currently available to guide pulsed field ablation (PFA). We aimed to develop and validate a novel contact force (CF)‐integrated pulsed field quantization index (PFQI) for real‐time lesion depth prediction during bipolar PFA. Methods and Results In total, 27 healthy Yorkshire swine were included in a two‐phase preclinical study. In Phase I, a nonlinear multivariable model was developed to derive a novel PFQI incorporating real‐time CF, pulse train number, delivery voltage, and impedance variation. In Phase II, the PFQI was prospectively validated by comparing predicted with actual lesion depth, followed by PFQI‐guided circumferential pulmonary vein isolation (PVI). Acute procedural success, 30‐day PVI durability, and extracardiac safety were evaluated using serial electroanatomic mapping and blinded histopathological examination. Lesion depth was strongly associated with CF, pulse train number, voltage, and impedance change. The PFQI predicted actual depth with high accuracy ( R = 0.94, R 2 = 0.88; validation R 2 = 0.82, slope = 1.014). In the validation cohort, 92% of predicted depths fell within ±0.75 mm of measured values. PFQI‐guided PVI achieved 100% (6/6) acute isolation and 100% 30‐day durable electrical isolation, with contiguous transmural fibrosis on histology. No collateral phrenic nerve, </w:t>
      </w:r>
    </w:p>
    <w:p>
      <w:pPr/>
      <w:r>
        <w:rPr>
          <w:b/>
        </w:rPr>
        <w:t>POSSIBLE 2025:</w:t>
      </w:r>
      <w:r>
        <w:t xml:space="preserve"> Quantifying PM2.5 Pollution and its Mortality Impacts in Islamabad: An Integrated Approach with Observed and Remote Sensing Data Along with HYSPLIT and AirQ+ Models — https://doi.org/10.18502/jett.v13i2.18539</w:t>
      </w:r>
    </w:p>
    <w:p>
      <w:pPr/>
      <w:r>
        <w:rPr>
          <w:b/>
        </w:rPr>
        <w:t>Shared claim-specific concepts:</w:t>
      </w:r>
      <w:r>
        <w:t xml:space="preserve"> integrated, observed; EU scope not established. This is a provisional connection, not an outcome finding.</w:t>
      </w:r>
    </w:p>
    <w:p>
      <w:pPr>
        <w:pStyle w:val="SourceNote"/>
      </w:pPr>
      <w:r>
        <w:rPr>
          <w:b/>
        </w:rPr>
        <w:t>Available abstract (not full text):</w:t>
      </w:r>
      <w:r>
        <w:t xml:space="preserve"> Particulate matter causes serious impacts on the atomsphere and human health. In recent time, it has become a crucial concern for the future of our health and environment. The study employed an integrated approach using observed and remote sensing data, HYSPLIT backward trajectory analysis, and AirQ+ models to quantify PM2.5 pollution and assess its mortality impacts in Islamabad in past three years (2020 to 2022). Our results showed that winters in all three years were significantly more polluted than summers. 22nd December 2021 emerged as the most polluted day with 198.96 mg/m3 PM2.5 concentration. Overall, the daily average (123.6 mg/m3) and the average annual mean (33.98 mg/m3) for 2020 to 2022 exceeded the standards promulgated by the National and US-EPA’s National Ambient Air Quality Standards (NAAQS). The potential source of the pollution was noticed from eastern side of Islamabad i.e., western India, with the help of the HYSPLIT backward trajectories. The study identified a significant correlation of PM2.5 with meteorological (temperature, dew point temperature, relative humidity, and wind speed) and chemical (SO2, NO2 and CO) factors. Moreover, at a concentration of 46.51µg/m3, the attributable proportion (AP) for all-cause mortality was 25%, while ischemic heart disease (IHD) mortality had an AP of 37%, and stroke mortality was 45%, all higher in winter than summer. T</w:t>
      </w:r>
    </w:p>
    <w:p>
      <w:pPr/>
      <w:r>
        <w:rPr>
          <w:b/>
        </w:rPr>
        <w:t>POSSIBLE 2025:</w:t>
      </w:r>
      <w:r>
        <w:t xml:space="preserve"> Rolling force modeling based on neural network and mechanism model — https://doi.org/10.1007/s12206-025-0118-4</w:t>
      </w:r>
    </w:p>
    <w:p>
      <w:pPr/>
      <w:r>
        <w:rPr>
          <w:b/>
        </w:rPr>
        <w:t>Shared claim-specific concepts:</w:t>
      </w:r>
      <w:r>
        <w:t xml:space="preserve"> integrated, during, first; EU scope not established. This is a provisional connection, not an outcome finding.</w:t>
      </w:r>
    </w:p>
    <w:p>
      <w:pPr>
        <w:pStyle w:val="SourceNote"/>
      </w:pPr>
      <w:r>
        <w:rPr>
          <w:b/>
        </w:rPr>
        <w:t>Available abstract (not full text):</w:t>
      </w:r>
      <w:r>
        <w:t xml:space="preserve"> In order to eliminate the predicted bias of the traditional Sims model, a new method, called the composite rectification method, is proposed. First, the deformation resistance model was built based on the generalized additive principle. This new model was adopted to replace the deformation resistance model in the Sims model. Through this factor replacement, the deformation resistance bias due to the traditional regression method was eliminated. Secondly, to solve the mathematical form imperfection caused by the introduction of assumptions during the derivation of the Sims model, a back propagation (BP) neural network model on the bias of the once-time corrected Sims model was built. Ultimately, the double correction of the Sims model was realized through the additive compensation method, and an integrated model of rolling force was ultimately obtained. The composite rectification method presented in this article can provide a new way of modeling complex systems with high precision.</w:t>
      </w:r>
    </w:p>
    <w:p>
      <w:pPr/>
      <w:r>
        <w:rPr>
          <w:b/>
        </w:rPr>
        <w:t>POSSIBLE 2025:</w:t>
      </w:r>
      <w:r>
        <w:t xml:space="preserve"> Quadriceps force and medio-laterally directed joint force during knee flexion in a personalized patellofemoral joint model — https://doi.org/10.1186/s12891-025-09397-y</w:t>
      </w:r>
    </w:p>
    <w:p>
      <w:pPr/>
      <w:r>
        <w:rPr>
          <w:b/>
        </w:rPr>
        <w:t>Shared claim-specific concepts:</w:t>
      </w:r>
      <w:r>
        <w:t xml:space="preserve"> integrated, during, simulation; EU scope not established. This is a provisional connection, not an outcome finding.</w:t>
      </w:r>
    </w:p>
    <w:p>
      <w:pPr>
        <w:pStyle w:val="SourceNote"/>
      </w:pPr>
      <w:r>
        <w:rPr>
          <w:b/>
        </w:rPr>
        <w:t>Available abstract (not full text):</w:t>
      </w:r>
      <w:r>
        <w:t xml:space="preserve"> BACKGROUND: Patellofemoral instability (PFI) is a multifactorial condition influenced by complex interactions between anatomical structures and dynamic stabilizers. Accurate assessment of mediolateral patellofemoral joint loading remains challenging, particularly during physiologically relevant joint angles simulated under controlled kinematic conditions. Anatomy-based individualized musculoskeletal models provide an in-silico approach to investigate these biomechanical parameters, such as the loading patterns. The purpose of this study was to develop individualized musculoskeletal knee models based on MRI-derived anatomical data from cadaveric specimens and to quantify the mediolateral component of the patellofemoral joint reaction force during a standardized, computer-driven squat simulation. Quadriceps muscle forces were estimated to assess the demand on dynamic stabilizers. METHOD AND MATERIAL: : MRI scans from four cadaveric lower limbs were segmented to reconstruct the distal femur, proximal tibia, and patella. The resulting STL bone models of the femur, tibia, and patella were aligned to TLEM2 templates using anatomical landmarks in CATIA V5 and integrated into the AnyBody Modeling System via custom AnyScript routines. A predefined, computer generated squat motion consisting of asymmetric flexion–extension cycle between 0° and 90° at a constant, scripted angular velocity</w:t>
      </w:r>
    </w:p>
    <w:p>
      <w:pPr/>
      <w:r>
        <w:rPr>
          <w:b/>
        </w:rPr>
        <w:t>POSSIBLE 2025:</w:t>
      </w:r>
      <w:r>
        <w:t xml:space="preserve"> Enhanced CNN-BiLSTM-Attention Model for High-Precision Integrated Navigation During GNSS Outages — https://doi.org/10.3390/rs17091542</w:t>
      </w:r>
    </w:p>
    <w:p>
      <w:pPr/>
      <w:r>
        <w:rPr>
          <w:b/>
        </w:rPr>
        <w:t>Shared claim-specific concepts:</w:t>
      </w:r>
      <w:r>
        <w:t xml:space="preserve"> integrated, during; EU scope not established. This is a provisional connection, not an outcome finding.</w:t>
      </w:r>
    </w:p>
    <w:p>
      <w:pPr>
        <w:pStyle w:val="SourceNote"/>
      </w:pPr>
      <w:r>
        <w:rPr>
          <w:b/>
        </w:rPr>
        <w:t>Available abstract (not full text):</w:t>
      </w:r>
      <w:r>
        <w:t xml:space="preserve"> The Global Navigation Satellite System (GNSS)/Inertial Navigation System (INS) integrated navigation technology is widely utilized in vehicle positioning. However, in complex environments such as urban canyons or tunnels, GNSS signal outages due to obstructions lead to rapid error accumulation in INS-only operation, with error growth rates reaching 10–50 m per min. To enhance positioning accuracy during GNSS outages, this paper proposes an error compensation method based on CNN-BiLSTM-Attention. When GNSS signals are available, a mapping model is established between specific force, angular velocity, speed, heading angle, and GNSS position increments. During outages, this model, combined with an improved Kalman filter, predicts pseudo-GNSS positions and their covariances in real-time to compute an aided navigation solution. The improved Kalman filter integrates Sage–Husa adaptive filtering and strong tracking Kalman filtering, dynamically estimating noise covariances to enhance robustness and address the challenge of unknown pseudo-GNSS covariances. Real-vehicle experiments conducted in a city in Jiangsu Province simulated a 120 s GNSS outage, demonstrating that the proposed method delivers a stable navigation solution with a post-convergence positioning accuracy of 0.7275 m root mean square error (RMSE), representing a 93.66% improvement over pure INS. Moreover, compared to oth</w:t>
      </w:r>
    </w:p>
    <w:p>
      <w:pPr/>
      <w:r>
        <w:rPr>
          <w:b/>
        </w:rPr>
        <w:t>POSSIBLE 2024:</w:t>
      </w:r>
      <w:r>
        <w:t xml:space="preserve"> Improving Students' Problem Solving Skills in Learning Problem Based Learning Integrated with Predict, Observe, Explain Model on Global Warming Material — https://doi.org/10.26877/jp2f.v15i4.928</w:t>
      </w:r>
    </w:p>
    <w:p>
      <w:pPr/>
      <w:r>
        <w:rPr>
          <w:b/>
        </w:rPr>
        <w:t>Shared claim-specific concepts:</w:t>
      </w:r>
      <w:r>
        <w:t xml:space="preserve"> integrated, warming; EU scope not established. This is a provisional connection, not an outcome finding.</w:t>
      </w:r>
    </w:p>
    <w:p>
      <w:pPr>
        <w:pStyle w:val="SourceNote"/>
      </w:pPr>
      <w:r>
        <w:rPr>
          <w:b/>
        </w:rPr>
        <w:t>Available abstract (not full text):</w:t>
      </w:r>
      <w:r>
        <w:t xml:space="preserve"> In the following study, the aim is to analyze the improvement of students' problem solving skills in learning activities with problem-based learning models integrated with predict, observe, explain models, especially for global warming material. The study was conducted using quantitative methods with 33 participants of class X students at one of the SMAN Cimahi City which was determined based on convenience sampling technique. The data collected in the following study was conducted through a problem solving skills test instrument in the form of pretest and posttest questions. To analyze the data obtained, using N-Gain testing on the data from the pretest and posttest scores. The results showed that each aspect of problem solving skills experienced a moderate increase. In addition, the acquisition of hypothesis testing proves that there is a difference in the application of the PBL-POE model in improving students' problem solving skills.</w:t>
      </w:r>
    </w:p>
    <w:p>
      <w:pPr/>
      <w:r>
        <w:rPr>
          <w:b/>
        </w:rPr>
        <w:t>POSSIBLE 2024:</w:t>
      </w:r>
      <w:r>
        <w:t xml:space="preserve"> An Integrated Model Based Prediction of Machining Accuracy for Milling Machine — https://doi.org/10.1177/09544062231223898</w:t>
      </w:r>
    </w:p>
    <w:p>
      <w:pPr/>
      <w:r>
        <w:rPr>
          <w:b/>
        </w:rPr>
        <w:t>Shared claim-specific concepts:</w:t>
      </w:r>
      <w:r>
        <w:t xml:space="preserve"> integrated, during, show; EU scope not established. This is a provisional connection, not an outcome finding.</w:t>
      </w:r>
    </w:p>
    <w:p>
      <w:pPr>
        <w:pStyle w:val="SourceNote"/>
      </w:pPr>
      <w:r>
        <w:rPr>
          <w:b/>
        </w:rPr>
        <w:t>Available abstract (not full text):</w:t>
      </w:r>
      <w:r>
        <w:t xml:space="preserve"> The accuracy of machining can be predicted during the design process of CNC machine tools, while the prediction accuracy depends on the prediction model. However, when establishing the prediction model, the coupling effect among the machine tool’s different components is always ignored for modeling efficiency, so this will lead to its reliability cannot be guaranteed. To address this problem, the model reduction theory and the lumped parameter method are used in this study to set the state-space equations of the essential structural parts. Moreover, the electro-mechanical coupling parameter equation of the servo system is transformed into a state-space equation. Then the state-space equations of the components and the servo system are coupled to establish the machine tool dynamic model. Furthermore, a theoretical model of instantaneous undeformed chip thickness is found, and according to the linear relationship between the micro-cutting force and the instantaneous undeformed chip thickness, the instantaneous cutting force model of the cylindrical milling cutter is established. Based on these, the integrated model, which considers the mechanical structure, control system and cutting force, is obtained and further used in Simulink to build the machining accuracy prediction platform, as well as the accuracy of the integrated prediction model is verified. Moreover, the prediction m</w:t>
      </w:r>
    </w:p>
    <w:p>
      <w:pPr/>
      <w:r>
        <w:rPr>
          <w:b/>
        </w:rPr>
        <w:t>POSSIBLE 2023:</w:t>
      </w:r>
      <w:r>
        <w:t xml:space="preserve"> Inter-hemispheric asymmetries in high-latitude electrodynamic forcing and the thermosphere during the October 8–9, 2012, geomagnetic storm: An integrated data–Model investigation — https://doi.org/10.3389/fspas.2023.1062265</w:t>
      </w:r>
    </w:p>
    <w:p>
      <w:pPr/>
      <w:r>
        <w:rPr>
          <w:b/>
        </w:rPr>
        <w:t>Shared claim-specific concepts:</w:t>
      </w:r>
      <w:r>
        <w:t xml:space="preserve"> integrated, observed, during, first, simulation, period; EU scope not established. This is a provisional connection, not an outcome finding.</w:t>
      </w:r>
    </w:p>
    <w:p>
      <w:pPr>
        <w:pStyle w:val="SourceNote"/>
      </w:pPr>
      <w:r>
        <w:rPr>
          <w:b/>
        </w:rPr>
        <w:t>Available abstract (not full text):</w:t>
      </w:r>
      <w:r>
        <w:t xml:space="preserve"> Inter-hemispheric asymmetry (IHA) in Earth’s ionosphere–thermosphere (IT) system can be associated with high-latitude forcing that intensifies during storm time, e.g., ion convection, auroral electron precipitation, and energy deposition, but a comprehensive understanding of the pathways that generate IHA in the IT is lacking. Numerical simulations can help address this issue, but accurate specification of high-latitude forcing is needed. In this study, we utilize the Active Magnetosphere and Planetary Electrodynamics Response Experiment-revised fieldaligned currents (FACs) to specify the high-latitude electric potential in the Global Ionosphere and Thermosphere Model (GITM) during the October 8–9, 2012, storm. Our result illustrates the advantages of the FAC-driven technique in capturing high-latitude ion drift, ion convection equatorial boundary, and the storm-time neutral density response observed by satellite. First, it is found that the cross-polar-cap potential, hemispheric power, and ion convection distribution can be highly asymmetric between two hemispheres with a clear B y dependence in the convection equatorial boundary. Comparison with simulation based on mirror precipitation suggests that the convection distribution is more sensitive to FAC, while its intensity also depends on the ionospheric conductance-related precipitation. Second, the IHA in the neutral density</w:t>
      </w:r>
    </w:p>
    <w:p>
      <w:pPr/>
      <w:r>
        <w:rPr>
          <w:b/>
        </w:rPr>
        <w:t>POSSIBLE 2022:</w:t>
      </w:r>
      <w:r>
        <w:t xml:space="preserve"> Translating observed household energy behavior to agent-based technology choices in an integrated modeling framework — https://doi.org/10.1016/j.isci.2022.103905</w:t>
      </w:r>
    </w:p>
    <w:p>
      <w:pPr/>
      <w:r>
        <w:rPr>
          <w:b/>
        </w:rPr>
        <w:t>Shared claim-specific concepts:</w:t>
      </w:r>
      <w:r>
        <w:t xml:space="preserve"> integrated, observed; EU scope visible. This is a provisional connection, not an outcome finding.</w:t>
      </w:r>
    </w:p>
    <w:p>
      <w:pPr>
        <w:pStyle w:val="SourceNote"/>
      </w:pPr>
      <w:r>
        <w:rPr>
          <w:b/>
        </w:rPr>
        <w:t>Available abstract (not full text):</w:t>
      </w:r>
      <w:r>
        <w:t xml:space="preserve"> Decarbonizing the building sector depends on choices made at the household level, which are heterogeneous. Agent-based models are tools used to describe heterogeneous choices but require data-intensive calibration. This study analyzes a novel, cross-country European household-level survey, including sociodemographic characteristics, energy-saving habits, energy-saving investments, and metered household electricity consumption, to enhance the empirical grounding of an agent-based residential energy choice model. Applying cluster analysis to the data shows that energy consumption is not straightforwardly explained by sociodemographic classes, preferences, or attitudes, but some patterns emerge. Income consistently has the largest effect on demand, dwelling efficiency, and energy-saving investments, and the potential to improve a dwellings' energy use affects the efficiency investments made. Including the various sources of heterogeneity found to characterize the model agents affects the timing and speed of the transition. The results reinforce the need for grounding agent-based models in empirical data, to better understand energy transition dynamics.</w:t>
      </w:r>
    </w:p>
    <w:p>
      <w:pPr/>
      <w:r>
        <w:rPr>
          <w:b/>
        </w:rPr>
        <w:t>POSSIBLE 2021:</w:t>
      </w:r>
      <w:r>
        <w:t xml:space="preserve"> Model Calibration for a Rigid Hexapod-Based End-Effector with Integrated Force Sensors — https://doi.org/10.3390/s21103537</w:t>
      </w:r>
    </w:p>
    <w:p>
      <w:pPr/>
      <w:r>
        <w:rPr>
          <w:b/>
        </w:rPr>
        <w:t>Shared claim-specific concepts:</w:t>
      </w:r>
      <w:r>
        <w:t xml:space="preserve"> integrated, during, first; EU scope not established. This is a provisional connection, not an outcome finding.</w:t>
      </w:r>
    </w:p>
    <w:p>
      <w:pPr>
        <w:pStyle w:val="SourceNote"/>
      </w:pPr>
      <w:r>
        <w:rPr>
          <w:b/>
        </w:rPr>
        <w:t>Available abstract (not full text):</w:t>
      </w:r>
      <w:r>
        <w:t xml:space="preserve"> Integrated single-axis force sensors allow an accurate and cost-efficient force measurement in 6 degrees of freedom for hexapod structures and kinematics. Depending on the sensor placement, the measurement is affected by internal forces that need to be compensated for by a measurement model. Since the parameters of the model can change during machine usage, a fast and easy calibration procedure is requested. This work studies parameter identification procedures for force measurement models on the example of a rigid hexapod-based end-effector. First, measurement and identification models are presented and parameter sensitivities are analysed. Next, two excitation strategies are applied and discussed: identification from quasi-static poses and identification from accelerated continuous trajectories. Both poses and trajectories are optimized by different criteria and evaluated in comparison. Finally, the procedures are validated by experimental studies with reference payloads. In conclusion, both strategies allow accurate parameter identification within a fast procedure in an operational machine state.</w:t>
      </w:r>
    </w:p>
    <w:p>
      <w:pPr/>
      <w:r>
        <w:rPr>
          <w:b/>
        </w:rPr>
        <w:t>POSSIBLE 2021:</w:t>
      </w:r>
      <w:r>
        <w:t xml:space="preserve"> Development of an Integrated Flow Stress and Roll Force Models for Plate Rolling of Microalloyed Steel — https://doi.org/10.1002/srin.202100479</w:t>
      </w:r>
    </w:p>
    <w:p>
      <w:pPr/>
      <w:r>
        <w:rPr>
          <w:b/>
        </w:rPr>
        <w:t>Shared claim-specific concepts:</w:t>
      </w:r>
      <w:r>
        <w:t xml:space="preserve"> integrated, during; EU scope not established. This is a provisional connection, not an outcome finding.</w:t>
      </w:r>
    </w:p>
    <w:p>
      <w:pPr>
        <w:pStyle w:val="SourceNote"/>
      </w:pPr>
      <w:r>
        <w:rPr>
          <w:b/>
        </w:rPr>
        <w:t>Available abstract (not full text):</w:t>
      </w:r>
      <w:r>
        <w:t xml:space="preserve"> The hot deformation behavior of Nb–V–Ti containing high‐strength steel is studied using compression test. Based on the data generated during hot compression tests, a deep neural network (DNN) flow stress model is developed for the experimental microalloyed steel. The predicted flow stress by the DNN model is compared with flow stress predicted by conventional strain‐compensated Arrhenius constitutive equation. Results using the DNN model are found to be superior to the constitutive equation with overall correlation coefficient (R) greater than 99.8%. The accuracy of the developed DNN flow stress model finds to be significantly higher even at higher strain rates. A DNN roll force model is also developed for the plate rolling of the experimental steel. The predicted flow stress from the DNN flow stress model for the given rolling condition is also used as an input to the roll force model. It is found that DNN model is able to predict the roll force accurately by &gt;98.4% as it takes care of various nonlinear process variable which cannot be accounted mathematically. It also validates the accuracy of DNN flow stress model.</w:t>
      </w:r>
    </w:p>
    <w:p>
      <w:pPr/>
      <w:r>
        <w:rPr>
          <w:b/>
        </w:rPr>
        <w:t>POSSIBLE 2020:</w:t>
      </w:r>
      <w:r>
        <w:t xml:space="preserve"> Integrated In Silico Models for the Prediction of No-Observed-(Adverse)-Effect Levels and Lowest-Observed-(Adverse)-Effect Levels in Rats for Sub-chronic Repeated-Dose Toxicity — https://doi.org/10.1021/acs.chemrestox.0c00176</w:t>
      </w:r>
    </w:p>
    <w:p>
      <w:pPr/>
      <w:r>
        <w:rPr>
          <w:b/>
        </w:rPr>
        <w:t>Shared claim-specific concepts:</w:t>
      </w:r>
      <w:r>
        <w:t xml:space="preserve"> integrated, first; EU scope not established. This is a provisional connection, not an outcome finding.</w:t>
      </w:r>
    </w:p>
    <w:p>
      <w:pPr>
        <w:pStyle w:val="SourceNote"/>
      </w:pPr>
      <w:r>
        <w:rPr>
          <w:b/>
        </w:rPr>
        <w:t>Available abstract (not full text):</w:t>
      </w:r>
      <w:r>
        <w:t xml:space="preserve"> Repeated-dose toxicity (RDT) is a critical endpoint for hazard characterization of chemicals and is assessed to derive safe levels of exposure for human health. Here we present the first attempt to model simultaneously no-observed-(adverse)-effect level (NO(A)EL) and lowest-observed-(adverse)-effect level (LO(A)EL). Classification and regression models were derived based on rat sub-chronic repeated dose toxicity data for 327 compounds from the Fraunhofer RepDose database. Multi-category classification models were built for both NO(A)EL and LO(A)EL though a consensus of statistics- and fragment-based algorithms, while regression models were based on quantitative relationships between the endpoints and SMILES-based attributes. NO(A)EL and LO(A)EL models were integrated, and predictions were compared to exclude inconsistent values. This strategy improved the performance of single models, leading to R 2 greater than 0.70, root-mean-square error (RMSE) lower than 0.60 (for regression models), and accuracy of 0.61–0.73 (for classification models) on the validation set, based on the endpoint and the threshold applied for selecting predictions. This study confirms the effectiveness of the modeling strategy presented here for assessing RDT of chemicals using in silico models.</w:t>
      </w:r>
    </w:p>
    <w:p>
      <w:pPr>
        <w:pStyle w:val="Heading2"/>
      </w:pPr>
      <w:r>
        <w:t>986. The Great Future Debate and the Struggle for the World</w:t>
      </w:r>
    </w:p>
    <w:p>
      <w:pPr>
        <w:pStyle w:val="SourceNote"/>
      </w:pPr>
      <w:r>
        <w:rPr>
          <w:b/>
        </w:rPr>
        <w:t>Original source (2012):</w:t>
      </w:r>
      <w:r>
        <w:t xml:space="preserve"> https://doi.org/10.1093/ahr/117.5.1411</w:t>
      </w:r>
    </w:p>
    <w:p>
      <w:pPr/>
      <w:r>
        <w:t>Original wording (abstract; indexed_source_text_not_full_document_verified): Futurists had radically different understandings not only of what the future was and the way it could be studied, but also of the ways in which prediction could be used to control or protest certain futures. She is the holder of an ERC Starting Investigator Grant for the project Futurepol: A Political History of the Future—Knowledge Production and Future Governance, 1945–2010, and is currently working on a book on the global history of the future.</w:t>
      </w:r>
    </w:p>
    <w:p>
      <w:pPr/>
      <w:r>
        <w:rPr>
          <w:b/>
        </w:rPr>
        <w:t>POSSIBLE 2025:</w:t>
      </w:r>
      <w:r>
        <w:t xml:space="preserve"> THE ANTI-THEATER OF FUTURISTS AND DADAISTS AS A REFUTATION OF ARISTOTLE’S CONCEPT OF MIMETIC THEATER — https://doi.org/10.30970/vas.26.2025.206-216</w:t>
      </w:r>
    </w:p>
    <w:p>
      <w:pPr/>
      <w:r>
        <w:rPr>
          <w:b/>
        </w:rPr>
        <w:t>Shared claim-specific concepts:</w:t>
      </w:r>
      <w:r>
        <w:t xml:space="preserve"> futurists, not, only, way, but, also; EU scope not established. This is a provisional connection, not an outcome finding.</w:t>
      </w:r>
    </w:p>
    <w:p>
      <w:pPr>
        <w:pStyle w:val="SourceNote"/>
      </w:pPr>
      <w:r>
        <w:rPr>
          <w:b/>
        </w:rPr>
        <w:t>Available abstract (not full text):</w:t>
      </w:r>
      <w:r>
        <w:t xml:space="preserve"> The aim of this article is to analyze the concept of mimesis in theatrical art as articulated by Aristotle. For centuries, this notion has served as a crucial means of reflecting reality, understanding the essence of the world, and promoting the moral education of society. Additionally, the article seeks to clarify the reasons behind the radical rejection of this model by the Futurists and Dadaists. By tracing the historical evolution of mimesis, the study will reveal how the fundamental principles of classical theory specifically narrative construction, character development, and the attainment of catharsis were transformed by the innovative movements of the 20th century. The research methodology includes analytical, comparative, and descriptive methods to thoroughly examine the subject and provide robust justification for the conclusions. The analytical method aids in the logical exposition of historical material, while comparative analysis helps identify the key differences between Aristotle's classical principles and the radical innovations introduced by Futurists and Dadaists. Furthermore, the descriptive method facilitates a comprehensive representation of the materials under investigation. This study emphasizes that, according to the classical tradition, mimesis was viewed as a means of imitating and interpreting the essence of reality, thus making theatre an instrument </w:t>
      </w:r>
    </w:p>
    <w:p>
      <w:pPr/>
      <w:r>
        <w:rPr>
          <w:b/>
        </w:rPr>
        <w:t>POSSIBLE 2025:</w:t>
      </w:r>
      <w:r>
        <w:t xml:space="preserve"> A MASS EFFECT CASE STUDY OF MORPHED HUMANITY, FROM INDIVIDUALS TO POPULATIONS IN A BIOTECHNOLOGICAL FUTURIST SOCIETY — https://openalex.org/W7112949524</w:t>
      </w:r>
    </w:p>
    <w:p>
      <w:pPr/>
      <w:r>
        <w:rPr>
          <w:b/>
        </w:rPr>
        <w:t>Shared claim-specific concepts:</w:t>
      </w:r>
      <w:r>
        <w:t xml:space="preserve"> way, but, political; EU scope not established. This is a provisional connection, not an outcome finding.</w:t>
      </w:r>
    </w:p>
    <w:p>
      <w:pPr>
        <w:pStyle w:val="SourceNote"/>
      </w:pPr>
      <w:r>
        <w:rPr>
          <w:b/>
        </w:rPr>
        <w:t>Available abstract (not full text):</w:t>
      </w:r>
      <w:r>
        <w:t xml:space="preserve"> The monster is an icon of literary discussion and criticism, cemented by Cohen’s ‘monster theory’ (1996), with his conceptualisations vital for “understanding [the] cultural creation of monsters” (Gloyn, 2020). Gothic scholar Halberstam argued that “...the emergence of the monster within Gothic fiction marks a peculiarly modern emphasis upon the horror of particular kinds of bodies” (1995, p.3). It is the postmodern monster that will become the subject of this thesis. This thesis re-engages with the monster, arguing that the rise of biotechnology and audience relations to this technology, provides a new lens for examining monsters that are created, reflected in the growth of the subgenre Lars Schmeink terms ‘biopunk’ (2016). Brodwin asserts that the uncertainties emerging from biotechnological developments change how the body is conceptualised and categorised as the body is an arbiter of political relations (2000, p.7). The thesis proposes that biotechnology has morphed humanity but, despite this, there are instances of biotechnological interventions (or disruptions) that are treated with suspicion, and their recipients, the icons known as mutants, face othering. This thesis therefore proposes a subspecies of the monster: the mutant, a literary icon representing the monsterisation of those altered by new forms of intervention and this is utilised through a case study of the pop</w:t>
      </w:r>
    </w:p>
    <w:p>
      <w:pPr/>
      <w:r>
        <w:rPr>
          <w:b/>
        </w:rPr>
        <w:t>POSSIBLE 2023:</w:t>
      </w:r>
      <w:r>
        <w:t xml:space="preserve"> Rhetorical Strategies and Gender in Marinetti's Futurist Manifesto — https://doi.org/10.5406/23256672.100.5.13</w:t>
      </w:r>
    </w:p>
    <w:p>
      <w:pPr/>
      <w:r>
        <w:rPr>
          <w:b/>
        </w:rPr>
        <w:t>Shared claim-specific concepts:</w:t>
      </w:r>
      <w:r>
        <w:t xml:space="preserve"> different, only, but, also, ways, control; EU scope not established. This is a provisional connection, not an outcome finding.</w:t>
      </w:r>
    </w:p>
    <w:p>
      <w:pPr>
        <w:pStyle w:val="SourceNote"/>
      </w:pPr>
      <w:r>
        <w:rPr>
          <w:b/>
        </w:rPr>
        <w:t>Available abstract (not full text):</w:t>
      </w:r>
      <w:r>
        <w:t xml:space="preserve"> Though the importance of Filippo Tommaso Marinetti's contributions to avant-garde aesthetics has been a subject of controversy since the very beginnings of the Futurist movement, critics generally acknowledge the innovation of what Marinetti himself called “l'arte di far manifesti.” Most recently, in a remarkable study on the “language of rupture” of the avant-garde movements prior to World War I, Marjorie Perloff locates the originality of the Futurist manifesto in its hybrid, multifaceted nature. As Perloff notes, the genealogy of the Futurist manifesto can be traced back to the agonistic mode of discourse of the nineteenth-century political manifesto, and to the programmatic statements of aesthetic renovation, modernity, nationalism, and heroism articulated in the manifestos of other turn-of-the-century movements. But the Italian Futurist manifestos differ from their precursors because of “their brash refusal to remain in the expository or critical corner, their understanding that the group pronouncement, sufficiently aestheticized, can, in the eyes of the mass audience, all but take the place of the promised art work.”1 Indeed, Marinetti's famous first manifesto, “Fondazione e Manifesto del Futurismo,” which marks the founding of the movement in 1909, also marks the creation of a new genre straddling poetic and theoretical discourse—a collective statement directed at a mass</w:t>
      </w:r>
    </w:p>
    <w:p>
      <w:pPr/>
      <w:r>
        <w:rPr>
          <w:b/>
        </w:rPr>
        <w:t>POSSIBLE 2023:</w:t>
      </w:r>
      <w:r>
        <w:t xml:space="preserve"> The Digital Divide and Futurist Imaginings of Zelle‐ous Resistors — https://doi.org/10.17645/si.v11i3.6867</w:t>
      </w:r>
    </w:p>
    <w:p>
      <w:pPr/>
      <w:r>
        <w:rPr>
          <w:b/>
        </w:rPr>
        <w:t>Shared claim-specific concepts:</w:t>
      </w:r>
      <w:r>
        <w:t xml:space="preserve"> understandings, not, but, ways; EU scope not established. This is a provisional connection, not an outcome finding.</w:t>
      </w:r>
    </w:p>
    <w:p>
      <w:pPr>
        <w:pStyle w:val="SourceNote"/>
      </w:pPr>
      <w:r>
        <w:rPr>
          <w:b/>
        </w:rPr>
        <w:t>Available abstract (not full text):</w:t>
      </w:r>
      <w:r>
        <w:t xml:space="preserve"> The “digital divide” is widely acknowledged as exacerbating inequality by leaving some people on one side or the other of a knowledge divide without access to appropriate tools for the future and all the opportunities that digital technology promises. Attempts to understand this gap tend to focus on issues of trust, levels of financial education, and digital skills, mainly seeking to understand why some individuals and groups—who are mostly assumed to have minimal financial know-how and digital skills—do not trust either online financial institutions or exclusively app‐based finance. Considering the large investment in fintech solutions driven by these industries, and the practical features designed in part to make the user’s life easier and user experience more intuitive and reassuring, it is worth noting that such queries are inclined to conclude that these untapped users cannot imagine a digital future due to their own lack of digital skills and lack of exposure to tech. This article suggests that, for a portion of this population, many of whom are digital natives, this is not the case. instead, they can invest in understanding and adapting to technology and do so. Yet they are uncomfortable with the “instantaneousness” of some transactions because this doesn’t allow them enough time to address a problem or have recourse for anything unforeseeable. Furthermore, their interes</w:t>
      </w:r>
    </w:p>
    <w:p>
      <w:pPr/>
      <w:r>
        <w:rPr>
          <w:b/>
        </w:rPr>
        <w:t>POSSIBLE 2023:</w:t>
      </w:r>
      <w:r>
        <w:t xml:space="preserve"> Peace as a techno-futurist fantasy: interpreting the opening ceremony of the 2018 PyeongChang Olympics — https://doi.org/10.1080/24761028.2024.2374120</w:t>
      </w:r>
    </w:p>
    <w:p>
      <w:pPr/>
      <w:r>
        <w:rPr>
          <w:b/>
        </w:rPr>
        <w:t>Shared claim-specific concepts:</w:t>
      </w:r>
      <w:r>
        <w:t xml:space="preserve"> not, but, political; EU scope not established. This is a provisional connection, not an outcome finding.</w:t>
      </w:r>
    </w:p>
    <w:p>
      <w:pPr>
        <w:pStyle w:val="SourceNote"/>
      </w:pPr>
      <w:r>
        <w:rPr>
          <w:b/>
        </w:rPr>
        <w:t>Available abstract (not full text):</w:t>
      </w:r>
      <w:r>
        <w:t xml:space="preserve"> South Korea hosted the 2018 PyeongChang Winter Olympic Games nearly 30 years after the 1988 Seoul Summer Olympic Games and almost 16 after the 2002 Korea/Japan FIFA World Cup. The national narrative of these sporting mega-events shifted from a grand display of industrial triumph during the Seoul Olympics to the celebration of a global nation during the World Cup to a nation of cutting-edge technology during the PyeongChang Olympics. The Opening Ceremonies of the PyeongChang Olympics were planned to showcase South Korea’s hallyu cultural juggernaut and technological prowess. Just a month prior to the start of the Games, a delegation from North Korea agreed to compete, thereby changing the narrative of the show. The planned story line shifted to include the idea of reunification not as an urgent matter of the present, but as a techno-futurist fantasy of world peace. While the Olympic leadership fawned over this hopeful display of détente through sport, the joint appearance failed to garner a great deal of excitement in South Korea given the failure of decades of cultural interactions to bring the two countries closer together. Nevertheless, the presence of North Koreans created a level of interest that added an element of historical and political curiosity otherwise missing from an overwrought program that lacked spontaneity. Thus, ironically, the presence of the North Korean del</w:t>
      </w:r>
    </w:p>
    <w:p>
      <w:pPr/>
      <w:r>
        <w:rPr>
          <w:b/>
        </w:rPr>
        <w:t>POSSIBLE 2023:</w:t>
      </w:r>
      <w:r>
        <w:t xml:space="preserve"> Alberto Breccia’s Parody of Futurist Paintings in Modern Bande Dessinée: Resisting Transatlantic Fascism — https://doi.org/10.2218/forum.1.9149</w:t>
      </w:r>
    </w:p>
    <w:p>
      <w:pPr/>
      <w:r>
        <w:rPr>
          <w:b/>
        </w:rPr>
        <w:t>Shared claim-specific concepts:</w:t>
      </w:r>
      <w:r>
        <w:t xml:space="preserve"> also, used, political; EU scope not established. This is a provisional connection, not an outcome finding.</w:t>
      </w:r>
    </w:p>
    <w:p>
      <w:pPr>
        <w:pStyle w:val="SourceNote"/>
      </w:pPr>
      <w:r>
        <w:rPr>
          <w:b/>
        </w:rPr>
        <w:t>Available abstract (not full text):</w:t>
      </w:r>
      <w:r>
        <w:t xml:space="preserve"> During wars, art and culture often develop a “culture of camouflage” (Ojeda 68) to invite the reader to decipher hidden meanings as a form of political subversion. In Argentina, the ‘Golden Age’ of comics emerged in the 1940s in response to the rise of Fascist sentiments originating from the Futurist leader Filippo Tommaso Marinetti’s transatlantic propaganda and flourished in the following decades. During and following the ‘Process of National Reorganisation’ from 1976 onwards, illustrator Alberto Breccia used graphic narratives as a form of counter-censorship as he appropriated Futurist aesthetics and the conventions of the modern bande dessinée. He considered this method as being able to allow “artistry and imagination [take] over from logical progressions” (Grove 25). Using this form, he encouraged the public to reflect on Argentina’s changing transatlantic landscape. This paper examines to what extent Breccia’s Le Coeur Révélateur: Et Autres Histoires Extraodinaires d’ Edgar Poe (1995) borrows Futurist visuality and makes use of the flexibility of the settings in Poe’s stories. This is done to recreate the haunting figures of history as they “turn away from the original work” to “conceive new forms of storytelling that explore the medium-specific properties of the host medium” (Baetens 7). This paper employs an interdisciplinary approach as, in addition to reading Poe’s or</w:t>
      </w:r>
    </w:p>
    <w:p>
      <w:pPr/>
      <w:r>
        <w:rPr>
          <w:b/>
        </w:rPr>
        <w:t>POSSIBLE 2022:</w:t>
      </w:r>
      <w:r>
        <w:t xml:space="preserve"> FUTURISM: VLADIMIR MAYAKOVSKI'S URBANISM AND FUTURIST OUTLOOK — https://doi.org/10.21533/epiphany.v15i1.387</w:t>
      </w:r>
    </w:p>
    <w:p>
      <w:pPr/>
      <w:r>
        <w:rPr>
          <w:b/>
        </w:rPr>
        <w:t>Shared claim-specific concepts:</w:t>
      </w:r>
      <w:r>
        <w:t xml:space="preserve"> futurists, also, used; EU scope not established. This is a provisional connection, not an outcome finding.</w:t>
      </w:r>
    </w:p>
    <w:p>
      <w:pPr>
        <w:pStyle w:val="SourceNote"/>
      </w:pPr>
      <w:r>
        <w:rPr>
          <w:b/>
        </w:rPr>
        <w:t>Available abstract (not full text):</w:t>
      </w:r>
      <w:r>
        <w:t xml:space="preserve"> This article analyzes the poetry of Russian poet Vladimir Mayakovski (1893-1930), renowned as a main figure of the Russian Futurist movement. The study first introduces the futurist movement in literature that took place at the beginning of the twentieth century and locates it within formalist theory. Then, it dwells upon the characteristics of futurist poetry since this was the genre the futurists were mostly concerned with. The study moves towards its main objective by examining two characteristic poems, Morning (1912) and A Skyscraper Dissected (1929), bearing in mind the theme of urbanism which is common in the futurist literary movement. This analysis attempts to prove that Mayakovski used the theme of urbanism to criticize modern city life, unlike other futurists who used this theme to glorify it. The study will also look at an important aspect of Mayakovski’s poem About This in which he imagines life in the future. To carry out this thematic study, a critically analytical and descriptive method is used.</w:t>
      </w:r>
    </w:p>
    <w:p>
      <w:pPr/>
      <w:r>
        <w:rPr>
          <w:b/>
        </w:rPr>
        <w:t>POSSIBLE 2022:</w:t>
      </w:r>
      <w:r>
        <w:t xml:space="preserve"> The Real Pushkin: The Reinvention of Russia’s National Poet by the Futurists — https://openalex.org/W7132695165</w:t>
      </w:r>
    </w:p>
    <w:p>
      <w:pPr/>
      <w:r>
        <w:rPr>
          <w:b/>
        </w:rPr>
        <w:t>Shared claim-specific concepts:</w:t>
      </w:r>
      <w:r>
        <w:t xml:space="preserve"> futurists, different, not, way, studied, but; EU scope not established. This is a provisional connection, not an outcome finding.</w:t>
      </w:r>
    </w:p>
    <w:p>
      <w:pPr>
        <w:pStyle w:val="SourceNote"/>
      </w:pPr>
      <w:r>
        <w:rPr>
          <w:b/>
        </w:rPr>
        <w:t>Available abstract (not full text):</w:t>
      </w:r>
      <w:r>
        <w:t xml:space="preserve"> James Rann'sThe Unlikely Futurist is in itself a cultural artifact of its time.Dedicated to the complicated and controversial relation of the Russian Futurists to Russia's most celebrated national poet Alexander Pushkin, Rann's book is generally about mechanisms of cultural cancellation, reevaluation, and (re)appropriation of the past.Today when more and more artists and other significant figures (contemporary ones and those belonging to former times) are often reassessed in light of emerging moral considerations and ethical norms, it is important to understand why one group of people may want to change dramatically their attitude to their ancestors.The case of the Russian Futurists is a perfect material for such a study, since the group is known for its scandalous behavior, their willingness to break away from the tradition, and their provocative statements about Russia's cultural past.For example, the manifesto "A Slap in the Face of Public Taste" famously proposed to "throw Pushkin, Dostoevsky, Tolstoy and so on and so forth from the steamship of Modernity" (p.9).But as is often the case, the slogans are never quite as complex as the mindsets of the people who produce them.Such a performative way of rejecting the past is simultaneously an affirmation of its significance.Using this interesting controversy as a departure point, Rann sets out to explore the ways in which the Ru</w:t>
      </w:r>
    </w:p>
    <w:p>
      <w:pPr/>
      <w:r>
        <w:rPr>
          <w:b/>
        </w:rPr>
        <w:t>POSSIBLE 2020:</w:t>
      </w:r>
      <w:r>
        <w:t xml:space="preserve"> Becoming Futurists — https://doi.org/10.26481/dis.20200520tc</w:t>
      </w:r>
    </w:p>
    <w:p>
      <w:pPr/>
      <w:r>
        <w:rPr>
          <w:b/>
        </w:rPr>
        <w:t>Shared claim-specific concepts:</w:t>
      </w:r>
      <w:r>
        <w:t xml:space="preserve"> futurists, not, way, ways; EU scope not established. This is a provisional connection, not an outcome finding.</w:t>
      </w:r>
    </w:p>
    <w:p>
      <w:pPr>
        <w:pStyle w:val="SourceNote"/>
      </w:pPr>
      <w:r>
        <w:rPr>
          <w:b/>
        </w:rPr>
        <w:t>Available abstract (not full text):</w:t>
      </w:r>
      <w:r>
        <w:t xml:space="preserve"> Writing a PhD thesis is a solitary practice, yet I didn't write alone.Becoming Futurists was made possible by a life-giving ecosystem of friends, family, colleagues and students.In these few pages, I am finally able to thank everyone who has contributed to my growth.First and foremost, I am deeply grateful for my academic guide Marjolein van Asselt.I see in Marjolein a bright scholar who is not afraid to speak her mind and dares to break with conventions.To me, Marjolein is a true example, especially in how science can and should be connected to the world.By leading me the way, Marjolein helped me to rise and spread my wings.My sincere gratitude goes out to supervisor Harro van Lente, from the moment I got acquainted with Harro's academic work, I was captured by his sense of language.Harro helped me to structure my thoughts, making dozens of impressive overviews based on our lengthy academic conversations and guided me in the wonderful and particular world of Science and Technology Studies.Harro's trust, his comforting smile and his ways with words helped me to pass the much-anticipated finish line.</w:t>
      </w:r>
    </w:p>
    <w:p>
      <w:pPr/>
      <w:r>
        <w:rPr>
          <w:b/>
        </w:rPr>
        <w:t>POSSIBLE 2020:</w:t>
      </w:r>
      <w:r>
        <w:t xml:space="preserve"> Benedetta’s Futurist Novels — https://openalex.org/W3018827761</w:t>
      </w:r>
    </w:p>
    <w:p>
      <w:pPr/>
      <w:r>
        <w:rPr>
          <w:b/>
        </w:rPr>
        <w:t>Shared claim-specific concepts:</w:t>
      </w:r>
      <w:r>
        <w:t xml:space="preserve"> futurists, not, but, also, she; EU scope not established. This is a provisional connection, not an outcome finding.</w:t>
      </w:r>
    </w:p>
    <w:p>
      <w:pPr>
        <w:pStyle w:val="SourceNote"/>
      </w:pPr>
      <w:r>
        <w:rPr>
          <w:b/>
        </w:rPr>
        <w:t>Available abstract (not full text):</w:t>
      </w:r>
      <w:r>
        <w:t xml:space="preserve"> Benedetta Cappa Marinetti does not simply write novels, she constructs them. Over the span of ten years, Benedetta pairs narrative first with images, then with performative elements, and lastly, with letters. She applies her abstract and conceptual style to observable and palpable works. In her first novel, Le forze umane (1926), Benedetta parallels handwritten words to hand- drawn images, or what she terms as “graphic syntheses.” From this autobiographical beginning, Benedetta immerses her audience into the timeline of her own life events. Surpassing a simple documentary or chronological account, Benedetta embeds her own states of mind in the narrative, a practice also explored by Futurist Giuseppe Steiner. In her next novel, Viaggio di Garar� (1931), Benedetta continues to incorporate visuals into her narrative, however, not to convey states of mind, but to immerse the reader into another realm: the theater. Viaggio di Garar� is a “cosmic novel for the theater,” allowing the work to be flexibly read as both a script and a novel. Her final novel, Astra e il sottomarino (1936) evokes an epistolary model, continuing her interest in the participatory elements of script and narrative. Benedetta’s much overlooked literary narrative includes a female perspective missing from many of her fellow Futurists’ novels.</w:t>
      </w:r>
    </w:p>
    <w:p>
      <w:pPr/>
      <w:r>
        <w:rPr>
          <w:b/>
        </w:rPr>
        <w:t>POSSIBLE 2020:</w:t>
      </w:r>
      <w:r>
        <w:t xml:space="preserve"> Agriculture futurist: Don Ort — https://doi.org/10.1093/plphys/kiaa024</w:t>
      </w:r>
    </w:p>
    <w:p>
      <w:pPr/>
      <w:r>
        <w:rPr>
          <w:b/>
        </w:rPr>
        <w:t>Shared claim-specific concepts:</w:t>
      </w:r>
      <w:r>
        <w:t xml:space="preserve"> different, not, but, also, ways, political; EU scope not established. This is a provisional connection, not an outcome finding.</w:t>
      </w:r>
    </w:p>
    <w:p>
      <w:pPr>
        <w:pStyle w:val="SourceNote"/>
      </w:pPr>
      <w:r>
        <w:rPr>
          <w:b/>
        </w:rPr>
        <w:t>Available abstract (not full text):</w:t>
      </w:r>
      <w:r>
        <w:t xml:space="preserve"> Scientists have an ability to prove the predictions wrong, especially when it comes to meeting increasing food demand. In 1798, Thomas Malthus, an English political economist, published “An essay on the principle of population” in which he concluded that “The power of population is so superior to the power of the earth to produce subsistence for man, that premature death must in some shape or other visit the human race.” (Malthus, 1798). Over the centuries, this message has been repeated. For example, Paul Ehrlich’s 1968 book, The Population Bomb famously began with the statement “The battle to feed all of humanity is over. In the 1970s hundreds of millions of people will starve to death…” (Ehrlich, 1968). Through the expansion of cultivated land, intensification of inputs, and the adoption of resource-responsive dwarf varieties, the “Green Revolution” in the 60s and 70s, saw average annual production gains of 3.2% (1961–1980) across developing countries (80% of the gains due to yield ha−1 increases; e.g., Evenson and Gollin, 2003); forestalling a food crisis. Between 1981 and 2000, as world population grew by another 1.6 billion people, modern varieties and precision technologies continued to increase yield potential as well as reduce the yield gap between actual and potential yield. But analyses of production trends suggest the returns of the Green Revolution may be diminishi</w:t>
      </w:r>
    </w:p>
    <w:p>
      <w:pPr/>
      <w:r>
        <w:rPr>
          <w:b/>
        </w:rPr>
        <w:t>POSSIBLE 2020:</w:t>
      </w:r>
      <w:r>
        <w:t xml:space="preserve"> From critical manifesto to transformative genderplay: feminist Futurist and Dadaist strategies countering the misogyny within the historical avant-gardes — https://doi.org/10.21825/documenta.81885</w:t>
      </w:r>
    </w:p>
    <w:p>
      <w:pPr/>
      <w:r>
        <w:rPr>
          <w:b/>
        </w:rPr>
        <w:t>Shared claim-specific concepts:</w:t>
      </w:r>
      <w:r>
        <w:t xml:space="preserve"> not, only, but, also; EU scope not established. This is a provisional connection, not an outcome finding.</w:t>
      </w:r>
    </w:p>
    <w:p>
      <w:pPr>
        <w:pStyle w:val="SourceNote"/>
      </w:pPr>
      <w:r>
        <w:rPr>
          <w:b/>
        </w:rPr>
        <w:t>Available abstract (not full text):</w:t>
      </w:r>
      <w:r>
        <w:t xml:space="preserve"> This article touches upon the problematic reception of the female pioneers of the historical avant-gardes - by contemporaries and art historians - more specifically within the movements of Futurism, Dadaism and Surrealism. What artistic strategies did avant-garde women apply to resist the omnipresent misogyny that was not only trivializing female creation but also sexualizing the female ‘other’? How is the gender binary embedded and challenged within their artistic practice? This article observes firstly, how a critical engagement with the rather masculine format of the manifesto empowered women in dealing with the stereotypical imagery of womanhood at the time. Second, the application of so-called “inferior” media (embroidery, design, dance) and materials (textile, wood, the body) tackled the patriarchal classification of the arts and the subordinate role of women in it. Finally, the live performance of genderplay allowed female artists to articulate the bankruptcy of traditional gender conventions responsible for the problematic reception of many female artists through art history.</w:t>
      </w:r>
    </w:p>
    <w:p>
      <w:pPr>
        <w:pStyle w:val="Heading2"/>
      </w:pPr>
      <w:r>
        <w:t>987. The future of direct payments system in the EU agriculture; European Commission scenarios</w:t>
      </w:r>
    </w:p>
    <w:p>
      <w:pPr>
        <w:pStyle w:val="SourceNote"/>
      </w:pPr>
      <w:r>
        <w:rPr>
          <w:b/>
        </w:rPr>
        <w:t>Original source (2012):</w:t>
      </w:r>
      <w:r>
        <w:t xml:space="preserve"> https://doi.org/10.22630/prs.2012.12.3.38</w:t>
      </w:r>
    </w:p>
    <w:p>
      <w:pPr/>
      <w:r>
        <w:t>Original wording (abstract; indexed_source_text_not_full_document_verified): Different scenarios of the current system adjustments, as proposed by the European Commission, are presented.</w:t>
      </w:r>
    </w:p>
    <w:p>
      <w:pPr/>
      <w:r>
        <w:rPr>
          <w:b/>
        </w:rPr>
        <w:t>POSSIBLE 2025:</w:t>
      </w:r>
      <w:r>
        <w:t xml:space="preserve"> Recommendations of the European Commission on the efficiency of justice and their impact on improving enforcement proceedings in Ukraine — https://doi.org/10.24144/2788-6018.2025.04.3.65</w:t>
      </w:r>
    </w:p>
    <w:p>
      <w:pPr/>
      <w:r>
        <w:rPr>
          <w:b/>
        </w:rPr>
        <w:t>Shared claim-specific concepts:</w:t>
      </w:r>
      <w:r>
        <w:t xml:space="preserve"> different, current, system, proposed, commission; EU scope visible. This is a provisional connection, not an outcome finding.</w:t>
      </w:r>
    </w:p>
    <w:p>
      <w:pPr>
        <w:pStyle w:val="SourceNote"/>
      </w:pPr>
      <w:r>
        <w:rPr>
          <w:b/>
        </w:rPr>
        <w:t>Available abstract (not full text):</w:t>
      </w:r>
      <w:r>
        <w:t xml:space="preserve"> This article reveals the role of the European Commission for the Efficiency of Justice (CEPEJ) in improving the state of enforcement of court decisions and other bodies in Ukraine. The activities of this Commission are aimed at reducing the burden on the European Court of Human Rights (hereinafter referred to as the ECHR) by improving the efficiency and quality of the judicial system in the member states. Since Ukraine is a member of the Council of Europe, it should take into account the CEPEJ Recommendations on improving the state of enforcement of court decisions, in particular, whenimproving the legislation on enforcement proceedings in Ukraine. The Guidelines for the implementation of the relevant Council of Europe recommendations on the enforcement of court decisions, developed by the CEPEJ, are analyzed. The need for such CEPEJ Recommendations is also due to the fact that Ukraine ranks third in the number of applications to the European Court of Human Rights, which indicates problems with the enforcement of decisions of national courts as well as decisions of the ECHR. It is proposed to develop a Program for the Implementation of the CEPEJ Guidelines into the legislation of Ukraine on enforcement proceedings and to take them into account in the draft amendments to the Law of Ukraine “On Enforcement Proceedings”. The following CEPEJ Guidelines have been analyzed: the princ</w:t>
      </w:r>
    </w:p>
    <w:p>
      <w:pPr/>
      <w:r>
        <w:rPr>
          <w:b/>
        </w:rPr>
        <w:t>POSSIBLE 2024:</w:t>
      </w:r>
      <w:r>
        <w:t xml:space="preserve"> Tax Challenges Arising from Digitalization: Evaluating the Taxation Models Proposed by the European Commission and the OECD — https://doi.org/10.31743/recl.17376</w:t>
      </w:r>
    </w:p>
    <w:p>
      <w:pPr/>
      <w:r>
        <w:rPr>
          <w:b/>
        </w:rPr>
        <w:t>Shared claim-specific concepts:</w:t>
      </w:r>
      <w:r>
        <w:t xml:space="preserve"> different, system, proposed, commission; EU scope visible. This is a provisional connection, not an outcome finding.</w:t>
      </w:r>
    </w:p>
    <w:p>
      <w:pPr>
        <w:pStyle w:val="SourceNote"/>
      </w:pPr>
      <w:r>
        <w:rPr>
          <w:b/>
        </w:rPr>
        <w:t>Available abstract (not full text):</w:t>
      </w:r>
      <w:r>
        <w:t xml:space="preserve"> The world has entered a period of deep transition with rapid and phenomenal development of innovations. The rise of the digital economy has dramatically changed the global business environment, creating new challenges for the tax system. Newspapers and magazines are being replaced by the Internet, and trade in material goods – by digital services. The digital economy eliminates the barriers of time, space and distance. The server where the transaction is processed, the location from which the goods or services are supplied and the place of supply of such goods or services are in different jurisdictions, therefore, the question “Where should the transaction be taxed?” is raised. Meanwhile, the digital economy opens up unprecedented opportunities to avoid taxes with the international tax rules which are still “stuck” in 20th-century business concepts, because the companies operating in the digital space do not need factories, stores or other permanent residences to develop their activities. This article aims to evaluate the efforts of the European Union and international standard-setting entities to find a solution for fair taxation of the digital economy. The first part of the article delves into the concept of the digital economy and its essential features with a special emphasis on the role of the digital service user which is unique and more complex than the role usually play</w:t>
      </w:r>
    </w:p>
    <w:p>
      <w:pPr/>
      <w:r>
        <w:rPr>
          <w:b/>
        </w:rPr>
        <w:t>POSSIBLE 2024:</w:t>
      </w:r>
      <w:r>
        <w:t xml:space="preserve"> Novelties Proposed by the European Commission on Victims’ Rights Protection and its Relevance for Serbian Authorities — https://doi.org/10.47152/palic2024.2</w:t>
      </w:r>
    </w:p>
    <w:p>
      <w:pPr/>
      <w:r>
        <w:rPr>
          <w:b/>
        </w:rPr>
        <w:t>Shared claim-specific concepts:</w:t>
      </w:r>
      <w:r>
        <w:t xml:space="preserve"> system, proposed, commission; EU scope visible. This is a provisional connection, not an outcome finding.</w:t>
      </w:r>
    </w:p>
    <w:p>
      <w:pPr>
        <w:pStyle w:val="SourceNote"/>
      </w:pPr>
      <w:r>
        <w:rPr>
          <w:b/>
        </w:rPr>
        <w:t>Available abstract (not full text):</w:t>
      </w:r>
      <w:r>
        <w:t xml:space="preserve"> An estimated 75 million people in the European Union fall victim to crime every year reflects the significant impact of criminal activities on considerable portion of the population. Crime victims may experience a range of physical, emotional, and financial consequences, underscoring the importance of effective legal frameworks, support services, and policies to address their needs. The protection of victims’ rights is a crucial aspect of the criminal justice system in the EU. The EU has taken steps to enhance the right and protection of victims through initiatives such as the Victims’ Rights Directive and the EU Strategy on Victims’ Rights. The Victims’ Rights Directive, adopted in 2012, establishes minimum standards for the rights, support, and protection of victims of crime across the EU. The Directive aims to ensure that victims are recognized, treated with respect, and have access to information, support services, and fair treatment throughout the criminal justice process. In June 2022, the European Commission conducted and evaluation of the Victims’ Rights Directive as part of its commitment outlined in the EU Strategy on Victims’ Rights 2020-2025. The Strategy focuses on enhancing victims’ rights, ensuring their effective implementation, and addressing emerging challenges in this area. Following the evaluation, on July 12, 2023, the European Commission proposed amendment</w:t>
      </w:r>
    </w:p>
    <w:p>
      <w:pPr/>
      <w:r>
        <w:rPr>
          <w:b/>
        </w:rPr>
        <w:t>POSSIBLE 2022:</w:t>
      </w:r>
      <w:r>
        <w:t xml:space="preserve"> Judicial coherence in the current European patent system — https://doi.org/10.4337/9781800880078.00009</w:t>
      </w:r>
    </w:p>
    <w:p>
      <w:pPr/>
      <w:r>
        <w:rPr>
          <w:b/>
        </w:rPr>
        <w:t>Shared claim-specific concepts:</w:t>
      </w:r>
      <w:r>
        <w:t xml:space="preserve"> different, current, system; EU scope visible. This is a provisional connection, not an outcome finding.</w:t>
      </w:r>
    </w:p>
    <w:p>
      <w:pPr>
        <w:pStyle w:val="SourceNote"/>
      </w:pPr>
      <w:r>
        <w:rPr>
          <w:b/>
        </w:rPr>
        <w:t>Available abstract (not full text):</w:t>
      </w:r>
      <w:r>
        <w:t xml:space="preserve"> Chapter 3 analyses the status of judicial coherence in the current European patent system through the lens of the conceptual framework. The first part of the chapter describes the structure of the European patent system with its diversified set of actors at the legislative, executive and judicial levels that are part of the European Union (EU) and European Patent Organisation (EPOrg) pillars. Moreover, the first part of Chapter 3 illustrates how harmonisation through international and EU legislation in the patent field has ultimately fostered a coherent interpretation of the law. In the second part of the chapter, the main actors of the patent system are described and some examples on different combinations of specialisation and centralisation in European national courts are shown. Then the main challenges to coherence are described by exploring relevant case law.</w:t>
      </w:r>
    </w:p>
    <w:p>
      <w:pPr/>
      <w:r>
        <w:rPr>
          <w:b/>
        </w:rPr>
        <w:t>POSSIBLE 2022:</w:t>
      </w:r>
      <w:r>
        <w:t xml:space="preserve"> Disinformation regarding COVID-19 in light of the priorities of the European Commission and the legal regulations binding and currently drafted in Poland — https://doi.org/10.31743/recl.13539</w:t>
      </w:r>
    </w:p>
    <w:p>
      <w:pPr/>
      <w:r>
        <w:rPr>
          <w:b/>
        </w:rPr>
        <w:t>Shared claim-specific concepts:</w:t>
      </w:r>
      <w:r>
        <w:t xml:space="preserve"> different, proposed, commission; EU scope visible. This is a provisional connection, not an outcome finding.</w:t>
      </w:r>
    </w:p>
    <w:p>
      <w:pPr>
        <w:pStyle w:val="SourceNote"/>
      </w:pPr>
      <w:r>
        <w:rPr>
          <w:b/>
        </w:rPr>
        <w:t>Available abstract (not full text):</w:t>
      </w:r>
      <w:r>
        <w:t xml:space="preserve"> Disinformation regarding the COVID-19 pandemic is a global phenomenon. It constitutes a threat to the values protected under the law, health in particular. The primary issue tackled in “Disinformation regarding COVID-19 in the light of priorities of the European Commission and the legal regulations binding and currently drafted in Poland” paper is an attempt at answering the following question: Is eliminating COVID-19 disinformation from public space possible in light of the priorities of the European Commission and the legal regulations already effective and currently being drafted in Poland? The analyses conducted under the paper lead to the conclusions that the provisions currently regulating freedom of expression theoretically constitute a basis for eliminating disinformation from public space but are, in practice, not very effective. This leads to the need for searching for other, more effective legal instruments in this field, both on the level of European Union law making and domestic legislation. Although we may speak of a consensus concerning assessment of the very phenomenon of disinformation the legislative and practical actions taken, both on the domestic level and the European Union level, enable us to indicate substantial and frequently disturbing differences regarding shifting the aspects emphasized by legislation. As compared to the proposed solutions drafted by</w:t>
      </w:r>
    </w:p>
    <w:p>
      <w:pPr/>
      <w:r>
        <w:rPr>
          <w:b/>
        </w:rPr>
        <w:t>POSSIBLE 2022:</w:t>
      </w:r>
      <w:r>
        <w:t xml:space="preserve"> Evaluation of the Proposed European Commission Directive on Critical Entities Resilience and Its Potential to Consolidate the Resilience Terminology — https://doi.org/10.3850/978-981-18-5183-4_s21-02-213</w:t>
      </w:r>
    </w:p>
    <w:p>
      <w:pPr/>
      <w:r>
        <w:rPr>
          <w:b/>
        </w:rPr>
        <w:t>Shared claim-specific concepts:</w:t>
      </w:r>
      <w:r>
        <w:t xml:space="preserve"> different, current, proposed, commission; EU scope visible. This is a provisional connection, not an outcome finding.</w:t>
      </w:r>
    </w:p>
    <w:p>
      <w:pPr>
        <w:pStyle w:val="SourceNote"/>
      </w:pPr>
      <w:r>
        <w:rPr>
          <w:b/>
        </w:rPr>
        <w:t>Available abstract (not full text):</w:t>
      </w:r>
      <w:r>
        <w:t xml:space="preserve"> The European Commission (EC) has proposed a new directive on critical entities resilience.The aim is to enhance the protection and to unify the approaches in different member states.The stated novelty of this directive lies in the thought that protecting the infrastructure is not sufficient.Therefore, it is necessary to reinforce the resilience of the critical infrastructure operators.This paper gives a brief overview on past legislative developments in critical infrastructure protection and attempts to evaluate the impact of the new EC proposal.We base the estimate on impact analyses past legislation.There are two key findings.EC legislation leaves the implementation to the member states, which gives them a certain freedom to interpret the text of EC directives.This has led to heterogeneous adaptation of the legislation within member states.This kind of heterogeneous impact will likely be also the result of the current proposal.Secondly, EC directives have had mandates for cooperation between member states.These have resulted in member states developing common vocabularies in the focus areas of directives.In the resilience engineering field, this may have a significant consolidating effect, as technological resilience is still a new concept associated with some ambiguity around its definition.Our paper discusses this matter and provides evidence that existing legislation had a</w:t>
      </w:r>
    </w:p>
    <w:p>
      <w:pPr/>
      <w:r>
        <w:rPr>
          <w:b/>
        </w:rPr>
        <w:t>POSSIBLE 2022:</w:t>
      </w:r>
      <w:r>
        <w:t xml:space="preserve"> Evaluation of the Proposed European Commission Directive on Critical Entities Resilience and Its Potential to Consolidate the Resilience Terminology — https://doi.org/10.3850/978-981-18-5183-4_s21-02-213-cd</w:t>
      </w:r>
    </w:p>
    <w:p>
      <w:pPr/>
      <w:r>
        <w:rPr>
          <w:b/>
        </w:rPr>
        <w:t>Shared claim-specific concepts:</w:t>
      </w:r>
      <w:r>
        <w:t xml:space="preserve"> different, current, proposed, commission; EU scope visible. This is a provisional connection, not an outcome finding.</w:t>
      </w:r>
    </w:p>
    <w:p>
      <w:pPr>
        <w:pStyle w:val="SourceNote"/>
      </w:pPr>
      <w:r>
        <w:rPr>
          <w:b/>
        </w:rPr>
        <w:t>Available abstract (not full text):</w:t>
      </w:r>
      <w:r>
        <w:t xml:space="preserve"> The European Commission (EC) has proposed a new directive on critical entities resilience. The aim is to enhance the protection and to unify the approaches in different member states. The stated novelty of this directive lies in the thought that protecting the infrastructure is not sufficient. Therefore, it is necessary to reinforce the resilience of the critical infrastructure operators. This paper gives a brief overview on past legislative developments in critical infrastructure protection and attempts to evaluate the impact of the new EC proposal. We base the estimate on impact analyses past legislation. There are two key findings. EC legislation leaves the implementation to the member states, which gives them a certain freedom to interpret the text of EC directives. This has led to heterogeneous adaptation of the legislation within member states. This kind of heterogeneous impact will likely be also the result of the current proposal. Secondly, EC directives have had mandates for cooperation between member states. These have resulted in member states developing common vocabularies in the focus areas of directives. In the resilience engineering field, this may have a significant consolidating effect, as technological resilience is still a new concept associated with some ambiguity around its definition. Our paper discusses this matter and provides evidence that existing legi</w:t>
      </w:r>
    </w:p>
    <w:p>
      <w:pPr/>
      <w:r>
        <w:rPr>
          <w:b/>
        </w:rPr>
        <w:t>POSSIBLE 2022:</w:t>
      </w:r>
      <w:r>
        <w:t xml:space="preserve"> Assigning Obligations in AI Regulation: A Discussion of Two Frameworks Proposed By the European Commission — https://doi.org/10.1007/s44206-022-00009-z</w:t>
      </w:r>
    </w:p>
    <w:p>
      <w:pPr/>
      <w:r>
        <w:rPr>
          <w:b/>
        </w:rPr>
        <w:t>Shared claim-specific concepts:</w:t>
      </w:r>
      <w:r>
        <w:t xml:space="preserve"> different, system, proposed, commission; EU scope visible. This is a provisional connection, not an outcome finding.</w:t>
      </w:r>
    </w:p>
    <w:p>
      <w:pPr>
        <w:pStyle w:val="SourceNote"/>
      </w:pPr>
      <w:r>
        <w:rPr>
          <w:b/>
        </w:rPr>
        <w:t>Available abstract (not full text):</w:t>
      </w:r>
      <w:r>
        <w:t xml:space="preserve"> Abstract The emergence and increasing prevalence of Artificial Intelligence (AI) systems in a growing number of application areas brings about opportunities but also risks for individuals and society as a whole. To minimize the risks associated with AI systems and to mitigate potential harm caused by them, recent policy papers and regulatory proposals discuss obliging developers, deployers, and operators of these systems to avoid certain types of use and features in their design. However, most AI systems are complex socio-technical systems in which control over the system is extensively distributed. In many cases, a multitude of different actors is involved in the purpose setting, data management and data preparation, model development, as well as deployment, use, and refinement of such systems. Therefore, determining sensible addressees for the respective obligations is all but trivial. This article discusses two frameworks for assigning obligations that have been proposed in the European Commission’s whitepaper On Artificial Intelligence—A European approach to excellence and trust and the proposal for the Artificial Intelligence Act respectively. The focus is on whether the frameworks adequately account for the complex constellations of actors that are present in many AI systems and how the various tasks in the process of developing, deploying, and using AI systems, in which </w:t>
      </w:r>
    </w:p>
    <w:p>
      <w:pPr/>
      <w:r>
        <w:rPr>
          <w:b/>
        </w:rPr>
        <w:t>POSSIBLE 2022:</w:t>
      </w:r>
      <w:r>
        <w:t xml:space="preserve"> The European Commission and minority rights — https://doi.org/10.4337/9781800375932.00016</w:t>
      </w:r>
    </w:p>
    <w:p>
      <w:pPr/>
      <w:r>
        <w:rPr>
          <w:b/>
        </w:rPr>
        <w:t>Shared claim-specific concepts:</w:t>
      </w:r>
      <w:r>
        <w:t xml:space="preserve"> current, commission, presented; EU scope visible. This is a provisional connection, not an outcome finding.</w:t>
      </w:r>
    </w:p>
    <w:p>
      <w:pPr>
        <w:pStyle w:val="SourceNote"/>
      </w:pPr>
      <w:r>
        <w:rPr>
          <w:b/>
        </w:rPr>
        <w:t>Available abstract (not full text):</w:t>
      </w:r>
      <w:r>
        <w:t xml:space="preserve"> With its extensive powers, the Commission could interpret 'expansively' the numerous legal references relating to minorities in EU Law and develop the EU's engagement with minority rights. The Commission could do this by (i) focusing on the full spectrum of minority rights where permitted, (ii) engaging in minority rights as broadly as legal powers allow and (iii) applying these consistently across case studies and states. This chapter argues that the Commission's current performance is not of adequate quality and quantity, when compared to the possibilities presented by the legal powers. This is particularly problematic since minority rights is a declared value of the EU in primary law. This unsatisfactory performance on the part of the Commission lends support to those who have long called into question the status of the EU as an organisation credibly founded upon the values of human rights and minority protection.</w:t>
      </w:r>
    </w:p>
    <w:p>
      <w:pPr/>
      <w:r>
        <w:rPr>
          <w:b/>
        </w:rPr>
        <w:t>POSSIBLE 2021:</w:t>
      </w:r>
      <w:r>
        <w:t xml:space="preserve"> The EASL–Lancet Liver Commission: protecting the next generation of Europeans against liver disease complications and premature mortality — https://doi.org/10.1016/s0140-6736(21)01701-3</w:t>
      </w:r>
    </w:p>
    <w:p>
      <w:pPr/>
      <w:r>
        <w:rPr>
          <w:b/>
        </w:rPr>
        <w:t>Shared claim-specific concepts:</w:t>
      </w:r>
      <w:r>
        <w:t xml:space="preserve"> current, proposed, commission; EU scope visible. This is a provisional connection, not an outcome finding.</w:t>
      </w:r>
    </w:p>
    <w:p>
      <w:pPr>
        <w:pStyle w:val="SourceNote"/>
      </w:pPr>
      <w:r>
        <w:rPr>
          <w:b/>
        </w:rPr>
        <w:t>Available abstract (not full text):</w:t>
      </w:r>
      <w:r>
        <w:t xml:space="preserve"> Liver diseases have become a major health threat across Europe, and the face of European hepatology is changing due to the cure of viral hepatitis C and the control of chronic viral hepatitis B, the increasingly widespread unhealthy use of alcohol, the epidemic of obesity, and undiagnosed or untreated liver disease in migrant populations.Consequently, Europe is facing a looming syndemic, in which socioeconomic and health inequities combine to adversely affect liver disease prevalence, outcomes, and opportunities to receive care.In addition, the COVID-19 pandemic has magnified pre-existing challenges to uniform implementation of policies and equity of access to care in Europe, arising from national borders and the cultural and historical heterogeneity of European societies.In following up on work from the Lancet Commission on liver disease in the UK and epidemiological studies led by the European Association for the Study of the Liver (EASL), our multidisciplinary Commission, comprising a wide range of public health, medical, and nursing specialty groups, along with patient representatives, set out to provide a snapshot of the European landscape on liver diseases and to propose a framework for the principal actions required to improve liver health in Europe.We believe that a joint European process of thinking, and construction of uniform policies and action, implementation, and </w:t>
      </w:r>
    </w:p>
    <w:p>
      <w:pPr/>
      <w:r>
        <w:rPr>
          <w:b/>
        </w:rPr>
        <w:t>POSSIBLE 2019:</w:t>
      </w:r>
      <w:r>
        <w:t xml:space="preserve"> The ‘political’ roles of the European Commission — https://doi.org/10.1080/07036337.2019.1572135</w:t>
      </w:r>
    </w:p>
    <w:p>
      <w:pPr/>
      <w:r>
        <w:rPr>
          <w:b/>
        </w:rPr>
        <w:t>Shared claim-specific concepts:</w:t>
      </w:r>
      <w:r>
        <w:t xml:space="preserve"> different, current, system, commission; EU scope visible. This is a provisional connection, not an outcome finding.</w:t>
      </w:r>
    </w:p>
    <w:p>
      <w:pPr>
        <w:pStyle w:val="SourceNote"/>
      </w:pPr>
      <w:r>
        <w:rPr>
          <w:b/>
        </w:rPr>
        <w:t>Available abstract (not full text):</w:t>
      </w:r>
      <w:r>
        <w:t xml:space="preserve"> The extent to which the European Commission exercises ‘political’ roles in European integration is very much up for debate. Some recent analyses of the Commission take it for granted that its political roles have been in decline, while others have suggested they have increased – especially under the current President of the Commission, Jean-Claude Juncker, who was appointed in 2014 by a much more politicised process than had been used previously and whose College has sought to present itself as being guided by a political mission and as offering political leadership to the EU. In this article, we aim to show that in the debate about the political roles of the Commission, ‘political’ has often been poorly defined and operationalised. By drawing on Public Administration scholarship, we offer a framework for analysing how and where in the EU system the Commission’s political roles might become manifest. We then assess empirically these roles in different functions the Commission undertakes.</w:t>
      </w:r>
    </w:p>
    <w:p>
      <w:pPr/>
      <w:r>
        <w:rPr>
          <w:b/>
        </w:rPr>
        <w:t>POSSIBLE 2019:</w:t>
      </w:r>
      <w:r>
        <w:t xml:space="preserve"> 5th generation district heating and cooling systems: A review of existing cases in Europe — https://doi.org/10.1016/j.rser.2018.12.059</w:t>
      </w:r>
    </w:p>
    <w:p>
      <w:pPr/>
      <w:r>
        <w:rPr>
          <w:b/>
        </w:rPr>
        <w:t>Shared claim-specific concepts:</w:t>
      </w:r>
      <w:r>
        <w:t xml:space="preserve"> different, current, presented; EU scope visible. This is a provisional connection, not an outcome finding.</w:t>
      </w:r>
    </w:p>
    <w:p>
      <w:pPr>
        <w:pStyle w:val="SourceNote"/>
      </w:pPr>
      <w:r>
        <w:rPr>
          <w:b/>
        </w:rPr>
        <w:t>Available abstract (not full text):</w:t>
      </w:r>
      <w:r>
        <w:t xml:space="preserve"> This article investigates 40 thermal networks in operation in Europe that are able to cover both the heating and cooling demands of buildings by means of distributed heat pumps installed at the customer substations. The technology of thermal networks that work at a temperature close to the ground, can strongly contribute to the decarbonisation of the heating and cooling sector and furthermore exploit a multitude of low temperature heat sources. Nevertheless, the nomenclature used in literature shows that misinterpretations could easily result when comparing the different concepts of thermal networks that operate at a temperature level lower than traditional district heating. The scope of this work is to revise the definitions encountered and to introduce an unambiguous definition of Fifth-Generation District Heating and Cooling networks. A drawback-benefit analysis is presented to identify the pros and cons of such technology. The survey on the current networks shows that on average three Fifth-Generation District Heating and Cooling systems per year have entered the heating and cooling market in the last decade. Pioneer countries in such technology are Germany and Switzerland. For some networks, the assessed Linear Heating Power Demand Density results are lower than the feasibility threshold adopted in traditional district heating. High performances and low non-renewable prima</w:t>
      </w:r>
    </w:p>
    <w:p>
      <w:pPr>
        <w:pStyle w:val="Heading2"/>
      </w:pPr>
      <w:r>
        <w:t>988. The use of probabilistic weather generator information for climate change adaptation in the UK water sector</w:t>
      </w:r>
    </w:p>
    <w:p>
      <w:pPr>
        <w:pStyle w:val="SourceNote"/>
      </w:pPr>
      <w:r>
        <w:rPr>
          <w:b/>
        </w:rPr>
        <w:t>Original source (2012):</w:t>
      </w:r>
      <w:r>
        <w:t xml:space="preserve"> https://doi.org/10.1002/met.1335</w:t>
      </w:r>
    </w:p>
    <w:p>
      <w:pPr/>
      <w:r>
        <w:t>Original wording (abstract; indexed_source_text_not_full_document_verified): With regards to the second assumption, it is suggested that modelling activity should identify the range of plausible futures to develop probabilities of risk, using those robust decision-making techniques which can gauge the performance of potential adaptation strategies.</w:t>
      </w:r>
    </w:p>
    <w:p>
      <w:pPr/>
      <w:r>
        <w:rPr>
          <w:b/>
        </w:rPr>
        <w:t>POSSIBLE 2025:</w:t>
      </w:r>
      <w:r>
        <w:t xml:space="preserve"> Response to Comment on “Soluble Receptor for Advanced Glycation End Products and Incident Hypertension in REGARDS” — https://doi.org/10.1093/ajh/hpaf229</w:t>
      </w:r>
    </w:p>
    <w:p>
      <w:pPr/>
      <w:r>
        <w:rPr>
          <w:b/>
        </w:rPr>
        <w:t>Shared claim-specific concepts:</w:t>
      </w:r>
      <w:r>
        <w:t xml:space="preserve"> regards, second, activity, potential; EU scope not established. This is a provisional connection, not an outcome finding.</w:t>
      </w:r>
    </w:p>
    <w:p>
      <w:pPr>
        <w:pStyle w:val="SourceNote"/>
      </w:pPr>
      <w:r>
        <w:rPr>
          <w:b/>
        </w:rPr>
        <w:t>Available abstract (not full text):</w:t>
      </w:r>
      <w:r>
        <w:t xml:space="preserve"> We thank Dr Shen and colleagues for their thoughtful comments on our recent article, “Soluble Receptor for Advanced Glycation End Products (sRAGE) and Incident Hypertension in REGARDS.”1 They raise 3 key concerns: (1) the treatment of missing dietary data and the role of diet as a potential confounder, (2) kidney function and its impact on sRAGE levels, and (3) statin use and its potential influence on sRAGE levels. Regarding missing dietary data, we used the Life’s Simple 7 dietary metric to quantify the quality of diet in the population as poor (0-1 healthy dietary components), intermediate (2-3 components), or ideal (4-5 components). Nationally, diet quality in the United States was previously estimated to be 76% for poor, 24% for intermediate, at &lt;0.5% for ideal.2 In REGARDS, the distribution among participants with available dietary is similar to national data (80.24%, 19.71%, and 0.05% for poor, intermediate, and ideal, respectively). Dietary data are considered missing not at random in REGARDS given differential completion of the Food Frequency Questionnaire based on sociodemographics. Therefore, conventional non-deterministic imputation methodologies (eg, multiple imputation) cannot be used.3 To assess whether assigning a “poor” score to missing diets over adjusted results, we performed two sensitivity analyses, which are shown in Table 1. The first assigned missing die</w:t>
      </w:r>
    </w:p>
    <w:p>
      <w:pPr/>
      <w:r>
        <w:rPr>
          <w:b/>
        </w:rPr>
        <w:t>POSSIBLE 2025:</w:t>
      </w:r>
      <w:r>
        <w:t xml:space="preserve"> Synthesizing activity locations in the context of integrated activity-based models — https://doi.org/10.5198/jtlu.2025.2291</w:t>
      </w:r>
    </w:p>
    <w:p>
      <w:pPr/>
      <w:r>
        <w:rPr>
          <w:b/>
        </w:rPr>
        <w:t>Shared claim-specific concepts:</w:t>
      </w:r>
      <w:r>
        <w:t xml:space="preserve"> activity, probabilities, techniques; EU scope not established. This is a provisional connection, not an outcome finding.</w:t>
      </w:r>
    </w:p>
    <w:p>
      <w:pPr>
        <w:pStyle w:val="SourceNote"/>
      </w:pPr>
      <w:r>
        <w:rPr>
          <w:b/>
        </w:rPr>
        <w:t>Available abstract (not full text):</w:t>
      </w:r>
      <w:r>
        <w:t xml:space="preserve"> Activity-based models are a powerful tool for transportation analysis and represent the future of the industry in terms of modeling techniques. However, the data-hungry aspect of these models makes them difficult and slow to build. This paper presents a set of methodologies to synthesize activity locations for U.S. cities, providing estimates of locations by land-use type in areas with limited available data. The methodology includes a regression method to estimate the number of locations by land-use type complemented by selective use of open data. Detailed information from the entire Southern California Association of Governments (SCAG) area, comprising more than 100,000 km2, is used to calibrate the model. A zero-inflated negative binomial (ZINB) regression is proposed to tackle the excess of zeros in the dataset. The model is estimated using a Bayesian approach that quantifies the coefficients’ variability, uses information regarding prior beliefs, and estimates zero-inflated probabilities by zone. The main results suggest that the proposed methodological framework can be used to estimate locations in a fast and efficient way without the need for detailed land-use information. Transportation planners and policymakers can use the results and methods provided in this research to approximate activity location distributions in activity-based models.</w:t>
      </w:r>
    </w:p>
    <w:p>
      <w:pPr/>
      <w:r>
        <w:rPr>
          <w:b/>
        </w:rPr>
        <w:t>POSSIBLE 2024:</w:t>
      </w:r>
      <w:r>
        <w:t xml:space="preserve"> Interpretation of Second Law of Thermodynamics in Extended Procedures for the Exploitation of the Entropy Inequality: Korteweg Fluids and Strain-Gradient Elasticity as Examples — https://doi.org/10.3390/e26040293</w:t>
      </w:r>
    </w:p>
    <w:p>
      <w:pPr/>
      <w:r>
        <w:rPr>
          <w:b/>
        </w:rPr>
        <w:t>Shared claim-specific concepts:</w:t>
      </w:r>
      <w:r>
        <w:t xml:space="preserve"> regards, second, assumption; EU scope not established. This is a provisional connection, not an outcome finding.</w:t>
      </w:r>
    </w:p>
    <w:p>
      <w:pPr>
        <w:pStyle w:val="SourceNote"/>
      </w:pPr>
      <w:r>
        <w:rPr>
          <w:b/>
        </w:rPr>
        <w:t>Available abstract (not full text):</w:t>
      </w:r>
      <w:r>
        <w:t xml:space="preserve"> In continuum physics the dissipation principle, first proposed by Coleman and Noll in 1963, regards second law of thermodynamics as a unilateral differential constraint on the constitutive equations. In 1996, Muschik and Ehrentraut provided a rigorous proof of such an approach under the assumption that, at an arbitrary instant, t0, in an arbitrary point, P0, of a continuous system, the entropy production is zero if, and only if, P0 is in thermodynamic equilibrium. In 2022, Cimmelli and Rogolino incorporated such an assumption in a more general formulation of the second law of thermodynamics. In this paper, we prove that the same conclusions hold if both the fundamental balance laws and their gradients are substituted into the entropy inequality. Such a methodology is applied to analyze the strain-gradient elasticity.</w:t>
      </w:r>
    </w:p>
    <w:p>
      <w:pPr/>
      <w:r>
        <w:rPr>
          <w:b/>
        </w:rPr>
        <w:t>POSSIBLE 2024:</w:t>
      </w:r>
      <w:r>
        <w:t xml:space="preserve"> Endothelial Dysfunction Biomarkers and CKD Incidence in the REGARDS Cohort — https://doi.org/10.1016/j.ekir.2024.04.056</w:t>
      </w:r>
    </w:p>
    <w:p>
      <w:pPr/>
      <w:r>
        <w:rPr>
          <w:b/>
        </w:rPr>
        <w:t>Shared claim-specific concepts:</w:t>
      </w:r>
      <w:r>
        <w:t xml:space="preserve"> regards, second; EU scope not established. This is a provisional connection, not an outcome finding.</w:t>
      </w:r>
    </w:p>
    <w:p>
      <w:pPr>
        <w:pStyle w:val="SourceNote"/>
      </w:pPr>
      <w:r>
        <w:rPr>
          <w:b/>
        </w:rPr>
        <w:t>Available abstract (not full text):</w:t>
      </w:r>
      <w:r>
        <w:t xml:space="preserve"> Introduction Chronic kidney disease (CKD) is only partly caused by traditional risk factors. Endothelial dysfunction is common in CKD and may contribute to CKD incidence. We studied the association of circulating biomarkers reflecting endothelial dysfunction with incident CKD. Methods REGARDS is a prospective cohort of 30,239 Black or White adults aged ≥45 years. Baseline levels of ICAM-1, VCAM-1, factor VIII, and E-selectin were measured in 3,300 participants without baseline CKD or albuminuria who attended a second visit 9.4 years later. Kidney outcomes were incident CKD (eGFR &lt;60 mL/min/1.73m 2 and ≥40% decline or onset of new end stage kidney disease), incident ≥30% eGFR decline, and incident albuminuria (albumin-to-creatinine ratio (ACR) ≥30 mg/g). Sequentially adjusted logistic regression models assessed the association of biomarkers with kidney outcomes. Results Median age of participants was 62, 49% were women, and 46% identified as Black. 228 (6.9%) developed CKD, 613 (18.9%) experienced ≥30% decline in eGFR, and 356 (11.4%) developed albuminuria. The adjusted odds ratios for incident CKD per 1 standard deviation increment biomarker was 1.12 for ICAM-1 (95% CI 1.02-1.22), 1.10 for VCAM-1 (95% CI 1.01-1.20), 1.15 for factor VIII (95% CI 1.06-1.24), and 1.10 for E-selectin (95% CI 1.01-1.20). Results were similar for incident ≥30% eGFR decline but not albuminuria, where </w:t>
      </w:r>
    </w:p>
    <w:p>
      <w:pPr/>
      <w:r>
        <w:rPr>
          <w:b/>
        </w:rPr>
        <w:t>POSSIBLE 2024:</w:t>
      </w:r>
      <w:r>
        <w:t xml:space="preserve"> A Critical View on the Quantification of Model Catalyst Activity — https://doi.org/10.1007/s11244-024-01920-0</w:t>
      </w:r>
    </w:p>
    <w:p>
      <w:pPr/>
      <w:r>
        <w:rPr>
          <w:b/>
        </w:rPr>
        <w:t>Shared claim-specific concepts:</w:t>
      </w:r>
      <w:r>
        <w:t xml:space="preserve"> activity, identify, range; EU scope not established. This is a provisional connection, not an outcome finding.</w:t>
      </w:r>
    </w:p>
    <w:p>
      <w:pPr>
        <w:pStyle w:val="SourceNote"/>
      </w:pPr>
      <w:r>
        <w:rPr>
          <w:b/>
        </w:rPr>
        <w:t>Available abstract (not full text):</w:t>
      </w:r>
      <w:r>
        <w:t xml:space="preserve"> Abstract The conversion of reactants, reaction rate referred to catalyst mass, and turnover frequency (TOF) are values typically employed to compare the activity of different catalysts. However, experimental parameters have to be chosen carefully when systems of different complexity are compared. In order to characterize UHV-based model systems, we use a highly sensitive sniffer setup which allows us to investigate the catalytic activity by combining three different measurement modes: temperature-programmed desorption, continuous flow, and pulsed-reactivity experiments. In this article, we explore the caveats of quantifying catalytic activity in UHV on the well-studied and highly defined reference system of CO oxidation on Pt(111), which we later compare to the same reaction on Pt19 clusters deposited on Fe3O4(001). We demonstrate that we can apply fast heating ramps for TOF quantification, thus inducing as little sintering as possible in the metastable clusters. By changing the reactant ratio, we find transient reactivity effects that influence the TOF, which should be kept in mind when comparing catalysts. In addition, the TOF also depends on the surface coverage that itself is a function of temperature and pressure. At a constant reactant ratio, in the absence of transient effects, however, the TOF scales linearly with total pressure over the entire measured temperature rang</w:t>
      </w:r>
    </w:p>
    <w:p>
      <w:pPr/>
      <w:r>
        <w:rPr>
          <w:b/>
        </w:rPr>
        <w:t>POSSIBLE 2022:</w:t>
      </w:r>
      <w:r>
        <w:t xml:space="preserve"> The Role of the Second Law of Thermodynamics in Continuum Physics: A Muschik and Ehrentraut Theorem Revisited — https://doi.org/10.3390/sym14040763</w:t>
      </w:r>
    </w:p>
    <w:p>
      <w:pPr/>
      <w:r>
        <w:rPr>
          <w:b/>
        </w:rPr>
        <w:t>Shared claim-specific concepts:</w:t>
      </w:r>
      <w:r>
        <w:t xml:space="preserve"> regards, second, assumption, those; EU scope not established. This is a provisional connection, not an outcome finding.</w:t>
      </w:r>
    </w:p>
    <w:p>
      <w:pPr>
        <w:pStyle w:val="SourceNote"/>
      </w:pPr>
      <w:r>
        <w:rPr>
          <w:b/>
        </w:rPr>
        <w:t>Available abstract (not full text):</w:t>
      </w:r>
      <w:r>
        <w:t xml:space="preserve"> In continuum physics, constitutive equations model the material properties of physical systems. In those equations, material symmetry is taken into account by applying suitable representation theorems for symmetric and/or isotropic functions. Such mathematical representations must be in accordance with the second law of thermodynamics, which imposes that, in any thermodynamic process, the entropy production must be nonnegative. This requirement is fulfilled by assigning the constitutive equations in a form that guaranties that second law of thermodynamics is satisfied along arbitrary processes. Such an approach, in practice regards the second law of thermodynamics as a restriction on the constitutive equations, which must guarantee that any solution of the balance laws also satisfy the entropy inequality. This is a useful operative assumption, but not a consequence of general physical laws. Indeed, a different point of view, which regards the second law of thermodynamics as a restriction on the thermodynamic processes, i.e., on the solutions of the system of balance laws, is possible. This is tantamount to assuming that there are solutions of the balance laws that satisfy the entropy inequality, and solutions that do not satisfy it. In order to decide what is the correct approach, Muschik and Ehrentraut in 1996, postulated an amendment to the second law, which makes explicit th</w:t>
      </w:r>
    </w:p>
    <w:p>
      <w:pPr/>
      <w:r>
        <w:rPr>
          <w:b/>
        </w:rPr>
        <w:t>POSSIBLE 2022:</w:t>
      </w:r>
      <w:r>
        <w:t xml:space="preserve"> The Role of Second Law of Thermodynamics in Continuum Physics: A Muschik and Ehrentraut Theorem Revisited — https://doi.org/10.48550/arxiv.2202.01162</w:t>
      </w:r>
    </w:p>
    <w:p>
      <w:pPr/>
      <w:r>
        <w:rPr>
          <w:b/>
        </w:rPr>
        <w:t>Shared claim-specific concepts:</w:t>
      </w:r>
      <w:r>
        <w:t xml:space="preserve"> regards, second, assumption; EU scope not established. This is a provisional connection, not an outcome finding.</w:t>
      </w:r>
    </w:p>
    <w:p>
      <w:pPr>
        <w:pStyle w:val="SourceNote"/>
      </w:pPr>
      <w:r>
        <w:rPr>
          <w:b/>
        </w:rPr>
        <w:t>Available abstract (not full text):</w:t>
      </w:r>
      <w:r>
        <w:t xml:space="preserve"> Second law of thermodynamics imposes that in any thermodynamic process the entropy production must be nonnegative. In continuum physics such a requirement is fulfilled by postulating the constitutive equations which represent the material properties of the bodies in such a way that second law of thermodynamics is satisfied in arbitrary processes. Such an approach, first assumed in some pioneering papers by Coleman and Noll \cite{ColNol} and Coleman and Mizel \cite{ColMiz}, in practice regards second law of thermodynamics as a restriction on the constitutive equations, which must guarantee that any solution of the balance laws satisfies also the entropy inequality. As observed by Muschik and Ehrentraut \cite{MusEhr}, this is a useful operative assumption, but not a consequence of general physical laws. Indeed, a different point of view, which regards second law of thermodynamics as a restriction on the thermodynamic processes, i.e., on the solutions of the system of balance laws, is possible. This is tantamount to assume that there are solutions of the balance laws which satisfy the entropy inequality, and solutions which do not satisfy it. In order to decide what is the correct approach, Muschik and Erhentraut postulated an amendment to the second law, which makes explicit the evident but rather hidden assumption that in any point of the body the entropy production is zero if, </w:t>
      </w:r>
    </w:p>
    <w:p>
      <w:pPr/>
      <w:r>
        <w:rPr>
          <w:b/>
        </w:rPr>
        <w:t>POSSIBLE 2022:</w:t>
      </w:r>
      <w:r>
        <w:t xml:space="preserve"> A review of quantitative structure-activity relationship modelling approaches to predict the toxicity of mixtures — https://doi.org/10.1016/j.comtox.2022.100251</w:t>
      </w:r>
    </w:p>
    <w:p>
      <w:pPr/>
      <w:r>
        <w:rPr>
          <w:b/>
        </w:rPr>
        <w:t>Shared claim-specific concepts:</w:t>
      </w:r>
      <w:r>
        <w:t xml:space="preserve"> regards, modelling, techniques, potential; EU scope not established. This is a provisional connection, not an outcome finding.</w:t>
      </w:r>
    </w:p>
    <w:p>
      <w:pPr>
        <w:pStyle w:val="SourceNote"/>
      </w:pPr>
      <w:r>
        <w:rPr>
          <w:b/>
        </w:rPr>
        <w:t>Available abstract (not full text):</w:t>
      </w:r>
      <w:r>
        <w:t xml:space="preserve"> Exposure to chemicals generally occurs in the form of mixtures. However, the great majority of the toxicity data, upon which chemical safety decisions are based, relate only to single compounds. It is currently unfeasible to test a fully representative proportion of mixtures for potential harmful effects and, as such, in silico modelling provides a practical solution to inform safety assessment. Traditional methodologies for deriving estimations of mixture effects, exemplified by principles such as concentration addition (CA) and independent action (IA), are limited as regards the scope of chemical combinations to which they can reliably be applied. Development of appropriate quantitative structure-activity relationships (QSARs) has been put forward as a solution to the shortcomings present within these techniques – allowing for the potential formulation of versatile predictive tools capable of capturing the activities of a full contingent of possible mixtures. This review addresses the current state-of-the-art as regards application of QSAR towards mixture toxicity, discussing the challenges inherent in the task, whilst considering the strengths and limitations of existing approaches. Forty studies are examined within – through reference to several characteristic elements including the nature of the chemicals and endpoints modelled, the form of descriptors adopted, and the pri</w:t>
      </w:r>
    </w:p>
    <w:p>
      <w:pPr/>
      <w:r>
        <w:rPr>
          <w:b/>
        </w:rPr>
        <w:t>POSSIBLE 2022:</w:t>
      </w:r>
      <w:r>
        <w:t xml:space="preserve"> Abstract P167: Soluble CD14 Level And Incident Diabetes Mellitus Risk: The Reasons For Geographic And Racial Differences In Stroke (REGARDS) Study — https://doi.org/10.1161/circ.145.suppl_1.p167</w:t>
      </w:r>
    </w:p>
    <w:p>
      <w:pPr/>
      <w:r>
        <w:rPr>
          <w:b/>
        </w:rPr>
        <w:t>Shared claim-specific concepts:</w:t>
      </w:r>
      <w:r>
        <w:t xml:space="preserve"> regards, second, activity; EU scope not established. This is a provisional connection, not an outcome finding.</w:t>
      </w:r>
    </w:p>
    <w:p>
      <w:pPr>
        <w:pStyle w:val="SourceNote"/>
      </w:pPr>
      <w:r>
        <w:rPr>
          <w:b/>
        </w:rPr>
        <w:t>Available abstract (not full text):</w:t>
      </w:r>
      <w:r>
        <w:t xml:space="preserve"> Introduction: CD14 is a pattern recognition receptor that plays important roles in the inflammatory response. Circulating soluble CD14 (sCD14) is generated by hepatocyte secretion during the acute phase response and by cleavage from immune cell surfaces, and levels are higher in White than Black individuals. CD14 is implicated in adipose tissue-mediated inflammation and insulin resistance in experimental animal models and in some cross-sectional cohort studies. Prospective studies of sCD14 and incidence of diabetes mellitus (DM) are limited. We evaluated the prospective association of sCD14 with incident DM risk in participants of the REGARDS study. Methods: At the baseline study examination in 2003-07, REGARDS recruited 30,239 Black and White participants aged 45-years and older from across the contiguous U.S. A second in-home visit occurred in 2013-16. sCD14 was measured by ELISA in baseline serum samples among participants of the REGARDS Biomarkers as Mediators of Racial Disparities in Risk Factors (BioMedioR) study, a nested race- and sex-stratified random sample of 4400 participants who completed the first and second REGARDS visits. Poisson regression models estimated risk ratios (RR) of incident DM per 1-SD increment higher sCD14, with tiered adjustment for risk factors. We tested a priori for a sCD14-by-race interaction (p interaction significance threshold &lt;0.10). Resul</w:t>
      </w:r>
    </w:p>
    <w:p>
      <w:pPr/>
      <w:r>
        <w:rPr>
          <w:b/>
        </w:rPr>
        <w:t>POSSIBLE 2021:</w:t>
      </w:r>
      <w:r>
        <w:t xml:space="preserve"> Relative risk aversion models: How plausible are their assumptions? — https://doi.org/10.1177/1043463121994087</w:t>
      </w:r>
    </w:p>
    <w:p>
      <w:pPr/>
      <w:r>
        <w:rPr>
          <w:b/>
        </w:rPr>
        <w:t>Shared claim-specific concepts:</w:t>
      </w:r>
      <w:r>
        <w:t xml:space="preserve"> regards, second, assumption, plausible; EU scope visible. This is a provisional connection, not an outcome finding.</w:t>
      </w:r>
    </w:p>
    <w:p>
      <w:pPr>
        <w:pStyle w:val="SourceNote"/>
      </w:pPr>
      <w:r>
        <w:rPr>
          <w:b/>
        </w:rPr>
        <w:t>Available abstract (not full text):</w:t>
      </w:r>
      <w:r>
        <w:t xml:space="preserve"> This work examines the validity of the two main assumptions of relative risk-aversion models of educational inequality. We compare the Breen-Goldthorpe (BG) and the Breen-Yaish (BY) models in terms of their assumptions about status maintenance motives and beliefs about the occupational risks associated with educational decisions. Concerning the first assumption, our contribution is threefold. First, we criticise the assumption of the BG model that families aim only at avoiding downward mobility and are insensitive to the prospects of upward mobility. We argue that the loss-aversion assumption proposed by BY is a more realistic formulation of status-maintenance motives. Second, we propose and implement a novel empirical approach to assess the validity of the loss-aversion assumption. Third, we present empirical results based on a sample of families of lower secondary school leavers indicating that families are sensitive to the prospects of both upward and downward mobility, and that the loss-aversion hypothesis of BY is empirically supported. As regards the risky choice assumption, we argue that families may not believe that more ambitious educational options entail occupational risks relative to less ambitious ones. We present empirical evidence indicating that, in France, the academic path is not perceived as a risky option. We conclude that, if the restrictive assumptions of </w:t>
      </w:r>
    </w:p>
    <w:p>
      <w:pPr/>
      <w:r>
        <w:rPr>
          <w:b/>
        </w:rPr>
        <w:t>POSSIBLE 2021:</w:t>
      </w:r>
      <w:r>
        <w:t xml:space="preserve"> Disorganization of Oscillatory Activity in Animal Models of Schizophrenia — https://doi.org/10.3389/fncir.2021.741767</w:t>
      </w:r>
    </w:p>
    <w:p>
      <w:pPr/>
      <w:r>
        <w:rPr>
          <w:b/>
        </w:rPr>
        <w:t>Shared claim-specific concepts:</w:t>
      </w:r>
      <w:r>
        <w:t xml:space="preserve"> activity, potential; EU scope not established. This is a provisional connection, not an outcome finding.</w:t>
      </w:r>
    </w:p>
    <w:p>
      <w:pPr>
        <w:pStyle w:val="SourceNote"/>
      </w:pPr>
      <w:r>
        <w:rPr>
          <w:b/>
        </w:rPr>
        <w:t>Available abstract (not full text):</w:t>
      </w:r>
      <w:r>
        <w:t xml:space="preserve"> Schizophrenia is a chronic, debilitating disorder with diverse symptomatology, including disorganized cognition and behavior. Despite considerable research effort, we have only a limited understanding of the underlying brain dysfunction. In this article, we review the potential role of oscillatory circuits in the disorder with a particular focus on the hippocampus, a region that encodes sequential information across time and space, as well as the frontal cortex. Several mechanistic explanations of schizophrenia propose that a loss of oscillatory synchrony between and within these brain regions may underlie some of the symptoms of the disorder. We describe how these oscillations are affected in several animal models of schizophrenia, including models of genetic risk, maternal immune activation (MIA) models, and models of NMDA receptor hypofunction. We then critically discuss the evidence for disorganized oscillatory activity in these models, with a focus on gamma, sharp wave ripple, and theta activity, including the role of cross-frequency coupling as a synchronizing mechanism. Finally, we focus on phase precession, which is an oscillatory phenomenon whereby individual hippocampal place cells systematically advance their firing phase against the background theta oscillation. Phase precession is important because it allows sequential experience to be compressed into a single 120 </w:t>
      </w:r>
    </w:p>
    <w:p>
      <w:pPr/>
      <w:r>
        <w:rPr>
          <w:b/>
        </w:rPr>
        <w:t>POSSIBLE 2021:</w:t>
      </w:r>
      <w:r>
        <w:t xml:space="preserve"> Comparing Human Activity Recognition Models Based on Complexity and Resource Usage — https://doi.org/10.3390/app11188473</w:t>
      </w:r>
    </w:p>
    <w:p>
      <w:pPr/>
      <w:r>
        <w:rPr>
          <w:b/>
        </w:rPr>
        <w:t>Shared claim-specific concepts:</w:t>
      </w:r>
      <w:r>
        <w:t xml:space="preserve"> regards, activity, techniques, performance; EU scope not established. This is a provisional connection, not an outcome finding.</w:t>
      </w:r>
    </w:p>
    <w:p>
      <w:pPr>
        <w:pStyle w:val="SourceNote"/>
      </w:pPr>
      <w:r>
        <w:rPr>
          <w:b/>
        </w:rPr>
        <w:t>Available abstract (not full text):</w:t>
      </w:r>
      <w:r>
        <w:t xml:space="preserve"> Human Activity Recognition (HAR) is a field with many contrasting application domains, from medical applications to ambient assisted living and sports applications. With ever-changing use cases and devices also comes a need for newer and better HAR approaches. Machine learning has long been one of the predominant techniques to recognize activities from extracted features. With the advent of deep learning techniques that push state of the art results in many different domains like natural language processing or computer vision, researchers have also started to build deep neural nets for HAR. With this increase in complexity, there also comes a necessity to compare the newer approaches to the previous state of the art algorithms. Not everything that is new is also better. Therefore, this paper aims to compare typical machine learning models like a Random Forest (RF) or a Support Vector Machine (SVM) to two commonly used deep neural net architectures, Convolutional Neural Nets (CNNs) and Recurrent Neural Nets (RNNs). Not only in regards to performance but also in regards to the complexity of the models. We measure complexity as the memory consumption, the mean prediction time and the number of trainable parameters of the models. To achieve comparable results, the models are all tested on the same publicly available dataset, the UCI HAR Smartphone dataset. With this combination of </w:t>
      </w:r>
    </w:p>
    <w:p>
      <w:pPr>
        <w:pStyle w:val="Heading2"/>
      </w:pPr>
      <w:r>
        <w:t>989. Using scenarios to assess the future supply of NHS nursing staff in England</w:t>
      </w:r>
    </w:p>
    <w:p>
      <w:pPr>
        <w:pStyle w:val="SourceNote"/>
      </w:pPr>
      <w:r>
        <w:rPr>
          <w:b/>
        </w:rPr>
        <w:t>Original source (2012):</w:t>
      </w:r>
      <w:r>
        <w:t xml:space="preserve"> https://doi.org/10.1186/1478-4491-10-16</w:t>
      </w:r>
    </w:p>
    <w:p>
      <w:pPr/>
      <w:r>
        <w:t>Original wording (abstract; indexed_source_text_not_full_document_verified): It is important that different scenarios are considered that may be regarded as possible futures, based on a realistic assessment of the available workforce data, policies and broader labour market and funding outlook. Based on available workforce data, the paper reviews different possible scenarios for the supply of NHS nurses over a ten year period, assessing the impact of different numbers of new staff being trained and of varying retirement patterns from the ageing profession.The government in England has more policy levers available than is the case in many other countries.</w:t>
      </w:r>
    </w:p>
    <w:p>
      <w:pPr/>
      <w:r>
        <w:rPr>
          <w:b/>
        </w:rPr>
        <w:t>POSSIBLE 2024:</w:t>
      </w:r>
      <w:r>
        <w:t xml:space="preserve"> Of Important — https://doi.org/10.67224/ioasdjbms.2024.v01i02.001</w:t>
      </w:r>
    </w:p>
    <w:p>
      <w:pPr/>
      <w:r>
        <w:rPr>
          <w:b/>
        </w:rPr>
        <w:t>Shared claim-specific concepts:</w:t>
      </w:r>
      <w:r>
        <w:t xml:space="preserve"> important, different, considered; EU scope not established. This is a provisional connection, not an outcome finding.</w:t>
      </w:r>
    </w:p>
    <w:p>
      <w:pPr>
        <w:pStyle w:val="SourceNote"/>
      </w:pPr>
      <w:r>
        <w:rPr>
          <w:b/>
        </w:rPr>
        <w:t>Available abstract (not full text):</w:t>
      </w:r>
      <w:r>
        <w:t xml:space="preserve"> Sequence is very important. It is not culture free. Different societies follow different sequences. A sequence what is accepted in a society may not be accepted at all to another society. In an orthodox society, marriage, love and issue are accepted as sequence. Disobedience or breaking of this chronology is totally forbidden and is considered as a punishable offence. In another society there is no such hard and fast rule to obey that very sequence. The lovers of this liberal society may give birth to children without marry and sometimes without love even. Sometimes they love. Sometimes they love not. They love if they like. They love not if they like not. Thus, their mood and motive are gloriously so uncertain. In fact, live together is not illegal. It is immoral. To them live together is only important.</w:t>
      </w:r>
    </w:p>
    <w:p>
      <w:pPr/>
      <w:r>
        <w:rPr>
          <w:b/>
        </w:rPr>
        <w:t>POSSIBLE 2024:</w:t>
      </w:r>
      <w:r>
        <w:t xml:space="preserve"> Of Important — https://doi.org/10.5281/zenodo.19677536</w:t>
      </w:r>
    </w:p>
    <w:p>
      <w:pPr/>
      <w:r>
        <w:rPr>
          <w:b/>
        </w:rPr>
        <w:t>Shared claim-specific concepts:</w:t>
      </w:r>
      <w:r>
        <w:t xml:space="preserve"> important, different, considered; EU scope not established. This is a provisional connection, not an outcome finding.</w:t>
      </w:r>
    </w:p>
    <w:p>
      <w:pPr>
        <w:pStyle w:val="SourceNote"/>
      </w:pPr>
      <w:r>
        <w:rPr>
          <w:b/>
        </w:rPr>
        <w:t>Available abstract (not full text):</w:t>
      </w:r>
      <w:r>
        <w:t xml:space="preserve"> Sequence is very important. It is not culture free. Different societies follow different sequences. A sequence what is accepted in a society may not be accepted at all to another society. In an orthodox society, marriage, love and issue are accepted as sequence. Disobedience or breaking of this chronology is totally forbidden and is considered as a punishable offence. In another society there is no such hard and fast rule to obey that very sequence. The lovers of this liberal society may give birth to children without marry and sometimes without love even. Sometimes they love. Sometimes they love not. They love if they like. They love not if they like not. Thus, their mood and motive are gloriously so uncertain. In fact, live together is not illegal. It is immoral. To them live together is only important.</w:t>
      </w:r>
    </w:p>
    <w:p>
      <w:pPr/>
      <w:r>
        <w:rPr>
          <w:b/>
        </w:rPr>
        <w:t>POSSIBLE 2024:</w:t>
      </w:r>
      <w:r>
        <w:t xml:space="preserve"> LIBS diagnostics of Be-based samples with different gas impurities — https://doi.org/10.1063/5.0205561</w:t>
      </w:r>
    </w:p>
    <w:p>
      <w:pPr/>
      <w:r>
        <w:rPr>
          <w:b/>
        </w:rPr>
        <w:t>Shared claim-specific concepts:</w:t>
      </w:r>
      <w:r>
        <w:t xml:space="preserve"> important, different, possible, data; EU scope visible. This is a provisional connection, not an outcome finding.</w:t>
      </w:r>
    </w:p>
    <w:p>
      <w:pPr>
        <w:pStyle w:val="SourceNote"/>
      </w:pPr>
      <w:r>
        <w:rPr>
          <w:b/>
        </w:rPr>
        <w:t>Available abstract (not full text):</w:t>
      </w:r>
      <w:r>
        <w:t xml:space="preserve"> Controlling plasma fuel retained in the plasma facing components of the first wall of a fusion reactor is one of the most important challenges influencing safe operation of the International Thermonuclear Experimental Reactor in the first place. This issue is proposed to be addressed by the laser-induced breakdown spectroscopy (LIBS) diagnostics, which is particularly powerful in studying the near-surface deposits and analyzing their composition. The main goal of the present study is determining the depth profiles of different elements in beryllium-based materials and the possible co-deposited layers that are formed on the walls of the Joint European Torus (JET) fusion device. Depth profiles estimated by LIBS are compared with those measured by secondary ion mass spectrometry, furthermore, the differences are discussed. In particular, the evolution of spectral lines of Be, as well as the main gaseous elements, such as Ne, N, O, and D, incorporated into the samples were extracted at different depths in the layers. LIBS diagnostics allowed making a fairly accurate analysis of the detected spectral lines of the elements on the samples. The effect of variations of the ablation rate and uncertainty that it introduces in LIBS measurements was also discussed. This investigation will have a significant impact on the development of pre-processing algorithms for machine learning models i</w:t>
      </w:r>
    </w:p>
    <w:p>
      <w:pPr/>
      <w:r>
        <w:rPr>
          <w:b/>
        </w:rPr>
        <w:t>POSSIBLE 2023:</w:t>
      </w:r>
      <w:r>
        <w:t xml:space="preserve"> Ground Based-cloud Classification Based on Comparing Different Classification Models — https://doi.org/10.54254/2755-2721/2/20220541</w:t>
      </w:r>
    </w:p>
    <w:p>
      <w:pPr/>
      <w:r>
        <w:rPr>
          <w:b/>
        </w:rPr>
        <w:t>Shared claim-specific concepts:</w:t>
      </w:r>
      <w:r>
        <w:t xml:space="preserve"> important, different, possible, based; EU scope not established. This is a provisional connection, not an outcome finding.</w:t>
      </w:r>
    </w:p>
    <w:p>
      <w:pPr>
        <w:pStyle w:val="SourceNote"/>
      </w:pPr>
      <w:r>
        <w:rPr>
          <w:b/>
        </w:rPr>
        <w:t>Available abstract (not full text):</w:t>
      </w:r>
      <w:r>
        <w:t xml:space="preserve"> Clouds are one of the most common things in our daily life, and different types of clouds will foreshadow different weather conditions. Therefore, accurately identifying and classifying them are important for human forecasting the local weather. However, artificially classifying clouds could possibly cause a minor error. With the helping of machine learning classification model could avoid this situation as much as possible. In this study, our goal is to get sufficiently high accuracy of based-cloud classification. We used LBP as a preprocessing approach, and used KSVM, MLP, Custom Vision, and Resnet to compare each result. The dataset contains around 15 thousand cloud images in 5 types in the same format and pixels. With the implementation of four classification models, experiments showed that ResNet34 came out a great result with a test accuracy 94%. Therefore, this study demonstrates ResNet34 is a good image classification model in based-cloud classification field.</w:t>
      </w:r>
    </w:p>
    <w:p>
      <w:pPr/>
      <w:r>
        <w:rPr>
          <w:b/>
        </w:rPr>
        <w:t>POSSIBLE 2023:</w:t>
      </w:r>
      <w:r>
        <w:t xml:space="preserve"> Visual and thermal camouflage on different terrestrial environments based on electrochromism — https://doi.org/10.1515/nanoph-2023-0244</w:t>
      </w:r>
    </w:p>
    <w:p>
      <w:pPr/>
      <w:r>
        <w:rPr>
          <w:b/>
        </w:rPr>
        <w:t>Shared claim-specific concepts:</w:t>
      </w:r>
      <w:r>
        <w:t xml:space="preserve"> important, different, possible, based; EU scope not established. This is a provisional connection, not an outcome finding.</w:t>
      </w:r>
    </w:p>
    <w:p>
      <w:pPr>
        <w:pStyle w:val="SourceNote"/>
      </w:pPr>
      <w:r>
        <w:rPr>
          <w:b/>
        </w:rPr>
        <w:t>Available abstract (not full text):</w:t>
      </w:r>
      <w:r>
        <w:t xml:space="preserve"> Hiding terrestrial objects from aerial monitoring has long been an important objective in national security and public safety. However, the diversity of terrestrial environments raises great challenges to traditional camouflages optimized for a single spectral band or single type of background environment, rendering them vulnerable in other bands or backgrounds. Herein, we experimentally demonstrate simultaneous visual and thermal camouflage that can adapt to two different environments based on a thermally emissive electrochromic layer. We first explore diverse possible theoretical solutions for dual-band dual-environmental camouflage by solving analytic constraints for camouflage and steady-state thermal conditions and select the most viable approach. Based on the theoretical analysis, we design active camouflage thin-film material systems that can approximate two different target visible and infrared signatures of backgrounds under proper bias voltage. Our potentially flexible camouflage surfaces can also conceal heat sources such as human body as well with tailored designs. These results provide new directions in multi-band stealth designs.</w:t>
      </w:r>
    </w:p>
    <w:p>
      <w:pPr/>
      <w:r>
        <w:rPr>
          <w:b/>
        </w:rPr>
        <w:t>POSSIBLE 2021:</w:t>
      </w:r>
      <w:r>
        <w:t xml:space="preserve"> EEG-Based Auditory Attention Detection and Its Possible Future Applications for Passive BCI — https://doi.org/10.3389/fcomp.2021.661178</w:t>
      </w:r>
    </w:p>
    <w:p>
      <w:pPr/>
      <w:r>
        <w:rPr>
          <w:b/>
        </w:rPr>
        <w:t>Shared claim-specific concepts:</w:t>
      </w:r>
      <w:r>
        <w:t xml:space="preserve"> different, possible, based; EU scope not established. This is a provisional connection, not an outcome finding.</w:t>
      </w:r>
    </w:p>
    <w:p>
      <w:pPr>
        <w:pStyle w:val="SourceNote"/>
      </w:pPr>
      <w:r>
        <w:rPr>
          <w:b/>
        </w:rPr>
        <w:t>Available abstract (not full text):</w:t>
      </w:r>
      <w:r>
        <w:t xml:space="preserve"> The ability to discriminate and attend one specific sound source in a complex auditory environment is a fundamental skill for efficient communication. Indeed, it allows us to follow a family conversation or discuss with a friend in a bar. This ability is challenged in hearing-impaired individuals and more precisely in those with a cochlear implant (CI). Indeed, due to the limited spectral resolution of the implant, auditory perception remains quite poor in a noisy environment or in presence of simultaneous auditory sources. Recent methodological advances allow now to detect, on the basis of neural signals, which auditory stream within a set of multiple concurrent streams an individual is attending to. This approach, called EEG-based auditory attention detection (AAD), is based on fundamental research findings demonstrating that, in a multi speech scenario, cortical tracking of the envelope of the attended speech is enhanced compared to the unattended speech. Following these findings, other studies showed that it is possible to use EEG/MEG (Electroencephalography/Magnetoencephalography) to explore auditory attention during speech listening in a Cocktail-party-like scenario. Overall, these findings make it possible to conceive next-generation hearing aids combining customary technology and AAD. Importantly, AAD has also a great potential in the context of passive BCI, in the educ</w:t>
      </w:r>
    </w:p>
    <w:p>
      <w:pPr/>
      <w:r>
        <w:rPr>
          <w:b/>
        </w:rPr>
        <w:t>POSSIBLE 2021:</w:t>
      </w:r>
      <w:r>
        <w:t xml:space="preserve"> Do Different Tracking Tasks Require Different Appearance Models? — https://doi.org/10.48550/arxiv.2107.02156</w:t>
      </w:r>
    </w:p>
    <w:p>
      <w:pPr/>
      <w:r>
        <w:rPr>
          <w:b/>
        </w:rPr>
        <w:t>Shared claim-specific concepts:</w:t>
      </w:r>
      <w:r>
        <w:t xml:space="preserve"> important, different, considered; EU scope not established. This is a provisional connection, not an outcome finding.</w:t>
      </w:r>
    </w:p>
    <w:p>
      <w:pPr>
        <w:pStyle w:val="SourceNote"/>
      </w:pPr>
      <w:r>
        <w:rPr>
          <w:b/>
        </w:rPr>
        <w:t>Available abstract (not full text):</w:t>
      </w:r>
      <w:r>
        <w:t xml:space="preserve"> Tracking objects of interest in a video is one of the most popular and widely applicable problems in computer vision. However, with the years, a Cambrian explosion of use cases and benchmarks has fragmented the problem in a multitude of different experimental setups. As a consequence, the literature has fragmented too, and now novel approaches proposed by the community are usually specialised to fit only one specific setup. To understand to what extent this specialisation is necessary, in this work we present UniTrack, a solution to address five different tasks within the same framework. UniTrack consists of a single and task-agnostic appearance model, which can be learned in a supervised or self-supervised fashion, and multiple ``heads'' that address individual tasks and do not require training. We show how most tracking tasks can be solved within this framework, and that the same appearance model can be successfully used to obtain results that are competitive against specialised methods for most of the tasks considered. The framework also allows us to analyse appearance models obtained with the most recent self-supervised methods, thus extending their evaluation and comparison to a larger variety of important problems.</w:t>
      </w:r>
    </w:p>
    <w:p>
      <w:pPr/>
      <w:r>
        <w:rPr>
          <w:b/>
        </w:rPr>
        <w:t>POSSIBLE 2021:</w:t>
      </w:r>
      <w:r>
        <w:t xml:space="preserve"> A modeling study of different kinds of sessile droplets on the horizontal surface with surface wettability and gravity effects considered — https://doi.org/10.1016/j.enss.2021.11.002</w:t>
      </w:r>
    </w:p>
    <w:p>
      <w:pPr/>
      <w:r>
        <w:rPr>
          <w:b/>
        </w:rPr>
        <w:t>Shared claim-specific concepts:</w:t>
      </w:r>
      <w:r>
        <w:t xml:space="preserve"> important, different, considered, based, data; EU scope not established. This is a provisional connection, not an outcome finding.</w:t>
      </w:r>
    </w:p>
    <w:p>
      <w:pPr>
        <w:pStyle w:val="SourceNote"/>
      </w:pPr>
      <w:r>
        <w:rPr>
          <w:b/>
        </w:rPr>
        <w:t>Available abstract (not full text):</w:t>
      </w:r>
      <w:r>
        <w:t xml:space="preserve"> Droplet phase change is important for energy storage and saving technology. The initial profile of the droplet is extremely important for its vaporization or solidification on a horizontal surface. To understand the effect of liquid physical properties on droplet profile, a theoretical model was developed in this study, based on the Young-Laplace equation with gravity effect specially considered. After the model was experimentally validated by comparing the geometric shape of water droplets, it was further used for predicting droplet shapes of other materials, and thus analyzing the influence of different physical properties, such as temperature, pressure, surface wettability, etc. Results show that the results of this model agree well with the experimental data. The maximum and average deviations are less than 4.5% and 1.5%, respectively. For all kinds of droplets on the fixed surfaces, when the temperature increases, the droplet contact radius increases and height decreases. The droplets of nitrogen and carbon dioxide are more sensitive to temperature than ethanol and ethylene glycol droplets. For 20 μL droplets on the surface of contact angle 150°, when the temperature changes from 273.15 K to 293.15 K, the droplet contact radiuses increase by 30.6% for carbon dioxide, 1.2% for ethanol and 0.67% for ethylene glycol, and the droplet heights decrease by 42.9%, 2.5%, 1.1%, resp</w:t>
      </w:r>
    </w:p>
    <w:p>
      <w:pPr/>
      <w:r>
        <w:rPr>
          <w:b/>
        </w:rPr>
        <w:t>POSSIBLE 2021:</w:t>
      </w:r>
      <w:r>
        <w:t xml:space="preserve"> Frost Resistance of Alkali-Activated Concrete—An Important Pillar of Their Sustainability — https://doi.org/10.3390/su13020473</w:t>
      </w:r>
    </w:p>
    <w:p>
      <w:pPr/>
      <w:r>
        <w:rPr>
          <w:b/>
        </w:rPr>
        <w:t>Shared claim-specific concepts:</w:t>
      </w:r>
      <w:r>
        <w:t xml:space="preserve"> important, different, considered; EU scope not established. This is a provisional connection, not an outcome finding.</w:t>
      </w:r>
    </w:p>
    <w:p>
      <w:pPr>
        <w:pStyle w:val="SourceNote"/>
      </w:pPr>
      <w:r>
        <w:rPr>
          <w:b/>
        </w:rPr>
        <w:t>Available abstract (not full text):</w:t>
      </w:r>
      <w:r>
        <w:t xml:space="preserve"> Sustainable development of concrete construction requires sustainable materials or sustainable binders. Specifically, alkali-activated materials (AAMs) are an interesting and wide group of materials. They have good strengths and are considered environmentally friendly materials because secondary materials are consumed during the preparation of AAMs. The durability of AAMs is also excellent. One of the most important parts of durability is frost resistance. The frost resistance of alkali-activated materials is usually very good. However, some studies showed opposite properties and poor frost resistance. The reason for this may be a different composition of the activator. The content of alkalis is often considered the main characteristic of alkali-activated materials. However, SiO2 content can play an important role too. This paper discusses the different results for the mechanical properties and frost resistance of different compositions of alkali activators made of sodium water glass with a silicate modulus modified with potassium hydroxide. The role of the activator content and the water-to-cement ratio in this phenomenon is discussed. The results of this article show that the strengths of AAMs are significantly affected by the curing method. Water curing reduced some of the strength of the specimens compared to foil-covered specimens. Frost resistance depends on the method of</w:t>
      </w:r>
    </w:p>
    <w:p>
      <w:pPr/>
      <w:r>
        <w:rPr>
          <w:b/>
        </w:rPr>
        <w:t>POSSIBLE 2021:</w:t>
      </w:r>
      <w:r>
        <w:t xml:space="preserve"> The Most Important Fungal Diseases of Cereals—Problems and Possible Solutions — https://doi.org/10.3390/agronomy11040714</w:t>
      </w:r>
    </w:p>
    <w:p>
      <w:pPr/>
      <w:r>
        <w:rPr>
          <w:b/>
        </w:rPr>
        <w:t>Shared claim-specific concepts:</w:t>
      </w:r>
      <w:r>
        <w:t xml:space="preserve"> important, possible, reviews; EU scope not established. This is a provisional connection, not an outcome finding.</w:t>
      </w:r>
    </w:p>
    <w:p>
      <w:pPr>
        <w:pStyle w:val="SourceNote"/>
      </w:pPr>
      <w:r>
        <w:rPr>
          <w:b/>
        </w:rPr>
        <w:t>Available abstract (not full text):</w:t>
      </w:r>
      <w:r>
        <w:t xml:space="preserve"> The level of cereal yields and the quality of these yields depend, to a large extent, on a crop management system, the genetic potential of a given cultivar, but also on factors that may cause damage to plants or a reduction in yield. Such factors include fungal diseases of cereals, which may cause a reduction in yield by 15–20%, and in extreme cases even by 60%. The main factors determining the occurrence of these pathogens are the weather conditions during the growing season of plants, crop rotation, the previous crop, the soil tillage system, and nitrogen fertilisation. Fungal diseases of cereals limit plant growth and development, as well as reduce grain yield and quality. This paper reviews the literature on fungal diseases of cereals.</w:t>
      </w:r>
    </w:p>
    <w:p>
      <w:pPr/>
      <w:r>
        <w:rPr>
          <w:b/>
        </w:rPr>
        <w:t>POSSIBLE 2020:</w:t>
      </w:r>
      <w:r>
        <w:t xml:space="preserve"> Shoe feature recommendations for different running levels: A Delphi study — https://doi.org/10.1371/journal.pone.0236047</w:t>
      </w:r>
    </w:p>
    <w:p>
      <w:pPr/>
      <w:r>
        <w:rPr>
          <w:b/>
        </w:rPr>
        <w:t>Shared claim-specific concepts:</w:t>
      </w:r>
      <w:r>
        <w:t xml:space="preserve"> important, different, considered, based; EU scope not established. This is a provisional connection, not an outcome finding.</w:t>
      </w:r>
    </w:p>
    <w:p>
      <w:pPr>
        <w:pStyle w:val="SourceNote"/>
      </w:pPr>
      <w:r>
        <w:rPr>
          <w:b/>
        </w:rPr>
        <w:t>Available abstract (not full text):</w:t>
      </w:r>
      <w:r>
        <w:t xml:space="preserve"> Providing runners with footwear that match their functional needs has the potential to improve footwear comfort, enhance running performance and reduce the risk of overuse injuries. It is currently not known how footwear experts make decisions about different shoe features and their properties for runners of different levels. We performed a Delphi study in order to understand: 1) definitions of different runner levels, 2) which footwear features are considered important and 3) how these features should be prescribed for runners of different levels. Experienced academics, journalists, coaches, bloggers and physicians that examine the effects of footwear on running were recruited to participate in three rounds of a Delphi study. Three runner level definitions were refined throughout this study based on expert feedback. Experts were also provided a list of 20 different footwear features. They were asked which features were important and what the properties of those features should be. Twenty-four experts, most with 10+ years of experience, completed all three rounds of this study. These experts came to a consensus for the characteristics of three different running levels. They indicated that 12 of the 20 footwear features initially proposed were important for footwear design. Of these 12 features, experts came to a consensus on how to apply five footwear feature properties for all</w:t>
      </w:r>
    </w:p>
    <w:p>
      <w:pPr/>
      <w:r>
        <w:rPr>
          <w:b/>
        </w:rPr>
        <w:t>POSSIBLE 2020:</w:t>
      </w:r>
      <w:r>
        <w:t xml:space="preserve"> WHEN DIFFERENT ELECTIONS HAVE DIFFERENT SALIENCIES FOR VOTERS: MOST IMPORTANT AND CONSIDERATION (EVIDENCE FROM INDONESIAN VOTERS) — https://doi.org/10.18510/hssr.2020.8462</w:t>
      </w:r>
    </w:p>
    <w:p>
      <w:pPr/>
      <w:r>
        <w:rPr>
          <w:b/>
        </w:rPr>
        <w:t>Shared claim-specific concepts:</w:t>
      </w:r>
      <w:r>
        <w:t xml:space="preserve"> important, different, considered, data; EU scope not established. This is a provisional connection, not an outcome finding.</w:t>
      </w:r>
    </w:p>
    <w:p>
      <w:pPr>
        <w:pStyle w:val="SourceNote"/>
      </w:pPr>
      <w:r>
        <w:rPr>
          <w:b/>
        </w:rPr>
        <w:t>Available abstract (not full text):</w:t>
      </w:r>
      <w:r>
        <w:t xml:space="preserve"> Purpose of the study: Generally, the purpose of this study is to explain the salience of each form of election for voters. To explain that, this study examines which election is perceived as the most important election for voters, and what matters are considered by voters in each election, especially in the most important election and money politics. Methodology: The data are drawn from a survey of 800 respondents in Central Java during the 2019 Indonesian elections. The survey asked two questions; which election they perceive as the most important election ("what is the most important election for you?"), and what matters they consider when voting for a candidate ("what is your consideration in each election?"). The dataset also includes variables related to money politics. Main Findings: Voters have different importances and considerations in various forms of elections. More voters see the executive election as the most important than the legislative election in every level of election. More voters consider the program in the legislative elections, while more voters consider the figure of candidates in the executive elections. But in more detail, there are various patterns. Applications of this study: Referring to the number of elections in Indonesia, this finding can help the government, electoral commission, or activists to develop better strategies for educating citizens. </w:t>
      </w:r>
    </w:p>
    <w:p>
      <w:pPr>
        <w:pStyle w:val="Heading2"/>
      </w:pPr>
      <w:r>
        <w:t>990. What We Hope, What We Fear, What We Expect: Possible Scenarios for the Future of the Eurozone</w:t>
      </w:r>
    </w:p>
    <w:p>
      <w:pPr>
        <w:pStyle w:val="SourceNote"/>
      </w:pPr>
      <w:r>
        <w:rPr>
          <w:b/>
        </w:rPr>
        <w:t>Original source (2012):</w:t>
      </w:r>
      <w:r>
        <w:t xml:space="preserve"> https://doi.org/10.1007/s12290-012-0210-x</w:t>
      </w:r>
    </w:p>
    <w:p>
      <w:pPr/>
      <w:r>
        <w:t>Original wording (abstract; indexed_source_text_not_full_document_verified): Starting with the reforms of European economic governance hitherto agreed, this article develops three scenarios for the eurozone and explores their possible impact on the EU in general.</w:t>
      </w:r>
    </w:p>
    <w:p>
      <w:pPr/>
      <w:r>
        <w:rPr>
          <w:b/>
        </w:rPr>
        <w:t>POSSIBLE 2020:</w:t>
      </w:r>
      <w:r>
        <w:t xml:space="preserve"> European Reform Movements and the Making of the International Congress, 1840–1860 — https://doi.org/10.1080/07075332.2020.1808506</w:t>
      </w:r>
    </w:p>
    <w:p>
      <w:pPr/>
      <w:r>
        <w:rPr>
          <w:b/>
        </w:rPr>
        <w:t>Shared claim-specific concepts:</w:t>
      </w:r>
      <w:r>
        <w:t xml:space="preserve"> article, three, general; EU scope visible. This is a provisional connection, not an outcome finding.</w:t>
      </w:r>
    </w:p>
    <w:p>
      <w:pPr>
        <w:pStyle w:val="SourceNote"/>
      </w:pPr>
      <w:r>
        <w:rPr>
          <w:b/>
        </w:rPr>
        <w:t>Available abstract (not full text):</w:t>
      </w:r>
      <w:r>
        <w:t xml:space="preserve"> In historical research on internationalism and the international sphere, the rise of the international congress during the nineteenth century has long played a prominent role. This article investigates the making of the international congress as a phenomenon by comparing three early series of meetings – anti-slavery conventions, peace congresses and philanthropic congresses during the 1840 s and 1850 s – as communicative events. The analysis shows that their staging was influenced by the fact that these meetings were organised to mobilise reform movements, and that they relied on a public sphere where elite groups, gathered in the metropoles of Europe, could expect that their speeches would reach geographically dispersed audiences through print media. A general conclusion is that these meetings pioneered a new way of being international – called ‘representative internationality’ in the article – through how they were arranged as independent actors beyond local contexts that could both ‘speak for’ and ‘speak to’ different collectives.</w:t>
      </w:r>
    </w:p>
    <w:p>
      <w:pPr/>
      <w:r>
        <w:rPr>
          <w:b/>
        </w:rPr>
        <w:t>POSSIBLE 2020:</w:t>
      </w:r>
      <w:r>
        <w:t xml:space="preserve"> The reform of the European Stability Mechanism — https://doi.org/10.1093/cmlj/kmaa001</w:t>
      </w:r>
    </w:p>
    <w:p>
      <w:pPr/>
      <w:r>
        <w:rPr>
          <w:b/>
        </w:rPr>
        <w:t>Shared claim-specific concepts:</w:t>
      </w:r>
      <w:r>
        <w:t xml:space="preserve"> reforms, agreed, article; EU scope visible. This is a provisional connection, not an outcome finding.</w:t>
      </w:r>
    </w:p>
    <w:p>
      <w:pPr>
        <w:pStyle w:val="SourceNote"/>
      </w:pPr>
      <w:r>
        <w:rPr>
          <w:b/>
        </w:rPr>
        <w:t>Available abstract (not full text):</w:t>
      </w:r>
      <w:r>
        <w:t xml:space="preserve"> This article seeks to explain the main aspects of the reform of the European Stability Mechanism (ESM), as agreed in principle by the leaders of the euro area Member States. The article focuses particularly on the ESM’s new mandate to act as the common backstop to the Single Resolution Fund, the reform of its precautionary lending instrument, the expansion of its role in country monitoring both in and outside of programmes, and the future treatment of debt sustainability issues, including the adoption of a revised euro area model collective action clause. By shedding light on the nature and context of these developments, the authors hope to dispel some misunderstandings about the content of this reform and contribute to a clearer understanding of what is at stake. A little over a year ago, the leaders of the countries of the euro area formally pledged to reform the European Stability Mechanism (the ‘ESM’). At the Euro Summit of 14 December 2018, the Heads of State or Government of the euro area Member States endorsed the ‘Term Sheet on the reform of the European Stability Mechanism’, including the anticipated changes to its founding treaty.1 In December 2019, both the Eurogroup in inclusive format2 and the subsequent Euro Summit reached an agreement in principle on this reform package, subject to the conclusion of national procedures.3 The anticipated reform of the ESM follows </w:t>
      </w:r>
    </w:p>
    <w:p>
      <w:pPr/>
      <w:r>
        <w:rPr>
          <w:b/>
        </w:rPr>
        <w:t>POSSIBLE 2020:</w:t>
      </w:r>
      <w:r>
        <w:t xml:space="preserve"> Driving informal institutional change: the European Parliament and the reform of the Economic and Monetary Union — https://doi.org/10.4324/9781003030454-2</w:t>
      </w:r>
    </w:p>
    <w:p>
      <w:pPr/>
      <w:r>
        <w:rPr>
          <w:b/>
        </w:rPr>
        <w:t>Shared claim-specific concepts:</w:t>
      </w:r>
      <w:r>
        <w:t xml:space="preserve"> governance, eurozone; EU scope visible. This is a provisional connection, not an outcome finding.</w:t>
      </w:r>
    </w:p>
    <w:p>
      <w:pPr>
        <w:pStyle w:val="SourceNote"/>
      </w:pPr>
      <w:r>
        <w:rPr>
          <w:b/>
        </w:rPr>
        <w:t>Available abstract (not full text):</w:t>
      </w:r>
      <w:r>
        <w:t xml:space="preserve"> With the Lisbon Treaty, the European Parliament (EP) obtained co-decision rights in economic governance for the first time. Soon afterwards, the outbreak of the eurozone crisis required a reform of the Economic and Monetary Union (EMU). When negotiating EMU reform, the EP sought to push its rights beyond the Lisbon provisions, so as to obtain an informal institutional change to its benefit. How and under which conditions did the EP extend its informal powers successfully – and when did it fail? By focusing on two crucial strategies – delaying and arena-linking – we compare instances of EMU reform where the EP succeeded in reaching an informal empowerment to cases where it failed. We find that the urgency of decision-making and its distributional consequences influence the EP’s chances of success. While urgency plays a crucial role in times of crisis, distributional consequences come to bear in policies where core state powers are at stake.</w:t>
      </w:r>
    </w:p>
    <w:p>
      <w:pPr/>
      <w:r>
        <w:rPr>
          <w:b/>
        </w:rPr>
        <w:t>POSSIBLE 2019:</w:t>
      </w:r>
      <w:r>
        <w:t xml:space="preserve"> Economic Reforms and the Burdens of Transition — https://doi.org/10.1017/9781108752466.005</w:t>
      </w:r>
    </w:p>
    <w:p>
      <w:pPr/>
      <w:r>
        <w:rPr>
          <w:b/>
        </w:rPr>
        <w:t>Shared claim-specific concepts:</w:t>
      </w:r>
      <w:r>
        <w:t xml:space="preserve"> starting, reforms, eurozone; EU scope visible. This is a provisional connection, not an outcome finding.</w:t>
      </w:r>
    </w:p>
    <w:p>
      <w:pPr>
        <w:pStyle w:val="SourceNote"/>
      </w:pPr>
      <w:r>
        <w:rPr>
          <w:b/>
        </w:rPr>
        <w:t>Available abstract (not full text):</w:t>
      </w:r>
      <w:r>
        <w:t xml:space="preserve"> Starting from remarkable divergences and similarities of pathways into market liberalism, the chapter investigates progress and setbacks of economic reforms. The first section indicates key factors for divergences and similarities, the second section discusses the divergence of pathways of post-socialist capitalisms, the third, similarities, the fourth the results of economic reform paths until 2008, and the fifth the preliminary setback of the Eurozone crisis and its aftermath. As the title indicates, the necessary economic reforms in many countries of the region could be carried out only by measures that constituted a temporary burden for the population, such as unemployment, significant setback of household income, insecurities regarding pension provision, and labor migration. But the illusion of a better life, especially for the children, after a phase of hardship kept the ball rolling. In the first decade of the 2000s economic reforms showed positive results – not only in countries which became European Union member states but also in disadvantaged countries such as the West Balkan ones. The economic crisis caused by the Euro-American banking system in 2008 and after hit the countries of Central, Eastern, and Southeastern Europe comparatively hard. Paradoxically, the West Balkan states, chronic losers from transition, were harmed less – due to their low integration into th</w:t>
      </w:r>
    </w:p>
    <w:p>
      <w:pPr/>
      <w:r>
        <w:rPr>
          <w:b/>
        </w:rPr>
        <w:t>POSSIBLE 2019:</w:t>
      </w:r>
      <w:r>
        <w:t xml:space="preserve"> Driving informal institutional change: the European Parliament and the reform of the Economic and Monetary Union — https://doi.org/10.1080/07036337.2019.1599373</w:t>
      </w:r>
    </w:p>
    <w:p>
      <w:pPr/>
      <w:r>
        <w:rPr>
          <w:b/>
        </w:rPr>
        <w:t>Shared claim-specific concepts:</w:t>
      </w:r>
      <w:r>
        <w:t xml:space="preserve"> governance, eurozone; EU scope visible. This is a provisional connection, not an outcome finding.</w:t>
      </w:r>
    </w:p>
    <w:p>
      <w:pPr>
        <w:pStyle w:val="SourceNote"/>
      </w:pPr>
      <w:r>
        <w:rPr>
          <w:b/>
        </w:rPr>
        <w:t>Available abstract (not full text):</w:t>
      </w:r>
      <w:r>
        <w:t xml:space="preserve"> With the Lisbon Treaty, the European Parliament (EP) obtained co-decision rights in economic governance for the first time. Soon afterwards, the outbreak of the eurozone crisis required a reform of the Economic and Monetary Union (EMU). When negotiating EMU reform, the EP sought to push its rights beyond the Lisbon provisions, so as to obtain an informal institutional change to its benefit. How and under which conditions did the EP extend its informal powers successfully – and when did it fail? By focusing on two crucial strategies – delaying and arena-linking – we compare instances of EMU reform where the EP succeeded in reaching an informal empowerment to cases where it failed. We find that the urgency of decision-making and its distributional consequences influence the EP’s chances of success. While urgency plays a crucial role in times of crisis, distributional consequences come to bear in policies where core state powers are at stake.</w:t>
      </w:r>
    </w:p>
    <w:p>
      <w:pPr/>
      <w:r>
        <w:rPr>
          <w:b/>
        </w:rPr>
        <w:t>POSSIBLE 2018:</w:t>
      </w:r>
      <w:r>
        <w:t xml:space="preserve"> Structural reforms in Europe: a comparative overview — https://doi.org/10.51952/9781447335870.ch002</w:t>
      </w:r>
    </w:p>
    <w:p>
      <w:pPr/>
      <w:r>
        <w:rPr>
          <w:b/>
        </w:rPr>
        <w:t>Shared claim-specific concepts:</w:t>
      </w:r>
      <w:r>
        <w:t xml:space="preserve"> starting, reforms; EU scope visible. This is a provisional connection, not an outcome finding.</w:t>
      </w:r>
    </w:p>
    <w:p>
      <w:pPr>
        <w:pStyle w:val="SourceNote"/>
      </w:pPr>
      <w:r>
        <w:rPr>
          <w:b/>
        </w:rPr>
        <w:t>Available abstract (not full text):</w:t>
      </w:r>
      <w:r>
        <w:t xml:space="preserve"> This chapter provides an overview of structural reforms (SRs) - measures to improve economic growth prospects and the ability of economies to adjust to economic shocks - introduced in Europe between 1999 and 2012 and, in particular, during the Great Recession (2008-12). Starting from two organising principles of contemporary welfare capitalism, namely investment and protection, the chapter proposes a new typology of SRs for a more detailed analysis of SRs trends in Europe. Through the analysis of reforms in five policy areas (labour market policies, pensions, education, innovation/R&amp;D, and public sector reforms) and across five country clusters pertaining to the different welfare/labour market regimes in Europe between 1999 and 2012 we address two key questions: Is there a common reform trend of a ‘race to the bottom’ in relation to social and employment rights? What has been the impact of the Great Recession: Do we see overall continuity or a shift between the pre- and post-crisis?</w:t>
      </w:r>
    </w:p>
    <w:p>
      <w:pPr/>
      <w:r>
        <w:rPr>
          <w:b/>
        </w:rPr>
        <w:t>POSSIBLE 2018:</w:t>
      </w:r>
      <w:r>
        <w:t xml:space="preserve"> Structural reforms in Europe: a comparative overview — https://doi.org/10.1332/policypress/9781447335863.003.0002</w:t>
      </w:r>
    </w:p>
    <w:p>
      <w:pPr/>
      <w:r>
        <w:rPr>
          <w:b/>
        </w:rPr>
        <w:t>Shared claim-specific concepts:</w:t>
      </w:r>
      <w:r>
        <w:t xml:space="preserve"> starting, reforms; EU scope visible. This is a provisional connection, not an outcome finding.</w:t>
      </w:r>
    </w:p>
    <w:p>
      <w:pPr>
        <w:pStyle w:val="SourceNote"/>
      </w:pPr>
      <w:r>
        <w:rPr>
          <w:b/>
        </w:rPr>
        <w:t>Available abstract (not full text):</w:t>
      </w:r>
      <w:r>
        <w:t xml:space="preserve"> This chapter provides an overview of structural reforms (SRs) - measures to improve economic growth prospects and the ability of economies to adjust to economic shocks - introduced in Europe between 1999 and 2012 and, in particular, during the Great Recession (2008-12). Starting from two organising principles of contemporary welfare capitalism, namely investment and protection, the chapter proposes a new typology of SRs for a more detailed analysis of SRs trends in Europe. Through the analysis of reforms in five policy areas (labour market policies, pensions, education, innovation/R&amp;D, and public sector reforms) and across five country clusters pertaining to the different welfare/labour market regimes in Europe between 1999 and 2012 we address two key questions: Is there a common reform trend of a ‘race to the bottom’ in relation to social and employment rights? What has been the impact of the Great Recession: Do we see overall continuity or a shift between the pre- and post-crisis?</w:t>
      </w:r>
    </w:p>
    <w:p>
      <w:pPr/>
      <w:r>
        <w:rPr>
          <w:b/>
        </w:rPr>
        <w:t>POSSIBLE 2018:</w:t>
      </w:r>
      <w:r>
        <w:t xml:space="preserve"> Structural reforms in Europe: a comparative overview — https://doi.org/10.56687/9781447335870-005</w:t>
      </w:r>
    </w:p>
    <w:p>
      <w:pPr/>
      <w:r>
        <w:rPr>
          <w:b/>
        </w:rPr>
        <w:t>Shared claim-specific concepts:</w:t>
      </w:r>
      <w:r>
        <w:t xml:space="preserve"> starting, reforms; EU scope visible. This is a provisional connection, not an outcome finding.</w:t>
      </w:r>
    </w:p>
    <w:p>
      <w:pPr>
        <w:pStyle w:val="SourceNote"/>
      </w:pPr>
      <w:r>
        <w:rPr>
          <w:b/>
        </w:rPr>
        <w:t>Available abstract (not full text):</w:t>
      </w:r>
      <w:r>
        <w:t xml:space="preserve"> This chapter provides an overview of structural reforms (SRs) - measures to improve economic growth prospects and the ability of economies to adjust to economic shocks - introduced in Europe between 1999 and 2012 and, in particular, during the Great Recession (2008-12). Starting from two organising principles of contemporary welfare capitalism, namely investment and protection, the chapter proposes a new typology of SRs for a more detailed analysis of SRs trends in Europe. Through the analysis of reforms in five policy areas (labour market policies, pensions, education, innovation/R&amp;D, and public sector reforms) and across five country clusters pertaining to the different welfare/labour market regimes in Europe between 1999 and 2012 we address two key questions: Is there a common reform trend of a ‘race to the bottom’ in relation to social and employment rights? What has been the impact of the Great Recession: Do we see overall continuity or a shift between the pre- and post-crisis?</w:t>
      </w:r>
    </w:p>
    <w:p>
      <w:pPr/>
      <w:r>
        <w:rPr>
          <w:b/>
        </w:rPr>
        <w:t>POSSIBLE 2018:</w:t>
      </w:r>
      <w:r>
        <w:t xml:space="preserve"> The Crisis of Functionalism and the Reform of European Economic Governance — https://doi.org/10.12797/politeja.12.2015.37.15</w:t>
      </w:r>
    </w:p>
    <w:p>
      <w:pPr/>
      <w:r>
        <w:rPr>
          <w:b/>
        </w:rPr>
        <w:t>Shared claim-specific concepts:</w:t>
      </w:r>
      <w:r>
        <w:t xml:space="preserve"> reforms, governance, eurozone; EU scope visible. This is a provisional connection, not an outcome finding.</w:t>
      </w:r>
    </w:p>
    <w:p>
      <w:pPr>
        <w:pStyle w:val="SourceNote"/>
      </w:pPr>
      <w:r>
        <w:rPr>
          <w:b/>
        </w:rPr>
        <w:t>Available abstract (not full text):</w:t>
      </w:r>
      <w:r>
        <w:t xml:space="preserve"> This paper studies the impact of the sovereign debt crisis on the development of the process of European integration and the constitutional framework of the EU. The first section focuses on the causes of the sovereign debt crisis, analysing the structural deficits and weaknesses of the Economic and Monetary Union (EMU). The second section looks at the reforms, which have been progressively adopted by the Eurozone to overcome the crisis and prevent the collapse of the single currency. The third section reflects on the longstanding contradictions of the integration process, in terms of its legitimacy and effectiveness, which the crisis has definitely highlighted demanding an effective solution. In this regard, the paper argues that the sovereign debt crisis represents a turning point in the history of European unification, marking the limits of the functionalist approach of integration and demanding a re‑launch of the constitutional project in order to provide the monetary union with a veritable economic government.</w:t>
      </w:r>
    </w:p>
    <w:p>
      <w:pPr/>
      <w:r>
        <w:rPr>
          <w:b/>
        </w:rPr>
        <w:t>POSSIBLE 2018:</w:t>
      </w:r>
      <w:r>
        <w:t xml:space="preserve"> Financial and Institutional Reforms for an Entrepreneurial Society — https://doi.org/10.1007/s11187-018-0001-0</w:t>
      </w:r>
    </w:p>
    <w:p>
      <w:pPr/>
      <w:r>
        <w:rPr>
          <w:b/>
        </w:rPr>
        <w:t>Shared claim-specific concepts:</w:t>
      </w:r>
      <w:r>
        <w:t xml:space="preserve"> reforms, three; EU scope visible. This is a provisional connection, not an outcome finding.</w:t>
      </w:r>
    </w:p>
    <w:p>
      <w:pPr>
        <w:pStyle w:val="SourceNote"/>
      </w:pPr>
      <w:r>
        <w:rPr>
          <w:b/>
        </w:rPr>
        <w:t>Available abstract (not full text):</w:t>
      </w:r>
      <w:r>
        <w:t xml:space="preserve"> In this paper, we introduce the special issue on Financial and Institutional Reforms for an Entrepreneurial Society in Europe. There are many reasons for Europe to want to make the transition to a more Entrepreneurial Society. And for decades now, policy makers are trying to bring that transition about with variations on the “educate, deregulate and finance” approach to entrepreneurship. We argue that more fundamental reforms are required to improve the entrepreneurial ecosystem and bring about this transition. We then discuss the 12 contributions that pertain to five different facets of the entrepreneurial ecosystem. The first two papers address the most fundamental institutional foundations of the ecosystem. The next three papers discuss the (lack of) access to knowledge and incentives to start innovative entrepreneurial ventures. That is followed by three papers that focus on the institutions that (fail to) channel financial resources to such ventures and two papers that analyze the relevance of labor market institutions. The special issue concludes with two papers investigating how the interplay of institutions and productive entrepreneurship results in economic growth.</w:t>
      </w:r>
    </w:p>
    <w:p>
      <w:pPr/>
      <w:r>
        <w:rPr>
          <w:b/>
        </w:rPr>
        <w:t>POSSIBLE 2018:</w:t>
      </w:r>
      <w:r>
        <w:t xml:space="preserve"> Reforming Kazakhstan — https://doi.org/10.1787/18ba0d60-en</w:t>
      </w:r>
    </w:p>
    <w:p>
      <w:pPr/>
      <w:r>
        <w:rPr>
          <w:b/>
        </w:rPr>
        <w:t>Shared claim-specific concepts:</w:t>
      </w:r>
      <w:r>
        <w:t xml:space="preserve"> reforms, governance; EU scope not established. This is a provisional connection, not an outcome finding.</w:t>
      </w:r>
    </w:p>
    <w:p>
      <w:pPr>
        <w:pStyle w:val="SourceNote"/>
      </w:pPr>
      <w:r>
        <w:rPr>
          <w:b/>
        </w:rPr>
        <w:t>Available abstract (not full text):</w:t>
      </w:r>
      <w:r>
        <w:t xml:space="preserve"> Kazakhstan has in recent years intensified its co-operation with the OECD, most notably with the launch in January 2015 of the OECD Kazakhstan Country Programme, which has encompassed co-operation on almost 20 separate projects in a wide range of policy domains. This volume presents an overview of the work done in the main areas covered by the Country Programme, assessing both progress made and the challenges ahead with respect to public governance, economic reform, green growth and social policy. It also considers the linkages between these various strands of policy, in an effort to derive cross-cutting lessons for the future and to present a more integrated understanding of Kazakhstan’s reforms.</w:t>
      </w:r>
    </w:p>
    <w:p>
      <w:pPr/>
      <w:r>
        <w:rPr>
          <w:b/>
        </w:rPr>
        <w:t>POSSIBLE 2017:</w:t>
      </w:r>
      <w:r>
        <w:t xml:space="preserve"> The reform of the European economic governance: critical aspects — https://openalex.org/W2786315619</w:t>
      </w:r>
    </w:p>
    <w:p>
      <w:pPr/>
      <w:r>
        <w:rPr>
          <w:b/>
        </w:rPr>
        <w:t>Shared claim-specific concepts:</w:t>
      </w:r>
      <w:r>
        <w:t xml:space="preserve"> governance, agreed; EU scope visible. This is a provisional connection, not an outcome finding.</w:t>
      </w:r>
    </w:p>
    <w:p>
      <w:pPr>
        <w:pStyle w:val="SourceNote"/>
      </w:pPr>
      <w:r>
        <w:rPr>
          <w:b/>
        </w:rPr>
        <w:t>Available abstract (not full text):</w:t>
      </w:r>
      <w:r>
        <w:t xml:space="preserve"> This work has the ambition to show and analyse some of the critical aspects of the reform of the EU economic governance put in place in the wake of the sovereign debt crisis. The analysis starts from the very reasons which brought to the birth of EMU, from the failure of the international monetary system agreed in Bretton Woods to the Maastricht Treaty.</w:t>
      </w:r>
    </w:p>
    <w:p>
      <w:pPr>
        <w:pStyle w:val="Heading2"/>
      </w:pPr>
      <w:r>
        <w:t>991. Will climate change affect the electricity production sector? A European study</w:t>
      </w:r>
    </w:p>
    <w:p>
      <w:pPr>
        <w:pStyle w:val="SourceNote"/>
      </w:pPr>
      <w:r>
        <w:rPr>
          <w:b/>
        </w:rPr>
        <w:t>Original source (2012):</w:t>
      </w:r>
      <w:r>
        <w:t xml:space="preserve"> https://doi.org/10.2166/wcc.2012.066</w:t>
      </w:r>
    </w:p>
    <w:p>
      <w:pPr/>
      <w:r>
        <w:t>Original wording (abstract; indexed_source_text_not_full_document_verified): Depending on the scenario, water withdrawals in thermal electricity production would increase by 64% or decrease by 92% between 2005 and 2050. Hot spots identified in the Economy First scenario indicate increasing competition for freshwater resources for the thermal electricity production sector.</w:t>
      </w:r>
    </w:p>
    <w:p>
      <w:pPr/>
      <w:r>
        <w:rPr>
          <w:b/>
        </w:rPr>
        <w:t>POSSIBLE 2026:</w:t>
      </w:r>
      <w:r>
        <w:t xml:space="preserve"> Hydrogen production from grid electricity in Europe: A temporal analysis combining economic and climate dimensions — https://doi.org/10.1016/j.ecmx.2026.101922</w:t>
      </w:r>
    </w:p>
    <w:p>
      <w:pPr/>
      <w:r>
        <w:rPr>
          <w:b/>
        </w:rPr>
        <w:t>Shared claim-specific concepts:</w:t>
      </w:r>
      <w:r>
        <w:t xml:space="preserve"> water, electricity, production, increase, indicate; EU scope visible. This is a provisional connection, not an outcome finding.</w:t>
      </w:r>
    </w:p>
    <w:p>
      <w:pPr>
        <w:pStyle w:val="SourceNote"/>
      </w:pPr>
      <w:r>
        <w:rPr>
          <w:b/>
        </w:rPr>
        <w:t>Available abstract (not full text):</w:t>
      </w:r>
      <w:r>
        <w:t xml:space="preserve"> Hydrogen is a potential low-emission enabler for decarbonisation, produced by water electrolysis using electricity whose cost and carbon intensity depend heavily on the source. Previous studies indicate it can be economically viable at high load factors with cheap and low-carbon electricity. Therefore, integrating both economic and environmental considerations is crucial for assessing hydrogen production viability and sustainability. This study addresses this gap by integrating these dimensions, employing hourly historical electricity prices and greenhouse gas (GHG) intensity data for European countries in 2024. Relying on time-series of the spot electricity market from ENTSO-E, and GHG intensity of electricity consumed from EcoDynElec_xr , the developed model calculates hydrogen production costs, GHG intensity, and associated GHG abatement costs as functions of load factor. Economically, optimal load factors range from 40 to 70%, balancing investment costs with avoiding costly market hours. Environmentally, higher load factors increase GHG intensity of e-H 2 produced due to the reliance on electricity at times with higher carbon content. To address this trade-off, GHG abatement costs with e-H 2 compared to the fossil alternative were calculated. The results show that abating GHG emissions at lowest cost is done by running electrolysers within load factors of 20%–70%. Under cur</w:t>
      </w:r>
    </w:p>
    <w:p>
      <w:pPr/>
      <w:r>
        <w:rPr>
          <w:b/>
        </w:rPr>
        <w:t>POSSIBLE 2026:</w:t>
      </w:r>
      <w:r>
        <w:t xml:space="preserve"> Analysis of electricity production and prosumers in Romania — https://doi.org/10.1051/epjconf/202637207005</w:t>
      </w:r>
    </w:p>
    <w:p>
      <w:pPr/>
      <w:r>
        <w:rPr>
          <w:b/>
        </w:rPr>
        <w:t>Shared claim-specific concepts:</w:t>
      </w:r>
      <w:r>
        <w:t xml:space="preserve"> depending, electricity, production, between, increasing; EU scope visible. This is a provisional connection, not an outcome finding.</w:t>
      </w:r>
    </w:p>
    <w:p>
      <w:pPr>
        <w:pStyle w:val="SourceNote"/>
      </w:pPr>
      <w:r>
        <w:rPr>
          <w:b/>
        </w:rPr>
        <w:t>Available abstract (not full text):</w:t>
      </w:r>
      <w:r>
        <w:t xml:space="preserve"> Between 2019 and 2024, the Romanian energy system underwent significant changes driven by the transition to renewable sources and the increasing number of prosumers. Electricity production from conventional sources, particularly coal, decreased by approximately 50%, while renewable sources, including wind, solar, and hydro, accounted for over 60% of total production by 2024. The number of prosumers increased from 13,874 in 2022 to 203,894 in 2025, with their installed capacity exceeding 2,400 MW, significantly contributing to reduced electricity consumption. This paper presents a case study of an industrial prosumer equipped with three photovoltaic systems and a diesel generator set. The analysis shows that locally produced energy can cover between 14% and 99% of monthly consumption, depending on the season and time of day. The findings highlight that decentralised production and efficient self-consumption enable the optimisation of energy use and cost reduction. The results confirm that Romania is progressing towards a sustainable energy model, with effective integration of prosumers and increased use of renewable energy, thereby enhancing energy security and contributing to national and European decarbonisation objectives.</w:t>
      </w:r>
    </w:p>
    <w:p>
      <w:pPr/>
      <w:r>
        <w:rPr>
          <w:b/>
        </w:rPr>
        <w:t>POSSIBLE 2026:</w:t>
      </w:r>
      <w:r>
        <w:t xml:space="preserve"> Analysis of electricity production and prosumers in Romania — https://doi.org/10.1051/epjconf/202637207005/pdf</w:t>
      </w:r>
    </w:p>
    <w:p>
      <w:pPr/>
      <w:r>
        <w:rPr>
          <w:b/>
        </w:rPr>
        <w:t>Shared claim-specific concepts:</w:t>
      </w:r>
      <w:r>
        <w:t xml:space="preserve"> depending, electricity, production, between, increasing; EU scope visible. This is a provisional connection, not an outcome finding.</w:t>
      </w:r>
    </w:p>
    <w:p>
      <w:pPr>
        <w:pStyle w:val="SourceNote"/>
      </w:pPr>
      <w:r>
        <w:rPr>
          <w:b/>
        </w:rPr>
        <w:t>Available abstract (not full text):</w:t>
      </w:r>
      <w:r>
        <w:t xml:space="preserve"> Between 2019 and 2024, the Romanian energy system underwent significant changes driven by the transition to renewable sources and the increasing number of prosumers. Electricity production from conventional sources, particularly coal, decreased by approximately 50%, while renewable sources, including wind, solar, and hydro, accounted for over 60% of total production by 2024. The number of prosumers increased from 13,874 in 2022 to 203,894 in 2025, with their installed capacity exceeding 2,400 MW, significantly contributing to reduced electricity consumption. This paper presents a case study of an industrial prosumer equipped with three photovoltaic systems and a diesel generator set. The analysis shows that locally produced energy can cover between 14% and 99% of monthly consumption, depending on the season and time of day. The findings highlight that decentralised production and efficient self-consumption enable the optimisation of energy use and cost reduction. The results confirm that Romania is progressing towards a sustainable energy model, with effective integration of prosumers and increased use of renewable energy, thereby enhancing energy security and contributing to national and European decarbonisation objectives.</w:t>
      </w:r>
    </w:p>
    <w:p>
      <w:pPr/>
      <w:r>
        <w:rPr>
          <w:b/>
        </w:rPr>
        <w:t>POSSIBLE 2025:</w:t>
      </w:r>
      <w:r>
        <w:t xml:space="preserve"> A data-driven framework for the temporal extrapolation of annual water withdrawals for hydrological modelling — https://doi.org/10.5194/egusphere-egu25-11405</w:t>
      </w:r>
    </w:p>
    <w:p>
      <w:pPr/>
      <w:r>
        <w:rPr>
          <w:b/>
        </w:rPr>
        <w:t>Shared claim-specific concepts:</w:t>
      </w:r>
      <w:r>
        <w:t xml:space="preserve"> water, withdrawals, between, increasing, freshwater, resources; EU scope visible. This is a provisional connection, not an outcome finding.</w:t>
      </w:r>
    </w:p>
    <w:p>
      <w:pPr>
        <w:pStyle w:val="SourceNote"/>
      </w:pPr>
      <w:r>
        <w:rPr>
          <w:b/>
        </w:rPr>
        <w:t>Available abstract (not full text):</w:t>
      </w:r>
      <w:r>
        <w:t xml:space="preserve"> In the context of anthropogenic climate change and increasing pressure on water resources from human use, it is necessary to provide stakeholders with tools to quantify water availability under present and future conditions, and to guide public policy in water management. To this end, anthropogenic effects need to be integrated into hydrological modeling. One of the major challenges in modeling human-impacted hydrological systems is the quantification of water withdrawals at the appropriate temporal and spatial scales. Due to a general lack of direct observational data, these withdrawals must often be modeled. The strategy for data-based modeling of water withdrawals depends on the water use sector: irrigation is traditionally subject to a process-based approach, while public freshwater supply is often modelled using regression techniques. Recently, machine-learning techniques have been explored to model freshwater withdrawals and, in the irrigation sector, to identify drivers and, in rarer cases, to predict water withdrawals. In this study, we present a data-driven framework to quantify irrigation water with limited data. We illustrate our methodological development with an application over 74 non-nested catchments in France, where water withdrawals are documented based on declarations for a short historic period (since 2008) and at a coarse temporal resolution (annual volumes</w:t>
      </w:r>
    </w:p>
    <w:p>
      <w:pPr/>
      <w:r>
        <w:rPr>
          <w:b/>
        </w:rPr>
        <w:t>POSSIBLE 2024:</w:t>
      </w:r>
      <w:r>
        <w:t xml:space="preserve"> Perspectives of Electricity Production from Biogas in the European Union — https://doi.org/10.3390/en17051169</w:t>
      </w:r>
    </w:p>
    <w:p>
      <w:pPr/>
      <w:r>
        <w:rPr>
          <w:b/>
        </w:rPr>
        <w:t>Shared claim-specific concepts:</w:t>
      </w:r>
      <w:r>
        <w:t xml:space="preserve"> electricity, production, increase, decrease, first; EU scope visible. This is a provisional connection, not an outcome finding.</w:t>
      </w:r>
    </w:p>
    <w:p>
      <w:pPr>
        <w:pStyle w:val="SourceNote"/>
      </w:pPr>
      <w:r>
        <w:rPr>
          <w:b/>
        </w:rPr>
        <w:t>Available abstract (not full text):</w:t>
      </w:r>
      <w:r>
        <w:t xml:space="preserve"> Biogas is a renewable energy source (RES). The aim of this research was to analyze the perspectives of electricity production from biogas in the European Union. The main source of information was data from Eurostat. We analyzed electricity production from biogas in the European Union (EU). The scope of this research was data from 2012 to 2021. First, we presented biogas production by feedstock type across the world. Then, we presented changes in electricity production from biogas in the EU. We used different methods to evaluate the changes in biogas production. First, we used the ARiMA (Autoregressive Moving Average) model to evaluate the stationarity of the time series. Our electricity production from biogas data proved to be stationary. Second, we elaborated on the prognosis of future changes in electricity production from biogas. The largest producer of biogas is the EU, and it is produced from crops, animal manure, and municipal solid waste. Our research found that the largest production from biogas in 2021 took place in Germany, Italy, and France. These countries have the greatest potential for electricity production from biogas, and they have spent significant funds on facilities and technology. Such countries as Ireland, Greece, Spain, France, Croatia, Poland, Portugal, Romania, Finland, and Sweden increased their electricity production from biogas in 2021 compared to 20</w:t>
      </w:r>
    </w:p>
    <w:p>
      <w:pPr/>
      <w:r>
        <w:rPr>
          <w:b/>
        </w:rPr>
        <w:t>POSSIBLE 2024:</w:t>
      </w:r>
      <w:r>
        <w:t xml:space="preserve"> Changes in Gross Nuclear Electricity Production in the European Union — https://doi.org/10.3390/en17143554</w:t>
      </w:r>
    </w:p>
    <w:p>
      <w:pPr/>
      <w:r>
        <w:rPr>
          <w:b/>
        </w:rPr>
        <w:t>Shared claim-specific concepts:</w:t>
      </w:r>
      <w:r>
        <w:t xml:space="preserve"> electricity, production, increase, increasing; EU scope visible. This is a provisional connection, not an outcome finding.</w:t>
      </w:r>
    </w:p>
    <w:p>
      <w:pPr>
        <w:pStyle w:val="SourceNote"/>
      </w:pPr>
      <w:r>
        <w:rPr>
          <w:b/>
        </w:rPr>
        <w:t>Available abstract (not full text):</w:t>
      </w:r>
      <w:r>
        <w:t xml:space="preserve"> Economic development requires a constant supply of energy. The utilization of fossil fuels causes environmental pollution and greenhouse gas emissions. The effects of fossil fuel use have impacted global warming, which may affect the world. The problem of environmental degradation can be decreased by using renewable energy sources and nuclear energy. The role of nuclear energy is increasing. More than 10% of electric energy is now produced from nuclear energy worldwide. However, the share varies by country. For example, in France, it is 70%, in Slovakia, it is 55%, and in Ukraine, it is 53%. Many countries do not have nuclear energy at all. This study aims to investigate the development of gross nuclear electricity production both in the world and in the European Union (EU) in terms of stationarity and prognosis. To achieve the goal of this study, the authors utilized descriptive statistics. The time range included the period 1990–2022. This long time period enabled us to conduct the ADF (Augmented Dickey Fuller) test. According to our analysis, gross nuclear electricity production in the European Union (EU) was stationary. We also evaluated future prognosis using the ARIMA (Autoregressive Moving Average) model. We also used the Vector Autoregressive (VAR) model to evaluate changes within nuclear electricity production. Based on our research, we can conclude that the data were </w:t>
      </w:r>
    </w:p>
    <w:p>
      <w:pPr/>
      <w:r>
        <w:rPr>
          <w:b/>
        </w:rPr>
        <w:t>POSSIBLE 2024:</w:t>
      </w:r>
      <w:r>
        <w:t xml:space="preserve"> Decarbonization of urea production in India and its impact on water withdrawal and costs: A cost optimization approach — https://doi.org/10.1016/j.jclepro.2024.144433</w:t>
      </w:r>
    </w:p>
    <w:p>
      <w:pPr/>
      <w:r>
        <w:rPr>
          <w:b/>
        </w:rPr>
        <w:t>Shared claim-specific concepts:</w:t>
      </w:r>
      <w:r>
        <w:t xml:space="preserve"> depending, water, production, increase, between, indicate; EU scope not established. This is a provisional connection, not an outcome finding.</w:t>
      </w:r>
    </w:p>
    <w:p>
      <w:pPr>
        <w:pStyle w:val="SourceNote"/>
      </w:pPr>
      <w:r>
        <w:rPr>
          <w:b/>
        </w:rPr>
        <w:t>Available abstract (not full text):</w:t>
      </w:r>
      <w:r>
        <w:t xml:space="preserve"> Urea, a globally dominant synthetic nitrogen fertilizer, presents a complex challenge for India. While promoting agricultural productivity, its production—reliant on natural gas—is projected to drive a threefold increase in India's natural gas consumption by 2050. To meet ambitious climate targets while ensuring food security, India's existing urea plants must be decarbonized. This study conducted techno-economic modeling of “blue” and “green” urea production techniques for all 34 existing urea plants in India, incorporating technologies such as electrolyzers and carbon capture. Using a mixed-integer programming approach from a central planner's perspective, we evaluated key indicators of business-as-usual and decarbonization pathways for the sector under different scenarios. The results indicate that a high level of decarbonization is economically feasible under most scenarios, with the base scenario showing a potential adoption of over 93% green urea by 2050, thus reducing the sector's current natural gas consumption intensity of 645 S C M t u r e a by 96%. This transition also results in a lower freshwater withdrawal intensity of approximately 4 m 3 t u r e a , which is below India's current average of 6.4 m 3 t u r e a . The levelized costs of urea for the decarbonization pathway are more robust against external factors, ranging from 398 to 487 U S D 2026 t u r e a , depend</w:t>
      </w:r>
    </w:p>
    <w:p>
      <w:pPr/>
      <w:r>
        <w:rPr>
          <w:b/>
        </w:rPr>
        <w:t>POSSIBLE 2023:</w:t>
      </w:r>
      <w:r>
        <w:t xml:space="preserve"> Low flow sensitivity to water withdrawals in Central and Southwestern Europe under 2 K global warming — https://doi.org/10.1088/1748-9326/acec60</w:t>
      </w:r>
    </w:p>
    <w:p>
      <w:pPr/>
      <w:r>
        <w:rPr>
          <w:b/>
        </w:rPr>
        <w:t>Shared claim-specific concepts:</w:t>
      </w:r>
      <w:r>
        <w:t xml:space="preserve"> water, withdrawals, decrease, freshwater; EU scope visible. This is a provisional connection, not an outcome finding.</w:t>
      </w:r>
    </w:p>
    <w:p>
      <w:pPr>
        <w:pStyle w:val="SourceNote"/>
      </w:pPr>
      <w:r>
        <w:rPr>
          <w:b/>
        </w:rPr>
        <w:t>Available abstract (not full text):</w:t>
      </w:r>
      <w:r>
        <w:t xml:space="preserve"> Abstract A sufficient freshwater supply is vital for humans, ecosystems, and economies, but anticipated climate and socio-economic change are expected to substantially alter water availability. Across Europe, about two-third of the abstracted freshwater comes from rivers and streams. Various hydrological studies address the resulting need for projections on changes in river discharge. However, those assessments rarely specifically account for the impact of various water withdrawal scenarios during low flow periods. We present here a novel, high-resolution hydrological modeling experiment using pseudo-global warming climate data to investigate the effects of changing water withdrawals under 2 K global warming. Especially in Western and Central Europe the projected impacts on low flows highly depend on the chosen water withdrawal assumption and can severely decrease under the worst case assumptions. Our results highlight the importance of accounting for future water withdrawals in low flow projections, showing that climate-focused impact assessments in near-natural catchments provide only one piece of the anticipated response and do not necessarily reflect changes in heavily managed river basins.</w:t>
      </w:r>
    </w:p>
    <w:p>
      <w:pPr/>
      <w:r>
        <w:rPr>
          <w:b/>
        </w:rPr>
        <w:t>POSSIBLE 2023:</w:t>
      </w:r>
      <w:r>
        <w:t xml:space="preserve"> Simulated discharge statistics in Central and Southwestern Europe considering water use under 2K global warming — https://doi.org/10.5281/zenodo.8132867</w:t>
      </w:r>
    </w:p>
    <w:p>
      <w:pPr/>
      <w:r>
        <w:rPr>
          <w:b/>
        </w:rPr>
        <w:t>Shared claim-specific concepts:</w:t>
      </w:r>
      <w:r>
        <w:t xml:space="preserve"> water, withdrawals, between, resources; EU scope visible. This is a provisional connection, not an outcome finding.</w:t>
      </w:r>
    </w:p>
    <w:p>
      <w:pPr>
        <w:pStyle w:val="SourceNote"/>
      </w:pPr>
      <w:r>
        <w:rPr>
          <w:b/>
        </w:rPr>
        <w:t>Available abstract (not full text):</w:t>
      </w:r>
      <w:r>
        <w:t xml:space="preserve"> We provide a novel, high-resolution hydrological modelling dataset using pseudo-global warming climate data as forcing to the Community Water Model (CWatM). CWatM is a state-of-the-art large-scale rainfall-runoff and channel routing water resources model that is process-based and used to quantify water supply, as well as human water withdrawals from different sectors (industry, domestic, agriculture) and multiple sources representing the effects of water infrastructure, including reservoirs, groundwater pumping and irrigation canals. CWatM is forced by a pseudo-global warming (PGW) experiment from 1981 to 2010. PGW simulations resemble historical weather patterns and events under globally warmer conditions (here, 2 K global warming) by perturbing historical, reanalysis-driven regional climate simulations. We performed simulations considering regular incremental adjustments of the historical water withdrawals (ranging between +/- 50% of historic water withdrawals) under PGW conditions. That range represents an ad hoc and simplified representation of multiple possible future water management scenarios across Southwestern and Central Europe. The approach allows us to investigate the effects of changing water withdrawals under 2 K global warming. Especially in Western and Central Europe, the projected impacts on low flows highly depend on the chosen water withdrawal assumption. The</w:t>
      </w:r>
    </w:p>
    <w:p>
      <w:pPr/>
      <w:r>
        <w:rPr>
          <w:b/>
        </w:rPr>
        <w:t>POSSIBLE 2023:</w:t>
      </w:r>
      <w:r>
        <w:t xml:space="preserve"> Gone with the clouds: Estimating the electricity and water footprint of digital data services in Europe — https://doi.org/10.1016/j.enconman.2023.117225</w:t>
      </w:r>
    </w:p>
    <w:p>
      <w:pPr/>
      <w:r>
        <w:rPr>
          <w:b/>
        </w:rPr>
        <w:t>Shared claim-specific concepts:</w:t>
      </w:r>
      <w:r>
        <w:t xml:space="preserve"> water, electricity, increase, increasing; EU scope visible. This is a provisional connection, not an outcome finding.</w:t>
      </w:r>
    </w:p>
    <w:p>
      <w:pPr>
        <w:pStyle w:val="SourceNote"/>
      </w:pPr>
      <w:r>
        <w:rPr>
          <w:b/>
        </w:rPr>
        <w:t>Available abstract (not full text):</w:t>
      </w:r>
      <w:r>
        <w:t xml:space="preserve"> Cloud and data services have experienced a constant increase in demand ever since their availability. Whether for computing of complex models, digital data storage, blockchain transactions or digital service hosting, digital data is having an increasingly important role in society. However, with the increasing presence of data centers, not only the availability and quality of cloud and data services increases, but also the demand for electricity and water by the digital services industry. This work aims to provide an estimation for the current and future water consumption of digital data services in Europe from 2022 to 2030. The projection considers European trends for population, data services consumption, technological development, data transmission and energy consumption among other factors. Publicly available data was combined with literature research to extrapolate the development of digital data usage in Europe until 2030. The results demonstrate that from 273.4 to 820.1 million cubic meters of water and from 56.3 to 169 Terawatt-hour of electricity will be consumed yearly in Europe in 2030 for internet usage.</w:t>
      </w:r>
    </w:p>
    <w:p>
      <w:pPr/>
      <w:r>
        <w:rPr>
          <w:b/>
        </w:rPr>
        <w:t>POSSIBLE 2023:</w:t>
      </w:r>
      <w:r>
        <w:t xml:space="preserve"> The water, land, and carbon intensity of electricity production: The case of South Africa — https://doi.org/10.1016/j.jclepro.2023.136945</w:t>
      </w:r>
    </w:p>
    <w:p>
      <w:pPr/>
      <w:r>
        <w:rPr>
          <w:b/>
        </w:rPr>
        <w:t>Shared claim-specific concepts:</w:t>
      </w:r>
      <w:r>
        <w:t xml:space="preserve"> water, electricity, production, increase, decrease, resources; EU scope not established. This is a provisional connection, not an outcome finding.</w:t>
      </w:r>
    </w:p>
    <w:p>
      <w:pPr>
        <w:pStyle w:val="SourceNote"/>
      </w:pPr>
      <w:r>
        <w:rPr>
          <w:b/>
        </w:rPr>
        <w:t>Available abstract (not full text):</w:t>
      </w:r>
      <w:r>
        <w:t xml:space="preserve"> Electricity production has a significant impact on the Water-Energy-Food nexus sectors as it requires substantial amounts of water and land, whilst also being a primary polluter of these resources. In addition, electricity production is a key contributor to global carbon emissions . With electricity production predicted to increase by over 50% by 2050, the impact of electricity production on water and land resources , as well as on carbon emissions , will need to be significantly reduced. This is particularly important in countries facing water, energy, and food scarcity and insecurity, such as South Africa . This paper therefore investigates the impact of electricity production on the Water-Energy-Food nexus sectors and on carbon emissions in South Africa. To do this, we conduct a lifecycle assessment of the water and land required for electricity production, as well as its carbon emissions in South Africa, by electricity source, and under key scenarios. The results from the Integrated Resource Plan 2030 scenario show that despite a 34% increase in electricity production targeted from 2018 to 2030 in South Africa, the water and land requirements, and the carbon emissions of electricity production would decrease by 29%, 9%, and 5.5%, respectively. Compared to the Business-as-Usual 2030 scenario, it was shown that the water and land requirements and carbon emissions of electrici</w:t>
      </w:r>
    </w:p>
    <w:p>
      <w:pPr/>
      <w:r>
        <w:rPr>
          <w:b/>
        </w:rPr>
        <w:t>POSSIBLE 2023:</w:t>
      </w:r>
      <w:r>
        <w:t xml:space="preserve"> Optimizing biomass pathways to bioenergy and biochar application in electricity generation, biodiesel production, and biohydrogen production — https://doi.org/10.1007/s10311-023-01613-2</w:t>
      </w:r>
    </w:p>
    <w:p>
      <w:pPr/>
      <w:r>
        <w:rPr>
          <w:b/>
        </w:rPr>
        <w:t>Shared claim-specific concepts:</w:t>
      </w:r>
      <w:r>
        <w:t xml:space="preserve"> electricity, production, increase; EU scope not established. This is a provisional connection, not an outcome finding.</w:t>
      </w:r>
    </w:p>
    <w:p>
      <w:pPr>
        <w:pStyle w:val="SourceNote"/>
      </w:pPr>
      <w:r>
        <w:rPr>
          <w:b/>
        </w:rPr>
        <w:t>Available abstract (not full text):</w:t>
      </w:r>
      <w:r>
        <w:t xml:space="preserve"> Abstract The current energy crisis, depletion of fossil fuels, and global climate change have made it imperative to find alternative sources of energy that are both economically sustainable and environmentally friendly. Here we review various pathways for converting biomass into bioenergy and biochar and their applications in producing electricity, biodiesel, and biohydrogen. Biomass can be converted into biofuels using different methods, including biochemical and thermochemical conversion methods. Determining which approach is best relies on the type of biomass involved, the desired final product, and whether or not it is economically sustainable. Biochemical conversion methods are currently the most widely used for producing biofuels from biomass, accounting for approximately 80% of all biofuels produced worldwide. Ethanol and biodiesel are the most prevalent biofuels produced via biochemical conversion processes. Thermochemical conversion is less used than biochemical conversion, accounting for approximately 20% of biofuels produced worldwide. Bio-oil and syngas, commonly manufactured from wood chips, agricultural waste, and municipal solid waste, are the major biofuels produced by thermochemical conversion. Biofuels produced from biomass have the potential to displace up to 27% of the world's transportation fuel by 2050, which could result in a reduction in greenhouse gas e</w:t>
      </w:r>
    </w:p>
    <w:p>
      <w:pPr>
        <w:pStyle w:val="Heading2"/>
      </w:pPr>
      <w:r>
        <w:t>992. ‘Energy landscapes’: Meeting energy demands and human aspirations</w:t>
      </w:r>
    </w:p>
    <w:p>
      <w:pPr>
        <w:pStyle w:val="SourceNote"/>
      </w:pPr>
      <w:r>
        <w:rPr>
          <w:b/>
        </w:rPr>
        <w:t>Original source (2012):</w:t>
      </w:r>
      <w:r>
        <w:t xml:space="preserve"> https://doi.org/10.1016/j.biombioe.2012.11.022</w:t>
      </w:r>
    </w:p>
    <w:p>
      <w:pPr/>
      <w:r>
        <w:t>Original wording (abstract; indexed_source_text_not_full_document_verified): A critical question considered in this article is whether a massive expansion in the use of biomass will allow us to construct future scenarios while repositioning the 'energy landscape' as an object of study.</w:t>
      </w:r>
    </w:p>
    <w:p>
      <w:pPr/>
      <w:r>
        <w:rPr>
          <w:b/>
        </w:rPr>
        <w:t>POSSIBLE 2024:</w:t>
      </w:r>
      <w:r>
        <w:t xml:space="preserve"> The effects of critical questions on undergraduate students' argumentative writing — https://doi.org/10.58088/bfrb-jk48</w:t>
      </w:r>
    </w:p>
    <w:p>
      <w:pPr/>
      <w:r>
        <w:rPr>
          <w:b/>
        </w:rPr>
        <w:t>Shared claim-specific concepts:</w:t>
      </w:r>
      <w:r>
        <w:t xml:space="preserve"> critical, whether, use; EU scope not established. This is a provisional connection, not an outcome finding.</w:t>
      </w:r>
    </w:p>
    <w:p>
      <w:pPr>
        <w:pStyle w:val="SourceNote"/>
      </w:pPr>
      <w:r>
        <w:rPr>
          <w:b/>
        </w:rPr>
        <w:t>Available abstract (not full text):</w:t>
      </w:r>
      <w:r>
        <w:t xml:space="preserve"> Despite the established importance of writing, many students have difficulty writing proficiently (Ann Rogers &amp; Graham, 2008; Graham &amp; Perin, 2007). This study was designed to assess whether the provision of argumentative writing goals focusing on revision affected the quality of college students’ first drafts and revised essays. In addition, I investigated whether participants’ keyboarding fluency was related to essay quality. Participants first completed a typing-speed test and wrote argumentative essays. Then, they were asked to revise and write another essay on a different topic after receiving either a general goal, a genre-specific elaborated goal, a goal that included critical questions about two argumentation strategies, or a goal that incorporated the elaborated goal and critical questions. College students’ keyboarding fluency was found to be positively correlated with the quality of their argumentative essays. Compared to students who were given a general goal, those who received the elaborated goal, critical questions, or the incorporation of the elaborated goal and critical questions wrote revised essays of higher quality. Additionally, students who received the elaborated goal and the incorporation of the elaborated goal and critical conditions wrote essays that included more rebuttals, alternative standpoints, and reasons for alternative standpoints. Argumentatio</w:t>
      </w:r>
    </w:p>
    <w:p>
      <w:pPr/>
      <w:r>
        <w:rPr>
          <w:b/>
        </w:rPr>
        <w:t>POSSIBLE 2024:</w:t>
      </w:r>
      <w:r>
        <w:t xml:space="preserve"> Critical-Questions-of-Thought: Steering LLM reasoning with Argumentative Querying — https://doi.org/10.48550/arxiv.2412.15177</w:t>
      </w:r>
    </w:p>
    <w:p>
      <w:pPr/>
      <w:r>
        <w:rPr>
          <w:b/>
        </w:rPr>
        <w:t>Shared claim-specific concepts:</w:t>
      </w:r>
      <w:r>
        <w:t xml:space="preserve"> critical, whether, use; EU scope not established. This is a provisional connection, not an outcome finding.</w:t>
      </w:r>
    </w:p>
    <w:p>
      <w:pPr>
        <w:pStyle w:val="SourceNote"/>
      </w:pPr>
      <w:r>
        <w:rPr>
          <w:b/>
        </w:rPr>
        <w:t>Available abstract (not full text):</w:t>
      </w:r>
      <w:r>
        <w:t xml:space="preserve"> Studies have underscored how, regardless of the recent breakthrough and swift advances in AI research, even state-of-the-art Large Language models (LLMs) continue to struggle when performing logical and mathematical reasoning. The results seem to suggest that LLMs still work as (highly advanced) data pattern identifiers, scoring poorly when attempting to generalise and solve reasoning problems the models have never previously seen or that are not close to samples presented in their training data. To address this compelling concern, this paper makes use of the notion of critical questions from the literature on argumentation theory, focusing in particular on Toulmin's model of argumentation. We show that employing these critical questions can improve the reasoning capabilities of LLMs. By probing the rationale behind the models' reasoning process, the LLM can assess whether some logical mistake is occurring and correct it before providing the final reply to the user prompt. The underlying idea is drawn from the gold standard of any valid argumentative procedure: the conclusion is valid if it is entailed by accepted premises. Or, to paraphrase such Aristotelian principle in a real-world approximation, characterised by incomplete information and presumptive logic, the conclusion is valid if not proved otherwise. This approach successfully steers the models' output through a reason</w:t>
      </w:r>
    </w:p>
    <w:p>
      <w:pPr/>
      <w:r>
        <w:rPr>
          <w:b/>
        </w:rPr>
        <w:t>POSSIBLE 2024:</w:t>
      </w:r>
      <w:r>
        <w:t xml:space="preserve"> Wireless 6G Connectivity for Massive Number of Devices and Critical Services — https://doi.org/10.1109/jproc.2024.3484529</w:t>
      </w:r>
    </w:p>
    <w:p>
      <w:pPr/>
      <w:r>
        <w:rPr>
          <w:b/>
        </w:rPr>
        <w:t>Shared claim-specific concepts:</w:t>
      </w:r>
      <w:r>
        <w:t xml:space="preserve"> critical, article, massive; EU scope not established. This is a provisional connection, not an outcome finding.</w:t>
      </w:r>
    </w:p>
    <w:p>
      <w:pPr>
        <w:pStyle w:val="SourceNote"/>
      </w:pPr>
      <w:r>
        <w:rPr>
          <w:b/>
        </w:rPr>
        <w:t>Available abstract (not full text):</w:t>
      </w:r>
      <w:r>
        <w:t xml:space="preserve"> Compared to the generations up to 4G, whose main focus was on broadband and coverage aspects, 5G has expanded the scope of wireless cellular systems toward embracing two new types of connectivity: massive machine-type communications (mMTCs) and ultrareliable low-latency communications (URLLCs). This article discusses the possible evolution of these two types of connectivity within the umbrella of 6G wireless systems. This article consists of three parts. The first part deals with the connectivity for a massive number of devices. While mMTC research in 5G predominantly focuses on the problem of uncoordinated access in the uplink for a large number of devices, the traffic patterns in 6G may become more symmetric, leading to closed-loop massive connectivity. One of the drivers for this type of traffic pattern is distributed/decentralized learning and inference. The second part of this article discusses the evolution of wireless connectivity for critical services. While latency and reliability are tightly coupled in 5G, 6G will support a variety of safety-critical control applications with different types of timing requirements, as evidenced by the emergence of metrics related to information freshness and information value. In addition, ensuring ultrahigh reliability for safety-critical control applications requires modeling and estimation of the tail statistics of the wireless cha</w:t>
      </w:r>
    </w:p>
    <w:p>
      <w:pPr/>
      <w:r>
        <w:rPr>
          <w:b/>
        </w:rPr>
        <w:t>POSSIBLE 2024:</w:t>
      </w:r>
      <w:r>
        <w:t xml:space="preserve"> Moduli space of logarithmic states in critical massive gravities — https://doi.org/10.1140/epjc/s10052-024-12614-y</w:t>
      </w:r>
    </w:p>
    <w:p>
      <w:pPr/>
      <w:r>
        <w:rPr>
          <w:b/>
        </w:rPr>
        <w:t>Shared claim-specific concepts:</w:t>
      </w:r>
      <w:r>
        <w:t xml:space="preserve"> critical, massive, allow; EU scope not established. This is a provisional connection, not an outcome finding.</w:t>
      </w:r>
    </w:p>
    <w:p>
      <w:pPr>
        <w:pStyle w:val="SourceNote"/>
      </w:pPr>
      <w:r>
        <w:rPr>
          <w:b/>
        </w:rPr>
        <w:t>Available abstract (not full text):</w:t>
      </w:r>
      <w:r>
        <w:t xml:space="preserve"> Abstract We take new algebraic and geometric perspectives on the combinatorial results recently obtained on the partition functions of critical massive gravities conjectured to be dual to Logarithmic CFTs through the AdS $$_3$$ 3 /LCFT $$_2$$ 2 correspondence. We show that the partition functions of logarithmic states can be expressed in terms of Schur polynomials. Subsequently, we show that the moduli space of the logarithmic states is the symmetric product $$S^n\left( {\mathbb {C}}^2 \right) $$ S n C 2 . As the quotient of an affine space by the symmetric group, this orbifold space is shown to be described by Hilbert series that have palindromic numerators. The palindromic properties of the Hilbert series indicate that the orbifolds are Calabi-Yau, and allow for a new interpretation of the logarithmic state spaces in critical massive gravities as Calabi-Yau singular spaces.</w:t>
      </w:r>
    </w:p>
    <w:p>
      <w:pPr/>
      <w:r>
        <w:rPr>
          <w:b/>
        </w:rPr>
        <w:t>POSSIBLE 2024:</w:t>
      </w:r>
      <w:r>
        <w:t xml:space="preserve"> To Be Frail or Not to Be Frail: This Is the Question—A Critical Narrative Review of Frailty — https://doi.org/10.3390/jcm13030721</w:t>
      </w:r>
    </w:p>
    <w:p>
      <w:pPr/>
      <w:r>
        <w:rPr>
          <w:b/>
        </w:rPr>
        <w:t>Shared claim-specific concepts:</w:t>
      </w:r>
      <w:r>
        <w:t xml:space="preserve"> critical, question, considered; EU scope visible. This is a provisional connection, not an outcome finding.</w:t>
      </w:r>
    </w:p>
    <w:p>
      <w:pPr>
        <w:pStyle w:val="SourceNote"/>
      </w:pPr>
      <w:r>
        <w:rPr>
          <w:b/>
        </w:rPr>
        <w:t>Available abstract (not full text):</w:t>
      </w:r>
      <w:r>
        <w:t xml:space="preserve"> Many factors have contributed to rendering frailty an emerging, relevant, and very popular concept. First, many pandemics that have affected humanity in history, including COVID-19, most recently, have had more severe effects on frail people compared to non-frail ones. Second, the increase in human life expectancy observed in many developed countries, including Italy has led to a rise in the percentage of the older population that is more likely to be frail, which is why frailty is much a more common concern among geriatricians compared to other the various health-care professionals. Third, the stratification of people according to the occurrence and the degree of frailty allows healthcare decision makers to adequately plan for the allocation of available human professional and economic resources. Since frailty is considered to be fully preventable, there are relevant consequences in terms of potential benefits both in terms of the clinical outcome and healthcare costs. Frailty is becoming a popular, pervasive, and almost omnipresent concept in many different contexts, including clinical medicine, physical health, lifestyle behavior, mental health, health policy, and socio-economic planning sciences. The emergence of the new "science of frailty" has been recently acknowledged. However, there is still debate on the exact definition of frailty, the pathogenic mechanisms involved,</w:t>
      </w:r>
    </w:p>
    <w:p>
      <w:pPr/>
      <w:r>
        <w:rPr>
          <w:b/>
        </w:rPr>
        <w:t>POSSIBLE 2024:</w:t>
      </w:r>
      <w:r>
        <w:t xml:space="preserve"> The Evolution of Massive Binary Stars — https://doi.org/10.1146/annurev-astro-052722-105936</w:t>
      </w:r>
    </w:p>
    <w:p>
      <w:pPr/>
      <w:r>
        <w:rPr>
          <w:b/>
        </w:rPr>
        <w:t>Shared claim-specific concepts:</w:t>
      </w:r>
      <w:r>
        <w:t xml:space="preserve"> critical, massive, object; EU scope not established. This is a provisional connection, not an outcome finding.</w:t>
      </w:r>
    </w:p>
    <w:p>
      <w:pPr>
        <w:pStyle w:val="SourceNote"/>
      </w:pPr>
      <w:r>
        <w:rPr>
          <w:b/>
        </w:rPr>
        <w:t>Available abstract (not full text):</w:t>
      </w:r>
      <w:r>
        <w:t xml:space="preserve"> Massive stars play a major role in the evolution of their host galaxies and serve as important probes of the distant Universe. It has been established that the majority of massive stars reside in close binaries and interact with their companion stars during their lifetimes. Such interactions drastically alter their life cycles and complicate our understanding of their evolution, but are also responsible for the production of interesting and exotic interaction products. ▪ Extensive observation campaigns with well-understood detection sensitivities have enabled the conversion of observed properties into intrinsic characteristics, facilitating a direct comparison to theory. ▪ Studies of large samples of massive stars in our Galaxy and the Magellanic Clouds have unveiled new types of interaction products, providing critical constraints on the mass transfer phase and the formation of compact objects. ▪ The direct detection of gravitational waves has revolutionized the study of stellar mass compact objects, providing a new window to study massive star evolution. Their formation processes are, however, still unclear. The known sample of compact object mergers will increase by orders of magnitude in the coming decade, which is vastly outgrowing the number of stellar-mass compact objects detected through electromagnetic radiation.</w:t>
      </w:r>
    </w:p>
    <w:p>
      <w:pPr/>
      <w:r>
        <w:rPr>
          <w:b/>
        </w:rPr>
        <w:t>POSSIBLE 2023:</w:t>
      </w:r>
      <w:r>
        <w:t xml:space="preserve"> Bridging dialogic pedagogy and argumentation theory through critical questions — https://doi.org/10.5195/dpj.2023.548</w:t>
      </w:r>
    </w:p>
    <w:p>
      <w:pPr/>
      <w:r>
        <w:rPr>
          <w:b/>
        </w:rPr>
        <w:t>Shared claim-specific concepts:</w:t>
      </w:r>
      <w:r>
        <w:t xml:space="preserve"> critical, considered, article, construct; EU scope not established. This is a provisional connection, not an outcome finding.</w:t>
      </w:r>
    </w:p>
    <w:p>
      <w:pPr>
        <w:pStyle w:val="SourceNote"/>
      </w:pPr>
      <w:r>
        <w:rPr>
          <w:b/>
        </w:rPr>
        <w:t>Available abstract (not full text):</w:t>
      </w:r>
      <w:r>
        <w:t xml:space="preserve"> This article explores the relationship between argumentation theory and dialogic pedagogy. Arguments made in everyday discourse tend to be enthymematic, i.e., containing implicit premises. Thus, dialogue is often necessary to uncover hidden assumptions. Furthermore, evaluating logical arguments involves dialectical and dialogic processes. We articulate the role of critical questions in this process and present the Critical Questions Model of Argument Assessment (CQMAA) as a (mostly) comprehensive framework for evaluating arguments. Students can be taught to ask and discuss these critical questions. Yet to facilitate and sustain discussion of these questions, teachers need additional tools drawn from dialogic pedagogy. We draw on Robin Alexander’s conceptual framework for this purpose as well as Michaels and O’Connor’s work on Academically Productive Talk. Alexander’s framework includes six pedagogical principles and eight repertoires of talk. We focus specifically on teacher and student talk moves and propose that critical questions should be considered an important subset of productive talk moves that can bring rigor and purpose to classroom argumentation. Other talk moves are also needed to help students construct arguments, listen and engage with one another, and help sustain discussion of the critical questions. The CQMAA provides both a theoretical and practical link betwe</w:t>
      </w:r>
    </w:p>
    <w:p>
      <w:pPr/>
      <w:r>
        <w:rPr>
          <w:b/>
        </w:rPr>
        <w:t>POSSIBLE 2023:</w:t>
      </w:r>
      <w:r>
        <w:t xml:space="preserve"> ‘And yet’ … Critical questions, complicated conversations: curating a TYA curriculum — https://doi.org/10.1080/13569783.2023.2232734</w:t>
      </w:r>
    </w:p>
    <w:p>
      <w:pPr/>
      <w:r>
        <w:rPr>
          <w:b/>
        </w:rPr>
        <w:t>Shared claim-specific concepts:</w:t>
      </w:r>
      <w:r>
        <w:t xml:space="preserve"> critical, considered, article; EU scope not established. This is a provisional connection, not an outcome finding.</w:t>
      </w:r>
    </w:p>
    <w:p>
      <w:pPr>
        <w:pStyle w:val="SourceNote"/>
      </w:pPr>
      <w:r>
        <w:rPr>
          <w:b/>
        </w:rPr>
        <w:t>Available abstract (not full text):</w:t>
      </w:r>
      <w:r>
        <w:t xml:space="preserve"> Can critical questions and complicated conversations addressing issues of representation, difference, and witnessing be positioned at the centre of a TYA curriculum? This article examines contemporary, issue-based and culturally specific TYA scripts. In addition, a collection of aesthetic representations are offered as dynamic prompts to help further provoke dialogue across difference, and to invite different forms of knowing and knowledge into our shared TYA spaces. These curated sources are considered alongside the wisdom of Elie Wiesel, Johnston’s ‘Slow Curation’, Lauzon’s ‘Cultural Intimacy’, and Rothberg’s ‘Multidirectional Memory’ concepts in the effort to welcome and sustain relationships across multiple and challenging contexts.</w:t>
      </w:r>
    </w:p>
    <w:p>
      <w:pPr/>
      <w:r>
        <w:rPr>
          <w:b/>
        </w:rPr>
        <w:t>POSSIBLE 2023:</w:t>
      </w:r>
      <w:r>
        <w:t xml:space="preserve"> The Critical in Husserl's Phenomenology: the Levels of Constitution as a Question of Method — https://openalex.org/W7135703715</w:t>
      </w:r>
    </w:p>
    <w:p>
      <w:pPr/>
      <w:r>
        <w:rPr>
          <w:b/>
        </w:rPr>
        <w:t>Shared claim-specific concepts:</w:t>
      </w:r>
      <w:r>
        <w:t xml:space="preserve"> critical, question, considered; EU scope not established. This is a provisional connection, not an outcome finding.</w:t>
      </w:r>
    </w:p>
    <w:p>
      <w:pPr>
        <w:pStyle w:val="SourceNote"/>
      </w:pPr>
      <w:r>
        <w:rPr>
          <w:b/>
        </w:rPr>
        <w:t>Available abstract (not full text):</w:t>
      </w:r>
      <w:r>
        <w:t xml:space="preserve"> The Critical in Husserl's Phenomenology: the Levels of Constitution as a Question of Method Considering the contemporary discussion between critical, applied and engaged phenomenology, there seems to be a claim for a critical stand when it comes to considering concrete experience and, moreover, those experiences that have been neglected throughout history. Thus, the present work has the aim to show that this movement is characterized by the need of a critical potential which is already present in Edmund Husserl's work. Moreover, this potential is considered here as a question related to the method, through which we gain access to the underlying structures of experience. Thus, the five levels described are the following: intersubjective community, interpersonal intersubjectivity, active constitution, passive synthesis and hyletic flow. According to this, the focus is set on showing the way in which they are always connected to one another allowing thus to describe the complexity through which experience is articulated. Key Words: Critical phenomenology, phenomenological method, levels of constitution, complexity of experience.</w:t>
      </w:r>
    </w:p>
    <w:p>
      <w:pPr/>
      <w:r>
        <w:rPr>
          <w:b/>
        </w:rPr>
        <w:t>POSSIBLE 2022:</w:t>
      </w:r>
      <w:r>
        <w:t xml:space="preserve"> A Network of Argumentation Schemes and Critical Questions — https://doi.org/10.22329/il.v42i4.6877</w:t>
      </w:r>
    </w:p>
    <w:p>
      <w:pPr/>
      <w:r>
        <w:rPr>
          <w:b/>
        </w:rPr>
        <w:t>Shared claim-specific concepts:</w:t>
      </w:r>
      <w:r>
        <w:t xml:space="preserve"> critical, use, construct; EU scope not established. This is a provisional connection, not an outcome finding.</w:t>
      </w:r>
    </w:p>
    <w:p>
      <w:pPr>
        <w:pStyle w:val="SourceNote"/>
      </w:pPr>
      <w:r>
        <w:rPr>
          <w:b/>
        </w:rPr>
        <w:t>Available abstract (not full text):</w:t>
      </w:r>
      <w:r>
        <w:t xml:space="preserve"> In this paper, we devise a network that consists of argumentation schemes and critical questions that participants in debates can use to easily construct arguments that attack or support former arguments. As a prototype, we build a potential network of argumentation schemes and critical questions with a practical reasoning scheme at its center. The usefulness of a NASCQ in constructing and reconstructing complex arguments and in formal argumentation is also explored along with argumentation more broadly.</w:t>
      </w:r>
    </w:p>
    <w:p>
      <w:pPr/>
      <w:r>
        <w:rPr>
          <w:b/>
        </w:rPr>
        <w:t>POSSIBLE 2020:</w:t>
      </w:r>
      <w:r>
        <w:t xml:space="preserve"> Massive islands — https://doi.org/10.1007/jhep09(2020)121</w:t>
      </w:r>
    </w:p>
    <w:p>
      <w:pPr/>
      <w:r>
        <w:rPr>
          <w:b/>
        </w:rPr>
        <w:t>Shared claim-specific concepts:</w:t>
      </w:r>
      <w:r>
        <w:t xml:space="preserve"> question, massive, use; EU scope not established. This is a provisional connection, not an outcome finding.</w:t>
      </w:r>
    </w:p>
    <w:p>
      <w:pPr>
        <w:pStyle w:val="SourceNote"/>
      </w:pPr>
      <w:r>
        <w:rPr>
          <w:b/>
        </w:rPr>
        <w:t>Available abstract (not full text):</w:t>
      </w:r>
      <w:r>
        <w:t xml:space="preserve"> A bstract We comment on the role of the graviton mass in recent calculations of the Page curve using holographic ideas. All reliable calculations of the Page curve in more than 2+1 spacetime dimensions have been performed in systems with massive gravitons. A crucial ingredient in these calculations is the formation of islands, regions that contribute to the entropy of degrees of freedom located elsewhere. While most often simply ignored, it is indeed true that mass of the graviton does not appear to significantly affect the calculations that appeared in the literature. We use the freedom to change the graviton mass to give an extremely simple model of analytically tractable island formation in general dimensions. We do however note that if one attempts to take the limit of zero graviton mass, any contribution from the islands disappears. This raises the question to what extent entanglement islands can play a role in standard massless gravity.</w:t>
      </w:r>
    </w:p>
    <w:p>
      <w:pPr/>
      <w:r>
        <w:rPr>
          <w:b/>
        </w:rPr>
        <w:t>POSSIBLE 2020:</w:t>
      </w:r>
      <w:r>
        <w:t xml:space="preserve"> Critical Care Medicine Review: 1000 Questions and Answers — https://doi.org/10.1213/ane.0000000000005240</w:t>
      </w:r>
    </w:p>
    <w:p>
      <w:pPr/>
      <w:r>
        <w:rPr>
          <w:b/>
        </w:rPr>
        <w:t>Shared claim-specific concepts:</w:t>
      </w:r>
      <w:r>
        <w:t xml:space="preserve"> critical, question, considered, whether; EU scope visible. This is a provisional connection, not an outcome finding.</w:t>
      </w:r>
    </w:p>
    <w:p>
      <w:pPr>
        <w:pStyle w:val="SourceNote"/>
      </w:pPr>
      <w:r>
        <w:rPr>
          <w:b/>
        </w:rPr>
        <w:t>Available abstract (not full text):</w:t>
      </w:r>
      <w:r>
        <w:t xml:space="preserve"> As time passes, most clinicians working in the field of critical care tend to forget how vast their specialty is—especially those working in large university hospitals which have several specialized intensive care units. Critical Care Medicine Review: 1000Questions andAnswers is a lesson in humility—even hardened intensive care unit (ICU) veterans will face questions that will make them sweat and (hopefully) motivate them to refresh their knowledge. The fact that the editors are members of Massachusetts General Hospital and Harvard University School of Medicine faculty is reassuring, as many critical care physicians (author included) have consulted the “Critical Care Handbook of the Massachusetts General Hospital” during training and in clinical practice. The first impression this book leaves (even before opening it) is its sheer size—although it is made in plasticized paperback, it is still pretty heavy, and in the author’s opinion, digital version (which will be covered later in this review) is the recommended method of going through it. As most books of this variety, it is written in question/answer format which is a great way of assessment of one’s knowledge and learning through trial and error. All fields of intensive care medicine have been extensively covered in these 1000 questions which were divided into 123 (!) chapters. On average, there are 8–10 questions per chapte</w:t>
      </w:r>
    </w:p>
    <w:p>
      <w:pPr>
        <w:pStyle w:val="Heading2"/>
      </w:pPr>
      <w:r>
        <w:t>993. Actual and potential development of consumer demand on the organic food market in Europe</w:t>
      </w:r>
    </w:p>
    <w:p>
      <w:pPr>
        <w:pStyle w:val="SourceNote"/>
      </w:pPr>
      <w:r>
        <w:rPr>
          <w:b/>
        </w:rPr>
        <w:t>Original source (2011):</w:t>
      </w:r>
      <w:r>
        <w:t xml:space="preserve"> https://doi.org/10.1016/j.njas.2011.01.005</w:t>
      </w:r>
    </w:p>
    <w:p>
      <w:pPr/>
      <w:r>
        <w:t>Original wording (abstract; indexed_source_text_not_full_document_verified): A likely scenario for future demand is that of continued stable expansion, dependent upon whether increasing input costs will favour organic production, whether the relative gap between organic and conventional food prices becomes smaller, whether organic products will be distributed more widely on national markets, and whether support for research and conversion of organic production systems on the part of public authorities is enhanced.</w:t>
      </w:r>
    </w:p>
    <w:p>
      <w:pPr/>
      <w:r>
        <w:rPr>
          <w:b/>
        </w:rPr>
        <w:t>POSSIBLE 2026:</w:t>
      </w:r>
      <w:r>
        <w:t xml:space="preserve"> Range expansion of the golden jackal (Canis aureus) in Europe — https://doi.org/10.53452/tu3112</w:t>
      </w:r>
    </w:p>
    <w:p>
      <w:pPr/>
      <w:r>
        <w:rPr>
          <w:b/>
        </w:rPr>
        <w:t>Shared claim-specific concepts:</w:t>
      </w:r>
      <w:r>
        <w:t xml:space="preserve"> expansion, increasing, widely; EU scope visible. This is a provisional connection, not an outcome finding.</w:t>
      </w:r>
    </w:p>
    <w:p>
      <w:pPr>
        <w:pStyle w:val="SourceNote"/>
      </w:pPr>
      <w:r>
        <w:rPr>
          <w:b/>
        </w:rPr>
        <w:t>Available abstract (not full text):</w:t>
      </w:r>
      <w:r>
        <w:t xml:space="preserve"> The golden jackal (Canis aureus) is undergoing one of the most rapid and extensive range expansions of any terrestrial carnivore in modern Europe, prompting an urgent need to understand its primary drivers. While climate warming has been widely invoked as a facilitating factor, quantitative evidence linking specific climatic thresholds to the expansion has remained limited. Here, we employ a species distribution modelling (SDM) framework using Maxent, calibrated with 840 spatially thinned occurrence records across Europe and evaluated across three independent climate databases (CliMond, WorldClim, and CMCC-BioClimInd). We apply SHAP (SHapley Additive exPlanations) analysis to hierarchically rank and interpret the contribution of individual climatic variables to predicted habitat suitability. Our models demonstrate robust predictive performance (AUC&gt;0.7; continuous Boyce Index&gt;0.7). SHAP analysis identifies five predominant drivers: Temperature Annual Range, Minimum Temperature of the Coldest Month, Temperature Seasonality, Isothermality, and Precipitation of the Warmest Quarter. Critically, the Minimum Temperature of the Coldest Month exhibits a sharp threshold effect, with suitability increasing rapidly above -15°C and peaking near -3°C, consistent with the hypothesis that the northward retreat of severe winter cold is a primary enabler of expansion. Our model predicts high ha</w:t>
      </w:r>
    </w:p>
    <w:p>
      <w:pPr/>
      <w:r>
        <w:rPr>
          <w:b/>
        </w:rPr>
        <w:t>POSSIBLE 2025:</w:t>
      </w:r>
      <w:r>
        <w:t xml:space="preserve"> Continuing recovery of wolves in Europe — https://doi.org/10.1371/journal.pstr.0000158</w:t>
      </w:r>
    </w:p>
    <w:p>
      <w:pPr/>
      <w:r>
        <w:rPr>
          <w:b/>
        </w:rPr>
        <w:t>Shared claim-specific concepts:</w:t>
      </w:r>
      <w:r>
        <w:t xml:space="preserve"> increasing, distributed; EU scope visible. This is a provisional connection, not an outcome finding.</w:t>
      </w:r>
    </w:p>
    <w:p>
      <w:pPr>
        <w:pStyle w:val="SourceNote"/>
      </w:pPr>
      <w:r>
        <w:rPr>
          <w:b/>
        </w:rPr>
        <w:t>Available abstract (not full text):</w:t>
      </w:r>
      <w:r>
        <w:t xml:space="preserve"> The recovery of wolves ( Canis lupus ) across Europe is a notable conservation success in a region with extensive human alteration of landscapes and high human population densities. We provide a comprehensive update on wolf populations in Europe, estimated at over 21,500 individuals by 2022, representing a 58% increase over the past decade. Despite the challenges of high human densities and significant land use for agriculture, industry, and urbanization, wolves have demonstrated remarkable adaptability and increasing population trends in most European countries. Improved monitoring techniques, although varying in quality and scope, have played a crucial role in tracking this recovery. Annually, wolves kill approximately 56,000 domestic animals in the EU, a risk unevenly distributed and differently handled across regions. Damage compensation costs 17 million EUR every year to European countries. Positive economic impacts from wolf presence, such as those related to reducing traffic accidents with wild ungulates or supporting wildlife tourism, remain under studied. Wolf recovery in Europe is supported by diverse policy and legal instruments such as LIFE programs, stakeholder platforms, as well as the EU Habitats Directive and the Bern Convention. Coexisting with newly established wolf populations in Europe entails managing impacts on human activities, including livestock depreda</w:t>
      </w:r>
    </w:p>
    <w:p>
      <w:pPr/>
      <w:r>
        <w:rPr>
          <w:b/>
        </w:rPr>
        <w:t>POSSIBLE 2023:</w:t>
      </w:r>
      <w:r>
        <w:t xml:space="preserve"> Demand Response Implementation: Overview of Europe and United States Status — https://doi.org/10.3390/en16104043</w:t>
      </w:r>
    </w:p>
    <w:p>
      <w:pPr/>
      <w:r>
        <w:rPr>
          <w:b/>
        </w:rPr>
        <w:t>Shared claim-specific concepts:</w:t>
      </w:r>
      <w:r>
        <w:t xml:space="preserve"> distributed, widely; EU scope visible. This is a provisional connection, not an outcome finding.</w:t>
      </w:r>
    </w:p>
    <w:p>
      <w:pPr>
        <w:pStyle w:val="SourceNote"/>
      </w:pPr>
      <w:r>
        <w:rPr>
          <w:b/>
        </w:rPr>
        <w:t>Available abstract (not full text):</w:t>
      </w:r>
      <w:r>
        <w:t xml:space="preserve"> The authors review the efforts made in the last five years to implement Demand Response (DR) programs, considering and studying several models and countries. As motivation, climate change has been a topic widely discussed in the last decades, namely in the power and energy sectors. Therefore, it is crucial to substitute non-renewable fuels with more environment-friendly solutions. Enabling Distributed Generation (DG), namely using renewable resources such as wind and solar, can be part of the solution to reduce the greenhouse effects. However, their unpredictable behavior might result in several problems for network management. Therefore, the consumer should become more flexible towards this new paradigm where the generation no longer follows the demand requests. With this, Demand Response (DR) concept is created as part of this solution. This paper studies the European Union and United States’ current status, with over 50 references.</w:t>
      </w:r>
    </w:p>
    <w:p>
      <w:pPr/>
      <w:r>
        <w:rPr>
          <w:b/>
        </w:rPr>
        <w:t>POSSIBLE 2022:</w:t>
      </w:r>
      <w:r>
        <w:t xml:space="preserve"> Future area expansion outweighs increasing drought risk for soybean in Europe — https://doi.org/10.1111/gcb.16562</w:t>
      </w:r>
    </w:p>
    <w:p>
      <w:pPr/>
      <w:r>
        <w:rPr>
          <w:b/>
        </w:rPr>
        <w:t>Shared claim-specific concepts:</w:t>
      </w:r>
      <w:r>
        <w:t xml:space="preserve"> expansion, dependent, increasing, production, gap; EU scope visible. This is a provisional connection, not an outcome finding.</w:t>
      </w:r>
    </w:p>
    <w:p>
      <w:pPr>
        <w:pStyle w:val="SourceNote"/>
      </w:pPr>
      <w:r>
        <w:rPr>
          <w:b/>
        </w:rPr>
        <w:t>Available abstract (not full text):</w:t>
      </w:r>
      <w:r>
        <w:t xml:space="preserve"> Abstract 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 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w:t>
      </w:r>
    </w:p>
    <w:p>
      <w:pPr/>
      <w:r>
        <w:rPr>
          <w:b/>
        </w:rPr>
        <w:t>POSSIBLE 2022:</w:t>
      </w:r>
      <w:r>
        <w:t xml:space="preserve"> Energy communities as demand-side innovators? Assessing the potential of European cases to reduce demand and foster flexibility — https://doi.org/10.1016/j.erss.2022.102848</w:t>
      </w:r>
    </w:p>
    <w:p>
      <w:pPr/>
      <w:r>
        <w:rPr>
          <w:b/>
        </w:rPr>
        <w:t>Shared claim-specific concepts:</w:t>
      </w:r>
      <w:r>
        <w:t xml:space="preserve"> whether, gap, widely; EU scope visible. This is a provisional connection, not an outcome finding.</w:t>
      </w:r>
    </w:p>
    <w:p>
      <w:pPr>
        <w:pStyle w:val="SourceNote"/>
      </w:pPr>
      <w:r>
        <w:rPr>
          <w:b/>
        </w:rPr>
        <w:t>Available abstract (not full text):</w:t>
      </w:r>
      <w:r>
        <w:t xml:space="preserve"> Energy communities (ECs) are widely recognised for their potential to generate renewable energy. By contrast, the capacity of ECs to reduce energy demand and foster flexibility has attracted little attention to date, despite their theoretical potential to do so. To address this gap, we apply three perspectives – social representations theory, actor-network theory, and business models – to the analysis of nine case studies based in six European countries (Germany, Italy, Slovenia, Sweden, Netherlands, and United Kingdom). The core of the article comprises analysis of the nine cases from each perspective. Our results highlight the (un)intended effects of ECs on the energy representations of members; the configurational work required by focal actors to assemble new socio-technical configurations; and the value creation and capture opportunities open to ECs in the creation of novel business models; These factors in turn impact whether and how ECs achieve demand reduction and flexibility. We summarise and discuss these results in a process of meta-theoretical triangulation to produce a multifaceted and relational account of the potential of ECs to develop demand-side solutions. This leads us to conclude that ECs have a distinct capacity to develop demand-side solutions, rooted in the creation of innovative socio-technical configurations; and that this distinct capacity of ECs has th</w:t>
      </w:r>
    </w:p>
    <w:p>
      <w:pPr/>
      <w:r>
        <w:rPr>
          <w:b/>
        </w:rPr>
        <w:t>POSSIBLE 2022:</w:t>
      </w:r>
      <w:r>
        <w:t xml:space="preserve"> Optimizing opportunities for oak woodland expansion into upland pastures — https://doi.org/10.1002/2688-8319.12126</w:t>
      </w:r>
    </w:p>
    <w:p>
      <w:pPr/>
      <w:r>
        <w:rPr>
          <w:b/>
        </w:rPr>
        <w:t>Shared claim-specific concepts:</w:t>
      </w:r>
      <w:r>
        <w:t xml:space="preserve"> likely, expansion, dependent, whether, increasing, between; EU scope visible. This is a provisional connection, not an outcome finding.</w:t>
      </w:r>
    </w:p>
    <w:p>
      <w:pPr>
        <w:pStyle w:val="SourceNote"/>
      </w:pPr>
      <w:r>
        <w:rPr>
          <w:b/>
        </w:rPr>
        <w:t>Available abstract (not full text):</w:t>
      </w:r>
      <w:r>
        <w:t xml:space="preserve"> Abstract Woodland expansion is widely advocated for the mitigation of climate change and its impacts. This is supported by ambitious targets for increasing tree cover in the United Kingdom and elsewhere to aid carbon storage, flood mitigation and biodiversity provision. However, it remains unclear whether natural tree establishment can supply demand for expanded treescapes in remote, anthropogenically modified upland landscapes. We assessed natural establishment of NW‐European native oak ( Quercus robur , Q. petraea ) saplings (&lt; 12 years) in UK upland pasture systems adjacent to established ‘Atlantic’ oak woodlands on Dartmoor, SW England. We compared the extent of natural sapling colonization (abundance) into pasture sites on the moorland fringe and assessed their survival and growth throughout early life history using long‐ and short‐term grazing exclusion experiments. Natural oak establishment typically occurred on naturally freely draining pasture slopes and at high densities (up to 1900 saplings per ha –1 ) within 20 m of the nearest adult congeneric. Beyond 20 m from a likely seed source, establishment was limited with no recorded establishment between 75–100 m. The natural establishment of oak saplings in grazed pastures was specific to ontogeny with livestock exclusion only favouring the density of older recruits (8–12 years). Results suggest an age‐dependent relations</w:t>
      </w:r>
    </w:p>
    <w:p>
      <w:pPr/>
      <w:r>
        <w:rPr>
          <w:b/>
        </w:rPr>
        <w:t>POSSIBLE 2021:</w:t>
      </w:r>
      <w:r>
        <w:t xml:space="preserve"> The role of demand response in the future renewable northern European energy system — https://doi.org/10.1016/j.energy.2021.121336</w:t>
      </w:r>
    </w:p>
    <w:p>
      <w:pPr/>
      <w:r>
        <w:rPr>
          <w:b/>
        </w:rPr>
        <w:t>Shared claim-specific concepts:</w:t>
      </w:r>
      <w:r>
        <w:t xml:space="preserve"> increasing, between; EU scope visible. This is a provisional connection, not an outcome finding.</w:t>
      </w:r>
    </w:p>
    <w:p>
      <w:pPr>
        <w:pStyle w:val="SourceNote"/>
      </w:pPr>
      <w:r>
        <w:rPr>
          <w:b/>
        </w:rPr>
        <w:t>Available abstract (not full text):</w:t>
      </w:r>
      <w:r>
        <w:t xml:space="preserve"> Increasing demand response (DR) from households, industry and tertiary sector may provide substantial flexibility in renewable-based energy systems, but the deployment of DR is currently limited. This study examines the future economic potential DR in the renewable rich northern European region, and also analyses power markets impacts of large-scale DR deployment in the region. For the quantifications, the energy system model BALMOREL is used, modified to include a detailed temporal modelling of available DR potentials. Results show that among the DR options analysed, space heating and water heating provide the highest shares of loads shifted. The overall demand response potential is particularly high in Norway and Sweden, due to wide-spread electric space- and water heating. Low variable costs make these DR applications economically feasible for deployment, despite high supply-side flexibility provided by regulated hydro power. DR may contribute to peak shaving of up to 18.6% of total peak load in 2050. Revenues from DR-application yield very different results depending on techno-economic parameters, potentials and the price volatility in the various analysed market areas. Results show an insignificant change in CO2 emissions between scenarios with and without demand response.</w:t>
      </w:r>
    </w:p>
    <w:p>
      <w:pPr/>
      <w:r>
        <w:rPr>
          <w:b/>
        </w:rPr>
        <w:t>POSSIBLE 2021:</w:t>
      </w:r>
      <w:r>
        <w:t xml:space="preserve"> Economic costs of invasive alien species across Europe — https://doi.org/10.3897/neobiota.67.58196</w:t>
      </w:r>
    </w:p>
    <w:p>
      <w:pPr/>
      <w:r>
        <w:rPr>
          <w:b/>
        </w:rPr>
        <w:t>Shared claim-specific concepts:</w:t>
      </w:r>
      <w:r>
        <w:t xml:space="preserve"> dependent, between, widely; EU scope visible. This is a provisional connection, not an outcome finding.</w:t>
      </w:r>
    </w:p>
    <w:p>
      <w:pPr>
        <w:pStyle w:val="SourceNote"/>
      </w:pPr>
      <w:r>
        <w:rPr>
          <w:b/>
        </w:rPr>
        <w:t>Available abstract (not full text):</w:t>
      </w:r>
      <w:r>
        <w:t xml:space="preserve"> Biological invasions continue to threaten the stability of ecosystems and societies that are dependent on their services. Whilst the ecological impacts of invasive alien species (IAS) have been widely reported in recent decades, there remains a paucity of information concerning their economic impacts. Europe has strong trade and transport links with the rest of the world, facilitating hundreds of IAS incursions, and largely centralised decision-making frameworks. The present study is the first comprehensive and detailed effort that quantifies the costs of IAS collectively across European countries and examines temporal trends in these data. In addition, the distributions of costs across countries, socioeconomic sectors and taxonomic groups are examined, as are socio-economic correlates of management and damage costs. Total costs of IAS in Europe summed to US$140.20 billion (or €116.61 billion) between 1960 and 2020, with the majority (60%) being damage-related and impacting multiple sectors. Costs were also geographically widespread but dominated by impacts in large western and central European countries, i.e. the UK, Spain, France, and Germany. Human population size, land area, GDP, and tourism were significant predictors of invasion costs, with management costs additionally predicted by numbers of introduced species, research effort and trade. Temporally, invasion costs have </w:t>
      </w:r>
    </w:p>
    <w:p>
      <w:pPr/>
      <w:r>
        <w:rPr>
          <w:b/>
        </w:rPr>
        <w:t>POSSIBLE 2021:</w:t>
      </w:r>
      <w:r>
        <w:t xml:space="preserve"> Considering Life Cycle Greenhouse Gas Emissions in Power System Expansion Planning for Europe and North Africa Using Multi-Objective Optimization — https://doi.org/10.3390/en14051301</w:t>
      </w:r>
    </w:p>
    <w:p>
      <w:pPr/>
      <w:r>
        <w:rPr>
          <w:b/>
        </w:rPr>
        <w:t>Shared claim-specific concepts:</w:t>
      </w:r>
      <w:r>
        <w:t xml:space="preserve"> expansion, between; EU scope visible. This is a provisional connection, not an outcome finding.</w:t>
      </w:r>
    </w:p>
    <w:p>
      <w:pPr>
        <w:pStyle w:val="SourceNote"/>
      </w:pPr>
      <w:r>
        <w:rPr>
          <w:b/>
        </w:rPr>
        <w:t>Available abstract (not full text):</w:t>
      </w:r>
      <w:r>
        <w:t xml:space="preserve"> We integrate life cycle indicators for various technologies of an energy system model with high spatiotemporal detail and a focus on Europe and North Africa. Using multi-objective optimization, we calculate a pareto front that allows us to assess the trade-offs between system costs and life cycle greenhouse gas (GHG) emissions of future power systems. Furthermore, we perform environmental ex-post assessments of selected solutions using a broad set of life cycle impact categories. In a system with the least life cycle GHG emissions, the costs would increase by ~63%, thereby reducing life cycle GHG emissions by ~82% compared to the cost-optimal solution. Power systems mitigating a substantial part of life cycle GHG emissions with small increases in system costs show a trend towards a deployment of wind onshore, electricity grid and a decline in photovoltaic plants and Li-ion storage. Further reductions are achieved by the deployment of concentrated solar power, wind offshore and nuclear power but lead to considerably higher costs compared to the cost-optimal solution. Power systems that mitigate life cycle GHG emissions also perform better for most impact categories but have higher ionizing radiation, water use and increased fossil fuel demand driven by nuclear power. This study shows that it is crucial to consider upstream GHG emissions in future assessments, as they represent a</w:t>
      </w:r>
    </w:p>
    <w:p>
      <w:pPr/>
      <w:r>
        <w:rPr>
          <w:b/>
        </w:rPr>
        <w:t>POSSIBLE 2020:</w:t>
      </w:r>
      <w:r>
        <w:t xml:space="preserve"> Organ donation in the US and Europe: The supply vs demand imbalance — https://doi.org/10.1016/j.trre.2020.100585</w:t>
      </w:r>
    </w:p>
    <w:p>
      <w:pPr/>
      <w:r>
        <w:rPr>
          <w:b/>
        </w:rPr>
        <w:t>Shared claim-specific concepts:</w:t>
      </w:r>
      <w:r>
        <w:t xml:space="preserve"> increasing, gap; EU scope visible. This is a provisional connection, not an outcome finding.</w:t>
      </w:r>
    </w:p>
    <w:p>
      <w:pPr>
        <w:pStyle w:val="SourceNote"/>
      </w:pPr>
      <w:r>
        <w:rPr>
          <w:b/>
        </w:rPr>
        <w:t>Available abstract (not full text):</w:t>
      </w:r>
      <w:r>
        <w:t xml:space="preserve"> Organ donation and transplantation remain the best and most cost-effective clinical solution for end-stage organ failure. Several agencies across the US and Europe provide legislative, regulatory, and humanitarian services to generate smoother applications in all transplantation processes and donor-recipient relationships. US and European statistics present nine types of grafts, with kidneys being the most transplanted organ worldwide. However, organ shortage, religion, underrepresented minority groups, difficulties in obtaining consent, lack of understanding, and general ethical concerns present challenging barriers to organ donation, reflecting the complexity of graft procurement and allocation. Breaking down these barriers to reduce the organ-supply imbalance requires an appropriate multifaceted approach. Some of the key areas include increasing the potential donor pool and consent rates, apt organ allocation, and improving organ health. Additionally, suitable policies and standardized guidelines for both donors and recipients, alongside educational initiatives, are needed to ensure patient safety and global awareness. Looking forward, novel and effective research plans and initiatives are needed if we are to avoid a colossal supply-demand gap.</w:t>
      </w:r>
    </w:p>
    <w:p>
      <w:pPr/>
      <w:r>
        <w:rPr>
          <w:b/>
        </w:rPr>
        <w:t>POSSIBLE 2020:</w:t>
      </w:r>
      <w:r>
        <w:t xml:space="preserve"> Location Dependent Spectrum Pricing of Private LTE and 5G Networks in Europe — https://doi.org/10.21203/rs.3.rs-21169/v1</w:t>
      </w:r>
    </w:p>
    <w:p>
      <w:pPr/>
      <w:r>
        <w:rPr>
          <w:b/>
        </w:rPr>
        <w:t>Shared claim-specific concepts:</w:t>
      </w:r>
      <w:r>
        <w:t xml:space="preserve"> dependent; EU scope visible. This is a provisional connection, not an outcome finding.</w:t>
      </w:r>
    </w:p>
    <w:p>
      <w:pPr>
        <w:pStyle w:val="SourceNote"/>
      </w:pPr>
      <w:r>
        <w:rPr>
          <w:b/>
        </w:rPr>
        <w:t>Available abstract (not full text):</w:t>
      </w:r>
      <w:r>
        <w:t xml:space="preserve"> Abstract Emerging private LTE and 5G services and applications have created need for local radio spectrum licensing. The existing pricing models for licenses do not work well in this context. This paper introduces three new location dependent pricing methods that aim to produce more accurate pricing for local licenses. We use Traficom Frequency Fee as our base-case general spectrum pricing model, and we replace the population density based location coefficient with proxies such as employee density, value added per employee, and rent prices. By comparing the differences in the prices yielded by the models, we show that the new models can in some cases identify high demand areas like hospitals and industrial districts better than the original population density based model. Additionally, we conclude that the original population density based model and the new employee density based model could be used together to capture both the consumer and the industrial spectrum demand simultaneously.</w:t>
      </w:r>
    </w:p>
    <w:p>
      <w:pPr/>
      <w:r>
        <w:rPr>
          <w:b/>
        </w:rPr>
        <w:t>POSSIBLE 2020:</w:t>
      </w:r>
      <w:r>
        <w:t xml:space="preserve"> A public health approach to health workforce policy development in Europe — https://doi.org/10.1093/eurpub/ckaa123</w:t>
      </w:r>
    </w:p>
    <w:p>
      <w:pPr/>
      <w:r>
        <w:rPr>
          <w:b/>
        </w:rPr>
        <w:t>Shared claim-specific concepts:</w:t>
      </w:r>
      <w:r>
        <w:t xml:space="preserve"> likely, whether, between; EU scope visible. This is a provisional connection, not an outcome finding.</w:t>
      </w:r>
    </w:p>
    <w:p>
      <w:pPr>
        <w:pStyle w:val="SourceNote"/>
      </w:pPr>
      <w:r>
        <w:rPr>
          <w:b/>
        </w:rPr>
        <w:t>Available abstract (not full text):</w:t>
      </w:r>
      <w:r>
        <w:t xml:space="preserve"> Severe acute respiratory syndrome coronavirus 2 (SARS-CoV-2), better known as COVID-19, placed the health workforce at the centre of a dramatic series of events. As is so often the case in such circumstances, hype and sensationalism places a flitting spotlight on issues likely to make the media headlines, e.g. the tragic premature deaths of doctors and nurses caring for COVID-19 patients, the lack of personal protective equipment, or the strong support for ‘healthcare heroes’. Yet, the intensity and brevity of that focus is not well suited to tease out the complexity and chronicity of the challenges facing the health workforce in Europe today. COVID-19 exacerbated and unmasked gaps in health systems in Europe including: a cumulative shortage as a result of cuts to the health sector linked to the pursuit of blanket austerity policies implemented during preceding years; a lack of coordination between primary healthcare, hospitals and long-term care with unclear referral pathways; the primitive and patchy nature of digitalization penetration in health services resulting in digital quick-fix solutions to continue some semblance of care provision for those with chronic disease; depleted public health services unable to effectively surge capacity in a time manner; burnout amongst health workers; a huge dependence on health workers from outside the European region. The physical and me</w:t>
      </w:r>
    </w:p>
    <w:p>
      <w:pPr>
        <w:pStyle w:val="Heading2"/>
      </w:pPr>
      <w:r>
        <w:t>994. Ageing population and labour productivity in Bulgaria</w:t>
      </w:r>
    </w:p>
    <w:p>
      <w:pPr>
        <w:pStyle w:val="SourceNote"/>
      </w:pPr>
      <w:r>
        <w:rPr>
          <w:b/>
        </w:rPr>
        <w:t>Original source (2011):</w:t>
      </w:r>
      <w:r>
        <w:t xml:space="preserve"> https://doi.org/10.5771/1435-2869-2011-4-521</w:t>
      </w:r>
    </w:p>
    <w:p>
      <w:pPr/>
      <w:r>
        <w:t>Original wording (abstract; indexed_source_text_not_full_document_verified): Recent literature has shown that it is difficult to ascertain the impact of an ageing population on labour productivity.According to the majority of studies, workforce ageing leads to lower employment and a decline in the professional skills of the employed, so we should expect that it has a negative impact on technological changes and productivity.In this article, we present a review of studies on this issue.After that, an empirical study for Bulgaria is provided using sensitivity tests of long-term projections of labour productivity (to 2050), based on population number and age distribution.A model of the International Labour Organisation (ILO) is applied which allows us to calculate three variants of changing age, number and structure of population, assuming three different rates of improvement in life expectancy -fast, medium and slow.The study confirms that an ageing population has a negative effect on labour productivity.The timeframe is long but, with that limitation in mind, the overall direction of the trend is clear.The article concludes with some policy considerations to help ameliorate the effects of Bulgaria's demographic challenge.</w:t>
      </w:r>
    </w:p>
    <w:p>
      <w:pPr/>
      <w:r>
        <w:rPr>
          <w:b/>
        </w:rPr>
        <w:t>POSSIBLE 2025:</w:t>
      </w:r>
      <w:r>
        <w:t xml:space="preserve"> Evolution and Impact of Hepatitis A Epidemiology in Europe-Systematic Literature Review of the Last 20 Years — https://doi.org/10.1111/jvh.14030</w:t>
      </w:r>
    </w:p>
    <w:p>
      <w:pPr/>
      <w:r>
        <w:rPr>
          <w:b/>
        </w:rPr>
        <w:t>Shared claim-specific concepts:</w:t>
      </w:r>
      <w:r>
        <w:t xml:space="preserve"> literature, population; EU scope visible. This is a provisional connection, not an outcome finding.</w:t>
      </w:r>
    </w:p>
    <w:p>
      <w:pPr>
        <w:pStyle w:val="SourceNote"/>
      </w:pPr>
      <w:r>
        <w:rPr>
          <w:b/>
        </w:rPr>
        <w:t>Available abstract (not full text):</w:t>
      </w:r>
      <w:r>
        <w:t xml:space="preserve"> While globally hepatitis A (hepA) infections occur in 150 million people annually, European high-income countries now have a low endemicity. However, this results in a more susceptible adult population which is prone to severe illness. To determine current epidemiological characteristics, we performed a systematic literature review to assess the severity of hepA disease in the past two decades in 11 European countries (i.e., Denmark, France, Germany, Greece, Hungary, Italy, the Netherlands, Spain, Sweden, Switzerland and the United Kingdom). Literature search was performed using PubMed and Embase between 1 January 2001 and 14 April 2021. Search terms included the disease (hepA), the 11 selected countries, the term 'outbreaks' and its synonyms, outcomes and terms for hepA virus circulation. In total, 43 records reported data on hepA disease outcomes. Hospitalisation rates varied between the countries, with annual rates exceeding 50% at least once in seven countries. The lowest hospitalisation rates were reported for the Netherlands (≤ 32%) and the highest for Greece (≥ 81%). Liver failure, haemorrhagic and other complications were rarely reported, and case fatality rates were low (0.03%-0.26%). Our findings are consistent with the trends observed globally. This systematic literature review highlights the need to increase awareness of hepA risks and to strengthen prevention strat</w:t>
      </w:r>
    </w:p>
    <w:p>
      <w:pPr/>
      <w:r>
        <w:rPr>
          <w:b/>
        </w:rPr>
        <w:t>POSSIBLE 2024:</w:t>
      </w:r>
      <w:r>
        <w:t xml:space="preserve"> Application of DPSIR model to ascertain driving forces and their impacts on the Volta basin — https://doi.org/10.1016/j.heliyon.2024.e38734</w:t>
      </w:r>
    </w:p>
    <w:p>
      <w:pPr/>
      <w:r>
        <w:rPr>
          <w:b/>
        </w:rPr>
        <w:t>Shared claim-specific concepts:</w:t>
      </w:r>
      <w:r>
        <w:t xml:space="preserve"> literature, ascertain; EU scope visible. This is a provisional connection, not an outcome finding.</w:t>
      </w:r>
    </w:p>
    <w:p>
      <w:pPr>
        <w:pStyle w:val="SourceNote"/>
      </w:pPr>
      <w:r>
        <w:rPr>
          <w:b/>
        </w:rPr>
        <w:t>Available abstract (not full text):</w:t>
      </w:r>
      <w:r>
        <w:t xml:space="preserve"> Managing trans-boundary water and its watershed areas is a challenging task. The riparian countries sharing the boundary may have different economic and national goals that can dictate the pressures exerted on water bodies and their catchments areas. The pressure will have dire consequences on the environment, the climate and the sustainability of the Volta River. This paper seeks to apply the Driving Forces-Pressure-State-Impact-Response (DPSIR) framework as a model to ascertain the driving forces and their impacts on the Black and the White sub-basins of the Volta River. The research was carried out through desk study of literature, reports and policies on the Volta basin as well as information from international bodies such as World Bank, United Nations, and European Union among others. The DPSIR framework thus established the state of the ecosystem, pressure exerted, impact and the responses to provide scientific basis for decision-making and address the impacts on the Volta River. The DPSIR framework was focused on Ghana and Burkina Faso due to their large share of the basin. Burkina Faso's share of the Volta basin area is 43 %, whereas, that of Ghana is 41.6 %. The use of DPSIR model will help stakeholders and policy makers in proper decision making. It was therefore recommended that there should be policy regulations to reduce the impact on the environment.</w:t>
      </w:r>
    </w:p>
    <w:p>
      <w:pPr/>
      <w:r>
        <w:rPr>
          <w:b/>
        </w:rPr>
        <w:t>POSSIBLE 2024:</w:t>
      </w:r>
      <w:r>
        <w:t xml:space="preserve"> Evolution and Impact of Hepatitis A Epidemiology in Europe—Systematic Literature Review of the Last 20 Years — https://doi.org/10.1111/jvh.14030</w:t>
      </w:r>
    </w:p>
    <w:p>
      <w:pPr/>
      <w:r>
        <w:rPr>
          <w:b/>
        </w:rPr>
        <w:t>Shared claim-specific concepts:</w:t>
      </w:r>
      <w:r>
        <w:t xml:space="preserve"> literature, population; EU scope visible. This is a provisional connection, not an outcome finding.</w:t>
      </w:r>
    </w:p>
    <w:p>
      <w:pPr>
        <w:pStyle w:val="SourceNote"/>
      </w:pPr>
      <w:r>
        <w:rPr>
          <w:b/>
        </w:rPr>
        <w:t>Available abstract (not full text):</w:t>
      </w:r>
      <w:r>
        <w:t xml:space="preserve"> While globally hepatitis A (hepA) infections occur in 150 million people annually, European high-income countries now have a low endemicity. However, this results in a more susceptible adult population which is prone to severe illness. To determine current epidemiological characteristics, we performed a systematic literature review to assess the severity of hepA disease in the past two decades in 11 European countries (i.e., Denmark, France, Germany, Greece, Hungary, Italy, the Netherlands, Spain, Sweden, Switzerland and the United Kingdom). Literature search was performed using PubMed and Embase between 1 January 2001 and 14 April 2021. Search terms included the disease (hepA), the 11 selected countries, the term 'outbreaks' and its synonyms, outcomes and terms for hepA virus circulation. In total, 43 records reported data on hepA disease outcomes. Hospitalisation rates varied between the countries, with annual rates exceeding 50% at least once in seven countries. The lowest hospitalisation rates were reported for the Netherlands (≤ 32%) and the highest for Greece (≥ 81%). Liver failure, haemorrhagic and other complications were rarely reported, and case fatality rates were low (0.03%-0.26%). Our findings are consistent with the trends observed globally. This systematic literature review highlights the need to increase awareness of hepA risks and to strengthen prevention strat</w:t>
      </w:r>
    </w:p>
    <w:p>
      <w:pPr/>
      <w:r>
        <w:rPr>
          <w:b/>
        </w:rPr>
        <w:t>POSSIBLE 2024:</w:t>
      </w:r>
      <w:r>
        <w:t xml:space="preserve"> Measuring the third mission of European Universities: A systematic literature review — https://doi.org/10.1556/204.2023.00030</w:t>
      </w:r>
    </w:p>
    <w:p>
      <w:pPr/>
      <w:r>
        <w:rPr>
          <w:b/>
        </w:rPr>
        <w:t>Shared claim-specific concepts:</w:t>
      </w:r>
      <w:r>
        <w:t xml:space="preserve"> recent, literature, shown; EU scope visible. This is a provisional connection, not an outcome finding.</w:t>
      </w:r>
    </w:p>
    <w:p>
      <w:pPr>
        <w:pStyle w:val="SourceNote"/>
      </w:pPr>
      <w:r>
        <w:rPr>
          <w:b/>
        </w:rPr>
        <w:t>Available abstract (not full text):</w:t>
      </w:r>
      <w:r>
        <w:t xml:space="preserve"> Abstract In recent years, policymakers and academics have shown interest in understanding how universities could drive regional innovation. Universities are not solely focusing on research and education as their primary missions but are also asked to participate in the development of their regions. This has compelled universities to forge what is called a third mission, encompassing all social and economic activities of universities. Several attempts have been made to evaluate this concept, aiming to highlight the evolving role of universities and their relevance to policy and society. In this vein, this paper showcases existing attempts that aim to measure the impact of the third mission in European universities. This study consists of a systematic literature review studying journal articles published between 2001 and 2021. The purpose of this paper is to enumerate the existing measurements of the third mission and identify the different tensions related to it. This study shows that the literature encompasses three approaches for assessing the third mission. First, some studies incorporated the third mission into the overall evaluation of university performance. Second, other investigations aimed to capture this concept as a whole. Finally, several studies evaluated individual dimensions of the third mission independently.</w:t>
      </w:r>
    </w:p>
    <w:p>
      <w:pPr/>
      <w:r>
        <w:rPr>
          <w:b/>
        </w:rPr>
        <w:t>POSSIBLE 2023:</w:t>
      </w:r>
      <w:r>
        <w:t xml:space="preserve"> Education and Fertility: A Review of Recent Research in Europe — https://doi.org/10.12765/cpos-2023-21</w:t>
      </w:r>
    </w:p>
    <w:p>
      <w:pPr/>
      <w:r>
        <w:rPr>
          <w:b/>
        </w:rPr>
        <w:t>Shared claim-specific concepts:</w:t>
      </w:r>
      <w:r>
        <w:t xml:space="preserve"> recent, literature; EU scope visible. This is a provisional connection, not an outcome finding.</w:t>
      </w:r>
    </w:p>
    <w:p>
      <w:pPr>
        <w:pStyle w:val="SourceNote"/>
      </w:pPr>
      <w:r>
        <w:rPr>
          <w:b/>
        </w:rPr>
        <w:t>Available abstract (not full text):</w:t>
      </w:r>
      <w:r>
        <w:t xml:space="preserve"> This paper reviews research on education and childbearing in Europe over the last decade. Early demographic research attributed declining fertility in advanced economies in the second half of the twentieth century to increasing female educational levels. The twenty-first century has witnessed further increases in educational attainment coupled with trend reversals in fertility. The relationship between education and fertility has become more complex, sparking renewed interest in the interplay between the two life domains. We examine how educational enrolment and attainment influence individuals’ fertility behaviour – both fertility timing and level – and how the relationship between education and fertility is shaped by contextual factors such as family policies, macroeconomic shocks, and normative changes in gender attitudes. We also summarise the recent literature on educational gradients in male fertility and review methodological developments to address issues of self-selection and unmeasured heterogeneity in the study of education and fertility. Finally, this paper identifies and discusses challenges and important areas for future research.</w:t>
      </w:r>
    </w:p>
    <w:p>
      <w:pPr/>
      <w:r>
        <w:rPr>
          <w:b/>
        </w:rPr>
        <w:t>POSSIBLE 2023:</w:t>
      </w:r>
      <w:r>
        <w:t xml:space="preserve"> Human and environmental impacts of nanoparticles: a scoping review of the current literature — https://doi.org/10.1186/s12889-023-15958-4</w:t>
      </w:r>
    </w:p>
    <w:p>
      <w:pPr/>
      <w:r>
        <w:rPr>
          <w:b/>
        </w:rPr>
        <w:t>Shared claim-specific concepts:</w:t>
      </w:r>
      <w:r>
        <w:t xml:space="preserve"> literature, majority; EU scope not established. This is a provisional connection, not an outcome finding.</w:t>
      </w:r>
    </w:p>
    <w:p>
      <w:pPr>
        <w:pStyle w:val="SourceNote"/>
      </w:pPr>
      <w:r>
        <w:rPr>
          <w:b/>
        </w:rPr>
        <w:t>Available abstract (not full text):</w:t>
      </w:r>
      <w:r>
        <w:t xml:space="preserve"> Use of nanoparticles have established benefits in a wide range of applications, however, the effects of exposure to nanoparticles on health and the environmental risks associated with the production and use of nanoparticles are less well-established. The present study addresses this gap in knowledge by examining, through a scoping review of the current literature, the effects of nanoparticles on human health and the environment. We searched relevant databases including Medline, Web of Science, ScienceDirect, Scopus, CINAHL, Embase, and SAGE journals, as well as Google, Google Scholar, and grey literature from June 2021 to July 2021. After removing duplicate articles, the title and abstracts of 1495 articles were first screened followed by the full-texts of 249 studies, and this resulted in the inclusion of 117 studies in the presented review.In this contribution we conclude that while nanoparticles offer distinct benefits in a range of applications, they pose significant threats to humans and the environment. Using several biological models and biomarkers, the included studies revealed the toxic effects of nanoparticles (mainly zinc oxide, silicon dioxide, titanium dioxide, silver, and carbon nanotubes) to include cell death, production of oxidative stress, DNA damage, apoptosis, and induction of inflammatory responses. Most of the included studies (65.81%) investigated inorgan</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according, lower, negative;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2022:</w:t>
      </w:r>
      <w:r>
        <w:t xml:space="preserve"> The Impact of Patient Support Programs in Europe: A Systematic Literature Review — https://doi.org/10.1007/s40271-022-00582-y</w:t>
      </w:r>
    </w:p>
    <w:p>
      <w:pPr/>
      <w:r>
        <w:rPr>
          <w:b/>
        </w:rPr>
        <w:t>Shared claim-specific concepts:</w:t>
      </w:r>
      <w:r>
        <w:t xml:space="preserve"> recent, literature; EU scope visible. This is a provisional connection, not an outcome finding.</w:t>
      </w:r>
    </w:p>
    <w:p>
      <w:pPr>
        <w:pStyle w:val="SourceNote"/>
      </w:pPr>
      <w:r>
        <w:rPr>
          <w:b/>
        </w:rPr>
        <w:t>Available abstract (not full text):</w:t>
      </w:r>
      <w:r>
        <w:t xml:space="preserve"> BACKGROUND AND OBJECTIVE: Patient support programs aim to provide solutions beyond the medication itself, by enhancing treatment adherence, improving clinical outcomes, elevating patient experience, and/or increasing quality of life. As patient support programs increasingly play an important role in assisting patients, numerous observational studies and pragmatic trials designed to evaluate their impact on healthcare have been conducted in recent years. This review aims to characterize these studies. METHODS: A systematic literature review, supplemented by a broad search of gray literature, was conducted following PRISMA (Preferred Reporting Items for Systematic Reviews and Meta-Analyses) and Cochrane recommendations. Observational studies and pragmatic trials conducted in Europe to evaluate the impact of patient support programs, published in English or Spanish between 17/03/2010 and 17/03/2020, were reviewed. Two patient support program definitions were applied starting with Ganguli et al.'s broad approach, followed by the European Medicines Agency definition, narrowed to Marketing Authorization Holders organized systems and their medicines. The quality of publications was assessed using the STROBE (Strengthening the Reporting of Observational Studies in Epidemiology) statement 22-item checklist. RESULTS: Of the 49 identified studies following the Ganguli et al. definition, 2</w:t>
      </w:r>
    </w:p>
    <w:p>
      <w:pPr/>
      <w:r>
        <w:rPr>
          <w:b/>
        </w:rPr>
        <w:t>POSSIBLE 2022:</w:t>
      </w:r>
      <w:r>
        <w:t xml:space="preserve"> A literature review on the impact of digitalisation on management control — https://doi.org/10.1007/s00187-022-00349-4</w:t>
      </w:r>
    </w:p>
    <w:p>
      <w:pPr/>
      <w:r>
        <w:rPr>
          <w:b/>
        </w:rPr>
        <w:t>Shared claim-specific concepts:</w:t>
      </w:r>
      <w:r>
        <w:t xml:space="preserve"> literature, according, leads, negative; EU scope not established. This is a provisional connection, not an outcome finding.</w:t>
      </w:r>
    </w:p>
    <w:p>
      <w:pPr>
        <w:pStyle w:val="SourceNote"/>
      </w:pPr>
      <w:r>
        <w:rPr>
          <w:b/>
        </w:rPr>
        <w:t>Available abstract (not full text):</w:t>
      </w:r>
      <w:r>
        <w:t xml:space="preserve"> Abstract Digitalisation affects management control (MC). It leads to changes in the way MC activities are organised, performed and analysed. Companies of all industries, locations and sizes have to adapt their MC to digital circumstances, starting with the understanding and delimitation of MC tasks, through the modified application of MC instruments and the consideration of behavioural aspects of MC, to the organisation of the MC function within the company. This paper presents a systematic review of the literature according to Tranfield et al. (Br J Manag 14:207–222, 2003), focusing on the impact of digitalisation on MC. A comprehensive overview of scientific literature is provided by reviewing 166 highly rated accounting journals (based on multiple international journal ratings) and analysing 116 articles from January 2000 to August 2022. Based on the MC framework developed by Guenther (J Manag Control 23:269–290, 2013), the identified studies are categorised into the following research dimensions: tasks, instruments, organisation and behavioural aspects. Multiple studies highlight the continuous development of the MC function under the impact of digitalisation, including the extension of MC tasks, the adaptation of existing MC instruments and creation of new MC instruments, positive and negative behavioural aspects of digitalisation on MC and the establishment of new MC orga</w:t>
      </w:r>
    </w:p>
    <w:p>
      <w:pPr/>
      <w:r>
        <w:rPr>
          <w:b/>
        </w:rPr>
        <w:t>POSSIBLE 2022:</w:t>
      </w:r>
      <w:r>
        <w:t xml:space="preserve"> The immunogenetic impact of European colonization in the Americas — https://doi.org/10.3389/fgene.2022.918227</w:t>
      </w:r>
    </w:p>
    <w:p>
      <w:pPr/>
      <w:r>
        <w:rPr>
          <w:b/>
        </w:rPr>
        <w:t>Shared claim-specific concepts:</w:t>
      </w:r>
      <w:r>
        <w:t xml:space="preserve"> population, decline; EU scope visible. This is a provisional connection, not an outcome finding.</w:t>
      </w:r>
    </w:p>
    <w:p>
      <w:pPr>
        <w:pStyle w:val="SourceNote"/>
      </w:pPr>
      <w:r>
        <w:rPr>
          <w:b/>
        </w:rPr>
        <w:t>Available abstract (not full text):</w:t>
      </w:r>
      <w:r>
        <w:t xml:space="preserve"> The introduction of pathogens originating from Eurasia into the Americas during early European contact has been associated with high mortality rates among Indigenous peoples, likely contributing to their historical and precipitous population decline. However, the biological impacts of imported infectious diseases and resulting epidemics, especially in terms of pathogenic effects on the Indigenous immunity, remain poorly understood and highly contentious to this day. Here, we examine multidisciplinary evidence underpinning colonization-related immune genetic change, providing contextualization from anthropological studies, paleomicrobiological evidence of contrasting host-pathogen coevolutionary histories, and the timings of disease emergence. We further summarize current studies examining genetic signals reflecting post-contact Indigenous population bottlenecks, admixture with European and other populations, and the putative effects of natural selection, with a focus on ancient DNA studies and immunity-related findings. Considering current genetic evidence, together with a population genetics theoretical approach, we show that post-contact Indigenous immune adaptation, possibly influenced by selection exerted by introduced pathogens, is highly complex and likely to be affected by multifactorial causes. Disentangling putative adaptive signals from those of genetic drift thus rem</w:t>
      </w:r>
    </w:p>
    <w:p>
      <w:pPr/>
      <w:r>
        <w:rPr>
          <w:b/>
        </w:rPr>
        <w:t>POSSIBLE 2021:</w:t>
      </w:r>
      <w:r>
        <w:t xml:space="preserve"> The Evolutionarily Mismatched Impact of Urbanization on Insomnia Symptoms: a Short Review of the Recent Literature — https://doi.org/10.1007/s11920-021-01239-7</w:t>
      </w:r>
    </w:p>
    <w:p>
      <w:pPr/>
      <w:r>
        <w:rPr>
          <w:b/>
        </w:rPr>
        <w:t>Shared claim-specific concepts:</w:t>
      </w:r>
      <w:r>
        <w:t xml:space="preserve"> recent, literature, majority; EU scope not established. This is a provisional connection, not an outcome finding.</w:t>
      </w:r>
    </w:p>
    <w:p>
      <w:pPr>
        <w:pStyle w:val="SourceNote"/>
      </w:pPr>
      <w:r>
        <w:rPr>
          <w:b/>
        </w:rPr>
        <w:t>Available abstract (not full text):</w:t>
      </w:r>
      <w:r>
        <w:t xml:space="preserve"> PURPOSE OF REVIEW: For the most part of human existence, individuals have been living a rural lifestyle in a rural setting. However, such sleep-conducive conditions have largely been transformed dramatically by urbanization within a relatively short span of time in recent history, and the resulting evolved mechanisms-environment mismatch is theorized to bring about an increased risk for insomnia symptoms. This brief review of the recent literature is designed to evaluate the veracity of this proposition. RECENT FINDINGS: The majority of recent findings have suggested that most proposed evolutionarily mismatched urban factors are indeed related to the presence of insomnia symptoms. However, there is a general paucity of longitudinal evidence (and for some other factors, a lack of enough evidence of any kind). Although there is a preponderance of recent findings indicating a link between evolutionarily mismatched urban phenomena and insomnia symptoms, more longitudinal data are needed before any causative conclusion can be drawn.</w:t>
      </w:r>
    </w:p>
    <w:p>
      <w:pPr/>
      <w:r>
        <w:rPr>
          <w:b/>
        </w:rPr>
        <w:t>POSSIBLE 2021:</w:t>
      </w:r>
      <w:r>
        <w:t xml:space="preserve"> Differences in hip fracture care in Europe: a systematic review of recent annual reports of hip fracture registries — https://doi.org/10.1007/s00068-021-01797-8</w:t>
      </w:r>
    </w:p>
    <w:p>
      <w:pPr/>
      <w:r>
        <w:rPr>
          <w:b/>
        </w:rPr>
        <w:t>Shared claim-specific concepts:</w:t>
      </w:r>
      <w:r>
        <w:t xml:space="preserve"> recent, difficult, according, decline; EU scope visible. This is a provisional connection, not an outcome finding.</w:t>
      </w:r>
    </w:p>
    <w:p>
      <w:pPr>
        <w:pStyle w:val="SourceNote"/>
      </w:pPr>
      <w:r>
        <w:rPr>
          <w:b/>
        </w:rPr>
        <w:t>Available abstract (not full text):</w:t>
      </w:r>
      <w:r>
        <w:t xml:space="preserve"> PURPOSE: Hip fractures are of growing interest due to their increasing number, subsequent functional decline and high institutionalization rate of patients, mortality, and costs. Several process measurements are essential for hip fracture care. To compare and improve these, hip fracture registries in Europe became popular. This systematic review aims to describe the differences between hip fracture registries in Europe as well as the differences in hip fracture treatment between countries. METHODS: A systematic search using the keywords "hip fracture" AND "national" AND "database OR audit OR registry OR register" was performed in PubMed, Embase and Cochrane Library according to PRISMA guidelines till 3rd December 2020. Recent annual reports of identified hip fracture registries in Europe were additionally identified in June 2021. Comparisons of most common case-mix, process and outcome measurements were performed. RESULTS: 11 registries in Europe were identified. Differences were observed regarding inclusion criteria of the different registries. Comparison of the different registries was difficult due to differences in the way to report measurements. While mortality rates differed substantially between countries, most of the process measurements met recommendations according to recent guidelines. CONCLUSION: Hip fracture registries were a valid tool to compare hospitals within </w:t>
      </w:r>
    </w:p>
    <w:p>
      <w:pPr>
        <w:pStyle w:val="Heading2"/>
      </w:pPr>
      <w:r>
        <w:t>995. Climate, competition and connectivity affect future migration and ranges of European trees</w:t>
      </w:r>
    </w:p>
    <w:p>
      <w:pPr>
        <w:pStyle w:val="SourceNote"/>
      </w:pPr>
      <w:r>
        <w:rPr>
          <w:b/>
        </w:rPr>
        <w:t>Original source (2011):</w:t>
      </w:r>
      <w:r>
        <w:t xml:space="preserve"> https://doi.org/10.1111/j.1466-8238.2011.00669.x</w:t>
      </w:r>
    </w:p>
    <w:p>
      <w:pPr/>
      <w:r>
        <w:t>Original wording (abstract; indexed_source_text_not_full_document_verified): ABSTRACT Aim Species ranges have adapted during the Holocene to altering climate conditions, but it remains unclear if species will be able to keep pace with recent and future climate change. To predict future species ranges from these models, we applied three migration scenarios: no migration, unlimited migration and realistic migration.</w:t>
      </w:r>
    </w:p>
    <w:p>
      <w:pPr/>
      <w:r>
        <w:rPr>
          <w:b/>
        </w:rPr>
        <w:t>POSSIBLE 2026:</w:t>
      </w:r>
      <w:r>
        <w:t xml:space="preserve"> Lessons learned in institutional preparedness and response during the 2022 European drought — https://doi.org/10.5194/nhess-26-955-2026</w:t>
      </w:r>
    </w:p>
    <w:p>
      <w:pPr/>
      <w:r>
        <w:rPr>
          <w:b/>
        </w:rPr>
        <w:t>Shared claim-specific concepts:</w:t>
      </w:r>
      <w:r>
        <w:t xml:space="preserve"> abstract, during, recent; EU scope visible. This is a provisional connection, not an outcome finding.</w:t>
      </w:r>
    </w:p>
    <w:p>
      <w:pPr>
        <w:pStyle w:val="SourceNote"/>
      </w:pPr>
      <w:r>
        <w:rPr>
          <w:b/>
        </w:rPr>
        <w:t>Available abstract (not full text):</w:t>
      </w:r>
      <w:r>
        <w:t xml:space="preserve"> Abstract. Droughts in Europe are becoming increasingly frequent and severe, with the 2022 drought surpassing previous records and causing widespread socio-economic impacts. This study employs a Europe-wide survey that integrates data from 481 respondents from 30 European countries, involved in the management of the 2022 European drought, together with hydroclimatic data (i.e., Standardized Precipitation Evapotranspiration Index; SPEI), to provide a holistic assessment of the effect of drought preparedness on response effectiveness and timeliness during the 2022 drought through statistical methods. It specifically assesses the role of forecasting systems and Drought Management Plans (DMPs) in improving preparedness and in facilitating more effective and timely responses. Additionally, the study investigates how drought management practices and awareness have evolved as a consequence of the 2018 European drought and how recent experiences shape water managers’ perceptions. The findings emphasize the urgent need for a standardized, continent-wide drought risk management coordination to address the multifaceted nature of drought risk by integrating climatic and societal factors, and advocates for a Drought Directive as a means to achieve it. This research aims to inform policy development towards sustainable and holistic drought risk management, highlighting the crucial roles of pr</w:t>
      </w:r>
    </w:p>
    <w:p>
      <w:pPr/>
      <w:r>
        <w:rPr>
          <w:b/>
        </w:rPr>
        <w:t>POSSIBLE 2025:</w:t>
      </w:r>
      <w:r>
        <w:t xml:space="preserve"> Lecanora hybocarpa and similar European species — https://doi.org/10.1017/s0024282925101291</w:t>
      </w:r>
    </w:p>
    <w:p>
      <w:pPr/>
      <w:r>
        <w:rPr>
          <w:b/>
        </w:rPr>
        <w:t>Shared claim-specific concepts:</w:t>
      </w:r>
      <w:r>
        <w:t xml:space="preserve"> abstract, species, but, three; EU scope visible. This is a provisional connection, not an outcome finding.</w:t>
      </w:r>
    </w:p>
    <w:p>
      <w:pPr>
        <w:pStyle w:val="SourceNote"/>
      </w:pPr>
      <w:r>
        <w:rPr>
          <w:b/>
        </w:rPr>
        <w:t>Available abstract (not full text):</w:t>
      </w:r>
      <w:r>
        <w:t xml:space="preserve"> Abstract The lichen genus Lecanora is one of the largest genera of lichenized fungi. The core part of the genus is the L. subfusca group and within this group, Lecanora hybocarpa (Tuck.) Brodo, initially described from North America and thought to be endemic, has been reported from several European countries. However, the identity of these European specimens has been increasingly questioned. This study aimed to clarify the relationship between North American L. hybocarpa and European collections, including the morphologically similar L. sinuosa Herk &amp; Aptroot. We performed morphological, chemical (TLC) and molecular analyses (nrITS and mtSSU) on a broad collection of specimens from Europe, Macaronesia and North America. Our phylogenetic analyses revealed that true L. hybocarpa has not yet been confirmed in Europe. Instead, several genetically distinct European taxa share the L. hybocarpa morphotype. Our findings resulted in the description of three new species: Lecanora cryptosinuosa (differing only genetically from L. sinuosa ), L. macaronesica (characterized by quite large apothecia with constricted bases and a finely crenulate margin, and the presence of gangaleoidin) and L. subsinuosa (difficult to separate from L. sinuosa , but may sometimes be recognized by darker apothecial discs with inconsistent pigmentation, the occasional presence of a tiny pruina on young discs, and</w:t>
      </w:r>
    </w:p>
    <w:p>
      <w:pPr/>
      <w:r>
        <w:rPr>
          <w:b/>
        </w:rPr>
        <w:t>POSSIBLE 2025:</w:t>
      </w:r>
      <w:r>
        <w:t xml:space="preserve"> Many Plant Species in Europe Have Limited Capacity to Track Climate Change — https://doi.org/10.1111/ddi.70115</w:t>
      </w:r>
    </w:p>
    <w:p>
      <w:pPr/>
      <w:r>
        <w:rPr>
          <w:b/>
        </w:rPr>
        <w:t>Shared claim-specific concepts:</w:t>
      </w:r>
      <w:r>
        <w:t xml:space="preserve"> abstract, aim, species, climate, conditions, three; EU scope visible. This is a provisional connection, not an outcome finding.</w:t>
      </w:r>
    </w:p>
    <w:p>
      <w:pPr>
        <w:pStyle w:val="SourceNote"/>
      </w:pPr>
      <w:r>
        <w:rPr>
          <w:b/>
        </w:rPr>
        <w:t>Available abstract (not full text):</w:t>
      </w:r>
      <w:r>
        <w:t xml:space="preserve"> ABSTRACT Aim No or unlimited dispersal capacities of species are commonly assumed in species distribution models ( SDMs ) used to assess potential impacts of climate change on biodiversity. However, these assumptions may lead to overly pessimistic or optimistic predictions. We aim to assess how outputs of broad‐scale SDMs of plants based on species‐specific dispersal estimates compare to outputs based on no and unlimited dispersal assumptions under climate change. Location Europe. Method We developed SDMs using occurrence records of 1318 vascular plant species in Europe and predictor variables representative of climate, soil and topographic conditions. We used the SDMs to project species to 2071–2100 for two climate scenarios (mild and severe climate change) combined with three dispersal assumptions: species‐specific, no dispersal, and unlimited dispersal. We then calculated the range sizes, species richness, and changes in both for each combination. Results Range size changes and species richness changes based on species‐specific dispersal estimates generally approximated those under the no dispersal assumption in both climate scenarios. This reflects that the majority of the species in our sample have a limited capacity to disperse. Only for the minority of species dispersed by wind or animals did the incorporation of species‐specific dispersal estimates result in clearly sma</w:t>
      </w:r>
    </w:p>
    <w:p>
      <w:pPr/>
      <w:r>
        <w:rPr>
          <w:b/>
        </w:rPr>
        <w:t>POSSIBLE 2025:</w:t>
      </w:r>
      <w:r>
        <w:t xml:space="preserve"> Abstracts of the 19th European Congress of Psychology — https://doi.org/10.1024/2673-8627/a000085</w:t>
      </w:r>
    </w:p>
    <w:p>
      <w:pPr/>
      <w:r>
        <w:rPr>
          <w:b/>
        </w:rPr>
        <w:t>Shared claim-specific concepts:</w:t>
      </w:r>
      <w:r>
        <w:t xml:space="preserve"> climate, but, remains, pace, recent; EU scope visible. This is a provisional connection, not an outcome finding.</w:t>
      </w:r>
    </w:p>
    <w:p>
      <w:pPr>
        <w:pStyle w:val="SourceNote"/>
      </w:pPr>
      <w:r>
        <w:rPr>
          <w:b/>
        </w:rPr>
        <w:t>Available abstract (not full text):</w:t>
      </w:r>
      <w:r>
        <w:t xml:space="preserve"> Psychology plays a crucial role in addressing the diverse challenges facing Europe.Its interdisciplinary nature allows it to connect with various sciences and professions.Despite differences in how individual countries are both affected by and handle these challenges, there's a shared framework provided by the United Nations Sustainable Development Goals (SDGs).Mental health and wellbeing have become a core human concern, underscored by recent events like the COVID-19 pandemic and the war in Ukraine.Climate change has significant psychological implications.The workplace also faces mental health challenges, with one-quarter of the EU workforce experiencing mental health issues.Digitalisation proceeding at pace has implications across the board.Psychology is increasingly involved in social discourses across Europe.Psychology collaborates at the international organizations like the United Nations and the World Health Organization.It is significantly engaged with the European Union institutions of the Parliament and Commission, and more widely across EU candidate countries and those on the continent of Europe but outside of the EU.This work is fostering a European-level approach.In times of fundamental change, it is important to take stock.Questions about the 'where from' are linked to the search for solutions and sustainable perspectives for the future.By realigning education and </w:t>
      </w:r>
    </w:p>
    <w:p>
      <w:pPr/>
      <w:r>
        <w:rPr>
          <w:b/>
        </w:rPr>
        <w:t>POSSIBLE 2024:</w:t>
      </w:r>
      <w:r>
        <w:t xml:space="preserve"> Evaluating the expansion of African species into Europe driven by climate change — https://doi.org/10.1111/ddi.13840</w:t>
      </w:r>
    </w:p>
    <w:p>
      <w:pPr/>
      <w:r>
        <w:rPr>
          <w:b/>
        </w:rPr>
        <w:t>Shared claim-specific concepts:</w:t>
      </w:r>
      <w:r>
        <w:t xml:space="preserve"> abstract, aim, species, ranges, climate, migration; EU scope visible. This is a provisional connection, not an outcome finding.</w:t>
      </w:r>
    </w:p>
    <w:p>
      <w:pPr>
        <w:pStyle w:val="SourceNote"/>
      </w:pPr>
      <w:r>
        <w:rPr>
          <w:b/>
        </w:rPr>
        <w:t>Available abstract (not full text):</w:t>
      </w:r>
      <w:r>
        <w:t xml:space="preserve"> Abstract Aim Ongoing climate change is presently influencing the distribution ranges of numerous species, with both range expansions and latitudinal shifts being observed. In southern Europe, a biogeographical border that separates African and European biota, while at the same time acting as a migration bridge for many species, these changes are of particular relevance. This study aimed to analyse the responses of nine typically African birds to climate change to provide information on the ongoing and future occupation of Europe by these species. Location Western Palearctic and surrounding areas. Methods To this end, the distributions of the species in their native ranges were modelled, both in the present and in future climate scenarios, using their current breeding ranges and a set of topographic and climatic variables. The climatic favourability for the nine species was then combined using fuzzy logic. Results The results showed that southern Europe is highly favourable for our set of African birds, except for Rüppell's Vulture, and future forecasts indicated that this favourability would increase further north, again excluding the African Vulture. Main conclusions If the climate continues to warm, further arrivals of individuals are to be expected, increasing the possibility that self‐sustaining populations may become established in southern Europe. Furthermore, new African</w:t>
      </w:r>
    </w:p>
    <w:p>
      <w:pPr/>
      <w:r>
        <w:rPr>
          <w:b/>
        </w:rPr>
        <w:t>POSSIBLE 2024:</w:t>
      </w:r>
      <w:r>
        <w:t xml:space="preserve"> Rewilding through inappropriate species introduction: The case of European bison in Spain — https://doi.org/10.1111/csp2.13221</w:t>
      </w:r>
    </w:p>
    <w:p>
      <w:pPr/>
      <w:r>
        <w:rPr>
          <w:b/>
        </w:rPr>
        <w:t>Shared claim-specific concepts:</w:t>
      </w:r>
      <w:r>
        <w:t xml:space="preserve"> abstract, species; EU scope visible. This is a provisional connection, not an outcome finding.</w:t>
      </w:r>
    </w:p>
    <w:p>
      <w:pPr>
        <w:pStyle w:val="SourceNote"/>
      </w:pPr>
      <w:r>
        <w:rPr>
          <w:b/>
        </w:rPr>
        <w:t>Available abstract (not full text):</w:t>
      </w:r>
      <w:r>
        <w:t xml:space="preserve"> Abstract Most European rewilding initiatives are based on the recovery of large herbivores, particularly European bison Bison bonasus , aiming at restoring ecosystem processes and increase trophic complexity. The growing support for the release of bison as a wild species, and change its legal status, in Spain, as an ecological analogue of the extinct steppe bison Bison priscus , makes it an excellent example to reflect the limits of a rewilding biogeographically advisable. We discuss if this initiative could be justified from ecological, biogeographical, ethical, and legal reasons. Besides remarkable taxonomic and functional differences between both bison species, the Mediterranean environment, under the present and future climatic scenarios, does not suit the European bison. Furthermore, there is no evidence to support the presumption that the European bison was ever present in the Iberian Peninsula, with legal implications. We expect that our approach will be inspirational for similar assessments on rewilding initiatives globally.</w:t>
      </w:r>
    </w:p>
    <w:p>
      <w:pPr/>
      <w:r>
        <w:rPr>
          <w:b/>
        </w:rPr>
        <w:t>POSSIBLE 2024:</w:t>
      </w:r>
      <w:r>
        <w:t xml:space="preserve"> Monitoring spatiotemporal patterns in the genetic diversity of a European butterfly species — https://doi.org/10.1111/icad.12786</w:t>
      </w:r>
    </w:p>
    <w:p>
      <w:pPr/>
      <w:r>
        <w:rPr>
          <w:b/>
        </w:rPr>
        <w:t>Shared claim-specific concepts:</w:t>
      </w:r>
      <w:r>
        <w:t xml:space="preserve"> abstract, aim, species, but; EU scope visible. This is a provisional connection, not an outcome finding.</w:t>
      </w:r>
    </w:p>
    <w:p>
      <w:pPr>
        <w:pStyle w:val="SourceNote"/>
      </w:pPr>
      <w:r>
        <w:rPr>
          <w:b/>
        </w:rPr>
        <w:t>Available abstract (not full text):</w:t>
      </w:r>
      <w:r>
        <w:t xml:space="preserve"> Abstract The importance of genetic diversity has been recognised by the Convention on Biological Diversity but attempts at monitoring or improving the genetic diversity of populations have been minimal. Here, we investigate changes over time in the genetic diversity of a wild insect species, Maniola jurtina (Lepidoptera: Nymphalidae) and present a large‐scale investigation into contemporary spatial genetic diversity. Using microsatellite markers, we calculate multiple measures of genetic diversity and divergence for M. jurtina populations over 8 years in the UK and compare these findings with long‐term abundance trends. We also conduct a large‐scale spatial analysis into the genetic diversity and population structuring of M. jurtina across Europe. All UK populations sampled have high levels of gene flow and genetic diversity, with genetic diversity stable over time. Across Europe, we find some population structuring between populations in the UK and the European mainland, suggesting restricted geneflow between the two regions. The monitoring of a wild species' genetic diversity is an achievable aim, and one that could be carried out for many species, particularly Lepidoptera. Future approaches may aim to develop higher resolution genetic markers and cover a wider range of species. The use of abundance data offers additional insight, and we find that concurrent, dedicated geneti</w:t>
      </w:r>
    </w:p>
    <w:p>
      <w:pPr/>
      <w:r>
        <w:rPr>
          <w:b/>
        </w:rPr>
        <w:t>POSSIBLE 2023:</w:t>
      </w:r>
      <w:r>
        <w:t xml:space="preserve"> 6th European Conference on Permafrost: Book of Abstracts — https://doi.org/10.52381/eucop6.abstracts.1</w:t>
      </w:r>
    </w:p>
    <w:p>
      <w:pPr/>
      <w:r>
        <w:rPr>
          <w:b/>
        </w:rPr>
        <w:t>Shared claim-specific concepts:</w:t>
      </w:r>
      <w:r>
        <w:t xml:space="preserve"> climate, conditions; EU scope visible. This is a provisional connection, not an outcome finding.</w:t>
      </w:r>
    </w:p>
    <w:p>
      <w:pPr>
        <w:pStyle w:val="SourceNote"/>
      </w:pPr>
      <w:r>
        <w:rPr>
          <w:b/>
        </w:rPr>
        <w:t>Available abstract (not full text):</w:t>
      </w:r>
      <w:r>
        <w:t xml:space="preserve"> Session 1 / Modeling of permafrost-climate feedbacks in future scenarios 37 • Thaw depths and carbon release in adaptive emission driven MPI-ESM simulations, Goran Georgievski [et al.] 38 • Representation of Arctic hydrology in a global land surface model, Tobias Stacke [et al.] 39 • Experimental and numerical evaluation of thermal properties of moss, lichen, and peat from a permafrost-dominated wetland., Simon Cazaurang [et al.] 40 • Modelling the effects of climate change on groundwater-surface water interactions in permafrost dominated regions, Radhakrishna Bangalore Lakshmiprasad [et al.] 41 • Modeling permafrost landscape evolution and greenhouse gas emissions from rapid thawing of ground ice with a new subgrid permafrost representation in CLM5, Esther Bender [et al.] 42 • Modeling influence of methane seeping on the water column carbonate system in the Laptev Sea Shelf, Evgeniy Yakushev [et al.] 43 • Climate response to improved permafrost hydro-thermodynamics in historical and scenario simulations, Félix García-Pereira [et al.] 44 • Surface-based temperature inversion impact on surface air temperatures and implications for permafrost distribution in Northwestern Canada, Nick Noad and Philip Bonnaventure 45 • Modelling the impact of surface lapse rate changes on mountain permafrost distribution in four dissimilar valleys in Yukon, Canada, Madeleine Garibaldi and Philip Bo</w:t>
      </w:r>
    </w:p>
    <w:p>
      <w:pPr/>
      <w:r>
        <w:rPr>
          <w:b/>
        </w:rPr>
        <w:t>POSSIBLE 2023:</w:t>
      </w:r>
      <w:r>
        <w:t xml:space="preserve"> European Habitats Directive has fostered monitoring but not prevented species declines — https://doi.org/10.1111/conl.12948</w:t>
      </w:r>
    </w:p>
    <w:p>
      <w:pPr/>
      <w:r>
        <w:rPr>
          <w:b/>
        </w:rPr>
        <w:t>Shared claim-specific concepts:</w:t>
      </w:r>
      <w:r>
        <w:t xml:space="preserve"> abstract, species, but; EU scope visible. This is a provisional connection, not an outcome finding.</w:t>
      </w:r>
    </w:p>
    <w:p>
      <w:pPr>
        <w:pStyle w:val="SourceNote"/>
      </w:pPr>
      <w:r>
        <w:rPr>
          <w:b/>
        </w:rPr>
        <w:t>Available abstract (not full text):</w:t>
      </w:r>
      <w:r>
        <w:t xml:space="preserve"> Abstract Strong biodiversity declines have been reported across the European Union, especially in insects, despite conservation policy such as the Habitats Directive that aims to halt biodiversity loss. Using 50 years of observational data, we examined indicators for the goals of the Directive in terms of improving monitoring efforts and occupancy trends of butterfly and dragonfly annex species in a central European region. We quantified annual monitoring effort and used occupancy‐detection models to compare species trends for 18 years before and after legal implementation of the Directive. Monitoring efforts increased after implementation, while occupancy trends both improved and deteriorated. Contrary to its main goal, the European Habitats Directive did not prevent a worsening of all annex species’ occupancy trends in the studied region. While the increased monitoring efforts aid biodiversity assessments, more serious broad‐scale conservation measures are needed to halt biodiversity loss across Europe.</w:t>
      </w:r>
    </w:p>
    <w:p>
      <w:pPr/>
      <w:r>
        <w:rPr>
          <w:b/>
        </w:rPr>
        <w:t>POSSIBLE 2023:</w:t>
      </w:r>
      <w:r>
        <w:t xml:space="preserve"> Diversity of cranial shape in European Woodpecker species (Picidae) — https://doi.org/10.2478/orhu-2023-0007</w:t>
      </w:r>
    </w:p>
    <w:p>
      <w:pPr/>
      <w:r>
        <w:rPr>
          <w:b/>
        </w:rPr>
        <w:t>Shared claim-specific concepts:</w:t>
      </w:r>
      <w:r>
        <w:t xml:space="preserve"> abstract, aim, species, but; EU scope visible. This is a provisional connection, not an outcome finding.</w:t>
      </w:r>
    </w:p>
    <w:p>
      <w:pPr>
        <w:pStyle w:val="SourceNote"/>
      </w:pPr>
      <w:r>
        <w:rPr>
          <w:b/>
        </w:rPr>
        <w:t>Available abstract (not full text):</w:t>
      </w:r>
      <w:r>
        <w:t xml:space="preserve"> Abstract The woodpecker family (Picidae) includes numerous species that vary in size and plumage colouration, but which share many easily recognisable external features. These birds possess pronounced anatomical adaptions that enable them to exploit arboreal habitats and live in niches that are inaccessible to most other birds. The aim of this study was to increase our knowledge on the relationships between skull shape, habitat preference, pecking abilities and foraging habits of 10 European woodpecker species. A geometric morphometric approach was used to analyse two-dimensional cranial landmarks. We used principal component (PC) analyses on those measurements that may be related to habitat preference and foraging habits. The PCs resulted in descriptions of the relative length and width of the bill, variation in its relative size, orientation of the nostrils variation in the elongation of the neurocranium, the relative size and position of the palatine bone, length of the rostrum , and the thickness of the mandible bone. The analysis showed and confirmed the presence of some cranial elements that are strongly associated with habitat preference, pecking behaviour and excavation abilities.</w:t>
      </w:r>
    </w:p>
    <w:p>
      <w:pPr/>
      <w:r>
        <w:rPr>
          <w:b/>
        </w:rPr>
        <w:t>POSSIBLE 2022:</w:t>
      </w:r>
      <w:r>
        <w:t xml:space="preserve"> Ellenberg‐type indicator values for European vascular plant species — https://doi.org/10.1111/jvs.13168</w:t>
      </w:r>
    </w:p>
    <w:p>
      <w:pPr/>
      <w:r>
        <w:rPr>
          <w:b/>
        </w:rPr>
        <w:t>Shared claim-specific concepts:</w:t>
      </w:r>
      <w:r>
        <w:t xml:space="preserve"> abstract, aim, species; EU scope visible. This is a provisional connection, not an outcome finding.</w:t>
      </w:r>
    </w:p>
    <w:p>
      <w:pPr>
        <w:pStyle w:val="SourceNote"/>
      </w:pPr>
      <w:r>
        <w:rPr>
          <w:b/>
        </w:rPr>
        <w:t>Available abstract (not full text):</w:t>
      </w:r>
      <w:r>
        <w:t xml:space="preserve"> Abstract Aims Ellenberg‐type indicator values are expert‐based rankings of plant species according to their ecological optima on main environmental gradients. Here we extend the indicator‐value system proposed by Heinz Ellenberg and co‐authors for Central Europe by incorporating other systems of Ellenberg‐type indicator values (i.e., those using scales compatible with Ellenberg values) developed for other European regions. Our aim is to create a harmonized data set of Ellenberg‐type indicator values applicable at the European scale. Methods We collected European data sets of indicator values for vascular plants and selected 13 data sets that used the nine‐, ten‐ or twelve‐degree scales defined by Ellenberg for light, temperature, moisture, reaction, nutrients and salinity. We compared these values with the original Ellenberg values and used those that showed consistent trends in regression slope and coefficient of determination. We calculated the average value for each combination of species and indicator values from these data sets. Based on species’ co‐occurrences in European vegetation plots, we also calculated new values for species that were not assigned an indicator value. Results We provide a new data set of Ellenberg‐type indicator values for 8908 European vascular plant species (8168 for light, 7400 for temperature, 8030 for moisture, 7282 for reaction, 7193 for nutrie</w:t>
      </w:r>
    </w:p>
    <w:p>
      <w:pPr/>
      <w:r>
        <w:rPr>
          <w:b/>
        </w:rPr>
        <w:t>POSSIBLE 2022:</w:t>
      </w:r>
      <w:r>
        <w:t xml:space="preserve"> Mechanised Harvesting of Broadleaved Tree Species in Europe — https://doi.org/10.1007/s40725-021-00154-7</w:t>
      </w:r>
    </w:p>
    <w:p>
      <w:pPr/>
      <w:r>
        <w:rPr>
          <w:b/>
        </w:rPr>
        <w:t>Shared claim-specific concepts:</w:t>
      </w:r>
      <w:r>
        <w:t xml:space="preserve"> abstract, aim, species, but, recent; EU scope visible. This is a provisional connection, not an outcome finding.</w:t>
      </w:r>
    </w:p>
    <w:p>
      <w:pPr>
        <w:pStyle w:val="SourceNote"/>
      </w:pPr>
      <w:r>
        <w:rPr>
          <w:b/>
        </w:rPr>
        <w:t>Available abstract (not full text):</w:t>
      </w:r>
      <w:r>
        <w:t xml:space="preserve"> Abstract Purpose of the Review The application of cut-to-length (CTL) technology for harvesting and processing timber from broadleaved tree species is a challenging process, due to thick branches, stem sweep, forks and high wood density. The objective of this review was to describe the current state of harvester use and characterise the effectiveness of mechanised forest operations for broadleaved and mixed forest stands in Europe, paying particular attention to productivity and product quality aspects. An additional aim was to identify the greatest difficulties associated with harvesting broadleaved tree species today and to indicate future challenges and areas for improvement. Recent Findings An interest in wider harvester use for broadleaved tree species started after the storm Lothar in France in 1999. Early experiences demonstrated that lower productivity is common when harvesting broadleaved tree species, due to limitations in delimbing and the high frequency of sweep. Initially, modifications were made to harvester heads, while a newly designed head (CTL 40 HW) was later developed within a European project in 2005–2007. Using various heads, very high productivity was achieved in some cases, but log recovery was unsatisfactory, with large tree tops left without delimbing. The delimbing was of lower quality and log length inaccuracy was observed, as well as economic losses</w:t>
      </w:r>
    </w:p>
    <w:p>
      <w:pPr>
        <w:pStyle w:val="Heading2"/>
      </w:pPr>
      <w:r>
        <w:t>996. Current and Future Issues in BPM Research: A European Perspective from the ERCIS Meeting 2010</w:t>
      </w:r>
    </w:p>
    <w:p>
      <w:pPr>
        <w:pStyle w:val="SourceNote"/>
      </w:pPr>
      <w:r>
        <w:rPr>
          <w:b/>
        </w:rPr>
        <w:t>Original source (2011):</w:t>
      </w:r>
      <w:r>
        <w:t xml:space="preserve"> https://doi.org/10.17705/1cais.02825</w:t>
      </w:r>
    </w:p>
    <w:p>
      <w:pPr/>
      <w:r>
        <w:t>Original wording (abstract; indexed_source_text_not_full_document_verified): This article reflects on a workshop on current and future issues in BPM research that was conducted by seventeen IS researchers from eight European countries as part of the 2010 annual meeting of the European Research Center for Information Systems (ERCIS). The results of this workshop suggest that BPM research can meaningfully contribute to investigating a broad variety of phenomena that are of interest to IS scholars, ranging from rather technical (e.g., the implementation of software architectures) to managerial (e.g., the impact of organizational culture on process performance).</w:t>
      </w:r>
    </w:p>
    <w:p>
      <w:pPr/>
      <w:r>
        <w:rPr>
          <w:b/>
        </w:rPr>
        <w:t>POSSIBLE 2026:</w:t>
      </w:r>
      <w:r>
        <w:t xml:space="preserve"> The BPM Goal Hexagon: an update to the Devil’s Quadrangle — https://doi.org/10.1007/s11301-026-00586-0</w:t>
      </w:r>
    </w:p>
    <w:p>
      <w:pPr/>
      <w:r>
        <w:rPr>
          <w:b/>
        </w:rPr>
        <w:t>Shared claim-specific concepts:</w:t>
      </w:r>
      <w:r>
        <w:t xml:space="preserve"> current, bpm, suggest; EU scope not established. This is a provisional connection, not an outcome finding.</w:t>
      </w:r>
    </w:p>
    <w:p>
      <w:pPr>
        <w:pStyle w:val="SourceNote"/>
      </w:pPr>
      <w:r>
        <w:rPr>
          <w:b/>
        </w:rPr>
        <w:t>Available abstract (not full text):</w:t>
      </w:r>
      <w:r>
        <w:t xml:space="preserve"> Abstract Business process management has traditionally focused on time, cost, quality, and flexibility as goal dimensions, known as the Devil’s Quadrangle. In light of novel emerging factors such as employee values, environmental, social, and governance requirements, as well as conscious business models, this paper investigates whether the traditional four goal dimensions of the Devil’s Quadrangle remain suitable today. Based on an extensive analysis of recent business process redesign projects published in case studies, we offer a timely assessment of the adequacy of the Devil’s Quadrangle in current times and suggest extensions to the concept, incorporating insights from a secondary study on robotic process automation. More specifically, we extend the Devil’s Quadrangle to the BPM Goal Hexagon by retaining time, quality, and flexibility, but refocusing cost to a more balanced economics dimension and adding a people dimension as well as an environment dimension. The BPM Goal Hexagon offers scholars and practitioners a timely tool to revisit the real-world relevance and sufficiency of their business process management project goals, methods, and tools.</w:t>
      </w:r>
    </w:p>
    <w:p>
      <w:pPr/>
      <w:r>
        <w:rPr>
          <w:b/>
        </w:rPr>
        <w:t>POSSIBLE 2026:</w:t>
      </w:r>
      <w:r>
        <w:t xml:space="preserve"> Benefits and Challenges in BPM Adoption in Organizations: An Analysis of Industry Professionals’ Perceptions — https://doi.org/10.5753/sbsi.2026.248288</w:t>
      </w:r>
    </w:p>
    <w:p>
      <w:pPr/>
      <w:r>
        <w:rPr>
          <w:b/>
        </w:rPr>
        <w:t>Shared claim-specific concepts:</w:t>
      </w:r>
      <w:r>
        <w:t xml:space="preserve"> bpm, conducted, information, systems; EU scope not established. This is a provisional connection, not an outcome finding.</w:t>
      </w:r>
    </w:p>
    <w:p>
      <w:pPr>
        <w:pStyle w:val="SourceNote"/>
      </w:pPr>
      <w:r>
        <w:rPr>
          <w:b/>
        </w:rPr>
        <w:t>Available abstract (not full text):</w:t>
      </w:r>
      <w:r>
        <w:t xml:space="preserve"> Research Context: Business Process Management (BPM) is as a key strategic approach to enhance organizational efficiency and align operations with digital transformation. In the face of constant technological evolution and market demands, organizations are challenged to integrate BPM within increasingly dynamic environments, where people, processes, and technologies must operate in synergy. Scientific and/or Practical Problem: It is crucial to understand how BPM is currently perceived, implemented, and evaluated in organizations, considering both the consolidated theoretical foundations of recent decades and the new practices that are emerging in organizational contexts. Proposed Solution and/or Analysis: This study investigates the critical success factors, main challenges, and perceived benefits of BPM adoption, based on the perspectives of professionals from both public and private organizations. The focus is on the organizational domain and the interplay between people, processes, and technologies. Related IS Theory: The research is grounded in the Socio-technical Systems Theory, which views organizations as interdependent systems composed of social and technical subsystems. This theory supports the analysis of how BPM effectiveness depends on the balanced integration of human, technological, and organizational elements. Research Method: A survey was conducted with 62 profes</w:t>
      </w:r>
    </w:p>
    <w:p>
      <w:pPr/>
      <w:r>
        <w:rPr>
          <w:b/>
        </w:rPr>
        <w:t>POSSIBLE 2026:</w:t>
      </w:r>
      <w:r>
        <w:t xml:space="preserve"> Digital integration for sustainable competitiveness: the role of BPM, process mining and ERP in accounting automation — https://doi.org/10.52326/csd2025.38</w:t>
      </w:r>
    </w:p>
    <w:p>
      <w:pPr/>
      <w:r>
        <w:rPr>
          <w:b/>
        </w:rPr>
        <w:t>Shared claim-specific concepts:</w:t>
      </w:r>
      <w:r>
        <w:t xml:space="preserve"> bpm, annual, systems; EU scope visible. This is a provisional connection, not an outcome finding.</w:t>
      </w:r>
    </w:p>
    <w:p>
      <w:pPr>
        <w:pStyle w:val="SourceNote"/>
      </w:pPr>
      <w:r>
        <w:rPr>
          <w:b/>
        </w:rPr>
        <w:t>Available abstract (not full text):</w:t>
      </w:r>
      <w:r>
        <w:t xml:space="preserve"> This paper examines how integrating Business Process Management (BPM), Process Mining, and Enterprise Resource Planning (ERP) systems enhances sustainable competitiveness and accounting automation efficiency. Using OMV Petrom SA, Romania's largest energy company, as a case study, the research analyzes the digital transformation program S4Strive, which unified 170 legal entities under a single SAP S/4HANA platform. The implementation combined BPM frameworks for process standardization, Process Mining analytics for identifying bottlenecks and deviations, and Robotic Process Automation (RPA) for repetitive financial tasks. The results revealed a 50% reduction in invoice-to-payment cycle times, annual savings of over 225,000 labor hours, and cost reductions exceeding €8 million. Beyond efficiency and cost improvements, the integration strengthened transparency, compliance, and data accuracy, while supporting environmental and social responsibility through optimized resource utilization. By comparing these outcomes with international accounts payable process-mining cases, the paper highlights how data-driven process integration enhances not only financial performance but also long-term organizational sustainability and resilience in the digital economy.</w:t>
      </w:r>
    </w:p>
    <w:p>
      <w:pPr/>
      <w:r>
        <w:rPr>
          <w:b/>
        </w:rPr>
        <w:t>POSSIBLE 2025:</w:t>
      </w:r>
      <w:r>
        <w:t xml:space="preserve"> Farmers’ and stakeholders’ views on the adoption of agroecological practices. Results from participatory workshops in European countries — https://doi.org/10.12688/openreseurope.20536.1</w:t>
      </w:r>
    </w:p>
    <w:p>
      <w:pPr/>
      <w:r>
        <w:rPr>
          <w:b/>
        </w:rPr>
        <w:t>Shared claim-specific concepts:</w:t>
      </w:r>
      <w:r>
        <w:t xml:space="preserve"> article, conducted, countries, information; EU scope visible. This is a provisional connection, not an outcome finding.</w:t>
      </w:r>
    </w:p>
    <w:p>
      <w:pPr>
        <w:pStyle w:val="SourceNote"/>
      </w:pPr>
      <w:r>
        <w:rPr>
          <w:b/>
        </w:rPr>
        <w:t>Available abstract (not full text):</w:t>
      </w:r>
      <w:r>
        <w:t xml:space="preserve"> Agroecological practices are prerequisites for many agri-environmental schemes in Europe and are increasingly being integrated into the EU's Common Agricultural Policy. Against the backdrop of recent protests by farmers in many European countries, with various grievances based on perceived tightening of environmental regulations and economic pressures, these protests raise questions about how farmer perceptions might hinder the adoption of agroecological practices. A series of workshops with farmers, farm advisors, and other supply chain stakeholders were organized between 2022 and 2023 in different European countries to facilitate knowledge sharing and to learn farmers' and stakeholders' views. Exercises were conducted during the workshops to explore the extent to which farmers were adopting practices that directly or indirectly promote biodiversity. The third and final phase aimed to better understand the motivations, needs, and potential trade-offs associated with implementing different agroecological practices, as well as their combination to promote functional biodiversity. The active participation of stakeholders was beneficial for collectively reflecting on relevant agroecological transition pathways, particularly farmers rational for implementation of agroecological practices for more sustainable agriculture in Europe. The results highlighted that participants had relat</w:t>
      </w:r>
    </w:p>
    <w:p>
      <w:pPr/>
      <w:r>
        <w:rPr>
          <w:b/>
        </w:rPr>
        <w:t>POSSIBLE 2025:</w:t>
      </w:r>
      <w:r>
        <w:t xml:space="preserve"> Adapting BPM lifecycle to increased sustainability of processes: An approach for including sustainability in the BPM Lifecycle — https://openalex.org/W7112653822</w:t>
      </w:r>
    </w:p>
    <w:p>
      <w:pPr/>
      <w:r>
        <w:rPr>
          <w:b/>
        </w:rPr>
        <w:t>Shared claim-specific concepts:</w:t>
      </w:r>
      <w:r>
        <w:t xml:space="preserve"> bpm, information, systems; EU scope not established. This is a provisional connection, not an outcome finding.</w:t>
      </w:r>
    </w:p>
    <w:p>
      <w:pPr>
        <w:pStyle w:val="SourceNote"/>
      </w:pPr>
      <w:r>
        <w:rPr>
          <w:b/>
        </w:rPr>
        <w:t>Available abstract (not full text):</w:t>
      </w:r>
      <w:r>
        <w:t xml:space="preserve"> Dissertation presented as the partial requirement for obtaining a Master's degree in Information Management, specialization in Information Systems Management</w:t>
      </w:r>
    </w:p>
    <w:p>
      <w:pPr/>
      <w:r>
        <w:rPr>
          <w:b/>
        </w:rPr>
        <w:t>POSSIBLE 2025:</w:t>
      </w:r>
      <w:r>
        <w:t xml:space="preserve"> The I Latin polar workshop : strengthening southern voices in polar research — https://openalex.org/W7112921515</w:t>
      </w:r>
    </w:p>
    <w:p>
      <w:pPr/>
      <w:r>
        <w:rPr>
          <w:b/>
        </w:rPr>
        <w:t>Shared claim-specific concepts:</w:t>
      </w:r>
      <w:r>
        <w:t xml:space="preserve"> article, workshop, countries; EU scope visible. This is a provisional connection, not an outcome finding.</w:t>
      </w:r>
    </w:p>
    <w:p>
      <w:pPr>
        <w:pStyle w:val="SourceNote"/>
      </w:pPr>
      <w:r>
        <w:rPr>
          <w:b/>
        </w:rPr>
        <w:t>Available abstract (not full text):</w:t>
      </w:r>
      <w:r>
        <w:t xml:space="preserve"> The I Latin Polar Workshop, held in Lisbon on October 1 and 2, 2025, represented an unprecedented initiative to strengthen collaboration between Latin American and Southern European countries in polar research and governance.Organized by Latin Polar Science in partnership with Portuguese and international institutions, the workshop provided a multidisciplinary forum to discuss scientific cooperation, policy dialogue, and the role of non-Arctic actors in polar affairs.This article offers a descriptive overview of the event's structure, themes, and outcomes, including a review of the poster session, which highlighted innovative research by experienced and early-career scholars.Finally, the event reflected the growing engagement of southern states in polar science and diplomacy.</w:t>
      </w:r>
    </w:p>
    <w:p>
      <w:pPr/>
      <w:r>
        <w:rPr>
          <w:b/>
        </w:rPr>
        <w:t>POSSIBLE 2025:</w:t>
      </w:r>
      <w:r>
        <w:t xml:space="preserve"> The future of education in sleep science and medicine in Europe: Report of an ESRS workshop — https://doi.org/10.1111/jsr.14454</w:t>
      </w:r>
    </w:p>
    <w:p>
      <w:pPr/>
      <w:r>
        <w:rPr>
          <w:b/>
        </w:rPr>
        <w:t>Shared claim-specific concepts:</w:t>
      </w:r>
      <w:r>
        <w:t xml:space="preserve"> workshop, part, information; EU scope visible. This is a provisional connection, not an outcome finding.</w:t>
      </w:r>
    </w:p>
    <w:p>
      <w:pPr>
        <w:pStyle w:val="SourceNote"/>
      </w:pPr>
      <w:r>
        <w:rPr>
          <w:b/>
        </w:rPr>
        <w:t>Available abstract (not full text):</w:t>
      </w:r>
      <w:r>
        <w:t xml:space="preserve"> The European Sleep Research Society (ESRS) is the leading voice for sleep medicine and research in Europe and includes in its mission the objective to promote and develop sleep education. As part of this objective, the Society established a Multidisciplinary Task Force on sleep education, which proposed a workshop on this topic to define the role of ESRS in the future of sleep education in Europe. This includes defining the domains of operation by the ESRS, its most important links and networks, and to recognise areas for development. A concrete goal was to make an action plan with suggestions for eventual Task Forces. Recommendations from the workshop include active collaboration with other Societies and University degree courses in sleep with the objective to position the ESRS as the central focus for sleep education in Europe. Predefined learning objectives and Entrustable Professional Activities were identified as key aspects of future direction. The ESRS Textbook in Sleep Medicine provides a valuable educational resource, and the next edition should expand on the traditional format to include digital material and an integrative platform. The workshop also identified the need to develop a more compact publication to inform non-sleep specialists, university students, and interested members of the public with basic information on sleep and sleep disorders.</w:t>
      </w:r>
    </w:p>
    <w:p>
      <w:pPr/>
      <w:r>
        <w:rPr>
          <w:b/>
        </w:rPr>
        <w:t>POSSIBLE 2025:</w:t>
      </w:r>
      <w:r>
        <w:t xml:space="preserve"> Process Automation with BPM and Emerging Technologies for Service and Industrial Process Optimization: Systematic Mapping — https://doi.org/10.5753/sbsi.2025.246014</w:t>
      </w:r>
    </w:p>
    <w:p>
      <w:pPr/>
      <w:r>
        <w:rPr>
          <w:b/>
        </w:rPr>
        <w:t>Shared claim-specific concepts:</w:t>
      </w:r>
      <w:r>
        <w:t xml:space="preserve"> article, bpm, conducted, information, systems; EU scope not established. This is a provisional connection, not an outcome finding.</w:t>
      </w:r>
    </w:p>
    <w:p>
      <w:pPr>
        <w:pStyle w:val="SourceNote"/>
      </w:pPr>
      <w:r>
        <w:rPr>
          <w:b/>
        </w:rPr>
        <w:t>Available abstract (not full text):</w:t>
      </w:r>
      <w:r>
        <w:t xml:space="preserve"> Context: The adoption of emerging technologies such as Artificial Intelligence (AI), Machine Learning (ML), Robotic Process Automation (RPA), and Process Mining (PM) is transforming business process management (BPM) and mainly its automation process, enhancing operational efficiency in services and industrial processes, and promoting innovation. Problem: The integration of emerging technologies with BPM faces organizational and technical challenges, including workforce adaptation, resistance to change and high costs, limiting its potential to increase efficiency and productivity. Solution: This article aims to investigate and analyze the approaches and structures that enable the integration of emerging technologies with BPM, addressing key questions of interest regarding their impact, implementation, and effectiveness in organizational settings. Information Systems Theory: This research was based on the aegis of the Diffusion of Innovations Theory, exploring how emerging technologies drive innovations in BPM, transforming organizational processes, accelerating automation and promoting operational efficiency and workforce reorganization. Method: We conducted a systematic mapping of studies published between 2019 and 2024, with a quantitative analysis of the selected studies. Summary of Results: The analysis highlighted AI, RPA, and Process Mining as the most cited technologies i</w:t>
      </w:r>
    </w:p>
    <w:p>
      <w:pPr/>
      <w:r>
        <w:rPr>
          <w:b/>
        </w:rPr>
        <w:t>POSSIBLE 2025:</w:t>
      </w:r>
      <w:r>
        <w:t xml:space="preserve"> AI implementation and organizational ambidexterity in the context of BPM: Polish service sector experience — https://doi.org/10.33119/jmfs.2024.52.4</w:t>
      </w:r>
    </w:p>
    <w:p>
      <w:pPr/>
      <w:r>
        <w:rPr>
          <w:b/>
        </w:rPr>
        <w:t>Shared claim-specific concepts:</w:t>
      </w:r>
      <w:r>
        <w:t xml:space="preserve"> bpm, conducted, information; EU scope visible. This is a provisional connection, not an outcome finding.</w:t>
      </w:r>
    </w:p>
    <w:p>
      <w:pPr>
        <w:pStyle w:val="SourceNote"/>
      </w:pPr>
      <w:r>
        <w:rPr>
          <w:b/>
        </w:rPr>
        <w:t>Available abstract (not full text):</w:t>
      </w:r>
      <w:r>
        <w:t xml:space="preserve"> The development of modern organizations is determined by the generation of a system state in which they will leverage the advancement of modern information and communication technologies (ICT). Artificial Intelligence (AI) stands out as a game changer in this regard. Concurrently, organizations striving for market dominance tend towards ambidexterity, i.e. balancing activities related to exploitation (genotypic operations) and the exploration of innovative areas generating added value. Therefore, a research challenge arises, aimed primarily at increasing the knowledge of ambidexterity and its various forms of achievement through the perspective on leveraging AI potential in the Business Process Management (BPM) context. This paper presents the results of a study conducted among 340 large and medium-sized service enterprises in Poland. The main objective of this research is to identify the characteristics of service enterprises associated with the maturity level of AI implementation, including examining the importance of the ambidexterity approach. The study indicates the potential of implementing the ambidexterity concept balancing exploitative and explorative BPM in association with the level of AI implementation. Research methods include literature review, survey, and statistical analyses (correlation analysis, classification tree). The enterprises surveyed varied greatly in </w:t>
      </w:r>
    </w:p>
    <w:p>
      <w:pPr/>
      <w:r>
        <w:rPr>
          <w:b/>
        </w:rPr>
        <w:t>POSSIBLE 2024:</w:t>
      </w:r>
      <w:r>
        <w:t xml:space="preserve"> Consensus report of the second European Consensus Workshop on Education in Periodontology — https://doi.org/10.1111/jcpe.13983</w:t>
      </w:r>
    </w:p>
    <w:p>
      <w:pPr/>
      <w:r>
        <w:rPr>
          <w:b/>
        </w:rPr>
        <w:t>Shared claim-specific concepts:</w:t>
      </w:r>
      <w:r>
        <w:t xml:space="preserve"> workshop, meeting, information; EU scope visible. This is a provisional connection, not an outcome finding.</w:t>
      </w:r>
    </w:p>
    <w:p>
      <w:pPr>
        <w:pStyle w:val="SourceNote"/>
      </w:pPr>
      <w:r>
        <w:rPr>
          <w:b/>
        </w:rPr>
        <w:t>Available abstract (not full text):</w:t>
      </w:r>
      <w:r>
        <w:t xml:space="preserve"> BACKGROUND: The second European Consensus Workshop on Education in Periodontology was commissioned, as a result of the changes in the discipline and the advances in educational methods/technology, to update the 2009 Consensus report of the first European Federation of Periodontology (EFP) Workshop on the same topic that was jointly authored by the Association for Dental Education in Europe. AIM: To identify and propose changes necessary in periodontal education at three levels, namely undergraduate, specialist and continuing professional development (CPD), with respect to learning outcomes, competencies and methods of learning/training and evaluation. METHODS: Four working groups (WGs) considered education in periodontology at the undergraduate, specialist and CPD levels, and education methods. Four commissioned position papers, one per WG, summarized the relevant information. Workshop participants gathered at an in-person consensus meeting to discuss the individual reviews, and this consensus report summarizes the conclusions. RESULTS: The learning outcomes for undergraduate and specialist education in periodontology have been updated, and a proposal for learning outcomes for CPD programmes was made. Learning/teaching/training and evaluation methods were proposed for each level of education, which included face-to-face, virtual and blended learning methods. CONCLUSION: Develop</w:t>
      </w:r>
    </w:p>
    <w:p>
      <w:pPr/>
      <w:r>
        <w:rPr>
          <w:b/>
        </w:rPr>
        <w:t>POSSIBLE 2023:</w:t>
      </w:r>
      <w:r>
        <w:t xml:space="preserve"> 10.M. Workshop: Community Health Practice and Research in Europe: Up front and centre! — https://doi.org/10.1093/eurpub/ckad160.674</w:t>
      </w:r>
    </w:p>
    <w:p>
      <w:pPr/>
      <w:r>
        <w:rPr>
          <w:b/>
        </w:rPr>
        <w:t>Shared claim-specific concepts:</w:t>
      </w:r>
      <w:r>
        <w:t xml:space="preserve"> workshop, researchers, countries, systems; EU scope visible. This is a provisional connection, not an outcome finding.</w:t>
      </w:r>
    </w:p>
    <w:p>
      <w:pPr>
        <w:pStyle w:val="SourceNote"/>
      </w:pPr>
      <w:r>
        <w:rPr>
          <w:b/>
        </w:rPr>
        <w:t>Available abstract (not full text):</w:t>
      </w:r>
      <w:r>
        <w:t xml:space="preserve"> Abstract Community Health (CH) is one of the most undervalued and poorly funded domains of action of health systems. Although evidence is strong on its contribution to population health, well-being and equity, national and regional health systems, and to some extent public health institutions, tend to pay little attention to its contribution. Community health encompasses the application of health promotion principles and strategies at the local level to improve equity and resilience of a community. It does so through three fundamental means: cross-sectoral collaborations, community involvement/engagement, and community health workers (CHW). It engages and works with communities in a culturally appropriate manner in order to implement effective strategies. In community health, capacity building is essential. The aim of this workshop is three-fold: 1) to generate a discussion among participants on the state of practice and research, 2) to reflect on strategies to strengthen and improve community health in Europe and, 3) to enhance the visibility of this domain within the ranks of the European Public Health Association (EUPHA). The workshop will provide a space for reflections and discussions. Each of our speakers, who are researchers from 5 different countries (Belgium, Czech Republic, Germany, Spain, and UK), will have 5 minutes to provide some elements of answers to the two fol</w:t>
      </w:r>
    </w:p>
    <w:p>
      <w:pPr/>
      <w:r>
        <w:rPr>
          <w:b/>
        </w:rPr>
        <w:t>POSSIBLE 2023:</w:t>
      </w:r>
      <w:r>
        <w:t xml:space="preserve"> Application of the BPM-Kraljic Model to Improve Supply Management in an Agroindustrial MSE — https://doi.org/10.46254/na07.20220457</w:t>
      </w:r>
    </w:p>
    <w:p>
      <w:pPr/>
      <w:r>
        <w:rPr>
          <w:b/>
        </w:rPr>
        <w:t>Shared claim-specific concepts:</w:t>
      </w:r>
      <w:r>
        <w:t xml:space="preserve"> article, bpm, information; EU scope not established. This is a provisional connection, not an outcome finding.</w:t>
      </w:r>
    </w:p>
    <w:p>
      <w:pPr>
        <w:pStyle w:val="SourceNote"/>
      </w:pPr>
      <w:r>
        <w:rPr>
          <w:b/>
        </w:rPr>
        <w:t>Available abstract (not full text):</w:t>
      </w:r>
      <w:r>
        <w:t xml:space="preserve"> Studies present insufficient information on working models within the purchasing area using the BPM tool for agroindustrial companies, especially in Latin America, which aim to improve performance and optimize the processes of an organization.For this reason, the need for this research arises.This scientific article presents a model to improve supply management.The BPM methodology was proposed to standardize internal processes and the Kraljic matrix, a tool used in purchasing management to classify materials and optimize purchase planning.The level of compliance within the purchasing area did not satisfy the established policies, reaching only 55.96% and generating a gap in the savings goal of approximately S/.500,000.This causes an imbalance at the administrative and operational level due to a lack of general standardization of the processes.This triggered problems at the macro level, such as lack of communication between areas, inefficient operations, and economic losses.The proposal that was carried out covers different areas, such as a harmonization within the administrative processes to reduce time variability and logistics focused on the efficient management of purchases and classification of materials.It was possible to prove the hypothesis; it is feasible to reach 85% of the target scope by restructuring the areas and generating strategies.The simulation could prove the</w:t>
      </w:r>
    </w:p>
    <w:p>
      <w:pPr>
        <w:pStyle w:val="Heading2"/>
      </w:pPr>
      <w:r>
        <w:t>997. Demographic projections of future pharmaceutical consumption in the Netherlands</w:t>
      </w:r>
    </w:p>
    <w:p>
      <w:pPr>
        <w:pStyle w:val="SourceNote"/>
      </w:pPr>
      <w:r>
        <w:rPr>
          <w:b/>
        </w:rPr>
        <w:t>Original source (2011):</w:t>
      </w:r>
      <w:r>
        <w:t xml:space="preserve"> https://doi.org/10.2166/wst.2011.120</w:t>
      </w:r>
    </w:p>
    <w:p>
      <w:pPr/>
      <w:r>
        <w:t>Original wording (abstract; indexed_source_text_not_full_document_verified): Over the next few decades, many Western European countries will undergo a large demographic transformation introduced by the retirement of the “baby boomers” and the possibility of striking increases in longevity.</w:t>
      </w:r>
    </w:p>
    <w:p>
      <w:pPr/>
      <w:r>
        <w:rPr>
          <w:b/>
        </w:rPr>
        <w:t>POSSIBLE 2025:</w:t>
      </w:r>
      <w:r>
        <w:t xml:space="preserve"> Modelling Eurasian lynx populations in Western Europe: What prospects for the next 50 years? — https://doi.org/10.24072/pcjournal.543</w:t>
      </w:r>
    </w:p>
    <w:p>
      <w:pPr/>
      <w:r>
        <w:rPr>
          <w:b/>
        </w:rPr>
        <w:t>Shared claim-specific concepts:</w:t>
      </w:r>
      <w:r>
        <w:t xml:space="preserve"> over, next, western, large; EU scope visible. This is a provisional connection, not an outcome finding.</w:t>
      </w:r>
    </w:p>
    <w:p>
      <w:pPr>
        <w:pStyle w:val="SourceNote"/>
      </w:pPr>
      <w:r>
        <w:rPr>
          <w:b/>
        </w:rPr>
        <w:t>Available abstract (not full text):</w:t>
      </w:r>
      <w:r>
        <w:t xml:space="preserve"> Persistence of populations may be uncertain for large carnivore species, especially for those established in human-dominated landscapes. Here, we studied the Eurasian lynx in Western Europe established in the Upper Rhine meta-population (i.e., Jura, Vosges-Palatinian and Black Forest populations) and the Alpine population. These populations are currently considered endangered or critically endangered due to high anthropogenic mortality, small population size and low genetic diversity, and isolation. We assessed lynx persistence over a 50-year time horizon by implementing a spatially-explicit individual-based model, while accounting for road mortality and habitat selection. Forecasts showed a steady growth rapidly reaching a more stable phase for the Alpine and Jura populations, and a more heterogeneous positive growth with less precision for the Vosges-Palatinian and Black Forest populations. Exchanges of individuals between populations were limited, the Jura population playing the role of a crossroad. Finally, the persistence of lynx in Western Europe seems likely on a large scale over the next 50 years. Indeed, simulations showed high female occupancy as well as average lynx density over the core areas of the four studied populations. Nevertheless, these results should be interpreted with the model limitations in mind, concerning the absence of movement barriers and inbreedin</w:t>
      </w:r>
    </w:p>
    <w:p>
      <w:pPr/>
      <w:r>
        <w:rPr>
          <w:b/>
        </w:rPr>
        <w:t>POSSIBLE 2024:</w:t>
      </w:r>
      <w:r>
        <w:t xml:space="preserve"> A sentinel watching over inter-tidal seagrass phenology across Western Europe and North Africa — https://doi.org/10.1038/s43247-024-01543-z</w:t>
      </w:r>
    </w:p>
    <w:p>
      <w:pPr/>
      <w:r>
        <w:rPr>
          <w:b/>
        </w:rPr>
        <w:t>Shared claim-specific concepts:</w:t>
      </w:r>
      <w:r>
        <w:t xml:space="preserve"> over, many, western; EU scope visible. This is a provisional connection, not an outcome finding.</w:t>
      </w:r>
    </w:p>
    <w:p>
      <w:pPr>
        <w:pStyle w:val="SourceNote"/>
      </w:pPr>
      <w:r>
        <w:rPr>
          <w:b/>
        </w:rPr>
        <w:t>Available abstract (not full text):</w:t>
      </w:r>
      <w:r>
        <w:t xml:space="preserve"> Abstract Seagrasses are marine flowering plants that form extensive meadows from the inter-tidal zone up to ~50 m depth. As biological and ecological Essential Biodiversity Variables, seagrass cover and composition provide a wide range of ecosystem services. Inter-tidal seagrass meadows provide services to many ecosystems, so monitoring their occurrence, extent, condition and diversity can be used to indicate the biodiversity and health of local ecosystems. Current global estimates of seagrass extent and recent reviews either do not mention inter-tidal seagrasses and their seasonal variation, or combine them with sub-tidal seagrasses. Here, using high-spatial and high-temporal resolution satellite data (Sentinel-2), we demonstrate a method for consistently mapping inter-tidal seagrass meadows and their phenology at a continental scale. We were able to highlight varying seasonal patterns that are observable across a 23° latitudinal range. Timings of peaks in seagrass extent varied by up to 5 months, rather than the previously assumed marginal to non-existent variation in peak timing. These results will aid management by providing high-resolution spatio-temporal monitoring data to better inform seagrass conservation and restoration. They also highlight the high level of seasonal variability in inter-tidal seagrass, meaning combination with sub-tidal seagrass for global assessment</w:t>
      </w:r>
    </w:p>
    <w:p>
      <w:pPr/>
      <w:r>
        <w:rPr>
          <w:b/>
        </w:rPr>
        <w:t>POSSIBLE 2024:</w:t>
      </w:r>
      <w:r>
        <w:t xml:space="preserve"> Climate Policy Priorities for the Next European Commission — https://openalex.org/W4392885355</w:t>
      </w:r>
    </w:p>
    <w:p>
      <w:pPr/>
      <w:r>
        <w:rPr>
          <w:b/>
        </w:rPr>
        <w:t>Shared claim-specific concepts:</w:t>
      </w:r>
      <w:r>
        <w:t xml:space="preserve"> over, next, large; EU scope visible. This is a provisional connection, not an outcome finding.</w:t>
      </w:r>
    </w:p>
    <w:p>
      <w:pPr>
        <w:pStyle w:val="SourceNote"/>
      </w:pPr>
      <w:r>
        <w:rPr>
          <w:b/>
        </w:rPr>
        <w:t>Available abstract (not full text):</w:t>
      </w:r>
      <w:r>
        <w:t xml:space="preserve"> From the earliest announcement of the European Green Deal, the current EU political cycle has been defined by an unprecedented acceleration in the scale and pace of climate policy. Under difficult conditions that sometimes tested the ability to engage stakeholders, including various external shocks, the EU has put forward and largely passed an unprecedented legislative agenda, which was meant to have, and is having, deep impacts on the EU economy and society at large. Much has changed in the world since the European Green Deal and the 'Fit for 55' packages were conceived, including a dramatic increase in industrial policy actions by Europe's trade partners, a deteriorating geopolitical landscape, and an energy crisis that has been aggravated by these factors, all of which has led to persistent fiscal and economic pressures. Given this reality, both the climate policy objectives and instruments pursued over the course of the last five years may need to be scrutinized in the coming political cycle, to ensure that they respond to evolving circumstances, concerns, and above all the reaction of European society to the political and economic consequences. Based on interviews and feedback from the members of a high-level Advisory Group as well as consultations with approximately 200 stakeholders from the public and private sectors, civil society, and research and academia convened in </w:t>
      </w:r>
    </w:p>
    <w:p>
      <w:pPr/>
      <w:r>
        <w:rPr>
          <w:b/>
        </w:rPr>
        <w:t>POSSIBLE 2024:</w:t>
      </w:r>
      <w:r>
        <w:t xml:space="preserve"> The Struggle over Law in Europe — https://doi.org/10.4324/9781003302094</w:t>
      </w:r>
    </w:p>
    <w:p>
      <w:pPr/>
      <w:r>
        <w:rPr>
          <w:b/>
        </w:rPr>
        <w:t>Shared claim-specific concepts:</w:t>
      </w:r>
      <w:r>
        <w:t xml:space="preserve"> over, next, introduced; EU scope visible. This is a provisional connection, not an outcome finding.</w:t>
      </w:r>
    </w:p>
    <w:p>
      <w:pPr>
        <w:pStyle w:val="SourceNote"/>
      </w:pPr>
      <w:r>
        <w:rPr>
          <w:b/>
        </w:rPr>
        <w:t>Available abstract (not full text):</w:t>
      </w:r>
      <w:r>
        <w:t xml:space="preserve"> This book examines the role of law in Europe at a time when economic policies have become dominant not only on this continent but globally. Can law be seen as a mere infrastructure? Or does it contribute to defining the social and legal order through its own inherent rules? If the second hypothesis is true, what might these rules be, and how may they be identified? Lastly, to what extent can agreeing a definition of the role of law affect the future of Europe? With the Next Generation European Union, the EU has introduced an unprecedented investment plan for economic recovery and resilience. In doing so, it has become the most important financial intermediary on the continent. But is this simply the prelude to a European economic and financial revival, or does it also aim to strengthen the European legal order in social, political, and constitutional terms? This book argues that the role of law in Europe should be to achieve a balanced relationship between freedom and solidarity; encouraging economic competition, but also social cohesion. Analyzing the role of law in the project of European integration, it maintains that law should be more than an infrastructure for finance and economics, showing how it can act as a guide and a binding force to achieve a more balanced relationship between economics, politics, and law. This book will be of interest to scholars in the fields of p</w:t>
      </w:r>
    </w:p>
    <w:p>
      <w:pPr/>
      <w:r>
        <w:rPr>
          <w:b/>
        </w:rPr>
        <w:t>POSSIBLE 2023:</w:t>
      </w:r>
      <w:r>
        <w:t xml:space="preserve"> Anticipated Developments in OTT Platforms Over the Next Few Years — https://doi.org/10.14445/22312803/ijctt-v71i5p112</w:t>
      </w:r>
    </w:p>
    <w:p>
      <w:pPr/>
      <w:r>
        <w:rPr>
          <w:b/>
        </w:rPr>
        <w:t>Shared claim-specific concepts:</w:t>
      </w:r>
      <w:r>
        <w:t xml:space="preserve"> over, next, few; EU scope not established. This is a provisional connection, not an outcome finding.</w:t>
      </w:r>
    </w:p>
    <w:p>
      <w:pPr>
        <w:pStyle w:val="SourceNote"/>
      </w:pPr>
      <w:r>
        <w:rPr>
          <w:b/>
        </w:rPr>
        <w:t>Available abstract (not full text):</w:t>
      </w:r>
      <w:r>
        <w:t xml:space="preserve"> The OTT platform industry is continuously evolving and advancing, and there are a number of anticipated developments expected over the next few years. The use of subscription-based models will continue to grow as it provides a reliable source of revenue for platforms and a predictable cost for consumers. Furthermore, the rise of ad-supported models is expected to gain traction as a way to increase accessibility to content and cater to those who cannot afford a subscription. The development of new technologies, such as virtual and augmented reality, will offer a new dimension to the viewing experience and may become a key differentiator for platforms. Additionally, advancements in streaming quality and device capabilities are expected to enhance the overall viewing experience and attract more consumers. This article aims to explore the anticipated advancements in OTT platforms, including the emergence of new players in the market, changes in content distribution and monetization strategies, the role of artificial intelligence and machine learning, and the impact of 5G technology. These developments will shape the future of the entertainment industry and have far-reaching implications for consumers, content creators, and distributors alike. Understanding these anticipated changes is crucial for anyone with a stake in the entertainment industry to stay ahead of the curve and remai</w:t>
      </w:r>
    </w:p>
    <w:p>
      <w:pPr/>
      <w:r>
        <w:rPr>
          <w:b/>
        </w:rPr>
        <w:t>POSSIBLE 2023:</w:t>
      </w:r>
      <w:r>
        <w:t xml:space="preserve"> Circulation dampened heat extremes intensification over the Midwest USA and amplified over Western Europe — https://doi.org/10.1038/s43247-023-01096-7</w:t>
      </w:r>
    </w:p>
    <w:p>
      <w:pPr/>
      <w:r>
        <w:rPr>
          <w:b/>
        </w:rPr>
        <w:t>Shared claim-specific concepts:</w:t>
      </w:r>
      <w:r>
        <w:t xml:space="preserve"> over, decades, western; EU scope visible. This is a provisional connection, not an outcome finding.</w:t>
      </w:r>
    </w:p>
    <w:p>
      <w:pPr>
        <w:pStyle w:val="SourceNote"/>
      </w:pPr>
      <w:r>
        <w:rPr>
          <w:b/>
        </w:rPr>
        <w:t>Available abstract (not full text):</w:t>
      </w:r>
      <w:r>
        <w:t xml:space="preserve"> Abstract Globally heat extremes have intensified in recent decades. However, while Western Europe shows a remarkably strong intensification of heat extremes, the Midwest United States experienced only weak warming of warmest nighttime and even a weak decrease in the intensity of daytime heat extremes since 1979. Here, we show that for daytime heat extremes in the Midwest United States atmospheric circulation induced ~1 °C cooling since 1979, reversing the thermodynamic warming trend. The observed circulation-induced trend is outside the multi-model range and the overall trend at the very low end of it. In Western Europe circulation greatly amplified warming by ~1 °C, accounting to one third of observed trend. The observed circulation- and thermodynamic-induced trends, as well as the total observed trends are at the high end of the model range in Western Europe. Understanding whether the strong circulation-induced trends are externally forced or unforced internal variability remains key to constrain future trends in heat extremes.</w:t>
      </w:r>
    </w:p>
    <w:p>
      <w:pPr/>
      <w:r>
        <w:rPr>
          <w:b/>
        </w:rPr>
        <w:t>POSSIBLE 2023:</w:t>
      </w:r>
      <w:r>
        <w:t xml:space="preserve"> Climate change on extreme winds already affects off-shore wind power availability in Europe — https://doi.org/10.1088/1748-9326/acbdb2</w:t>
      </w:r>
    </w:p>
    <w:p>
      <w:pPr/>
      <w:r>
        <w:rPr>
          <w:b/>
        </w:rPr>
        <w:t>Shared claim-specific concepts:</w:t>
      </w:r>
      <w:r>
        <w:t xml:space="preserve"> over, next, few, decades; EU scope visible. This is a provisional connection, not an outcome finding.</w:t>
      </w:r>
    </w:p>
    <w:p>
      <w:pPr>
        <w:pStyle w:val="SourceNote"/>
      </w:pPr>
      <w:r>
        <w:rPr>
          <w:b/>
        </w:rPr>
        <w:t>Available abstract (not full text):</w:t>
      </w:r>
      <w:r>
        <w:t xml:space="preserve"> Abstract Off-shore wind energy in Europe plays a key role in the transition to renewable energy, and its usage is expected to increase in the next few decades. According to the working regimes of a wind turbine, wind energy production can be disrupted by extreme atmospheric events related to low wind speed below the cut-in wind speed and high wind speed above the cut-out wind speed. The purpose of this work is to estimate the behavior of extreme winds on the European panorama, over the period 1950–2020, in order to investigate the large-scale weather regimes related to them and their impact on off-shore wind energy availability. We detected significant changes in the frequency of high and low extreme wind events, proving that climate change or long-term internal climate variability have already affected the off-shore wind power output. Moreover, the analysis of weather regimes showed that high and low extreme wind events can occur simultaneously over Europe. Our results suggest the necessity to implement efficient European energy management policies, to minimize the deficit in wind power supply.</w:t>
      </w:r>
    </w:p>
    <w:p>
      <w:pPr/>
      <w:r>
        <w:rPr>
          <w:b/>
        </w:rPr>
        <w:t>POSSIBLE 2023:</w:t>
      </w:r>
      <w:r>
        <w:t xml:space="preserve"> Market Scene of China’s Cultured Meat Market Over the Next Five Years — https://doi.org/10.54691/bcpbm.v38i.4189</w:t>
      </w:r>
    </w:p>
    <w:p>
      <w:pPr/>
      <w:r>
        <w:rPr>
          <w:b/>
        </w:rPr>
        <w:t>Shared claim-specific concepts:</w:t>
      </w:r>
      <w:r>
        <w:t xml:space="preserve"> over, next, few, many, countries; EU scope visible. This is a provisional connection, not an outcome finding.</w:t>
      </w:r>
    </w:p>
    <w:p>
      <w:pPr>
        <w:pStyle w:val="SourceNote"/>
      </w:pPr>
      <w:r>
        <w:rPr>
          <w:b/>
        </w:rPr>
        <w:t>Available abstract (not full text):</w:t>
      </w:r>
      <w:r>
        <w:t xml:space="preserve"> In recent years, cultured meat has blown a craze all over the world and has become popular in many European and American countries. China is also vigorously developing the cultured meat industry and has also achieved initial results. The goal of this research was to look at the Chinese cultured meat business over the next few years. To figure out the Chinese cultured meat market, this paper mainly applied the marketing mix theory and SWOT analysis tool to comprehensively analyze the internal and external factors of cultured meat from the perspective of consumers. This research concluded that the future development of cultured meat in China is still objective, but a lot of promotion needed to be done in the induction stage of the cultured meat product life cycle to improve the acceptance of consumers. More importantly, let the cultured meat technology mature as soon as possible since this is the main factor affecting the acceptance of consumers.</w:t>
      </w:r>
    </w:p>
    <w:p>
      <w:pPr/>
      <w:r>
        <w:rPr>
          <w:b/>
        </w:rPr>
        <w:t>POSSIBLE 2022:</w:t>
      </w:r>
      <w:r>
        <w:t xml:space="preserve"> Changes in temperature–precipitation correlations over Europe: are climate models reliable? — https://doi.org/10.1007/s00382-022-06436-5</w:t>
      </w:r>
    </w:p>
    <w:p>
      <w:pPr/>
      <w:r>
        <w:rPr>
          <w:b/>
        </w:rPr>
        <w:t>Shared claim-specific concepts:</w:t>
      </w:r>
      <w:r>
        <w:t xml:space="preserve"> over, next, large; EU scope visible. This is a provisional connection, not an outcome finding.</w:t>
      </w:r>
    </w:p>
    <w:p>
      <w:pPr>
        <w:pStyle w:val="SourceNote"/>
      </w:pPr>
      <w:r>
        <w:rPr>
          <w:b/>
        </w:rPr>
        <w:t>Available abstract (not full text):</w:t>
      </w:r>
      <w:r>
        <w:t xml:space="preserve"> Abstract Inter-variable correlations (e.g., between daily temperature and precipitation) are key statistical properties to characterise probabilities of simultaneous climate events and compound events. Their correct simulations from climate models, both in values and in changes over time, is then a prerequisite to investigate their future changes and associated impacts. Therefore, this study first evaluates the capabilities of one 11-single run multi-model ensemble (CMIP6) and one 40-member single model initial-condition large ensemble (CESM) over Europe to reproduce the characteristics of a reanalysis dataset (ERA5) in terms of temperature–precipitation correlations and their historical changes. Next, the ensembles’ correlations for the end of the 21st century are compared. Over the historical period, both CMIP6 and CESM ensembles have season-dependent and spatially structured biases. Moreover, the inter-variable correlations from both ensembles mostly appear stationary. Thus, although reanalysis displays significant correlation changes, none of the ensembles can reproduce them, with internal variability representing only 30% on the inter-model variability. However, future correlations show significant changes over large spatial patterns. Yet, those patterns are rather different for CMIP6 and CESM, reflecting a large uncertainty in changes. In addition, for historical and futu</w:t>
      </w:r>
    </w:p>
    <w:p>
      <w:pPr/>
      <w:r>
        <w:rPr>
          <w:b/>
        </w:rPr>
        <w:t>POSSIBLE 2021:</w:t>
      </w:r>
      <w:r>
        <w:t xml:space="preserve"> Compound precipitation and wind extremes over Europe and their relationship to extratropical cyclones — https://doi.org/10.1016/j.wace.2021.100342</w:t>
      </w:r>
    </w:p>
    <w:p>
      <w:pPr/>
      <w:r>
        <w:rPr>
          <w:b/>
        </w:rPr>
        <w:t>Shared claim-specific concepts:</w:t>
      </w:r>
      <w:r>
        <w:t xml:space="preserve"> over, few, many, western, large, increases; EU scope visible. This is a provisional connection, not an outcome finding.</w:t>
      </w:r>
    </w:p>
    <w:p>
      <w:pPr>
        <w:pStyle w:val="SourceNote"/>
      </w:pPr>
      <w:r>
        <w:rPr>
          <w:b/>
        </w:rPr>
        <w:t>Available abstract (not full text):</w:t>
      </w:r>
      <w:r>
        <w:t xml:space="preserve"> Extratropical cyclones and their associated extreme precipitation and winds can have a severe impact on society and the co-occurrence between the two extremes is important when assessing risk. In this study the extremal dependency measure, χ, is used to quantify the co-occurrence of extreme precipitation and wind gusts, and is investigated at individual grid points and spatially over Europe. Results using three observational datasets and a higher spatial and temporal resolution version of ERA5 than previously used confirm previous studies. Over Europe high co-occurrence is found over western coasts and low co-occurrence is found over eastern coasts. All datasets have qualitatively similar spatial patterns over most regions of Europe excluding some regions of high topography where ERA5 χ values are much larger. ERA5 represents the timings of daily extreme co-occurring events well, compared to observations. The differences in precipitation accumulation timescales are also accounted for by considering hourly, 6, 24 and 48 hourly co-occurrence. In a few regions co-occurrence changes with longer accumulations, indicating the different speeds and sizes of weather systems affecting these regions. χ in most regions has little increase by allowing a 24 h lag and lead between the precipitation and wind, with a few exceptions where χ is increased by up to 24%. Regions with the larger of t</w:t>
      </w:r>
    </w:p>
    <w:p>
      <w:pPr/>
      <w:r>
        <w:rPr>
          <w:b/>
        </w:rPr>
        <w:t>POSSIBLE 2021:</w:t>
      </w:r>
      <w:r>
        <w:t xml:space="preserve"> Modelling Eurasian lynx populations in Western Europe: What prospects for the next 50 years? — https://doi.org/10.1101/2021.10.22.465393</w:t>
      </w:r>
    </w:p>
    <w:p>
      <w:pPr/>
      <w:r>
        <w:rPr>
          <w:b/>
        </w:rPr>
        <w:t>Shared claim-specific concepts:</w:t>
      </w:r>
      <w:r>
        <w:t xml:space="preserve"> over, next, western, large; EU scope visible. This is a provisional connection, not an outcome finding.</w:t>
      </w:r>
    </w:p>
    <w:p>
      <w:pPr>
        <w:pStyle w:val="SourceNote"/>
      </w:pPr>
      <w:r>
        <w:rPr>
          <w:b/>
        </w:rPr>
        <w:t>Available abstract (not full text):</w:t>
      </w:r>
      <w:r>
        <w:t xml:space="preserve"> Abstract Persistence of populations may be uncertain for large carnivore species, especially for those established in human-dominated landscapes. Here, we studied the Eurasian lynx in Western Europe established in the Upper Rhine meta-population (i.e., Jura, Vosges-Palatinian and Black Forest populations) and the Alpine population. These populations are currently considered endangered or critically endangered due to high anthropogenic mortality, small population size and low genetic diversity, and isolation. We assessed lynx persistence over a 50-year time horizon by implementing a spatially-explicit individual-based model, while accounting for road mortality and habitat selection. Forecasts showed a steady growth rapidly reaching a more stable phase for the Alpine and Jura populations, and a more heterogeneous positive growth with less precision for the Vosges-Palatinian and Black Forest populations. Exchanges of individuals between populations were limited, the Jura population playing the role of a crossroad. Finally, the persistence of lynx in Western Europe seems likely on a large scale over the next 50 years. Indeed, simulations showed high female occupancy as well as average lynx density over the core areas of the four studied populations. Nevertheless, these results should be interpreted with the model limitations in mind, concerning the absence of movement barriers and </w:t>
      </w:r>
    </w:p>
    <w:p>
      <w:pPr/>
      <w:r>
        <w:rPr>
          <w:b/>
        </w:rPr>
        <w:t>POSSIBLE 2021:</w:t>
      </w:r>
      <w:r>
        <w:t xml:space="preserve"> Extreme wind projections over Europe from the Euro-CORDEX regional climate models — https://doi.org/10.1016/j.wace.2021.100363</w:t>
      </w:r>
    </w:p>
    <w:p>
      <w:pPr/>
      <w:r>
        <w:rPr>
          <w:b/>
        </w:rPr>
        <w:t>Shared claim-specific concepts:</w:t>
      </w:r>
      <w:r>
        <w:t xml:space="preserve"> over, many, increases; EU scope visible. This is a provisional connection, not an outcome finding.</w:t>
      </w:r>
    </w:p>
    <w:p>
      <w:pPr>
        <w:pStyle w:val="SourceNote"/>
      </w:pPr>
      <w:r>
        <w:rPr>
          <w:b/>
        </w:rPr>
        <w:t>Available abstract (not full text):</w:t>
      </w:r>
      <w:r>
        <w:t xml:space="preserve"> Extreme weather events represent one of the most visible and immediate hazards to society. Many of these types of phenomena are projected to increase in intensity, duration or frequency as the climate warms. Of these extreme winds are among the most damaging historically over Europe yet assessments of their future changes remain fraught with uncertainty. This uncertainty arises due to both the rare nature of extreme wind events and the fact that most model are unable to faithfully represent them. Here we take advantage of a 15 member ensemble of high resolution Euro-CORDEX simulations (∼12 km) and investigate projected changes in extreme winds using a peaks-over-threshold approach. Additionally we show that – despite lingering model deficiencies and inadequate observational coverage – there is clear added value of the higher resolution simulations over coarser resolution counterparts. Further, the spatial heterogeneity and highly localised nature is well captured. Effects such as orographic interactions, drag due to urban areas, and even individual storm tracks over the oceans are clearly visible. As such future changes also exhibit strong spatial heterogeneity. These results emphasise the need for careful case-by-case treatment of extreme wind analysis, especially when done in a climate adaptation or decision making context. However, for more general assessments the picture is</w:t>
      </w:r>
    </w:p>
    <w:p>
      <w:pPr>
        <w:pStyle w:val="Heading2"/>
      </w:pPr>
      <w:r>
        <w:t>998. Developments in Energy use for Transport in 27 European Union Countries through 2030</w:t>
      </w:r>
    </w:p>
    <w:p>
      <w:pPr>
        <w:pStyle w:val="SourceNote"/>
      </w:pPr>
      <w:r>
        <w:rPr>
          <w:b/>
        </w:rPr>
        <w:t>Original source (2011):</w:t>
      </w:r>
      <w:r>
        <w:t xml:space="preserve"> https://doi.org/10.3141/2252-05</w:t>
      </w:r>
    </w:p>
    <w:p>
      <w:pPr/>
      <w:r>
        <w:t>Original wording (abstract; indexed_source_text_not_full_document_verified): As a consequence, GHG emissions by transport will decline 12% by 2030 compared with 2005; in the reference scenario in the same period, emissions are expected to grow 17%. The model suite applied in iTREN-2030 comprises POLES (prospective outlook on long-term energy systems), a simulation model for development of long-term (2050) energy supply-and-demand scenarios; TREMOVE; ASTRA (assesment of transport strategies); and TRANS-TOOLS.</w:t>
      </w:r>
    </w:p>
    <w:p>
      <w:pPr/>
      <w:r>
        <w:rPr>
          <w:b/>
        </w:rPr>
        <w:t>POSSIBLE 2026:</w:t>
      </w:r>
      <w:r>
        <w:t xml:space="preserve"> Forecast reconciliation of agricultural GHG emissions in Europe with fuzzy clustering — https://doi.org/10.1007/s10479-026-07363-y</w:t>
      </w:r>
    </w:p>
    <w:p>
      <w:pPr/>
      <w:r>
        <w:rPr>
          <w:b/>
        </w:rPr>
        <w:t>Shared claim-specific concepts:</w:t>
      </w:r>
      <w:r>
        <w:t xml:space="preserve"> ghg, emissions, compared; EU scope visible. This is a provisional connection, not an outcome finding.</w:t>
      </w:r>
    </w:p>
    <w:p>
      <w:pPr>
        <w:pStyle w:val="SourceNote"/>
      </w:pPr>
      <w:r>
        <w:rPr>
          <w:b/>
        </w:rPr>
        <w:t>Available abstract (not full text):</w:t>
      </w:r>
      <w:r>
        <w:t xml:space="preserve"> Abstract We propose a novel statistical procedure which combines forecasting reconciliation techniques and unsupervised clustering algorithms to forecast annual greenhouse gases emissions at the territorial level. Specifically, we aim at predicting future emissions from the agricultural sector for Europe by aggregating bottom-level regional forecasts to the national and continental levels. Fuzzy clustering is used to define aggregations of bottom and middle-level series into clusters based on the similarity of emissions patterns; then, the fuzzy hierarchies are combined with the original administrative aggregation structure to improve the prediction accuracy of forecasting models. Empirical results show that fuzzy clustering aggregation, by leveraging uncertainty compared to crisp approaches, enhances forecast reconciliation accuracy at all levels of the hierarchy. Our approach offers a scalable solution to enhance forecast accuracy and reliability, particularly for short time series characterized by complex hierarchical structures.</w:t>
      </w:r>
    </w:p>
    <w:p>
      <w:pPr/>
      <w:r>
        <w:rPr>
          <w:b/>
        </w:rPr>
        <w:t>POSSIBLE 2026:</w:t>
      </w:r>
      <w:r>
        <w:t xml:space="preserve"> Global value chains and the redistribution of GHG emissions: The case of Czechia — https://doi.org/10.1016/j.rspp.2026.100338</w:t>
      </w:r>
    </w:p>
    <w:p>
      <w:pPr/>
      <w:r>
        <w:rPr>
          <w:b/>
        </w:rPr>
        <w:t>Shared claim-specific concepts:</w:t>
      </w:r>
      <w:r>
        <w:t xml:space="preserve"> consequence, ghg, emissions, systems; EU scope visible. This is a provisional connection, not an outcome finding.</w:t>
      </w:r>
    </w:p>
    <w:p>
      <w:pPr>
        <w:pStyle w:val="SourceNote"/>
      </w:pPr>
      <w:r>
        <w:rPr>
          <w:b/>
        </w:rPr>
        <w:t>Available abstract (not full text):</w:t>
      </w:r>
      <w:r>
        <w:t xml:space="preserve"> This paper examines how deep integration into global value chains (GVCs) reshapes the distribution of greenhouse gas (GHG) emissions in Czechia. It shows that the main environmental consequence of GVC integration is not simply the scale of emissions, but their redistribution across domestic production, foreign upstream supply chains, and final demand. Drawing on OECD GHG Footprints and TiVA data for 1995–2020, the paper analyses the geography of embodied emissions and links it to Czechia’s dependence on foreign inputs and external demand. The results indicate that Czechia remains a relatively emissions-intensive production base, while a growing share of the carbon footprint associated with its final demand is displaced into foreign upstream production and Czech-origin emissions continue to be transmitted into external markets through export-oriented manufacturing and related services. This pattern reflects high backward linkages, reliance on imported intermediates, and the central role of trade in intermediates. The automotive industry makes these dynamics particularly visible: while external integration underpins export competitiveness, the transition to electromobility reconfigures environmental pressures towards electricity, raw materials, battery production, and supplier networks within foreign-led production systems. The paper argues that, in manufacturing-oriented CEE (Ce</w:t>
      </w:r>
    </w:p>
    <w:p>
      <w:pPr/>
      <w:r>
        <w:rPr>
          <w:b/>
        </w:rPr>
        <w:t>POSSIBLE 2026:</w:t>
      </w:r>
      <w:r>
        <w:t xml:space="preserve"> GHG emissions of all world countries — https://doi.org/10.2760/7717504</w:t>
      </w:r>
    </w:p>
    <w:p>
      <w:pPr/>
      <w:r>
        <w:rPr>
          <w:b/>
        </w:rPr>
        <w:t>Shared claim-specific concepts:</w:t>
      </w:r>
      <w:r>
        <w:t xml:space="preserve"> ghg, emissions, compared; EU scope not established. This is a provisional connection, not an outcome finding.</w:t>
      </w:r>
    </w:p>
    <w:p>
      <w:pPr>
        <w:pStyle w:val="SourceNote"/>
      </w:pPr>
      <w:r>
        <w:rPr>
          <w:b/>
        </w:rPr>
        <w:t>Available abstract (not full text):</w:t>
      </w:r>
      <w:r>
        <w:t xml:space="preserve"> The Emissions Database for Global Atmospheric Research (EDGAR) provides greenhouse gas (GHG) emissions time series for all countries and for all anthropogenic sectors from 1970 until 2025, including emissions and removals from land use and forestry – LULUCF (from 1990 to 2025). The edition of this year shows that global GHG emissions reached 54.1 Gt CO2eq in 2025, increasing by 0.7% compared to 2024 (or 55.0 Gt CO2eq including LULUCF, +0.9%). The report contributes to the Paris Agreement process with an independent quantitative overview of global GHG emissions, based on the IEA-EDGAR CO2, EDGAR CH4, EDGAR N2O and EDGAR F-gases version EDGAR_2026_GHG (2026).</w:t>
      </w:r>
    </w:p>
    <w:p>
      <w:pPr/>
      <w:r>
        <w:rPr>
          <w:b/>
        </w:rPr>
        <w:t>POSSIBLE 2025:</w:t>
      </w:r>
      <w:r>
        <w:t xml:space="preserve"> Crayfish and Climate: how invasive species amplify aquatic GHG emissions — https://doi.org/10.5194/egusphere-egu25-6790</w:t>
      </w:r>
    </w:p>
    <w:p>
      <w:pPr/>
      <w:r>
        <w:rPr>
          <w:b/>
        </w:rPr>
        <w:t>Shared claim-specific concepts:</w:t>
      </w:r>
      <w:r>
        <w:t xml:space="preserve"> ghg, emissions, decline, compared, systems; EU scope visible. This is a provisional connection, not an outcome finding.</w:t>
      </w:r>
    </w:p>
    <w:p>
      <w:pPr>
        <w:pStyle w:val="SourceNote"/>
      </w:pPr>
      <w:r>
        <w:rPr>
          <w:b/>
        </w:rPr>
        <w:t>Available abstract (not full text):</w:t>
      </w:r>
      <w:r>
        <w:t xml:space="preserve"> Since their introduction to European waters in the 1970s, the invasive red swamp crayfish Procambarus clarkii has rapidly expanded due to traits such as rapid reproduction, high environmental tolerance, and opportunistic feeding. P. clarkii can significantly transform freshwater ecosystems, causing extensive reduction in plant coverage, predation on amphibians and other macroinvertebrates, and a decline in native crayfish species populations. In many systems, the expansion of P. clarkii has lead to a dramatic reduction in plant coverage at specific sites. While numerous studies have explored how climate change influences the spread of invasive species, little is known about the reverse relationship: how invasive species contribute to climate change.As a country with an extensive network of freshwater ecosystems, the Netherlands provides an excellent opportunity to study the effect of invasive species on aquatic GHG emissions. More than half of the Dutch territory has already been invaded by crayfish, with detrimental effects on submerged plants. Additionally, ditches serve as significant hotspots for GHG emissions, with estimates suggesting they are responsible for approximately 10–16% of the Dutch national annual CH4 emissions. These estimates are largely based on measurements in ditches dominated by submerged plants, which have been shown to mitigate CH₄ emissions through mec</w:t>
      </w:r>
    </w:p>
    <w:p>
      <w:pPr/>
      <w:r>
        <w:rPr>
          <w:b/>
        </w:rPr>
        <w:t>POSSIBLE 2025:</w:t>
      </w:r>
      <w:r>
        <w:t xml:space="preserve"> Green Mobility for Small-Medium Size Ports: A GHG Emissions Web Calculator — https://doi.org/10.1007/978-3-031-89444-2_69</w:t>
      </w:r>
    </w:p>
    <w:p>
      <w:pPr/>
      <w:r>
        <w:rPr>
          <w:b/>
        </w:rPr>
        <w:t>Shared claim-specific concepts:</w:t>
      </w:r>
      <w:r>
        <w:t xml:space="preserve"> ghg, emissions, transport, energy; EU scope visible. This is a provisional connection, not an outcome finding.</w:t>
      </w:r>
    </w:p>
    <w:p>
      <w:pPr>
        <w:pStyle w:val="SourceNote"/>
      </w:pPr>
      <w:r>
        <w:rPr>
          <w:b/>
        </w:rPr>
        <w:t>Available abstract (not full text):</w:t>
      </w:r>
      <w:r>
        <w:t xml:space="preserve"> Abstract Small and medium-sized ports are important hubs in logistics chains and support 90% of the world’s seaborne trade. It is therefore crucial to achieve the decarbonization targets set by the European Union through the European Green Deal, as well as other EU transport policy objectives. The main objective of this work is to develop a web calculator of greenhouse gas (GHG) emissions related with the different transport modes to/from/in the ports of Aveiro and Figueira da Foz, located in the Centre region of Portugal. The calculator will follow the EMEP/EEA emissions calculation methodology, which is based on the energy consumption of transport and relates it to vehicle and fuel emission factors, thus providing reliable values for the GHG emissions released by vehicles during port operations. The calculator will be integrated into the website of the Port Administrations of these ports to be easily accessible to different types of users and to raise awareness of the consequences of the logistics and operational processes that take place in these ports.</w:t>
      </w:r>
    </w:p>
    <w:p>
      <w:pPr/>
      <w:r>
        <w:rPr>
          <w:b/>
        </w:rPr>
        <w:t>POSSIBLE 2025:</w:t>
      </w:r>
      <w:r>
        <w:t xml:space="preserve"> Comparing GHG Emissions of Residue‐Based BECCS to Alternative Biomass Uses — https://doi.org/10.1111/gcbb.70089</w:t>
      </w:r>
    </w:p>
    <w:p>
      <w:pPr/>
      <w:r>
        <w:rPr>
          <w:b/>
        </w:rPr>
        <w:t>Shared claim-specific concepts:</w:t>
      </w:r>
      <w:r>
        <w:t xml:space="preserve"> ghg, emissions, compared, energy; EU scope visible. This is a provisional connection, not an outcome finding.</w:t>
      </w:r>
    </w:p>
    <w:p>
      <w:pPr>
        <w:pStyle w:val="SourceNote"/>
      </w:pPr>
      <w:r>
        <w:rPr>
          <w:b/>
        </w:rPr>
        <w:t>Available abstract (not full text):</w:t>
      </w:r>
      <w:r>
        <w:t xml:space="preserve"> ABSTRACT Bioenergy with carbon capture and storage (BECCS) holds promise for achieving negative greenhouse gas (GHG) emissions while generating electricity. When using forestry or agricultural residues as feedstock, BECCS may also avoid or reduce land‐use based impacts compared to dedicated energy crops. It is, however, unclear how negative emissions from residue‐based BECCS compare to alternative uses (bioenergy with no CCS, 2G ethanol, paper and boards, animal feed and decomposition) and how quickly BECCS can achieve climate benefits compared to these other uses. In this study, we used life‐cycle assessment (LCA) to quantify supply chain emissions of BECCS for two power plants in the Netherlands, using residue‐based wood pellets from Louisiana, USA, and sugarcane bagasse pellets from Louisiana and São Paulo, Brazil, as feedstock. Using an attributional LCA approach, we showed that the two BECCS plants combined use 7.5 Mt of biomass dry per year. This system generates between 10.3 and 11.1 TWh of electricity and provides 11.0 and 11.3 Mt CO 2 ‐eq. of negative emissions annually, for wood or bagasse, respectively. This results in a footprint of −0.63 (wood) and −0.65 (bagasse) t CO 2 ‐eq./t wet biomass . Following a consequential approach, we contrasted the GHG emissions per tonne of biomass residue used for BECCS with those associated with alternative uses, accounting for the </w:t>
      </w:r>
    </w:p>
    <w:p>
      <w:pPr/>
      <w:r>
        <w:rPr>
          <w:b/>
        </w:rPr>
        <w:t>POSSIBLE 2024:</w:t>
      </w:r>
      <w:r>
        <w:t xml:space="preserve"> A Methodology to Evaluate GHG Emissions for Large Sports Events — https://doi.org/10.3390/su16041504</w:t>
      </w:r>
    </w:p>
    <w:p>
      <w:pPr/>
      <w:r>
        <w:rPr>
          <w:b/>
        </w:rPr>
        <w:t>Shared claim-specific concepts:</w:t>
      </w:r>
      <w:r>
        <w:t xml:space="preserve"> ghg, emissions, reference, energy; EU scope not established. This is a provisional connection, not an outcome finding.</w:t>
      </w:r>
    </w:p>
    <w:p>
      <w:pPr>
        <w:pStyle w:val="SourceNote"/>
      </w:pPr>
      <w:r>
        <w:rPr>
          <w:b/>
        </w:rPr>
        <w:t>Available abstract (not full text):</w:t>
      </w:r>
      <w:r>
        <w:t xml:space="preserve"> Determining whether a large sports event is sustainable or not is one of the main objectives of the sports industry in the coming years. Indeed, there are several sources of greenhouse gas (GHG) emissions within a sports event that are not directly controlled by the sports companies but are linked to the event itself. The literature does not offer a standardized methodology for calculating the CO2 emissions of sports events, and consequently, there are different approaches. The objective of this article is to provide an updated state-of-the-art on the topic and to propose an innovative methodology for the calculation of Greenhouse Gas emission of a large sport event. The methodology entails the analysis of purchased goods and services, fuel and energy consumption, waste generation, business travel, and the impact of accommodations. Within the analysis, tools are provided to calculate carbon emissions for each category based on easily understandable data and utilizing reference conversion factors. The research presented in this paper may be useful for professionals in the sector in identifying a comprehensive methodology to quantify greenhouse gas (GHG) emissions for a large sports event.</w:t>
      </w:r>
    </w:p>
    <w:p>
      <w:pPr/>
      <w:r>
        <w:rPr>
          <w:b/>
        </w:rPr>
        <w:t>POSSIBLE 2023:</w:t>
      </w:r>
      <w:r>
        <w:t xml:space="preserve"> GHG emissions of semiconductor manufacturing in 2021 — https://openalex.org/W4386614028</w:t>
      </w:r>
    </w:p>
    <w:p>
      <w:pPr/>
      <w:r>
        <w:rPr>
          <w:b/>
        </w:rPr>
        <w:t>Shared claim-specific concepts:</w:t>
      </w:r>
      <w:r>
        <w:t xml:space="preserve"> ghg, emissions, energy, systems; EU scope not established. This is a provisional connection, not an outcome finding.</w:t>
      </w:r>
    </w:p>
    <w:p>
      <w:pPr>
        <w:pStyle w:val="SourceNote"/>
      </w:pPr>
      <w:r>
        <w:rPr>
          <w:b/>
        </w:rPr>
        <w:t>Available abstract (not full text):</w:t>
      </w:r>
      <w:r>
        <w:t xml:space="preserve"> The greenhouse gas (GHG) emissions of semiconductor manufacturing represent an important share of the embodied carbon footprint of electronics systems. Manufacturing emissions are disclosed in the sustainability reports of semiconductor companies. This paper proposes a study of global semiconductor manufacturing carbon emissions, focusing on Scope 1 (direct emissions) and Scope 2 (emissions induced by consuming energy). The fifteen companies on the semiconductor market with highest 2021 revenues are considered, as well as the four main merchant foundries, over the years 2020 and 2021. As a large scale evaluation of carbon impacts, the resulting numbers compile heterogeneous figures and require a comprehensive discussion on the strengths and limitations of the evaluation. Most of the efforts on this paper are thus allocated to this discussion. The 2021 carbon emissions for the semiconductor industry worldwide are estimated at 76.5M tons of CO2 equivalent, breaking down into 30.6M tons CO2e of Scope 1 emissions (direct emissions), and 45.9M tons CO2e of scope 2 emissions (emissions induced by the energy consumption of manufacturing). These numbers do not include the Scope 3 impacts, neither downwards (usage of the products) nor upwards (constructing fabrication facilities, building fabrication machines, extracting raw materials, smelting and refining materials). Between 2020 and </w:t>
      </w:r>
    </w:p>
    <w:p>
      <w:pPr/>
      <w:r>
        <w:rPr>
          <w:b/>
        </w:rPr>
        <w:t>POSSIBLE 2023:</w:t>
      </w:r>
      <w:r>
        <w:t xml:space="preserve"> The drivers of GHG emissions: A novel approach to estimate emissions using nonparametric analysis — https://doi.org/10.1016/j.gr.2023.10.004</w:t>
      </w:r>
    </w:p>
    <w:p>
      <w:pPr/>
      <w:r>
        <w:rPr>
          <w:b/>
        </w:rPr>
        <w:t>Shared claim-specific concepts:</w:t>
      </w:r>
      <w:r>
        <w:t xml:space="preserve"> ghg, emissions, period; EU scope not established. This is a provisional connection, not an outcome finding.</w:t>
      </w:r>
    </w:p>
    <w:p>
      <w:pPr>
        <w:pStyle w:val="SourceNote"/>
      </w:pPr>
      <w:r>
        <w:rPr>
          <w:b/>
        </w:rPr>
        <w:t>Available abstract (not full text):</w:t>
      </w:r>
      <w:r>
        <w:t xml:space="preserve"> The rising levels of global GHG emissions underpin climate change, hence, taking an appropriate inventory of the drivers and patterns of anthropogenic emissions remains crucial to mitigating global climate effects. However, there are conflicting views in the literature on the relationship between respective drivers and GHG emissions due to the lack of robust analysis that accommodates the interaction of all significant drivers. We use novel estimation techniques to decipher the 26-year inventory of GHG occurrences and simultaneous assessment of interactions in 50 countries stratified based on socioeconomic developments over the period 1990-2018. This study highlights different drivers of GHG emissions under broader categories such as population, economic development, forest density, and agricultural practices. Non-parametric estimations roughly confirm the magnitude of the influence of forests, agriculture, and land-use intensity on GHG emissions, ultimately tracking the most significant emission sinks.</w:t>
      </w:r>
    </w:p>
    <w:p>
      <w:pPr/>
      <w:r>
        <w:rPr>
          <w:b/>
        </w:rPr>
        <w:t>POSSIBLE 2023:</w:t>
      </w:r>
      <w:r>
        <w:t xml:space="preserve"> Quantifying Green House Gas (GHG) Emissions for Small Businesses in the US: Effective Policies to Reduce GHG — https://openalex.org/W7112710684</w:t>
      </w:r>
    </w:p>
    <w:p>
      <w:pPr/>
      <w:r>
        <w:rPr>
          <w:b/>
        </w:rPr>
        <w:t>Shared claim-specific concepts:</w:t>
      </w:r>
      <w:r>
        <w:t xml:space="preserve"> ghg, emissions, energy, systems; EU scope visible. This is a provisional connection, not an outcome finding.</w:t>
      </w:r>
    </w:p>
    <w:p>
      <w:pPr>
        <w:pStyle w:val="SourceNote"/>
      </w:pPr>
      <w:r>
        <w:rPr>
          <w:b/>
        </w:rPr>
        <w:t>Available abstract (not full text):</w:t>
      </w:r>
      <w:r>
        <w:t xml:space="preserve"> Small to medium sized enterprises (SMEs) make up 99% of businesses in the United States (US) and account for almost half of GDP. Collectively, SMEs play a large role in the economy and should play a large role in sustainability as well. SMEs might consume more energy than corporations and have the potential to reduce more greenhouse gases. Even though there has been growing pressure on corporations to reduce greenhouse gas (GHG) emissions, SMEs have not been included in the sustainability conversation, perhaps because it’s been difficult to include them, or due to the perception of their irrelevance. Governments and investors have instead put pressure on corporations, which also have multiple reporting tools, tax breaks and incentives to help urge them to participate. It’s hard for SMEs to engage in sustainability initiatives because they can be costly and require time and human resources. Because few small businesses are engaged in sustainability efforts, there is little information on how they contribute to climate change. This research aimed to quantify GHG emissions from SMEs in the US and evaluate future GHG emissions and reductions based on a variety of scenarios by addressing four main questions: What percentage of GHG emissions can be attributed to SMEs in the US? If every SME incrementally reduced GHG emissions, how much change would be seen? How much GHG can be avoide</w:t>
      </w:r>
    </w:p>
    <w:p>
      <w:pPr/>
      <w:r>
        <w:rPr>
          <w:b/>
        </w:rPr>
        <w:t>POSSIBLE 2022:</w:t>
      </w:r>
      <w:r>
        <w:t xml:space="preserve"> Literature review on policies to mitigate GHG emissions for cement and concrete — https://doi.org/10.1016/j.resconrec.2022.106278</w:t>
      </w:r>
    </w:p>
    <w:p>
      <w:pPr/>
      <w:r>
        <w:rPr>
          <w:b/>
        </w:rPr>
        <w:t>Shared claim-specific concepts:</w:t>
      </w:r>
      <w:r>
        <w:t xml:space="preserve"> ghg, emissions, energy; EU scope not established. This is a provisional connection, not an outcome finding.</w:t>
      </w:r>
    </w:p>
    <w:p>
      <w:pPr>
        <w:pStyle w:val="SourceNote"/>
      </w:pPr>
      <w:r>
        <w:rPr>
          <w:b/>
        </w:rPr>
        <w:t>Available abstract (not full text):</w:t>
      </w:r>
      <w:r>
        <w:t xml:space="preserve"> The production and use of cement, the binding agent in concrete, emits seven percent of global greenhouse gas emissions annually. Achieving climate change mitigation targets, such as those proposed in the Paris Agreement, requires emission reductions from this sector. The body of research on technical solutions to cement and concrete decarbonization is wide, but technical measures must be coupled with effective policy to achieve decarbonization. This study undertakes a review of previous research on cement and concrete decarbonization and analyzes the most common proposed measures along their level of action, involved stakeholders, barriers to implementation, and coordinated policy actions. The review yielded 37 studies from peer-reviewed articles and technical reports. Analysis showed consensus on the primary technical measures to decarbonize. For cement production, measures include (I) improved energy efficiency, (II) fuel switching, (III) carbon capture utilization and storage, and (IV) reduction of the clinker-to-cement ratio. For concrete production and its end-uses common proposed measures include (V) alternative binders, (VI) material and construction efficiency and (VII) CO2 uptake by concrete. While the literature shows an emerging consensus around technical solutions for decarbonization, there was less clarity about preferred policy solutions and key barriers. The rev</w:t>
      </w:r>
    </w:p>
    <w:p>
      <w:pPr/>
      <w:r>
        <w:rPr>
          <w:b/>
        </w:rPr>
        <w:t>POSSIBLE 2022:</w:t>
      </w:r>
      <w:r>
        <w:t xml:space="preserve"> The GHGs Evolution of LULUCF Sector at the European Union (EU-27 + UK): Romania Case Study — https://doi.org/10.3390/atmos13101638</w:t>
      </w:r>
    </w:p>
    <w:p>
      <w:pPr/>
      <w:r>
        <w:rPr>
          <w:b/>
        </w:rPr>
        <w:t>Shared claim-specific concepts:</w:t>
      </w:r>
      <w:r>
        <w:t xml:space="preserve"> ghg, emissions, compared, reference, period; EU scope visible. This is a provisional connection, not an outcome finding.</w:t>
      </w:r>
    </w:p>
    <w:p>
      <w:pPr>
        <w:pStyle w:val="SourceNote"/>
      </w:pPr>
      <w:r>
        <w:rPr>
          <w:b/>
        </w:rPr>
        <w:t>Available abstract (not full text):</w:t>
      </w:r>
      <w:r>
        <w:t xml:space="preserve"> Mitigating climate change is a challenge that urgently needs to be addressed, as it has an increasing impact on the planet. According to the latest reports, global CO2 emissions must be neutralized by 2050 in order to limit the rise in temperature to 1.5 °C. This work presents the evolution of Land Use, Land Use Change and Forestry (LULUCF) greenhouse gas (GHG) emissions/removals at the EU-27 + UK level for the 1990–2019 time period, as well as LULUCF emissions/removals forecasts for Romania up to 2040. The results revealed a 23% reduction in GHG emissions for the EU-27 + UK in 2019 compared to 1990. Romania’s yearly average of GHG emissions/removals was 28,000 kt CO2 eq., representing roughly 9.7% of the EU’s annual average. In terms of projections for Romania, the only scenario that will not be in the target set by the new LULUCF Regulation is WEM (Reference Scenario/With Existing Measures), in which net GHG removals will be reduced by approximately 218 kt CO2 eq., or 0.9 percent, in 2030 compared to the reference year; in 2040 compared to 1989, the trend will be accentuated both in absolute values, with a decrease of over 3000 kt CO2 eq., and in relative values of 12%.</w:t>
      </w:r>
    </w:p>
    <w:p>
      <w:pPr>
        <w:pStyle w:val="Heading2"/>
      </w:pPr>
      <w:r>
        <w:t>999. Finland-Russia rail transport deregulation: future scenarios of market development</w:t>
      </w:r>
    </w:p>
    <w:p>
      <w:pPr>
        <w:pStyle w:val="SourceNote"/>
      </w:pPr>
      <w:r>
        <w:rPr>
          <w:b/>
        </w:rPr>
        <w:t>Original source (2011):</w:t>
      </w:r>
      <w:r>
        <w:t xml:space="preserve"> https://doi.org/10.1504/ijstl.2011.039377</w:t>
      </w:r>
    </w:p>
    <w:p>
      <w:pPr/>
      <w:r>
        <w:t>Original wording (abstract; indexed_source_text_not_full_document_verified): Three different kinds of scenarios are constructed, and based on this research, it may be concluded that deregulating third country transport would be advisable. This would promote border transports, decrease prices, and attract and boost competition in Finland’s rail transport market.</w:t>
      </w:r>
    </w:p>
    <w:p>
      <w:pPr/>
      <w:r>
        <w:rPr>
          <w:b/>
        </w:rPr>
        <w:t>POSSIBLE 2026:</w:t>
      </w:r>
      <w:r>
        <w:t xml:space="preserve"> What kind of Europe do Europeans want? — https://doi.org/10.1080/01402382.2026.2662871</w:t>
      </w:r>
    </w:p>
    <w:p>
      <w:pPr/>
      <w:r>
        <w:rPr>
          <w:b/>
        </w:rPr>
        <w:t>Shared claim-specific concepts:</w:t>
      </w:r>
      <w:r>
        <w:t xml:space="preserve"> different, constructed, competition; EU scope visible. This is a provisional connection, not an outcome finding.</w:t>
      </w:r>
    </w:p>
    <w:p>
      <w:pPr>
        <w:pStyle w:val="SourceNote"/>
      </w:pPr>
      <w:r>
        <w:rPr>
          <w:b/>
        </w:rPr>
        <w:t>Available abstract (not full text):</w:t>
      </w:r>
      <w:r>
        <w:t xml:space="preserve"> After two crisis decades, the European Union (EU) needs to meet the chal-lenges of climate change, migration, strategic competition, and war. But, giventhese challenges, what kind of Europe do Europeans want? The article arguesthat the idea of more or less integration does not adequately capture different polity preferences since more integration can mean different things to different people. In order to capture this polysemy, the article presents a richer conceptualisation of European integration along two dimensions: binding (EU centralisation of competences) and bounding (bordering at the EU level). Combining these two, five types of polity formation preferences are constructed: Fortress, Sovereign, Cosmopolitan, Minimalist, and No-vision EU. Exploiting a new original survey, the analysis confirms that public preferences are well represented by these two dimensions. A majority wants more bounding, but they are divided on binding.</w:t>
      </w:r>
    </w:p>
    <w:p>
      <w:pPr/>
      <w:r>
        <w:rPr>
          <w:b/>
        </w:rPr>
        <w:t>POSSIBLE 2025:</w:t>
      </w:r>
      <w:r>
        <w:t xml:space="preserve"> Three kinds of suspended belief — https://doi.org/10.1093/pq/pqaf109</w:t>
      </w:r>
    </w:p>
    <w:p>
      <w:pPr/>
      <w:r>
        <w:rPr>
          <w:b/>
        </w:rPr>
        <w:t>Shared claim-specific concepts:</w:t>
      </w:r>
      <w:r>
        <w:t xml:space="preserve"> three, kinds, third; EU scope not established. This is a provisional connection, not an outcome finding.</w:t>
      </w:r>
    </w:p>
    <w:p>
      <w:pPr>
        <w:pStyle w:val="SourceNote"/>
      </w:pPr>
      <w:r>
        <w:rPr>
          <w:b/>
        </w:rPr>
        <w:t>Available abstract (not full text):</w:t>
      </w:r>
      <w:r>
        <w:t xml:space="preserve"> Abstract This paper argues for a third kind of suspended belief. Two that have already been distinguished in the literature are positive suspension and negative suspension. The third kind that we describe is (what we call) aporetic suspension. All of these kinds of suspension count as suspended beliefs in the sense that they each share the same fundamental features of suspended belief—they are all a kind of neutral doxastic attitude. Yet, they are also unique in some important respects. Positive and negative suspension can be distinguished along evidential lines. Positive suspension arises when one has (more or less) equally balanced evidence for a proposition; while negative suspension arises when one lacks evidence either for or against a proposition. Aporetic suspension, we argue, can be further distinguished from both positive and negative suspension in three important respects. According to (1) its evidential-input, (2) its functional-output, and (3) its phenomenal character.</w:t>
      </w:r>
    </w:p>
    <w:p>
      <w:pPr/>
      <w:r>
        <w:rPr>
          <w:b/>
        </w:rPr>
        <w:t>POSSIBLE 2023:</w:t>
      </w:r>
      <w:r>
        <w:t xml:space="preserve"> Three years of COVID-19 and life satisfaction in Europe: A macro view — https://doi.org/10.1073/pnas.2300717120</w:t>
      </w:r>
    </w:p>
    <w:p>
      <w:pPr/>
      <w:r>
        <w:rPr>
          <w:b/>
        </w:rPr>
        <w:t>Shared claim-specific concepts:</w:t>
      </w:r>
      <w:r>
        <w:t xml:space="preserve"> three, third, country; EU scope visible. This is a provisional connection, not an outcome finding.</w:t>
      </w:r>
    </w:p>
    <w:p>
      <w:pPr>
        <w:pStyle w:val="SourceNote"/>
      </w:pPr>
      <w:r>
        <w:rPr>
          <w:b/>
        </w:rPr>
        <w:t>Available abstract (not full text):</w:t>
      </w:r>
      <w:r>
        <w:t xml:space="preserve"> Every country in Europe experienced an adverse impact from the COVID-19 pandemic on life satisfaction, though on average, satisfaction with life in the summer of 2022 is about the same as the pre-pandemic value in the autumn of 2019. Typically, an upsurge in the severity of the pandemic (measured by the number of COVID-related deaths) is associated with declining life satisfaction and an ebbing, with increasing life satisfaction. Of the three waves of the pandemic between March 2020 and the autumn of 2022, the most severe impact typically occurred in 2021 during the second wave; in the third wave, the response declined due to the spread of effective vaccines and the takeover of omicron variants.</w:t>
      </w:r>
    </w:p>
    <w:p>
      <w:pPr/>
      <w:r>
        <w:rPr>
          <w:b/>
        </w:rPr>
        <w:t>POSSIBLE 2022:</w:t>
      </w:r>
      <w:r>
        <w:t xml:space="preserve"> Challenges and Strategies for Bio-Based and Biodegradable Plastic Waste Management in Europe — https://doi.org/10.3390/su142416476</w:t>
      </w:r>
    </w:p>
    <w:p>
      <w:pPr/>
      <w:r>
        <w:rPr>
          <w:b/>
        </w:rPr>
        <w:t>Shared claim-specific concepts:</w:t>
      </w:r>
      <w:r>
        <w:t xml:space="preserve"> three, based; EU scope visible. This is a provisional connection, not an outcome finding.</w:t>
      </w:r>
    </w:p>
    <w:p>
      <w:pPr>
        <w:pStyle w:val="SourceNote"/>
      </w:pPr>
      <w:r>
        <w:rPr>
          <w:b/>
        </w:rPr>
        <w:t>Available abstract (not full text):</w:t>
      </w:r>
      <w:r>
        <w:t xml:space="preserve"> In recent years, an increasing trend towards replacement of conventional fossil-based plastics with bio-based plastics was noticed, i.e., production of plastics partly or fully made from biomass is rapidly expanding. Currently, bio-based and biodegradable plastics have a very small market size, approximately only 1% of all plastics produced. However, the forecast of the global bioplastics production capacities predicts an increase from approximately 2.417 million tonnes in 2021 to approximately 7.593 million tonnes in 2026, more than three times the current capacity. Therefore, it is necessary to assess the challenges and identify the barriers for bio-based and biodegradable plastics for waste management and to evaluate the effectiveness of current plastic waste management strategies for the efficient waste management of bio-based and biodegradable plastics. The main barriers and motivators of the biodegradable and biodegradable plastics market that have been identified include macroeconomic factors, regulatory factors, technological factors, and social factors. The bio-based and biodegradable plastics have to be separately collected and treated under mostly controlled, regulated conditions. However, currently, there are no legal provisions providing for the separate collection of bio-based plastics, leading to their disposal with either hazardous waste, conventional plastics, </w:t>
      </w:r>
    </w:p>
    <w:p>
      <w:pPr/>
      <w:r>
        <w:rPr>
          <w:b/>
        </w:rPr>
        <w:t>POSSIBLE 2022:</w:t>
      </w:r>
      <w:r>
        <w:t xml:space="preserve"> Prevalence of congenital heart defects in Europe, 2008–2015: A registry‐based study — https://doi.org/10.1002/bdr2.2117</w:t>
      </w:r>
    </w:p>
    <w:p>
      <w:pPr/>
      <w:r>
        <w:rPr>
          <w:b/>
        </w:rPr>
        <w:t>Shared claim-specific concepts:</w:t>
      </w:r>
      <w:r>
        <w:t xml:space="preserve"> three, different, based; EU scope visible. This is a provisional connection, not an outcome finding.</w:t>
      </w:r>
    </w:p>
    <w:p>
      <w:pPr>
        <w:pStyle w:val="SourceNote"/>
      </w:pPr>
      <w:r>
        <w:rPr>
          <w:b/>
        </w:rPr>
        <w:t>Available abstract (not full text):</w:t>
      </w:r>
      <w:r>
        <w:t xml:space="preserve"> BACKGROUND: The total prevalence of congenital heart defects (CHDs) varies by populations and over time. Studies that examine trends in the prevalence of CHD in different regions may shed light on our understanding of the occurrence of CHD and the impact of different risk factors. OBJECTIVES: To examine trends in total and live birth prevalence of nonsyndromic CHD in Europe between the years 2008 and 2015 and to investigate if the decreasing trend reported by previous studies is continuing. METHODS: Cases of CHD delivered between January 1, 2008 and December 31, 2015 notified to 25 population-based EUROCAT (European Surveillance of Congenital Anomalies) registries in 14 countries, formed the population-based case-series. Prevalence (total/live) rates and 95% confidence intervals were calculated as the number of cases per 10,000 births (live and stillbirths). Time trends in prevalence of all nonsyndromic CHDs and for three CHD severity groups (very severe, severe, and less severe) were plotted using a Poisson regression multilevel approach. RESULTS: The total prevalence of nonsyndromic CHD was 57.1 per 10,000 births (live births and stillbirths) for the 8-year period and remained stable across the three CHD severity groups while the live birth prevalence was 60.2 per 10,000 births. There was considerable variation in the reported total CHD prevalence and the direction of trends </w:t>
      </w:r>
    </w:p>
    <w:p>
      <w:pPr/>
      <w:r>
        <w:rPr>
          <w:b/>
        </w:rPr>
        <w:t>POSSIBLE 2021:</w:t>
      </w:r>
      <w:r>
        <w:t xml:space="preserve"> Kinds, Essences, and Natures — https://doi.org/10.4324/9781315709604-14</w:t>
      </w:r>
    </w:p>
    <w:p>
      <w:pPr/>
      <w:r>
        <w:rPr>
          <w:b/>
        </w:rPr>
        <w:t>Shared claim-specific concepts:</w:t>
      </w:r>
      <w:r>
        <w:t xml:space="preserve"> three, different, kinds; EU scope visible. This is a provisional connection, not an outcome finding.</w:t>
      </w:r>
    </w:p>
    <w:p>
      <w:pPr>
        <w:pStyle w:val="SourceNote"/>
      </w:pPr>
      <w:r>
        <w:rPr>
          <w:b/>
        </w:rPr>
        <w:t>Available abstract (not full text):</w:t>
      </w:r>
      <w:r>
        <w:t xml:space="preserve"> Classifying things into kinds or sorts was a pervasive feature of philosophy and science as it was carried out in the Platonic and Aristotelian schools of the ancient world, and it was this tradition which was relayed on to the schoolmen of medieval Europe and almost universally accepted by them as essential to rigorous thought. Persian polymath Ibn-Sina theorized that there were three ways of talking about essences or natures: as they are in and of themselves apart from any consideration of how they might actually exist; as they exist in the mind; and as they exist in things. The medieval disputes are likely best seen as the manifestation in that period of Western thought of a more general problem arising from the necessity for both ordinary and scientific languages to see various terms as referring to many real and very different things without becoming equivocal.</w:t>
      </w:r>
    </w:p>
    <w:p>
      <w:pPr/>
      <w:r>
        <w:rPr>
          <w:b/>
        </w:rPr>
        <w:t>POSSIBLE 2021:</w:t>
      </w:r>
      <w:r>
        <w:t xml:space="preserve"> Spatial Patterns in Actual Evapotranspiration Climatologies for Europe — https://doi.org/10.3390/rs13122410</w:t>
      </w:r>
    </w:p>
    <w:p>
      <w:pPr/>
      <w:r>
        <w:rPr>
          <w:b/>
        </w:rPr>
        <w:t>Shared claim-specific concepts:</w:t>
      </w:r>
      <w:r>
        <w:t xml:space="preserve"> three, different, based; EU scope visible. This is a provisional connection, not an outcome finding.</w:t>
      </w:r>
    </w:p>
    <w:p>
      <w:pPr>
        <w:pStyle w:val="SourceNote"/>
      </w:pPr>
      <w:r>
        <w:rPr>
          <w:b/>
        </w:rPr>
        <w:t>Available abstract (not full text):</w:t>
      </w:r>
      <w:r>
        <w:t xml:space="preserve"> Spatial patterns in long-term average evapotranspiration (ET) represent a unique source of information for evaluating the spatial pattern performance of distributed hydrological models on a river basin to continental scale. This kind of model evaluation is getting increased attention, acknowledging the shortcomings of traditional aggregated or timeseries-based evaluations. A variety of satellite remote sensing (RS)-based ET estimates exist, covering a range of methods and resolutions. There is, therefore, a need to evaluate these estimates, not only in terms of temporal performance and similarity, but also in terms of long-term spatial patterns. The current study evaluates four RS-ET estimates at moderate resolution with respect to spatial patterns in comparison to two alternative continental-scale gridded ET estimates (water-balance ET and Budyko). To increase comparability, an empirical correction factor between clear sky and all-weather ET, based on eddy covariance data, is derived, which could be suitable for simple corrections of clear sky estimates. Three RS-ET estimates (MODIS16, TSEB and PT-JPL) and the Budyko method generally display similar spatial patterns both across the European domain (mean SPAEF = 0.41, range 0.25–0.61) and within river basins (mean SPAEF range 0.19–0.38), although the pattern similarity within river basins varies significantly across basins. In </w:t>
      </w:r>
    </w:p>
    <w:p>
      <w:pPr/>
      <w:r>
        <w:rPr>
          <w:b/>
        </w:rPr>
        <w:t>POSSIBLE 2021:</w:t>
      </w:r>
      <w:r>
        <w:t xml:space="preserve"> Climate change impacts on solar power generation and its spatial variability in Europe based on CMIP6 — https://doi.org/10.5194/esd-12-1099-2021</w:t>
      </w:r>
    </w:p>
    <w:p>
      <w:pPr/>
      <w:r>
        <w:rPr>
          <w:b/>
        </w:rPr>
        <w:t>Shared claim-specific concepts:</w:t>
      </w:r>
      <w:r>
        <w:t xml:space="preserve"> different, based, decrease; EU scope visible. This is a provisional connection, not an outcome finding.</w:t>
      </w:r>
    </w:p>
    <w:p>
      <w:pPr>
        <w:pStyle w:val="SourceNote"/>
      </w:pPr>
      <w:r>
        <w:rPr>
          <w:b/>
        </w:rPr>
        <w:t>Available abstract (not full text):</w:t>
      </w:r>
      <w:r>
        <w:t xml:space="preserve"> Abstract. Solar photovoltaics (PV) plays an essential role in decarbonizing the European energy system. However, climate change affects surface solar radiation and thereby will directly influence future PV power generation. We use scenarios from the sixth phase of the Coupled Model Intercomparison Project (CMIP6) for a mitigation (SSP1-2.6) and a fossil-fuel dependent (SSP5-8.5) pathway, to quantify climate risk for solar PV in Europe simulated by the Global Solar Energy Estimator (GSEE). We find that PV potential increases by around 5 % in the mitigation scenario, suggesting a positive feedback loop between climate change mitigation and PV potential. While increased clear-sky radiation and reduced cloud cover go hand in hand in SSP1-2.6, a decrease in clear-sky radiation is overcompensated by a decrease in cloud cover in SSP5-8.5, resulting in an increase of all-sky radiation. Moreover, we find that the seasonal cycle of PV generation changes in most places as generation grows more strongly in winter than in summer (SSP1-2.6) or increases in summer and declines in winter (SSP5-8.5). We further analyze climate change impacts on the spatial variability of PV power generation. Similar to effects anticipated for wind energy, we report an increase of the spatial correlations of daily PV production with large inter-model agreement yet relatively small amplitude, implying that PV pow</w:t>
      </w:r>
    </w:p>
    <w:p>
      <w:pPr/>
      <w:r>
        <w:rPr>
          <w:b/>
        </w:rPr>
        <w:t>POSSIBLE 2019:</w:t>
      </w:r>
      <w:r>
        <w:t xml:space="preserve"> Information about Motion in Concepts of Different Ontological Kinds — https://doi.org/10.4324/9781315782362-141</w:t>
      </w:r>
    </w:p>
    <w:p>
      <w:pPr/>
      <w:r>
        <w:rPr>
          <w:b/>
        </w:rPr>
        <w:t>Shared claim-specific concepts:</w:t>
      </w:r>
      <w:r>
        <w:t xml:space="preserve"> three, different, kinds; EU scope visible. This is a provisional connection, not an outcome finding.</w:t>
      </w:r>
    </w:p>
    <w:p>
      <w:pPr>
        <w:pStyle w:val="SourceNote"/>
      </w:pPr>
      <w:r>
        <w:rPr>
          <w:b/>
        </w:rPr>
        <w:t>Available abstract (not full text):</w:t>
      </w:r>
      <w:r>
        <w:t xml:space="preserve"> This chapter presents the aims on empirical, theoretical, and analytic work from all areas of interest in cognitive science, such as artificial intelligence, education, linguistics, neuroscience, philosophy, psychology, and anthropology presented in European Cognitive Science Conference. It focuses on interdisciplinary work that is either of interest for more than one of the research areas mentioned or integrates research methods from different fields. With contributions by cognitive scientists from 20 different countries, the chapter reflects the origins of this conference, as well as its international scope. Two studies investigate information about object&amp;s;s motion in adults&amp;s; concepts with a classical paradigm, the feature production task. The aim is to verify which characteristics of motion, such as self-induction, are differentially distributed in the various ontological kinds and sub-kinds of concepts. Overall, three parameters which organize information about object&amp;s;s motion emerge from this study. The most important parameter, is the ability to produce a displacement.</w:t>
      </w:r>
    </w:p>
    <w:p>
      <w:pPr/>
      <w:r>
        <w:rPr>
          <w:b/>
        </w:rPr>
        <w:t>POSSIBLE 2019:</w:t>
      </w:r>
      <w:r>
        <w:t xml:space="preserve"> Future Heat Waves in Different European Capitals Based on Climate Change Indicators — https://doi.org/10.3390/ijerph16203959</w:t>
      </w:r>
    </w:p>
    <w:p>
      <w:pPr/>
      <w:r>
        <w:rPr>
          <w:b/>
        </w:rPr>
        <w:t>Shared claim-specific concepts:</w:t>
      </w:r>
      <w:r>
        <w:t xml:space="preserve"> three, different, based; EU scope visible. This is a provisional connection, not an outcome finding.</w:t>
      </w:r>
    </w:p>
    <w:p>
      <w:pPr>
        <w:pStyle w:val="SourceNote"/>
      </w:pPr>
      <w:r>
        <w:rPr>
          <w:b/>
        </w:rPr>
        <w:t>Available abstract (not full text):</w:t>
      </w:r>
      <w:r>
        <w:t xml:space="preserve"> Changes in the frequency and intensity of heat waves have shown substantial negative impacts on public health. At the same time, climate change towards increasing air temperatures throughout Europe will foster such extreme events, leading to the population being more exposed to them and societies becoming more vulnerable. Based on two climate change scenarios (Representative Concentration Pathway 4.5 and 8.5) we analysed the frequency and intensity of heat waves for three capital cities in Europe representing a North-South transect (London, Luxembourg, Rome). We used indices proposed by the Expert Team on Sector-Specific Climate Indices of the World Meteorological Organization to analyze the number of heat waves, the number of days that contribute to heat waves, the length of the longest heat waves, as well as the mean temperature during heat waves. The threshold for the definition of heat waves is calculated based on a reference period of 30 years for each of the three cities, allowing for a direct comparison of the projected changes between the cities. Changes in the projected air temperature between a reference period (1971-2000) and three future periods (2001-2030 near future, 2031-2060 middle future, and 2061-2090 far future) are statistically significant for all three cities and both emission scenarios. Considerable similarities could be identified for the different heat </w:t>
      </w:r>
    </w:p>
    <w:p>
      <w:pPr/>
      <w:r>
        <w:rPr>
          <w:b/>
        </w:rPr>
        <w:t>POSSIBLE 2018:</w:t>
      </w:r>
      <w:r>
        <w:t xml:space="preserve"> Regional inequality in Europe: evidence, theory and policy implications — https://doi.org/10.1093/jeg/lby021</w:t>
      </w:r>
    </w:p>
    <w:p>
      <w:pPr/>
      <w:r>
        <w:rPr>
          <w:b/>
        </w:rPr>
        <w:t>Shared claim-specific concepts:</w:t>
      </w:r>
      <w:r>
        <w:t xml:space="preserve"> different, promote; EU scope visible. This is a provisional connection, not an outcome finding.</w:t>
      </w:r>
    </w:p>
    <w:p>
      <w:pPr>
        <w:pStyle w:val="SourceNote"/>
      </w:pPr>
      <w:r>
        <w:rPr>
          <w:b/>
        </w:rPr>
        <w:t>Available abstract (not full text):</w:t>
      </w:r>
      <w:r>
        <w:t xml:space="preserve"> Regional economic divergence has become a threat to economic progress, social cohesion and political stability in Europe. Market processes and policies that are supposed to spread prosperity and opportunity are no longer sufficiently effective. The evidence points to the existence of several different modes of regional economic performance in Europe, responding to different development challenges and opportunities. Both mainstream and heterodox theories have gaps in their ability to explain the existence of these different regional trajectories and the weakness of the convergence processes among them. Therefore, a different approach is required, one that strengthens Europe’s strongest regions but develops new approaches to promote opportunity in industrial declining and less-developed regions. There is ample new theory and evidence to support such an approach, which we have labelled ‘place-sensitive distributed development policy’.</w:t>
      </w:r>
    </w:p>
    <w:p>
      <w:pPr/>
      <w:r>
        <w:rPr>
          <w:b/>
        </w:rPr>
        <w:t>POSSIBLE 2018:</w:t>
      </w:r>
      <w:r>
        <w:t xml:space="preserve"> Pheromone-based monitoring of the European corn borer (Ostrinia nubilalis) in Hungary — https://openalex.org/W2560260331</w:t>
      </w:r>
    </w:p>
    <w:p>
      <w:pPr/>
      <w:r>
        <w:rPr>
          <w:b/>
        </w:rPr>
        <w:t>Shared claim-specific concepts:</w:t>
      </w:r>
      <w:r>
        <w:t xml:space="preserve"> three, different, based, attract; EU scope visible. This is a provisional connection, not an outcome finding.</w:t>
      </w:r>
    </w:p>
    <w:p>
      <w:pPr>
        <w:pStyle w:val="SourceNote"/>
      </w:pPr>
      <w:r>
        <w:rPr>
          <w:b/>
        </w:rPr>
        <w:t>Available abstract (not full text):</w:t>
      </w:r>
      <w:r>
        <w:t xml:space="preserve"> Despite the fact that the pheromone structure and composition of the European corn borer (Ostrinia nubilalis) was identified in the early 1970s, an effective pheromone-based monitoring method of this species has not been established yet in Hungary. The aim of this study was to find an optimal monitoring strategy for this economically important pest using pheromone traps. We compared three trap designs, five ratios and four doses of the earlier identified pheromone components in three different locations in Hungary. In the first year there was no significant difference between the delta and the cone traps as both were able to catch males in sufficient numbers. How- ever, in the second year the cone traps captured significantly more males. In a comparison of the different ratios of the two pheromone components, our results demonstrate that the usage of 97:3 Z:E [97% (Z)11-tetradecenyl acetate and 3% (E)11-tetradecenyl acetate] ratio attracted the highest number of males. Therefore, we suggest that the Z pheromone strain exists in the three monitored regions. In the experiment, where the different doses were compared, there was no significant difference in the number of males caught. In 2015, the flight dynamics of the species showed that males start to fly in the beginning of June and the highest flight peak occurs in mid June. Based on our results we conclude that in Hungary the</w:t>
      </w:r>
    </w:p>
    <w:p>
      <w:pPr>
        <w:pStyle w:val="Heading2"/>
      </w:pPr>
      <w:r>
        <w:t>1000. Fiscal sustainability and the accuracy of macroeconomic forecasts: Do supranational forecasts rather than government forecasts make a difference?</w:t>
      </w:r>
    </w:p>
    <w:p>
      <w:pPr>
        <w:pStyle w:val="SourceNote"/>
      </w:pPr>
      <w:r>
        <w:rPr>
          <w:b/>
        </w:rPr>
        <w:t>Original source (2011):</w:t>
      </w:r>
      <w:r>
        <w:t xml:space="preserve"> https://doi.org/10.1504/ijse.2011.039440</w:t>
      </w:r>
    </w:p>
    <w:p>
      <w:pPr/>
      <w:r>
        <w:t>Original wording (abstract; indexed_source_text_not_full_document_verified): All in all, since the EC forecast appears to be a good benchmark, in order to reduce the (optimistic) forecast bias, national governments could be forced to justify any large (optimistic) deviation from this benchmark when presenting their respective national Stability and Growth Programmes. Credible fiscal plans that aim at restoring fiscal sustainability will be essential to counter the present increase in debt levels all across Europe.</w:t>
      </w:r>
    </w:p>
    <w:p>
      <w:pPr/>
      <w:r>
        <w:rPr>
          <w:b/>
        </w:rPr>
        <w:t>POSSIBLE 2025:</w:t>
      </w:r>
      <w:r>
        <w:t xml:space="preserve"> The Court of Justice of the European Union: Do all roads lead to Luxembourg? — https://doi.org/10.14746/rpeis.2025.87.1.01</w:t>
      </w:r>
    </w:p>
    <w:p>
      <w:pPr/>
      <w:r>
        <w:rPr>
          <w:b/>
        </w:rPr>
        <w:t>Shared claim-specific concepts:</w:t>
      </w:r>
      <w:r>
        <w:t xml:space="preserve"> all, since, appears, national, any; EU scope visible. This is a provisional connection, not an outcome finding.</w:t>
      </w:r>
    </w:p>
    <w:p>
      <w:pPr>
        <w:pStyle w:val="SourceNote"/>
      </w:pPr>
      <w:r>
        <w:rPr>
          <w:b/>
        </w:rPr>
        <w:t>Available abstract (not full text):</w:t>
      </w:r>
      <w:r>
        <w:t xml:space="preserve"> Since its establishment in the early 1950s, the European Court of Justice, seated in Luxembourg, has played a key role in managing and developing the European integration architecture. Yet, with subsequent developments, the Luxembourg Court appears to have gained even more importance, particularly in the constitutionalization of the European integration process. Today, this has reached such an extent that one can ask whether all roads lead to Luxembourg rather than to the political EU institutions in Brussels and beyond, or to the capitals of the EU Member States. The present paper, based on an annual lecture in honour of Professor and Foreign Minister Krzysztof Skubiszewski, seeks to provide examples of areas where the case law of the Court has been particularly consequential and to explain why the Court has become more influential. However, the paper concludes by arguing that the role of the Court should not be overstated and that, in any case, its enhanced role is explained by many constitutional and legislative developments beyond the control of the Court itself. Moreover, the reader will be reminded that the Union’s judicial system is not limited to the two Union Courts (the Court of Justice and the General Court) but that its backbone is formed by the national courts of the Member States.</w:t>
      </w:r>
    </w:p>
    <w:p>
      <w:pPr/>
      <w:r>
        <w:rPr>
          <w:b/>
        </w:rPr>
        <w:t>POSSIBLE 2024:</w:t>
      </w:r>
      <w:r>
        <w:t xml:space="preserve"> Estimation of an efficient benchmark portfolio for the Eastern European market — https://doi.org/10.51680/ev.37.1.1</w:t>
      </w:r>
    </w:p>
    <w:p>
      <w:pPr/>
      <w:r>
        <w:rPr>
          <w:b/>
        </w:rPr>
        <w:t>Shared claim-specific concepts:</w:t>
      </w:r>
      <w:r>
        <w:t xml:space="preserve"> all, benchmark, order; EU scope visible. This is a provisional connection, not an outcome finding.</w:t>
      </w:r>
    </w:p>
    <w:p>
      <w:pPr>
        <w:pStyle w:val="SourceNote"/>
      </w:pPr>
      <w:r>
        <w:rPr>
          <w:b/>
        </w:rPr>
        <w:t>Available abstract (not full text):</w:t>
      </w:r>
      <w:r>
        <w:t xml:space="preserve"> Purpose: This paper explores the mean-variance inefficiency of cap-weighted indices based on the CECE index as a benchmark. Methodology: For the period from March 2014 to September 2021, several proxies of efficient portfo-lios were estimated: the Global Minimum Variance (GMV) portfolio, the Maximum Sharpe Ratio (MSR) portfolio and the portfolio with equal weights of constituents (EW). Diversification of strategies was also considered by analyzing the performance of a portfolio consisting of GMV and MSR that were weighted equally. Based on monthly data, 90 out-of-sample estimations were made for each strategy in order to com-pare their risk-return characteristics. Furthermore, to confirm the differences in the riskiness and returns of the estimated portfolios, the F-test and the Welch test were performed, respectively. Results: The results show that all analyzed portfolios achieved superior performance compared to the CECE index with the GMV portfolio leading the way. Conclusion: Research findings highlight the importance of market development and liquidity when pursu-ing popular scientific diversification methods.</w:t>
      </w:r>
    </w:p>
    <w:p>
      <w:pPr/>
      <w:r>
        <w:rPr>
          <w:b/>
        </w:rPr>
        <w:t>POSSIBLE 2023:</w:t>
      </w:r>
      <w:r>
        <w:t xml:space="preserve"> Benchmark Beating with the Increasing Convex Order — https://doi.org/10.48550/arxiv.2311.01692</w:t>
      </w:r>
    </w:p>
    <w:p>
      <w:pPr/>
      <w:r>
        <w:rPr>
          <w:b/>
        </w:rPr>
        <w:t>Shared claim-specific concepts:</w:t>
      </w:r>
      <w:r>
        <w:t xml:space="preserve"> all, benchmark, order; EU scope not established. This is a provisional connection, not an outcome finding.</w:t>
      </w:r>
    </w:p>
    <w:p>
      <w:pPr>
        <w:pStyle w:val="SourceNote"/>
      </w:pPr>
      <w:r>
        <w:rPr>
          <w:b/>
        </w:rPr>
        <w:t>Available abstract (not full text):</w:t>
      </w:r>
      <w:r>
        <w:t xml:space="preserve"> In this paper we model benchmark beating with the increasing convex order (ICX order). The mean constraint in the mean-variance theory of portfolio selection can be regarded as beating a constant. We then investigate the problem of minimizing the variance of a portfolio with ICX order constraints, based on which we also study the problem of beating-performance-variance efficient portfolios. The optimal and efficient portfolios are all worked out in closed form for complete markets.</w:t>
      </w:r>
    </w:p>
    <w:p>
      <w:pPr/>
      <w:r>
        <w:rPr>
          <w:b/>
        </w:rPr>
        <w:t>POSSIBLE 2023:</w:t>
      </w:r>
      <w:r>
        <w:t xml:space="preserve"> Optimizing polypharmacy management in the elderly: a comprehensive European benchmarking survey and the development of an innovative online benchmarking application — https://doi.org/10.3389/fphar.2023.1254912</w:t>
      </w:r>
    </w:p>
    <w:p>
      <w:pPr/>
      <w:r>
        <w:rPr>
          <w:b/>
        </w:rPr>
        <w:t>Shared claim-specific concepts:</w:t>
      </w:r>
      <w:r>
        <w:t xml:space="preserve"> all, since, benchmark, national, aim; EU scope visible. This is a provisional connection, not an outcome finding.</w:t>
      </w:r>
    </w:p>
    <w:p>
      <w:pPr>
        <w:pStyle w:val="SourceNote"/>
      </w:pPr>
      <w:r>
        <w:rPr>
          <w:b/>
        </w:rPr>
        <w:t>Available abstract (not full text):</w:t>
      </w:r>
      <w:r>
        <w:t xml:space="preserve"> Background: Polypharmacy, defined as the simultaneous use of multiple medications by a patient, is a worldwide problem of rising prevalence. Paving the way for drug interactions, adverse drug reactions and non-adherence, it leads to negative health outcomes, increased use of healthcare services and rising costs. Since it is closely related to multimorbidity, it peaks in older adults. So far, not many polypharmacy management programs in the elderly have been introduced in practice. However, due to the rapid ageing of European societies, there is an urgent need to implement them more widely. Objective: The aim of this study was to benchmark polypharmacy management programs in the elderly available in Europe and creating a dedicated benchmarking application. Methods: It was a cross-sectional study based on an online survey targeting healthcare professionals and other stakeholders across European countries. Data collected in the survey were reused to design an online benchmarking application. Results: As many as 911 respondents from all but two EU countries took part in this study. Out of the survey participants, 496 (54.4%) reported availability of various activities or formal programs targeting polypharmacy in the elderly that were known to them. These programs had multiple goals, of which improved patient safety was indicated as the most common objective (65.1% of the cases). Th</w:t>
      </w:r>
    </w:p>
    <w:p>
      <w:pPr/>
      <w:r>
        <w:rPr>
          <w:b/>
        </w:rPr>
        <w:t>POSSIBLE 2022:</w:t>
      </w:r>
      <w:r>
        <w:t xml:space="preserve"> RGBT Salient Object Detection: A Large-Scale Dataset and Benchmark — https://doi.org/10.1109/tmm.2022.3171688</w:t>
      </w:r>
    </w:p>
    <w:p>
      <w:pPr/>
      <w:r>
        <w:rPr>
          <w:b/>
        </w:rPr>
        <w:t>Shared claim-specific concepts:</w:t>
      </w:r>
      <w:r>
        <w:t xml:space="preserve"> all, since, benchmark; EU scope not established. This is a provisional connection, not an outcome finding.</w:t>
      </w:r>
    </w:p>
    <w:p>
      <w:pPr>
        <w:pStyle w:val="SourceNote"/>
      </w:pPr>
      <w:r>
        <w:rPr>
          <w:b/>
        </w:rPr>
        <w:t>Available abstract (not full text):</w:t>
      </w:r>
      <w:r>
        <w:t xml:space="preserve"> Salient object detection in complex scenes and environments is a challenging research topic. Most works focus on RGB-based salient object detection, which limits its performance of real-life applications when confronted with adverse conditions such as dark environments and complex backgrounds. Taking advantage of RGB and thermal infrared(RGBT) images becomes a new research direction for detecting salient objects in complex scenes, since the thermal infrared spectrum provides the complementary information and has been used in many computer vision tasks. However, current research for RGBT salient object detection is limited by the lack of a large-scale dataset and comprehensive benchmark. This work contributes such a RGBT image dataset named VT5000, including 5000 spatially aligned RGBT image pairs with ground truth annotations. VT5000 has 11 challenges collected in different scenes and environments for exploring the robustness of algorithms. With this dataset, we propose a powerful baseline approach, which extracts multilevel features of each modality and aggregates these features of all modalities with the attention mechanism for accurate RGBT salient object detection. To further solve the problem of blur boundaries of salient objects, we also use an edge loss to refine the boundaries. Extensive experiments show that the proposed baseline approach outperforms the state-of-the-a</w:t>
      </w:r>
    </w:p>
    <w:p>
      <w:pPr/>
      <w:r>
        <w:rPr>
          <w:b/>
        </w:rPr>
        <w:t>POSSIBLE 2020:</w:t>
      </w:r>
      <w:r>
        <w:t xml:space="preserve"> European anthropogenic AFOLU greenhouse gas emissions: a review and benchmark data — https://doi.org/10.5194/essd-12-961-2020</w:t>
      </w:r>
    </w:p>
    <w:p>
      <w:pPr/>
      <w:r>
        <w:rPr>
          <w:b/>
        </w:rPr>
        <w:t>Shared claim-specific concepts:</w:t>
      </w:r>
      <w:r>
        <w:t xml:space="preserve"> benchmark, order, national, credible; EU scope visible. This is a provisional connection, not an outcome finding.</w:t>
      </w:r>
    </w:p>
    <w:p>
      <w:pPr>
        <w:pStyle w:val="SourceNote"/>
      </w:pPr>
      <w:r>
        <w:rPr>
          <w:b/>
        </w:rPr>
        <w:t>Available abstract (not full text):</w:t>
      </w:r>
      <w:r>
        <w:t xml:space="preserve"> Abstract. Emission of greenhouse gases (GHG) and removals from land, including both anthropogenic and natural fluxes, require reliable quantification, along with estimates of their inherent uncertainties, in order to support credible mitigation action under the Paris Agreement. This study provides a state-of-the-art scientific overview of bottom-up anthropogenic emissions data from agriculture, forestry and other land use (AFOLU) in Europe. The data integrates recent AFOLU emission inventories with ecosystem data and land carbon models, covering the European Union (EU28) and summarizes GHG emissions and removals over the period 1990–2016, of relevance for UNFCCC. This compilation of bottom-up estimates of the AFOLU GHG emissions of European national greenhouse gas inventories (NGHGI) with those of land carbon models and observation-based estimates of large-scale GHG fluxes, aims at improving the overall estimates of the GHG balance in Europe with respect to land GHG emissions and removals. Particular effort is devoted to the estimation of uncertainty, its propagation and role in the comparison of different estimates. While NGHGI data for EU28 provides consistent quantification of uncertainty following the established IPCC guidelines, uncertainty in the estimates produced with other methods will need to account for both within model uncertainty and the spread from different mode</w:t>
      </w:r>
    </w:p>
    <w:p>
      <w:pPr/>
      <w:r>
        <w:rPr>
          <w:b/>
        </w:rPr>
        <w:t>POSSIBLE 2020:</w:t>
      </w:r>
      <w:r>
        <w:t xml:space="preserve"> The development of cycling in European countries since 1990 — https://doi.org/10.18757/ejtir.2021.21.2.5411</w:t>
      </w:r>
    </w:p>
    <w:p>
      <w:pPr/>
      <w:r>
        <w:rPr>
          <w:b/>
        </w:rPr>
        <w:t>Shared claim-specific concepts:</w:t>
      </w:r>
      <w:r>
        <w:t xml:space="preserve"> all, since, national, governments; EU scope visible. This is a provisional connection, not an outcome finding.</w:t>
      </w:r>
    </w:p>
    <w:p>
      <w:pPr>
        <w:pStyle w:val="SourceNote"/>
      </w:pPr>
      <w:r>
        <w:rPr>
          <w:b/>
        </w:rPr>
        <w:t>Available abstract (not full text):</w:t>
      </w:r>
      <w:r>
        <w:t xml:space="preserve"> High pre-World-War-2 modal shares of cycling in European countries sharply decreased during the post-war decades. In the 1990s, European governments introduced policies to increase bicycle use. However, a database or longitudinal study on the development of bicycle use in European countries is lacking. The goal of this paper is to examine to what degree the amount of cycling has increased over the past decades, also in the context of potentially competing modes. Distances travelled per capita according to National Travel Surveys have been collected and were aggregated to seven 4-year periods between 1990 and 2017. Multilevel regression analyses on distance travelled per capita by bicycle, on foot, by public transport, and by passenger car were conducted for all countries. Additionally, analyses were conducted for which the 14 countries with data on bicycle use were divided in three groups categorised according to distance cycled per capita at the beginning of the study period. Distance cycled per capita per year ranged from some 30 km to 900 km. The results of all four regression analyses suggested that distance cycled per capita remained fairly constant over the past decades. Germany is an exception with some 150 km per capita more, in relative terms a 50% increase. Geographical variation in development is evidenced by a substantial increase of distance cycled per inhabitant i</w:t>
      </w:r>
    </w:p>
    <w:p>
      <w:pPr/>
      <w:r>
        <w:rPr>
          <w:b/>
        </w:rPr>
        <w:t>POSSIBLE 2020:</w:t>
      </w:r>
      <w:r>
        <w:t xml:space="preserve"> Benchmarking Graph Neural Networks — https://doi.org/10.48550/arxiv.2003.00982</w:t>
      </w:r>
    </w:p>
    <w:p>
      <w:pPr/>
      <w:r>
        <w:rPr>
          <w:b/>
        </w:rPr>
        <w:t>Shared claim-specific concepts:</w:t>
      </w:r>
      <w:r>
        <w:t xml:space="preserve"> since, benchmark, any; EU scope not established. This is a provisional connection, not an outcome finding.</w:t>
      </w:r>
    </w:p>
    <w:p>
      <w:pPr>
        <w:pStyle w:val="SourceNote"/>
      </w:pPr>
      <w:r>
        <w:rPr>
          <w:b/>
        </w:rPr>
        <w:t>Available abstract (not full text):</w:t>
      </w:r>
      <w:r>
        <w:t xml:space="preserve"> In the last few years, graph neural networks (GNNs) have become the standard toolkit for analyzing and learning from data on graphs. This emerging field has witnessed an extensive growth of promising techniques that have been applied with success to computer science, mathematics, biology, physics and chemistry. But for any successful field to become mainstream and reliable, benchmarks must be developed to quantify progress. This led us in March 2020 to release a benchmark framework that i) comprises of a diverse collection of mathematical and real-world graphs, ii) enables fair model comparison with the same parameter budget to identify key architectures, iii) has an open-source, easy-to-use and reproducible code infrastructure, and iv) is flexible for researchers to experiment with new theoretical ideas. As of December 2022, the GitHub repository has reached 2,000 stars and 380 forks, which demonstrates the utility of the proposed open-source framework through the wide usage by the GNN community. In this paper, we present an updated version of our benchmark with a concise presentation of the aforementioned framework characteristics, an additional medium-sized molecular dataset AQSOL, similar to the popular ZINC, but with a real-world measured chemical target, and discuss how this framework can be leveraged to explore new GNN designs and insights. As a proof of value of our ben</w:t>
      </w:r>
    </w:p>
    <w:p>
      <w:pPr/>
      <w:r>
        <w:rPr>
          <w:b/>
        </w:rPr>
        <w:t>POSSIBLE 2020:</w:t>
      </w:r>
      <w:r>
        <w:t xml:space="preserve"> Minimum Winter Temperature as a Limiting Factor of the Potential Spread of Agrilus planipennis, an Alien Pest of Ash Trees, in Europe — https://doi.org/10.3390/insects11040258</w:t>
      </w:r>
    </w:p>
    <w:p>
      <w:pPr/>
      <w:r>
        <w:rPr>
          <w:b/>
        </w:rPr>
        <w:t>Shared claim-specific concepts:</w:t>
      </w:r>
      <w:r>
        <w:t xml:space="preserve"> all, since, aim; EU scope visible. This is a provisional connection, not an outcome finding.</w:t>
      </w:r>
    </w:p>
    <w:p>
      <w:pPr>
        <w:pStyle w:val="SourceNote"/>
      </w:pPr>
      <w:r>
        <w:rPr>
          <w:b/>
        </w:rPr>
        <w:t>Available abstract (not full text):</w:t>
      </w:r>
      <w:r>
        <w:t xml:space="preserve"> The emerald ash borer, EAB (Agrilus planipennis) is a devastating alien pest of ash trees. It is spreading in European Russia and Ukraine and will appear in other European countries. Our aim was to determine the regions of Europe where the winter temperature drops low enough to prevent A. planipennis establishment. We calculated the minimum daily air temperature from 2003–2019 for each grid square (0.5° × 0.5°) in East Asia, North America and Europe and determined the minimum daily temperature in the grid squares where A. planipennis was recorded. Temperatures of −30 to −33 °C occur in the northern portions of the pest range on all continents. No established population has been recorded in localities where temperatures below −34 °C occur. This temperature is close to the absolute supercooling point of A. planipennis larva (−35.3 °C). It is unlikely that low temperatures could prevent the spread of A. planipennis in northern Western Europe (Sweden, Norway, Finland, etc.), since the temperature in this area did not fall to −34 °C from 2003–2019. However, such temperatures are not rare in eastern European Russia (Kostroma, Vologda, Orenburg regions, etc.), where Fraxinus pennsylvanica and F. excelsior occur. These regions could potentially become refuges for these ash species.</w:t>
      </w:r>
    </w:p>
    <w:p>
      <w:pPr/>
      <w:r>
        <w:rPr>
          <w:b/>
        </w:rPr>
        <w:t>POSSIBLE 2019:</w:t>
      </w:r>
      <w:r>
        <w:t xml:space="preserve"> Europe since 1970 — https://doi.org/10.5040/9781474207775.0093</w:t>
      </w:r>
    </w:p>
    <w:p>
      <w:pPr/>
      <w:r>
        <w:rPr>
          <w:b/>
        </w:rPr>
        <w:t>Shared claim-specific concepts:</w:t>
      </w:r>
      <w:r>
        <w:t xml:space="preserve"> all, since, national; EU scope visible. This is a provisional connection, not an outcome finding.</w:t>
      </w:r>
    </w:p>
    <w:p>
      <w:pPr>
        <w:pStyle w:val="SourceNote"/>
      </w:pPr>
      <w:r>
        <w:rPr>
          <w:b/>
        </w:rPr>
        <w:t>Available abstract (not full text):</w:t>
      </w:r>
      <w:r>
        <w:t xml:space="preserve"> There are forty-six countries in Europe, sharing myriad influences and overlaps. The Second World War only ended in 1945, followed by the Cold War. On one side stood Capitalist Western Europe, protected by America: on the other were Eastern European Warsaw Pact countries under Soviet Communism (plus non-aligned Yugoslavia and Albania). The USA and USSR pursued a deadly nuclear race, as well as proxy conflicts around the globe. Repressed panic and paranoia lasted in Europe until the Berlin Wall ‘fell’ in 1989. In this period, while war in Europe was no longer between nations, internal violence within some countries was rife. The continent also appeared to still be divided between Western Europe and Eastern Europe. However, the European Economic Community (later European Union) gradually incorporated more countries. Following the Communist collapse, Eastern Europe nations joined the EU fold, today containing twenty-eight member countries (although Britain has voted to leave). Europe is the world’s second-largest economic unit after America, containing four of the world’s eight richest nations. There persist, however, considerable discrepancies in wealth, also reflected in relative political strength (e.g. Germany) and weakness (e.g. Greece). Culturally and socially, the decisive change in Europe since 1970 was from post-war state-regulated ‘command economies’ – Social Democracy i</w:t>
      </w:r>
    </w:p>
    <w:p>
      <w:pPr/>
      <w:r>
        <w:rPr>
          <w:b/>
        </w:rPr>
        <w:t>POSSIBLE 2019:</w:t>
      </w:r>
      <w:r>
        <w:t xml:space="preserve"> The European Union and Democratization in Central and Southeastern Europe since 1989 — https://doi.org/10.1017/9781108752466.021</w:t>
      </w:r>
    </w:p>
    <w:p>
      <w:pPr/>
      <w:r>
        <w:rPr>
          <w:b/>
        </w:rPr>
        <w:t>Shared claim-specific concepts:</w:t>
      </w:r>
      <w:r>
        <w:t xml:space="preserve"> since, governments, credible; EU scope visible. This is a provisional connection, not an outcome finding.</w:t>
      </w:r>
    </w:p>
    <w:p>
      <w:pPr>
        <w:pStyle w:val="SourceNote"/>
      </w:pPr>
      <w:r>
        <w:rPr>
          <w:b/>
        </w:rPr>
        <w:t>Available abstract (not full text):</w:t>
      </w:r>
      <w:r>
        <w:t xml:space="preserve"> A central tool of the European Union (EU) to promote the democratization of post-communist Europe is its accession conditionality: the conditions it attaches to the offer of membership. Yet the EU’s influence on democratization varies across countries, and over time between the periods before and after accession. A key factor limiting the EU’s impact are the domestic costs of complying with the EU’s conditionality: the more governments rely on illiberal and undemocratic means to maintain power, the less influence the EU has. Moreover, even if the domestic adjustment costs are not prohibitively high, for EU conditionality to bring about, or lock in democratic change, the positive and negative incentives relating to the benefits of EU membership have to be credible. The limited credibility of the EU’s incentives, both of the sanctions against backsliding in new members and of the reward of accession for current candidate countries in Southeastern Europe, is a key explanation for the setback in the EU’s democratizing role during this decade.</w:t>
      </w:r>
    </w:p>
    <w:p>
      <w:pPr/>
      <w:r>
        <w:rPr>
          <w:b/>
        </w:rPr>
        <w:t>POSSIBLE 2019:</w:t>
      </w:r>
      <w:r>
        <w:t xml:space="preserve"> Human papillomavirus vaccination: The ESGO–EFC position paper of the European society of Gynaecologic Oncology and the European Federation for colposcopy — https://doi.org/10.1016/j.ejca.2019.04.032</w:t>
      </w:r>
    </w:p>
    <w:p>
      <w:pPr/>
      <w:r>
        <w:rPr>
          <w:b/>
        </w:rPr>
        <w:t>Shared claim-specific concepts:</w:t>
      </w:r>
      <w:r>
        <w:t xml:space="preserve"> all, since, appears, good, reduce; EU scope visible. This is a provisional connection, not an outcome finding.</w:t>
      </w:r>
    </w:p>
    <w:p>
      <w:pPr>
        <w:pStyle w:val="SourceNote"/>
      </w:pPr>
      <w:r>
        <w:rPr>
          <w:b/>
        </w:rPr>
        <w:t>Available abstract (not full text):</w:t>
      </w:r>
      <w:r>
        <w:t xml:space="preserve"> Vaccines against human papillomavirus (HPV) are available in Europe since 2006. They have been highly effective in preventing infection and disease caused by the vaccine types. Clinical efficacy data are available for cervical, vulvovaginal and anal precancer and invasive cervical cancer. Disease reduction is best with early vaccination and a coverage of more than 70%. Gender-neutral vaccination provides direct protection for all men and improves the coverage. A good coverage is followed by herd protection of the unvaccinated men and women. School-based programs appear to be most effective; under the age of 15 years, two doses with an interval of 6-12 months are sufficient. From the age of 15 years, the standard regimen with three doses is recommended. A broad catch-up program for young adult women and men improves the effectiveness. The vaccines are also effective in sexually active women and men with previous but cleared infections. Vaccination in addition to local treatment of HPV-related disease appears to reduce recurrent or subsequent HPV-related disease. Combination of HPV vaccination and screening with HPV testing is the most effective approach to prevention of cervical cancer. The screening intervals may increase in the vaccinated cohorts. The upper age limit for vaccination remains to be evaluated, is country specific and depends on cost-effectiveness. The European So</w:t>
      </w:r>
    </w:p>
    <w:p>
      <w:pPr>
        <w:pStyle w:val="Heading2"/>
      </w:pPr>
      <w:r>
        <w:t>1001. Food futures: system transitions towards UK food security</w:t>
      </w:r>
    </w:p>
    <w:p>
      <w:pPr>
        <w:pStyle w:val="SourceNote"/>
      </w:pPr>
      <w:r>
        <w:rPr>
          <w:b/>
        </w:rPr>
        <w:t>Original source (2011):</w:t>
      </w:r>
      <w:r>
        <w:t xml:space="preserve"> https://doi.org/10.4337/jhre.2011.02.04</w:t>
      </w:r>
    </w:p>
    <w:p>
      <w:pPr/>
      <w:r>
        <w:t>Original wording (abstract; indexed_source_text_not_full_document_verified): This article explains how scenarios of this kind can try and capture landscape pressures which might threaten the dominant paradigm and leave room for niche activity to challenge the mainstream.</w:t>
      </w:r>
    </w:p>
    <w:p>
      <w:pPr/>
      <w:r>
        <w:rPr>
          <w:b/>
        </w:rPr>
        <w:t>POSSIBLE 2026:</w:t>
      </w:r>
      <w:r>
        <w:t xml:space="preserve"> Clause Encounters of the Third Kind — https://doi.org/10.1093/9780198945215.003.0252</w:t>
      </w:r>
    </w:p>
    <w:p>
      <w:pPr/>
      <w:r>
        <w:rPr>
          <w:b/>
        </w:rPr>
        <w:t>Shared claim-specific concepts:</w:t>
      </w:r>
      <w:r>
        <w:t xml:space="preserve"> article, kind, capture; EU scope not established. This is a provisional connection, not an outcome finding.</w:t>
      </w:r>
    </w:p>
    <w:p>
      <w:pPr>
        <w:pStyle w:val="SourceNote"/>
      </w:pPr>
      <w:r>
        <w:rPr>
          <w:b/>
        </w:rPr>
        <w:t>Available abstract (not full text):</w:t>
      </w:r>
      <w:r>
        <w:t xml:space="preserve"> Abstract While various organizations now actively encourage large language model use in classrooms, we still lack rigorous, systematic evaluations of how well these models actually perform the fundamental tasks of language pedagogy. This article examines whether state-of-the-art large language models can deliver the kind of corrective feedback and methodological explanations that language learners need. The study tests multiple large language models on their ability to identify, correct, and explain common learner mistakes in English, by systematically varying model parameters to investigate how these technical adjustments affect output quality, pedagogical clarity, and consistency, along with using retrieval-augmented generation to query methodological data. The evaluation employs automated metrics (GLEU, BERTScore) but also human expert judgments to capture dimensions that purely computational measures miss: linguistic nuance, cultural sensitivity, and instructional appropriateness. While models demonstrate impressive surface-level correction abilities, their explanations often lack the terminological and domain knowledge that effective language teaching requires, suggesting that current enthusiasm for AI-assisted language learning may be outpacing our understanding of these systems’ actual pedagogical competence.</w:t>
      </w:r>
    </w:p>
    <w:p>
      <w:pPr/>
      <w:r>
        <w:rPr>
          <w:b/>
        </w:rPr>
        <w:t>POSSIBLE 2024:</w:t>
      </w:r>
      <w:r>
        <w:t xml:space="preserve"> Article 89 — https://doi.org/10.1093/law/9780192864536.003.0110</w:t>
      </w:r>
    </w:p>
    <w:p>
      <w:pPr/>
      <w:r>
        <w:rPr>
          <w:b/>
        </w:rPr>
        <w:t>Shared claim-specific concepts:</w:t>
      </w:r>
      <w:r>
        <w:t xml:space="preserve"> article, explains, kind; EU scope not established. This is a provisional connection, not an outcome finding.</w:t>
      </w:r>
    </w:p>
    <w:p>
      <w:pPr>
        <w:pStyle w:val="SourceNote"/>
      </w:pPr>
      <w:r>
        <w:rPr>
          <w:b/>
        </w:rPr>
        <w:t>Available abstract (not full text):</w:t>
      </w:r>
      <w:r>
        <w:t xml:space="preserve"> Abstract This chapter explains that Art 89 of the UN Charter primarily revolves around the decisions of the Trusteeship Council (TC). Article 89 does not specify what kind of decisions the TC may take, nor whether they are legally binding. Thus, in practice, the decisions of the TC mostly took the form of resolutions, particularly with respect to the supervisory instruments enumerated in Arts 87 and 88. The chapter details the voting procedure concerned with the TC’s decisions. It explains that Art 89 (2) required a majority of members present and voting for decisions of the TC, while Rule 48 of the Rules of Procedure fixed the quorum at two-thirds of the members.</w:t>
      </w:r>
    </w:p>
    <w:p>
      <w:pPr/>
      <w:r>
        <w:rPr>
          <w:b/>
        </w:rPr>
        <w:t>POSSIBLE 2024:</w:t>
      </w:r>
      <w:r>
        <w:t xml:space="preserve"> Carbon capture and utilization under EU law: impermanent storage of CO2 in products and pre-combustion carbon capture — https://doi.org/10.1093/jwelb/jwae009</w:t>
      </w:r>
    </w:p>
    <w:p>
      <w:pPr/>
      <w:r>
        <w:rPr>
          <w:b/>
        </w:rPr>
        <w:t>Shared claim-specific concepts:</w:t>
      </w:r>
      <w:r>
        <w:t xml:space="preserve"> article, explains, capture, landscape, challenge; EU scope visible. This is a provisional connection, not an outcome finding.</w:t>
      </w:r>
    </w:p>
    <w:p>
      <w:pPr>
        <w:pStyle w:val="SourceNote"/>
      </w:pPr>
      <w:r>
        <w:rPr>
          <w:b/>
        </w:rPr>
        <w:t>Available abstract (not full text):</w:t>
      </w:r>
      <w:r>
        <w:t xml:space="preserve"> Abstract The evolving regulatory landscape within the European Union demonstrates a transition from prioritizing carbon capture and storage over carbon capture and utilization towards a more equitable treatment of both approaches in relevant legislation and policy frameworks. Nevertheless, the ‘permanence’ criterion of carbon dioxide in the products remains an ongoing challenge. Within the current European legal framework, harnessing the regulatory incentives depends on how long carbon dioxide remains in carbon capture and utilization products. The study elucidates the evolving regulatory landscape surrounding carbon capture and utilization by examining recent legislative initiatives and amendments to key directives such as the Emissions Trading System Directive and the Renewable Energy Directive. Furthermore, it explores the implications of the European Union Net-zero Industry Act and the Carbon Removal Certification Framework. In addition, this article examines and explains the need for expanding the scope of carbon capture and utilization and storage by incorporating pre-combustion carbon capture through methane splitting into the definition.</w:t>
      </w:r>
    </w:p>
    <w:p>
      <w:pPr/>
      <w:r>
        <w:rPr>
          <w:b/>
        </w:rPr>
        <w:t>POSSIBLE 2022:</w:t>
      </w:r>
      <w:r>
        <w:t xml:space="preserve"> Epistasis and Adaptation on Fitness Landscapes — https://doi.org/10.1146/annurev-ecolsys-102320-112153</w:t>
      </w:r>
    </w:p>
    <w:p>
      <w:pPr/>
      <w:r>
        <w:rPr>
          <w:b/>
        </w:rPr>
        <w:t>Shared claim-specific concepts:</w:t>
      </w:r>
      <w:r>
        <w:t xml:space="preserve"> article, capture, landscape; EU scope not established. This is a provisional connection, not an outcome finding.</w:t>
      </w:r>
    </w:p>
    <w:p>
      <w:pPr>
        <w:pStyle w:val="SourceNote"/>
      </w:pPr>
      <w:r>
        <w:rPr>
          <w:b/>
        </w:rPr>
        <w:t>Available abstract (not full text):</w:t>
      </w:r>
      <w:r>
        <w:t xml:space="preserve"> Epistasis occurs when the effect of a mutation depends on its carrier's genetic background. Despite increasing evidence that epistasis for fitness is common, its role during evolution is contentious. Fitness landscapes, which are mappings of genotype or phenotype to fitness, capture the full extent and complexity of epistasis. Fitness landscape theory has shown how epistasis affects the course and the outcome of evolution. Moreover, by measuring the competitive fitness of sets of tens to thousands of connected genotypes, empirical fitness landscapes have shown that epistasis is frequent and depends on the fitness measure, the choice of mutations for the landscape, and the environment in which it was measured. In this article, I review fitness landscape theory and experiments and their implications for the role of epistasis in adaptation. I discuss theoretical expectations in the light of empirical fitness landscapes and highlight open challenges and future directions toward integrating theory and data and incorporating ecological factors.</w:t>
      </w:r>
    </w:p>
    <w:p>
      <w:pPr/>
      <w:r>
        <w:rPr>
          <w:b/>
        </w:rPr>
        <w:t>POSSIBLE 2022:</w:t>
      </w:r>
      <w:r>
        <w:t xml:space="preserve"> Identity in sustainability transitions: The crucial role of landscape in the Green Heart — https://doi.org/10.1016/j.eist.2022.01.008</w:t>
      </w:r>
    </w:p>
    <w:p>
      <w:pPr/>
      <w:r>
        <w:rPr>
          <w:b/>
        </w:rPr>
        <w:t>Shared claim-specific concepts:</w:t>
      </w:r>
      <w:r>
        <w:t xml:space="preserve"> article, landscape, pressures, challenge; EU scope visible. This is a provisional connection, not an outcome finding.</w:t>
      </w:r>
    </w:p>
    <w:p>
      <w:pPr>
        <w:pStyle w:val="SourceNote"/>
      </w:pPr>
      <w:r>
        <w:rPr>
          <w:b/>
        </w:rPr>
        <w:t>Available abstract (not full text):</w:t>
      </w:r>
      <w:r>
        <w:t xml:space="preserve"> This article proposes that identity formation and reformation are important dynamics that influence and are influenced by the course of a sustainability transition. We study identity (re-)formation in the transition of the dairy sector in a rural area in the Netherlands: the Green Heart. Soil subsidence, high emissions, and economic pressures require substantial changes in practices in the dairy sector and most importantly, the landscape that it is intertwined with. We use narrative analysis to study identity (re-)formation in two new stakeholder collectives that aim to address sustainability in the area. We identify discrepancies between the narratives in these collectives and the transition challenge. These discrepancies can be explained by the role that the landscape of the Green Heart plays in the identity (re-)formation within these collectives. The attachment to the current landscape forms a lock-in for the sustainability transition in this area.</w:t>
      </w:r>
    </w:p>
    <w:p>
      <w:pPr/>
      <w:r>
        <w:rPr>
          <w:b/>
        </w:rPr>
        <w:t>POSSIBLE 2021:</w:t>
      </w:r>
      <w:r>
        <w:t xml:space="preserve"> Leadership for careful and kind care — https://doi.org/10.1136/leader-2021-000451</w:t>
      </w:r>
    </w:p>
    <w:p>
      <w:pPr/>
      <w:r>
        <w:rPr>
          <w:b/>
        </w:rPr>
        <w:t>Shared claim-specific concepts:</w:t>
      </w:r>
      <w:r>
        <w:t xml:space="preserve"> article, kind, activity; EU scope not established. This is a provisional connection, not an outcome finding.</w:t>
      </w:r>
    </w:p>
    <w:p>
      <w:pPr>
        <w:pStyle w:val="SourceNote"/>
      </w:pPr>
      <w:r>
        <w:rPr>
          <w:b/>
        </w:rPr>
        <w:t>Available abstract (not full text):</w:t>
      </w:r>
      <w:r>
        <w:t xml:space="preserve"> The fundamental role of healthcare organisations ought to be to care for patients. The care of patients is a human activity by which people with the capacity to care notice and respond well, with compassion and competence, to people who seek this care.1 This article describes how, instead, healthcare has industrialised care; with care degraded, care has become transactional. It has overwhelmed the capacity of both the people called to care and those that receive care, and has rendered care unsustainable.2 We propose that leaders can restore care by turning their organisations away from industrial healthcare and asserting their organisation’s purpose to enact careful and kind care. This article describes that turning away and invites healthcare leaders to pioneer it from within their organisations. First, we explain the pathologies of care and an alternative to them, and then what leaders might do to turn this new strategy into action.</w:t>
        <w:br/>
        <w:br/>
        <w:t xml:space="preserve">The public expects healthcare organisations to enable care by supporting the work of people responding to the problematic situations of their patients. Yet, healthcare organisations respond to their external environment and to the policies and structures—austerity, greed, poverty—that condition the kind of healthcare that clinicians give and patients receive.3 4 Extrinsic motivators encoded in healthcare policies determine what is measured,5 how </w:t>
      </w:r>
    </w:p>
    <w:p>
      <w:pPr/>
      <w:r>
        <w:rPr>
          <w:b/>
        </w:rPr>
        <w:t>POSSIBLE 2021:</w:t>
      </w:r>
      <w:r>
        <w:t xml:space="preserve"> Conducting comprehensive scoping reviews to systematically capture the landscape of a subject matter — https://doi.org/10.18332/popmed/143831</w:t>
      </w:r>
    </w:p>
    <w:p>
      <w:pPr/>
      <w:r>
        <w:rPr>
          <w:b/>
        </w:rPr>
        <w:t>Shared claim-specific concepts:</w:t>
      </w:r>
      <w:r>
        <w:t xml:space="preserve"> article, capture, landscape; EU scope not established. This is a provisional connection, not an outcome finding.</w:t>
      </w:r>
    </w:p>
    <w:p>
      <w:pPr>
        <w:pStyle w:val="SourceNote"/>
      </w:pPr>
      <w:r>
        <w:rPr>
          <w:b/>
        </w:rPr>
        <w:t>Available abstract (not full text):</w:t>
      </w:r>
      <w:r>
        <w:t xml:space="preserve"> Scientific publications or health research publications have seen a dramatic increase during the last few decades.Given this rapid production of information, literature reviews have become an imperative cornerstone for researchers to gain a better understanding of the research landscape that they are investigating.One type of literature review that has shown great utility is the scoping review, with its great efficiency in mapping existing literature and synthesizing knowledge.A step-by-step guide is provided in this article as an introduction to those who are interested in conducting scoping reviews in order to acquire a better picture of the research landscape.To help better understand the intricacies to conducting a scoping review, each step of the process is clearly explained and elaborated on.Each step is also followed by examples from published literature.The intended audience includes students and researchers new to scoping reviews.</w:t>
      </w:r>
    </w:p>
    <w:p>
      <w:pPr/>
      <w:r>
        <w:rPr>
          <w:b/>
        </w:rPr>
        <w:t>POSSIBLE 2019:</w:t>
      </w:r>
      <w:r>
        <w:t xml:space="preserve"> How to Explain Behavior? — https://doi.org/10.1111/tops.12480</w:t>
      </w:r>
    </w:p>
    <w:p>
      <w:pPr/>
      <w:r>
        <w:rPr>
          <w:b/>
        </w:rPr>
        <w:t>Shared claim-specific concepts:</w:t>
      </w:r>
      <w:r>
        <w:t xml:space="preserve"> article, kind, challenge; EU scope not established. This is a provisional connection, not an outcome finding.</w:t>
      </w:r>
    </w:p>
    <w:p>
      <w:pPr>
        <w:pStyle w:val="SourceNote"/>
      </w:pPr>
      <w:r>
        <w:rPr>
          <w:b/>
        </w:rPr>
        <w:t>Available abstract (not full text):</w:t>
      </w:r>
      <w:r>
        <w:t xml:space="preserve"> Unlike behaviorism, cognitive psychology relies on mental concepts to explain behavior. Yet mental processes are not directly observable and multiple explanations are possible, which poses a challenge for finding a useful framework. In this article, I distinguish three new frameworks for explanations that emerged after the cognitive revolution. The first is called tools-to-theories: Psychologists' new tools for data analysis, such as computers and statistics, are turned into theories of mind. The second proposes as-if theories: Expected utility theory and Bayesian statistics are turned into theories of mind, describing an optimal solution of a problem but not its psychological process. The third studies the adaptive toolbox (formal models of heuristics) that describes mental processes in situations of uncertainty where an optimal solution is unknown. Depending on which framework researchers choose, they will model behavior in either situations of risk or of uncertainty, and construct models of cognitive processes or not. The frameworks also determine what questions are asked and what kind of data are generated. What all three frameworks have in common, however, is a clear preference for formal models rather than explanations by general dichotomies or mere verbal concepts. The frameworks have considerable potential to inform each other and to generate points of integration.</w:t>
      </w:r>
    </w:p>
    <w:p>
      <w:pPr/>
      <w:r>
        <w:rPr>
          <w:b/>
        </w:rPr>
        <w:t>POSSIBLE 2019:</w:t>
      </w:r>
      <w:r>
        <w:t xml:space="preserve"> Reassessing the Host Defense Peptide Landscape — https://doi.org/10.3389/fchem.2019.00043</w:t>
      </w:r>
    </w:p>
    <w:p>
      <w:pPr/>
      <w:r>
        <w:rPr>
          <w:b/>
        </w:rPr>
        <w:t>Shared claim-specific concepts:</w:t>
      </w:r>
      <w:r>
        <w:t xml:space="preserve"> capture, landscape, activity; EU scope not established. This is a provisional connection, not an outcome finding.</w:t>
      </w:r>
    </w:p>
    <w:p>
      <w:pPr>
        <w:pStyle w:val="SourceNote"/>
      </w:pPr>
      <w:r>
        <w:rPr>
          <w:b/>
        </w:rPr>
        <w:t>Available abstract (not full text):</w:t>
      </w:r>
      <w:r>
        <w:t xml:space="preserve"> Current research has demonstrated that small cationic amphipathic peptides have strong potential not only as antimicrobials, but also as antibiofilm agents, immune modulators, and anti-inflammatories. Although traditionally termed antimicrobial peptides (AMPs) these additional roles have prompted a shift in terminology to use the broader term host defense peptides (HDPs) to capture the multi-functional nature of these molecules. In this review, we critically examined the role of AMPs and HDPs in infectious diseases and inflammation. It is generally accepted that HDPs are multi-faceted mediators of a wide range of biological processes, with individual activities dependent on their polypeptide sequence. In this context, we explore the concept of chemical space as it applies to HDPs and hypothesize that the various functions and activities of this class of molecule exist on independent but overlapping activity landscapes. Finally, we outline several emerging functions and roles of HDPs and highlight how an improved understanding of these processes can potentially be leveraged to more fully realize the therapeutic promise of HDPs.</w:t>
      </w:r>
    </w:p>
    <w:p>
      <w:pPr/>
      <w:r>
        <w:rPr>
          <w:b/>
        </w:rPr>
        <w:t>POSSIBLE 2016:</w:t>
      </w:r>
      <w:r>
        <w:t xml:space="preserve"> Comparative agriculture methods capture distinct production practices across a broadacre Australian landscape — https://doi.org/10.1016/j.agee.2016.09.020</w:t>
      </w:r>
    </w:p>
    <w:p>
      <w:pPr/>
      <w:r>
        <w:rPr>
          <w:b/>
        </w:rPr>
        <w:t>Shared claim-specific concepts:</w:t>
      </w:r>
      <w:r>
        <w:t xml:space="preserve"> capture, landscape, challenge; EU scope not established. This is a provisional connection, not an outcome finding.</w:t>
      </w:r>
    </w:p>
    <w:p>
      <w:pPr>
        <w:pStyle w:val="SourceNote"/>
      </w:pPr>
      <w:r>
        <w:rPr>
          <w:b/>
        </w:rPr>
        <w:t>Available abstract (not full text):</w:t>
      </w:r>
      <w:r>
        <w:t xml:space="preserve"> In farming systems research the link between farm resources, management and performances is often described, but rarely confirmed or quantified. Problems arise in formalising such linkages because substantial spatial and longitudinal whole-farm data are difficult to acquire. This study used the integrative discipline of comparative agriculture to collect such information and address a wide range of related farming system questions. The mixed method procedure included a landscape analysis, a historical investigation, and the collection of current farm information from 36 farms, representing half the farming businesses of a 4 000 km2 area in a region of the Western Australian wheatbelt (≈300 mm/year) with highly variable soils. Land types influenced management, including cropping specialisation, and explained some of the regional variability in grain yield and enterprise mix. Rotations varied by soil type and farm type. On average their duration was 3–4 years, typically starting with a 2–3 years of wheat, resulting in overall composition of 64% cereals, 20% break crops and 16% pastures/fallows. Break crops were grown more on light sandy soils than on heavier fine-textured soils. Lights soils were managed similarly by all farmers but distinctions occurred on heavier soils between mixed crop-livestock farmers and cropping specialists. This divergence in farming production was expla</w:t>
      </w:r>
    </w:p>
    <w:p>
      <w:pPr/>
      <w:r>
        <w:rPr>
          <w:b/>
        </w:rPr>
        <w:t>POSSIBLE 2012:</w:t>
      </w:r>
      <w:r>
        <w:t xml:space="preserve"> The ecological approach to visual perception and the actor performance captured in the gaming landscape — https://doi.org/10.1386/ap3.2.1-2.137_1</w:t>
      </w:r>
    </w:p>
    <w:p>
      <w:pPr/>
      <w:r>
        <w:rPr>
          <w:b/>
        </w:rPr>
        <w:t>Shared claim-specific concepts:</w:t>
      </w:r>
      <w:r>
        <w:t xml:space="preserve"> article, capture, landscape; EU scope not established. This is a provisional connection, not an outcome finding.</w:t>
      </w:r>
    </w:p>
    <w:p>
      <w:pPr>
        <w:pStyle w:val="SourceNote"/>
      </w:pPr>
      <w:r>
        <w:rPr>
          <w:b/>
        </w:rPr>
        <w:t>Available abstract (not full text):</w:t>
      </w:r>
      <w:r>
        <w:t xml:space="preserve"> Abstract The use of Performance Capture techniques in the creation of games that involve Motion Capture is a relatively new phenomenon. To date, there is no prescribed methodology that prepares actors for the rigours of this new industry and as such there are many questions to be answered around how actors navigate these environments successfully when all available training and theoretical material is focused on performance for theatre and film. This article proposes that through a deployment of an ecological approach to visual perception we may begin to chart this territory for actors and begin to contend with the demands of performing for the motion captured gaming scenario.</w:t>
      </w:r>
    </w:p>
    <w:p>
      <w:pPr>
        <w:pStyle w:val="Heading2"/>
      </w:pPr>
      <w:r>
        <w:t>1002. Foresight on the future of public research metrology in Europe</w:t>
      </w:r>
    </w:p>
    <w:p>
      <w:pPr>
        <w:pStyle w:val="SourceNote"/>
      </w:pPr>
      <w:r>
        <w:rPr>
          <w:b/>
        </w:rPr>
        <w:t>Original source (2011):</w:t>
      </w:r>
      <w:r>
        <w:t xml:space="preserve"> https://doi.org/10.1108/14636681111109660</w:t>
      </w:r>
    </w:p>
    <w:p>
      <w:pPr/>
      <w:r>
        <w:t>Original wording (abstract; indexed_source_text_not_full_document_verified): Purpose The aim of this paper is to describe and evaluate the use of a five‐step foresight process and the application of scenario methods to grasp the range of future alternatives that might confront researchers and research managers in European metrology research institutes. Design/methodology/approach The paper illustrates how scenario methods were used to, first, serve as a basis for policy recommendations for the field of European metrology research institutes and, second, help experts and stakeholders to network and actively discuss a shared vision of the future of the field.</w:t>
      </w:r>
    </w:p>
    <w:p>
      <w:pPr/>
      <w:r>
        <w:rPr>
          <w:b/>
        </w:rPr>
        <w:t>POSSIBLE 2026:</w:t>
      </w:r>
      <w:r>
        <w:t xml:space="preserve"> The prevalence of cannabidiol (CBD) use in North America and Europe: A meta‐analysis — https://doi.org/10.1111/add.70360</w:t>
      </w:r>
    </w:p>
    <w:p>
      <w:pPr/>
      <w:r>
        <w:rPr>
          <w:b/>
        </w:rPr>
        <w:t>Shared claim-specific concepts:</w:t>
      </w:r>
      <w:r>
        <w:t xml:space="preserve"> use, five, methods, range; EU scope visible. This is a provisional connection, not an outcome finding.</w:t>
      </w:r>
    </w:p>
    <w:p>
      <w:pPr>
        <w:pStyle w:val="SourceNote"/>
      </w:pPr>
      <w:r>
        <w:rPr>
          <w:b/>
        </w:rPr>
        <w:t>Available abstract (not full text):</w:t>
      </w:r>
      <w:r>
        <w:t xml:space="preserve"> BACKGROUND AND AIMS: The global cannabidiol (CBD) market has expanded in recent years. Several studies suggest CBD use, whether for medical or recreational purposes, is on the rise; however, no systematic assessments of its prevalence have been conducted so far. This meta-analysis aimed to estimate the prevalence of CBD use in North America and Europe independently. METHODS: Searches were conducted in PubMed, PsycINFO and Web of Science on 25 March 2025. A total of 43 studies (48 distinct samples; n = 388 447; 57.52% female) from North America (k = 30; n = 353 088) and Europe (k = 13; n = 35 359) were included in the analyses. The prevalence was estimated at five time periods (i.e. lifetime, past 12 months, past 30 days, past 7 days and daily use) separately for each continent region. Differences in prevalence estimates by sex, year of data collection and sample type (i.e. clinical versus community) were examined. Publication bias was estimated using several indicators, and the methodological quality of the studies was appraised using the Joana Brigg's Institute (JBI) checklist. RESULTS: In preliminary analyses of heterogeneity there was evidence of differences in prevalence between North America and Europe across all time periods (P-value range: &lt; 0.001-0.057). Consequently, the pooled prevalence estimates were calculated for both continental regions separately. In Europe, the</w:t>
      </w:r>
    </w:p>
    <w:p>
      <w:pPr/>
      <w:r>
        <w:rPr>
          <w:b/>
        </w:rPr>
        <w:t>POSSIBLE 2025:</w:t>
      </w:r>
      <w:r>
        <w:t xml:space="preserve"> Appropriateness of antibiotic use in nursing homes for suspected urinary tract infections: comparison across five European countries — https://doi.org/10.1007/s41999-025-01185-0</w:t>
      </w:r>
    </w:p>
    <w:p>
      <w:pPr/>
      <w:r>
        <w:rPr>
          <w:b/>
        </w:rPr>
        <w:t>Shared claim-specific concepts:</w:t>
      </w:r>
      <w:r>
        <w:t xml:space="preserve"> purpose, use, five, methods, used; EU scope visible. This is a provisional connection, not an outcome finding.</w:t>
      </w:r>
    </w:p>
    <w:p>
      <w:pPr>
        <w:pStyle w:val="SourceNote"/>
      </w:pPr>
      <w:r>
        <w:rPr>
          <w:b/>
        </w:rPr>
        <w:t>Available abstract (not full text):</w:t>
      </w:r>
      <w:r>
        <w:t xml:space="preserve"> PURPOSE: Antibiotic use is the main driver of bacterial antimicrobial resistance. Urinary tract infections (UTIs), for which antibiotics are often prescribed, are among the most common infections among residents in nursing homes. This study aimed to estimate and compare the appropriateness of antibiotic use for suspected UTIs among nursing home residents across five European countries. Both the decision to treat and the choice of antibiotics used were explored. METHODS: This cross-sectional study used the Audit Project Odense (APO) method. The appropriateness of the treatment decision for UTIs was evaluated according to symptom presentation in residents without indwelling urinary catheters. The choice of antibiotic used for treatment was evaluated according to the first-line antibiotic recommended for the treatment of UTIs in the respective countries. Data were collected through an institutional sign-up questionnaire and a clinical case registration chart. All residents in new or ongoing treatment with systemic antibiotics were registered during a 6-week period between February and April 2022. RESULTS: A total of 70 nursing homes or wards registered 508 antibiotic treatments for suspected UTIs. The proportion of antibiotics prescribed for UTIs to nursing home residents with no specific UTI symptoms varied from 10% in Poland to 68% in Spain. The proportion of treatments with the</w:t>
      </w:r>
    </w:p>
    <w:p>
      <w:pPr/>
      <w:r>
        <w:rPr>
          <w:b/>
        </w:rPr>
        <w:t>POSSIBLE 2024:</w:t>
      </w:r>
      <w:r>
        <w:t xml:space="preserve"> Characteristics of special purpose acquisition companies as a new challenge in European markets — https://doi.org/10.5937/bizinfo2401089d</w:t>
      </w:r>
    </w:p>
    <w:p>
      <w:pPr/>
      <w:r>
        <w:rPr>
          <w:b/>
        </w:rPr>
        <w:t>Shared claim-specific concepts:</w:t>
      </w:r>
      <w:r>
        <w:t xml:space="preserve"> purpose, aim, managers; EU scope visible. This is a provisional connection, not an outcome finding.</w:t>
      </w:r>
    </w:p>
    <w:p>
      <w:pPr>
        <w:pStyle w:val="SourceNote"/>
      </w:pPr>
      <w:r>
        <w:rPr>
          <w:b/>
        </w:rPr>
        <w:t>Available abstract (not full text):</w:t>
      </w:r>
      <w:r>
        <w:t xml:space="preserve"> Special Purpose Acquisition Company (SPAC) is a special type of public listed company available to investors in financial markets, and was formed with the aim of investing in one or more existing operating companies after raising capital. This paper provides an overview of academic and financial literature on SPACs, describes their characteristics, advantages and risks of using SPAC as a form that does not offer services and does not conduct business operations, but is formed only for the purpose of acquisition of target companies. The paper focuses on the analysis of the impact of these forms of short-term investments on private companies, SPAC managers and investors. The paper further examines whether the impact of SPACs on European financial markets can be expected to grow. Authors’ findings show that, beside limitations for growth of European SPAC number, there is evident interest among European startup companies to go public through SPACs.</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aim, describe, methods, used;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2023:</w:t>
      </w:r>
      <w:r>
        <w:t xml:space="preserve"> Firearm Homicides in Europe: A Comparison with Non-Firearm Homicides in Five European Countries — https://doi.org/10.1080/17440572.2023.2211513</w:t>
      </w:r>
    </w:p>
    <w:p>
      <w:pPr/>
      <w:r>
        <w:rPr>
          <w:b/>
        </w:rPr>
        <w:t>Shared claim-specific concepts:</w:t>
      </w:r>
      <w:r>
        <w:t xml:space="preserve"> use, five, used; EU scope visible. This is a provisional connection, not an outcome finding.</w:t>
      </w:r>
    </w:p>
    <w:p>
      <w:pPr>
        <w:pStyle w:val="SourceNote"/>
      </w:pPr>
      <w:r>
        <w:rPr>
          <w:b/>
        </w:rPr>
        <w:t>Available abstract (not full text):</w:t>
      </w:r>
      <w:r>
        <w:t xml:space="preserve"> Detailed, comparative research on firearm violence in Europe is rare. Using data from the European Homicide Monitor, this paper presents the prevalence and characteristics of firearm homicides in Denmark, Finland, the Netherlands, Sweden and Switzerland between 2001 and 2016. Furthermore, we compare firearm to non-firearm homicides to assess the degree of uniqueness of firearms as modus operandi. We find that the firearm homicide rate varies across our sample of countries. We also identify two country profiles: in Denmark, the Netherlands and Sweden, most firearm homicides take place in public and urban areas, involving male victims and perpetrators. In these countries, the use of firearms in homicides is largely concentrated in the criminal milieu. In Finland and Switzerland, firearms are mostly used in domestic homicides, with a higher share of female victims. We explore these findings in relation to firearm availability in each country.</w:t>
      </w:r>
    </w:p>
    <w:p>
      <w:pPr/>
      <w:r>
        <w:rPr>
          <w:b/>
        </w:rPr>
        <w:t>POSSIBLE 2022:</w:t>
      </w:r>
      <w:r>
        <w:t xml:space="preserve"> Needs of forensic psychiatric patients with schizophrenia in five European countries — https://doi.org/10.1007/s00127-022-02336-5</w:t>
      </w:r>
    </w:p>
    <w:p>
      <w:pPr/>
      <w:r>
        <w:rPr>
          <w:b/>
        </w:rPr>
        <w:t>Shared claim-specific concepts:</w:t>
      </w:r>
      <w:r>
        <w:t xml:space="preserve"> purpose, five, methods, used; EU scope visible. This is a provisional connection, not an outcome finding.</w:t>
      </w:r>
    </w:p>
    <w:p>
      <w:pPr>
        <w:pStyle w:val="SourceNote"/>
      </w:pPr>
      <w:r>
        <w:rPr>
          <w:b/>
        </w:rPr>
        <w:t>Available abstract (not full text):</w:t>
      </w:r>
      <w:r>
        <w:t xml:space="preserve"> AIMS: The purpose was to compare the frequency of needs of patients with schizophrenia in forensic services across five European countries as assessed by both the patients and their care staff. METHODS: Patients with schizophrenia and a history of significant interpersonal violence were recruited from forensic psychiatric services in Austria, Germany, Italy, Poland and England. Participants' needs were assessed using the Camberwell Assessment of Needs-Forensic Version (CANFOR). Multiple linear regression analyses were used to identify predictors of numbers of needs. RESULTS: In this sample, (n = 221) the most commonly reported need according to patients (71.0%) and staff (82.8%) was the management of psychotic symptoms. A need for information was mentioned by about 45% of staff and patients. Staff members reported a significantly higher number of total needs than patients (mean 6.9 vs. 6.2). In contrast, staff members reported a significantly lower number of unmet needs than patients (mean 2.0 vs. 2.5). Numbers of total needs and met needs differed between countries. Unmet needs as reported by patients showed positive associations with the absence of comorbid personality disorder, with higher positive symptom scores and lifetime suicide or self-harm history. Significant predictors of unmet needs according to staff were absence of comorbid personality disorder and higher positiv</w:t>
      </w:r>
    </w:p>
    <w:p>
      <w:pPr/>
      <w:r>
        <w:rPr>
          <w:b/>
        </w:rPr>
        <w:t>POSSIBLE 2022:</w:t>
      </w:r>
      <w:r>
        <w:t xml:space="preserve"> Comparison of drug prescribing before and during the COVID ‐19 pandemic: A cross‐national European study — https://doi.org/10.1002/pds.5509</w:t>
      </w:r>
    </w:p>
    <w:p>
      <w:pPr/>
      <w:r>
        <w:rPr>
          <w:b/>
        </w:rPr>
        <w:t>Shared claim-specific concepts:</w:t>
      </w:r>
      <w:r>
        <w:t xml:space="preserve"> purpose, aim, describe, use, five, methods; EU scope visible. This is a provisional connection, not an outcome finding.</w:t>
      </w:r>
    </w:p>
    <w:p>
      <w:pPr>
        <w:pStyle w:val="SourceNote"/>
      </w:pPr>
      <w:r>
        <w:rPr>
          <w:b/>
        </w:rPr>
        <w:t>Available abstract (not full text):</w:t>
      </w:r>
      <w:r>
        <w:t xml:space="preserve"> PURPOSE: The COVID-19 pandemic had an impact on health care, with disruption to routine clinical care. Our aim was to describe changes in prescription drugs dispensing in the primary and outpatient sectors during the first year of the pandemic across Europe. METHODS: We used routine administrative data on dispensed medicines in eight European countries (five whole countries, three represented by one region each) from January 2017 to March 2021 to compare the first year of the COVID-19 pandemic with the preceding 3 years. RESULTS: In the 10 therapeutic subgroups with the highest dispensed volumes across all countries/regions the relative changes between the COVID-19 period and the year before were mostly of a magnitude similar to changes between previous periods. However, for drugs for obstructive airway diseases the changes in the COVID-19 period were stronger in several countries/regions. In all countries/regions a decrease in dispensed DDDs of antibiotics for systemic use (from -39.4% in Romagna to -14.2% in Scotland) and nasal preparations (from -34.4% in Lithuania to -5.7% in Sweden) was observed. We observed a stockpiling effect in the total market in March 2020 in six countries/regions. In Czechia the observed increase was not significant and in Slovenia volumes increased only after the end of the first lockdown. We found an increase in average therapeutic quantity per pa</w:t>
      </w:r>
    </w:p>
    <w:p>
      <w:pPr/>
      <w:r>
        <w:rPr>
          <w:b/>
        </w:rPr>
        <w:t>POSSIBLE 2022:</w:t>
      </w:r>
      <w:r>
        <w:t xml:space="preserve"> Susceptibility to tobacco use and associated factors among youth in five central and eastern European countries — https://doi.org/10.1186/s12889-022-12493-6</w:t>
      </w:r>
    </w:p>
    <w:p>
      <w:pPr/>
      <w:r>
        <w:rPr>
          <w:b/>
        </w:rPr>
        <w:t>Shared claim-specific concepts:</w:t>
      </w:r>
      <w:r>
        <w:t xml:space="preserve"> aim, use, five, methods, used; EU scope visible. This is a provisional connection, not an outcome finding.</w:t>
      </w:r>
    </w:p>
    <w:p>
      <w:pPr>
        <w:pStyle w:val="SourceNote"/>
      </w:pPr>
      <w:r>
        <w:rPr>
          <w:b/>
        </w:rPr>
        <w:t>Available abstract (not full text):</w:t>
      </w:r>
      <w:r>
        <w:t xml:space="preserve"> BACKGROUND: Tobacco use among young people still remains a major public health problem. Thus, the aim of this study was to perform a cross-country comparison for the factors associated with susceptibility to tobacco use among youth from five central and eastern European countries. METHODS: The data used in the current analysis, focusing on youth (aged 11-17 years), who have never tried or experimented with cigarette smoking, was available from the recent Global Youth Tobacco Survey (Czech Republic (2016), n = 1997; Slovakia (2016), n = 1998; Slovenia (2017), n = 1765; Romania (2017), n = 3718; Lithuania (2018), n = 1305). Simple, multiple logistic regression analyses and random-effect meta-analysis were conducted to identify factors associated with tobacco use susceptibility as the lack of a firm commitment not to smoke. RESULTS: Nearly a quarter of the students were susceptible to tobacco use in 4 of 5 countries. The following factors were identified, consistently across countries, as correlates of tobacco use susceptibility: exposure to passive smoking in public places (AOR from 1.3; p = 0.05 in Slovakia to 1.6; p &lt; 0.01 in Czech Republic and Romania), peers smoking status (AOR from 1.8 p &lt; 0.01 in Slovakia to 2.5; p &lt; 0.01 Lithuania), opinion that smoking helped people feel more comfortable at celebrations (AOR from 1.3; p = 0.01 in Czech Republic to 1.9; p &lt; 0.01 in Lithuan</w:t>
      </w:r>
    </w:p>
    <w:p>
      <w:pPr/>
      <w:r>
        <w:rPr>
          <w:b/>
        </w:rPr>
        <w:t>POSSIBLE 2021:</w:t>
      </w:r>
      <w:r>
        <w:t xml:space="preserve"> Differences in hip fracture care in Europe: a systematic review of recent annual reports of hip fracture registries — https://doi.org/10.1007/s00068-021-01797-8</w:t>
      </w:r>
    </w:p>
    <w:p>
      <w:pPr/>
      <w:r>
        <w:rPr>
          <w:b/>
        </w:rPr>
        <w:t>Shared claim-specific concepts:</w:t>
      </w:r>
      <w:r>
        <w:t xml:space="preserve"> purpose, describe, process, methods; EU scope visible. This is a provisional connection, not an outcome finding.</w:t>
      </w:r>
    </w:p>
    <w:p>
      <w:pPr>
        <w:pStyle w:val="SourceNote"/>
      </w:pPr>
      <w:r>
        <w:rPr>
          <w:b/>
        </w:rPr>
        <w:t>Available abstract (not full text):</w:t>
      </w:r>
      <w:r>
        <w:t xml:space="preserve"> PURPOSE: Hip fractures are of growing interest due to their increasing number, subsequent functional decline and high institutionalization rate of patients, mortality, and costs. Several process measurements are essential for hip fracture care. To compare and improve these, hip fracture registries in Europe became popular. This systematic review aims to describe the differences between hip fracture registries in Europe as well as the differences in hip fracture treatment between countries. METHODS: A systematic search using the keywords "hip fracture" AND "national" AND "database OR audit OR registry OR register" was performed in PubMed, Embase and Cochrane Library according to PRISMA guidelines till 3rd December 2020. Recent annual reports of identified hip fracture registries in Europe were additionally identified in June 2021. Comparisons of most common case-mix, process and outcome measurements were performed. RESULTS: 11 registries in Europe were identified. Differences were observed regarding inclusion criteria of the different registries. Comparison of the different registries was difficult due to differences in the way to report measurements. While mortality rates differed substantially between countries, most of the process measurements met recommendations according to recent guidelines. CONCLUSION: Hip fracture registries were a valid tool to compare hospitals within </w:t>
      </w:r>
    </w:p>
    <w:p>
      <w:pPr/>
      <w:r>
        <w:rPr>
          <w:b/>
        </w:rPr>
        <w:t>POSSIBLE 2021:</w:t>
      </w:r>
      <w:r>
        <w:t xml:space="preserve"> General population normative data for the EQ-5D-3L in the five largest European economies — https://doi.org/10.1007/s10198-021-01326-9</w:t>
      </w:r>
    </w:p>
    <w:p>
      <w:pPr/>
      <w:r>
        <w:rPr>
          <w:b/>
        </w:rPr>
        <w:t>Shared claim-specific concepts:</w:t>
      </w:r>
      <w:r>
        <w:t xml:space="preserve"> aim, five, methods, used; EU scope visible. This is a provisional connection, not an outcome finding.</w:t>
      </w:r>
    </w:p>
    <w:p>
      <w:pPr>
        <w:pStyle w:val="SourceNote"/>
      </w:pPr>
      <w:r>
        <w:rPr>
          <w:b/>
        </w:rPr>
        <w:t>Available abstract (not full text):</w:t>
      </w:r>
      <w:r>
        <w:t xml:space="preserve"> AIM: The EQ-5D is a generic measure of health that is widely applied for health economic and non-economic purposes. Population norms can be used to facilitate the interpretation of EQ-5D data. The objective of this study was to develop a set of pooled normative EQ-5D-3L values for the five largest European economies (EUR5). METHODS: EQ-5D-3L index values based on the time trade-off (TTO) were available for all EUR5 countries (n = 21,425): France, Germany, Italy, Spain, and the United Kingdom (UK). Country-specific data sets were aggregated and weighted to facilitate the derivation of norms for gender and age groups. Analyses included equal weighting and weighting by population and economy size. Norms were also calculated using the European visual analog scale-based value set (European VAS), the EQ VAS and separately by dimension. RESULTS: Pooled mean (SD) population weighted TTO values for males/females were 0.967 (0.122)/0.959 (0.118) for ages 18-24; 0.965 (0.096)/0.954 (0.117) for ages 25-34; 0.943 (0.165)/0.936 (0.169) for ages 35-44; 0.934 (0.150)/0.921 (0.157) for ages 45-54; 0.896 (0.188)/0.875 (0.197) for ages 55-64; 0.900 (0.158)/0.839 (0.218) for ages 65-74; and 0.830 (0.234)/0.756 (0.291) for ages 75 and older. Mean values decreased and variance increased with age; females had slightly lower mean values than males across all age bands. The unequal weighting approaches</w:t>
      </w:r>
    </w:p>
    <w:p>
      <w:pPr/>
      <w:r>
        <w:rPr>
          <w:b/>
        </w:rPr>
        <w:t>POSSIBLE 2021:</w:t>
      </w:r>
      <w:r>
        <w:t xml:space="preserve"> On the changes of the intention to leave the parental home during the COVID-19 pandemic: a comparison among five European countries — https://doi.org/10.1186/s41118-021-00117-7</w:t>
      </w:r>
    </w:p>
    <w:p>
      <w:pPr/>
      <w:r>
        <w:rPr>
          <w:b/>
        </w:rPr>
        <w:t>Shared claim-specific concepts:</w:t>
      </w:r>
      <w:r>
        <w:t xml:space="preserve"> purpose, describe, five, first; EU scope visible. This is a provisional connection, not an outcome finding.</w:t>
      </w:r>
    </w:p>
    <w:p>
      <w:pPr>
        <w:pStyle w:val="SourceNote"/>
      </w:pPr>
      <w:r>
        <w:rPr>
          <w:b/>
        </w:rPr>
        <w:t>Available abstract (not full text):</w:t>
      </w:r>
      <w:r>
        <w:t xml:space="preserve"> With the spread of the SARS-CoV-2 pandemic in Europe during the first months of 2020, most of the governments imposed restrictive measures to people mobility and physical distance (the lockdown), which severely impacted on the economic activities and performance of many countries. Thus, the health emergency turned rapidly into in an economic crisis. The COVID-19 crisis in Europe increased the uncertainty about the economic recovery and the end of health emergency. This situation is supposed to have conditioned individuals' life course path with the effect of inducing people to postpone or to abandon many life plans. This paper aims to explore and describe whether the rise of health emergency due to the COVID-19 has delayed or vanished young people's intention to leave the parental home, in order to establish their own household, during 2020 in five European countries: Italy, Germany, France, Spain and the UK. Using data from an international survey from the "Youth Project", carried out by the Toniolo Institute of Advanced Studies, this paper implements generalized logistic models for ordinal dependent variables to investigate the factors associated with a possible revision of the choice of leaving the parental home for a representative sample of 6000 respondents aged 18 to 34, interviewed between March and April 2020. In particular, we compare the effect of the occupational con</w:t>
      </w:r>
    </w:p>
    <w:p>
      <w:pPr/>
      <w:r>
        <w:rPr>
          <w:b/>
        </w:rPr>
        <w:t>POSSIBLE 2021:</w:t>
      </w:r>
      <w:r>
        <w:t xml:space="preserve"> Identifying behavioral and attitudinal barriers and drivers to promote consumption of pulses: A quantitative survey across five European countries — https://doi.org/10.1016/j.foodqual.2021.104455</w:t>
      </w:r>
    </w:p>
    <w:p>
      <w:pPr/>
      <w:r>
        <w:rPr>
          <w:b/>
        </w:rPr>
        <w:t>Shared claim-specific concepts:</w:t>
      </w:r>
      <w:r>
        <w:t xml:space="preserve"> five, used, first; EU scope visible. This is a provisional connection, not an outcome finding.</w:t>
      </w:r>
    </w:p>
    <w:p>
      <w:pPr>
        <w:pStyle w:val="SourceNote"/>
      </w:pPr>
      <w:r>
        <w:rPr>
          <w:b/>
        </w:rPr>
        <w:t>Available abstract (not full text):</w:t>
      </w:r>
      <w:r>
        <w:t xml:space="preserve"> Even though pulses are nutritious and environmentally friendly high-protein crops, they are commonly regarded as old-fashioned. Consumption of pulses is low in developed countries, and it has received very limited attention in agricultural and behavioral research over the past years. Based on a pan-European survey, the present study aims to provide extensive insights into consumer perceptions towards pulses. The objective is to identify effective measures to increase consumer acceptance of pulses, and thus potentially increase their share in the daily diets across Europe. Quantitative data was collected in May 2020 through a web-based survey conducted in five different European countries, Germany, Denmark, Spain, Poland, and the United Kingdom (N = 4,916). Quota-based sampling was used to ensure comparability across samples and wide coverage in terms of age, gender, and locality of residence. Using cluster analysis with a subsequent logistic regression, cross-cultural differences were found in terms of relatively high consumption of pulses among Spanish respondents, somewhat lower for Polish, German and UK respondents, and even lower among Danish respondents. Drivers of consumption significantly differed across surveyed samples, mainly being health first, followed by sensory preferences. For respondents from Poland, Spain, and Germany the main reason for not consuming pulses re</w:t>
      </w:r>
    </w:p>
    <w:p>
      <w:pPr>
        <w:pStyle w:val="Heading2"/>
      </w:pPr>
      <w:r>
        <w:t>1003. Future scenarios for a depressed region of England: the role of education in creating alternative futures</w:t>
      </w:r>
    </w:p>
    <w:p>
      <w:pPr>
        <w:pStyle w:val="SourceNote"/>
      </w:pPr>
      <w:r>
        <w:rPr>
          <w:b/>
        </w:rPr>
        <w:t>Original source (2011):</w:t>
      </w:r>
      <w:r>
        <w:t xml:space="preserve"> https://doi.org/10.1108/14636681111179564</w:t>
      </w:r>
    </w:p>
    <w:p>
      <w:pPr/>
      <w:r>
        <w:t>Original wording (abstract; indexed_source_text_not_full_document_verified): Findings Four scenarios were developed as possible futures for the region to help inform policy making, in particular educational policy to encourage more young people to remain in education for longer and gain higher qualifications. Purpose This paper seeks to outline four scenarios developed for the future of the South West Midlands region of England.</w:t>
      </w:r>
    </w:p>
    <w:p>
      <w:pPr/>
      <w:r>
        <w:rPr>
          <w:b/>
        </w:rPr>
        <w:t>POSSIBLE 2026:</w:t>
      </w:r>
      <w:r>
        <w:t xml:space="preserve"> The Effect of Government Health Expenditure on Infant Mortality Rates in the SADC Region: A Case of Four Countries — https://doi.org/10.47772/ijriss.2025.91200312</w:t>
      </w:r>
    </w:p>
    <w:p>
      <w:pPr/>
      <w:r>
        <w:rPr>
          <w:b/>
        </w:rPr>
        <w:t>Shared claim-specific concepts:</w:t>
      </w:r>
      <w:r>
        <w:t xml:space="preserve"> findings, four, region, help, education, south; EU scope not established. This is a provisional connection, not an outcome finding.</w:t>
      </w:r>
    </w:p>
    <w:p>
      <w:pPr>
        <w:pStyle w:val="SourceNote"/>
      </w:pPr>
      <w:r>
        <w:rPr>
          <w:b/>
        </w:rPr>
        <w:t>Available abstract (not full text):</w:t>
      </w:r>
      <w:r>
        <w:t xml:space="preserve"> This study aimed to examine the effect of Government Health Expenditure (GHE) on Infant Mortality Rates (IMR) in the Southern African Development Community (SADC) region, focusing on four countries, namely: Botswana, Eswatini, Namibia, and South Africa. Rooted in the Grossman Theory of Health Demand and the Wagstaff Model, the research employed a quantitative, longitudinal research design using panel data from 2010 - 2022. Data was sourced from the World Bank’s development indicators and an Ordinary Least Squares (OLS) regression model was utilised to analyse this data using STATA statistical software. The findings of this study indicate that increased GHE significantly reduces IMR in the SADC region, with the results showing that a 1% increase in GHE (as % of GDP) reduces IMR by approximately 4.83 deaths per 1,000 live births. The mediating variables, namely: Maternal Education (ME) and Access to Clean Water (CW), have also shown a statistical significance in amplifying the effect of GHE on IMR in this region. Results indicate that a 1% increase in spending on each of the two mediating variables, ME and CW, resulted in reductions in IMR of 0.492 and 0.518 deaths per 1000 live births respectively. These finding support the hypotheses that GHE has a significant negative effect on IMR in the SADC region; and that both ME and CW have a significant negative effect on IMR and thus a</w:t>
      </w:r>
    </w:p>
    <w:p>
      <w:pPr/>
      <w:r>
        <w:rPr>
          <w:b/>
        </w:rPr>
        <w:t>POSSIBLE 2026:</w:t>
      </w:r>
      <w:r>
        <w:t xml:space="preserve"> Developing Wholesome Intention Through the Four Right Efforts (Sammappadhāna) — https://openalex.org/W7220616391</w:t>
      </w:r>
    </w:p>
    <w:p>
      <w:pPr/>
      <w:r>
        <w:rPr>
          <w:b/>
        </w:rPr>
        <w:t>Shared claim-specific concepts:</w:t>
      </w:r>
      <w:r>
        <w:t xml:space="preserve"> findings, four, particular; EU scope not established. This is a provisional connection, not an outcome finding.</w:t>
      </w:r>
    </w:p>
    <w:p>
      <w:pPr>
        <w:pStyle w:val="SourceNote"/>
      </w:pPr>
      <w:r>
        <w:rPr>
          <w:b/>
        </w:rPr>
        <w:t>Available abstract (not full text):</w:t>
      </w:r>
      <w:r>
        <w:t xml:space="preserve"> This mixed-methods action research study examined the development of wholesome intention among student volunteers at the International Buddhist Studies College (IBSC), with particular attention to volunteer fatigue, expectation-related distress, and intention–behavior consistency. The study had three objectives: (1) to identify current challenges affecting wholesome intention among IBSC student volunteers; (2) to develop a structured cultivation process based on the Four Right Efforts (Sammappadhāna); and (3) to evaluate preliminary changes following the intervention. The research proceeded in three phases. First, semi-structured interviews were conducted with 15 expert informants from Buddhist studies, psychology/mindfulness, volunteer management, and field practice. Second, the qualitative findings informed development of a 12-session iDANA training program integrating the Four Right Efforts with selected cognitive-behavioral tools, including the STOP technique and a 4C Response process. Third, 15 IBSC student volunteers completed a single-group pre-test/post-test evaluation using the 12-item Questionnaire-XJ. Qualitative findings highlighted tension between wholesome aspiration (chanda) and rigid, outcome-dependent expectation (taṇhā) as a recurring challenge in volunteer service. Quantitative results showed significant pre–post improvement on several questionnaire items, in</w:t>
      </w:r>
    </w:p>
    <w:p>
      <w:pPr/>
      <w:r>
        <w:rPr>
          <w:b/>
        </w:rPr>
        <w:t>POSSIBLE 2026:</w:t>
      </w:r>
      <w:r>
        <w:t xml:space="preserve"> Developing a Four-Tier Concept Test on the Topic of Matter for Middle School Students — https://doi.org/10.55549/jeseh.885</w:t>
      </w:r>
    </w:p>
    <w:p>
      <w:pPr/>
      <w:r>
        <w:rPr>
          <w:b/>
        </w:rPr>
        <w:t>Shared claim-specific concepts:</w:t>
      </w:r>
      <w:r>
        <w:t xml:space="preserve"> findings, four, developed; EU scope not established. This is a provisional connection, not an outcome finding.</w:t>
      </w:r>
    </w:p>
    <w:p>
      <w:pPr>
        <w:pStyle w:val="SourceNote"/>
      </w:pPr>
      <w:r>
        <w:rPr>
          <w:b/>
        </w:rPr>
        <w:t>Available abstract (not full text):</w:t>
      </w:r>
      <w:r>
        <w:t xml:space="preserve"> In this study, a four-tier concept test was developed to determine the conceptual understanding and misconceptions of 8th-grade middle school students regarding the topic of matter. The Matter Concept Test (MCT) was prepared with 16 items, each consisting of four steps, and applied to 175 eighth-grade students studying in Eskişehir. SPSS, Excel, and Factor statistical programs were used to analyze the data. According to the results of the exploratory factor analysis, the test's KMO value was found to be .652, exhibiting a four-factor structure with eigenvalues above one and explaining 42.4% of the total variance. All factor loadings were above .30, supporting the construct validity of the items. In the reliability analysis, the KR-20 coefficient for the scientific knowledge score was 0.816, and the KR-20 coefficient for the misconception score was 0.743. Both values being above .70 indicate that the test is reliable. Furthermore, the false positive average was calculated to be 5.2%, and the false negative average was calculated to be 3.7%. Both ratios being below the 10% threshold specified in the literature support the validity of the test. When the item difficulty and discrimination indices were examined, it was seen that the test consisted of items of medium difficulty and high discrimination. The findings showed that students had clear misconceptions about pure matters, ato</w:t>
      </w:r>
    </w:p>
    <w:p>
      <w:pPr/>
      <w:r>
        <w:rPr>
          <w:b/>
        </w:rPr>
        <w:t>POSSIBLE 2025:</w:t>
      </w:r>
      <w:r>
        <w:t xml:space="preserve"> The biophysical economic structure of four developed countries: Lessons for decarbonization — https://doi.org/10.1111/jiec.70062</w:t>
      </w:r>
    </w:p>
    <w:p>
      <w:pPr/>
      <w:r>
        <w:rPr>
          <w:b/>
        </w:rPr>
        <w:t>Shared claim-specific concepts:</w:t>
      </w:r>
      <w:r>
        <w:t xml:space="preserve"> findings, four, developed, particular; EU scope visible. This is a provisional connection, not an outcome finding.</w:t>
      </w:r>
    </w:p>
    <w:p>
      <w:pPr>
        <w:pStyle w:val="SourceNote"/>
      </w:pPr>
      <w:r>
        <w:rPr>
          <w:b/>
        </w:rPr>
        <w:t>Available abstract (not full text):</w:t>
      </w:r>
      <w:r>
        <w:t xml:space="preserve"> Abstract This study provides a comparative analysis of the biophysical economic structures of four developed economies—Sweden, the United States, the United Kingdom, and Canada. We draw upon results from input–output models to map and analyze capital, energy, and carbon relationships in each economy. The capital stock of each country is divided into four sectors: (i) energy production and distribution, (ii) production of goods and services for consumption, (iii) residential, and (iv) construction and manufacture of capital. The findings reveal diverse strengths and challenges in decarbonization efforts across the countries. Sweden excels in “energy production and distribution” and “residential” sectors, owing to its commitment to renewable energy and energy efficiency, but requires attention in goods and services production where carbon intensity is high. The United Kingdom stands out for its high greenhouse gas intensity in residential capital stock and in the consumption of goods and services, underscoring the need for targeted low‐carbon investments. The United States and Canada display high GHG intensities across all sectors, necessitating a more robust transition toward renewable and low‐carbon energy solutions. In particular, the United States’ carbon intensity in its energy sector and Canada's industry dominated by fossil fuel extraction offer specific areas for interven</w:t>
      </w:r>
    </w:p>
    <w:p>
      <w:pPr/>
      <w:r>
        <w:rPr>
          <w:b/>
        </w:rPr>
        <w:t>POSSIBLE 2025:</w:t>
      </w:r>
      <w:r>
        <w:t xml:space="preserve"> Spatial and Temporal Patterns of Mangrove Forest Change in the Mekong Region over Four Decades Based on a Remote Sensing Data-Driven Approach — https://doi.org/10.3390/rs17223728</w:t>
      </w:r>
    </w:p>
    <w:p>
      <w:pPr/>
      <w:r>
        <w:rPr>
          <w:b/>
        </w:rPr>
        <w:t>Shared claim-specific concepts:</w:t>
      </w:r>
      <w:r>
        <w:t xml:space="preserve"> findings, four, region, help; EU scope not established. This is a provisional connection, not an outcome finding.</w:t>
      </w:r>
    </w:p>
    <w:p>
      <w:pPr>
        <w:pStyle w:val="SourceNote"/>
      </w:pPr>
      <w:r>
        <w:rPr>
          <w:b/>
        </w:rPr>
        <w:t>Available abstract (not full text):</w:t>
      </w:r>
      <w:r>
        <w:t xml:space="preserve"> Mangrove forests are critical coastal ecosystems that store carbon, support marine life, and serve as natural barriers, protecting shorelines from erosion and reducing the impact of storms by absorbing wave energy. However, the rise of human activities and sea levels has led to their destruction over the past decades. It is important to know how the areas of mangrove forests change and adapt every year to plan for their restoration and protection and to support future trends like using carbon credits to help developing countries generate income. This study aims to map and monitor mangrove forest area changes over four decades in the Mekong region, comprising Myanmar, Thailand, Cambodia, and Vietnam, from 1984 to 2023 using a time series of Landsat data together with random forest (RF) classification. This analysis implemented multiple approaches, including creating stabilized Landsat imagery composites from the LandTrendr algorithm, Otsu edge detection, Minimum Mapping Unit (MMU), and RF classifier. The study found the map accuracy based on the RF model classifier achieved an overall accuracy between 86.2% and 88.8%, providing reliable data for analysis. Country-level analysis revealed increasing mangrove forest cover in Thailand (12.9%) and Vietnam (28.4%) since 1984. Conversely, mangrove areas in Cambodia and Myanmar have decreased significantly from 1984 to 2023 by about 14.</w:t>
      </w:r>
    </w:p>
    <w:p>
      <w:pPr/>
      <w:r>
        <w:rPr>
          <w:b/>
        </w:rPr>
        <w:t>POSSIBLE 2025:</w:t>
      </w:r>
      <w:r>
        <w:t xml:space="preserve"> Four Decades of Papuan Diaspora Campaigning for Papuan Independence in the Pacific Region — https://doi.org/10.31957/pjdir.v5i1.4313</w:t>
      </w:r>
    </w:p>
    <w:p>
      <w:pPr/>
      <w:r>
        <w:rPr>
          <w:b/>
        </w:rPr>
        <w:t>Shared claim-specific concepts:</w:t>
      </w:r>
      <w:r>
        <w:t xml:space="preserve"> findings, four, region; EU scope not established. This is a provisional connection, not an outcome finding.</w:t>
      </w:r>
    </w:p>
    <w:p>
      <w:pPr>
        <w:pStyle w:val="SourceNote"/>
      </w:pPr>
      <w:r>
        <w:rPr>
          <w:b/>
        </w:rPr>
        <w:t>Available abstract (not full text):</w:t>
      </w:r>
      <w:r>
        <w:t xml:space="preserve"> This study examines four decades of Papuan diaspora efforts to campaign for Papuan independence in the Pacific region. It analyzes campaigns beginning in the 1980s with figures such as John Otto Ondawame and Andy Ayamiseba, later continued by leaders like Benny Wenda. Through a historical approach, the research investigates how these pro-independence campaigns spotlight the controversial cession of Papua to Indonesia in 1969, subsequent political violence, human rights violations, and the role of Melanesian solidarity. The study argues that the Papuan diaspora has been instrumental in internationalizing the Papuan issue and rallying support from a wide range of actors, including state officials, traditional leaders, and civil society groups. Findings reveal that, despite inconsistent backing from state actors, the sustained diaspora campaign has significantly raised regional and global awareness of Papuan independence. This research fills a gap in literature by highlighting the impact of diaspora activism on the Papuan independence process. KEYWORDS Melanesian Solidarity; Papuan Diaspora; Papuan Issue; Pacific Region</w:t>
      </w:r>
    </w:p>
    <w:p>
      <w:pPr/>
      <w:r>
        <w:rPr>
          <w:b/>
        </w:rPr>
        <w:t>POSSIBLE 2024:</w:t>
      </w:r>
      <w:r>
        <w:t xml:space="preserve"> Relationship between Seminars and Employee Performance in Level Four Hospitals in South-Rift Region, Kenya — https://doi.org/10.47772/ijriss.2024.8100084</w:t>
      </w:r>
    </w:p>
    <w:p>
      <w:pPr/>
      <w:r>
        <w:rPr>
          <w:b/>
        </w:rPr>
        <w:t>Shared claim-specific concepts:</w:t>
      </w:r>
      <w:r>
        <w:t xml:space="preserve"> findings, four, developed, region, help; EU scope not established. This is a provisional connection, not an outcome finding.</w:t>
      </w:r>
    </w:p>
    <w:p>
      <w:pPr>
        <w:pStyle w:val="SourceNote"/>
      </w:pPr>
      <w:r>
        <w:rPr>
          <w:b/>
        </w:rPr>
        <w:t>Available abstract (not full text):</w:t>
      </w:r>
      <w:r>
        <w:t xml:space="preserve"> Health sector is an area of priority for efficient delivery of services. Health policies have been developed and adopted to enhance accessible and quality health care. Poor service delivery has been attributed to employee performance. Unmatched skills set to job requirements are assumed to have a significant impact on the performance of employees. The effectiveness of employee training and development programs such as seminars can bridge the gap between job requirements an employee’s ability to perform. However, it is not yet clear to what extent seminar activities influence employee performance. Therefore, the study sought to assess the relationship between seminars and employee performance in Level Four Hospitals operating within the South-Rift Region in Kenya. Specifically, it established the relationship between structured seminars, work environment-based seminars and performance feedback-based seminars and employee performance in Level Four Hospitals in South-Rift Region in Kenya. Human capital theory, knowledge-based theory of the firm and social learning theory was used. Correlational and survey research designs were employed with a target population of 663 and a sample of 249.Stratified simple random sampling was used to pick the respondents. Data was collected using structured questionnaire and reliability Cronbach alpha coefficient of 0.7625 obtained. Descriptive stat</w:t>
      </w:r>
    </w:p>
    <w:p>
      <w:pPr/>
      <w:r>
        <w:rPr>
          <w:b/>
        </w:rPr>
        <w:t>POSSIBLE 2024:</w:t>
      </w:r>
      <w:r>
        <w:t xml:space="preserve"> A Comparison Study of Risk-based Auditing in Four Developed Countries — https://doi.org/10.58458/ipnj.v.14.01.02.0100</w:t>
      </w:r>
    </w:p>
    <w:p>
      <w:pPr/>
      <w:r>
        <w:rPr>
          <w:b/>
        </w:rPr>
        <w:t>Shared claim-specific concepts:</w:t>
      </w:r>
      <w:r>
        <w:t xml:space="preserve"> findings, four, developed, purpose; EU scope visible. This is a provisional connection, not an outcome finding.</w:t>
      </w:r>
    </w:p>
    <w:p>
      <w:pPr>
        <w:pStyle w:val="SourceNote"/>
      </w:pPr>
      <w:r>
        <w:rPr>
          <w:b/>
        </w:rPr>
        <w:t>Available abstract (not full text):</w:t>
      </w:r>
      <w:r>
        <w:t xml:space="preserve"> Purpose: This study aimed to identify and compare the best practices of a risk-based audit (RBA) approach used in four developed countries. Design/ Methodology/ Approach: A thorough library search and examination of the literature on the RBA approach was conducted. Denmark, Australia, Canada, and the United Kingdom were selected based on their excellent positions in the Corruption Perception Index 2022 ranking. Findings: The four countries adopted the Institute of Internal Audit standards in conducting their RBA. All four countries, except Denmark, used the ISO 31000:2018 as a guidance framework. Furthermore, the four countries used comparable risk determination, assessment, and control techniques. Additionally, the RBA risk governance structure of the four countries is based on the Three Lines of Defence concept. Research Limitations/ Implications: Most of the data were from secondary sources. Only four countries were compared and were selected using only one index. Additionally, the study focused on internal auditing practices as a public governance tool. Practical Implications: The results presented the opportunity for government internal auditors to reconsider and enhance auditing procedures to increase public sector delivery system efficacy. Originality/ Value: This article covers the RBA used by internal auditors in four developed countries. The results could catalyse inv</w:t>
      </w:r>
    </w:p>
    <w:p>
      <w:pPr/>
      <w:r>
        <w:rPr>
          <w:b/>
        </w:rPr>
        <w:t>POSSIBLE 2024:</w:t>
      </w:r>
      <w:r>
        <w:t xml:space="preserve"> A Comparison Study of Risk-based Auditing in Four Developed Countries — https://doi.org/10.58458/ipnj.v.14.01.03.0101</w:t>
      </w:r>
    </w:p>
    <w:p>
      <w:pPr/>
      <w:r>
        <w:rPr>
          <w:b/>
        </w:rPr>
        <w:t>Shared claim-specific concepts:</w:t>
      </w:r>
      <w:r>
        <w:t xml:space="preserve"> findings, four, developed, purpose; EU scope visible. This is a provisional connection, not an outcome finding.</w:t>
      </w:r>
    </w:p>
    <w:p>
      <w:pPr>
        <w:pStyle w:val="SourceNote"/>
      </w:pPr>
      <w:r>
        <w:rPr>
          <w:b/>
        </w:rPr>
        <w:t>Available abstract (not full text):</w:t>
      </w:r>
      <w:r>
        <w:t xml:space="preserve"> Purpose: This study aimed to identify and compare the best practices of a risk-based audit (RBA) approach used in four developed countries. Design/ Methodology/ Approach: A thorough library search and examination of the literature on the RBA approach was conducted. Denmark, Australia, Canada, and the United Kingdom were selected based on their excellent positions in the Corruption Perception Index 2022 ranking. Findings: The four countries adopted the Institute of Internal Audit standards in conducting their RBA. All four countries, except Denmark, used the ISO 31000:2018 as a guidance framework. Furthermore, the four countries used comparable risk determination, assessment, and control techniques. Additionally, the RBA risk governance structure of the four countries is based on the Three Lines of Defence concept. Research Limitations/ Implications: Most of the data were from secondary sources. Only four countries were compared and were selected using only one index. Additionally, the study focused on internal auditing practices as a public governance tool. Practical Implications: The results presented the opportunity for government internal auditors to reconsider and enhance auditing procedures to increase public sector delivery system efficacy. Originality/ Value: This article covers the RBA used by internal auditors in four developed countries. The results could catalyse inv</w:t>
      </w:r>
    </w:p>
    <w:p>
      <w:pPr/>
      <w:r>
        <w:rPr>
          <w:b/>
        </w:rPr>
        <w:t>POSSIBLE 2024:</w:t>
      </w:r>
      <w:r>
        <w:t xml:space="preserve"> A Comparison Study of Risk-based Auditing in Four Developed Countries — https://doi.org/10.58458/ipnj.v.14.03.0101</w:t>
      </w:r>
    </w:p>
    <w:p>
      <w:pPr/>
      <w:r>
        <w:rPr>
          <w:b/>
        </w:rPr>
        <w:t>Shared claim-specific concepts:</w:t>
      </w:r>
      <w:r>
        <w:t xml:space="preserve"> findings, four, developed, purpose; EU scope visible. This is a provisional connection, not an outcome finding.</w:t>
      </w:r>
    </w:p>
    <w:p>
      <w:pPr>
        <w:pStyle w:val="SourceNote"/>
      </w:pPr>
      <w:r>
        <w:rPr>
          <w:b/>
        </w:rPr>
        <w:t>Available abstract (not full text):</w:t>
      </w:r>
      <w:r>
        <w:t xml:space="preserve"> Purpose: This study aimed to identify and compare the best practices of a risk-based audit (RBA) approach used in four developed countries. Design/ Methodology/ Approach: A thorough library search and examination of the literature on the RBA approach was conducted. Denmark, Australia, Canada, and the United Kingdom were selected based on their excellent positions in the Corruption Perception Index 2022 ranking. Findings: The four countries adopted the Institute of Internal Audit standards in conducting their RBA. All four countries, except Denmark, used the ISO 31000:2018 as a guidance framework. Furthermore, the four countries used comparable risk determination, assessment, and control techniques. Additionally, the RBA risk governance structure of the four countries is based on the Three Lines of Defence concept. Research Limitations/ Implications: Most of the data were from secondary sources. Only four countries were compared and were selected using only one index. Additionally, the study focused on internal auditing practices as a public governance tool. Practical Implications: The results presented the opportunity for government internal auditors to reconsider and enhance auditing procedures to increase public sector delivery system efficacy. Originality/ Value: This article covers the RBA used by internal auditors in four developed countries. The results could catalyse inv</w:t>
      </w:r>
    </w:p>
    <w:p>
      <w:pPr/>
      <w:r>
        <w:rPr>
          <w:b/>
        </w:rPr>
        <w:t>POSSIBLE 2023:</w:t>
      </w:r>
      <w:r>
        <w:t xml:space="preserve"> How to develop four competencies for teacher educators — https://doi.org/10.3389/feduc.2023.1147143</w:t>
      </w:r>
    </w:p>
    <w:p>
      <w:pPr/>
      <w:r>
        <w:rPr>
          <w:b/>
        </w:rPr>
        <w:t>Shared claim-specific concepts:</w:t>
      </w:r>
      <w:r>
        <w:t xml:space="preserve"> findings, four, education; EU scope not established. This is a provisional connection, not an outcome finding.</w:t>
      </w:r>
    </w:p>
    <w:p>
      <w:pPr>
        <w:pStyle w:val="SourceNote"/>
      </w:pPr>
      <w:r>
        <w:rPr>
          <w:b/>
        </w:rPr>
        <w:t>Available abstract (not full text):</w:t>
      </w:r>
      <w:r>
        <w:t xml:space="preserve"> Understanding competencies and the process of acquiring them contributes to a shared set of essential abilities for teacher educators’ professional development. Practical experiences of practitioners expose which competencies the work context requires them to possess and situations in which their learning is conducted. The necessity for essential contextual competency is pressing, particularly for teacher educators working in developing countries where teacher education has undergone reforms to respond to national and international demands. This study explores competencies for teacher educators in Vietnam through in-depth interviews with experienced practitioners and their visual metaphors. Eight participants with working experience ranging from 6 to 26 years were interviewed for 60–180 min during January–April 2021. The results reveal four competency areas of (1) knowledge and skills consisting of (a) teaching skill, (b) subject content, (c) scientific and subject-related information, (d) the reality of education and multidisciplinary knowledge, (e) research procedural knowledge, (f) collaboration with others, and (g) English language; (2) ethical manner; (3) motivation; and (4) self-reflection about personal values. Professional development includes learning from and working with others, learning in organized courses, conducting independent and collaborative research, and oth</w:t>
      </w:r>
    </w:p>
    <w:p>
      <w:pPr/>
      <w:r>
        <w:rPr>
          <w:b/>
        </w:rPr>
        <w:t>POSSIBLE 2023:</w:t>
      </w:r>
      <w:r>
        <w:t xml:space="preserve"> Characterization of four commercial waxy wheats developed in China — https://doi.org/10.1002/cche.10687</w:t>
      </w:r>
    </w:p>
    <w:p>
      <w:pPr/>
      <w:r>
        <w:rPr>
          <w:b/>
        </w:rPr>
        <w:t>Shared claim-specific concepts:</w:t>
      </w:r>
      <w:r>
        <w:t xml:space="preserve"> findings, four, developed, higher; EU scope not established. This is a provisional connection, not an outcome finding.</w:t>
      </w:r>
    </w:p>
    <w:p>
      <w:pPr>
        <w:pStyle w:val="SourceNote"/>
      </w:pPr>
      <w:r>
        <w:rPr>
          <w:b/>
        </w:rPr>
        <w:t>Available abstract (not full text):</w:t>
      </w:r>
      <w:r>
        <w:t xml:space="preserve"> Abstract Background and Objectives As the interest in use of waxy wheat in food applications continues to grow, it is important to fully understand characteristics of waxy wheats. To the best of our knowledge, there was no previous study reporting a complete characterization of commercial waxy wheats developed in China, especially properties of wheat kernels, dough, wet milling, gluten, and starch. To promote the industrial utilization of waxy wheat, four Chinese commercial waxy wheats were collected and characterized. Findings Four commercial waxy wheats commercialized in China were sound medium hard wheats. Care must be taken during harvesting and storage of waxy wheats since the waxy wheat flours were very sensitive to the endogenous α‐amylase even at a very low level of enzyme activity. Rapid viscosity analyzer had a good potential for evaluating the sprout damage of waxy wheat. Dough rheological properties and gluten index showed that the four waxy wheats had weak gluten quality, agreeing with wet‐milling performance. The waxy wheat starches had higher onset, peak, and conclusion gelatinization temperatures than normal wheat starch. While the waxy wheat starches showed lower pasting temperature and higher peak viscosity than normal wheat starch. Conclusions Results suggested that the four commercial waxy wheats varied in kernel characteristics, protein and starch contents,</w:t>
      </w:r>
    </w:p>
    <w:p>
      <w:pPr>
        <w:pStyle w:val="Heading2"/>
      </w:pPr>
      <w:r>
        <w:t>1004. Health impact assessment of waste management facilities in three European countries</w:t>
      </w:r>
    </w:p>
    <w:p>
      <w:pPr>
        <w:pStyle w:val="SourceNote"/>
      </w:pPr>
      <w:r>
        <w:rPr>
          <w:b/>
        </w:rPr>
        <w:t>Original source (2011):</w:t>
      </w:r>
      <w:r>
        <w:t xml:space="preserve"> https://doi.org/10.1186/1476-069x-10-53</w:t>
      </w:r>
    </w:p>
    <w:p>
      <w:pPr/>
      <w:r>
        <w:t>Original wording (abstract; indexed_source_text_not_full_document_verified): Assuming that the incinerators continue to operate until 2020, we are moderately confident that the annual number of cancer cases due to exposure in 2001-2020 will reach 11, 0, and 7 in 2020 and then decline to 0 in the three countries in 2050. We are moderately confident that by 2050, the attributable impact on the 2001 cohort of residents will be 3,621 (Italy), 37 (Slovakia) and 3,966 (England) YoLL.</w:t>
      </w:r>
    </w:p>
    <w:p>
      <w:pPr/>
      <w:r>
        <w:rPr>
          <w:b/>
        </w:rPr>
        <w:t>POSSIBLE 2025:</w:t>
      </w:r>
      <w:r>
        <w:t xml:space="preserve"> Compositional Analysis and Numerical Simulation of Slagging Process on a Water-Cooled Wall of an MSW Incinerator — https://doi.org/10.3390/waste3010005</w:t>
      </w:r>
    </w:p>
    <w:p>
      <w:pPr/>
      <w:r>
        <w:rPr>
          <w:b/>
        </w:rPr>
        <w:t>Shared claim-specific concepts:</w:t>
      </w:r>
      <w:r>
        <w:t xml:space="preserve"> incinerators, number, three; EU scope not established. This is a provisional connection, not an outcome finding.</w:t>
      </w:r>
    </w:p>
    <w:p>
      <w:pPr>
        <w:pStyle w:val="SourceNote"/>
      </w:pPr>
      <w:r>
        <w:rPr>
          <w:b/>
        </w:rPr>
        <w:t>Available abstract (not full text):</w:t>
      </w:r>
      <w:r>
        <w:t xml:space="preserve"> The mechanism of slagging in municipal solid waste incinerators is complex, and the slagging process is simultaneously affected by the composition, temperature, and flue gas flow. In this study, slag samples on a water-cooled wall were first analysed, and the key components and fusion temperatures were measured. Second, a gas-phase combustion model of an incinerator was established, and the temperature and velocity distributions of the flue gas inside the incinerator were calculated. Based on the incineration process, coupled with a discrete-phase model, a numerical simulation model of the slagging process on the water-cooled wall of the incinerator was constructed, considering the transport and adhesion processes of ash particles. The influence of parameters such as the ash particle size and concentration on the degree of slagging on the water-cooled wall was analysed. Smaller ash particles were less likely to adhere to water-cooled walls, with approximately 2.72% of ash particles with a particle size of 10 mm adhering to water-cooled walls. The proportion of ash particles with a particle size of 50 mm adhering to water-cooled walls was approximately three times that of those with a particle size of 10 mm. As the concentration of ash particles increased, the number of ash particles adhering to the water-cooled wall increased, and the adhesion ratio decreased. These results are</w:t>
      </w:r>
    </w:p>
    <w:p>
      <w:pPr/>
      <w:r>
        <w:rPr>
          <w:b/>
        </w:rPr>
        <w:t>POSSIBLE 2023:</w:t>
      </w:r>
      <w:r>
        <w:t xml:space="preserve"> The End of Life of PV Systems: Is Europe Ready for It? — https://doi.org/10.3390/su152316466</w:t>
      </w:r>
    </w:p>
    <w:p>
      <w:pPr/>
      <w:r>
        <w:rPr>
          <w:b/>
        </w:rPr>
        <w:t>Shared claim-specific concepts:</w:t>
      </w:r>
      <w:r>
        <w:t xml:space="preserve"> number, reach, countries; EU scope visible. This is a provisional connection, not an outcome finding.</w:t>
      </w:r>
    </w:p>
    <w:p>
      <w:pPr>
        <w:pStyle w:val="SourceNote"/>
      </w:pPr>
      <w:r>
        <w:rPr>
          <w:b/>
        </w:rPr>
        <w:t>Available abstract (not full text):</w:t>
      </w:r>
      <w:r>
        <w:t xml:space="preserve"> Abstract: Like other plants, every PV power plant will one day reach the end of its service life. Calculations show that 20,400 tons of PV waste will be generated worldwide by 2030 and 60.2 million tons by 2050, not including the mass of the support structure. Such large amounts of waste pose a potential threat to the environment and people if not properly managed. The paper analysed the options for dealing with PV waste, namely reuse, recycling and landfilling. For recycling as the best option in terms of environmental protection and circular economy, an overview of recycling technologies and the percentage of achievable recycling for the materials contained in each PV system component is given. In addition, the current situation of legislation and recycling of PV modules in Europe was examined with special reference to the Balkan countries. There are a small number of factories for recycling PV modules in Europe, but none in the Balkan countries. The main reason for this is the small amount of PV waste in these countries and consequently the economic unprofitability. For this reason, PV modules (after dismantling the aluminum frame and cables) are mostly disposed of as non-hazardous waste in landfills in these countries. Finally, the main barriers to faster implementation of PV module reuse and recycling are listed, along with guidelines for their removal. The cost of recycli</w:t>
      </w:r>
    </w:p>
    <w:p>
      <w:pPr/>
      <w:r>
        <w:rPr>
          <w:b/>
        </w:rPr>
        <w:t>POSSIBLE 2023:</w:t>
      </w:r>
      <w:r>
        <w:t xml:space="preserve"> Heavy metal concentrations in the soil near illegal landfills in the vicinity of agricultural areas—artificial neural network approach — https://doi.org/10.1007/s11368-023-03637-1</w:t>
      </w:r>
    </w:p>
    <w:p>
      <w:pPr/>
      <w:r>
        <w:rPr>
          <w:b/>
        </w:rPr>
        <w:t>Shared claim-specific concepts:</w:t>
      </w:r>
      <w:r>
        <w:t xml:space="preserve"> moderately, number, residents; EU scope not established. This is a provisional connection, not an outcome finding.</w:t>
      </w:r>
    </w:p>
    <w:p>
      <w:pPr>
        <w:pStyle w:val="SourceNote"/>
      </w:pPr>
      <w:r>
        <w:rPr>
          <w:b/>
        </w:rPr>
        <w:t>Available abstract (not full text):</w:t>
      </w:r>
      <w:r>
        <w:t xml:space="preserve"> Abstract Purpose To anticipate the impact of illegal landfills, development of new models should become a part of environmental risk management strategies. One of such approaches includes applications of the artificial neural network (ANN). The main objective of this study was to elucidate the impact of illegal landfilling on the surrounding soil environment and human health, as well as to establish an artificial neural network (ANN) models for predicting the hazards of illegal landfilling as an effective tool in decision-making and environmental risk management. Methods The identification of heavy metals source in soil was performed by principal component analysis (PCA). To assess the sensitivity of the soil ecosystem to heavy metal concentrations, Soil Quality standards and quantitative indices were used. The possible health effects were valued using the average daily doses (ADDs), hazard quotient (HQ), hazard index (HI), and carcinogenic risk (CR). ANN modeling was used for the prediction of heavy metal concentrations in the soil based on landfill size, municipality size, the number of residents, plant species, soil, and landform types. Results The average values of the pollution indexes for Cd were in the moderately contaminated and very high contamination categories. The $$HQ$$ HQ values were lower than the safe level. Cr and Pb posed a significant $$CR$$ CR for adults and</w:t>
      </w:r>
    </w:p>
    <w:p>
      <w:pPr/>
      <w:r>
        <w:rPr>
          <w:b/>
        </w:rPr>
        <w:t>POSSIBLE 2023:</w:t>
      </w:r>
      <w:r>
        <w:t xml:space="preserve"> Waste-to-energy and waste-to-hydrogen with CCS: Methodological assessment of pathways to carbon-negative waste treatment from an LCA perspective — https://doi.org/10.1016/j.wasman.2023.11.020</w:t>
      </w:r>
    </w:p>
    <w:p>
      <w:pPr/>
      <w:r>
        <w:rPr>
          <w:b/>
        </w:rPr>
        <w:t>Shared claim-specific concepts:</w:t>
      </w:r>
      <w:r>
        <w:t xml:space="preserve"> cases, then, countries; EU scope not established. This is a provisional connection, not an outcome finding.</w:t>
      </w:r>
    </w:p>
    <w:p>
      <w:pPr>
        <w:pStyle w:val="SourceNote"/>
      </w:pPr>
      <w:r>
        <w:rPr>
          <w:b/>
        </w:rPr>
        <w:t>Available abstract (not full text):</w:t>
      </w:r>
      <w:r>
        <w:t xml:space="preserve"> A growing global population and rising living standards are producing ever greater quantities of waste, while at the same time driving ever-larger demand for energy, especially electricity, or new emerging markets, such as hydrogen in more industrialised countries. A key solution to these challenges of waste disposal, rising energy and hydrogen demand is BECCS (Bioenergy with Carbon Capture and Storage); the generation of bioenergy – in the form of electricity (WtE) or hydrogen (WtH2), as well as heat – from the thermochemical processing of waste. The addition of carbon capture and storage (CCS) to WtE or WtH2 has the potential to make waste a zero or even negative emissions energy source, thus contributing to the removal of greenhouse gases from the atmosphere. This work undertakes a pre-screening of different BECCS configurations based on state of the art technologies and then performed an assessment of representative cases in UK for WtE and WtH2, necessary to understand if novel waste thermal treatment processes may become potential alternatives or improvements to current WtE plants when retrofitted with CCS. A systematic and comprehensive examination of different key Life Cycle Assessment methodological aspects reveals the importance of the functional unit and allocation approach in determining the preferred pathway in a specific context.</w:t>
      </w:r>
    </w:p>
    <w:p>
      <w:pPr/>
      <w:r>
        <w:rPr>
          <w:b/>
        </w:rPr>
        <w:t>POSSIBLE 2022:</w:t>
      </w:r>
      <w:r>
        <w:t xml:space="preserve"> Location choice for large‐scale battery manufacturing plants: Exploring the role of clean energy, costs, and knowledge on location decisions in Europe — https://doi.org/10.1111/jiec.13292</w:t>
      </w:r>
    </w:p>
    <w:p>
      <w:pPr/>
      <w:r>
        <w:rPr>
          <w:b/>
        </w:rPr>
        <w:t>Shared claim-specific concepts:</w:t>
      </w:r>
      <w:r>
        <w:t xml:space="preserve"> three, countries; EU scope visible. This is a provisional connection, not an outcome finding.</w:t>
      </w:r>
    </w:p>
    <w:p>
      <w:pPr>
        <w:pStyle w:val="SourceNote"/>
      </w:pPr>
      <w:r>
        <w:rPr>
          <w:b/>
        </w:rPr>
        <w:t>Available abstract (not full text):</w:t>
      </w:r>
      <w:r>
        <w:t xml:space="preserve"> Abstract Driven by an increase in the demand for battery electric vehicles, the location of large‐scale battery manufacturing plants, that is, gigafactories, has become a substantial and burgeoning topic in academia, policy, and industry. This study contributes to this debate by examining how a country's specific battery manufacturing costs and knowledge and the environmental impact of its energy mix affect the choice of location for gigafactories in the European Union. We found that France, Latvia, and Germany are suitable locations when equally balancing costs, knowledge, and energy. However, our results also showed that no country leads in all three dimensions, suggesting that there is no single best location to set up gigafactories. Instead, the choice will depend on the battery manufacturer's requirements. Here, we contribute an analysis of various combinations of costs, knowledge, and energy to identify suitable locations. Moreover, we provide a sensitivity analysis to test the robustness of our framework and to explore whether countries with a clean energy mix, such as Sweden, become suitable locations. The findings of our study will assist battery producers in identifying a suitable location for their gigafactories and will provide the basis for policymakers to attract battery manufacturing by directing investments into clean energy.</w:t>
      </w:r>
    </w:p>
    <w:p>
      <w:pPr/>
      <w:r>
        <w:rPr>
          <w:b/>
        </w:rPr>
        <w:t>POSSIBLE 2022:</w:t>
      </w:r>
      <w:r>
        <w:t xml:space="preserve"> Polychlorinated dibenzo-p-dioxins (PCDDs) and dibenzofurans (PCDFs) soil contamination in Lausanne, Switzerland: Combining pollution mapping and human exposure assessment for targeted risk management — https://doi.org/10.1016/j.envpol.2022.120441</w:t>
      </w:r>
    </w:p>
    <w:p>
      <w:pPr/>
      <w:r>
        <w:rPr>
          <w:b/>
        </w:rPr>
        <w:t>Shared claim-specific concepts:</w:t>
      </w:r>
      <w:r>
        <w:t xml:space="preserve"> moderately, exposure, three; EU scope not established. This is a provisional connection, not an outcome finding.</w:t>
      </w:r>
    </w:p>
    <w:p>
      <w:pPr>
        <w:pStyle w:val="SourceNote"/>
      </w:pPr>
      <w:r>
        <w:rPr>
          <w:b/>
        </w:rPr>
        <w:t>Available abstract (not full text):</w:t>
      </w:r>
      <w:r>
        <w:t xml:space="preserve"> /kg dry weight. The most likely source was a former municipal waste incinerator. A three-step, multidisciplinary approach to human health risk assessment was conducted to determine the potential population exposure to PCDD/Fs and identify appropriate preventive measures. First, exposure scenarios were developed based on contaminated land uses. Second, the toxicological risks of different scenarios were evaluated using a toxicokinetic model estimating increases in blood serum PCDD/F concentrations over background concentrations from the general population's food consumption. Third, a detailed geostatistical mapping of PCDD/F soil contamination was performed. Stochastic simulations with an external drift and an anisotropic model of the variogram were generated to incorporate the effects of distance from emission source, topography, and main wind directions on the spatial distribution of PCDD/Fs in topsoil. Three main scenarios were assessed: i) direct ingestion of soil by children in playgrounds; ii) consumption of vegetables from private gardens by children and adults; and iii) consumption of food from livestock and poultry raised on contaminated soil. The worst exposure scenario involved the consumption of eggs from private hen houses, resulting in PCDD/F concentrations in serum an order of magnitude higher than might normally be expected. No relevant increases in serum concent</w:t>
      </w:r>
    </w:p>
    <w:p>
      <w:pPr/>
      <w:r>
        <w:rPr>
          <w:b/>
        </w:rPr>
        <w:t>POSSIBLE 2020:</w:t>
      </w:r>
      <w:r>
        <w:t xml:space="preserve"> Hazardous air pollutants from the waste incineration industry : formation mechanisms, distribution characteristics, and potential environmental risks — https://openalex.org/W3109825684</w:t>
      </w:r>
    </w:p>
    <w:p>
      <w:pPr/>
      <w:r>
        <w:rPr>
          <w:b/>
        </w:rPr>
        <w:t>Shared claim-specific concepts:</w:t>
      </w:r>
      <w:r>
        <w:t xml:space="preserve"> incinerators, cancer, due, three; EU scope not established. This is a provisional connection, not an outcome finding.</w:t>
      </w:r>
    </w:p>
    <w:p>
      <w:pPr>
        <w:pStyle w:val="SourceNote"/>
      </w:pPr>
      <w:r>
        <w:rPr>
          <w:b/>
        </w:rPr>
        <w:t>Available abstract (not full text):</w:t>
      </w:r>
      <w:r>
        <w:t xml:space="preserve"> In this study, the formation mechanisms, distribution characteristics, and potential environmental risks of hazardous air pollutants from industrial-scale waste incineration processes were investigated. First, to clarify the dominant formation mechanism of polychlorinated dibenzo- p-dioxins and dibenzofurans (PCDD/Fs) in a hazardous waste (HW) incinerator, three tests were designed by adding different precursors in phenol-containing raw materials. With the addition of p-dichlorobenzene, PCDD/F levels at the quenching tower outlet were ten times higher than levels observed at the inlet. This indicates that the quenching tower failed to suppress the formation of PCDD/Fs and surface-mediated precursor reaction is the dominant formation mechanism in low-temperature stages. Besides, adsoprtive memory effect in air pollution control devices (APCDs) also led to high PCDD/F emissions. These findings suggest that to control PCDD/F emissions, strict regulation of chlorine contents in feed materials and frequent cleaning of APCDs are necessary. Meanwhile, single particles and solid residues were collected from the same HW incinerator. Morphologies and elemental compositions of particles in flue gas and indoor air were characterized by transmission electron microscopy-energy dispersive X-ray spectrometry (TEM-EDS). Eight types of single particles were classified, as organic, soot, K-rich, </w:t>
      </w:r>
    </w:p>
    <w:p>
      <w:pPr/>
      <w:r>
        <w:rPr>
          <w:b/>
        </w:rPr>
        <w:t>POSSIBLE 2020:</w:t>
      </w:r>
      <w:r>
        <w:t xml:space="preserve"> Lead contamination in raptors in Europe: A systematic review and meta-analysis — https://doi.org/10.1016/j.scitotenv.2020.141437</w:t>
      </w:r>
    </w:p>
    <w:p>
      <w:pPr/>
      <w:r>
        <w:rPr>
          <w:b/>
        </w:rPr>
        <w:t>Shared claim-specific concepts:</w:t>
      </w:r>
      <w:r>
        <w:t xml:space="preserve"> number, exposure, countries; EU scope visible. This is a provisional connection, not an outcome finding.</w:t>
      </w:r>
    </w:p>
    <w:p>
      <w:pPr>
        <w:pStyle w:val="SourceNote"/>
      </w:pPr>
      <w:r>
        <w:rPr>
          <w:b/>
        </w:rPr>
        <w:t>Available abstract (not full text):</w:t>
      </w:r>
      <w:r>
        <w:t xml:space="preserve"> Lead contamination is a widely recognised conservation problem for raptors worldwide. There are a number of studies in individual raptor species but those data have not been systematically evaluated to understand raptor-wide lead exposure and effects at a pan-European scale. To critically assess the extent of this problem, we performed a systematic review compiling all published data on lead in raptors (1983-2019) and, through a meta-analysis, determined if there was evidence for differences in exposure across feeding traits, geographical regions, between hunting and non-hunting periods, and changes over time. We also reviewed the impact of lead on raptors and the likely main source of exposure. We examined 114 studies that were unevenly distributed in terms of time of publication and the countries in which studies were performed. Peer-reviewed articles reported data for 39 raptor species but very few species were widely monitored across Europe. Obligate (vultures) and facultative scavengers (golden eagle, common buzzard and white-tailed sea eagle) accumulated the highest lead concentrations in tissues and generally were the species most at risk of lead poisoning. We found no evidence of a spatial or decadal trend in lead residues, but we demonstrated that high lead blood levels relate to hunting season. Exposure at levels associated with both subclinical and lethal effects is </w:t>
      </w:r>
    </w:p>
    <w:p>
      <w:pPr/>
      <w:r>
        <w:rPr>
          <w:b/>
        </w:rPr>
        <w:t>POSSIBLE 2020:</w:t>
      </w:r>
      <w:r>
        <w:t xml:space="preserve"> How might landscapes be better designed to accommodate increasing cremation practices in Europe? — https://doi.org/10.3097/lo.202087</w:t>
      </w:r>
    </w:p>
    <w:p>
      <w:pPr/>
      <w:r>
        <w:rPr>
          <w:b/>
        </w:rPr>
        <w:t>Shared claim-specific concepts:</w:t>
      </w:r>
      <w:r>
        <w:t xml:space="preserve"> countries, italy, slovakia; EU scope visible. This is a provisional connection, not an outcome finding.</w:t>
      </w:r>
    </w:p>
    <w:p>
      <w:pPr>
        <w:pStyle w:val="SourceNote"/>
      </w:pPr>
      <w:r>
        <w:rPr>
          <w:b/>
        </w:rPr>
        <w:t>Available abstract (not full text):</w:t>
      </w:r>
      <w:r>
        <w:t xml:space="preserve"> Death is one of those universal parameters of life, yet very little attention is given to it in neither the work of planning practitioners nor that of landscape research. During the 19th and 20th century’s many Western societies turned to cremation as a more sanitary, less costly and space saving way of human disposal. This paper highlights the cemeteries and crematoria as two types of facilities associated with cremation practices in Poland and in selected European countries. On the basis of analyses of contemporary funerary landscapes for cremation practices from Europe (31 objects from 9 countries) a catalog (‚pattern book‘) of design solutions was developed. Countries were selected on the basis of similarity to Poland in the aspect of the dominant religion (Austria, France, Italy, Slovakia, Slovenia), convergent provisions of cemetery and funeral law (Austria, Denmark, France, Germany, Slovenia, Sweden), and index of average population served by 1 crematorium (Belgium). Moreover, assessment of Polish contemporary places for cremation (39 objects) was developed. To strengthen the multifaceted meaning of funerary landscape and to link it more with the landscape, design considerations and potential outcomes for improved cemetery design accommodating cremation practices and burial was developed. The funerary landscape is defined as a specific type of landscape that focuses on t</w:t>
      </w:r>
    </w:p>
    <w:p>
      <w:pPr/>
      <w:r>
        <w:rPr>
          <w:b/>
        </w:rPr>
        <w:t>POSSIBLE 2020:</w:t>
      </w:r>
      <w:r>
        <w:t xml:space="preserve"> After the Berlin Wall — https://doi.org/10.1515/9789633863855</w:t>
      </w:r>
    </w:p>
    <w:p>
      <w:pPr/>
      <w:r>
        <w:rPr>
          <w:b/>
        </w:rPr>
        <w:t>Shared claim-specific concepts:</w:t>
      </w:r>
      <w:r>
        <w:t xml:space="preserve"> three, countries; EU scope visible. This is a provisional connection, not an outcome finding.</w:t>
      </w:r>
    </w:p>
    <w:p>
      <w:pPr>
        <w:pStyle w:val="SourceNote"/>
      </w:pPr>
      <w:r>
        <w:rPr>
          <w:b/>
        </w:rPr>
        <w:t>Available abstract (not full text):</w:t>
      </w:r>
      <w:r>
        <w:t xml:space="preserve"> After the Berlin Wall tells the inside story of an international financial institution, the European Bank for Reconstruction and Development (EBRD), created in the aftermath of communism to help the countries of central and eastern Europe transition towards open market-oriented democratic economies. The first volume of a history in two parts, After the Berlin Wall charts the EBRD’s life from a fledgling high-risk start-up investing in former socialist countries from 1991 to become an established member of the international financial community, which (as of April 2020) operates in almost 40 countries across three continents. This volume describes the multilateral negotiations that created this cosmopolitan institution with a ‘European character’ and the emergence of the EBRD’s unique business model: a focus on the private sector and a mission to deliver development impact with sustainable financial returns. The author recounts the challenges that ‘transition’ countries faced in moving from a defunct to a functioning economic system and maps the EBRD’s response to critical events, from the dissolution of the Soviet Union, to the safe confinement of the Chernobyl disaster site, the debt default in Russia and the onset of the global financial crisis in 2008.</w:t>
      </w:r>
    </w:p>
    <w:p>
      <w:pPr/>
      <w:r>
        <w:rPr>
          <w:b/>
        </w:rPr>
        <w:t>POSSIBLE 2019:</w:t>
      </w:r>
      <w:r>
        <w:t xml:space="preserve"> Building and indoor environmental quality assessment of Nigerian primary schools: A pilot study — https://doi.org/10.1111/ina.12547</w:t>
      </w:r>
    </w:p>
    <w:p>
      <w:pPr/>
      <w:r>
        <w:rPr>
          <w:b/>
        </w:rPr>
        <w:t>Shared claim-specific concepts:</w:t>
      </w:r>
      <w:r>
        <w:t xml:space="preserve"> incinerators, moderately, cases; EU scope not established. This is a provisional connection, not an outcome finding.</w:t>
      </w:r>
    </w:p>
    <w:p>
      <w:pPr>
        <w:pStyle w:val="SourceNote"/>
      </w:pPr>
      <w:r>
        <w:rPr>
          <w:b/>
        </w:rPr>
        <w:t>Available abstract (not full text):</w:t>
      </w:r>
      <w:r>
        <w:t xml:space="preserve"> A total of 15 classrooms went through on-site assessments/inspections, including measurements of temperature (T), and concentrations of carbon monoxide (CO) and carbon dioxide (CO2). In addition, the level of surface biocontamination/cleaning effectiveness was assessed by measuring adenosine triphosphate (ATP) levels on students' desks. Based on the data, the quality of facilities in the buildings was low. Classroom occupancy exceeded ASHRAE 50 person/100 m2 standard in all cases indicating overcrowding. However, concentrations of CO2 remained below 1000 ppm in most classrooms. On the other hand, indoor T was above the recommended levels for thermal comfort in all classrooms. Maximum indoor CO was 6 ppm. Median ATP concentrations on the desk tops were moderately high in all schools. The use of open incinerators and power generator sets near classrooms, which was suspected to be the main source of CO, should be discouraged. Improved hygiene could be achieved by providing the students access to functioning bathroom facilities and cafeteria, and by effective cleaning of high contact surfaces such as desks. Although ventilation seems adequate based on CO2 concentrations, thermal comfort was not attained especially in the afternoon during extreme sunlight. Therefore, installing passive and/or mechanical cooling systems should be considered in this regard.</w:t>
      </w:r>
    </w:p>
    <w:p>
      <w:pPr/>
      <w:r>
        <w:rPr>
          <w:b/>
        </w:rPr>
        <w:t>POSSIBLE 2018:</w:t>
      </w:r>
      <w:r>
        <w:t xml:space="preserve"> Automotive trace metal concentrations on the South African national road (N3) and its impact on the environment. — https://openalex.org/W3014058070</w:t>
      </w:r>
    </w:p>
    <w:p>
      <w:pPr/>
      <w:r>
        <w:rPr>
          <w:b/>
        </w:rPr>
        <w:t>Shared claim-specific concepts:</w:t>
      </w:r>
      <w:r>
        <w:t xml:space="preserve"> moderately, due, countries; EU scope not established. This is a provisional connection, not an outcome finding.</w:t>
      </w:r>
    </w:p>
    <w:p>
      <w:pPr>
        <w:pStyle w:val="SourceNote"/>
      </w:pPr>
      <w:r>
        <w:rPr>
          <w:b/>
        </w:rPr>
        <w:t>Available abstract (not full text):</w:t>
      </w:r>
      <w:r>
        <w:t xml:space="preserve"> The environment is currently experiencing the negative effects of globalisation and unsustainable development with environmentally harmful activities increasing at an alarming rate in South Africa and other developing countries. This is due to these countries circumventing the implementation of environmental policies against foreign investors, such as vehicle manufacturers and chemical industries, to allow for a reduction in fiscal austerity by increasing the gross domestic product. The effects of these activities have a greater impact on the environment and population of developing nations than developed ones. Heavy metal contamination is one of the major concerns related to vehicle manufacturers and toxic chemical industries in terms of environmental management. The aim of this research was to assess the impact of vehicle pollution along the South African National Road (N3) between Durban and Hilton as it is one of the major transportation routes from the harbour. The elemental concentrations in the leaves of Bidens pilosa, that are picked and cooked by communities that live along the roadside, were investigated. The concentrations of thirteen elements were selectively investigated to determine the impact of soil quality on elemental uptake by vegetation and to assess for potential metal toxicities. Soil was evaluated for metal pollution by calculation of geo-accumulation ind</w:t>
      </w:r>
    </w:p>
    <w:p>
      <w:pPr>
        <w:pStyle w:val="Heading2"/>
      </w:pPr>
      <w:r>
        <w:t>1005. Integrating foresight into government. Is it possible? Is it likely?</w:t>
      </w:r>
    </w:p>
    <w:p>
      <w:pPr>
        <w:pStyle w:val="SourceNote"/>
      </w:pPr>
      <w:r>
        <w:rPr>
          <w:b/>
        </w:rPr>
        <w:t>Original source (2011):</w:t>
      </w:r>
      <w:r>
        <w:t xml:space="preserve"> https://doi.org/10.1108/14636681111126229</w:t>
      </w:r>
    </w:p>
    <w:p>
      <w:pPr/>
      <w:r>
        <w:t>Original wording (abstract; indexed_source_text_not_full_document_verified): Findings Several methodologies and techniques that are identified here may allow people to help perceive, evaluate and control the effects of their actions, present as well as future.</w:t>
      </w:r>
    </w:p>
    <w:p>
      <w:pPr/>
      <w:r>
        <w:rPr>
          <w:b/>
        </w:rPr>
        <w:t>POSSIBLE 2024:</w:t>
      </w:r>
      <w:r>
        <w:t xml:space="preserve"> An Informative Review of Radiomics Studies on Cancer Imaging: The Main Findings, Challenges and Limitations of the Methodologies — https://doi.org/10.3390/curroncol31010027</w:t>
      </w:r>
    </w:p>
    <w:p>
      <w:pPr/>
      <w:r>
        <w:rPr>
          <w:b/>
        </w:rPr>
        <w:t>Shared claim-specific concepts:</w:t>
      </w:r>
      <w:r>
        <w:t xml:space="preserve"> findings, several, methodologies, well; EU scope not established. This is a provisional connection, not an outcome finding.</w:t>
      </w:r>
    </w:p>
    <w:p>
      <w:pPr>
        <w:pStyle w:val="SourceNote"/>
      </w:pPr>
      <w:r>
        <w:rPr>
          <w:b/>
        </w:rPr>
        <w:t>Available abstract (not full text):</w:t>
      </w:r>
      <w:r>
        <w:t xml:space="preserve"> The aim of this informative review was to investigate the application of radiomics in cancer imaging and to summarize the results of recent studies to support oncological imaging with particular attention to breast cancer, rectal cancer and primitive and secondary liver cancer. This review also aims to provide the main findings, challenges and limitations of the current methodologies. Clinical studies published in the last four years (2019-2022) were included in this review. Among the 19 studies analyzed, none assessed the differences between scanners and vendor-dependent characteristics, collected images of individuals at additional points in time, performed calibration statistics, represented a prospective study performed and registered in a study database, conducted a cost-effectiveness analysis, reported on the cost-effectiveness of the clinical application, or performed multivariable analysis with also non-radiomics features. Seven studies reached a high radiomic quality score (RQS), and seventeen earned additional points by using validation steps considering two datasets from two distinct institutes and open science and data domains (radiomics features calculated on a set of representative ROIs are open source). The potential of radiomics is increasingly establishing itself, even if there are still several aspects to be evaluated before the passage of radiomics into routi</w:t>
      </w:r>
    </w:p>
    <w:p>
      <w:pPr/>
      <w:r>
        <w:rPr>
          <w:b/>
        </w:rPr>
        <w:t>POSSIBLE 2023:</w:t>
      </w:r>
      <w:r>
        <w:t xml:space="preserve"> A named entity recognition framework using transformers to identify relevant clinical findings from mammographic radiological reports — https://doi.org/10.1117/12.2670228</w:t>
      </w:r>
    </w:p>
    <w:p>
      <w:pPr/>
      <w:r>
        <w:rPr>
          <w:b/>
        </w:rPr>
        <w:t>Shared claim-specific concepts:</w:t>
      </w:r>
      <w:r>
        <w:t xml:space="preserve"> findings, several, here; EU scope not established. This is a provisional connection, not an outcome finding.</w:t>
      </w:r>
    </w:p>
    <w:p>
      <w:pPr>
        <w:pStyle w:val="SourceNote"/>
      </w:pPr>
      <w:r>
        <w:rPr>
          <w:b/>
        </w:rPr>
        <w:t>Available abstract (not full text):</w:t>
      </w:r>
      <w:r>
        <w:t xml:space="preserve"> Detecting and extracting findings in a radiological report is crucial for text mining tasks in several applications. In this case, a labeled process for the image associated with the radiological report in mammography and Spanish context for a computer vision model is required. This paper shows the methodology and process generated for this goal. This paper presents a Named Entity Recognition (NER) approach based on a transformer deep learning model, using a labeled corpus and fine-tuning process to find three concepts that compose a typical finding in a mammographic radiological report: laterality, location, and the finding. We add another concept in the labeled process, the negation, necessary to identify falses positive inside the text that writes the radiologist. Our model achieves an F1 score of 88.24% classifying the three principal concepts for a finding, product of the labeled and fine-tuning process. The results presented here will be used as input for future training work on a computer vision model.</w:t>
      </w:r>
    </w:p>
    <w:p>
      <w:pPr/>
      <w:r>
        <w:rPr>
          <w:b/>
        </w:rPr>
        <w:t>POSSIBLE 2023:</w:t>
      </w:r>
      <w:r>
        <w:t xml:space="preserve"> Genome-wide analyses of ADHD identify 27 risk loci, refine the genetic architecture and implicate several cognitive domains — https://doi.org/10.1038/s41588-022-01285-8</w:t>
      </w:r>
    </w:p>
    <w:p>
      <w:pPr/>
      <w:r>
        <w:rPr>
          <w:b/>
        </w:rPr>
        <w:t>Shared claim-specific concepts:</w:t>
      </w:r>
      <w:r>
        <w:t xml:space="preserve"> several, identified, here, present; EU scope not established. This is a provisional connection, not an outcome finding.</w:t>
      </w:r>
    </w:p>
    <w:p>
      <w:pPr>
        <w:pStyle w:val="SourceNote"/>
      </w:pPr>
      <w:r>
        <w:rPr>
          <w:b/>
        </w:rPr>
        <w:t>Available abstract (not full text):</w:t>
      </w:r>
      <w:r>
        <w:t xml:space="preserve"> Attention-deficit hyperactivity disorder (ADHD) is a prevalent neurodevelopmental disorder with a major genetic component. Here, we present a genome-wide association study meta-analysis of ADHD comprising 38,691 individuals with ADHD and 186,843 controls. We identified 27 genome-wide significant loci, highlighting 76 potential risk genes enriched among genes expressed particularly in early brain development. Overall, ADHD genetic risk was associated with several brain-specific neuronal subtypes and midbrain dopaminergic neurons. In exome-sequencing data from 17,896 individuals, we identified an increased load of rare protein-truncating variants in ADHD for a set of risk genes enriched with probable causal common variants, potentially implicating SORCS3 in ADHD by both common and rare variants. Bivariate Gaussian mixture modeling estimated that 84-98% of ADHD-influencing variants are shared with other psychiatric disorders. In addition, common-variant ADHD risk was associated with impaired complex cognition such as verbal reasoning and a range of executive functions, including attention.</w:t>
      </w:r>
    </w:p>
    <w:p>
      <w:pPr/>
      <w:r>
        <w:rPr>
          <w:b/>
        </w:rPr>
        <w:t>POSSIBLE 2023:</w:t>
      </w:r>
      <w:r>
        <w:t xml:space="preserve"> Proteomics of brain, CSF, and plasma identifies molecular signatures for distinguishing sporadic and genetic Alzheimer’s disease — https://doi.org/10.1126/scitranslmed.abq5923</w:t>
      </w:r>
    </w:p>
    <w:p>
      <w:pPr/>
      <w:r>
        <w:rPr>
          <w:b/>
        </w:rPr>
        <w:t>Shared claim-specific concepts:</w:t>
      </w:r>
      <w:r>
        <w:t xml:space="preserve"> findings, several, identified, here, present; EU scope not established. This is a provisional connection, not an outcome finding.</w:t>
      </w:r>
    </w:p>
    <w:p>
      <w:pPr>
        <w:pStyle w:val="SourceNote"/>
      </w:pPr>
      <w:r>
        <w:rPr>
          <w:b/>
        </w:rPr>
        <w:t>Available abstract (not full text):</w:t>
      </w:r>
      <w:r>
        <w:t xml:space="preserve"> Proteomic studies for Alzheimer’s disease (AD) are instrumental in identifying AD pathways but often focus on single tissues and sporadic AD cases. Here, we present a proteomic study analyzing 1305 proteins in brain tissue, cerebrospinal fluid (CSF), and plasma from patients with sporadic AD, TREM2 risk variant carriers, patients with autosomal dominant AD (ADAD), and healthy individuals. We identified 8 brain, 40 CSF, and 9 plasma proteins that were altered in individuals with sporadic AD, and we replicated these findings in several external datasets. We identified a proteomic signature that differentiated TREM2 variant carriers from both individuals with sporadic AD and healthy individuals. The proteins associated with sporadic AD were also altered in patients with ADAD, but with a greater effect size. Brain-derived proteins associated with ADAD were also replicated in additional CSF samples. Enrichment analyses highlighted several pathways, including those implicated in AD (calcineurin and Apo E), Parkinson’s disease (α-synuclein and LRRK2), and innate immune responses (SHC1, ERK-1, and SPP1). Our findings suggest that combined proteomics across brain tissue, CSF, and plasma can be used to identify markers for sporadic and genetically defined AD.</w:t>
      </w:r>
    </w:p>
    <w:p>
      <w:pPr/>
      <w:r>
        <w:rPr>
          <w:b/>
        </w:rPr>
        <w:t>POSSIBLE 2023:</w:t>
      </w:r>
      <w:r>
        <w:t xml:space="preserve"> Multi-ancestry genome-wide study identifies effector genes and druggable pathways for coronary artery calcification — https://doi.org/10.1038/s41588-023-01518-4</w:t>
      </w:r>
    </w:p>
    <w:p>
      <w:pPr/>
      <w:r>
        <w:rPr>
          <w:b/>
        </w:rPr>
        <w:t>Shared claim-specific concepts:</w:t>
      </w:r>
      <w:r>
        <w:t xml:space="preserve"> findings, several, identified, here, help; EU scope visible. This is a provisional connection, not an outcome finding.</w:t>
      </w:r>
    </w:p>
    <w:p>
      <w:pPr>
        <w:pStyle w:val="SourceNote"/>
      </w:pPr>
      <w:r>
        <w:rPr>
          <w:b/>
        </w:rPr>
        <w:t>Available abstract (not full text):</w:t>
      </w:r>
      <w:r>
        <w:t xml:space="preserve"> Coronary artery calcification (CAC), a measure of subclinical atherosclerosis, predicts future symptomatic coronary artery disease (CAD). Identifying genetic risk factors for CAC may point to new therapeutic avenues for prevention. Currently, there are only four known risk loci for CAC identified from genome-wide association studies (GWAS) in the general population. Here we conducted the largest multi-ancestry GWAS meta-analysis of CAC to date, which comprised 26,909 individuals of European ancestry and 8,867 individuals of African ancestry. We identified 11 independent risk loci, of which eight were new for CAC and five had not been reported for CAD. These new CAC loci are related to bone mineralization, phosphate catabolism and hormone metabolic pathways. Several new loci harbor candidate causal genes supported by multiple lines of functional evidence and are regulators of smooth muscle cell-mediated calcification ex vivo and in vitro. Together, these findings help refine the genetic architecture of CAC and extend our understanding of the biological and potential druggable pathways underlying CAC.</w:t>
      </w:r>
    </w:p>
    <w:p>
      <w:pPr/>
      <w:r>
        <w:rPr>
          <w:b/>
        </w:rPr>
        <w:t>POSSIBLE 2023:</w:t>
      </w:r>
      <w:r>
        <w:t xml:space="preserve"> Analyzing SDG interlinkages: identifying trade-offs and synergies for a responsible innovation — https://doi.org/10.1007/s11625-023-01336-x</w:t>
      </w:r>
    </w:p>
    <w:p>
      <w:pPr/>
      <w:r>
        <w:rPr>
          <w:b/>
        </w:rPr>
        <w:t>Shared claim-specific concepts:</w:t>
      </w:r>
      <w:r>
        <w:t xml:space="preserve"> findings, several, identified, here; EU scope not established. This is a provisional connection, not an outcome finding.</w:t>
      </w:r>
    </w:p>
    <w:p>
      <w:pPr>
        <w:pStyle w:val="SourceNote"/>
      </w:pPr>
      <w:r>
        <w:rPr>
          <w:b/>
        </w:rPr>
        <w:t>Available abstract (not full text):</w:t>
      </w:r>
      <w:r>
        <w:t xml:space="preserve"> This paper responds to recent calls to address the indivisible nature of the Sustainable Development Goal (SDG) framework and the related knowledge gap on how SDG targets interlink with each other. It examines how SDG targets interact in the context of a specific technology, point of care (PoC) microfluidics, and how this relates to the concept of responsible innovation (RI). The novel SDG interlinkages methodology developed here involves several steps to filter the relevant interlinkages and a focus group of experts for discussing these interlinkages. The main findings indicate that several social synergies occur when deploying PoC microfluidics, but that the environmental trade-offs may jeopardize the total progress toward the SDGs. More specifically, the environmental sacrifices (use of plastics and lack of recyclability) resulted in the product being cheaper and, thus, better accessible. This work suggests that attention should be given (and prioritized) to the use of renewable and recyclable materials without jeopardizing the accessibility of the product. This should minimize the identified trade-offs. These findings inform how analyzing SDG interlinkages relates to the responsibilities and dimensions of RI in several ways. First, analyzing SDG interlinkages helps to execute the governance responsibility by using the RI dimensions (anticipation, reflexivity, inclusion and </w:t>
      </w:r>
    </w:p>
    <w:p>
      <w:pPr/>
      <w:r>
        <w:rPr>
          <w:b/>
        </w:rPr>
        <w:t>POSSIBLE 2023:</w:t>
      </w:r>
      <w:r>
        <w:t xml:space="preserve"> Large-scale exome sequence analysis identifies sex- and age-specific determinants of obesity — https://doi.org/10.1016/j.xgen.2023.100362</w:t>
      </w:r>
    </w:p>
    <w:p>
      <w:pPr/>
      <w:r>
        <w:rPr>
          <w:b/>
        </w:rPr>
        <w:t>Shared claim-specific concepts:</w:t>
      </w:r>
      <w:r>
        <w:t xml:space="preserve"> findings, several, identified, here, well; EU scope not established. This is a provisional connection, not an outcome finding.</w:t>
      </w:r>
    </w:p>
    <w:p>
      <w:pPr>
        <w:pStyle w:val="SourceNote"/>
      </w:pPr>
      <w:r>
        <w:rPr>
          <w:b/>
        </w:rPr>
        <w:t>Available abstract (not full text):</w:t>
      </w:r>
      <w:r>
        <w:t xml:space="preserve"> Obesity contributes substantially to the global burden of disease and has a significant heritable component. Recent large-scale exome sequencing studies identified several genes in which rare, protein-coding variants have large effects on adult body mass index (BMI). Here we extended such work by performing sex-stratified associations in the UK Biobank study (N∼420,000). We identified genes in which rare heterozygous loss-of-function increases adult BMI in women (DIDO1, PTPRG, and SLC12A5) and in men (SLTM), with effect sizes up to ∼8 kg/m2. This is complemented by analyses implicating rare variants in OBSCN and MADD for recalled childhood adiposity. The known functions of these genes, as well as findings of common variant genome-wide pathway enrichment analyses, suggest a role for neuron death, apoptosis, and DNA damage response mechanisms in the susceptibility to obesity across the life-course. These findings highlight the importance of considering sex-specific and life-course effects in the genetic regulation of obesity.</w:t>
      </w:r>
    </w:p>
    <w:p>
      <w:pPr/>
      <w:r>
        <w:rPr>
          <w:b/>
        </w:rPr>
        <w:t>POSSIBLE 2022:</w:t>
      </w:r>
      <w:r>
        <w:t xml:space="preserve"> Neuroimaging in schizophrenia: an overview of findings and their implications for synaptic changes — https://doi.org/10.1038/s41386-022-01426-x</w:t>
      </w:r>
    </w:p>
    <w:p>
      <w:pPr/>
      <w:r>
        <w:rPr>
          <w:b/>
        </w:rPr>
        <w:t>Shared claim-specific concepts:</w:t>
      </w:r>
      <w:r>
        <w:t xml:space="preserve"> findings, several, identified, here, people; EU scope not established. This is a provisional connection, not an outcome finding.</w:t>
      </w:r>
    </w:p>
    <w:p>
      <w:pPr>
        <w:pStyle w:val="SourceNote"/>
      </w:pPr>
      <w:r>
        <w:rPr>
          <w:b/>
        </w:rPr>
        <w:t>Available abstract (not full text):</w:t>
      </w:r>
      <w:r>
        <w:t xml:space="preserve"> Over the last five decades, a large body of evidence has accrued for structural and metabolic brain alterations in schizophrenia. Here we provide an overview of these findings, focusing on measures that have traditionally been thought to reflect synaptic spine density or synaptic activity and that are relevant for understanding if there is lower synaptic density in the disorder. We conducted literature searches to identify meta-analyses or other relevant studies in patients with chronic or first-episode schizophrenia, or in people at high genetic or clinical risk for psychosis. We identified 18 meta-analyses including over 50,000 subjects in total, covering: structural MRI measures of gyrification index, grey matter volume, grey matter density and cortical thickness, neurite orientation dispersion and density imaging, PET imaging of regional glucose metabolism and magnetic resonance spectroscopy measures of N-acetylaspartate. We also review preclinical evidence on the relationship between ex vivo synaptic measures and structural MRI imaging, and PET imaging of synaptic protein 2A (SV2A). These studies show that schizophrenia is associated with lower grey matter volumes and cortical thickness, accelerated grey matter loss over time, abnormal gyrification patterns, and lower regional SV2A levels and metabolic markers in comparison to controls (effect sizes from ~ -0.11 to -1.0). </w:t>
      </w:r>
    </w:p>
    <w:p>
      <w:pPr/>
      <w:r>
        <w:rPr>
          <w:b/>
        </w:rPr>
        <w:t>POSSIBLE 2022:</w:t>
      </w:r>
      <w:r>
        <w:t xml:space="preserve"> Vocabulary changes in adulthood: Main findings and methodological considerations — https://doi.org/10.1111/1460-6984.12820</w:t>
      </w:r>
    </w:p>
    <w:p>
      <w:pPr/>
      <w:r>
        <w:rPr>
          <w:b/>
        </w:rPr>
        <w:t>Shared claim-specific concepts:</w:t>
      </w:r>
      <w:r>
        <w:t xml:space="preserve"> findings, methodologies, well; EU scope not established. This is a provisional connection, not an outcome finding.</w:t>
      </w:r>
    </w:p>
    <w:p>
      <w:pPr>
        <w:pStyle w:val="SourceNote"/>
      </w:pPr>
      <w:r>
        <w:rPr>
          <w:b/>
        </w:rPr>
        <w:t>Available abstract (not full text):</w:t>
      </w:r>
      <w:r>
        <w:t xml:space="preserve"> BACKGROUND: Vocabulary scores increase until approximately age 65 years and then remain stable or decrease slightly, unlike scores on tests of other cognitive abilities that decline significantly with age. AIMS: To review the findings on ageing-related changes in vocabulary, and to discuss four methodological issues: research design; test type; measurement; and vocabulary ability as a proxy for general intelligence. MAIN CONTRIBUTION: A discussion of cross-sectional and longitudinal research designs shows that cohort membership accounts for some but not all ageing-related changes in vocabulary, and that drop-out and test-retest effects do not alter conclusions regarding these changes. Test type affects age trends in vocabulary, and if researchers use only one test, they should choose a multiple-choice synonym test. While some authors suggest that vocabulary tests do not measure the same underlying ability in younger and older adults, more research of this suggestion is needed. A brief examination of the use of vocabulary ability as a proxy for general intelligence in healthy ageing and for premorbid abilities in dementia indicates that such practice is often questionable. CONCLUSIONS: Vocabulary knowledge increases through the mid-60s regardless of measurement method. However, there is little information on how word knowledge serves other verbal skills in old age, how and when </w:t>
      </w:r>
    </w:p>
    <w:p>
      <w:pPr/>
      <w:r>
        <w:rPr>
          <w:b/>
        </w:rPr>
        <w:t>POSSIBLE 2022:</w:t>
      </w:r>
      <w:r>
        <w:t xml:space="preserve"> Adjusting the social footprint methodology based on findings of subjective wellbeing research — https://doi.org/10.21203/rs.3.rs-1369858/v2</w:t>
      </w:r>
    </w:p>
    <w:p>
      <w:pPr/>
      <w:r>
        <w:rPr>
          <w:b/>
        </w:rPr>
        <w:t>Shared claim-specific concepts:</w:t>
      </w:r>
      <w:r>
        <w:t xml:space="preserve"> findings, several, identified, here; EU scope not established. This is a provisional connection, not an outcome finding.</w:t>
      </w:r>
    </w:p>
    <w:p>
      <w:pPr>
        <w:pStyle w:val="SourceNote"/>
      </w:pPr>
      <w:r>
        <w:rPr>
          <w:b/>
        </w:rPr>
        <w:t>Available abstract (not full text):</w:t>
      </w:r>
      <w:r>
        <w:t xml:space="preserve"> Abstract Purpose Following some years of practical application, some weaknesses has been identified in the original 2018 version of the ‘social footprint’ methodology, where wellbeing was seen as exclusively related to consumption activities and as inseparably linked to production through the budget constraint, implying that the value of wellbeing was limited to be a mirror of the value of production. Several improvements in both methodology and data are presented here. Methods The theoretical improvements are inspired by the suggestion of Juster et al. (1981) that wellbeing can be seen as the sum of the value added generated from work and the intrinsic activity benefits, i.e., the positive affect from performing or taking part in specific work or leisure activities. This implies a relatively low preference for income relative to intrinsic activity benefits, which is confirmed by recent findings of subjective wellbeing research. Results and discussion Other findings of subjective wellbeing research provide a constraint on the conversion factor between Disability-Adjusted Life-Years (DALY) and Quality-Adjusted person-Life-Years (QALY), leading to a surprising 0.3 QALY/DALY, against the more intuitive 1 QALY/DALY. These theoretical improvements, combined with the availability of more recent country-specific data on impacts on wellbeing, allows to calculate a global potential leve</w:t>
      </w:r>
    </w:p>
    <w:p>
      <w:pPr/>
      <w:r>
        <w:rPr>
          <w:b/>
        </w:rPr>
        <w:t>POSSIBLE 2021:</w:t>
      </w:r>
      <w:r>
        <w:t xml:space="preserve"> Sentiment analysis in hospitality and tourism: a thematic and methodological review — https://doi.org/10.1108/ijchm-02-2021-0132</w:t>
      </w:r>
    </w:p>
    <w:p>
      <w:pPr/>
      <w:r>
        <w:rPr>
          <w:b/>
        </w:rPr>
        <w:t>Shared claim-specific concepts:</w:t>
      </w:r>
      <w:r>
        <w:t xml:space="preserve"> findings, several, methodologies, identified; EU scope not established. This is a provisional connection, not an outcome finding.</w:t>
      </w:r>
    </w:p>
    <w:p>
      <w:pPr>
        <w:pStyle w:val="SourceNote"/>
      </w:pPr>
      <w:r>
        <w:rPr>
          <w:b/>
        </w:rPr>
        <w:t>Available abstract (not full text):</w:t>
      </w:r>
      <w:r>
        <w:t xml:space="preserve"> Purpose This study aims to conduct a systematic review and critically analyze the sentiment analysis literature in hospitality and tourism from methodological (data sets and analyzes) and thematic (topics, theories, key constructs and their relationships) perspectives. Design/methodology/approach Qualitative thematic review and quantitative systematic review were performed on 70 papers obtained from hospitality and tourism categories of two databases, namely, Web of Science and Scopus. Findings A total of 5 topics and 27 sub-topics were identified and the major theme is market intelligence. Sentiment variables were investigated not only as independent but also as dependent variables. The customer rating is the most investigated dependent variable, whereas moderators and mediators were rarely tested. Most reviewed studies did not use theory. The findings from the methodological review show that analysis of big data was rare. Moreover, testing the performance of sentiment analyzes was uncommon, and only one paper tested the performance of aspect/feature extraction. Research limitations/implications This study extends prior review studies by providing a comprehensive view of how knowledge and methodologies of sentiment analysis have developed. The identified themes and key constructs serve as a solid base for future knowledge advancement. Future research directions on sentiment an</w:t>
      </w:r>
    </w:p>
    <w:p>
      <w:pPr/>
      <w:r>
        <w:rPr>
          <w:b/>
        </w:rPr>
        <w:t>POSSIBLE 2021:</w:t>
      </w:r>
      <w:r>
        <w:t xml:space="preserve"> A genome-wide CRISPR screen identifies host factors that regulate SARS-CoV-2 entry — https://doi.org/10.1038/s41467-021-21213-4</w:t>
      </w:r>
    </w:p>
    <w:p>
      <w:pPr/>
      <w:r>
        <w:rPr>
          <w:b/>
        </w:rPr>
        <w:t>Shared claim-specific concepts:</w:t>
      </w:r>
      <w:r>
        <w:t xml:space="preserve"> findings, several, here; EU scope not established. This is a provisional connection, not an outcome finding.</w:t>
      </w:r>
    </w:p>
    <w:p>
      <w:pPr>
        <w:pStyle w:val="SourceNote"/>
      </w:pPr>
      <w:r>
        <w:rPr>
          <w:b/>
        </w:rPr>
        <w:t>Available abstract (not full text):</w:t>
      </w:r>
      <w:r>
        <w:t xml:space="preserve"> The global spread of SARS-CoV-2 is posing major public health challenges. One feature of SARS-CoV-2 spike protein is the insertion of multi-basic residues at the S1/S2 subunit cleavage site. Here, we find that the virus with intact spike (Sfull) preferentially enters cells via fusion at the plasma membrane, whereas a clone (Sdel) with deletion disrupting the multi-basic S1/S2 site utilizes an endosomal entry pathway. Using Sdel as model, we perform a genome-wide CRISPR screen and identify several endosomal entry-specific regulators. Experimental validation of hits from the CRISPR screen shows that host factors regulating the surface expression of angiotensin-converting enzyme 2 (ACE2) affect entry of Sfull virus. Animal-to-animal transmission with the Sdel virus is reduced compared to Sfull in the hamster model. These findings highlight the critical role of the S1/S2 boundary of SARS-CoV-2 spike protein in modulating virus entry and transmission and provide insights into entry of coronaviruses.</w:t>
      </w:r>
    </w:p>
    <w:p>
      <w:pPr>
        <w:pStyle w:val="Heading2"/>
      </w:pPr>
      <w:r>
        <w:t>1006. O4-2.1 Foresight tackling obesities: future choices</w:t>
      </w:r>
    </w:p>
    <w:p>
      <w:pPr>
        <w:pStyle w:val="SourceNote"/>
      </w:pPr>
      <w:r>
        <w:rPr>
          <w:b/>
        </w:rPr>
        <w:t>Original source (2011):</w:t>
      </w:r>
      <w:r>
        <w:t xml:space="preserve"> https://doi.org/10.1136/jech.2011.142976b.14</w:t>
      </w:r>
    </w:p>
    <w:p>
      <w:pPr/>
      <w:r>
        <w:t>Original wording (abstract; indexed_source_text_not_full_document_verified): These predictions could be subject to a range of policy options which affected BMI or business as usual. Given these predictions up to 2050, we built a micro simulation of the UK population with same demographics and the BMI growth predicted.</w:t>
      </w:r>
    </w:p>
    <w:p>
      <w:pPr/>
      <w:r>
        <w:rPr>
          <w:b/>
        </w:rPr>
        <w:t>POSSIBLE 2021:</w:t>
      </w:r>
      <w:r>
        <w:t xml:space="preserve"> Farmer flexibility concerning future rotation planning is affected by the framing of climate predictions — https://doi.org/10.1016/j.crm.2021.100356</w:t>
      </w:r>
    </w:p>
    <w:p>
      <w:pPr/>
      <w:r>
        <w:rPr>
          <w:b/>
        </w:rPr>
        <w:t>Shared claim-specific concepts:</w:t>
      </w:r>
      <w:r>
        <w:t xml:space="preserve"> predictions, affected, predicted; EU scope visible. This is a provisional connection, not an outcome finding.</w:t>
      </w:r>
    </w:p>
    <w:p>
      <w:pPr>
        <w:pStyle w:val="SourceNote"/>
      </w:pPr>
      <w:r>
        <w:rPr>
          <w:b/>
        </w:rPr>
        <w:t>Available abstract (not full text):</w:t>
      </w:r>
      <w:r>
        <w:t xml:space="preserve"> Arable crops are typically grown in annual rotations.Diverse rotations can support ecosystem services, provide economic resilience and support adaptation to climate change.Our aim was to assess farmers' attitudes to planning and diversifying crop rotations, focusing on their responses in the face of contrasting climate viewpoints.We interviewed 75 farmers from four regions along a latitudinal gradient from the south of the UK to the south of France.We used a semi-structured questionnaire with face-to-face interviews and asked farmers to respond to two narrative viewpoints of climate change impacts: one viewpoint focused on opportunities, the other on constraints.We found in all four regions that farmers' use rotations, and the crops within rotations, to achieve their main objectives of financial stability and improved soil health.Most farmers (79-100% depending on region) said they had experienced climate change, and many (54-83%) had already implemented changes in their farming practices.We did not find a difference in these results based on latitude.However, farmers' self-reported outlook was mostly optimistic in southern UK and become progressively more pessimistic further south.Overall, most farmers predicted that they would diversify and lengthen rotations in response to climate change.However, when presented with a viewpoint of climate change impacts focusing on opportuni</w:t>
      </w:r>
    </w:p>
    <w:p>
      <w:pPr/>
      <w:r>
        <w:rPr>
          <w:b/>
        </w:rPr>
        <w:t>POSSIBLE 2020:</w:t>
      </w:r>
      <w:r>
        <w:t xml:space="preserve"> Solar cycle prediction — https://doi.org/10.1007/s41116-020-0022-z</w:t>
      </w:r>
    </w:p>
    <w:p>
      <w:pPr/>
      <w:r>
        <w:rPr>
          <w:b/>
        </w:rPr>
        <w:t>Shared claim-specific concepts:</w:t>
      </w:r>
      <w:r>
        <w:t xml:space="preserve"> predictions, range, given, same; EU scope not established. This is a provisional connection, not an outcome finding.</w:t>
      </w:r>
    </w:p>
    <w:p>
      <w:pPr>
        <w:pStyle w:val="SourceNote"/>
      </w:pPr>
      <w:r>
        <w:rPr>
          <w:b/>
        </w:rPr>
        <w:t>Available abstract (not full text):</w:t>
      </w:r>
      <w:r>
        <w:t xml:space="preserve"> Abstract A review of solar cycle prediction methods and their performance is given, including early forecasts for Cycle 25. The review focuses on those aspects of the solar cycle prediction problem that have a bearing on dynamo theory. The scope of the review is further restricted to the issue of predicting the amplitude (and optionally the epoch) of an upcoming solar maximum no later than right after the start of the given cycle. Prediction methods form three main groups. Precursor methods rely on the value of some measure of solar activity or magnetism at a specified time to predict the amplitude of the following solar maximum. The choice of a good precursor often implies considerable physical insight: indeed, it has become increasingly clear that the transition from purely empirical precursors to model-based methods is continuous. Model-based approaches can be further divided into two groups: predictions based on surface flux transport models and on consistent dynamo models. The implicit assumption of precursor methods is that each numbered solar cycle is a consistent unit in itself, while solar activity seems to consist of a series of much less tightly intercorrelated individual cycles. Extrapolation methods, in contrast, are based on the premise that the physical process giving rise to the sunspot number record is statistically homogeneous, i.e., the mathematical regularit</w:t>
      </w:r>
    </w:p>
    <w:p>
      <w:pPr/>
      <w:r>
        <w:rPr>
          <w:b/>
        </w:rPr>
        <w:t>POSSIBLE 2017:</w:t>
      </w:r>
      <w:r>
        <w:t xml:space="preserve"> Accuracy of subject-specific prediction of end-systolic time in MRI across a range of RR intervals — https://doi.org/10.1371/journal.pone.0179011</w:t>
      </w:r>
    </w:p>
    <w:p>
      <w:pPr/>
      <w:r>
        <w:rPr>
          <w:b/>
        </w:rPr>
        <w:t>Shared claim-specific concepts:</w:t>
      </w:r>
      <w:r>
        <w:t xml:space="preserve"> subject, range, population, predicted; EU scope not established. This is a provisional connection, not an outcome finding.</w:t>
      </w:r>
    </w:p>
    <w:p>
      <w:pPr>
        <w:pStyle w:val="SourceNote"/>
      </w:pPr>
      <w:r>
        <w:rPr>
          <w:b/>
        </w:rPr>
        <w:t>Available abstract (not full text):</w:t>
      </w:r>
      <w:r>
        <w:t xml:space="preserve"> BACKGROUND: Prediction of End-Systole time is of utmost importance for cardiac MRI to correctly associate acquired k-space lines during reconstruction of cine acquisitions. This prediction is usually based on the patient's heart rate using Weissler's formula, which was calibrated by linear regression within a population and cannot account for individual variability. OBJECTIVE: We propose an automatic method to build a personalized model that better predicts end-systole. METHODS: A phase contrast sequence was modified to acquire only central k-space line with 6.6ms temporal resolution, in a slice passing through the aorta during 128 heartbeats in 35 subjects. Segmentation of aorta and detection of end of systolic ejection was automatic. Duration of electromechanical systole duration as function of heart rate was determined for each subject separately. RESULTS: In comparison with the global models, the adapted cardiac model predicted significantly better both echocardiographic end-systolic reference (bias = 0ms vs 17ms, p&lt;0.001) and MRI measurements (bias = 6.8ms vs 17ms). Favorable impact was shown on the cine reconstruction of the 5 subjects with the higher cardiac variability (p = 0.02). CONCLUSIONS: Personalization of cardiac model to the subject is feasible in MRI and reduces the error of prediction of systole.</w:t>
      </w:r>
    </w:p>
    <w:p>
      <w:pPr/>
      <w:r>
        <w:rPr>
          <w:b/>
        </w:rPr>
        <w:t>POSSIBLE 2016:</w:t>
      </w:r>
      <w:r>
        <w:t xml:space="preserve"> Muscle Synergies Facilitate Computational Prediction of Subject-Specific Walking Motions — https://doi.org/10.3389/fbioe.2016.00077</w:t>
      </w:r>
    </w:p>
    <w:p>
      <w:pPr/>
      <w:r>
        <w:rPr>
          <w:b/>
        </w:rPr>
        <w:t>Shared claim-specific concepts:</w:t>
      </w:r>
      <w:r>
        <w:t xml:space="preserve"> predictions, subject, simulation, predicted; EU scope not established. This is a provisional connection, not an outcome finding.</w:t>
      </w:r>
    </w:p>
    <w:p>
      <w:pPr>
        <w:pStyle w:val="SourceNote"/>
      </w:pPr>
      <w:r>
        <w:rPr>
          <w:b/>
        </w:rPr>
        <w:t>Available abstract (not full text):</w:t>
      </w:r>
      <w:r>
        <w:t xml:space="preserve"> Researchers have explored a variety of neurorehabilitation approaches to restore normal walking function following a stroke. However, there is currently no objective means for prescribing and implementing treatments that are likely to maximize recovery of walking function for any particular patient. As a first step toward optimizing neurorehabilitation effectiveness, this study develops and evaluates a patient-specific synergy-controlled neuromusculoskeletal simulation framework that can predict walking motions for an individual post-stroke. The main question we addressed was whether driving a subject-specific neuromusculoskeletal model with muscle synergy controls (5 per leg) facilitates generation of accurate walking predictions compared to a model driven by muscle activation controls (35 per leg) or joint torque controls (5 per leg). To explore this question, we developed a subject-specific neuromusculoskeletal model of a single high-functioning hemiparetic subject using instrumented treadmill walking data collected at the subject's self-selected speed of 0.5 m/s. The model included subject-specific representations of lower-body kinematic structure, foot-ground contact behavior, electromyography-driven muscle force generation, and neural control limitations and remaining capabilities. Using direct collocation optimal control and the subject-specific model, we evaluated the a</w:t>
      </w:r>
    </w:p>
    <w:p>
      <w:pPr/>
      <w:r>
        <w:rPr>
          <w:b/>
        </w:rPr>
        <w:t>POSSIBLE 2016:</w:t>
      </w:r>
      <w:r>
        <w:t xml:space="preserve"> APPROPRIATE VERTICAL RANGE TO AVERAGE LUMINANCE FOR PREDICTION OF PERCEIVED SPATIAL BRIGHTNESS IN OFFICE — https://doi.org/10.3130/aije.81.421</w:t>
      </w:r>
    </w:p>
    <w:p>
      <w:pPr/>
      <w:r>
        <w:rPr>
          <w:b/>
        </w:rPr>
        <w:t>Shared claim-specific concepts:</w:t>
      </w:r>
      <w:r>
        <w:t xml:space="preserve"> range, usual, predicted; EU scope not established. This is a provisional connection, not an outcome finding.</w:t>
      </w:r>
    </w:p>
    <w:p>
      <w:pPr>
        <w:pStyle w:val="SourceNote"/>
      </w:pPr>
      <w:r>
        <w:rPr>
          <w:b/>
        </w:rPr>
        <w:t>Available abstract (not full text):</w:t>
      </w:r>
      <w:r>
        <w:t xml:space="preserve"> It is effective for power-saving of office lighting to set working plane illuminance lower than usual, but without consideration of room appearance this tends to lead to gloomy impression. To avoid this negative effect, some methods to predict brightness impression are used for office lighting design, but they have not been well examined from the view point of applicability to office lighting. It is apparent that the average luminance of office perspective image is important but the value changes in accordance of view range. This study, as a basic research, examined appropriate vertical range for prediction of perceived spatial brightness. The authors set 48 different luminance distribution conditions in a 1/6 scale model of office environment, and asked the subjects to evaluate spatial brightness with magnitude estimation technique. The luminance distribution from the subjects' evaluation point was measured by a digital camera with 180 degree fish-eye lens and average luminance was examined. As the result, the authors obtained followings; 1) When sitting on a desk seat, spatial brightness can be predicted by mean luminance ranging from 0 to 20 degrees on the luminance image in vertical, with exclusion of objects just around the desk like partitions, but in the case of short room depth or including windows, the mean should be ranging from 0 to 40 degrees. 2) Vertical range to a</w:t>
      </w:r>
    </w:p>
    <w:p>
      <w:pPr/>
      <w:r>
        <w:rPr>
          <w:b/>
        </w:rPr>
        <w:t>POSSIBLE 2013:</w:t>
      </w:r>
      <w:r>
        <w:t xml:space="preserve"> The experience of agency: an interplay between prediction and postdiction — https://doi.org/10.3389/fpsyg.2013.00127</w:t>
      </w:r>
    </w:p>
    <w:p>
      <w:pPr/>
      <w:r>
        <w:rPr>
          <w:b/>
        </w:rPr>
        <w:t>Shared claim-specific concepts:</w:t>
      </w:r>
      <w:r>
        <w:t xml:space="preserve"> predictions, subject, range, given, same; EU scope not established. This is a provisional connection, not an outcome finding.</w:t>
      </w:r>
    </w:p>
    <w:p>
      <w:pPr>
        <w:pStyle w:val="SourceNote"/>
      </w:pPr>
      <w:r>
        <w:rPr>
          <w:b/>
        </w:rPr>
        <w:t>Available abstract (not full text):</w:t>
      </w:r>
      <w:r>
        <w:t xml:space="preserve"> The experience of agency, i.e., the registration that I am the initiator of my actions, is a basic and constant underpinning of our interaction with the world. Whereas several accounts have underlined predictive processes as the central mechanism (e.g., the comparator model by C. Frith), others emphasized postdictive inferences (e.g., post-hoc inference account by D. Wegner). Based on increasing evidence that both predictive and postdictive processes contribute to the experience of agency, we here present a unifying but at the same time parsimonious approach that reconciles these accounts: predictive and postdictive processes are both integrated by the brain according to the principles of optimal cue integration. According to this framework, predictive and postdictive processes each serve as authorship cues that are continuously integrated and weighted depending on their availability and reliability in a given situation. Both sensorimotor and cognitive signals can serve as predictive cues (e.g., internal predictions based on an efferency copy of the motor command or cognitive anticipations based on priming). Similarly, other sensorimotor and cognitive cues can each serve as post-hoc cues (e.g., visual feedback of the action or the affective valence of the action outcome). Integration and weighting of these cues might not only differ between contexts and individuals, but also be</w:t>
      </w:r>
    </w:p>
    <w:p>
      <w:pPr/>
      <w:r>
        <w:rPr>
          <w:b/>
        </w:rPr>
        <w:t>POSSIBLE 2013:</w:t>
      </w:r>
      <w:r>
        <w:t xml:space="preserve"> Simultaneous calibration of ensemble river flow predictions over an entire range of lead times — https://doi.org/10.1002/wrcr.20542</w:t>
      </w:r>
    </w:p>
    <w:p>
      <w:pPr/>
      <w:r>
        <w:rPr>
          <w:b/>
        </w:rPr>
        <w:t>Shared claim-specific concepts:</w:t>
      </w:r>
      <w:r>
        <w:t xml:space="preserve"> predictions, subject, range; EU scope not established. This is a provisional connection, not an outcome finding.</w:t>
      </w:r>
    </w:p>
    <w:p>
      <w:pPr>
        <w:pStyle w:val="SourceNote"/>
      </w:pPr>
      <w:r>
        <w:rPr>
          <w:b/>
        </w:rPr>
        <w:t>Available abstract (not full text):</w:t>
      </w:r>
      <w:r>
        <w:t xml:space="preserve"> Probabilistic estimates of future water levels and river discharge are usually simulated with hydrologic models using ensemble weather forecasts as main inputs. As hydrologic models are imperfect and the meteorological ensembles tend to be biased and underdispersed, the ensemble forecasts for river runoff typically are biased and underdispersed, too. Thus, in order to achieve both reliable and sharp predictions statistical postprocessing is required. In this work Bayesian model averaging (BMA) is applied to statistically postprocess ensemble runoff raw forecasts for a catchment in Switzerland, at lead times ranging from 1 to 240 h. The raw forecasts have been obtained using deterministic and ensemble forcing meteorological models with different forecast lead time ranges. First, BMA is applied based on mixtures of univariate normal distributions, subject to the assumption of independence between distinct lead times. Then, the independence assumption is relaxed in order to estimate multivariate runoff forecasts over the entire range of lead times simultaneously, based on a BMA version that uses multivariate normal distributions. Since river runoff is a highly skewed variable, Box-Cox transformations are applied in order to achieve approximate normality. Both univariate and multivariate BMA approaches are able to generate well calibrated probabilistic forecasts that are considerab</w:t>
      </w:r>
    </w:p>
    <w:p>
      <w:pPr>
        <w:pStyle w:val="Heading2"/>
      </w:pPr>
      <w:r>
        <w:t>1007. OPERATIONAL EARTHQUAKE FORECASTING. State of Knowledge and Guidelines for Utilization</w:t>
      </w:r>
    </w:p>
    <w:p>
      <w:pPr>
        <w:pStyle w:val="SourceNote"/>
      </w:pPr>
      <w:r>
        <w:rPr>
          <w:b/>
        </w:rPr>
        <w:t>Original source (2011):</w:t>
      </w:r>
      <w:r>
        <w:t xml:space="preserve"> https://doi.org/10.4401/ag-5350</w:t>
      </w:r>
    </w:p>
    <w:p>
      <w:pPr/>
      <w:r>
        <w:t>Original wording (abstract; indexed_source_text_not_full_document_verified): Long-term models are currently the most important forecasting tools for civil protection against earthquake damage, because they guide earthquake safety provisions of building codes, performance-based seismic design, and other risk-reducing engineering practices, such as retrofitting to correct design flaws in older buildings. Based on the experience accumulated in seismically active regions, the ICEF has provided to DPC a set of recommendations on the utilization of operational forecasting in Italy, which may also be useful in other countries.</w:t>
      </w:r>
    </w:p>
    <w:p>
      <w:pPr/>
      <w:r>
        <w:rPr>
          <w:b/>
        </w:rPr>
        <w:t>POSSIBLE 2026:</w:t>
      </w:r>
      <w:r>
        <w:t xml:space="preserve"> Maps of long-term soiling losses in Europe considering a partial cleaning effect by rain — https://doi.org/10.1051/epjpv/2026010</w:t>
      </w:r>
    </w:p>
    <w:p>
      <w:pPr/>
      <w:r>
        <w:rPr>
          <w:b/>
        </w:rPr>
        <w:t>Shared claim-specific concepts:</w:t>
      </w:r>
      <w:r>
        <w:t xml:space="preserve"> long-term, currently; EU scope visible. This is a provisional connection, not an outcome finding.</w:t>
      </w:r>
    </w:p>
    <w:p>
      <w:pPr>
        <w:pStyle w:val="SourceNote"/>
      </w:pPr>
      <w:r>
        <w:rPr>
          <w:b/>
        </w:rPr>
        <w:t>Available abstract (not full text):</w:t>
      </w:r>
      <w:r>
        <w:t xml:space="preserve"> The soiling of PV modules has been estimated to yield global losses in the solar energy production by 4 to 7%, even considering the cleaning efforts in many solar energy systems. Despite this, soiling measurements are not always available, making models particularly valuable for estimating these losses. However, soiling models currently present two limitations: most of them assume that daily rain accumulations higher than a threshold value can totally clean PV modules and, additionally, that rain will have the same washing effect on all types of soiling, independently of their higher or lower adherent properties. In this work, the HSU model (Coello and Boyle, 2019) is modified to include the two aforementioned effects. The original and modified HSU models are then calibrated for two locations in Africa where observations of long-term soiling losses were available. At the first considered location, the predominant soiling type was mainly washable by rain but showed the partial cleaning effects, while at the second location, despite the frequent and abundant rainfall, the build-up of persistent soiling was observed. The calibrated parameters for the original and modified HSU models were then applied to reanalysis meteorological 2-dimensional input data to estimate the associated soiling losses in Europe for a 20-yr operation without any artificial cleaning. The application of mod</w:t>
      </w:r>
    </w:p>
    <w:p>
      <w:pPr/>
      <w:r>
        <w:rPr>
          <w:b/>
        </w:rPr>
        <w:t>POSSIBLE 2026:</w:t>
      </w:r>
      <w:r>
        <w:t xml:space="preserve"> Maps of long-term soiling losses in Europe considering a partial cleaning effect by rain — https://doi.org/10.1051/epjpv/2026010/pdf</w:t>
      </w:r>
    </w:p>
    <w:p>
      <w:pPr/>
      <w:r>
        <w:rPr>
          <w:b/>
        </w:rPr>
        <w:t>Shared claim-specific concepts:</w:t>
      </w:r>
      <w:r>
        <w:t xml:space="preserve"> long-term, currently; EU scope visible. This is a provisional connection, not an outcome finding.</w:t>
      </w:r>
    </w:p>
    <w:p>
      <w:pPr>
        <w:pStyle w:val="SourceNote"/>
      </w:pPr>
      <w:r>
        <w:rPr>
          <w:b/>
        </w:rPr>
        <w:t>Available abstract (not full text):</w:t>
      </w:r>
      <w:r>
        <w:t xml:space="preserve"> The soiling of PV modules has been estimated to yield global losses in the solar energy production by 4 to 7%, even considering the cleaning efforts in many solar energy systems. Despite this, soiling measurements are not always available, making models particularly valuable for estimating these losses. However, soiling models currently present two limitations: most of them assume that daily rain accumulations higher than a threshold value can totally clean PV modules and, additionally, that rain will have the same washing effect on all types of soiling, independently of their higher or lower adherent properties. In this work, the HSU model (Coello and Boyle, 2019) is modified to include the two aforementioned effects. The original and modified HSU models are then calibrated for two locations in Africa where observations of long-term soiling losses were available. At the first considered location, the predominant soiling type was mainly washable by rain but showed the partial cleaning effects, while at the second location, despite the frequent and abundant rainfall, the build-up of persistent soiling was observed. The calibrated parameters for the original and modified HSU models were then applied to reanalysis meteorological 2-dimensional input data to estimate the associated soiling losses in Europe for a 20-yr operation without any artificial cleaning. The application of mod</w:t>
      </w:r>
    </w:p>
    <w:p>
      <w:pPr/>
      <w:r>
        <w:rPr>
          <w:b/>
        </w:rPr>
        <w:t>POSSIBLE 2026:</w:t>
      </w:r>
      <w:r>
        <w:t xml:space="preserve"> Long-term scenario for a decarbonised European energy system — https://openalex.org/W7141777866</w:t>
      </w:r>
    </w:p>
    <w:p>
      <w:pPr/>
      <w:r>
        <w:rPr>
          <w:b/>
        </w:rPr>
        <w:t>Shared claim-specific concepts:</w:t>
      </w:r>
      <w:r>
        <w:t xml:space="preserve"> long-term, building, design, other, retrofitting; EU scope visible. This is a provisional connection, not an outcome finding.</w:t>
      </w:r>
    </w:p>
    <w:p>
      <w:pPr>
        <w:pStyle w:val="SourceNote"/>
      </w:pPr>
      <w:r>
        <w:rPr>
          <w:b/>
        </w:rPr>
        <w:t>Available abstract (not full text):</w:t>
      </w:r>
      <w:r>
        <w:t xml:space="preserve"> In the 21st century, climate change has become a central driver of national and international decision-making, especially in matters related to energy, security, and long-term development. Among the most significant global responses is the transition towards a carbon-neutral energy system, a process that requires rethinking how energy is produced, delivered, and consumed. Europe, as one of the largest historical contributors to greenhouse gas emissions and a major economic power, stands at the forefront of this global effort. Yet the transition remains challenging due to the inherent complexity of the energy system, the mismatch between long-term climate objectives &amp; short-term policy priorities, and the presence of geopolitical pressures. This PhD thesis uses the TIMES-Europe energy system model to examine how Europe can navigate these difficulties and design credible long-term strategies for its overall decarbonisation effort under multiple scenarios. Through projections, this research investigates a set of plausible pathways that allow Europe to meet its climate targets under varying levels of ambition and cooperation among EU member states. The thesis is structured around five main research questions focusing on: A) How can an energy system model, like in our case TIMES-Europe, be developed and adapted to reflect and remain aligned with the most recent and constantly shifti</w:t>
      </w:r>
    </w:p>
    <w:p>
      <w:pPr/>
      <w:r>
        <w:rPr>
          <w:b/>
        </w:rPr>
        <w:t>POSSIBLE 2023:</w:t>
      </w:r>
      <w:r>
        <w:t xml:space="preserve"> Modelling phosphorus dynamics in four European long-term experiments — https://doi.org/10.1016/j.agsy.2022.103595</w:t>
      </w:r>
    </w:p>
    <w:p>
      <w:pPr/>
      <w:r>
        <w:rPr>
          <w:b/>
        </w:rPr>
        <w:t>Shared claim-specific concepts:</w:t>
      </w:r>
      <w:r>
        <w:t xml:space="preserve"> long-term, practices; EU scope visible. This is a provisional connection, not an outcome finding.</w:t>
      </w:r>
    </w:p>
    <w:p>
      <w:pPr>
        <w:pStyle w:val="SourceNote"/>
      </w:pPr>
      <w:r>
        <w:rPr>
          <w:b/>
        </w:rPr>
        <w:t>Available abstract (not full text):</w:t>
      </w:r>
      <w:r>
        <w:t xml:space="preserve"> Phosphorus (P) is a non-renewable geological macronutrient that plays an essential role in food security. The excessive use of P as a fertilizer and its subsequent diffuse loss leads to the deterioration of water quality, eutrophication, and loss of biodiversity. Ecosystem process-based models are a powerful tool to depict the P cycle, investigate the effects of management practices and climate change, and ultimately assess policy interventions that affect biogeochemical cycles. Of the limited number of P models in agricultural production systems, none have been tested in temperate conditions for periods of decades using long-term field experiments. The objective of this study is to evaluate the ability of the detailed P submodel from DayCent to: simulate the magnitude and temporal dynamics of P outputs; assess changes in P soil pools from European agricultural long-term experiments; and interpret the main causal factors inducing the differences between the observed vs. the simulated pools and fluxes. We used data from four long-term experiments to calibrate and test the P submodel of DayCent. The experiments involve five different soils, mineral and organic fertilizer treatments, management intensity levels, various crop rotations, crop residue management, and irrigation. The DayCent model captured the gross P budget (input minus output) in the four long-term experiments, and </w:t>
      </w:r>
    </w:p>
    <w:p>
      <w:pPr/>
      <w:r>
        <w:rPr>
          <w:b/>
        </w:rPr>
        <w:t>POSSIBLE 2023:</w:t>
      </w:r>
      <w:r>
        <w:t xml:space="preserve"> Albanian Civil Code 1929 as Part of the European Family of Civil Law — https://doi.org/10.33327/ajee-18-6.3-a000307</w:t>
      </w:r>
    </w:p>
    <w:p>
      <w:pPr/>
      <w:r>
        <w:rPr>
          <w:b/>
        </w:rPr>
        <w:t>Shared claim-specific concepts:</w:t>
      </w:r>
      <w:r>
        <w:t xml:space="preserve"> civil, because, they, provisions; EU scope visible. This is a provisional connection, not an outcome finding.</w:t>
      </w:r>
    </w:p>
    <w:p>
      <w:pPr>
        <w:pStyle w:val="SourceNote"/>
      </w:pPr>
      <w:r>
        <w:rPr>
          <w:b/>
        </w:rPr>
        <w:t>Available abstract (not full text):</w:t>
      </w:r>
      <w:r>
        <w:t xml:space="preserve"> Background: The Civil Code would dictate the affiliation of Albanian civil law to the Romano- Germanic family, finally separating it from Ottoman law. This Code, to this day, preserves its contemporary character, individuality, and integrity, not only because it is based on the idea of protecting basic human rights and freedoms, as well as the democratic model of society that inspired it, which always remain valid, but also that it continues as a working tool for specialists in this field. Undoubtedly, foreign rights, especially French, Italian, and to some extent, German and Swiss, would inspire the Albanian legislator to sanction in its provisions the equality of all citizens, the emancipation of land ownership, and the freedom to engage in economic activities. Methods: The methodology used during the drafting of this paper is mainly based on Albanian and foreign doctrinal views, focusing in particular on the Italian and European doctrines, due to this doctrine and this legislation being referred to by our legislator at the time of drafting the Civil Code. Also, among the methods used in this paper are the analysis and comparative methods.Results and Conclusions: The acceptance of foreign law in the Civil Code of Zog, more than “a matter of quality”, was a “matter of power”, because foreign rights, especially French and Italian, which found their sanction in this Code, they w</w:t>
      </w:r>
    </w:p>
    <w:p>
      <w:pPr/>
      <w:r>
        <w:rPr>
          <w:b/>
        </w:rPr>
        <w:t>POSSIBLE 2022:</w:t>
      </w:r>
      <w:r>
        <w:t xml:space="preserve"> Perceptions of long-term monitoring for civil and structural engineering — https://doi.org/10.1016/j.istruc.2022.05.090</w:t>
      </w:r>
    </w:p>
    <w:p>
      <w:pPr/>
      <w:r>
        <w:rPr>
          <w:b/>
        </w:rPr>
        <w:t>Shared claim-specific concepts:</w:t>
      </w:r>
      <w:r>
        <w:t xml:space="preserve"> long-term, civil, design, engineering; EU scope not established. This is a provisional connection, not an outcome finding.</w:t>
      </w:r>
    </w:p>
    <w:p>
      <w:pPr>
        <w:pStyle w:val="SourceNote"/>
      </w:pPr>
      <w:r>
        <w:rPr>
          <w:b/>
        </w:rPr>
        <w:t>Available abstract (not full text):</w:t>
      </w:r>
      <w:r>
        <w:t xml:space="preserve"> Long-term in-service monitoring has been heralded as having the potential to radically reshape the design and operation of civil structures and infrastructure. However, in order for civil and structural engineers to extract the greatest value from in situ structural monitoring there are a range of practical, cultural and social barriers which must be overcome. To explore current perceptions of long-term monitoring in civil and structural engineering, a multi-national survey of 146 participants was conducted to understand perceived uncertainties within the existing civil/structural engineering design process, perceptions of long-term monitoring, and the potential for the future integration and use of long-term monitoring in the civil/structural engineering design process. This study highlights that while views of long-term monitoring as a tool within the engineering design process are broadly positive, there is a wide disparity on its current implementation in practice, little agreement on how it may offer the greatest benefit to civil and structural engineering design, and a current lack of direct financial incentive to prompt its use within industry.</w:t>
      </w:r>
    </w:p>
    <w:p>
      <w:pPr/>
      <w:r>
        <w:rPr>
          <w:b/>
        </w:rPr>
        <w:t>POSSIBLE 2022:</w:t>
      </w:r>
      <w:r>
        <w:t xml:space="preserve"> Modelling of the long-term evolution and performance of engineered barrier system — https://doi.org/10.1051/epjn/2022038</w:t>
      </w:r>
    </w:p>
    <w:p>
      <w:pPr/>
      <w:r>
        <w:rPr>
          <w:b/>
        </w:rPr>
        <w:t>Shared claim-specific concepts:</w:t>
      </w:r>
      <w:r>
        <w:t xml:space="preserve"> long-term, tools, against, safety; EU scope visible. This is a provisional connection, not an outcome finding.</w:t>
      </w:r>
    </w:p>
    <w:p>
      <w:pPr>
        <w:pStyle w:val="SourceNote"/>
      </w:pPr>
      <w:r>
        <w:rPr>
          <w:b/>
        </w:rPr>
        <w:t>Available abstract (not full text):</w:t>
      </w:r>
      <w:r>
        <w:t xml:space="preserve"> Components of the so-called “multiple-barrier system” from the waste form to the biosphere include a combination of waste containers, engineered barriers, and natural barriers. The Engineered Barrier System (EBS) is crucial for containment and isolation in a radioactive waste disposal system. The number, types, and assigned safety functions of the various engineered barriers depend on the chosen repository concept, the waste form, the radionuclides waste inventory, the selected host rock, and the hydrogeological and geochemical settings of the repository site, among others. EBS properties will evolve with time in response to the thermal, hydraulic, mechanical, radiological, and chemical gradients and interactions between the various constituents of the barriers and the host rock. Therefore, assessing how these properties evolve over long time frames is highly relevant for evaluating the performance of a repository system and safety function evaluations in a safety case. For this purpose, mechanistic numerical models are increasingly used. Such models provide an excellent way for integrating into a coherent framework a scientific understanding of coupled processes and their consequences on different properties of the materials in the EBS. Their development and validation are supported by R&amp;D actions at the European level. For example, within the HORIZON 2020 project BEACON (Bent</w:t>
      </w:r>
    </w:p>
    <w:p>
      <w:pPr/>
      <w:r>
        <w:rPr>
          <w:b/>
        </w:rPr>
        <w:t>POSSIBLE 2022:</w:t>
      </w:r>
      <w:r>
        <w:t xml:space="preserve"> Long-term Air Pollution Exposure and Pneumonia-related Mortality in a Large Pooled European Cohort — https://doi.org/10.1164/rccm.202106-1484oc</w:t>
      </w:r>
    </w:p>
    <w:p>
      <w:pPr/>
      <w:r>
        <w:rPr>
          <w:b/>
        </w:rPr>
        <w:t>Shared claim-specific concepts:</w:t>
      </w:r>
      <w:r>
        <w:t xml:space="preserve"> long-term, currently; EU scope visible. This is a provisional connection, not an outcome finding.</w:t>
      </w:r>
    </w:p>
    <w:p>
      <w:pPr>
        <w:pStyle w:val="SourceNote"/>
      </w:pPr>
      <w:r>
        <w:rPr>
          <w:b/>
        </w:rPr>
        <w:t>Available abstract (not full text):</w:t>
      </w:r>
      <w:r>
        <w:t xml:space="preserve"> Abstract Rationale Ambient air pollution exposure has been linked to mortality from chronic cardiorespiratory diseases, while evidence on respiratory infections remains more limited. Objectives We examined the association between long-term exposure to air pollution and pneumonia-related mortality in adults in a pool of eight European cohorts. Methods Within the multicenter project ELAPSE (Effects of Low-Level Air Pollution: A Study in Europe), we pooled data from eight cohorts among six European countries. Annual mean residential concentrations in 2010 for fine particulate matter, nitrogen dioxide (NO2), black carbon (BC), and ozone were estimated using Europe-wide hybrid land-use regression models. We applied stratified Cox proportional hazard models to investigate the associations between air pollution and pneumonia, influenza, and acute lower respiratory infections (ALRI) mortality. Measurements and Main Results Of 325,367 participants, 712 died from pneumonia and influenza combined, 682 from pneumonia, and 695 from ALRI during a mean follow-up of 19.5 years. NO2 and BC were associated with 10–12% increases in pneumonia and influenza combined mortality, but 95% confidence intervals included unity (hazard ratios, 1.12 [0.99–1.26] per 10 μg/m3 for NO2; 1.10 [0.97–1.24] per 0.5 10−5m−1 for BC). Associations with pneumonia and ALRI mortality were almost identical. We detected ef</w:t>
      </w:r>
    </w:p>
    <w:p>
      <w:pPr/>
      <w:r>
        <w:rPr>
          <w:b/>
        </w:rPr>
        <w:t>POSSIBLE 2022:</w:t>
      </w:r>
      <w:r>
        <w:t xml:space="preserve"> highRES-Europe: The high spatial and temporal Resolution Electricity System model for Europe — https://doi.org/10.1016/j.softx.2022.101003</w:t>
      </w:r>
    </w:p>
    <w:p>
      <w:pPr/>
      <w:r>
        <w:rPr>
          <w:b/>
        </w:rPr>
        <w:t>Shared claim-specific concepts:</w:t>
      </w:r>
      <w:r>
        <w:t xml:space="preserve"> building, design, other; EU scope visible. This is a provisional connection, not an outcome finding.</w:t>
      </w:r>
    </w:p>
    <w:p>
      <w:pPr>
        <w:pStyle w:val="SourceNote"/>
      </w:pPr>
      <w:r>
        <w:rPr>
          <w:b/>
        </w:rPr>
        <w:t>Available abstract (not full text):</w:t>
      </w:r>
      <w:r>
        <w:t xml:space="preserve"> The high spatial and temporal resolution electricity system model, highRES, is used to design cost-effective, flexible and weather resilient electricity systems for Great Britain and Europe. The model is specifically designed to analyse the effects of high shares of variable renewables and explore integration/flexibility options. As the proportion of renewables in electricity generation increases, there will be increasing imbalances between electricity demand and supply. highRES is a high-resolution electricity system model that simultaneously considers infrastructure planning (investment) and operational (dispatch) decisions to identify the most cost-effective strategies to cope with growing shares of intermittent renewables. It does this by comparing and trading off potential options to integrate renewables into the system including the extension of the transmission grid, interconnection with other countries, building flexible generation (e.g. gas power stations), renewable curtailment and energy storage. highRES is written in GAMS and its objective is to minimise power system investment and operational costs to meet hourly demand, subject to a number of unit and system constraints. It can model a variety of technical characteristics of thermal generators (e.g. ramping restrictions, minimum stable generation, startup costs, minimum up and down times) depending on the requirem</w:t>
      </w:r>
    </w:p>
    <w:p>
      <w:pPr/>
      <w:r>
        <w:rPr>
          <w:b/>
        </w:rPr>
        <w:t>POSSIBLE 2021:</w:t>
      </w:r>
      <w:r>
        <w:t xml:space="preserve"> A model of long-term value creation — https://doi.org/10.1080/20430795.2021.1920231</w:t>
      </w:r>
    </w:p>
    <w:p>
      <w:pPr/>
      <w:r>
        <w:rPr>
          <w:b/>
        </w:rPr>
        <w:t>Shared claim-specific concepts:</w:t>
      </w:r>
      <w:r>
        <w:t xml:space="preserve"> long-term, currently, they; EU scope not established. This is a provisional connection, not an outcome finding.</w:t>
      </w:r>
    </w:p>
    <w:p>
      <w:pPr>
        <w:pStyle w:val="SourceNote"/>
      </w:pPr>
      <w:r>
        <w:rPr>
          <w:b/>
        </w:rPr>
        <w:t>Available abstract (not full text):</w:t>
      </w:r>
      <w:r>
        <w:t xml:space="preserve"> Companies need to rethink the way they create value and grow their business to thrive in tomorrow’s volatile and uncertain business environment. Companies in virtually every industry are impacted by new disruptive societal trends, such as climate change, energy transition and social inequality. At the same time, companies are increasingly evaluated on their sustainability performance.Still, only a few companies have begun to invent new strategic directions, pioneering strategies focused on creating long-term value, not just for shareholders but for all stakeholders. A playbook on how to create long-term value is currently lacking, making it difficult for companies to capture the opportunities and mitigate the risks created by these societal trends.This paper develops a model of long-term value creation that supports companies in creating long-term value and setting their strategies accordingly. Financial institutions can draw on the model to assess how future proof their investment and/or lending portfolios are.</w:t>
      </w:r>
    </w:p>
    <w:p>
      <w:pPr/>
      <w:r>
        <w:rPr>
          <w:b/>
        </w:rPr>
        <w:t>POSSIBLE 2021:</w:t>
      </w:r>
      <w:r>
        <w:t xml:space="preserve"> On models of long-term behavior of concrete — https://doi.org/10.21136/panm.2020.02</w:t>
      </w:r>
    </w:p>
    <w:p>
      <w:pPr/>
      <w:r>
        <w:rPr>
          <w:b/>
        </w:rPr>
        <w:t>Shared claim-specific concepts:</w:t>
      </w:r>
      <w:r>
        <w:t xml:space="preserve"> long-term, tools, other; EU scope not established. This is a provisional connection, not an outcome finding.</w:t>
      </w:r>
    </w:p>
    <w:p>
      <w:pPr>
        <w:pStyle w:val="SourceNote"/>
      </w:pPr>
      <w:r>
        <w:rPr>
          <w:b/>
        </w:rPr>
        <w:t>Available abstract (not full text):</w:t>
      </w:r>
      <w:r>
        <w:t xml:space="preserve"> Long-term behavior of concrete is modeled by several widely accepted models, such as B3, \emph{fib} MC 2010, or ACI 209 whose input parameters and output values are not identical to each other. Moreover, the input and, consequently, the output values are uncertain. In this paper, fuzzy input parameters are considered in uncertainty quantification of each model response and, finally, the sets of responses are analyzed by elementary tools of evidence theory. That is, belief and plausibility functions are proposed to combine evidence from different models.</w:t>
      </w:r>
    </w:p>
    <w:p>
      <w:pPr/>
      <w:r>
        <w:rPr>
          <w:b/>
        </w:rPr>
        <w:t>POSSIBLE 2020:</w:t>
      </w:r>
      <w:r>
        <w:t xml:space="preserve"> Short-term solar and wind variability in long-term energy system models - A European case study — https://doi.org/10.1016/j.energy.2020.118377</w:t>
      </w:r>
    </w:p>
    <w:p>
      <w:pPr/>
      <w:r>
        <w:rPr>
          <w:b/>
        </w:rPr>
        <w:t>Shared claim-specific concepts:</w:t>
      </w:r>
      <w:r>
        <w:t xml:space="preserve"> long-term, important; EU scope visible. This is a provisional connection, not an outcome finding.</w:t>
      </w:r>
    </w:p>
    <w:p>
      <w:pPr>
        <w:pStyle w:val="SourceNote"/>
      </w:pPr>
      <w:r>
        <w:rPr>
          <w:b/>
        </w:rPr>
        <w:t>Available abstract (not full text):</w:t>
      </w:r>
      <w:r>
        <w:t xml:space="preserve"> Integration of variable renewables such as solar and wind has grown at an unprecedented pace in Europe over the past two decades. As the share of solar and wind rises, it becomes increasingly important for long-term energy system models to adequately represent their short-term variability. This paper uses a long-term TIMES model of the European power and district heat sectors towards 2050 to explore how stochastic modelling of short-term solar and wind variability as well as different temporal resolutions influence the model performance. Using a stochastic model with 48 time-slices as benchmark, the results show that deterministic models with low temporal resolution give a 15–20% underestimation of annual costs, an overestimation of the contribution of variable renewables (13–15% of total electricity generation) and a lack of system flexibility. The results of the deterministic models converge towards the stochastic solution when the temporal resolution is increased, but even with 2016 time-slices, the need for flexibility is underestimated. In addition, the deterministic model with 2016 time-slices takes 30 times longer to solve than the stochastic model with 48 time-slices. Based on these findings, a stochastic approach is recommended for long-term studies of energy systems with large shares of variable renewable energy sources.</w:t>
      </w:r>
    </w:p>
    <w:p>
      <w:pPr>
        <w:pStyle w:val="Heading2"/>
      </w:pPr>
      <w:r>
        <w:t>1008. Potential implications of future climate and land‐cover changes for the fate and distribution of persistent organic pollutants in Europe</w:t>
      </w:r>
    </w:p>
    <w:p>
      <w:pPr>
        <w:pStyle w:val="SourceNote"/>
      </w:pPr>
      <w:r>
        <w:rPr>
          <w:b/>
        </w:rPr>
        <w:t>Original source (2011):</w:t>
      </w:r>
      <w:r>
        <w:t xml:space="preserve"> https://doi.org/10.1111/j.1466-8238.2010.00547.x</w:t>
      </w:r>
    </w:p>
    <w:p>
      <w:pPr/>
      <w:r>
        <w:t>Original wording (abstract; indexed_source_text_not_full_document_verified): Scenarios detailing climate and land‐cover changes, such as precipitation, temperature and vegetation cover, were used as input in a European multi‐media chemical fate model to help understand their impact on the environmental fate and behaviour of POPs over the period 1990–2100 in Europe. Main conclusions Overall, the model simulations suggest that the dominant driver behind differences seen between the present and climate‐changed future scenarios is temperature, resulting in a slight shift in chemical distribution from surface compartments to the air.</w:t>
      </w:r>
    </w:p>
    <w:p>
      <w:pPr/>
      <w:r>
        <w:rPr>
          <w:b/>
        </w:rPr>
        <w:t>POSSIBLE 2026:</w:t>
      </w:r>
      <w:r>
        <w:t xml:space="preserve"> European land use and land cover futures: a global computable general equilibrium assessment with sub-national detail and a climate application — https://doi.org/10.48565/bonndoc-923</w:t>
      </w:r>
    </w:p>
    <w:p>
      <w:pPr/>
      <w:r>
        <w:rPr>
          <w:b/>
        </w:rPr>
        <w:t>Shared claim-specific concepts:</w:t>
      </w:r>
      <w:r>
        <w:t xml:space="preserve"> climate, land, cover, used, environmental, main; EU scope visible. This is a provisional connection, not an outcome finding.</w:t>
      </w:r>
    </w:p>
    <w:p>
      <w:pPr>
        <w:pStyle w:val="SourceNote"/>
      </w:pPr>
      <w:r>
        <w:rPr>
          <w:b/>
        </w:rPr>
        <w:t>Available abstract (not full text):</w:t>
      </w:r>
      <w:r>
        <w:t xml:space="preserve"> Land constitutes a fundamental foundation for human life and well-being. Beyond providing agricultural land, habitats, and spaces for retreat and recreation, it plays a crucial role in sustaining biodiversity and functioning ecosystems, and it is a key component of the climate system. Today, humanity already uses more than 70% of the global ice-free land surface, making land use and land cover one of the most significant anthropogenic influences on the Earth system. While humanity has long benefited from changes in land use and land cover, these are now increasingly associated with significant environmental pressures, including land degradation, nutrient run-off, biodiversity loss, and the release of greenhouse gas emissions. In the context of growing land demand and increasingly globalised supply chains, a key challenge for society is therefore to manage land in a way that simultaneously meets social, economic, and environmental objectives. To address uncertainties in future land use and land cover developments, land and climate research examines various socio-economic development scenarios. Within these scenarios, key drivers of land use and land cover change are quantified based on consistent, predefined narratives. This enables a systematic analysis of potential future developments and their socio-economic and environmental impacts. The main contribution of this dissertatio</w:t>
      </w:r>
    </w:p>
    <w:p>
      <w:pPr/>
      <w:r>
        <w:rPr>
          <w:b/>
        </w:rPr>
        <w:t>POSSIBLE 2026:</w:t>
      </w:r>
      <w:r>
        <w:t xml:space="preserve"> Climate Change Threatens Micronutrient Density of European Winter Wheat (Adv. Sci. 42/2026) — https://doi.org/10.1002/advs.76543</w:t>
      </w:r>
    </w:p>
    <w:p>
      <w:pPr/>
      <w:r>
        <w:rPr>
          <w:b/>
        </w:rPr>
        <w:t>Shared claim-specific concepts:</w:t>
      </w:r>
      <w:r>
        <w:t xml:space="preserve"> climate, cover, precipitation, temperature; EU scope visible. This is a provisional connection, not an outcome finding.</w:t>
      </w:r>
    </w:p>
    <w:p>
      <w:pPr>
        <w:pStyle w:val="SourceNote"/>
      </w:pPr>
      <w:r>
        <w:rPr>
          <w:b/>
        </w:rPr>
        <w:t>Available abstract (not full text):</w:t>
      </w:r>
      <w:r>
        <w:t xml:space="preserve"> Climate Change Threatens Micronutrient Density of European Winter Wheat Wheat is one of the world's major staple crops and an important dietary source of minerals and B vitamins. The cover illustrates how projected future climate scenarios, including atmospheric CO2, temperature, and precipitation, progressively diminish micronutrient density in wheat grains, highlighting a potential future challenge for global food security and public health. Cover concept by Da Cao and Dominique Van Der Straeten. More details can be found in the Research Article by Dominique Van Der Straeten and co-workers (DOI: 10.1002/advs.202513322).</w:t>
      </w:r>
    </w:p>
    <w:p>
      <w:pPr/>
      <w:r>
        <w:rPr>
          <w:b/>
        </w:rPr>
        <w:t>POSSIBLE 2025:</w:t>
      </w:r>
      <w:r>
        <w:t xml:space="preserve"> Impact of the online climate-chemistry in regional climate simulations in meteorological variables over Europe — https://doi.org/10.5194/ems2025-270</w:t>
      </w:r>
    </w:p>
    <w:p>
      <w:pPr/>
      <w:r>
        <w:rPr>
          <w:b/>
        </w:rPr>
        <w:t>Shared claim-specific concepts:</w:t>
      </w:r>
      <w:r>
        <w:t xml:space="preserve"> climate, land, cover, precipitation, temperature, chemical; EU scope visible. This is a provisional connection, not an outcome finding.</w:t>
      </w:r>
    </w:p>
    <w:p>
      <w:pPr>
        <w:pStyle w:val="SourceNote"/>
      </w:pPr>
      <w:r>
        <w:rPr>
          <w:b/>
        </w:rPr>
        <w:t>Available abstract (not full text):</w:t>
      </w:r>
      <w:r>
        <w:t xml:space="preserve"> Work Package 4 of the FOCI project (“Non-CO2 Forcers and their Climate, Weather, Air Quality and Health Impacts”; https://www.project-foci.eu/wp/) is tasked with tuning, testing, and conducting long-term simulations to validate various regional models in downscaling of reanalysis and global climate models for historical period. The long-term simulations are performed by RegCM5-Chem and WRF-Chem, both of which are coupled with chemistry over the European domain. A notable aspect of this work is the use of RegCM5-Chem for long-term simulations, which is a novel approach within the community. Besides that, the land cover is dynamic, derived from the Land Use and Climate Across Scales flagship pilot study of the EURO-CORDEX initiative. The initial and boundary conditions for the atmospheric variables and chemical composition were created from the European Centre for Medium-Range Weather Forecasts (ECMWF) reanalysis version 5 (ERA5) and Atmospheric Composition Reanalysis 4 (EAC4) datasets. Emissions of atmospheric pollutants and greenhouse gases are obtained from the Copernicus Atmosphere Monitoring Service (CAMS) high-resolution European emission inventory for air quality modeling. E-OBS is utilized for validating the outputs. Sensitivity tests have shown that coupled chemistry impacts surface meteorological variables, such as temperature and shortwave radiation. In this study, we </w:t>
      </w:r>
    </w:p>
    <w:p>
      <w:pPr/>
      <w:r>
        <w:rPr>
          <w:b/>
        </w:rPr>
        <w:t>POSSIBLE 2025:</w:t>
      </w:r>
      <w:r>
        <w:t xml:space="preserve"> GCAM Europe 7.2.0: Enhancing Policy Relevant Climate Modelling Through Spatial and Sectoral Detail — https://doi.org/10.5281/zenodo.17493381</w:t>
      </w:r>
    </w:p>
    <w:p>
      <w:pPr/>
      <w:r>
        <w:rPr>
          <w:b/>
        </w:rPr>
        <w:t>Shared claim-specific concepts:</w:t>
      </w:r>
      <w:r>
        <w:t xml:space="preserve"> climate, land; EU scope visible. This is a provisional connection, not an outcome finding.</w:t>
      </w:r>
    </w:p>
    <w:p>
      <w:pPr>
        <w:pStyle w:val="SourceNote"/>
      </w:pPr>
      <w:r>
        <w:rPr>
          <w:b/>
        </w:rPr>
        <w:t>Available abstract (not full text):</w:t>
      </w:r>
      <w:r>
        <w:t xml:space="preserve"> Abstract:GCAM-Europe is an enhanced version of the Global Change Analysis Model (GCAM) that provides detailed, country-level modelling of Europe’s energy, economic, land use, and climate systems. Unlike the core GCAM model, which aggregates Europe into five regions, GCAM-Europe disaggregates all European countries to support more precise analysis of national climate and energy policies. It incorporates high-quality, country-specific data from Eurostat and other sources to improve accuracy, especially in the residential and electricity sectors. The model introduces several innovations, including detailed representations of electricity grid regions aligned with ENTSO-E’s TYNDP scenarios, a refined trade structure for the European Economic Area, and the integration of consumer heterogeneity based on real-world survey data. Also, the model maintains the integration of energy, land, water and climate systems as in the global version, but without a higher resolution of land regions. These features enable realistic simulations of cross-border electricity flows, energy and climate policy impacts, and distributional effects of policy measures. By significantly improving spatial, sectoral, and socio-economic detail, GCAM-Europe offers a powerful tool for assessing climate mitigation strategies across Europe. It enables policymakers and researchers to explore scenarios for efficient decar</w:t>
      </w:r>
    </w:p>
    <w:p>
      <w:pPr/>
      <w:r>
        <w:rPr>
          <w:b/>
        </w:rPr>
        <w:t>POSSIBLE 2024:</w:t>
      </w:r>
      <w:r>
        <w:t xml:space="preserve"> Twenty Years of Land Accounts in Europe — https://doi.org/10.3390/land13091350</w:t>
      </w:r>
    </w:p>
    <w:p>
      <w:pPr/>
      <w:r>
        <w:rPr>
          <w:b/>
        </w:rPr>
        <w:t>Shared claim-specific concepts:</w:t>
      </w:r>
      <w:r>
        <w:t xml:space="preserve"> climate, land, cover, over, period, main; EU scope visible. This is a provisional connection, not an outcome finding.</w:t>
      </w:r>
    </w:p>
    <w:p>
      <w:pPr>
        <w:pStyle w:val="SourceNote"/>
      </w:pPr>
      <w:r>
        <w:rPr>
          <w:b/>
        </w:rPr>
        <w:t>Available abstract (not full text):</w:t>
      </w:r>
      <w:r>
        <w:t xml:space="preserve"> Land use and its change impact food security, carbon cycling, biodiversity, and, hence, the condition of ecosystems to mitigate and adapt to climate change, support economic prosperity, and human well-being. To support and guide policy actions between the economy and the environment, harmonized time series datasets, transparent methodologies, and easily interpretable statistics are needed. Therefore, monitoring of the function and condition of lands and their change, along with properly agreed methodologies and freely accessible data, are essential. The Copernicus Land Monitoring Service has produced over 20 years of Corine Land Cover datasets for 39 countries in Europe, which allows continental-wide harmonized and comparable monitoring and accounting of land cover and land use change at a high thematic resolution and in a long time series (2000–2018). With the upcoming 2024 update, the time series will reach a unique product worldwide in terms of time series length, spatial resolution, extent, and thematic detail, enabling policymakers and the scientific community to address the main anthropogenic drivers of land and ecosystem degradation. This paper describes a unified approach for producing continental-wide land accounts that aligns with internationally agreed-upon standards for measuring the environment and its relationship with the economy. Furthermore, the study provides </w:t>
      </w:r>
    </w:p>
    <w:p>
      <w:pPr/>
      <w:r>
        <w:rPr>
          <w:b/>
        </w:rPr>
        <w:t>POSSIBLE 2024:</w:t>
      </w:r>
      <w:r>
        <w:t xml:space="preserve"> The impact of lakes on the European climate as simulated by a regional climate model — https://doi.org/10.60910/3pj6-v2hf</w:t>
      </w:r>
    </w:p>
    <w:p>
      <w:pPr/>
      <w:r>
        <w:rPr>
          <w:b/>
        </w:rPr>
        <w:t>Shared claim-specific concepts:</w:t>
      </w:r>
      <w:r>
        <w:t xml:space="preserve"> climate, land, precipitation, temperature, over; EU scope visible. This is a provisional connection, not an outcome finding.</w:t>
      </w:r>
    </w:p>
    <w:p>
      <w:pPr>
        <w:pStyle w:val="SourceNote"/>
      </w:pPr>
      <w:r>
        <w:rPr>
          <w:b/>
        </w:rPr>
        <w:t>Available abstract (not full text):</w:t>
      </w:r>
      <w:r>
        <w:t xml:space="preserve"> The impact of lakes on the European climate is considered by analysing two 30-year regional climate model (RCM) simulations.The RCM applied is the Rossby Centre regional climate model RCA3.5.A simulation where all lakes in the model domain are replaced by land surface is compared with a simulation where the effect of lakes is accounted for through the use of the lake model FLake coupled to RCA.The difference in 2m open-land air temperature between the two simulations shows that lakes induce a warming on the European climate for all seasons.The greatest impact is seen during autumn and winter over southern Finland and western Russia where the warming exceeds 1 °C.Locally, e.g. over southern Finland and over Lake Ladoga, the convective precipitation is enhanced by 20%-40% during late summer and early autumn while it is reduced by more than 70% over Lake Ladoga during early summer.</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climate, environmental, period;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2023:</w:t>
      </w:r>
      <w:r>
        <w:t xml:space="preserve"> High-resolution land use and land cover dataset for regional climate modelling: historical and future changes in Europe — https://doi.org/10.5194/essd-15-3819-2023</w:t>
      </w:r>
    </w:p>
    <w:p>
      <w:pPr/>
      <w:r>
        <w:rPr>
          <w:b/>
        </w:rPr>
        <w:t>Shared claim-specific concepts:</w:t>
      </w:r>
      <w:r>
        <w:t xml:space="preserve"> climate, land, cover, used, input, environmental; EU scope visible. This is a provisional connection, not an outcome finding.</w:t>
      </w:r>
    </w:p>
    <w:p>
      <w:pPr>
        <w:pStyle w:val="SourceNote"/>
      </w:pPr>
      <w:r>
        <w:rPr>
          <w:b/>
        </w:rPr>
        <w:t>Available abstract (not full text):</w:t>
      </w:r>
      <w:r>
        <w:t xml:space="preserve"> Anthropogenic land use and land cover change (LULCC) is a major driver of environmental changes. The biophysical impacts of these changes on the regional climate in Europe are currently being extensively investigated within the World Climate Research Program (WCRP) Coordinated Downscaling Experiment (CORDEX) Flagship Pilot Study (FPS) Land Use and Climate Across Scales (LUCAS)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Land Use and land Cover change (LUC) dataset version 1.1 at 0.1 ∘ resolution for Europe with annual LULC maps from 1950 to 2100 (https://doi.org/10.26050/WDCC/LUC_hist_EU_v1.1, Hoffmann et al., 2022b, https://doi.org/10.26050/WDCC/LUC_future_EU_v1.1, Hoffmann et al., 2022a), which is tailored to use in state-of-the-art RCMs. The plant functional type (PFT) distribution for the year 2015 (i.e. the Modelling human LAND surface Modifications and its feedbacks on local and regional cliMATE – LANDMATE – PFT dataset) is derived from the European Space Agency Climate Change Initiative Land Cover (ESA-CCI LC) dataset. Details on the conversio</w:t>
      </w:r>
    </w:p>
    <w:p>
      <w:pPr/>
      <w:r>
        <w:rPr>
          <w:b/>
        </w:rPr>
        <w:t>POSSIBLE 2023:</w:t>
      </w:r>
      <w:r>
        <w:t xml:space="preserve"> Land-use- and climate-mediated variations in soil bacterial and fungal biomass across Europe and their driving factors — https://doi.org/10.1016/j.geoderma.2023.116474</w:t>
      </w:r>
    </w:p>
    <w:p>
      <w:pPr/>
      <w:r>
        <w:rPr>
          <w:b/>
        </w:rPr>
        <w:t>Shared claim-specific concepts:</w:t>
      </w:r>
      <w:r>
        <w:t xml:space="preserve"> climate, land; EU scope visible. This is a provisional connection, not an outcome finding.</w:t>
      </w:r>
    </w:p>
    <w:p>
      <w:pPr>
        <w:pStyle w:val="SourceNote"/>
      </w:pPr>
      <w:r>
        <w:rPr>
          <w:b/>
        </w:rPr>
        <w:t>Available abstract (not full text):</w:t>
      </w:r>
      <w:r>
        <w:t xml:space="preserve"> Elucidating contents and drivers of soil bacterial and fungal biomass in contrasting land uses and climates at European scale is useful to define appropriate policies for the conservation of the ecosystem services that soil microorganisms provide. Here, we aimed to (i) quantify and compare bacterial and fungal biomass in 513 European soils collected from three different land uses (forests, grasslands, and croplands) and climates (arid, temperate, and cold) through analysis of fatty acid methyl esters; (ii) model the factors controlling soil bacterial and fungal biomass; and (iii) investigating levels of bacterial and fungal biomass in cropland soils cultivated with three important crop types in Europe: cereals, oil-producing crops, and orchards. Bacterial biomass decreased with land use in the following order: grasslands &gt; croplands &gt; forests and was found to be the highest in temperate environments. Similar patterns were found for biomass of Gram-positive and Gram-negative bacteria and Actinobacteria. Soil fungal biomass was greater in forests than in croplands and grasslands and was favoured by colder environments. The fungi to bacteria ratio (F/B) decreased as follows: forests &gt; croplands &gt; grasslands, with soils in colder climates showing greater F/B ratios in croplands and forests. Soil texture, soil organic carbon, and nitrogen were shown to directly drive bacterial and f</w:t>
      </w:r>
    </w:p>
    <w:p>
      <w:pPr/>
      <w:r>
        <w:rPr>
          <w:b/>
        </w:rPr>
        <w:t>POSSIBLE 2022:</w:t>
      </w:r>
      <w:r>
        <w:t xml:space="preserve"> Land–climate interactions — https://doi.org/10.1017/9781009157988.004</w:t>
      </w:r>
    </w:p>
    <w:p>
      <w:pPr/>
      <w:r>
        <w:rPr>
          <w:b/>
        </w:rPr>
        <w:t>Shared claim-specific concepts:</w:t>
      </w:r>
      <w:r>
        <w:t xml:space="preserve"> climate, land; EU scope not established. This is a provisional connection, not an outcome finding.</w:t>
      </w:r>
    </w:p>
    <w:p>
      <w:pPr>
        <w:pStyle w:val="SourceNote"/>
      </w:pPr>
      <w:r>
        <w:rPr>
          <w:b/>
        </w:rPr>
        <w:t>Available abstract (not full text):</w:t>
      </w:r>
      <w:r>
        <w:t xml:space="preserve"> responses to warming and changes in soil moisture ......</w:t>
      </w:r>
    </w:p>
    <w:p>
      <w:pPr/>
      <w:r>
        <w:rPr>
          <w:b/>
        </w:rPr>
        <w:t>POSSIBLE 2022:</w:t>
      </w:r>
      <w:r>
        <w:t xml:space="preserve"> High-resolution land use and land cover dataset for regional climate modelling: Historical and future changes in Europe — https://doi.org/10.5194/essd-2022-431</w:t>
      </w:r>
    </w:p>
    <w:p>
      <w:pPr/>
      <w:r>
        <w:rPr>
          <w:b/>
        </w:rPr>
        <w:t>Shared claim-specific concepts:</w:t>
      </w:r>
      <w:r>
        <w:t xml:space="preserve"> climate, land, cover, used, input, environmental; EU scope visible. This is a provisional connection, not an outcome finding.</w:t>
      </w:r>
    </w:p>
    <w:p>
      <w:pPr>
        <w:pStyle w:val="SourceNote"/>
      </w:pPr>
      <w:r>
        <w:rPr>
          <w:b/>
        </w:rPr>
        <w:t>Available abstract (not full text):</w:t>
      </w:r>
      <w:r>
        <w:t xml:space="preserve"> Abstract. Anthropogenic land-use and land cover change (LULCC) is a major driver of environmental changes. The biophysical impacts of these changes on the regional climate in Europe are currently extensively investigated within the WCRP CORDEX Flagship Pilot Study (FPS) LUCAS - "Land Use and Climate Across Scales"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LUC dataset Version 1.1 at 0.1° resolution for Europe with annual LULC maps from 1950–2100 (Hoffmann et al., 2022b, a), which is tailored towards the use in state-of-the-art RCMs. The plant functional type distribution (PFT) for the year 2015 (i.e., LANDMATE PFT dataset) is derived from the European Space Agency Climate Change Initiative Land Cover (ESA-CCI LC) dataset. Details about the conversion method, cross-walking procedure and the evaluation of the LANDMATE PFT dataset are given in the companion paper by Reinhart et al. (2022b). Subsequently, we applied the land-use change information from the Land-Use Harmonization 2 (LUH2) dataset, provided at 0.25° resolution as input for CMIP6 experimen</w:t>
      </w:r>
    </w:p>
    <w:p>
      <w:pPr/>
      <w:r>
        <w:rPr>
          <w:b/>
        </w:rPr>
        <w:t>POSSIBLE 2022:</w:t>
      </w:r>
      <w:r>
        <w:t xml:space="preserve"> 21st Century alpine climate change — https://doi.org/10.1007/s00382-022-06303-3</w:t>
      </w:r>
    </w:p>
    <w:p>
      <w:pPr/>
      <w:r>
        <w:rPr>
          <w:b/>
        </w:rPr>
        <w:t>Shared claim-specific concepts:</w:t>
      </w:r>
      <w:r>
        <w:t xml:space="preserve"> climate, cover, precipitation, temperature, over, main; EU scope visible. This is a provisional connection, not an outcome finding.</w:t>
      </w:r>
    </w:p>
    <w:p>
      <w:pPr>
        <w:pStyle w:val="SourceNote"/>
      </w:pPr>
      <w:r>
        <w:rPr>
          <w:b/>
        </w:rPr>
        <w:t>Available abstract (not full text):</w:t>
      </w:r>
      <w:r>
        <w:t xml:space="preserve"> Abstract A comprehensive assessment of twenty-first century climate change in the European Alps is presented. The analysis is based on the EURO-CORDEX regional climate model ensemble available at two grid spacings (12.5 and 50 km) and for three different greenhouse gas emission scenarios (RCPs 2.6, 4.5 and 8.5). The core simulation ensemble has been subject to a dedicated evaluation exercise carried out in the frame of the CH2018 Climate Scenarios for Switzerland. Results reveal that the entire Alpine region will face a warmer climate in the course of the twenty-first century for all emission scenarios considered. Strongest warming is projected for the summer season, for regions south of the main Alpine ridge and for the high-end RCP 8.5 scenario. Depending on the season, medium to high elevations might experience an amplified warming. Model uncertainty can be considerable, but the major warming patterns are consistent across the ensemble. For precipitation, a seasonal shift of precipitation amounts from summer to winter over most parts of the domain is projected. However, model uncertainty is high and individual simulations can show change signals of opposite sign. Daily precipitation intensity is projected to increase in all seasons and all sub-domains, while the wet-day frequency will decrease in the summer season. The projected temperature change in summer is negatively cor</w:t>
      </w:r>
    </w:p>
    <w:p>
      <w:pPr>
        <w:pStyle w:val="Heading2"/>
      </w:pPr>
      <w:r>
        <w:t>1009. Regulating the Use of Bisphenol A in Baby and Children's Products in the European Union: Current Developments and Scenarios for the Regulatory Future</w:t>
      </w:r>
    </w:p>
    <w:p>
      <w:pPr>
        <w:pStyle w:val="SourceNote"/>
      </w:pPr>
      <w:r>
        <w:rPr>
          <w:b/>
        </w:rPr>
        <w:t>Original source (2011):</w:t>
      </w:r>
      <w:r>
        <w:t xml:space="preserve"> https://doi.org/10.1017/s1867299x00000593</w:t>
      </w:r>
    </w:p>
    <w:p>
      <w:pPr/>
      <w:r>
        <w:t>Original wording (abstract; indexed_source_text_not_full_document_verified): Apart from regulatory exposure limits (Tolerable Daily Intake levels (TDI), Bisphenol A is currently not subject to any restrictions in use yet (although BPA will be subject to a ban on the EU level from spring 2011 onwards). However, with the REACH framework (Registration, Evaluation, Authorisation of Chemicals), a new regulatory framework for EU's chemical policy in place since June 2007, these exposure limits may be reviewed and BPA may face regulatory action.</w:t>
      </w:r>
    </w:p>
    <w:p>
      <w:pPr/>
      <w:r>
        <w:rPr>
          <w:b/>
        </w:rPr>
        <w:t>POSSIBLE 2026:</w:t>
      </w:r>
      <w:r>
        <w:t xml:space="preserve"> Legal regulatory frameworks of radon spas in central Europe — https://doi.org/10.1007/s00411-026-01203-0</w:t>
      </w:r>
    </w:p>
    <w:p>
      <w:pPr/>
      <w:r>
        <w:rPr>
          <w:b/>
        </w:rPr>
        <w:t>Shared claim-specific concepts:</w:t>
      </w:r>
      <w:r>
        <w:t xml:space="preserve"> regulatory, exposure, yet; EU scope visible. This is a provisional connection, not an outcome finding.</w:t>
      </w:r>
    </w:p>
    <w:p>
      <w:pPr>
        <w:pStyle w:val="SourceNote"/>
      </w:pPr>
      <w:r>
        <w:rPr>
          <w:b/>
        </w:rPr>
        <w:t>Available abstract (not full text):</w:t>
      </w:r>
      <w:r>
        <w:t xml:space="preserve"> This study synthesises publicly available information on legal regulatory frameworks that explicitly or implicitly govern radon spa designation and/or identification in six Central European countries: Austria, the Czech Republic, Germany, Hungary, Poland, and Slovakia. Employing analytical and comparative methods in Social Sciences and Humanities research, this study examines official documents, legal norms, and academic literature to address gaps in understanding radon spa regulation within, and partially beyond, the context of the RadoNorm project. Findings reveal substantial disparities in legally established thresholds distinguishing medicinal and non-medicinal bathing waters based on radon concentrations, ranging from as little as 74 Bq/L in Poland (and potentially only 37 Bq/L in Hungary) to as high as 1,500 Bq/L in the Czech Republic, with intermediate values of 370 Bq/L in Austria and 666 Bq/L in Germany and Slovakia. These pronounced differences present significant challenges for cross-national comparative research and broader conceptualisation efforts concerning radon spa academic definitions. As an incidental finding, this study also identifies varying approaches to workplace safety regulations for spa employees, with Austria and Germany following one approach and the Czech Republic another. Overall, the study contributes to the dissemination of RadoNorm project find</w:t>
      </w:r>
    </w:p>
    <w:p>
      <w:pPr/>
      <w:r>
        <w:rPr>
          <w:b/>
        </w:rPr>
        <w:t>POSSIBLE 2026:</w:t>
      </w:r>
      <w:r>
        <w:t xml:space="preserve"> Regional Varieties of Regulatory Capitalism and Predatory Lending — https://doi.org/10.1017/s0003975626100393</w:t>
      </w:r>
    </w:p>
    <w:p>
      <w:pPr/>
      <w:r>
        <w:rPr>
          <w:b/>
        </w:rPr>
        <w:t>Shared claim-specific concepts:</w:t>
      </w:r>
      <w:r>
        <w:t xml:space="preserve"> regulatory, not, use; EU scope visible. This is a provisional connection, not an outcome finding.</w:t>
      </w:r>
    </w:p>
    <w:p>
      <w:pPr>
        <w:pStyle w:val="SourceNote"/>
      </w:pPr>
      <w:r>
        <w:rPr>
          <w:b/>
        </w:rPr>
        <w:t>Available abstract (not full text):</w:t>
      </w:r>
      <w:r>
        <w:t xml:space="preserve"> Abstract Alternative financial institutions have grown as a source of credit for low-income borrowers deemed credit risks by banks. This article examines how predatory lending flourishes despite regulatory tightening. I theorize three varieties of regulatory capitalism in North America, the Asia-Pacific, and Europe, each shaped by its developmental history and each of which influences different forms of collateralization, regulatory evasion, and risk laundering that predatory lenders pursue for profit. In North America, a region characterized by liberal market economies and a fragmented regulatory environment, firms adopt tactics such as the use of scalable resale markets to collateralize borrowers’ goods through pawnshop chains, regulatory evasion through legal arbitrage, and risk laundering in the form of secondary market sales. In the Asia-Pacific, where microloans are historically entrenched and formal institutions are weak, firms adopt tactics such as collateralizing personal gold and personal jewelry to defy traceability, regulatory evasion through product substitution, and risk laundering by shifting operations across the region. In Europe, which is characterized by coordinated market economies with strong consumer protections and high institutional trust, firms largely pivot away from collateralization toward bundling their collateral with insurance as a means of evadin</w:t>
      </w:r>
    </w:p>
    <w:p>
      <w:pPr/>
      <w:r>
        <w:rPr>
          <w:b/>
        </w:rPr>
        <w:t>POSSIBLE 2025:</w:t>
      </w:r>
      <w:r>
        <w:t xml:space="preserve"> Gloves Standards and Occupational Exposure to Antineoplastic Drugs in the European Context — https://doi.org/10.1002/hsr2.70592</w:t>
      </w:r>
    </w:p>
    <w:p>
      <w:pPr/>
      <w:r>
        <w:rPr>
          <w:b/>
        </w:rPr>
        <w:t>Shared claim-specific concepts:</w:t>
      </w:r>
      <w:r>
        <w:t xml:space="preserve"> regulatory, exposure, not, any, use; EU scope visible. This is a provisional connection, not an outcome finding.</w:t>
      </w:r>
    </w:p>
    <w:p>
      <w:pPr>
        <w:pStyle w:val="SourceNote"/>
      </w:pPr>
      <w:r>
        <w:rPr>
          <w:b/>
        </w:rPr>
        <w:t>Available abstract (not full text):</w:t>
      </w:r>
      <w:r>
        <w:t xml:space="preserve"> Background and Aims: Over 12 million healthcare professionals in Europe are exposed to hazardous medicinal products, including antineoplastic drugs. Dermal route is recognized as the primary route of exposure to antineoplastic drugs, emphasizing the critical importance of skin protection provided by gloves, which necessitates a careful and specific selection process. This study aims to compare the current European standard EN 16523-1:2015 + A1:2018 with the ASTM D6978-05(2023) standard used in the United States. Methods: Firstly, the three main performance parameters to consider when selecting gloves are described: standardized breakthrough time, standardized permeation rate, and cumulative permeation. Subsequently, the current European and American standards are compared based on the following criteria: part of the glove tested, substances tested, standardized permeation rate, test duration, test temperature, and the information provided on the glove packaging. Additionally, and with a focus on safety, clear examples of how to interpret graphical symbols and indications available on glove packaging are provided to enhance the transferability of the information contained in this study to healthcare settings. Results: There is a significant disparity between the requirements of the two standards. Indeed, the only European standard applicable in the context of glove permeation by</w:t>
      </w:r>
    </w:p>
    <w:p>
      <w:pPr/>
      <w:r>
        <w:rPr>
          <w:b/>
        </w:rPr>
        <w:t>POSSIBLE 2024:</w:t>
      </w:r>
      <w:r>
        <w:t xml:space="preserve"> Rare disease clinical trials in the European Union: navigating regulatory and clinical challenges — https://doi.org/10.1186/s13023-024-03146-5</w:t>
      </w:r>
    </w:p>
    <w:p>
      <w:pPr/>
      <w:r>
        <w:rPr>
          <w:b/>
        </w:rPr>
        <w:t>Shared claim-specific concepts:</w:t>
      </w:r>
      <w:r>
        <w:t xml:space="preserve"> regulatory, not, any; EU scope visible. This is a provisional connection, not an outcome finding.</w:t>
      </w:r>
    </w:p>
    <w:p>
      <w:pPr>
        <w:pStyle w:val="SourceNote"/>
      </w:pPr>
      <w:r>
        <w:rPr>
          <w:b/>
        </w:rPr>
        <w:t>Available abstract (not full text):</w:t>
      </w:r>
      <w:r>
        <w:t xml:space="preserve"> BACKGROUND: Clinical development for orphan drugs presents significant difficulties and challenges. There is no unique or standard design, conduct, and outcome assessment methodology and it is sometimes impractical to fit design models of rare disease trials in any practiced and well-known framework. In the European Union (EU) these challenges encompass a broad array of subjects, including trial design, study outcomes, patient recruitment, trial conduct ethics, trial cost, and chances of success. This literature-based review study aims to provide a thorough overview of the critical aspects of rare disease trials in the EU by analyzing the current landscape of rare disease trials, highlighting key challenges, delving into regulatory and research initiatives and innovation in trial designs, and proposing multi-faceted solutions to implement effective rare disease clinical trials in the region. DISCUSSION: Traditional clinical trial designs, validation, and evaluation methodologies used for nonorphan drugs often prove unsuitable for orphan drugs, given the small patient populations, sometimes fewer than 1000 cases. There is an increasing need for accessible therapies and both regulators as well as industry are trying to develop affordable and effective drugs to address this need. Despite several steps that have been taken, the timely development of drugs remains a challenge. One o</w:t>
      </w:r>
    </w:p>
    <w:p>
      <w:pPr/>
      <w:r>
        <w:rPr>
          <w:b/>
        </w:rPr>
        <w:t>POSSIBLE 2024:</w:t>
      </w:r>
      <w:r>
        <w:t xml:space="preserve"> Noise Exposure and Mitigation on High-Speed Craft: Assessing Acoustic Environment and Regulatory Compliance — https://doi.org/10.3390/jmse12122329</w:t>
      </w:r>
    </w:p>
    <w:p>
      <w:pPr/>
      <w:r>
        <w:rPr>
          <w:b/>
        </w:rPr>
        <w:t>Shared claim-specific concepts:</w:t>
      </w:r>
      <w:r>
        <w:t xml:space="preserve"> regulatory, exposure, levels; EU scope visible. This is a provisional connection, not an outcome finding.</w:t>
      </w:r>
    </w:p>
    <w:p>
      <w:pPr>
        <w:pStyle w:val="SourceNote"/>
      </w:pPr>
      <w:r>
        <w:rPr>
          <w:b/>
        </w:rPr>
        <w:t>Available abstract (not full text):</w:t>
      </w:r>
      <w:r>
        <w:t xml:space="preserve"> High-speed craft (HSC) present unique challenges regarding on-board noise levels, affecting crew safety, comfort, and operational efficiency. This study investigates noise exposure and mitigation strategies aboard three Ro-Pax HSC vessels operating in southern Spain, with a focus on noise sources, regulatory compliance, and crew health. Full-scale experimental measurements were conducted in critical on-board locations, and noise maps were developed to identify areas where sound levels exceed International Maritime Organization (IMO) and European Directive 2003/10/EC thresholds. Results highlight that engine rooms and propulsion systems are the primary sources of excessive noise, with significant transmission to passenger and crew accommodation areas. Noise exposure calculations reveal that several crew roles, particularly engineers and deckhands, face exposure to hazardous noise levels during routine operations. Mitigation strategies, including improved insulation, noise mapping, and the implementation of hearing protection, are recommended to enhance on-board acoustic conditions. This research contributes to a deeper understanding of noise pollution on HSC vessels and proposes practical interventions to reduce exposure, improving overall maritime safety and occupational health.</w:t>
      </w:r>
    </w:p>
    <w:p>
      <w:pPr/>
      <w:r>
        <w:rPr>
          <w:b/>
        </w:rPr>
        <w:t>POSSIBLE 2024:</w:t>
      </w:r>
      <w:r>
        <w:t xml:space="preserve"> Scientific opinion on the tolerable upper intake level for iron — https://doi.org/10.2903/j.efsa.2024.8819</w:t>
      </w:r>
    </w:p>
    <w:p>
      <w:pPr/>
      <w:r>
        <w:rPr>
          <w:b/>
        </w:rPr>
        <w:t>Shared claim-specific concepts:</w:t>
      </w:r>
      <w:r>
        <w:t xml:space="preserve"> tolerable, intake, levels, not, level; EU scope visible. This is a provisional connection, not an outcome finding.</w:t>
      </w:r>
    </w:p>
    <w:p>
      <w:pPr>
        <w:pStyle w:val="SourceNote"/>
      </w:pPr>
      <w:r>
        <w:rPr>
          <w:b/>
        </w:rPr>
        <w:t>Available abstract (not full text):</w:t>
      </w:r>
      <w:r>
        <w:t xml:space="preserve"> Abstract Following a request from the European Commission, the EFSA Panel on Nutrition, Novel Foods and Food Allergens (NDA) was asked to deliver a scientific opinion on the tolerable upper intake level (UL) for iron. Systematic reviews were conducted to identify evidence regarding high iron intakes and risk of chronic diseases, adverse gastrointestinal effects and adverse effects of iron supplementation in infancy, young childhood and pregnancy. It is established that systemic iron overload leads to organ toxicity, but no UL could be established. The only indicator for which a dose–response could be established was black stools, which reflect the presence of large amounts of unabsorbed iron in the gut. This is a conservative endpoint among the chain of events that may lead to systemic iron overload but is not adverse per se. Based on interventions in which black stools did not occur at supplemental iron intakes of 20–25 mg/day (added to a background intake of 15 mg/day), a safe level of intake for iron of 40 mg/day for adults (including pregnant and lactating women) was established. Using allometric scaling (body weight0.75), this value was scaled down to children and adolescents and safe levels of intakes between 10 mg/day (1–3 years) and 35 mg/day (15–17 years) were derived. For infants 7–11 months of age who have a higher iron requirement than young children, allometric sca</w:t>
      </w:r>
    </w:p>
    <w:p>
      <w:pPr/>
      <w:r>
        <w:rPr>
          <w:b/>
        </w:rPr>
        <w:t>POSSIBLE 2022:</w:t>
      </w:r>
      <w:r>
        <w:t xml:space="preserve"> Exposure modelling in Europe: how to pave the road for the future as part of the European Exposure Science Strategy 2020–2030 — https://doi.org/10.1038/s41370-022-00455-4</w:t>
      </w:r>
    </w:p>
    <w:p>
      <w:pPr/>
      <w:r>
        <w:rPr>
          <w:b/>
        </w:rPr>
        <w:t>Shared claim-specific concepts:</w:t>
      </w:r>
      <w:r>
        <w:t xml:space="preserve"> regulatory, exposure, use; EU scope visible. This is a provisional connection, not an outcome finding.</w:t>
      </w:r>
    </w:p>
    <w:p>
      <w:pPr>
        <w:pStyle w:val="SourceNote"/>
      </w:pPr>
      <w:r>
        <w:rPr>
          <w:b/>
        </w:rPr>
        <w:t>Available abstract (not full text):</w:t>
      </w:r>
      <w:r>
        <w:t xml:space="preserve"> Exposure models are essential in almost all relevant contexts for exposure science. To address the numerous challenges and gaps that exist, exposure modelling is one of the priority areas of the European Exposure Science Strategy developed by the European Chapter of the International Society of Exposure Science (ISES Europe). A strategy was developed for the priority area of exposure modelling in Europe with four strategic objectives. These objectives are (1) improvement of models and tools, (2) development of new methodologies and support for understudied fields, (3) improvement of model use and (4) regulatory needs for modelling. In a bottom-up approach, exposure modellers from different European countries and institutions who are active in the fields of occupational, population and environmental exposure science pooled their expertise under the umbrella of the ISES Europe Working Group on exposure models. This working group assessed the state-of-the-art of exposure modelling in Europe by developing an inventory of exposure models used in Europe and reviewing the existing literature on pitfalls for exposure modelling, in order to identify crucial modelling-related strategy elements. Decisive actions were defined for ISES Europe stakeholders, including collecting available models and accompanying information in a living document curated and published by ISES Europe, as well as</w:t>
      </w:r>
    </w:p>
    <w:p>
      <w:pPr/>
      <w:r>
        <w:rPr>
          <w:b/>
        </w:rPr>
        <w:t>POSSIBLE 2022:</w:t>
      </w:r>
      <w:r>
        <w:t xml:space="preserve"> European Regulatory and Insurance Aspects of Carbon Capture and Storage — https://doi.org/10.54648/eelr2022024</w:t>
      </w:r>
    </w:p>
    <w:p>
      <w:pPr/>
      <w:r>
        <w:rPr>
          <w:b/>
        </w:rPr>
        <w:t>Shared claim-specific concepts:</w:t>
      </w:r>
      <w:r>
        <w:t xml:space="preserve"> regulatory, not, any, use, however; EU scope visible. This is a provisional connection, not an outcome finding.</w:t>
      </w:r>
    </w:p>
    <w:p>
      <w:pPr>
        <w:pStyle w:val="SourceNote"/>
      </w:pPr>
      <w:r>
        <w:rPr>
          <w:b/>
        </w:rPr>
        <w:t>Available abstract (not full text):</w:t>
      </w:r>
      <w:r>
        <w:t xml:space="preserve"> Carbon capture, use and storage (CCUS) has the potential to significantly reduce carbon emissions, however, because CCUS technology almost exclusively aims for carbon mitigation without co-benefits, this expensive technology has not been widely adopted. In order to make this technology viable, a robust regulatory and legal regime is required both internationally and within the European Union (EU). A comprehensive insurance system is also required to ensure that efficient running of CCUS. With this understanding in mind, this article analyses the regulatory regime governing CCUS both internationally and in the EU and also the law governing insurance of this technology. It argues that whilst European regulation has improved with respect to filling regulatory gaps, a number of gaps are identified which still need to be closed. In addition, the article will argue that special insurance coverage for specialized risks must be in place to diminish any environmental impact and hazard, including cyber-related risks that need to be identified and insured to be properly handled and adequately covered to allow for the successful deployment of CCUS. Carbon capture, use and storage; climate change; climate change mitigation; environmental insurance; cyber insurance; EU environmental law</w:t>
      </w:r>
    </w:p>
    <w:p>
      <w:pPr/>
      <w:r>
        <w:rPr>
          <w:b/>
        </w:rPr>
        <w:t>POSSIBLE 2022:</w:t>
      </w:r>
      <w:r>
        <w:t xml:space="preserve"> Electromagnetic Fields Exposure Assessment in Europe Utilizing Publicly Available Data — https://doi.org/10.3390/s22218481</w:t>
      </w:r>
    </w:p>
    <w:p>
      <w:pPr/>
      <w:r>
        <w:rPr>
          <w:b/>
        </w:rPr>
        <w:t>Shared claim-specific concepts:</w:t>
      </w:r>
      <w:r>
        <w:t xml:space="preserve"> exposure, limits, levels, use; EU scope visible. This is a provisional connection, not an outcome finding.</w:t>
      </w:r>
    </w:p>
    <w:p>
      <w:pPr>
        <w:pStyle w:val="SourceNote"/>
      </w:pPr>
      <w:r>
        <w:rPr>
          <w:b/>
        </w:rPr>
        <w:t>Available abstract (not full text):</w:t>
      </w:r>
      <w:r>
        <w:t xml:space="preserve"> The ever-increasing use of wireless communication systems during the last few decades has raised concerns about the potential health effects of electromagnetic fields (EMFs) on humans. Safety limits and exposure assessment methods were developed and are regularly updated to mitigate health risks. Continuous radiofrequency EMF monitoring networks and in situ measurement campaigns provide useful information about environmental EMF levels and their variations over time and in different microenvironments. In this study, published data from the five largest monitoring networks and from two extensive in situ measurement campaigns in different European countries were gathered and processed. Median electric field values for monitoring networks across different countries lay in the interval of 0.67-1.51 V/m. The median electric field value across different microenvironments, as evaluated from in situ measurements, varied from 0.10 V/m to 1.42 V/m. The differences between networks were identified and mainly attributed to variations in population density. No significant trends in the temporal evolution of EMF levels were observed. The influences of parameters such as population density, type of microenvironment, and height of measurement on EMF levels were investigated.</w:t>
      </w:r>
    </w:p>
    <w:p>
      <w:pPr/>
      <w:r>
        <w:rPr>
          <w:b/>
        </w:rPr>
        <w:t>POSSIBLE 2021:</w:t>
      </w:r>
      <w:r>
        <w:t xml:space="preserve"> Malignant mesothelioma and asbestos exposure in Europe: Evidence of spatial clustering — https://doi.org/10.4081/gh.2021.951</w:t>
      </w:r>
    </w:p>
    <w:p>
      <w:pPr/>
      <w:r>
        <w:rPr>
          <w:b/>
        </w:rPr>
        <w:t>Shared claim-specific concepts:</w:t>
      </w:r>
      <w:r>
        <w:t xml:space="preserve"> exposure, levels, not, use, yet, however; EU scope visible. This is a provisional connection, not an outcome finding.</w:t>
      </w:r>
    </w:p>
    <w:p>
      <w:pPr>
        <w:pStyle w:val="SourceNote"/>
      </w:pPr>
      <w:r>
        <w:rPr>
          <w:b/>
        </w:rPr>
        <w:t>Available abstract (not full text):</w:t>
      </w:r>
      <w:r>
        <w:t xml:space="preserve"> Exposure to asbestos causes a wide range of diseases, such as asbestosis, malignant mesothelioma (MM) and other types of cancer. Many European countries have reduced production and use of asbestos and some have banned it altogether. Based on data derived from the World Health Organisation (WHO) Cancer Mortality Database, we investigated whether some regions in Europe could have a higher relative risk of MM incidence than others. The data were compared, including the number of MM deaths per million inhabitants and aged-standardized mortality rates. Applying Moran's I and Getis-Ord Gi statistic on the agedstandardized mortality rates of MM cases assisted the spatial analysis of the occurrence of health events leading to an assessment of the heterogeneity of distribution and cluster detection of MM. We found a statistically significant positive autocorrelation for the male population and also the general population, while there was no statistically significant positive one for the female population. Hotspots of relative risk of developing MM were found in northwestern Europe. For the general population, Great Britain and the Netherlands stood out with high levels at the 99% and 95% confidence levels, respectively. For the male population, the results were similar, but with addition of risk also in Belgium and Switzerland. However, in many European countries with high asbestos use </w:t>
      </w:r>
    </w:p>
    <w:p>
      <w:pPr/>
      <w:r>
        <w:rPr>
          <w:b/>
        </w:rPr>
        <w:t>POSSIBLE 2021:</w:t>
      </w:r>
      <w:r>
        <w:t xml:space="preserve"> Enhancing the use of exposure science across EU chemical policies as part of the European Exposure Science Strategy 2020–2030 — https://doi.org/10.1038/s41370-021-00388-4</w:t>
      </w:r>
    </w:p>
    <w:p>
      <w:pPr/>
      <w:r>
        <w:rPr>
          <w:b/>
        </w:rPr>
        <w:t>Shared claim-specific concepts:</w:t>
      </w:r>
      <w:r>
        <w:t xml:space="preserve"> regulatory, exposure, use; EU scope visible. This is a provisional connection, not an outcome finding.</w:t>
      </w:r>
    </w:p>
    <w:p>
      <w:pPr>
        <w:pStyle w:val="SourceNote"/>
      </w:pPr>
      <w:r>
        <w:rPr>
          <w:b/>
        </w:rPr>
        <w:t>Available abstract (not full text):</w:t>
      </w:r>
      <w:r>
        <w:t xml:space="preserve"> BACKGROUND: A scientific framework on exposure science will boost the multiuse of exposure knowledge across EU chemicals-related policies and improve risk assessment, risk management and communication across EU safety, security and sustainability domains. OBJECTIVE: To stimulate public and private actors to align and strengthen the cross-policy adoption of exposure assessment data, methods and tools across EU legislation. METHODS: By mapping and analysing the EU regulatory landscape making use of exposure information, policy and research challenges and key areas of action are identified and translated into opportunities enhancing policy and scientific efficiency. RESULTS: Identified key areas of actions are to develop a common scientific exposure assessment framework, supported by baseline acceptance criteria and a shared knowledge base enhancing exchangeability and acceptability of exposure knowledge within and across EU chemicals-related policies. Furthermore, such framework will improve communication and management across EU chemical safety, security and sustainability policies comprising sourcing, manufacturing and global trade of goods and waste management. In support of building such a common framework and its effective use in policy and industry, exposure science innovation needs to be better embedded along the whole policymaking cycle, and be integrated into companies' </w:t>
      </w:r>
    </w:p>
    <w:p>
      <w:pPr/>
      <w:r>
        <w:rPr>
          <w:b/>
        </w:rPr>
        <w:t>POSSIBLE 2021:</w:t>
      </w:r>
      <w:r>
        <w:t xml:space="preserve"> ATMP Environmental Exposure Assessment in European Healthcare Settings: A Systematic Review of the Literature — https://doi.org/10.3389/fmed.2021.713047</w:t>
      </w:r>
    </w:p>
    <w:p>
      <w:pPr/>
      <w:r>
        <w:rPr>
          <w:b/>
        </w:rPr>
        <w:t>Shared claim-specific concepts:</w:t>
      </w:r>
      <w:r>
        <w:t xml:space="preserve"> regulatory, exposure, use; EU scope visible. This is a provisional connection, not an outcome finding.</w:t>
      </w:r>
    </w:p>
    <w:p>
      <w:pPr>
        <w:pStyle w:val="SourceNote"/>
      </w:pPr>
      <w:r>
        <w:rPr>
          <w:b/>
        </w:rPr>
        <w:t>Available abstract (not full text):</w:t>
      </w:r>
      <w:r>
        <w:t xml:space="preserve"> Since 2007, a new class of biologic products for human use called "advanced therapy medicinal products (ATMP)" have been legally integrated in the European Medical Agency. They consist of recombinant nucleic acid, engineered cells, cells, or tissues. In the United States, ATMP fall under the regulatory framework of biological products and the term "cell and gene therapy product" is used in the legislative and regulatory documents. Potential clinical applications are broad, particularly, in the field of cancer, inherited genetic disease, and regenerative medicine. Indeed, the benefit conferred by CD19 chimeric antigen receptor T cells led to the first engineered cell therapy products to be approved by the Food and Drug Administration (FDA) in 2017. Gene therapy products to treat orphan diseases are also extensively developed with many clinical trials ongoing in the world. Nevertheless, the use of these therapeutic products is complex and requires careful considerations in the terms of regulatory and hospital setting requirements, such as storage, handling, administration, and disposal which justify the implementation of a secured medication circuit. Through this systematic review of the literature, the authors wanted to compile data on the assessment of environmental exposure related to the use of ATMP in healthcare setting to secure their medication circuit. A literature search</w:t>
      </w:r>
    </w:p>
    <w:p>
      <w:pPr>
        <w:pStyle w:val="Heading2"/>
      </w:pPr>
      <w:r>
        <w:t>1010. The Purpose and Pitfalls of Constructivist Forecasting: Insights from Strategic Culture Research for the European Union’s Evolution as a Military Power1</w:t>
      </w:r>
    </w:p>
    <w:p>
      <w:pPr>
        <w:pStyle w:val="SourceNote"/>
      </w:pPr>
      <w:r>
        <w:rPr>
          <w:b/>
        </w:rPr>
        <w:t>Original source (2011):</w:t>
      </w:r>
      <w:r>
        <w:t xml:space="preserve"> https://doi.org/10.1111/j.1468-2478.2011.00648.x</w:t>
      </w:r>
    </w:p>
    <w:p>
      <w:pPr/>
      <w:r>
        <w:t>Original wording (abstract; indexed_source_text_not_full_document_verified): It argues that insights from strategic culture research are particularly suited to outline trajectories of the likely when combined with the assessment of internal and external drivers of ideational and material change, the examination of discontinuities, and key uncertainties.</w:t>
      </w:r>
    </w:p>
    <w:p>
      <w:pPr/>
      <w:r>
        <w:rPr>
          <w:b/>
        </w:rPr>
        <w:t>POSSIBLE 2026:</w:t>
      </w:r>
      <w:r>
        <w:t xml:space="preserve"> European strategic antinomy — https://doi.org/10.1016/j.polgeo.2026.103616</w:t>
      </w:r>
    </w:p>
    <w:p>
      <w:pPr/>
      <w:r>
        <w:rPr>
          <w:b/>
        </w:rPr>
        <w:t>Shared claim-specific concepts:</w:t>
      </w:r>
      <w:r>
        <w:t xml:space="preserve"> strategic, key, uncertainties; EU scope visible. This is a provisional connection, not an outcome finding.</w:t>
      </w:r>
    </w:p>
    <w:p>
      <w:pPr>
        <w:pStyle w:val="SourceNote"/>
      </w:pPr>
      <w:r>
        <w:rPr>
          <w:b/>
        </w:rPr>
        <w:t>Available abstract (not full text):</w:t>
      </w:r>
      <w:r>
        <w:t xml:space="preserve"> Over the last decade, “strategic autonomy” has emerged as a key geonarrative in debates on EUrope's relation to the world. Initially focused more narrowly on matters of security and defence, it is now being applied to a much wider set of issues. Confronted with the rise of non-Western powers, uncertainties about the future of transatlantic relations, and a wide-spread sense that one-sided dependencies must be reduced, the concept of strategic autonomy is the lens through which EUrope tries to address a broad array of geopolitical and geoeconomic challenges. Yet, Europe struggles to come to terms with the “geo” in geopolitics and geoeconomic. The article advances the argument that these difficulties are an effect of EUrope's self-description and self-observation in universal terms: Obviously, EUrope recognizes the presence of other players on the international scene. But to the extent that European modernity is seen as universal rather than merely European the organization of political space in terms of difference (e.g. geopolitical or geoeconomic competition) runs into contradictions. EUrope envisions itself both as a province among provinces (competing with China and increasingly also the US) and it retains the ambition to singularly represent the world. In a nutshell, casting itself in universal terms, EUrope struggles to process and acknowledge difference, and faced with dif</w:t>
      </w:r>
    </w:p>
    <w:p>
      <w:pPr/>
      <w:r>
        <w:rPr>
          <w:b/>
        </w:rPr>
        <w:t>POSSIBLE 2026:</w:t>
      </w:r>
      <w:r>
        <w:t xml:space="preserve"> De-Europeanization or Strategic Recalibration? Irish Neutrality, NATO Partnership, and Contested Security Identity in a Geopolitical Europe — https://doi.org/10.5281/zenodo.18186394</w:t>
      </w:r>
    </w:p>
    <w:p>
      <w:pPr/>
      <w:r>
        <w:rPr>
          <w:b/>
        </w:rPr>
        <w:t>Shared claim-specific concepts:</w:t>
      </w:r>
      <w:r>
        <w:t xml:space="preserve"> argues, insights, strategic, culture; EU scope visible. This is a provisional connection, not an outcome finding.</w:t>
      </w:r>
    </w:p>
    <w:p>
      <w:pPr>
        <w:pStyle w:val="SourceNote"/>
      </w:pPr>
      <w:r>
        <w:rPr>
          <w:b/>
        </w:rPr>
        <w:t>Available abstract (not full text):</w:t>
      </w:r>
      <w:r>
        <w:t xml:space="preserve"> Abstract This paper examines the theoretical dimensions of Irish neutrality within the context of deepening European security integration and expanding NATO partnership arrangements. Drawing upon Europeanization theory and constructivist approaches to security identity formation, the analysis interrogates whether Ireland's evolving security posture represents a fundamental de-Europeanization of its foreign policy orientation or constitutes a strategic recalibration reflecting adaptive responses to geopolitical transformation. The study extends theoretical frameworks concerning small state behavior, normative contestation, and identity politics within security governance structures. By synthesizing insights from Europeanization scholarship, socialization theory, and critical security studies, the paper develops a conceptual framework for understanding how Ireland navigates the tension between historical neutrality commitments and contemporary security interdependence (Tonra, 2007). The analysis demonstrates that Irish security identity remains fundamentally contested, marked by competing narratives of exceptionalism, pragmatic Atlanticism, and selective multilateralism. Rather than representing linear progression toward either full European defense integration or isolation, Irish policy exhibits characteristics of what may be termed "strategic ambiguity"—a deliberate maintenance</w:t>
      </w:r>
    </w:p>
    <w:p>
      <w:pPr/>
      <w:r>
        <w:rPr>
          <w:b/>
        </w:rPr>
        <w:t>POSSIBLE 2026:</w:t>
      </w:r>
      <w:r>
        <w:t xml:space="preserve"> European manual on strategic culture — https://openalex.org/W7163482322</w:t>
      </w:r>
    </w:p>
    <w:p>
      <w:pPr/>
      <w:r>
        <w:rPr>
          <w:b/>
        </w:rPr>
        <w:t>Shared claim-specific concepts:</w:t>
      </w:r>
      <w:r>
        <w:t xml:space="preserve"> strategic, culture, particularly; EU scope visible. This is a provisional connection, not an outcome finding.</w:t>
      </w:r>
    </w:p>
    <w:p>
      <w:pPr>
        <w:pStyle w:val="SourceNote"/>
      </w:pPr>
      <w:r>
        <w:rPr>
          <w:b/>
        </w:rPr>
        <w:t>Available abstract (not full text):</w:t>
      </w:r>
      <w:r>
        <w:t xml:space="preserve"> Welcome to the manual of strategic culture! We are pleased that you took the time to familiarize yourself with its contents and hope that you’ll see the benefits of this in your daily work. As the authors, we firmly believe that the capacity to identify and assess the characteristics and potential implications of strategic culture on national security behavior constitutes a core professional qualification of contemporary military officers, defense policy experts and decision-makers. Beyond mere awareness of the cultural dimensions of security, the ability to operate effectively within a strategic cultural environment is rapidly becoming an essential component of professional expertise in the field of security and defense policy. Strategic culture is fundamentally something that needs to be experienced, either through engagement in the field, reflection or rigorous analysis. An interest and curiosity toward how strategic views may differ is a good starting point. Conversely, the realization that we tend to think we are special in this regard may guide us out of our strategic cultural “blind spots” and biases. This concise manual is intended to help readers understand and navigate the complex socio-political environment shaped by strategic culture, particularly within European security and defense. It aims to illustrate how strategic culture can affect the ways in which professio</w:t>
      </w:r>
    </w:p>
    <w:p>
      <w:pPr/>
      <w:r>
        <w:rPr>
          <w:b/>
        </w:rPr>
        <w:t>POSSIBLE 2026:</w:t>
      </w:r>
      <w:r>
        <w:t xml:space="preserve"> European Strategic Culture at a Crossroads — https://doi.org/10.4324/9781032636566</w:t>
      </w:r>
    </w:p>
    <w:p>
      <w:pPr/>
      <w:r>
        <w:rPr>
          <w:b/>
        </w:rPr>
        <w:t>Shared claim-specific concepts:</w:t>
      </w:r>
      <w:r>
        <w:t xml:space="preserve"> strategic, culture, key; EU scope visible. This is a provisional connection, not an outcome finding.</w:t>
      </w:r>
    </w:p>
    <w:p>
      <w:pPr>
        <w:pStyle w:val="SourceNote"/>
      </w:pPr>
      <w:r>
        <w:rPr>
          <w:b/>
        </w:rPr>
        <w:t>Available abstract (not full text):</w:t>
      </w:r>
      <w:r>
        <w:t xml:space="preserve"> This book examines European strategic culture at both national and supranational levels. Focusing on elite perceptions extracted from official discourses, this book empirically analyses how the European Union and its member states perceive the important dimensions and their perceptual changes in the foreign security and defence realm and explores their convergence/divergence. It also discusses the prospects for the emergence of a European strategic culture in the context of the Russia–Ukraine war, concluding that, whilst the war has given a boost to Europe’s thinking and approach with respect to security and defence, which may lead to further integration, there had already been convergence in strategic culture between the member states and between them and the EU, even before the war. This book will be of key interest to scholars and students of European foreign, security, and defence policy, and more broadly, to those of European studies, international relations, security studies, and foreign policy.</w:t>
      </w:r>
    </w:p>
    <w:p>
      <w:pPr/>
      <w:r>
        <w:rPr>
          <w:b/>
        </w:rPr>
        <w:t>POSSIBLE 2026:</w:t>
      </w:r>
      <w:r>
        <w:t xml:space="preserve"> Mapping the European Negotiation Landscape: Insights from the 2025 European Negotiation Conference — https://doi.org/10.70714/x3jghe28</w:t>
      </w:r>
    </w:p>
    <w:p>
      <w:pPr/>
      <w:r>
        <w:rPr>
          <w:b/>
        </w:rPr>
        <w:t>Shared claim-specific concepts:</w:t>
      </w:r>
      <w:r>
        <w:t xml:space="preserve"> insights, strategic, internal; EU scope visible. This is a provisional connection, not an outcome finding.</w:t>
      </w:r>
    </w:p>
    <w:p>
      <w:pPr>
        <w:pStyle w:val="SourceNote"/>
      </w:pPr>
      <w:r>
        <w:rPr>
          <w:b/>
        </w:rPr>
        <w:t>Available abstract (not full text):</w:t>
      </w:r>
      <w:r>
        <w:t xml:space="preserve"> This paper examines how geopolitical disruption is reshaping the European negotiation landscape. Against the backdrop of Russia’s invasion of Ukraine, pressure on the rules-based international order, and growing political polarisation, it explores how practitioners perceive current changes in Europe and the European Union. The study draws on 19 semi-structured expert interviews conducted at the 2025 European Negotiation Conference with practitioners, researchers, and educators. Using abductive qualitative content analysis, it focuses on two interconnected levels: macro-level geopolitical and normative shifts, and meso-level institutional and organisational dynamics. The findings indicate that the EU’s normative and value-based framework remains a strategic asset in an increasingly transactional and authoritarian environment, supporting its position as a credible long-term partner. Yet this advantage depends on internal consistency: gaps between proclaimed norms and operational outcomes weaken credibility, trust, and bargaining power. The analysis also shows that the EU’s consensus-oriented, multi-level governance architecture generates legitimacy but, under crisis-driven time pressure, often produces delay and incrementalism.</w:t>
      </w:r>
    </w:p>
    <w:p>
      <w:pPr/>
      <w:r>
        <w:rPr>
          <w:b/>
        </w:rPr>
        <w:t>POSSIBLE 2026:</w:t>
      </w:r>
      <w:r>
        <w:t xml:space="preserve"> Barriers to Research: Insights into the Patchwork of Research Exceptions in European Copyright Laws and Practical Perspectives from European Researchers — https://doi.org/10.5281/zenodo.20492251</w:t>
      </w:r>
    </w:p>
    <w:p>
      <w:pPr/>
      <w:r>
        <w:rPr>
          <w:b/>
        </w:rPr>
        <w:t>Shared claim-specific concepts:</w:t>
      </w:r>
      <w:r>
        <w:t xml:space="preserve"> argues, insights, particularly, assessment, key; EU scope visible. This is a provisional connection, not an outcome finding.</w:t>
      </w:r>
    </w:p>
    <w:p>
      <w:pPr>
        <w:pStyle w:val="SourceNote"/>
      </w:pPr>
      <w:r>
        <w:rPr>
          <w:b/>
        </w:rPr>
        <w:t>Available abstract (not full text):</w:t>
      </w:r>
      <w:r>
        <w:t xml:space="preserve"> About the report Scientific research depends on access to knowledge, data, and cultural resources. Researchers routinely engage with copyright-protected materials when accessing literature, sharing resources, conducting collaborative projects, or applying emerging technologies such as Artificial Intelligence (AI), Machine Learning (ML), and Text and Data Mining (TDM). While copyright law recognises the importance of research through a range of exceptions and limitations, the implementation of these provisions across Europe remains fragmented and uneven. The lack of harmonisation across the European Union creates legal uncertainty for researchers and research institutions operating in increasingly international and digital environments. Differences in national copyright frameworks can affect access to research materials, the ability to process and analyse data, cross-border collaboration, and the dissemination of research outputs. As a result, researchers often face administrative burdens and uncertainty regarding the legality of everyday research activities. This report examines these challenges through a twofold approach. First, it provides a comparative legal analysis of research-related copyright exceptions across 28 European jurisdictions (the EU Member States and the UK). To facilitate this analysis, the report introduces the Index of Research Exceptions (I-REx), a quantit</w:t>
      </w:r>
    </w:p>
    <w:p>
      <w:pPr/>
      <w:r>
        <w:rPr>
          <w:b/>
        </w:rPr>
        <w:t>POSSIBLE 2025:</w:t>
      </w:r>
      <w:r>
        <w:t xml:space="preserve"> DECONSTRUCTING SDG PERFORMANCE FOR STRATEGIC INSIGHT: QUANTITATIVE INSIGHTS FROM TÜRKİYE AND EUROPEAN COUNTRIES — https://doi.org/10.15544/mts.2025.29</w:t>
      </w:r>
    </w:p>
    <w:p>
      <w:pPr/>
      <w:r>
        <w:rPr>
          <w:b/>
        </w:rPr>
        <w:t>Shared claim-specific concepts:</w:t>
      </w:r>
      <w:r>
        <w:t xml:space="preserve"> insights, strategic, particularly; EU scope visible. This is a provisional connection, not an outcome finding.</w:t>
      </w:r>
    </w:p>
    <w:p>
      <w:pPr>
        <w:pStyle w:val="SourceNote"/>
      </w:pPr>
      <w:r>
        <w:rPr>
          <w:b/>
        </w:rPr>
        <w:t>Available abstract (not full text):</w:t>
      </w:r>
      <w:r>
        <w:t xml:space="preserve"> Significant disparities remain in the achievement of Sustainable Development Goals (SDGs) among European Union (EU) member and candidate countries, despite their common commitments. This article aims to address this issue by examining Türkiye's SDG performance through an in-depth, indicator-based comparative analysis with other EU and non-EU European countries. The methods include standardized scoring of indicators on a 1–10 Likert scale, regression analyses, and comparative visualization techniques. The data comprises quantitative SDG indicators from the EUROSTAT database, gathered from April to August 2024, encompassing 79 indicators related to 16 SDGs. Findings reveal that while Türkiye holds the lowest overall rank, it exhibits notably high performance in specific indicators significantly surpassing the European average in certain areas. These strengths highlight substantial potential areas where Türkiye can leverage existing successes to enhance its overall sustainability performance. However, Türkiye also demonstrates critical weaknesses, with the lowest scores in 32 out of 79 indicators, particularly in SDGs such as gender equality, affordable and clean energy, decent work and economic growth, and no poverty. The study’s results provide policymakers with detailed insights into Türkiye's SDG-related strengths and weaknesses, guiding targeted interventions to reinforce and</w:t>
      </w:r>
    </w:p>
    <w:p>
      <w:pPr/>
      <w:r>
        <w:rPr>
          <w:b/>
        </w:rPr>
        <w:t>POSSIBLE 2025:</w:t>
      </w:r>
      <w:r>
        <w:t xml:space="preserve"> Korea in Strategic Competition: A European Perspective — https://openalex.org/W7119569940</w:t>
      </w:r>
    </w:p>
    <w:p>
      <w:pPr/>
      <w:r>
        <w:rPr>
          <w:b/>
        </w:rPr>
        <w:t>Shared claim-specific concepts:</w:t>
      </w:r>
      <w:r>
        <w:t xml:space="preserve"> insights, strategic, key; EU scope visible. This is a provisional connection, not an outcome finding.</w:t>
      </w:r>
    </w:p>
    <w:p>
      <w:pPr>
        <w:pStyle w:val="SourceNote"/>
      </w:pPr>
      <w:r>
        <w:rPr>
          <w:b/>
        </w:rPr>
        <w:t>Available abstract (not full text):</w:t>
      </w:r>
      <w:r>
        <w:t xml:space="preserve"> CSDS In-Depth Paper, No. 20 1 CSDS In-Depth Papers provide critical reflections on issues that affect European security and Europe's partners.The Papers are dedicated to providing analytical insights on specific diplomatic, strategic and security challenges.The Centre for Security, Diplomacy and Strategy (CSDS) seeks to contribute to a better understanding of the key contemporary security and diplomatic challenges of the 21st century -and their impact on Europewhile reaching out to the policy community that will ultimately need to handle such challenges.Our expertise in security studies will seek to establish comprehensive theoretical and policy coverage of strategic competition and its impact on Europe, whilst paying particular attention to the Transatlantic relationship and the wider Indo-Pacific region.Diplomacy as a field of study will be treated broadly and comparatively to encompass traditional statecraft and foreign policy analysis, as well as public, economic and cultural diplomacy.</w:t>
      </w:r>
    </w:p>
    <w:p>
      <w:pPr/>
      <w:r>
        <w:rPr>
          <w:b/>
        </w:rPr>
        <w:t>POSSIBLE 2025:</w:t>
      </w:r>
      <w:r>
        <w:t xml:space="preserve"> Scaling Decision‐Support Tools to Promote Soil Health: Insights From Stakeholders in Europe and Turkey — https://doi.org/10.1111/ejss.70113</w:t>
      </w:r>
    </w:p>
    <w:p>
      <w:pPr/>
      <w:r>
        <w:rPr>
          <w:b/>
        </w:rPr>
        <w:t>Shared claim-specific concepts:</w:t>
      </w:r>
      <w:r>
        <w:t xml:space="preserve"> insights, drivers; EU scope visible. This is a provisional connection, not an outcome finding.</w:t>
      </w:r>
    </w:p>
    <w:p>
      <w:pPr>
        <w:pStyle w:val="SourceNote"/>
      </w:pPr>
      <w:r>
        <w:rPr>
          <w:b/>
        </w:rPr>
        <w:t>Available abstract (not full text):</w:t>
      </w:r>
      <w:r>
        <w:t xml:space="preserve"> ABSTRACT Soil health and climate change are increasingly impacting agriculture across Europe. Decision support tools (DSTs) have emerged as essential tools to help make accurate, evidence‐based agricultural decisions aimed at enhancing productivity, profitability, and effective soil health management. Nevertheless, the adoption of these tools remains limited among farmers and varies across different regions. The aim of this study was to investigate, through a participatory approach, the challenges and drivers influencing the uptake and adoption of DSTs for sustainable soil management in Europe and Turkey. Our goal was to engage various stakeholders to identify the challenges and drivers associated with this process and collaboratively develop actionable recommendations to expand the application of DSTs. Multi‐stakeholder workshops were conducted in Italy, Latvia, Sweden and Turkey, bringing together end‐users, farmers, advisors, tool developers, researchers and policymakers from diverse agricultural contexts. The discussions during these workshops addressed the current use of DSTs, barriers to adoption, and potential solutions for scaling their use. The findings revealed that the primary barriers to adoption and scaling included costs, tool viability, data complexity, limited access to technical support, compatibility issues and insufficient marketing. To overcome these barrier</w:t>
      </w:r>
    </w:p>
    <w:p>
      <w:pPr/>
      <w:r>
        <w:rPr>
          <w:b/>
        </w:rPr>
        <w:t>POSSIBLE 2025:</w:t>
      </w:r>
      <w:r>
        <w:t xml:space="preserve"> Advancing interoperability of data exchange in Europe: Insights from Estonia’s experience for the common European data spaces — https://doi.org/10.1016/j.dib.2025.112361</w:t>
      </w:r>
    </w:p>
    <w:p>
      <w:pPr/>
      <w:r>
        <w:rPr>
          <w:b/>
        </w:rPr>
        <w:t>Shared claim-specific concepts:</w:t>
      </w:r>
      <w:r>
        <w:t xml:space="preserve"> insights, strategic, particularly, key; EU scope visible. This is a provisional connection, not an outcome finding.</w:t>
      </w:r>
    </w:p>
    <w:p>
      <w:pPr>
        <w:pStyle w:val="SourceNote"/>
      </w:pPr>
      <w:r>
        <w:rPr>
          <w:b/>
        </w:rPr>
        <w:t>Available abstract (not full text):</w:t>
      </w:r>
      <w:r>
        <w:t xml:space="preserve"> Interoperability is one of the most critical enablers for the success of the Common European Data Spaces (CEDS). The entry into force of the Interoperable Europe Act in April 2024 marked a pivotal moment in formalising a legal framework to support this vision. Among the emerging data spaces, the European Data Space for Smart Communities (DS4SSCC) has attracted particular attention for its ambition to act as a "connector data space," linking stakeholders, platforms, and technologies across local, regional, and national levels, as well as domains, with a focus on community-level challenges and needs. This paper offers a novel contribution by bridging real-world national and cross-border interoperability practices - particularly Estonia's operational experience with X-Road - with the strategic development of European-level data space initiatives. Unlike prior studies that focus predominantly on technical frameworks or high-level policy design, this paper provides grounded, practical insights from Estonia's long-standing implementation and institutionalisation of data exchange interoperability, translating them into actionable recommendations for DS4SSCC and other CEDS. We argue that the primary obstacles to data exchange interoperability are typically associated with organisational, political, and legal aspects, rather than purely technological ones. Accordingly, effective data go</w:t>
      </w:r>
    </w:p>
    <w:p>
      <w:pPr/>
      <w:r>
        <w:rPr>
          <w:b/>
        </w:rPr>
        <w:t>POSSIBLE 2025:</w:t>
      </w:r>
      <w:r>
        <w:t xml:space="preserve"> THE EUROPEAN POLITICAL COMMUNITY: REIMAGINING EUROPE AS GEOPOLITICAL — https://doi.org/10.24193/ojmne.2025.49.02</w:t>
      </w:r>
    </w:p>
    <w:p>
      <w:pPr/>
      <w:r>
        <w:rPr>
          <w:b/>
        </w:rPr>
        <w:t>Shared claim-specific concepts:</w:t>
      </w:r>
      <w:r>
        <w:t xml:space="preserve"> argues, insights, strategic; EU scope visible. This is a provisional connection, not an outcome finding.</w:t>
      </w:r>
    </w:p>
    <w:p>
      <w:pPr>
        <w:pStyle w:val="SourceNote"/>
      </w:pPr>
      <w:r>
        <w:rPr>
          <w:b/>
        </w:rPr>
        <w:t>Available abstract (not full text):</w:t>
      </w:r>
      <w:r>
        <w:t xml:space="preserve"> The European Political Community (EPC), proposed by French President Emmanuel Macron, represents an ap proach of reshaping the political and strategic landscape of Europe. Emphasizing the “geopolitical” in Europe, the EPC seeks to foster cooperation among European states on shared values of democracy, stability and security. This paper frames the EPC as a geopolitical construction, analysing its potential to create a more inclusive and pragmatic form of political unity in response to contemporary challenges and geopolitical shifts. The paper gives a theoretical and conceptual review of the EPC, addressing its potential to reshape Europe’s borders, identity, and geopolitical role, and evaluates its capacity to deliver tangible results in areas such as security cooperation, energy security, and humanitarian efforts. Drawing on the theoretical frameworks of critical geo politics, the paper argues that the EPC provides a model of political cooperation that transcends traditional notions of territoriality and expands Europe’s strategic influence. By examining the EPC through both practical and theoretical lenses, the paper offers insights into how it could evolve into a tangible and impactful entity in the future of European geopolitics.</w:t>
      </w:r>
    </w:p>
    <w:p>
      <w:pPr/>
      <w:r>
        <w:rPr>
          <w:b/>
        </w:rPr>
        <w:t>POSSIBLE 2023:</w:t>
      </w:r>
      <w:r>
        <w:t xml:space="preserve"> Arguing — https://doi.org/10.1093/oso/9780198866053.003.0008</w:t>
      </w:r>
    </w:p>
    <w:p>
      <w:pPr/>
      <w:r>
        <w:rPr>
          <w:b/>
        </w:rPr>
        <w:t>Shared claim-specific concepts:</w:t>
      </w:r>
      <w:r>
        <w:t xml:space="preserve"> insights, particularly, suited; EU scope visible. This is a provisional connection, not an outcome finding.</w:t>
      </w:r>
    </w:p>
    <w:p>
      <w:pPr>
        <w:pStyle w:val="SourceNote"/>
      </w:pPr>
      <w:r>
        <w:rPr>
          <w:b/>
        </w:rPr>
        <w:t>Available abstract (not full text):</w:t>
      </w:r>
      <w:r>
        <w:t xml:space="preserve"> Abstract This chapter discusses three genres concerned with argumentative advocacy of or against certain positions. The dialogue, a genre with deep ancient roots, was by its very nature suitable for the discussion of controversial subjects. The dissertation, an extremely prolific genre in Central and Northern Europe, was originally the basis of a disputatio, an academic exercise in scholarly argumentation; from the eighteenth century, it began to evolve into the proof of a candidate’s scientific capacity which it is today. Dissertations were avidly collected by some because of the novelty of their contents. Innovativeness was also a hallmark of the monograph, the focused treatment of a single, coherent topic, which rose to new prominence in early modern times. Medium-sized, neatly structured, and thoroughly argued, this type of book was particularly well suited to the presentation of new insights and theories.</w:t>
      </w:r>
    </w:p>
    <w:p>
      <w:pPr>
        <w:pStyle w:val="Heading2"/>
      </w:pPr>
      <w:r>
        <w:t>1011. Trends and Possible Future Developments in Global Forest-Product Markets—Implications for the Swedish Forest Sector</w:t>
      </w:r>
    </w:p>
    <w:p>
      <w:pPr>
        <w:pStyle w:val="SourceNote"/>
      </w:pPr>
      <w:r>
        <w:rPr>
          <w:b/>
        </w:rPr>
        <w:t>Original source (2011):</w:t>
      </w:r>
      <w:r>
        <w:t xml:space="preserve"> https://doi.org/10.3390/f2010147</w:t>
      </w:r>
    </w:p>
    <w:p>
      <w:pPr/>
      <w:r>
        <w:t>Original wording (abstract; indexed_source_text_not_full_document_verified): These so-called critical uncertainties were found to be degrees to which: (i) current patterns of globalization will continue, or be replaced by regionalism, and (ii) concern about the environment, particularly climate change, related policy initiatives and customer preferences, will materialize. The overall future of the Swedish solid wood-product industry looks bright, irrespective of which of the four possible futures occurs, provided it accommodates the expected growth in demand for factory-made, energy-efficient construction components.</w:t>
      </w:r>
    </w:p>
    <w:p>
      <w:pPr/>
      <w:r>
        <w:rPr>
          <w:b/>
        </w:rPr>
        <w:t>POSSIBLE 2025:</w:t>
      </w:r>
      <w:r>
        <w:t xml:space="preserve"> Editorial: Critical perspectives in times of uncertainty — https://doi.org/10.1108/dpm-08-2025-435</w:t>
      </w:r>
    </w:p>
    <w:p>
      <w:pPr/>
      <w:r>
        <w:rPr>
          <w:b/>
        </w:rPr>
        <w:t>Shared claim-specific concepts:</w:t>
      </w:r>
      <w:r>
        <w:t xml:space="preserve"> critical, environment, climate; EU scope not established. This is a provisional connection, not an outcome finding.</w:t>
      </w:r>
    </w:p>
    <w:p>
      <w:pPr>
        <w:pStyle w:val="SourceNote"/>
      </w:pPr>
      <w:r>
        <w:rPr>
          <w:b/>
        </w:rPr>
        <w:t>Available abstract (not full text):</w:t>
      </w:r>
      <w:r>
        <w:t xml:space="preserve"> This special issue centers diverse voices of scholars, practitioners and community leaders and highlights different methods of communicating these critical approaches within the field of disasters, hazards and risks. Many scholars have reminded us that “critical” scholarship and approaches are not necessarily new. This special issue serves as a testament to scholars, activists and practitioners who have sought to employ critical approaches to their work and its continuous development. Just in the past couple of years, the global community has witnessed and experienced the dire effects of climate change, the COVID-19 pandemic, the development of the Ukraine–Russia war, the genocide in Gaza and, most recently, the involvement of the United States in the developing conflict between Iran and Israel. These shifting realities, each with endless and complex possibilities, compel people to respond. Whether these events are labeled a crisis, an emergency, a disaster or a catastrophe, when humanity is threatened, when the constitution of acceptable risk reaches its threshold, people are called to respond. This special issue is dedicated to the recognition that critical perspectives evolve in times of uncertainty.In the face of uncertainty, vulnerable spaces become sites of contestation as people resist and adapt to satisfy their needs in a changing environment. Yet, change itself does no</w:t>
      </w:r>
    </w:p>
    <w:p>
      <w:pPr/>
      <w:r>
        <w:rPr>
          <w:b/>
        </w:rPr>
        <w:t>POSSIBLE 2025:</w:t>
      </w:r>
      <w:r>
        <w:t xml:space="preserve"> A Critical Review of the 2025 RSHE Guidance and Alternative Approach Framed in Safe Uncertainty — https://doi.org/10.1111/chso.70004</w:t>
      </w:r>
    </w:p>
    <w:p>
      <w:pPr/>
      <w:r>
        <w:rPr>
          <w:b/>
        </w:rPr>
        <w:t>Shared claim-specific concepts:</w:t>
      </w:r>
      <w:r>
        <w:t xml:space="preserve"> critical, concern; EU scope not established. This is a provisional connection, not an outcome finding.</w:t>
      </w:r>
    </w:p>
    <w:p>
      <w:pPr>
        <w:pStyle w:val="SourceNote"/>
      </w:pPr>
      <w:r>
        <w:rPr>
          <w:b/>
        </w:rPr>
        <w:t>Available abstract (not full text):</w:t>
      </w:r>
      <w:r>
        <w:t xml:space="preserve"> ABSTRACT This policy review critically examines the English government's 2025 statutory guidance on Relationships Education, Relationship and Sex Education and Health Education (RSHE), analysing its educational assumptions, strengths and limitations through the lens of safe uncertainty. While the updated guidance somewhat reinstates key inclusive elements and promotes social and emotional literacy, it continues to position RSHE as a risk domain requiring tight control and cautious delivery. This review highlights areas of concern including contradictions in the guidance's treatment of digital image sharing, the approach to gender and the conditional framing of children's rights and participation. Drawing on the concept of safe uncertainty, we advocate a more coherent rights‐based framework, clearer policy direction and sustained investment in teacher support and infrastructure. We call for RSHE policy and practice to move beyond compliance and certainty, and instead build relational, reflective and dialogic spaces where students can engage meaningfully with the ethical and social dimensions of their lives. In doing so, RSHE can fulfil its broader educational promise in preventing harm and supporting the flourishing of students as relational and sexual citizens.</w:t>
      </w:r>
    </w:p>
    <w:p>
      <w:pPr/>
      <w:r>
        <w:rPr>
          <w:b/>
        </w:rPr>
        <w:t>POSSIBLE 2025:</w:t>
      </w:r>
      <w:r>
        <w:t xml:space="preserve"> A Critical Review of the 2025 RSHE Guidance and Alternative Approach Framed in Safe Uncertainty — https://doi.org/10.1111/chso.13012</w:t>
      </w:r>
    </w:p>
    <w:p>
      <w:pPr/>
      <w:r>
        <w:rPr>
          <w:b/>
        </w:rPr>
        <w:t>Shared claim-specific concepts:</w:t>
      </w:r>
      <w:r>
        <w:t xml:space="preserve"> critical, concern; EU scope not established. This is a provisional connection, not an outcome finding.</w:t>
      </w:r>
    </w:p>
    <w:p>
      <w:pPr>
        <w:pStyle w:val="SourceNote"/>
      </w:pPr>
      <w:r>
        <w:rPr>
          <w:b/>
        </w:rPr>
        <w:t>Available abstract (not full text):</w:t>
      </w:r>
      <w:r>
        <w:t xml:space="preserve"> ABSTRACT This policy review critically examines the English government's 2025 statutory guidance on Relationships Education, Relationship and Sex Education and Health Education (RSHE), analysing its educational assumptions, strengths and limitations through the lens of safe uncertainty. While the updated guidance somewhat reinstates key inclusive elements and promotes social and emotional literacy, it continues to position RSHE as a risk domain requiring tight control and cautious delivery. This review highlights areas of concern including contradictions in the guidance's treatment of digital image sharing, the approach to gender and the conditional framing of children's rights and participation. Drawing on the concept of safe uncertainty, we advocate a more coherent rights‐based framework, clearer policy direction and sustained investment in teacher support and infrastructure. We call for RSHE policy and practice to move beyond compliance and certainty, and instead build relational, reflective and dialogic spaces where students can engage meaningfully with the ethical and social dimensions of their lives. In doing so, RSHE can fulfil its broader educational promise in preventing harm and supporting the flourishing of students as relational and sexual citizens.</w:t>
      </w:r>
    </w:p>
    <w:p>
      <w:pPr/>
      <w:r>
        <w:rPr>
          <w:b/>
        </w:rPr>
        <w:t>POSSIBLE 2025:</w:t>
      </w:r>
      <w:r>
        <w:t xml:space="preserve"> Uncertainty quantification for overshoots of tipping thresholds — https://doi.org/10.5194/esd-16-1153-2025</w:t>
      </w:r>
    </w:p>
    <w:p>
      <w:pPr/>
      <w:r>
        <w:rPr>
          <w:b/>
        </w:rPr>
        <w:t>Shared claim-specific concepts:</w:t>
      </w:r>
      <w:r>
        <w:t xml:space="preserve"> so-called, critical, uncertainties, current, climate; EU scope not established. This is a provisional connection, not an outcome finding.</w:t>
      </w:r>
    </w:p>
    <w:p>
      <w:pPr>
        <w:pStyle w:val="SourceNote"/>
      </w:pPr>
      <w:r>
        <w:rPr>
          <w:b/>
        </w:rPr>
        <w:t>Available abstract (not full text):</w:t>
      </w:r>
      <w:r>
        <w:t xml:space="preserve"> Abstract. Many subsystems of the Earth are at risk of undergoing abrupt transitions from their current stable state to a drastically different, and often less desired, state due to anthropogenic climate change. These so-called tipping events often present severe consequences for ecosystems and human livelihood that are difficult to reverse. One common mechanism for tipping to occur is via forcing a nonlinear system beyond a critical threshold that signifies self-amplifying feedbacks inducing tipping. However, previous work has shown that it is possible to briefly overshoot a critical threshold and avoid tipping. For some cases, the peak overshoot distance and the time a system can spend beyond a threshold are governed by an inverse square law relationship Ritchie et al. (2019). In the real world or complex models, critical thresholds and other system features are highly uncertain. In this work, we look at how such uncertainties affect the probability of tipping from the perspective of uncertainty quantification. We show the importance of constraining uncertainty in the location of the critical threshold and the linear restoring rate to the system’s stable state to better constrain the location of the boundary separating overshoots that avoid tipping from those that do not. We first prototypically analyse effects of an uncertain critical threshold location separately from effect</w:t>
      </w:r>
    </w:p>
    <w:p>
      <w:pPr/>
      <w:r>
        <w:rPr>
          <w:b/>
        </w:rPr>
        <w:t>POSSIBLE 2025:</w:t>
      </w:r>
      <w:r>
        <w:t xml:space="preserve"> Artificial Intelligence-Empowered Radiology—Current Status and Critical Review — https://doi.org/10.3390/diagnostics15030282</w:t>
      </w:r>
    </w:p>
    <w:p>
      <w:pPr/>
      <w:r>
        <w:rPr>
          <w:b/>
        </w:rPr>
        <w:t>Shared claim-specific concepts:</w:t>
      </w:r>
      <w:r>
        <w:t xml:space="preserve"> critical, current, particularly; EU scope not established. This is a provisional connection, not an outcome finding.</w:t>
      </w:r>
    </w:p>
    <w:p>
      <w:pPr>
        <w:pStyle w:val="SourceNote"/>
      </w:pPr>
      <w:r>
        <w:rPr>
          <w:b/>
        </w:rPr>
        <w:t>Available abstract (not full text):</w:t>
      </w:r>
      <w:r>
        <w:t xml:space="preserve"> Humanity stands at a pivotal moment of technological revolution, with artificial intelligence (AI) reshaping fields traditionally reliant on human cognitive abilities. This transition, driven by advancements in artificial neural networks, has transformed data processing and evaluation, creating opportunities for addressing complex and time-consuming tasks with AI solutions. Convolutional networks (CNNs) and the adoption of GPU technology have already revolutionized image recognition by enhancing computational efficiency and accuracy. In radiology, AI applications are particularly valuable for tasks involving pattern detection and classification; for example, AI tools have enhanced diagnostic accuracy and efficiency in detecting abnormalities across imaging modalities through automated feature extraction. Our analysis reveals that neuroimaging and chest imaging, as well as CT and MRI modalities, are the primary focus areas for AI products, reflecting their high clinical demand and complexity. AI tools are also used to target high-prevalence diseases, such as lung cancer, stroke, and breast cancer, underscoring AI's alignment with impactful diagnostic needs. The regulatory landscape is a critical factor in AI product development, with the majority of products certified under the Medical Device Directive (MDD) and Medical Device Regulation (MDR) in Class IIa or Class I categories,</w:t>
      </w:r>
    </w:p>
    <w:p>
      <w:pPr/>
      <w:r>
        <w:rPr>
          <w:b/>
        </w:rPr>
        <w:t>POSSIBLE 2024:</w:t>
      </w:r>
      <w:r>
        <w:t xml:space="preserve"> Lithium: critical, or not so critical? — https://doi.org/10.1144/geoenergy2023-045</w:t>
      </w:r>
    </w:p>
    <w:p>
      <w:pPr/>
      <w:r>
        <w:rPr>
          <w:b/>
        </w:rPr>
        <w:t>Shared claim-specific concepts:</w:t>
      </w:r>
      <w:r>
        <w:t xml:space="preserve"> critical, current, overall; EU scope not established. This is a provisional connection, not an outcome finding.</w:t>
      </w:r>
    </w:p>
    <w:p>
      <w:pPr>
        <w:pStyle w:val="SourceNote"/>
      </w:pPr>
      <w:r>
        <w:rPr>
          <w:b/>
        </w:rPr>
        <w:t>Available abstract (not full text):</w:t>
      </w:r>
      <w:r>
        <w:t xml:space="preserve"> Some metals necessary to deliver renewable energy are considered critical. Metal criticality is a major factor in achieving energy decarbonization, leading to efforts to make metals uncritical . Among the most critical is lithium which, like many critical metals, represents a small-scale market experiencing significant demand increase causing price and supply volatility, thereby hindering necessary transformative investment. Global lithium demand is soaring, with current supply now dominated by pegmatite-sourced lithium hydroxide. Clay extraction has yet to be industrially proven, thus there remains uncertainty from where and in what quantity future lithium supply will come, and whether lithium remains critical, however geoscience research is best focused on pegmatite and clay-sourced lithium to improve discovery and extraction. Of five lithium criticality scenarios (business as usual; clays onstream; everything plus recycling; shift away from lithium; black swan event), only two project a longer-term criticality reduction. However, few metals will be critical over the very long term as techno-economic and environmental, social, and governance challenges can be overcome and/or metal demand will be structurally adjusted by substitution. Although criticality may be a short to medium term barrier to the energy transition, effective research and overall market forces will reduce th</w:t>
      </w:r>
    </w:p>
    <w:p>
      <w:pPr/>
      <w:r>
        <w:rPr>
          <w:b/>
        </w:rPr>
        <w:t>POSSIBLE 2024:</w:t>
      </w:r>
      <w:r>
        <w:t xml:space="preserve"> Critical Disposition Towards the Uncertainty of Events – Aspirations, Endeavour and Plans of Future Teachers — https://doi.org/10.17951/j.2023.36.4.19-35</w:t>
      </w:r>
    </w:p>
    <w:p>
      <w:pPr/>
      <w:r>
        <w:rPr>
          <w:b/>
        </w:rPr>
        <w:t>Shared claim-specific concepts:</w:t>
      </w:r>
      <w:r>
        <w:t xml:space="preserve"> so-called, critical; EU scope not established. This is a provisional connection, not an outcome finding.</w:t>
      </w:r>
    </w:p>
    <w:p>
      <w:pPr>
        <w:pStyle w:val="SourceNote"/>
      </w:pPr>
      <w:r>
        <w:rPr>
          <w:b/>
        </w:rPr>
        <w:t>Available abstract (not full text):</w:t>
      </w:r>
      <w:r>
        <w:t xml:space="preserve"> Functioning in a situation of change and uncertainty has become an important determinant of contemporary teachers’ condition. The article assumes the essential role of critical dispositions (especially the so-called critical orientation): courage, reflectiveness, rationality, reality, scepticism, progressive engagement, intellectual submissiveness, principle, independence, flexibility and tolerance for ambiguity, mindfulness and openness, and curiosity as mediators in the purchase of critical rationality, as well as in coping with non-obviousness of events. The qualitative analysis of essays’ content for 66 future teachers of preschool and early school education was concentrated on decoding their aspirations and plans within the process of creating the status change and on revealing by narrators their critical dispositions. Adopting a qualitative text analysis strategy allowed for capturing an in-depth, contextual view of the examined problem. Analysis of the content and form of written statements indicate significant negligence of this development area for students, which may be a derivative of macro-social, educational and personal barriers. Within the light of elaborated research material, it seems to be a matter of great importance to promote the value of critical dispositions as well as to create and apply programmes developing them during the process of preparing future t</w:t>
      </w:r>
    </w:p>
    <w:p>
      <w:pPr/>
      <w:r>
        <w:rPr>
          <w:b/>
        </w:rPr>
        <w:t>POSSIBLE 2024:</w:t>
      </w:r>
      <w:r>
        <w:t xml:space="preserve"> The So-Called Creative PhD — https://doi.org/10.31182/cubic.2024.7.75</w:t>
      </w:r>
    </w:p>
    <w:p>
      <w:pPr/>
      <w:r>
        <w:rPr>
          <w:b/>
        </w:rPr>
        <w:t>Shared claim-specific concepts:</w:t>
      </w:r>
      <w:r>
        <w:t xml:space="preserve"> so-called, concern, particularly; EU scope not established. This is a provisional connection, not an outcome finding.</w:t>
      </w:r>
    </w:p>
    <w:p>
      <w:pPr>
        <w:pStyle w:val="SourceNote"/>
      </w:pPr>
      <w:r>
        <w:rPr>
          <w:b/>
        </w:rPr>
        <w:t>Available abstract (not full text):</w:t>
      </w:r>
      <w:r>
        <w:t xml:space="preserve"> This paper constitutes a short reflection on architectural research and knowledge production in the tertiary education sector, with particular reference to the establishment of a ‘creative’ PhD degree in South Africa. It arises from the growing interest in and pressure for the establishment of a practice-led (architecture) PhD. This interest has emerged predominantly from within performance-based disciplines whose application takes the form of practice-based and professionally produced work. In reflecting on the nature of PhDs and on various ‘alternative’ approaches, I conclude that the conventional PhD implicitly infers creativity and is entirely capable of sponsoring any performance-based PhD enquiry – particularly within practice-based disciplines in which theory and method have been critically identified to support appropriate investigations. Concern is therefore raised regarding the emerging predominance of an author’s self-evaluation of their own ‘creative’ production at the level of a PhD enquiry. On the one hand, knowledge remains largely embedded within the performance/production, and on the other hand, the subjectivity intrinsic to autoethnographic studies is noted for its privileging of the self over the other, and its method often follows what may be termed a self-fulfilling prophesy.</w:t>
      </w:r>
    </w:p>
    <w:p>
      <w:pPr/>
      <w:r>
        <w:rPr>
          <w:b/>
        </w:rPr>
        <w:t>POSSIBLE 2024:</w:t>
      </w:r>
      <w:r>
        <w:t xml:space="preserve"> Uncertainty quantification for overshoots of tipping thresholds — https://doi.org/10.5194/egusphere-egu24-8618</w:t>
      </w:r>
    </w:p>
    <w:p>
      <w:pPr/>
      <w:r>
        <w:rPr>
          <w:b/>
        </w:rPr>
        <w:t>Shared claim-specific concepts:</w:t>
      </w:r>
      <w:r>
        <w:t xml:space="preserve"> so-called, critical, uncertainties, found, current, climate; EU scope not established. This is a provisional connection, not an outcome finding.</w:t>
      </w:r>
    </w:p>
    <w:p>
      <w:pPr>
        <w:pStyle w:val="SourceNote"/>
      </w:pPr>
      <w:r>
        <w:rPr>
          <w:b/>
        </w:rPr>
        <w:t>Available abstract (not full text):</w:t>
      </w:r>
      <w:r>
        <w:t xml:space="preserve"> To tip or not to tip? Many subsystems of the Earth are at risk of undergoing abrupt transitions from their current stable state to a drastically different and often less desired state due to anthropogenic climate change. These so-called tipping events often present severe consequences for ecosystems and human livelihood that are difficult to reverse. One common mechanism for tipping to occur is via forcing and driving a nonlinear system beyond a critical threshold that signifies self-amplifying feedbacks inducing tipping. However, previous work has shown that it is possible to briefly overshoot a critical threshold and avoid tipping. Specifically, the peak distance of an overshoot and the time a system can spend beyond a threshold are governed by an inverse square law relationship. In the real world or complex models, critical thresholds and other system features determining the permitted overshoot are highly uncertain. In this presentation, we look at how such uncertainties affect the probability of tipping from the perspective of uncertainty quantification. We show the importance of constraining uncertainty in the location of the critical threshold and the linear restoring rate to the stable state to reduce the uncertainty in the probability of tipping. Using a simple box model for the Atlantic Meridional Overturning Circulation, we highlight the need to constrain the high un</w:t>
      </w:r>
    </w:p>
    <w:p>
      <w:pPr/>
      <w:r>
        <w:rPr>
          <w:b/>
        </w:rPr>
        <w:t>POSSIBLE 2023:</w:t>
      </w:r>
      <w:r>
        <w:t xml:space="preserve"> A Critical Comment on T.S. Kuhn’s Views about the So-called Copernican Revolution and Several Current Prejudices – Barriers in Scientific Communities — https://doi.org/10.4467/2543702xshs.23.004.17695</w:t>
      </w:r>
    </w:p>
    <w:p>
      <w:pPr/>
      <w:r>
        <w:rPr>
          <w:b/>
        </w:rPr>
        <w:t>Shared claim-specific concepts:</w:t>
      </w:r>
      <w:r>
        <w:t xml:space="preserve"> so-called, critical, current, about; EU scope not established. This is a provisional connection, not an outcome finding.</w:t>
      </w:r>
    </w:p>
    <w:p>
      <w:pPr>
        <w:pStyle w:val="SourceNote"/>
      </w:pPr>
      <w:r>
        <w:rPr>
          <w:b/>
        </w:rPr>
        <w:t>Available abstract (not full text):</w:t>
      </w:r>
      <w:r>
        <w:t xml:space="preserve"> The article is a case study on the views of the famous T.S. Kuhn about the so-called Copernican revolution. Generally, Kuhn is presented as a very successful historian and philosopher of science: an author of world bestsellers. The division among his supporters, i.e. about so-called left-wing and right-wing Kuhnians, is recalled, and the fact that Kuhn himself vehemently dissociated from a large proportion of his adherents. It is also noted here, that in the last 30 years, in addition to abundant hagiographic literature on T. S. Kuhn, there have also been a few critical studies of Kuhn’s achievements. The rest of the article presents the author’s critical analysis of Kuhn’s views on the so-called Copernican Revolution, which formed the basis of Kuhn’s scheme of scientific development presented in The Structure of Scientific Revolutions (1962); i.e. the world’s most famous monograph in social sciences and humanities so far. The criticism encompasses a genesis, content and reception of Kuhn’s views and the development of his interpretations. The analysis is carried out by the means of methodology of historical sciences and a scientific method, which the author describes as the hypothetico-deductive method of correspondence thinking. The criticism is based on the author’s current publications (developed here further on), which were sadly unnoticed by the researchers, although pres</w:t>
      </w:r>
    </w:p>
    <w:p>
      <w:pPr/>
      <w:r>
        <w:rPr>
          <w:b/>
        </w:rPr>
        <w:t>POSSIBLE 2023:</w:t>
      </w:r>
      <w:r>
        <w:t xml:space="preserve"> Knowledge, Integration and Scope of Deepfakes in Arts Education: The Development of Critical Thinking in Postgraduate Students in Primary Education and Master’s Degree in Secondary Education — https://doi.org/10.3390/educsci13111073</w:t>
      </w:r>
    </w:p>
    <w:p>
      <w:pPr/>
      <w:r>
        <w:rPr>
          <w:b/>
        </w:rPr>
        <w:t>Shared claim-specific concepts:</w:t>
      </w:r>
      <w:r>
        <w:t xml:space="preserve"> so-called, critical, current; EU scope not established. This is a provisional connection, not an outcome finding.</w:t>
      </w:r>
    </w:p>
    <w:p>
      <w:pPr>
        <w:pStyle w:val="SourceNote"/>
      </w:pPr>
      <w:r>
        <w:rPr>
          <w:b/>
        </w:rPr>
        <w:t>Available abstract (not full text):</w:t>
      </w:r>
      <w:r>
        <w:t xml:space="preserve"> If the appearance of digital images does not coincide with what they look like when they are presented as authentic photos or videos, we must reflect on concepts such as mimesis, truth, Artificial Intelligence and impersonation, something that is currently gaining prominence in the education of teachers and university professors. The current study presents the results of a research focused on the scope and knowledge of the so-called ‘deepfake images’ by the university student body of the Visual and Plastic Education subject, in the Graduate Certificate in Primary Education, and the student body of the Activity Design subject, in the master’s degree in Secondary Education—Specialty in Drawing, in the subject of Activity Design, University of Zaragoza. To do so, a quasi-experimental design with qualitative methodology was used, in which of 100 students participated. As a data collection strategy, reports were used, based on semi-structured questions, for the analysis of the development of critical thinking. The achieved results allow us to verify that deepfakes put forward an innovation in the study by university classrooms. The use of these deepfake representations is a novel issue that generates some moral and ethical controversy due to the different uses it can have, where the age of the interpreter is a differentiating factor for the knowledge and the possibilities that these</w:t>
      </w:r>
    </w:p>
    <w:p>
      <w:pPr/>
      <w:r>
        <w:rPr>
          <w:b/>
        </w:rPr>
        <w:t>POSSIBLE 2023:</w:t>
      </w:r>
      <w:r>
        <w:t xml:space="preserve"> Solar radiation modification is risky, but so is rejecting it: a call for balanced research — https://doi.org/10.1093/oxfclm/kgad002</w:t>
      </w:r>
    </w:p>
    <w:p>
      <w:pPr/>
      <w:r>
        <w:rPr>
          <w:b/>
        </w:rPr>
        <w:t>Shared claim-specific concepts:</w:t>
      </w:r>
      <w:r>
        <w:t xml:space="preserve"> degrees, climate; EU scope not established. This is a provisional connection, not an outcome finding.</w:t>
      </w:r>
    </w:p>
    <w:p>
      <w:pPr>
        <w:pStyle w:val="SourceNote"/>
      </w:pPr>
      <w:r>
        <w:rPr>
          <w:b/>
        </w:rPr>
        <w:t>Available abstract (not full text):</w:t>
      </w:r>
      <w:r>
        <w:t xml:space="preserve"> As it is increasingly uncertain whether humanity can limit global warming to 1.5 degrees, Solar Radiation Modification (SRM) has been suggested as a potential temporary complement to mitigation. While no replacement for mitigation, evidence to date suggests that some SRM methods could contribute to reducing climate risks and would be technically feasible. But such interventions would also pose environmental risks and unprecedented governance challenges. The risks of SRM must be carefully weighed against those of climate change without SRM. Currently, both types of risks are not sufficiently understood to assess whether SRM could be largely beneficial. Given the already serious impacts of climate change and the possibility that pressure from their increasing severity will trigger rash decisions, we argue that timely, careful investigation and deliberation on SRM is a safer path than wilful ignorance. A framework of ethical guidelines and regulation can help limit potential risks from SRM research.</w:t>
      </w:r>
    </w:p>
    <w:p>
      <w:r>
        <w:br w:type="page"/>
      </w:r>
    </w:p>
    <w:p>
      <w:pPr>
        <w:pStyle w:val="Heading1"/>
      </w:pPr>
      <w:r>
        <w:t>How historical research connects to later developments</w:t>
      </w:r>
    </w:p>
    <w:p>
      <w:r>
        <w:t>Research integration · 25 October 2026. These contextual notes connect earlier research to later developments. The separate LLM investigation was used as a research guide; descriptions below are condensed and reworded. Its quantitative and source-specific claims are not independently reverified in this update. This section does not classify earlier studies as right or wrong.</w:t>
      </w:r>
    </w:p>
    <w:p>
      <w:r>
        <w:t>The supplementary screening covers 5,803 suggested pairings. Screening categories include spurious: 3,628, domain: 1,550, context: 522, update: 53, outcome: 50. These categories describe relevance to the historical subject, not prediction accuracy.</w:t>
      </w:r>
    </w:p>
    <w:p>
      <w:pPr>
        <w:pStyle w:val="Heading2"/>
      </w:pPr>
      <w:r>
        <w:t>null (not in catalogue; scanner lead 509): Are EU climate ambitions reflected at member-state level? (2022)</w:t>
      </w:r>
    </w:p>
    <w:p>
      <w:r>
        <w:t>Earlier perspective.  Poschmann, Bach &amp; Finkbeiner, Energy Strategy Reviews 43 (2022) 100936. All 12 pages were read from the TU Berlin repository copy; the Elsevier DOI page could not be fetched. The paper compares EU-level targets with member-state contributions. EU targets: NDC 2015 −40% and NDC 2020 −55% vs 1990; renewable share (RES) 32% under RED II and 40% under the July 2021 RED III proposal. Member-state contributions: the 2018 ESR national targets, the two July 2021 ESR proposal options (option 1: −40% vs 2005, national range −10% to −50%; option 2: −35%)</w:t>
      </w:r>
    </w:p>
    <w:p>
      <w:r>
        <w:t>Developments since.    - Total GHG, Eurostat env_air_gge, EU27, updated 2 June 2026:     - Excluding LULUCF: 4,866.9 Mt (1990), 4,168.8 (2010), 3,574.5 (2019), 3,280.9 (2020), 3,452.7 (2021), 3,359.6 (2022), 3,088.3 (2023), 3,017.2 (2024). That is −38.0% vs 1990 and −33.5% vs 2005 in 2024.     - Compound annual change (my calc): −1.69%/yr over 2010–2019 vs −3.33%/yr over 2019–2024. Year-on-year 2024: −2.3%.     - Net including LULUCF: 4,608.5 Mt (1990), 3,338.2 (2019), 2,786.2 (2024), i.e. −39.5% vs 1990 in 2024.     - The EEA's −39.0% domestic net for 2024 (below) was based on Member States' approximated 2024 inventories. The small gap from Eurostat's −39.5% re</w:t>
      </w:r>
    </w:p>
    <w:p>
      <w:r>
        <w:t>How these connect.  The paper's core arithmetic was sound and its RES diagnosis has held up. During 2019–2023, total EU emissions fell at about the ~3%/yr pace the −55% target implies. My calc from the paper's own 1990–2019 total of −33% gives a similar all-sector requirement of about 3.0% of the 2019 level per year. That pace came partly from one-off shocks (COVID-19 in 2020, the 2022–2023 energy crisis) and from ETS sectors, which the paper's −3% figure did not cover. In the ESR sectors the paper actually addressed, the pace came close to its −2.9%/yr (about 2.6%/yr) but stayed below it. The ESR comparison mix</w:t>
      </w:r>
    </w:p>
    <w:p>
      <w:r>
        <w:t>Research source trail (starting point): https://depositonce.tu-berlin.de/items/72426f9f-309e-4728-b441-9eae09b4df5f/full:</w:t>
      </w:r>
    </w:p>
    <w:p>
      <w:r>
        <w:t>Catalogue record: 509</w:t>
      </w:r>
    </w:p>
    <w:p>
      <w:pPr>
        <w:pStyle w:val="Heading2"/>
      </w:pPr>
      <w:r>
        <w:t>238 and 239 (same article entered twice): Climate change mitigation: evidences from the European scenario (2018)</w:t>
      </w:r>
    </w:p>
    <w:p>
      <w:r>
        <w:t>Earlier perspective.  D'Adamo, Miliacca &amp; Schettini, Int. J. Management and Network Economics 4(2): 95–114 (2018). The full text is paywalled, and no repository copy was found by any route:   - Inderscience offers page: full text for subscribers only.   - IDEAS/RePEc: marked restricted.   - OpenAlex: closed access, no repository full text.   - inderscienceonline.com: HTTP 403.   - Sapienza IRIS: no result.   - Semantic Scholar API: rate-limited (HTTP 429).</w:t>
      </w:r>
    </w:p>
    <w:p>
      <w:r>
        <w:t>Developments since.    - 2020 targets: The EEA marks the 2020 targets for GHG, final energy, primary energy and RES as reached (Trends and projections 2025, Figure 1.2). EU27 RES was 22.0% in 2020 (Eurostat nrg_ind_ren) against a 20% target (target per Poschmann et al. 2022, Table 7). EU27 GHG excluding LULUCF was 3,280.9 Mt in 2020, −32.6% vs 1990 (Eurostat env_air_gge; my calc), against the −20% target (Poschmann et al. 2022, background).   - 2030 targets, since superseded:     - Regulation (EU) 2021/1119 (European Climate Law), Art. 4(1): a binding 2030 cut in net GHG of at least 55% vs 1990, with net removals counting for at most 225 Mt CO2e.     - Renewable</w:t>
      </w:r>
    </w:p>
    <w:p>
      <w:r>
        <w:t>How these connect.  The scanner's links do not test anything the study claimed. The checkable content of the study is its 2015 country assessments against the 2020 targets, and I could not read those (paywalled). The catalogue excerpt should be treated as background rather than a claim.</w:t>
      </w:r>
    </w:p>
    <w:p>
      <w:r>
        <w:t>Research source trail (starting point): https://inderscience.com/offers.php?id=95079:</w:t>
      </w:r>
    </w:p>
    <w:p>
      <w:r>
        <w:t>Catalogue record: 238, 239</w:t>
      </w:r>
    </w:p>
    <w:p>
      <w:pPr>
        <w:pStyle w:val="Heading2"/>
      </w:pPr>
      <w:r>
        <w:t>189: A New Climate for Europe: 2030 Climate Targets Must Be More Ambitious (2019)</w:t>
      </w:r>
    </w:p>
    <w:p>
      <w:r>
        <w:t>Earlier perspective.  Oei, Hainsch, Löffler, von Hirschhausen, Holz &amp; Kemfert, DIW Weekly Report 40+41/2019, pp. 365–372. Read in full (8 pp. PDF).   - Model and scope: GENeSYS-MOD v2.0, a cost-minimising energy system model. It covers electricity, heat and transport only, leaving out parts of industry and agriculture. Europe is split into 17 nodes, including Great Britain. It runs 2020–2050 in five-year steps with perfect foresight and 2018 cost data.   - Constraint: a CO2 budget for Europe of 51.60 Gt, a population share of an 890 Gt global budget from 2015, to s</w:t>
      </w:r>
    </w:p>
    <w:p>
      <w:r>
        <w:t>Developments since.    - Regulation (EU) 2021/1119: Art. 4(1) sets a binding 2030 target of at least a 55% cut in net GHG vs 1990, with net removals counting for at most 225 Mt CO2e. Art. 2(1) requires emissions and removals to balance within the EU by 2050 at the latest.   - EEA, Trends and projections 2025, §1.1: EU environment ministers formally agreed on 5 November 2025 to an additional interim target of −90% net GHG by 2040.   - Regulation (EU) 2026/667 of 11 March 2026 (OJ L, 18 March 2026), amending the ECL:     - New Art. 4(3): a binding 2040 target of −90% net GHG vs 1990.     - New Art. 4(4)(a): from 2036, high-quality international credits under Paris</w:t>
      </w:r>
    </w:p>
    <w:p>
      <w:r>
        <w:t>How these connect.  The direction of policy matched the recommendation; the level did not. I cannot attribute the change to this report, since many actors called for higher targets in 2019–2020. DIW's BAU was too pessimistic in hindsight: economy-wide emissions reached about −38% by 2024, six years early. That comparison is approximate because DIW modelled energy-sector CO2 for a wider Europe.</w:t>
      </w:r>
    </w:p>
    <w:p>
      <w:r>
        <w:t>Research source trail (starting point): https://www.diw.de/de/diw_01.c.683047.de/publikationen/weekly_reports/2019_40_1/a_new_climate_for_europe__2030_climate_targets_must_be_more_ambitious.html:</w:t>
      </w:r>
    </w:p>
    <w:p>
      <w:r>
        <w:t>Catalogue record: 189</w:t>
      </w:r>
    </w:p>
    <w:p>
      <w:pPr>
        <w:pStyle w:val="Heading2"/>
      </w:pPr>
      <w:r>
        <w:t>106: On European Green Deal and Sustainable Development Policy (the Case of Romania) (2021)</w:t>
      </w:r>
    </w:p>
    <w:p>
      <w:r>
        <w:t>Earlier perspective.  Ciot, Sustainability 13 (2021) 12233, 17 pp., read in full. mdpi.com returned HTTP 403, so I used the identical PDF on MDPI's file server.   - The excerpt is the abstract's opening sentence: "Reaching the EU climate-neutrality objective in 2050 is very ambitious". The sentence goes on to single out the Central-Eastern European member states.   - The paper is a qualitative policy analysis of documents, discourse and comparison, covering December 2019 to October 2021. It builds a three-level model (strategic, administrative, outcomes) and applie</w:t>
      </w:r>
    </w:p>
    <w:p>
      <w:r>
        <w:t>Developments since.    - Net GHG including LULUCF, 2024, index 1990 = 100 (Eurostat sdg_13_10, updated 22 April 2026):     - CEE: RO 27.7, PL 73.0, BG 42.2, CZ 49.6, HU 51.6, SK 44.4, HR 83.2, SI 77.5, EE 33.5, LV 89.9, LT 24.0.     - Comparators: DE 54.9, FR 62.6, IT 59.0, ES 87.2.     - EU27 about 60.5 (my calc from env_air_gge: 2,786.2 / 4,608.5 Mt).     - Measured from 1990, most CEE states are ahead of the EU, largely because of post-1990 restructuring.   - GHG excluding LULUCF, change 2005 → 2024 (my calc from sdg_13_10 Mt series):     - CEE: RO −32.6%, PL −14.6%, BG −30.7%, CZ −34.4%, HU −30.6%, SK −34.9%, HR −15.1%, SI −24.8%, EE −46.9%, LV −12.7%, LT −1</w:t>
      </w:r>
    </w:p>
    <w:p>
      <w:r>
        <w:t>How these connect.  The data do not support treating Central-Eastern Europe as one laggard bloc. Poland stands out on most indicators: smallest GHG cut since 2005, coupled growth and CO2, low RES, and rising energy use. Croatia, Slovenia and the Baltic states lag on some indicators, while Romania, Czechia and Slovakia track the EU average since 2005. Romania specifically shows deep cuts since 1990 and 2005 and an RES share at the EU average, but its ESR emissions were above allocation in 2024 and its buildings emissions are rising. That is consistent with the paper's concern about implementation capacity, but it</w:t>
      </w:r>
    </w:p>
    <w:p>
      <w:r>
        <w:t>Research source trail (starting point): https://mdpi-res.com/d_attachment/sustainability/sustainability-13-12233/article_deploy/sustainability-13-12233.pdf:</w:t>
      </w:r>
    </w:p>
    <w:p>
      <w:r>
        <w:t>Catalogue record: 106</w:t>
      </w:r>
    </w:p>
    <w:p>
      <w:pPr>
        <w:pStyle w:val="Heading2"/>
      </w:pPr>
      <w:r>
        <w:t>490 — iTREN-2030: EU27 transport energy use and GHG to 2030 (2011)</w:t>
      </w:r>
    </w:p>
    <w:p>
      <w:r>
        <w:t>Earlier perspective. Original claim (Source; abstract, precursor paper and project report read in full; TRR article full text not obtained): Schade &amp; Wiesenthal, Transportation Research Record 2252: 31–39. Crossref dates it to January 2011; the JRC repository lists 2012-10-01.   - Access: The TRR article is closed access (OpenAlex), and the SAGE/DOI hosts were blocked in this session. I read four things instead:     - the full TRR abstract (Crossref);     - the JRC repository record;     - the full precursor WCTR Lisbon paper by B. Schade (same analysis, with preli</w:t>
      </w:r>
    </w:p>
    <w:p>
      <w:r>
        <w:t>Developments since.    - Emissions inventory. Eurostat `env_air_gge`, updated 2 June 2026, EU27_2020, Mt CO2e.     - Fuel combustion in transport (CRF 1.A.3): 674.7 (1990), 849.9 (2005), 834.8 (2019), 722.5 (2020), 795.6 (2023), 804.8 (2024).     - Change vs 2005: −1.8% (2019), −15.0% (2020), −6.4% (2023), −5.3% (2024).     - Adding the international aviation and navigation memo items (1.D.1.a and 1.D.1.b): 1,099.0 (2005) and 1,061.8 (2024). Change vs 2005: +0.4% (2019), −18.2% (2020), −5.3% (2023), −3.4% (2024).   - The study's own geography (my approximation). EU27_2020, minus Croatia (`env_air_gge`), plus the UK (DfT/DESNZ ENV0201a, updated 14 July 2026; UK d</w:t>
      </w:r>
    </w:p>
    <w:p>
      <w:r>
        <w:t>How these connect.    - The scenario's drivers have so far fallen short:     - Energy demand is flat, against about −7% on the scenario path by 2024 (my interpolation).     - Biofuels are about 6% of transport energy, against about 12% on the path.     - The BEV fleet share was 0.44% in 2020 against 5.0% projected, and 2.9% in 2025 against about 7.4% interpolated.   - A smaller cut than projected is therefore internally consistent.   - Rapid new-car electrification since 2020 and tighter post-2021 EU policy have not yet changed the stock enough.   - Boundary ambiguity (about 2–3 points), geography (the UK adds a</w:t>
      </w:r>
    </w:p>
    <w:p>
      <w:r>
        <w:t>Research source trail (starting point): https://api.crossref.org/works/10.3141/2252-05</w:t>
      </w:r>
    </w:p>
    <w:p>
      <w:r>
        <w:t>Catalogue record: 490</w:t>
      </w:r>
    </w:p>
    <w:p>
      <w:pPr>
        <w:pStyle w:val="Heading2"/>
      </w:pPr>
      <w:r>
        <w:t>149 — EU road vehicle energy use and CO2 by 2050: expert-based scenarios (2020)</w:t>
      </w:r>
    </w:p>
    <w:p>
      <w:r>
        <w:t xml:space="preserve">Earlier perspective.  Krause, Thiel, Tsokolis, Samaras, Rota, Ward, Prenninger, Coosemans, Neugebauer &amp; Verhoeve, Energy Policy 138: 111224 (2020), CC BY. Full published PDF from the University of Brighton repository.   - Scope: the technical potential to cut tank-to-wheel (TTW), real-world CO2 from EU28 road transport by 2050.   - Baseline:     - 2050 activity is calibrated to the EU Reference Scenario 2016: 5.1 trillion vehicle-km, about +15% vs 2016 (Table 1).     - Conventional vehicles stay at 2015 new-vehicle efficiency; the authors call this a "worst case". </w:t>
      </w:r>
    </w:p>
    <w:p>
      <w:r>
        <w:t>Developments since.    - Road emissions. Eurostat `env_air_gge`, road transportation (CRF 1.A.3.b), EU27_2020, updated 2 June 2026.     - CO2: 609.6 Mt (1990), 788.9 (2005), 746.7 (2015), 781.0 (2019), 680.1 (2020), 748.7 (2023), 757.7 (2024). In 2024 that is +24.3% vs 1990.     - GHG: 620.6 Mt (1990) and 767.0 Mt (2024), +23.6%.     - A 90% cut vs 1990 would mean about 61 Mt CO2 for the EU27. These figures are EU27, not the paper's EU28.   - EDGAR 2026 (PDF p. 24): road transport fell 4.1% from 2005 to 2025.   - Car fleet. Eurostat `road_eqs_carpda`: BEV share of the stock 1.73% (2023), 2.22% (2024), 2.88% (2025); BEV plus PHEV 3.04%, 3.76% and 4.76%. EEA T&amp;P 2</w:t>
      </w:r>
    </w:p>
    <w:p>
      <w:r>
        <w:t>How these connect.    - The structural findings fit later policy and the thesis: electrification is the main lever, the measures add less than 20 points, and heavy-duty vehicles dominate what remains.   - Uncertainties:     - The baselines differ: the paper uses about 700 Mt (EU28, real-world modelled), the EU27 inventory 610 Mt.     - The durability of the 2035 and 2040 standards is uncertain.     - Upstream electricity emissions fall outside TTW accounting.</w:t>
      </w:r>
    </w:p>
    <w:p>
      <w:r>
        <w:t>Research source trail (starting point): https://api.openalex.org/works/doi:10.1016/j.enpol.2019.111224</w:t>
      </w:r>
    </w:p>
    <w:p>
      <w:r>
        <w:t>Catalogue record: 149</w:t>
      </w:r>
    </w:p>
    <w:p>
      <w:pPr>
        <w:pStyle w:val="Heading2"/>
      </w:pPr>
      <w:r>
        <w:t>309 — EV sales competition and sensitivity to charging infrastructure in Europe (2016)</w:t>
      </w:r>
    </w:p>
    <w:p>
      <w:r>
        <w:t>Earlier perspective.  Harrison &amp; Thiel, Technological Forecasting &amp; Social Change 114: 165–178 (online August 2016; CC BY-NC-ND). Full text from White Rose eprints.   - Model and scenarios:     - JRC's PTTMAM system-dynamics market-agent model covers EU28 member states, 1995–2050.     - Runs combine CO2 regulation (R0–R3), purchase subsidies (P0–P4) and hypothetical 100% infrastructure subsidies (I1–I3).     - Authorities by default target 10 plug-in vehicles (PiEV) per public point (pCP), the indicative DAFI ratio.   - Findings:     - Infrastructure subsidies move</w:t>
      </w:r>
    </w:p>
    <w:p>
      <w:r>
        <w:t>Developments since.    - Plug-in stock. Eurostat `road_eqs_carpda`, updated 20 October 2026: the EU27 BEV plus PHEV share of the stock was 3.04% (2023), 3.76% (2024), 4.76% (2025). The EU is only now reaching the claim's roughly 5% threshold.   - Public recharging points. Eurostat `road_if_rchev`, updated 13 October 2026; EU27 sums of reported points:     - 396,036 in 2022 (8 member states missing).     - 599,505 in 2023 (IE, IT, LT missing).     - 896,652 in 2024 (IE, LT missing).     - 872,970 in 2025 (DE, EE missing).     - Like-for-like growth: +41.0% in 2023–24 (24 member states) and +18.0% in 2024–25 (23).</w:t>
      </w:r>
    </w:p>
    <w:p>
      <w:r>
        <w:t>How these connect.    - The aggregate EU data cannot yet test the roughly 5% stock threshold, which was reached only in 2025.   - The "little gain beyond 1 per 10" piece is plausible, but no causal European test was found, and the cost side could not be verified.   - The model's own baseline badly underestimated sales (about 21% plug-in share by 2022–2024 against 20% by 2030), so its absolute paths aged poorly, as the authors warned they might.</w:t>
      </w:r>
    </w:p>
    <w:p>
      <w:r>
        <w:t>Research source trail (starting point): https://api.openalex.org/works/doi:10.1016/j.techfore.2016.08.007</w:t>
      </w:r>
    </w:p>
    <w:p>
      <w:r>
        <w:t>Catalogue record: 309</w:t>
      </w:r>
    </w:p>
    <w:p>
      <w:pPr>
        <w:pStyle w:val="Heading2"/>
      </w:pPr>
      <w:r>
        <w:t>379 — Ocean energy development in Europe: current status and future perspectives (2015)</w:t>
      </w:r>
    </w:p>
    <w:p>
      <w:r>
        <w:t>Earlier perspective.  Magagna &amp; Uihlein (European Commission JRC), Int. J. Marine Energy 11: 84–104, open access (CC BY-NC-ND), read in full from the Tethys copy. The abstract (p. 84) says the EU aims at 100 GW of combined wave and tidal capacity by 2050. In the body (Introduction, pp. 85–86) the same figure is credited to industry rather than EU institutions ("The sector aims to install 100 GW of wave and tidal energy capacity"), citing ref. [1], SI Ocean (2014), Wave and tidal energy market deployment strategy for Europe. The authors' own statements about the fut</w:t>
      </w:r>
    </w:p>
    <w:p>
      <w:r>
        <w:t>Developments since.    - EU-27 capacity: Eurostat `nrg_inf_epcrw`, category RA500 "Tide, wave, ocean", net maximum electrical capacity in MW (dataset updated 9 Oct 2026).     - EU-27 totals: 214.7 MW in 2024, 216.0 MW in 2010, 225.8 MW in 2014.     - By country in 2024: France 209.9 MW, Spain 4.8 MW, Portugal 0.0 MW. The UK last reported 20.4 MW (2019).     - The EU total is essentially France's tidal barrage at La Rance, built in 1966 (240 MW according to the Ocean Energy Forum Roadmap, Section 1.3). There has been no net growth since the paper.   - EU-27 generation: Eurostat `nrg_bal_peh`, RA500, gross electricity production (dataset updated 2 Jun 2026). EU-27</w:t>
      </w:r>
    </w:p>
    <w:p>
      <w:r>
        <w:t>How these connect.  High confidence on who set the figure and on the size of the gap. Uncertainties:   - I did not open the 2013 Vision Paper or the SI Ocean 2014 strategy themselves. The attribution rests on the 2016 Roadmap footnote, OEE's 2020 paper and press coverage from 2014.   - Eurostat's RA500 category lumps tidal barrage, wave and tidal stream together.   - OEE figures are compiled by the industry and include the UK, which has been outside the EU since 2020.    The 2050 horizon is still open, but reaching 100 GW (or even 40 GW) would need growth of several thousand times from 2025 levels.</w:t>
      </w:r>
    </w:p>
    <w:p>
      <w:r>
        <w:t>Research source trail (starting point): https://tethys-engineering.pnnl.gov/sites/default/files/publications/Magagna_Uihlein-2015.pdf</w:t>
      </w:r>
    </w:p>
    <w:p>
      <w:r>
        <w:t>Catalogue record: 379</w:t>
      </w:r>
    </w:p>
    <w:p>
      <w:pPr>
        <w:pStyle w:val="Heading2"/>
      </w:pPr>
      <w:r>
        <w:t>358 — Assessing the impacts of technology improvements on the deployment of marine energy in Europe with an energy system perspective (2015/2016)</w:t>
      </w:r>
    </w:p>
    <w:p>
      <w:r>
        <w:t>Earlier perspective.  Sgobbi, Simões, Magagna &amp; Nijs (EC JRC), Renewable Energy 89 (2016): 515–525 (online December 2015; CC BY-NC-ND). Read in full from the Tethys copy.   - Method: the JRC-EU-TIMES linear-optimisation model of EU28+ for 2005–2050. Tidal and wave are each modelled as one aggregate technology. Two policy scenarios: Current Policy Initiatives (CPI: 20-20-20 targets, emissions trading to 2050, no long-term cap) and CAP (CO2 80% below 1990 by 2050) (Table 4).   - Baseline assumptions (Tables 2–3, Section 3.2):     - capital cost, wave: EUR(2010) 4,070</w:t>
      </w:r>
    </w:p>
    <w:p>
      <w:r>
        <w:t>Developments since.    - Deployment:     - EU-27 "Tide, wave, ocean" capacity: 214.7 MW in 2024, flat since 2010 and almost all La Rance (Eurostat `nrg_inf_epcrw`, RA500). Generation 467.8 GWh in 2024 (Eurostat `nrg_bal_peh`, RA500).     - The paper's baseline tidal output (0.63 TWh a year, presumably La Rance) and its 0.2 GW installed in 2020 are both close to what Eurostat shows: about 0.5 TWh and about 0.2 GW.     - New wave and tidal stream capacity in Europe stayed tiny. In the water at the end of 2024: 12.7 MW tidal and 0.83 MW wave; tidal output 13.4 GWh (2024) and 16.2 GWh (2025) (OEE Stats &amp; Trends 2024 p. 9; Market Outlook 2025 p. 10).   - Wave: no wav</w:t>
      </w:r>
    </w:p>
    <w:p>
      <w:r>
        <w:t>How these connect.    - The quick pass's reading (outcome contradicts a "significant-role expectation") gets the paper backwards: the paper's own results were sceptical, and later evidence matches its baseline.   - Medium-to-high confidence for 2020–2025. The match at 2020 is partly mechanical: no new deployment in the model, little in reality, and La Rance dominates both.   - The 40% cost-reduction claim is the sector's own figure, and I found no comparable LCOE series to test the paper's cost assumptions (EUR 3,285/kW for tidal in 2020).</w:t>
      </w:r>
    </w:p>
    <w:p>
      <w:r>
        <w:t>Research source trail (starting point): https://tethys-engineering.pnnl.gov/publications/assessing-impacts-technology-improvements-deployment-marine-energy-europe-energy</w:t>
      </w:r>
    </w:p>
    <w:p>
      <w:r>
        <w:t>Catalogue record: 358</w:t>
      </w:r>
    </w:p>
    <w:p>
      <w:pPr>
        <w:pStyle w:val="Heading2"/>
      </w:pPr>
      <w:r>
        <w:t>399 — Assessing the prospective resource base for enhanced geothermal systems in Europe (2014)</w:t>
      </w:r>
    </w:p>
    <w:p>
      <w:r>
        <w:t>Earlier perspective.  Limberger et al., Geothermal Energy Science 2: 55–71 (GEOELEC project, Intelligent Energy Europe), read in full. The study builds a 3-D conductive temperature model of onshore Europe (10 km × 10 km × 250 m cells, down to 10 km depth). Over it, it runs a discounted-cash-flow model for 2020, 2030 and 2050 technology scenarios (Table 3, p. 61).   - Typical case: a hypothetical enhanced geothermal system (EGS) near the Rhine Graben, reservoir at 5,000 m and 200 °C (pp. 63–64). Its levelised cost of energy (LCOE) is EUR 215/MWh in 2020, EUR 127/MWh</w:t>
      </w:r>
    </w:p>
    <w:p>
      <w:r>
        <w:t>Developments since.    - No official series of European EGS LCOE exists. No agency publishes realised European EGS generation costs, so the cost path cannot be checked against official statistics. Direct European cost observations: could not verify. I could not reach the IEA Future of Geothermal Energy (2024; Cloudflare block) or the US DOE Liftoff report (proxy 502).   - Policy proxy, German EEG 2023 §45 (gesetze-im-internet.de, fetched Oct 2026):     - the statutory support value for geothermal electricity is 25.20 ct/kWh, i.e. EUR 252/MWh;     - it falls 0.5% a year from 2024, with faster cuts only once total capacity passes 120 MW.      This guaranteed level</w:t>
      </w:r>
    </w:p>
    <w:p>
      <w:r>
        <w:t>How these connect.  Medium confidence. The paper's numbers are explicitly conditional scenario outputs, so a missed 2020 milestone mainly shows its technology assumptions (flow rate, stimulation, drilling) were optimistic for Europe, not that the model failed. There is no direct European LCOE observation; the EEG tariff is a policy proxy, and the US cost data may not transfer to European geology. The scanner's group pick (Franken) was more useful than its "outcome" picks.</w:t>
      </w:r>
    </w:p>
    <w:p>
      <w:r>
        <w:t>Research source trail (starting point): https://www.geoth-energ-sci.net/2/55/2014/gtes-2-55-2014.pdf</w:t>
      </w:r>
    </w:p>
    <w:p>
      <w:r>
        <w:t>Catalogue record: 399</w:t>
      </w:r>
    </w:p>
    <w:p>
      <w:pPr>
        <w:pStyle w:val="Heading2"/>
      </w:pPr>
      <w:r>
        <w:t>303 — Three investment scenarios for future nuclear reactors in Europe (2017)</w:t>
      </w:r>
    </w:p>
    <w:p>
      <w:r>
        <w:t>Earlier perspective. Original claim (Source; abstract only — full text could not be obtained): Shoai Tehrani &amp; Da Costa, Energy Studies Review 23(1), published 12 Sep 2017 (Crossref).   - Versions: the HAL deposit (hal-00997005, 19 pp., "submitted" version, 2015/2016) adds Danièle Attias as an author.   - Copies tried, all blocked (none was bypassed):     - publisher site and the McMaster digital-commons host (bot check, expired TLS certificate);     - HAL, including the legacy hal-cea PDF link (Anubis bot check);     - CiteSeerX (connection reset);     - CORE (met</w:t>
      </w:r>
    </w:p>
    <w:p>
      <w:r>
        <w:t>Developments since.  No official statistic tracks "Gen IV development". The best available are institutional status documents.   - ASTRID, France (World Nuclear Association (WNA) Nuclear Power in France, updated 1 Apr 2026): the 600 MWe sodium-cooled Gen IV prototype was cancelled in August 2019 after about EUR 735 million had been spent. The WNA Fast Neutron Reactors table (updated 31 Mar 2026) lists ASTRID as "Delayed, after 2050".   - Other European demonstrators (WNA Fast Neutron Reactors):     - MYRRHA (Belgium): Phase 1 accelerator groundbreaking June 2024, Phase 1 completion expected 2026, full reactor operation from about 2034.     - Allegro (gas-cooled)</w:t>
      </w:r>
    </w:p>
    <w:p>
      <w:r>
        <w:t>How these connect.  Medium-low confidence on fidelity to the full paper (abstract only), medium confidence on the intermediate status of Gen IV (industry-body sources). The quick pass treated a cost brief as an "outcome" that "supports" the paper; the evidence supports only the narrower point that the market driver became more unfavourable.</w:t>
      </w:r>
    </w:p>
    <w:p>
      <w:r>
        <w:t>Research source trail (starting point): https://api.crossref.org/works/10.15173/esr.v23i1.3312</w:t>
      </w:r>
    </w:p>
    <w:p>
      <w:r>
        <w:t>Catalogue record: 303</w:t>
      </w:r>
    </w:p>
    <w:p>
      <w:pPr>
        <w:pStyle w:val="Heading2"/>
      </w:pPr>
      <w:r>
        <w:t>127 — Transmission and storage in European decarbonisation (2021)</w:t>
      </w:r>
    </w:p>
    <w:p>
      <w:r>
        <w:t>Earlier perspective.    - Study: Golombek, Lind, Ringkjøb &amp; Seljom, Energy 239 (2022) 122159, online September 2021.   - Method: soft-links two models. LIBEMOD (a European energy equilibrium model) supplies electricity demand and fuel prices. Stochastic TIMES-Europe covers power and district heat in 29 countries (EU-28 minus Cyprus, plus Norway and Switzerland). Model years are 2020, 2030, 2040 and 2050, each with 48 time slices × 15 weather/demand scenarios.   - "Green" case (Table 2): the 2030 package (−40% GHG vs 1990, 32% renewables in final energy, 32.5% effic</w:t>
      </w:r>
    </w:p>
    <w:p>
      <w:r>
        <w:t>Developments since.    - Wind + solar share, 2025.     - Eurostat `nrg_cb_pem` (net generation, monthly; updated 23 Oct 2026), summed over 12 months (own calculation). In 2025, EU27 total generation was 2,666,786 GWh. Wind was 473,074 GWh (17.7%) and solar 346,819 GWh (13.0%), giving 30.7% combined. The 2024 figure was 29.1%. January–July 2026 gives 33.4%, but that is a partial year weighted toward sunny months.     - Ember, European Electricity Review 2026 (22 Jan 2026): wind 17%, solar 13%, wind + solar 30%, above fossil (29%) for the first time. Coal hit a record low of 9.2%; renewables were 48%.   - Trend since 2015. Eurostat `nrg_bal_peh` (gross production,</w:t>
      </w:r>
    </w:p>
    <w:p>
      <w:r>
        <w:t>How these connect.    - The headline is a conditional least-cost result, not a prediction.   - Purely as an illustration (not a forecast): extending the 2015–2024 linear trend of about 1.74 percentage points a year would reach 65% around 2045 and 70% around 2048, so the 2050 range is plausible. The trend need not stay linear, though. Curtailment, grid lag and constraints on onshore wind acceptance could bend it.   - The system Europe actually reaches looks set to be more PV- and battery-heavy, and less onshore-wind-heavy, than the reference case. Schreyer et al. (2024, opened under Record 258) estimate that net-</w:t>
      </w:r>
    </w:p>
    <w:p>
      <w:r>
        <w:t>Research source trail (starting point): https://bora.uib.no/bora-xmlui/handle/11250/2829614:</w:t>
      </w:r>
    </w:p>
    <w:p>
      <w:r>
        <w:t>Catalogue record: 127</w:t>
      </w:r>
    </w:p>
    <w:p>
      <w:pPr>
        <w:pStyle w:val="Heading2"/>
      </w:pPr>
      <w:r>
        <w:t>86 — Energy transition scenarios for the EU Green Deal (2021)</w:t>
      </w:r>
    </w:p>
    <w:p>
      <w:r>
        <w:t>Earlier perspective.    - Study: Hainsch, Löffler, Burandt, Auer, Crespo del Granado, Pisciella &amp; Zwickl-Bernhard, Energy 239 (2022) 122067, online September 2021 (openENTRANCE, Horizon 2020).   - What it does: reviews European decarbonisation scenarios. It defines four storylines in a three-way space (policy exertion × technological novelty × societal attitude) and quantifies them to 2050 with the GENeSYS-MOD energy-system model.     - Directed Transition, Societal Commitment and Techno-Friendly are 1.5°C-consistent.     - Gradual Development is the 2°C reference.</w:t>
      </w:r>
    </w:p>
    <w:p>
      <w:r>
        <w:t xml:space="preserve">Developments since.    - Electrification. Eurostat `nrg_bal_c` (updated 27 Aug 2026), EU27 final consumption, energy use (own calculation): electricity was 23.1% in 2015 (2,449,356 of 10,599,601 GWh) and 23.4% in 2024 (2,394,009 of 10,209,704 GWh). Flat for a decade.   - Passenger cars.     - Eurostat `road_eqs_carpda` (stock; updated 20 Oct 2026), own calculation: battery-electric cars were 7,592,725 of 263,847,868 in 2025 (2.88%), up from 0.24% in 2019.     - Eurostat `road_eqr_carpda` (new registrations; updated 6 Oct 2026): battery-electric share of new cars rose from 1.9% (2019) to 17.3% (2025: 1,888,016 of 10,937,447).   - Power mix, 2025. Ember EER 2026: </w:t>
      </w:r>
    </w:p>
    <w:p>
      <w:r>
        <w:t>How these connect.    - The conditional insight that rapid decarbonisation needs high electrification is still the consensus in later work: EEV2060 has 60–62% electricity in final energy by 2050, and Schreyer et al. (2024) have 42–60%.   - Real end-use electrification has stalled, so actual development so far resembles the early phase of no 1.5°C storyline.   - The paper's "at least half of passenger vehicles electric by 2030" was a stated need. With 2.9% of the stock in 2025, it will almost certainly not be met if it refers to the fleet. Even 50% of new sales by 2030 would mean roughly tripling the 2025 sales s</w:t>
      </w:r>
    </w:p>
    <w:p>
      <w:r>
        <w:t>Research source trail (starting point): https://depositonce.tu-berlin.de/items/cc924bea-a32a-421b-9f80-3cf3c03db597:</w:t>
      </w:r>
    </w:p>
    <w:p>
      <w:r>
        <w:t>Catalogue record: 86</w:t>
      </w:r>
    </w:p>
    <w:p>
      <w:pPr>
        <w:pStyle w:val="Heading2"/>
      </w:pPr>
      <w:r>
        <w:t>58 — EU energy infrastructure needs for 1.5°C by 2050 (2022)</w:t>
      </w:r>
    </w:p>
    <w:p>
      <w:r>
        <w:t>Earlier perspective.    - Study: Arduin, Andrey &amp; Bossmann (Artelys), F1000Research 11:387 (v1, 1 Apr 2022; two approving reviews; funded by the European Climate Foundation).   - Method: a joint electricity–hydrogen–methane optimisation of capacity expansion and hourly dispatch (Artelys Crystal Super Grid) for a single year, 2050. It covers EU27 plus NO, CH, UK and four Western Balkan countries at national resolution.   - Reference scenario, based on the Commission's 1.5TECH:     - About 4,000 TWh final electricity demand.     - 1,600 TWh hydrogen demand, 1,200 TWh</w:t>
      </w:r>
    </w:p>
    <w:p>
      <w:r>
        <w:t>Developments since.    - Official needs assessment. ENTSO-E, TYNDP 2024 Infrastructure Gaps Report (April 2025; ENTSO-E area):     - Cross-border capacity: 126 GW available in 2025 and 161 GW expected in 2030.     - Cost-optimal additions on top of the 2030 grid: +88 GW (2030), +108 GW (2040, including 20 GW offshore hybrid) and +224 GW (2050, including 44 GW hybrid offshore).     - Storage: 540 GW by 2050, which by ENTSO-E's definition combines battery capacity in the scenario with additional optimised storage.     - Only about 47 GW of projects are expected between 2030 and 2035, and about 78 GW after 2030 by 2040. That leaves a 28 GW gap against the 2040 need</w:t>
      </w:r>
    </w:p>
    <w:p>
      <w:r>
        <w:t>How these connect.    - The robust qualitative findings still hold:     - large cross-border electricity expansion is needed in all scenarios (ENTSO-E 2024 agrees);     - hydrogen network needs are the most uncertain and depend on demand and where renewables are sited.   - The study was not designed to anticipate the delivery gap now visible: ENTSO-E's pipeline falls short of its own needs, and interconnectivity ratios fell in several key countries.   - The hydrogen quantities hinge on 1,600 TWh of hydrogen demand in 2050, which looks high next to later assessments (Schreyer et al. 2024: 1,000–2,600 TWh includin</w:t>
      </w:r>
    </w:p>
    <w:p>
      <w:r>
        <w:t>Research source trail (starting point): https://www.ncbi.nlm.nih.gov/pmc/articles/PMC9065927/</w:t>
      </w:r>
    </w:p>
    <w:p>
      <w:r>
        <w:t>Catalogue record: 58</w:t>
      </w:r>
    </w:p>
    <w:p>
      <w:pPr>
        <w:pStyle w:val="Heading2"/>
      </w:pPr>
      <w:r>
        <w:t>258 — Hydrogen and Power-to-Liquid in a low-carbon EU (2018)</w:t>
      </w:r>
    </w:p>
    <w:p>
      <w:r>
        <w:t>Earlier perspective.    - Study: Blanco, Nijs, Ruf &amp; Faaij, Applied Energy 232 (2018) 617–639.   - Model: JRC-EU-TIMES (EU28 plus CH, NO and IS), focused on 2050, covering CO2 only.   - Scenario design: more than 50 scenarios varying 15 parameters, including:     - the CO2 target (80% or 95% below 1990);     - whether underground CO2 storage is available;     - biomass potential (7–25.5 EJ/yr);     - Power-to-Liquid and PEM electrolyser costs;</w:t>
      </w:r>
    </w:p>
    <w:p>
      <w:r>
        <w:t>Developments since.    - Hydrogen demand.     - European Hydrogen Observatory: 8.24 Mt (2022), 7.96 Mt (2023) and 7.87 Mt (2024) in Europe.     - ECA SR 11/2024: EU consumption of fossil-based hydrogen was 8–10 Mt in 2020; 96% of hydrogen used in Europe in 2022 came from natural gas; hydrogen was under 2% of energy consumption.   - Clean production, 2024.     - Observatory: water electrolysis produced 42.81 kt and reforming with carbon capture 42.68 kt. Clean hydrogen met 36.32 kt of demand.     - 2024 dataset, own sum: 380.9 MWel of operational electrolysis (308.1 MWel in the EU).   - Targets versus reality. ECA SR 11/2024: the 2030 targets of 10 Mt domestic pl</w:t>
      </w:r>
    </w:p>
    <w:p>
      <w:r>
        <w:t>How these connect.    - The paper's structural insights hold up in later work (Schreyer et al. 2024; ECA):     - without large-scale CO2 storage, electrolysis and synthetic fuels carry the load;     - Power-to-Liquid is hard to avoid for aviation and long-distance transport;     - steel is a key hydrogen user.   - The large hydrogen volumes, especially for road transport, look much less likely now. Battery-electric vehicles have won the car market, and policy targets for 2030 are being missed.   - Real-world deployment is far behind any scenario's implied ramp-up. But the study's horizon is 2050, and the authors</w:t>
      </w:r>
    </w:p>
    <w:p>
      <w:r>
        <w:t>Research source trail (starting point): https://publikationen.bibliothek.kit.edu/1000086748:</w:t>
      </w:r>
    </w:p>
    <w:p>
      <w:r>
        <w:t>Catalogue record: 258</w:t>
      </w:r>
    </w:p>
    <w:p>
      <w:pPr>
        <w:pStyle w:val="Heading2"/>
      </w:pPr>
      <w:r>
        <w:t>339 — Strategic directions of the Polish power sector under EU climate-energy policy (2016)</w:t>
      </w:r>
    </w:p>
    <w:p>
      <w:r>
        <w:t>Earlier perspective.  Gawlik &amp; Mirowski, Humanities and Social Sciences XXI, 23(2/2016), pp. 49–62 (Mineral and Energy Economy Research Institute, Polish Academy of Sciences). A cost-minimising power-sector model (run on the PL-Grid infrastructure) is optimised to 2050 under five of "more than a dozen" scenarios taken from an earlier coal-demand study (Gawlik ed., 2013):   - COAL (reference): up to three 1.5 GW nuclear units (2025/2030/2035) if optimal; CCS commercial from 2030; gas prices follow world trends.   - GAS: lower gas prices (domestic or shale gas, diver</w:t>
      </w:r>
    </w:p>
    <w:p>
      <w:r>
        <w:t>Developments since.    - OWID energy dataset, Poland rows (Ember/EI-based), https://raw.githubusercontent.com/owid/energy-data/master/owid-energy-data.csv:     - 2013: generation 163.78 TWh; coal 84.1%, gas 3.2%, wind 3.7%, solar 0.0%, bioenergy 5.3%, renewables 10.4%.     - 2020: coal 68.3%, renewables 18.0%.     - 2025: generation 173.26 TWh; coal 50.4%, gas 14.3%, wind 14.2%, solar 11.3%, bioenergy 4.9%, renewables 31.5%, nuclear 0.0%; carbon intensity 588.6 gCO2/kWh.   - Eurostat SHARES, renewable share of electricity, Poland, table nrg_ind_ren, REN_ELC, updated 15 Sep 2026, https://ec.europa.eu/eurostat/api/dissemination/statistics/1.0/data/nrg_ind_ren?form</w:t>
      </w:r>
    </w:p>
    <w:p>
      <w:r>
        <w:t>How these connect.  The paper's binding renewable constraint was treated as a cost burden. In reality, renewables became the cheapest expansion option and outgrew the constraint. The paper's message that coal can be kept with CCS, otherwise gas plus nuclear, survives only in its second half: gas is growing and nuclear is planned. Uncertainty: OWID, Forum Energii and ARE differ by 1–3 points on the coal share. Capacity figures differ between ARE (PV 24.8 GW) and Forum Energii (PV 25.9 GW). Costs in PLN'2011 were not checked against outturn.</w:t>
      </w:r>
    </w:p>
    <w:p>
      <w:r>
        <w:t>Research source trail (starting point): https://oficyna.prz.edu.pl/download/ULHFwMPAl_ZxYTTAMeQEgdJUUYGXxnR1lJQG1OBU9cTiQNXk0iGUY,XSDlUdJRwdNE4xURowFxsVWQdWHS1oAgMaATwDShkVHihHDUN1QANrDXE/hss-23-2016-02-pwp.pdf</w:t>
      </w:r>
    </w:p>
    <w:p>
      <w:r>
        <w:t>Catalogue record: 339</w:t>
      </w:r>
    </w:p>
    <w:p>
      <w:pPr>
        <w:pStyle w:val="Heading2"/>
      </w:pPr>
      <w:r>
        <w:t>421 — Renewable scenarios for North Africa and electricity exchange with Europe to 2050 (2014)</w:t>
      </w:r>
    </w:p>
    <w:p>
      <w:r>
        <w:t>Earlier perspective.  Boie, Pudlik, Ragwitz, Sensfuß (Fraunhofer ISI), Bohn, Agsten, Bretschneider, Westermann (Fraunhofer IOSB-AST), Int. J. Smart Grid and Clean Energy 3(3), July 2014, 299–306.   - Scope: Algeria, Egypt, Libya, Morocco and Tunisia to 2050. A GIS cost-potential assessment is combined with a top-down demand model and PowerACE linear cost-optimisation. AC grids are simulated in DIgSILENT PowerFactory.   - Scenarios:     - S1: CO2 −50% vs 1990 in both regions, high demand, no EU–North Africa interconnection.     - S2: EU −95%, North Africa −50%, high</w:t>
      </w:r>
    </w:p>
    <w:p>
      <w:r>
        <w:t xml:space="preserve">Developments since.  OWID energy dataset (Ember/EI-based), https://raw.githubusercontent.com/owid/energy-data/master/owid-energy-data.csv, and https://ourworldindata.org/grapher/share-electricity-renewables.csv.   - Renewable share of electricity in 2024: Morocco 24.4%, Egypt 11.2%, Tunisia 4.4%, Algeria 1.07%, Libya 0.03%. In 2025: Morocco 24.0%, Egypt 13.0%, Tunisia 4.0% (no 2025 values for Algeria and Libya).   - Five-country totals, my scripted sums of OWID country rows, all five countries present for 2013 and 2024:     - 2013: generation 307.98 TWh, renewables 19.97 TWh (6.5%), wind 3.30 TWh, solar 0.05 TWh, demand 312.89 TWh.     - 2024: generation 432.11 </w:t>
      </w:r>
    </w:p>
    <w:p>
      <w:r>
        <w:t>How these connect.  The paper's exogenous driver (demand growth) is broadly on track. The decisive endogenous outcome (cost-optimal renewable build-out under CO2 caps and interconnection) has not materialised. The 50% CO2 cut for North Africa was never adopted as policy, and the national targets are partial. The technical finding that massive AC reinforcement plus an MT-HVDC overlay would be needed is neither confirmed nor refuted; it has not been tested, because the generation and export build-out did not occur. The export idea survives mainly as hydrogen corridors (He et al.) and in models (Dalla Longa &amp; van d</w:t>
      </w:r>
    </w:p>
    <w:p>
      <w:r>
        <w:t>Research source trail (starting point): http://www.ijsgce.com/uploadfile/2014/0522/20140522020236810.pdf</w:t>
      </w:r>
    </w:p>
    <w:p>
      <w:r>
        <w:t>Catalogue record: 421</w:t>
      </w:r>
    </w:p>
    <w:p>
      <w:pPr>
        <w:pStyle w:val="Heading2"/>
      </w:pPr>
      <w:r>
        <w:t>191 — Low-carbon investment needs, China vs Europe, stringent climate scenarios (2019)</w:t>
      </w:r>
    </w:p>
    <w:p>
      <w:r>
        <w:t>Earlier perspective.  Zhou, McCollum, Fricko, Gidden, Huppmann, Krey, Riahi (IIASA), Environ. Res. Lett. 14 (2019) 054017.   - Model: MESSAGEix-GLOBIOM (11 regions; Europe = Western plus Eastern Europe), SSP2, US$2015.   - Scenarios: CPol (policies as of 2015, the reference), NDC, 2C (about 1,000 GtCO2 for 2011–2100) and 1.5C (about 400 GtCO2).   - "Low-carbon investment" covers renewables, bioenergy, nuclear, CCS, efficiency and the low-carbon share of transmission, distribution and storage. It was 185 bn (China) and 145 bn (Europe) in 2016, i.e. 52% and 59% of to</w:t>
      </w:r>
    </w:p>
    <w:p>
      <w:r>
        <w:t>Developments since.    - IEA World Energy Investment 2024, PDF https://iea.blob.core.windows.net/assets/60fcd1dd-d112-469b-87de-20d39227df3d/WorldEnergyInvestment2024.pdf. Figures are in USD (2023, MER).     - Overview p. 9: the EU "spends USD 370 billion on clean energy today", and China is "set to spend almost USD 680 billion in 2024".     - Overview p. 8: global energy investment exceeds USD 3 trillion in 2024, USD 2 trillion of it clean.     - EU regional deep dive, chart p. 187 and text p. 188:       - EU clean energy investment is 20% of the global total.       - The ratio of clean to fossil-fuel investment is 10.9 in 2023.       - Renewable generation inv</w:t>
      </w:r>
    </w:p>
    <w:p>
      <w:r>
        <w:t xml:space="preserve">How these connect.  Comparability is the main limit:   - IEA "clean energy investment" includes end-use spending (EVs, efficiency, electrification), much of it consumer EV purchases. Zhou's "low-carbon investment" includes energy efficiency, but scaled from IEA's base-year efficiency figure, and the low-carbon share of T&amp;D. The categories overlap only partly.   - Zhou's "Europe" includes non-EU Western and Eastern Europe, while IEA's is EU27.   - MER and price bases differ, and my deflator conversion is approximate.   - Cost declines (solar and battery prices fell over 80% in 2014–2024 per WEO 2025, p. 92) mean </w:t>
      </w:r>
    </w:p>
    <w:p>
      <w:r>
        <w:t>Research source trail (starting point): https://iopscience.iop.org/article/10.1088/1748-9326/ab0dd8/pdf</w:t>
      </w:r>
    </w:p>
    <w:p>
      <w:r>
        <w:t>Catalogue record: 191</w:t>
      </w:r>
    </w:p>
    <w:p>
      <w:pPr>
        <w:pStyle w:val="Heading2"/>
      </w:pPr>
      <w:r>
        <w:t>100 — Integrated assessment of bioenergy in EU energy-transition targets to 2050 (2021/2022)</w:t>
      </w:r>
    </w:p>
    <w:p>
      <w:r>
        <w:t>Earlier perspective.  Mandley, Wicke, Junginger, van Vuuren, Daioglou, GCB Bioenergy 14(2), 2022, 157–172 (online Oct 2021).   - Model: IMAGE 3.2 (TIMER energy model calibrated to IEA data 1971–2018).   - Region: "Europe" combines IMAGE's West Europe and Central &amp; Eastern Europe, so it is not the EU27. It counts modern bioenergy only, excluding traditional fuelwood.   - Scenarios:     - Baseline: SSP2, no carbon price.     - Global &lt;2°C: carbon price from 2020 consistent with RCP2.6, global budget of about 1,000 GtCO2eq.     - No BECCS and No Bio: counterfactuals a</w:t>
      </w:r>
    </w:p>
    <w:p>
      <w:r>
        <w:t>Developments since.  Eurostat complete energy balances nrg_bal_c, EU27_2020, siec = BIOE (bioenergy), TJ, updated 27 Aug 2026, https://ec.europa.eu/eurostat/api/dissemination/statistics/1.0/data/nrg_bal_c?format=JSON&amp;lang=EN&amp;geo=EU27_2020&amp;unit=TJ&amp;siec=BIOE&amp;siec=TOTAL&amp;nrg_bal=GIC&amp;nrg_bal=IMP&amp;nrg_bal=EXP&amp;nrg_bal=PPRD   - Gross inland consumption: 5.38 EJ (2015), 5.85 EJ (2020), 6.35 EJ (2021), 6.11 EJ (2022), 5.99 EJ (2023), 5.99 EJ (2024).   - Net imports, my scripted calculation: 2024 imports 1.13 EJ, exports 0.81 EJ, net 0.326 EJ (5.4% of consumption). 2023: net 0.351 EJ (5.9%). 2020: net 0.321 EJ (5.5%).   - Gross inland consumption of bioenergy rose 2.3% from</w:t>
      </w:r>
    </w:p>
    <w:p>
      <w:r>
        <w:t>How these connect.  The decisive post-2030 elements (tripling of demand, 60% imports, 0.73 Gt/yr of BECCS) have no observable precursor yet. Global removal capacity is about 1 Mt/yr, about 1/730 of the projected European 2050 BECCS capture of 0.73 Gt/yr. That is consistent with the study's own timeline but leaves the 2050 figure as an untested extrapolation.      The definitional gap (IMAGE "Europe" and modern bioenergy versus Eurostat EU27 totals including traditional wood) limits comparisons of levels, not of trends.      Seo et al. raise a substantive challenge to the land-based part of bioenergy expansion. T</w:t>
      </w:r>
    </w:p>
    <w:p>
      <w:r>
        <w:t>Research source trail (starting point): https://dspace.library.uu.nl/server/api/core/bitstreams/c80eb836-0e7d-4d6b-8ace-8722911ae29e/content</w:t>
      </w:r>
    </w:p>
    <w:p>
      <w:r>
        <w:t>Catalogue record: 100</w:t>
      </w:r>
    </w:p>
    <w:p>
      <w:pPr>
        <w:pStyle w:val="Heading2"/>
      </w:pPr>
      <w:r>
        <w:t>458 — EU strategic gas supply options and the Southern Corridor (2013)</w:t>
      </w:r>
    </w:p>
    <w:p>
      <w:r>
        <w:t xml:space="preserve">Earlier perspective.  Fernandes &amp; Ermida, European Foreign Affairs Review 18(4), pp. 547–561. The African Union library record gives the volume, issue and pages; Kluwer's metadata lists the issue as "Special" and the date as 1 Dec 2013. The full text is paywalled: Kluwer's citation-PDF link returned only the HTML landing page, and OpenAlex marks the article closed, with no repository copy.   - What the abstract says (Kluwer `citation_abstract` metadata): it opens by asserting that the EU will significantly increase its gas consumption. It then states that "Current </w:t>
      </w:r>
    </w:p>
    <w:p>
      <w:r>
        <w:t>Developments since.    - Gas import dependency. Eurostat `nrg_ind_id`, natural gas (G3000), EU27_2020, % (updated 16 Jul 2026):      | 2013 | 2016 | 2017 | 2018 | 2019 | 2020 | 2021 | 2022 | 2023 | 2024 |     |---|---|---|---|---|---|---|---|---|---|     | 68.3 | 75.7 | 80.2 | 83.2 | 89.7 | 83.6 | 83.6 | 97.6 | 90.0 | 85.0 |      Definition (Eurostat metadata `nrg_ind_id_esmsip2`): (imports − exports) / gross available energy. A rate above 100% indicates stock-building.</w:t>
      </w:r>
    </w:p>
    <w:p>
      <w:r>
        <w:t>How these connect.  The 80% was a borrowed BAU estimate. As an upper bound it proved too low, for a reason the abstract did not anticipate: production decline, not demand growth. The study's thesis that the Southern Corridor was the EU's priority describes 2013 policy. In outcome terms the corridor stayed marginal next to Norway and US supply. Uncertainties:   - The EFAR full text is unread, so the authors may cite a different source or add caveats.   - EU‑27 vs EU‑28 scope.   - The 2025 value is my calculation from monthly data.   - Partner shares are affected by "not specified" flows.</w:t>
      </w:r>
    </w:p>
    <w:p>
      <w:r>
        <w:t>Research source trail (starting point): https://kluwerlawonline.com/journalarticle/European+Foreign+Affairs+Review/18.4/EERR2013040:</w:t>
      </w:r>
    </w:p>
    <w:p>
      <w:r>
        <w:t>Catalogue record: 458</w:t>
      </w:r>
    </w:p>
    <w:p>
      <w:pPr>
        <w:pStyle w:val="Heading2"/>
      </w:pPr>
      <w:r>
        <w:t>342 — Shaping the 'Energy Union' (2016)</w:t>
      </w:r>
    </w:p>
    <w:p>
      <w:r>
        <w:t xml:space="preserve">Earlier perspective.  Szulecki, Fischer, Gullberg &amp; Sartor, Climate Policy 16(5), pp. 548–567 (Crossref); licence CC BY‑NC‑ND. I could not reach the full text. Taylor &amp; Francis returned a Cloudflare challenge (HTTP 403) to direct requests, and the domain is not on the WebFetch allowlist. OpenAlex and Unpaywall list only the publisher copy.   - What the abstract says (reconstructed from OpenAlex): the Energy Union is the most significant idea for reforming European energy governance, but so far it is largely an empty concept that each stakeholder fills with its own </w:t>
      </w:r>
    </w:p>
    <w:p>
      <w:r>
        <w:t>Developments since.    - Adoption. Regulation (EU) 2018/1999 entered into force on 24 Dec 2018 (Commission Energy Union page).   - Commission evaluation (11 Sep 2024). The report on the functioning of the Regulation, as summarised in DG CLIMA news, found that it helped keep the EU on track for 2030 by making planning and reporting more coherent and integrated, and that NECPs improved strategic planning. It also found that the coverage and quality of plans still differ, and that coherence with other legislation could improve.   - Submission record. Final updated NECPs were due on 30 June 2024.     - On 28 May 2025 the Commission assessed 23 plans; Belgium, Estoni</w:t>
      </w:r>
    </w:p>
    <w:p>
      <w:r>
        <w:t>How these connect.  This is mainly a framework paper. The scanner rightly found one relevant later review, but no single source can settle a qualitative scenario. The main uncertainty is that I read the abstract only, so I do not know the exact content of the two scenarios or the authors' specific expectations. The Commission's assessments are self-evaluations.</w:t>
      </w:r>
    </w:p>
    <w:p>
      <w:r>
        <w:t>Research source trail (starting point): https://api.openalex.org/works/doi:10.1080/14693062.2015.1135100:</w:t>
      </w:r>
    </w:p>
    <w:p>
      <w:r>
        <w:t>Catalogue record: 342</w:t>
      </w:r>
    </w:p>
    <w:p>
      <w:pPr>
        <w:pStyle w:val="Heading2"/>
      </w:pPr>
      <w:r>
        <w:t>n/a (not in catalogue; scanner lead 545) — EU CBAM and least developed countries (2022)</w:t>
      </w:r>
    </w:p>
    <w:p>
      <w:r>
        <w:t>Earlier perspective. Original claim (Source; full text read, conference preprint): Perdana &amp; Vielle, Energy Policy 170 (2022) 113245.   - Versions: I read the GTAP Annual Conference version (AgEcon, preprint dated 21 Mar 2022) in full. The published version on Zenodo was blocked (HTTP 403 "unusual traffic"). The published abstract (OpenAlex) matches the preprint except that the preprint's "positive leakage" became plain carbon leakage.   - Model and baseline: GEMINI‑E3, a recursive-dynamic CGE model calibrated on GTAP 10 (2014 base year), with 11 regions and 11 sec</w:t>
      </w:r>
    </w:p>
    <w:p>
      <w:r>
        <w:t>Developments since.    - Implementation timeline. CBAM's definitive regime applies from 1 Jan 2026, covering cement, iron and steel, aluminium, fertilisers, electricity and hydrogen (DG TAXUD CBAM page). The financial adjustment phases in from 1 Jan 2026, mirroring the phase-out of ETS free allocation until 2034 (press release IP/25/3088, 17 Dec 2025). The first declarations and certificate surrenders are due 30 Sep 2027 (DG TAXUD news, 30 Sep 2026).   - Certificate prices for 2026: €75.36 (Q1), €75.28 (Q2), €82.32 (Q3) (DG TAXUD certificate price page).   - De minimis threshold. Regulation (EU) 2025/2083 simplified CBAM with a 50-tonne single mass-based thresho</w:t>
      </w:r>
    </w:p>
    <w:p>
      <w:r>
        <w:t>How these connect.  The scanner treated a model result as a forecast; it is better seen as a conditional scenario contrast that real-world data are unlikely ever to settle. Newer models broadly agree that CBAM reduces modelled leakage. The size depends on the model (dynamic vs static), elasticities (Böhringer &amp; Rosendahl), base year, emissions scope and circumvention, which none of the models represents well. Uncertainties: I read the preprint rather than the version of record, so tables may differ slightly, though the abstract numbers match. I could not read the Commission's CBAM review report in full.</w:t>
      </w:r>
    </w:p>
    <w:p>
      <w:r>
        <w:t>Research source trail (starting point): https://ageconsearch.umn.edu/record/333458/files/11024.pdf:</w:t>
      </w:r>
    </w:p>
    <w:p>
      <w:pPr>
        <w:pStyle w:val="Heading2"/>
      </w:pPr>
      <w:r>
        <w:t>55 — Towards a decarbonised building stock by 2050: zero-emission buildings (2022)</w:t>
      </w:r>
    </w:p>
    <w:p>
      <w:r>
        <w:t>Earlier perspective.  Măduţa, Melica, D'Agostino &amp; Bertoldi (JRC), Energy Strategy Reviews 44 (2022) 101009. Gold open access, CC BY.   - I could not get the full text. ScienceDirect returned a Cloudflare error (403). The JRC repository (JRC130528) rejected the request. CORE withholds full text from public API users. OpenAlex's cached copy hit its daily rate limit (429), and the Elsevier API needs a key. Abstract from OpenAlex and CORE.   - What the abstract says: the EPBD revision proposal (the excerpt's sentence) lays out how Europe can reach a decarbonised build</w:t>
      </w:r>
    </w:p>
    <w:p>
      <w:r>
        <w:t xml:space="preserve">Developments since.    - Adoption and ZEB dates. The recast EPBD (EU) 2024/1275 was published 8 May 2024 and entered into force 28 May 2024, with general transposition by 29 May 2026. Timeline: proposal Dec 2021, provisional agreement Dec 2023 (Commission EPBD page). It makes ZEB the standard for new buildings: from 1 Jan 2028 for buildings owned by public bodies and from 1 Jan 2030 for all new buildings (Commission ZEB fact page). This matches the abstract's 2030 date for all new buildings. I could not verify what date the 2021 proposal set for public buildings.   - Existing buildings. Non-residential MEPS must trigger renovation of the worst-performing 16% of </w:t>
      </w:r>
    </w:p>
    <w:p>
      <w:r>
        <w:t>How these connect.  The scanner's links are fair for a policy-adoption check. The more informative evidence is the transposition and infringement record, which matches the paper's warning about a repeat of the slow NZEB rollout. Uncertainties:   - I read only the abstract, so I cannot compare the paper's proposed ZEB benchmarks with the adopted definition, or say how the 2021 proposal differed from the final MEPS design.   - The emissions trend omits indirect emissions and weather effects.   - The renovation-rate figure is the Commission's round number.</w:t>
      </w:r>
    </w:p>
    <w:p>
      <w:r>
        <w:t>Research source trail (starting point): https://api.openalex.org/works/doi:10.1016/j.esr.2022.101009:</w:t>
      </w:r>
    </w:p>
    <w:p>
      <w:r>
        <w:t>Catalogue record: 55</w:t>
      </w:r>
    </w:p>
    <w:p>
      <w:pPr>
        <w:pStyle w:val="Heading2"/>
      </w:pPr>
      <w:r>
        <w:t>272 — Soil moisture–atmosphere feedbacks and central European TXx/precipitation projections (2018)</w:t>
      </w:r>
    </w:p>
    <w:p>
      <w:r>
        <w:t>Research source trail (starting point): https://surfobs.climate.copernicus.eu/dataaccess/access_eobs.php</w:t>
      </w:r>
    </w:p>
    <w:p>
      <w:r>
        <w:t>Catalogue record: 272</w:t>
      </w:r>
    </w:p>
    <w:p>
      <w:pPr>
        <w:pStyle w:val="Heading2"/>
      </w:pPr>
      <w:r>
        <w:t>338 — Record dry summer 2015 challenges central European precipitation projections (2016)</w:t>
      </w:r>
    </w:p>
    <w:p>
      <w:r>
        <w:t>Research source trail (starting point): https://opendata.dwd.de/climate_environment/CDC/regional_averages_DE/seasonal/precipitation/regional_averages_rr_summer.txt,</w:t>
      </w:r>
    </w:p>
    <w:p>
      <w:r>
        <w:t>Catalogue record: 338</w:t>
      </w:r>
    </w:p>
    <w:p>
      <w:pPr>
        <w:pStyle w:val="Heading2"/>
      </w:pPr>
      <w:r>
        <w:t>145 — Diverging hydrological drought traits over Europe with global warming (2020)</w:t>
      </w:r>
    </w:p>
    <w:p>
      <w:r>
        <w:t>Research source trail (starting point): https://climate.copernicus.eu/esotc/2024/river-flow;</w:t>
      </w:r>
    </w:p>
    <w:p>
      <w:r>
        <w:t>Catalogue record: 145</w:t>
      </w:r>
    </w:p>
    <w:p>
      <w:pPr>
        <w:pStyle w:val="Heading2"/>
      </w:pPr>
      <w:r>
        <w:t>298 — Projections of future precipitation extremes over Europe, EURO-CORDEX multimodel assessment (2017)</w:t>
      </w:r>
    </w:p>
    <w:p>
      <w:r>
        <w:t>Research source trail (starting point): https://www.eea.europa.eu/ds_resolveuid/IND-92-en,</w:t>
      </w:r>
    </w:p>
    <w:p>
      <w:r>
        <w:t>Catalogue record: 298</w:t>
      </w:r>
    </w:p>
    <w:p>
      <w:pPr>
        <w:pStyle w:val="Heading2"/>
      </w:pPr>
      <w:r>
        <w:t>363 — Water flows in four European lagoon catchments under future climate scenarios (2015)</w:t>
      </w:r>
    </w:p>
    <w:p>
      <w:r>
        <w:t>Research source trail (starting point): https://crudata.uea.ac.uk/cru/data/hrg/cru_ts_4.10/cruts.2604091129.v4.10/pre/.</w:t>
      </w:r>
    </w:p>
    <w:p>
      <w:r>
        <w:t>Catalogue record: 363</w:t>
      </w:r>
    </w:p>
    <w:p>
      <w:pPr>
        <w:pStyle w:val="Heading2"/>
      </w:pPr>
      <w:r>
        <w:t>400 — Climate change signal for Aachen, Germany: temperature and precipitation (2014)</w:t>
      </w:r>
    </w:p>
    <w:p>
      <w:r>
        <w:t>Research source trail (starting point): https://opendata.dwd.de/climate_environment/CDC/regional_averages_DE/;</w:t>
      </w:r>
    </w:p>
    <w:p>
      <w:r>
        <w:t>Catalogue record: 400</w:t>
      </w:r>
    </w:p>
    <w:p>
      <w:pPr>
        <w:pStyle w:val="Heading2"/>
      </w:pPr>
      <w:r>
        <w:t>444 — European atmosphere in 2050 (Colette et al., ACP, 2013)</w:t>
      </w:r>
    </w:p>
    <w:p>
      <w:r>
        <w:t>Earlier perspective.  This is a single-chain modelling study, not an ensemble. Models: IPSL-CM5A-MR global climate, downscaled by WRF at 50 km; LMDz-OR-INCA global chemistry for boundary conditions; CHIMERE regional chemistry-transport at 0.5°. Two coupled scenarios: a reference (RCP8.5 climate plus GEA "CLE1" air-pollutant emissions with current legislation and no climate policy) and a mitigation (RCP2.6 plus GEA "CLE2", the 2 °C pathway). Both include identical current air-quality legislation. Time slices: present day is 1995–2004 climate with 2005 emissions (plu</w:t>
      </w:r>
    </w:p>
    <w:p>
      <w:r>
        <w:t>Developments since.    - Eurostat `env_air_emis`, EU27_2020, national total (NFR_TOT_NAT), tonnes, 2005 → 2024. Retrieved via https://ec.europa.eu/eurostat/api/dissemination/statistics/1.0/data/env_air_emis (dataset updated 2026-09-07). Percentages are my calculations.     - NOx: 10,764,260 → 4,940,100 (−54.1%)     - NMVOC: 9,466,500 → 5,978,370 (−36.8%)     - SOx: 7,079,730 → 1,026,170 (−85.5%)     - NH3: 4,123,950 → 3,380,500 (−18.0%)     - PM2.5: 1,877,310 → 1,080,260 (−42.5%)   - The EEA indicator "Emissions of the main air pollutants" (published 23 Sep 2025) independently gives EU27 changes for 2005–2023: SOx −84%, NOx −53%, PM2.5 −38%, NMVOC −35%, NH3 −17%</w:t>
      </w:r>
    </w:p>
    <w:p>
      <w:r>
        <w:t>How these connect.  The study's lasting contributions are qualitative, and later modelling broadly supports them:   - Emissions, not climate, drive European air quality by mid-century.   - The ozone climate penalty exists but current legislation can offset it.   - Changes in hemispheric background ozone are a first-order factor.   - The PM2.5 climate effect is uncertain.    The Im et al. 2022 review (opened for Record 468) reports that every study it reviewed found emission changes outweighing climate effects. That is corroboration from further modelling, not an observed outcome.</w:t>
      </w:r>
    </w:p>
    <w:p>
      <w:r>
        <w:t>Research source trail (starting point): https://ec.europa.eu/eurostat/api/dissemination/statistics/1.0/data/env_air_emis</w:t>
      </w:r>
    </w:p>
    <w:p>
      <w:r>
        <w:t>Catalogue record: 444</w:t>
      </w:r>
    </w:p>
    <w:p>
      <w:pPr>
        <w:pStyle w:val="Heading2"/>
      </w:pPr>
      <w:r>
        <w:t>468 — Future air quality in Europe: projected exposure to ozone (Colette et al., ACP, 2012)</w:t>
      </w:r>
    </w:p>
    <w:p>
      <w:r>
        <w:t>Earlier perspective.  A five- or six-model ensemble of chemistry-transport models: BOLCHEM, CHIMERE, EMEP MSC-W, EURAD and OsloCTM2, plus MOZART-4, which was dropped from the exposure metrics. Two GEA scenarios for 2030, both carrying "all current and planned air quality legislation until 2030":   - Reference: no climate or energy-access policy; energy intensity falls 1.5%/yr.   - Sustainable climate policy: a 2 °C target and energy intensity falling 2.6%/yr.    Design: the control is 2005 GEA emissions with ten years of 1998–2007 meteorology. Meteorology and regio</w:t>
      </w:r>
    </w:p>
    <w:p>
      <w:r>
        <w:t>Developments since.    - EU27 NOx (Eurostat `env_air_emis`, NFR_TOT_NAT, tonnes): 10,764,260 in 2005, 5,643,180 in 2020, 5,092,690 in 2023 and 4,940,100 in 2024. That is 45.9% of 2005 in 2024, already inside the abstract's projected band of "30–50% of current levels" for 2030 (my calculation).   - EU27 NMVOC: 9,466,500 (2005) → 5,978,370 (2024), which is 63.2% of 2005. That is behind both scenarios' 2030 values (52% reference, 36% sustainable).   - Same API as above: https://ec.europa.eu/eurostat/api/dissemination/statistics/1.0/data/env_air_emis   - Ozone target value (the paper's metric is the share of stations above 25 days at 120 µg/m³):     - EEA Air qualit</w:t>
      </w:r>
    </w:p>
    <w:p>
      <w:r>
        <w:t xml:space="preserve">How these connect.  A straight-line path from 43% (2005) to 8% (2030, reference) would sit at about 18% around 2023, against an observed 16.9% for 2022–2024. A path to the sustainable endpoint of 2% would sit at about 13.5%. This is my illustrative calculation, not the paper's. So the exceedance share is roughly on track for the reference endpoint, even though NOx emissions have already overshot the reference 2030 value. That points to a weaker ozone response per tonne of NOx cut than the ensemble assumed. It fits the Aas 2024 hindcast finding, the lagging NMVOC cuts, and the factors the projection deliberately </w:t>
      </w:r>
    </w:p>
    <w:p>
      <w:r>
        <w:t>Research source trail (starting point): https://ec.europa.eu/eurostat/api/dissemination/statistics/1.0/data/env_air_emis</w:t>
      </w:r>
    </w:p>
    <w:p>
      <w:r>
        <w:t>Catalogue record: 468</w:t>
      </w:r>
    </w:p>
    <w:p>
      <w:pPr>
        <w:pStyle w:val="Heading2"/>
      </w:pPr>
      <w:r>
        <w:t>181 — Decarbonisation scenarios, air quality and health in Poland to 2050 (Zyśk et al., Atmosphere, 2020)</w:t>
      </w:r>
    </w:p>
    <w:p>
      <w:r>
        <w:t>Earlier perspective. Original claim (Source; full text read via the MDPI article HTML; PDF download refused with 403): Authors from AGH Kraków. Three REFLEX scenarios: Mod-RES (policies decided as of 2015) and High-RES in centralised and decentralised variants (2 °C). The modelling chain is the REFLEX energy model system, then sectoral emissions on a 50 km grid, then the Polyphemus/Polair3D model (Europe at 1°, Poland at 0.25°, 2008 meteorology), then πESA with ExternE-type exposure-response functions. Only the power, household/tertiary and road-transport sectors c</w:t>
      </w:r>
    </w:p>
    <w:p>
      <w:r>
        <w:t>Developments since.  All series are Eurostat API, Poland; percentages are my calculations.   - `env_air_emis`, tonnes:     - Total PM2.5: 322,970 (2005), 296,590 (2015), 214,050 (2024); −27.8% from 2015 to 2024.     - Residential stationary (NFR1A4B1): 210,710 (2005), 202,540 (2015), 230,640 (2020), 163,190 (2024). That is −22.6% from 2005 to 2024, against 95–97% assumed for 2050, and still 76% of the 2024 total.     - Public electricity and heat (NFR1A1A) PM2.5: 9,240 (2005) → 1,790 (2024), i.e. −80.6%, already inside the 66–98% range assumed for 2050.     - Total NOx: 835,710 → 476,830 (−42.9%). SOx: 1,107,770 → 245,610 (−77.8%).   - `nrg_d_hhq`, household ene</w:t>
      </w:r>
    </w:p>
    <w:p>
      <w:r>
        <w:t>How these connect.  The study's qualitative finding is supported:   - Replacing household coal and old boilers is where Poland's air-quality and health gains lie.   - Decarbonising power adds little PM2.5 benefit because large plants are already controlled.    The 2024 inventory backs this (residential sources 76% of PM2.5 emissions, power 0.8%), as does the CATALYSE update (residential combustion delivers 87–89% of Poland's projected PM2.5 cut between 2030 and 2035).    The headline numbers carry less than the excerpt suggests:   - One scenario only. They are for High-RES centralised; the scenarios differ by ab</w:t>
      </w:r>
    </w:p>
    <w:p>
      <w:r>
        <w:t>Research source trail (starting point): https://powietrze.gios.gov.pl/pjp/content/exposure_dust_pm</w:t>
      </w:r>
    </w:p>
    <w:p>
      <w:r>
        <w:t>Catalogue record: 181</w:t>
      </w:r>
    </w:p>
    <w:p>
      <w:pPr>
        <w:pStyle w:val="Heading2"/>
      </w:pPr>
      <w:r>
        <w:t>260 — UK climate-pathway options and PM2.5 / public health (2018)</w:t>
      </w:r>
    </w:p>
    <w:p>
      <w:r>
        <w:t>Earlier perspective.  Williams et al., Public Health Research 6(7), 2018 (NIHR full report, 8,691 lines of text read: abstract, Ch. 2, 3, 6, 10). The UKTM energy-system model produced scenarios for the UK; emissions were turned into CMAQ air-quality runs for Great Britain (not the whole UK) for 2011, 2035 and 2050. Scenarios: Baseline (no climate action beyond what was already agreed; reaches only a 39% CO2e cut by 2050; nuclear phased out); LGHG and NRPO (both meet the then-current 80%-by-2050 Climate Change Act target and the carbon budgets through the Fourth; NR</w:t>
      </w:r>
    </w:p>
    <w:p>
      <w:r>
        <w:t>Developments since.    - UK PM2.5 concentrations: Defra accredited statistics, updated 30 Jun 2026, dataset `fig06_pm25_annual.csv`. Urban-background annual mean PM2.5: 2009 12.39; 2011 13.70; 2019 9.88; 2020 7.88; 2023 7.23; 2024 7.15; 2025 8.00 µg/m³. Roadside: 2011 15.96; 2024 7.54; 2025 8.55 µg/m³. Derived: urban background −42% (2011→2025), −48% (2011→2024), −35% (2009→2025). Defra notes 2009–2011 was a rising period and a plateau in 2015–2019. (https://www.gov.uk/government/statistics/air-quality-statistics/concentrations-of-particulate-matter-pm10-and-pm25 ; https://assets.publishing.service.gov.uk/media/6a3b9738eaee00074150f300/fig06_pm25_annual.csv)   -</w:t>
      </w:r>
    </w:p>
    <w:p>
      <w:r>
        <w:t>How these connect.  The study's lasting point is that decarbonisation relying on residential wood can slow PM2.5 progress. That is borne out qualitatively, but the real-world effect so far has been an offset within a strong overall decline, not a reversal. The large biomass expansion that did happen went mostly into power stations (tall stacks, abatement), not homes. Uncertainties:   - Modelled GB ward averages are not the same as monitored urban-background means.   - The report's 2011 inventory (KCL-improved, with domestic wood and cooking added) differs strongly from today's NAEI (residential wood PM2.5 of 22.</w:t>
      </w:r>
    </w:p>
    <w:p>
      <w:r>
        <w:t>Research source trail (starting point): https://www.gov.uk/government/statistics/air-quality-statistics/concentrations-of-particulate-matter-pm10-and-pm25</w:t>
      </w:r>
    </w:p>
    <w:p>
      <w:r>
        <w:t>Catalogue record: 260</w:t>
      </w:r>
    </w:p>
    <w:p>
      <w:pPr>
        <w:pStyle w:val="Heading2"/>
      </w:pPr>
      <w:r>
        <w:t>378 — Street-level PM10 across Europe: source apportionment and possible futures (2015)</w:t>
      </w:r>
    </w:p>
    <w:p>
      <w:r>
        <w:t xml:space="preserve">Earlier perspective.  Kiesewetter et al., ACP 15:1539–1553 (2015).   - Method: a GAINS station-level downscaling scheme for PM10 at ~1,850–1,870 AirBase stations (including &gt;300 traffic stations and 80% of the stations exceeding limits in 2009). Base year 2009. The daily limit (50 µg/m³ on no more than 35 days) is represented by an equivalent annual mean of 30 µg/m³ (±5 µg/m³ uncertainty band), with natural dust and sea salt subtracted.   - Scenarios for 2030: CLE (current legislation, the TSAP-revision baseline on PRIMES-2013 energy) and MTFR (maximum technically </w:t>
      </w:r>
    </w:p>
    <w:p>
      <w:r>
        <w:t xml:space="preserve">Developments since.    - EEA, Air quality status in Europe 2026, PM10 section (published 30 Apr 2026):     - In 2024, 12.5% of reporting stations were above the current daily limit, in 12 Member States (BG, HR, CY, FR, EL, IT, MT, PL, RO, SK, ES, SE) and 6 other countries; 87% urban, 10.3% suburban.     - In 2025 (preliminary), 4.8%, in 12 Member States (BG, HR, CZ, EL, HU, IT, MT, PL, RO, SK, ES, SE) and 3 others. DK, AL, XK, LI, ME, RS and TR had not submitted 2025 data.     - 4% of stations were above the 40 µg/m³ annual limit in 2024.     - Against the stricter 2030 standards: 70.3% of stations were below the new daily limit and 62.7% below the new 20 µg/m³ </w:t>
      </w:r>
    </w:p>
    <w:p>
      <w:r>
        <w:t>How these connect.  Qualitatively a good projection: it got the geography and the slow tail right. The quantitative comparison is shaky:   - EEA counts daily-limit exceedances at the stations currently reporting, without subtracting natural dust.   - The paper used an annual-mean equivalent at the 2009-operative stations, with natural sources removed.   - Saharan-dust years and changing station networks move the EEA share by several points between years.</w:t>
      </w:r>
    </w:p>
    <w:p>
      <w:r>
        <w:t>Research source trail (starting point): https://www.eea.europa.eu/en/analysis/publications/air-quality-status-report-2026/particulate-matter-pm10</w:t>
      </w:r>
    </w:p>
    <w:p>
      <w:r>
        <w:t>Catalogue record: 378</w:t>
      </w:r>
    </w:p>
    <w:p>
      <w:pPr>
        <w:pStyle w:val="Heading2"/>
      </w:pPr>
      <w:r>
        <w:t>466 — Forecasted vegetation change in European Russia under global warming (2012)</w:t>
      </w:r>
    </w:p>
    <w:p>
      <w:r>
        <w:t xml:space="preserve">Earlier perspective.  Malkhazova, Rumyantsev, Soldatov, Leonova &amp; Kislov, Geography, Environment, Sustainability 5(4):4–16 (2012).   - Method: static regressions on a 2°×2° grid. Vegetation sub-zone number (16 sub-zones, arctic tundra to southern desert) is regressed on the annual sum of temperatures &gt;10 °C (r = 0.97; Zon_ID = 1 + 0.0034·Sum_T). Average annual timber growth (m³/ha, State Forest Fund accounting 1961–1988/90; 36 regions, 23 forest regions) is regressed on Sum_T (r = 0.92; GT = −2.007 + 0.0026·Sum_T).   - Inputs: baseline climate 1961–1989 (NCEP/NCAR </w:t>
      </w:r>
    </w:p>
    <w:p>
      <w:r>
        <w:t>Developments since.  no official dataset measures the paper's variables (sub-zone boundaries in equilibrium; State Forest Fund timber growth by region) for 2046–2065. The intermediate evidence is of three kinds.   1. The driver (growing-season heat) is rising. Roshydromet, Report on climate features in the Russian Federation for 2022 (published 2023), Table 8.4, linear trends 1976–2022:      - sum of temperatures &gt;10 °C: +98 °C/decade in the Northwest FD, +112 Central, +88 Volga, +151 South, +61 Urals;      - the text gives ~90–170 °C/decade for European Russia overall, versus 50–60 in Asian Russia;      - Table 1.2: mean annual temperature in European Russia +0</w:t>
      </w:r>
    </w:p>
    <w:p>
      <w:r>
        <w:t>How these connect.  The thermal-potential part of the forecast looks robust; the realised-vegetation part was never claimed, and the evidence so far confirms its slow, local character. The productivity numbers are the weakest element, since a single-predictor regression (Sum_T only) cannot represent moisture stress, pests or management.   - Russian forest statistics changed system (FIP → NFI), so regional mean annual increment comparable to the 1961–1990 SAFF figures is not available in anything I opened.   - The Roshydromet trends cover farming-zone stations; the northern forest regions may differ.   - Treeline</w:t>
      </w:r>
    </w:p>
    <w:p>
      <w:r>
        <w:t>Research source trail (starting point): https://www.profiz.ru/upl/Doklad_o_klimate_RF_2022.pdf</w:t>
      </w:r>
    </w:p>
    <w:p>
      <w:r>
        <w:t>Catalogue record: 466</w:t>
      </w:r>
    </w:p>
    <w:p>
      <w:pPr>
        <w:pStyle w:val="Heading2"/>
      </w:pPr>
      <w:r>
        <w:t>487 — Climate, competition and connectivity affect future migration and ranges of European trees (2011)</w:t>
      </w:r>
    </w:p>
    <w:p>
      <w:r>
        <w:t>Earlier perspective.  Meier, Lischke, Schmatz &amp; Zimmermann, Global Ecology and Biogeography 21(2):164–178 (online 5 May 2011).   - Full text was not reachable: the Wiley pages returned 403 (Cloudflare); the green-OA Zenodo copy was deleted after a third-party take-down request; the WSL DORA PDF datastream returned 403. The full structured abstract was read via the Crossref API.   - Method: abundance-based SDMs for 14 tree species from 5,768 ICP Forests Level-1 plots plus climate, topography, soil and land use. Projections for the 21st century under A1fi/GRAS and B1</w:t>
      </w:r>
    </w:p>
    <w:p>
      <w:r>
        <w:t>Developments since.  no official statistic tracks tree migration rates. The relevant outcome evidence is observational ecology (repeated inventories, juvenile-versus-adult comparisons, historical maps), plus one newer dispersal-limited projection.   - Late-successional trees colonise slowly. Delzon et al. (PLoS ONE 8:e80443, 2013; full text via Europe PMC): forest inventories from 1880 to 2010 at the northern edge of Quercus ilex in SW France show real colonisation, but at a maximum of 22–57 m/yr, far slower than niche models predict. The authors note their rates (under 60 m/yr) are consistent with competition-and-dispersal models and with oak seed-dispersal dat</w:t>
      </w:r>
    </w:p>
    <w:p>
      <w:r>
        <w:t>How these connect.  The paper's central message, that migration lag is species-specific and strongly limits slow-dispersing late-successional trees, has held up and has become standard practice: EU-Trees4F provides dispersal-limited projections, and Hellegers 2025 recommends no-dispersal defaults for poor dispersers. Uncertainties:   - I could not read the full text (tables of range changes per species and the end year of the projections), so I cannot test species-level numbers.   - The observational studies cover different species, methods and regions from Meier's 14 species and ICP plots.   - Land-use change a</w:t>
      </w:r>
    </w:p>
    <w:p>
      <w:r>
        <w:t>Research source trail (starting point): https://api.crossref.org/works/10.1111/j.1466-8238.2011.00669.x</w:t>
      </w:r>
    </w:p>
    <w:p>
      <w:r>
        <w:t>Catalogue record: 487</w:t>
      </w:r>
    </w:p>
    <w:p>
      <w:pPr>
        <w:pStyle w:val="Heading2"/>
      </w:pPr>
      <w:r>
        <w:t>116 — UK fertility scenarios incorporating COVID-19 (2021)</w:t>
      </w:r>
    </w:p>
    <w:p>
      <w:r>
        <w:t>Earlier perspective. Original claim (Source; full text read: CPC Working Paper 95 version (Mar 2021) in full; accepted manuscript read through a summarising fetch; the authors' policy briefing and conference slides for the published version read in full. The Wiley published PDF was blocked): Berrington, Ellison, Kuang, Vasireddy and Kulu, Population, Space and Place 28(2), e2546 (online 29 Dec 2021).   - What was projected: period total fertility rate (TFR) and annual live births for England and Wales (E&amp;W), Scotland and Northern Ireland (NI), 2021–2023, from a 202</w:t>
      </w:r>
    </w:p>
    <w:p>
      <w:r>
        <w:t>Developments since.    - E&amp;W (ONS).     - TFR series as now published (Births in England and Wales: 2024 (refreshed populations), Figure 1 data file `fig1b/data.csv`): 2019 1.59, 2020 1.53, 2021 1.55, 2022 1.49, 2023 1.42, 2024 1.41.     - As first published: 2020 1.58 (bulletin 14 Oct 2021, "4.2% lower than 2019", which implies about 1.65 for 2019); 2021 1.55 (9 Aug 2022); 2022 1.49 (23 Feb 2024); 2023 1.44 (28 Oct 2024). The 27 Aug 2025 bulletin revised 2023 to 1.42 using revised mid-2022/23 population estimates.     - 2025: TFR 1.39. Source: bulletin 27 May 2026 (provisional), confirmed in the 2025 birth-registrations workbook, Table 1 (released 8 Sep 2026; T</w:t>
      </w:r>
    </w:p>
    <w:p>
      <w:r>
        <w:t>How these connect.    - The directional expectation held, but the path looks like the declining-baseline (pre-existing trend) scenarios more than a distinct pandemic bust:     - there was a 2021 rebound;     - fertility also fell at ages 30–39 (E&amp;W 30–34: 97.0→93.1 per 1,000, 2020→2023), where every pandemic adjustment assumed no fall or a rise; only the declining baselines carried a decline there;     - the fall continued in 2024–2025, after the pandemic.   - The causal premise (COVID as the driver) is not established, and the PDR review doubts it can be identified.   - Level comparisons are distorted by ONS po</w:t>
      </w:r>
    </w:p>
    <w:p>
      <w:r>
        <w:t>Research source trail (starting point): https://research-repository.st-andrews.ac.uk/handle/10023/24630</w:t>
      </w:r>
    </w:p>
    <w:p>
      <w:r>
        <w:t>Catalogue record: 116</w:t>
      </w:r>
    </w:p>
    <w:p>
      <w:pPr>
        <w:pStyle w:val="Heading2"/>
      </w:pPr>
      <w:r>
        <w:t>146 — Dutch Public Health Foresight Study 2018/20: dementia and expenditure to 2040 (2020)</w:t>
      </w:r>
    </w:p>
    <w:p>
      <w:r>
        <w:t>Earlier perspective. Original claim (Source; full text read: the record is a one-paragraph EUPHA 2020 conference abstract (Hilderink, EJPH 30 Suppl 5), read in full via Crossref; the underlying VTV-2018 Trend Scenario web report read; the 2020 update (base year 2018) that the abstract mentions could not be located, so its figures could not be verified):   - The abstract says that in the business-as-usual Trend Scenario:     - dementia will be by far the leading cause of mortality and disease burden in 2040;     - health-care expenditure will double by 2040, with ca</w:t>
      </w:r>
    </w:p>
    <w:p>
      <w:r>
        <w:t>Developments since.    - CBS StatLine table 7233, deaths by underlying cause (extended list); final through 2024, 2025 added 25 Sep 2026; all ages, both sexes.     - Dementia deaths (F01 + F03 + G30; F00 and F02 are coded 0 as underlying cause): 13,861 (2015), 16,259 (2018), 15,750 (2019), 14,279 (2020), 14,007 (2021), 15,604 (2022), 16,664 (2023), 17,358 (2024), 17,459 (2025).     - Share of all deaths: 9.4% (2015), 10.1% (2024).     - Total deaths: 147,134 (2015), 172,165 (2024).     - Ranking of single three-character codes:       - 2015: lung cancer C34 first (10,426), F03 9,098.       - 2019: F03 (unspecified dementia) first, 10,330 vs C34 10,226.</w:t>
      </w:r>
    </w:p>
    <w:p>
      <w:r>
        <w:t>How these connect.    - The qualitative core (dementia becomes the dominant cause of death and burden in an ageing Netherlands) is holding up, and earlier than 2040.   - The quantitative core (near tripling of dementia deaths by 2040) is behind schedule.   - The ranking depends on the cause list; DALY results differ between RIVM and GBD methods.   - Expenditure cannot yet be tested like-for-like (nominal versus constant prices, different scope).</w:t>
      </w:r>
    </w:p>
    <w:p>
      <w:r>
        <w:t>Research source trail (starting point): https://api.crossref.org/works/10.1093/eurpub/ckaa165.1290</w:t>
      </w:r>
    </w:p>
    <w:p>
      <w:r>
        <w:t>Catalogue record: 146</w:t>
      </w:r>
    </w:p>
    <w:p>
      <w:pPr>
        <w:pStyle w:val="Heading2"/>
      </w:pPr>
      <w:r>
        <w:t>269 — Trends and forecast of obesity in Finland (2018)</w:t>
      </w:r>
    </w:p>
    <w:p>
      <w:r>
        <w:t>Earlier perspective. Original claim (Source; abstract only: the record is itself a EUPHA 2018 conference abstract (Lundqvist, Koponen, Härkänen, Borodulin, Sääksjärvi, Koskinen, EJPH 28 Suppl 4, p. 359). No longer text exists; the full abstract was read via OpenAlex; OUP PDF blocked (403)):   - Data: four national measured health-examination surveys, 1978–2017; 26,956 people aged 30+.   - Trends 1978→2017:     - Obesity (BMI ≥30): men 12.0%→26.1%, women 18.9%→27.5%.     - Severe obesity (BMI ≥35): men 1.1%→5.9%, women 3.9%→9.5%.     - Mean BMI: men 25.7→27.7, women</w:t>
      </w:r>
    </w:p>
    <w:p>
      <w:r>
        <w:t>Developments since.    - FinTerveys 2017 (THL Report 4/2018, ch. 7, Table 7.3; measured).     - Age-standardised obesity at 30+: 26.1% (men), 27.5% (women), the same as the abstract's 2017 end points.     - Ages 30–64, 2011→2017: men 24%→27%, women 22%→26%.   - Healthy Finland (Terve Suomi) 2023 examination (measured height and weight; THL web report "Lihavuus", Lehtoranta et al., published 4 Dec 2023).     - Adults 20+: obesity 27% (men), 30% (women), about 1.2 million people.     - Appendix table 3 (updated 19 Apr 2024), share with BMI ≥30 by sex and age group, with 95% CI:</w:t>
      </w:r>
    </w:p>
    <w:p>
      <w:r>
        <w:t>How these connect.    - The direction and approximate pace held. The steepest recent rises were among younger working-age adults: obesity doubled and class II–III obesity tripled from 2000 to 2023 (Lundqvist 2025). The 2018 abstract gives no age breakdown to compare this with.   - Uncertainties:     - age bases differ across sources (30+, 20+, 30–64, 25–64);     - participation fell to 58% in 2023, and its weighting could bias levels;     - the abstract's model and parameters cannot be inspected.   - THL's own successor projection (40% by 2040) is steeper than the 2018 one, which supports "developed as envisione</w:t>
      </w:r>
    </w:p>
    <w:p>
      <w:r>
        <w:t>Research source trail (starting point): https://api.openalex.org/works/https://doi.org/10.1093/eurpub/cky214.146</w:t>
      </w:r>
    </w:p>
    <w:p>
      <w:r>
        <w:t>Catalogue record: 269</w:t>
      </w:r>
    </w:p>
    <w:p>
      <w:pPr>
        <w:pStyle w:val="Heading2"/>
      </w:pPr>
      <w:r>
        <w:t>283 — Future life expectancy in 35 industrialised countries: Bayesian model ensemble (2017)</w:t>
      </w:r>
    </w:p>
    <w:p>
      <w:r>
        <w:t xml:space="preserve">Earlier perspective. Original claim (Source; full text read: Kontis, Bennett, Mathers, Li, Foreman, Ezzati, Lancet 389:1323–35, online 22 Feb 2017; full text via Europe PMC plus the supplementary appendix):   - Method: an ensemble of 21 models, weighted by how well each predicted withheld data. It projects age-specific death rates to 2030 for 35 countries, using WHO data up to 2010–2014 depending on the country.   - Output: probabilistic forecasts as posterior medians with credible intervals. They are unconditional: no scenarios, no policy assumptions.   - Sex-gap </w:t>
      </w:r>
    </w:p>
    <w:p>
      <w:r>
        <w:t>Developments since.  observed gap at birth, female minus male. My arithmetic, using OECD Health Statistics (dataflow `OECD.ELS.HD,DSD_HEALTH_STAT@DF_LE,1.1`, measure LFEXP, age 0) for 32 countries; Eurostat `demo_mlexpec` (updated 25 Sep 2026) for Serbia; World Bank WDI `SP.DYN.LE00.{MA,FE}.IN` (updated 8 Oct 2026) for North Macedonia and Singapore.    | Country | Projected 2010→2030 (Kontis medians) | Observed 2010→2024 | Change so far |   |---|---|---|---|   | Mexico | 5.76→6.81 | 5.8→6.5 | widened, as projected |   | Chile | 6.21→6.15 (≈equal gains) | 5.9→4.8 | narrowed 1.1 |   | France | 6.93→6.81 (≈equal gains) | 7.1→5.6 | narrowed 1.5 |   | Greece | 4.74→4</w:t>
      </w:r>
    </w:p>
    <w:p>
      <w:r>
        <w:t>How these connect.    - The mechanism (male catch-up through falling smoking and cardiovascular mortality) is visible across much of Europe and East Asia. It has stalled where male mortality at working ages deteriorated or stagnated (USA, UK, Canada, Bulgaria) and was interrupted everywhere by COVID-19, which hit men harder.   - The 2030 medians had wide credible intervals, and most observed values are probably inside them. I did not test this, because the appendix gives intervals for life expectancy, not for the gap.   - The Chile/France/Greece "similar gains" detail is the weakest part of the forecast.</w:t>
      </w:r>
    </w:p>
    <w:p>
      <w:r>
        <w:t>Research source trail (starting point): https://www.ebi.ac.uk/europepmc/webservices/rest/search?query=DOI:%2210.1016/S0140-6736(16</w:t>
      </w:r>
    </w:p>
    <w:p>
      <w:r>
        <w:t>Catalogue record: 283</w:t>
      </w:r>
    </w:p>
    <w:p>
      <w:pPr>
        <w:pStyle w:val="Heading2"/>
      </w:pPr>
      <w:r>
        <w:t>70 — Pancreatic cancer burden in EU-28, projections to 2039 (2021)</w:t>
      </w:r>
    </w:p>
    <w:p>
      <w:r>
        <w:t>Earlier perspective. Original claim (Source; abstract only — full text blocked):   - Study: Yu J, Yang X, He W, Ye W, Int J Cancer 149(5), 2021.   - Method: GBD 2019 estimates for 1990–2019, covering the pre-Brexit EU-28 (EU-27 plus the UK). The authors projected to 2039 with a Bayesian age-period-cohort (BAPC) model.   - Projected numbers in the abstract (1990 / 2019 / 2039):     - New cases: 59,000 / 109,000 / 147,000.     - Deaths: 60,000 / 109,000 / 155,000.     - DALYs: 1.3 million / 2.0 million / 2.7 million.   - Age-standardised incidence rose from 8.6 to 10</w:t>
      </w:r>
    </w:p>
    <w:p>
      <w:r>
        <w:t>Developments since.    - Eurostat `hlth_cd_aro`, registered deaths, ICD-10 C25, both sexes, all ages (dataset updated 2026-09-24):     - EU27_2020: 69,712 (2011), 83,725 (2019), 84,575 (2020), 84,723 (2021), 85,917 (2022), 87,856 (2023).     - EU28: 78,074 (2011), 91,224 (2018).     - UK: 9,573 (2018). The UK is absent after 2018.     - EU-27 2023 by sex: men 44,069, women 43,785.     - EU-27 by age, 2019→2023: 85 and over 14,079 → 15,571 (+10.6%); under 65 18,037 → 17,774 (−1.5%). Growth is concentrated in the oldest ages, as the study expected.   - Eurostat `hlth_cd_asdr2`, standardised death rate per 100,000, C25:</w:t>
      </w:r>
    </w:p>
    <w:p>
      <w:r>
        <w:t>How these connect.    - The qualitative claim (substantial count increase with flat rates) is holding so far.   - The quantitative path is uncertain:     - GBD-modelled levels sit about 17% above registered counts.     - The UK left the Eurostat series after 2018, so EU-28 can no longer be tracked directly.     - Alternative projections bracket Yu's path. GBD 2021 implies faster growth, with Western Europe deaths about 2.2% a year and rising rates. The Annals predictions show only small rate increases.   - Note that I judged the original from the abstract only.</w:t>
      </w:r>
    </w:p>
    <w:p>
      <w:r>
        <w:t>Research source trail (starting point): https://www.ebi.ac.uk/europepmc/webservices/rest/search?query=DOI:10.1002/ijc.33617&amp;resultType=core</w:t>
      </w:r>
    </w:p>
    <w:p>
      <w:r>
        <w:t>Catalogue record: 70</w:t>
      </w:r>
    </w:p>
    <w:p>
      <w:pPr>
        <w:pStyle w:val="Heading2"/>
      </w:pPr>
      <w:r>
        <w:t>94 — Future heat mortality risk for major European cities (2021)</w:t>
      </w:r>
    </w:p>
    <w:p>
      <w:r>
        <w:t>Earlier perspective. Original claim (Source; full text read on journals.ametsoc.org, WCAS 13(4), 2021; Tables 5 and 6 read as images):   - Authors: Karwat and Franzke.   - Method:     - They regressed monthly all-cause deaths per 100,000 on the summer (June–August) mean of daily maximum temperature (TX).     - Mortality data come from the national statistics offices: France and Spain 1950–2018; Germany 1990–2018, with German 1950–1989 back-filled from the regression.     - R² is about 0.2 (Germany, France) and about 0.4 (Spain).     - They applied the regression to</w:t>
      </w:r>
    </w:p>
    <w:p>
      <w:r>
        <w:t>Developments since.    - Lancet Countdown Europe 2024, indicator 1.1.4 (PMC11209670):     - Heat-related mortality rose in 771 of 823 regions (94%) between 2003–12 and 2013–22.     - Mean rate rose from 50.8 to 68.0 per 100,000, an increase of +17.2 (95% CI 10.3–24.9).     - Country increases ranged from Spain, the largest at +39.9 per 100,000, to Iceland at +1.0.   - Ballester et al. 2023, Nat Med, Table 1 (PMC10353926), summer 2022 heat-related deaths: Europe 61,672; Spain 11,324 (237 per million); Germany 8,173 (98 per million); France 4,807 (73 per million).   - Annual European totals, Nat Med abstracts (Europe PMC):     - 47,690 in 2023 (PMID 39134730). Tha</w:t>
      </w:r>
    </w:p>
    <w:p>
      <w:r>
        <w:t>How these connect.    - Direction and the "especially Spain" ordering are holding in observations to 2024.   - The quantitative trends cannot be compared directly: the study's metric is "excess deaths above a TX–monthly-death regression line, % per decade", which no outcome dataset reports.   - Rising heat mortality is a shared expectation, so agreement adds little support for this particular model.</w:t>
      </w:r>
    </w:p>
    <w:p>
      <w:r>
        <w:t>Research source trail (starting point): https://journals.ametsoc.org/view/journals/wcas/13/4/WCAS-D-20-0142.1.xml</w:t>
      </w:r>
    </w:p>
    <w:p>
      <w:r>
        <w:t>Catalogue record: 94</w:t>
      </w:r>
    </w:p>
    <w:p>
      <w:pPr>
        <w:pStyle w:val="Heading2"/>
      </w:pPr>
      <w:r>
        <w:t>362 — Heat- and cold-related mortality in the Netherlands, 2050 scenarios (2015)</w:t>
      </w:r>
    </w:p>
    <w:p>
      <w:r>
        <w:t>Earlier perspective. Original claim (Source; full text read, PMC4627032):   - Authors: Huynen and Martens, IJERPH 12:13295.   - Exposure-response functions (ERFs): from Huynen et al. 2001 (Netherlands, 1979–1997), a linear threshold model with an optimum of 16.5 °C daily mean. Total mortality rises 2.72% per °C above the optimum and 1.37% per °C below it, with lags up to one month.   - Temperature: De Bilt daily series, baseline 1981–2010, transformed to the four KNMI'14 scenarios for 2050 (2035–2065 window). Annual warming at De Bilt is +1.1 °C (GL), +1.5 °C (GH),</w:t>
      </w:r>
    </w:p>
    <w:p>
      <w:r>
        <w:t>Developments since.    - KNMI De Bilt daily mean temperature (station 260, from the daggegevens service). KNMI flags the series as inhomogeneous; I used it because the paper used De Bilt. Own calculation with the paper's optimum and ERFs:      | Period | Heat exposure (°C/day) | Cold exposure (°C/day) | Model PAFheat | Model PAFcold |     |---|---|---|---|---|     | 1981–2010 | 0.440 | 6.777 | 1.18% | 8.81% |     | 2015–2024 | 0.618 | 5.868 | 1.64% | 7.67% |</w:t>
      </w:r>
    </w:p>
    <w:p>
      <w:r>
        <w:t>How these connect.    - The study's framing, that outcomes depend as much on adaptation as on climate, is borne out by later Dutch evidence of falling heat vulnerability.   - The ranges are wide enough that almost any outcome fits within them.   - Cold-attributable estimates are method-sensitive (8.90% here versus 3.68% in Masselot), so absolute values are not comparable across studies.   - The ERFs date from 1979–1997 and are probably out of date.</w:t>
      </w:r>
    </w:p>
    <w:p>
      <w:r>
        <w:t>Research source trail (starting point): https://pmc.ncbi.nlm.nih.gov/articles/PMC4627032/</w:t>
      </w:r>
    </w:p>
    <w:p>
      <w:r>
        <w:t>Catalogue record: 362</w:t>
      </w:r>
    </w:p>
    <w:p>
      <w:pPr>
        <w:pStyle w:val="Heading2"/>
      </w:pPr>
      <w:r>
        <w:t>12 — Convergence of population structures of EU member states (2022)</w:t>
      </w:r>
    </w:p>
    <w:p>
      <w:r>
        <w:t>Earlier perspective. Original claim (Source; full text read)   - Krupowicz &amp; Kuropka, Sustainability 14(2):1024. I read the 24-page PDF from MDPI's resource server; the main MDPI site returned "Access Denied" to direct download.   - Inputs. The study computes ten age-structure indicators: the shares of 0–9, 0–19, 20–64, 65+ and 80+; the youth index; the double-ageing index; median age; and the young- and old-age dependency ratios, both on a 20–64 base. It also builds a TOPSIS synthetic indicator for the EU-27. Data: observed Eurostat values for 2004–2020 (`demo_pja</w:t>
      </w:r>
    </w:p>
    <w:p>
      <w:r>
        <w:t>Developments since. Best direct evidence (Source)   1. Reproduction check. From `proj_19ndbi` I reproduce the paper's Table 2 values for 2050 exactly for all eight indicators I could rebuild. My 2020→2050 beta slopes are close to Table 3:       | Indicator | My slope | Paper's slope |      |---|---|---|      | 65+ share | −0.472 | −0.455 |      | Old-age dependency | −0.426 | −0.413 |      | 80+ share | −0.366 | −0.353 |</w:t>
      </w:r>
    </w:p>
    <w:p>
      <w:r>
        <w:t>How these connect. Own conclusion and uncertainty   - The study is a careful, reproducible analysis of one projection round. Its robust part is the direction of ageing; that holds in observations and in two later rounds.   - Its convergence conclusion depends on the indicator and the projection round, as the authors themselves caution.   - Uncertainties:     - Five observed years.     - Census breaks.     - Revision of projection assumptions: higher migration in EUROPOP2023 and 2025, and treatment of Ukrainian refugees.     - Outliers (Malta, Luxembourg) that shift the regression results.</w:t>
      </w:r>
    </w:p>
    <w:p>
      <w:r>
        <w:t>Research source trail (starting point): https://ec.europa.eu/eurostat/web/products-eurostat-news/w/ddn-20260416-1</w:t>
      </w:r>
    </w:p>
    <w:p>
      <w:r>
        <w:t>Catalogue record: 12</w:t>
      </w:r>
    </w:p>
    <w:p>
      <w:pPr>
        <w:pStyle w:val="Heading2"/>
      </w:pPr>
      <w:r>
        <w:t>182 — Convergence or divergence of labour resources in Poland (2020)</w:t>
      </w:r>
    </w:p>
    <w:p>
      <w:r>
        <w:t>Earlier perspective. Original claim (Source; full text read)   - Krupowicz, Prace Naukowe Uniwersytetu Ekonomicznego we Wrocławiu 64(4):75–100, DOI 10.15611/pn.2020.4.07. I read the full PDF from the Lower Silesian Digital Library (dbc.wroc.pl). The journal site blocked automated access with Cloudflare.   - The study's own analysis is retrospective. It tests beta-, sigma- and gamma-convergence across Poland's 16 voivodeships, in total and split by urban and rural areas. It uses three Polish national statistics office (GUS) indicators: the share of working-age popul</w:t>
      </w:r>
    </w:p>
    <w:p>
      <w:r>
        <w:t>Developments since. Best direct evidence (Source)   1. Can the cited numbers be reproduced? The round available in January 2020 (presumably EUROPOP2018) is no longer served: `proj_18np` returns 404 and is absent from the Eurostat catalogue. I therefore could not verify the exact 2.3 m and 6.0 m figures. Later rounds give nearly the same result.      - EUROPOP2019 (`proj_19np`, summed single ages): Poland 20–64 is 23.39 m (2020) → 21.69 m (2030) → 18.26 m (2050).      - EUROPOP2023 (`proj_23np`): 22.84 m (2022) → 21.86 m (2030) → 18.43 m (2050).      - EUROPOP2025 (`proj_25np`): 22.03 m (2025) → 21.63 m (2030) → 18.06 m (2050).      - Against the observed 2018 ba</w:t>
      </w:r>
    </w:p>
    <w:p>
      <w:r>
        <w:t>How these connect. Own conclusion and uncertainty   - The claim is a faithful citation of a robust projection: three revisions moved Poland's 2050 20–64 figure by only 0.4 m.   - Main uncertainties:     - migration, including whether the roughly 1 m Ukrainian refugees stay;     - the census break;     - fertility, which matters little for the 2050 working-age population because most of that cohort is already born.   - The specific 2.3 m and 6.0 m figures could not be traced to a still-published dataset.</w:t>
      </w:r>
    </w:p>
    <w:p>
      <w:r>
        <w:t>Research source trail (starting point): https://journals.uew.pl/pn/article/view/561</w:t>
      </w:r>
    </w:p>
    <w:p>
      <w:r>
        <w:t>Catalogue record: 182</w:t>
      </w:r>
    </w:p>
    <w:p>
      <w:pPr>
        <w:pStyle w:val="Heading2"/>
      </w:pPr>
      <w:r>
        <w:t>231 — A forecast of international migration flows into EU countries until 2050 (2018)</w:t>
      </w:r>
    </w:p>
    <w:p>
      <w:r>
        <w:t xml:space="preserve">Earlier perspective. Original claim (Source; full text read)   - Polovyi, Przegląd Politologiczny 2018(4):79–87, DOI 10.14746/pp.2018.23.4.6. Full PDF from the journal repository (pressto.amu.edu.pl).   - Method. The author uses his own "synergetic" model of migration between the 118 countries with more than 5 m inhabitants. Each country pair has a mutual attractiveness driven mainly by diaspora size and recent migrant-stock growth.     - Inputs: UN DESA migrant stocks for 1990–2015 (Rev. 2015) and the UN WPP 2015 medium variant.     - Scope: legal migration only, </w:t>
      </w:r>
    </w:p>
    <w:p>
      <w:r>
        <w:t xml:space="preserve">Developments since. Best direct evidence (Source)   1. Same source family Polovyi used: UN DESA International Migrant Stock 2024 (Tables 1 and 3, mid-year, both sexes)      - Aggregate. The stock over Polovyi's 25 destinations was 72.54 m (2015) → 79.54 m (2020) → 89.98 m (2024). His 2050 forecast of 80 m was already reached in 2020 and exceeded by about 10 m in 2024.        - Part of the gap is a level revision: UN Rev. 2024 puts 2015 at 72.5 m, against the 64.6 m implied by his 2015 base shares.        - The growth is the decisive part: +17.4 m in 9 years observed, against +16 m forecast for 35 years.        - Without Russia, Ukraine, Belarus and Serbia (that </w:t>
      </w:r>
    </w:p>
    <w:p>
      <w:r>
        <w:t>How these connect. Own conclusion and uncertainty   - The forecast is a diaspora-driven extrapolation that cannot anticipate large pull or shock events. Examples: the 2015–16 asylum arrivals entering stocks, labour migration to Spain and central Europe, and the 2022 displacement from Ukraine.   - Its systematic underestimate was visible before 2022.   - Uncertainties:     - Definitions differ: UN stock versus foreign-born versus legal-migrant scope. Polovyi excludes irregular migration, though UN stocks largely do too.     - UN data revisions change 2015 levels.     - Refugee return could reduce stocks after 202</w:t>
      </w:r>
    </w:p>
    <w:p>
      <w:r>
        <w:t>Research source trail (starting point): https://pressto.amu.edu.pl/index.php/pp/article/download/17043/16847/34665</w:t>
      </w:r>
    </w:p>
    <w:p>
      <w:r>
        <w:t>Catalogue record: 231</w:t>
      </w:r>
    </w:p>
    <w:p>
      <w:pPr>
        <w:pStyle w:val="Heading2"/>
      </w:pPr>
      <w:r>
        <w:t>475 — Climatic suitability of Europe for *Aedes albopictus*: recent trends and future scenarios (2012)</w:t>
      </w:r>
    </w:p>
    <w:p>
      <w:r>
        <w:t>Earlier perspective.  Caminade et al., J R Soc Interface 9:2708–2717 (CC BY). Read in full through Europe PMC's full-text XML (PMC3427500). PMC itself served a captcha, and the doi.org link was not on the allowlist.   - Models: three climate-only suitability models.     - Model 1: annual mean temperature (fully suitable above 12 °C), behind an overwintering mask of annual rainfall &gt;500 mm and January mean &gt;0 °C.     - Model 2: the ECDC multi-criteria model, using annual rainfall, January temperature and summer temperature.     - Model 3: the Medlock seasonal-activi</w:t>
      </w:r>
    </w:p>
    <w:p>
      <w:r>
        <w:t>Developments since.    - ECDC/EFSA VectorNet map, April 2026 (page dated 3 June 2026; map produced 1 June 2026): Ae. albopictus established in 384 EU/EEA regional units in 16 countries. Units established out of total:      | Country | Established units |     |---|---|     | Austria | 3/9 |     | Belgium | 4/11 |     | Bulgaria | 26/28 |</w:t>
      </w:r>
    </w:p>
    <w:p>
      <w:r>
        <w:t>How these connect.    - Where the mosquito lives is not the same as where the climate suits it. Spread northward also reflects introductions and colonisation of a niche the mosquito had not yet filled, so it confirms the northern projection only loosely. Likewise, its presence in the south does not prove that 2030–2050 climate will stay suitable.   - However, models 1 and 3 already simulated falling suitability over southern Spain and Sardinia for 1990–2009. The mosquito was in Sardinia by 2011 and is now established across Andalusia.   - This suggests the rainfall and overwintering thresholds were too strict fo</w:t>
      </w:r>
    </w:p>
    <w:p>
      <w:r>
        <w:t>Research source trail (starting point): https://www.ecdc.europa.eu/en/publications-data/aedes-albopictus-current-known-distribution-april-2026</w:t>
      </w:r>
    </w:p>
    <w:p>
      <w:r>
        <w:t>Catalogue record: 475</w:t>
      </w:r>
    </w:p>
    <w:p>
      <w:pPr>
        <w:pStyle w:val="Heading2"/>
      </w:pPr>
      <w:r>
        <w:t>291 — Climatic suitability of leishmaniasis sand-fly vectors in Europe (2017)</w:t>
      </w:r>
    </w:p>
    <w:p>
      <w:r>
        <w:t>Earlier perspective.  Koch, Kochmann, Klimpel &amp; Cunze, Sci Rep 7:13325 (CC BY). Read in full through Europe PMC full-text XML (PMC5645347). Fig. 6 viewed from the publisher's image server.   - Method:     - Ensemble niche models: biomod2, 10 algorithms, AUC-weighted consensus (AUC &gt;0.95 for all species).     - Ten Phlebotomus species: eight proven vectors, plus P. mascittii and P. similis, which are suspected.     - 1,585 occurrence cells, drawn from 2,236 literature records.     - Six bioclimatic variables, with WorldClim 1960–1990 as the current climate.   - Futu</w:t>
      </w:r>
    </w:p>
    <w:p>
      <w:r>
        <w:t>Developments since.    - ECDC/EFSA VectorNet phlebotomine maps, April 2026 (all pages dated 3 June 2026; maps produced 1 June 2026). Changes since October 2023, as stated on each page:      | Species | Newly known present | Newly reported as introduced |     |---|---|---|     | P. alexandri | 3 units (2 in Algeria) | — |     | P. ariasi | 2 units (in Algeria) | — |     | P. mascittii | 4 units in 4 countries | — |</w:t>
      </w:r>
    </w:p>
    <w:p>
      <w:r>
        <w:t>How these connect.    - The paper's testable core is climatic suitability, which nobody measures directly.   - Observed range data are dominated by sampling effort: much of Germany is "no data", and VectorNet notes 450 new P. neglectus reports in a single 2023 update.   - Older northward records (P. mascittii and P. perniciosus in Germany and Belgium, P. neglectus in southern Switzerland) predate the paper or reflect better surveillance.   - The only movement so far is at existing edges. A modest early "partly" reading for northward movement would rest on the ECDC factsheet's 2014–2020 evidence, not on post-2017</w:t>
      </w:r>
    </w:p>
    <w:p>
      <w:r>
        <w:t>Research source trail (starting point): https://www.ecdc.europa.eu/en/publications-data/phlebotomus-</w:t>
      </w:r>
    </w:p>
    <w:p>
      <w:r>
        <w:t>Catalogue record: 291</w:t>
      </w:r>
    </w:p>
    <w:p>
      <w:pPr>
        <w:pStyle w:val="Heading2"/>
      </w:pPr>
      <w:r>
        <w:t>398 — Agent-based assessment of land use change in the montado, Portugal (2014)</w:t>
      </w:r>
    </w:p>
    <w:p>
      <w:r>
        <w:t>Earlier perspective.  Acosta, Rounsevell, Bakker, Van Doorn, Gómez-Delgado &amp; Delgado, Intelligent Information Management 6:55–80 (CC BY). Full 26-page PDF read from the KIT repository.   - Model: a NetLogo agent-based model of 28 farmers, more than 90% of the farmers in Amendoeira da Serra (Mértola municipality, Alentejo).   - Study area: 44 km², on a 20 m grid.   - Inputs:     - a land-use map for 2000 from aerial photographs;     - a farmer survey from 2004;     - suitability maps from logistic regression on the 1958 and 2000 land-use maps.   - Scenario: one only</w:t>
      </w:r>
    </w:p>
    <w:p>
      <w:r>
        <w:t>Developments since. Best direct evidence (Source and own computation):   - Locating the case-study frame. The grid in Fig. 10(a), x 236,000–244,300 and y 90,000–95,300, matches the Portuguese military grid (EPSG:20790). On that reading:     - Amendoeira da Serra (OpenStreetMap Nominatim: 37.7896 N, 7.6923 W) falls at about (238,830; 91,538), inside the frame near where the parcels converge;     - the frame measures 4,399 ha, matching the stated 44 km².      This geolocation is my own inference. The paper's printed coordinates (37°40'N, 7°47'"E") are inconsistent with it.   - Montado land cover 2018 (Marques et al. 2025, Zenodo record 14899825, CC BY; visual inte</w:t>
      </w:r>
    </w:p>
    <w:p>
      <w:r>
        <w:t>How these connect.    - The study's broad message holds as a regional observation: the montado is declining but persistent. The local quantities (about −17% by 2018, −32% by 2050) are not borne out by any data I could get, and coarse CORINE data point the other way.   - The observed regional decline is driven mainly by wildfire and tree mortality, mechanisms the model does not include; the model's mechanism is economic abandonment.   - Whether montado is still the "dominant" land use in the frame depends on classification. In the 2018 montado layer it covers 35%. In CORINE 2018, transitional woodland–shrub (1,98</w:t>
      </w:r>
    </w:p>
    <w:p>
      <w:r>
        <w:t>Research source trail (starting point): https://publikationen.bibliothek.kit.edu/1000080882/7035846</w:t>
      </w:r>
    </w:p>
    <w:p>
      <w:r>
        <w:t>Catalogue record: 398</w:t>
      </w:r>
    </w:p>
    <w:p>
      <w:pPr>
        <w:pStyle w:val="Heading2"/>
      </w:pPr>
      <w:r>
        <w:t>180 — Systemic design for circular regions (2020)</w:t>
      </w:r>
    </w:p>
    <w:p>
      <w:r>
        <w:t>Earlier perspective.  Giraldo Nohra, Pereno &amp; Barbero, Sustainability 12:4494, published 1 June 2020. The study is qualitative and has two stages. First comes a literature review on systemic design (SD), policy design and barriers to the circular economy (CE). Second comes a case study of the Interreg Europe RETRACE project (2016–2020), covering Piedmont, the Basque Country, Nouvelle-Aquitaine, North-East Romania and Slovenia. The regional action-plan actions are tabulated with outcomes rated achieved, partially achieved or delayed. The paper has three kinds of for</w:t>
      </w:r>
    </w:p>
    <w:p>
      <w:r>
        <w:t>Developments since.    - Eurostat dataset cei_srm030 (API JSON; data updated 24 Nov 2025, timestamp 5 Jan 2026), EU27 CMU rate:      | Year | 2004 | 2010 | 2015 | 2017 | 2018 | 2019 | 2020 | 2021 | 2022 | 2023 | 2024 |     |---|---|---|---|---|---|---|---|---|---|---|---|     | CMU rate (%) | 8.2 | 10.7 | 11.2 | 11.5 | 11.6 | 11.1 | 11.2 | 11.1 | 11.4 | 12.1 | 12.2 (imputed) |      URL: https://ec.europa.eu/eurostat/api/dissemination/statistics/1.0/data/cei_srm030?format=JSON&amp;lang=EN&amp;geo=EU27_2020</w:t>
      </w:r>
    </w:p>
    <w:p>
      <w:r>
        <w:t>How these connect.    - The paper is a useful case study of policy design, not a foresight claim. The catalogue's choice of its opening sentence makes it look predictive.   - EU policy did expand after 2020. Rajić et al.'s references include the new Circular Economy Action Plan (COM(2020) 98) and Regulations (EU) 2024/1781 (ecodesign) and 2024/3110 (construction products). Material flows, however, have moved only slightly.   - The CMU rate is a crude proxy. It is driven by domestic material consumption, it gets revised, and the latest year is imputed. Its trend therefore says little about regional transitions li</w:t>
      </w:r>
    </w:p>
    <w:p>
      <w:r>
        <w:t>Research source trail (starting point): https://ec.europa.eu/eurostat/api/dissemination/statistics/1.0/data/cei_srm030?format=JSON&amp;lang=EN&amp;geo=EU27_2020</w:t>
      </w:r>
    </w:p>
    <w:p>
      <w:r>
        <w:t>Catalogue record: 180</w:t>
      </w:r>
    </w:p>
    <w:p>
      <w:pPr>
        <w:pStyle w:val="Heading2"/>
      </w:pPr>
      <w:r>
        <w:t>213 — Nutrient criteria under the Water Framework Directive (2019)</w:t>
      </w:r>
    </w:p>
    <w:p>
      <w:r>
        <w:t>Earlier perspective.  Poikane, Kelly, Salas Herrero, Pitt, Jarvie, Claussen, Leujak, Lyche Solheim, Teixeira &amp; Phillips, Science of the Total Environment 695:133888 (2019). Read in full via PMC6878824 and the Europe PMC full-text XML.   - What the study does: reviews the nutrient thresholds Member States use to support good ecological status, based on a questionnaire, comparisons by water type, and Kruskal-Wallis and Dunn tests.   - Main findings:     - Criteria reported by Member States: 28 for rivers, 26 for lakes, 23 for coastal waters, 18 for transitional water</w:t>
      </w:r>
    </w:p>
    <w:p>
      <w:r>
        <w:t>Developments since.    - European Commission, COM(2025) 2 final, 4 Feb 2025: report on implementation of the WFD and Floods Directive, third river basin management plans (RBMPs) 2022–2027 (Council document 6014/25). https://data.consilium.europa.eu/doc/document/ST-6014-2025-INIT/en/pdf     - Ecological status: 39.5% of surface water bodies are in good ecological status or potential (data mainly 2016–2021). The same countries reported 39.1% in the second RBMPs (data 2009–2015). (printed p. 5)     - Eutrophication under the Nitrates Directive: 36% of rivers, 32% of lakes, 31% of coastal, 32% of transitional and 81% of marine waters are eutrophic. (p. 5)     - Most</w:t>
      </w:r>
    </w:p>
    <w:p>
      <w:r>
        <w:t>How these connect.    - The paper's substantive point is that inconsistent and sometimes lax nutrient criteria may hinder good status. This is consistent with the Commission's notes on a harmonisation gap, stagnating nutrient concentrations and insufficient measures.   - However, the Commission's statement (p. 18) that no Member State uses nutrient-concentration thresholds to assess good ecological status conflicts on its face with Poikane et al.'s inventory, which found that most Member States have such criteria. The Commission probably means something narrower, but the report does not define it, so the conflic</w:t>
      </w:r>
    </w:p>
    <w:p>
      <w:r>
        <w:t>Research source trail (starting point): https://data.consilium.europa.eu/doc/document/ST-6014-2025-INIT/en/pdf</w:t>
      </w:r>
    </w:p>
    <w:p>
      <w:r>
        <w:t>Catalogue record: 213</w:t>
      </w:r>
    </w:p>
    <w:p>
      <w:pPr>
        <w:pStyle w:val="Heading2"/>
      </w:pPr>
      <w:r>
        <w:t>384 — Extensification and the demitarian 2030 scenario (2015)</w:t>
      </w:r>
    </w:p>
    <w:p>
      <w:r>
        <w:t>Earlier perspective. Original claim (Source; full text and supplement read): van Grinsven, Erisman, de Vries &amp; Westhoek, Environmental Research Letters 10:025002 (26 Jan 2015).   - What the paper is: a review of cases and scenario studies on sustainable extensification, meaning lower N inputs and livestock densities. Its own quantified material is the Dutch livestock-reduction scenario and analyses of farm-level costs.   - Where the EU27 2030 numbers come from: they are not new modelling. They are taken from Westhoek et al. (2011), PBL's The Protein Puzzle, which u</w:t>
      </w:r>
    </w:p>
    <w:p>
      <w:r>
        <w:t>Developments since.    - Has the scenario's condition materialised? No. FAO food balance data via Our World in Data (food available for consumption, kg per person per year, EU27; OWID last updated 25 Feb 2026, FAOSTAT release of 28 Oct 2025):      | | 2010 | 2015 | 2023 | Change 2015–2023 (my arithmetic) |     |---|---|---|---|---|     | Meat | 84.9 | 81.6 | 78.5 | −3.7% |     | Milk, excluding butter | 196.6 | 200.4 | 232.8 | +16.2% |     | Eggs | 12.8 | 12.5 | 13.4 | +8.0% |</w:t>
      </w:r>
    </w:p>
    <w:p>
      <w:r>
        <w:t xml:space="preserve">How these connect.    - The excerpt is accurate as a quotation, but it gives borrowed results from one model chain more precision than they have.   - The N effect of a 50% cut ranges from about 10% (reactive-N production in LEITAP–IMAGE, with trade leakage) to about 40% (MITERRA-Europe, with production assumed to fall in step). The difference reflects whether EU production follows EU consumption, and The Protein Puzzle notes that rebound and leakage typically halve the benefits.   - The land-outside-Europe result (about 108 Mha) depends on modelled trade responses that are not observable.   - Fair to the study: </w:t>
      </w:r>
    </w:p>
    <w:p>
      <w:r>
        <w:t>Research source trail (starting point): https://ourworldindata.org/grapher/meat-supply-per-person.csv,</w:t>
      </w:r>
    </w:p>
    <w:p>
      <w:r>
        <w:t>Catalogue record: 384</w:t>
      </w:r>
    </w:p>
    <w:p>
      <w:pPr>
        <w:pStyle w:val="Heading2"/>
      </w:pPr>
      <w:r>
        <w:t>393: Time banks, co-production and foresight (2015)</w:t>
      </w:r>
    </w:p>
    <w:p>
      <w:r>
        <w:t>Earlier perspective.  Amanatidou, Gritzas and Kavoulakos, Foresight 17(4): 308–331, published 10 Aug 2015.   - Full text could not be obtained:     - The Emerald page is paywalled. WebFetch showed only the abstract plus a purchase prompt, and curl hit a Cloudflare challenge.     - OpenAlex lists the paper as closed, with no repository full text.     - The Manchester repository record has no file.     - The Aristotle University repository (IKEE) record was blocked (robots rule, then a connection timeout).   - What the abstract describes: a qualitative study of the f</w:t>
      </w:r>
    </w:p>
    <w:p>
      <w:r>
        <w:t>Developments since.    - I found no official statistics on time banks at Greek or EU level.   - The search budget ran out before I could look for a later census of Greek time banks, so whether the four Athens banks were still active after 2015: could not verify.   - Related evidence opened:     - Sotiropoulou (2011), IJCCR 15(D): 27–31, full text. The Athens Timebank (Greek branch of the European Network of Women) started in October 2006, applied a six-month expiry to hours, and mostly exchanged language and PC-skills lessons. It was resuming operations in September 2010 despite its parent NGO's financial problems. https://www.ijccr.net/article/download/9125/887</w:t>
      </w:r>
    </w:p>
    <w:p>
      <w:r>
        <w:t>How these connect.    - The study is a small-n exploratory case study with a normative message, so there is no prediction to check.   - One could read an implicit expectation into the title ("towards an alternative future"): that crisis-born time banks would seed a co-produced alternative. The only nearby evidence I could open shows English timebanks closing or retreating to group activity, which suggests the model is fragile. But I have no data on Greece, so this cannot be applied to the claim.   - Uncertainty about the Greek trajectory is high.</w:t>
      </w:r>
    </w:p>
    <w:p>
      <w:r>
        <w:t>Research source trail (starting point): https://www.ijccr.net/article/download/9125/8875/25099</w:t>
      </w:r>
    </w:p>
    <w:p>
      <w:r>
        <w:t>Catalogue record: 393</w:t>
      </w:r>
    </w:p>
    <w:p>
      <w:pPr>
        <w:pStyle w:val="Heading2"/>
      </w:pPr>
      <w:r>
        <w:t>394: Transport demand evolution in Europe – factors of change, scenarios and challenges (2015)</w:t>
      </w:r>
    </w:p>
    <w:p>
      <w:r>
        <w:t>Earlier perspective.    - Bernardino, Aggelakakis, Reichenbach, Vieira, Boile, Schippl, Christidis, Papanikolaou, Condeço, Garcia and Krail, Eur J Futures Res (2015) 3:13, published 18 Nov 2015. FP7 project FUTRE, grant 314181. All 13 pages of the KIT repository PDF were read.   - Method: an inductive scenario analysis inspired by the Manoa approach. It covers transport demand only (passenger and freight, the whole transport "world" seen from Europe) to 2050. Inputs: a literature review, an 11-expert workshop (Arrábida, March 2013), interviews and a causal-loop dia</w:t>
      </w:r>
    </w:p>
    <w:p>
      <w:r>
        <w:t>Developments since.  Eurostat, EU27_2020.   - Car share of inland passenger-km (`tran_hv_psmod`, %): 82.6 (2015, e); 82.7 (2019, e); 87.2 (2020, e); 82.5 (2024, b/e). Train 7.6 (2015, e) → 8.9 (2024, b/e). Bus and coach 9.9 → 8.6.   - Passenger cars per 1,000 inhabitants (`road_eqs_carhab`): 508 (2015); 548 (2019); 577 (2024); 584 (2025).   - Passenger transport volume relative to GDP (`tran_hv_pstra`, index 2015 = 100): 95.9 (2019, e); 79.0 (2020, e); 89.4 (2024, b/e).   - Rail passenger-km (`rail_pa_total`, million pkm): 412,202 (2019); 221,836 (2020); 429,575 (2023).   - Air passengers carried (`avia_paoc`, total, annual): 819.7 million (2015); 1,035.1 millio</w:t>
      </w:r>
    </w:p>
    <w:p>
      <w:r>
        <w:t>How these connect.    - The paper never committed to an outcome, so it cannot be scored right or wrong.   - Its framing of social preferences as an under-researched driver looks sound in hindsight: COVID-era teleworking and online buying shifted behaviour faster than infrastructure did.   - Its background remark about peak car is not supported at EU level for car ownership, which kept rising. I did not retrieve EU car passenger-km, so car use itself is unchecked.   - Caveats: Eurostat passenger modal-split shares are estimates with several flagged series breaks (including 2010–2013, 2016 and 2024). The 2020–21 v</w:t>
      </w:r>
    </w:p>
    <w:p>
      <w:r>
        <w:t>Research source trail (starting point): https://publikationen.bibliothek.kit.edu/110104025/4377548:</w:t>
      </w:r>
    </w:p>
    <w:p>
      <w:r>
        <w:t>Catalogue record: 394</w:t>
      </w:r>
    </w:p>
    <w:p>
      <w:pPr>
        <w:pStyle w:val="Heading2"/>
      </w:pPr>
      <w:r>
        <w:t>404: European packaging industry foresight study (2014)</w:t>
      </w:r>
    </w:p>
    <w:p>
      <w:r>
        <w:t>Earlier perspective. Original claim (Source; full text read via the Springer article page, three passes; Table 1 page opened):   - Olsmats and Kaivo-oja, Eur J Futures Res 2:39, published 9 Apr 2014 (date from OpenAlex). Part of an Innventia foresight programme, 2010–2013.   - Method:     - Participatory foresight in three focus-group sessions (October 2010 to September 2011) with 46 participants, drawn mostly from Innventia staff, packaging users, suppliers and academics.     - The groups mapped the five global megatrends of CSIRO's "Our Future World" (More from l</w:t>
      </w:r>
    </w:p>
    <w:p>
      <w:r>
        <w:t>Developments since.    - Packaging waste generated (`env_waspac`, kg per inhabitant):     - Total: 154.56 (2012); 165.47 (2015); 177.7 (2019); 190.28 (2021); 186.56 (2022); 177.8 (2023, i); 180.99 (2024, i).     - Paper and cardboard: 62.69 (2012) → 73.82 (2024, i).     - Plastic: 28.42 (2012) → 35.93 (2024, i).   - Recycling rate of packaging waste (`env_waspacr` / `cei_wm020`, % under the "2025 target and onwards" method):     - Total: 65.2 (2012); 66.6 (2015); 64.8 (2019); 64.0 (2020); 65.3 (2022); 67.4 (2023, i); 67.0 (2024, i).     - Plastic: 37.6 (2012) → 42.4 (2024, i).</w:t>
      </w:r>
    </w:p>
    <w:p>
      <w:r>
        <w:t>How these connect.    - The study's direction-of-travel calls about sustainability were sound and became law.   - Its implicit premise that a mature European market would stagnate and become leaner did not hold for volumes.   - Its biggest blind spot was e-commerce.     - The trend was already visible when the focus groups met. EU individuals who had bought online within 12 months rose from 26.7% (2007) to 36.2% (2010) and 38.5% (2011) (Eurostat `isoc_ec_ibuy`).     - Fairness note: the authors explicitly did not aim to forecast.   - Uncertainty:     - Eurostat 2023–2024 values are imputed (i), and the 2020 meth</w:t>
      </w:r>
    </w:p>
    <w:p>
      <w:r>
        <w:t>Research source trail (starting point): https://api.worldbank.org/v2/country/WLD/indicator/SP.URB.TOTL.IN.ZS</w:t>
      </w:r>
    </w:p>
    <w:p>
      <w:r>
        <w:t>Catalogue record: 404</w:t>
      </w:r>
    </w:p>
    <w:p>
      <w:pPr>
        <w:pStyle w:val="Heading2"/>
      </w:pPr>
      <w:r>
        <w:t>111: Scenario forecasting of agriculture institutional transformation on a sustainable development base (2021)</w:t>
      </w:r>
    </w:p>
    <w:p>
      <w:r>
        <w:t>Earlier perspective.    - Lopatynskyi, Kobelia, Vodianka, Antokhova and Halytskyi, WSEAS Transactions on Environment and Development 17: 574–582. Published 31 May 2021, nine months before Russia's full-scale invasion. All pages of the PDF were read.   - Content:     - Five institutional stages of Ukrainian agriculture: 1991–1999, 2000–2008, 2008–2014, 2014–2019, and "since 2020", the last tied to the law ending the moratorium on farmland sales.     - COVID-19 is described as a short-term depressant and the open land market as a long-term stimulus.     - Method: exp</w:t>
      </w:r>
    </w:p>
    <w:p>
      <w:r>
        <w:t>Developments since.    - Sector output, World Bank API (Ukraine). https://api.worldbank.org/v2/country/UKR/indicator/&lt;code&gt;, last updated 8 Oct 2026.     - Agriculture, forestry and fishing value added, % of GDP (`NV.AGR.TOTL.ZS`): 10.89 (2021); 8.57 (2022); 7.55 (2023); 7.29 (2024); 7.57 (2025).     - Value added in constant 2015 USD (`NV.AGR.TOTL.KD`): 12.78 billion (2021); 9.56 billion (2022, −25.2%); 10.63 billion (2023); 10.22 billion (2024); 9.58 billion (2025, still −25.1% against 2021).     - Crop production index, 2014–16 = 100 (`AG.PRD.CROP.XD`): 121.71 (2021); 90.06 (2022); 100.34 (2023); 96.35 (2024).     - Cereal production (`AG.PRD.CREL.MT`): 85.37</w:t>
      </w:r>
    </w:p>
    <w:p>
      <w:r>
        <w:t>How these connect.    - The 2021 paper gave three loose narratives with no numbers or horizon. Only the land-market mechanism can be checked, and it unfolded along the "realistic" path but more slowly and with more safeguards than implied.   - The war makes the scenario set largely moot. This is an exogenous shock, so fairness requires noting that no scenario of this kind would have been judged on it in May 2021.   - Uncertainty:     - Structure and employment data after 2021 are missing (Ukrstat unreachable; employment data suspended or not published in the World Bank and ILO series).     - The land file's pric</w:t>
      </w:r>
    </w:p>
    <w:p>
      <w:r>
        <w:t>Research source trail (starting point): https://api.worldbank.org/v2/country/UKR/indicator/</w:t>
      </w:r>
    </w:p>
    <w:p>
      <w:r>
        <w:t>Catalogue record: 111</w:t>
      </w:r>
    </w:p>
    <w:sectPr w:rsidR="00FC693F" w:rsidRPr="0006063C" w:rsidSect="00034616">
      <w:headerReference w:type="default" r:id="rId9"/>
      <w:footerReference w:type="default" r:id="rId10"/>
      <w:pgSz w:w="12240" w:h="15840"/>
      <w:pgMar w:top="1152" w:right="1325" w:bottom="1080"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Pr>
    <w:r>
      <w:t>VV Futures · Research dossier · Review source links before citing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Pr>
    <w:r>
      <w:t>VV FUTURES  /  EUROPEAN FORESIGHT OBSERVATORY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5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943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ptos Display" w:hAnsi="Aptos Display"/>
      <w:b/>
      <w:color w:val="1943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pPr>
    <w:rPr>
      <w:rFonts w:ascii="Aptos" w:hAnsi="Aptos"/>
      <w:color w:val="5C6C7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